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51313">
      <w:pPr>
        <w:widowControl/>
        <w:ind w:firstLine="480"/>
        <w:jc w:val="left"/>
        <w:rPr>
          <w:rFonts w:cs="Times New Roman"/>
          <w:kern w:val="0"/>
          <w:szCs w:val="24"/>
        </w:rPr>
      </w:pPr>
    </w:p>
    <w:p w14:paraId="648983DD">
      <w:pPr>
        <w:tabs>
          <w:tab w:val="center" w:pos="4153"/>
          <w:tab w:val="right" w:pos="8306"/>
        </w:tabs>
        <w:spacing w:line="312" w:lineRule="auto"/>
        <w:ind w:firstLine="1044"/>
        <w:jc w:val="center"/>
        <w:rPr>
          <w:rFonts w:cs="Times New Roman"/>
          <w:b/>
          <w:sz w:val="52"/>
          <w:szCs w:val="52"/>
        </w:rPr>
      </w:pPr>
    </w:p>
    <w:p w14:paraId="0A949C77">
      <w:pPr>
        <w:tabs>
          <w:tab w:val="center" w:pos="4153"/>
          <w:tab w:val="right" w:pos="8306"/>
        </w:tabs>
        <w:spacing w:line="312" w:lineRule="auto"/>
        <w:ind w:firstLine="1044"/>
        <w:jc w:val="center"/>
        <w:rPr>
          <w:rFonts w:cs="Times New Roman"/>
          <w:b/>
          <w:sz w:val="52"/>
          <w:szCs w:val="52"/>
        </w:rPr>
      </w:pPr>
    </w:p>
    <w:p w14:paraId="666CF679">
      <w:pPr>
        <w:spacing w:line="300" w:lineRule="auto"/>
        <w:ind w:firstLine="0" w:firstLineChars="0"/>
        <w:jc w:val="center"/>
        <w:rPr>
          <w:rFonts w:eastAsia="华文新魏" w:cs="Times New Roman"/>
          <w:sz w:val="44"/>
          <w:szCs w:val="44"/>
        </w:rPr>
      </w:pPr>
      <w:r>
        <w:rPr>
          <w:rFonts w:hint="eastAsia" w:eastAsia="华文新魏" w:cs="Times New Roman"/>
          <w:sz w:val="44"/>
          <w:szCs w:val="44"/>
        </w:rPr>
        <w:t>安徽凯盛应用材料有限公司</w:t>
      </w:r>
    </w:p>
    <w:p w14:paraId="02433948">
      <w:pPr>
        <w:spacing w:line="300" w:lineRule="auto"/>
        <w:ind w:firstLine="0" w:firstLineChars="0"/>
        <w:jc w:val="center"/>
        <w:rPr>
          <w:rFonts w:eastAsia="华文新魏" w:cs="Times New Roman"/>
          <w:sz w:val="44"/>
          <w:szCs w:val="44"/>
        </w:rPr>
      </w:pPr>
      <w:r>
        <w:rPr>
          <w:rFonts w:hint="eastAsia" w:eastAsia="华文新魏" w:cs="Times New Roman"/>
          <w:sz w:val="44"/>
          <w:szCs w:val="44"/>
        </w:rPr>
        <w:t>年产7000吨硅基新材料技改/扩建项目</w:t>
      </w:r>
    </w:p>
    <w:p w14:paraId="67F92D89">
      <w:pPr>
        <w:tabs>
          <w:tab w:val="center" w:pos="4153"/>
          <w:tab w:val="right" w:pos="8306"/>
        </w:tabs>
        <w:spacing w:line="312" w:lineRule="auto"/>
        <w:ind w:firstLine="883"/>
        <w:jc w:val="center"/>
        <w:rPr>
          <w:rFonts w:cs="Times New Roman"/>
          <w:b/>
          <w:sz w:val="44"/>
          <w:szCs w:val="44"/>
        </w:rPr>
      </w:pPr>
    </w:p>
    <w:p w14:paraId="5D54CB52">
      <w:pPr>
        <w:tabs>
          <w:tab w:val="center" w:pos="4153"/>
          <w:tab w:val="right" w:pos="8306"/>
        </w:tabs>
        <w:spacing w:line="240" w:lineRule="atLeast"/>
        <w:ind w:firstLine="1044"/>
        <w:jc w:val="center"/>
        <w:rPr>
          <w:rFonts w:cs="Times New Roman"/>
          <w:b/>
          <w:sz w:val="52"/>
          <w:szCs w:val="52"/>
        </w:rPr>
      </w:pPr>
    </w:p>
    <w:p w14:paraId="1908DE82">
      <w:pPr>
        <w:tabs>
          <w:tab w:val="center" w:pos="4153"/>
          <w:tab w:val="right" w:pos="8306"/>
        </w:tabs>
        <w:spacing w:line="312" w:lineRule="auto"/>
        <w:ind w:firstLine="0" w:firstLineChars="0"/>
        <w:jc w:val="center"/>
        <w:rPr>
          <w:rFonts w:eastAsia="华文新魏" w:cs="Times New Roman"/>
          <w:b/>
          <w:sz w:val="72"/>
          <w:szCs w:val="52"/>
        </w:rPr>
      </w:pPr>
      <w:r>
        <w:rPr>
          <w:rFonts w:eastAsia="华文新魏" w:cs="Times New Roman"/>
          <w:b/>
          <w:sz w:val="72"/>
          <w:szCs w:val="52"/>
        </w:rPr>
        <w:t>环境影响报告书</w:t>
      </w:r>
    </w:p>
    <w:p w14:paraId="044CF347">
      <w:pPr>
        <w:tabs>
          <w:tab w:val="center" w:pos="4153"/>
          <w:tab w:val="right" w:pos="8306"/>
        </w:tabs>
        <w:spacing w:line="312" w:lineRule="auto"/>
        <w:ind w:firstLine="0" w:firstLineChars="0"/>
        <w:jc w:val="center"/>
        <w:rPr>
          <w:rFonts w:eastAsia="华文新魏" w:cs="Times New Roman"/>
          <w:b/>
          <w:color w:val="000000" w:themeColor="text1"/>
          <w:sz w:val="44"/>
          <w:szCs w:val="52"/>
          <w14:textFill>
            <w14:solidFill>
              <w14:schemeClr w14:val="tx1"/>
            </w14:solidFill>
          </w14:textFill>
        </w:rPr>
      </w:pPr>
      <w:r>
        <w:rPr>
          <w:rFonts w:eastAsia="华文新魏" w:cs="Times New Roman"/>
          <w:b/>
          <w:color w:val="000000" w:themeColor="text1"/>
          <w:sz w:val="44"/>
          <w:szCs w:val="52"/>
          <w14:textFill>
            <w14:solidFill>
              <w14:schemeClr w14:val="tx1"/>
            </w14:solidFill>
          </w14:textFill>
        </w:rPr>
        <w:t>（</w:t>
      </w:r>
      <w:r>
        <w:rPr>
          <w:rFonts w:hint="eastAsia" w:eastAsia="华文新魏" w:cs="Times New Roman"/>
          <w:b/>
          <w:color w:val="000000" w:themeColor="text1"/>
          <w:sz w:val="44"/>
          <w:szCs w:val="52"/>
          <w14:textFill>
            <w14:solidFill>
              <w14:schemeClr w14:val="tx1"/>
            </w14:solidFill>
          </w14:textFill>
        </w:rPr>
        <w:t>征求意见稿</w:t>
      </w:r>
      <w:r>
        <w:rPr>
          <w:rFonts w:eastAsia="华文新魏" w:cs="Times New Roman"/>
          <w:b/>
          <w:color w:val="000000" w:themeColor="text1"/>
          <w:sz w:val="44"/>
          <w:szCs w:val="52"/>
          <w14:textFill>
            <w14:solidFill>
              <w14:schemeClr w14:val="tx1"/>
            </w14:solidFill>
          </w14:textFill>
        </w:rPr>
        <w:t>）</w:t>
      </w:r>
    </w:p>
    <w:p w14:paraId="171D9A4D">
      <w:pPr>
        <w:tabs>
          <w:tab w:val="center" w:pos="4153"/>
          <w:tab w:val="right" w:pos="8306"/>
        </w:tabs>
        <w:spacing w:line="312" w:lineRule="auto"/>
        <w:ind w:firstLine="643"/>
        <w:jc w:val="center"/>
        <w:rPr>
          <w:rFonts w:cs="Times New Roman"/>
          <w:b/>
          <w:sz w:val="32"/>
          <w:szCs w:val="52"/>
        </w:rPr>
      </w:pPr>
    </w:p>
    <w:p w14:paraId="65B53597">
      <w:pPr>
        <w:tabs>
          <w:tab w:val="center" w:pos="4153"/>
          <w:tab w:val="right" w:pos="8306"/>
        </w:tabs>
        <w:spacing w:line="312" w:lineRule="auto"/>
        <w:ind w:firstLine="643"/>
        <w:jc w:val="center"/>
        <w:rPr>
          <w:rFonts w:cs="Times New Roman"/>
          <w:b/>
          <w:sz w:val="32"/>
          <w:szCs w:val="52"/>
        </w:rPr>
      </w:pPr>
    </w:p>
    <w:p w14:paraId="73D5D5D7">
      <w:pPr>
        <w:tabs>
          <w:tab w:val="center" w:pos="4153"/>
          <w:tab w:val="right" w:pos="8306"/>
        </w:tabs>
        <w:spacing w:line="312" w:lineRule="auto"/>
        <w:ind w:firstLine="643"/>
        <w:jc w:val="center"/>
        <w:rPr>
          <w:rFonts w:cs="Times New Roman"/>
          <w:b/>
          <w:sz w:val="32"/>
          <w:szCs w:val="52"/>
        </w:rPr>
      </w:pPr>
    </w:p>
    <w:p w14:paraId="6D79A033">
      <w:pPr>
        <w:tabs>
          <w:tab w:val="center" w:pos="4153"/>
          <w:tab w:val="right" w:pos="8306"/>
        </w:tabs>
        <w:spacing w:line="312" w:lineRule="auto"/>
        <w:ind w:firstLine="643"/>
        <w:jc w:val="center"/>
        <w:rPr>
          <w:rFonts w:cs="Times New Roman"/>
          <w:b/>
          <w:sz w:val="32"/>
          <w:szCs w:val="52"/>
        </w:rPr>
      </w:pPr>
    </w:p>
    <w:p w14:paraId="6E03B18C">
      <w:pPr>
        <w:tabs>
          <w:tab w:val="center" w:pos="4153"/>
          <w:tab w:val="right" w:pos="8306"/>
        </w:tabs>
        <w:spacing w:line="312" w:lineRule="auto"/>
        <w:ind w:firstLine="643"/>
        <w:jc w:val="center"/>
        <w:rPr>
          <w:rFonts w:cs="Times New Roman"/>
          <w:b/>
          <w:sz w:val="32"/>
          <w:szCs w:val="52"/>
        </w:rPr>
      </w:pPr>
    </w:p>
    <w:p w14:paraId="1EBF2CCA">
      <w:pPr>
        <w:tabs>
          <w:tab w:val="center" w:pos="4153"/>
          <w:tab w:val="right" w:pos="8306"/>
        </w:tabs>
        <w:spacing w:line="312" w:lineRule="auto"/>
        <w:ind w:firstLine="643"/>
        <w:jc w:val="center"/>
        <w:rPr>
          <w:rFonts w:cs="Times New Roman"/>
          <w:b/>
          <w:sz w:val="32"/>
          <w:szCs w:val="52"/>
        </w:rPr>
      </w:pPr>
    </w:p>
    <w:p w14:paraId="27260EA3">
      <w:pPr>
        <w:tabs>
          <w:tab w:val="center" w:pos="4153"/>
          <w:tab w:val="right" w:pos="8306"/>
        </w:tabs>
        <w:spacing w:line="312" w:lineRule="auto"/>
        <w:ind w:firstLine="643"/>
        <w:jc w:val="center"/>
        <w:rPr>
          <w:rFonts w:cs="Times New Roman"/>
          <w:b/>
          <w:sz w:val="32"/>
          <w:szCs w:val="52"/>
        </w:rPr>
      </w:pPr>
    </w:p>
    <w:p w14:paraId="7A0C411A">
      <w:pPr>
        <w:tabs>
          <w:tab w:val="center" w:pos="4153"/>
          <w:tab w:val="right" w:pos="8306"/>
        </w:tabs>
        <w:spacing w:line="312" w:lineRule="auto"/>
        <w:ind w:firstLine="643"/>
        <w:jc w:val="center"/>
        <w:rPr>
          <w:rFonts w:cs="Times New Roman"/>
          <w:b/>
          <w:sz w:val="32"/>
          <w:szCs w:val="52"/>
        </w:rPr>
      </w:pPr>
    </w:p>
    <w:p w14:paraId="432A83FF">
      <w:pPr>
        <w:tabs>
          <w:tab w:val="center" w:pos="4153"/>
          <w:tab w:val="right" w:pos="8306"/>
        </w:tabs>
        <w:spacing w:line="312" w:lineRule="auto"/>
        <w:ind w:firstLine="643"/>
        <w:jc w:val="center"/>
        <w:rPr>
          <w:rFonts w:cs="Times New Roman"/>
          <w:b/>
          <w:sz w:val="32"/>
          <w:szCs w:val="52"/>
        </w:rPr>
      </w:pPr>
    </w:p>
    <w:p w14:paraId="5116A9B9">
      <w:pPr>
        <w:tabs>
          <w:tab w:val="center" w:pos="4153"/>
          <w:tab w:val="right" w:pos="8306"/>
        </w:tabs>
        <w:spacing w:line="312" w:lineRule="auto"/>
        <w:ind w:firstLine="0" w:firstLineChars="0"/>
        <w:jc w:val="center"/>
        <w:rPr>
          <w:rFonts w:eastAsia="楷体" w:cs="Times New Roman"/>
          <w:b/>
          <w:sz w:val="32"/>
          <w:szCs w:val="52"/>
        </w:rPr>
      </w:pPr>
      <w:r>
        <w:rPr>
          <w:rFonts w:eastAsia="楷体" w:cs="Times New Roman"/>
          <w:b/>
          <w:sz w:val="32"/>
          <w:szCs w:val="52"/>
        </w:rPr>
        <w:t>建设单位：</w:t>
      </w:r>
      <w:r>
        <w:rPr>
          <w:rFonts w:hint="eastAsia" w:eastAsia="楷体" w:cs="Times New Roman"/>
          <w:b/>
          <w:sz w:val="32"/>
          <w:szCs w:val="52"/>
        </w:rPr>
        <w:t>安徽凯盛应用材料有限公司</w:t>
      </w:r>
    </w:p>
    <w:p w14:paraId="54E6F386">
      <w:pPr>
        <w:tabs>
          <w:tab w:val="center" w:pos="4153"/>
          <w:tab w:val="right" w:pos="8306"/>
        </w:tabs>
        <w:spacing w:line="312" w:lineRule="auto"/>
        <w:ind w:firstLine="0" w:firstLineChars="0"/>
        <w:jc w:val="center"/>
        <w:rPr>
          <w:rFonts w:eastAsia="楷体" w:cs="Times New Roman"/>
          <w:b/>
          <w:sz w:val="32"/>
          <w:szCs w:val="52"/>
        </w:rPr>
      </w:pPr>
      <w:r>
        <w:rPr>
          <w:rFonts w:eastAsia="楷体" w:cs="Times New Roman"/>
          <w:b/>
          <w:sz w:val="32"/>
          <w:szCs w:val="52"/>
        </w:rPr>
        <w:t>编制单位：</w:t>
      </w:r>
      <w:r>
        <w:rPr>
          <w:rFonts w:hint="eastAsia" w:eastAsia="楷体" w:cs="Times New Roman"/>
          <w:b/>
          <w:sz w:val="32"/>
          <w:szCs w:val="52"/>
        </w:rPr>
        <w:t>安徽世标检测技术有限公司</w:t>
      </w:r>
    </w:p>
    <w:p w14:paraId="6D928A51">
      <w:pPr>
        <w:tabs>
          <w:tab w:val="center" w:pos="4153"/>
          <w:tab w:val="right" w:pos="8306"/>
        </w:tabs>
        <w:spacing w:line="312" w:lineRule="auto"/>
        <w:ind w:firstLine="0" w:firstLineChars="0"/>
        <w:jc w:val="center"/>
        <w:rPr>
          <w:rFonts w:eastAsia="楷体" w:cs="Times New Roman"/>
          <w:b/>
          <w:sz w:val="3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851" w:footer="992" w:gutter="0"/>
          <w:cols w:space="425" w:num="1"/>
          <w:titlePg/>
          <w:docGrid w:type="lines" w:linePitch="326" w:charSpace="0"/>
        </w:sectPr>
      </w:pPr>
      <w:r>
        <w:rPr>
          <w:rFonts w:eastAsia="楷体" w:cs="Times New Roman"/>
          <w:b/>
          <w:sz w:val="32"/>
          <w:szCs w:val="52"/>
        </w:rPr>
        <w:t xml:space="preserve">2026年01月  </w:t>
      </w:r>
      <w:r>
        <w:rPr>
          <w:rFonts w:hint="eastAsia" w:eastAsia="楷体" w:cs="Times New Roman"/>
          <w:b/>
          <w:sz w:val="32"/>
          <w:szCs w:val="52"/>
        </w:rPr>
        <w:t>合肥</w:t>
      </w:r>
    </w:p>
    <w:sdt>
      <w:sdtPr>
        <w:rPr>
          <w:rFonts w:eastAsia="宋体" w:cstheme="minorBidi"/>
          <w:b w:val="0"/>
          <w:bCs w:val="0"/>
          <w:kern w:val="2"/>
          <w:szCs w:val="22"/>
          <w:lang w:val="zh-CN"/>
        </w:rPr>
        <w:id w:val="-1804227559"/>
        <w:docPartObj>
          <w:docPartGallery w:val="Table of Contents"/>
          <w:docPartUnique/>
        </w:docPartObj>
      </w:sdtPr>
      <w:sdtEndPr>
        <w:rPr>
          <w:rFonts w:eastAsia="宋体" w:cstheme="minorBidi"/>
          <w:b w:val="0"/>
          <w:bCs w:val="0"/>
          <w:kern w:val="2"/>
          <w:szCs w:val="22"/>
          <w:lang w:val="zh-CN"/>
        </w:rPr>
      </w:sdtEndPr>
      <w:sdtContent>
        <w:p w14:paraId="7BDCAC0D">
          <w:pPr>
            <w:pStyle w:val="726"/>
            <w:ind w:firstLine="480"/>
            <w:rPr>
              <w:b w:val="0"/>
            </w:rPr>
          </w:pPr>
          <w:r>
            <w:rPr>
              <w:b w:val="0"/>
              <w:lang w:val="zh-CN"/>
            </w:rPr>
            <w:t>目录</w:t>
          </w:r>
        </w:p>
        <w:p w14:paraId="756348AD">
          <w:pPr>
            <w:pStyle w:val="45"/>
            <w:tabs>
              <w:tab w:val="right" w:leader="dot" w:pos="9016"/>
            </w:tabs>
            <w:ind w:firstLine="0" w:firstLineChars="0"/>
            <w:rPr>
              <w:rFonts w:ascii="Times New Roman" w:hAnsi="Times New Roman"/>
              <w:b w:val="0"/>
              <w:sz w:val="21"/>
            </w:rPr>
          </w:pPr>
          <w:r>
            <w:rPr>
              <w:rFonts w:ascii="Times New Roman" w:hAnsi="Times New Roman"/>
              <w:b w:val="0"/>
            </w:rPr>
            <w:fldChar w:fldCharType="begin"/>
          </w:r>
          <w:r>
            <w:rPr>
              <w:rFonts w:ascii="Times New Roman" w:hAnsi="Times New Roman"/>
              <w:b w:val="0"/>
            </w:rPr>
            <w:instrText xml:space="preserve"> TOC \o "1-3" \h \z \u </w:instrText>
          </w:r>
          <w:r>
            <w:rPr>
              <w:rFonts w:ascii="Times New Roman" w:hAnsi="Times New Roman"/>
              <w:b w:val="0"/>
            </w:rPr>
            <w:fldChar w:fldCharType="separate"/>
          </w:r>
          <w:r>
            <w:fldChar w:fldCharType="begin"/>
          </w:r>
          <w:r>
            <w:instrText xml:space="preserve"> HYPERLINK \l "_Toc108662534" </w:instrText>
          </w:r>
          <w:r>
            <w:fldChar w:fldCharType="separate"/>
          </w:r>
          <w:r>
            <w:rPr>
              <w:rStyle w:val="115"/>
              <w:rFonts w:ascii="Times New Roman" w:hAnsi="Times New Roman"/>
              <w:b w:val="0"/>
            </w:rPr>
            <w:t>1、概述</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_Toc108662534 \h </w:instrText>
          </w:r>
          <w:r>
            <w:rPr>
              <w:rFonts w:ascii="Times New Roman" w:hAnsi="Times New Roman"/>
              <w:b w:val="0"/>
            </w:rPr>
            <w:fldChar w:fldCharType="separate"/>
          </w:r>
          <w:r>
            <w:rPr>
              <w:rFonts w:ascii="Times New Roman" w:hAnsi="Times New Roman"/>
              <w:b w:val="0"/>
            </w:rPr>
            <w:t>1</w:t>
          </w:r>
          <w:r>
            <w:rPr>
              <w:rFonts w:ascii="Times New Roman" w:hAnsi="Times New Roman"/>
              <w:b w:val="0"/>
            </w:rPr>
            <w:fldChar w:fldCharType="end"/>
          </w:r>
          <w:r>
            <w:rPr>
              <w:rFonts w:ascii="Times New Roman" w:hAnsi="Times New Roman"/>
              <w:b w:val="0"/>
            </w:rPr>
            <w:fldChar w:fldCharType="end"/>
          </w:r>
        </w:p>
        <w:p w14:paraId="7CE80C48">
          <w:pPr>
            <w:pStyle w:val="54"/>
            <w:ind w:firstLine="482"/>
            <w:rPr>
              <w:b w:val="0"/>
              <w:bCs w:val="0"/>
              <w:sz w:val="21"/>
            </w:rPr>
          </w:pPr>
          <w:r>
            <w:fldChar w:fldCharType="begin"/>
          </w:r>
          <w:r>
            <w:instrText xml:space="preserve"> HYPERLINK \l "_Toc108662535" </w:instrText>
          </w:r>
          <w:r>
            <w:fldChar w:fldCharType="separate"/>
          </w:r>
          <w:r>
            <w:rPr>
              <w:rStyle w:val="115"/>
              <w:b w:val="0"/>
            </w:rPr>
            <w:t>1.1项目由来及特点</w:t>
          </w:r>
          <w:r>
            <w:rPr>
              <w:b w:val="0"/>
            </w:rPr>
            <w:tab/>
          </w:r>
          <w:r>
            <w:rPr>
              <w:b w:val="0"/>
            </w:rPr>
            <w:fldChar w:fldCharType="begin"/>
          </w:r>
          <w:r>
            <w:rPr>
              <w:b w:val="0"/>
            </w:rPr>
            <w:instrText xml:space="preserve"> PAGEREF _Toc108662535 \h </w:instrText>
          </w:r>
          <w:r>
            <w:rPr>
              <w:b w:val="0"/>
            </w:rPr>
            <w:fldChar w:fldCharType="separate"/>
          </w:r>
          <w:r>
            <w:rPr>
              <w:b w:val="0"/>
            </w:rPr>
            <w:t>1</w:t>
          </w:r>
          <w:r>
            <w:rPr>
              <w:b w:val="0"/>
            </w:rPr>
            <w:fldChar w:fldCharType="end"/>
          </w:r>
          <w:r>
            <w:rPr>
              <w:b w:val="0"/>
            </w:rPr>
            <w:fldChar w:fldCharType="end"/>
          </w:r>
        </w:p>
        <w:p w14:paraId="6D2C14AC">
          <w:pPr>
            <w:pStyle w:val="54"/>
            <w:ind w:firstLine="482"/>
            <w:rPr>
              <w:b w:val="0"/>
              <w:bCs w:val="0"/>
              <w:sz w:val="21"/>
            </w:rPr>
          </w:pPr>
          <w:r>
            <w:fldChar w:fldCharType="begin"/>
          </w:r>
          <w:r>
            <w:instrText xml:space="preserve"> HYPERLINK \l "_Toc108662536" </w:instrText>
          </w:r>
          <w:r>
            <w:fldChar w:fldCharType="separate"/>
          </w:r>
          <w:r>
            <w:rPr>
              <w:rStyle w:val="115"/>
              <w:b w:val="0"/>
            </w:rPr>
            <w:t>1.2项目特点</w:t>
          </w:r>
          <w:r>
            <w:rPr>
              <w:b w:val="0"/>
            </w:rPr>
            <w:tab/>
          </w:r>
          <w:r>
            <w:rPr>
              <w:b w:val="0"/>
            </w:rPr>
            <w:fldChar w:fldCharType="begin"/>
          </w:r>
          <w:r>
            <w:rPr>
              <w:b w:val="0"/>
            </w:rPr>
            <w:instrText xml:space="preserve"> PAGEREF _Toc108662536 \h </w:instrText>
          </w:r>
          <w:r>
            <w:rPr>
              <w:b w:val="0"/>
            </w:rPr>
            <w:fldChar w:fldCharType="separate"/>
          </w:r>
          <w:r>
            <w:rPr>
              <w:b w:val="0"/>
            </w:rPr>
            <w:t>2</w:t>
          </w:r>
          <w:r>
            <w:rPr>
              <w:b w:val="0"/>
            </w:rPr>
            <w:fldChar w:fldCharType="end"/>
          </w:r>
          <w:r>
            <w:rPr>
              <w:b w:val="0"/>
            </w:rPr>
            <w:fldChar w:fldCharType="end"/>
          </w:r>
        </w:p>
        <w:p w14:paraId="4F2207B0">
          <w:pPr>
            <w:pStyle w:val="54"/>
            <w:ind w:firstLine="482"/>
            <w:rPr>
              <w:b w:val="0"/>
              <w:bCs w:val="0"/>
              <w:sz w:val="21"/>
            </w:rPr>
          </w:pPr>
          <w:r>
            <w:fldChar w:fldCharType="begin"/>
          </w:r>
          <w:r>
            <w:instrText xml:space="preserve"> HYPERLINK \l "_Toc108662537" </w:instrText>
          </w:r>
          <w:r>
            <w:fldChar w:fldCharType="separate"/>
          </w:r>
          <w:r>
            <w:rPr>
              <w:rStyle w:val="115"/>
              <w:b w:val="0"/>
            </w:rPr>
            <w:t>1.3环境影响评价工作过程</w:t>
          </w:r>
          <w:r>
            <w:rPr>
              <w:b w:val="0"/>
            </w:rPr>
            <w:tab/>
          </w:r>
          <w:r>
            <w:rPr>
              <w:b w:val="0"/>
            </w:rPr>
            <w:fldChar w:fldCharType="begin"/>
          </w:r>
          <w:r>
            <w:rPr>
              <w:b w:val="0"/>
            </w:rPr>
            <w:instrText xml:space="preserve"> PAGEREF _Toc108662537 \h </w:instrText>
          </w:r>
          <w:r>
            <w:rPr>
              <w:b w:val="0"/>
            </w:rPr>
            <w:fldChar w:fldCharType="separate"/>
          </w:r>
          <w:r>
            <w:rPr>
              <w:b w:val="0"/>
            </w:rPr>
            <w:t>2</w:t>
          </w:r>
          <w:r>
            <w:rPr>
              <w:b w:val="0"/>
            </w:rPr>
            <w:fldChar w:fldCharType="end"/>
          </w:r>
          <w:r>
            <w:rPr>
              <w:b w:val="0"/>
            </w:rPr>
            <w:fldChar w:fldCharType="end"/>
          </w:r>
        </w:p>
        <w:p w14:paraId="678DD8DB">
          <w:pPr>
            <w:pStyle w:val="54"/>
            <w:ind w:firstLine="482"/>
            <w:rPr>
              <w:b w:val="0"/>
              <w:bCs w:val="0"/>
              <w:sz w:val="21"/>
            </w:rPr>
          </w:pPr>
          <w:r>
            <w:fldChar w:fldCharType="begin"/>
          </w:r>
          <w:r>
            <w:instrText xml:space="preserve"> HYPERLINK \l "_Toc108662538" </w:instrText>
          </w:r>
          <w:r>
            <w:fldChar w:fldCharType="separate"/>
          </w:r>
          <w:r>
            <w:rPr>
              <w:rStyle w:val="115"/>
              <w:b w:val="0"/>
            </w:rPr>
            <w:t>1.4分析判定相关情况</w:t>
          </w:r>
          <w:r>
            <w:rPr>
              <w:b w:val="0"/>
            </w:rPr>
            <w:tab/>
          </w:r>
          <w:r>
            <w:rPr>
              <w:b w:val="0"/>
            </w:rPr>
            <w:fldChar w:fldCharType="begin"/>
          </w:r>
          <w:r>
            <w:rPr>
              <w:b w:val="0"/>
            </w:rPr>
            <w:instrText xml:space="preserve"> PAGEREF _Toc108662538 \h </w:instrText>
          </w:r>
          <w:r>
            <w:rPr>
              <w:b w:val="0"/>
            </w:rPr>
            <w:fldChar w:fldCharType="separate"/>
          </w:r>
          <w:r>
            <w:rPr>
              <w:b w:val="0"/>
            </w:rPr>
            <w:t>4</w:t>
          </w:r>
          <w:r>
            <w:rPr>
              <w:b w:val="0"/>
            </w:rPr>
            <w:fldChar w:fldCharType="end"/>
          </w:r>
          <w:r>
            <w:rPr>
              <w:b w:val="0"/>
            </w:rPr>
            <w:fldChar w:fldCharType="end"/>
          </w:r>
        </w:p>
        <w:p w14:paraId="49FF7D0E">
          <w:pPr>
            <w:pStyle w:val="54"/>
            <w:ind w:firstLine="482"/>
            <w:rPr>
              <w:b w:val="0"/>
              <w:bCs w:val="0"/>
              <w:sz w:val="21"/>
            </w:rPr>
          </w:pPr>
          <w:r>
            <w:fldChar w:fldCharType="begin"/>
          </w:r>
          <w:r>
            <w:instrText xml:space="preserve"> HYPERLINK \l "_Toc108662542" </w:instrText>
          </w:r>
          <w:r>
            <w:fldChar w:fldCharType="separate"/>
          </w:r>
          <w:r>
            <w:rPr>
              <w:rStyle w:val="115"/>
              <w:b w:val="0"/>
            </w:rPr>
            <w:t>1.5关注的主要环境问题及环境影响</w:t>
          </w:r>
          <w:r>
            <w:rPr>
              <w:b w:val="0"/>
            </w:rPr>
            <w:tab/>
          </w:r>
          <w:r>
            <w:rPr>
              <w:b w:val="0"/>
            </w:rPr>
            <w:fldChar w:fldCharType="begin"/>
          </w:r>
          <w:r>
            <w:rPr>
              <w:b w:val="0"/>
            </w:rPr>
            <w:instrText xml:space="preserve"> PAGEREF _Toc108662542 \h </w:instrText>
          </w:r>
          <w:r>
            <w:rPr>
              <w:b w:val="0"/>
            </w:rPr>
            <w:fldChar w:fldCharType="separate"/>
          </w:r>
          <w:r>
            <w:rPr>
              <w:b w:val="0"/>
            </w:rPr>
            <w:t>5</w:t>
          </w:r>
          <w:r>
            <w:rPr>
              <w:b w:val="0"/>
            </w:rPr>
            <w:fldChar w:fldCharType="end"/>
          </w:r>
          <w:r>
            <w:rPr>
              <w:b w:val="0"/>
            </w:rPr>
            <w:fldChar w:fldCharType="end"/>
          </w:r>
        </w:p>
        <w:p w14:paraId="696D5029">
          <w:pPr>
            <w:pStyle w:val="54"/>
            <w:ind w:firstLine="482"/>
            <w:rPr>
              <w:b w:val="0"/>
              <w:bCs w:val="0"/>
              <w:sz w:val="21"/>
            </w:rPr>
          </w:pPr>
          <w:r>
            <w:fldChar w:fldCharType="begin"/>
          </w:r>
          <w:r>
            <w:instrText xml:space="preserve"> HYPERLINK \l "_Toc108662543" </w:instrText>
          </w:r>
          <w:r>
            <w:fldChar w:fldCharType="separate"/>
          </w:r>
          <w:r>
            <w:rPr>
              <w:rStyle w:val="115"/>
              <w:b w:val="0"/>
            </w:rPr>
            <w:t>1.6报告书的主要结论</w:t>
          </w:r>
          <w:r>
            <w:rPr>
              <w:b w:val="0"/>
            </w:rPr>
            <w:tab/>
          </w:r>
          <w:r>
            <w:rPr>
              <w:b w:val="0"/>
            </w:rPr>
            <w:fldChar w:fldCharType="begin"/>
          </w:r>
          <w:r>
            <w:rPr>
              <w:b w:val="0"/>
            </w:rPr>
            <w:instrText xml:space="preserve"> PAGEREF _Toc108662543 \h </w:instrText>
          </w:r>
          <w:r>
            <w:rPr>
              <w:b w:val="0"/>
            </w:rPr>
            <w:fldChar w:fldCharType="separate"/>
          </w:r>
          <w:r>
            <w:rPr>
              <w:b w:val="0"/>
            </w:rPr>
            <w:t>6</w:t>
          </w:r>
          <w:r>
            <w:rPr>
              <w:b w:val="0"/>
            </w:rPr>
            <w:fldChar w:fldCharType="end"/>
          </w:r>
          <w:r>
            <w:rPr>
              <w:b w:val="0"/>
            </w:rPr>
            <w:fldChar w:fldCharType="end"/>
          </w:r>
        </w:p>
        <w:p w14:paraId="21A91913">
          <w:pPr>
            <w:pStyle w:val="45"/>
            <w:tabs>
              <w:tab w:val="right" w:leader="dot" w:pos="9016"/>
            </w:tabs>
            <w:ind w:firstLine="0" w:firstLineChars="0"/>
            <w:rPr>
              <w:rFonts w:ascii="Times New Roman" w:hAnsi="Times New Roman"/>
              <w:b w:val="0"/>
              <w:sz w:val="21"/>
            </w:rPr>
          </w:pPr>
          <w:r>
            <w:fldChar w:fldCharType="begin"/>
          </w:r>
          <w:r>
            <w:instrText xml:space="preserve"> HYPERLINK \l "_Toc108662544" </w:instrText>
          </w:r>
          <w:r>
            <w:fldChar w:fldCharType="separate"/>
          </w:r>
          <w:r>
            <w:rPr>
              <w:rStyle w:val="115"/>
              <w:rFonts w:ascii="Times New Roman" w:hAnsi="Times New Roman"/>
              <w:b w:val="0"/>
            </w:rPr>
            <w:t>2、总则</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_Toc108662544 \h </w:instrText>
          </w:r>
          <w:r>
            <w:rPr>
              <w:rFonts w:ascii="Times New Roman" w:hAnsi="Times New Roman"/>
              <w:b w:val="0"/>
            </w:rPr>
            <w:fldChar w:fldCharType="separate"/>
          </w:r>
          <w:r>
            <w:rPr>
              <w:rFonts w:ascii="Times New Roman" w:hAnsi="Times New Roman"/>
              <w:b w:val="0"/>
            </w:rPr>
            <w:t>7</w:t>
          </w:r>
          <w:r>
            <w:rPr>
              <w:rFonts w:ascii="Times New Roman" w:hAnsi="Times New Roman"/>
              <w:b w:val="0"/>
            </w:rPr>
            <w:fldChar w:fldCharType="end"/>
          </w:r>
          <w:r>
            <w:rPr>
              <w:rFonts w:ascii="Times New Roman" w:hAnsi="Times New Roman"/>
              <w:b w:val="0"/>
            </w:rPr>
            <w:fldChar w:fldCharType="end"/>
          </w:r>
        </w:p>
        <w:p w14:paraId="6F33C21F">
          <w:pPr>
            <w:pStyle w:val="54"/>
            <w:ind w:firstLine="482"/>
            <w:rPr>
              <w:b w:val="0"/>
              <w:bCs w:val="0"/>
              <w:sz w:val="21"/>
            </w:rPr>
          </w:pPr>
          <w:r>
            <w:fldChar w:fldCharType="begin"/>
          </w:r>
          <w:r>
            <w:instrText xml:space="preserve"> HYPERLINK \l "_Toc108662545" </w:instrText>
          </w:r>
          <w:r>
            <w:fldChar w:fldCharType="separate"/>
          </w:r>
          <w:r>
            <w:rPr>
              <w:rStyle w:val="115"/>
              <w:b w:val="0"/>
            </w:rPr>
            <w:t>2.1编制依据</w:t>
          </w:r>
          <w:r>
            <w:rPr>
              <w:b w:val="0"/>
            </w:rPr>
            <w:tab/>
          </w:r>
          <w:r>
            <w:rPr>
              <w:b w:val="0"/>
            </w:rPr>
            <w:fldChar w:fldCharType="begin"/>
          </w:r>
          <w:r>
            <w:rPr>
              <w:b w:val="0"/>
            </w:rPr>
            <w:instrText xml:space="preserve"> PAGEREF _Toc108662545 \h </w:instrText>
          </w:r>
          <w:r>
            <w:rPr>
              <w:b w:val="0"/>
            </w:rPr>
            <w:fldChar w:fldCharType="separate"/>
          </w:r>
          <w:r>
            <w:rPr>
              <w:b w:val="0"/>
            </w:rPr>
            <w:t>7</w:t>
          </w:r>
          <w:r>
            <w:rPr>
              <w:b w:val="0"/>
            </w:rPr>
            <w:fldChar w:fldCharType="end"/>
          </w:r>
          <w:r>
            <w:rPr>
              <w:b w:val="0"/>
            </w:rPr>
            <w:fldChar w:fldCharType="end"/>
          </w:r>
        </w:p>
        <w:p w14:paraId="25761E20">
          <w:pPr>
            <w:pStyle w:val="54"/>
            <w:ind w:firstLine="482"/>
            <w:rPr>
              <w:b w:val="0"/>
              <w:bCs w:val="0"/>
              <w:sz w:val="21"/>
            </w:rPr>
          </w:pPr>
          <w:r>
            <w:fldChar w:fldCharType="begin"/>
          </w:r>
          <w:r>
            <w:instrText xml:space="preserve"> HYPERLINK \l "_Toc108662550" </w:instrText>
          </w:r>
          <w:r>
            <w:fldChar w:fldCharType="separate"/>
          </w:r>
          <w:r>
            <w:rPr>
              <w:rStyle w:val="115"/>
              <w:b w:val="0"/>
            </w:rPr>
            <w:t>2.2评价因子与评价标准</w:t>
          </w:r>
          <w:r>
            <w:rPr>
              <w:b w:val="0"/>
            </w:rPr>
            <w:tab/>
          </w:r>
          <w:r>
            <w:rPr>
              <w:b w:val="0"/>
            </w:rPr>
            <w:fldChar w:fldCharType="begin"/>
          </w:r>
          <w:r>
            <w:rPr>
              <w:b w:val="0"/>
            </w:rPr>
            <w:instrText xml:space="preserve"> PAGEREF _Toc108662550 \h </w:instrText>
          </w:r>
          <w:r>
            <w:rPr>
              <w:b w:val="0"/>
            </w:rPr>
            <w:fldChar w:fldCharType="separate"/>
          </w:r>
          <w:r>
            <w:rPr>
              <w:b w:val="0"/>
            </w:rPr>
            <w:t>11</w:t>
          </w:r>
          <w:r>
            <w:rPr>
              <w:b w:val="0"/>
            </w:rPr>
            <w:fldChar w:fldCharType="end"/>
          </w:r>
          <w:r>
            <w:rPr>
              <w:b w:val="0"/>
            </w:rPr>
            <w:fldChar w:fldCharType="end"/>
          </w:r>
        </w:p>
        <w:p w14:paraId="345471B8">
          <w:pPr>
            <w:pStyle w:val="54"/>
            <w:ind w:firstLine="482"/>
            <w:rPr>
              <w:b w:val="0"/>
              <w:bCs w:val="0"/>
              <w:sz w:val="21"/>
            </w:rPr>
          </w:pPr>
          <w:r>
            <w:fldChar w:fldCharType="begin"/>
          </w:r>
          <w:r>
            <w:instrText xml:space="preserve"> HYPERLINK \l "_Toc108662554" </w:instrText>
          </w:r>
          <w:r>
            <w:fldChar w:fldCharType="separate"/>
          </w:r>
          <w:r>
            <w:rPr>
              <w:rStyle w:val="115"/>
              <w:b w:val="0"/>
            </w:rPr>
            <w:t>2.3评价工作等级和评价重点</w:t>
          </w:r>
          <w:r>
            <w:rPr>
              <w:b w:val="0"/>
            </w:rPr>
            <w:tab/>
          </w:r>
          <w:r>
            <w:rPr>
              <w:b w:val="0"/>
            </w:rPr>
            <w:fldChar w:fldCharType="begin"/>
          </w:r>
          <w:r>
            <w:rPr>
              <w:b w:val="0"/>
            </w:rPr>
            <w:instrText xml:space="preserve"> PAGEREF _Toc108662554 \h </w:instrText>
          </w:r>
          <w:r>
            <w:rPr>
              <w:b w:val="0"/>
            </w:rPr>
            <w:fldChar w:fldCharType="separate"/>
          </w:r>
          <w:r>
            <w:rPr>
              <w:b w:val="0"/>
            </w:rPr>
            <w:t>22</w:t>
          </w:r>
          <w:r>
            <w:rPr>
              <w:b w:val="0"/>
            </w:rPr>
            <w:fldChar w:fldCharType="end"/>
          </w:r>
          <w:r>
            <w:rPr>
              <w:b w:val="0"/>
            </w:rPr>
            <w:fldChar w:fldCharType="end"/>
          </w:r>
        </w:p>
        <w:p w14:paraId="141729C5">
          <w:pPr>
            <w:pStyle w:val="54"/>
            <w:ind w:firstLine="482"/>
            <w:rPr>
              <w:b w:val="0"/>
              <w:bCs w:val="0"/>
              <w:sz w:val="21"/>
            </w:rPr>
          </w:pPr>
          <w:r>
            <w:fldChar w:fldCharType="begin"/>
          </w:r>
          <w:r>
            <w:instrText xml:space="preserve"> HYPERLINK \l "_Toc108662557" </w:instrText>
          </w:r>
          <w:r>
            <w:fldChar w:fldCharType="separate"/>
          </w:r>
          <w:r>
            <w:rPr>
              <w:rStyle w:val="115"/>
              <w:b w:val="0"/>
            </w:rPr>
            <w:t>2.4评价范围及环境敏感区</w:t>
          </w:r>
          <w:r>
            <w:rPr>
              <w:b w:val="0"/>
            </w:rPr>
            <w:tab/>
          </w:r>
          <w:r>
            <w:rPr>
              <w:b w:val="0"/>
            </w:rPr>
            <w:fldChar w:fldCharType="begin"/>
          </w:r>
          <w:r>
            <w:rPr>
              <w:b w:val="0"/>
            </w:rPr>
            <w:instrText xml:space="preserve"> PAGEREF _Toc108662557 \h </w:instrText>
          </w:r>
          <w:r>
            <w:rPr>
              <w:b w:val="0"/>
            </w:rPr>
            <w:fldChar w:fldCharType="separate"/>
          </w:r>
          <w:r>
            <w:rPr>
              <w:b w:val="0"/>
            </w:rPr>
            <w:t>34</w:t>
          </w:r>
          <w:r>
            <w:rPr>
              <w:b w:val="0"/>
            </w:rPr>
            <w:fldChar w:fldCharType="end"/>
          </w:r>
          <w:r>
            <w:rPr>
              <w:b w:val="0"/>
            </w:rPr>
            <w:fldChar w:fldCharType="end"/>
          </w:r>
        </w:p>
        <w:p w14:paraId="798EDAF5">
          <w:pPr>
            <w:pStyle w:val="54"/>
            <w:ind w:firstLine="482"/>
            <w:rPr>
              <w:b w:val="0"/>
              <w:bCs w:val="0"/>
              <w:sz w:val="21"/>
            </w:rPr>
          </w:pPr>
          <w:r>
            <w:fldChar w:fldCharType="begin"/>
          </w:r>
          <w:r>
            <w:instrText xml:space="preserve"> HYPERLINK \l "_Toc108662560" </w:instrText>
          </w:r>
          <w:r>
            <w:fldChar w:fldCharType="separate"/>
          </w:r>
          <w:r>
            <w:rPr>
              <w:rStyle w:val="115"/>
              <w:b w:val="0"/>
            </w:rPr>
            <w:t>2.5与相关法律法规、政策、规划协调性分析</w:t>
          </w:r>
          <w:r>
            <w:rPr>
              <w:b w:val="0"/>
            </w:rPr>
            <w:tab/>
          </w:r>
          <w:r>
            <w:rPr>
              <w:b w:val="0"/>
            </w:rPr>
            <w:fldChar w:fldCharType="begin"/>
          </w:r>
          <w:r>
            <w:rPr>
              <w:b w:val="0"/>
            </w:rPr>
            <w:instrText xml:space="preserve"> PAGEREF _Toc108662560 \h </w:instrText>
          </w:r>
          <w:r>
            <w:rPr>
              <w:b w:val="0"/>
            </w:rPr>
            <w:fldChar w:fldCharType="separate"/>
          </w:r>
          <w:r>
            <w:rPr>
              <w:b w:val="0"/>
            </w:rPr>
            <w:t>38</w:t>
          </w:r>
          <w:r>
            <w:rPr>
              <w:b w:val="0"/>
            </w:rPr>
            <w:fldChar w:fldCharType="end"/>
          </w:r>
          <w:r>
            <w:rPr>
              <w:b w:val="0"/>
            </w:rPr>
            <w:fldChar w:fldCharType="end"/>
          </w:r>
        </w:p>
        <w:p w14:paraId="6410E80B">
          <w:pPr>
            <w:pStyle w:val="54"/>
            <w:ind w:firstLine="482"/>
            <w:rPr>
              <w:b w:val="0"/>
              <w:bCs w:val="0"/>
              <w:sz w:val="21"/>
            </w:rPr>
          </w:pPr>
          <w:r>
            <w:fldChar w:fldCharType="begin"/>
          </w:r>
          <w:r>
            <w:instrText xml:space="preserve"> HYPERLINK \l "_Toc108662564" </w:instrText>
          </w:r>
          <w:r>
            <w:fldChar w:fldCharType="separate"/>
          </w:r>
          <w:r>
            <w:rPr>
              <w:rStyle w:val="115"/>
              <w:b w:val="0"/>
            </w:rPr>
            <w:t>2.6环境功能区划</w:t>
          </w:r>
          <w:r>
            <w:rPr>
              <w:b w:val="0"/>
            </w:rPr>
            <w:tab/>
          </w:r>
          <w:r>
            <w:rPr>
              <w:b w:val="0"/>
            </w:rPr>
            <w:fldChar w:fldCharType="begin"/>
          </w:r>
          <w:r>
            <w:rPr>
              <w:b w:val="0"/>
            </w:rPr>
            <w:instrText xml:space="preserve"> PAGEREF _Toc108662564 \h </w:instrText>
          </w:r>
          <w:r>
            <w:rPr>
              <w:b w:val="0"/>
            </w:rPr>
            <w:fldChar w:fldCharType="separate"/>
          </w:r>
          <w:r>
            <w:rPr>
              <w:b w:val="0"/>
            </w:rPr>
            <w:t>55</w:t>
          </w:r>
          <w:r>
            <w:rPr>
              <w:b w:val="0"/>
            </w:rPr>
            <w:fldChar w:fldCharType="end"/>
          </w:r>
          <w:r>
            <w:rPr>
              <w:b w:val="0"/>
            </w:rPr>
            <w:fldChar w:fldCharType="end"/>
          </w:r>
        </w:p>
        <w:p w14:paraId="77A2C8E2">
          <w:pPr>
            <w:pStyle w:val="45"/>
            <w:tabs>
              <w:tab w:val="right" w:leader="dot" w:pos="9016"/>
            </w:tabs>
            <w:ind w:firstLine="0" w:firstLineChars="0"/>
            <w:rPr>
              <w:rFonts w:ascii="Times New Roman" w:hAnsi="Times New Roman"/>
              <w:b w:val="0"/>
              <w:sz w:val="21"/>
            </w:rPr>
          </w:pPr>
          <w:r>
            <w:fldChar w:fldCharType="begin"/>
          </w:r>
          <w:r>
            <w:instrText xml:space="preserve"> HYPERLINK \l "_Toc108662565" </w:instrText>
          </w:r>
          <w:r>
            <w:fldChar w:fldCharType="separate"/>
          </w:r>
          <w:r>
            <w:rPr>
              <w:rStyle w:val="115"/>
              <w:rFonts w:ascii="Times New Roman" w:hAnsi="Times New Roman"/>
              <w:b w:val="0"/>
            </w:rPr>
            <w:t>3、建设项目工程分析</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_Toc108662565 \h </w:instrText>
          </w:r>
          <w:r>
            <w:rPr>
              <w:rFonts w:ascii="Times New Roman" w:hAnsi="Times New Roman"/>
              <w:b w:val="0"/>
            </w:rPr>
            <w:fldChar w:fldCharType="separate"/>
          </w:r>
          <w:r>
            <w:rPr>
              <w:rFonts w:ascii="Times New Roman" w:hAnsi="Times New Roman"/>
              <w:b w:val="0"/>
            </w:rPr>
            <w:t>56</w:t>
          </w:r>
          <w:r>
            <w:rPr>
              <w:rFonts w:ascii="Times New Roman" w:hAnsi="Times New Roman"/>
              <w:b w:val="0"/>
            </w:rPr>
            <w:fldChar w:fldCharType="end"/>
          </w:r>
          <w:r>
            <w:rPr>
              <w:rFonts w:ascii="Times New Roman" w:hAnsi="Times New Roman"/>
              <w:b w:val="0"/>
            </w:rPr>
            <w:fldChar w:fldCharType="end"/>
          </w:r>
        </w:p>
        <w:p w14:paraId="3B016C9B">
          <w:pPr>
            <w:pStyle w:val="54"/>
            <w:ind w:firstLine="482"/>
            <w:rPr>
              <w:b w:val="0"/>
              <w:bCs w:val="0"/>
              <w:sz w:val="21"/>
            </w:rPr>
          </w:pPr>
          <w:r>
            <w:fldChar w:fldCharType="begin"/>
          </w:r>
          <w:r>
            <w:instrText xml:space="preserve"> HYPERLINK \l "_Toc108662566" </w:instrText>
          </w:r>
          <w:r>
            <w:fldChar w:fldCharType="separate"/>
          </w:r>
          <w:r>
            <w:rPr>
              <w:rStyle w:val="115"/>
              <w:b w:val="0"/>
            </w:rPr>
            <w:t>3.1现有工程概况</w:t>
          </w:r>
          <w:r>
            <w:rPr>
              <w:b w:val="0"/>
            </w:rPr>
            <w:tab/>
          </w:r>
          <w:r>
            <w:rPr>
              <w:b w:val="0"/>
            </w:rPr>
            <w:fldChar w:fldCharType="begin"/>
          </w:r>
          <w:r>
            <w:rPr>
              <w:b w:val="0"/>
            </w:rPr>
            <w:instrText xml:space="preserve"> PAGEREF _Toc108662566 \h </w:instrText>
          </w:r>
          <w:r>
            <w:rPr>
              <w:b w:val="0"/>
            </w:rPr>
            <w:fldChar w:fldCharType="separate"/>
          </w:r>
          <w:r>
            <w:rPr>
              <w:b w:val="0"/>
            </w:rPr>
            <w:t>56</w:t>
          </w:r>
          <w:r>
            <w:rPr>
              <w:b w:val="0"/>
            </w:rPr>
            <w:fldChar w:fldCharType="end"/>
          </w:r>
          <w:r>
            <w:rPr>
              <w:b w:val="0"/>
            </w:rPr>
            <w:fldChar w:fldCharType="end"/>
          </w:r>
        </w:p>
        <w:p w14:paraId="44796F88">
          <w:pPr>
            <w:pStyle w:val="54"/>
            <w:ind w:firstLine="482"/>
            <w:rPr>
              <w:b w:val="0"/>
              <w:bCs w:val="0"/>
              <w:sz w:val="21"/>
            </w:rPr>
          </w:pPr>
          <w:r>
            <w:fldChar w:fldCharType="begin"/>
          </w:r>
          <w:r>
            <w:instrText xml:space="preserve"> HYPERLINK \l "_Toc108662580" </w:instrText>
          </w:r>
          <w:r>
            <w:fldChar w:fldCharType="separate"/>
          </w:r>
          <w:r>
            <w:rPr>
              <w:rStyle w:val="115"/>
              <w:b w:val="0"/>
            </w:rPr>
            <w:t>3.2同期拟建项目</w:t>
          </w:r>
          <w:r>
            <w:rPr>
              <w:b w:val="0"/>
            </w:rPr>
            <w:tab/>
          </w:r>
          <w:r>
            <w:rPr>
              <w:b w:val="0"/>
            </w:rPr>
            <w:fldChar w:fldCharType="begin"/>
          </w:r>
          <w:r>
            <w:rPr>
              <w:b w:val="0"/>
            </w:rPr>
            <w:instrText xml:space="preserve"> PAGEREF _Toc108662580 \h </w:instrText>
          </w:r>
          <w:r>
            <w:rPr>
              <w:b w:val="0"/>
            </w:rPr>
            <w:fldChar w:fldCharType="separate"/>
          </w:r>
          <w:r>
            <w:rPr>
              <w:b w:val="0"/>
            </w:rPr>
            <w:t>78</w:t>
          </w:r>
          <w:r>
            <w:rPr>
              <w:b w:val="0"/>
            </w:rPr>
            <w:fldChar w:fldCharType="end"/>
          </w:r>
          <w:r>
            <w:rPr>
              <w:b w:val="0"/>
            </w:rPr>
            <w:fldChar w:fldCharType="end"/>
          </w:r>
        </w:p>
        <w:p w14:paraId="775E093E">
          <w:pPr>
            <w:pStyle w:val="54"/>
            <w:ind w:firstLine="482"/>
            <w:rPr>
              <w:b w:val="0"/>
              <w:bCs w:val="0"/>
              <w:sz w:val="21"/>
            </w:rPr>
          </w:pPr>
          <w:r>
            <w:fldChar w:fldCharType="begin"/>
          </w:r>
          <w:r>
            <w:instrText xml:space="preserve"> HYPERLINK \l "_Toc108662589" </w:instrText>
          </w:r>
          <w:r>
            <w:fldChar w:fldCharType="separate"/>
          </w:r>
          <w:r>
            <w:rPr>
              <w:rStyle w:val="115"/>
              <w:b w:val="0"/>
            </w:rPr>
            <w:t>3.3扩建项目</w:t>
          </w:r>
          <w:r>
            <w:rPr>
              <w:rStyle w:val="115"/>
              <w:rFonts w:hint="eastAsia"/>
              <w:b w:val="0"/>
            </w:rPr>
            <w:t>工程分析</w:t>
          </w:r>
          <w:r>
            <w:rPr>
              <w:b w:val="0"/>
            </w:rPr>
            <w:tab/>
          </w:r>
          <w:r>
            <w:rPr>
              <w:b w:val="0"/>
            </w:rPr>
            <w:fldChar w:fldCharType="begin"/>
          </w:r>
          <w:r>
            <w:rPr>
              <w:b w:val="0"/>
            </w:rPr>
            <w:instrText xml:space="preserve"> PAGEREF _Toc108662589 \h </w:instrText>
          </w:r>
          <w:r>
            <w:rPr>
              <w:b w:val="0"/>
            </w:rPr>
            <w:fldChar w:fldCharType="separate"/>
          </w:r>
          <w:r>
            <w:rPr>
              <w:b w:val="0"/>
            </w:rPr>
            <w:t>88</w:t>
          </w:r>
          <w:r>
            <w:rPr>
              <w:b w:val="0"/>
            </w:rPr>
            <w:fldChar w:fldCharType="end"/>
          </w:r>
          <w:r>
            <w:rPr>
              <w:b w:val="0"/>
            </w:rPr>
            <w:fldChar w:fldCharType="end"/>
          </w:r>
        </w:p>
        <w:p w14:paraId="6FF5ED68">
          <w:pPr>
            <w:pStyle w:val="54"/>
            <w:ind w:firstLine="482"/>
            <w:rPr>
              <w:b w:val="0"/>
              <w:bCs w:val="0"/>
              <w:sz w:val="21"/>
            </w:rPr>
          </w:pPr>
          <w:r>
            <w:fldChar w:fldCharType="begin"/>
          </w:r>
          <w:r>
            <w:instrText xml:space="preserve"> HYPERLINK \l "_Toc108662597" </w:instrText>
          </w:r>
          <w:r>
            <w:fldChar w:fldCharType="separate"/>
          </w:r>
          <w:r>
            <w:rPr>
              <w:rStyle w:val="115"/>
              <w:b w:val="0"/>
            </w:rPr>
            <w:t>3.4</w:t>
          </w:r>
          <w:r>
            <w:rPr>
              <w:rStyle w:val="115"/>
              <w:rFonts w:hint="eastAsia"/>
              <w:b w:val="0"/>
            </w:rPr>
            <w:t>生产工艺及物料平衡分析</w:t>
          </w:r>
          <w:r>
            <w:rPr>
              <w:b w:val="0"/>
            </w:rPr>
            <w:tab/>
          </w:r>
          <w:r>
            <w:rPr>
              <w:b w:val="0"/>
            </w:rPr>
            <w:fldChar w:fldCharType="begin"/>
          </w:r>
          <w:r>
            <w:rPr>
              <w:b w:val="0"/>
            </w:rPr>
            <w:instrText xml:space="preserve"> PAGEREF _Toc108662597 \h </w:instrText>
          </w:r>
          <w:r>
            <w:rPr>
              <w:b w:val="0"/>
            </w:rPr>
            <w:fldChar w:fldCharType="separate"/>
          </w:r>
          <w:r>
            <w:rPr>
              <w:b w:val="0"/>
            </w:rPr>
            <w:t>133</w:t>
          </w:r>
          <w:r>
            <w:rPr>
              <w:b w:val="0"/>
            </w:rPr>
            <w:fldChar w:fldCharType="end"/>
          </w:r>
          <w:r>
            <w:rPr>
              <w:b w:val="0"/>
            </w:rPr>
            <w:fldChar w:fldCharType="end"/>
          </w:r>
        </w:p>
        <w:p w14:paraId="1FF9C67E">
          <w:pPr>
            <w:pStyle w:val="54"/>
            <w:ind w:firstLine="482"/>
            <w:rPr>
              <w:b w:val="0"/>
              <w:bCs w:val="0"/>
              <w:sz w:val="21"/>
            </w:rPr>
          </w:pPr>
          <w:r>
            <w:fldChar w:fldCharType="begin"/>
          </w:r>
          <w:r>
            <w:instrText xml:space="preserve"> HYPERLINK \l "_Toc108662604" </w:instrText>
          </w:r>
          <w:r>
            <w:fldChar w:fldCharType="separate"/>
          </w:r>
          <w:r>
            <w:rPr>
              <w:rStyle w:val="115"/>
              <w:b w:val="0"/>
            </w:rPr>
            <w:t>3.5污染</w:t>
          </w:r>
          <w:r>
            <w:rPr>
              <w:rStyle w:val="115"/>
              <w:rFonts w:hint="eastAsia"/>
              <w:b w:val="0"/>
            </w:rPr>
            <w:t>源分析</w:t>
          </w:r>
          <w:r>
            <w:rPr>
              <w:b w:val="0"/>
            </w:rPr>
            <w:tab/>
          </w:r>
          <w:r>
            <w:rPr>
              <w:b w:val="0"/>
            </w:rPr>
            <w:fldChar w:fldCharType="begin"/>
          </w:r>
          <w:r>
            <w:rPr>
              <w:b w:val="0"/>
            </w:rPr>
            <w:instrText xml:space="preserve"> PAGEREF _Toc108662604 \h </w:instrText>
          </w:r>
          <w:r>
            <w:rPr>
              <w:b w:val="0"/>
            </w:rPr>
            <w:fldChar w:fldCharType="separate"/>
          </w:r>
          <w:r>
            <w:rPr>
              <w:b w:val="0"/>
            </w:rPr>
            <w:t>169</w:t>
          </w:r>
          <w:r>
            <w:rPr>
              <w:b w:val="0"/>
            </w:rPr>
            <w:fldChar w:fldCharType="end"/>
          </w:r>
          <w:r>
            <w:rPr>
              <w:b w:val="0"/>
            </w:rPr>
            <w:fldChar w:fldCharType="end"/>
          </w:r>
        </w:p>
        <w:p w14:paraId="1D541ED8">
          <w:pPr>
            <w:pStyle w:val="54"/>
            <w:ind w:firstLine="482"/>
            <w:rPr>
              <w:b w:val="0"/>
              <w:bCs w:val="0"/>
              <w:sz w:val="21"/>
            </w:rPr>
          </w:pPr>
          <w:r>
            <w:fldChar w:fldCharType="begin"/>
          </w:r>
          <w:r>
            <w:instrText xml:space="preserve"> HYPERLINK \l "_Toc108662611" </w:instrText>
          </w:r>
          <w:r>
            <w:fldChar w:fldCharType="separate"/>
          </w:r>
          <w:r>
            <w:rPr>
              <w:rStyle w:val="115"/>
              <w:b w:val="0"/>
            </w:rPr>
            <w:t>3.6扩建完成后全厂“三本帐”</w:t>
          </w:r>
          <w:r>
            <w:rPr>
              <w:b w:val="0"/>
            </w:rPr>
            <w:tab/>
          </w:r>
          <w:r>
            <w:rPr>
              <w:b w:val="0"/>
            </w:rPr>
            <w:fldChar w:fldCharType="begin"/>
          </w:r>
          <w:r>
            <w:rPr>
              <w:b w:val="0"/>
            </w:rPr>
            <w:instrText xml:space="preserve"> PAGEREF _Toc108662611 \h </w:instrText>
          </w:r>
          <w:r>
            <w:rPr>
              <w:b w:val="0"/>
            </w:rPr>
            <w:fldChar w:fldCharType="separate"/>
          </w:r>
          <w:r>
            <w:rPr>
              <w:b w:val="0"/>
            </w:rPr>
            <w:t>196</w:t>
          </w:r>
          <w:r>
            <w:rPr>
              <w:b w:val="0"/>
            </w:rPr>
            <w:fldChar w:fldCharType="end"/>
          </w:r>
          <w:r>
            <w:rPr>
              <w:b w:val="0"/>
            </w:rPr>
            <w:fldChar w:fldCharType="end"/>
          </w:r>
        </w:p>
        <w:p w14:paraId="3F300F06">
          <w:pPr>
            <w:pStyle w:val="54"/>
            <w:ind w:firstLine="482"/>
            <w:rPr>
              <w:b w:val="0"/>
              <w:bCs w:val="0"/>
              <w:sz w:val="21"/>
            </w:rPr>
          </w:pPr>
          <w:r>
            <w:fldChar w:fldCharType="begin"/>
          </w:r>
          <w:r>
            <w:instrText xml:space="preserve"> HYPERLINK \l "_Toc108662612" </w:instrText>
          </w:r>
          <w:r>
            <w:fldChar w:fldCharType="separate"/>
          </w:r>
          <w:r>
            <w:rPr>
              <w:rStyle w:val="115"/>
              <w:b w:val="0"/>
            </w:rPr>
            <w:t>3.7清洁生产分析</w:t>
          </w:r>
          <w:r>
            <w:rPr>
              <w:b w:val="0"/>
            </w:rPr>
            <w:tab/>
          </w:r>
          <w:r>
            <w:rPr>
              <w:b w:val="0"/>
            </w:rPr>
            <w:fldChar w:fldCharType="begin"/>
          </w:r>
          <w:r>
            <w:rPr>
              <w:b w:val="0"/>
            </w:rPr>
            <w:instrText xml:space="preserve"> PAGEREF _Toc108662612 \h </w:instrText>
          </w:r>
          <w:r>
            <w:rPr>
              <w:b w:val="0"/>
            </w:rPr>
            <w:fldChar w:fldCharType="separate"/>
          </w:r>
          <w:r>
            <w:rPr>
              <w:b w:val="0"/>
            </w:rPr>
            <w:t>197</w:t>
          </w:r>
          <w:r>
            <w:rPr>
              <w:b w:val="0"/>
            </w:rPr>
            <w:fldChar w:fldCharType="end"/>
          </w:r>
          <w:r>
            <w:rPr>
              <w:b w:val="0"/>
            </w:rPr>
            <w:fldChar w:fldCharType="end"/>
          </w:r>
        </w:p>
        <w:p w14:paraId="603F3E92">
          <w:pPr>
            <w:pStyle w:val="45"/>
            <w:tabs>
              <w:tab w:val="right" w:leader="dot" w:pos="9016"/>
            </w:tabs>
            <w:ind w:firstLine="0" w:firstLineChars="0"/>
            <w:rPr>
              <w:rFonts w:ascii="Times New Roman" w:hAnsi="Times New Roman"/>
              <w:b w:val="0"/>
              <w:sz w:val="21"/>
            </w:rPr>
          </w:pPr>
          <w:r>
            <w:fldChar w:fldCharType="begin"/>
          </w:r>
          <w:r>
            <w:instrText xml:space="preserve"> HYPERLINK \l "_Toc108662619" </w:instrText>
          </w:r>
          <w:r>
            <w:fldChar w:fldCharType="separate"/>
          </w:r>
          <w:r>
            <w:rPr>
              <w:rStyle w:val="115"/>
              <w:rFonts w:ascii="Times New Roman" w:hAnsi="Times New Roman"/>
              <w:b w:val="0"/>
            </w:rPr>
            <w:t>4、环境现状调查与评价</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_Toc108662619 \h </w:instrText>
          </w:r>
          <w:r>
            <w:rPr>
              <w:rFonts w:ascii="Times New Roman" w:hAnsi="Times New Roman"/>
              <w:b w:val="0"/>
            </w:rPr>
            <w:fldChar w:fldCharType="separate"/>
          </w:r>
          <w:r>
            <w:rPr>
              <w:rFonts w:ascii="Times New Roman" w:hAnsi="Times New Roman"/>
              <w:b w:val="0"/>
            </w:rPr>
            <w:t>201</w:t>
          </w:r>
          <w:r>
            <w:rPr>
              <w:rFonts w:ascii="Times New Roman" w:hAnsi="Times New Roman"/>
              <w:b w:val="0"/>
            </w:rPr>
            <w:fldChar w:fldCharType="end"/>
          </w:r>
          <w:r>
            <w:rPr>
              <w:rFonts w:ascii="Times New Roman" w:hAnsi="Times New Roman"/>
              <w:b w:val="0"/>
            </w:rPr>
            <w:fldChar w:fldCharType="end"/>
          </w:r>
        </w:p>
        <w:p w14:paraId="75505D59">
          <w:pPr>
            <w:pStyle w:val="54"/>
            <w:ind w:firstLine="482"/>
            <w:rPr>
              <w:b w:val="0"/>
              <w:bCs w:val="0"/>
              <w:sz w:val="21"/>
            </w:rPr>
          </w:pPr>
          <w:r>
            <w:fldChar w:fldCharType="begin"/>
          </w:r>
          <w:r>
            <w:instrText xml:space="preserve"> HYPERLINK \l "_Toc108662620" </w:instrText>
          </w:r>
          <w:r>
            <w:fldChar w:fldCharType="separate"/>
          </w:r>
          <w:r>
            <w:rPr>
              <w:rStyle w:val="115"/>
              <w:b w:val="0"/>
            </w:rPr>
            <w:t>4.1自然环境概况</w:t>
          </w:r>
          <w:r>
            <w:rPr>
              <w:b w:val="0"/>
            </w:rPr>
            <w:tab/>
          </w:r>
          <w:r>
            <w:rPr>
              <w:b w:val="0"/>
            </w:rPr>
            <w:fldChar w:fldCharType="begin"/>
          </w:r>
          <w:r>
            <w:rPr>
              <w:b w:val="0"/>
            </w:rPr>
            <w:instrText xml:space="preserve"> PAGEREF _Toc108662620 \h </w:instrText>
          </w:r>
          <w:r>
            <w:rPr>
              <w:b w:val="0"/>
            </w:rPr>
            <w:fldChar w:fldCharType="separate"/>
          </w:r>
          <w:r>
            <w:rPr>
              <w:b w:val="0"/>
            </w:rPr>
            <w:t>201</w:t>
          </w:r>
          <w:r>
            <w:rPr>
              <w:b w:val="0"/>
            </w:rPr>
            <w:fldChar w:fldCharType="end"/>
          </w:r>
          <w:r>
            <w:rPr>
              <w:b w:val="0"/>
            </w:rPr>
            <w:fldChar w:fldCharType="end"/>
          </w:r>
        </w:p>
        <w:p w14:paraId="165417A7">
          <w:pPr>
            <w:pStyle w:val="54"/>
            <w:ind w:firstLine="482"/>
            <w:rPr>
              <w:b w:val="0"/>
              <w:bCs w:val="0"/>
              <w:sz w:val="21"/>
            </w:rPr>
          </w:pPr>
          <w:r>
            <w:fldChar w:fldCharType="begin"/>
          </w:r>
          <w:r>
            <w:instrText xml:space="preserve"> HYPERLINK \l "_Toc108662626" </w:instrText>
          </w:r>
          <w:r>
            <w:fldChar w:fldCharType="separate"/>
          </w:r>
          <w:r>
            <w:rPr>
              <w:rStyle w:val="115"/>
              <w:b w:val="0"/>
            </w:rPr>
            <w:t>4.2环境质量现状</w:t>
          </w:r>
          <w:r>
            <w:rPr>
              <w:b w:val="0"/>
            </w:rPr>
            <w:tab/>
          </w:r>
          <w:r>
            <w:rPr>
              <w:b w:val="0"/>
            </w:rPr>
            <w:fldChar w:fldCharType="begin"/>
          </w:r>
          <w:r>
            <w:rPr>
              <w:b w:val="0"/>
            </w:rPr>
            <w:instrText xml:space="preserve"> PAGEREF _Toc108662626 \h </w:instrText>
          </w:r>
          <w:r>
            <w:rPr>
              <w:b w:val="0"/>
            </w:rPr>
            <w:fldChar w:fldCharType="separate"/>
          </w:r>
          <w:r>
            <w:rPr>
              <w:b w:val="0"/>
            </w:rPr>
            <w:t>204</w:t>
          </w:r>
          <w:r>
            <w:rPr>
              <w:b w:val="0"/>
            </w:rPr>
            <w:fldChar w:fldCharType="end"/>
          </w:r>
          <w:r>
            <w:rPr>
              <w:b w:val="0"/>
            </w:rPr>
            <w:fldChar w:fldCharType="end"/>
          </w:r>
        </w:p>
        <w:p w14:paraId="16577F43">
          <w:pPr>
            <w:pStyle w:val="54"/>
            <w:ind w:firstLine="482"/>
            <w:rPr>
              <w:b w:val="0"/>
              <w:bCs w:val="0"/>
              <w:sz w:val="21"/>
            </w:rPr>
          </w:pPr>
          <w:r>
            <w:fldChar w:fldCharType="begin"/>
          </w:r>
          <w:r>
            <w:instrText xml:space="preserve"> HYPERLINK \l "_Toc108662632" </w:instrText>
          </w:r>
          <w:r>
            <w:fldChar w:fldCharType="separate"/>
          </w:r>
          <w:r>
            <w:rPr>
              <w:rStyle w:val="115"/>
              <w:b w:val="0"/>
            </w:rPr>
            <w:t>4.3区域污染源调查</w:t>
          </w:r>
          <w:r>
            <w:rPr>
              <w:b w:val="0"/>
            </w:rPr>
            <w:tab/>
          </w:r>
          <w:r>
            <w:rPr>
              <w:b w:val="0"/>
            </w:rPr>
            <w:fldChar w:fldCharType="begin"/>
          </w:r>
          <w:r>
            <w:rPr>
              <w:b w:val="0"/>
            </w:rPr>
            <w:instrText xml:space="preserve"> PAGEREF _Toc108662632 \h </w:instrText>
          </w:r>
          <w:r>
            <w:rPr>
              <w:b w:val="0"/>
            </w:rPr>
            <w:fldChar w:fldCharType="separate"/>
          </w:r>
          <w:r>
            <w:rPr>
              <w:b w:val="0"/>
            </w:rPr>
            <w:t>227</w:t>
          </w:r>
          <w:r>
            <w:rPr>
              <w:b w:val="0"/>
            </w:rPr>
            <w:fldChar w:fldCharType="end"/>
          </w:r>
          <w:r>
            <w:rPr>
              <w:b w:val="0"/>
            </w:rPr>
            <w:fldChar w:fldCharType="end"/>
          </w:r>
        </w:p>
        <w:p w14:paraId="35B9F040">
          <w:pPr>
            <w:pStyle w:val="45"/>
            <w:tabs>
              <w:tab w:val="right" w:leader="dot" w:pos="9016"/>
            </w:tabs>
            <w:ind w:firstLine="0" w:firstLineChars="0"/>
            <w:rPr>
              <w:rFonts w:ascii="Times New Roman" w:hAnsi="Times New Roman"/>
              <w:b w:val="0"/>
              <w:sz w:val="21"/>
            </w:rPr>
          </w:pPr>
          <w:r>
            <w:fldChar w:fldCharType="begin"/>
          </w:r>
          <w:r>
            <w:instrText xml:space="preserve"> HYPERLINK \l "_Toc108662633" </w:instrText>
          </w:r>
          <w:r>
            <w:fldChar w:fldCharType="separate"/>
          </w:r>
          <w:r>
            <w:rPr>
              <w:rStyle w:val="115"/>
              <w:rFonts w:ascii="Times New Roman" w:hAnsi="Times New Roman"/>
              <w:b w:val="0"/>
            </w:rPr>
            <w:t>5、环境影响预测与评价</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_Toc108662633 \h </w:instrText>
          </w:r>
          <w:r>
            <w:rPr>
              <w:rFonts w:ascii="Times New Roman" w:hAnsi="Times New Roman"/>
              <w:b w:val="0"/>
            </w:rPr>
            <w:fldChar w:fldCharType="separate"/>
          </w:r>
          <w:r>
            <w:rPr>
              <w:rFonts w:ascii="Times New Roman" w:hAnsi="Times New Roman"/>
              <w:b w:val="0"/>
            </w:rPr>
            <w:t>232</w:t>
          </w:r>
          <w:r>
            <w:rPr>
              <w:rFonts w:ascii="Times New Roman" w:hAnsi="Times New Roman"/>
              <w:b w:val="0"/>
            </w:rPr>
            <w:fldChar w:fldCharType="end"/>
          </w:r>
          <w:r>
            <w:rPr>
              <w:rFonts w:ascii="Times New Roman" w:hAnsi="Times New Roman"/>
              <w:b w:val="0"/>
            </w:rPr>
            <w:fldChar w:fldCharType="end"/>
          </w:r>
        </w:p>
        <w:p w14:paraId="3942A8F5">
          <w:pPr>
            <w:pStyle w:val="54"/>
            <w:ind w:firstLine="482"/>
            <w:rPr>
              <w:b w:val="0"/>
              <w:bCs w:val="0"/>
              <w:sz w:val="21"/>
            </w:rPr>
          </w:pPr>
          <w:r>
            <w:fldChar w:fldCharType="begin"/>
          </w:r>
          <w:r>
            <w:instrText xml:space="preserve"> HYPERLINK \l "_Toc108662634" </w:instrText>
          </w:r>
          <w:r>
            <w:fldChar w:fldCharType="separate"/>
          </w:r>
          <w:r>
            <w:rPr>
              <w:rStyle w:val="115"/>
              <w:b w:val="0"/>
            </w:rPr>
            <w:t>5.1大气环境影响分析</w:t>
          </w:r>
          <w:r>
            <w:rPr>
              <w:b w:val="0"/>
            </w:rPr>
            <w:tab/>
          </w:r>
          <w:r>
            <w:rPr>
              <w:b w:val="0"/>
            </w:rPr>
            <w:fldChar w:fldCharType="begin"/>
          </w:r>
          <w:r>
            <w:rPr>
              <w:b w:val="0"/>
            </w:rPr>
            <w:instrText xml:space="preserve"> PAGEREF _Toc108662634 \h </w:instrText>
          </w:r>
          <w:r>
            <w:rPr>
              <w:b w:val="0"/>
            </w:rPr>
            <w:fldChar w:fldCharType="separate"/>
          </w:r>
          <w:r>
            <w:rPr>
              <w:b w:val="0"/>
            </w:rPr>
            <w:t>232</w:t>
          </w:r>
          <w:r>
            <w:rPr>
              <w:b w:val="0"/>
            </w:rPr>
            <w:fldChar w:fldCharType="end"/>
          </w:r>
          <w:r>
            <w:rPr>
              <w:b w:val="0"/>
            </w:rPr>
            <w:fldChar w:fldCharType="end"/>
          </w:r>
        </w:p>
        <w:p w14:paraId="50E0DADC">
          <w:pPr>
            <w:pStyle w:val="54"/>
            <w:ind w:firstLine="482"/>
            <w:rPr>
              <w:b w:val="0"/>
              <w:bCs w:val="0"/>
              <w:sz w:val="21"/>
            </w:rPr>
          </w:pPr>
          <w:r>
            <w:fldChar w:fldCharType="begin"/>
          </w:r>
          <w:r>
            <w:instrText xml:space="preserve"> HYPERLINK \l "_Toc108662645" </w:instrText>
          </w:r>
          <w:r>
            <w:fldChar w:fldCharType="separate"/>
          </w:r>
          <w:r>
            <w:rPr>
              <w:rStyle w:val="115"/>
              <w:b w:val="0"/>
            </w:rPr>
            <w:t>5.2地表水环境影响分析</w:t>
          </w:r>
          <w:r>
            <w:rPr>
              <w:b w:val="0"/>
            </w:rPr>
            <w:tab/>
          </w:r>
          <w:r>
            <w:rPr>
              <w:b w:val="0"/>
            </w:rPr>
            <w:fldChar w:fldCharType="begin"/>
          </w:r>
          <w:r>
            <w:rPr>
              <w:b w:val="0"/>
            </w:rPr>
            <w:instrText xml:space="preserve"> PAGEREF _Toc108662645 \h </w:instrText>
          </w:r>
          <w:r>
            <w:rPr>
              <w:b w:val="0"/>
            </w:rPr>
            <w:fldChar w:fldCharType="separate"/>
          </w:r>
          <w:r>
            <w:rPr>
              <w:b w:val="0"/>
            </w:rPr>
            <w:t>279</w:t>
          </w:r>
          <w:r>
            <w:rPr>
              <w:b w:val="0"/>
            </w:rPr>
            <w:fldChar w:fldCharType="end"/>
          </w:r>
          <w:r>
            <w:rPr>
              <w:b w:val="0"/>
            </w:rPr>
            <w:fldChar w:fldCharType="end"/>
          </w:r>
        </w:p>
        <w:p w14:paraId="6281F5DB">
          <w:pPr>
            <w:pStyle w:val="54"/>
            <w:ind w:firstLine="482"/>
            <w:rPr>
              <w:b w:val="0"/>
              <w:bCs w:val="0"/>
              <w:sz w:val="21"/>
            </w:rPr>
          </w:pPr>
          <w:r>
            <w:fldChar w:fldCharType="begin"/>
          </w:r>
          <w:r>
            <w:instrText xml:space="preserve"> HYPERLINK \l "_Toc108662649" </w:instrText>
          </w:r>
          <w:r>
            <w:fldChar w:fldCharType="separate"/>
          </w:r>
          <w:r>
            <w:rPr>
              <w:rStyle w:val="115"/>
              <w:b w:val="0"/>
            </w:rPr>
            <w:t>5.3声环境影响评价</w:t>
          </w:r>
          <w:r>
            <w:rPr>
              <w:b w:val="0"/>
            </w:rPr>
            <w:tab/>
          </w:r>
          <w:r>
            <w:rPr>
              <w:b w:val="0"/>
            </w:rPr>
            <w:fldChar w:fldCharType="begin"/>
          </w:r>
          <w:r>
            <w:rPr>
              <w:b w:val="0"/>
            </w:rPr>
            <w:instrText xml:space="preserve"> PAGEREF _Toc108662649 \h </w:instrText>
          </w:r>
          <w:r>
            <w:rPr>
              <w:b w:val="0"/>
            </w:rPr>
            <w:fldChar w:fldCharType="separate"/>
          </w:r>
          <w:r>
            <w:rPr>
              <w:b w:val="0"/>
            </w:rPr>
            <w:t>289</w:t>
          </w:r>
          <w:r>
            <w:rPr>
              <w:b w:val="0"/>
            </w:rPr>
            <w:fldChar w:fldCharType="end"/>
          </w:r>
          <w:r>
            <w:rPr>
              <w:b w:val="0"/>
            </w:rPr>
            <w:fldChar w:fldCharType="end"/>
          </w:r>
        </w:p>
        <w:p w14:paraId="2FE21D14">
          <w:pPr>
            <w:pStyle w:val="54"/>
            <w:ind w:firstLine="482"/>
            <w:rPr>
              <w:b w:val="0"/>
              <w:bCs w:val="0"/>
              <w:sz w:val="21"/>
            </w:rPr>
          </w:pPr>
          <w:r>
            <w:fldChar w:fldCharType="begin"/>
          </w:r>
          <w:r>
            <w:instrText xml:space="preserve"> HYPERLINK \l "_Toc108662653" </w:instrText>
          </w:r>
          <w:r>
            <w:fldChar w:fldCharType="separate"/>
          </w:r>
          <w:r>
            <w:rPr>
              <w:rStyle w:val="115"/>
              <w:b w:val="0"/>
            </w:rPr>
            <w:t>5.4固体废物环境影响分析</w:t>
          </w:r>
          <w:r>
            <w:rPr>
              <w:b w:val="0"/>
            </w:rPr>
            <w:tab/>
          </w:r>
          <w:r>
            <w:rPr>
              <w:b w:val="0"/>
            </w:rPr>
            <w:fldChar w:fldCharType="begin"/>
          </w:r>
          <w:r>
            <w:rPr>
              <w:b w:val="0"/>
            </w:rPr>
            <w:instrText xml:space="preserve"> PAGEREF _Toc108662653 \h </w:instrText>
          </w:r>
          <w:r>
            <w:rPr>
              <w:b w:val="0"/>
            </w:rPr>
            <w:fldChar w:fldCharType="separate"/>
          </w:r>
          <w:r>
            <w:rPr>
              <w:b w:val="0"/>
            </w:rPr>
            <w:t>291</w:t>
          </w:r>
          <w:r>
            <w:rPr>
              <w:b w:val="0"/>
            </w:rPr>
            <w:fldChar w:fldCharType="end"/>
          </w:r>
          <w:r>
            <w:rPr>
              <w:b w:val="0"/>
            </w:rPr>
            <w:fldChar w:fldCharType="end"/>
          </w:r>
        </w:p>
        <w:p w14:paraId="6F2ED9AD">
          <w:pPr>
            <w:pStyle w:val="54"/>
            <w:ind w:firstLine="482"/>
            <w:rPr>
              <w:b w:val="0"/>
              <w:bCs w:val="0"/>
              <w:sz w:val="21"/>
            </w:rPr>
          </w:pPr>
          <w:r>
            <w:fldChar w:fldCharType="begin"/>
          </w:r>
          <w:r>
            <w:instrText xml:space="preserve"> HYPERLINK \l "_Toc108662659" </w:instrText>
          </w:r>
          <w:r>
            <w:fldChar w:fldCharType="separate"/>
          </w:r>
          <w:r>
            <w:rPr>
              <w:rStyle w:val="115"/>
              <w:b w:val="0"/>
            </w:rPr>
            <w:t>5.5地下水环境影响评价</w:t>
          </w:r>
          <w:r>
            <w:rPr>
              <w:b w:val="0"/>
            </w:rPr>
            <w:tab/>
          </w:r>
          <w:r>
            <w:rPr>
              <w:b w:val="0"/>
            </w:rPr>
            <w:fldChar w:fldCharType="begin"/>
          </w:r>
          <w:r>
            <w:rPr>
              <w:b w:val="0"/>
            </w:rPr>
            <w:instrText xml:space="preserve"> PAGEREF _Toc108662659 \h </w:instrText>
          </w:r>
          <w:r>
            <w:rPr>
              <w:b w:val="0"/>
            </w:rPr>
            <w:fldChar w:fldCharType="separate"/>
          </w:r>
          <w:r>
            <w:rPr>
              <w:b w:val="0"/>
            </w:rPr>
            <w:t>295</w:t>
          </w:r>
          <w:r>
            <w:rPr>
              <w:b w:val="0"/>
            </w:rPr>
            <w:fldChar w:fldCharType="end"/>
          </w:r>
          <w:r>
            <w:rPr>
              <w:b w:val="0"/>
            </w:rPr>
            <w:fldChar w:fldCharType="end"/>
          </w:r>
        </w:p>
        <w:p w14:paraId="46B56C2F">
          <w:pPr>
            <w:pStyle w:val="54"/>
            <w:ind w:firstLine="482"/>
            <w:rPr>
              <w:b w:val="0"/>
              <w:bCs w:val="0"/>
              <w:sz w:val="21"/>
            </w:rPr>
          </w:pPr>
          <w:r>
            <w:fldChar w:fldCharType="begin"/>
          </w:r>
          <w:r>
            <w:instrText xml:space="preserve"> HYPERLINK \l "_Toc108662671" </w:instrText>
          </w:r>
          <w:r>
            <w:fldChar w:fldCharType="separate"/>
          </w:r>
          <w:r>
            <w:rPr>
              <w:rStyle w:val="115"/>
              <w:b w:val="0"/>
            </w:rPr>
            <w:t>5.6环境风险分析与评价</w:t>
          </w:r>
          <w:r>
            <w:rPr>
              <w:b w:val="0"/>
            </w:rPr>
            <w:tab/>
          </w:r>
          <w:r>
            <w:rPr>
              <w:b w:val="0"/>
            </w:rPr>
            <w:fldChar w:fldCharType="begin"/>
          </w:r>
          <w:r>
            <w:rPr>
              <w:b w:val="0"/>
            </w:rPr>
            <w:instrText xml:space="preserve"> PAGEREF _Toc108662671 \h </w:instrText>
          </w:r>
          <w:r>
            <w:rPr>
              <w:b w:val="0"/>
            </w:rPr>
            <w:fldChar w:fldCharType="separate"/>
          </w:r>
          <w:r>
            <w:rPr>
              <w:b w:val="0"/>
            </w:rPr>
            <w:t>325</w:t>
          </w:r>
          <w:r>
            <w:rPr>
              <w:b w:val="0"/>
            </w:rPr>
            <w:fldChar w:fldCharType="end"/>
          </w:r>
          <w:r>
            <w:rPr>
              <w:b w:val="0"/>
            </w:rPr>
            <w:fldChar w:fldCharType="end"/>
          </w:r>
        </w:p>
        <w:p w14:paraId="1FF371F5">
          <w:pPr>
            <w:pStyle w:val="54"/>
            <w:ind w:firstLine="482"/>
            <w:rPr>
              <w:b w:val="0"/>
              <w:bCs w:val="0"/>
              <w:sz w:val="21"/>
            </w:rPr>
          </w:pPr>
          <w:r>
            <w:fldChar w:fldCharType="begin"/>
          </w:r>
          <w:r>
            <w:instrText xml:space="preserve"> HYPERLINK \l "_Toc108662680" </w:instrText>
          </w:r>
          <w:r>
            <w:fldChar w:fldCharType="separate"/>
          </w:r>
          <w:r>
            <w:rPr>
              <w:rStyle w:val="115"/>
              <w:b w:val="0"/>
            </w:rPr>
            <w:t>5.7土壤影响分析</w:t>
          </w:r>
          <w:r>
            <w:rPr>
              <w:b w:val="0"/>
            </w:rPr>
            <w:tab/>
          </w:r>
          <w:r>
            <w:rPr>
              <w:b w:val="0"/>
            </w:rPr>
            <w:fldChar w:fldCharType="begin"/>
          </w:r>
          <w:r>
            <w:rPr>
              <w:b w:val="0"/>
            </w:rPr>
            <w:instrText xml:space="preserve"> PAGEREF _Toc108662680 \h </w:instrText>
          </w:r>
          <w:r>
            <w:rPr>
              <w:b w:val="0"/>
            </w:rPr>
            <w:fldChar w:fldCharType="separate"/>
          </w:r>
          <w:r>
            <w:rPr>
              <w:b w:val="0"/>
            </w:rPr>
            <w:t>359</w:t>
          </w:r>
          <w:r>
            <w:rPr>
              <w:b w:val="0"/>
            </w:rPr>
            <w:fldChar w:fldCharType="end"/>
          </w:r>
          <w:r>
            <w:rPr>
              <w:b w:val="0"/>
            </w:rPr>
            <w:fldChar w:fldCharType="end"/>
          </w:r>
        </w:p>
        <w:p w14:paraId="48911D26">
          <w:pPr>
            <w:pStyle w:val="54"/>
            <w:ind w:firstLine="482"/>
            <w:rPr>
              <w:b w:val="0"/>
              <w:bCs w:val="0"/>
              <w:sz w:val="21"/>
            </w:rPr>
          </w:pPr>
          <w:r>
            <w:fldChar w:fldCharType="begin"/>
          </w:r>
          <w:r>
            <w:instrText xml:space="preserve"> HYPERLINK \l "_Toc108662686" </w:instrText>
          </w:r>
          <w:r>
            <w:fldChar w:fldCharType="separate"/>
          </w:r>
          <w:r>
            <w:rPr>
              <w:rStyle w:val="115"/>
              <w:b w:val="0"/>
            </w:rPr>
            <w:t>5.8施工期环境影响分析</w:t>
          </w:r>
          <w:r>
            <w:rPr>
              <w:b w:val="0"/>
            </w:rPr>
            <w:tab/>
          </w:r>
          <w:r>
            <w:rPr>
              <w:b w:val="0"/>
            </w:rPr>
            <w:fldChar w:fldCharType="begin"/>
          </w:r>
          <w:r>
            <w:rPr>
              <w:b w:val="0"/>
            </w:rPr>
            <w:instrText xml:space="preserve"> PAGEREF _Toc108662686 \h </w:instrText>
          </w:r>
          <w:r>
            <w:rPr>
              <w:b w:val="0"/>
            </w:rPr>
            <w:fldChar w:fldCharType="separate"/>
          </w:r>
          <w:r>
            <w:rPr>
              <w:b w:val="0"/>
            </w:rPr>
            <w:t>366</w:t>
          </w:r>
          <w:r>
            <w:rPr>
              <w:b w:val="0"/>
            </w:rPr>
            <w:fldChar w:fldCharType="end"/>
          </w:r>
          <w:r>
            <w:rPr>
              <w:b w:val="0"/>
            </w:rPr>
            <w:fldChar w:fldCharType="end"/>
          </w:r>
        </w:p>
        <w:p w14:paraId="52C47A04">
          <w:pPr>
            <w:pStyle w:val="45"/>
            <w:tabs>
              <w:tab w:val="right" w:leader="dot" w:pos="9016"/>
            </w:tabs>
            <w:ind w:firstLine="0" w:firstLineChars="0"/>
            <w:rPr>
              <w:rFonts w:ascii="Times New Roman" w:hAnsi="Times New Roman"/>
              <w:b w:val="0"/>
              <w:sz w:val="21"/>
            </w:rPr>
          </w:pPr>
          <w:r>
            <w:fldChar w:fldCharType="begin"/>
          </w:r>
          <w:r>
            <w:instrText xml:space="preserve"> HYPERLINK \l "_Toc108662692" </w:instrText>
          </w:r>
          <w:r>
            <w:fldChar w:fldCharType="separate"/>
          </w:r>
          <w:r>
            <w:rPr>
              <w:rStyle w:val="115"/>
              <w:rFonts w:ascii="Times New Roman" w:hAnsi="Times New Roman"/>
              <w:b w:val="0"/>
            </w:rPr>
            <w:t>6、污染防治措施评述</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_Toc108662692 \h </w:instrText>
          </w:r>
          <w:r>
            <w:rPr>
              <w:rFonts w:ascii="Times New Roman" w:hAnsi="Times New Roman"/>
              <w:b w:val="0"/>
            </w:rPr>
            <w:fldChar w:fldCharType="separate"/>
          </w:r>
          <w:r>
            <w:rPr>
              <w:rFonts w:ascii="Times New Roman" w:hAnsi="Times New Roman"/>
              <w:b w:val="0"/>
            </w:rPr>
            <w:t>371</w:t>
          </w:r>
          <w:r>
            <w:rPr>
              <w:rFonts w:ascii="Times New Roman" w:hAnsi="Times New Roman"/>
              <w:b w:val="0"/>
            </w:rPr>
            <w:fldChar w:fldCharType="end"/>
          </w:r>
          <w:r>
            <w:rPr>
              <w:rFonts w:ascii="Times New Roman" w:hAnsi="Times New Roman"/>
              <w:b w:val="0"/>
            </w:rPr>
            <w:fldChar w:fldCharType="end"/>
          </w:r>
        </w:p>
        <w:p w14:paraId="5689D4CD">
          <w:pPr>
            <w:pStyle w:val="54"/>
            <w:ind w:firstLine="482"/>
            <w:rPr>
              <w:b w:val="0"/>
              <w:bCs w:val="0"/>
              <w:sz w:val="21"/>
            </w:rPr>
          </w:pPr>
          <w:r>
            <w:fldChar w:fldCharType="begin"/>
          </w:r>
          <w:r>
            <w:instrText xml:space="preserve"> HYPERLINK \l "_Toc108662693" </w:instrText>
          </w:r>
          <w:r>
            <w:fldChar w:fldCharType="separate"/>
          </w:r>
          <w:r>
            <w:rPr>
              <w:rStyle w:val="115"/>
              <w:b w:val="0"/>
            </w:rPr>
            <w:t>6.1废气污染防治措施评述</w:t>
          </w:r>
          <w:r>
            <w:rPr>
              <w:b w:val="0"/>
            </w:rPr>
            <w:tab/>
          </w:r>
          <w:r>
            <w:rPr>
              <w:b w:val="0"/>
            </w:rPr>
            <w:fldChar w:fldCharType="begin"/>
          </w:r>
          <w:r>
            <w:rPr>
              <w:b w:val="0"/>
            </w:rPr>
            <w:instrText xml:space="preserve"> PAGEREF _Toc108662693 \h </w:instrText>
          </w:r>
          <w:r>
            <w:rPr>
              <w:b w:val="0"/>
            </w:rPr>
            <w:fldChar w:fldCharType="separate"/>
          </w:r>
          <w:r>
            <w:rPr>
              <w:b w:val="0"/>
            </w:rPr>
            <w:t>371</w:t>
          </w:r>
          <w:r>
            <w:rPr>
              <w:b w:val="0"/>
            </w:rPr>
            <w:fldChar w:fldCharType="end"/>
          </w:r>
          <w:r>
            <w:rPr>
              <w:b w:val="0"/>
            </w:rPr>
            <w:fldChar w:fldCharType="end"/>
          </w:r>
        </w:p>
        <w:p w14:paraId="681DBEC6">
          <w:pPr>
            <w:pStyle w:val="54"/>
            <w:ind w:firstLine="482"/>
            <w:rPr>
              <w:b w:val="0"/>
              <w:bCs w:val="0"/>
              <w:sz w:val="21"/>
            </w:rPr>
          </w:pPr>
          <w:r>
            <w:fldChar w:fldCharType="begin"/>
          </w:r>
          <w:r>
            <w:instrText xml:space="preserve"> HYPERLINK \l "_Toc108662697" </w:instrText>
          </w:r>
          <w:r>
            <w:fldChar w:fldCharType="separate"/>
          </w:r>
          <w:r>
            <w:rPr>
              <w:rStyle w:val="115"/>
              <w:b w:val="0"/>
            </w:rPr>
            <w:t>6.2水污染防治措施评述</w:t>
          </w:r>
          <w:r>
            <w:rPr>
              <w:b w:val="0"/>
            </w:rPr>
            <w:tab/>
          </w:r>
          <w:r>
            <w:rPr>
              <w:b w:val="0"/>
            </w:rPr>
            <w:fldChar w:fldCharType="begin"/>
          </w:r>
          <w:r>
            <w:rPr>
              <w:b w:val="0"/>
            </w:rPr>
            <w:instrText xml:space="preserve"> PAGEREF _Toc108662697 \h </w:instrText>
          </w:r>
          <w:r>
            <w:rPr>
              <w:b w:val="0"/>
            </w:rPr>
            <w:fldChar w:fldCharType="separate"/>
          </w:r>
          <w:r>
            <w:rPr>
              <w:b w:val="0"/>
            </w:rPr>
            <w:t>379</w:t>
          </w:r>
          <w:r>
            <w:rPr>
              <w:b w:val="0"/>
            </w:rPr>
            <w:fldChar w:fldCharType="end"/>
          </w:r>
          <w:r>
            <w:rPr>
              <w:b w:val="0"/>
            </w:rPr>
            <w:fldChar w:fldCharType="end"/>
          </w:r>
        </w:p>
        <w:p w14:paraId="382EAD8E">
          <w:pPr>
            <w:pStyle w:val="54"/>
            <w:ind w:firstLine="482"/>
            <w:rPr>
              <w:b w:val="0"/>
              <w:bCs w:val="0"/>
              <w:sz w:val="21"/>
            </w:rPr>
          </w:pPr>
          <w:r>
            <w:fldChar w:fldCharType="begin"/>
          </w:r>
          <w:r>
            <w:instrText xml:space="preserve"> HYPERLINK \l "_Toc108662700" </w:instrText>
          </w:r>
          <w:r>
            <w:fldChar w:fldCharType="separate"/>
          </w:r>
          <w:r>
            <w:rPr>
              <w:rStyle w:val="115"/>
              <w:b w:val="0"/>
            </w:rPr>
            <w:t>6.3噪声治理措施</w:t>
          </w:r>
          <w:r>
            <w:rPr>
              <w:b w:val="0"/>
            </w:rPr>
            <w:tab/>
          </w:r>
          <w:r>
            <w:rPr>
              <w:b w:val="0"/>
            </w:rPr>
            <w:fldChar w:fldCharType="begin"/>
          </w:r>
          <w:r>
            <w:rPr>
              <w:b w:val="0"/>
            </w:rPr>
            <w:instrText xml:space="preserve"> PAGEREF _Toc108662700 \h </w:instrText>
          </w:r>
          <w:r>
            <w:rPr>
              <w:b w:val="0"/>
            </w:rPr>
            <w:fldChar w:fldCharType="separate"/>
          </w:r>
          <w:r>
            <w:rPr>
              <w:b w:val="0"/>
            </w:rPr>
            <w:t>385</w:t>
          </w:r>
          <w:r>
            <w:rPr>
              <w:b w:val="0"/>
            </w:rPr>
            <w:fldChar w:fldCharType="end"/>
          </w:r>
          <w:r>
            <w:rPr>
              <w:b w:val="0"/>
            </w:rPr>
            <w:fldChar w:fldCharType="end"/>
          </w:r>
        </w:p>
        <w:p w14:paraId="71C4F866">
          <w:pPr>
            <w:pStyle w:val="54"/>
            <w:ind w:firstLine="482"/>
            <w:rPr>
              <w:b w:val="0"/>
              <w:bCs w:val="0"/>
              <w:sz w:val="21"/>
            </w:rPr>
          </w:pPr>
          <w:r>
            <w:fldChar w:fldCharType="begin"/>
          </w:r>
          <w:r>
            <w:instrText xml:space="preserve"> HYPERLINK \l "_Toc108662701" </w:instrText>
          </w:r>
          <w:r>
            <w:fldChar w:fldCharType="separate"/>
          </w:r>
          <w:r>
            <w:rPr>
              <w:rStyle w:val="115"/>
              <w:b w:val="0"/>
            </w:rPr>
            <w:t>6.4固体废物防治措施</w:t>
          </w:r>
          <w:r>
            <w:rPr>
              <w:b w:val="0"/>
            </w:rPr>
            <w:tab/>
          </w:r>
          <w:r>
            <w:rPr>
              <w:b w:val="0"/>
            </w:rPr>
            <w:fldChar w:fldCharType="begin"/>
          </w:r>
          <w:r>
            <w:rPr>
              <w:b w:val="0"/>
            </w:rPr>
            <w:instrText xml:space="preserve"> PAGEREF _Toc108662701 \h </w:instrText>
          </w:r>
          <w:r>
            <w:rPr>
              <w:b w:val="0"/>
            </w:rPr>
            <w:fldChar w:fldCharType="separate"/>
          </w:r>
          <w:r>
            <w:rPr>
              <w:b w:val="0"/>
            </w:rPr>
            <w:t>386</w:t>
          </w:r>
          <w:r>
            <w:rPr>
              <w:b w:val="0"/>
            </w:rPr>
            <w:fldChar w:fldCharType="end"/>
          </w:r>
          <w:r>
            <w:rPr>
              <w:b w:val="0"/>
            </w:rPr>
            <w:fldChar w:fldCharType="end"/>
          </w:r>
        </w:p>
        <w:p w14:paraId="3A564FC4">
          <w:pPr>
            <w:pStyle w:val="54"/>
            <w:ind w:firstLine="482"/>
            <w:rPr>
              <w:b w:val="0"/>
              <w:bCs w:val="0"/>
              <w:sz w:val="21"/>
            </w:rPr>
          </w:pPr>
          <w:r>
            <w:fldChar w:fldCharType="begin"/>
          </w:r>
          <w:r>
            <w:instrText xml:space="preserve"> HYPERLINK \l "_Toc108662705" </w:instrText>
          </w:r>
          <w:r>
            <w:fldChar w:fldCharType="separate"/>
          </w:r>
          <w:r>
            <w:rPr>
              <w:rStyle w:val="115"/>
              <w:b w:val="0"/>
            </w:rPr>
            <w:t>6.5地下水污染防治措施评述</w:t>
          </w:r>
          <w:r>
            <w:rPr>
              <w:b w:val="0"/>
            </w:rPr>
            <w:tab/>
          </w:r>
          <w:r>
            <w:rPr>
              <w:b w:val="0"/>
            </w:rPr>
            <w:fldChar w:fldCharType="begin"/>
          </w:r>
          <w:r>
            <w:rPr>
              <w:b w:val="0"/>
            </w:rPr>
            <w:instrText xml:space="preserve"> PAGEREF _Toc108662705 \h </w:instrText>
          </w:r>
          <w:r>
            <w:rPr>
              <w:b w:val="0"/>
            </w:rPr>
            <w:fldChar w:fldCharType="separate"/>
          </w:r>
          <w:r>
            <w:rPr>
              <w:b w:val="0"/>
            </w:rPr>
            <w:t>389</w:t>
          </w:r>
          <w:r>
            <w:rPr>
              <w:b w:val="0"/>
            </w:rPr>
            <w:fldChar w:fldCharType="end"/>
          </w:r>
          <w:r>
            <w:rPr>
              <w:b w:val="0"/>
            </w:rPr>
            <w:fldChar w:fldCharType="end"/>
          </w:r>
        </w:p>
        <w:p w14:paraId="07F77B7D">
          <w:pPr>
            <w:pStyle w:val="54"/>
            <w:ind w:firstLine="482"/>
            <w:rPr>
              <w:b w:val="0"/>
              <w:bCs w:val="0"/>
              <w:sz w:val="21"/>
            </w:rPr>
          </w:pPr>
          <w:r>
            <w:fldChar w:fldCharType="begin"/>
          </w:r>
          <w:r>
            <w:instrText xml:space="preserve"> HYPERLINK \l "_Toc108662711" </w:instrText>
          </w:r>
          <w:r>
            <w:fldChar w:fldCharType="separate"/>
          </w:r>
          <w:r>
            <w:rPr>
              <w:rStyle w:val="115"/>
              <w:b w:val="0"/>
            </w:rPr>
            <w:t>6.6土壤污染防治措施</w:t>
          </w:r>
          <w:r>
            <w:rPr>
              <w:b w:val="0"/>
            </w:rPr>
            <w:tab/>
          </w:r>
          <w:r>
            <w:rPr>
              <w:b w:val="0"/>
            </w:rPr>
            <w:fldChar w:fldCharType="begin"/>
          </w:r>
          <w:r>
            <w:rPr>
              <w:b w:val="0"/>
            </w:rPr>
            <w:instrText xml:space="preserve"> PAGEREF _Toc108662711 \h </w:instrText>
          </w:r>
          <w:r>
            <w:rPr>
              <w:b w:val="0"/>
            </w:rPr>
            <w:fldChar w:fldCharType="separate"/>
          </w:r>
          <w:r>
            <w:rPr>
              <w:b w:val="0"/>
            </w:rPr>
            <w:t>393</w:t>
          </w:r>
          <w:r>
            <w:rPr>
              <w:b w:val="0"/>
            </w:rPr>
            <w:fldChar w:fldCharType="end"/>
          </w:r>
          <w:r>
            <w:rPr>
              <w:b w:val="0"/>
            </w:rPr>
            <w:fldChar w:fldCharType="end"/>
          </w:r>
        </w:p>
        <w:p w14:paraId="13ED3BAC">
          <w:pPr>
            <w:pStyle w:val="54"/>
            <w:ind w:firstLine="482"/>
            <w:rPr>
              <w:b w:val="0"/>
              <w:bCs w:val="0"/>
              <w:sz w:val="21"/>
            </w:rPr>
          </w:pPr>
          <w:r>
            <w:fldChar w:fldCharType="begin"/>
          </w:r>
          <w:r>
            <w:instrText xml:space="preserve"> HYPERLINK \l "_Toc108662715" </w:instrText>
          </w:r>
          <w:r>
            <w:fldChar w:fldCharType="separate"/>
          </w:r>
          <w:r>
            <w:rPr>
              <w:rStyle w:val="115"/>
              <w:b w:val="0"/>
            </w:rPr>
            <w:t>6.7环境风险防范措施</w:t>
          </w:r>
          <w:r>
            <w:rPr>
              <w:b w:val="0"/>
            </w:rPr>
            <w:tab/>
          </w:r>
          <w:r>
            <w:rPr>
              <w:b w:val="0"/>
            </w:rPr>
            <w:fldChar w:fldCharType="begin"/>
          </w:r>
          <w:r>
            <w:rPr>
              <w:b w:val="0"/>
            </w:rPr>
            <w:instrText xml:space="preserve"> PAGEREF _Toc108662715 \h </w:instrText>
          </w:r>
          <w:r>
            <w:rPr>
              <w:b w:val="0"/>
            </w:rPr>
            <w:fldChar w:fldCharType="separate"/>
          </w:r>
          <w:r>
            <w:rPr>
              <w:b w:val="0"/>
            </w:rPr>
            <w:t>395</w:t>
          </w:r>
          <w:r>
            <w:rPr>
              <w:b w:val="0"/>
            </w:rPr>
            <w:fldChar w:fldCharType="end"/>
          </w:r>
          <w:r>
            <w:rPr>
              <w:b w:val="0"/>
            </w:rPr>
            <w:fldChar w:fldCharType="end"/>
          </w:r>
        </w:p>
        <w:p w14:paraId="5815F6FF">
          <w:pPr>
            <w:pStyle w:val="54"/>
            <w:ind w:firstLine="482"/>
            <w:rPr>
              <w:b w:val="0"/>
              <w:bCs w:val="0"/>
              <w:sz w:val="21"/>
            </w:rPr>
          </w:pPr>
          <w:r>
            <w:fldChar w:fldCharType="begin"/>
          </w:r>
          <w:r>
            <w:instrText xml:space="preserve"> HYPERLINK \l "_Toc108662725" </w:instrText>
          </w:r>
          <w:r>
            <w:fldChar w:fldCharType="separate"/>
          </w:r>
          <w:r>
            <w:rPr>
              <w:rStyle w:val="115"/>
              <w:b w:val="0"/>
            </w:rPr>
            <w:t>6.8环境保护措施及项目竣工环保验收“三同时”一览表</w:t>
          </w:r>
          <w:r>
            <w:rPr>
              <w:b w:val="0"/>
            </w:rPr>
            <w:tab/>
          </w:r>
          <w:r>
            <w:rPr>
              <w:b w:val="0"/>
            </w:rPr>
            <w:fldChar w:fldCharType="begin"/>
          </w:r>
          <w:r>
            <w:rPr>
              <w:b w:val="0"/>
            </w:rPr>
            <w:instrText xml:space="preserve"> PAGEREF _Toc108662725 \h </w:instrText>
          </w:r>
          <w:r>
            <w:rPr>
              <w:b w:val="0"/>
            </w:rPr>
            <w:fldChar w:fldCharType="separate"/>
          </w:r>
          <w:r>
            <w:rPr>
              <w:b w:val="0"/>
            </w:rPr>
            <w:t>405</w:t>
          </w:r>
          <w:r>
            <w:rPr>
              <w:b w:val="0"/>
            </w:rPr>
            <w:fldChar w:fldCharType="end"/>
          </w:r>
          <w:r>
            <w:rPr>
              <w:b w:val="0"/>
            </w:rPr>
            <w:fldChar w:fldCharType="end"/>
          </w:r>
        </w:p>
        <w:p w14:paraId="5DB189C0">
          <w:pPr>
            <w:pStyle w:val="45"/>
            <w:tabs>
              <w:tab w:val="right" w:leader="dot" w:pos="9016"/>
            </w:tabs>
            <w:ind w:firstLine="0" w:firstLineChars="0"/>
            <w:rPr>
              <w:rFonts w:ascii="Times New Roman" w:hAnsi="Times New Roman"/>
              <w:b w:val="0"/>
              <w:sz w:val="21"/>
            </w:rPr>
          </w:pPr>
          <w:r>
            <w:fldChar w:fldCharType="begin"/>
          </w:r>
          <w:r>
            <w:instrText xml:space="preserve"> HYPERLINK \l "_Toc108662726" </w:instrText>
          </w:r>
          <w:r>
            <w:fldChar w:fldCharType="separate"/>
          </w:r>
          <w:r>
            <w:rPr>
              <w:rStyle w:val="115"/>
              <w:rFonts w:ascii="Times New Roman" w:hAnsi="Times New Roman"/>
              <w:b w:val="0"/>
            </w:rPr>
            <w:t>7、环境影响经济损益分析</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_Toc108662726 \h </w:instrText>
          </w:r>
          <w:r>
            <w:rPr>
              <w:rFonts w:ascii="Times New Roman" w:hAnsi="Times New Roman"/>
              <w:b w:val="0"/>
            </w:rPr>
            <w:fldChar w:fldCharType="separate"/>
          </w:r>
          <w:r>
            <w:rPr>
              <w:rFonts w:ascii="Times New Roman" w:hAnsi="Times New Roman"/>
              <w:b w:val="0"/>
            </w:rPr>
            <w:t>409</w:t>
          </w:r>
          <w:r>
            <w:rPr>
              <w:rFonts w:ascii="Times New Roman" w:hAnsi="Times New Roman"/>
              <w:b w:val="0"/>
            </w:rPr>
            <w:fldChar w:fldCharType="end"/>
          </w:r>
          <w:r>
            <w:rPr>
              <w:rFonts w:ascii="Times New Roman" w:hAnsi="Times New Roman"/>
              <w:b w:val="0"/>
            </w:rPr>
            <w:fldChar w:fldCharType="end"/>
          </w:r>
        </w:p>
        <w:p w14:paraId="7EFE60EA">
          <w:pPr>
            <w:pStyle w:val="54"/>
            <w:ind w:firstLine="482"/>
            <w:rPr>
              <w:b w:val="0"/>
              <w:bCs w:val="0"/>
              <w:sz w:val="21"/>
            </w:rPr>
          </w:pPr>
          <w:r>
            <w:fldChar w:fldCharType="begin"/>
          </w:r>
          <w:r>
            <w:instrText xml:space="preserve"> HYPERLINK \l "_Toc108662727" </w:instrText>
          </w:r>
          <w:r>
            <w:fldChar w:fldCharType="separate"/>
          </w:r>
          <w:r>
            <w:rPr>
              <w:rStyle w:val="115"/>
              <w:b w:val="0"/>
            </w:rPr>
            <w:t>7.1经济效益分析</w:t>
          </w:r>
          <w:r>
            <w:rPr>
              <w:b w:val="0"/>
            </w:rPr>
            <w:tab/>
          </w:r>
          <w:r>
            <w:rPr>
              <w:b w:val="0"/>
            </w:rPr>
            <w:fldChar w:fldCharType="begin"/>
          </w:r>
          <w:r>
            <w:rPr>
              <w:b w:val="0"/>
            </w:rPr>
            <w:instrText xml:space="preserve"> PAGEREF _Toc108662727 \h </w:instrText>
          </w:r>
          <w:r>
            <w:rPr>
              <w:b w:val="0"/>
            </w:rPr>
            <w:fldChar w:fldCharType="separate"/>
          </w:r>
          <w:r>
            <w:rPr>
              <w:b w:val="0"/>
            </w:rPr>
            <w:t>409</w:t>
          </w:r>
          <w:r>
            <w:rPr>
              <w:b w:val="0"/>
            </w:rPr>
            <w:fldChar w:fldCharType="end"/>
          </w:r>
          <w:r>
            <w:rPr>
              <w:b w:val="0"/>
            </w:rPr>
            <w:fldChar w:fldCharType="end"/>
          </w:r>
        </w:p>
        <w:p w14:paraId="7FD8ECDC">
          <w:pPr>
            <w:pStyle w:val="54"/>
            <w:ind w:firstLine="482"/>
            <w:rPr>
              <w:b w:val="0"/>
              <w:bCs w:val="0"/>
              <w:sz w:val="21"/>
            </w:rPr>
          </w:pPr>
          <w:r>
            <w:fldChar w:fldCharType="begin"/>
          </w:r>
          <w:r>
            <w:instrText xml:space="preserve"> HYPERLINK \l "_Toc108662728" </w:instrText>
          </w:r>
          <w:r>
            <w:fldChar w:fldCharType="separate"/>
          </w:r>
          <w:r>
            <w:rPr>
              <w:rStyle w:val="115"/>
              <w:b w:val="0"/>
            </w:rPr>
            <w:t>7.2社会效益分析</w:t>
          </w:r>
          <w:r>
            <w:rPr>
              <w:b w:val="0"/>
            </w:rPr>
            <w:tab/>
          </w:r>
          <w:r>
            <w:rPr>
              <w:b w:val="0"/>
            </w:rPr>
            <w:fldChar w:fldCharType="begin"/>
          </w:r>
          <w:r>
            <w:rPr>
              <w:b w:val="0"/>
            </w:rPr>
            <w:instrText xml:space="preserve"> PAGEREF _Toc108662728 \h </w:instrText>
          </w:r>
          <w:r>
            <w:rPr>
              <w:b w:val="0"/>
            </w:rPr>
            <w:fldChar w:fldCharType="separate"/>
          </w:r>
          <w:r>
            <w:rPr>
              <w:b w:val="0"/>
            </w:rPr>
            <w:t>409</w:t>
          </w:r>
          <w:r>
            <w:rPr>
              <w:b w:val="0"/>
            </w:rPr>
            <w:fldChar w:fldCharType="end"/>
          </w:r>
          <w:r>
            <w:rPr>
              <w:b w:val="0"/>
            </w:rPr>
            <w:fldChar w:fldCharType="end"/>
          </w:r>
        </w:p>
        <w:p w14:paraId="4003BDDD">
          <w:pPr>
            <w:pStyle w:val="54"/>
            <w:ind w:firstLine="482"/>
            <w:rPr>
              <w:b w:val="0"/>
              <w:bCs w:val="0"/>
              <w:sz w:val="21"/>
            </w:rPr>
          </w:pPr>
          <w:r>
            <w:fldChar w:fldCharType="begin"/>
          </w:r>
          <w:r>
            <w:instrText xml:space="preserve"> HYPERLINK \l "_Toc108662729" </w:instrText>
          </w:r>
          <w:r>
            <w:fldChar w:fldCharType="separate"/>
          </w:r>
          <w:r>
            <w:rPr>
              <w:rStyle w:val="115"/>
              <w:b w:val="0"/>
            </w:rPr>
            <w:t>7.3环境效益分析</w:t>
          </w:r>
          <w:r>
            <w:rPr>
              <w:b w:val="0"/>
            </w:rPr>
            <w:tab/>
          </w:r>
          <w:r>
            <w:rPr>
              <w:b w:val="0"/>
            </w:rPr>
            <w:fldChar w:fldCharType="begin"/>
          </w:r>
          <w:r>
            <w:rPr>
              <w:b w:val="0"/>
            </w:rPr>
            <w:instrText xml:space="preserve"> PAGEREF _Toc108662729 \h </w:instrText>
          </w:r>
          <w:r>
            <w:rPr>
              <w:b w:val="0"/>
            </w:rPr>
            <w:fldChar w:fldCharType="separate"/>
          </w:r>
          <w:r>
            <w:rPr>
              <w:b w:val="0"/>
            </w:rPr>
            <w:t>409</w:t>
          </w:r>
          <w:r>
            <w:rPr>
              <w:b w:val="0"/>
            </w:rPr>
            <w:fldChar w:fldCharType="end"/>
          </w:r>
          <w:r>
            <w:rPr>
              <w:b w:val="0"/>
            </w:rPr>
            <w:fldChar w:fldCharType="end"/>
          </w:r>
        </w:p>
        <w:p w14:paraId="0C5FE47B">
          <w:pPr>
            <w:pStyle w:val="45"/>
            <w:tabs>
              <w:tab w:val="right" w:leader="dot" w:pos="9016"/>
            </w:tabs>
            <w:ind w:firstLine="0" w:firstLineChars="0"/>
            <w:rPr>
              <w:rFonts w:ascii="Times New Roman" w:hAnsi="Times New Roman"/>
              <w:b w:val="0"/>
              <w:sz w:val="21"/>
            </w:rPr>
          </w:pPr>
          <w:r>
            <w:fldChar w:fldCharType="begin"/>
          </w:r>
          <w:r>
            <w:instrText xml:space="preserve"> HYPERLINK \l "_Toc108662732" </w:instrText>
          </w:r>
          <w:r>
            <w:fldChar w:fldCharType="separate"/>
          </w:r>
          <w:r>
            <w:rPr>
              <w:rStyle w:val="115"/>
              <w:rFonts w:ascii="Times New Roman" w:hAnsi="Times New Roman"/>
              <w:b w:val="0"/>
            </w:rPr>
            <w:t>8、环境管理与监测计划</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_Toc108662732 \h </w:instrText>
          </w:r>
          <w:r>
            <w:rPr>
              <w:rFonts w:ascii="Times New Roman" w:hAnsi="Times New Roman"/>
              <w:b w:val="0"/>
            </w:rPr>
            <w:fldChar w:fldCharType="separate"/>
          </w:r>
          <w:r>
            <w:rPr>
              <w:rFonts w:ascii="Times New Roman" w:hAnsi="Times New Roman"/>
              <w:b w:val="0"/>
            </w:rPr>
            <w:t>412</w:t>
          </w:r>
          <w:r>
            <w:rPr>
              <w:rFonts w:ascii="Times New Roman" w:hAnsi="Times New Roman"/>
              <w:b w:val="0"/>
            </w:rPr>
            <w:fldChar w:fldCharType="end"/>
          </w:r>
          <w:r>
            <w:rPr>
              <w:rFonts w:ascii="Times New Roman" w:hAnsi="Times New Roman"/>
              <w:b w:val="0"/>
            </w:rPr>
            <w:fldChar w:fldCharType="end"/>
          </w:r>
        </w:p>
        <w:p w14:paraId="55CCEAFE">
          <w:pPr>
            <w:pStyle w:val="54"/>
            <w:ind w:firstLine="482"/>
            <w:rPr>
              <w:b w:val="0"/>
              <w:bCs w:val="0"/>
              <w:sz w:val="21"/>
            </w:rPr>
          </w:pPr>
          <w:r>
            <w:fldChar w:fldCharType="begin"/>
          </w:r>
          <w:r>
            <w:instrText xml:space="preserve"> HYPERLINK \l "_Toc108662733" </w:instrText>
          </w:r>
          <w:r>
            <w:fldChar w:fldCharType="separate"/>
          </w:r>
          <w:r>
            <w:rPr>
              <w:rStyle w:val="115"/>
              <w:b w:val="0"/>
            </w:rPr>
            <w:t>8.1环境管理要求</w:t>
          </w:r>
          <w:r>
            <w:rPr>
              <w:b w:val="0"/>
            </w:rPr>
            <w:tab/>
          </w:r>
          <w:r>
            <w:rPr>
              <w:b w:val="0"/>
            </w:rPr>
            <w:fldChar w:fldCharType="begin"/>
          </w:r>
          <w:r>
            <w:rPr>
              <w:b w:val="0"/>
            </w:rPr>
            <w:instrText xml:space="preserve"> PAGEREF _Toc108662733 \h </w:instrText>
          </w:r>
          <w:r>
            <w:rPr>
              <w:b w:val="0"/>
            </w:rPr>
            <w:fldChar w:fldCharType="separate"/>
          </w:r>
          <w:r>
            <w:rPr>
              <w:b w:val="0"/>
            </w:rPr>
            <w:t>412</w:t>
          </w:r>
          <w:r>
            <w:rPr>
              <w:b w:val="0"/>
            </w:rPr>
            <w:fldChar w:fldCharType="end"/>
          </w:r>
          <w:r>
            <w:rPr>
              <w:b w:val="0"/>
            </w:rPr>
            <w:fldChar w:fldCharType="end"/>
          </w:r>
        </w:p>
        <w:p w14:paraId="79B66B30">
          <w:pPr>
            <w:pStyle w:val="54"/>
            <w:ind w:firstLine="482"/>
            <w:rPr>
              <w:b w:val="0"/>
              <w:bCs w:val="0"/>
              <w:sz w:val="21"/>
            </w:rPr>
          </w:pPr>
          <w:r>
            <w:fldChar w:fldCharType="begin"/>
          </w:r>
          <w:r>
            <w:instrText xml:space="preserve"> HYPERLINK \l "_Toc108662737" </w:instrText>
          </w:r>
          <w:r>
            <w:fldChar w:fldCharType="separate"/>
          </w:r>
          <w:r>
            <w:rPr>
              <w:rStyle w:val="115"/>
              <w:b w:val="0"/>
            </w:rPr>
            <w:t>8.2污染物排放基本情况</w:t>
          </w:r>
          <w:r>
            <w:rPr>
              <w:b w:val="0"/>
            </w:rPr>
            <w:tab/>
          </w:r>
          <w:r>
            <w:rPr>
              <w:b w:val="0"/>
            </w:rPr>
            <w:fldChar w:fldCharType="begin"/>
          </w:r>
          <w:r>
            <w:rPr>
              <w:b w:val="0"/>
            </w:rPr>
            <w:instrText xml:space="preserve"> PAGEREF _Toc108662737 \h </w:instrText>
          </w:r>
          <w:r>
            <w:rPr>
              <w:b w:val="0"/>
            </w:rPr>
            <w:fldChar w:fldCharType="separate"/>
          </w:r>
          <w:r>
            <w:rPr>
              <w:b w:val="0"/>
            </w:rPr>
            <w:t>418</w:t>
          </w:r>
          <w:r>
            <w:rPr>
              <w:b w:val="0"/>
            </w:rPr>
            <w:fldChar w:fldCharType="end"/>
          </w:r>
          <w:r>
            <w:rPr>
              <w:b w:val="0"/>
            </w:rPr>
            <w:fldChar w:fldCharType="end"/>
          </w:r>
        </w:p>
        <w:p w14:paraId="191A401A">
          <w:pPr>
            <w:pStyle w:val="54"/>
            <w:ind w:firstLine="482"/>
            <w:rPr>
              <w:b w:val="0"/>
              <w:bCs w:val="0"/>
              <w:sz w:val="21"/>
            </w:rPr>
          </w:pPr>
          <w:r>
            <w:fldChar w:fldCharType="begin"/>
          </w:r>
          <w:r>
            <w:instrText xml:space="preserve"> HYPERLINK \l "_Toc108662740" </w:instrText>
          </w:r>
          <w:r>
            <w:fldChar w:fldCharType="separate"/>
          </w:r>
          <w:r>
            <w:rPr>
              <w:rStyle w:val="115"/>
              <w:b w:val="0"/>
            </w:rPr>
            <w:t>8.3总量控制</w:t>
          </w:r>
          <w:r>
            <w:rPr>
              <w:b w:val="0"/>
            </w:rPr>
            <w:tab/>
          </w:r>
          <w:r>
            <w:rPr>
              <w:b w:val="0"/>
            </w:rPr>
            <w:fldChar w:fldCharType="begin"/>
          </w:r>
          <w:r>
            <w:rPr>
              <w:b w:val="0"/>
            </w:rPr>
            <w:instrText xml:space="preserve"> PAGEREF _Toc108662740 \h </w:instrText>
          </w:r>
          <w:r>
            <w:rPr>
              <w:b w:val="0"/>
            </w:rPr>
            <w:fldChar w:fldCharType="separate"/>
          </w:r>
          <w:r>
            <w:rPr>
              <w:b w:val="0"/>
            </w:rPr>
            <w:t>430</w:t>
          </w:r>
          <w:r>
            <w:rPr>
              <w:b w:val="0"/>
            </w:rPr>
            <w:fldChar w:fldCharType="end"/>
          </w:r>
          <w:r>
            <w:rPr>
              <w:b w:val="0"/>
            </w:rPr>
            <w:fldChar w:fldCharType="end"/>
          </w:r>
        </w:p>
        <w:p w14:paraId="69DA9925">
          <w:pPr>
            <w:pStyle w:val="54"/>
            <w:ind w:firstLine="482"/>
            <w:rPr>
              <w:b w:val="0"/>
              <w:bCs w:val="0"/>
              <w:sz w:val="21"/>
            </w:rPr>
          </w:pPr>
          <w:r>
            <w:fldChar w:fldCharType="begin"/>
          </w:r>
          <w:r>
            <w:instrText xml:space="preserve"> HYPERLINK \l "_Toc108662745" </w:instrText>
          </w:r>
          <w:r>
            <w:fldChar w:fldCharType="separate"/>
          </w:r>
          <w:r>
            <w:rPr>
              <w:rStyle w:val="115"/>
              <w:b w:val="0"/>
            </w:rPr>
            <w:t>8.4环境监测计划</w:t>
          </w:r>
          <w:r>
            <w:rPr>
              <w:b w:val="0"/>
            </w:rPr>
            <w:tab/>
          </w:r>
          <w:r>
            <w:rPr>
              <w:b w:val="0"/>
            </w:rPr>
            <w:fldChar w:fldCharType="begin"/>
          </w:r>
          <w:r>
            <w:rPr>
              <w:b w:val="0"/>
            </w:rPr>
            <w:instrText xml:space="preserve"> PAGEREF _Toc108662745 \h </w:instrText>
          </w:r>
          <w:r>
            <w:rPr>
              <w:b w:val="0"/>
            </w:rPr>
            <w:fldChar w:fldCharType="separate"/>
          </w:r>
          <w:r>
            <w:rPr>
              <w:b w:val="0"/>
            </w:rPr>
            <w:t>431</w:t>
          </w:r>
          <w:r>
            <w:rPr>
              <w:b w:val="0"/>
            </w:rPr>
            <w:fldChar w:fldCharType="end"/>
          </w:r>
          <w:r>
            <w:rPr>
              <w:b w:val="0"/>
            </w:rPr>
            <w:fldChar w:fldCharType="end"/>
          </w:r>
        </w:p>
        <w:p w14:paraId="43686847">
          <w:pPr>
            <w:pStyle w:val="54"/>
            <w:ind w:firstLine="482"/>
            <w:rPr>
              <w:b w:val="0"/>
              <w:bCs w:val="0"/>
              <w:sz w:val="21"/>
            </w:rPr>
          </w:pPr>
          <w:r>
            <w:fldChar w:fldCharType="begin"/>
          </w:r>
          <w:r>
            <w:instrText xml:space="preserve"> HYPERLINK \l "_Toc108662749" </w:instrText>
          </w:r>
          <w:r>
            <w:fldChar w:fldCharType="separate"/>
          </w:r>
          <w:r>
            <w:rPr>
              <w:rStyle w:val="115"/>
              <w:b w:val="0"/>
            </w:rPr>
            <w:t>8.5排污口规范</w:t>
          </w:r>
          <w:r>
            <w:rPr>
              <w:rStyle w:val="115"/>
              <w:b w:val="0"/>
              <w:kern w:val="0"/>
            </w:rPr>
            <w:t>化设置</w:t>
          </w:r>
          <w:r>
            <w:rPr>
              <w:b w:val="0"/>
            </w:rPr>
            <w:tab/>
          </w:r>
          <w:r>
            <w:rPr>
              <w:b w:val="0"/>
            </w:rPr>
            <w:fldChar w:fldCharType="begin"/>
          </w:r>
          <w:r>
            <w:rPr>
              <w:b w:val="0"/>
            </w:rPr>
            <w:instrText xml:space="preserve"> PAGEREF _Toc108662749 \h </w:instrText>
          </w:r>
          <w:r>
            <w:rPr>
              <w:b w:val="0"/>
            </w:rPr>
            <w:fldChar w:fldCharType="separate"/>
          </w:r>
          <w:r>
            <w:rPr>
              <w:b w:val="0"/>
            </w:rPr>
            <w:t>442</w:t>
          </w:r>
          <w:r>
            <w:rPr>
              <w:b w:val="0"/>
            </w:rPr>
            <w:fldChar w:fldCharType="end"/>
          </w:r>
          <w:r>
            <w:rPr>
              <w:b w:val="0"/>
            </w:rPr>
            <w:fldChar w:fldCharType="end"/>
          </w:r>
        </w:p>
        <w:p w14:paraId="17754124">
          <w:pPr>
            <w:pStyle w:val="45"/>
            <w:tabs>
              <w:tab w:val="right" w:leader="dot" w:pos="9016"/>
            </w:tabs>
            <w:ind w:firstLine="0" w:firstLineChars="0"/>
            <w:rPr>
              <w:rFonts w:ascii="Times New Roman" w:hAnsi="Times New Roman"/>
              <w:b w:val="0"/>
              <w:sz w:val="21"/>
            </w:rPr>
          </w:pPr>
          <w:r>
            <w:fldChar w:fldCharType="begin"/>
          </w:r>
          <w:r>
            <w:instrText xml:space="preserve"> HYPERLINK \l "_Toc108662750" </w:instrText>
          </w:r>
          <w:r>
            <w:fldChar w:fldCharType="separate"/>
          </w:r>
          <w:r>
            <w:rPr>
              <w:rStyle w:val="115"/>
              <w:rFonts w:ascii="Times New Roman" w:hAnsi="Times New Roman"/>
              <w:b w:val="0"/>
            </w:rPr>
            <w:t>9、结论与建议</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_Toc108662750 \h </w:instrText>
          </w:r>
          <w:r>
            <w:rPr>
              <w:rFonts w:ascii="Times New Roman" w:hAnsi="Times New Roman"/>
              <w:b w:val="0"/>
            </w:rPr>
            <w:fldChar w:fldCharType="separate"/>
          </w:r>
          <w:r>
            <w:rPr>
              <w:rFonts w:ascii="Times New Roman" w:hAnsi="Times New Roman"/>
              <w:b w:val="0"/>
            </w:rPr>
            <w:t>444</w:t>
          </w:r>
          <w:r>
            <w:rPr>
              <w:rFonts w:ascii="Times New Roman" w:hAnsi="Times New Roman"/>
              <w:b w:val="0"/>
            </w:rPr>
            <w:fldChar w:fldCharType="end"/>
          </w:r>
          <w:r>
            <w:rPr>
              <w:rFonts w:ascii="Times New Roman" w:hAnsi="Times New Roman"/>
              <w:b w:val="0"/>
            </w:rPr>
            <w:fldChar w:fldCharType="end"/>
          </w:r>
        </w:p>
        <w:p w14:paraId="0850B149">
          <w:pPr>
            <w:pStyle w:val="54"/>
            <w:ind w:firstLine="482"/>
            <w:rPr>
              <w:b w:val="0"/>
              <w:bCs w:val="0"/>
              <w:sz w:val="21"/>
            </w:rPr>
          </w:pPr>
          <w:r>
            <w:fldChar w:fldCharType="begin"/>
          </w:r>
          <w:r>
            <w:instrText xml:space="preserve"> HYPERLINK \l "_Toc108662751" </w:instrText>
          </w:r>
          <w:r>
            <w:fldChar w:fldCharType="separate"/>
          </w:r>
          <w:r>
            <w:rPr>
              <w:rStyle w:val="115"/>
              <w:b w:val="0"/>
            </w:rPr>
            <w:t>9.1建设项目概况</w:t>
          </w:r>
          <w:r>
            <w:rPr>
              <w:b w:val="0"/>
            </w:rPr>
            <w:tab/>
          </w:r>
          <w:r>
            <w:rPr>
              <w:b w:val="0"/>
            </w:rPr>
            <w:fldChar w:fldCharType="begin"/>
          </w:r>
          <w:r>
            <w:rPr>
              <w:b w:val="0"/>
            </w:rPr>
            <w:instrText xml:space="preserve"> PAGEREF _Toc108662751 \h </w:instrText>
          </w:r>
          <w:r>
            <w:rPr>
              <w:b w:val="0"/>
            </w:rPr>
            <w:fldChar w:fldCharType="separate"/>
          </w:r>
          <w:r>
            <w:rPr>
              <w:b w:val="0"/>
            </w:rPr>
            <w:t>444</w:t>
          </w:r>
          <w:r>
            <w:rPr>
              <w:b w:val="0"/>
            </w:rPr>
            <w:fldChar w:fldCharType="end"/>
          </w:r>
          <w:r>
            <w:rPr>
              <w:b w:val="0"/>
            </w:rPr>
            <w:fldChar w:fldCharType="end"/>
          </w:r>
        </w:p>
        <w:p w14:paraId="1AAE01A2">
          <w:pPr>
            <w:pStyle w:val="54"/>
            <w:ind w:firstLine="482"/>
            <w:rPr>
              <w:b w:val="0"/>
              <w:bCs w:val="0"/>
              <w:sz w:val="21"/>
            </w:rPr>
          </w:pPr>
          <w:r>
            <w:fldChar w:fldCharType="begin"/>
          </w:r>
          <w:r>
            <w:instrText xml:space="preserve"> HYPERLINK \l "_Toc108662752" </w:instrText>
          </w:r>
          <w:r>
            <w:fldChar w:fldCharType="separate"/>
          </w:r>
          <w:r>
            <w:rPr>
              <w:rStyle w:val="115"/>
              <w:b w:val="0"/>
            </w:rPr>
            <w:t>9.2区域环境质量现状</w:t>
          </w:r>
          <w:r>
            <w:rPr>
              <w:b w:val="0"/>
            </w:rPr>
            <w:tab/>
          </w:r>
          <w:r>
            <w:rPr>
              <w:b w:val="0"/>
            </w:rPr>
            <w:fldChar w:fldCharType="begin"/>
          </w:r>
          <w:r>
            <w:rPr>
              <w:b w:val="0"/>
            </w:rPr>
            <w:instrText xml:space="preserve"> PAGEREF _Toc108662752 \h </w:instrText>
          </w:r>
          <w:r>
            <w:rPr>
              <w:b w:val="0"/>
            </w:rPr>
            <w:fldChar w:fldCharType="separate"/>
          </w:r>
          <w:r>
            <w:rPr>
              <w:b w:val="0"/>
            </w:rPr>
            <w:t>444</w:t>
          </w:r>
          <w:r>
            <w:rPr>
              <w:b w:val="0"/>
            </w:rPr>
            <w:fldChar w:fldCharType="end"/>
          </w:r>
          <w:r>
            <w:rPr>
              <w:b w:val="0"/>
            </w:rPr>
            <w:fldChar w:fldCharType="end"/>
          </w:r>
        </w:p>
        <w:p w14:paraId="3F186370">
          <w:pPr>
            <w:pStyle w:val="54"/>
            <w:ind w:firstLine="482"/>
            <w:rPr>
              <w:b w:val="0"/>
              <w:bCs w:val="0"/>
              <w:sz w:val="21"/>
            </w:rPr>
          </w:pPr>
          <w:r>
            <w:fldChar w:fldCharType="begin"/>
          </w:r>
          <w:r>
            <w:instrText xml:space="preserve"> HYPERLINK \l "_Toc108662758" </w:instrText>
          </w:r>
          <w:r>
            <w:fldChar w:fldCharType="separate"/>
          </w:r>
          <w:r>
            <w:rPr>
              <w:rStyle w:val="115"/>
              <w:b w:val="0"/>
            </w:rPr>
            <w:t>9.3主要环境影响</w:t>
          </w:r>
          <w:r>
            <w:rPr>
              <w:b w:val="0"/>
            </w:rPr>
            <w:tab/>
          </w:r>
          <w:r>
            <w:rPr>
              <w:b w:val="0"/>
            </w:rPr>
            <w:fldChar w:fldCharType="begin"/>
          </w:r>
          <w:r>
            <w:rPr>
              <w:b w:val="0"/>
            </w:rPr>
            <w:instrText xml:space="preserve"> PAGEREF _Toc108662758 \h </w:instrText>
          </w:r>
          <w:r>
            <w:rPr>
              <w:b w:val="0"/>
            </w:rPr>
            <w:fldChar w:fldCharType="separate"/>
          </w:r>
          <w:r>
            <w:rPr>
              <w:b w:val="0"/>
            </w:rPr>
            <w:t>445</w:t>
          </w:r>
          <w:r>
            <w:rPr>
              <w:b w:val="0"/>
            </w:rPr>
            <w:fldChar w:fldCharType="end"/>
          </w:r>
          <w:r>
            <w:rPr>
              <w:b w:val="0"/>
            </w:rPr>
            <w:fldChar w:fldCharType="end"/>
          </w:r>
        </w:p>
        <w:p w14:paraId="13F2A973">
          <w:pPr>
            <w:pStyle w:val="54"/>
            <w:ind w:firstLine="482"/>
            <w:rPr>
              <w:b w:val="0"/>
              <w:bCs w:val="0"/>
              <w:sz w:val="21"/>
            </w:rPr>
          </w:pPr>
          <w:r>
            <w:fldChar w:fldCharType="begin"/>
          </w:r>
          <w:r>
            <w:instrText xml:space="preserve"> HYPERLINK \l "_Toc108662764" </w:instrText>
          </w:r>
          <w:r>
            <w:fldChar w:fldCharType="separate"/>
          </w:r>
          <w:r>
            <w:rPr>
              <w:rStyle w:val="115"/>
              <w:b w:val="0"/>
            </w:rPr>
            <w:t>9.4环境保护措施</w:t>
          </w:r>
          <w:r>
            <w:rPr>
              <w:b w:val="0"/>
            </w:rPr>
            <w:tab/>
          </w:r>
          <w:r>
            <w:rPr>
              <w:b w:val="0"/>
            </w:rPr>
            <w:fldChar w:fldCharType="begin"/>
          </w:r>
          <w:r>
            <w:rPr>
              <w:b w:val="0"/>
            </w:rPr>
            <w:instrText xml:space="preserve"> PAGEREF _Toc108662764 \h </w:instrText>
          </w:r>
          <w:r>
            <w:rPr>
              <w:b w:val="0"/>
            </w:rPr>
            <w:fldChar w:fldCharType="separate"/>
          </w:r>
          <w:r>
            <w:rPr>
              <w:b w:val="0"/>
            </w:rPr>
            <w:t>448</w:t>
          </w:r>
          <w:r>
            <w:rPr>
              <w:b w:val="0"/>
            </w:rPr>
            <w:fldChar w:fldCharType="end"/>
          </w:r>
          <w:r>
            <w:rPr>
              <w:b w:val="0"/>
            </w:rPr>
            <w:fldChar w:fldCharType="end"/>
          </w:r>
        </w:p>
        <w:p w14:paraId="1E4B9F65">
          <w:pPr>
            <w:pStyle w:val="54"/>
            <w:ind w:firstLine="482"/>
            <w:rPr>
              <w:b w:val="0"/>
              <w:bCs w:val="0"/>
              <w:sz w:val="21"/>
            </w:rPr>
          </w:pPr>
          <w:r>
            <w:fldChar w:fldCharType="begin"/>
          </w:r>
          <w:r>
            <w:instrText xml:space="preserve"> HYPERLINK \l "_Toc108662770" </w:instrText>
          </w:r>
          <w:r>
            <w:fldChar w:fldCharType="separate"/>
          </w:r>
          <w:r>
            <w:rPr>
              <w:rStyle w:val="115"/>
              <w:b w:val="0"/>
            </w:rPr>
            <w:t>9.5公众意见采纳情况</w:t>
          </w:r>
          <w:r>
            <w:rPr>
              <w:b w:val="0"/>
            </w:rPr>
            <w:tab/>
          </w:r>
          <w:r>
            <w:rPr>
              <w:b w:val="0"/>
            </w:rPr>
            <w:fldChar w:fldCharType="begin"/>
          </w:r>
          <w:r>
            <w:rPr>
              <w:b w:val="0"/>
            </w:rPr>
            <w:instrText xml:space="preserve"> PAGEREF _Toc108662770 \h </w:instrText>
          </w:r>
          <w:r>
            <w:rPr>
              <w:b w:val="0"/>
            </w:rPr>
            <w:fldChar w:fldCharType="separate"/>
          </w:r>
          <w:r>
            <w:rPr>
              <w:b w:val="0"/>
            </w:rPr>
            <w:t>450</w:t>
          </w:r>
          <w:r>
            <w:rPr>
              <w:b w:val="0"/>
            </w:rPr>
            <w:fldChar w:fldCharType="end"/>
          </w:r>
          <w:r>
            <w:rPr>
              <w:b w:val="0"/>
            </w:rPr>
            <w:fldChar w:fldCharType="end"/>
          </w:r>
        </w:p>
        <w:p w14:paraId="562EA60E">
          <w:pPr>
            <w:pStyle w:val="54"/>
            <w:ind w:firstLine="482"/>
            <w:rPr>
              <w:b w:val="0"/>
              <w:bCs w:val="0"/>
              <w:sz w:val="21"/>
            </w:rPr>
          </w:pPr>
          <w:r>
            <w:fldChar w:fldCharType="begin"/>
          </w:r>
          <w:r>
            <w:instrText xml:space="preserve"> HYPERLINK \l "_Toc108662771" </w:instrText>
          </w:r>
          <w:r>
            <w:fldChar w:fldCharType="separate"/>
          </w:r>
          <w:r>
            <w:rPr>
              <w:rStyle w:val="115"/>
              <w:b w:val="0"/>
            </w:rPr>
            <w:t>9.6总量控制</w:t>
          </w:r>
          <w:r>
            <w:rPr>
              <w:b w:val="0"/>
            </w:rPr>
            <w:tab/>
          </w:r>
          <w:r>
            <w:rPr>
              <w:b w:val="0"/>
            </w:rPr>
            <w:fldChar w:fldCharType="begin"/>
          </w:r>
          <w:r>
            <w:rPr>
              <w:b w:val="0"/>
            </w:rPr>
            <w:instrText xml:space="preserve"> PAGEREF _Toc108662771 \h </w:instrText>
          </w:r>
          <w:r>
            <w:rPr>
              <w:b w:val="0"/>
            </w:rPr>
            <w:fldChar w:fldCharType="separate"/>
          </w:r>
          <w:r>
            <w:rPr>
              <w:b w:val="0"/>
            </w:rPr>
            <w:t>450</w:t>
          </w:r>
          <w:r>
            <w:rPr>
              <w:b w:val="0"/>
            </w:rPr>
            <w:fldChar w:fldCharType="end"/>
          </w:r>
          <w:r>
            <w:rPr>
              <w:b w:val="0"/>
            </w:rPr>
            <w:fldChar w:fldCharType="end"/>
          </w:r>
        </w:p>
        <w:p w14:paraId="56A5420C">
          <w:pPr>
            <w:pStyle w:val="54"/>
            <w:ind w:firstLine="482"/>
            <w:rPr>
              <w:b w:val="0"/>
              <w:bCs w:val="0"/>
              <w:sz w:val="21"/>
            </w:rPr>
          </w:pPr>
          <w:r>
            <w:fldChar w:fldCharType="begin"/>
          </w:r>
          <w:r>
            <w:instrText xml:space="preserve"> HYPERLINK \l "_Toc108662772" </w:instrText>
          </w:r>
          <w:r>
            <w:fldChar w:fldCharType="separate"/>
          </w:r>
          <w:r>
            <w:rPr>
              <w:rStyle w:val="115"/>
              <w:b w:val="0"/>
            </w:rPr>
            <w:t>9.7评价总结论</w:t>
          </w:r>
          <w:r>
            <w:rPr>
              <w:b w:val="0"/>
            </w:rPr>
            <w:tab/>
          </w:r>
          <w:r>
            <w:rPr>
              <w:b w:val="0"/>
            </w:rPr>
            <w:fldChar w:fldCharType="begin"/>
          </w:r>
          <w:r>
            <w:rPr>
              <w:b w:val="0"/>
            </w:rPr>
            <w:instrText xml:space="preserve"> PAGEREF _Toc108662772 \h </w:instrText>
          </w:r>
          <w:r>
            <w:rPr>
              <w:b w:val="0"/>
            </w:rPr>
            <w:fldChar w:fldCharType="separate"/>
          </w:r>
          <w:r>
            <w:rPr>
              <w:b w:val="0"/>
            </w:rPr>
            <w:t>450</w:t>
          </w:r>
          <w:r>
            <w:rPr>
              <w:b w:val="0"/>
            </w:rPr>
            <w:fldChar w:fldCharType="end"/>
          </w:r>
          <w:r>
            <w:rPr>
              <w:b w:val="0"/>
            </w:rPr>
            <w:fldChar w:fldCharType="end"/>
          </w:r>
        </w:p>
        <w:p w14:paraId="5BC16482">
          <w:pPr>
            <w:ind w:firstLine="480"/>
          </w:pPr>
          <w:r>
            <w:rPr>
              <w:rFonts w:cs="Times New Roman"/>
              <w:bCs/>
              <w:lang w:val="zh-CN"/>
            </w:rPr>
            <w:fldChar w:fldCharType="end"/>
          </w:r>
        </w:p>
      </w:sdtContent>
    </w:sdt>
    <w:p w14:paraId="608EE505">
      <w:pPr>
        <w:widowControl/>
        <w:adjustRightInd/>
        <w:snapToGrid/>
        <w:spacing w:line="240" w:lineRule="auto"/>
        <w:ind w:firstLine="0" w:firstLineChars="0"/>
        <w:jc w:val="left"/>
        <w:rPr>
          <w:rFonts w:cs="Times New Roman" w:asciiTheme="minorEastAsia" w:hAnsiTheme="minorEastAsia" w:eastAsiaTheme="minorEastAsia"/>
          <w:b/>
        </w:rPr>
      </w:pPr>
    </w:p>
    <w:p w14:paraId="0E9B8694">
      <w:pPr>
        <w:widowControl/>
        <w:adjustRightInd/>
        <w:snapToGrid/>
        <w:spacing w:line="240" w:lineRule="auto"/>
        <w:ind w:firstLine="0" w:firstLineChars="0"/>
        <w:jc w:val="left"/>
        <w:rPr>
          <w:rFonts w:cs="Times New Roman" w:asciiTheme="minorEastAsia" w:hAnsiTheme="minorEastAsia" w:eastAsiaTheme="minorEastAsia"/>
          <w:b/>
        </w:rPr>
      </w:pPr>
    </w:p>
    <w:p w14:paraId="2BB5239E">
      <w:pPr>
        <w:widowControl/>
        <w:adjustRightInd/>
        <w:snapToGrid/>
        <w:spacing w:line="240" w:lineRule="auto"/>
        <w:ind w:firstLine="0" w:firstLineChars="0"/>
        <w:jc w:val="left"/>
        <w:rPr>
          <w:rFonts w:cs="Times New Roman" w:asciiTheme="minorEastAsia" w:hAnsiTheme="minorEastAsia" w:eastAsiaTheme="minorEastAsia"/>
          <w:b/>
        </w:rPr>
      </w:pPr>
    </w:p>
    <w:p w14:paraId="1061B8EA">
      <w:pPr>
        <w:widowControl/>
        <w:adjustRightInd/>
        <w:snapToGrid/>
        <w:spacing w:line="240" w:lineRule="auto"/>
        <w:ind w:firstLine="0" w:firstLineChars="0"/>
        <w:jc w:val="left"/>
        <w:rPr>
          <w:rFonts w:cs="Times New Roman" w:asciiTheme="minorEastAsia" w:hAnsiTheme="minorEastAsia" w:eastAsiaTheme="minorEastAsia"/>
          <w:b/>
        </w:rPr>
      </w:pPr>
    </w:p>
    <w:p w14:paraId="36BEF763">
      <w:pPr>
        <w:widowControl/>
        <w:adjustRightInd/>
        <w:snapToGrid/>
        <w:spacing w:line="240" w:lineRule="auto"/>
        <w:ind w:firstLine="0" w:firstLineChars="0"/>
        <w:jc w:val="left"/>
        <w:rPr>
          <w:rFonts w:cs="Times New Roman" w:asciiTheme="minorEastAsia" w:hAnsiTheme="minorEastAsia" w:eastAsiaTheme="minorEastAsia"/>
          <w:b/>
        </w:rPr>
      </w:pPr>
    </w:p>
    <w:p w14:paraId="28C619D3">
      <w:pPr>
        <w:widowControl/>
        <w:adjustRightInd/>
        <w:snapToGrid/>
        <w:spacing w:line="240" w:lineRule="auto"/>
        <w:ind w:firstLine="0" w:firstLineChars="0"/>
        <w:jc w:val="left"/>
        <w:rPr>
          <w:rFonts w:cs="Times New Roman" w:asciiTheme="minorEastAsia" w:hAnsiTheme="minorEastAsia" w:eastAsiaTheme="minorEastAsia"/>
          <w:b/>
        </w:rPr>
      </w:pPr>
      <w:r>
        <w:rPr>
          <w:rFonts w:cs="Times New Roman" w:asciiTheme="minorEastAsia" w:hAnsiTheme="minorEastAsia" w:eastAsiaTheme="minorEastAsia"/>
          <w:b/>
        </w:rPr>
        <w:t>附件：</w:t>
      </w:r>
    </w:p>
    <w:p w14:paraId="52D9731E">
      <w:pPr>
        <w:ind w:firstLine="480"/>
      </w:pPr>
      <w:r>
        <w:rPr>
          <w:rFonts w:hint="eastAsia"/>
        </w:rPr>
        <w:t>附件</w:t>
      </w:r>
      <w:r>
        <w:t>1</w:t>
      </w:r>
      <w:r>
        <w:rPr>
          <w:rFonts w:hint="eastAsia"/>
        </w:rPr>
        <w:t xml:space="preserve"> 项目备案文件及</w:t>
      </w:r>
      <w:r>
        <w:t>公司名称变更说明</w:t>
      </w:r>
      <w:r>
        <w:rPr>
          <w:rFonts w:hint="eastAsia"/>
        </w:rPr>
        <w:t>；</w:t>
      </w:r>
    </w:p>
    <w:p w14:paraId="7B2219F7">
      <w:pPr>
        <w:ind w:firstLine="480"/>
      </w:pPr>
      <w:r>
        <w:rPr>
          <w:rFonts w:hint="eastAsia"/>
        </w:rPr>
        <w:t>附件2 项目委托书；</w:t>
      </w:r>
    </w:p>
    <w:p w14:paraId="68E327C3">
      <w:pPr>
        <w:ind w:firstLine="480"/>
      </w:pPr>
      <w:r>
        <w:rPr>
          <w:rFonts w:hint="eastAsia"/>
        </w:rPr>
        <w:t>附件</w:t>
      </w:r>
      <w:r>
        <w:t>3</w:t>
      </w:r>
      <w:r>
        <w:rPr>
          <w:rFonts w:hint="eastAsia"/>
        </w:rPr>
        <w:t xml:space="preserve"> 原环评</w:t>
      </w:r>
      <w:r>
        <w:t>批复</w:t>
      </w:r>
      <w:r>
        <w:rPr>
          <w:rFonts w:hint="eastAsia"/>
        </w:rPr>
        <w:t>；</w:t>
      </w:r>
    </w:p>
    <w:p w14:paraId="6D79428C">
      <w:pPr>
        <w:ind w:firstLine="480"/>
      </w:pPr>
      <w:r>
        <w:rPr>
          <w:rFonts w:hint="eastAsia"/>
        </w:rPr>
        <w:t>附件</w:t>
      </w:r>
      <w:r>
        <w:t>4</w:t>
      </w:r>
      <w:r>
        <w:rPr>
          <w:rFonts w:hint="eastAsia"/>
        </w:rPr>
        <w:t xml:space="preserve"> 原项目阶段性竣工</w:t>
      </w:r>
      <w:r>
        <w:t>环境保护验收意见</w:t>
      </w:r>
      <w:r>
        <w:rPr>
          <w:rFonts w:hint="eastAsia"/>
        </w:rPr>
        <w:t>；</w:t>
      </w:r>
    </w:p>
    <w:p w14:paraId="5FFAE57A">
      <w:pPr>
        <w:ind w:firstLine="480"/>
      </w:pPr>
      <w:r>
        <w:rPr>
          <w:rFonts w:hint="eastAsia"/>
        </w:rPr>
        <w:t>附件</w:t>
      </w:r>
      <w:r>
        <w:t xml:space="preserve">5 </w:t>
      </w:r>
      <w:r>
        <w:rPr>
          <w:rFonts w:hint="eastAsia"/>
        </w:rPr>
        <w:t>环境</w:t>
      </w:r>
      <w:r>
        <w:t>质量</w:t>
      </w:r>
      <w:r>
        <w:rPr>
          <w:rFonts w:hint="eastAsia"/>
        </w:rPr>
        <w:t>监测报告；</w:t>
      </w:r>
    </w:p>
    <w:p w14:paraId="06889D0E">
      <w:pPr>
        <w:ind w:firstLine="480"/>
      </w:pPr>
      <w:r>
        <w:rPr>
          <w:rFonts w:hint="eastAsia"/>
        </w:rPr>
        <w:t>附件</w:t>
      </w:r>
      <w:r>
        <w:t xml:space="preserve">6 </w:t>
      </w:r>
      <w:r>
        <w:rPr>
          <w:rFonts w:hint="eastAsia"/>
        </w:rPr>
        <w:t>污水</w:t>
      </w:r>
      <w:r>
        <w:t>接管协议</w:t>
      </w:r>
      <w:r>
        <w:rPr>
          <w:rFonts w:hint="eastAsia"/>
        </w:rPr>
        <w:t>；</w:t>
      </w:r>
    </w:p>
    <w:p w14:paraId="425F6453">
      <w:pPr>
        <w:ind w:firstLine="480"/>
      </w:pPr>
      <w:r>
        <w:rPr>
          <w:rFonts w:hint="eastAsia"/>
        </w:rPr>
        <w:t>附件</w:t>
      </w:r>
      <w:r>
        <w:t xml:space="preserve">7 </w:t>
      </w:r>
      <w:r>
        <w:rPr>
          <w:rFonts w:hint="eastAsia"/>
        </w:rPr>
        <w:t>园区2021-2035规划环评审查意见；</w:t>
      </w:r>
    </w:p>
    <w:p w14:paraId="4B4C1996">
      <w:pPr>
        <w:ind w:firstLine="480"/>
      </w:pPr>
      <w:r>
        <w:rPr>
          <w:rFonts w:hint="eastAsia"/>
        </w:rPr>
        <w:t>附件</w:t>
      </w:r>
      <w:r>
        <w:t>8</w:t>
      </w:r>
      <w:r>
        <w:rPr>
          <w:rFonts w:hint="eastAsia"/>
        </w:rPr>
        <w:t xml:space="preserve"> 安徽省生态环境厅环保预审的批复；</w:t>
      </w:r>
    </w:p>
    <w:p w14:paraId="417E77DE">
      <w:pPr>
        <w:ind w:firstLine="480"/>
      </w:pPr>
      <w:r>
        <w:rPr>
          <w:rFonts w:hint="eastAsia"/>
        </w:rPr>
        <w:t>附件</w:t>
      </w:r>
      <w:r>
        <w:t xml:space="preserve">9 </w:t>
      </w:r>
      <w:r>
        <w:rPr>
          <w:rFonts w:hint="eastAsia"/>
        </w:rPr>
        <w:t>关于</w:t>
      </w:r>
      <w:r>
        <w:t>对安徽中创电子信息材料有限公司新建项目的意见</w:t>
      </w:r>
      <w:r>
        <w:rPr>
          <w:rFonts w:hint="eastAsia"/>
        </w:rPr>
        <w:t>；</w:t>
      </w:r>
    </w:p>
    <w:p w14:paraId="37898D6C">
      <w:pPr>
        <w:ind w:firstLine="480"/>
      </w:pPr>
      <w:r>
        <w:rPr>
          <w:rFonts w:hint="eastAsia"/>
        </w:rPr>
        <w:t>附件</w:t>
      </w:r>
      <w:r>
        <w:t>10</w:t>
      </w:r>
      <w:r>
        <w:rPr>
          <w:rFonts w:hint="eastAsia"/>
        </w:rPr>
        <w:t xml:space="preserve"> 企业</w:t>
      </w:r>
      <w:r>
        <w:t>突发环境事件应急预案备案表</w:t>
      </w:r>
      <w:r>
        <w:rPr>
          <w:rFonts w:hint="eastAsia"/>
        </w:rPr>
        <w:t>；</w:t>
      </w:r>
    </w:p>
    <w:p w14:paraId="19B43BA2">
      <w:pPr>
        <w:ind w:firstLine="480"/>
      </w:pPr>
      <w:r>
        <w:rPr>
          <w:rFonts w:hint="eastAsia"/>
        </w:rPr>
        <w:t>附件11声明；</w:t>
      </w:r>
    </w:p>
    <w:p w14:paraId="535E1AE8">
      <w:pPr>
        <w:ind w:firstLine="480"/>
      </w:pPr>
      <w:r>
        <w:rPr>
          <w:rFonts w:hint="eastAsia"/>
        </w:rPr>
        <w:t>附件1</w:t>
      </w:r>
      <w:r>
        <w:t>2</w:t>
      </w:r>
      <w:r>
        <w:rPr>
          <w:rFonts w:hint="eastAsia"/>
        </w:rPr>
        <w:t>合作协议</w:t>
      </w:r>
      <w:r>
        <w:t>。</w:t>
      </w:r>
    </w:p>
    <w:p w14:paraId="2BC95A77">
      <w:pPr>
        <w:spacing w:line="400" w:lineRule="exact"/>
        <w:ind w:firstLine="0" w:firstLineChars="0"/>
        <w:rPr>
          <w:rFonts w:cs="Times New Roman" w:asciiTheme="minorEastAsia" w:hAnsiTheme="minorEastAsia" w:eastAsiaTheme="minorEastAsia"/>
          <w:b/>
        </w:rPr>
      </w:pPr>
      <w:r>
        <w:rPr>
          <w:rFonts w:cs="Times New Roman" w:asciiTheme="minorEastAsia" w:hAnsiTheme="minorEastAsia" w:eastAsiaTheme="minorEastAsia"/>
          <w:b/>
        </w:rPr>
        <w:t>附图：</w:t>
      </w:r>
    </w:p>
    <w:p w14:paraId="66A04066">
      <w:pPr>
        <w:ind w:firstLine="480"/>
      </w:pPr>
      <w:r>
        <w:rPr>
          <w:rFonts w:hint="eastAsia"/>
        </w:rPr>
        <w:t>附图2.4.2-1  大气、风险评价范围及敏感目标图；</w:t>
      </w:r>
    </w:p>
    <w:p w14:paraId="65311775">
      <w:pPr>
        <w:ind w:firstLine="480"/>
      </w:pPr>
      <w:r>
        <w:rPr>
          <w:rFonts w:hint="eastAsia"/>
        </w:rPr>
        <w:t>附图2.5.</w:t>
      </w:r>
      <w:r>
        <w:t>3</w:t>
      </w:r>
      <w:r>
        <w:rPr>
          <w:rFonts w:hint="eastAsia"/>
        </w:rPr>
        <w:t>-1  本项目</w:t>
      </w:r>
      <w:r>
        <w:t>与</w:t>
      </w:r>
      <w:r>
        <w:rPr>
          <w:rFonts w:hint="eastAsia"/>
        </w:rPr>
        <w:t>蚌埠市</w:t>
      </w:r>
      <w:r>
        <w:t>生态</w:t>
      </w:r>
      <w:r>
        <w:rPr>
          <w:rFonts w:hint="eastAsia"/>
        </w:rPr>
        <w:t>保护</w:t>
      </w:r>
      <w:r>
        <w:t>红线位置关系图</w:t>
      </w:r>
      <w:r>
        <w:rPr>
          <w:rFonts w:hint="eastAsia"/>
        </w:rPr>
        <w:t>；</w:t>
      </w:r>
    </w:p>
    <w:p w14:paraId="5B4D31F7">
      <w:pPr>
        <w:ind w:firstLine="480"/>
      </w:pPr>
      <w:r>
        <w:rPr>
          <w:rFonts w:hint="eastAsia"/>
        </w:rPr>
        <w:t xml:space="preserve">附图2.5.3-2 </w:t>
      </w:r>
      <w:r>
        <w:t xml:space="preserve"> </w:t>
      </w:r>
      <w:r>
        <w:rPr>
          <w:rFonts w:hint="eastAsia"/>
        </w:rPr>
        <w:t>本项目</w:t>
      </w:r>
      <w:r>
        <w:t>与蚌埠市环境管控区位置关系图</w:t>
      </w:r>
      <w:r>
        <w:rPr>
          <w:rFonts w:hint="eastAsia"/>
        </w:rPr>
        <w:t>；</w:t>
      </w:r>
    </w:p>
    <w:p w14:paraId="275DDFAA">
      <w:pPr>
        <w:ind w:firstLine="480"/>
      </w:pPr>
      <w:r>
        <w:t>附图</w:t>
      </w:r>
      <w:r>
        <w:rPr>
          <w:rFonts w:hint="eastAsia"/>
        </w:rPr>
        <w:t>3.</w:t>
      </w:r>
      <w:r>
        <w:t>3</w:t>
      </w:r>
      <w:r>
        <w:rPr>
          <w:rFonts w:hint="eastAsia"/>
        </w:rPr>
        <w:t>.</w:t>
      </w:r>
      <w:r>
        <w:t>4-1</w:t>
      </w:r>
      <w:r>
        <w:rPr>
          <w:rFonts w:hint="eastAsia"/>
        </w:rPr>
        <w:t xml:space="preserve">  厂区平面布置图；</w:t>
      </w:r>
    </w:p>
    <w:p w14:paraId="6EBC93E9">
      <w:pPr>
        <w:ind w:firstLine="480"/>
      </w:pPr>
      <w:r>
        <w:rPr>
          <w:rFonts w:hint="eastAsia"/>
        </w:rPr>
        <w:t>附图3</w:t>
      </w:r>
      <w:r>
        <w:t xml:space="preserve">.3.4-2  </w:t>
      </w:r>
      <w:r>
        <w:rPr>
          <w:rFonts w:hint="eastAsia"/>
        </w:rPr>
        <w:t>各车间平面布置图；</w:t>
      </w:r>
    </w:p>
    <w:p w14:paraId="575A3ADF">
      <w:pPr>
        <w:ind w:firstLine="480"/>
      </w:pPr>
      <w:r>
        <w:rPr>
          <w:rFonts w:hint="eastAsia"/>
        </w:rPr>
        <w:t>附图4.1.1</w:t>
      </w:r>
      <w:r>
        <w:t xml:space="preserve">-1  </w:t>
      </w:r>
      <w:r>
        <w:rPr>
          <w:rFonts w:hint="eastAsia"/>
        </w:rPr>
        <w:t>项目</w:t>
      </w:r>
      <w:r>
        <w:t>地理位置图；</w:t>
      </w:r>
    </w:p>
    <w:p w14:paraId="3B916D1B">
      <w:pPr>
        <w:ind w:firstLine="480"/>
      </w:pPr>
      <w:r>
        <w:rPr>
          <w:rFonts w:hint="eastAsia"/>
        </w:rPr>
        <w:t>附图4.1</w:t>
      </w:r>
      <w:r>
        <w:t>.</w:t>
      </w:r>
      <w:r>
        <w:rPr>
          <w:rFonts w:hint="eastAsia"/>
        </w:rPr>
        <w:t>4-1  项目</w:t>
      </w:r>
      <w:r>
        <w:t>所在</w:t>
      </w:r>
      <w:r>
        <w:rPr>
          <w:rFonts w:hint="eastAsia"/>
        </w:rPr>
        <w:t>区域</w:t>
      </w:r>
      <w:r>
        <w:t>水系图；</w:t>
      </w:r>
    </w:p>
    <w:p w14:paraId="55137475">
      <w:pPr>
        <w:ind w:firstLine="480"/>
      </w:pPr>
      <w:r>
        <w:rPr>
          <w:rFonts w:hint="eastAsia"/>
        </w:rPr>
        <w:t xml:space="preserve">附图4.2.1-1 </w:t>
      </w:r>
      <w:r>
        <w:t xml:space="preserve"> </w:t>
      </w:r>
      <w:r>
        <w:rPr>
          <w:rFonts w:hint="eastAsia"/>
        </w:rPr>
        <w:t>大气、地表水和地下水监测点位图；</w:t>
      </w:r>
    </w:p>
    <w:p w14:paraId="66678990">
      <w:pPr>
        <w:ind w:firstLine="480"/>
      </w:pPr>
      <w:r>
        <w:rPr>
          <w:rFonts w:hint="eastAsia"/>
        </w:rPr>
        <w:t xml:space="preserve">附图4.2.3-1 </w:t>
      </w:r>
      <w:r>
        <w:t xml:space="preserve"> </w:t>
      </w:r>
      <w:r>
        <w:rPr>
          <w:rFonts w:hint="eastAsia"/>
        </w:rPr>
        <w:t>噪声、土壤监测点位图；</w:t>
      </w:r>
    </w:p>
    <w:p w14:paraId="1F81140A">
      <w:pPr>
        <w:ind w:firstLine="480"/>
      </w:pPr>
      <w:r>
        <w:rPr>
          <w:rFonts w:hint="eastAsia"/>
        </w:rPr>
        <w:t>附图5.1.8-</w:t>
      </w:r>
      <w:r>
        <w:t>1</w:t>
      </w:r>
      <w:r>
        <w:rPr>
          <w:rFonts w:hint="eastAsia"/>
        </w:rPr>
        <w:t xml:space="preserve"> </w:t>
      </w:r>
      <w:r>
        <w:t xml:space="preserve"> </w:t>
      </w:r>
      <w:r>
        <w:rPr>
          <w:rFonts w:hint="eastAsia"/>
        </w:rPr>
        <w:t>全厂环境防护距离包络线图；</w:t>
      </w:r>
    </w:p>
    <w:p w14:paraId="02D93174">
      <w:pPr>
        <w:ind w:firstLine="480"/>
      </w:pPr>
      <w:r>
        <w:rPr>
          <w:rFonts w:hint="eastAsia"/>
        </w:rPr>
        <w:t>附图6.5.3-1  全厂分区防渗图；</w:t>
      </w:r>
    </w:p>
    <w:p w14:paraId="614AED7B">
      <w:pPr>
        <w:ind w:firstLine="480"/>
      </w:pPr>
      <w:r>
        <w:rPr>
          <w:rFonts w:hint="eastAsia"/>
        </w:rPr>
        <w:t>附图6.5.</w:t>
      </w:r>
      <w:r>
        <w:t>4</w:t>
      </w:r>
      <w:r>
        <w:rPr>
          <w:rFonts w:hint="eastAsia"/>
        </w:rPr>
        <w:t>-1  地下水及土壤跟踪监测点位示意图；</w:t>
      </w:r>
    </w:p>
    <w:p w14:paraId="526F423E">
      <w:pPr>
        <w:ind w:firstLine="480"/>
      </w:pPr>
      <w:r>
        <w:rPr>
          <w:rFonts w:hint="eastAsia"/>
        </w:rPr>
        <w:t>附图6.7.</w:t>
      </w:r>
      <w:r>
        <w:t>2</w:t>
      </w:r>
      <w:r>
        <w:rPr>
          <w:rFonts w:hint="eastAsia"/>
        </w:rPr>
        <w:t>-</w:t>
      </w:r>
      <w:r>
        <w:t>2</w:t>
      </w:r>
      <w:r>
        <w:rPr>
          <w:rFonts w:hint="eastAsia"/>
        </w:rPr>
        <w:t xml:space="preserve">  全厂雨污水管网走向示意图。</w:t>
      </w:r>
    </w:p>
    <w:p w14:paraId="0DA90336">
      <w:pPr>
        <w:spacing w:line="400" w:lineRule="exact"/>
        <w:ind w:firstLine="0" w:firstLineChars="0"/>
        <w:rPr>
          <w:rFonts w:cs="Times New Roman" w:asciiTheme="minorEastAsia" w:hAnsiTheme="minorEastAsia" w:eastAsiaTheme="minorEastAsia"/>
          <w:b/>
        </w:rPr>
      </w:pPr>
      <w:r>
        <w:rPr>
          <w:rFonts w:hint="eastAsia" w:cs="Times New Roman" w:asciiTheme="minorEastAsia" w:hAnsiTheme="minorEastAsia" w:eastAsiaTheme="minorEastAsia"/>
          <w:b/>
        </w:rPr>
        <w:t>附表</w:t>
      </w:r>
      <w:r>
        <w:rPr>
          <w:rFonts w:cs="Times New Roman" w:asciiTheme="minorEastAsia" w:hAnsiTheme="minorEastAsia" w:eastAsiaTheme="minorEastAsia"/>
          <w:b/>
        </w:rPr>
        <w:t>：</w:t>
      </w:r>
    </w:p>
    <w:p w14:paraId="799F0260">
      <w:pPr>
        <w:spacing w:line="400" w:lineRule="exact"/>
        <w:ind w:firstLine="480"/>
      </w:pPr>
      <w:r>
        <w:rPr>
          <w:rFonts w:hint="eastAsia"/>
        </w:rPr>
        <w:t>建设项目环评与排污许可联动附表及附图</w:t>
      </w:r>
    </w:p>
    <w:p w14:paraId="4E1AA5DC">
      <w:pPr>
        <w:spacing w:line="400" w:lineRule="exact"/>
        <w:ind w:firstLine="480"/>
        <w:sectPr>
          <w:pgSz w:w="11906" w:h="16838"/>
          <w:pgMar w:top="1440" w:right="1440" w:bottom="1440" w:left="1440" w:header="851" w:footer="992" w:gutter="0"/>
          <w:pgNumType w:fmt="upperRoman" w:start="1"/>
          <w:cols w:space="425" w:num="1"/>
          <w:docGrid w:type="lines" w:linePitch="326" w:charSpace="0"/>
        </w:sectPr>
      </w:pPr>
    </w:p>
    <w:p w14:paraId="4C3CB131">
      <w:pPr>
        <w:pStyle w:val="4064"/>
        <w:ind w:firstLine="220" w:firstLineChars="50"/>
      </w:pPr>
      <w:bookmarkStart w:id="0" w:name="_Toc108662534"/>
      <w:r>
        <w:rPr>
          <w:rFonts w:hint="eastAsia"/>
        </w:rPr>
        <w:t>1、概述</w:t>
      </w:r>
      <w:bookmarkEnd w:id="0"/>
    </w:p>
    <w:p w14:paraId="58B17F21">
      <w:pPr>
        <w:pStyle w:val="4065"/>
      </w:pPr>
      <w:bookmarkStart w:id="1" w:name="_Toc108662535"/>
      <w:r>
        <w:rPr>
          <w:rFonts w:hint="eastAsia"/>
        </w:rPr>
        <w:t>1</w:t>
      </w:r>
      <w:r>
        <w:t>.1项目由来及特点</w:t>
      </w:r>
      <w:bookmarkEnd w:id="1"/>
    </w:p>
    <w:p w14:paraId="1754CE21">
      <w:pPr>
        <w:ind w:firstLine="480"/>
      </w:pPr>
      <w:r>
        <w:t>安徽凯盛</w:t>
      </w:r>
      <w:r>
        <w:rPr>
          <w:rFonts w:hint="eastAsia"/>
        </w:rPr>
        <w:t>应用</w:t>
      </w:r>
      <w:r>
        <w:t>材料</w:t>
      </w:r>
      <w:r>
        <w:rPr>
          <w:rFonts w:hint="eastAsia"/>
        </w:rPr>
        <w:t>有限</w:t>
      </w:r>
      <w:r>
        <w:t>公司</w:t>
      </w:r>
      <w:r>
        <w:rPr>
          <w:rFonts w:hint="eastAsia"/>
        </w:rPr>
        <w:t>（以下简称：安徽凯盛）是凯盛科技股份有限公司（以下简称：凯盛科技）2</w:t>
      </w:r>
      <w:r>
        <w:t>014年设立的子公司</w:t>
      </w:r>
      <w:r>
        <w:rPr>
          <w:rFonts w:hint="eastAsia"/>
        </w:rPr>
        <w:t>，</w:t>
      </w:r>
      <w:r>
        <w:rPr>
          <w:rFonts w:cs="Times New Roman"/>
          <w:bCs/>
          <w:szCs w:val="24"/>
        </w:rPr>
        <w:t>依托国家重点实验室的检测平台，通过多年的技术积累，引进国外先进技术和高层次科技人才团队，</w:t>
      </w:r>
      <w:r>
        <w:rPr>
          <w:rFonts w:hint="eastAsia" w:cs="Times New Roman"/>
          <w:bCs/>
          <w:szCs w:val="24"/>
        </w:rPr>
        <w:t>安徽</w:t>
      </w:r>
      <w:r>
        <w:t>凯盛</w:t>
      </w:r>
      <w:r>
        <w:rPr>
          <w:rFonts w:cs="Times New Roman"/>
          <w:bCs/>
          <w:szCs w:val="24"/>
        </w:rPr>
        <w:t>目前</w:t>
      </w:r>
      <w:r>
        <w:rPr>
          <w:rFonts w:hint="eastAsia" w:cs="Times New Roman"/>
          <w:bCs/>
          <w:szCs w:val="24"/>
        </w:rPr>
        <w:t>产品</w:t>
      </w:r>
      <w:r>
        <w:rPr>
          <w:rFonts w:cs="Times New Roman"/>
          <w:bCs/>
          <w:szCs w:val="24"/>
        </w:rPr>
        <w:t>为钛酸钡陶瓷功能材料</w:t>
      </w:r>
      <w:r>
        <w:rPr>
          <w:rFonts w:hint="eastAsia"/>
        </w:rPr>
        <w:t>。</w:t>
      </w:r>
    </w:p>
    <w:p w14:paraId="37E1DE1A">
      <w:pPr>
        <w:ind w:firstLine="480"/>
      </w:pPr>
      <w:r>
        <w:rPr>
          <w:rFonts w:hint="eastAsia"/>
        </w:rPr>
        <w:t>安徽凯盛于202</w:t>
      </w:r>
      <w:r>
        <w:t>2</w:t>
      </w:r>
      <w:r>
        <w:rPr>
          <w:rFonts w:hint="eastAsia"/>
        </w:rPr>
        <w:t>年</w:t>
      </w:r>
      <w:r>
        <w:t>5</w:t>
      </w:r>
      <w:r>
        <w:rPr>
          <w:rFonts w:hint="eastAsia"/>
        </w:rPr>
        <w:t>月4日编制完成了</w:t>
      </w:r>
      <w:r>
        <w:t>安徽凯盛</w:t>
      </w:r>
      <w:r>
        <w:rPr>
          <w:rFonts w:hint="eastAsia"/>
        </w:rPr>
        <w:t>应用</w:t>
      </w:r>
      <w:r>
        <w:t>材料</w:t>
      </w:r>
      <w:r>
        <w:rPr>
          <w:rFonts w:hint="eastAsia"/>
        </w:rPr>
        <w:t>有限</w:t>
      </w:r>
      <w:r>
        <w:t>公司</w:t>
      </w:r>
      <w:r>
        <w:rPr>
          <w:rFonts w:cs="Times New Roman"/>
          <w:bCs/>
        </w:rPr>
        <w:t>年产7000吨硅基新材料技改/扩建项目</w:t>
      </w:r>
      <w:r>
        <w:rPr>
          <w:rFonts w:hint="eastAsia" w:ascii="宋体" w:hAnsi="宋体"/>
          <w:bCs/>
        </w:rPr>
        <w:t>，并于同年</w:t>
      </w:r>
      <w:r>
        <w:t>8</w:t>
      </w:r>
      <w:r>
        <w:rPr>
          <w:rFonts w:hint="eastAsia"/>
        </w:rPr>
        <w:t>月</w:t>
      </w:r>
      <w:r>
        <w:t>29</w:t>
      </w:r>
      <w:r>
        <w:rPr>
          <w:rFonts w:hint="eastAsia"/>
        </w:rPr>
        <w:t>日取得蚌埠市生态环境局以蚌环许【2</w:t>
      </w:r>
      <w:r>
        <w:t>022</w:t>
      </w:r>
      <w:r>
        <w:rPr>
          <w:rFonts w:hint="eastAsia"/>
        </w:rPr>
        <w:t>】2</w:t>
      </w:r>
      <w:r>
        <w:t>7</w:t>
      </w:r>
      <w:r>
        <w:rPr>
          <w:rFonts w:hint="eastAsia"/>
        </w:rPr>
        <w:t>号下发的审批意见。该项目在试生产过程中发现三甲氧基硅烷合成工序流化床无法满足产品要求，需调整为反应釜；同时新增2</w:t>
      </w:r>
      <w:r>
        <w:t>500</w:t>
      </w:r>
      <w:r>
        <w:rPr>
          <w:rFonts w:hint="eastAsia"/>
        </w:rPr>
        <w:t>吨/年乙烯基三甲氧基硅烷（A-</w:t>
      </w:r>
      <w:r>
        <w:t>171</w:t>
      </w:r>
      <w:r>
        <w:rPr>
          <w:rFonts w:hint="eastAsia"/>
        </w:rPr>
        <w:t>）产品。</w:t>
      </w:r>
    </w:p>
    <w:p w14:paraId="0F8F3DF6">
      <w:pPr>
        <w:ind w:firstLine="480"/>
      </w:pPr>
      <w:r>
        <w:t>根据</w:t>
      </w:r>
      <w:r>
        <w:rPr>
          <w:rFonts w:hint="eastAsia"/>
        </w:rPr>
        <w:t>《中华人民共和国环境保护法》、《中华人民共和国环境影响评价法》和《建设项目环境保护管理条例》（国务院6</w:t>
      </w:r>
      <w:r>
        <w:t>82号令</w:t>
      </w:r>
      <w:r>
        <w:rPr>
          <w:rFonts w:hint="eastAsia"/>
        </w:rPr>
        <w:t>）的有关规定，受安徽</w:t>
      </w:r>
      <w:r>
        <w:t>凯盛</w:t>
      </w:r>
      <w:r>
        <w:rPr>
          <w:rFonts w:hint="eastAsia"/>
        </w:rPr>
        <w:t>委托，安徽世标检测技术有限公司承担“年产7000吨硅基新材料技改/扩建项目”环境影响评价工作。对照《建设项目环境影响评价分类管理名录（2021版）》，本项目属于“二十三、化学原料和化学制品制造业”中的“C</w:t>
      </w:r>
      <w:r>
        <w:t>2619 其他基础化学原料制造</w:t>
      </w:r>
      <w:r>
        <w:rPr>
          <w:rFonts w:hint="eastAsia"/>
        </w:rPr>
        <w:t>和</w:t>
      </w:r>
      <w:r>
        <w:t>C2614有机化学原料制造</w:t>
      </w:r>
      <w:r>
        <w:rPr>
          <w:rFonts w:hint="eastAsia"/>
        </w:rPr>
        <w:t>”行业，因此需要编制环境影响报告书。</w:t>
      </w:r>
      <w:r>
        <w:rPr>
          <w:rFonts w:ascii="宋体" w:hAnsi="宋体"/>
        </w:rPr>
        <w:t>为此，环评单位的技术人员对项目所在地进行了现场踏勘，调查、收集了该项目的有关资料，在此基础上，根据国家环保法规和标准及有关技术导则编制了本环境影响报告书。</w:t>
      </w:r>
    </w:p>
    <w:p w14:paraId="42810523">
      <w:pPr>
        <w:pStyle w:val="4065"/>
      </w:pPr>
      <w:bookmarkStart w:id="2" w:name="_Toc108662536"/>
      <w:r>
        <w:rPr>
          <w:rFonts w:hint="eastAsia"/>
        </w:rPr>
        <w:t>1</w:t>
      </w:r>
      <w:r>
        <w:t>.2项目特点</w:t>
      </w:r>
      <w:bookmarkEnd w:id="2"/>
    </w:p>
    <w:p w14:paraId="3F108D81">
      <w:pPr>
        <w:ind w:firstLine="480"/>
      </w:pPr>
      <w:r>
        <w:rPr>
          <w:rFonts w:hint="eastAsia"/>
        </w:rPr>
        <w:t>（1）选址要求</w:t>
      </w:r>
    </w:p>
    <w:p w14:paraId="3FF85A1B">
      <w:pPr>
        <w:ind w:firstLine="480"/>
      </w:pPr>
      <w:r>
        <w:rPr>
          <w:rFonts w:hint="eastAsia"/>
        </w:rPr>
        <w:t>本项目</w:t>
      </w:r>
      <w:r>
        <w:t>位于</w:t>
      </w:r>
      <w:r>
        <w:rPr>
          <w:rFonts w:hint="eastAsia" w:ascii="宋体" w:hAnsi="宋体"/>
        </w:rPr>
        <w:t>蚌埠精细化工高新技术产业基地</w:t>
      </w:r>
      <w:r>
        <w:rPr>
          <w:rFonts w:hint="eastAsia"/>
        </w:rPr>
        <w:t>开源大道28号</w:t>
      </w:r>
      <w:r>
        <w:rPr>
          <w:rFonts w:hint="eastAsia" w:ascii="宋体" w:hAnsi="宋体"/>
        </w:rPr>
        <w:t>，</w:t>
      </w:r>
      <w:r>
        <w:t>位于</w:t>
      </w:r>
      <w:r>
        <w:rPr>
          <w:rFonts w:hint="eastAsia"/>
        </w:rPr>
        <w:t>蚌埠精细化工高新技术产业基地</w:t>
      </w:r>
      <w:r>
        <w:t>规划范围内，</w:t>
      </w:r>
      <w:r>
        <w:rPr>
          <w:rFonts w:hint="eastAsia"/>
        </w:rPr>
        <w:t>该区域性质</w:t>
      </w:r>
      <w:r>
        <w:t>定位为以产业升级和科技创新为导向，</w:t>
      </w:r>
      <w:r>
        <w:rPr>
          <w:rFonts w:hint="eastAsia"/>
        </w:rPr>
        <w:t>以</w:t>
      </w:r>
      <w:r>
        <w:t>产城融合为路径，以精细化工</w:t>
      </w:r>
      <w:r>
        <w:rPr>
          <w:rFonts w:hint="eastAsia"/>
        </w:rPr>
        <w:t>产业</w:t>
      </w:r>
      <w:r>
        <w:t>、生物产业</w:t>
      </w:r>
      <w:r>
        <w:rPr>
          <w:rFonts w:hint="eastAsia"/>
        </w:rPr>
        <w:t>、</w:t>
      </w:r>
      <w:r>
        <w:t>新材料产业系列产品的科技研发制造为特色的创新型工业示范开发区</w:t>
      </w:r>
      <w:r>
        <w:rPr>
          <w:rFonts w:hint="eastAsia"/>
        </w:rPr>
        <w:t>。本项目扩建项目</w:t>
      </w:r>
      <w:r>
        <w:t>，属于</w:t>
      </w:r>
      <w:r>
        <w:rPr>
          <w:rFonts w:hint="eastAsia"/>
        </w:rPr>
        <w:t>精细</w:t>
      </w:r>
      <w:r>
        <w:t>化工项目</w:t>
      </w:r>
      <w:r>
        <w:rPr>
          <w:rFonts w:hint="eastAsia"/>
        </w:rPr>
        <w:t>，</w:t>
      </w:r>
      <w:r>
        <w:t>位于</w:t>
      </w:r>
      <w:r>
        <w:rPr>
          <w:rFonts w:hint="eastAsia" w:ascii="宋体" w:hAnsi="宋体"/>
        </w:rPr>
        <w:t>蚌埠精细化工高新技术产业基地精细化工</w:t>
      </w:r>
      <w:r>
        <w:rPr>
          <w:rFonts w:ascii="宋体" w:hAnsi="宋体"/>
        </w:rPr>
        <w:t>区</w:t>
      </w:r>
      <w:r>
        <w:rPr>
          <w:rFonts w:hint="eastAsia"/>
        </w:rPr>
        <w:t>，符合开发区</w:t>
      </w:r>
      <w:r>
        <w:t>产业定位</w:t>
      </w:r>
      <w:r>
        <w:rPr>
          <w:rFonts w:hint="eastAsia"/>
        </w:rPr>
        <w:t>。</w:t>
      </w:r>
    </w:p>
    <w:p w14:paraId="167A2BFE">
      <w:pPr>
        <w:pStyle w:val="4065"/>
      </w:pPr>
      <w:bookmarkStart w:id="3" w:name="_Toc108662537"/>
      <w:r>
        <w:rPr>
          <w:rFonts w:hint="eastAsia"/>
        </w:rPr>
        <w:t>1</w:t>
      </w:r>
      <w:r>
        <w:t>.3环境影响评价工作过程</w:t>
      </w:r>
      <w:bookmarkEnd w:id="3"/>
    </w:p>
    <w:p w14:paraId="555660C5">
      <w:pPr>
        <w:ind w:firstLine="480"/>
      </w:pPr>
      <w:r>
        <w:rPr>
          <w:rFonts w:ascii="宋体" w:hAnsi="宋体"/>
        </w:rPr>
        <w:t>本次评价技术路线见图</w:t>
      </w:r>
      <w:r>
        <w:t>1.3-1</w:t>
      </w:r>
      <w:r>
        <w:rPr>
          <w:rFonts w:ascii="宋体" w:hAnsi="宋体"/>
        </w:rPr>
        <w:t>。</w:t>
      </w:r>
    </w:p>
    <w:p w14:paraId="326F2A44">
      <w:pPr>
        <w:ind w:firstLine="480"/>
        <w:jc w:val="center"/>
      </w:pPr>
      <w:r>
        <w:drawing>
          <wp:inline distT="0" distB="0" distL="0" distR="0">
            <wp:extent cx="5181600" cy="64198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04446" cy="6448761"/>
                    </a:xfrm>
                    <a:prstGeom prst="rect">
                      <a:avLst/>
                    </a:prstGeom>
                    <a:noFill/>
                  </pic:spPr>
                </pic:pic>
              </a:graphicData>
            </a:graphic>
          </wp:inline>
        </w:drawing>
      </w:r>
    </w:p>
    <w:p w14:paraId="76489A28">
      <w:pPr>
        <w:pStyle w:val="278"/>
        <w:spacing w:line="240" w:lineRule="auto"/>
        <w:rPr>
          <w:rFonts w:eastAsia="宋体"/>
        </w:rPr>
      </w:pPr>
      <w:r>
        <w:t>图1.3-1  环境影响评价工作程序图</w:t>
      </w:r>
    </w:p>
    <w:p w14:paraId="2BA276E3">
      <w:pPr>
        <w:pStyle w:val="4065"/>
      </w:pPr>
      <w:bookmarkStart w:id="4" w:name="_Toc108662538"/>
      <w:r>
        <w:t>1.4分析判定相关情况</w:t>
      </w:r>
      <w:bookmarkEnd w:id="4"/>
    </w:p>
    <w:p w14:paraId="5D8B7E6B">
      <w:pPr>
        <w:pStyle w:val="4068"/>
      </w:pPr>
      <w:bookmarkStart w:id="5" w:name="_Toc101135773"/>
      <w:bookmarkStart w:id="6" w:name="_Toc108662539"/>
      <w:r>
        <w:rPr>
          <w:rFonts w:hint="eastAsia"/>
        </w:rPr>
        <w:t>1.4.1</w:t>
      </w:r>
      <w:r>
        <w:t>政策相符性</w:t>
      </w:r>
      <w:bookmarkEnd w:id="5"/>
      <w:bookmarkEnd w:id="6"/>
    </w:p>
    <w:p w14:paraId="55FF8AA9">
      <w:pPr>
        <w:ind w:firstLine="480"/>
        <w:rPr>
          <w:rFonts w:ascii="宋体" w:hAnsi="宋体" w:cs="宋体"/>
        </w:rPr>
      </w:pPr>
      <w:r>
        <w:rPr>
          <w:rFonts w:hint="eastAsia" w:ascii="宋体" w:hAnsi="宋体" w:cs="宋体"/>
        </w:rPr>
        <w:t>（1）产业政策符合性</w:t>
      </w:r>
    </w:p>
    <w:p w14:paraId="47775980">
      <w:pPr>
        <w:ind w:firstLine="480"/>
        <w:rPr>
          <w:szCs w:val="24"/>
        </w:rPr>
      </w:pPr>
      <w:r>
        <w:rPr>
          <w:rFonts w:hint="eastAsia" w:ascii="宋体" w:hAnsi="宋体" w:cs="宋体"/>
        </w:rPr>
        <w:t>对照</w:t>
      </w:r>
      <w:r>
        <w:t>《产业结构调整指导目录》（2024本）</w:t>
      </w:r>
      <w:r>
        <w:rPr>
          <w:rFonts w:hint="eastAsia" w:ascii="宋体" w:hAnsi="宋体" w:cs="宋体"/>
        </w:rPr>
        <w:t>，</w:t>
      </w:r>
      <w:r>
        <w:rPr>
          <w:rFonts w:hint="eastAsia"/>
        </w:rPr>
        <w:t>本项目不属于其中</w:t>
      </w:r>
      <w:r>
        <w:t>的</w:t>
      </w:r>
      <w:r>
        <w:rPr>
          <w:rFonts w:cs="Times New Roman"/>
        </w:rPr>
        <w:t>限制和淘汰类项目，可视为允许类。因此项目的建设符合国家产业政策</w:t>
      </w:r>
      <w:r>
        <w:t>。</w:t>
      </w:r>
    </w:p>
    <w:p w14:paraId="5573BA01">
      <w:pPr>
        <w:pStyle w:val="27"/>
        <w:ind w:firstLine="480"/>
      </w:pPr>
      <w:r>
        <w:rPr>
          <w:rFonts w:hint="eastAsia"/>
        </w:rPr>
        <w:t>（</w:t>
      </w:r>
      <w:r>
        <w:rPr>
          <w:rFonts w:ascii="Times New Roman" w:hAnsi="Times New Roman"/>
        </w:rPr>
        <w:t>2</w:t>
      </w:r>
      <w:r>
        <w:rPr>
          <w:rFonts w:hint="eastAsia"/>
        </w:rPr>
        <w:t>）其他政策相符性</w:t>
      </w:r>
    </w:p>
    <w:p w14:paraId="26497831">
      <w:pPr>
        <w:ind w:firstLine="480"/>
      </w:pP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建设</w:t>
      </w:r>
      <w:r>
        <w:rPr>
          <w:rFonts w:hint="eastAsia"/>
          <w:color w:val="000000" w:themeColor="text1"/>
          <w14:textFill>
            <w14:solidFill>
              <w14:schemeClr w14:val="tx1"/>
            </w14:solidFill>
          </w14:textFill>
        </w:rPr>
        <w:t>符合</w:t>
      </w:r>
      <w:r>
        <w:rPr>
          <w:rFonts w:hint="eastAsia"/>
          <w:color w:val="000000" w:themeColor="text1"/>
          <w:szCs w:val="24"/>
          <w14:textFill>
            <w14:solidFill>
              <w14:schemeClr w14:val="tx1"/>
            </w14:solidFill>
          </w14:textFill>
        </w:rPr>
        <w:t>《</w:t>
      </w:r>
      <w:r>
        <w:t>安徽省环保厅关于进一步明确淮河巢湖流域重污染行业项目省级环保预审范围及内容的通知</w:t>
      </w:r>
      <w:r>
        <w:rPr>
          <w:rFonts w:hint="eastAsia"/>
        </w:rPr>
        <w:t>》</w:t>
      </w:r>
      <w:r>
        <w:t>、</w:t>
      </w:r>
      <w:r>
        <w:rPr>
          <w:rFonts w:hint="eastAsia"/>
        </w:rPr>
        <w:t>《安徽省淮河流域水污染防治条例》</w:t>
      </w:r>
      <w:r>
        <w:rPr>
          <w:kern w:val="0"/>
          <w:szCs w:val="20"/>
        </w:rPr>
        <w:t>、</w:t>
      </w:r>
      <w:r>
        <w:t>《</w:t>
      </w:r>
      <w:r>
        <w:rPr>
          <w:rFonts w:hint="eastAsia"/>
        </w:rPr>
        <w:t>安徽省生态环境厅关于加强化工行业建设项目环境管理的通知</w:t>
      </w:r>
      <w:r>
        <w:t>》</w:t>
      </w:r>
      <w:r>
        <w:rPr>
          <w:rFonts w:hint="eastAsia"/>
        </w:rPr>
        <w:t>、《</w:t>
      </w:r>
      <w:r>
        <w:t>关于</w:t>
      </w:r>
      <w:r>
        <w:rPr>
          <w:rFonts w:hint="eastAsia"/>
        </w:rPr>
        <w:t>进一步规范</w:t>
      </w:r>
      <w:r>
        <w:t>化工项目建设管理的通知</w:t>
      </w:r>
      <w:r>
        <w:rPr>
          <w:rFonts w:hint="eastAsia"/>
        </w:rPr>
        <w:t>》、《重点行业挥发性有机物综合治理方案》、</w:t>
      </w:r>
      <w:r>
        <w:rPr>
          <w:rFonts w:hint="eastAsia" w:cs="Times New Roman"/>
          <w:szCs w:val="24"/>
        </w:rPr>
        <w:t>《</w:t>
      </w:r>
      <w:r>
        <w:rPr>
          <w:rFonts w:hint="eastAsia"/>
        </w:rPr>
        <w:t>安徽省节能减排及应对气候变化工作领导小组办公室</w:t>
      </w:r>
      <w:r>
        <w:rPr>
          <w:rFonts w:hint="eastAsia" w:cs="Times New Roman"/>
          <w:szCs w:val="24"/>
        </w:rPr>
        <w:t>关于印发安徽省</w:t>
      </w:r>
      <w:r>
        <w:rPr>
          <w:rFonts w:cs="Times New Roman"/>
          <w:szCs w:val="24"/>
        </w:rPr>
        <w:t>“</w:t>
      </w:r>
      <w:r>
        <w:rPr>
          <w:rFonts w:hint="eastAsia" w:cs="Times New Roman"/>
          <w:szCs w:val="24"/>
        </w:rPr>
        <w:t>两高</w:t>
      </w:r>
      <w:r>
        <w:rPr>
          <w:rFonts w:cs="Times New Roman"/>
          <w:szCs w:val="24"/>
        </w:rPr>
        <w:t>”</w:t>
      </w:r>
      <w:r>
        <w:rPr>
          <w:rFonts w:hint="eastAsia" w:cs="Times New Roman"/>
          <w:szCs w:val="24"/>
        </w:rPr>
        <w:t>项目</w:t>
      </w:r>
      <w:r>
        <w:rPr>
          <w:rFonts w:cs="Times New Roman"/>
          <w:szCs w:val="24"/>
        </w:rPr>
        <w:t>管理目录（</w:t>
      </w:r>
      <w:r>
        <w:rPr>
          <w:rFonts w:hint="eastAsia" w:cs="Times New Roman"/>
          <w:szCs w:val="24"/>
        </w:rPr>
        <w:t>试行</w:t>
      </w:r>
      <w:r>
        <w:rPr>
          <w:rFonts w:cs="Times New Roman"/>
          <w:szCs w:val="24"/>
        </w:rPr>
        <w:t>）</w:t>
      </w:r>
      <w:r>
        <w:rPr>
          <w:rFonts w:hint="eastAsia" w:cs="Times New Roman"/>
          <w:szCs w:val="24"/>
        </w:rPr>
        <w:t>通知》</w:t>
      </w:r>
      <w:r>
        <w:rPr>
          <w:rFonts w:hint="eastAsia"/>
        </w:rPr>
        <w:t>和《</w:t>
      </w:r>
      <w:r>
        <w:rPr>
          <w:rFonts w:hint="eastAsia" w:cs="Times New Roman"/>
          <w:kern w:val="0"/>
          <w:szCs w:val="20"/>
        </w:rPr>
        <w:t>关于印发蚌埠市化工园区项目准入条件（试行）的通知》</w:t>
      </w:r>
      <w:r>
        <w:rPr>
          <w:rFonts w:hint="eastAsia"/>
          <w:color w:val="000000" w:themeColor="text1"/>
          <w14:textFill>
            <w14:solidFill>
              <w14:schemeClr w14:val="tx1"/>
            </w14:solidFill>
          </w14:textFill>
        </w:rPr>
        <w:t>等相</w:t>
      </w:r>
      <w:r>
        <w:rPr>
          <w:rFonts w:hint="eastAsia"/>
        </w:rPr>
        <w:t>关政策要求。</w:t>
      </w:r>
      <w:bookmarkStart w:id="7" w:name="_Toc100783945"/>
    </w:p>
    <w:bookmarkEnd w:id="7"/>
    <w:p w14:paraId="1DB75740">
      <w:pPr>
        <w:pStyle w:val="4068"/>
      </w:pPr>
      <w:bookmarkStart w:id="8" w:name="_Toc100783946"/>
      <w:bookmarkStart w:id="9" w:name="_Toc108662540"/>
      <w:bookmarkStart w:id="10" w:name="_Toc101135774"/>
      <w:r>
        <w:rPr>
          <w:rFonts w:hint="eastAsia"/>
        </w:rPr>
        <w:t>1</w:t>
      </w:r>
      <w:r>
        <w:t>.4.2规划相符性</w:t>
      </w:r>
      <w:bookmarkEnd w:id="8"/>
      <w:bookmarkEnd w:id="9"/>
      <w:bookmarkEnd w:id="10"/>
    </w:p>
    <w:p w14:paraId="376744F6">
      <w:pPr>
        <w:ind w:firstLine="480"/>
      </w:pPr>
      <w:r>
        <w:t>项目位于</w:t>
      </w:r>
      <w:r>
        <w:rPr>
          <w:rFonts w:hint="eastAsia" w:ascii="宋体" w:hAnsi="宋体"/>
        </w:rPr>
        <w:t>蚌埠精细化工高新技术产业基地</w:t>
      </w:r>
      <w:r>
        <w:rPr>
          <w:rFonts w:hint="eastAsia"/>
        </w:rPr>
        <w:t>内，该项目为扩建项目，用地性质属于工业用地。项目建设符合《蚌埠精细化工高新技术产业基地规划（2021</w:t>
      </w:r>
      <w:r>
        <w:t>~2035</w:t>
      </w:r>
      <w:r>
        <w:rPr>
          <w:rFonts w:hint="eastAsia"/>
        </w:rPr>
        <w:t>）环境影响报告书》及审查意见中的相关要求。</w:t>
      </w:r>
    </w:p>
    <w:p w14:paraId="5B20FBAA">
      <w:pPr>
        <w:pStyle w:val="4068"/>
      </w:pPr>
      <w:bookmarkStart w:id="11" w:name="_Toc101135775"/>
      <w:bookmarkStart w:id="12" w:name="_Toc108662541"/>
      <w:bookmarkStart w:id="13" w:name="_Toc100783947"/>
      <w:r>
        <w:t>1.4.3</w:t>
      </w:r>
      <w:r>
        <w:rPr>
          <w:rFonts w:hint="eastAsia"/>
        </w:rPr>
        <w:t>“三线一单”相符性</w:t>
      </w:r>
      <w:bookmarkEnd w:id="11"/>
      <w:bookmarkEnd w:id="12"/>
      <w:bookmarkEnd w:id="13"/>
    </w:p>
    <w:p w14:paraId="00925A18">
      <w:pPr>
        <w:ind w:firstLine="480"/>
      </w:pPr>
      <w:r>
        <w:rPr>
          <w:rFonts w:hint="eastAsia" w:ascii="宋体" w:hAnsi="宋体"/>
        </w:rPr>
        <w:t>扩建项目所在区域不涉及生态红线，本项目建设不突破区域环境质量底线、资源利用上线，符合生态环境准入清单中所列的行业，符合</w:t>
      </w:r>
      <w:r>
        <w:rPr>
          <w:rFonts w:hint="eastAsia"/>
        </w:rPr>
        <w:t>“三线一单”要求。</w:t>
      </w:r>
    </w:p>
    <w:p w14:paraId="49526CD3">
      <w:pPr>
        <w:pStyle w:val="4065"/>
      </w:pPr>
      <w:bookmarkStart w:id="14" w:name="_Toc108662542"/>
      <w:r>
        <w:rPr>
          <w:rFonts w:hint="eastAsia"/>
        </w:rPr>
        <w:t>1</w:t>
      </w:r>
      <w:r>
        <w:t>.5关注的主要环境问题及环境影响</w:t>
      </w:r>
      <w:bookmarkEnd w:id="14"/>
    </w:p>
    <w:p w14:paraId="4E7DF5D2">
      <w:pPr>
        <w:ind w:firstLine="480"/>
      </w:pPr>
      <w:r>
        <w:rPr>
          <w:rFonts w:hint="eastAsia"/>
        </w:rPr>
        <w:t>根据本项目涉及的原料特点、物料转移过程及污染物敏感特征，结合厂址地区环境特点、工程特点，本项目环境影响评价工作重点关注以下几个方面的问题：</w:t>
      </w:r>
    </w:p>
    <w:p w14:paraId="4122AAAC">
      <w:pPr>
        <w:ind w:firstLine="480"/>
      </w:pPr>
      <w:r>
        <w:rPr>
          <w:rFonts w:hint="eastAsia"/>
        </w:rPr>
        <w:t>（1）本项目</w:t>
      </w:r>
      <w:r>
        <w:t>为扩建项目，</w:t>
      </w:r>
      <w:r>
        <w:rPr>
          <w:rFonts w:hint="eastAsia"/>
        </w:rPr>
        <w:t>需</w:t>
      </w:r>
      <w:r>
        <w:t>对</w:t>
      </w:r>
      <w:r>
        <w:rPr>
          <w:rFonts w:hint="eastAsia"/>
        </w:rPr>
        <w:t>现有</w:t>
      </w:r>
      <w:r>
        <w:t>工程</w:t>
      </w:r>
      <w:r>
        <w:rPr>
          <w:rFonts w:hint="eastAsia"/>
        </w:rPr>
        <w:t>环境</w:t>
      </w:r>
      <w:r>
        <w:t>问题梳理；</w:t>
      </w:r>
    </w:p>
    <w:p w14:paraId="514C59B9">
      <w:pPr>
        <w:ind w:firstLine="480"/>
        <w:rPr>
          <w:szCs w:val="28"/>
        </w:rPr>
      </w:pPr>
      <w:r>
        <w:rPr>
          <w:rFonts w:hint="eastAsia"/>
          <w:szCs w:val="28"/>
        </w:rPr>
        <w:t>（</w:t>
      </w:r>
      <w:r>
        <w:rPr>
          <w:szCs w:val="28"/>
        </w:rPr>
        <w:t>2</w:t>
      </w:r>
      <w:r>
        <w:rPr>
          <w:rFonts w:hint="eastAsia"/>
          <w:szCs w:val="28"/>
        </w:rPr>
        <w:t>）结合项目设计建设方案，对照与蚌埠精细化工高新技术产业基地相关规划及规划环评、相关国家及地方产业政策、相关行业标准要求等文件，分析扩建项目规划相符性及环境合理性；</w:t>
      </w:r>
    </w:p>
    <w:p w14:paraId="791ADF47">
      <w:pPr>
        <w:ind w:firstLine="480"/>
        <w:rPr>
          <w:szCs w:val="28"/>
        </w:rPr>
      </w:pPr>
      <w:r>
        <w:rPr>
          <w:rFonts w:hint="eastAsia"/>
          <w:szCs w:val="28"/>
        </w:rPr>
        <w:t>（</w:t>
      </w:r>
      <w:r>
        <w:rPr>
          <w:szCs w:val="28"/>
        </w:rPr>
        <w:t>3</w:t>
      </w:r>
      <w:r>
        <w:rPr>
          <w:rFonts w:hint="eastAsia"/>
          <w:szCs w:val="28"/>
        </w:rPr>
        <w:t>）根据项目设计方案，估算本项目建成运行后，可能排放的污染物的种类和数量，重点关注各类废气和危险废物，预测项目废气污染物可能对区域环境质量造成的不利影响，分析厂内危险废物暂存和委托处置措施。并结合区域的环境功能区划和环境质量现状，从环境影响评价角度分析项目建设的可行性；</w:t>
      </w:r>
    </w:p>
    <w:p w14:paraId="16F4952A">
      <w:pPr>
        <w:ind w:firstLine="480"/>
        <w:rPr>
          <w:szCs w:val="28"/>
        </w:rPr>
      </w:pPr>
      <w:r>
        <w:rPr>
          <w:rFonts w:hint="eastAsia"/>
          <w:szCs w:val="28"/>
        </w:rPr>
        <w:t>（</w:t>
      </w:r>
      <w:r>
        <w:rPr>
          <w:szCs w:val="28"/>
        </w:rPr>
        <w:t>4</w:t>
      </w:r>
      <w:r>
        <w:rPr>
          <w:rFonts w:hint="eastAsia"/>
          <w:szCs w:val="28"/>
        </w:rPr>
        <w:t>）根据项目设计方案，估算本项目废水产生情况，合理选择废水处理方案，确保采取的废水处理方案切实可行，能使废水稳定达标，项目结合蚌埠精细化工高新技术产业基地规划环评要求，分析项目废水接管沫河口污水处理厂的可行性；根据设计方案，估算项目废气种类、浓度等情况，选择合理的废气收集、处理方案，根据《挥发性有机物无组织排放控制标准（GB 37822-2019）》及相关行业标准要求，加强运输、转移、储存、使用、生产等全过程的无组织废气收集，并在建成运行后加强企业内部废气收集、处理设备管理；</w:t>
      </w:r>
    </w:p>
    <w:p w14:paraId="400B352A">
      <w:pPr>
        <w:ind w:firstLine="480"/>
        <w:rPr>
          <w:szCs w:val="28"/>
        </w:rPr>
      </w:pPr>
      <w:r>
        <w:rPr>
          <w:rFonts w:hint="eastAsia"/>
          <w:szCs w:val="28"/>
        </w:rPr>
        <w:t>（</w:t>
      </w:r>
      <w:r>
        <w:rPr>
          <w:szCs w:val="28"/>
        </w:rPr>
        <w:t>5</w:t>
      </w:r>
      <w:r>
        <w:rPr>
          <w:rFonts w:hint="eastAsia"/>
          <w:szCs w:val="28"/>
        </w:rPr>
        <w:t>）项目建成后，应重点对各反应釜、储罐区等可能发生泄漏、火灾、爆炸的危险工艺装置、危险物质储罐进行环境风险分析，提出有效的环境风险防范措施；</w:t>
      </w:r>
    </w:p>
    <w:p w14:paraId="09035BFC">
      <w:pPr>
        <w:ind w:firstLine="480"/>
        <w:rPr>
          <w:szCs w:val="28"/>
        </w:rPr>
      </w:pPr>
      <w:r>
        <w:rPr>
          <w:rFonts w:hint="eastAsia"/>
          <w:szCs w:val="28"/>
        </w:rPr>
        <w:t>（</w:t>
      </w:r>
      <w:r>
        <w:rPr>
          <w:szCs w:val="28"/>
        </w:rPr>
        <w:t>6</w:t>
      </w:r>
      <w:r>
        <w:rPr>
          <w:rFonts w:hint="eastAsia"/>
          <w:szCs w:val="28"/>
        </w:rPr>
        <w:t>）项目建成后需关注排放的污染物能否满足总量控制要求；</w:t>
      </w:r>
    </w:p>
    <w:p w14:paraId="60EC9036">
      <w:pPr>
        <w:ind w:firstLine="480"/>
        <w:rPr>
          <w:szCs w:val="28"/>
        </w:rPr>
      </w:pPr>
      <w:r>
        <w:rPr>
          <w:rFonts w:hint="eastAsia"/>
          <w:szCs w:val="28"/>
        </w:rPr>
        <w:t>（</w:t>
      </w:r>
      <w:r>
        <w:rPr>
          <w:szCs w:val="28"/>
        </w:rPr>
        <w:t>7</w:t>
      </w:r>
      <w:r>
        <w:rPr>
          <w:rFonts w:hint="eastAsia"/>
          <w:szCs w:val="28"/>
        </w:rPr>
        <w:t>）项目建成运行后需加强全厂管理，关注对周边敏感点的影响。</w:t>
      </w:r>
    </w:p>
    <w:p w14:paraId="5624CC99">
      <w:pPr>
        <w:pStyle w:val="4065"/>
      </w:pPr>
      <w:bookmarkStart w:id="15" w:name="_Toc108662543"/>
      <w:r>
        <w:rPr>
          <w:rFonts w:hint="eastAsia"/>
        </w:rPr>
        <w:t>1</w:t>
      </w:r>
      <w:r>
        <w:t>.6报告书的主要结论</w:t>
      </w:r>
      <w:bookmarkEnd w:id="15"/>
    </w:p>
    <w:p w14:paraId="66534CDA">
      <w:pPr>
        <w:ind w:firstLine="480"/>
      </w:pPr>
      <w:r>
        <w:rPr>
          <w:rFonts w:hint="eastAsia"/>
        </w:rPr>
        <w:t>环评单位通过调查、分析和综合评价后认为：拟建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对环境的影响可接受；通过采取有针对性的风险防范措施并落实应急预案，项目的环境风险可控。建设单位按照《环境影响评价公众参与办法》开展了公众参与调查，公示期间未收到反馈意见。综上所述，在落实本报告书中的各项环保措施以及各级环保主管部门管理要求的前提下，从环保角度分析，拟建项目的建设具有环境可行性。</w:t>
      </w:r>
    </w:p>
    <w:p w14:paraId="33ECEF80">
      <w:pPr>
        <w:pStyle w:val="4064"/>
        <w:sectPr>
          <w:pgSz w:w="11906" w:h="16838"/>
          <w:pgMar w:top="1440" w:right="1440" w:bottom="1440" w:left="1440" w:header="851" w:footer="992" w:gutter="0"/>
          <w:pgNumType w:start="1"/>
          <w:cols w:space="425" w:num="1"/>
          <w:docGrid w:type="lines" w:linePitch="326" w:charSpace="0"/>
        </w:sectPr>
      </w:pPr>
    </w:p>
    <w:p w14:paraId="49C5B7D5">
      <w:pPr>
        <w:pStyle w:val="4064"/>
      </w:pPr>
      <w:bookmarkStart w:id="16" w:name="_Toc108662544"/>
      <w:r>
        <w:rPr>
          <w:rFonts w:hint="eastAsia"/>
        </w:rPr>
        <w:t>2</w:t>
      </w:r>
      <w:r>
        <w:rPr>
          <w:rFonts w:hint="eastAsia" w:ascii="黑体" w:hAnsi="黑体"/>
        </w:rPr>
        <w:t>、</w:t>
      </w:r>
      <w:r>
        <w:rPr>
          <w:rFonts w:ascii="黑体" w:hAnsi="黑体"/>
        </w:rPr>
        <w:t>总则</w:t>
      </w:r>
      <w:bookmarkEnd w:id="16"/>
    </w:p>
    <w:p w14:paraId="412A3953">
      <w:pPr>
        <w:pStyle w:val="4065"/>
      </w:pPr>
      <w:bookmarkStart w:id="17" w:name="_Toc108662545"/>
      <w:r>
        <w:rPr>
          <w:rFonts w:hint="eastAsia"/>
        </w:rPr>
        <w:t>2</w:t>
      </w:r>
      <w:r>
        <w:t>.1</w:t>
      </w:r>
      <w:r>
        <w:rPr>
          <w:rFonts w:ascii="黑体" w:hAnsi="黑体"/>
        </w:rPr>
        <w:t>编制依据</w:t>
      </w:r>
      <w:bookmarkEnd w:id="17"/>
    </w:p>
    <w:p w14:paraId="0BE601EB">
      <w:pPr>
        <w:spacing w:before="240" w:after="120"/>
        <w:ind w:firstLine="0" w:firstLineChars="0"/>
        <w:jc w:val="left"/>
        <w:outlineLvl w:val="2"/>
        <w:rPr>
          <w:rFonts w:eastAsia="黑体"/>
          <w:sz w:val="28"/>
          <w:szCs w:val="28"/>
        </w:rPr>
      </w:pPr>
      <w:bookmarkStart w:id="18" w:name="_Toc108662546"/>
      <w:bookmarkStart w:id="19" w:name="_Toc100783952"/>
      <w:bookmarkStart w:id="20" w:name="_Toc101135780"/>
      <w:r>
        <w:rPr>
          <w:rFonts w:eastAsia="黑体"/>
          <w:sz w:val="28"/>
          <w:szCs w:val="28"/>
        </w:rPr>
        <w:t>2.1.1</w:t>
      </w:r>
      <w:r>
        <w:rPr>
          <w:rFonts w:hint="eastAsia" w:ascii="黑体" w:hAnsi="黑体" w:eastAsia="黑体"/>
          <w:sz w:val="28"/>
          <w:szCs w:val="28"/>
        </w:rPr>
        <w:t>国家有关法律、法规</w:t>
      </w:r>
      <w:bookmarkEnd w:id="18"/>
      <w:bookmarkEnd w:id="19"/>
      <w:bookmarkEnd w:id="20"/>
    </w:p>
    <w:p w14:paraId="11E442E8">
      <w:pPr>
        <w:ind w:firstLine="480"/>
        <w:rPr>
          <w:szCs w:val="24"/>
        </w:rPr>
      </w:pPr>
      <w:r>
        <w:rPr>
          <w:rFonts w:hint="eastAsia" w:ascii="宋体" w:hAnsi="宋体"/>
        </w:rPr>
        <w:t>（</w:t>
      </w:r>
      <w:r>
        <w:t>1</w:t>
      </w:r>
      <w:r>
        <w:rPr>
          <w:rFonts w:hint="eastAsia" w:ascii="宋体" w:hAnsi="宋体"/>
        </w:rPr>
        <w:t>）《中华人民共和国环境保护法》（</w:t>
      </w:r>
      <w:r>
        <w:t>2015</w:t>
      </w:r>
      <w:r>
        <w:rPr>
          <w:rFonts w:hint="eastAsia" w:ascii="宋体" w:hAnsi="宋体"/>
        </w:rPr>
        <w:t>年</w:t>
      </w:r>
      <w:r>
        <w:t>1</w:t>
      </w:r>
      <w:r>
        <w:rPr>
          <w:rFonts w:hint="eastAsia" w:ascii="宋体" w:hAnsi="宋体"/>
        </w:rPr>
        <w:t>月</w:t>
      </w:r>
      <w:r>
        <w:t>1</w:t>
      </w:r>
      <w:r>
        <w:rPr>
          <w:rFonts w:hint="eastAsia" w:ascii="宋体" w:hAnsi="宋体"/>
        </w:rPr>
        <w:t>日施行）；</w:t>
      </w:r>
    </w:p>
    <w:p w14:paraId="7CE76A09">
      <w:pPr>
        <w:ind w:firstLine="480"/>
      </w:pPr>
      <w:r>
        <w:rPr>
          <w:rFonts w:hint="eastAsia" w:ascii="宋体" w:hAnsi="宋体"/>
        </w:rPr>
        <w:t>（</w:t>
      </w:r>
      <w:r>
        <w:t>2</w:t>
      </w:r>
      <w:r>
        <w:rPr>
          <w:rFonts w:hint="eastAsia" w:ascii="宋体" w:hAnsi="宋体"/>
        </w:rPr>
        <w:t>）《中华人民共和国环境影响评价法》（</w:t>
      </w:r>
      <w:r>
        <w:t>2018</w:t>
      </w:r>
      <w:r>
        <w:rPr>
          <w:rFonts w:hint="eastAsia" w:ascii="宋体" w:hAnsi="宋体"/>
        </w:rPr>
        <w:t>年</w:t>
      </w:r>
      <w:r>
        <w:t>12</w:t>
      </w:r>
      <w:r>
        <w:rPr>
          <w:rFonts w:hint="eastAsia" w:ascii="宋体" w:hAnsi="宋体"/>
        </w:rPr>
        <w:t>月</w:t>
      </w:r>
      <w:r>
        <w:t>29</w:t>
      </w:r>
      <w:r>
        <w:rPr>
          <w:rFonts w:hint="eastAsia" w:ascii="宋体" w:hAnsi="宋体"/>
        </w:rPr>
        <w:t>日修订）；</w:t>
      </w:r>
    </w:p>
    <w:p w14:paraId="54DBDE78">
      <w:pPr>
        <w:ind w:firstLine="480"/>
      </w:pPr>
      <w:r>
        <w:rPr>
          <w:rFonts w:hint="eastAsia" w:ascii="宋体" w:hAnsi="宋体"/>
        </w:rPr>
        <w:t>（</w:t>
      </w:r>
      <w:r>
        <w:t>3</w:t>
      </w:r>
      <w:r>
        <w:rPr>
          <w:rFonts w:hint="eastAsia" w:ascii="宋体" w:hAnsi="宋体"/>
        </w:rPr>
        <w:t>）《中华人民共和国大气污染防治法》（</w:t>
      </w:r>
      <w:r>
        <w:t>2018</w:t>
      </w:r>
      <w:r>
        <w:rPr>
          <w:rFonts w:hint="eastAsia" w:ascii="宋体" w:hAnsi="宋体"/>
        </w:rPr>
        <w:t>年</w:t>
      </w:r>
      <w:r>
        <w:t>10</w:t>
      </w:r>
      <w:r>
        <w:rPr>
          <w:rFonts w:hint="eastAsia" w:ascii="宋体" w:hAnsi="宋体"/>
        </w:rPr>
        <w:t>月</w:t>
      </w:r>
      <w:r>
        <w:t>26</w:t>
      </w:r>
      <w:r>
        <w:rPr>
          <w:rFonts w:hint="eastAsia" w:ascii="宋体" w:hAnsi="宋体"/>
        </w:rPr>
        <w:t>日修正）；</w:t>
      </w:r>
    </w:p>
    <w:p w14:paraId="11F27D89">
      <w:pPr>
        <w:ind w:firstLine="480"/>
      </w:pPr>
      <w:r>
        <w:rPr>
          <w:rFonts w:hint="eastAsia" w:ascii="宋体" w:hAnsi="宋体"/>
        </w:rPr>
        <w:t>（</w:t>
      </w:r>
      <w:r>
        <w:t>4</w:t>
      </w:r>
      <w:r>
        <w:rPr>
          <w:rFonts w:hint="eastAsia" w:ascii="宋体" w:hAnsi="宋体"/>
        </w:rPr>
        <w:t>）《中华人民共和国水污染防治法》（</w:t>
      </w:r>
      <w:r>
        <w:t>2018</w:t>
      </w:r>
      <w:r>
        <w:rPr>
          <w:rFonts w:hint="eastAsia" w:ascii="宋体" w:hAnsi="宋体"/>
        </w:rPr>
        <w:t>年</w:t>
      </w:r>
      <w:r>
        <w:rPr>
          <w:rFonts w:hint="eastAsia"/>
        </w:rPr>
        <w:t>1</w:t>
      </w:r>
      <w:r>
        <w:rPr>
          <w:rFonts w:hint="eastAsia" w:ascii="宋体" w:hAnsi="宋体"/>
        </w:rPr>
        <w:t>月</w:t>
      </w:r>
      <w:r>
        <w:t>1</w:t>
      </w:r>
      <w:r>
        <w:rPr>
          <w:rFonts w:hint="eastAsia" w:ascii="宋体" w:hAnsi="宋体"/>
        </w:rPr>
        <w:t>日施行）；</w:t>
      </w:r>
    </w:p>
    <w:p w14:paraId="1EC69F61">
      <w:pPr>
        <w:ind w:firstLine="480"/>
      </w:pPr>
      <w:r>
        <w:rPr>
          <w:rFonts w:hint="eastAsia" w:ascii="宋体" w:hAnsi="宋体"/>
        </w:rPr>
        <w:t>（</w:t>
      </w:r>
      <w:r>
        <w:t>5</w:t>
      </w:r>
      <w:r>
        <w:rPr>
          <w:rFonts w:hint="eastAsia" w:ascii="宋体" w:hAnsi="宋体"/>
        </w:rPr>
        <w:t>）《中华人民共和国固体废物污染环境防治法》（</w:t>
      </w:r>
      <w:r>
        <w:t>2020</w:t>
      </w:r>
      <w:r>
        <w:rPr>
          <w:rFonts w:hint="eastAsia" w:ascii="宋体" w:hAnsi="宋体"/>
        </w:rPr>
        <w:t>年</w:t>
      </w:r>
      <w:r>
        <w:t>9</w:t>
      </w:r>
      <w:r>
        <w:rPr>
          <w:rFonts w:hint="eastAsia" w:ascii="宋体" w:hAnsi="宋体"/>
        </w:rPr>
        <w:t>月</w:t>
      </w:r>
      <w:r>
        <w:t>1</w:t>
      </w:r>
      <w:r>
        <w:rPr>
          <w:rFonts w:hint="eastAsia" w:ascii="宋体" w:hAnsi="宋体"/>
        </w:rPr>
        <w:t>日施行）；</w:t>
      </w:r>
    </w:p>
    <w:p w14:paraId="44DCFEF7">
      <w:pPr>
        <w:ind w:firstLine="480"/>
      </w:pPr>
      <w:r>
        <w:rPr>
          <w:rFonts w:hint="eastAsia" w:ascii="宋体" w:hAnsi="宋体"/>
        </w:rPr>
        <w:t>（</w:t>
      </w:r>
      <w:r>
        <w:rPr>
          <w:rFonts w:hint="eastAsia"/>
        </w:rPr>
        <w:t>6</w:t>
      </w:r>
      <w:r>
        <w:rPr>
          <w:rFonts w:hint="eastAsia" w:ascii="宋体" w:hAnsi="宋体"/>
        </w:rPr>
        <w:t>）《中华人民共和国土壤污染防治法》（</w:t>
      </w:r>
      <w:r>
        <w:t>2019</w:t>
      </w:r>
      <w:r>
        <w:rPr>
          <w:rFonts w:hint="eastAsia" w:ascii="宋体" w:hAnsi="宋体"/>
        </w:rPr>
        <w:t>年</w:t>
      </w:r>
      <w:r>
        <w:t>1</w:t>
      </w:r>
      <w:r>
        <w:rPr>
          <w:rFonts w:hint="eastAsia" w:ascii="宋体" w:hAnsi="宋体"/>
        </w:rPr>
        <w:t>月</w:t>
      </w:r>
      <w:r>
        <w:t>1</w:t>
      </w:r>
      <w:r>
        <w:rPr>
          <w:rFonts w:hint="eastAsia" w:ascii="宋体" w:hAnsi="宋体"/>
        </w:rPr>
        <w:t>日施行）；</w:t>
      </w:r>
    </w:p>
    <w:p w14:paraId="6D2E2271">
      <w:pPr>
        <w:ind w:firstLine="480"/>
      </w:pPr>
      <w:r>
        <w:rPr>
          <w:rFonts w:hint="eastAsia" w:ascii="宋体" w:hAnsi="宋体"/>
        </w:rPr>
        <w:t>（</w:t>
      </w:r>
      <w:r>
        <w:t>7</w:t>
      </w:r>
      <w:r>
        <w:rPr>
          <w:rFonts w:hint="eastAsia" w:ascii="宋体" w:hAnsi="宋体"/>
        </w:rPr>
        <w:t>）《中华人民共和国噪声污染防治法》（</w:t>
      </w:r>
      <w:r>
        <w:t>2022</w:t>
      </w:r>
      <w:r>
        <w:rPr>
          <w:rFonts w:hint="eastAsia" w:ascii="宋体" w:hAnsi="宋体"/>
        </w:rPr>
        <w:t>年</w:t>
      </w:r>
      <w:r>
        <w:t>6</w:t>
      </w:r>
      <w:r>
        <w:rPr>
          <w:rFonts w:hint="eastAsia" w:ascii="宋体" w:hAnsi="宋体"/>
        </w:rPr>
        <w:t>月</w:t>
      </w:r>
      <w:r>
        <w:t>5</w:t>
      </w:r>
      <w:r>
        <w:rPr>
          <w:rFonts w:hint="eastAsia" w:ascii="宋体" w:hAnsi="宋体"/>
        </w:rPr>
        <w:t>日施行）；</w:t>
      </w:r>
    </w:p>
    <w:p w14:paraId="1DEC4BA7">
      <w:pPr>
        <w:ind w:firstLine="480"/>
      </w:pPr>
      <w:r>
        <w:rPr>
          <w:rFonts w:hint="eastAsia" w:ascii="宋体" w:hAnsi="宋体"/>
        </w:rPr>
        <w:t>（</w:t>
      </w:r>
      <w:r>
        <w:t>8</w:t>
      </w:r>
      <w:r>
        <w:rPr>
          <w:rFonts w:hint="eastAsia" w:ascii="宋体" w:hAnsi="宋体"/>
        </w:rPr>
        <w:t>）《中华人民共和国清洁生产促进法》（</w:t>
      </w:r>
      <w:r>
        <w:t>2012</w:t>
      </w:r>
      <w:r>
        <w:rPr>
          <w:rFonts w:hint="eastAsia" w:ascii="宋体" w:hAnsi="宋体"/>
        </w:rPr>
        <w:t>年</w:t>
      </w:r>
      <w:r>
        <w:t>7</w:t>
      </w:r>
      <w:r>
        <w:rPr>
          <w:rFonts w:hint="eastAsia" w:ascii="宋体" w:hAnsi="宋体"/>
        </w:rPr>
        <w:t>月</w:t>
      </w:r>
      <w:r>
        <w:t>1</w:t>
      </w:r>
      <w:r>
        <w:rPr>
          <w:rFonts w:hint="eastAsia" w:ascii="宋体" w:hAnsi="宋体"/>
        </w:rPr>
        <w:t>日施行）；</w:t>
      </w:r>
    </w:p>
    <w:p w14:paraId="0D1F103A">
      <w:pPr>
        <w:ind w:firstLine="480"/>
      </w:pPr>
      <w:r>
        <w:rPr>
          <w:rFonts w:hint="eastAsia" w:ascii="宋体" w:hAnsi="宋体"/>
        </w:rPr>
        <w:t>（</w:t>
      </w:r>
      <w:r>
        <w:t>9</w:t>
      </w:r>
      <w:r>
        <w:rPr>
          <w:rFonts w:hint="eastAsia" w:ascii="宋体" w:hAnsi="宋体"/>
        </w:rPr>
        <w:t>）《建设项目环境保护管理条例》（</w:t>
      </w:r>
      <w:r>
        <w:t>2017</w:t>
      </w:r>
      <w:r>
        <w:rPr>
          <w:rFonts w:hint="eastAsia" w:ascii="宋体" w:hAnsi="宋体"/>
        </w:rPr>
        <w:t>年</w:t>
      </w:r>
      <w:r>
        <w:t>10</w:t>
      </w:r>
      <w:r>
        <w:rPr>
          <w:rFonts w:hint="eastAsia" w:ascii="宋体" w:hAnsi="宋体"/>
        </w:rPr>
        <w:t>月</w:t>
      </w:r>
      <w:r>
        <w:t>1</w:t>
      </w:r>
      <w:r>
        <w:rPr>
          <w:rFonts w:hint="eastAsia" w:ascii="宋体" w:hAnsi="宋体"/>
        </w:rPr>
        <w:t>日施行）；</w:t>
      </w:r>
    </w:p>
    <w:p w14:paraId="7BBE2A47">
      <w:pPr>
        <w:ind w:firstLine="480"/>
      </w:pPr>
      <w:r>
        <w:rPr>
          <w:rFonts w:hint="eastAsia" w:ascii="宋体" w:hAnsi="宋体"/>
        </w:rPr>
        <w:t>（</w:t>
      </w:r>
      <w:r>
        <w:t>10</w:t>
      </w:r>
      <w:r>
        <w:rPr>
          <w:rFonts w:hint="eastAsia" w:ascii="宋体" w:hAnsi="宋体"/>
        </w:rPr>
        <w:t>）《建设项目环境影响评价分类管理名录（</w:t>
      </w:r>
      <w:r>
        <w:rPr>
          <w:rFonts w:hint="eastAsia"/>
        </w:rPr>
        <w:t>2021</w:t>
      </w:r>
      <w:r>
        <w:rPr>
          <w:rFonts w:hint="eastAsia" w:ascii="宋体" w:hAnsi="宋体"/>
        </w:rPr>
        <w:t>年版）》（</w:t>
      </w:r>
      <w:r>
        <w:t>2021</w:t>
      </w:r>
      <w:r>
        <w:rPr>
          <w:rFonts w:hint="eastAsia" w:ascii="宋体" w:hAnsi="宋体"/>
        </w:rPr>
        <w:t>年</w:t>
      </w:r>
      <w:r>
        <w:t>1</w:t>
      </w:r>
      <w:r>
        <w:rPr>
          <w:rFonts w:hint="eastAsia" w:ascii="宋体" w:hAnsi="宋体"/>
        </w:rPr>
        <w:t>月</w:t>
      </w:r>
      <w:r>
        <w:t>1</w:t>
      </w:r>
      <w:r>
        <w:rPr>
          <w:rFonts w:hint="eastAsia" w:ascii="宋体" w:hAnsi="宋体"/>
        </w:rPr>
        <w:t>日施行）；</w:t>
      </w:r>
    </w:p>
    <w:p w14:paraId="4968E240">
      <w:pPr>
        <w:ind w:firstLine="480"/>
      </w:pPr>
      <w:r>
        <w:rPr>
          <w:rFonts w:hint="eastAsia" w:ascii="宋体" w:hAnsi="宋体"/>
        </w:rPr>
        <w:t>（</w:t>
      </w:r>
      <w:r>
        <w:t>11</w:t>
      </w:r>
      <w:r>
        <w:rPr>
          <w:rFonts w:hint="eastAsia" w:ascii="宋体" w:hAnsi="宋体"/>
        </w:rPr>
        <w:t>）《国务院关于印发水污染防治行动计划的通知》（国务院令</w:t>
      </w:r>
      <w:r>
        <w:rPr>
          <w:rFonts w:hint="eastAsia"/>
        </w:rPr>
        <w:t xml:space="preserve"> </w:t>
      </w:r>
      <w:r>
        <w:rPr>
          <w:rFonts w:hint="eastAsia" w:ascii="宋体" w:hAnsi="宋体"/>
        </w:rPr>
        <w:t>国发</w:t>
      </w:r>
      <w:r>
        <w:t>[2015]17</w:t>
      </w:r>
      <w:r>
        <w:rPr>
          <w:rFonts w:hint="eastAsia" w:ascii="宋体" w:hAnsi="宋体"/>
        </w:rPr>
        <w:t>号，</w:t>
      </w:r>
      <w:r>
        <w:rPr>
          <w:rFonts w:hint="eastAsia"/>
        </w:rPr>
        <w:t>2015</w:t>
      </w:r>
      <w:r>
        <w:rPr>
          <w:rFonts w:hint="eastAsia" w:ascii="宋体" w:hAnsi="宋体"/>
        </w:rPr>
        <w:t>年</w:t>
      </w:r>
      <w:r>
        <w:rPr>
          <w:rFonts w:hint="eastAsia"/>
        </w:rPr>
        <w:t>4</w:t>
      </w:r>
      <w:r>
        <w:rPr>
          <w:rFonts w:hint="eastAsia" w:ascii="宋体" w:hAnsi="宋体"/>
        </w:rPr>
        <w:t>月</w:t>
      </w:r>
      <w:r>
        <w:rPr>
          <w:rFonts w:hint="eastAsia"/>
        </w:rPr>
        <w:t>2</w:t>
      </w:r>
      <w:r>
        <w:rPr>
          <w:rFonts w:hint="eastAsia" w:ascii="宋体" w:hAnsi="宋体"/>
        </w:rPr>
        <w:t>日）；</w:t>
      </w:r>
    </w:p>
    <w:p w14:paraId="57BC7FD9">
      <w:pPr>
        <w:ind w:firstLine="480"/>
      </w:pPr>
      <w:r>
        <w:rPr>
          <w:rFonts w:hint="eastAsia" w:ascii="宋体" w:hAnsi="宋体"/>
        </w:rPr>
        <w:t>（</w:t>
      </w:r>
      <w:r>
        <w:rPr>
          <w:rFonts w:hint="eastAsia"/>
        </w:rPr>
        <w:t>1</w:t>
      </w:r>
      <w:r>
        <w:t>2</w:t>
      </w:r>
      <w:r>
        <w:rPr>
          <w:rFonts w:hint="eastAsia" w:ascii="宋体" w:hAnsi="宋体"/>
        </w:rPr>
        <w:t>）《国务院关于加强环境保护重点工作的意见》（国务院令</w:t>
      </w:r>
      <w:r>
        <w:t xml:space="preserve"> </w:t>
      </w:r>
      <w:r>
        <w:rPr>
          <w:rFonts w:ascii="宋体" w:hAnsi="宋体"/>
        </w:rPr>
        <w:t>国发</w:t>
      </w:r>
      <w:r>
        <w:t>[2011]35</w:t>
      </w:r>
      <w:r>
        <w:rPr>
          <w:rFonts w:hint="eastAsia" w:ascii="宋体" w:hAnsi="宋体"/>
        </w:rPr>
        <w:t>号）；</w:t>
      </w:r>
    </w:p>
    <w:p w14:paraId="7581966C">
      <w:pPr>
        <w:ind w:firstLine="480"/>
      </w:pPr>
      <w:r>
        <w:rPr>
          <w:rFonts w:hint="eastAsia" w:ascii="宋体" w:hAnsi="宋体"/>
        </w:rPr>
        <w:t>（</w:t>
      </w:r>
      <w:r>
        <w:rPr>
          <w:rFonts w:hint="eastAsia"/>
        </w:rPr>
        <w:t>1</w:t>
      </w:r>
      <w:r>
        <w:t>3</w:t>
      </w:r>
      <w:r>
        <w:rPr>
          <w:rFonts w:hint="eastAsia" w:ascii="宋体" w:hAnsi="宋体"/>
        </w:rPr>
        <w:t>）《土壤污染防治行动计划》（国务院令</w:t>
      </w:r>
      <w:r>
        <w:rPr>
          <w:rFonts w:hint="eastAsia"/>
        </w:rPr>
        <w:t xml:space="preserve"> </w:t>
      </w:r>
      <w:r>
        <w:rPr>
          <w:rFonts w:hint="eastAsia" w:ascii="宋体" w:hAnsi="宋体"/>
        </w:rPr>
        <w:t>国发</w:t>
      </w:r>
      <w:r>
        <w:rPr>
          <w:rFonts w:hint="eastAsia"/>
        </w:rPr>
        <w:t>[2016]31</w:t>
      </w:r>
      <w:r>
        <w:rPr>
          <w:rFonts w:hint="eastAsia" w:ascii="宋体" w:hAnsi="宋体"/>
        </w:rPr>
        <w:t>号，</w:t>
      </w:r>
      <w:r>
        <w:rPr>
          <w:rFonts w:hint="eastAsia"/>
        </w:rPr>
        <w:t>2016</w:t>
      </w:r>
      <w:r>
        <w:rPr>
          <w:rFonts w:hint="eastAsia" w:ascii="宋体" w:hAnsi="宋体"/>
        </w:rPr>
        <w:t>年</w:t>
      </w:r>
      <w:r>
        <w:rPr>
          <w:rFonts w:hint="eastAsia"/>
        </w:rPr>
        <w:t>5</w:t>
      </w:r>
      <w:r>
        <w:rPr>
          <w:rFonts w:hint="eastAsia" w:ascii="宋体" w:hAnsi="宋体"/>
        </w:rPr>
        <w:t>月</w:t>
      </w:r>
      <w:r>
        <w:rPr>
          <w:rFonts w:hint="eastAsia"/>
        </w:rPr>
        <w:t>28</w:t>
      </w:r>
      <w:r>
        <w:rPr>
          <w:rFonts w:hint="eastAsia" w:ascii="宋体" w:hAnsi="宋体"/>
        </w:rPr>
        <w:t>日）；</w:t>
      </w:r>
    </w:p>
    <w:p w14:paraId="0774B156">
      <w:pPr>
        <w:ind w:firstLine="480"/>
      </w:pPr>
      <w:r>
        <w:rPr>
          <w:rFonts w:hint="eastAsia" w:ascii="宋体" w:hAnsi="宋体"/>
        </w:rPr>
        <w:t>（</w:t>
      </w:r>
      <w:r>
        <w:rPr>
          <w:rFonts w:hint="eastAsia"/>
        </w:rPr>
        <w:t>1</w:t>
      </w:r>
      <w:r>
        <w:t>4</w:t>
      </w:r>
      <w:r>
        <w:rPr>
          <w:rFonts w:hint="eastAsia" w:ascii="宋体" w:hAnsi="宋体"/>
        </w:rPr>
        <w:t>）《排污许可管理条例》（国务院</w:t>
      </w:r>
      <w:r>
        <w:rPr>
          <w:rFonts w:hint="eastAsia"/>
        </w:rPr>
        <w:t xml:space="preserve"> </w:t>
      </w:r>
      <w:r>
        <w:rPr>
          <w:rFonts w:hint="eastAsia" w:ascii="宋体" w:hAnsi="宋体"/>
        </w:rPr>
        <w:t>国令第</w:t>
      </w:r>
      <w:r>
        <w:rPr>
          <w:rFonts w:hint="eastAsia"/>
        </w:rPr>
        <w:t>736</w:t>
      </w:r>
      <w:r>
        <w:rPr>
          <w:rFonts w:hint="eastAsia" w:ascii="宋体" w:hAnsi="宋体"/>
        </w:rPr>
        <w:t>号，</w:t>
      </w:r>
      <w:r>
        <w:rPr>
          <w:rFonts w:hint="eastAsia"/>
        </w:rPr>
        <w:t>2021</w:t>
      </w:r>
      <w:r>
        <w:rPr>
          <w:rFonts w:hint="eastAsia" w:ascii="宋体" w:hAnsi="宋体"/>
        </w:rPr>
        <w:t>年</w:t>
      </w:r>
      <w:r>
        <w:rPr>
          <w:rFonts w:hint="eastAsia"/>
        </w:rPr>
        <w:t>1</w:t>
      </w:r>
      <w:r>
        <w:rPr>
          <w:rFonts w:hint="eastAsia" w:ascii="宋体" w:hAnsi="宋体"/>
        </w:rPr>
        <w:t>月</w:t>
      </w:r>
      <w:r>
        <w:rPr>
          <w:rFonts w:hint="eastAsia"/>
        </w:rPr>
        <w:t>24</w:t>
      </w:r>
      <w:r>
        <w:rPr>
          <w:rFonts w:hint="eastAsia" w:ascii="宋体" w:hAnsi="宋体"/>
        </w:rPr>
        <w:t>日）；</w:t>
      </w:r>
    </w:p>
    <w:p w14:paraId="22C3ECB6">
      <w:pPr>
        <w:ind w:firstLine="480"/>
      </w:pPr>
      <w:r>
        <w:rPr>
          <w:rFonts w:hint="eastAsia" w:ascii="宋体" w:hAnsi="宋体"/>
        </w:rPr>
        <w:t>（</w:t>
      </w:r>
      <w:r>
        <w:t>15</w:t>
      </w:r>
      <w:r>
        <w:rPr>
          <w:rFonts w:hint="eastAsia" w:ascii="宋体" w:hAnsi="宋体"/>
        </w:rPr>
        <w:t>）《国家危险废物名录（</w:t>
      </w:r>
      <w:r>
        <w:rPr>
          <w:rFonts w:hint="eastAsia"/>
        </w:rPr>
        <w:t>2021</w:t>
      </w:r>
      <w:r>
        <w:rPr>
          <w:rFonts w:hint="eastAsia" w:ascii="宋体" w:hAnsi="宋体"/>
        </w:rPr>
        <w:t>年版）》（生态环境部 部令第</w:t>
      </w:r>
      <w:r>
        <w:rPr>
          <w:rFonts w:hint="eastAsia"/>
        </w:rPr>
        <w:t>15</w:t>
      </w:r>
      <w:r>
        <w:rPr>
          <w:rFonts w:hint="eastAsia" w:ascii="宋体" w:hAnsi="宋体"/>
        </w:rPr>
        <w:t>号，</w:t>
      </w:r>
      <w:r>
        <w:rPr>
          <w:rFonts w:hint="eastAsia"/>
        </w:rPr>
        <w:t>2021</w:t>
      </w:r>
      <w:r>
        <w:rPr>
          <w:rFonts w:hint="eastAsia" w:ascii="宋体" w:hAnsi="宋体"/>
        </w:rPr>
        <w:t>年</w:t>
      </w:r>
      <w:r>
        <w:rPr>
          <w:rFonts w:hint="eastAsia"/>
        </w:rPr>
        <w:t>1</w:t>
      </w:r>
      <w:r>
        <w:rPr>
          <w:rFonts w:hint="eastAsia" w:ascii="宋体" w:hAnsi="宋体"/>
        </w:rPr>
        <w:t>月</w:t>
      </w:r>
      <w:r>
        <w:rPr>
          <w:rFonts w:hint="eastAsia"/>
        </w:rPr>
        <w:t>1</w:t>
      </w:r>
      <w:r>
        <w:rPr>
          <w:rFonts w:ascii="宋体" w:hAnsi="宋体"/>
        </w:rPr>
        <w:t>日施行）；</w:t>
      </w:r>
    </w:p>
    <w:p w14:paraId="515CCBFF">
      <w:pPr>
        <w:ind w:firstLine="480"/>
      </w:pPr>
      <w:r>
        <w:rPr>
          <w:rFonts w:ascii="宋体" w:hAnsi="宋体"/>
        </w:rPr>
        <w:t>（</w:t>
      </w:r>
      <w:r>
        <w:t>16</w:t>
      </w:r>
      <w:r>
        <w:rPr>
          <w:rFonts w:ascii="宋体" w:hAnsi="宋体"/>
        </w:rPr>
        <w:t>）</w:t>
      </w:r>
      <w:r>
        <w:rPr>
          <w:rFonts w:hint="eastAsia" w:ascii="宋体" w:hAnsi="宋体"/>
        </w:rPr>
        <w:t>《关于进一步加强环境影响评价管理防范环境风险的通知》（环境保护部</w:t>
      </w:r>
      <w:r>
        <w:t xml:space="preserve"> </w:t>
      </w:r>
      <w:r>
        <w:rPr>
          <w:rFonts w:ascii="宋体" w:hAnsi="宋体"/>
        </w:rPr>
        <w:t>环发</w:t>
      </w:r>
      <w:r>
        <w:t>[2012]77</w:t>
      </w:r>
      <w:r>
        <w:rPr>
          <w:rFonts w:hint="eastAsia" w:ascii="宋体" w:hAnsi="宋体"/>
        </w:rPr>
        <w:t>号，</w:t>
      </w:r>
      <w:r>
        <w:t>2012</w:t>
      </w:r>
      <w:r>
        <w:rPr>
          <w:rFonts w:hint="eastAsia" w:ascii="宋体" w:hAnsi="宋体"/>
        </w:rPr>
        <w:t>年</w:t>
      </w:r>
      <w:r>
        <w:t>8</w:t>
      </w:r>
      <w:r>
        <w:rPr>
          <w:rFonts w:hint="eastAsia" w:ascii="宋体" w:hAnsi="宋体"/>
        </w:rPr>
        <w:t>月</w:t>
      </w:r>
      <w:r>
        <w:t>7</w:t>
      </w:r>
      <w:r>
        <w:rPr>
          <w:rFonts w:hint="eastAsia" w:ascii="宋体" w:hAnsi="宋体"/>
        </w:rPr>
        <w:t>日）；</w:t>
      </w:r>
    </w:p>
    <w:p w14:paraId="700AD338">
      <w:pPr>
        <w:ind w:firstLine="480"/>
      </w:pPr>
      <w:r>
        <w:rPr>
          <w:rFonts w:hint="eastAsia" w:ascii="宋体" w:hAnsi="宋体"/>
        </w:rPr>
        <w:t>（</w:t>
      </w:r>
      <w:r>
        <w:t>17</w:t>
      </w:r>
      <w:r>
        <w:rPr>
          <w:rFonts w:hint="eastAsia" w:ascii="宋体" w:hAnsi="宋体"/>
        </w:rPr>
        <w:t>）《关于切实加强风险防范严格环境影响评价管理的</w:t>
      </w:r>
      <w:bookmarkStart w:id="620" w:name="_GoBack"/>
      <w:bookmarkEnd w:id="620"/>
      <w:r>
        <w:rPr>
          <w:rFonts w:hint="eastAsia" w:ascii="宋体" w:hAnsi="宋体"/>
        </w:rPr>
        <w:t>通知》（环境保护部</w:t>
      </w:r>
      <w:r>
        <w:t xml:space="preserve"> </w:t>
      </w:r>
      <w:r>
        <w:rPr>
          <w:rFonts w:ascii="宋体" w:hAnsi="宋体"/>
        </w:rPr>
        <w:t>环发</w:t>
      </w:r>
      <w:r>
        <w:t>[2012]98</w:t>
      </w:r>
      <w:r>
        <w:rPr>
          <w:rFonts w:hint="eastAsia" w:ascii="宋体" w:hAnsi="宋体"/>
        </w:rPr>
        <w:t>号，</w:t>
      </w:r>
      <w:r>
        <w:t>2012</w:t>
      </w:r>
      <w:r>
        <w:rPr>
          <w:rFonts w:hint="eastAsia" w:ascii="宋体" w:hAnsi="宋体"/>
        </w:rPr>
        <w:t>年</w:t>
      </w:r>
      <w:r>
        <w:t>8</w:t>
      </w:r>
      <w:r>
        <w:rPr>
          <w:rFonts w:hint="eastAsia" w:ascii="宋体" w:hAnsi="宋体"/>
        </w:rPr>
        <w:t>月</w:t>
      </w:r>
      <w:r>
        <w:t>8</w:t>
      </w:r>
      <w:r>
        <w:rPr>
          <w:rFonts w:hint="eastAsia" w:ascii="宋体" w:hAnsi="宋体"/>
        </w:rPr>
        <w:t>日）；</w:t>
      </w:r>
    </w:p>
    <w:p w14:paraId="0A739000">
      <w:pPr>
        <w:ind w:firstLine="480"/>
      </w:pPr>
      <w:r>
        <w:rPr>
          <w:rFonts w:hint="eastAsia"/>
        </w:rPr>
        <w:t>（18）《中共</w:t>
      </w:r>
      <w:r>
        <w:t>中央</w:t>
      </w:r>
      <w:r>
        <w:rPr>
          <w:rFonts w:hint="eastAsia"/>
        </w:rPr>
        <w:t xml:space="preserve"> 国务院</w:t>
      </w:r>
      <w:r>
        <w:rPr>
          <w:rFonts w:hint="eastAsia" w:cs="Times New Roman"/>
        </w:rPr>
        <w:t>关于深入打好污染防治攻坚战的意见</w:t>
      </w:r>
      <w:r>
        <w:rPr>
          <w:rFonts w:hint="eastAsia"/>
        </w:rPr>
        <w:t>》（2021年11月2日</w:t>
      </w:r>
      <w:r>
        <w:t>公布</w:t>
      </w:r>
      <w:r>
        <w:rPr>
          <w:rFonts w:hint="eastAsia"/>
        </w:rPr>
        <w:t>）；</w:t>
      </w:r>
    </w:p>
    <w:p w14:paraId="01453433">
      <w:pPr>
        <w:ind w:firstLine="480"/>
      </w:pPr>
      <w:r>
        <w:rPr>
          <w:rFonts w:hint="eastAsia" w:ascii="宋体" w:hAnsi="宋体"/>
        </w:rPr>
        <w:t>（</w:t>
      </w:r>
      <w:r>
        <w:t>19</w:t>
      </w:r>
      <w:r>
        <w:rPr>
          <w:rFonts w:hint="eastAsia" w:ascii="宋体" w:hAnsi="宋体"/>
        </w:rPr>
        <w:t>）《危险废物转移联单管理办法》（生态</w:t>
      </w:r>
      <w:r>
        <w:rPr>
          <w:rFonts w:ascii="宋体" w:hAnsi="宋体"/>
        </w:rPr>
        <w:t>环境部</w:t>
      </w:r>
      <w:r>
        <w:rPr>
          <w:rFonts w:hint="eastAsia" w:ascii="宋体" w:hAnsi="宋体"/>
        </w:rPr>
        <w:t xml:space="preserve"> 公</w:t>
      </w:r>
      <w:r>
        <w:rPr>
          <w:rFonts w:hint="eastAsia"/>
        </w:rPr>
        <w:t>安部 交通</w:t>
      </w:r>
      <w:r>
        <w:t>运输部</w:t>
      </w:r>
      <w:r>
        <w:rPr>
          <w:rFonts w:hint="eastAsia"/>
        </w:rPr>
        <w:t xml:space="preserve"> 部令23号</w:t>
      </w:r>
      <w:r>
        <w:t>，</w:t>
      </w:r>
      <w:r>
        <w:rPr>
          <w:rFonts w:hint="eastAsia"/>
        </w:rPr>
        <w:t>202</w:t>
      </w:r>
      <w:r>
        <w:t>2</w:t>
      </w:r>
      <w:r>
        <w:rPr>
          <w:rFonts w:hint="eastAsia"/>
        </w:rPr>
        <w:t>年</w:t>
      </w:r>
      <w:r>
        <w:t>1</w:t>
      </w:r>
      <w:r>
        <w:rPr>
          <w:rFonts w:hint="eastAsia"/>
        </w:rPr>
        <w:t>月</w:t>
      </w:r>
      <w:r>
        <w:t>1</w:t>
      </w:r>
      <w:r>
        <w:rPr>
          <w:rFonts w:hint="eastAsia"/>
        </w:rPr>
        <w:t>日起</w:t>
      </w:r>
      <w:r>
        <w:t>施行</w:t>
      </w:r>
      <w:r>
        <w:rPr>
          <w:rFonts w:ascii="宋体" w:hAnsi="宋体"/>
        </w:rPr>
        <w:t>）</w:t>
      </w:r>
      <w:r>
        <w:rPr>
          <w:rFonts w:hint="eastAsia" w:ascii="宋体" w:hAnsi="宋体"/>
        </w:rPr>
        <w:t>；</w:t>
      </w:r>
    </w:p>
    <w:p w14:paraId="56F0431F">
      <w:pPr>
        <w:ind w:firstLine="480"/>
      </w:pPr>
      <w:r>
        <w:rPr>
          <w:rFonts w:hint="eastAsia" w:ascii="宋体" w:hAnsi="宋体"/>
        </w:rPr>
        <w:t>（</w:t>
      </w:r>
      <w:r>
        <w:t>20</w:t>
      </w:r>
      <w:r>
        <w:rPr>
          <w:rFonts w:hint="eastAsia" w:ascii="宋体" w:hAnsi="宋体"/>
        </w:rPr>
        <w:t>）《关于切实加强环境影响评价监督管理工作的通知》（环境保护部</w:t>
      </w:r>
      <w:r>
        <w:t xml:space="preserve"> </w:t>
      </w:r>
      <w:r>
        <w:rPr>
          <w:rFonts w:ascii="宋体" w:hAnsi="宋体"/>
        </w:rPr>
        <w:t>环发</w:t>
      </w:r>
      <w:r>
        <w:t>[2013]104</w:t>
      </w:r>
      <w:r>
        <w:rPr>
          <w:rFonts w:hint="eastAsia" w:ascii="宋体" w:hAnsi="宋体"/>
        </w:rPr>
        <w:t>号，</w:t>
      </w:r>
      <w:r>
        <w:t>2013</w:t>
      </w:r>
      <w:r>
        <w:rPr>
          <w:rFonts w:hint="eastAsia" w:ascii="宋体" w:hAnsi="宋体"/>
        </w:rPr>
        <w:t>年</w:t>
      </w:r>
      <w:r>
        <w:t>11</w:t>
      </w:r>
      <w:r>
        <w:rPr>
          <w:rFonts w:hint="eastAsia" w:ascii="宋体" w:hAnsi="宋体"/>
        </w:rPr>
        <w:t>月</w:t>
      </w:r>
      <w:r>
        <w:rPr>
          <w:rFonts w:hint="eastAsia"/>
        </w:rPr>
        <w:t>15</w:t>
      </w:r>
      <w:r>
        <w:rPr>
          <w:rFonts w:hint="eastAsia" w:ascii="宋体" w:hAnsi="宋体"/>
        </w:rPr>
        <w:t>日）；</w:t>
      </w:r>
    </w:p>
    <w:p w14:paraId="5A4BD7C0">
      <w:pPr>
        <w:ind w:firstLine="480"/>
      </w:pPr>
      <w:r>
        <w:rPr>
          <w:rFonts w:hint="eastAsia" w:ascii="宋体" w:hAnsi="宋体"/>
        </w:rPr>
        <w:t>（</w:t>
      </w:r>
      <w:r>
        <w:rPr>
          <w:rFonts w:hint="eastAsia"/>
        </w:rPr>
        <w:t>2</w:t>
      </w:r>
      <w:r>
        <w:t>1</w:t>
      </w:r>
      <w:r>
        <w:rPr>
          <w:rFonts w:hint="eastAsia" w:ascii="宋体" w:hAnsi="宋体"/>
        </w:rPr>
        <w:t>）《关于印发</w:t>
      </w:r>
      <w:r>
        <w:t>&lt;</w:t>
      </w:r>
      <w:r>
        <w:rPr>
          <w:rFonts w:hint="eastAsia" w:ascii="宋体" w:hAnsi="宋体"/>
        </w:rPr>
        <w:t>建设项目主要污染物排放总量指标审核及管理暂行办法</w:t>
      </w:r>
      <w:r>
        <w:t>&gt;</w:t>
      </w:r>
      <w:r>
        <w:rPr>
          <w:rFonts w:hint="eastAsia" w:ascii="宋体" w:hAnsi="宋体"/>
        </w:rPr>
        <w:t>的通知》（环境保护部</w:t>
      </w:r>
      <w:r>
        <w:t xml:space="preserve"> </w:t>
      </w:r>
      <w:r>
        <w:rPr>
          <w:rFonts w:ascii="宋体" w:hAnsi="宋体"/>
        </w:rPr>
        <w:t>环发</w:t>
      </w:r>
      <w:r>
        <w:t>[2014]197</w:t>
      </w:r>
      <w:r>
        <w:rPr>
          <w:rFonts w:hint="eastAsia" w:ascii="宋体" w:hAnsi="宋体"/>
        </w:rPr>
        <w:t>号，</w:t>
      </w:r>
      <w:r>
        <w:t>2014</w:t>
      </w:r>
      <w:r>
        <w:rPr>
          <w:rFonts w:hint="eastAsia" w:ascii="宋体" w:hAnsi="宋体"/>
        </w:rPr>
        <w:t>年</w:t>
      </w:r>
      <w:r>
        <w:t>12</w:t>
      </w:r>
      <w:r>
        <w:rPr>
          <w:rFonts w:hint="eastAsia" w:ascii="宋体" w:hAnsi="宋体"/>
        </w:rPr>
        <w:t>月</w:t>
      </w:r>
      <w:r>
        <w:t>31</w:t>
      </w:r>
      <w:r>
        <w:rPr>
          <w:rFonts w:hint="eastAsia" w:ascii="宋体" w:hAnsi="宋体"/>
        </w:rPr>
        <w:t>日）；</w:t>
      </w:r>
    </w:p>
    <w:p w14:paraId="2AA0BDBD">
      <w:pPr>
        <w:ind w:firstLine="480"/>
      </w:pPr>
      <w:r>
        <w:rPr>
          <w:rFonts w:hint="eastAsia" w:ascii="宋体" w:hAnsi="宋体"/>
        </w:rPr>
        <w:t>（</w:t>
      </w:r>
      <w:r>
        <w:t>22</w:t>
      </w:r>
      <w:r>
        <w:rPr>
          <w:rFonts w:hint="eastAsia" w:ascii="宋体" w:hAnsi="宋体"/>
        </w:rPr>
        <w:t>）《关于全面加强生态环境保护</w:t>
      </w:r>
      <w:r>
        <w:rPr>
          <w:rFonts w:hint="eastAsia"/>
        </w:rPr>
        <w:t xml:space="preserve"> </w:t>
      </w:r>
      <w:r>
        <w:rPr>
          <w:rFonts w:hint="eastAsia" w:ascii="宋体" w:hAnsi="宋体"/>
        </w:rPr>
        <w:t>坚决打好污染防治攻坚战的意见》（国务院，</w:t>
      </w:r>
      <w:r>
        <w:rPr>
          <w:rFonts w:hint="eastAsia"/>
        </w:rPr>
        <w:t>2018</w:t>
      </w:r>
      <w:r>
        <w:rPr>
          <w:rFonts w:hint="eastAsia" w:ascii="宋体" w:hAnsi="宋体"/>
        </w:rPr>
        <w:t>年</w:t>
      </w:r>
      <w:r>
        <w:rPr>
          <w:rFonts w:hint="eastAsia"/>
        </w:rPr>
        <w:t>6</w:t>
      </w:r>
      <w:r>
        <w:rPr>
          <w:rFonts w:hint="eastAsia" w:ascii="宋体" w:hAnsi="宋体"/>
        </w:rPr>
        <w:t>月</w:t>
      </w:r>
      <w:r>
        <w:rPr>
          <w:rFonts w:hint="eastAsia"/>
        </w:rPr>
        <w:t>16</w:t>
      </w:r>
      <w:r>
        <w:rPr>
          <w:rFonts w:hint="eastAsia" w:ascii="宋体" w:hAnsi="宋体"/>
        </w:rPr>
        <w:t>日发布）；</w:t>
      </w:r>
    </w:p>
    <w:p w14:paraId="739BBF18">
      <w:pPr>
        <w:ind w:firstLine="480"/>
      </w:pPr>
      <w:r>
        <w:rPr>
          <w:rFonts w:hint="eastAsia" w:ascii="宋体" w:hAnsi="宋体"/>
        </w:rPr>
        <w:t>（</w:t>
      </w:r>
      <w:r>
        <w:t>23</w:t>
      </w:r>
      <w:r>
        <w:rPr>
          <w:rFonts w:hint="eastAsia" w:ascii="宋体" w:hAnsi="宋体"/>
        </w:rPr>
        <w:t>）《环境影响评价公众参与办法》（生态环境部</w:t>
      </w:r>
      <w:r>
        <w:t xml:space="preserve"> </w:t>
      </w:r>
      <w:r>
        <w:rPr>
          <w:rFonts w:ascii="宋体" w:hAnsi="宋体"/>
        </w:rPr>
        <w:t>部令第</w:t>
      </w:r>
      <w:r>
        <w:t>4</w:t>
      </w:r>
      <w:r>
        <w:rPr>
          <w:rFonts w:hint="eastAsia" w:ascii="宋体" w:hAnsi="宋体"/>
        </w:rPr>
        <w:t>号，</w:t>
      </w:r>
      <w:r>
        <w:t>2019</w:t>
      </w:r>
      <w:r>
        <w:rPr>
          <w:rFonts w:hint="eastAsia" w:ascii="宋体" w:hAnsi="宋体"/>
        </w:rPr>
        <w:t>年</w:t>
      </w:r>
      <w:r>
        <w:t>1</w:t>
      </w:r>
      <w:r>
        <w:rPr>
          <w:rFonts w:hint="eastAsia" w:ascii="宋体" w:hAnsi="宋体"/>
        </w:rPr>
        <w:t>月</w:t>
      </w:r>
      <w:r>
        <w:t>1</w:t>
      </w:r>
      <w:r>
        <w:rPr>
          <w:rFonts w:hint="eastAsia" w:ascii="宋体" w:hAnsi="宋体"/>
        </w:rPr>
        <w:t>日施行）；</w:t>
      </w:r>
    </w:p>
    <w:p w14:paraId="38FEE7D7">
      <w:pPr>
        <w:ind w:firstLine="480"/>
      </w:pPr>
      <w:r>
        <w:rPr>
          <w:rFonts w:hint="eastAsia" w:ascii="宋体" w:hAnsi="宋体"/>
        </w:rPr>
        <w:t>（</w:t>
      </w:r>
      <w:r>
        <w:t>24</w:t>
      </w:r>
      <w:r>
        <w:rPr>
          <w:rFonts w:hint="eastAsia" w:ascii="宋体" w:hAnsi="宋体"/>
        </w:rPr>
        <w:t>）《环境保护综合名录（</w:t>
      </w:r>
      <w:r>
        <w:rPr>
          <w:rFonts w:hint="eastAsia"/>
        </w:rPr>
        <w:t>2021</w:t>
      </w:r>
      <w:r>
        <w:rPr>
          <w:rFonts w:hint="eastAsia" w:ascii="宋体" w:hAnsi="宋体"/>
        </w:rPr>
        <w:t>年版）》（</w:t>
      </w:r>
      <w:r>
        <w:rPr>
          <w:rFonts w:hint="eastAsia"/>
        </w:rPr>
        <w:t>生态</w:t>
      </w:r>
      <w:r>
        <w:t>环境部</w:t>
      </w:r>
      <w:r>
        <w:rPr>
          <w:rFonts w:hint="eastAsia"/>
        </w:rPr>
        <w:t xml:space="preserve"> 2021年11月3日）；</w:t>
      </w:r>
    </w:p>
    <w:p w14:paraId="26110124">
      <w:pPr>
        <w:ind w:firstLine="480"/>
      </w:pPr>
      <w:r>
        <w:rPr>
          <w:rFonts w:hint="eastAsia" w:ascii="宋体" w:hAnsi="宋体"/>
        </w:rPr>
        <w:t>（</w:t>
      </w:r>
      <w:r>
        <w:t>25</w:t>
      </w:r>
      <w:r>
        <w:rPr>
          <w:rFonts w:hint="eastAsia" w:ascii="宋体" w:hAnsi="宋体"/>
        </w:rPr>
        <w:t>）《固定污染源排污许可分类管理名录（</w:t>
      </w:r>
      <w:r>
        <w:rPr>
          <w:rFonts w:hint="eastAsia"/>
        </w:rPr>
        <w:t>2019</w:t>
      </w:r>
      <w:r>
        <w:rPr>
          <w:rFonts w:hint="eastAsia" w:ascii="宋体" w:hAnsi="宋体"/>
        </w:rPr>
        <w:t>年版）》（生态环境部</w:t>
      </w:r>
      <w:r>
        <w:rPr>
          <w:rFonts w:hint="eastAsia"/>
        </w:rPr>
        <w:t xml:space="preserve"> </w:t>
      </w:r>
      <w:r>
        <w:rPr>
          <w:rFonts w:hint="eastAsia" w:ascii="宋体" w:hAnsi="宋体"/>
        </w:rPr>
        <w:t>部令第</w:t>
      </w:r>
      <w:r>
        <w:rPr>
          <w:rFonts w:hint="eastAsia"/>
        </w:rPr>
        <w:t>11</w:t>
      </w:r>
      <w:r>
        <w:rPr>
          <w:rFonts w:hint="eastAsia" w:ascii="宋体" w:hAnsi="宋体"/>
        </w:rPr>
        <w:t>号，</w:t>
      </w:r>
      <w:r>
        <w:rPr>
          <w:rFonts w:hint="eastAsia"/>
        </w:rPr>
        <w:t>20</w:t>
      </w:r>
      <w:r>
        <w:t>19</w:t>
      </w:r>
      <w:r>
        <w:rPr>
          <w:rFonts w:hint="eastAsia" w:ascii="宋体" w:hAnsi="宋体"/>
        </w:rPr>
        <w:t>年</w:t>
      </w:r>
      <w:r>
        <w:rPr>
          <w:rFonts w:hint="eastAsia"/>
        </w:rPr>
        <w:t>12</w:t>
      </w:r>
      <w:r>
        <w:rPr>
          <w:rFonts w:hint="eastAsia" w:ascii="宋体" w:hAnsi="宋体"/>
        </w:rPr>
        <w:t>月</w:t>
      </w:r>
      <w:r>
        <w:rPr>
          <w:rFonts w:hint="eastAsia"/>
        </w:rPr>
        <w:t>20</w:t>
      </w:r>
      <w:r>
        <w:rPr>
          <w:rFonts w:hint="eastAsia" w:ascii="宋体" w:hAnsi="宋体"/>
        </w:rPr>
        <w:t>日）；</w:t>
      </w:r>
    </w:p>
    <w:p w14:paraId="75659A57">
      <w:pPr>
        <w:ind w:firstLine="480"/>
      </w:pPr>
      <w:r>
        <w:rPr>
          <w:rFonts w:hint="eastAsia" w:ascii="宋体" w:hAnsi="宋体"/>
        </w:rPr>
        <w:t>（</w:t>
      </w:r>
      <w:r>
        <w:t>26</w:t>
      </w:r>
      <w:r>
        <w:rPr>
          <w:rFonts w:hint="eastAsia" w:ascii="宋体" w:hAnsi="宋体"/>
        </w:rPr>
        <w:t>）《国务院关于加快建立健全绿色低碳循环发展经济体系的指导意见》（国务院</w:t>
      </w:r>
      <w:r>
        <w:rPr>
          <w:rFonts w:hint="eastAsia"/>
        </w:rPr>
        <w:t xml:space="preserve"> </w:t>
      </w:r>
      <w:r>
        <w:rPr>
          <w:rFonts w:hint="eastAsia" w:ascii="宋体" w:hAnsi="宋体"/>
        </w:rPr>
        <w:t>国发</w:t>
      </w:r>
      <w:r>
        <w:t>[2021]4</w:t>
      </w:r>
      <w:r>
        <w:rPr>
          <w:rFonts w:hint="eastAsia" w:ascii="宋体" w:hAnsi="宋体"/>
        </w:rPr>
        <w:t>号，</w:t>
      </w:r>
      <w:r>
        <w:rPr>
          <w:rFonts w:hint="eastAsia"/>
        </w:rPr>
        <w:t>2021</w:t>
      </w:r>
      <w:r>
        <w:rPr>
          <w:rFonts w:hint="eastAsia" w:ascii="宋体" w:hAnsi="宋体"/>
        </w:rPr>
        <w:t>年</w:t>
      </w:r>
      <w:r>
        <w:rPr>
          <w:rFonts w:hint="eastAsia"/>
        </w:rPr>
        <w:t>2</w:t>
      </w:r>
      <w:r>
        <w:rPr>
          <w:rFonts w:hint="eastAsia" w:ascii="宋体" w:hAnsi="宋体"/>
        </w:rPr>
        <w:t>月</w:t>
      </w:r>
      <w:r>
        <w:rPr>
          <w:rFonts w:hint="eastAsia"/>
        </w:rPr>
        <w:t>22</w:t>
      </w:r>
      <w:r>
        <w:rPr>
          <w:rFonts w:hint="eastAsia" w:ascii="宋体" w:hAnsi="宋体"/>
        </w:rPr>
        <w:t>日发布）；</w:t>
      </w:r>
    </w:p>
    <w:p w14:paraId="55DEFAC2">
      <w:pPr>
        <w:ind w:firstLine="480"/>
      </w:pPr>
      <w:r>
        <w:rPr>
          <w:rFonts w:hint="eastAsia"/>
        </w:rPr>
        <w:t>（</w:t>
      </w:r>
      <w:r>
        <w:t>27</w:t>
      </w:r>
      <w:r>
        <w:rPr>
          <w:rFonts w:hint="eastAsia"/>
        </w:rPr>
        <w:t>）《关于加强企业温室气体排放报告管理相关工作的通知》（环办气候</w:t>
      </w:r>
      <w:r>
        <w:t>[2021]9</w:t>
      </w:r>
      <w:r>
        <w:rPr>
          <w:rFonts w:hint="eastAsia"/>
        </w:rPr>
        <w:t>号，</w:t>
      </w:r>
      <w:r>
        <w:t>2021</w:t>
      </w:r>
      <w:r>
        <w:rPr>
          <w:rFonts w:hint="eastAsia"/>
        </w:rPr>
        <w:t>年</w:t>
      </w:r>
      <w:r>
        <w:t>3</w:t>
      </w:r>
      <w:r>
        <w:rPr>
          <w:rFonts w:hint="eastAsia"/>
        </w:rPr>
        <w:t>月</w:t>
      </w:r>
      <w:r>
        <w:t>28</w:t>
      </w:r>
      <w:r>
        <w:rPr>
          <w:rFonts w:hint="eastAsia"/>
        </w:rPr>
        <w:t>日发布）；</w:t>
      </w:r>
    </w:p>
    <w:p w14:paraId="16456FE9">
      <w:pPr>
        <w:ind w:firstLine="480"/>
      </w:pPr>
      <w:r>
        <w:rPr>
          <w:rFonts w:hint="eastAsia"/>
        </w:rPr>
        <w:t>（28）《</w:t>
      </w:r>
      <w:r>
        <w:rPr>
          <w:rFonts w:cs="Times New Roman"/>
        </w:rPr>
        <w:t>关于发布&lt;优先控制化学品名录（第一批）</w:t>
      </w:r>
      <w:r>
        <w:rPr>
          <w:rFonts w:hint="eastAsia" w:cs="Times New Roman"/>
        </w:rPr>
        <w:t>&gt;</w:t>
      </w:r>
      <w:r>
        <w:rPr>
          <w:rFonts w:cs="Times New Roman"/>
        </w:rPr>
        <w:t>的公告</w:t>
      </w:r>
      <w:r>
        <w:rPr>
          <w:rFonts w:hint="eastAsia"/>
        </w:rPr>
        <w:t>》（</w:t>
      </w:r>
      <w:r>
        <w:rPr>
          <w:rFonts w:hint="eastAsia" w:cs="Times New Roman"/>
        </w:rPr>
        <w:t>原</w:t>
      </w:r>
      <w:r>
        <w:rPr>
          <w:rFonts w:cs="Times New Roman"/>
        </w:rPr>
        <w:t>环境保护部 工业和信息化部 国家卫生和计划生育委员会 公告2017年 第83号</w:t>
      </w:r>
      <w:r>
        <w:rPr>
          <w:rFonts w:hint="eastAsia" w:cs="Times New Roman"/>
        </w:rPr>
        <w:t>，2017年12月28日</w:t>
      </w:r>
      <w:r>
        <w:rPr>
          <w:rFonts w:hint="eastAsia"/>
        </w:rPr>
        <w:t>）；</w:t>
      </w:r>
    </w:p>
    <w:p w14:paraId="692A3BFD">
      <w:pPr>
        <w:ind w:firstLine="480"/>
      </w:pPr>
      <w:r>
        <w:rPr>
          <w:rFonts w:hint="eastAsia"/>
        </w:rPr>
        <w:t>（29）《</w:t>
      </w:r>
      <w:r>
        <w:rPr>
          <w:rFonts w:cs="Times New Roman"/>
        </w:rPr>
        <w:t>关于发布&lt;优先控制化学品名录（第</w:t>
      </w:r>
      <w:r>
        <w:rPr>
          <w:rFonts w:hint="eastAsia" w:cs="Times New Roman"/>
        </w:rPr>
        <w:t>二</w:t>
      </w:r>
      <w:r>
        <w:rPr>
          <w:rFonts w:cs="Times New Roman"/>
        </w:rPr>
        <w:t>批）</w:t>
      </w:r>
      <w:r>
        <w:rPr>
          <w:rFonts w:hint="eastAsia" w:cs="Times New Roman"/>
        </w:rPr>
        <w:t>&gt;</w:t>
      </w:r>
      <w:r>
        <w:rPr>
          <w:rFonts w:cs="Times New Roman"/>
        </w:rPr>
        <w:t>的公告</w:t>
      </w:r>
      <w:r>
        <w:rPr>
          <w:rFonts w:hint="eastAsia"/>
        </w:rPr>
        <w:t>》（生态</w:t>
      </w:r>
      <w:r>
        <w:t>环境部</w:t>
      </w:r>
      <w:r>
        <w:rPr>
          <w:rFonts w:hint="eastAsia"/>
        </w:rPr>
        <w:t xml:space="preserve"> 工业和信息化部  卫生健康委 公告2020年 第47号，2020年11月2日</w:t>
      </w:r>
      <w:r>
        <w:t>）；</w:t>
      </w:r>
    </w:p>
    <w:p w14:paraId="290EA18B">
      <w:pPr>
        <w:ind w:firstLine="480"/>
        <w:rPr>
          <w:rFonts w:cs="Times New Roman"/>
        </w:rPr>
      </w:pPr>
      <w:r>
        <w:rPr>
          <w:rFonts w:hint="eastAsia"/>
        </w:rPr>
        <w:t>（30）</w:t>
      </w:r>
      <w:r>
        <w:rPr>
          <w:rFonts w:cs="Times New Roman"/>
        </w:rPr>
        <w:t>《关于发布</w:t>
      </w:r>
      <w:r>
        <w:rPr>
          <w:rFonts w:hint="eastAsia" w:cs="Times New Roman"/>
        </w:rPr>
        <w:t>&lt;</w:t>
      </w:r>
      <w:r>
        <w:rPr>
          <w:rFonts w:cs="Times New Roman"/>
        </w:rPr>
        <w:t>有毒有害大气污染物名录（2018年）</w:t>
      </w:r>
      <w:r>
        <w:rPr>
          <w:rFonts w:hint="eastAsia" w:cs="Times New Roman"/>
        </w:rPr>
        <w:t>&gt;</w:t>
      </w:r>
      <w:r>
        <w:rPr>
          <w:rFonts w:cs="Times New Roman"/>
        </w:rPr>
        <w:t>的公告》</w:t>
      </w:r>
      <w:r>
        <w:rPr>
          <w:rFonts w:hint="eastAsia" w:cs="Times New Roman"/>
        </w:rPr>
        <w:t>（</w:t>
      </w:r>
      <w:r>
        <w:rPr>
          <w:rFonts w:cs="Times New Roman"/>
        </w:rPr>
        <w:t>生态环境部 卫生健康委员会 公告2019年 第4号</w:t>
      </w:r>
      <w:r>
        <w:rPr>
          <w:rFonts w:hint="eastAsia" w:cs="Times New Roman"/>
        </w:rPr>
        <w:t>，</w:t>
      </w:r>
      <w:r>
        <w:rPr>
          <w:rFonts w:cs="Times New Roman"/>
        </w:rPr>
        <w:t>2019年1月25日</w:t>
      </w:r>
      <w:r>
        <w:rPr>
          <w:rFonts w:hint="eastAsia" w:cs="Times New Roman"/>
        </w:rPr>
        <w:t>）；</w:t>
      </w:r>
    </w:p>
    <w:p w14:paraId="76662B2D">
      <w:pPr>
        <w:ind w:firstLine="480"/>
        <w:rPr>
          <w:rFonts w:cs="Times New Roman"/>
        </w:rPr>
      </w:pPr>
      <w:r>
        <w:rPr>
          <w:rFonts w:hint="eastAsia" w:cs="Times New Roman"/>
        </w:rPr>
        <w:t>（31）</w:t>
      </w:r>
      <w:r>
        <w:rPr>
          <w:rFonts w:cs="Times New Roman"/>
        </w:rPr>
        <w:t>《关于发布</w:t>
      </w:r>
      <w:r>
        <w:rPr>
          <w:rFonts w:hint="eastAsia" w:cs="Times New Roman"/>
        </w:rPr>
        <w:t>&lt;</w:t>
      </w:r>
      <w:r>
        <w:rPr>
          <w:rFonts w:cs="Times New Roman"/>
        </w:rPr>
        <w:t>有毒有害水污染物名录（第一批）</w:t>
      </w:r>
      <w:r>
        <w:rPr>
          <w:rFonts w:hint="eastAsia" w:cs="Times New Roman"/>
        </w:rPr>
        <w:t>&gt;</w:t>
      </w:r>
      <w:r>
        <w:rPr>
          <w:rFonts w:cs="Times New Roman"/>
        </w:rPr>
        <w:t>的公告》</w:t>
      </w:r>
      <w:r>
        <w:rPr>
          <w:rFonts w:hint="eastAsia" w:cs="Times New Roman"/>
        </w:rPr>
        <w:t>（</w:t>
      </w:r>
      <w:r>
        <w:rPr>
          <w:rFonts w:cs="Times New Roman"/>
        </w:rPr>
        <w:t xml:space="preserve">生态环境部 </w:t>
      </w:r>
      <w:r>
        <w:rPr>
          <w:rFonts w:hint="eastAsia" w:cs="Times New Roman"/>
        </w:rPr>
        <w:t>卫生</w:t>
      </w:r>
      <w:r>
        <w:rPr>
          <w:rFonts w:cs="Times New Roman"/>
        </w:rPr>
        <w:t>健康委 公告2019年 第28号</w:t>
      </w:r>
      <w:r>
        <w:rPr>
          <w:rFonts w:hint="eastAsia" w:cs="Times New Roman"/>
        </w:rPr>
        <w:t>，</w:t>
      </w:r>
      <w:r>
        <w:rPr>
          <w:rFonts w:cs="Times New Roman"/>
        </w:rPr>
        <w:t>2019年7月24日</w:t>
      </w:r>
      <w:r>
        <w:rPr>
          <w:rFonts w:hint="eastAsia" w:cs="Times New Roman"/>
        </w:rPr>
        <w:t>）；</w:t>
      </w:r>
    </w:p>
    <w:p w14:paraId="75D3B687">
      <w:pPr>
        <w:ind w:firstLine="480"/>
        <w:rPr>
          <w:rFonts w:cs="Times New Roman"/>
        </w:rPr>
      </w:pPr>
      <w:r>
        <w:rPr>
          <w:rFonts w:hint="eastAsia" w:cs="Times New Roman"/>
        </w:rPr>
        <w:t>（32）</w:t>
      </w:r>
      <w:r>
        <w:rPr>
          <w:rFonts w:cs="Times New Roman"/>
        </w:rPr>
        <w:t>《关于加强高耗能、高排放建设项目生态环境源头防控的指导意见》</w:t>
      </w:r>
      <w:r>
        <w:rPr>
          <w:rFonts w:hint="eastAsia" w:cs="Times New Roman"/>
        </w:rPr>
        <w:t>（</w:t>
      </w:r>
      <w:r>
        <w:rPr>
          <w:rFonts w:cs="Times New Roman"/>
        </w:rPr>
        <w:t>生态环境部 环环评〔2021〕45号</w:t>
      </w:r>
      <w:r>
        <w:rPr>
          <w:rFonts w:hint="eastAsia" w:cs="Times New Roman"/>
        </w:rPr>
        <w:t>，</w:t>
      </w:r>
      <w:r>
        <w:rPr>
          <w:rFonts w:cs="Times New Roman"/>
        </w:rPr>
        <w:t>2021年5月30日</w:t>
      </w:r>
      <w:r>
        <w:rPr>
          <w:rFonts w:hint="eastAsia" w:cs="Times New Roman"/>
        </w:rPr>
        <w:t>）；</w:t>
      </w:r>
    </w:p>
    <w:p w14:paraId="354DA2A3">
      <w:pPr>
        <w:ind w:firstLine="480"/>
        <w:rPr>
          <w:rFonts w:cs="Times New Roman"/>
        </w:rPr>
      </w:pPr>
      <w:r>
        <w:rPr>
          <w:rFonts w:hint="eastAsia"/>
        </w:rPr>
        <w:t>（33）</w:t>
      </w:r>
      <w:r>
        <w:rPr>
          <w:rFonts w:hint="eastAsia" w:cs="Times New Roman"/>
        </w:rPr>
        <w:t>《关于印发</w:t>
      </w:r>
      <w:r>
        <w:rPr>
          <w:rFonts w:cs="Times New Roman"/>
        </w:rPr>
        <w:t>&lt;</w:t>
      </w:r>
      <w:r>
        <w:rPr>
          <w:rFonts w:hint="eastAsia" w:cs="Times New Roman"/>
        </w:rPr>
        <w:t>“十四五”工业绿色发展规划</w:t>
      </w:r>
      <w:r>
        <w:rPr>
          <w:rFonts w:cs="Times New Roman"/>
        </w:rPr>
        <w:t>&gt;</w:t>
      </w:r>
      <w:r>
        <w:rPr>
          <w:rFonts w:hint="eastAsia" w:cs="Times New Roman"/>
        </w:rPr>
        <w:t>的通知》（工信部规</w:t>
      </w:r>
      <w:r>
        <w:rPr>
          <w:rFonts w:cs="Times New Roman"/>
        </w:rPr>
        <w:t>〔2021〕178号</w:t>
      </w:r>
      <w:r>
        <w:rPr>
          <w:rFonts w:hint="eastAsia" w:cs="Times New Roman"/>
        </w:rPr>
        <w:t>，2</w:t>
      </w:r>
      <w:r>
        <w:rPr>
          <w:rFonts w:cs="Times New Roman"/>
        </w:rPr>
        <w:t>021</w:t>
      </w:r>
      <w:r>
        <w:rPr>
          <w:rFonts w:hint="eastAsia" w:cs="Times New Roman"/>
        </w:rPr>
        <w:t>年1</w:t>
      </w:r>
      <w:r>
        <w:rPr>
          <w:rFonts w:cs="Times New Roman"/>
        </w:rPr>
        <w:t>2</w:t>
      </w:r>
      <w:r>
        <w:rPr>
          <w:rFonts w:hint="eastAsia" w:cs="Times New Roman"/>
        </w:rPr>
        <w:t>月3日）；</w:t>
      </w:r>
    </w:p>
    <w:p w14:paraId="251A0357">
      <w:pPr>
        <w:ind w:firstLine="480"/>
        <w:rPr>
          <w:rFonts w:cs="Times New Roman"/>
        </w:rPr>
      </w:pPr>
      <w:r>
        <w:rPr>
          <w:rFonts w:hint="eastAsia" w:cs="Times New Roman"/>
        </w:rPr>
        <w:t>（34）《</w:t>
      </w:r>
      <w:r>
        <w:rPr>
          <w:rFonts w:cs="Times New Roman"/>
        </w:rPr>
        <w:t>加强规划环境影响评价与建设项目环境影响评价联动工作的意见</w:t>
      </w:r>
      <w:r>
        <w:rPr>
          <w:rFonts w:hint="eastAsia" w:cs="Times New Roman"/>
        </w:rPr>
        <w:t>（试行）》（</w:t>
      </w:r>
      <w:r>
        <w:rPr>
          <w:rFonts w:cs="Times New Roman"/>
        </w:rPr>
        <w:t>环境保护部办公厅文件 环办环评〔2016〕14号，2016年12月24日</w:t>
      </w:r>
      <w:r>
        <w:rPr>
          <w:rFonts w:hint="eastAsia" w:cs="Times New Roman"/>
        </w:rPr>
        <w:t>）；</w:t>
      </w:r>
    </w:p>
    <w:p w14:paraId="763EDFE2">
      <w:pPr>
        <w:ind w:firstLine="480"/>
      </w:pPr>
      <w:r>
        <w:rPr>
          <w:rFonts w:hint="eastAsia" w:cs="Times New Roman"/>
        </w:rPr>
        <w:t>（35）《</w:t>
      </w:r>
      <w:r>
        <w:rPr>
          <w:rFonts w:hint="eastAsia"/>
        </w:rPr>
        <w:t>长江经济带发展负面清单指南（试行，2</w:t>
      </w:r>
      <w:r>
        <w:t>022</w:t>
      </w:r>
      <w:r>
        <w:rPr>
          <w:rFonts w:hint="eastAsia"/>
        </w:rPr>
        <w:t>年版）</w:t>
      </w:r>
      <w:r>
        <w:rPr>
          <w:rFonts w:hint="eastAsia" w:cs="Times New Roman"/>
        </w:rPr>
        <w:t>》（推动</w:t>
      </w:r>
      <w:r>
        <w:rPr>
          <w:rFonts w:cs="Times New Roman"/>
        </w:rPr>
        <w:t>长江经济</w:t>
      </w:r>
      <w:r>
        <w:rPr>
          <w:rFonts w:hint="eastAsia" w:cs="Times New Roman"/>
        </w:rPr>
        <w:t>带</w:t>
      </w:r>
      <w:r>
        <w:rPr>
          <w:rFonts w:cs="Times New Roman"/>
        </w:rPr>
        <w:t>发展</w:t>
      </w:r>
      <w:r>
        <w:rPr>
          <w:rFonts w:hint="eastAsia" w:cs="Times New Roman"/>
        </w:rPr>
        <w:t>领导</w:t>
      </w:r>
      <w:r>
        <w:rPr>
          <w:rFonts w:cs="Times New Roman"/>
        </w:rPr>
        <w:t>小组办公室</w:t>
      </w:r>
      <w:r>
        <w:rPr>
          <w:rFonts w:hint="eastAsia" w:cs="Times New Roman"/>
        </w:rPr>
        <w:t xml:space="preserve"> 长江办[</w:t>
      </w:r>
      <w:r>
        <w:rPr>
          <w:rFonts w:cs="Times New Roman"/>
        </w:rPr>
        <w:t>2022</w:t>
      </w:r>
      <w:r>
        <w:rPr>
          <w:rFonts w:hint="eastAsia" w:cs="Times New Roman"/>
        </w:rPr>
        <w:t>]</w:t>
      </w:r>
      <w:r>
        <w:rPr>
          <w:rFonts w:cs="Times New Roman"/>
        </w:rPr>
        <w:t>7</w:t>
      </w:r>
      <w:r>
        <w:rPr>
          <w:rFonts w:hint="eastAsia" w:cs="Times New Roman"/>
        </w:rPr>
        <w:t>号</w:t>
      </w:r>
      <w:r>
        <w:rPr>
          <w:rFonts w:cs="Times New Roman"/>
        </w:rPr>
        <w:t>，</w:t>
      </w:r>
      <w:r>
        <w:rPr>
          <w:rFonts w:hint="eastAsia" w:cs="Times New Roman"/>
        </w:rPr>
        <w:t>2022年2月16日）。</w:t>
      </w:r>
    </w:p>
    <w:p w14:paraId="6646C7C1">
      <w:pPr>
        <w:pStyle w:val="4068"/>
      </w:pPr>
      <w:bookmarkStart w:id="21" w:name="_Toc108662547"/>
      <w:bookmarkStart w:id="22" w:name="_Toc101135781"/>
      <w:bookmarkStart w:id="23" w:name="_Toc100783953"/>
      <w:r>
        <w:t>2.1.2</w:t>
      </w:r>
      <w:r>
        <w:rPr>
          <w:rFonts w:hint="eastAsia"/>
        </w:rPr>
        <w:t>安徽省及地方有关法律、法规</w:t>
      </w:r>
      <w:bookmarkEnd w:id="21"/>
      <w:bookmarkEnd w:id="22"/>
      <w:bookmarkEnd w:id="23"/>
    </w:p>
    <w:p w14:paraId="7604315B">
      <w:pPr>
        <w:ind w:firstLine="480"/>
      </w:pPr>
      <w:bookmarkStart w:id="24" w:name="_Toc100783954"/>
      <w:bookmarkStart w:id="25" w:name="_Toc101135782"/>
      <w:r>
        <w:rPr>
          <w:rFonts w:hint="eastAsia" w:ascii="宋体" w:hAnsi="宋体"/>
        </w:rPr>
        <w:t>（</w:t>
      </w:r>
      <w:r>
        <w:rPr>
          <w:rFonts w:hint="eastAsia"/>
        </w:rPr>
        <w:t>1</w:t>
      </w:r>
      <w:r>
        <w:rPr>
          <w:rFonts w:hint="eastAsia" w:ascii="宋体" w:hAnsi="宋体"/>
        </w:rPr>
        <w:t>）《安徽省环境保护条例》（</w:t>
      </w:r>
      <w:r>
        <w:rPr>
          <w:rFonts w:hint="eastAsia"/>
        </w:rPr>
        <w:t>2017</w:t>
      </w:r>
      <w:r>
        <w:rPr>
          <w:rFonts w:hint="eastAsia" w:ascii="宋体" w:hAnsi="宋体"/>
        </w:rPr>
        <w:t>年</w:t>
      </w:r>
      <w:r>
        <w:rPr>
          <w:rFonts w:hint="eastAsia"/>
        </w:rPr>
        <w:t>11</w:t>
      </w:r>
      <w:r>
        <w:rPr>
          <w:rFonts w:hint="eastAsia" w:ascii="宋体" w:hAnsi="宋体"/>
        </w:rPr>
        <w:t>月</w:t>
      </w:r>
      <w:r>
        <w:rPr>
          <w:rFonts w:hint="eastAsia"/>
        </w:rPr>
        <w:t>17</w:t>
      </w:r>
      <w:r>
        <w:rPr>
          <w:rFonts w:hint="eastAsia" w:ascii="宋体" w:hAnsi="宋体"/>
        </w:rPr>
        <w:t>日修订，</w:t>
      </w:r>
      <w:r>
        <w:rPr>
          <w:rFonts w:hint="eastAsia"/>
        </w:rPr>
        <w:t>20</w:t>
      </w:r>
      <w:r>
        <w:t>18</w:t>
      </w:r>
      <w:r>
        <w:rPr>
          <w:rFonts w:hint="eastAsia" w:ascii="宋体" w:hAnsi="宋体"/>
        </w:rPr>
        <w:t>年</w:t>
      </w:r>
      <w:r>
        <w:rPr>
          <w:rFonts w:hint="eastAsia"/>
        </w:rPr>
        <w:t>1</w:t>
      </w:r>
      <w:r>
        <w:rPr>
          <w:rFonts w:hint="eastAsia" w:ascii="宋体" w:hAnsi="宋体"/>
        </w:rPr>
        <w:t>月</w:t>
      </w:r>
      <w:r>
        <w:rPr>
          <w:rFonts w:hint="eastAsia"/>
        </w:rPr>
        <w:t>1</w:t>
      </w:r>
      <w:r>
        <w:rPr>
          <w:rFonts w:hint="eastAsia" w:ascii="宋体" w:hAnsi="宋体"/>
        </w:rPr>
        <w:t>日施行）；</w:t>
      </w:r>
    </w:p>
    <w:p w14:paraId="19E66600">
      <w:pPr>
        <w:ind w:firstLine="480"/>
        <w:rPr>
          <w:rFonts w:ascii="宋体" w:hAnsi="宋体"/>
        </w:rPr>
      </w:pPr>
      <w:r>
        <w:rPr>
          <w:rFonts w:hint="eastAsia"/>
        </w:rPr>
        <w:t>（2）</w:t>
      </w:r>
      <w:r>
        <w:t>《安徽省环保厅关于加强土壤环境污染重点监管企业土壤环境监管的通知》</w:t>
      </w:r>
      <w:r>
        <w:rPr>
          <w:rFonts w:hint="eastAsia"/>
        </w:rPr>
        <w:t>（</w:t>
      </w:r>
      <w:r>
        <w:t>安徽省环保厅 皖环函〔2018〕955号</w:t>
      </w:r>
      <w:r>
        <w:rPr>
          <w:rFonts w:hint="eastAsia"/>
        </w:rPr>
        <w:t>，</w:t>
      </w:r>
      <w:r>
        <w:t>2018年7月23日</w:t>
      </w:r>
      <w:r>
        <w:rPr>
          <w:rFonts w:hint="eastAsia"/>
        </w:rPr>
        <w:t>）；</w:t>
      </w:r>
    </w:p>
    <w:p w14:paraId="36E3BDE1">
      <w:pPr>
        <w:ind w:firstLine="480"/>
        <w:rPr>
          <w:rFonts w:ascii="宋体" w:hAnsi="宋体"/>
        </w:rPr>
      </w:pPr>
      <w:r>
        <w:rPr>
          <w:rFonts w:hint="eastAsia"/>
        </w:rPr>
        <w:t>（3）</w:t>
      </w:r>
      <w:r>
        <w:t>《安徽省生态环境厅关于加强高耗能、高排放项目生态环境源头防控的实施意见的通知》</w:t>
      </w:r>
      <w:r>
        <w:rPr>
          <w:rFonts w:hint="eastAsia"/>
        </w:rPr>
        <w:t>（</w:t>
      </w:r>
      <w:r>
        <w:t>安徽省生态环境厅</w:t>
      </w:r>
      <w:r>
        <w:rPr>
          <w:rFonts w:hint="eastAsia"/>
        </w:rPr>
        <w:t>，</w:t>
      </w:r>
      <w:r>
        <w:t>2021年6月14日</w:t>
      </w:r>
      <w:r>
        <w:rPr>
          <w:rFonts w:hint="eastAsia"/>
        </w:rPr>
        <w:t>）；</w:t>
      </w:r>
    </w:p>
    <w:p w14:paraId="59F83D33">
      <w:pPr>
        <w:ind w:firstLine="480"/>
      </w:pPr>
      <w:r>
        <w:rPr>
          <w:rFonts w:hint="eastAsia" w:ascii="宋体" w:hAnsi="宋体"/>
        </w:rPr>
        <w:t>（</w:t>
      </w:r>
      <w:r>
        <w:t>4</w:t>
      </w:r>
      <w:r>
        <w:rPr>
          <w:rFonts w:hint="eastAsia" w:ascii="宋体" w:hAnsi="宋体"/>
        </w:rPr>
        <w:t>）《安徽省环保厅转发环保部办公厅关于切实加强环境影响评价监督管理工作的通知和关于印发建设项目环境影响评价政府信息公开指南（试行）的通知》（安徽省环保厅</w:t>
      </w:r>
      <w:r>
        <w:rPr>
          <w:rFonts w:hint="eastAsia"/>
        </w:rPr>
        <w:t xml:space="preserve"> </w:t>
      </w:r>
      <w:r>
        <w:rPr>
          <w:rFonts w:hint="eastAsia" w:ascii="宋体" w:hAnsi="宋体"/>
        </w:rPr>
        <w:t>皖环发</w:t>
      </w:r>
      <w:r>
        <w:rPr>
          <w:rFonts w:hint="eastAsia"/>
        </w:rPr>
        <w:t>[2013]1533</w:t>
      </w:r>
      <w:r>
        <w:rPr>
          <w:rFonts w:hint="eastAsia" w:ascii="宋体" w:hAnsi="宋体"/>
        </w:rPr>
        <w:t>号）；</w:t>
      </w:r>
    </w:p>
    <w:p w14:paraId="2350ACEA">
      <w:pPr>
        <w:ind w:firstLine="480"/>
      </w:pPr>
      <w:r>
        <w:rPr>
          <w:rFonts w:hint="eastAsia" w:ascii="宋体" w:hAnsi="宋体"/>
        </w:rPr>
        <w:t>（</w:t>
      </w:r>
      <w:r>
        <w:t>5</w:t>
      </w:r>
      <w:r>
        <w:rPr>
          <w:rFonts w:hint="eastAsia" w:ascii="宋体" w:hAnsi="宋体"/>
        </w:rPr>
        <w:t>）《关于发布</w:t>
      </w:r>
      <w:r>
        <w:rPr>
          <w:rFonts w:hint="eastAsia"/>
        </w:rPr>
        <w:t>&lt;</w:t>
      </w:r>
      <w:r>
        <w:rPr>
          <w:rFonts w:hint="eastAsia" w:ascii="宋体" w:hAnsi="宋体"/>
        </w:rPr>
        <w:t>安徽省建设项目环境影响评价文件审批权限的规定（</w:t>
      </w:r>
      <w:r>
        <w:rPr>
          <w:rFonts w:hint="eastAsia"/>
        </w:rPr>
        <w:t>2019</w:t>
      </w:r>
      <w:r>
        <w:rPr>
          <w:rFonts w:hint="eastAsia" w:ascii="宋体" w:hAnsi="宋体"/>
        </w:rPr>
        <w:t>年本）</w:t>
      </w:r>
      <w:r>
        <w:rPr>
          <w:rFonts w:hint="eastAsia"/>
        </w:rPr>
        <w:t>&gt;</w:t>
      </w:r>
      <w:r>
        <w:rPr>
          <w:rFonts w:hint="eastAsia" w:ascii="宋体" w:hAnsi="宋体"/>
        </w:rPr>
        <w:t>的公告》（皖环函</w:t>
      </w:r>
      <w:r>
        <w:rPr>
          <w:rFonts w:hint="eastAsia"/>
        </w:rPr>
        <w:t>[</w:t>
      </w:r>
      <w:r>
        <w:t>2019</w:t>
      </w:r>
      <w:r>
        <w:rPr>
          <w:rFonts w:hint="eastAsia"/>
        </w:rPr>
        <w:t>]</w:t>
      </w:r>
      <w:r>
        <w:t>891</w:t>
      </w:r>
      <w:r>
        <w:rPr>
          <w:rFonts w:hint="eastAsia" w:ascii="宋体" w:hAnsi="宋体"/>
        </w:rPr>
        <w:t>号，</w:t>
      </w:r>
      <w:r>
        <w:rPr>
          <w:rFonts w:hint="eastAsia"/>
        </w:rPr>
        <w:t>2019</w:t>
      </w:r>
      <w:r>
        <w:rPr>
          <w:rFonts w:hint="eastAsia" w:ascii="宋体" w:hAnsi="宋体"/>
        </w:rPr>
        <w:t>年</w:t>
      </w:r>
      <w:r>
        <w:rPr>
          <w:rFonts w:hint="eastAsia"/>
        </w:rPr>
        <w:t>9</w:t>
      </w:r>
      <w:r>
        <w:rPr>
          <w:rFonts w:hint="eastAsia" w:ascii="宋体" w:hAnsi="宋体"/>
        </w:rPr>
        <w:t>月</w:t>
      </w:r>
      <w:r>
        <w:rPr>
          <w:rFonts w:hint="eastAsia"/>
        </w:rPr>
        <w:t>21</w:t>
      </w:r>
      <w:r>
        <w:rPr>
          <w:rFonts w:hint="eastAsia" w:ascii="宋体" w:hAnsi="宋体"/>
        </w:rPr>
        <w:t>日）；</w:t>
      </w:r>
    </w:p>
    <w:p w14:paraId="6906493F">
      <w:pPr>
        <w:ind w:firstLine="480"/>
      </w:pPr>
      <w:r>
        <w:rPr>
          <w:rFonts w:hint="eastAsia" w:ascii="宋体" w:hAnsi="宋体"/>
        </w:rPr>
        <w:t>（</w:t>
      </w:r>
      <w:r>
        <w:t>6</w:t>
      </w:r>
      <w:r>
        <w:rPr>
          <w:rFonts w:hint="eastAsia" w:ascii="宋体" w:hAnsi="宋体"/>
        </w:rPr>
        <w:t>）《关于发布</w:t>
      </w:r>
      <w:r>
        <w:rPr>
          <w:rFonts w:hint="eastAsia"/>
        </w:rPr>
        <w:t>&lt;</w:t>
      </w:r>
      <w:r>
        <w:rPr>
          <w:rFonts w:hint="eastAsia" w:ascii="宋体" w:hAnsi="宋体"/>
        </w:rPr>
        <w:t>安徽省“十四五”危险废物 工业固体废物污染环境防治规划</w:t>
      </w:r>
      <w:r>
        <w:rPr>
          <w:rFonts w:hint="eastAsia"/>
        </w:rPr>
        <w:t>&gt;</w:t>
      </w:r>
      <w:r>
        <w:rPr>
          <w:rFonts w:hint="eastAsia" w:ascii="宋体" w:hAnsi="宋体"/>
        </w:rPr>
        <w:t>的通知》（皖环发</w:t>
      </w:r>
      <w:r>
        <w:rPr>
          <w:rFonts w:hint="eastAsia"/>
        </w:rPr>
        <w:t>[20</w:t>
      </w:r>
      <w:r>
        <w:t>21</w:t>
      </w:r>
      <w:r>
        <w:rPr>
          <w:rFonts w:hint="eastAsia"/>
        </w:rPr>
        <w:t>]</w:t>
      </w:r>
      <w:r>
        <w:t>40</w:t>
      </w:r>
      <w:r>
        <w:rPr>
          <w:rFonts w:hint="eastAsia" w:ascii="宋体" w:hAnsi="宋体"/>
        </w:rPr>
        <w:t>号，</w:t>
      </w:r>
      <w:r>
        <w:rPr>
          <w:rFonts w:hint="eastAsia"/>
        </w:rPr>
        <w:t>20</w:t>
      </w:r>
      <w:r>
        <w:t>21</w:t>
      </w:r>
      <w:r>
        <w:rPr>
          <w:rFonts w:hint="eastAsia" w:ascii="宋体" w:hAnsi="宋体"/>
        </w:rPr>
        <w:t>年</w:t>
      </w:r>
      <w:r>
        <w:t>9</w:t>
      </w:r>
      <w:r>
        <w:rPr>
          <w:rFonts w:hint="eastAsia" w:ascii="宋体" w:hAnsi="宋体"/>
        </w:rPr>
        <w:t>月</w:t>
      </w:r>
      <w:r>
        <w:t>16</w:t>
      </w:r>
      <w:r>
        <w:rPr>
          <w:rFonts w:hint="eastAsia" w:ascii="宋体" w:hAnsi="宋体"/>
        </w:rPr>
        <w:t>日）；</w:t>
      </w:r>
    </w:p>
    <w:p w14:paraId="3134F797">
      <w:pPr>
        <w:ind w:firstLine="480"/>
      </w:pPr>
      <w:r>
        <w:rPr>
          <w:rFonts w:hint="eastAsia" w:ascii="宋体" w:hAnsi="宋体"/>
        </w:rPr>
        <w:t>（</w:t>
      </w:r>
      <w:r>
        <w:t>7</w:t>
      </w:r>
      <w:r>
        <w:rPr>
          <w:rFonts w:hint="eastAsia" w:ascii="宋体" w:hAnsi="宋体"/>
        </w:rPr>
        <w:t>）《安徽省淮河流域水污染防治条例》（安徽省人民代表大会常务委员会公告（第八号），</w:t>
      </w:r>
      <w:r>
        <w:rPr>
          <w:rFonts w:hint="eastAsia"/>
        </w:rPr>
        <w:t>2018</w:t>
      </w:r>
      <w:r>
        <w:rPr>
          <w:rFonts w:hint="eastAsia" w:ascii="宋体" w:hAnsi="宋体"/>
        </w:rPr>
        <w:t>年</w:t>
      </w:r>
      <w:r>
        <w:rPr>
          <w:rFonts w:hint="eastAsia"/>
        </w:rPr>
        <w:t>11</w:t>
      </w:r>
      <w:r>
        <w:rPr>
          <w:rFonts w:hint="eastAsia" w:ascii="宋体" w:hAnsi="宋体"/>
        </w:rPr>
        <w:t>月</w:t>
      </w:r>
      <w:r>
        <w:rPr>
          <w:rFonts w:hint="eastAsia"/>
        </w:rPr>
        <w:t>23</w:t>
      </w:r>
      <w:r>
        <w:rPr>
          <w:rFonts w:hint="eastAsia" w:ascii="宋体" w:hAnsi="宋体"/>
        </w:rPr>
        <w:t>日修订，</w:t>
      </w:r>
      <w:r>
        <w:rPr>
          <w:rFonts w:hint="eastAsia"/>
        </w:rPr>
        <w:t>2019</w:t>
      </w:r>
      <w:r>
        <w:rPr>
          <w:rFonts w:hint="eastAsia" w:ascii="宋体" w:hAnsi="宋体"/>
        </w:rPr>
        <w:t>年</w:t>
      </w:r>
      <w:r>
        <w:rPr>
          <w:rFonts w:hint="eastAsia"/>
        </w:rPr>
        <w:t>1</w:t>
      </w:r>
      <w:r>
        <w:rPr>
          <w:rFonts w:hint="eastAsia" w:ascii="宋体" w:hAnsi="宋体"/>
        </w:rPr>
        <w:t>月</w:t>
      </w:r>
      <w:r>
        <w:rPr>
          <w:rFonts w:hint="eastAsia"/>
        </w:rPr>
        <w:t>1</w:t>
      </w:r>
      <w:r>
        <w:rPr>
          <w:rFonts w:hint="eastAsia" w:ascii="宋体" w:hAnsi="宋体"/>
        </w:rPr>
        <w:t>日起施行）；</w:t>
      </w:r>
    </w:p>
    <w:p w14:paraId="580B1F71">
      <w:pPr>
        <w:ind w:firstLine="480"/>
      </w:pPr>
      <w:r>
        <w:rPr>
          <w:rFonts w:hint="eastAsia" w:ascii="宋体" w:hAnsi="宋体"/>
        </w:rPr>
        <w:t>（</w:t>
      </w:r>
      <w:r>
        <w:t>8</w:t>
      </w:r>
      <w:r>
        <w:rPr>
          <w:rFonts w:hint="eastAsia" w:ascii="宋体" w:hAnsi="宋体"/>
        </w:rPr>
        <w:t>）《安徽省大气办关于印发</w:t>
      </w:r>
      <w:r>
        <w:rPr>
          <w:rFonts w:hint="eastAsia"/>
        </w:rPr>
        <w:t>&lt;</w:t>
      </w:r>
      <w:r>
        <w:rPr>
          <w:rFonts w:hint="eastAsia" w:ascii="宋体" w:hAnsi="宋体"/>
        </w:rPr>
        <w:t>安徽省</w:t>
      </w:r>
      <w:r>
        <w:rPr>
          <w:rFonts w:hint="eastAsia"/>
        </w:rPr>
        <w:t>2021</w:t>
      </w:r>
      <w:r>
        <w:rPr>
          <w:rFonts w:hint="eastAsia" w:ascii="宋体" w:hAnsi="宋体"/>
        </w:rPr>
        <w:t>年应对气候变化和大气污染防治重点工作任务</w:t>
      </w:r>
      <w:r>
        <w:rPr>
          <w:rFonts w:hint="eastAsia"/>
        </w:rPr>
        <w:t>&gt;</w:t>
      </w:r>
      <w:r>
        <w:rPr>
          <w:rFonts w:hint="eastAsia" w:ascii="宋体" w:hAnsi="宋体"/>
        </w:rPr>
        <w:t>的通知》（皖大气办</w:t>
      </w:r>
      <w:r>
        <w:rPr>
          <w:rFonts w:hint="eastAsia"/>
        </w:rPr>
        <w:t>[2021]3</w:t>
      </w:r>
      <w:r>
        <w:rPr>
          <w:rFonts w:hint="eastAsia" w:ascii="宋体" w:hAnsi="宋体"/>
        </w:rPr>
        <w:t>号</w:t>
      </w:r>
      <w:r>
        <w:rPr>
          <w:rFonts w:hint="eastAsia"/>
        </w:rPr>
        <w:t>,</w:t>
      </w:r>
      <w:r>
        <w:t>2021</w:t>
      </w:r>
      <w:r>
        <w:rPr>
          <w:rFonts w:hint="eastAsia" w:ascii="宋体" w:hAnsi="宋体"/>
        </w:rPr>
        <w:t>年</w:t>
      </w:r>
      <w:r>
        <w:rPr>
          <w:rFonts w:hint="eastAsia"/>
        </w:rPr>
        <w:t>3</w:t>
      </w:r>
      <w:r>
        <w:rPr>
          <w:rFonts w:hint="eastAsia" w:ascii="宋体" w:hAnsi="宋体"/>
        </w:rPr>
        <w:t>月</w:t>
      </w:r>
      <w:r>
        <w:rPr>
          <w:rFonts w:hint="eastAsia"/>
        </w:rPr>
        <w:t>26</w:t>
      </w:r>
      <w:r>
        <w:rPr>
          <w:rFonts w:hint="eastAsia" w:ascii="宋体" w:hAnsi="宋体"/>
        </w:rPr>
        <w:t>日）；</w:t>
      </w:r>
    </w:p>
    <w:p w14:paraId="3DC205BF">
      <w:pPr>
        <w:ind w:firstLine="480"/>
      </w:pPr>
      <w:r>
        <w:rPr>
          <w:rFonts w:hint="eastAsia" w:ascii="宋体" w:hAnsi="宋体"/>
        </w:rPr>
        <w:t>（</w:t>
      </w:r>
      <w:r>
        <w:t>9</w:t>
      </w:r>
      <w:r>
        <w:rPr>
          <w:rFonts w:hint="eastAsia" w:ascii="宋体" w:hAnsi="宋体"/>
        </w:rPr>
        <w:t>）《安徽省人民政府关于建立固体废物污染防控长效机制的意见》（安徽省人民政府</w:t>
      </w:r>
      <w:r>
        <w:rPr>
          <w:rFonts w:hint="eastAsia"/>
        </w:rPr>
        <w:t xml:space="preserve"> </w:t>
      </w:r>
      <w:r>
        <w:rPr>
          <w:rFonts w:hint="eastAsia" w:ascii="宋体" w:hAnsi="宋体"/>
        </w:rPr>
        <w:t>皖政</w:t>
      </w:r>
      <w:r>
        <w:rPr>
          <w:rFonts w:hint="eastAsia"/>
        </w:rPr>
        <w:t>[2018]51</w:t>
      </w:r>
      <w:r>
        <w:rPr>
          <w:rFonts w:hint="eastAsia" w:ascii="宋体" w:hAnsi="宋体"/>
        </w:rPr>
        <w:t>号，</w:t>
      </w:r>
      <w:r>
        <w:rPr>
          <w:rFonts w:hint="eastAsia"/>
        </w:rPr>
        <w:t>2018</w:t>
      </w:r>
      <w:r>
        <w:rPr>
          <w:rFonts w:hint="eastAsia" w:ascii="宋体" w:hAnsi="宋体"/>
        </w:rPr>
        <w:t>年</w:t>
      </w:r>
      <w:r>
        <w:t>6</w:t>
      </w:r>
      <w:r>
        <w:rPr>
          <w:rFonts w:hint="eastAsia" w:ascii="宋体" w:hAnsi="宋体"/>
        </w:rPr>
        <w:t>月</w:t>
      </w:r>
      <w:r>
        <w:rPr>
          <w:rFonts w:hint="eastAsia"/>
        </w:rPr>
        <w:t>2</w:t>
      </w:r>
      <w:r>
        <w:t>7</w:t>
      </w:r>
      <w:r>
        <w:rPr>
          <w:rFonts w:hint="eastAsia" w:ascii="宋体" w:hAnsi="宋体"/>
        </w:rPr>
        <w:t>日）；</w:t>
      </w:r>
    </w:p>
    <w:p w14:paraId="5763461B">
      <w:pPr>
        <w:ind w:firstLine="480"/>
      </w:pPr>
      <w:r>
        <w:rPr>
          <w:rFonts w:hint="eastAsia" w:ascii="宋体" w:hAnsi="宋体"/>
        </w:rPr>
        <w:t>（</w:t>
      </w:r>
      <w:r>
        <w:rPr>
          <w:rFonts w:hint="eastAsia"/>
        </w:rPr>
        <w:t>1</w:t>
      </w:r>
      <w:r>
        <w:t>0</w:t>
      </w:r>
      <w:r>
        <w:rPr>
          <w:rFonts w:hint="eastAsia" w:ascii="宋体" w:hAnsi="宋体"/>
        </w:rPr>
        <w:t>）《安徽省环保厅关于进一步加强危险废物环境监督管理的通知》（安徽省环境保护厅文件</w:t>
      </w:r>
      <w:r>
        <w:rPr>
          <w:rFonts w:hint="eastAsia"/>
        </w:rPr>
        <w:t xml:space="preserve"> </w:t>
      </w:r>
      <w:r>
        <w:rPr>
          <w:rFonts w:hint="eastAsia" w:ascii="宋体" w:hAnsi="宋体"/>
        </w:rPr>
        <w:t>皖环发</w:t>
      </w:r>
      <w:r>
        <w:rPr>
          <w:rFonts w:hint="eastAsia"/>
        </w:rPr>
        <w:t>[2017]166</w:t>
      </w:r>
      <w:r>
        <w:rPr>
          <w:rFonts w:hint="eastAsia" w:ascii="宋体" w:hAnsi="宋体"/>
        </w:rPr>
        <w:t>号，</w:t>
      </w:r>
      <w:r>
        <w:rPr>
          <w:rFonts w:hint="eastAsia"/>
        </w:rPr>
        <w:t>2017</w:t>
      </w:r>
      <w:r>
        <w:rPr>
          <w:rFonts w:hint="eastAsia" w:ascii="宋体" w:hAnsi="宋体"/>
        </w:rPr>
        <w:t>年</w:t>
      </w:r>
      <w:r>
        <w:rPr>
          <w:rFonts w:hint="eastAsia"/>
        </w:rPr>
        <w:t>11</w:t>
      </w:r>
      <w:r>
        <w:rPr>
          <w:rFonts w:hint="eastAsia" w:ascii="宋体" w:hAnsi="宋体"/>
        </w:rPr>
        <w:t>月</w:t>
      </w:r>
      <w:r>
        <w:rPr>
          <w:rFonts w:hint="eastAsia"/>
        </w:rPr>
        <w:t>22</w:t>
      </w:r>
      <w:r>
        <w:rPr>
          <w:rFonts w:hint="eastAsia" w:ascii="宋体" w:hAnsi="宋体"/>
        </w:rPr>
        <w:t>日）；</w:t>
      </w:r>
    </w:p>
    <w:p w14:paraId="16854BDC">
      <w:pPr>
        <w:ind w:firstLine="480"/>
      </w:pPr>
      <w:r>
        <w:rPr>
          <w:rFonts w:hint="eastAsia" w:ascii="宋体" w:hAnsi="宋体"/>
        </w:rPr>
        <w:t>（</w:t>
      </w:r>
      <w:r>
        <w:rPr>
          <w:rFonts w:hint="eastAsia"/>
        </w:rPr>
        <w:t>1</w:t>
      </w:r>
      <w:r>
        <w:t>1</w:t>
      </w:r>
      <w:r>
        <w:rPr>
          <w:rFonts w:hint="eastAsia" w:ascii="宋体" w:hAnsi="宋体"/>
        </w:rPr>
        <w:t>）《安徽省生态环境厅关于统筹做好固定污染源排污许可日常管理工作的通知》（皖环发</w:t>
      </w:r>
      <w:r>
        <w:rPr>
          <w:rFonts w:hint="eastAsia"/>
        </w:rPr>
        <w:t>[</w:t>
      </w:r>
      <w:r>
        <w:t>2021</w:t>
      </w:r>
      <w:r>
        <w:rPr>
          <w:rFonts w:hint="eastAsia"/>
        </w:rPr>
        <w:t>]7</w:t>
      </w:r>
      <w:r>
        <w:rPr>
          <w:rFonts w:hint="eastAsia" w:ascii="宋体" w:hAnsi="宋体"/>
        </w:rPr>
        <w:t>号</w:t>
      </w:r>
      <w:r>
        <w:rPr>
          <w:rFonts w:hint="eastAsia"/>
        </w:rPr>
        <w:t>，2021年1月30日</w:t>
      </w:r>
      <w:r>
        <w:rPr>
          <w:rFonts w:hint="eastAsia" w:ascii="宋体" w:hAnsi="宋体"/>
        </w:rPr>
        <w:t>）；</w:t>
      </w:r>
    </w:p>
    <w:p w14:paraId="12BBE66E">
      <w:pPr>
        <w:ind w:firstLine="480"/>
        <w:rPr>
          <w:rFonts w:ascii="宋体" w:hAnsi="宋体"/>
        </w:rPr>
      </w:pPr>
      <w:r>
        <w:rPr>
          <w:rFonts w:hint="eastAsia" w:ascii="宋体" w:hAnsi="宋体"/>
        </w:rPr>
        <w:t>（</w:t>
      </w:r>
      <w:r>
        <w:rPr>
          <w:rFonts w:hint="eastAsia"/>
        </w:rPr>
        <w:t>1</w:t>
      </w:r>
      <w:r>
        <w:t>2</w:t>
      </w:r>
      <w:r>
        <w:rPr>
          <w:rFonts w:hint="eastAsia" w:ascii="宋体" w:hAnsi="宋体"/>
        </w:rPr>
        <w:t>）《安徽省生态环境厅关于做好</w:t>
      </w:r>
      <w:r>
        <w:rPr>
          <w:rFonts w:hint="eastAsia"/>
        </w:rPr>
        <w:t>2020</w:t>
      </w:r>
      <w:r>
        <w:rPr>
          <w:rFonts w:hint="eastAsia" w:ascii="宋体" w:hAnsi="宋体"/>
        </w:rPr>
        <w:t>年度碳排放报告与核查相关工作的通知》（皖环函</w:t>
      </w:r>
      <w:r>
        <w:rPr>
          <w:rFonts w:hint="eastAsia"/>
        </w:rPr>
        <w:t>[</w:t>
      </w:r>
      <w:r>
        <w:t>2021</w:t>
      </w:r>
      <w:r>
        <w:rPr>
          <w:rFonts w:hint="eastAsia"/>
        </w:rPr>
        <w:t>]191</w:t>
      </w:r>
      <w:r>
        <w:rPr>
          <w:rFonts w:hint="eastAsia" w:ascii="宋体" w:hAnsi="宋体"/>
        </w:rPr>
        <w:t>号）；</w:t>
      </w:r>
    </w:p>
    <w:p w14:paraId="4D83C395">
      <w:pPr>
        <w:ind w:firstLine="480"/>
        <w:rPr>
          <w:rFonts w:ascii="宋体" w:hAnsi="宋体"/>
        </w:rPr>
      </w:pPr>
      <w:r>
        <w:rPr>
          <w:rFonts w:hint="eastAsia"/>
        </w:rPr>
        <w:t>（13）</w:t>
      </w:r>
      <w:r>
        <w:rPr>
          <w:rFonts w:hint="eastAsia" w:ascii="宋体" w:hAnsi="宋体"/>
        </w:rPr>
        <w:t>《安徽省“十四五”危险废物、工业固体废物污染环境防治规划》（皖环发</w:t>
      </w:r>
      <w:r>
        <w:rPr>
          <w:rFonts w:hint="eastAsia"/>
        </w:rPr>
        <w:t>[</w:t>
      </w:r>
      <w:r>
        <w:t>2021</w:t>
      </w:r>
      <w:r>
        <w:rPr>
          <w:rFonts w:hint="eastAsia"/>
        </w:rPr>
        <w:t>]</w:t>
      </w:r>
      <w:r>
        <w:t>40</w:t>
      </w:r>
      <w:r>
        <w:rPr>
          <w:rFonts w:hint="eastAsia" w:ascii="宋体" w:hAnsi="宋体"/>
        </w:rPr>
        <w:t>号，</w:t>
      </w:r>
      <w:r>
        <w:rPr>
          <w:rFonts w:hint="eastAsia"/>
        </w:rPr>
        <w:t>2021</w:t>
      </w:r>
      <w:r>
        <w:rPr>
          <w:rFonts w:hint="eastAsia" w:ascii="宋体" w:hAnsi="宋体"/>
        </w:rPr>
        <w:t>年</w:t>
      </w:r>
      <w:r>
        <w:rPr>
          <w:rFonts w:hint="eastAsia"/>
        </w:rPr>
        <w:t>9</w:t>
      </w:r>
      <w:r>
        <w:rPr>
          <w:rFonts w:hint="eastAsia" w:ascii="宋体" w:hAnsi="宋体"/>
        </w:rPr>
        <w:t>月</w:t>
      </w:r>
      <w:r>
        <w:rPr>
          <w:rFonts w:hint="eastAsia"/>
        </w:rPr>
        <w:t>16</w:t>
      </w:r>
      <w:r>
        <w:rPr>
          <w:rFonts w:hint="eastAsia" w:ascii="宋体" w:hAnsi="宋体"/>
        </w:rPr>
        <w:t>日）；</w:t>
      </w:r>
    </w:p>
    <w:p w14:paraId="52F2F8C1">
      <w:pPr>
        <w:ind w:firstLine="480"/>
        <w:rPr>
          <w:rFonts w:cs="Times New Roman"/>
          <w:szCs w:val="24"/>
        </w:rPr>
      </w:pPr>
      <w:r>
        <w:rPr>
          <w:rFonts w:hint="eastAsia"/>
        </w:rPr>
        <w:t>（14）</w:t>
      </w:r>
      <w:r>
        <w:t>《安</w:t>
      </w:r>
      <w:r>
        <w:rPr>
          <w:rFonts w:cs="Times New Roman"/>
          <w:szCs w:val="24"/>
        </w:rPr>
        <w:t>徽省生态环境厅关于加强化工行业建设项目环境管理的通知》</w:t>
      </w:r>
      <w:r>
        <w:rPr>
          <w:rFonts w:hint="eastAsia" w:cs="Times New Roman"/>
          <w:szCs w:val="24"/>
        </w:rPr>
        <w:t>（</w:t>
      </w:r>
      <w:r>
        <w:rPr>
          <w:rFonts w:cs="Times New Roman"/>
          <w:szCs w:val="24"/>
        </w:rPr>
        <w:t>安徽省生态环境厅文件 皖政办〔2020〕73号</w:t>
      </w:r>
      <w:r>
        <w:rPr>
          <w:rFonts w:hint="eastAsia" w:cs="Times New Roman"/>
          <w:szCs w:val="24"/>
        </w:rPr>
        <w:t>，</w:t>
      </w:r>
      <w:r>
        <w:rPr>
          <w:rFonts w:cs="Times New Roman"/>
          <w:szCs w:val="24"/>
        </w:rPr>
        <w:t>2020年12月2日</w:t>
      </w:r>
      <w:r>
        <w:rPr>
          <w:rFonts w:hint="eastAsia" w:cs="Times New Roman"/>
          <w:szCs w:val="24"/>
        </w:rPr>
        <w:t>）；</w:t>
      </w:r>
    </w:p>
    <w:p w14:paraId="4E3DE4D8">
      <w:pPr>
        <w:ind w:firstLine="480"/>
        <w:rPr>
          <w:szCs w:val="24"/>
        </w:rPr>
      </w:pPr>
      <w:r>
        <w:rPr>
          <w:rFonts w:hint="eastAsia" w:cs="Times New Roman"/>
          <w:szCs w:val="24"/>
        </w:rPr>
        <w:t>（15）</w:t>
      </w:r>
      <w:r>
        <w:rPr>
          <w:rFonts w:hint="eastAsia"/>
          <w:szCs w:val="24"/>
        </w:rPr>
        <w:t>《关于</w:t>
      </w:r>
      <w:r>
        <w:rPr>
          <w:rFonts w:hint="eastAsia"/>
        </w:rPr>
        <w:t>进一步规范</w:t>
      </w:r>
      <w:r>
        <w:rPr>
          <w:rFonts w:hint="eastAsia"/>
          <w:szCs w:val="24"/>
        </w:rPr>
        <w:t>化工项目建设管理的通知》（安徽省经济和信息化厅 安徽省发展和改革委员会 安徽省自然资源厅 安徽省生态环境厅 安徽省应急管理厅 皖经信原材料函</w:t>
      </w:r>
      <w:r>
        <w:rPr>
          <w:szCs w:val="24"/>
        </w:rPr>
        <w:t>〔2022〕</w:t>
      </w:r>
      <w:r>
        <w:rPr>
          <w:rFonts w:hint="eastAsia"/>
          <w:szCs w:val="24"/>
        </w:rPr>
        <w:t>7</w:t>
      </w:r>
      <w:r>
        <w:rPr>
          <w:szCs w:val="24"/>
        </w:rPr>
        <w:t>3</w:t>
      </w:r>
      <w:r>
        <w:rPr>
          <w:rFonts w:hint="eastAsia"/>
          <w:szCs w:val="24"/>
        </w:rPr>
        <w:t>号，2</w:t>
      </w:r>
      <w:r>
        <w:rPr>
          <w:szCs w:val="24"/>
        </w:rPr>
        <w:t>022</w:t>
      </w:r>
      <w:r>
        <w:rPr>
          <w:rFonts w:hint="eastAsia"/>
          <w:szCs w:val="24"/>
        </w:rPr>
        <w:t>年</w:t>
      </w:r>
      <w:r>
        <w:rPr>
          <w:szCs w:val="24"/>
        </w:rPr>
        <w:t>6</w:t>
      </w:r>
      <w:r>
        <w:rPr>
          <w:rFonts w:hint="eastAsia"/>
          <w:szCs w:val="24"/>
        </w:rPr>
        <w:t>月15日）；</w:t>
      </w:r>
    </w:p>
    <w:p w14:paraId="37811F6A">
      <w:pPr>
        <w:ind w:firstLine="480"/>
        <w:rPr>
          <w:szCs w:val="24"/>
        </w:rPr>
      </w:pPr>
      <w:r>
        <w:rPr>
          <w:rFonts w:hint="eastAsia"/>
          <w:szCs w:val="24"/>
        </w:rPr>
        <w:t>（16）《关于进一步</w:t>
      </w:r>
      <w:r>
        <w:rPr>
          <w:szCs w:val="24"/>
        </w:rPr>
        <w:t>加强新上“</w:t>
      </w:r>
      <w:r>
        <w:rPr>
          <w:rFonts w:hint="eastAsia"/>
          <w:szCs w:val="24"/>
        </w:rPr>
        <w:t>两高</w:t>
      </w:r>
      <w:r>
        <w:rPr>
          <w:szCs w:val="24"/>
        </w:rPr>
        <w:t>”</w:t>
      </w:r>
      <w:r>
        <w:rPr>
          <w:rFonts w:hint="eastAsia"/>
          <w:szCs w:val="24"/>
        </w:rPr>
        <w:t>项目</w:t>
      </w:r>
      <w:r>
        <w:rPr>
          <w:szCs w:val="24"/>
        </w:rPr>
        <w:t>管理的通知</w:t>
      </w:r>
      <w:r>
        <w:rPr>
          <w:rFonts w:hint="eastAsia"/>
          <w:szCs w:val="24"/>
        </w:rPr>
        <w:t>》（</w:t>
      </w:r>
      <w:r>
        <w:rPr>
          <w:rFonts w:hint="eastAsia" w:cs="Times New Roman"/>
          <w:szCs w:val="24"/>
        </w:rPr>
        <w:t>安徽省节能减排及应对气候变化工作领导小组 皖节能</w:t>
      </w:r>
      <w:r>
        <w:rPr>
          <w:rFonts w:cs="Times New Roman"/>
          <w:szCs w:val="24"/>
        </w:rPr>
        <w:t>〔</w:t>
      </w:r>
      <w:r>
        <w:rPr>
          <w:rFonts w:cs="Times New Roman"/>
        </w:rPr>
        <w:t>2021</w:t>
      </w:r>
      <w:r>
        <w:rPr>
          <w:rFonts w:cs="Times New Roman"/>
          <w:szCs w:val="24"/>
        </w:rPr>
        <w:t>〕3</w:t>
      </w:r>
      <w:r>
        <w:rPr>
          <w:rFonts w:hint="eastAsia" w:cs="Times New Roman"/>
          <w:szCs w:val="24"/>
        </w:rPr>
        <w:t>号，2</w:t>
      </w:r>
      <w:r>
        <w:rPr>
          <w:rFonts w:cs="Times New Roman"/>
          <w:szCs w:val="24"/>
        </w:rPr>
        <w:t>022</w:t>
      </w:r>
      <w:r>
        <w:rPr>
          <w:rFonts w:hint="eastAsia" w:cs="Times New Roman"/>
          <w:szCs w:val="24"/>
        </w:rPr>
        <w:t>年</w:t>
      </w:r>
      <w:r>
        <w:rPr>
          <w:rFonts w:cs="Times New Roman"/>
          <w:szCs w:val="24"/>
        </w:rPr>
        <w:t>12</w:t>
      </w:r>
      <w:r>
        <w:rPr>
          <w:rFonts w:hint="eastAsia" w:cs="Times New Roman"/>
          <w:szCs w:val="24"/>
        </w:rPr>
        <w:t>月</w:t>
      </w:r>
      <w:r>
        <w:rPr>
          <w:rFonts w:cs="Times New Roman"/>
          <w:szCs w:val="24"/>
        </w:rPr>
        <w:t>31</w:t>
      </w:r>
      <w:r>
        <w:rPr>
          <w:rFonts w:hint="eastAsia" w:cs="Times New Roman"/>
          <w:szCs w:val="24"/>
        </w:rPr>
        <w:t>日</w:t>
      </w:r>
      <w:r>
        <w:rPr>
          <w:rFonts w:hint="eastAsia"/>
          <w:szCs w:val="24"/>
        </w:rPr>
        <w:t>）</w:t>
      </w:r>
    </w:p>
    <w:p w14:paraId="6F9F0364">
      <w:pPr>
        <w:ind w:firstLine="480"/>
      </w:pPr>
      <w:r>
        <w:rPr>
          <w:rFonts w:hint="eastAsia" w:cs="Times New Roman"/>
          <w:szCs w:val="24"/>
        </w:rPr>
        <w:t>（17）《关于印发安徽省</w:t>
      </w:r>
      <w:r>
        <w:rPr>
          <w:rFonts w:cs="Times New Roman"/>
          <w:szCs w:val="24"/>
        </w:rPr>
        <w:t>“</w:t>
      </w:r>
      <w:r>
        <w:rPr>
          <w:rFonts w:hint="eastAsia" w:cs="Times New Roman"/>
          <w:szCs w:val="24"/>
        </w:rPr>
        <w:t>两高</w:t>
      </w:r>
      <w:r>
        <w:rPr>
          <w:rFonts w:cs="Times New Roman"/>
          <w:szCs w:val="24"/>
        </w:rPr>
        <w:t>”</w:t>
      </w:r>
      <w:r>
        <w:rPr>
          <w:rFonts w:hint="eastAsia" w:cs="Times New Roman"/>
          <w:szCs w:val="24"/>
        </w:rPr>
        <w:t>项目</w:t>
      </w:r>
      <w:r>
        <w:rPr>
          <w:rFonts w:cs="Times New Roman"/>
          <w:szCs w:val="24"/>
        </w:rPr>
        <w:t>管理目录（</w:t>
      </w:r>
      <w:r>
        <w:rPr>
          <w:rFonts w:hint="eastAsia" w:cs="Times New Roman"/>
          <w:szCs w:val="24"/>
        </w:rPr>
        <w:t>试行</w:t>
      </w:r>
      <w:r>
        <w:rPr>
          <w:rFonts w:cs="Times New Roman"/>
          <w:szCs w:val="24"/>
        </w:rPr>
        <w:t>）</w:t>
      </w:r>
      <w:r>
        <w:rPr>
          <w:rFonts w:hint="eastAsia" w:cs="Times New Roman"/>
          <w:szCs w:val="24"/>
        </w:rPr>
        <w:t>通知》（安徽省节能减排及应对气候变化工作领导小组 皖节能</w:t>
      </w:r>
      <w:r>
        <w:rPr>
          <w:rFonts w:cs="Times New Roman"/>
          <w:szCs w:val="24"/>
        </w:rPr>
        <w:t>〔</w:t>
      </w:r>
      <w:r>
        <w:rPr>
          <w:rFonts w:cs="Times New Roman"/>
        </w:rPr>
        <w:t>2022</w:t>
      </w:r>
      <w:r>
        <w:rPr>
          <w:rFonts w:cs="Times New Roman"/>
          <w:szCs w:val="24"/>
        </w:rPr>
        <w:t>〕2</w:t>
      </w:r>
      <w:r>
        <w:rPr>
          <w:rFonts w:hint="eastAsia" w:cs="Times New Roman"/>
          <w:szCs w:val="24"/>
        </w:rPr>
        <w:t>号，2</w:t>
      </w:r>
      <w:r>
        <w:rPr>
          <w:rFonts w:cs="Times New Roman"/>
          <w:szCs w:val="24"/>
        </w:rPr>
        <w:t>022</w:t>
      </w:r>
      <w:r>
        <w:rPr>
          <w:rFonts w:hint="eastAsia" w:cs="Times New Roman"/>
          <w:szCs w:val="24"/>
        </w:rPr>
        <w:t>年</w:t>
      </w:r>
      <w:r>
        <w:rPr>
          <w:rFonts w:cs="Times New Roman"/>
          <w:szCs w:val="24"/>
        </w:rPr>
        <w:t>6</w:t>
      </w:r>
      <w:r>
        <w:rPr>
          <w:rFonts w:hint="eastAsia" w:cs="Times New Roman"/>
          <w:szCs w:val="24"/>
        </w:rPr>
        <w:t>月</w:t>
      </w:r>
      <w:r>
        <w:rPr>
          <w:rFonts w:cs="Times New Roman"/>
          <w:szCs w:val="24"/>
        </w:rPr>
        <w:t>21</w:t>
      </w:r>
      <w:r>
        <w:rPr>
          <w:rFonts w:hint="eastAsia" w:cs="Times New Roman"/>
          <w:szCs w:val="24"/>
        </w:rPr>
        <w:t>日）；</w:t>
      </w:r>
    </w:p>
    <w:p w14:paraId="42520405">
      <w:pPr>
        <w:ind w:firstLine="480"/>
        <w:rPr>
          <w:rFonts w:ascii="宋体" w:hAnsi="宋体"/>
        </w:rPr>
      </w:pPr>
      <w:r>
        <w:rPr>
          <w:rFonts w:hint="eastAsia" w:ascii="宋体" w:hAnsi="宋体"/>
        </w:rPr>
        <w:t>（</w:t>
      </w:r>
      <w:r>
        <w:rPr>
          <w:rFonts w:hint="eastAsia"/>
        </w:rPr>
        <w:t>1</w:t>
      </w:r>
      <w:r>
        <w:t>8</w:t>
      </w:r>
      <w:r>
        <w:rPr>
          <w:rFonts w:hint="eastAsia" w:ascii="宋体" w:hAnsi="宋体"/>
        </w:rPr>
        <w:t>）《蚌埠市人民政府关于印发蚌埠市土壤污染防治工作方案的通知》（蚌埠市人民政府 蚌政</w:t>
      </w:r>
      <w:r>
        <w:rPr>
          <w:rFonts w:hint="eastAsia"/>
        </w:rPr>
        <w:t>[2016]68</w:t>
      </w:r>
      <w:r>
        <w:rPr>
          <w:rFonts w:hint="eastAsia" w:ascii="宋体" w:hAnsi="宋体"/>
        </w:rPr>
        <w:t>号）；</w:t>
      </w:r>
    </w:p>
    <w:p w14:paraId="5F7114D9">
      <w:pPr>
        <w:ind w:firstLine="480"/>
        <w:rPr>
          <w:kern w:val="0"/>
        </w:rPr>
      </w:pPr>
      <w:r>
        <w:rPr>
          <w:rFonts w:hint="eastAsia"/>
        </w:rPr>
        <w:t>（19）《</w:t>
      </w:r>
      <w:r>
        <w:rPr>
          <w:rFonts w:hint="eastAsia" w:cs="Times New Roman"/>
          <w:kern w:val="0"/>
          <w:szCs w:val="20"/>
        </w:rPr>
        <w:t>关于印发蚌埠市化工园区项目准入条件（试行）的通知》（蚌</w:t>
      </w:r>
      <w:r>
        <w:rPr>
          <w:rFonts w:cs="Times New Roman"/>
          <w:kern w:val="0"/>
          <w:szCs w:val="20"/>
        </w:rPr>
        <w:t>发改工高</w:t>
      </w:r>
      <w:r>
        <w:rPr>
          <w:rFonts w:hint="eastAsia" w:cs="Times New Roman"/>
          <w:kern w:val="0"/>
          <w:szCs w:val="20"/>
        </w:rPr>
        <w:t>[</w:t>
      </w:r>
      <w:r>
        <w:rPr>
          <w:rFonts w:cs="Times New Roman"/>
          <w:kern w:val="0"/>
          <w:szCs w:val="20"/>
        </w:rPr>
        <w:t>2021</w:t>
      </w:r>
      <w:r>
        <w:rPr>
          <w:rFonts w:hint="eastAsia" w:cs="Times New Roman"/>
          <w:kern w:val="0"/>
          <w:szCs w:val="20"/>
        </w:rPr>
        <w:t>]</w:t>
      </w:r>
      <w:r>
        <w:rPr>
          <w:rFonts w:cs="Times New Roman"/>
          <w:kern w:val="0"/>
          <w:szCs w:val="20"/>
        </w:rPr>
        <w:t>395</w:t>
      </w:r>
      <w:r>
        <w:rPr>
          <w:rFonts w:hint="eastAsia" w:cs="Times New Roman"/>
          <w:kern w:val="0"/>
          <w:szCs w:val="20"/>
        </w:rPr>
        <w:t>号，2021年12月31日）。</w:t>
      </w:r>
    </w:p>
    <w:p w14:paraId="3948F452">
      <w:pPr>
        <w:spacing w:before="240" w:after="120"/>
        <w:ind w:firstLine="0" w:firstLineChars="0"/>
        <w:jc w:val="left"/>
        <w:outlineLvl w:val="2"/>
        <w:rPr>
          <w:rFonts w:eastAsia="黑体"/>
          <w:sz w:val="28"/>
          <w:szCs w:val="28"/>
        </w:rPr>
      </w:pPr>
      <w:bookmarkStart w:id="26" w:name="_Toc108662548"/>
      <w:r>
        <w:rPr>
          <w:rFonts w:eastAsia="黑体"/>
          <w:sz w:val="28"/>
          <w:szCs w:val="28"/>
        </w:rPr>
        <w:t>2.1.3</w:t>
      </w:r>
      <w:r>
        <w:rPr>
          <w:rFonts w:hint="eastAsia" w:ascii="黑体" w:hAnsi="黑体" w:eastAsia="黑体"/>
          <w:sz w:val="28"/>
          <w:szCs w:val="28"/>
        </w:rPr>
        <w:t>评价技术文件</w:t>
      </w:r>
      <w:bookmarkEnd w:id="24"/>
      <w:bookmarkEnd w:id="25"/>
      <w:bookmarkEnd w:id="26"/>
    </w:p>
    <w:p w14:paraId="3ED1C621">
      <w:pPr>
        <w:ind w:firstLine="480"/>
        <w:rPr>
          <w:szCs w:val="24"/>
        </w:rPr>
      </w:pPr>
      <w:r>
        <w:rPr>
          <w:rFonts w:hint="eastAsia" w:ascii="宋体" w:hAnsi="宋体"/>
        </w:rPr>
        <w:t>（</w:t>
      </w:r>
      <w:r>
        <w:t>1</w:t>
      </w:r>
      <w:r>
        <w:rPr>
          <w:rFonts w:hint="eastAsia" w:ascii="宋体" w:hAnsi="宋体"/>
        </w:rPr>
        <w:t>）《建设项目环境影响评价技术导则 总纲》（</w:t>
      </w:r>
      <w:r>
        <w:t>HJ2.1-2016</w:t>
      </w:r>
      <w:r>
        <w:rPr>
          <w:rFonts w:hint="eastAsia" w:ascii="宋体" w:hAnsi="宋体"/>
        </w:rPr>
        <w:t>）；</w:t>
      </w:r>
    </w:p>
    <w:p w14:paraId="10AABFC0">
      <w:pPr>
        <w:ind w:firstLine="480"/>
      </w:pPr>
      <w:r>
        <w:rPr>
          <w:rFonts w:hint="eastAsia" w:ascii="宋体" w:hAnsi="宋体"/>
        </w:rPr>
        <w:t>（</w:t>
      </w:r>
      <w:r>
        <w:t>2</w:t>
      </w:r>
      <w:r>
        <w:rPr>
          <w:rFonts w:hint="eastAsia" w:ascii="宋体" w:hAnsi="宋体"/>
        </w:rPr>
        <w:t>）《环境影响评价技术导则 大气环境》（</w:t>
      </w:r>
      <w:r>
        <w:t>HJ2.2-2018</w:t>
      </w:r>
      <w:r>
        <w:rPr>
          <w:rFonts w:hint="eastAsia" w:ascii="宋体" w:hAnsi="宋体"/>
        </w:rPr>
        <w:t>）；</w:t>
      </w:r>
    </w:p>
    <w:p w14:paraId="018AE17A">
      <w:pPr>
        <w:ind w:firstLine="480"/>
      </w:pPr>
      <w:r>
        <w:rPr>
          <w:rFonts w:hint="eastAsia" w:ascii="宋体" w:hAnsi="宋体"/>
        </w:rPr>
        <w:t>（</w:t>
      </w:r>
      <w:r>
        <w:t>3</w:t>
      </w:r>
      <w:r>
        <w:rPr>
          <w:rFonts w:hint="eastAsia" w:ascii="宋体" w:hAnsi="宋体"/>
        </w:rPr>
        <w:t>）《环境影响评价技术导则 地表水环境》（</w:t>
      </w:r>
      <w:r>
        <w:t>HJ2.3-2018</w:t>
      </w:r>
      <w:r>
        <w:rPr>
          <w:rFonts w:hint="eastAsia" w:ascii="宋体" w:hAnsi="宋体"/>
        </w:rPr>
        <w:t>）；</w:t>
      </w:r>
    </w:p>
    <w:p w14:paraId="47F8A5B0">
      <w:pPr>
        <w:ind w:firstLine="480"/>
      </w:pPr>
      <w:r>
        <w:rPr>
          <w:rFonts w:hint="eastAsia" w:ascii="宋体" w:hAnsi="宋体"/>
        </w:rPr>
        <w:t>（</w:t>
      </w:r>
      <w:r>
        <w:t>4</w:t>
      </w:r>
      <w:r>
        <w:rPr>
          <w:rFonts w:hint="eastAsia" w:ascii="宋体" w:hAnsi="宋体"/>
        </w:rPr>
        <w:t>）《环境影响评价技术导则 声环境》（</w:t>
      </w:r>
      <w:r>
        <w:t>HJ2.4-2021</w:t>
      </w:r>
      <w:r>
        <w:rPr>
          <w:rFonts w:hint="eastAsia" w:ascii="宋体" w:hAnsi="宋体"/>
        </w:rPr>
        <w:t>）；</w:t>
      </w:r>
    </w:p>
    <w:p w14:paraId="28F93CC3">
      <w:pPr>
        <w:ind w:firstLine="480"/>
      </w:pPr>
      <w:r>
        <w:rPr>
          <w:rFonts w:hint="eastAsia" w:ascii="宋体" w:hAnsi="宋体"/>
        </w:rPr>
        <w:t>（</w:t>
      </w:r>
      <w:r>
        <w:t>5</w:t>
      </w:r>
      <w:r>
        <w:rPr>
          <w:rFonts w:hint="eastAsia" w:ascii="宋体" w:hAnsi="宋体"/>
        </w:rPr>
        <w:t>）《建设项目环境风险评价技术导则》（</w:t>
      </w:r>
      <w:r>
        <w:t>HJ169-2018</w:t>
      </w:r>
      <w:r>
        <w:rPr>
          <w:rFonts w:hint="eastAsia" w:ascii="宋体" w:hAnsi="宋体"/>
        </w:rPr>
        <w:t>）；</w:t>
      </w:r>
    </w:p>
    <w:p w14:paraId="7C9CD263">
      <w:pPr>
        <w:ind w:firstLine="480"/>
      </w:pPr>
      <w:r>
        <w:rPr>
          <w:rFonts w:hint="eastAsia" w:ascii="宋体" w:hAnsi="宋体"/>
        </w:rPr>
        <w:t>（</w:t>
      </w:r>
      <w:r>
        <w:t>6</w:t>
      </w:r>
      <w:r>
        <w:rPr>
          <w:rFonts w:hint="eastAsia" w:ascii="宋体" w:hAnsi="宋体"/>
        </w:rPr>
        <w:t>）《环境影响评价技术导则 地下水环境》（</w:t>
      </w:r>
      <w:r>
        <w:t>HJ610-2016</w:t>
      </w:r>
      <w:r>
        <w:rPr>
          <w:rFonts w:hint="eastAsia" w:ascii="宋体" w:hAnsi="宋体"/>
        </w:rPr>
        <w:t>）；</w:t>
      </w:r>
    </w:p>
    <w:p w14:paraId="27402018">
      <w:pPr>
        <w:ind w:firstLine="480"/>
      </w:pPr>
      <w:r>
        <w:rPr>
          <w:rFonts w:hint="eastAsia" w:ascii="宋体" w:hAnsi="宋体"/>
        </w:rPr>
        <w:t>（</w:t>
      </w:r>
      <w:r>
        <w:t>7</w:t>
      </w:r>
      <w:r>
        <w:rPr>
          <w:rFonts w:hint="eastAsia" w:ascii="宋体" w:hAnsi="宋体"/>
        </w:rPr>
        <w:t>）《大气污染治理工程技术导则》（</w:t>
      </w:r>
      <w:r>
        <w:t>HJ2000-2010</w:t>
      </w:r>
      <w:r>
        <w:rPr>
          <w:rFonts w:hint="eastAsia" w:ascii="宋体" w:hAnsi="宋体"/>
        </w:rPr>
        <w:t>）；</w:t>
      </w:r>
    </w:p>
    <w:p w14:paraId="621C0392">
      <w:pPr>
        <w:ind w:firstLine="480"/>
      </w:pPr>
      <w:r>
        <w:rPr>
          <w:rFonts w:hint="eastAsia" w:ascii="宋体" w:hAnsi="宋体"/>
        </w:rPr>
        <w:t>（</w:t>
      </w:r>
      <w:r>
        <w:t>8</w:t>
      </w:r>
      <w:r>
        <w:rPr>
          <w:rFonts w:hint="eastAsia" w:ascii="宋体" w:hAnsi="宋体"/>
        </w:rPr>
        <w:t>）《环境影响评价技术导则</w:t>
      </w:r>
      <w:r>
        <w:t xml:space="preserve"> </w:t>
      </w:r>
      <w:r>
        <w:rPr>
          <w:rFonts w:hint="eastAsia" w:ascii="宋体" w:hAnsi="宋体"/>
        </w:rPr>
        <w:t>土壤环境（试行）》（</w:t>
      </w:r>
      <w:r>
        <w:t>HJ964-2018</w:t>
      </w:r>
      <w:r>
        <w:rPr>
          <w:rFonts w:hint="eastAsia" w:ascii="宋体" w:hAnsi="宋体"/>
        </w:rPr>
        <w:t>）；</w:t>
      </w:r>
    </w:p>
    <w:p w14:paraId="4B858D6B">
      <w:pPr>
        <w:ind w:firstLine="480"/>
      </w:pPr>
      <w:r>
        <w:rPr>
          <w:rFonts w:hint="eastAsia" w:ascii="宋体" w:hAnsi="宋体"/>
        </w:rPr>
        <w:t>（</w:t>
      </w:r>
      <w:r>
        <w:t>9</w:t>
      </w:r>
      <w:r>
        <w:rPr>
          <w:rFonts w:hint="eastAsia" w:ascii="宋体" w:hAnsi="宋体"/>
        </w:rPr>
        <w:t>）《危险废物贮存污染控制标准》（</w:t>
      </w:r>
      <w:r>
        <w:t>GB18597-2001</w:t>
      </w:r>
      <w:r>
        <w:rPr>
          <w:rFonts w:hint="eastAsia" w:ascii="宋体" w:hAnsi="宋体"/>
        </w:rPr>
        <w:t>）及修改单；</w:t>
      </w:r>
    </w:p>
    <w:p w14:paraId="5615A790">
      <w:pPr>
        <w:ind w:firstLine="480"/>
      </w:pPr>
      <w:r>
        <w:rPr>
          <w:rFonts w:hint="eastAsia" w:ascii="宋体" w:hAnsi="宋体"/>
        </w:rPr>
        <w:t>（</w:t>
      </w:r>
      <w:r>
        <w:rPr>
          <w:rFonts w:hint="eastAsia"/>
        </w:rPr>
        <w:t>1</w:t>
      </w:r>
      <w:r>
        <w:t>0</w:t>
      </w:r>
      <w:r>
        <w:rPr>
          <w:rFonts w:hint="eastAsia" w:ascii="宋体" w:hAnsi="宋体"/>
        </w:rPr>
        <w:t>）《一般工业固体废物贮存和填埋污染控制标准》（</w:t>
      </w:r>
      <w:r>
        <w:rPr>
          <w:rFonts w:hint="eastAsia"/>
        </w:rPr>
        <w:t>GB18599-2020</w:t>
      </w:r>
      <w:r>
        <w:rPr>
          <w:rFonts w:hint="eastAsia" w:ascii="宋体" w:hAnsi="宋体"/>
        </w:rPr>
        <w:t>）；</w:t>
      </w:r>
    </w:p>
    <w:p w14:paraId="578282B2">
      <w:pPr>
        <w:ind w:firstLine="480"/>
      </w:pPr>
      <w:r>
        <w:rPr>
          <w:rFonts w:cs="Times New Roman"/>
        </w:rPr>
        <w:t>（11）</w:t>
      </w:r>
      <w:r>
        <w:rPr>
          <w:rFonts w:hint="eastAsia" w:ascii="宋体" w:hAnsi="宋体"/>
        </w:rPr>
        <w:t>《排污许可证申请与核发技术规范 无机</w:t>
      </w:r>
      <w:r>
        <w:rPr>
          <w:rFonts w:ascii="宋体" w:hAnsi="宋体"/>
        </w:rPr>
        <w:t>化学</w:t>
      </w:r>
      <w:r>
        <w:rPr>
          <w:rFonts w:hint="eastAsia" w:ascii="宋体" w:hAnsi="宋体"/>
        </w:rPr>
        <w:t>工业》</w:t>
      </w:r>
      <w:r>
        <w:rPr>
          <w:rFonts w:cs="Times New Roman"/>
        </w:rPr>
        <w:t>（HJ1035-2019）</w:t>
      </w:r>
      <w:r>
        <w:rPr>
          <w:rFonts w:hint="eastAsia" w:ascii="宋体" w:hAnsi="宋体"/>
        </w:rPr>
        <w:t>；</w:t>
      </w:r>
    </w:p>
    <w:p w14:paraId="504B1C12">
      <w:pPr>
        <w:ind w:firstLine="480"/>
        <w:rPr>
          <w:rFonts w:ascii="宋体" w:hAnsi="宋体"/>
        </w:rPr>
      </w:pPr>
      <w:r>
        <w:rPr>
          <w:rFonts w:hint="eastAsia" w:ascii="宋体" w:hAnsi="宋体"/>
        </w:rPr>
        <w:t>（</w:t>
      </w:r>
      <w:r>
        <w:t>12</w:t>
      </w:r>
      <w:r>
        <w:rPr>
          <w:rFonts w:hint="eastAsia" w:ascii="宋体" w:hAnsi="宋体"/>
        </w:rPr>
        <w:t>）《排污单位自行监测技术指南</w:t>
      </w:r>
      <w:r>
        <w:rPr>
          <w:rFonts w:hint="eastAsia"/>
        </w:rPr>
        <w:t>-</w:t>
      </w:r>
      <w:r>
        <w:rPr>
          <w:rFonts w:hint="eastAsia" w:ascii="宋体" w:hAnsi="宋体"/>
        </w:rPr>
        <w:t>总则》（</w:t>
      </w:r>
      <w:r>
        <w:rPr>
          <w:rFonts w:hint="eastAsia"/>
        </w:rPr>
        <w:t>HJ819-2017</w:t>
      </w:r>
      <w:r>
        <w:rPr>
          <w:rFonts w:hint="eastAsia" w:ascii="宋体" w:hAnsi="宋体"/>
        </w:rPr>
        <w:t>）；</w:t>
      </w:r>
    </w:p>
    <w:p w14:paraId="76717097">
      <w:pPr>
        <w:ind w:firstLine="480"/>
        <w:rPr>
          <w:rFonts w:ascii="宋体" w:hAnsi="宋体"/>
        </w:rPr>
      </w:pPr>
      <w:r>
        <w:rPr>
          <w:rFonts w:hint="eastAsia" w:ascii="宋体" w:hAnsi="宋体"/>
        </w:rPr>
        <w:t>（</w:t>
      </w:r>
      <w:r>
        <w:t>13</w:t>
      </w:r>
      <w:r>
        <w:rPr>
          <w:rFonts w:hint="eastAsia" w:ascii="宋体" w:hAnsi="宋体"/>
        </w:rPr>
        <w:t>）《排污单位自行监测技术指南</w:t>
      </w:r>
      <w:r>
        <w:rPr>
          <w:rFonts w:hint="eastAsia"/>
        </w:rPr>
        <w:t>-</w:t>
      </w:r>
      <w:r>
        <w:rPr>
          <w:rFonts w:hint="eastAsia" w:ascii="宋体" w:hAnsi="宋体"/>
        </w:rPr>
        <w:t>无机化学</w:t>
      </w:r>
      <w:r>
        <w:rPr>
          <w:rFonts w:ascii="宋体" w:hAnsi="宋体"/>
        </w:rPr>
        <w:t>工业</w:t>
      </w:r>
      <w:r>
        <w:rPr>
          <w:rFonts w:hint="eastAsia" w:ascii="宋体" w:hAnsi="宋体"/>
        </w:rPr>
        <w:t>》（</w:t>
      </w:r>
      <w:r>
        <w:rPr>
          <w:rFonts w:hint="eastAsia"/>
        </w:rPr>
        <w:t>HJ1138-2020</w:t>
      </w:r>
      <w:r>
        <w:rPr>
          <w:rFonts w:hint="eastAsia" w:ascii="宋体" w:hAnsi="宋体"/>
        </w:rPr>
        <w:t>）；</w:t>
      </w:r>
    </w:p>
    <w:p w14:paraId="6C80B30E">
      <w:pPr>
        <w:ind w:firstLine="480"/>
      </w:pPr>
      <w:r>
        <w:rPr>
          <w:rFonts w:hint="eastAsia" w:ascii="宋体" w:hAnsi="宋体"/>
        </w:rPr>
        <w:t>（</w:t>
      </w:r>
      <w:r>
        <w:t>14</w:t>
      </w:r>
      <w:r>
        <w:rPr>
          <w:rFonts w:hint="eastAsia" w:ascii="宋体" w:hAnsi="宋体"/>
        </w:rPr>
        <w:t>）《工业其他行业企业温室气体排放核算方法与报告指南（试行）》。</w:t>
      </w:r>
    </w:p>
    <w:p w14:paraId="20621C18">
      <w:pPr>
        <w:spacing w:before="240" w:after="120"/>
        <w:ind w:firstLine="0" w:firstLineChars="0"/>
        <w:jc w:val="left"/>
        <w:outlineLvl w:val="2"/>
        <w:rPr>
          <w:rFonts w:eastAsia="黑体"/>
          <w:sz w:val="28"/>
          <w:szCs w:val="28"/>
        </w:rPr>
      </w:pPr>
      <w:bookmarkStart w:id="27" w:name="_Toc100783955"/>
      <w:bookmarkStart w:id="28" w:name="_Toc108662549"/>
      <w:bookmarkStart w:id="29" w:name="_Toc101135783"/>
      <w:r>
        <w:rPr>
          <w:rFonts w:eastAsia="黑体"/>
          <w:sz w:val="28"/>
          <w:szCs w:val="28"/>
        </w:rPr>
        <w:t>2.1.4</w:t>
      </w:r>
      <w:r>
        <w:rPr>
          <w:rFonts w:hint="eastAsia" w:ascii="黑体" w:hAnsi="黑体" w:eastAsia="黑体"/>
          <w:sz w:val="28"/>
          <w:szCs w:val="28"/>
        </w:rPr>
        <w:t>项目相关文件及资料</w:t>
      </w:r>
      <w:bookmarkEnd w:id="27"/>
      <w:bookmarkEnd w:id="28"/>
      <w:bookmarkEnd w:id="29"/>
    </w:p>
    <w:p w14:paraId="6EDC8FDF">
      <w:pPr>
        <w:ind w:firstLine="480"/>
        <w:rPr>
          <w:szCs w:val="24"/>
        </w:rPr>
      </w:pPr>
      <w:r>
        <w:rPr>
          <w:rFonts w:hint="eastAsia" w:ascii="宋体" w:hAnsi="宋体"/>
        </w:rPr>
        <w:t>（</w:t>
      </w:r>
      <w:r>
        <w:rPr>
          <w:rFonts w:hint="eastAsia"/>
        </w:rPr>
        <w:t>1</w:t>
      </w:r>
      <w:r>
        <w:rPr>
          <w:rFonts w:hint="eastAsia" w:ascii="宋体" w:hAnsi="宋体"/>
        </w:rPr>
        <w:t>）</w:t>
      </w:r>
      <w:r>
        <w:rPr>
          <w:rFonts w:hint="eastAsia"/>
          <w:spacing w:val="8"/>
        </w:rPr>
        <w:t>项目</w:t>
      </w:r>
      <w:r>
        <w:rPr>
          <w:spacing w:val="8"/>
        </w:rPr>
        <w:t>环境影响评价</w:t>
      </w:r>
      <w:r>
        <w:rPr>
          <w:rFonts w:hint="eastAsia"/>
          <w:spacing w:val="8"/>
        </w:rPr>
        <w:t>委托书</w:t>
      </w:r>
      <w:r>
        <w:rPr>
          <w:rFonts w:hint="eastAsia" w:ascii="宋体" w:hAnsi="宋体"/>
        </w:rPr>
        <w:t>；</w:t>
      </w:r>
    </w:p>
    <w:p w14:paraId="6BE48BBB">
      <w:pPr>
        <w:ind w:firstLine="480"/>
        <w:rPr>
          <w:rFonts w:cs="Times New Roman"/>
        </w:rPr>
      </w:pPr>
      <w:r>
        <w:rPr>
          <w:rFonts w:cs="Times New Roman"/>
        </w:rPr>
        <w:t>（2）《</w:t>
      </w:r>
      <w:r>
        <w:t>安徽凯盛</w:t>
      </w:r>
      <w:r>
        <w:rPr>
          <w:rFonts w:hint="eastAsia"/>
        </w:rPr>
        <w:t>应用</w:t>
      </w:r>
      <w:r>
        <w:t>材料</w:t>
      </w:r>
      <w:r>
        <w:rPr>
          <w:rFonts w:hint="eastAsia"/>
        </w:rPr>
        <w:t>有限</w:t>
      </w:r>
      <w:r>
        <w:t>公司</w:t>
      </w:r>
      <w:r>
        <w:rPr>
          <w:rFonts w:cs="Times New Roman"/>
        </w:rPr>
        <w:t>年产7000吨硅基新材料技改/扩建项目可行性研究报告》；</w:t>
      </w:r>
    </w:p>
    <w:p w14:paraId="4504D40A">
      <w:pPr>
        <w:ind w:firstLine="480"/>
        <w:rPr>
          <w:rFonts w:cs="Times New Roman"/>
        </w:rPr>
      </w:pPr>
      <w:r>
        <w:rPr>
          <w:rFonts w:hint="eastAsia" w:ascii="宋体" w:hAnsi="宋体"/>
        </w:rPr>
        <w:t>（</w:t>
      </w:r>
      <w:r>
        <w:t>3</w:t>
      </w:r>
      <w:r>
        <w:rPr>
          <w:rFonts w:hint="eastAsia" w:ascii="宋体" w:hAnsi="宋体"/>
        </w:rPr>
        <w:t>）《</w:t>
      </w:r>
      <w:r>
        <w:rPr>
          <w:rFonts w:cs="Times New Roman"/>
        </w:rPr>
        <w:t>安徽中创电子信息材料有限公司年产6000吨纳米钛酸钡功能陶瓷材料生产线项目环境影响报告书》</w:t>
      </w:r>
      <w:r>
        <w:rPr>
          <w:rFonts w:hint="eastAsia" w:cs="Times New Roman"/>
        </w:rPr>
        <w:t>及环评</w:t>
      </w:r>
      <w:r>
        <w:rPr>
          <w:rFonts w:cs="Times New Roman"/>
        </w:rPr>
        <w:t>批复；</w:t>
      </w:r>
    </w:p>
    <w:p w14:paraId="39D16465">
      <w:pPr>
        <w:ind w:firstLine="480"/>
        <w:rPr>
          <w:rFonts w:cs="Times New Roman"/>
        </w:rPr>
      </w:pPr>
      <w:r>
        <w:rPr>
          <w:rFonts w:cs="Times New Roman"/>
        </w:rPr>
        <w:t>（4）《安徽中创电子信息材料有限公司年产6000吨纳米钛酸钡功能陶瓷材料生产线项目（阶段性）竣工环境保护验收监测报告》。</w:t>
      </w:r>
    </w:p>
    <w:p w14:paraId="60D74CBF">
      <w:pPr>
        <w:adjustRightInd/>
        <w:snapToGrid/>
        <w:ind w:firstLine="480"/>
      </w:pPr>
      <w:r>
        <w:rPr>
          <w:rFonts w:hint="eastAsia"/>
        </w:rPr>
        <w:t>（</w:t>
      </w:r>
      <w:r>
        <w:t>5</w:t>
      </w:r>
      <w:r>
        <w:rPr>
          <w:rFonts w:hint="eastAsia"/>
        </w:rPr>
        <w:t>）《蚌埠精细化工高新技术产业基地规划（2021</w:t>
      </w:r>
      <w:r>
        <w:t>~2035</w:t>
      </w:r>
      <w:r>
        <w:rPr>
          <w:rFonts w:hint="eastAsia"/>
        </w:rPr>
        <w:t>）环境影响报告书》及</w:t>
      </w:r>
      <w:r>
        <w:t>审查意见；</w:t>
      </w:r>
    </w:p>
    <w:p w14:paraId="1946A0BD">
      <w:pPr>
        <w:ind w:firstLine="480"/>
        <w:rPr>
          <w:rFonts w:cs="Times New Roman"/>
        </w:rPr>
      </w:pPr>
      <w:r>
        <w:rPr>
          <w:rFonts w:hint="eastAsia" w:cs="Times New Roman"/>
        </w:rPr>
        <w:t>（</w:t>
      </w:r>
      <w:r>
        <w:rPr>
          <w:rFonts w:cs="Times New Roman"/>
        </w:rPr>
        <w:t>6</w:t>
      </w:r>
      <w:r>
        <w:rPr>
          <w:rFonts w:hint="eastAsia" w:cs="Times New Roman"/>
        </w:rPr>
        <w:t>）</w:t>
      </w:r>
      <w:r>
        <w:rPr>
          <w:rFonts w:hint="eastAsia"/>
        </w:rPr>
        <w:t>建设单位</w:t>
      </w:r>
      <w:r>
        <w:t>提供的其他资料</w:t>
      </w:r>
      <w:r>
        <w:rPr>
          <w:rFonts w:hint="eastAsia"/>
        </w:rPr>
        <w:t>。</w:t>
      </w:r>
    </w:p>
    <w:p w14:paraId="31053A0E">
      <w:pPr>
        <w:pStyle w:val="4065"/>
      </w:pPr>
      <w:bookmarkStart w:id="30" w:name="_Toc108662550"/>
      <w:r>
        <w:rPr>
          <w:rFonts w:hint="eastAsia"/>
        </w:rPr>
        <w:t>2</w:t>
      </w:r>
      <w:r>
        <w:t>.2</w:t>
      </w:r>
      <w:r>
        <w:rPr>
          <w:rFonts w:ascii="黑体" w:hAnsi="黑体"/>
        </w:rPr>
        <w:t>评价因子与评价标准</w:t>
      </w:r>
      <w:bookmarkEnd w:id="30"/>
      <w:r>
        <w:rPr>
          <w:rFonts w:hint="eastAsia"/>
        </w:rPr>
        <w:t xml:space="preserve"> </w:t>
      </w:r>
      <w:r>
        <w:t xml:space="preserve">                                                                                                                                                                                                                                                                                                                                                                                                                                                                                                                                                                                                                                                                                                                                                                                                                                                                                                                                                                                                                                                                                                                                                             </w:t>
      </w:r>
    </w:p>
    <w:p w14:paraId="3090E9E1">
      <w:pPr>
        <w:pStyle w:val="4068"/>
        <w:rPr>
          <w:rFonts w:ascii="黑体" w:hAnsi="黑体"/>
        </w:rPr>
      </w:pPr>
      <w:bookmarkStart w:id="31" w:name="_Toc100783957"/>
      <w:bookmarkStart w:id="32" w:name="_Toc101135785"/>
      <w:bookmarkStart w:id="33" w:name="_Toc108662551"/>
      <w:r>
        <w:rPr>
          <w:rFonts w:hint="eastAsia"/>
        </w:rPr>
        <w:t>2</w:t>
      </w:r>
      <w:r>
        <w:t>.2.1</w:t>
      </w:r>
      <w:r>
        <w:rPr>
          <w:rFonts w:ascii="黑体" w:hAnsi="黑体"/>
        </w:rPr>
        <w:t>环境影响因素识别</w:t>
      </w:r>
      <w:bookmarkEnd w:id="31"/>
      <w:bookmarkEnd w:id="32"/>
      <w:bookmarkEnd w:id="33"/>
    </w:p>
    <w:p w14:paraId="17D04A02">
      <w:pPr>
        <w:ind w:firstLine="480"/>
      </w:pPr>
      <w:r>
        <w:t>根据</w:t>
      </w:r>
      <w:r>
        <w:rPr>
          <w:rFonts w:hint="eastAsia"/>
        </w:rPr>
        <w:t>扩建</w:t>
      </w:r>
      <w:r>
        <w:t>项目工程特点</w:t>
      </w:r>
      <w:r>
        <w:rPr>
          <w:rFonts w:hint="eastAsia"/>
        </w:rPr>
        <w:t>，</w:t>
      </w:r>
      <w:r>
        <w:t>通过分析识别环境影响因素</w:t>
      </w:r>
      <w:r>
        <w:rPr>
          <w:rFonts w:hint="eastAsia"/>
        </w:rPr>
        <w:t>，</w:t>
      </w:r>
      <w:r>
        <w:t>并依据污染物排放量大小</w:t>
      </w:r>
      <w:r>
        <w:rPr>
          <w:rFonts w:hint="eastAsia"/>
        </w:rPr>
        <w:t>，</w:t>
      </w:r>
      <w:r>
        <w:t>筛选各项评价因子</w:t>
      </w:r>
      <w:r>
        <w:rPr>
          <w:rFonts w:hint="eastAsia"/>
        </w:rPr>
        <w:t>。</w:t>
      </w:r>
    </w:p>
    <w:p w14:paraId="70D0D722">
      <w:pPr>
        <w:ind w:firstLine="480"/>
        <w:sectPr>
          <w:pgSz w:w="11906" w:h="16838"/>
          <w:pgMar w:top="1440" w:right="1440" w:bottom="1440" w:left="1440" w:header="851" w:footer="992" w:gutter="0"/>
          <w:cols w:space="425" w:num="1"/>
          <w:docGrid w:type="lines" w:linePitch="326" w:charSpace="0"/>
        </w:sectPr>
      </w:pPr>
      <w:r>
        <w:t>本项目环境影响因素识别见表</w:t>
      </w:r>
      <w:r>
        <w:rPr>
          <w:rFonts w:hint="eastAsia"/>
        </w:rPr>
        <w:t>2</w:t>
      </w:r>
      <w:r>
        <w:t>.2.1-1</w:t>
      </w:r>
      <w:r>
        <w:rPr>
          <w:rFonts w:hint="eastAsia"/>
        </w:rPr>
        <w:t>。</w:t>
      </w:r>
    </w:p>
    <w:p w14:paraId="625F1E99">
      <w:pPr>
        <w:pStyle w:val="278"/>
      </w:pPr>
      <w:r>
        <w:t>表2.2.1-1  本项目环境影响因素识别表</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autofit"/>
        <w:tblCellMar>
          <w:top w:w="0" w:type="dxa"/>
          <w:left w:w="0" w:type="dxa"/>
          <w:bottom w:w="0" w:type="dxa"/>
          <w:right w:w="0" w:type="dxa"/>
        </w:tblCellMar>
      </w:tblPr>
      <w:tblGrid>
        <w:gridCol w:w="846"/>
        <w:gridCol w:w="1133"/>
        <w:gridCol w:w="1181"/>
        <w:gridCol w:w="1413"/>
        <w:gridCol w:w="1413"/>
        <w:gridCol w:w="1133"/>
        <w:gridCol w:w="1195"/>
        <w:gridCol w:w="1133"/>
        <w:gridCol w:w="1133"/>
        <w:gridCol w:w="1134"/>
        <w:gridCol w:w="2244"/>
      </w:tblGrid>
      <w:tr w14:paraId="7E6A6A58">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gridSpan w:val="2"/>
            <w:vMerge w:val="restart"/>
            <w:tcBorders>
              <w:top w:val="single" w:color="auto" w:sz="12" w:space="0"/>
              <w:left w:val="nil"/>
              <w:bottom w:val="single" w:color="auto" w:sz="2" w:space="0"/>
              <w:right w:val="single" w:color="auto" w:sz="4" w:space="0"/>
            </w:tcBorders>
            <w:vAlign w:val="center"/>
          </w:tcPr>
          <w:p w14:paraId="2222A434">
            <w:pPr>
              <w:pStyle w:val="445"/>
            </w:pPr>
            <w:r>
              <w:t xml:space="preserve">      </w:t>
            </w:r>
            <w:r>
              <w:rPr>
                <w:rFonts w:ascii="宋体" w:hAnsi="宋体"/>
              </w:rPr>
              <w:t>环境因子</w:t>
            </w:r>
          </w:p>
          <w:p w14:paraId="26022B18">
            <w:pPr>
              <w:pStyle w:val="445"/>
            </w:pPr>
            <w:r>
              <w:rPr>
                <w:rFonts w:ascii="宋体" w:hAnsi="宋体"/>
              </w:rPr>
              <w:t>开发活动</w:t>
            </w:r>
          </w:p>
        </w:tc>
        <w:tc>
          <w:tcPr>
            <w:tcW w:w="0" w:type="auto"/>
            <w:gridSpan w:val="5"/>
            <w:tcBorders>
              <w:top w:val="single" w:color="auto" w:sz="12" w:space="0"/>
              <w:left w:val="single" w:color="auto" w:sz="4" w:space="0"/>
              <w:bottom w:val="single" w:color="auto" w:sz="2" w:space="0"/>
              <w:right w:val="single" w:color="auto" w:sz="4" w:space="0"/>
            </w:tcBorders>
            <w:vAlign w:val="center"/>
          </w:tcPr>
          <w:p w14:paraId="3C3C0725">
            <w:pPr>
              <w:pStyle w:val="445"/>
            </w:pPr>
            <w:r>
              <w:rPr>
                <w:rFonts w:ascii="宋体" w:hAnsi="宋体"/>
              </w:rPr>
              <w:t>自然环境</w:t>
            </w:r>
          </w:p>
        </w:tc>
        <w:tc>
          <w:tcPr>
            <w:tcW w:w="0" w:type="auto"/>
            <w:gridSpan w:val="4"/>
            <w:tcBorders>
              <w:top w:val="single" w:color="auto" w:sz="12" w:space="0"/>
              <w:left w:val="single" w:color="auto" w:sz="4" w:space="0"/>
              <w:bottom w:val="single" w:color="auto" w:sz="2" w:space="0"/>
              <w:right w:val="nil"/>
            </w:tcBorders>
            <w:vAlign w:val="center"/>
          </w:tcPr>
          <w:p w14:paraId="65EADE98">
            <w:pPr>
              <w:pStyle w:val="445"/>
            </w:pPr>
            <w:r>
              <w:rPr>
                <w:rFonts w:ascii="宋体" w:hAnsi="宋体"/>
              </w:rPr>
              <w:t>生态环境</w:t>
            </w:r>
          </w:p>
        </w:tc>
      </w:tr>
      <w:tr w14:paraId="65A22E3E">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gridSpan w:val="2"/>
            <w:vMerge w:val="continue"/>
            <w:tcBorders>
              <w:top w:val="single" w:color="auto" w:sz="12" w:space="0"/>
              <w:left w:val="nil"/>
              <w:bottom w:val="single" w:color="auto" w:sz="2" w:space="0"/>
              <w:right w:val="single" w:color="auto" w:sz="4" w:space="0"/>
            </w:tcBorders>
            <w:vAlign w:val="center"/>
          </w:tcPr>
          <w:p w14:paraId="537EBF35">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407A3D3B">
            <w:pPr>
              <w:pStyle w:val="445"/>
            </w:pPr>
            <w:r>
              <w:rPr>
                <w:rFonts w:ascii="宋体" w:hAnsi="宋体"/>
              </w:rPr>
              <w:t>环境空气</w:t>
            </w:r>
          </w:p>
        </w:tc>
        <w:tc>
          <w:tcPr>
            <w:tcW w:w="0" w:type="auto"/>
            <w:tcBorders>
              <w:top w:val="single" w:color="auto" w:sz="2" w:space="0"/>
              <w:left w:val="single" w:color="auto" w:sz="4" w:space="0"/>
              <w:bottom w:val="single" w:color="auto" w:sz="2" w:space="0"/>
              <w:right w:val="single" w:color="auto" w:sz="4" w:space="0"/>
            </w:tcBorders>
            <w:vAlign w:val="center"/>
          </w:tcPr>
          <w:p w14:paraId="2C8BC645">
            <w:pPr>
              <w:pStyle w:val="445"/>
            </w:pPr>
            <w:r>
              <w:rPr>
                <w:rFonts w:ascii="宋体" w:hAnsi="宋体"/>
              </w:rPr>
              <w:t>地表水环境</w:t>
            </w:r>
          </w:p>
        </w:tc>
        <w:tc>
          <w:tcPr>
            <w:tcW w:w="0" w:type="auto"/>
            <w:tcBorders>
              <w:top w:val="single" w:color="auto" w:sz="2" w:space="0"/>
              <w:left w:val="single" w:color="auto" w:sz="4" w:space="0"/>
              <w:bottom w:val="single" w:color="auto" w:sz="2" w:space="0"/>
              <w:right w:val="single" w:color="auto" w:sz="4" w:space="0"/>
            </w:tcBorders>
            <w:vAlign w:val="center"/>
          </w:tcPr>
          <w:p w14:paraId="094203A3">
            <w:pPr>
              <w:pStyle w:val="445"/>
            </w:pPr>
            <w:r>
              <w:rPr>
                <w:rFonts w:ascii="宋体" w:hAnsi="宋体"/>
              </w:rPr>
              <w:t>地下水环境</w:t>
            </w:r>
          </w:p>
        </w:tc>
        <w:tc>
          <w:tcPr>
            <w:tcW w:w="0" w:type="auto"/>
            <w:tcBorders>
              <w:top w:val="single" w:color="auto" w:sz="2" w:space="0"/>
              <w:left w:val="single" w:color="auto" w:sz="4" w:space="0"/>
              <w:bottom w:val="single" w:color="auto" w:sz="2" w:space="0"/>
              <w:right w:val="single" w:color="auto" w:sz="4" w:space="0"/>
            </w:tcBorders>
            <w:vAlign w:val="center"/>
          </w:tcPr>
          <w:p w14:paraId="44922B07">
            <w:pPr>
              <w:pStyle w:val="445"/>
            </w:pPr>
            <w:r>
              <w:rPr>
                <w:rFonts w:ascii="宋体" w:hAnsi="宋体"/>
              </w:rPr>
              <w:t>土壤环境</w:t>
            </w:r>
          </w:p>
        </w:tc>
        <w:tc>
          <w:tcPr>
            <w:tcW w:w="0" w:type="auto"/>
            <w:tcBorders>
              <w:top w:val="single" w:color="auto" w:sz="2" w:space="0"/>
              <w:left w:val="single" w:color="auto" w:sz="4" w:space="0"/>
              <w:bottom w:val="single" w:color="auto" w:sz="2" w:space="0"/>
              <w:right w:val="single" w:color="auto" w:sz="4" w:space="0"/>
            </w:tcBorders>
            <w:vAlign w:val="center"/>
          </w:tcPr>
          <w:p w14:paraId="368988D4">
            <w:pPr>
              <w:pStyle w:val="445"/>
            </w:pPr>
            <w:r>
              <w:rPr>
                <w:rFonts w:ascii="宋体" w:hAnsi="宋体"/>
              </w:rPr>
              <w:t>声环境</w:t>
            </w:r>
          </w:p>
        </w:tc>
        <w:tc>
          <w:tcPr>
            <w:tcW w:w="0" w:type="auto"/>
            <w:tcBorders>
              <w:top w:val="single" w:color="auto" w:sz="2" w:space="0"/>
              <w:left w:val="single" w:color="auto" w:sz="4" w:space="0"/>
              <w:bottom w:val="single" w:color="auto" w:sz="2" w:space="0"/>
              <w:right w:val="single" w:color="auto" w:sz="4" w:space="0"/>
            </w:tcBorders>
            <w:vAlign w:val="center"/>
          </w:tcPr>
          <w:p w14:paraId="55530C53">
            <w:pPr>
              <w:pStyle w:val="445"/>
            </w:pPr>
            <w:r>
              <w:rPr>
                <w:rFonts w:ascii="宋体" w:hAnsi="宋体"/>
              </w:rPr>
              <w:t>陆域生物</w:t>
            </w:r>
          </w:p>
        </w:tc>
        <w:tc>
          <w:tcPr>
            <w:tcW w:w="0" w:type="auto"/>
            <w:tcBorders>
              <w:top w:val="single" w:color="auto" w:sz="2" w:space="0"/>
              <w:left w:val="single" w:color="auto" w:sz="4" w:space="0"/>
              <w:bottom w:val="single" w:color="auto" w:sz="2" w:space="0"/>
              <w:right w:val="single" w:color="auto" w:sz="4" w:space="0"/>
            </w:tcBorders>
            <w:vAlign w:val="center"/>
          </w:tcPr>
          <w:p w14:paraId="6E0CA7CA">
            <w:pPr>
              <w:pStyle w:val="445"/>
            </w:pPr>
            <w:r>
              <w:rPr>
                <w:rFonts w:ascii="宋体" w:hAnsi="宋体"/>
              </w:rPr>
              <w:t>水生生物</w:t>
            </w:r>
          </w:p>
        </w:tc>
        <w:tc>
          <w:tcPr>
            <w:tcW w:w="0" w:type="auto"/>
            <w:tcBorders>
              <w:top w:val="single" w:color="auto" w:sz="2" w:space="0"/>
              <w:left w:val="single" w:color="auto" w:sz="4" w:space="0"/>
              <w:bottom w:val="single" w:color="auto" w:sz="2" w:space="0"/>
              <w:right w:val="single" w:color="auto" w:sz="4" w:space="0"/>
            </w:tcBorders>
            <w:vAlign w:val="center"/>
          </w:tcPr>
          <w:p w14:paraId="768DCFD7">
            <w:pPr>
              <w:pStyle w:val="445"/>
            </w:pPr>
            <w:r>
              <w:rPr>
                <w:rFonts w:ascii="宋体" w:hAnsi="宋体"/>
              </w:rPr>
              <w:t>渔业资源</w:t>
            </w:r>
          </w:p>
        </w:tc>
        <w:tc>
          <w:tcPr>
            <w:tcW w:w="0" w:type="auto"/>
            <w:tcBorders>
              <w:top w:val="single" w:color="auto" w:sz="2" w:space="0"/>
              <w:left w:val="single" w:color="auto" w:sz="4" w:space="0"/>
              <w:bottom w:val="single" w:color="auto" w:sz="2" w:space="0"/>
              <w:right w:val="nil"/>
            </w:tcBorders>
            <w:vAlign w:val="center"/>
          </w:tcPr>
          <w:p w14:paraId="396B54D4">
            <w:pPr>
              <w:pStyle w:val="445"/>
            </w:pPr>
            <w:r>
              <w:rPr>
                <w:rFonts w:ascii="宋体" w:hAnsi="宋体"/>
              </w:rPr>
              <w:t>主要生态保护区域</w:t>
            </w:r>
          </w:p>
        </w:tc>
      </w:tr>
      <w:tr w14:paraId="0B396220">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nil"/>
              <w:left w:val="nil"/>
              <w:bottom w:val="single" w:color="auto" w:sz="2" w:space="0"/>
              <w:right w:val="single" w:color="auto" w:sz="4" w:space="0"/>
            </w:tcBorders>
            <w:vAlign w:val="center"/>
          </w:tcPr>
          <w:p w14:paraId="19D4E993">
            <w:pPr>
              <w:pStyle w:val="445"/>
            </w:pPr>
            <w:r>
              <w:rPr>
                <w:rFonts w:ascii="宋体" w:hAnsi="宋体"/>
              </w:rPr>
              <w:t>施工期</w:t>
            </w:r>
          </w:p>
        </w:tc>
        <w:tc>
          <w:tcPr>
            <w:tcW w:w="0" w:type="auto"/>
            <w:tcBorders>
              <w:top w:val="single" w:color="auto" w:sz="2" w:space="0"/>
              <w:left w:val="single" w:color="auto" w:sz="4" w:space="0"/>
              <w:bottom w:val="single" w:color="auto" w:sz="2" w:space="0"/>
              <w:right w:val="single" w:color="auto" w:sz="4" w:space="0"/>
            </w:tcBorders>
            <w:vAlign w:val="center"/>
          </w:tcPr>
          <w:p w14:paraId="18117935">
            <w:pPr>
              <w:pStyle w:val="445"/>
            </w:pPr>
            <w:r>
              <w:rPr>
                <w:rFonts w:ascii="宋体" w:hAnsi="宋体"/>
              </w:rPr>
              <w:t>施工废水</w:t>
            </w:r>
          </w:p>
        </w:tc>
        <w:tc>
          <w:tcPr>
            <w:tcW w:w="0" w:type="auto"/>
            <w:tcBorders>
              <w:top w:val="single" w:color="auto" w:sz="2" w:space="0"/>
              <w:left w:val="single" w:color="auto" w:sz="4" w:space="0"/>
              <w:bottom w:val="single" w:color="auto" w:sz="2" w:space="0"/>
              <w:right w:val="single" w:color="auto" w:sz="4" w:space="0"/>
            </w:tcBorders>
            <w:vAlign w:val="center"/>
          </w:tcPr>
          <w:p w14:paraId="7163A0B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618C095">
            <w:pPr>
              <w:pStyle w:val="445"/>
            </w:pPr>
            <w:r>
              <w:t>-S1DNCR</w:t>
            </w:r>
          </w:p>
        </w:tc>
        <w:tc>
          <w:tcPr>
            <w:tcW w:w="0" w:type="auto"/>
            <w:tcBorders>
              <w:top w:val="single" w:color="auto" w:sz="2" w:space="0"/>
              <w:left w:val="single" w:color="auto" w:sz="4" w:space="0"/>
              <w:bottom w:val="single" w:color="auto" w:sz="2" w:space="0"/>
              <w:right w:val="single" w:color="auto" w:sz="4" w:space="0"/>
            </w:tcBorders>
            <w:vAlign w:val="center"/>
          </w:tcPr>
          <w:p w14:paraId="4EA0C79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091656FC">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3913B49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0339A1">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AC6A13E">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1249380">
            <w:pPr>
              <w:pStyle w:val="445"/>
            </w:pPr>
            <w:r>
              <w:t>—</w:t>
            </w:r>
          </w:p>
        </w:tc>
        <w:tc>
          <w:tcPr>
            <w:tcW w:w="0" w:type="auto"/>
            <w:tcBorders>
              <w:top w:val="single" w:color="auto" w:sz="2" w:space="0"/>
              <w:left w:val="single" w:color="auto" w:sz="4" w:space="0"/>
              <w:bottom w:val="single" w:color="auto" w:sz="2" w:space="0"/>
              <w:right w:val="nil"/>
            </w:tcBorders>
            <w:vAlign w:val="center"/>
          </w:tcPr>
          <w:p w14:paraId="333B7662">
            <w:pPr>
              <w:pStyle w:val="445"/>
            </w:pPr>
            <w:r>
              <w:t>—</w:t>
            </w:r>
          </w:p>
        </w:tc>
      </w:tr>
      <w:tr w14:paraId="5179B81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nil"/>
              <w:left w:val="nil"/>
              <w:bottom w:val="single" w:color="auto" w:sz="2" w:space="0"/>
              <w:right w:val="single" w:color="auto" w:sz="4" w:space="0"/>
            </w:tcBorders>
            <w:vAlign w:val="center"/>
          </w:tcPr>
          <w:p w14:paraId="337614E8">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540CD35C">
            <w:pPr>
              <w:pStyle w:val="445"/>
            </w:pPr>
            <w:r>
              <w:rPr>
                <w:rFonts w:ascii="宋体" w:hAnsi="宋体"/>
              </w:rPr>
              <w:t>施工扬尘</w:t>
            </w:r>
          </w:p>
        </w:tc>
        <w:tc>
          <w:tcPr>
            <w:tcW w:w="0" w:type="auto"/>
            <w:tcBorders>
              <w:top w:val="single" w:color="auto" w:sz="2" w:space="0"/>
              <w:left w:val="single" w:color="auto" w:sz="4" w:space="0"/>
              <w:bottom w:val="single" w:color="auto" w:sz="2" w:space="0"/>
              <w:right w:val="single" w:color="auto" w:sz="4" w:space="0"/>
            </w:tcBorders>
            <w:vAlign w:val="center"/>
          </w:tcPr>
          <w:p w14:paraId="0B154A6A">
            <w:pPr>
              <w:pStyle w:val="445"/>
            </w:pPr>
            <w:r>
              <w:t>-S1DNCR</w:t>
            </w:r>
          </w:p>
        </w:tc>
        <w:tc>
          <w:tcPr>
            <w:tcW w:w="0" w:type="auto"/>
            <w:tcBorders>
              <w:top w:val="single" w:color="auto" w:sz="2" w:space="0"/>
              <w:left w:val="single" w:color="auto" w:sz="4" w:space="0"/>
              <w:bottom w:val="single" w:color="auto" w:sz="2" w:space="0"/>
              <w:right w:val="single" w:color="auto" w:sz="4" w:space="0"/>
            </w:tcBorders>
            <w:vAlign w:val="center"/>
          </w:tcPr>
          <w:p w14:paraId="4AD47DC1">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4E9264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0F6DA751">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CB8932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FF16ED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C36391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7394BBF">
            <w:pPr>
              <w:pStyle w:val="445"/>
            </w:pPr>
            <w:r>
              <w:t>—</w:t>
            </w:r>
          </w:p>
        </w:tc>
        <w:tc>
          <w:tcPr>
            <w:tcW w:w="0" w:type="auto"/>
            <w:tcBorders>
              <w:top w:val="single" w:color="auto" w:sz="2" w:space="0"/>
              <w:left w:val="single" w:color="auto" w:sz="4" w:space="0"/>
              <w:bottom w:val="single" w:color="auto" w:sz="2" w:space="0"/>
              <w:right w:val="nil"/>
            </w:tcBorders>
            <w:vAlign w:val="center"/>
          </w:tcPr>
          <w:p w14:paraId="7C1BCC4E">
            <w:pPr>
              <w:pStyle w:val="445"/>
            </w:pPr>
            <w:r>
              <w:t>—</w:t>
            </w:r>
          </w:p>
        </w:tc>
      </w:tr>
      <w:tr w14:paraId="14D2FB6A">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nil"/>
              <w:left w:val="nil"/>
              <w:bottom w:val="single" w:color="auto" w:sz="2" w:space="0"/>
              <w:right w:val="single" w:color="auto" w:sz="4" w:space="0"/>
            </w:tcBorders>
            <w:vAlign w:val="center"/>
          </w:tcPr>
          <w:p w14:paraId="4597DF43">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6E5CDAD0">
            <w:pPr>
              <w:pStyle w:val="445"/>
            </w:pPr>
            <w:r>
              <w:rPr>
                <w:rFonts w:ascii="宋体" w:hAnsi="宋体"/>
              </w:rPr>
              <w:t>施工噪声</w:t>
            </w:r>
          </w:p>
        </w:tc>
        <w:tc>
          <w:tcPr>
            <w:tcW w:w="0" w:type="auto"/>
            <w:tcBorders>
              <w:top w:val="single" w:color="auto" w:sz="2" w:space="0"/>
              <w:left w:val="single" w:color="auto" w:sz="4" w:space="0"/>
              <w:bottom w:val="single" w:color="auto" w:sz="2" w:space="0"/>
              <w:right w:val="single" w:color="auto" w:sz="4" w:space="0"/>
            </w:tcBorders>
            <w:vAlign w:val="center"/>
          </w:tcPr>
          <w:p w14:paraId="7B4356B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162C61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556DDFD">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08F072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A115D1F">
            <w:pPr>
              <w:pStyle w:val="445"/>
            </w:pPr>
            <w:r>
              <w:t>-S2DNCR</w:t>
            </w:r>
          </w:p>
        </w:tc>
        <w:tc>
          <w:tcPr>
            <w:tcW w:w="0" w:type="auto"/>
            <w:tcBorders>
              <w:top w:val="single" w:color="auto" w:sz="2" w:space="0"/>
              <w:left w:val="single" w:color="auto" w:sz="4" w:space="0"/>
              <w:bottom w:val="single" w:color="auto" w:sz="2" w:space="0"/>
              <w:right w:val="single" w:color="auto" w:sz="4" w:space="0"/>
            </w:tcBorders>
            <w:vAlign w:val="center"/>
          </w:tcPr>
          <w:p w14:paraId="672E49D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5D2FC2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3A1FDEC6">
            <w:pPr>
              <w:pStyle w:val="445"/>
            </w:pPr>
            <w:r>
              <w:t>—</w:t>
            </w:r>
          </w:p>
        </w:tc>
        <w:tc>
          <w:tcPr>
            <w:tcW w:w="0" w:type="auto"/>
            <w:tcBorders>
              <w:top w:val="single" w:color="auto" w:sz="2" w:space="0"/>
              <w:left w:val="single" w:color="auto" w:sz="4" w:space="0"/>
              <w:bottom w:val="single" w:color="auto" w:sz="2" w:space="0"/>
              <w:right w:val="nil"/>
            </w:tcBorders>
            <w:vAlign w:val="center"/>
          </w:tcPr>
          <w:p w14:paraId="73B228C5">
            <w:pPr>
              <w:pStyle w:val="445"/>
            </w:pPr>
            <w:r>
              <w:t>—</w:t>
            </w:r>
          </w:p>
        </w:tc>
      </w:tr>
      <w:tr w14:paraId="097C3587">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nil"/>
              <w:left w:val="nil"/>
              <w:bottom w:val="single" w:color="auto" w:sz="2" w:space="0"/>
              <w:right w:val="single" w:color="auto" w:sz="4" w:space="0"/>
            </w:tcBorders>
            <w:vAlign w:val="center"/>
          </w:tcPr>
          <w:p w14:paraId="7D03D012">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16523615">
            <w:pPr>
              <w:pStyle w:val="445"/>
            </w:pPr>
            <w:r>
              <w:rPr>
                <w:rFonts w:ascii="宋体" w:hAnsi="宋体"/>
              </w:rPr>
              <w:t>施工废渣</w:t>
            </w:r>
          </w:p>
        </w:tc>
        <w:tc>
          <w:tcPr>
            <w:tcW w:w="0" w:type="auto"/>
            <w:tcBorders>
              <w:top w:val="single" w:color="auto" w:sz="2" w:space="0"/>
              <w:left w:val="single" w:color="auto" w:sz="4" w:space="0"/>
              <w:bottom w:val="single" w:color="auto" w:sz="2" w:space="0"/>
              <w:right w:val="single" w:color="auto" w:sz="4" w:space="0"/>
            </w:tcBorders>
            <w:vAlign w:val="center"/>
          </w:tcPr>
          <w:p w14:paraId="6AF17AB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CFD1246">
            <w:pPr>
              <w:pStyle w:val="445"/>
            </w:pPr>
            <w:r>
              <w:t>-S1INCR</w:t>
            </w:r>
          </w:p>
        </w:tc>
        <w:tc>
          <w:tcPr>
            <w:tcW w:w="0" w:type="auto"/>
            <w:tcBorders>
              <w:top w:val="single" w:color="auto" w:sz="2" w:space="0"/>
              <w:left w:val="single" w:color="auto" w:sz="4" w:space="0"/>
              <w:bottom w:val="single" w:color="auto" w:sz="2" w:space="0"/>
              <w:right w:val="single" w:color="auto" w:sz="4" w:space="0"/>
            </w:tcBorders>
            <w:vAlign w:val="center"/>
          </w:tcPr>
          <w:p w14:paraId="23B2DAFA">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F87709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9F79E3C">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B7E38E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45A500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7BD39BF">
            <w:pPr>
              <w:pStyle w:val="445"/>
            </w:pPr>
            <w:r>
              <w:t>—</w:t>
            </w:r>
          </w:p>
        </w:tc>
        <w:tc>
          <w:tcPr>
            <w:tcW w:w="0" w:type="auto"/>
            <w:tcBorders>
              <w:top w:val="single" w:color="auto" w:sz="2" w:space="0"/>
              <w:left w:val="single" w:color="auto" w:sz="4" w:space="0"/>
              <w:bottom w:val="single" w:color="auto" w:sz="2" w:space="0"/>
              <w:right w:val="nil"/>
            </w:tcBorders>
            <w:vAlign w:val="center"/>
          </w:tcPr>
          <w:p w14:paraId="215D0B03">
            <w:pPr>
              <w:pStyle w:val="445"/>
            </w:pPr>
            <w:r>
              <w:t>—</w:t>
            </w:r>
          </w:p>
        </w:tc>
      </w:tr>
      <w:tr w14:paraId="4CB38282">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nil"/>
              <w:left w:val="nil"/>
              <w:bottom w:val="single" w:color="auto" w:sz="2" w:space="0"/>
              <w:right w:val="single" w:color="auto" w:sz="4" w:space="0"/>
            </w:tcBorders>
            <w:vAlign w:val="center"/>
          </w:tcPr>
          <w:p w14:paraId="7D1E41CC">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0CCF3370">
            <w:pPr>
              <w:pStyle w:val="445"/>
            </w:pPr>
            <w:r>
              <w:rPr>
                <w:rFonts w:ascii="宋体" w:hAnsi="宋体"/>
              </w:rPr>
              <w:t>基坑开挖</w:t>
            </w:r>
          </w:p>
        </w:tc>
        <w:tc>
          <w:tcPr>
            <w:tcW w:w="0" w:type="auto"/>
            <w:tcBorders>
              <w:top w:val="single" w:color="auto" w:sz="2" w:space="0"/>
              <w:left w:val="single" w:color="auto" w:sz="4" w:space="0"/>
              <w:bottom w:val="single" w:color="auto" w:sz="2" w:space="0"/>
              <w:right w:val="single" w:color="auto" w:sz="4" w:space="0"/>
            </w:tcBorders>
            <w:vAlign w:val="center"/>
          </w:tcPr>
          <w:p w14:paraId="03F4FAC6">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845426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11B71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6AA04B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38390A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951757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51345FE">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F71083A">
            <w:pPr>
              <w:pStyle w:val="445"/>
            </w:pPr>
            <w:r>
              <w:t>—</w:t>
            </w:r>
          </w:p>
        </w:tc>
        <w:tc>
          <w:tcPr>
            <w:tcW w:w="0" w:type="auto"/>
            <w:tcBorders>
              <w:top w:val="single" w:color="auto" w:sz="2" w:space="0"/>
              <w:left w:val="single" w:color="auto" w:sz="4" w:space="0"/>
              <w:bottom w:val="single" w:color="auto" w:sz="2" w:space="0"/>
              <w:right w:val="nil"/>
            </w:tcBorders>
            <w:vAlign w:val="center"/>
          </w:tcPr>
          <w:p w14:paraId="1E556294">
            <w:pPr>
              <w:pStyle w:val="445"/>
            </w:pPr>
            <w:r>
              <w:t>—</w:t>
            </w:r>
          </w:p>
        </w:tc>
      </w:tr>
      <w:tr w14:paraId="674B2531">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0" w:type="auto"/>
            <w:vMerge w:val="restart"/>
            <w:tcBorders>
              <w:top w:val="nil"/>
              <w:left w:val="nil"/>
              <w:bottom w:val="single" w:color="auto" w:sz="2" w:space="0"/>
              <w:right w:val="single" w:color="auto" w:sz="4" w:space="0"/>
            </w:tcBorders>
            <w:vAlign w:val="center"/>
          </w:tcPr>
          <w:p w14:paraId="1DA29EA7">
            <w:pPr>
              <w:pStyle w:val="445"/>
            </w:pPr>
            <w:r>
              <w:rPr>
                <w:rFonts w:ascii="宋体" w:hAnsi="宋体"/>
              </w:rPr>
              <w:t>运营期</w:t>
            </w:r>
          </w:p>
        </w:tc>
        <w:tc>
          <w:tcPr>
            <w:tcW w:w="0" w:type="auto"/>
            <w:tcBorders>
              <w:top w:val="single" w:color="auto" w:sz="2" w:space="0"/>
              <w:left w:val="single" w:color="auto" w:sz="4" w:space="0"/>
              <w:bottom w:val="single" w:color="auto" w:sz="2" w:space="0"/>
              <w:right w:val="single" w:color="auto" w:sz="4" w:space="0"/>
            </w:tcBorders>
            <w:vAlign w:val="center"/>
          </w:tcPr>
          <w:p w14:paraId="02AD35F4">
            <w:pPr>
              <w:pStyle w:val="445"/>
            </w:pPr>
            <w:r>
              <w:rPr>
                <w:rFonts w:ascii="宋体" w:hAnsi="宋体"/>
              </w:rPr>
              <w:t>废水排放</w:t>
            </w:r>
          </w:p>
        </w:tc>
        <w:tc>
          <w:tcPr>
            <w:tcW w:w="0" w:type="auto"/>
            <w:tcBorders>
              <w:top w:val="single" w:color="auto" w:sz="2" w:space="0"/>
              <w:left w:val="single" w:color="auto" w:sz="4" w:space="0"/>
              <w:bottom w:val="single" w:color="auto" w:sz="2" w:space="0"/>
              <w:right w:val="single" w:color="auto" w:sz="4" w:space="0"/>
            </w:tcBorders>
            <w:vAlign w:val="center"/>
          </w:tcPr>
          <w:p w14:paraId="49FB777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F23791C">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1EEA0655">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1301B89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12ED77">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52CD70F">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431259">
            <w:pPr>
              <w:pStyle w:val="445"/>
            </w:pPr>
            <w:r>
              <w:t>-L1ICR</w:t>
            </w:r>
          </w:p>
        </w:tc>
        <w:tc>
          <w:tcPr>
            <w:tcW w:w="0" w:type="auto"/>
            <w:tcBorders>
              <w:top w:val="single" w:color="auto" w:sz="2" w:space="0"/>
              <w:left w:val="single" w:color="auto" w:sz="4" w:space="0"/>
              <w:bottom w:val="single" w:color="auto" w:sz="2" w:space="0"/>
              <w:right w:val="single" w:color="auto" w:sz="4" w:space="0"/>
            </w:tcBorders>
            <w:vAlign w:val="center"/>
          </w:tcPr>
          <w:p w14:paraId="5C23A723">
            <w:pPr>
              <w:pStyle w:val="445"/>
            </w:pPr>
            <w:r>
              <w:t>-L1ICR</w:t>
            </w:r>
          </w:p>
        </w:tc>
        <w:tc>
          <w:tcPr>
            <w:tcW w:w="0" w:type="auto"/>
            <w:tcBorders>
              <w:top w:val="single" w:color="auto" w:sz="2" w:space="0"/>
              <w:left w:val="single" w:color="auto" w:sz="4" w:space="0"/>
              <w:bottom w:val="single" w:color="auto" w:sz="2" w:space="0"/>
              <w:right w:val="nil"/>
            </w:tcBorders>
            <w:vAlign w:val="center"/>
          </w:tcPr>
          <w:p w14:paraId="5ECFDC81">
            <w:pPr>
              <w:pStyle w:val="445"/>
            </w:pPr>
            <w:r>
              <w:t>—</w:t>
            </w:r>
          </w:p>
        </w:tc>
      </w:tr>
      <w:tr w14:paraId="55AA434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48DEAAF5">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215150E6">
            <w:pPr>
              <w:pStyle w:val="445"/>
            </w:pPr>
            <w:r>
              <w:rPr>
                <w:rFonts w:ascii="宋体" w:hAnsi="宋体"/>
              </w:rPr>
              <w:t>废气排放</w:t>
            </w:r>
          </w:p>
        </w:tc>
        <w:tc>
          <w:tcPr>
            <w:tcW w:w="0" w:type="auto"/>
            <w:tcBorders>
              <w:top w:val="single" w:color="auto" w:sz="2" w:space="0"/>
              <w:left w:val="single" w:color="auto" w:sz="4" w:space="0"/>
              <w:bottom w:val="single" w:color="auto" w:sz="2" w:space="0"/>
              <w:right w:val="single" w:color="auto" w:sz="4" w:space="0"/>
            </w:tcBorders>
            <w:vAlign w:val="center"/>
          </w:tcPr>
          <w:p w14:paraId="47993D81">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5CD94F4F">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7C4748D">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6B7F972">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3AE97B6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A301B53">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12951121">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BBEC785">
            <w:pPr>
              <w:pStyle w:val="445"/>
            </w:pPr>
            <w:r>
              <w:t>—</w:t>
            </w:r>
          </w:p>
        </w:tc>
        <w:tc>
          <w:tcPr>
            <w:tcW w:w="0" w:type="auto"/>
            <w:tcBorders>
              <w:top w:val="single" w:color="auto" w:sz="2" w:space="0"/>
              <w:left w:val="single" w:color="auto" w:sz="4" w:space="0"/>
              <w:bottom w:val="single" w:color="auto" w:sz="2" w:space="0"/>
              <w:right w:val="nil"/>
            </w:tcBorders>
            <w:vAlign w:val="center"/>
          </w:tcPr>
          <w:p w14:paraId="60F943C8">
            <w:pPr>
              <w:pStyle w:val="445"/>
            </w:pPr>
            <w:r>
              <w:t>—</w:t>
            </w:r>
          </w:p>
        </w:tc>
      </w:tr>
      <w:tr w14:paraId="2C0FBAD4">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7FE39251">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58712EFA">
            <w:pPr>
              <w:pStyle w:val="445"/>
            </w:pPr>
            <w:r>
              <w:rPr>
                <w:rFonts w:ascii="宋体" w:hAnsi="宋体"/>
              </w:rPr>
              <w:t>噪声排放</w:t>
            </w:r>
          </w:p>
        </w:tc>
        <w:tc>
          <w:tcPr>
            <w:tcW w:w="0" w:type="auto"/>
            <w:tcBorders>
              <w:top w:val="single" w:color="auto" w:sz="2" w:space="0"/>
              <w:left w:val="single" w:color="auto" w:sz="4" w:space="0"/>
              <w:bottom w:val="single" w:color="auto" w:sz="2" w:space="0"/>
              <w:right w:val="single" w:color="auto" w:sz="4" w:space="0"/>
            </w:tcBorders>
            <w:vAlign w:val="center"/>
          </w:tcPr>
          <w:p w14:paraId="092408E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6768F30">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D5FF54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551CAF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DE4FABD">
            <w:pPr>
              <w:pStyle w:val="445"/>
            </w:pPr>
            <w:r>
              <w:t>-L1DNCR</w:t>
            </w:r>
          </w:p>
        </w:tc>
        <w:tc>
          <w:tcPr>
            <w:tcW w:w="0" w:type="auto"/>
            <w:tcBorders>
              <w:top w:val="single" w:color="auto" w:sz="2" w:space="0"/>
              <w:left w:val="single" w:color="auto" w:sz="4" w:space="0"/>
              <w:bottom w:val="single" w:color="auto" w:sz="2" w:space="0"/>
              <w:right w:val="single" w:color="auto" w:sz="4" w:space="0"/>
            </w:tcBorders>
            <w:vAlign w:val="center"/>
          </w:tcPr>
          <w:p w14:paraId="347412BB">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3FF6341">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78F8DDA">
            <w:pPr>
              <w:pStyle w:val="445"/>
            </w:pPr>
            <w:r>
              <w:t>—</w:t>
            </w:r>
          </w:p>
        </w:tc>
        <w:tc>
          <w:tcPr>
            <w:tcW w:w="0" w:type="auto"/>
            <w:tcBorders>
              <w:top w:val="single" w:color="auto" w:sz="2" w:space="0"/>
              <w:left w:val="single" w:color="auto" w:sz="4" w:space="0"/>
              <w:bottom w:val="single" w:color="auto" w:sz="2" w:space="0"/>
              <w:right w:val="nil"/>
            </w:tcBorders>
            <w:vAlign w:val="center"/>
          </w:tcPr>
          <w:p w14:paraId="3941CAD9">
            <w:pPr>
              <w:pStyle w:val="445"/>
            </w:pPr>
            <w:r>
              <w:t>—</w:t>
            </w:r>
          </w:p>
        </w:tc>
      </w:tr>
      <w:tr w14:paraId="25E04FC4">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727F223E">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12518C74">
            <w:pPr>
              <w:pStyle w:val="445"/>
            </w:pPr>
            <w:r>
              <w:rPr>
                <w:rFonts w:ascii="宋体" w:hAnsi="宋体"/>
              </w:rPr>
              <w:t>固体废物</w:t>
            </w:r>
          </w:p>
        </w:tc>
        <w:tc>
          <w:tcPr>
            <w:tcW w:w="0" w:type="auto"/>
            <w:tcBorders>
              <w:top w:val="single" w:color="auto" w:sz="2" w:space="0"/>
              <w:left w:val="single" w:color="auto" w:sz="4" w:space="0"/>
              <w:bottom w:val="single" w:color="auto" w:sz="2" w:space="0"/>
              <w:right w:val="single" w:color="auto" w:sz="4" w:space="0"/>
            </w:tcBorders>
            <w:vAlign w:val="center"/>
          </w:tcPr>
          <w:p w14:paraId="5D85EF3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637103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3975AB6E">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723E5D45">
            <w:pPr>
              <w:pStyle w:val="445"/>
            </w:pPr>
            <w:r>
              <w:t>-L1DCR</w:t>
            </w:r>
          </w:p>
        </w:tc>
        <w:tc>
          <w:tcPr>
            <w:tcW w:w="0" w:type="auto"/>
            <w:tcBorders>
              <w:top w:val="single" w:color="auto" w:sz="2" w:space="0"/>
              <w:left w:val="single" w:color="auto" w:sz="4" w:space="0"/>
              <w:bottom w:val="single" w:color="auto" w:sz="2" w:space="0"/>
              <w:right w:val="single" w:color="auto" w:sz="4" w:space="0"/>
            </w:tcBorders>
            <w:vAlign w:val="center"/>
          </w:tcPr>
          <w:p w14:paraId="5D8D16C0">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08AEB92B">
            <w:pPr>
              <w:pStyle w:val="445"/>
            </w:pPr>
            <w:r>
              <w:t>-L1ICR</w:t>
            </w:r>
          </w:p>
        </w:tc>
        <w:tc>
          <w:tcPr>
            <w:tcW w:w="0" w:type="auto"/>
            <w:tcBorders>
              <w:top w:val="single" w:color="auto" w:sz="2" w:space="0"/>
              <w:left w:val="single" w:color="auto" w:sz="4" w:space="0"/>
              <w:bottom w:val="single" w:color="auto" w:sz="2" w:space="0"/>
              <w:right w:val="single" w:color="auto" w:sz="4" w:space="0"/>
            </w:tcBorders>
            <w:vAlign w:val="center"/>
          </w:tcPr>
          <w:p w14:paraId="32024BF0">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D27FB33">
            <w:pPr>
              <w:pStyle w:val="445"/>
            </w:pPr>
            <w:r>
              <w:t>—</w:t>
            </w:r>
          </w:p>
        </w:tc>
        <w:tc>
          <w:tcPr>
            <w:tcW w:w="0" w:type="auto"/>
            <w:tcBorders>
              <w:top w:val="single" w:color="auto" w:sz="2" w:space="0"/>
              <w:left w:val="single" w:color="auto" w:sz="4" w:space="0"/>
              <w:bottom w:val="single" w:color="auto" w:sz="2" w:space="0"/>
              <w:right w:val="nil"/>
            </w:tcBorders>
            <w:vAlign w:val="center"/>
          </w:tcPr>
          <w:p w14:paraId="21DC922B">
            <w:pPr>
              <w:pStyle w:val="445"/>
            </w:pPr>
            <w:r>
              <w:t>—</w:t>
            </w:r>
          </w:p>
        </w:tc>
      </w:tr>
      <w:tr w14:paraId="5B1CF61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2960EB5F">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063254D6">
            <w:pPr>
              <w:pStyle w:val="445"/>
            </w:pPr>
            <w:r>
              <w:rPr>
                <w:rFonts w:ascii="宋体" w:hAnsi="宋体"/>
              </w:rPr>
              <w:t>事故风险</w:t>
            </w:r>
          </w:p>
        </w:tc>
        <w:tc>
          <w:tcPr>
            <w:tcW w:w="0" w:type="auto"/>
            <w:tcBorders>
              <w:top w:val="single" w:color="auto" w:sz="2" w:space="0"/>
              <w:left w:val="single" w:color="auto" w:sz="4" w:space="0"/>
              <w:bottom w:val="single" w:color="auto" w:sz="2" w:space="0"/>
              <w:right w:val="single" w:color="auto" w:sz="4" w:space="0"/>
            </w:tcBorders>
            <w:vAlign w:val="center"/>
          </w:tcPr>
          <w:p w14:paraId="53ED477E">
            <w:pPr>
              <w:pStyle w:val="445"/>
            </w:pPr>
            <w:r>
              <w:t>-S2DCR</w:t>
            </w:r>
          </w:p>
        </w:tc>
        <w:tc>
          <w:tcPr>
            <w:tcW w:w="0" w:type="auto"/>
            <w:tcBorders>
              <w:top w:val="single" w:color="auto" w:sz="2" w:space="0"/>
              <w:left w:val="single" w:color="auto" w:sz="4" w:space="0"/>
              <w:bottom w:val="single" w:color="auto" w:sz="2" w:space="0"/>
              <w:right w:val="single" w:color="auto" w:sz="4" w:space="0"/>
            </w:tcBorders>
            <w:vAlign w:val="center"/>
          </w:tcPr>
          <w:p w14:paraId="50DC9DFD">
            <w:pPr>
              <w:pStyle w:val="445"/>
            </w:pPr>
            <w:r>
              <w:t>-S2DCR</w:t>
            </w:r>
          </w:p>
        </w:tc>
        <w:tc>
          <w:tcPr>
            <w:tcW w:w="0" w:type="auto"/>
            <w:tcBorders>
              <w:top w:val="single" w:color="auto" w:sz="2" w:space="0"/>
              <w:left w:val="single" w:color="auto" w:sz="4" w:space="0"/>
              <w:bottom w:val="single" w:color="auto" w:sz="2" w:space="0"/>
              <w:right w:val="single" w:color="auto" w:sz="4" w:space="0"/>
            </w:tcBorders>
            <w:vAlign w:val="center"/>
          </w:tcPr>
          <w:p w14:paraId="3AA5DE5C">
            <w:pPr>
              <w:pStyle w:val="445"/>
            </w:pPr>
            <w:r>
              <w:t>-S2ICR</w:t>
            </w:r>
          </w:p>
        </w:tc>
        <w:tc>
          <w:tcPr>
            <w:tcW w:w="0" w:type="auto"/>
            <w:tcBorders>
              <w:top w:val="single" w:color="auto" w:sz="2" w:space="0"/>
              <w:left w:val="single" w:color="auto" w:sz="4" w:space="0"/>
              <w:bottom w:val="single" w:color="auto" w:sz="2" w:space="0"/>
              <w:right w:val="single" w:color="auto" w:sz="4" w:space="0"/>
            </w:tcBorders>
            <w:vAlign w:val="center"/>
          </w:tcPr>
          <w:p w14:paraId="08503509">
            <w:pPr>
              <w:pStyle w:val="445"/>
            </w:pPr>
            <w:r>
              <w:t>-S2ICR</w:t>
            </w:r>
          </w:p>
        </w:tc>
        <w:tc>
          <w:tcPr>
            <w:tcW w:w="0" w:type="auto"/>
            <w:tcBorders>
              <w:top w:val="single" w:color="auto" w:sz="2" w:space="0"/>
              <w:left w:val="single" w:color="auto" w:sz="4" w:space="0"/>
              <w:bottom w:val="single" w:color="auto" w:sz="2" w:space="0"/>
              <w:right w:val="single" w:color="auto" w:sz="4" w:space="0"/>
            </w:tcBorders>
            <w:vAlign w:val="center"/>
          </w:tcPr>
          <w:p w14:paraId="080F43EF">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CADDB00">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B76B2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B96EDC5">
            <w:pPr>
              <w:pStyle w:val="445"/>
            </w:pPr>
            <w:r>
              <w:t>—</w:t>
            </w:r>
          </w:p>
        </w:tc>
        <w:tc>
          <w:tcPr>
            <w:tcW w:w="0" w:type="auto"/>
            <w:tcBorders>
              <w:top w:val="single" w:color="auto" w:sz="2" w:space="0"/>
              <w:left w:val="single" w:color="auto" w:sz="4" w:space="0"/>
              <w:bottom w:val="single" w:color="auto" w:sz="2" w:space="0"/>
              <w:right w:val="nil"/>
            </w:tcBorders>
            <w:vAlign w:val="center"/>
          </w:tcPr>
          <w:p w14:paraId="782C6B4A">
            <w:pPr>
              <w:pStyle w:val="445"/>
            </w:pPr>
            <w:r>
              <w:t>—</w:t>
            </w:r>
          </w:p>
        </w:tc>
      </w:tr>
      <w:tr w14:paraId="48B2A431">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restart"/>
            <w:tcBorders>
              <w:top w:val="nil"/>
              <w:left w:val="nil"/>
              <w:bottom w:val="single" w:color="auto" w:sz="2" w:space="0"/>
              <w:right w:val="single" w:color="auto" w:sz="4" w:space="0"/>
            </w:tcBorders>
            <w:vAlign w:val="center"/>
          </w:tcPr>
          <w:p w14:paraId="01197BBE">
            <w:pPr>
              <w:pStyle w:val="445"/>
            </w:pPr>
            <w:r>
              <w:rPr>
                <w:rFonts w:ascii="宋体" w:hAnsi="宋体"/>
              </w:rPr>
              <w:t>服务期</w:t>
            </w:r>
          </w:p>
          <w:p w14:paraId="49ACE205">
            <w:pPr>
              <w:pStyle w:val="445"/>
            </w:pPr>
            <w:r>
              <w:rPr>
                <w:rFonts w:ascii="宋体" w:hAnsi="宋体"/>
              </w:rPr>
              <w:t>满后</w:t>
            </w:r>
          </w:p>
        </w:tc>
        <w:tc>
          <w:tcPr>
            <w:tcW w:w="0" w:type="auto"/>
            <w:tcBorders>
              <w:top w:val="single" w:color="auto" w:sz="2" w:space="0"/>
              <w:left w:val="single" w:color="auto" w:sz="4" w:space="0"/>
              <w:bottom w:val="single" w:color="auto" w:sz="2" w:space="0"/>
              <w:right w:val="single" w:color="auto" w:sz="4" w:space="0"/>
            </w:tcBorders>
            <w:vAlign w:val="center"/>
          </w:tcPr>
          <w:p w14:paraId="0867A3ED">
            <w:pPr>
              <w:pStyle w:val="445"/>
            </w:pPr>
            <w:r>
              <w:rPr>
                <w:rFonts w:ascii="宋体" w:hAnsi="宋体"/>
              </w:rPr>
              <w:t>废水排放</w:t>
            </w:r>
          </w:p>
        </w:tc>
        <w:tc>
          <w:tcPr>
            <w:tcW w:w="0" w:type="auto"/>
            <w:tcBorders>
              <w:top w:val="single" w:color="auto" w:sz="2" w:space="0"/>
              <w:left w:val="single" w:color="auto" w:sz="4" w:space="0"/>
              <w:bottom w:val="single" w:color="auto" w:sz="2" w:space="0"/>
              <w:right w:val="single" w:color="auto" w:sz="4" w:space="0"/>
            </w:tcBorders>
            <w:vAlign w:val="center"/>
          </w:tcPr>
          <w:p w14:paraId="0B086C5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D3092F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B827C9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7F1D66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3BA7CA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44C6FE7">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36DBFF8">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46A58C5">
            <w:pPr>
              <w:pStyle w:val="445"/>
            </w:pPr>
            <w:r>
              <w:t>—</w:t>
            </w:r>
          </w:p>
        </w:tc>
        <w:tc>
          <w:tcPr>
            <w:tcW w:w="0" w:type="auto"/>
            <w:tcBorders>
              <w:top w:val="single" w:color="auto" w:sz="2" w:space="0"/>
              <w:left w:val="single" w:color="auto" w:sz="4" w:space="0"/>
              <w:bottom w:val="single" w:color="auto" w:sz="2" w:space="0"/>
              <w:right w:val="nil"/>
            </w:tcBorders>
            <w:vAlign w:val="center"/>
          </w:tcPr>
          <w:p w14:paraId="5EDC68F0">
            <w:pPr>
              <w:pStyle w:val="445"/>
            </w:pPr>
            <w:r>
              <w:t>—</w:t>
            </w:r>
          </w:p>
        </w:tc>
      </w:tr>
      <w:tr w14:paraId="581A6040">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0851BFF3">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433D8014">
            <w:pPr>
              <w:pStyle w:val="445"/>
            </w:pPr>
            <w:r>
              <w:rPr>
                <w:rFonts w:ascii="宋体" w:hAnsi="宋体"/>
              </w:rPr>
              <w:t>废气排放</w:t>
            </w:r>
          </w:p>
        </w:tc>
        <w:tc>
          <w:tcPr>
            <w:tcW w:w="0" w:type="auto"/>
            <w:tcBorders>
              <w:top w:val="single" w:color="auto" w:sz="2" w:space="0"/>
              <w:left w:val="single" w:color="auto" w:sz="4" w:space="0"/>
              <w:bottom w:val="single" w:color="auto" w:sz="2" w:space="0"/>
              <w:right w:val="single" w:color="auto" w:sz="4" w:space="0"/>
            </w:tcBorders>
            <w:vAlign w:val="center"/>
          </w:tcPr>
          <w:p w14:paraId="29675EF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DB2686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05BB58C">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950810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072696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00421399">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01F68823">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9D158FE">
            <w:pPr>
              <w:pStyle w:val="445"/>
            </w:pPr>
            <w:r>
              <w:t>—</w:t>
            </w:r>
          </w:p>
        </w:tc>
        <w:tc>
          <w:tcPr>
            <w:tcW w:w="0" w:type="auto"/>
            <w:tcBorders>
              <w:top w:val="single" w:color="auto" w:sz="2" w:space="0"/>
              <w:left w:val="single" w:color="auto" w:sz="4" w:space="0"/>
              <w:bottom w:val="single" w:color="auto" w:sz="2" w:space="0"/>
              <w:right w:val="nil"/>
            </w:tcBorders>
            <w:vAlign w:val="center"/>
          </w:tcPr>
          <w:p w14:paraId="1F4FEBEB">
            <w:pPr>
              <w:pStyle w:val="445"/>
            </w:pPr>
            <w:r>
              <w:t>—</w:t>
            </w:r>
          </w:p>
        </w:tc>
      </w:tr>
      <w:tr w14:paraId="751AF646">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06EB54D7">
            <w:pPr>
              <w:pStyle w:val="445"/>
            </w:pPr>
          </w:p>
        </w:tc>
        <w:tc>
          <w:tcPr>
            <w:tcW w:w="0" w:type="auto"/>
            <w:tcBorders>
              <w:top w:val="single" w:color="auto" w:sz="2" w:space="0"/>
              <w:left w:val="single" w:color="auto" w:sz="4" w:space="0"/>
              <w:bottom w:val="single" w:color="auto" w:sz="2" w:space="0"/>
              <w:right w:val="single" w:color="auto" w:sz="4" w:space="0"/>
            </w:tcBorders>
            <w:vAlign w:val="center"/>
          </w:tcPr>
          <w:p w14:paraId="0D226A90">
            <w:pPr>
              <w:pStyle w:val="445"/>
            </w:pPr>
            <w:r>
              <w:rPr>
                <w:rFonts w:ascii="宋体" w:hAnsi="宋体"/>
              </w:rPr>
              <w:t>固体废物</w:t>
            </w:r>
          </w:p>
        </w:tc>
        <w:tc>
          <w:tcPr>
            <w:tcW w:w="0" w:type="auto"/>
            <w:tcBorders>
              <w:top w:val="single" w:color="auto" w:sz="2" w:space="0"/>
              <w:left w:val="single" w:color="auto" w:sz="4" w:space="0"/>
              <w:bottom w:val="single" w:color="auto" w:sz="2" w:space="0"/>
              <w:right w:val="single" w:color="auto" w:sz="4" w:space="0"/>
            </w:tcBorders>
            <w:vAlign w:val="center"/>
          </w:tcPr>
          <w:p w14:paraId="7C5EE176">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5EFC7330">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5DBD414">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2D63BC5D">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663DFEFE">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736C53DA">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1DD9BC85">
            <w:pPr>
              <w:pStyle w:val="445"/>
            </w:pPr>
            <w:r>
              <w:t>—</w:t>
            </w:r>
          </w:p>
        </w:tc>
        <w:tc>
          <w:tcPr>
            <w:tcW w:w="0" w:type="auto"/>
            <w:tcBorders>
              <w:top w:val="single" w:color="auto" w:sz="2" w:space="0"/>
              <w:left w:val="single" w:color="auto" w:sz="4" w:space="0"/>
              <w:bottom w:val="single" w:color="auto" w:sz="2" w:space="0"/>
              <w:right w:val="single" w:color="auto" w:sz="4" w:space="0"/>
            </w:tcBorders>
            <w:vAlign w:val="center"/>
          </w:tcPr>
          <w:p w14:paraId="45220A91">
            <w:pPr>
              <w:pStyle w:val="445"/>
            </w:pPr>
            <w:r>
              <w:t>—</w:t>
            </w:r>
          </w:p>
        </w:tc>
        <w:tc>
          <w:tcPr>
            <w:tcW w:w="0" w:type="auto"/>
            <w:tcBorders>
              <w:top w:val="single" w:color="auto" w:sz="2" w:space="0"/>
              <w:left w:val="single" w:color="auto" w:sz="4" w:space="0"/>
              <w:bottom w:val="single" w:color="auto" w:sz="2" w:space="0"/>
              <w:right w:val="nil"/>
            </w:tcBorders>
            <w:vAlign w:val="center"/>
          </w:tcPr>
          <w:p w14:paraId="45FC24C2">
            <w:pPr>
              <w:pStyle w:val="445"/>
            </w:pPr>
            <w:r>
              <w:t>—</w:t>
            </w:r>
          </w:p>
        </w:tc>
      </w:tr>
      <w:tr w14:paraId="230615E3">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0" w:type="dxa"/>
            <w:bottom w:w="0" w:type="dxa"/>
            <w:right w:w="0" w:type="dxa"/>
          </w:tblCellMar>
        </w:tblPrEx>
        <w:trPr>
          <w:trHeight w:val="326" w:hRule="atLeast"/>
          <w:jc w:val="center"/>
        </w:trPr>
        <w:tc>
          <w:tcPr>
            <w:tcW w:w="0" w:type="auto"/>
            <w:vMerge w:val="continue"/>
            <w:tcBorders>
              <w:top w:val="nil"/>
              <w:left w:val="nil"/>
              <w:bottom w:val="single" w:color="auto" w:sz="2" w:space="0"/>
              <w:right w:val="single" w:color="auto" w:sz="4" w:space="0"/>
            </w:tcBorders>
            <w:vAlign w:val="center"/>
          </w:tcPr>
          <w:p w14:paraId="2666C66E">
            <w:pPr>
              <w:pStyle w:val="445"/>
            </w:pPr>
          </w:p>
        </w:tc>
        <w:tc>
          <w:tcPr>
            <w:tcW w:w="0" w:type="auto"/>
            <w:tcBorders>
              <w:top w:val="single" w:color="auto" w:sz="2" w:space="0"/>
              <w:left w:val="single" w:color="auto" w:sz="4" w:space="0"/>
              <w:bottom w:val="single" w:color="auto" w:sz="12" w:space="0"/>
              <w:right w:val="single" w:color="auto" w:sz="4" w:space="0"/>
            </w:tcBorders>
            <w:vAlign w:val="center"/>
          </w:tcPr>
          <w:p w14:paraId="4FD72C1F">
            <w:pPr>
              <w:pStyle w:val="445"/>
            </w:pPr>
            <w:r>
              <w:rPr>
                <w:rFonts w:ascii="宋体" w:hAnsi="宋体"/>
              </w:rPr>
              <w:t>事故风险</w:t>
            </w:r>
          </w:p>
        </w:tc>
        <w:tc>
          <w:tcPr>
            <w:tcW w:w="0" w:type="auto"/>
            <w:tcBorders>
              <w:top w:val="single" w:color="auto" w:sz="2" w:space="0"/>
              <w:left w:val="single" w:color="auto" w:sz="4" w:space="0"/>
              <w:bottom w:val="single" w:color="auto" w:sz="12" w:space="0"/>
              <w:right w:val="single" w:color="auto" w:sz="4" w:space="0"/>
            </w:tcBorders>
            <w:vAlign w:val="center"/>
          </w:tcPr>
          <w:p w14:paraId="0CC48A04">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6AEF6C61">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7E1DB687">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54F04B75">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218BAF6E">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06D5E655">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56F1F669">
            <w:pPr>
              <w:pStyle w:val="445"/>
            </w:pPr>
            <w:r>
              <w:t>—</w:t>
            </w:r>
          </w:p>
        </w:tc>
        <w:tc>
          <w:tcPr>
            <w:tcW w:w="0" w:type="auto"/>
            <w:tcBorders>
              <w:top w:val="single" w:color="auto" w:sz="2" w:space="0"/>
              <w:left w:val="single" w:color="auto" w:sz="4" w:space="0"/>
              <w:bottom w:val="single" w:color="auto" w:sz="12" w:space="0"/>
              <w:right w:val="single" w:color="auto" w:sz="4" w:space="0"/>
            </w:tcBorders>
            <w:vAlign w:val="center"/>
          </w:tcPr>
          <w:p w14:paraId="1B870871">
            <w:pPr>
              <w:pStyle w:val="445"/>
            </w:pPr>
            <w:r>
              <w:t>—</w:t>
            </w:r>
          </w:p>
        </w:tc>
        <w:tc>
          <w:tcPr>
            <w:tcW w:w="0" w:type="auto"/>
            <w:tcBorders>
              <w:top w:val="single" w:color="auto" w:sz="2" w:space="0"/>
              <w:left w:val="single" w:color="auto" w:sz="4" w:space="0"/>
              <w:bottom w:val="single" w:color="auto" w:sz="12" w:space="0"/>
              <w:right w:val="nil"/>
            </w:tcBorders>
            <w:vAlign w:val="center"/>
          </w:tcPr>
          <w:p w14:paraId="265B98EA">
            <w:pPr>
              <w:pStyle w:val="445"/>
            </w:pPr>
            <w:r>
              <w:t>—</w:t>
            </w:r>
          </w:p>
        </w:tc>
      </w:tr>
    </w:tbl>
    <w:p w14:paraId="6127D387">
      <w:pPr>
        <w:pStyle w:val="445"/>
        <w:jc w:val="left"/>
      </w:pPr>
      <w:r>
        <w:t>注：识别定性时，可用“+”、“-”分别表示有利、不利影响；“L”、“S”分别表示长期、短期影响；“0”至“3”数值分别表示无影响、轻微影响、中等影响、重大影响；用“D”、“I”分别表示直接、间接影响；“C”、“NC”分别表示累积、非累积影响；“R”、“IR”分别表示可逆、不可逆影响。</w:t>
      </w:r>
    </w:p>
    <w:p w14:paraId="5BD341D0">
      <w:pPr>
        <w:ind w:firstLine="0" w:firstLineChars="0"/>
      </w:pPr>
    </w:p>
    <w:p w14:paraId="3B8266E1">
      <w:pPr>
        <w:ind w:firstLine="480"/>
      </w:pPr>
    </w:p>
    <w:p w14:paraId="6EA6F84A">
      <w:pPr>
        <w:ind w:firstLine="199" w:firstLineChars="83"/>
        <w:sectPr>
          <w:pgSz w:w="16838" w:h="11906" w:orient="landscape"/>
          <w:pgMar w:top="1440" w:right="1440" w:bottom="1440" w:left="1440" w:header="851" w:footer="992" w:gutter="0"/>
          <w:cols w:space="425" w:num="1"/>
          <w:docGrid w:type="lines" w:linePitch="326" w:charSpace="0"/>
        </w:sectPr>
      </w:pPr>
    </w:p>
    <w:p w14:paraId="72DE75A5">
      <w:pPr>
        <w:pStyle w:val="4068"/>
      </w:pPr>
      <w:bookmarkStart w:id="34" w:name="_Toc100783958"/>
      <w:bookmarkStart w:id="35" w:name="_Toc108662552"/>
      <w:bookmarkStart w:id="36" w:name="_Toc101135786"/>
      <w:r>
        <w:rPr>
          <w:rFonts w:hint="eastAsia"/>
        </w:rPr>
        <w:t>2</w:t>
      </w:r>
      <w:r>
        <w:t>.2</w:t>
      </w:r>
      <w:r>
        <w:rPr>
          <w:rFonts w:hint="eastAsia"/>
        </w:rPr>
        <w:t>.</w:t>
      </w:r>
      <w:r>
        <w:t>2评价因子筛选</w:t>
      </w:r>
      <w:bookmarkEnd w:id="34"/>
      <w:bookmarkEnd w:id="35"/>
      <w:bookmarkEnd w:id="36"/>
    </w:p>
    <w:p w14:paraId="1E4355A0">
      <w:pPr>
        <w:ind w:firstLine="480"/>
      </w:pPr>
      <w:r>
        <w:t>根据本项目的工程特点和污染源分析</w:t>
      </w:r>
      <w:r>
        <w:rPr>
          <w:rFonts w:hint="eastAsia"/>
        </w:rPr>
        <w:t>，</w:t>
      </w:r>
      <w:r>
        <w:t>在对工程运营期环境影响初步识别的基础上</w:t>
      </w:r>
      <w:r>
        <w:rPr>
          <w:rFonts w:hint="eastAsia"/>
        </w:rPr>
        <w:t>，</w:t>
      </w:r>
      <w:r>
        <w:t>评价因子筛选见下表</w:t>
      </w:r>
      <w:r>
        <w:rPr>
          <w:rFonts w:hint="eastAsia"/>
        </w:rPr>
        <w:t>2</w:t>
      </w:r>
      <w:r>
        <w:t>.2.2-1</w:t>
      </w:r>
      <w:r>
        <w:rPr>
          <w:rFonts w:hint="eastAsia"/>
        </w:rPr>
        <w:t>。</w:t>
      </w:r>
    </w:p>
    <w:p w14:paraId="403ACBF6">
      <w:pPr>
        <w:spacing w:line="500" w:lineRule="exact"/>
        <w:ind w:firstLine="0" w:firstLineChars="0"/>
        <w:jc w:val="center"/>
        <w:rPr>
          <w:rFonts w:eastAsia="黑体"/>
        </w:rPr>
      </w:pPr>
      <w:r>
        <w:rPr>
          <w:rFonts w:hint="eastAsia" w:ascii="黑体" w:hAnsi="黑体" w:eastAsia="黑体"/>
        </w:rPr>
        <w:t>表</w:t>
      </w:r>
      <w:r>
        <w:rPr>
          <w:rFonts w:eastAsia="黑体"/>
        </w:rPr>
        <w:t xml:space="preserve">2.2.2-1  </w:t>
      </w:r>
      <w:r>
        <w:rPr>
          <w:rFonts w:hint="eastAsia" w:ascii="黑体" w:hAnsi="黑体" w:eastAsia="黑体"/>
        </w:rPr>
        <w:t>评价因子情况一览表</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421"/>
        <w:gridCol w:w="423"/>
        <w:gridCol w:w="3312"/>
        <w:gridCol w:w="1850"/>
        <w:gridCol w:w="1221"/>
        <w:gridCol w:w="1265"/>
      </w:tblGrid>
      <w:tr w14:paraId="57393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06" w:type="pct"/>
            <w:vAlign w:val="center"/>
          </w:tcPr>
          <w:p w14:paraId="46B5E583">
            <w:pPr>
              <w:pStyle w:val="445"/>
              <w:rPr>
                <w:sz w:val="21"/>
              </w:rPr>
            </w:pPr>
            <w:r>
              <w:t>评价时段</w:t>
            </w:r>
          </w:p>
        </w:tc>
        <w:tc>
          <w:tcPr>
            <w:tcW w:w="457" w:type="pct"/>
            <w:gridSpan w:val="2"/>
            <w:vAlign w:val="center"/>
          </w:tcPr>
          <w:p w14:paraId="4B32BC9D">
            <w:pPr>
              <w:pStyle w:val="445"/>
            </w:pPr>
            <w:r>
              <w:rPr>
                <w:rFonts w:hint="eastAsia"/>
              </w:rPr>
              <w:t>环境要素</w:t>
            </w:r>
          </w:p>
        </w:tc>
        <w:tc>
          <w:tcPr>
            <w:tcW w:w="1792" w:type="pct"/>
            <w:tcMar>
              <w:top w:w="0" w:type="dxa"/>
              <w:left w:w="0" w:type="dxa"/>
              <w:bottom w:w="0" w:type="dxa"/>
              <w:right w:w="0" w:type="dxa"/>
            </w:tcMar>
            <w:vAlign w:val="center"/>
          </w:tcPr>
          <w:p w14:paraId="747AADB2">
            <w:pPr>
              <w:pStyle w:val="445"/>
            </w:pPr>
            <w:r>
              <w:t>现状评价因子</w:t>
            </w:r>
          </w:p>
        </w:tc>
        <w:tc>
          <w:tcPr>
            <w:tcW w:w="1001" w:type="pct"/>
            <w:vAlign w:val="center"/>
          </w:tcPr>
          <w:p w14:paraId="21667DA0">
            <w:pPr>
              <w:pStyle w:val="445"/>
            </w:pPr>
            <w:r>
              <w:t>预测评价因子</w:t>
            </w:r>
          </w:p>
        </w:tc>
        <w:tc>
          <w:tcPr>
            <w:tcW w:w="660" w:type="pct"/>
            <w:vAlign w:val="center"/>
          </w:tcPr>
          <w:p w14:paraId="73EE359E">
            <w:pPr>
              <w:pStyle w:val="445"/>
            </w:pPr>
            <w:r>
              <w:t>总量控制因子</w:t>
            </w:r>
          </w:p>
        </w:tc>
        <w:tc>
          <w:tcPr>
            <w:tcW w:w="684" w:type="pct"/>
            <w:vAlign w:val="center"/>
          </w:tcPr>
          <w:p w14:paraId="148BEE14">
            <w:pPr>
              <w:pStyle w:val="445"/>
            </w:pPr>
            <w:r>
              <w:t>考核因子</w:t>
            </w:r>
          </w:p>
        </w:tc>
      </w:tr>
      <w:tr w14:paraId="5AB13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406" w:type="pct"/>
            <w:vMerge w:val="restart"/>
            <w:vAlign w:val="center"/>
          </w:tcPr>
          <w:p w14:paraId="162A43DA">
            <w:pPr>
              <w:pStyle w:val="445"/>
            </w:pPr>
            <w:r>
              <w:t>运</w:t>
            </w:r>
          </w:p>
          <w:p w14:paraId="6E79CD1F">
            <w:pPr>
              <w:pStyle w:val="445"/>
            </w:pPr>
            <w:r>
              <w:t>营</w:t>
            </w:r>
          </w:p>
          <w:p w14:paraId="51BF1C2E">
            <w:pPr>
              <w:pStyle w:val="445"/>
            </w:pPr>
            <w:r>
              <w:t>期</w:t>
            </w:r>
          </w:p>
        </w:tc>
        <w:tc>
          <w:tcPr>
            <w:tcW w:w="457" w:type="pct"/>
            <w:gridSpan w:val="2"/>
            <w:vAlign w:val="center"/>
          </w:tcPr>
          <w:p w14:paraId="2BA8E0F6">
            <w:pPr>
              <w:pStyle w:val="445"/>
            </w:pPr>
            <w:r>
              <w:t>地表水环境</w:t>
            </w:r>
          </w:p>
        </w:tc>
        <w:tc>
          <w:tcPr>
            <w:tcW w:w="1792" w:type="pct"/>
            <w:tcMar>
              <w:top w:w="0" w:type="dxa"/>
              <w:left w:w="0" w:type="dxa"/>
              <w:bottom w:w="0" w:type="dxa"/>
              <w:right w:w="0" w:type="dxa"/>
            </w:tcMar>
            <w:vAlign w:val="center"/>
          </w:tcPr>
          <w:p w14:paraId="08CB0574">
            <w:pPr>
              <w:pStyle w:val="445"/>
            </w:pPr>
            <w:r>
              <w:t>pH、溶解氧、化学需氧量、生化需氧量</w:t>
            </w:r>
            <w:r>
              <w:rPr>
                <w:rFonts w:hint="eastAsia"/>
              </w:rPr>
              <w:t>、氨氮、总磷、硫化物</w:t>
            </w:r>
          </w:p>
        </w:tc>
        <w:tc>
          <w:tcPr>
            <w:tcW w:w="1001" w:type="pct"/>
            <w:vAlign w:val="center"/>
          </w:tcPr>
          <w:p w14:paraId="6F9CDC93">
            <w:pPr>
              <w:pStyle w:val="445"/>
            </w:pPr>
            <w:r>
              <w:t>/</w:t>
            </w:r>
          </w:p>
        </w:tc>
        <w:tc>
          <w:tcPr>
            <w:tcW w:w="660" w:type="pct"/>
            <w:vAlign w:val="center"/>
          </w:tcPr>
          <w:p w14:paraId="6FC6DE66">
            <w:pPr>
              <w:pStyle w:val="445"/>
            </w:pPr>
            <w:r>
              <w:t>COD、氨氮</w:t>
            </w:r>
          </w:p>
        </w:tc>
        <w:tc>
          <w:tcPr>
            <w:tcW w:w="684" w:type="pct"/>
            <w:vAlign w:val="center"/>
          </w:tcPr>
          <w:p w14:paraId="3B4ED795">
            <w:pPr>
              <w:pStyle w:val="445"/>
            </w:pPr>
            <w:r>
              <w:rPr>
                <w:rFonts w:hint="eastAsia"/>
              </w:rPr>
              <w:t>/</w:t>
            </w:r>
          </w:p>
        </w:tc>
      </w:tr>
      <w:tr w14:paraId="38E4F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0" w:type="auto"/>
            <w:vMerge w:val="continue"/>
            <w:vAlign w:val="center"/>
          </w:tcPr>
          <w:p w14:paraId="5AC84C1D">
            <w:pPr>
              <w:pStyle w:val="445"/>
              <w:rPr>
                <w:sz w:val="21"/>
                <w:szCs w:val="21"/>
              </w:rPr>
            </w:pPr>
          </w:p>
        </w:tc>
        <w:tc>
          <w:tcPr>
            <w:tcW w:w="457" w:type="pct"/>
            <w:gridSpan w:val="2"/>
            <w:vAlign w:val="center"/>
          </w:tcPr>
          <w:p w14:paraId="511CE1B4">
            <w:pPr>
              <w:pStyle w:val="445"/>
            </w:pPr>
            <w:r>
              <w:t>地下水环境</w:t>
            </w:r>
          </w:p>
        </w:tc>
        <w:tc>
          <w:tcPr>
            <w:tcW w:w="1792" w:type="pct"/>
            <w:tcMar>
              <w:top w:w="0" w:type="dxa"/>
              <w:left w:w="0" w:type="dxa"/>
              <w:bottom w:w="0" w:type="dxa"/>
              <w:right w:w="0" w:type="dxa"/>
            </w:tcMar>
            <w:vAlign w:val="center"/>
          </w:tcPr>
          <w:p w14:paraId="5C0BA92E">
            <w:pPr>
              <w:pStyle w:val="445"/>
            </w:pPr>
            <w:r>
              <w:t>K</w:t>
            </w:r>
            <w:r>
              <w:rPr>
                <w:vertAlign w:val="superscript"/>
              </w:rPr>
              <w:t>+</w:t>
            </w:r>
            <w:r>
              <w:t>、Na</w:t>
            </w:r>
            <w:r>
              <w:rPr>
                <w:vertAlign w:val="superscript"/>
              </w:rPr>
              <w:t>+</w:t>
            </w:r>
            <w:r>
              <w:t>、Ca</w:t>
            </w:r>
            <w:r>
              <w:rPr>
                <w:vertAlign w:val="superscript"/>
              </w:rPr>
              <w:t>2+</w:t>
            </w:r>
            <w:r>
              <w:t>、Mg</w:t>
            </w:r>
            <w:r>
              <w:rPr>
                <w:vertAlign w:val="superscript"/>
              </w:rPr>
              <w:t>2+</w:t>
            </w:r>
            <w:r>
              <w:t>、CO</w:t>
            </w:r>
            <w:r>
              <w:rPr>
                <w:vertAlign w:val="subscript"/>
              </w:rPr>
              <w:t>3</w:t>
            </w:r>
            <w:r>
              <w:rPr>
                <w:vertAlign w:val="superscript"/>
              </w:rPr>
              <w:t>2-</w:t>
            </w:r>
            <w:r>
              <w:t>、HCO</w:t>
            </w:r>
            <w:r>
              <w:rPr>
                <w:vertAlign w:val="subscript"/>
              </w:rPr>
              <w:t>3</w:t>
            </w:r>
            <w:r>
              <w:rPr>
                <w:vertAlign w:val="superscript"/>
              </w:rPr>
              <w:t>-</w:t>
            </w:r>
            <w:r>
              <w:t>、Cl</w:t>
            </w:r>
            <w:r>
              <w:rPr>
                <w:vertAlign w:val="superscript"/>
              </w:rPr>
              <w:t>-</w:t>
            </w:r>
            <w:r>
              <w:t>、SO</w:t>
            </w:r>
            <w:r>
              <w:rPr>
                <w:vertAlign w:val="subscript"/>
              </w:rPr>
              <w:t>4</w:t>
            </w:r>
            <w:r>
              <w:rPr>
                <w:vertAlign w:val="superscript"/>
              </w:rPr>
              <w:t>2-</w:t>
            </w:r>
            <w:r>
              <w:rPr>
                <w:rFonts w:hint="eastAsia"/>
              </w:rPr>
              <w:t>、pH、总硬度、溶剂性总固体、氯化物、铁、锰、铜、锌、铝、挥发酚、阴离子表面活性、耗氧量、氨氮、硫化物、镍、硝酸盐、氟化物、汞、砷、硒、镉、六价铬、铅、总大肠菌群、菌落总数</w:t>
            </w:r>
          </w:p>
        </w:tc>
        <w:tc>
          <w:tcPr>
            <w:tcW w:w="1001" w:type="pct"/>
            <w:vAlign w:val="center"/>
          </w:tcPr>
          <w:p w14:paraId="46662E0A">
            <w:pPr>
              <w:pStyle w:val="445"/>
            </w:pPr>
            <w:r>
              <w:rPr>
                <w:rFonts w:hint="eastAsia"/>
              </w:rPr>
              <w:t>COD、氟化物</w:t>
            </w:r>
          </w:p>
        </w:tc>
        <w:tc>
          <w:tcPr>
            <w:tcW w:w="660" w:type="pct"/>
            <w:vAlign w:val="center"/>
          </w:tcPr>
          <w:p w14:paraId="590117CA">
            <w:pPr>
              <w:pStyle w:val="445"/>
            </w:pPr>
            <w:r>
              <w:t>/</w:t>
            </w:r>
          </w:p>
        </w:tc>
        <w:tc>
          <w:tcPr>
            <w:tcW w:w="684" w:type="pct"/>
            <w:vAlign w:val="center"/>
          </w:tcPr>
          <w:p w14:paraId="19FA7847">
            <w:pPr>
              <w:pStyle w:val="445"/>
            </w:pPr>
            <w:r>
              <w:t>/</w:t>
            </w:r>
          </w:p>
        </w:tc>
      </w:tr>
      <w:tr w14:paraId="071363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0" w:type="auto"/>
            <w:vMerge w:val="continue"/>
            <w:vAlign w:val="center"/>
          </w:tcPr>
          <w:p w14:paraId="421AD778">
            <w:pPr>
              <w:pStyle w:val="445"/>
              <w:rPr>
                <w:sz w:val="21"/>
                <w:szCs w:val="21"/>
              </w:rPr>
            </w:pPr>
          </w:p>
        </w:tc>
        <w:tc>
          <w:tcPr>
            <w:tcW w:w="457" w:type="pct"/>
            <w:gridSpan w:val="2"/>
            <w:vAlign w:val="center"/>
          </w:tcPr>
          <w:p w14:paraId="1AC90172">
            <w:pPr>
              <w:pStyle w:val="445"/>
            </w:pPr>
            <w:r>
              <w:t>大气环境</w:t>
            </w:r>
          </w:p>
        </w:tc>
        <w:tc>
          <w:tcPr>
            <w:tcW w:w="1792" w:type="pct"/>
            <w:tcMar>
              <w:top w:w="0" w:type="dxa"/>
              <w:left w:w="0" w:type="dxa"/>
              <w:bottom w:w="0" w:type="dxa"/>
              <w:right w:w="0" w:type="dxa"/>
            </w:tcMar>
            <w:vAlign w:val="center"/>
          </w:tcPr>
          <w:p w14:paraId="2C4926A4">
            <w:pPr>
              <w:pStyle w:val="445"/>
            </w:pPr>
            <w:r>
              <w:t>SO</w:t>
            </w:r>
            <w:r>
              <w:rPr>
                <w:vertAlign w:val="subscript"/>
              </w:rPr>
              <w:t>2</w:t>
            </w:r>
            <w:r>
              <w:t>、NO</w:t>
            </w:r>
            <w:r>
              <w:rPr>
                <w:vertAlign w:val="subscript"/>
              </w:rPr>
              <w:t>2</w:t>
            </w:r>
            <w:r>
              <w:t>、CO、O</w:t>
            </w:r>
            <w:r>
              <w:rPr>
                <w:vertAlign w:val="subscript"/>
              </w:rPr>
              <w:t>3</w:t>
            </w:r>
            <w:r>
              <w:t>、PM</w:t>
            </w:r>
            <w:r>
              <w:rPr>
                <w:vertAlign w:val="subscript"/>
              </w:rPr>
              <w:t>10</w:t>
            </w:r>
            <w:r>
              <w:t>、PM</w:t>
            </w:r>
            <w:r>
              <w:rPr>
                <w:vertAlign w:val="subscript"/>
              </w:rPr>
              <w:t>2.5</w:t>
            </w:r>
            <w:r>
              <w:t>、NH</w:t>
            </w:r>
            <w:r>
              <w:rPr>
                <w:vertAlign w:val="subscript"/>
              </w:rPr>
              <w:t>3</w:t>
            </w:r>
            <w:r>
              <w:t>、HCl、甲醇</w:t>
            </w:r>
            <w:r>
              <w:rPr>
                <w:rFonts w:hint="eastAsia"/>
              </w:rPr>
              <w:t>、</w:t>
            </w:r>
            <w:r>
              <w:t>VOCs</w:t>
            </w:r>
          </w:p>
        </w:tc>
        <w:tc>
          <w:tcPr>
            <w:tcW w:w="1001" w:type="pct"/>
            <w:vAlign w:val="center"/>
          </w:tcPr>
          <w:p w14:paraId="0D5C2C36">
            <w:pPr>
              <w:pStyle w:val="445"/>
            </w:pPr>
            <w:r>
              <w:t>SO</w:t>
            </w:r>
            <w:r>
              <w:rPr>
                <w:vertAlign w:val="subscript"/>
              </w:rPr>
              <w:t>2</w:t>
            </w:r>
            <w:r>
              <w:t>、NO</w:t>
            </w:r>
            <w:r>
              <w:rPr>
                <w:vertAlign w:val="subscript"/>
              </w:rPr>
              <w:t>2</w:t>
            </w:r>
            <w:r>
              <w:t>、PM</w:t>
            </w:r>
            <w:r>
              <w:rPr>
                <w:vertAlign w:val="subscript"/>
              </w:rPr>
              <w:t>10</w:t>
            </w:r>
            <w:r>
              <w:t>、PM</w:t>
            </w:r>
            <w:r>
              <w:rPr>
                <w:vertAlign w:val="subscript"/>
              </w:rPr>
              <w:t>2.5</w:t>
            </w:r>
            <w:r>
              <w:t>、NH</w:t>
            </w:r>
            <w:r>
              <w:rPr>
                <w:vertAlign w:val="subscript"/>
              </w:rPr>
              <w:t>3</w:t>
            </w:r>
            <w:r>
              <w:t>、HCl、甲醇</w:t>
            </w:r>
            <w:r>
              <w:rPr>
                <w:rFonts w:hint="eastAsia"/>
              </w:rPr>
              <w:t>、非甲烷</w:t>
            </w:r>
            <w:r>
              <w:t>总烃</w:t>
            </w:r>
          </w:p>
        </w:tc>
        <w:tc>
          <w:tcPr>
            <w:tcW w:w="660" w:type="pct"/>
            <w:vAlign w:val="center"/>
          </w:tcPr>
          <w:p w14:paraId="2418C3CC">
            <w:pPr>
              <w:pStyle w:val="445"/>
            </w:pPr>
            <w:r>
              <w:t>SO</w:t>
            </w:r>
            <w:r>
              <w:rPr>
                <w:vertAlign w:val="subscript"/>
              </w:rPr>
              <w:t>2</w:t>
            </w:r>
            <w:r>
              <w:t>、NO</w:t>
            </w:r>
            <w:r>
              <w:rPr>
                <w:vertAlign w:val="subscript"/>
              </w:rPr>
              <w:t>2</w:t>
            </w:r>
            <w:r>
              <w:t>、</w:t>
            </w:r>
            <w:r>
              <w:rPr>
                <w:rFonts w:hint="eastAsia"/>
              </w:rPr>
              <w:t>烟（粉）尘、</w:t>
            </w:r>
            <w:r>
              <w:t>VOCs</w:t>
            </w:r>
          </w:p>
        </w:tc>
        <w:tc>
          <w:tcPr>
            <w:tcW w:w="684" w:type="pct"/>
            <w:vAlign w:val="center"/>
          </w:tcPr>
          <w:p w14:paraId="651C3B14">
            <w:pPr>
              <w:pStyle w:val="445"/>
            </w:pPr>
            <w:r>
              <w:rPr>
                <w:rFonts w:hint="eastAsia"/>
              </w:rPr>
              <w:t>/</w:t>
            </w:r>
          </w:p>
        </w:tc>
      </w:tr>
      <w:tr w14:paraId="00F510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0" w:type="auto"/>
            <w:vMerge w:val="continue"/>
            <w:vAlign w:val="center"/>
          </w:tcPr>
          <w:p w14:paraId="0DDE1627">
            <w:pPr>
              <w:pStyle w:val="445"/>
              <w:rPr>
                <w:sz w:val="21"/>
                <w:szCs w:val="21"/>
              </w:rPr>
            </w:pPr>
          </w:p>
        </w:tc>
        <w:tc>
          <w:tcPr>
            <w:tcW w:w="457" w:type="pct"/>
            <w:gridSpan w:val="2"/>
            <w:vAlign w:val="center"/>
          </w:tcPr>
          <w:p w14:paraId="1C047D0F">
            <w:pPr>
              <w:pStyle w:val="445"/>
            </w:pPr>
            <w:r>
              <w:t>声环境</w:t>
            </w:r>
          </w:p>
        </w:tc>
        <w:tc>
          <w:tcPr>
            <w:tcW w:w="1792" w:type="pct"/>
            <w:tcMar>
              <w:top w:w="0" w:type="dxa"/>
              <w:left w:w="0" w:type="dxa"/>
              <w:bottom w:w="0" w:type="dxa"/>
              <w:right w:w="0" w:type="dxa"/>
            </w:tcMar>
            <w:vAlign w:val="center"/>
          </w:tcPr>
          <w:p w14:paraId="733E6656">
            <w:pPr>
              <w:pStyle w:val="445"/>
              <w:rPr>
                <w:vertAlign w:val="subscript"/>
              </w:rPr>
            </w:pPr>
            <w:r>
              <w:t>昼间、夜间等效声级，L</w:t>
            </w:r>
            <w:r>
              <w:rPr>
                <w:vertAlign w:val="subscript"/>
              </w:rPr>
              <w:t>Aeq</w:t>
            </w:r>
          </w:p>
        </w:tc>
        <w:tc>
          <w:tcPr>
            <w:tcW w:w="1001" w:type="pct"/>
            <w:vAlign w:val="center"/>
          </w:tcPr>
          <w:p w14:paraId="3BE8F2CB">
            <w:pPr>
              <w:pStyle w:val="445"/>
              <w:rPr>
                <w:vertAlign w:val="subscript"/>
              </w:rPr>
            </w:pPr>
            <w:r>
              <w:t>昼间、夜间等效声级，L</w:t>
            </w:r>
            <w:r>
              <w:rPr>
                <w:vertAlign w:val="subscript"/>
              </w:rPr>
              <w:t>Aeq</w:t>
            </w:r>
          </w:p>
        </w:tc>
        <w:tc>
          <w:tcPr>
            <w:tcW w:w="660" w:type="pct"/>
            <w:vAlign w:val="center"/>
          </w:tcPr>
          <w:p w14:paraId="72B731D5">
            <w:pPr>
              <w:pStyle w:val="445"/>
            </w:pPr>
            <w:r>
              <w:t>/</w:t>
            </w:r>
          </w:p>
        </w:tc>
        <w:tc>
          <w:tcPr>
            <w:tcW w:w="684" w:type="pct"/>
            <w:vAlign w:val="center"/>
          </w:tcPr>
          <w:p w14:paraId="78FF9B48">
            <w:pPr>
              <w:pStyle w:val="445"/>
            </w:pPr>
            <w:r>
              <w:t>/</w:t>
            </w:r>
          </w:p>
        </w:tc>
      </w:tr>
      <w:tr w14:paraId="2B017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0" w:type="auto"/>
            <w:vMerge w:val="continue"/>
            <w:vAlign w:val="center"/>
          </w:tcPr>
          <w:p w14:paraId="5481BFB0">
            <w:pPr>
              <w:pStyle w:val="445"/>
              <w:rPr>
                <w:sz w:val="21"/>
                <w:szCs w:val="21"/>
              </w:rPr>
            </w:pPr>
          </w:p>
        </w:tc>
        <w:tc>
          <w:tcPr>
            <w:tcW w:w="457" w:type="pct"/>
            <w:gridSpan w:val="2"/>
            <w:vAlign w:val="center"/>
          </w:tcPr>
          <w:p w14:paraId="10A39F1B">
            <w:pPr>
              <w:pStyle w:val="445"/>
            </w:pPr>
            <w:r>
              <w:t>固体废物</w:t>
            </w:r>
          </w:p>
        </w:tc>
        <w:tc>
          <w:tcPr>
            <w:tcW w:w="1792" w:type="pct"/>
            <w:tcMar>
              <w:top w:w="0" w:type="dxa"/>
              <w:left w:w="0" w:type="dxa"/>
              <w:bottom w:w="0" w:type="dxa"/>
              <w:right w:w="0" w:type="dxa"/>
            </w:tcMar>
            <w:vAlign w:val="center"/>
          </w:tcPr>
          <w:p w14:paraId="701B776B">
            <w:pPr>
              <w:pStyle w:val="445"/>
            </w:pPr>
            <w:r>
              <w:t>/</w:t>
            </w:r>
          </w:p>
        </w:tc>
        <w:tc>
          <w:tcPr>
            <w:tcW w:w="1001" w:type="pct"/>
            <w:vAlign w:val="center"/>
          </w:tcPr>
          <w:p w14:paraId="68C12EF1">
            <w:pPr>
              <w:pStyle w:val="445"/>
            </w:pPr>
            <w:r>
              <w:t>危险废物、生活垃圾</w:t>
            </w:r>
          </w:p>
        </w:tc>
        <w:tc>
          <w:tcPr>
            <w:tcW w:w="660" w:type="pct"/>
            <w:vAlign w:val="center"/>
          </w:tcPr>
          <w:p w14:paraId="5632C31E">
            <w:pPr>
              <w:pStyle w:val="445"/>
            </w:pPr>
            <w:r>
              <w:t>固废外排量</w:t>
            </w:r>
          </w:p>
        </w:tc>
        <w:tc>
          <w:tcPr>
            <w:tcW w:w="684" w:type="pct"/>
            <w:vAlign w:val="center"/>
          </w:tcPr>
          <w:p w14:paraId="7474417E">
            <w:pPr>
              <w:pStyle w:val="445"/>
            </w:pPr>
            <w:r>
              <w:t>/</w:t>
            </w:r>
          </w:p>
        </w:tc>
      </w:tr>
      <w:tr w14:paraId="45734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0" w:type="auto"/>
            <w:vMerge w:val="continue"/>
            <w:vAlign w:val="center"/>
          </w:tcPr>
          <w:p w14:paraId="727F996D">
            <w:pPr>
              <w:pStyle w:val="445"/>
              <w:rPr>
                <w:sz w:val="21"/>
                <w:szCs w:val="21"/>
              </w:rPr>
            </w:pPr>
          </w:p>
        </w:tc>
        <w:tc>
          <w:tcPr>
            <w:tcW w:w="228" w:type="pct"/>
            <w:vMerge w:val="restart"/>
            <w:vAlign w:val="center"/>
          </w:tcPr>
          <w:p w14:paraId="242FADBC">
            <w:pPr>
              <w:pStyle w:val="445"/>
            </w:pPr>
            <w:r>
              <w:t>土壤环境</w:t>
            </w:r>
          </w:p>
        </w:tc>
        <w:tc>
          <w:tcPr>
            <w:tcW w:w="229" w:type="pct"/>
            <w:vAlign w:val="center"/>
          </w:tcPr>
          <w:p w14:paraId="242DF238">
            <w:pPr>
              <w:pStyle w:val="445"/>
            </w:pPr>
            <w:r>
              <w:t>建设用地</w:t>
            </w:r>
          </w:p>
        </w:tc>
        <w:tc>
          <w:tcPr>
            <w:tcW w:w="1792" w:type="pct"/>
            <w:tcMar>
              <w:top w:w="0" w:type="dxa"/>
              <w:left w:w="0" w:type="dxa"/>
              <w:bottom w:w="0" w:type="dxa"/>
              <w:right w:w="0" w:type="dxa"/>
            </w:tcMar>
            <w:vAlign w:val="center"/>
          </w:tcPr>
          <w:p w14:paraId="11B21F7F">
            <w:pPr>
              <w:pStyle w:val="445"/>
            </w:pPr>
            <w:r>
              <w:t>铅、镉、汞、砷、镍、铬（六价）、铜、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二氯酚、苯并[a]蒽、苯并[a]芘、苯并[b]荧蒽、苯并[k]荧蒽、䓛、二苯并[a，h]蒽、茚并[1，2，3-c，d]芘、萘</w:t>
            </w:r>
          </w:p>
        </w:tc>
        <w:tc>
          <w:tcPr>
            <w:tcW w:w="1001" w:type="pct"/>
            <w:vMerge w:val="restart"/>
            <w:vAlign w:val="center"/>
          </w:tcPr>
          <w:p w14:paraId="796EF3BF">
            <w:pPr>
              <w:pStyle w:val="445"/>
            </w:pPr>
            <w:r>
              <w:rPr>
                <w:rFonts w:hint="eastAsia"/>
              </w:rPr>
              <w:t>/</w:t>
            </w:r>
          </w:p>
        </w:tc>
        <w:tc>
          <w:tcPr>
            <w:tcW w:w="660" w:type="pct"/>
            <w:vMerge w:val="restart"/>
            <w:vAlign w:val="center"/>
          </w:tcPr>
          <w:p w14:paraId="3089D176">
            <w:pPr>
              <w:pStyle w:val="445"/>
            </w:pPr>
            <w:r>
              <w:t>/</w:t>
            </w:r>
          </w:p>
        </w:tc>
        <w:tc>
          <w:tcPr>
            <w:tcW w:w="684" w:type="pct"/>
            <w:vMerge w:val="restart"/>
            <w:vAlign w:val="center"/>
          </w:tcPr>
          <w:p w14:paraId="32356513">
            <w:pPr>
              <w:pStyle w:val="445"/>
            </w:pPr>
            <w:r>
              <w:t>/</w:t>
            </w:r>
          </w:p>
        </w:tc>
      </w:tr>
      <w:tr w14:paraId="3904F3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0" w:type="auto"/>
            <w:vMerge w:val="continue"/>
            <w:vAlign w:val="center"/>
          </w:tcPr>
          <w:p w14:paraId="6D72CFE8">
            <w:pPr>
              <w:pStyle w:val="445"/>
              <w:rPr>
                <w:sz w:val="21"/>
                <w:szCs w:val="21"/>
              </w:rPr>
            </w:pPr>
          </w:p>
        </w:tc>
        <w:tc>
          <w:tcPr>
            <w:tcW w:w="228" w:type="pct"/>
            <w:vMerge w:val="continue"/>
            <w:vAlign w:val="center"/>
          </w:tcPr>
          <w:p w14:paraId="689EE1C1">
            <w:pPr>
              <w:pStyle w:val="445"/>
            </w:pPr>
          </w:p>
        </w:tc>
        <w:tc>
          <w:tcPr>
            <w:tcW w:w="229" w:type="pct"/>
            <w:vAlign w:val="center"/>
          </w:tcPr>
          <w:p w14:paraId="3247874D">
            <w:pPr>
              <w:pStyle w:val="445"/>
            </w:pPr>
            <w:r>
              <w:t>农用地</w:t>
            </w:r>
          </w:p>
        </w:tc>
        <w:tc>
          <w:tcPr>
            <w:tcW w:w="1792" w:type="pct"/>
            <w:tcMar>
              <w:top w:w="0" w:type="dxa"/>
              <w:left w:w="0" w:type="dxa"/>
              <w:bottom w:w="0" w:type="dxa"/>
              <w:right w:w="0" w:type="dxa"/>
            </w:tcMar>
            <w:vAlign w:val="center"/>
          </w:tcPr>
          <w:p w14:paraId="7D1E54CF">
            <w:pPr>
              <w:pStyle w:val="445"/>
            </w:pPr>
            <w:r>
              <w:t>pH、镉、汞、砷、铅、铬、铜、镍、锌</w:t>
            </w:r>
          </w:p>
        </w:tc>
        <w:tc>
          <w:tcPr>
            <w:tcW w:w="1001" w:type="pct"/>
            <w:vMerge w:val="continue"/>
            <w:vAlign w:val="center"/>
          </w:tcPr>
          <w:p w14:paraId="0FA8801D">
            <w:pPr>
              <w:pStyle w:val="445"/>
            </w:pPr>
          </w:p>
        </w:tc>
        <w:tc>
          <w:tcPr>
            <w:tcW w:w="660" w:type="pct"/>
            <w:vMerge w:val="continue"/>
            <w:vAlign w:val="center"/>
          </w:tcPr>
          <w:p w14:paraId="4E479633">
            <w:pPr>
              <w:pStyle w:val="445"/>
            </w:pPr>
          </w:p>
        </w:tc>
        <w:tc>
          <w:tcPr>
            <w:tcW w:w="684" w:type="pct"/>
            <w:vMerge w:val="continue"/>
            <w:vAlign w:val="center"/>
          </w:tcPr>
          <w:p w14:paraId="2B5A0F2D">
            <w:pPr>
              <w:pStyle w:val="445"/>
            </w:pPr>
          </w:p>
        </w:tc>
      </w:tr>
    </w:tbl>
    <w:p w14:paraId="13979A49">
      <w:pPr>
        <w:pStyle w:val="4068"/>
        <w:rPr>
          <w:rFonts w:ascii="黑体" w:hAnsi="黑体"/>
        </w:rPr>
      </w:pPr>
      <w:bookmarkStart w:id="37" w:name="_Toc100783959"/>
      <w:bookmarkStart w:id="38" w:name="_Toc101135787"/>
      <w:bookmarkStart w:id="39" w:name="_Toc108662553"/>
      <w:r>
        <w:rPr>
          <w:rFonts w:hint="eastAsia"/>
        </w:rPr>
        <w:t>2</w:t>
      </w:r>
      <w:r>
        <w:t>.2.3</w:t>
      </w:r>
      <w:r>
        <w:rPr>
          <w:rFonts w:hint="eastAsia" w:ascii="黑体" w:hAnsi="黑体"/>
        </w:rPr>
        <w:t>评价</w:t>
      </w:r>
      <w:r>
        <w:rPr>
          <w:rFonts w:ascii="黑体" w:hAnsi="黑体"/>
        </w:rPr>
        <w:t>标准</w:t>
      </w:r>
      <w:bookmarkEnd w:id="37"/>
      <w:bookmarkEnd w:id="38"/>
      <w:bookmarkEnd w:id="39"/>
    </w:p>
    <w:p w14:paraId="6FBFDEEF">
      <w:pPr>
        <w:pStyle w:val="349"/>
        <w:ind w:firstLine="120" w:firstLineChars="50"/>
      </w:pPr>
      <w:r>
        <w:rPr>
          <w:rFonts w:hint="eastAsia"/>
        </w:rPr>
        <w:t>2.2.3.1大气评价</w:t>
      </w:r>
      <w:r>
        <w:t>标准</w:t>
      </w:r>
    </w:p>
    <w:p w14:paraId="3A06A92D">
      <w:pPr>
        <w:ind w:firstLine="480"/>
      </w:pPr>
      <w:r>
        <w:rPr>
          <w:rFonts w:hint="eastAsia" w:ascii="宋体" w:hAnsi="宋体"/>
        </w:rPr>
        <w:t>（</w:t>
      </w:r>
      <w:r>
        <w:rPr>
          <w:rFonts w:hint="eastAsia"/>
        </w:rPr>
        <w:t>1</w:t>
      </w:r>
      <w:r>
        <w:rPr>
          <w:rFonts w:hint="eastAsia" w:ascii="宋体" w:hAnsi="宋体"/>
        </w:rPr>
        <w:t>）环境质量标准</w:t>
      </w:r>
    </w:p>
    <w:p w14:paraId="2C950834">
      <w:pPr>
        <w:ind w:firstLine="480"/>
      </w:pPr>
      <w:r>
        <w:rPr>
          <w:rFonts w:hint="eastAsia" w:ascii="宋体" w:hAnsi="宋体"/>
        </w:rPr>
        <w:t>区域</w:t>
      </w:r>
      <w:r>
        <w:t>SO</w:t>
      </w:r>
      <w:r>
        <w:rPr>
          <w:vertAlign w:val="subscript"/>
        </w:rPr>
        <w:t>2</w:t>
      </w:r>
      <w:r>
        <w:rPr>
          <w:rFonts w:hint="eastAsia" w:ascii="宋体" w:hAnsi="宋体"/>
        </w:rPr>
        <w:t>、</w:t>
      </w:r>
      <w:r>
        <w:t>NO</w:t>
      </w:r>
      <w:r>
        <w:rPr>
          <w:vertAlign w:val="subscript"/>
        </w:rPr>
        <w:t>2</w:t>
      </w:r>
      <w:r>
        <w:rPr>
          <w:rFonts w:hint="eastAsia" w:ascii="宋体" w:hAnsi="宋体"/>
        </w:rPr>
        <w:t>、</w:t>
      </w:r>
      <w:r>
        <w:t>PM</w:t>
      </w:r>
      <w:r>
        <w:rPr>
          <w:vertAlign w:val="subscript"/>
        </w:rPr>
        <w:t>10</w:t>
      </w:r>
      <w:r>
        <w:rPr>
          <w:rFonts w:hint="eastAsia" w:ascii="宋体" w:hAnsi="宋体"/>
        </w:rPr>
        <w:t>、</w:t>
      </w:r>
      <w:r>
        <w:t>PM</w:t>
      </w:r>
      <w:r>
        <w:rPr>
          <w:vertAlign w:val="subscript"/>
        </w:rPr>
        <w:t>2.5</w:t>
      </w:r>
      <w:r>
        <w:rPr>
          <w:rFonts w:hint="eastAsia" w:ascii="宋体" w:hAnsi="宋体"/>
        </w:rPr>
        <w:t>、</w:t>
      </w:r>
      <w:r>
        <w:t>CO</w:t>
      </w:r>
      <w:r>
        <w:rPr>
          <w:rFonts w:hint="eastAsia" w:ascii="宋体" w:hAnsi="宋体"/>
        </w:rPr>
        <w:t>、</w:t>
      </w:r>
      <w:r>
        <w:rPr>
          <w:rFonts w:hint="eastAsia"/>
        </w:rPr>
        <w:t>O</w:t>
      </w:r>
      <w:r>
        <w:rPr>
          <w:vertAlign w:val="subscript"/>
        </w:rPr>
        <w:t>3</w:t>
      </w:r>
      <w:r>
        <w:rPr>
          <w:rFonts w:hint="eastAsia" w:ascii="宋体" w:hAnsi="宋体"/>
        </w:rPr>
        <w:t>执行《环境空气质量标准》</w:t>
      </w:r>
      <w:r>
        <w:t>(GB3095</w:t>
      </w:r>
      <w:r>
        <w:rPr>
          <w:b/>
          <w:bCs/>
        </w:rPr>
        <w:t>-</w:t>
      </w:r>
      <w:r>
        <w:t>2012)</w:t>
      </w:r>
      <w:r>
        <w:rPr>
          <w:rFonts w:hint="eastAsia" w:ascii="宋体" w:hAnsi="宋体"/>
        </w:rPr>
        <w:t>二级标准及</w:t>
      </w:r>
      <w:r>
        <w:rPr>
          <w:rFonts w:ascii="宋体" w:hAnsi="宋体"/>
        </w:rPr>
        <w:t>修改单</w:t>
      </w:r>
      <w:r>
        <w:rPr>
          <w:rFonts w:hint="eastAsia" w:ascii="宋体" w:hAnsi="宋体"/>
        </w:rPr>
        <w:t>；氨、甲醇、硫化氢执行《环境影响评价技术导则</w:t>
      </w:r>
      <w:r>
        <w:rPr>
          <w:rFonts w:hint="eastAsia"/>
        </w:rPr>
        <w:t xml:space="preserve"> 大气环境》（H</w:t>
      </w:r>
      <w:r>
        <w:t>J2.2-2018</w:t>
      </w:r>
      <w:r>
        <w:rPr>
          <w:rFonts w:hint="eastAsia" w:ascii="宋体" w:hAnsi="宋体"/>
        </w:rPr>
        <w:t>）附录</w:t>
      </w:r>
      <w:r>
        <w:rPr>
          <w:rFonts w:hint="eastAsia"/>
        </w:rPr>
        <w:t>D</w:t>
      </w:r>
      <w:r>
        <w:rPr>
          <w:rFonts w:hint="eastAsia" w:ascii="宋体" w:hAnsi="宋体"/>
        </w:rPr>
        <w:t>中标准限值</w:t>
      </w:r>
      <w:r>
        <w:rPr>
          <w:rFonts w:hint="eastAsia"/>
          <w:szCs w:val="24"/>
        </w:rPr>
        <w:t>；</w:t>
      </w:r>
      <w:r>
        <w:rPr>
          <w:szCs w:val="24"/>
        </w:rPr>
        <w:t>非甲烷总烃参考</w:t>
      </w:r>
      <w:r>
        <w:rPr>
          <w:rFonts w:hint="eastAsia"/>
          <w:szCs w:val="24"/>
        </w:rPr>
        <w:t>《大气污染物综合排放标准详解》；</w:t>
      </w:r>
      <w:r>
        <w:rPr>
          <w:rFonts w:hint="eastAsia" w:ascii="宋体" w:hAnsi="宋体"/>
        </w:rPr>
        <w:t>具体见表</w:t>
      </w:r>
      <w:r>
        <w:rPr>
          <w:rFonts w:hint="eastAsia"/>
        </w:rPr>
        <w:t>2</w:t>
      </w:r>
      <w:r>
        <w:t>.2.3-1</w:t>
      </w:r>
      <w:r>
        <w:rPr>
          <w:rFonts w:hint="eastAsia" w:ascii="宋体" w:hAnsi="宋体"/>
        </w:rPr>
        <w:t>。</w:t>
      </w:r>
    </w:p>
    <w:p w14:paraId="6C687919">
      <w:pPr>
        <w:spacing w:line="500" w:lineRule="exact"/>
        <w:ind w:firstLine="0" w:firstLineChars="0"/>
        <w:jc w:val="center"/>
        <w:rPr>
          <w:rFonts w:eastAsia="黑体"/>
        </w:rPr>
      </w:pPr>
      <w:r>
        <w:rPr>
          <w:rFonts w:hint="eastAsia" w:ascii="黑体" w:hAnsi="黑体" w:eastAsia="黑体"/>
        </w:rPr>
        <w:t>表</w:t>
      </w:r>
      <w:r>
        <w:rPr>
          <w:rFonts w:eastAsia="黑体"/>
        </w:rPr>
        <w:t xml:space="preserve">2.2.3-1  </w:t>
      </w:r>
      <w:r>
        <w:rPr>
          <w:rFonts w:hint="eastAsia" w:ascii="黑体" w:hAnsi="黑体" w:eastAsia="黑体"/>
        </w:rPr>
        <w:t>环境空气质量标准</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1741"/>
        <w:gridCol w:w="1743"/>
        <w:gridCol w:w="1451"/>
        <w:gridCol w:w="2854"/>
      </w:tblGrid>
      <w:tr w14:paraId="4FDDC8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Align w:val="center"/>
          </w:tcPr>
          <w:p w14:paraId="7EFA957C">
            <w:pPr>
              <w:pStyle w:val="445"/>
              <w:rPr>
                <w:rFonts w:cs="Times New Roman"/>
                <w:b/>
                <w:kern w:val="0"/>
                <w:szCs w:val="20"/>
              </w:rPr>
            </w:pPr>
            <w:r>
              <w:rPr>
                <w:rFonts w:cs="Times New Roman"/>
                <w:b/>
                <w:kern w:val="0"/>
                <w:szCs w:val="20"/>
              </w:rPr>
              <w:t>污染物</w:t>
            </w:r>
          </w:p>
        </w:tc>
        <w:tc>
          <w:tcPr>
            <w:tcW w:w="942" w:type="pct"/>
            <w:vAlign w:val="center"/>
          </w:tcPr>
          <w:p w14:paraId="6E45BB58">
            <w:pPr>
              <w:pStyle w:val="445"/>
              <w:rPr>
                <w:rFonts w:cs="Times New Roman"/>
                <w:b/>
                <w:kern w:val="0"/>
                <w:szCs w:val="20"/>
              </w:rPr>
            </w:pPr>
            <w:r>
              <w:rPr>
                <w:rFonts w:cs="Times New Roman"/>
                <w:b/>
                <w:kern w:val="0"/>
                <w:szCs w:val="20"/>
              </w:rPr>
              <w:t>取值时间</w:t>
            </w:r>
          </w:p>
        </w:tc>
        <w:tc>
          <w:tcPr>
            <w:tcW w:w="943" w:type="pct"/>
            <w:vAlign w:val="center"/>
          </w:tcPr>
          <w:p w14:paraId="0430FE35">
            <w:pPr>
              <w:pStyle w:val="445"/>
              <w:rPr>
                <w:rFonts w:cs="Times New Roman"/>
                <w:b/>
                <w:kern w:val="0"/>
                <w:szCs w:val="20"/>
              </w:rPr>
            </w:pPr>
            <w:r>
              <w:rPr>
                <w:rFonts w:cs="Times New Roman"/>
                <w:b/>
                <w:kern w:val="0"/>
                <w:szCs w:val="20"/>
              </w:rPr>
              <w:t>浓度限值</w:t>
            </w:r>
          </w:p>
        </w:tc>
        <w:tc>
          <w:tcPr>
            <w:tcW w:w="785" w:type="pct"/>
            <w:vAlign w:val="center"/>
          </w:tcPr>
          <w:p w14:paraId="6694E5A2">
            <w:pPr>
              <w:pStyle w:val="445"/>
              <w:rPr>
                <w:rFonts w:cs="Times New Roman"/>
                <w:b/>
                <w:kern w:val="0"/>
                <w:szCs w:val="20"/>
              </w:rPr>
            </w:pPr>
            <w:r>
              <w:rPr>
                <w:rFonts w:hint="eastAsia" w:cs="Times New Roman"/>
                <w:b/>
                <w:kern w:val="0"/>
                <w:szCs w:val="20"/>
              </w:rPr>
              <w:t>单位</w:t>
            </w:r>
          </w:p>
        </w:tc>
        <w:tc>
          <w:tcPr>
            <w:tcW w:w="1544" w:type="pct"/>
            <w:vAlign w:val="center"/>
          </w:tcPr>
          <w:p w14:paraId="793A6265">
            <w:pPr>
              <w:pStyle w:val="445"/>
              <w:rPr>
                <w:rFonts w:cs="Times New Roman"/>
                <w:b/>
                <w:kern w:val="0"/>
                <w:szCs w:val="20"/>
              </w:rPr>
            </w:pPr>
            <w:r>
              <w:rPr>
                <w:rFonts w:cs="Times New Roman"/>
                <w:b/>
                <w:kern w:val="0"/>
                <w:szCs w:val="20"/>
              </w:rPr>
              <w:t>标准来源</w:t>
            </w:r>
          </w:p>
        </w:tc>
      </w:tr>
      <w:tr w14:paraId="46BF1D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0A539B8B">
            <w:pPr>
              <w:pStyle w:val="445"/>
              <w:rPr>
                <w:rFonts w:cs="Times New Roman"/>
                <w:kern w:val="0"/>
                <w:szCs w:val="20"/>
              </w:rPr>
            </w:pPr>
            <w:r>
              <w:rPr>
                <w:rFonts w:cs="Times New Roman"/>
                <w:kern w:val="0"/>
                <w:szCs w:val="20"/>
              </w:rPr>
              <w:t>SO</w:t>
            </w:r>
            <w:r>
              <w:rPr>
                <w:rFonts w:cs="Times New Roman"/>
                <w:kern w:val="0"/>
                <w:szCs w:val="20"/>
                <w:vertAlign w:val="subscript"/>
              </w:rPr>
              <w:t>2</w:t>
            </w:r>
          </w:p>
        </w:tc>
        <w:tc>
          <w:tcPr>
            <w:tcW w:w="942" w:type="pct"/>
            <w:vAlign w:val="center"/>
          </w:tcPr>
          <w:p w14:paraId="4482D925">
            <w:pPr>
              <w:pStyle w:val="445"/>
              <w:rPr>
                <w:rFonts w:cs="Times New Roman"/>
                <w:kern w:val="0"/>
                <w:szCs w:val="20"/>
              </w:rPr>
            </w:pPr>
            <w:r>
              <w:rPr>
                <w:rFonts w:cs="Times New Roman"/>
                <w:kern w:val="0"/>
                <w:szCs w:val="20"/>
              </w:rPr>
              <w:t>1小时平均</w:t>
            </w:r>
          </w:p>
        </w:tc>
        <w:tc>
          <w:tcPr>
            <w:tcW w:w="943" w:type="pct"/>
            <w:vAlign w:val="center"/>
          </w:tcPr>
          <w:p w14:paraId="6AD13C60">
            <w:pPr>
              <w:pStyle w:val="445"/>
              <w:rPr>
                <w:rFonts w:cs="Times New Roman"/>
                <w:kern w:val="0"/>
                <w:szCs w:val="20"/>
              </w:rPr>
            </w:pPr>
            <w:r>
              <w:rPr>
                <w:rFonts w:cs="Times New Roman"/>
                <w:kern w:val="0"/>
                <w:szCs w:val="20"/>
              </w:rPr>
              <w:t>500</w:t>
            </w:r>
          </w:p>
        </w:tc>
        <w:tc>
          <w:tcPr>
            <w:tcW w:w="785" w:type="pct"/>
            <w:vMerge w:val="restart"/>
            <w:vAlign w:val="center"/>
          </w:tcPr>
          <w:p w14:paraId="78062A34">
            <w:pPr>
              <w:pStyle w:val="445"/>
              <w:rPr>
                <w:rFonts w:cs="Times New Roman"/>
                <w:kern w:val="0"/>
                <w:szCs w:val="20"/>
              </w:rPr>
            </w:pPr>
            <w:r>
              <w:rPr>
                <w:rFonts w:cs="Times New Roman"/>
                <w:kern w:val="0"/>
                <w:szCs w:val="20"/>
              </w:rPr>
              <w:t>μ</w:t>
            </w:r>
            <w:r>
              <w:rPr>
                <w:rFonts w:hint="eastAsia" w:cs="Times New Roman"/>
                <w:kern w:val="0"/>
                <w:szCs w:val="20"/>
              </w:rPr>
              <w:t>g</w:t>
            </w:r>
            <w:r>
              <w:rPr>
                <w:rFonts w:cs="Times New Roman"/>
                <w:kern w:val="0"/>
                <w:szCs w:val="20"/>
              </w:rPr>
              <w:t>/m</w:t>
            </w:r>
            <w:r>
              <w:rPr>
                <w:rFonts w:cs="Times New Roman"/>
                <w:kern w:val="0"/>
                <w:szCs w:val="20"/>
                <w:vertAlign w:val="superscript"/>
              </w:rPr>
              <w:t>3</w:t>
            </w:r>
          </w:p>
        </w:tc>
        <w:tc>
          <w:tcPr>
            <w:tcW w:w="1544" w:type="pct"/>
            <w:vMerge w:val="restart"/>
            <w:vAlign w:val="center"/>
          </w:tcPr>
          <w:p w14:paraId="1F8E0C7F">
            <w:pPr>
              <w:pStyle w:val="445"/>
              <w:rPr>
                <w:rFonts w:cs="Times New Roman"/>
                <w:kern w:val="0"/>
                <w:szCs w:val="20"/>
              </w:rPr>
            </w:pPr>
            <w:r>
              <w:rPr>
                <w:rFonts w:cs="Times New Roman"/>
                <w:kern w:val="0"/>
                <w:szCs w:val="20"/>
              </w:rPr>
              <w:t>《环境空气质量标准》</w:t>
            </w:r>
          </w:p>
          <w:p w14:paraId="27822480">
            <w:pPr>
              <w:pStyle w:val="445"/>
              <w:rPr>
                <w:rFonts w:cs="Times New Roman"/>
                <w:kern w:val="0"/>
                <w:szCs w:val="20"/>
              </w:rPr>
            </w:pPr>
            <w:r>
              <w:rPr>
                <w:rFonts w:cs="Times New Roman"/>
                <w:kern w:val="0"/>
                <w:szCs w:val="20"/>
              </w:rPr>
              <w:t>（GB3095-2012）二级标准</w:t>
            </w:r>
            <w:r>
              <w:rPr>
                <w:rFonts w:hint="eastAsia" w:cs="Times New Roman"/>
                <w:kern w:val="0"/>
                <w:szCs w:val="20"/>
              </w:rPr>
              <w:t>及</w:t>
            </w:r>
            <w:r>
              <w:rPr>
                <w:rFonts w:cs="Times New Roman"/>
                <w:kern w:val="0"/>
                <w:szCs w:val="20"/>
              </w:rPr>
              <w:t>修改单</w:t>
            </w:r>
          </w:p>
        </w:tc>
      </w:tr>
      <w:tr w14:paraId="1EEDB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2CDA2557">
            <w:pPr>
              <w:pStyle w:val="445"/>
              <w:rPr>
                <w:rFonts w:cs="Times New Roman"/>
                <w:kern w:val="0"/>
                <w:szCs w:val="18"/>
              </w:rPr>
            </w:pPr>
          </w:p>
        </w:tc>
        <w:tc>
          <w:tcPr>
            <w:tcW w:w="942" w:type="pct"/>
            <w:vAlign w:val="center"/>
          </w:tcPr>
          <w:p w14:paraId="47D73C8B">
            <w:pPr>
              <w:pStyle w:val="445"/>
              <w:rPr>
                <w:rFonts w:cs="Times New Roman"/>
                <w:kern w:val="0"/>
                <w:szCs w:val="20"/>
              </w:rPr>
            </w:pPr>
            <w:r>
              <w:rPr>
                <w:rFonts w:cs="Times New Roman"/>
                <w:kern w:val="0"/>
                <w:szCs w:val="20"/>
              </w:rPr>
              <w:t>24小时平均</w:t>
            </w:r>
          </w:p>
        </w:tc>
        <w:tc>
          <w:tcPr>
            <w:tcW w:w="943" w:type="pct"/>
            <w:vAlign w:val="center"/>
          </w:tcPr>
          <w:p w14:paraId="273A7458">
            <w:pPr>
              <w:pStyle w:val="445"/>
              <w:rPr>
                <w:rFonts w:cs="Times New Roman"/>
                <w:kern w:val="0"/>
                <w:szCs w:val="20"/>
              </w:rPr>
            </w:pPr>
            <w:r>
              <w:rPr>
                <w:rFonts w:hint="eastAsia" w:cs="Times New Roman"/>
                <w:kern w:val="0"/>
                <w:szCs w:val="20"/>
              </w:rPr>
              <w:t>150</w:t>
            </w:r>
          </w:p>
        </w:tc>
        <w:tc>
          <w:tcPr>
            <w:tcW w:w="0" w:type="auto"/>
            <w:vMerge w:val="continue"/>
            <w:vAlign w:val="center"/>
          </w:tcPr>
          <w:p w14:paraId="088E1144">
            <w:pPr>
              <w:pStyle w:val="445"/>
              <w:rPr>
                <w:rFonts w:cs="Times New Roman"/>
                <w:kern w:val="0"/>
                <w:szCs w:val="18"/>
              </w:rPr>
            </w:pPr>
          </w:p>
        </w:tc>
        <w:tc>
          <w:tcPr>
            <w:tcW w:w="0" w:type="auto"/>
            <w:vMerge w:val="continue"/>
            <w:vAlign w:val="center"/>
          </w:tcPr>
          <w:p w14:paraId="4D390125">
            <w:pPr>
              <w:pStyle w:val="445"/>
              <w:rPr>
                <w:rFonts w:cs="Times New Roman"/>
                <w:kern w:val="0"/>
                <w:szCs w:val="18"/>
              </w:rPr>
            </w:pPr>
          </w:p>
        </w:tc>
      </w:tr>
      <w:tr w14:paraId="7017A4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21C77B64">
            <w:pPr>
              <w:pStyle w:val="445"/>
              <w:rPr>
                <w:rFonts w:cs="Times New Roman"/>
                <w:kern w:val="0"/>
                <w:szCs w:val="18"/>
              </w:rPr>
            </w:pPr>
          </w:p>
        </w:tc>
        <w:tc>
          <w:tcPr>
            <w:tcW w:w="942" w:type="pct"/>
            <w:vAlign w:val="center"/>
          </w:tcPr>
          <w:p w14:paraId="7CD5761A">
            <w:pPr>
              <w:pStyle w:val="445"/>
              <w:rPr>
                <w:rFonts w:cs="Times New Roman"/>
                <w:kern w:val="0"/>
                <w:szCs w:val="20"/>
              </w:rPr>
            </w:pPr>
            <w:r>
              <w:rPr>
                <w:rFonts w:cs="Times New Roman"/>
                <w:kern w:val="0"/>
                <w:szCs w:val="20"/>
              </w:rPr>
              <w:t>年平均</w:t>
            </w:r>
          </w:p>
        </w:tc>
        <w:tc>
          <w:tcPr>
            <w:tcW w:w="943" w:type="pct"/>
            <w:vAlign w:val="center"/>
          </w:tcPr>
          <w:p w14:paraId="2420CE4A">
            <w:pPr>
              <w:pStyle w:val="445"/>
              <w:rPr>
                <w:rFonts w:cs="Times New Roman"/>
                <w:kern w:val="0"/>
                <w:szCs w:val="20"/>
              </w:rPr>
            </w:pPr>
            <w:r>
              <w:rPr>
                <w:rFonts w:hint="eastAsia" w:cs="Times New Roman"/>
                <w:kern w:val="0"/>
                <w:szCs w:val="20"/>
              </w:rPr>
              <w:t>60</w:t>
            </w:r>
          </w:p>
        </w:tc>
        <w:tc>
          <w:tcPr>
            <w:tcW w:w="0" w:type="auto"/>
            <w:vMerge w:val="continue"/>
            <w:vAlign w:val="center"/>
          </w:tcPr>
          <w:p w14:paraId="1996B6B1">
            <w:pPr>
              <w:pStyle w:val="445"/>
              <w:rPr>
                <w:rFonts w:cs="Times New Roman"/>
                <w:kern w:val="0"/>
                <w:szCs w:val="18"/>
              </w:rPr>
            </w:pPr>
          </w:p>
        </w:tc>
        <w:tc>
          <w:tcPr>
            <w:tcW w:w="0" w:type="auto"/>
            <w:vMerge w:val="continue"/>
            <w:vAlign w:val="center"/>
          </w:tcPr>
          <w:p w14:paraId="45EB548E">
            <w:pPr>
              <w:pStyle w:val="445"/>
              <w:rPr>
                <w:rFonts w:cs="Times New Roman"/>
                <w:kern w:val="0"/>
                <w:szCs w:val="18"/>
              </w:rPr>
            </w:pPr>
          </w:p>
        </w:tc>
      </w:tr>
      <w:tr w14:paraId="6A746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560F99D2">
            <w:pPr>
              <w:pStyle w:val="445"/>
              <w:rPr>
                <w:rFonts w:cs="Times New Roman"/>
                <w:kern w:val="0"/>
                <w:szCs w:val="20"/>
              </w:rPr>
            </w:pPr>
            <w:r>
              <w:rPr>
                <w:rFonts w:cs="Times New Roman"/>
                <w:kern w:val="0"/>
                <w:szCs w:val="20"/>
              </w:rPr>
              <w:t>NO</w:t>
            </w:r>
            <w:r>
              <w:rPr>
                <w:rFonts w:cs="Times New Roman"/>
                <w:kern w:val="0"/>
                <w:szCs w:val="20"/>
                <w:vertAlign w:val="subscript"/>
              </w:rPr>
              <w:t>2</w:t>
            </w:r>
          </w:p>
        </w:tc>
        <w:tc>
          <w:tcPr>
            <w:tcW w:w="942" w:type="pct"/>
            <w:vAlign w:val="center"/>
          </w:tcPr>
          <w:p w14:paraId="2F8CF1EB">
            <w:pPr>
              <w:pStyle w:val="445"/>
              <w:rPr>
                <w:rFonts w:cs="Times New Roman"/>
                <w:kern w:val="0"/>
                <w:szCs w:val="20"/>
              </w:rPr>
            </w:pPr>
            <w:r>
              <w:rPr>
                <w:rFonts w:cs="Times New Roman"/>
                <w:kern w:val="0"/>
                <w:szCs w:val="20"/>
              </w:rPr>
              <w:t>1小时平均</w:t>
            </w:r>
          </w:p>
        </w:tc>
        <w:tc>
          <w:tcPr>
            <w:tcW w:w="943" w:type="pct"/>
            <w:vAlign w:val="center"/>
          </w:tcPr>
          <w:p w14:paraId="4D299C09">
            <w:pPr>
              <w:pStyle w:val="445"/>
              <w:rPr>
                <w:rFonts w:cs="Times New Roman"/>
                <w:kern w:val="0"/>
                <w:szCs w:val="20"/>
              </w:rPr>
            </w:pPr>
            <w:r>
              <w:rPr>
                <w:rFonts w:hint="eastAsia" w:cs="Times New Roman"/>
                <w:kern w:val="0"/>
                <w:szCs w:val="20"/>
              </w:rPr>
              <w:t>200</w:t>
            </w:r>
          </w:p>
        </w:tc>
        <w:tc>
          <w:tcPr>
            <w:tcW w:w="0" w:type="auto"/>
            <w:vMerge w:val="continue"/>
            <w:vAlign w:val="center"/>
          </w:tcPr>
          <w:p w14:paraId="5053F30A">
            <w:pPr>
              <w:pStyle w:val="445"/>
              <w:rPr>
                <w:rFonts w:cs="Times New Roman"/>
                <w:kern w:val="0"/>
                <w:szCs w:val="18"/>
              </w:rPr>
            </w:pPr>
          </w:p>
        </w:tc>
        <w:tc>
          <w:tcPr>
            <w:tcW w:w="0" w:type="auto"/>
            <w:vMerge w:val="continue"/>
            <w:vAlign w:val="center"/>
          </w:tcPr>
          <w:p w14:paraId="3F9FA472">
            <w:pPr>
              <w:pStyle w:val="445"/>
              <w:rPr>
                <w:rFonts w:cs="Times New Roman"/>
                <w:kern w:val="0"/>
                <w:szCs w:val="18"/>
              </w:rPr>
            </w:pPr>
          </w:p>
        </w:tc>
      </w:tr>
      <w:tr w14:paraId="7C4C7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0F7DCD16">
            <w:pPr>
              <w:pStyle w:val="445"/>
              <w:rPr>
                <w:rFonts w:cs="Times New Roman"/>
                <w:kern w:val="0"/>
                <w:szCs w:val="18"/>
              </w:rPr>
            </w:pPr>
          </w:p>
        </w:tc>
        <w:tc>
          <w:tcPr>
            <w:tcW w:w="942" w:type="pct"/>
            <w:vAlign w:val="center"/>
          </w:tcPr>
          <w:p w14:paraId="683180B5">
            <w:pPr>
              <w:pStyle w:val="445"/>
              <w:rPr>
                <w:rFonts w:cs="Times New Roman"/>
                <w:kern w:val="0"/>
                <w:szCs w:val="20"/>
              </w:rPr>
            </w:pPr>
            <w:r>
              <w:rPr>
                <w:rFonts w:cs="Times New Roman"/>
                <w:kern w:val="0"/>
                <w:szCs w:val="20"/>
              </w:rPr>
              <w:t>24小时平均</w:t>
            </w:r>
          </w:p>
        </w:tc>
        <w:tc>
          <w:tcPr>
            <w:tcW w:w="943" w:type="pct"/>
            <w:vAlign w:val="center"/>
          </w:tcPr>
          <w:p w14:paraId="4E23970A">
            <w:pPr>
              <w:pStyle w:val="445"/>
              <w:rPr>
                <w:rFonts w:cs="Times New Roman"/>
                <w:kern w:val="0"/>
                <w:szCs w:val="20"/>
              </w:rPr>
            </w:pPr>
            <w:r>
              <w:rPr>
                <w:rFonts w:hint="eastAsia" w:cs="Times New Roman"/>
                <w:kern w:val="0"/>
                <w:szCs w:val="20"/>
              </w:rPr>
              <w:t>80</w:t>
            </w:r>
          </w:p>
        </w:tc>
        <w:tc>
          <w:tcPr>
            <w:tcW w:w="0" w:type="auto"/>
            <w:vMerge w:val="continue"/>
            <w:vAlign w:val="center"/>
          </w:tcPr>
          <w:p w14:paraId="46663B11">
            <w:pPr>
              <w:pStyle w:val="445"/>
              <w:rPr>
                <w:rFonts w:cs="Times New Roman"/>
                <w:kern w:val="0"/>
                <w:szCs w:val="18"/>
              </w:rPr>
            </w:pPr>
          </w:p>
        </w:tc>
        <w:tc>
          <w:tcPr>
            <w:tcW w:w="0" w:type="auto"/>
            <w:vMerge w:val="continue"/>
            <w:vAlign w:val="center"/>
          </w:tcPr>
          <w:p w14:paraId="5AF4CC3F">
            <w:pPr>
              <w:pStyle w:val="445"/>
              <w:rPr>
                <w:rFonts w:cs="Times New Roman"/>
                <w:kern w:val="0"/>
                <w:szCs w:val="18"/>
              </w:rPr>
            </w:pPr>
          </w:p>
        </w:tc>
      </w:tr>
      <w:tr w14:paraId="3597D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1D215BCF">
            <w:pPr>
              <w:pStyle w:val="445"/>
              <w:rPr>
                <w:rFonts w:cs="Times New Roman"/>
                <w:kern w:val="0"/>
                <w:szCs w:val="18"/>
              </w:rPr>
            </w:pPr>
          </w:p>
        </w:tc>
        <w:tc>
          <w:tcPr>
            <w:tcW w:w="942" w:type="pct"/>
            <w:vAlign w:val="center"/>
          </w:tcPr>
          <w:p w14:paraId="23CBDCF5">
            <w:pPr>
              <w:pStyle w:val="445"/>
              <w:rPr>
                <w:rFonts w:cs="Times New Roman"/>
                <w:kern w:val="0"/>
                <w:szCs w:val="20"/>
              </w:rPr>
            </w:pPr>
            <w:r>
              <w:rPr>
                <w:rFonts w:cs="Times New Roman"/>
                <w:kern w:val="0"/>
                <w:szCs w:val="20"/>
              </w:rPr>
              <w:t>年平均</w:t>
            </w:r>
          </w:p>
        </w:tc>
        <w:tc>
          <w:tcPr>
            <w:tcW w:w="943" w:type="pct"/>
            <w:vAlign w:val="center"/>
          </w:tcPr>
          <w:p w14:paraId="5EE864CA">
            <w:pPr>
              <w:pStyle w:val="445"/>
              <w:rPr>
                <w:rFonts w:cs="Times New Roman"/>
                <w:kern w:val="0"/>
                <w:szCs w:val="20"/>
              </w:rPr>
            </w:pPr>
            <w:r>
              <w:rPr>
                <w:rFonts w:cs="Times New Roman"/>
                <w:kern w:val="0"/>
                <w:szCs w:val="20"/>
              </w:rPr>
              <w:t>40</w:t>
            </w:r>
          </w:p>
        </w:tc>
        <w:tc>
          <w:tcPr>
            <w:tcW w:w="0" w:type="auto"/>
            <w:vMerge w:val="continue"/>
            <w:vAlign w:val="center"/>
          </w:tcPr>
          <w:p w14:paraId="146F85A8">
            <w:pPr>
              <w:pStyle w:val="445"/>
              <w:rPr>
                <w:rFonts w:cs="Times New Roman"/>
                <w:kern w:val="0"/>
                <w:szCs w:val="18"/>
              </w:rPr>
            </w:pPr>
          </w:p>
        </w:tc>
        <w:tc>
          <w:tcPr>
            <w:tcW w:w="0" w:type="auto"/>
            <w:vMerge w:val="continue"/>
            <w:vAlign w:val="center"/>
          </w:tcPr>
          <w:p w14:paraId="15674391">
            <w:pPr>
              <w:pStyle w:val="445"/>
              <w:rPr>
                <w:rFonts w:cs="Times New Roman"/>
                <w:kern w:val="0"/>
                <w:szCs w:val="18"/>
              </w:rPr>
            </w:pPr>
          </w:p>
        </w:tc>
      </w:tr>
      <w:tr w14:paraId="30730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1DAF1599">
            <w:pPr>
              <w:pStyle w:val="445"/>
              <w:rPr>
                <w:rFonts w:cs="Times New Roman"/>
                <w:kern w:val="0"/>
                <w:szCs w:val="20"/>
              </w:rPr>
            </w:pPr>
            <w:r>
              <w:rPr>
                <w:rFonts w:cs="Times New Roman"/>
                <w:kern w:val="0"/>
                <w:szCs w:val="20"/>
              </w:rPr>
              <w:t>CO</w:t>
            </w:r>
          </w:p>
        </w:tc>
        <w:tc>
          <w:tcPr>
            <w:tcW w:w="942" w:type="pct"/>
            <w:vAlign w:val="center"/>
          </w:tcPr>
          <w:p w14:paraId="60DC4401">
            <w:pPr>
              <w:pStyle w:val="445"/>
              <w:rPr>
                <w:rFonts w:cs="Times New Roman"/>
                <w:kern w:val="0"/>
                <w:szCs w:val="20"/>
              </w:rPr>
            </w:pPr>
            <w:r>
              <w:rPr>
                <w:rFonts w:cs="Times New Roman"/>
                <w:kern w:val="0"/>
                <w:szCs w:val="20"/>
              </w:rPr>
              <w:t>1小时平均</w:t>
            </w:r>
          </w:p>
        </w:tc>
        <w:tc>
          <w:tcPr>
            <w:tcW w:w="943" w:type="pct"/>
            <w:vAlign w:val="center"/>
          </w:tcPr>
          <w:p w14:paraId="7D29C7C1">
            <w:pPr>
              <w:pStyle w:val="445"/>
              <w:rPr>
                <w:rFonts w:cs="Times New Roman"/>
                <w:kern w:val="0"/>
                <w:szCs w:val="20"/>
              </w:rPr>
            </w:pPr>
            <w:r>
              <w:rPr>
                <w:rFonts w:cs="Times New Roman"/>
                <w:kern w:val="0"/>
                <w:szCs w:val="20"/>
              </w:rPr>
              <w:t>10</w:t>
            </w:r>
          </w:p>
        </w:tc>
        <w:tc>
          <w:tcPr>
            <w:tcW w:w="785" w:type="pct"/>
            <w:vMerge w:val="restart"/>
            <w:vAlign w:val="center"/>
          </w:tcPr>
          <w:p w14:paraId="46E13ECF">
            <w:pPr>
              <w:pStyle w:val="445"/>
              <w:rPr>
                <w:rFonts w:cs="Times New Roman"/>
                <w:kern w:val="0"/>
                <w:szCs w:val="20"/>
              </w:rPr>
            </w:pPr>
            <w:r>
              <w:rPr>
                <w:rFonts w:cs="Times New Roman"/>
                <w:kern w:val="0"/>
                <w:szCs w:val="20"/>
              </w:rPr>
              <w:t>m</w:t>
            </w:r>
            <w:r>
              <w:rPr>
                <w:rFonts w:hint="eastAsia" w:cs="Times New Roman"/>
                <w:kern w:val="0"/>
                <w:szCs w:val="20"/>
              </w:rPr>
              <w:t>g</w:t>
            </w:r>
            <w:r>
              <w:rPr>
                <w:rFonts w:cs="Times New Roman"/>
                <w:kern w:val="0"/>
                <w:szCs w:val="20"/>
              </w:rPr>
              <w:t>/m</w:t>
            </w:r>
            <w:r>
              <w:rPr>
                <w:rFonts w:cs="Times New Roman"/>
                <w:kern w:val="0"/>
                <w:szCs w:val="20"/>
                <w:vertAlign w:val="superscript"/>
              </w:rPr>
              <w:t>3</w:t>
            </w:r>
          </w:p>
        </w:tc>
        <w:tc>
          <w:tcPr>
            <w:tcW w:w="0" w:type="auto"/>
            <w:vMerge w:val="continue"/>
            <w:vAlign w:val="center"/>
          </w:tcPr>
          <w:p w14:paraId="4A33633D">
            <w:pPr>
              <w:pStyle w:val="445"/>
              <w:rPr>
                <w:rFonts w:cs="Times New Roman"/>
                <w:kern w:val="0"/>
                <w:szCs w:val="18"/>
              </w:rPr>
            </w:pPr>
          </w:p>
        </w:tc>
      </w:tr>
      <w:tr w14:paraId="61DD5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47A35659">
            <w:pPr>
              <w:pStyle w:val="445"/>
              <w:rPr>
                <w:rFonts w:cs="Times New Roman"/>
                <w:kern w:val="0"/>
                <w:szCs w:val="18"/>
              </w:rPr>
            </w:pPr>
          </w:p>
        </w:tc>
        <w:tc>
          <w:tcPr>
            <w:tcW w:w="942" w:type="pct"/>
            <w:vAlign w:val="center"/>
          </w:tcPr>
          <w:p w14:paraId="60347FED">
            <w:pPr>
              <w:pStyle w:val="445"/>
              <w:rPr>
                <w:rFonts w:cs="Times New Roman"/>
                <w:kern w:val="0"/>
                <w:szCs w:val="20"/>
              </w:rPr>
            </w:pPr>
            <w:r>
              <w:rPr>
                <w:rFonts w:cs="Times New Roman"/>
                <w:kern w:val="0"/>
                <w:szCs w:val="20"/>
              </w:rPr>
              <w:t>24小时平均</w:t>
            </w:r>
          </w:p>
        </w:tc>
        <w:tc>
          <w:tcPr>
            <w:tcW w:w="943" w:type="pct"/>
            <w:vAlign w:val="center"/>
          </w:tcPr>
          <w:p w14:paraId="591CA101">
            <w:pPr>
              <w:pStyle w:val="445"/>
              <w:rPr>
                <w:rFonts w:cs="Times New Roman"/>
                <w:kern w:val="0"/>
                <w:szCs w:val="20"/>
              </w:rPr>
            </w:pPr>
            <w:r>
              <w:rPr>
                <w:rFonts w:cs="Times New Roman"/>
                <w:kern w:val="0"/>
                <w:szCs w:val="20"/>
              </w:rPr>
              <w:t>4</w:t>
            </w:r>
          </w:p>
        </w:tc>
        <w:tc>
          <w:tcPr>
            <w:tcW w:w="0" w:type="auto"/>
            <w:vMerge w:val="continue"/>
            <w:vAlign w:val="center"/>
          </w:tcPr>
          <w:p w14:paraId="3A599182">
            <w:pPr>
              <w:pStyle w:val="445"/>
              <w:rPr>
                <w:rFonts w:cs="Times New Roman"/>
                <w:kern w:val="0"/>
                <w:szCs w:val="18"/>
              </w:rPr>
            </w:pPr>
          </w:p>
        </w:tc>
        <w:tc>
          <w:tcPr>
            <w:tcW w:w="0" w:type="auto"/>
            <w:vMerge w:val="continue"/>
            <w:vAlign w:val="center"/>
          </w:tcPr>
          <w:p w14:paraId="19300285">
            <w:pPr>
              <w:pStyle w:val="445"/>
              <w:rPr>
                <w:rFonts w:cs="Times New Roman"/>
                <w:kern w:val="0"/>
                <w:szCs w:val="18"/>
              </w:rPr>
            </w:pPr>
          </w:p>
        </w:tc>
      </w:tr>
      <w:tr w14:paraId="3F61A5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03623492">
            <w:pPr>
              <w:pStyle w:val="445"/>
              <w:rPr>
                <w:rFonts w:cs="Times New Roman"/>
                <w:kern w:val="0"/>
                <w:szCs w:val="20"/>
              </w:rPr>
            </w:pPr>
            <w:r>
              <w:rPr>
                <w:rFonts w:cs="Times New Roman"/>
                <w:kern w:val="0"/>
                <w:szCs w:val="20"/>
              </w:rPr>
              <w:t>O</w:t>
            </w:r>
            <w:r>
              <w:rPr>
                <w:rFonts w:cs="Times New Roman"/>
                <w:kern w:val="0"/>
                <w:szCs w:val="20"/>
                <w:vertAlign w:val="subscript"/>
              </w:rPr>
              <w:t>3</w:t>
            </w:r>
          </w:p>
        </w:tc>
        <w:tc>
          <w:tcPr>
            <w:tcW w:w="942" w:type="pct"/>
            <w:vAlign w:val="center"/>
          </w:tcPr>
          <w:p w14:paraId="69876F26">
            <w:pPr>
              <w:pStyle w:val="445"/>
              <w:rPr>
                <w:rFonts w:cs="Times New Roman"/>
                <w:kern w:val="0"/>
                <w:szCs w:val="20"/>
              </w:rPr>
            </w:pPr>
            <w:r>
              <w:rPr>
                <w:rFonts w:cs="Times New Roman"/>
                <w:kern w:val="0"/>
                <w:szCs w:val="20"/>
              </w:rPr>
              <w:t>1小时平均</w:t>
            </w:r>
          </w:p>
        </w:tc>
        <w:tc>
          <w:tcPr>
            <w:tcW w:w="943" w:type="pct"/>
            <w:vAlign w:val="center"/>
          </w:tcPr>
          <w:p w14:paraId="0BBFE1CB">
            <w:pPr>
              <w:pStyle w:val="445"/>
              <w:rPr>
                <w:rFonts w:cs="Times New Roman"/>
                <w:kern w:val="0"/>
                <w:szCs w:val="20"/>
              </w:rPr>
            </w:pPr>
            <w:r>
              <w:rPr>
                <w:rFonts w:hint="eastAsia" w:cs="Times New Roman"/>
                <w:kern w:val="0"/>
                <w:szCs w:val="20"/>
              </w:rPr>
              <w:t>200</w:t>
            </w:r>
          </w:p>
        </w:tc>
        <w:tc>
          <w:tcPr>
            <w:tcW w:w="785" w:type="pct"/>
            <w:vMerge w:val="restart"/>
            <w:vAlign w:val="center"/>
          </w:tcPr>
          <w:p w14:paraId="5B45EC2E">
            <w:pPr>
              <w:pStyle w:val="445"/>
              <w:rPr>
                <w:rFonts w:cs="Times New Roman"/>
                <w:kern w:val="0"/>
                <w:szCs w:val="20"/>
              </w:rPr>
            </w:pPr>
            <w:r>
              <w:rPr>
                <w:rFonts w:cs="Times New Roman"/>
                <w:kern w:val="0"/>
                <w:szCs w:val="20"/>
              </w:rPr>
              <w:t>μ</w:t>
            </w:r>
            <w:r>
              <w:rPr>
                <w:rFonts w:hint="eastAsia" w:cs="Times New Roman"/>
                <w:kern w:val="0"/>
                <w:szCs w:val="20"/>
              </w:rPr>
              <w:t>g</w:t>
            </w:r>
            <w:r>
              <w:rPr>
                <w:rFonts w:cs="Times New Roman"/>
                <w:kern w:val="0"/>
                <w:szCs w:val="20"/>
              </w:rPr>
              <w:t>/m</w:t>
            </w:r>
            <w:r>
              <w:rPr>
                <w:rFonts w:cs="Times New Roman"/>
                <w:kern w:val="0"/>
                <w:szCs w:val="20"/>
                <w:vertAlign w:val="superscript"/>
              </w:rPr>
              <w:t>3</w:t>
            </w:r>
          </w:p>
        </w:tc>
        <w:tc>
          <w:tcPr>
            <w:tcW w:w="0" w:type="auto"/>
            <w:vMerge w:val="continue"/>
            <w:vAlign w:val="center"/>
          </w:tcPr>
          <w:p w14:paraId="24828CD6">
            <w:pPr>
              <w:pStyle w:val="445"/>
              <w:rPr>
                <w:rFonts w:cs="Times New Roman"/>
                <w:kern w:val="0"/>
                <w:szCs w:val="18"/>
              </w:rPr>
            </w:pPr>
          </w:p>
        </w:tc>
      </w:tr>
      <w:tr w14:paraId="02E68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2010CBE8">
            <w:pPr>
              <w:pStyle w:val="445"/>
              <w:rPr>
                <w:rFonts w:cs="Times New Roman"/>
                <w:kern w:val="0"/>
                <w:szCs w:val="18"/>
              </w:rPr>
            </w:pPr>
          </w:p>
        </w:tc>
        <w:tc>
          <w:tcPr>
            <w:tcW w:w="942" w:type="pct"/>
            <w:vAlign w:val="center"/>
          </w:tcPr>
          <w:p w14:paraId="3F6B39D4">
            <w:pPr>
              <w:pStyle w:val="445"/>
              <w:rPr>
                <w:rFonts w:cs="Times New Roman"/>
                <w:kern w:val="0"/>
                <w:szCs w:val="20"/>
              </w:rPr>
            </w:pPr>
            <w:r>
              <w:rPr>
                <w:rFonts w:hint="eastAsia" w:cs="Times New Roman"/>
                <w:kern w:val="0"/>
                <w:szCs w:val="20"/>
              </w:rPr>
              <w:t>日最大8</w:t>
            </w:r>
            <w:r>
              <w:rPr>
                <w:rFonts w:cs="Times New Roman"/>
                <w:kern w:val="0"/>
                <w:szCs w:val="20"/>
              </w:rPr>
              <w:t>小时平均</w:t>
            </w:r>
          </w:p>
        </w:tc>
        <w:tc>
          <w:tcPr>
            <w:tcW w:w="943" w:type="pct"/>
            <w:vAlign w:val="center"/>
          </w:tcPr>
          <w:p w14:paraId="0F965CD9">
            <w:pPr>
              <w:pStyle w:val="445"/>
              <w:rPr>
                <w:rFonts w:cs="Times New Roman"/>
                <w:kern w:val="0"/>
                <w:szCs w:val="20"/>
              </w:rPr>
            </w:pPr>
            <w:r>
              <w:rPr>
                <w:rFonts w:hint="eastAsia" w:cs="Times New Roman"/>
                <w:kern w:val="0"/>
                <w:szCs w:val="20"/>
              </w:rPr>
              <w:t>160</w:t>
            </w:r>
          </w:p>
        </w:tc>
        <w:tc>
          <w:tcPr>
            <w:tcW w:w="0" w:type="auto"/>
            <w:vMerge w:val="continue"/>
            <w:vAlign w:val="center"/>
          </w:tcPr>
          <w:p w14:paraId="1674BAB7">
            <w:pPr>
              <w:pStyle w:val="445"/>
              <w:rPr>
                <w:rFonts w:cs="Times New Roman"/>
                <w:kern w:val="0"/>
                <w:szCs w:val="18"/>
              </w:rPr>
            </w:pPr>
          </w:p>
        </w:tc>
        <w:tc>
          <w:tcPr>
            <w:tcW w:w="0" w:type="auto"/>
            <w:vMerge w:val="continue"/>
            <w:vAlign w:val="center"/>
          </w:tcPr>
          <w:p w14:paraId="172BB5B5">
            <w:pPr>
              <w:pStyle w:val="445"/>
              <w:rPr>
                <w:rFonts w:cs="Times New Roman"/>
                <w:kern w:val="0"/>
                <w:szCs w:val="18"/>
              </w:rPr>
            </w:pPr>
          </w:p>
        </w:tc>
      </w:tr>
      <w:tr w14:paraId="11845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6210D5C5">
            <w:pPr>
              <w:pStyle w:val="445"/>
              <w:rPr>
                <w:rFonts w:cs="Times New Roman"/>
                <w:kern w:val="0"/>
                <w:szCs w:val="20"/>
              </w:rPr>
            </w:pPr>
            <w:r>
              <w:rPr>
                <w:rFonts w:cs="Times New Roman"/>
                <w:kern w:val="0"/>
                <w:szCs w:val="20"/>
              </w:rPr>
              <w:t>PM</w:t>
            </w:r>
            <w:r>
              <w:rPr>
                <w:rFonts w:cs="Times New Roman"/>
                <w:kern w:val="0"/>
                <w:szCs w:val="20"/>
                <w:vertAlign w:val="subscript"/>
              </w:rPr>
              <w:t>10</w:t>
            </w:r>
          </w:p>
        </w:tc>
        <w:tc>
          <w:tcPr>
            <w:tcW w:w="942" w:type="pct"/>
            <w:vAlign w:val="center"/>
          </w:tcPr>
          <w:p w14:paraId="3AE5C787">
            <w:pPr>
              <w:pStyle w:val="445"/>
              <w:rPr>
                <w:rFonts w:cs="Times New Roman"/>
                <w:kern w:val="0"/>
                <w:szCs w:val="20"/>
              </w:rPr>
            </w:pPr>
            <w:r>
              <w:rPr>
                <w:rFonts w:cs="Times New Roman"/>
                <w:kern w:val="0"/>
                <w:szCs w:val="20"/>
              </w:rPr>
              <w:t>24小时平均</w:t>
            </w:r>
          </w:p>
        </w:tc>
        <w:tc>
          <w:tcPr>
            <w:tcW w:w="943" w:type="pct"/>
            <w:vAlign w:val="center"/>
          </w:tcPr>
          <w:p w14:paraId="1C24522C">
            <w:pPr>
              <w:pStyle w:val="445"/>
              <w:rPr>
                <w:rFonts w:cs="Times New Roman"/>
                <w:kern w:val="0"/>
                <w:szCs w:val="20"/>
              </w:rPr>
            </w:pPr>
            <w:r>
              <w:rPr>
                <w:rFonts w:hint="eastAsia" w:cs="Times New Roman"/>
                <w:kern w:val="0"/>
                <w:szCs w:val="20"/>
              </w:rPr>
              <w:t>150</w:t>
            </w:r>
          </w:p>
        </w:tc>
        <w:tc>
          <w:tcPr>
            <w:tcW w:w="0" w:type="auto"/>
            <w:vMerge w:val="continue"/>
            <w:vAlign w:val="center"/>
          </w:tcPr>
          <w:p w14:paraId="38712A71">
            <w:pPr>
              <w:pStyle w:val="445"/>
              <w:rPr>
                <w:rFonts w:cs="Times New Roman"/>
                <w:kern w:val="0"/>
                <w:szCs w:val="18"/>
              </w:rPr>
            </w:pPr>
          </w:p>
        </w:tc>
        <w:tc>
          <w:tcPr>
            <w:tcW w:w="0" w:type="auto"/>
            <w:vMerge w:val="continue"/>
            <w:vAlign w:val="center"/>
          </w:tcPr>
          <w:p w14:paraId="6875FD53">
            <w:pPr>
              <w:pStyle w:val="445"/>
              <w:rPr>
                <w:rFonts w:cs="Times New Roman"/>
                <w:kern w:val="0"/>
                <w:szCs w:val="18"/>
              </w:rPr>
            </w:pPr>
          </w:p>
        </w:tc>
      </w:tr>
      <w:tr w14:paraId="1972F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1CE08FAF">
            <w:pPr>
              <w:pStyle w:val="445"/>
              <w:rPr>
                <w:rFonts w:cs="Times New Roman"/>
                <w:kern w:val="0"/>
                <w:szCs w:val="18"/>
              </w:rPr>
            </w:pPr>
          </w:p>
        </w:tc>
        <w:tc>
          <w:tcPr>
            <w:tcW w:w="942" w:type="pct"/>
            <w:vAlign w:val="center"/>
          </w:tcPr>
          <w:p w14:paraId="6DF4DD5A">
            <w:pPr>
              <w:pStyle w:val="445"/>
              <w:rPr>
                <w:rFonts w:cs="Times New Roman"/>
                <w:kern w:val="0"/>
                <w:szCs w:val="20"/>
              </w:rPr>
            </w:pPr>
            <w:r>
              <w:rPr>
                <w:rFonts w:cs="Times New Roman"/>
                <w:kern w:val="0"/>
                <w:szCs w:val="20"/>
              </w:rPr>
              <w:t>年平均</w:t>
            </w:r>
          </w:p>
        </w:tc>
        <w:tc>
          <w:tcPr>
            <w:tcW w:w="943" w:type="pct"/>
            <w:vAlign w:val="center"/>
          </w:tcPr>
          <w:p w14:paraId="65DCA90C">
            <w:pPr>
              <w:pStyle w:val="445"/>
              <w:rPr>
                <w:rFonts w:cs="Times New Roman"/>
                <w:kern w:val="0"/>
                <w:szCs w:val="20"/>
              </w:rPr>
            </w:pPr>
            <w:r>
              <w:rPr>
                <w:rFonts w:hint="eastAsia" w:cs="Times New Roman"/>
                <w:kern w:val="0"/>
                <w:szCs w:val="20"/>
              </w:rPr>
              <w:t>70</w:t>
            </w:r>
          </w:p>
        </w:tc>
        <w:tc>
          <w:tcPr>
            <w:tcW w:w="0" w:type="auto"/>
            <w:vMerge w:val="continue"/>
            <w:vAlign w:val="center"/>
          </w:tcPr>
          <w:p w14:paraId="5D4E2C2A">
            <w:pPr>
              <w:pStyle w:val="445"/>
              <w:rPr>
                <w:rFonts w:cs="Times New Roman"/>
                <w:kern w:val="0"/>
                <w:szCs w:val="18"/>
              </w:rPr>
            </w:pPr>
          </w:p>
        </w:tc>
        <w:tc>
          <w:tcPr>
            <w:tcW w:w="0" w:type="auto"/>
            <w:vMerge w:val="continue"/>
            <w:vAlign w:val="center"/>
          </w:tcPr>
          <w:p w14:paraId="1B013C4C">
            <w:pPr>
              <w:pStyle w:val="445"/>
              <w:rPr>
                <w:rFonts w:cs="Times New Roman"/>
                <w:kern w:val="0"/>
                <w:szCs w:val="18"/>
              </w:rPr>
            </w:pPr>
          </w:p>
        </w:tc>
      </w:tr>
      <w:tr w14:paraId="6A451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6BA624D0">
            <w:pPr>
              <w:pStyle w:val="445"/>
              <w:rPr>
                <w:rFonts w:cs="Times New Roman"/>
                <w:kern w:val="0"/>
                <w:szCs w:val="20"/>
              </w:rPr>
            </w:pPr>
            <w:r>
              <w:rPr>
                <w:rFonts w:cs="Times New Roman"/>
                <w:kern w:val="0"/>
                <w:szCs w:val="20"/>
              </w:rPr>
              <w:t>PM</w:t>
            </w:r>
            <w:r>
              <w:rPr>
                <w:rFonts w:cs="Times New Roman"/>
                <w:kern w:val="0"/>
                <w:szCs w:val="20"/>
                <w:vertAlign w:val="subscript"/>
              </w:rPr>
              <w:t>2.5</w:t>
            </w:r>
          </w:p>
        </w:tc>
        <w:tc>
          <w:tcPr>
            <w:tcW w:w="942" w:type="pct"/>
            <w:vAlign w:val="center"/>
          </w:tcPr>
          <w:p w14:paraId="5FDF22B1">
            <w:pPr>
              <w:pStyle w:val="445"/>
              <w:rPr>
                <w:rFonts w:cs="Times New Roman"/>
                <w:kern w:val="0"/>
                <w:szCs w:val="20"/>
              </w:rPr>
            </w:pPr>
            <w:r>
              <w:rPr>
                <w:rFonts w:cs="Times New Roman"/>
                <w:kern w:val="0"/>
                <w:szCs w:val="20"/>
              </w:rPr>
              <w:t>24小时平均</w:t>
            </w:r>
          </w:p>
        </w:tc>
        <w:tc>
          <w:tcPr>
            <w:tcW w:w="943" w:type="pct"/>
            <w:vAlign w:val="center"/>
          </w:tcPr>
          <w:p w14:paraId="0E42C622">
            <w:pPr>
              <w:pStyle w:val="445"/>
              <w:rPr>
                <w:rFonts w:cs="Times New Roman"/>
                <w:kern w:val="0"/>
                <w:szCs w:val="20"/>
              </w:rPr>
            </w:pPr>
            <w:r>
              <w:rPr>
                <w:rFonts w:hint="eastAsia" w:cs="Times New Roman"/>
                <w:kern w:val="0"/>
                <w:szCs w:val="20"/>
              </w:rPr>
              <w:t>75</w:t>
            </w:r>
          </w:p>
        </w:tc>
        <w:tc>
          <w:tcPr>
            <w:tcW w:w="0" w:type="auto"/>
            <w:vMerge w:val="continue"/>
            <w:vAlign w:val="center"/>
          </w:tcPr>
          <w:p w14:paraId="32B7B40F">
            <w:pPr>
              <w:pStyle w:val="445"/>
              <w:rPr>
                <w:rFonts w:cs="Times New Roman"/>
                <w:kern w:val="0"/>
                <w:szCs w:val="18"/>
              </w:rPr>
            </w:pPr>
          </w:p>
        </w:tc>
        <w:tc>
          <w:tcPr>
            <w:tcW w:w="0" w:type="auto"/>
            <w:vMerge w:val="continue"/>
            <w:vAlign w:val="center"/>
          </w:tcPr>
          <w:p w14:paraId="4C8375A5">
            <w:pPr>
              <w:pStyle w:val="445"/>
              <w:rPr>
                <w:rFonts w:cs="Times New Roman"/>
                <w:kern w:val="0"/>
                <w:szCs w:val="18"/>
              </w:rPr>
            </w:pPr>
          </w:p>
        </w:tc>
      </w:tr>
      <w:tr w14:paraId="40036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78B95D20">
            <w:pPr>
              <w:pStyle w:val="445"/>
              <w:rPr>
                <w:rFonts w:cs="Times New Roman"/>
                <w:kern w:val="0"/>
                <w:szCs w:val="18"/>
              </w:rPr>
            </w:pPr>
          </w:p>
        </w:tc>
        <w:tc>
          <w:tcPr>
            <w:tcW w:w="942" w:type="pct"/>
            <w:vAlign w:val="center"/>
          </w:tcPr>
          <w:p w14:paraId="7A36895C">
            <w:pPr>
              <w:pStyle w:val="445"/>
              <w:rPr>
                <w:rFonts w:cs="Times New Roman"/>
                <w:kern w:val="0"/>
                <w:szCs w:val="20"/>
              </w:rPr>
            </w:pPr>
            <w:r>
              <w:rPr>
                <w:rFonts w:cs="Times New Roman"/>
                <w:kern w:val="0"/>
                <w:szCs w:val="20"/>
              </w:rPr>
              <w:t>年平均</w:t>
            </w:r>
          </w:p>
        </w:tc>
        <w:tc>
          <w:tcPr>
            <w:tcW w:w="943" w:type="pct"/>
            <w:vAlign w:val="center"/>
          </w:tcPr>
          <w:p w14:paraId="19408EA0">
            <w:pPr>
              <w:pStyle w:val="445"/>
              <w:rPr>
                <w:rFonts w:cs="Times New Roman"/>
                <w:kern w:val="0"/>
                <w:szCs w:val="20"/>
              </w:rPr>
            </w:pPr>
            <w:r>
              <w:rPr>
                <w:rFonts w:hint="eastAsia" w:cs="Times New Roman"/>
                <w:kern w:val="0"/>
                <w:szCs w:val="20"/>
              </w:rPr>
              <w:t>35</w:t>
            </w:r>
          </w:p>
        </w:tc>
        <w:tc>
          <w:tcPr>
            <w:tcW w:w="0" w:type="auto"/>
            <w:vMerge w:val="continue"/>
            <w:vAlign w:val="center"/>
          </w:tcPr>
          <w:p w14:paraId="5CAC61DF">
            <w:pPr>
              <w:pStyle w:val="445"/>
              <w:rPr>
                <w:rFonts w:cs="Times New Roman"/>
                <w:kern w:val="0"/>
                <w:szCs w:val="18"/>
              </w:rPr>
            </w:pPr>
          </w:p>
        </w:tc>
        <w:tc>
          <w:tcPr>
            <w:tcW w:w="0" w:type="auto"/>
            <w:vMerge w:val="continue"/>
            <w:vAlign w:val="center"/>
          </w:tcPr>
          <w:p w14:paraId="5C33885E">
            <w:pPr>
              <w:pStyle w:val="445"/>
              <w:rPr>
                <w:rFonts w:cs="Times New Roman"/>
                <w:kern w:val="0"/>
                <w:szCs w:val="18"/>
              </w:rPr>
            </w:pPr>
          </w:p>
        </w:tc>
      </w:tr>
      <w:tr w14:paraId="2399E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restart"/>
            <w:vAlign w:val="center"/>
          </w:tcPr>
          <w:p w14:paraId="73B90168">
            <w:pPr>
              <w:pStyle w:val="445"/>
              <w:rPr>
                <w:rFonts w:cs="Times New Roman"/>
                <w:kern w:val="0"/>
                <w:szCs w:val="20"/>
              </w:rPr>
            </w:pPr>
            <w:r>
              <w:rPr>
                <w:rFonts w:cs="Times New Roman"/>
                <w:kern w:val="0"/>
                <w:szCs w:val="20"/>
              </w:rPr>
              <w:t>甲醇</w:t>
            </w:r>
          </w:p>
        </w:tc>
        <w:tc>
          <w:tcPr>
            <w:tcW w:w="942" w:type="pct"/>
            <w:vAlign w:val="center"/>
          </w:tcPr>
          <w:p w14:paraId="1B77E859">
            <w:pPr>
              <w:pStyle w:val="445"/>
              <w:rPr>
                <w:rFonts w:cs="Times New Roman"/>
                <w:kern w:val="0"/>
                <w:szCs w:val="20"/>
              </w:rPr>
            </w:pPr>
            <w:r>
              <w:rPr>
                <w:rFonts w:cs="Times New Roman"/>
                <w:kern w:val="0"/>
                <w:szCs w:val="20"/>
              </w:rPr>
              <w:t>1小时平均</w:t>
            </w:r>
          </w:p>
        </w:tc>
        <w:tc>
          <w:tcPr>
            <w:tcW w:w="943" w:type="pct"/>
            <w:vAlign w:val="center"/>
          </w:tcPr>
          <w:p w14:paraId="621951A8">
            <w:pPr>
              <w:pStyle w:val="445"/>
              <w:rPr>
                <w:rFonts w:cs="Times New Roman"/>
                <w:kern w:val="0"/>
                <w:szCs w:val="20"/>
              </w:rPr>
            </w:pPr>
            <w:r>
              <w:rPr>
                <w:rFonts w:hint="eastAsia" w:cs="Times New Roman"/>
                <w:kern w:val="0"/>
                <w:szCs w:val="20"/>
              </w:rPr>
              <w:t>3</w:t>
            </w:r>
            <w:r>
              <w:rPr>
                <w:rFonts w:cs="Times New Roman"/>
                <w:kern w:val="0"/>
                <w:szCs w:val="20"/>
              </w:rPr>
              <w:t>000</w:t>
            </w:r>
          </w:p>
        </w:tc>
        <w:tc>
          <w:tcPr>
            <w:tcW w:w="0" w:type="auto"/>
            <w:vMerge w:val="continue"/>
            <w:vAlign w:val="center"/>
          </w:tcPr>
          <w:p w14:paraId="005E8422">
            <w:pPr>
              <w:pStyle w:val="445"/>
              <w:rPr>
                <w:rFonts w:cs="Times New Roman"/>
                <w:kern w:val="0"/>
                <w:szCs w:val="18"/>
              </w:rPr>
            </w:pPr>
          </w:p>
        </w:tc>
        <w:tc>
          <w:tcPr>
            <w:tcW w:w="1544" w:type="pct"/>
            <w:vMerge w:val="restart"/>
            <w:vAlign w:val="center"/>
          </w:tcPr>
          <w:p w14:paraId="44FFC79F">
            <w:pPr>
              <w:pStyle w:val="445"/>
              <w:rPr>
                <w:rFonts w:cs="Times New Roman"/>
                <w:kern w:val="0"/>
                <w:szCs w:val="20"/>
              </w:rPr>
            </w:pPr>
            <w:r>
              <w:rPr>
                <w:rFonts w:cs="Times New Roman"/>
                <w:kern w:val="0"/>
                <w:szCs w:val="20"/>
              </w:rPr>
              <w:t>《</w:t>
            </w:r>
            <w:r>
              <w:rPr>
                <w:rFonts w:hint="eastAsia" w:cs="Times New Roman"/>
                <w:kern w:val="0"/>
                <w:szCs w:val="20"/>
              </w:rPr>
              <w:t>环境</w:t>
            </w:r>
            <w:r>
              <w:rPr>
                <w:rFonts w:cs="Times New Roman"/>
                <w:kern w:val="0"/>
                <w:szCs w:val="20"/>
              </w:rPr>
              <w:t>影响评价</w:t>
            </w:r>
            <w:r>
              <w:rPr>
                <w:rFonts w:hint="eastAsia" w:cs="Times New Roman"/>
                <w:kern w:val="0"/>
                <w:szCs w:val="20"/>
              </w:rPr>
              <w:t>技术导则 大气</w:t>
            </w:r>
            <w:r>
              <w:rPr>
                <w:rFonts w:cs="Times New Roman"/>
                <w:kern w:val="0"/>
                <w:szCs w:val="20"/>
              </w:rPr>
              <w:t>环境》</w:t>
            </w:r>
            <w:r>
              <w:rPr>
                <w:rFonts w:hint="eastAsia" w:cs="Times New Roman"/>
                <w:kern w:val="0"/>
                <w:szCs w:val="20"/>
              </w:rPr>
              <w:t>（HJ</w:t>
            </w:r>
            <w:r>
              <w:rPr>
                <w:rFonts w:cs="Times New Roman"/>
                <w:kern w:val="0"/>
                <w:szCs w:val="20"/>
              </w:rPr>
              <w:t>2.2-2018</w:t>
            </w:r>
            <w:r>
              <w:rPr>
                <w:rFonts w:hint="eastAsia" w:cs="Times New Roman"/>
                <w:kern w:val="0"/>
                <w:szCs w:val="20"/>
              </w:rPr>
              <w:t>）附录</w:t>
            </w:r>
            <w:r>
              <w:rPr>
                <w:rFonts w:cs="Times New Roman"/>
                <w:kern w:val="0"/>
                <w:szCs w:val="20"/>
              </w:rPr>
              <w:t>D</w:t>
            </w:r>
            <w:r>
              <w:rPr>
                <w:rFonts w:hint="eastAsia" w:cs="Times New Roman"/>
                <w:kern w:val="0"/>
                <w:szCs w:val="20"/>
              </w:rPr>
              <w:t>其他污染物空气质量浓度参考限值</w:t>
            </w:r>
          </w:p>
        </w:tc>
      </w:tr>
      <w:tr w14:paraId="182DC3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vAlign w:val="center"/>
          </w:tcPr>
          <w:p w14:paraId="6308C157">
            <w:pPr>
              <w:pStyle w:val="445"/>
              <w:rPr>
                <w:rFonts w:cs="Times New Roman"/>
                <w:kern w:val="0"/>
                <w:szCs w:val="18"/>
              </w:rPr>
            </w:pPr>
          </w:p>
        </w:tc>
        <w:tc>
          <w:tcPr>
            <w:tcW w:w="942" w:type="pct"/>
            <w:vAlign w:val="center"/>
          </w:tcPr>
          <w:p w14:paraId="61EE16FF">
            <w:pPr>
              <w:pStyle w:val="445"/>
              <w:rPr>
                <w:rFonts w:cs="Times New Roman"/>
                <w:kern w:val="0"/>
                <w:szCs w:val="20"/>
              </w:rPr>
            </w:pPr>
            <w:r>
              <w:rPr>
                <w:rFonts w:cs="Times New Roman"/>
                <w:kern w:val="0"/>
                <w:szCs w:val="20"/>
              </w:rPr>
              <w:t>日平均</w:t>
            </w:r>
          </w:p>
        </w:tc>
        <w:tc>
          <w:tcPr>
            <w:tcW w:w="943" w:type="pct"/>
            <w:vAlign w:val="center"/>
          </w:tcPr>
          <w:p w14:paraId="05F5202A">
            <w:pPr>
              <w:pStyle w:val="445"/>
              <w:rPr>
                <w:rFonts w:cs="Times New Roman"/>
                <w:kern w:val="0"/>
                <w:szCs w:val="20"/>
              </w:rPr>
            </w:pPr>
            <w:r>
              <w:rPr>
                <w:rFonts w:hint="eastAsia" w:cs="Times New Roman"/>
                <w:kern w:val="0"/>
                <w:szCs w:val="20"/>
              </w:rPr>
              <w:t>1</w:t>
            </w:r>
            <w:r>
              <w:rPr>
                <w:rFonts w:cs="Times New Roman"/>
                <w:kern w:val="0"/>
                <w:szCs w:val="20"/>
              </w:rPr>
              <w:t>000</w:t>
            </w:r>
          </w:p>
        </w:tc>
        <w:tc>
          <w:tcPr>
            <w:tcW w:w="0" w:type="auto"/>
            <w:vMerge w:val="continue"/>
            <w:vAlign w:val="center"/>
          </w:tcPr>
          <w:p w14:paraId="27DF9179">
            <w:pPr>
              <w:pStyle w:val="445"/>
              <w:rPr>
                <w:rFonts w:cs="Times New Roman"/>
                <w:kern w:val="0"/>
                <w:szCs w:val="18"/>
              </w:rPr>
            </w:pPr>
          </w:p>
        </w:tc>
        <w:tc>
          <w:tcPr>
            <w:tcW w:w="0" w:type="auto"/>
            <w:vMerge w:val="continue"/>
            <w:vAlign w:val="center"/>
          </w:tcPr>
          <w:p w14:paraId="46DC9ADC">
            <w:pPr>
              <w:pStyle w:val="445"/>
              <w:rPr>
                <w:rFonts w:cs="Times New Roman"/>
                <w:kern w:val="0"/>
                <w:szCs w:val="18"/>
              </w:rPr>
            </w:pPr>
          </w:p>
        </w:tc>
      </w:tr>
      <w:tr w14:paraId="4ABD5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Align w:val="center"/>
          </w:tcPr>
          <w:p w14:paraId="2EBEC162">
            <w:pPr>
              <w:pStyle w:val="445"/>
              <w:rPr>
                <w:rFonts w:cs="Times New Roman"/>
                <w:kern w:val="0"/>
                <w:szCs w:val="20"/>
              </w:rPr>
            </w:pPr>
            <w:r>
              <w:rPr>
                <w:rFonts w:cs="Times New Roman"/>
                <w:kern w:val="0"/>
                <w:szCs w:val="20"/>
              </w:rPr>
              <w:t>NH</w:t>
            </w:r>
            <w:r>
              <w:rPr>
                <w:rFonts w:cs="Times New Roman"/>
                <w:kern w:val="0"/>
                <w:szCs w:val="20"/>
                <w:vertAlign w:val="subscript"/>
              </w:rPr>
              <w:t>3</w:t>
            </w:r>
          </w:p>
        </w:tc>
        <w:tc>
          <w:tcPr>
            <w:tcW w:w="942" w:type="pct"/>
            <w:vAlign w:val="center"/>
          </w:tcPr>
          <w:p w14:paraId="670DA1DE">
            <w:pPr>
              <w:pStyle w:val="445"/>
              <w:rPr>
                <w:rFonts w:cs="Times New Roman"/>
                <w:kern w:val="0"/>
                <w:szCs w:val="20"/>
              </w:rPr>
            </w:pPr>
            <w:r>
              <w:rPr>
                <w:rFonts w:cs="Times New Roman"/>
                <w:kern w:val="0"/>
                <w:szCs w:val="20"/>
              </w:rPr>
              <w:t>1小时平均</w:t>
            </w:r>
          </w:p>
        </w:tc>
        <w:tc>
          <w:tcPr>
            <w:tcW w:w="943" w:type="pct"/>
            <w:vAlign w:val="center"/>
          </w:tcPr>
          <w:p w14:paraId="1107B69D">
            <w:pPr>
              <w:pStyle w:val="445"/>
              <w:rPr>
                <w:rFonts w:cs="Times New Roman"/>
                <w:kern w:val="0"/>
                <w:szCs w:val="20"/>
              </w:rPr>
            </w:pPr>
            <w:r>
              <w:rPr>
                <w:rFonts w:hint="eastAsia" w:cs="Times New Roman"/>
                <w:kern w:val="0"/>
                <w:szCs w:val="20"/>
              </w:rPr>
              <w:t>200</w:t>
            </w:r>
          </w:p>
        </w:tc>
        <w:tc>
          <w:tcPr>
            <w:tcW w:w="0" w:type="auto"/>
            <w:vMerge w:val="continue"/>
            <w:vAlign w:val="center"/>
          </w:tcPr>
          <w:p w14:paraId="6FF56D43">
            <w:pPr>
              <w:pStyle w:val="445"/>
              <w:rPr>
                <w:rFonts w:cs="Times New Roman"/>
                <w:kern w:val="0"/>
                <w:szCs w:val="18"/>
              </w:rPr>
            </w:pPr>
          </w:p>
        </w:tc>
        <w:tc>
          <w:tcPr>
            <w:tcW w:w="0" w:type="auto"/>
            <w:vMerge w:val="continue"/>
            <w:vAlign w:val="center"/>
          </w:tcPr>
          <w:p w14:paraId="356DA770">
            <w:pPr>
              <w:pStyle w:val="445"/>
              <w:rPr>
                <w:rFonts w:cs="Times New Roman"/>
                <w:kern w:val="0"/>
                <w:szCs w:val="18"/>
              </w:rPr>
            </w:pPr>
          </w:p>
        </w:tc>
      </w:tr>
      <w:tr w14:paraId="542D3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tcPr>
          <w:p w14:paraId="5CACF632">
            <w:pPr>
              <w:pStyle w:val="445"/>
              <w:rPr>
                <w:rFonts w:cs="Times New Roman"/>
                <w:kern w:val="0"/>
                <w:szCs w:val="20"/>
              </w:rPr>
            </w:pPr>
            <w:r>
              <w:rPr>
                <w:rFonts w:hint="eastAsia" w:cs="Times New Roman"/>
                <w:kern w:val="0"/>
                <w:szCs w:val="20"/>
              </w:rPr>
              <w:t>H</w:t>
            </w:r>
            <w:r>
              <w:rPr>
                <w:rFonts w:hint="eastAsia" w:cs="Times New Roman"/>
                <w:kern w:val="0"/>
                <w:szCs w:val="20"/>
                <w:vertAlign w:val="subscript"/>
              </w:rPr>
              <w:t>2</w:t>
            </w:r>
            <w:r>
              <w:rPr>
                <w:rFonts w:hint="eastAsia" w:cs="Times New Roman"/>
                <w:kern w:val="0"/>
                <w:szCs w:val="20"/>
              </w:rPr>
              <w:t>S</w:t>
            </w:r>
          </w:p>
        </w:tc>
        <w:tc>
          <w:tcPr>
            <w:tcW w:w="942" w:type="pct"/>
          </w:tcPr>
          <w:p w14:paraId="726DB9BF">
            <w:pPr>
              <w:pStyle w:val="445"/>
              <w:rPr>
                <w:rFonts w:cs="Times New Roman"/>
                <w:kern w:val="0"/>
                <w:szCs w:val="20"/>
              </w:rPr>
            </w:pPr>
            <w:r>
              <w:rPr>
                <w:rFonts w:hint="eastAsia" w:cs="Times New Roman"/>
                <w:kern w:val="0"/>
                <w:szCs w:val="20"/>
              </w:rPr>
              <w:t>1小时平均</w:t>
            </w:r>
          </w:p>
        </w:tc>
        <w:tc>
          <w:tcPr>
            <w:tcW w:w="943" w:type="pct"/>
          </w:tcPr>
          <w:p w14:paraId="767BCF91">
            <w:pPr>
              <w:pStyle w:val="445"/>
              <w:rPr>
                <w:rFonts w:cs="Times New Roman"/>
                <w:kern w:val="0"/>
                <w:szCs w:val="20"/>
              </w:rPr>
            </w:pPr>
            <w:r>
              <w:rPr>
                <w:rFonts w:hint="eastAsia" w:cs="Times New Roman"/>
                <w:kern w:val="0"/>
                <w:szCs w:val="20"/>
              </w:rPr>
              <w:t>10</w:t>
            </w:r>
          </w:p>
        </w:tc>
        <w:tc>
          <w:tcPr>
            <w:tcW w:w="0" w:type="auto"/>
            <w:vMerge w:val="continue"/>
            <w:vAlign w:val="center"/>
          </w:tcPr>
          <w:p w14:paraId="06D6DF32">
            <w:pPr>
              <w:pStyle w:val="445"/>
              <w:rPr>
                <w:rFonts w:cs="Times New Roman"/>
                <w:kern w:val="0"/>
                <w:szCs w:val="18"/>
              </w:rPr>
            </w:pPr>
          </w:p>
        </w:tc>
        <w:tc>
          <w:tcPr>
            <w:tcW w:w="0" w:type="auto"/>
            <w:vMerge w:val="continue"/>
            <w:vAlign w:val="center"/>
          </w:tcPr>
          <w:p w14:paraId="7C3D3BD4">
            <w:pPr>
              <w:pStyle w:val="445"/>
              <w:rPr>
                <w:rFonts w:cs="Times New Roman"/>
                <w:kern w:val="0"/>
                <w:szCs w:val="18"/>
              </w:rPr>
            </w:pPr>
          </w:p>
        </w:tc>
      </w:tr>
      <w:tr w14:paraId="1870F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Align w:val="center"/>
          </w:tcPr>
          <w:p w14:paraId="3ACA381D">
            <w:pPr>
              <w:pStyle w:val="445"/>
              <w:rPr>
                <w:rFonts w:cs="Times New Roman"/>
                <w:kern w:val="0"/>
                <w:szCs w:val="20"/>
              </w:rPr>
            </w:pPr>
            <w:r>
              <w:rPr>
                <w:rFonts w:hint="eastAsia" w:cs="Times New Roman"/>
                <w:kern w:val="0"/>
                <w:szCs w:val="20"/>
              </w:rPr>
              <w:t>非甲烷</w:t>
            </w:r>
            <w:r>
              <w:rPr>
                <w:rFonts w:cs="Times New Roman"/>
                <w:kern w:val="0"/>
                <w:szCs w:val="20"/>
              </w:rPr>
              <w:t>总烃</w:t>
            </w:r>
          </w:p>
        </w:tc>
        <w:tc>
          <w:tcPr>
            <w:tcW w:w="942" w:type="pct"/>
            <w:vAlign w:val="center"/>
          </w:tcPr>
          <w:p w14:paraId="7AD78BF2">
            <w:pPr>
              <w:pStyle w:val="445"/>
              <w:rPr>
                <w:rFonts w:cs="Times New Roman"/>
                <w:kern w:val="0"/>
                <w:szCs w:val="20"/>
              </w:rPr>
            </w:pPr>
            <w:r>
              <w:rPr>
                <w:rFonts w:cs="Times New Roman"/>
                <w:kern w:val="0"/>
                <w:szCs w:val="20"/>
              </w:rPr>
              <w:t>1小时平均</w:t>
            </w:r>
          </w:p>
        </w:tc>
        <w:tc>
          <w:tcPr>
            <w:tcW w:w="943" w:type="pct"/>
            <w:vAlign w:val="center"/>
          </w:tcPr>
          <w:p w14:paraId="3A20B3D5">
            <w:pPr>
              <w:pStyle w:val="445"/>
              <w:rPr>
                <w:rFonts w:cs="Times New Roman"/>
                <w:kern w:val="0"/>
                <w:szCs w:val="20"/>
              </w:rPr>
            </w:pPr>
            <w:r>
              <w:rPr>
                <w:rFonts w:hint="eastAsia" w:cs="Times New Roman"/>
                <w:kern w:val="0"/>
                <w:szCs w:val="20"/>
              </w:rPr>
              <w:t>2000</w:t>
            </w:r>
          </w:p>
        </w:tc>
        <w:tc>
          <w:tcPr>
            <w:tcW w:w="0" w:type="auto"/>
            <w:vMerge w:val="continue"/>
            <w:vAlign w:val="center"/>
          </w:tcPr>
          <w:p w14:paraId="139FC208">
            <w:pPr>
              <w:pStyle w:val="445"/>
              <w:rPr>
                <w:rFonts w:cs="Times New Roman"/>
                <w:kern w:val="0"/>
                <w:szCs w:val="18"/>
              </w:rPr>
            </w:pPr>
          </w:p>
        </w:tc>
        <w:tc>
          <w:tcPr>
            <w:tcW w:w="0" w:type="auto"/>
            <w:vAlign w:val="center"/>
          </w:tcPr>
          <w:p w14:paraId="72E3639A">
            <w:pPr>
              <w:pStyle w:val="445"/>
              <w:rPr>
                <w:rFonts w:cs="Times New Roman"/>
                <w:kern w:val="0"/>
                <w:szCs w:val="20"/>
              </w:rPr>
            </w:pPr>
            <w:r>
              <w:rPr>
                <w:rFonts w:hint="eastAsia" w:cs="Times New Roman"/>
                <w:kern w:val="0"/>
                <w:szCs w:val="20"/>
              </w:rPr>
              <w:t>参考《大气污染物综合排放标准详解》</w:t>
            </w:r>
          </w:p>
        </w:tc>
      </w:tr>
    </w:tbl>
    <w:p w14:paraId="57EDB960">
      <w:pPr>
        <w:ind w:firstLine="480"/>
      </w:pPr>
      <w:r>
        <w:t>（2）污染物排放标准</w:t>
      </w:r>
    </w:p>
    <w:p w14:paraId="6DCAEA8F">
      <w:pPr>
        <w:pStyle w:val="262"/>
      </w:pPr>
      <w:r>
        <w:rPr>
          <w:rFonts w:ascii="宋体" w:hAnsi="宋体"/>
        </w:rPr>
        <w:t>本项目</w:t>
      </w:r>
      <w:r>
        <w:rPr>
          <w:rFonts w:hint="eastAsia" w:ascii="宋体" w:hAnsi="宋体"/>
        </w:rPr>
        <w:t>硅溶胶生产吸收</w:t>
      </w:r>
      <w:r>
        <w:rPr>
          <w:rFonts w:ascii="宋体" w:hAnsi="宋体"/>
        </w:rPr>
        <w:t>尾气</w:t>
      </w:r>
      <w:r>
        <w:rPr>
          <w:rFonts w:hint="eastAsia" w:ascii="宋体" w:hAnsi="宋体"/>
        </w:rPr>
        <w:t>中</w:t>
      </w:r>
      <w:r>
        <w:rPr>
          <w:rFonts w:ascii="宋体" w:hAnsi="宋体"/>
        </w:rPr>
        <w:t>氨</w:t>
      </w:r>
      <w:r>
        <w:rPr>
          <w:rFonts w:cs="Times New Roman"/>
        </w:rPr>
        <w:t>排放</w:t>
      </w:r>
      <w:r>
        <w:rPr>
          <w:rFonts w:hint="eastAsia" w:ascii="宋体" w:hAnsi="宋体"/>
        </w:rPr>
        <w:t>执行《无机化学</w:t>
      </w:r>
      <w:r>
        <w:rPr>
          <w:rFonts w:ascii="宋体" w:hAnsi="宋体"/>
        </w:rPr>
        <w:t>工业</w:t>
      </w:r>
      <w:r>
        <w:rPr>
          <w:rFonts w:hint="eastAsia" w:ascii="宋体" w:hAnsi="宋体"/>
        </w:rPr>
        <w:t>污染物</w:t>
      </w:r>
      <w:r>
        <w:rPr>
          <w:rFonts w:ascii="宋体" w:hAnsi="宋体"/>
        </w:rPr>
        <w:t>排放</w:t>
      </w:r>
      <w:r>
        <w:rPr>
          <w:rFonts w:hint="eastAsia" w:ascii="宋体" w:hAnsi="宋体"/>
        </w:rPr>
        <w:t>标准》（</w:t>
      </w:r>
      <w:r>
        <w:rPr>
          <w:rFonts w:hint="eastAsia"/>
        </w:rPr>
        <w:t>G</w:t>
      </w:r>
      <w:r>
        <w:t>B31573-2015</w:t>
      </w:r>
      <w:r>
        <w:rPr>
          <w:rFonts w:hint="eastAsia" w:ascii="宋体" w:hAnsi="宋体"/>
        </w:rPr>
        <w:t>）中</w:t>
      </w:r>
      <w:r>
        <w:rPr>
          <w:rFonts w:hint="eastAsia" w:cs="Times New Roman"/>
          <w:szCs w:val="20"/>
        </w:rPr>
        <w:t>表</w:t>
      </w:r>
      <w:r>
        <w:rPr>
          <w:rFonts w:cs="Times New Roman"/>
          <w:szCs w:val="20"/>
        </w:rPr>
        <w:t>4</w:t>
      </w:r>
      <w:r>
        <w:rPr>
          <w:rFonts w:hint="eastAsia" w:cs="Times New Roman"/>
          <w:szCs w:val="20"/>
        </w:rPr>
        <w:t>中大气污染物</w:t>
      </w:r>
      <w:r>
        <w:rPr>
          <w:rFonts w:cs="Times New Roman"/>
          <w:szCs w:val="20"/>
        </w:rPr>
        <w:t>特别</w:t>
      </w:r>
      <w:r>
        <w:rPr>
          <w:rFonts w:hint="eastAsia" w:cs="Times New Roman"/>
          <w:szCs w:val="20"/>
        </w:rPr>
        <w:t>排放限值</w:t>
      </w:r>
      <w:r>
        <w:rPr>
          <w:rFonts w:hint="eastAsia" w:ascii="宋体" w:hAnsi="宋体"/>
        </w:rPr>
        <w:t>；</w:t>
      </w:r>
      <w:r>
        <w:rPr>
          <w:rFonts w:ascii="宋体" w:hAnsi="宋体"/>
        </w:rPr>
        <w:t>甲醇排放执行</w:t>
      </w:r>
      <w:r>
        <w:rPr>
          <w:rFonts w:hint="eastAsia" w:ascii="宋体" w:hAnsi="宋体"/>
        </w:rPr>
        <w:t>《大气污染物综合排放标准》（</w:t>
      </w:r>
      <w:r>
        <w:rPr>
          <w:rFonts w:hint="eastAsia"/>
        </w:rPr>
        <w:t>G</w:t>
      </w:r>
      <w:r>
        <w:t>B16297-1996</w:t>
      </w:r>
      <w:r>
        <w:rPr>
          <w:rFonts w:hint="eastAsia" w:ascii="宋体" w:hAnsi="宋体"/>
        </w:rPr>
        <w:t>）中表</w:t>
      </w:r>
      <w:r>
        <w:rPr>
          <w:rFonts w:cs="Times New Roman"/>
        </w:rPr>
        <w:t>2</w:t>
      </w:r>
      <w:r>
        <w:rPr>
          <w:rFonts w:hint="eastAsia" w:cs="Times New Roman"/>
        </w:rPr>
        <w:t>的</w:t>
      </w:r>
      <w:r>
        <w:rPr>
          <w:rFonts w:cs="Times New Roman"/>
        </w:rPr>
        <w:t>排放限值；</w:t>
      </w:r>
      <w:r>
        <w:rPr>
          <w:rFonts w:hint="eastAsia" w:cs="Times New Roman"/>
        </w:rPr>
        <w:t>硅块</w:t>
      </w:r>
      <w:r>
        <w:rPr>
          <w:rFonts w:cs="Times New Roman"/>
        </w:rPr>
        <w:t>破碎和推粉废气中</w:t>
      </w:r>
      <w:r>
        <w:rPr>
          <w:rFonts w:hint="eastAsia" w:cs="Times New Roman"/>
        </w:rPr>
        <w:t>颗粒物</w:t>
      </w:r>
      <w:r>
        <w:rPr>
          <w:rFonts w:cs="Times New Roman"/>
        </w:rPr>
        <w:t>排放执行</w:t>
      </w:r>
      <w:r>
        <w:rPr>
          <w:rFonts w:hint="eastAsia" w:ascii="宋体" w:hAnsi="宋体"/>
        </w:rPr>
        <w:t>《大气污染物综合排放标准》（</w:t>
      </w:r>
      <w:r>
        <w:rPr>
          <w:rFonts w:hint="eastAsia"/>
        </w:rPr>
        <w:t>G</w:t>
      </w:r>
      <w:r>
        <w:t>B16297-1996</w:t>
      </w:r>
      <w:r>
        <w:rPr>
          <w:rFonts w:hint="eastAsia" w:ascii="宋体" w:hAnsi="宋体"/>
        </w:rPr>
        <w:t>）中表</w:t>
      </w:r>
      <w:r>
        <w:rPr>
          <w:rFonts w:hint="eastAsia"/>
        </w:rPr>
        <w:t>2</w:t>
      </w:r>
      <w:r>
        <w:rPr>
          <w:rFonts w:hint="eastAsia" w:ascii="宋体" w:hAnsi="宋体"/>
        </w:rPr>
        <w:t>的排放限值要求；甲醇、</w:t>
      </w:r>
      <w:r>
        <w:rPr>
          <w:rFonts w:hint="eastAsia" w:cs="Times New Roman"/>
          <w:szCs w:val="20"/>
        </w:rPr>
        <w:t>VOCs有组织排放执行</w:t>
      </w:r>
      <w:r>
        <w:rPr>
          <w:rFonts w:hint="eastAsia"/>
        </w:rPr>
        <w:t>《固定源挥发性有机物综合排放标准》第3部分：有机化学品制造工业（DB</w:t>
      </w:r>
      <w:r>
        <w:t>34/4812.3-2024</w:t>
      </w:r>
      <w:r>
        <w:rPr>
          <w:rFonts w:hint="eastAsia"/>
        </w:rPr>
        <w:t>）</w:t>
      </w:r>
      <w:r>
        <w:rPr>
          <w:rFonts w:hint="eastAsia" w:cs="Times New Roman"/>
          <w:szCs w:val="20"/>
        </w:rPr>
        <w:t>；</w:t>
      </w:r>
      <w:r>
        <w:rPr>
          <w:rFonts w:hint="eastAsia"/>
        </w:rPr>
        <w:t>硫化氢无组织排放执行中《恶臭污染物排放标准》（</w:t>
      </w:r>
      <w:r>
        <w:t>GB14554-93</w:t>
      </w:r>
      <w:r>
        <w:rPr>
          <w:rFonts w:hint="eastAsia"/>
        </w:rPr>
        <w:t>）表1中无组织排放二级浓度限值。</w:t>
      </w:r>
      <w:r>
        <w:rPr>
          <w:rFonts w:hint="eastAsia" w:cs="Times New Roman"/>
          <w:szCs w:val="20"/>
        </w:rPr>
        <w:t>VOCs无组织排放执行</w:t>
      </w:r>
      <w:r>
        <w:rPr>
          <w:rFonts w:hint="eastAsia"/>
        </w:rPr>
        <w:t>《固定源挥发性有机物综合排放标准》第3部分：有机化学品制造工业（DB</w:t>
      </w:r>
      <w:r>
        <w:t>34/4812.3-2024</w:t>
      </w:r>
      <w:r>
        <w:rPr>
          <w:rFonts w:hint="eastAsia"/>
        </w:rPr>
        <w:t>）</w:t>
      </w:r>
      <w:r>
        <w:rPr>
          <w:rFonts w:hint="eastAsia" w:cs="Times New Roman"/>
          <w:szCs w:val="20"/>
        </w:rPr>
        <w:t>；VOCs</w:t>
      </w:r>
      <w:r>
        <w:rPr>
          <w:rFonts w:hint="eastAsia" w:cs="Times New Roman"/>
        </w:rPr>
        <w:t>厂界排放标准执行</w:t>
      </w:r>
      <w:r>
        <w:rPr>
          <w:rFonts w:cs="Times New Roman"/>
          <w:bCs/>
          <w:kern w:val="0"/>
          <w:szCs w:val="20"/>
        </w:rPr>
        <w:t>《大气污染物综合排放标准》（GB16297-1996）</w:t>
      </w:r>
      <w:r>
        <w:rPr>
          <w:rFonts w:hint="eastAsia" w:cs="Times New Roman"/>
          <w:bCs/>
          <w:kern w:val="0"/>
          <w:szCs w:val="20"/>
        </w:rPr>
        <w:t>中相关限值</w:t>
      </w:r>
      <w:r>
        <w:rPr>
          <w:rFonts w:hint="eastAsia" w:ascii="宋体" w:hAnsi="宋体"/>
        </w:rPr>
        <w:t>详见表</w:t>
      </w:r>
      <w:r>
        <w:rPr>
          <w:rFonts w:hint="eastAsia"/>
        </w:rPr>
        <w:t>2</w:t>
      </w:r>
      <w:r>
        <w:t>.2.3-2~3</w:t>
      </w:r>
      <w:r>
        <w:rPr>
          <w:rFonts w:hint="eastAsia" w:ascii="宋体" w:hAnsi="宋体"/>
        </w:rPr>
        <w:t>。</w:t>
      </w:r>
    </w:p>
    <w:p w14:paraId="1C957300">
      <w:pPr>
        <w:pStyle w:val="278"/>
        <w:rPr>
          <w:rFonts w:ascii="黑体" w:hAnsi="黑体"/>
        </w:rPr>
      </w:pPr>
      <w:r>
        <w:rPr>
          <w:rFonts w:hint="eastAsia"/>
        </w:rPr>
        <w:t>表</w:t>
      </w:r>
      <w:r>
        <w:t xml:space="preserve">2.2.3-2  </w:t>
      </w:r>
      <w:r>
        <w:rPr>
          <w:rFonts w:hint="eastAsia" w:ascii="黑体" w:hAnsi="黑体"/>
        </w:rPr>
        <w:t>各</w:t>
      </w:r>
      <w:r>
        <w:rPr>
          <w:rFonts w:ascii="黑体" w:hAnsi="黑体"/>
        </w:rPr>
        <w:t>污染物排放标准</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1488"/>
        <w:gridCol w:w="1353"/>
        <w:gridCol w:w="1582"/>
        <w:gridCol w:w="1451"/>
        <w:gridCol w:w="2414"/>
      </w:tblGrid>
      <w:tr w14:paraId="311E2E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16" w:type="pct"/>
            <w:vMerge w:val="restart"/>
            <w:vAlign w:val="center"/>
          </w:tcPr>
          <w:p w14:paraId="6F33130E">
            <w:pPr>
              <w:pStyle w:val="445"/>
              <w:rPr>
                <w:rFonts w:cs="Times New Roman"/>
                <w:kern w:val="0"/>
                <w:szCs w:val="20"/>
              </w:rPr>
            </w:pPr>
            <w:r>
              <w:rPr>
                <w:rFonts w:hint="eastAsia" w:cs="Times New Roman"/>
                <w:kern w:val="0"/>
                <w:szCs w:val="20"/>
              </w:rPr>
              <w:t>污染物</w:t>
            </w:r>
            <w:r>
              <w:rPr>
                <w:rFonts w:cs="Times New Roman"/>
                <w:kern w:val="0"/>
                <w:szCs w:val="20"/>
              </w:rPr>
              <w:t>名称</w:t>
            </w:r>
          </w:p>
        </w:tc>
        <w:tc>
          <w:tcPr>
            <w:tcW w:w="805" w:type="pct"/>
            <w:vMerge w:val="restart"/>
            <w:vAlign w:val="center"/>
          </w:tcPr>
          <w:p w14:paraId="156EF833">
            <w:pPr>
              <w:pStyle w:val="445"/>
              <w:rPr>
                <w:rFonts w:cs="Times New Roman"/>
                <w:kern w:val="0"/>
                <w:szCs w:val="20"/>
              </w:rPr>
            </w:pPr>
            <w:r>
              <w:rPr>
                <w:rFonts w:hint="eastAsia" w:cs="Times New Roman"/>
                <w:kern w:val="0"/>
                <w:szCs w:val="20"/>
              </w:rPr>
              <w:t>最高允许排放浓度</w:t>
            </w:r>
            <w:r>
              <w:rPr>
                <w:rFonts w:cs="Times New Roman"/>
                <w:kern w:val="0"/>
                <w:szCs w:val="20"/>
              </w:rPr>
              <w:t>（</w:t>
            </w:r>
            <w:r>
              <w:rPr>
                <w:rFonts w:hint="eastAsia" w:cs="Times New Roman"/>
                <w:kern w:val="0"/>
                <w:szCs w:val="20"/>
              </w:rPr>
              <w:t>mg</w:t>
            </w:r>
            <w:r>
              <w:rPr>
                <w:rFonts w:cs="Times New Roman"/>
                <w:kern w:val="0"/>
                <w:szCs w:val="20"/>
              </w:rPr>
              <w:t>/m</w:t>
            </w:r>
            <w:r>
              <w:rPr>
                <w:rFonts w:cs="Times New Roman"/>
                <w:kern w:val="0"/>
                <w:szCs w:val="20"/>
                <w:vertAlign w:val="superscript"/>
              </w:rPr>
              <w:t>3</w:t>
            </w:r>
            <w:r>
              <w:rPr>
                <w:rFonts w:cs="Times New Roman"/>
                <w:kern w:val="0"/>
                <w:szCs w:val="20"/>
              </w:rPr>
              <w:t>）</w:t>
            </w:r>
          </w:p>
        </w:tc>
        <w:tc>
          <w:tcPr>
            <w:tcW w:w="1588" w:type="pct"/>
            <w:gridSpan w:val="2"/>
            <w:vAlign w:val="center"/>
          </w:tcPr>
          <w:p w14:paraId="5D347698">
            <w:pPr>
              <w:pStyle w:val="445"/>
              <w:rPr>
                <w:rFonts w:cs="Times New Roman"/>
                <w:kern w:val="0"/>
                <w:szCs w:val="20"/>
              </w:rPr>
            </w:pPr>
            <w:r>
              <w:rPr>
                <w:rFonts w:hint="eastAsia" w:cs="Times New Roman"/>
                <w:kern w:val="0"/>
                <w:szCs w:val="20"/>
              </w:rPr>
              <w:t>最高允许</w:t>
            </w:r>
            <w:r>
              <w:rPr>
                <w:rFonts w:cs="Times New Roman"/>
                <w:kern w:val="0"/>
                <w:szCs w:val="20"/>
              </w:rPr>
              <w:t>排放速率（</w:t>
            </w:r>
            <w:r>
              <w:rPr>
                <w:rFonts w:hint="eastAsia" w:cs="Times New Roman"/>
                <w:kern w:val="0"/>
                <w:szCs w:val="20"/>
              </w:rPr>
              <w:t>kg</w:t>
            </w:r>
            <w:r>
              <w:rPr>
                <w:rFonts w:cs="Times New Roman"/>
                <w:kern w:val="0"/>
                <w:szCs w:val="20"/>
              </w:rPr>
              <w:t>/h）</w:t>
            </w:r>
          </w:p>
        </w:tc>
        <w:tc>
          <w:tcPr>
            <w:tcW w:w="785" w:type="pct"/>
            <w:vMerge w:val="restart"/>
            <w:vAlign w:val="center"/>
          </w:tcPr>
          <w:p w14:paraId="40B69CA8">
            <w:pPr>
              <w:pStyle w:val="445"/>
              <w:rPr>
                <w:rFonts w:cs="Times New Roman"/>
                <w:kern w:val="0"/>
                <w:szCs w:val="20"/>
              </w:rPr>
            </w:pPr>
            <w:r>
              <w:rPr>
                <w:rFonts w:hint="eastAsia" w:cs="Times New Roman"/>
                <w:kern w:val="0"/>
                <w:szCs w:val="20"/>
              </w:rPr>
              <w:t>厂界</w:t>
            </w:r>
            <w:r>
              <w:rPr>
                <w:rFonts w:cs="Times New Roman"/>
                <w:kern w:val="0"/>
                <w:szCs w:val="20"/>
              </w:rPr>
              <w:t>标准值</w:t>
            </w:r>
          </w:p>
          <w:p w14:paraId="38A4A10A">
            <w:pPr>
              <w:pStyle w:val="445"/>
              <w:rPr>
                <w:rFonts w:cs="Times New Roman"/>
                <w:kern w:val="0"/>
                <w:szCs w:val="20"/>
              </w:rPr>
            </w:pPr>
            <w:r>
              <w:rPr>
                <w:rFonts w:cs="Times New Roman"/>
                <w:kern w:val="0"/>
                <w:szCs w:val="20"/>
              </w:rPr>
              <w:t>（</w:t>
            </w:r>
            <w:r>
              <w:rPr>
                <w:rFonts w:hint="eastAsia" w:cs="Times New Roman"/>
                <w:kern w:val="0"/>
                <w:szCs w:val="20"/>
              </w:rPr>
              <w:t>mg</w:t>
            </w:r>
            <w:r>
              <w:rPr>
                <w:rFonts w:cs="Times New Roman"/>
                <w:kern w:val="0"/>
                <w:szCs w:val="20"/>
              </w:rPr>
              <w:t>/m</w:t>
            </w:r>
            <w:r>
              <w:rPr>
                <w:rFonts w:cs="Times New Roman"/>
                <w:kern w:val="0"/>
                <w:szCs w:val="20"/>
                <w:vertAlign w:val="superscript"/>
              </w:rPr>
              <w:t>3</w:t>
            </w:r>
            <w:r>
              <w:rPr>
                <w:rFonts w:cs="Times New Roman"/>
                <w:kern w:val="0"/>
                <w:szCs w:val="20"/>
              </w:rPr>
              <w:t>）</w:t>
            </w:r>
          </w:p>
        </w:tc>
        <w:tc>
          <w:tcPr>
            <w:tcW w:w="1306" w:type="pct"/>
            <w:vMerge w:val="restart"/>
            <w:vAlign w:val="center"/>
          </w:tcPr>
          <w:p w14:paraId="1EC2C577">
            <w:pPr>
              <w:pStyle w:val="445"/>
              <w:rPr>
                <w:rFonts w:cs="Times New Roman"/>
                <w:kern w:val="0"/>
                <w:szCs w:val="20"/>
              </w:rPr>
            </w:pPr>
            <w:r>
              <w:rPr>
                <w:rFonts w:hint="eastAsia" w:cs="Times New Roman"/>
                <w:kern w:val="0"/>
                <w:szCs w:val="20"/>
              </w:rPr>
              <w:t>标准来源</w:t>
            </w:r>
          </w:p>
        </w:tc>
      </w:tr>
      <w:tr w14:paraId="4EDBD1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16" w:type="pct"/>
            <w:vMerge w:val="continue"/>
            <w:vAlign w:val="center"/>
          </w:tcPr>
          <w:p w14:paraId="6DFD61B2">
            <w:pPr>
              <w:pStyle w:val="445"/>
              <w:rPr>
                <w:rFonts w:cs="Times New Roman"/>
                <w:kern w:val="0"/>
                <w:szCs w:val="20"/>
              </w:rPr>
            </w:pPr>
          </w:p>
        </w:tc>
        <w:tc>
          <w:tcPr>
            <w:tcW w:w="805" w:type="pct"/>
            <w:vMerge w:val="continue"/>
            <w:vAlign w:val="center"/>
          </w:tcPr>
          <w:p w14:paraId="2C99D5F0">
            <w:pPr>
              <w:pStyle w:val="445"/>
              <w:rPr>
                <w:rFonts w:cs="Times New Roman"/>
                <w:kern w:val="0"/>
                <w:szCs w:val="20"/>
              </w:rPr>
            </w:pPr>
          </w:p>
        </w:tc>
        <w:tc>
          <w:tcPr>
            <w:tcW w:w="732" w:type="pct"/>
            <w:vAlign w:val="center"/>
          </w:tcPr>
          <w:p w14:paraId="24B11DCC">
            <w:pPr>
              <w:pStyle w:val="445"/>
              <w:rPr>
                <w:rFonts w:cs="Times New Roman"/>
                <w:kern w:val="0"/>
                <w:szCs w:val="20"/>
              </w:rPr>
            </w:pPr>
            <w:r>
              <w:rPr>
                <w:rFonts w:hint="eastAsia" w:cs="Times New Roman"/>
                <w:kern w:val="0"/>
                <w:szCs w:val="20"/>
              </w:rPr>
              <w:t>排气筒</w:t>
            </w:r>
            <w:r>
              <w:rPr>
                <w:rFonts w:cs="Times New Roman"/>
                <w:kern w:val="0"/>
                <w:szCs w:val="20"/>
              </w:rPr>
              <w:t>高度（</w:t>
            </w:r>
            <w:r>
              <w:rPr>
                <w:rFonts w:hint="eastAsia" w:cs="Times New Roman"/>
                <w:kern w:val="0"/>
                <w:szCs w:val="20"/>
              </w:rPr>
              <w:t>m</w:t>
            </w:r>
            <w:r>
              <w:rPr>
                <w:rFonts w:cs="Times New Roman"/>
                <w:kern w:val="0"/>
                <w:szCs w:val="20"/>
              </w:rPr>
              <w:t>）</w:t>
            </w:r>
          </w:p>
        </w:tc>
        <w:tc>
          <w:tcPr>
            <w:tcW w:w="856" w:type="pct"/>
            <w:vAlign w:val="center"/>
          </w:tcPr>
          <w:p w14:paraId="39D0EB22">
            <w:pPr>
              <w:pStyle w:val="445"/>
              <w:rPr>
                <w:rFonts w:cs="Times New Roman"/>
                <w:kern w:val="0"/>
                <w:szCs w:val="20"/>
              </w:rPr>
            </w:pPr>
            <w:r>
              <w:rPr>
                <w:rFonts w:hint="eastAsia" w:cs="Times New Roman"/>
                <w:kern w:val="0"/>
                <w:szCs w:val="20"/>
              </w:rPr>
              <w:t>/</w:t>
            </w:r>
          </w:p>
        </w:tc>
        <w:tc>
          <w:tcPr>
            <w:tcW w:w="785" w:type="pct"/>
            <w:vMerge w:val="continue"/>
            <w:vAlign w:val="center"/>
          </w:tcPr>
          <w:p w14:paraId="1ED950E5">
            <w:pPr>
              <w:pStyle w:val="445"/>
              <w:rPr>
                <w:rFonts w:cs="Times New Roman"/>
                <w:kern w:val="0"/>
                <w:szCs w:val="20"/>
              </w:rPr>
            </w:pPr>
          </w:p>
        </w:tc>
        <w:tc>
          <w:tcPr>
            <w:tcW w:w="1306" w:type="pct"/>
            <w:vMerge w:val="continue"/>
            <w:vAlign w:val="center"/>
          </w:tcPr>
          <w:p w14:paraId="120116FE">
            <w:pPr>
              <w:pStyle w:val="445"/>
              <w:rPr>
                <w:rFonts w:cs="Times New Roman"/>
                <w:kern w:val="0"/>
                <w:szCs w:val="20"/>
              </w:rPr>
            </w:pPr>
          </w:p>
        </w:tc>
      </w:tr>
      <w:tr w14:paraId="5A97D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16" w:type="pct"/>
            <w:vMerge w:val="restart"/>
            <w:vAlign w:val="center"/>
          </w:tcPr>
          <w:p w14:paraId="5F908985">
            <w:pPr>
              <w:pStyle w:val="445"/>
              <w:rPr>
                <w:rFonts w:cs="Times New Roman"/>
                <w:kern w:val="0"/>
                <w:szCs w:val="20"/>
              </w:rPr>
            </w:pPr>
            <w:r>
              <w:rPr>
                <w:rFonts w:hint="eastAsia" w:cs="Times New Roman"/>
                <w:kern w:val="0"/>
                <w:szCs w:val="20"/>
              </w:rPr>
              <w:t>氨</w:t>
            </w:r>
          </w:p>
        </w:tc>
        <w:tc>
          <w:tcPr>
            <w:tcW w:w="805" w:type="pct"/>
            <w:vMerge w:val="restart"/>
            <w:vAlign w:val="center"/>
          </w:tcPr>
          <w:p w14:paraId="46F89F37">
            <w:pPr>
              <w:pStyle w:val="445"/>
              <w:rPr>
                <w:rFonts w:cs="Times New Roman"/>
                <w:kern w:val="0"/>
                <w:szCs w:val="20"/>
              </w:rPr>
            </w:pPr>
            <w:r>
              <w:rPr>
                <w:rFonts w:cs="Times New Roman"/>
                <w:kern w:val="0"/>
                <w:szCs w:val="20"/>
              </w:rPr>
              <w:t>10</w:t>
            </w:r>
          </w:p>
        </w:tc>
        <w:tc>
          <w:tcPr>
            <w:tcW w:w="732" w:type="pct"/>
            <w:vAlign w:val="center"/>
          </w:tcPr>
          <w:p w14:paraId="4B00CA09">
            <w:pPr>
              <w:pStyle w:val="445"/>
              <w:rPr>
                <w:rFonts w:cs="Times New Roman"/>
                <w:kern w:val="0"/>
                <w:szCs w:val="20"/>
              </w:rPr>
            </w:pPr>
            <w:r>
              <w:rPr>
                <w:rFonts w:hint="eastAsia" w:cs="Times New Roman"/>
                <w:kern w:val="0"/>
                <w:szCs w:val="20"/>
              </w:rPr>
              <w:t>20</w:t>
            </w:r>
          </w:p>
        </w:tc>
        <w:tc>
          <w:tcPr>
            <w:tcW w:w="856" w:type="pct"/>
            <w:vAlign w:val="center"/>
          </w:tcPr>
          <w:p w14:paraId="785398ED">
            <w:pPr>
              <w:pStyle w:val="445"/>
              <w:rPr>
                <w:rFonts w:cs="Times New Roman"/>
                <w:kern w:val="0"/>
                <w:szCs w:val="20"/>
              </w:rPr>
            </w:pPr>
            <w:r>
              <w:rPr>
                <w:rFonts w:cs="Times New Roman"/>
                <w:kern w:val="0"/>
                <w:szCs w:val="20"/>
              </w:rPr>
              <w:t>/</w:t>
            </w:r>
          </w:p>
        </w:tc>
        <w:tc>
          <w:tcPr>
            <w:tcW w:w="785" w:type="pct"/>
            <w:vMerge w:val="restart"/>
            <w:vAlign w:val="center"/>
          </w:tcPr>
          <w:p w14:paraId="3A1EBE40">
            <w:pPr>
              <w:pStyle w:val="445"/>
              <w:rPr>
                <w:rFonts w:cs="Times New Roman"/>
                <w:kern w:val="0"/>
                <w:szCs w:val="20"/>
              </w:rPr>
            </w:pPr>
            <w:r>
              <w:rPr>
                <w:rFonts w:cs="Times New Roman"/>
                <w:kern w:val="0"/>
                <w:szCs w:val="20"/>
              </w:rPr>
              <w:t>0.3</w:t>
            </w:r>
          </w:p>
        </w:tc>
        <w:tc>
          <w:tcPr>
            <w:tcW w:w="1306" w:type="pct"/>
            <w:vMerge w:val="restart"/>
            <w:vAlign w:val="center"/>
          </w:tcPr>
          <w:p w14:paraId="4875645B">
            <w:pPr>
              <w:pStyle w:val="445"/>
              <w:rPr>
                <w:rFonts w:cs="Times New Roman"/>
                <w:kern w:val="0"/>
                <w:szCs w:val="20"/>
              </w:rPr>
            </w:pP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r>
      <w:tr w14:paraId="20011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16" w:type="pct"/>
            <w:vMerge w:val="continue"/>
            <w:vAlign w:val="center"/>
          </w:tcPr>
          <w:p w14:paraId="716DA0B4">
            <w:pPr>
              <w:pStyle w:val="445"/>
              <w:rPr>
                <w:rFonts w:cs="Times New Roman"/>
                <w:kern w:val="0"/>
                <w:szCs w:val="20"/>
              </w:rPr>
            </w:pPr>
          </w:p>
        </w:tc>
        <w:tc>
          <w:tcPr>
            <w:tcW w:w="805" w:type="pct"/>
            <w:vMerge w:val="continue"/>
            <w:vAlign w:val="center"/>
          </w:tcPr>
          <w:p w14:paraId="15BB0C69">
            <w:pPr>
              <w:pStyle w:val="445"/>
              <w:rPr>
                <w:rFonts w:cs="Times New Roman"/>
                <w:kern w:val="0"/>
                <w:szCs w:val="20"/>
              </w:rPr>
            </w:pPr>
          </w:p>
        </w:tc>
        <w:tc>
          <w:tcPr>
            <w:tcW w:w="732" w:type="pct"/>
            <w:vAlign w:val="center"/>
          </w:tcPr>
          <w:p w14:paraId="43D7C4BA">
            <w:pPr>
              <w:pStyle w:val="445"/>
              <w:rPr>
                <w:rFonts w:cs="Times New Roman"/>
                <w:kern w:val="0"/>
                <w:szCs w:val="20"/>
              </w:rPr>
            </w:pPr>
            <w:r>
              <w:rPr>
                <w:rFonts w:hint="eastAsia" w:cs="Times New Roman"/>
                <w:kern w:val="0"/>
                <w:szCs w:val="20"/>
              </w:rPr>
              <w:t>3</w:t>
            </w:r>
            <w:r>
              <w:rPr>
                <w:rFonts w:cs="Times New Roman"/>
                <w:kern w:val="0"/>
                <w:szCs w:val="20"/>
              </w:rPr>
              <w:t>2.5</w:t>
            </w:r>
          </w:p>
        </w:tc>
        <w:tc>
          <w:tcPr>
            <w:tcW w:w="856" w:type="pct"/>
            <w:vAlign w:val="center"/>
          </w:tcPr>
          <w:p w14:paraId="47A2F055">
            <w:pPr>
              <w:pStyle w:val="445"/>
              <w:rPr>
                <w:rFonts w:cs="Times New Roman"/>
                <w:kern w:val="0"/>
                <w:szCs w:val="20"/>
              </w:rPr>
            </w:pPr>
            <w:r>
              <w:rPr>
                <w:rFonts w:hint="eastAsia" w:cs="Times New Roman"/>
                <w:kern w:val="0"/>
                <w:szCs w:val="20"/>
              </w:rPr>
              <w:t>/</w:t>
            </w:r>
          </w:p>
        </w:tc>
        <w:tc>
          <w:tcPr>
            <w:tcW w:w="785" w:type="pct"/>
            <w:vMerge w:val="continue"/>
            <w:vAlign w:val="center"/>
          </w:tcPr>
          <w:p w14:paraId="50EAC1C6">
            <w:pPr>
              <w:pStyle w:val="445"/>
              <w:rPr>
                <w:rFonts w:cs="Times New Roman"/>
                <w:kern w:val="0"/>
                <w:szCs w:val="20"/>
              </w:rPr>
            </w:pPr>
          </w:p>
        </w:tc>
        <w:tc>
          <w:tcPr>
            <w:tcW w:w="1306" w:type="pct"/>
            <w:vMerge w:val="continue"/>
            <w:vAlign w:val="center"/>
          </w:tcPr>
          <w:p w14:paraId="59189B0D">
            <w:pPr>
              <w:pStyle w:val="445"/>
              <w:rPr>
                <w:rFonts w:ascii="宋体" w:hAnsi="宋体" w:cs="Times New Roman"/>
                <w:kern w:val="0"/>
                <w:szCs w:val="20"/>
              </w:rPr>
            </w:pPr>
          </w:p>
        </w:tc>
      </w:tr>
      <w:tr w14:paraId="25268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6" w:type="pct"/>
            <w:vMerge w:val="restart"/>
            <w:vAlign w:val="center"/>
          </w:tcPr>
          <w:p w14:paraId="644A6019">
            <w:pPr>
              <w:pStyle w:val="445"/>
              <w:rPr>
                <w:rFonts w:cs="Times New Roman"/>
                <w:kern w:val="0"/>
                <w:szCs w:val="20"/>
              </w:rPr>
            </w:pPr>
            <w:r>
              <w:rPr>
                <w:rFonts w:hint="eastAsia" w:cs="Times New Roman"/>
                <w:kern w:val="0"/>
                <w:szCs w:val="20"/>
              </w:rPr>
              <w:t>颗粒物</w:t>
            </w:r>
          </w:p>
        </w:tc>
        <w:tc>
          <w:tcPr>
            <w:tcW w:w="805" w:type="pct"/>
            <w:vMerge w:val="restart"/>
            <w:vAlign w:val="center"/>
          </w:tcPr>
          <w:p w14:paraId="14558D14">
            <w:pPr>
              <w:pStyle w:val="445"/>
              <w:rPr>
                <w:rFonts w:cs="Times New Roman"/>
                <w:kern w:val="0"/>
                <w:szCs w:val="20"/>
              </w:rPr>
            </w:pPr>
            <w:r>
              <w:rPr>
                <w:rFonts w:cs="Times New Roman"/>
                <w:kern w:val="0"/>
                <w:szCs w:val="20"/>
              </w:rPr>
              <w:t>120</w:t>
            </w:r>
          </w:p>
        </w:tc>
        <w:tc>
          <w:tcPr>
            <w:tcW w:w="732" w:type="pct"/>
            <w:vAlign w:val="center"/>
          </w:tcPr>
          <w:p w14:paraId="3112049E">
            <w:pPr>
              <w:pStyle w:val="445"/>
              <w:rPr>
                <w:rFonts w:cs="Times New Roman"/>
                <w:kern w:val="0"/>
                <w:szCs w:val="20"/>
              </w:rPr>
            </w:pPr>
            <w:r>
              <w:rPr>
                <w:rFonts w:hint="eastAsia" w:cs="Times New Roman"/>
                <w:kern w:val="0"/>
                <w:szCs w:val="20"/>
              </w:rPr>
              <w:t>20</w:t>
            </w:r>
          </w:p>
        </w:tc>
        <w:tc>
          <w:tcPr>
            <w:tcW w:w="856" w:type="pct"/>
            <w:vAlign w:val="center"/>
          </w:tcPr>
          <w:p w14:paraId="1B47FEC3">
            <w:pPr>
              <w:pStyle w:val="445"/>
              <w:rPr>
                <w:rFonts w:cs="Times New Roman"/>
                <w:kern w:val="0"/>
                <w:szCs w:val="20"/>
              </w:rPr>
            </w:pPr>
            <w:r>
              <w:rPr>
                <w:rFonts w:cs="Times New Roman"/>
                <w:kern w:val="0"/>
                <w:szCs w:val="20"/>
              </w:rPr>
              <w:t>5.9</w:t>
            </w:r>
          </w:p>
        </w:tc>
        <w:tc>
          <w:tcPr>
            <w:tcW w:w="785" w:type="pct"/>
            <w:vMerge w:val="restart"/>
            <w:vAlign w:val="center"/>
          </w:tcPr>
          <w:p w14:paraId="34053EC1">
            <w:pPr>
              <w:pStyle w:val="445"/>
              <w:rPr>
                <w:rFonts w:cs="Times New Roman"/>
                <w:kern w:val="0"/>
                <w:szCs w:val="20"/>
              </w:rPr>
            </w:pPr>
            <w:r>
              <w:rPr>
                <w:rFonts w:cs="Times New Roman"/>
                <w:kern w:val="0"/>
                <w:szCs w:val="20"/>
              </w:rPr>
              <w:t>1.0</w:t>
            </w:r>
          </w:p>
        </w:tc>
        <w:tc>
          <w:tcPr>
            <w:tcW w:w="1306" w:type="pct"/>
            <w:vMerge w:val="restart"/>
            <w:vAlign w:val="center"/>
          </w:tcPr>
          <w:p w14:paraId="484549A1">
            <w:pPr>
              <w:pStyle w:val="445"/>
              <w:rPr>
                <w:rFonts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p>
        </w:tc>
      </w:tr>
      <w:tr w14:paraId="3F86F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6" w:type="pct"/>
            <w:vMerge w:val="continue"/>
            <w:vAlign w:val="center"/>
          </w:tcPr>
          <w:p w14:paraId="13B5F794">
            <w:pPr>
              <w:pStyle w:val="445"/>
              <w:rPr>
                <w:rFonts w:cs="Times New Roman"/>
                <w:kern w:val="0"/>
                <w:szCs w:val="20"/>
              </w:rPr>
            </w:pPr>
          </w:p>
        </w:tc>
        <w:tc>
          <w:tcPr>
            <w:tcW w:w="805" w:type="pct"/>
            <w:vMerge w:val="continue"/>
            <w:vAlign w:val="center"/>
          </w:tcPr>
          <w:p w14:paraId="46E79306">
            <w:pPr>
              <w:pStyle w:val="445"/>
              <w:rPr>
                <w:rFonts w:cs="Times New Roman"/>
                <w:kern w:val="0"/>
                <w:szCs w:val="20"/>
              </w:rPr>
            </w:pPr>
          </w:p>
        </w:tc>
        <w:tc>
          <w:tcPr>
            <w:tcW w:w="732" w:type="pct"/>
            <w:vAlign w:val="center"/>
          </w:tcPr>
          <w:p w14:paraId="3D00381A">
            <w:pPr>
              <w:pStyle w:val="445"/>
              <w:rPr>
                <w:rFonts w:cs="Times New Roman"/>
                <w:kern w:val="0"/>
                <w:szCs w:val="20"/>
              </w:rPr>
            </w:pPr>
            <w:r>
              <w:rPr>
                <w:rFonts w:hint="eastAsia" w:cs="Times New Roman"/>
                <w:kern w:val="0"/>
                <w:szCs w:val="20"/>
              </w:rPr>
              <w:t>3</w:t>
            </w:r>
            <w:r>
              <w:rPr>
                <w:rFonts w:cs="Times New Roman"/>
                <w:kern w:val="0"/>
                <w:szCs w:val="20"/>
              </w:rPr>
              <w:t>2.5</w:t>
            </w:r>
          </w:p>
        </w:tc>
        <w:tc>
          <w:tcPr>
            <w:tcW w:w="856" w:type="pct"/>
            <w:vAlign w:val="center"/>
          </w:tcPr>
          <w:p w14:paraId="4C751F00">
            <w:pPr>
              <w:pStyle w:val="445"/>
              <w:rPr>
                <w:rFonts w:cs="Times New Roman"/>
                <w:kern w:val="0"/>
                <w:szCs w:val="20"/>
              </w:rPr>
            </w:pPr>
            <w:r>
              <w:rPr>
                <w:rFonts w:hint="eastAsia" w:cs="Times New Roman"/>
                <w:kern w:val="0"/>
                <w:szCs w:val="20"/>
              </w:rPr>
              <w:t>2</w:t>
            </w:r>
            <w:r>
              <w:rPr>
                <w:rFonts w:cs="Times New Roman"/>
                <w:kern w:val="0"/>
                <w:szCs w:val="20"/>
              </w:rPr>
              <w:t>7</w:t>
            </w:r>
          </w:p>
        </w:tc>
        <w:tc>
          <w:tcPr>
            <w:tcW w:w="785" w:type="pct"/>
            <w:vMerge w:val="continue"/>
            <w:vAlign w:val="center"/>
          </w:tcPr>
          <w:p w14:paraId="44332FDF">
            <w:pPr>
              <w:pStyle w:val="445"/>
              <w:rPr>
                <w:rFonts w:cs="Times New Roman"/>
                <w:kern w:val="0"/>
                <w:szCs w:val="20"/>
              </w:rPr>
            </w:pPr>
          </w:p>
        </w:tc>
        <w:tc>
          <w:tcPr>
            <w:tcW w:w="1306" w:type="pct"/>
            <w:vMerge w:val="continue"/>
            <w:vAlign w:val="center"/>
          </w:tcPr>
          <w:p w14:paraId="7AC054ED">
            <w:pPr>
              <w:pStyle w:val="445"/>
              <w:rPr>
                <w:rFonts w:ascii="宋体" w:hAnsi="宋体" w:cs="Times New Roman"/>
                <w:kern w:val="0"/>
                <w:szCs w:val="20"/>
              </w:rPr>
            </w:pPr>
          </w:p>
        </w:tc>
      </w:tr>
      <w:tr w14:paraId="12369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6" w:type="pct"/>
            <w:vMerge w:val="restart"/>
            <w:vAlign w:val="center"/>
          </w:tcPr>
          <w:p w14:paraId="0DCB41C7">
            <w:pPr>
              <w:pStyle w:val="445"/>
              <w:rPr>
                <w:rFonts w:cs="Times New Roman"/>
                <w:kern w:val="0"/>
                <w:szCs w:val="20"/>
              </w:rPr>
            </w:pPr>
            <w:r>
              <w:rPr>
                <w:rFonts w:hint="eastAsia" w:cs="Times New Roman"/>
                <w:kern w:val="0"/>
                <w:szCs w:val="20"/>
              </w:rPr>
              <w:t>非甲烷</w:t>
            </w:r>
            <w:r>
              <w:rPr>
                <w:rFonts w:cs="Times New Roman"/>
                <w:kern w:val="0"/>
                <w:szCs w:val="20"/>
              </w:rPr>
              <w:t>总烃</w:t>
            </w:r>
          </w:p>
        </w:tc>
        <w:tc>
          <w:tcPr>
            <w:tcW w:w="805" w:type="pct"/>
            <w:vMerge w:val="restart"/>
            <w:vAlign w:val="center"/>
          </w:tcPr>
          <w:p w14:paraId="49A731E7">
            <w:pPr>
              <w:pStyle w:val="445"/>
              <w:rPr>
                <w:rFonts w:cs="Times New Roman"/>
                <w:kern w:val="0"/>
                <w:szCs w:val="20"/>
              </w:rPr>
            </w:pPr>
            <w:r>
              <w:rPr>
                <w:rFonts w:cs="Times New Roman"/>
                <w:kern w:val="0"/>
                <w:szCs w:val="20"/>
              </w:rPr>
              <w:t>70</w:t>
            </w:r>
          </w:p>
        </w:tc>
        <w:tc>
          <w:tcPr>
            <w:tcW w:w="732" w:type="pct"/>
            <w:vAlign w:val="center"/>
          </w:tcPr>
          <w:p w14:paraId="2E32571E">
            <w:pPr>
              <w:pStyle w:val="445"/>
              <w:rPr>
                <w:rFonts w:cs="Times New Roman"/>
                <w:kern w:val="0"/>
                <w:szCs w:val="20"/>
              </w:rPr>
            </w:pPr>
            <w:r>
              <w:rPr>
                <w:rFonts w:hint="eastAsia" w:cs="Times New Roman"/>
                <w:kern w:val="0"/>
                <w:szCs w:val="20"/>
              </w:rPr>
              <w:t>1</w:t>
            </w:r>
            <w:r>
              <w:rPr>
                <w:rFonts w:cs="Times New Roman"/>
                <w:kern w:val="0"/>
                <w:szCs w:val="20"/>
              </w:rPr>
              <w:t>8</w:t>
            </w:r>
          </w:p>
        </w:tc>
        <w:tc>
          <w:tcPr>
            <w:tcW w:w="856" w:type="pct"/>
            <w:vMerge w:val="restart"/>
            <w:vAlign w:val="center"/>
          </w:tcPr>
          <w:p w14:paraId="5C44D876">
            <w:pPr>
              <w:pStyle w:val="445"/>
              <w:rPr>
                <w:rFonts w:cs="Times New Roman"/>
                <w:kern w:val="0"/>
                <w:szCs w:val="20"/>
              </w:rPr>
            </w:pPr>
            <w:r>
              <w:rPr>
                <w:rFonts w:cs="Times New Roman"/>
                <w:kern w:val="0"/>
                <w:szCs w:val="20"/>
              </w:rPr>
              <w:t>3.0</w:t>
            </w:r>
          </w:p>
        </w:tc>
        <w:tc>
          <w:tcPr>
            <w:tcW w:w="785" w:type="pct"/>
            <w:vMerge w:val="restart"/>
            <w:vAlign w:val="center"/>
          </w:tcPr>
          <w:p w14:paraId="58311A68">
            <w:pPr>
              <w:pStyle w:val="445"/>
              <w:rPr>
                <w:rFonts w:cs="Times New Roman"/>
                <w:kern w:val="0"/>
                <w:szCs w:val="20"/>
              </w:rPr>
            </w:pPr>
            <w:r>
              <w:rPr>
                <w:rFonts w:cs="Times New Roman"/>
                <w:kern w:val="0"/>
                <w:szCs w:val="20"/>
              </w:rPr>
              <w:t>/</w:t>
            </w:r>
          </w:p>
        </w:tc>
        <w:tc>
          <w:tcPr>
            <w:tcW w:w="1306" w:type="pct"/>
            <w:vMerge w:val="restart"/>
            <w:vAlign w:val="center"/>
          </w:tcPr>
          <w:p w14:paraId="6ECEE510">
            <w:pPr>
              <w:pStyle w:val="445"/>
              <w:rPr>
                <w:rFonts w:cs="Times New Roman"/>
                <w:kern w:val="0"/>
                <w:szCs w:val="20"/>
              </w:rPr>
            </w:pPr>
            <w:r>
              <w:rPr>
                <w:rFonts w:hint="eastAsia" w:cs="Times New Roman"/>
                <w:kern w:val="0"/>
                <w:szCs w:val="20"/>
              </w:rPr>
              <w:t>《固定源挥发性有机物综合排放标准》第3部分：有机化学品制造工业（DB</w:t>
            </w:r>
            <w:r>
              <w:rPr>
                <w:rFonts w:cs="Times New Roman"/>
                <w:kern w:val="0"/>
                <w:szCs w:val="20"/>
              </w:rPr>
              <w:t>34/4812.3-2024</w:t>
            </w:r>
            <w:r>
              <w:rPr>
                <w:rFonts w:hint="eastAsia" w:cs="Times New Roman"/>
                <w:kern w:val="0"/>
                <w:szCs w:val="20"/>
              </w:rPr>
              <w:t>）</w:t>
            </w:r>
          </w:p>
        </w:tc>
      </w:tr>
      <w:tr w14:paraId="1E1A8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6" w:type="pct"/>
            <w:vMerge w:val="continue"/>
            <w:vAlign w:val="center"/>
          </w:tcPr>
          <w:p w14:paraId="6AECF525">
            <w:pPr>
              <w:pStyle w:val="445"/>
              <w:rPr>
                <w:rFonts w:cs="Times New Roman"/>
                <w:kern w:val="0"/>
                <w:szCs w:val="20"/>
              </w:rPr>
            </w:pPr>
          </w:p>
        </w:tc>
        <w:tc>
          <w:tcPr>
            <w:tcW w:w="805" w:type="pct"/>
            <w:vMerge w:val="continue"/>
            <w:vAlign w:val="center"/>
          </w:tcPr>
          <w:p w14:paraId="1F858BF9">
            <w:pPr>
              <w:pStyle w:val="445"/>
              <w:rPr>
                <w:rFonts w:cs="Times New Roman"/>
                <w:kern w:val="0"/>
                <w:szCs w:val="20"/>
              </w:rPr>
            </w:pPr>
          </w:p>
        </w:tc>
        <w:tc>
          <w:tcPr>
            <w:tcW w:w="732" w:type="pct"/>
            <w:vAlign w:val="center"/>
          </w:tcPr>
          <w:p w14:paraId="615788ED">
            <w:pPr>
              <w:pStyle w:val="445"/>
              <w:rPr>
                <w:rFonts w:cs="Times New Roman"/>
                <w:kern w:val="0"/>
                <w:szCs w:val="20"/>
              </w:rPr>
            </w:pPr>
            <w:r>
              <w:rPr>
                <w:rFonts w:hint="eastAsia" w:cs="Times New Roman"/>
                <w:kern w:val="0"/>
                <w:szCs w:val="20"/>
              </w:rPr>
              <w:t>20</w:t>
            </w:r>
          </w:p>
        </w:tc>
        <w:tc>
          <w:tcPr>
            <w:tcW w:w="856" w:type="pct"/>
            <w:vMerge w:val="continue"/>
            <w:vAlign w:val="center"/>
          </w:tcPr>
          <w:p w14:paraId="762CD226">
            <w:pPr>
              <w:pStyle w:val="445"/>
              <w:rPr>
                <w:rFonts w:cs="Times New Roman"/>
                <w:kern w:val="0"/>
                <w:szCs w:val="20"/>
              </w:rPr>
            </w:pPr>
          </w:p>
        </w:tc>
        <w:tc>
          <w:tcPr>
            <w:tcW w:w="785" w:type="pct"/>
            <w:vMerge w:val="continue"/>
            <w:vAlign w:val="center"/>
          </w:tcPr>
          <w:p w14:paraId="3086E4C8">
            <w:pPr>
              <w:pStyle w:val="445"/>
              <w:rPr>
                <w:rFonts w:cs="Times New Roman"/>
                <w:kern w:val="0"/>
                <w:szCs w:val="20"/>
              </w:rPr>
            </w:pPr>
          </w:p>
        </w:tc>
        <w:tc>
          <w:tcPr>
            <w:tcW w:w="1306" w:type="pct"/>
            <w:vMerge w:val="continue"/>
            <w:vAlign w:val="center"/>
          </w:tcPr>
          <w:p w14:paraId="42039291">
            <w:pPr>
              <w:pStyle w:val="445"/>
              <w:rPr>
                <w:rFonts w:cs="Times New Roman"/>
                <w:kern w:val="0"/>
                <w:szCs w:val="20"/>
              </w:rPr>
            </w:pPr>
          </w:p>
        </w:tc>
      </w:tr>
      <w:tr w14:paraId="548FB2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6" w:type="pct"/>
            <w:vMerge w:val="continue"/>
            <w:vAlign w:val="center"/>
          </w:tcPr>
          <w:p w14:paraId="5483A65A">
            <w:pPr>
              <w:pStyle w:val="445"/>
              <w:rPr>
                <w:rFonts w:cs="Times New Roman"/>
                <w:kern w:val="0"/>
                <w:szCs w:val="20"/>
              </w:rPr>
            </w:pPr>
          </w:p>
        </w:tc>
        <w:tc>
          <w:tcPr>
            <w:tcW w:w="805" w:type="pct"/>
            <w:vMerge w:val="continue"/>
            <w:vAlign w:val="center"/>
          </w:tcPr>
          <w:p w14:paraId="5991A19C">
            <w:pPr>
              <w:pStyle w:val="445"/>
              <w:rPr>
                <w:rFonts w:cs="Times New Roman"/>
                <w:kern w:val="0"/>
                <w:szCs w:val="20"/>
              </w:rPr>
            </w:pPr>
          </w:p>
        </w:tc>
        <w:tc>
          <w:tcPr>
            <w:tcW w:w="732" w:type="pct"/>
            <w:vAlign w:val="center"/>
          </w:tcPr>
          <w:p w14:paraId="42F1D27C">
            <w:pPr>
              <w:pStyle w:val="445"/>
              <w:rPr>
                <w:rFonts w:cs="Times New Roman"/>
                <w:kern w:val="0"/>
                <w:szCs w:val="20"/>
              </w:rPr>
            </w:pPr>
            <w:r>
              <w:rPr>
                <w:rFonts w:cs="Times New Roman"/>
                <w:kern w:val="0"/>
                <w:szCs w:val="20"/>
              </w:rPr>
              <w:t>32.5</w:t>
            </w:r>
          </w:p>
        </w:tc>
        <w:tc>
          <w:tcPr>
            <w:tcW w:w="856" w:type="pct"/>
            <w:vMerge w:val="continue"/>
            <w:vAlign w:val="center"/>
          </w:tcPr>
          <w:p w14:paraId="5224BFB4">
            <w:pPr>
              <w:pStyle w:val="445"/>
              <w:rPr>
                <w:rFonts w:cs="Times New Roman"/>
                <w:kern w:val="0"/>
                <w:szCs w:val="20"/>
              </w:rPr>
            </w:pPr>
          </w:p>
        </w:tc>
        <w:tc>
          <w:tcPr>
            <w:tcW w:w="785" w:type="pct"/>
            <w:vMerge w:val="continue"/>
            <w:vAlign w:val="center"/>
          </w:tcPr>
          <w:p w14:paraId="66DB425E">
            <w:pPr>
              <w:pStyle w:val="445"/>
              <w:rPr>
                <w:rFonts w:cs="Times New Roman"/>
                <w:kern w:val="0"/>
                <w:szCs w:val="20"/>
              </w:rPr>
            </w:pPr>
          </w:p>
        </w:tc>
        <w:tc>
          <w:tcPr>
            <w:tcW w:w="1306" w:type="pct"/>
            <w:vMerge w:val="continue"/>
            <w:vAlign w:val="center"/>
          </w:tcPr>
          <w:p w14:paraId="048DF229">
            <w:pPr>
              <w:pStyle w:val="445"/>
              <w:rPr>
                <w:rFonts w:cs="Times New Roman"/>
                <w:kern w:val="0"/>
                <w:szCs w:val="20"/>
              </w:rPr>
            </w:pPr>
          </w:p>
        </w:tc>
      </w:tr>
      <w:tr w14:paraId="07B70D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516" w:type="pct"/>
            <w:vMerge w:val="restart"/>
            <w:vAlign w:val="center"/>
          </w:tcPr>
          <w:p w14:paraId="54F076FD">
            <w:pPr>
              <w:pStyle w:val="445"/>
              <w:rPr>
                <w:rFonts w:cs="Times New Roman"/>
                <w:kern w:val="0"/>
                <w:szCs w:val="20"/>
              </w:rPr>
            </w:pPr>
            <w:r>
              <w:rPr>
                <w:rFonts w:hint="eastAsia" w:cs="Times New Roman"/>
                <w:kern w:val="0"/>
                <w:szCs w:val="20"/>
              </w:rPr>
              <w:t>甲醇</w:t>
            </w:r>
          </w:p>
        </w:tc>
        <w:tc>
          <w:tcPr>
            <w:tcW w:w="805" w:type="pct"/>
            <w:vMerge w:val="restart"/>
            <w:vAlign w:val="center"/>
          </w:tcPr>
          <w:p w14:paraId="2811A905">
            <w:pPr>
              <w:pStyle w:val="445"/>
              <w:rPr>
                <w:rFonts w:cs="Times New Roman"/>
                <w:kern w:val="0"/>
                <w:szCs w:val="20"/>
              </w:rPr>
            </w:pPr>
            <w:r>
              <w:rPr>
                <w:rFonts w:cs="Times New Roman"/>
                <w:kern w:val="0"/>
                <w:szCs w:val="20"/>
              </w:rPr>
              <w:t>50</w:t>
            </w:r>
          </w:p>
        </w:tc>
        <w:tc>
          <w:tcPr>
            <w:tcW w:w="732" w:type="pct"/>
            <w:vAlign w:val="center"/>
          </w:tcPr>
          <w:p w14:paraId="488DE7E1">
            <w:pPr>
              <w:pStyle w:val="445"/>
              <w:rPr>
                <w:rFonts w:cs="Times New Roman"/>
                <w:kern w:val="0"/>
                <w:szCs w:val="20"/>
              </w:rPr>
            </w:pPr>
            <w:r>
              <w:rPr>
                <w:rFonts w:cs="Times New Roman"/>
                <w:kern w:val="0"/>
                <w:szCs w:val="20"/>
              </w:rPr>
              <w:t>20</w:t>
            </w:r>
          </w:p>
        </w:tc>
        <w:tc>
          <w:tcPr>
            <w:tcW w:w="856" w:type="pct"/>
            <w:vAlign w:val="center"/>
          </w:tcPr>
          <w:p w14:paraId="07056C06">
            <w:pPr>
              <w:pStyle w:val="445"/>
              <w:rPr>
                <w:rFonts w:cs="Times New Roman"/>
                <w:kern w:val="0"/>
                <w:szCs w:val="20"/>
              </w:rPr>
            </w:pPr>
            <w:r>
              <w:rPr>
                <w:rFonts w:cs="Times New Roman"/>
                <w:kern w:val="0"/>
                <w:szCs w:val="20"/>
              </w:rPr>
              <w:t>/</w:t>
            </w:r>
          </w:p>
        </w:tc>
        <w:tc>
          <w:tcPr>
            <w:tcW w:w="785" w:type="pct"/>
            <w:vMerge w:val="restart"/>
            <w:vAlign w:val="center"/>
          </w:tcPr>
          <w:p w14:paraId="760DC804">
            <w:pPr>
              <w:pStyle w:val="445"/>
              <w:rPr>
                <w:rFonts w:cs="Times New Roman"/>
                <w:kern w:val="0"/>
                <w:szCs w:val="20"/>
              </w:rPr>
            </w:pPr>
            <w:r>
              <w:rPr>
                <w:rFonts w:cs="Times New Roman"/>
                <w:kern w:val="0"/>
                <w:szCs w:val="20"/>
              </w:rPr>
              <w:t>/</w:t>
            </w:r>
          </w:p>
        </w:tc>
        <w:tc>
          <w:tcPr>
            <w:tcW w:w="1306" w:type="pct"/>
            <w:vMerge w:val="continue"/>
            <w:vAlign w:val="center"/>
          </w:tcPr>
          <w:p w14:paraId="09BF373E">
            <w:pPr>
              <w:pStyle w:val="445"/>
              <w:rPr>
                <w:rFonts w:cs="Times New Roman"/>
                <w:kern w:val="0"/>
                <w:szCs w:val="20"/>
              </w:rPr>
            </w:pPr>
          </w:p>
        </w:tc>
      </w:tr>
      <w:tr w14:paraId="6F2457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516" w:type="pct"/>
            <w:vMerge w:val="continue"/>
            <w:vAlign w:val="center"/>
          </w:tcPr>
          <w:p w14:paraId="67479EC1">
            <w:pPr>
              <w:pStyle w:val="445"/>
              <w:rPr>
                <w:rFonts w:cs="Times New Roman"/>
                <w:kern w:val="0"/>
                <w:szCs w:val="20"/>
              </w:rPr>
            </w:pPr>
          </w:p>
        </w:tc>
        <w:tc>
          <w:tcPr>
            <w:tcW w:w="805" w:type="pct"/>
            <w:vMerge w:val="continue"/>
            <w:vAlign w:val="center"/>
          </w:tcPr>
          <w:p w14:paraId="41A251F1">
            <w:pPr>
              <w:pStyle w:val="445"/>
              <w:rPr>
                <w:rFonts w:cs="Times New Roman"/>
                <w:kern w:val="0"/>
                <w:szCs w:val="20"/>
              </w:rPr>
            </w:pPr>
          </w:p>
        </w:tc>
        <w:tc>
          <w:tcPr>
            <w:tcW w:w="732" w:type="pct"/>
            <w:vAlign w:val="center"/>
          </w:tcPr>
          <w:p w14:paraId="0B2E5FBF">
            <w:pPr>
              <w:pStyle w:val="445"/>
              <w:rPr>
                <w:rFonts w:cs="Times New Roman"/>
                <w:kern w:val="0"/>
                <w:szCs w:val="20"/>
              </w:rPr>
            </w:pPr>
            <w:r>
              <w:rPr>
                <w:rFonts w:hint="eastAsia" w:cs="Times New Roman"/>
                <w:kern w:val="0"/>
                <w:szCs w:val="20"/>
              </w:rPr>
              <w:t>3</w:t>
            </w:r>
            <w:r>
              <w:rPr>
                <w:rFonts w:cs="Times New Roman"/>
                <w:kern w:val="0"/>
                <w:szCs w:val="20"/>
              </w:rPr>
              <w:t>2.5</w:t>
            </w:r>
          </w:p>
        </w:tc>
        <w:tc>
          <w:tcPr>
            <w:tcW w:w="856" w:type="pct"/>
            <w:vAlign w:val="center"/>
          </w:tcPr>
          <w:p w14:paraId="0D1BEA06">
            <w:pPr>
              <w:pStyle w:val="445"/>
              <w:rPr>
                <w:rFonts w:cs="Times New Roman"/>
                <w:kern w:val="0"/>
                <w:szCs w:val="20"/>
              </w:rPr>
            </w:pPr>
            <w:r>
              <w:rPr>
                <w:rFonts w:cs="Times New Roman"/>
                <w:kern w:val="0"/>
                <w:szCs w:val="20"/>
              </w:rPr>
              <w:t>/</w:t>
            </w:r>
          </w:p>
        </w:tc>
        <w:tc>
          <w:tcPr>
            <w:tcW w:w="785" w:type="pct"/>
            <w:vMerge w:val="continue"/>
            <w:vAlign w:val="center"/>
          </w:tcPr>
          <w:p w14:paraId="02ED8E2C">
            <w:pPr>
              <w:pStyle w:val="445"/>
              <w:rPr>
                <w:rFonts w:cs="Times New Roman"/>
                <w:kern w:val="0"/>
                <w:szCs w:val="20"/>
              </w:rPr>
            </w:pPr>
          </w:p>
        </w:tc>
        <w:tc>
          <w:tcPr>
            <w:tcW w:w="1306" w:type="pct"/>
            <w:vMerge w:val="continue"/>
            <w:vAlign w:val="center"/>
          </w:tcPr>
          <w:p w14:paraId="6E73E4FB">
            <w:pPr>
              <w:pStyle w:val="445"/>
              <w:rPr>
                <w:rFonts w:cs="Times New Roman"/>
                <w:kern w:val="0"/>
                <w:szCs w:val="20"/>
              </w:rPr>
            </w:pPr>
          </w:p>
        </w:tc>
      </w:tr>
      <w:tr w14:paraId="4F2CC8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516" w:type="pct"/>
            <w:vAlign w:val="center"/>
          </w:tcPr>
          <w:p w14:paraId="1495D803">
            <w:pPr>
              <w:pStyle w:val="445"/>
              <w:rPr>
                <w:rFonts w:cs="Times New Roman"/>
                <w:kern w:val="0"/>
                <w:szCs w:val="20"/>
              </w:rPr>
            </w:pPr>
            <w:r>
              <w:rPr>
                <w:rFonts w:hint="eastAsia" w:cs="Times New Roman"/>
                <w:kern w:val="0"/>
                <w:szCs w:val="20"/>
              </w:rPr>
              <w:t>硫化氢</w:t>
            </w:r>
          </w:p>
        </w:tc>
        <w:tc>
          <w:tcPr>
            <w:tcW w:w="805" w:type="pct"/>
            <w:vAlign w:val="center"/>
          </w:tcPr>
          <w:p w14:paraId="538CB5F1">
            <w:pPr>
              <w:pStyle w:val="445"/>
              <w:rPr>
                <w:rFonts w:cs="Times New Roman"/>
                <w:kern w:val="0"/>
                <w:szCs w:val="20"/>
              </w:rPr>
            </w:pPr>
            <w:r>
              <w:rPr>
                <w:rFonts w:hint="eastAsia" w:cs="Times New Roman"/>
                <w:kern w:val="0"/>
                <w:szCs w:val="20"/>
              </w:rPr>
              <w:t>/</w:t>
            </w:r>
          </w:p>
        </w:tc>
        <w:tc>
          <w:tcPr>
            <w:tcW w:w="732" w:type="pct"/>
            <w:vAlign w:val="center"/>
          </w:tcPr>
          <w:p w14:paraId="582CC9FF">
            <w:pPr>
              <w:pStyle w:val="445"/>
              <w:rPr>
                <w:rFonts w:cs="Times New Roman"/>
                <w:kern w:val="0"/>
                <w:szCs w:val="20"/>
              </w:rPr>
            </w:pPr>
            <w:r>
              <w:rPr>
                <w:rFonts w:hint="eastAsia" w:cs="Times New Roman"/>
                <w:kern w:val="0"/>
                <w:szCs w:val="20"/>
              </w:rPr>
              <w:t>/</w:t>
            </w:r>
          </w:p>
        </w:tc>
        <w:tc>
          <w:tcPr>
            <w:tcW w:w="856" w:type="pct"/>
            <w:vAlign w:val="center"/>
          </w:tcPr>
          <w:p w14:paraId="494E279C">
            <w:pPr>
              <w:pStyle w:val="445"/>
              <w:rPr>
                <w:rFonts w:cs="Times New Roman"/>
                <w:kern w:val="0"/>
                <w:szCs w:val="20"/>
              </w:rPr>
            </w:pPr>
            <w:r>
              <w:rPr>
                <w:rFonts w:hint="eastAsia" w:cs="Times New Roman"/>
                <w:kern w:val="0"/>
                <w:szCs w:val="20"/>
              </w:rPr>
              <w:t>/</w:t>
            </w:r>
          </w:p>
        </w:tc>
        <w:tc>
          <w:tcPr>
            <w:tcW w:w="785" w:type="pct"/>
            <w:vAlign w:val="center"/>
          </w:tcPr>
          <w:p w14:paraId="56525BB2">
            <w:pPr>
              <w:pStyle w:val="445"/>
              <w:rPr>
                <w:rFonts w:cs="Times New Roman"/>
                <w:kern w:val="0"/>
                <w:szCs w:val="20"/>
              </w:rPr>
            </w:pPr>
            <w:r>
              <w:rPr>
                <w:rFonts w:hint="eastAsia" w:cs="Times New Roman"/>
                <w:kern w:val="0"/>
                <w:szCs w:val="20"/>
              </w:rPr>
              <w:t>0</w:t>
            </w:r>
            <w:r>
              <w:rPr>
                <w:rFonts w:cs="Times New Roman"/>
                <w:kern w:val="0"/>
                <w:szCs w:val="20"/>
              </w:rPr>
              <w:t>.06</w:t>
            </w:r>
          </w:p>
        </w:tc>
        <w:tc>
          <w:tcPr>
            <w:tcW w:w="1306" w:type="pct"/>
            <w:vAlign w:val="center"/>
          </w:tcPr>
          <w:p w14:paraId="30949534">
            <w:pPr>
              <w:pStyle w:val="445"/>
              <w:rPr>
                <w:rFonts w:cs="Times New Roman"/>
                <w:kern w:val="0"/>
                <w:szCs w:val="18"/>
              </w:rPr>
            </w:pPr>
            <w:r>
              <w:rPr>
                <w:rFonts w:hint="eastAsia" w:cs="Times New Roman"/>
                <w:kern w:val="0"/>
                <w:szCs w:val="18"/>
                <w:lang w:bidi="ar"/>
              </w:rPr>
              <w:t>《恶臭污染物排放标准》（</w:t>
            </w:r>
            <w:r>
              <w:rPr>
                <w:rFonts w:cs="Times New Roman"/>
                <w:kern w:val="0"/>
                <w:szCs w:val="18"/>
                <w:lang w:bidi="ar"/>
              </w:rPr>
              <w:t>GB14554-93</w:t>
            </w:r>
            <w:r>
              <w:rPr>
                <w:rFonts w:hint="eastAsia" w:cs="Times New Roman"/>
                <w:kern w:val="0"/>
                <w:szCs w:val="18"/>
                <w:lang w:bidi="ar"/>
              </w:rPr>
              <w:t>）</w:t>
            </w:r>
          </w:p>
        </w:tc>
      </w:tr>
    </w:tbl>
    <w:p w14:paraId="09DEF069">
      <w:pPr>
        <w:spacing w:line="500" w:lineRule="exact"/>
        <w:ind w:firstLine="0" w:firstLineChars="0"/>
        <w:jc w:val="center"/>
        <w:rPr>
          <w:rFonts w:eastAsia="黑体"/>
        </w:rPr>
      </w:pPr>
      <w:r>
        <w:rPr>
          <w:rFonts w:hint="eastAsia" w:eastAsia="黑体"/>
        </w:rPr>
        <w:t>表2.2.</w:t>
      </w:r>
      <w:r>
        <w:rPr>
          <w:rFonts w:eastAsia="黑体"/>
        </w:rPr>
        <w:t xml:space="preserve">3-3  </w:t>
      </w:r>
      <w:r>
        <w:rPr>
          <w:rFonts w:hint="eastAsia" w:eastAsia="黑体"/>
        </w:rPr>
        <w:t>厂区内</w:t>
      </w:r>
      <w:r>
        <w:rPr>
          <w:rFonts w:eastAsia="黑体"/>
        </w:rPr>
        <w:t>VOCs</w:t>
      </w:r>
      <w:r>
        <w:rPr>
          <w:rFonts w:hint="eastAsia" w:eastAsia="黑体"/>
        </w:rPr>
        <w:t>无组织</w:t>
      </w:r>
      <w:r>
        <w:rPr>
          <w:rFonts w:eastAsia="黑体"/>
        </w:rPr>
        <w:t>排放</w:t>
      </w:r>
      <w:r>
        <w:rPr>
          <w:rFonts w:hint="eastAsia" w:eastAsia="黑体"/>
        </w:rPr>
        <w:t>限值</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2612"/>
        <w:gridCol w:w="2614"/>
        <w:gridCol w:w="2710"/>
      </w:tblGrid>
      <w:tr w14:paraId="47E87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7" w:type="pct"/>
            <w:vMerge w:val="restart"/>
            <w:vAlign w:val="center"/>
          </w:tcPr>
          <w:p w14:paraId="48B9AC6F">
            <w:pPr>
              <w:pStyle w:val="445"/>
              <w:rPr>
                <w:rFonts w:cs="Times New Roman"/>
                <w:kern w:val="0"/>
                <w:szCs w:val="20"/>
              </w:rPr>
            </w:pPr>
            <w:r>
              <w:rPr>
                <w:rFonts w:hint="eastAsia" w:cs="Times New Roman"/>
                <w:kern w:val="0"/>
                <w:szCs w:val="20"/>
              </w:rPr>
              <w:t>污染项目</w:t>
            </w:r>
          </w:p>
        </w:tc>
        <w:tc>
          <w:tcPr>
            <w:tcW w:w="1413" w:type="pct"/>
            <w:vMerge w:val="restart"/>
            <w:vAlign w:val="center"/>
          </w:tcPr>
          <w:p w14:paraId="1618F252">
            <w:pPr>
              <w:pStyle w:val="445"/>
              <w:rPr>
                <w:rFonts w:cs="Times New Roman"/>
                <w:kern w:val="0"/>
                <w:szCs w:val="20"/>
              </w:rPr>
            </w:pPr>
            <w:r>
              <w:rPr>
                <w:rFonts w:hint="eastAsia" w:cs="Times New Roman"/>
                <w:kern w:val="0"/>
                <w:szCs w:val="20"/>
              </w:rPr>
              <w:t>特别排放限值</w:t>
            </w:r>
            <w:r>
              <w:rPr>
                <w:rFonts w:cs="Times New Roman"/>
                <w:kern w:val="0"/>
                <w:szCs w:val="20"/>
              </w:rPr>
              <w:t>（</w:t>
            </w:r>
            <w:r>
              <w:rPr>
                <w:rFonts w:hint="eastAsia" w:cs="Times New Roman"/>
                <w:kern w:val="0"/>
                <w:szCs w:val="20"/>
              </w:rPr>
              <w:t>mg</w:t>
            </w:r>
            <w:r>
              <w:rPr>
                <w:rFonts w:cs="Times New Roman"/>
                <w:kern w:val="0"/>
                <w:szCs w:val="20"/>
              </w:rPr>
              <w:t>/m</w:t>
            </w:r>
            <w:r>
              <w:rPr>
                <w:rFonts w:cs="Times New Roman"/>
                <w:kern w:val="0"/>
                <w:szCs w:val="20"/>
                <w:vertAlign w:val="superscript"/>
              </w:rPr>
              <w:t>3</w:t>
            </w:r>
            <w:r>
              <w:rPr>
                <w:rFonts w:cs="Times New Roman"/>
                <w:kern w:val="0"/>
                <w:szCs w:val="20"/>
              </w:rPr>
              <w:t>）</w:t>
            </w:r>
          </w:p>
        </w:tc>
        <w:tc>
          <w:tcPr>
            <w:tcW w:w="1414" w:type="pct"/>
            <w:vMerge w:val="restart"/>
            <w:vAlign w:val="center"/>
          </w:tcPr>
          <w:p w14:paraId="5614FF04">
            <w:pPr>
              <w:pStyle w:val="445"/>
              <w:rPr>
                <w:rFonts w:cs="Times New Roman"/>
                <w:kern w:val="0"/>
                <w:szCs w:val="20"/>
              </w:rPr>
            </w:pPr>
            <w:r>
              <w:rPr>
                <w:rFonts w:hint="eastAsia" w:cs="Times New Roman"/>
                <w:kern w:val="0"/>
                <w:szCs w:val="20"/>
              </w:rPr>
              <w:t>限值含义</w:t>
            </w:r>
          </w:p>
        </w:tc>
        <w:tc>
          <w:tcPr>
            <w:tcW w:w="1466" w:type="pct"/>
            <w:vMerge w:val="restart"/>
            <w:vAlign w:val="center"/>
          </w:tcPr>
          <w:p w14:paraId="7E882460">
            <w:pPr>
              <w:pStyle w:val="445"/>
              <w:rPr>
                <w:rFonts w:cs="Times New Roman"/>
                <w:kern w:val="0"/>
                <w:szCs w:val="20"/>
              </w:rPr>
            </w:pPr>
            <w:r>
              <w:rPr>
                <w:rFonts w:hint="eastAsia" w:cs="Times New Roman"/>
                <w:kern w:val="0"/>
                <w:szCs w:val="20"/>
              </w:rPr>
              <w:t>无组织排放监控位置</w:t>
            </w:r>
          </w:p>
        </w:tc>
      </w:tr>
      <w:tr w14:paraId="62B2D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7" w:type="pct"/>
            <w:vMerge w:val="continue"/>
            <w:vAlign w:val="center"/>
          </w:tcPr>
          <w:p w14:paraId="3BCE305B">
            <w:pPr>
              <w:pStyle w:val="445"/>
              <w:rPr>
                <w:rFonts w:cs="Times New Roman"/>
                <w:kern w:val="0"/>
                <w:szCs w:val="20"/>
              </w:rPr>
            </w:pPr>
          </w:p>
        </w:tc>
        <w:tc>
          <w:tcPr>
            <w:tcW w:w="1413" w:type="pct"/>
            <w:vMerge w:val="continue"/>
            <w:vAlign w:val="center"/>
          </w:tcPr>
          <w:p w14:paraId="7021E8EC">
            <w:pPr>
              <w:pStyle w:val="445"/>
              <w:rPr>
                <w:rFonts w:cs="Times New Roman"/>
                <w:kern w:val="0"/>
                <w:szCs w:val="20"/>
              </w:rPr>
            </w:pPr>
          </w:p>
        </w:tc>
        <w:tc>
          <w:tcPr>
            <w:tcW w:w="1414" w:type="pct"/>
            <w:vMerge w:val="continue"/>
            <w:vAlign w:val="center"/>
          </w:tcPr>
          <w:p w14:paraId="5FF1AC14">
            <w:pPr>
              <w:pStyle w:val="445"/>
              <w:rPr>
                <w:rFonts w:cs="Times New Roman"/>
                <w:kern w:val="0"/>
                <w:szCs w:val="20"/>
              </w:rPr>
            </w:pPr>
          </w:p>
        </w:tc>
        <w:tc>
          <w:tcPr>
            <w:tcW w:w="1466" w:type="pct"/>
            <w:vMerge w:val="continue"/>
            <w:vAlign w:val="center"/>
          </w:tcPr>
          <w:p w14:paraId="55636F54">
            <w:pPr>
              <w:pStyle w:val="445"/>
              <w:rPr>
                <w:rFonts w:cs="Times New Roman"/>
                <w:kern w:val="0"/>
                <w:szCs w:val="20"/>
              </w:rPr>
            </w:pPr>
          </w:p>
        </w:tc>
      </w:tr>
      <w:tr w14:paraId="3ACB3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7" w:type="pct"/>
            <w:vMerge w:val="restart"/>
            <w:vAlign w:val="center"/>
          </w:tcPr>
          <w:p w14:paraId="011113CF">
            <w:pPr>
              <w:pStyle w:val="445"/>
              <w:rPr>
                <w:rFonts w:cs="Times New Roman"/>
                <w:kern w:val="0"/>
                <w:szCs w:val="20"/>
              </w:rPr>
            </w:pPr>
            <w:r>
              <w:rPr>
                <w:rFonts w:cs="Times New Roman"/>
                <w:kern w:val="0"/>
                <w:szCs w:val="20"/>
              </w:rPr>
              <w:t>NMHC</w:t>
            </w:r>
          </w:p>
        </w:tc>
        <w:tc>
          <w:tcPr>
            <w:tcW w:w="1413" w:type="pct"/>
            <w:vAlign w:val="center"/>
          </w:tcPr>
          <w:p w14:paraId="0731A419">
            <w:pPr>
              <w:pStyle w:val="445"/>
              <w:rPr>
                <w:rFonts w:cs="Times New Roman"/>
                <w:kern w:val="0"/>
                <w:szCs w:val="20"/>
              </w:rPr>
            </w:pPr>
            <w:r>
              <w:rPr>
                <w:rFonts w:cs="Times New Roman"/>
                <w:kern w:val="0"/>
                <w:szCs w:val="20"/>
              </w:rPr>
              <w:t>6</w:t>
            </w:r>
          </w:p>
        </w:tc>
        <w:tc>
          <w:tcPr>
            <w:tcW w:w="1414" w:type="pct"/>
            <w:vAlign w:val="center"/>
          </w:tcPr>
          <w:p w14:paraId="167119E5">
            <w:pPr>
              <w:pStyle w:val="445"/>
              <w:rPr>
                <w:rFonts w:cs="Times New Roman"/>
                <w:kern w:val="0"/>
                <w:szCs w:val="20"/>
              </w:rPr>
            </w:pPr>
            <w:r>
              <w:rPr>
                <w:rFonts w:hint="eastAsia" w:cs="Times New Roman"/>
                <w:kern w:val="0"/>
                <w:szCs w:val="20"/>
              </w:rPr>
              <w:t>监控点处1h平均浓度值</w:t>
            </w:r>
          </w:p>
        </w:tc>
        <w:tc>
          <w:tcPr>
            <w:tcW w:w="1466" w:type="pct"/>
            <w:vMerge w:val="restart"/>
            <w:vAlign w:val="center"/>
          </w:tcPr>
          <w:p w14:paraId="0BFB17C3">
            <w:pPr>
              <w:pStyle w:val="445"/>
              <w:rPr>
                <w:rFonts w:cs="Times New Roman"/>
                <w:kern w:val="0"/>
                <w:szCs w:val="20"/>
              </w:rPr>
            </w:pPr>
            <w:r>
              <w:rPr>
                <w:rFonts w:hint="eastAsia" w:cs="Times New Roman"/>
                <w:kern w:val="0"/>
                <w:szCs w:val="20"/>
              </w:rPr>
              <w:t>在厂房外设置监控点</w:t>
            </w:r>
          </w:p>
        </w:tc>
      </w:tr>
      <w:tr w14:paraId="4B714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7" w:type="pct"/>
            <w:vMerge w:val="continue"/>
            <w:vAlign w:val="center"/>
          </w:tcPr>
          <w:p w14:paraId="5CFF530A">
            <w:pPr>
              <w:pStyle w:val="445"/>
              <w:rPr>
                <w:rFonts w:cs="Times New Roman"/>
                <w:kern w:val="0"/>
                <w:szCs w:val="20"/>
              </w:rPr>
            </w:pPr>
          </w:p>
        </w:tc>
        <w:tc>
          <w:tcPr>
            <w:tcW w:w="1413" w:type="pct"/>
            <w:vAlign w:val="center"/>
          </w:tcPr>
          <w:p w14:paraId="4A2187E4">
            <w:pPr>
              <w:pStyle w:val="445"/>
              <w:rPr>
                <w:rFonts w:cs="Times New Roman"/>
                <w:kern w:val="0"/>
                <w:szCs w:val="20"/>
              </w:rPr>
            </w:pPr>
            <w:r>
              <w:rPr>
                <w:rFonts w:hint="eastAsia" w:cs="Times New Roman"/>
                <w:kern w:val="0"/>
                <w:szCs w:val="20"/>
              </w:rPr>
              <w:t>20</w:t>
            </w:r>
          </w:p>
        </w:tc>
        <w:tc>
          <w:tcPr>
            <w:tcW w:w="1414" w:type="pct"/>
            <w:vAlign w:val="center"/>
          </w:tcPr>
          <w:p w14:paraId="036706D4">
            <w:pPr>
              <w:pStyle w:val="445"/>
              <w:rPr>
                <w:rFonts w:cs="Times New Roman"/>
                <w:kern w:val="0"/>
                <w:szCs w:val="20"/>
              </w:rPr>
            </w:pPr>
            <w:r>
              <w:rPr>
                <w:rFonts w:hint="eastAsia" w:cs="Times New Roman"/>
                <w:kern w:val="0"/>
                <w:szCs w:val="20"/>
              </w:rPr>
              <w:t>监控</w:t>
            </w:r>
            <w:r>
              <w:rPr>
                <w:rFonts w:cs="Times New Roman"/>
                <w:kern w:val="0"/>
                <w:szCs w:val="20"/>
              </w:rPr>
              <w:t>点出任意一次</w:t>
            </w:r>
            <w:r>
              <w:rPr>
                <w:rFonts w:hint="eastAsia" w:cs="Times New Roman"/>
                <w:kern w:val="0"/>
                <w:szCs w:val="20"/>
              </w:rPr>
              <w:t>浓度值</w:t>
            </w:r>
          </w:p>
        </w:tc>
        <w:tc>
          <w:tcPr>
            <w:tcW w:w="1466" w:type="pct"/>
            <w:vMerge w:val="continue"/>
            <w:vAlign w:val="center"/>
          </w:tcPr>
          <w:p w14:paraId="227DB40E">
            <w:pPr>
              <w:pStyle w:val="445"/>
              <w:rPr>
                <w:rFonts w:cs="Times New Roman"/>
                <w:kern w:val="0"/>
                <w:szCs w:val="20"/>
              </w:rPr>
            </w:pPr>
          </w:p>
        </w:tc>
      </w:tr>
    </w:tbl>
    <w:p w14:paraId="2402B205">
      <w:pPr>
        <w:pStyle w:val="278"/>
        <w:ind w:firstLine="480"/>
        <w:rPr>
          <w:rFonts w:cs="Times New Roman"/>
        </w:rPr>
      </w:pPr>
      <w:r>
        <w:rPr>
          <w:rFonts w:cs="Times New Roman"/>
        </w:rPr>
        <w:t xml:space="preserve">表2.2.3-4  </w:t>
      </w:r>
      <w:r>
        <w:rPr>
          <w:rFonts w:hint="eastAsia" w:cs="Times New Roman"/>
        </w:rPr>
        <w:t>厂界</w:t>
      </w:r>
      <w:r>
        <w:rPr>
          <w:rFonts w:cs="Times New Roman"/>
        </w:rPr>
        <w:t>废气排放标准一览表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2830"/>
        <w:gridCol w:w="4606"/>
      </w:tblGrid>
      <w:tr w14:paraId="13E5B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77" w:type="pct"/>
            <w:vMerge w:val="restart"/>
            <w:tcBorders>
              <w:top w:val="single" w:color="auto" w:sz="12" w:space="0"/>
              <w:left w:val="nil"/>
              <w:bottom w:val="single" w:color="auto" w:sz="4" w:space="0"/>
              <w:right w:val="single" w:color="auto" w:sz="4" w:space="0"/>
            </w:tcBorders>
            <w:vAlign w:val="center"/>
          </w:tcPr>
          <w:p w14:paraId="167442AF">
            <w:pPr>
              <w:pStyle w:val="445"/>
              <w:rPr>
                <w:rFonts w:cs="Times New Roman"/>
                <w:b/>
                <w:kern w:val="0"/>
                <w:szCs w:val="20"/>
              </w:rPr>
            </w:pPr>
            <w:r>
              <w:rPr>
                <w:rFonts w:cs="Times New Roman"/>
                <w:b/>
                <w:kern w:val="0"/>
                <w:szCs w:val="20"/>
              </w:rPr>
              <w:t>污染物名称</w:t>
            </w:r>
          </w:p>
        </w:tc>
        <w:tc>
          <w:tcPr>
            <w:tcW w:w="1531" w:type="pct"/>
            <w:vMerge w:val="restart"/>
            <w:tcBorders>
              <w:top w:val="single" w:color="auto" w:sz="12" w:space="0"/>
              <w:left w:val="single" w:color="auto" w:sz="4" w:space="0"/>
              <w:bottom w:val="single" w:color="auto" w:sz="4" w:space="0"/>
              <w:right w:val="single" w:color="auto" w:sz="4" w:space="0"/>
            </w:tcBorders>
            <w:vAlign w:val="center"/>
          </w:tcPr>
          <w:p w14:paraId="052EF763">
            <w:pPr>
              <w:pStyle w:val="445"/>
              <w:rPr>
                <w:rFonts w:cs="Times New Roman"/>
                <w:b/>
                <w:kern w:val="0"/>
                <w:szCs w:val="20"/>
              </w:rPr>
            </w:pPr>
            <w:r>
              <w:rPr>
                <w:rFonts w:hint="eastAsia" w:cs="Times New Roman"/>
                <w:b/>
                <w:kern w:val="0"/>
                <w:szCs w:val="20"/>
              </w:rPr>
              <w:t>周界外浓度最高点</w:t>
            </w:r>
            <w:r>
              <w:rPr>
                <w:rFonts w:cs="Times New Roman"/>
                <w:b/>
                <w:kern w:val="0"/>
                <w:szCs w:val="20"/>
              </w:rPr>
              <w:t>（mg/m</w:t>
            </w:r>
            <w:r>
              <w:rPr>
                <w:rFonts w:cs="Times New Roman"/>
                <w:b/>
                <w:kern w:val="0"/>
                <w:szCs w:val="20"/>
                <w:vertAlign w:val="superscript"/>
              </w:rPr>
              <w:t>3</w:t>
            </w:r>
            <w:r>
              <w:rPr>
                <w:rFonts w:cs="Times New Roman"/>
                <w:b/>
                <w:kern w:val="0"/>
                <w:szCs w:val="20"/>
              </w:rPr>
              <w:t>）</w:t>
            </w:r>
          </w:p>
        </w:tc>
        <w:tc>
          <w:tcPr>
            <w:tcW w:w="2492" w:type="pct"/>
            <w:vMerge w:val="restart"/>
            <w:tcBorders>
              <w:top w:val="single" w:color="auto" w:sz="12" w:space="0"/>
              <w:left w:val="single" w:color="auto" w:sz="4" w:space="0"/>
              <w:bottom w:val="single" w:color="auto" w:sz="4" w:space="0"/>
              <w:right w:val="nil"/>
            </w:tcBorders>
            <w:vAlign w:val="center"/>
          </w:tcPr>
          <w:p w14:paraId="75D55333">
            <w:pPr>
              <w:pStyle w:val="445"/>
              <w:rPr>
                <w:rFonts w:cs="Times New Roman"/>
                <w:b/>
                <w:kern w:val="0"/>
                <w:szCs w:val="20"/>
              </w:rPr>
            </w:pPr>
            <w:r>
              <w:rPr>
                <w:rFonts w:cs="Times New Roman"/>
                <w:b/>
                <w:kern w:val="0"/>
                <w:szCs w:val="20"/>
              </w:rPr>
              <w:t>标准来源</w:t>
            </w:r>
          </w:p>
        </w:tc>
      </w:tr>
      <w:tr w14:paraId="01E0D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77" w:type="pct"/>
            <w:vMerge w:val="continue"/>
            <w:tcBorders>
              <w:top w:val="single" w:color="auto" w:sz="12" w:space="0"/>
              <w:left w:val="nil"/>
              <w:bottom w:val="single" w:color="auto" w:sz="4" w:space="0"/>
              <w:right w:val="single" w:color="auto" w:sz="4" w:space="0"/>
            </w:tcBorders>
            <w:vAlign w:val="center"/>
          </w:tcPr>
          <w:p w14:paraId="6F4D3321">
            <w:pPr>
              <w:pStyle w:val="445"/>
              <w:rPr>
                <w:rFonts w:cs="Times New Roman"/>
                <w:bCs/>
                <w:kern w:val="0"/>
                <w:szCs w:val="20"/>
              </w:rPr>
            </w:pPr>
          </w:p>
        </w:tc>
        <w:tc>
          <w:tcPr>
            <w:tcW w:w="1531" w:type="pct"/>
            <w:vMerge w:val="continue"/>
            <w:tcBorders>
              <w:top w:val="single" w:color="auto" w:sz="12" w:space="0"/>
              <w:left w:val="single" w:color="auto" w:sz="4" w:space="0"/>
              <w:bottom w:val="single" w:color="auto" w:sz="4" w:space="0"/>
              <w:right w:val="single" w:color="auto" w:sz="4" w:space="0"/>
            </w:tcBorders>
            <w:vAlign w:val="center"/>
          </w:tcPr>
          <w:p w14:paraId="7FAF719F">
            <w:pPr>
              <w:pStyle w:val="445"/>
              <w:rPr>
                <w:rFonts w:cs="Times New Roman"/>
                <w:bCs/>
                <w:kern w:val="0"/>
                <w:szCs w:val="20"/>
              </w:rPr>
            </w:pPr>
          </w:p>
        </w:tc>
        <w:tc>
          <w:tcPr>
            <w:tcW w:w="2492" w:type="pct"/>
            <w:vMerge w:val="continue"/>
            <w:tcBorders>
              <w:top w:val="single" w:color="auto" w:sz="12" w:space="0"/>
              <w:left w:val="single" w:color="auto" w:sz="4" w:space="0"/>
              <w:bottom w:val="single" w:color="auto" w:sz="4" w:space="0"/>
              <w:right w:val="nil"/>
            </w:tcBorders>
            <w:vAlign w:val="center"/>
          </w:tcPr>
          <w:p w14:paraId="08A6CBB0">
            <w:pPr>
              <w:pStyle w:val="445"/>
              <w:rPr>
                <w:rFonts w:cs="Times New Roman"/>
                <w:bCs/>
                <w:kern w:val="0"/>
                <w:szCs w:val="20"/>
              </w:rPr>
            </w:pPr>
          </w:p>
        </w:tc>
      </w:tr>
      <w:tr w14:paraId="4492B3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7" w:type="pct"/>
            <w:tcBorders>
              <w:top w:val="single" w:color="auto" w:sz="4" w:space="0"/>
              <w:left w:val="nil"/>
              <w:bottom w:val="single" w:color="auto" w:sz="4" w:space="0"/>
              <w:right w:val="single" w:color="auto" w:sz="4" w:space="0"/>
            </w:tcBorders>
            <w:vAlign w:val="center"/>
          </w:tcPr>
          <w:p w14:paraId="2A1FF0BB">
            <w:pPr>
              <w:pStyle w:val="445"/>
              <w:rPr>
                <w:rFonts w:cs="Times New Roman"/>
                <w:bCs/>
                <w:kern w:val="0"/>
                <w:szCs w:val="20"/>
              </w:rPr>
            </w:pPr>
            <w:r>
              <w:rPr>
                <w:rFonts w:cs="Times New Roman"/>
                <w:bCs/>
                <w:kern w:val="0"/>
                <w:szCs w:val="20"/>
              </w:rPr>
              <w:t>非甲烷总烃</w:t>
            </w:r>
          </w:p>
        </w:tc>
        <w:tc>
          <w:tcPr>
            <w:tcW w:w="1531" w:type="pct"/>
            <w:tcBorders>
              <w:top w:val="single" w:color="auto" w:sz="4" w:space="0"/>
              <w:left w:val="single" w:color="auto" w:sz="4" w:space="0"/>
              <w:bottom w:val="single" w:color="auto" w:sz="4" w:space="0"/>
              <w:right w:val="single" w:color="auto" w:sz="4" w:space="0"/>
            </w:tcBorders>
            <w:vAlign w:val="center"/>
          </w:tcPr>
          <w:p w14:paraId="266308BC">
            <w:pPr>
              <w:pStyle w:val="445"/>
              <w:rPr>
                <w:rFonts w:cs="Times New Roman"/>
                <w:bCs/>
                <w:kern w:val="0"/>
                <w:szCs w:val="20"/>
              </w:rPr>
            </w:pPr>
            <w:r>
              <w:rPr>
                <w:rFonts w:cs="Times New Roman"/>
                <w:bCs/>
                <w:kern w:val="0"/>
                <w:szCs w:val="20"/>
              </w:rPr>
              <w:t>4.0</w:t>
            </w:r>
          </w:p>
        </w:tc>
        <w:tc>
          <w:tcPr>
            <w:tcW w:w="2492" w:type="pct"/>
            <w:vMerge w:val="restart"/>
            <w:tcBorders>
              <w:top w:val="single" w:color="auto" w:sz="4" w:space="0"/>
              <w:left w:val="single" w:color="auto" w:sz="4" w:space="0"/>
              <w:right w:val="nil"/>
            </w:tcBorders>
            <w:vAlign w:val="center"/>
          </w:tcPr>
          <w:p w14:paraId="4052D3C3">
            <w:pPr>
              <w:pStyle w:val="445"/>
              <w:rPr>
                <w:rFonts w:cs="Times New Roman"/>
                <w:bCs/>
                <w:kern w:val="0"/>
                <w:szCs w:val="20"/>
              </w:rPr>
            </w:pPr>
            <w:r>
              <w:rPr>
                <w:rFonts w:cs="Times New Roman"/>
                <w:bCs/>
                <w:kern w:val="0"/>
                <w:szCs w:val="20"/>
              </w:rPr>
              <w:t>《大气污染物综合排放标准》（GB16297-1996）</w:t>
            </w:r>
          </w:p>
        </w:tc>
      </w:tr>
      <w:tr w14:paraId="03322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7" w:type="pct"/>
            <w:tcBorders>
              <w:top w:val="single" w:color="auto" w:sz="4" w:space="0"/>
              <w:left w:val="nil"/>
              <w:bottom w:val="single" w:color="auto" w:sz="12" w:space="0"/>
              <w:right w:val="single" w:color="auto" w:sz="4" w:space="0"/>
            </w:tcBorders>
            <w:vAlign w:val="center"/>
          </w:tcPr>
          <w:p w14:paraId="4B0CC3D7">
            <w:pPr>
              <w:pStyle w:val="445"/>
              <w:rPr>
                <w:rFonts w:cs="Times New Roman"/>
                <w:bCs/>
                <w:kern w:val="0"/>
                <w:szCs w:val="20"/>
              </w:rPr>
            </w:pPr>
            <w:r>
              <w:rPr>
                <w:rFonts w:hint="eastAsia" w:cs="Times New Roman"/>
                <w:bCs/>
                <w:kern w:val="0"/>
                <w:szCs w:val="20"/>
              </w:rPr>
              <w:t>甲醇</w:t>
            </w:r>
          </w:p>
        </w:tc>
        <w:tc>
          <w:tcPr>
            <w:tcW w:w="1531" w:type="pct"/>
            <w:tcBorders>
              <w:top w:val="single" w:color="auto" w:sz="4" w:space="0"/>
              <w:left w:val="single" w:color="auto" w:sz="4" w:space="0"/>
              <w:bottom w:val="single" w:color="auto" w:sz="12" w:space="0"/>
              <w:right w:val="single" w:color="auto" w:sz="4" w:space="0"/>
            </w:tcBorders>
            <w:vAlign w:val="center"/>
          </w:tcPr>
          <w:p w14:paraId="43C1F2E9">
            <w:pPr>
              <w:pStyle w:val="445"/>
              <w:rPr>
                <w:rFonts w:cs="Times New Roman"/>
                <w:bCs/>
                <w:kern w:val="0"/>
                <w:szCs w:val="20"/>
              </w:rPr>
            </w:pPr>
            <w:r>
              <w:rPr>
                <w:rFonts w:cs="Times New Roman"/>
                <w:bCs/>
                <w:kern w:val="0"/>
                <w:szCs w:val="20"/>
              </w:rPr>
              <w:t>12</w:t>
            </w:r>
          </w:p>
        </w:tc>
        <w:tc>
          <w:tcPr>
            <w:tcW w:w="2492" w:type="pct"/>
            <w:vMerge w:val="continue"/>
            <w:tcBorders>
              <w:left w:val="single" w:color="auto" w:sz="4" w:space="0"/>
              <w:bottom w:val="single" w:color="auto" w:sz="12" w:space="0"/>
              <w:right w:val="nil"/>
            </w:tcBorders>
            <w:vAlign w:val="center"/>
          </w:tcPr>
          <w:p w14:paraId="0290AC64">
            <w:pPr>
              <w:pStyle w:val="445"/>
              <w:rPr>
                <w:rFonts w:cs="Times New Roman"/>
                <w:bCs/>
                <w:kern w:val="0"/>
                <w:szCs w:val="20"/>
              </w:rPr>
            </w:pPr>
          </w:p>
        </w:tc>
      </w:tr>
    </w:tbl>
    <w:p w14:paraId="76F9CC55">
      <w:pPr>
        <w:pStyle w:val="349"/>
      </w:pPr>
      <w:r>
        <w:rPr>
          <w:rFonts w:hint="eastAsia"/>
        </w:rPr>
        <w:t>2</w:t>
      </w:r>
      <w:r>
        <w:t>.2.3.2</w:t>
      </w:r>
      <w:r>
        <w:rPr>
          <w:rFonts w:hint="eastAsia"/>
        </w:rPr>
        <w:t>地表水评价标准</w:t>
      </w:r>
    </w:p>
    <w:p w14:paraId="704F83EC">
      <w:pPr>
        <w:ind w:firstLine="480"/>
      </w:pPr>
      <w:r>
        <w:t>（1）环境质量标准</w:t>
      </w:r>
    </w:p>
    <w:p w14:paraId="6820DA21">
      <w:pPr>
        <w:ind w:firstLine="480"/>
      </w:pPr>
      <w:r>
        <w:rPr>
          <w:rFonts w:ascii="宋体" w:hAnsi="宋体"/>
        </w:rPr>
        <w:t>淮河</w:t>
      </w:r>
      <w:r>
        <w:rPr>
          <w:rFonts w:hint="eastAsia" w:ascii="宋体" w:hAnsi="宋体"/>
        </w:rPr>
        <w:t>（蚌埠段）</w:t>
      </w:r>
      <w:r>
        <w:rPr>
          <w:rFonts w:ascii="宋体" w:hAnsi="宋体"/>
        </w:rPr>
        <w:t>水质执行</w:t>
      </w:r>
      <w:r>
        <w:rPr>
          <w:rFonts w:hint="eastAsia" w:ascii="宋体" w:hAnsi="宋体"/>
        </w:rPr>
        <w:t>《地表水环境质量标准》（</w:t>
      </w:r>
      <w:r>
        <w:rPr>
          <w:rFonts w:hint="eastAsia"/>
        </w:rPr>
        <w:t>G</w:t>
      </w:r>
      <w:r>
        <w:t>B3838-2002</w:t>
      </w:r>
      <w:r>
        <w:rPr>
          <w:rFonts w:hint="eastAsia" w:ascii="宋体" w:hAnsi="宋体"/>
        </w:rPr>
        <w:t>）中的Ⅲ类标准，沫冲引河</w:t>
      </w:r>
      <w:r>
        <w:rPr>
          <w:rFonts w:ascii="宋体" w:hAnsi="宋体"/>
        </w:rPr>
        <w:t>和三铺大沟执行</w:t>
      </w:r>
      <w:r>
        <w:rPr>
          <w:rFonts w:hint="eastAsia" w:ascii="宋体" w:hAnsi="宋体"/>
        </w:rPr>
        <w:t>《地表水环境质量标准》（</w:t>
      </w:r>
      <w:r>
        <w:rPr>
          <w:rFonts w:hint="eastAsia"/>
        </w:rPr>
        <w:t>G</w:t>
      </w:r>
      <w:r>
        <w:t>B3838-2002</w:t>
      </w:r>
      <w:r>
        <w:rPr>
          <w:rFonts w:hint="eastAsia" w:ascii="宋体" w:hAnsi="宋体"/>
        </w:rPr>
        <w:t>）中的</w:t>
      </w:r>
      <w:r>
        <w:rPr>
          <w:rFonts w:hint="eastAsia" w:ascii="宋体" w:hAnsi="宋体" w:cs="宋体"/>
        </w:rPr>
        <w:t>Ⅳ</w:t>
      </w:r>
      <w:r>
        <w:t>类</w:t>
      </w:r>
      <w:r>
        <w:rPr>
          <w:rFonts w:hint="eastAsia"/>
        </w:rPr>
        <w:t>标准</w:t>
      </w:r>
      <w:r>
        <w:t>，</w:t>
      </w:r>
      <w:r>
        <w:rPr>
          <w:rFonts w:hint="eastAsia" w:ascii="宋体" w:hAnsi="宋体"/>
        </w:rPr>
        <w:t>详见表</w:t>
      </w:r>
      <w:r>
        <w:t>2.2.3-4</w:t>
      </w:r>
      <w:r>
        <w:rPr>
          <w:rFonts w:hint="eastAsia" w:ascii="宋体" w:hAnsi="宋体"/>
        </w:rPr>
        <w:t>。</w:t>
      </w:r>
    </w:p>
    <w:p w14:paraId="4F5D0A91">
      <w:pPr>
        <w:spacing w:line="500" w:lineRule="exact"/>
        <w:ind w:firstLine="0" w:firstLineChars="0"/>
        <w:jc w:val="center"/>
        <w:rPr>
          <w:rFonts w:eastAsia="黑体"/>
        </w:rPr>
      </w:pPr>
      <w:r>
        <w:rPr>
          <w:rFonts w:hint="eastAsia" w:ascii="黑体" w:hAnsi="黑体" w:eastAsia="黑体"/>
        </w:rPr>
        <w:t>表</w:t>
      </w:r>
      <w:r>
        <w:rPr>
          <w:rFonts w:eastAsia="黑体"/>
        </w:rPr>
        <w:t xml:space="preserve">2.2.3-4  </w:t>
      </w:r>
      <w:r>
        <w:rPr>
          <w:rFonts w:hint="eastAsia" w:ascii="黑体" w:hAnsi="黑体" w:eastAsia="黑体"/>
        </w:rPr>
        <w:t>地表水环境质量标准值表  （单位：</w:t>
      </w:r>
      <w:r>
        <w:rPr>
          <w:rFonts w:eastAsia="黑体"/>
        </w:rPr>
        <w:t>mg/L</w:t>
      </w:r>
      <w:r>
        <w:rPr>
          <w:rFonts w:hint="eastAsia" w:ascii="黑体" w:hAnsi="黑体" w:eastAsia="黑体"/>
        </w:rPr>
        <w:t>，</w:t>
      </w:r>
      <w:r>
        <w:rPr>
          <w:rFonts w:eastAsia="黑体"/>
        </w:rPr>
        <w:t>pH</w:t>
      </w:r>
      <w:r>
        <w:rPr>
          <w:rFonts w:hint="eastAsia" w:ascii="黑体" w:hAnsi="黑体" w:eastAsia="黑体"/>
        </w:rPr>
        <w:t>无量纲）</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78"/>
        <w:gridCol w:w="3296"/>
        <w:gridCol w:w="3168"/>
      </w:tblGrid>
      <w:tr w14:paraId="40AED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3F6B29B4">
            <w:pPr>
              <w:pStyle w:val="445"/>
              <w:rPr>
                <w:rFonts w:cs="Times New Roman"/>
                <w:kern w:val="0"/>
                <w:szCs w:val="20"/>
              </w:rPr>
            </w:pPr>
            <w:r>
              <w:rPr>
                <w:rFonts w:cs="Times New Roman"/>
                <w:kern w:val="0"/>
                <w:szCs w:val="20"/>
              </w:rPr>
              <w:t>污染物名称</w:t>
            </w:r>
          </w:p>
        </w:tc>
        <w:tc>
          <w:tcPr>
            <w:tcW w:w="3219" w:type="dxa"/>
            <w:vAlign w:val="center"/>
          </w:tcPr>
          <w:p w14:paraId="0D2BADBE">
            <w:pPr>
              <w:pStyle w:val="445"/>
              <w:rPr>
                <w:rFonts w:cs="Times New Roman"/>
                <w:kern w:val="0"/>
                <w:szCs w:val="20"/>
              </w:rPr>
            </w:pPr>
            <w:r>
              <w:rPr>
                <w:rFonts w:cs="Times New Roman"/>
                <w:kern w:val="0"/>
                <w:szCs w:val="20"/>
              </w:rPr>
              <w:t>III类</w:t>
            </w:r>
          </w:p>
        </w:tc>
        <w:tc>
          <w:tcPr>
            <w:tcW w:w="3094" w:type="dxa"/>
            <w:vAlign w:val="center"/>
          </w:tcPr>
          <w:p w14:paraId="5FB51336">
            <w:pPr>
              <w:pStyle w:val="445"/>
              <w:rPr>
                <w:rFonts w:cs="Times New Roman"/>
                <w:kern w:val="0"/>
                <w:szCs w:val="20"/>
              </w:rPr>
            </w:pPr>
            <w:r>
              <w:rPr>
                <w:rFonts w:hint="eastAsia" w:ascii="宋体" w:hAnsi="宋体" w:cs="宋体"/>
                <w:kern w:val="0"/>
                <w:szCs w:val="20"/>
              </w:rPr>
              <w:t>Ⅳ</w:t>
            </w:r>
            <w:r>
              <w:rPr>
                <w:rFonts w:cs="Times New Roman"/>
                <w:kern w:val="0"/>
                <w:szCs w:val="20"/>
              </w:rPr>
              <w:t>类</w:t>
            </w:r>
          </w:p>
        </w:tc>
      </w:tr>
      <w:tr w14:paraId="6615E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0EDB105E">
            <w:pPr>
              <w:pStyle w:val="445"/>
              <w:rPr>
                <w:rFonts w:cs="Times New Roman"/>
                <w:kern w:val="0"/>
                <w:szCs w:val="20"/>
              </w:rPr>
            </w:pPr>
            <w:r>
              <w:rPr>
                <w:rFonts w:cs="Times New Roman"/>
                <w:kern w:val="0"/>
                <w:szCs w:val="20"/>
              </w:rPr>
              <w:t>pH</w:t>
            </w:r>
          </w:p>
        </w:tc>
        <w:tc>
          <w:tcPr>
            <w:tcW w:w="3219" w:type="dxa"/>
            <w:vAlign w:val="center"/>
          </w:tcPr>
          <w:p w14:paraId="050FAC36">
            <w:pPr>
              <w:pStyle w:val="445"/>
              <w:rPr>
                <w:rFonts w:cs="Times New Roman"/>
                <w:kern w:val="0"/>
                <w:szCs w:val="20"/>
              </w:rPr>
            </w:pPr>
            <w:r>
              <w:rPr>
                <w:rFonts w:cs="Times New Roman"/>
                <w:kern w:val="0"/>
                <w:szCs w:val="20"/>
              </w:rPr>
              <w:t>6~9</w:t>
            </w:r>
          </w:p>
        </w:tc>
        <w:tc>
          <w:tcPr>
            <w:tcW w:w="3094" w:type="dxa"/>
            <w:vAlign w:val="center"/>
          </w:tcPr>
          <w:p w14:paraId="454E40B9">
            <w:pPr>
              <w:pStyle w:val="445"/>
              <w:rPr>
                <w:rFonts w:cs="Times New Roman"/>
                <w:kern w:val="0"/>
                <w:szCs w:val="20"/>
              </w:rPr>
            </w:pPr>
            <w:r>
              <w:rPr>
                <w:rFonts w:cs="Times New Roman"/>
                <w:kern w:val="0"/>
                <w:szCs w:val="20"/>
              </w:rPr>
              <w:t>6~9</w:t>
            </w:r>
          </w:p>
        </w:tc>
      </w:tr>
      <w:tr w14:paraId="63680F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704DEE02">
            <w:pPr>
              <w:pStyle w:val="445"/>
              <w:rPr>
                <w:rFonts w:cs="Times New Roman"/>
                <w:kern w:val="0"/>
                <w:szCs w:val="20"/>
              </w:rPr>
            </w:pPr>
            <w:r>
              <w:rPr>
                <w:rFonts w:cs="Times New Roman"/>
                <w:kern w:val="0"/>
                <w:szCs w:val="20"/>
              </w:rPr>
              <w:t>COD</w:t>
            </w:r>
          </w:p>
        </w:tc>
        <w:tc>
          <w:tcPr>
            <w:tcW w:w="3219" w:type="dxa"/>
            <w:vAlign w:val="center"/>
          </w:tcPr>
          <w:p w14:paraId="78B0BDD5">
            <w:pPr>
              <w:pStyle w:val="445"/>
              <w:rPr>
                <w:rFonts w:cs="Times New Roman"/>
                <w:kern w:val="0"/>
                <w:szCs w:val="20"/>
              </w:rPr>
            </w:pPr>
            <w:r>
              <w:rPr>
                <w:rFonts w:cs="Times New Roman"/>
                <w:kern w:val="0"/>
                <w:szCs w:val="20"/>
              </w:rPr>
              <w:t>≤20</w:t>
            </w:r>
          </w:p>
        </w:tc>
        <w:tc>
          <w:tcPr>
            <w:tcW w:w="3094" w:type="dxa"/>
            <w:vAlign w:val="center"/>
          </w:tcPr>
          <w:p w14:paraId="2F6F7F01">
            <w:pPr>
              <w:pStyle w:val="445"/>
              <w:rPr>
                <w:rFonts w:cs="Times New Roman"/>
                <w:kern w:val="0"/>
                <w:szCs w:val="18"/>
              </w:rPr>
            </w:pPr>
            <w:r>
              <w:rPr>
                <w:rFonts w:cs="Times New Roman"/>
                <w:kern w:val="0"/>
                <w:szCs w:val="20"/>
              </w:rPr>
              <w:t>≤30</w:t>
            </w:r>
          </w:p>
        </w:tc>
      </w:tr>
      <w:tr w14:paraId="1EA181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2A18F639">
            <w:pPr>
              <w:pStyle w:val="445"/>
              <w:rPr>
                <w:rFonts w:cs="Times New Roman"/>
                <w:kern w:val="0"/>
                <w:szCs w:val="20"/>
              </w:rPr>
            </w:pPr>
            <w:r>
              <w:rPr>
                <w:rFonts w:cs="Times New Roman"/>
                <w:kern w:val="0"/>
                <w:szCs w:val="20"/>
              </w:rPr>
              <w:t>BOD</w:t>
            </w:r>
            <w:r>
              <w:rPr>
                <w:rFonts w:cs="Times New Roman"/>
                <w:kern w:val="0"/>
                <w:szCs w:val="20"/>
                <w:vertAlign w:val="subscript"/>
              </w:rPr>
              <w:t>5</w:t>
            </w:r>
          </w:p>
        </w:tc>
        <w:tc>
          <w:tcPr>
            <w:tcW w:w="3219" w:type="dxa"/>
            <w:vAlign w:val="center"/>
          </w:tcPr>
          <w:p w14:paraId="1AAABA02">
            <w:pPr>
              <w:pStyle w:val="445"/>
              <w:rPr>
                <w:rFonts w:cs="Times New Roman"/>
                <w:kern w:val="0"/>
                <w:szCs w:val="20"/>
              </w:rPr>
            </w:pPr>
            <w:r>
              <w:rPr>
                <w:rFonts w:cs="Times New Roman"/>
                <w:kern w:val="0"/>
                <w:szCs w:val="20"/>
              </w:rPr>
              <w:t>≤4</w:t>
            </w:r>
          </w:p>
        </w:tc>
        <w:tc>
          <w:tcPr>
            <w:tcW w:w="3094" w:type="dxa"/>
            <w:vAlign w:val="center"/>
          </w:tcPr>
          <w:p w14:paraId="22AE9547">
            <w:pPr>
              <w:pStyle w:val="445"/>
              <w:rPr>
                <w:rFonts w:cs="Times New Roman"/>
                <w:kern w:val="0"/>
                <w:szCs w:val="18"/>
              </w:rPr>
            </w:pPr>
            <w:r>
              <w:rPr>
                <w:rFonts w:cs="Times New Roman"/>
                <w:kern w:val="0"/>
                <w:szCs w:val="20"/>
              </w:rPr>
              <w:t>≤6</w:t>
            </w:r>
          </w:p>
        </w:tc>
      </w:tr>
      <w:tr w14:paraId="58103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34E8B138">
            <w:pPr>
              <w:pStyle w:val="445"/>
              <w:rPr>
                <w:rFonts w:cs="Times New Roman"/>
                <w:kern w:val="0"/>
                <w:szCs w:val="20"/>
              </w:rPr>
            </w:pPr>
            <w:r>
              <w:rPr>
                <w:rFonts w:cs="Times New Roman"/>
                <w:kern w:val="0"/>
                <w:szCs w:val="20"/>
              </w:rPr>
              <w:t>氨氮（NH</w:t>
            </w:r>
            <w:r>
              <w:rPr>
                <w:rFonts w:cs="Times New Roman"/>
                <w:kern w:val="0"/>
                <w:szCs w:val="20"/>
                <w:vertAlign w:val="subscript"/>
              </w:rPr>
              <w:t>3</w:t>
            </w:r>
            <w:r>
              <w:rPr>
                <w:rFonts w:cs="Times New Roman"/>
                <w:kern w:val="0"/>
                <w:szCs w:val="20"/>
              </w:rPr>
              <w:t>-N）</w:t>
            </w:r>
          </w:p>
        </w:tc>
        <w:tc>
          <w:tcPr>
            <w:tcW w:w="3219" w:type="dxa"/>
            <w:vAlign w:val="center"/>
          </w:tcPr>
          <w:p w14:paraId="5DE38EED">
            <w:pPr>
              <w:pStyle w:val="445"/>
              <w:rPr>
                <w:rFonts w:cs="Times New Roman"/>
                <w:kern w:val="0"/>
                <w:szCs w:val="20"/>
              </w:rPr>
            </w:pPr>
            <w:r>
              <w:rPr>
                <w:rFonts w:cs="Times New Roman"/>
                <w:kern w:val="0"/>
                <w:szCs w:val="20"/>
              </w:rPr>
              <w:t>≤1.0</w:t>
            </w:r>
          </w:p>
        </w:tc>
        <w:tc>
          <w:tcPr>
            <w:tcW w:w="3094" w:type="dxa"/>
            <w:vAlign w:val="center"/>
          </w:tcPr>
          <w:p w14:paraId="7DEF1547">
            <w:pPr>
              <w:pStyle w:val="445"/>
              <w:rPr>
                <w:rFonts w:cs="Times New Roman"/>
                <w:kern w:val="0"/>
                <w:szCs w:val="18"/>
              </w:rPr>
            </w:pPr>
            <w:r>
              <w:rPr>
                <w:rFonts w:cs="Times New Roman"/>
                <w:kern w:val="0"/>
                <w:szCs w:val="20"/>
              </w:rPr>
              <w:t>≤1.5</w:t>
            </w:r>
          </w:p>
        </w:tc>
      </w:tr>
      <w:tr w14:paraId="5E22F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1577C4F8">
            <w:pPr>
              <w:pStyle w:val="445"/>
              <w:rPr>
                <w:rFonts w:cs="Times New Roman"/>
                <w:kern w:val="0"/>
                <w:szCs w:val="20"/>
              </w:rPr>
            </w:pPr>
            <w:r>
              <w:rPr>
                <w:rFonts w:cs="Times New Roman"/>
                <w:kern w:val="0"/>
                <w:szCs w:val="20"/>
              </w:rPr>
              <w:t>氟化物</w:t>
            </w:r>
          </w:p>
        </w:tc>
        <w:tc>
          <w:tcPr>
            <w:tcW w:w="3219" w:type="dxa"/>
            <w:vAlign w:val="center"/>
          </w:tcPr>
          <w:p w14:paraId="2ECC1757">
            <w:pPr>
              <w:pStyle w:val="445"/>
              <w:rPr>
                <w:rFonts w:cs="Times New Roman"/>
                <w:kern w:val="0"/>
                <w:szCs w:val="20"/>
              </w:rPr>
            </w:pPr>
            <w:r>
              <w:rPr>
                <w:rFonts w:cs="Times New Roman"/>
                <w:kern w:val="0"/>
                <w:szCs w:val="20"/>
              </w:rPr>
              <w:t>≤1.0</w:t>
            </w:r>
          </w:p>
        </w:tc>
        <w:tc>
          <w:tcPr>
            <w:tcW w:w="3094" w:type="dxa"/>
            <w:vAlign w:val="center"/>
          </w:tcPr>
          <w:p w14:paraId="66A835C0">
            <w:pPr>
              <w:pStyle w:val="445"/>
              <w:rPr>
                <w:rFonts w:cs="Times New Roman"/>
                <w:kern w:val="0"/>
                <w:szCs w:val="18"/>
              </w:rPr>
            </w:pPr>
            <w:r>
              <w:rPr>
                <w:rFonts w:cs="Times New Roman"/>
                <w:kern w:val="0"/>
                <w:szCs w:val="20"/>
              </w:rPr>
              <w:t>≤1.5</w:t>
            </w:r>
          </w:p>
        </w:tc>
      </w:tr>
      <w:tr w14:paraId="63F3F5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7956C907">
            <w:pPr>
              <w:pStyle w:val="445"/>
              <w:rPr>
                <w:rFonts w:cs="Times New Roman"/>
                <w:kern w:val="0"/>
                <w:szCs w:val="20"/>
              </w:rPr>
            </w:pPr>
            <w:r>
              <w:rPr>
                <w:rFonts w:cs="Times New Roman"/>
                <w:kern w:val="0"/>
                <w:szCs w:val="20"/>
              </w:rPr>
              <w:t>总磷</w:t>
            </w:r>
          </w:p>
        </w:tc>
        <w:tc>
          <w:tcPr>
            <w:tcW w:w="3219" w:type="dxa"/>
            <w:vAlign w:val="center"/>
          </w:tcPr>
          <w:p w14:paraId="116B16C5">
            <w:pPr>
              <w:pStyle w:val="445"/>
              <w:rPr>
                <w:rFonts w:cs="Times New Roman"/>
                <w:kern w:val="0"/>
                <w:szCs w:val="20"/>
              </w:rPr>
            </w:pPr>
            <w:r>
              <w:rPr>
                <w:rFonts w:cs="Times New Roman"/>
                <w:kern w:val="0"/>
                <w:szCs w:val="20"/>
              </w:rPr>
              <w:t>≤0.2</w:t>
            </w:r>
          </w:p>
        </w:tc>
        <w:tc>
          <w:tcPr>
            <w:tcW w:w="3094" w:type="dxa"/>
            <w:vAlign w:val="center"/>
          </w:tcPr>
          <w:p w14:paraId="5455358B">
            <w:pPr>
              <w:pStyle w:val="445"/>
              <w:rPr>
                <w:rFonts w:cs="Times New Roman"/>
                <w:kern w:val="0"/>
                <w:szCs w:val="18"/>
              </w:rPr>
            </w:pPr>
            <w:r>
              <w:rPr>
                <w:rFonts w:cs="Times New Roman"/>
                <w:kern w:val="0"/>
                <w:szCs w:val="20"/>
              </w:rPr>
              <w:t>≤0.3</w:t>
            </w:r>
          </w:p>
        </w:tc>
      </w:tr>
      <w:tr w14:paraId="1128C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21149DB3">
            <w:pPr>
              <w:pStyle w:val="445"/>
              <w:rPr>
                <w:rFonts w:cs="Times New Roman"/>
                <w:kern w:val="0"/>
                <w:szCs w:val="20"/>
              </w:rPr>
            </w:pPr>
            <w:r>
              <w:rPr>
                <w:rFonts w:cs="Times New Roman"/>
                <w:kern w:val="0"/>
                <w:szCs w:val="20"/>
              </w:rPr>
              <w:t>硫化物</w:t>
            </w:r>
          </w:p>
        </w:tc>
        <w:tc>
          <w:tcPr>
            <w:tcW w:w="3219" w:type="dxa"/>
            <w:vAlign w:val="center"/>
          </w:tcPr>
          <w:p w14:paraId="2EF2A2C3">
            <w:pPr>
              <w:pStyle w:val="445"/>
              <w:rPr>
                <w:rFonts w:cs="Times New Roman"/>
                <w:kern w:val="0"/>
                <w:szCs w:val="20"/>
              </w:rPr>
            </w:pPr>
            <w:r>
              <w:rPr>
                <w:rFonts w:cs="Times New Roman"/>
                <w:kern w:val="0"/>
                <w:szCs w:val="20"/>
              </w:rPr>
              <w:t>≤0.2</w:t>
            </w:r>
          </w:p>
        </w:tc>
        <w:tc>
          <w:tcPr>
            <w:tcW w:w="3094" w:type="dxa"/>
            <w:vAlign w:val="center"/>
          </w:tcPr>
          <w:p w14:paraId="2D5AD84D">
            <w:pPr>
              <w:pStyle w:val="445"/>
              <w:rPr>
                <w:rFonts w:cs="Times New Roman"/>
                <w:kern w:val="0"/>
                <w:szCs w:val="18"/>
              </w:rPr>
            </w:pPr>
            <w:r>
              <w:rPr>
                <w:rFonts w:cs="Times New Roman"/>
                <w:kern w:val="0"/>
                <w:szCs w:val="20"/>
              </w:rPr>
              <w:t>≤0.5</w:t>
            </w:r>
          </w:p>
        </w:tc>
      </w:tr>
      <w:tr w14:paraId="659A9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13" w:type="dxa"/>
            <w:vAlign w:val="center"/>
          </w:tcPr>
          <w:p w14:paraId="576010CF">
            <w:pPr>
              <w:pStyle w:val="445"/>
              <w:rPr>
                <w:rFonts w:cs="Times New Roman"/>
                <w:kern w:val="0"/>
                <w:szCs w:val="20"/>
              </w:rPr>
            </w:pPr>
            <w:r>
              <w:rPr>
                <w:rFonts w:cs="Times New Roman"/>
                <w:kern w:val="0"/>
                <w:szCs w:val="20"/>
              </w:rPr>
              <w:t>溶解氧</w:t>
            </w:r>
          </w:p>
        </w:tc>
        <w:tc>
          <w:tcPr>
            <w:tcW w:w="3219" w:type="dxa"/>
            <w:vAlign w:val="center"/>
          </w:tcPr>
          <w:p w14:paraId="1B71AF44">
            <w:pPr>
              <w:pStyle w:val="445"/>
              <w:rPr>
                <w:rFonts w:cs="Times New Roman"/>
                <w:kern w:val="0"/>
                <w:szCs w:val="20"/>
              </w:rPr>
            </w:pPr>
            <w:r>
              <w:rPr>
                <w:rFonts w:cs="Times New Roman"/>
                <w:kern w:val="0"/>
                <w:szCs w:val="20"/>
              </w:rPr>
              <w:t>≥5</w:t>
            </w:r>
          </w:p>
        </w:tc>
        <w:tc>
          <w:tcPr>
            <w:tcW w:w="3094" w:type="dxa"/>
            <w:vAlign w:val="center"/>
          </w:tcPr>
          <w:p w14:paraId="735D83EA">
            <w:pPr>
              <w:pStyle w:val="445"/>
              <w:rPr>
                <w:rFonts w:cs="Times New Roman"/>
                <w:kern w:val="0"/>
                <w:szCs w:val="18"/>
              </w:rPr>
            </w:pPr>
            <w:r>
              <w:rPr>
                <w:rFonts w:cs="Times New Roman"/>
                <w:kern w:val="0"/>
                <w:szCs w:val="20"/>
              </w:rPr>
              <w:t>≥3</w:t>
            </w:r>
          </w:p>
        </w:tc>
      </w:tr>
    </w:tbl>
    <w:p w14:paraId="62B91330">
      <w:pPr>
        <w:ind w:firstLine="480"/>
      </w:pPr>
      <w:r>
        <w:t>（2）污染物排放标准</w:t>
      </w:r>
    </w:p>
    <w:p w14:paraId="19903386">
      <w:pPr>
        <w:ind w:firstLine="480"/>
      </w:pPr>
      <w:r>
        <w:rPr>
          <w:rFonts w:hint="eastAsia"/>
        </w:rPr>
        <w:t>扩建</w:t>
      </w:r>
      <w:r>
        <w:rPr>
          <w:rFonts w:ascii="宋体" w:hAnsi="宋体"/>
        </w:rPr>
        <w:t>项目各类废水经厂内污水处理区处理达到沫河口园区污水处理厂接管标准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r>
        <w:rPr>
          <w:rFonts w:hint="eastAsia" w:ascii="宋体" w:hAnsi="宋体"/>
        </w:rPr>
        <w:t>，尾水经沫河口污水处理厂处理后达到《城镇污水处理厂污染物排放标准》（</w:t>
      </w:r>
      <w:r>
        <w:rPr>
          <w:rFonts w:hint="eastAsia"/>
        </w:rPr>
        <w:t>G</w:t>
      </w:r>
      <w:r>
        <w:t>B18918-2002</w:t>
      </w:r>
      <w:r>
        <w:rPr>
          <w:rFonts w:hint="eastAsia" w:ascii="宋体" w:hAnsi="宋体"/>
        </w:rPr>
        <w:t>）中一级</w:t>
      </w:r>
      <w:r>
        <w:rPr>
          <w:rFonts w:hint="eastAsia"/>
        </w:rPr>
        <w:t>A</w:t>
      </w:r>
      <w:r>
        <w:rPr>
          <w:rFonts w:hint="eastAsia" w:ascii="宋体" w:hAnsi="宋体"/>
        </w:rPr>
        <w:t>标准后排入沫冲引河并汇入淮河（蚌埠段）。具体排放标准见表</w:t>
      </w:r>
      <w:r>
        <w:rPr>
          <w:rFonts w:hint="eastAsia"/>
        </w:rPr>
        <w:t>2</w:t>
      </w:r>
      <w:r>
        <w:t>.2.3-5</w:t>
      </w:r>
      <w:r>
        <w:rPr>
          <w:rFonts w:hint="eastAsia" w:ascii="宋体" w:hAnsi="宋体"/>
        </w:rPr>
        <w:t>。</w:t>
      </w:r>
    </w:p>
    <w:p w14:paraId="4C154A96">
      <w:pPr>
        <w:spacing w:line="500" w:lineRule="exact"/>
        <w:ind w:firstLine="0" w:firstLineChars="0"/>
        <w:jc w:val="center"/>
        <w:rPr>
          <w:rFonts w:eastAsia="黑体"/>
        </w:rPr>
      </w:pPr>
      <w:r>
        <w:rPr>
          <w:rFonts w:hint="eastAsia" w:ascii="黑体" w:hAnsi="黑体" w:eastAsia="黑体"/>
        </w:rPr>
        <w:t>表</w:t>
      </w:r>
      <w:r>
        <w:rPr>
          <w:rFonts w:eastAsia="黑体"/>
        </w:rPr>
        <w:t xml:space="preserve">2.2.3-5  </w:t>
      </w:r>
      <w:r>
        <w:rPr>
          <w:rFonts w:hint="eastAsia" w:ascii="黑体" w:hAnsi="黑体" w:eastAsia="黑体"/>
        </w:rPr>
        <w:t>废水污染物排放标准主要指标值表（单位：</w:t>
      </w:r>
      <w:r>
        <w:rPr>
          <w:rFonts w:eastAsia="黑体"/>
        </w:rPr>
        <w:t>mg/L</w:t>
      </w:r>
      <w:r>
        <w:rPr>
          <w:rFonts w:hint="eastAsia" w:ascii="黑体" w:hAnsi="黑体" w:eastAsia="黑体"/>
        </w:rPr>
        <w:t>，</w:t>
      </w:r>
      <w:r>
        <w:rPr>
          <w:rFonts w:eastAsia="黑体"/>
        </w:rPr>
        <w:t>pH</w:t>
      </w:r>
      <w:r>
        <w:rPr>
          <w:rFonts w:hint="eastAsia" w:ascii="黑体" w:hAnsi="黑体" w:eastAsia="黑体"/>
        </w:rPr>
        <w:t>无量纲）</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663"/>
        <w:gridCol w:w="1030"/>
        <w:gridCol w:w="1505"/>
        <w:gridCol w:w="1383"/>
        <w:gridCol w:w="1383"/>
        <w:gridCol w:w="1706"/>
      </w:tblGrid>
      <w:tr w14:paraId="4463A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67DB2B17">
            <w:pPr>
              <w:pStyle w:val="445"/>
              <w:rPr>
                <w:rFonts w:cs="Times New Roman"/>
                <w:kern w:val="0"/>
                <w:szCs w:val="20"/>
              </w:rPr>
            </w:pPr>
            <w:r>
              <w:rPr>
                <w:rFonts w:cs="Times New Roman"/>
                <w:kern w:val="0"/>
                <w:szCs w:val="20"/>
              </w:rPr>
              <w:t>序号</w:t>
            </w:r>
          </w:p>
        </w:tc>
        <w:tc>
          <w:tcPr>
            <w:tcW w:w="900" w:type="pct"/>
            <w:vAlign w:val="center"/>
          </w:tcPr>
          <w:p w14:paraId="5E10FFF3">
            <w:pPr>
              <w:pStyle w:val="445"/>
              <w:rPr>
                <w:rFonts w:cs="Times New Roman"/>
                <w:kern w:val="0"/>
                <w:szCs w:val="20"/>
              </w:rPr>
            </w:pPr>
            <w:r>
              <w:rPr>
                <w:rFonts w:cs="Times New Roman"/>
                <w:kern w:val="0"/>
                <w:szCs w:val="20"/>
              </w:rPr>
              <w:t>污染物</w:t>
            </w:r>
          </w:p>
        </w:tc>
        <w:tc>
          <w:tcPr>
            <w:tcW w:w="557" w:type="pct"/>
            <w:vAlign w:val="center"/>
          </w:tcPr>
          <w:p w14:paraId="4D37EB03">
            <w:pPr>
              <w:pStyle w:val="445"/>
              <w:rPr>
                <w:rFonts w:cs="Times New Roman"/>
                <w:kern w:val="0"/>
                <w:szCs w:val="20"/>
              </w:rPr>
            </w:pPr>
            <w:r>
              <w:rPr>
                <w:rFonts w:hint="eastAsia" w:cs="Times New Roman"/>
                <w:kern w:val="0"/>
                <w:szCs w:val="20"/>
              </w:rPr>
              <w:t>污水处理厂</w:t>
            </w:r>
            <w:r>
              <w:rPr>
                <w:rFonts w:cs="Times New Roman"/>
                <w:kern w:val="0"/>
                <w:szCs w:val="20"/>
              </w:rPr>
              <w:t>接管标准</w:t>
            </w:r>
          </w:p>
        </w:tc>
        <w:tc>
          <w:tcPr>
            <w:tcW w:w="814" w:type="pct"/>
            <w:vAlign w:val="center"/>
          </w:tcPr>
          <w:p w14:paraId="753FB4D8">
            <w:pPr>
              <w:pStyle w:val="445"/>
              <w:rPr>
                <w:rFonts w:cs="Times New Roman"/>
                <w:kern w:val="0"/>
                <w:szCs w:val="20"/>
              </w:rPr>
            </w:pPr>
            <w:r>
              <w:rPr>
                <w:rFonts w:hint="eastAsia" w:cs="Times New Roman"/>
                <w:kern w:val="0"/>
                <w:szCs w:val="20"/>
              </w:rPr>
              <w:t>GB8978-1996三级</w:t>
            </w:r>
            <w:r>
              <w:rPr>
                <w:rFonts w:cs="Times New Roman"/>
                <w:kern w:val="0"/>
                <w:szCs w:val="20"/>
              </w:rPr>
              <w:t>标准</w:t>
            </w:r>
          </w:p>
        </w:tc>
        <w:tc>
          <w:tcPr>
            <w:tcW w:w="748" w:type="pct"/>
            <w:vAlign w:val="center"/>
          </w:tcPr>
          <w:p w14:paraId="1D878634">
            <w:pPr>
              <w:pStyle w:val="445"/>
              <w:rPr>
                <w:rFonts w:cs="Times New Roman"/>
                <w:kern w:val="0"/>
                <w:szCs w:val="24"/>
              </w:rPr>
            </w:pPr>
            <w:r>
              <w:rPr>
                <w:rFonts w:hint="eastAsia" w:cs="Times New Roman"/>
                <w:kern w:val="0"/>
                <w:szCs w:val="24"/>
              </w:rPr>
              <w:t>GB31573-2015间接</w:t>
            </w:r>
            <w:r>
              <w:rPr>
                <w:rFonts w:cs="Times New Roman"/>
                <w:kern w:val="0"/>
                <w:szCs w:val="24"/>
              </w:rPr>
              <w:t>排放标准</w:t>
            </w:r>
          </w:p>
        </w:tc>
        <w:tc>
          <w:tcPr>
            <w:tcW w:w="748" w:type="pct"/>
            <w:vAlign w:val="center"/>
          </w:tcPr>
          <w:p w14:paraId="2809ABBF">
            <w:pPr>
              <w:pStyle w:val="445"/>
              <w:rPr>
                <w:rFonts w:cs="Times New Roman"/>
                <w:kern w:val="0"/>
                <w:szCs w:val="20"/>
              </w:rPr>
            </w:pPr>
            <w:r>
              <w:rPr>
                <w:rFonts w:hint="eastAsia" w:cs="Times New Roman"/>
                <w:kern w:val="0"/>
                <w:szCs w:val="20"/>
              </w:rPr>
              <w:t>废水总排口执行</w:t>
            </w:r>
            <w:r>
              <w:rPr>
                <w:rFonts w:cs="Times New Roman"/>
                <w:kern w:val="0"/>
                <w:szCs w:val="20"/>
              </w:rPr>
              <w:t>标准</w:t>
            </w:r>
          </w:p>
        </w:tc>
        <w:tc>
          <w:tcPr>
            <w:tcW w:w="923" w:type="pct"/>
            <w:vAlign w:val="center"/>
          </w:tcPr>
          <w:p w14:paraId="160E79CF">
            <w:pPr>
              <w:pStyle w:val="445"/>
              <w:rPr>
                <w:rFonts w:cs="Times New Roman"/>
                <w:kern w:val="0"/>
                <w:szCs w:val="20"/>
              </w:rPr>
            </w:pPr>
            <w:r>
              <w:rPr>
                <w:rFonts w:cs="Times New Roman"/>
                <w:kern w:val="0"/>
                <w:szCs w:val="20"/>
              </w:rPr>
              <w:t>GB18918-2002一级A标准</w:t>
            </w:r>
          </w:p>
        </w:tc>
      </w:tr>
      <w:tr w14:paraId="6C7EF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3F46F4CE">
            <w:pPr>
              <w:pStyle w:val="445"/>
              <w:rPr>
                <w:rFonts w:cs="Times New Roman"/>
                <w:kern w:val="0"/>
                <w:szCs w:val="20"/>
              </w:rPr>
            </w:pPr>
            <w:r>
              <w:rPr>
                <w:rFonts w:hint="eastAsia" w:cs="Times New Roman"/>
                <w:kern w:val="0"/>
                <w:szCs w:val="20"/>
              </w:rPr>
              <w:t>1</w:t>
            </w:r>
          </w:p>
        </w:tc>
        <w:tc>
          <w:tcPr>
            <w:tcW w:w="900" w:type="pct"/>
            <w:vAlign w:val="center"/>
          </w:tcPr>
          <w:p w14:paraId="202A5269">
            <w:pPr>
              <w:pStyle w:val="445"/>
              <w:rPr>
                <w:rFonts w:cs="Times New Roman"/>
                <w:kern w:val="0"/>
                <w:szCs w:val="20"/>
              </w:rPr>
            </w:pPr>
            <w:r>
              <w:rPr>
                <w:rFonts w:cs="Times New Roman"/>
                <w:kern w:val="0"/>
                <w:szCs w:val="20"/>
              </w:rPr>
              <w:t>pH</w:t>
            </w:r>
          </w:p>
        </w:tc>
        <w:tc>
          <w:tcPr>
            <w:tcW w:w="557" w:type="pct"/>
            <w:vAlign w:val="center"/>
          </w:tcPr>
          <w:p w14:paraId="12A85C3D">
            <w:pPr>
              <w:pStyle w:val="445"/>
              <w:rPr>
                <w:rFonts w:cs="Times New Roman"/>
                <w:kern w:val="0"/>
                <w:szCs w:val="20"/>
              </w:rPr>
            </w:pPr>
            <w:r>
              <w:rPr>
                <w:rFonts w:hint="eastAsia" w:cs="Times New Roman"/>
                <w:kern w:val="0"/>
                <w:szCs w:val="20"/>
              </w:rPr>
              <w:t>6~9</w:t>
            </w:r>
          </w:p>
        </w:tc>
        <w:tc>
          <w:tcPr>
            <w:tcW w:w="814" w:type="pct"/>
            <w:vAlign w:val="center"/>
          </w:tcPr>
          <w:p w14:paraId="5FE75EAF">
            <w:pPr>
              <w:pStyle w:val="445"/>
              <w:rPr>
                <w:rFonts w:cs="Times New Roman"/>
                <w:kern w:val="0"/>
                <w:szCs w:val="20"/>
              </w:rPr>
            </w:pPr>
            <w:r>
              <w:rPr>
                <w:rFonts w:hint="eastAsia" w:cs="Times New Roman"/>
                <w:kern w:val="0"/>
                <w:szCs w:val="20"/>
              </w:rPr>
              <w:t>6~9</w:t>
            </w:r>
          </w:p>
        </w:tc>
        <w:tc>
          <w:tcPr>
            <w:tcW w:w="748" w:type="pct"/>
            <w:vAlign w:val="center"/>
          </w:tcPr>
          <w:p w14:paraId="369F00E7">
            <w:pPr>
              <w:pStyle w:val="445"/>
              <w:rPr>
                <w:rFonts w:cs="Times New Roman"/>
                <w:kern w:val="0"/>
                <w:szCs w:val="20"/>
              </w:rPr>
            </w:pPr>
            <w:r>
              <w:rPr>
                <w:rFonts w:hint="eastAsia" w:cs="Times New Roman"/>
                <w:kern w:val="0"/>
                <w:szCs w:val="20"/>
              </w:rPr>
              <w:t>6~9</w:t>
            </w:r>
          </w:p>
        </w:tc>
        <w:tc>
          <w:tcPr>
            <w:tcW w:w="748" w:type="pct"/>
            <w:vAlign w:val="center"/>
          </w:tcPr>
          <w:p w14:paraId="4A284733">
            <w:pPr>
              <w:pStyle w:val="445"/>
              <w:rPr>
                <w:rFonts w:cs="Times New Roman"/>
                <w:kern w:val="0"/>
                <w:szCs w:val="20"/>
              </w:rPr>
            </w:pPr>
            <w:r>
              <w:rPr>
                <w:rFonts w:hint="eastAsia" w:cs="Times New Roman"/>
                <w:kern w:val="0"/>
                <w:szCs w:val="20"/>
              </w:rPr>
              <w:t>6~9</w:t>
            </w:r>
          </w:p>
        </w:tc>
        <w:tc>
          <w:tcPr>
            <w:tcW w:w="923" w:type="pct"/>
            <w:vAlign w:val="center"/>
          </w:tcPr>
          <w:p w14:paraId="06405163">
            <w:pPr>
              <w:pStyle w:val="445"/>
              <w:rPr>
                <w:rFonts w:cs="Times New Roman"/>
                <w:kern w:val="0"/>
                <w:szCs w:val="20"/>
              </w:rPr>
            </w:pPr>
            <w:r>
              <w:rPr>
                <w:rFonts w:hint="eastAsia" w:cs="Times New Roman"/>
                <w:kern w:val="0"/>
                <w:szCs w:val="20"/>
              </w:rPr>
              <w:t>6~9</w:t>
            </w:r>
          </w:p>
        </w:tc>
      </w:tr>
      <w:tr w14:paraId="337AE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5F08CFFA">
            <w:pPr>
              <w:pStyle w:val="445"/>
              <w:rPr>
                <w:rFonts w:cs="Times New Roman"/>
                <w:kern w:val="0"/>
                <w:szCs w:val="20"/>
              </w:rPr>
            </w:pPr>
            <w:r>
              <w:rPr>
                <w:rFonts w:hint="eastAsia" w:cs="Times New Roman"/>
                <w:kern w:val="0"/>
                <w:szCs w:val="20"/>
              </w:rPr>
              <w:t>2</w:t>
            </w:r>
          </w:p>
        </w:tc>
        <w:tc>
          <w:tcPr>
            <w:tcW w:w="900" w:type="pct"/>
            <w:vAlign w:val="center"/>
          </w:tcPr>
          <w:p w14:paraId="701FA021">
            <w:pPr>
              <w:pStyle w:val="445"/>
              <w:rPr>
                <w:rFonts w:cs="Times New Roman"/>
                <w:kern w:val="0"/>
                <w:szCs w:val="20"/>
              </w:rPr>
            </w:pPr>
            <w:r>
              <w:rPr>
                <w:rFonts w:cs="Times New Roman"/>
                <w:kern w:val="0"/>
                <w:szCs w:val="20"/>
              </w:rPr>
              <w:t>BOD</w:t>
            </w:r>
            <w:r>
              <w:rPr>
                <w:rFonts w:cs="Times New Roman"/>
                <w:kern w:val="0"/>
                <w:szCs w:val="20"/>
                <w:vertAlign w:val="subscript"/>
              </w:rPr>
              <w:t>5</w:t>
            </w:r>
          </w:p>
        </w:tc>
        <w:tc>
          <w:tcPr>
            <w:tcW w:w="557" w:type="pct"/>
            <w:vAlign w:val="center"/>
          </w:tcPr>
          <w:p w14:paraId="084F0AED">
            <w:pPr>
              <w:pStyle w:val="445"/>
              <w:rPr>
                <w:rFonts w:cs="Times New Roman"/>
                <w:kern w:val="0"/>
                <w:szCs w:val="20"/>
              </w:rPr>
            </w:pPr>
            <w:r>
              <w:rPr>
                <w:rFonts w:cs="Times New Roman"/>
                <w:kern w:val="0"/>
                <w:szCs w:val="20"/>
              </w:rPr>
              <w:t>120</w:t>
            </w:r>
          </w:p>
        </w:tc>
        <w:tc>
          <w:tcPr>
            <w:tcW w:w="814" w:type="pct"/>
            <w:vAlign w:val="center"/>
          </w:tcPr>
          <w:p w14:paraId="5B62E02A">
            <w:pPr>
              <w:pStyle w:val="445"/>
              <w:rPr>
                <w:rFonts w:cs="Times New Roman"/>
                <w:kern w:val="0"/>
                <w:szCs w:val="20"/>
              </w:rPr>
            </w:pPr>
            <w:r>
              <w:rPr>
                <w:rFonts w:cs="Times New Roman"/>
                <w:kern w:val="0"/>
                <w:szCs w:val="20"/>
              </w:rPr>
              <w:t>300</w:t>
            </w:r>
          </w:p>
        </w:tc>
        <w:tc>
          <w:tcPr>
            <w:tcW w:w="748" w:type="pct"/>
            <w:vAlign w:val="center"/>
          </w:tcPr>
          <w:p w14:paraId="4CD2202F">
            <w:pPr>
              <w:pStyle w:val="445"/>
              <w:rPr>
                <w:rFonts w:cs="Times New Roman"/>
                <w:kern w:val="0"/>
                <w:szCs w:val="20"/>
              </w:rPr>
            </w:pPr>
            <w:r>
              <w:rPr>
                <w:rFonts w:hint="eastAsia" w:cs="Times New Roman"/>
                <w:kern w:val="0"/>
                <w:szCs w:val="20"/>
              </w:rPr>
              <w:t>/</w:t>
            </w:r>
          </w:p>
        </w:tc>
        <w:tc>
          <w:tcPr>
            <w:tcW w:w="748" w:type="pct"/>
            <w:vAlign w:val="center"/>
          </w:tcPr>
          <w:p w14:paraId="7B3EA2B1">
            <w:pPr>
              <w:pStyle w:val="445"/>
              <w:rPr>
                <w:rFonts w:cs="Times New Roman"/>
                <w:kern w:val="0"/>
                <w:szCs w:val="20"/>
              </w:rPr>
            </w:pPr>
            <w:r>
              <w:rPr>
                <w:rFonts w:cs="Times New Roman"/>
                <w:kern w:val="0"/>
                <w:szCs w:val="20"/>
              </w:rPr>
              <w:t>120</w:t>
            </w:r>
          </w:p>
        </w:tc>
        <w:tc>
          <w:tcPr>
            <w:tcW w:w="923" w:type="pct"/>
            <w:vAlign w:val="center"/>
          </w:tcPr>
          <w:p w14:paraId="2CF44EAC">
            <w:pPr>
              <w:pStyle w:val="445"/>
              <w:rPr>
                <w:rFonts w:cs="Times New Roman"/>
                <w:kern w:val="0"/>
                <w:szCs w:val="20"/>
              </w:rPr>
            </w:pPr>
            <w:r>
              <w:rPr>
                <w:rFonts w:cs="Times New Roman"/>
                <w:kern w:val="0"/>
                <w:szCs w:val="20"/>
              </w:rPr>
              <w:t>10</w:t>
            </w:r>
          </w:p>
        </w:tc>
      </w:tr>
      <w:tr w14:paraId="35B36D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0CBEFD0E">
            <w:pPr>
              <w:pStyle w:val="445"/>
              <w:rPr>
                <w:rFonts w:cs="Times New Roman"/>
                <w:kern w:val="0"/>
                <w:szCs w:val="20"/>
              </w:rPr>
            </w:pPr>
            <w:r>
              <w:rPr>
                <w:rFonts w:hint="eastAsia" w:cs="Times New Roman"/>
                <w:kern w:val="0"/>
                <w:szCs w:val="20"/>
              </w:rPr>
              <w:t>3</w:t>
            </w:r>
          </w:p>
        </w:tc>
        <w:tc>
          <w:tcPr>
            <w:tcW w:w="900" w:type="pct"/>
            <w:vAlign w:val="center"/>
          </w:tcPr>
          <w:p w14:paraId="15FEBFC1">
            <w:pPr>
              <w:pStyle w:val="445"/>
              <w:rPr>
                <w:rFonts w:cs="Times New Roman"/>
                <w:kern w:val="0"/>
                <w:szCs w:val="20"/>
              </w:rPr>
            </w:pPr>
            <w:r>
              <w:rPr>
                <w:rFonts w:cs="Times New Roman"/>
                <w:kern w:val="0"/>
                <w:szCs w:val="20"/>
              </w:rPr>
              <w:t>COD</w:t>
            </w:r>
          </w:p>
        </w:tc>
        <w:tc>
          <w:tcPr>
            <w:tcW w:w="557" w:type="pct"/>
            <w:vAlign w:val="center"/>
          </w:tcPr>
          <w:p w14:paraId="690F1565">
            <w:pPr>
              <w:pStyle w:val="445"/>
              <w:rPr>
                <w:rFonts w:cs="Times New Roman"/>
                <w:kern w:val="0"/>
                <w:szCs w:val="20"/>
              </w:rPr>
            </w:pPr>
            <w:r>
              <w:rPr>
                <w:rFonts w:cs="Times New Roman"/>
                <w:kern w:val="0"/>
                <w:szCs w:val="20"/>
              </w:rPr>
              <w:t>500</w:t>
            </w:r>
          </w:p>
        </w:tc>
        <w:tc>
          <w:tcPr>
            <w:tcW w:w="814" w:type="pct"/>
            <w:vAlign w:val="center"/>
          </w:tcPr>
          <w:p w14:paraId="02B4AC12">
            <w:pPr>
              <w:pStyle w:val="445"/>
              <w:rPr>
                <w:rFonts w:cs="Times New Roman"/>
                <w:kern w:val="0"/>
                <w:szCs w:val="20"/>
              </w:rPr>
            </w:pPr>
            <w:r>
              <w:rPr>
                <w:rFonts w:hint="eastAsia" w:cs="Times New Roman"/>
                <w:kern w:val="0"/>
                <w:szCs w:val="20"/>
              </w:rPr>
              <w:t>500</w:t>
            </w:r>
          </w:p>
        </w:tc>
        <w:tc>
          <w:tcPr>
            <w:tcW w:w="748" w:type="pct"/>
            <w:vAlign w:val="center"/>
          </w:tcPr>
          <w:p w14:paraId="36FCA0C5">
            <w:pPr>
              <w:pStyle w:val="445"/>
              <w:rPr>
                <w:rFonts w:cs="Times New Roman"/>
                <w:kern w:val="0"/>
                <w:szCs w:val="20"/>
              </w:rPr>
            </w:pPr>
            <w:r>
              <w:rPr>
                <w:rFonts w:hint="eastAsia" w:cs="Times New Roman"/>
                <w:kern w:val="0"/>
                <w:szCs w:val="20"/>
              </w:rPr>
              <w:t>200</w:t>
            </w:r>
          </w:p>
        </w:tc>
        <w:tc>
          <w:tcPr>
            <w:tcW w:w="748" w:type="pct"/>
            <w:vAlign w:val="center"/>
          </w:tcPr>
          <w:p w14:paraId="6839E2FD">
            <w:pPr>
              <w:pStyle w:val="445"/>
              <w:rPr>
                <w:rFonts w:cs="Times New Roman"/>
                <w:kern w:val="0"/>
                <w:szCs w:val="20"/>
              </w:rPr>
            </w:pPr>
            <w:r>
              <w:rPr>
                <w:rFonts w:cs="Times New Roman"/>
                <w:kern w:val="0"/>
                <w:szCs w:val="20"/>
              </w:rPr>
              <w:t>200</w:t>
            </w:r>
          </w:p>
        </w:tc>
        <w:tc>
          <w:tcPr>
            <w:tcW w:w="923" w:type="pct"/>
            <w:vAlign w:val="center"/>
          </w:tcPr>
          <w:p w14:paraId="0FC5E373">
            <w:pPr>
              <w:pStyle w:val="445"/>
              <w:rPr>
                <w:rFonts w:cs="Times New Roman"/>
                <w:kern w:val="0"/>
                <w:szCs w:val="20"/>
              </w:rPr>
            </w:pPr>
            <w:r>
              <w:rPr>
                <w:rFonts w:hint="eastAsia" w:cs="Times New Roman"/>
                <w:kern w:val="0"/>
                <w:szCs w:val="20"/>
              </w:rPr>
              <w:t>50</w:t>
            </w:r>
          </w:p>
        </w:tc>
      </w:tr>
      <w:tr w14:paraId="63B5D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3F80509D">
            <w:pPr>
              <w:pStyle w:val="445"/>
              <w:rPr>
                <w:rFonts w:cs="Times New Roman"/>
                <w:kern w:val="0"/>
                <w:szCs w:val="20"/>
              </w:rPr>
            </w:pPr>
            <w:r>
              <w:rPr>
                <w:rFonts w:hint="eastAsia" w:cs="Times New Roman"/>
                <w:kern w:val="0"/>
                <w:szCs w:val="20"/>
              </w:rPr>
              <w:t>4</w:t>
            </w:r>
          </w:p>
        </w:tc>
        <w:tc>
          <w:tcPr>
            <w:tcW w:w="900" w:type="pct"/>
            <w:vAlign w:val="center"/>
          </w:tcPr>
          <w:p w14:paraId="38A15C32">
            <w:pPr>
              <w:pStyle w:val="445"/>
              <w:rPr>
                <w:rFonts w:cs="Times New Roman"/>
                <w:kern w:val="0"/>
                <w:szCs w:val="20"/>
              </w:rPr>
            </w:pPr>
            <w:r>
              <w:rPr>
                <w:rFonts w:cs="Times New Roman"/>
                <w:kern w:val="0"/>
                <w:szCs w:val="20"/>
              </w:rPr>
              <w:t>SS</w:t>
            </w:r>
          </w:p>
        </w:tc>
        <w:tc>
          <w:tcPr>
            <w:tcW w:w="557" w:type="pct"/>
            <w:vAlign w:val="center"/>
          </w:tcPr>
          <w:p w14:paraId="215AB6BE">
            <w:pPr>
              <w:pStyle w:val="445"/>
              <w:rPr>
                <w:rFonts w:cs="Times New Roman"/>
                <w:kern w:val="0"/>
                <w:szCs w:val="20"/>
              </w:rPr>
            </w:pPr>
            <w:r>
              <w:rPr>
                <w:rFonts w:cs="Times New Roman"/>
                <w:kern w:val="0"/>
                <w:szCs w:val="20"/>
              </w:rPr>
              <w:t>200</w:t>
            </w:r>
          </w:p>
        </w:tc>
        <w:tc>
          <w:tcPr>
            <w:tcW w:w="814" w:type="pct"/>
            <w:vAlign w:val="center"/>
          </w:tcPr>
          <w:p w14:paraId="302162ED">
            <w:pPr>
              <w:pStyle w:val="445"/>
              <w:rPr>
                <w:rFonts w:cs="Times New Roman"/>
                <w:kern w:val="0"/>
                <w:szCs w:val="20"/>
              </w:rPr>
            </w:pPr>
            <w:r>
              <w:rPr>
                <w:rFonts w:cs="Times New Roman"/>
                <w:kern w:val="0"/>
                <w:szCs w:val="20"/>
              </w:rPr>
              <w:t>400</w:t>
            </w:r>
          </w:p>
        </w:tc>
        <w:tc>
          <w:tcPr>
            <w:tcW w:w="748" w:type="pct"/>
            <w:vAlign w:val="center"/>
          </w:tcPr>
          <w:p w14:paraId="4E71345B">
            <w:pPr>
              <w:pStyle w:val="445"/>
              <w:rPr>
                <w:rFonts w:cs="Times New Roman"/>
                <w:kern w:val="0"/>
                <w:szCs w:val="20"/>
              </w:rPr>
            </w:pPr>
            <w:r>
              <w:rPr>
                <w:rFonts w:hint="eastAsia" w:cs="Times New Roman"/>
                <w:kern w:val="0"/>
                <w:szCs w:val="20"/>
              </w:rPr>
              <w:t>100</w:t>
            </w:r>
          </w:p>
        </w:tc>
        <w:tc>
          <w:tcPr>
            <w:tcW w:w="748" w:type="pct"/>
            <w:vAlign w:val="center"/>
          </w:tcPr>
          <w:p w14:paraId="0BDCF804">
            <w:pPr>
              <w:pStyle w:val="445"/>
              <w:rPr>
                <w:rFonts w:cs="Times New Roman"/>
                <w:kern w:val="0"/>
                <w:szCs w:val="20"/>
              </w:rPr>
            </w:pPr>
            <w:r>
              <w:rPr>
                <w:rFonts w:cs="Times New Roman"/>
                <w:kern w:val="0"/>
                <w:szCs w:val="20"/>
              </w:rPr>
              <w:t>100</w:t>
            </w:r>
          </w:p>
        </w:tc>
        <w:tc>
          <w:tcPr>
            <w:tcW w:w="923" w:type="pct"/>
            <w:vAlign w:val="center"/>
          </w:tcPr>
          <w:p w14:paraId="372363BB">
            <w:pPr>
              <w:pStyle w:val="445"/>
              <w:rPr>
                <w:rFonts w:cs="Times New Roman"/>
                <w:kern w:val="0"/>
                <w:szCs w:val="20"/>
              </w:rPr>
            </w:pPr>
            <w:r>
              <w:rPr>
                <w:rFonts w:cs="Times New Roman"/>
                <w:kern w:val="0"/>
                <w:szCs w:val="20"/>
              </w:rPr>
              <w:t>10</w:t>
            </w:r>
          </w:p>
        </w:tc>
      </w:tr>
      <w:tr w14:paraId="5B65B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514DE37D">
            <w:pPr>
              <w:pStyle w:val="445"/>
              <w:rPr>
                <w:rFonts w:cs="Times New Roman"/>
                <w:kern w:val="0"/>
                <w:szCs w:val="20"/>
              </w:rPr>
            </w:pPr>
            <w:r>
              <w:rPr>
                <w:rFonts w:hint="eastAsia" w:cs="Times New Roman"/>
                <w:kern w:val="0"/>
                <w:szCs w:val="20"/>
              </w:rPr>
              <w:t>5</w:t>
            </w:r>
          </w:p>
        </w:tc>
        <w:tc>
          <w:tcPr>
            <w:tcW w:w="900" w:type="pct"/>
            <w:vAlign w:val="center"/>
          </w:tcPr>
          <w:p w14:paraId="341D2101">
            <w:pPr>
              <w:pStyle w:val="445"/>
              <w:rPr>
                <w:rFonts w:cs="Times New Roman"/>
                <w:kern w:val="0"/>
                <w:szCs w:val="20"/>
              </w:rPr>
            </w:pPr>
            <w:r>
              <w:rPr>
                <w:rFonts w:cs="Times New Roman"/>
                <w:kern w:val="0"/>
                <w:szCs w:val="20"/>
              </w:rPr>
              <w:t>氨氮</w:t>
            </w:r>
          </w:p>
        </w:tc>
        <w:tc>
          <w:tcPr>
            <w:tcW w:w="557" w:type="pct"/>
            <w:vAlign w:val="center"/>
          </w:tcPr>
          <w:p w14:paraId="5C880119">
            <w:pPr>
              <w:pStyle w:val="445"/>
              <w:rPr>
                <w:rFonts w:cs="Times New Roman"/>
                <w:kern w:val="0"/>
                <w:szCs w:val="20"/>
              </w:rPr>
            </w:pPr>
            <w:r>
              <w:rPr>
                <w:rFonts w:cs="Times New Roman"/>
                <w:kern w:val="0"/>
                <w:szCs w:val="20"/>
              </w:rPr>
              <w:t>30</w:t>
            </w:r>
          </w:p>
        </w:tc>
        <w:tc>
          <w:tcPr>
            <w:tcW w:w="814" w:type="pct"/>
            <w:vAlign w:val="center"/>
          </w:tcPr>
          <w:p w14:paraId="689EFED6">
            <w:pPr>
              <w:pStyle w:val="445"/>
              <w:rPr>
                <w:rFonts w:cs="Times New Roman"/>
                <w:kern w:val="0"/>
                <w:szCs w:val="20"/>
              </w:rPr>
            </w:pPr>
            <w:r>
              <w:rPr>
                <w:rFonts w:hint="eastAsia" w:cs="Times New Roman"/>
                <w:kern w:val="0"/>
                <w:szCs w:val="20"/>
              </w:rPr>
              <w:t>/</w:t>
            </w:r>
          </w:p>
        </w:tc>
        <w:tc>
          <w:tcPr>
            <w:tcW w:w="748" w:type="pct"/>
            <w:vAlign w:val="center"/>
          </w:tcPr>
          <w:p w14:paraId="574B76EF">
            <w:pPr>
              <w:pStyle w:val="445"/>
              <w:rPr>
                <w:rFonts w:cs="Times New Roman"/>
                <w:kern w:val="0"/>
                <w:szCs w:val="20"/>
              </w:rPr>
            </w:pPr>
            <w:r>
              <w:rPr>
                <w:rFonts w:hint="eastAsia" w:cs="Times New Roman"/>
                <w:kern w:val="0"/>
                <w:szCs w:val="20"/>
              </w:rPr>
              <w:t>40</w:t>
            </w:r>
          </w:p>
        </w:tc>
        <w:tc>
          <w:tcPr>
            <w:tcW w:w="748" w:type="pct"/>
            <w:vAlign w:val="center"/>
          </w:tcPr>
          <w:p w14:paraId="36A34104">
            <w:pPr>
              <w:pStyle w:val="445"/>
              <w:rPr>
                <w:rFonts w:cs="Times New Roman"/>
                <w:kern w:val="0"/>
                <w:szCs w:val="20"/>
              </w:rPr>
            </w:pPr>
            <w:r>
              <w:rPr>
                <w:rFonts w:cs="Times New Roman"/>
                <w:kern w:val="0"/>
                <w:szCs w:val="20"/>
              </w:rPr>
              <w:t>30</w:t>
            </w:r>
          </w:p>
        </w:tc>
        <w:tc>
          <w:tcPr>
            <w:tcW w:w="923" w:type="pct"/>
            <w:vAlign w:val="center"/>
          </w:tcPr>
          <w:p w14:paraId="30021829">
            <w:pPr>
              <w:pStyle w:val="445"/>
              <w:rPr>
                <w:rFonts w:cs="Times New Roman"/>
                <w:kern w:val="0"/>
                <w:szCs w:val="20"/>
              </w:rPr>
            </w:pPr>
            <w:r>
              <w:rPr>
                <w:rFonts w:hint="eastAsia" w:cs="Times New Roman"/>
                <w:kern w:val="0"/>
                <w:szCs w:val="20"/>
              </w:rPr>
              <w:t>5（8）</w:t>
            </w:r>
          </w:p>
        </w:tc>
      </w:tr>
      <w:tr w14:paraId="5F814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2C6CAF37">
            <w:pPr>
              <w:pStyle w:val="445"/>
              <w:rPr>
                <w:rFonts w:cs="Times New Roman"/>
                <w:kern w:val="0"/>
                <w:szCs w:val="20"/>
              </w:rPr>
            </w:pPr>
            <w:r>
              <w:rPr>
                <w:rFonts w:cs="Times New Roman"/>
                <w:kern w:val="0"/>
                <w:szCs w:val="20"/>
              </w:rPr>
              <w:t>6</w:t>
            </w:r>
          </w:p>
        </w:tc>
        <w:tc>
          <w:tcPr>
            <w:tcW w:w="900" w:type="pct"/>
            <w:vAlign w:val="center"/>
          </w:tcPr>
          <w:p w14:paraId="608AAC3E">
            <w:pPr>
              <w:pStyle w:val="445"/>
              <w:rPr>
                <w:rFonts w:cs="Times New Roman"/>
                <w:kern w:val="0"/>
                <w:szCs w:val="20"/>
              </w:rPr>
            </w:pPr>
            <w:r>
              <w:rPr>
                <w:rFonts w:hint="eastAsia" w:cs="Times New Roman"/>
                <w:kern w:val="0"/>
                <w:szCs w:val="20"/>
              </w:rPr>
              <w:t>T</w:t>
            </w:r>
            <w:r>
              <w:rPr>
                <w:rFonts w:cs="Times New Roman"/>
                <w:kern w:val="0"/>
                <w:szCs w:val="20"/>
              </w:rPr>
              <w:t>P</w:t>
            </w:r>
          </w:p>
        </w:tc>
        <w:tc>
          <w:tcPr>
            <w:tcW w:w="557" w:type="pct"/>
            <w:vAlign w:val="center"/>
          </w:tcPr>
          <w:p w14:paraId="42FEA981">
            <w:pPr>
              <w:pStyle w:val="445"/>
              <w:rPr>
                <w:rFonts w:cs="Times New Roman"/>
                <w:kern w:val="0"/>
                <w:szCs w:val="20"/>
              </w:rPr>
            </w:pPr>
            <w:r>
              <w:rPr>
                <w:rFonts w:cs="Times New Roman"/>
                <w:kern w:val="0"/>
                <w:szCs w:val="20"/>
              </w:rPr>
              <w:t>3.5</w:t>
            </w:r>
          </w:p>
        </w:tc>
        <w:tc>
          <w:tcPr>
            <w:tcW w:w="814" w:type="pct"/>
            <w:vAlign w:val="center"/>
          </w:tcPr>
          <w:p w14:paraId="3EB991AE">
            <w:pPr>
              <w:pStyle w:val="445"/>
              <w:rPr>
                <w:rFonts w:cs="Times New Roman"/>
                <w:kern w:val="0"/>
                <w:szCs w:val="20"/>
              </w:rPr>
            </w:pPr>
            <w:r>
              <w:rPr>
                <w:rFonts w:hint="eastAsia" w:cs="Times New Roman"/>
                <w:kern w:val="0"/>
                <w:szCs w:val="20"/>
              </w:rPr>
              <w:t>/</w:t>
            </w:r>
          </w:p>
        </w:tc>
        <w:tc>
          <w:tcPr>
            <w:tcW w:w="748" w:type="pct"/>
            <w:vAlign w:val="center"/>
          </w:tcPr>
          <w:p w14:paraId="5FE4DDDA">
            <w:pPr>
              <w:pStyle w:val="445"/>
              <w:rPr>
                <w:rFonts w:cs="Times New Roman"/>
                <w:kern w:val="0"/>
                <w:szCs w:val="20"/>
              </w:rPr>
            </w:pPr>
            <w:r>
              <w:rPr>
                <w:rFonts w:hint="eastAsia" w:cs="Times New Roman"/>
                <w:kern w:val="0"/>
                <w:szCs w:val="20"/>
              </w:rPr>
              <w:t>2</w:t>
            </w:r>
          </w:p>
        </w:tc>
        <w:tc>
          <w:tcPr>
            <w:tcW w:w="748" w:type="pct"/>
            <w:vAlign w:val="center"/>
          </w:tcPr>
          <w:p w14:paraId="7016958D">
            <w:pPr>
              <w:pStyle w:val="445"/>
              <w:rPr>
                <w:rFonts w:cs="Times New Roman"/>
                <w:kern w:val="0"/>
                <w:szCs w:val="20"/>
              </w:rPr>
            </w:pPr>
            <w:r>
              <w:rPr>
                <w:rFonts w:cs="Times New Roman"/>
                <w:kern w:val="0"/>
                <w:szCs w:val="20"/>
              </w:rPr>
              <w:t>2</w:t>
            </w:r>
          </w:p>
        </w:tc>
        <w:tc>
          <w:tcPr>
            <w:tcW w:w="923" w:type="pct"/>
            <w:vAlign w:val="center"/>
          </w:tcPr>
          <w:p w14:paraId="2D743E28">
            <w:pPr>
              <w:pStyle w:val="445"/>
              <w:rPr>
                <w:rFonts w:cs="Times New Roman"/>
                <w:kern w:val="0"/>
                <w:szCs w:val="20"/>
              </w:rPr>
            </w:pPr>
            <w:r>
              <w:rPr>
                <w:rFonts w:hint="eastAsia" w:cs="Times New Roman"/>
                <w:kern w:val="0"/>
                <w:szCs w:val="20"/>
              </w:rPr>
              <w:t>0.5</w:t>
            </w:r>
          </w:p>
        </w:tc>
      </w:tr>
      <w:tr w14:paraId="172A89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7DD2596D">
            <w:pPr>
              <w:pStyle w:val="445"/>
              <w:rPr>
                <w:rFonts w:cs="Times New Roman"/>
                <w:kern w:val="0"/>
                <w:szCs w:val="20"/>
              </w:rPr>
            </w:pPr>
            <w:r>
              <w:rPr>
                <w:rFonts w:cs="Times New Roman"/>
                <w:kern w:val="0"/>
                <w:szCs w:val="20"/>
              </w:rPr>
              <w:t>7</w:t>
            </w:r>
          </w:p>
        </w:tc>
        <w:tc>
          <w:tcPr>
            <w:tcW w:w="900" w:type="pct"/>
            <w:vAlign w:val="center"/>
          </w:tcPr>
          <w:p w14:paraId="09BDA7F5">
            <w:pPr>
              <w:pStyle w:val="445"/>
              <w:rPr>
                <w:rFonts w:cs="Times New Roman"/>
                <w:kern w:val="0"/>
                <w:szCs w:val="20"/>
              </w:rPr>
            </w:pPr>
            <w:r>
              <w:rPr>
                <w:rFonts w:cs="Times New Roman"/>
                <w:kern w:val="0"/>
                <w:szCs w:val="20"/>
              </w:rPr>
              <w:t>氟化物</w:t>
            </w:r>
          </w:p>
        </w:tc>
        <w:tc>
          <w:tcPr>
            <w:tcW w:w="557" w:type="pct"/>
            <w:vAlign w:val="center"/>
          </w:tcPr>
          <w:p w14:paraId="4BE11122">
            <w:pPr>
              <w:pStyle w:val="445"/>
              <w:rPr>
                <w:rFonts w:cs="Times New Roman"/>
                <w:kern w:val="0"/>
                <w:szCs w:val="20"/>
              </w:rPr>
            </w:pPr>
            <w:r>
              <w:rPr>
                <w:rFonts w:cs="Times New Roman"/>
                <w:kern w:val="0"/>
                <w:szCs w:val="20"/>
              </w:rPr>
              <w:t>6</w:t>
            </w:r>
          </w:p>
        </w:tc>
        <w:tc>
          <w:tcPr>
            <w:tcW w:w="814" w:type="pct"/>
            <w:vAlign w:val="center"/>
          </w:tcPr>
          <w:p w14:paraId="145B28DC">
            <w:pPr>
              <w:pStyle w:val="445"/>
              <w:rPr>
                <w:rFonts w:cs="Times New Roman"/>
                <w:kern w:val="0"/>
                <w:szCs w:val="20"/>
              </w:rPr>
            </w:pPr>
            <w:r>
              <w:rPr>
                <w:rFonts w:hint="eastAsia" w:cs="Times New Roman"/>
                <w:kern w:val="0"/>
                <w:szCs w:val="20"/>
              </w:rPr>
              <w:t>20</w:t>
            </w:r>
          </w:p>
        </w:tc>
        <w:tc>
          <w:tcPr>
            <w:tcW w:w="748" w:type="pct"/>
            <w:vAlign w:val="center"/>
          </w:tcPr>
          <w:p w14:paraId="62F34CA3">
            <w:pPr>
              <w:pStyle w:val="445"/>
              <w:rPr>
                <w:rFonts w:cs="Times New Roman"/>
                <w:kern w:val="0"/>
                <w:szCs w:val="20"/>
              </w:rPr>
            </w:pPr>
            <w:r>
              <w:rPr>
                <w:rFonts w:hint="eastAsia" w:cs="Times New Roman"/>
                <w:kern w:val="0"/>
                <w:szCs w:val="20"/>
              </w:rPr>
              <w:t>6</w:t>
            </w:r>
          </w:p>
        </w:tc>
        <w:tc>
          <w:tcPr>
            <w:tcW w:w="748" w:type="pct"/>
            <w:vAlign w:val="center"/>
          </w:tcPr>
          <w:p w14:paraId="083B3BCB">
            <w:pPr>
              <w:pStyle w:val="445"/>
              <w:rPr>
                <w:rFonts w:cs="Times New Roman"/>
                <w:kern w:val="0"/>
                <w:szCs w:val="20"/>
              </w:rPr>
            </w:pPr>
            <w:r>
              <w:rPr>
                <w:rFonts w:cs="Times New Roman"/>
                <w:kern w:val="0"/>
                <w:szCs w:val="20"/>
              </w:rPr>
              <w:t>6</w:t>
            </w:r>
          </w:p>
        </w:tc>
        <w:tc>
          <w:tcPr>
            <w:tcW w:w="923" w:type="pct"/>
            <w:vAlign w:val="center"/>
          </w:tcPr>
          <w:p w14:paraId="6371933D">
            <w:pPr>
              <w:pStyle w:val="445"/>
              <w:rPr>
                <w:rFonts w:cs="Times New Roman"/>
                <w:kern w:val="0"/>
                <w:szCs w:val="20"/>
              </w:rPr>
            </w:pPr>
            <w:r>
              <w:rPr>
                <w:rFonts w:hint="eastAsia" w:cs="Times New Roman"/>
                <w:kern w:val="0"/>
                <w:szCs w:val="20"/>
              </w:rPr>
              <w:t>/</w:t>
            </w:r>
          </w:p>
        </w:tc>
      </w:tr>
      <w:tr w14:paraId="6FDCDC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 w:type="pct"/>
            <w:vAlign w:val="center"/>
          </w:tcPr>
          <w:p w14:paraId="55F2034D">
            <w:pPr>
              <w:pStyle w:val="445"/>
              <w:rPr>
                <w:rFonts w:cs="Times New Roman"/>
                <w:kern w:val="0"/>
                <w:szCs w:val="20"/>
              </w:rPr>
            </w:pPr>
            <w:r>
              <w:rPr>
                <w:rFonts w:cs="Times New Roman"/>
                <w:kern w:val="0"/>
                <w:szCs w:val="20"/>
              </w:rPr>
              <w:t>8</w:t>
            </w:r>
          </w:p>
        </w:tc>
        <w:tc>
          <w:tcPr>
            <w:tcW w:w="900" w:type="pct"/>
            <w:vAlign w:val="center"/>
          </w:tcPr>
          <w:p w14:paraId="4075884D">
            <w:pPr>
              <w:pStyle w:val="445"/>
              <w:rPr>
                <w:rFonts w:cs="Times New Roman"/>
                <w:kern w:val="0"/>
                <w:szCs w:val="20"/>
              </w:rPr>
            </w:pPr>
            <w:r>
              <w:rPr>
                <w:rFonts w:hint="eastAsia" w:cs="Times New Roman"/>
                <w:kern w:val="0"/>
                <w:szCs w:val="20"/>
              </w:rPr>
              <w:t>总盐</w:t>
            </w:r>
          </w:p>
        </w:tc>
        <w:tc>
          <w:tcPr>
            <w:tcW w:w="557" w:type="pct"/>
            <w:vAlign w:val="center"/>
          </w:tcPr>
          <w:p w14:paraId="77FAB7F4">
            <w:pPr>
              <w:pStyle w:val="445"/>
              <w:rPr>
                <w:rFonts w:cs="Times New Roman"/>
                <w:kern w:val="0"/>
                <w:szCs w:val="20"/>
              </w:rPr>
            </w:pPr>
            <w:r>
              <w:rPr>
                <w:rFonts w:cs="Times New Roman"/>
                <w:kern w:val="0"/>
                <w:szCs w:val="20"/>
              </w:rPr>
              <w:t>6000</w:t>
            </w:r>
          </w:p>
        </w:tc>
        <w:tc>
          <w:tcPr>
            <w:tcW w:w="814" w:type="pct"/>
            <w:vAlign w:val="center"/>
          </w:tcPr>
          <w:p w14:paraId="686FFE81">
            <w:pPr>
              <w:pStyle w:val="445"/>
              <w:rPr>
                <w:rFonts w:cs="Times New Roman"/>
                <w:kern w:val="0"/>
                <w:szCs w:val="20"/>
              </w:rPr>
            </w:pPr>
            <w:r>
              <w:rPr>
                <w:rFonts w:cs="Times New Roman"/>
                <w:kern w:val="0"/>
                <w:szCs w:val="20"/>
              </w:rPr>
              <w:t>/</w:t>
            </w:r>
          </w:p>
        </w:tc>
        <w:tc>
          <w:tcPr>
            <w:tcW w:w="748" w:type="pct"/>
            <w:vAlign w:val="center"/>
          </w:tcPr>
          <w:p w14:paraId="04FB799D">
            <w:pPr>
              <w:pStyle w:val="445"/>
              <w:rPr>
                <w:rFonts w:cs="Times New Roman"/>
                <w:kern w:val="0"/>
                <w:szCs w:val="20"/>
              </w:rPr>
            </w:pPr>
            <w:r>
              <w:rPr>
                <w:rFonts w:cs="Times New Roman"/>
                <w:kern w:val="0"/>
                <w:szCs w:val="20"/>
              </w:rPr>
              <w:t>/</w:t>
            </w:r>
          </w:p>
        </w:tc>
        <w:tc>
          <w:tcPr>
            <w:tcW w:w="748" w:type="pct"/>
            <w:vAlign w:val="center"/>
          </w:tcPr>
          <w:p w14:paraId="2B83863D">
            <w:pPr>
              <w:pStyle w:val="445"/>
              <w:rPr>
                <w:rFonts w:cs="Times New Roman"/>
                <w:kern w:val="0"/>
                <w:szCs w:val="20"/>
              </w:rPr>
            </w:pPr>
            <w:r>
              <w:rPr>
                <w:rFonts w:cs="Times New Roman"/>
                <w:kern w:val="0"/>
                <w:szCs w:val="20"/>
              </w:rPr>
              <w:t>6000</w:t>
            </w:r>
          </w:p>
        </w:tc>
        <w:tc>
          <w:tcPr>
            <w:tcW w:w="923" w:type="pct"/>
            <w:vAlign w:val="center"/>
          </w:tcPr>
          <w:p w14:paraId="6FC190CC">
            <w:pPr>
              <w:pStyle w:val="445"/>
              <w:rPr>
                <w:rFonts w:cs="Times New Roman"/>
                <w:kern w:val="0"/>
                <w:szCs w:val="20"/>
              </w:rPr>
            </w:pPr>
            <w:r>
              <w:rPr>
                <w:rFonts w:hint="eastAsia" w:cs="Times New Roman"/>
                <w:kern w:val="0"/>
                <w:szCs w:val="20"/>
              </w:rPr>
              <w:t>/</w:t>
            </w:r>
          </w:p>
        </w:tc>
      </w:tr>
    </w:tbl>
    <w:p w14:paraId="2FB3C1F8">
      <w:pPr>
        <w:pStyle w:val="349"/>
        <w:rPr>
          <w:szCs w:val="24"/>
        </w:rPr>
      </w:pPr>
      <w:r>
        <w:rPr>
          <w:rFonts w:hint="eastAsia"/>
        </w:rPr>
        <w:t>2</w:t>
      </w:r>
      <w:r>
        <w:t>.2.3.3</w:t>
      </w:r>
      <w:r>
        <w:rPr>
          <w:rFonts w:hint="eastAsia"/>
        </w:rPr>
        <w:t>地下水评价标准</w:t>
      </w:r>
    </w:p>
    <w:p w14:paraId="1E252222">
      <w:pPr>
        <w:ind w:firstLine="480"/>
      </w:pPr>
      <w:r>
        <w:t>地下水执行《地下水质量标准》（GB/T14848-2017）</w:t>
      </w:r>
      <w:r>
        <w:rPr>
          <w:rFonts w:hint="eastAsia"/>
        </w:rPr>
        <w:t>中的Ⅲ类标准</w:t>
      </w:r>
      <w:r>
        <w:t>，见表2.2.3-7</w:t>
      </w:r>
      <w:r>
        <w:rPr>
          <w:rFonts w:hint="eastAsia" w:ascii="宋体" w:hAnsi="宋体"/>
        </w:rPr>
        <w:t>。</w:t>
      </w:r>
    </w:p>
    <w:p w14:paraId="119B406E">
      <w:pPr>
        <w:pStyle w:val="278"/>
      </w:pPr>
      <w:r>
        <w:rPr>
          <w:rFonts w:hint="eastAsia"/>
        </w:rPr>
        <w:t>表</w:t>
      </w:r>
      <w:r>
        <w:t xml:space="preserve">2.2.3-7  </w:t>
      </w:r>
      <w:r>
        <w:rPr>
          <w:rFonts w:hint="eastAsia"/>
        </w:rPr>
        <w:t>地下水环境质量标准</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84"/>
        <w:gridCol w:w="1187"/>
        <w:gridCol w:w="1593"/>
        <w:gridCol w:w="1336"/>
        <w:gridCol w:w="1708"/>
        <w:gridCol w:w="1534"/>
      </w:tblGrid>
      <w:tr w14:paraId="62ABF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DF6B550">
            <w:pPr>
              <w:pStyle w:val="445"/>
              <w:rPr>
                <w:rFonts w:cs="Times New Roman"/>
                <w:kern w:val="0"/>
                <w:szCs w:val="20"/>
              </w:rPr>
            </w:pPr>
            <w:r>
              <w:rPr>
                <w:rFonts w:cs="Times New Roman"/>
                <w:kern w:val="0"/>
                <w:szCs w:val="20"/>
              </w:rPr>
              <w:t>项目/类别</w:t>
            </w:r>
          </w:p>
        </w:tc>
        <w:tc>
          <w:tcPr>
            <w:tcW w:w="642" w:type="pct"/>
            <w:vAlign w:val="center"/>
          </w:tcPr>
          <w:p w14:paraId="0C96A278">
            <w:pPr>
              <w:pStyle w:val="445"/>
              <w:rPr>
                <w:rFonts w:cs="Times New Roman"/>
                <w:kern w:val="0"/>
                <w:szCs w:val="20"/>
              </w:rPr>
            </w:pPr>
            <w:r>
              <w:rPr>
                <w:rFonts w:hint="eastAsia" w:ascii="宋体" w:hAnsi="宋体" w:cs="宋体"/>
                <w:kern w:val="0"/>
                <w:szCs w:val="20"/>
              </w:rPr>
              <w:t>Ⅰ</w:t>
            </w:r>
          </w:p>
        </w:tc>
        <w:tc>
          <w:tcPr>
            <w:tcW w:w="862" w:type="pct"/>
            <w:vAlign w:val="center"/>
          </w:tcPr>
          <w:p w14:paraId="09E3985C">
            <w:pPr>
              <w:pStyle w:val="445"/>
              <w:rPr>
                <w:rFonts w:cs="Times New Roman"/>
                <w:kern w:val="0"/>
                <w:szCs w:val="20"/>
              </w:rPr>
            </w:pPr>
            <w:r>
              <w:rPr>
                <w:rFonts w:hint="eastAsia" w:ascii="宋体" w:hAnsi="宋体" w:cs="宋体"/>
                <w:kern w:val="0"/>
                <w:szCs w:val="20"/>
              </w:rPr>
              <w:t>Ⅱ</w:t>
            </w:r>
          </w:p>
        </w:tc>
        <w:tc>
          <w:tcPr>
            <w:tcW w:w="723" w:type="pct"/>
            <w:vAlign w:val="center"/>
          </w:tcPr>
          <w:p w14:paraId="7B58AED3">
            <w:pPr>
              <w:pStyle w:val="445"/>
              <w:rPr>
                <w:rFonts w:cs="Times New Roman"/>
                <w:kern w:val="0"/>
                <w:szCs w:val="20"/>
              </w:rPr>
            </w:pPr>
            <w:r>
              <w:rPr>
                <w:rFonts w:hint="eastAsia" w:ascii="宋体" w:hAnsi="宋体" w:cs="宋体"/>
                <w:kern w:val="0"/>
                <w:szCs w:val="20"/>
              </w:rPr>
              <w:t>Ⅲ</w:t>
            </w:r>
          </w:p>
        </w:tc>
        <w:tc>
          <w:tcPr>
            <w:tcW w:w="924" w:type="pct"/>
            <w:vAlign w:val="center"/>
          </w:tcPr>
          <w:p w14:paraId="1437D7B4">
            <w:pPr>
              <w:pStyle w:val="445"/>
              <w:rPr>
                <w:rFonts w:cs="Times New Roman"/>
                <w:kern w:val="0"/>
                <w:szCs w:val="20"/>
              </w:rPr>
            </w:pPr>
            <w:r>
              <w:rPr>
                <w:rFonts w:hint="eastAsia" w:ascii="宋体" w:hAnsi="宋体" w:cs="宋体"/>
                <w:kern w:val="0"/>
                <w:szCs w:val="20"/>
              </w:rPr>
              <w:t>Ⅳ</w:t>
            </w:r>
          </w:p>
        </w:tc>
        <w:tc>
          <w:tcPr>
            <w:tcW w:w="830" w:type="pct"/>
            <w:vAlign w:val="center"/>
          </w:tcPr>
          <w:p w14:paraId="3D5AE264">
            <w:pPr>
              <w:pStyle w:val="445"/>
              <w:rPr>
                <w:rFonts w:cs="Times New Roman"/>
                <w:kern w:val="0"/>
                <w:szCs w:val="20"/>
              </w:rPr>
            </w:pPr>
            <w:r>
              <w:rPr>
                <w:rFonts w:hint="eastAsia" w:ascii="宋体" w:hAnsi="宋体" w:cs="宋体"/>
                <w:kern w:val="0"/>
                <w:szCs w:val="20"/>
              </w:rPr>
              <w:t>Ⅴ</w:t>
            </w:r>
          </w:p>
        </w:tc>
      </w:tr>
      <w:tr w14:paraId="38AB3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9AACD78">
            <w:pPr>
              <w:pStyle w:val="445"/>
              <w:rPr>
                <w:rFonts w:cs="Times New Roman"/>
                <w:kern w:val="0"/>
                <w:szCs w:val="20"/>
              </w:rPr>
            </w:pPr>
            <w:r>
              <w:rPr>
                <w:rFonts w:cs="Times New Roman"/>
                <w:kern w:val="0"/>
                <w:szCs w:val="20"/>
              </w:rPr>
              <w:t>pH</w:t>
            </w:r>
          </w:p>
        </w:tc>
        <w:tc>
          <w:tcPr>
            <w:tcW w:w="2227" w:type="pct"/>
            <w:gridSpan w:val="3"/>
            <w:vAlign w:val="center"/>
          </w:tcPr>
          <w:p w14:paraId="28997AB8">
            <w:pPr>
              <w:pStyle w:val="445"/>
              <w:rPr>
                <w:rFonts w:cs="Times New Roman"/>
                <w:kern w:val="0"/>
                <w:szCs w:val="20"/>
              </w:rPr>
            </w:pPr>
            <w:r>
              <w:rPr>
                <w:rFonts w:cs="Times New Roman"/>
                <w:kern w:val="0"/>
                <w:szCs w:val="20"/>
              </w:rPr>
              <w:t>6.5≤pH≤8.5</w:t>
            </w:r>
          </w:p>
        </w:tc>
        <w:tc>
          <w:tcPr>
            <w:tcW w:w="924" w:type="pct"/>
            <w:vAlign w:val="center"/>
          </w:tcPr>
          <w:p w14:paraId="23059DB7">
            <w:pPr>
              <w:pStyle w:val="445"/>
              <w:rPr>
                <w:rFonts w:cs="Times New Roman"/>
                <w:kern w:val="0"/>
                <w:szCs w:val="20"/>
              </w:rPr>
            </w:pPr>
            <w:r>
              <w:rPr>
                <w:rFonts w:cs="Times New Roman"/>
                <w:kern w:val="0"/>
                <w:szCs w:val="20"/>
              </w:rPr>
              <w:t>5.5≤pH</w:t>
            </w:r>
            <w:r>
              <w:rPr>
                <w:rFonts w:hint="eastAsia" w:cs="Times New Roman"/>
                <w:kern w:val="0"/>
                <w:szCs w:val="20"/>
              </w:rPr>
              <w:t>&lt;</w:t>
            </w:r>
            <w:r>
              <w:rPr>
                <w:rFonts w:cs="Times New Roman"/>
                <w:kern w:val="0"/>
                <w:szCs w:val="20"/>
              </w:rPr>
              <w:t>6.5</w:t>
            </w:r>
          </w:p>
          <w:p w14:paraId="29804A27">
            <w:pPr>
              <w:pStyle w:val="445"/>
              <w:rPr>
                <w:rFonts w:cs="Times New Roman"/>
                <w:kern w:val="0"/>
                <w:szCs w:val="20"/>
              </w:rPr>
            </w:pPr>
            <w:r>
              <w:rPr>
                <w:rFonts w:cs="Times New Roman"/>
                <w:kern w:val="0"/>
                <w:szCs w:val="20"/>
              </w:rPr>
              <w:t>8.5&lt;pH≤9</w:t>
            </w:r>
          </w:p>
        </w:tc>
        <w:tc>
          <w:tcPr>
            <w:tcW w:w="830" w:type="pct"/>
            <w:vAlign w:val="center"/>
          </w:tcPr>
          <w:p w14:paraId="39A97763">
            <w:pPr>
              <w:pStyle w:val="445"/>
              <w:rPr>
                <w:rFonts w:cs="Times New Roman"/>
                <w:kern w:val="0"/>
                <w:szCs w:val="20"/>
              </w:rPr>
            </w:pPr>
            <w:r>
              <w:rPr>
                <w:rFonts w:hint="eastAsia" w:cs="Times New Roman"/>
                <w:kern w:val="0"/>
                <w:szCs w:val="20"/>
              </w:rPr>
              <w:t>pH</w:t>
            </w:r>
            <w:r>
              <w:rPr>
                <w:rFonts w:cs="Times New Roman"/>
                <w:kern w:val="0"/>
                <w:szCs w:val="20"/>
              </w:rPr>
              <w:t>＜5.5</w:t>
            </w:r>
            <w:r>
              <w:rPr>
                <w:rFonts w:hint="eastAsia" w:cs="Times New Roman"/>
                <w:kern w:val="0"/>
                <w:szCs w:val="20"/>
              </w:rPr>
              <w:t>或</w:t>
            </w:r>
          </w:p>
          <w:p w14:paraId="3555D3CD">
            <w:pPr>
              <w:pStyle w:val="445"/>
              <w:rPr>
                <w:rFonts w:cs="Times New Roman"/>
                <w:kern w:val="0"/>
                <w:szCs w:val="20"/>
              </w:rPr>
            </w:pPr>
            <w:r>
              <w:rPr>
                <w:rFonts w:hint="eastAsia" w:cs="Times New Roman"/>
                <w:kern w:val="0"/>
                <w:szCs w:val="20"/>
              </w:rPr>
              <w:t>pH</w:t>
            </w:r>
            <w:r>
              <w:rPr>
                <w:rFonts w:cs="Times New Roman"/>
                <w:kern w:val="0"/>
                <w:szCs w:val="20"/>
              </w:rPr>
              <w:t>&gt;9</w:t>
            </w:r>
          </w:p>
        </w:tc>
      </w:tr>
      <w:tr w14:paraId="5367A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1BE5022F">
            <w:pPr>
              <w:pStyle w:val="445"/>
              <w:rPr>
                <w:rFonts w:cs="Times New Roman"/>
                <w:kern w:val="0"/>
                <w:szCs w:val="20"/>
              </w:rPr>
            </w:pPr>
            <w:r>
              <w:rPr>
                <w:rFonts w:cs="Times New Roman"/>
                <w:kern w:val="0"/>
                <w:szCs w:val="20"/>
              </w:rPr>
              <w:t>总硬度（以CaCO</w:t>
            </w:r>
            <w:r>
              <w:rPr>
                <w:rFonts w:cs="Times New Roman"/>
                <w:kern w:val="0"/>
                <w:szCs w:val="20"/>
                <w:vertAlign w:val="subscript"/>
              </w:rPr>
              <w:t>3</w:t>
            </w:r>
            <w:r>
              <w:rPr>
                <w:rFonts w:cs="Times New Roman"/>
                <w:kern w:val="0"/>
                <w:szCs w:val="20"/>
              </w:rPr>
              <w:t>计）/（mg/L）</w:t>
            </w:r>
          </w:p>
        </w:tc>
        <w:tc>
          <w:tcPr>
            <w:tcW w:w="642" w:type="pct"/>
            <w:vAlign w:val="center"/>
          </w:tcPr>
          <w:p w14:paraId="3B919360">
            <w:pPr>
              <w:pStyle w:val="445"/>
              <w:rPr>
                <w:rFonts w:cs="Times New Roman"/>
                <w:kern w:val="0"/>
                <w:szCs w:val="20"/>
              </w:rPr>
            </w:pPr>
            <w:r>
              <w:rPr>
                <w:rFonts w:cs="Times New Roman"/>
                <w:kern w:val="0"/>
                <w:szCs w:val="20"/>
              </w:rPr>
              <w:t>≤150</w:t>
            </w:r>
          </w:p>
        </w:tc>
        <w:tc>
          <w:tcPr>
            <w:tcW w:w="862" w:type="pct"/>
            <w:vAlign w:val="center"/>
          </w:tcPr>
          <w:p w14:paraId="5ACF9C98">
            <w:pPr>
              <w:pStyle w:val="445"/>
              <w:rPr>
                <w:rFonts w:cs="Times New Roman"/>
                <w:kern w:val="0"/>
                <w:szCs w:val="20"/>
              </w:rPr>
            </w:pPr>
            <w:r>
              <w:rPr>
                <w:rFonts w:cs="Times New Roman"/>
                <w:kern w:val="0"/>
                <w:szCs w:val="20"/>
              </w:rPr>
              <w:t>≤300</w:t>
            </w:r>
          </w:p>
        </w:tc>
        <w:tc>
          <w:tcPr>
            <w:tcW w:w="723" w:type="pct"/>
            <w:vAlign w:val="center"/>
          </w:tcPr>
          <w:p w14:paraId="69B76170">
            <w:pPr>
              <w:pStyle w:val="445"/>
              <w:rPr>
                <w:rFonts w:cs="Times New Roman"/>
                <w:kern w:val="0"/>
                <w:szCs w:val="20"/>
              </w:rPr>
            </w:pPr>
            <w:r>
              <w:rPr>
                <w:rFonts w:cs="Times New Roman"/>
                <w:kern w:val="0"/>
                <w:szCs w:val="20"/>
              </w:rPr>
              <w:t>≤450</w:t>
            </w:r>
          </w:p>
        </w:tc>
        <w:tc>
          <w:tcPr>
            <w:tcW w:w="924" w:type="pct"/>
            <w:vAlign w:val="center"/>
          </w:tcPr>
          <w:p w14:paraId="3B21E6F2">
            <w:pPr>
              <w:pStyle w:val="445"/>
              <w:rPr>
                <w:rFonts w:cs="Times New Roman"/>
                <w:kern w:val="0"/>
                <w:szCs w:val="20"/>
              </w:rPr>
            </w:pPr>
            <w:r>
              <w:rPr>
                <w:rFonts w:cs="Times New Roman"/>
                <w:kern w:val="0"/>
                <w:szCs w:val="20"/>
              </w:rPr>
              <w:t>≤650</w:t>
            </w:r>
          </w:p>
        </w:tc>
        <w:tc>
          <w:tcPr>
            <w:tcW w:w="830" w:type="pct"/>
            <w:vAlign w:val="center"/>
          </w:tcPr>
          <w:p w14:paraId="1EA5A2EA">
            <w:pPr>
              <w:pStyle w:val="445"/>
              <w:rPr>
                <w:rFonts w:cs="Times New Roman"/>
                <w:kern w:val="0"/>
                <w:szCs w:val="20"/>
              </w:rPr>
            </w:pPr>
            <w:r>
              <w:rPr>
                <w:rFonts w:cs="Times New Roman"/>
                <w:kern w:val="0"/>
                <w:szCs w:val="20"/>
              </w:rPr>
              <w:t>&gt;650</w:t>
            </w:r>
          </w:p>
        </w:tc>
      </w:tr>
      <w:tr w14:paraId="5ABA0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B40154F">
            <w:pPr>
              <w:pStyle w:val="445"/>
              <w:rPr>
                <w:rFonts w:cs="Times New Roman"/>
                <w:kern w:val="0"/>
                <w:szCs w:val="20"/>
              </w:rPr>
            </w:pPr>
            <w:r>
              <w:rPr>
                <w:rFonts w:cs="Times New Roman"/>
                <w:kern w:val="0"/>
                <w:szCs w:val="20"/>
              </w:rPr>
              <w:t>溶解性总固体/（mg/L）</w:t>
            </w:r>
          </w:p>
        </w:tc>
        <w:tc>
          <w:tcPr>
            <w:tcW w:w="642" w:type="pct"/>
            <w:vAlign w:val="center"/>
          </w:tcPr>
          <w:p w14:paraId="747E6671">
            <w:pPr>
              <w:pStyle w:val="445"/>
              <w:rPr>
                <w:rFonts w:cs="Times New Roman"/>
                <w:kern w:val="0"/>
                <w:szCs w:val="20"/>
              </w:rPr>
            </w:pPr>
            <w:r>
              <w:rPr>
                <w:rFonts w:cs="Times New Roman"/>
                <w:kern w:val="0"/>
                <w:szCs w:val="20"/>
              </w:rPr>
              <w:t>≤300</w:t>
            </w:r>
          </w:p>
        </w:tc>
        <w:tc>
          <w:tcPr>
            <w:tcW w:w="862" w:type="pct"/>
            <w:vAlign w:val="center"/>
          </w:tcPr>
          <w:p w14:paraId="302CE8B9">
            <w:pPr>
              <w:pStyle w:val="445"/>
              <w:rPr>
                <w:rFonts w:cs="Times New Roman"/>
                <w:kern w:val="0"/>
                <w:szCs w:val="20"/>
              </w:rPr>
            </w:pPr>
            <w:r>
              <w:rPr>
                <w:rFonts w:cs="Times New Roman"/>
                <w:kern w:val="0"/>
                <w:szCs w:val="20"/>
              </w:rPr>
              <w:t>≤500</w:t>
            </w:r>
          </w:p>
        </w:tc>
        <w:tc>
          <w:tcPr>
            <w:tcW w:w="723" w:type="pct"/>
            <w:vAlign w:val="center"/>
          </w:tcPr>
          <w:p w14:paraId="45E8DBCC">
            <w:pPr>
              <w:pStyle w:val="445"/>
              <w:rPr>
                <w:rFonts w:cs="Times New Roman"/>
                <w:kern w:val="0"/>
                <w:szCs w:val="20"/>
              </w:rPr>
            </w:pPr>
            <w:r>
              <w:rPr>
                <w:rFonts w:cs="Times New Roman"/>
                <w:kern w:val="0"/>
                <w:szCs w:val="20"/>
              </w:rPr>
              <w:t>≤1000</w:t>
            </w:r>
          </w:p>
        </w:tc>
        <w:tc>
          <w:tcPr>
            <w:tcW w:w="924" w:type="pct"/>
            <w:vAlign w:val="center"/>
          </w:tcPr>
          <w:p w14:paraId="1144EBBE">
            <w:pPr>
              <w:pStyle w:val="445"/>
              <w:rPr>
                <w:rFonts w:cs="Times New Roman"/>
                <w:kern w:val="0"/>
                <w:szCs w:val="20"/>
              </w:rPr>
            </w:pPr>
            <w:r>
              <w:rPr>
                <w:rFonts w:cs="Times New Roman"/>
                <w:kern w:val="0"/>
                <w:szCs w:val="20"/>
              </w:rPr>
              <w:t>≤2000</w:t>
            </w:r>
          </w:p>
        </w:tc>
        <w:tc>
          <w:tcPr>
            <w:tcW w:w="830" w:type="pct"/>
            <w:vAlign w:val="center"/>
          </w:tcPr>
          <w:p w14:paraId="1C148834">
            <w:pPr>
              <w:pStyle w:val="445"/>
              <w:rPr>
                <w:rFonts w:cs="Times New Roman"/>
                <w:kern w:val="0"/>
                <w:szCs w:val="20"/>
              </w:rPr>
            </w:pPr>
            <w:r>
              <w:rPr>
                <w:rFonts w:cs="Times New Roman"/>
                <w:kern w:val="0"/>
                <w:szCs w:val="20"/>
              </w:rPr>
              <w:t>&gt;2000</w:t>
            </w:r>
          </w:p>
        </w:tc>
      </w:tr>
      <w:tr w14:paraId="3C3300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2D596130">
            <w:pPr>
              <w:pStyle w:val="445"/>
              <w:rPr>
                <w:rFonts w:cs="Times New Roman"/>
                <w:kern w:val="0"/>
                <w:szCs w:val="20"/>
              </w:rPr>
            </w:pPr>
            <w:r>
              <w:rPr>
                <w:rFonts w:cs="Times New Roman"/>
                <w:kern w:val="0"/>
                <w:szCs w:val="20"/>
              </w:rPr>
              <w:t>氯化物</w:t>
            </w:r>
            <w:r>
              <w:rPr>
                <w:rFonts w:hint="eastAsia" w:cs="Times New Roman"/>
                <w:kern w:val="0"/>
                <w:szCs w:val="20"/>
              </w:rPr>
              <w:t>/</w:t>
            </w:r>
            <w:r>
              <w:rPr>
                <w:rFonts w:cs="Times New Roman"/>
                <w:kern w:val="0"/>
                <w:szCs w:val="20"/>
              </w:rPr>
              <w:t>（mg/L）</w:t>
            </w:r>
          </w:p>
        </w:tc>
        <w:tc>
          <w:tcPr>
            <w:tcW w:w="642" w:type="pct"/>
            <w:vAlign w:val="center"/>
          </w:tcPr>
          <w:p w14:paraId="58F22C2D">
            <w:pPr>
              <w:pStyle w:val="445"/>
              <w:rPr>
                <w:rFonts w:cs="Times New Roman"/>
                <w:kern w:val="0"/>
                <w:szCs w:val="20"/>
              </w:rPr>
            </w:pPr>
            <w:r>
              <w:rPr>
                <w:rFonts w:cs="Times New Roman"/>
                <w:kern w:val="0"/>
                <w:szCs w:val="20"/>
              </w:rPr>
              <w:t>≤50</w:t>
            </w:r>
          </w:p>
        </w:tc>
        <w:tc>
          <w:tcPr>
            <w:tcW w:w="862" w:type="pct"/>
            <w:vAlign w:val="center"/>
          </w:tcPr>
          <w:p w14:paraId="5D95ADF6">
            <w:pPr>
              <w:pStyle w:val="445"/>
              <w:rPr>
                <w:rFonts w:cs="Times New Roman"/>
                <w:kern w:val="0"/>
                <w:szCs w:val="20"/>
              </w:rPr>
            </w:pPr>
            <w:r>
              <w:rPr>
                <w:rFonts w:cs="Times New Roman"/>
                <w:kern w:val="0"/>
                <w:szCs w:val="20"/>
              </w:rPr>
              <w:t>≤150</w:t>
            </w:r>
          </w:p>
        </w:tc>
        <w:tc>
          <w:tcPr>
            <w:tcW w:w="723" w:type="pct"/>
            <w:vAlign w:val="center"/>
          </w:tcPr>
          <w:p w14:paraId="523F9A9F">
            <w:pPr>
              <w:pStyle w:val="445"/>
              <w:rPr>
                <w:rFonts w:cs="Times New Roman"/>
                <w:kern w:val="0"/>
                <w:szCs w:val="20"/>
              </w:rPr>
            </w:pPr>
            <w:r>
              <w:rPr>
                <w:rFonts w:cs="Times New Roman"/>
                <w:kern w:val="0"/>
                <w:szCs w:val="20"/>
              </w:rPr>
              <w:t>≤250</w:t>
            </w:r>
          </w:p>
        </w:tc>
        <w:tc>
          <w:tcPr>
            <w:tcW w:w="924" w:type="pct"/>
            <w:vAlign w:val="center"/>
          </w:tcPr>
          <w:p w14:paraId="6D1BA0F2">
            <w:pPr>
              <w:pStyle w:val="445"/>
              <w:rPr>
                <w:rFonts w:cs="Times New Roman"/>
                <w:kern w:val="0"/>
                <w:szCs w:val="20"/>
              </w:rPr>
            </w:pPr>
            <w:r>
              <w:rPr>
                <w:rFonts w:cs="Times New Roman"/>
                <w:kern w:val="0"/>
                <w:szCs w:val="20"/>
              </w:rPr>
              <w:t>≤350</w:t>
            </w:r>
          </w:p>
        </w:tc>
        <w:tc>
          <w:tcPr>
            <w:tcW w:w="830" w:type="pct"/>
            <w:vAlign w:val="center"/>
          </w:tcPr>
          <w:p w14:paraId="57FA664A">
            <w:pPr>
              <w:pStyle w:val="445"/>
              <w:rPr>
                <w:rFonts w:cs="Times New Roman"/>
                <w:kern w:val="0"/>
                <w:szCs w:val="20"/>
              </w:rPr>
            </w:pPr>
            <w:r>
              <w:rPr>
                <w:rFonts w:cs="Times New Roman"/>
                <w:kern w:val="0"/>
                <w:szCs w:val="20"/>
              </w:rPr>
              <w:t>&gt;350</w:t>
            </w:r>
          </w:p>
        </w:tc>
      </w:tr>
      <w:tr w14:paraId="39F113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BB34D43">
            <w:pPr>
              <w:pStyle w:val="445"/>
              <w:rPr>
                <w:rFonts w:cs="Times New Roman"/>
                <w:kern w:val="0"/>
                <w:szCs w:val="20"/>
              </w:rPr>
            </w:pPr>
            <w:r>
              <w:rPr>
                <w:rFonts w:cs="Times New Roman"/>
                <w:kern w:val="0"/>
                <w:szCs w:val="20"/>
              </w:rPr>
              <w:t>铁/（mg/L）</w:t>
            </w:r>
          </w:p>
        </w:tc>
        <w:tc>
          <w:tcPr>
            <w:tcW w:w="642" w:type="pct"/>
            <w:vAlign w:val="center"/>
          </w:tcPr>
          <w:p w14:paraId="78A7B610">
            <w:pPr>
              <w:pStyle w:val="445"/>
              <w:rPr>
                <w:rFonts w:cs="Times New Roman"/>
                <w:kern w:val="0"/>
                <w:szCs w:val="20"/>
              </w:rPr>
            </w:pPr>
            <w:r>
              <w:rPr>
                <w:rFonts w:cs="Times New Roman"/>
                <w:kern w:val="0"/>
                <w:szCs w:val="20"/>
              </w:rPr>
              <w:t>≤0.1</w:t>
            </w:r>
          </w:p>
        </w:tc>
        <w:tc>
          <w:tcPr>
            <w:tcW w:w="862" w:type="pct"/>
            <w:vAlign w:val="center"/>
          </w:tcPr>
          <w:p w14:paraId="550082E4">
            <w:pPr>
              <w:pStyle w:val="445"/>
              <w:rPr>
                <w:rFonts w:cs="Times New Roman"/>
                <w:kern w:val="0"/>
                <w:szCs w:val="20"/>
              </w:rPr>
            </w:pPr>
            <w:r>
              <w:rPr>
                <w:rFonts w:cs="Times New Roman"/>
                <w:kern w:val="0"/>
                <w:szCs w:val="20"/>
              </w:rPr>
              <w:t>≤0.2</w:t>
            </w:r>
          </w:p>
        </w:tc>
        <w:tc>
          <w:tcPr>
            <w:tcW w:w="723" w:type="pct"/>
            <w:vAlign w:val="center"/>
          </w:tcPr>
          <w:p w14:paraId="0FAA4111">
            <w:pPr>
              <w:pStyle w:val="445"/>
              <w:rPr>
                <w:rFonts w:cs="Times New Roman"/>
                <w:kern w:val="0"/>
                <w:szCs w:val="20"/>
              </w:rPr>
            </w:pPr>
            <w:r>
              <w:rPr>
                <w:rFonts w:cs="Times New Roman"/>
                <w:kern w:val="0"/>
                <w:szCs w:val="20"/>
              </w:rPr>
              <w:t>≤0.3</w:t>
            </w:r>
          </w:p>
        </w:tc>
        <w:tc>
          <w:tcPr>
            <w:tcW w:w="924" w:type="pct"/>
            <w:vAlign w:val="center"/>
          </w:tcPr>
          <w:p w14:paraId="118EF3A8">
            <w:pPr>
              <w:pStyle w:val="445"/>
              <w:rPr>
                <w:rFonts w:cs="Times New Roman"/>
                <w:kern w:val="0"/>
                <w:szCs w:val="20"/>
              </w:rPr>
            </w:pPr>
            <w:r>
              <w:rPr>
                <w:rFonts w:cs="Times New Roman"/>
                <w:kern w:val="0"/>
                <w:szCs w:val="20"/>
              </w:rPr>
              <w:t>≤2.0</w:t>
            </w:r>
          </w:p>
        </w:tc>
        <w:tc>
          <w:tcPr>
            <w:tcW w:w="830" w:type="pct"/>
            <w:vAlign w:val="center"/>
          </w:tcPr>
          <w:p w14:paraId="34263CA3">
            <w:pPr>
              <w:pStyle w:val="445"/>
              <w:rPr>
                <w:rFonts w:cs="Times New Roman"/>
                <w:kern w:val="0"/>
                <w:szCs w:val="20"/>
              </w:rPr>
            </w:pPr>
            <w:r>
              <w:rPr>
                <w:rFonts w:cs="Times New Roman"/>
                <w:kern w:val="0"/>
                <w:szCs w:val="20"/>
              </w:rPr>
              <w:t>&gt;2.0</w:t>
            </w:r>
          </w:p>
        </w:tc>
      </w:tr>
      <w:tr w14:paraId="4C746F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083311C">
            <w:pPr>
              <w:pStyle w:val="445"/>
              <w:rPr>
                <w:rFonts w:cs="Times New Roman"/>
                <w:kern w:val="0"/>
                <w:szCs w:val="20"/>
              </w:rPr>
            </w:pPr>
            <w:r>
              <w:rPr>
                <w:rFonts w:cs="Times New Roman"/>
                <w:kern w:val="0"/>
                <w:szCs w:val="20"/>
              </w:rPr>
              <w:t>锰/（mg/L）</w:t>
            </w:r>
          </w:p>
        </w:tc>
        <w:tc>
          <w:tcPr>
            <w:tcW w:w="642" w:type="pct"/>
            <w:vAlign w:val="center"/>
          </w:tcPr>
          <w:p w14:paraId="73FFEA51">
            <w:pPr>
              <w:pStyle w:val="445"/>
              <w:rPr>
                <w:rFonts w:cs="Times New Roman"/>
                <w:kern w:val="0"/>
                <w:szCs w:val="20"/>
              </w:rPr>
            </w:pPr>
            <w:r>
              <w:rPr>
                <w:rFonts w:cs="Times New Roman"/>
                <w:kern w:val="0"/>
                <w:szCs w:val="20"/>
              </w:rPr>
              <w:t>≤0.05</w:t>
            </w:r>
          </w:p>
        </w:tc>
        <w:tc>
          <w:tcPr>
            <w:tcW w:w="862" w:type="pct"/>
            <w:vAlign w:val="center"/>
          </w:tcPr>
          <w:p w14:paraId="3BCD1C0A">
            <w:pPr>
              <w:pStyle w:val="445"/>
              <w:rPr>
                <w:rFonts w:cs="Times New Roman"/>
                <w:kern w:val="0"/>
                <w:szCs w:val="20"/>
              </w:rPr>
            </w:pPr>
            <w:r>
              <w:rPr>
                <w:rFonts w:cs="Times New Roman"/>
                <w:kern w:val="0"/>
                <w:szCs w:val="20"/>
              </w:rPr>
              <w:t>≤0.05</w:t>
            </w:r>
          </w:p>
        </w:tc>
        <w:tc>
          <w:tcPr>
            <w:tcW w:w="723" w:type="pct"/>
            <w:vAlign w:val="center"/>
          </w:tcPr>
          <w:p w14:paraId="46B973CA">
            <w:pPr>
              <w:pStyle w:val="445"/>
              <w:rPr>
                <w:rFonts w:cs="Times New Roman"/>
                <w:kern w:val="0"/>
                <w:szCs w:val="20"/>
              </w:rPr>
            </w:pPr>
            <w:r>
              <w:rPr>
                <w:rFonts w:cs="Times New Roman"/>
                <w:kern w:val="0"/>
                <w:szCs w:val="20"/>
              </w:rPr>
              <w:t>≤0.1</w:t>
            </w:r>
          </w:p>
        </w:tc>
        <w:tc>
          <w:tcPr>
            <w:tcW w:w="924" w:type="pct"/>
            <w:vAlign w:val="center"/>
          </w:tcPr>
          <w:p w14:paraId="539BE326">
            <w:pPr>
              <w:pStyle w:val="445"/>
              <w:rPr>
                <w:rFonts w:cs="Times New Roman"/>
                <w:kern w:val="0"/>
                <w:szCs w:val="20"/>
              </w:rPr>
            </w:pPr>
            <w:r>
              <w:rPr>
                <w:rFonts w:cs="Times New Roman"/>
                <w:kern w:val="0"/>
                <w:szCs w:val="20"/>
              </w:rPr>
              <w:t>≤1.5</w:t>
            </w:r>
          </w:p>
        </w:tc>
        <w:tc>
          <w:tcPr>
            <w:tcW w:w="830" w:type="pct"/>
            <w:vAlign w:val="center"/>
          </w:tcPr>
          <w:p w14:paraId="1E660FAF">
            <w:pPr>
              <w:pStyle w:val="445"/>
              <w:rPr>
                <w:rFonts w:cs="Times New Roman"/>
                <w:kern w:val="0"/>
                <w:szCs w:val="20"/>
              </w:rPr>
            </w:pPr>
            <w:r>
              <w:rPr>
                <w:rFonts w:cs="Times New Roman"/>
                <w:kern w:val="0"/>
                <w:szCs w:val="20"/>
              </w:rPr>
              <w:t>&gt;1.5</w:t>
            </w:r>
          </w:p>
        </w:tc>
      </w:tr>
      <w:tr w14:paraId="13EED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29D76A67">
            <w:pPr>
              <w:pStyle w:val="445"/>
              <w:rPr>
                <w:rFonts w:cs="Times New Roman"/>
                <w:kern w:val="0"/>
                <w:szCs w:val="20"/>
              </w:rPr>
            </w:pPr>
            <w:r>
              <w:rPr>
                <w:rFonts w:cs="Times New Roman"/>
                <w:kern w:val="0"/>
                <w:szCs w:val="20"/>
              </w:rPr>
              <w:t>铜/（mg/L）</w:t>
            </w:r>
          </w:p>
        </w:tc>
        <w:tc>
          <w:tcPr>
            <w:tcW w:w="642" w:type="pct"/>
            <w:vAlign w:val="center"/>
          </w:tcPr>
          <w:p w14:paraId="4819B41B">
            <w:pPr>
              <w:pStyle w:val="445"/>
              <w:rPr>
                <w:rFonts w:cs="Times New Roman"/>
                <w:kern w:val="0"/>
                <w:szCs w:val="20"/>
              </w:rPr>
            </w:pPr>
            <w:r>
              <w:rPr>
                <w:rFonts w:cs="Times New Roman"/>
                <w:kern w:val="0"/>
                <w:szCs w:val="20"/>
              </w:rPr>
              <w:t>≤0.01</w:t>
            </w:r>
          </w:p>
        </w:tc>
        <w:tc>
          <w:tcPr>
            <w:tcW w:w="862" w:type="pct"/>
            <w:vAlign w:val="center"/>
          </w:tcPr>
          <w:p w14:paraId="1D1F3C9D">
            <w:pPr>
              <w:pStyle w:val="445"/>
              <w:rPr>
                <w:rFonts w:cs="Times New Roman"/>
                <w:kern w:val="0"/>
                <w:szCs w:val="20"/>
              </w:rPr>
            </w:pPr>
            <w:r>
              <w:rPr>
                <w:rFonts w:cs="Times New Roman"/>
                <w:kern w:val="0"/>
                <w:szCs w:val="20"/>
              </w:rPr>
              <w:t>≤0.05</w:t>
            </w:r>
          </w:p>
        </w:tc>
        <w:tc>
          <w:tcPr>
            <w:tcW w:w="723" w:type="pct"/>
            <w:vAlign w:val="center"/>
          </w:tcPr>
          <w:p w14:paraId="52650D7A">
            <w:pPr>
              <w:pStyle w:val="445"/>
              <w:rPr>
                <w:rFonts w:cs="Times New Roman"/>
                <w:kern w:val="0"/>
                <w:szCs w:val="20"/>
              </w:rPr>
            </w:pPr>
            <w:r>
              <w:rPr>
                <w:rFonts w:cs="Times New Roman"/>
                <w:kern w:val="0"/>
                <w:szCs w:val="20"/>
              </w:rPr>
              <w:t>≤1.0</w:t>
            </w:r>
          </w:p>
        </w:tc>
        <w:tc>
          <w:tcPr>
            <w:tcW w:w="924" w:type="pct"/>
            <w:vAlign w:val="center"/>
          </w:tcPr>
          <w:p w14:paraId="09C2F53D">
            <w:pPr>
              <w:pStyle w:val="445"/>
              <w:rPr>
                <w:rFonts w:cs="Times New Roman"/>
                <w:kern w:val="0"/>
                <w:szCs w:val="20"/>
              </w:rPr>
            </w:pPr>
            <w:r>
              <w:rPr>
                <w:rFonts w:cs="Times New Roman"/>
                <w:kern w:val="0"/>
                <w:szCs w:val="20"/>
              </w:rPr>
              <w:t>≤1.5</w:t>
            </w:r>
          </w:p>
        </w:tc>
        <w:tc>
          <w:tcPr>
            <w:tcW w:w="830" w:type="pct"/>
            <w:vAlign w:val="center"/>
          </w:tcPr>
          <w:p w14:paraId="1746D890">
            <w:pPr>
              <w:pStyle w:val="445"/>
              <w:rPr>
                <w:rFonts w:cs="Times New Roman"/>
                <w:kern w:val="0"/>
                <w:szCs w:val="20"/>
              </w:rPr>
            </w:pPr>
            <w:r>
              <w:rPr>
                <w:rFonts w:cs="Times New Roman"/>
                <w:kern w:val="0"/>
                <w:szCs w:val="20"/>
              </w:rPr>
              <w:t>&gt;1.5</w:t>
            </w:r>
          </w:p>
        </w:tc>
      </w:tr>
      <w:tr w14:paraId="4DB0A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CBB91F7">
            <w:pPr>
              <w:pStyle w:val="445"/>
              <w:rPr>
                <w:rFonts w:cs="Times New Roman"/>
                <w:kern w:val="0"/>
                <w:szCs w:val="20"/>
              </w:rPr>
            </w:pPr>
            <w:r>
              <w:rPr>
                <w:rFonts w:cs="Times New Roman"/>
                <w:kern w:val="0"/>
                <w:szCs w:val="20"/>
              </w:rPr>
              <w:t>锌/（mg/L）</w:t>
            </w:r>
          </w:p>
        </w:tc>
        <w:tc>
          <w:tcPr>
            <w:tcW w:w="642" w:type="pct"/>
            <w:vAlign w:val="center"/>
          </w:tcPr>
          <w:p w14:paraId="52DB7E95">
            <w:pPr>
              <w:pStyle w:val="445"/>
              <w:rPr>
                <w:rFonts w:cs="Times New Roman"/>
                <w:kern w:val="0"/>
                <w:szCs w:val="20"/>
              </w:rPr>
            </w:pPr>
            <w:r>
              <w:rPr>
                <w:rFonts w:cs="Times New Roman"/>
                <w:kern w:val="0"/>
                <w:szCs w:val="20"/>
              </w:rPr>
              <w:t>≤0.05</w:t>
            </w:r>
          </w:p>
        </w:tc>
        <w:tc>
          <w:tcPr>
            <w:tcW w:w="862" w:type="pct"/>
            <w:vAlign w:val="center"/>
          </w:tcPr>
          <w:p w14:paraId="4993E967">
            <w:pPr>
              <w:pStyle w:val="445"/>
              <w:rPr>
                <w:rFonts w:cs="Times New Roman"/>
                <w:kern w:val="0"/>
                <w:szCs w:val="20"/>
              </w:rPr>
            </w:pPr>
            <w:r>
              <w:rPr>
                <w:rFonts w:cs="Times New Roman"/>
                <w:kern w:val="0"/>
                <w:szCs w:val="20"/>
              </w:rPr>
              <w:t>≤0.5</w:t>
            </w:r>
          </w:p>
        </w:tc>
        <w:tc>
          <w:tcPr>
            <w:tcW w:w="723" w:type="pct"/>
            <w:vAlign w:val="center"/>
          </w:tcPr>
          <w:p w14:paraId="4A6DF500">
            <w:pPr>
              <w:pStyle w:val="445"/>
              <w:rPr>
                <w:rFonts w:cs="Times New Roman"/>
                <w:kern w:val="0"/>
                <w:szCs w:val="20"/>
              </w:rPr>
            </w:pPr>
            <w:r>
              <w:rPr>
                <w:rFonts w:cs="Times New Roman"/>
                <w:kern w:val="0"/>
                <w:szCs w:val="20"/>
              </w:rPr>
              <w:t>≤1.0</w:t>
            </w:r>
          </w:p>
        </w:tc>
        <w:tc>
          <w:tcPr>
            <w:tcW w:w="924" w:type="pct"/>
            <w:vAlign w:val="center"/>
          </w:tcPr>
          <w:p w14:paraId="775CE002">
            <w:pPr>
              <w:pStyle w:val="445"/>
              <w:rPr>
                <w:rFonts w:cs="Times New Roman"/>
                <w:kern w:val="0"/>
                <w:szCs w:val="20"/>
              </w:rPr>
            </w:pPr>
            <w:r>
              <w:rPr>
                <w:rFonts w:cs="Times New Roman"/>
                <w:kern w:val="0"/>
                <w:szCs w:val="20"/>
              </w:rPr>
              <w:t>≤5.0</w:t>
            </w:r>
          </w:p>
        </w:tc>
        <w:tc>
          <w:tcPr>
            <w:tcW w:w="830" w:type="pct"/>
            <w:vAlign w:val="center"/>
          </w:tcPr>
          <w:p w14:paraId="410A92DB">
            <w:pPr>
              <w:pStyle w:val="445"/>
              <w:rPr>
                <w:rFonts w:cs="Times New Roman"/>
                <w:kern w:val="0"/>
                <w:szCs w:val="20"/>
              </w:rPr>
            </w:pPr>
            <w:r>
              <w:rPr>
                <w:rFonts w:cs="Times New Roman"/>
                <w:kern w:val="0"/>
                <w:szCs w:val="20"/>
              </w:rPr>
              <w:t>&gt;5.0</w:t>
            </w:r>
          </w:p>
        </w:tc>
      </w:tr>
      <w:tr w14:paraId="6378E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CBEF7AA">
            <w:pPr>
              <w:pStyle w:val="445"/>
              <w:rPr>
                <w:rFonts w:cs="Times New Roman"/>
                <w:kern w:val="0"/>
                <w:szCs w:val="20"/>
              </w:rPr>
            </w:pPr>
            <w:r>
              <w:rPr>
                <w:rFonts w:cs="Times New Roman"/>
                <w:kern w:val="0"/>
                <w:szCs w:val="20"/>
              </w:rPr>
              <w:t>铝/（mg/L）</w:t>
            </w:r>
          </w:p>
        </w:tc>
        <w:tc>
          <w:tcPr>
            <w:tcW w:w="642" w:type="pct"/>
            <w:vAlign w:val="center"/>
          </w:tcPr>
          <w:p w14:paraId="152FEF94">
            <w:pPr>
              <w:pStyle w:val="445"/>
              <w:rPr>
                <w:rFonts w:cs="Times New Roman"/>
                <w:kern w:val="0"/>
                <w:szCs w:val="20"/>
              </w:rPr>
            </w:pPr>
            <w:r>
              <w:rPr>
                <w:rFonts w:cs="Times New Roman"/>
                <w:kern w:val="0"/>
                <w:szCs w:val="20"/>
              </w:rPr>
              <w:t>≤0.01</w:t>
            </w:r>
          </w:p>
        </w:tc>
        <w:tc>
          <w:tcPr>
            <w:tcW w:w="862" w:type="pct"/>
            <w:vAlign w:val="center"/>
          </w:tcPr>
          <w:p w14:paraId="6B06CACB">
            <w:pPr>
              <w:pStyle w:val="445"/>
              <w:rPr>
                <w:rFonts w:cs="Times New Roman"/>
                <w:kern w:val="0"/>
                <w:szCs w:val="20"/>
              </w:rPr>
            </w:pPr>
            <w:r>
              <w:rPr>
                <w:rFonts w:cs="Times New Roman"/>
                <w:kern w:val="0"/>
                <w:szCs w:val="20"/>
              </w:rPr>
              <w:t>≤0.05</w:t>
            </w:r>
          </w:p>
        </w:tc>
        <w:tc>
          <w:tcPr>
            <w:tcW w:w="723" w:type="pct"/>
            <w:vAlign w:val="center"/>
          </w:tcPr>
          <w:p w14:paraId="7E9EB944">
            <w:pPr>
              <w:pStyle w:val="445"/>
              <w:rPr>
                <w:rFonts w:cs="Times New Roman"/>
                <w:kern w:val="0"/>
                <w:szCs w:val="20"/>
              </w:rPr>
            </w:pPr>
            <w:r>
              <w:rPr>
                <w:rFonts w:cs="Times New Roman"/>
                <w:kern w:val="0"/>
                <w:szCs w:val="20"/>
              </w:rPr>
              <w:t>≤0.2</w:t>
            </w:r>
          </w:p>
        </w:tc>
        <w:tc>
          <w:tcPr>
            <w:tcW w:w="924" w:type="pct"/>
            <w:vAlign w:val="center"/>
          </w:tcPr>
          <w:p w14:paraId="2A3658B8">
            <w:pPr>
              <w:pStyle w:val="445"/>
              <w:rPr>
                <w:rFonts w:cs="Times New Roman"/>
                <w:kern w:val="0"/>
                <w:szCs w:val="20"/>
              </w:rPr>
            </w:pPr>
            <w:r>
              <w:rPr>
                <w:rFonts w:cs="Times New Roman"/>
                <w:kern w:val="0"/>
                <w:szCs w:val="20"/>
              </w:rPr>
              <w:t>≤0.5</w:t>
            </w:r>
          </w:p>
        </w:tc>
        <w:tc>
          <w:tcPr>
            <w:tcW w:w="830" w:type="pct"/>
            <w:vAlign w:val="center"/>
          </w:tcPr>
          <w:p w14:paraId="01F65DCB">
            <w:pPr>
              <w:pStyle w:val="445"/>
              <w:rPr>
                <w:rFonts w:cs="Times New Roman"/>
                <w:kern w:val="0"/>
                <w:szCs w:val="20"/>
              </w:rPr>
            </w:pPr>
            <w:r>
              <w:rPr>
                <w:rFonts w:cs="Times New Roman"/>
                <w:kern w:val="0"/>
                <w:szCs w:val="20"/>
              </w:rPr>
              <w:t>&gt;0.5</w:t>
            </w:r>
          </w:p>
        </w:tc>
      </w:tr>
      <w:tr w14:paraId="520A65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30E1BF57">
            <w:pPr>
              <w:pStyle w:val="445"/>
              <w:rPr>
                <w:rFonts w:cs="Times New Roman"/>
                <w:kern w:val="0"/>
                <w:szCs w:val="20"/>
              </w:rPr>
            </w:pPr>
            <w:r>
              <w:rPr>
                <w:rFonts w:cs="Times New Roman"/>
                <w:kern w:val="0"/>
                <w:szCs w:val="20"/>
              </w:rPr>
              <w:t>挥发性酚类（以苯酚计）/（mg/L）</w:t>
            </w:r>
          </w:p>
        </w:tc>
        <w:tc>
          <w:tcPr>
            <w:tcW w:w="642" w:type="pct"/>
            <w:vAlign w:val="center"/>
          </w:tcPr>
          <w:p w14:paraId="5F762F5D">
            <w:pPr>
              <w:pStyle w:val="445"/>
              <w:rPr>
                <w:rFonts w:cs="Times New Roman"/>
                <w:kern w:val="0"/>
                <w:szCs w:val="20"/>
              </w:rPr>
            </w:pPr>
            <w:r>
              <w:rPr>
                <w:rFonts w:cs="Times New Roman"/>
                <w:kern w:val="0"/>
                <w:szCs w:val="20"/>
              </w:rPr>
              <w:t>≤0.001</w:t>
            </w:r>
          </w:p>
        </w:tc>
        <w:tc>
          <w:tcPr>
            <w:tcW w:w="862" w:type="pct"/>
            <w:vAlign w:val="center"/>
          </w:tcPr>
          <w:p w14:paraId="5403FCEB">
            <w:pPr>
              <w:pStyle w:val="445"/>
              <w:rPr>
                <w:rFonts w:cs="Times New Roman"/>
                <w:kern w:val="0"/>
                <w:szCs w:val="20"/>
              </w:rPr>
            </w:pPr>
            <w:r>
              <w:rPr>
                <w:rFonts w:cs="Times New Roman"/>
                <w:kern w:val="0"/>
                <w:szCs w:val="20"/>
              </w:rPr>
              <w:t>≤0.001</w:t>
            </w:r>
          </w:p>
        </w:tc>
        <w:tc>
          <w:tcPr>
            <w:tcW w:w="723" w:type="pct"/>
            <w:vAlign w:val="center"/>
          </w:tcPr>
          <w:p w14:paraId="380AA00F">
            <w:pPr>
              <w:pStyle w:val="445"/>
              <w:rPr>
                <w:rFonts w:cs="Times New Roman"/>
                <w:kern w:val="0"/>
                <w:szCs w:val="20"/>
              </w:rPr>
            </w:pPr>
            <w:r>
              <w:rPr>
                <w:rFonts w:cs="Times New Roman"/>
                <w:kern w:val="0"/>
                <w:szCs w:val="20"/>
              </w:rPr>
              <w:t>≤0.002</w:t>
            </w:r>
          </w:p>
        </w:tc>
        <w:tc>
          <w:tcPr>
            <w:tcW w:w="924" w:type="pct"/>
            <w:vAlign w:val="center"/>
          </w:tcPr>
          <w:p w14:paraId="0AAB2D61">
            <w:pPr>
              <w:pStyle w:val="445"/>
              <w:rPr>
                <w:rFonts w:cs="Times New Roman"/>
                <w:kern w:val="0"/>
                <w:szCs w:val="20"/>
              </w:rPr>
            </w:pPr>
            <w:r>
              <w:rPr>
                <w:rFonts w:cs="Times New Roman"/>
                <w:kern w:val="0"/>
                <w:szCs w:val="20"/>
              </w:rPr>
              <w:t>≤0.01</w:t>
            </w:r>
          </w:p>
        </w:tc>
        <w:tc>
          <w:tcPr>
            <w:tcW w:w="830" w:type="pct"/>
            <w:vAlign w:val="center"/>
          </w:tcPr>
          <w:p w14:paraId="63F8921E">
            <w:pPr>
              <w:pStyle w:val="445"/>
              <w:rPr>
                <w:rFonts w:cs="Times New Roman"/>
                <w:kern w:val="0"/>
                <w:szCs w:val="20"/>
              </w:rPr>
            </w:pPr>
            <w:r>
              <w:rPr>
                <w:rFonts w:cs="Times New Roman"/>
                <w:kern w:val="0"/>
                <w:szCs w:val="20"/>
              </w:rPr>
              <w:t>&gt;0.01</w:t>
            </w:r>
          </w:p>
        </w:tc>
      </w:tr>
      <w:tr w14:paraId="2FE73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3DF59CE">
            <w:pPr>
              <w:pStyle w:val="445"/>
              <w:rPr>
                <w:rFonts w:cs="Times New Roman"/>
                <w:kern w:val="0"/>
                <w:szCs w:val="20"/>
              </w:rPr>
            </w:pPr>
            <w:r>
              <w:rPr>
                <w:rFonts w:cs="Times New Roman"/>
                <w:kern w:val="0"/>
                <w:szCs w:val="20"/>
              </w:rPr>
              <w:t>阴离子表面活性剂/（mg/L）</w:t>
            </w:r>
          </w:p>
        </w:tc>
        <w:tc>
          <w:tcPr>
            <w:tcW w:w="642" w:type="pct"/>
            <w:vAlign w:val="center"/>
          </w:tcPr>
          <w:p w14:paraId="5A851671">
            <w:pPr>
              <w:pStyle w:val="445"/>
              <w:rPr>
                <w:rFonts w:cs="Times New Roman"/>
                <w:kern w:val="0"/>
                <w:szCs w:val="20"/>
              </w:rPr>
            </w:pPr>
            <w:r>
              <w:rPr>
                <w:rFonts w:cs="Times New Roman"/>
                <w:kern w:val="0"/>
                <w:szCs w:val="20"/>
              </w:rPr>
              <w:t>不得检出</w:t>
            </w:r>
          </w:p>
        </w:tc>
        <w:tc>
          <w:tcPr>
            <w:tcW w:w="862" w:type="pct"/>
            <w:vAlign w:val="center"/>
          </w:tcPr>
          <w:p w14:paraId="3EBAC864">
            <w:pPr>
              <w:pStyle w:val="445"/>
              <w:rPr>
                <w:rFonts w:cs="Times New Roman"/>
                <w:kern w:val="0"/>
                <w:szCs w:val="20"/>
              </w:rPr>
            </w:pPr>
            <w:r>
              <w:rPr>
                <w:rFonts w:cs="Times New Roman"/>
                <w:kern w:val="0"/>
                <w:szCs w:val="20"/>
              </w:rPr>
              <w:t>≤0.1</w:t>
            </w:r>
          </w:p>
        </w:tc>
        <w:tc>
          <w:tcPr>
            <w:tcW w:w="723" w:type="pct"/>
            <w:vAlign w:val="center"/>
          </w:tcPr>
          <w:p w14:paraId="1EA667EA">
            <w:pPr>
              <w:pStyle w:val="445"/>
              <w:rPr>
                <w:rFonts w:cs="Times New Roman"/>
                <w:kern w:val="0"/>
                <w:szCs w:val="20"/>
              </w:rPr>
            </w:pPr>
            <w:r>
              <w:rPr>
                <w:rFonts w:cs="Times New Roman"/>
                <w:kern w:val="0"/>
                <w:szCs w:val="20"/>
              </w:rPr>
              <w:t>≤0.3</w:t>
            </w:r>
          </w:p>
        </w:tc>
        <w:tc>
          <w:tcPr>
            <w:tcW w:w="924" w:type="pct"/>
            <w:vAlign w:val="center"/>
          </w:tcPr>
          <w:p w14:paraId="70ED4FB3">
            <w:pPr>
              <w:pStyle w:val="445"/>
              <w:rPr>
                <w:rFonts w:cs="Times New Roman"/>
                <w:kern w:val="0"/>
                <w:szCs w:val="20"/>
              </w:rPr>
            </w:pPr>
            <w:r>
              <w:rPr>
                <w:rFonts w:cs="Times New Roman"/>
                <w:kern w:val="0"/>
                <w:szCs w:val="20"/>
              </w:rPr>
              <w:t>≤0.3</w:t>
            </w:r>
          </w:p>
        </w:tc>
        <w:tc>
          <w:tcPr>
            <w:tcW w:w="830" w:type="pct"/>
            <w:vAlign w:val="center"/>
          </w:tcPr>
          <w:p w14:paraId="5B17821B">
            <w:pPr>
              <w:pStyle w:val="445"/>
              <w:rPr>
                <w:rFonts w:cs="Times New Roman"/>
                <w:kern w:val="0"/>
                <w:szCs w:val="20"/>
              </w:rPr>
            </w:pPr>
            <w:r>
              <w:rPr>
                <w:rFonts w:cs="Times New Roman"/>
                <w:kern w:val="0"/>
                <w:szCs w:val="20"/>
              </w:rPr>
              <w:t>&gt;0.3</w:t>
            </w:r>
          </w:p>
        </w:tc>
      </w:tr>
      <w:tr w14:paraId="12EC02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554AC036">
            <w:pPr>
              <w:pStyle w:val="445"/>
              <w:rPr>
                <w:rFonts w:cs="Times New Roman"/>
                <w:kern w:val="0"/>
                <w:szCs w:val="20"/>
              </w:rPr>
            </w:pPr>
            <w:r>
              <w:rPr>
                <w:rFonts w:cs="Times New Roman"/>
                <w:kern w:val="0"/>
                <w:szCs w:val="20"/>
              </w:rPr>
              <w:t>耗氧量（COD</w:t>
            </w:r>
            <w:r>
              <w:rPr>
                <w:rFonts w:cs="Times New Roman"/>
                <w:kern w:val="0"/>
                <w:szCs w:val="20"/>
                <w:vertAlign w:val="subscript"/>
              </w:rPr>
              <w:t>Mn</w:t>
            </w:r>
            <w:r>
              <w:rPr>
                <w:rFonts w:cs="Times New Roman"/>
                <w:kern w:val="0"/>
                <w:szCs w:val="20"/>
              </w:rPr>
              <w:t>法）/（mg/L）</w:t>
            </w:r>
          </w:p>
        </w:tc>
        <w:tc>
          <w:tcPr>
            <w:tcW w:w="642" w:type="pct"/>
            <w:vAlign w:val="center"/>
          </w:tcPr>
          <w:p w14:paraId="2FBCB79A">
            <w:pPr>
              <w:pStyle w:val="445"/>
              <w:rPr>
                <w:rFonts w:cs="Times New Roman"/>
                <w:kern w:val="0"/>
                <w:szCs w:val="20"/>
              </w:rPr>
            </w:pPr>
            <w:r>
              <w:rPr>
                <w:rFonts w:cs="Times New Roman"/>
                <w:kern w:val="0"/>
                <w:szCs w:val="20"/>
              </w:rPr>
              <w:t>≤1.0</w:t>
            </w:r>
          </w:p>
        </w:tc>
        <w:tc>
          <w:tcPr>
            <w:tcW w:w="862" w:type="pct"/>
            <w:vAlign w:val="center"/>
          </w:tcPr>
          <w:p w14:paraId="75DC5C91">
            <w:pPr>
              <w:pStyle w:val="445"/>
              <w:rPr>
                <w:rFonts w:cs="Times New Roman"/>
                <w:kern w:val="0"/>
                <w:szCs w:val="20"/>
              </w:rPr>
            </w:pPr>
            <w:r>
              <w:rPr>
                <w:rFonts w:cs="Times New Roman"/>
                <w:kern w:val="0"/>
                <w:szCs w:val="20"/>
              </w:rPr>
              <w:t>≤2.0</w:t>
            </w:r>
          </w:p>
        </w:tc>
        <w:tc>
          <w:tcPr>
            <w:tcW w:w="723" w:type="pct"/>
            <w:vAlign w:val="center"/>
          </w:tcPr>
          <w:p w14:paraId="21D82DC6">
            <w:pPr>
              <w:pStyle w:val="445"/>
              <w:rPr>
                <w:rFonts w:cs="Times New Roman"/>
                <w:kern w:val="0"/>
                <w:szCs w:val="20"/>
              </w:rPr>
            </w:pPr>
            <w:r>
              <w:rPr>
                <w:rFonts w:cs="Times New Roman"/>
                <w:kern w:val="0"/>
                <w:szCs w:val="20"/>
              </w:rPr>
              <w:t>≤3.0</w:t>
            </w:r>
          </w:p>
        </w:tc>
        <w:tc>
          <w:tcPr>
            <w:tcW w:w="924" w:type="pct"/>
            <w:vAlign w:val="center"/>
          </w:tcPr>
          <w:p w14:paraId="7D60CB95">
            <w:pPr>
              <w:pStyle w:val="445"/>
              <w:rPr>
                <w:rFonts w:cs="Times New Roman"/>
                <w:kern w:val="0"/>
                <w:szCs w:val="20"/>
              </w:rPr>
            </w:pPr>
            <w:r>
              <w:rPr>
                <w:rFonts w:cs="Times New Roman"/>
                <w:kern w:val="0"/>
                <w:szCs w:val="20"/>
              </w:rPr>
              <w:t>≤10</w:t>
            </w:r>
          </w:p>
        </w:tc>
        <w:tc>
          <w:tcPr>
            <w:tcW w:w="830" w:type="pct"/>
            <w:vAlign w:val="center"/>
          </w:tcPr>
          <w:p w14:paraId="056F1E59">
            <w:pPr>
              <w:pStyle w:val="445"/>
              <w:rPr>
                <w:rFonts w:cs="Times New Roman"/>
                <w:kern w:val="0"/>
                <w:szCs w:val="20"/>
              </w:rPr>
            </w:pPr>
            <w:r>
              <w:rPr>
                <w:rFonts w:cs="Times New Roman"/>
                <w:kern w:val="0"/>
                <w:szCs w:val="20"/>
              </w:rPr>
              <w:t>&gt;10</w:t>
            </w:r>
          </w:p>
        </w:tc>
      </w:tr>
      <w:tr w14:paraId="1CBE21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3300949">
            <w:pPr>
              <w:pStyle w:val="445"/>
              <w:rPr>
                <w:rFonts w:cs="Times New Roman"/>
                <w:kern w:val="0"/>
                <w:szCs w:val="20"/>
              </w:rPr>
            </w:pPr>
            <w:r>
              <w:rPr>
                <w:rFonts w:cs="Times New Roman"/>
                <w:kern w:val="0"/>
                <w:szCs w:val="20"/>
              </w:rPr>
              <w:t>氨氮/（mg/L）</w:t>
            </w:r>
          </w:p>
        </w:tc>
        <w:tc>
          <w:tcPr>
            <w:tcW w:w="642" w:type="pct"/>
            <w:vAlign w:val="center"/>
          </w:tcPr>
          <w:p w14:paraId="64E0E5D9">
            <w:pPr>
              <w:pStyle w:val="445"/>
              <w:rPr>
                <w:rFonts w:cs="Times New Roman"/>
                <w:kern w:val="0"/>
                <w:szCs w:val="20"/>
              </w:rPr>
            </w:pPr>
            <w:r>
              <w:rPr>
                <w:rFonts w:cs="Times New Roman"/>
                <w:kern w:val="0"/>
                <w:szCs w:val="20"/>
              </w:rPr>
              <w:t>≤0.02</w:t>
            </w:r>
          </w:p>
        </w:tc>
        <w:tc>
          <w:tcPr>
            <w:tcW w:w="862" w:type="pct"/>
            <w:vAlign w:val="center"/>
          </w:tcPr>
          <w:p w14:paraId="22DE95BF">
            <w:pPr>
              <w:pStyle w:val="445"/>
              <w:rPr>
                <w:rFonts w:cs="Times New Roman"/>
                <w:kern w:val="0"/>
                <w:szCs w:val="20"/>
              </w:rPr>
            </w:pPr>
            <w:r>
              <w:rPr>
                <w:rFonts w:cs="Times New Roman"/>
                <w:kern w:val="0"/>
                <w:szCs w:val="20"/>
              </w:rPr>
              <w:t>≤0.10</w:t>
            </w:r>
          </w:p>
        </w:tc>
        <w:tc>
          <w:tcPr>
            <w:tcW w:w="723" w:type="pct"/>
            <w:vAlign w:val="center"/>
          </w:tcPr>
          <w:p w14:paraId="502377AF">
            <w:pPr>
              <w:pStyle w:val="445"/>
              <w:rPr>
                <w:rFonts w:cs="Times New Roman"/>
                <w:kern w:val="0"/>
                <w:szCs w:val="20"/>
              </w:rPr>
            </w:pPr>
            <w:r>
              <w:rPr>
                <w:rFonts w:cs="Times New Roman"/>
                <w:kern w:val="0"/>
                <w:szCs w:val="20"/>
              </w:rPr>
              <w:t>≤0.50</w:t>
            </w:r>
          </w:p>
        </w:tc>
        <w:tc>
          <w:tcPr>
            <w:tcW w:w="924" w:type="pct"/>
            <w:vAlign w:val="center"/>
          </w:tcPr>
          <w:p w14:paraId="7BB3505C">
            <w:pPr>
              <w:pStyle w:val="445"/>
              <w:rPr>
                <w:rFonts w:cs="Times New Roman"/>
                <w:kern w:val="0"/>
                <w:szCs w:val="20"/>
              </w:rPr>
            </w:pPr>
            <w:r>
              <w:rPr>
                <w:rFonts w:cs="Times New Roman"/>
                <w:kern w:val="0"/>
                <w:szCs w:val="20"/>
              </w:rPr>
              <w:t>≤1.50</w:t>
            </w:r>
          </w:p>
        </w:tc>
        <w:tc>
          <w:tcPr>
            <w:tcW w:w="830" w:type="pct"/>
            <w:vAlign w:val="center"/>
          </w:tcPr>
          <w:p w14:paraId="291EC6D2">
            <w:pPr>
              <w:pStyle w:val="445"/>
              <w:rPr>
                <w:rFonts w:cs="Times New Roman"/>
                <w:kern w:val="0"/>
                <w:szCs w:val="20"/>
              </w:rPr>
            </w:pPr>
            <w:r>
              <w:rPr>
                <w:rFonts w:cs="Times New Roman"/>
                <w:kern w:val="0"/>
                <w:szCs w:val="20"/>
              </w:rPr>
              <w:t>&gt;1.50</w:t>
            </w:r>
          </w:p>
        </w:tc>
      </w:tr>
      <w:tr w14:paraId="779B5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50EB8F1">
            <w:pPr>
              <w:pStyle w:val="445"/>
              <w:rPr>
                <w:rFonts w:cs="Times New Roman"/>
                <w:kern w:val="0"/>
                <w:szCs w:val="20"/>
              </w:rPr>
            </w:pPr>
            <w:r>
              <w:rPr>
                <w:rFonts w:cs="Times New Roman"/>
                <w:kern w:val="0"/>
                <w:szCs w:val="20"/>
              </w:rPr>
              <w:t>硫化物/（mg/L）</w:t>
            </w:r>
          </w:p>
        </w:tc>
        <w:tc>
          <w:tcPr>
            <w:tcW w:w="642" w:type="pct"/>
            <w:vAlign w:val="center"/>
          </w:tcPr>
          <w:p w14:paraId="60D9D8D4">
            <w:pPr>
              <w:pStyle w:val="445"/>
              <w:rPr>
                <w:rFonts w:cs="Times New Roman"/>
                <w:kern w:val="0"/>
                <w:szCs w:val="20"/>
              </w:rPr>
            </w:pPr>
            <w:r>
              <w:rPr>
                <w:rFonts w:cs="Times New Roman"/>
                <w:kern w:val="0"/>
                <w:szCs w:val="20"/>
              </w:rPr>
              <w:t>≤0.005</w:t>
            </w:r>
          </w:p>
        </w:tc>
        <w:tc>
          <w:tcPr>
            <w:tcW w:w="862" w:type="pct"/>
            <w:vAlign w:val="center"/>
          </w:tcPr>
          <w:p w14:paraId="206030B5">
            <w:pPr>
              <w:pStyle w:val="445"/>
              <w:rPr>
                <w:rFonts w:cs="Times New Roman"/>
                <w:kern w:val="0"/>
                <w:szCs w:val="20"/>
              </w:rPr>
            </w:pPr>
            <w:r>
              <w:rPr>
                <w:rFonts w:cs="Times New Roman"/>
                <w:kern w:val="0"/>
                <w:szCs w:val="20"/>
              </w:rPr>
              <w:t>≤0.01</w:t>
            </w:r>
          </w:p>
        </w:tc>
        <w:tc>
          <w:tcPr>
            <w:tcW w:w="723" w:type="pct"/>
            <w:vAlign w:val="center"/>
          </w:tcPr>
          <w:p w14:paraId="2539549D">
            <w:pPr>
              <w:pStyle w:val="445"/>
              <w:rPr>
                <w:rFonts w:cs="Times New Roman"/>
                <w:kern w:val="0"/>
                <w:szCs w:val="20"/>
              </w:rPr>
            </w:pPr>
            <w:r>
              <w:rPr>
                <w:rFonts w:cs="Times New Roman"/>
                <w:kern w:val="0"/>
                <w:szCs w:val="20"/>
              </w:rPr>
              <w:t>≤0.02</w:t>
            </w:r>
          </w:p>
        </w:tc>
        <w:tc>
          <w:tcPr>
            <w:tcW w:w="924" w:type="pct"/>
            <w:vAlign w:val="center"/>
          </w:tcPr>
          <w:p w14:paraId="236FE21B">
            <w:pPr>
              <w:pStyle w:val="445"/>
              <w:rPr>
                <w:rFonts w:cs="Times New Roman"/>
                <w:kern w:val="0"/>
                <w:szCs w:val="20"/>
              </w:rPr>
            </w:pPr>
            <w:r>
              <w:rPr>
                <w:rFonts w:cs="Times New Roman"/>
                <w:kern w:val="0"/>
                <w:szCs w:val="20"/>
              </w:rPr>
              <w:t>≤0.1</w:t>
            </w:r>
          </w:p>
        </w:tc>
        <w:tc>
          <w:tcPr>
            <w:tcW w:w="830" w:type="pct"/>
            <w:vAlign w:val="center"/>
          </w:tcPr>
          <w:p w14:paraId="1641DBD6">
            <w:pPr>
              <w:pStyle w:val="445"/>
              <w:rPr>
                <w:rFonts w:cs="Times New Roman"/>
                <w:kern w:val="0"/>
                <w:szCs w:val="20"/>
              </w:rPr>
            </w:pPr>
            <w:r>
              <w:rPr>
                <w:rFonts w:cs="Times New Roman"/>
                <w:kern w:val="0"/>
                <w:szCs w:val="20"/>
              </w:rPr>
              <w:t>&gt;0.1</w:t>
            </w:r>
          </w:p>
        </w:tc>
      </w:tr>
      <w:tr w14:paraId="62E7C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1CC41C7A">
            <w:pPr>
              <w:pStyle w:val="445"/>
              <w:rPr>
                <w:rFonts w:cs="Times New Roman"/>
                <w:kern w:val="0"/>
                <w:szCs w:val="20"/>
              </w:rPr>
            </w:pPr>
            <w:r>
              <w:rPr>
                <w:rFonts w:hint="eastAsia" w:cs="Times New Roman"/>
                <w:kern w:val="0"/>
                <w:szCs w:val="20"/>
              </w:rPr>
              <w:t>镍</w:t>
            </w:r>
            <w:r>
              <w:rPr>
                <w:rFonts w:cs="Times New Roman"/>
                <w:kern w:val="0"/>
                <w:szCs w:val="20"/>
              </w:rPr>
              <w:t>/（mg/L）</w:t>
            </w:r>
          </w:p>
        </w:tc>
        <w:tc>
          <w:tcPr>
            <w:tcW w:w="642" w:type="pct"/>
            <w:vAlign w:val="center"/>
          </w:tcPr>
          <w:p w14:paraId="2A8528FF">
            <w:pPr>
              <w:pStyle w:val="445"/>
              <w:rPr>
                <w:rFonts w:cs="Times New Roman"/>
                <w:kern w:val="0"/>
                <w:szCs w:val="20"/>
              </w:rPr>
            </w:pPr>
            <w:r>
              <w:rPr>
                <w:rFonts w:cs="Times New Roman"/>
                <w:kern w:val="0"/>
                <w:szCs w:val="20"/>
              </w:rPr>
              <w:t>≤0.002</w:t>
            </w:r>
          </w:p>
        </w:tc>
        <w:tc>
          <w:tcPr>
            <w:tcW w:w="862" w:type="pct"/>
            <w:vAlign w:val="center"/>
          </w:tcPr>
          <w:p w14:paraId="51828CB6">
            <w:pPr>
              <w:pStyle w:val="445"/>
              <w:rPr>
                <w:rFonts w:cs="Times New Roman"/>
                <w:kern w:val="0"/>
                <w:szCs w:val="20"/>
              </w:rPr>
            </w:pPr>
            <w:r>
              <w:rPr>
                <w:rFonts w:cs="Times New Roman"/>
                <w:kern w:val="0"/>
                <w:szCs w:val="20"/>
              </w:rPr>
              <w:t>≤0.002</w:t>
            </w:r>
          </w:p>
        </w:tc>
        <w:tc>
          <w:tcPr>
            <w:tcW w:w="723" w:type="pct"/>
            <w:vAlign w:val="center"/>
          </w:tcPr>
          <w:p w14:paraId="185D064D">
            <w:pPr>
              <w:pStyle w:val="445"/>
              <w:rPr>
                <w:rFonts w:cs="Times New Roman"/>
                <w:kern w:val="0"/>
                <w:szCs w:val="20"/>
              </w:rPr>
            </w:pPr>
            <w:r>
              <w:rPr>
                <w:rFonts w:cs="Times New Roman"/>
                <w:kern w:val="0"/>
                <w:szCs w:val="20"/>
              </w:rPr>
              <w:t>≤0.02</w:t>
            </w:r>
          </w:p>
        </w:tc>
        <w:tc>
          <w:tcPr>
            <w:tcW w:w="924" w:type="pct"/>
            <w:vAlign w:val="center"/>
          </w:tcPr>
          <w:p w14:paraId="43C765D4">
            <w:pPr>
              <w:pStyle w:val="445"/>
              <w:rPr>
                <w:rFonts w:cs="Times New Roman"/>
                <w:kern w:val="0"/>
                <w:szCs w:val="20"/>
              </w:rPr>
            </w:pPr>
            <w:r>
              <w:rPr>
                <w:rFonts w:cs="Times New Roman"/>
                <w:kern w:val="0"/>
                <w:szCs w:val="20"/>
              </w:rPr>
              <w:t>≤0.1</w:t>
            </w:r>
          </w:p>
        </w:tc>
        <w:tc>
          <w:tcPr>
            <w:tcW w:w="830" w:type="pct"/>
            <w:vAlign w:val="center"/>
          </w:tcPr>
          <w:p w14:paraId="539A5626">
            <w:pPr>
              <w:pStyle w:val="445"/>
              <w:rPr>
                <w:rFonts w:cs="Times New Roman"/>
                <w:kern w:val="0"/>
                <w:szCs w:val="20"/>
              </w:rPr>
            </w:pPr>
            <w:r>
              <w:rPr>
                <w:rFonts w:cs="Times New Roman"/>
                <w:kern w:val="0"/>
                <w:szCs w:val="20"/>
              </w:rPr>
              <w:t>&gt;0.1</w:t>
            </w:r>
          </w:p>
        </w:tc>
      </w:tr>
      <w:tr w14:paraId="7C162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171ADA3">
            <w:pPr>
              <w:pStyle w:val="445"/>
              <w:rPr>
                <w:rFonts w:cs="Times New Roman"/>
                <w:kern w:val="0"/>
                <w:szCs w:val="20"/>
              </w:rPr>
            </w:pPr>
            <w:r>
              <w:rPr>
                <w:rFonts w:cs="Times New Roman"/>
                <w:kern w:val="0"/>
                <w:szCs w:val="20"/>
              </w:rPr>
              <w:t>硝酸盐</w:t>
            </w:r>
            <w:r>
              <w:rPr>
                <w:rFonts w:hint="eastAsia" w:cs="Times New Roman"/>
                <w:kern w:val="0"/>
                <w:szCs w:val="20"/>
              </w:rPr>
              <w:t>/</w:t>
            </w:r>
            <w:r>
              <w:rPr>
                <w:rFonts w:cs="Times New Roman"/>
                <w:kern w:val="0"/>
                <w:szCs w:val="20"/>
              </w:rPr>
              <w:t>（mg/L）</w:t>
            </w:r>
          </w:p>
        </w:tc>
        <w:tc>
          <w:tcPr>
            <w:tcW w:w="642" w:type="pct"/>
            <w:vAlign w:val="center"/>
          </w:tcPr>
          <w:p w14:paraId="311F33E9">
            <w:pPr>
              <w:pStyle w:val="445"/>
              <w:rPr>
                <w:rFonts w:cs="Times New Roman"/>
                <w:kern w:val="0"/>
                <w:szCs w:val="20"/>
              </w:rPr>
            </w:pPr>
            <w:r>
              <w:rPr>
                <w:rFonts w:cs="Times New Roman"/>
                <w:kern w:val="0"/>
                <w:szCs w:val="20"/>
              </w:rPr>
              <w:t>≤2.0</w:t>
            </w:r>
          </w:p>
        </w:tc>
        <w:tc>
          <w:tcPr>
            <w:tcW w:w="862" w:type="pct"/>
            <w:vAlign w:val="center"/>
          </w:tcPr>
          <w:p w14:paraId="1517487D">
            <w:pPr>
              <w:pStyle w:val="445"/>
              <w:rPr>
                <w:rFonts w:cs="Times New Roman"/>
                <w:kern w:val="0"/>
                <w:szCs w:val="20"/>
              </w:rPr>
            </w:pPr>
            <w:r>
              <w:rPr>
                <w:rFonts w:cs="Times New Roman"/>
                <w:kern w:val="0"/>
                <w:szCs w:val="20"/>
              </w:rPr>
              <w:t>≤5.0</w:t>
            </w:r>
          </w:p>
        </w:tc>
        <w:tc>
          <w:tcPr>
            <w:tcW w:w="723" w:type="pct"/>
            <w:vAlign w:val="center"/>
          </w:tcPr>
          <w:p w14:paraId="3944AAE4">
            <w:pPr>
              <w:pStyle w:val="445"/>
              <w:rPr>
                <w:rFonts w:cs="Times New Roman"/>
                <w:kern w:val="0"/>
                <w:szCs w:val="20"/>
              </w:rPr>
            </w:pPr>
            <w:r>
              <w:rPr>
                <w:rFonts w:cs="Times New Roman"/>
                <w:kern w:val="0"/>
                <w:szCs w:val="20"/>
              </w:rPr>
              <w:t>≤20</w:t>
            </w:r>
          </w:p>
        </w:tc>
        <w:tc>
          <w:tcPr>
            <w:tcW w:w="924" w:type="pct"/>
            <w:vAlign w:val="center"/>
          </w:tcPr>
          <w:p w14:paraId="1A5CD19C">
            <w:pPr>
              <w:pStyle w:val="445"/>
              <w:rPr>
                <w:rFonts w:cs="Times New Roman"/>
                <w:kern w:val="0"/>
                <w:szCs w:val="20"/>
              </w:rPr>
            </w:pPr>
            <w:r>
              <w:rPr>
                <w:rFonts w:cs="Times New Roman"/>
                <w:kern w:val="0"/>
                <w:szCs w:val="20"/>
              </w:rPr>
              <w:t>≤30</w:t>
            </w:r>
          </w:p>
        </w:tc>
        <w:tc>
          <w:tcPr>
            <w:tcW w:w="830" w:type="pct"/>
            <w:vAlign w:val="center"/>
          </w:tcPr>
          <w:p w14:paraId="75E20CE9">
            <w:pPr>
              <w:pStyle w:val="445"/>
              <w:rPr>
                <w:rFonts w:cs="Times New Roman"/>
                <w:kern w:val="0"/>
                <w:szCs w:val="20"/>
              </w:rPr>
            </w:pPr>
            <w:r>
              <w:rPr>
                <w:rFonts w:cs="Times New Roman"/>
                <w:kern w:val="0"/>
                <w:szCs w:val="20"/>
              </w:rPr>
              <w:t>&gt;30</w:t>
            </w:r>
          </w:p>
        </w:tc>
      </w:tr>
      <w:tr w14:paraId="00BCA6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9A9729E">
            <w:pPr>
              <w:pStyle w:val="445"/>
              <w:rPr>
                <w:rFonts w:cs="Times New Roman"/>
                <w:kern w:val="0"/>
                <w:szCs w:val="20"/>
              </w:rPr>
            </w:pPr>
            <w:r>
              <w:rPr>
                <w:rFonts w:cs="Times New Roman"/>
                <w:kern w:val="0"/>
                <w:szCs w:val="20"/>
              </w:rPr>
              <w:t>亚硝酸盐/（mg/L）</w:t>
            </w:r>
          </w:p>
        </w:tc>
        <w:tc>
          <w:tcPr>
            <w:tcW w:w="642" w:type="pct"/>
            <w:vAlign w:val="center"/>
          </w:tcPr>
          <w:p w14:paraId="749F011F">
            <w:pPr>
              <w:pStyle w:val="445"/>
              <w:rPr>
                <w:rFonts w:cs="Times New Roman"/>
                <w:kern w:val="0"/>
                <w:szCs w:val="20"/>
              </w:rPr>
            </w:pPr>
            <w:r>
              <w:rPr>
                <w:rFonts w:cs="Times New Roman"/>
                <w:kern w:val="0"/>
                <w:szCs w:val="20"/>
              </w:rPr>
              <w:t>≤0.01</w:t>
            </w:r>
          </w:p>
        </w:tc>
        <w:tc>
          <w:tcPr>
            <w:tcW w:w="862" w:type="pct"/>
            <w:vAlign w:val="center"/>
          </w:tcPr>
          <w:p w14:paraId="12FAE77E">
            <w:pPr>
              <w:pStyle w:val="445"/>
              <w:rPr>
                <w:rFonts w:cs="Times New Roman"/>
                <w:kern w:val="0"/>
                <w:szCs w:val="20"/>
              </w:rPr>
            </w:pPr>
            <w:r>
              <w:rPr>
                <w:rFonts w:cs="Times New Roman"/>
                <w:kern w:val="0"/>
                <w:szCs w:val="20"/>
              </w:rPr>
              <w:t>≤0.1</w:t>
            </w:r>
          </w:p>
        </w:tc>
        <w:tc>
          <w:tcPr>
            <w:tcW w:w="723" w:type="pct"/>
            <w:vAlign w:val="center"/>
          </w:tcPr>
          <w:p w14:paraId="3E8F8F89">
            <w:pPr>
              <w:pStyle w:val="445"/>
              <w:rPr>
                <w:rFonts w:cs="Times New Roman"/>
                <w:kern w:val="0"/>
                <w:szCs w:val="20"/>
              </w:rPr>
            </w:pPr>
            <w:r>
              <w:rPr>
                <w:rFonts w:cs="Times New Roman"/>
                <w:kern w:val="0"/>
                <w:szCs w:val="20"/>
              </w:rPr>
              <w:t>≤1.0</w:t>
            </w:r>
          </w:p>
        </w:tc>
        <w:tc>
          <w:tcPr>
            <w:tcW w:w="924" w:type="pct"/>
            <w:vAlign w:val="center"/>
          </w:tcPr>
          <w:p w14:paraId="24824E8B">
            <w:pPr>
              <w:pStyle w:val="445"/>
              <w:rPr>
                <w:rFonts w:cs="Times New Roman"/>
                <w:kern w:val="0"/>
                <w:szCs w:val="20"/>
              </w:rPr>
            </w:pPr>
            <w:r>
              <w:rPr>
                <w:rFonts w:cs="Times New Roman"/>
                <w:kern w:val="0"/>
                <w:szCs w:val="20"/>
              </w:rPr>
              <w:t>≤4.80</w:t>
            </w:r>
          </w:p>
        </w:tc>
        <w:tc>
          <w:tcPr>
            <w:tcW w:w="830" w:type="pct"/>
            <w:vAlign w:val="center"/>
          </w:tcPr>
          <w:p w14:paraId="360BE0D2">
            <w:pPr>
              <w:pStyle w:val="445"/>
              <w:rPr>
                <w:rFonts w:cs="Times New Roman"/>
                <w:kern w:val="0"/>
                <w:szCs w:val="20"/>
              </w:rPr>
            </w:pPr>
            <w:r>
              <w:rPr>
                <w:rFonts w:cs="Times New Roman"/>
                <w:kern w:val="0"/>
                <w:szCs w:val="20"/>
              </w:rPr>
              <w:t>&gt;4.80</w:t>
            </w:r>
          </w:p>
        </w:tc>
      </w:tr>
      <w:tr w14:paraId="55474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60416239">
            <w:pPr>
              <w:pStyle w:val="445"/>
              <w:rPr>
                <w:rFonts w:cs="Times New Roman"/>
                <w:kern w:val="0"/>
                <w:szCs w:val="20"/>
              </w:rPr>
            </w:pPr>
            <w:r>
              <w:rPr>
                <w:rFonts w:cs="Times New Roman"/>
                <w:kern w:val="0"/>
                <w:szCs w:val="20"/>
              </w:rPr>
              <w:t>氰化物/（mg/L）</w:t>
            </w:r>
          </w:p>
        </w:tc>
        <w:tc>
          <w:tcPr>
            <w:tcW w:w="642" w:type="pct"/>
            <w:vAlign w:val="center"/>
          </w:tcPr>
          <w:p w14:paraId="4762012B">
            <w:pPr>
              <w:pStyle w:val="445"/>
              <w:rPr>
                <w:rFonts w:cs="Times New Roman"/>
                <w:kern w:val="0"/>
                <w:szCs w:val="20"/>
              </w:rPr>
            </w:pPr>
            <w:r>
              <w:rPr>
                <w:rFonts w:cs="Times New Roman"/>
                <w:kern w:val="0"/>
                <w:szCs w:val="20"/>
              </w:rPr>
              <w:t>≤0.001</w:t>
            </w:r>
          </w:p>
        </w:tc>
        <w:tc>
          <w:tcPr>
            <w:tcW w:w="862" w:type="pct"/>
            <w:vAlign w:val="center"/>
          </w:tcPr>
          <w:p w14:paraId="15D3B979">
            <w:pPr>
              <w:pStyle w:val="445"/>
              <w:rPr>
                <w:rFonts w:cs="Times New Roman"/>
                <w:kern w:val="0"/>
                <w:szCs w:val="20"/>
              </w:rPr>
            </w:pPr>
            <w:r>
              <w:rPr>
                <w:rFonts w:cs="Times New Roman"/>
                <w:kern w:val="0"/>
                <w:szCs w:val="20"/>
              </w:rPr>
              <w:t>≤0.01</w:t>
            </w:r>
          </w:p>
        </w:tc>
        <w:tc>
          <w:tcPr>
            <w:tcW w:w="723" w:type="pct"/>
            <w:vAlign w:val="center"/>
          </w:tcPr>
          <w:p w14:paraId="767F0B2E">
            <w:pPr>
              <w:pStyle w:val="445"/>
              <w:rPr>
                <w:rFonts w:cs="Times New Roman"/>
                <w:kern w:val="0"/>
                <w:szCs w:val="20"/>
              </w:rPr>
            </w:pPr>
            <w:r>
              <w:rPr>
                <w:rFonts w:cs="Times New Roman"/>
                <w:kern w:val="0"/>
                <w:szCs w:val="20"/>
              </w:rPr>
              <w:t>≤0.05</w:t>
            </w:r>
          </w:p>
        </w:tc>
        <w:tc>
          <w:tcPr>
            <w:tcW w:w="924" w:type="pct"/>
            <w:vAlign w:val="center"/>
          </w:tcPr>
          <w:p w14:paraId="02DCD4B5">
            <w:pPr>
              <w:pStyle w:val="445"/>
              <w:rPr>
                <w:rFonts w:cs="Times New Roman"/>
                <w:kern w:val="0"/>
                <w:szCs w:val="20"/>
              </w:rPr>
            </w:pPr>
            <w:r>
              <w:rPr>
                <w:rFonts w:cs="Times New Roman"/>
                <w:kern w:val="0"/>
                <w:szCs w:val="20"/>
              </w:rPr>
              <w:t>≤0.1</w:t>
            </w:r>
          </w:p>
        </w:tc>
        <w:tc>
          <w:tcPr>
            <w:tcW w:w="830" w:type="pct"/>
            <w:vAlign w:val="center"/>
          </w:tcPr>
          <w:p w14:paraId="6CD8D3EE">
            <w:pPr>
              <w:pStyle w:val="445"/>
              <w:rPr>
                <w:rFonts w:cs="Times New Roman"/>
                <w:kern w:val="0"/>
                <w:szCs w:val="20"/>
              </w:rPr>
            </w:pPr>
            <w:r>
              <w:rPr>
                <w:rFonts w:cs="Times New Roman"/>
                <w:kern w:val="0"/>
                <w:szCs w:val="20"/>
              </w:rPr>
              <w:t>&gt;0.1</w:t>
            </w:r>
          </w:p>
        </w:tc>
      </w:tr>
      <w:tr w14:paraId="38D2E9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2AE6FD17">
            <w:pPr>
              <w:pStyle w:val="445"/>
              <w:rPr>
                <w:rFonts w:cs="Times New Roman"/>
                <w:kern w:val="0"/>
                <w:szCs w:val="20"/>
              </w:rPr>
            </w:pPr>
            <w:r>
              <w:rPr>
                <w:rFonts w:cs="Times New Roman"/>
                <w:kern w:val="0"/>
                <w:szCs w:val="20"/>
              </w:rPr>
              <w:t>氟化物/（mg/L）</w:t>
            </w:r>
          </w:p>
        </w:tc>
        <w:tc>
          <w:tcPr>
            <w:tcW w:w="642" w:type="pct"/>
            <w:vAlign w:val="center"/>
          </w:tcPr>
          <w:p w14:paraId="7A8816FF">
            <w:pPr>
              <w:pStyle w:val="445"/>
              <w:rPr>
                <w:rFonts w:cs="Times New Roman"/>
                <w:kern w:val="0"/>
                <w:szCs w:val="20"/>
              </w:rPr>
            </w:pPr>
            <w:r>
              <w:rPr>
                <w:rFonts w:cs="Times New Roman"/>
                <w:kern w:val="0"/>
                <w:szCs w:val="20"/>
              </w:rPr>
              <w:t>≤1.0</w:t>
            </w:r>
          </w:p>
        </w:tc>
        <w:tc>
          <w:tcPr>
            <w:tcW w:w="862" w:type="pct"/>
            <w:vAlign w:val="center"/>
          </w:tcPr>
          <w:p w14:paraId="51E724F4">
            <w:pPr>
              <w:pStyle w:val="445"/>
              <w:rPr>
                <w:rFonts w:cs="Times New Roman"/>
                <w:kern w:val="0"/>
                <w:szCs w:val="20"/>
              </w:rPr>
            </w:pPr>
            <w:r>
              <w:rPr>
                <w:rFonts w:cs="Times New Roman"/>
                <w:kern w:val="0"/>
                <w:szCs w:val="20"/>
              </w:rPr>
              <w:t>≤1.0</w:t>
            </w:r>
          </w:p>
        </w:tc>
        <w:tc>
          <w:tcPr>
            <w:tcW w:w="723" w:type="pct"/>
            <w:vAlign w:val="center"/>
          </w:tcPr>
          <w:p w14:paraId="2B818945">
            <w:pPr>
              <w:pStyle w:val="445"/>
              <w:rPr>
                <w:rFonts w:cs="Times New Roman"/>
                <w:kern w:val="0"/>
                <w:szCs w:val="20"/>
              </w:rPr>
            </w:pPr>
            <w:r>
              <w:rPr>
                <w:rFonts w:cs="Times New Roman"/>
                <w:kern w:val="0"/>
                <w:szCs w:val="20"/>
              </w:rPr>
              <w:t>≤1.0</w:t>
            </w:r>
          </w:p>
        </w:tc>
        <w:tc>
          <w:tcPr>
            <w:tcW w:w="924" w:type="pct"/>
            <w:vAlign w:val="center"/>
          </w:tcPr>
          <w:p w14:paraId="237BF3BC">
            <w:pPr>
              <w:pStyle w:val="445"/>
              <w:rPr>
                <w:rFonts w:cs="Times New Roman"/>
                <w:kern w:val="0"/>
                <w:szCs w:val="20"/>
              </w:rPr>
            </w:pPr>
            <w:r>
              <w:rPr>
                <w:rFonts w:cs="Times New Roman"/>
                <w:kern w:val="0"/>
                <w:szCs w:val="20"/>
              </w:rPr>
              <w:t>≤2.0</w:t>
            </w:r>
          </w:p>
        </w:tc>
        <w:tc>
          <w:tcPr>
            <w:tcW w:w="830" w:type="pct"/>
            <w:vAlign w:val="center"/>
          </w:tcPr>
          <w:p w14:paraId="65423AB4">
            <w:pPr>
              <w:pStyle w:val="445"/>
              <w:rPr>
                <w:rFonts w:cs="Times New Roman"/>
                <w:kern w:val="0"/>
                <w:szCs w:val="20"/>
              </w:rPr>
            </w:pPr>
            <w:r>
              <w:rPr>
                <w:rFonts w:cs="Times New Roman"/>
                <w:kern w:val="0"/>
                <w:szCs w:val="20"/>
              </w:rPr>
              <w:t>&gt;2.0</w:t>
            </w:r>
          </w:p>
        </w:tc>
      </w:tr>
      <w:tr w14:paraId="32B8FD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E493341">
            <w:pPr>
              <w:pStyle w:val="445"/>
              <w:rPr>
                <w:rFonts w:cs="Times New Roman"/>
                <w:kern w:val="0"/>
                <w:szCs w:val="20"/>
              </w:rPr>
            </w:pPr>
            <w:r>
              <w:rPr>
                <w:rFonts w:cs="Times New Roman"/>
                <w:kern w:val="0"/>
                <w:szCs w:val="20"/>
              </w:rPr>
              <w:t>汞/（mg/L）</w:t>
            </w:r>
          </w:p>
        </w:tc>
        <w:tc>
          <w:tcPr>
            <w:tcW w:w="642" w:type="pct"/>
            <w:vAlign w:val="center"/>
          </w:tcPr>
          <w:p w14:paraId="29400368">
            <w:pPr>
              <w:pStyle w:val="445"/>
              <w:rPr>
                <w:rFonts w:cs="Times New Roman"/>
                <w:kern w:val="0"/>
                <w:szCs w:val="20"/>
              </w:rPr>
            </w:pPr>
            <w:r>
              <w:rPr>
                <w:rFonts w:cs="Times New Roman"/>
                <w:kern w:val="0"/>
                <w:szCs w:val="20"/>
              </w:rPr>
              <w:t>≤0.0001</w:t>
            </w:r>
          </w:p>
        </w:tc>
        <w:tc>
          <w:tcPr>
            <w:tcW w:w="862" w:type="pct"/>
            <w:vAlign w:val="center"/>
          </w:tcPr>
          <w:p w14:paraId="17CF6880">
            <w:pPr>
              <w:pStyle w:val="445"/>
              <w:rPr>
                <w:rFonts w:cs="Times New Roman"/>
                <w:kern w:val="0"/>
                <w:szCs w:val="20"/>
              </w:rPr>
            </w:pPr>
            <w:r>
              <w:rPr>
                <w:rFonts w:cs="Times New Roman"/>
                <w:kern w:val="0"/>
                <w:szCs w:val="20"/>
              </w:rPr>
              <w:t>≤0.0001</w:t>
            </w:r>
          </w:p>
        </w:tc>
        <w:tc>
          <w:tcPr>
            <w:tcW w:w="723" w:type="pct"/>
            <w:vAlign w:val="center"/>
          </w:tcPr>
          <w:p w14:paraId="0AE8C76D">
            <w:pPr>
              <w:pStyle w:val="445"/>
              <w:rPr>
                <w:rFonts w:cs="Times New Roman"/>
                <w:kern w:val="0"/>
                <w:szCs w:val="20"/>
              </w:rPr>
            </w:pPr>
            <w:r>
              <w:rPr>
                <w:rFonts w:cs="Times New Roman"/>
                <w:kern w:val="0"/>
                <w:szCs w:val="20"/>
              </w:rPr>
              <w:t>≤0.001</w:t>
            </w:r>
          </w:p>
        </w:tc>
        <w:tc>
          <w:tcPr>
            <w:tcW w:w="924" w:type="pct"/>
            <w:vAlign w:val="center"/>
          </w:tcPr>
          <w:p w14:paraId="1F375AAB">
            <w:pPr>
              <w:pStyle w:val="445"/>
              <w:rPr>
                <w:rFonts w:cs="Times New Roman"/>
                <w:kern w:val="0"/>
                <w:szCs w:val="20"/>
              </w:rPr>
            </w:pPr>
            <w:r>
              <w:rPr>
                <w:rFonts w:cs="Times New Roman"/>
                <w:kern w:val="0"/>
                <w:szCs w:val="20"/>
              </w:rPr>
              <w:t>≤0.002</w:t>
            </w:r>
          </w:p>
        </w:tc>
        <w:tc>
          <w:tcPr>
            <w:tcW w:w="830" w:type="pct"/>
            <w:vAlign w:val="center"/>
          </w:tcPr>
          <w:p w14:paraId="299E2332">
            <w:pPr>
              <w:pStyle w:val="445"/>
              <w:rPr>
                <w:rFonts w:cs="Times New Roman"/>
                <w:kern w:val="0"/>
                <w:szCs w:val="20"/>
              </w:rPr>
            </w:pPr>
            <w:r>
              <w:rPr>
                <w:rFonts w:cs="Times New Roman"/>
                <w:kern w:val="0"/>
                <w:szCs w:val="20"/>
              </w:rPr>
              <w:t>&gt;0.002</w:t>
            </w:r>
          </w:p>
        </w:tc>
      </w:tr>
      <w:tr w14:paraId="099A1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DD549D0">
            <w:pPr>
              <w:pStyle w:val="445"/>
              <w:rPr>
                <w:rFonts w:cs="Times New Roman"/>
                <w:kern w:val="0"/>
                <w:szCs w:val="20"/>
              </w:rPr>
            </w:pPr>
            <w:r>
              <w:rPr>
                <w:rFonts w:cs="Times New Roman"/>
                <w:kern w:val="0"/>
                <w:szCs w:val="20"/>
              </w:rPr>
              <w:t>砷/（mg/L）</w:t>
            </w:r>
          </w:p>
        </w:tc>
        <w:tc>
          <w:tcPr>
            <w:tcW w:w="642" w:type="pct"/>
            <w:vAlign w:val="center"/>
          </w:tcPr>
          <w:p w14:paraId="7A7D9FAE">
            <w:pPr>
              <w:pStyle w:val="445"/>
              <w:rPr>
                <w:rFonts w:cs="Times New Roman"/>
                <w:kern w:val="0"/>
                <w:szCs w:val="20"/>
              </w:rPr>
            </w:pPr>
            <w:r>
              <w:rPr>
                <w:rFonts w:cs="Times New Roman"/>
                <w:kern w:val="0"/>
                <w:szCs w:val="20"/>
              </w:rPr>
              <w:t>≤0.001</w:t>
            </w:r>
          </w:p>
        </w:tc>
        <w:tc>
          <w:tcPr>
            <w:tcW w:w="862" w:type="pct"/>
            <w:vAlign w:val="center"/>
          </w:tcPr>
          <w:p w14:paraId="4063BE70">
            <w:pPr>
              <w:pStyle w:val="445"/>
              <w:rPr>
                <w:rFonts w:cs="Times New Roman"/>
                <w:kern w:val="0"/>
                <w:szCs w:val="20"/>
              </w:rPr>
            </w:pPr>
            <w:r>
              <w:rPr>
                <w:rFonts w:cs="Times New Roman"/>
                <w:kern w:val="0"/>
                <w:szCs w:val="20"/>
              </w:rPr>
              <w:t>≤0.001</w:t>
            </w:r>
          </w:p>
        </w:tc>
        <w:tc>
          <w:tcPr>
            <w:tcW w:w="723" w:type="pct"/>
            <w:vAlign w:val="center"/>
          </w:tcPr>
          <w:p w14:paraId="4D8D9BA3">
            <w:pPr>
              <w:pStyle w:val="445"/>
              <w:rPr>
                <w:rFonts w:cs="Times New Roman"/>
                <w:kern w:val="0"/>
                <w:szCs w:val="20"/>
              </w:rPr>
            </w:pPr>
            <w:r>
              <w:rPr>
                <w:rFonts w:cs="Times New Roman"/>
                <w:kern w:val="0"/>
                <w:szCs w:val="20"/>
              </w:rPr>
              <w:t>≤0.01</w:t>
            </w:r>
          </w:p>
        </w:tc>
        <w:tc>
          <w:tcPr>
            <w:tcW w:w="924" w:type="pct"/>
            <w:vAlign w:val="center"/>
          </w:tcPr>
          <w:p w14:paraId="4C98AAF5">
            <w:pPr>
              <w:pStyle w:val="445"/>
              <w:rPr>
                <w:rFonts w:cs="Times New Roman"/>
                <w:kern w:val="0"/>
                <w:szCs w:val="20"/>
              </w:rPr>
            </w:pPr>
            <w:r>
              <w:rPr>
                <w:rFonts w:cs="Times New Roman"/>
                <w:kern w:val="0"/>
                <w:szCs w:val="20"/>
              </w:rPr>
              <w:t>≤0.05</w:t>
            </w:r>
          </w:p>
        </w:tc>
        <w:tc>
          <w:tcPr>
            <w:tcW w:w="830" w:type="pct"/>
            <w:vAlign w:val="center"/>
          </w:tcPr>
          <w:p w14:paraId="17E364AE">
            <w:pPr>
              <w:pStyle w:val="445"/>
              <w:rPr>
                <w:rFonts w:cs="Times New Roman"/>
                <w:kern w:val="0"/>
                <w:szCs w:val="20"/>
              </w:rPr>
            </w:pPr>
            <w:r>
              <w:rPr>
                <w:rFonts w:cs="Times New Roman"/>
                <w:kern w:val="0"/>
                <w:szCs w:val="20"/>
              </w:rPr>
              <w:t>&gt;0.05</w:t>
            </w:r>
          </w:p>
        </w:tc>
      </w:tr>
      <w:tr w14:paraId="6A9F70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8188271">
            <w:pPr>
              <w:pStyle w:val="445"/>
              <w:rPr>
                <w:rFonts w:cs="Times New Roman"/>
                <w:kern w:val="0"/>
                <w:szCs w:val="20"/>
              </w:rPr>
            </w:pPr>
            <w:r>
              <w:rPr>
                <w:rFonts w:hint="eastAsia" w:cs="Times New Roman"/>
                <w:kern w:val="0"/>
                <w:szCs w:val="20"/>
              </w:rPr>
              <w:t>硒/</w:t>
            </w:r>
            <w:r>
              <w:rPr>
                <w:rFonts w:cs="Times New Roman"/>
                <w:kern w:val="0"/>
                <w:szCs w:val="20"/>
              </w:rPr>
              <w:t>（mg/L）</w:t>
            </w:r>
          </w:p>
        </w:tc>
        <w:tc>
          <w:tcPr>
            <w:tcW w:w="642" w:type="pct"/>
            <w:vAlign w:val="center"/>
          </w:tcPr>
          <w:p w14:paraId="5F512A13">
            <w:pPr>
              <w:pStyle w:val="445"/>
              <w:rPr>
                <w:rFonts w:cs="Times New Roman"/>
                <w:kern w:val="0"/>
                <w:szCs w:val="20"/>
              </w:rPr>
            </w:pPr>
            <w:r>
              <w:rPr>
                <w:rFonts w:cs="Times New Roman"/>
                <w:kern w:val="0"/>
                <w:szCs w:val="20"/>
              </w:rPr>
              <w:t>≤0.01</w:t>
            </w:r>
          </w:p>
        </w:tc>
        <w:tc>
          <w:tcPr>
            <w:tcW w:w="862" w:type="pct"/>
            <w:vAlign w:val="center"/>
          </w:tcPr>
          <w:p w14:paraId="47C81303">
            <w:pPr>
              <w:pStyle w:val="445"/>
              <w:rPr>
                <w:rFonts w:cs="Times New Roman"/>
                <w:kern w:val="0"/>
                <w:szCs w:val="20"/>
              </w:rPr>
            </w:pPr>
            <w:r>
              <w:rPr>
                <w:rFonts w:cs="Times New Roman"/>
                <w:kern w:val="0"/>
                <w:szCs w:val="20"/>
              </w:rPr>
              <w:t>≤0.01</w:t>
            </w:r>
          </w:p>
        </w:tc>
        <w:tc>
          <w:tcPr>
            <w:tcW w:w="723" w:type="pct"/>
            <w:vAlign w:val="center"/>
          </w:tcPr>
          <w:p w14:paraId="618E3A72">
            <w:pPr>
              <w:pStyle w:val="445"/>
              <w:rPr>
                <w:rFonts w:cs="Times New Roman"/>
                <w:kern w:val="0"/>
                <w:szCs w:val="20"/>
              </w:rPr>
            </w:pPr>
            <w:r>
              <w:rPr>
                <w:rFonts w:cs="Times New Roman"/>
                <w:kern w:val="0"/>
                <w:szCs w:val="20"/>
              </w:rPr>
              <w:t>≤0.01</w:t>
            </w:r>
          </w:p>
        </w:tc>
        <w:tc>
          <w:tcPr>
            <w:tcW w:w="924" w:type="pct"/>
            <w:vAlign w:val="center"/>
          </w:tcPr>
          <w:p w14:paraId="286517E2">
            <w:pPr>
              <w:pStyle w:val="445"/>
              <w:rPr>
                <w:rFonts w:cs="Times New Roman"/>
                <w:kern w:val="0"/>
                <w:szCs w:val="20"/>
              </w:rPr>
            </w:pPr>
            <w:r>
              <w:rPr>
                <w:rFonts w:cs="Times New Roman"/>
                <w:kern w:val="0"/>
                <w:szCs w:val="20"/>
              </w:rPr>
              <w:t>≤0.1</w:t>
            </w:r>
          </w:p>
        </w:tc>
        <w:tc>
          <w:tcPr>
            <w:tcW w:w="830" w:type="pct"/>
            <w:vAlign w:val="center"/>
          </w:tcPr>
          <w:p w14:paraId="4952053A">
            <w:pPr>
              <w:pStyle w:val="445"/>
              <w:rPr>
                <w:rFonts w:cs="Times New Roman"/>
                <w:kern w:val="0"/>
                <w:szCs w:val="20"/>
              </w:rPr>
            </w:pPr>
            <w:r>
              <w:rPr>
                <w:rFonts w:cs="Times New Roman"/>
                <w:kern w:val="0"/>
                <w:szCs w:val="20"/>
              </w:rPr>
              <w:t>&gt;0.1</w:t>
            </w:r>
          </w:p>
        </w:tc>
      </w:tr>
      <w:tr w14:paraId="1CD53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1BAA71C">
            <w:pPr>
              <w:pStyle w:val="445"/>
              <w:rPr>
                <w:rFonts w:cs="Times New Roman"/>
                <w:kern w:val="0"/>
                <w:szCs w:val="20"/>
              </w:rPr>
            </w:pPr>
            <w:r>
              <w:rPr>
                <w:rFonts w:cs="Times New Roman"/>
                <w:kern w:val="0"/>
                <w:szCs w:val="20"/>
              </w:rPr>
              <w:t>镉/（mg/L）</w:t>
            </w:r>
          </w:p>
        </w:tc>
        <w:tc>
          <w:tcPr>
            <w:tcW w:w="642" w:type="pct"/>
            <w:vAlign w:val="center"/>
          </w:tcPr>
          <w:p w14:paraId="70A98D33">
            <w:pPr>
              <w:pStyle w:val="445"/>
              <w:rPr>
                <w:rFonts w:cs="Times New Roman"/>
                <w:kern w:val="0"/>
                <w:szCs w:val="20"/>
              </w:rPr>
            </w:pPr>
            <w:r>
              <w:rPr>
                <w:rFonts w:cs="Times New Roman"/>
                <w:kern w:val="0"/>
                <w:szCs w:val="20"/>
              </w:rPr>
              <w:t>≤0.0001</w:t>
            </w:r>
          </w:p>
        </w:tc>
        <w:tc>
          <w:tcPr>
            <w:tcW w:w="862" w:type="pct"/>
            <w:vAlign w:val="center"/>
          </w:tcPr>
          <w:p w14:paraId="339AC7EE">
            <w:pPr>
              <w:pStyle w:val="445"/>
              <w:rPr>
                <w:rFonts w:cs="Times New Roman"/>
                <w:kern w:val="0"/>
                <w:szCs w:val="20"/>
              </w:rPr>
            </w:pPr>
            <w:r>
              <w:rPr>
                <w:rFonts w:cs="Times New Roman"/>
                <w:kern w:val="0"/>
                <w:szCs w:val="20"/>
              </w:rPr>
              <w:t>≤0.001</w:t>
            </w:r>
          </w:p>
        </w:tc>
        <w:tc>
          <w:tcPr>
            <w:tcW w:w="723" w:type="pct"/>
            <w:vAlign w:val="center"/>
          </w:tcPr>
          <w:p w14:paraId="53F4BD51">
            <w:pPr>
              <w:pStyle w:val="445"/>
              <w:rPr>
                <w:rFonts w:cs="Times New Roman"/>
                <w:kern w:val="0"/>
                <w:szCs w:val="20"/>
              </w:rPr>
            </w:pPr>
            <w:r>
              <w:rPr>
                <w:rFonts w:cs="Times New Roman"/>
                <w:kern w:val="0"/>
                <w:szCs w:val="20"/>
              </w:rPr>
              <w:t>≤0.005</w:t>
            </w:r>
          </w:p>
        </w:tc>
        <w:tc>
          <w:tcPr>
            <w:tcW w:w="924" w:type="pct"/>
            <w:vAlign w:val="center"/>
          </w:tcPr>
          <w:p w14:paraId="6F0FADAE">
            <w:pPr>
              <w:pStyle w:val="445"/>
              <w:rPr>
                <w:rFonts w:cs="Times New Roman"/>
                <w:kern w:val="0"/>
                <w:szCs w:val="20"/>
              </w:rPr>
            </w:pPr>
            <w:r>
              <w:rPr>
                <w:rFonts w:cs="Times New Roman"/>
                <w:kern w:val="0"/>
                <w:szCs w:val="20"/>
              </w:rPr>
              <w:t>≤0.01</w:t>
            </w:r>
          </w:p>
        </w:tc>
        <w:tc>
          <w:tcPr>
            <w:tcW w:w="830" w:type="pct"/>
            <w:vAlign w:val="center"/>
          </w:tcPr>
          <w:p w14:paraId="4786E392">
            <w:pPr>
              <w:pStyle w:val="445"/>
              <w:rPr>
                <w:rFonts w:cs="Times New Roman"/>
                <w:kern w:val="0"/>
                <w:szCs w:val="20"/>
              </w:rPr>
            </w:pPr>
            <w:r>
              <w:rPr>
                <w:rFonts w:cs="Times New Roman"/>
                <w:kern w:val="0"/>
                <w:szCs w:val="20"/>
              </w:rPr>
              <w:t>&gt;0.01</w:t>
            </w:r>
          </w:p>
        </w:tc>
      </w:tr>
      <w:tr w14:paraId="46BFE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3BF27EE0">
            <w:pPr>
              <w:pStyle w:val="445"/>
              <w:rPr>
                <w:rFonts w:cs="Times New Roman"/>
                <w:kern w:val="0"/>
                <w:szCs w:val="20"/>
              </w:rPr>
            </w:pPr>
            <w:r>
              <w:rPr>
                <w:rFonts w:cs="Times New Roman"/>
                <w:kern w:val="0"/>
                <w:szCs w:val="20"/>
              </w:rPr>
              <w:t>铬（六价）/（mg/L）</w:t>
            </w:r>
          </w:p>
        </w:tc>
        <w:tc>
          <w:tcPr>
            <w:tcW w:w="642" w:type="pct"/>
            <w:vAlign w:val="center"/>
          </w:tcPr>
          <w:p w14:paraId="60FA1BA2">
            <w:pPr>
              <w:pStyle w:val="445"/>
              <w:rPr>
                <w:rFonts w:cs="Times New Roman"/>
                <w:kern w:val="0"/>
                <w:szCs w:val="20"/>
              </w:rPr>
            </w:pPr>
            <w:r>
              <w:rPr>
                <w:rFonts w:cs="Times New Roman"/>
                <w:kern w:val="0"/>
                <w:szCs w:val="20"/>
              </w:rPr>
              <w:t>≤0.005</w:t>
            </w:r>
          </w:p>
        </w:tc>
        <w:tc>
          <w:tcPr>
            <w:tcW w:w="862" w:type="pct"/>
            <w:vAlign w:val="center"/>
          </w:tcPr>
          <w:p w14:paraId="760301E5">
            <w:pPr>
              <w:pStyle w:val="445"/>
              <w:rPr>
                <w:rFonts w:cs="Times New Roman"/>
                <w:kern w:val="0"/>
                <w:szCs w:val="20"/>
              </w:rPr>
            </w:pPr>
            <w:r>
              <w:rPr>
                <w:rFonts w:cs="Times New Roman"/>
                <w:kern w:val="0"/>
                <w:szCs w:val="20"/>
              </w:rPr>
              <w:t>≤0.01</w:t>
            </w:r>
          </w:p>
        </w:tc>
        <w:tc>
          <w:tcPr>
            <w:tcW w:w="723" w:type="pct"/>
            <w:vAlign w:val="center"/>
          </w:tcPr>
          <w:p w14:paraId="6C6CAB8B">
            <w:pPr>
              <w:pStyle w:val="445"/>
              <w:rPr>
                <w:rFonts w:cs="Times New Roman"/>
                <w:kern w:val="0"/>
                <w:szCs w:val="20"/>
              </w:rPr>
            </w:pPr>
            <w:r>
              <w:rPr>
                <w:rFonts w:cs="Times New Roman"/>
                <w:kern w:val="0"/>
                <w:szCs w:val="20"/>
              </w:rPr>
              <w:t>≤0.05</w:t>
            </w:r>
          </w:p>
        </w:tc>
        <w:tc>
          <w:tcPr>
            <w:tcW w:w="924" w:type="pct"/>
            <w:vAlign w:val="center"/>
          </w:tcPr>
          <w:p w14:paraId="1FFDEF5B">
            <w:pPr>
              <w:pStyle w:val="445"/>
              <w:rPr>
                <w:rFonts w:cs="Times New Roman"/>
                <w:kern w:val="0"/>
                <w:szCs w:val="20"/>
              </w:rPr>
            </w:pPr>
            <w:r>
              <w:rPr>
                <w:rFonts w:cs="Times New Roman"/>
                <w:kern w:val="0"/>
                <w:szCs w:val="20"/>
              </w:rPr>
              <w:t>≤0.1</w:t>
            </w:r>
          </w:p>
        </w:tc>
        <w:tc>
          <w:tcPr>
            <w:tcW w:w="830" w:type="pct"/>
            <w:vAlign w:val="center"/>
          </w:tcPr>
          <w:p w14:paraId="6BD43346">
            <w:pPr>
              <w:pStyle w:val="445"/>
              <w:rPr>
                <w:rFonts w:cs="Times New Roman"/>
                <w:kern w:val="0"/>
                <w:szCs w:val="20"/>
              </w:rPr>
            </w:pPr>
            <w:r>
              <w:rPr>
                <w:rFonts w:cs="Times New Roman"/>
                <w:kern w:val="0"/>
                <w:szCs w:val="20"/>
              </w:rPr>
              <w:t>&gt;0.1</w:t>
            </w:r>
          </w:p>
        </w:tc>
      </w:tr>
      <w:tr w14:paraId="28522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C0C143A">
            <w:pPr>
              <w:pStyle w:val="445"/>
              <w:rPr>
                <w:rFonts w:cs="Times New Roman"/>
                <w:kern w:val="0"/>
                <w:szCs w:val="20"/>
              </w:rPr>
            </w:pPr>
            <w:r>
              <w:rPr>
                <w:rFonts w:cs="Times New Roman"/>
                <w:kern w:val="0"/>
                <w:szCs w:val="20"/>
              </w:rPr>
              <w:t>铅/（mg/L）</w:t>
            </w:r>
          </w:p>
        </w:tc>
        <w:tc>
          <w:tcPr>
            <w:tcW w:w="642" w:type="pct"/>
            <w:vAlign w:val="center"/>
          </w:tcPr>
          <w:p w14:paraId="0670CDA4">
            <w:pPr>
              <w:pStyle w:val="445"/>
              <w:rPr>
                <w:rFonts w:cs="Times New Roman"/>
                <w:kern w:val="0"/>
                <w:szCs w:val="20"/>
              </w:rPr>
            </w:pPr>
            <w:r>
              <w:rPr>
                <w:rFonts w:cs="Times New Roman"/>
                <w:kern w:val="0"/>
                <w:szCs w:val="20"/>
              </w:rPr>
              <w:t>≤0.005</w:t>
            </w:r>
          </w:p>
        </w:tc>
        <w:tc>
          <w:tcPr>
            <w:tcW w:w="862" w:type="pct"/>
            <w:vAlign w:val="center"/>
          </w:tcPr>
          <w:p w14:paraId="308DB484">
            <w:pPr>
              <w:pStyle w:val="445"/>
              <w:rPr>
                <w:rFonts w:cs="Times New Roman"/>
                <w:kern w:val="0"/>
                <w:szCs w:val="20"/>
              </w:rPr>
            </w:pPr>
            <w:r>
              <w:rPr>
                <w:rFonts w:cs="Times New Roman"/>
                <w:kern w:val="0"/>
                <w:szCs w:val="20"/>
              </w:rPr>
              <w:t>≤0.005</w:t>
            </w:r>
          </w:p>
        </w:tc>
        <w:tc>
          <w:tcPr>
            <w:tcW w:w="723" w:type="pct"/>
            <w:vAlign w:val="center"/>
          </w:tcPr>
          <w:p w14:paraId="4752FEAD">
            <w:pPr>
              <w:pStyle w:val="445"/>
              <w:rPr>
                <w:rFonts w:cs="Times New Roman"/>
                <w:kern w:val="0"/>
                <w:szCs w:val="20"/>
              </w:rPr>
            </w:pPr>
            <w:r>
              <w:rPr>
                <w:rFonts w:cs="Times New Roman"/>
                <w:kern w:val="0"/>
                <w:szCs w:val="20"/>
              </w:rPr>
              <w:t>≤0.01</w:t>
            </w:r>
          </w:p>
        </w:tc>
        <w:tc>
          <w:tcPr>
            <w:tcW w:w="924" w:type="pct"/>
            <w:vAlign w:val="center"/>
          </w:tcPr>
          <w:p w14:paraId="5600FAB4">
            <w:pPr>
              <w:pStyle w:val="445"/>
              <w:rPr>
                <w:rFonts w:cs="Times New Roman"/>
                <w:kern w:val="0"/>
                <w:szCs w:val="20"/>
              </w:rPr>
            </w:pPr>
            <w:r>
              <w:rPr>
                <w:rFonts w:cs="Times New Roman"/>
                <w:kern w:val="0"/>
                <w:szCs w:val="20"/>
              </w:rPr>
              <w:t>≤0.1</w:t>
            </w:r>
          </w:p>
        </w:tc>
        <w:tc>
          <w:tcPr>
            <w:tcW w:w="830" w:type="pct"/>
            <w:vAlign w:val="center"/>
          </w:tcPr>
          <w:p w14:paraId="7E9EACA5">
            <w:pPr>
              <w:pStyle w:val="445"/>
              <w:rPr>
                <w:rFonts w:cs="Times New Roman"/>
                <w:kern w:val="0"/>
                <w:szCs w:val="20"/>
              </w:rPr>
            </w:pPr>
            <w:r>
              <w:rPr>
                <w:rFonts w:cs="Times New Roman"/>
                <w:kern w:val="0"/>
                <w:szCs w:val="20"/>
              </w:rPr>
              <w:t>&gt;0.1</w:t>
            </w:r>
          </w:p>
        </w:tc>
      </w:tr>
      <w:tr w14:paraId="6C0B64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73A0CA72">
            <w:pPr>
              <w:pStyle w:val="445"/>
              <w:rPr>
                <w:rFonts w:cs="Times New Roman"/>
                <w:kern w:val="0"/>
                <w:szCs w:val="20"/>
              </w:rPr>
            </w:pPr>
            <w:r>
              <w:rPr>
                <w:rFonts w:hint="eastAsia" w:cs="Times New Roman"/>
                <w:kern w:val="0"/>
                <w:szCs w:val="20"/>
              </w:rPr>
              <w:t>三氯甲烷/（</w:t>
            </w:r>
            <w:r>
              <w:rPr>
                <w:rFonts w:cs="Times New Roman"/>
                <w:kern w:val="0"/>
                <w:szCs w:val="20"/>
              </w:rPr>
              <w:t>μg/L</w:t>
            </w:r>
            <w:r>
              <w:rPr>
                <w:rFonts w:hint="eastAsia" w:cs="Times New Roman"/>
                <w:kern w:val="0"/>
                <w:szCs w:val="20"/>
              </w:rPr>
              <w:t>）</w:t>
            </w:r>
          </w:p>
        </w:tc>
        <w:tc>
          <w:tcPr>
            <w:tcW w:w="642" w:type="pct"/>
            <w:vAlign w:val="center"/>
          </w:tcPr>
          <w:p w14:paraId="7A8371B2">
            <w:pPr>
              <w:pStyle w:val="445"/>
              <w:rPr>
                <w:rFonts w:cs="Times New Roman"/>
                <w:kern w:val="0"/>
                <w:szCs w:val="20"/>
              </w:rPr>
            </w:pPr>
            <w:r>
              <w:rPr>
                <w:rFonts w:cs="Times New Roman"/>
                <w:kern w:val="0"/>
                <w:szCs w:val="20"/>
              </w:rPr>
              <w:t>≤0.5</w:t>
            </w:r>
          </w:p>
        </w:tc>
        <w:tc>
          <w:tcPr>
            <w:tcW w:w="862" w:type="pct"/>
            <w:vAlign w:val="center"/>
          </w:tcPr>
          <w:p w14:paraId="1FADA44A">
            <w:pPr>
              <w:pStyle w:val="445"/>
              <w:rPr>
                <w:rFonts w:cs="Times New Roman"/>
                <w:kern w:val="0"/>
                <w:szCs w:val="20"/>
              </w:rPr>
            </w:pPr>
            <w:r>
              <w:rPr>
                <w:rFonts w:cs="Times New Roman"/>
                <w:kern w:val="0"/>
                <w:szCs w:val="20"/>
              </w:rPr>
              <w:t>≤6</w:t>
            </w:r>
          </w:p>
        </w:tc>
        <w:tc>
          <w:tcPr>
            <w:tcW w:w="723" w:type="pct"/>
            <w:vAlign w:val="center"/>
          </w:tcPr>
          <w:p w14:paraId="638470A4">
            <w:pPr>
              <w:pStyle w:val="445"/>
              <w:rPr>
                <w:rFonts w:cs="Times New Roman"/>
                <w:kern w:val="0"/>
                <w:szCs w:val="20"/>
              </w:rPr>
            </w:pPr>
            <w:r>
              <w:rPr>
                <w:rFonts w:cs="Times New Roman"/>
                <w:kern w:val="0"/>
                <w:szCs w:val="20"/>
              </w:rPr>
              <w:t>≤60</w:t>
            </w:r>
          </w:p>
        </w:tc>
        <w:tc>
          <w:tcPr>
            <w:tcW w:w="924" w:type="pct"/>
            <w:vAlign w:val="center"/>
          </w:tcPr>
          <w:p w14:paraId="6AE22189">
            <w:pPr>
              <w:pStyle w:val="445"/>
              <w:rPr>
                <w:rFonts w:cs="Times New Roman"/>
                <w:kern w:val="0"/>
                <w:szCs w:val="20"/>
              </w:rPr>
            </w:pPr>
            <w:r>
              <w:rPr>
                <w:rFonts w:cs="Times New Roman"/>
                <w:kern w:val="0"/>
                <w:szCs w:val="20"/>
              </w:rPr>
              <w:t>≤300</w:t>
            </w:r>
          </w:p>
        </w:tc>
        <w:tc>
          <w:tcPr>
            <w:tcW w:w="830" w:type="pct"/>
            <w:vAlign w:val="center"/>
          </w:tcPr>
          <w:p w14:paraId="002D7C6F">
            <w:pPr>
              <w:pStyle w:val="445"/>
              <w:rPr>
                <w:rFonts w:cs="Times New Roman"/>
                <w:kern w:val="0"/>
                <w:szCs w:val="20"/>
              </w:rPr>
            </w:pPr>
            <w:r>
              <w:rPr>
                <w:rFonts w:cs="Times New Roman"/>
                <w:kern w:val="0"/>
                <w:szCs w:val="20"/>
              </w:rPr>
              <w:t>&gt;300</w:t>
            </w:r>
          </w:p>
        </w:tc>
      </w:tr>
      <w:tr w14:paraId="12D20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0C2C81B8">
            <w:pPr>
              <w:pStyle w:val="445"/>
              <w:rPr>
                <w:rFonts w:cs="Times New Roman"/>
                <w:kern w:val="0"/>
                <w:szCs w:val="20"/>
              </w:rPr>
            </w:pPr>
            <w:r>
              <w:rPr>
                <w:rFonts w:hint="eastAsia" w:cs="Times New Roman"/>
                <w:kern w:val="0"/>
                <w:szCs w:val="20"/>
              </w:rPr>
              <w:t>四氯化碳/（</w:t>
            </w:r>
            <w:r>
              <w:rPr>
                <w:rFonts w:cs="Times New Roman"/>
                <w:kern w:val="0"/>
                <w:szCs w:val="20"/>
              </w:rPr>
              <w:t>μg/L</w:t>
            </w:r>
            <w:r>
              <w:rPr>
                <w:rFonts w:hint="eastAsia" w:cs="Times New Roman"/>
                <w:kern w:val="0"/>
                <w:szCs w:val="20"/>
              </w:rPr>
              <w:t>）</w:t>
            </w:r>
          </w:p>
        </w:tc>
        <w:tc>
          <w:tcPr>
            <w:tcW w:w="642" w:type="pct"/>
            <w:vAlign w:val="center"/>
          </w:tcPr>
          <w:p w14:paraId="22791DA1">
            <w:pPr>
              <w:pStyle w:val="445"/>
              <w:rPr>
                <w:rFonts w:cs="Times New Roman"/>
                <w:kern w:val="0"/>
                <w:szCs w:val="20"/>
              </w:rPr>
            </w:pPr>
            <w:r>
              <w:rPr>
                <w:rFonts w:cs="Times New Roman"/>
                <w:kern w:val="0"/>
                <w:szCs w:val="20"/>
              </w:rPr>
              <w:t>≤0.6</w:t>
            </w:r>
          </w:p>
        </w:tc>
        <w:tc>
          <w:tcPr>
            <w:tcW w:w="862" w:type="pct"/>
            <w:vAlign w:val="center"/>
          </w:tcPr>
          <w:p w14:paraId="1B725C4B">
            <w:pPr>
              <w:pStyle w:val="445"/>
              <w:rPr>
                <w:rFonts w:cs="Times New Roman"/>
                <w:kern w:val="0"/>
                <w:szCs w:val="20"/>
              </w:rPr>
            </w:pPr>
            <w:r>
              <w:rPr>
                <w:rFonts w:cs="Times New Roman"/>
                <w:kern w:val="0"/>
                <w:szCs w:val="20"/>
              </w:rPr>
              <w:t>≤0.5</w:t>
            </w:r>
          </w:p>
        </w:tc>
        <w:tc>
          <w:tcPr>
            <w:tcW w:w="723" w:type="pct"/>
            <w:vAlign w:val="center"/>
          </w:tcPr>
          <w:p w14:paraId="0D4B6292">
            <w:pPr>
              <w:pStyle w:val="445"/>
              <w:rPr>
                <w:rFonts w:cs="Times New Roman"/>
                <w:kern w:val="0"/>
                <w:szCs w:val="20"/>
              </w:rPr>
            </w:pPr>
            <w:r>
              <w:rPr>
                <w:rFonts w:cs="Times New Roman"/>
                <w:kern w:val="0"/>
                <w:szCs w:val="20"/>
              </w:rPr>
              <w:t>≤2.0</w:t>
            </w:r>
          </w:p>
        </w:tc>
        <w:tc>
          <w:tcPr>
            <w:tcW w:w="924" w:type="pct"/>
            <w:vAlign w:val="center"/>
          </w:tcPr>
          <w:p w14:paraId="20112CCB">
            <w:pPr>
              <w:pStyle w:val="445"/>
              <w:rPr>
                <w:rFonts w:cs="Times New Roman"/>
                <w:kern w:val="0"/>
                <w:szCs w:val="20"/>
              </w:rPr>
            </w:pPr>
            <w:r>
              <w:rPr>
                <w:rFonts w:cs="Times New Roman"/>
                <w:kern w:val="0"/>
                <w:szCs w:val="20"/>
              </w:rPr>
              <w:t>≤50</w:t>
            </w:r>
          </w:p>
        </w:tc>
        <w:tc>
          <w:tcPr>
            <w:tcW w:w="830" w:type="pct"/>
            <w:vAlign w:val="center"/>
          </w:tcPr>
          <w:p w14:paraId="4DF03299">
            <w:pPr>
              <w:pStyle w:val="445"/>
              <w:rPr>
                <w:rFonts w:cs="Times New Roman"/>
                <w:kern w:val="0"/>
                <w:szCs w:val="20"/>
              </w:rPr>
            </w:pPr>
            <w:r>
              <w:rPr>
                <w:rFonts w:cs="Times New Roman"/>
                <w:kern w:val="0"/>
                <w:szCs w:val="20"/>
              </w:rPr>
              <w:t>&gt;50</w:t>
            </w:r>
          </w:p>
        </w:tc>
      </w:tr>
      <w:tr w14:paraId="180D0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1DCB0F84">
            <w:pPr>
              <w:pStyle w:val="445"/>
              <w:rPr>
                <w:rFonts w:cs="Times New Roman"/>
                <w:kern w:val="0"/>
                <w:szCs w:val="20"/>
              </w:rPr>
            </w:pPr>
            <w:r>
              <w:rPr>
                <w:rFonts w:hint="eastAsia" w:cs="Times New Roman"/>
                <w:kern w:val="0"/>
                <w:szCs w:val="20"/>
              </w:rPr>
              <w:t>苯/（</w:t>
            </w:r>
            <w:r>
              <w:rPr>
                <w:rFonts w:cs="Times New Roman"/>
                <w:kern w:val="0"/>
                <w:szCs w:val="20"/>
              </w:rPr>
              <w:t>μg/L</w:t>
            </w:r>
            <w:r>
              <w:rPr>
                <w:rFonts w:hint="eastAsia" w:cs="Times New Roman"/>
                <w:kern w:val="0"/>
                <w:szCs w:val="20"/>
              </w:rPr>
              <w:t>）</w:t>
            </w:r>
          </w:p>
        </w:tc>
        <w:tc>
          <w:tcPr>
            <w:tcW w:w="642" w:type="pct"/>
            <w:vAlign w:val="center"/>
          </w:tcPr>
          <w:p w14:paraId="121F0AFB">
            <w:pPr>
              <w:pStyle w:val="445"/>
              <w:rPr>
                <w:rFonts w:cs="Times New Roman"/>
                <w:kern w:val="0"/>
                <w:szCs w:val="20"/>
              </w:rPr>
            </w:pPr>
            <w:r>
              <w:rPr>
                <w:rFonts w:cs="Times New Roman"/>
                <w:kern w:val="0"/>
                <w:szCs w:val="20"/>
              </w:rPr>
              <w:t>≤0.5</w:t>
            </w:r>
          </w:p>
        </w:tc>
        <w:tc>
          <w:tcPr>
            <w:tcW w:w="862" w:type="pct"/>
            <w:vAlign w:val="center"/>
          </w:tcPr>
          <w:p w14:paraId="4BF4F25C">
            <w:pPr>
              <w:pStyle w:val="445"/>
              <w:rPr>
                <w:rFonts w:cs="Times New Roman"/>
                <w:kern w:val="0"/>
                <w:szCs w:val="20"/>
              </w:rPr>
            </w:pPr>
            <w:r>
              <w:rPr>
                <w:rFonts w:cs="Times New Roman"/>
                <w:kern w:val="0"/>
                <w:szCs w:val="20"/>
              </w:rPr>
              <w:t>≤1.0</w:t>
            </w:r>
          </w:p>
        </w:tc>
        <w:tc>
          <w:tcPr>
            <w:tcW w:w="723" w:type="pct"/>
            <w:vAlign w:val="center"/>
          </w:tcPr>
          <w:p w14:paraId="0F028F96">
            <w:pPr>
              <w:pStyle w:val="445"/>
              <w:rPr>
                <w:rFonts w:cs="Times New Roman"/>
                <w:kern w:val="0"/>
                <w:szCs w:val="20"/>
              </w:rPr>
            </w:pPr>
            <w:r>
              <w:rPr>
                <w:rFonts w:cs="Times New Roman"/>
                <w:kern w:val="0"/>
                <w:szCs w:val="20"/>
              </w:rPr>
              <w:t>≤10.0</w:t>
            </w:r>
          </w:p>
        </w:tc>
        <w:tc>
          <w:tcPr>
            <w:tcW w:w="924" w:type="pct"/>
            <w:vAlign w:val="center"/>
          </w:tcPr>
          <w:p w14:paraId="704B3100">
            <w:pPr>
              <w:pStyle w:val="445"/>
              <w:rPr>
                <w:rFonts w:cs="Times New Roman"/>
                <w:kern w:val="0"/>
                <w:szCs w:val="20"/>
              </w:rPr>
            </w:pPr>
            <w:r>
              <w:rPr>
                <w:rFonts w:cs="Times New Roman"/>
                <w:kern w:val="0"/>
                <w:szCs w:val="20"/>
              </w:rPr>
              <w:t>≤120</w:t>
            </w:r>
          </w:p>
        </w:tc>
        <w:tc>
          <w:tcPr>
            <w:tcW w:w="830" w:type="pct"/>
            <w:vAlign w:val="center"/>
          </w:tcPr>
          <w:p w14:paraId="0FA3C018">
            <w:pPr>
              <w:pStyle w:val="445"/>
              <w:rPr>
                <w:rFonts w:cs="Times New Roman"/>
                <w:kern w:val="0"/>
                <w:szCs w:val="20"/>
              </w:rPr>
            </w:pPr>
            <w:r>
              <w:rPr>
                <w:rFonts w:cs="Times New Roman"/>
                <w:kern w:val="0"/>
                <w:szCs w:val="20"/>
              </w:rPr>
              <w:t>&gt;120</w:t>
            </w:r>
          </w:p>
        </w:tc>
      </w:tr>
      <w:tr w14:paraId="74C59B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4799ABD6">
            <w:pPr>
              <w:pStyle w:val="445"/>
              <w:rPr>
                <w:rFonts w:cs="Times New Roman"/>
                <w:kern w:val="0"/>
                <w:szCs w:val="20"/>
              </w:rPr>
            </w:pPr>
            <w:r>
              <w:rPr>
                <w:rFonts w:hint="eastAsia" w:cs="Times New Roman"/>
                <w:kern w:val="0"/>
                <w:szCs w:val="20"/>
              </w:rPr>
              <w:t>甲苯/（</w:t>
            </w:r>
            <w:r>
              <w:rPr>
                <w:rFonts w:cs="Times New Roman"/>
                <w:kern w:val="0"/>
                <w:szCs w:val="20"/>
              </w:rPr>
              <w:t>μg/L</w:t>
            </w:r>
            <w:r>
              <w:rPr>
                <w:rFonts w:hint="eastAsia" w:cs="Times New Roman"/>
                <w:kern w:val="0"/>
                <w:szCs w:val="20"/>
              </w:rPr>
              <w:t>）</w:t>
            </w:r>
          </w:p>
        </w:tc>
        <w:tc>
          <w:tcPr>
            <w:tcW w:w="642" w:type="pct"/>
            <w:vAlign w:val="center"/>
          </w:tcPr>
          <w:p w14:paraId="6D620A21">
            <w:pPr>
              <w:pStyle w:val="445"/>
              <w:rPr>
                <w:rFonts w:cs="Times New Roman"/>
                <w:kern w:val="0"/>
                <w:szCs w:val="20"/>
              </w:rPr>
            </w:pPr>
            <w:r>
              <w:rPr>
                <w:rFonts w:cs="Times New Roman"/>
                <w:kern w:val="0"/>
                <w:szCs w:val="20"/>
              </w:rPr>
              <w:t>≤0.5</w:t>
            </w:r>
          </w:p>
        </w:tc>
        <w:tc>
          <w:tcPr>
            <w:tcW w:w="862" w:type="pct"/>
            <w:vAlign w:val="center"/>
          </w:tcPr>
          <w:p w14:paraId="652B8893">
            <w:pPr>
              <w:pStyle w:val="445"/>
              <w:rPr>
                <w:rFonts w:cs="Times New Roman"/>
                <w:kern w:val="0"/>
                <w:szCs w:val="20"/>
              </w:rPr>
            </w:pPr>
            <w:r>
              <w:rPr>
                <w:rFonts w:cs="Times New Roman"/>
                <w:kern w:val="0"/>
                <w:szCs w:val="20"/>
              </w:rPr>
              <w:t>≤140</w:t>
            </w:r>
          </w:p>
        </w:tc>
        <w:tc>
          <w:tcPr>
            <w:tcW w:w="723" w:type="pct"/>
            <w:vAlign w:val="center"/>
          </w:tcPr>
          <w:p w14:paraId="52236184">
            <w:pPr>
              <w:pStyle w:val="445"/>
              <w:rPr>
                <w:rFonts w:cs="Times New Roman"/>
                <w:kern w:val="0"/>
                <w:szCs w:val="20"/>
              </w:rPr>
            </w:pPr>
            <w:r>
              <w:rPr>
                <w:rFonts w:cs="Times New Roman"/>
                <w:kern w:val="0"/>
                <w:szCs w:val="20"/>
              </w:rPr>
              <w:t>≤700</w:t>
            </w:r>
          </w:p>
        </w:tc>
        <w:tc>
          <w:tcPr>
            <w:tcW w:w="924" w:type="pct"/>
            <w:vAlign w:val="center"/>
          </w:tcPr>
          <w:p w14:paraId="3260F74B">
            <w:pPr>
              <w:pStyle w:val="445"/>
              <w:rPr>
                <w:rFonts w:cs="Times New Roman"/>
                <w:kern w:val="0"/>
                <w:szCs w:val="20"/>
              </w:rPr>
            </w:pPr>
            <w:r>
              <w:rPr>
                <w:rFonts w:cs="Times New Roman"/>
                <w:kern w:val="0"/>
                <w:szCs w:val="20"/>
              </w:rPr>
              <w:t>≤1400</w:t>
            </w:r>
          </w:p>
        </w:tc>
        <w:tc>
          <w:tcPr>
            <w:tcW w:w="830" w:type="pct"/>
            <w:vAlign w:val="center"/>
          </w:tcPr>
          <w:p w14:paraId="4CFBD921">
            <w:pPr>
              <w:pStyle w:val="445"/>
              <w:rPr>
                <w:rFonts w:cs="Times New Roman"/>
                <w:kern w:val="0"/>
                <w:szCs w:val="20"/>
              </w:rPr>
            </w:pPr>
            <w:r>
              <w:rPr>
                <w:rFonts w:cs="Times New Roman"/>
                <w:kern w:val="0"/>
                <w:szCs w:val="20"/>
              </w:rPr>
              <w:t>&gt;1400</w:t>
            </w:r>
          </w:p>
        </w:tc>
      </w:tr>
      <w:tr w14:paraId="467378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5BEB9FDE">
            <w:pPr>
              <w:pStyle w:val="445"/>
              <w:rPr>
                <w:rFonts w:cs="Times New Roman"/>
                <w:kern w:val="0"/>
                <w:szCs w:val="20"/>
              </w:rPr>
            </w:pPr>
            <w:r>
              <w:rPr>
                <w:rFonts w:cs="Times New Roman"/>
                <w:kern w:val="0"/>
                <w:szCs w:val="20"/>
              </w:rPr>
              <w:t>总大肠菌群（MPN/100mL）</w:t>
            </w:r>
          </w:p>
        </w:tc>
        <w:tc>
          <w:tcPr>
            <w:tcW w:w="642" w:type="pct"/>
            <w:vAlign w:val="center"/>
          </w:tcPr>
          <w:p w14:paraId="7960F929">
            <w:pPr>
              <w:pStyle w:val="445"/>
              <w:rPr>
                <w:rFonts w:cs="Times New Roman"/>
                <w:kern w:val="0"/>
                <w:szCs w:val="20"/>
              </w:rPr>
            </w:pPr>
            <w:r>
              <w:rPr>
                <w:rFonts w:cs="Times New Roman"/>
                <w:kern w:val="0"/>
                <w:szCs w:val="20"/>
              </w:rPr>
              <w:t>≤3.0</w:t>
            </w:r>
          </w:p>
        </w:tc>
        <w:tc>
          <w:tcPr>
            <w:tcW w:w="862" w:type="pct"/>
            <w:vAlign w:val="center"/>
          </w:tcPr>
          <w:p w14:paraId="1843A138">
            <w:pPr>
              <w:pStyle w:val="445"/>
              <w:rPr>
                <w:rFonts w:cs="Times New Roman"/>
                <w:kern w:val="0"/>
                <w:szCs w:val="20"/>
              </w:rPr>
            </w:pPr>
            <w:r>
              <w:rPr>
                <w:rFonts w:cs="Times New Roman"/>
                <w:kern w:val="0"/>
                <w:szCs w:val="20"/>
              </w:rPr>
              <w:t>≤3.0</w:t>
            </w:r>
          </w:p>
        </w:tc>
        <w:tc>
          <w:tcPr>
            <w:tcW w:w="723" w:type="pct"/>
            <w:vAlign w:val="center"/>
          </w:tcPr>
          <w:p w14:paraId="758C969D">
            <w:pPr>
              <w:pStyle w:val="445"/>
              <w:rPr>
                <w:rFonts w:cs="Times New Roman"/>
                <w:kern w:val="0"/>
                <w:szCs w:val="20"/>
              </w:rPr>
            </w:pPr>
            <w:r>
              <w:rPr>
                <w:rFonts w:cs="Times New Roman"/>
                <w:kern w:val="0"/>
                <w:szCs w:val="20"/>
              </w:rPr>
              <w:t>≤3.0</w:t>
            </w:r>
          </w:p>
        </w:tc>
        <w:tc>
          <w:tcPr>
            <w:tcW w:w="924" w:type="pct"/>
            <w:vAlign w:val="center"/>
          </w:tcPr>
          <w:p w14:paraId="2D7B0ADC">
            <w:pPr>
              <w:pStyle w:val="445"/>
              <w:rPr>
                <w:rFonts w:cs="Times New Roman"/>
                <w:kern w:val="0"/>
                <w:szCs w:val="20"/>
              </w:rPr>
            </w:pPr>
            <w:r>
              <w:rPr>
                <w:rFonts w:cs="Times New Roman"/>
                <w:kern w:val="0"/>
                <w:szCs w:val="20"/>
              </w:rPr>
              <w:t>≤100</w:t>
            </w:r>
          </w:p>
        </w:tc>
        <w:tc>
          <w:tcPr>
            <w:tcW w:w="830" w:type="pct"/>
            <w:vAlign w:val="center"/>
          </w:tcPr>
          <w:p w14:paraId="645C5D48">
            <w:pPr>
              <w:pStyle w:val="445"/>
              <w:rPr>
                <w:rFonts w:cs="Times New Roman"/>
                <w:kern w:val="0"/>
                <w:szCs w:val="20"/>
              </w:rPr>
            </w:pPr>
            <w:r>
              <w:rPr>
                <w:rFonts w:cs="Times New Roman"/>
                <w:kern w:val="0"/>
                <w:szCs w:val="20"/>
              </w:rPr>
              <w:t>&gt;100</w:t>
            </w:r>
          </w:p>
        </w:tc>
      </w:tr>
      <w:tr w14:paraId="5CC9C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19" w:type="pct"/>
            <w:vAlign w:val="center"/>
          </w:tcPr>
          <w:p w14:paraId="56DB50C7">
            <w:pPr>
              <w:pStyle w:val="445"/>
              <w:rPr>
                <w:rFonts w:cs="Times New Roman"/>
                <w:kern w:val="0"/>
                <w:szCs w:val="20"/>
              </w:rPr>
            </w:pPr>
            <w:r>
              <w:rPr>
                <w:rFonts w:cs="Times New Roman"/>
                <w:kern w:val="0"/>
                <w:szCs w:val="20"/>
              </w:rPr>
              <w:t>菌落总数（CFU/mL）</w:t>
            </w:r>
          </w:p>
        </w:tc>
        <w:tc>
          <w:tcPr>
            <w:tcW w:w="642" w:type="pct"/>
            <w:vAlign w:val="center"/>
          </w:tcPr>
          <w:p w14:paraId="36B6D994">
            <w:pPr>
              <w:pStyle w:val="445"/>
              <w:rPr>
                <w:rFonts w:cs="Times New Roman"/>
                <w:kern w:val="0"/>
                <w:szCs w:val="20"/>
              </w:rPr>
            </w:pPr>
            <w:r>
              <w:rPr>
                <w:rFonts w:cs="Times New Roman"/>
                <w:kern w:val="0"/>
                <w:szCs w:val="20"/>
              </w:rPr>
              <w:t>≤100</w:t>
            </w:r>
          </w:p>
        </w:tc>
        <w:tc>
          <w:tcPr>
            <w:tcW w:w="862" w:type="pct"/>
            <w:vAlign w:val="center"/>
          </w:tcPr>
          <w:p w14:paraId="1FC5E333">
            <w:pPr>
              <w:pStyle w:val="445"/>
              <w:rPr>
                <w:rFonts w:cs="Times New Roman"/>
                <w:kern w:val="0"/>
                <w:szCs w:val="20"/>
              </w:rPr>
            </w:pPr>
            <w:r>
              <w:rPr>
                <w:rFonts w:cs="Times New Roman"/>
                <w:kern w:val="0"/>
                <w:szCs w:val="20"/>
              </w:rPr>
              <w:t>≤100</w:t>
            </w:r>
          </w:p>
        </w:tc>
        <w:tc>
          <w:tcPr>
            <w:tcW w:w="723" w:type="pct"/>
            <w:vAlign w:val="center"/>
          </w:tcPr>
          <w:p w14:paraId="05A9EC9B">
            <w:pPr>
              <w:pStyle w:val="445"/>
              <w:rPr>
                <w:rFonts w:cs="Times New Roman"/>
                <w:kern w:val="0"/>
                <w:szCs w:val="20"/>
              </w:rPr>
            </w:pPr>
            <w:r>
              <w:rPr>
                <w:rFonts w:cs="Times New Roman"/>
                <w:kern w:val="0"/>
                <w:szCs w:val="20"/>
              </w:rPr>
              <w:t>≤100</w:t>
            </w:r>
          </w:p>
        </w:tc>
        <w:tc>
          <w:tcPr>
            <w:tcW w:w="924" w:type="pct"/>
            <w:vAlign w:val="center"/>
          </w:tcPr>
          <w:p w14:paraId="62E697F3">
            <w:pPr>
              <w:pStyle w:val="445"/>
              <w:rPr>
                <w:rFonts w:cs="Times New Roman"/>
                <w:kern w:val="0"/>
                <w:szCs w:val="20"/>
              </w:rPr>
            </w:pPr>
            <w:r>
              <w:rPr>
                <w:rFonts w:cs="Times New Roman"/>
                <w:kern w:val="0"/>
                <w:szCs w:val="20"/>
              </w:rPr>
              <w:t>≤1000</w:t>
            </w:r>
          </w:p>
        </w:tc>
        <w:tc>
          <w:tcPr>
            <w:tcW w:w="830" w:type="pct"/>
            <w:vAlign w:val="center"/>
          </w:tcPr>
          <w:p w14:paraId="43603479">
            <w:pPr>
              <w:pStyle w:val="445"/>
              <w:rPr>
                <w:rFonts w:cs="Times New Roman"/>
                <w:kern w:val="0"/>
                <w:szCs w:val="20"/>
              </w:rPr>
            </w:pPr>
            <w:r>
              <w:rPr>
                <w:rFonts w:cs="Times New Roman"/>
                <w:kern w:val="0"/>
                <w:szCs w:val="20"/>
              </w:rPr>
              <w:t>&gt;1000</w:t>
            </w:r>
          </w:p>
        </w:tc>
      </w:tr>
    </w:tbl>
    <w:p w14:paraId="1B565380">
      <w:pPr>
        <w:pStyle w:val="349"/>
      </w:pPr>
      <w:r>
        <w:t>2.2.3.4噪声评价标准</w:t>
      </w:r>
    </w:p>
    <w:p w14:paraId="59CE1809">
      <w:pPr>
        <w:ind w:firstLine="480"/>
      </w:pPr>
      <w:r>
        <w:t>（1）质量标准</w:t>
      </w:r>
    </w:p>
    <w:p w14:paraId="0E00B0BF">
      <w:pPr>
        <w:ind w:firstLine="480"/>
      </w:pPr>
      <w:r>
        <w:rPr>
          <w:rFonts w:hint="eastAsia"/>
        </w:rPr>
        <w:t>扩建</w:t>
      </w:r>
      <w:r>
        <w:t>项目所在地声环境执行</w:t>
      </w:r>
      <w:r>
        <w:rPr>
          <w:rFonts w:hint="eastAsia"/>
        </w:rPr>
        <w:t>《声环境质量标准》（G</w:t>
      </w:r>
      <w:r>
        <w:t>B3096-2008</w:t>
      </w:r>
      <w:r>
        <w:rPr>
          <w:rFonts w:hint="eastAsia"/>
        </w:rPr>
        <w:t>）3类区标准，具体详见表2</w:t>
      </w:r>
      <w:r>
        <w:t>.2.3-8</w:t>
      </w:r>
      <w:r>
        <w:rPr>
          <w:rFonts w:hint="eastAsia"/>
        </w:rPr>
        <w:t>。</w:t>
      </w:r>
    </w:p>
    <w:p w14:paraId="4B894C4E">
      <w:pPr>
        <w:spacing w:line="500" w:lineRule="exact"/>
        <w:ind w:firstLine="0" w:firstLineChars="0"/>
        <w:jc w:val="center"/>
        <w:rPr>
          <w:rFonts w:eastAsia="黑体"/>
        </w:rPr>
      </w:pPr>
      <w:r>
        <w:rPr>
          <w:rFonts w:hint="eastAsia" w:ascii="黑体" w:hAnsi="黑体" w:eastAsia="黑体"/>
        </w:rPr>
        <w:t>表</w:t>
      </w:r>
      <w:r>
        <w:rPr>
          <w:rFonts w:eastAsia="黑体"/>
        </w:rPr>
        <w:t xml:space="preserve">2.2.3-8  </w:t>
      </w:r>
      <w:r>
        <w:rPr>
          <w:rFonts w:hint="eastAsia" w:ascii="黑体" w:hAnsi="黑体" w:eastAsia="黑体"/>
        </w:rPr>
        <w:t>环境噪声标准限值</w:t>
      </w:r>
    </w:p>
    <w:tbl>
      <w:tblPr>
        <w:tblStyle w:val="65"/>
        <w:tblW w:w="903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43"/>
        <w:gridCol w:w="2333"/>
        <w:gridCol w:w="2331"/>
        <w:gridCol w:w="2329"/>
      </w:tblGrid>
      <w:tr w14:paraId="4A97B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376" w:type="dxa"/>
            <w:gridSpan w:val="2"/>
            <w:tcBorders>
              <w:top w:val="single" w:color="auto" w:sz="12" w:space="0"/>
              <w:left w:val="nil"/>
              <w:bottom w:val="single" w:color="auto" w:sz="4" w:space="0"/>
              <w:right w:val="single" w:color="auto" w:sz="4" w:space="0"/>
            </w:tcBorders>
          </w:tcPr>
          <w:p w14:paraId="6D4119A9">
            <w:pPr>
              <w:pStyle w:val="445"/>
              <w:rPr>
                <w:rFonts w:cs="Times New Roman"/>
                <w:b/>
                <w:kern w:val="0"/>
                <w:szCs w:val="20"/>
              </w:rPr>
            </w:pPr>
            <w:r>
              <w:rPr>
                <w:rFonts w:cs="Times New Roman"/>
                <w:b/>
                <w:kern w:val="0"/>
                <w:szCs w:val="20"/>
              </w:rPr>
              <w:t>标准类别</w:t>
            </w:r>
          </w:p>
        </w:tc>
        <w:tc>
          <w:tcPr>
            <w:tcW w:w="2331" w:type="dxa"/>
            <w:tcBorders>
              <w:top w:val="single" w:color="auto" w:sz="12" w:space="0"/>
              <w:left w:val="nil"/>
              <w:bottom w:val="single" w:color="auto" w:sz="4" w:space="0"/>
              <w:right w:val="single" w:color="auto" w:sz="4" w:space="0"/>
            </w:tcBorders>
          </w:tcPr>
          <w:p w14:paraId="7582539D">
            <w:pPr>
              <w:pStyle w:val="445"/>
              <w:rPr>
                <w:rFonts w:cs="Times New Roman"/>
                <w:b/>
                <w:kern w:val="0"/>
                <w:szCs w:val="20"/>
              </w:rPr>
            </w:pPr>
            <w:r>
              <w:rPr>
                <w:rFonts w:cs="Times New Roman"/>
                <w:b/>
                <w:kern w:val="0"/>
                <w:szCs w:val="20"/>
              </w:rPr>
              <w:t>昼间dB（A）</w:t>
            </w:r>
          </w:p>
        </w:tc>
        <w:tc>
          <w:tcPr>
            <w:tcW w:w="2329" w:type="dxa"/>
            <w:tcBorders>
              <w:top w:val="single" w:color="auto" w:sz="12" w:space="0"/>
              <w:left w:val="nil"/>
              <w:bottom w:val="single" w:color="auto" w:sz="4" w:space="0"/>
              <w:right w:val="nil"/>
            </w:tcBorders>
          </w:tcPr>
          <w:p w14:paraId="23CEAB8B">
            <w:pPr>
              <w:pStyle w:val="445"/>
              <w:rPr>
                <w:rFonts w:cs="Times New Roman"/>
                <w:b/>
                <w:kern w:val="0"/>
                <w:szCs w:val="20"/>
              </w:rPr>
            </w:pPr>
            <w:r>
              <w:rPr>
                <w:rFonts w:cs="Times New Roman"/>
                <w:b/>
                <w:kern w:val="0"/>
                <w:szCs w:val="20"/>
              </w:rPr>
              <w:t>夜间dB（A）</w:t>
            </w:r>
          </w:p>
        </w:tc>
      </w:tr>
      <w:tr w14:paraId="33BFD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043" w:type="dxa"/>
            <w:tcBorders>
              <w:top w:val="single" w:color="auto" w:sz="4" w:space="0"/>
              <w:left w:val="nil"/>
              <w:bottom w:val="single" w:color="auto" w:sz="4" w:space="0"/>
              <w:right w:val="single" w:color="auto" w:sz="4" w:space="0"/>
            </w:tcBorders>
          </w:tcPr>
          <w:p w14:paraId="385D5F93">
            <w:pPr>
              <w:pStyle w:val="445"/>
              <w:rPr>
                <w:rFonts w:cs="Times New Roman"/>
                <w:kern w:val="0"/>
                <w:szCs w:val="20"/>
              </w:rPr>
            </w:pPr>
            <w:r>
              <w:rPr>
                <w:rFonts w:cs="Times New Roman"/>
                <w:kern w:val="0"/>
                <w:szCs w:val="20"/>
              </w:rPr>
              <w:t>环境噪声</w:t>
            </w:r>
          </w:p>
        </w:tc>
        <w:tc>
          <w:tcPr>
            <w:tcW w:w="2333" w:type="dxa"/>
            <w:tcBorders>
              <w:top w:val="single" w:color="auto" w:sz="4" w:space="0"/>
              <w:left w:val="nil"/>
              <w:bottom w:val="single" w:color="auto" w:sz="4" w:space="0"/>
              <w:right w:val="single" w:color="auto" w:sz="4" w:space="0"/>
            </w:tcBorders>
          </w:tcPr>
          <w:p w14:paraId="71286D61">
            <w:pPr>
              <w:pStyle w:val="445"/>
              <w:rPr>
                <w:rFonts w:cs="Times New Roman"/>
                <w:kern w:val="0"/>
                <w:szCs w:val="20"/>
              </w:rPr>
            </w:pPr>
            <w:r>
              <w:rPr>
                <w:rFonts w:cs="Times New Roman"/>
                <w:kern w:val="0"/>
                <w:szCs w:val="20"/>
              </w:rPr>
              <w:t>3类标准</w:t>
            </w:r>
          </w:p>
        </w:tc>
        <w:tc>
          <w:tcPr>
            <w:tcW w:w="2331" w:type="dxa"/>
            <w:tcBorders>
              <w:top w:val="single" w:color="auto" w:sz="4" w:space="0"/>
              <w:left w:val="nil"/>
              <w:bottom w:val="single" w:color="auto" w:sz="4" w:space="0"/>
              <w:right w:val="single" w:color="auto" w:sz="4" w:space="0"/>
            </w:tcBorders>
          </w:tcPr>
          <w:p w14:paraId="36F9206B">
            <w:pPr>
              <w:pStyle w:val="445"/>
              <w:rPr>
                <w:rFonts w:cs="Times New Roman"/>
                <w:kern w:val="0"/>
                <w:szCs w:val="20"/>
              </w:rPr>
            </w:pPr>
            <w:r>
              <w:rPr>
                <w:rFonts w:cs="Times New Roman"/>
                <w:kern w:val="0"/>
                <w:szCs w:val="20"/>
              </w:rPr>
              <w:t>65</w:t>
            </w:r>
          </w:p>
        </w:tc>
        <w:tc>
          <w:tcPr>
            <w:tcW w:w="2329" w:type="dxa"/>
            <w:tcBorders>
              <w:top w:val="single" w:color="auto" w:sz="4" w:space="0"/>
              <w:left w:val="nil"/>
              <w:bottom w:val="single" w:color="auto" w:sz="4" w:space="0"/>
              <w:right w:val="nil"/>
            </w:tcBorders>
          </w:tcPr>
          <w:p w14:paraId="0E5D7E38">
            <w:pPr>
              <w:pStyle w:val="445"/>
              <w:rPr>
                <w:rFonts w:cs="Times New Roman"/>
                <w:kern w:val="0"/>
                <w:szCs w:val="20"/>
              </w:rPr>
            </w:pPr>
            <w:r>
              <w:rPr>
                <w:rFonts w:cs="Times New Roman"/>
                <w:kern w:val="0"/>
                <w:szCs w:val="20"/>
              </w:rPr>
              <w:t>55</w:t>
            </w:r>
          </w:p>
        </w:tc>
      </w:tr>
      <w:tr w14:paraId="2E50C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2043" w:type="dxa"/>
            <w:tcBorders>
              <w:top w:val="single" w:color="auto" w:sz="4" w:space="0"/>
              <w:left w:val="nil"/>
              <w:bottom w:val="single" w:color="auto" w:sz="12" w:space="0"/>
              <w:right w:val="single" w:color="auto" w:sz="4" w:space="0"/>
            </w:tcBorders>
          </w:tcPr>
          <w:p w14:paraId="6209BA55">
            <w:pPr>
              <w:pStyle w:val="445"/>
              <w:rPr>
                <w:rFonts w:cs="Times New Roman"/>
                <w:kern w:val="0"/>
                <w:szCs w:val="20"/>
              </w:rPr>
            </w:pPr>
            <w:r>
              <w:rPr>
                <w:rFonts w:cs="Times New Roman"/>
                <w:kern w:val="0"/>
                <w:szCs w:val="20"/>
              </w:rPr>
              <w:t>标准来源</w:t>
            </w:r>
          </w:p>
        </w:tc>
        <w:tc>
          <w:tcPr>
            <w:tcW w:w="6993" w:type="dxa"/>
            <w:gridSpan w:val="3"/>
            <w:tcBorders>
              <w:top w:val="single" w:color="auto" w:sz="4" w:space="0"/>
              <w:left w:val="nil"/>
              <w:bottom w:val="single" w:color="auto" w:sz="12" w:space="0"/>
              <w:right w:val="nil"/>
            </w:tcBorders>
          </w:tcPr>
          <w:p w14:paraId="2A3E2CFE">
            <w:pPr>
              <w:pStyle w:val="445"/>
              <w:rPr>
                <w:rFonts w:cs="Times New Roman"/>
                <w:kern w:val="0"/>
                <w:szCs w:val="20"/>
              </w:rPr>
            </w:pPr>
            <w:r>
              <w:rPr>
                <w:rFonts w:cs="Times New Roman"/>
                <w:kern w:val="0"/>
                <w:szCs w:val="20"/>
              </w:rPr>
              <w:t>《声环境质量标准》（GB3096-2008）</w:t>
            </w:r>
          </w:p>
        </w:tc>
      </w:tr>
    </w:tbl>
    <w:p w14:paraId="09A14D97">
      <w:pPr>
        <w:spacing w:line="500" w:lineRule="exact"/>
        <w:ind w:firstLine="480" w:firstLineChars="0"/>
        <w:rPr>
          <w:rFonts w:cs="Times New Roman"/>
        </w:rPr>
      </w:pPr>
      <w:r>
        <w:rPr>
          <w:rFonts w:cs="Times New Roman"/>
        </w:rPr>
        <w:t>（2）</w:t>
      </w:r>
      <w:r>
        <w:rPr>
          <w:rFonts w:hint="eastAsia" w:ascii="宋体" w:hAnsi="宋体"/>
        </w:rPr>
        <w:t>噪声排放标准</w:t>
      </w:r>
    </w:p>
    <w:p w14:paraId="0C2A5ABF">
      <w:pPr>
        <w:ind w:firstLine="480"/>
      </w:pPr>
      <w:r>
        <w:rPr>
          <w:rFonts w:hint="eastAsia" w:ascii="宋体" w:hAnsi="宋体"/>
        </w:rPr>
        <w:t>项目运营期噪声厂界排放执行《工业企业厂界环境噪声排放标准》（</w:t>
      </w:r>
      <w:r>
        <w:t>GB12348-2008</w:t>
      </w:r>
      <w:r>
        <w:rPr>
          <w:rFonts w:hint="eastAsia" w:ascii="宋体" w:hAnsi="宋体"/>
        </w:rPr>
        <w:t>）</w:t>
      </w:r>
      <w:r>
        <w:t>3</w:t>
      </w:r>
      <w:r>
        <w:rPr>
          <w:rFonts w:hint="eastAsia" w:ascii="宋体" w:hAnsi="宋体"/>
        </w:rPr>
        <w:t>类排放限值，详见表</w:t>
      </w:r>
      <w:r>
        <w:t>2.2.3-9</w:t>
      </w:r>
      <w:r>
        <w:rPr>
          <w:rFonts w:hint="eastAsia" w:ascii="宋体" w:hAnsi="宋体"/>
        </w:rPr>
        <w:t>。</w:t>
      </w:r>
    </w:p>
    <w:p w14:paraId="4FE81067">
      <w:pPr>
        <w:spacing w:line="500" w:lineRule="exact"/>
        <w:ind w:firstLine="0" w:firstLineChars="0"/>
        <w:jc w:val="center"/>
        <w:rPr>
          <w:rFonts w:eastAsia="黑体"/>
        </w:rPr>
      </w:pPr>
      <w:r>
        <w:rPr>
          <w:rFonts w:hint="eastAsia" w:ascii="黑体" w:hAnsi="黑体" w:eastAsia="黑体"/>
        </w:rPr>
        <w:t>表</w:t>
      </w:r>
      <w:r>
        <w:rPr>
          <w:rFonts w:eastAsia="黑体"/>
        </w:rPr>
        <w:t xml:space="preserve">2.2.3-9  </w:t>
      </w:r>
      <w:r>
        <w:rPr>
          <w:rFonts w:hint="eastAsia" w:ascii="黑体" w:hAnsi="黑体" w:eastAsia="黑体"/>
        </w:rPr>
        <w:t>项目运营期噪声排放执行标准</w:t>
      </w:r>
    </w:p>
    <w:tbl>
      <w:tblPr>
        <w:tblStyle w:val="6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25"/>
        <w:gridCol w:w="3605"/>
        <w:gridCol w:w="3596"/>
      </w:tblGrid>
      <w:tr w14:paraId="7596C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11" w:type="pct"/>
            <w:tcBorders>
              <w:top w:val="single" w:color="auto" w:sz="12" w:space="0"/>
              <w:left w:val="nil"/>
              <w:bottom w:val="single" w:color="auto" w:sz="4" w:space="0"/>
              <w:right w:val="single" w:color="auto" w:sz="4" w:space="0"/>
            </w:tcBorders>
            <w:vAlign w:val="center"/>
          </w:tcPr>
          <w:p w14:paraId="14CA100B">
            <w:pPr>
              <w:pStyle w:val="445"/>
              <w:rPr>
                <w:b/>
              </w:rPr>
            </w:pPr>
            <w:r>
              <w:rPr>
                <w:rFonts w:hint="eastAsia" w:ascii="宋体" w:hAnsi="宋体"/>
                <w:b/>
              </w:rPr>
              <w:t>类别</w:t>
            </w:r>
          </w:p>
        </w:tc>
        <w:tc>
          <w:tcPr>
            <w:tcW w:w="1997" w:type="pct"/>
            <w:tcBorders>
              <w:top w:val="single" w:color="auto" w:sz="12" w:space="0"/>
              <w:left w:val="nil"/>
              <w:bottom w:val="single" w:color="auto" w:sz="4" w:space="0"/>
              <w:right w:val="single" w:color="auto" w:sz="4" w:space="0"/>
            </w:tcBorders>
            <w:vAlign w:val="center"/>
          </w:tcPr>
          <w:p w14:paraId="26D63A8F">
            <w:pPr>
              <w:pStyle w:val="445"/>
              <w:rPr>
                <w:b/>
              </w:rPr>
            </w:pPr>
            <w:r>
              <w:rPr>
                <w:rFonts w:hint="eastAsia" w:ascii="宋体" w:hAnsi="宋体"/>
                <w:b/>
              </w:rPr>
              <w:t>昼间</w:t>
            </w:r>
            <w:r>
              <w:rPr>
                <w:b/>
              </w:rPr>
              <w:t>dB</w:t>
            </w:r>
            <w:r>
              <w:rPr>
                <w:rFonts w:hint="eastAsia" w:ascii="宋体" w:hAnsi="宋体"/>
                <w:b/>
              </w:rPr>
              <w:t>（</w:t>
            </w:r>
            <w:r>
              <w:rPr>
                <w:b/>
              </w:rPr>
              <w:t>A</w:t>
            </w:r>
            <w:r>
              <w:rPr>
                <w:rFonts w:hint="eastAsia" w:ascii="宋体" w:hAnsi="宋体"/>
                <w:b/>
              </w:rPr>
              <w:t>）</w:t>
            </w:r>
          </w:p>
        </w:tc>
        <w:tc>
          <w:tcPr>
            <w:tcW w:w="1992" w:type="pct"/>
            <w:tcBorders>
              <w:top w:val="single" w:color="auto" w:sz="12" w:space="0"/>
              <w:left w:val="nil"/>
              <w:bottom w:val="single" w:color="auto" w:sz="4" w:space="0"/>
              <w:right w:val="nil"/>
            </w:tcBorders>
            <w:vAlign w:val="center"/>
          </w:tcPr>
          <w:p w14:paraId="03913B26">
            <w:pPr>
              <w:pStyle w:val="445"/>
              <w:rPr>
                <w:b/>
              </w:rPr>
            </w:pPr>
            <w:r>
              <w:rPr>
                <w:rFonts w:hint="eastAsia" w:ascii="宋体" w:hAnsi="宋体"/>
                <w:b/>
              </w:rPr>
              <w:t>夜间</w:t>
            </w:r>
            <w:r>
              <w:rPr>
                <w:b/>
              </w:rPr>
              <w:t>dB</w:t>
            </w:r>
            <w:r>
              <w:rPr>
                <w:rFonts w:hint="eastAsia" w:ascii="宋体" w:hAnsi="宋体"/>
                <w:b/>
              </w:rPr>
              <w:t>（</w:t>
            </w:r>
            <w:r>
              <w:rPr>
                <w:b/>
              </w:rPr>
              <w:t>A</w:t>
            </w:r>
            <w:r>
              <w:rPr>
                <w:rFonts w:hint="eastAsia" w:ascii="宋体" w:hAnsi="宋体"/>
                <w:b/>
              </w:rPr>
              <w:t>）</w:t>
            </w:r>
          </w:p>
        </w:tc>
      </w:tr>
      <w:tr w14:paraId="0EC78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11" w:type="pct"/>
            <w:tcBorders>
              <w:top w:val="single" w:color="auto" w:sz="4" w:space="0"/>
              <w:left w:val="nil"/>
              <w:bottom w:val="single" w:color="auto" w:sz="4" w:space="0"/>
              <w:right w:val="single" w:color="auto" w:sz="4" w:space="0"/>
            </w:tcBorders>
            <w:vAlign w:val="center"/>
          </w:tcPr>
          <w:p w14:paraId="33750132">
            <w:pPr>
              <w:pStyle w:val="445"/>
            </w:pPr>
            <w:r>
              <w:t>3</w:t>
            </w:r>
            <w:r>
              <w:rPr>
                <w:rFonts w:hint="eastAsia" w:ascii="宋体" w:hAnsi="宋体"/>
              </w:rPr>
              <w:t>类标准</w:t>
            </w:r>
          </w:p>
        </w:tc>
        <w:tc>
          <w:tcPr>
            <w:tcW w:w="1997" w:type="pct"/>
            <w:tcBorders>
              <w:top w:val="single" w:color="auto" w:sz="4" w:space="0"/>
              <w:left w:val="nil"/>
              <w:bottom w:val="single" w:color="auto" w:sz="4" w:space="0"/>
              <w:right w:val="single" w:color="auto" w:sz="4" w:space="0"/>
            </w:tcBorders>
            <w:vAlign w:val="center"/>
          </w:tcPr>
          <w:p w14:paraId="2ABBA99E">
            <w:pPr>
              <w:pStyle w:val="445"/>
            </w:pPr>
            <w:r>
              <w:t>65</w:t>
            </w:r>
          </w:p>
        </w:tc>
        <w:tc>
          <w:tcPr>
            <w:tcW w:w="1992" w:type="pct"/>
            <w:tcBorders>
              <w:top w:val="single" w:color="auto" w:sz="4" w:space="0"/>
              <w:left w:val="nil"/>
              <w:bottom w:val="single" w:color="auto" w:sz="4" w:space="0"/>
              <w:right w:val="nil"/>
            </w:tcBorders>
            <w:vAlign w:val="center"/>
          </w:tcPr>
          <w:p w14:paraId="7C66CCB0">
            <w:pPr>
              <w:pStyle w:val="445"/>
            </w:pPr>
            <w:r>
              <w:t>55</w:t>
            </w:r>
          </w:p>
        </w:tc>
      </w:tr>
      <w:tr w14:paraId="7F4BF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11" w:type="pct"/>
            <w:tcBorders>
              <w:top w:val="single" w:color="auto" w:sz="4" w:space="0"/>
              <w:left w:val="nil"/>
              <w:bottom w:val="single" w:color="auto" w:sz="12" w:space="0"/>
              <w:right w:val="single" w:color="auto" w:sz="4" w:space="0"/>
            </w:tcBorders>
            <w:vAlign w:val="center"/>
          </w:tcPr>
          <w:p w14:paraId="17C3EDE0">
            <w:pPr>
              <w:pStyle w:val="445"/>
            </w:pPr>
            <w:r>
              <w:rPr>
                <w:rFonts w:hint="eastAsia" w:ascii="宋体" w:hAnsi="宋体"/>
              </w:rPr>
              <w:t>标准来源</w:t>
            </w:r>
          </w:p>
        </w:tc>
        <w:tc>
          <w:tcPr>
            <w:tcW w:w="3989" w:type="pct"/>
            <w:gridSpan w:val="2"/>
            <w:tcBorders>
              <w:top w:val="single" w:color="auto" w:sz="4" w:space="0"/>
              <w:left w:val="nil"/>
              <w:bottom w:val="single" w:color="auto" w:sz="12" w:space="0"/>
              <w:right w:val="nil"/>
            </w:tcBorders>
            <w:vAlign w:val="center"/>
          </w:tcPr>
          <w:p w14:paraId="52897B4C">
            <w:pPr>
              <w:pStyle w:val="445"/>
            </w:pPr>
            <w:r>
              <w:rPr>
                <w:rFonts w:hint="eastAsia" w:ascii="宋体" w:hAnsi="宋体"/>
              </w:rPr>
              <w:t>《工业企业厂界环境噪声排放标准》（</w:t>
            </w:r>
            <w:r>
              <w:t>GB12348-2008</w:t>
            </w:r>
            <w:r>
              <w:rPr>
                <w:rFonts w:hint="eastAsia" w:ascii="宋体" w:hAnsi="宋体"/>
              </w:rPr>
              <w:t>）</w:t>
            </w:r>
          </w:p>
        </w:tc>
      </w:tr>
    </w:tbl>
    <w:p w14:paraId="1FB7BE12">
      <w:pPr>
        <w:ind w:firstLine="480"/>
        <w:rPr>
          <w:rFonts w:cs="Times New Roman"/>
        </w:rPr>
      </w:pPr>
      <w:r>
        <w:rPr>
          <w:rFonts w:hint="eastAsia" w:ascii="宋体" w:hAnsi="宋体"/>
        </w:rPr>
        <w:t>建设期施工作业现场噪声排放执行《建筑施工场界环境噪声排放标准》（</w:t>
      </w:r>
      <w:r>
        <w:t>GB12523-2011</w:t>
      </w:r>
      <w:r>
        <w:rPr>
          <w:rFonts w:hint="eastAsia" w:ascii="宋体" w:hAnsi="宋体"/>
        </w:rPr>
        <w:t>），详见表</w:t>
      </w:r>
      <w:r>
        <w:t>2.2.3-10</w:t>
      </w:r>
      <w:r>
        <w:rPr>
          <w:rFonts w:hint="eastAsia" w:ascii="宋体" w:hAnsi="宋体"/>
        </w:rPr>
        <w:t>。</w:t>
      </w:r>
    </w:p>
    <w:p w14:paraId="670380B1">
      <w:pPr>
        <w:spacing w:line="500" w:lineRule="exact"/>
        <w:ind w:firstLine="0" w:firstLineChars="0"/>
        <w:jc w:val="center"/>
        <w:rPr>
          <w:rFonts w:eastAsia="黑体"/>
        </w:rPr>
      </w:pPr>
      <w:r>
        <w:rPr>
          <w:rFonts w:hint="eastAsia" w:ascii="黑体" w:hAnsi="黑体" w:eastAsia="黑体"/>
        </w:rPr>
        <w:t>表</w:t>
      </w:r>
      <w:r>
        <w:rPr>
          <w:rFonts w:eastAsia="黑体"/>
        </w:rPr>
        <w:t xml:space="preserve">2.2.3-10 </w:t>
      </w:r>
      <w:r>
        <w:rPr>
          <w:rFonts w:hint="eastAsia" w:ascii="黑体" w:hAnsi="黑体" w:eastAsia="黑体"/>
        </w:rPr>
        <w:t>项目施工期噪声排放执行标准</w:t>
      </w:r>
    </w:p>
    <w:tbl>
      <w:tblPr>
        <w:tblStyle w:val="6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459"/>
        <w:gridCol w:w="3944"/>
        <w:gridCol w:w="2623"/>
      </w:tblGrid>
      <w:tr w14:paraId="227D4B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362" w:type="pct"/>
            <w:tcBorders>
              <w:top w:val="single" w:color="auto" w:sz="12" w:space="0"/>
              <w:left w:val="nil"/>
              <w:bottom w:val="single" w:color="auto" w:sz="4" w:space="0"/>
              <w:right w:val="single" w:color="auto" w:sz="4" w:space="0"/>
            </w:tcBorders>
            <w:vAlign w:val="center"/>
          </w:tcPr>
          <w:p w14:paraId="0C6D036F">
            <w:pPr>
              <w:pStyle w:val="445"/>
            </w:pPr>
            <w:r>
              <w:rPr>
                <w:rFonts w:hint="eastAsia"/>
              </w:rPr>
              <w:t>类别</w:t>
            </w:r>
          </w:p>
        </w:tc>
        <w:tc>
          <w:tcPr>
            <w:tcW w:w="2185" w:type="pct"/>
            <w:tcBorders>
              <w:top w:val="single" w:color="auto" w:sz="12" w:space="0"/>
              <w:left w:val="nil"/>
              <w:bottom w:val="single" w:color="auto" w:sz="4" w:space="0"/>
              <w:right w:val="single" w:color="auto" w:sz="4" w:space="0"/>
            </w:tcBorders>
            <w:vAlign w:val="center"/>
          </w:tcPr>
          <w:p w14:paraId="4D2979D6">
            <w:pPr>
              <w:pStyle w:val="445"/>
            </w:pPr>
            <w:r>
              <w:rPr>
                <w:rFonts w:hint="eastAsia"/>
              </w:rPr>
              <w:t>昼间</w:t>
            </w:r>
            <w:r>
              <w:t>dB</w:t>
            </w:r>
            <w:r>
              <w:rPr>
                <w:rFonts w:hint="eastAsia"/>
              </w:rPr>
              <w:t>（</w:t>
            </w:r>
            <w:r>
              <w:t>A</w:t>
            </w:r>
            <w:r>
              <w:rPr>
                <w:rFonts w:hint="eastAsia"/>
              </w:rPr>
              <w:t>）</w:t>
            </w:r>
          </w:p>
        </w:tc>
        <w:tc>
          <w:tcPr>
            <w:tcW w:w="1453" w:type="pct"/>
            <w:tcBorders>
              <w:top w:val="single" w:color="auto" w:sz="12" w:space="0"/>
              <w:left w:val="nil"/>
              <w:bottom w:val="single" w:color="auto" w:sz="4" w:space="0"/>
              <w:right w:val="nil"/>
            </w:tcBorders>
            <w:vAlign w:val="center"/>
          </w:tcPr>
          <w:p w14:paraId="4B33EFA4">
            <w:pPr>
              <w:pStyle w:val="445"/>
            </w:pPr>
            <w:r>
              <w:rPr>
                <w:rFonts w:hint="eastAsia"/>
              </w:rPr>
              <w:t>夜间</w:t>
            </w:r>
            <w:r>
              <w:t>dB</w:t>
            </w:r>
            <w:r>
              <w:rPr>
                <w:rFonts w:hint="eastAsia"/>
              </w:rPr>
              <w:t>（</w:t>
            </w:r>
            <w:r>
              <w:t>A</w:t>
            </w:r>
            <w:r>
              <w:rPr>
                <w:rFonts w:hint="eastAsia"/>
              </w:rPr>
              <w:t>）</w:t>
            </w:r>
          </w:p>
        </w:tc>
      </w:tr>
      <w:tr w14:paraId="67E0D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362" w:type="pct"/>
            <w:tcBorders>
              <w:top w:val="single" w:color="auto" w:sz="4" w:space="0"/>
              <w:left w:val="nil"/>
              <w:bottom w:val="single" w:color="auto" w:sz="4" w:space="0"/>
              <w:right w:val="single" w:color="auto" w:sz="4" w:space="0"/>
            </w:tcBorders>
            <w:vAlign w:val="center"/>
          </w:tcPr>
          <w:p w14:paraId="3BD206E3">
            <w:pPr>
              <w:pStyle w:val="445"/>
            </w:pPr>
            <w:r>
              <w:t>/</w:t>
            </w:r>
          </w:p>
        </w:tc>
        <w:tc>
          <w:tcPr>
            <w:tcW w:w="2185" w:type="pct"/>
            <w:tcBorders>
              <w:top w:val="single" w:color="auto" w:sz="4" w:space="0"/>
              <w:left w:val="nil"/>
              <w:bottom w:val="single" w:color="auto" w:sz="4" w:space="0"/>
              <w:right w:val="single" w:color="auto" w:sz="4" w:space="0"/>
            </w:tcBorders>
            <w:vAlign w:val="center"/>
          </w:tcPr>
          <w:p w14:paraId="035EFF45">
            <w:pPr>
              <w:pStyle w:val="445"/>
            </w:pPr>
            <w:r>
              <w:t>70</w:t>
            </w:r>
          </w:p>
        </w:tc>
        <w:tc>
          <w:tcPr>
            <w:tcW w:w="1453" w:type="pct"/>
            <w:tcBorders>
              <w:top w:val="single" w:color="auto" w:sz="4" w:space="0"/>
              <w:left w:val="nil"/>
              <w:bottom w:val="single" w:color="auto" w:sz="4" w:space="0"/>
              <w:right w:val="nil"/>
            </w:tcBorders>
            <w:vAlign w:val="center"/>
          </w:tcPr>
          <w:p w14:paraId="6E73B482">
            <w:pPr>
              <w:pStyle w:val="445"/>
            </w:pPr>
            <w:r>
              <w:t>55</w:t>
            </w:r>
          </w:p>
        </w:tc>
      </w:tr>
      <w:tr w14:paraId="2D2C9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362" w:type="pct"/>
            <w:tcBorders>
              <w:top w:val="single" w:color="auto" w:sz="4" w:space="0"/>
              <w:left w:val="nil"/>
              <w:bottom w:val="single" w:color="auto" w:sz="12" w:space="0"/>
              <w:right w:val="single" w:color="auto" w:sz="4" w:space="0"/>
            </w:tcBorders>
            <w:vAlign w:val="center"/>
          </w:tcPr>
          <w:p w14:paraId="3710E5EB">
            <w:pPr>
              <w:pStyle w:val="445"/>
            </w:pPr>
            <w:r>
              <w:rPr>
                <w:rFonts w:hint="eastAsia"/>
              </w:rPr>
              <w:t>标准来源</w:t>
            </w:r>
          </w:p>
        </w:tc>
        <w:tc>
          <w:tcPr>
            <w:tcW w:w="3638" w:type="pct"/>
            <w:gridSpan w:val="2"/>
            <w:tcBorders>
              <w:top w:val="single" w:color="auto" w:sz="4" w:space="0"/>
              <w:left w:val="nil"/>
              <w:bottom w:val="single" w:color="auto" w:sz="12" w:space="0"/>
              <w:right w:val="nil"/>
            </w:tcBorders>
            <w:vAlign w:val="center"/>
          </w:tcPr>
          <w:p w14:paraId="1E513A0C">
            <w:pPr>
              <w:pStyle w:val="445"/>
            </w:pPr>
            <w:r>
              <w:rPr>
                <w:rFonts w:hint="eastAsia"/>
              </w:rPr>
              <w:t>《建筑施工场界环境噪声排放标准》（</w:t>
            </w:r>
            <w:r>
              <w:t>GB12523-2011</w:t>
            </w:r>
            <w:r>
              <w:rPr>
                <w:rFonts w:hint="eastAsia"/>
              </w:rPr>
              <w:t>）</w:t>
            </w:r>
          </w:p>
        </w:tc>
      </w:tr>
    </w:tbl>
    <w:p w14:paraId="21D25131">
      <w:pPr>
        <w:ind w:firstLine="0" w:firstLineChars="0"/>
        <w:rPr>
          <w:rFonts w:cs="Times New Roman"/>
          <w:sz w:val="18"/>
          <w:szCs w:val="18"/>
        </w:rPr>
      </w:pPr>
      <w:r>
        <w:rPr>
          <w:rFonts w:hint="eastAsia" w:ascii="宋体" w:hAnsi="宋体"/>
          <w:kern w:val="0"/>
          <w:sz w:val="18"/>
          <w:szCs w:val="18"/>
        </w:rPr>
        <w:t>注：夜间噪声最大声级超过限值的幅度不得高于</w:t>
      </w:r>
      <w:r>
        <w:rPr>
          <w:kern w:val="0"/>
          <w:sz w:val="18"/>
          <w:szCs w:val="18"/>
        </w:rPr>
        <w:t>15dB</w:t>
      </w:r>
      <w:r>
        <w:rPr>
          <w:rFonts w:hint="eastAsia" w:ascii="宋体" w:hAnsi="宋体"/>
          <w:kern w:val="0"/>
          <w:sz w:val="18"/>
          <w:szCs w:val="18"/>
        </w:rPr>
        <w:t>（</w:t>
      </w:r>
      <w:r>
        <w:rPr>
          <w:kern w:val="0"/>
          <w:sz w:val="18"/>
          <w:szCs w:val="18"/>
        </w:rPr>
        <w:t>A</w:t>
      </w:r>
      <w:r>
        <w:rPr>
          <w:rFonts w:hint="eastAsia" w:ascii="宋体" w:hAnsi="宋体"/>
          <w:kern w:val="0"/>
          <w:sz w:val="18"/>
          <w:szCs w:val="18"/>
        </w:rPr>
        <w:t>）。</w:t>
      </w:r>
    </w:p>
    <w:p w14:paraId="50658163">
      <w:pPr>
        <w:pStyle w:val="349"/>
      </w:pPr>
      <w:r>
        <w:rPr>
          <w:rFonts w:hint="eastAsia"/>
        </w:rPr>
        <w:t>2</w:t>
      </w:r>
      <w:r>
        <w:t>.2.3.5</w:t>
      </w:r>
      <w:r>
        <w:rPr>
          <w:rFonts w:hint="eastAsia"/>
        </w:rPr>
        <w:t>土壤评价标准</w:t>
      </w:r>
    </w:p>
    <w:p w14:paraId="6121987E">
      <w:pPr>
        <w:ind w:firstLine="480"/>
      </w:pPr>
      <w:r>
        <w:rPr>
          <w:rFonts w:ascii="宋体" w:hAnsi="宋体"/>
        </w:rPr>
        <w:t>区域建设用地土壤执行</w:t>
      </w:r>
      <w:r>
        <w:rPr>
          <w:rFonts w:hint="eastAsia" w:ascii="宋体" w:hAnsi="宋体"/>
        </w:rPr>
        <w:t>《土壤环境质量</w:t>
      </w:r>
      <w:r>
        <w:rPr>
          <w:rFonts w:hint="eastAsia"/>
        </w:rPr>
        <w:t xml:space="preserve"> 建设用地土壤污染风险管控标准（试行）》（G</w:t>
      </w:r>
      <w:r>
        <w:t>B36600-2018</w:t>
      </w:r>
      <w:r>
        <w:rPr>
          <w:rFonts w:hint="eastAsia" w:ascii="宋体" w:hAnsi="宋体"/>
        </w:rPr>
        <w:t>）中第二类用地筛选值要求；农用地土壤执行《土壤环境质量</w:t>
      </w:r>
      <w:r>
        <w:rPr>
          <w:rFonts w:hint="eastAsia"/>
        </w:rPr>
        <w:t xml:space="preserve"> 农用地土壤污染风险管控标准（试行）》（G</w:t>
      </w:r>
      <w:r>
        <w:t>B15618-2018</w:t>
      </w:r>
      <w:r>
        <w:rPr>
          <w:rFonts w:hint="eastAsia" w:ascii="宋体" w:hAnsi="宋体"/>
        </w:rPr>
        <w:t>）中风险筛选值要求。具体见表</w:t>
      </w:r>
      <w:r>
        <w:rPr>
          <w:rFonts w:hint="eastAsia"/>
        </w:rPr>
        <w:t>2</w:t>
      </w:r>
      <w:r>
        <w:t>.2.3-11</w:t>
      </w:r>
      <w:r>
        <w:rPr>
          <w:rFonts w:hint="eastAsia"/>
        </w:rPr>
        <w:t>~</w:t>
      </w:r>
      <w:r>
        <w:t>12</w:t>
      </w:r>
      <w:r>
        <w:rPr>
          <w:rFonts w:hint="eastAsia" w:ascii="宋体" w:hAnsi="宋体"/>
        </w:rPr>
        <w:t>。</w:t>
      </w:r>
    </w:p>
    <w:p w14:paraId="60E3F855">
      <w:pPr>
        <w:spacing w:line="500" w:lineRule="exact"/>
        <w:ind w:firstLine="0" w:firstLineChars="0"/>
        <w:jc w:val="center"/>
        <w:rPr>
          <w:rFonts w:eastAsia="黑体"/>
        </w:rPr>
      </w:pPr>
      <w:r>
        <w:rPr>
          <w:rFonts w:hint="eastAsia" w:ascii="黑体" w:hAnsi="黑体" w:eastAsia="黑体"/>
        </w:rPr>
        <w:t>表</w:t>
      </w:r>
      <w:r>
        <w:rPr>
          <w:rFonts w:eastAsia="黑体"/>
        </w:rPr>
        <w:t xml:space="preserve">2.2.3-11  </w:t>
      </w:r>
      <w:r>
        <w:rPr>
          <w:rFonts w:hint="eastAsia" w:ascii="黑体" w:hAnsi="黑体" w:eastAsia="黑体"/>
        </w:rPr>
        <w:t>建设用地土壤评价标准（单位：</w:t>
      </w:r>
      <w:r>
        <w:rPr>
          <w:rFonts w:eastAsia="黑体"/>
        </w:rPr>
        <w:t>mg/kg</w:t>
      </w:r>
      <w:r>
        <w:rPr>
          <w:rFonts w:hint="eastAsia" w:ascii="黑体" w:hAnsi="黑体" w:eastAsia="黑体"/>
        </w:rPr>
        <w:t>）</w:t>
      </w:r>
    </w:p>
    <w:tbl>
      <w:tblPr>
        <w:tblStyle w:val="6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730"/>
        <w:gridCol w:w="1288"/>
        <w:gridCol w:w="1288"/>
        <w:gridCol w:w="1288"/>
        <w:gridCol w:w="1288"/>
        <w:gridCol w:w="1289"/>
      </w:tblGrid>
      <w:tr w14:paraId="4EB1A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46" w:type="dxa"/>
            <w:vMerge w:val="restart"/>
            <w:tcBorders>
              <w:top w:val="single" w:color="auto" w:sz="12" w:space="0"/>
              <w:left w:val="nil"/>
              <w:bottom w:val="single" w:color="auto" w:sz="4" w:space="0"/>
              <w:right w:val="single" w:color="auto" w:sz="4" w:space="0"/>
            </w:tcBorders>
            <w:vAlign w:val="center"/>
          </w:tcPr>
          <w:p w14:paraId="24BAB790">
            <w:pPr>
              <w:pStyle w:val="445"/>
              <w:rPr>
                <w:b/>
              </w:rPr>
            </w:pPr>
            <w:r>
              <w:rPr>
                <w:b/>
              </w:rPr>
              <w:t>序号</w:t>
            </w:r>
          </w:p>
        </w:tc>
        <w:tc>
          <w:tcPr>
            <w:tcW w:w="1730" w:type="dxa"/>
            <w:vMerge w:val="restart"/>
            <w:tcBorders>
              <w:top w:val="single" w:color="auto" w:sz="12" w:space="0"/>
              <w:left w:val="nil"/>
              <w:bottom w:val="single" w:color="auto" w:sz="4" w:space="0"/>
              <w:right w:val="single" w:color="auto" w:sz="4" w:space="0"/>
            </w:tcBorders>
            <w:vAlign w:val="center"/>
          </w:tcPr>
          <w:p w14:paraId="2A20CB42">
            <w:pPr>
              <w:pStyle w:val="445"/>
              <w:rPr>
                <w:b/>
              </w:rPr>
            </w:pPr>
            <w:r>
              <w:rPr>
                <w:b/>
              </w:rPr>
              <w:t>污染物项目</w:t>
            </w:r>
          </w:p>
        </w:tc>
        <w:tc>
          <w:tcPr>
            <w:tcW w:w="1288" w:type="dxa"/>
            <w:vMerge w:val="restart"/>
            <w:tcBorders>
              <w:top w:val="single" w:color="auto" w:sz="12" w:space="0"/>
              <w:left w:val="nil"/>
              <w:bottom w:val="single" w:color="auto" w:sz="4" w:space="0"/>
              <w:right w:val="single" w:color="auto" w:sz="4" w:space="0"/>
            </w:tcBorders>
            <w:vAlign w:val="center"/>
          </w:tcPr>
          <w:p w14:paraId="47226271">
            <w:pPr>
              <w:pStyle w:val="445"/>
              <w:rPr>
                <w:b/>
              </w:rPr>
            </w:pPr>
            <w:r>
              <w:rPr>
                <w:b/>
              </w:rPr>
              <w:t>CAS编号</w:t>
            </w:r>
          </w:p>
        </w:tc>
        <w:tc>
          <w:tcPr>
            <w:tcW w:w="2576" w:type="dxa"/>
            <w:gridSpan w:val="2"/>
            <w:tcBorders>
              <w:top w:val="single" w:color="auto" w:sz="12" w:space="0"/>
              <w:left w:val="nil"/>
              <w:bottom w:val="single" w:color="auto" w:sz="4" w:space="0"/>
              <w:right w:val="single" w:color="auto" w:sz="4" w:space="0"/>
            </w:tcBorders>
            <w:vAlign w:val="center"/>
          </w:tcPr>
          <w:p w14:paraId="0D275D20">
            <w:pPr>
              <w:pStyle w:val="445"/>
              <w:rPr>
                <w:b/>
              </w:rPr>
            </w:pPr>
            <w:r>
              <w:rPr>
                <w:b/>
              </w:rPr>
              <w:t>筛选值</w:t>
            </w:r>
          </w:p>
        </w:tc>
        <w:tc>
          <w:tcPr>
            <w:tcW w:w="2577" w:type="dxa"/>
            <w:gridSpan w:val="2"/>
            <w:tcBorders>
              <w:top w:val="single" w:color="auto" w:sz="12" w:space="0"/>
              <w:left w:val="nil"/>
              <w:bottom w:val="single" w:color="auto" w:sz="4" w:space="0"/>
              <w:right w:val="nil"/>
            </w:tcBorders>
            <w:vAlign w:val="center"/>
          </w:tcPr>
          <w:p w14:paraId="3A2C4075">
            <w:pPr>
              <w:pStyle w:val="445"/>
              <w:rPr>
                <w:b/>
              </w:rPr>
            </w:pPr>
            <w:r>
              <w:rPr>
                <w:b/>
              </w:rPr>
              <w:t>管制值</w:t>
            </w:r>
          </w:p>
        </w:tc>
      </w:tr>
      <w:tr w14:paraId="0FBF68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0" w:type="auto"/>
            <w:vMerge w:val="continue"/>
            <w:tcBorders>
              <w:top w:val="single" w:color="auto" w:sz="12" w:space="0"/>
              <w:left w:val="nil"/>
              <w:bottom w:val="single" w:color="auto" w:sz="4" w:space="0"/>
              <w:right w:val="single" w:color="auto" w:sz="4" w:space="0"/>
            </w:tcBorders>
            <w:vAlign w:val="center"/>
          </w:tcPr>
          <w:p w14:paraId="112C2A72">
            <w:pPr>
              <w:pStyle w:val="445"/>
              <w:rPr>
                <w:b/>
                <w:szCs w:val="18"/>
              </w:rPr>
            </w:pPr>
          </w:p>
        </w:tc>
        <w:tc>
          <w:tcPr>
            <w:tcW w:w="0" w:type="auto"/>
            <w:vMerge w:val="continue"/>
            <w:tcBorders>
              <w:top w:val="single" w:color="auto" w:sz="12" w:space="0"/>
              <w:left w:val="nil"/>
              <w:bottom w:val="single" w:color="auto" w:sz="4" w:space="0"/>
              <w:right w:val="single" w:color="auto" w:sz="4" w:space="0"/>
            </w:tcBorders>
            <w:vAlign w:val="center"/>
          </w:tcPr>
          <w:p w14:paraId="6664FF6C">
            <w:pPr>
              <w:pStyle w:val="445"/>
              <w:rPr>
                <w:b/>
                <w:szCs w:val="18"/>
              </w:rPr>
            </w:pPr>
          </w:p>
        </w:tc>
        <w:tc>
          <w:tcPr>
            <w:tcW w:w="0" w:type="auto"/>
            <w:vMerge w:val="continue"/>
            <w:tcBorders>
              <w:top w:val="single" w:color="auto" w:sz="12" w:space="0"/>
              <w:left w:val="nil"/>
              <w:bottom w:val="single" w:color="auto" w:sz="4" w:space="0"/>
              <w:right w:val="single" w:color="auto" w:sz="4" w:space="0"/>
            </w:tcBorders>
            <w:vAlign w:val="center"/>
          </w:tcPr>
          <w:p w14:paraId="4BA7D249">
            <w:pPr>
              <w:pStyle w:val="445"/>
              <w:rPr>
                <w:b/>
                <w:szCs w:val="18"/>
              </w:rPr>
            </w:pPr>
          </w:p>
        </w:tc>
        <w:tc>
          <w:tcPr>
            <w:tcW w:w="1288" w:type="dxa"/>
            <w:tcBorders>
              <w:top w:val="single" w:color="auto" w:sz="4" w:space="0"/>
              <w:left w:val="nil"/>
              <w:bottom w:val="single" w:color="auto" w:sz="4" w:space="0"/>
              <w:right w:val="single" w:color="auto" w:sz="4" w:space="0"/>
            </w:tcBorders>
            <w:vAlign w:val="center"/>
          </w:tcPr>
          <w:p w14:paraId="003B249F">
            <w:pPr>
              <w:pStyle w:val="445"/>
              <w:rPr>
                <w:b/>
              </w:rPr>
            </w:pPr>
            <w:r>
              <w:rPr>
                <w:b/>
              </w:rPr>
              <w:t>第一类用地</w:t>
            </w:r>
          </w:p>
        </w:tc>
        <w:tc>
          <w:tcPr>
            <w:tcW w:w="1288" w:type="dxa"/>
            <w:tcBorders>
              <w:top w:val="single" w:color="auto" w:sz="4" w:space="0"/>
              <w:left w:val="nil"/>
              <w:bottom w:val="single" w:color="auto" w:sz="4" w:space="0"/>
              <w:right w:val="single" w:color="auto" w:sz="4" w:space="0"/>
            </w:tcBorders>
            <w:vAlign w:val="center"/>
          </w:tcPr>
          <w:p w14:paraId="77F8A307">
            <w:pPr>
              <w:pStyle w:val="445"/>
              <w:rPr>
                <w:b/>
              </w:rPr>
            </w:pPr>
            <w:r>
              <w:rPr>
                <w:b/>
              </w:rPr>
              <w:t>第二类用地</w:t>
            </w:r>
          </w:p>
        </w:tc>
        <w:tc>
          <w:tcPr>
            <w:tcW w:w="1288" w:type="dxa"/>
            <w:tcBorders>
              <w:top w:val="single" w:color="auto" w:sz="4" w:space="0"/>
              <w:left w:val="nil"/>
              <w:bottom w:val="single" w:color="auto" w:sz="4" w:space="0"/>
              <w:right w:val="single" w:color="auto" w:sz="4" w:space="0"/>
            </w:tcBorders>
            <w:vAlign w:val="center"/>
          </w:tcPr>
          <w:p w14:paraId="18933763">
            <w:pPr>
              <w:pStyle w:val="445"/>
              <w:rPr>
                <w:b/>
              </w:rPr>
            </w:pPr>
            <w:r>
              <w:rPr>
                <w:b/>
              </w:rPr>
              <w:t>第一类用地</w:t>
            </w:r>
          </w:p>
        </w:tc>
        <w:tc>
          <w:tcPr>
            <w:tcW w:w="1289" w:type="dxa"/>
            <w:tcBorders>
              <w:top w:val="single" w:color="auto" w:sz="4" w:space="0"/>
              <w:left w:val="nil"/>
              <w:bottom w:val="single" w:color="auto" w:sz="4" w:space="0"/>
              <w:right w:val="nil"/>
            </w:tcBorders>
            <w:vAlign w:val="center"/>
          </w:tcPr>
          <w:p w14:paraId="62C08BC8">
            <w:pPr>
              <w:pStyle w:val="445"/>
              <w:rPr>
                <w:b/>
              </w:rPr>
            </w:pPr>
            <w:r>
              <w:rPr>
                <w:b/>
              </w:rPr>
              <w:t>第二类用地</w:t>
            </w:r>
          </w:p>
        </w:tc>
      </w:tr>
      <w:tr w14:paraId="63C1CD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17" w:type="dxa"/>
            <w:gridSpan w:val="7"/>
            <w:tcBorders>
              <w:top w:val="single" w:color="auto" w:sz="4" w:space="0"/>
              <w:left w:val="nil"/>
              <w:bottom w:val="single" w:color="auto" w:sz="4" w:space="0"/>
              <w:right w:val="nil"/>
            </w:tcBorders>
            <w:vAlign w:val="center"/>
          </w:tcPr>
          <w:p w14:paraId="3D077FE2">
            <w:pPr>
              <w:pStyle w:val="445"/>
            </w:pPr>
            <w:r>
              <w:t>重金属和和无机物</w:t>
            </w:r>
          </w:p>
        </w:tc>
      </w:tr>
      <w:tr w14:paraId="303EEB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1CFC581E">
            <w:pPr>
              <w:pStyle w:val="445"/>
            </w:pPr>
            <w:r>
              <w:t>1</w:t>
            </w:r>
          </w:p>
        </w:tc>
        <w:tc>
          <w:tcPr>
            <w:tcW w:w="1730" w:type="dxa"/>
            <w:tcBorders>
              <w:top w:val="single" w:color="auto" w:sz="4" w:space="0"/>
              <w:left w:val="nil"/>
              <w:bottom w:val="single" w:color="auto" w:sz="4" w:space="0"/>
              <w:right w:val="single" w:color="auto" w:sz="4" w:space="0"/>
            </w:tcBorders>
            <w:vAlign w:val="center"/>
          </w:tcPr>
          <w:p w14:paraId="17CD2A74">
            <w:pPr>
              <w:pStyle w:val="445"/>
            </w:pPr>
            <w:r>
              <w:t>砷</w:t>
            </w:r>
          </w:p>
        </w:tc>
        <w:tc>
          <w:tcPr>
            <w:tcW w:w="1288" w:type="dxa"/>
            <w:tcBorders>
              <w:top w:val="single" w:color="auto" w:sz="4" w:space="0"/>
              <w:left w:val="nil"/>
              <w:bottom w:val="single" w:color="auto" w:sz="4" w:space="0"/>
              <w:right w:val="single" w:color="auto" w:sz="4" w:space="0"/>
            </w:tcBorders>
            <w:vAlign w:val="center"/>
          </w:tcPr>
          <w:p w14:paraId="34E2566B">
            <w:pPr>
              <w:pStyle w:val="445"/>
            </w:pPr>
            <w:r>
              <w:t>7440-38-2</w:t>
            </w:r>
          </w:p>
        </w:tc>
        <w:tc>
          <w:tcPr>
            <w:tcW w:w="1288" w:type="dxa"/>
            <w:tcBorders>
              <w:top w:val="single" w:color="auto" w:sz="4" w:space="0"/>
              <w:left w:val="nil"/>
              <w:bottom w:val="single" w:color="auto" w:sz="4" w:space="0"/>
              <w:right w:val="single" w:color="auto" w:sz="4" w:space="0"/>
            </w:tcBorders>
            <w:vAlign w:val="center"/>
          </w:tcPr>
          <w:p w14:paraId="6A1A1C23">
            <w:pPr>
              <w:pStyle w:val="445"/>
            </w:pPr>
            <w:r>
              <w:t>20</w:t>
            </w:r>
          </w:p>
        </w:tc>
        <w:tc>
          <w:tcPr>
            <w:tcW w:w="1288" w:type="dxa"/>
            <w:tcBorders>
              <w:top w:val="single" w:color="auto" w:sz="4" w:space="0"/>
              <w:left w:val="nil"/>
              <w:bottom w:val="single" w:color="auto" w:sz="4" w:space="0"/>
              <w:right w:val="single" w:color="auto" w:sz="4" w:space="0"/>
            </w:tcBorders>
            <w:vAlign w:val="center"/>
          </w:tcPr>
          <w:p w14:paraId="06B65FAF">
            <w:pPr>
              <w:pStyle w:val="445"/>
            </w:pPr>
            <w:r>
              <w:t>60</w:t>
            </w:r>
          </w:p>
        </w:tc>
        <w:tc>
          <w:tcPr>
            <w:tcW w:w="1288" w:type="dxa"/>
            <w:tcBorders>
              <w:top w:val="single" w:color="auto" w:sz="4" w:space="0"/>
              <w:left w:val="nil"/>
              <w:bottom w:val="single" w:color="auto" w:sz="4" w:space="0"/>
              <w:right w:val="single" w:color="auto" w:sz="4" w:space="0"/>
            </w:tcBorders>
            <w:vAlign w:val="center"/>
          </w:tcPr>
          <w:p w14:paraId="1D815E72">
            <w:pPr>
              <w:pStyle w:val="445"/>
            </w:pPr>
            <w:r>
              <w:t>120</w:t>
            </w:r>
          </w:p>
        </w:tc>
        <w:tc>
          <w:tcPr>
            <w:tcW w:w="1289" w:type="dxa"/>
            <w:tcBorders>
              <w:top w:val="single" w:color="auto" w:sz="4" w:space="0"/>
              <w:left w:val="nil"/>
              <w:bottom w:val="single" w:color="auto" w:sz="4" w:space="0"/>
              <w:right w:val="nil"/>
            </w:tcBorders>
            <w:vAlign w:val="center"/>
          </w:tcPr>
          <w:p w14:paraId="0710F2CA">
            <w:pPr>
              <w:pStyle w:val="445"/>
            </w:pPr>
            <w:r>
              <w:t>140</w:t>
            </w:r>
          </w:p>
        </w:tc>
      </w:tr>
      <w:tr w14:paraId="314F99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8E7F433">
            <w:pPr>
              <w:pStyle w:val="445"/>
            </w:pPr>
            <w:r>
              <w:t>2</w:t>
            </w:r>
          </w:p>
        </w:tc>
        <w:tc>
          <w:tcPr>
            <w:tcW w:w="1730" w:type="dxa"/>
            <w:tcBorders>
              <w:top w:val="single" w:color="auto" w:sz="4" w:space="0"/>
              <w:left w:val="nil"/>
              <w:bottom w:val="single" w:color="auto" w:sz="4" w:space="0"/>
              <w:right w:val="single" w:color="auto" w:sz="4" w:space="0"/>
            </w:tcBorders>
            <w:vAlign w:val="center"/>
          </w:tcPr>
          <w:p w14:paraId="75905098">
            <w:pPr>
              <w:pStyle w:val="445"/>
            </w:pPr>
            <w:r>
              <w:t>镉</w:t>
            </w:r>
          </w:p>
        </w:tc>
        <w:tc>
          <w:tcPr>
            <w:tcW w:w="1288" w:type="dxa"/>
            <w:tcBorders>
              <w:top w:val="single" w:color="auto" w:sz="4" w:space="0"/>
              <w:left w:val="nil"/>
              <w:bottom w:val="single" w:color="auto" w:sz="4" w:space="0"/>
              <w:right w:val="single" w:color="auto" w:sz="4" w:space="0"/>
            </w:tcBorders>
            <w:vAlign w:val="center"/>
          </w:tcPr>
          <w:p w14:paraId="3C70D207">
            <w:pPr>
              <w:pStyle w:val="445"/>
            </w:pPr>
            <w:r>
              <w:t>7440-43-9</w:t>
            </w:r>
          </w:p>
        </w:tc>
        <w:tc>
          <w:tcPr>
            <w:tcW w:w="1288" w:type="dxa"/>
            <w:tcBorders>
              <w:top w:val="single" w:color="auto" w:sz="4" w:space="0"/>
              <w:left w:val="nil"/>
              <w:bottom w:val="single" w:color="auto" w:sz="4" w:space="0"/>
              <w:right w:val="single" w:color="auto" w:sz="4" w:space="0"/>
            </w:tcBorders>
            <w:vAlign w:val="center"/>
          </w:tcPr>
          <w:p w14:paraId="4F36254B">
            <w:pPr>
              <w:pStyle w:val="445"/>
            </w:pPr>
            <w:r>
              <w:t>20</w:t>
            </w:r>
          </w:p>
        </w:tc>
        <w:tc>
          <w:tcPr>
            <w:tcW w:w="1288" w:type="dxa"/>
            <w:tcBorders>
              <w:top w:val="single" w:color="auto" w:sz="4" w:space="0"/>
              <w:left w:val="nil"/>
              <w:bottom w:val="single" w:color="auto" w:sz="4" w:space="0"/>
              <w:right w:val="single" w:color="auto" w:sz="4" w:space="0"/>
            </w:tcBorders>
            <w:vAlign w:val="center"/>
          </w:tcPr>
          <w:p w14:paraId="6B418469">
            <w:pPr>
              <w:pStyle w:val="445"/>
            </w:pPr>
            <w:r>
              <w:t>65</w:t>
            </w:r>
          </w:p>
        </w:tc>
        <w:tc>
          <w:tcPr>
            <w:tcW w:w="1288" w:type="dxa"/>
            <w:tcBorders>
              <w:top w:val="single" w:color="auto" w:sz="4" w:space="0"/>
              <w:left w:val="nil"/>
              <w:bottom w:val="single" w:color="auto" w:sz="4" w:space="0"/>
              <w:right w:val="single" w:color="auto" w:sz="4" w:space="0"/>
            </w:tcBorders>
            <w:vAlign w:val="center"/>
          </w:tcPr>
          <w:p w14:paraId="4B81AC00">
            <w:pPr>
              <w:pStyle w:val="445"/>
            </w:pPr>
            <w:r>
              <w:t>47</w:t>
            </w:r>
          </w:p>
        </w:tc>
        <w:tc>
          <w:tcPr>
            <w:tcW w:w="1289" w:type="dxa"/>
            <w:tcBorders>
              <w:top w:val="single" w:color="auto" w:sz="4" w:space="0"/>
              <w:left w:val="nil"/>
              <w:bottom w:val="single" w:color="auto" w:sz="4" w:space="0"/>
              <w:right w:val="nil"/>
            </w:tcBorders>
            <w:vAlign w:val="center"/>
          </w:tcPr>
          <w:p w14:paraId="48B05F94">
            <w:pPr>
              <w:pStyle w:val="445"/>
            </w:pPr>
            <w:r>
              <w:t>172</w:t>
            </w:r>
          </w:p>
        </w:tc>
      </w:tr>
      <w:tr w14:paraId="05507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5D27378">
            <w:pPr>
              <w:pStyle w:val="445"/>
            </w:pPr>
            <w:r>
              <w:t>3</w:t>
            </w:r>
          </w:p>
        </w:tc>
        <w:tc>
          <w:tcPr>
            <w:tcW w:w="1730" w:type="dxa"/>
            <w:tcBorders>
              <w:top w:val="single" w:color="auto" w:sz="4" w:space="0"/>
              <w:left w:val="nil"/>
              <w:bottom w:val="single" w:color="auto" w:sz="4" w:space="0"/>
              <w:right w:val="single" w:color="auto" w:sz="4" w:space="0"/>
            </w:tcBorders>
            <w:vAlign w:val="center"/>
          </w:tcPr>
          <w:p w14:paraId="05A49B2A">
            <w:pPr>
              <w:pStyle w:val="445"/>
            </w:pPr>
            <w:r>
              <w:t>铬（六价）</w:t>
            </w:r>
          </w:p>
        </w:tc>
        <w:tc>
          <w:tcPr>
            <w:tcW w:w="1288" w:type="dxa"/>
            <w:tcBorders>
              <w:top w:val="single" w:color="auto" w:sz="4" w:space="0"/>
              <w:left w:val="nil"/>
              <w:bottom w:val="single" w:color="auto" w:sz="4" w:space="0"/>
              <w:right w:val="single" w:color="auto" w:sz="4" w:space="0"/>
            </w:tcBorders>
            <w:vAlign w:val="center"/>
          </w:tcPr>
          <w:p w14:paraId="16E14233">
            <w:pPr>
              <w:pStyle w:val="445"/>
            </w:pPr>
            <w:r>
              <w:t>18540-29-9</w:t>
            </w:r>
          </w:p>
        </w:tc>
        <w:tc>
          <w:tcPr>
            <w:tcW w:w="1288" w:type="dxa"/>
            <w:tcBorders>
              <w:top w:val="single" w:color="auto" w:sz="4" w:space="0"/>
              <w:left w:val="nil"/>
              <w:bottom w:val="single" w:color="auto" w:sz="4" w:space="0"/>
              <w:right w:val="single" w:color="auto" w:sz="4" w:space="0"/>
            </w:tcBorders>
            <w:vAlign w:val="center"/>
          </w:tcPr>
          <w:p w14:paraId="5AB54AE2">
            <w:pPr>
              <w:pStyle w:val="445"/>
            </w:pPr>
            <w:r>
              <w:t>3.0</w:t>
            </w:r>
          </w:p>
        </w:tc>
        <w:tc>
          <w:tcPr>
            <w:tcW w:w="1288" w:type="dxa"/>
            <w:tcBorders>
              <w:top w:val="single" w:color="auto" w:sz="4" w:space="0"/>
              <w:left w:val="nil"/>
              <w:bottom w:val="single" w:color="auto" w:sz="4" w:space="0"/>
              <w:right w:val="single" w:color="auto" w:sz="4" w:space="0"/>
            </w:tcBorders>
            <w:vAlign w:val="center"/>
          </w:tcPr>
          <w:p w14:paraId="7806AE51">
            <w:pPr>
              <w:pStyle w:val="445"/>
            </w:pPr>
            <w:r>
              <w:t>5.7</w:t>
            </w:r>
          </w:p>
        </w:tc>
        <w:tc>
          <w:tcPr>
            <w:tcW w:w="1288" w:type="dxa"/>
            <w:tcBorders>
              <w:top w:val="single" w:color="auto" w:sz="4" w:space="0"/>
              <w:left w:val="nil"/>
              <w:bottom w:val="single" w:color="auto" w:sz="4" w:space="0"/>
              <w:right w:val="single" w:color="auto" w:sz="4" w:space="0"/>
            </w:tcBorders>
            <w:vAlign w:val="center"/>
          </w:tcPr>
          <w:p w14:paraId="335A610C">
            <w:pPr>
              <w:pStyle w:val="445"/>
            </w:pPr>
            <w:r>
              <w:t>30</w:t>
            </w:r>
          </w:p>
        </w:tc>
        <w:tc>
          <w:tcPr>
            <w:tcW w:w="1289" w:type="dxa"/>
            <w:tcBorders>
              <w:top w:val="single" w:color="auto" w:sz="4" w:space="0"/>
              <w:left w:val="nil"/>
              <w:bottom w:val="single" w:color="auto" w:sz="4" w:space="0"/>
              <w:right w:val="nil"/>
            </w:tcBorders>
            <w:vAlign w:val="center"/>
          </w:tcPr>
          <w:p w14:paraId="2D49DA82">
            <w:pPr>
              <w:pStyle w:val="445"/>
            </w:pPr>
            <w:r>
              <w:t>78</w:t>
            </w:r>
          </w:p>
        </w:tc>
      </w:tr>
      <w:tr w14:paraId="6EF0E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BB99B99">
            <w:pPr>
              <w:pStyle w:val="445"/>
            </w:pPr>
            <w:r>
              <w:t>4</w:t>
            </w:r>
          </w:p>
        </w:tc>
        <w:tc>
          <w:tcPr>
            <w:tcW w:w="1730" w:type="dxa"/>
            <w:tcBorders>
              <w:top w:val="single" w:color="auto" w:sz="4" w:space="0"/>
              <w:left w:val="nil"/>
              <w:bottom w:val="single" w:color="auto" w:sz="4" w:space="0"/>
              <w:right w:val="single" w:color="auto" w:sz="4" w:space="0"/>
            </w:tcBorders>
            <w:vAlign w:val="center"/>
          </w:tcPr>
          <w:p w14:paraId="1A932C14">
            <w:pPr>
              <w:pStyle w:val="445"/>
            </w:pPr>
            <w:r>
              <w:t>铜</w:t>
            </w:r>
          </w:p>
        </w:tc>
        <w:tc>
          <w:tcPr>
            <w:tcW w:w="1288" w:type="dxa"/>
            <w:tcBorders>
              <w:top w:val="single" w:color="auto" w:sz="4" w:space="0"/>
              <w:left w:val="nil"/>
              <w:bottom w:val="single" w:color="auto" w:sz="4" w:space="0"/>
              <w:right w:val="single" w:color="auto" w:sz="4" w:space="0"/>
            </w:tcBorders>
            <w:vAlign w:val="center"/>
          </w:tcPr>
          <w:p w14:paraId="1B0EB989">
            <w:pPr>
              <w:pStyle w:val="445"/>
            </w:pPr>
            <w:r>
              <w:t>7440-50-8</w:t>
            </w:r>
          </w:p>
        </w:tc>
        <w:tc>
          <w:tcPr>
            <w:tcW w:w="1288" w:type="dxa"/>
            <w:tcBorders>
              <w:top w:val="single" w:color="auto" w:sz="4" w:space="0"/>
              <w:left w:val="nil"/>
              <w:bottom w:val="single" w:color="auto" w:sz="4" w:space="0"/>
              <w:right w:val="single" w:color="auto" w:sz="4" w:space="0"/>
            </w:tcBorders>
            <w:vAlign w:val="center"/>
          </w:tcPr>
          <w:p w14:paraId="1EF06E13">
            <w:pPr>
              <w:pStyle w:val="445"/>
            </w:pPr>
            <w:r>
              <w:t>2000</w:t>
            </w:r>
          </w:p>
        </w:tc>
        <w:tc>
          <w:tcPr>
            <w:tcW w:w="1288" w:type="dxa"/>
            <w:tcBorders>
              <w:top w:val="single" w:color="auto" w:sz="4" w:space="0"/>
              <w:left w:val="nil"/>
              <w:bottom w:val="single" w:color="auto" w:sz="4" w:space="0"/>
              <w:right w:val="single" w:color="auto" w:sz="4" w:space="0"/>
            </w:tcBorders>
            <w:vAlign w:val="center"/>
          </w:tcPr>
          <w:p w14:paraId="08BB9650">
            <w:pPr>
              <w:pStyle w:val="445"/>
            </w:pPr>
            <w:r>
              <w:t>18000</w:t>
            </w:r>
          </w:p>
        </w:tc>
        <w:tc>
          <w:tcPr>
            <w:tcW w:w="1288" w:type="dxa"/>
            <w:tcBorders>
              <w:top w:val="single" w:color="auto" w:sz="4" w:space="0"/>
              <w:left w:val="nil"/>
              <w:bottom w:val="single" w:color="auto" w:sz="4" w:space="0"/>
              <w:right w:val="single" w:color="auto" w:sz="4" w:space="0"/>
            </w:tcBorders>
            <w:vAlign w:val="center"/>
          </w:tcPr>
          <w:p w14:paraId="1F823283">
            <w:pPr>
              <w:pStyle w:val="445"/>
            </w:pPr>
            <w:r>
              <w:t>8000</w:t>
            </w:r>
          </w:p>
        </w:tc>
        <w:tc>
          <w:tcPr>
            <w:tcW w:w="1289" w:type="dxa"/>
            <w:tcBorders>
              <w:top w:val="single" w:color="auto" w:sz="4" w:space="0"/>
              <w:left w:val="nil"/>
              <w:bottom w:val="single" w:color="auto" w:sz="4" w:space="0"/>
              <w:right w:val="nil"/>
            </w:tcBorders>
            <w:vAlign w:val="center"/>
          </w:tcPr>
          <w:p w14:paraId="60D88EF3">
            <w:pPr>
              <w:pStyle w:val="445"/>
            </w:pPr>
            <w:r>
              <w:t>36000</w:t>
            </w:r>
          </w:p>
        </w:tc>
      </w:tr>
      <w:tr w14:paraId="3BDB8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2A9E8F0B">
            <w:pPr>
              <w:pStyle w:val="445"/>
            </w:pPr>
            <w:r>
              <w:t>5</w:t>
            </w:r>
          </w:p>
        </w:tc>
        <w:tc>
          <w:tcPr>
            <w:tcW w:w="1730" w:type="dxa"/>
            <w:tcBorders>
              <w:top w:val="single" w:color="auto" w:sz="4" w:space="0"/>
              <w:left w:val="nil"/>
              <w:bottom w:val="single" w:color="auto" w:sz="4" w:space="0"/>
              <w:right w:val="single" w:color="auto" w:sz="4" w:space="0"/>
            </w:tcBorders>
            <w:vAlign w:val="center"/>
          </w:tcPr>
          <w:p w14:paraId="1FE269FF">
            <w:pPr>
              <w:pStyle w:val="445"/>
            </w:pPr>
            <w:r>
              <w:t>铅</w:t>
            </w:r>
          </w:p>
        </w:tc>
        <w:tc>
          <w:tcPr>
            <w:tcW w:w="1288" w:type="dxa"/>
            <w:tcBorders>
              <w:top w:val="single" w:color="auto" w:sz="4" w:space="0"/>
              <w:left w:val="nil"/>
              <w:bottom w:val="single" w:color="auto" w:sz="4" w:space="0"/>
              <w:right w:val="single" w:color="auto" w:sz="4" w:space="0"/>
            </w:tcBorders>
            <w:vAlign w:val="center"/>
          </w:tcPr>
          <w:p w14:paraId="4C091CAD">
            <w:pPr>
              <w:pStyle w:val="445"/>
            </w:pPr>
            <w:r>
              <w:t>7439-92-1</w:t>
            </w:r>
          </w:p>
        </w:tc>
        <w:tc>
          <w:tcPr>
            <w:tcW w:w="1288" w:type="dxa"/>
            <w:tcBorders>
              <w:top w:val="single" w:color="auto" w:sz="4" w:space="0"/>
              <w:left w:val="nil"/>
              <w:bottom w:val="single" w:color="auto" w:sz="4" w:space="0"/>
              <w:right w:val="single" w:color="auto" w:sz="4" w:space="0"/>
            </w:tcBorders>
            <w:vAlign w:val="center"/>
          </w:tcPr>
          <w:p w14:paraId="149DE5CD">
            <w:pPr>
              <w:pStyle w:val="445"/>
            </w:pPr>
            <w:r>
              <w:t>400</w:t>
            </w:r>
          </w:p>
        </w:tc>
        <w:tc>
          <w:tcPr>
            <w:tcW w:w="1288" w:type="dxa"/>
            <w:tcBorders>
              <w:top w:val="single" w:color="auto" w:sz="4" w:space="0"/>
              <w:left w:val="nil"/>
              <w:bottom w:val="single" w:color="auto" w:sz="4" w:space="0"/>
              <w:right w:val="single" w:color="auto" w:sz="4" w:space="0"/>
            </w:tcBorders>
            <w:vAlign w:val="center"/>
          </w:tcPr>
          <w:p w14:paraId="0885B1DB">
            <w:pPr>
              <w:pStyle w:val="445"/>
            </w:pPr>
            <w:r>
              <w:t>800</w:t>
            </w:r>
          </w:p>
        </w:tc>
        <w:tc>
          <w:tcPr>
            <w:tcW w:w="1288" w:type="dxa"/>
            <w:tcBorders>
              <w:top w:val="single" w:color="auto" w:sz="4" w:space="0"/>
              <w:left w:val="nil"/>
              <w:bottom w:val="single" w:color="auto" w:sz="4" w:space="0"/>
              <w:right w:val="single" w:color="auto" w:sz="4" w:space="0"/>
            </w:tcBorders>
            <w:vAlign w:val="center"/>
          </w:tcPr>
          <w:p w14:paraId="0C04E3DF">
            <w:pPr>
              <w:pStyle w:val="445"/>
            </w:pPr>
            <w:r>
              <w:t>800</w:t>
            </w:r>
          </w:p>
        </w:tc>
        <w:tc>
          <w:tcPr>
            <w:tcW w:w="1289" w:type="dxa"/>
            <w:tcBorders>
              <w:top w:val="single" w:color="auto" w:sz="4" w:space="0"/>
              <w:left w:val="nil"/>
              <w:bottom w:val="single" w:color="auto" w:sz="4" w:space="0"/>
              <w:right w:val="nil"/>
            </w:tcBorders>
            <w:vAlign w:val="center"/>
          </w:tcPr>
          <w:p w14:paraId="32A6962A">
            <w:pPr>
              <w:pStyle w:val="445"/>
            </w:pPr>
            <w:r>
              <w:t>2500</w:t>
            </w:r>
          </w:p>
        </w:tc>
      </w:tr>
      <w:tr w14:paraId="2AC04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0B9EE08">
            <w:pPr>
              <w:pStyle w:val="445"/>
            </w:pPr>
            <w:r>
              <w:t>6</w:t>
            </w:r>
          </w:p>
        </w:tc>
        <w:tc>
          <w:tcPr>
            <w:tcW w:w="1730" w:type="dxa"/>
            <w:tcBorders>
              <w:top w:val="single" w:color="auto" w:sz="4" w:space="0"/>
              <w:left w:val="nil"/>
              <w:bottom w:val="single" w:color="auto" w:sz="4" w:space="0"/>
              <w:right w:val="single" w:color="auto" w:sz="4" w:space="0"/>
            </w:tcBorders>
            <w:vAlign w:val="center"/>
          </w:tcPr>
          <w:p w14:paraId="27EDA0DE">
            <w:pPr>
              <w:pStyle w:val="445"/>
            </w:pPr>
            <w:r>
              <w:t>汞</w:t>
            </w:r>
          </w:p>
        </w:tc>
        <w:tc>
          <w:tcPr>
            <w:tcW w:w="1288" w:type="dxa"/>
            <w:tcBorders>
              <w:top w:val="single" w:color="auto" w:sz="4" w:space="0"/>
              <w:left w:val="nil"/>
              <w:bottom w:val="single" w:color="auto" w:sz="4" w:space="0"/>
              <w:right w:val="single" w:color="auto" w:sz="4" w:space="0"/>
            </w:tcBorders>
            <w:vAlign w:val="center"/>
          </w:tcPr>
          <w:p w14:paraId="62413725">
            <w:pPr>
              <w:pStyle w:val="445"/>
            </w:pPr>
            <w:r>
              <w:t>7439-97-6</w:t>
            </w:r>
          </w:p>
        </w:tc>
        <w:tc>
          <w:tcPr>
            <w:tcW w:w="1288" w:type="dxa"/>
            <w:tcBorders>
              <w:top w:val="single" w:color="auto" w:sz="4" w:space="0"/>
              <w:left w:val="nil"/>
              <w:bottom w:val="single" w:color="auto" w:sz="4" w:space="0"/>
              <w:right w:val="single" w:color="auto" w:sz="4" w:space="0"/>
            </w:tcBorders>
            <w:vAlign w:val="center"/>
          </w:tcPr>
          <w:p w14:paraId="7AED5FC1">
            <w:pPr>
              <w:pStyle w:val="445"/>
            </w:pPr>
            <w:r>
              <w:t>8</w:t>
            </w:r>
          </w:p>
        </w:tc>
        <w:tc>
          <w:tcPr>
            <w:tcW w:w="1288" w:type="dxa"/>
            <w:tcBorders>
              <w:top w:val="single" w:color="auto" w:sz="4" w:space="0"/>
              <w:left w:val="nil"/>
              <w:bottom w:val="single" w:color="auto" w:sz="4" w:space="0"/>
              <w:right w:val="single" w:color="auto" w:sz="4" w:space="0"/>
            </w:tcBorders>
            <w:vAlign w:val="center"/>
          </w:tcPr>
          <w:p w14:paraId="7F7F5CBB">
            <w:pPr>
              <w:pStyle w:val="445"/>
            </w:pPr>
            <w:r>
              <w:t>38</w:t>
            </w:r>
          </w:p>
        </w:tc>
        <w:tc>
          <w:tcPr>
            <w:tcW w:w="1288" w:type="dxa"/>
            <w:tcBorders>
              <w:top w:val="single" w:color="auto" w:sz="4" w:space="0"/>
              <w:left w:val="nil"/>
              <w:bottom w:val="single" w:color="auto" w:sz="4" w:space="0"/>
              <w:right w:val="single" w:color="auto" w:sz="4" w:space="0"/>
            </w:tcBorders>
            <w:vAlign w:val="center"/>
          </w:tcPr>
          <w:p w14:paraId="5415683F">
            <w:pPr>
              <w:pStyle w:val="445"/>
            </w:pPr>
            <w:r>
              <w:t>33</w:t>
            </w:r>
          </w:p>
        </w:tc>
        <w:tc>
          <w:tcPr>
            <w:tcW w:w="1289" w:type="dxa"/>
            <w:tcBorders>
              <w:top w:val="single" w:color="auto" w:sz="4" w:space="0"/>
              <w:left w:val="nil"/>
              <w:bottom w:val="single" w:color="auto" w:sz="4" w:space="0"/>
              <w:right w:val="nil"/>
            </w:tcBorders>
            <w:vAlign w:val="center"/>
          </w:tcPr>
          <w:p w14:paraId="544D0B88">
            <w:pPr>
              <w:pStyle w:val="445"/>
            </w:pPr>
            <w:r>
              <w:t>82</w:t>
            </w:r>
          </w:p>
        </w:tc>
      </w:tr>
      <w:tr w14:paraId="6BF03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2D89DD69">
            <w:pPr>
              <w:pStyle w:val="445"/>
            </w:pPr>
            <w:r>
              <w:t>7</w:t>
            </w:r>
          </w:p>
        </w:tc>
        <w:tc>
          <w:tcPr>
            <w:tcW w:w="1730" w:type="dxa"/>
            <w:tcBorders>
              <w:top w:val="single" w:color="auto" w:sz="4" w:space="0"/>
              <w:left w:val="nil"/>
              <w:bottom w:val="single" w:color="auto" w:sz="4" w:space="0"/>
              <w:right w:val="single" w:color="auto" w:sz="4" w:space="0"/>
            </w:tcBorders>
            <w:vAlign w:val="center"/>
          </w:tcPr>
          <w:p w14:paraId="1CFFD5C5">
            <w:pPr>
              <w:pStyle w:val="445"/>
            </w:pPr>
            <w:r>
              <w:t>镍</w:t>
            </w:r>
          </w:p>
        </w:tc>
        <w:tc>
          <w:tcPr>
            <w:tcW w:w="1288" w:type="dxa"/>
            <w:tcBorders>
              <w:top w:val="single" w:color="auto" w:sz="4" w:space="0"/>
              <w:left w:val="nil"/>
              <w:bottom w:val="single" w:color="auto" w:sz="4" w:space="0"/>
              <w:right w:val="single" w:color="auto" w:sz="4" w:space="0"/>
            </w:tcBorders>
            <w:vAlign w:val="center"/>
          </w:tcPr>
          <w:p w14:paraId="1DB8AB21">
            <w:pPr>
              <w:pStyle w:val="445"/>
            </w:pPr>
            <w:r>
              <w:t>7440-02-0</w:t>
            </w:r>
          </w:p>
        </w:tc>
        <w:tc>
          <w:tcPr>
            <w:tcW w:w="1288" w:type="dxa"/>
            <w:tcBorders>
              <w:top w:val="single" w:color="auto" w:sz="4" w:space="0"/>
              <w:left w:val="nil"/>
              <w:bottom w:val="single" w:color="auto" w:sz="4" w:space="0"/>
              <w:right w:val="single" w:color="auto" w:sz="4" w:space="0"/>
            </w:tcBorders>
            <w:vAlign w:val="center"/>
          </w:tcPr>
          <w:p w14:paraId="5089CC2E">
            <w:pPr>
              <w:pStyle w:val="445"/>
            </w:pPr>
            <w:r>
              <w:t>150</w:t>
            </w:r>
          </w:p>
        </w:tc>
        <w:tc>
          <w:tcPr>
            <w:tcW w:w="1288" w:type="dxa"/>
            <w:tcBorders>
              <w:top w:val="single" w:color="auto" w:sz="4" w:space="0"/>
              <w:left w:val="nil"/>
              <w:bottom w:val="single" w:color="auto" w:sz="4" w:space="0"/>
              <w:right w:val="single" w:color="auto" w:sz="4" w:space="0"/>
            </w:tcBorders>
            <w:vAlign w:val="center"/>
          </w:tcPr>
          <w:p w14:paraId="516AED95">
            <w:pPr>
              <w:pStyle w:val="445"/>
            </w:pPr>
            <w:r>
              <w:t>900</w:t>
            </w:r>
          </w:p>
        </w:tc>
        <w:tc>
          <w:tcPr>
            <w:tcW w:w="1288" w:type="dxa"/>
            <w:tcBorders>
              <w:top w:val="single" w:color="auto" w:sz="4" w:space="0"/>
              <w:left w:val="nil"/>
              <w:bottom w:val="single" w:color="auto" w:sz="4" w:space="0"/>
              <w:right w:val="single" w:color="auto" w:sz="4" w:space="0"/>
            </w:tcBorders>
            <w:vAlign w:val="center"/>
          </w:tcPr>
          <w:p w14:paraId="0E29440D">
            <w:pPr>
              <w:pStyle w:val="445"/>
            </w:pPr>
            <w:r>
              <w:t>600</w:t>
            </w:r>
          </w:p>
        </w:tc>
        <w:tc>
          <w:tcPr>
            <w:tcW w:w="1289" w:type="dxa"/>
            <w:tcBorders>
              <w:top w:val="single" w:color="auto" w:sz="4" w:space="0"/>
              <w:left w:val="nil"/>
              <w:bottom w:val="single" w:color="auto" w:sz="4" w:space="0"/>
              <w:right w:val="nil"/>
            </w:tcBorders>
            <w:vAlign w:val="center"/>
          </w:tcPr>
          <w:p w14:paraId="60244ECF">
            <w:pPr>
              <w:pStyle w:val="445"/>
            </w:pPr>
            <w:r>
              <w:t>2000</w:t>
            </w:r>
          </w:p>
        </w:tc>
      </w:tr>
      <w:tr w14:paraId="641437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17" w:type="dxa"/>
            <w:gridSpan w:val="7"/>
            <w:tcBorders>
              <w:top w:val="single" w:color="auto" w:sz="4" w:space="0"/>
              <w:left w:val="nil"/>
              <w:bottom w:val="single" w:color="auto" w:sz="4" w:space="0"/>
              <w:right w:val="nil"/>
            </w:tcBorders>
            <w:vAlign w:val="center"/>
          </w:tcPr>
          <w:p w14:paraId="7A352688">
            <w:pPr>
              <w:pStyle w:val="445"/>
            </w:pPr>
            <w:r>
              <w:t>挥发性有机物</w:t>
            </w:r>
          </w:p>
        </w:tc>
      </w:tr>
      <w:tr w14:paraId="21BD20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6AF7731">
            <w:pPr>
              <w:pStyle w:val="445"/>
            </w:pPr>
            <w:r>
              <w:t>8</w:t>
            </w:r>
          </w:p>
        </w:tc>
        <w:tc>
          <w:tcPr>
            <w:tcW w:w="1730" w:type="dxa"/>
            <w:tcBorders>
              <w:top w:val="single" w:color="auto" w:sz="4" w:space="0"/>
              <w:left w:val="nil"/>
              <w:bottom w:val="single" w:color="auto" w:sz="4" w:space="0"/>
              <w:right w:val="single" w:color="auto" w:sz="4" w:space="0"/>
            </w:tcBorders>
            <w:vAlign w:val="center"/>
          </w:tcPr>
          <w:p w14:paraId="447C7A34">
            <w:pPr>
              <w:pStyle w:val="445"/>
            </w:pPr>
            <w:r>
              <w:t>四氯化碳</w:t>
            </w:r>
          </w:p>
        </w:tc>
        <w:tc>
          <w:tcPr>
            <w:tcW w:w="1288" w:type="dxa"/>
            <w:tcBorders>
              <w:top w:val="single" w:color="auto" w:sz="4" w:space="0"/>
              <w:left w:val="nil"/>
              <w:bottom w:val="single" w:color="auto" w:sz="4" w:space="0"/>
              <w:right w:val="single" w:color="auto" w:sz="4" w:space="0"/>
            </w:tcBorders>
            <w:vAlign w:val="center"/>
          </w:tcPr>
          <w:p w14:paraId="7668E9D7">
            <w:pPr>
              <w:pStyle w:val="445"/>
            </w:pPr>
            <w:r>
              <w:t>56-23-5</w:t>
            </w:r>
          </w:p>
        </w:tc>
        <w:tc>
          <w:tcPr>
            <w:tcW w:w="1288" w:type="dxa"/>
            <w:tcBorders>
              <w:top w:val="single" w:color="auto" w:sz="4" w:space="0"/>
              <w:left w:val="nil"/>
              <w:bottom w:val="single" w:color="auto" w:sz="4" w:space="0"/>
              <w:right w:val="single" w:color="auto" w:sz="4" w:space="0"/>
            </w:tcBorders>
            <w:vAlign w:val="center"/>
          </w:tcPr>
          <w:p w14:paraId="31DFCBDA">
            <w:pPr>
              <w:pStyle w:val="445"/>
            </w:pPr>
            <w:r>
              <w:t>0.9</w:t>
            </w:r>
          </w:p>
        </w:tc>
        <w:tc>
          <w:tcPr>
            <w:tcW w:w="1288" w:type="dxa"/>
            <w:tcBorders>
              <w:top w:val="single" w:color="auto" w:sz="4" w:space="0"/>
              <w:left w:val="nil"/>
              <w:bottom w:val="single" w:color="auto" w:sz="4" w:space="0"/>
              <w:right w:val="single" w:color="auto" w:sz="4" w:space="0"/>
            </w:tcBorders>
            <w:vAlign w:val="center"/>
          </w:tcPr>
          <w:p w14:paraId="719C2FA7">
            <w:pPr>
              <w:pStyle w:val="445"/>
            </w:pPr>
            <w:r>
              <w:t>2.8</w:t>
            </w:r>
          </w:p>
        </w:tc>
        <w:tc>
          <w:tcPr>
            <w:tcW w:w="1288" w:type="dxa"/>
            <w:tcBorders>
              <w:top w:val="single" w:color="auto" w:sz="4" w:space="0"/>
              <w:left w:val="nil"/>
              <w:bottom w:val="single" w:color="auto" w:sz="4" w:space="0"/>
              <w:right w:val="single" w:color="auto" w:sz="4" w:space="0"/>
            </w:tcBorders>
            <w:vAlign w:val="center"/>
          </w:tcPr>
          <w:p w14:paraId="0FDD021F">
            <w:pPr>
              <w:pStyle w:val="445"/>
            </w:pPr>
            <w:r>
              <w:t>9</w:t>
            </w:r>
          </w:p>
        </w:tc>
        <w:tc>
          <w:tcPr>
            <w:tcW w:w="1289" w:type="dxa"/>
            <w:tcBorders>
              <w:top w:val="single" w:color="auto" w:sz="4" w:space="0"/>
              <w:left w:val="nil"/>
              <w:bottom w:val="single" w:color="auto" w:sz="4" w:space="0"/>
              <w:right w:val="nil"/>
            </w:tcBorders>
            <w:vAlign w:val="center"/>
          </w:tcPr>
          <w:p w14:paraId="2CA71AD5">
            <w:pPr>
              <w:pStyle w:val="445"/>
            </w:pPr>
            <w:r>
              <w:t>36</w:t>
            </w:r>
          </w:p>
        </w:tc>
      </w:tr>
      <w:tr w14:paraId="470CCD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6F8F7875">
            <w:pPr>
              <w:pStyle w:val="445"/>
            </w:pPr>
            <w:r>
              <w:t>9</w:t>
            </w:r>
          </w:p>
        </w:tc>
        <w:tc>
          <w:tcPr>
            <w:tcW w:w="1730" w:type="dxa"/>
            <w:tcBorders>
              <w:top w:val="single" w:color="auto" w:sz="4" w:space="0"/>
              <w:left w:val="nil"/>
              <w:bottom w:val="single" w:color="auto" w:sz="4" w:space="0"/>
              <w:right w:val="single" w:color="auto" w:sz="4" w:space="0"/>
            </w:tcBorders>
            <w:vAlign w:val="center"/>
          </w:tcPr>
          <w:p w14:paraId="6E0D1730">
            <w:pPr>
              <w:pStyle w:val="445"/>
            </w:pPr>
            <w:r>
              <w:t>氯仿</w:t>
            </w:r>
          </w:p>
        </w:tc>
        <w:tc>
          <w:tcPr>
            <w:tcW w:w="1288" w:type="dxa"/>
            <w:tcBorders>
              <w:top w:val="single" w:color="auto" w:sz="4" w:space="0"/>
              <w:left w:val="nil"/>
              <w:bottom w:val="single" w:color="auto" w:sz="4" w:space="0"/>
              <w:right w:val="single" w:color="auto" w:sz="4" w:space="0"/>
            </w:tcBorders>
            <w:vAlign w:val="center"/>
          </w:tcPr>
          <w:p w14:paraId="073F81DB">
            <w:pPr>
              <w:pStyle w:val="445"/>
            </w:pPr>
            <w:r>
              <w:t>67-66-3</w:t>
            </w:r>
          </w:p>
        </w:tc>
        <w:tc>
          <w:tcPr>
            <w:tcW w:w="1288" w:type="dxa"/>
            <w:tcBorders>
              <w:top w:val="single" w:color="auto" w:sz="4" w:space="0"/>
              <w:left w:val="nil"/>
              <w:bottom w:val="single" w:color="auto" w:sz="4" w:space="0"/>
              <w:right w:val="single" w:color="auto" w:sz="4" w:space="0"/>
            </w:tcBorders>
            <w:vAlign w:val="center"/>
          </w:tcPr>
          <w:p w14:paraId="2A6553F3">
            <w:pPr>
              <w:pStyle w:val="445"/>
            </w:pPr>
            <w:r>
              <w:t>0.3</w:t>
            </w:r>
          </w:p>
        </w:tc>
        <w:tc>
          <w:tcPr>
            <w:tcW w:w="1288" w:type="dxa"/>
            <w:tcBorders>
              <w:top w:val="single" w:color="auto" w:sz="4" w:space="0"/>
              <w:left w:val="nil"/>
              <w:bottom w:val="single" w:color="auto" w:sz="4" w:space="0"/>
              <w:right w:val="single" w:color="auto" w:sz="4" w:space="0"/>
            </w:tcBorders>
            <w:vAlign w:val="center"/>
          </w:tcPr>
          <w:p w14:paraId="0C525D42">
            <w:pPr>
              <w:pStyle w:val="445"/>
            </w:pPr>
            <w:r>
              <w:t>0.9</w:t>
            </w:r>
          </w:p>
        </w:tc>
        <w:tc>
          <w:tcPr>
            <w:tcW w:w="1288" w:type="dxa"/>
            <w:tcBorders>
              <w:top w:val="single" w:color="auto" w:sz="4" w:space="0"/>
              <w:left w:val="nil"/>
              <w:bottom w:val="single" w:color="auto" w:sz="4" w:space="0"/>
              <w:right w:val="single" w:color="auto" w:sz="4" w:space="0"/>
            </w:tcBorders>
            <w:vAlign w:val="center"/>
          </w:tcPr>
          <w:p w14:paraId="4ED0677F">
            <w:pPr>
              <w:pStyle w:val="445"/>
            </w:pPr>
            <w:r>
              <w:t>5</w:t>
            </w:r>
          </w:p>
        </w:tc>
        <w:tc>
          <w:tcPr>
            <w:tcW w:w="1289" w:type="dxa"/>
            <w:tcBorders>
              <w:top w:val="single" w:color="auto" w:sz="4" w:space="0"/>
              <w:left w:val="nil"/>
              <w:bottom w:val="single" w:color="auto" w:sz="4" w:space="0"/>
              <w:right w:val="nil"/>
            </w:tcBorders>
            <w:vAlign w:val="center"/>
          </w:tcPr>
          <w:p w14:paraId="2C1F47A8">
            <w:pPr>
              <w:pStyle w:val="445"/>
            </w:pPr>
            <w:r>
              <w:t>10</w:t>
            </w:r>
          </w:p>
        </w:tc>
      </w:tr>
      <w:tr w14:paraId="14B5B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13B30ED">
            <w:pPr>
              <w:pStyle w:val="445"/>
            </w:pPr>
            <w:r>
              <w:t>10</w:t>
            </w:r>
          </w:p>
        </w:tc>
        <w:tc>
          <w:tcPr>
            <w:tcW w:w="1730" w:type="dxa"/>
            <w:tcBorders>
              <w:top w:val="single" w:color="auto" w:sz="4" w:space="0"/>
              <w:left w:val="nil"/>
              <w:bottom w:val="single" w:color="auto" w:sz="4" w:space="0"/>
              <w:right w:val="single" w:color="auto" w:sz="4" w:space="0"/>
            </w:tcBorders>
            <w:vAlign w:val="center"/>
          </w:tcPr>
          <w:p w14:paraId="66D0CE16">
            <w:pPr>
              <w:pStyle w:val="445"/>
            </w:pPr>
            <w:r>
              <w:t>氯甲烷</w:t>
            </w:r>
          </w:p>
        </w:tc>
        <w:tc>
          <w:tcPr>
            <w:tcW w:w="1288" w:type="dxa"/>
            <w:tcBorders>
              <w:top w:val="single" w:color="auto" w:sz="4" w:space="0"/>
              <w:left w:val="nil"/>
              <w:bottom w:val="single" w:color="auto" w:sz="4" w:space="0"/>
              <w:right w:val="single" w:color="auto" w:sz="4" w:space="0"/>
            </w:tcBorders>
            <w:vAlign w:val="center"/>
          </w:tcPr>
          <w:p w14:paraId="737F0199">
            <w:pPr>
              <w:pStyle w:val="445"/>
            </w:pPr>
            <w:r>
              <w:t>74-87-3</w:t>
            </w:r>
          </w:p>
        </w:tc>
        <w:tc>
          <w:tcPr>
            <w:tcW w:w="1288" w:type="dxa"/>
            <w:tcBorders>
              <w:top w:val="single" w:color="auto" w:sz="4" w:space="0"/>
              <w:left w:val="nil"/>
              <w:bottom w:val="single" w:color="auto" w:sz="4" w:space="0"/>
              <w:right w:val="single" w:color="auto" w:sz="4" w:space="0"/>
            </w:tcBorders>
            <w:vAlign w:val="center"/>
          </w:tcPr>
          <w:p w14:paraId="6A6D4217">
            <w:pPr>
              <w:pStyle w:val="445"/>
            </w:pPr>
            <w:r>
              <w:t>12</w:t>
            </w:r>
          </w:p>
        </w:tc>
        <w:tc>
          <w:tcPr>
            <w:tcW w:w="1288" w:type="dxa"/>
            <w:tcBorders>
              <w:top w:val="single" w:color="auto" w:sz="4" w:space="0"/>
              <w:left w:val="nil"/>
              <w:bottom w:val="single" w:color="auto" w:sz="4" w:space="0"/>
              <w:right w:val="single" w:color="auto" w:sz="4" w:space="0"/>
            </w:tcBorders>
            <w:vAlign w:val="center"/>
          </w:tcPr>
          <w:p w14:paraId="7C8D61C4">
            <w:pPr>
              <w:pStyle w:val="445"/>
            </w:pPr>
            <w:r>
              <w:t>37</w:t>
            </w:r>
          </w:p>
        </w:tc>
        <w:tc>
          <w:tcPr>
            <w:tcW w:w="1288" w:type="dxa"/>
            <w:tcBorders>
              <w:top w:val="single" w:color="auto" w:sz="4" w:space="0"/>
              <w:left w:val="nil"/>
              <w:bottom w:val="single" w:color="auto" w:sz="4" w:space="0"/>
              <w:right w:val="single" w:color="auto" w:sz="4" w:space="0"/>
            </w:tcBorders>
            <w:vAlign w:val="center"/>
          </w:tcPr>
          <w:p w14:paraId="56EC8E3E">
            <w:pPr>
              <w:pStyle w:val="445"/>
            </w:pPr>
            <w:r>
              <w:t>21</w:t>
            </w:r>
          </w:p>
        </w:tc>
        <w:tc>
          <w:tcPr>
            <w:tcW w:w="1289" w:type="dxa"/>
            <w:tcBorders>
              <w:top w:val="single" w:color="auto" w:sz="4" w:space="0"/>
              <w:left w:val="nil"/>
              <w:bottom w:val="single" w:color="auto" w:sz="4" w:space="0"/>
              <w:right w:val="nil"/>
            </w:tcBorders>
            <w:vAlign w:val="center"/>
          </w:tcPr>
          <w:p w14:paraId="4C19CC0C">
            <w:pPr>
              <w:pStyle w:val="445"/>
            </w:pPr>
            <w:r>
              <w:t>120</w:t>
            </w:r>
          </w:p>
        </w:tc>
      </w:tr>
      <w:tr w14:paraId="2F55E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19EB2718">
            <w:pPr>
              <w:pStyle w:val="445"/>
            </w:pPr>
            <w:r>
              <w:t>11</w:t>
            </w:r>
          </w:p>
        </w:tc>
        <w:tc>
          <w:tcPr>
            <w:tcW w:w="1730" w:type="dxa"/>
            <w:tcBorders>
              <w:top w:val="single" w:color="auto" w:sz="4" w:space="0"/>
              <w:left w:val="nil"/>
              <w:bottom w:val="single" w:color="auto" w:sz="4" w:space="0"/>
              <w:right w:val="single" w:color="auto" w:sz="4" w:space="0"/>
            </w:tcBorders>
            <w:vAlign w:val="center"/>
          </w:tcPr>
          <w:p w14:paraId="6D477744">
            <w:pPr>
              <w:pStyle w:val="445"/>
            </w:pPr>
            <w:r>
              <w:t>1,1-二氯乙烷</w:t>
            </w:r>
          </w:p>
        </w:tc>
        <w:tc>
          <w:tcPr>
            <w:tcW w:w="1288" w:type="dxa"/>
            <w:tcBorders>
              <w:top w:val="single" w:color="auto" w:sz="4" w:space="0"/>
              <w:left w:val="nil"/>
              <w:bottom w:val="single" w:color="auto" w:sz="4" w:space="0"/>
              <w:right w:val="single" w:color="auto" w:sz="4" w:space="0"/>
            </w:tcBorders>
            <w:vAlign w:val="center"/>
          </w:tcPr>
          <w:p w14:paraId="69B76AB4">
            <w:pPr>
              <w:pStyle w:val="445"/>
            </w:pPr>
            <w:r>
              <w:t>75-34-3</w:t>
            </w:r>
          </w:p>
        </w:tc>
        <w:tc>
          <w:tcPr>
            <w:tcW w:w="1288" w:type="dxa"/>
            <w:tcBorders>
              <w:top w:val="single" w:color="auto" w:sz="4" w:space="0"/>
              <w:left w:val="nil"/>
              <w:bottom w:val="single" w:color="auto" w:sz="4" w:space="0"/>
              <w:right w:val="single" w:color="auto" w:sz="4" w:space="0"/>
            </w:tcBorders>
            <w:vAlign w:val="center"/>
          </w:tcPr>
          <w:p w14:paraId="3C857719">
            <w:pPr>
              <w:pStyle w:val="445"/>
            </w:pPr>
            <w:r>
              <w:t>3</w:t>
            </w:r>
          </w:p>
        </w:tc>
        <w:tc>
          <w:tcPr>
            <w:tcW w:w="1288" w:type="dxa"/>
            <w:tcBorders>
              <w:top w:val="single" w:color="auto" w:sz="4" w:space="0"/>
              <w:left w:val="nil"/>
              <w:bottom w:val="single" w:color="auto" w:sz="4" w:space="0"/>
              <w:right w:val="single" w:color="auto" w:sz="4" w:space="0"/>
            </w:tcBorders>
            <w:vAlign w:val="center"/>
          </w:tcPr>
          <w:p w14:paraId="6736CFA6">
            <w:pPr>
              <w:pStyle w:val="445"/>
            </w:pPr>
            <w:r>
              <w:t>9</w:t>
            </w:r>
          </w:p>
        </w:tc>
        <w:tc>
          <w:tcPr>
            <w:tcW w:w="1288" w:type="dxa"/>
            <w:tcBorders>
              <w:top w:val="single" w:color="auto" w:sz="4" w:space="0"/>
              <w:left w:val="nil"/>
              <w:bottom w:val="single" w:color="auto" w:sz="4" w:space="0"/>
              <w:right w:val="single" w:color="auto" w:sz="4" w:space="0"/>
            </w:tcBorders>
            <w:vAlign w:val="center"/>
          </w:tcPr>
          <w:p w14:paraId="3CC8FDC7">
            <w:pPr>
              <w:pStyle w:val="445"/>
            </w:pPr>
            <w:r>
              <w:t>20</w:t>
            </w:r>
          </w:p>
        </w:tc>
        <w:tc>
          <w:tcPr>
            <w:tcW w:w="1289" w:type="dxa"/>
            <w:tcBorders>
              <w:top w:val="single" w:color="auto" w:sz="4" w:space="0"/>
              <w:left w:val="nil"/>
              <w:bottom w:val="single" w:color="auto" w:sz="4" w:space="0"/>
              <w:right w:val="nil"/>
            </w:tcBorders>
            <w:vAlign w:val="center"/>
          </w:tcPr>
          <w:p w14:paraId="05BC9968">
            <w:pPr>
              <w:pStyle w:val="445"/>
            </w:pPr>
            <w:r>
              <w:t>100</w:t>
            </w:r>
          </w:p>
        </w:tc>
      </w:tr>
      <w:tr w14:paraId="43A8B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0D0B5257">
            <w:pPr>
              <w:pStyle w:val="445"/>
            </w:pPr>
            <w:r>
              <w:t>12</w:t>
            </w:r>
          </w:p>
        </w:tc>
        <w:tc>
          <w:tcPr>
            <w:tcW w:w="1730" w:type="dxa"/>
            <w:tcBorders>
              <w:top w:val="single" w:color="auto" w:sz="4" w:space="0"/>
              <w:left w:val="nil"/>
              <w:bottom w:val="single" w:color="auto" w:sz="4" w:space="0"/>
              <w:right w:val="single" w:color="auto" w:sz="4" w:space="0"/>
            </w:tcBorders>
            <w:vAlign w:val="center"/>
          </w:tcPr>
          <w:p w14:paraId="066290D3">
            <w:pPr>
              <w:pStyle w:val="445"/>
            </w:pPr>
            <w:r>
              <w:t>1,2-二氯乙烷</w:t>
            </w:r>
          </w:p>
        </w:tc>
        <w:tc>
          <w:tcPr>
            <w:tcW w:w="1288" w:type="dxa"/>
            <w:tcBorders>
              <w:top w:val="single" w:color="auto" w:sz="4" w:space="0"/>
              <w:left w:val="nil"/>
              <w:bottom w:val="single" w:color="auto" w:sz="4" w:space="0"/>
              <w:right w:val="single" w:color="auto" w:sz="4" w:space="0"/>
            </w:tcBorders>
            <w:vAlign w:val="center"/>
          </w:tcPr>
          <w:p w14:paraId="0E5AB17E">
            <w:pPr>
              <w:pStyle w:val="445"/>
            </w:pPr>
            <w:r>
              <w:t>107-06-2</w:t>
            </w:r>
          </w:p>
        </w:tc>
        <w:tc>
          <w:tcPr>
            <w:tcW w:w="1288" w:type="dxa"/>
            <w:tcBorders>
              <w:top w:val="single" w:color="auto" w:sz="4" w:space="0"/>
              <w:left w:val="nil"/>
              <w:bottom w:val="single" w:color="auto" w:sz="4" w:space="0"/>
              <w:right w:val="single" w:color="auto" w:sz="4" w:space="0"/>
            </w:tcBorders>
            <w:vAlign w:val="center"/>
          </w:tcPr>
          <w:p w14:paraId="4857E326">
            <w:pPr>
              <w:pStyle w:val="445"/>
            </w:pPr>
            <w:r>
              <w:t>0.52</w:t>
            </w:r>
          </w:p>
        </w:tc>
        <w:tc>
          <w:tcPr>
            <w:tcW w:w="1288" w:type="dxa"/>
            <w:tcBorders>
              <w:top w:val="single" w:color="auto" w:sz="4" w:space="0"/>
              <w:left w:val="nil"/>
              <w:bottom w:val="single" w:color="auto" w:sz="4" w:space="0"/>
              <w:right w:val="single" w:color="auto" w:sz="4" w:space="0"/>
            </w:tcBorders>
            <w:vAlign w:val="center"/>
          </w:tcPr>
          <w:p w14:paraId="6EB2015E">
            <w:pPr>
              <w:pStyle w:val="445"/>
            </w:pPr>
            <w:r>
              <w:t>5</w:t>
            </w:r>
          </w:p>
        </w:tc>
        <w:tc>
          <w:tcPr>
            <w:tcW w:w="1288" w:type="dxa"/>
            <w:tcBorders>
              <w:top w:val="single" w:color="auto" w:sz="4" w:space="0"/>
              <w:left w:val="nil"/>
              <w:bottom w:val="single" w:color="auto" w:sz="4" w:space="0"/>
              <w:right w:val="single" w:color="auto" w:sz="4" w:space="0"/>
            </w:tcBorders>
            <w:vAlign w:val="center"/>
          </w:tcPr>
          <w:p w14:paraId="3DEB67D0">
            <w:pPr>
              <w:pStyle w:val="445"/>
            </w:pPr>
            <w:r>
              <w:t>6</w:t>
            </w:r>
          </w:p>
        </w:tc>
        <w:tc>
          <w:tcPr>
            <w:tcW w:w="1289" w:type="dxa"/>
            <w:tcBorders>
              <w:top w:val="single" w:color="auto" w:sz="4" w:space="0"/>
              <w:left w:val="nil"/>
              <w:bottom w:val="single" w:color="auto" w:sz="4" w:space="0"/>
              <w:right w:val="nil"/>
            </w:tcBorders>
            <w:vAlign w:val="center"/>
          </w:tcPr>
          <w:p w14:paraId="0AFA695D">
            <w:pPr>
              <w:pStyle w:val="445"/>
            </w:pPr>
            <w:r>
              <w:t>21</w:t>
            </w:r>
          </w:p>
        </w:tc>
      </w:tr>
      <w:tr w14:paraId="29BD2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3B70F706">
            <w:pPr>
              <w:pStyle w:val="445"/>
            </w:pPr>
            <w:r>
              <w:t>13</w:t>
            </w:r>
          </w:p>
        </w:tc>
        <w:tc>
          <w:tcPr>
            <w:tcW w:w="1730" w:type="dxa"/>
            <w:tcBorders>
              <w:top w:val="single" w:color="auto" w:sz="4" w:space="0"/>
              <w:left w:val="nil"/>
              <w:bottom w:val="single" w:color="auto" w:sz="4" w:space="0"/>
              <w:right w:val="single" w:color="auto" w:sz="4" w:space="0"/>
            </w:tcBorders>
            <w:vAlign w:val="center"/>
          </w:tcPr>
          <w:p w14:paraId="77C1728C">
            <w:pPr>
              <w:pStyle w:val="445"/>
            </w:pPr>
            <w:r>
              <w:t>1,1-二氯乙烯</w:t>
            </w:r>
          </w:p>
        </w:tc>
        <w:tc>
          <w:tcPr>
            <w:tcW w:w="1288" w:type="dxa"/>
            <w:tcBorders>
              <w:top w:val="single" w:color="auto" w:sz="4" w:space="0"/>
              <w:left w:val="nil"/>
              <w:bottom w:val="single" w:color="auto" w:sz="4" w:space="0"/>
              <w:right w:val="single" w:color="auto" w:sz="4" w:space="0"/>
            </w:tcBorders>
            <w:vAlign w:val="center"/>
          </w:tcPr>
          <w:p w14:paraId="53546F1A">
            <w:pPr>
              <w:pStyle w:val="445"/>
            </w:pPr>
            <w:r>
              <w:t>75-35-4</w:t>
            </w:r>
          </w:p>
        </w:tc>
        <w:tc>
          <w:tcPr>
            <w:tcW w:w="1288" w:type="dxa"/>
            <w:tcBorders>
              <w:top w:val="single" w:color="auto" w:sz="4" w:space="0"/>
              <w:left w:val="nil"/>
              <w:bottom w:val="single" w:color="auto" w:sz="4" w:space="0"/>
              <w:right w:val="single" w:color="auto" w:sz="4" w:space="0"/>
            </w:tcBorders>
            <w:vAlign w:val="center"/>
          </w:tcPr>
          <w:p w14:paraId="6937173A">
            <w:pPr>
              <w:pStyle w:val="445"/>
            </w:pPr>
            <w:r>
              <w:t>12</w:t>
            </w:r>
          </w:p>
        </w:tc>
        <w:tc>
          <w:tcPr>
            <w:tcW w:w="1288" w:type="dxa"/>
            <w:tcBorders>
              <w:top w:val="single" w:color="auto" w:sz="4" w:space="0"/>
              <w:left w:val="nil"/>
              <w:bottom w:val="single" w:color="auto" w:sz="4" w:space="0"/>
              <w:right w:val="single" w:color="auto" w:sz="4" w:space="0"/>
            </w:tcBorders>
            <w:vAlign w:val="center"/>
          </w:tcPr>
          <w:p w14:paraId="018303A9">
            <w:pPr>
              <w:pStyle w:val="445"/>
            </w:pPr>
            <w:r>
              <w:t>66</w:t>
            </w:r>
          </w:p>
        </w:tc>
        <w:tc>
          <w:tcPr>
            <w:tcW w:w="1288" w:type="dxa"/>
            <w:tcBorders>
              <w:top w:val="single" w:color="auto" w:sz="4" w:space="0"/>
              <w:left w:val="nil"/>
              <w:bottom w:val="single" w:color="auto" w:sz="4" w:space="0"/>
              <w:right w:val="single" w:color="auto" w:sz="4" w:space="0"/>
            </w:tcBorders>
            <w:vAlign w:val="center"/>
          </w:tcPr>
          <w:p w14:paraId="1A3019FA">
            <w:pPr>
              <w:pStyle w:val="445"/>
            </w:pPr>
            <w:r>
              <w:t>40</w:t>
            </w:r>
          </w:p>
        </w:tc>
        <w:tc>
          <w:tcPr>
            <w:tcW w:w="1289" w:type="dxa"/>
            <w:tcBorders>
              <w:top w:val="single" w:color="auto" w:sz="4" w:space="0"/>
              <w:left w:val="nil"/>
              <w:bottom w:val="single" w:color="auto" w:sz="4" w:space="0"/>
              <w:right w:val="nil"/>
            </w:tcBorders>
            <w:vAlign w:val="center"/>
          </w:tcPr>
          <w:p w14:paraId="42614C69">
            <w:pPr>
              <w:pStyle w:val="445"/>
            </w:pPr>
            <w:r>
              <w:t>200</w:t>
            </w:r>
          </w:p>
        </w:tc>
      </w:tr>
      <w:tr w14:paraId="76EFC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979FA99">
            <w:pPr>
              <w:pStyle w:val="445"/>
            </w:pPr>
            <w:r>
              <w:t>14</w:t>
            </w:r>
          </w:p>
        </w:tc>
        <w:tc>
          <w:tcPr>
            <w:tcW w:w="1730" w:type="dxa"/>
            <w:tcBorders>
              <w:top w:val="single" w:color="auto" w:sz="4" w:space="0"/>
              <w:left w:val="nil"/>
              <w:bottom w:val="single" w:color="auto" w:sz="4" w:space="0"/>
              <w:right w:val="single" w:color="auto" w:sz="4" w:space="0"/>
            </w:tcBorders>
            <w:vAlign w:val="center"/>
          </w:tcPr>
          <w:p w14:paraId="378F99B9">
            <w:pPr>
              <w:pStyle w:val="445"/>
            </w:pPr>
            <w:r>
              <w:t>顺-1,2-二氯乙烯</w:t>
            </w:r>
          </w:p>
        </w:tc>
        <w:tc>
          <w:tcPr>
            <w:tcW w:w="1288" w:type="dxa"/>
            <w:tcBorders>
              <w:top w:val="single" w:color="auto" w:sz="4" w:space="0"/>
              <w:left w:val="nil"/>
              <w:bottom w:val="single" w:color="auto" w:sz="4" w:space="0"/>
              <w:right w:val="single" w:color="auto" w:sz="4" w:space="0"/>
            </w:tcBorders>
            <w:vAlign w:val="center"/>
          </w:tcPr>
          <w:p w14:paraId="1B091564">
            <w:pPr>
              <w:pStyle w:val="445"/>
            </w:pPr>
            <w:r>
              <w:t>156-59-2</w:t>
            </w:r>
          </w:p>
        </w:tc>
        <w:tc>
          <w:tcPr>
            <w:tcW w:w="1288" w:type="dxa"/>
            <w:tcBorders>
              <w:top w:val="single" w:color="auto" w:sz="4" w:space="0"/>
              <w:left w:val="nil"/>
              <w:bottom w:val="single" w:color="auto" w:sz="4" w:space="0"/>
              <w:right w:val="single" w:color="auto" w:sz="4" w:space="0"/>
            </w:tcBorders>
            <w:vAlign w:val="center"/>
          </w:tcPr>
          <w:p w14:paraId="4686663C">
            <w:pPr>
              <w:pStyle w:val="445"/>
            </w:pPr>
            <w:r>
              <w:t>66</w:t>
            </w:r>
          </w:p>
        </w:tc>
        <w:tc>
          <w:tcPr>
            <w:tcW w:w="1288" w:type="dxa"/>
            <w:tcBorders>
              <w:top w:val="single" w:color="auto" w:sz="4" w:space="0"/>
              <w:left w:val="nil"/>
              <w:bottom w:val="single" w:color="auto" w:sz="4" w:space="0"/>
              <w:right w:val="single" w:color="auto" w:sz="4" w:space="0"/>
            </w:tcBorders>
            <w:vAlign w:val="center"/>
          </w:tcPr>
          <w:p w14:paraId="2D0CDB86">
            <w:pPr>
              <w:pStyle w:val="445"/>
            </w:pPr>
            <w:r>
              <w:t>596</w:t>
            </w:r>
          </w:p>
        </w:tc>
        <w:tc>
          <w:tcPr>
            <w:tcW w:w="1288" w:type="dxa"/>
            <w:tcBorders>
              <w:top w:val="single" w:color="auto" w:sz="4" w:space="0"/>
              <w:left w:val="nil"/>
              <w:bottom w:val="single" w:color="auto" w:sz="4" w:space="0"/>
              <w:right w:val="single" w:color="auto" w:sz="4" w:space="0"/>
            </w:tcBorders>
            <w:vAlign w:val="center"/>
          </w:tcPr>
          <w:p w14:paraId="614E6158">
            <w:pPr>
              <w:pStyle w:val="445"/>
            </w:pPr>
            <w:r>
              <w:t>200</w:t>
            </w:r>
          </w:p>
        </w:tc>
        <w:tc>
          <w:tcPr>
            <w:tcW w:w="1289" w:type="dxa"/>
            <w:tcBorders>
              <w:top w:val="single" w:color="auto" w:sz="4" w:space="0"/>
              <w:left w:val="nil"/>
              <w:bottom w:val="single" w:color="auto" w:sz="4" w:space="0"/>
              <w:right w:val="nil"/>
            </w:tcBorders>
            <w:vAlign w:val="center"/>
          </w:tcPr>
          <w:p w14:paraId="16F9599E">
            <w:pPr>
              <w:pStyle w:val="445"/>
            </w:pPr>
            <w:r>
              <w:t>2000</w:t>
            </w:r>
          </w:p>
        </w:tc>
      </w:tr>
      <w:tr w14:paraId="4D874B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674ECAF5">
            <w:pPr>
              <w:pStyle w:val="445"/>
            </w:pPr>
            <w:r>
              <w:t>15</w:t>
            </w:r>
          </w:p>
        </w:tc>
        <w:tc>
          <w:tcPr>
            <w:tcW w:w="1730" w:type="dxa"/>
            <w:tcBorders>
              <w:top w:val="single" w:color="auto" w:sz="4" w:space="0"/>
              <w:left w:val="nil"/>
              <w:bottom w:val="single" w:color="auto" w:sz="4" w:space="0"/>
              <w:right w:val="single" w:color="auto" w:sz="4" w:space="0"/>
            </w:tcBorders>
            <w:vAlign w:val="center"/>
          </w:tcPr>
          <w:p w14:paraId="54CCF889">
            <w:pPr>
              <w:pStyle w:val="445"/>
            </w:pPr>
            <w:r>
              <w:t>反-1,2-二氯乙烯</w:t>
            </w:r>
          </w:p>
        </w:tc>
        <w:tc>
          <w:tcPr>
            <w:tcW w:w="1288" w:type="dxa"/>
            <w:tcBorders>
              <w:top w:val="single" w:color="auto" w:sz="4" w:space="0"/>
              <w:left w:val="nil"/>
              <w:bottom w:val="single" w:color="auto" w:sz="4" w:space="0"/>
              <w:right w:val="single" w:color="auto" w:sz="4" w:space="0"/>
            </w:tcBorders>
            <w:vAlign w:val="center"/>
          </w:tcPr>
          <w:p w14:paraId="56679050">
            <w:pPr>
              <w:pStyle w:val="445"/>
            </w:pPr>
            <w:r>
              <w:t>156-60-5</w:t>
            </w:r>
          </w:p>
        </w:tc>
        <w:tc>
          <w:tcPr>
            <w:tcW w:w="1288" w:type="dxa"/>
            <w:tcBorders>
              <w:top w:val="single" w:color="auto" w:sz="4" w:space="0"/>
              <w:left w:val="nil"/>
              <w:bottom w:val="single" w:color="auto" w:sz="4" w:space="0"/>
              <w:right w:val="single" w:color="auto" w:sz="4" w:space="0"/>
            </w:tcBorders>
            <w:vAlign w:val="center"/>
          </w:tcPr>
          <w:p w14:paraId="5E182028">
            <w:pPr>
              <w:pStyle w:val="445"/>
            </w:pPr>
            <w:r>
              <w:t>10</w:t>
            </w:r>
          </w:p>
        </w:tc>
        <w:tc>
          <w:tcPr>
            <w:tcW w:w="1288" w:type="dxa"/>
            <w:tcBorders>
              <w:top w:val="single" w:color="auto" w:sz="4" w:space="0"/>
              <w:left w:val="nil"/>
              <w:bottom w:val="single" w:color="auto" w:sz="4" w:space="0"/>
              <w:right w:val="single" w:color="auto" w:sz="4" w:space="0"/>
            </w:tcBorders>
            <w:vAlign w:val="center"/>
          </w:tcPr>
          <w:p w14:paraId="5E96893A">
            <w:pPr>
              <w:pStyle w:val="445"/>
            </w:pPr>
            <w:r>
              <w:t>54</w:t>
            </w:r>
          </w:p>
        </w:tc>
        <w:tc>
          <w:tcPr>
            <w:tcW w:w="1288" w:type="dxa"/>
            <w:tcBorders>
              <w:top w:val="single" w:color="auto" w:sz="4" w:space="0"/>
              <w:left w:val="nil"/>
              <w:bottom w:val="single" w:color="auto" w:sz="4" w:space="0"/>
              <w:right w:val="single" w:color="auto" w:sz="4" w:space="0"/>
            </w:tcBorders>
            <w:vAlign w:val="center"/>
          </w:tcPr>
          <w:p w14:paraId="501B6916">
            <w:pPr>
              <w:pStyle w:val="445"/>
            </w:pPr>
            <w:r>
              <w:t>31</w:t>
            </w:r>
          </w:p>
        </w:tc>
        <w:tc>
          <w:tcPr>
            <w:tcW w:w="1289" w:type="dxa"/>
            <w:tcBorders>
              <w:top w:val="single" w:color="auto" w:sz="4" w:space="0"/>
              <w:left w:val="nil"/>
              <w:bottom w:val="single" w:color="auto" w:sz="4" w:space="0"/>
              <w:right w:val="nil"/>
            </w:tcBorders>
            <w:vAlign w:val="center"/>
          </w:tcPr>
          <w:p w14:paraId="469B43DD">
            <w:pPr>
              <w:pStyle w:val="445"/>
            </w:pPr>
            <w:r>
              <w:t>163</w:t>
            </w:r>
          </w:p>
        </w:tc>
      </w:tr>
      <w:tr w14:paraId="1C8CF0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A581747">
            <w:pPr>
              <w:pStyle w:val="445"/>
            </w:pPr>
            <w:r>
              <w:t>16</w:t>
            </w:r>
          </w:p>
        </w:tc>
        <w:tc>
          <w:tcPr>
            <w:tcW w:w="1730" w:type="dxa"/>
            <w:tcBorders>
              <w:top w:val="single" w:color="auto" w:sz="4" w:space="0"/>
              <w:left w:val="nil"/>
              <w:bottom w:val="single" w:color="auto" w:sz="4" w:space="0"/>
              <w:right w:val="single" w:color="auto" w:sz="4" w:space="0"/>
            </w:tcBorders>
            <w:vAlign w:val="center"/>
          </w:tcPr>
          <w:p w14:paraId="0081F6E8">
            <w:pPr>
              <w:pStyle w:val="445"/>
            </w:pPr>
            <w:r>
              <w:t>二氯甲烷</w:t>
            </w:r>
          </w:p>
        </w:tc>
        <w:tc>
          <w:tcPr>
            <w:tcW w:w="1288" w:type="dxa"/>
            <w:tcBorders>
              <w:top w:val="single" w:color="auto" w:sz="4" w:space="0"/>
              <w:left w:val="nil"/>
              <w:bottom w:val="single" w:color="auto" w:sz="4" w:space="0"/>
              <w:right w:val="single" w:color="auto" w:sz="4" w:space="0"/>
            </w:tcBorders>
            <w:vAlign w:val="center"/>
          </w:tcPr>
          <w:p w14:paraId="14E9DC47">
            <w:pPr>
              <w:pStyle w:val="445"/>
            </w:pPr>
            <w:r>
              <w:t>75-09-2</w:t>
            </w:r>
          </w:p>
        </w:tc>
        <w:tc>
          <w:tcPr>
            <w:tcW w:w="1288" w:type="dxa"/>
            <w:tcBorders>
              <w:top w:val="single" w:color="auto" w:sz="4" w:space="0"/>
              <w:left w:val="nil"/>
              <w:bottom w:val="single" w:color="auto" w:sz="4" w:space="0"/>
              <w:right w:val="single" w:color="auto" w:sz="4" w:space="0"/>
            </w:tcBorders>
            <w:vAlign w:val="center"/>
          </w:tcPr>
          <w:p w14:paraId="6AB459E5">
            <w:pPr>
              <w:pStyle w:val="445"/>
            </w:pPr>
            <w:r>
              <w:t>94</w:t>
            </w:r>
          </w:p>
        </w:tc>
        <w:tc>
          <w:tcPr>
            <w:tcW w:w="1288" w:type="dxa"/>
            <w:tcBorders>
              <w:top w:val="single" w:color="auto" w:sz="4" w:space="0"/>
              <w:left w:val="nil"/>
              <w:bottom w:val="single" w:color="auto" w:sz="4" w:space="0"/>
              <w:right w:val="single" w:color="auto" w:sz="4" w:space="0"/>
            </w:tcBorders>
            <w:vAlign w:val="center"/>
          </w:tcPr>
          <w:p w14:paraId="23E9A42F">
            <w:pPr>
              <w:pStyle w:val="445"/>
            </w:pPr>
            <w:r>
              <w:t>616</w:t>
            </w:r>
          </w:p>
        </w:tc>
        <w:tc>
          <w:tcPr>
            <w:tcW w:w="1288" w:type="dxa"/>
            <w:tcBorders>
              <w:top w:val="single" w:color="auto" w:sz="4" w:space="0"/>
              <w:left w:val="nil"/>
              <w:bottom w:val="single" w:color="auto" w:sz="4" w:space="0"/>
              <w:right w:val="single" w:color="auto" w:sz="4" w:space="0"/>
            </w:tcBorders>
            <w:vAlign w:val="center"/>
          </w:tcPr>
          <w:p w14:paraId="554C7624">
            <w:pPr>
              <w:pStyle w:val="445"/>
            </w:pPr>
            <w:r>
              <w:t>300</w:t>
            </w:r>
          </w:p>
        </w:tc>
        <w:tc>
          <w:tcPr>
            <w:tcW w:w="1289" w:type="dxa"/>
            <w:tcBorders>
              <w:top w:val="single" w:color="auto" w:sz="4" w:space="0"/>
              <w:left w:val="nil"/>
              <w:bottom w:val="single" w:color="auto" w:sz="4" w:space="0"/>
              <w:right w:val="nil"/>
            </w:tcBorders>
            <w:vAlign w:val="center"/>
          </w:tcPr>
          <w:p w14:paraId="715D1F76">
            <w:pPr>
              <w:pStyle w:val="445"/>
            </w:pPr>
            <w:r>
              <w:t>2000</w:t>
            </w:r>
          </w:p>
        </w:tc>
      </w:tr>
      <w:tr w14:paraId="564B2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65F8D0AB">
            <w:pPr>
              <w:pStyle w:val="445"/>
            </w:pPr>
            <w:r>
              <w:t>17</w:t>
            </w:r>
          </w:p>
        </w:tc>
        <w:tc>
          <w:tcPr>
            <w:tcW w:w="1730" w:type="dxa"/>
            <w:tcBorders>
              <w:top w:val="single" w:color="auto" w:sz="4" w:space="0"/>
              <w:left w:val="nil"/>
              <w:bottom w:val="single" w:color="auto" w:sz="4" w:space="0"/>
              <w:right w:val="single" w:color="auto" w:sz="4" w:space="0"/>
            </w:tcBorders>
            <w:vAlign w:val="center"/>
          </w:tcPr>
          <w:p w14:paraId="156A0B16">
            <w:pPr>
              <w:pStyle w:val="445"/>
            </w:pPr>
            <w:r>
              <w:t>1,2-二氯丙烯</w:t>
            </w:r>
          </w:p>
        </w:tc>
        <w:tc>
          <w:tcPr>
            <w:tcW w:w="1288" w:type="dxa"/>
            <w:tcBorders>
              <w:top w:val="single" w:color="auto" w:sz="4" w:space="0"/>
              <w:left w:val="nil"/>
              <w:bottom w:val="single" w:color="auto" w:sz="4" w:space="0"/>
              <w:right w:val="single" w:color="auto" w:sz="4" w:space="0"/>
            </w:tcBorders>
            <w:vAlign w:val="center"/>
          </w:tcPr>
          <w:p w14:paraId="2038121A">
            <w:pPr>
              <w:pStyle w:val="445"/>
            </w:pPr>
            <w:r>
              <w:t>78-87-5</w:t>
            </w:r>
          </w:p>
        </w:tc>
        <w:tc>
          <w:tcPr>
            <w:tcW w:w="1288" w:type="dxa"/>
            <w:tcBorders>
              <w:top w:val="single" w:color="auto" w:sz="4" w:space="0"/>
              <w:left w:val="nil"/>
              <w:bottom w:val="single" w:color="auto" w:sz="4" w:space="0"/>
              <w:right w:val="single" w:color="auto" w:sz="4" w:space="0"/>
            </w:tcBorders>
            <w:vAlign w:val="center"/>
          </w:tcPr>
          <w:p w14:paraId="221B3162">
            <w:pPr>
              <w:pStyle w:val="445"/>
            </w:pPr>
            <w:r>
              <w:t>1</w:t>
            </w:r>
          </w:p>
        </w:tc>
        <w:tc>
          <w:tcPr>
            <w:tcW w:w="1288" w:type="dxa"/>
            <w:tcBorders>
              <w:top w:val="single" w:color="auto" w:sz="4" w:space="0"/>
              <w:left w:val="nil"/>
              <w:bottom w:val="single" w:color="auto" w:sz="4" w:space="0"/>
              <w:right w:val="single" w:color="auto" w:sz="4" w:space="0"/>
            </w:tcBorders>
            <w:vAlign w:val="center"/>
          </w:tcPr>
          <w:p w14:paraId="08425073">
            <w:pPr>
              <w:pStyle w:val="445"/>
            </w:pPr>
            <w:r>
              <w:t>5</w:t>
            </w:r>
          </w:p>
        </w:tc>
        <w:tc>
          <w:tcPr>
            <w:tcW w:w="1288" w:type="dxa"/>
            <w:tcBorders>
              <w:top w:val="single" w:color="auto" w:sz="4" w:space="0"/>
              <w:left w:val="nil"/>
              <w:bottom w:val="single" w:color="auto" w:sz="4" w:space="0"/>
              <w:right w:val="single" w:color="auto" w:sz="4" w:space="0"/>
            </w:tcBorders>
            <w:vAlign w:val="center"/>
          </w:tcPr>
          <w:p w14:paraId="73150911">
            <w:pPr>
              <w:pStyle w:val="445"/>
            </w:pPr>
            <w:r>
              <w:t>5</w:t>
            </w:r>
          </w:p>
        </w:tc>
        <w:tc>
          <w:tcPr>
            <w:tcW w:w="1289" w:type="dxa"/>
            <w:tcBorders>
              <w:top w:val="single" w:color="auto" w:sz="4" w:space="0"/>
              <w:left w:val="nil"/>
              <w:bottom w:val="single" w:color="auto" w:sz="4" w:space="0"/>
              <w:right w:val="nil"/>
            </w:tcBorders>
            <w:vAlign w:val="center"/>
          </w:tcPr>
          <w:p w14:paraId="0909C159">
            <w:pPr>
              <w:pStyle w:val="445"/>
            </w:pPr>
            <w:r>
              <w:t>47</w:t>
            </w:r>
          </w:p>
        </w:tc>
      </w:tr>
      <w:tr w14:paraId="3907DE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1BA3EA4E">
            <w:pPr>
              <w:pStyle w:val="445"/>
            </w:pPr>
            <w:r>
              <w:t>18</w:t>
            </w:r>
          </w:p>
        </w:tc>
        <w:tc>
          <w:tcPr>
            <w:tcW w:w="1730" w:type="dxa"/>
            <w:tcBorders>
              <w:top w:val="single" w:color="auto" w:sz="4" w:space="0"/>
              <w:left w:val="nil"/>
              <w:bottom w:val="single" w:color="auto" w:sz="4" w:space="0"/>
              <w:right w:val="single" w:color="auto" w:sz="4" w:space="0"/>
            </w:tcBorders>
            <w:vAlign w:val="center"/>
          </w:tcPr>
          <w:p w14:paraId="7A6078FD">
            <w:pPr>
              <w:pStyle w:val="445"/>
            </w:pPr>
            <w:r>
              <w:t>1,1,1,2-四氯乙烷</w:t>
            </w:r>
          </w:p>
        </w:tc>
        <w:tc>
          <w:tcPr>
            <w:tcW w:w="1288" w:type="dxa"/>
            <w:tcBorders>
              <w:top w:val="single" w:color="auto" w:sz="4" w:space="0"/>
              <w:left w:val="nil"/>
              <w:bottom w:val="single" w:color="auto" w:sz="4" w:space="0"/>
              <w:right w:val="single" w:color="auto" w:sz="4" w:space="0"/>
            </w:tcBorders>
            <w:vAlign w:val="center"/>
          </w:tcPr>
          <w:p w14:paraId="620E8D20">
            <w:pPr>
              <w:pStyle w:val="445"/>
            </w:pPr>
            <w:r>
              <w:t>630-20-6</w:t>
            </w:r>
          </w:p>
        </w:tc>
        <w:tc>
          <w:tcPr>
            <w:tcW w:w="1288" w:type="dxa"/>
            <w:tcBorders>
              <w:top w:val="single" w:color="auto" w:sz="4" w:space="0"/>
              <w:left w:val="nil"/>
              <w:bottom w:val="single" w:color="auto" w:sz="4" w:space="0"/>
              <w:right w:val="single" w:color="auto" w:sz="4" w:space="0"/>
            </w:tcBorders>
            <w:vAlign w:val="center"/>
          </w:tcPr>
          <w:p w14:paraId="6348F158">
            <w:pPr>
              <w:pStyle w:val="445"/>
            </w:pPr>
            <w:r>
              <w:t>2.6</w:t>
            </w:r>
          </w:p>
        </w:tc>
        <w:tc>
          <w:tcPr>
            <w:tcW w:w="1288" w:type="dxa"/>
            <w:tcBorders>
              <w:top w:val="single" w:color="auto" w:sz="4" w:space="0"/>
              <w:left w:val="nil"/>
              <w:bottom w:val="single" w:color="auto" w:sz="4" w:space="0"/>
              <w:right w:val="single" w:color="auto" w:sz="4" w:space="0"/>
            </w:tcBorders>
            <w:vAlign w:val="center"/>
          </w:tcPr>
          <w:p w14:paraId="005FAC51">
            <w:pPr>
              <w:pStyle w:val="445"/>
            </w:pPr>
            <w:r>
              <w:t>10</w:t>
            </w:r>
          </w:p>
        </w:tc>
        <w:tc>
          <w:tcPr>
            <w:tcW w:w="1288" w:type="dxa"/>
            <w:tcBorders>
              <w:top w:val="single" w:color="auto" w:sz="4" w:space="0"/>
              <w:left w:val="nil"/>
              <w:bottom w:val="single" w:color="auto" w:sz="4" w:space="0"/>
              <w:right w:val="single" w:color="auto" w:sz="4" w:space="0"/>
            </w:tcBorders>
            <w:vAlign w:val="center"/>
          </w:tcPr>
          <w:p w14:paraId="71624FC0">
            <w:pPr>
              <w:pStyle w:val="445"/>
            </w:pPr>
            <w:r>
              <w:t>26</w:t>
            </w:r>
          </w:p>
        </w:tc>
        <w:tc>
          <w:tcPr>
            <w:tcW w:w="1289" w:type="dxa"/>
            <w:tcBorders>
              <w:top w:val="single" w:color="auto" w:sz="4" w:space="0"/>
              <w:left w:val="nil"/>
              <w:bottom w:val="single" w:color="auto" w:sz="4" w:space="0"/>
              <w:right w:val="nil"/>
            </w:tcBorders>
            <w:vAlign w:val="center"/>
          </w:tcPr>
          <w:p w14:paraId="639A7F05">
            <w:pPr>
              <w:pStyle w:val="445"/>
            </w:pPr>
            <w:r>
              <w:t>100</w:t>
            </w:r>
          </w:p>
        </w:tc>
      </w:tr>
      <w:tr w14:paraId="2C769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DE510C3">
            <w:pPr>
              <w:pStyle w:val="445"/>
            </w:pPr>
            <w:r>
              <w:t>19</w:t>
            </w:r>
          </w:p>
        </w:tc>
        <w:tc>
          <w:tcPr>
            <w:tcW w:w="1730" w:type="dxa"/>
            <w:tcBorders>
              <w:top w:val="single" w:color="auto" w:sz="4" w:space="0"/>
              <w:left w:val="nil"/>
              <w:bottom w:val="single" w:color="auto" w:sz="4" w:space="0"/>
              <w:right w:val="single" w:color="auto" w:sz="4" w:space="0"/>
            </w:tcBorders>
            <w:vAlign w:val="center"/>
          </w:tcPr>
          <w:p w14:paraId="57C103CC">
            <w:pPr>
              <w:pStyle w:val="445"/>
            </w:pPr>
            <w:r>
              <w:t>1,1,2,2-四氯乙烷</w:t>
            </w:r>
          </w:p>
        </w:tc>
        <w:tc>
          <w:tcPr>
            <w:tcW w:w="1288" w:type="dxa"/>
            <w:tcBorders>
              <w:top w:val="single" w:color="auto" w:sz="4" w:space="0"/>
              <w:left w:val="nil"/>
              <w:bottom w:val="single" w:color="auto" w:sz="4" w:space="0"/>
              <w:right w:val="single" w:color="auto" w:sz="4" w:space="0"/>
            </w:tcBorders>
            <w:vAlign w:val="center"/>
          </w:tcPr>
          <w:p w14:paraId="22BB85CC">
            <w:pPr>
              <w:pStyle w:val="445"/>
            </w:pPr>
            <w:r>
              <w:t>79-34-5</w:t>
            </w:r>
          </w:p>
        </w:tc>
        <w:tc>
          <w:tcPr>
            <w:tcW w:w="1288" w:type="dxa"/>
            <w:tcBorders>
              <w:top w:val="single" w:color="auto" w:sz="4" w:space="0"/>
              <w:left w:val="nil"/>
              <w:bottom w:val="single" w:color="auto" w:sz="4" w:space="0"/>
              <w:right w:val="single" w:color="auto" w:sz="4" w:space="0"/>
            </w:tcBorders>
            <w:vAlign w:val="center"/>
          </w:tcPr>
          <w:p w14:paraId="0F08B10A">
            <w:pPr>
              <w:pStyle w:val="445"/>
            </w:pPr>
            <w:r>
              <w:t>1.6</w:t>
            </w:r>
          </w:p>
        </w:tc>
        <w:tc>
          <w:tcPr>
            <w:tcW w:w="1288" w:type="dxa"/>
            <w:tcBorders>
              <w:top w:val="single" w:color="auto" w:sz="4" w:space="0"/>
              <w:left w:val="nil"/>
              <w:bottom w:val="single" w:color="auto" w:sz="4" w:space="0"/>
              <w:right w:val="single" w:color="auto" w:sz="4" w:space="0"/>
            </w:tcBorders>
            <w:vAlign w:val="center"/>
          </w:tcPr>
          <w:p w14:paraId="5B7C7C83">
            <w:pPr>
              <w:pStyle w:val="445"/>
            </w:pPr>
            <w:r>
              <w:t>6.8</w:t>
            </w:r>
          </w:p>
        </w:tc>
        <w:tc>
          <w:tcPr>
            <w:tcW w:w="1288" w:type="dxa"/>
            <w:tcBorders>
              <w:top w:val="single" w:color="auto" w:sz="4" w:space="0"/>
              <w:left w:val="nil"/>
              <w:bottom w:val="single" w:color="auto" w:sz="4" w:space="0"/>
              <w:right w:val="single" w:color="auto" w:sz="4" w:space="0"/>
            </w:tcBorders>
            <w:vAlign w:val="center"/>
          </w:tcPr>
          <w:p w14:paraId="51C18A0D">
            <w:pPr>
              <w:pStyle w:val="445"/>
            </w:pPr>
            <w:r>
              <w:t>14</w:t>
            </w:r>
          </w:p>
        </w:tc>
        <w:tc>
          <w:tcPr>
            <w:tcW w:w="1289" w:type="dxa"/>
            <w:tcBorders>
              <w:top w:val="single" w:color="auto" w:sz="4" w:space="0"/>
              <w:left w:val="nil"/>
              <w:bottom w:val="single" w:color="auto" w:sz="4" w:space="0"/>
              <w:right w:val="nil"/>
            </w:tcBorders>
            <w:vAlign w:val="center"/>
          </w:tcPr>
          <w:p w14:paraId="08D9F41C">
            <w:pPr>
              <w:pStyle w:val="445"/>
            </w:pPr>
            <w:r>
              <w:t>50</w:t>
            </w:r>
          </w:p>
        </w:tc>
      </w:tr>
      <w:tr w14:paraId="7FE66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BDBC7D8">
            <w:pPr>
              <w:pStyle w:val="445"/>
            </w:pPr>
            <w:r>
              <w:t>20</w:t>
            </w:r>
          </w:p>
        </w:tc>
        <w:tc>
          <w:tcPr>
            <w:tcW w:w="1730" w:type="dxa"/>
            <w:tcBorders>
              <w:top w:val="single" w:color="auto" w:sz="4" w:space="0"/>
              <w:left w:val="nil"/>
              <w:bottom w:val="single" w:color="auto" w:sz="4" w:space="0"/>
              <w:right w:val="single" w:color="auto" w:sz="4" w:space="0"/>
            </w:tcBorders>
            <w:vAlign w:val="center"/>
          </w:tcPr>
          <w:p w14:paraId="198E936C">
            <w:pPr>
              <w:pStyle w:val="445"/>
            </w:pPr>
            <w:r>
              <w:t>四氯乙烯</w:t>
            </w:r>
          </w:p>
        </w:tc>
        <w:tc>
          <w:tcPr>
            <w:tcW w:w="1288" w:type="dxa"/>
            <w:tcBorders>
              <w:top w:val="single" w:color="auto" w:sz="4" w:space="0"/>
              <w:left w:val="nil"/>
              <w:bottom w:val="single" w:color="auto" w:sz="4" w:space="0"/>
              <w:right w:val="single" w:color="auto" w:sz="4" w:space="0"/>
            </w:tcBorders>
            <w:vAlign w:val="center"/>
          </w:tcPr>
          <w:p w14:paraId="0DBA4392">
            <w:pPr>
              <w:pStyle w:val="445"/>
            </w:pPr>
            <w:r>
              <w:t>127-18-4</w:t>
            </w:r>
          </w:p>
        </w:tc>
        <w:tc>
          <w:tcPr>
            <w:tcW w:w="1288" w:type="dxa"/>
            <w:tcBorders>
              <w:top w:val="single" w:color="auto" w:sz="4" w:space="0"/>
              <w:left w:val="nil"/>
              <w:bottom w:val="single" w:color="auto" w:sz="4" w:space="0"/>
              <w:right w:val="single" w:color="auto" w:sz="4" w:space="0"/>
            </w:tcBorders>
            <w:vAlign w:val="center"/>
          </w:tcPr>
          <w:p w14:paraId="3DBEE765">
            <w:pPr>
              <w:pStyle w:val="445"/>
            </w:pPr>
            <w:r>
              <w:t>11</w:t>
            </w:r>
          </w:p>
        </w:tc>
        <w:tc>
          <w:tcPr>
            <w:tcW w:w="1288" w:type="dxa"/>
            <w:tcBorders>
              <w:top w:val="single" w:color="auto" w:sz="4" w:space="0"/>
              <w:left w:val="nil"/>
              <w:bottom w:val="single" w:color="auto" w:sz="4" w:space="0"/>
              <w:right w:val="single" w:color="auto" w:sz="4" w:space="0"/>
            </w:tcBorders>
            <w:vAlign w:val="center"/>
          </w:tcPr>
          <w:p w14:paraId="5FBFDFBC">
            <w:pPr>
              <w:pStyle w:val="445"/>
            </w:pPr>
            <w:r>
              <w:t>53</w:t>
            </w:r>
          </w:p>
        </w:tc>
        <w:tc>
          <w:tcPr>
            <w:tcW w:w="1288" w:type="dxa"/>
            <w:tcBorders>
              <w:top w:val="single" w:color="auto" w:sz="4" w:space="0"/>
              <w:left w:val="nil"/>
              <w:bottom w:val="single" w:color="auto" w:sz="4" w:space="0"/>
              <w:right w:val="single" w:color="auto" w:sz="4" w:space="0"/>
            </w:tcBorders>
            <w:vAlign w:val="center"/>
          </w:tcPr>
          <w:p w14:paraId="5EF72B87">
            <w:pPr>
              <w:pStyle w:val="445"/>
            </w:pPr>
            <w:r>
              <w:t>34</w:t>
            </w:r>
          </w:p>
        </w:tc>
        <w:tc>
          <w:tcPr>
            <w:tcW w:w="1289" w:type="dxa"/>
            <w:tcBorders>
              <w:top w:val="single" w:color="auto" w:sz="4" w:space="0"/>
              <w:left w:val="nil"/>
              <w:bottom w:val="single" w:color="auto" w:sz="4" w:space="0"/>
              <w:right w:val="nil"/>
            </w:tcBorders>
            <w:vAlign w:val="center"/>
          </w:tcPr>
          <w:p w14:paraId="4B4DBA07">
            <w:pPr>
              <w:pStyle w:val="445"/>
            </w:pPr>
            <w:r>
              <w:t>183</w:t>
            </w:r>
          </w:p>
        </w:tc>
      </w:tr>
      <w:tr w14:paraId="10D14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45D08E5A">
            <w:pPr>
              <w:pStyle w:val="445"/>
            </w:pPr>
            <w:r>
              <w:t>21</w:t>
            </w:r>
          </w:p>
        </w:tc>
        <w:tc>
          <w:tcPr>
            <w:tcW w:w="1730" w:type="dxa"/>
            <w:tcBorders>
              <w:top w:val="single" w:color="auto" w:sz="4" w:space="0"/>
              <w:left w:val="nil"/>
              <w:bottom w:val="single" w:color="auto" w:sz="4" w:space="0"/>
              <w:right w:val="single" w:color="auto" w:sz="4" w:space="0"/>
            </w:tcBorders>
            <w:vAlign w:val="center"/>
          </w:tcPr>
          <w:p w14:paraId="6CF1FFB7">
            <w:pPr>
              <w:pStyle w:val="445"/>
            </w:pPr>
            <w:r>
              <w:t>1,1,1-三氯乙烷</w:t>
            </w:r>
          </w:p>
        </w:tc>
        <w:tc>
          <w:tcPr>
            <w:tcW w:w="1288" w:type="dxa"/>
            <w:tcBorders>
              <w:top w:val="single" w:color="auto" w:sz="4" w:space="0"/>
              <w:left w:val="nil"/>
              <w:bottom w:val="single" w:color="auto" w:sz="4" w:space="0"/>
              <w:right w:val="single" w:color="auto" w:sz="4" w:space="0"/>
            </w:tcBorders>
            <w:vAlign w:val="center"/>
          </w:tcPr>
          <w:p w14:paraId="1AEBF456">
            <w:pPr>
              <w:pStyle w:val="445"/>
            </w:pPr>
            <w:r>
              <w:t>71-55-6</w:t>
            </w:r>
          </w:p>
        </w:tc>
        <w:tc>
          <w:tcPr>
            <w:tcW w:w="1288" w:type="dxa"/>
            <w:tcBorders>
              <w:top w:val="single" w:color="auto" w:sz="4" w:space="0"/>
              <w:left w:val="nil"/>
              <w:bottom w:val="single" w:color="auto" w:sz="4" w:space="0"/>
              <w:right w:val="single" w:color="auto" w:sz="4" w:space="0"/>
            </w:tcBorders>
            <w:vAlign w:val="center"/>
          </w:tcPr>
          <w:p w14:paraId="69094D99">
            <w:pPr>
              <w:pStyle w:val="445"/>
            </w:pPr>
            <w:r>
              <w:t>701</w:t>
            </w:r>
          </w:p>
        </w:tc>
        <w:tc>
          <w:tcPr>
            <w:tcW w:w="1288" w:type="dxa"/>
            <w:tcBorders>
              <w:top w:val="single" w:color="auto" w:sz="4" w:space="0"/>
              <w:left w:val="nil"/>
              <w:bottom w:val="single" w:color="auto" w:sz="4" w:space="0"/>
              <w:right w:val="single" w:color="auto" w:sz="4" w:space="0"/>
            </w:tcBorders>
            <w:vAlign w:val="center"/>
          </w:tcPr>
          <w:p w14:paraId="24F2D5ED">
            <w:pPr>
              <w:pStyle w:val="445"/>
            </w:pPr>
            <w:r>
              <w:t>840</w:t>
            </w:r>
          </w:p>
        </w:tc>
        <w:tc>
          <w:tcPr>
            <w:tcW w:w="1288" w:type="dxa"/>
            <w:tcBorders>
              <w:top w:val="single" w:color="auto" w:sz="4" w:space="0"/>
              <w:left w:val="nil"/>
              <w:bottom w:val="single" w:color="auto" w:sz="4" w:space="0"/>
              <w:right w:val="single" w:color="auto" w:sz="4" w:space="0"/>
            </w:tcBorders>
            <w:vAlign w:val="center"/>
          </w:tcPr>
          <w:p w14:paraId="1305BBCB">
            <w:pPr>
              <w:pStyle w:val="445"/>
            </w:pPr>
            <w:r>
              <w:t>840</w:t>
            </w:r>
          </w:p>
        </w:tc>
        <w:tc>
          <w:tcPr>
            <w:tcW w:w="1289" w:type="dxa"/>
            <w:tcBorders>
              <w:top w:val="single" w:color="auto" w:sz="4" w:space="0"/>
              <w:left w:val="nil"/>
              <w:bottom w:val="single" w:color="auto" w:sz="4" w:space="0"/>
              <w:right w:val="nil"/>
            </w:tcBorders>
            <w:vAlign w:val="center"/>
          </w:tcPr>
          <w:p w14:paraId="5E02144A">
            <w:pPr>
              <w:pStyle w:val="445"/>
            </w:pPr>
            <w:r>
              <w:t>840</w:t>
            </w:r>
          </w:p>
        </w:tc>
      </w:tr>
      <w:tr w14:paraId="7ADCA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47C04DC5">
            <w:pPr>
              <w:pStyle w:val="445"/>
            </w:pPr>
            <w:r>
              <w:t>22</w:t>
            </w:r>
          </w:p>
        </w:tc>
        <w:tc>
          <w:tcPr>
            <w:tcW w:w="1730" w:type="dxa"/>
            <w:tcBorders>
              <w:top w:val="single" w:color="auto" w:sz="4" w:space="0"/>
              <w:left w:val="nil"/>
              <w:bottom w:val="single" w:color="auto" w:sz="4" w:space="0"/>
              <w:right w:val="single" w:color="auto" w:sz="4" w:space="0"/>
            </w:tcBorders>
            <w:vAlign w:val="center"/>
          </w:tcPr>
          <w:p w14:paraId="37746B23">
            <w:pPr>
              <w:pStyle w:val="445"/>
            </w:pPr>
            <w:r>
              <w:t>1,1,2-三氯乙烷</w:t>
            </w:r>
          </w:p>
        </w:tc>
        <w:tc>
          <w:tcPr>
            <w:tcW w:w="1288" w:type="dxa"/>
            <w:tcBorders>
              <w:top w:val="single" w:color="auto" w:sz="4" w:space="0"/>
              <w:left w:val="nil"/>
              <w:bottom w:val="single" w:color="auto" w:sz="4" w:space="0"/>
              <w:right w:val="single" w:color="auto" w:sz="4" w:space="0"/>
            </w:tcBorders>
            <w:vAlign w:val="center"/>
          </w:tcPr>
          <w:p w14:paraId="083EFF20">
            <w:pPr>
              <w:pStyle w:val="445"/>
            </w:pPr>
            <w:r>
              <w:t>79-00-5</w:t>
            </w:r>
          </w:p>
        </w:tc>
        <w:tc>
          <w:tcPr>
            <w:tcW w:w="1288" w:type="dxa"/>
            <w:tcBorders>
              <w:top w:val="single" w:color="auto" w:sz="4" w:space="0"/>
              <w:left w:val="nil"/>
              <w:bottom w:val="single" w:color="auto" w:sz="4" w:space="0"/>
              <w:right w:val="single" w:color="auto" w:sz="4" w:space="0"/>
            </w:tcBorders>
            <w:vAlign w:val="center"/>
          </w:tcPr>
          <w:p w14:paraId="73CE2731">
            <w:pPr>
              <w:pStyle w:val="445"/>
            </w:pPr>
            <w:r>
              <w:t>0.6</w:t>
            </w:r>
          </w:p>
        </w:tc>
        <w:tc>
          <w:tcPr>
            <w:tcW w:w="1288" w:type="dxa"/>
            <w:tcBorders>
              <w:top w:val="single" w:color="auto" w:sz="4" w:space="0"/>
              <w:left w:val="nil"/>
              <w:bottom w:val="single" w:color="auto" w:sz="4" w:space="0"/>
              <w:right w:val="single" w:color="auto" w:sz="4" w:space="0"/>
            </w:tcBorders>
            <w:vAlign w:val="center"/>
          </w:tcPr>
          <w:p w14:paraId="46C28853">
            <w:pPr>
              <w:pStyle w:val="445"/>
            </w:pPr>
            <w:r>
              <w:t>2.8</w:t>
            </w:r>
          </w:p>
        </w:tc>
        <w:tc>
          <w:tcPr>
            <w:tcW w:w="1288" w:type="dxa"/>
            <w:tcBorders>
              <w:top w:val="single" w:color="auto" w:sz="4" w:space="0"/>
              <w:left w:val="nil"/>
              <w:bottom w:val="single" w:color="auto" w:sz="4" w:space="0"/>
              <w:right w:val="single" w:color="auto" w:sz="4" w:space="0"/>
            </w:tcBorders>
            <w:vAlign w:val="center"/>
          </w:tcPr>
          <w:p w14:paraId="2FF4A601">
            <w:pPr>
              <w:pStyle w:val="445"/>
            </w:pPr>
            <w:r>
              <w:t>5</w:t>
            </w:r>
          </w:p>
        </w:tc>
        <w:tc>
          <w:tcPr>
            <w:tcW w:w="1289" w:type="dxa"/>
            <w:tcBorders>
              <w:top w:val="single" w:color="auto" w:sz="4" w:space="0"/>
              <w:left w:val="nil"/>
              <w:bottom w:val="single" w:color="auto" w:sz="4" w:space="0"/>
              <w:right w:val="nil"/>
            </w:tcBorders>
            <w:vAlign w:val="center"/>
          </w:tcPr>
          <w:p w14:paraId="579143A3">
            <w:pPr>
              <w:pStyle w:val="445"/>
            </w:pPr>
            <w:r>
              <w:t>15</w:t>
            </w:r>
          </w:p>
        </w:tc>
      </w:tr>
      <w:tr w14:paraId="56130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DAB051D">
            <w:pPr>
              <w:pStyle w:val="445"/>
            </w:pPr>
            <w:r>
              <w:t>23</w:t>
            </w:r>
          </w:p>
        </w:tc>
        <w:tc>
          <w:tcPr>
            <w:tcW w:w="1730" w:type="dxa"/>
            <w:tcBorders>
              <w:top w:val="single" w:color="auto" w:sz="4" w:space="0"/>
              <w:left w:val="nil"/>
              <w:bottom w:val="single" w:color="auto" w:sz="4" w:space="0"/>
              <w:right w:val="single" w:color="auto" w:sz="4" w:space="0"/>
            </w:tcBorders>
            <w:vAlign w:val="center"/>
          </w:tcPr>
          <w:p w14:paraId="24F03607">
            <w:pPr>
              <w:pStyle w:val="445"/>
            </w:pPr>
            <w:r>
              <w:t>三氯乙烯</w:t>
            </w:r>
          </w:p>
        </w:tc>
        <w:tc>
          <w:tcPr>
            <w:tcW w:w="1288" w:type="dxa"/>
            <w:tcBorders>
              <w:top w:val="single" w:color="auto" w:sz="4" w:space="0"/>
              <w:left w:val="nil"/>
              <w:bottom w:val="single" w:color="auto" w:sz="4" w:space="0"/>
              <w:right w:val="single" w:color="auto" w:sz="4" w:space="0"/>
            </w:tcBorders>
            <w:vAlign w:val="center"/>
          </w:tcPr>
          <w:p w14:paraId="2E557433">
            <w:pPr>
              <w:pStyle w:val="445"/>
            </w:pPr>
            <w:r>
              <w:t>79-01-6</w:t>
            </w:r>
          </w:p>
        </w:tc>
        <w:tc>
          <w:tcPr>
            <w:tcW w:w="1288" w:type="dxa"/>
            <w:tcBorders>
              <w:top w:val="single" w:color="auto" w:sz="4" w:space="0"/>
              <w:left w:val="nil"/>
              <w:bottom w:val="single" w:color="auto" w:sz="4" w:space="0"/>
              <w:right w:val="single" w:color="auto" w:sz="4" w:space="0"/>
            </w:tcBorders>
            <w:vAlign w:val="center"/>
          </w:tcPr>
          <w:p w14:paraId="1F579136">
            <w:pPr>
              <w:pStyle w:val="445"/>
            </w:pPr>
            <w:r>
              <w:t>0.7</w:t>
            </w:r>
          </w:p>
        </w:tc>
        <w:tc>
          <w:tcPr>
            <w:tcW w:w="1288" w:type="dxa"/>
            <w:tcBorders>
              <w:top w:val="single" w:color="auto" w:sz="4" w:space="0"/>
              <w:left w:val="nil"/>
              <w:bottom w:val="single" w:color="auto" w:sz="4" w:space="0"/>
              <w:right w:val="single" w:color="auto" w:sz="4" w:space="0"/>
            </w:tcBorders>
            <w:vAlign w:val="center"/>
          </w:tcPr>
          <w:p w14:paraId="7D6A7F6F">
            <w:pPr>
              <w:pStyle w:val="445"/>
            </w:pPr>
            <w:r>
              <w:t>2.8</w:t>
            </w:r>
          </w:p>
        </w:tc>
        <w:tc>
          <w:tcPr>
            <w:tcW w:w="1288" w:type="dxa"/>
            <w:tcBorders>
              <w:top w:val="single" w:color="auto" w:sz="4" w:space="0"/>
              <w:left w:val="nil"/>
              <w:bottom w:val="single" w:color="auto" w:sz="4" w:space="0"/>
              <w:right w:val="single" w:color="auto" w:sz="4" w:space="0"/>
            </w:tcBorders>
            <w:vAlign w:val="center"/>
          </w:tcPr>
          <w:p w14:paraId="79A7B5B7">
            <w:pPr>
              <w:pStyle w:val="445"/>
            </w:pPr>
            <w:r>
              <w:t>7</w:t>
            </w:r>
          </w:p>
        </w:tc>
        <w:tc>
          <w:tcPr>
            <w:tcW w:w="1289" w:type="dxa"/>
            <w:tcBorders>
              <w:top w:val="single" w:color="auto" w:sz="4" w:space="0"/>
              <w:left w:val="nil"/>
              <w:bottom w:val="single" w:color="auto" w:sz="4" w:space="0"/>
              <w:right w:val="nil"/>
            </w:tcBorders>
            <w:vAlign w:val="center"/>
          </w:tcPr>
          <w:p w14:paraId="31F31901">
            <w:pPr>
              <w:pStyle w:val="445"/>
            </w:pPr>
            <w:r>
              <w:t>20</w:t>
            </w:r>
          </w:p>
        </w:tc>
      </w:tr>
      <w:tr w14:paraId="1524F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33275453">
            <w:pPr>
              <w:pStyle w:val="445"/>
            </w:pPr>
            <w:r>
              <w:t>24</w:t>
            </w:r>
          </w:p>
        </w:tc>
        <w:tc>
          <w:tcPr>
            <w:tcW w:w="1730" w:type="dxa"/>
            <w:tcBorders>
              <w:top w:val="single" w:color="auto" w:sz="4" w:space="0"/>
              <w:left w:val="nil"/>
              <w:bottom w:val="single" w:color="auto" w:sz="4" w:space="0"/>
              <w:right w:val="single" w:color="auto" w:sz="4" w:space="0"/>
            </w:tcBorders>
            <w:vAlign w:val="center"/>
          </w:tcPr>
          <w:p w14:paraId="06DAC9F3">
            <w:pPr>
              <w:pStyle w:val="445"/>
            </w:pPr>
            <w:r>
              <w:t>1,2,3-三氯丙烷</w:t>
            </w:r>
          </w:p>
        </w:tc>
        <w:tc>
          <w:tcPr>
            <w:tcW w:w="1288" w:type="dxa"/>
            <w:tcBorders>
              <w:top w:val="single" w:color="auto" w:sz="4" w:space="0"/>
              <w:left w:val="nil"/>
              <w:bottom w:val="single" w:color="auto" w:sz="4" w:space="0"/>
              <w:right w:val="single" w:color="auto" w:sz="4" w:space="0"/>
            </w:tcBorders>
            <w:vAlign w:val="center"/>
          </w:tcPr>
          <w:p w14:paraId="128221EF">
            <w:pPr>
              <w:pStyle w:val="445"/>
            </w:pPr>
            <w:r>
              <w:t>96-18-4</w:t>
            </w:r>
          </w:p>
        </w:tc>
        <w:tc>
          <w:tcPr>
            <w:tcW w:w="1288" w:type="dxa"/>
            <w:tcBorders>
              <w:top w:val="single" w:color="auto" w:sz="4" w:space="0"/>
              <w:left w:val="nil"/>
              <w:bottom w:val="single" w:color="auto" w:sz="4" w:space="0"/>
              <w:right w:val="single" w:color="auto" w:sz="4" w:space="0"/>
            </w:tcBorders>
            <w:vAlign w:val="center"/>
          </w:tcPr>
          <w:p w14:paraId="255C7936">
            <w:pPr>
              <w:pStyle w:val="445"/>
            </w:pPr>
            <w:r>
              <w:t>0.05</w:t>
            </w:r>
          </w:p>
        </w:tc>
        <w:tc>
          <w:tcPr>
            <w:tcW w:w="1288" w:type="dxa"/>
            <w:tcBorders>
              <w:top w:val="single" w:color="auto" w:sz="4" w:space="0"/>
              <w:left w:val="nil"/>
              <w:bottom w:val="single" w:color="auto" w:sz="4" w:space="0"/>
              <w:right w:val="single" w:color="auto" w:sz="4" w:space="0"/>
            </w:tcBorders>
            <w:vAlign w:val="center"/>
          </w:tcPr>
          <w:p w14:paraId="67A2C69C">
            <w:pPr>
              <w:pStyle w:val="445"/>
            </w:pPr>
            <w:r>
              <w:t>0.5</w:t>
            </w:r>
          </w:p>
        </w:tc>
        <w:tc>
          <w:tcPr>
            <w:tcW w:w="1288" w:type="dxa"/>
            <w:tcBorders>
              <w:top w:val="single" w:color="auto" w:sz="4" w:space="0"/>
              <w:left w:val="nil"/>
              <w:bottom w:val="single" w:color="auto" w:sz="4" w:space="0"/>
              <w:right w:val="single" w:color="auto" w:sz="4" w:space="0"/>
            </w:tcBorders>
            <w:vAlign w:val="center"/>
          </w:tcPr>
          <w:p w14:paraId="6AAA3F23">
            <w:pPr>
              <w:pStyle w:val="445"/>
            </w:pPr>
            <w:r>
              <w:t>0.5</w:t>
            </w:r>
          </w:p>
        </w:tc>
        <w:tc>
          <w:tcPr>
            <w:tcW w:w="1289" w:type="dxa"/>
            <w:tcBorders>
              <w:top w:val="single" w:color="auto" w:sz="4" w:space="0"/>
              <w:left w:val="nil"/>
              <w:bottom w:val="single" w:color="auto" w:sz="4" w:space="0"/>
              <w:right w:val="nil"/>
            </w:tcBorders>
            <w:vAlign w:val="center"/>
          </w:tcPr>
          <w:p w14:paraId="20451435">
            <w:pPr>
              <w:pStyle w:val="445"/>
            </w:pPr>
            <w:r>
              <w:t>5</w:t>
            </w:r>
          </w:p>
        </w:tc>
      </w:tr>
      <w:tr w14:paraId="6ECA1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4725FB65">
            <w:pPr>
              <w:pStyle w:val="445"/>
            </w:pPr>
            <w:r>
              <w:t>25</w:t>
            </w:r>
          </w:p>
        </w:tc>
        <w:tc>
          <w:tcPr>
            <w:tcW w:w="1730" w:type="dxa"/>
            <w:tcBorders>
              <w:top w:val="single" w:color="auto" w:sz="4" w:space="0"/>
              <w:left w:val="nil"/>
              <w:bottom w:val="single" w:color="auto" w:sz="4" w:space="0"/>
              <w:right w:val="single" w:color="auto" w:sz="4" w:space="0"/>
            </w:tcBorders>
            <w:vAlign w:val="center"/>
          </w:tcPr>
          <w:p w14:paraId="172A2816">
            <w:pPr>
              <w:pStyle w:val="445"/>
            </w:pPr>
            <w:r>
              <w:t>氯乙烯</w:t>
            </w:r>
          </w:p>
        </w:tc>
        <w:tc>
          <w:tcPr>
            <w:tcW w:w="1288" w:type="dxa"/>
            <w:tcBorders>
              <w:top w:val="single" w:color="auto" w:sz="4" w:space="0"/>
              <w:left w:val="nil"/>
              <w:bottom w:val="single" w:color="auto" w:sz="4" w:space="0"/>
              <w:right w:val="single" w:color="auto" w:sz="4" w:space="0"/>
            </w:tcBorders>
            <w:vAlign w:val="center"/>
          </w:tcPr>
          <w:p w14:paraId="47509807">
            <w:pPr>
              <w:pStyle w:val="445"/>
            </w:pPr>
            <w:r>
              <w:t>75-01-4</w:t>
            </w:r>
          </w:p>
        </w:tc>
        <w:tc>
          <w:tcPr>
            <w:tcW w:w="1288" w:type="dxa"/>
            <w:tcBorders>
              <w:top w:val="single" w:color="auto" w:sz="4" w:space="0"/>
              <w:left w:val="nil"/>
              <w:bottom w:val="single" w:color="auto" w:sz="4" w:space="0"/>
              <w:right w:val="single" w:color="auto" w:sz="4" w:space="0"/>
            </w:tcBorders>
            <w:vAlign w:val="center"/>
          </w:tcPr>
          <w:p w14:paraId="79E51BAE">
            <w:pPr>
              <w:pStyle w:val="445"/>
            </w:pPr>
            <w:r>
              <w:t>0.12</w:t>
            </w:r>
          </w:p>
        </w:tc>
        <w:tc>
          <w:tcPr>
            <w:tcW w:w="1288" w:type="dxa"/>
            <w:tcBorders>
              <w:top w:val="single" w:color="auto" w:sz="4" w:space="0"/>
              <w:left w:val="nil"/>
              <w:bottom w:val="single" w:color="auto" w:sz="4" w:space="0"/>
              <w:right w:val="single" w:color="auto" w:sz="4" w:space="0"/>
            </w:tcBorders>
            <w:vAlign w:val="center"/>
          </w:tcPr>
          <w:p w14:paraId="6563EBED">
            <w:pPr>
              <w:pStyle w:val="445"/>
            </w:pPr>
            <w:r>
              <w:t>0.43</w:t>
            </w:r>
          </w:p>
        </w:tc>
        <w:tc>
          <w:tcPr>
            <w:tcW w:w="1288" w:type="dxa"/>
            <w:tcBorders>
              <w:top w:val="single" w:color="auto" w:sz="4" w:space="0"/>
              <w:left w:val="nil"/>
              <w:bottom w:val="single" w:color="auto" w:sz="4" w:space="0"/>
              <w:right w:val="single" w:color="auto" w:sz="4" w:space="0"/>
            </w:tcBorders>
            <w:vAlign w:val="center"/>
          </w:tcPr>
          <w:p w14:paraId="455EDDE8">
            <w:pPr>
              <w:pStyle w:val="445"/>
            </w:pPr>
            <w:r>
              <w:t>1.2</w:t>
            </w:r>
          </w:p>
        </w:tc>
        <w:tc>
          <w:tcPr>
            <w:tcW w:w="1289" w:type="dxa"/>
            <w:tcBorders>
              <w:top w:val="single" w:color="auto" w:sz="4" w:space="0"/>
              <w:left w:val="nil"/>
              <w:bottom w:val="single" w:color="auto" w:sz="4" w:space="0"/>
              <w:right w:val="nil"/>
            </w:tcBorders>
            <w:vAlign w:val="center"/>
          </w:tcPr>
          <w:p w14:paraId="6373DBF4">
            <w:pPr>
              <w:pStyle w:val="445"/>
            </w:pPr>
            <w:r>
              <w:t>4.3</w:t>
            </w:r>
          </w:p>
        </w:tc>
      </w:tr>
      <w:tr w14:paraId="5FE3E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99C4581">
            <w:pPr>
              <w:pStyle w:val="445"/>
            </w:pPr>
            <w:r>
              <w:t>26</w:t>
            </w:r>
          </w:p>
        </w:tc>
        <w:tc>
          <w:tcPr>
            <w:tcW w:w="1730" w:type="dxa"/>
            <w:tcBorders>
              <w:top w:val="single" w:color="auto" w:sz="4" w:space="0"/>
              <w:left w:val="nil"/>
              <w:bottom w:val="single" w:color="auto" w:sz="4" w:space="0"/>
              <w:right w:val="single" w:color="auto" w:sz="4" w:space="0"/>
            </w:tcBorders>
            <w:vAlign w:val="center"/>
          </w:tcPr>
          <w:p w14:paraId="5B2348FE">
            <w:pPr>
              <w:pStyle w:val="445"/>
            </w:pPr>
            <w:r>
              <w:t>苯</w:t>
            </w:r>
          </w:p>
        </w:tc>
        <w:tc>
          <w:tcPr>
            <w:tcW w:w="1288" w:type="dxa"/>
            <w:tcBorders>
              <w:top w:val="single" w:color="auto" w:sz="4" w:space="0"/>
              <w:left w:val="nil"/>
              <w:bottom w:val="single" w:color="auto" w:sz="4" w:space="0"/>
              <w:right w:val="single" w:color="auto" w:sz="4" w:space="0"/>
            </w:tcBorders>
            <w:vAlign w:val="center"/>
          </w:tcPr>
          <w:p w14:paraId="73B41E06">
            <w:pPr>
              <w:pStyle w:val="445"/>
            </w:pPr>
            <w:r>
              <w:t>71-43-2</w:t>
            </w:r>
          </w:p>
        </w:tc>
        <w:tc>
          <w:tcPr>
            <w:tcW w:w="1288" w:type="dxa"/>
            <w:tcBorders>
              <w:top w:val="single" w:color="auto" w:sz="4" w:space="0"/>
              <w:left w:val="nil"/>
              <w:bottom w:val="single" w:color="auto" w:sz="4" w:space="0"/>
              <w:right w:val="single" w:color="auto" w:sz="4" w:space="0"/>
            </w:tcBorders>
            <w:vAlign w:val="center"/>
          </w:tcPr>
          <w:p w14:paraId="5FF0BFA4">
            <w:pPr>
              <w:pStyle w:val="445"/>
            </w:pPr>
            <w:r>
              <w:t>1</w:t>
            </w:r>
          </w:p>
        </w:tc>
        <w:tc>
          <w:tcPr>
            <w:tcW w:w="1288" w:type="dxa"/>
            <w:tcBorders>
              <w:top w:val="single" w:color="auto" w:sz="4" w:space="0"/>
              <w:left w:val="nil"/>
              <w:bottom w:val="single" w:color="auto" w:sz="4" w:space="0"/>
              <w:right w:val="single" w:color="auto" w:sz="4" w:space="0"/>
            </w:tcBorders>
            <w:vAlign w:val="center"/>
          </w:tcPr>
          <w:p w14:paraId="31F4F356">
            <w:pPr>
              <w:pStyle w:val="445"/>
            </w:pPr>
            <w:r>
              <w:t>4</w:t>
            </w:r>
          </w:p>
        </w:tc>
        <w:tc>
          <w:tcPr>
            <w:tcW w:w="1288" w:type="dxa"/>
            <w:tcBorders>
              <w:top w:val="single" w:color="auto" w:sz="4" w:space="0"/>
              <w:left w:val="nil"/>
              <w:bottom w:val="single" w:color="auto" w:sz="4" w:space="0"/>
              <w:right w:val="single" w:color="auto" w:sz="4" w:space="0"/>
            </w:tcBorders>
            <w:vAlign w:val="center"/>
          </w:tcPr>
          <w:p w14:paraId="1D27EE48">
            <w:pPr>
              <w:pStyle w:val="445"/>
            </w:pPr>
            <w:r>
              <w:t>10</w:t>
            </w:r>
          </w:p>
        </w:tc>
        <w:tc>
          <w:tcPr>
            <w:tcW w:w="1289" w:type="dxa"/>
            <w:tcBorders>
              <w:top w:val="single" w:color="auto" w:sz="4" w:space="0"/>
              <w:left w:val="nil"/>
              <w:bottom w:val="single" w:color="auto" w:sz="4" w:space="0"/>
              <w:right w:val="nil"/>
            </w:tcBorders>
            <w:vAlign w:val="center"/>
          </w:tcPr>
          <w:p w14:paraId="1FECF0F0">
            <w:pPr>
              <w:pStyle w:val="445"/>
            </w:pPr>
            <w:r>
              <w:t>40</w:t>
            </w:r>
          </w:p>
        </w:tc>
      </w:tr>
      <w:tr w14:paraId="1C4D2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44B58D01">
            <w:pPr>
              <w:pStyle w:val="445"/>
            </w:pPr>
            <w:r>
              <w:t>27</w:t>
            </w:r>
          </w:p>
        </w:tc>
        <w:tc>
          <w:tcPr>
            <w:tcW w:w="1730" w:type="dxa"/>
            <w:tcBorders>
              <w:top w:val="single" w:color="auto" w:sz="4" w:space="0"/>
              <w:left w:val="nil"/>
              <w:bottom w:val="single" w:color="auto" w:sz="4" w:space="0"/>
              <w:right w:val="single" w:color="auto" w:sz="4" w:space="0"/>
            </w:tcBorders>
            <w:vAlign w:val="center"/>
          </w:tcPr>
          <w:p w14:paraId="03EF4678">
            <w:pPr>
              <w:pStyle w:val="445"/>
            </w:pPr>
            <w:r>
              <w:t>氯苯</w:t>
            </w:r>
          </w:p>
        </w:tc>
        <w:tc>
          <w:tcPr>
            <w:tcW w:w="1288" w:type="dxa"/>
            <w:tcBorders>
              <w:top w:val="single" w:color="auto" w:sz="4" w:space="0"/>
              <w:left w:val="nil"/>
              <w:bottom w:val="single" w:color="auto" w:sz="4" w:space="0"/>
              <w:right w:val="single" w:color="auto" w:sz="4" w:space="0"/>
            </w:tcBorders>
            <w:vAlign w:val="center"/>
          </w:tcPr>
          <w:p w14:paraId="0D6F1AAD">
            <w:pPr>
              <w:pStyle w:val="445"/>
            </w:pPr>
            <w:r>
              <w:t>108-90-7</w:t>
            </w:r>
          </w:p>
        </w:tc>
        <w:tc>
          <w:tcPr>
            <w:tcW w:w="1288" w:type="dxa"/>
            <w:tcBorders>
              <w:top w:val="single" w:color="auto" w:sz="4" w:space="0"/>
              <w:left w:val="nil"/>
              <w:bottom w:val="single" w:color="auto" w:sz="4" w:space="0"/>
              <w:right w:val="single" w:color="auto" w:sz="4" w:space="0"/>
            </w:tcBorders>
            <w:vAlign w:val="center"/>
          </w:tcPr>
          <w:p w14:paraId="7A5F1159">
            <w:pPr>
              <w:pStyle w:val="445"/>
            </w:pPr>
            <w:r>
              <w:t>68</w:t>
            </w:r>
          </w:p>
        </w:tc>
        <w:tc>
          <w:tcPr>
            <w:tcW w:w="1288" w:type="dxa"/>
            <w:tcBorders>
              <w:top w:val="single" w:color="auto" w:sz="4" w:space="0"/>
              <w:left w:val="nil"/>
              <w:bottom w:val="single" w:color="auto" w:sz="4" w:space="0"/>
              <w:right w:val="single" w:color="auto" w:sz="4" w:space="0"/>
            </w:tcBorders>
            <w:vAlign w:val="center"/>
          </w:tcPr>
          <w:p w14:paraId="2C296D82">
            <w:pPr>
              <w:pStyle w:val="445"/>
            </w:pPr>
            <w:r>
              <w:t>270</w:t>
            </w:r>
          </w:p>
        </w:tc>
        <w:tc>
          <w:tcPr>
            <w:tcW w:w="1288" w:type="dxa"/>
            <w:tcBorders>
              <w:top w:val="single" w:color="auto" w:sz="4" w:space="0"/>
              <w:left w:val="nil"/>
              <w:bottom w:val="single" w:color="auto" w:sz="4" w:space="0"/>
              <w:right w:val="single" w:color="auto" w:sz="4" w:space="0"/>
            </w:tcBorders>
            <w:vAlign w:val="center"/>
          </w:tcPr>
          <w:p w14:paraId="4C5AD68A">
            <w:pPr>
              <w:pStyle w:val="445"/>
            </w:pPr>
            <w:r>
              <w:t>200</w:t>
            </w:r>
          </w:p>
        </w:tc>
        <w:tc>
          <w:tcPr>
            <w:tcW w:w="1289" w:type="dxa"/>
            <w:tcBorders>
              <w:top w:val="single" w:color="auto" w:sz="4" w:space="0"/>
              <w:left w:val="nil"/>
              <w:bottom w:val="single" w:color="auto" w:sz="4" w:space="0"/>
              <w:right w:val="nil"/>
            </w:tcBorders>
            <w:vAlign w:val="center"/>
          </w:tcPr>
          <w:p w14:paraId="53E53C74">
            <w:pPr>
              <w:pStyle w:val="445"/>
            </w:pPr>
            <w:r>
              <w:t>1000</w:t>
            </w:r>
          </w:p>
        </w:tc>
      </w:tr>
      <w:tr w14:paraId="6A05E6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659CA43">
            <w:pPr>
              <w:pStyle w:val="445"/>
            </w:pPr>
            <w:r>
              <w:t>28</w:t>
            </w:r>
          </w:p>
        </w:tc>
        <w:tc>
          <w:tcPr>
            <w:tcW w:w="1730" w:type="dxa"/>
            <w:tcBorders>
              <w:top w:val="single" w:color="auto" w:sz="4" w:space="0"/>
              <w:left w:val="nil"/>
              <w:bottom w:val="single" w:color="auto" w:sz="4" w:space="0"/>
              <w:right w:val="single" w:color="auto" w:sz="4" w:space="0"/>
            </w:tcBorders>
            <w:vAlign w:val="center"/>
          </w:tcPr>
          <w:p w14:paraId="4DB157B6">
            <w:pPr>
              <w:pStyle w:val="445"/>
            </w:pPr>
            <w:r>
              <w:t>1,2-二氯苯</w:t>
            </w:r>
          </w:p>
        </w:tc>
        <w:tc>
          <w:tcPr>
            <w:tcW w:w="1288" w:type="dxa"/>
            <w:tcBorders>
              <w:top w:val="single" w:color="auto" w:sz="4" w:space="0"/>
              <w:left w:val="nil"/>
              <w:bottom w:val="single" w:color="auto" w:sz="4" w:space="0"/>
              <w:right w:val="single" w:color="auto" w:sz="4" w:space="0"/>
            </w:tcBorders>
            <w:vAlign w:val="center"/>
          </w:tcPr>
          <w:p w14:paraId="277EC61F">
            <w:pPr>
              <w:pStyle w:val="445"/>
            </w:pPr>
            <w:r>
              <w:t>95-50-1</w:t>
            </w:r>
          </w:p>
        </w:tc>
        <w:tc>
          <w:tcPr>
            <w:tcW w:w="1288" w:type="dxa"/>
            <w:tcBorders>
              <w:top w:val="single" w:color="auto" w:sz="4" w:space="0"/>
              <w:left w:val="nil"/>
              <w:bottom w:val="single" w:color="auto" w:sz="4" w:space="0"/>
              <w:right w:val="single" w:color="auto" w:sz="4" w:space="0"/>
            </w:tcBorders>
            <w:vAlign w:val="center"/>
          </w:tcPr>
          <w:p w14:paraId="45836768">
            <w:pPr>
              <w:pStyle w:val="445"/>
            </w:pPr>
            <w:r>
              <w:t>560</w:t>
            </w:r>
          </w:p>
        </w:tc>
        <w:tc>
          <w:tcPr>
            <w:tcW w:w="1288" w:type="dxa"/>
            <w:tcBorders>
              <w:top w:val="single" w:color="auto" w:sz="4" w:space="0"/>
              <w:left w:val="nil"/>
              <w:bottom w:val="single" w:color="auto" w:sz="4" w:space="0"/>
              <w:right w:val="single" w:color="auto" w:sz="4" w:space="0"/>
            </w:tcBorders>
            <w:vAlign w:val="center"/>
          </w:tcPr>
          <w:p w14:paraId="5D22D9F2">
            <w:pPr>
              <w:pStyle w:val="445"/>
            </w:pPr>
            <w:r>
              <w:t>560</w:t>
            </w:r>
          </w:p>
        </w:tc>
        <w:tc>
          <w:tcPr>
            <w:tcW w:w="1288" w:type="dxa"/>
            <w:tcBorders>
              <w:top w:val="single" w:color="auto" w:sz="4" w:space="0"/>
              <w:left w:val="nil"/>
              <w:bottom w:val="single" w:color="auto" w:sz="4" w:space="0"/>
              <w:right w:val="single" w:color="auto" w:sz="4" w:space="0"/>
            </w:tcBorders>
            <w:vAlign w:val="center"/>
          </w:tcPr>
          <w:p w14:paraId="1D0FF89A">
            <w:pPr>
              <w:pStyle w:val="445"/>
            </w:pPr>
            <w:r>
              <w:t>560</w:t>
            </w:r>
          </w:p>
        </w:tc>
        <w:tc>
          <w:tcPr>
            <w:tcW w:w="1289" w:type="dxa"/>
            <w:tcBorders>
              <w:top w:val="single" w:color="auto" w:sz="4" w:space="0"/>
              <w:left w:val="nil"/>
              <w:bottom w:val="single" w:color="auto" w:sz="4" w:space="0"/>
              <w:right w:val="nil"/>
            </w:tcBorders>
            <w:vAlign w:val="center"/>
          </w:tcPr>
          <w:p w14:paraId="08C0DDB4">
            <w:pPr>
              <w:pStyle w:val="445"/>
            </w:pPr>
            <w:r>
              <w:t>560</w:t>
            </w:r>
          </w:p>
        </w:tc>
      </w:tr>
      <w:tr w14:paraId="3F3E7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F77312F">
            <w:pPr>
              <w:pStyle w:val="445"/>
            </w:pPr>
            <w:r>
              <w:t>29</w:t>
            </w:r>
          </w:p>
        </w:tc>
        <w:tc>
          <w:tcPr>
            <w:tcW w:w="1730" w:type="dxa"/>
            <w:tcBorders>
              <w:top w:val="single" w:color="auto" w:sz="4" w:space="0"/>
              <w:left w:val="nil"/>
              <w:bottom w:val="single" w:color="auto" w:sz="4" w:space="0"/>
              <w:right w:val="single" w:color="auto" w:sz="4" w:space="0"/>
            </w:tcBorders>
            <w:vAlign w:val="center"/>
          </w:tcPr>
          <w:p w14:paraId="1AA6C40C">
            <w:pPr>
              <w:pStyle w:val="445"/>
            </w:pPr>
            <w:r>
              <w:t>1,4-二氯苯</w:t>
            </w:r>
          </w:p>
        </w:tc>
        <w:tc>
          <w:tcPr>
            <w:tcW w:w="1288" w:type="dxa"/>
            <w:tcBorders>
              <w:top w:val="single" w:color="auto" w:sz="4" w:space="0"/>
              <w:left w:val="nil"/>
              <w:bottom w:val="single" w:color="auto" w:sz="4" w:space="0"/>
              <w:right w:val="single" w:color="auto" w:sz="4" w:space="0"/>
            </w:tcBorders>
            <w:vAlign w:val="center"/>
          </w:tcPr>
          <w:p w14:paraId="0ABBD076">
            <w:pPr>
              <w:pStyle w:val="445"/>
            </w:pPr>
            <w:r>
              <w:t>106-46-7</w:t>
            </w:r>
          </w:p>
        </w:tc>
        <w:tc>
          <w:tcPr>
            <w:tcW w:w="1288" w:type="dxa"/>
            <w:tcBorders>
              <w:top w:val="single" w:color="auto" w:sz="4" w:space="0"/>
              <w:left w:val="nil"/>
              <w:bottom w:val="single" w:color="auto" w:sz="4" w:space="0"/>
              <w:right w:val="single" w:color="auto" w:sz="4" w:space="0"/>
            </w:tcBorders>
            <w:vAlign w:val="center"/>
          </w:tcPr>
          <w:p w14:paraId="6238F903">
            <w:pPr>
              <w:pStyle w:val="445"/>
            </w:pPr>
            <w:r>
              <w:t>5.6</w:t>
            </w:r>
          </w:p>
        </w:tc>
        <w:tc>
          <w:tcPr>
            <w:tcW w:w="1288" w:type="dxa"/>
            <w:tcBorders>
              <w:top w:val="single" w:color="auto" w:sz="4" w:space="0"/>
              <w:left w:val="nil"/>
              <w:bottom w:val="single" w:color="auto" w:sz="4" w:space="0"/>
              <w:right w:val="single" w:color="auto" w:sz="4" w:space="0"/>
            </w:tcBorders>
            <w:vAlign w:val="center"/>
          </w:tcPr>
          <w:p w14:paraId="3EB5C022">
            <w:pPr>
              <w:pStyle w:val="445"/>
            </w:pPr>
            <w:r>
              <w:t>20</w:t>
            </w:r>
          </w:p>
        </w:tc>
        <w:tc>
          <w:tcPr>
            <w:tcW w:w="1288" w:type="dxa"/>
            <w:tcBorders>
              <w:top w:val="single" w:color="auto" w:sz="4" w:space="0"/>
              <w:left w:val="nil"/>
              <w:bottom w:val="single" w:color="auto" w:sz="4" w:space="0"/>
              <w:right w:val="single" w:color="auto" w:sz="4" w:space="0"/>
            </w:tcBorders>
            <w:vAlign w:val="center"/>
          </w:tcPr>
          <w:p w14:paraId="5D989C3C">
            <w:pPr>
              <w:pStyle w:val="445"/>
            </w:pPr>
            <w:r>
              <w:t>56</w:t>
            </w:r>
          </w:p>
        </w:tc>
        <w:tc>
          <w:tcPr>
            <w:tcW w:w="1289" w:type="dxa"/>
            <w:tcBorders>
              <w:top w:val="single" w:color="auto" w:sz="4" w:space="0"/>
              <w:left w:val="nil"/>
              <w:bottom w:val="single" w:color="auto" w:sz="4" w:space="0"/>
              <w:right w:val="nil"/>
            </w:tcBorders>
            <w:vAlign w:val="center"/>
          </w:tcPr>
          <w:p w14:paraId="42AE995E">
            <w:pPr>
              <w:pStyle w:val="445"/>
            </w:pPr>
            <w:r>
              <w:t>200</w:t>
            </w:r>
          </w:p>
        </w:tc>
      </w:tr>
      <w:tr w14:paraId="27BC0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96A3325">
            <w:pPr>
              <w:pStyle w:val="445"/>
            </w:pPr>
            <w:r>
              <w:t>30</w:t>
            </w:r>
          </w:p>
        </w:tc>
        <w:tc>
          <w:tcPr>
            <w:tcW w:w="1730" w:type="dxa"/>
            <w:tcBorders>
              <w:top w:val="single" w:color="auto" w:sz="4" w:space="0"/>
              <w:left w:val="nil"/>
              <w:bottom w:val="single" w:color="auto" w:sz="4" w:space="0"/>
              <w:right w:val="single" w:color="auto" w:sz="4" w:space="0"/>
            </w:tcBorders>
            <w:vAlign w:val="center"/>
          </w:tcPr>
          <w:p w14:paraId="5A390096">
            <w:pPr>
              <w:pStyle w:val="445"/>
            </w:pPr>
            <w:r>
              <w:t>乙苯</w:t>
            </w:r>
          </w:p>
        </w:tc>
        <w:tc>
          <w:tcPr>
            <w:tcW w:w="1288" w:type="dxa"/>
            <w:tcBorders>
              <w:top w:val="single" w:color="auto" w:sz="4" w:space="0"/>
              <w:left w:val="nil"/>
              <w:bottom w:val="single" w:color="auto" w:sz="4" w:space="0"/>
              <w:right w:val="single" w:color="auto" w:sz="4" w:space="0"/>
            </w:tcBorders>
            <w:vAlign w:val="center"/>
          </w:tcPr>
          <w:p w14:paraId="57D854C8">
            <w:pPr>
              <w:pStyle w:val="445"/>
            </w:pPr>
            <w:r>
              <w:t>100-41-4</w:t>
            </w:r>
          </w:p>
        </w:tc>
        <w:tc>
          <w:tcPr>
            <w:tcW w:w="1288" w:type="dxa"/>
            <w:tcBorders>
              <w:top w:val="single" w:color="auto" w:sz="4" w:space="0"/>
              <w:left w:val="nil"/>
              <w:bottom w:val="single" w:color="auto" w:sz="4" w:space="0"/>
              <w:right w:val="single" w:color="auto" w:sz="4" w:space="0"/>
            </w:tcBorders>
            <w:vAlign w:val="center"/>
          </w:tcPr>
          <w:p w14:paraId="213951C7">
            <w:pPr>
              <w:pStyle w:val="445"/>
            </w:pPr>
            <w:r>
              <w:t>7.2</w:t>
            </w:r>
          </w:p>
        </w:tc>
        <w:tc>
          <w:tcPr>
            <w:tcW w:w="1288" w:type="dxa"/>
            <w:tcBorders>
              <w:top w:val="single" w:color="auto" w:sz="4" w:space="0"/>
              <w:left w:val="nil"/>
              <w:bottom w:val="single" w:color="auto" w:sz="4" w:space="0"/>
              <w:right w:val="single" w:color="auto" w:sz="4" w:space="0"/>
            </w:tcBorders>
            <w:vAlign w:val="center"/>
          </w:tcPr>
          <w:p w14:paraId="2F02FFF5">
            <w:pPr>
              <w:pStyle w:val="445"/>
            </w:pPr>
            <w:r>
              <w:t>28</w:t>
            </w:r>
          </w:p>
        </w:tc>
        <w:tc>
          <w:tcPr>
            <w:tcW w:w="1288" w:type="dxa"/>
            <w:tcBorders>
              <w:top w:val="single" w:color="auto" w:sz="4" w:space="0"/>
              <w:left w:val="nil"/>
              <w:bottom w:val="single" w:color="auto" w:sz="4" w:space="0"/>
              <w:right w:val="single" w:color="auto" w:sz="4" w:space="0"/>
            </w:tcBorders>
            <w:vAlign w:val="center"/>
          </w:tcPr>
          <w:p w14:paraId="21222A7B">
            <w:pPr>
              <w:pStyle w:val="445"/>
            </w:pPr>
            <w:r>
              <w:t>72</w:t>
            </w:r>
          </w:p>
        </w:tc>
        <w:tc>
          <w:tcPr>
            <w:tcW w:w="1289" w:type="dxa"/>
            <w:tcBorders>
              <w:top w:val="single" w:color="auto" w:sz="4" w:space="0"/>
              <w:left w:val="nil"/>
              <w:bottom w:val="single" w:color="auto" w:sz="4" w:space="0"/>
              <w:right w:val="nil"/>
            </w:tcBorders>
            <w:vAlign w:val="center"/>
          </w:tcPr>
          <w:p w14:paraId="36C4674F">
            <w:pPr>
              <w:pStyle w:val="445"/>
            </w:pPr>
            <w:r>
              <w:t>280</w:t>
            </w:r>
          </w:p>
        </w:tc>
      </w:tr>
      <w:tr w14:paraId="07DAA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31DD578">
            <w:pPr>
              <w:pStyle w:val="445"/>
            </w:pPr>
            <w:r>
              <w:t>31</w:t>
            </w:r>
          </w:p>
        </w:tc>
        <w:tc>
          <w:tcPr>
            <w:tcW w:w="1730" w:type="dxa"/>
            <w:tcBorders>
              <w:top w:val="single" w:color="auto" w:sz="4" w:space="0"/>
              <w:left w:val="nil"/>
              <w:bottom w:val="single" w:color="auto" w:sz="4" w:space="0"/>
              <w:right w:val="single" w:color="auto" w:sz="4" w:space="0"/>
            </w:tcBorders>
            <w:vAlign w:val="center"/>
          </w:tcPr>
          <w:p w14:paraId="5A9360EA">
            <w:pPr>
              <w:pStyle w:val="445"/>
            </w:pPr>
            <w:r>
              <w:t>苯乙烯</w:t>
            </w:r>
          </w:p>
        </w:tc>
        <w:tc>
          <w:tcPr>
            <w:tcW w:w="1288" w:type="dxa"/>
            <w:tcBorders>
              <w:top w:val="single" w:color="auto" w:sz="4" w:space="0"/>
              <w:left w:val="nil"/>
              <w:bottom w:val="single" w:color="auto" w:sz="4" w:space="0"/>
              <w:right w:val="single" w:color="auto" w:sz="4" w:space="0"/>
            </w:tcBorders>
            <w:vAlign w:val="center"/>
          </w:tcPr>
          <w:p w14:paraId="62F9E8D1">
            <w:pPr>
              <w:pStyle w:val="445"/>
            </w:pPr>
            <w:r>
              <w:t>100-42-5</w:t>
            </w:r>
          </w:p>
        </w:tc>
        <w:tc>
          <w:tcPr>
            <w:tcW w:w="1288" w:type="dxa"/>
            <w:tcBorders>
              <w:top w:val="single" w:color="auto" w:sz="4" w:space="0"/>
              <w:left w:val="nil"/>
              <w:bottom w:val="single" w:color="auto" w:sz="4" w:space="0"/>
              <w:right w:val="single" w:color="auto" w:sz="4" w:space="0"/>
            </w:tcBorders>
            <w:vAlign w:val="center"/>
          </w:tcPr>
          <w:p w14:paraId="286584C6">
            <w:pPr>
              <w:pStyle w:val="445"/>
            </w:pPr>
            <w:r>
              <w:t>1290</w:t>
            </w:r>
          </w:p>
        </w:tc>
        <w:tc>
          <w:tcPr>
            <w:tcW w:w="1288" w:type="dxa"/>
            <w:tcBorders>
              <w:top w:val="single" w:color="auto" w:sz="4" w:space="0"/>
              <w:left w:val="nil"/>
              <w:bottom w:val="single" w:color="auto" w:sz="4" w:space="0"/>
              <w:right w:val="single" w:color="auto" w:sz="4" w:space="0"/>
            </w:tcBorders>
            <w:vAlign w:val="center"/>
          </w:tcPr>
          <w:p w14:paraId="59A37A84">
            <w:pPr>
              <w:pStyle w:val="445"/>
            </w:pPr>
            <w:r>
              <w:t>1290</w:t>
            </w:r>
          </w:p>
        </w:tc>
        <w:tc>
          <w:tcPr>
            <w:tcW w:w="1288" w:type="dxa"/>
            <w:tcBorders>
              <w:top w:val="single" w:color="auto" w:sz="4" w:space="0"/>
              <w:left w:val="nil"/>
              <w:bottom w:val="single" w:color="auto" w:sz="4" w:space="0"/>
              <w:right w:val="single" w:color="auto" w:sz="4" w:space="0"/>
            </w:tcBorders>
            <w:vAlign w:val="center"/>
          </w:tcPr>
          <w:p w14:paraId="6FA00AF1">
            <w:pPr>
              <w:pStyle w:val="445"/>
            </w:pPr>
            <w:r>
              <w:t>1290</w:t>
            </w:r>
          </w:p>
        </w:tc>
        <w:tc>
          <w:tcPr>
            <w:tcW w:w="1289" w:type="dxa"/>
            <w:tcBorders>
              <w:top w:val="single" w:color="auto" w:sz="4" w:space="0"/>
              <w:left w:val="nil"/>
              <w:bottom w:val="single" w:color="auto" w:sz="4" w:space="0"/>
              <w:right w:val="nil"/>
            </w:tcBorders>
            <w:vAlign w:val="center"/>
          </w:tcPr>
          <w:p w14:paraId="69D0BC74">
            <w:pPr>
              <w:pStyle w:val="445"/>
            </w:pPr>
            <w:r>
              <w:t>1290</w:t>
            </w:r>
          </w:p>
        </w:tc>
      </w:tr>
      <w:tr w14:paraId="40874E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6A344517">
            <w:pPr>
              <w:pStyle w:val="445"/>
            </w:pPr>
            <w:r>
              <w:t>32</w:t>
            </w:r>
          </w:p>
        </w:tc>
        <w:tc>
          <w:tcPr>
            <w:tcW w:w="1730" w:type="dxa"/>
            <w:tcBorders>
              <w:top w:val="single" w:color="auto" w:sz="4" w:space="0"/>
              <w:left w:val="nil"/>
              <w:bottom w:val="single" w:color="auto" w:sz="4" w:space="0"/>
              <w:right w:val="single" w:color="auto" w:sz="4" w:space="0"/>
            </w:tcBorders>
            <w:vAlign w:val="center"/>
          </w:tcPr>
          <w:p w14:paraId="724B6356">
            <w:pPr>
              <w:pStyle w:val="445"/>
            </w:pPr>
            <w:r>
              <w:t>甲苯</w:t>
            </w:r>
          </w:p>
        </w:tc>
        <w:tc>
          <w:tcPr>
            <w:tcW w:w="1288" w:type="dxa"/>
            <w:tcBorders>
              <w:top w:val="single" w:color="auto" w:sz="4" w:space="0"/>
              <w:left w:val="nil"/>
              <w:bottom w:val="single" w:color="auto" w:sz="4" w:space="0"/>
              <w:right w:val="single" w:color="auto" w:sz="4" w:space="0"/>
            </w:tcBorders>
            <w:vAlign w:val="center"/>
          </w:tcPr>
          <w:p w14:paraId="512ECE3B">
            <w:pPr>
              <w:pStyle w:val="445"/>
            </w:pPr>
            <w:r>
              <w:t>108-88-3</w:t>
            </w:r>
          </w:p>
        </w:tc>
        <w:tc>
          <w:tcPr>
            <w:tcW w:w="1288" w:type="dxa"/>
            <w:tcBorders>
              <w:top w:val="single" w:color="auto" w:sz="4" w:space="0"/>
              <w:left w:val="nil"/>
              <w:bottom w:val="single" w:color="auto" w:sz="4" w:space="0"/>
              <w:right w:val="single" w:color="auto" w:sz="4" w:space="0"/>
            </w:tcBorders>
            <w:vAlign w:val="center"/>
          </w:tcPr>
          <w:p w14:paraId="0BAA8E2B">
            <w:pPr>
              <w:pStyle w:val="445"/>
            </w:pPr>
            <w:r>
              <w:t>1200</w:t>
            </w:r>
          </w:p>
        </w:tc>
        <w:tc>
          <w:tcPr>
            <w:tcW w:w="1288" w:type="dxa"/>
            <w:tcBorders>
              <w:top w:val="single" w:color="auto" w:sz="4" w:space="0"/>
              <w:left w:val="nil"/>
              <w:bottom w:val="single" w:color="auto" w:sz="4" w:space="0"/>
              <w:right w:val="single" w:color="auto" w:sz="4" w:space="0"/>
            </w:tcBorders>
            <w:vAlign w:val="center"/>
          </w:tcPr>
          <w:p w14:paraId="291CCE35">
            <w:pPr>
              <w:pStyle w:val="445"/>
            </w:pPr>
            <w:r>
              <w:t>1200</w:t>
            </w:r>
          </w:p>
        </w:tc>
        <w:tc>
          <w:tcPr>
            <w:tcW w:w="1288" w:type="dxa"/>
            <w:tcBorders>
              <w:top w:val="single" w:color="auto" w:sz="4" w:space="0"/>
              <w:left w:val="nil"/>
              <w:bottom w:val="single" w:color="auto" w:sz="4" w:space="0"/>
              <w:right w:val="single" w:color="auto" w:sz="4" w:space="0"/>
            </w:tcBorders>
            <w:vAlign w:val="center"/>
          </w:tcPr>
          <w:p w14:paraId="511F7EC6">
            <w:pPr>
              <w:pStyle w:val="445"/>
            </w:pPr>
            <w:r>
              <w:t>1200</w:t>
            </w:r>
          </w:p>
        </w:tc>
        <w:tc>
          <w:tcPr>
            <w:tcW w:w="1289" w:type="dxa"/>
            <w:tcBorders>
              <w:top w:val="single" w:color="auto" w:sz="4" w:space="0"/>
              <w:left w:val="nil"/>
              <w:bottom w:val="single" w:color="auto" w:sz="4" w:space="0"/>
              <w:right w:val="nil"/>
            </w:tcBorders>
            <w:vAlign w:val="center"/>
          </w:tcPr>
          <w:p w14:paraId="404F629F">
            <w:pPr>
              <w:pStyle w:val="445"/>
            </w:pPr>
            <w:r>
              <w:t>1200</w:t>
            </w:r>
          </w:p>
        </w:tc>
      </w:tr>
      <w:tr w14:paraId="063A68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21E6A434">
            <w:pPr>
              <w:pStyle w:val="445"/>
            </w:pPr>
            <w:r>
              <w:t>33</w:t>
            </w:r>
          </w:p>
        </w:tc>
        <w:tc>
          <w:tcPr>
            <w:tcW w:w="1730" w:type="dxa"/>
            <w:tcBorders>
              <w:top w:val="single" w:color="auto" w:sz="4" w:space="0"/>
              <w:left w:val="nil"/>
              <w:bottom w:val="single" w:color="auto" w:sz="4" w:space="0"/>
              <w:right w:val="single" w:color="auto" w:sz="4" w:space="0"/>
            </w:tcBorders>
            <w:vAlign w:val="center"/>
          </w:tcPr>
          <w:p w14:paraId="28362C4B">
            <w:pPr>
              <w:pStyle w:val="445"/>
            </w:pPr>
            <w:r>
              <w:t>间二甲苯+对二甲苯</w:t>
            </w:r>
          </w:p>
        </w:tc>
        <w:tc>
          <w:tcPr>
            <w:tcW w:w="1288" w:type="dxa"/>
            <w:tcBorders>
              <w:top w:val="single" w:color="auto" w:sz="4" w:space="0"/>
              <w:left w:val="nil"/>
              <w:bottom w:val="single" w:color="auto" w:sz="4" w:space="0"/>
              <w:right w:val="single" w:color="auto" w:sz="4" w:space="0"/>
            </w:tcBorders>
            <w:vAlign w:val="center"/>
          </w:tcPr>
          <w:p w14:paraId="414E0513">
            <w:pPr>
              <w:pStyle w:val="445"/>
            </w:pPr>
            <w:r>
              <w:t>108-38-3、</w:t>
            </w:r>
          </w:p>
          <w:p w14:paraId="69257CD9">
            <w:pPr>
              <w:pStyle w:val="445"/>
            </w:pPr>
            <w:r>
              <w:t>106-42-3</w:t>
            </w:r>
          </w:p>
        </w:tc>
        <w:tc>
          <w:tcPr>
            <w:tcW w:w="1288" w:type="dxa"/>
            <w:tcBorders>
              <w:top w:val="single" w:color="auto" w:sz="4" w:space="0"/>
              <w:left w:val="nil"/>
              <w:bottom w:val="single" w:color="auto" w:sz="4" w:space="0"/>
              <w:right w:val="single" w:color="auto" w:sz="4" w:space="0"/>
            </w:tcBorders>
            <w:vAlign w:val="center"/>
          </w:tcPr>
          <w:p w14:paraId="5E336D97">
            <w:pPr>
              <w:pStyle w:val="445"/>
            </w:pPr>
            <w:r>
              <w:t>163</w:t>
            </w:r>
          </w:p>
        </w:tc>
        <w:tc>
          <w:tcPr>
            <w:tcW w:w="1288" w:type="dxa"/>
            <w:tcBorders>
              <w:top w:val="single" w:color="auto" w:sz="4" w:space="0"/>
              <w:left w:val="nil"/>
              <w:bottom w:val="single" w:color="auto" w:sz="4" w:space="0"/>
              <w:right w:val="single" w:color="auto" w:sz="4" w:space="0"/>
            </w:tcBorders>
            <w:vAlign w:val="center"/>
          </w:tcPr>
          <w:p w14:paraId="7600351C">
            <w:pPr>
              <w:pStyle w:val="445"/>
            </w:pPr>
            <w:r>
              <w:t>570</w:t>
            </w:r>
          </w:p>
        </w:tc>
        <w:tc>
          <w:tcPr>
            <w:tcW w:w="1288" w:type="dxa"/>
            <w:tcBorders>
              <w:top w:val="single" w:color="auto" w:sz="4" w:space="0"/>
              <w:left w:val="nil"/>
              <w:bottom w:val="single" w:color="auto" w:sz="4" w:space="0"/>
              <w:right w:val="single" w:color="auto" w:sz="4" w:space="0"/>
            </w:tcBorders>
            <w:vAlign w:val="center"/>
          </w:tcPr>
          <w:p w14:paraId="01026BA9">
            <w:pPr>
              <w:pStyle w:val="445"/>
            </w:pPr>
            <w:r>
              <w:t>500</w:t>
            </w:r>
          </w:p>
        </w:tc>
        <w:tc>
          <w:tcPr>
            <w:tcW w:w="1289" w:type="dxa"/>
            <w:tcBorders>
              <w:top w:val="single" w:color="auto" w:sz="4" w:space="0"/>
              <w:left w:val="nil"/>
              <w:bottom w:val="single" w:color="auto" w:sz="4" w:space="0"/>
              <w:right w:val="nil"/>
            </w:tcBorders>
            <w:vAlign w:val="center"/>
          </w:tcPr>
          <w:p w14:paraId="54E8E8DE">
            <w:pPr>
              <w:pStyle w:val="445"/>
            </w:pPr>
            <w:r>
              <w:t>570</w:t>
            </w:r>
          </w:p>
        </w:tc>
      </w:tr>
      <w:tr w14:paraId="51DE4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09C8430F">
            <w:pPr>
              <w:pStyle w:val="445"/>
            </w:pPr>
            <w:r>
              <w:t>34</w:t>
            </w:r>
          </w:p>
        </w:tc>
        <w:tc>
          <w:tcPr>
            <w:tcW w:w="1730" w:type="dxa"/>
            <w:tcBorders>
              <w:top w:val="single" w:color="auto" w:sz="4" w:space="0"/>
              <w:left w:val="nil"/>
              <w:bottom w:val="single" w:color="auto" w:sz="4" w:space="0"/>
              <w:right w:val="single" w:color="auto" w:sz="4" w:space="0"/>
            </w:tcBorders>
            <w:vAlign w:val="center"/>
          </w:tcPr>
          <w:p w14:paraId="62C14547">
            <w:pPr>
              <w:pStyle w:val="445"/>
            </w:pPr>
            <w:r>
              <w:t>邻二甲苯</w:t>
            </w:r>
          </w:p>
        </w:tc>
        <w:tc>
          <w:tcPr>
            <w:tcW w:w="1288" w:type="dxa"/>
            <w:tcBorders>
              <w:top w:val="single" w:color="auto" w:sz="4" w:space="0"/>
              <w:left w:val="nil"/>
              <w:bottom w:val="single" w:color="auto" w:sz="4" w:space="0"/>
              <w:right w:val="single" w:color="auto" w:sz="4" w:space="0"/>
            </w:tcBorders>
            <w:vAlign w:val="center"/>
          </w:tcPr>
          <w:p w14:paraId="2B8BA2CA">
            <w:pPr>
              <w:pStyle w:val="445"/>
            </w:pPr>
            <w:r>
              <w:t>95-47-6</w:t>
            </w:r>
          </w:p>
        </w:tc>
        <w:tc>
          <w:tcPr>
            <w:tcW w:w="1288" w:type="dxa"/>
            <w:tcBorders>
              <w:top w:val="single" w:color="auto" w:sz="4" w:space="0"/>
              <w:left w:val="nil"/>
              <w:bottom w:val="single" w:color="auto" w:sz="4" w:space="0"/>
              <w:right w:val="single" w:color="auto" w:sz="4" w:space="0"/>
            </w:tcBorders>
            <w:vAlign w:val="center"/>
          </w:tcPr>
          <w:p w14:paraId="26F0EBBD">
            <w:pPr>
              <w:pStyle w:val="445"/>
            </w:pPr>
            <w:r>
              <w:t>222</w:t>
            </w:r>
          </w:p>
        </w:tc>
        <w:tc>
          <w:tcPr>
            <w:tcW w:w="1288" w:type="dxa"/>
            <w:tcBorders>
              <w:top w:val="single" w:color="auto" w:sz="4" w:space="0"/>
              <w:left w:val="nil"/>
              <w:bottom w:val="single" w:color="auto" w:sz="4" w:space="0"/>
              <w:right w:val="single" w:color="auto" w:sz="4" w:space="0"/>
            </w:tcBorders>
            <w:vAlign w:val="center"/>
          </w:tcPr>
          <w:p w14:paraId="039068A9">
            <w:pPr>
              <w:pStyle w:val="445"/>
            </w:pPr>
            <w:r>
              <w:t>640</w:t>
            </w:r>
          </w:p>
        </w:tc>
        <w:tc>
          <w:tcPr>
            <w:tcW w:w="1288" w:type="dxa"/>
            <w:tcBorders>
              <w:top w:val="single" w:color="auto" w:sz="4" w:space="0"/>
              <w:left w:val="nil"/>
              <w:bottom w:val="single" w:color="auto" w:sz="4" w:space="0"/>
              <w:right w:val="single" w:color="auto" w:sz="4" w:space="0"/>
            </w:tcBorders>
            <w:vAlign w:val="center"/>
          </w:tcPr>
          <w:p w14:paraId="560BDB4F">
            <w:pPr>
              <w:pStyle w:val="445"/>
            </w:pPr>
            <w:r>
              <w:t>640</w:t>
            </w:r>
          </w:p>
        </w:tc>
        <w:tc>
          <w:tcPr>
            <w:tcW w:w="1289" w:type="dxa"/>
            <w:tcBorders>
              <w:top w:val="single" w:color="auto" w:sz="4" w:space="0"/>
              <w:left w:val="nil"/>
              <w:bottom w:val="single" w:color="auto" w:sz="4" w:space="0"/>
              <w:right w:val="nil"/>
            </w:tcBorders>
            <w:vAlign w:val="center"/>
          </w:tcPr>
          <w:p w14:paraId="1FE93D38">
            <w:pPr>
              <w:pStyle w:val="445"/>
            </w:pPr>
            <w:r>
              <w:t>640</w:t>
            </w:r>
          </w:p>
        </w:tc>
      </w:tr>
      <w:tr w14:paraId="1FDF93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17" w:type="dxa"/>
            <w:gridSpan w:val="7"/>
            <w:tcBorders>
              <w:top w:val="single" w:color="auto" w:sz="4" w:space="0"/>
              <w:left w:val="nil"/>
              <w:bottom w:val="single" w:color="auto" w:sz="4" w:space="0"/>
              <w:right w:val="nil"/>
            </w:tcBorders>
            <w:vAlign w:val="center"/>
          </w:tcPr>
          <w:p w14:paraId="574F7F9D">
            <w:pPr>
              <w:pStyle w:val="445"/>
            </w:pPr>
            <w:r>
              <w:t>半挥发性有机物</w:t>
            </w:r>
          </w:p>
        </w:tc>
      </w:tr>
      <w:tr w14:paraId="430F07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F179FEC">
            <w:pPr>
              <w:pStyle w:val="445"/>
            </w:pPr>
            <w:r>
              <w:t>35</w:t>
            </w:r>
          </w:p>
        </w:tc>
        <w:tc>
          <w:tcPr>
            <w:tcW w:w="1730" w:type="dxa"/>
            <w:tcBorders>
              <w:top w:val="single" w:color="auto" w:sz="4" w:space="0"/>
              <w:left w:val="nil"/>
              <w:bottom w:val="single" w:color="auto" w:sz="4" w:space="0"/>
              <w:right w:val="single" w:color="auto" w:sz="4" w:space="0"/>
            </w:tcBorders>
            <w:vAlign w:val="center"/>
          </w:tcPr>
          <w:p w14:paraId="285F05AA">
            <w:pPr>
              <w:pStyle w:val="445"/>
            </w:pPr>
            <w:r>
              <w:t>硝基苯</w:t>
            </w:r>
          </w:p>
        </w:tc>
        <w:tc>
          <w:tcPr>
            <w:tcW w:w="1288" w:type="dxa"/>
            <w:tcBorders>
              <w:top w:val="single" w:color="auto" w:sz="4" w:space="0"/>
              <w:left w:val="nil"/>
              <w:bottom w:val="single" w:color="auto" w:sz="4" w:space="0"/>
              <w:right w:val="single" w:color="auto" w:sz="4" w:space="0"/>
            </w:tcBorders>
            <w:vAlign w:val="center"/>
          </w:tcPr>
          <w:p w14:paraId="606917EF">
            <w:pPr>
              <w:pStyle w:val="445"/>
            </w:pPr>
            <w:r>
              <w:t>98-95-3</w:t>
            </w:r>
          </w:p>
        </w:tc>
        <w:tc>
          <w:tcPr>
            <w:tcW w:w="1288" w:type="dxa"/>
            <w:tcBorders>
              <w:top w:val="single" w:color="auto" w:sz="4" w:space="0"/>
              <w:left w:val="nil"/>
              <w:bottom w:val="single" w:color="auto" w:sz="4" w:space="0"/>
              <w:right w:val="single" w:color="auto" w:sz="4" w:space="0"/>
            </w:tcBorders>
            <w:vAlign w:val="center"/>
          </w:tcPr>
          <w:p w14:paraId="3AC8091C">
            <w:pPr>
              <w:pStyle w:val="445"/>
            </w:pPr>
            <w:r>
              <w:t>34</w:t>
            </w:r>
          </w:p>
        </w:tc>
        <w:tc>
          <w:tcPr>
            <w:tcW w:w="1288" w:type="dxa"/>
            <w:tcBorders>
              <w:top w:val="single" w:color="auto" w:sz="4" w:space="0"/>
              <w:left w:val="nil"/>
              <w:bottom w:val="single" w:color="auto" w:sz="4" w:space="0"/>
              <w:right w:val="single" w:color="auto" w:sz="4" w:space="0"/>
            </w:tcBorders>
            <w:vAlign w:val="center"/>
          </w:tcPr>
          <w:p w14:paraId="2712567C">
            <w:pPr>
              <w:pStyle w:val="445"/>
            </w:pPr>
            <w:r>
              <w:t>76</w:t>
            </w:r>
          </w:p>
        </w:tc>
        <w:tc>
          <w:tcPr>
            <w:tcW w:w="1288" w:type="dxa"/>
            <w:tcBorders>
              <w:top w:val="single" w:color="auto" w:sz="4" w:space="0"/>
              <w:left w:val="nil"/>
              <w:bottom w:val="single" w:color="auto" w:sz="4" w:space="0"/>
              <w:right w:val="single" w:color="auto" w:sz="4" w:space="0"/>
            </w:tcBorders>
            <w:vAlign w:val="center"/>
          </w:tcPr>
          <w:p w14:paraId="058C8853">
            <w:pPr>
              <w:pStyle w:val="445"/>
            </w:pPr>
            <w:r>
              <w:t>190</w:t>
            </w:r>
          </w:p>
        </w:tc>
        <w:tc>
          <w:tcPr>
            <w:tcW w:w="1289" w:type="dxa"/>
            <w:tcBorders>
              <w:top w:val="single" w:color="auto" w:sz="4" w:space="0"/>
              <w:left w:val="nil"/>
              <w:bottom w:val="single" w:color="auto" w:sz="4" w:space="0"/>
              <w:right w:val="nil"/>
            </w:tcBorders>
            <w:vAlign w:val="center"/>
          </w:tcPr>
          <w:p w14:paraId="7B56913F">
            <w:pPr>
              <w:pStyle w:val="445"/>
            </w:pPr>
            <w:r>
              <w:t>760</w:t>
            </w:r>
          </w:p>
        </w:tc>
      </w:tr>
      <w:tr w14:paraId="2F0B66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329E1129">
            <w:pPr>
              <w:pStyle w:val="445"/>
            </w:pPr>
            <w:r>
              <w:t>36</w:t>
            </w:r>
          </w:p>
        </w:tc>
        <w:tc>
          <w:tcPr>
            <w:tcW w:w="1730" w:type="dxa"/>
            <w:tcBorders>
              <w:top w:val="single" w:color="auto" w:sz="4" w:space="0"/>
              <w:left w:val="nil"/>
              <w:bottom w:val="single" w:color="auto" w:sz="4" w:space="0"/>
              <w:right w:val="single" w:color="auto" w:sz="4" w:space="0"/>
            </w:tcBorders>
            <w:vAlign w:val="center"/>
          </w:tcPr>
          <w:p w14:paraId="75051CD2">
            <w:pPr>
              <w:pStyle w:val="445"/>
            </w:pPr>
            <w:r>
              <w:t>苯胺</w:t>
            </w:r>
          </w:p>
        </w:tc>
        <w:tc>
          <w:tcPr>
            <w:tcW w:w="1288" w:type="dxa"/>
            <w:tcBorders>
              <w:top w:val="single" w:color="auto" w:sz="4" w:space="0"/>
              <w:left w:val="nil"/>
              <w:bottom w:val="single" w:color="auto" w:sz="4" w:space="0"/>
              <w:right w:val="single" w:color="auto" w:sz="4" w:space="0"/>
            </w:tcBorders>
            <w:vAlign w:val="center"/>
          </w:tcPr>
          <w:p w14:paraId="602F96B4">
            <w:pPr>
              <w:pStyle w:val="445"/>
            </w:pPr>
            <w:r>
              <w:t>62-53-3</w:t>
            </w:r>
          </w:p>
        </w:tc>
        <w:tc>
          <w:tcPr>
            <w:tcW w:w="1288" w:type="dxa"/>
            <w:tcBorders>
              <w:top w:val="single" w:color="auto" w:sz="4" w:space="0"/>
              <w:left w:val="nil"/>
              <w:bottom w:val="single" w:color="auto" w:sz="4" w:space="0"/>
              <w:right w:val="single" w:color="auto" w:sz="4" w:space="0"/>
            </w:tcBorders>
            <w:vAlign w:val="center"/>
          </w:tcPr>
          <w:p w14:paraId="1CB55F52">
            <w:pPr>
              <w:pStyle w:val="445"/>
            </w:pPr>
            <w:r>
              <w:t>92</w:t>
            </w:r>
          </w:p>
        </w:tc>
        <w:tc>
          <w:tcPr>
            <w:tcW w:w="1288" w:type="dxa"/>
            <w:tcBorders>
              <w:top w:val="single" w:color="auto" w:sz="4" w:space="0"/>
              <w:left w:val="nil"/>
              <w:bottom w:val="single" w:color="auto" w:sz="4" w:space="0"/>
              <w:right w:val="single" w:color="auto" w:sz="4" w:space="0"/>
            </w:tcBorders>
            <w:vAlign w:val="center"/>
          </w:tcPr>
          <w:p w14:paraId="75167DCA">
            <w:pPr>
              <w:pStyle w:val="445"/>
            </w:pPr>
            <w:r>
              <w:t>260</w:t>
            </w:r>
          </w:p>
        </w:tc>
        <w:tc>
          <w:tcPr>
            <w:tcW w:w="1288" w:type="dxa"/>
            <w:tcBorders>
              <w:top w:val="single" w:color="auto" w:sz="4" w:space="0"/>
              <w:left w:val="nil"/>
              <w:bottom w:val="single" w:color="auto" w:sz="4" w:space="0"/>
              <w:right w:val="single" w:color="auto" w:sz="4" w:space="0"/>
            </w:tcBorders>
            <w:vAlign w:val="center"/>
          </w:tcPr>
          <w:p w14:paraId="7AE4A6A4">
            <w:pPr>
              <w:pStyle w:val="445"/>
            </w:pPr>
            <w:r>
              <w:t>211</w:t>
            </w:r>
          </w:p>
        </w:tc>
        <w:tc>
          <w:tcPr>
            <w:tcW w:w="1289" w:type="dxa"/>
            <w:tcBorders>
              <w:top w:val="single" w:color="auto" w:sz="4" w:space="0"/>
              <w:left w:val="nil"/>
              <w:bottom w:val="single" w:color="auto" w:sz="4" w:space="0"/>
              <w:right w:val="nil"/>
            </w:tcBorders>
            <w:vAlign w:val="center"/>
          </w:tcPr>
          <w:p w14:paraId="30D9CFF3">
            <w:pPr>
              <w:pStyle w:val="445"/>
            </w:pPr>
            <w:r>
              <w:t>663</w:t>
            </w:r>
          </w:p>
        </w:tc>
      </w:tr>
      <w:tr w14:paraId="3A2D2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635BE8CC">
            <w:pPr>
              <w:pStyle w:val="445"/>
            </w:pPr>
            <w:r>
              <w:t>37</w:t>
            </w:r>
          </w:p>
        </w:tc>
        <w:tc>
          <w:tcPr>
            <w:tcW w:w="1730" w:type="dxa"/>
            <w:tcBorders>
              <w:top w:val="single" w:color="auto" w:sz="4" w:space="0"/>
              <w:left w:val="nil"/>
              <w:bottom w:val="single" w:color="auto" w:sz="4" w:space="0"/>
              <w:right w:val="single" w:color="auto" w:sz="4" w:space="0"/>
            </w:tcBorders>
            <w:vAlign w:val="center"/>
          </w:tcPr>
          <w:p w14:paraId="57FEBE23">
            <w:pPr>
              <w:pStyle w:val="445"/>
            </w:pPr>
            <w:r>
              <w:t>2-氯酚</w:t>
            </w:r>
          </w:p>
        </w:tc>
        <w:tc>
          <w:tcPr>
            <w:tcW w:w="1288" w:type="dxa"/>
            <w:tcBorders>
              <w:top w:val="single" w:color="auto" w:sz="4" w:space="0"/>
              <w:left w:val="nil"/>
              <w:bottom w:val="single" w:color="auto" w:sz="4" w:space="0"/>
              <w:right w:val="single" w:color="auto" w:sz="4" w:space="0"/>
            </w:tcBorders>
            <w:vAlign w:val="center"/>
          </w:tcPr>
          <w:p w14:paraId="62D1315C">
            <w:pPr>
              <w:pStyle w:val="445"/>
            </w:pPr>
            <w:r>
              <w:t>95-57-8</w:t>
            </w:r>
          </w:p>
        </w:tc>
        <w:tc>
          <w:tcPr>
            <w:tcW w:w="1288" w:type="dxa"/>
            <w:tcBorders>
              <w:top w:val="single" w:color="auto" w:sz="4" w:space="0"/>
              <w:left w:val="nil"/>
              <w:bottom w:val="single" w:color="auto" w:sz="4" w:space="0"/>
              <w:right w:val="single" w:color="auto" w:sz="4" w:space="0"/>
            </w:tcBorders>
            <w:vAlign w:val="center"/>
          </w:tcPr>
          <w:p w14:paraId="0E5F7ECD">
            <w:pPr>
              <w:pStyle w:val="445"/>
            </w:pPr>
            <w:r>
              <w:t>250</w:t>
            </w:r>
          </w:p>
        </w:tc>
        <w:tc>
          <w:tcPr>
            <w:tcW w:w="1288" w:type="dxa"/>
            <w:tcBorders>
              <w:top w:val="single" w:color="auto" w:sz="4" w:space="0"/>
              <w:left w:val="nil"/>
              <w:bottom w:val="single" w:color="auto" w:sz="4" w:space="0"/>
              <w:right w:val="single" w:color="auto" w:sz="4" w:space="0"/>
            </w:tcBorders>
            <w:vAlign w:val="center"/>
          </w:tcPr>
          <w:p w14:paraId="009032ED">
            <w:pPr>
              <w:pStyle w:val="445"/>
            </w:pPr>
            <w:r>
              <w:t>2256</w:t>
            </w:r>
          </w:p>
        </w:tc>
        <w:tc>
          <w:tcPr>
            <w:tcW w:w="1288" w:type="dxa"/>
            <w:tcBorders>
              <w:top w:val="single" w:color="auto" w:sz="4" w:space="0"/>
              <w:left w:val="nil"/>
              <w:bottom w:val="single" w:color="auto" w:sz="4" w:space="0"/>
              <w:right w:val="single" w:color="auto" w:sz="4" w:space="0"/>
            </w:tcBorders>
            <w:vAlign w:val="center"/>
          </w:tcPr>
          <w:p w14:paraId="36FE6745">
            <w:pPr>
              <w:pStyle w:val="445"/>
            </w:pPr>
            <w:r>
              <w:t>500</w:t>
            </w:r>
          </w:p>
        </w:tc>
        <w:tc>
          <w:tcPr>
            <w:tcW w:w="1289" w:type="dxa"/>
            <w:tcBorders>
              <w:top w:val="single" w:color="auto" w:sz="4" w:space="0"/>
              <w:left w:val="nil"/>
              <w:bottom w:val="single" w:color="auto" w:sz="4" w:space="0"/>
              <w:right w:val="nil"/>
            </w:tcBorders>
            <w:vAlign w:val="center"/>
          </w:tcPr>
          <w:p w14:paraId="58CC8C3F">
            <w:pPr>
              <w:pStyle w:val="445"/>
            </w:pPr>
            <w:r>
              <w:t>4500</w:t>
            </w:r>
          </w:p>
        </w:tc>
      </w:tr>
      <w:tr w14:paraId="0D27C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1E89718">
            <w:pPr>
              <w:pStyle w:val="445"/>
            </w:pPr>
            <w:r>
              <w:t>38</w:t>
            </w:r>
          </w:p>
        </w:tc>
        <w:tc>
          <w:tcPr>
            <w:tcW w:w="1730" w:type="dxa"/>
            <w:tcBorders>
              <w:top w:val="single" w:color="auto" w:sz="4" w:space="0"/>
              <w:left w:val="nil"/>
              <w:bottom w:val="single" w:color="auto" w:sz="4" w:space="0"/>
              <w:right w:val="single" w:color="auto" w:sz="4" w:space="0"/>
            </w:tcBorders>
            <w:vAlign w:val="center"/>
          </w:tcPr>
          <w:p w14:paraId="02F95607">
            <w:pPr>
              <w:pStyle w:val="445"/>
            </w:pPr>
            <w:r>
              <w:t>苯并[a]蒽</w:t>
            </w:r>
          </w:p>
        </w:tc>
        <w:tc>
          <w:tcPr>
            <w:tcW w:w="1288" w:type="dxa"/>
            <w:tcBorders>
              <w:top w:val="single" w:color="auto" w:sz="4" w:space="0"/>
              <w:left w:val="nil"/>
              <w:bottom w:val="single" w:color="auto" w:sz="4" w:space="0"/>
              <w:right w:val="single" w:color="auto" w:sz="4" w:space="0"/>
            </w:tcBorders>
            <w:vAlign w:val="center"/>
          </w:tcPr>
          <w:p w14:paraId="32660A02">
            <w:pPr>
              <w:pStyle w:val="445"/>
            </w:pPr>
            <w:r>
              <w:t>56-55-3</w:t>
            </w:r>
          </w:p>
        </w:tc>
        <w:tc>
          <w:tcPr>
            <w:tcW w:w="1288" w:type="dxa"/>
            <w:tcBorders>
              <w:top w:val="single" w:color="auto" w:sz="4" w:space="0"/>
              <w:left w:val="nil"/>
              <w:bottom w:val="single" w:color="auto" w:sz="4" w:space="0"/>
              <w:right w:val="single" w:color="auto" w:sz="4" w:space="0"/>
            </w:tcBorders>
            <w:vAlign w:val="center"/>
          </w:tcPr>
          <w:p w14:paraId="0F9AC2CD">
            <w:pPr>
              <w:pStyle w:val="445"/>
            </w:pPr>
            <w:r>
              <w:t>5.5</w:t>
            </w:r>
          </w:p>
        </w:tc>
        <w:tc>
          <w:tcPr>
            <w:tcW w:w="1288" w:type="dxa"/>
            <w:tcBorders>
              <w:top w:val="single" w:color="auto" w:sz="4" w:space="0"/>
              <w:left w:val="nil"/>
              <w:bottom w:val="single" w:color="auto" w:sz="4" w:space="0"/>
              <w:right w:val="single" w:color="auto" w:sz="4" w:space="0"/>
            </w:tcBorders>
            <w:vAlign w:val="center"/>
          </w:tcPr>
          <w:p w14:paraId="3F2FF54F">
            <w:pPr>
              <w:pStyle w:val="445"/>
            </w:pPr>
            <w:r>
              <w:t>15</w:t>
            </w:r>
          </w:p>
        </w:tc>
        <w:tc>
          <w:tcPr>
            <w:tcW w:w="1288" w:type="dxa"/>
            <w:tcBorders>
              <w:top w:val="single" w:color="auto" w:sz="4" w:space="0"/>
              <w:left w:val="nil"/>
              <w:bottom w:val="single" w:color="auto" w:sz="4" w:space="0"/>
              <w:right w:val="single" w:color="auto" w:sz="4" w:space="0"/>
            </w:tcBorders>
            <w:vAlign w:val="center"/>
          </w:tcPr>
          <w:p w14:paraId="2DE2B270">
            <w:pPr>
              <w:pStyle w:val="445"/>
            </w:pPr>
            <w:r>
              <w:t>55</w:t>
            </w:r>
          </w:p>
        </w:tc>
        <w:tc>
          <w:tcPr>
            <w:tcW w:w="1289" w:type="dxa"/>
            <w:tcBorders>
              <w:top w:val="single" w:color="auto" w:sz="4" w:space="0"/>
              <w:left w:val="nil"/>
              <w:bottom w:val="single" w:color="auto" w:sz="4" w:space="0"/>
              <w:right w:val="nil"/>
            </w:tcBorders>
            <w:vAlign w:val="center"/>
          </w:tcPr>
          <w:p w14:paraId="6CE44B40">
            <w:pPr>
              <w:pStyle w:val="445"/>
            </w:pPr>
            <w:r>
              <w:t>151</w:t>
            </w:r>
          </w:p>
        </w:tc>
      </w:tr>
      <w:tr w14:paraId="072AC2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4AA045CE">
            <w:pPr>
              <w:pStyle w:val="445"/>
            </w:pPr>
            <w:r>
              <w:t>39</w:t>
            </w:r>
          </w:p>
        </w:tc>
        <w:tc>
          <w:tcPr>
            <w:tcW w:w="1730" w:type="dxa"/>
            <w:tcBorders>
              <w:top w:val="single" w:color="auto" w:sz="4" w:space="0"/>
              <w:left w:val="nil"/>
              <w:bottom w:val="single" w:color="auto" w:sz="4" w:space="0"/>
              <w:right w:val="single" w:color="auto" w:sz="4" w:space="0"/>
            </w:tcBorders>
            <w:vAlign w:val="center"/>
          </w:tcPr>
          <w:p w14:paraId="01A2BEAA">
            <w:pPr>
              <w:pStyle w:val="445"/>
            </w:pPr>
            <w:r>
              <w:t>苯并[a]芘</w:t>
            </w:r>
          </w:p>
        </w:tc>
        <w:tc>
          <w:tcPr>
            <w:tcW w:w="1288" w:type="dxa"/>
            <w:tcBorders>
              <w:top w:val="single" w:color="auto" w:sz="4" w:space="0"/>
              <w:left w:val="nil"/>
              <w:bottom w:val="single" w:color="auto" w:sz="4" w:space="0"/>
              <w:right w:val="single" w:color="auto" w:sz="4" w:space="0"/>
            </w:tcBorders>
            <w:vAlign w:val="center"/>
          </w:tcPr>
          <w:p w14:paraId="5B793687">
            <w:pPr>
              <w:pStyle w:val="445"/>
            </w:pPr>
            <w:r>
              <w:t>50-32-8</w:t>
            </w:r>
          </w:p>
        </w:tc>
        <w:tc>
          <w:tcPr>
            <w:tcW w:w="1288" w:type="dxa"/>
            <w:tcBorders>
              <w:top w:val="single" w:color="auto" w:sz="4" w:space="0"/>
              <w:left w:val="nil"/>
              <w:bottom w:val="single" w:color="auto" w:sz="4" w:space="0"/>
              <w:right w:val="single" w:color="auto" w:sz="4" w:space="0"/>
            </w:tcBorders>
            <w:vAlign w:val="center"/>
          </w:tcPr>
          <w:p w14:paraId="542DD0C7">
            <w:pPr>
              <w:pStyle w:val="445"/>
            </w:pPr>
            <w:r>
              <w:t>0.55</w:t>
            </w:r>
          </w:p>
        </w:tc>
        <w:tc>
          <w:tcPr>
            <w:tcW w:w="1288" w:type="dxa"/>
            <w:tcBorders>
              <w:top w:val="single" w:color="auto" w:sz="4" w:space="0"/>
              <w:left w:val="nil"/>
              <w:bottom w:val="single" w:color="auto" w:sz="4" w:space="0"/>
              <w:right w:val="single" w:color="auto" w:sz="4" w:space="0"/>
            </w:tcBorders>
            <w:vAlign w:val="center"/>
          </w:tcPr>
          <w:p w14:paraId="7CAF51A2">
            <w:pPr>
              <w:pStyle w:val="445"/>
            </w:pPr>
            <w:r>
              <w:t>1.5</w:t>
            </w:r>
          </w:p>
        </w:tc>
        <w:tc>
          <w:tcPr>
            <w:tcW w:w="1288" w:type="dxa"/>
            <w:tcBorders>
              <w:top w:val="single" w:color="auto" w:sz="4" w:space="0"/>
              <w:left w:val="nil"/>
              <w:bottom w:val="single" w:color="auto" w:sz="4" w:space="0"/>
              <w:right w:val="single" w:color="auto" w:sz="4" w:space="0"/>
            </w:tcBorders>
            <w:vAlign w:val="center"/>
          </w:tcPr>
          <w:p w14:paraId="6CDBB0E8">
            <w:pPr>
              <w:pStyle w:val="445"/>
            </w:pPr>
            <w:r>
              <w:t>5.5</w:t>
            </w:r>
          </w:p>
        </w:tc>
        <w:tc>
          <w:tcPr>
            <w:tcW w:w="1289" w:type="dxa"/>
            <w:tcBorders>
              <w:top w:val="single" w:color="auto" w:sz="4" w:space="0"/>
              <w:left w:val="nil"/>
              <w:bottom w:val="single" w:color="auto" w:sz="4" w:space="0"/>
              <w:right w:val="nil"/>
            </w:tcBorders>
            <w:vAlign w:val="center"/>
          </w:tcPr>
          <w:p w14:paraId="431E9444">
            <w:pPr>
              <w:pStyle w:val="445"/>
            </w:pPr>
            <w:r>
              <w:t>15</w:t>
            </w:r>
          </w:p>
        </w:tc>
      </w:tr>
      <w:tr w14:paraId="46C58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0E70D11F">
            <w:pPr>
              <w:pStyle w:val="445"/>
            </w:pPr>
            <w:r>
              <w:t>40</w:t>
            </w:r>
          </w:p>
        </w:tc>
        <w:tc>
          <w:tcPr>
            <w:tcW w:w="1730" w:type="dxa"/>
            <w:tcBorders>
              <w:top w:val="single" w:color="auto" w:sz="4" w:space="0"/>
              <w:left w:val="nil"/>
              <w:bottom w:val="single" w:color="auto" w:sz="4" w:space="0"/>
              <w:right w:val="single" w:color="auto" w:sz="4" w:space="0"/>
            </w:tcBorders>
            <w:vAlign w:val="center"/>
          </w:tcPr>
          <w:p w14:paraId="191354BA">
            <w:pPr>
              <w:pStyle w:val="445"/>
            </w:pPr>
            <w:r>
              <w:t>苯并[b]荧蒽</w:t>
            </w:r>
          </w:p>
        </w:tc>
        <w:tc>
          <w:tcPr>
            <w:tcW w:w="1288" w:type="dxa"/>
            <w:tcBorders>
              <w:top w:val="single" w:color="auto" w:sz="4" w:space="0"/>
              <w:left w:val="nil"/>
              <w:bottom w:val="single" w:color="auto" w:sz="4" w:space="0"/>
              <w:right w:val="single" w:color="auto" w:sz="4" w:space="0"/>
            </w:tcBorders>
            <w:vAlign w:val="center"/>
          </w:tcPr>
          <w:p w14:paraId="15A61B78">
            <w:pPr>
              <w:pStyle w:val="445"/>
            </w:pPr>
            <w:r>
              <w:t>205-99-2</w:t>
            </w:r>
          </w:p>
        </w:tc>
        <w:tc>
          <w:tcPr>
            <w:tcW w:w="1288" w:type="dxa"/>
            <w:tcBorders>
              <w:top w:val="single" w:color="auto" w:sz="4" w:space="0"/>
              <w:left w:val="nil"/>
              <w:bottom w:val="single" w:color="auto" w:sz="4" w:space="0"/>
              <w:right w:val="single" w:color="auto" w:sz="4" w:space="0"/>
            </w:tcBorders>
            <w:vAlign w:val="center"/>
          </w:tcPr>
          <w:p w14:paraId="20789167">
            <w:pPr>
              <w:pStyle w:val="445"/>
            </w:pPr>
            <w:r>
              <w:t>5.5</w:t>
            </w:r>
          </w:p>
        </w:tc>
        <w:tc>
          <w:tcPr>
            <w:tcW w:w="1288" w:type="dxa"/>
            <w:tcBorders>
              <w:top w:val="single" w:color="auto" w:sz="4" w:space="0"/>
              <w:left w:val="nil"/>
              <w:bottom w:val="single" w:color="auto" w:sz="4" w:space="0"/>
              <w:right w:val="single" w:color="auto" w:sz="4" w:space="0"/>
            </w:tcBorders>
            <w:vAlign w:val="center"/>
          </w:tcPr>
          <w:p w14:paraId="4C6EE8D8">
            <w:pPr>
              <w:pStyle w:val="445"/>
            </w:pPr>
            <w:r>
              <w:t>15</w:t>
            </w:r>
          </w:p>
        </w:tc>
        <w:tc>
          <w:tcPr>
            <w:tcW w:w="1288" w:type="dxa"/>
            <w:tcBorders>
              <w:top w:val="single" w:color="auto" w:sz="4" w:space="0"/>
              <w:left w:val="nil"/>
              <w:bottom w:val="single" w:color="auto" w:sz="4" w:space="0"/>
              <w:right w:val="single" w:color="auto" w:sz="4" w:space="0"/>
            </w:tcBorders>
            <w:vAlign w:val="center"/>
          </w:tcPr>
          <w:p w14:paraId="55E78ACC">
            <w:pPr>
              <w:pStyle w:val="445"/>
            </w:pPr>
            <w:r>
              <w:t>55</w:t>
            </w:r>
          </w:p>
        </w:tc>
        <w:tc>
          <w:tcPr>
            <w:tcW w:w="1289" w:type="dxa"/>
            <w:tcBorders>
              <w:top w:val="single" w:color="auto" w:sz="4" w:space="0"/>
              <w:left w:val="nil"/>
              <w:bottom w:val="single" w:color="auto" w:sz="4" w:space="0"/>
              <w:right w:val="nil"/>
            </w:tcBorders>
            <w:vAlign w:val="center"/>
          </w:tcPr>
          <w:p w14:paraId="2EC49644">
            <w:pPr>
              <w:pStyle w:val="445"/>
            </w:pPr>
            <w:r>
              <w:t>151</w:t>
            </w:r>
          </w:p>
        </w:tc>
      </w:tr>
      <w:tr w14:paraId="6F5E9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22C95188">
            <w:pPr>
              <w:pStyle w:val="445"/>
            </w:pPr>
            <w:r>
              <w:t>41</w:t>
            </w:r>
          </w:p>
        </w:tc>
        <w:tc>
          <w:tcPr>
            <w:tcW w:w="1730" w:type="dxa"/>
            <w:tcBorders>
              <w:top w:val="single" w:color="auto" w:sz="4" w:space="0"/>
              <w:left w:val="nil"/>
              <w:bottom w:val="single" w:color="auto" w:sz="4" w:space="0"/>
              <w:right w:val="single" w:color="auto" w:sz="4" w:space="0"/>
            </w:tcBorders>
            <w:vAlign w:val="center"/>
          </w:tcPr>
          <w:p w14:paraId="20499FDB">
            <w:pPr>
              <w:pStyle w:val="445"/>
            </w:pPr>
            <w:r>
              <w:t>苯并[k]荧蒽</w:t>
            </w:r>
          </w:p>
        </w:tc>
        <w:tc>
          <w:tcPr>
            <w:tcW w:w="1288" w:type="dxa"/>
            <w:tcBorders>
              <w:top w:val="single" w:color="auto" w:sz="4" w:space="0"/>
              <w:left w:val="nil"/>
              <w:bottom w:val="single" w:color="auto" w:sz="4" w:space="0"/>
              <w:right w:val="single" w:color="auto" w:sz="4" w:space="0"/>
            </w:tcBorders>
            <w:vAlign w:val="center"/>
          </w:tcPr>
          <w:p w14:paraId="4386590B">
            <w:pPr>
              <w:pStyle w:val="445"/>
            </w:pPr>
            <w:r>
              <w:t>207-08-9</w:t>
            </w:r>
          </w:p>
        </w:tc>
        <w:tc>
          <w:tcPr>
            <w:tcW w:w="1288" w:type="dxa"/>
            <w:tcBorders>
              <w:top w:val="single" w:color="auto" w:sz="4" w:space="0"/>
              <w:left w:val="nil"/>
              <w:bottom w:val="single" w:color="auto" w:sz="4" w:space="0"/>
              <w:right w:val="single" w:color="auto" w:sz="4" w:space="0"/>
            </w:tcBorders>
            <w:vAlign w:val="center"/>
          </w:tcPr>
          <w:p w14:paraId="1412D596">
            <w:pPr>
              <w:pStyle w:val="445"/>
            </w:pPr>
            <w:r>
              <w:t>55</w:t>
            </w:r>
          </w:p>
        </w:tc>
        <w:tc>
          <w:tcPr>
            <w:tcW w:w="1288" w:type="dxa"/>
            <w:tcBorders>
              <w:top w:val="single" w:color="auto" w:sz="4" w:space="0"/>
              <w:left w:val="nil"/>
              <w:bottom w:val="single" w:color="auto" w:sz="4" w:space="0"/>
              <w:right w:val="single" w:color="auto" w:sz="4" w:space="0"/>
            </w:tcBorders>
            <w:vAlign w:val="center"/>
          </w:tcPr>
          <w:p w14:paraId="3198A61F">
            <w:pPr>
              <w:pStyle w:val="445"/>
            </w:pPr>
            <w:r>
              <w:t>151</w:t>
            </w:r>
          </w:p>
        </w:tc>
        <w:tc>
          <w:tcPr>
            <w:tcW w:w="1288" w:type="dxa"/>
            <w:tcBorders>
              <w:top w:val="single" w:color="auto" w:sz="4" w:space="0"/>
              <w:left w:val="nil"/>
              <w:bottom w:val="single" w:color="auto" w:sz="4" w:space="0"/>
              <w:right w:val="single" w:color="auto" w:sz="4" w:space="0"/>
            </w:tcBorders>
            <w:vAlign w:val="center"/>
          </w:tcPr>
          <w:p w14:paraId="4829C9CE">
            <w:pPr>
              <w:pStyle w:val="445"/>
            </w:pPr>
            <w:r>
              <w:t>550</w:t>
            </w:r>
          </w:p>
        </w:tc>
        <w:tc>
          <w:tcPr>
            <w:tcW w:w="1289" w:type="dxa"/>
            <w:tcBorders>
              <w:top w:val="single" w:color="auto" w:sz="4" w:space="0"/>
              <w:left w:val="nil"/>
              <w:bottom w:val="single" w:color="auto" w:sz="4" w:space="0"/>
              <w:right w:val="nil"/>
            </w:tcBorders>
            <w:vAlign w:val="center"/>
          </w:tcPr>
          <w:p w14:paraId="062FB5D0">
            <w:pPr>
              <w:pStyle w:val="445"/>
            </w:pPr>
            <w:r>
              <w:t>1500</w:t>
            </w:r>
          </w:p>
        </w:tc>
      </w:tr>
      <w:tr w14:paraId="47611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1A8AC430">
            <w:pPr>
              <w:pStyle w:val="445"/>
            </w:pPr>
            <w:r>
              <w:t>42</w:t>
            </w:r>
          </w:p>
        </w:tc>
        <w:tc>
          <w:tcPr>
            <w:tcW w:w="1730" w:type="dxa"/>
            <w:tcBorders>
              <w:top w:val="single" w:color="auto" w:sz="4" w:space="0"/>
              <w:left w:val="nil"/>
              <w:bottom w:val="single" w:color="auto" w:sz="4" w:space="0"/>
              <w:right w:val="single" w:color="auto" w:sz="4" w:space="0"/>
            </w:tcBorders>
            <w:vAlign w:val="center"/>
          </w:tcPr>
          <w:p w14:paraId="589532B0">
            <w:pPr>
              <w:pStyle w:val="445"/>
            </w:pPr>
            <w:r>
              <w:t>䓛</w:t>
            </w:r>
          </w:p>
        </w:tc>
        <w:tc>
          <w:tcPr>
            <w:tcW w:w="1288" w:type="dxa"/>
            <w:tcBorders>
              <w:top w:val="single" w:color="auto" w:sz="4" w:space="0"/>
              <w:left w:val="nil"/>
              <w:bottom w:val="single" w:color="auto" w:sz="4" w:space="0"/>
              <w:right w:val="single" w:color="auto" w:sz="4" w:space="0"/>
            </w:tcBorders>
            <w:vAlign w:val="center"/>
          </w:tcPr>
          <w:p w14:paraId="6EC66E30">
            <w:pPr>
              <w:pStyle w:val="445"/>
            </w:pPr>
            <w:r>
              <w:t>218-01-9</w:t>
            </w:r>
          </w:p>
        </w:tc>
        <w:tc>
          <w:tcPr>
            <w:tcW w:w="1288" w:type="dxa"/>
            <w:tcBorders>
              <w:top w:val="single" w:color="auto" w:sz="4" w:space="0"/>
              <w:left w:val="nil"/>
              <w:bottom w:val="single" w:color="auto" w:sz="4" w:space="0"/>
              <w:right w:val="single" w:color="auto" w:sz="4" w:space="0"/>
            </w:tcBorders>
            <w:vAlign w:val="center"/>
          </w:tcPr>
          <w:p w14:paraId="4D7E28FD">
            <w:pPr>
              <w:pStyle w:val="445"/>
            </w:pPr>
            <w:r>
              <w:t>490</w:t>
            </w:r>
          </w:p>
        </w:tc>
        <w:tc>
          <w:tcPr>
            <w:tcW w:w="1288" w:type="dxa"/>
            <w:tcBorders>
              <w:top w:val="single" w:color="auto" w:sz="4" w:space="0"/>
              <w:left w:val="nil"/>
              <w:bottom w:val="single" w:color="auto" w:sz="4" w:space="0"/>
              <w:right w:val="single" w:color="auto" w:sz="4" w:space="0"/>
            </w:tcBorders>
            <w:vAlign w:val="center"/>
          </w:tcPr>
          <w:p w14:paraId="7BF74DFE">
            <w:pPr>
              <w:pStyle w:val="445"/>
            </w:pPr>
            <w:r>
              <w:t>1293</w:t>
            </w:r>
          </w:p>
        </w:tc>
        <w:tc>
          <w:tcPr>
            <w:tcW w:w="1288" w:type="dxa"/>
            <w:tcBorders>
              <w:top w:val="single" w:color="auto" w:sz="4" w:space="0"/>
              <w:left w:val="nil"/>
              <w:bottom w:val="single" w:color="auto" w:sz="4" w:space="0"/>
              <w:right w:val="single" w:color="auto" w:sz="4" w:space="0"/>
            </w:tcBorders>
            <w:vAlign w:val="center"/>
          </w:tcPr>
          <w:p w14:paraId="5978128A">
            <w:pPr>
              <w:pStyle w:val="445"/>
            </w:pPr>
            <w:r>
              <w:t>4900</w:t>
            </w:r>
          </w:p>
        </w:tc>
        <w:tc>
          <w:tcPr>
            <w:tcW w:w="1289" w:type="dxa"/>
            <w:tcBorders>
              <w:top w:val="single" w:color="auto" w:sz="4" w:space="0"/>
              <w:left w:val="nil"/>
              <w:bottom w:val="single" w:color="auto" w:sz="4" w:space="0"/>
              <w:right w:val="nil"/>
            </w:tcBorders>
            <w:vAlign w:val="center"/>
          </w:tcPr>
          <w:p w14:paraId="6E6C2F57">
            <w:pPr>
              <w:pStyle w:val="445"/>
            </w:pPr>
            <w:r>
              <w:t>12900</w:t>
            </w:r>
          </w:p>
        </w:tc>
      </w:tr>
      <w:tr w14:paraId="0B1FC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738CA3AA">
            <w:pPr>
              <w:pStyle w:val="445"/>
            </w:pPr>
            <w:r>
              <w:t>43</w:t>
            </w:r>
          </w:p>
        </w:tc>
        <w:tc>
          <w:tcPr>
            <w:tcW w:w="1730" w:type="dxa"/>
            <w:tcBorders>
              <w:top w:val="single" w:color="auto" w:sz="4" w:space="0"/>
              <w:left w:val="nil"/>
              <w:bottom w:val="single" w:color="auto" w:sz="4" w:space="0"/>
              <w:right w:val="single" w:color="auto" w:sz="4" w:space="0"/>
            </w:tcBorders>
            <w:vAlign w:val="center"/>
          </w:tcPr>
          <w:p w14:paraId="756FACB0">
            <w:pPr>
              <w:pStyle w:val="445"/>
            </w:pPr>
            <w:r>
              <w:t>二苯并[a，h]蒽</w:t>
            </w:r>
          </w:p>
        </w:tc>
        <w:tc>
          <w:tcPr>
            <w:tcW w:w="1288" w:type="dxa"/>
            <w:tcBorders>
              <w:top w:val="single" w:color="auto" w:sz="4" w:space="0"/>
              <w:left w:val="nil"/>
              <w:bottom w:val="single" w:color="auto" w:sz="4" w:space="0"/>
              <w:right w:val="single" w:color="auto" w:sz="4" w:space="0"/>
            </w:tcBorders>
            <w:vAlign w:val="center"/>
          </w:tcPr>
          <w:p w14:paraId="5840C68F">
            <w:pPr>
              <w:pStyle w:val="445"/>
            </w:pPr>
            <w:r>
              <w:t>53-70-3</w:t>
            </w:r>
          </w:p>
        </w:tc>
        <w:tc>
          <w:tcPr>
            <w:tcW w:w="1288" w:type="dxa"/>
            <w:tcBorders>
              <w:top w:val="single" w:color="auto" w:sz="4" w:space="0"/>
              <w:left w:val="nil"/>
              <w:bottom w:val="single" w:color="auto" w:sz="4" w:space="0"/>
              <w:right w:val="single" w:color="auto" w:sz="4" w:space="0"/>
            </w:tcBorders>
            <w:vAlign w:val="center"/>
          </w:tcPr>
          <w:p w14:paraId="480E4812">
            <w:pPr>
              <w:pStyle w:val="445"/>
            </w:pPr>
            <w:r>
              <w:t>0.55</w:t>
            </w:r>
          </w:p>
        </w:tc>
        <w:tc>
          <w:tcPr>
            <w:tcW w:w="1288" w:type="dxa"/>
            <w:tcBorders>
              <w:top w:val="single" w:color="auto" w:sz="4" w:space="0"/>
              <w:left w:val="nil"/>
              <w:bottom w:val="single" w:color="auto" w:sz="4" w:space="0"/>
              <w:right w:val="single" w:color="auto" w:sz="4" w:space="0"/>
            </w:tcBorders>
            <w:vAlign w:val="center"/>
          </w:tcPr>
          <w:p w14:paraId="66EFB87F">
            <w:pPr>
              <w:pStyle w:val="445"/>
            </w:pPr>
            <w:r>
              <w:t>1.5</w:t>
            </w:r>
          </w:p>
        </w:tc>
        <w:tc>
          <w:tcPr>
            <w:tcW w:w="1288" w:type="dxa"/>
            <w:tcBorders>
              <w:top w:val="single" w:color="auto" w:sz="4" w:space="0"/>
              <w:left w:val="nil"/>
              <w:bottom w:val="single" w:color="auto" w:sz="4" w:space="0"/>
              <w:right w:val="single" w:color="auto" w:sz="4" w:space="0"/>
            </w:tcBorders>
            <w:vAlign w:val="center"/>
          </w:tcPr>
          <w:p w14:paraId="1585D7CD">
            <w:pPr>
              <w:pStyle w:val="445"/>
            </w:pPr>
            <w:r>
              <w:t>5.5</w:t>
            </w:r>
          </w:p>
        </w:tc>
        <w:tc>
          <w:tcPr>
            <w:tcW w:w="1289" w:type="dxa"/>
            <w:tcBorders>
              <w:top w:val="single" w:color="auto" w:sz="4" w:space="0"/>
              <w:left w:val="nil"/>
              <w:bottom w:val="single" w:color="auto" w:sz="4" w:space="0"/>
              <w:right w:val="nil"/>
            </w:tcBorders>
            <w:vAlign w:val="center"/>
          </w:tcPr>
          <w:p w14:paraId="4AB48A05">
            <w:pPr>
              <w:pStyle w:val="445"/>
            </w:pPr>
            <w:r>
              <w:t>15</w:t>
            </w:r>
          </w:p>
        </w:tc>
      </w:tr>
      <w:tr w14:paraId="37959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4" w:space="0"/>
              <w:right w:val="single" w:color="auto" w:sz="4" w:space="0"/>
            </w:tcBorders>
            <w:vAlign w:val="center"/>
          </w:tcPr>
          <w:p w14:paraId="5CC7DE2F">
            <w:pPr>
              <w:pStyle w:val="445"/>
            </w:pPr>
            <w:r>
              <w:t>44</w:t>
            </w:r>
          </w:p>
        </w:tc>
        <w:tc>
          <w:tcPr>
            <w:tcW w:w="1730" w:type="dxa"/>
            <w:tcBorders>
              <w:top w:val="single" w:color="auto" w:sz="4" w:space="0"/>
              <w:left w:val="nil"/>
              <w:bottom w:val="single" w:color="auto" w:sz="4" w:space="0"/>
              <w:right w:val="single" w:color="auto" w:sz="4" w:space="0"/>
            </w:tcBorders>
            <w:vAlign w:val="center"/>
          </w:tcPr>
          <w:p w14:paraId="7AA38EA8">
            <w:pPr>
              <w:pStyle w:val="445"/>
            </w:pPr>
            <w:r>
              <w:t>茚并[1，2，3-c，d]芘</w:t>
            </w:r>
          </w:p>
        </w:tc>
        <w:tc>
          <w:tcPr>
            <w:tcW w:w="1288" w:type="dxa"/>
            <w:tcBorders>
              <w:top w:val="single" w:color="auto" w:sz="4" w:space="0"/>
              <w:left w:val="nil"/>
              <w:bottom w:val="single" w:color="auto" w:sz="4" w:space="0"/>
              <w:right w:val="single" w:color="auto" w:sz="4" w:space="0"/>
            </w:tcBorders>
            <w:vAlign w:val="center"/>
          </w:tcPr>
          <w:p w14:paraId="6FA4BE36">
            <w:pPr>
              <w:pStyle w:val="445"/>
            </w:pPr>
            <w:r>
              <w:t>193-39-5</w:t>
            </w:r>
          </w:p>
        </w:tc>
        <w:tc>
          <w:tcPr>
            <w:tcW w:w="1288" w:type="dxa"/>
            <w:tcBorders>
              <w:top w:val="single" w:color="auto" w:sz="4" w:space="0"/>
              <w:left w:val="nil"/>
              <w:bottom w:val="single" w:color="auto" w:sz="4" w:space="0"/>
              <w:right w:val="single" w:color="auto" w:sz="4" w:space="0"/>
            </w:tcBorders>
            <w:vAlign w:val="center"/>
          </w:tcPr>
          <w:p w14:paraId="1E220F23">
            <w:pPr>
              <w:pStyle w:val="445"/>
            </w:pPr>
            <w:r>
              <w:t>5.5</w:t>
            </w:r>
          </w:p>
        </w:tc>
        <w:tc>
          <w:tcPr>
            <w:tcW w:w="1288" w:type="dxa"/>
            <w:tcBorders>
              <w:top w:val="single" w:color="auto" w:sz="4" w:space="0"/>
              <w:left w:val="nil"/>
              <w:bottom w:val="single" w:color="auto" w:sz="4" w:space="0"/>
              <w:right w:val="single" w:color="auto" w:sz="4" w:space="0"/>
            </w:tcBorders>
            <w:vAlign w:val="center"/>
          </w:tcPr>
          <w:p w14:paraId="1BAB6C63">
            <w:pPr>
              <w:pStyle w:val="445"/>
            </w:pPr>
            <w:r>
              <w:t>15</w:t>
            </w:r>
          </w:p>
        </w:tc>
        <w:tc>
          <w:tcPr>
            <w:tcW w:w="1288" w:type="dxa"/>
            <w:tcBorders>
              <w:top w:val="single" w:color="auto" w:sz="4" w:space="0"/>
              <w:left w:val="nil"/>
              <w:bottom w:val="single" w:color="auto" w:sz="4" w:space="0"/>
              <w:right w:val="single" w:color="auto" w:sz="4" w:space="0"/>
            </w:tcBorders>
            <w:vAlign w:val="center"/>
          </w:tcPr>
          <w:p w14:paraId="1A69CE0F">
            <w:pPr>
              <w:pStyle w:val="445"/>
            </w:pPr>
            <w:r>
              <w:t>55</w:t>
            </w:r>
          </w:p>
        </w:tc>
        <w:tc>
          <w:tcPr>
            <w:tcW w:w="1289" w:type="dxa"/>
            <w:tcBorders>
              <w:top w:val="single" w:color="auto" w:sz="4" w:space="0"/>
              <w:left w:val="nil"/>
              <w:bottom w:val="single" w:color="auto" w:sz="4" w:space="0"/>
              <w:right w:val="nil"/>
            </w:tcBorders>
            <w:vAlign w:val="center"/>
          </w:tcPr>
          <w:p w14:paraId="6812E2D9">
            <w:pPr>
              <w:pStyle w:val="445"/>
            </w:pPr>
            <w:r>
              <w:t>151</w:t>
            </w:r>
          </w:p>
        </w:tc>
      </w:tr>
      <w:tr w14:paraId="47650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nil"/>
              <w:bottom w:val="single" w:color="auto" w:sz="12" w:space="0"/>
              <w:right w:val="single" w:color="auto" w:sz="4" w:space="0"/>
            </w:tcBorders>
            <w:vAlign w:val="center"/>
          </w:tcPr>
          <w:p w14:paraId="7FE9661F">
            <w:pPr>
              <w:pStyle w:val="445"/>
            </w:pPr>
            <w:r>
              <w:t>45</w:t>
            </w:r>
          </w:p>
        </w:tc>
        <w:tc>
          <w:tcPr>
            <w:tcW w:w="1730" w:type="dxa"/>
            <w:tcBorders>
              <w:top w:val="single" w:color="auto" w:sz="4" w:space="0"/>
              <w:left w:val="nil"/>
              <w:bottom w:val="single" w:color="auto" w:sz="12" w:space="0"/>
              <w:right w:val="single" w:color="auto" w:sz="4" w:space="0"/>
            </w:tcBorders>
            <w:vAlign w:val="center"/>
          </w:tcPr>
          <w:p w14:paraId="37FFB663">
            <w:pPr>
              <w:pStyle w:val="445"/>
            </w:pPr>
            <w:r>
              <w:t>萘</w:t>
            </w:r>
          </w:p>
        </w:tc>
        <w:tc>
          <w:tcPr>
            <w:tcW w:w="1288" w:type="dxa"/>
            <w:tcBorders>
              <w:top w:val="single" w:color="auto" w:sz="4" w:space="0"/>
              <w:left w:val="nil"/>
              <w:bottom w:val="single" w:color="auto" w:sz="12" w:space="0"/>
              <w:right w:val="single" w:color="auto" w:sz="4" w:space="0"/>
            </w:tcBorders>
            <w:vAlign w:val="center"/>
          </w:tcPr>
          <w:p w14:paraId="6804C902">
            <w:pPr>
              <w:pStyle w:val="445"/>
            </w:pPr>
            <w:r>
              <w:t>91-20-3</w:t>
            </w:r>
          </w:p>
        </w:tc>
        <w:tc>
          <w:tcPr>
            <w:tcW w:w="1288" w:type="dxa"/>
            <w:tcBorders>
              <w:top w:val="single" w:color="auto" w:sz="4" w:space="0"/>
              <w:left w:val="nil"/>
              <w:bottom w:val="single" w:color="auto" w:sz="12" w:space="0"/>
              <w:right w:val="single" w:color="auto" w:sz="4" w:space="0"/>
            </w:tcBorders>
            <w:vAlign w:val="center"/>
          </w:tcPr>
          <w:p w14:paraId="1AA031CA">
            <w:pPr>
              <w:pStyle w:val="445"/>
            </w:pPr>
            <w:r>
              <w:t>25</w:t>
            </w:r>
          </w:p>
        </w:tc>
        <w:tc>
          <w:tcPr>
            <w:tcW w:w="1288" w:type="dxa"/>
            <w:tcBorders>
              <w:top w:val="single" w:color="auto" w:sz="4" w:space="0"/>
              <w:left w:val="nil"/>
              <w:bottom w:val="single" w:color="auto" w:sz="12" w:space="0"/>
              <w:right w:val="single" w:color="auto" w:sz="4" w:space="0"/>
            </w:tcBorders>
            <w:vAlign w:val="center"/>
          </w:tcPr>
          <w:p w14:paraId="0EA2C09E">
            <w:pPr>
              <w:pStyle w:val="445"/>
            </w:pPr>
            <w:r>
              <w:t>70</w:t>
            </w:r>
          </w:p>
        </w:tc>
        <w:tc>
          <w:tcPr>
            <w:tcW w:w="1288" w:type="dxa"/>
            <w:tcBorders>
              <w:top w:val="single" w:color="auto" w:sz="4" w:space="0"/>
              <w:left w:val="nil"/>
              <w:bottom w:val="single" w:color="auto" w:sz="12" w:space="0"/>
              <w:right w:val="single" w:color="auto" w:sz="4" w:space="0"/>
            </w:tcBorders>
            <w:vAlign w:val="center"/>
          </w:tcPr>
          <w:p w14:paraId="14C423A6">
            <w:pPr>
              <w:pStyle w:val="445"/>
            </w:pPr>
            <w:r>
              <w:t>255</w:t>
            </w:r>
          </w:p>
        </w:tc>
        <w:tc>
          <w:tcPr>
            <w:tcW w:w="1289" w:type="dxa"/>
            <w:tcBorders>
              <w:top w:val="single" w:color="auto" w:sz="4" w:space="0"/>
              <w:left w:val="nil"/>
              <w:bottom w:val="single" w:color="auto" w:sz="12" w:space="0"/>
              <w:right w:val="nil"/>
            </w:tcBorders>
            <w:vAlign w:val="center"/>
          </w:tcPr>
          <w:p w14:paraId="43985E43">
            <w:pPr>
              <w:pStyle w:val="445"/>
            </w:pPr>
            <w:r>
              <w:t>700</w:t>
            </w:r>
          </w:p>
        </w:tc>
      </w:tr>
    </w:tbl>
    <w:p w14:paraId="0A58777B">
      <w:pPr>
        <w:spacing w:line="500" w:lineRule="exact"/>
        <w:ind w:firstLine="0" w:firstLineChars="0"/>
        <w:jc w:val="center"/>
        <w:rPr>
          <w:rFonts w:eastAsia="黑体" w:cs="Times New Roman"/>
        </w:rPr>
      </w:pPr>
      <w:r>
        <w:rPr>
          <w:rFonts w:hint="eastAsia" w:ascii="黑体" w:hAnsi="黑体" w:eastAsia="黑体"/>
        </w:rPr>
        <w:t>表</w:t>
      </w:r>
      <w:r>
        <w:rPr>
          <w:rFonts w:eastAsia="黑体"/>
        </w:rPr>
        <w:t xml:space="preserve">2.2.3-12  </w:t>
      </w:r>
      <w:r>
        <w:rPr>
          <w:rFonts w:hint="eastAsia" w:ascii="黑体" w:hAnsi="黑体" w:eastAsia="黑体"/>
        </w:rPr>
        <w:t>农用地土壤污染风险筛选值（单位：</w:t>
      </w:r>
      <w:r>
        <w:rPr>
          <w:rFonts w:eastAsia="黑体"/>
        </w:rPr>
        <w:t>mg/kg</w:t>
      </w:r>
      <w:r>
        <w:rPr>
          <w:rFonts w:hint="eastAsia" w:ascii="黑体" w:hAnsi="黑体" w:eastAsia="黑体"/>
        </w:rPr>
        <w:t>）</w:t>
      </w:r>
    </w:p>
    <w:tbl>
      <w:tblPr>
        <w:tblStyle w:val="6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276"/>
        <w:gridCol w:w="1275"/>
        <w:gridCol w:w="1276"/>
        <w:gridCol w:w="1559"/>
        <w:gridCol w:w="1491"/>
        <w:gridCol w:w="1289"/>
      </w:tblGrid>
      <w:tr w14:paraId="3D72D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51" w:type="dxa"/>
            <w:vMerge w:val="restart"/>
            <w:tcBorders>
              <w:top w:val="single" w:color="auto" w:sz="12" w:space="0"/>
              <w:left w:val="nil"/>
              <w:bottom w:val="single" w:color="auto" w:sz="4" w:space="0"/>
              <w:right w:val="single" w:color="auto" w:sz="4" w:space="0"/>
            </w:tcBorders>
            <w:vAlign w:val="center"/>
          </w:tcPr>
          <w:p w14:paraId="7EEC6639">
            <w:pPr>
              <w:pStyle w:val="445"/>
              <w:rPr>
                <w:b/>
              </w:rPr>
            </w:pPr>
            <w:r>
              <w:rPr>
                <w:b/>
              </w:rPr>
              <w:t>序号</w:t>
            </w:r>
          </w:p>
        </w:tc>
        <w:tc>
          <w:tcPr>
            <w:tcW w:w="2551" w:type="dxa"/>
            <w:gridSpan w:val="2"/>
            <w:vMerge w:val="restart"/>
            <w:tcBorders>
              <w:top w:val="single" w:color="auto" w:sz="12" w:space="0"/>
              <w:left w:val="nil"/>
              <w:bottom w:val="single" w:color="auto" w:sz="4" w:space="0"/>
              <w:right w:val="single" w:color="auto" w:sz="4" w:space="0"/>
            </w:tcBorders>
            <w:vAlign w:val="center"/>
          </w:tcPr>
          <w:p w14:paraId="4E1A8FEB">
            <w:pPr>
              <w:pStyle w:val="445"/>
              <w:rPr>
                <w:b/>
              </w:rPr>
            </w:pPr>
            <w:r>
              <w:rPr>
                <w:b/>
              </w:rPr>
              <w:t>污染物项目</w:t>
            </w:r>
          </w:p>
        </w:tc>
        <w:tc>
          <w:tcPr>
            <w:tcW w:w="5615" w:type="dxa"/>
            <w:gridSpan w:val="4"/>
            <w:tcBorders>
              <w:top w:val="single" w:color="auto" w:sz="12" w:space="0"/>
              <w:left w:val="nil"/>
              <w:bottom w:val="single" w:color="auto" w:sz="4" w:space="0"/>
              <w:right w:val="nil"/>
            </w:tcBorders>
            <w:vAlign w:val="center"/>
          </w:tcPr>
          <w:p w14:paraId="6C1003E8">
            <w:pPr>
              <w:pStyle w:val="445"/>
              <w:rPr>
                <w:b/>
              </w:rPr>
            </w:pPr>
            <w:r>
              <w:rPr>
                <w:b/>
              </w:rPr>
              <w:t>风险筛选值</w:t>
            </w:r>
          </w:p>
        </w:tc>
      </w:tr>
      <w:tr w14:paraId="0A689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0" w:type="auto"/>
            <w:vMerge w:val="continue"/>
            <w:tcBorders>
              <w:top w:val="single" w:color="auto" w:sz="12" w:space="0"/>
              <w:left w:val="nil"/>
              <w:bottom w:val="single" w:color="auto" w:sz="4" w:space="0"/>
              <w:right w:val="single" w:color="auto" w:sz="4" w:space="0"/>
            </w:tcBorders>
            <w:vAlign w:val="center"/>
          </w:tcPr>
          <w:p w14:paraId="7AB411DB">
            <w:pPr>
              <w:pStyle w:val="445"/>
              <w:rPr>
                <w:b/>
                <w:szCs w:val="18"/>
              </w:rPr>
            </w:pPr>
          </w:p>
        </w:tc>
        <w:tc>
          <w:tcPr>
            <w:tcW w:w="0" w:type="auto"/>
            <w:gridSpan w:val="2"/>
            <w:vMerge w:val="continue"/>
            <w:tcBorders>
              <w:top w:val="single" w:color="auto" w:sz="12" w:space="0"/>
              <w:left w:val="nil"/>
              <w:bottom w:val="single" w:color="auto" w:sz="4" w:space="0"/>
              <w:right w:val="single" w:color="auto" w:sz="4" w:space="0"/>
            </w:tcBorders>
            <w:vAlign w:val="center"/>
          </w:tcPr>
          <w:p w14:paraId="691DFF95">
            <w:pPr>
              <w:pStyle w:val="445"/>
              <w:rPr>
                <w:b/>
                <w:szCs w:val="18"/>
              </w:rPr>
            </w:pPr>
          </w:p>
        </w:tc>
        <w:tc>
          <w:tcPr>
            <w:tcW w:w="1276" w:type="dxa"/>
            <w:tcBorders>
              <w:top w:val="single" w:color="auto" w:sz="4" w:space="0"/>
              <w:left w:val="nil"/>
              <w:bottom w:val="single" w:color="auto" w:sz="4" w:space="0"/>
              <w:right w:val="single" w:color="auto" w:sz="4" w:space="0"/>
            </w:tcBorders>
            <w:vAlign w:val="center"/>
          </w:tcPr>
          <w:p w14:paraId="3EE2EF3D">
            <w:pPr>
              <w:pStyle w:val="445"/>
              <w:rPr>
                <w:b/>
              </w:rPr>
            </w:pPr>
            <w:r>
              <w:rPr>
                <w:b/>
              </w:rPr>
              <w:t>pH≤5.5</w:t>
            </w:r>
          </w:p>
        </w:tc>
        <w:tc>
          <w:tcPr>
            <w:tcW w:w="1559" w:type="dxa"/>
            <w:tcBorders>
              <w:top w:val="single" w:color="auto" w:sz="4" w:space="0"/>
              <w:left w:val="nil"/>
              <w:bottom w:val="single" w:color="auto" w:sz="4" w:space="0"/>
              <w:right w:val="single" w:color="auto" w:sz="4" w:space="0"/>
            </w:tcBorders>
            <w:vAlign w:val="center"/>
          </w:tcPr>
          <w:p w14:paraId="2300D785">
            <w:pPr>
              <w:pStyle w:val="445"/>
              <w:rPr>
                <w:b/>
              </w:rPr>
            </w:pPr>
            <w:r>
              <w:rPr>
                <w:b/>
              </w:rPr>
              <w:t>5.5＜pH≤6.5</w:t>
            </w:r>
          </w:p>
        </w:tc>
        <w:tc>
          <w:tcPr>
            <w:tcW w:w="1491" w:type="dxa"/>
            <w:tcBorders>
              <w:top w:val="single" w:color="auto" w:sz="4" w:space="0"/>
              <w:left w:val="nil"/>
              <w:bottom w:val="single" w:color="auto" w:sz="4" w:space="0"/>
              <w:right w:val="single" w:color="auto" w:sz="4" w:space="0"/>
            </w:tcBorders>
            <w:vAlign w:val="center"/>
          </w:tcPr>
          <w:p w14:paraId="7258D36B">
            <w:pPr>
              <w:pStyle w:val="445"/>
              <w:rPr>
                <w:b/>
              </w:rPr>
            </w:pPr>
            <w:r>
              <w:rPr>
                <w:b/>
              </w:rPr>
              <w:t>6.5＜pH≤7.5</w:t>
            </w:r>
          </w:p>
        </w:tc>
        <w:tc>
          <w:tcPr>
            <w:tcW w:w="1289" w:type="dxa"/>
            <w:tcBorders>
              <w:top w:val="single" w:color="auto" w:sz="4" w:space="0"/>
              <w:left w:val="nil"/>
              <w:bottom w:val="single" w:color="auto" w:sz="4" w:space="0"/>
              <w:right w:val="nil"/>
            </w:tcBorders>
            <w:vAlign w:val="center"/>
          </w:tcPr>
          <w:p w14:paraId="54B3A25C">
            <w:pPr>
              <w:pStyle w:val="445"/>
              <w:rPr>
                <w:b/>
              </w:rPr>
            </w:pPr>
            <w:r>
              <w:rPr>
                <w:b/>
              </w:rPr>
              <w:t>pH＞7.5</w:t>
            </w:r>
          </w:p>
        </w:tc>
      </w:tr>
      <w:tr w14:paraId="4EE53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68BF20CC">
            <w:pPr>
              <w:pStyle w:val="445"/>
            </w:pPr>
            <w:r>
              <w:t>1</w:t>
            </w:r>
          </w:p>
        </w:tc>
        <w:tc>
          <w:tcPr>
            <w:tcW w:w="1276" w:type="dxa"/>
            <w:vMerge w:val="restart"/>
            <w:tcBorders>
              <w:top w:val="nil"/>
              <w:left w:val="nil"/>
              <w:bottom w:val="single" w:color="auto" w:sz="4" w:space="0"/>
              <w:right w:val="single" w:color="auto" w:sz="4" w:space="0"/>
            </w:tcBorders>
            <w:vAlign w:val="center"/>
          </w:tcPr>
          <w:p w14:paraId="075A2EDE">
            <w:pPr>
              <w:pStyle w:val="445"/>
            </w:pPr>
            <w:r>
              <w:t>镉</w:t>
            </w:r>
          </w:p>
        </w:tc>
        <w:tc>
          <w:tcPr>
            <w:tcW w:w="1275" w:type="dxa"/>
            <w:tcBorders>
              <w:top w:val="single" w:color="auto" w:sz="4" w:space="0"/>
              <w:left w:val="nil"/>
              <w:bottom w:val="single" w:color="auto" w:sz="4" w:space="0"/>
              <w:right w:val="single" w:color="auto" w:sz="4" w:space="0"/>
            </w:tcBorders>
            <w:vAlign w:val="center"/>
          </w:tcPr>
          <w:p w14:paraId="29C4BEAF">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7BD416B6">
            <w:pPr>
              <w:pStyle w:val="445"/>
            </w:pPr>
            <w:r>
              <w:t>0.3</w:t>
            </w:r>
          </w:p>
        </w:tc>
        <w:tc>
          <w:tcPr>
            <w:tcW w:w="1559" w:type="dxa"/>
            <w:tcBorders>
              <w:top w:val="single" w:color="auto" w:sz="4" w:space="0"/>
              <w:left w:val="nil"/>
              <w:bottom w:val="single" w:color="auto" w:sz="4" w:space="0"/>
              <w:right w:val="single" w:color="auto" w:sz="4" w:space="0"/>
            </w:tcBorders>
            <w:vAlign w:val="center"/>
          </w:tcPr>
          <w:p w14:paraId="12784DD7">
            <w:pPr>
              <w:pStyle w:val="445"/>
            </w:pPr>
            <w:r>
              <w:t>0.4</w:t>
            </w:r>
          </w:p>
        </w:tc>
        <w:tc>
          <w:tcPr>
            <w:tcW w:w="1491" w:type="dxa"/>
            <w:tcBorders>
              <w:top w:val="single" w:color="auto" w:sz="4" w:space="0"/>
              <w:left w:val="nil"/>
              <w:bottom w:val="single" w:color="auto" w:sz="4" w:space="0"/>
              <w:right w:val="single" w:color="auto" w:sz="4" w:space="0"/>
            </w:tcBorders>
            <w:vAlign w:val="center"/>
          </w:tcPr>
          <w:p w14:paraId="2C4EDF30">
            <w:pPr>
              <w:pStyle w:val="445"/>
            </w:pPr>
            <w:r>
              <w:t>0.6</w:t>
            </w:r>
          </w:p>
        </w:tc>
        <w:tc>
          <w:tcPr>
            <w:tcW w:w="1289" w:type="dxa"/>
            <w:tcBorders>
              <w:top w:val="single" w:color="auto" w:sz="4" w:space="0"/>
              <w:left w:val="nil"/>
              <w:bottom w:val="single" w:color="auto" w:sz="4" w:space="0"/>
              <w:right w:val="nil"/>
            </w:tcBorders>
            <w:vAlign w:val="center"/>
          </w:tcPr>
          <w:p w14:paraId="68D5031C">
            <w:pPr>
              <w:pStyle w:val="445"/>
            </w:pPr>
            <w:r>
              <w:t>0.8</w:t>
            </w:r>
          </w:p>
        </w:tc>
      </w:tr>
      <w:tr w14:paraId="03CA0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4BA48BE9">
            <w:pPr>
              <w:pStyle w:val="445"/>
              <w:rPr>
                <w:szCs w:val="18"/>
              </w:rPr>
            </w:pPr>
          </w:p>
        </w:tc>
        <w:tc>
          <w:tcPr>
            <w:tcW w:w="0" w:type="auto"/>
            <w:vMerge w:val="continue"/>
            <w:tcBorders>
              <w:top w:val="nil"/>
              <w:left w:val="nil"/>
              <w:bottom w:val="single" w:color="auto" w:sz="4" w:space="0"/>
              <w:right w:val="single" w:color="auto" w:sz="4" w:space="0"/>
            </w:tcBorders>
            <w:vAlign w:val="center"/>
          </w:tcPr>
          <w:p w14:paraId="02984CC7">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27C62DAF">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78D35FAD">
            <w:pPr>
              <w:pStyle w:val="445"/>
            </w:pPr>
            <w:r>
              <w:t>0.3</w:t>
            </w:r>
          </w:p>
        </w:tc>
        <w:tc>
          <w:tcPr>
            <w:tcW w:w="1559" w:type="dxa"/>
            <w:tcBorders>
              <w:top w:val="single" w:color="auto" w:sz="4" w:space="0"/>
              <w:left w:val="nil"/>
              <w:bottom w:val="single" w:color="auto" w:sz="4" w:space="0"/>
              <w:right w:val="single" w:color="auto" w:sz="4" w:space="0"/>
            </w:tcBorders>
            <w:vAlign w:val="center"/>
          </w:tcPr>
          <w:p w14:paraId="600A5D2B">
            <w:pPr>
              <w:pStyle w:val="445"/>
            </w:pPr>
            <w:r>
              <w:t>0.3</w:t>
            </w:r>
          </w:p>
        </w:tc>
        <w:tc>
          <w:tcPr>
            <w:tcW w:w="1491" w:type="dxa"/>
            <w:tcBorders>
              <w:top w:val="single" w:color="auto" w:sz="4" w:space="0"/>
              <w:left w:val="nil"/>
              <w:bottom w:val="single" w:color="auto" w:sz="4" w:space="0"/>
              <w:right w:val="single" w:color="auto" w:sz="4" w:space="0"/>
            </w:tcBorders>
            <w:vAlign w:val="center"/>
          </w:tcPr>
          <w:p w14:paraId="08A51510">
            <w:pPr>
              <w:pStyle w:val="445"/>
            </w:pPr>
            <w:r>
              <w:t>0.3</w:t>
            </w:r>
          </w:p>
        </w:tc>
        <w:tc>
          <w:tcPr>
            <w:tcW w:w="1289" w:type="dxa"/>
            <w:tcBorders>
              <w:top w:val="single" w:color="auto" w:sz="4" w:space="0"/>
              <w:left w:val="nil"/>
              <w:bottom w:val="single" w:color="auto" w:sz="4" w:space="0"/>
              <w:right w:val="nil"/>
            </w:tcBorders>
            <w:vAlign w:val="center"/>
          </w:tcPr>
          <w:p w14:paraId="4025C381">
            <w:pPr>
              <w:pStyle w:val="445"/>
            </w:pPr>
            <w:r>
              <w:t>0.6</w:t>
            </w:r>
          </w:p>
        </w:tc>
      </w:tr>
      <w:tr w14:paraId="1CD5B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79075386">
            <w:pPr>
              <w:pStyle w:val="445"/>
            </w:pPr>
            <w:r>
              <w:t>2</w:t>
            </w:r>
          </w:p>
        </w:tc>
        <w:tc>
          <w:tcPr>
            <w:tcW w:w="1276" w:type="dxa"/>
            <w:vMerge w:val="restart"/>
            <w:tcBorders>
              <w:top w:val="nil"/>
              <w:left w:val="nil"/>
              <w:bottom w:val="single" w:color="auto" w:sz="4" w:space="0"/>
              <w:right w:val="single" w:color="auto" w:sz="4" w:space="0"/>
            </w:tcBorders>
            <w:vAlign w:val="center"/>
          </w:tcPr>
          <w:p w14:paraId="291C37FD">
            <w:pPr>
              <w:pStyle w:val="445"/>
            </w:pPr>
            <w:r>
              <w:t>汞</w:t>
            </w:r>
          </w:p>
        </w:tc>
        <w:tc>
          <w:tcPr>
            <w:tcW w:w="1275" w:type="dxa"/>
            <w:tcBorders>
              <w:top w:val="single" w:color="auto" w:sz="4" w:space="0"/>
              <w:left w:val="nil"/>
              <w:bottom w:val="single" w:color="auto" w:sz="4" w:space="0"/>
              <w:right w:val="single" w:color="auto" w:sz="4" w:space="0"/>
            </w:tcBorders>
            <w:vAlign w:val="center"/>
          </w:tcPr>
          <w:p w14:paraId="3A9CA593">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2688C8E1">
            <w:pPr>
              <w:pStyle w:val="445"/>
            </w:pPr>
            <w:r>
              <w:t>0.5</w:t>
            </w:r>
          </w:p>
        </w:tc>
        <w:tc>
          <w:tcPr>
            <w:tcW w:w="1559" w:type="dxa"/>
            <w:tcBorders>
              <w:top w:val="single" w:color="auto" w:sz="4" w:space="0"/>
              <w:left w:val="nil"/>
              <w:bottom w:val="single" w:color="auto" w:sz="4" w:space="0"/>
              <w:right w:val="single" w:color="auto" w:sz="4" w:space="0"/>
            </w:tcBorders>
            <w:vAlign w:val="center"/>
          </w:tcPr>
          <w:p w14:paraId="688F165C">
            <w:pPr>
              <w:pStyle w:val="445"/>
            </w:pPr>
            <w:r>
              <w:t>0.5</w:t>
            </w:r>
          </w:p>
        </w:tc>
        <w:tc>
          <w:tcPr>
            <w:tcW w:w="1491" w:type="dxa"/>
            <w:tcBorders>
              <w:top w:val="single" w:color="auto" w:sz="4" w:space="0"/>
              <w:left w:val="nil"/>
              <w:bottom w:val="single" w:color="auto" w:sz="4" w:space="0"/>
              <w:right w:val="single" w:color="auto" w:sz="4" w:space="0"/>
            </w:tcBorders>
            <w:vAlign w:val="center"/>
          </w:tcPr>
          <w:p w14:paraId="5459B138">
            <w:pPr>
              <w:pStyle w:val="445"/>
            </w:pPr>
            <w:r>
              <w:t>0.6</w:t>
            </w:r>
          </w:p>
        </w:tc>
        <w:tc>
          <w:tcPr>
            <w:tcW w:w="1289" w:type="dxa"/>
            <w:tcBorders>
              <w:top w:val="single" w:color="auto" w:sz="4" w:space="0"/>
              <w:left w:val="nil"/>
              <w:bottom w:val="single" w:color="auto" w:sz="4" w:space="0"/>
              <w:right w:val="nil"/>
            </w:tcBorders>
            <w:vAlign w:val="center"/>
          </w:tcPr>
          <w:p w14:paraId="0FF09D78">
            <w:pPr>
              <w:pStyle w:val="445"/>
            </w:pPr>
            <w:r>
              <w:t>1.0</w:t>
            </w:r>
          </w:p>
        </w:tc>
      </w:tr>
      <w:tr w14:paraId="4BFA1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4EA17519">
            <w:pPr>
              <w:pStyle w:val="445"/>
              <w:rPr>
                <w:szCs w:val="18"/>
              </w:rPr>
            </w:pPr>
          </w:p>
        </w:tc>
        <w:tc>
          <w:tcPr>
            <w:tcW w:w="0" w:type="auto"/>
            <w:vMerge w:val="continue"/>
            <w:tcBorders>
              <w:top w:val="nil"/>
              <w:left w:val="nil"/>
              <w:bottom w:val="single" w:color="auto" w:sz="4" w:space="0"/>
              <w:right w:val="single" w:color="auto" w:sz="4" w:space="0"/>
            </w:tcBorders>
            <w:vAlign w:val="center"/>
          </w:tcPr>
          <w:p w14:paraId="23161CFF">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22631F1B">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4FAD18B0">
            <w:pPr>
              <w:pStyle w:val="445"/>
            </w:pPr>
            <w:r>
              <w:t>1.3</w:t>
            </w:r>
          </w:p>
        </w:tc>
        <w:tc>
          <w:tcPr>
            <w:tcW w:w="1559" w:type="dxa"/>
            <w:tcBorders>
              <w:top w:val="single" w:color="auto" w:sz="4" w:space="0"/>
              <w:left w:val="nil"/>
              <w:bottom w:val="single" w:color="auto" w:sz="4" w:space="0"/>
              <w:right w:val="single" w:color="auto" w:sz="4" w:space="0"/>
            </w:tcBorders>
            <w:vAlign w:val="center"/>
          </w:tcPr>
          <w:p w14:paraId="3E98F586">
            <w:pPr>
              <w:pStyle w:val="445"/>
            </w:pPr>
            <w:r>
              <w:t>1.8</w:t>
            </w:r>
          </w:p>
        </w:tc>
        <w:tc>
          <w:tcPr>
            <w:tcW w:w="1491" w:type="dxa"/>
            <w:tcBorders>
              <w:top w:val="single" w:color="auto" w:sz="4" w:space="0"/>
              <w:left w:val="nil"/>
              <w:bottom w:val="single" w:color="auto" w:sz="4" w:space="0"/>
              <w:right w:val="single" w:color="auto" w:sz="4" w:space="0"/>
            </w:tcBorders>
            <w:vAlign w:val="center"/>
          </w:tcPr>
          <w:p w14:paraId="0D0FEA80">
            <w:pPr>
              <w:pStyle w:val="445"/>
            </w:pPr>
            <w:r>
              <w:t>2.4</w:t>
            </w:r>
          </w:p>
        </w:tc>
        <w:tc>
          <w:tcPr>
            <w:tcW w:w="1289" w:type="dxa"/>
            <w:tcBorders>
              <w:top w:val="single" w:color="auto" w:sz="4" w:space="0"/>
              <w:left w:val="nil"/>
              <w:bottom w:val="single" w:color="auto" w:sz="4" w:space="0"/>
              <w:right w:val="nil"/>
            </w:tcBorders>
            <w:vAlign w:val="center"/>
          </w:tcPr>
          <w:p w14:paraId="36A3FBA7">
            <w:pPr>
              <w:pStyle w:val="445"/>
            </w:pPr>
            <w:r>
              <w:t>3.4</w:t>
            </w:r>
          </w:p>
        </w:tc>
      </w:tr>
      <w:tr w14:paraId="600F7B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5442D39D">
            <w:pPr>
              <w:pStyle w:val="445"/>
            </w:pPr>
            <w:r>
              <w:t>3</w:t>
            </w:r>
          </w:p>
        </w:tc>
        <w:tc>
          <w:tcPr>
            <w:tcW w:w="1276" w:type="dxa"/>
            <w:vMerge w:val="restart"/>
            <w:tcBorders>
              <w:top w:val="nil"/>
              <w:left w:val="nil"/>
              <w:bottom w:val="single" w:color="auto" w:sz="4" w:space="0"/>
              <w:right w:val="single" w:color="auto" w:sz="4" w:space="0"/>
            </w:tcBorders>
            <w:vAlign w:val="center"/>
          </w:tcPr>
          <w:p w14:paraId="22BCFF8F">
            <w:pPr>
              <w:pStyle w:val="445"/>
            </w:pPr>
            <w:r>
              <w:t>砷</w:t>
            </w:r>
          </w:p>
        </w:tc>
        <w:tc>
          <w:tcPr>
            <w:tcW w:w="1275" w:type="dxa"/>
            <w:tcBorders>
              <w:top w:val="single" w:color="auto" w:sz="4" w:space="0"/>
              <w:left w:val="nil"/>
              <w:bottom w:val="single" w:color="auto" w:sz="4" w:space="0"/>
              <w:right w:val="single" w:color="auto" w:sz="4" w:space="0"/>
            </w:tcBorders>
            <w:vAlign w:val="center"/>
          </w:tcPr>
          <w:p w14:paraId="47A4DC67">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1AA831E3">
            <w:pPr>
              <w:pStyle w:val="445"/>
            </w:pPr>
            <w:r>
              <w:t>30</w:t>
            </w:r>
          </w:p>
        </w:tc>
        <w:tc>
          <w:tcPr>
            <w:tcW w:w="1559" w:type="dxa"/>
            <w:tcBorders>
              <w:top w:val="single" w:color="auto" w:sz="4" w:space="0"/>
              <w:left w:val="nil"/>
              <w:bottom w:val="single" w:color="auto" w:sz="4" w:space="0"/>
              <w:right w:val="single" w:color="auto" w:sz="4" w:space="0"/>
            </w:tcBorders>
            <w:vAlign w:val="center"/>
          </w:tcPr>
          <w:p w14:paraId="418E9C78">
            <w:pPr>
              <w:pStyle w:val="445"/>
            </w:pPr>
            <w:r>
              <w:t>30</w:t>
            </w:r>
          </w:p>
        </w:tc>
        <w:tc>
          <w:tcPr>
            <w:tcW w:w="1491" w:type="dxa"/>
            <w:tcBorders>
              <w:top w:val="single" w:color="auto" w:sz="4" w:space="0"/>
              <w:left w:val="nil"/>
              <w:bottom w:val="single" w:color="auto" w:sz="4" w:space="0"/>
              <w:right w:val="single" w:color="auto" w:sz="4" w:space="0"/>
            </w:tcBorders>
            <w:vAlign w:val="center"/>
          </w:tcPr>
          <w:p w14:paraId="17157A9E">
            <w:pPr>
              <w:pStyle w:val="445"/>
            </w:pPr>
            <w:r>
              <w:t>25</w:t>
            </w:r>
          </w:p>
        </w:tc>
        <w:tc>
          <w:tcPr>
            <w:tcW w:w="1289" w:type="dxa"/>
            <w:tcBorders>
              <w:top w:val="single" w:color="auto" w:sz="4" w:space="0"/>
              <w:left w:val="nil"/>
              <w:bottom w:val="single" w:color="auto" w:sz="4" w:space="0"/>
              <w:right w:val="nil"/>
            </w:tcBorders>
            <w:vAlign w:val="center"/>
          </w:tcPr>
          <w:p w14:paraId="2E0DBCC4">
            <w:pPr>
              <w:pStyle w:val="445"/>
            </w:pPr>
            <w:r>
              <w:t>20</w:t>
            </w:r>
          </w:p>
        </w:tc>
      </w:tr>
      <w:tr w14:paraId="0891BB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4D13F851">
            <w:pPr>
              <w:pStyle w:val="445"/>
              <w:rPr>
                <w:szCs w:val="18"/>
              </w:rPr>
            </w:pPr>
          </w:p>
        </w:tc>
        <w:tc>
          <w:tcPr>
            <w:tcW w:w="0" w:type="auto"/>
            <w:vMerge w:val="continue"/>
            <w:tcBorders>
              <w:top w:val="nil"/>
              <w:left w:val="nil"/>
              <w:bottom w:val="single" w:color="auto" w:sz="4" w:space="0"/>
              <w:right w:val="single" w:color="auto" w:sz="4" w:space="0"/>
            </w:tcBorders>
            <w:vAlign w:val="center"/>
          </w:tcPr>
          <w:p w14:paraId="122A14BE">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736A8447">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58618E07">
            <w:pPr>
              <w:pStyle w:val="445"/>
            </w:pPr>
            <w:r>
              <w:t>40</w:t>
            </w:r>
          </w:p>
        </w:tc>
        <w:tc>
          <w:tcPr>
            <w:tcW w:w="1559" w:type="dxa"/>
            <w:tcBorders>
              <w:top w:val="single" w:color="auto" w:sz="4" w:space="0"/>
              <w:left w:val="nil"/>
              <w:bottom w:val="single" w:color="auto" w:sz="4" w:space="0"/>
              <w:right w:val="single" w:color="auto" w:sz="4" w:space="0"/>
            </w:tcBorders>
            <w:vAlign w:val="center"/>
          </w:tcPr>
          <w:p w14:paraId="319294A9">
            <w:pPr>
              <w:pStyle w:val="445"/>
            </w:pPr>
            <w:r>
              <w:t>40</w:t>
            </w:r>
          </w:p>
        </w:tc>
        <w:tc>
          <w:tcPr>
            <w:tcW w:w="1491" w:type="dxa"/>
            <w:tcBorders>
              <w:top w:val="single" w:color="auto" w:sz="4" w:space="0"/>
              <w:left w:val="nil"/>
              <w:bottom w:val="single" w:color="auto" w:sz="4" w:space="0"/>
              <w:right w:val="single" w:color="auto" w:sz="4" w:space="0"/>
            </w:tcBorders>
            <w:vAlign w:val="center"/>
          </w:tcPr>
          <w:p w14:paraId="5F5DE35F">
            <w:pPr>
              <w:pStyle w:val="445"/>
            </w:pPr>
            <w:r>
              <w:t>30</w:t>
            </w:r>
          </w:p>
        </w:tc>
        <w:tc>
          <w:tcPr>
            <w:tcW w:w="1289" w:type="dxa"/>
            <w:tcBorders>
              <w:top w:val="single" w:color="auto" w:sz="4" w:space="0"/>
              <w:left w:val="nil"/>
              <w:bottom w:val="single" w:color="auto" w:sz="4" w:space="0"/>
              <w:right w:val="nil"/>
            </w:tcBorders>
            <w:vAlign w:val="center"/>
          </w:tcPr>
          <w:p w14:paraId="2FE89465">
            <w:pPr>
              <w:pStyle w:val="445"/>
            </w:pPr>
            <w:r>
              <w:t>25</w:t>
            </w:r>
          </w:p>
        </w:tc>
      </w:tr>
      <w:tr w14:paraId="751E56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59C7DC42">
            <w:pPr>
              <w:pStyle w:val="445"/>
            </w:pPr>
            <w:r>
              <w:t>4</w:t>
            </w:r>
          </w:p>
        </w:tc>
        <w:tc>
          <w:tcPr>
            <w:tcW w:w="1276" w:type="dxa"/>
            <w:vMerge w:val="restart"/>
            <w:tcBorders>
              <w:top w:val="nil"/>
              <w:left w:val="nil"/>
              <w:bottom w:val="single" w:color="auto" w:sz="4" w:space="0"/>
              <w:right w:val="single" w:color="auto" w:sz="4" w:space="0"/>
            </w:tcBorders>
            <w:vAlign w:val="center"/>
          </w:tcPr>
          <w:p w14:paraId="6359C16B">
            <w:pPr>
              <w:pStyle w:val="445"/>
            </w:pPr>
            <w:r>
              <w:t>铅</w:t>
            </w:r>
          </w:p>
        </w:tc>
        <w:tc>
          <w:tcPr>
            <w:tcW w:w="1275" w:type="dxa"/>
            <w:tcBorders>
              <w:top w:val="single" w:color="auto" w:sz="4" w:space="0"/>
              <w:left w:val="nil"/>
              <w:bottom w:val="single" w:color="auto" w:sz="4" w:space="0"/>
              <w:right w:val="single" w:color="auto" w:sz="4" w:space="0"/>
            </w:tcBorders>
            <w:vAlign w:val="center"/>
          </w:tcPr>
          <w:p w14:paraId="055DFFDD">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022D7A89">
            <w:pPr>
              <w:pStyle w:val="445"/>
            </w:pPr>
            <w:r>
              <w:t>80</w:t>
            </w:r>
          </w:p>
        </w:tc>
        <w:tc>
          <w:tcPr>
            <w:tcW w:w="1559" w:type="dxa"/>
            <w:tcBorders>
              <w:top w:val="single" w:color="auto" w:sz="4" w:space="0"/>
              <w:left w:val="nil"/>
              <w:bottom w:val="single" w:color="auto" w:sz="4" w:space="0"/>
              <w:right w:val="single" w:color="auto" w:sz="4" w:space="0"/>
            </w:tcBorders>
            <w:vAlign w:val="center"/>
          </w:tcPr>
          <w:p w14:paraId="25C2848E">
            <w:pPr>
              <w:pStyle w:val="445"/>
            </w:pPr>
            <w:r>
              <w:t>100</w:t>
            </w:r>
          </w:p>
        </w:tc>
        <w:tc>
          <w:tcPr>
            <w:tcW w:w="1491" w:type="dxa"/>
            <w:tcBorders>
              <w:top w:val="single" w:color="auto" w:sz="4" w:space="0"/>
              <w:left w:val="nil"/>
              <w:bottom w:val="single" w:color="auto" w:sz="4" w:space="0"/>
              <w:right w:val="single" w:color="auto" w:sz="4" w:space="0"/>
            </w:tcBorders>
            <w:vAlign w:val="center"/>
          </w:tcPr>
          <w:p w14:paraId="32640A90">
            <w:pPr>
              <w:pStyle w:val="445"/>
            </w:pPr>
            <w:r>
              <w:t>140</w:t>
            </w:r>
          </w:p>
        </w:tc>
        <w:tc>
          <w:tcPr>
            <w:tcW w:w="1289" w:type="dxa"/>
            <w:tcBorders>
              <w:top w:val="single" w:color="auto" w:sz="4" w:space="0"/>
              <w:left w:val="nil"/>
              <w:bottom w:val="single" w:color="auto" w:sz="4" w:space="0"/>
              <w:right w:val="nil"/>
            </w:tcBorders>
            <w:vAlign w:val="center"/>
          </w:tcPr>
          <w:p w14:paraId="42F61206">
            <w:pPr>
              <w:pStyle w:val="445"/>
            </w:pPr>
            <w:r>
              <w:t>240</w:t>
            </w:r>
          </w:p>
        </w:tc>
      </w:tr>
      <w:tr w14:paraId="6E68D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27ED5DC3">
            <w:pPr>
              <w:pStyle w:val="445"/>
              <w:rPr>
                <w:szCs w:val="18"/>
              </w:rPr>
            </w:pPr>
          </w:p>
        </w:tc>
        <w:tc>
          <w:tcPr>
            <w:tcW w:w="0" w:type="auto"/>
            <w:vMerge w:val="continue"/>
            <w:tcBorders>
              <w:top w:val="nil"/>
              <w:left w:val="nil"/>
              <w:bottom w:val="single" w:color="auto" w:sz="4" w:space="0"/>
              <w:right w:val="single" w:color="auto" w:sz="4" w:space="0"/>
            </w:tcBorders>
            <w:vAlign w:val="center"/>
          </w:tcPr>
          <w:p w14:paraId="5832D994">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31D1F781">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5F10E98D">
            <w:pPr>
              <w:pStyle w:val="445"/>
            </w:pPr>
            <w:r>
              <w:t>70</w:t>
            </w:r>
          </w:p>
        </w:tc>
        <w:tc>
          <w:tcPr>
            <w:tcW w:w="1559" w:type="dxa"/>
            <w:tcBorders>
              <w:top w:val="single" w:color="auto" w:sz="4" w:space="0"/>
              <w:left w:val="nil"/>
              <w:bottom w:val="single" w:color="auto" w:sz="4" w:space="0"/>
              <w:right w:val="single" w:color="auto" w:sz="4" w:space="0"/>
            </w:tcBorders>
            <w:vAlign w:val="center"/>
          </w:tcPr>
          <w:p w14:paraId="26DCB053">
            <w:pPr>
              <w:pStyle w:val="445"/>
            </w:pPr>
            <w:r>
              <w:t>90</w:t>
            </w:r>
          </w:p>
        </w:tc>
        <w:tc>
          <w:tcPr>
            <w:tcW w:w="1491" w:type="dxa"/>
            <w:tcBorders>
              <w:top w:val="single" w:color="auto" w:sz="4" w:space="0"/>
              <w:left w:val="nil"/>
              <w:bottom w:val="single" w:color="auto" w:sz="4" w:space="0"/>
              <w:right w:val="single" w:color="auto" w:sz="4" w:space="0"/>
            </w:tcBorders>
            <w:vAlign w:val="center"/>
          </w:tcPr>
          <w:p w14:paraId="7B651B6B">
            <w:pPr>
              <w:pStyle w:val="445"/>
            </w:pPr>
            <w:r>
              <w:t>120</w:t>
            </w:r>
          </w:p>
        </w:tc>
        <w:tc>
          <w:tcPr>
            <w:tcW w:w="1289" w:type="dxa"/>
            <w:tcBorders>
              <w:top w:val="single" w:color="auto" w:sz="4" w:space="0"/>
              <w:left w:val="nil"/>
              <w:bottom w:val="single" w:color="auto" w:sz="4" w:space="0"/>
              <w:right w:val="nil"/>
            </w:tcBorders>
            <w:vAlign w:val="center"/>
          </w:tcPr>
          <w:p w14:paraId="70D9CBB5">
            <w:pPr>
              <w:pStyle w:val="445"/>
            </w:pPr>
            <w:r>
              <w:t>170</w:t>
            </w:r>
          </w:p>
        </w:tc>
      </w:tr>
      <w:tr w14:paraId="1D9A8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4735BAA6">
            <w:pPr>
              <w:pStyle w:val="445"/>
            </w:pPr>
            <w:r>
              <w:t>5</w:t>
            </w:r>
          </w:p>
        </w:tc>
        <w:tc>
          <w:tcPr>
            <w:tcW w:w="1276" w:type="dxa"/>
            <w:vMerge w:val="restart"/>
            <w:tcBorders>
              <w:top w:val="nil"/>
              <w:left w:val="nil"/>
              <w:bottom w:val="single" w:color="auto" w:sz="4" w:space="0"/>
              <w:right w:val="single" w:color="auto" w:sz="4" w:space="0"/>
            </w:tcBorders>
            <w:vAlign w:val="center"/>
          </w:tcPr>
          <w:p w14:paraId="73464E3D">
            <w:pPr>
              <w:pStyle w:val="445"/>
            </w:pPr>
            <w:r>
              <w:t>铬</w:t>
            </w:r>
          </w:p>
        </w:tc>
        <w:tc>
          <w:tcPr>
            <w:tcW w:w="1275" w:type="dxa"/>
            <w:tcBorders>
              <w:top w:val="single" w:color="auto" w:sz="4" w:space="0"/>
              <w:left w:val="nil"/>
              <w:bottom w:val="single" w:color="auto" w:sz="4" w:space="0"/>
              <w:right w:val="single" w:color="auto" w:sz="4" w:space="0"/>
            </w:tcBorders>
            <w:vAlign w:val="center"/>
          </w:tcPr>
          <w:p w14:paraId="6B34757D">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568C3C03">
            <w:pPr>
              <w:pStyle w:val="445"/>
            </w:pPr>
            <w:r>
              <w:t>250</w:t>
            </w:r>
          </w:p>
        </w:tc>
        <w:tc>
          <w:tcPr>
            <w:tcW w:w="1559" w:type="dxa"/>
            <w:tcBorders>
              <w:top w:val="single" w:color="auto" w:sz="4" w:space="0"/>
              <w:left w:val="nil"/>
              <w:bottom w:val="single" w:color="auto" w:sz="4" w:space="0"/>
              <w:right w:val="single" w:color="auto" w:sz="4" w:space="0"/>
            </w:tcBorders>
            <w:vAlign w:val="center"/>
          </w:tcPr>
          <w:p w14:paraId="5CE725D1">
            <w:pPr>
              <w:pStyle w:val="445"/>
            </w:pPr>
            <w:r>
              <w:t>250</w:t>
            </w:r>
          </w:p>
        </w:tc>
        <w:tc>
          <w:tcPr>
            <w:tcW w:w="1491" w:type="dxa"/>
            <w:tcBorders>
              <w:top w:val="single" w:color="auto" w:sz="4" w:space="0"/>
              <w:left w:val="nil"/>
              <w:bottom w:val="single" w:color="auto" w:sz="4" w:space="0"/>
              <w:right w:val="single" w:color="auto" w:sz="4" w:space="0"/>
            </w:tcBorders>
            <w:vAlign w:val="center"/>
          </w:tcPr>
          <w:p w14:paraId="2AA29DE4">
            <w:pPr>
              <w:pStyle w:val="445"/>
            </w:pPr>
            <w:r>
              <w:t>300</w:t>
            </w:r>
          </w:p>
        </w:tc>
        <w:tc>
          <w:tcPr>
            <w:tcW w:w="1289" w:type="dxa"/>
            <w:tcBorders>
              <w:top w:val="single" w:color="auto" w:sz="4" w:space="0"/>
              <w:left w:val="nil"/>
              <w:bottom w:val="single" w:color="auto" w:sz="4" w:space="0"/>
              <w:right w:val="nil"/>
            </w:tcBorders>
            <w:vAlign w:val="center"/>
          </w:tcPr>
          <w:p w14:paraId="3B8FFAF0">
            <w:pPr>
              <w:pStyle w:val="445"/>
            </w:pPr>
            <w:r>
              <w:t>350</w:t>
            </w:r>
          </w:p>
        </w:tc>
      </w:tr>
      <w:tr w14:paraId="3085D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4CD81E78">
            <w:pPr>
              <w:pStyle w:val="445"/>
              <w:rPr>
                <w:szCs w:val="18"/>
              </w:rPr>
            </w:pPr>
          </w:p>
        </w:tc>
        <w:tc>
          <w:tcPr>
            <w:tcW w:w="0" w:type="auto"/>
            <w:vMerge w:val="continue"/>
            <w:tcBorders>
              <w:top w:val="nil"/>
              <w:left w:val="nil"/>
              <w:bottom w:val="single" w:color="auto" w:sz="4" w:space="0"/>
              <w:right w:val="single" w:color="auto" w:sz="4" w:space="0"/>
            </w:tcBorders>
            <w:vAlign w:val="center"/>
          </w:tcPr>
          <w:p w14:paraId="1A15C540">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503CF20E">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4D1ED9B4">
            <w:pPr>
              <w:pStyle w:val="445"/>
            </w:pPr>
            <w:r>
              <w:t>150</w:t>
            </w:r>
          </w:p>
        </w:tc>
        <w:tc>
          <w:tcPr>
            <w:tcW w:w="1559" w:type="dxa"/>
            <w:tcBorders>
              <w:top w:val="single" w:color="auto" w:sz="4" w:space="0"/>
              <w:left w:val="nil"/>
              <w:bottom w:val="single" w:color="auto" w:sz="4" w:space="0"/>
              <w:right w:val="single" w:color="auto" w:sz="4" w:space="0"/>
            </w:tcBorders>
            <w:vAlign w:val="center"/>
          </w:tcPr>
          <w:p w14:paraId="3392A755">
            <w:pPr>
              <w:pStyle w:val="445"/>
            </w:pPr>
            <w:r>
              <w:t>150</w:t>
            </w:r>
          </w:p>
        </w:tc>
        <w:tc>
          <w:tcPr>
            <w:tcW w:w="1491" w:type="dxa"/>
            <w:tcBorders>
              <w:top w:val="single" w:color="auto" w:sz="4" w:space="0"/>
              <w:left w:val="nil"/>
              <w:bottom w:val="single" w:color="auto" w:sz="4" w:space="0"/>
              <w:right w:val="single" w:color="auto" w:sz="4" w:space="0"/>
            </w:tcBorders>
            <w:vAlign w:val="center"/>
          </w:tcPr>
          <w:p w14:paraId="1C2A32A9">
            <w:pPr>
              <w:pStyle w:val="445"/>
            </w:pPr>
            <w:r>
              <w:t>200</w:t>
            </w:r>
          </w:p>
        </w:tc>
        <w:tc>
          <w:tcPr>
            <w:tcW w:w="1289" w:type="dxa"/>
            <w:tcBorders>
              <w:top w:val="single" w:color="auto" w:sz="4" w:space="0"/>
              <w:left w:val="nil"/>
              <w:bottom w:val="single" w:color="auto" w:sz="4" w:space="0"/>
              <w:right w:val="nil"/>
            </w:tcBorders>
            <w:vAlign w:val="center"/>
          </w:tcPr>
          <w:p w14:paraId="19E63B83">
            <w:pPr>
              <w:pStyle w:val="445"/>
            </w:pPr>
            <w:r>
              <w:t>250</w:t>
            </w:r>
          </w:p>
        </w:tc>
      </w:tr>
      <w:tr w14:paraId="4C4905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op w:val="nil"/>
              <w:left w:val="nil"/>
              <w:bottom w:val="single" w:color="auto" w:sz="4" w:space="0"/>
              <w:right w:val="single" w:color="auto" w:sz="4" w:space="0"/>
            </w:tcBorders>
            <w:vAlign w:val="center"/>
          </w:tcPr>
          <w:p w14:paraId="1A154B71">
            <w:pPr>
              <w:pStyle w:val="445"/>
            </w:pPr>
            <w:r>
              <w:t>6</w:t>
            </w:r>
          </w:p>
        </w:tc>
        <w:tc>
          <w:tcPr>
            <w:tcW w:w="1276" w:type="dxa"/>
            <w:vMerge w:val="restart"/>
            <w:tcBorders>
              <w:top w:val="nil"/>
              <w:left w:val="nil"/>
              <w:bottom w:val="single" w:color="auto" w:sz="4" w:space="0"/>
              <w:right w:val="single" w:color="auto" w:sz="4" w:space="0"/>
            </w:tcBorders>
            <w:vAlign w:val="center"/>
          </w:tcPr>
          <w:p w14:paraId="3DFBE4C0">
            <w:pPr>
              <w:pStyle w:val="445"/>
            </w:pPr>
            <w:r>
              <w:t>铜</w:t>
            </w:r>
          </w:p>
        </w:tc>
        <w:tc>
          <w:tcPr>
            <w:tcW w:w="1275" w:type="dxa"/>
            <w:tcBorders>
              <w:top w:val="single" w:color="auto" w:sz="4" w:space="0"/>
              <w:left w:val="nil"/>
              <w:bottom w:val="single" w:color="auto" w:sz="4" w:space="0"/>
              <w:right w:val="single" w:color="auto" w:sz="4" w:space="0"/>
            </w:tcBorders>
            <w:vAlign w:val="center"/>
          </w:tcPr>
          <w:p w14:paraId="03836428">
            <w:pPr>
              <w:pStyle w:val="445"/>
            </w:pPr>
            <w:r>
              <w:t>水田</w:t>
            </w:r>
          </w:p>
        </w:tc>
        <w:tc>
          <w:tcPr>
            <w:tcW w:w="1276" w:type="dxa"/>
            <w:tcBorders>
              <w:top w:val="single" w:color="auto" w:sz="4" w:space="0"/>
              <w:left w:val="nil"/>
              <w:bottom w:val="single" w:color="auto" w:sz="4" w:space="0"/>
              <w:right w:val="single" w:color="auto" w:sz="4" w:space="0"/>
            </w:tcBorders>
            <w:vAlign w:val="center"/>
          </w:tcPr>
          <w:p w14:paraId="62A6142B">
            <w:pPr>
              <w:pStyle w:val="445"/>
            </w:pPr>
            <w:r>
              <w:t>150</w:t>
            </w:r>
          </w:p>
        </w:tc>
        <w:tc>
          <w:tcPr>
            <w:tcW w:w="1559" w:type="dxa"/>
            <w:tcBorders>
              <w:top w:val="single" w:color="auto" w:sz="4" w:space="0"/>
              <w:left w:val="nil"/>
              <w:bottom w:val="single" w:color="auto" w:sz="4" w:space="0"/>
              <w:right w:val="single" w:color="auto" w:sz="4" w:space="0"/>
            </w:tcBorders>
            <w:vAlign w:val="center"/>
          </w:tcPr>
          <w:p w14:paraId="186093F5">
            <w:pPr>
              <w:pStyle w:val="445"/>
            </w:pPr>
            <w:r>
              <w:t>150</w:t>
            </w:r>
          </w:p>
        </w:tc>
        <w:tc>
          <w:tcPr>
            <w:tcW w:w="1491" w:type="dxa"/>
            <w:tcBorders>
              <w:top w:val="single" w:color="auto" w:sz="4" w:space="0"/>
              <w:left w:val="nil"/>
              <w:bottom w:val="single" w:color="auto" w:sz="4" w:space="0"/>
              <w:right w:val="single" w:color="auto" w:sz="4" w:space="0"/>
            </w:tcBorders>
            <w:vAlign w:val="center"/>
          </w:tcPr>
          <w:p w14:paraId="4C18EBC7">
            <w:pPr>
              <w:pStyle w:val="445"/>
            </w:pPr>
            <w:r>
              <w:t>200</w:t>
            </w:r>
          </w:p>
        </w:tc>
        <w:tc>
          <w:tcPr>
            <w:tcW w:w="1289" w:type="dxa"/>
            <w:tcBorders>
              <w:top w:val="single" w:color="auto" w:sz="4" w:space="0"/>
              <w:left w:val="nil"/>
              <w:bottom w:val="single" w:color="auto" w:sz="4" w:space="0"/>
              <w:right w:val="nil"/>
            </w:tcBorders>
            <w:vAlign w:val="center"/>
          </w:tcPr>
          <w:p w14:paraId="731A1FF6">
            <w:pPr>
              <w:pStyle w:val="445"/>
            </w:pPr>
            <w:r>
              <w:t>200</w:t>
            </w:r>
          </w:p>
        </w:tc>
      </w:tr>
      <w:tr w14:paraId="2F180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nil"/>
              <w:bottom w:val="single" w:color="auto" w:sz="4" w:space="0"/>
              <w:right w:val="single" w:color="auto" w:sz="4" w:space="0"/>
            </w:tcBorders>
            <w:vAlign w:val="center"/>
          </w:tcPr>
          <w:p w14:paraId="2854622D">
            <w:pPr>
              <w:pStyle w:val="445"/>
              <w:rPr>
                <w:szCs w:val="18"/>
              </w:rPr>
            </w:pPr>
          </w:p>
        </w:tc>
        <w:tc>
          <w:tcPr>
            <w:tcW w:w="0" w:type="auto"/>
            <w:vMerge w:val="continue"/>
            <w:tcBorders>
              <w:top w:val="nil"/>
              <w:left w:val="nil"/>
              <w:bottom w:val="single" w:color="auto" w:sz="4" w:space="0"/>
              <w:right w:val="single" w:color="auto" w:sz="4" w:space="0"/>
            </w:tcBorders>
            <w:vAlign w:val="center"/>
          </w:tcPr>
          <w:p w14:paraId="48471BA2">
            <w:pPr>
              <w:pStyle w:val="445"/>
              <w:rPr>
                <w:szCs w:val="18"/>
              </w:rPr>
            </w:pPr>
          </w:p>
        </w:tc>
        <w:tc>
          <w:tcPr>
            <w:tcW w:w="1275" w:type="dxa"/>
            <w:tcBorders>
              <w:top w:val="single" w:color="auto" w:sz="4" w:space="0"/>
              <w:left w:val="nil"/>
              <w:bottom w:val="single" w:color="auto" w:sz="4" w:space="0"/>
              <w:right w:val="single" w:color="auto" w:sz="4" w:space="0"/>
            </w:tcBorders>
            <w:vAlign w:val="center"/>
          </w:tcPr>
          <w:p w14:paraId="6AFBF409">
            <w:pPr>
              <w:pStyle w:val="445"/>
            </w:pPr>
            <w:r>
              <w:t>其他</w:t>
            </w:r>
          </w:p>
        </w:tc>
        <w:tc>
          <w:tcPr>
            <w:tcW w:w="1276" w:type="dxa"/>
            <w:tcBorders>
              <w:top w:val="single" w:color="auto" w:sz="4" w:space="0"/>
              <w:left w:val="nil"/>
              <w:bottom w:val="single" w:color="auto" w:sz="4" w:space="0"/>
              <w:right w:val="single" w:color="auto" w:sz="4" w:space="0"/>
            </w:tcBorders>
            <w:vAlign w:val="center"/>
          </w:tcPr>
          <w:p w14:paraId="5ECDE378">
            <w:pPr>
              <w:pStyle w:val="445"/>
            </w:pPr>
            <w:r>
              <w:t>50</w:t>
            </w:r>
          </w:p>
        </w:tc>
        <w:tc>
          <w:tcPr>
            <w:tcW w:w="1559" w:type="dxa"/>
            <w:tcBorders>
              <w:top w:val="single" w:color="auto" w:sz="4" w:space="0"/>
              <w:left w:val="nil"/>
              <w:bottom w:val="single" w:color="auto" w:sz="4" w:space="0"/>
              <w:right w:val="single" w:color="auto" w:sz="4" w:space="0"/>
            </w:tcBorders>
            <w:vAlign w:val="center"/>
          </w:tcPr>
          <w:p w14:paraId="1B9C6982">
            <w:pPr>
              <w:pStyle w:val="445"/>
            </w:pPr>
            <w:r>
              <w:t>50</w:t>
            </w:r>
          </w:p>
        </w:tc>
        <w:tc>
          <w:tcPr>
            <w:tcW w:w="1491" w:type="dxa"/>
            <w:tcBorders>
              <w:top w:val="single" w:color="auto" w:sz="4" w:space="0"/>
              <w:left w:val="nil"/>
              <w:bottom w:val="single" w:color="auto" w:sz="4" w:space="0"/>
              <w:right w:val="single" w:color="auto" w:sz="4" w:space="0"/>
            </w:tcBorders>
            <w:vAlign w:val="center"/>
          </w:tcPr>
          <w:p w14:paraId="5A885DD1">
            <w:pPr>
              <w:pStyle w:val="445"/>
            </w:pPr>
            <w:r>
              <w:t>100</w:t>
            </w:r>
          </w:p>
        </w:tc>
        <w:tc>
          <w:tcPr>
            <w:tcW w:w="1289" w:type="dxa"/>
            <w:tcBorders>
              <w:top w:val="single" w:color="auto" w:sz="4" w:space="0"/>
              <w:left w:val="nil"/>
              <w:bottom w:val="single" w:color="auto" w:sz="4" w:space="0"/>
              <w:right w:val="nil"/>
            </w:tcBorders>
            <w:vAlign w:val="center"/>
          </w:tcPr>
          <w:p w14:paraId="3C84009B">
            <w:pPr>
              <w:pStyle w:val="445"/>
            </w:pPr>
            <w:r>
              <w:t>100</w:t>
            </w:r>
          </w:p>
        </w:tc>
      </w:tr>
      <w:tr w14:paraId="3106E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tcBorders>
              <w:top w:val="single" w:color="auto" w:sz="4" w:space="0"/>
              <w:left w:val="nil"/>
              <w:bottom w:val="single" w:color="auto" w:sz="4" w:space="0"/>
              <w:right w:val="single" w:color="auto" w:sz="4" w:space="0"/>
            </w:tcBorders>
            <w:vAlign w:val="center"/>
          </w:tcPr>
          <w:p w14:paraId="46D5C97D">
            <w:pPr>
              <w:pStyle w:val="445"/>
            </w:pPr>
            <w:r>
              <w:t>7</w:t>
            </w:r>
          </w:p>
        </w:tc>
        <w:tc>
          <w:tcPr>
            <w:tcW w:w="2551" w:type="dxa"/>
            <w:gridSpan w:val="2"/>
            <w:tcBorders>
              <w:top w:val="single" w:color="auto" w:sz="4" w:space="0"/>
              <w:left w:val="nil"/>
              <w:bottom w:val="single" w:color="auto" w:sz="4" w:space="0"/>
              <w:right w:val="single" w:color="auto" w:sz="4" w:space="0"/>
            </w:tcBorders>
            <w:vAlign w:val="center"/>
          </w:tcPr>
          <w:p w14:paraId="129FA378">
            <w:pPr>
              <w:pStyle w:val="445"/>
            </w:pPr>
            <w:r>
              <w:t>镍</w:t>
            </w:r>
          </w:p>
        </w:tc>
        <w:tc>
          <w:tcPr>
            <w:tcW w:w="1276" w:type="dxa"/>
            <w:tcBorders>
              <w:top w:val="single" w:color="auto" w:sz="4" w:space="0"/>
              <w:left w:val="nil"/>
              <w:bottom w:val="single" w:color="auto" w:sz="4" w:space="0"/>
              <w:right w:val="single" w:color="auto" w:sz="4" w:space="0"/>
            </w:tcBorders>
            <w:vAlign w:val="center"/>
          </w:tcPr>
          <w:p w14:paraId="114EEB05">
            <w:pPr>
              <w:pStyle w:val="445"/>
            </w:pPr>
            <w:r>
              <w:t>60</w:t>
            </w:r>
          </w:p>
        </w:tc>
        <w:tc>
          <w:tcPr>
            <w:tcW w:w="1559" w:type="dxa"/>
            <w:tcBorders>
              <w:top w:val="single" w:color="auto" w:sz="4" w:space="0"/>
              <w:left w:val="nil"/>
              <w:bottom w:val="single" w:color="auto" w:sz="4" w:space="0"/>
              <w:right w:val="single" w:color="auto" w:sz="4" w:space="0"/>
            </w:tcBorders>
            <w:vAlign w:val="center"/>
          </w:tcPr>
          <w:p w14:paraId="1B9AC9AE">
            <w:pPr>
              <w:pStyle w:val="445"/>
            </w:pPr>
            <w:r>
              <w:t>70</w:t>
            </w:r>
          </w:p>
        </w:tc>
        <w:tc>
          <w:tcPr>
            <w:tcW w:w="1491" w:type="dxa"/>
            <w:tcBorders>
              <w:top w:val="single" w:color="auto" w:sz="4" w:space="0"/>
              <w:left w:val="nil"/>
              <w:bottom w:val="single" w:color="auto" w:sz="4" w:space="0"/>
              <w:right w:val="single" w:color="auto" w:sz="4" w:space="0"/>
            </w:tcBorders>
            <w:vAlign w:val="center"/>
          </w:tcPr>
          <w:p w14:paraId="1C37C7CB">
            <w:pPr>
              <w:pStyle w:val="445"/>
            </w:pPr>
            <w:r>
              <w:t>100</w:t>
            </w:r>
          </w:p>
        </w:tc>
        <w:tc>
          <w:tcPr>
            <w:tcW w:w="1289" w:type="dxa"/>
            <w:tcBorders>
              <w:top w:val="single" w:color="auto" w:sz="4" w:space="0"/>
              <w:left w:val="nil"/>
              <w:bottom w:val="single" w:color="auto" w:sz="4" w:space="0"/>
              <w:right w:val="nil"/>
            </w:tcBorders>
            <w:vAlign w:val="center"/>
          </w:tcPr>
          <w:p w14:paraId="22F87756">
            <w:pPr>
              <w:pStyle w:val="445"/>
            </w:pPr>
            <w:r>
              <w:t>190</w:t>
            </w:r>
          </w:p>
        </w:tc>
      </w:tr>
      <w:tr w14:paraId="08D89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1" w:type="dxa"/>
            <w:tcBorders>
              <w:top w:val="single" w:color="auto" w:sz="4" w:space="0"/>
              <w:left w:val="nil"/>
              <w:bottom w:val="single" w:color="auto" w:sz="12" w:space="0"/>
              <w:right w:val="single" w:color="auto" w:sz="4" w:space="0"/>
            </w:tcBorders>
            <w:vAlign w:val="center"/>
          </w:tcPr>
          <w:p w14:paraId="70F56B7E">
            <w:pPr>
              <w:pStyle w:val="445"/>
            </w:pPr>
            <w:r>
              <w:t>8</w:t>
            </w:r>
          </w:p>
        </w:tc>
        <w:tc>
          <w:tcPr>
            <w:tcW w:w="2551" w:type="dxa"/>
            <w:gridSpan w:val="2"/>
            <w:tcBorders>
              <w:top w:val="single" w:color="auto" w:sz="4" w:space="0"/>
              <w:left w:val="nil"/>
              <w:bottom w:val="single" w:color="auto" w:sz="12" w:space="0"/>
              <w:right w:val="single" w:color="auto" w:sz="4" w:space="0"/>
            </w:tcBorders>
            <w:vAlign w:val="center"/>
          </w:tcPr>
          <w:p w14:paraId="1229AA33">
            <w:pPr>
              <w:pStyle w:val="445"/>
            </w:pPr>
            <w:r>
              <w:t>锌</w:t>
            </w:r>
          </w:p>
        </w:tc>
        <w:tc>
          <w:tcPr>
            <w:tcW w:w="1276" w:type="dxa"/>
            <w:tcBorders>
              <w:top w:val="single" w:color="auto" w:sz="4" w:space="0"/>
              <w:left w:val="nil"/>
              <w:bottom w:val="single" w:color="auto" w:sz="12" w:space="0"/>
              <w:right w:val="single" w:color="auto" w:sz="4" w:space="0"/>
            </w:tcBorders>
            <w:vAlign w:val="center"/>
          </w:tcPr>
          <w:p w14:paraId="63732FE1">
            <w:pPr>
              <w:pStyle w:val="445"/>
            </w:pPr>
            <w:r>
              <w:t>200</w:t>
            </w:r>
          </w:p>
        </w:tc>
        <w:tc>
          <w:tcPr>
            <w:tcW w:w="1559" w:type="dxa"/>
            <w:tcBorders>
              <w:top w:val="single" w:color="auto" w:sz="4" w:space="0"/>
              <w:left w:val="nil"/>
              <w:bottom w:val="single" w:color="auto" w:sz="12" w:space="0"/>
              <w:right w:val="single" w:color="auto" w:sz="4" w:space="0"/>
            </w:tcBorders>
            <w:vAlign w:val="center"/>
          </w:tcPr>
          <w:p w14:paraId="5500C445">
            <w:pPr>
              <w:pStyle w:val="445"/>
            </w:pPr>
            <w:r>
              <w:t>200</w:t>
            </w:r>
          </w:p>
        </w:tc>
        <w:tc>
          <w:tcPr>
            <w:tcW w:w="1491" w:type="dxa"/>
            <w:tcBorders>
              <w:top w:val="single" w:color="auto" w:sz="4" w:space="0"/>
              <w:left w:val="nil"/>
              <w:bottom w:val="single" w:color="auto" w:sz="12" w:space="0"/>
              <w:right w:val="single" w:color="auto" w:sz="4" w:space="0"/>
            </w:tcBorders>
            <w:vAlign w:val="center"/>
          </w:tcPr>
          <w:p w14:paraId="19767CBC">
            <w:pPr>
              <w:pStyle w:val="445"/>
            </w:pPr>
            <w:r>
              <w:t>250</w:t>
            </w:r>
          </w:p>
        </w:tc>
        <w:tc>
          <w:tcPr>
            <w:tcW w:w="1289" w:type="dxa"/>
            <w:tcBorders>
              <w:top w:val="single" w:color="auto" w:sz="4" w:space="0"/>
              <w:left w:val="nil"/>
              <w:bottom w:val="single" w:color="auto" w:sz="12" w:space="0"/>
              <w:right w:val="nil"/>
            </w:tcBorders>
            <w:vAlign w:val="center"/>
          </w:tcPr>
          <w:p w14:paraId="719C00D3">
            <w:pPr>
              <w:pStyle w:val="445"/>
            </w:pPr>
            <w:r>
              <w:t>300</w:t>
            </w:r>
          </w:p>
        </w:tc>
      </w:tr>
    </w:tbl>
    <w:p w14:paraId="785614AF">
      <w:pPr>
        <w:pStyle w:val="349"/>
        <w:rPr>
          <w:bCs/>
          <w:color w:val="000000" w:themeColor="text1"/>
          <w:szCs w:val="24"/>
          <w14:textFill>
            <w14:solidFill>
              <w14:schemeClr w14:val="tx1"/>
            </w14:solidFill>
          </w14:textFill>
        </w:rPr>
      </w:pPr>
      <w:r>
        <w:t>2.2.3.6</w:t>
      </w:r>
      <w:r>
        <w:rPr>
          <w:rFonts w:hint="eastAsia"/>
          <w:bCs/>
          <w:color w:val="000000" w:themeColor="text1"/>
          <w:szCs w:val="24"/>
          <w14:textFill>
            <w14:solidFill>
              <w14:schemeClr w14:val="tx1"/>
            </w14:solidFill>
          </w14:textFill>
        </w:rPr>
        <w:t>固体</w:t>
      </w:r>
      <w:r>
        <w:rPr>
          <w:bCs/>
          <w:color w:val="000000" w:themeColor="text1"/>
          <w:szCs w:val="24"/>
          <w14:textFill>
            <w14:solidFill>
              <w14:schemeClr w14:val="tx1"/>
            </w14:solidFill>
          </w14:textFill>
        </w:rPr>
        <w:t>废</w:t>
      </w:r>
      <w:r>
        <w:rPr>
          <w:rFonts w:hint="eastAsia"/>
          <w:bCs/>
          <w:color w:val="000000" w:themeColor="text1"/>
          <w:szCs w:val="24"/>
          <w14:textFill>
            <w14:solidFill>
              <w14:schemeClr w14:val="tx1"/>
            </w14:solidFill>
          </w14:textFill>
        </w:rPr>
        <w:t>物控制标准</w:t>
      </w:r>
    </w:p>
    <w:p w14:paraId="58E646BE">
      <w:pPr>
        <w:ind w:firstLine="480"/>
      </w:pPr>
      <w:r>
        <w:rPr>
          <w:rFonts w:hint="eastAsia"/>
        </w:rPr>
        <w:t>扩建</w:t>
      </w:r>
      <w:r>
        <w:rPr>
          <w:rFonts w:ascii="宋体" w:hAnsi="宋体"/>
        </w:rPr>
        <w:t>项目一般工业固体废物和危险固废的暂存及污染控制分别按</w:t>
      </w:r>
      <w:r>
        <w:rPr>
          <w:rFonts w:hint="eastAsia" w:ascii="宋体" w:hAnsi="宋体"/>
        </w:rPr>
        <w:t>《一般工业固体废物贮存和填埋污染控制标准》（</w:t>
      </w:r>
      <w:r>
        <w:rPr>
          <w:rFonts w:hint="eastAsia"/>
        </w:rPr>
        <w:t>G</w:t>
      </w:r>
      <w:r>
        <w:t>B18599-2020</w:t>
      </w:r>
      <w:r>
        <w:rPr>
          <w:rFonts w:hint="eastAsia" w:ascii="宋体" w:hAnsi="宋体"/>
        </w:rPr>
        <w:t>）、《危险废物贮存污染控制标准》（</w:t>
      </w:r>
      <w:r>
        <w:rPr>
          <w:rFonts w:hint="eastAsia"/>
        </w:rPr>
        <w:t>G</w:t>
      </w:r>
      <w:r>
        <w:t>B18597-2001</w:t>
      </w:r>
      <w:r>
        <w:rPr>
          <w:rFonts w:hint="eastAsia" w:ascii="宋体" w:hAnsi="宋体"/>
        </w:rPr>
        <w:t>）及修改单进行暂存、控制。</w:t>
      </w:r>
    </w:p>
    <w:p w14:paraId="487F40FD">
      <w:pPr>
        <w:pStyle w:val="4065"/>
      </w:pPr>
      <w:bookmarkStart w:id="40" w:name="_Toc108662554"/>
      <w:r>
        <w:rPr>
          <w:rFonts w:hint="eastAsia"/>
        </w:rPr>
        <w:t>2</w:t>
      </w:r>
      <w:r>
        <w:t>.3评价</w:t>
      </w:r>
      <w:r>
        <w:rPr>
          <w:rFonts w:hint="eastAsia"/>
        </w:rPr>
        <w:t>工作等级</w:t>
      </w:r>
      <w:r>
        <w:t>和评价重点</w:t>
      </w:r>
      <w:bookmarkEnd w:id="40"/>
    </w:p>
    <w:p w14:paraId="3D655597">
      <w:pPr>
        <w:spacing w:before="240" w:after="120"/>
        <w:ind w:firstLine="0" w:firstLineChars="0"/>
        <w:jc w:val="left"/>
        <w:outlineLvl w:val="2"/>
        <w:rPr>
          <w:rFonts w:eastAsia="黑体"/>
          <w:sz w:val="28"/>
          <w:szCs w:val="28"/>
        </w:rPr>
      </w:pPr>
      <w:bookmarkStart w:id="41" w:name="_Toc100783961"/>
      <w:bookmarkStart w:id="42" w:name="_Toc108662555"/>
      <w:bookmarkStart w:id="43" w:name="_Toc101135789"/>
      <w:r>
        <w:rPr>
          <w:rFonts w:eastAsia="黑体"/>
          <w:sz w:val="28"/>
          <w:szCs w:val="28"/>
        </w:rPr>
        <w:t>2.3.1</w:t>
      </w:r>
      <w:r>
        <w:rPr>
          <w:rFonts w:hint="eastAsia" w:ascii="黑体" w:hAnsi="黑体" w:eastAsia="黑体"/>
          <w:sz w:val="28"/>
          <w:szCs w:val="28"/>
        </w:rPr>
        <w:t>评价工作等级</w:t>
      </w:r>
      <w:bookmarkEnd w:id="41"/>
      <w:bookmarkEnd w:id="42"/>
      <w:bookmarkEnd w:id="43"/>
    </w:p>
    <w:p w14:paraId="73916116">
      <w:pPr>
        <w:ind w:firstLine="480"/>
        <w:rPr>
          <w:szCs w:val="24"/>
        </w:rPr>
      </w:pPr>
      <w:r>
        <w:rPr>
          <w:rFonts w:hint="eastAsia" w:ascii="宋体" w:hAnsi="宋体"/>
        </w:rPr>
        <w:t>根据</w:t>
      </w:r>
      <w:r>
        <w:rPr>
          <w:rFonts w:hint="eastAsia"/>
        </w:rPr>
        <w:t>扩建</w:t>
      </w:r>
      <w:r>
        <w:rPr>
          <w:rFonts w:hint="eastAsia" w:ascii="宋体" w:hAnsi="宋体"/>
        </w:rPr>
        <w:t>项目污染物排放特征、项目所在地区的地形特点和环境功能区划，按照《环境影响评价技术导则》所规定的方法，确定本次环境影响评价的等级。</w:t>
      </w:r>
    </w:p>
    <w:p w14:paraId="2B468407">
      <w:pPr>
        <w:pStyle w:val="349"/>
      </w:pPr>
      <w:r>
        <w:rPr>
          <w:rFonts w:hint="eastAsia"/>
        </w:rPr>
        <w:t>2</w:t>
      </w:r>
      <w:r>
        <w:t>.3.1.1</w:t>
      </w:r>
      <w:r>
        <w:rPr>
          <w:rFonts w:hint="eastAsia"/>
        </w:rPr>
        <w:t>大气环境影响评价等级</w:t>
      </w:r>
    </w:p>
    <w:p w14:paraId="4B43BDE9">
      <w:pPr>
        <w:ind w:firstLine="480"/>
      </w:pPr>
      <w:r>
        <w:rPr>
          <w:rFonts w:hint="eastAsia" w:ascii="宋体" w:hAnsi="宋体"/>
        </w:rPr>
        <w:t>按照《环境影响评价技术导则</w:t>
      </w:r>
      <w:r>
        <w:t xml:space="preserve">  </w:t>
      </w:r>
      <w:r>
        <w:rPr>
          <w:rFonts w:ascii="宋体" w:hAnsi="宋体"/>
        </w:rPr>
        <w:t>大气环境》（</w:t>
      </w:r>
      <w:r>
        <w:t>HJ2.2-2018</w:t>
      </w:r>
      <w:r>
        <w:rPr>
          <w:rFonts w:hint="eastAsia" w:ascii="宋体" w:hAnsi="宋体"/>
        </w:rPr>
        <w:t>），根据项目污染源调查结果，分别计算项目排放主要污染物的最大地面空气质量浓度占标率</w:t>
      </w:r>
      <w:r>
        <w:t>P</w:t>
      </w:r>
      <w:r>
        <w:rPr>
          <w:vertAlign w:val="subscript"/>
        </w:rPr>
        <w:t>i</w:t>
      </w:r>
      <w:r>
        <w:rPr>
          <w:rFonts w:hint="eastAsia" w:ascii="宋体" w:hAnsi="宋体"/>
        </w:rPr>
        <w:t>（第</w:t>
      </w:r>
      <w:r>
        <w:t>i</w:t>
      </w:r>
      <w:r>
        <w:rPr>
          <w:rFonts w:hint="eastAsia" w:ascii="宋体" w:hAnsi="宋体"/>
        </w:rPr>
        <w:t>个污染物，简称“最大浓度占标率”），及第</w:t>
      </w:r>
      <w:r>
        <w:t>i</w:t>
      </w:r>
      <w:r>
        <w:rPr>
          <w:rFonts w:hint="eastAsia" w:ascii="宋体" w:hAnsi="宋体"/>
        </w:rPr>
        <w:t>个污染物的地面空气质量浓度达到标准值的</w:t>
      </w:r>
      <w:r>
        <w:t>10%</w:t>
      </w:r>
      <w:r>
        <w:rPr>
          <w:rFonts w:hint="eastAsia" w:ascii="宋体" w:hAnsi="宋体"/>
        </w:rPr>
        <w:t>时所对应的最远距离</w:t>
      </w:r>
      <w:r>
        <w:t>D</w:t>
      </w:r>
      <w:r>
        <w:rPr>
          <w:vertAlign w:val="subscript"/>
        </w:rPr>
        <w:t>10%</w:t>
      </w:r>
      <w:r>
        <w:rPr>
          <w:rFonts w:hint="eastAsia" w:ascii="宋体" w:hAnsi="宋体"/>
        </w:rPr>
        <w:t>，其中</w:t>
      </w:r>
      <w:r>
        <w:t>P</w:t>
      </w:r>
      <w:r>
        <w:rPr>
          <w:vertAlign w:val="subscript"/>
        </w:rPr>
        <w:t>i</w:t>
      </w:r>
      <w:r>
        <w:rPr>
          <w:rFonts w:hint="eastAsia" w:ascii="宋体" w:hAnsi="宋体"/>
        </w:rPr>
        <w:t>定义为：</w:t>
      </w:r>
    </w:p>
    <w:p w14:paraId="00D9646C">
      <w:pPr>
        <w:ind w:firstLine="0" w:firstLineChars="0"/>
        <w:jc w:val="center"/>
        <w:rPr>
          <w:b/>
        </w:rPr>
      </w:pPr>
      <w:r>
        <w:rPr>
          <w:b/>
        </w:rPr>
        <w:t>P</w:t>
      </w:r>
      <w:r>
        <w:rPr>
          <w:b/>
          <w:vertAlign w:val="subscript"/>
        </w:rPr>
        <w:t>i</w:t>
      </w:r>
      <w:r>
        <w:rPr>
          <w:rFonts w:hint="eastAsia" w:ascii="宋体" w:hAnsi="宋体"/>
          <w:b/>
        </w:rPr>
        <w:t>＝（</w:t>
      </w:r>
      <w:r>
        <w:rPr>
          <w:b/>
        </w:rPr>
        <w:t>C</w:t>
      </w:r>
      <w:r>
        <w:rPr>
          <w:b/>
          <w:vertAlign w:val="subscript"/>
        </w:rPr>
        <w:t>i</w:t>
      </w:r>
      <w:r>
        <w:rPr>
          <w:b/>
        </w:rPr>
        <w:t>/C</w:t>
      </w:r>
      <w:r>
        <w:rPr>
          <w:b/>
          <w:vertAlign w:val="subscript"/>
        </w:rPr>
        <w:t>0i</w:t>
      </w:r>
      <w:r>
        <w:rPr>
          <w:rFonts w:hint="eastAsia" w:ascii="宋体" w:hAnsi="宋体"/>
          <w:b/>
        </w:rPr>
        <w:t>）</w:t>
      </w:r>
      <w:r>
        <w:rPr>
          <w:b/>
        </w:rPr>
        <w:t>×100%</w:t>
      </w:r>
    </w:p>
    <w:p w14:paraId="2EEE2F5E">
      <w:pPr>
        <w:ind w:firstLine="480"/>
      </w:pPr>
      <w:r>
        <w:rPr>
          <w:rFonts w:ascii="宋体" w:hAnsi="宋体"/>
        </w:rPr>
        <w:t>式中：</w:t>
      </w:r>
    </w:p>
    <w:p w14:paraId="029C0278">
      <w:pPr>
        <w:ind w:firstLine="482"/>
      </w:pPr>
      <w:r>
        <w:rPr>
          <w:b/>
          <w:i/>
        </w:rPr>
        <w:t>P</w:t>
      </w:r>
      <w:r>
        <w:rPr>
          <w:b/>
          <w:i/>
          <w:vertAlign w:val="subscript"/>
        </w:rPr>
        <w:t>i</w:t>
      </w:r>
      <w:r>
        <w:rPr>
          <w:rFonts w:ascii="宋体" w:hAnsi="宋体"/>
        </w:rPr>
        <w:t>－第</w:t>
      </w:r>
      <w:r>
        <w:t>i</w:t>
      </w:r>
      <w:r>
        <w:rPr>
          <w:rFonts w:ascii="宋体" w:hAnsi="宋体"/>
        </w:rPr>
        <w:t>个污染物的最大地面空气质量浓度占标率，</w:t>
      </w:r>
      <w:r>
        <w:t>%</w:t>
      </w:r>
      <w:r>
        <w:rPr>
          <w:rFonts w:ascii="宋体" w:hAnsi="宋体"/>
        </w:rPr>
        <w:t>；</w:t>
      </w:r>
    </w:p>
    <w:p w14:paraId="361761FD">
      <w:pPr>
        <w:ind w:firstLine="482"/>
      </w:pPr>
      <w:r>
        <w:rPr>
          <w:b/>
          <w:i/>
        </w:rPr>
        <w:t>C</w:t>
      </w:r>
      <w:r>
        <w:rPr>
          <w:b/>
          <w:i/>
          <w:vertAlign w:val="subscript"/>
        </w:rPr>
        <w:t>i</w:t>
      </w:r>
      <w:r>
        <w:rPr>
          <w:rFonts w:ascii="宋体" w:hAnsi="宋体"/>
        </w:rPr>
        <w:t>－采用估算模式计算出的第</w:t>
      </w:r>
      <w:r>
        <w:t>i</w:t>
      </w:r>
      <w:r>
        <w:rPr>
          <w:rFonts w:ascii="宋体" w:hAnsi="宋体"/>
        </w:rPr>
        <w:t>个污染物的最大</w:t>
      </w:r>
      <w:r>
        <w:t>1h</w:t>
      </w:r>
      <w:r>
        <w:rPr>
          <w:rFonts w:ascii="宋体" w:hAnsi="宋体"/>
        </w:rPr>
        <w:t>地面空气质量浓度，</w:t>
      </w:r>
      <w:r>
        <w:t>mg/m</w:t>
      </w:r>
      <w:r>
        <w:rPr>
          <w:vertAlign w:val="superscript"/>
        </w:rPr>
        <w:t>3</w:t>
      </w:r>
      <w:r>
        <w:rPr>
          <w:rFonts w:ascii="宋体" w:hAnsi="宋体"/>
        </w:rPr>
        <w:t>；</w:t>
      </w:r>
    </w:p>
    <w:p w14:paraId="3A17056F">
      <w:pPr>
        <w:ind w:firstLine="482"/>
      </w:pPr>
      <w:r>
        <w:rPr>
          <w:b/>
          <w:i/>
        </w:rPr>
        <w:t>C</w:t>
      </w:r>
      <w:r>
        <w:rPr>
          <w:b/>
          <w:i/>
          <w:vertAlign w:val="subscript"/>
        </w:rPr>
        <w:t>0i</w:t>
      </w:r>
      <w:r>
        <w:rPr>
          <w:rFonts w:ascii="宋体" w:hAnsi="宋体"/>
        </w:rPr>
        <w:t>－第</w:t>
      </w:r>
      <w:r>
        <w:t>i</w:t>
      </w:r>
      <w:r>
        <w:rPr>
          <w:rFonts w:ascii="宋体" w:hAnsi="宋体"/>
        </w:rPr>
        <w:t>个污染物的环境空气质量浓度标准，</w:t>
      </w:r>
      <w:r>
        <w:t>mg/m</w:t>
      </w:r>
      <w:r>
        <w:rPr>
          <w:vertAlign w:val="superscript"/>
        </w:rPr>
        <w:t>3</w:t>
      </w:r>
      <w:r>
        <w:rPr>
          <w:rFonts w:ascii="宋体" w:hAnsi="宋体"/>
        </w:rPr>
        <w:t>。一般选用</w:t>
      </w:r>
      <w:r>
        <w:t>GB3095</w:t>
      </w:r>
      <w:r>
        <w:rPr>
          <w:rFonts w:ascii="宋体" w:hAnsi="宋体"/>
        </w:rPr>
        <w:t>中</w:t>
      </w:r>
      <w:r>
        <w:t>1h</w:t>
      </w:r>
      <w:r>
        <w:rPr>
          <w:rFonts w:ascii="宋体" w:hAnsi="宋体"/>
        </w:rPr>
        <w:t>平均质量浓度的二级浓度限值，如项目位于一类环境空气功能区，应选择相应的一级浓度限值；对该标准中未包含的污染物，使用</w:t>
      </w:r>
      <w:r>
        <w:t>5.2</w:t>
      </w:r>
      <w:r>
        <w:rPr>
          <w:rFonts w:ascii="宋体" w:hAnsi="宋体"/>
        </w:rPr>
        <w:t>确定的各评价因子</w:t>
      </w:r>
      <w:r>
        <w:t>1h</w:t>
      </w:r>
      <w:r>
        <w:rPr>
          <w:rFonts w:ascii="宋体" w:hAnsi="宋体"/>
        </w:rPr>
        <w:t>平均质量浓度限值。对仅有</w:t>
      </w:r>
      <w:r>
        <w:t>8h</w:t>
      </w:r>
      <w:r>
        <w:rPr>
          <w:rFonts w:ascii="宋体" w:hAnsi="宋体"/>
        </w:rPr>
        <w:t>平均质量浓度限值、日平均质量浓度限值或年平均质量浓度限值的，可分别按</w:t>
      </w:r>
      <w:r>
        <w:t>2</w:t>
      </w:r>
      <w:r>
        <w:rPr>
          <w:rFonts w:ascii="宋体" w:hAnsi="宋体"/>
        </w:rPr>
        <w:t>倍、</w:t>
      </w:r>
      <w:r>
        <w:t>3</w:t>
      </w:r>
      <w:r>
        <w:rPr>
          <w:rFonts w:ascii="宋体" w:hAnsi="宋体"/>
        </w:rPr>
        <w:t>倍、</w:t>
      </w:r>
      <w:r>
        <w:t>6</w:t>
      </w:r>
      <w:r>
        <w:rPr>
          <w:rFonts w:ascii="宋体" w:hAnsi="宋体"/>
        </w:rPr>
        <w:t>倍折算为</w:t>
      </w:r>
      <w:r>
        <w:t>1h</w:t>
      </w:r>
      <w:r>
        <w:rPr>
          <w:rFonts w:ascii="宋体" w:hAnsi="宋体"/>
        </w:rPr>
        <w:t>平均质量浓度限值。</w:t>
      </w:r>
    </w:p>
    <w:p w14:paraId="2038564F">
      <w:pPr>
        <w:ind w:firstLine="480"/>
      </w:pPr>
      <w:r>
        <w:rPr>
          <w:rFonts w:ascii="宋体" w:hAnsi="宋体"/>
        </w:rPr>
        <w:t>评价工作等级的判定依据见表</w:t>
      </w:r>
      <w:r>
        <w:t>2.3.1-1</w:t>
      </w:r>
      <w:r>
        <w:rPr>
          <w:rFonts w:ascii="宋体" w:hAnsi="宋体"/>
        </w:rPr>
        <w:t>。</w:t>
      </w:r>
    </w:p>
    <w:p w14:paraId="2C53C627">
      <w:pPr>
        <w:spacing w:line="500" w:lineRule="exact"/>
        <w:ind w:firstLine="0" w:firstLineChars="0"/>
        <w:jc w:val="center"/>
        <w:rPr>
          <w:rFonts w:eastAsia="黑体"/>
        </w:rPr>
      </w:pPr>
      <w:r>
        <w:rPr>
          <w:rFonts w:hint="eastAsia" w:ascii="黑体" w:hAnsi="黑体" w:eastAsia="黑体"/>
        </w:rPr>
        <w:t>表</w:t>
      </w:r>
      <w:r>
        <w:rPr>
          <w:rFonts w:eastAsia="黑体"/>
        </w:rPr>
        <w:t xml:space="preserve">2.3.1-1   </w:t>
      </w:r>
      <w:r>
        <w:rPr>
          <w:rFonts w:hint="eastAsia" w:ascii="黑体" w:hAnsi="黑体" w:eastAsia="黑体"/>
        </w:rPr>
        <w:t>评价工作等级</w:t>
      </w:r>
    </w:p>
    <w:tbl>
      <w:tblPr>
        <w:tblStyle w:val="64"/>
        <w:tblW w:w="92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6194"/>
      </w:tblGrid>
      <w:tr w14:paraId="683DD7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48" w:type="dxa"/>
          </w:tcPr>
          <w:p w14:paraId="24E59B83">
            <w:pPr>
              <w:pStyle w:val="445"/>
              <w:rPr>
                <w:b/>
              </w:rPr>
            </w:pPr>
            <w:r>
              <w:rPr>
                <w:b/>
              </w:rPr>
              <w:t>评价工作等级</w:t>
            </w:r>
          </w:p>
        </w:tc>
        <w:tc>
          <w:tcPr>
            <w:tcW w:w="6194" w:type="dxa"/>
          </w:tcPr>
          <w:p w14:paraId="178BC629">
            <w:pPr>
              <w:pStyle w:val="445"/>
              <w:rPr>
                <w:b/>
              </w:rPr>
            </w:pPr>
            <w:r>
              <w:rPr>
                <w:b/>
              </w:rPr>
              <w:t>评价工作等级判据</w:t>
            </w:r>
          </w:p>
        </w:tc>
      </w:tr>
      <w:tr w14:paraId="72D6E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48" w:type="dxa"/>
          </w:tcPr>
          <w:p w14:paraId="276E1F7A">
            <w:pPr>
              <w:pStyle w:val="445"/>
            </w:pPr>
            <w:r>
              <w:t>一级</w:t>
            </w:r>
          </w:p>
        </w:tc>
        <w:tc>
          <w:tcPr>
            <w:tcW w:w="6194" w:type="dxa"/>
          </w:tcPr>
          <w:p w14:paraId="46BA4431">
            <w:pPr>
              <w:pStyle w:val="445"/>
            </w:pPr>
            <w:r>
              <w:t>Pmax≥10%</w:t>
            </w:r>
          </w:p>
        </w:tc>
      </w:tr>
      <w:tr w14:paraId="0A651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48" w:type="dxa"/>
          </w:tcPr>
          <w:p w14:paraId="386E3F2D">
            <w:pPr>
              <w:pStyle w:val="445"/>
            </w:pPr>
            <w:r>
              <w:t>二级</w:t>
            </w:r>
          </w:p>
        </w:tc>
        <w:tc>
          <w:tcPr>
            <w:tcW w:w="6194" w:type="dxa"/>
          </w:tcPr>
          <w:p w14:paraId="787A6441">
            <w:pPr>
              <w:pStyle w:val="445"/>
            </w:pPr>
            <w:r>
              <w:t>1%≤Pmax＜10%</w:t>
            </w:r>
          </w:p>
        </w:tc>
      </w:tr>
      <w:tr w14:paraId="55A1C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48" w:type="dxa"/>
          </w:tcPr>
          <w:p w14:paraId="63972304">
            <w:pPr>
              <w:pStyle w:val="445"/>
            </w:pPr>
            <w:r>
              <w:t>三级</w:t>
            </w:r>
          </w:p>
        </w:tc>
        <w:tc>
          <w:tcPr>
            <w:tcW w:w="6194" w:type="dxa"/>
          </w:tcPr>
          <w:p w14:paraId="3827457E">
            <w:pPr>
              <w:pStyle w:val="445"/>
            </w:pPr>
            <w:r>
              <w:t xml:space="preserve">Pmax&lt;1% </w:t>
            </w:r>
          </w:p>
        </w:tc>
      </w:tr>
    </w:tbl>
    <w:p w14:paraId="399B4712">
      <w:pPr>
        <w:ind w:firstLine="480"/>
        <w:rPr>
          <w:rFonts w:cs="Times New Roman"/>
        </w:rPr>
      </w:pPr>
      <w:r>
        <w:rPr>
          <w:rFonts w:hint="eastAsia" w:ascii="宋体" w:hAnsi="宋体"/>
        </w:rPr>
        <w:t>估算模型参数表见表</w:t>
      </w:r>
      <w:r>
        <w:t>2.3.1-2</w:t>
      </w:r>
      <w:r>
        <w:rPr>
          <w:rFonts w:hint="eastAsia" w:ascii="宋体" w:hAnsi="宋体"/>
        </w:rPr>
        <w:t>。</w:t>
      </w:r>
    </w:p>
    <w:p w14:paraId="150260AC">
      <w:pPr>
        <w:spacing w:line="500" w:lineRule="exact"/>
        <w:ind w:firstLine="0" w:firstLineChars="0"/>
        <w:jc w:val="center"/>
        <w:rPr>
          <w:rFonts w:eastAsia="黑体"/>
        </w:rPr>
      </w:pPr>
      <w:r>
        <w:rPr>
          <w:rFonts w:hint="eastAsia" w:ascii="黑体" w:hAnsi="黑体" w:eastAsia="黑体"/>
        </w:rPr>
        <w:t>表</w:t>
      </w:r>
      <w:r>
        <w:rPr>
          <w:rFonts w:eastAsia="黑体"/>
        </w:rPr>
        <w:t xml:space="preserve">2.3.1-2  </w:t>
      </w:r>
      <w:r>
        <w:rPr>
          <w:rFonts w:hint="eastAsia" w:ascii="黑体" w:hAnsi="黑体" w:eastAsia="黑体"/>
        </w:rPr>
        <w:t>估算模型参数表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16"/>
        <w:gridCol w:w="2785"/>
      </w:tblGrid>
      <w:tr w14:paraId="3D669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2" w:type="dxa"/>
            <w:gridSpan w:val="2"/>
            <w:vAlign w:val="center"/>
          </w:tcPr>
          <w:p w14:paraId="174365E0">
            <w:pPr>
              <w:pStyle w:val="445"/>
              <w:rPr>
                <w:rFonts w:cs="Times New Roman"/>
                <w:b/>
                <w:kern w:val="0"/>
                <w:szCs w:val="20"/>
              </w:rPr>
            </w:pPr>
            <w:r>
              <w:rPr>
                <w:rFonts w:cs="Times New Roman"/>
                <w:b/>
                <w:kern w:val="0"/>
                <w:szCs w:val="20"/>
              </w:rPr>
              <w:t>参数</w:t>
            </w:r>
          </w:p>
        </w:tc>
        <w:tc>
          <w:tcPr>
            <w:tcW w:w="2785" w:type="dxa"/>
            <w:vAlign w:val="center"/>
          </w:tcPr>
          <w:p w14:paraId="0FA80F7B">
            <w:pPr>
              <w:pStyle w:val="445"/>
              <w:rPr>
                <w:rFonts w:cs="Times New Roman"/>
                <w:b/>
                <w:kern w:val="0"/>
                <w:szCs w:val="20"/>
              </w:rPr>
            </w:pPr>
            <w:r>
              <w:rPr>
                <w:rFonts w:cs="Times New Roman"/>
                <w:b/>
                <w:kern w:val="0"/>
                <w:szCs w:val="20"/>
              </w:rPr>
              <w:t>取值</w:t>
            </w:r>
          </w:p>
        </w:tc>
      </w:tr>
      <w:tr w14:paraId="61300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16" w:type="dxa"/>
            <w:vMerge w:val="restart"/>
            <w:vAlign w:val="center"/>
          </w:tcPr>
          <w:p w14:paraId="22EDFDA6">
            <w:pPr>
              <w:pStyle w:val="445"/>
              <w:rPr>
                <w:rFonts w:cs="Times New Roman"/>
                <w:kern w:val="0"/>
                <w:szCs w:val="20"/>
              </w:rPr>
            </w:pPr>
            <w:r>
              <w:rPr>
                <w:rFonts w:cs="Times New Roman"/>
                <w:kern w:val="0"/>
                <w:szCs w:val="20"/>
              </w:rPr>
              <w:t>城市/农村选项</w:t>
            </w:r>
          </w:p>
        </w:tc>
        <w:tc>
          <w:tcPr>
            <w:tcW w:w="3116" w:type="dxa"/>
            <w:vAlign w:val="center"/>
          </w:tcPr>
          <w:p w14:paraId="1F287E35">
            <w:pPr>
              <w:pStyle w:val="445"/>
              <w:rPr>
                <w:rFonts w:cs="Times New Roman"/>
                <w:kern w:val="0"/>
                <w:szCs w:val="20"/>
              </w:rPr>
            </w:pPr>
            <w:r>
              <w:rPr>
                <w:rFonts w:cs="Times New Roman"/>
                <w:kern w:val="0"/>
                <w:szCs w:val="20"/>
              </w:rPr>
              <w:t>城市/农村</w:t>
            </w:r>
          </w:p>
        </w:tc>
        <w:tc>
          <w:tcPr>
            <w:tcW w:w="2785" w:type="dxa"/>
            <w:vAlign w:val="center"/>
          </w:tcPr>
          <w:p w14:paraId="6F7E73DE">
            <w:pPr>
              <w:pStyle w:val="445"/>
              <w:rPr>
                <w:rFonts w:cs="Times New Roman"/>
                <w:kern w:val="0"/>
                <w:szCs w:val="20"/>
              </w:rPr>
            </w:pPr>
            <w:r>
              <w:rPr>
                <w:rFonts w:cs="Times New Roman"/>
                <w:kern w:val="0"/>
                <w:szCs w:val="20"/>
              </w:rPr>
              <w:t>农村</w:t>
            </w:r>
          </w:p>
        </w:tc>
      </w:tr>
      <w:tr w14:paraId="729BF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AF5DF5D">
            <w:pPr>
              <w:pStyle w:val="445"/>
              <w:rPr>
                <w:rFonts w:cs="Times New Roman"/>
                <w:kern w:val="0"/>
                <w:szCs w:val="18"/>
              </w:rPr>
            </w:pPr>
          </w:p>
        </w:tc>
        <w:tc>
          <w:tcPr>
            <w:tcW w:w="3116" w:type="dxa"/>
            <w:vAlign w:val="center"/>
          </w:tcPr>
          <w:p w14:paraId="1586A1FE">
            <w:pPr>
              <w:pStyle w:val="445"/>
              <w:rPr>
                <w:rFonts w:cs="Times New Roman"/>
                <w:kern w:val="0"/>
                <w:szCs w:val="20"/>
              </w:rPr>
            </w:pPr>
            <w:r>
              <w:rPr>
                <w:rFonts w:cs="Times New Roman"/>
                <w:kern w:val="0"/>
                <w:szCs w:val="20"/>
              </w:rPr>
              <w:t>人口数（城市选项时）</w:t>
            </w:r>
          </w:p>
        </w:tc>
        <w:tc>
          <w:tcPr>
            <w:tcW w:w="2785" w:type="dxa"/>
            <w:vAlign w:val="center"/>
          </w:tcPr>
          <w:p w14:paraId="69015162">
            <w:pPr>
              <w:pStyle w:val="445"/>
              <w:rPr>
                <w:rFonts w:cs="Times New Roman"/>
                <w:kern w:val="0"/>
                <w:szCs w:val="20"/>
              </w:rPr>
            </w:pPr>
            <w:r>
              <w:rPr>
                <w:rFonts w:cs="Times New Roman"/>
                <w:kern w:val="0"/>
                <w:szCs w:val="20"/>
              </w:rPr>
              <w:t>/</w:t>
            </w:r>
          </w:p>
        </w:tc>
      </w:tr>
      <w:tr w14:paraId="12E50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2" w:type="dxa"/>
            <w:gridSpan w:val="2"/>
            <w:vAlign w:val="center"/>
          </w:tcPr>
          <w:p w14:paraId="64EDF759">
            <w:pPr>
              <w:pStyle w:val="445"/>
              <w:rPr>
                <w:rFonts w:cs="Times New Roman"/>
                <w:kern w:val="0"/>
                <w:szCs w:val="20"/>
              </w:rPr>
            </w:pPr>
            <w:r>
              <w:rPr>
                <w:rFonts w:cs="Times New Roman"/>
                <w:kern w:val="0"/>
                <w:szCs w:val="20"/>
              </w:rPr>
              <w:t>最高环境温度/</w:t>
            </w:r>
            <w:r>
              <w:rPr>
                <w:rFonts w:hint="eastAsia" w:ascii="宋体" w:hAnsi="宋体" w:cs="宋体"/>
                <w:kern w:val="0"/>
                <w:szCs w:val="20"/>
              </w:rPr>
              <w:t>℃</w:t>
            </w:r>
          </w:p>
        </w:tc>
        <w:tc>
          <w:tcPr>
            <w:tcW w:w="2785" w:type="dxa"/>
            <w:vAlign w:val="center"/>
          </w:tcPr>
          <w:p w14:paraId="18370C71">
            <w:pPr>
              <w:pStyle w:val="445"/>
              <w:rPr>
                <w:rFonts w:cs="Times New Roman"/>
                <w:kern w:val="0"/>
                <w:szCs w:val="20"/>
              </w:rPr>
            </w:pPr>
            <w:r>
              <w:rPr>
                <w:rFonts w:cs="Times New Roman"/>
                <w:kern w:val="0"/>
                <w:szCs w:val="20"/>
              </w:rPr>
              <w:t>40.5</w:t>
            </w:r>
          </w:p>
        </w:tc>
      </w:tr>
      <w:tr w14:paraId="183E8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2" w:type="dxa"/>
            <w:gridSpan w:val="2"/>
            <w:vAlign w:val="center"/>
          </w:tcPr>
          <w:p w14:paraId="788655DF">
            <w:pPr>
              <w:pStyle w:val="445"/>
              <w:rPr>
                <w:rFonts w:cs="Times New Roman"/>
                <w:kern w:val="0"/>
                <w:szCs w:val="20"/>
              </w:rPr>
            </w:pPr>
            <w:r>
              <w:rPr>
                <w:rFonts w:cs="Times New Roman"/>
                <w:kern w:val="0"/>
                <w:szCs w:val="20"/>
              </w:rPr>
              <w:t>最低环境温度/</w:t>
            </w:r>
            <w:r>
              <w:rPr>
                <w:rFonts w:hint="eastAsia" w:ascii="宋体" w:hAnsi="宋体" w:cs="宋体"/>
                <w:kern w:val="0"/>
                <w:szCs w:val="20"/>
              </w:rPr>
              <w:t>℃</w:t>
            </w:r>
          </w:p>
        </w:tc>
        <w:tc>
          <w:tcPr>
            <w:tcW w:w="2785" w:type="dxa"/>
            <w:vAlign w:val="center"/>
          </w:tcPr>
          <w:p w14:paraId="54994D7D">
            <w:pPr>
              <w:pStyle w:val="445"/>
              <w:rPr>
                <w:rFonts w:cs="Times New Roman"/>
                <w:kern w:val="0"/>
                <w:szCs w:val="20"/>
              </w:rPr>
            </w:pPr>
            <w:r>
              <w:rPr>
                <w:rFonts w:cs="Times New Roman"/>
                <w:kern w:val="0"/>
                <w:szCs w:val="20"/>
              </w:rPr>
              <w:t>-24.3</w:t>
            </w:r>
          </w:p>
        </w:tc>
      </w:tr>
      <w:tr w14:paraId="1A33F5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2" w:type="dxa"/>
            <w:gridSpan w:val="2"/>
            <w:vAlign w:val="center"/>
          </w:tcPr>
          <w:p w14:paraId="322C0733">
            <w:pPr>
              <w:pStyle w:val="445"/>
              <w:rPr>
                <w:rFonts w:cs="Times New Roman"/>
                <w:kern w:val="0"/>
                <w:szCs w:val="20"/>
              </w:rPr>
            </w:pPr>
            <w:r>
              <w:rPr>
                <w:rFonts w:cs="Times New Roman"/>
                <w:kern w:val="0"/>
                <w:szCs w:val="20"/>
              </w:rPr>
              <w:t>土地利用类型</w:t>
            </w:r>
          </w:p>
        </w:tc>
        <w:tc>
          <w:tcPr>
            <w:tcW w:w="2785" w:type="dxa"/>
            <w:vAlign w:val="center"/>
          </w:tcPr>
          <w:p w14:paraId="5E1D041F">
            <w:pPr>
              <w:pStyle w:val="445"/>
              <w:rPr>
                <w:rFonts w:cs="Times New Roman"/>
                <w:kern w:val="0"/>
                <w:szCs w:val="20"/>
              </w:rPr>
            </w:pPr>
            <w:r>
              <w:rPr>
                <w:rFonts w:cs="Times New Roman"/>
                <w:kern w:val="0"/>
                <w:szCs w:val="20"/>
              </w:rPr>
              <w:t>农用地</w:t>
            </w:r>
          </w:p>
        </w:tc>
      </w:tr>
      <w:tr w14:paraId="7F92E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2" w:type="dxa"/>
            <w:gridSpan w:val="2"/>
            <w:vAlign w:val="center"/>
          </w:tcPr>
          <w:p w14:paraId="566C5955">
            <w:pPr>
              <w:pStyle w:val="445"/>
              <w:rPr>
                <w:rFonts w:cs="Times New Roman"/>
                <w:kern w:val="0"/>
                <w:szCs w:val="20"/>
              </w:rPr>
            </w:pPr>
            <w:r>
              <w:rPr>
                <w:rFonts w:cs="Times New Roman"/>
                <w:kern w:val="0"/>
                <w:szCs w:val="20"/>
              </w:rPr>
              <w:t>区域湿度条件</w:t>
            </w:r>
          </w:p>
        </w:tc>
        <w:tc>
          <w:tcPr>
            <w:tcW w:w="2785" w:type="dxa"/>
            <w:vAlign w:val="center"/>
          </w:tcPr>
          <w:p w14:paraId="15ABEC3F">
            <w:pPr>
              <w:pStyle w:val="445"/>
              <w:rPr>
                <w:rFonts w:cs="Times New Roman"/>
                <w:kern w:val="0"/>
                <w:szCs w:val="20"/>
              </w:rPr>
            </w:pPr>
            <w:r>
              <w:rPr>
                <w:rFonts w:cs="Times New Roman"/>
                <w:kern w:val="0"/>
                <w:szCs w:val="20"/>
              </w:rPr>
              <w:t>中等湿度</w:t>
            </w:r>
          </w:p>
        </w:tc>
      </w:tr>
      <w:tr w14:paraId="187C2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16" w:type="dxa"/>
            <w:vMerge w:val="restart"/>
            <w:vAlign w:val="center"/>
          </w:tcPr>
          <w:p w14:paraId="410C5D94">
            <w:pPr>
              <w:pStyle w:val="445"/>
              <w:rPr>
                <w:rFonts w:cs="Times New Roman"/>
                <w:kern w:val="0"/>
                <w:szCs w:val="20"/>
              </w:rPr>
            </w:pPr>
            <w:r>
              <w:rPr>
                <w:rFonts w:cs="Times New Roman"/>
                <w:kern w:val="0"/>
                <w:szCs w:val="20"/>
              </w:rPr>
              <w:t>是否考虑地形</w:t>
            </w:r>
          </w:p>
        </w:tc>
        <w:tc>
          <w:tcPr>
            <w:tcW w:w="3116" w:type="dxa"/>
            <w:vAlign w:val="center"/>
          </w:tcPr>
          <w:p w14:paraId="126EC79E">
            <w:pPr>
              <w:pStyle w:val="445"/>
              <w:rPr>
                <w:rFonts w:cs="Times New Roman"/>
                <w:kern w:val="0"/>
                <w:szCs w:val="20"/>
              </w:rPr>
            </w:pPr>
            <w:r>
              <w:rPr>
                <w:rFonts w:cs="Times New Roman"/>
                <w:kern w:val="0"/>
                <w:szCs w:val="20"/>
              </w:rPr>
              <w:t>考虑地形</w:t>
            </w:r>
          </w:p>
        </w:tc>
        <w:tc>
          <w:tcPr>
            <w:tcW w:w="2785" w:type="dxa"/>
            <w:vAlign w:val="center"/>
          </w:tcPr>
          <w:p w14:paraId="3EECAB80">
            <w:pPr>
              <w:pStyle w:val="445"/>
              <w:rPr>
                <w:rFonts w:cs="Times New Roman"/>
                <w:kern w:val="0"/>
                <w:szCs w:val="20"/>
              </w:rPr>
            </w:pPr>
            <w:r>
              <w:rPr>
                <w:rFonts w:cs="Times New Roman"/>
                <w:kern w:val="0"/>
                <w:szCs w:val="20"/>
              </w:rPr>
              <w:t>是√          否</w:t>
            </w:r>
          </w:p>
        </w:tc>
      </w:tr>
      <w:tr w14:paraId="34F32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D4BCE4B">
            <w:pPr>
              <w:pStyle w:val="445"/>
              <w:rPr>
                <w:rFonts w:cs="Times New Roman"/>
                <w:kern w:val="0"/>
                <w:szCs w:val="18"/>
              </w:rPr>
            </w:pPr>
          </w:p>
        </w:tc>
        <w:tc>
          <w:tcPr>
            <w:tcW w:w="3116" w:type="dxa"/>
            <w:vAlign w:val="center"/>
          </w:tcPr>
          <w:p w14:paraId="103605F7">
            <w:pPr>
              <w:pStyle w:val="445"/>
              <w:rPr>
                <w:rFonts w:cs="Times New Roman"/>
                <w:kern w:val="0"/>
                <w:szCs w:val="20"/>
              </w:rPr>
            </w:pPr>
            <w:r>
              <w:rPr>
                <w:rFonts w:cs="Times New Roman"/>
                <w:kern w:val="0"/>
                <w:szCs w:val="20"/>
              </w:rPr>
              <w:t>地形数据分辨率/m</w:t>
            </w:r>
          </w:p>
        </w:tc>
        <w:tc>
          <w:tcPr>
            <w:tcW w:w="2785" w:type="dxa"/>
            <w:vAlign w:val="center"/>
          </w:tcPr>
          <w:p w14:paraId="038F8BCF">
            <w:pPr>
              <w:pStyle w:val="445"/>
              <w:rPr>
                <w:rFonts w:cs="Times New Roman"/>
                <w:kern w:val="0"/>
                <w:szCs w:val="20"/>
              </w:rPr>
            </w:pPr>
            <w:r>
              <w:rPr>
                <w:rFonts w:cs="Times New Roman"/>
                <w:kern w:val="0"/>
                <w:szCs w:val="20"/>
              </w:rPr>
              <w:t>90m</w:t>
            </w:r>
          </w:p>
        </w:tc>
      </w:tr>
      <w:tr w14:paraId="2D768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16" w:type="dxa"/>
            <w:vMerge w:val="restart"/>
            <w:vAlign w:val="center"/>
          </w:tcPr>
          <w:p w14:paraId="6ED47A3D">
            <w:pPr>
              <w:pStyle w:val="445"/>
              <w:rPr>
                <w:rFonts w:cs="Times New Roman"/>
                <w:kern w:val="0"/>
                <w:szCs w:val="20"/>
              </w:rPr>
            </w:pPr>
            <w:r>
              <w:rPr>
                <w:rFonts w:cs="Times New Roman"/>
                <w:kern w:val="0"/>
                <w:szCs w:val="20"/>
              </w:rPr>
              <w:t>是否考虑岸线熏烟</w:t>
            </w:r>
          </w:p>
        </w:tc>
        <w:tc>
          <w:tcPr>
            <w:tcW w:w="3116" w:type="dxa"/>
            <w:vAlign w:val="center"/>
          </w:tcPr>
          <w:p w14:paraId="6862565E">
            <w:pPr>
              <w:pStyle w:val="445"/>
              <w:rPr>
                <w:rFonts w:cs="Times New Roman"/>
                <w:kern w:val="0"/>
                <w:szCs w:val="20"/>
              </w:rPr>
            </w:pPr>
            <w:r>
              <w:rPr>
                <w:rFonts w:cs="Times New Roman"/>
                <w:kern w:val="0"/>
                <w:szCs w:val="20"/>
              </w:rPr>
              <w:t>考虑岸线熏烟</w:t>
            </w:r>
          </w:p>
        </w:tc>
        <w:tc>
          <w:tcPr>
            <w:tcW w:w="2785" w:type="dxa"/>
            <w:vAlign w:val="center"/>
          </w:tcPr>
          <w:p w14:paraId="1F9836AE">
            <w:pPr>
              <w:pStyle w:val="445"/>
              <w:rPr>
                <w:rFonts w:cs="Times New Roman"/>
                <w:kern w:val="0"/>
                <w:szCs w:val="20"/>
              </w:rPr>
            </w:pPr>
            <w:r>
              <w:rPr>
                <w:rFonts w:cs="Times New Roman"/>
                <w:kern w:val="0"/>
                <w:szCs w:val="20"/>
              </w:rPr>
              <w:t>是           否√</w:t>
            </w:r>
          </w:p>
        </w:tc>
      </w:tr>
      <w:tr w14:paraId="2C50A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6EF6CD6">
            <w:pPr>
              <w:pStyle w:val="445"/>
              <w:rPr>
                <w:rFonts w:cs="Times New Roman"/>
                <w:kern w:val="0"/>
                <w:szCs w:val="18"/>
              </w:rPr>
            </w:pPr>
          </w:p>
        </w:tc>
        <w:tc>
          <w:tcPr>
            <w:tcW w:w="3116" w:type="dxa"/>
            <w:vAlign w:val="center"/>
          </w:tcPr>
          <w:p w14:paraId="1A2F2111">
            <w:pPr>
              <w:pStyle w:val="445"/>
              <w:rPr>
                <w:rFonts w:cs="Times New Roman"/>
                <w:kern w:val="0"/>
                <w:szCs w:val="20"/>
              </w:rPr>
            </w:pPr>
            <w:r>
              <w:rPr>
                <w:rFonts w:cs="Times New Roman"/>
                <w:kern w:val="0"/>
                <w:szCs w:val="20"/>
              </w:rPr>
              <w:t>岸线距离/km</w:t>
            </w:r>
          </w:p>
        </w:tc>
        <w:tc>
          <w:tcPr>
            <w:tcW w:w="2785" w:type="dxa"/>
            <w:vAlign w:val="center"/>
          </w:tcPr>
          <w:p w14:paraId="1D143C0E">
            <w:pPr>
              <w:pStyle w:val="445"/>
              <w:rPr>
                <w:rFonts w:cs="Times New Roman"/>
                <w:kern w:val="0"/>
                <w:szCs w:val="20"/>
              </w:rPr>
            </w:pPr>
            <w:r>
              <w:rPr>
                <w:rFonts w:cs="Times New Roman"/>
                <w:kern w:val="0"/>
                <w:szCs w:val="20"/>
              </w:rPr>
              <w:t>/</w:t>
            </w:r>
          </w:p>
        </w:tc>
      </w:tr>
      <w:tr w14:paraId="02F2A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CE527DF">
            <w:pPr>
              <w:pStyle w:val="445"/>
              <w:rPr>
                <w:rFonts w:cs="Times New Roman"/>
                <w:kern w:val="0"/>
                <w:szCs w:val="18"/>
              </w:rPr>
            </w:pPr>
          </w:p>
        </w:tc>
        <w:tc>
          <w:tcPr>
            <w:tcW w:w="3116" w:type="dxa"/>
            <w:vAlign w:val="center"/>
          </w:tcPr>
          <w:p w14:paraId="6E37613D">
            <w:pPr>
              <w:pStyle w:val="445"/>
              <w:rPr>
                <w:rFonts w:cs="Times New Roman"/>
                <w:kern w:val="0"/>
                <w:szCs w:val="20"/>
              </w:rPr>
            </w:pPr>
            <w:r>
              <w:rPr>
                <w:rFonts w:cs="Times New Roman"/>
                <w:kern w:val="0"/>
                <w:szCs w:val="20"/>
              </w:rPr>
              <w:t>岸线方向/°</w:t>
            </w:r>
          </w:p>
        </w:tc>
        <w:tc>
          <w:tcPr>
            <w:tcW w:w="2785" w:type="dxa"/>
            <w:vAlign w:val="center"/>
          </w:tcPr>
          <w:p w14:paraId="5D9A4916">
            <w:pPr>
              <w:pStyle w:val="445"/>
              <w:rPr>
                <w:rFonts w:cs="Times New Roman"/>
                <w:kern w:val="0"/>
                <w:szCs w:val="20"/>
              </w:rPr>
            </w:pPr>
            <w:r>
              <w:rPr>
                <w:rFonts w:cs="Times New Roman"/>
                <w:kern w:val="0"/>
                <w:szCs w:val="20"/>
              </w:rPr>
              <w:t>/</w:t>
            </w:r>
          </w:p>
        </w:tc>
      </w:tr>
    </w:tbl>
    <w:p w14:paraId="32348331">
      <w:pPr>
        <w:pStyle w:val="445"/>
        <w:ind w:firstLine="480"/>
        <w:jc w:val="left"/>
        <w:rPr>
          <w:rFonts w:cs="Times New Roman"/>
        </w:rPr>
      </w:pPr>
      <w:r>
        <w:rPr>
          <w:rFonts w:hint="eastAsia" w:ascii="宋体" w:hAnsi="宋体"/>
        </w:rPr>
        <w:t>注：①本项目周边</w:t>
      </w:r>
      <w:r>
        <w:rPr>
          <w:rFonts w:hint="eastAsia"/>
        </w:rPr>
        <w:t>3km</w:t>
      </w:r>
      <w:r>
        <w:rPr>
          <w:rFonts w:hint="eastAsia" w:ascii="宋体" w:hAnsi="宋体"/>
        </w:rPr>
        <w:t>范围内城市建成区或规划区面积不到一半，因此选择农村；</w:t>
      </w:r>
    </w:p>
    <w:p w14:paraId="2399B29E">
      <w:pPr>
        <w:pStyle w:val="445"/>
        <w:ind w:firstLine="360" w:firstLineChars="200"/>
        <w:jc w:val="left"/>
      </w:pPr>
      <w:r>
        <w:rPr>
          <w:rFonts w:hint="eastAsia" w:ascii="宋体" w:hAnsi="宋体"/>
        </w:rPr>
        <w:t>②潮湿气候划分根据中国干湿地区划分图进行确定，本项目为半湿润区，参数选择中等湿度气候；</w:t>
      </w:r>
    </w:p>
    <w:p w14:paraId="340792B3">
      <w:pPr>
        <w:pStyle w:val="445"/>
        <w:ind w:firstLine="360" w:firstLineChars="200"/>
        <w:jc w:val="left"/>
      </w:pPr>
      <w:r>
        <w:rPr>
          <w:rFonts w:hint="eastAsia" w:ascii="宋体" w:hAnsi="宋体"/>
        </w:rPr>
        <w:t>③根据《环境影响评价技术导则</w:t>
      </w:r>
      <w:r>
        <w:t xml:space="preserve"> </w:t>
      </w:r>
      <w:r>
        <w:rPr>
          <w:rFonts w:ascii="宋体" w:hAnsi="宋体"/>
        </w:rPr>
        <w:t>大气环境》（</w:t>
      </w:r>
      <w:r>
        <w:t>HJ2.2-2018</w:t>
      </w:r>
      <w:r>
        <w:rPr>
          <w:rFonts w:hint="eastAsia" w:ascii="宋体" w:hAnsi="宋体"/>
        </w:rPr>
        <w:t>）：当建设项目处于大型水体（海或湖）岸边</w:t>
      </w:r>
      <w:r>
        <w:t>3km</w:t>
      </w:r>
      <w:r>
        <w:rPr>
          <w:rFonts w:hint="eastAsia" w:ascii="宋体" w:hAnsi="宋体"/>
        </w:rPr>
        <w:t>范围内时，应首先采用附录</w:t>
      </w:r>
      <w:r>
        <w:t>A</w:t>
      </w:r>
      <w:r>
        <w:rPr>
          <w:rFonts w:hint="eastAsia" w:ascii="宋体" w:hAnsi="宋体"/>
        </w:rPr>
        <w:t>估算模型判定是否会发生熏烟现象。本项目</w:t>
      </w:r>
      <w:r>
        <w:t>3km</w:t>
      </w:r>
      <w:r>
        <w:rPr>
          <w:rFonts w:hint="eastAsia" w:ascii="宋体" w:hAnsi="宋体"/>
        </w:rPr>
        <w:t>范围内无大型海或湖，不考虑熏烟现象。</w:t>
      </w:r>
    </w:p>
    <w:p w14:paraId="30E727A0">
      <w:pPr>
        <w:ind w:firstLine="480"/>
        <w:rPr>
          <w:rFonts w:ascii="宋体" w:hAnsi="宋体"/>
        </w:rPr>
      </w:pPr>
      <w:r>
        <w:rPr>
          <w:rFonts w:hint="eastAsia" w:ascii="宋体" w:hAnsi="宋体"/>
        </w:rPr>
        <w:t>估算数值计算各污染物参数见表</w:t>
      </w:r>
      <w:r>
        <w:t>2.3.1-3</w:t>
      </w:r>
      <w:r>
        <w:rPr>
          <w:rFonts w:hint="eastAsia" w:ascii="宋体" w:hAnsi="宋体"/>
        </w:rPr>
        <w:t>。</w:t>
      </w:r>
    </w:p>
    <w:p w14:paraId="2EE7F05B">
      <w:pPr>
        <w:spacing w:line="500" w:lineRule="exact"/>
        <w:ind w:firstLine="0" w:firstLineChars="0"/>
        <w:jc w:val="center"/>
        <w:rPr>
          <w:rFonts w:ascii="黑体" w:hAnsi="黑体" w:eastAsia="黑体"/>
        </w:rPr>
      </w:pPr>
      <w:r>
        <w:rPr>
          <w:rFonts w:hint="eastAsia" w:ascii="黑体" w:hAnsi="黑体" w:eastAsia="黑体"/>
        </w:rPr>
        <w:t>表</w:t>
      </w:r>
      <w:r>
        <w:rPr>
          <w:rFonts w:eastAsia="黑体"/>
        </w:rPr>
        <w:t xml:space="preserve">2.3.1-3   </w:t>
      </w:r>
      <w:r>
        <w:rPr>
          <w:rFonts w:ascii="黑体" w:hAnsi="黑体" w:eastAsia="黑体"/>
        </w:rPr>
        <w:t>大气污染因子最大地面浓度占标率计算表</w:t>
      </w:r>
    </w:p>
    <w:tbl>
      <w:tblPr>
        <w:tblStyle w:val="64"/>
        <w:tblW w:w="8529" w:type="dxa"/>
        <w:tblInd w:w="96"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016"/>
        <w:gridCol w:w="1499"/>
        <w:gridCol w:w="1136"/>
        <w:gridCol w:w="1551"/>
        <w:gridCol w:w="1240"/>
        <w:gridCol w:w="1087"/>
      </w:tblGrid>
      <w:tr w14:paraId="30C85C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2016" w:type="dxa"/>
            <w:vMerge w:val="restart"/>
            <w:tcBorders>
              <w:tl2br w:val="nil"/>
              <w:tr2bl w:val="nil"/>
            </w:tcBorders>
            <w:shd w:val="clear" w:color="auto" w:fill="auto"/>
            <w:noWrap/>
            <w:vAlign w:val="center"/>
          </w:tcPr>
          <w:p w14:paraId="54FFC21D">
            <w:pPr>
              <w:pStyle w:val="445"/>
            </w:pPr>
            <w:r>
              <w:rPr>
                <w:rFonts w:hint="eastAsia"/>
              </w:rPr>
              <w:t>污染源</w:t>
            </w:r>
          </w:p>
        </w:tc>
        <w:tc>
          <w:tcPr>
            <w:tcW w:w="1499" w:type="dxa"/>
            <w:vMerge w:val="restart"/>
            <w:tcBorders>
              <w:tl2br w:val="nil"/>
              <w:tr2bl w:val="nil"/>
            </w:tcBorders>
            <w:shd w:val="clear" w:color="auto" w:fill="auto"/>
            <w:noWrap/>
            <w:vAlign w:val="center"/>
          </w:tcPr>
          <w:p w14:paraId="72C6AFD1">
            <w:pPr>
              <w:pStyle w:val="445"/>
            </w:pPr>
            <w:r>
              <w:rPr>
                <w:rFonts w:hint="eastAsia"/>
              </w:rPr>
              <w:t>污染物</w:t>
            </w:r>
          </w:p>
        </w:tc>
        <w:tc>
          <w:tcPr>
            <w:tcW w:w="3927" w:type="dxa"/>
            <w:gridSpan w:val="3"/>
            <w:tcBorders>
              <w:tl2br w:val="nil"/>
              <w:tr2bl w:val="nil"/>
            </w:tcBorders>
            <w:shd w:val="clear" w:color="auto" w:fill="auto"/>
            <w:noWrap/>
            <w:vAlign w:val="center"/>
          </w:tcPr>
          <w:p w14:paraId="4B53EA99">
            <w:pPr>
              <w:pStyle w:val="445"/>
            </w:pPr>
            <w:r>
              <w:rPr>
                <w:rFonts w:hint="eastAsia"/>
              </w:rPr>
              <w:t>下风向最大落地浓度</w:t>
            </w:r>
          </w:p>
        </w:tc>
        <w:tc>
          <w:tcPr>
            <w:tcW w:w="1087" w:type="dxa"/>
            <w:vMerge w:val="restart"/>
            <w:tcBorders>
              <w:tl2br w:val="nil"/>
              <w:tr2bl w:val="nil"/>
            </w:tcBorders>
            <w:shd w:val="clear" w:color="auto" w:fill="auto"/>
            <w:noWrap/>
            <w:vAlign w:val="center"/>
          </w:tcPr>
          <w:p w14:paraId="6D5BCB38">
            <w:pPr>
              <w:pStyle w:val="445"/>
            </w:pPr>
            <w:r>
              <w:rPr>
                <w:rFonts w:hint="eastAsia"/>
              </w:rPr>
              <w:t>D10%出现的</w:t>
            </w:r>
          </w:p>
          <w:p w14:paraId="759002CD">
            <w:pPr>
              <w:pStyle w:val="445"/>
              <w:rPr>
                <w:rFonts w:eastAsia="等线"/>
                <w:color w:val="000000"/>
                <w:sz w:val="22"/>
                <w:lang w:bidi="ar"/>
              </w:rPr>
            </w:pPr>
            <w:r>
              <w:rPr>
                <w:rFonts w:hint="eastAsia"/>
              </w:rPr>
              <w:t>距离/m</w:t>
            </w:r>
          </w:p>
        </w:tc>
      </w:tr>
      <w:tr w14:paraId="45FB13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2016" w:type="dxa"/>
            <w:vMerge w:val="continue"/>
            <w:tcBorders>
              <w:tl2br w:val="nil"/>
              <w:tr2bl w:val="nil"/>
            </w:tcBorders>
            <w:shd w:val="clear" w:color="auto" w:fill="auto"/>
            <w:noWrap/>
            <w:vAlign w:val="center"/>
          </w:tcPr>
          <w:p w14:paraId="1185CF65">
            <w:pPr>
              <w:pStyle w:val="445"/>
            </w:pPr>
          </w:p>
        </w:tc>
        <w:tc>
          <w:tcPr>
            <w:tcW w:w="1499" w:type="dxa"/>
            <w:vMerge w:val="continue"/>
            <w:tcBorders>
              <w:tl2br w:val="nil"/>
              <w:tr2bl w:val="nil"/>
            </w:tcBorders>
            <w:shd w:val="clear" w:color="auto" w:fill="auto"/>
            <w:noWrap/>
            <w:vAlign w:val="center"/>
          </w:tcPr>
          <w:p w14:paraId="55721860">
            <w:pPr>
              <w:pStyle w:val="445"/>
            </w:pPr>
          </w:p>
        </w:tc>
        <w:tc>
          <w:tcPr>
            <w:tcW w:w="1136" w:type="dxa"/>
            <w:tcBorders>
              <w:tl2br w:val="nil"/>
              <w:tr2bl w:val="nil"/>
            </w:tcBorders>
            <w:shd w:val="clear" w:color="auto" w:fill="auto"/>
            <w:noWrap/>
            <w:vAlign w:val="center"/>
          </w:tcPr>
          <w:p w14:paraId="151E0E0B">
            <w:pPr>
              <w:pStyle w:val="445"/>
            </w:pPr>
            <w:r>
              <w:t>下风向预测最大落地浓度ci/（mg/m</w:t>
            </w:r>
            <w:r>
              <w:rPr>
                <w:vertAlign w:val="superscript"/>
              </w:rPr>
              <w:t>3</w:t>
            </w:r>
            <w:r>
              <w:t>）</w:t>
            </w:r>
          </w:p>
        </w:tc>
        <w:tc>
          <w:tcPr>
            <w:tcW w:w="1551" w:type="dxa"/>
            <w:tcBorders>
              <w:tl2br w:val="nil"/>
              <w:tr2bl w:val="nil"/>
            </w:tcBorders>
            <w:shd w:val="clear" w:color="auto" w:fill="auto"/>
            <w:noWrap/>
            <w:vAlign w:val="center"/>
          </w:tcPr>
          <w:p w14:paraId="3D0D7671">
            <w:pPr>
              <w:pStyle w:val="445"/>
            </w:pPr>
            <w:r>
              <w:t>浓度占标率Pi/%</w:t>
            </w:r>
          </w:p>
        </w:tc>
        <w:tc>
          <w:tcPr>
            <w:tcW w:w="1240" w:type="dxa"/>
            <w:tcBorders>
              <w:tl2br w:val="nil"/>
              <w:tr2bl w:val="nil"/>
            </w:tcBorders>
            <w:shd w:val="clear" w:color="auto" w:fill="auto"/>
            <w:noWrap/>
            <w:vAlign w:val="center"/>
          </w:tcPr>
          <w:p w14:paraId="48859A9A">
            <w:pPr>
              <w:pStyle w:val="445"/>
            </w:pPr>
            <w:r>
              <w:t>最大落地浓度出现的距离D/m</w:t>
            </w:r>
          </w:p>
        </w:tc>
        <w:tc>
          <w:tcPr>
            <w:tcW w:w="1087" w:type="dxa"/>
            <w:vMerge w:val="continue"/>
            <w:tcBorders>
              <w:tl2br w:val="nil"/>
              <w:tr2bl w:val="nil"/>
            </w:tcBorders>
            <w:shd w:val="clear" w:color="auto" w:fill="auto"/>
            <w:noWrap/>
            <w:vAlign w:val="center"/>
          </w:tcPr>
          <w:p w14:paraId="4888DFB6">
            <w:pPr>
              <w:pStyle w:val="445"/>
              <w:rPr>
                <w:rFonts w:eastAsia="等线"/>
                <w:color w:val="000000"/>
                <w:sz w:val="22"/>
                <w:lang w:bidi="ar"/>
              </w:rPr>
            </w:pPr>
          </w:p>
        </w:tc>
      </w:tr>
      <w:tr w14:paraId="147534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4C343CCD">
            <w:pPr>
              <w:pStyle w:val="445"/>
            </w:pPr>
            <w:r>
              <w:t>DA018</w:t>
            </w:r>
          </w:p>
        </w:tc>
        <w:tc>
          <w:tcPr>
            <w:tcW w:w="0" w:type="auto"/>
            <w:tcBorders>
              <w:tl2br w:val="nil"/>
              <w:tr2bl w:val="nil"/>
            </w:tcBorders>
            <w:shd w:val="clear" w:color="auto" w:fill="auto"/>
            <w:noWrap/>
            <w:vAlign w:val="center"/>
          </w:tcPr>
          <w:p w14:paraId="0B0D5254">
            <w:pPr>
              <w:pStyle w:val="445"/>
            </w:pPr>
            <w:r>
              <w:t>PM</w:t>
            </w:r>
            <w:r>
              <w:rPr>
                <w:vertAlign w:val="subscript"/>
              </w:rPr>
              <w:t>10</w:t>
            </w:r>
          </w:p>
        </w:tc>
        <w:tc>
          <w:tcPr>
            <w:tcW w:w="1136" w:type="dxa"/>
            <w:tcBorders>
              <w:tl2br w:val="nil"/>
              <w:tr2bl w:val="nil"/>
            </w:tcBorders>
            <w:shd w:val="clear" w:color="auto" w:fill="auto"/>
            <w:noWrap/>
            <w:vAlign w:val="center"/>
          </w:tcPr>
          <w:p w14:paraId="191C096E">
            <w:pPr>
              <w:pStyle w:val="445"/>
            </w:pPr>
            <w:r>
              <w:t>1.29E-02</w:t>
            </w:r>
          </w:p>
        </w:tc>
        <w:tc>
          <w:tcPr>
            <w:tcW w:w="1551" w:type="dxa"/>
            <w:tcBorders>
              <w:tl2br w:val="nil"/>
              <w:tr2bl w:val="nil"/>
            </w:tcBorders>
            <w:shd w:val="clear" w:color="auto" w:fill="auto"/>
            <w:noWrap/>
            <w:vAlign w:val="center"/>
          </w:tcPr>
          <w:p w14:paraId="63A27B2E">
            <w:pPr>
              <w:pStyle w:val="445"/>
            </w:pPr>
            <w:r>
              <w:t>2.87</w:t>
            </w:r>
          </w:p>
        </w:tc>
        <w:tc>
          <w:tcPr>
            <w:tcW w:w="1240" w:type="dxa"/>
            <w:vMerge w:val="restart"/>
            <w:tcBorders>
              <w:tl2br w:val="nil"/>
              <w:tr2bl w:val="nil"/>
            </w:tcBorders>
            <w:shd w:val="clear" w:color="auto" w:fill="auto"/>
            <w:noWrap/>
            <w:vAlign w:val="center"/>
          </w:tcPr>
          <w:p w14:paraId="6B5C72B8">
            <w:pPr>
              <w:pStyle w:val="445"/>
            </w:pPr>
            <w:r>
              <w:rPr>
                <w:rFonts w:hint="eastAsia"/>
              </w:rPr>
              <w:t>/</w:t>
            </w:r>
          </w:p>
        </w:tc>
        <w:tc>
          <w:tcPr>
            <w:tcW w:w="0" w:type="auto"/>
            <w:tcBorders>
              <w:tl2br w:val="nil"/>
              <w:tr2bl w:val="nil"/>
            </w:tcBorders>
            <w:shd w:val="clear" w:color="auto" w:fill="auto"/>
            <w:noWrap/>
            <w:vAlign w:val="center"/>
          </w:tcPr>
          <w:p w14:paraId="54A9E2F8">
            <w:pPr>
              <w:pStyle w:val="445"/>
            </w:pPr>
            <w:r>
              <w:rPr>
                <w:rFonts w:hint="eastAsia"/>
              </w:rPr>
              <w:t>/</w:t>
            </w:r>
          </w:p>
        </w:tc>
      </w:tr>
      <w:tr w14:paraId="3B092B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6F5D0537">
            <w:pPr>
              <w:pStyle w:val="445"/>
            </w:pPr>
          </w:p>
        </w:tc>
        <w:tc>
          <w:tcPr>
            <w:tcW w:w="0" w:type="auto"/>
            <w:tcBorders>
              <w:tl2br w:val="nil"/>
              <w:tr2bl w:val="nil"/>
            </w:tcBorders>
            <w:shd w:val="clear" w:color="auto" w:fill="auto"/>
            <w:noWrap/>
            <w:vAlign w:val="center"/>
          </w:tcPr>
          <w:p w14:paraId="5E9DF029">
            <w:pPr>
              <w:pStyle w:val="445"/>
            </w:pPr>
            <w:r>
              <w:t>PM</w:t>
            </w:r>
            <w:r>
              <w:rPr>
                <w:vertAlign w:val="subscript"/>
              </w:rPr>
              <w:t>2.5</w:t>
            </w:r>
          </w:p>
        </w:tc>
        <w:tc>
          <w:tcPr>
            <w:tcW w:w="1136" w:type="dxa"/>
            <w:tcBorders>
              <w:tl2br w:val="nil"/>
              <w:tr2bl w:val="nil"/>
            </w:tcBorders>
            <w:shd w:val="clear" w:color="auto" w:fill="auto"/>
            <w:noWrap/>
            <w:vAlign w:val="center"/>
          </w:tcPr>
          <w:p w14:paraId="6C13455C">
            <w:pPr>
              <w:pStyle w:val="445"/>
            </w:pPr>
            <w:r>
              <w:t>6.46E-03</w:t>
            </w:r>
          </w:p>
        </w:tc>
        <w:tc>
          <w:tcPr>
            <w:tcW w:w="1551" w:type="dxa"/>
            <w:tcBorders>
              <w:tl2br w:val="nil"/>
              <w:tr2bl w:val="nil"/>
            </w:tcBorders>
            <w:shd w:val="clear" w:color="auto" w:fill="auto"/>
            <w:noWrap/>
            <w:vAlign w:val="center"/>
          </w:tcPr>
          <w:p w14:paraId="3A58CCEA">
            <w:pPr>
              <w:pStyle w:val="445"/>
            </w:pPr>
            <w:r>
              <w:t>2.87</w:t>
            </w:r>
          </w:p>
        </w:tc>
        <w:tc>
          <w:tcPr>
            <w:tcW w:w="1240" w:type="dxa"/>
            <w:vMerge w:val="continue"/>
            <w:tcBorders>
              <w:tl2br w:val="nil"/>
              <w:tr2bl w:val="nil"/>
            </w:tcBorders>
            <w:shd w:val="clear" w:color="auto" w:fill="auto"/>
            <w:noWrap/>
            <w:vAlign w:val="center"/>
          </w:tcPr>
          <w:p w14:paraId="7BB9F576">
            <w:pPr>
              <w:pStyle w:val="445"/>
            </w:pPr>
          </w:p>
        </w:tc>
        <w:tc>
          <w:tcPr>
            <w:tcW w:w="0" w:type="auto"/>
            <w:tcBorders>
              <w:tl2br w:val="nil"/>
              <w:tr2bl w:val="nil"/>
            </w:tcBorders>
            <w:shd w:val="clear" w:color="auto" w:fill="auto"/>
            <w:noWrap/>
            <w:vAlign w:val="center"/>
          </w:tcPr>
          <w:p w14:paraId="280AA282">
            <w:pPr>
              <w:pStyle w:val="445"/>
            </w:pPr>
            <w:r>
              <w:rPr>
                <w:rFonts w:hint="eastAsia"/>
              </w:rPr>
              <w:t>/</w:t>
            </w:r>
          </w:p>
        </w:tc>
      </w:tr>
      <w:tr w14:paraId="620590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69E0F689">
            <w:pPr>
              <w:pStyle w:val="445"/>
            </w:pPr>
            <w:r>
              <w:t>DA019</w:t>
            </w:r>
          </w:p>
        </w:tc>
        <w:tc>
          <w:tcPr>
            <w:tcW w:w="0" w:type="auto"/>
            <w:tcBorders>
              <w:tl2br w:val="nil"/>
              <w:tr2bl w:val="nil"/>
            </w:tcBorders>
            <w:shd w:val="clear" w:color="auto" w:fill="auto"/>
            <w:noWrap/>
            <w:vAlign w:val="center"/>
          </w:tcPr>
          <w:p w14:paraId="765EDB08">
            <w:pPr>
              <w:pStyle w:val="445"/>
            </w:pPr>
            <w:r>
              <w:rPr>
                <w:rFonts w:hint="eastAsia"/>
              </w:rPr>
              <w:t>非甲烷</w:t>
            </w:r>
            <w:r>
              <w:t>总烃</w:t>
            </w:r>
          </w:p>
        </w:tc>
        <w:tc>
          <w:tcPr>
            <w:tcW w:w="1136" w:type="dxa"/>
            <w:tcBorders>
              <w:tl2br w:val="nil"/>
              <w:tr2bl w:val="nil"/>
            </w:tcBorders>
            <w:shd w:val="clear" w:color="auto" w:fill="auto"/>
            <w:noWrap/>
            <w:vAlign w:val="center"/>
          </w:tcPr>
          <w:p w14:paraId="3005A603">
            <w:pPr>
              <w:pStyle w:val="445"/>
            </w:pPr>
            <w:r>
              <w:t>8.60E-03</w:t>
            </w:r>
          </w:p>
        </w:tc>
        <w:tc>
          <w:tcPr>
            <w:tcW w:w="1551" w:type="dxa"/>
            <w:tcBorders>
              <w:tl2br w:val="nil"/>
              <w:tr2bl w:val="nil"/>
            </w:tcBorders>
            <w:shd w:val="clear" w:color="auto" w:fill="auto"/>
            <w:noWrap/>
            <w:vAlign w:val="center"/>
          </w:tcPr>
          <w:p w14:paraId="63BE8E57">
            <w:pPr>
              <w:pStyle w:val="445"/>
            </w:pPr>
            <w:r>
              <w:t>0.43</w:t>
            </w:r>
          </w:p>
        </w:tc>
        <w:tc>
          <w:tcPr>
            <w:tcW w:w="1240" w:type="dxa"/>
            <w:vMerge w:val="restart"/>
            <w:tcBorders>
              <w:tl2br w:val="nil"/>
              <w:tr2bl w:val="nil"/>
            </w:tcBorders>
            <w:shd w:val="clear" w:color="auto" w:fill="auto"/>
            <w:noWrap/>
            <w:vAlign w:val="center"/>
          </w:tcPr>
          <w:p w14:paraId="206783DD">
            <w:pPr>
              <w:pStyle w:val="445"/>
            </w:pPr>
            <w:r>
              <w:rPr>
                <w:rFonts w:hint="eastAsia"/>
              </w:rPr>
              <w:t>/</w:t>
            </w:r>
          </w:p>
        </w:tc>
        <w:tc>
          <w:tcPr>
            <w:tcW w:w="0" w:type="auto"/>
            <w:tcBorders>
              <w:tl2br w:val="nil"/>
              <w:tr2bl w:val="nil"/>
            </w:tcBorders>
            <w:shd w:val="clear" w:color="auto" w:fill="auto"/>
            <w:noWrap/>
            <w:vAlign w:val="center"/>
          </w:tcPr>
          <w:p w14:paraId="3E3A6A1C">
            <w:pPr>
              <w:pStyle w:val="445"/>
            </w:pPr>
            <w:r>
              <w:rPr>
                <w:rFonts w:hint="eastAsia"/>
              </w:rPr>
              <w:t>/</w:t>
            </w:r>
          </w:p>
        </w:tc>
      </w:tr>
      <w:tr w14:paraId="187E57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0A793704">
            <w:pPr>
              <w:pStyle w:val="445"/>
            </w:pPr>
          </w:p>
        </w:tc>
        <w:tc>
          <w:tcPr>
            <w:tcW w:w="0" w:type="auto"/>
            <w:tcBorders>
              <w:tl2br w:val="nil"/>
              <w:tr2bl w:val="nil"/>
            </w:tcBorders>
            <w:shd w:val="clear" w:color="auto" w:fill="auto"/>
            <w:noWrap/>
            <w:vAlign w:val="center"/>
          </w:tcPr>
          <w:p w14:paraId="6740430E">
            <w:pPr>
              <w:pStyle w:val="445"/>
            </w:pPr>
            <w:r>
              <w:t>甲醇</w:t>
            </w:r>
          </w:p>
        </w:tc>
        <w:tc>
          <w:tcPr>
            <w:tcW w:w="1136" w:type="dxa"/>
            <w:tcBorders>
              <w:tl2br w:val="nil"/>
              <w:tr2bl w:val="nil"/>
            </w:tcBorders>
            <w:shd w:val="clear" w:color="auto" w:fill="auto"/>
            <w:noWrap/>
            <w:vAlign w:val="center"/>
          </w:tcPr>
          <w:p w14:paraId="27596F8A">
            <w:pPr>
              <w:pStyle w:val="445"/>
            </w:pPr>
            <w:r>
              <w:t>6.00E-03</w:t>
            </w:r>
          </w:p>
        </w:tc>
        <w:tc>
          <w:tcPr>
            <w:tcW w:w="1551" w:type="dxa"/>
            <w:tcBorders>
              <w:tl2br w:val="nil"/>
              <w:tr2bl w:val="nil"/>
            </w:tcBorders>
            <w:shd w:val="clear" w:color="auto" w:fill="auto"/>
            <w:noWrap/>
            <w:vAlign w:val="center"/>
          </w:tcPr>
          <w:p w14:paraId="2D18D9D9">
            <w:pPr>
              <w:pStyle w:val="445"/>
            </w:pPr>
            <w:r>
              <w:t>0.2</w:t>
            </w:r>
          </w:p>
        </w:tc>
        <w:tc>
          <w:tcPr>
            <w:tcW w:w="1240" w:type="dxa"/>
            <w:vMerge w:val="continue"/>
            <w:tcBorders>
              <w:tl2br w:val="nil"/>
              <w:tr2bl w:val="nil"/>
            </w:tcBorders>
            <w:shd w:val="clear" w:color="auto" w:fill="auto"/>
            <w:noWrap/>
            <w:vAlign w:val="center"/>
          </w:tcPr>
          <w:p w14:paraId="2D6A3612">
            <w:pPr>
              <w:pStyle w:val="445"/>
            </w:pPr>
          </w:p>
        </w:tc>
        <w:tc>
          <w:tcPr>
            <w:tcW w:w="0" w:type="auto"/>
            <w:tcBorders>
              <w:tl2br w:val="nil"/>
              <w:tr2bl w:val="nil"/>
            </w:tcBorders>
            <w:shd w:val="clear" w:color="auto" w:fill="auto"/>
            <w:noWrap/>
            <w:vAlign w:val="center"/>
          </w:tcPr>
          <w:p w14:paraId="5EA91B04">
            <w:pPr>
              <w:pStyle w:val="445"/>
            </w:pPr>
            <w:r>
              <w:rPr>
                <w:rFonts w:hint="eastAsia"/>
              </w:rPr>
              <w:t>/</w:t>
            </w:r>
          </w:p>
        </w:tc>
      </w:tr>
      <w:tr w14:paraId="2A853E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41ECA473">
            <w:pPr>
              <w:pStyle w:val="445"/>
            </w:pPr>
          </w:p>
        </w:tc>
        <w:tc>
          <w:tcPr>
            <w:tcW w:w="1499" w:type="dxa"/>
            <w:tcBorders>
              <w:tl2br w:val="nil"/>
              <w:tr2bl w:val="nil"/>
            </w:tcBorders>
            <w:shd w:val="clear" w:color="auto" w:fill="auto"/>
            <w:noWrap/>
            <w:vAlign w:val="center"/>
          </w:tcPr>
          <w:p w14:paraId="2E6D9DEE">
            <w:pPr>
              <w:pStyle w:val="445"/>
            </w:pPr>
            <w:r>
              <w:t>PM</w:t>
            </w:r>
            <w:r>
              <w:rPr>
                <w:vertAlign w:val="subscript"/>
              </w:rPr>
              <w:t>10</w:t>
            </w:r>
          </w:p>
        </w:tc>
        <w:tc>
          <w:tcPr>
            <w:tcW w:w="1136" w:type="dxa"/>
            <w:tcBorders>
              <w:tl2br w:val="nil"/>
              <w:tr2bl w:val="nil"/>
            </w:tcBorders>
            <w:shd w:val="clear" w:color="auto" w:fill="auto"/>
            <w:noWrap/>
            <w:vAlign w:val="center"/>
          </w:tcPr>
          <w:p w14:paraId="3E50783F">
            <w:pPr>
              <w:pStyle w:val="445"/>
            </w:pPr>
            <w:r>
              <w:t>9.00E-05</w:t>
            </w:r>
          </w:p>
        </w:tc>
        <w:tc>
          <w:tcPr>
            <w:tcW w:w="1551" w:type="dxa"/>
            <w:tcBorders>
              <w:tl2br w:val="nil"/>
              <w:tr2bl w:val="nil"/>
            </w:tcBorders>
            <w:shd w:val="clear" w:color="auto" w:fill="auto"/>
            <w:noWrap/>
            <w:vAlign w:val="center"/>
          </w:tcPr>
          <w:p w14:paraId="3021D8FD">
            <w:pPr>
              <w:pStyle w:val="445"/>
            </w:pPr>
            <w:r>
              <w:t>0.02</w:t>
            </w:r>
          </w:p>
        </w:tc>
        <w:tc>
          <w:tcPr>
            <w:tcW w:w="1240" w:type="dxa"/>
            <w:vMerge w:val="continue"/>
            <w:tcBorders>
              <w:tl2br w:val="nil"/>
              <w:tr2bl w:val="nil"/>
            </w:tcBorders>
            <w:shd w:val="clear" w:color="auto" w:fill="auto"/>
            <w:noWrap/>
            <w:vAlign w:val="center"/>
          </w:tcPr>
          <w:p w14:paraId="1D8E1C0F">
            <w:pPr>
              <w:pStyle w:val="445"/>
            </w:pPr>
          </w:p>
        </w:tc>
        <w:tc>
          <w:tcPr>
            <w:tcW w:w="0" w:type="auto"/>
            <w:tcBorders>
              <w:tl2br w:val="nil"/>
              <w:tr2bl w:val="nil"/>
            </w:tcBorders>
            <w:shd w:val="clear" w:color="auto" w:fill="auto"/>
            <w:noWrap/>
            <w:vAlign w:val="center"/>
          </w:tcPr>
          <w:p w14:paraId="6FD71D20">
            <w:pPr>
              <w:pStyle w:val="445"/>
            </w:pPr>
            <w:r>
              <w:rPr>
                <w:rFonts w:hint="eastAsia"/>
              </w:rPr>
              <w:t>/</w:t>
            </w:r>
          </w:p>
        </w:tc>
      </w:tr>
      <w:tr w14:paraId="674624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54C9E0BB">
            <w:pPr>
              <w:pStyle w:val="445"/>
            </w:pPr>
          </w:p>
        </w:tc>
        <w:tc>
          <w:tcPr>
            <w:tcW w:w="1499" w:type="dxa"/>
            <w:tcBorders>
              <w:tl2br w:val="nil"/>
              <w:tr2bl w:val="nil"/>
            </w:tcBorders>
            <w:shd w:val="clear" w:color="auto" w:fill="auto"/>
            <w:noWrap/>
            <w:vAlign w:val="center"/>
          </w:tcPr>
          <w:p w14:paraId="5FBF391A">
            <w:pPr>
              <w:pStyle w:val="445"/>
            </w:pPr>
            <w:r>
              <w:t>PM</w:t>
            </w:r>
            <w:r>
              <w:rPr>
                <w:vertAlign w:val="subscript"/>
              </w:rPr>
              <w:t>2.5</w:t>
            </w:r>
          </w:p>
        </w:tc>
        <w:tc>
          <w:tcPr>
            <w:tcW w:w="1136" w:type="dxa"/>
            <w:tcBorders>
              <w:tl2br w:val="nil"/>
              <w:tr2bl w:val="nil"/>
            </w:tcBorders>
            <w:shd w:val="clear" w:color="auto" w:fill="auto"/>
            <w:noWrap/>
            <w:vAlign w:val="center"/>
          </w:tcPr>
          <w:p w14:paraId="45FE8C1D">
            <w:pPr>
              <w:pStyle w:val="445"/>
            </w:pPr>
            <w:r>
              <w:t>4.50E-05</w:t>
            </w:r>
          </w:p>
        </w:tc>
        <w:tc>
          <w:tcPr>
            <w:tcW w:w="1551" w:type="dxa"/>
            <w:tcBorders>
              <w:tl2br w:val="nil"/>
              <w:tr2bl w:val="nil"/>
            </w:tcBorders>
            <w:shd w:val="clear" w:color="auto" w:fill="auto"/>
            <w:noWrap/>
            <w:vAlign w:val="center"/>
          </w:tcPr>
          <w:p w14:paraId="5151FD11">
            <w:pPr>
              <w:pStyle w:val="445"/>
            </w:pPr>
            <w:r>
              <w:t>0.02</w:t>
            </w:r>
          </w:p>
        </w:tc>
        <w:tc>
          <w:tcPr>
            <w:tcW w:w="1240" w:type="dxa"/>
            <w:vMerge w:val="continue"/>
            <w:tcBorders>
              <w:tl2br w:val="nil"/>
              <w:tr2bl w:val="nil"/>
            </w:tcBorders>
            <w:shd w:val="clear" w:color="auto" w:fill="auto"/>
            <w:noWrap/>
            <w:vAlign w:val="center"/>
          </w:tcPr>
          <w:p w14:paraId="5166486C">
            <w:pPr>
              <w:pStyle w:val="445"/>
            </w:pPr>
          </w:p>
        </w:tc>
        <w:tc>
          <w:tcPr>
            <w:tcW w:w="0" w:type="auto"/>
            <w:tcBorders>
              <w:tl2br w:val="nil"/>
              <w:tr2bl w:val="nil"/>
            </w:tcBorders>
            <w:shd w:val="clear" w:color="auto" w:fill="auto"/>
            <w:noWrap/>
            <w:vAlign w:val="center"/>
          </w:tcPr>
          <w:p w14:paraId="5BF52981">
            <w:pPr>
              <w:pStyle w:val="445"/>
            </w:pPr>
            <w:r>
              <w:rPr>
                <w:rFonts w:hint="eastAsia"/>
              </w:rPr>
              <w:t>/</w:t>
            </w:r>
          </w:p>
        </w:tc>
      </w:tr>
      <w:tr w14:paraId="649AFF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08F854D7">
            <w:pPr>
              <w:pStyle w:val="445"/>
            </w:pPr>
            <w:r>
              <w:t>DA020</w:t>
            </w:r>
          </w:p>
        </w:tc>
        <w:tc>
          <w:tcPr>
            <w:tcW w:w="0" w:type="auto"/>
            <w:tcBorders>
              <w:tl2br w:val="nil"/>
              <w:tr2bl w:val="nil"/>
            </w:tcBorders>
            <w:shd w:val="clear" w:color="auto" w:fill="auto"/>
            <w:noWrap/>
            <w:vAlign w:val="center"/>
          </w:tcPr>
          <w:p w14:paraId="39DB647E">
            <w:pPr>
              <w:pStyle w:val="445"/>
            </w:pPr>
            <w:r>
              <w:rPr>
                <w:rFonts w:hint="eastAsia"/>
              </w:rPr>
              <w:t>非甲烷</w:t>
            </w:r>
            <w:r>
              <w:t>总烃</w:t>
            </w:r>
          </w:p>
        </w:tc>
        <w:tc>
          <w:tcPr>
            <w:tcW w:w="1136" w:type="dxa"/>
            <w:tcBorders>
              <w:tl2br w:val="nil"/>
              <w:tr2bl w:val="nil"/>
            </w:tcBorders>
            <w:shd w:val="clear" w:color="auto" w:fill="auto"/>
            <w:noWrap/>
            <w:vAlign w:val="center"/>
          </w:tcPr>
          <w:p w14:paraId="30AB0BF1">
            <w:pPr>
              <w:pStyle w:val="445"/>
            </w:pPr>
            <w:r>
              <w:t>4.00E-04</w:t>
            </w:r>
          </w:p>
        </w:tc>
        <w:tc>
          <w:tcPr>
            <w:tcW w:w="1551" w:type="dxa"/>
            <w:tcBorders>
              <w:tl2br w:val="nil"/>
              <w:tr2bl w:val="nil"/>
            </w:tcBorders>
            <w:shd w:val="clear" w:color="auto" w:fill="auto"/>
            <w:noWrap/>
            <w:vAlign w:val="center"/>
          </w:tcPr>
          <w:p w14:paraId="2CF5F20C">
            <w:pPr>
              <w:pStyle w:val="445"/>
            </w:pPr>
            <w:r>
              <w:t>0.02</w:t>
            </w:r>
          </w:p>
        </w:tc>
        <w:tc>
          <w:tcPr>
            <w:tcW w:w="1240" w:type="dxa"/>
            <w:vMerge w:val="restart"/>
            <w:tcBorders>
              <w:tl2br w:val="nil"/>
              <w:tr2bl w:val="nil"/>
            </w:tcBorders>
            <w:shd w:val="clear" w:color="auto" w:fill="auto"/>
            <w:noWrap/>
            <w:vAlign w:val="center"/>
          </w:tcPr>
          <w:p w14:paraId="72537380">
            <w:pPr>
              <w:pStyle w:val="445"/>
            </w:pPr>
            <w:r>
              <w:rPr>
                <w:rFonts w:hint="eastAsia"/>
              </w:rPr>
              <w:t>/</w:t>
            </w:r>
          </w:p>
        </w:tc>
        <w:tc>
          <w:tcPr>
            <w:tcW w:w="0" w:type="auto"/>
            <w:tcBorders>
              <w:tl2br w:val="nil"/>
              <w:tr2bl w:val="nil"/>
            </w:tcBorders>
            <w:shd w:val="clear" w:color="auto" w:fill="auto"/>
            <w:noWrap/>
            <w:vAlign w:val="center"/>
          </w:tcPr>
          <w:p w14:paraId="0682D7BC">
            <w:pPr>
              <w:pStyle w:val="445"/>
            </w:pPr>
            <w:r>
              <w:rPr>
                <w:rFonts w:hint="eastAsia"/>
              </w:rPr>
              <w:t>/</w:t>
            </w:r>
          </w:p>
        </w:tc>
      </w:tr>
      <w:tr w14:paraId="5F4911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2956C6CF">
            <w:pPr>
              <w:pStyle w:val="445"/>
            </w:pPr>
          </w:p>
        </w:tc>
        <w:tc>
          <w:tcPr>
            <w:tcW w:w="0" w:type="auto"/>
            <w:tcBorders>
              <w:tl2br w:val="nil"/>
              <w:tr2bl w:val="nil"/>
            </w:tcBorders>
            <w:shd w:val="clear" w:color="auto" w:fill="auto"/>
            <w:noWrap/>
            <w:vAlign w:val="center"/>
          </w:tcPr>
          <w:p w14:paraId="0115C0E7">
            <w:pPr>
              <w:pStyle w:val="445"/>
            </w:pPr>
            <w:r>
              <w:t>甲醇</w:t>
            </w:r>
          </w:p>
        </w:tc>
        <w:tc>
          <w:tcPr>
            <w:tcW w:w="1136" w:type="dxa"/>
            <w:tcBorders>
              <w:tl2br w:val="nil"/>
              <w:tr2bl w:val="nil"/>
            </w:tcBorders>
            <w:shd w:val="clear" w:color="auto" w:fill="auto"/>
            <w:noWrap/>
            <w:vAlign w:val="center"/>
          </w:tcPr>
          <w:p w14:paraId="3A961F42">
            <w:pPr>
              <w:pStyle w:val="445"/>
            </w:pPr>
            <w:r>
              <w:t>3.00E-04</w:t>
            </w:r>
          </w:p>
        </w:tc>
        <w:tc>
          <w:tcPr>
            <w:tcW w:w="1551" w:type="dxa"/>
            <w:tcBorders>
              <w:tl2br w:val="nil"/>
              <w:tr2bl w:val="nil"/>
            </w:tcBorders>
            <w:shd w:val="clear" w:color="auto" w:fill="auto"/>
            <w:noWrap/>
            <w:vAlign w:val="center"/>
          </w:tcPr>
          <w:p w14:paraId="2C39E971">
            <w:pPr>
              <w:pStyle w:val="445"/>
            </w:pPr>
            <w:r>
              <w:t>0.01</w:t>
            </w:r>
          </w:p>
        </w:tc>
        <w:tc>
          <w:tcPr>
            <w:tcW w:w="1240" w:type="dxa"/>
            <w:vMerge w:val="continue"/>
            <w:tcBorders>
              <w:tl2br w:val="nil"/>
              <w:tr2bl w:val="nil"/>
            </w:tcBorders>
            <w:shd w:val="clear" w:color="auto" w:fill="auto"/>
            <w:noWrap/>
            <w:vAlign w:val="center"/>
          </w:tcPr>
          <w:p w14:paraId="44BD5769">
            <w:pPr>
              <w:pStyle w:val="445"/>
            </w:pPr>
          </w:p>
        </w:tc>
        <w:tc>
          <w:tcPr>
            <w:tcW w:w="0" w:type="auto"/>
            <w:tcBorders>
              <w:tl2br w:val="nil"/>
              <w:tr2bl w:val="nil"/>
            </w:tcBorders>
            <w:shd w:val="clear" w:color="auto" w:fill="auto"/>
            <w:noWrap/>
            <w:vAlign w:val="center"/>
          </w:tcPr>
          <w:p w14:paraId="2ECF3C4D">
            <w:pPr>
              <w:pStyle w:val="445"/>
            </w:pPr>
            <w:r>
              <w:rPr>
                <w:rFonts w:hint="eastAsia"/>
              </w:rPr>
              <w:t>/</w:t>
            </w:r>
          </w:p>
        </w:tc>
      </w:tr>
      <w:tr w14:paraId="1A14BE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1138843A">
            <w:pPr>
              <w:pStyle w:val="445"/>
            </w:pPr>
            <w:r>
              <w:t>DA021</w:t>
            </w:r>
          </w:p>
        </w:tc>
        <w:tc>
          <w:tcPr>
            <w:tcW w:w="0" w:type="auto"/>
            <w:tcBorders>
              <w:tl2br w:val="nil"/>
              <w:tr2bl w:val="nil"/>
            </w:tcBorders>
            <w:shd w:val="clear" w:color="auto" w:fill="auto"/>
            <w:noWrap/>
            <w:vAlign w:val="center"/>
          </w:tcPr>
          <w:p w14:paraId="40355F24">
            <w:pPr>
              <w:pStyle w:val="445"/>
            </w:pPr>
            <w:r>
              <w:rPr>
                <w:rFonts w:hint="eastAsia"/>
              </w:rPr>
              <w:t>非甲烷</w:t>
            </w:r>
            <w:r>
              <w:t>总烃</w:t>
            </w:r>
          </w:p>
        </w:tc>
        <w:tc>
          <w:tcPr>
            <w:tcW w:w="1136" w:type="dxa"/>
            <w:tcBorders>
              <w:tl2br w:val="nil"/>
              <w:tr2bl w:val="nil"/>
            </w:tcBorders>
            <w:shd w:val="clear" w:color="auto" w:fill="auto"/>
            <w:noWrap/>
            <w:vAlign w:val="center"/>
          </w:tcPr>
          <w:p w14:paraId="5A8FB926">
            <w:pPr>
              <w:pStyle w:val="445"/>
            </w:pPr>
            <w:r>
              <w:t>4.80E-03</w:t>
            </w:r>
          </w:p>
        </w:tc>
        <w:tc>
          <w:tcPr>
            <w:tcW w:w="1551" w:type="dxa"/>
            <w:tcBorders>
              <w:tl2br w:val="nil"/>
              <w:tr2bl w:val="nil"/>
            </w:tcBorders>
            <w:shd w:val="clear" w:color="auto" w:fill="auto"/>
            <w:noWrap/>
            <w:vAlign w:val="center"/>
          </w:tcPr>
          <w:p w14:paraId="56BED52C">
            <w:pPr>
              <w:pStyle w:val="445"/>
            </w:pPr>
            <w:r>
              <w:t>0.24</w:t>
            </w:r>
          </w:p>
        </w:tc>
        <w:tc>
          <w:tcPr>
            <w:tcW w:w="1240" w:type="dxa"/>
            <w:vMerge w:val="restart"/>
            <w:tcBorders>
              <w:tl2br w:val="nil"/>
              <w:tr2bl w:val="nil"/>
            </w:tcBorders>
            <w:shd w:val="clear" w:color="auto" w:fill="auto"/>
            <w:noWrap/>
            <w:vAlign w:val="center"/>
          </w:tcPr>
          <w:p w14:paraId="7204E82D">
            <w:pPr>
              <w:pStyle w:val="445"/>
            </w:pPr>
            <w:r>
              <w:rPr>
                <w:rFonts w:hint="eastAsia"/>
              </w:rPr>
              <w:t>/</w:t>
            </w:r>
          </w:p>
        </w:tc>
        <w:tc>
          <w:tcPr>
            <w:tcW w:w="0" w:type="auto"/>
            <w:tcBorders>
              <w:tl2br w:val="nil"/>
              <w:tr2bl w:val="nil"/>
            </w:tcBorders>
            <w:shd w:val="clear" w:color="auto" w:fill="auto"/>
            <w:noWrap/>
            <w:vAlign w:val="center"/>
          </w:tcPr>
          <w:p w14:paraId="414BF577">
            <w:pPr>
              <w:pStyle w:val="445"/>
            </w:pPr>
            <w:r>
              <w:rPr>
                <w:rFonts w:hint="eastAsia"/>
              </w:rPr>
              <w:t>/</w:t>
            </w:r>
          </w:p>
        </w:tc>
      </w:tr>
      <w:tr w14:paraId="552DBA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28DB5B62">
            <w:pPr>
              <w:pStyle w:val="445"/>
            </w:pPr>
          </w:p>
        </w:tc>
        <w:tc>
          <w:tcPr>
            <w:tcW w:w="0" w:type="auto"/>
            <w:tcBorders>
              <w:tl2br w:val="nil"/>
              <w:tr2bl w:val="nil"/>
            </w:tcBorders>
            <w:shd w:val="clear" w:color="auto" w:fill="auto"/>
            <w:noWrap/>
            <w:vAlign w:val="center"/>
          </w:tcPr>
          <w:p w14:paraId="024D8005">
            <w:pPr>
              <w:pStyle w:val="445"/>
            </w:pPr>
            <w:r>
              <w:t>氨</w:t>
            </w:r>
          </w:p>
        </w:tc>
        <w:tc>
          <w:tcPr>
            <w:tcW w:w="1136" w:type="dxa"/>
            <w:tcBorders>
              <w:tl2br w:val="nil"/>
              <w:tr2bl w:val="nil"/>
            </w:tcBorders>
            <w:shd w:val="clear" w:color="auto" w:fill="auto"/>
            <w:noWrap/>
            <w:vAlign w:val="center"/>
          </w:tcPr>
          <w:p w14:paraId="7234E2E1">
            <w:pPr>
              <w:pStyle w:val="445"/>
            </w:pPr>
            <w:r>
              <w:t>2.00E-05</w:t>
            </w:r>
          </w:p>
        </w:tc>
        <w:tc>
          <w:tcPr>
            <w:tcW w:w="1551" w:type="dxa"/>
            <w:tcBorders>
              <w:tl2br w:val="nil"/>
              <w:tr2bl w:val="nil"/>
            </w:tcBorders>
            <w:shd w:val="clear" w:color="auto" w:fill="auto"/>
            <w:noWrap/>
            <w:vAlign w:val="center"/>
          </w:tcPr>
          <w:p w14:paraId="71F0D23D">
            <w:pPr>
              <w:pStyle w:val="445"/>
            </w:pPr>
            <w:r>
              <w:t>0.01</w:t>
            </w:r>
          </w:p>
        </w:tc>
        <w:tc>
          <w:tcPr>
            <w:tcW w:w="1240" w:type="dxa"/>
            <w:vMerge w:val="continue"/>
            <w:tcBorders>
              <w:tl2br w:val="nil"/>
              <w:tr2bl w:val="nil"/>
            </w:tcBorders>
            <w:shd w:val="clear" w:color="auto" w:fill="auto"/>
            <w:noWrap/>
            <w:vAlign w:val="center"/>
          </w:tcPr>
          <w:p w14:paraId="3EBE72B5">
            <w:pPr>
              <w:pStyle w:val="445"/>
            </w:pPr>
          </w:p>
        </w:tc>
        <w:tc>
          <w:tcPr>
            <w:tcW w:w="0" w:type="auto"/>
            <w:tcBorders>
              <w:tl2br w:val="nil"/>
              <w:tr2bl w:val="nil"/>
            </w:tcBorders>
            <w:shd w:val="clear" w:color="auto" w:fill="auto"/>
            <w:noWrap/>
            <w:vAlign w:val="center"/>
          </w:tcPr>
          <w:p w14:paraId="2B437008">
            <w:pPr>
              <w:pStyle w:val="445"/>
            </w:pPr>
            <w:r>
              <w:rPr>
                <w:rFonts w:hint="eastAsia"/>
              </w:rPr>
              <w:t>/</w:t>
            </w:r>
          </w:p>
        </w:tc>
      </w:tr>
      <w:tr w14:paraId="5389A9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5655A111">
            <w:pPr>
              <w:pStyle w:val="445"/>
            </w:pPr>
          </w:p>
        </w:tc>
        <w:tc>
          <w:tcPr>
            <w:tcW w:w="0" w:type="auto"/>
            <w:tcBorders>
              <w:tl2br w:val="nil"/>
              <w:tr2bl w:val="nil"/>
            </w:tcBorders>
            <w:shd w:val="clear" w:color="auto" w:fill="auto"/>
            <w:noWrap/>
            <w:vAlign w:val="center"/>
          </w:tcPr>
          <w:p w14:paraId="2E10EF3B">
            <w:pPr>
              <w:pStyle w:val="445"/>
            </w:pPr>
            <w:r>
              <w:t>甲醇</w:t>
            </w:r>
          </w:p>
        </w:tc>
        <w:tc>
          <w:tcPr>
            <w:tcW w:w="1136" w:type="dxa"/>
            <w:tcBorders>
              <w:tl2br w:val="nil"/>
              <w:tr2bl w:val="nil"/>
            </w:tcBorders>
            <w:shd w:val="clear" w:color="auto" w:fill="auto"/>
            <w:noWrap/>
            <w:vAlign w:val="center"/>
          </w:tcPr>
          <w:p w14:paraId="5AB66D0B">
            <w:pPr>
              <w:pStyle w:val="445"/>
            </w:pPr>
            <w:r>
              <w:t>3.30E-03</w:t>
            </w:r>
          </w:p>
        </w:tc>
        <w:tc>
          <w:tcPr>
            <w:tcW w:w="1551" w:type="dxa"/>
            <w:tcBorders>
              <w:tl2br w:val="nil"/>
              <w:tr2bl w:val="nil"/>
            </w:tcBorders>
            <w:shd w:val="clear" w:color="auto" w:fill="auto"/>
            <w:noWrap/>
            <w:vAlign w:val="center"/>
          </w:tcPr>
          <w:p w14:paraId="23822B32">
            <w:pPr>
              <w:pStyle w:val="445"/>
            </w:pPr>
            <w:r>
              <w:t>0.11</w:t>
            </w:r>
          </w:p>
        </w:tc>
        <w:tc>
          <w:tcPr>
            <w:tcW w:w="1240" w:type="dxa"/>
            <w:vMerge w:val="continue"/>
            <w:tcBorders>
              <w:tl2br w:val="nil"/>
              <w:tr2bl w:val="nil"/>
            </w:tcBorders>
            <w:shd w:val="clear" w:color="auto" w:fill="auto"/>
            <w:noWrap/>
            <w:vAlign w:val="center"/>
          </w:tcPr>
          <w:p w14:paraId="53BFDBBA">
            <w:pPr>
              <w:pStyle w:val="445"/>
            </w:pPr>
          </w:p>
        </w:tc>
        <w:tc>
          <w:tcPr>
            <w:tcW w:w="0" w:type="auto"/>
            <w:tcBorders>
              <w:tl2br w:val="nil"/>
              <w:tr2bl w:val="nil"/>
            </w:tcBorders>
            <w:shd w:val="clear" w:color="auto" w:fill="auto"/>
            <w:noWrap/>
            <w:vAlign w:val="center"/>
          </w:tcPr>
          <w:p w14:paraId="025D621D">
            <w:pPr>
              <w:pStyle w:val="445"/>
            </w:pPr>
            <w:r>
              <w:rPr>
                <w:rFonts w:hint="eastAsia"/>
              </w:rPr>
              <w:t>/</w:t>
            </w:r>
          </w:p>
        </w:tc>
      </w:tr>
      <w:tr w14:paraId="7A6907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6336CCD0">
            <w:pPr>
              <w:pStyle w:val="445"/>
            </w:pPr>
            <w:r>
              <w:t>DA022</w:t>
            </w:r>
          </w:p>
        </w:tc>
        <w:tc>
          <w:tcPr>
            <w:tcW w:w="0" w:type="auto"/>
            <w:tcBorders>
              <w:tl2br w:val="nil"/>
              <w:tr2bl w:val="nil"/>
            </w:tcBorders>
            <w:shd w:val="clear" w:color="auto" w:fill="auto"/>
            <w:noWrap/>
            <w:vAlign w:val="center"/>
          </w:tcPr>
          <w:p w14:paraId="485C3A34">
            <w:pPr>
              <w:pStyle w:val="445"/>
            </w:pPr>
            <w:r>
              <w:rPr>
                <w:rFonts w:hint="eastAsia"/>
              </w:rPr>
              <w:t>非甲烷</w:t>
            </w:r>
            <w:r>
              <w:t>总烃</w:t>
            </w:r>
          </w:p>
        </w:tc>
        <w:tc>
          <w:tcPr>
            <w:tcW w:w="1136" w:type="dxa"/>
            <w:tcBorders>
              <w:tl2br w:val="nil"/>
              <w:tr2bl w:val="nil"/>
            </w:tcBorders>
            <w:shd w:val="clear" w:color="auto" w:fill="auto"/>
            <w:noWrap/>
            <w:vAlign w:val="center"/>
          </w:tcPr>
          <w:p w14:paraId="1531B349">
            <w:pPr>
              <w:pStyle w:val="445"/>
            </w:pPr>
            <w:r>
              <w:t>2.00E-04</w:t>
            </w:r>
          </w:p>
        </w:tc>
        <w:tc>
          <w:tcPr>
            <w:tcW w:w="1551" w:type="dxa"/>
            <w:tcBorders>
              <w:tl2br w:val="nil"/>
              <w:tr2bl w:val="nil"/>
            </w:tcBorders>
            <w:shd w:val="clear" w:color="auto" w:fill="auto"/>
            <w:noWrap/>
            <w:vAlign w:val="center"/>
          </w:tcPr>
          <w:p w14:paraId="2EB7BB8E">
            <w:pPr>
              <w:pStyle w:val="445"/>
            </w:pPr>
            <w:r>
              <w:t>0.01</w:t>
            </w:r>
          </w:p>
        </w:tc>
        <w:tc>
          <w:tcPr>
            <w:tcW w:w="1240" w:type="dxa"/>
            <w:vMerge w:val="restart"/>
            <w:tcBorders>
              <w:tl2br w:val="nil"/>
              <w:tr2bl w:val="nil"/>
            </w:tcBorders>
            <w:shd w:val="clear" w:color="auto" w:fill="auto"/>
            <w:noWrap/>
            <w:vAlign w:val="center"/>
          </w:tcPr>
          <w:p w14:paraId="59A30DBA">
            <w:pPr>
              <w:pStyle w:val="445"/>
            </w:pPr>
            <w:r>
              <w:rPr>
                <w:rFonts w:hint="eastAsia"/>
              </w:rPr>
              <w:t>/</w:t>
            </w:r>
          </w:p>
        </w:tc>
        <w:tc>
          <w:tcPr>
            <w:tcW w:w="0" w:type="auto"/>
            <w:tcBorders>
              <w:tl2br w:val="nil"/>
              <w:tr2bl w:val="nil"/>
            </w:tcBorders>
            <w:shd w:val="clear" w:color="auto" w:fill="auto"/>
            <w:noWrap/>
            <w:vAlign w:val="center"/>
          </w:tcPr>
          <w:p w14:paraId="5F527BEC">
            <w:pPr>
              <w:pStyle w:val="445"/>
            </w:pPr>
            <w:r>
              <w:rPr>
                <w:rFonts w:hint="eastAsia"/>
              </w:rPr>
              <w:t>/</w:t>
            </w:r>
          </w:p>
        </w:tc>
      </w:tr>
      <w:tr w14:paraId="0BA2B0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2A4D6E6E">
            <w:pPr>
              <w:pStyle w:val="445"/>
            </w:pPr>
          </w:p>
        </w:tc>
        <w:tc>
          <w:tcPr>
            <w:tcW w:w="0" w:type="auto"/>
            <w:tcBorders>
              <w:tl2br w:val="nil"/>
              <w:tr2bl w:val="nil"/>
            </w:tcBorders>
            <w:shd w:val="clear" w:color="auto" w:fill="auto"/>
            <w:noWrap/>
            <w:vAlign w:val="center"/>
          </w:tcPr>
          <w:p w14:paraId="77924966">
            <w:pPr>
              <w:pStyle w:val="445"/>
            </w:pPr>
            <w:r>
              <w:t>氨</w:t>
            </w:r>
          </w:p>
        </w:tc>
        <w:tc>
          <w:tcPr>
            <w:tcW w:w="1136" w:type="dxa"/>
            <w:tcBorders>
              <w:tl2br w:val="nil"/>
              <w:tr2bl w:val="nil"/>
            </w:tcBorders>
            <w:shd w:val="clear" w:color="auto" w:fill="auto"/>
            <w:noWrap/>
            <w:vAlign w:val="center"/>
          </w:tcPr>
          <w:p w14:paraId="4216CD48">
            <w:pPr>
              <w:pStyle w:val="445"/>
            </w:pPr>
            <w:r>
              <w:t>3.00E-04</w:t>
            </w:r>
          </w:p>
        </w:tc>
        <w:tc>
          <w:tcPr>
            <w:tcW w:w="1551" w:type="dxa"/>
            <w:tcBorders>
              <w:tl2br w:val="nil"/>
              <w:tr2bl w:val="nil"/>
            </w:tcBorders>
            <w:shd w:val="clear" w:color="auto" w:fill="auto"/>
            <w:noWrap/>
            <w:vAlign w:val="center"/>
          </w:tcPr>
          <w:p w14:paraId="7FCE2D7A">
            <w:pPr>
              <w:pStyle w:val="445"/>
            </w:pPr>
            <w:r>
              <w:t>0.15</w:t>
            </w:r>
          </w:p>
        </w:tc>
        <w:tc>
          <w:tcPr>
            <w:tcW w:w="1240" w:type="dxa"/>
            <w:vMerge w:val="continue"/>
            <w:tcBorders>
              <w:tl2br w:val="nil"/>
              <w:tr2bl w:val="nil"/>
            </w:tcBorders>
            <w:shd w:val="clear" w:color="auto" w:fill="auto"/>
            <w:noWrap/>
            <w:vAlign w:val="center"/>
          </w:tcPr>
          <w:p w14:paraId="23B397DC">
            <w:pPr>
              <w:pStyle w:val="445"/>
            </w:pPr>
          </w:p>
        </w:tc>
        <w:tc>
          <w:tcPr>
            <w:tcW w:w="0" w:type="auto"/>
            <w:tcBorders>
              <w:tl2br w:val="nil"/>
              <w:tr2bl w:val="nil"/>
            </w:tcBorders>
            <w:shd w:val="clear" w:color="auto" w:fill="auto"/>
            <w:noWrap/>
            <w:vAlign w:val="center"/>
          </w:tcPr>
          <w:p w14:paraId="3BD5942F">
            <w:pPr>
              <w:pStyle w:val="445"/>
            </w:pPr>
            <w:r>
              <w:rPr>
                <w:rFonts w:hint="eastAsia"/>
              </w:rPr>
              <w:t>/</w:t>
            </w:r>
          </w:p>
        </w:tc>
      </w:tr>
      <w:tr w14:paraId="04CA7E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46164CED">
            <w:pPr>
              <w:pStyle w:val="445"/>
            </w:pPr>
          </w:p>
        </w:tc>
        <w:tc>
          <w:tcPr>
            <w:tcW w:w="0" w:type="auto"/>
            <w:tcBorders>
              <w:tl2br w:val="nil"/>
              <w:tr2bl w:val="nil"/>
            </w:tcBorders>
            <w:shd w:val="clear" w:color="auto" w:fill="auto"/>
            <w:noWrap/>
            <w:vAlign w:val="center"/>
          </w:tcPr>
          <w:p w14:paraId="6091F79D">
            <w:pPr>
              <w:pStyle w:val="445"/>
            </w:pPr>
            <w:r>
              <w:rPr>
                <w:rFonts w:hint="eastAsia"/>
              </w:rPr>
              <w:t>甲醇</w:t>
            </w:r>
          </w:p>
        </w:tc>
        <w:tc>
          <w:tcPr>
            <w:tcW w:w="1136" w:type="dxa"/>
            <w:tcBorders>
              <w:tl2br w:val="nil"/>
              <w:tr2bl w:val="nil"/>
            </w:tcBorders>
            <w:shd w:val="clear" w:color="auto" w:fill="auto"/>
            <w:noWrap/>
            <w:vAlign w:val="center"/>
          </w:tcPr>
          <w:p w14:paraId="5AD521DE">
            <w:pPr>
              <w:pStyle w:val="445"/>
            </w:pPr>
            <w:r>
              <w:rPr>
                <w:rFonts w:hint="eastAsia"/>
              </w:rPr>
              <w:t>0</w:t>
            </w:r>
          </w:p>
        </w:tc>
        <w:tc>
          <w:tcPr>
            <w:tcW w:w="1551" w:type="dxa"/>
            <w:tcBorders>
              <w:tl2br w:val="nil"/>
              <w:tr2bl w:val="nil"/>
            </w:tcBorders>
            <w:shd w:val="clear" w:color="auto" w:fill="auto"/>
            <w:noWrap/>
            <w:vAlign w:val="center"/>
          </w:tcPr>
          <w:p w14:paraId="3D8127B4">
            <w:pPr>
              <w:pStyle w:val="445"/>
            </w:pPr>
            <w:r>
              <w:rPr>
                <w:rFonts w:hint="eastAsia"/>
              </w:rPr>
              <w:t>0</w:t>
            </w:r>
          </w:p>
        </w:tc>
        <w:tc>
          <w:tcPr>
            <w:tcW w:w="1240" w:type="dxa"/>
            <w:vMerge w:val="continue"/>
            <w:tcBorders>
              <w:tl2br w:val="nil"/>
              <w:tr2bl w:val="nil"/>
            </w:tcBorders>
            <w:shd w:val="clear" w:color="auto" w:fill="auto"/>
            <w:noWrap/>
            <w:vAlign w:val="center"/>
          </w:tcPr>
          <w:p w14:paraId="1EDCE701">
            <w:pPr>
              <w:pStyle w:val="445"/>
            </w:pPr>
          </w:p>
        </w:tc>
        <w:tc>
          <w:tcPr>
            <w:tcW w:w="0" w:type="auto"/>
            <w:tcBorders>
              <w:tl2br w:val="nil"/>
              <w:tr2bl w:val="nil"/>
            </w:tcBorders>
            <w:shd w:val="clear" w:color="auto" w:fill="auto"/>
            <w:noWrap/>
            <w:vAlign w:val="center"/>
          </w:tcPr>
          <w:p w14:paraId="1B96D733">
            <w:pPr>
              <w:pStyle w:val="445"/>
            </w:pPr>
            <w:r>
              <w:rPr>
                <w:rFonts w:hint="eastAsia"/>
              </w:rPr>
              <w:t>/</w:t>
            </w:r>
          </w:p>
        </w:tc>
      </w:tr>
      <w:tr w14:paraId="4EF585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7B6A7CD7">
            <w:pPr>
              <w:pStyle w:val="445"/>
            </w:pPr>
            <w:r>
              <w:t>DA023</w:t>
            </w:r>
          </w:p>
        </w:tc>
        <w:tc>
          <w:tcPr>
            <w:tcW w:w="0" w:type="auto"/>
            <w:tcBorders>
              <w:tl2br w:val="nil"/>
              <w:tr2bl w:val="nil"/>
            </w:tcBorders>
            <w:shd w:val="clear" w:color="auto" w:fill="auto"/>
            <w:noWrap/>
            <w:vAlign w:val="center"/>
          </w:tcPr>
          <w:p w14:paraId="3F4430E7">
            <w:pPr>
              <w:pStyle w:val="445"/>
            </w:pPr>
            <w:r>
              <w:t>SO</w:t>
            </w:r>
            <w:r>
              <w:rPr>
                <w:vertAlign w:val="subscript"/>
              </w:rPr>
              <w:t>2</w:t>
            </w:r>
          </w:p>
        </w:tc>
        <w:tc>
          <w:tcPr>
            <w:tcW w:w="1136" w:type="dxa"/>
            <w:tcBorders>
              <w:tl2br w:val="nil"/>
              <w:tr2bl w:val="nil"/>
            </w:tcBorders>
            <w:shd w:val="clear" w:color="auto" w:fill="auto"/>
            <w:noWrap/>
            <w:vAlign w:val="center"/>
          </w:tcPr>
          <w:p w14:paraId="3614DDDE">
            <w:pPr>
              <w:pStyle w:val="445"/>
            </w:pPr>
            <w:r>
              <w:t>1.95E-03</w:t>
            </w:r>
          </w:p>
        </w:tc>
        <w:tc>
          <w:tcPr>
            <w:tcW w:w="1551" w:type="dxa"/>
            <w:tcBorders>
              <w:tl2br w:val="nil"/>
              <w:tr2bl w:val="nil"/>
            </w:tcBorders>
            <w:shd w:val="clear" w:color="auto" w:fill="auto"/>
            <w:noWrap/>
            <w:vAlign w:val="center"/>
          </w:tcPr>
          <w:p w14:paraId="59906038">
            <w:pPr>
              <w:pStyle w:val="445"/>
            </w:pPr>
            <w:r>
              <w:t>0.39</w:t>
            </w:r>
          </w:p>
        </w:tc>
        <w:tc>
          <w:tcPr>
            <w:tcW w:w="1240" w:type="dxa"/>
            <w:vMerge w:val="restart"/>
            <w:tcBorders>
              <w:tl2br w:val="nil"/>
              <w:tr2bl w:val="nil"/>
            </w:tcBorders>
            <w:shd w:val="clear" w:color="auto" w:fill="auto"/>
            <w:noWrap/>
            <w:vAlign w:val="center"/>
          </w:tcPr>
          <w:p w14:paraId="12C824A1">
            <w:pPr>
              <w:pStyle w:val="445"/>
            </w:pPr>
            <w:r>
              <w:rPr>
                <w:rFonts w:hint="eastAsia"/>
              </w:rPr>
              <w:t>/</w:t>
            </w:r>
          </w:p>
        </w:tc>
        <w:tc>
          <w:tcPr>
            <w:tcW w:w="0" w:type="auto"/>
            <w:tcBorders>
              <w:tl2br w:val="nil"/>
              <w:tr2bl w:val="nil"/>
            </w:tcBorders>
            <w:shd w:val="clear" w:color="auto" w:fill="auto"/>
            <w:noWrap/>
            <w:vAlign w:val="center"/>
          </w:tcPr>
          <w:p w14:paraId="2331F7A0">
            <w:pPr>
              <w:pStyle w:val="445"/>
            </w:pPr>
            <w:r>
              <w:rPr>
                <w:rFonts w:hint="eastAsia"/>
              </w:rPr>
              <w:t>/</w:t>
            </w:r>
          </w:p>
        </w:tc>
      </w:tr>
      <w:tr w14:paraId="0C2314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3C0A7BF5">
            <w:pPr>
              <w:pStyle w:val="445"/>
            </w:pPr>
          </w:p>
        </w:tc>
        <w:tc>
          <w:tcPr>
            <w:tcW w:w="1499" w:type="dxa"/>
            <w:tcBorders>
              <w:tl2br w:val="nil"/>
              <w:tr2bl w:val="nil"/>
            </w:tcBorders>
            <w:shd w:val="clear" w:color="auto" w:fill="auto"/>
            <w:noWrap/>
            <w:vAlign w:val="center"/>
          </w:tcPr>
          <w:p w14:paraId="794235CD">
            <w:pPr>
              <w:pStyle w:val="445"/>
            </w:pPr>
            <w:r>
              <w:t>PM</w:t>
            </w:r>
            <w:r>
              <w:rPr>
                <w:vertAlign w:val="subscript"/>
              </w:rPr>
              <w:t>10</w:t>
            </w:r>
          </w:p>
        </w:tc>
        <w:tc>
          <w:tcPr>
            <w:tcW w:w="1136" w:type="dxa"/>
            <w:tcBorders>
              <w:tl2br w:val="nil"/>
              <w:tr2bl w:val="nil"/>
            </w:tcBorders>
            <w:shd w:val="clear" w:color="auto" w:fill="auto"/>
            <w:noWrap/>
            <w:vAlign w:val="center"/>
          </w:tcPr>
          <w:p w14:paraId="7C16E478">
            <w:pPr>
              <w:pStyle w:val="445"/>
            </w:pPr>
            <w:r>
              <w:t>1.35E-03</w:t>
            </w:r>
          </w:p>
        </w:tc>
        <w:tc>
          <w:tcPr>
            <w:tcW w:w="1551" w:type="dxa"/>
            <w:tcBorders>
              <w:tl2br w:val="nil"/>
              <w:tr2bl w:val="nil"/>
            </w:tcBorders>
            <w:shd w:val="clear" w:color="auto" w:fill="auto"/>
            <w:noWrap/>
            <w:vAlign w:val="center"/>
          </w:tcPr>
          <w:p w14:paraId="1547B81F">
            <w:pPr>
              <w:pStyle w:val="445"/>
            </w:pPr>
            <w:r>
              <w:t>0.3</w:t>
            </w:r>
          </w:p>
        </w:tc>
        <w:tc>
          <w:tcPr>
            <w:tcW w:w="1240" w:type="dxa"/>
            <w:vMerge w:val="continue"/>
            <w:tcBorders>
              <w:tl2br w:val="nil"/>
              <w:tr2bl w:val="nil"/>
            </w:tcBorders>
            <w:shd w:val="clear" w:color="auto" w:fill="auto"/>
            <w:noWrap/>
            <w:vAlign w:val="center"/>
          </w:tcPr>
          <w:p w14:paraId="7B6F3FB8">
            <w:pPr>
              <w:pStyle w:val="445"/>
            </w:pPr>
          </w:p>
        </w:tc>
        <w:tc>
          <w:tcPr>
            <w:tcW w:w="0" w:type="auto"/>
            <w:tcBorders>
              <w:tl2br w:val="nil"/>
              <w:tr2bl w:val="nil"/>
            </w:tcBorders>
            <w:shd w:val="clear" w:color="auto" w:fill="auto"/>
            <w:noWrap/>
            <w:vAlign w:val="center"/>
          </w:tcPr>
          <w:p w14:paraId="75EC7A77">
            <w:pPr>
              <w:pStyle w:val="445"/>
            </w:pPr>
            <w:r>
              <w:rPr>
                <w:rFonts w:hint="eastAsia"/>
              </w:rPr>
              <w:t>/</w:t>
            </w:r>
          </w:p>
        </w:tc>
      </w:tr>
      <w:tr w14:paraId="482432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38D83FA9">
            <w:pPr>
              <w:pStyle w:val="445"/>
            </w:pPr>
          </w:p>
        </w:tc>
        <w:tc>
          <w:tcPr>
            <w:tcW w:w="1499" w:type="dxa"/>
            <w:tcBorders>
              <w:tl2br w:val="nil"/>
              <w:tr2bl w:val="nil"/>
            </w:tcBorders>
            <w:shd w:val="clear" w:color="auto" w:fill="auto"/>
            <w:noWrap/>
            <w:vAlign w:val="center"/>
          </w:tcPr>
          <w:p w14:paraId="5B0F1973">
            <w:pPr>
              <w:pStyle w:val="445"/>
            </w:pPr>
            <w:r>
              <w:t>PM</w:t>
            </w:r>
            <w:r>
              <w:rPr>
                <w:vertAlign w:val="subscript"/>
              </w:rPr>
              <w:t>2.5</w:t>
            </w:r>
          </w:p>
        </w:tc>
        <w:tc>
          <w:tcPr>
            <w:tcW w:w="1136" w:type="dxa"/>
            <w:tcBorders>
              <w:tl2br w:val="nil"/>
              <w:tr2bl w:val="nil"/>
            </w:tcBorders>
            <w:shd w:val="clear" w:color="auto" w:fill="auto"/>
            <w:noWrap/>
            <w:vAlign w:val="center"/>
          </w:tcPr>
          <w:p w14:paraId="6D502F8F">
            <w:pPr>
              <w:pStyle w:val="445"/>
            </w:pPr>
            <w:r>
              <w:t>6.75E-04</w:t>
            </w:r>
          </w:p>
        </w:tc>
        <w:tc>
          <w:tcPr>
            <w:tcW w:w="1551" w:type="dxa"/>
            <w:tcBorders>
              <w:tl2br w:val="nil"/>
              <w:tr2bl w:val="nil"/>
            </w:tcBorders>
            <w:shd w:val="clear" w:color="auto" w:fill="auto"/>
            <w:noWrap/>
            <w:vAlign w:val="center"/>
          </w:tcPr>
          <w:p w14:paraId="383D7889">
            <w:pPr>
              <w:pStyle w:val="445"/>
            </w:pPr>
            <w:r>
              <w:t>0.3</w:t>
            </w:r>
          </w:p>
        </w:tc>
        <w:tc>
          <w:tcPr>
            <w:tcW w:w="1240" w:type="dxa"/>
            <w:vMerge w:val="continue"/>
            <w:tcBorders>
              <w:tl2br w:val="nil"/>
              <w:tr2bl w:val="nil"/>
            </w:tcBorders>
            <w:shd w:val="clear" w:color="auto" w:fill="auto"/>
            <w:noWrap/>
            <w:vAlign w:val="center"/>
          </w:tcPr>
          <w:p w14:paraId="2945F5B7">
            <w:pPr>
              <w:pStyle w:val="445"/>
            </w:pPr>
          </w:p>
        </w:tc>
        <w:tc>
          <w:tcPr>
            <w:tcW w:w="0" w:type="auto"/>
            <w:tcBorders>
              <w:tl2br w:val="nil"/>
              <w:tr2bl w:val="nil"/>
            </w:tcBorders>
            <w:shd w:val="clear" w:color="auto" w:fill="auto"/>
            <w:noWrap/>
            <w:vAlign w:val="center"/>
          </w:tcPr>
          <w:p w14:paraId="7BF02E11">
            <w:pPr>
              <w:pStyle w:val="445"/>
            </w:pPr>
            <w:r>
              <w:rPr>
                <w:rFonts w:hint="eastAsia"/>
              </w:rPr>
              <w:t>/</w:t>
            </w:r>
          </w:p>
        </w:tc>
      </w:tr>
      <w:tr w14:paraId="1B2DE1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2FA0B12E">
            <w:pPr>
              <w:pStyle w:val="445"/>
            </w:pPr>
          </w:p>
        </w:tc>
        <w:tc>
          <w:tcPr>
            <w:tcW w:w="0" w:type="auto"/>
            <w:tcBorders>
              <w:tl2br w:val="nil"/>
              <w:tr2bl w:val="nil"/>
            </w:tcBorders>
            <w:shd w:val="clear" w:color="auto" w:fill="auto"/>
            <w:noWrap/>
            <w:vAlign w:val="center"/>
          </w:tcPr>
          <w:p w14:paraId="42B9FBBE">
            <w:pPr>
              <w:pStyle w:val="445"/>
            </w:pPr>
            <w:r>
              <w:t>氮氧化物</w:t>
            </w:r>
          </w:p>
        </w:tc>
        <w:tc>
          <w:tcPr>
            <w:tcW w:w="1136" w:type="dxa"/>
            <w:tcBorders>
              <w:tl2br w:val="nil"/>
              <w:tr2bl w:val="nil"/>
            </w:tcBorders>
            <w:shd w:val="clear" w:color="auto" w:fill="auto"/>
            <w:noWrap/>
            <w:vAlign w:val="center"/>
          </w:tcPr>
          <w:p w14:paraId="73FB6D2E">
            <w:pPr>
              <w:pStyle w:val="445"/>
            </w:pPr>
            <w:r>
              <w:t>4.50E-03</w:t>
            </w:r>
          </w:p>
        </w:tc>
        <w:tc>
          <w:tcPr>
            <w:tcW w:w="1551" w:type="dxa"/>
            <w:tcBorders>
              <w:tl2br w:val="nil"/>
              <w:tr2bl w:val="nil"/>
            </w:tcBorders>
            <w:shd w:val="clear" w:color="auto" w:fill="auto"/>
            <w:noWrap/>
            <w:vAlign w:val="center"/>
          </w:tcPr>
          <w:p w14:paraId="0F9870A7">
            <w:pPr>
              <w:pStyle w:val="445"/>
            </w:pPr>
            <w:r>
              <w:t>2.25</w:t>
            </w:r>
          </w:p>
        </w:tc>
        <w:tc>
          <w:tcPr>
            <w:tcW w:w="1240" w:type="dxa"/>
            <w:vMerge w:val="continue"/>
            <w:tcBorders>
              <w:tl2br w:val="nil"/>
              <w:tr2bl w:val="nil"/>
            </w:tcBorders>
            <w:shd w:val="clear" w:color="auto" w:fill="auto"/>
            <w:noWrap/>
            <w:vAlign w:val="center"/>
          </w:tcPr>
          <w:p w14:paraId="662682B8">
            <w:pPr>
              <w:pStyle w:val="445"/>
            </w:pPr>
          </w:p>
        </w:tc>
        <w:tc>
          <w:tcPr>
            <w:tcW w:w="0" w:type="auto"/>
            <w:tcBorders>
              <w:tl2br w:val="nil"/>
              <w:tr2bl w:val="nil"/>
            </w:tcBorders>
            <w:shd w:val="clear" w:color="auto" w:fill="auto"/>
            <w:noWrap/>
            <w:vAlign w:val="center"/>
          </w:tcPr>
          <w:p w14:paraId="6E71B4B1">
            <w:pPr>
              <w:pStyle w:val="445"/>
            </w:pPr>
            <w:r>
              <w:rPr>
                <w:rFonts w:hint="eastAsia"/>
              </w:rPr>
              <w:t>/</w:t>
            </w:r>
          </w:p>
        </w:tc>
      </w:tr>
      <w:tr w14:paraId="32EFDC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4A1FF8E8">
            <w:pPr>
              <w:pStyle w:val="445"/>
            </w:pPr>
            <w:r>
              <w:t>DA024</w:t>
            </w:r>
          </w:p>
        </w:tc>
        <w:tc>
          <w:tcPr>
            <w:tcW w:w="1499" w:type="dxa"/>
            <w:tcBorders>
              <w:tl2br w:val="nil"/>
              <w:tr2bl w:val="nil"/>
            </w:tcBorders>
            <w:shd w:val="clear" w:color="auto" w:fill="auto"/>
            <w:noWrap/>
            <w:vAlign w:val="center"/>
          </w:tcPr>
          <w:p w14:paraId="479CAACE">
            <w:pPr>
              <w:pStyle w:val="445"/>
            </w:pPr>
            <w:r>
              <w:t>PM</w:t>
            </w:r>
            <w:r>
              <w:rPr>
                <w:vertAlign w:val="subscript"/>
              </w:rPr>
              <w:t>10</w:t>
            </w:r>
          </w:p>
        </w:tc>
        <w:tc>
          <w:tcPr>
            <w:tcW w:w="1136" w:type="dxa"/>
            <w:tcBorders>
              <w:tl2br w:val="nil"/>
              <w:tr2bl w:val="nil"/>
            </w:tcBorders>
            <w:shd w:val="clear" w:color="auto" w:fill="auto"/>
            <w:noWrap/>
            <w:vAlign w:val="center"/>
          </w:tcPr>
          <w:p w14:paraId="60518876">
            <w:pPr>
              <w:pStyle w:val="445"/>
            </w:pPr>
            <w:r>
              <w:t>9.00E-05</w:t>
            </w:r>
          </w:p>
        </w:tc>
        <w:tc>
          <w:tcPr>
            <w:tcW w:w="1551" w:type="dxa"/>
            <w:tcBorders>
              <w:tl2br w:val="nil"/>
              <w:tr2bl w:val="nil"/>
            </w:tcBorders>
            <w:shd w:val="clear" w:color="auto" w:fill="auto"/>
            <w:noWrap/>
            <w:vAlign w:val="center"/>
          </w:tcPr>
          <w:p w14:paraId="32ECF8BA">
            <w:pPr>
              <w:pStyle w:val="445"/>
            </w:pPr>
            <w:r>
              <w:t>0.02</w:t>
            </w:r>
          </w:p>
        </w:tc>
        <w:tc>
          <w:tcPr>
            <w:tcW w:w="1240" w:type="dxa"/>
            <w:vMerge w:val="restart"/>
            <w:tcBorders>
              <w:tl2br w:val="nil"/>
              <w:tr2bl w:val="nil"/>
            </w:tcBorders>
            <w:shd w:val="clear" w:color="auto" w:fill="auto"/>
            <w:noWrap/>
            <w:vAlign w:val="center"/>
          </w:tcPr>
          <w:p w14:paraId="480EB396">
            <w:pPr>
              <w:pStyle w:val="445"/>
            </w:pPr>
            <w:r>
              <w:rPr>
                <w:rFonts w:hint="eastAsia"/>
              </w:rPr>
              <w:t>/</w:t>
            </w:r>
          </w:p>
        </w:tc>
        <w:tc>
          <w:tcPr>
            <w:tcW w:w="0" w:type="auto"/>
            <w:tcBorders>
              <w:tl2br w:val="nil"/>
              <w:tr2bl w:val="nil"/>
            </w:tcBorders>
            <w:shd w:val="clear" w:color="auto" w:fill="auto"/>
            <w:noWrap/>
            <w:vAlign w:val="center"/>
          </w:tcPr>
          <w:p w14:paraId="770C6E49">
            <w:pPr>
              <w:pStyle w:val="445"/>
            </w:pPr>
            <w:r>
              <w:rPr>
                <w:rFonts w:hint="eastAsia"/>
              </w:rPr>
              <w:t>/</w:t>
            </w:r>
          </w:p>
        </w:tc>
      </w:tr>
      <w:tr w14:paraId="5450C7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36F7AA07">
            <w:pPr>
              <w:pStyle w:val="445"/>
            </w:pPr>
          </w:p>
        </w:tc>
        <w:tc>
          <w:tcPr>
            <w:tcW w:w="1499" w:type="dxa"/>
            <w:tcBorders>
              <w:tl2br w:val="nil"/>
              <w:tr2bl w:val="nil"/>
            </w:tcBorders>
            <w:shd w:val="clear" w:color="auto" w:fill="auto"/>
            <w:noWrap/>
            <w:vAlign w:val="center"/>
          </w:tcPr>
          <w:p w14:paraId="56428F6E">
            <w:pPr>
              <w:pStyle w:val="445"/>
            </w:pPr>
            <w:r>
              <w:t>PM</w:t>
            </w:r>
            <w:r>
              <w:rPr>
                <w:vertAlign w:val="subscript"/>
              </w:rPr>
              <w:t>2.5</w:t>
            </w:r>
          </w:p>
        </w:tc>
        <w:tc>
          <w:tcPr>
            <w:tcW w:w="1136" w:type="dxa"/>
            <w:tcBorders>
              <w:tl2br w:val="nil"/>
              <w:tr2bl w:val="nil"/>
            </w:tcBorders>
            <w:shd w:val="clear" w:color="auto" w:fill="auto"/>
            <w:noWrap/>
            <w:vAlign w:val="center"/>
          </w:tcPr>
          <w:p w14:paraId="52855457">
            <w:pPr>
              <w:pStyle w:val="445"/>
            </w:pPr>
            <w:r>
              <w:t>4.50E-05</w:t>
            </w:r>
          </w:p>
        </w:tc>
        <w:tc>
          <w:tcPr>
            <w:tcW w:w="1551" w:type="dxa"/>
            <w:tcBorders>
              <w:tl2br w:val="nil"/>
              <w:tr2bl w:val="nil"/>
            </w:tcBorders>
            <w:shd w:val="clear" w:color="auto" w:fill="auto"/>
            <w:noWrap/>
            <w:vAlign w:val="center"/>
          </w:tcPr>
          <w:p w14:paraId="60015E3A">
            <w:pPr>
              <w:pStyle w:val="445"/>
            </w:pPr>
            <w:r>
              <w:t>0.02</w:t>
            </w:r>
          </w:p>
        </w:tc>
        <w:tc>
          <w:tcPr>
            <w:tcW w:w="1240" w:type="dxa"/>
            <w:vMerge w:val="continue"/>
            <w:tcBorders>
              <w:tl2br w:val="nil"/>
              <w:tr2bl w:val="nil"/>
            </w:tcBorders>
            <w:shd w:val="clear" w:color="auto" w:fill="auto"/>
            <w:noWrap/>
            <w:vAlign w:val="center"/>
          </w:tcPr>
          <w:p w14:paraId="2F88C1FF">
            <w:pPr>
              <w:pStyle w:val="445"/>
            </w:pPr>
          </w:p>
        </w:tc>
        <w:tc>
          <w:tcPr>
            <w:tcW w:w="0" w:type="auto"/>
            <w:tcBorders>
              <w:tl2br w:val="nil"/>
              <w:tr2bl w:val="nil"/>
            </w:tcBorders>
            <w:shd w:val="clear" w:color="auto" w:fill="auto"/>
            <w:noWrap/>
            <w:vAlign w:val="center"/>
          </w:tcPr>
          <w:p w14:paraId="2C870ED5">
            <w:pPr>
              <w:pStyle w:val="445"/>
            </w:pPr>
            <w:r>
              <w:rPr>
                <w:rFonts w:hint="eastAsia"/>
              </w:rPr>
              <w:t>/</w:t>
            </w:r>
          </w:p>
        </w:tc>
      </w:tr>
      <w:tr w14:paraId="266C2A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3A112662">
            <w:pPr>
              <w:pStyle w:val="445"/>
            </w:pPr>
          </w:p>
        </w:tc>
        <w:tc>
          <w:tcPr>
            <w:tcW w:w="0" w:type="auto"/>
            <w:tcBorders>
              <w:tl2br w:val="nil"/>
              <w:tr2bl w:val="nil"/>
            </w:tcBorders>
            <w:shd w:val="clear" w:color="auto" w:fill="auto"/>
            <w:noWrap/>
            <w:vAlign w:val="center"/>
          </w:tcPr>
          <w:p w14:paraId="3EFA4C0D">
            <w:pPr>
              <w:pStyle w:val="445"/>
            </w:pPr>
            <w:r>
              <w:t>氯化氢</w:t>
            </w:r>
          </w:p>
        </w:tc>
        <w:tc>
          <w:tcPr>
            <w:tcW w:w="1136" w:type="dxa"/>
            <w:tcBorders>
              <w:tl2br w:val="nil"/>
              <w:tr2bl w:val="nil"/>
            </w:tcBorders>
            <w:shd w:val="clear" w:color="auto" w:fill="auto"/>
            <w:noWrap/>
            <w:vAlign w:val="center"/>
          </w:tcPr>
          <w:p w14:paraId="23446F62">
            <w:pPr>
              <w:pStyle w:val="445"/>
            </w:pPr>
            <w:r>
              <w:t>1.45E-03</w:t>
            </w:r>
          </w:p>
        </w:tc>
        <w:tc>
          <w:tcPr>
            <w:tcW w:w="1551" w:type="dxa"/>
            <w:tcBorders>
              <w:tl2br w:val="nil"/>
              <w:tr2bl w:val="nil"/>
            </w:tcBorders>
            <w:shd w:val="clear" w:color="auto" w:fill="auto"/>
            <w:noWrap/>
            <w:vAlign w:val="center"/>
          </w:tcPr>
          <w:p w14:paraId="1371C238">
            <w:pPr>
              <w:pStyle w:val="445"/>
            </w:pPr>
            <w:r>
              <w:t>2.89</w:t>
            </w:r>
          </w:p>
        </w:tc>
        <w:tc>
          <w:tcPr>
            <w:tcW w:w="1240" w:type="dxa"/>
            <w:vMerge w:val="continue"/>
            <w:tcBorders>
              <w:tl2br w:val="nil"/>
              <w:tr2bl w:val="nil"/>
            </w:tcBorders>
            <w:shd w:val="clear" w:color="auto" w:fill="auto"/>
            <w:noWrap/>
            <w:vAlign w:val="center"/>
          </w:tcPr>
          <w:p w14:paraId="0E3499FD">
            <w:pPr>
              <w:pStyle w:val="445"/>
            </w:pPr>
          </w:p>
        </w:tc>
        <w:tc>
          <w:tcPr>
            <w:tcW w:w="0" w:type="auto"/>
            <w:tcBorders>
              <w:tl2br w:val="nil"/>
              <w:tr2bl w:val="nil"/>
            </w:tcBorders>
            <w:shd w:val="clear" w:color="auto" w:fill="auto"/>
            <w:noWrap/>
            <w:vAlign w:val="center"/>
          </w:tcPr>
          <w:p w14:paraId="130448DE">
            <w:pPr>
              <w:pStyle w:val="445"/>
            </w:pPr>
            <w:r>
              <w:rPr>
                <w:rFonts w:hint="eastAsia"/>
              </w:rPr>
              <w:t>/</w:t>
            </w:r>
          </w:p>
        </w:tc>
      </w:tr>
      <w:tr w14:paraId="7C7A48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1EB44ACE">
            <w:pPr>
              <w:pStyle w:val="445"/>
            </w:pPr>
          </w:p>
        </w:tc>
        <w:tc>
          <w:tcPr>
            <w:tcW w:w="0" w:type="auto"/>
            <w:tcBorders>
              <w:tl2br w:val="nil"/>
              <w:tr2bl w:val="nil"/>
            </w:tcBorders>
            <w:shd w:val="clear" w:color="auto" w:fill="auto"/>
            <w:noWrap/>
            <w:vAlign w:val="center"/>
          </w:tcPr>
          <w:p w14:paraId="05A68C5E">
            <w:pPr>
              <w:pStyle w:val="445"/>
            </w:pPr>
            <w:r>
              <w:t>氟化氢</w:t>
            </w:r>
          </w:p>
        </w:tc>
        <w:tc>
          <w:tcPr>
            <w:tcW w:w="1136" w:type="dxa"/>
            <w:tcBorders>
              <w:tl2br w:val="nil"/>
              <w:tr2bl w:val="nil"/>
            </w:tcBorders>
            <w:shd w:val="clear" w:color="auto" w:fill="auto"/>
            <w:noWrap/>
            <w:vAlign w:val="center"/>
          </w:tcPr>
          <w:p w14:paraId="6163A938">
            <w:pPr>
              <w:pStyle w:val="445"/>
            </w:pPr>
            <w:r>
              <w:t>1.70E-04</w:t>
            </w:r>
          </w:p>
        </w:tc>
        <w:tc>
          <w:tcPr>
            <w:tcW w:w="1551" w:type="dxa"/>
            <w:tcBorders>
              <w:tl2br w:val="nil"/>
              <w:tr2bl w:val="nil"/>
            </w:tcBorders>
            <w:shd w:val="clear" w:color="auto" w:fill="auto"/>
            <w:noWrap/>
            <w:vAlign w:val="center"/>
          </w:tcPr>
          <w:p w14:paraId="475FB697">
            <w:pPr>
              <w:pStyle w:val="445"/>
            </w:pPr>
            <w:r>
              <w:t>0.85</w:t>
            </w:r>
          </w:p>
        </w:tc>
        <w:tc>
          <w:tcPr>
            <w:tcW w:w="1240" w:type="dxa"/>
            <w:vMerge w:val="continue"/>
            <w:tcBorders>
              <w:tl2br w:val="nil"/>
              <w:tr2bl w:val="nil"/>
            </w:tcBorders>
            <w:shd w:val="clear" w:color="auto" w:fill="auto"/>
            <w:noWrap/>
            <w:vAlign w:val="center"/>
          </w:tcPr>
          <w:p w14:paraId="3DEC9240">
            <w:pPr>
              <w:pStyle w:val="445"/>
            </w:pPr>
          </w:p>
        </w:tc>
        <w:tc>
          <w:tcPr>
            <w:tcW w:w="0" w:type="auto"/>
            <w:tcBorders>
              <w:tl2br w:val="nil"/>
              <w:tr2bl w:val="nil"/>
            </w:tcBorders>
            <w:shd w:val="clear" w:color="auto" w:fill="auto"/>
            <w:noWrap/>
            <w:vAlign w:val="center"/>
          </w:tcPr>
          <w:p w14:paraId="37B38175">
            <w:pPr>
              <w:pStyle w:val="445"/>
            </w:pPr>
            <w:r>
              <w:rPr>
                <w:rFonts w:hint="eastAsia"/>
              </w:rPr>
              <w:t>/</w:t>
            </w:r>
          </w:p>
        </w:tc>
      </w:tr>
      <w:tr w14:paraId="280B3F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7A2A55A3">
            <w:pPr>
              <w:pStyle w:val="445"/>
            </w:pPr>
            <w:r>
              <w:t>DA025</w:t>
            </w:r>
          </w:p>
        </w:tc>
        <w:tc>
          <w:tcPr>
            <w:tcW w:w="1499" w:type="dxa"/>
            <w:tcBorders>
              <w:tl2br w:val="nil"/>
              <w:tr2bl w:val="nil"/>
            </w:tcBorders>
            <w:shd w:val="clear" w:color="auto" w:fill="auto"/>
            <w:noWrap/>
            <w:vAlign w:val="center"/>
          </w:tcPr>
          <w:p w14:paraId="45243C6F">
            <w:pPr>
              <w:pStyle w:val="445"/>
            </w:pPr>
            <w:r>
              <w:t>PM</w:t>
            </w:r>
            <w:r>
              <w:rPr>
                <w:vertAlign w:val="subscript"/>
              </w:rPr>
              <w:t>10</w:t>
            </w:r>
          </w:p>
        </w:tc>
        <w:tc>
          <w:tcPr>
            <w:tcW w:w="1136" w:type="dxa"/>
            <w:tcBorders>
              <w:tl2br w:val="nil"/>
              <w:tr2bl w:val="nil"/>
            </w:tcBorders>
            <w:shd w:val="clear" w:color="auto" w:fill="auto"/>
            <w:noWrap/>
            <w:vAlign w:val="center"/>
          </w:tcPr>
          <w:p w14:paraId="1A2F4FA9">
            <w:pPr>
              <w:pStyle w:val="445"/>
            </w:pPr>
            <w:r>
              <w:t>4.50E-05</w:t>
            </w:r>
          </w:p>
        </w:tc>
        <w:tc>
          <w:tcPr>
            <w:tcW w:w="1551" w:type="dxa"/>
            <w:tcBorders>
              <w:tl2br w:val="nil"/>
              <w:tr2bl w:val="nil"/>
            </w:tcBorders>
            <w:shd w:val="clear" w:color="auto" w:fill="auto"/>
            <w:noWrap/>
            <w:vAlign w:val="center"/>
          </w:tcPr>
          <w:p w14:paraId="240FB800">
            <w:pPr>
              <w:pStyle w:val="445"/>
            </w:pPr>
            <w:r>
              <w:t>0.01</w:t>
            </w:r>
          </w:p>
        </w:tc>
        <w:tc>
          <w:tcPr>
            <w:tcW w:w="1240" w:type="dxa"/>
            <w:vMerge w:val="restart"/>
            <w:tcBorders>
              <w:tl2br w:val="nil"/>
              <w:tr2bl w:val="nil"/>
            </w:tcBorders>
            <w:shd w:val="clear" w:color="auto" w:fill="auto"/>
            <w:noWrap/>
            <w:vAlign w:val="center"/>
          </w:tcPr>
          <w:p w14:paraId="0A1294EC">
            <w:pPr>
              <w:pStyle w:val="445"/>
            </w:pPr>
            <w:r>
              <w:rPr>
                <w:rFonts w:hint="eastAsia"/>
              </w:rPr>
              <w:t>/</w:t>
            </w:r>
          </w:p>
        </w:tc>
        <w:tc>
          <w:tcPr>
            <w:tcW w:w="0" w:type="auto"/>
            <w:tcBorders>
              <w:tl2br w:val="nil"/>
              <w:tr2bl w:val="nil"/>
            </w:tcBorders>
            <w:shd w:val="clear" w:color="auto" w:fill="auto"/>
            <w:noWrap/>
            <w:vAlign w:val="center"/>
          </w:tcPr>
          <w:p w14:paraId="05E7C8B3">
            <w:pPr>
              <w:pStyle w:val="445"/>
            </w:pPr>
            <w:r>
              <w:rPr>
                <w:rFonts w:hint="eastAsia"/>
              </w:rPr>
              <w:t>/</w:t>
            </w:r>
          </w:p>
        </w:tc>
      </w:tr>
      <w:tr w14:paraId="05EF42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529EBE88">
            <w:pPr>
              <w:pStyle w:val="445"/>
            </w:pPr>
          </w:p>
        </w:tc>
        <w:tc>
          <w:tcPr>
            <w:tcW w:w="1499" w:type="dxa"/>
            <w:tcBorders>
              <w:tl2br w:val="nil"/>
              <w:tr2bl w:val="nil"/>
            </w:tcBorders>
            <w:shd w:val="clear" w:color="auto" w:fill="auto"/>
            <w:noWrap/>
            <w:vAlign w:val="center"/>
          </w:tcPr>
          <w:p w14:paraId="2F0043CB">
            <w:pPr>
              <w:pStyle w:val="445"/>
            </w:pPr>
            <w:r>
              <w:t>PM</w:t>
            </w:r>
            <w:r>
              <w:rPr>
                <w:vertAlign w:val="subscript"/>
              </w:rPr>
              <w:t>2.5</w:t>
            </w:r>
          </w:p>
        </w:tc>
        <w:tc>
          <w:tcPr>
            <w:tcW w:w="1136" w:type="dxa"/>
            <w:tcBorders>
              <w:tl2br w:val="nil"/>
              <w:tr2bl w:val="nil"/>
            </w:tcBorders>
            <w:shd w:val="clear" w:color="auto" w:fill="auto"/>
            <w:noWrap/>
            <w:vAlign w:val="center"/>
          </w:tcPr>
          <w:p w14:paraId="38359B2A">
            <w:pPr>
              <w:pStyle w:val="445"/>
            </w:pPr>
            <w:r>
              <w:t>2.25E-05</w:t>
            </w:r>
          </w:p>
        </w:tc>
        <w:tc>
          <w:tcPr>
            <w:tcW w:w="1551" w:type="dxa"/>
            <w:tcBorders>
              <w:tl2br w:val="nil"/>
              <w:tr2bl w:val="nil"/>
            </w:tcBorders>
            <w:shd w:val="clear" w:color="auto" w:fill="auto"/>
            <w:noWrap/>
            <w:vAlign w:val="center"/>
          </w:tcPr>
          <w:p w14:paraId="7B8E5A9E">
            <w:pPr>
              <w:pStyle w:val="445"/>
            </w:pPr>
            <w:r>
              <w:t>0.01</w:t>
            </w:r>
          </w:p>
        </w:tc>
        <w:tc>
          <w:tcPr>
            <w:tcW w:w="1240" w:type="dxa"/>
            <w:vMerge w:val="continue"/>
            <w:tcBorders>
              <w:tl2br w:val="nil"/>
              <w:tr2bl w:val="nil"/>
            </w:tcBorders>
            <w:shd w:val="clear" w:color="auto" w:fill="auto"/>
            <w:noWrap/>
            <w:vAlign w:val="center"/>
          </w:tcPr>
          <w:p w14:paraId="1F3760BA">
            <w:pPr>
              <w:pStyle w:val="445"/>
            </w:pPr>
          </w:p>
        </w:tc>
        <w:tc>
          <w:tcPr>
            <w:tcW w:w="0" w:type="auto"/>
            <w:tcBorders>
              <w:tl2br w:val="nil"/>
              <w:tr2bl w:val="nil"/>
            </w:tcBorders>
            <w:shd w:val="clear" w:color="auto" w:fill="auto"/>
            <w:noWrap/>
            <w:vAlign w:val="center"/>
          </w:tcPr>
          <w:p w14:paraId="2A8686D4">
            <w:pPr>
              <w:pStyle w:val="445"/>
            </w:pPr>
            <w:r>
              <w:rPr>
                <w:rFonts w:hint="eastAsia"/>
              </w:rPr>
              <w:t>/</w:t>
            </w:r>
          </w:p>
        </w:tc>
      </w:tr>
      <w:tr w14:paraId="33F089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46E5F06E">
            <w:pPr>
              <w:pStyle w:val="445"/>
            </w:pPr>
            <w:r>
              <w:t>硅粉车间</w:t>
            </w:r>
          </w:p>
        </w:tc>
        <w:tc>
          <w:tcPr>
            <w:tcW w:w="1499" w:type="dxa"/>
            <w:tcBorders>
              <w:tl2br w:val="nil"/>
              <w:tr2bl w:val="nil"/>
            </w:tcBorders>
            <w:shd w:val="clear" w:color="auto" w:fill="auto"/>
            <w:noWrap/>
            <w:vAlign w:val="center"/>
          </w:tcPr>
          <w:p w14:paraId="7E45905D">
            <w:pPr>
              <w:pStyle w:val="445"/>
            </w:pPr>
            <w:r>
              <w:t>PM</w:t>
            </w:r>
            <w:r>
              <w:rPr>
                <w:vertAlign w:val="subscript"/>
              </w:rPr>
              <w:t>10</w:t>
            </w:r>
          </w:p>
        </w:tc>
        <w:tc>
          <w:tcPr>
            <w:tcW w:w="1136" w:type="dxa"/>
            <w:tcBorders>
              <w:tl2br w:val="nil"/>
              <w:tr2bl w:val="nil"/>
            </w:tcBorders>
            <w:shd w:val="clear" w:color="auto" w:fill="auto"/>
            <w:noWrap/>
            <w:vAlign w:val="center"/>
          </w:tcPr>
          <w:p w14:paraId="4DC028E9">
            <w:pPr>
              <w:pStyle w:val="445"/>
            </w:pPr>
            <w:r>
              <w:t>3.52E-01</w:t>
            </w:r>
          </w:p>
        </w:tc>
        <w:tc>
          <w:tcPr>
            <w:tcW w:w="1551" w:type="dxa"/>
            <w:tcBorders>
              <w:tl2br w:val="nil"/>
              <w:tr2bl w:val="nil"/>
            </w:tcBorders>
            <w:shd w:val="clear" w:color="auto" w:fill="auto"/>
            <w:noWrap/>
            <w:vAlign w:val="center"/>
          </w:tcPr>
          <w:p w14:paraId="5FEE467D">
            <w:pPr>
              <w:pStyle w:val="445"/>
            </w:pPr>
            <w:r>
              <w:t>78.29</w:t>
            </w:r>
          </w:p>
        </w:tc>
        <w:tc>
          <w:tcPr>
            <w:tcW w:w="1240" w:type="dxa"/>
            <w:vMerge w:val="restart"/>
            <w:tcBorders>
              <w:tl2br w:val="nil"/>
              <w:tr2bl w:val="nil"/>
            </w:tcBorders>
            <w:shd w:val="clear" w:color="auto" w:fill="auto"/>
            <w:noWrap/>
            <w:vAlign w:val="center"/>
          </w:tcPr>
          <w:p w14:paraId="53130D10">
            <w:pPr>
              <w:pStyle w:val="445"/>
            </w:pPr>
            <w:r>
              <w:rPr>
                <w:rFonts w:hint="eastAsia"/>
              </w:rPr>
              <w:t>/</w:t>
            </w:r>
          </w:p>
        </w:tc>
        <w:tc>
          <w:tcPr>
            <w:tcW w:w="0" w:type="auto"/>
            <w:tcBorders>
              <w:tl2br w:val="nil"/>
              <w:tr2bl w:val="nil"/>
            </w:tcBorders>
            <w:shd w:val="clear" w:color="auto" w:fill="auto"/>
            <w:noWrap/>
            <w:vAlign w:val="center"/>
          </w:tcPr>
          <w:p w14:paraId="1CE90EFC">
            <w:pPr>
              <w:pStyle w:val="445"/>
            </w:pPr>
            <w:r>
              <w:t>1400</w:t>
            </w:r>
          </w:p>
        </w:tc>
      </w:tr>
      <w:tr w14:paraId="358E8D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2DE3566A">
            <w:pPr>
              <w:pStyle w:val="445"/>
            </w:pPr>
          </w:p>
        </w:tc>
        <w:tc>
          <w:tcPr>
            <w:tcW w:w="1499" w:type="dxa"/>
            <w:tcBorders>
              <w:tl2br w:val="nil"/>
              <w:tr2bl w:val="nil"/>
            </w:tcBorders>
            <w:shd w:val="clear" w:color="auto" w:fill="auto"/>
            <w:noWrap/>
            <w:vAlign w:val="center"/>
          </w:tcPr>
          <w:p w14:paraId="0576EB4A">
            <w:pPr>
              <w:pStyle w:val="445"/>
            </w:pPr>
            <w:r>
              <w:t>PM</w:t>
            </w:r>
            <w:r>
              <w:rPr>
                <w:vertAlign w:val="subscript"/>
              </w:rPr>
              <w:t>2.5</w:t>
            </w:r>
          </w:p>
        </w:tc>
        <w:tc>
          <w:tcPr>
            <w:tcW w:w="1136" w:type="dxa"/>
            <w:tcBorders>
              <w:tl2br w:val="nil"/>
              <w:tr2bl w:val="nil"/>
            </w:tcBorders>
            <w:shd w:val="clear" w:color="auto" w:fill="auto"/>
            <w:noWrap/>
            <w:vAlign w:val="center"/>
          </w:tcPr>
          <w:p w14:paraId="3E2D3400">
            <w:pPr>
              <w:pStyle w:val="445"/>
            </w:pPr>
            <w:r>
              <w:t>1.76E-01</w:t>
            </w:r>
          </w:p>
        </w:tc>
        <w:tc>
          <w:tcPr>
            <w:tcW w:w="1551" w:type="dxa"/>
            <w:tcBorders>
              <w:tl2br w:val="nil"/>
              <w:tr2bl w:val="nil"/>
            </w:tcBorders>
            <w:shd w:val="clear" w:color="auto" w:fill="auto"/>
            <w:noWrap/>
            <w:vAlign w:val="center"/>
          </w:tcPr>
          <w:p w14:paraId="6730ADBA">
            <w:pPr>
              <w:pStyle w:val="445"/>
            </w:pPr>
            <w:r>
              <w:t>78.29</w:t>
            </w:r>
          </w:p>
        </w:tc>
        <w:tc>
          <w:tcPr>
            <w:tcW w:w="1240" w:type="dxa"/>
            <w:vMerge w:val="continue"/>
            <w:tcBorders>
              <w:tl2br w:val="nil"/>
              <w:tr2bl w:val="nil"/>
            </w:tcBorders>
            <w:shd w:val="clear" w:color="auto" w:fill="auto"/>
            <w:noWrap/>
            <w:vAlign w:val="center"/>
          </w:tcPr>
          <w:p w14:paraId="5185AE95">
            <w:pPr>
              <w:pStyle w:val="445"/>
            </w:pPr>
          </w:p>
        </w:tc>
        <w:tc>
          <w:tcPr>
            <w:tcW w:w="0" w:type="auto"/>
            <w:tcBorders>
              <w:tl2br w:val="nil"/>
              <w:tr2bl w:val="nil"/>
            </w:tcBorders>
            <w:shd w:val="clear" w:color="auto" w:fill="auto"/>
            <w:noWrap/>
            <w:vAlign w:val="center"/>
          </w:tcPr>
          <w:p w14:paraId="10876731">
            <w:pPr>
              <w:pStyle w:val="445"/>
            </w:pPr>
            <w:r>
              <w:t>1400</w:t>
            </w:r>
          </w:p>
        </w:tc>
      </w:tr>
      <w:tr w14:paraId="2ECD79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38CBEBE4">
            <w:pPr>
              <w:pStyle w:val="445"/>
            </w:pPr>
            <w:r>
              <w:t>合成精馏车间</w:t>
            </w:r>
          </w:p>
        </w:tc>
        <w:tc>
          <w:tcPr>
            <w:tcW w:w="0" w:type="auto"/>
            <w:tcBorders>
              <w:tl2br w:val="nil"/>
              <w:tr2bl w:val="nil"/>
            </w:tcBorders>
            <w:shd w:val="clear" w:color="auto" w:fill="auto"/>
            <w:noWrap/>
            <w:vAlign w:val="center"/>
          </w:tcPr>
          <w:p w14:paraId="0225682B">
            <w:pPr>
              <w:pStyle w:val="445"/>
            </w:pPr>
            <w:r>
              <w:rPr>
                <w:rFonts w:hint="eastAsia"/>
              </w:rPr>
              <w:t>非甲烷</w:t>
            </w:r>
            <w:r>
              <w:t>总烃</w:t>
            </w:r>
          </w:p>
        </w:tc>
        <w:tc>
          <w:tcPr>
            <w:tcW w:w="1136" w:type="dxa"/>
            <w:tcBorders>
              <w:tl2br w:val="nil"/>
              <w:tr2bl w:val="nil"/>
            </w:tcBorders>
            <w:shd w:val="clear" w:color="auto" w:fill="auto"/>
            <w:noWrap/>
            <w:vAlign w:val="center"/>
          </w:tcPr>
          <w:p w14:paraId="7019E108">
            <w:pPr>
              <w:pStyle w:val="445"/>
            </w:pPr>
            <w:r>
              <w:t>6.88E-02</w:t>
            </w:r>
          </w:p>
        </w:tc>
        <w:tc>
          <w:tcPr>
            <w:tcW w:w="1551" w:type="dxa"/>
            <w:tcBorders>
              <w:tl2br w:val="nil"/>
              <w:tr2bl w:val="nil"/>
            </w:tcBorders>
            <w:shd w:val="clear" w:color="auto" w:fill="auto"/>
            <w:noWrap/>
            <w:vAlign w:val="center"/>
          </w:tcPr>
          <w:p w14:paraId="2BDADE94">
            <w:pPr>
              <w:pStyle w:val="445"/>
            </w:pPr>
            <w:r>
              <w:t>3.44</w:t>
            </w:r>
          </w:p>
        </w:tc>
        <w:tc>
          <w:tcPr>
            <w:tcW w:w="1240" w:type="dxa"/>
            <w:vMerge w:val="restart"/>
            <w:tcBorders>
              <w:tl2br w:val="nil"/>
              <w:tr2bl w:val="nil"/>
            </w:tcBorders>
            <w:shd w:val="clear" w:color="auto" w:fill="auto"/>
            <w:noWrap/>
            <w:vAlign w:val="center"/>
          </w:tcPr>
          <w:p w14:paraId="0699A91D">
            <w:pPr>
              <w:pStyle w:val="445"/>
            </w:pPr>
            <w:r>
              <w:rPr>
                <w:rFonts w:hint="eastAsia"/>
              </w:rPr>
              <w:t>/</w:t>
            </w:r>
          </w:p>
        </w:tc>
        <w:tc>
          <w:tcPr>
            <w:tcW w:w="0" w:type="auto"/>
            <w:tcBorders>
              <w:tl2br w:val="nil"/>
              <w:tr2bl w:val="nil"/>
            </w:tcBorders>
            <w:shd w:val="clear" w:color="auto" w:fill="auto"/>
            <w:noWrap/>
            <w:vAlign w:val="center"/>
          </w:tcPr>
          <w:p w14:paraId="4FF96CBD">
            <w:pPr>
              <w:pStyle w:val="445"/>
            </w:pPr>
            <w:r>
              <w:rPr>
                <w:rFonts w:hint="eastAsia"/>
              </w:rPr>
              <w:t>/</w:t>
            </w:r>
          </w:p>
        </w:tc>
      </w:tr>
      <w:tr w14:paraId="6BA134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1BACEB77">
            <w:pPr>
              <w:pStyle w:val="445"/>
            </w:pPr>
          </w:p>
        </w:tc>
        <w:tc>
          <w:tcPr>
            <w:tcW w:w="0" w:type="auto"/>
            <w:tcBorders>
              <w:tl2br w:val="nil"/>
              <w:tr2bl w:val="nil"/>
            </w:tcBorders>
            <w:shd w:val="clear" w:color="auto" w:fill="auto"/>
            <w:noWrap/>
            <w:vAlign w:val="center"/>
          </w:tcPr>
          <w:p w14:paraId="53D1ED1A">
            <w:pPr>
              <w:pStyle w:val="445"/>
            </w:pPr>
            <w:r>
              <w:t>甲醇</w:t>
            </w:r>
          </w:p>
        </w:tc>
        <w:tc>
          <w:tcPr>
            <w:tcW w:w="1136" w:type="dxa"/>
            <w:tcBorders>
              <w:tl2br w:val="nil"/>
              <w:tr2bl w:val="nil"/>
            </w:tcBorders>
            <w:shd w:val="clear" w:color="auto" w:fill="auto"/>
            <w:noWrap/>
            <w:vAlign w:val="center"/>
          </w:tcPr>
          <w:p w14:paraId="3781D31D">
            <w:pPr>
              <w:pStyle w:val="445"/>
            </w:pPr>
            <w:r>
              <w:t>4.20E-02</w:t>
            </w:r>
          </w:p>
        </w:tc>
        <w:tc>
          <w:tcPr>
            <w:tcW w:w="1551" w:type="dxa"/>
            <w:tcBorders>
              <w:tl2br w:val="nil"/>
              <w:tr2bl w:val="nil"/>
            </w:tcBorders>
            <w:shd w:val="clear" w:color="auto" w:fill="auto"/>
            <w:noWrap/>
            <w:vAlign w:val="center"/>
          </w:tcPr>
          <w:p w14:paraId="0A8CE31E">
            <w:pPr>
              <w:pStyle w:val="445"/>
            </w:pPr>
            <w:r>
              <w:t>1.4</w:t>
            </w:r>
          </w:p>
        </w:tc>
        <w:tc>
          <w:tcPr>
            <w:tcW w:w="1240" w:type="dxa"/>
            <w:vMerge w:val="continue"/>
            <w:tcBorders>
              <w:tl2br w:val="nil"/>
              <w:tr2bl w:val="nil"/>
            </w:tcBorders>
            <w:shd w:val="clear" w:color="auto" w:fill="auto"/>
            <w:noWrap/>
            <w:vAlign w:val="center"/>
          </w:tcPr>
          <w:p w14:paraId="59F1B8BC">
            <w:pPr>
              <w:pStyle w:val="445"/>
            </w:pPr>
          </w:p>
        </w:tc>
        <w:tc>
          <w:tcPr>
            <w:tcW w:w="0" w:type="auto"/>
            <w:tcBorders>
              <w:tl2br w:val="nil"/>
              <w:tr2bl w:val="nil"/>
            </w:tcBorders>
            <w:shd w:val="clear" w:color="auto" w:fill="auto"/>
            <w:noWrap/>
            <w:vAlign w:val="center"/>
          </w:tcPr>
          <w:p w14:paraId="2948DF09">
            <w:pPr>
              <w:pStyle w:val="445"/>
            </w:pPr>
            <w:r>
              <w:rPr>
                <w:rFonts w:hint="eastAsia"/>
              </w:rPr>
              <w:t>/</w:t>
            </w:r>
          </w:p>
        </w:tc>
      </w:tr>
      <w:tr w14:paraId="3AB7FE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restart"/>
            <w:tcBorders>
              <w:tl2br w:val="nil"/>
              <w:tr2bl w:val="nil"/>
            </w:tcBorders>
            <w:shd w:val="clear" w:color="auto" w:fill="auto"/>
            <w:noWrap/>
            <w:vAlign w:val="center"/>
          </w:tcPr>
          <w:p w14:paraId="0E7F32EC">
            <w:pPr>
              <w:pStyle w:val="445"/>
            </w:pPr>
            <w:r>
              <w:t>水解车间</w:t>
            </w:r>
          </w:p>
        </w:tc>
        <w:tc>
          <w:tcPr>
            <w:tcW w:w="0" w:type="auto"/>
            <w:tcBorders>
              <w:tl2br w:val="nil"/>
              <w:tr2bl w:val="nil"/>
            </w:tcBorders>
            <w:shd w:val="clear" w:color="auto" w:fill="auto"/>
            <w:noWrap/>
            <w:vAlign w:val="center"/>
          </w:tcPr>
          <w:p w14:paraId="40D14E9E">
            <w:pPr>
              <w:pStyle w:val="445"/>
            </w:pPr>
            <w:r>
              <w:rPr>
                <w:rFonts w:hint="eastAsia"/>
              </w:rPr>
              <w:t>非甲烷</w:t>
            </w:r>
            <w:r>
              <w:t>总烃</w:t>
            </w:r>
          </w:p>
        </w:tc>
        <w:tc>
          <w:tcPr>
            <w:tcW w:w="1136" w:type="dxa"/>
            <w:tcBorders>
              <w:tl2br w:val="nil"/>
              <w:tr2bl w:val="nil"/>
            </w:tcBorders>
            <w:shd w:val="clear" w:color="auto" w:fill="auto"/>
            <w:noWrap/>
            <w:vAlign w:val="center"/>
          </w:tcPr>
          <w:p w14:paraId="38C1D6CB">
            <w:pPr>
              <w:pStyle w:val="445"/>
            </w:pPr>
            <w:r>
              <w:t>4.20E-02</w:t>
            </w:r>
          </w:p>
        </w:tc>
        <w:tc>
          <w:tcPr>
            <w:tcW w:w="1551" w:type="dxa"/>
            <w:tcBorders>
              <w:tl2br w:val="nil"/>
              <w:tr2bl w:val="nil"/>
            </w:tcBorders>
            <w:shd w:val="clear" w:color="auto" w:fill="auto"/>
            <w:noWrap/>
            <w:vAlign w:val="center"/>
          </w:tcPr>
          <w:p w14:paraId="7F5A09F3">
            <w:pPr>
              <w:pStyle w:val="445"/>
            </w:pPr>
            <w:r>
              <w:t>2.1</w:t>
            </w:r>
          </w:p>
        </w:tc>
        <w:tc>
          <w:tcPr>
            <w:tcW w:w="1240" w:type="dxa"/>
            <w:vMerge w:val="restart"/>
            <w:tcBorders>
              <w:tl2br w:val="nil"/>
              <w:tr2bl w:val="nil"/>
            </w:tcBorders>
            <w:shd w:val="clear" w:color="auto" w:fill="auto"/>
            <w:noWrap/>
            <w:vAlign w:val="center"/>
          </w:tcPr>
          <w:p w14:paraId="3C3CB82C">
            <w:pPr>
              <w:pStyle w:val="445"/>
            </w:pPr>
            <w:r>
              <w:rPr>
                <w:rFonts w:hint="eastAsia"/>
              </w:rPr>
              <w:t>/</w:t>
            </w:r>
          </w:p>
        </w:tc>
        <w:tc>
          <w:tcPr>
            <w:tcW w:w="0" w:type="auto"/>
            <w:tcBorders>
              <w:tl2br w:val="nil"/>
              <w:tr2bl w:val="nil"/>
            </w:tcBorders>
            <w:shd w:val="clear" w:color="auto" w:fill="auto"/>
            <w:noWrap/>
            <w:vAlign w:val="center"/>
          </w:tcPr>
          <w:p w14:paraId="0072446F">
            <w:pPr>
              <w:pStyle w:val="445"/>
            </w:pPr>
            <w:r>
              <w:rPr>
                <w:rFonts w:hint="eastAsia"/>
              </w:rPr>
              <w:t>/</w:t>
            </w:r>
          </w:p>
        </w:tc>
      </w:tr>
      <w:tr w14:paraId="468DA0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0" w:type="auto"/>
            <w:vMerge w:val="continue"/>
            <w:tcBorders>
              <w:tl2br w:val="nil"/>
              <w:tr2bl w:val="nil"/>
            </w:tcBorders>
            <w:shd w:val="clear" w:color="auto" w:fill="auto"/>
            <w:noWrap/>
            <w:vAlign w:val="center"/>
          </w:tcPr>
          <w:p w14:paraId="3FB0826A">
            <w:pPr>
              <w:pStyle w:val="445"/>
            </w:pPr>
          </w:p>
        </w:tc>
        <w:tc>
          <w:tcPr>
            <w:tcW w:w="0" w:type="auto"/>
            <w:tcBorders>
              <w:tl2br w:val="nil"/>
              <w:tr2bl w:val="nil"/>
            </w:tcBorders>
            <w:shd w:val="clear" w:color="auto" w:fill="auto"/>
            <w:noWrap/>
            <w:vAlign w:val="center"/>
          </w:tcPr>
          <w:p w14:paraId="71880195">
            <w:pPr>
              <w:pStyle w:val="445"/>
            </w:pPr>
            <w:r>
              <w:t>甲醇</w:t>
            </w:r>
          </w:p>
        </w:tc>
        <w:tc>
          <w:tcPr>
            <w:tcW w:w="1136" w:type="dxa"/>
            <w:tcBorders>
              <w:tl2br w:val="nil"/>
              <w:tr2bl w:val="nil"/>
            </w:tcBorders>
            <w:shd w:val="clear" w:color="auto" w:fill="auto"/>
            <w:noWrap/>
            <w:vAlign w:val="center"/>
          </w:tcPr>
          <w:p w14:paraId="09B1B29C">
            <w:pPr>
              <w:pStyle w:val="445"/>
            </w:pPr>
            <w:r>
              <w:t>4.20E-02</w:t>
            </w:r>
          </w:p>
        </w:tc>
        <w:tc>
          <w:tcPr>
            <w:tcW w:w="1551" w:type="dxa"/>
            <w:tcBorders>
              <w:tl2br w:val="nil"/>
              <w:tr2bl w:val="nil"/>
            </w:tcBorders>
            <w:shd w:val="clear" w:color="auto" w:fill="auto"/>
            <w:noWrap/>
            <w:vAlign w:val="center"/>
          </w:tcPr>
          <w:p w14:paraId="011DB95B">
            <w:pPr>
              <w:pStyle w:val="445"/>
            </w:pPr>
            <w:r>
              <w:t>1.4</w:t>
            </w:r>
          </w:p>
        </w:tc>
        <w:tc>
          <w:tcPr>
            <w:tcW w:w="1240" w:type="dxa"/>
            <w:vMerge w:val="continue"/>
            <w:tcBorders>
              <w:tl2br w:val="nil"/>
              <w:tr2bl w:val="nil"/>
            </w:tcBorders>
            <w:shd w:val="clear" w:color="auto" w:fill="auto"/>
            <w:noWrap/>
            <w:vAlign w:val="center"/>
          </w:tcPr>
          <w:p w14:paraId="6C5C91C0">
            <w:pPr>
              <w:pStyle w:val="445"/>
            </w:pPr>
          </w:p>
        </w:tc>
        <w:tc>
          <w:tcPr>
            <w:tcW w:w="0" w:type="auto"/>
            <w:tcBorders>
              <w:tl2br w:val="nil"/>
              <w:tr2bl w:val="nil"/>
            </w:tcBorders>
            <w:shd w:val="clear" w:color="auto" w:fill="auto"/>
            <w:noWrap/>
            <w:vAlign w:val="center"/>
          </w:tcPr>
          <w:p w14:paraId="36506DB6">
            <w:pPr>
              <w:pStyle w:val="445"/>
            </w:pPr>
            <w:r>
              <w:rPr>
                <w:rFonts w:hint="eastAsia"/>
              </w:rPr>
              <w:t>/</w:t>
            </w:r>
          </w:p>
        </w:tc>
      </w:tr>
    </w:tbl>
    <w:p w14:paraId="0EE05D42">
      <w:pPr>
        <w:ind w:firstLine="480"/>
        <w:rPr>
          <w:rFonts w:cs="Times New Roman"/>
        </w:rPr>
      </w:pPr>
      <w:r>
        <w:rPr>
          <w:rFonts w:hint="eastAsia" w:ascii="宋体" w:hAnsi="宋体"/>
        </w:rPr>
        <w:t>由表</w:t>
      </w:r>
      <w:r>
        <w:t>2.3.1-3</w:t>
      </w:r>
      <w:r>
        <w:rPr>
          <w:rFonts w:hint="eastAsia" w:ascii="宋体" w:hAnsi="宋体"/>
        </w:rPr>
        <w:t>可知，</w:t>
      </w:r>
      <w:r>
        <w:rPr>
          <w:rFonts w:hint="eastAsia" w:cs="Times New Roman"/>
        </w:rPr>
        <w:t>硅粉车间PM</w:t>
      </w:r>
      <w:r>
        <w:rPr>
          <w:rFonts w:hint="eastAsia" w:cs="Times New Roman"/>
          <w:vertAlign w:val="subscript"/>
        </w:rPr>
        <w:t>10</w:t>
      </w:r>
      <w:r>
        <w:rPr>
          <w:rFonts w:hint="eastAsia" w:cs="Times New Roman"/>
        </w:rPr>
        <w:t>、PM</w:t>
      </w:r>
      <w:r>
        <w:rPr>
          <w:rFonts w:hint="eastAsia" w:cs="Times New Roman"/>
          <w:vertAlign w:val="subscript"/>
        </w:rPr>
        <w:t>2.5</w:t>
      </w:r>
      <w:r>
        <w:rPr>
          <w:rFonts w:cs="Times New Roman"/>
        </w:rPr>
        <w:t>的排放，占标率P</w:t>
      </w:r>
      <w:r>
        <w:rPr>
          <w:rFonts w:cs="Times New Roman"/>
          <w:vertAlign w:val="subscript"/>
        </w:rPr>
        <w:t>max</w:t>
      </w:r>
      <w:r>
        <w:rPr>
          <w:rFonts w:cs="Times New Roman"/>
        </w:rPr>
        <w:t>：78.29%&gt;10%</w:t>
      </w:r>
      <w:r>
        <w:rPr>
          <w:rFonts w:hint="eastAsia" w:ascii="宋体" w:hAnsi="宋体"/>
        </w:rPr>
        <w:t>。</w:t>
      </w:r>
    </w:p>
    <w:p w14:paraId="5066659F">
      <w:pPr>
        <w:ind w:firstLine="480"/>
      </w:pPr>
      <w:r>
        <w:rPr>
          <w:rFonts w:hint="eastAsia" w:ascii="宋体" w:hAnsi="宋体"/>
        </w:rPr>
        <w:t>根据</w:t>
      </w:r>
      <w:r>
        <w:t>HJ2.2</w:t>
      </w:r>
      <w:r>
        <w:rPr>
          <w:rFonts w:hint="eastAsia" w:ascii="宋体" w:hAnsi="宋体"/>
        </w:rPr>
        <w:t>和表</w:t>
      </w:r>
      <w:r>
        <w:t>2.3.1-1</w:t>
      </w:r>
      <w:r>
        <w:rPr>
          <w:rFonts w:hint="eastAsia" w:ascii="宋体" w:hAnsi="宋体"/>
        </w:rPr>
        <w:t>评价工作等级判据，综合确定本项目大气环境影响评价工作等级为</w:t>
      </w:r>
      <w:r>
        <w:rPr>
          <w:rFonts w:hint="eastAsia"/>
        </w:rPr>
        <w:t>一级</w:t>
      </w:r>
      <w:r>
        <w:rPr>
          <w:rFonts w:hint="eastAsia" w:ascii="宋体" w:hAnsi="宋体"/>
        </w:rPr>
        <w:t>。</w:t>
      </w:r>
    </w:p>
    <w:p w14:paraId="03556AE5">
      <w:pPr>
        <w:pStyle w:val="349"/>
      </w:pPr>
      <w:r>
        <w:rPr>
          <w:rFonts w:hint="eastAsia"/>
        </w:rPr>
        <w:t>2</w:t>
      </w:r>
      <w:r>
        <w:t>.3.1.2地表水环境影响评价等级</w:t>
      </w:r>
    </w:p>
    <w:p w14:paraId="7EF27667">
      <w:pPr>
        <w:ind w:firstLine="480"/>
      </w:pPr>
      <w:r>
        <w:rPr>
          <w:rFonts w:hint="eastAsia"/>
        </w:rPr>
        <w:t>扩建</w:t>
      </w:r>
      <w:r>
        <w:rPr>
          <w:rFonts w:hint="eastAsia" w:ascii="宋体" w:hAnsi="宋体"/>
        </w:rPr>
        <w:t>项目废水主要有生产废水、初期雨水及生活污水等，其中综合废水产生量为</w:t>
      </w:r>
      <w:r>
        <w:rPr>
          <w:rFonts w:hint="eastAsia"/>
        </w:rPr>
        <w:t>175806.735t/a</w:t>
      </w:r>
      <w:r>
        <w:rPr>
          <w:rFonts w:hint="eastAsia" w:ascii="宋体" w:hAnsi="宋体"/>
        </w:rPr>
        <w:t>，经厂区污水处理区处理达到</w:t>
      </w:r>
      <w:r>
        <w:rPr>
          <w:rFonts w:ascii="宋体" w:hAnsi="宋体"/>
        </w:rPr>
        <w:t>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r>
        <w:rPr>
          <w:rFonts w:hint="eastAsia" w:ascii="宋体" w:hAnsi="宋体"/>
        </w:rPr>
        <w:t>后接管沫河口污水处理厂，尾水排入沫冲引河并汇入淮河。本项目为间接排放，对照《环境影响评价技术导则</w:t>
      </w:r>
      <w:r>
        <w:t xml:space="preserve"> </w:t>
      </w:r>
      <w:r>
        <w:rPr>
          <w:rFonts w:ascii="宋体" w:hAnsi="宋体"/>
        </w:rPr>
        <w:t>地</w:t>
      </w:r>
      <w:r>
        <w:rPr>
          <w:rFonts w:hint="eastAsia" w:ascii="宋体" w:hAnsi="宋体"/>
        </w:rPr>
        <w:t>表水环境》（</w:t>
      </w:r>
      <w:r>
        <w:t>HJ2.3-2018</w:t>
      </w:r>
      <w:r>
        <w:rPr>
          <w:rFonts w:hint="eastAsia" w:ascii="宋体" w:hAnsi="宋体"/>
        </w:rPr>
        <w:t>）表</w:t>
      </w:r>
      <w:r>
        <w:rPr>
          <w:rFonts w:hint="eastAsia"/>
        </w:rPr>
        <w:t>1</w:t>
      </w:r>
      <w:r>
        <w:rPr>
          <w:rFonts w:hint="eastAsia" w:ascii="宋体" w:hAnsi="宋体"/>
        </w:rPr>
        <w:t>中水污染影响型建设项目评价等级判定，本项目地表水环境影响评价工作等级为三级</w:t>
      </w:r>
      <w:r>
        <w:rPr>
          <w:rFonts w:cs="Times New Roman"/>
        </w:rPr>
        <w:t>B</w:t>
      </w:r>
      <w:r>
        <w:rPr>
          <w:rFonts w:hint="eastAsia" w:ascii="宋体" w:hAnsi="宋体"/>
        </w:rPr>
        <w:t>，具体判定结果见表</w:t>
      </w:r>
      <w:r>
        <w:rPr>
          <w:rFonts w:hint="eastAsia"/>
        </w:rPr>
        <w:t>2</w:t>
      </w:r>
      <w:r>
        <w:t>.3.1-4</w:t>
      </w:r>
      <w:r>
        <w:rPr>
          <w:rFonts w:hint="eastAsia"/>
        </w:rPr>
        <w:t>。</w:t>
      </w:r>
    </w:p>
    <w:p w14:paraId="36B55BDC">
      <w:pPr>
        <w:spacing w:line="500" w:lineRule="exact"/>
        <w:ind w:firstLine="0" w:firstLineChars="0"/>
        <w:jc w:val="center"/>
        <w:rPr>
          <w:rFonts w:eastAsia="黑体"/>
        </w:rPr>
      </w:pPr>
      <w:r>
        <w:rPr>
          <w:rFonts w:hint="eastAsia" w:ascii="黑体" w:hAnsi="黑体" w:eastAsia="黑体"/>
        </w:rPr>
        <w:t>表</w:t>
      </w:r>
      <w:r>
        <w:rPr>
          <w:rFonts w:eastAsia="黑体"/>
        </w:rPr>
        <w:t xml:space="preserve">2.3.1-4  </w:t>
      </w:r>
      <w:r>
        <w:rPr>
          <w:rFonts w:hint="eastAsia" w:ascii="黑体" w:hAnsi="黑体" w:eastAsia="黑体"/>
        </w:rPr>
        <w:t>地表水环境评价工作等级判定表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23"/>
        <w:gridCol w:w="2903"/>
        <w:gridCol w:w="4016"/>
      </w:tblGrid>
      <w:tr w14:paraId="2B7D7A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269" w:type="dxa"/>
            <w:vMerge w:val="restart"/>
            <w:vAlign w:val="center"/>
          </w:tcPr>
          <w:p w14:paraId="6691DCDD">
            <w:pPr>
              <w:pStyle w:val="445"/>
              <w:rPr>
                <w:rFonts w:cs="Times New Roman"/>
                <w:b/>
                <w:kern w:val="0"/>
                <w:szCs w:val="20"/>
              </w:rPr>
            </w:pPr>
            <w:r>
              <w:rPr>
                <w:rFonts w:hint="eastAsia" w:cs="Times New Roman"/>
                <w:b/>
                <w:kern w:val="0"/>
                <w:szCs w:val="20"/>
              </w:rPr>
              <w:t>评价</w:t>
            </w:r>
            <w:r>
              <w:rPr>
                <w:rFonts w:cs="Times New Roman"/>
                <w:b/>
                <w:kern w:val="0"/>
                <w:szCs w:val="20"/>
              </w:rPr>
              <w:t>等级</w:t>
            </w:r>
          </w:p>
        </w:tc>
        <w:tc>
          <w:tcPr>
            <w:tcW w:w="6757" w:type="dxa"/>
            <w:gridSpan w:val="2"/>
            <w:vAlign w:val="center"/>
          </w:tcPr>
          <w:p w14:paraId="04D2F13E">
            <w:pPr>
              <w:pStyle w:val="445"/>
              <w:rPr>
                <w:rFonts w:cs="Times New Roman"/>
                <w:b/>
                <w:kern w:val="0"/>
                <w:szCs w:val="20"/>
              </w:rPr>
            </w:pPr>
            <w:r>
              <w:rPr>
                <w:rFonts w:hint="eastAsia" w:cs="Times New Roman"/>
                <w:b/>
                <w:kern w:val="0"/>
                <w:szCs w:val="20"/>
              </w:rPr>
              <w:t>判定依据</w:t>
            </w:r>
          </w:p>
        </w:tc>
      </w:tr>
      <w:tr w14:paraId="259A6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269" w:type="dxa"/>
            <w:vMerge w:val="continue"/>
            <w:vAlign w:val="center"/>
          </w:tcPr>
          <w:p w14:paraId="07D7ACDE">
            <w:pPr>
              <w:pStyle w:val="445"/>
              <w:rPr>
                <w:rFonts w:cs="Times New Roman"/>
                <w:b/>
                <w:kern w:val="0"/>
                <w:szCs w:val="18"/>
              </w:rPr>
            </w:pPr>
          </w:p>
        </w:tc>
        <w:tc>
          <w:tcPr>
            <w:tcW w:w="2835" w:type="dxa"/>
            <w:vAlign w:val="center"/>
          </w:tcPr>
          <w:p w14:paraId="780F83B5">
            <w:pPr>
              <w:pStyle w:val="445"/>
              <w:rPr>
                <w:rFonts w:cs="Times New Roman"/>
                <w:b/>
                <w:kern w:val="0"/>
                <w:szCs w:val="20"/>
              </w:rPr>
            </w:pPr>
            <w:r>
              <w:rPr>
                <w:rFonts w:hint="eastAsia" w:cs="Times New Roman"/>
                <w:b/>
                <w:kern w:val="0"/>
                <w:szCs w:val="20"/>
              </w:rPr>
              <w:t>排放方式</w:t>
            </w:r>
          </w:p>
        </w:tc>
        <w:tc>
          <w:tcPr>
            <w:tcW w:w="3922" w:type="dxa"/>
            <w:vAlign w:val="center"/>
          </w:tcPr>
          <w:p w14:paraId="063CA667">
            <w:pPr>
              <w:pStyle w:val="445"/>
              <w:rPr>
                <w:rFonts w:cs="Times New Roman"/>
                <w:b/>
                <w:kern w:val="0"/>
                <w:szCs w:val="20"/>
              </w:rPr>
            </w:pPr>
            <w:r>
              <w:rPr>
                <w:rFonts w:hint="eastAsia" w:cs="Times New Roman"/>
                <w:b/>
                <w:kern w:val="0"/>
                <w:szCs w:val="20"/>
              </w:rPr>
              <w:t>废水排放量Q/（m</w:t>
            </w:r>
            <w:r>
              <w:rPr>
                <w:rFonts w:cs="Times New Roman"/>
                <w:b/>
                <w:kern w:val="0"/>
                <w:szCs w:val="20"/>
                <w:vertAlign w:val="superscript"/>
              </w:rPr>
              <w:t>3</w:t>
            </w:r>
            <w:r>
              <w:rPr>
                <w:rFonts w:cs="Times New Roman"/>
                <w:b/>
                <w:kern w:val="0"/>
                <w:szCs w:val="20"/>
              </w:rPr>
              <w:t>/d</w:t>
            </w:r>
            <w:r>
              <w:rPr>
                <w:rFonts w:hint="eastAsia" w:cs="Times New Roman"/>
                <w:b/>
                <w:kern w:val="0"/>
                <w:szCs w:val="20"/>
              </w:rPr>
              <w:t>）；</w:t>
            </w:r>
          </w:p>
          <w:p w14:paraId="5FC86368">
            <w:pPr>
              <w:pStyle w:val="445"/>
              <w:rPr>
                <w:rFonts w:cs="Times New Roman"/>
                <w:b/>
                <w:kern w:val="0"/>
                <w:szCs w:val="20"/>
              </w:rPr>
            </w:pPr>
            <w:r>
              <w:rPr>
                <w:rFonts w:hint="eastAsia" w:cs="Times New Roman"/>
                <w:b/>
                <w:kern w:val="0"/>
                <w:szCs w:val="20"/>
              </w:rPr>
              <w:t>水污染物</w:t>
            </w:r>
            <w:r>
              <w:rPr>
                <w:rFonts w:cs="Times New Roman"/>
                <w:b/>
                <w:kern w:val="0"/>
                <w:szCs w:val="20"/>
              </w:rPr>
              <w:t>当量数</w:t>
            </w:r>
            <w:r>
              <w:rPr>
                <w:rFonts w:hint="eastAsia" w:cs="Times New Roman"/>
                <w:b/>
                <w:kern w:val="0"/>
                <w:szCs w:val="20"/>
              </w:rPr>
              <w:t>W/（无量纲）</w:t>
            </w:r>
          </w:p>
        </w:tc>
      </w:tr>
      <w:tr w14:paraId="359399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269" w:type="dxa"/>
            <w:vAlign w:val="center"/>
          </w:tcPr>
          <w:p w14:paraId="2FE6CD5B">
            <w:pPr>
              <w:pStyle w:val="445"/>
              <w:rPr>
                <w:rFonts w:cs="Times New Roman"/>
                <w:kern w:val="0"/>
                <w:szCs w:val="20"/>
              </w:rPr>
            </w:pPr>
            <w:r>
              <w:rPr>
                <w:rFonts w:hint="eastAsia" w:cs="Times New Roman"/>
                <w:kern w:val="0"/>
                <w:szCs w:val="20"/>
              </w:rPr>
              <w:t>一级</w:t>
            </w:r>
          </w:p>
        </w:tc>
        <w:tc>
          <w:tcPr>
            <w:tcW w:w="2835" w:type="dxa"/>
            <w:vAlign w:val="center"/>
          </w:tcPr>
          <w:p w14:paraId="4460F393">
            <w:pPr>
              <w:pStyle w:val="445"/>
              <w:rPr>
                <w:rFonts w:cs="Times New Roman"/>
                <w:kern w:val="0"/>
                <w:szCs w:val="20"/>
              </w:rPr>
            </w:pPr>
            <w:r>
              <w:rPr>
                <w:rFonts w:hint="eastAsia" w:cs="Times New Roman"/>
                <w:kern w:val="0"/>
                <w:szCs w:val="20"/>
              </w:rPr>
              <w:t>直接</w:t>
            </w:r>
            <w:r>
              <w:rPr>
                <w:rFonts w:cs="Times New Roman"/>
                <w:kern w:val="0"/>
                <w:szCs w:val="20"/>
              </w:rPr>
              <w:t>排放</w:t>
            </w:r>
          </w:p>
        </w:tc>
        <w:tc>
          <w:tcPr>
            <w:tcW w:w="3922" w:type="dxa"/>
            <w:vAlign w:val="center"/>
          </w:tcPr>
          <w:p w14:paraId="566D2E3C">
            <w:pPr>
              <w:pStyle w:val="445"/>
              <w:rPr>
                <w:rFonts w:cs="Times New Roman"/>
                <w:kern w:val="0"/>
                <w:szCs w:val="20"/>
              </w:rPr>
            </w:pPr>
            <w:r>
              <w:rPr>
                <w:rFonts w:hint="eastAsia" w:cs="Times New Roman"/>
                <w:kern w:val="0"/>
                <w:szCs w:val="20"/>
              </w:rPr>
              <w:t>Q≥20000或W≥600000</w:t>
            </w:r>
          </w:p>
        </w:tc>
      </w:tr>
      <w:tr w14:paraId="4210A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269" w:type="dxa"/>
            <w:vAlign w:val="center"/>
          </w:tcPr>
          <w:p w14:paraId="7A8202CE">
            <w:pPr>
              <w:pStyle w:val="445"/>
              <w:rPr>
                <w:rFonts w:cs="Times New Roman"/>
                <w:kern w:val="0"/>
                <w:szCs w:val="20"/>
              </w:rPr>
            </w:pPr>
            <w:r>
              <w:rPr>
                <w:rFonts w:hint="eastAsia" w:cs="Times New Roman"/>
                <w:kern w:val="0"/>
                <w:szCs w:val="20"/>
              </w:rPr>
              <w:t>二级</w:t>
            </w:r>
          </w:p>
        </w:tc>
        <w:tc>
          <w:tcPr>
            <w:tcW w:w="2835" w:type="dxa"/>
            <w:vAlign w:val="center"/>
          </w:tcPr>
          <w:p w14:paraId="68B28508">
            <w:pPr>
              <w:pStyle w:val="445"/>
              <w:rPr>
                <w:rFonts w:cs="Times New Roman"/>
                <w:kern w:val="0"/>
                <w:szCs w:val="20"/>
              </w:rPr>
            </w:pPr>
            <w:r>
              <w:rPr>
                <w:rFonts w:hint="eastAsia" w:cs="Times New Roman"/>
                <w:kern w:val="0"/>
                <w:szCs w:val="20"/>
              </w:rPr>
              <w:t>直接</w:t>
            </w:r>
            <w:r>
              <w:rPr>
                <w:rFonts w:cs="Times New Roman"/>
                <w:kern w:val="0"/>
                <w:szCs w:val="20"/>
              </w:rPr>
              <w:t>排放</w:t>
            </w:r>
          </w:p>
        </w:tc>
        <w:tc>
          <w:tcPr>
            <w:tcW w:w="3922" w:type="dxa"/>
            <w:vAlign w:val="center"/>
          </w:tcPr>
          <w:p w14:paraId="23A668D6">
            <w:pPr>
              <w:pStyle w:val="445"/>
              <w:rPr>
                <w:rFonts w:cs="Times New Roman"/>
                <w:kern w:val="0"/>
                <w:szCs w:val="20"/>
              </w:rPr>
            </w:pPr>
            <w:r>
              <w:rPr>
                <w:rFonts w:hint="eastAsia" w:cs="Times New Roman"/>
                <w:kern w:val="0"/>
                <w:szCs w:val="20"/>
              </w:rPr>
              <w:t>其他</w:t>
            </w:r>
          </w:p>
        </w:tc>
      </w:tr>
      <w:tr w14:paraId="1D29B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269" w:type="dxa"/>
            <w:vAlign w:val="center"/>
          </w:tcPr>
          <w:p w14:paraId="13E062A9">
            <w:pPr>
              <w:pStyle w:val="445"/>
              <w:rPr>
                <w:rFonts w:cs="Times New Roman"/>
                <w:kern w:val="0"/>
                <w:szCs w:val="20"/>
              </w:rPr>
            </w:pPr>
            <w:r>
              <w:rPr>
                <w:rFonts w:hint="eastAsia" w:cs="Times New Roman"/>
                <w:kern w:val="0"/>
                <w:szCs w:val="20"/>
              </w:rPr>
              <w:t>三级A</w:t>
            </w:r>
          </w:p>
        </w:tc>
        <w:tc>
          <w:tcPr>
            <w:tcW w:w="2835" w:type="dxa"/>
            <w:vAlign w:val="center"/>
          </w:tcPr>
          <w:p w14:paraId="2235A658">
            <w:pPr>
              <w:pStyle w:val="445"/>
              <w:rPr>
                <w:rFonts w:cs="Times New Roman"/>
                <w:kern w:val="0"/>
                <w:szCs w:val="20"/>
              </w:rPr>
            </w:pPr>
            <w:r>
              <w:rPr>
                <w:rFonts w:hint="eastAsia" w:cs="Times New Roman"/>
                <w:kern w:val="0"/>
                <w:szCs w:val="20"/>
              </w:rPr>
              <w:t>直接</w:t>
            </w:r>
            <w:r>
              <w:rPr>
                <w:rFonts w:cs="Times New Roman"/>
                <w:kern w:val="0"/>
                <w:szCs w:val="20"/>
              </w:rPr>
              <w:t>排放</w:t>
            </w:r>
          </w:p>
        </w:tc>
        <w:tc>
          <w:tcPr>
            <w:tcW w:w="3922" w:type="dxa"/>
            <w:vAlign w:val="center"/>
          </w:tcPr>
          <w:p w14:paraId="7F3B333D">
            <w:pPr>
              <w:pStyle w:val="445"/>
              <w:rPr>
                <w:rFonts w:cs="Times New Roman"/>
                <w:kern w:val="0"/>
                <w:szCs w:val="20"/>
              </w:rPr>
            </w:pPr>
            <w:r>
              <w:rPr>
                <w:rFonts w:hint="eastAsia" w:cs="Times New Roman"/>
                <w:kern w:val="0"/>
                <w:szCs w:val="20"/>
              </w:rPr>
              <w:t>Q＜200且W＜6000</w:t>
            </w:r>
          </w:p>
        </w:tc>
      </w:tr>
      <w:tr w14:paraId="7D235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269" w:type="dxa"/>
            <w:vAlign w:val="center"/>
          </w:tcPr>
          <w:p w14:paraId="637776E8">
            <w:pPr>
              <w:pStyle w:val="445"/>
              <w:rPr>
                <w:rFonts w:cs="Times New Roman"/>
                <w:kern w:val="0"/>
                <w:szCs w:val="20"/>
              </w:rPr>
            </w:pPr>
            <w:r>
              <w:rPr>
                <w:rFonts w:hint="eastAsia" w:cs="Times New Roman"/>
                <w:kern w:val="0"/>
                <w:szCs w:val="20"/>
              </w:rPr>
              <w:t>三级B</w:t>
            </w:r>
          </w:p>
        </w:tc>
        <w:tc>
          <w:tcPr>
            <w:tcW w:w="2835" w:type="dxa"/>
            <w:vAlign w:val="center"/>
          </w:tcPr>
          <w:p w14:paraId="7919876E">
            <w:pPr>
              <w:pStyle w:val="445"/>
              <w:rPr>
                <w:rFonts w:cs="Times New Roman"/>
                <w:kern w:val="0"/>
                <w:szCs w:val="20"/>
              </w:rPr>
            </w:pPr>
            <w:r>
              <w:rPr>
                <w:rFonts w:hint="eastAsia" w:cs="Times New Roman"/>
                <w:kern w:val="0"/>
                <w:szCs w:val="20"/>
              </w:rPr>
              <w:t>间接排放</w:t>
            </w:r>
          </w:p>
        </w:tc>
        <w:tc>
          <w:tcPr>
            <w:tcW w:w="3922" w:type="dxa"/>
            <w:vAlign w:val="center"/>
          </w:tcPr>
          <w:p w14:paraId="636D8F67">
            <w:pPr>
              <w:pStyle w:val="445"/>
              <w:rPr>
                <w:rFonts w:cs="Times New Roman"/>
                <w:kern w:val="0"/>
                <w:szCs w:val="20"/>
              </w:rPr>
            </w:pPr>
            <w:r>
              <w:rPr>
                <w:rFonts w:hint="eastAsia" w:cs="Times New Roman"/>
                <w:kern w:val="0"/>
                <w:szCs w:val="20"/>
              </w:rPr>
              <w:t>/</w:t>
            </w:r>
          </w:p>
        </w:tc>
      </w:tr>
    </w:tbl>
    <w:p w14:paraId="11988F9E">
      <w:pPr>
        <w:pStyle w:val="349"/>
      </w:pPr>
      <w:r>
        <w:rPr>
          <w:rFonts w:hint="eastAsia"/>
        </w:rPr>
        <w:t>2</w:t>
      </w:r>
      <w:r>
        <w:t>.3.1.3声环境影响评价等级</w:t>
      </w:r>
    </w:p>
    <w:p w14:paraId="24CA68C8">
      <w:pPr>
        <w:ind w:firstLine="480"/>
      </w:pPr>
      <w:r>
        <w:rPr>
          <w:rFonts w:hint="eastAsia"/>
        </w:rPr>
        <w:t>扩建</w:t>
      </w:r>
      <w:r>
        <w:rPr>
          <w:rFonts w:ascii="宋体" w:hAnsi="宋体"/>
        </w:rPr>
        <w:t>项目位于</w:t>
      </w:r>
      <w:r>
        <w:rPr>
          <w:rFonts w:hint="eastAsia"/>
        </w:rPr>
        <w:t>蚌埠精细化工高新技术产业基地</w:t>
      </w:r>
      <w:r>
        <w:rPr>
          <w:rFonts w:hint="eastAsia" w:ascii="宋体" w:hAnsi="宋体"/>
        </w:rPr>
        <w:t>内，所在地为声环境功能区规定的</w:t>
      </w:r>
      <w:r>
        <w:rPr>
          <w:rFonts w:hint="eastAsia"/>
        </w:rPr>
        <w:t>3</w:t>
      </w:r>
      <w:r>
        <w:rPr>
          <w:rFonts w:hint="eastAsia" w:ascii="宋体" w:hAnsi="宋体"/>
        </w:rPr>
        <w:t>类区，项目建设前后敏感目标噪声级增加量小于</w:t>
      </w:r>
      <w:r>
        <w:rPr>
          <w:rFonts w:hint="eastAsia"/>
        </w:rPr>
        <w:t>3d</w:t>
      </w:r>
      <w:r>
        <w:t>B</w:t>
      </w:r>
      <w:r>
        <w:rPr>
          <w:rFonts w:hint="eastAsia" w:ascii="宋体" w:hAnsi="宋体"/>
        </w:rPr>
        <w:t>（</w:t>
      </w:r>
      <w:r>
        <w:rPr>
          <w:rFonts w:hint="eastAsia"/>
        </w:rPr>
        <w:t>A</w:t>
      </w:r>
      <w:r>
        <w:rPr>
          <w:rFonts w:hint="eastAsia" w:ascii="宋体" w:hAnsi="宋体"/>
        </w:rPr>
        <w:t>），且影响人口数量变化不大，根据《环境影响评价技术导则 声环境》（</w:t>
      </w:r>
      <w:r>
        <w:rPr>
          <w:rFonts w:hint="eastAsia"/>
        </w:rPr>
        <w:t>H</w:t>
      </w:r>
      <w:r>
        <w:t>J2.4-2021</w:t>
      </w:r>
      <w:r>
        <w:rPr>
          <w:rFonts w:hint="eastAsia" w:ascii="宋体" w:hAnsi="宋体"/>
        </w:rPr>
        <w:t>），判定本项目声环境影响评价工作等级为三级。</w:t>
      </w:r>
    </w:p>
    <w:p w14:paraId="042285F8">
      <w:pPr>
        <w:pStyle w:val="349"/>
      </w:pPr>
      <w:r>
        <w:rPr>
          <w:rFonts w:hint="eastAsia"/>
        </w:rPr>
        <w:t>2</w:t>
      </w:r>
      <w:r>
        <w:t>.3.1.4</w:t>
      </w:r>
      <w:r>
        <w:rPr>
          <w:rFonts w:ascii="黑体" w:hAnsi="黑体"/>
        </w:rPr>
        <w:t>地下水评价等级</w:t>
      </w:r>
    </w:p>
    <w:p w14:paraId="3B7A2F3F">
      <w:pPr>
        <w:ind w:firstLine="480"/>
      </w:pPr>
      <w:r>
        <w:rPr>
          <w:rFonts w:hint="eastAsia" w:ascii="宋体" w:hAnsi="宋体"/>
        </w:rPr>
        <w:t>根据《环境影响评价技术导则</w:t>
      </w:r>
      <w:r>
        <w:rPr>
          <w:rFonts w:hint="eastAsia"/>
        </w:rPr>
        <w:t xml:space="preserve"> 地下水环境》（H</w:t>
      </w:r>
      <w:r>
        <w:t>J610-2016</w:t>
      </w:r>
      <w:r>
        <w:rPr>
          <w:rFonts w:hint="eastAsia" w:ascii="宋体" w:hAnsi="宋体"/>
        </w:rPr>
        <w:t>），地下水评价等级的确定主要依据项目类型和建设项目地下水环境敏感程度等参数进行确定，详见表</w:t>
      </w:r>
      <w:r>
        <w:rPr>
          <w:rFonts w:hint="eastAsia"/>
        </w:rPr>
        <w:t>2</w:t>
      </w:r>
      <w:r>
        <w:t>.3.1-5</w:t>
      </w:r>
      <w:r>
        <w:rPr>
          <w:rFonts w:hint="eastAsia"/>
        </w:rPr>
        <w:t>~</w:t>
      </w:r>
      <w:r>
        <w:t>6</w:t>
      </w:r>
      <w:r>
        <w:rPr>
          <w:rFonts w:hint="eastAsia" w:ascii="宋体" w:hAnsi="宋体"/>
        </w:rPr>
        <w:t>。</w:t>
      </w:r>
    </w:p>
    <w:p w14:paraId="5973478C">
      <w:pPr>
        <w:pStyle w:val="278"/>
        <w:rPr>
          <w:rFonts w:ascii="黑体" w:hAnsi="黑体"/>
        </w:rPr>
      </w:pPr>
      <w:r>
        <w:rPr>
          <w:rFonts w:hint="eastAsia" w:ascii="黑体" w:hAnsi="黑体"/>
        </w:rPr>
        <w:t>表</w:t>
      </w:r>
      <w:r>
        <w:t xml:space="preserve">2.3.1-5  </w:t>
      </w:r>
      <w:r>
        <w:rPr>
          <w:rFonts w:hint="eastAsia" w:ascii="黑体" w:hAnsi="黑体"/>
        </w:rPr>
        <w:t>项目类型划分</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1504"/>
        <w:gridCol w:w="1504"/>
        <w:gridCol w:w="1504"/>
        <w:gridCol w:w="1505"/>
        <w:gridCol w:w="1505"/>
      </w:tblGrid>
      <w:tr w14:paraId="273912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04" w:type="dxa"/>
            <w:vMerge w:val="restart"/>
            <w:tcBorders>
              <w:top w:val="single" w:color="auto" w:sz="12" w:space="0"/>
              <w:left w:val="nil"/>
              <w:bottom w:val="single" w:color="auto" w:sz="4" w:space="0"/>
              <w:right w:val="single" w:color="auto" w:sz="4" w:space="0"/>
              <w:tl2br w:val="single" w:color="auto" w:sz="4" w:space="0"/>
            </w:tcBorders>
            <w:vAlign w:val="center"/>
          </w:tcPr>
          <w:p w14:paraId="368CA086">
            <w:pPr>
              <w:pStyle w:val="445"/>
              <w:rPr>
                <w:rFonts w:cs="Times New Roman"/>
                <w:b/>
                <w:kern w:val="0"/>
                <w:szCs w:val="20"/>
              </w:rPr>
            </w:pPr>
            <w:r>
              <w:rPr>
                <w:rFonts w:cs="Times New Roman"/>
                <w:b/>
                <w:kern w:val="0"/>
                <w:szCs w:val="20"/>
              </w:rPr>
              <w:t xml:space="preserve">      </w:t>
            </w:r>
            <w:r>
              <w:rPr>
                <w:rFonts w:hint="eastAsia" w:ascii="宋体" w:hAnsi="宋体" w:cs="Times New Roman"/>
                <w:b/>
                <w:kern w:val="0"/>
                <w:szCs w:val="20"/>
              </w:rPr>
              <w:t>环评类别</w:t>
            </w:r>
          </w:p>
          <w:p w14:paraId="4BF70647">
            <w:pPr>
              <w:pStyle w:val="445"/>
              <w:rPr>
                <w:rFonts w:cs="Times New Roman"/>
                <w:b/>
                <w:kern w:val="0"/>
                <w:szCs w:val="20"/>
              </w:rPr>
            </w:pPr>
            <w:r>
              <w:rPr>
                <w:rFonts w:ascii="宋体" w:hAnsi="宋体" w:cs="Times New Roman"/>
                <w:b/>
                <w:kern w:val="0"/>
                <w:szCs w:val="20"/>
              </w:rPr>
              <w:t>行业类别</w:t>
            </w:r>
          </w:p>
        </w:tc>
        <w:tc>
          <w:tcPr>
            <w:tcW w:w="1504" w:type="dxa"/>
            <w:vMerge w:val="restart"/>
            <w:tcBorders>
              <w:top w:val="single" w:color="auto" w:sz="12" w:space="0"/>
              <w:left w:val="single" w:color="auto" w:sz="4" w:space="0"/>
              <w:bottom w:val="single" w:color="auto" w:sz="4" w:space="0"/>
              <w:right w:val="single" w:color="auto" w:sz="4" w:space="0"/>
            </w:tcBorders>
            <w:vAlign w:val="center"/>
          </w:tcPr>
          <w:p w14:paraId="5EB8A436">
            <w:pPr>
              <w:pStyle w:val="445"/>
              <w:rPr>
                <w:rFonts w:cs="Times New Roman"/>
                <w:b/>
                <w:kern w:val="0"/>
                <w:szCs w:val="20"/>
              </w:rPr>
            </w:pPr>
            <w:r>
              <w:rPr>
                <w:rFonts w:hint="eastAsia" w:ascii="宋体" w:hAnsi="宋体" w:cs="Times New Roman"/>
                <w:b/>
                <w:kern w:val="0"/>
                <w:szCs w:val="20"/>
              </w:rPr>
              <w:t>报告书</w:t>
            </w:r>
          </w:p>
        </w:tc>
        <w:tc>
          <w:tcPr>
            <w:tcW w:w="1504" w:type="dxa"/>
            <w:vMerge w:val="restart"/>
            <w:tcBorders>
              <w:top w:val="single" w:color="auto" w:sz="12" w:space="0"/>
              <w:left w:val="single" w:color="auto" w:sz="4" w:space="0"/>
              <w:bottom w:val="single" w:color="auto" w:sz="4" w:space="0"/>
              <w:right w:val="single" w:color="auto" w:sz="4" w:space="0"/>
            </w:tcBorders>
            <w:vAlign w:val="center"/>
          </w:tcPr>
          <w:p w14:paraId="6C80A453">
            <w:pPr>
              <w:pStyle w:val="445"/>
              <w:rPr>
                <w:rFonts w:cs="Times New Roman"/>
                <w:b/>
                <w:kern w:val="0"/>
                <w:szCs w:val="20"/>
              </w:rPr>
            </w:pPr>
            <w:r>
              <w:rPr>
                <w:rFonts w:hint="eastAsia" w:ascii="宋体" w:hAnsi="宋体" w:cs="Times New Roman"/>
                <w:b/>
                <w:kern w:val="0"/>
                <w:szCs w:val="20"/>
              </w:rPr>
              <w:t>报告表</w:t>
            </w:r>
          </w:p>
        </w:tc>
        <w:tc>
          <w:tcPr>
            <w:tcW w:w="3009" w:type="dxa"/>
            <w:gridSpan w:val="2"/>
            <w:tcBorders>
              <w:top w:val="single" w:color="auto" w:sz="12" w:space="0"/>
              <w:left w:val="single" w:color="auto" w:sz="4" w:space="0"/>
              <w:bottom w:val="single" w:color="auto" w:sz="4" w:space="0"/>
              <w:right w:val="single" w:color="auto" w:sz="4" w:space="0"/>
            </w:tcBorders>
            <w:vAlign w:val="center"/>
          </w:tcPr>
          <w:p w14:paraId="1E2CF5E5">
            <w:pPr>
              <w:pStyle w:val="445"/>
              <w:rPr>
                <w:rFonts w:cs="Times New Roman"/>
                <w:b/>
                <w:kern w:val="0"/>
                <w:szCs w:val="20"/>
              </w:rPr>
            </w:pPr>
            <w:r>
              <w:rPr>
                <w:rFonts w:hint="eastAsia" w:ascii="宋体" w:hAnsi="宋体" w:cs="Times New Roman"/>
                <w:b/>
                <w:kern w:val="0"/>
                <w:szCs w:val="20"/>
              </w:rPr>
              <w:t>地下水环境影响评价项目类别</w:t>
            </w:r>
          </w:p>
        </w:tc>
        <w:tc>
          <w:tcPr>
            <w:tcW w:w="1505" w:type="dxa"/>
            <w:vMerge w:val="restart"/>
            <w:tcBorders>
              <w:top w:val="single" w:color="auto" w:sz="12" w:space="0"/>
              <w:left w:val="single" w:color="auto" w:sz="4" w:space="0"/>
              <w:bottom w:val="single" w:color="auto" w:sz="4" w:space="0"/>
              <w:right w:val="nil"/>
            </w:tcBorders>
            <w:vAlign w:val="center"/>
          </w:tcPr>
          <w:p w14:paraId="3DE221D7">
            <w:pPr>
              <w:pStyle w:val="445"/>
              <w:rPr>
                <w:rFonts w:cs="Times New Roman"/>
                <w:b/>
                <w:kern w:val="0"/>
                <w:szCs w:val="20"/>
              </w:rPr>
            </w:pPr>
            <w:r>
              <w:rPr>
                <w:rFonts w:hint="eastAsia" w:ascii="宋体" w:hAnsi="宋体" w:cs="Times New Roman"/>
                <w:b/>
                <w:kern w:val="0"/>
                <w:szCs w:val="20"/>
              </w:rPr>
              <w:t>项目属性</w:t>
            </w:r>
          </w:p>
        </w:tc>
      </w:tr>
      <w:tr w14:paraId="03DD2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l2br w:val="single" w:color="auto" w:sz="4" w:space="0"/>
            </w:tcBorders>
            <w:vAlign w:val="center"/>
          </w:tcPr>
          <w:p w14:paraId="537AC606">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0BBC2F">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3F0F0B">
            <w:pPr>
              <w:pStyle w:val="445"/>
              <w:rPr>
                <w:rFonts w:cs="Times New Roman"/>
                <w:kern w:val="0"/>
                <w:szCs w:val="18"/>
              </w:rPr>
            </w:pPr>
          </w:p>
        </w:tc>
        <w:tc>
          <w:tcPr>
            <w:tcW w:w="1504" w:type="dxa"/>
            <w:tcBorders>
              <w:top w:val="single" w:color="auto" w:sz="4" w:space="0"/>
              <w:left w:val="single" w:color="auto" w:sz="4" w:space="0"/>
              <w:bottom w:val="single" w:color="auto" w:sz="4" w:space="0"/>
              <w:right w:val="single" w:color="auto" w:sz="4" w:space="0"/>
            </w:tcBorders>
            <w:vAlign w:val="center"/>
          </w:tcPr>
          <w:p w14:paraId="3F310D23">
            <w:pPr>
              <w:pStyle w:val="445"/>
              <w:rPr>
                <w:rFonts w:cs="Times New Roman"/>
                <w:b/>
                <w:kern w:val="0"/>
                <w:szCs w:val="20"/>
              </w:rPr>
            </w:pPr>
            <w:r>
              <w:rPr>
                <w:rFonts w:hint="eastAsia" w:ascii="宋体" w:hAnsi="宋体" w:cs="Times New Roman"/>
                <w:b/>
                <w:kern w:val="0"/>
                <w:szCs w:val="20"/>
              </w:rPr>
              <w:t>报告书</w:t>
            </w:r>
          </w:p>
        </w:tc>
        <w:tc>
          <w:tcPr>
            <w:tcW w:w="1505" w:type="dxa"/>
            <w:tcBorders>
              <w:top w:val="single" w:color="auto" w:sz="4" w:space="0"/>
              <w:left w:val="single" w:color="auto" w:sz="4" w:space="0"/>
              <w:bottom w:val="single" w:color="auto" w:sz="4" w:space="0"/>
              <w:right w:val="single" w:color="auto" w:sz="4" w:space="0"/>
            </w:tcBorders>
            <w:vAlign w:val="center"/>
          </w:tcPr>
          <w:p w14:paraId="57D1C005">
            <w:pPr>
              <w:pStyle w:val="445"/>
              <w:rPr>
                <w:rFonts w:cs="Times New Roman"/>
                <w:b/>
                <w:kern w:val="0"/>
                <w:szCs w:val="20"/>
              </w:rPr>
            </w:pPr>
            <w:r>
              <w:rPr>
                <w:rFonts w:hint="eastAsia" w:ascii="宋体" w:hAnsi="宋体" w:cs="Times New Roman"/>
                <w:b/>
                <w:kern w:val="0"/>
                <w:szCs w:val="20"/>
              </w:rPr>
              <w:t>报告表</w:t>
            </w:r>
          </w:p>
        </w:tc>
        <w:tc>
          <w:tcPr>
            <w:tcW w:w="0" w:type="auto"/>
            <w:vMerge w:val="continue"/>
            <w:tcBorders>
              <w:top w:val="single" w:color="auto" w:sz="4" w:space="0"/>
              <w:left w:val="single" w:color="auto" w:sz="4" w:space="0"/>
              <w:bottom w:val="single" w:color="auto" w:sz="4" w:space="0"/>
              <w:right w:val="nil"/>
            </w:tcBorders>
            <w:vAlign w:val="center"/>
          </w:tcPr>
          <w:p w14:paraId="24C06486">
            <w:pPr>
              <w:pStyle w:val="445"/>
              <w:rPr>
                <w:rFonts w:cs="Times New Roman"/>
                <w:kern w:val="0"/>
                <w:szCs w:val="18"/>
              </w:rPr>
            </w:pPr>
          </w:p>
        </w:tc>
      </w:tr>
      <w:tr w14:paraId="0F8A1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21" w:type="dxa"/>
            <w:gridSpan w:val="5"/>
            <w:tcBorders>
              <w:top w:val="single" w:color="auto" w:sz="4" w:space="0"/>
              <w:left w:val="nil"/>
              <w:bottom w:val="single" w:color="auto" w:sz="4" w:space="0"/>
              <w:right w:val="single" w:color="auto" w:sz="4" w:space="0"/>
            </w:tcBorders>
            <w:vAlign w:val="center"/>
          </w:tcPr>
          <w:p w14:paraId="5545F3ED">
            <w:pPr>
              <w:pStyle w:val="445"/>
              <w:rPr>
                <w:rFonts w:cs="Times New Roman"/>
                <w:kern w:val="0"/>
                <w:szCs w:val="20"/>
              </w:rPr>
            </w:pPr>
            <w:r>
              <w:rPr>
                <w:rFonts w:hint="eastAsia" w:cs="Times New Roman"/>
                <w:kern w:val="0"/>
                <w:szCs w:val="20"/>
              </w:rPr>
              <w:t>L、石化、化工</w:t>
            </w:r>
          </w:p>
        </w:tc>
        <w:tc>
          <w:tcPr>
            <w:tcW w:w="1505" w:type="dxa"/>
            <w:vMerge w:val="restart"/>
            <w:tcBorders>
              <w:top w:val="single" w:color="auto" w:sz="4" w:space="0"/>
              <w:left w:val="single" w:color="auto" w:sz="4" w:space="0"/>
              <w:bottom w:val="single" w:color="auto" w:sz="4" w:space="0"/>
              <w:right w:val="nil"/>
            </w:tcBorders>
            <w:vAlign w:val="center"/>
          </w:tcPr>
          <w:p w14:paraId="77ABA948">
            <w:pPr>
              <w:pStyle w:val="445"/>
              <w:rPr>
                <w:rFonts w:cs="Times New Roman"/>
                <w:kern w:val="0"/>
                <w:szCs w:val="20"/>
              </w:rPr>
            </w:pPr>
            <w:r>
              <w:rPr>
                <w:rFonts w:hint="eastAsia" w:ascii="宋体" w:hAnsi="宋体" w:cs="Times New Roman"/>
                <w:kern w:val="0"/>
                <w:szCs w:val="20"/>
              </w:rPr>
              <w:t>项目属于Ⅰ类项目</w:t>
            </w:r>
          </w:p>
        </w:tc>
      </w:tr>
      <w:tr w14:paraId="70A40F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04" w:type="dxa"/>
            <w:tcBorders>
              <w:top w:val="single" w:color="auto" w:sz="4" w:space="0"/>
              <w:left w:val="nil"/>
              <w:bottom w:val="single" w:color="auto" w:sz="12" w:space="0"/>
              <w:right w:val="single" w:color="auto" w:sz="4" w:space="0"/>
            </w:tcBorders>
            <w:vAlign w:val="center"/>
          </w:tcPr>
          <w:p w14:paraId="3F623AF8">
            <w:pPr>
              <w:pStyle w:val="445"/>
              <w:rPr>
                <w:rFonts w:cs="Times New Roman"/>
                <w:kern w:val="0"/>
                <w:szCs w:val="20"/>
              </w:rPr>
            </w:pPr>
            <w:r>
              <w:rPr>
                <w:rFonts w:hint="eastAsia" w:cs="Times New Roman"/>
                <w:kern w:val="0"/>
                <w:szCs w:val="20"/>
              </w:rPr>
              <w:t>8</w:t>
            </w:r>
            <w:r>
              <w:rPr>
                <w:rFonts w:cs="Times New Roman"/>
                <w:kern w:val="0"/>
                <w:szCs w:val="20"/>
              </w:rPr>
              <w:t>5</w:t>
            </w:r>
            <w:r>
              <w:rPr>
                <w:rFonts w:hint="eastAsia" w:cs="Times New Roman"/>
                <w:kern w:val="0"/>
                <w:szCs w:val="20"/>
              </w:rPr>
              <w:t>、</w:t>
            </w:r>
            <w:r>
              <w:rPr>
                <w:rFonts w:cs="Times New Roman"/>
                <w:kern w:val="0"/>
                <w:szCs w:val="20"/>
              </w:rPr>
              <w:t>基本化学原料制造</w:t>
            </w:r>
          </w:p>
        </w:tc>
        <w:tc>
          <w:tcPr>
            <w:tcW w:w="1504" w:type="dxa"/>
            <w:tcBorders>
              <w:top w:val="single" w:color="auto" w:sz="4" w:space="0"/>
              <w:left w:val="single" w:color="auto" w:sz="4" w:space="0"/>
              <w:bottom w:val="single" w:color="auto" w:sz="12" w:space="0"/>
              <w:right w:val="single" w:color="auto" w:sz="4" w:space="0"/>
            </w:tcBorders>
            <w:vAlign w:val="center"/>
          </w:tcPr>
          <w:p w14:paraId="367D200D">
            <w:pPr>
              <w:pStyle w:val="445"/>
              <w:rPr>
                <w:rFonts w:cs="Times New Roman"/>
                <w:kern w:val="0"/>
                <w:szCs w:val="20"/>
              </w:rPr>
            </w:pPr>
            <w:r>
              <w:rPr>
                <w:rFonts w:cs="Times New Roman"/>
                <w:kern w:val="0"/>
                <w:szCs w:val="20"/>
              </w:rPr>
              <w:t>除单纯混合和分装外的</w:t>
            </w:r>
          </w:p>
        </w:tc>
        <w:tc>
          <w:tcPr>
            <w:tcW w:w="1504" w:type="dxa"/>
            <w:tcBorders>
              <w:top w:val="single" w:color="auto" w:sz="4" w:space="0"/>
              <w:left w:val="single" w:color="auto" w:sz="4" w:space="0"/>
              <w:bottom w:val="single" w:color="auto" w:sz="12" w:space="0"/>
              <w:right w:val="single" w:color="auto" w:sz="4" w:space="0"/>
            </w:tcBorders>
            <w:vAlign w:val="center"/>
          </w:tcPr>
          <w:p w14:paraId="79435209">
            <w:pPr>
              <w:pStyle w:val="445"/>
              <w:rPr>
                <w:rFonts w:cs="Times New Roman"/>
                <w:kern w:val="0"/>
                <w:szCs w:val="20"/>
              </w:rPr>
            </w:pPr>
            <w:r>
              <w:rPr>
                <w:rFonts w:cs="Times New Roman"/>
                <w:kern w:val="0"/>
                <w:szCs w:val="20"/>
              </w:rPr>
              <w:t>单纯混合或分装的</w:t>
            </w:r>
          </w:p>
        </w:tc>
        <w:tc>
          <w:tcPr>
            <w:tcW w:w="1504" w:type="dxa"/>
            <w:tcBorders>
              <w:top w:val="single" w:color="auto" w:sz="4" w:space="0"/>
              <w:left w:val="single" w:color="auto" w:sz="4" w:space="0"/>
              <w:bottom w:val="single" w:color="auto" w:sz="12" w:space="0"/>
              <w:right w:val="single" w:color="auto" w:sz="4" w:space="0"/>
            </w:tcBorders>
            <w:vAlign w:val="center"/>
          </w:tcPr>
          <w:p w14:paraId="26AF0FC4">
            <w:pPr>
              <w:pStyle w:val="445"/>
              <w:rPr>
                <w:rFonts w:cs="Times New Roman"/>
                <w:kern w:val="0"/>
                <w:szCs w:val="20"/>
              </w:rPr>
            </w:pPr>
            <w:r>
              <w:rPr>
                <w:rFonts w:cs="Times New Roman"/>
                <w:kern w:val="0"/>
                <w:szCs w:val="20"/>
              </w:rPr>
              <w:t>Ⅰ</w:t>
            </w:r>
          </w:p>
        </w:tc>
        <w:tc>
          <w:tcPr>
            <w:tcW w:w="1505" w:type="dxa"/>
            <w:tcBorders>
              <w:top w:val="single" w:color="auto" w:sz="4" w:space="0"/>
              <w:left w:val="single" w:color="auto" w:sz="4" w:space="0"/>
              <w:bottom w:val="single" w:color="auto" w:sz="12" w:space="0"/>
              <w:right w:val="single" w:color="auto" w:sz="4" w:space="0"/>
            </w:tcBorders>
            <w:vAlign w:val="center"/>
          </w:tcPr>
          <w:p w14:paraId="24FCACA5">
            <w:pPr>
              <w:pStyle w:val="445"/>
              <w:rPr>
                <w:rFonts w:cs="Times New Roman"/>
                <w:kern w:val="0"/>
                <w:szCs w:val="20"/>
              </w:rPr>
            </w:pPr>
            <w:r>
              <w:rPr>
                <w:rFonts w:cs="Times New Roman"/>
                <w:kern w:val="0"/>
                <w:szCs w:val="20"/>
              </w:rPr>
              <w:t>Ⅱ</w:t>
            </w:r>
          </w:p>
        </w:tc>
        <w:tc>
          <w:tcPr>
            <w:tcW w:w="0" w:type="auto"/>
            <w:vMerge w:val="continue"/>
            <w:tcBorders>
              <w:top w:val="single" w:color="auto" w:sz="4" w:space="0"/>
              <w:left w:val="single" w:color="auto" w:sz="4" w:space="0"/>
              <w:bottom w:val="single" w:color="auto" w:sz="12" w:space="0"/>
              <w:right w:val="nil"/>
            </w:tcBorders>
            <w:vAlign w:val="center"/>
          </w:tcPr>
          <w:p w14:paraId="0C77F2A3">
            <w:pPr>
              <w:pStyle w:val="445"/>
              <w:rPr>
                <w:rFonts w:cs="Times New Roman"/>
                <w:kern w:val="0"/>
                <w:szCs w:val="18"/>
              </w:rPr>
            </w:pPr>
          </w:p>
        </w:tc>
      </w:tr>
    </w:tbl>
    <w:p w14:paraId="3FBBEBA1">
      <w:pPr>
        <w:pStyle w:val="278"/>
      </w:pPr>
      <w:r>
        <w:rPr>
          <w:rFonts w:hint="eastAsia"/>
        </w:rPr>
        <w:t>表</w:t>
      </w:r>
      <w:r>
        <w:t xml:space="preserve">2.3.1-6 </w:t>
      </w:r>
      <w:r>
        <w:rPr>
          <w:rFonts w:hint="eastAsia"/>
        </w:rPr>
        <w:t>地下水环境敏感程度分级表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6899"/>
      </w:tblGrid>
      <w:tr w14:paraId="7CBF1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274B6671">
            <w:pPr>
              <w:pStyle w:val="445"/>
              <w:rPr>
                <w:rFonts w:cs="Times New Roman"/>
                <w:b/>
                <w:kern w:val="0"/>
                <w:szCs w:val="20"/>
              </w:rPr>
            </w:pPr>
            <w:r>
              <w:rPr>
                <w:rFonts w:hint="eastAsia" w:cs="Times New Roman"/>
                <w:b/>
                <w:kern w:val="0"/>
                <w:szCs w:val="20"/>
              </w:rPr>
              <w:t>敏感程度</w:t>
            </w:r>
          </w:p>
        </w:tc>
        <w:tc>
          <w:tcPr>
            <w:tcW w:w="6899" w:type="dxa"/>
            <w:vAlign w:val="center"/>
          </w:tcPr>
          <w:p w14:paraId="12A5C68F">
            <w:pPr>
              <w:pStyle w:val="445"/>
              <w:rPr>
                <w:rFonts w:cs="Times New Roman"/>
                <w:b/>
                <w:kern w:val="0"/>
                <w:szCs w:val="20"/>
              </w:rPr>
            </w:pPr>
            <w:r>
              <w:rPr>
                <w:rFonts w:hint="eastAsia" w:cs="Times New Roman"/>
                <w:b/>
                <w:kern w:val="0"/>
                <w:szCs w:val="20"/>
              </w:rPr>
              <w:t>地下水环境敏感特征</w:t>
            </w:r>
          </w:p>
        </w:tc>
      </w:tr>
      <w:tr w14:paraId="1CB9F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49D66DBA">
            <w:pPr>
              <w:pStyle w:val="445"/>
              <w:rPr>
                <w:rFonts w:cs="Times New Roman"/>
                <w:kern w:val="0"/>
                <w:szCs w:val="20"/>
              </w:rPr>
            </w:pPr>
            <w:r>
              <w:rPr>
                <w:rFonts w:hint="eastAsia" w:cs="Times New Roman"/>
                <w:kern w:val="0"/>
                <w:szCs w:val="20"/>
              </w:rPr>
              <w:t>敏感</w:t>
            </w:r>
          </w:p>
        </w:tc>
        <w:tc>
          <w:tcPr>
            <w:tcW w:w="6899" w:type="dxa"/>
            <w:vAlign w:val="center"/>
          </w:tcPr>
          <w:p w14:paraId="423C41ED">
            <w:pPr>
              <w:pStyle w:val="445"/>
              <w:rPr>
                <w:rFonts w:cs="Times New Roman"/>
                <w:kern w:val="0"/>
                <w:szCs w:val="20"/>
              </w:rPr>
            </w:pPr>
            <w:r>
              <w:rPr>
                <w:rFonts w:hint="eastAsia" w:cs="Times New Roman"/>
                <w:kern w:val="0"/>
                <w:szCs w:val="20"/>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2022C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24DCC65F">
            <w:pPr>
              <w:pStyle w:val="445"/>
              <w:rPr>
                <w:rFonts w:cs="Times New Roman"/>
                <w:kern w:val="0"/>
                <w:szCs w:val="20"/>
              </w:rPr>
            </w:pPr>
            <w:r>
              <w:rPr>
                <w:rFonts w:hint="eastAsia" w:cs="Times New Roman"/>
                <w:kern w:val="0"/>
                <w:szCs w:val="20"/>
              </w:rPr>
              <w:t>较敏感</w:t>
            </w:r>
          </w:p>
        </w:tc>
        <w:tc>
          <w:tcPr>
            <w:tcW w:w="6899" w:type="dxa"/>
            <w:vAlign w:val="center"/>
          </w:tcPr>
          <w:p w14:paraId="44B2F30B">
            <w:pPr>
              <w:pStyle w:val="445"/>
              <w:rPr>
                <w:rFonts w:cs="Times New Roman"/>
                <w:kern w:val="0"/>
                <w:szCs w:val="20"/>
              </w:rPr>
            </w:pPr>
            <w:r>
              <w:rPr>
                <w:rFonts w:hint="eastAsia" w:cs="Times New Roman"/>
                <w:kern w:val="0"/>
                <w:szCs w:val="20"/>
              </w:rPr>
              <w:t>集中式饮用水水源（包括已建成的在用、备用、应急水源，在建和规划的饮用水水源）准保护区以外的补给径流区；未划定准保护区的集中水式饮用水水源，其保护区以外的补给径流区；分散式饮用水水源地。</w:t>
            </w:r>
          </w:p>
        </w:tc>
      </w:tr>
      <w:tr w14:paraId="6A58B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7" w:type="dxa"/>
            <w:shd w:val="clear" w:color="auto" w:fill="AEAAAA" w:themeFill="background2" w:themeFillShade="BF"/>
            <w:vAlign w:val="center"/>
          </w:tcPr>
          <w:p w14:paraId="7035DCCB">
            <w:pPr>
              <w:pStyle w:val="445"/>
              <w:rPr>
                <w:rFonts w:cs="Times New Roman"/>
                <w:kern w:val="0"/>
                <w:szCs w:val="20"/>
              </w:rPr>
            </w:pPr>
            <w:r>
              <w:rPr>
                <w:rFonts w:hint="eastAsia" w:cs="Times New Roman"/>
                <w:kern w:val="0"/>
                <w:szCs w:val="20"/>
              </w:rPr>
              <w:t>不敏感</w:t>
            </w:r>
          </w:p>
        </w:tc>
        <w:tc>
          <w:tcPr>
            <w:tcW w:w="6899" w:type="dxa"/>
            <w:shd w:val="clear" w:color="auto" w:fill="AEAAAA" w:themeFill="background2" w:themeFillShade="BF"/>
            <w:vAlign w:val="center"/>
          </w:tcPr>
          <w:p w14:paraId="5D644284">
            <w:pPr>
              <w:pStyle w:val="445"/>
              <w:rPr>
                <w:rFonts w:cs="Times New Roman"/>
                <w:kern w:val="0"/>
                <w:szCs w:val="20"/>
              </w:rPr>
            </w:pPr>
            <w:r>
              <w:rPr>
                <w:rFonts w:cs="Times New Roman"/>
                <w:kern w:val="0"/>
                <w:szCs w:val="20"/>
              </w:rPr>
              <w:t>上述地区以外的其他地区</w:t>
            </w:r>
          </w:p>
        </w:tc>
      </w:tr>
      <w:tr w14:paraId="2E269B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6" w:type="dxa"/>
            <w:gridSpan w:val="2"/>
            <w:vAlign w:val="center"/>
          </w:tcPr>
          <w:p w14:paraId="693194CE">
            <w:pPr>
              <w:pStyle w:val="445"/>
              <w:rPr>
                <w:rFonts w:cs="Times New Roman"/>
                <w:kern w:val="0"/>
                <w:szCs w:val="20"/>
              </w:rPr>
            </w:pPr>
            <w:r>
              <w:rPr>
                <w:rFonts w:hint="eastAsia" w:cs="Times New Roman"/>
                <w:kern w:val="0"/>
                <w:szCs w:val="20"/>
              </w:rPr>
              <w:t>注：a“环境敏感区”是指《建设项目环境影响评价分类管理名录》中所界定的涉及地下水的环境敏感区。</w:t>
            </w:r>
          </w:p>
        </w:tc>
      </w:tr>
    </w:tbl>
    <w:p w14:paraId="2263ED19">
      <w:pPr>
        <w:ind w:firstLine="480"/>
      </w:pPr>
      <w:r>
        <w:rPr>
          <w:rFonts w:hint="eastAsia"/>
        </w:rPr>
        <w:t>扩建</w:t>
      </w:r>
      <w:r>
        <w:rPr>
          <w:rFonts w:cs="Times New Roman"/>
        </w:rPr>
        <w:t>项目属于</w:t>
      </w:r>
      <w:r>
        <w:rPr>
          <w:rFonts w:hint="eastAsia" w:cs="Times New Roman"/>
        </w:rPr>
        <w:t>“</w:t>
      </w:r>
      <w:r>
        <w:rPr>
          <w:rFonts w:cs="Times New Roman"/>
        </w:rPr>
        <w:t>L、石油化工 85、石化、化工中除单纯混合和分装外</w:t>
      </w:r>
      <w:r>
        <w:rPr>
          <w:rFonts w:hint="eastAsia" w:cs="Times New Roman"/>
        </w:rPr>
        <w:t>”</w:t>
      </w:r>
      <w:r>
        <w:rPr>
          <w:rFonts w:cs="Times New Roman"/>
        </w:rPr>
        <w:t>的，根据导则判别属于</w:t>
      </w:r>
      <w:r>
        <w:rPr>
          <w:rFonts w:hint="eastAsia" w:cs="Times New Roman"/>
        </w:rPr>
        <w:t>Ⅰ</w:t>
      </w:r>
      <w:r>
        <w:rPr>
          <w:rFonts w:cs="Times New Roman"/>
        </w:rPr>
        <w:t>类项目；项目位于蚌埠</w:t>
      </w:r>
      <w:r>
        <w:rPr>
          <w:rFonts w:hint="eastAsia"/>
        </w:rPr>
        <w:t>沫河口精细化工高新技术产业基地内，周边无集中式饮用水源、特殊地下资源等，因而扩建项目位于不敏感区。依据以上判定，确定项目地下水评价工作等级为二级。详见表2</w:t>
      </w:r>
      <w:r>
        <w:t>.3.1-7</w:t>
      </w:r>
      <w:r>
        <w:rPr>
          <w:rFonts w:hint="eastAsia"/>
        </w:rPr>
        <w:t>。</w:t>
      </w:r>
    </w:p>
    <w:p w14:paraId="6E8BA5B5">
      <w:pPr>
        <w:spacing w:line="500" w:lineRule="exact"/>
        <w:ind w:firstLine="0" w:firstLineChars="0"/>
        <w:jc w:val="center"/>
        <w:rPr>
          <w:rFonts w:ascii="黑体" w:hAnsi="黑体" w:eastAsia="黑体"/>
        </w:rPr>
      </w:pPr>
      <w:r>
        <w:rPr>
          <w:rFonts w:hint="eastAsia" w:ascii="黑体" w:hAnsi="黑体" w:eastAsia="黑体"/>
        </w:rPr>
        <w:t>表</w:t>
      </w:r>
      <w:r>
        <w:rPr>
          <w:rFonts w:eastAsia="黑体"/>
        </w:rPr>
        <w:t xml:space="preserve">2.3.1-7  </w:t>
      </w:r>
      <w:r>
        <w:rPr>
          <w:rFonts w:hint="eastAsia" w:ascii="黑体" w:hAnsi="黑体" w:eastAsia="黑体"/>
        </w:rPr>
        <w:t>评价工作等级分级表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2256"/>
        <w:gridCol w:w="2257"/>
        <w:gridCol w:w="2257"/>
      </w:tblGrid>
      <w:tr w14:paraId="2359F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tcBorders>
              <w:top w:val="single" w:color="auto" w:sz="12" w:space="0"/>
              <w:bottom w:val="single" w:color="auto" w:sz="4" w:space="0"/>
              <w:tl2br w:val="single" w:color="auto" w:sz="4" w:space="0"/>
            </w:tcBorders>
            <w:vAlign w:val="center"/>
          </w:tcPr>
          <w:p w14:paraId="7E60F17C">
            <w:pPr>
              <w:pStyle w:val="445"/>
              <w:rPr>
                <w:rFonts w:cs="Times New Roman"/>
                <w:kern w:val="0"/>
                <w:szCs w:val="20"/>
              </w:rPr>
            </w:pPr>
            <w:r>
              <w:rPr>
                <w:rFonts w:cs="Times New Roman"/>
                <w:kern w:val="0"/>
                <w:szCs w:val="20"/>
              </w:rPr>
              <w:t>项目类别</w:t>
            </w:r>
          </w:p>
          <w:p w14:paraId="681D0F11">
            <w:pPr>
              <w:pStyle w:val="445"/>
              <w:rPr>
                <w:rFonts w:cs="Times New Roman"/>
                <w:kern w:val="0"/>
                <w:szCs w:val="20"/>
              </w:rPr>
            </w:pPr>
            <w:r>
              <w:rPr>
                <w:rFonts w:cs="Times New Roman"/>
                <w:kern w:val="0"/>
                <w:szCs w:val="20"/>
              </w:rPr>
              <w:t>环境敏感程度</w:t>
            </w:r>
          </w:p>
        </w:tc>
        <w:tc>
          <w:tcPr>
            <w:tcW w:w="2256" w:type="dxa"/>
            <w:vAlign w:val="center"/>
          </w:tcPr>
          <w:p w14:paraId="3DD7E41B">
            <w:pPr>
              <w:pStyle w:val="445"/>
              <w:rPr>
                <w:rFonts w:cs="Times New Roman"/>
                <w:kern w:val="0"/>
                <w:szCs w:val="20"/>
              </w:rPr>
            </w:pPr>
            <w:r>
              <w:rPr>
                <w:rFonts w:cs="Times New Roman"/>
                <w:kern w:val="0"/>
                <w:szCs w:val="20"/>
              </w:rPr>
              <w:t>Ⅰ类项目</w:t>
            </w:r>
          </w:p>
        </w:tc>
        <w:tc>
          <w:tcPr>
            <w:tcW w:w="2257" w:type="dxa"/>
            <w:vAlign w:val="center"/>
          </w:tcPr>
          <w:p w14:paraId="1E56ACFD">
            <w:pPr>
              <w:pStyle w:val="445"/>
              <w:rPr>
                <w:rFonts w:cs="Times New Roman"/>
                <w:kern w:val="0"/>
                <w:szCs w:val="20"/>
              </w:rPr>
            </w:pPr>
            <w:r>
              <w:rPr>
                <w:rFonts w:cs="Times New Roman"/>
                <w:kern w:val="0"/>
                <w:szCs w:val="20"/>
              </w:rPr>
              <w:t>Ⅱ类项目</w:t>
            </w:r>
          </w:p>
        </w:tc>
        <w:tc>
          <w:tcPr>
            <w:tcW w:w="2257" w:type="dxa"/>
            <w:vAlign w:val="center"/>
          </w:tcPr>
          <w:p w14:paraId="7E371CD4">
            <w:pPr>
              <w:pStyle w:val="445"/>
              <w:rPr>
                <w:rFonts w:cs="Times New Roman"/>
                <w:kern w:val="0"/>
                <w:szCs w:val="20"/>
              </w:rPr>
            </w:pPr>
            <w:r>
              <w:rPr>
                <w:rFonts w:cs="Times New Roman"/>
                <w:kern w:val="0"/>
                <w:szCs w:val="20"/>
              </w:rPr>
              <w:t>Ⅲ类项目</w:t>
            </w:r>
          </w:p>
        </w:tc>
      </w:tr>
      <w:tr w14:paraId="75FE85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tcBorders>
              <w:top w:val="single" w:color="auto" w:sz="4" w:space="0"/>
            </w:tcBorders>
            <w:vAlign w:val="center"/>
          </w:tcPr>
          <w:p w14:paraId="4D599993">
            <w:pPr>
              <w:pStyle w:val="445"/>
              <w:rPr>
                <w:rFonts w:cs="Times New Roman"/>
                <w:kern w:val="0"/>
                <w:szCs w:val="20"/>
              </w:rPr>
            </w:pPr>
            <w:r>
              <w:rPr>
                <w:rFonts w:cs="Times New Roman"/>
                <w:kern w:val="0"/>
                <w:szCs w:val="20"/>
              </w:rPr>
              <w:t>敏感</w:t>
            </w:r>
          </w:p>
        </w:tc>
        <w:tc>
          <w:tcPr>
            <w:tcW w:w="2256" w:type="dxa"/>
            <w:vAlign w:val="center"/>
          </w:tcPr>
          <w:p w14:paraId="01657BDD">
            <w:pPr>
              <w:pStyle w:val="445"/>
              <w:rPr>
                <w:rFonts w:cs="Times New Roman"/>
                <w:kern w:val="0"/>
                <w:szCs w:val="20"/>
              </w:rPr>
            </w:pPr>
            <w:r>
              <w:rPr>
                <w:rFonts w:cs="Times New Roman"/>
                <w:kern w:val="0"/>
                <w:szCs w:val="20"/>
              </w:rPr>
              <w:t>一</w:t>
            </w:r>
          </w:p>
        </w:tc>
        <w:tc>
          <w:tcPr>
            <w:tcW w:w="2257" w:type="dxa"/>
            <w:vAlign w:val="center"/>
          </w:tcPr>
          <w:p w14:paraId="2D4D907F">
            <w:pPr>
              <w:pStyle w:val="445"/>
              <w:rPr>
                <w:rFonts w:cs="Times New Roman"/>
                <w:kern w:val="0"/>
                <w:szCs w:val="20"/>
              </w:rPr>
            </w:pPr>
            <w:r>
              <w:rPr>
                <w:rFonts w:cs="Times New Roman"/>
                <w:kern w:val="0"/>
                <w:szCs w:val="20"/>
              </w:rPr>
              <w:t>一</w:t>
            </w:r>
          </w:p>
        </w:tc>
        <w:tc>
          <w:tcPr>
            <w:tcW w:w="2257" w:type="dxa"/>
            <w:vAlign w:val="center"/>
          </w:tcPr>
          <w:p w14:paraId="13AD2F5C">
            <w:pPr>
              <w:pStyle w:val="445"/>
              <w:rPr>
                <w:rFonts w:cs="Times New Roman"/>
                <w:kern w:val="0"/>
                <w:szCs w:val="20"/>
              </w:rPr>
            </w:pPr>
            <w:r>
              <w:rPr>
                <w:rFonts w:cs="Times New Roman"/>
                <w:kern w:val="0"/>
                <w:szCs w:val="20"/>
              </w:rPr>
              <w:t>二</w:t>
            </w:r>
          </w:p>
        </w:tc>
      </w:tr>
      <w:tr w14:paraId="565B0A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40551E23">
            <w:pPr>
              <w:pStyle w:val="445"/>
              <w:rPr>
                <w:rFonts w:cs="Times New Roman"/>
                <w:kern w:val="0"/>
                <w:szCs w:val="20"/>
              </w:rPr>
            </w:pPr>
            <w:r>
              <w:rPr>
                <w:rFonts w:cs="Times New Roman"/>
                <w:kern w:val="0"/>
                <w:szCs w:val="20"/>
              </w:rPr>
              <w:t>较敏感</w:t>
            </w:r>
          </w:p>
        </w:tc>
        <w:tc>
          <w:tcPr>
            <w:tcW w:w="2256" w:type="dxa"/>
            <w:vAlign w:val="center"/>
          </w:tcPr>
          <w:p w14:paraId="1C720CA5">
            <w:pPr>
              <w:pStyle w:val="445"/>
              <w:rPr>
                <w:rFonts w:cs="Times New Roman"/>
                <w:kern w:val="0"/>
                <w:szCs w:val="20"/>
              </w:rPr>
            </w:pPr>
            <w:r>
              <w:rPr>
                <w:rFonts w:cs="Times New Roman"/>
                <w:kern w:val="0"/>
                <w:szCs w:val="20"/>
              </w:rPr>
              <w:t>一</w:t>
            </w:r>
          </w:p>
        </w:tc>
        <w:tc>
          <w:tcPr>
            <w:tcW w:w="2257" w:type="dxa"/>
            <w:vAlign w:val="center"/>
          </w:tcPr>
          <w:p w14:paraId="5E5BC6F1">
            <w:pPr>
              <w:pStyle w:val="445"/>
              <w:rPr>
                <w:rFonts w:cs="Times New Roman"/>
                <w:kern w:val="0"/>
                <w:szCs w:val="20"/>
              </w:rPr>
            </w:pPr>
            <w:r>
              <w:rPr>
                <w:rFonts w:cs="Times New Roman"/>
                <w:kern w:val="0"/>
                <w:szCs w:val="20"/>
              </w:rPr>
              <w:t>二</w:t>
            </w:r>
          </w:p>
        </w:tc>
        <w:tc>
          <w:tcPr>
            <w:tcW w:w="2257" w:type="dxa"/>
            <w:vAlign w:val="center"/>
          </w:tcPr>
          <w:p w14:paraId="01EC03D1">
            <w:pPr>
              <w:pStyle w:val="445"/>
              <w:rPr>
                <w:rFonts w:cs="Times New Roman"/>
                <w:kern w:val="0"/>
                <w:szCs w:val="20"/>
              </w:rPr>
            </w:pPr>
            <w:r>
              <w:rPr>
                <w:rFonts w:cs="Times New Roman"/>
                <w:kern w:val="0"/>
                <w:szCs w:val="20"/>
              </w:rPr>
              <w:t>三</w:t>
            </w:r>
          </w:p>
        </w:tc>
      </w:tr>
      <w:tr w14:paraId="78E50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7DAE6BFF">
            <w:pPr>
              <w:pStyle w:val="445"/>
              <w:rPr>
                <w:rFonts w:cs="Times New Roman"/>
                <w:kern w:val="0"/>
                <w:szCs w:val="20"/>
              </w:rPr>
            </w:pPr>
            <w:r>
              <w:rPr>
                <w:rFonts w:cs="Times New Roman"/>
                <w:kern w:val="0"/>
                <w:szCs w:val="20"/>
              </w:rPr>
              <w:t>不敏感</w:t>
            </w:r>
          </w:p>
        </w:tc>
        <w:tc>
          <w:tcPr>
            <w:tcW w:w="2256" w:type="dxa"/>
            <w:shd w:val="clear" w:color="auto" w:fill="AEAAAA" w:themeFill="background2" w:themeFillShade="BF"/>
            <w:vAlign w:val="center"/>
          </w:tcPr>
          <w:p w14:paraId="27721FE2">
            <w:pPr>
              <w:pStyle w:val="445"/>
              <w:rPr>
                <w:rFonts w:cs="Times New Roman"/>
                <w:kern w:val="0"/>
                <w:szCs w:val="20"/>
              </w:rPr>
            </w:pPr>
            <w:r>
              <w:rPr>
                <w:rFonts w:cs="Times New Roman"/>
                <w:kern w:val="0"/>
                <w:szCs w:val="20"/>
              </w:rPr>
              <w:t>二</w:t>
            </w:r>
          </w:p>
        </w:tc>
        <w:tc>
          <w:tcPr>
            <w:tcW w:w="2257" w:type="dxa"/>
            <w:vAlign w:val="center"/>
          </w:tcPr>
          <w:p w14:paraId="603DD985">
            <w:pPr>
              <w:pStyle w:val="445"/>
              <w:rPr>
                <w:rFonts w:cs="Times New Roman"/>
                <w:kern w:val="0"/>
                <w:szCs w:val="20"/>
              </w:rPr>
            </w:pPr>
            <w:r>
              <w:rPr>
                <w:rFonts w:cs="Times New Roman"/>
                <w:kern w:val="0"/>
                <w:szCs w:val="20"/>
              </w:rPr>
              <w:t>三</w:t>
            </w:r>
          </w:p>
        </w:tc>
        <w:tc>
          <w:tcPr>
            <w:tcW w:w="2257" w:type="dxa"/>
            <w:vAlign w:val="center"/>
          </w:tcPr>
          <w:p w14:paraId="3FCEBAE7">
            <w:pPr>
              <w:pStyle w:val="445"/>
              <w:rPr>
                <w:rFonts w:cs="Times New Roman"/>
                <w:kern w:val="0"/>
                <w:szCs w:val="20"/>
              </w:rPr>
            </w:pPr>
            <w:r>
              <w:rPr>
                <w:rFonts w:cs="Times New Roman"/>
                <w:kern w:val="0"/>
                <w:szCs w:val="20"/>
              </w:rPr>
              <w:t>三</w:t>
            </w:r>
          </w:p>
        </w:tc>
      </w:tr>
    </w:tbl>
    <w:p w14:paraId="054DEE09">
      <w:pPr>
        <w:pStyle w:val="349"/>
      </w:pPr>
      <w:r>
        <w:rPr>
          <w:rFonts w:hint="eastAsia"/>
        </w:rPr>
        <w:t>2</w:t>
      </w:r>
      <w:r>
        <w:t>.3.1.5</w:t>
      </w:r>
      <w:r>
        <w:rPr>
          <w:rFonts w:ascii="黑体" w:hAnsi="黑体"/>
        </w:rPr>
        <w:t>风险评价等级</w:t>
      </w:r>
    </w:p>
    <w:p w14:paraId="50CDC0A3">
      <w:pPr>
        <w:ind w:firstLine="0" w:firstLineChars="0"/>
        <w:rPr>
          <w:b/>
        </w:rPr>
      </w:pPr>
      <w:r>
        <w:rPr>
          <w:b/>
        </w:rPr>
        <w:t>2.3.1.5.1危险物质及工艺系统危险性P的分级确定</w:t>
      </w:r>
    </w:p>
    <w:p w14:paraId="49833EF2">
      <w:pPr>
        <w:ind w:firstLine="480"/>
      </w:pPr>
      <w:r>
        <w:rPr>
          <w:rFonts w:hint="eastAsia" w:ascii="宋体" w:hAnsi="宋体"/>
        </w:rPr>
        <w:t>根据《建设项目环境风险评价技术导则》</w:t>
      </w:r>
      <w:r>
        <w:rPr>
          <w:rFonts w:hint="eastAsia"/>
        </w:rPr>
        <w:t>(HJ169-2018)</w:t>
      </w:r>
      <w:r>
        <w:rPr>
          <w:rFonts w:hint="eastAsia" w:ascii="宋体" w:hAnsi="宋体"/>
        </w:rPr>
        <w:t>，危险物质及工艺系统危害性</w:t>
      </w:r>
      <w:r>
        <w:rPr>
          <w:rFonts w:hint="eastAsia"/>
        </w:rPr>
        <w:t>(P)</w:t>
      </w:r>
      <w:r>
        <w:rPr>
          <w:rFonts w:hint="eastAsia" w:ascii="宋体" w:hAnsi="宋体"/>
        </w:rPr>
        <w:t>应根据危险物质数量与临界量的比值</w:t>
      </w:r>
      <w:r>
        <w:rPr>
          <w:rFonts w:hint="eastAsia"/>
        </w:rPr>
        <w:t>(Q)</w:t>
      </w:r>
      <w:r>
        <w:rPr>
          <w:rFonts w:hint="eastAsia" w:ascii="宋体" w:hAnsi="宋体"/>
        </w:rPr>
        <w:t>和行业及生产工艺</w:t>
      </w:r>
      <w:r>
        <w:rPr>
          <w:rFonts w:hint="eastAsia"/>
        </w:rPr>
        <w:t>(M)</w:t>
      </w:r>
      <w:r>
        <w:rPr>
          <w:rFonts w:hint="eastAsia" w:ascii="宋体" w:hAnsi="宋体"/>
        </w:rPr>
        <w:t>共同确定。</w:t>
      </w:r>
    </w:p>
    <w:p w14:paraId="00641B8D">
      <w:pPr>
        <w:ind w:firstLine="480"/>
      </w:pPr>
      <w:r>
        <w:t>（1）危险物质数量与临界量比值（Q）</w:t>
      </w:r>
    </w:p>
    <w:p w14:paraId="6BA21626">
      <w:pPr>
        <w:ind w:firstLine="480"/>
      </w:pPr>
      <w:r>
        <w:rPr>
          <w:rFonts w:ascii="宋体" w:hAnsi="宋体"/>
        </w:rPr>
        <w:t>本项目涉及的</w:t>
      </w:r>
      <w:r>
        <w:rPr>
          <w:rFonts w:hint="eastAsia" w:ascii="宋体" w:hAnsi="宋体"/>
        </w:rPr>
        <w:t>危险物质</w:t>
      </w:r>
      <w:r>
        <w:rPr>
          <w:rFonts w:ascii="宋体" w:hAnsi="宋体"/>
        </w:rPr>
        <w:t>在厂界内的最大存量</w:t>
      </w:r>
      <w:r>
        <w:rPr>
          <w:rFonts w:hint="eastAsia" w:ascii="宋体" w:hAnsi="宋体"/>
        </w:rPr>
        <w:t>及</w:t>
      </w:r>
      <w:r>
        <w:rPr>
          <w:rFonts w:ascii="宋体" w:hAnsi="宋体"/>
        </w:rPr>
        <w:t>临界量</w:t>
      </w:r>
      <w:r>
        <w:rPr>
          <w:rFonts w:hint="eastAsia" w:ascii="宋体" w:hAnsi="宋体"/>
        </w:rPr>
        <w:t>见</w:t>
      </w:r>
      <w:r>
        <w:rPr>
          <w:rFonts w:ascii="宋体" w:hAnsi="宋体"/>
        </w:rPr>
        <w:t>表</w:t>
      </w:r>
      <w:r>
        <w:t>2.3.1-8</w:t>
      </w:r>
      <w:r>
        <w:rPr>
          <w:rFonts w:ascii="宋体" w:hAnsi="宋体"/>
        </w:rPr>
        <w:t>中。</w:t>
      </w:r>
    </w:p>
    <w:p w14:paraId="4438A31F">
      <w:pPr>
        <w:ind w:firstLine="480"/>
      </w:pPr>
      <w:r>
        <w:rPr>
          <w:rFonts w:ascii="宋体" w:hAnsi="宋体"/>
        </w:rPr>
        <w:t>当</w:t>
      </w:r>
      <w:r>
        <w:rPr>
          <w:rFonts w:hint="eastAsia" w:ascii="宋体" w:hAnsi="宋体"/>
        </w:rPr>
        <w:t>只涉及</w:t>
      </w:r>
      <w:r>
        <w:rPr>
          <w:rFonts w:ascii="宋体" w:hAnsi="宋体"/>
        </w:rPr>
        <w:t>一种危险物质时，</w:t>
      </w:r>
      <w:r>
        <w:rPr>
          <w:rFonts w:hint="eastAsia" w:ascii="宋体" w:hAnsi="宋体"/>
        </w:rPr>
        <w:t>计算该</w:t>
      </w:r>
      <w:r>
        <w:rPr>
          <w:rFonts w:ascii="宋体" w:hAnsi="宋体"/>
        </w:rPr>
        <w:t>物质的</w:t>
      </w:r>
      <w:r>
        <w:rPr>
          <w:rFonts w:hint="eastAsia" w:ascii="宋体" w:hAnsi="宋体"/>
        </w:rPr>
        <w:t>总量</w:t>
      </w:r>
      <w:r>
        <w:rPr>
          <w:rFonts w:ascii="宋体" w:hAnsi="宋体"/>
        </w:rPr>
        <w:t>与其临界量比值，即为</w:t>
      </w:r>
      <w:r>
        <w:rPr>
          <w:rFonts w:hint="eastAsia"/>
          <w:i/>
        </w:rPr>
        <w:t>Q</w:t>
      </w:r>
      <w:r>
        <w:rPr>
          <w:rFonts w:ascii="宋体" w:hAnsi="宋体"/>
        </w:rPr>
        <w:t>。</w:t>
      </w:r>
    </w:p>
    <w:p w14:paraId="4BD6A4B8">
      <w:pPr>
        <w:ind w:firstLine="480"/>
      </w:pPr>
      <w:r>
        <w:rPr>
          <w:rFonts w:ascii="宋体" w:hAnsi="宋体"/>
        </w:rPr>
        <w:t>当</w:t>
      </w:r>
      <w:r>
        <w:rPr>
          <w:rFonts w:hint="eastAsia" w:ascii="宋体" w:hAnsi="宋体"/>
        </w:rPr>
        <w:t>存在多种</w:t>
      </w:r>
      <w:r>
        <w:rPr>
          <w:rFonts w:ascii="宋体" w:hAnsi="宋体"/>
        </w:rPr>
        <w:t>危险物质时，</w:t>
      </w:r>
      <w:r>
        <w:rPr>
          <w:rFonts w:hint="eastAsia" w:ascii="宋体" w:hAnsi="宋体"/>
        </w:rPr>
        <w:t>按照</w:t>
      </w:r>
      <w:r>
        <w:rPr>
          <w:rFonts w:ascii="宋体" w:hAnsi="宋体"/>
        </w:rPr>
        <w:t>下列公式</w:t>
      </w:r>
      <w:r>
        <w:rPr>
          <w:rFonts w:hint="eastAsia" w:ascii="宋体" w:hAnsi="宋体"/>
        </w:rPr>
        <w:t>计算危险物质</w:t>
      </w:r>
      <w:r>
        <w:rPr>
          <w:rFonts w:ascii="宋体" w:hAnsi="宋体"/>
        </w:rPr>
        <w:t>数量与临界量比值（</w:t>
      </w:r>
      <w:r>
        <w:rPr>
          <w:rFonts w:hint="eastAsia"/>
          <w:i/>
        </w:rPr>
        <w:t>Q</w:t>
      </w:r>
      <w:r>
        <w:rPr>
          <w:rFonts w:ascii="宋体" w:hAnsi="宋体"/>
        </w:rPr>
        <w:t>）。</w:t>
      </w:r>
    </w:p>
    <w:p w14:paraId="0479F320">
      <w:pPr>
        <w:spacing w:before="326" w:beforeLines="100"/>
        <w:ind w:firstLine="480"/>
        <w:jc w:val="center"/>
      </w:pPr>
      <w:r>
        <w:drawing>
          <wp:inline distT="0" distB="0" distL="0" distR="0">
            <wp:extent cx="1676400" cy="523875"/>
            <wp:effectExtent l="0" t="0" r="0" b="9525"/>
            <wp:docPr id="13" name="图片 13" descr="C:\Users\ADMINI~1\AppData\Local\Temp\ksohtml\wps4C6E.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ksohtml\wps4C6E.tmp.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676400" cy="523875"/>
                    </a:xfrm>
                    <a:prstGeom prst="rect">
                      <a:avLst/>
                    </a:prstGeom>
                    <a:noFill/>
                    <a:ln>
                      <a:noFill/>
                    </a:ln>
                  </pic:spPr>
                </pic:pic>
              </a:graphicData>
            </a:graphic>
          </wp:inline>
        </w:drawing>
      </w:r>
      <w:r>
        <w:t xml:space="preserve"> </w:t>
      </w:r>
    </w:p>
    <w:p w14:paraId="5570C2A7">
      <w:pPr>
        <w:ind w:firstLine="480"/>
      </w:pPr>
      <w:r>
        <w:rPr>
          <w:rFonts w:ascii="宋体" w:hAnsi="宋体"/>
        </w:rPr>
        <w:t>式中：</w:t>
      </w:r>
      <w:r>
        <w:rPr>
          <w:i/>
        </w:rPr>
        <w:t>q</w:t>
      </w:r>
      <w:r>
        <w:rPr>
          <w:i/>
          <w:vertAlign w:val="subscript"/>
        </w:rPr>
        <w:t>1</w:t>
      </w:r>
      <w:r>
        <w:rPr>
          <w:rFonts w:ascii="宋体" w:hAnsi="宋体"/>
          <w:i/>
        </w:rPr>
        <w:t>、</w:t>
      </w:r>
      <w:r>
        <w:rPr>
          <w:i/>
        </w:rPr>
        <w:t>q</w:t>
      </w:r>
      <w:r>
        <w:rPr>
          <w:i/>
          <w:vertAlign w:val="subscript"/>
        </w:rPr>
        <w:t>2</w:t>
      </w:r>
      <w:r>
        <w:rPr>
          <w:rFonts w:ascii="宋体" w:hAnsi="宋体"/>
          <w:i/>
        </w:rPr>
        <w:t>、</w:t>
      </w:r>
      <w:r>
        <w:rPr>
          <w:i/>
        </w:rPr>
        <w:t>q</w:t>
      </w:r>
      <w:r>
        <w:rPr>
          <w:i/>
          <w:vertAlign w:val="subscript"/>
        </w:rPr>
        <w:t>n</w:t>
      </w:r>
      <w:r>
        <w:t>——</w:t>
      </w:r>
      <w:r>
        <w:rPr>
          <w:rFonts w:ascii="宋体" w:hAnsi="宋体"/>
        </w:rPr>
        <w:t>每种危险物质</w:t>
      </w:r>
      <w:r>
        <w:rPr>
          <w:rFonts w:hint="eastAsia" w:ascii="宋体" w:hAnsi="宋体"/>
        </w:rPr>
        <w:t>的最大</w:t>
      </w:r>
      <w:r>
        <w:rPr>
          <w:rFonts w:ascii="宋体" w:hAnsi="宋体"/>
        </w:rPr>
        <w:t>存在</w:t>
      </w:r>
      <w:r>
        <w:rPr>
          <w:rFonts w:hint="eastAsia" w:ascii="宋体" w:hAnsi="宋体"/>
        </w:rPr>
        <w:t>总</w:t>
      </w:r>
      <w:r>
        <w:rPr>
          <w:rFonts w:ascii="宋体" w:hAnsi="宋体"/>
        </w:rPr>
        <w:t>量，</w:t>
      </w:r>
      <w:r>
        <w:t>t</w:t>
      </w:r>
      <w:r>
        <w:rPr>
          <w:rFonts w:ascii="宋体" w:hAnsi="宋体"/>
        </w:rPr>
        <w:t>；</w:t>
      </w:r>
    </w:p>
    <w:p w14:paraId="61E86B10">
      <w:pPr>
        <w:ind w:firstLine="720" w:firstLineChars="300"/>
      </w:pPr>
      <w:r>
        <w:rPr>
          <w:i/>
        </w:rPr>
        <w:t>Q</w:t>
      </w:r>
      <w:r>
        <w:rPr>
          <w:i/>
          <w:vertAlign w:val="subscript"/>
        </w:rPr>
        <w:t>1</w:t>
      </w:r>
      <w:r>
        <w:rPr>
          <w:rFonts w:ascii="宋体" w:hAnsi="宋体"/>
          <w:i/>
        </w:rPr>
        <w:t>、</w:t>
      </w:r>
      <w:r>
        <w:rPr>
          <w:i/>
        </w:rPr>
        <w:t>Q</w:t>
      </w:r>
      <w:r>
        <w:rPr>
          <w:i/>
          <w:vertAlign w:val="subscript"/>
        </w:rPr>
        <w:t>2</w:t>
      </w:r>
      <w:r>
        <w:rPr>
          <w:rFonts w:ascii="宋体" w:hAnsi="宋体"/>
          <w:i/>
        </w:rPr>
        <w:t>、</w:t>
      </w:r>
      <w:r>
        <w:rPr>
          <w:i/>
        </w:rPr>
        <w:t>Q</w:t>
      </w:r>
      <w:r>
        <w:rPr>
          <w:i/>
          <w:vertAlign w:val="subscript"/>
        </w:rPr>
        <w:t>n</w:t>
      </w:r>
      <w:r>
        <w:t>——</w:t>
      </w:r>
      <w:r>
        <w:rPr>
          <w:rFonts w:ascii="宋体" w:hAnsi="宋体"/>
        </w:rPr>
        <w:t>各危险物质</w:t>
      </w:r>
      <w:r>
        <w:rPr>
          <w:rFonts w:hint="eastAsia" w:ascii="宋体" w:hAnsi="宋体"/>
        </w:rPr>
        <w:t>的</w:t>
      </w:r>
      <w:r>
        <w:rPr>
          <w:rFonts w:ascii="宋体" w:hAnsi="宋体"/>
        </w:rPr>
        <w:t>临界量，</w:t>
      </w:r>
      <w:r>
        <w:t>t</w:t>
      </w:r>
      <w:r>
        <w:rPr>
          <w:rFonts w:ascii="宋体" w:hAnsi="宋体"/>
        </w:rPr>
        <w:t>。</w:t>
      </w:r>
    </w:p>
    <w:p w14:paraId="2C604252">
      <w:pPr>
        <w:ind w:firstLine="720" w:firstLineChars="300"/>
      </w:pPr>
      <w:r>
        <w:rPr>
          <w:rFonts w:hint="eastAsia" w:ascii="宋体" w:hAnsi="宋体"/>
        </w:rPr>
        <w:t>当</w:t>
      </w:r>
      <w:r>
        <w:rPr>
          <w:rFonts w:hint="eastAsia"/>
          <w:i/>
        </w:rPr>
        <w:t>Q</w:t>
      </w:r>
      <w:r>
        <w:rPr>
          <w:rFonts w:hint="eastAsia" w:ascii="宋体" w:hAnsi="宋体"/>
        </w:rPr>
        <w:t>＜</w:t>
      </w:r>
      <w:r>
        <w:rPr>
          <w:rFonts w:hint="eastAsia"/>
        </w:rPr>
        <w:t>1</w:t>
      </w:r>
      <w:r>
        <w:rPr>
          <w:rFonts w:hint="eastAsia" w:ascii="宋体" w:hAnsi="宋体"/>
        </w:rPr>
        <w:t>时</w:t>
      </w:r>
      <w:r>
        <w:rPr>
          <w:rFonts w:ascii="宋体" w:hAnsi="宋体"/>
        </w:rPr>
        <w:t>，该项目环境风险潜势为</w:t>
      </w:r>
      <w:r>
        <w:rPr>
          <w:rFonts w:hint="eastAsia"/>
        </w:rPr>
        <w:t>I</w:t>
      </w:r>
      <w:r>
        <w:rPr>
          <w:rFonts w:hint="eastAsia" w:ascii="宋体" w:hAnsi="宋体"/>
        </w:rPr>
        <w:t>。</w:t>
      </w:r>
    </w:p>
    <w:p w14:paraId="03DD00C9">
      <w:pPr>
        <w:ind w:firstLine="480"/>
        <w:rPr>
          <w:rFonts w:ascii="宋体" w:hAnsi="宋体"/>
        </w:rPr>
      </w:pPr>
      <w:r>
        <w:rPr>
          <w:rFonts w:hint="eastAsia" w:ascii="宋体" w:hAnsi="宋体"/>
        </w:rPr>
        <w:t>当</w:t>
      </w:r>
      <w:r>
        <w:rPr>
          <w:rFonts w:hint="eastAsia"/>
          <w:i/>
        </w:rPr>
        <w:t>Q</w:t>
      </w:r>
      <w:r>
        <w:rPr>
          <w:rFonts w:hint="eastAsia" w:ascii="宋体" w:hAnsi="宋体"/>
        </w:rPr>
        <w:t>≥</w:t>
      </w:r>
      <w:r>
        <w:rPr>
          <w:rFonts w:hint="eastAsia"/>
        </w:rPr>
        <w:t>1</w:t>
      </w:r>
      <w:r>
        <w:rPr>
          <w:rFonts w:hint="eastAsia" w:ascii="宋体" w:hAnsi="宋体"/>
        </w:rPr>
        <w:t>时</w:t>
      </w:r>
      <w:r>
        <w:rPr>
          <w:rFonts w:ascii="宋体" w:hAnsi="宋体"/>
        </w:rPr>
        <w:t>，将</w:t>
      </w:r>
      <w:r>
        <w:rPr>
          <w:rFonts w:hint="eastAsia"/>
          <w:i/>
        </w:rPr>
        <w:t>Q</w:t>
      </w:r>
      <w:r>
        <w:rPr>
          <w:rFonts w:hint="eastAsia" w:ascii="宋体" w:hAnsi="宋体"/>
        </w:rPr>
        <w:t>值</w:t>
      </w:r>
      <w:r>
        <w:rPr>
          <w:rFonts w:ascii="宋体" w:hAnsi="宋体"/>
        </w:rPr>
        <w:t>划分为：（</w:t>
      </w:r>
      <w:r>
        <w:rPr>
          <w:rFonts w:hint="eastAsia"/>
        </w:rPr>
        <w:t>1</w:t>
      </w:r>
      <w:r>
        <w:rPr>
          <w:rFonts w:ascii="宋体" w:hAnsi="宋体"/>
        </w:rPr>
        <w:t>）</w:t>
      </w:r>
      <w:r>
        <w:rPr>
          <w:rFonts w:hint="eastAsia"/>
        </w:rPr>
        <w:t>1</w:t>
      </w:r>
      <w:r>
        <w:rPr>
          <w:rFonts w:hint="eastAsia" w:ascii="宋体" w:hAnsi="宋体"/>
        </w:rPr>
        <w:t>≤</w:t>
      </w:r>
      <w:r>
        <w:rPr>
          <w:rFonts w:hint="eastAsia"/>
          <w:i/>
        </w:rPr>
        <w:t>Q</w:t>
      </w:r>
      <w:r>
        <w:rPr>
          <w:rFonts w:hint="eastAsia" w:ascii="宋体" w:hAnsi="宋体"/>
        </w:rPr>
        <w:t>＜</w:t>
      </w:r>
      <w:r>
        <w:rPr>
          <w:rFonts w:hint="eastAsia"/>
        </w:rPr>
        <w:t>10</w:t>
      </w:r>
      <w:r>
        <w:rPr>
          <w:rFonts w:hint="eastAsia" w:ascii="宋体" w:hAnsi="宋体"/>
        </w:rPr>
        <w:t>；</w:t>
      </w:r>
      <w:r>
        <w:rPr>
          <w:rFonts w:ascii="宋体" w:hAnsi="宋体"/>
        </w:rPr>
        <w:t>（</w:t>
      </w:r>
      <w:r>
        <w:rPr>
          <w:rFonts w:hint="eastAsia"/>
        </w:rPr>
        <w:t>2</w:t>
      </w:r>
      <w:r>
        <w:rPr>
          <w:rFonts w:ascii="宋体" w:hAnsi="宋体"/>
        </w:rPr>
        <w:t>）</w:t>
      </w:r>
      <w:r>
        <w:rPr>
          <w:rFonts w:hint="eastAsia"/>
        </w:rPr>
        <w:t>10</w:t>
      </w:r>
      <w:r>
        <w:rPr>
          <w:rFonts w:hint="eastAsia" w:ascii="宋体" w:hAnsi="宋体"/>
        </w:rPr>
        <w:t>≤</w:t>
      </w:r>
      <w:r>
        <w:rPr>
          <w:rFonts w:hint="eastAsia"/>
          <w:i/>
        </w:rPr>
        <w:t>Q</w:t>
      </w:r>
      <w:r>
        <w:rPr>
          <w:rFonts w:hint="eastAsia" w:ascii="宋体" w:hAnsi="宋体"/>
        </w:rPr>
        <w:t>＜</w:t>
      </w:r>
      <w:r>
        <w:rPr>
          <w:rFonts w:hint="eastAsia"/>
        </w:rPr>
        <w:t>100</w:t>
      </w:r>
      <w:r>
        <w:rPr>
          <w:rFonts w:hint="eastAsia" w:ascii="宋体" w:hAnsi="宋体"/>
        </w:rPr>
        <w:t>；</w:t>
      </w:r>
      <w:r>
        <w:rPr>
          <w:rFonts w:ascii="宋体" w:hAnsi="宋体"/>
        </w:rPr>
        <w:t>（</w:t>
      </w:r>
      <w:r>
        <w:rPr>
          <w:rFonts w:hint="eastAsia"/>
        </w:rPr>
        <w:t>3</w:t>
      </w:r>
      <w:r>
        <w:rPr>
          <w:rFonts w:ascii="宋体" w:hAnsi="宋体"/>
        </w:rPr>
        <w:t>）</w:t>
      </w:r>
      <w:r>
        <w:rPr>
          <w:rFonts w:hint="eastAsia"/>
          <w:i/>
        </w:rPr>
        <w:t>Q</w:t>
      </w:r>
      <w:r>
        <w:rPr>
          <w:rFonts w:hint="eastAsia" w:ascii="宋体" w:hAnsi="宋体"/>
        </w:rPr>
        <w:t>≥</w:t>
      </w:r>
      <w:r>
        <w:rPr>
          <w:rFonts w:hint="eastAsia"/>
        </w:rPr>
        <w:t>100</w:t>
      </w:r>
      <w:r>
        <w:rPr>
          <w:rFonts w:hint="eastAsia" w:ascii="宋体" w:hAnsi="宋体"/>
        </w:rPr>
        <w:t>。</w:t>
      </w:r>
    </w:p>
    <w:p w14:paraId="329CBE9B">
      <w:pPr>
        <w:ind w:firstLine="480"/>
      </w:pPr>
      <w:r>
        <w:rPr>
          <w:rFonts w:hint="eastAsia"/>
        </w:rPr>
        <w:t>经对照《建设项目环境风险评价技术导则》</w:t>
      </w:r>
      <w:r>
        <w:rPr>
          <w:rFonts w:cs="Times New Roman"/>
        </w:rPr>
        <w:t>（</w:t>
      </w:r>
      <w:r>
        <w:rPr>
          <w:rFonts w:eastAsia="TimesNewRomanPSMT" w:cs="Times New Roman"/>
        </w:rPr>
        <w:t>HJ 169-2018</w:t>
      </w:r>
      <w:r>
        <w:rPr>
          <w:rFonts w:cs="Times New Roman"/>
        </w:rPr>
        <w:t>）附录</w:t>
      </w:r>
      <w:r>
        <w:rPr>
          <w:rFonts w:eastAsia="TimesNewRomanPSMT" w:cs="Times New Roman"/>
        </w:rPr>
        <w:t>B</w:t>
      </w:r>
      <w:r>
        <w:rPr>
          <w:rFonts w:hint="eastAsia"/>
        </w:rPr>
        <w:t>，本项目涉及的危险物质判别情况见</w:t>
      </w:r>
      <w:r>
        <w:t>表</w:t>
      </w:r>
      <w:r>
        <w:rPr>
          <w:rFonts w:hint="eastAsia"/>
        </w:rPr>
        <w:t>2.3.1-8。</w:t>
      </w:r>
    </w:p>
    <w:p w14:paraId="7C852559">
      <w:pPr>
        <w:spacing w:line="500" w:lineRule="exact"/>
        <w:ind w:firstLine="0" w:firstLineChars="0"/>
        <w:jc w:val="center"/>
        <w:rPr>
          <w:rFonts w:ascii="黑体" w:hAnsi="黑体" w:eastAsia="黑体"/>
        </w:rPr>
      </w:pPr>
    </w:p>
    <w:p w14:paraId="5073CCF3">
      <w:pPr>
        <w:spacing w:line="500" w:lineRule="exact"/>
        <w:ind w:firstLine="0" w:firstLineChars="0"/>
        <w:jc w:val="center"/>
        <w:rPr>
          <w:rFonts w:eastAsia="黑体"/>
        </w:rPr>
      </w:pPr>
      <w:r>
        <w:rPr>
          <w:rFonts w:hint="eastAsia" w:ascii="黑体" w:hAnsi="黑体" w:eastAsia="黑体"/>
        </w:rPr>
        <w:t>表</w:t>
      </w:r>
      <w:r>
        <w:rPr>
          <w:rFonts w:eastAsia="黑体"/>
        </w:rPr>
        <w:t xml:space="preserve">2.3.1-8  </w:t>
      </w:r>
      <w:r>
        <w:rPr>
          <w:rFonts w:hint="eastAsia" w:eastAsia="黑体"/>
        </w:rPr>
        <w:t>Q</w:t>
      </w:r>
      <w:r>
        <w:rPr>
          <w:rFonts w:hint="eastAsia" w:ascii="黑体" w:hAnsi="黑体" w:eastAsia="黑体"/>
        </w:rPr>
        <w:t>值</w:t>
      </w:r>
      <w:r>
        <w:rPr>
          <w:rFonts w:ascii="黑体" w:hAnsi="黑体" w:eastAsia="黑体"/>
        </w:rPr>
        <w:t>确定表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752"/>
        <w:gridCol w:w="203"/>
        <w:gridCol w:w="956"/>
        <w:gridCol w:w="1164"/>
        <w:gridCol w:w="1074"/>
        <w:gridCol w:w="1007"/>
        <w:gridCol w:w="1662"/>
        <w:gridCol w:w="1048"/>
        <w:gridCol w:w="821"/>
      </w:tblGrid>
      <w:tr w14:paraId="155DA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 w:hRule="atLeast"/>
          <w:jc w:val="center"/>
        </w:trPr>
        <w:tc>
          <w:tcPr>
            <w:tcW w:w="300" w:type="pct"/>
            <w:tcBorders>
              <w:top w:val="single" w:color="auto" w:sz="12" w:space="0"/>
              <w:left w:val="nil"/>
              <w:bottom w:val="single" w:color="auto" w:sz="4" w:space="0"/>
              <w:right w:val="single" w:color="auto" w:sz="4" w:space="0"/>
            </w:tcBorders>
            <w:vAlign w:val="center"/>
          </w:tcPr>
          <w:p w14:paraId="058A6D6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序号</w:t>
            </w:r>
          </w:p>
        </w:tc>
        <w:tc>
          <w:tcPr>
            <w:tcW w:w="1034" w:type="pct"/>
            <w:gridSpan w:val="3"/>
            <w:tcBorders>
              <w:top w:val="single" w:color="auto" w:sz="12" w:space="0"/>
              <w:left w:val="single" w:color="auto" w:sz="4" w:space="0"/>
              <w:bottom w:val="single" w:color="auto" w:sz="4" w:space="0"/>
              <w:right w:val="single" w:color="auto" w:sz="4" w:space="0"/>
            </w:tcBorders>
            <w:noWrap/>
            <w:vAlign w:val="center"/>
          </w:tcPr>
          <w:p w14:paraId="2A92F9AE">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化学品名称</w:t>
            </w:r>
          </w:p>
        </w:tc>
        <w:tc>
          <w:tcPr>
            <w:tcW w:w="630" w:type="pct"/>
            <w:tcBorders>
              <w:top w:val="single" w:color="auto" w:sz="12" w:space="0"/>
              <w:left w:val="single" w:color="auto" w:sz="4" w:space="0"/>
              <w:bottom w:val="single" w:color="auto" w:sz="4" w:space="0"/>
              <w:right w:val="single" w:color="auto" w:sz="4" w:space="0"/>
            </w:tcBorders>
            <w:vAlign w:val="center"/>
          </w:tcPr>
          <w:p w14:paraId="63816113">
            <w:pPr>
              <w:widowControl/>
              <w:spacing w:line="360" w:lineRule="exact"/>
              <w:ind w:firstLine="0" w:firstLineChars="0"/>
              <w:jc w:val="center"/>
              <w:rPr>
                <w:rFonts w:cs="Times New Roman"/>
                <w:kern w:val="0"/>
                <w:sz w:val="18"/>
                <w:szCs w:val="18"/>
              </w:rPr>
            </w:pPr>
            <w:r>
              <w:rPr>
                <w:rFonts w:cs="Times New Roman"/>
                <w:kern w:val="0"/>
                <w:sz w:val="18"/>
                <w:szCs w:val="18"/>
              </w:rPr>
              <w:t>CAS</w:t>
            </w:r>
            <w:r>
              <w:rPr>
                <w:rFonts w:ascii="宋体" w:hAnsi="宋体" w:cs="Times New Roman"/>
                <w:kern w:val="0"/>
                <w:sz w:val="18"/>
                <w:szCs w:val="18"/>
              </w:rPr>
              <w:t>号</w:t>
            </w:r>
          </w:p>
        </w:tc>
        <w:tc>
          <w:tcPr>
            <w:tcW w:w="581" w:type="pct"/>
            <w:tcBorders>
              <w:top w:val="single" w:color="auto" w:sz="12" w:space="0"/>
              <w:left w:val="single" w:color="auto" w:sz="4" w:space="0"/>
              <w:bottom w:val="single" w:color="auto" w:sz="4" w:space="0"/>
              <w:right w:val="single" w:color="auto" w:sz="4" w:space="0"/>
            </w:tcBorders>
            <w:vAlign w:val="center"/>
          </w:tcPr>
          <w:p w14:paraId="2A0A9984">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最大暂存量</w:t>
            </w:r>
            <w:r>
              <w:rPr>
                <w:rFonts w:hint="eastAsia" w:cs="Times New Roman"/>
                <w:kern w:val="0"/>
                <w:sz w:val="18"/>
                <w:szCs w:val="18"/>
              </w:rPr>
              <w:t>q</w:t>
            </w:r>
            <w:r>
              <w:rPr>
                <w:rFonts w:cs="Times New Roman"/>
                <w:kern w:val="0"/>
                <w:sz w:val="18"/>
                <w:szCs w:val="18"/>
              </w:rPr>
              <w:t>n/t</w:t>
            </w:r>
          </w:p>
        </w:tc>
        <w:tc>
          <w:tcPr>
            <w:tcW w:w="545" w:type="pct"/>
            <w:tcBorders>
              <w:top w:val="single" w:color="auto" w:sz="12" w:space="0"/>
              <w:left w:val="single" w:color="auto" w:sz="4" w:space="0"/>
              <w:bottom w:val="single" w:color="auto" w:sz="4" w:space="0"/>
              <w:right w:val="single" w:color="auto" w:sz="4" w:space="0"/>
            </w:tcBorders>
            <w:vAlign w:val="center"/>
          </w:tcPr>
          <w:p w14:paraId="670E53E9">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在线量</w:t>
            </w:r>
            <w:r>
              <w:rPr>
                <w:rFonts w:hint="eastAsia" w:cs="Times New Roman"/>
                <w:kern w:val="0"/>
                <w:sz w:val="18"/>
                <w:szCs w:val="18"/>
              </w:rPr>
              <w:t>q</w:t>
            </w:r>
            <w:r>
              <w:rPr>
                <w:rFonts w:cs="Times New Roman"/>
                <w:kern w:val="0"/>
                <w:sz w:val="18"/>
                <w:szCs w:val="18"/>
              </w:rPr>
              <w:t>n/t</w:t>
            </w:r>
          </w:p>
        </w:tc>
        <w:tc>
          <w:tcPr>
            <w:tcW w:w="899" w:type="pct"/>
            <w:tcBorders>
              <w:top w:val="single" w:color="auto" w:sz="12" w:space="0"/>
              <w:left w:val="single" w:color="auto" w:sz="4" w:space="0"/>
              <w:bottom w:val="single" w:color="auto" w:sz="4" w:space="0"/>
              <w:right w:val="single" w:color="auto" w:sz="4" w:space="0"/>
            </w:tcBorders>
            <w:noWrap/>
            <w:vAlign w:val="center"/>
          </w:tcPr>
          <w:p w14:paraId="75760013">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最大</w:t>
            </w:r>
            <w:r>
              <w:rPr>
                <w:rFonts w:hint="eastAsia" w:ascii="宋体" w:hAnsi="宋体" w:cs="Times New Roman"/>
                <w:kern w:val="0"/>
                <w:sz w:val="18"/>
                <w:szCs w:val="18"/>
              </w:rPr>
              <w:t>存在总量</w:t>
            </w:r>
            <w:r>
              <w:rPr>
                <w:rFonts w:hint="eastAsia" w:cs="Times New Roman"/>
                <w:kern w:val="0"/>
                <w:sz w:val="18"/>
                <w:szCs w:val="18"/>
              </w:rPr>
              <w:t>q</w:t>
            </w:r>
            <w:r>
              <w:rPr>
                <w:rFonts w:cs="Times New Roman"/>
                <w:kern w:val="0"/>
                <w:sz w:val="18"/>
                <w:szCs w:val="18"/>
              </w:rPr>
              <w:t>n/t</w:t>
            </w:r>
          </w:p>
        </w:tc>
        <w:tc>
          <w:tcPr>
            <w:tcW w:w="567" w:type="pct"/>
            <w:tcBorders>
              <w:top w:val="single" w:color="auto" w:sz="12" w:space="0"/>
              <w:left w:val="single" w:color="auto" w:sz="4" w:space="0"/>
              <w:bottom w:val="single" w:color="auto" w:sz="4" w:space="0"/>
              <w:right w:val="single" w:color="auto" w:sz="4" w:space="0"/>
            </w:tcBorders>
            <w:vAlign w:val="center"/>
          </w:tcPr>
          <w:p w14:paraId="4AEDC180">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临界量</w:t>
            </w:r>
            <w:r>
              <w:rPr>
                <w:rFonts w:hint="eastAsia" w:cs="Times New Roman"/>
                <w:kern w:val="0"/>
                <w:sz w:val="18"/>
                <w:szCs w:val="18"/>
              </w:rPr>
              <w:t>Q</w:t>
            </w:r>
            <w:r>
              <w:rPr>
                <w:rFonts w:cs="Times New Roman"/>
                <w:kern w:val="0"/>
                <w:sz w:val="18"/>
                <w:szCs w:val="18"/>
              </w:rPr>
              <w:t>n/t</w:t>
            </w:r>
          </w:p>
        </w:tc>
        <w:tc>
          <w:tcPr>
            <w:tcW w:w="444" w:type="pct"/>
            <w:tcBorders>
              <w:top w:val="single" w:color="auto" w:sz="12" w:space="0"/>
              <w:left w:val="single" w:color="auto" w:sz="4" w:space="0"/>
              <w:bottom w:val="single" w:color="auto" w:sz="4" w:space="0"/>
              <w:right w:val="nil"/>
            </w:tcBorders>
            <w:vAlign w:val="center"/>
          </w:tcPr>
          <w:p w14:paraId="1E253B38">
            <w:pPr>
              <w:widowControl/>
              <w:spacing w:line="360" w:lineRule="exact"/>
              <w:ind w:firstLine="0" w:firstLineChars="0"/>
              <w:jc w:val="center"/>
              <w:rPr>
                <w:rFonts w:cs="Times New Roman"/>
                <w:kern w:val="0"/>
                <w:sz w:val="18"/>
                <w:szCs w:val="18"/>
              </w:rPr>
            </w:pPr>
            <w:r>
              <w:rPr>
                <w:rFonts w:hint="eastAsia" w:cs="Times New Roman"/>
                <w:kern w:val="0"/>
                <w:sz w:val="18"/>
                <w:szCs w:val="18"/>
              </w:rPr>
              <w:t>Q</w:t>
            </w:r>
            <w:r>
              <w:rPr>
                <w:rFonts w:hint="eastAsia" w:ascii="宋体" w:hAnsi="宋体" w:cs="Times New Roman"/>
                <w:kern w:val="0"/>
                <w:sz w:val="18"/>
                <w:szCs w:val="18"/>
              </w:rPr>
              <w:t>值</w:t>
            </w:r>
          </w:p>
        </w:tc>
      </w:tr>
      <w:tr w14:paraId="091DC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300" w:type="pct"/>
            <w:tcBorders>
              <w:top w:val="single" w:color="auto" w:sz="4" w:space="0"/>
              <w:left w:val="nil"/>
              <w:bottom w:val="single" w:color="auto" w:sz="4" w:space="0"/>
              <w:right w:val="single" w:color="auto" w:sz="4" w:space="0"/>
            </w:tcBorders>
            <w:vAlign w:val="center"/>
          </w:tcPr>
          <w:p w14:paraId="44C9E142">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0FD36983">
            <w:pPr>
              <w:widowControl/>
              <w:spacing w:line="360" w:lineRule="exact"/>
              <w:ind w:firstLine="0" w:firstLineChars="0"/>
              <w:jc w:val="center"/>
              <w:rPr>
                <w:rFonts w:cs="Times New Roman"/>
                <w:kern w:val="0"/>
                <w:sz w:val="18"/>
                <w:szCs w:val="18"/>
              </w:rPr>
            </w:pPr>
            <w:r>
              <w:rPr>
                <w:rFonts w:hint="eastAsia" w:cs="Times New Roman"/>
                <w:kern w:val="0"/>
                <w:sz w:val="18"/>
                <w:szCs w:val="18"/>
              </w:rPr>
              <w:t>甲醇</w:t>
            </w:r>
          </w:p>
        </w:tc>
        <w:tc>
          <w:tcPr>
            <w:tcW w:w="630" w:type="pct"/>
            <w:tcBorders>
              <w:top w:val="single" w:color="auto" w:sz="4" w:space="0"/>
              <w:left w:val="single" w:color="auto" w:sz="4" w:space="0"/>
              <w:bottom w:val="single" w:color="auto" w:sz="4" w:space="0"/>
              <w:right w:val="single" w:color="auto" w:sz="4" w:space="0"/>
            </w:tcBorders>
            <w:vAlign w:val="center"/>
          </w:tcPr>
          <w:p w14:paraId="3C837379">
            <w:pPr>
              <w:widowControl/>
              <w:spacing w:line="360" w:lineRule="exact"/>
              <w:ind w:firstLine="0" w:firstLineChars="0"/>
              <w:jc w:val="center"/>
              <w:rPr>
                <w:rFonts w:cs="Times New Roman"/>
                <w:kern w:val="0"/>
                <w:sz w:val="18"/>
                <w:szCs w:val="18"/>
              </w:rPr>
            </w:pPr>
            <w:r>
              <w:rPr>
                <w:rFonts w:hint="eastAsia" w:cs="Times New Roman"/>
                <w:kern w:val="0"/>
                <w:sz w:val="18"/>
                <w:szCs w:val="18"/>
              </w:rPr>
              <w:t>67-56-1</w:t>
            </w:r>
          </w:p>
        </w:tc>
        <w:tc>
          <w:tcPr>
            <w:tcW w:w="581" w:type="pct"/>
            <w:tcBorders>
              <w:top w:val="single" w:color="auto" w:sz="4" w:space="0"/>
              <w:left w:val="single" w:color="auto" w:sz="4" w:space="0"/>
              <w:bottom w:val="single" w:color="auto" w:sz="4" w:space="0"/>
              <w:right w:val="single" w:color="auto" w:sz="4" w:space="0"/>
            </w:tcBorders>
            <w:vAlign w:val="center"/>
          </w:tcPr>
          <w:p w14:paraId="465607E8">
            <w:pPr>
              <w:widowControl/>
              <w:spacing w:line="360" w:lineRule="exact"/>
              <w:ind w:firstLine="0" w:firstLineChars="0"/>
              <w:jc w:val="center"/>
              <w:rPr>
                <w:rFonts w:cs="Times New Roman"/>
                <w:kern w:val="0"/>
                <w:sz w:val="18"/>
                <w:szCs w:val="18"/>
              </w:rPr>
            </w:pPr>
            <w:r>
              <w:rPr>
                <w:rFonts w:cs="Times New Roman"/>
                <w:kern w:val="0"/>
                <w:sz w:val="18"/>
                <w:szCs w:val="18"/>
              </w:rPr>
              <w:t>350</w:t>
            </w:r>
          </w:p>
        </w:tc>
        <w:tc>
          <w:tcPr>
            <w:tcW w:w="545" w:type="pct"/>
            <w:tcBorders>
              <w:top w:val="single" w:color="auto" w:sz="4" w:space="0"/>
              <w:left w:val="single" w:color="auto" w:sz="4" w:space="0"/>
              <w:bottom w:val="single" w:color="auto" w:sz="4" w:space="0"/>
              <w:right w:val="single" w:color="auto" w:sz="4" w:space="0"/>
            </w:tcBorders>
            <w:vAlign w:val="center"/>
          </w:tcPr>
          <w:p w14:paraId="7FEC2520">
            <w:pPr>
              <w:widowControl/>
              <w:spacing w:line="360" w:lineRule="exact"/>
              <w:ind w:firstLine="0" w:firstLineChars="0"/>
              <w:jc w:val="center"/>
              <w:rPr>
                <w:rFonts w:cs="Times New Roman"/>
                <w:kern w:val="0"/>
                <w:sz w:val="18"/>
                <w:szCs w:val="18"/>
              </w:rPr>
            </w:pPr>
            <w:r>
              <w:rPr>
                <w:rFonts w:cs="Times New Roman"/>
                <w:kern w:val="0"/>
                <w:sz w:val="18"/>
                <w:szCs w:val="18"/>
              </w:rPr>
              <w:t>94.6</w:t>
            </w:r>
          </w:p>
        </w:tc>
        <w:tc>
          <w:tcPr>
            <w:tcW w:w="899" w:type="pct"/>
            <w:tcBorders>
              <w:top w:val="single" w:color="auto" w:sz="4" w:space="0"/>
              <w:left w:val="single" w:color="auto" w:sz="4" w:space="0"/>
              <w:bottom w:val="single" w:color="auto" w:sz="4" w:space="0"/>
              <w:right w:val="single" w:color="auto" w:sz="4" w:space="0"/>
            </w:tcBorders>
            <w:noWrap/>
            <w:vAlign w:val="center"/>
          </w:tcPr>
          <w:p w14:paraId="19F1BB3B">
            <w:pPr>
              <w:widowControl/>
              <w:spacing w:line="360" w:lineRule="exact"/>
              <w:ind w:firstLine="0" w:firstLineChars="0"/>
              <w:jc w:val="center"/>
              <w:rPr>
                <w:rFonts w:cs="Times New Roman"/>
                <w:kern w:val="0"/>
                <w:sz w:val="18"/>
                <w:szCs w:val="18"/>
              </w:rPr>
            </w:pPr>
            <w:r>
              <w:rPr>
                <w:rFonts w:cs="Times New Roman"/>
                <w:kern w:val="0"/>
                <w:sz w:val="18"/>
                <w:szCs w:val="18"/>
              </w:rPr>
              <w:t>444.6</w:t>
            </w:r>
          </w:p>
        </w:tc>
        <w:tc>
          <w:tcPr>
            <w:tcW w:w="567" w:type="pct"/>
            <w:tcBorders>
              <w:top w:val="single" w:color="auto" w:sz="4" w:space="0"/>
              <w:left w:val="single" w:color="auto" w:sz="4" w:space="0"/>
              <w:bottom w:val="single" w:color="auto" w:sz="4" w:space="0"/>
              <w:right w:val="single" w:color="auto" w:sz="4" w:space="0"/>
            </w:tcBorders>
            <w:vAlign w:val="center"/>
          </w:tcPr>
          <w:p w14:paraId="69A88AD7">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vAlign w:val="center"/>
          </w:tcPr>
          <w:p w14:paraId="01E35418">
            <w:pPr>
              <w:widowControl/>
              <w:spacing w:line="360" w:lineRule="exact"/>
              <w:ind w:firstLine="0" w:firstLineChars="0"/>
              <w:jc w:val="center"/>
              <w:rPr>
                <w:rFonts w:cs="Times New Roman"/>
                <w:kern w:val="0"/>
                <w:sz w:val="18"/>
                <w:szCs w:val="18"/>
              </w:rPr>
            </w:pPr>
            <w:r>
              <w:rPr>
                <w:rFonts w:cs="Times New Roman"/>
                <w:kern w:val="0"/>
                <w:sz w:val="18"/>
                <w:szCs w:val="18"/>
              </w:rPr>
              <w:t>44.46</w:t>
            </w:r>
          </w:p>
        </w:tc>
      </w:tr>
      <w:tr w14:paraId="09AAD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300" w:type="pct"/>
            <w:tcBorders>
              <w:top w:val="single" w:color="auto" w:sz="4" w:space="0"/>
              <w:left w:val="nil"/>
              <w:bottom w:val="single" w:color="auto" w:sz="4" w:space="0"/>
              <w:right w:val="single" w:color="auto" w:sz="4" w:space="0"/>
            </w:tcBorders>
            <w:vAlign w:val="center"/>
          </w:tcPr>
          <w:p w14:paraId="561F72FA">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0F8ACD4F">
            <w:pPr>
              <w:widowControl/>
              <w:spacing w:line="360" w:lineRule="exact"/>
              <w:ind w:firstLine="0" w:firstLineChars="0"/>
              <w:jc w:val="center"/>
              <w:rPr>
                <w:rFonts w:cs="Times New Roman"/>
                <w:kern w:val="0"/>
                <w:sz w:val="18"/>
                <w:szCs w:val="18"/>
                <w:vertAlign w:val="superscript"/>
              </w:rPr>
            </w:pPr>
            <w:r>
              <w:rPr>
                <w:rFonts w:hint="eastAsia" w:cs="Times New Roman"/>
                <w:kern w:val="0"/>
                <w:sz w:val="18"/>
                <w:szCs w:val="18"/>
              </w:rPr>
              <w:t>氨水（浓度≥20</w:t>
            </w:r>
            <w:r>
              <w:rPr>
                <w:rFonts w:cs="Times New Roman"/>
                <w:kern w:val="0"/>
                <w:sz w:val="18"/>
                <w:szCs w:val="18"/>
              </w:rPr>
              <w:t>%</w:t>
            </w:r>
            <w:r>
              <w:rPr>
                <w:rFonts w:hint="eastAsia" w:cs="Times New Roman"/>
                <w:kern w:val="0"/>
                <w:sz w:val="18"/>
                <w:szCs w:val="18"/>
              </w:rPr>
              <w:t>）</w:t>
            </w:r>
            <w:r>
              <w:rPr>
                <w:rFonts w:hint="eastAsia" w:cs="Times New Roman"/>
                <w:kern w:val="0"/>
                <w:sz w:val="18"/>
                <w:szCs w:val="18"/>
                <w:vertAlign w:val="superscript"/>
              </w:rPr>
              <w:t>3</w:t>
            </w:r>
          </w:p>
        </w:tc>
        <w:tc>
          <w:tcPr>
            <w:tcW w:w="630" w:type="pct"/>
            <w:tcBorders>
              <w:top w:val="single" w:color="auto" w:sz="4" w:space="0"/>
              <w:left w:val="single" w:color="auto" w:sz="4" w:space="0"/>
              <w:bottom w:val="single" w:color="auto" w:sz="4" w:space="0"/>
              <w:right w:val="single" w:color="auto" w:sz="4" w:space="0"/>
            </w:tcBorders>
            <w:vAlign w:val="center"/>
          </w:tcPr>
          <w:p w14:paraId="5AF31ADA">
            <w:pPr>
              <w:widowControl/>
              <w:spacing w:line="360" w:lineRule="exact"/>
              <w:ind w:firstLine="0" w:firstLineChars="0"/>
              <w:jc w:val="center"/>
              <w:rPr>
                <w:rFonts w:cs="Times New Roman"/>
                <w:kern w:val="0"/>
                <w:sz w:val="18"/>
                <w:szCs w:val="18"/>
              </w:rPr>
            </w:pPr>
            <w:r>
              <w:rPr>
                <w:rFonts w:hint="eastAsia" w:cs="Times New Roman"/>
                <w:kern w:val="0"/>
                <w:sz w:val="18"/>
                <w:szCs w:val="18"/>
              </w:rPr>
              <w:t>1336-21-</w:t>
            </w:r>
            <w:r>
              <w:rPr>
                <w:rFonts w:cs="Times New Roman"/>
                <w:kern w:val="0"/>
                <w:sz w:val="18"/>
                <w:szCs w:val="18"/>
              </w:rPr>
              <w:t>6</w:t>
            </w:r>
          </w:p>
        </w:tc>
        <w:tc>
          <w:tcPr>
            <w:tcW w:w="581" w:type="pct"/>
            <w:tcBorders>
              <w:top w:val="single" w:color="auto" w:sz="4" w:space="0"/>
              <w:left w:val="single" w:color="auto" w:sz="4" w:space="0"/>
              <w:bottom w:val="single" w:color="auto" w:sz="4" w:space="0"/>
              <w:right w:val="single" w:color="auto" w:sz="4" w:space="0"/>
            </w:tcBorders>
            <w:vAlign w:val="center"/>
          </w:tcPr>
          <w:p w14:paraId="0237DF8F">
            <w:pPr>
              <w:widowControl/>
              <w:spacing w:line="360" w:lineRule="exact"/>
              <w:ind w:firstLine="0" w:firstLineChars="0"/>
              <w:jc w:val="center"/>
              <w:rPr>
                <w:rFonts w:cs="Times New Roman"/>
                <w:kern w:val="0"/>
                <w:sz w:val="18"/>
                <w:szCs w:val="18"/>
              </w:rPr>
            </w:pPr>
            <w:r>
              <w:rPr>
                <w:rFonts w:cs="Times New Roman"/>
                <w:kern w:val="0"/>
                <w:sz w:val="18"/>
                <w:szCs w:val="18"/>
              </w:rPr>
              <w:t>6.8</w:t>
            </w:r>
          </w:p>
        </w:tc>
        <w:tc>
          <w:tcPr>
            <w:tcW w:w="545" w:type="pct"/>
            <w:tcBorders>
              <w:top w:val="single" w:color="auto" w:sz="4" w:space="0"/>
              <w:left w:val="single" w:color="auto" w:sz="4" w:space="0"/>
              <w:bottom w:val="single" w:color="auto" w:sz="4" w:space="0"/>
              <w:right w:val="single" w:color="auto" w:sz="4" w:space="0"/>
            </w:tcBorders>
            <w:vAlign w:val="center"/>
          </w:tcPr>
          <w:p w14:paraId="7706A831">
            <w:pPr>
              <w:widowControl/>
              <w:spacing w:line="360" w:lineRule="exact"/>
              <w:ind w:firstLine="0" w:firstLineChars="0"/>
              <w:jc w:val="center"/>
              <w:rPr>
                <w:rFonts w:cs="Times New Roman"/>
                <w:kern w:val="0"/>
                <w:sz w:val="18"/>
                <w:szCs w:val="18"/>
              </w:rPr>
            </w:pPr>
            <w:r>
              <w:rPr>
                <w:rFonts w:cs="Times New Roman"/>
                <w:kern w:val="0"/>
                <w:sz w:val="18"/>
                <w:szCs w:val="18"/>
              </w:rPr>
              <w:t>6.4</w:t>
            </w:r>
          </w:p>
        </w:tc>
        <w:tc>
          <w:tcPr>
            <w:tcW w:w="899" w:type="pct"/>
            <w:tcBorders>
              <w:top w:val="single" w:color="auto" w:sz="4" w:space="0"/>
              <w:left w:val="single" w:color="auto" w:sz="4" w:space="0"/>
              <w:bottom w:val="single" w:color="auto" w:sz="4" w:space="0"/>
              <w:right w:val="single" w:color="auto" w:sz="4" w:space="0"/>
            </w:tcBorders>
            <w:noWrap/>
            <w:vAlign w:val="center"/>
          </w:tcPr>
          <w:p w14:paraId="3B59FE27">
            <w:pPr>
              <w:widowControl/>
              <w:spacing w:line="360" w:lineRule="exact"/>
              <w:ind w:firstLine="0" w:firstLineChars="0"/>
              <w:jc w:val="center"/>
              <w:rPr>
                <w:rFonts w:cs="Times New Roman"/>
                <w:kern w:val="0"/>
                <w:sz w:val="18"/>
                <w:szCs w:val="18"/>
              </w:rPr>
            </w:pPr>
            <w:r>
              <w:rPr>
                <w:rFonts w:cs="Times New Roman"/>
                <w:kern w:val="0"/>
                <w:sz w:val="18"/>
                <w:szCs w:val="18"/>
              </w:rPr>
              <w:t>13.2</w:t>
            </w:r>
          </w:p>
        </w:tc>
        <w:tc>
          <w:tcPr>
            <w:tcW w:w="567" w:type="pct"/>
            <w:tcBorders>
              <w:top w:val="single" w:color="auto" w:sz="4" w:space="0"/>
              <w:left w:val="single" w:color="auto" w:sz="4" w:space="0"/>
              <w:bottom w:val="single" w:color="auto" w:sz="4" w:space="0"/>
              <w:right w:val="single" w:color="auto" w:sz="4" w:space="0"/>
            </w:tcBorders>
            <w:vAlign w:val="center"/>
          </w:tcPr>
          <w:p w14:paraId="0677F9A9">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vAlign w:val="center"/>
          </w:tcPr>
          <w:p w14:paraId="43B1738E">
            <w:pPr>
              <w:widowControl/>
              <w:spacing w:line="360" w:lineRule="exact"/>
              <w:ind w:firstLine="0" w:firstLineChars="0"/>
              <w:jc w:val="center"/>
              <w:rPr>
                <w:rFonts w:cs="Times New Roman"/>
                <w:kern w:val="0"/>
                <w:sz w:val="18"/>
                <w:szCs w:val="18"/>
              </w:rPr>
            </w:pPr>
            <w:r>
              <w:rPr>
                <w:rFonts w:cs="Times New Roman"/>
                <w:kern w:val="0"/>
                <w:sz w:val="18"/>
                <w:szCs w:val="18"/>
              </w:rPr>
              <w:t>3.5</w:t>
            </w:r>
          </w:p>
        </w:tc>
      </w:tr>
      <w:tr w14:paraId="4C5A5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7A7B8819">
            <w:pPr>
              <w:widowControl/>
              <w:spacing w:line="360" w:lineRule="exact"/>
              <w:ind w:firstLine="0" w:firstLineChars="0"/>
              <w:jc w:val="center"/>
              <w:rPr>
                <w:rFonts w:cs="Times New Roman"/>
                <w:kern w:val="0"/>
                <w:sz w:val="18"/>
                <w:szCs w:val="18"/>
              </w:rPr>
            </w:pPr>
            <w:r>
              <w:rPr>
                <w:rFonts w:hint="eastAsia" w:cs="Times New Roman"/>
                <w:kern w:val="0"/>
                <w:sz w:val="18"/>
                <w:szCs w:val="18"/>
              </w:rPr>
              <w:t>3</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70211872">
            <w:pPr>
              <w:pStyle w:val="445"/>
              <w:rPr>
                <w:rFonts w:cs="Times New Roman"/>
                <w:kern w:val="0"/>
                <w:szCs w:val="20"/>
                <w:vertAlign w:val="superscript"/>
              </w:rPr>
            </w:pPr>
            <w:r>
              <w:rPr>
                <w:rFonts w:hint="eastAsia" w:cs="Times New Roman"/>
                <w:kern w:val="0"/>
                <w:szCs w:val="20"/>
              </w:rPr>
              <w:t>烯丙基缩水甘油醚</w:t>
            </w:r>
            <w:r>
              <w:rPr>
                <w:rFonts w:cs="Times New Roman"/>
                <w:kern w:val="0"/>
                <w:szCs w:val="20"/>
                <w:vertAlign w:val="superscript"/>
              </w:rPr>
              <w:t>1</w:t>
            </w:r>
          </w:p>
        </w:tc>
        <w:tc>
          <w:tcPr>
            <w:tcW w:w="630" w:type="pct"/>
            <w:tcBorders>
              <w:top w:val="single" w:color="auto" w:sz="4" w:space="0"/>
              <w:left w:val="single" w:color="auto" w:sz="4" w:space="0"/>
              <w:bottom w:val="single" w:color="auto" w:sz="4" w:space="0"/>
              <w:right w:val="single" w:color="auto" w:sz="4" w:space="0"/>
            </w:tcBorders>
            <w:vAlign w:val="center"/>
          </w:tcPr>
          <w:p w14:paraId="40B3C6E0">
            <w:pPr>
              <w:widowControl/>
              <w:spacing w:line="360" w:lineRule="exact"/>
              <w:ind w:firstLine="0" w:firstLineChars="0"/>
              <w:jc w:val="center"/>
              <w:rPr>
                <w:rFonts w:cs="Times New Roman"/>
                <w:kern w:val="0"/>
                <w:sz w:val="18"/>
                <w:szCs w:val="18"/>
              </w:rPr>
            </w:pPr>
            <w:r>
              <w:rPr>
                <w:rFonts w:hint="eastAsia" w:cs="Times New Roman"/>
                <w:kern w:val="0"/>
                <w:sz w:val="18"/>
                <w:szCs w:val="18"/>
              </w:rPr>
              <w:t>106-92-3</w:t>
            </w:r>
          </w:p>
        </w:tc>
        <w:tc>
          <w:tcPr>
            <w:tcW w:w="581" w:type="pct"/>
            <w:tcBorders>
              <w:top w:val="single" w:color="auto" w:sz="4" w:space="0"/>
              <w:left w:val="single" w:color="auto" w:sz="4" w:space="0"/>
              <w:bottom w:val="single" w:color="auto" w:sz="4" w:space="0"/>
              <w:right w:val="single" w:color="auto" w:sz="4" w:space="0"/>
            </w:tcBorders>
            <w:vAlign w:val="center"/>
          </w:tcPr>
          <w:p w14:paraId="65EA3B45">
            <w:pPr>
              <w:widowControl/>
              <w:spacing w:line="360" w:lineRule="exact"/>
              <w:ind w:firstLine="0" w:firstLineChars="0"/>
              <w:jc w:val="center"/>
              <w:rPr>
                <w:rFonts w:cs="Times New Roman"/>
                <w:kern w:val="0"/>
                <w:sz w:val="18"/>
                <w:szCs w:val="18"/>
              </w:rPr>
            </w:pPr>
            <w:r>
              <w:rPr>
                <w:rFonts w:cs="Times New Roman"/>
                <w:kern w:val="0"/>
                <w:sz w:val="18"/>
                <w:szCs w:val="18"/>
              </w:rPr>
              <w:t>68.5</w:t>
            </w:r>
          </w:p>
        </w:tc>
        <w:tc>
          <w:tcPr>
            <w:tcW w:w="545" w:type="pct"/>
            <w:tcBorders>
              <w:top w:val="single" w:color="auto" w:sz="4" w:space="0"/>
              <w:left w:val="single" w:color="auto" w:sz="4" w:space="0"/>
              <w:bottom w:val="single" w:color="auto" w:sz="4" w:space="0"/>
              <w:right w:val="single" w:color="auto" w:sz="4" w:space="0"/>
            </w:tcBorders>
            <w:vAlign w:val="center"/>
          </w:tcPr>
          <w:p w14:paraId="2AEE4D1E">
            <w:pPr>
              <w:widowControl/>
              <w:spacing w:line="360" w:lineRule="exact"/>
              <w:ind w:firstLine="0" w:firstLineChars="0"/>
              <w:jc w:val="center"/>
              <w:rPr>
                <w:rFonts w:cs="Times New Roman"/>
                <w:kern w:val="0"/>
                <w:sz w:val="18"/>
                <w:szCs w:val="18"/>
              </w:rPr>
            </w:pPr>
            <w:r>
              <w:rPr>
                <w:rFonts w:cs="Times New Roman"/>
                <w:kern w:val="0"/>
                <w:sz w:val="18"/>
                <w:szCs w:val="18"/>
              </w:rPr>
              <w:t>8</w:t>
            </w:r>
          </w:p>
        </w:tc>
        <w:tc>
          <w:tcPr>
            <w:tcW w:w="899" w:type="pct"/>
            <w:tcBorders>
              <w:top w:val="single" w:color="auto" w:sz="4" w:space="0"/>
              <w:left w:val="single" w:color="auto" w:sz="4" w:space="0"/>
              <w:bottom w:val="single" w:color="auto" w:sz="4" w:space="0"/>
              <w:right w:val="single" w:color="auto" w:sz="4" w:space="0"/>
            </w:tcBorders>
            <w:noWrap/>
            <w:vAlign w:val="center"/>
          </w:tcPr>
          <w:p w14:paraId="4BE143C9">
            <w:pPr>
              <w:widowControl/>
              <w:spacing w:line="360" w:lineRule="exact"/>
              <w:ind w:firstLine="0" w:firstLineChars="0"/>
              <w:jc w:val="center"/>
              <w:rPr>
                <w:rFonts w:cs="Times New Roman"/>
                <w:kern w:val="0"/>
                <w:sz w:val="18"/>
                <w:szCs w:val="18"/>
              </w:rPr>
            </w:pPr>
            <w:r>
              <w:rPr>
                <w:rFonts w:hint="eastAsia" w:cs="Times New Roman"/>
                <w:kern w:val="0"/>
                <w:sz w:val="18"/>
                <w:szCs w:val="18"/>
              </w:rPr>
              <w:t>60</w:t>
            </w:r>
            <w:r>
              <w:rPr>
                <w:rFonts w:cs="Times New Roman"/>
                <w:kern w:val="0"/>
                <w:sz w:val="18"/>
                <w:szCs w:val="18"/>
              </w:rPr>
              <w:t>.2</w:t>
            </w:r>
          </w:p>
        </w:tc>
        <w:tc>
          <w:tcPr>
            <w:tcW w:w="567" w:type="pct"/>
            <w:tcBorders>
              <w:top w:val="single" w:color="auto" w:sz="4" w:space="0"/>
              <w:left w:val="single" w:color="auto" w:sz="4" w:space="0"/>
              <w:bottom w:val="single" w:color="auto" w:sz="4" w:space="0"/>
              <w:right w:val="single" w:color="auto" w:sz="4" w:space="0"/>
            </w:tcBorders>
            <w:vAlign w:val="center"/>
          </w:tcPr>
          <w:p w14:paraId="1BF249A4">
            <w:pPr>
              <w:widowControl/>
              <w:spacing w:line="360" w:lineRule="exact"/>
              <w:ind w:firstLine="0" w:firstLineChars="0"/>
              <w:jc w:val="center"/>
              <w:rPr>
                <w:rFonts w:cs="Times New Roman"/>
                <w:kern w:val="0"/>
                <w:sz w:val="18"/>
                <w:szCs w:val="18"/>
              </w:rPr>
            </w:pPr>
            <w:r>
              <w:rPr>
                <w:rFonts w:cs="Times New Roman"/>
                <w:kern w:val="0"/>
                <w:sz w:val="18"/>
                <w:szCs w:val="18"/>
              </w:rPr>
              <w:t>50</w:t>
            </w:r>
          </w:p>
        </w:tc>
        <w:tc>
          <w:tcPr>
            <w:tcW w:w="444" w:type="pct"/>
            <w:tcBorders>
              <w:top w:val="single" w:color="auto" w:sz="4" w:space="0"/>
              <w:left w:val="single" w:color="auto" w:sz="4" w:space="0"/>
              <w:bottom w:val="single" w:color="auto" w:sz="4" w:space="0"/>
              <w:right w:val="nil"/>
            </w:tcBorders>
            <w:vAlign w:val="center"/>
          </w:tcPr>
          <w:p w14:paraId="38FFE754">
            <w:pPr>
              <w:widowControl/>
              <w:spacing w:line="360" w:lineRule="exact"/>
              <w:ind w:firstLine="0" w:firstLineChars="0"/>
              <w:jc w:val="center"/>
              <w:rPr>
                <w:rFonts w:cs="Times New Roman"/>
                <w:kern w:val="0"/>
                <w:sz w:val="18"/>
                <w:szCs w:val="18"/>
              </w:rPr>
            </w:pPr>
            <w:r>
              <w:rPr>
                <w:rFonts w:cs="Times New Roman"/>
                <w:kern w:val="0"/>
                <w:sz w:val="18"/>
                <w:szCs w:val="18"/>
              </w:rPr>
              <w:t>1.53</w:t>
            </w:r>
          </w:p>
        </w:tc>
      </w:tr>
      <w:tr w14:paraId="620AA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40E2AA11">
            <w:pPr>
              <w:widowControl/>
              <w:spacing w:line="360" w:lineRule="exact"/>
              <w:ind w:firstLine="0" w:firstLineChars="0"/>
              <w:jc w:val="center"/>
              <w:rPr>
                <w:rFonts w:cs="Times New Roman"/>
                <w:kern w:val="0"/>
                <w:sz w:val="18"/>
                <w:szCs w:val="18"/>
              </w:rPr>
            </w:pPr>
            <w:r>
              <w:rPr>
                <w:rFonts w:hint="eastAsia" w:cs="Times New Roman"/>
                <w:kern w:val="0"/>
                <w:sz w:val="18"/>
                <w:szCs w:val="18"/>
              </w:rPr>
              <w:t>4</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52A331AE">
            <w:pPr>
              <w:widowControl/>
              <w:spacing w:line="360" w:lineRule="exact"/>
              <w:ind w:firstLine="0" w:firstLineChars="0"/>
              <w:jc w:val="center"/>
              <w:rPr>
                <w:rFonts w:cs="Times New Roman"/>
                <w:kern w:val="0"/>
                <w:sz w:val="18"/>
                <w:szCs w:val="18"/>
              </w:rPr>
            </w:pPr>
            <w:r>
              <w:rPr>
                <w:rFonts w:hint="eastAsia" w:cs="Times New Roman"/>
                <w:kern w:val="0"/>
                <w:sz w:val="18"/>
                <w:szCs w:val="18"/>
              </w:rPr>
              <w:t>盐酸（折</w:t>
            </w:r>
            <w:r>
              <w:rPr>
                <w:rFonts w:cs="Times New Roman"/>
                <w:kern w:val="0"/>
                <w:sz w:val="18"/>
                <w:szCs w:val="18"/>
              </w:rPr>
              <w:t>成</w:t>
            </w:r>
            <w:r>
              <w:rPr>
                <w:rFonts w:hint="eastAsia" w:cs="Times New Roman"/>
                <w:kern w:val="0"/>
                <w:sz w:val="18"/>
                <w:szCs w:val="18"/>
              </w:rPr>
              <w:t>37</w:t>
            </w:r>
            <w:r>
              <w:rPr>
                <w:rFonts w:cs="Times New Roman"/>
                <w:kern w:val="0"/>
                <w:sz w:val="18"/>
                <w:szCs w:val="18"/>
              </w:rPr>
              <w:t>%</w:t>
            </w:r>
            <w:r>
              <w:rPr>
                <w:rFonts w:hint="eastAsia" w:cs="Times New Roman"/>
                <w:kern w:val="0"/>
                <w:sz w:val="18"/>
                <w:szCs w:val="18"/>
              </w:rPr>
              <w:t>）</w:t>
            </w:r>
          </w:p>
        </w:tc>
        <w:tc>
          <w:tcPr>
            <w:tcW w:w="630" w:type="pct"/>
            <w:tcBorders>
              <w:top w:val="single" w:color="auto" w:sz="4" w:space="0"/>
              <w:left w:val="single" w:color="auto" w:sz="4" w:space="0"/>
              <w:bottom w:val="single" w:color="auto" w:sz="4" w:space="0"/>
              <w:right w:val="single" w:color="auto" w:sz="4" w:space="0"/>
            </w:tcBorders>
            <w:vAlign w:val="center"/>
          </w:tcPr>
          <w:p w14:paraId="59B5C271">
            <w:pPr>
              <w:widowControl/>
              <w:spacing w:line="360" w:lineRule="exact"/>
              <w:ind w:firstLine="0" w:firstLineChars="0"/>
              <w:jc w:val="center"/>
              <w:rPr>
                <w:rFonts w:cs="Times New Roman"/>
                <w:kern w:val="0"/>
                <w:sz w:val="18"/>
                <w:szCs w:val="18"/>
              </w:rPr>
            </w:pPr>
            <w:r>
              <w:rPr>
                <w:rFonts w:hint="eastAsia" w:cs="Times New Roman"/>
                <w:kern w:val="0"/>
                <w:sz w:val="18"/>
                <w:szCs w:val="18"/>
              </w:rPr>
              <w:t>7647-01-0</w:t>
            </w:r>
          </w:p>
        </w:tc>
        <w:tc>
          <w:tcPr>
            <w:tcW w:w="581" w:type="pct"/>
            <w:tcBorders>
              <w:top w:val="single" w:color="auto" w:sz="4" w:space="0"/>
              <w:left w:val="single" w:color="auto" w:sz="4" w:space="0"/>
              <w:bottom w:val="single" w:color="auto" w:sz="4" w:space="0"/>
              <w:right w:val="single" w:color="auto" w:sz="4" w:space="0"/>
            </w:tcBorders>
            <w:vAlign w:val="center"/>
          </w:tcPr>
          <w:p w14:paraId="5E949206">
            <w:pPr>
              <w:widowControl/>
              <w:spacing w:line="360" w:lineRule="exact"/>
              <w:ind w:firstLine="0" w:firstLineChars="0"/>
              <w:jc w:val="center"/>
              <w:rPr>
                <w:rFonts w:cs="Times New Roman"/>
                <w:kern w:val="0"/>
                <w:sz w:val="18"/>
                <w:szCs w:val="18"/>
              </w:rPr>
            </w:pPr>
            <w:r>
              <w:rPr>
                <w:rFonts w:cs="Times New Roman"/>
                <w:kern w:val="0"/>
                <w:sz w:val="18"/>
                <w:szCs w:val="18"/>
              </w:rPr>
              <w:t>6.6</w:t>
            </w:r>
          </w:p>
        </w:tc>
        <w:tc>
          <w:tcPr>
            <w:tcW w:w="545" w:type="pct"/>
            <w:tcBorders>
              <w:top w:val="single" w:color="auto" w:sz="4" w:space="0"/>
              <w:left w:val="single" w:color="auto" w:sz="4" w:space="0"/>
              <w:bottom w:val="single" w:color="auto" w:sz="4" w:space="0"/>
              <w:right w:val="single" w:color="auto" w:sz="4" w:space="0"/>
            </w:tcBorders>
            <w:vAlign w:val="center"/>
          </w:tcPr>
          <w:p w14:paraId="1796D292">
            <w:pPr>
              <w:widowControl/>
              <w:spacing w:line="360" w:lineRule="exact"/>
              <w:ind w:firstLine="0" w:firstLineChars="0"/>
              <w:jc w:val="center"/>
              <w:rPr>
                <w:rFonts w:cs="Times New Roman"/>
                <w:kern w:val="0"/>
                <w:sz w:val="18"/>
                <w:szCs w:val="18"/>
              </w:rPr>
            </w:pPr>
            <w:r>
              <w:rPr>
                <w:rFonts w:cs="Times New Roman"/>
                <w:kern w:val="0"/>
                <w:sz w:val="18"/>
                <w:szCs w:val="18"/>
              </w:rPr>
              <w:t>3.96</w:t>
            </w:r>
          </w:p>
        </w:tc>
        <w:tc>
          <w:tcPr>
            <w:tcW w:w="899" w:type="pct"/>
            <w:tcBorders>
              <w:top w:val="single" w:color="auto" w:sz="4" w:space="0"/>
              <w:left w:val="single" w:color="auto" w:sz="4" w:space="0"/>
              <w:bottom w:val="single" w:color="auto" w:sz="4" w:space="0"/>
              <w:right w:val="single" w:color="auto" w:sz="4" w:space="0"/>
            </w:tcBorders>
            <w:noWrap/>
            <w:vAlign w:val="center"/>
          </w:tcPr>
          <w:p w14:paraId="2CF147E9">
            <w:pPr>
              <w:widowControl/>
              <w:spacing w:line="360" w:lineRule="exact"/>
              <w:ind w:firstLine="0" w:firstLineChars="0"/>
              <w:jc w:val="center"/>
              <w:rPr>
                <w:rFonts w:cs="Times New Roman"/>
                <w:kern w:val="0"/>
                <w:sz w:val="18"/>
                <w:szCs w:val="18"/>
              </w:rPr>
            </w:pPr>
            <w:r>
              <w:rPr>
                <w:rFonts w:cs="Times New Roman"/>
                <w:kern w:val="0"/>
                <w:sz w:val="18"/>
                <w:szCs w:val="18"/>
              </w:rPr>
              <w:t>10.56</w:t>
            </w:r>
          </w:p>
        </w:tc>
        <w:tc>
          <w:tcPr>
            <w:tcW w:w="567" w:type="pct"/>
            <w:tcBorders>
              <w:top w:val="single" w:color="auto" w:sz="4" w:space="0"/>
              <w:left w:val="single" w:color="auto" w:sz="4" w:space="0"/>
              <w:bottom w:val="single" w:color="auto" w:sz="4" w:space="0"/>
              <w:right w:val="single" w:color="auto" w:sz="4" w:space="0"/>
            </w:tcBorders>
            <w:vAlign w:val="center"/>
          </w:tcPr>
          <w:p w14:paraId="3F608DD6">
            <w:pPr>
              <w:widowControl/>
              <w:spacing w:line="360" w:lineRule="exact"/>
              <w:ind w:firstLine="0" w:firstLineChars="0"/>
              <w:jc w:val="center"/>
              <w:rPr>
                <w:rFonts w:cs="Times New Roman"/>
                <w:kern w:val="0"/>
                <w:sz w:val="18"/>
                <w:szCs w:val="18"/>
              </w:rPr>
            </w:pPr>
            <w:r>
              <w:rPr>
                <w:rFonts w:hint="eastAsia" w:cs="Times New Roman"/>
                <w:kern w:val="0"/>
                <w:sz w:val="18"/>
                <w:szCs w:val="18"/>
              </w:rPr>
              <w:t>7.5</w:t>
            </w:r>
          </w:p>
        </w:tc>
        <w:tc>
          <w:tcPr>
            <w:tcW w:w="444" w:type="pct"/>
            <w:tcBorders>
              <w:top w:val="single" w:color="auto" w:sz="4" w:space="0"/>
              <w:left w:val="single" w:color="auto" w:sz="4" w:space="0"/>
              <w:bottom w:val="single" w:color="auto" w:sz="4" w:space="0"/>
              <w:right w:val="nil"/>
            </w:tcBorders>
            <w:vAlign w:val="center"/>
          </w:tcPr>
          <w:p w14:paraId="762E1C90">
            <w:pPr>
              <w:widowControl/>
              <w:spacing w:line="360" w:lineRule="exact"/>
              <w:ind w:firstLine="0" w:firstLineChars="0"/>
              <w:jc w:val="center"/>
              <w:rPr>
                <w:rFonts w:cs="Times New Roman"/>
                <w:kern w:val="0"/>
                <w:sz w:val="18"/>
                <w:szCs w:val="18"/>
              </w:rPr>
            </w:pPr>
            <w:r>
              <w:rPr>
                <w:rFonts w:cs="Times New Roman"/>
                <w:kern w:val="0"/>
                <w:sz w:val="18"/>
                <w:szCs w:val="18"/>
              </w:rPr>
              <w:t>1.41</w:t>
            </w:r>
          </w:p>
        </w:tc>
      </w:tr>
      <w:tr w14:paraId="42478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4DCE04A3">
            <w:pPr>
              <w:widowControl/>
              <w:spacing w:line="360" w:lineRule="exact"/>
              <w:ind w:firstLine="0" w:firstLineChars="0"/>
              <w:jc w:val="center"/>
              <w:rPr>
                <w:rFonts w:cs="Times New Roman"/>
                <w:kern w:val="0"/>
                <w:sz w:val="18"/>
                <w:szCs w:val="18"/>
              </w:rPr>
            </w:pPr>
            <w:r>
              <w:rPr>
                <w:rFonts w:hint="eastAsia" w:cs="Times New Roman"/>
                <w:kern w:val="0"/>
                <w:sz w:val="18"/>
                <w:szCs w:val="18"/>
              </w:rPr>
              <w:t>5</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7394B4AF">
            <w:pPr>
              <w:widowControl/>
              <w:spacing w:line="360" w:lineRule="exact"/>
              <w:ind w:firstLine="0" w:firstLineChars="0"/>
              <w:jc w:val="center"/>
              <w:rPr>
                <w:rFonts w:cs="Times New Roman"/>
                <w:kern w:val="0"/>
                <w:sz w:val="18"/>
                <w:szCs w:val="18"/>
              </w:rPr>
            </w:pPr>
            <w:r>
              <w:rPr>
                <w:rFonts w:hint="eastAsia" w:cs="Times New Roman"/>
                <w:kern w:val="0"/>
                <w:sz w:val="18"/>
                <w:szCs w:val="18"/>
              </w:rPr>
              <w:t>氢氟酸（折纯）</w:t>
            </w:r>
          </w:p>
        </w:tc>
        <w:tc>
          <w:tcPr>
            <w:tcW w:w="630" w:type="pct"/>
            <w:tcBorders>
              <w:top w:val="single" w:color="auto" w:sz="4" w:space="0"/>
              <w:left w:val="single" w:color="auto" w:sz="4" w:space="0"/>
              <w:bottom w:val="single" w:color="auto" w:sz="4" w:space="0"/>
              <w:right w:val="single" w:color="auto" w:sz="4" w:space="0"/>
            </w:tcBorders>
            <w:vAlign w:val="center"/>
          </w:tcPr>
          <w:p w14:paraId="2AE484C1">
            <w:pPr>
              <w:widowControl/>
              <w:spacing w:line="360" w:lineRule="exact"/>
              <w:ind w:firstLine="0" w:firstLineChars="0"/>
              <w:jc w:val="center"/>
              <w:rPr>
                <w:rFonts w:cs="Times New Roman"/>
                <w:kern w:val="0"/>
                <w:sz w:val="18"/>
                <w:szCs w:val="18"/>
              </w:rPr>
            </w:pPr>
            <w:r>
              <w:rPr>
                <w:rFonts w:hint="eastAsia" w:cs="Times New Roman"/>
                <w:kern w:val="0"/>
                <w:sz w:val="18"/>
                <w:szCs w:val="18"/>
              </w:rPr>
              <w:t>7664-39-3</w:t>
            </w:r>
          </w:p>
        </w:tc>
        <w:tc>
          <w:tcPr>
            <w:tcW w:w="581" w:type="pct"/>
            <w:tcBorders>
              <w:top w:val="single" w:color="auto" w:sz="4" w:space="0"/>
              <w:left w:val="single" w:color="auto" w:sz="4" w:space="0"/>
              <w:bottom w:val="single" w:color="auto" w:sz="4" w:space="0"/>
              <w:right w:val="single" w:color="auto" w:sz="4" w:space="0"/>
            </w:tcBorders>
            <w:vAlign w:val="center"/>
          </w:tcPr>
          <w:p w14:paraId="5DBFE82A">
            <w:pPr>
              <w:widowControl/>
              <w:spacing w:line="360" w:lineRule="exact"/>
              <w:ind w:firstLine="0" w:firstLineChars="0"/>
              <w:jc w:val="center"/>
              <w:rPr>
                <w:rFonts w:cs="Times New Roman"/>
                <w:kern w:val="0"/>
                <w:sz w:val="18"/>
                <w:szCs w:val="18"/>
              </w:rPr>
            </w:pPr>
            <w:r>
              <w:rPr>
                <w:rFonts w:cs="Times New Roman"/>
                <w:kern w:val="0"/>
                <w:sz w:val="18"/>
                <w:szCs w:val="18"/>
              </w:rPr>
              <w:t>12</w:t>
            </w:r>
          </w:p>
        </w:tc>
        <w:tc>
          <w:tcPr>
            <w:tcW w:w="545" w:type="pct"/>
            <w:tcBorders>
              <w:top w:val="single" w:color="auto" w:sz="4" w:space="0"/>
              <w:left w:val="single" w:color="auto" w:sz="4" w:space="0"/>
              <w:bottom w:val="single" w:color="auto" w:sz="4" w:space="0"/>
              <w:right w:val="single" w:color="auto" w:sz="4" w:space="0"/>
            </w:tcBorders>
            <w:vAlign w:val="center"/>
          </w:tcPr>
          <w:p w14:paraId="2889F82F">
            <w:pPr>
              <w:widowControl/>
              <w:spacing w:line="360" w:lineRule="exact"/>
              <w:ind w:firstLine="0" w:firstLineChars="0"/>
              <w:jc w:val="center"/>
              <w:rPr>
                <w:rFonts w:cs="Times New Roman"/>
                <w:kern w:val="0"/>
                <w:sz w:val="18"/>
                <w:szCs w:val="18"/>
              </w:rPr>
            </w:pPr>
            <w:r>
              <w:rPr>
                <w:rFonts w:cs="Times New Roman"/>
                <w:kern w:val="0"/>
                <w:sz w:val="18"/>
                <w:szCs w:val="18"/>
              </w:rPr>
              <w:t>7.2</w:t>
            </w:r>
          </w:p>
        </w:tc>
        <w:tc>
          <w:tcPr>
            <w:tcW w:w="899" w:type="pct"/>
            <w:tcBorders>
              <w:top w:val="single" w:color="auto" w:sz="4" w:space="0"/>
              <w:left w:val="single" w:color="auto" w:sz="4" w:space="0"/>
              <w:bottom w:val="single" w:color="auto" w:sz="4" w:space="0"/>
              <w:right w:val="single" w:color="auto" w:sz="4" w:space="0"/>
            </w:tcBorders>
            <w:noWrap/>
            <w:vAlign w:val="center"/>
          </w:tcPr>
          <w:p w14:paraId="1BC5983D">
            <w:pPr>
              <w:widowControl/>
              <w:spacing w:line="360" w:lineRule="exact"/>
              <w:ind w:firstLine="0" w:firstLineChars="0"/>
              <w:jc w:val="center"/>
              <w:rPr>
                <w:rFonts w:cs="Times New Roman"/>
                <w:kern w:val="0"/>
                <w:sz w:val="18"/>
                <w:szCs w:val="18"/>
              </w:rPr>
            </w:pPr>
            <w:r>
              <w:rPr>
                <w:rFonts w:cs="Times New Roman"/>
                <w:kern w:val="0"/>
                <w:sz w:val="18"/>
                <w:szCs w:val="18"/>
              </w:rPr>
              <w:t>19.2</w:t>
            </w:r>
          </w:p>
        </w:tc>
        <w:tc>
          <w:tcPr>
            <w:tcW w:w="567" w:type="pct"/>
            <w:tcBorders>
              <w:top w:val="single" w:color="auto" w:sz="4" w:space="0"/>
              <w:left w:val="single" w:color="auto" w:sz="4" w:space="0"/>
              <w:bottom w:val="single" w:color="auto" w:sz="4" w:space="0"/>
              <w:right w:val="single" w:color="auto" w:sz="4" w:space="0"/>
            </w:tcBorders>
            <w:vAlign w:val="center"/>
          </w:tcPr>
          <w:p w14:paraId="066E1183">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p>
        </w:tc>
        <w:tc>
          <w:tcPr>
            <w:tcW w:w="444" w:type="pct"/>
            <w:tcBorders>
              <w:top w:val="single" w:color="auto" w:sz="4" w:space="0"/>
              <w:left w:val="single" w:color="auto" w:sz="4" w:space="0"/>
              <w:bottom w:val="single" w:color="auto" w:sz="4" w:space="0"/>
              <w:right w:val="nil"/>
            </w:tcBorders>
            <w:vAlign w:val="center"/>
          </w:tcPr>
          <w:p w14:paraId="47A28EA7">
            <w:pPr>
              <w:widowControl/>
              <w:spacing w:line="360" w:lineRule="exact"/>
              <w:ind w:firstLine="0" w:firstLineChars="0"/>
              <w:jc w:val="center"/>
              <w:rPr>
                <w:rFonts w:cs="Times New Roman"/>
                <w:kern w:val="0"/>
                <w:sz w:val="18"/>
                <w:szCs w:val="18"/>
              </w:rPr>
            </w:pPr>
            <w:r>
              <w:rPr>
                <w:rFonts w:cs="Times New Roman"/>
                <w:kern w:val="0"/>
                <w:sz w:val="18"/>
                <w:szCs w:val="18"/>
              </w:rPr>
              <w:t>19.2</w:t>
            </w:r>
          </w:p>
        </w:tc>
      </w:tr>
      <w:tr w14:paraId="72D9D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15FC468F">
            <w:pPr>
              <w:widowControl/>
              <w:spacing w:line="360" w:lineRule="exact"/>
              <w:ind w:firstLine="0" w:firstLineChars="0"/>
              <w:jc w:val="center"/>
              <w:rPr>
                <w:rFonts w:cs="Times New Roman"/>
                <w:kern w:val="0"/>
                <w:sz w:val="18"/>
                <w:szCs w:val="18"/>
              </w:rPr>
            </w:pPr>
            <w:r>
              <w:rPr>
                <w:rFonts w:hint="eastAsia" w:cs="Times New Roman"/>
                <w:kern w:val="0"/>
                <w:sz w:val="18"/>
                <w:szCs w:val="18"/>
              </w:rPr>
              <w:t>6</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0A2B9652">
            <w:pPr>
              <w:widowControl/>
              <w:spacing w:line="360" w:lineRule="exact"/>
              <w:ind w:firstLine="0" w:firstLineChars="0"/>
              <w:jc w:val="center"/>
              <w:rPr>
                <w:rFonts w:cs="Times New Roman"/>
                <w:kern w:val="0"/>
                <w:sz w:val="18"/>
                <w:szCs w:val="18"/>
              </w:rPr>
            </w:pPr>
            <w:r>
              <w:rPr>
                <w:rFonts w:hint="eastAsia" w:cs="Times New Roman"/>
                <w:kern w:val="0"/>
                <w:sz w:val="18"/>
                <w:szCs w:val="18"/>
              </w:rPr>
              <w:t>天然气（折成</w:t>
            </w:r>
            <w:r>
              <w:rPr>
                <w:rFonts w:cs="Times New Roman"/>
                <w:kern w:val="0"/>
                <w:sz w:val="18"/>
                <w:szCs w:val="18"/>
              </w:rPr>
              <w:t>甲烷</w:t>
            </w:r>
            <w:r>
              <w:rPr>
                <w:rFonts w:hint="eastAsia" w:cs="Times New Roman"/>
                <w:kern w:val="0"/>
                <w:sz w:val="18"/>
                <w:szCs w:val="18"/>
              </w:rPr>
              <w:t>）</w:t>
            </w:r>
          </w:p>
        </w:tc>
        <w:tc>
          <w:tcPr>
            <w:tcW w:w="630" w:type="pct"/>
            <w:tcBorders>
              <w:top w:val="single" w:color="auto" w:sz="4" w:space="0"/>
              <w:left w:val="single" w:color="auto" w:sz="4" w:space="0"/>
              <w:bottom w:val="single" w:color="auto" w:sz="4" w:space="0"/>
              <w:right w:val="single" w:color="auto" w:sz="4" w:space="0"/>
            </w:tcBorders>
            <w:vAlign w:val="center"/>
          </w:tcPr>
          <w:p w14:paraId="45328E5F">
            <w:pPr>
              <w:widowControl/>
              <w:spacing w:line="360" w:lineRule="exact"/>
              <w:ind w:firstLine="0" w:firstLineChars="0"/>
              <w:jc w:val="center"/>
              <w:rPr>
                <w:rFonts w:cs="Times New Roman"/>
                <w:kern w:val="0"/>
                <w:sz w:val="18"/>
                <w:szCs w:val="18"/>
              </w:rPr>
            </w:pPr>
            <w:r>
              <w:rPr>
                <w:rFonts w:hint="eastAsia" w:cs="Times New Roman"/>
                <w:kern w:val="0"/>
                <w:sz w:val="18"/>
                <w:szCs w:val="20"/>
              </w:rPr>
              <w:t>74</w:t>
            </w:r>
            <w:r>
              <w:rPr>
                <w:rFonts w:cs="Times New Roman"/>
                <w:kern w:val="0"/>
                <w:sz w:val="18"/>
                <w:szCs w:val="20"/>
              </w:rPr>
              <w:t>-82-8</w:t>
            </w:r>
          </w:p>
        </w:tc>
        <w:tc>
          <w:tcPr>
            <w:tcW w:w="581" w:type="pct"/>
            <w:tcBorders>
              <w:top w:val="single" w:color="auto" w:sz="4" w:space="0"/>
              <w:left w:val="single" w:color="auto" w:sz="4" w:space="0"/>
              <w:bottom w:val="single" w:color="auto" w:sz="4" w:space="0"/>
              <w:right w:val="single" w:color="auto" w:sz="4" w:space="0"/>
            </w:tcBorders>
            <w:vAlign w:val="center"/>
          </w:tcPr>
          <w:p w14:paraId="2A7B09A0">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vAlign w:val="center"/>
          </w:tcPr>
          <w:p w14:paraId="19384206">
            <w:pPr>
              <w:widowControl/>
              <w:spacing w:line="360" w:lineRule="exact"/>
              <w:ind w:firstLine="0" w:firstLineChars="0"/>
              <w:jc w:val="center"/>
              <w:rPr>
                <w:rFonts w:cs="Times New Roman"/>
                <w:kern w:val="0"/>
                <w:sz w:val="18"/>
                <w:szCs w:val="18"/>
              </w:rPr>
            </w:pPr>
            <w:r>
              <w:rPr>
                <w:rFonts w:hint="eastAsia" w:cs="Times New Roman"/>
                <w:kern w:val="0"/>
                <w:sz w:val="18"/>
                <w:szCs w:val="18"/>
              </w:rPr>
              <w:t>0</w:t>
            </w:r>
            <w:r>
              <w:rPr>
                <w:rFonts w:cs="Times New Roman"/>
                <w:kern w:val="0"/>
                <w:sz w:val="18"/>
                <w:szCs w:val="18"/>
              </w:rPr>
              <w:t>.2</w:t>
            </w:r>
          </w:p>
        </w:tc>
        <w:tc>
          <w:tcPr>
            <w:tcW w:w="899" w:type="pct"/>
            <w:tcBorders>
              <w:top w:val="single" w:color="auto" w:sz="4" w:space="0"/>
              <w:left w:val="single" w:color="auto" w:sz="4" w:space="0"/>
              <w:bottom w:val="single" w:color="auto" w:sz="4" w:space="0"/>
              <w:right w:val="single" w:color="auto" w:sz="4" w:space="0"/>
            </w:tcBorders>
            <w:noWrap/>
            <w:vAlign w:val="center"/>
          </w:tcPr>
          <w:p w14:paraId="3F8CB066">
            <w:pPr>
              <w:widowControl/>
              <w:spacing w:line="360" w:lineRule="exact"/>
              <w:ind w:firstLine="0" w:firstLineChars="0"/>
              <w:jc w:val="center"/>
              <w:rPr>
                <w:rFonts w:cs="Times New Roman"/>
                <w:kern w:val="0"/>
                <w:sz w:val="18"/>
                <w:szCs w:val="18"/>
              </w:rPr>
            </w:pPr>
            <w:r>
              <w:rPr>
                <w:rFonts w:cs="Times New Roman"/>
                <w:kern w:val="0"/>
                <w:sz w:val="18"/>
                <w:szCs w:val="18"/>
              </w:rPr>
              <w:t>0.2</w:t>
            </w:r>
          </w:p>
        </w:tc>
        <w:tc>
          <w:tcPr>
            <w:tcW w:w="567" w:type="pct"/>
            <w:tcBorders>
              <w:top w:val="single" w:color="auto" w:sz="4" w:space="0"/>
              <w:left w:val="single" w:color="auto" w:sz="4" w:space="0"/>
              <w:bottom w:val="single" w:color="auto" w:sz="4" w:space="0"/>
              <w:right w:val="single" w:color="auto" w:sz="4" w:space="0"/>
            </w:tcBorders>
            <w:vAlign w:val="center"/>
          </w:tcPr>
          <w:p w14:paraId="13580363">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0</w:t>
            </w:r>
          </w:p>
        </w:tc>
        <w:tc>
          <w:tcPr>
            <w:tcW w:w="444" w:type="pct"/>
            <w:tcBorders>
              <w:top w:val="single" w:color="auto" w:sz="4" w:space="0"/>
              <w:left w:val="single" w:color="auto" w:sz="4" w:space="0"/>
              <w:bottom w:val="single" w:color="auto" w:sz="4" w:space="0"/>
              <w:right w:val="nil"/>
            </w:tcBorders>
            <w:vAlign w:val="center"/>
          </w:tcPr>
          <w:p w14:paraId="3286A7A3">
            <w:pPr>
              <w:widowControl/>
              <w:spacing w:line="360" w:lineRule="exact"/>
              <w:ind w:firstLine="0" w:firstLineChars="0"/>
              <w:jc w:val="center"/>
              <w:rPr>
                <w:rFonts w:cs="Times New Roman"/>
                <w:kern w:val="0"/>
                <w:sz w:val="18"/>
                <w:szCs w:val="18"/>
              </w:rPr>
            </w:pPr>
            <w:r>
              <w:rPr>
                <w:rFonts w:hint="eastAsia" w:cs="Times New Roman"/>
                <w:kern w:val="0"/>
                <w:sz w:val="18"/>
                <w:szCs w:val="18"/>
              </w:rPr>
              <w:t>0.</w:t>
            </w:r>
            <w:r>
              <w:rPr>
                <w:rFonts w:cs="Times New Roman"/>
                <w:kern w:val="0"/>
                <w:sz w:val="18"/>
                <w:szCs w:val="18"/>
              </w:rPr>
              <w:t>05</w:t>
            </w:r>
          </w:p>
        </w:tc>
      </w:tr>
      <w:tr w14:paraId="324A9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70DAACDD">
            <w:pPr>
              <w:widowControl/>
              <w:spacing w:line="360" w:lineRule="exact"/>
              <w:ind w:firstLine="0" w:firstLineChars="0"/>
              <w:jc w:val="center"/>
              <w:rPr>
                <w:rFonts w:cs="Times New Roman"/>
                <w:kern w:val="0"/>
                <w:sz w:val="18"/>
                <w:szCs w:val="18"/>
              </w:rPr>
            </w:pPr>
            <w:r>
              <w:rPr>
                <w:rFonts w:hint="eastAsia" w:cs="Times New Roman"/>
                <w:kern w:val="0"/>
                <w:sz w:val="18"/>
                <w:szCs w:val="18"/>
              </w:rPr>
              <w:t>7</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10268955">
            <w:pPr>
              <w:widowControl/>
              <w:spacing w:line="360" w:lineRule="exact"/>
              <w:ind w:firstLine="0" w:firstLineChars="0"/>
              <w:jc w:val="center"/>
              <w:rPr>
                <w:rFonts w:cs="Times New Roman"/>
                <w:kern w:val="0"/>
                <w:sz w:val="18"/>
                <w:szCs w:val="18"/>
                <w:vertAlign w:val="superscript"/>
              </w:rPr>
            </w:pPr>
            <w:r>
              <w:rPr>
                <w:rFonts w:hint="eastAsia" w:cs="Times New Roman"/>
                <w:kern w:val="0"/>
                <w:sz w:val="18"/>
                <w:szCs w:val="18"/>
              </w:rPr>
              <w:t>硫酸</w:t>
            </w:r>
            <w:r>
              <w:rPr>
                <w:rFonts w:hint="eastAsia" w:cs="Times New Roman"/>
                <w:kern w:val="0"/>
                <w:sz w:val="18"/>
                <w:szCs w:val="18"/>
                <w:vertAlign w:val="superscript"/>
              </w:rPr>
              <w:t>3</w:t>
            </w:r>
          </w:p>
        </w:tc>
        <w:tc>
          <w:tcPr>
            <w:tcW w:w="630" w:type="pct"/>
            <w:tcBorders>
              <w:top w:val="single" w:color="auto" w:sz="4" w:space="0"/>
              <w:left w:val="single" w:color="auto" w:sz="4" w:space="0"/>
              <w:bottom w:val="single" w:color="auto" w:sz="4" w:space="0"/>
              <w:right w:val="single" w:color="auto" w:sz="4" w:space="0"/>
            </w:tcBorders>
            <w:vAlign w:val="center"/>
          </w:tcPr>
          <w:p w14:paraId="316F3CD9">
            <w:pPr>
              <w:widowControl/>
              <w:spacing w:line="360" w:lineRule="exact"/>
              <w:ind w:firstLine="0" w:firstLineChars="0"/>
              <w:jc w:val="center"/>
              <w:rPr>
                <w:rFonts w:cs="Times New Roman"/>
                <w:kern w:val="0"/>
                <w:sz w:val="18"/>
                <w:szCs w:val="18"/>
              </w:rPr>
            </w:pPr>
            <w:r>
              <w:rPr>
                <w:rFonts w:hint="eastAsia" w:cs="Times New Roman"/>
                <w:kern w:val="0"/>
                <w:sz w:val="18"/>
                <w:szCs w:val="18"/>
              </w:rPr>
              <w:t>7664-93-9</w:t>
            </w:r>
          </w:p>
        </w:tc>
        <w:tc>
          <w:tcPr>
            <w:tcW w:w="581" w:type="pct"/>
            <w:tcBorders>
              <w:top w:val="single" w:color="auto" w:sz="4" w:space="0"/>
              <w:left w:val="single" w:color="auto" w:sz="4" w:space="0"/>
              <w:bottom w:val="single" w:color="auto" w:sz="4" w:space="0"/>
              <w:right w:val="single" w:color="auto" w:sz="4" w:space="0"/>
            </w:tcBorders>
            <w:vAlign w:val="center"/>
          </w:tcPr>
          <w:p w14:paraId="5574354A">
            <w:pPr>
              <w:widowControl/>
              <w:spacing w:line="360" w:lineRule="exact"/>
              <w:ind w:firstLine="0" w:firstLineChars="0"/>
              <w:jc w:val="center"/>
              <w:rPr>
                <w:rFonts w:cs="Times New Roman"/>
                <w:kern w:val="0"/>
                <w:sz w:val="18"/>
                <w:szCs w:val="18"/>
              </w:rPr>
            </w:pPr>
            <w:r>
              <w:rPr>
                <w:rFonts w:hint="eastAsia" w:cs="Times New Roman"/>
                <w:kern w:val="0"/>
                <w:sz w:val="18"/>
                <w:szCs w:val="18"/>
              </w:rPr>
              <w:t>14.5</w:t>
            </w:r>
          </w:p>
        </w:tc>
        <w:tc>
          <w:tcPr>
            <w:tcW w:w="545" w:type="pct"/>
            <w:tcBorders>
              <w:top w:val="single" w:color="auto" w:sz="4" w:space="0"/>
              <w:left w:val="single" w:color="auto" w:sz="4" w:space="0"/>
              <w:bottom w:val="single" w:color="auto" w:sz="4" w:space="0"/>
              <w:right w:val="single" w:color="auto" w:sz="4" w:space="0"/>
            </w:tcBorders>
            <w:vAlign w:val="center"/>
          </w:tcPr>
          <w:p w14:paraId="0B589BAD">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899" w:type="pct"/>
            <w:tcBorders>
              <w:top w:val="single" w:color="auto" w:sz="4" w:space="0"/>
              <w:left w:val="single" w:color="auto" w:sz="4" w:space="0"/>
              <w:bottom w:val="single" w:color="auto" w:sz="4" w:space="0"/>
              <w:right w:val="single" w:color="auto" w:sz="4" w:space="0"/>
            </w:tcBorders>
            <w:noWrap/>
            <w:vAlign w:val="center"/>
          </w:tcPr>
          <w:p w14:paraId="137E28CD">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4</w:t>
            </w:r>
            <w:r>
              <w:rPr>
                <w:rFonts w:hint="eastAsia" w:cs="Times New Roman"/>
                <w:kern w:val="0"/>
                <w:sz w:val="18"/>
                <w:szCs w:val="18"/>
              </w:rPr>
              <w:t>.6</w:t>
            </w:r>
          </w:p>
        </w:tc>
        <w:tc>
          <w:tcPr>
            <w:tcW w:w="567" w:type="pct"/>
            <w:tcBorders>
              <w:top w:val="single" w:color="auto" w:sz="4" w:space="0"/>
              <w:left w:val="single" w:color="auto" w:sz="4" w:space="0"/>
              <w:bottom w:val="single" w:color="auto" w:sz="4" w:space="0"/>
              <w:right w:val="single" w:color="auto" w:sz="4" w:space="0"/>
            </w:tcBorders>
            <w:vAlign w:val="center"/>
          </w:tcPr>
          <w:p w14:paraId="69EFFD63">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vAlign w:val="center"/>
          </w:tcPr>
          <w:p w14:paraId="36D8B2A8">
            <w:pPr>
              <w:widowControl/>
              <w:spacing w:line="360" w:lineRule="exact"/>
              <w:ind w:firstLine="0" w:firstLineChars="0"/>
              <w:jc w:val="center"/>
              <w:rPr>
                <w:rFonts w:cs="Times New Roman"/>
                <w:kern w:val="0"/>
                <w:sz w:val="18"/>
                <w:szCs w:val="18"/>
              </w:rPr>
            </w:pPr>
            <w:r>
              <w:rPr>
                <w:rFonts w:cs="Times New Roman"/>
                <w:kern w:val="0"/>
                <w:sz w:val="18"/>
                <w:szCs w:val="18"/>
              </w:rPr>
              <w:t>1.46</w:t>
            </w:r>
          </w:p>
        </w:tc>
      </w:tr>
      <w:tr w14:paraId="044F5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A59DC6E">
            <w:pPr>
              <w:widowControl/>
              <w:spacing w:line="360" w:lineRule="exact"/>
              <w:ind w:firstLine="0" w:firstLineChars="0"/>
              <w:jc w:val="center"/>
              <w:rPr>
                <w:rFonts w:cs="Times New Roman"/>
                <w:kern w:val="0"/>
                <w:sz w:val="18"/>
                <w:szCs w:val="18"/>
              </w:rPr>
            </w:pPr>
            <w:r>
              <w:rPr>
                <w:rFonts w:hint="eastAsia" w:cs="Times New Roman"/>
                <w:kern w:val="0"/>
                <w:sz w:val="18"/>
                <w:szCs w:val="18"/>
              </w:rPr>
              <w:t>8</w:t>
            </w:r>
          </w:p>
        </w:tc>
        <w:tc>
          <w:tcPr>
            <w:tcW w:w="517" w:type="pct"/>
            <w:gridSpan w:val="2"/>
            <w:tcBorders>
              <w:top w:val="single" w:color="auto" w:sz="4" w:space="0"/>
              <w:left w:val="single" w:color="auto" w:sz="4" w:space="0"/>
              <w:bottom w:val="single" w:color="auto" w:sz="4" w:space="0"/>
              <w:right w:val="single" w:color="auto" w:sz="4" w:space="0"/>
            </w:tcBorders>
            <w:noWrap/>
            <w:vAlign w:val="center"/>
          </w:tcPr>
          <w:p w14:paraId="686F04F9">
            <w:pPr>
              <w:pStyle w:val="445"/>
              <w:rPr>
                <w:rFonts w:cs="Times New Roman"/>
                <w:kern w:val="0"/>
                <w:szCs w:val="20"/>
              </w:rPr>
            </w:pPr>
            <w:r>
              <w:rPr>
                <w:rFonts w:hint="eastAsia" w:cs="Times New Roman"/>
                <w:kern w:val="0"/>
                <w:szCs w:val="20"/>
              </w:rPr>
              <w:t>固废</w:t>
            </w:r>
          </w:p>
        </w:tc>
        <w:tc>
          <w:tcPr>
            <w:tcW w:w="517" w:type="pct"/>
            <w:tcBorders>
              <w:top w:val="single" w:color="auto" w:sz="4" w:space="0"/>
              <w:left w:val="single" w:color="auto" w:sz="4" w:space="0"/>
              <w:bottom w:val="single" w:color="auto" w:sz="4" w:space="0"/>
              <w:right w:val="single" w:color="auto" w:sz="4" w:space="0"/>
            </w:tcBorders>
            <w:vAlign w:val="center"/>
          </w:tcPr>
          <w:p w14:paraId="446A4CAA">
            <w:pPr>
              <w:widowControl/>
              <w:spacing w:line="360" w:lineRule="exact"/>
              <w:ind w:firstLine="0" w:firstLineChars="0"/>
              <w:jc w:val="center"/>
              <w:rPr>
                <w:rFonts w:cs="Times New Roman"/>
                <w:kern w:val="0"/>
                <w:sz w:val="18"/>
                <w:szCs w:val="18"/>
                <w:vertAlign w:val="superscript"/>
              </w:rPr>
            </w:pPr>
            <w:r>
              <w:rPr>
                <w:rFonts w:hint="eastAsia" w:cs="Times New Roman"/>
                <w:kern w:val="0"/>
                <w:sz w:val="18"/>
                <w:szCs w:val="18"/>
              </w:rPr>
              <w:t>硫酸铵</w:t>
            </w:r>
            <w:r>
              <w:rPr>
                <w:rFonts w:hint="eastAsia" w:cs="Times New Roman"/>
                <w:kern w:val="0"/>
                <w:sz w:val="18"/>
                <w:szCs w:val="18"/>
                <w:vertAlign w:val="superscript"/>
              </w:rPr>
              <w:t>3</w:t>
            </w:r>
          </w:p>
        </w:tc>
        <w:tc>
          <w:tcPr>
            <w:tcW w:w="630" w:type="pct"/>
            <w:tcBorders>
              <w:top w:val="single" w:color="auto" w:sz="4" w:space="0"/>
              <w:left w:val="single" w:color="auto" w:sz="4" w:space="0"/>
              <w:bottom w:val="single" w:color="auto" w:sz="4" w:space="0"/>
              <w:right w:val="single" w:color="auto" w:sz="4" w:space="0"/>
            </w:tcBorders>
            <w:vAlign w:val="center"/>
          </w:tcPr>
          <w:p w14:paraId="3D0BF465">
            <w:pPr>
              <w:widowControl/>
              <w:spacing w:line="360" w:lineRule="exact"/>
              <w:ind w:firstLine="0" w:firstLineChars="0"/>
              <w:jc w:val="center"/>
              <w:rPr>
                <w:rFonts w:cs="Times New Roman"/>
                <w:kern w:val="0"/>
                <w:sz w:val="18"/>
                <w:szCs w:val="18"/>
              </w:rPr>
            </w:pPr>
            <w:r>
              <w:rPr>
                <w:rFonts w:hint="eastAsia" w:cs="Times New Roman"/>
                <w:kern w:val="0"/>
                <w:sz w:val="18"/>
                <w:szCs w:val="18"/>
              </w:rPr>
              <w:t>7783-20-2</w:t>
            </w:r>
          </w:p>
        </w:tc>
        <w:tc>
          <w:tcPr>
            <w:tcW w:w="581" w:type="pct"/>
            <w:tcBorders>
              <w:top w:val="single" w:color="auto" w:sz="4" w:space="0"/>
              <w:left w:val="single" w:color="auto" w:sz="4" w:space="0"/>
              <w:bottom w:val="single" w:color="auto" w:sz="4" w:space="0"/>
              <w:right w:val="single" w:color="auto" w:sz="4" w:space="0"/>
            </w:tcBorders>
            <w:vAlign w:val="center"/>
          </w:tcPr>
          <w:p w14:paraId="71F5940E">
            <w:pPr>
              <w:widowControl/>
              <w:spacing w:line="360" w:lineRule="exact"/>
              <w:ind w:firstLine="0" w:firstLineChars="0"/>
              <w:jc w:val="center"/>
              <w:rPr>
                <w:rFonts w:cs="Times New Roman"/>
                <w:kern w:val="0"/>
                <w:sz w:val="18"/>
                <w:szCs w:val="18"/>
              </w:rPr>
            </w:pPr>
            <w:r>
              <w:rPr>
                <w:rFonts w:hint="eastAsia" w:cs="Times New Roman"/>
                <w:kern w:val="0"/>
                <w:sz w:val="18"/>
                <w:szCs w:val="18"/>
              </w:rPr>
              <w:t>33.5</w:t>
            </w:r>
          </w:p>
        </w:tc>
        <w:tc>
          <w:tcPr>
            <w:tcW w:w="545" w:type="pct"/>
            <w:tcBorders>
              <w:top w:val="single" w:color="auto" w:sz="4" w:space="0"/>
              <w:left w:val="single" w:color="auto" w:sz="4" w:space="0"/>
              <w:bottom w:val="single" w:color="auto" w:sz="4" w:space="0"/>
              <w:right w:val="single" w:color="auto" w:sz="4" w:space="0"/>
            </w:tcBorders>
            <w:vAlign w:val="center"/>
          </w:tcPr>
          <w:p w14:paraId="2C522FC8">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899" w:type="pct"/>
            <w:tcBorders>
              <w:top w:val="single" w:color="auto" w:sz="4" w:space="0"/>
              <w:left w:val="single" w:color="auto" w:sz="4" w:space="0"/>
              <w:bottom w:val="single" w:color="auto" w:sz="4" w:space="0"/>
              <w:right w:val="single" w:color="auto" w:sz="4" w:space="0"/>
            </w:tcBorders>
            <w:noWrap/>
            <w:vAlign w:val="center"/>
          </w:tcPr>
          <w:p w14:paraId="0EAB89FB">
            <w:pPr>
              <w:widowControl/>
              <w:spacing w:line="360" w:lineRule="exact"/>
              <w:ind w:firstLine="0" w:firstLineChars="0"/>
              <w:jc w:val="center"/>
              <w:rPr>
                <w:rFonts w:cs="Times New Roman"/>
                <w:kern w:val="0"/>
                <w:sz w:val="18"/>
                <w:szCs w:val="18"/>
              </w:rPr>
            </w:pPr>
            <w:r>
              <w:rPr>
                <w:rFonts w:hint="eastAsia" w:cs="Times New Roman"/>
                <w:kern w:val="0"/>
                <w:sz w:val="18"/>
                <w:szCs w:val="18"/>
              </w:rPr>
              <w:t>33.6</w:t>
            </w:r>
          </w:p>
        </w:tc>
        <w:tc>
          <w:tcPr>
            <w:tcW w:w="567" w:type="pct"/>
            <w:tcBorders>
              <w:top w:val="single" w:color="auto" w:sz="4" w:space="0"/>
              <w:left w:val="single" w:color="auto" w:sz="4" w:space="0"/>
              <w:bottom w:val="single" w:color="auto" w:sz="4" w:space="0"/>
              <w:right w:val="single" w:color="auto" w:sz="4" w:space="0"/>
            </w:tcBorders>
            <w:vAlign w:val="center"/>
          </w:tcPr>
          <w:p w14:paraId="65D91A01">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vAlign w:val="center"/>
          </w:tcPr>
          <w:p w14:paraId="54C77E91">
            <w:pPr>
              <w:widowControl/>
              <w:spacing w:line="360" w:lineRule="exact"/>
              <w:ind w:firstLine="0" w:firstLineChars="0"/>
              <w:jc w:val="center"/>
              <w:rPr>
                <w:rFonts w:cs="Times New Roman"/>
                <w:kern w:val="0"/>
                <w:sz w:val="18"/>
                <w:szCs w:val="18"/>
              </w:rPr>
            </w:pPr>
            <w:r>
              <w:rPr>
                <w:rFonts w:hint="eastAsia" w:cs="Times New Roman"/>
                <w:kern w:val="0"/>
                <w:sz w:val="18"/>
                <w:szCs w:val="18"/>
              </w:rPr>
              <w:t>3</w:t>
            </w:r>
            <w:r>
              <w:rPr>
                <w:rFonts w:cs="Times New Roman"/>
                <w:kern w:val="0"/>
                <w:sz w:val="18"/>
                <w:szCs w:val="18"/>
              </w:rPr>
              <w:t>.36</w:t>
            </w:r>
          </w:p>
        </w:tc>
      </w:tr>
      <w:tr w14:paraId="67546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7D8D2FC">
            <w:pPr>
              <w:widowControl/>
              <w:spacing w:line="360" w:lineRule="exact"/>
              <w:ind w:firstLine="0" w:firstLineChars="0"/>
              <w:jc w:val="center"/>
              <w:rPr>
                <w:rFonts w:cs="Times New Roman"/>
                <w:kern w:val="0"/>
                <w:sz w:val="18"/>
                <w:szCs w:val="18"/>
              </w:rPr>
            </w:pPr>
            <w:r>
              <w:rPr>
                <w:rFonts w:hint="eastAsia" w:cs="Times New Roman"/>
                <w:kern w:val="0"/>
                <w:sz w:val="18"/>
                <w:szCs w:val="18"/>
              </w:rPr>
              <w:t>9</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3422FD0B">
            <w:pPr>
              <w:widowControl/>
              <w:spacing w:line="360" w:lineRule="exact"/>
              <w:ind w:firstLine="0" w:firstLineChars="0"/>
              <w:jc w:val="center"/>
              <w:rPr>
                <w:rFonts w:cs="Times New Roman"/>
                <w:kern w:val="0"/>
                <w:sz w:val="18"/>
                <w:szCs w:val="18"/>
                <w:vertAlign w:val="superscript"/>
              </w:rPr>
            </w:pPr>
            <w:r>
              <w:rPr>
                <w:rFonts w:hint="eastAsia" w:cs="Times New Roman"/>
                <w:kern w:val="0"/>
                <w:sz w:val="18"/>
                <w:szCs w:val="18"/>
              </w:rPr>
              <w:t>导热油</w:t>
            </w:r>
            <w:r>
              <w:rPr>
                <w:rFonts w:cs="Times New Roman"/>
                <w:kern w:val="0"/>
                <w:sz w:val="18"/>
                <w:szCs w:val="18"/>
                <w:vertAlign w:val="superscript"/>
              </w:rPr>
              <w:t>2</w:t>
            </w:r>
          </w:p>
        </w:tc>
        <w:tc>
          <w:tcPr>
            <w:tcW w:w="630" w:type="pct"/>
            <w:tcBorders>
              <w:top w:val="single" w:color="auto" w:sz="4" w:space="0"/>
              <w:left w:val="single" w:color="auto" w:sz="4" w:space="0"/>
              <w:bottom w:val="single" w:color="auto" w:sz="4" w:space="0"/>
              <w:right w:val="single" w:color="auto" w:sz="4" w:space="0"/>
            </w:tcBorders>
            <w:vAlign w:val="center"/>
          </w:tcPr>
          <w:p w14:paraId="3D524D43">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81" w:type="pct"/>
            <w:tcBorders>
              <w:top w:val="single" w:color="auto" w:sz="4" w:space="0"/>
              <w:left w:val="single" w:color="auto" w:sz="4" w:space="0"/>
              <w:bottom w:val="single" w:color="auto" w:sz="4" w:space="0"/>
              <w:right w:val="single" w:color="auto" w:sz="4" w:space="0"/>
            </w:tcBorders>
            <w:vAlign w:val="center"/>
          </w:tcPr>
          <w:p w14:paraId="5CF58487">
            <w:pPr>
              <w:widowControl/>
              <w:spacing w:line="360" w:lineRule="exact"/>
              <w:ind w:firstLine="0" w:firstLineChars="0"/>
              <w:jc w:val="center"/>
              <w:rPr>
                <w:rFonts w:cs="Times New Roman"/>
                <w:kern w:val="0"/>
                <w:sz w:val="18"/>
                <w:szCs w:val="18"/>
              </w:rPr>
            </w:pPr>
            <w:r>
              <w:rPr>
                <w:rFonts w:hint="eastAsia" w:cs="Times New Roman"/>
                <w:kern w:val="0"/>
                <w:sz w:val="18"/>
                <w:szCs w:val="18"/>
              </w:rPr>
              <w:t>61</w:t>
            </w:r>
          </w:p>
        </w:tc>
        <w:tc>
          <w:tcPr>
            <w:tcW w:w="545" w:type="pct"/>
            <w:tcBorders>
              <w:top w:val="single" w:color="auto" w:sz="4" w:space="0"/>
              <w:left w:val="single" w:color="auto" w:sz="4" w:space="0"/>
              <w:bottom w:val="single" w:color="auto" w:sz="4" w:space="0"/>
              <w:right w:val="single" w:color="auto" w:sz="4" w:space="0"/>
            </w:tcBorders>
            <w:vAlign w:val="center"/>
          </w:tcPr>
          <w:p w14:paraId="5DEBF821">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899" w:type="pct"/>
            <w:tcBorders>
              <w:top w:val="single" w:color="auto" w:sz="4" w:space="0"/>
              <w:left w:val="single" w:color="auto" w:sz="4" w:space="0"/>
              <w:bottom w:val="single" w:color="auto" w:sz="4" w:space="0"/>
              <w:right w:val="single" w:color="auto" w:sz="4" w:space="0"/>
            </w:tcBorders>
            <w:noWrap/>
            <w:vAlign w:val="center"/>
          </w:tcPr>
          <w:p w14:paraId="196ADB02">
            <w:pPr>
              <w:widowControl/>
              <w:spacing w:line="360" w:lineRule="exact"/>
              <w:ind w:firstLine="0" w:firstLineChars="0"/>
              <w:jc w:val="center"/>
              <w:rPr>
                <w:rFonts w:cs="Times New Roman"/>
                <w:kern w:val="0"/>
                <w:sz w:val="18"/>
                <w:szCs w:val="18"/>
              </w:rPr>
            </w:pPr>
            <w:r>
              <w:rPr>
                <w:rFonts w:hint="eastAsia" w:cs="Times New Roman"/>
                <w:kern w:val="0"/>
                <w:sz w:val="18"/>
                <w:szCs w:val="18"/>
              </w:rPr>
              <w:t>61</w:t>
            </w:r>
            <w:r>
              <w:rPr>
                <w:rFonts w:cs="Times New Roman"/>
                <w:kern w:val="0"/>
                <w:sz w:val="18"/>
                <w:szCs w:val="18"/>
              </w:rPr>
              <w:t>.1</w:t>
            </w:r>
          </w:p>
        </w:tc>
        <w:tc>
          <w:tcPr>
            <w:tcW w:w="567" w:type="pct"/>
            <w:tcBorders>
              <w:top w:val="single" w:color="auto" w:sz="4" w:space="0"/>
              <w:left w:val="single" w:color="auto" w:sz="4" w:space="0"/>
              <w:bottom w:val="single" w:color="auto" w:sz="4" w:space="0"/>
              <w:right w:val="single" w:color="auto" w:sz="4" w:space="0"/>
            </w:tcBorders>
            <w:vAlign w:val="center"/>
          </w:tcPr>
          <w:p w14:paraId="3360A322">
            <w:pPr>
              <w:widowControl/>
              <w:spacing w:line="360" w:lineRule="exact"/>
              <w:ind w:firstLine="0" w:firstLineChars="0"/>
              <w:jc w:val="center"/>
              <w:rPr>
                <w:rFonts w:cs="Times New Roman"/>
                <w:kern w:val="0"/>
                <w:sz w:val="18"/>
                <w:szCs w:val="18"/>
              </w:rPr>
            </w:pPr>
            <w:r>
              <w:rPr>
                <w:rFonts w:hint="eastAsia" w:cs="Times New Roman"/>
                <w:kern w:val="0"/>
                <w:sz w:val="18"/>
                <w:szCs w:val="18"/>
              </w:rPr>
              <w:t>2500</w:t>
            </w:r>
          </w:p>
        </w:tc>
        <w:tc>
          <w:tcPr>
            <w:tcW w:w="444" w:type="pct"/>
            <w:tcBorders>
              <w:top w:val="single" w:color="auto" w:sz="4" w:space="0"/>
              <w:left w:val="single" w:color="auto" w:sz="4" w:space="0"/>
              <w:bottom w:val="single" w:color="auto" w:sz="4" w:space="0"/>
              <w:right w:val="nil"/>
            </w:tcBorders>
            <w:vAlign w:val="center"/>
          </w:tcPr>
          <w:p w14:paraId="1D5F2D2A">
            <w:pPr>
              <w:widowControl/>
              <w:spacing w:line="360" w:lineRule="exact"/>
              <w:ind w:firstLine="0" w:firstLineChars="0"/>
              <w:jc w:val="center"/>
              <w:rPr>
                <w:rFonts w:cs="Times New Roman"/>
                <w:kern w:val="0"/>
                <w:sz w:val="18"/>
                <w:szCs w:val="18"/>
              </w:rPr>
            </w:pPr>
            <w:r>
              <w:rPr>
                <w:rFonts w:hint="eastAsia" w:cs="Times New Roman"/>
                <w:kern w:val="0"/>
                <w:sz w:val="18"/>
                <w:szCs w:val="18"/>
              </w:rPr>
              <w:t>0.02</w:t>
            </w:r>
          </w:p>
        </w:tc>
      </w:tr>
      <w:tr w14:paraId="44D3F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3ED4594A">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737243EC">
            <w:pPr>
              <w:widowControl/>
              <w:spacing w:line="360" w:lineRule="exact"/>
              <w:ind w:firstLine="0" w:firstLineChars="0"/>
              <w:jc w:val="center"/>
              <w:rPr>
                <w:rFonts w:cs="Times New Roman"/>
                <w:kern w:val="0"/>
                <w:sz w:val="18"/>
                <w:szCs w:val="18"/>
              </w:rPr>
            </w:pPr>
            <w:r>
              <w:rPr>
                <w:rFonts w:hint="eastAsia" w:cs="Times New Roman"/>
                <w:kern w:val="0"/>
                <w:sz w:val="18"/>
                <w:szCs w:val="18"/>
              </w:rPr>
              <w:t>氯化氢</w:t>
            </w:r>
          </w:p>
        </w:tc>
        <w:tc>
          <w:tcPr>
            <w:tcW w:w="630" w:type="pct"/>
            <w:tcBorders>
              <w:top w:val="single" w:color="auto" w:sz="4" w:space="0"/>
              <w:left w:val="single" w:color="auto" w:sz="4" w:space="0"/>
              <w:bottom w:val="single" w:color="auto" w:sz="4" w:space="0"/>
              <w:right w:val="single" w:color="auto" w:sz="4" w:space="0"/>
            </w:tcBorders>
            <w:vAlign w:val="center"/>
          </w:tcPr>
          <w:p w14:paraId="01A49EFD">
            <w:pPr>
              <w:widowControl/>
              <w:spacing w:line="360" w:lineRule="exact"/>
              <w:ind w:firstLine="0" w:firstLineChars="0"/>
              <w:jc w:val="center"/>
              <w:rPr>
                <w:rFonts w:cs="Times New Roman"/>
                <w:kern w:val="0"/>
                <w:sz w:val="18"/>
                <w:szCs w:val="18"/>
              </w:rPr>
            </w:pPr>
            <w:r>
              <w:rPr>
                <w:rFonts w:hint="eastAsia" w:cs="Times New Roman"/>
                <w:kern w:val="0"/>
                <w:sz w:val="18"/>
                <w:szCs w:val="18"/>
              </w:rPr>
              <w:t>7647-01-0</w:t>
            </w:r>
          </w:p>
        </w:tc>
        <w:tc>
          <w:tcPr>
            <w:tcW w:w="581" w:type="pct"/>
            <w:tcBorders>
              <w:top w:val="single" w:color="auto" w:sz="4" w:space="0"/>
              <w:left w:val="single" w:color="auto" w:sz="4" w:space="0"/>
              <w:bottom w:val="single" w:color="auto" w:sz="4" w:space="0"/>
              <w:right w:val="single" w:color="auto" w:sz="4" w:space="0"/>
            </w:tcBorders>
            <w:vAlign w:val="center"/>
          </w:tcPr>
          <w:p w14:paraId="1DAAF203">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p>
        </w:tc>
        <w:tc>
          <w:tcPr>
            <w:tcW w:w="545" w:type="pct"/>
            <w:tcBorders>
              <w:top w:val="single" w:color="auto" w:sz="4" w:space="0"/>
              <w:left w:val="single" w:color="auto" w:sz="4" w:space="0"/>
              <w:bottom w:val="single" w:color="auto" w:sz="4" w:space="0"/>
              <w:right w:val="single" w:color="auto" w:sz="4" w:space="0"/>
            </w:tcBorders>
            <w:vAlign w:val="center"/>
          </w:tcPr>
          <w:p w14:paraId="1170AA33">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899" w:type="pct"/>
            <w:tcBorders>
              <w:top w:val="single" w:color="auto" w:sz="4" w:space="0"/>
              <w:left w:val="single" w:color="auto" w:sz="4" w:space="0"/>
              <w:bottom w:val="single" w:color="auto" w:sz="4" w:space="0"/>
              <w:right w:val="single" w:color="auto" w:sz="4" w:space="0"/>
            </w:tcBorders>
            <w:noWrap/>
            <w:vAlign w:val="center"/>
          </w:tcPr>
          <w:p w14:paraId="2373F2E7">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.1</w:t>
            </w:r>
          </w:p>
        </w:tc>
        <w:tc>
          <w:tcPr>
            <w:tcW w:w="567" w:type="pct"/>
            <w:tcBorders>
              <w:top w:val="single" w:color="auto" w:sz="4" w:space="0"/>
              <w:left w:val="single" w:color="auto" w:sz="4" w:space="0"/>
              <w:bottom w:val="single" w:color="auto" w:sz="4" w:space="0"/>
              <w:right w:val="single" w:color="auto" w:sz="4" w:space="0"/>
            </w:tcBorders>
            <w:vAlign w:val="center"/>
          </w:tcPr>
          <w:p w14:paraId="323A5B17">
            <w:pPr>
              <w:widowControl/>
              <w:spacing w:line="360" w:lineRule="exact"/>
              <w:ind w:firstLine="0" w:firstLineChars="0"/>
              <w:jc w:val="center"/>
              <w:rPr>
                <w:rFonts w:cs="Times New Roman"/>
                <w:kern w:val="0"/>
                <w:sz w:val="18"/>
                <w:szCs w:val="18"/>
              </w:rPr>
            </w:pPr>
            <w:r>
              <w:rPr>
                <w:rFonts w:hint="eastAsia" w:cs="Times New Roman"/>
                <w:kern w:val="0"/>
                <w:sz w:val="18"/>
                <w:szCs w:val="18"/>
              </w:rPr>
              <w:t>2.5</w:t>
            </w:r>
          </w:p>
        </w:tc>
        <w:tc>
          <w:tcPr>
            <w:tcW w:w="444" w:type="pct"/>
            <w:tcBorders>
              <w:top w:val="single" w:color="auto" w:sz="4" w:space="0"/>
              <w:left w:val="single" w:color="auto" w:sz="4" w:space="0"/>
              <w:bottom w:val="single" w:color="auto" w:sz="4" w:space="0"/>
              <w:right w:val="nil"/>
            </w:tcBorders>
            <w:vAlign w:val="center"/>
          </w:tcPr>
          <w:p w14:paraId="03C5582A">
            <w:pPr>
              <w:widowControl/>
              <w:spacing w:line="360" w:lineRule="exact"/>
              <w:ind w:firstLine="0" w:firstLineChars="0"/>
              <w:jc w:val="center"/>
              <w:rPr>
                <w:rFonts w:cs="Times New Roman"/>
                <w:kern w:val="0"/>
                <w:sz w:val="18"/>
                <w:szCs w:val="18"/>
              </w:rPr>
            </w:pPr>
            <w:r>
              <w:rPr>
                <w:rFonts w:hint="eastAsia" w:cs="Times New Roman"/>
                <w:kern w:val="0"/>
                <w:sz w:val="18"/>
                <w:szCs w:val="18"/>
              </w:rPr>
              <w:t>0.4</w:t>
            </w:r>
            <w:r>
              <w:rPr>
                <w:rFonts w:cs="Times New Roman"/>
                <w:kern w:val="0"/>
                <w:sz w:val="18"/>
                <w:szCs w:val="18"/>
              </w:rPr>
              <w:t>4</w:t>
            </w:r>
          </w:p>
        </w:tc>
      </w:tr>
      <w:tr w14:paraId="6638C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9F28782">
            <w:pPr>
              <w:widowControl/>
              <w:spacing w:line="360" w:lineRule="exact"/>
              <w:ind w:firstLine="0" w:firstLineChars="0"/>
              <w:jc w:val="center"/>
              <w:rPr>
                <w:rFonts w:cs="Times New Roman"/>
                <w:kern w:val="0"/>
                <w:sz w:val="18"/>
                <w:szCs w:val="18"/>
              </w:rPr>
            </w:pPr>
            <w:r>
              <w:rPr>
                <w:rFonts w:hint="eastAsia" w:cs="Times New Roman"/>
                <w:kern w:val="0"/>
                <w:sz w:val="18"/>
                <w:szCs w:val="18"/>
              </w:rPr>
              <w:t>11</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4845695B">
            <w:pPr>
              <w:widowControl/>
              <w:spacing w:line="360" w:lineRule="exact"/>
              <w:ind w:firstLine="0" w:firstLineChars="0"/>
              <w:jc w:val="center"/>
              <w:rPr>
                <w:rFonts w:cs="Times New Roman"/>
                <w:kern w:val="0"/>
                <w:sz w:val="18"/>
                <w:szCs w:val="18"/>
              </w:rPr>
            </w:pPr>
            <w:r>
              <w:rPr>
                <w:rFonts w:hint="eastAsia" w:cs="Times New Roman"/>
                <w:kern w:val="0"/>
                <w:sz w:val="18"/>
                <w:szCs w:val="18"/>
              </w:rPr>
              <w:t>异丙醇</w:t>
            </w:r>
          </w:p>
        </w:tc>
        <w:tc>
          <w:tcPr>
            <w:tcW w:w="630" w:type="pct"/>
            <w:tcBorders>
              <w:top w:val="single" w:color="auto" w:sz="4" w:space="0"/>
              <w:left w:val="single" w:color="auto" w:sz="4" w:space="0"/>
              <w:bottom w:val="single" w:color="auto" w:sz="4" w:space="0"/>
              <w:right w:val="single" w:color="auto" w:sz="4" w:space="0"/>
            </w:tcBorders>
            <w:vAlign w:val="center"/>
          </w:tcPr>
          <w:p w14:paraId="29E7ADD0">
            <w:pPr>
              <w:widowControl/>
              <w:spacing w:line="360" w:lineRule="exact"/>
              <w:ind w:firstLine="0" w:firstLineChars="0"/>
              <w:jc w:val="center"/>
              <w:rPr>
                <w:rFonts w:cs="Times New Roman"/>
                <w:kern w:val="0"/>
                <w:sz w:val="18"/>
                <w:szCs w:val="18"/>
              </w:rPr>
            </w:pPr>
            <w:r>
              <w:rPr>
                <w:rFonts w:hint="eastAsia" w:cs="Times New Roman"/>
                <w:kern w:val="0"/>
                <w:sz w:val="18"/>
                <w:szCs w:val="18"/>
              </w:rPr>
              <w:t>67-63-0</w:t>
            </w:r>
          </w:p>
        </w:tc>
        <w:tc>
          <w:tcPr>
            <w:tcW w:w="581" w:type="pct"/>
            <w:tcBorders>
              <w:top w:val="single" w:color="auto" w:sz="4" w:space="0"/>
              <w:left w:val="single" w:color="auto" w:sz="4" w:space="0"/>
              <w:bottom w:val="single" w:color="auto" w:sz="4" w:space="0"/>
              <w:right w:val="single" w:color="auto" w:sz="4" w:space="0"/>
            </w:tcBorders>
            <w:vAlign w:val="center"/>
          </w:tcPr>
          <w:p w14:paraId="74017338">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545" w:type="pct"/>
            <w:tcBorders>
              <w:top w:val="single" w:color="auto" w:sz="4" w:space="0"/>
              <w:left w:val="single" w:color="auto" w:sz="4" w:space="0"/>
              <w:bottom w:val="single" w:color="auto" w:sz="4" w:space="0"/>
              <w:right w:val="single" w:color="auto" w:sz="4" w:space="0"/>
            </w:tcBorders>
            <w:vAlign w:val="center"/>
          </w:tcPr>
          <w:p w14:paraId="2BF9C438">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vAlign w:val="center"/>
          </w:tcPr>
          <w:p w14:paraId="3803D1AA">
            <w:pPr>
              <w:widowControl/>
              <w:spacing w:line="360" w:lineRule="exact"/>
              <w:ind w:firstLine="0" w:firstLineChars="0"/>
              <w:jc w:val="center"/>
              <w:rPr>
                <w:rFonts w:cs="Times New Roman"/>
                <w:kern w:val="0"/>
                <w:sz w:val="18"/>
                <w:szCs w:val="18"/>
              </w:rPr>
            </w:pPr>
            <w:r>
              <w:rPr>
                <w:rFonts w:hint="eastAsia" w:cs="Times New Roman"/>
                <w:kern w:val="0"/>
                <w:sz w:val="18"/>
                <w:szCs w:val="18"/>
              </w:rPr>
              <w:t>0.1</w:t>
            </w:r>
          </w:p>
        </w:tc>
        <w:tc>
          <w:tcPr>
            <w:tcW w:w="567" w:type="pct"/>
            <w:tcBorders>
              <w:top w:val="single" w:color="auto" w:sz="4" w:space="0"/>
              <w:left w:val="single" w:color="auto" w:sz="4" w:space="0"/>
              <w:bottom w:val="single" w:color="auto" w:sz="4" w:space="0"/>
              <w:right w:val="single" w:color="auto" w:sz="4" w:space="0"/>
            </w:tcBorders>
            <w:vAlign w:val="center"/>
          </w:tcPr>
          <w:p w14:paraId="058F3D14">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vAlign w:val="center"/>
          </w:tcPr>
          <w:p w14:paraId="6326E555">
            <w:pPr>
              <w:widowControl/>
              <w:spacing w:line="360" w:lineRule="exact"/>
              <w:ind w:firstLine="0" w:firstLineChars="0"/>
              <w:jc w:val="center"/>
              <w:rPr>
                <w:rFonts w:cs="Times New Roman"/>
                <w:kern w:val="0"/>
                <w:sz w:val="18"/>
                <w:szCs w:val="18"/>
              </w:rPr>
            </w:pPr>
            <w:r>
              <w:rPr>
                <w:rFonts w:hint="eastAsia" w:cs="Times New Roman"/>
                <w:kern w:val="0"/>
                <w:sz w:val="18"/>
                <w:szCs w:val="18"/>
              </w:rPr>
              <w:t>0.01</w:t>
            </w:r>
          </w:p>
        </w:tc>
      </w:tr>
      <w:tr w14:paraId="74BE6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4E19341D">
            <w:pPr>
              <w:widowControl/>
              <w:spacing w:line="360" w:lineRule="exact"/>
              <w:ind w:firstLine="0" w:firstLineChars="0"/>
              <w:jc w:val="center"/>
              <w:rPr>
                <w:rFonts w:cs="Times New Roman"/>
                <w:kern w:val="0"/>
                <w:sz w:val="18"/>
                <w:szCs w:val="18"/>
              </w:rPr>
            </w:pPr>
            <w:r>
              <w:rPr>
                <w:rFonts w:hint="eastAsia" w:cs="Times New Roman"/>
                <w:kern w:val="0"/>
                <w:sz w:val="18"/>
                <w:szCs w:val="18"/>
              </w:rPr>
              <w:t>12</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37F12536">
            <w:pPr>
              <w:widowControl/>
              <w:spacing w:line="360" w:lineRule="exact"/>
              <w:ind w:firstLine="0" w:firstLineChars="0"/>
              <w:jc w:val="center"/>
              <w:rPr>
                <w:rFonts w:cs="Times New Roman"/>
                <w:kern w:val="0"/>
                <w:sz w:val="18"/>
                <w:szCs w:val="18"/>
              </w:rPr>
            </w:pPr>
            <w:r>
              <w:rPr>
                <w:rFonts w:hint="eastAsia" w:cs="Times New Roman"/>
                <w:kern w:val="0"/>
                <w:sz w:val="18"/>
                <w:szCs w:val="18"/>
              </w:rPr>
              <w:t>四甲氧基硅烷</w:t>
            </w:r>
          </w:p>
        </w:tc>
        <w:tc>
          <w:tcPr>
            <w:tcW w:w="630" w:type="pct"/>
            <w:tcBorders>
              <w:top w:val="single" w:color="auto" w:sz="4" w:space="0"/>
              <w:left w:val="single" w:color="auto" w:sz="4" w:space="0"/>
              <w:bottom w:val="single" w:color="auto" w:sz="4" w:space="0"/>
              <w:right w:val="single" w:color="auto" w:sz="4" w:space="0"/>
            </w:tcBorders>
            <w:vAlign w:val="center"/>
          </w:tcPr>
          <w:p w14:paraId="392D58F1">
            <w:pPr>
              <w:widowControl/>
              <w:spacing w:line="360" w:lineRule="exact"/>
              <w:ind w:firstLine="0" w:firstLineChars="0"/>
              <w:jc w:val="center"/>
              <w:rPr>
                <w:rFonts w:cs="Times New Roman"/>
                <w:kern w:val="0"/>
                <w:sz w:val="18"/>
                <w:szCs w:val="18"/>
              </w:rPr>
            </w:pPr>
            <w:r>
              <w:rPr>
                <w:rFonts w:cs="Times New Roman"/>
                <w:kern w:val="0"/>
                <w:sz w:val="18"/>
                <w:szCs w:val="18"/>
              </w:rPr>
              <w:t>681-84-5</w:t>
            </w:r>
          </w:p>
        </w:tc>
        <w:tc>
          <w:tcPr>
            <w:tcW w:w="581" w:type="pct"/>
            <w:tcBorders>
              <w:top w:val="single" w:color="auto" w:sz="4" w:space="0"/>
              <w:left w:val="single" w:color="auto" w:sz="4" w:space="0"/>
              <w:bottom w:val="single" w:color="auto" w:sz="4" w:space="0"/>
              <w:right w:val="single" w:color="auto" w:sz="4" w:space="0"/>
            </w:tcBorders>
            <w:vAlign w:val="center"/>
          </w:tcPr>
          <w:p w14:paraId="1BB9E49A">
            <w:pPr>
              <w:widowControl/>
              <w:spacing w:line="360" w:lineRule="exact"/>
              <w:ind w:firstLine="0" w:firstLineChars="0"/>
              <w:jc w:val="center"/>
              <w:rPr>
                <w:rFonts w:cs="Times New Roman"/>
                <w:kern w:val="0"/>
                <w:sz w:val="18"/>
                <w:szCs w:val="18"/>
              </w:rPr>
            </w:pPr>
            <w:r>
              <w:rPr>
                <w:rFonts w:hint="eastAsia" w:cs="Times New Roman"/>
                <w:kern w:val="0"/>
                <w:sz w:val="18"/>
                <w:szCs w:val="18"/>
              </w:rPr>
              <w:t>68.5</w:t>
            </w:r>
          </w:p>
        </w:tc>
        <w:tc>
          <w:tcPr>
            <w:tcW w:w="545" w:type="pct"/>
            <w:tcBorders>
              <w:top w:val="single" w:color="auto" w:sz="4" w:space="0"/>
              <w:left w:val="single" w:color="auto" w:sz="4" w:space="0"/>
              <w:bottom w:val="single" w:color="auto" w:sz="4" w:space="0"/>
              <w:right w:val="single" w:color="auto" w:sz="4" w:space="0"/>
            </w:tcBorders>
            <w:vAlign w:val="center"/>
          </w:tcPr>
          <w:p w14:paraId="4583B39F">
            <w:pPr>
              <w:widowControl/>
              <w:spacing w:line="360" w:lineRule="exact"/>
              <w:ind w:firstLine="0" w:firstLineChars="0"/>
              <w:jc w:val="center"/>
              <w:rPr>
                <w:rFonts w:cs="Times New Roman"/>
                <w:kern w:val="0"/>
                <w:sz w:val="18"/>
                <w:szCs w:val="18"/>
              </w:rPr>
            </w:pPr>
            <w:r>
              <w:rPr>
                <w:rFonts w:hint="eastAsia" w:cs="Times New Roman"/>
                <w:kern w:val="0"/>
                <w:sz w:val="18"/>
                <w:szCs w:val="18"/>
              </w:rPr>
              <w:t>34</w:t>
            </w:r>
          </w:p>
        </w:tc>
        <w:tc>
          <w:tcPr>
            <w:tcW w:w="899" w:type="pct"/>
            <w:tcBorders>
              <w:top w:val="single" w:color="auto" w:sz="4" w:space="0"/>
              <w:left w:val="single" w:color="auto" w:sz="4" w:space="0"/>
              <w:bottom w:val="single" w:color="auto" w:sz="4" w:space="0"/>
              <w:right w:val="single" w:color="auto" w:sz="4" w:space="0"/>
            </w:tcBorders>
            <w:noWrap/>
            <w:vAlign w:val="center"/>
          </w:tcPr>
          <w:p w14:paraId="688EC622">
            <w:pPr>
              <w:widowControl/>
              <w:spacing w:line="360" w:lineRule="exact"/>
              <w:ind w:firstLine="0" w:firstLineChars="0"/>
              <w:jc w:val="center"/>
              <w:rPr>
                <w:rFonts w:cs="Times New Roman"/>
                <w:kern w:val="0"/>
                <w:sz w:val="18"/>
                <w:szCs w:val="18"/>
              </w:rPr>
            </w:pPr>
            <w:r>
              <w:rPr>
                <w:rFonts w:hint="eastAsia" w:cs="Times New Roman"/>
                <w:kern w:val="0"/>
                <w:sz w:val="18"/>
                <w:szCs w:val="18"/>
              </w:rPr>
              <w:t>102.5</w:t>
            </w:r>
          </w:p>
        </w:tc>
        <w:tc>
          <w:tcPr>
            <w:tcW w:w="567" w:type="pct"/>
            <w:tcBorders>
              <w:top w:val="single" w:color="auto" w:sz="4" w:space="0"/>
              <w:left w:val="single" w:color="auto" w:sz="4" w:space="0"/>
              <w:bottom w:val="single" w:color="auto" w:sz="4" w:space="0"/>
              <w:right w:val="single" w:color="auto" w:sz="4" w:space="0"/>
            </w:tcBorders>
            <w:vAlign w:val="center"/>
          </w:tcPr>
          <w:p w14:paraId="4853EB5B">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444" w:type="pct"/>
            <w:tcBorders>
              <w:top w:val="single" w:color="auto" w:sz="4" w:space="0"/>
              <w:left w:val="single" w:color="auto" w:sz="4" w:space="0"/>
              <w:bottom w:val="single" w:color="auto" w:sz="4" w:space="0"/>
              <w:right w:val="nil"/>
            </w:tcBorders>
            <w:vAlign w:val="center"/>
          </w:tcPr>
          <w:p w14:paraId="5678D634">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34AED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38EB2730">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3</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304B2A70">
            <w:pPr>
              <w:widowControl/>
              <w:spacing w:line="360" w:lineRule="exact"/>
              <w:ind w:firstLine="0" w:firstLineChars="0"/>
              <w:jc w:val="center"/>
              <w:rPr>
                <w:rFonts w:cs="Times New Roman"/>
                <w:kern w:val="0"/>
                <w:sz w:val="18"/>
                <w:szCs w:val="18"/>
              </w:rPr>
            </w:pPr>
            <w:r>
              <w:rPr>
                <w:rFonts w:hint="eastAsia" w:cs="Times New Roman"/>
                <w:kern w:val="0"/>
                <w:sz w:val="18"/>
                <w:szCs w:val="18"/>
              </w:rPr>
              <w:t>三甲氧基硅烷</w:t>
            </w:r>
          </w:p>
        </w:tc>
        <w:tc>
          <w:tcPr>
            <w:tcW w:w="630" w:type="pct"/>
            <w:tcBorders>
              <w:top w:val="single" w:color="auto" w:sz="4" w:space="0"/>
              <w:left w:val="single" w:color="auto" w:sz="4" w:space="0"/>
              <w:bottom w:val="single" w:color="auto" w:sz="4" w:space="0"/>
              <w:right w:val="single" w:color="auto" w:sz="4" w:space="0"/>
            </w:tcBorders>
            <w:vAlign w:val="center"/>
          </w:tcPr>
          <w:p w14:paraId="4EA7E7E6">
            <w:pPr>
              <w:widowControl/>
              <w:spacing w:line="360" w:lineRule="exact"/>
              <w:ind w:firstLine="0" w:firstLineChars="0"/>
              <w:jc w:val="center"/>
              <w:rPr>
                <w:rFonts w:cs="Times New Roman"/>
                <w:kern w:val="0"/>
                <w:sz w:val="18"/>
                <w:szCs w:val="18"/>
              </w:rPr>
            </w:pPr>
            <w:r>
              <w:rPr>
                <w:rFonts w:hint="eastAsia" w:cs="Times New Roman"/>
                <w:kern w:val="0"/>
                <w:sz w:val="18"/>
                <w:szCs w:val="18"/>
              </w:rPr>
              <w:t>2487-90-3</w:t>
            </w:r>
          </w:p>
        </w:tc>
        <w:tc>
          <w:tcPr>
            <w:tcW w:w="581" w:type="pct"/>
            <w:tcBorders>
              <w:top w:val="single" w:color="auto" w:sz="4" w:space="0"/>
              <w:left w:val="single" w:color="auto" w:sz="4" w:space="0"/>
              <w:bottom w:val="single" w:color="auto" w:sz="4" w:space="0"/>
              <w:right w:val="single" w:color="auto" w:sz="4" w:space="0"/>
            </w:tcBorders>
            <w:vAlign w:val="center"/>
          </w:tcPr>
          <w:p w14:paraId="1A783AE6">
            <w:pPr>
              <w:widowControl/>
              <w:spacing w:line="360" w:lineRule="exact"/>
              <w:ind w:firstLine="0" w:firstLineChars="0"/>
              <w:jc w:val="center"/>
              <w:rPr>
                <w:rFonts w:cs="Times New Roman"/>
                <w:kern w:val="0"/>
                <w:sz w:val="18"/>
                <w:szCs w:val="18"/>
              </w:rPr>
            </w:pPr>
            <w:r>
              <w:rPr>
                <w:rFonts w:hint="eastAsia" w:cs="Times New Roman"/>
                <w:kern w:val="0"/>
                <w:sz w:val="18"/>
                <w:szCs w:val="18"/>
              </w:rPr>
              <w:t>20</w:t>
            </w:r>
          </w:p>
        </w:tc>
        <w:tc>
          <w:tcPr>
            <w:tcW w:w="545" w:type="pct"/>
            <w:tcBorders>
              <w:top w:val="single" w:color="auto" w:sz="4" w:space="0"/>
              <w:left w:val="single" w:color="auto" w:sz="4" w:space="0"/>
              <w:bottom w:val="single" w:color="auto" w:sz="4" w:space="0"/>
              <w:right w:val="single" w:color="auto" w:sz="4" w:space="0"/>
            </w:tcBorders>
            <w:vAlign w:val="center"/>
          </w:tcPr>
          <w:p w14:paraId="117842F4">
            <w:pPr>
              <w:widowControl/>
              <w:spacing w:line="360" w:lineRule="exact"/>
              <w:ind w:firstLine="0" w:firstLineChars="0"/>
              <w:jc w:val="center"/>
              <w:rPr>
                <w:rFonts w:cs="Times New Roman"/>
                <w:kern w:val="0"/>
                <w:sz w:val="18"/>
                <w:szCs w:val="18"/>
              </w:rPr>
            </w:pPr>
            <w:r>
              <w:rPr>
                <w:rFonts w:hint="eastAsia" w:cs="Times New Roman"/>
                <w:kern w:val="0"/>
                <w:sz w:val="18"/>
                <w:szCs w:val="18"/>
              </w:rPr>
              <w:t>17</w:t>
            </w:r>
          </w:p>
        </w:tc>
        <w:tc>
          <w:tcPr>
            <w:tcW w:w="899" w:type="pct"/>
            <w:tcBorders>
              <w:top w:val="single" w:color="auto" w:sz="4" w:space="0"/>
              <w:left w:val="single" w:color="auto" w:sz="4" w:space="0"/>
              <w:bottom w:val="single" w:color="auto" w:sz="4" w:space="0"/>
              <w:right w:val="single" w:color="auto" w:sz="4" w:space="0"/>
            </w:tcBorders>
            <w:noWrap/>
            <w:vAlign w:val="center"/>
          </w:tcPr>
          <w:p w14:paraId="4DAD435C">
            <w:pPr>
              <w:widowControl/>
              <w:spacing w:line="360" w:lineRule="exact"/>
              <w:ind w:firstLine="0" w:firstLineChars="0"/>
              <w:jc w:val="center"/>
              <w:rPr>
                <w:rFonts w:cs="Times New Roman"/>
                <w:kern w:val="0"/>
                <w:sz w:val="18"/>
                <w:szCs w:val="18"/>
              </w:rPr>
            </w:pPr>
            <w:r>
              <w:rPr>
                <w:rFonts w:hint="eastAsia" w:cs="Times New Roman"/>
                <w:kern w:val="0"/>
                <w:sz w:val="18"/>
                <w:szCs w:val="18"/>
              </w:rPr>
              <w:t>37</w:t>
            </w:r>
          </w:p>
        </w:tc>
        <w:tc>
          <w:tcPr>
            <w:tcW w:w="567" w:type="pct"/>
            <w:tcBorders>
              <w:top w:val="single" w:color="auto" w:sz="4" w:space="0"/>
              <w:left w:val="single" w:color="auto" w:sz="4" w:space="0"/>
              <w:bottom w:val="single" w:color="auto" w:sz="4" w:space="0"/>
              <w:right w:val="single" w:color="auto" w:sz="4" w:space="0"/>
            </w:tcBorders>
            <w:vAlign w:val="center"/>
          </w:tcPr>
          <w:p w14:paraId="0AFE0D85">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444" w:type="pct"/>
            <w:tcBorders>
              <w:top w:val="single" w:color="auto" w:sz="4" w:space="0"/>
              <w:left w:val="single" w:color="auto" w:sz="4" w:space="0"/>
              <w:bottom w:val="single" w:color="auto" w:sz="4" w:space="0"/>
              <w:right w:val="nil"/>
            </w:tcBorders>
            <w:vAlign w:val="center"/>
          </w:tcPr>
          <w:p w14:paraId="4F596CC6">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2E88E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547F0C4">
            <w:pPr>
              <w:widowControl/>
              <w:spacing w:line="360" w:lineRule="exact"/>
              <w:ind w:firstLine="0" w:firstLineChars="0"/>
              <w:jc w:val="center"/>
              <w:rPr>
                <w:rFonts w:cs="Times New Roman"/>
                <w:kern w:val="0"/>
                <w:sz w:val="18"/>
                <w:szCs w:val="18"/>
              </w:rPr>
            </w:pPr>
            <w:r>
              <w:rPr>
                <w:rFonts w:hint="eastAsia" w:cs="Times New Roman"/>
                <w:kern w:val="0"/>
                <w:sz w:val="18"/>
                <w:szCs w:val="18"/>
              </w:rPr>
              <w:t>14</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43EC6ED0">
            <w:pPr>
              <w:widowControl/>
              <w:spacing w:line="360" w:lineRule="exact"/>
              <w:ind w:firstLine="0" w:firstLineChars="0"/>
              <w:jc w:val="center"/>
              <w:rPr>
                <w:rFonts w:cs="Times New Roman"/>
                <w:kern w:val="0"/>
                <w:sz w:val="18"/>
                <w:szCs w:val="18"/>
              </w:rPr>
            </w:pPr>
            <w:r>
              <w:rPr>
                <w:rFonts w:hint="eastAsia" w:cs="Times New Roman"/>
                <w:kern w:val="0"/>
                <w:sz w:val="18"/>
                <w:szCs w:val="18"/>
              </w:rPr>
              <w:t>甲基三甲氧基硅烷</w:t>
            </w:r>
          </w:p>
        </w:tc>
        <w:tc>
          <w:tcPr>
            <w:tcW w:w="630" w:type="pct"/>
            <w:tcBorders>
              <w:top w:val="single" w:color="auto" w:sz="4" w:space="0"/>
              <w:left w:val="single" w:color="auto" w:sz="4" w:space="0"/>
              <w:bottom w:val="single" w:color="auto" w:sz="4" w:space="0"/>
              <w:right w:val="single" w:color="auto" w:sz="4" w:space="0"/>
            </w:tcBorders>
            <w:vAlign w:val="center"/>
          </w:tcPr>
          <w:p w14:paraId="6063F2B5">
            <w:pPr>
              <w:widowControl/>
              <w:spacing w:line="360" w:lineRule="exact"/>
              <w:ind w:firstLine="0" w:firstLineChars="0"/>
              <w:jc w:val="center"/>
              <w:rPr>
                <w:rFonts w:cs="Times New Roman"/>
                <w:kern w:val="0"/>
                <w:sz w:val="18"/>
                <w:szCs w:val="18"/>
              </w:rPr>
            </w:pPr>
            <w:r>
              <w:rPr>
                <w:rFonts w:cs="Times New Roman"/>
                <w:kern w:val="0"/>
                <w:sz w:val="18"/>
                <w:szCs w:val="18"/>
              </w:rPr>
              <w:t>1185-55-3</w:t>
            </w:r>
          </w:p>
        </w:tc>
        <w:tc>
          <w:tcPr>
            <w:tcW w:w="581" w:type="pct"/>
            <w:tcBorders>
              <w:top w:val="single" w:color="auto" w:sz="4" w:space="0"/>
              <w:left w:val="single" w:color="auto" w:sz="4" w:space="0"/>
              <w:bottom w:val="single" w:color="auto" w:sz="4" w:space="0"/>
              <w:right w:val="single" w:color="auto" w:sz="4" w:space="0"/>
            </w:tcBorders>
            <w:vAlign w:val="center"/>
          </w:tcPr>
          <w:p w14:paraId="7562FF17">
            <w:pPr>
              <w:widowControl/>
              <w:spacing w:line="360" w:lineRule="exact"/>
              <w:ind w:firstLine="0" w:firstLineChars="0"/>
              <w:jc w:val="center"/>
              <w:rPr>
                <w:rFonts w:cs="Times New Roman"/>
                <w:kern w:val="0"/>
                <w:sz w:val="18"/>
                <w:szCs w:val="18"/>
              </w:rPr>
            </w:pPr>
            <w:r>
              <w:rPr>
                <w:rFonts w:hint="eastAsia" w:cs="Times New Roman"/>
                <w:kern w:val="0"/>
                <w:sz w:val="18"/>
                <w:szCs w:val="18"/>
              </w:rPr>
              <w:t>8.5</w:t>
            </w:r>
          </w:p>
        </w:tc>
        <w:tc>
          <w:tcPr>
            <w:tcW w:w="545" w:type="pct"/>
            <w:tcBorders>
              <w:top w:val="single" w:color="auto" w:sz="4" w:space="0"/>
              <w:left w:val="single" w:color="auto" w:sz="4" w:space="0"/>
              <w:bottom w:val="single" w:color="auto" w:sz="4" w:space="0"/>
              <w:right w:val="single" w:color="auto" w:sz="4" w:space="0"/>
            </w:tcBorders>
            <w:vAlign w:val="center"/>
          </w:tcPr>
          <w:p w14:paraId="71E1006D">
            <w:pPr>
              <w:widowControl/>
              <w:spacing w:line="360" w:lineRule="exact"/>
              <w:ind w:firstLine="0" w:firstLineChars="0"/>
              <w:jc w:val="center"/>
              <w:rPr>
                <w:rFonts w:cs="Times New Roman"/>
                <w:kern w:val="0"/>
                <w:sz w:val="18"/>
                <w:szCs w:val="18"/>
              </w:rPr>
            </w:pPr>
            <w:r>
              <w:rPr>
                <w:rFonts w:hint="eastAsia" w:cs="Times New Roman"/>
                <w:kern w:val="0"/>
                <w:sz w:val="18"/>
                <w:szCs w:val="18"/>
              </w:rPr>
              <w:t>0.5</w:t>
            </w:r>
          </w:p>
        </w:tc>
        <w:tc>
          <w:tcPr>
            <w:tcW w:w="899" w:type="pct"/>
            <w:tcBorders>
              <w:top w:val="single" w:color="auto" w:sz="4" w:space="0"/>
              <w:left w:val="single" w:color="auto" w:sz="4" w:space="0"/>
              <w:bottom w:val="single" w:color="auto" w:sz="4" w:space="0"/>
              <w:right w:val="single" w:color="auto" w:sz="4" w:space="0"/>
            </w:tcBorders>
            <w:noWrap/>
            <w:vAlign w:val="center"/>
          </w:tcPr>
          <w:p w14:paraId="5FDA452A">
            <w:pPr>
              <w:widowControl/>
              <w:spacing w:line="360" w:lineRule="exact"/>
              <w:ind w:firstLine="0" w:firstLineChars="0"/>
              <w:jc w:val="center"/>
              <w:rPr>
                <w:rFonts w:cs="Times New Roman"/>
                <w:kern w:val="0"/>
                <w:sz w:val="18"/>
                <w:szCs w:val="18"/>
              </w:rPr>
            </w:pPr>
            <w:r>
              <w:rPr>
                <w:rFonts w:hint="eastAsia" w:cs="Times New Roman"/>
                <w:kern w:val="0"/>
                <w:sz w:val="18"/>
                <w:szCs w:val="18"/>
              </w:rPr>
              <w:t>9</w:t>
            </w:r>
          </w:p>
        </w:tc>
        <w:tc>
          <w:tcPr>
            <w:tcW w:w="567" w:type="pct"/>
            <w:tcBorders>
              <w:top w:val="single" w:color="auto" w:sz="4" w:space="0"/>
              <w:left w:val="single" w:color="auto" w:sz="4" w:space="0"/>
              <w:bottom w:val="single" w:color="auto" w:sz="4" w:space="0"/>
              <w:right w:val="single" w:color="auto" w:sz="4" w:space="0"/>
            </w:tcBorders>
            <w:vAlign w:val="center"/>
          </w:tcPr>
          <w:p w14:paraId="539C47EE">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444" w:type="pct"/>
            <w:tcBorders>
              <w:top w:val="single" w:color="auto" w:sz="4" w:space="0"/>
              <w:left w:val="single" w:color="auto" w:sz="4" w:space="0"/>
              <w:bottom w:val="single" w:color="auto" w:sz="4" w:space="0"/>
              <w:right w:val="nil"/>
            </w:tcBorders>
            <w:vAlign w:val="center"/>
          </w:tcPr>
          <w:p w14:paraId="2D804FFA">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1A0C3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23DE94A9">
            <w:pPr>
              <w:widowControl/>
              <w:spacing w:line="360" w:lineRule="exact"/>
              <w:ind w:firstLine="0" w:firstLineChars="0"/>
              <w:jc w:val="center"/>
              <w:rPr>
                <w:rFonts w:cs="Times New Roman"/>
                <w:kern w:val="0"/>
                <w:sz w:val="18"/>
                <w:szCs w:val="18"/>
              </w:rPr>
            </w:pPr>
            <w:r>
              <w:rPr>
                <w:rFonts w:hint="eastAsia" w:cs="Times New Roman"/>
                <w:kern w:val="0"/>
                <w:sz w:val="18"/>
                <w:szCs w:val="18"/>
              </w:rPr>
              <w:t>15</w:t>
            </w:r>
          </w:p>
        </w:tc>
        <w:tc>
          <w:tcPr>
            <w:tcW w:w="1034" w:type="pct"/>
            <w:gridSpan w:val="3"/>
            <w:tcBorders>
              <w:top w:val="single" w:color="auto" w:sz="4" w:space="0"/>
              <w:left w:val="single" w:color="auto" w:sz="4" w:space="0"/>
              <w:bottom w:val="single" w:color="auto" w:sz="4" w:space="0"/>
              <w:right w:val="single" w:color="auto" w:sz="4" w:space="0"/>
            </w:tcBorders>
            <w:noWrap/>
            <w:vAlign w:val="center"/>
          </w:tcPr>
          <w:p w14:paraId="2CF9EEFD">
            <w:pPr>
              <w:widowControl/>
              <w:spacing w:line="360" w:lineRule="exact"/>
              <w:ind w:firstLine="0" w:firstLineChars="0"/>
              <w:jc w:val="center"/>
              <w:rPr>
                <w:rFonts w:cs="Times New Roman"/>
                <w:kern w:val="0"/>
                <w:sz w:val="18"/>
                <w:szCs w:val="18"/>
              </w:rPr>
            </w:pPr>
            <w:r>
              <w:rPr>
                <w:rFonts w:cs="Times New Roman"/>
                <w:kern w:val="0"/>
                <w:sz w:val="18"/>
                <w:szCs w:val="18"/>
              </w:rPr>
              <w:t>KH-560</w:t>
            </w:r>
          </w:p>
        </w:tc>
        <w:tc>
          <w:tcPr>
            <w:tcW w:w="630" w:type="pct"/>
            <w:tcBorders>
              <w:top w:val="single" w:color="auto" w:sz="4" w:space="0"/>
              <w:left w:val="single" w:color="auto" w:sz="4" w:space="0"/>
              <w:bottom w:val="single" w:color="auto" w:sz="4" w:space="0"/>
              <w:right w:val="single" w:color="auto" w:sz="4" w:space="0"/>
            </w:tcBorders>
            <w:vAlign w:val="center"/>
          </w:tcPr>
          <w:p w14:paraId="0B52205A">
            <w:pPr>
              <w:widowControl/>
              <w:spacing w:line="360" w:lineRule="exact"/>
              <w:ind w:firstLine="0" w:firstLineChars="0"/>
              <w:jc w:val="center"/>
              <w:rPr>
                <w:rFonts w:cs="Times New Roman"/>
                <w:kern w:val="0"/>
                <w:sz w:val="18"/>
                <w:szCs w:val="18"/>
              </w:rPr>
            </w:pPr>
            <w:r>
              <w:rPr>
                <w:rFonts w:cs="Times New Roman"/>
                <w:kern w:val="0"/>
                <w:sz w:val="18"/>
                <w:szCs w:val="18"/>
              </w:rPr>
              <w:t>2530-83-8</w:t>
            </w:r>
          </w:p>
        </w:tc>
        <w:tc>
          <w:tcPr>
            <w:tcW w:w="581" w:type="pct"/>
            <w:tcBorders>
              <w:top w:val="single" w:color="auto" w:sz="4" w:space="0"/>
              <w:left w:val="single" w:color="auto" w:sz="4" w:space="0"/>
              <w:bottom w:val="single" w:color="auto" w:sz="4" w:space="0"/>
              <w:right w:val="single" w:color="auto" w:sz="4" w:space="0"/>
            </w:tcBorders>
            <w:vAlign w:val="center"/>
          </w:tcPr>
          <w:p w14:paraId="68AFD843">
            <w:pPr>
              <w:widowControl/>
              <w:spacing w:line="360" w:lineRule="exact"/>
              <w:ind w:firstLine="0" w:firstLineChars="0"/>
              <w:jc w:val="center"/>
              <w:rPr>
                <w:rFonts w:cs="Times New Roman"/>
                <w:kern w:val="0"/>
                <w:sz w:val="18"/>
                <w:szCs w:val="18"/>
              </w:rPr>
            </w:pPr>
            <w:r>
              <w:rPr>
                <w:rFonts w:hint="eastAsia" w:cs="Times New Roman"/>
                <w:kern w:val="0"/>
                <w:sz w:val="18"/>
                <w:szCs w:val="18"/>
              </w:rPr>
              <w:t>30</w:t>
            </w:r>
          </w:p>
        </w:tc>
        <w:tc>
          <w:tcPr>
            <w:tcW w:w="545" w:type="pct"/>
            <w:tcBorders>
              <w:top w:val="single" w:color="auto" w:sz="4" w:space="0"/>
              <w:left w:val="single" w:color="auto" w:sz="4" w:space="0"/>
              <w:bottom w:val="single" w:color="auto" w:sz="4" w:space="0"/>
              <w:right w:val="single" w:color="auto" w:sz="4" w:space="0"/>
            </w:tcBorders>
            <w:vAlign w:val="center"/>
          </w:tcPr>
          <w:p w14:paraId="3D086BB1">
            <w:pPr>
              <w:widowControl/>
              <w:spacing w:line="360" w:lineRule="exact"/>
              <w:ind w:firstLine="0" w:firstLineChars="0"/>
              <w:jc w:val="center"/>
              <w:rPr>
                <w:rFonts w:cs="Times New Roman"/>
                <w:kern w:val="0"/>
                <w:sz w:val="18"/>
                <w:szCs w:val="18"/>
              </w:rPr>
            </w:pPr>
            <w:r>
              <w:rPr>
                <w:rFonts w:hint="eastAsia" w:cs="Times New Roman"/>
                <w:kern w:val="0"/>
                <w:sz w:val="18"/>
                <w:szCs w:val="18"/>
              </w:rPr>
              <w:t>28</w:t>
            </w:r>
          </w:p>
        </w:tc>
        <w:tc>
          <w:tcPr>
            <w:tcW w:w="899" w:type="pct"/>
            <w:tcBorders>
              <w:top w:val="single" w:color="auto" w:sz="4" w:space="0"/>
              <w:left w:val="single" w:color="auto" w:sz="4" w:space="0"/>
              <w:bottom w:val="single" w:color="auto" w:sz="4" w:space="0"/>
              <w:right w:val="single" w:color="auto" w:sz="4" w:space="0"/>
            </w:tcBorders>
            <w:noWrap/>
            <w:vAlign w:val="center"/>
          </w:tcPr>
          <w:p w14:paraId="0718279E">
            <w:pPr>
              <w:widowControl/>
              <w:spacing w:line="360" w:lineRule="exact"/>
              <w:ind w:firstLine="0" w:firstLineChars="0"/>
              <w:jc w:val="center"/>
              <w:rPr>
                <w:rFonts w:cs="Times New Roman"/>
                <w:kern w:val="0"/>
                <w:sz w:val="18"/>
                <w:szCs w:val="18"/>
              </w:rPr>
            </w:pPr>
            <w:r>
              <w:rPr>
                <w:rFonts w:hint="eastAsia" w:cs="Times New Roman"/>
                <w:kern w:val="0"/>
                <w:sz w:val="18"/>
                <w:szCs w:val="18"/>
              </w:rPr>
              <w:t>58</w:t>
            </w:r>
          </w:p>
        </w:tc>
        <w:tc>
          <w:tcPr>
            <w:tcW w:w="567" w:type="pct"/>
            <w:tcBorders>
              <w:top w:val="single" w:color="auto" w:sz="4" w:space="0"/>
              <w:left w:val="single" w:color="auto" w:sz="4" w:space="0"/>
              <w:bottom w:val="single" w:color="auto" w:sz="4" w:space="0"/>
              <w:right w:val="single" w:color="auto" w:sz="4" w:space="0"/>
            </w:tcBorders>
            <w:vAlign w:val="center"/>
          </w:tcPr>
          <w:p w14:paraId="44B4825C">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444" w:type="pct"/>
            <w:tcBorders>
              <w:top w:val="single" w:color="auto" w:sz="4" w:space="0"/>
              <w:left w:val="single" w:color="auto" w:sz="4" w:space="0"/>
              <w:bottom w:val="single" w:color="auto" w:sz="4" w:space="0"/>
              <w:right w:val="nil"/>
            </w:tcBorders>
            <w:vAlign w:val="center"/>
          </w:tcPr>
          <w:p w14:paraId="5BF9D278">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1A399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6B4BC79F">
            <w:pPr>
              <w:widowControl/>
              <w:spacing w:line="360" w:lineRule="exact"/>
              <w:ind w:firstLine="0" w:firstLineChars="0"/>
              <w:jc w:val="center"/>
              <w:rPr>
                <w:rFonts w:cs="Times New Roman"/>
                <w:kern w:val="0"/>
                <w:sz w:val="18"/>
                <w:szCs w:val="18"/>
              </w:rPr>
            </w:pPr>
            <w:r>
              <w:rPr>
                <w:rFonts w:hint="eastAsia" w:cs="Times New Roman"/>
                <w:kern w:val="0"/>
                <w:sz w:val="18"/>
                <w:szCs w:val="18"/>
              </w:rPr>
              <w:t>16</w:t>
            </w:r>
          </w:p>
        </w:tc>
        <w:tc>
          <w:tcPr>
            <w:tcW w:w="407" w:type="pct"/>
            <w:vMerge w:val="restart"/>
            <w:tcBorders>
              <w:top w:val="single" w:color="auto" w:sz="4" w:space="0"/>
              <w:left w:val="single" w:color="auto" w:sz="4" w:space="0"/>
              <w:right w:val="single" w:color="auto" w:sz="4" w:space="0"/>
            </w:tcBorders>
            <w:noWrap/>
            <w:vAlign w:val="center"/>
          </w:tcPr>
          <w:p w14:paraId="133177E1">
            <w:pPr>
              <w:widowControl/>
              <w:spacing w:line="360" w:lineRule="exact"/>
              <w:ind w:firstLine="0" w:firstLineChars="0"/>
              <w:jc w:val="center"/>
              <w:rPr>
                <w:rFonts w:cs="Times New Roman"/>
                <w:kern w:val="0"/>
                <w:sz w:val="18"/>
                <w:szCs w:val="18"/>
              </w:rPr>
            </w:pPr>
            <w:r>
              <w:rPr>
                <w:rFonts w:hint="eastAsia" w:cs="Times New Roman"/>
                <w:kern w:val="0"/>
                <w:sz w:val="18"/>
                <w:szCs w:val="18"/>
              </w:rPr>
              <w:t>废气</w:t>
            </w:r>
          </w:p>
        </w:tc>
        <w:tc>
          <w:tcPr>
            <w:tcW w:w="627" w:type="pct"/>
            <w:gridSpan w:val="2"/>
            <w:tcBorders>
              <w:top w:val="single" w:color="auto" w:sz="4" w:space="0"/>
              <w:left w:val="single" w:color="auto" w:sz="4" w:space="0"/>
              <w:bottom w:val="single" w:color="auto" w:sz="4" w:space="0"/>
              <w:right w:val="single" w:color="auto" w:sz="4" w:space="0"/>
            </w:tcBorders>
            <w:vAlign w:val="center"/>
          </w:tcPr>
          <w:p w14:paraId="5535FC59">
            <w:pPr>
              <w:widowControl/>
              <w:spacing w:line="360" w:lineRule="exact"/>
              <w:ind w:firstLine="0" w:firstLineChars="0"/>
              <w:jc w:val="center"/>
              <w:rPr>
                <w:rFonts w:cs="Times New Roman"/>
                <w:kern w:val="0"/>
                <w:sz w:val="18"/>
                <w:szCs w:val="18"/>
              </w:rPr>
            </w:pPr>
            <w:r>
              <w:rPr>
                <w:rFonts w:hint="eastAsia" w:cs="Times New Roman"/>
                <w:kern w:val="0"/>
                <w:sz w:val="18"/>
                <w:szCs w:val="18"/>
              </w:rPr>
              <w:t>甲醇</w:t>
            </w:r>
          </w:p>
        </w:tc>
        <w:tc>
          <w:tcPr>
            <w:tcW w:w="630" w:type="pct"/>
            <w:tcBorders>
              <w:top w:val="single" w:color="auto" w:sz="4" w:space="0"/>
              <w:left w:val="single" w:color="auto" w:sz="4" w:space="0"/>
              <w:bottom w:val="single" w:color="auto" w:sz="4" w:space="0"/>
              <w:right w:val="single" w:color="auto" w:sz="4" w:space="0"/>
            </w:tcBorders>
            <w:vAlign w:val="center"/>
          </w:tcPr>
          <w:p w14:paraId="131EB73B">
            <w:pPr>
              <w:widowControl/>
              <w:spacing w:line="360" w:lineRule="exact"/>
              <w:ind w:firstLine="0" w:firstLineChars="0"/>
              <w:jc w:val="center"/>
              <w:rPr>
                <w:rFonts w:cs="Times New Roman"/>
                <w:kern w:val="0"/>
                <w:sz w:val="18"/>
                <w:szCs w:val="18"/>
              </w:rPr>
            </w:pPr>
            <w:r>
              <w:rPr>
                <w:rFonts w:hint="eastAsia" w:cs="Times New Roman"/>
                <w:kern w:val="0"/>
                <w:sz w:val="18"/>
                <w:szCs w:val="18"/>
              </w:rPr>
              <w:t>67-56-1</w:t>
            </w:r>
          </w:p>
        </w:tc>
        <w:tc>
          <w:tcPr>
            <w:tcW w:w="581" w:type="pct"/>
            <w:tcBorders>
              <w:top w:val="single" w:color="auto" w:sz="4" w:space="0"/>
              <w:left w:val="single" w:color="auto" w:sz="4" w:space="0"/>
              <w:bottom w:val="single" w:color="auto" w:sz="4" w:space="0"/>
              <w:right w:val="single" w:color="auto" w:sz="4" w:space="0"/>
            </w:tcBorders>
          </w:tcPr>
          <w:p w14:paraId="1C67FE32">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tcPr>
          <w:p w14:paraId="5C8F7AA3">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tcPr>
          <w:p w14:paraId="07609B15">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67" w:type="pct"/>
            <w:tcBorders>
              <w:top w:val="single" w:color="auto" w:sz="4" w:space="0"/>
              <w:left w:val="single" w:color="auto" w:sz="4" w:space="0"/>
              <w:bottom w:val="single" w:color="auto" w:sz="4" w:space="0"/>
              <w:right w:val="single" w:color="auto" w:sz="4" w:space="0"/>
            </w:tcBorders>
            <w:vAlign w:val="center"/>
          </w:tcPr>
          <w:p w14:paraId="202A1C45">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tcPr>
          <w:p w14:paraId="0A8B39EB">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23CE01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2E05F92C">
            <w:pPr>
              <w:widowControl/>
              <w:spacing w:line="360" w:lineRule="exact"/>
              <w:ind w:firstLine="0" w:firstLineChars="0"/>
              <w:jc w:val="center"/>
              <w:rPr>
                <w:rFonts w:cs="Times New Roman"/>
                <w:kern w:val="0"/>
                <w:sz w:val="18"/>
                <w:szCs w:val="18"/>
              </w:rPr>
            </w:pPr>
            <w:r>
              <w:rPr>
                <w:rFonts w:hint="eastAsia" w:cs="Times New Roman"/>
                <w:kern w:val="0"/>
                <w:sz w:val="18"/>
                <w:szCs w:val="18"/>
              </w:rPr>
              <w:t>17</w:t>
            </w:r>
          </w:p>
        </w:tc>
        <w:tc>
          <w:tcPr>
            <w:tcW w:w="407" w:type="pct"/>
            <w:vMerge w:val="continue"/>
            <w:tcBorders>
              <w:left w:val="single" w:color="auto" w:sz="4" w:space="0"/>
              <w:right w:val="single" w:color="auto" w:sz="4" w:space="0"/>
            </w:tcBorders>
            <w:noWrap/>
            <w:vAlign w:val="center"/>
          </w:tcPr>
          <w:p w14:paraId="0D831A2C">
            <w:pPr>
              <w:widowControl/>
              <w:spacing w:line="360" w:lineRule="exact"/>
              <w:ind w:firstLine="0" w:firstLineChars="0"/>
              <w:jc w:val="center"/>
              <w:rPr>
                <w:rFonts w:cs="Times New Roman"/>
                <w:kern w:val="0"/>
                <w:sz w:val="18"/>
                <w:szCs w:val="18"/>
              </w:rPr>
            </w:pPr>
          </w:p>
        </w:tc>
        <w:tc>
          <w:tcPr>
            <w:tcW w:w="627" w:type="pct"/>
            <w:gridSpan w:val="2"/>
            <w:tcBorders>
              <w:top w:val="single" w:color="auto" w:sz="4" w:space="0"/>
              <w:left w:val="single" w:color="auto" w:sz="4" w:space="0"/>
              <w:bottom w:val="single" w:color="auto" w:sz="4" w:space="0"/>
              <w:right w:val="single" w:color="auto" w:sz="4" w:space="0"/>
            </w:tcBorders>
            <w:vAlign w:val="center"/>
          </w:tcPr>
          <w:p w14:paraId="3634E7CC">
            <w:pPr>
              <w:pStyle w:val="445"/>
              <w:rPr>
                <w:rFonts w:cs="Times New Roman"/>
                <w:kern w:val="0"/>
                <w:szCs w:val="18"/>
              </w:rPr>
            </w:pPr>
            <w:r>
              <w:rPr>
                <w:rFonts w:hint="eastAsia" w:cs="Times New Roman"/>
                <w:kern w:val="0"/>
                <w:szCs w:val="20"/>
              </w:rPr>
              <w:t>氨</w:t>
            </w:r>
          </w:p>
        </w:tc>
        <w:tc>
          <w:tcPr>
            <w:tcW w:w="630" w:type="pct"/>
            <w:tcBorders>
              <w:top w:val="single" w:color="auto" w:sz="4" w:space="0"/>
              <w:left w:val="single" w:color="auto" w:sz="4" w:space="0"/>
              <w:bottom w:val="single" w:color="auto" w:sz="4" w:space="0"/>
              <w:right w:val="single" w:color="auto" w:sz="4" w:space="0"/>
            </w:tcBorders>
            <w:vAlign w:val="center"/>
          </w:tcPr>
          <w:p w14:paraId="26AD5CA5">
            <w:pPr>
              <w:widowControl/>
              <w:spacing w:line="360" w:lineRule="exact"/>
              <w:ind w:firstLine="0" w:firstLineChars="0"/>
              <w:jc w:val="center"/>
              <w:rPr>
                <w:rFonts w:cs="Times New Roman"/>
                <w:kern w:val="0"/>
                <w:sz w:val="18"/>
                <w:szCs w:val="18"/>
              </w:rPr>
            </w:pPr>
            <w:r>
              <w:rPr>
                <w:rFonts w:hint="eastAsia" w:cs="Times New Roman"/>
                <w:kern w:val="0"/>
                <w:sz w:val="18"/>
                <w:szCs w:val="18"/>
              </w:rPr>
              <w:t>1336-21-</w:t>
            </w:r>
            <w:r>
              <w:rPr>
                <w:rFonts w:cs="Times New Roman"/>
                <w:kern w:val="0"/>
                <w:sz w:val="18"/>
                <w:szCs w:val="18"/>
              </w:rPr>
              <w:t>6</w:t>
            </w:r>
          </w:p>
        </w:tc>
        <w:tc>
          <w:tcPr>
            <w:tcW w:w="581" w:type="pct"/>
            <w:tcBorders>
              <w:top w:val="single" w:color="auto" w:sz="4" w:space="0"/>
              <w:left w:val="single" w:color="auto" w:sz="4" w:space="0"/>
              <w:bottom w:val="single" w:color="auto" w:sz="4" w:space="0"/>
              <w:right w:val="single" w:color="auto" w:sz="4" w:space="0"/>
            </w:tcBorders>
          </w:tcPr>
          <w:p w14:paraId="63C7F01E">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tcPr>
          <w:p w14:paraId="0853A85C">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tcPr>
          <w:p w14:paraId="0C6E95C3">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67" w:type="pct"/>
            <w:tcBorders>
              <w:top w:val="single" w:color="auto" w:sz="4" w:space="0"/>
              <w:left w:val="single" w:color="auto" w:sz="4" w:space="0"/>
              <w:bottom w:val="single" w:color="auto" w:sz="4" w:space="0"/>
              <w:right w:val="single" w:color="auto" w:sz="4" w:space="0"/>
            </w:tcBorders>
            <w:vAlign w:val="center"/>
          </w:tcPr>
          <w:p w14:paraId="09740022">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444" w:type="pct"/>
            <w:tcBorders>
              <w:top w:val="single" w:color="auto" w:sz="4" w:space="0"/>
              <w:left w:val="single" w:color="auto" w:sz="4" w:space="0"/>
              <w:bottom w:val="single" w:color="auto" w:sz="4" w:space="0"/>
              <w:right w:val="nil"/>
            </w:tcBorders>
          </w:tcPr>
          <w:p w14:paraId="4235C4DC">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171EA0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3AECAB4B">
            <w:pPr>
              <w:widowControl/>
              <w:spacing w:line="360" w:lineRule="exact"/>
              <w:ind w:firstLine="0" w:firstLineChars="0"/>
              <w:jc w:val="center"/>
              <w:rPr>
                <w:rFonts w:cs="Times New Roman"/>
                <w:kern w:val="0"/>
                <w:sz w:val="18"/>
                <w:szCs w:val="18"/>
              </w:rPr>
            </w:pPr>
            <w:r>
              <w:rPr>
                <w:rFonts w:hint="eastAsia" w:cs="Times New Roman"/>
                <w:kern w:val="0"/>
                <w:sz w:val="18"/>
                <w:szCs w:val="18"/>
              </w:rPr>
              <w:t>18</w:t>
            </w:r>
          </w:p>
        </w:tc>
        <w:tc>
          <w:tcPr>
            <w:tcW w:w="407" w:type="pct"/>
            <w:vMerge w:val="continue"/>
            <w:tcBorders>
              <w:left w:val="single" w:color="auto" w:sz="4" w:space="0"/>
              <w:right w:val="single" w:color="auto" w:sz="4" w:space="0"/>
            </w:tcBorders>
            <w:noWrap/>
            <w:vAlign w:val="center"/>
          </w:tcPr>
          <w:p w14:paraId="30BC37CA">
            <w:pPr>
              <w:widowControl/>
              <w:spacing w:line="360" w:lineRule="exact"/>
              <w:ind w:firstLine="0" w:firstLineChars="0"/>
              <w:jc w:val="center"/>
              <w:rPr>
                <w:rFonts w:cs="Times New Roman"/>
                <w:kern w:val="0"/>
                <w:sz w:val="18"/>
                <w:szCs w:val="18"/>
              </w:rPr>
            </w:pPr>
          </w:p>
        </w:tc>
        <w:tc>
          <w:tcPr>
            <w:tcW w:w="627" w:type="pct"/>
            <w:gridSpan w:val="2"/>
            <w:tcBorders>
              <w:top w:val="single" w:color="auto" w:sz="4" w:space="0"/>
              <w:left w:val="single" w:color="auto" w:sz="4" w:space="0"/>
              <w:bottom w:val="single" w:color="auto" w:sz="4" w:space="0"/>
              <w:right w:val="single" w:color="auto" w:sz="4" w:space="0"/>
            </w:tcBorders>
            <w:vAlign w:val="center"/>
          </w:tcPr>
          <w:p w14:paraId="2474248E">
            <w:pPr>
              <w:pStyle w:val="445"/>
              <w:rPr>
                <w:rFonts w:cs="Times New Roman"/>
                <w:kern w:val="0"/>
                <w:szCs w:val="18"/>
              </w:rPr>
            </w:pPr>
            <w:r>
              <w:rPr>
                <w:rFonts w:hint="eastAsia" w:cs="Times New Roman"/>
                <w:kern w:val="0"/>
                <w:szCs w:val="20"/>
              </w:rPr>
              <w:t>二氧化硫</w:t>
            </w:r>
          </w:p>
        </w:tc>
        <w:tc>
          <w:tcPr>
            <w:tcW w:w="630" w:type="pct"/>
            <w:tcBorders>
              <w:top w:val="single" w:color="auto" w:sz="4" w:space="0"/>
              <w:left w:val="single" w:color="auto" w:sz="4" w:space="0"/>
              <w:bottom w:val="single" w:color="auto" w:sz="4" w:space="0"/>
              <w:right w:val="single" w:color="auto" w:sz="4" w:space="0"/>
            </w:tcBorders>
            <w:vAlign w:val="center"/>
          </w:tcPr>
          <w:p w14:paraId="16AB19EE">
            <w:pPr>
              <w:widowControl/>
              <w:spacing w:line="360" w:lineRule="exact"/>
              <w:ind w:firstLine="0" w:firstLineChars="0"/>
              <w:jc w:val="center"/>
              <w:rPr>
                <w:rFonts w:cs="Times New Roman"/>
                <w:kern w:val="0"/>
                <w:sz w:val="18"/>
                <w:szCs w:val="18"/>
              </w:rPr>
            </w:pPr>
            <w:r>
              <w:rPr>
                <w:rFonts w:hint="eastAsia" w:cs="Times New Roman"/>
                <w:kern w:val="0"/>
                <w:sz w:val="18"/>
                <w:szCs w:val="20"/>
              </w:rPr>
              <w:t>7446-09-5</w:t>
            </w:r>
          </w:p>
        </w:tc>
        <w:tc>
          <w:tcPr>
            <w:tcW w:w="581" w:type="pct"/>
            <w:tcBorders>
              <w:top w:val="single" w:color="auto" w:sz="4" w:space="0"/>
              <w:left w:val="single" w:color="auto" w:sz="4" w:space="0"/>
              <w:bottom w:val="single" w:color="auto" w:sz="4" w:space="0"/>
              <w:right w:val="single" w:color="auto" w:sz="4" w:space="0"/>
            </w:tcBorders>
          </w:tcPr>
          <w:p w14:paraId="3D0E77BC">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tcPr>
          <w:p w14:paraId="6F142A94">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tcPr>
          <w:p w14:paraId="73B27450">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67" w:type="pct"/>
            <w:tcBorders>
              <w:top w:val="single" w:color="auto" w:sz="4" w:space="0"/>
              <w:left w:val="single" w:color="auto" w:sz="4" w:space="0"/>
              <w:bottom w:val="single" w:color="auto" w:sz="4" w:space="0"/>
              <w:right w:val="single" w:color="auto" w:sz="4" w:space="0"/>
            </w:tcBorders>
            <w:vAlign w:val="center"/>
          </w:tcPr>
          <w:p w14:paraId="20250758">
            <w:pPr>
              <w:widowControl/>
              <w:spacing w:line="360" w:lineRule="exact"/>
              <w:ind w:firstLine="0" w:firstLineChars="0"/>
              <w:jc w:val="center"/>
              <w:rPr>
                <w:rFonts w:cs="Times New Roman"/>
                <w:kern w:val="0"/>
                <w:sz w:val="18"/>
                <w:szCs w:val="18"/>
              </w:rPr>
            </w:pPr>
            <w:r>
              <w:rPr>
                <w:rFonts w:hint="eastAsia" w:cs="Times New Roman"/>
                <w:kern w:val="0"/>
                <w:sz w:val="18"/>
                <w:szCs w:val="20"/>
              </w:rPr>
              <w:t>1</w:t>
            </w:r>
          </w:p>
        </w:tc>
        <w:tc>
          <w:tcPr>
            <w:tcW w:w="444" w:type="pct"/>
            <w:tcBorders>
              <w:top w:val="single" w:color="auto" w:sz="4" w:space="0"/>
              <w:left w:val="single" w:color="auto" w:sz="4" w:space="0"/>
              <w:bottom w:val="single" w:color="auto" w:sz="4" w:space="0"/>
              <w:right w:val="nil"/>
            </w:tcBorders>
          </w:tcPr>
          <w:p w14:paraId="47976C32">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01085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228A8BE">
            <w:pPr>
              <w:widowControl/>
              <w:spacing w:line="360" w:lineRule="exact"/>
              <w:ind w:firstLine="0" w:firstLineChars="0"/>
              <w:jc w:val="center"/>
              <w:rPr>
                <w:rFonts w:cs="Times New Roman"/>
                <w:kern w:val="0"/>
                <w:sz w:val="18"/>
                <w:szCs w:val="18"/>
              </w:rPr>
            </w:pPr>
            <w:r>
              <w:rPr>
                <w:rFonts w:hint="eastAsia" w:cs="Times New Roman"/>
                <w:kern w:val="0"/>
                <w:sz w:val="18"/>
                <w:szCs w:val="18"/>
              </w:rPr>
              <w:t>19</w:t>
            </w:r>
          </w:p>
        </w:tc>
        <w:tc>
          <w:tcPr>
            <w:tcW w:w="407" w:type="pct"/>
            <w:vMerge w:val="continue"/>
            <w:tcBorders>
              <w:left w:val="single" w:color="auto" w:sz="4" w:space="0"/>
              <w:right w:val="single" w:color="auto" w:sz="4" w:space="0"/>
            </w:tcBorders>
            <w:noWrap/>
            <w:vAlign w:val="center"/>
          </w:tcPr>
          <w:p w14:paraId="7CDE52D7">
            <w:pPr>
              <w:widowControl/>
              <w:spacing w:line="360" w:lineRule="exact"/>
              <w:ind w:firstLine="0" w:firstLineChars="0"/>
              <w:jc w:val="center"/>
              <w:rPr>
                <w:rFonts w:cs="Times New Roman"/>
                <w:kern w:val="0"/>
                <w:sz w:val="18"/>
                <w:szCs w:val="18"/>
              </w:rPr>
            </w:pPr>
          </w:p>
        </w:tc>
        <w:tc>
          <w:tcPr>
            <w:tcW w:w="627" w:type="pct"/>
            <w:gridSpan w:val="2"/>
            <w:tcBorders>
              <w:top w:val="single" w:color="auto" w:sz="4" w:space="0"/>
              <w:left w:val="single" w:color="auto" w:sz="4" w:space="0"/>
              <w:bottom w:val="single" w:color="auto" w:sz="4" w:space="0"/>
              <w:right w:val="single" w:color="auto" w:sz="4" w:space="0"/>
            </w:tcBorders>
            <w:vAlign w:val="center"/>
          </w:tcPr>
          <w:p w14:paraId="781D0FCB">
            <w:pPr>
              <w:pStyle w:val="445"/>
              <w:rPr>
                <w:rFonts w:cs="Times New Roman"/>
                <w:kern w:val="0"/>
                <w:szCs w:val="18"/>
              </w:rPr>
            </w:pPr>
            <w:r>
              <w:rPr>
                <w:rFonts w:hint="eastAsia" w:cs="Times New Roman"/>
                <w:kern w:val="0"/>
                <w:szCs w:val="20"/>
              </w:rPr>
              <w:t>氯化氢</w:t>
            </w:r>
          </w:p>
        </w:tc>
        <w:tc>
          <w:tcPr>
            <w:tcW w:w="630" w:type="pct"/>
            <w:tcBorders>
              <w:top w:val="single" w:color="auto" w:sz="4" w:space="0"/>
              <w:left w:val="single" w:color="auto" w:sz="4" w:space="0"/>
              <w:bottom w:val="single" w:color="auto" w:sz="4" w:space="0"/>
              <w:right w:val="single" w:color="auto" w:sz="4" w:space="0"/>
            </w:tcBorders>
            <w:vAlign w:val="center"/>
          </w:tcPr>
          <w:p w14:paraId="0DF3CB2C">
            <w:pPr>
              <w:widowControl/>
              <w:spacing w:line="360" w:lineRule="exact"/>
              <w:ind w:firstLine="0" w:firstLineChars="0"/>
              <w:jc w:val="center"/>
              <w:rPr>
                <w:rFonts w:cs="Times New Roman"/>
                <w:kern w:val="0"/>
                <w:sz w:val="18"/>
                <w:szCs w:val="18"/>
              </w:rPr>
            </w:pPr>
            <w:r>
              <w:rPr>
                <w:rFonts w:hint="eastAsia" w:cs="Times New Roman"/>
                <w:kern w:val="0"/>
                <w:sz w:val="18"/>
                <w:szCs w:val="20"/>
              </w:rPr>
              <w:t>7647</w:t>
            </w:r>
            <w:r>
              <w:rPr>
                <w:rFonts w:cs="Times New Roman"/>
                <w:kern w:val="0"/>
                <w:sz w:val="18"/>
                <w:szCs w:val="20"/>
              </w:rPr>
              <w:t>-01-0</w:t>
            </w:r>
          </w:p>
        </w:tc>
        <w:tc>
          <w:tcPr>
            <w:tcW w:w="581" w:type="pct"/>
            <w:tcBorders>
              <w:top w:val="single" w:color="auto" w:sz="4" w:space="0"/>
              <w:left w:val="single" w:color="auto" w:sz="4" w:space="0"/>
              <w:bottom w:val="single" w:color="auto" w:sz="4" w:space="0"/>
              <w:right w:val="single" w:color="auto" w:sz="4" w:space="0"/>
            </w:tcBorders>
          </w:tcPr>
          <w:p w14:paraId="5CC6042A">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tcPr>
          <w:p w14:paraId="339AAD67">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tcPr>
          <w:p w14:paraId="4FFB22B5">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67" w:type="pct"/>
            <w:tcBorders>
              <w:top w:val="single" w:color="auto" w:sz="4" w:space="0"/>
              <w:left w:val="single" w:color="auto" w:sz="4" w:space="0"/>
              <w:bottom w:val="single" w:color="auto" w:sz="4" w:space="0"/>
              <w:right w:val="single" w:color="auto" w:sz="4" w:space="0"/>
            </w:tcBorders>
            <w:vAlign w:val="center"/>
          </w:tcPr>
          <w:p w14:paraId="706F4EDF">
            <w:pPr>
              <w:widowControl/>
              <w:spacing w:line="360" w:lineRule="exact"/>
              <w:ind w:firstLine="0" w:firstLineChars="0"/>
              <w:jc w:val="center"/>
              <w:rPr>
                <w:rFonts w:cs="Times New Roman"/>
                <w:kern w:val="0"/>
                <w:sz w:val="18"/>
                <w:szCs w:val="18"/>
              </w:rPr>
            </w:pPr>
            <w:r>
              <w:rPr>
                <w:rFonts w:hint="eastAsia" w:cs="Times New Roman"/>
                <w:kern w:val="0"/>
                <w:sz w:val="18"/>
                <w:szCs w:val="20"/>
              </w:rPr>
              <w:t>2.5</w:t>
            </w:r>
          </w:p>
        </w:tc>
        <w:tc>
          <w:tcPr>
            <w:tcW w:w="444" w:type="pct"/>
            <w:tcBorders>
              <w:top w:val="single" w:color="auto" w:sz="4" w:space="0"/>
              <w:left w:val="single" w:color="auto" w:sz="4" w:space="0"/>
              <w:bottom w:val="single" w:color="auto" w:sz="4" w:space="0"/>
              <w:right w:val="nil"/>
            </w:tcBorders>
          </w:tcPr>
          <w:p w14:paraId="7931A809">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040FDB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0" w:type="pct"/>
            <w:tcBorders>
              <w:top w:val="single" w:color="auto" w:sz="4" w:space="0"/>
              <w:left w:val="nil"/>
              <w:bottom w:val="single" w:color="auto" w:sz="4" w:space="0"/>
              <w:right w:val="single" w:color="auto" w:sz="4" w:space="0"/>
            </w:tcBorders>
            <w:vAlign w:val="center"/>
          </w:tcPr>
          <w:p w14:paraId="5E7B2D75">
            <w:pPr>
              <w:widowControl/>
              <w:spacing w:line="360" w:lineRule="exact"/>
              <w:ind w:firstLine="0" w:firstLineChars="0"/>
              <w:jc w:val="center"/>
              <w:rPr>
                <w:rFonts w:cs="Times New Roman"/>
                <w:kern w:val="0"/>
                <w:sz w:val="18"/>
                <w:szCs w:val="18"/>
              </w:rPr>
            </w:pPr>
            <w:r>
              <w:rPr>
                <w:rFonts w:hint="eastAsia" w:cs="Times New Roman"/>
                <w:kern w:val="0"/>
                <w:sz w:val="18"/>
                <w:szCs w:val="18"/>
              </w:rPr>
              <w:t>20</w:t>
            </w:r>
          </w:p>
        </w:tc>
        <w:tc>
          <w:tcPr>
            <w:tcW w:w="407" w:type="pct"/>
            <w:vMerge w:val="continue"/>
            <w:tcBorders>
              <w:left w:val="single" w:color="auto" w:sz="4" w:space="0"/>
              <w:bottom w:val="single" w:color="auto" w:sz="4" w:space="0"/>
              <w:right w:val="single" w:color="auto" w:sz="4" w:space="0"/>
            </w:tcBorders>
            <w:noWrap/>
            <w:vAlign w:val="center"/>
          </w:tcPr>
          <w:p w14:paraId="368BD438">
            <w:pPr>
              <w:widowControl/>
              <w:spacing w:line="360" w:lineRule="exact"/>
              <w:ind w:firstLine="0" w:firstLineChars="0"/>
              <w:jc w:val="center"/>
              <w:rPr>
                <w:rFonts w:cs="Times New Roman"/>
                <w:kern w:val="0"/>
                <w:sz w:val="18"/>
                <w:szCs w:val="18"/>
              </w:rPr>
            </w:pPr>
          </w:p>
        </w:tc>
        <w:tc>
          <w:tcPr>
            <w:tcW w:w="627" w:type="pct"/>
            <w:gridSpan w:val="2"/>
            <w:tcBorders>
              <w:top w:val="single" w:color="auto" w:sz="4" w:space="0"/>
              <w:left w:val="single" w:color="auto" w:sz="4" w:space="0"/>
              <w:bottom w:val="single" w:color="auto" w:sz="4" w:space="0"/>
              <w:right w:val="single" w:color="auto" w:sz="4" w:space="0"/>
            </w:tcBorders>
            <w:vAlign w:val="center"/>
          </w:tcPr>
          <w:p w14:paraId="2D5945B5">
            <w:pPr>
              <w:pStyle w:val="445"/>
              <w:rPr>
                <w:rFonts w:cs="Times New Roman"/>
                <w:kern w:val="0"/>
                <w:szCs w:val="18"/>
              </w:rPr>
            </w:pPr>
            <w:r>
              <w:rPr>
                <w:rFonts w:hint="eastAsia" w:cs="Times New Roman"/>
                <w:color w:val="000000"/>
                <w:kern w:val="0"/>
                <w:szCs w:val="18"/>
              </w:rPr>
              <w:t>氟化氢</w:t>
            </w:r>
          </w:p>
        </w:tc>
        <w:tc>
          <w:tcPr>
            <w:tcW w:w="630" w:type="pct"/>
            <w:tcBorders>
              <w:top w:val="single" w:color="auto" w:sz="4" w:space="0"/>
              <w:left w:val="single" w:color="auto" w:sz="4" w:space="0"/>
              <w:bottom w:val="single" w:color="auto" w:sz="4" w:space="0"/>
              <w:right w:val="single" w:color="auto" w:sz="4" w:space="0"/>
            </w:tcBorders>
            <w:vAlign w:val="center"/>
          </w:tcPr>
          <w:p w14:paraId="54D3F0AB">
            <w:pPr>
              <w:widowControl/>
              <w:spacing w:line="360" w:lineRule="exact"/>
              <w:ind w:firstLine="0" w:firstLineChars="0"/>
              <w:jc w:val="center"/>
              <w:rPr>
                <w:rFonts w:cs="Times New Roman"/>
                <w:kern w:val="0"/>
                <w:sz w:val="18"/>
                <w:szCs w:val="18"/>
              </w:rPr>
            </w:pPr>
            <w:r>
              <w:rPr>
                <w:rFonts w:hint="eastAsia" w:cs="Times New Roman"/>
                <w:kern w:val="0"/>
                <w:sz w:val="18"/>
                <w:szCs w:val="20"/>
              </w:rPr>
              <w:t>7664</w:t>
            </w:r>
            <w:r>
              <w:rPr>
                <w:rFonts w:cs="Times New Roman"/>
                <w:kern w:val="0"/>
                <w:sz w:val="18"/>
                <w:szCs w:val="20"/>
              </w:rPr>
              <w:t>-39-3</w:t>
            </w:r>
          </w:p>
        </w:tc>
        <w:tc>
          <w:tcPr>
            <w:tcW w:w="581" w:type="pct"/>
            <w:tcBorders>
              <w:top w:val="single" w:color="auto" w:sz="4" w:space="0"/>
              <w:left w:val="single" w:color="auto" w:sz="4" w:space="0"/>
              <w:bottom w:val="single" w:color="auto" w:sz="4" w:space="0"/>
              <w:right w:val="single" w:color="auto" w:sz="4" w:space="0"/>
            </w:tcBorders>
          </w:tcPr>
          <w:p w14:paraId="61C4A7A3">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45" w:type="pct"/>
            <w:tcBorders>
              <w:top w:val="single" w:color="auto" w:sz="4" w:space="0"/>
              <w:left w:val="single" w:color="auto" w:sz="4" w:space="0"/>
              <w:bottom w:val="single" w:color="auto" w:sz="4" w:space="0"/>
              <w:right w:val="single" w:color="auto" w:sz="4" w:space="0"/>
            </w:tcBorders>
          </w:tcPr>
          <w:p w14:paraId="505FF80C">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899" w:type="pct"/>
            <w:tcBorders>
              <w:top w:val="single" w:color="auto" w:sz="4" w:space="0"/>
              <w:left w:val="single" w:color="auto" w:sz="4" w:space="0"/>
              <w:bottom w:val="single" w:color="auto" w:sz="4" w:space="0"/>
              <w:right w:val="single" w:color="auto" w:sz="4" w:space="0"/>
            </w:tcBorders>
            <w:noWrap/>
          </w:tcPr>
          <w:p w14:paraId="0CBBCA6A">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c>
          <w:tcPr>
            <w:tcW w:w="567" w:type="pct"/>
            <w:tcBorders>
              <w:top w:val="single" w:color="auto" w:sz="4" w:space="0"/>
              <w:left w:val="single" w:color="auto" w:sz="4" w:space="0"/>
              <w:bottom w:val="single" w:color="auto" w:sz="4" w:space="0"/>
              <w:right w:val="single" w:color="auto" w:sz="4" w:space="0"/>
            </w:tcBorders>
            <w:vAlign w:val="center"/>
          </w:tcPr>
          <w:p w14:paraId="1B51071F">
            <w:pPr>
              <w:widowControl/>
              <w:spacing w:line="360" w:lineRule="exact"/>
              <w:ind w:firstLine="0" w:firstLineChars="0"/>
              <w:jc w:val="center"/>
              <w:rPr>
                <w:rFonts w:cs="Times New Roman"/>
                <w:kern w:val="0"/>
                <w:sz w:val="18"/>
                <w:szCs w:val="18"/>
              </w:rPr>
            </w:pPr>
            <w:r>
              <w:rPr>
                <w:rFonts w:hint="eastAsia" w:cs="Times New Roman"/>
                <w:kern w:val="0"/>
                <w:sz w:val="18"/>
                <w:szCs w:val="20"/>
              </w:rPr>
              <w:t>1</w:t>
            </w:r>
          </w:p>
        </w:tc>
        <w:tc>
          <w:tcPr>
            <w:tcW w:w="444" w:type="pct"/>
            <w:tcBorders>
              <w:top w:val="single" w:color="auto" w:sz="4" w:space="0"/>
              <w:left w:val="single" w:color="auto" w:sz="4" w:space="0"/>
              <w:bottom w:val="single" w:color="auto" w:sz="4" w:space="0"/>
              <w:right w:val="nil"/>
            </w:tcBorders>
          </w:tcPr>
          <w:p w14:paraId="0E8AF619">
            <w:pPr>
              <w:widowControl/>
              <w:spacing w:line="360" w:lineRule="exact"/>
              <w:ind w:firstLine="0" w:firstLineChars="0"/>
              <w:jc w:val="center"/>
              <w:rPr>
                <w:rFonts w:cs="Times New Roman"/>
                <w:kern w:val="0"/>
                <w:sz w:val="18"/>
                <w:szCs w:val="18"/>
              </w:rPr>
            </w:pPr>
            <w:r>
              <w:rPr>
                <w:rFonts w:hint="eastAsia" w:cs="Times New Roman"/>
                <w:kern w:val="0"/>
                <w:sz w:val="18"/>
                <w:szCs w:val="18"/>
              </w:rPr>
              <w:t>/</w:t>
            </w:r>
          </w:p>
        </w:tc>
      </w:tr>
      <w:tr w14:paraId="3A82AB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556" w:type="pct"/>
            <w:gridSpan w:val="9"/>
            <w:tcBorders>
              <w:top w:val="single" w:color="auto" w:sz="4" w:space="0"/>
              <w:left w:val="nil"/>
              <w:bottom w:val="single" w:color="auto" w:sz="4" w:space="0"/>
              <w:right w:val="single" w:color="auto" w:sz="4" w:space="0"/>
            </w:tcBorders>
            <w:vAlign w:val="center"/>
          </w:tcPr>
          <w:p w14:paraId="4C57B6DA">
            <w:pPr>
              <w:widowControl/>
              <w:spacing w:line="360" w:lineRule="exact"/>
              <w:ind w:firstLine="0" w:firstLineChars="0"/>
              <w:jc w:val="center"/>
              <w:rPr>
                <w:rFonts w:cs="Times New Roman"/>
                <w:kern w:val="0"/>
                <w:sz w:val="18"/>
                <w:szCs w:val="18"/>
              </w:rPr>
            </w:pPr>
            <w:r>
              <w:rPr>
                <w:rFonts w:hint="eastAsia" w:cs="Times New Roman"/>
                <w:kern w:val="0"/>
                <w:sz w:val="18"/>
                <w:szCs w:val="18"/>
              </w:rPr>
              <w:t>Q</w:t>
            </w:r>
            <w:r>
              <w:rPr>
                <w:rFonts w:hint="eastAsia" w:ascii="宋体" w:hAnsi="宋体" w:cs="Times New Roman"/>
                <w:kern w:val="0"/>
                <w:sz w:val="18"/>
                <w:szCs w:val="18"/>
              </w:rPr>
              <w:t>值合计</w:t>
            </w:r>
          </w:p>
        </w:tc>
        <w:tc>
          <w:tcPr>
            <w:tcW w:w="444" w:type="pct"/>
            <w:tcBorders>
              <w:top w:val="single" w:color="auto" w:sz="4" w:space="0"/>
              <w:left w:val="single" w:color="auto" w:sz="4" w:space="0"/>
              <w:bottom w:val="single" w:color="auto" w:sz="4" w:space="0"/>
              <w:right w:val="nil"/>
            </w:tcBorders>
            <w:vAlign w:val="center"/>
          </w:tcPr>
          <w:p w14:paraId="5C0EAFFF">
            <w:pPr>
              <w:pStyle w:val="445"/>
              <w:rPr>
                <w:rFonts w:cs="Times New Roman"/>
                <w:kern w:val="0"/>
                <w:szCs w:val="20"/>
              </w:rPr>
            </w:pPr>
            <w:r>
              <w:rPr>
                <w:rFonts w:cs="Times New Roman"/>
                <w:kern w:val="0"/>
                <w:szCs w:val="20"/>
              </w:rPr>
              <w:t>75.44</w:t>
            </w:r>
          </w:p>
        </w:tc>
      </w:tr>
      <w:tr w14:paraId="1A6B1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tcBorders>
              <w:top w:val="single" w:color="auto" w:sz="4" w:space="0"/>
              <w:left w:val="nil"/>
              <w:bottom w:val="single" w:color="auto" w:sz="12" w:space="0"/>
              <w:right w:val="nil"/>
            </w:tcBorders>
            <w:vAlign w:val="center"/>
          </w:tcPr>
          <w:p w14:paraId="2CF259D3">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备注</w:t>
            </w:r>
            <w:r>
              <w:rPr>
                <w:rFonts w:ascii="宋体" w:hAnsi="宋体" w:cs="Times New Roman"/>
                <w:kern w:val="0"/>
                <w:sz w:val="18"/>
                <w:szCs w:val="18"/>
              </w:rPr>
              <w:t>：</w:t>
            </w:r>
            <w:r>
              <w:rPr>
                <w:rFonts w:hint="eastAsia" w:cs="Times New Roman"/>
                <w:kern w:val="0"/>
                <w:sz w:val="18"/>
                <w:szCs w:val="18"/>
              </w:rPr>
              <w:t>1</w:t>
            </w:r>
            <w:r>
              <w:rPr>
                <w:rFonts w:hint="eastAsia" w:ascii="宋体" w:hAnsi="宋体" w:cs="Times New Roman"/>
                <w:kern w:val="0"/>
                <w:sz w:val="18"/>
                <w:szCs w:val="18"/>
              </w:rPr>
              <w:t>：</w:t>
            </w:r>
            <w:r>
              <w:rPr>
                <w:rFonts w:ascii="宋体" w:hAnsi="宋体" w:cs="Times New Roman"/>
                <w:kern w:val="0"/>
                <w:sz w:val="18"/>
                <w:szCs w:val="18"/>
              </w:rPr>
              <w:t>参照健康危险毒性物质（</w:t>
            </w:r>
            <w:r>
              <w:rPr>
                <w:rFonts w:hint="eastAsia" w:ascii="宋体" w:hAnsi="宋体" w:cs="Times New Roman"/>
                <w:kern w:val="0"/>
                <w:sz w:val="18"/>
                <w:szCs w:val="18"/>
              </w:rPr>
              <w:t>类别</w:t>
            </w:r>
            <w:r>
              <w:rPr>
                <w:rFonts w:hint="eastAsia" w:cs="Times New Roman"/>
                <w:kern w:val="0"/>
                <w:sz w:val="18"/>
                <w:szCs w:val="18"/>
              </w:rPr>
              <w:t>2</w:t>
            </w:r>
            <w:r>
              <w:rPr>
                <w:rFonts w:hint="eastAsia" w:ascii="宋体" w:hAnsi="宋体" w:cs="Times New Roman"/>
                <w:kern w:val="0"/>
                <w:sz w:val="18"/>
                <w:szCs w:val="18"/>
              </w:rPr>
              <w:t>，</w:t>
            </w:r>
            <w:r>
              <w:rPr>
                <w:rFonts w:ascii="宋体" w:hAnsi="宋体" w:cs="Times New Roman"/>
                <w:kern w:val="0"/>
                <w:sz w:val="18"/>
                <w:szCs w:val="18"/>
              </w:rPr>
              <w:t>类别</w:t>
            </w:r>
            <w:r>
              <w:rPr>
                <w:rFonts w:hint="eastAsia" w:cs="Times New Roman"/>
                <w:kern w:val="0"/>
                <w:sz w:val="18"/>
                <w:szCs w:val="18"/>
              </w:rPr>
              <w:t>3</w:t>
            </w:r>
            <w:r>
              <w:rPr>
                <w:rFonts w:ascii="宋体" w:hAnsi="宋体" w:cs="Times New Roman"/>
                <w:kern w:val="0"/>
                <w:sz w:val="18"/>
                <w:szCs w:val="18"/>
              </w:rPr>
              <w:t>）</w:t>
            </w:r>
            <w:r>
              <w:rPr>
                <w:rFonts w:hint="eastAsia" w:ascii="宋体" w:hAnsi="宋体" w:cs="Times New Roman"/>
                <w:kern w:val="0"/>
                <w:sz w:val="18"/>
                <w:szCs w:val="18"/>
              </w:rPr>
              <w:t>的</w:t>
            </w:r>
            <w:r>
              <w:rPr>
                <w:rFonts w:ascii="宋体" w:hAnsi="宋体" w:cs="Times New Roman"/>
                <w:kern w:val="0"/>
                <w:sz w:val="18"/>
                <w:szCs w:val="18"/>
              </w:rPr>
              <w:t>临界量计</w:t>
            </w:r>
          </w:p>
          <w:p w14:paraId="285365D9">
            <w:pPr>
              <w:widowControl/>
              <w:spacing w:line="360" w:lineRule="exact"/>
              <w:ind w:firstLine="0" w:firstLineChars="0"/>
              <w:jc w:val="center"/>
              <w:rPr>
                <w:rFonts w:ascii="宋体" w:hAnsi="宋体" w:cs="Times New Roman"/>
                <w:kern w:val="0"/>
                <w:sz w:val="18"/>
                <w:szCs w:val="18"/>
              </w:rPr>
            </w:pPr>
            <w:r>
              <w:rPr>
                <w:rFonts w:hint="eastAsia" w:cs="Times New Roman"/>
                <w:kern w:val="0"/>
                <w:sz w:val="18"/>
                <w:szCs w:val="18"/>
              </w:rPr>
              <w:t>2</w:t>
            </w:r>
            <w:r>
              <w:rPr>
                <w:rFonts w:hint="eastAsia" w:ascii="宋体" w:hAnsi="宋体" w:cs="Times New Roman"/>
                <w:kern w:val="0"/>
                <w:sz w:val="18"/>
                <w:szCs w:val="18"/>
              </w:rPr>
              <w:t>：</w:t>
            </w:r>
            <w:r>
              <w:rPr>
                <w:rFonts w:ascii="宋体" w:hAnsi="宋体" w:cs="Times New Roman"/>
                <w:kern w:val="0"/>
                <w:sz w:val="18"/>
                <w:szCs w:val="18"/>
              </w:rPr>
              <w:t>参照油类物质</w:t>
            </w:r>
            <w:r>
              <w:rPr>
                <w:rFonts w:hint="eastAsia" w:ascii="宋体" w:hAnsi="宋体" w:cs="Times New Roman"/>
                <w:kern w:val="0"/>
                <w:sz w:val="18"/>
                <w:szCs w:val="18"/>
              </w:rPr>
              <w:t>临界量</w:t>
            </w:r>
            <w:r>
              <w:rPr>
                <w:rFonts w:ascii="宋体" w:hAnsi="宋体" w:cs="Times New Roman"/>
                <w:kern w:val="0"/>
                <w:sz w:val="18"/>
                <w:szCs w:val="18"/>
              </w:rPr>
              <w:t>计</w:t>
            </w:r>
          </w:p>
          <w:p w14:paraId="5CDCB726">
            <w:pPr>
              <w:widowControl/>
              <w:spacing w:line="360" w:lineRule="exact"/>
              <w:ind w:firstLine="0" w:firstLineChars="0"/>
              <w:jc w:val="center"/>
              <w:rPr>
                <w:rFonts w:cs="Times New Roman"/>
                <w:kern w:val="0"/>
                <w:sz w:val="18"/>
                <w:szCs w:val="18"/>
              </w:rPr>
            </w:pPr>
            <w:r>
              <w:rPr>
                <w:rFonts w:cs="Times New Roman"/>
                <w:kern w:val="0"/>
                <w:sz w:val="18"/>
                <w:szCs w:val="18"/>
              </w:rPr>
              <w:t>3：</w:t>
            </w:r>
            <w:r>
              <w:rPr>
                <w:rFonts w:hint="eastAsia" w:ascii="宋体" w:hAnsi="宋体" w:cs="Times New Roman"/>
                <w:kern w:val="0"/>
                <w:sz w:val="18"/>
                <w:szCs w:val="18"/>
              </w:rPr>
              <w:t>本项目</w:t>
            </w:r>
            <w:r>
              <w:rPr>
                <w:rFonts w:ascii="宋体" w:hAnsi="宋体" w:cs="Times New Roman"/>
                <w:kern w:val="0"/>
                <w:sz w:val="18"/>
                <w:szCs w:val="18"/>
              </w:rPr>
              <w:t>涉及</w:t>
            </w:r>
            <w:r>
              <w:rPr>
                <w:rFonts w:hint="eastAsia" w:ascii="宋体" w:hAnsi="宋体" w:cs="Times New Roman"/>
                <w:kern w:val="0"/>
                <w:sz w:val="18"/>
                <w:szCs w:val="18"/>
              </w:rPr>
              <w:t>的危险</w:t>
            </w:r>
            <w:r>
              <w:rPr>
                <w:rFonts w:ascii="宋体" w:hAnsi="宋体" w:cs="Times New Roman"/>
                <w:kern w:val="0"/>
                <w:sz w:val="18"/>
                <w:szCs w:val="18"/>
              </w:rPr>
              <w:t>物质，</w:t>
            </w:r>
            <w:r>
              <w:rPr>
                <w:rFonts w:hint="eastAsia" w:ascii="宋体" w:hAnsi="宋体" w:cs="Times New Roman"/>
                <w:kern w:val="0"/>
                <w:sz w:val="18"/>
                <w:szCs w:val="18"/>
              </w:rPr>
              <w:t>最大</w:t>
            </w:r>
            <w:r>
              <w:rPr>
                <w:rFonts w:ascii="宋体" w:hAnsi="宋体" w:cs="Times New Roman"/>
                <w:kern w:val="0"/>
                <w:sz w:val="18"/>
                <w:szCs w:val="18"/>
              </w:rPr>
              <w:t>暂存量为全厂</w:t>
            </w:r>
            <w:r>
              <w:rPr>
                <w:rFonts w:hint="eastAsia" w:ascii="宋体" w:hAnsi="宋体" w:cs="Times New Roman"/>
                <w:kern w:val="0"/>
                <w:sz w:val="18"/>
                <w:szCs w:val="18"/>
              </w:rPr>
              <w:t>最大</w:t>
            </w:r>
            <w:r>
              <w:rPr>
                <w:rFonts w:ascii="宋体" w:hAnsi="宋体" w:cs="Times New Roman"/>
                <w:kern w:val="0"/>
                <w:sz w:val="18"/>
                <w:szCs w:val="18"/>
              </w:rPr>
              <w:t>暂存量</w:t>
            </w:r>
          </w:p>
        </w:tc>
      </w:tr>
    </w:tbl>
    <w:p w14:paraId="1A8B2FD8">
      <w:pPr>
        <w:ind w:firstLine="480"/>
        <w:rPr>
          <w:rFonts w:cs="Times New Roman"/>
          <w:szCs w:val="24"/>
        </w:rPr>
      </w:pPr>
      <w:r>
        <w:rPr>
          <w:rFonts w:hint="eastAsia" w:ascii="宋体" w:hAnsi="宋体"/>
        </w:rPr>
        <w:t>经识别</w:t>
      </w:r>
      <w:r>
        <w:rPr>
          <w:rFonts w:ascii="宋体" w:hAnsi="宋体"/>
        </w:rPr>
        <w:t>，本项目</w:t>
      </w:r>
      <w:r>
        <w:rPr>
          <w:rFonts w:hint="eastAsia"/>
        </w:rPr>
        <w:t>Q</w:t>
      </w:r>
      <w:r>
        <w:rPr>
          <w:rFonts w:hint="eastAsia" w:ascii="宋体" w:hAnsi="宋体"/>
        </w:rPr>
        <w:t>值</w:t>
      </w:r>
      <w:r>
        <w:rPr>
          <w:rFonts w:ascii="宋体" w:hAnsi="宋体"/>
        </w:rPr>
        <w:t>为</w:t>
      </w:r>
      <w:r>
        <w:t>75.44</w:t>
      </w:r>
      <w:r>
        <w:rPr>
          <w:rFonts w:hint="eastAsia" w:ascii="宋体" w:hAnsi="宋体"/>
        </w:rPr>
        <w:t>，</w:t>
      </w:r>
      <w:r>
        <w:rPr>
          <w:rFonts w:ascii="宋体" w:hAnsi="宋体"/>
        </w:rPr>
        <w:t>在</w:t>
      </w:r>
      <w:r>
        <w:rPr>
          <w:rFonts w:hint="eastAsia"/>
        </w:rPr>
        <w:t>1</w:t>
      </w:r>
      <w:r>
        <w:t>0</w:t>
      </w:r>
      <w:r>
        <w:rPr>
          <w:rFonts w:hint="eastAsia" w:ascii="宋体" w:hAnsi="宋体"/>
        </w:rPr>
        <w:t>≤</w:t>
      </w:r>
      <w:r>
        <w:rPr>
          <w:rFonts w:hint="eastAsia"/>
        </w:rPr>
        <w:t>Q</w:t>
      </w:r>
      <w:r>
        <w:rPr>
          <w:rFonts w:hint="eastAsia" w:ascii="宋体" w:hAnsi="宋体"/>
        </w:rPr>
        <w:t>＜</w:t>
      </w:r>
      <w:r>
        <w:rPr>
          <w:rFonts w:hint="eastAsia"/>
        </w:rPr>
        <w:t>10</w:t>
      </w:r>
      <w:r>
        <w:t>0</w:t>
      </w:r>
      <w:r>
        <w:rPr>
          <w:rFonts w:hint="eastAsia" w:ascii="宋体" w:hAnsi="宋体"/>
        </w:rPr>
        <w:t>。</w:t>
      </w:r>
    </w:p>
    <w:p w14:paraId="59660532">
      <w:pPr>
        <w:ind w:firstLine="480"/>
      </w:pPr>
      <w:r>
        <w:t>（2）行业及生产工艺（M）</w:t>
      </w:r>
    </w:p>
    <w:p w14:paraId="7D3DEAA5">
      <w:pPr>
        <w:ind w:firstLine="480"/>
      </w:pPr>
      <w:r>
        <w:rPr>
          <w:rFonts w:ascii="宋体" w:hAnsi="宋体"/>
        </w:rPr>
        <w:t>采用评分法对企业生产工艺过程风险防控措施及突发环境事件发生情况进行评估，将各项指标分值累加，确定企业生产工艺过程与环境风险控制水平（</w:t>
      </w:r>
      <w:r>
        <w:t>M</w:t>
      </w:r>
      <w:r>
        <w:rPr>
          <w:rFonts w:ascii="宋体" w:hAnsi="宋体"/>
        </w:rPr>
        <w:t>）。</w:t>
      </w:r>
    </w:p>
    <w:p w14:paraId="4B5FB4CD">
      <w:pPr>
        <w:ind w:firstLine="480"/>
      </w:pPr>
      <w:r>
        <w:rPr>
          <w:rFonts w:ascii="宋体" w:hAnsi="宋体"/>
        </w:rPr>
        <w:t>生产工艺过程含有风险工艺和设备情况对企业生产工艺过程含有风险工艺和设备情况的评估按照工艺单元进行，具有多套工艺单元的企业，对每套工艺单元分别评分并求和，将</w:t>
      </w:r>
      <w:r>
        <w:t>M</w:t>
      </w:r>
      <w:r>
        <w:rPr>
          <w:rFonts w:ascii="宋体" w:hAnsi="宋体"/>
        </w:rPr>
        <w:t>划分为（</w:t>
      </w:r>
      <w:r>
        <w:t>M</w:t>
      </w:r>
      <w:r>
        <w:rPr>
          <w:rFonts w:ascii="宋体" w:hAnsi="宋体"/>
        </w:rPr>
        <w:t>）＞</w:t>
      </w:r>
      <w:r>
        <w:t>20</w:t>
      </w:r>
      <w:r>
        <w:rPr>
          <w:rFonts w:ascii="宋体" w:hAnsi="宋体"/>
        </w:rPr>
        <w:t>；（</w:t>
      </w:r>
      <w:r>
        <w:t>2</w:t>
      </w:r>
      <w:r>
        <w:rPr>
          <w:rFonts w:ascii="宋体" w:hAnsi="宋体"/>
        </w:rPr>
        <w:t>）</w:t>
      </w:r>
      <w:r>
        <w:t>10</w:t>
      </w:r>
      <w:r>
        <w:rPr>
          <w:rFonts w:ascii="宋体" w:hAnsi="宋体"/>
        </w:rPr>
        <w:t>＜</w:t>
      </w:r>
      <w:r>
        <w:t>M≤20</w:t>
      </w:r>
      <w:r>
        <w:rPr>
          <w:rFonts w:ascii="宋体" w:hAnsi="宋体"/>
        </w:rPr>
        <w:t>；（</w:t>
      </w:r>
      <w:r>
        <w:t>3</w:t>
      </w:r>
      <w:r>
        <w:rPr>
          <w:rFonts w:ascii="宋体" w:hAnsi="宋体"/>
        </w:rPr>
        <w:t>）</w:t>
      </w:r>
      <w:r>
        <w:t>5</w:t>
      </w:r>
      <w:r>
        <w:rPr>
          <w:rFonts w:ascii="宋体" w:hAnsi="宋体"/>
        </w:rPr>
        <w:t>＜</w:t>
      </w:r>
      <w:r>
        <w:t>M≤10</w:t>
      </w:r>
      <w:r>
        <w:rPr>
          <w:rFonts w:ascii="宋体" w:hAnsi="宋体"/>
        </w:rPr>
        <w:t>；（</w:t>
      </w:r>
      <w:r>
        <w:t>4</w:t>
      </w:r>
      <w:r>
        <w:rPr>
          <w:rFonts w:ascii="宋体" w:hAnsi="宋体"/>
        </w:rPr>
        <w:t>）</w:t>
      </w:r>
      <w:r>
        <w:t>M=5</w:t>
      </w:r>
      <w:r>
        <w:rPr>
          <w:rFonts w:ascii="宋体" w:hAnsi="宋体"/>
        </w:rPr>
        <w:t>，分别以</w:t>
      </w:r>
      <w:r>
        <w:t>M1</w:t>
      </w:r>
      <w:r>
        <w:rPr>
          <w:rFonts w:ascii="宋体" w:hAnsi="宋体"/>
        </w:rPr>
        <w:t>、</w:t>
      </w:r>
      <w:r>
        <w:t>M2</w:t>
      </w:r>
      <w:r>
        <w:rPr>
          <w:rFonts w:ascii="宋体" w:hAnsi="宋体"/>
        </w:rPr>
        <w:t>、</w:t>
      </w:r>
      <w:r>
        <w:t>M3</w:t>
      </w:r>
      <w:r>
        <w:rPr>
          <w:rFonts w:ascii="宋体" w:hAnsi="宋体"/>
        </w:rPr>
        <w:t>、</w:t>
      </w:r>
      <w:r>
        <w:t>M4</w:t>
      </w:r>
      <w:r>
        <w:rPr>
          <w:rFonts w:ascii="宋体" w:hAnsi="宋体"/>
        </w:rPr>
        <w:t>表示。</w:t>
      </w:r>
    </w:p>
    <w:p w14:paraId="31A7F5DD">
      <w:pPr>
        <w:spacing w:line="500" w:lineRule="exact"/>
        <w:ind w:firstLine="0" w:firstLineChars="0"/>
        <w:jc w:val="center"/>
        <w:rPr>
          <w:rFonts w:eastAsia="黑体"/>
        </w:rPr>
      </w:pPr>
      <w:r>
        <w:rPr>
          <w:rFonts w:ascii="黑体" w:hAnsi="黑体" w:eastAsia="黑体"/>
        </w:rPr>
        <w:t>表</w:t>
      </w:r>
      <w:r>
        <w:rPr>
          <w:rFonts w:eastAsia="黑体"/>
        </w:rPr>
        <w:t xml:space="preserve">2.3.1-9  </w:t>
      </w:r>
      <w:r>
        <w:rPr>
          <w:rFonts w:ascii="黑体" w:hAnsi="黑体" w:eastAsia="黑体"/>
        </w:rPr>
        <w:t>企业生产工艺过程评估</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323"/>
        <w:gridCol w:w="1187"/>
        <w:gridCol w:w="1529"/>
        <w:gridCol w:w="1061"/>
      </w:tblGrid>
      <w:tr w14:paraId="526E9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single" w:color="auto" w:sz="12" w:space="0"/>
              <w:left w:val="nil"/>
              <w:bottom w:val="single" w:color="auto" w:sz="4" w:space="0"/>
              <w:right w:val="single" w:color="auto" w:sz="4" w:space="0"/>
            </w:tcBorders>
            <w:vAlign w:val="center"/>
          </w:tcPr>
          <w:p w14:paraId="138FED83">
            <w:pPr>
              <w:pStyle w:val="445"/>
              <w:rPr>
                <w:rFonts w:cs="Times New Roman"/>
                <w:kern w:val="0"/>
                <w:szCs w:val="20"/>
              </w:rPr>
            </w:pPr>
            <w:r>
              <w:rPr>
                <w:rFonts w:cs="Times New Roman"/>
                <w:kern w:val="0"/>
                <w:szCs w:val="20"/>
              </w:rPr>
              <w:t>行业</w:t>
            </w:r>
          </w:p>
        </w:tc>
        <w:tc>
          <w:tcPr>
            <w:tcW w:w="2339" w:type="pct"/>
            <w:tcBorders>
              <w:top w:val="single" w:color="auto" w:sz="12" w:space="0"/>
              <w:left w:val="single" w:color="auto" w:sz="4" w:space="0"/>
              <w:bottom w:val="single" w:color="auto" w:sz="4" w:space="0"/>
              <w:right w:val="single" w:color="auto" w:sz="4" w:space="0"/>
            </w:tcBorders>
            <w:vAlign w:val="center"/>
          </w:tcPr>
          <w:p w14:paraId="13978658">
            <w:pPr>
              <w:pStyle w:val="445"/>
              <w:rPr>
                <w:rFonts w:cs="Times New Roman"/>
                <w:kern w:val="0"/>
                <w:szCs w:val="20"/>
              </w:rPr>
            </w:pPr>
            <w:r>
              <w:rPr>
                <w:rFonts w:cs="Times New Roman"/>
                <w:kern w:val="0"/>
                <w:szCs w:val="20"/>
              </w:rPr>
              <w:t>评估依据</w:t>
            </w:r>
          </w:p>
        </w:tc>
        <w:tc>
          <w:tcPr>
            <w:tcW w:w="642" w:type="pct"/>
            <w:tcBorders>
              <w:top w:val="single" w:color="auto" w:sz="12" w:space="0"/>
              <w:left w:val="single" w:color="auto" w:sz="4" w:space="0"/>
              <w:bottom w:val="single" w:color="auto" w:sz="4" w:space="0"/>
              <w:right w:val="single" w:color="auto" w:sz="4" w:space="0"/>
            </w:tcBorders>
            <w:vAlign w:val="center"/>
          </w:tcPr>
          <w:p w14:paraId="3709A9F2">
            <w:pPr>
              <w:pStyle w:val="445"/>
              <w:rPr>
                <w:rFonts w:cs="Times New Roman"/>
                <w:kern w:val="0"/>
                <w:szCs w:val="20"/>
              </w:rPr>
            </w:pPr>
            <w:r>
              <w:rPr>
                <w:rFonts w:cs="Times New Roman"/>
                <w:kern w:val="0"/>
                <w:szCs w:val="20"/>
              </w:rPr>
              <w:t>分值</w:t>
            </w:r>
          </w:p>
        </w:tc>
        <w:tc>
          <w:tcPr>
            <w:tcW w:w="827" w:type="pct"/>
            <w:tcBorders>
              <w:top w:val="single" w:color="auto" w:sz="12" w:space="0"/>
              <w:left w:val="single" w:color="auto" w:sz="4" w:space="0"/>
              <w:bottom w:val="single" w:color="auto" w:sz="4" w:space="0"/>
              <w:right w:val="single" w:color="auto" w:sz="4" w:space="0"/>
            </w:tcBorders>
            <w:vAlign w:val="center"/>
          </w:tcPr>
          <w:p w14:paraId="08C989CD">
            <w:pPr>
              <w:pStyle w:val="445"/>
              <w:rPr>
                <w:rFonts w:cs="Times New Roman"/>
                <w:kern w:val="0"/>
                <w:szCs w:val="20"/>
              </w:rPr>
            </w:pPr>
            <w:r>
              <w:rPr>
                <w:rFonts w:cs="Times New Roman"/>
                <w:spacing w:val="-4"/>
                <w:kern w:val="0"/>
                <w:szCs w:val="20"/>
              </w:rPr>
              <w:t>企业</w:t>
            </w:r>
            <w:r>
              <w:rPr>
                <w:rFonts w:hint="eastAsia" w:cs="Times New Roman"/>
                <w:spacing w:val="-4"/>
                <w:kern w:val="0"/>
                <w:szCs w:val="20"/>
              </w:rPr>
              <w:t>情况</w:t>
            </w:r>
          </w:p>
        </w:tc>
        <w:tc>
          <w:tcPr>
            <w:tcW w:w="574" w:type="pct"/>
            <w:tcBorders>
              <w:top w:val="single" w:color="auto" w:sz="12" w:space="0"/>
              <w:left w:val="single" w:color="auto" w:sz="4" w:space="0"/>
              <w:bottom w:val="single" w:color="auto" w:sz="4" w:space="0"/>
              <w:right w:val="nil"/>
            </w:tcBorders>
            <w:vAlign w:val="center"/>
          </w:tcPr>
          <w:p w14:paraId="36B82BA1">
            <w:pPr>
              <w:pStyle w:val="445"/>
              <w:rPr>
                <w:rFonts w:cs="Times New Roman"/>
                <w:kern w:val="0"/>
                <w:szCs w:val="20"/>
              </w:rPr>
            </w:pPr>
            <w:r>
              <w:rPr>
                <w:rFonts w:cs="Times New Roman"/>
                <w:spacing w:val="-4"/>
                <w:kern w:val="0"/>
                <w:szCs w:val="20"/>
              </w:rPr>
              <w:t>企业得分</w:t>
            </w:r>
          </w:p>
        </w:tc>
      </w:tr>
      <w:tr w14:paraId="449A8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vMerge w:val="restart"/>
            <w:tcBorders>
              <w:top w:val="single" w:color="auto" w:sz="4" w:space="0"/>
              <w:left w:val="nil"/>
              <w:bottom w:val="single" w:color="auto" w:sz="4" w:space="0"/>
              <w:right w:val="single" w:color="auto" w:sz="4" w:space="0"/>
            </w:tcBorders>
            <w:vAlign w:val="center"/>
          </w:tcPr>
          <w:p w14:paraId="775C046D">
            <w:pPr>
              <w:pStyle w:val="445"/>
              <w:rPr>
                <w:rFonts w:cs="Times New Roman"/>
                <w:kern w:val="0"/>
                <w:szCs w:val="20"/>
              </w:rPr>
            </w:pPr>
            <w:r>
              <w:rPr>
                <w:rFonts w:cs="Times New Roman"/>
                <w:kern w:val="0"/>
                <w:szCs w:val="20"/>
              </w:rPr>
              <w:t>石化、化工、医药、轻工、化纤、有色冶炼等</w:t>
            </w:r>
          </w:p>
        </w:tc>
        <w:tc>
          <w:tcPr>
            <w:tcW w:w="2339" w:type="pct"/>
            <w:tcBorders>
              <w:top w:val="single" w:color="auto" w:sz="4" w:space="0"/>
              <w:left w:val="single" w:color="auto" w:sz="4" w:space="0"/>
              <w:bottom w:val="single" w:color="auto" w:sz="4" w:space="0"/>
              <w:right w:val="single" w:color="auto" w:sz="4" w:space="0"/>
            </w:tcBorders>
            <w:vAlign w:val="center"/>
          </w:tcPr>
          <w:p w14:paraId="2022C9F4">
            <w:pPr>
              <w:pStyle w:val="445"/>
              <w:rPr>
                <w:rFonts w:cs="Times New Roman"/>
                <w:kern w:val="0"/>
                <w:szCs w:val="20"/>
              </w:rPr>
            </w:pPr>
            <w:r>
              <w:rPr>
                <w:rFonts w:cs="Times New Roman"/>
                <w:kern w:val="0"/>
                <w:szCs w:val="20"/>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642" w:type="pct"/>
            <w:tcBorders>
              <w:top w:val="single" w:color="auto" w:sz="4" w:space="0"/>
              <w:left w:val="single" w:color="auto" w:sz="4" w:space="0"/>
              <w:bottom w:val="single" w:color="auto" w:sz="4" w:space="0"/>
              <w:right w:val="single" w:color="auto" w:sz="4" w:space="0"/>
            </w:tcBorders>
            <w:vAlign w:val="center"/>
          </w:tcPr>
          <w:p w14:paraId="71AA4EF5">
            <w:pPr>
              <w:pStyle w:val="445"/>
              <w:rPr>
                <w:rFonts w:cs="Times New Roman"/>
                <w:kern w:val="0"/>
                <w:szCs w:val="20"/>
              </w:rPr>
            </w:pPr>
            <w:r>
              <w:rPr>
                <w:rFonts w:cs="Times New Roman"/>
                <w:kern w:val="0"/>
                <w:szCs w:val="20"/>
              </w:rPr>
              <w:t>10/套</w:t>
            </w:r>
          </w:p>
        </w:tc>
        <w:tc>
          <w:tcPr>
            <w:tcW w:w="827" w:type="pct"/>
            <w:tcBorders>
              <w:top w:val="single" w:color="auto" w:sz="4" w:space="0"/>
              <w:left w:val="single" w:color="auto" w:sz="4" w:space="0"/>
              <w:bottom w:val="single" w:color="auto" w:sz="4" w:space="0"/>
              <w:right w:val="single" w:color="auto" w:sz="4" w:space="0"/>
            </w:tcBorders>
            <w:vAlign w:val="center"/>
          </w:tcPr>
          <w:p w14:paraId="2DA40B7C">
            <w:pPr>
              <w:pStyle w:val="445"/>
              <w:rPr>
                <w:rFonts w:cs="Times New Roman"/>
                <w:kern w:val="0"/>
                <w:szCs w:val="20"/>
              </w:rPr>
            </w:pPr>
            <w:r>
              <w:rPr>
                <w:rFonts w:cs="Times New Roman"/>
                <w:kern w:val="0"/>
                <w:szCs w:val="20"/>
              </w:rPr>
              <w:t>/</w:t>
            </w:r>
          </w:p>
        </w:tc>
        <w:tc>
          <w:tcPr>
            <w:tcW w:w="574" w:type="pct"/>
            <w:tcBorders>
              <w:top w:val="single" w:color="auto" w:sz="4" w:space="0"/>
              <w:left w:val="single" w:color="auto" w:sz="4" w:space="0"/>
              <w:bottom w:val="single" w:color="auto" w:sz="4" w:space="0"/>
              <w:right w:val="nil"/>
            </w:tcBorders>
            <w:vAlign w:val="center"/>
          </w:tcPr>
          <w:p w14:paraId="09595EE7">
            <w:pPr>
              <w:pStyle w:val="445"/>
              <w:rPr>
                <w:rFonts w:cs="Times New Roman"/>
                <w:kern w:val="0"/>
                <w:szCs w:val="20"/>
              </w:rPr>
            </w:pPr>
            <w:r>
              <w:rPr>
                <w:rFonts w:cs="Times New Roman"/>
                <w:kern w:val="0"/>
                <w:szCs w:val="20"/>
              </w:rPr>
              <w:t>0</w:t>
            </w:r>
          </w:p>
        </w:tc>
      </w:tr>
      <w:tr w14:paraId="5F7025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7786B0F8">
            <w:pPr>
              <w:pStyle w:val="445"/>
              <w:rPr>
                <w:rFonts w:cs="Times New Roman"/>
                <w:kern w:val="0"/>
                <w:szCs w:val="20"/>
              </w:rPr>
            </w:pPr>
          </w:p>
        </w:tc>
        <w:tc>
          <w:tcPr>
            <w:tcW w:w="2339" w:type="pct"/>
            <w:tcBorders>
              <w:top w:val="single" w:color="auto" w:sz="4" w:space="0"/>
              <w:left w:val="single" w:color="auto" w:sz="4" w:space="0"/>
              <w:bottom w:val="single" w:color="auto" w:sz="4" w:space="0"/>
              <w:right w:val="single" w:color="auto" w:sz="4" w:space="0"/>
            </w:tcBorders>
            <w:vAlign w:val="center"/>
          </w:tcPr>
          <w:p w14:paraId="0540107C">
            <w:pPr>
              <w:pStyle w:val="445"/>
              <w:rPr>
                <w:rFonts w:cs="Times New Roman"/>
                <w:kern w:val="0"/>
                <w:szCs w:val="20"/>
              </w:rPr>
            </w:pPr>
            <w:r>
              <w:rPr>
                <w:rFonts w:cs="Times New Roman"/>
                <w:kern w:val="0"/>
                <w:szCs w:val="20"/>
              </w:rPr>
              <w:t>无机酸制酸工艺、焦化工艺</w:t>
            </w:r>
          </w:p>
        </w:tc>
        <w:tc>
          <w:tcPr>
            <w:tcW w:w="642" w:type="pct"/>
            <w:tcBorders>
              <w:top w:val="single" w:color="auto" w:sz="4" w:space="0"/>
              <w:left w:val="single" w:color="auto" w:sz="4" w:space="0"/>
              <w:bottom w:val="single" w:color="auto" w:sz="4" w:space="0"/>
              <w:right w:val="single" w:color="auto" w:sz="4" w:space="0"/>
            </w:tcBorders>
            <w:vAlign w:val="center"/>
          </w:tcPr>
          <w:p w14:paraId="05C5183A">
            <w:pPr>
              <w:pStyle w:val="445"/>
              <w:rPr>
                <w:rFonts w:cs="Times New Roman"/>
                <w:kern w:val="0"/>
                <w:szCs w:val="20"/>
              </w:rPr>
            </w:pPr>
            <w:r>
              <w:rPr>
                <w:rFonts w:cs="Times New Roman"/>
                <w:kern w:val="0"/>
                <w:szCs w:val="20"/>
              </w:rPr>
              <w:t>5/套</w:t>
            </w:r>
          </w:p>
        </w:tc>
        <w:tc>
          <w:tcPr>
            <w:tcW w:w="827" w:type="pct"/>
            <w:tcBorders>
              <w:top w:val="single" w:color="auto" w:sz="4" w:space="0"/>
              <w:left w:val="single" w:color="auto" w:sz="4" w:space="0"/>
              <w:bottom w:val="single" w:color="auto" w:sz="4" w:space="0"/>
              <w:right w:val="single" w:color="auto" w:sz="4" w:space="0"/>
            </w:tcBorders>
            <w:vAlign w:val="center"/>
          </w:tcPr>
          <w:p w14:paraId="753F1EDE">
            <w:pPr>
              <w:pStyle w:val="445"/>
              <w:rPr>
                <w:rFonts w:cs="Times New Roman"/>
                <w:kern w:val="0"/>
                <w:szCs w:val="20"/>
              </w:rPr>
            </w:pPr>
            <w:r>
              <w:rPr>
                <w:rFonts w:cs="Times New Roman"/>
                <w:kern w:val="0"/>
                <w:szCs w:val="20"/>
              </w:rPr>
              <w:t>/</w:t>
            </w:r>
          </w:p>
        </w:tc>
        <w:tc>
          <w:tcPr>
            <w:tcW w:w="574" w:type="pct"/>
            <w:tcBorders>
              <w:top w:val="single" w:color="auto" w:sz="4" w:space="0"/>
              <w:left w:val="single" w:color="auto" w:sz="4" w:space="0"/>
              <w:bottom w:val="single" w:color="auto" w:sz="4" w:space="0"/>
              <w:right w:val="nil"/>
            </w:tcBorders>
            <w:vAlign w:val="center"/>
          </w:tcPr>
          <w:p w14:paraId="11901486">
            <w:pPr>
              <w:pStyle w:val="445"/>
              <w:rPr>
                <w:rFonts w:cs="Times New Roman"/>
                <w:kern w:val="0"/>
                <w:szCs w:val="20"/>
              </w:rPr>
            </w:pPr>
            <w:r>
              <w:rPr>
                <w:rFonts w:cs="Times New Roman"/>
                <w:kern w:val="0"/>
                <w:szCs w:val="20"/>
              </w:rPr>
              <w:t>0</w:t>
            </w:r>
          </w:p>
        </w:tc>
      </w:tr>
      <w:tr w14:paraId="2B680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C5AC07D">
            <w:pPr>
              <w:pStyle w:val="445"/>
              <w:rPr>
                <w:rFonts w:cs="Times New Roman"/>
                <w:kern w:val="0"/>
                <w:szCs w:val="20"/>
              </w:rPr>
            </w:pPr>
          </w:p>
        </w:tc>
        <w:tc>
          <w:tcPr>
            <w:tcW w:w="2339" w:type="pct"/>
            <w:tcBorders>
              <w:top w:val="single" w:color="auto" w:sz="4" w:space="0"/>
              <w:left w:val="single" w:color="auto" w:sz="4" w:space="0"/>
              <w:bottom w:val="single" w:color="auto" w:sz="4" w:space="0"/>
              <w:right w:val="single" w:color="auto" w:sz="4" w:space="0"/>
            </w:tcBorders>
            <w:vAlign w:val="center"/>
          </w:tcPr>
          <w:p w14:paraId="70976F52">
            <w:pPr>
              <w:pStyle w:val="445"/>
              <w:rPr>
                <w:rFonts w:cs="Times New Roman"/>
                <w:kern w:val="0"/>
                <w:szCs w:val="20"/>
              </w:rPr>
            </w:pPr>
            <w:r>
              <w:rPr>
                <w:rFonts w:cs="Times New Roman"/>
                <w:kern w:val="0"/>
                <w:szCs w:val="20"/>
              </w:rPr>
              <w:t>其他高温或高压，且涉及危险物质的工艺过程</w:t>
            </w:r>
            <w:r>
              <w:rPr>
                <w:rFonts w:cs="Times New Roman"/>
                <w:kern w:val="0"/>
                <w:szCs w:val="20"/>
                <w:vertAlign w:val="superscript"/>
              </w:rPr>
              <w:t>a</w:t>
            </w:r>
            <w:r>
              <w:rPr>
                <w:rFonts w:cs="Times New Roman"/>
                <w:kern w:val="0"/>
                <w:szCs w:val="20"/>
              </w:rPr>
              <w:t>、危险物质贮存罐区</w:t>
            </w:r>
          </w:p>
        </w:tc>
        <w:tc>
          <w:tcPr>
            <w:tcW w:w="642" w:type="pct"/>
            <w:tcBorders>
              <w:top w:val="single" w:color="auto" w:sz="4" w:space="0"/>
              <w:left w:val="single" w:color="auto" w:sz="4" w:space="0"/>
              <w:bottom w:val="single" w:color="auto" w:sz="4" w:space="0"/>
              <w:right w:val="single" w:color="auto" w:sz="4" w:space="0"/>
            </w:tcBorders>
            <w:vAlign w:val="center"/>
          </w:tcPr>
          <w:p w14:paraId="7C969CFD">
            <w:pPr>
              <w:pStyle w:val="445"/>
              <w:rPr>
                <w:rFonts w:cs="Times New Roman"/>
                <w:kern w:val="0"/>
                <w:szCs w:val="20"/>
              </w:rPr>
            </w:pPr>
            <w:r>
              <w:rPr>
                <w:rFonts w:cs="Times New Roman"/>
                <w:kern w:val="0"/>
                <w:szCs w:val="20"/>
              </w:rPr>
              <w:t>5/套（罐区）</w:t>
            </w:r>
          </w:p>
        </w:tc>
        <w:tc>
          <w:tcPr>
            <w:tcW w:w="827" w:type="pct"/>
            <w:tcBorders>
              <w:top w:val="single" w:color="auto" w:sz="4" w:space="0"/>
              <w:left w:val="single" w:color="auto" w:sz="4" w:space="0"/>
              <w:bottom w:val="single" w:color="auto" w:sz="4" w:space="0"/>
              <w:right w:val="single" w:color="auto" w:sz="4" w:space="0"/>
            </w:tcBorders>
            <w:vAlign w:val="center"/>
          </w:tcPr>
          <w:p w14:paraId="39118E05">
            <w:pPr>
              <w:pStyle w:val="445"/>
              <w:rPr>
                <w:rFonts w:cs="Times New Roman"/>
                <w:kern w:val="0"/>
                <w:szCs w:val="20"/>
              </w:rPr>
            </w:pPr>
            <w:r>
              <w:rPr>
                <w:rFonts w:hint="eastAsia" w:cs="Times New Roman"/>
                <w:kern w:val="0"/>
                <w:szCs w:val="20"/>
              </w:rPr>
              <w:t>一个原料</w:t>
            </w:r>
            <w:r>
              <w:rPr>
                <w:rFonts w:cs="Times New Roman"/>
                <w:kern w:val="0"/>
                <w:szCs w:val="20"/>
              </w:rPr>
              <w:t>产品罐区</w:t>
            </w:r>
            <w:r>
              <w:rPr>
                <w:rFonts w:hint="eastAsia" w:cs="Times New Roman"/>
                <w:kern w:val="0"/>
                <w:szCs w:val="20"/>
              </w:rPr>
              <w:t>、</w:t>
            </w:r>
            <w:r>
              <w:rPr>
                <w:rFonts w:cs="Times New Roman"/>
                <w:kern w:val="0"/>
                <w:szCs w:val="20"/>
              </w:rPr>
              <w:t>一个</w:t>
            </w:r>
            <w:r>
              <w:rPr>
                <w:rFonts w:hint="eastAsia" w:cs="Times New Roman"/>
                <w:kern w:val="0"/>
                <w:szCs w:val="20"/>
              </w:rPr>
              <w:t>酸</w:t>
            </w:r>
            <w:r>
              <w:rPr>
                <w:rFonts w:cs="Times New Roman"/>
                <w:kern w:val="0"/>
                <w:szCs w:val="20"/>
              </w:rPr>
              <w:t>罐区</w:t>
            </w:r>
            <w:r>
              <w:rPr>
                <w:rFonts w:hint="eastAsia" w:cs="Times New Roman"/>
                <w:kern w:val="0"/>
                <w:szCs w:val="20"/>
              </w:rPr>
              <w:t>、除杂工艺和</w:t>
            </w:r>
            <w:r>
              <w:rPr>
                <w:rFonts w:cs="Times New Roman"/>
                <w:kern w:val="0"/>
                <w:szCs w:val="20"/>
              </w:rPr>
              <w:t>深度纯化工艺高温且</w:t>
            </w:r>
            <w:r>
              <w:rPr>
                <w:rFonts w:hint="eastAsia" w:cs="Times New Roman"/>
                <w:kern w:val="0"/>
                <w:szCs w:val="20"/>
              </w:rPr>
              <w:t>涉及</w:t>
            </w:r>
            <w:r>
              <w:rPr>
                <w:rFonts w:cs="Times New Roman"/>
                <w:kern w:val="0"/>
                <w:szCs w:val="20"/>
              </w:rPr>
              <w:t>氯化氢</w:t>
            </w:r>
          </w:p>
        </w:tc>
        <w:tc>
          <w:tcPr>
            <w:tcW w:w="574" w:type="pct"/>
            <w:tcBorders>
              <w:top w:val="single" w:color="auto" w:sz="4" w:space="0"/>
              <w:left w:val="single" w:color="auto" w:sz="4" w:space="0"/>
              <w:bottom w:val="single" w:color="auto" w:sz="4" w:space="0"/>
              <w:right w:val="nil"/>
            </w:tcBorders>
            <w:vAlign w:val="center"/>
          </w:tcPr>
          <w:p w14:paraId="7182363F">
            <w:pPr>
              <w:pStyle w:val="445"/>
              <w:rPr>
                <w:rFonts w:cs="Times New Roman"/>
                <w:kern w:val="0"/>
                <w:szCs w:val="20"/>
              </w:rPr>
            </w:pPr>
            <w:r>
              <w:rPr>
                <w:rFonts w:cs="Times New Roman"/>
                <w:kern w:val="0"/>
                <w:szCs w:val="20"/>
              </w:rPr>
              <w:t>20</w:t>
            </w:r>
          </w:p>
        </w:tc>
      </w:tr>
      <w:tr w14:paraId="7082E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single" w:color="auto" w:sz="4" w:space="0"/>
              <w:left w:val="nil"/>
              <w:bottom w:val="single" w:color="auto" w:sz="4" w:space="0"/>
              <w:right w:val="single" w:color="auto" w:sz="4" w:space="0"/>
            </w:tcBorders>
            <w:vAlign w:val="center"/>
          </w:tcPr>
          <w:p w14:paraId="50C7664F">
            <w:pPr>
              <w:pStyle w:val="445"/>
              <w:rPr>
                <w:rFonts w:cs="Times New Roman"/>
                <w:kern w:val="0"/>
                <w:szCs w:val="20"/>
              </w:rPr>
            </w:pPr>
            <w:r>
              <w:rPr>
                <w:rFonts w:cs="Times New Roman"/>
                <w:kern w:val="0"/>
                <w:szCs w:val="20"/>
              </w:rPr>
              <w:t>管道、港口/码头等</w:t>
            </w:r>
          </w:p>
        </w:tc>
        <w:tc>
          <w:tcPr>
            <w:tcW w:w="2339" w:type="pct"/>
            <w:tcBorders>
              <w:top w:val="single" w:color="auto" w:sz="4" w:space="0"/>
              <w:left w:val="single" w:color="auto" w:sz="4" w:space="0"/>
              <w:bottom w:val="single" w:color="auto" w:sz="4" w:space="0"/>
              <w:right w:val="single" w:color="auto" w:sz="4" w:space="0"/>
            </w:tcBorders>
            <w:vAlign w:val="center"/>
          </w:tcPr>
          <w:p w14:paraId="0CACBB78">
            <w:pPr>
              <w:pStyle w:val="445"/>
              <w:rPr>
                <w:rFonts w:cs="Times New Roman"/>
                <w:kern w:val="0"/>
                <w:szCs w:val="20"/>
              </w:rPr>
            </w:pPr>
            <w:r>
              <w:rPr>
                <w:rFonts w:cs="Times New Roman"/>
                <w:kern w:val="0"/>
                <w:szCs w:val="20"/>
              </w:rPr>
              <w:t>涉及危险物质管道运输项目、港口/码头等</w:t>
            </w:r>
          </w:p>
        </w:tc>
        <w:tc>
          <w:tcPr>
            <w:tcW w:w="642" w:type="pct"/>
            <w:tcBorders>
              <w:top w:val="single" w:color="auto" w:sz="4" w:space="0"/>
              <w:left w:val="single" w:color="auto" w:sz="4" w:space="0"/>
              <w:bottom w:val="single" w:color="auto" w:sz="4" w:space="0"/>
              <w:right w:val="single" w:color="auto" w:sz="4" w:space="0"/>
            </w:tcBorders>
            <w:vAlign w:val="center"/>
          </w:tcPr>
          <w:p w14:paraId="59A0AB1B">
            <w:pPr>
              <w:pStyle w:val="445"/>
              <w:rPr>
                <w:rFonts w:cs="Times New Roman"/>
                <w:kern w:val="0"/>
                <w:szCs w:val="20"/>
              </w:rPr>
            </w:pPr>
            <w:r>
              <w:rPr>
                <w:rFonts w:cs="Times New Roman"/>
                <w:kern w:val="0"/>
                <w:szCs w:val="20"/>
              </w:rPr>
              <w:t>10</w:t>
            </w:r>
          </w:p>
        </w:tc>
        <w:tc>
          <w:tcPr>
            <w:tcW w:w="827" w:type="pct"/>
            <w:tcBorders>
              <w:top w:val="single" w:color="auto" w:sz="4" w:space="0"/>
              <w:left w:val="single" w:color="auto" w:sz="4" w:space="0"/>
              <w:bottom w:val="single" w:color="auto" w:sz="4" w:space="0"/>
              <w:right w:val="single" w:color="auto" w:sz="4" w:space="0"/>
            </w:tcBorders>
            <w:vAlign w:val="center"/>
          </w:tcPr>
          <w:p w14:paraId="03D113B6">
            <w:pPr>
              <w:pStyle w:val="445"/>
              <w:rPr>
                <w:rFonts w:cs="Times New Roman"/>
                <w:kern w:val="0"/>
                <w:szCs w:val="20"/>
              </w:rPr>
            </w:pPr>
            <w:r>
              <w:rPr>
                <w:rFonts w:cs="Times New Roman"/>
                <w:kern w:val="0"/>
                <w:szCs w:val="20"/>
              </w:rPr>
              <w:t>/</w:t>
            </w:r>
          </w:p>
        </w:tc>
        <w:tc>
          <w:tcPr>
            <w:tcW w:w="574" w:type="pct"/>
            <w:tcBorders>
              <w:top w:val="single" w:color="auto" w:sz="4" w:space="0"/>
              <w:left w:val="single" w:color="auto" w:sz="4" w:space="0"/>
              <w:bottom w:val="single" w:color="auto" w:sz="4" w:space="0"/>
              <w:right w:val="nil"/>
            </w:tcBorders>
            <w:vAlign w:val="center"/>
          </w:tcPr>
          <w:p w14:paraId="06EDEBFC">
            <w:pPr>
              <w:pStyle w:val="445"/>
              <w:rPr>
                <w:rFonts w:cs="Times New Roman"/>
                <w:kern w:val="0"/>
                <w:szCs w:val="20"/>
              </w:rPr>
            </w:pPr>
            <w:r>
              <w:rPr>
                <w:rFonts w:cs="Times New Roman"/>
                <w:kern w:val="0"/>
                <w:szCs w:val="20"/>
              </w:rPr>
              <w:t>0</w:t>
            </w:r>
          </w:p>
        </w:tc>
      </w:tr>
      <w:tr w14:paraId="13242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single" w:color="auto" w:sz="4" w:space="0"/>
              <w:left w:val="nil"/>
              <w:bottom w:val="single" w:color="auto" w:sz="4" w:space="0"/>
              <w:right w:val="single" w:color="auto" w:sz="4" w:space="0"/>
            </w:tcBorders>
            <w:vAlign w:val="center"/>
          </w:tcPr>
          <w:p w14:paraId="68A0FB99">
            <w:pPr>
              <w:pStyle w:val="445"/>
              <w:rPr>
                <w:rFonts w:cs="Times New Roman"/>
                <w:kern w:val="0"/>
                <w:szCs w:val="20"/>
              </w:rPr>
            </w:pPr>
            <w:r>
              <w:rPr>
                <w:rFonts w:cs="Times New Roman"/>
                <w:kern w:val="0"/>
                <w:szCs w:val="20"/>
              </w:rPr>
              <w:t>石油天然气</w:t>
            </w:r>
          </w:p>
        </w:tc>
        <w:tc>
          <w:tcPr>
            <w:tcW w:w="2339" w:type="pct"/>
            <w:tcBorders>
              <w:top w:val="single" w:color="auto" w:sz="4" w:space="0"/>
              <w:left w:val="single" w:color="auto" w:sz="4" w:space="0"/>
              <w:bottom w:val="single" w:color="auto" w:sz="4" w:space="0"/>
              <w:right w:val="single" w:color="auto" w:sz="4" w:space="0"/>
            </w:tcBorders>
            <w:vAlign w:val="center"/>
          </w:tcPr>
          <w:p w14:paraId="02E0FD78">
            <w:pPr>
              <w:pStyle w:val="445"/>
              <w:rPr>
                <w:rFonts w:cs="Times New Roman"/>
                <w:kern w:val="0"/>
                <w:szCs w:val="20"/>
              </w:rPr>
            </w:pPr>
            <w:r>
              <w:rPr>
                <w:rFonts w:cs="Times New Roman"/>
                <w:kern w:val="0"/>
                <w:szCs w:val="20"/>
              </w:rPr>
              <w:t>石油、天然气、页岩气开采（含净化），气库（不含加气站的气库），油库（不含加气站的油库）、油气管线</w:t>
            </w:r>
            <w:r>
              <w:rPr>
                <w:rFonts w:cs="Times New Roman"/>
                <w:kern w:val="0"/>
                <w:szCs w:val="20"/>
                <w:vertAlign w:val="superscript"/>
              </w:rPr>
              <w:t>b</w:t>
            </w:r>
            <w:r>
              <w:rPr>
                <w:rFonts w:cs="Times New Roman"/>
                <w:kern w:val="0"/>
                <w:szCs w:val="20"/>
              </w:rPr>
              <w:t>（不含城镇燃气管线）</w:t>
            </w:r>
          </w:p>
        </w:tc>
        <w:tc>
          <w:tcPr>
            <w:tcW w:w="642" w:type="pct"/>
            <w:tcBorders>
              <w:top w:val="single" w:color="auto" w:sz="4" w:space="0"/>
              <w:left w:val="single" w:color="auto" w:sz="4" w:space="0"/>
              <w:bottom w:val="single" w:color="auto" w:sz="4" w:space="0"/>
              <w:right w:val="single" w:color="auto" w:sz="4" w:space="0"/>
            </w:tcBorders>
            <w:vAlign w:val="center"/>
          </w:tcPr>
          <w:p w14:paraId="0C6892C1">
            <w:pPr>
              <w:pStyle w:val="445"/>
              <w:rPr>
                <w:rFonts w:cs="Times New Roman"/>
                <w:kern w:val="0"/>
                <w:szCs w:val="20"/>
              </w:rPr>
            </w:pPr>
            <w:r>
              <w:rPr>
                <w:rFonts w:cs="Times New Roman"/>
                <w:kern w:val="0"/>
                <w:szCs w:val="20"/>
              </w:rPr>
              <w:t>10</w:t>
            </w:r>
          </w:p>
        </w:tc>
        <w:tc>
          <w:tcPr>
            <w:tcW w:w="827" w:type="pct"/>
            <w:tcBorders>
              <w:top w:val="single" w:color="auto" w:sz="4" w:space="0"/>
              <w:left w:val="single" w:color="auto" w:sz="4" w:space="0"/>
              <w:bottom w:val="single" w:color="auto" w:sz="4" w:space="0"/>
              <w:right w:val="single" w:color="auto" w:sz="4" w:space="0"/>
            </w:tcBorders>
            <w:vAlign w:val="center"/>
          </w:tcPr>
          <w:p w14:paraId="22D2A566">
            <w:pPr>
              <w:pStyle w:val="445"/>
              <w:rPr>
                <w:rFonts w:cs="Times New Roman"/>
                <w:kern w:val="0"/>
                <w:szCs w:val="20"/>
              </w:rPr>
            </w:pPr>
            <w:r>
              <w:rPr>
                <w:rFonts w:cs="Times New Roman"/>
                <w:kern w:val="0"/>
                <w:szCs w:val="20"/>
              </w:rPr>
              <w:t>/</w:t>
            </w:r>
          </w:p>
        </w:tc>
        <w:tc>
          <w:tcPr>
            <w:tcW w:w="574" w:type="pct"/>
            <w:tcBorders>
              <w:top w:val="single" w:color="auto" w:sz="4" w:space="0"/>
              <w:left w:val="single" w:color="auto" w:sz="4" w:space="0"/>
              <w:bottom w:val="single" w:color="auto" w:sz="4" w:space="0"/>
              <w:right w:val="nil"/>
            </w:tcBorders>
            <w:vAlign w:val="center"/>
          </w:tcPr>
          <w:p w14:paraId="061FF5C4">
            <w:pPr>
              <w:pStyle w:val="445"/>
              <w:rPr>
                <w:rFonts w:cs="Times New Roman"/>
                <w:kern w:val="0"/>
                <w:szCs w:val="20"/>
              </w:rPr>
            </w:pPr>
            <w:r>
              <w:rPr>
                <w:rFonts w:cs="Times New Roman"/>
                <w:kern w:val="0"/>
                <w:szCs w:val="20"/>
              </w:rPr>
              <w:t>0</w:t>
            </w:r>
          </w:p>
        </w:tc>
      </w:tr>
      <w:tr w14:paraId="1C8B0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18" w:type="pct"/>
            <w:tcBorders>
              <w:top w:val="single" w:color="auto" w:sz="4" w:space="0"/>
              <w:left w:val="nil"/>
              <w:bottom w:val="single" w:color="auto" w:sz="4" w:space="0"/>
              <w:right w:val="single" w:color="auto" w:sz="4" w:space="0"/>
            </w:tcBorders>
            <w:vAlign w:val="center"/>
          </w:tcPr>
          <w:p w14:paraId="6C348360">
            <w:pPr>
              <w:pStyle w:val="445"/>
              <w:rPr>
                <w:rFonts w:cs="Times New Roman"/>
                <w:kern w:val="0"/>
                <w:szCs w:val="20"/>
              </w:rPr>
            </w:pPr>
            <w:r>
              <w:rPr>
                <w:rFonts w:cs="Times New Roman"/>
                <w:kern w:val="0"/>
                <w:szCs w:val="20"/>
              </w:rPr>
              <w:t>其他</w:t>
            </w:r>
          </w:p>
        </w:tc>
        <w:tc>
          <w:tcPr>
            <w:tcW w:w="2339" w:type="pct"/>
            <w:tcBorders>
              <w:top w:val="single" w:color="auto" w:sz="4" w:space="0"/>
              <w:left w:val="single" w:color="auto" w:sz="4" w:space="0"/>
              <w:bottom w:val="single" w:color="auto" w:sz="4" w:space="0"/>
              <w:right w:val="single" w:color="auto" w:sz="4" w:space="0"/>
            </w:tcBorders>
            <w:vAlign w:val="center"/>
          </w:tcPr>
          <w:p w14:paraId="35A0D8C6">
            <w:pPr>
              <w:pStyle w:val="445"/>
              <w:rPr>
                <w:rFonts w:cs="Times New Roman"/>
                <w:kern w:val="0"/>
                <w:szCs w:val="20"/>
              </w:rPr>
            </w:pPr>
            <w:r>
              <w:rPr>
                <w:rFonts w:cs="Times New Roman"/>
                <w:kern w:val="0"/>
                <w:szCs w:val="20"/>
              </w:rPr>
              <w:t>涉及危险物质使用、贮存的项目</w:t>
            </w:r>
          </w:p>
        </w:tc>
        <w:tc>
          <w:tcPr>
            <w:tcW w:w="642" w:type="pct"/>
            <w:tcBorders>
              <w:top w:val="single" w:color="auto" w:sz="4" w:space="0"/>
              <w:left w:val="single" w:color="auto" w:sz="4" w:space="0"/>
              <w:bottom w:val="single" w:color="auto" w:sz="4" w:space="0"/>
              <w:right w:val="single" w:color="auto" w:sz="4" w:space="0"/>
            </w:tcBorders>
            <w:vAlign w:val="center"/>
          </w:tcPr>
          <w:p w14:paraId="76A8EC88">
            <w:pPr>
              <w:pStyle w:val="445"/>
              <w:rPr>
                <w:rFonts w:cs="Times New Roman"/>
                <w:kern w:val="0"/>
                <w:szCs w:val="20"/>
              </w:rPr>
            </w:pPr>
            <w:r>
              <w:rPr>
                <w:rFonts w:cs="Times New Roman"/>
                <w:kern w:val="0"/>
                <w:szCs w:val="20"/>
              </w:rPr>
              <w:t>5</w:t>
            </w:r>
          </w:p>
        </w:tc>
        <w:tc>
          <w:tcPr>
            <w:tcW w:w="827" w:type="pct"/>
            <w:tcBorders>
              <w:top w:val="single" w:color="auto" w:sz="4" w:space="0"/>
              <w:left w:val="single" w:color="auto" w:sz="4" w:space="0"/>
              <w:bottom w:val="single" w:color="auto" w:sz="4" w:space="0"/>
              <w:right w:val="single" w:color="auto" w:sz="4" w:space="0"/>
            </w:tcBorders>
            <w:vAlign w:val="center"/>
          </w:tcPr>
          <w:p w14:paraId="49871DFC">
            <w:pPr>
              <w:pStyle w:val="445"/>
              <w:rPr>
                <w:rFonts w:cs="Times New Roman"/>
                <w:kern w:val="0"/>
                <w:szCs w:val="20"/>
              </w:rPr>
            </w:pPr>
            <w:r>
              <w:rPr>
                <w:rFonts w:hint="eastAsia" w:cs="Times New Roman"/>
                <w:kern w:val="0"/>
                <w:szCs w:val="20"/>
              </w:rPr>
              <w:t>/</w:t>
            </w:r>
          </w:p>
        </w:tc>
        <w:tc>
          <w:tcPr>
            <w:tcW w:w="574" w:type="pct"/>
            <w:tcBorders>
              <w:top w:val="single" w:color="auto" w:sz="4" w:space="0"/>
              <w:left w:val="single" w:color="auto" w:sz="4" w:space="0"/>
              <w:bottom w:val="single" w:color="auto" w:sz="4" w:space="0"/>
              <w:right w:val="nil"/>
            </w:tcBorders>
            <w:vAlign w:val="center"/>
          </w:tcPr>
          <w:p w14:paraId="5F961AB2">
            <w:pPr>
              <w:pStyle w:val="445"/>
              <w:rPr>
                <w:rFonts w:cs="Times New Roman"/>
                <w:kern w:val="0"/>
                <w:szCs w:val="20"/>
              </w:rPr>
            </w:pPr>
            <w:r>
              <w:rPr>
                <w:rFonts w:cs="Times New Roman"/>
                <w:kern w:val="0"/>
                <w:szCs w:val="20"/>
              </w:rPr>
              <w:t>0</w:t>
            </w:r>
          </w:p>
        </w:tc>
      </w:tr>
      <w:tr w14:paraId="4F383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26" w:type="pct"/>
            <w:gridSpan w:val="4"/>
            <w:tcBorders>
              <w:top w:val="single" w:color="auto" w:sz="4" w:space="0"/>
              <w:left w:val="nil"/>
              <w:bottom w:val="single" w:color="auto" w:sz="4" w:space="0"/>
              <w:right w:val="single" w:color="auto" w:sz="4" w:space="0"/>
            </w:tcBorders>
            <w:vAlign w:val="center"/>
          </w:tcPr>
          <w:p w14:paraId="1D0440AA">
            <w:pPr>
              <w:pStyle w:val="445"/>
              <w:rPr>
                <w:rFonts w:cs="Times New Roman"/>
                <w:kern w:val="0"/>
                <w:szCs w:val="20"/>
              </w:rPr>
            </w:pPr>
            <w:r>
              <w:rPr>
                <w:rFonts w:cs="Times New Roman"/>
                <w:kern w:val="0"/>
                <w:szCs w:val="20"/>
              </w:rPr>
              <w:t>合计</w:t>
            </w:r>
          </w:p>
        </w:tc>
        <w:tc>
          <w:tcPr>
            <w:tcW w:w="574" w:type="pct"/>
            <w:tcBorders>
              <w:top w:val="single" w:color="auto" w:sz="4" w:space="0"/>
              <w:left w:val="single" w:color="auto" w:sz="4" w:space="0"/>
              <w:bottom w:val="single" w:color="auto" w:sz="4" w:space="0"/>
              <w:right w:val="nil"/>
            </w:tcBorders>
            <w:vAlign w:val="center"/>
          </w:tcPr>
          <w:p w14:paraId="473173E7">
            <w:pPr>
              <w:pStyle w:val="445"/>
              <w:rPr>
                <w:rFonts w:cs="Times New Roman"/>
                <w:kern w:val="0"/>
                <w:szCs w:val="20"/>
              </w:rPr>
            </w:pPr>
            <w:r>
              <w:rPr>
                <w:rFonts w:cs="Times New Roman"/>
                <w:kern w:val="0"/>
                <w:szCs w:val="20"/>
              </w:rPr>
              <w:t>20</w:t>
            </w:r>
          </w:p>
        </w:tc>
      </w:tr>
      <w:tr w14:paraId="560C8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4" w:space="0"/>
              <w:left w:val="nil"/>
              <w:bottom w:val="single" w:color="auto" w:sz="12" w:space="0"/>
              <w:right w:val="nil"/>
            </w:tcBorders>
            <w:vAlign w:val="center"/>
          </w:tcPr>
          <w:p w14:paraId="3B876D41">
            <w:pPr>
              <w:pStyle w:val="445"/>
              <w:rPr>
                <w:rFonts w:cs="Times New Roman"/>
                <w:kern w:val="0"/>
                <w:szCs w:val="20"/>
              </w:rPr>
            </w:pPr>
            <w:r>
              <w:rPr>
                <w:rFonts w:cs="Times New Roman"/>
                <w:kern w:val="0"/>
                <w:szCs w:val="20"/>
              </w:rPr>
              <w:t>a 高温指工艺温度≥300</w:t>
            </w:r>
            <w:r>
              <w:rPr>
                <w:rFonts w:hint="eastAsia" w:cs="Times New Roman"/>
                <w:kern w:val="0"/>
                <w:szCs w:val="20"/>
              </w:rPr>
              <w:t>℃</w:t>
            </w:r>
            <w:r>
              <w:rPr>
                <w:rFonts w:cs="Times New Roman"/>
                <w:kern w:val="0"/>
                <w:szCs w:val="20"/>
              </w:rPr>
              <w:t>，高压指压力容器的设计压力（P）≥10.0MPa；</w:t>
            </w:r>
          </w:p>
          <w:p w14:paraId="55771FD1">
            <w:pPr>
              <w:pStyle w:val="445"/>
              <w:rPr>
                <w:rFonts w:cs="Times New Roman"/>
                <w:kern w:val="0"/>
                <w:szCs w:val="20"/>
              </w:rPr>
            </w:pPr>
            <w:r>
              <w:rPr>
                <w:rFonts w:cs="Times New Roman"/>
                <w:kern w:val="0"/>
                <w:szCs w:val="20"/>
              </w:rPr>
              <w:t>b 长输管道运输项目应按站场、管线分段进行评价。</w:t>
            </w:r>
          </w:p>
        </w:tc>
      </w:tr>
    </w:tbl>
    <w:p w14:paraId="12FA61AF">
      <w:pPr>
        <w:ind w:firstLine="480"/>
        <w:rPr>
          <w:szCs w:val="24"/>
        </w:rPr>
      </w:pPr>
      <w:r>
        <w:rPr>
          <w:rFonts w:ascii="宋体" w:hAnsi="宋体"/>
        </w:rPr>
        <w:t>本项目涉及的其他涉及高温或高压和涉及危险物质使用、贮存的项目，共计分值</w:t>
      </w:r>
      <w:r>
        <w:t>20</w:t>
      </w:r>
      <w:r>
        <w:rPr>
          <w:rFonts w:ascii="宋体" w:hAnsi="宋体"/>
        </w:rPr>
        <w:t>分，该项目行业及生产工艺</w:t>
      </w:r>
      <w:r>
        <w:t>M</w:t>
      </w:r>
      <w:r>
        <w:rPr>
          <w:rFonts w:ascii="宋体" w:hAnsi="宋体"/>
        </w:rPr>
        <w:t>分值</w:t>
      </w:r>
      <w:r>
        <w:rPr>
          <w:rFonts w:hint="eastAsia"/>
        </w:rPr>
        <w:t>10</w:t>
      </w:r>
      <w:r>
        <w:rPr>
          <w:rFonts w:hint="eastAsia" w:ascii="宋体" w:hAnsi="宋体"/>
        </w:rPr>
        <w:t>＜</w:t>
      </w:r>
      <w:r>
        <w:rPr>
          <w:rFonts w:hint="eastAsia"/>
        </w:rPr>
        <w:t>M</w:t>
      </w:r>
      <w:r>
        <w:rPr>
          <w:rFonts w:hint="eastAsia" w:ascii="宋体" w:hAnsi="宋体"/>
        </w:rPr>
        <w:t>≤</w:t>
      </w:r>
      <w:r>
        <w:rPr>
          <w:rFonts w:hint="eastAsia"/>
        </w:rPr>
        <w:t>20</w:t>
      </w:r>
      <w:r>
        <w:rPr>
          <w:rFonts w:ascii="宋体" w:hAnsi="宋体"/>
        </w:rPr>
        <w:t>，以</w:t>
      </w:r>
      <w:r>
        <w:t>M2</w:t>
      </w:r>
      <w:r>
        <w:rPr>
          <w:rFonts w:ascii="宋体" w:hAnsi="宋体"/>
        </w:rPr>
        <w:t>表示</w:t>
      </w:r>
      <w:r>
        <w:rPr>
          <w:rFonts w:hint="eastAsia" w:ascii="宋体" w:hAnsi="宋体"/>
        </w:rPr>
        <w:t>。</w:t>
      </w:r>
    </w:p>
    <w:p w14:paraId="3828B08C">
      <w:pPr>
        <w:ind w:firstLine="480"/>
      </w:pPr>
      <w:r>
        <w:t>（3）危险物质及工艺系统危险性（P）分级</w:t>
      </w:r>
    </w:p>
    <w:p w14:paraId="11A5EDA6">
      <w:pPr>
        <w:ind w:firstLine="720" w:firstLineChars="300"/>
      </w:pPr>
      <w:r>
        <w:rPr>
          <w:rFonts w:hint="eastAsia" w:ascii="宋体" w:hAnsi="宋体"/>
        </w:rPr>
        <w:t>根据表</w:t>
      </w:r>
      <w:r>
        <w:t>2.3.1-8</w:t>
      </w:r>
      <w:r>
        <w:rPr>
          <w:rFonts w:hint="eastAsia" w:ascii="宋体" w:hAnsi="宋体"/>
        </w:rPr>
        <w:t>和</w:t>
      </w:r>
      <w:r>
        <w:rPr>
          <w:rFonts w:ascii="宋体" w:hAnsi="宋体"/>
        </w:rPr>
        <w:t>表</w:t>
      </w:r>
      <w:r>
        <w:t>2.3.1-9</w:t>
      </w:r>
      <w:r>
        <w:rPr>
          <w:rFonts w:hint="eastAsia" w:ascii="宋体" w:hAnsi="宋体"/>
        </w:rPr>
        <w:t>，</w:t>
      </w:r>
      <w:r>
        <w:rPr>
          <w:rFonts w:ascii="宋体" w:hAnsi="宋体"/>
        </w:rPr>
        <w:t>按照《</w:t>
      </w:r>
      <w:r>
        <w:rPr>
          <w:rFonts w:hint="eastAsia" w:ascii="宋体" w:hAnsi="宋体"/>
        </w:rPr>
        <w:t>建设项目</w:t>
      </w:r>
      <w:r>
        <w:rPr>
          <w:rFonts w:ascii="宋体" w:hAnsi="宋体"/>
        </w:rPr>
        <w:t>环境风险评价技术导则》</w:t>
      </w:r>
      <w:r>
        <w:rPr>
          <w:rFonts w:hint="eastAsia" w:ascii="宋体" w:hAnsi="宋体"/>
        </w:rPr>
        <w:t>（</w:t>
      </w:r>
      <w:r>
        <w:rPr>
          <w:rFonts w:hint="eastAsia"/>
        </w:rPr>
        <w:t>HJ169-2018</w:t>
      </w:r>
      <w:r>
        <w:rPr>
          <w:rFonts w:hint="eastAsia" w:ascii="宋体" w:hAnsi="宋体"/>
        </w:rPr>
        <w:t>）附录</w:t>
      </w:r>
      <w:r>
        <w:rPr>
          <w:rFonts w:hint="eastAsia"/>
        </w:rPr>
        <w:t>C</w:t>
      </w:r>
      <w:r>
        <w:rPr>
          <w:rFonts w:hint="eastAsia" w:ascii="宋体" w:hAnsi="宋体"/>
        </w:rPr>
        <w:t>中表</w:t>
      </w:r>
      <w:r>
        <w:rPr>
          <w:rFonts w:hint="eastAsia"/>
        </w:rPr>
        <w:t>C.</w:t>
      </w:r>
      <w:r>
        <w:t>2</w:t>
      </w:r>
      <w:r>
        <w:rPr>
          <w:rFonts w:hint="eastAsia" w:ascii="宋体" w:hAnsi="宋体"/>
        </w:rPr>
        <w:t>要求</w:t>
      </w:r>
      <w:r>
        <w:rPr>
          <w:rFonts w:ascii="宋体" w:hAnsi="宋体"/>
        </w:rPr>
        <w:t>，确定本项目危险物质及工艺系统危险性等级（</w:t>
      </w:r>
      <w:r>
        <w:rPr>
          <w:rFonts w:hint="eastAsia"/>
        </w:rPr>
        <w:t>P</w:t>
      </w:r>
      <w:r>
        <w:rPr>
          <w:rFonts w:ascii="宋体" w:hAnsi="宋体"/>
        </w:rPr>
        <w:t>）</w:t>
      </w:r>
      <w:r>
        <w:rPr>
          <w:rFonts w:hint="eastAsia" w:ascii="宋体" w:hAnsi="宋体"/>
        </w:rPr>
        <w:t>为</w:t>
      </w:r>
      <w:r>
        <w:rPr>
          <w:rFonts w:hint="eastAsia"/>
        </w:rPr>
        <w:t>P</w:t>
      </w:r>
      <w:r>
        <w:t>2</w:t>
      </w:r>
      <w:r>
        <w:rPr>
          <w:rFonts w:hint="eastAsia" w:ascii="宋体" w:hAnsi="宋体"/>
        </w:rPr>
        <w:t>等级，</w:t>
      </w:r>
      <w:r>
        <w:rPr>
          <w:rFonts w:ascii="宋体" w:hAnsi="宋体"/>
        </w:rPr>
        <w:t>见表</w:t>
      </w:r>
      <w:r>
        <w:t>2.3.1-10</w:t>
      </w:r>
      <w:r>
        <w:rPr>
          <w:rFonts w:hint="eastAsia" w:ascii="宋体" w:hAnsi="宋体"/>
        </w:rPr>
        <w:t>。</w:t>
      </w:r>
    </w:p>
    <w:p w14:paraId="259AB4CD">
      <w:pPr>
        <w:spacing w:line="500" w:lineRule="exact"/>
        <w:ind w:firstLine="0" w:firstLineChars="0"/>
        <w:jc w:val="center"/>
      </w:pPr>
      <w:r>
        <w:rPr>
          <w:rFonts w:hint="eastAsia" w:ascii="黑体" w:hAnsi="黑体" w:eastAsia="黑体"/>
        </w:rPr>
        <w:t>表</w:t>
      </w:r>
      <w:r>
        <w:rPr>
          <w:rFonts w:eastAsia="黑体"/>
        </w:rPr>
        <w:t xml:space="preserve">2.3.1-10  </w:t>
      </w:r>
      <w:r>
        <w:rPr>
          <w:rFonts w:hint="eastAsia" w:ascii="黑体" w:hAnsi="黑体" w:eastAsia="黑体"/>
        </w:rPr>
        <w:t>本项目</w:t>
      </w:r>
      <w:r>
        <w:rPr>
          <w:rFonts w:ascii="黑体" w:hAnsi="黑体" w:eastAsia="黑体"/>
        </w:rPr>
        <w:t>危险物质及工艺系统危险性等级判断表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31"/>
        <w:gridCol w:w="1887"/>
        <w:gridCol w:w="1637"/>
        <w:gridCol w:w="1843"/>
        <w:gridCol w:w="1844"/>
      </w:tblGrid>
      <w:tr w14:paraId="082B2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Borders>
              <w:top w:val="single" w:color="auto" w:sz="12" w:space="0"/>
              <w:left w:val="nil"/>
              <w:bottom w:val="single" w:color="auto" w:sz="4" w:space="0"/>
              <w:right w:val="single" w:color="auto" w:sz="4" w:space="0"/>
            </w:tcBorders>
            <w:vAlign w:val="center"/>
          </w:tcPr>
          <w:p w14:paraId="3B16D87E">
            <w:pPr>
              <w:pStyle w:val="445"/>
              <w:rPr>
                <w:rFonts w:cs="Times New Roman"/>
                <w:kern w:val="0"/>
                <w:szCs w:val="20"/>
              </w:rPr>
            </w:pPr>
            <w:r>
              <w:rPr>
                <w:rFonts w:hint="eastAsia" w:cs="Times New Roman"/>
                <w:kern w:val="0"/>
                <w:szCs w:val="20"/>
              </w:rPr>
              <w:t>危险物质</w:t>
            </w:r>
            <w:r>
              <w:rPr>
                <w:rFonts w:cs="Times New Roman"/>
                <w:kern w:val="0"/>
                <w:szCs w:val="20"/>
              </w:rPr>
              <w:t>数量与临界量比值（</w:t>
            </w:r>
            <w:r>
              <w:rPr>
                <w:rFonts w:hint="eastAsia" w:cs="Times New Roman"/>
                <w:kern w:val="0"/>
                <w:szCs w:val="20"/>
              </w:rPr>
              <w:t>Q</w:t>
            </w:r>
            <w:r>
              <w:rPr>
                <w:rFonts w:cs="Times New Roman"/>
                <w:kern w:val="0"/>
                <w:szCs w:val="20"/>
              </w:rPr>
              <w:t>）</w:t>
            </w:r>
          </w:p>
        </w:tc>
        <w:tc>
          <w:tcPr>
            <w:tcW w:w="1843" w:type="dxa"/>
            <w:tcBorders>
              <w:top w:val="single" w:color="auto" w:sz="12" w:space="0"/>
              <w:left w:val="single" w:color="auto" w:sz="4" w:space="0"/>
              <w:bottom w:val="single" w:color="auto" w:sz="4" w:space="0"/>
              <w:right w:val="single" w:color="auto" w:sz="4" w:space="0"/>
            </w:tcBorders>
            <w:vAlign w:val="center"/>
          </w:tcPr>
          <w:p w14:paraId="767C2034">
            <w:pPr>
              <w:pStyle w:val="445"/>
              <w:rPr>
                <w:rFonts w:cs="Times New Roman"/>
                <w:kern w:val="0"/>
                <w:szCs w:val="20"/>
              </w:rPr>
            </w:pPr>
            <w:r>
              <w:rPr>
                <w:rFonts w:hint="eastAsia" w:cs="Times New Roman"/>
                <w:kern w:val="0"/>
                <w:szCs w:val="20"/>
              </w:rPr>
              <w:t>M1</w:t>
            </w:r>
          </w:p>
        </w:tc>
        <w:tc>
          <w:tcPr>
            <w:tcW w:w="1599" w:type="dxa"/>
            <w:tcBorders>
              <w:top w:val="single" w:color="auto" w:sz="12" w:space="0"/>
              <w:left w:val="single" w:color="auto" w:sz="4" w:space="0"/>
              <w:bottom w:val="single" w:color="auto" w:sz="4" w:space="0"/>
              <w:right w:val="single" w:color="auto" w:sz="4" w:space="0"/>
            </w:tcBorders>
            <w:vAlign w:val="center"/>
          </w:tcPr>
          <w:p w14:paraId="12EC6135">
            <w:pPr>
              <w:pStyle w:val="445"/>
              <w:rPr>
                <w:rFonts w:cs="Times New Roman"/>
                <w:kern w:val="0"/>
                <w:szCs w:val="20"/>
              </w:rPr>
            </w:pPr>
            <w:r>
              <w:rPr>
                <w:rFonts w:hint="eastAsia" w:cs="Times New Roman"/>
                <w:kern w:val="0"/>
                <w:szCs w:val="20"/>
              </w:rPr>
              <w:t>M2</w:t>
            </w:r>
          </w:p>
        </w:tc>
        <w:tc>
          <w:tcPr>
            <w:tcW w:w="1800" w:type="dxa"/>
            <w:tcBorders>
              <w:top w:val="single" w:color="auto" w:sz="12" w:space="0"/>
              <w:left w:val="single" w:color="auto" w:sz="4" w:space="0"/>
              <w:bottom w:val="single" w:color="auto" w:sz="4" w:space="0"/>
              <w:right w:val="single" w:color="auto" w:sz="4" w:space="0"/>
            </w:tcBorders>
            <w:vAlign w:val="center"/>
          </w:tcPr>
          <w:p w14:paraId="1159DA8A">
            <w:pPr>
              <w:pStyle w:val="445"/>
              <w:rPr>
                <w:rFonts w:cs="Times New Roman"/>
                <w:kern w:val="0"/>
                <w:szCs w:val="20"/>
              </w:rPr>
            </w:pPr>
            <w:r>
              <w:rPr>
                <w:rFonts w:hint="eastAsia" w:cs="Times New Roman"/>
                <w:kern w:val="0"/>
                <w:szCs w:val="20"/>
              </w:rPr>
              <w:t>M3</w:t>
            </w:r>
          </w:p>
        </w:tc>
        <w:tc>
          <w:tcPr>
            <w:tcW w:w="1800" w:type="dxa"/>
            <w:tcBorders>
              <w:top w:val="single" w:color="auto" w:sz="12" w:space="0"/>
              <w:left w:val="single" w:color="auto" w:sz="4" w:space="0"/>
              <w:bottom w:val="single" w:color="auto" w:sz="4" w:space="0"/>
              <w:right w:val="nil"/>
            </w:tcBorders>
            <w:vAlign w:val="center"/>
          </w:tcPr>
          <w:p w14:paraId="3F21A105">
            <w:pPr>
              <w:pStyle w:val="445"/>
              <w:rPr>
                <w:rFonts w:cs="Times New Roman"/>
                <w:kern w:val="0"/>
                <w:szCs w:val="20"/>
              </w:rPr>
            </w:pPr>
            <w:r>
              <w:rPr>
                <w:rFonts w:hint="eastAsia" w:cs="Times New Roman"/>
                <w:kern w:val="0"/>
                <w:szCs w:val="20"/>
              </w:rPr>
              <w:t>M4</w:t>
            </w:r>
          </w:p>
        </w:tc>
      </w:tr>
      <w:tr w14:paraId="2D80A6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Borders>
              <w:top w:val="single" w:color="auto" w:sz="4" w:space="0"/>
              <w:left w:val="nil"/>
              <w:bottom w:val="single" w:color="auto" w:sz="4" w:space="0"/>
              <w:right w:val="single" w:color="auto" w:sz="4" w:space="0"/>
            </w:tcBorders>
            <w:vAlign w:val="center"/>
          </w:tcPr>
          <w:p w14:paraId="79CBA8C9">
            <w:pPr>
              <w:pStyle w:val="445"/>
              <w:rPr>
                <w:rFonts w:cs="Times New Roman"/>
                <w:kern w:val="0"/>
                <w:szCs w:val="20"/>
              </w:rPr>
            </w:pPr>
            <w:r>
              <w:rPr>
                <w:rFonts w:hint="eastAsia" w:cs="Times New Roman"/>
                <w:kern w:val="0"/>
                <w:szCs w:val="20"/>
              </w:rPr>
              <w:t>Q≥100</w:t>
            </w:r>
          </w:p>
        </w:tc>
        <w:tc>
          <w:tcPr>
            <w:tcW w:w="1843" w:type="dxa"/>
            <w:tcBorders>
              <w:top w:val="single" w:color="auto" w:sz="4" w:space="0"/>
              <w:left w:val="single" w:color="auto" w:sz="4" w:space="0"/>
              <w:bottom w:val="single" w:color="auto" w:sz="4" w:space="0"/>
              <w:right w:val="single" w:color="auto" w:sz="4" w:space="0"/>
            </w:tcBorders>
            <w:vAlign w:val="center"/>
          </w:tcPr>
          <w:p w14:paraId="151711F2">
            <w:pPr>
              <w:pStyle w:val="445"/>
              <w:rPr>
                <w:rFonts w:cs="Times New Roman"/>
                <w:kern w:val="0"/>
                <w:szCs w:val="20"/>
              </w:rPr>
            </w:pPr>
            <w:r>
              <w:rPr>
                <w:rFonts w:hint="eastAsia" w:cs="Times New Roman"/>
                <w:kern w:val="0"/>
                <w:szCs w:val="20"/>
              </w:rPr>
              <w:t>P1</w:t>
            </w:r>
          </w:p>
        </w:tc>
        <w:tc>
          <w:tcPr>
            <w:tcW w:w="1599" w:type="dxa"/>
            <w:tcBorders>
              <w:top w:val="single" w:color="auto" w:sz="4" w:space="0"/>
              <w:left w:val="single" w:color="auto" w:sz="4" w:space="0"/>
              <w:bottom w:val="single" w:color="auto" w:sz="4" w:space="0"/>
              <w:right w:val="single" w:color="auto" w:sz="4" w:space="0"/>
            </w:tcBorders>
            <w:vAlign w:val="center"/>
          </w:tcPr>
          <w:p w14:paraId="31182C2F">
            <w:pPr>
              <w:pStyle w:val="445"/>
              <w:rPr>
                <w:rFonts w:cs="Times New Roman"/>
                <w:kern w:val="0"/>
                <w:szCs w:val="20"/>
              </w:rPr>
            </w:pPr>
            <w:r>
              <w:rPr>
                <w:rFonts w:hint="eastAsia" w:cs="Times New Roman"/>
                <w:kern w:val="0"/>
                <w:szCs w:val="20"/>
              </w:rPr>
              <w:t>P1</w:t>
            </w:r>
          </w:p>
        </w:tc>
        <w:tc>
          <w:tcPr>
            <w:tcW w:w="1800" w:type="dxa"/>
            <w:tcBorders>
              <w:top w:val="single" w:color="auto" w:sz="4" w:space="0"/>
              <w:left w:val="single" w:color="auto" w:sz="4" w:space="0"/>
              <w:bottom w:val="single" w:color="auto" w:sz="4" w:space="0"/>
              <w:right w:val="single" w:color="auto" w:sz="4" w:space="0"/>
            </w:tcBorders>
            <w:vAlign w:val="center"/>
          </w:tcPr>
          <w:p w14:paraId="0763D48E">
            <w:pPr>
              <w:pStyle w:val="445"/>
              <w:rPr>
                <w:rFonts w:cs="Times New Roman"/>
                <w:kern w:val="0"/>
                <w:szCs w:val="20"/>
              </w:rPr>
            </w:pPr>
            <w:r>
              <w:rPr>
                <w:rFonts w:hint="eastAsia" w:cs="Times New Roman"/>
                <w:kern w:val="0"/>
                <w:szCs w:val="20"/>
              </w:rPr>
              <w:t>P2</w:t>
            </w:r>
          </w:p>
        </w:tc>
        <w:tc>
          <w:tcPr>
            <w:tcW w:w="1800" w:type="dxa"/>
            <w:tcBorders>
              <w:top w:val="single" w:color="auto" w:sz="4" w:space="0"/>
              <w:left w:val="single" w:color="auto" w:sz="4" w:space="0"/>
              <w:bottom w:val="single" w:color="auto" w:sz="4" w:space="0"/>
              <w:right w:val="nil"/>
            </w:tcBorders>
            <w:vAlign w:val="center"/>
          </w:tcPr>
          <w:p w14:paraId="1BDDF805">
            <w:pPr>
              <w:pStyle w:val="445"/>
              <w:rPr>
                <w:rFonts w:cs="Times New Roman"/>
                <w:kern w:val="0"/>
                <w:szCs w:val="20"/>
              </w:rPr>
            </w:pPr>
            <w:r>
              <w:rPr>
                <w:rFonts w:hint="eastAsia" w:cs="Times New Roman"/>
                <w:kern w:val="0"/>
                <w:szCs w:val="20"/>
              </w:rPr>
              <w:t>P3</w:t>
            </w:r>
          </w:p>
        </w:tc>
      </w:tr>
      <w:tr w14:paraId="2D1A8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Borders>
              <w:top w:val="single" w:color="auto" w:sz="4" w:space="0"/>
              <w:left w:val="nil"/>
              <w:bottom w:val="single" w:color="auto" w:sz="4" w:space="0"/>
              <w:right w:val="single" w:color="auto" w:sz="4" w:space="0"/>
            </w:tcBorders>
            <w:vAlign w:val="center"/>
          </w:tcPr>
          <w:p w14:paraId="3B85BEB7">
            <w:pPr>
              <w:pStyle w:val="445"/>
              <w:rPr>
                <w:rFonts w:cs="Times New Roman"/>
                <w:kern w:val="0"/>
                <w:szCs w:val="20"/>
              </w:rPr>
            </w:pPr>
            <w:r>
              <w:rPr>
                <w:rFonts w:hint="eastAsia" w:cs="Times New Roman"/>
                <w:kern w:val="0"/>
                <w:szCs w:val="20"/>
              </w:rPr>
              <w:t>10≤Q＜100</w:t>
            </w:r>
          </w:p>
        </w:tc>
        <w:tc>
          <w:tcPr>
            <w:tcW w:w="1843" w:type="dxa"/>
            <w:tcBorders>
              <w:top w:val="single" w:color="auto" w:sz="4" w:space="0"/>
              <w:left w:val="single" w:color="auto" w:sz="4" w:space="0"/>
              <w:bottom w:val="single" w:color="auto" w:sz="4" w:space="0"/>
              <w:right w:val="single" w:color="auto" w:sz="4" w:space="0"/>
            </w:tcBorders>
            <w:vAlign w:val="center"/>
          </w:tcPr>
          <w:p w14:paraId="14F243DB">
            <w:pPr>
              <w:pStyle w:val="445"/>
              <w:rPr>
                <w:rFonts w:cs="Times New Roman"/>
                <w:kern w:val="0"/>
                <w:szCs w:val="20"/>
              </w:rPr>
            </w:pPr>
            <w:r>
              <w:rPr>
                <w:rFonts w:hint="eastAsia" w:cs="Times New Roman"/>
                <w:kern w:val="0"/>
                <w:szCs w:val="20"/>
              </w:rPr>
              <w:t>P1</w:t>
            </w:r>
          </w:p>
        </w:tc>
        <w:tc>
          <w:tcPr>
            <w:tcW w:w="1599" w:type="dxa"/>
            <w:tcBorders>
              <w:top w:val="single" w:color="auto" w:sz="4" w:space="0"/>
              <w:left w:val="single" w:color="auto" w:sz="4" w:space="0"/>
              <w:bottom w:val="single" w:color="auto" w:sz="4" w:space="0"/>
              <w:right w:val="single" w:color="auto" w:sz="4" w:space="0"/>
            </w:tcBorders>
            <w:shd w:val="clear" w:color="auto" w:fill="BEBEBE"/>
            <w:vAlign w:val="center"/>
          </w:tcPr>
          <w:p w14:paraId="2D21E614">
            <w:pPr>
              <w:pStyle w:val="445"/>
              <w:rPr>
                <w:rFonts w:cs="Times New Roman"/>
                <w:kern w:val="0"/>
                <w:szCs w:val="20"/>
              </w:rPr>
            </w:pPr>
            <w:r>
              <w:rPr>
                <w:rFonts w:hint="eastAsia" w:cs="Times New Roman"/>
                <w:kern w:val="0"/>
                <w:szCs w:val="20"/>
              </w:rPr>
              <w:t>P2</w:t>
            </w:r>
          </w:p>
        </w:tc>
        <w:tc>
          <w:tcPr>
            <w:tcW w:w="1800" w:type="dxa"/>
            <w:tcBorders>
              <w:top w:val="single" w:color="auto" w:sz="4" w:space="0"/>
              <w:left w:val="single" w:color="auto" w:sz="4" w:space="0"/>
              <w:bottom w:val="single" w:color="auto" w:sz="4" w:space="0"/>
              <w:right w:val="single" w:color="auto" w:sz="4" w:space="0"/>
            </w:tcBorders>
            <w:vAlign w:val="center"/>
          </w:tcPr>
          <w:p w14:paraId="0884459E">
            <w:pPr>
              <w:pStyle w:val="445"/>
              <w:rPr>
                <w:rFonts w:cs="Times New Roman"/>
                <w:kern w:val="0"/>
                <w:szCs w:val="20"/>
              </w:rPr>
            </w:pPr>
            <w:r>
              <w:rPr>
                <w:rFonts w:hint="eastAsia" w:cs="Times New Roman"/>
                <w:kern w:val="0"/>
                <w:szCs w:val="20"/>
              </w:rPr>
              <w:t>P3</w:t>
            </w:r>
          </w:p>
        </w:tc>
        <w:tc>
          <w:tcPr>
            <w:tcW w:w="1800" w:type="dxa"/>
            <w:tcBorders>
              <w:top w:val="single" w:color="auto" w:sz="4" w:space="0"/>
              <w:left w:val="single" w:color="auto" w:sz="4" w:space="0"/>
              <w:bottom w:val="single" w:color="auto" w:sz="4" w:space="0"/>
              <w:right w:val="nil"/>
            </w:tcBorders>
            <w:vAlign w:val="center"/>
          </w:tcPr>
          <w:p w14:paraId="556F624A">
            <w:pPr>
              <w:pStyle w:val="445"/>
              <w:rPr>
                <w:rFonts w:cs="Times New Roman"/>
                <w:kern w:val="0"/>
                <w:szCs w:val="20"/>
              </w:rPr>
            </w:pPr>
            <w:r>
              <w:rPr>
                <w:rFonts w:hint="eastAsia" w:cs="Times New Roman"/>
                <w:kern w:val="0"/>
                <w:szCs w:val="20"/>
              </w:rPr>
              <w:t>P4</w:t>
            </w:r>
          </w:p>
        </w:tc>
      </w:tr>
      <w:tr w14:paraId="137C3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Borders>
              <w:top w:val="single" w:color="auto" w:sz="4" w:space="0"/>
              <w:left w:val="nil"/>
              <w:bottom w:val="single" w:color="auto" w:sz="12" w:space="0"/>
              <w:right w:val="single" w:color="auto" w:sz="4" w:space="0"/>
            </w:tcBorders>
            <w:vAlign w:val="center"/>
          </w:tcPr>
          <w:p w14:paraId="6E514C7D">
            <w:pPr>
              <w:pStyle w:val="445"/>
              <w:rPr>
                <w:rFonts w:cs="Times New Roman"/>
                <w:kern w:val="0"/>
                <w:szCs w:val="20"/>
              </w:rPr>
            </w:pPr>
            <w:r>
              <w:rPr>
                <w:rFonts w:hint="eastAsia" w:cs="Times New Roman"/>
                <w:kern w:val="0"/>
                <w:szCs w:val="20"/>
              </w:rPr>
              <w:t>1≤Q＜10</w:t>
            </w:r>
          </w:p>
        </w:tc>
        <w:tc>
          <w:tcPr>
            <w:tcW w:w="1843" w:type="dxa"/>
            <w:tcBorders>
              <w:top w:val="single" w:color="auto" w:sz="4" w:space="0"/>
              <w:left w:val="single" w:color="auto" w:sz="4" w:space="0"/>
              <w:bottom w:val="single" w:color="auto" w:sz="12" w:space="0"/>
              <w:right w:val="single" w:color="auto" w:sz="4" w:space="0"/>
            </w:tcBorders>
            <w:vAlign w:val="center"/>
          </w:tcPr>
          <w:p w14:paraId="3FF04ACD">
            <w:pPr>
              <w:pStyle w:val="445"/>
              <w:rPr>
                <w:rFonts w:cs="Times New Roman"/>
                <w:kern w:val="0"/>
                <w:szCs w:val="20"/>
              </w:rPr>
            </w:pPr>
            <w:r>
              <w:rPr>
                <w:rFonts w:hint="eastAsia" w:cs="Times New Roman"/>
                <w:kern w:val="0"/>
                <w:szCs w:val="20"/>
              </w:rPr>
              <w:t>P2</w:t>
            </w:r>
          </w:p>
        </w:tc>
        <w:tc>
          <w:tcPr>
            <w:tcW w:w="1599" w:type="dxa"/>
            <w:tcBorders>
              <w:top w:val="single" w:color="auto" w:sz="4" w:space="0"/>
              <w:left w:val="single" w:color="auto" w:sz="4" w:space="0"/>
              <w:bottom w:val="single" w:color="auto" w:sz="12" w:space="0"/>
              <w:right w:val="single" w:color="auto" w:sz="4" w:space="0"/>
            </w:tcBorders>
            <w:vAlign w:val="center"/>
          </w:tcPr>
          <w:p w14:paraId="007269D3">
            <w:pPr>
              <w:pStyle w:val="445"/>
              <w:rPr>
                <w:rFonts w:cs="Times New Roman"/>
                <w:kern w:val="0"/>
                <w:szCs w:val="20"/>
              </w:rPr>
            </w:pPr>
            <w:r>
              <w:rPr>
                <w:rFonts w:hint="eastAsia" w:cs="Times New Roman"/>
                <w:kern w:val="0"/>
                <w:szCs w:val="20"/>
              </w:rPr>
              <w:t>P3</w:t>
            </w:r>
          </w:p>
        </w:tc>
        <w:tc>
          <w:tcPr>
            <w:tcW w:w="1800" w:type="dxa"/>
            <w:tcBorders>
              <w:top w:val="single" w:color="auto" w:sz="4" w:space="0"/>
              <w:left w:val="single" w:color="auto" w:sz="4" w:space="0"/>
              <w:bottom w:val="single" w:color="auto" w:sz="12" w:space="0"/>
              <w:right w:val="single" w:color="auto" w:sz="4" w:space="0"/>
            </w:tcBorders>
            <w:vAlign w:val="center"/>
          </w:tcPr>
          <w:p w14:paraId="405284D7">
            <w:pPr>
              <w:pStyle w:val="445"/>
              <w:rPr>
                <w:rFonts w:cs="Times New Roman"/>
                <w:kern w:val="0"/>
                <w:szCs w:val="20"/>
              </w:rPr>
            </w:pPr>
            <w:r>
              <w:rPr>
                <w:rFonts w:hint="eastAsia" w:cs="Times New Roman"/>
                <w:kern w:val="0"/>
                <w:szCs w:val="20"/>
              </w:rPr>
              <w:t>P4</w:t>
            </w:r>
          </w:p>
        </w:tc>
        <w:tc>
          <w:tcPr>
            <w:tcW w:w="1800" w:type="dxa"/>
            <w:tcBorders>
              <w:top w:val="single" w:color="auto" w:sz="4" w:space="0"/>
              <w:left w:val="single" w:color="auto" w:sz="4" w:space="0"/>
              <w:bottom w:val="single" w:color="auto" w:sz="12" w:space="0"/>
              <w:right w:val="nil"/>
            </w:tcBorders>
            <w:vAlign w:val="center"/>
          </w:tcPr>
          <w:p w14:paraId="38BF06FF">
            <w:pPr>
              <w:pStyle w:val="445"/>
              <w:rPr>
                <w:rFonts w:cs="Times New Roman"/>
                <w:kern w:val="0"/>
                <w:szCs w:val="20"/>
              </w:rPr>
            </w:pPr>
            <w:r>
              <w:rPr>
                <w:rFonts w:hint="eastAsia" w:cs="Times New Roman"/>
                <w:kern w:val="0"/>
                <w:szCs w:val="20"/>
              </w:rPr>
              <w:t>P4</w:t>
            </w:r>
          </w:p>
        </w:tc>
      </w:tr>
    </w:tbl>
    <w:p w14:paraId="67619202">
      <w:pPr>
        <w:ind w:firstLine="0" w:firstLineChars="0"/>
        <w:rPr>
          <w:b/>
        </w:rPr>
      </w:pPr>
      <w:r>
        <w:rPr>
          <w:b/>
        </w:rPr>
        <w:t>2.3.1.5.2环境敏感程度E等级</w:t>
      </w:r>
    </w:p>
    <w:p w14:paraId="1024B23D">
      <w:pPr>
        <w:ind w:firstLine="480"/>
      </w:pPr>
      <w:r>
        <w:t>按照《建设项目环境风险评价技术导则》（HJ169-2018）附录D分别确定本项目的大气、地表水、地下水各要素的环境敏感程度。</w:t>
      </w:r>
    </w:p>
    <w:p w14:paraId="6AD67C50">
      <w:pPr>
        <w:ind w:firstLine="482"/>
        <w:rPr>
          <w:b/>
          <w:bCs/>
        </w:rPr>
      </w:pPr>
      <w:r>
        <w:rPr>
          <w:b/>
          <w:bCs/>
        </w:rPr>
        <w:t>（1）大气环境敏感程度</w:t>
      </w:r>
    </w:p>
    <w:p w14:paraId="02C25D97">
      <w:pPr>
        <w:ind w:firstLine="480"/>
      </w:pPr>
      <w:r>
        <w:rPr>
          <w:rFonts w:ascii="宋体" w:hAnsi="宋体"/>
        </w:rPr>
        <w:t>依据保护目标环境敏感性及人口密度划分环境风险受体的敏感性，共分为三种类型，</w:t>
      </w:r>
      <w:r>
        <w:t>E1</w:t>
      </w:r>
      <w:r>
        <w:rPr>
          <w:rFonts w:ascii="宋体" w:hAnsi="宋体"/>
        </w:rPr>
        <w:t>为环境高度敏感区，</w:t>
      </w:r>
      <w:r>
        <w:t>E2</w:t>
      </w:r>
      <w:r>
        <w:rPr>
          <w:rFonts w:ascii="宋体" w:hAnsi="宋体"/>
        </w:rPr>
        <w:t>为环境中度敏感区，</w:t>
      </w:r>
      <w:r>
        <w:t>E3</w:t>
      </w:r>
      <w:r>
        <w:rPr>
          <w:rFonts w:ascii="宋体" w:hAnsi="宋体"/>
        </w:rPr>
        <w:t>为环境低度敏感区，分级原则见</w:t>
      </w:r>
      <w:r>
        <w:rPr>
          <w:rFonts w:hint="eastAsia" w:ascii="宋体" w:hAnsi="宋体"/>
        </w:rPr>
        <w:t>表</w:t>
      </w:r>
      <w:r>
        <w:t>2.3.1-11</w:t>
      </w:r>
      <w:r>
        <w:rPr>
          <w:rFonts w:ascii="宋体" w:hAnsi="宋体"/>
        </w:rPr>
        <w:t>。</w:t>
      </w:r>
    </w:p>
    <w:p w14:paraId="758D2EC9">
      <w:pPr>
        <w:spacing w:line="500" w:lineRule="exact"/>
        <w:ind w:firstLine="0" w:firstLineChars="0"/>
        <w:jc w:val="center"/>
        <w:rPr>
          <w:rFonts w:ascii="黑体" w:hAnsi="黑体" w:eastAsia="黑体"/>
        </w:rPr>
      </w:pPr>
      <w:r>
        <w:rPr>
          <w:rFonts w:ascii="黑体" w:hAnsi="黑体" w:eastAsia="黑体"/>
        </w:rPr>
        <w:t>表</w:t>
      </w:r>
      <w:r>
        <w:rPr>
          <w:rFonts w:eastAsia="黑体"/>
        </w:rPr>
        <w:t xml:space="preserve">2.3.1-11  </w:t>
      </w:r>
      <w:r>
        <w:rPr>
          <w:rFonts w:ascii="黑体" w:hAnsi="黑体" w:eastAsia="黑体"/>
        </w:rPr>
        <w:t>大气环境</w:t>
      </w:r>
      <w:r>
        <w:rPr>
          <w:rFonts w:hint="eastAsia" w:ascii="黑体" w:hAnsi="黑体" w:eastAsia="黑体"/>
        </w:rPr>
        <w:t>敏感性(E)分级原则一览表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8401"/>
      </w:tblGrid>
      <w:tr w14:paraId="0DCFAD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pct"/>
            <w:vAlign w:val="center"/>
          </w:tcPr>
          <w:p w14:paraId="4448D96C">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类别</w:t>
            </w:r>
          </w:p>
        </w:tc>
        <w:tc>
          <w:tcPr>
            <w:tcW w:w="4545" w:type="pct"/>
            <w:vAlign w:val="center"/>
          </w:tcPr>
          <w:p w14:paraId="39C9CD24">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环境风险受体情况</w:t>
            </w:r>
          </w:p>
        </w:tc>
      </w:tr>
      <w:tr w14:paraId="405E1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pct"/>
            <w:vAlign w:val="center"/>
          </w:tcPr>
          <w:p w14:paraId="734B7580">
            <w:pPr>
              <w:widowControl/>
              <w:spacing w:line="360" w:lineRule="exact"/>
              <w:ind w:firstLine="0" w:firstLineChars="0"/>
              <w:jc w:val="center"/>
              <w:rPr>
                <w:rFonts w:cs="Times New Roman"/>
                <w:kern w:val="0"/>
                <w:sz w:val="18"/>
                <w:szCs w:val="18"/>
              </w:rPr>
            </w:pPr>
            <w:r>
              <w:rPr>
                <w:rFonts w:cs="Times New Roman"/>
                <w:kern w:val="0"/>
                <w:sz w:val="18"/>
                <w:szCs w:val="18"/>
              </w:rPr>
              <w:t>E1</w:t>
            </w:r>
          </w:p>
        </w:tc>
        <w:tc>
          <w:tcPr>
            <w:tcW w:w="4545" w:type="pct"/>
            <w:vAlign w:val="center"/>
          </w:tcPr>
          <w:p w14:paraId="30E79C26">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周边</w:t>
            </w:r>
            <w:r>
              <w:rPr>
                <w:rFonts w:cs="Times New Roman"/>
                <w:kern w:val="0"/>
                <w:sz w:val="18"/>
                <w:szCs w:val="18"/>
              </w:rPr>
              <w:t>5km</w:t>
            </w:r>
            <w:r>
              <w:rPr>
                <w:rFonts w:ascii="宋体" w:hAnsi="宋体" w:cs="Times New Roman"/>
                <w:kern w:val="0"/>
                <w:sz w:val="18"/>
                <w:szCs w:val="18"/>
              </w:rPr>
              <w:t>范围内居住区、医疗卫生、文化教育、科研、行政办公等机构人口总数大于</w:t>
            </w:r>
            <w:r>
              <w:rPr>
                <w:rFonts w:cs="Times New Roman"/>
                <w:kern w:val="0"/>
                <w:sz w:val="18"/>
                <w:szCs w:val="18"/>
              </w:rPr>
              <w:t>5</w:t>
            </w:r>
            <w:r>
              <w:rPr>
                <w:rFonts w:ascii="宋体" w:hAnsi="宋体" w:cs="Times New Roman"/>
                <w:kern w:val="0"/>
                <w:sz w:val="18"/>
                <w:szCs w:val="18"/>
              </w:rPr>
              <w:t>万人，或其他需要特殊保护区域；或周边</w:t>
            </w:r>
            <w:r>
              <w:rPr>
                <w:rFonts w:cs="Times New Roman"/>
                <w:kern w:val="0"/>
                <w:sz w:val="18"/>
                <w:szCs w:val="18"/>
              </w:rPr>
              <w:t>500m</w:t>
            </w:r>
            <w:r>
              <w:rPr>
                <w:rFonts w:ascii="宋体" w:hAnsi="宋体" w:cs="Times New Roman"/>
                <w:kern w:val="0"/>
                <w:sz w:val="18"/>
                <w:szCs w:val="18"/>
              </w:rPr>
              <w:t>范围内人口总数大于</w:t>
            </w:r>
            <w:r>
              <w:rPr>
                <w:rFonts w:cs="Times New Roman"/>
                <w:kern w:val="0"/>
                <w:sz w:val="18"/>
                <w:szCs w:val="18"/>
              </w:rPr>
              <w:t>1000</w:t>
            </w:r>
            <w:r>
              <w:rPr>
                <w:rFonts w:ascii="宋体" w:hAnsi="宋体" w:cs="Times New Roman"/>
                <w:kern w:val="0"/>
                <w:sz w:val="18"/>
                <w:szCs w:val="18"/>
              </w:rPr>
              <w:t>人；油气、化学品输送管线管段周边</w:t>
            </w:r>
            <w:r>
              <w:rPr>
                <w:rFonts w:cs="Times New Roman"/>
                <w:kern w:val="0"/>
                <w:sz w:val="18"/>
                <w:szCs w:val="18"/>
              </w:rPr>
              <w:t>200m</w:t>
            </w:r>
            <w:r>
              <w:rPr>
                <w:rFonts w:ascii="宋体" w:hAnsi="宋体" w:cs="Times New Roman"/>
                <w:kern w:val="0"/>
                <w:sz w:val="18"/>
                <w:szCs w:val="18"/>
              </w:rPr>
              <w:t>范围内</w:t>
            </w:r>
            <w:r>
              <w:rPr>
                <w:rFonts w:hint="eastAsia" w:ascii="宋体" w:hAnsi="宋体" w:cs="Times New Roman"/>
                <w:kern w:val="0"/>
                <w:sz w:val="18"/>
                <w:szCs w:val="18"/>
              </w:rPr>
              <w:t>，每千米管段人口数</w:t>
            </w:r>
            <w:r>
              <w:rPr>
                <w:rFonts w:ascii="宋体" w:hAnsi="宋体" w:cs="Times New Roman"/>
                <w:kern w:val="0"/>
                <w:sz w:val="18"/>
                <w:szCs w:val="18"/>
              </w:rPr>
              <w:t>大于</w:t>
            </w:r>
            <w:r>
              <w:rPr>
                <w:rFonts w:cs="Times New Roman"/>
                <w:kern w:val="0"/>
                <w:sz w:val="18"/>
                <w:szCs w:val="18"/>
              </w:rPr>
              <w:t>200</w:t>
            </w:r>
            <w:r>
              <w:rPr>
                <w:rFonts w:ascii="宋体" w:hAnsi="宋体" w:cs="Times New Roman"/>
                <w:kern w:val="0"/>
                <w:sz w:val="18"/>
                <w:szCs w:val="18"/>
              </w:rPr>
              <w:t>人</w:t>
            </w:r>
          </w:p>
        </w:tc>
      </w:tr>
      <w:tr w14:paraId="3A493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pct"/>
            <w:vAlign w:val="center"/>
          </w:tcPr>
          <w:p w14:paraId="75FD2F7A">
            <w:pPr>
              <w:widowControl/>
              <w:spacing w:line="360" w:lineRule="exact"/>
              <w:ind w:firstLine="0" w:firstLineChars="0"/>
              <w:jc w:val="center"/>
              <w:rPr>
                <w:rFonts w:cs="Times New Roman"/>
                <w:kern w:val="0"/>
                <w:sz w:val="18"/>
                <w:szCs w:val="18"/>
              </w:rPr>
            </w:pPr>
            <w:r>
              <w:rPr>
                <w:rFonts w:cs="Times New Roman"/>
                <w:kern w:val="0"/>
                <w:sz w:val="18"/>
                <w:szCs w:val="18"/>
              </w:rPr>
              <w:t>E2</w:t>
            </w:r>
          </w:p>
        </w:tc>
        <w:tc>
          <w:tcPr>
            <w:tcW w:w="4545" w:type="pct"/>
            <w:vAlign w:val="center"/>
          </w:tcPr>
          <w:p w14:paraId="0D1358FA">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周边</w:t>
            </w:r>
            <w:r>
              <w:rPr>
                <w:rFonts w:cs="Times New Roman"/>
                <w:kern w:val="0"/>
                <w:sz w:val="18"/>
                <w:szCs w:val="18"/>
              </w:rPr>
              <w:t>5km</w:t>
            </w:r>
            <w:r>
              <w:rPr>
                <w:rFonts w:ascii="宋体" w:hAnsi="宋体" w:cs="Times New Roman"/>
                <w:kern w:val="0"/>
                <w:sz w:val="18"/>
                <w:szCs w:val="18"/>
              </w:rPr>
              <w:t>范围内居住区、医疗卫生、文化教育、科研、行政办公等机构人口总数大于</w:t>
            </w:r>
            <w:r>
              <w:rPr>
                <w:rFonts w:cs="Times New Roman"/>
                <w:kern w:val="0"/>
                <w:sz w:val="18"/>
                <w:szCs w:val="18"/>
              </w:rPr>
              <w:t>1</w:t>
            </w:r>
            <w:r>
              <w:rPr>
                <w:rFonts w:ascii="宋体" w:hAnsi="宋体" w:cs="Times New Roman"/>
                <w:kern w:val="0"/>
                <w:sz w:val="18"/>
                <w:szCs w:val="18"/>
              </w:rPr>
              <w:t>万人，小于</w:t>
            </w:r>
            <w:r>
              <w:rPr>
                <w:rFonts w:cs="Times New Roman"/>
                <w:kern w:val="0"/>
                <w:sz w:val="18"/>
                <w:szCs w:val="18"/>
              </w:rPr>
              <w:t>5</w:t>
            </w:r>
            <w:r>
              <w:rPr>
                <w:rFonts w:ascii="宋体" w:hAnsi="宋体" w:cs="Times New Roman"/>
                <w:kern w:val="0"/>
                <w:sz w:val="18"/>
                <w:szCs w:val="18"/>
              </w:rPr>
              <w:t>万人；或周边</w:t>
            </w:r>
            <w:r>
              <w:rPr>
                <w:rFonts w:cs="Times New Roman"/>
                <w:kern w:val="0"/>
                <w:sz w:val="18"/>
                <w:szCs w:val="18"/>
              </w:rPr>
              <w:t>500m</w:t>
            </w:r>
            <w:r>
              <w:rPr>
                <w:rFonts w:ascii="宋体" w:hAnsi="宋体" w:cs="Times New Roman"/>
                <w:kern w:val="0"/>
                <w:sz w:val="18"/>
                <w:szCs w:val="18"/>
              </w:rPr>
              <w:t>范围内人口总数大于</w:t>
            </w:r>
            <w:r>
              <w:rPr>
                <w:rFonts w:cs="Times New Roman"/>
                <w:kern w:val="0"/>
                <w:sz w:val="18"/>
                <w:szCs w:val="18"/>
              </w:rPr>
              <w:t>500</w:t>
            </w:r>
            <w:r>
              <w:rPr>
                <w:rFonts w:ascii="宋体" w:hAnsi="宋体" w:cs="Times New Roman"/>
                <w:kern w:val="0"/>
                <w:sz w:val="18"/>
                <w:szCs w:val="18"/>
              </w:rPr>
              <w:t>人，小于</w:t>
            </w:r>
            <w:r>
              <w:rPr>
                <w:rFonts w:cs="Times New Roman"/>
                <w:kern w:val="0"/>
                <w:sz w:val="18"/>
                <w:szCs w:val="18"/>
              </w:rPr>
              <w:t>1000</w:t>
            </w:r>
            <w:r>
              <w:rPr>
                <w:rFonts w:ascii="宋体" w:hAnsi="宋体" w:cs="Times New Roman"/>
                <w:kern w:val="0"/>
                <w:sz w:val="18"/>
                <w:szCs w:val="18"/>
              </w:rPr>
              <w:t>人；油气、化学品输送管线管段周边</w:t>
            </w:r>
            <w:r>
              <w:rPr>
                <w:rFonts w:cs="Times New Roman"/>
                <w:kern w:val="0"/>
                <w:sz w:val="18"/>
                <w:szCs w:val="18"/>
              </w:rPr>
              <w:t>200m</w:t>
            </w:r>
            <w:r>
              <w:rPr>
                <w:rFonts w:ascii="宋体" w:hAnsi="宋体" w:cs="Times New Roman"/>
                <w:kern w:val="0"/>
                <w:sz w:val="18"/>
                <w:szCs w:val="18"/>
              </w:rPr>
              <w:t>范围内</w:t>
            </w:r>
            <w:r>
              <w:rPr>
                <w:rFonts w:hint="eastAsia" w:ascii="宋体" w:hAnsi="宋体" w:cs="Times New Roman"/>
                <w:kern w:val="0"/>
                <w:sz w:val="18"/>
                <w:szCs w:val="18"/>
              </w:rPr>
              <w:t>，每千米管段人口数</w:t>
            </w:r>
            <w:r>
              <w:rPr>
                <w:rFonts w:ascii="宋体" w:hAnsi="宋体" w:cs="Times New Roman"/>
                <w:kern w:val="0"/>
                <w:sz w:val="18"/>
                <w:szCs w:val="18"/>
              </w:rPr>
              <w:t>大于</w:t>
            </w:r>
            <w:r>
              <w:rPr>
                <w:rFonts w:hint="eastAsia" w:cs="Times New Roman"/>
                <w:kern w:val="0"/>
                <w:sz w:val="18"/>
                <w:szCs w:val="18"/>
              </w:rPr>
              <w:t>1</w:t>
            </w:r>
            <w:r>
              <w:rPr>
                <w:rFonts w:cs="Times New Roman"/>
                <w:kern w:val="0"/>
                <w:sz w:val="18"/>
                <w:szCs w:val="18"/>
              </w:rPr>
              <w:t>00</w:t>
            </w:r>
            <w:r>
              <w:rPr>
                <w:rFonts w:hint="eastAsia" w:ascii="宋体" w:hAnsi="宋体" w:cs="Times New Roman"/>
                <w:kern w:val="0"/>
                <w:sz w:val="18"/>
                <w:szCs w:val="18"/>
              </w:rPr>
              <w:t>人，小于</w:t>
            </w:r>
            <w:r>
              <w:rPr>
                <w:rFonts w:cs="Times New Roman"/>
                <w:kern w:val="0"/>
                <w:sz w:val="18"/>
                <w:szCs w:val="18"/>
              </w:rPr>
              <w:t>200</w:t>
            </w:r>
            <w:r>
              <w:rPr>
                <w:rFonts w:ascii="宋体" w:hAnsi="宋体" w:cs="Times New Roman"/>
                <w:kern w:val="0"/>
                <w:sz w:val="18"/>
                <w:szCs w:val="18"/>
              </w:rPr>
              <w:t>人</w:t>
            </w:r>
          </w:p>
        </w:tc>
      </w:tr>
      <w:tr w14:paraId="7CA4A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pct"/>
            <w:vAlign w:val="center"/>
          </w:tcPr>
          <w:p w14:paraId="263C26AD">
            <w:pPr>
              <w:widowControl/>
              <w:spacing w:line="360" w:lineRule="exact"/>
              <w:ind w:firstLine="0" w:firstLineChars="0"/>
              <w:jc w:val="center"/>
              <w:rPr>
                <w:rFonts w:cs="Times New Roman"/>
                <w:kern w:val="0"/>
                <w:sz w:val="18"/>
                <w:szCs w:val="18"/>
              </w:rPr>
            </w:pPr>
            <w:r>
              <w:rPr>
                <w:rFonts w:cs="Times New Roman"/>
                <w:kern w:val="0"/>
                <w:sz w:val="18"/>
                <w:szCs w:val="18"/>
              </w:rPr>
              <w:t>E3</w:t>
            </w:r>
          </w:p>
        </w:tc>
        <w:tc>
          <w:tcPr>
            <w:tcW w:w="4545" w:type="pct"/>
            <w:vAlign w:val="center"/>
          </w:tcPr>
          <w:p w14:paraId="6CA47836">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周边</w:t>
            </w:r>
            <w:r>
              <w:rPr>
                <w:rFonts w:cs="Times New Roman"/>
                <w:kern w:val="0"/>
                <w:sz w:val="18"/>
                <w:szCs w:val="18"/>
              </w:rPr>
              <w:t>5km</w:t>
            </w:r>
            <w:r>
              <w:rPr>
                <w:rFonts w:ascii="宋体" w:hAnsi="宋体" w:cs="Times New Roman"/>
                <w:kern w:val="0"/>
                <w:sz w:val="18"/>
                <w:szCs w:val="18"/>
              </w:rPr>
              <w:t>范围内居住区、医疗卫生、文化教育、科研、行政办公等机构人口总数小于</w:t>
            </w:r>
            <w:r>
              <w:rPr>
                <w:rFonts w:cs="Times New Roman"/>
                <w:kern w:val="0"/>
                <w:sz w:val="18"/>
                <w:szCs w:val="18"/>
              </w:rPr>
              <w:t>1</w:t>
            </w:r>
            <w:r>
              <w:rPr>
                <w:rFonts w:ascii="宋体" w:hAnsi="宋体" w:cs="Times New Roman"/>
                <w:kern w:val="0"/>
                <w:sz w:val="18"/>
                <w:szCs w:val="18"/>
              </w:rPr>
              <w:t>万人；或周边</w:t>
            </w:r>
            <w:r>
              <w:rPr>
                <w:rFonts w:cs="Times New Roman"/>
                <w:kern w:val="0"/>
                <w:sz w:val="18"/>
                <w:szCs w:val="18"/>
              </w:rPr>
              <w:t>500m</w:t>
            </w:r>
            <w:r>
              <w:rPr>
                <w:rFonts w:ascii="宋体" w:hAnsi="宋体" w:cs="Times New Roman"/>
                <w:kern w:val="0"/>
                <w:sz w:val="18"/>
                <w:szCs w:val="18"/>
              </w:rPr>
              <w:t>范围内人口总数小于</w:t>
            </w:r>
            <w:r>
              <w:rPr>
                <w:rFonts w:cs="Times New Roman"/>
                <w:kern w:val="0"/>
                <w:sz w:val="18"/>
                <w:szCs w:val="18"/>
              </w:rPr>
              <w:t>500</w:t>
            </w:r>
            <w:r>
              <w:rPr>
                <w:rFonts w:ascii="宋体" w:hAnsi="宋体" w:cs="Times New Roman"/>
                <w:kern w:val="0"/>
                <w:sz w:val="18"/>
                <w:szCs w:val="18"/>
              </w:rPr>
              <w:t>人油气、化学品输送管线管段周边</w:t>
            </w:r>
            <w:r>
              <w:rPr>
                <w:rFonts w:cs="Times New Roman"/>
                <w:kern w:val="0"/>
                <w:sz w:val="18"/>
                <w:szCs w:val="18"/>
              </w:rPr>
              <w:t>200m</w:t>
            </w:r>
            <w:r>
              <w:rPr>
                <w:rFonts w:ascii="宋体" w:hAnsi="宋体" w:cs="Times New Roman"/>
                <w:kern w:val="0"/>
                <w:sz w:val="18"/>
                <w:szCs w:val="18"/>
              </w:rPr>
              <w:t>范围内</w:t>
            </w:r>
            <w:r>
              <w:rPr>
                <w:rFonts w:hint="eastAsia" w:ascii="宋体" w:hAnsi="宋体" w:cs="Times New Roman"/>
                <w:kern w:val="0"/>
                <w:sz w:val="18"/>
                <w:szCs w:val="18"/>
              </w:rPr>
              <w:t>，每千米管段人口数小</w:t>
            </w:r>
            <w:r>
              <w:rPr>
                <w:rFonts w:ascii="宋体" w:hAnsi="宋体" w:cs="Times New Roman"/>
                <w:kern w:val="0"/>
                <w:sz w:val="18"/>
                <w:szCs w:val="18"/>
              </w:rPr>
              <w:t>于</w:t>
            </w:r>
            <w:r>
              <w:rPr>
                <w:rFonts w:hint="eastAsia" w:cs="Times New Roman"/>
                <w:kern w:val="0"/>
                <w:sz w:val="18"/>
                <w:szCs w:val="18"/>
              </w:rPr>
              <w:t>1</w:t>
            </w:r>
            <w:r>
              <w:rPr>
                <w:rFonts w:cs="Times New Roman"/>
                <w:kern w:val="0"/>
                <w:sz w:val="18"/>
                <w:szCs w:val="18"/>
              </w:rPr>
              <w:t>00</w:t>
            </w:r>
            <w:r>
              <w:rPr>
                <w:rFonts w:hint="eastAsia" w:ascii="宋体" w:hAnsi="宋体" w:cs="Times New Roman"/>
                <w:kern w:val="0"/>
                <w:sz w:val="18"/>
                <w:szCs w:val="18"/>
              </w:rPr>
              <w:t>人</w:t>
            </w:r>
          </w:p>
        </w:tc>
      </w:tr>
    </w:tbl>
    <w:p w14:paraId="539E0CC2">
      <w:pPr>
        <w:ind w:firstLine="480"/>
        <w:rPr>
          <w:rFonts w:cs="Times New Roman"/>
          <w:szCs w:val="24"/>
        </w:rPr>
      </w:pPr>
      <w:r>
        <w:rPr>
          <w:rFonts w:hint="eastAsia" w:ascii="宋体" w:hAnsi="宋体"/>
        </w:rPr>
        <w:t>本项目周边</w:t>
      </w:r>
      <w:r>
        <w:t>5km</w:t>
      </w:r>
      <w:r>
        <w:rPr>
          <w:rFonts w:hint="eastAsia" w:ascii="宋体" w:hAnsi="宋体"/>
        </w:rPr>
        <w:t>范围内总人口数</w:t>
      </w:r>
      <w:r>
        <w:rPr>
          <w:rFonts w:hint="eastAsia"/>
        </w:rPr>
        <w:t>4</w:t>
      </w:r>
      <w:r>
        <w:t>2308</w:t>
      </w:r>
      <w:r>
        <w:rPr>
          <w:rFonts w:hint="eastAsia"/>
        </w:rPr>
        <w:t>人</w:t>
      </w:r>
      <w:r>
        <w:rPr>
          <w:rFonts w:hint="eastAsia" w:ascii="宋体" w:hAnsi="宋体"/>
        </w:rPr>
        <w:t>，周边</w:t>
      </w:r>
      <w:r>
        <w:t>500m</w:t>
      </w:r>
      <w:r>
        <w:rPr>
          <w:rFonts w:hint="eastAsia" w:ascii="宋体" w:hAnsi="宋体"/>
        </w:rPr>
        <w:t>范围内总人口数</w:t>
      </w:r>
      <w:r>
        <w:rPr>
          <w:rFonts w:hint="eastAsia"/>
        </w:rPr>
        <w:t>1</w:t>
      </w:r>
      <w:r>
        <w:t>879</w:t>
      </w:r>
      <w:r>
        <w:rPr>
          <w:rFonts w:hint="eastAsia" w:ascii="宋体" w:hAnsi="宋体"/>
        </w:rPr>
        <w:t>人，无其他需要特殊保护区域。根据表</w:t>
      </w:r>
      <w:r>
        <w:rPr>
          <w:rFonts w:hint="eastAsia"/>
        </w:rPr>
        <w:t>5.6.2</w:t>
      </w:r>
      <w:r>
        <w:t>-4</w:t>
      </w:r>
      <w:r>
        <w:rPr>
          <w:rFonts w:hint="eastAsia" w:ascii="宋体" w:hAnsi="宋体"/>
        </w:rPr>
        <w:t>可知，判断本项目大气环境敏感程度为</w:t>
      </w:r>
      <w:r>
        <w:t>E1</w:t>
      </w:r>
      <w:r>
        <w:rPr>
          <w:rFonts w:hint="eastAsia" w:ascii="宋体" w:hAnsi="宋体"/>
        </w:rPr>
        <w:t>。</w:t>
      </w:r>
    </w:p>
    <w:p w14:paraId="14D6BD43">
      <w:pPr>
        <w:ind w:firstLine="482"/>
        <w:rPr>
          <w:b/>
        </w:rPr>
      </w:pPr>
      <w:r>
        <w:rPr>
          <w:b/>
        </w:rPr>
        <w:t>（2）地表水环境敏感程度</w:t>
      </w:r>
    </w:p>
    <w:p w14:paraId="519DF6B9">
      <w:pPr>
        <w:ind w:firstLine="480"/>
      </w:pPr>
      <w:r>
        <w:rPr>
          <w:rFonts w:hint="eastAsia" w:ascii="宋体" w:hAnsi="宋体"/>
        </w:rPr>
        <w:t>根据《建设项目环境风险评价技术导则》</w:t>
      </w:r>
      <w:r>
        <w:rPr>
          <w:rFonts w:hint="eastAsia"/>
        </w:rPr>
        <w:t>(</w:t>
      </w:r>
      <w:r>
        <w:t>HJ169-2018</w:t>
      </w:r>
      <w:r>
        <w:rPr>
          <w:rFonts w:hint="eastAsia"/>
        </w:rPr>
        <w:t>)</w:t>
      </w:r>
      <w:r>
        <w:rPr>
          <w:rFonts w:hint="eastAsia" w:ascii="宋体" w:hAnsi="宋体"/>
        </w:rPr>
        <w:t>，</w:t>
      </w:r>
      <w:r>
        <w:rPr>
          <w:rFonts w:ascii="宋体" w:hAnsi="宋体"/>
        </w:rPr>
        <w:t>地表水功能敏感性分区见表</w:t>
      </w:r>
      <w:r>
        <w:t>2.3.1-12</w:t>
      </w:r>
      <w:r>
        <w:rPr>
          <w:rFonts w:ascii="宋体" w:hAnsi="宋体"/>
        </w:rPr>
        <w:t>。</w:t>
      </w:r>
    </w:p>
    <w:p w14:paraId="340EEC7A">
      <w:pPr>
        <w:spacing w:line="500" w:lineRule="exact"/>
        <w:ind w:firstLine="0" w:firstLineChars="0"/>
        <w:jc w:val="center"/>
        <w:rPr>
          <w:rFonts w:eastAsia="黑体"/>
        </w:rPr>
      </w:pPr>
      <w:r>
        <w:rPr>
          <w:rFonts w:ascii="黑体" w:hAnsi="黑体" w:eastAsia="黑体"/>
        </w:rPr>
        <w:t>表</w:t>
      </w:r>
      <w:r>
        <w:rPr>
          <w:rFonts w:eastAsia="黑体"/>
        </w:rPr>
        <w:t xml:space="preserve">2.3.1-12  </w:t>
      </w:r>
      <w:r>
        <w:rPr>
          <w:rFonts w:hint="eastAsia" w:ascii="黑体" w:hAnsi="黑体" w:eastAsia="黑体"/>
        </w:rPr>
        <w:t>地表水功能敏感性分区</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8048"/>
      </w:tblGrid>
      <w:tr w14:paraId="7A7E3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46" w:type="pct"/>
            <w:tcBorders>
              <w:top w:val="single" w:color="auto" w:sz="12" w:space="0"/>
              <w:left w:val="nil"/>
              <w:bottom w:val="single" w:color="auto" w:sz="4" w:space="0"/>
              <w:right w:val="single" w:color="auto" w:sz="4" w:space="0"/>
            </w:tcBorders>
            <w:vAlign w:val="center"/>
          </w:tcPr>
          <w:p w14:paraId="3B92D2EC">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类型</w:t>
            </w:r>
          </w:p>
        </w:tc>
        <w:tc>
          <w:tcPr>
            <w:tcW w:w="4354" w:type="pct"/>
            <w:tcBorders>
              <w:top w:val="single" w:color="auto" w:sz="12" w:space="0"/>
              <w:left w:val="single" w:color="auto" w:sz="4" w:space="0"/>
              <w:bottom w:val="single" w:color="auto" w:sz="4" w:space="0"/>
              <w:right w:val="nil"/>
            </w:tcBorders>
            <w:vAlign w:val="center"/>
          </w:tcPr>
          <w:p w14:paraId="0AB26FF8">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地表水环境敏感性分区</w:t>
            </w:r>
          </w:p>
        </w:tc>
      </w:tr>
      <w:tr w14:paraId="5C7248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46" w:type="pct"/>
            <w:tcBorders>
              <w:top w:val="single" w:color="auto" w:sz="4" w:space="0"/>
              <w:left w:val="nil"/>
              <w:bottom w:val="single" w:color="auto" w:sz="4" w:space="0"/>
              <w:right w:val="single" w:color="auto" w:sz="4" w:space="0"/>
            </w:tcBorders>
            <w:vAlign w:val="center"/>
          </w:tcPr>
          <w:p w14:paraId="56AF9BFC">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敏感</w:t>
            </w:r>
            <w:r>
              <w:rPr>
                <w:rFonts w:cs="Times New Roman"/>
                <w:kern w:val="0"/>
                <w:sz w:val="18"/>
                <w:szCs w:val="18"/>
              </w:rPr>
              <w:t>F1</w:t>
            </w:r>
          </w:p>
        </w:tc>
        <w:tc>
          <w:tcPr>
            <w:tcW w:w="4354" w:type="pct"/>
            <w:tcBorders>
              <w:top w:val="single" w:color="auto" w:sz="4" w:space="0"/>
              <w:left w:val="single" w:color="auto" w:sz="4" w:space="0"/>
              <w:bottom w:val="single" w:color="auto" w:sz="4" w:space="0"/>
              <w:right w:val="nil"/>
            </w:tcBorders>
            <w:vAlign w:val="center"/>
          </w:tcPr>
          <w:p w14:paraId="29FFFBF9">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排放点进入地表水水域功能为</w:t>
            </w:r>
            <w:r>
              <w:rPr>
                <w:rFonts w:hint="eastAsia" w:ascii="宋体" w:hAnsi="宋体" w:cs="Times New Roman"/>
                <w:kern w:val="0"/>
                <w:sz w:val="18"/>
                <w:szCs w:val="18"/>
              </w:rPr>
              <w:t>Ⅱ</w:t>
            </w:r>
            <w:r>
              <w:rPr>
                <w:rFonts w:ascii="宋体" w:hAnsi="宋体" w:cs="Times New Roman"/>
                <w:kern w:val="0"/>
                <w:sz w:val="18"/>
                <w:szCs w:val="18"/>
              </w:rPr>
              <w:t>类及以上，或海水水质分类第一类；或以发生事故时，危险物质泄漏到排放点算起，排放到受纳水体河流最大流速时，</w:t>
            </w:r>
            <w:r>
              <w:rPr>
                <w:rFonts w:cs="Times New Roman"/>
                <w:kern w:val="0"/>
                <w:sz w:val="18"/>
                <w:szCs w:val="18"/>
              </w:rPr>
              <w:t>24</w:t>
            </w:r>
            <w:r>
              <w:rPr>
                <w:rFonts w:ascii="宋体" w:hAnsi="宋体" w:cs="Times New Roman"/>
                <w:kern w:val="0"/>
                <w:sz w:val="18"/>
                <w:szCs w:val="18"/>
              </w:rPr>
              <w:t>小时流经范围跨越国界的；</w:t>
            </w:r>
          </w:p>
        </w:tc>
      </w:tr>
      <w:tr w14:paraId="4AEF1D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tcBorders>
              <w:top w:val="single" w:color="auto" w:sz="4" w:space="0"/>
              <w:left w:val="nil"/>
              <w:bottom w:val="single" w:color="auto" w:sz="4" w:space="0"/>
              <w:right w:val="single" w:color="auto" w:sz="4" w:space="0"/>
            </w:tcBorders>
            <w:vAlign w:val="center"/>
          </w:tcPr>
          <w:p w14:paraId="275D46DD">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较敏感</w:t>
            </w:r>
            <w:r>
              <w:rPr>
                <w:rFonts w:cs="Times New Roman"/>
                <w:kern w:val="0"/>
                <w:sz w:val="18"/>
                <w:szCs w:val="18"/>
              </w:rPr>
              <w:t>F2</w:t>
            </w:r>
          </w:p>
        </w:tc>
        <w:tc>
          <w:tcPr>
            <w:tcW w:w="4354" w:type="pct"/>
            <w:tcBorders>
              <w:top w:val="single" w:color="auto" w:sz="4" w:space="0"/>
              <w:left w:val="single" w:color="auto" w:sz="4" w:space="0"/>
              <w:bottom w:val="single" w:color="auto" w:sz="4" w:space="0"/>
              <w:right w:val="nil"/>
            </w:tcBorders>
            <w:vAlign w:val="center"/>
          </w:tcPr>
          <w:p w14:paraId="40745BB6">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排放点进入地表水水域功能为</w:t>
            </w:r>
            <w:r>
              <w:rPr>
                <w:rFonts w:hint="eastAsia" w:ascii="宋体" w:hAnsi="宋体" w:cs="Times New Roman"/>
                <w:kern w:val="0"/>
                <w:sz w:val="18"/>
                <w:szCs w:val="18"/>
              </w:rPr>
              <w:t>Ⅲ</w:t>
            </w:r>
            <w:r>
              <w:rPr>
                <w:rFonts w:ascii="宋体" w:hAnsi="宋体" w:cs="Times New Roman"/>
                <w:kern w:val="0"/>
                <w:sz w:val="18"/>
                <w:szCs w:val="18"/>
              </w:rPr>
              <w:t>类，或海水水质分类为第二类；或以发生事故时，危险物质泄漏到排放点算起，排放到受纳水体河流最大流速时，</w:t>
            </w:r>
            <w:r>
              <w:rPr>
                <w:rFonts w:cs="Times New Roman"/>
                <w:kern w:val="0"/>
                <w:sz w:val="18"/>
                <w:szCs w:val="18"/>
              </w:rPr>
              <w:t>24</w:t>
            </w:r>
            <w:r>
              <w:rPr>
                <w:rFonts w:ascii="宋体" w:hAnsi="宋体" w:cs="Times New Roman"/>
                <w:kern w:val="0"/>
                <w:sz w:val="18"/>
                <w:szCs w:val="18"/>
              </w:rPr>
              <w:t>小时流经范围跨越省界的；</w:t>
            </w:r>
          </w:p>
        </w:tc>
      </w:tr>
      <w:tr w14:paraId="4F1D9E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tcBorders>
              <w:top w:val="single" w:color="auto" w:sz="4" w:space="0"/>
              <w:left w:val="nil"/>
              <w:bottom w:val="single" w:color="auto" w:sz="12" w:space="0"/>
              <w:right w:val="single" w:color="auto" w:sz="4" w:space="0"/>
            </w:tcBorders>
            <w:vAlign w:val="center"/>
          </w:tcPr>
          <w:p w14:paraId="5242DD32">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低敏感</w:t>
            </w:r>
            <w:r>
              <w:rPr>
                <w:rFonts w:cs="Times New Roman"/>
                <w:kern w:val="0"/>
                <w:sz w:val="18"/>
                <w:szCs w:val="18"/>
              </w:rPr>
              <w:t>F3</w:t>
            </w:r>
          </w:p>
        </w:tc>
        <w:tc>
          <w:tcPr>
            <w:tcW w:w="4354" w:type="pct"/>
            <w:tcBorders>
              <w:top w:val="single" w:color="auto" w:sz="4" w:space="0"/>
              <w:left w:val="single" w:color="auto" w:sz="4" w:space="0"/>
              <w:bottom w:val="single" w:color="auto" w:sz="12" w:space="0"/>
              <w:right w:val="nil"/>
            </w:tcBorders>
            <w:vAlign w:val="center"/>
          </w:tcPr>
          <w:p w14:paraId="6A2CAE0A">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上述地区之外的其他地区</w:t>
            </w:r>
          </w:p>
        </w:tc>
      </w:tr>
    </w:tbl>
    <w:p w14:paraId="3E57ACA3">
      <w:pPr>
        <w:ind w:firstLine="480"/>
        <w:rPr>
          <w:rFonts w:cs="Times New Roman"/>
          <w:szCs w:val="24"/>
        </w:rPr>
      </w:pPr>
      <w:r>
        <w:rPr>
          <w:rFonts w:hint="eastAsia" w:ascii="宋体" w:hAnsi="宋体"/>
        </w:rPr>
        <w:t>项目</w:t>
      </w:r>
      <w:r>
        <w:rPr>
          <w:rFonts w:ascii="宋体" w:hAnsi="宋体"/>
        </w:rPr>
        <w:t>周边</w:t>
      </w:r>
      <w:r>
        <w:rPr>
          <w:rFonts w:hint="eastAsia" w:ascii="宋体" w:hAnsi="宋体"/>
        </w:rPr>
        <w:t>沫冲引河</w:t>
      </w:r>
      <w:r>
        <w:rPr>
          <w:rFonts w:ascii="宋体" w:hAnsi="宋体"/>
        </w:rPr>
        <w:t>水功能区划</w:t>
      </w:r>
      <w:r>
        <w:rPr>
          <w:rFonts w:hint="eastAsia" w:ascii="宋体" w:hAnsi="宋体"/>
        </w:rPr>
        <w:t>为Ⅳ</w:t>
      </w:r>
      <w:r>
        <w:rPr>
          <w:rFonts w:ascii="宋体" w:hAnsi="宋体"/>
        </w:rPr>
        <w:t>类</w:t>
      </w:r>
      <w:r>
        <w:rPr>
          <w:rFonts w:hint="eastAsia" w:ascii="宋体" w:hAnsi="宋体"/>
        </w:rPr>
        <w:t>，且以发生事故时，危险物质泄漏到排放点算起，排放到沫冲引河最大流速时，</w:t>
      </w:r>
      <w:r>
        <w:rPr>
          <w:rFonts w:hint="eastAsia"/>
        </w:rPr>
        <w:t>24h</w:t>
      </w:r>
      <w:r>
        <w:rPr>
          <w:rFonts w:hint="eastAsia" w:ascii="宋体" w:hAnsi="宋体"/>
        </w:rPr>
        <w:t>流经范围不会跨省。根据上表可知，区域地表水沫冲引河水功能敏感性分区为</w:t>
      </w:r>
      <w:r>
        <w:rPr>
          <w:rFonts w:hint="eastAsia"/>
        </w:rPr>
        <w:t>F</w:t>
      </w:r>
      <w:r>
        <w:t>3</w:t>
      </w:r>
      <w:r>
        <w:rPr>
          <w:rFonts w:hint="eastAsia" w:ascii="宋体" w:hAnsi="宋体"/>
        </w:rPr>
        <w:t>。</w:t>
      </w:r>
    </w:p>
    <w:p w14:paraId="4486ABE7">
      <w:pPr>
        <w:ind w:firstLine="480"/>
      </w:pPr>
      <w:r>
        <w:rPr>
          <w:rFonts w:hint="eastAsia" w:ascii="宋体" w:hAnsi="宋体"/>
        </w:rPr>
        <w:t>地表水</w:t>
      </w:r>
      <w:r>
        <w:rPr>
          <w:rFonts w:ascii="宋体" w:hAnsi="宋体"/>
        </w:rPr>
        <w:t>环境敏感目标分级</w:t>
      </w:r>
      <w:r>
        <w:rPr>
          <w:rFonts w:hint="eastAsia" w:ascii="宋体" w:hAnsi="宋体"/>
        </w:rPr>
        <w:t>见</w:t>
      </w:r>
      <w:r>
        <w:rPr>
          <w:rFonts w:ascii="宋体" w:hAnsi="宋体"/>
        </w:rPr>
        <w:t>表</w:t>
      </w:r>
      <w:r>
        <w:t>2.3.1-13</w:t>
      </w:r>
      <w:r>
        <w:rPr>
          <w:rFonts w:hint="eastAsia" w:ascii="宋体" w:hAnsi="宋体"/>
        </w:rPr>
        <w:t>。</w:t>
      </w:r>
    </w:p>
    <w:p w14:paraId="7D7D89B7">
      <w:pPr>
        <w:spacing w:line="500" w:lineRule="exact"/>
        <w:ind w:firstLine="0" w:firstLineChars="0"/>
        <w:jc w:val="center"/>
        <w:rPr>
          <w:rFonts w:eastAsia="黑体"/>
        </w:rPr>
      </w:pPr>
      <w:r>
        <w:rPr>
          <w:rFonts w:ascii="黑体" w:hAnsi="黑体" w:eastAsia="黑体"/>
        </w:rPr>
        <w:t>表</w:t>
      </w:r>
      <w:r>
        <w:rPr>
          <w:rFonts w:eastAsia="黑体"/>
        </w:rPr>
        <w:t xml:space="preserve">2.3.1-13  </w:t>
      </w:r>
      <w:r>
        <w:rPr>
          <w:rFonts w:hint="eastAsia" w:ascii="黑体" w:hAnsi="黑体" w:eastAsia="黑体"/>
        </w:rPr>
        <w:t>环境敏感目标分级</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8048"/>
      </w:tblGrid>
      <w:tr w14:paraId="03703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646" w:type="pct"/>
            <w:tcBorders>
              <w:top w:val="single" w:color="auto" w:sz="12" w:space="0"/>
              <w:left w:val="nil"/>
              <w:bottom w:val="single" w:color="auto" w:sz="4" w:space="0"/>
              <w:right w:val="single" w:color="auto" w:sz="4" w:space="0"/>
            </w:tcBorders>
            <w:vAlign w:val="center"/>
          </w:tcPr>
          <w:p w14:paraId="541938A6">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类型</w:t>
            </w:r>
          </w:p>
        </w:tc>
        <w:tc>
          <w:tcPr>
            <w:tcW w:w="4354" w:type="pct"/>
            <w:tcBorders>
              <w:top w:val="single" w:color="auto" w:sz="12" w:space="0"/>
              <w:left w:val="single" w:color="auto" w:sz="4" w:space="0"/>
              <w:bottom w:val="single" w:color="auto" w:sz="4" w:space="0"/>
              <w:right w:val="nil"/>
            </w:tcBorders>
            <w:vAlign w:val="center"/>
          </w:tcPr>
          <w:p w14:paraId="669F2C37">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环境敏感目标</w:t>
            </w:r>
          </w:p>
        </w:tc>
      </w:tr>
      <w:tr w14:paraId="3A43C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646" w:type="pct"/>
            <w:tcBorders>
              <w:top w:val="single" w:color="auto" w:sz="4" w:space="0"/>
              <w:left w:val="nil"/>
              <w:bottom w:val="single" w:color="auto" w:sz="4" w:space="0"/>
              <w:right w:val="single" w:color="auto" w:sz="4" w:space="0"/>
            </w:tcBorders>
            <w:vAlign w:val="center"/>
          </w:tcPr>
          <w:p w14:paraId="03720EE1">
            <w:pPr>
              <w:widowControl/>
              <w:spacing w:line="360" w:lineRule="exact"/>
              <w:ind w:firstLine="0" w:firstLineChars="0"/>
              <w:jc w:val="center"/>
              <w:rPr>
                <w:rFonts w:cs="Times New Roman"/>
                <w:kern w:val="0"/>
                <w:sz w:val="18"/>
                <w:szCs w:val="18"/>
              </w:rPr>
            </w:pPr>
            <w:r>
              <w:rPr>
                <w:rFonts w:hint="eastAsia" w:cs="Times New Roman"/>
                <w:kern w:val="0"/>
                <w:sz w:val="18"/>
                <w:szCs w:val="18"/>
              </w:rPr>
              <w:t>S</w:t>
            </w:r>
            <w:r>
              <w:rPr>
                <w:rFonts w:cs="Times New Roman"/>
                <w:kern w:val="0"/>
                <w:sz w:val="18"/>
                <w:szCs w:val="18"/>
              </w:rPr>
              <w:t>1</w:t>
            </w:r>
          </w:p>
        </w:tc>
        <w:tc>
          <w:tcPr>
            <w:tcW w:w="4354" w:type="pct"/>
            <w:tcBorders>
              <w:top w:val="single" w:color="auto" w:sz="4" w:space="0"/>
              <w:left w:val="single" w:color="auto" w:sz="4" w:space="0"/>
              <w:bottom w:val="single" w:color="auto" w:sz="4" w:space="0"/>
              <w:right w:val="nil"/>
            </w:tcBorders>
            <w:vAlign w:val="center"/>
          </w:tcPr>
          <w:p w14:paraId="49B184E3">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发生事故时，危险物质泄漏到内陆水体的排放点下游</w:t>
            </w:r>
            <w:r>
              <w:rPr>
                <w:rFonts w:hint="eastAsia" w:cs="Times New Roman"/>
                <w:kern w:val="0"/>
                <w:sz w:val="18"/>
                <w:szCs w:val="18"/>
              </w:rPr>
              <w:t>(</w:t>
            </w:r>
            <w:r>
              <w:rPr>
                <w:rFonts w:hint="eastAsia" w:ascii="宋体" w:hAnsi="宋体" w:cs="Times New Roman"/>
                <w:kern w:val="0"/>
                <w:sz w:val="18"/>
                <w:szCs w:val="18"/>
              </w:rPr>
              <w:t>顺水流向</w:t>
            </w:r>
            <w:r>
              <w:rPr>
                <w:rFonts w:hint="eastAsia" w:cs="Times New Roman"/>
                <w:kern w:val="0"/>
                <w:sz w:val="18"/>
                <w:szCs w:val="18"/>
              </w:rPr>
              <w:t>)</w:t>
            </w:r>
            <w:r>
              <w:rPr>
                <w:rFonts w:cs="Times New Roman"/>
                <w:kern w:val="0"/>
                <w:sz w:val="18"/>
                <w:szCs w:val="18"/>
              </w:rPr>
              <w:t>10km</w:t>
            </w:r>
            <w:r>
              <w:rPr>
                <w:rFonts w:ascii="宋体" w:hAnsi="宋体" w:cs="Times New Roman"/>
                <w:kern w:val="0"/>
                <w:sz w:val="18"/>
                <w:szCs w:val="18"/>
              </w:rPr>
              <w:t>范围内，近岸海域一个潮周期水质点可能达到的最大水平距离的两倍范围内，有如下一类或多类环境风险受体</w:t>
            </w:r>
            <w:r>
              <w:rPr>
                <w:rFonts w:hint="eastAsia" w:ascii="宋体" w:hAnsi="宋体" w:cs="Times New Roman"/>
                <w:kern w:val="0"/>
                <w:sz w:val="18"/>
                <w:szCs w:val="18"/>
              </w:rPr>
              <w:t>：</w:t>
            </w:r>
            <w:r>
              <w:rPr>
                <w:rFonts w:ascii="宋体" w:hAnsi="宋体" w:cs="Times New Roman"/>
                <w:kern w:val="0"/>
                <w:sz w:val="18"/>
                <w:szCs w:val="18"/>
              </w:rPr>
              <w:t>集中式地表水自来水水源保护区</w:t>
            </w:r>
            <w:r>
              <w:rPr>
                <w:rFonts w:cs="Times New Roman"/>
                <w:kern w:val="0"/>
                <w:sz w:val="18"/>
                <w:szCs w:val="18"/>
              </w:rPr>
              <w:t>(</w:t>
            </w:r>
            <w:r>
              <w:rPr>
                <w:rFonts w:ascii="宋体" w:hAnsi="宋体" w:cs="Times New Roman"/>
                <w:kern w:val="0"/>
                <w:sz w:val="18"/>
                <w:szCs w:val="18"/>
              </w:rPr>
              <w:t>包括一级保护区、二级保护区及准保护区</w:t>
            </w:r>
            <w:r>
              <w:rPr>
                <w:rFonts w:cs="Times New Roman"/>
                <w:kern w:val="0"/>
                <w:sz w:val="18"/>
                <w:szCs w:val="18"/>
              </w:rPr>
              <w:t>)</w:t>
            </w:r>
            <w:r>
              <w:rPr>
                <w:rFonts w:ascii="宋体" w:hAnsi="宋体" w:cs="Times New Roman"/>
                <w:kern w:val="0"/>
                <w:sz w:val="18"/>
                <w:szCs w:val="18"/>
              </w:rPr>
              <w:t>；农村及分散式自来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r>
      <w:tr w14:paraId="64652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646" w:type="pct"/>
            <w:tcBorders>
              <w:top w:val="single" w:color="auto" w:sz="4" w:space="0"/>
              <w:left w:val="nil"/>
              <w:bottom w:val="single" w:color="auto" w:sz="4" w:space="0"/>
              <w:right w:val="single" w:color="auto" w:sz="4" w:space="0"/>
            </w:tcBorders>
            <w:vAlign w:val="center"/>
          </w:tcPr>
          <w:p w14:paraId="551BE0B3">
            <w:pPr>
              <w:widowControl/>
              <w:spacing w:line="360" w:lineRule="exact"/>
              <w:ind w:firstLine="0" w:firstLineChars="0"/>
              <w:jc w:val="center"/>
              <w:rPr>
                <w:rFonts w:cs="Times New Roman"/>
                <w:kern w:val="0"/>
                <w:sz w:val="18"/>
                <w:szCs w:val="18"/>
              </w:rPr>
            </w:pPr>
            <w:r>
              <w:rPr>
                <w:rFonts w:hint="eastAsia" w:cs="Times New Roman"/>
                <w:kern w:val="0"/>
                <w:sz w:val="18"/>
                <w:szCs w:val="18"/>
              </w:rPr>
              <w:t>S</w:t>
            </w:r>
            <w:r>
              <w:rPr>
                <w:rFonts w:cs="Times New Roman"/>
                <w:kern w:val="0"/>
                <w:sz w:val="18"/>
                <w:szCs w:val="18"/>
              </w:rPr>
              <w:t>2</w:t>
            </w:r>
          </w:p>
        </w:tc>
        <w:tc>
          <w:tcPr>
            <w:tcW w:w="4354" w:type="pct"/>
            <w:tcBorders>
              <w:top w:val="single" w:color="auto" w:sz="4" w:space="0"/>
              <w:left w:val="single" w:color="auto" w:sz="4" w:space="0"/>
              <w:bottom w:val="single" w:color="auto" w:sz="4" w:space="0"/>
              <w:right w:val="nil"/>
            </w:tcBorders>
            <w:vAlign w:val="center"/>
          </w:tcPr>
          <w:p w14:paraId="2988139D">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发生事故时，危险物质泄漏到内陆水体的排放点下游</w:t>
            </w:r>
            <w:r>
              <w:rPr>
                <w:rFonts w:hint="eastAsia" w:cs="Times New Roman"/>
                <w:kern w:val="0"/>
                <w:sz w:val="18"/>
                <w:szCs w:val="18"/>
              </w:rPr>
              <w:t>(</w:t>
            </w:r>
            <w:r>
              <w:rPr>
                <w:rFonts w:hint="eastAsia" w:ascii="宋体" w:hAnsi="宋体" w:cs="Times New Roman"/>
                <w:kern w:val="0"/>
                <w:sz w:val="18"/>
                <w:szCs w:val="18"/>
              </w:rPr>
              <w:t>顺水方向</w:t>
            </w:r>
            <w:r>
              <w:rPr>
                <w:rFonts w:hint="eastAsia" w:cs="Times New Roman"/>
                <w:kern w:val="0"/>
                <w:sz w:val="18"/>
                <w:szCs w:val="18"/>
              </w:rPr>
              <w:t>)</w:t>
            </w:r>
            <w:r>
              <w:rPr>
                <w:rFonts w:cs="Times New Roman"/>
                <w:kern w:val="0"/>
                <w:sz w:val="18"/>
                <w:szCs w:val="18"/>
              </w:rPr>
              <w:t>10km</w:t>
            </w:r>
            <w:r>
              <w:rPr>
                <w:rFonts w:ascii="宋体" w:hAnsi="宋体" w:cs="Times New Roman"/>
                <w:kern w:val="0"/>
                <w:sz w:val="18"/>
                <w:szCs w:val="18"/>
              </w:rPr>
              <w:t>范围内、近岸海域一个潮周期水质点可能达到的最大水平距离的两倍范围内，有如下一类或多类环境风险受体的</w:t>
            </w:r>
            <w:r>
              <w:rPr>
                <w:rFonts w:hint="eastAsia" w:ascii="宋体" w:hAnsi="宋体" w:cs="Times New Roman"/>
                <w:kern w:val="0"/>
                <w:sz w:val="18"/>
                <w:szCs w:val="18"/>
              </w:rPr>
              <w:t>：</w:t>
            </w:r>
            <w:r>
              <w:rPr>
                <w:rFonts w:ascii="宋体" w:hAnsi="宋体" w:cs="Times New Roman"/>
                <w:kern w:val="0"/>
                <w:sz w:val="18"/>
                <w:szCs w:val="18"/>
              </w:rPr>
              <w:t>水产养殖区；天然渔场；森林公园；地质公园；海滨风景游览区；具</w:t>
            </w:r>
            <w:r>
              <w:rPr>
                <w:rFonts w:hint="eastAsia" w:ascii="宋体" w:hAnsi="宋体" w:cs="Times New Roman"/>
                <w:kern w:val="0"/>
                <w:sz w:val="18"/>
                <w:szCs w:val="18"/>
              </w:rPr>
              <w:t>有重要经济价值的海洋生物生存区域。</w:t>
            </w:r>
          </w:p>
        </w:tc>
      </w:tr>
      <w:tr w14:paraId="74DFD9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tcBorders>
              <w:top w:val="single" w:color="auto" w:sz="4" w:space="0"/>
              <w:left w:val="nil"/>
              <w:bottom w:val="single" w:color="auto" w:sz="12" w:space="0"/>
              <w:right w:val="single" w:color="auto" w:sz="4" w:space="0"/>
            </w:tcBorders>
            <w:vAlign w:val="center"/>
          </w:tcPr>
          <w:p w14:paraId="1789C757">
            <w:pPr>
              <w:widowControl/>
              <w:spacing w:line="360" w:lineRule="exact"/>
              <w:ind w:firstLine="0" w:firstLineChars="0"/>
              <w:jc w:val="center"/>
              <w:rPr>
                <w:rFonts w:cs="Times New Roman"/>
                <w:kern w:val="0"/>
                <w:sz w:val="18"/>
                <w:szCs w:val="18"/>
              </w:rPr>
            </w:pPr>
            <w:r>
              <w:rPr>
                <w:rFonts w:hint="eastAsia" w:cs="Times New Roman"/>
                <w:kern w:val="0"/>
                <w:sz w:val="18"/>
                <w:szCs w:val="18"/>
              </w:rPr>
              <w:t>S</w:t>
            </w:r>
            <w:r>
              <w:rPr>
                <w:rFonts w:cs="Times New Roman"/>
                <w:kern w:val="0"/>
                <w:sz w:val="18"/>
                <w:szCs w:val="18"/>
              </w:rPr>
              <w:t>3</w:t>
            </w:r>
          </w:p>
        </w:tc>
        <w:tc>
          <w:tcPr>
            <w:tcW w:w="4354" w:type="pct"/>
            <w:tcBorders>
              <w:top w:val="single" w:color="auto" w:sz="4" w:space="0"/>
              <w:left w:val="single" w:color="auto" w:sz="4" w:space="0"/>
              <w:bottom w:val="single" w:color="auto" w:sz="12" w:space="0"/>
              <w:right w:val="nil"/>
            </w:tcBorders>
            <w:vAlign w:val="center"/>
          </w:tcPr>
          <w:p w14:paraId="1BB11E30">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排放点下游</w:t>
            </w:r>
            <w:r>
              <w:rPr>
                <w:rFonts w:hint="eastAsia" w:cs="Times New Roman"/>
                <w:kern w:val="0"/>
                <w:sz w:val="18"/>
                <w:szCs w:val="18"/>
              </w:rPr>
              <w:t>(</w:t>
            </w:r>
            <w:r>
              <w:rPr>
                <w:rFonts w:hint="eastAsia" w:ascii="宋体" w:hAnsi="宋体" w:cs="Times New Roman"/>
                <w:kern w:val="0"/>
                <w:sz w:val="18"/>
                <w:szCs w:val="18"/>
              </w:rPr>
              <w:t>顺水流向</w:t>
            </w:r>
            <w:r>
              <w:rPr>
                <w:rFonts w:hint="eastAsia" w:cs="Times New Roman"/>
                <w:kern w:val="0"/>
                <w:sz w:val="18"/>
                <w:szCs w:val="18"/>
              </w:rPr>
              <w:t>)</w:t>
            </w:r>
            <w:r>
              <w:rPr>
                <w:rFonts w:cs="Times New Roman"/>
                <w:kern w:val="0"/>
                <w:sz w:val="18"/>
                <w:szCs w:val="18"/>
              </w:rPr>
              <w:t>10km</w:t>
            </w:r>
            <w:r>
              <w:rPr>
                <w:rFonts w:ascii="宋体" w:hAnsi="宋体" w:cs="Times New Roman"/>
                <w:kern w:val="0"/>
                <w:sz w:val="18"/>
                <w:szCs w:val="18"/>
              </w:rPr>
              <w:t>范围内，近岸海域一个潮周期水质点可能达到的最大水平距离的两倍范围内</w:t>
            </w:r>
            <w:r>
              <w:rPr>
                <w:rFonts w:hint="eastAsia" w:ascii="宋体" w:hAnsi="宋体" w:cs="Times New Roman"/>
                <w:kern w:val="0"/>
                <w:sz w:val="18"/>
                <w:szCs w:val="18"/>
              </w:rPr>
              <w:t>无上述类型</w:t>
            </w:r>
            <w:r>
              <w:rPr>
                <w:rFonts w:cs="Times New Roman"/>
                <w:kern w:val="0"/>
                <w:sz w:val="18"/>
                <w:szCs w:val="18"/>
              </w:rPr>
              <w:t>1</w:t>
            </w:r>
            <w:r>
              <w:rPr>
                <w:rFonts w:ascii="宋体" w:hAnsi="宋体" w:cs="Times New Roman"/>
                <w:kern w:val="0"/>
                <w:sz w:val="18"/>
                <w:szCs w:val="18"/>
              </w:rPr>
              <w:t>和类型</w:t>
            </w:r>
            <w:r>
              <w:rPr>
                <w:rFonts w:cs="Times New Roman"/>
                <w:kern w:val="0"/>
                <w:sz w:val="18"/>
                <w:szCs w:val="18"/>
              </w:rPr>
              <w:t>2</w:t>
            </w:r>
            <w:r>
              <w:rPr>
                <w:rFonts w:ascii="宋体" w:hAnsi="宋体" w:cs="Times New Roman"/>
                <w:kern w:val="0"/>
                <w:sz w:val="18"/>
                <w:szCs w:val="18"/>
              </w:rPr>
              <w:t>包括的敏感保护目标。</w:t>
            </w:r>
          </w:p>
        </w:tc>
      </w:tr>
    </w:tbl>
    <w:p w14:paraId="4A9A6C1B">
      <w:pPr>
        <w:ind w:firstLine="480"/>
        <w:rPr>
          <w:rFonts w:cs="Times New Roman"/>
          <w:szCs w:val="24"/>
        </w:rPr>
      </w:pPr>
      <w:r>
        <w:rPr>
          <w:rFonts w:ascii="宋体" w:hAnsi="宋体"/>
        </w:rPr>
        <w:t>企业雨水排口下游</w:t>
      </w:r>
      <w:r>
        <w:t>10</w:t>
      </w:r>
      <w:r>
        <w:rPr>
          <w:rFonts w:ascii="宋体" w:hAnsi="宋体"/>
        </w:rPr>
        <w:t>公里</w:t>
      </w:r>
      <w:r>
        <w:rPr>
          <w:rFonts w:hint="eastAsia" w:ascii="宋体" w:hAnsi="宋体"/>
        </w:rPr>
        <w:t>流经</w:t>
      </w:r>
      <w:r>
        <w:rPr>
          <w:rFonts w:ascii="宋体" w:hAnsi="宋体"/>
        </w:rPr>
        <w:t>范围内无</w:t>
      </w:r>
      <w:r>
        <w:rPr>
          <w:rFonts w:hint="eastAsia" w:ascii="宋体" w:hAnsi="宋体"/>
        </w:rPr>
        <w:t>集中式地表水</w:t>
      </w:r>
      <w:r>
        <w:rPr>
          <w:rFonts w:ascii="宋体" w:hAnsi="宋体"/>
        </w:rPr>
        <w:t>、</w:t>
      </w:r>
      <w:r>
        <w:rPr>
          <w:rFonts w:hint="eastAsia" w:ascii="宋体" w:hAnsi="宋体"/>
        </w:rPr>
        <w:t>地下水自来水水源保护区（包括一级保护区、二级保护区及准保护区）和农村及分散式自来水水源保护区</w:t>
      </w:r>
      <w:r>
        <w:rPr>
          <w:rFonts w:ascii="宋体" w:hAnsi="宋体"/>
        </w:rPr>
        <w:t>；</w:t>
      </w:r>
      <w:r>
        <w:rPr>
          <w:rFonts w:hint="eastAsia" w:ascii="宋体" w:hAnsi="宋体"/>
        </w:rPr>
        <w:t>流经范围不涉及跨国界；</w:t>
      </w:r>
      <w:r>
        <w:rPr>
          <w:rFonts w:ascii="宋体" w:hAnsi="宋体"/>
        </w:rPr>
        <w:t>企业不位于</w:t>
      </w:r>
      <w:r>
        <w:rPr>
          <w:rFonts w:hint="eastAsia" w:ascii="宋体" w:hAnsi="宋体"/>
        </w:rPr>
        <w:t>熔岩地貌、泄洪区、泥石流多发等地区</w:t>
      </w:r>
      <w:r>
        <w:rPr>
          <w:rFonts w:ascii="宋体" w:hAnsi="宋体"/>
        </w:rPr>
        <w:t>。</w:t>
      </w:r>
      <w:r>
        <w:rPr>
          <w:rFonts w:hint="eastAsia" w:ascii="宋体" w:hAnsi="宋体"/>
        </w:rPr>
        <w:t>根据上表可知，区域地表水环境保护目标分级为</w:t>
      </w:r>
      <w:r>
        <w:rPr>
          <w:rFonts w:hint="eastAsia"/>
        </w:rPr>
        <w:t>S</w:t>
      </w:r>
      <w:r>
        <w:t>3</w:t>
      </w:r>
      <w:r>
        <w:rPr>
          <w:rFonts w:hint="eastAsia" w:ascii="宋体" w:hAnsi="宋体"/>
        </w:rPr>
        <w:t>。</w:t>
      </w:r>
    </w:p>
    <w:p w14:paraId="213237D4">
      <w:pPr>
        <w:ind w:firstLine="480"/>
      </w:pPr>
      <w:r>
        <w:rPr>
          <w:rFonts w:ascii="宋体" w:hAnsi="宋体"/>
        </w:rPr>
        <w:t>依据事故情况下危险物质泄漏到水体排放点受纳地表水体功能敏感性与下游环境敏感目标，</w:t>
      </w:r>
      <w:r>
        <w:rPr>
          <w:rFonts w:hint="eastAsia" w:ascii="宋体" w:hAnsi="宋体"/>
        </w:rPr>
        <w:t>地表水环境敏感程度</w:t>
      </w:r>
      <w:r>
        <w:rPr>
          <w:rFonts w:ascii="宋体" w:hAnsi="宋体"/>
        </w:rPr>
        <w:t>共分为三种类型，</w:t>
      </w:r>
      <w:r>
        <w:t>E1</w:t>
      </w:r>
      <w:r>
        <w:rPr>
          <w:rFonts w:ascii="宋体" w:hAnsi="宋体"/>
        </w:rPr>
        <w:t>为环境高度敏感区，</w:t>
      </w:r>
      <w:r>
        <w:t>E2</w:t>
      </w:r>
      <w:r>
        <w:rPr>
          <w:rFonts w:ascii="宋体" w:hAnsi="宋体"/>
        </w:rPr>
        <w:t>为环境中度敏感区，</w:t>
      </w:r>
      <w:r>
        <w:t>E3</w:t>
      </w:r>
      <w:r>
        <w:rPr>
          <w:rFonts w:ascii="宋体" w:hAnsi="宋体"/>
        </w:rPr>
        <w:t>为环境低度敏感区，分级原则见表</w:t>
      </w:r>
      <w:r>
        <w:t>2.3.1-14</w:t>
      </w:r>
      <w:r>
        <w:rPr>
          <w:rFonts w:ascii="宋体" w:hAnsi="宋体"/>
        </w:rPr>
        <w:t>。</w:t>
      </w:r>
    </w:p>
    <w:p w14:paraId="1E9488B3">
      <w:pPr>
        <w:spacing w:line="500" w:lineRule="exact"/>
        <w:ind w:firstLine="0" w:firstLineChars="0"/>
        <w:jc w:val="center"/>
        <w:rPr>
          <w:rFonts w:eastAsia="黑体"/>
        </w:rPr>
      </w:pPr>
      <w:r>
        <w:rPr>
          <w:rFonts w:ascii="黑体" w:hAnsi="黑体" w:eastAsia="黑体"/>
        </w:rPr>
        <w:t>表</w:t>
      </w:r>
      <w:r>
        <w:rPr>
          <w:rFonts w:eastAsia="黑体"/>
        </w:rPr>
        <w:t xml:space="preserve">2.3.1-14 </w:t>
      </w:r>
      <w:r>
        <w:rPr>
          <w:rFonts w:hint="eastAsia" w:ascii="黑体" w:hAnsi="黑体" w:eastAsia="黑体"/>
        </w:rPr>
        <w:t>地表水环境敏感程度分级</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057"/>
        <w:gridCol w:w="1728"/>
        <w:gridCol w:w="1728"/>
        <w:gridCol w:w="1729"/>
      </w:tblGrid>
      <w:tr w14:paraId="27849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195" w:type="pct"/>
            <w:vMerge w:val="restart"/>
            <w:tcBorders>
              <w:top w:val="single" w:color="auto" w:sz="12" w:space="0"/>
              <w:left w:val="nil"/>
              <w:bottom w:val="single" w:color="auto" w:sz="4" w:space="0"/>
              <w:right w:val="single" w:color="auto" w:sz="4" w:space="0"/>
            </w:tcBorders>
            <w:vAlign w:val="center"/>
          </w:tcPr>
          <w:p w14:paraId="434CF5D9">
            <w:pPr>
              <w:pStyle w:val="445"/>
              <w:rPr>
                <w:rFonts w:cs="Times New Roman"/>
                <w:kern w:val="0"/>
                <w:szCs w:val="20"/>
              </w:rPr>
            </w:pPr>
            <w:r>
              <w:rPr>
                <w:rFonts w:hint="eastAsia" w:cs="Times New Roman"/>
                <w:kern w:val="0"/>
                <w:szCs w:val="20"/>
              </w:rPr>
              <w:t>环境敏感目标</w:t>
            </w:r>
          </w:p>
        </w:tc>
        <w:tc>
          <w:tcPr>
            <w:tcW w:w="2805" w:type="pct"/>
            <w:gridSpan w:val="3"/>
            <w:tcBorders>
              <w:top w:val="single" w:color="auto" w:sz="12" w:space="0"/>
              <w:left w:val="single" w:color="auto" w:sz="4" w:space="0"/>
              <w:bottom w:val="single" w:color="auto" w:sz="4" w:space="0"/>
              <w:right w:val="nil"/>
            </w:tcBorders>
            <w:vAlign w:val="center"/>
          </w:tcPr>
          <w:p w14:paraId="7A804FDC">
            <w:pPr>
              <w:pStyle w:val="445"/>
              <w:rPr>
                <w:rFonts w:cs="Times New Roman"/>
                <w:kern w:val="0"/>
                <w:szCs w:val="20"/>
              </w:rPr>
            </w:pPr>
            <w:r>
              <w:rPr>
                <w:rFonts w:hint="eastAsia" w:cs="Times New Roman"/>
                <w:kern w:val="0"/>
                <w:szCs w:val="20"/>
              </w:rPr>
              <w:t>地表水功能敏感性</w:t>
            </w:r>
          </w:p>
        </w:tc>
      </w:tr>
      <w:tr w14:paraId="48FA9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248C6011">
            <w:pPr>
              <w:pStyle w:val="445"/>
              <w:rPr>
                <w:rFonts w:cs="Times New Roman"/>
                <w:kern w:val="0"/>
                <w:szCs w:val="20"/>
              </w:rPr>
            </w:pPr>
          </w:p>
        </w:tc>
        <w:tc>
          <w:tcPr>
            <w:tcW w:w="935" w:type="pct"/>
            <w:tcBorders>
              <w:top w:val="single" w:color="auto" w:sz="4" w:space="0"/>
              <w:left w:val="single" w:color="auto" w:sz="4" w:space="0"/>
              <w:bottom w:val="single" w:color="auto" w:sz="4" w:space="0"/>
              <w:right w:val="single" w:color="auto" w:sz="4" w:space="0"/>
            </w:tcBorders>
            <w:vAlign w:val="center"/>
          </w:tcPr>
          <w:p w14:paraId="384E3F0C">
            <w:pPr>
              <w:pStyle w:val="445"/>
              <w:rPr>
                <w:rFonts w:cs="Times New Roman"/>
                <w:kern w:val="0"/>
                <w:szCs w:val="20"/>
              </w:rPr>
            </w:pPr>
            <w:r>
              <w:rPr>
                <w:rFonts w:cs="Times New Roman"/>
                <w:kern w:val="0"/>
                <w:szCs w:val="20"/>
              </w:rPr>
              <w:t>F1</w:t>
            </w:r>
          </w:p>
        </w:tc>
        <w:tc>
          <w:tcPr>
            <w:tcW w:w="935" w:type="pct"/>
            <w:tcBorders>
              <w:top w:val="single" w:color="auto" w:sz="4" w:space="0"/>
              <w:left w:val="single" w:color="auto" w:sz="4" w:space="0"/>
              <w:bottom w:val="single" w:color="auto" w:sz="4" w:space="0"/>
              <w:right w:val="single" w:color="auto" w:sz="4" w:space="0"/>
            </w:tcBorders>
            <w:vAlign w:val="center"/>
          </w:tcPr>
          <w:p w14:paraId="2CD58527">
            <w:pPr>
              <w:pStyle w:val="445"/>
              <w:rPr>
                <w:rFonts w:cs="Times New Roman"/>
                <w:kern w:val="0"/>
                <w:szCs w:val="20"/>
              </w:rPr>
            </w:pPr>
            <w:r>
              <w:rPr>
                <w:rFonts w:cs="Times New Roman"/>
                <w:kern w:val="0"/>
                <w:szCs w:val="20"/>
              </w:rPr>
              <w:t>F2</w:t>
            </w:r>
          </w:p>
        </w:tc>
        <w:tc>
          <w:tcPr>
            <w:tcW w:w="935" w:type="pct"/>
            <w:tcBorders>
              <w:top w:val="single" w:color="auto" w:sz="4" w:space="0"/>
              <w:left w:val="single" w:color="auto" w:sz="4" w:space="0"/>
              <w:bottom w:val="single" w:color="auto" w:sz="4" w:space="0"/>
              <w:right w:val="nil"/>
            </w:tcBorders>
            <w:vAlign w:val="center"/>
          </w:tcPr>
          <w:p w14:paraId="16620230">
            <w:pPr>
              <w:pStyle w:val="445"/>
              <w:rPr>
                <w:rFonts w:cs="Times New Roman"/>
                <w:kern w:val="0"/>
                <w:szCs w:val="20"/>
              </w:rPr>
            </w:pPr>
            <w:r>
              <w:rPr>
                <w:rFonts w:cs="Times New Roman"/>
                <w:kern w:val="0"/>
                <w:szCs w:val="20"/>
              </w:rPr>
              <w:t>F3</w:t>
            </w:r>
          </w:p>
        </w:tc>
      </w:tr>
      <w:tr w14:paraId="5BFCB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95" w:type="pct"/>
            <w:tcBorders>
              <w:top w:val="single" w:color="auto" w:sz="4" w:space="0"/>
              <w:left w:val="nil"/>
              <w:bottom w:val="single" w:color="auto" w:sz="4" w:space="0"/>
              <w:right w:val="single" w:color="auto" w:sz="4" w:space="0"/>
            </w:tcBorders>
            <w:vAlign w:val="center"/>
          </w:tcPr>
          <w:p w14:paraId="5078D6A5">
            <w:pPr>
              <w:pStyle w:val="445"/>
              <w:rPr>
                <w:rFonts w:cs="Times New Roman"/>
                <w:kern w:val="0"/>
                <w:szCs w:val="20"/>
              </w:rPr>
            </w:pPr>
            <w:r>
              <w:rPr>
                <w:rFonts w:cs="Times New Roman"/>
                <w:kern w:val="0"/>
                <w:szCs w:val="20"/>
              </w:rPr>
              <w:t>S1</w:t>
            </w:r>
          </w:p>
        </w:tc>
        <w:tc>
          <w:tcPr>
            <w:tcW w:w="935" w:type="pct"/>
            <w:tcBorders>
              <w:top w:val="single" w:color="auto" w:sz="4" w:space="0"/>
              <w:left w:val="single" w:color="auto" w:sz="4" w:space="0"/>
              <w:bottom w:val="single" w:color="auto" w:sz="4" w:space="0"/>
              <w:right w:val="single" w:color="auto" w:sz="4" w:space="0"/>
            </w:tcBorders>
            <w:vAlign w:val="center"/>
          </w:tcPr>
          <w:p w14:paraId="46CF6869">
            <w:pPr>
              <w:pStyle w:val="445"/>
              <w:rPr>
                <w:rFonts w:cs="Times New Roman"/>
                <w:kern w:val="0"/>
                <w:szCs w:val="20"/>
              </w:rPr>
            </w:pPr>
            <w:r>
              <w:rPr>
                <w:rFonts w:cs="Times New Roman"/>
                <w:kern w:val="0"/>
                <w:szCs w:val="20"/>
              </w:rPr>
              <w:t>E1</w:t>
            </w:r>
          </w:p>
        </w:tc>
        <w:tc>
          <w:tcPr>
            <w:tcW w:w="935" w:type="pct"/>
            <w:tcBorders>
              <w:top w:val="single" w:color="auto" w:sz="4" w:space="0"/>
              <w:left w:val="single" w:color="auto" w:sz="4" w:space="0"/>
              <w:bottom w:val="single" w:color="auto" w:sz="4" w:space="0"/>
              <w:right w:val="single" w:color="auto" w:sz="4" w:space="0"/>
            </w:tcBorders>
            <w:vAlign w:val="center"/>
          </w:tcPr>
          <w:p w14:paraId="1DE55046">
            <w:pPr>
              <w:pStyle w:val="445"/>
              <w:rPr>
                <w:rFonts w:cs="Times New Roman"/>
                <w:kern w:val="0"/>
                <w:szCs w:val="20"/>
              </w:rPr>
            </w:pPr>
            <w:r>
              <w:rPr>
                <w:rFonts w:cs="Times New Roman"/>
                <w:kern w:val="0"/>
                <w:szCs w:val="20"/>
              </w:rPr>
              <w:t>E1</w:t>
            </w:r>
          </w:p>
        </w:tc>
        <w:tc>
          <w:tcPr>
            <w:tcW w:w="935" w:type="pct"/>
            <w:tcBorders>
              <w:top w:val="single" w:color="auto" w:sz="4" w:space="0"/>
              <w:left w:val="single" w:color="auto" w:sz="4" w:space="0"/>
              <w:bottom w:val="single" w:color="auto" w:sz="4" w:space="0"/>
              <w:right w:val="nil"/>
            </w:tcBorders>
            <w:vAlign w:val="center"/>
          </w:tcPr>
          <w:p w14:paraId="014555E4">
            <w:pPr>
              <w:pStyle w:val="445"/>
              <w:rPr>
                <w:rFonts w:cs="Times New Roman"/>
                <w:kern w:val="0"/>
                <w:szCs w:val="20"/>
              </w:rPr>
            </w:pPr>
            <w:r>
              <w:rPr>
                <w:rFonts w:cs="Times New Roman"/>
                <w:kern w:val="0"/>
                <w:szCs w:val="20"/>
              </w:rPr>
              <w:t>E2</w:t>
            </w:r>
          </w:p>
        </w:tc>
      </w:tr>
      <w:tr w14:paraId="4028F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2195" w:type="pct"/>
            <w:tcBorders>
              <w:top w:val="single" w:color="auto" w:sz="4" w:space="0"/>
              <w:left w:val="nil"/>
              <w:bottom w:val="single" w:color="auto" w:sz="4" w:space="0"/>
              <w:right w:val="single" w:color="auto" w:sz="4" w:space="0"/>
            </w:tcBorders>
            <w:vAlign w:val="center"/>
          </w:tcPr>
          <w:p w14:paraId="083B9C6C">
            <w:pPr>
              <w:pStyle w:val="445"/>
              <w:rPr>
                <w:rFonts w:cs="Times New Roman"/>
                <w:kern w:val="0"/>
                <w:szCs w:val="20"/>
              </w:rPr>
            </w:pPr>
            <w:r>
              <w:rPr>
                <w:rFonts w:cs="Times New Roman"/>
                <w:kern w:val="0"/>
                <w:szCs w:val="20"/>
              </w:rPr>
              <w:t>S2</w:t>
            </w:r>
          </w:p>
        </w:tc>
        <w:tc>
          <w:tcPr>
            <w:tcW w:w="935" w:type="pct"/>
            <w:tcBorders>
              <w:top w:val="single" w:color="auto" w:sz="4" w:space="0"/>
              <w:left w:val="single" w:color="auto" w:sz="4" w:space="0"/>
              <w:bottom w:val="single" w:color="auto" w:sz="4" w:space="0"/>
              <w:right w:val="single" w:color="auto" w:sz="4" w:space="0"/>
            </w:tcBorders>
            <w:vAlign w:val="center"/>
          </w:tcPr>
          <w:p w14:paraId="71EC845E">
            <w:pPr>
              <w:pStyle w:val="445"/>
              <w:rPr>
                <w:rFonts w:cs="Times New Roman"/>
                <w:kern w:val="0"/>
                <w:szCs w:val="20"/>
              </w:rPr>
            </w:pPr>
            <w:r>
              <w:rPr>
                <w:rFonts w:cs="Times New Roman"/>
                <w:kern w:val="0"/>
                <w:szCs w:val="20"/>
              </w:rPr>
              <w:t>E1</w:t>
            </w:r>
          </w:p>
        </w:tc>
        <w:tc>
          <w:tcPr>
            <w:tcW w:w="935" w:type="pct"/>
            <w:tcBorders>
              <w:top w:val="single" w:color="auto" w:sz="4" w:space="0"/>
              <w:left w:val="single" w:color="auto" w:sz="4" w:space="0"/>
              <w:bottom w:val="single" w:color="auto" w:sz="4" w:space="0"/>
              <w:right w:val="single" w:color="auto" w:sz="4" w:space="0"/>
            </w:tcBorders>
            <w:vAlign w:val="center"/>
          </w:tcPr>
          <w:p w14:paraId="199EFFA3">
            <w:pPr>
              <w:pStyle w:val="445"/>
              <w:rPr>
                <w:rFonts w:cs="Times New Roman"/>
                <w:kern w:val="0"/>
                <w:szCs w:val="20"/>
              </w:rPr>
            </w:pPr>
            <w:r>
              <w:rPr>
                <w:rFonts w:cs="Times New Roman"/>
                <w:kern w:val="0"/>
                <w:szCs w:val="20"/>
              </w:rPr>
              <w:t>E2</w:t>
            </w:r>
          </w:p>
        </w:tc>
        <w:tc>
          <w:tcPr>
            <w:tcW w:w="935" w:type="pct"/>
            <w:tcBorders>
              <w:top w:val="single" w:color="auto" w:sz="4" w:space="0"/>
              <w:left w:val="single" w:color="auto" w:sz="4" w:space="0"/>
              <w:bottom w:val="single" w:color="auto" w:sz="4" w:space="0"/>
              <w:right w:val="nil"/>
            </w:tcBorders>
            <w:vAlign w:val="center"/>
          </w:tcPr>
          <w:p w14:paraId="03C1E2DD">
            <w:pPr>
              <w:pStyle w:val="445"/>
              <w:rPr>
                <w:rFonts w:cs="Times New Roman"/>
                <w:kern w:val="0"/>
                <w:szCs w:val="20"/>
              </w:rPr>
            </w:pPr>
            <w:r>
              <w:rPr>
                <w:rFonts w:cs="Times New Roman"/>
                <w:kern w:val="0"/>
                <w:szCs w:val="20"/>
              </w:rPr>
              <w:t>E3</w:t>
            </w:r>
          </w:p>
        </w:tc>
      </w:tr>
      <w:tr w14:paraId="316C3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195" w:type="pct"/>
            <w:tcBorders>
              <w:top w:val="single" w:color="auto" w:sz="4" w:space="0"/>
              <w:left w:val="nil"/>
              <w:bottom w:val="single" w:color="auto" w:sz="12" w:space="0"/>
              <w:right w:val="single" w:color="auto" w:sz="4" w:space="0"/>
            </w:tcBorders>
            <w:vAlign w:val="center"/>
          </w:tcPr>
          <w:p w14:paraId="7EEBF25C">
            <w:pPr>
              <w:pStyle w:val="445"/>
              <w:rPr>
                <w:rFonts w:cs="Times New Roman"/>
                <w:kern w:val="0"/>
                <w:szCs w:val="20"/>
              </w:rPr>
            </w:pPr>
            <w:r>
              <w:rPr>
                <w:rFonts w:cs="Times New Roman"/>
                <w:kern w:val="0"/>
                <w:szCs w:val="20"/>
              </w:rPr>
              <w:t>S3</w:t>
            </w:r>
          </w:p>
        </w:tc>
        <w:tc>
          <w:tcPr>
            <w:tcW w:w="935" w:type="pct"/>
            <w:tcBorders>
              <w:top w:val="single" w:color="auto" w:sz="4" w:space="0"/>
              <w:left w:val="single" w:color="auto" w:sz="4" w:space="0"/>
              <w:bottom w:val="single" w:color="auto" w:sz="12" w:space="0"/>
              <w:right w:val="single" w:color="auto" w:sz="4" w:space="0"/>
            </w:tcBorders>
            <w:vAlign w:val="center"/>
          </w:tcPr>
          <w:p w14:paraId="3CBDAA69">
            <w:pPr>
              <w:pStyle w:val="445"/>
              <w:rPr>
                <w:rFonts w:cs="Times New Roman"/>
                <w:kern w:val="0"/>
                <w:szCs w:val="20"/>
              </w:rPr>
            </w:pPr>
            <w:r>
              <w:rPr>
                <w:rFonts w:cs="Times New Roman"/>
                <w:kern w:val="0"/>
                <w:szCs w:val="20"/>
              </w:rPr>
              <w:t>E1</w:t>
            </w:r>
          </w:p>
        </w:tc>
        <w:tc>
          <w:tcPr>
            <w:tcW w:w="935" w:type="pct"/>
            <w:tcBorders>
              <w:top w:val="single" w:color="auto" w:sz="4" w:space="0"/>
              <w:left w:val="single" w:color="auto" w:sz="4" w:space="0"/>
              <w:bottom w:val="single" w:color="auto" w:sz="12" w:space="0"/>
              <w:right w:val="single" w:color="auto" w:sz="4" w:space="0"/>
            </w:tcBorders>
            <w:vAlign w:val="center"/>
          </w:tcPr>
          <w:p w14:paraId="533F42B4">
            <w:pPr>
              <w:pStyle w:val="445"/>
              <w:rPr>
                <w:rFonts w:cs="Times New Roman"/>
                <w:kern w:val="0"/>
                <w:szCs w:val="20"/>
              </w:rPr>
            </w:pPr>
            <w:r>
              <w:rPr>
                <w:rFonts w:cs="Times New Roman"/>
                <w:kern w:val="0"/>
                <w:szCs w:val="20"/>
              </w:rPr>
              <w:t>E2</w:t>
            </w:r>
          </w:p>
        </w:tc>
        <w:tc>
          <w:tcPr>
            <w:tcW w:w="935" w:type="pct"/>
            <w:tcBorders>
              <w:top w:val="single" w:color="auto" w:sz="4" w:space="0"/>
              <w:left w:val="single" w:color="auto" w:sz="4" w:space="0"/>
              <w:bottom w:val="single" w:color="auto" w:sz="12" w:space="0"/>
              <w:right w:val="nil"/>
            </w:tcBorders>
            <w:vAlign w:val="center"/>
          </w:tcPr>
          <w:p w14:paraId="3CEED4F3">
            <w:pPr>
              <w:pStyle w:val="445"/>
              <w:rPr>
                <w:rFonts w:cs="Times New Roman"/>
                <w:kern w:val="0"/>
                <w:szCs w:val="20"/>
              </w:rPr>
            </w:pPr>
            <w:r>
              <w:rPr>
                <w:rFonts w:cs="Times New Roman"/>
                <w:kern w:val="0"/>
                <w:szCs w:val="20"/>
              </w:rPr>
              <w:t>E3</w:t>
            </w:r>
          </w:p>
        </w:tc>
      </w:tr>
    </w:tbl>
    <w:p w14:paraId="67DDBEFF">
      <w:pPr>
        <w:ind w:firstLine="480"/>
        <w:rPr>
          <w:rFonts w:cs="Times New Roman"/>
          <w:b/>
          <w:bCs/>
          <w:color w:val="0000FF"/>
        </w:rPr>
      </w:pPr>
      <w:r>
        <w:rPr>
          <w:rFonts w:hint="eastAsia"/>
        </w:rPr>
        <w:t>由环境敏感目标分级、地表水功能敏感性分区可知，地表水环境敏感程度为</w:t>
      </w:r>
      <w:r>
        <w:t>E3</w:t>
      </w:r>
      <w:r>
        <w:rPr>
          <w:rFonts w:hint="eastAsia"/>
        </w:rPr>
        <w:t>。</w:t>
      </w:r>
    </w:p>
    <w:p w14:paraId="05A8AD92">
      <w:pPr>
        <w:ind w:firstLine="482"/>
        <w:rPr>
          <w:b/>
        </w:rPr>
      </w:pPr>
      <w:r>
        <w:rPr>
          <w:b/>
        </w:rPr>
        <w:t>（3）地下水环境敏感程度</w:t>
      </w:r>
    </w:p>
    <w:p w14:paraId="73BE825C">
      <w:pPr>
        <w:ind w:firstLine="480"/>
      </w:pPr>
      <w:r>
        <w:rPr>
          <w:rFonts w:hint="eastAsia" w:ascii="宋体" w:hAnsi="宋体"/>
        </w:rPr>
        <w:t>根据《建设项目环境风险评价技术导则》</w:t>
      </w:r>
      <w:r>
        <w:rPr>
          <w:rFonts w:hint="eastAsia"/>
        </w:rPr>
        <w:t>(</w:t>
      </w:r>
      <w:r>
        <w:t>HJ169-2018</w:t>
      </w:r>
      <w:r>
        <w:rPr>
          <w:rFonts w:hint="eastAsia"/>
        </w:rPr>
        <w:t>)</w:t>
      </w:r>
      <w:r>
        <w:rPr>
          <w:rFonts w:hint="eastAsia" w:ascii="宋体" w:hAnsi="宋体"/>
        </w:rPr>
        <w:t>，地下水</w:t>
      </w:r>
      <w:r>
        <w:rPr>
          <w:rFonts w:ascii="宋体" w:hAnsi="宋体"/>
        </w:rPr>
        <w:t>功能敏感性分区和</w:t>
      </w:r>
      <w:r>
        <w:rPr>
          <w:rFonts w:hint="eastAsia" w:ascii="宋体" w:hAnsi="宋体"/>
        </w:rPr>
        <w:t>包气带防污性能</w:t>
      </w:r>
      <w:r>
        <w:rPr>
          <w:rFonts w:ascii="宋体" w:hAnsi="宋体"/>
        </w:rPr>
        <w:t>分级分别见表</w:t>
      </w:r>
      <w:r>
        <w:t>2.3.1-15</w:t>
      </w:r>
      <w:r>
        <w:rPr>
          <w:rFonts w:hint="eastAsia" w:ascii="宋体" w:hAnsi="宋体"/>
        </w:rPr>
        <w:t>及</w:t>
      </w:r>
      <w:r>
        <w:rPr>
          <w:rFonts w:ascii="宋体" w:hAnsi="宋体"/>
        </w:rPr>
        <w:t>表</w:t>
      </w:r>
      <w:r>
        <w:t>2.3.1-16</w:t>
      </w:r>
      <w:r>
        <w:rPr>
          <w:rFonts w:ascii="宋体" w:hAnsi="宋体"/>
        </w:rPr>
        <w:t>。</w:t>
      </w:r>
      <w:r>
        <w:rPr>
          <w:rFonts w:hint="eastAsia" w:ascii="宋体" w:hAnsi="宋体"/>
        </w:rPr>
        <w:t>当同一建设项目涉及两个</w:t>
      </w:r>
      <w:r>
        <w:rPr>
          <w:rFonts w:hint="eastAsia"/>
        </w:rPr>
        <w:t>G</w:t>
      </w:r>
      <w:r>
        <w:rPr>
          <w:rFonts w:hint="eastAsia" w:ascii="宋体" w:hAnsi="宋体"/>
        </w:rPr>
        <w:t>分区或</w:t>
      </w:r>
      <w:r>
        <w:rPr>
          <w:rFonts w:hint="eastAsia"/>
        </w:rPr>
        <w:t>D</w:t>
      </w:r>
      <w:r>
        <w:rPr>
          <w:rFonts w:hint="eastAsia" w:ascii="宋体" w:hAnsi="宋体"/>
        </w:rPr>
        <w:t>分级及以上时，取相对高值。</w:t>
      </w:r>
    </w:p>
    <w:p w14:paraId="6E9BFAA1">
      <w:pPr>
        <w:spacing w:line="500" w:lineRule="exact"/>
        <w:ind w:firstLine="0" w:firstLineChars="0"/>
        <w:jc w:val="center"/>
        <w:rPr>
          <w:rFonts w:eastAsia="黑体"/>
        </w:rPr>
      </w:pPr>
      <w:r>
        <w:rPr>
          <w:rFonts w:ascii="黑体" w:hAnsi="黑体" w:eastAsia="黑体"/>
        </w:rPr>
        <w:t>表</w:t>
      </w:r>
      <w:r>
        <w:rPr>
          <w:rFonts w:eastAsia="黑体"/>
        </w:rPr>
        <w:t xml:space="preserve">2.3.1-15  </w:t>
      </w:r>
      <w:r>
        <w:rPr>
          <w:rFonts w:hint="eastAsia" w:ascii="黑体" w:hAnsi="黑体" w:eastAsia="黑体"/>
        </w:rPr>
        <w:t>地下水功能敏感性分区</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7998"/>
      </w:tblGrid>
      <w:tr w14:paraId="4171FF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673" w:type="pct"/>
            <w:tcBorders>
              <w:top w:val="single" w:color="auto" w:sz="12" w:space="0"/>
              <w:left w:val="nil"/>
              <w:bottom w:val="single" w:color="auto" w:sz="4" w:space="0"/>
              <w:right w:val="single" w:color="auto" w:sz="4" w:space="0"/>
            </w:tcBorders>
            <w:vAlign w:val="center"/>
          </w:tcPr>
          <w:p w14:paraId="70EAF263">
            <w:pPr>
              <w:pStyle w:val="445"/>
              <w:rPr>
                <w:rFonts w:cs="Times New Roman"/>
                <w:kern w:val="0"/>
                <w:szCs w:val="20"/>
              </w:rPr>
            </w:pPr>
            <w:r>
              <w:rPr>
                <w:rFonts w:hint="eastAsia" w:cs="Times New Roman"/>
                <w:kern w:val="0"/>
                <w:szCs w:val="20"/>
              </w:rPr>
              <w:t>敏感性</w:t>
            </w:r>
          </w:p>
        </w:tc>
        <w:tc>
          <w:tcPr>
            <w:tcW w:w="4327" w:type="pct"/>
            <w:tcBorders>
              <w:top w:val="single" w:color="auto" w:sz="12" w:space="0"/>
              <w:left w:val="single" w:color="auto" w:sz="4" w:space="0"/>
              <w:bottom w:val="single" w:color="auto" w:sz="4" w:space="0"/>
              <w:right w:val="nil"/>
            </w:tcBorders>
            <w:vAlign w:val="center"/>
          </w:tcPr>
          <w:p w14:paraId="0061C292">
            <w:pPr>
              <w:pStyle w:val="445"/>
              <w:rPr>
                <w:rFonts w:cs="Times New Roman"/>
                <w:kern w:val="0"/>
                <w:szCs w:val="20"/>
              </w:rPr>
            </w:pPr>
            <w:r>
              <w:rPr>
                <w:rFonts w:hint="eastAsia" w:cs="Times New Roman"/>
                <w:kern w:val="0"/>
                <w:szCs w:val="20"/>
              </w:rPr>
              <w:t>地下水环境敏感特征</w:t>
            </w:r>
          </w:p>
        </w:tc>
      </w:tr>
      <w:tr w14:paraId="40E2A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3" w:type="pct"/>
            <w:tcBorders>
              <w:top w:val="single" w:color="auto" w:sz="4" w:space="0"/>
              <w:left w:val="nil"/>
              <w:bottom w:val="single" w:color="auto" w:sz="4" w:space="0"/>
              <w:right w:val="single" w:color="auto" w:sz="4" w:space="0"/>
            </w:tcBorders>
            <w:vAlign w:val="center"/>
          </w:tcPr>
          <w:p w14:paraId="4D594A02">
            <w:pPr>
              <w:pStyle w:val="445"/>
              <w:rPr>
                <w:rFonts w:cs="Times New Roman"/>
                <w:kern w:val="0"/>
                <w:szCs w:val="20"/>
              </w:rPr>
            </w:pPr>
            <w:r>
              <w:rPr>
                <w:rFonts w:hint="eastAsia" w:cs="Times New Roman"/>
                <w:kern w:val="0"/>
                <w:szCs w:val="20"/>
              </w:rPr>
              <w:t>敏感</w:t>
            </w:r>
            <w:r>
              <w:rPr>
                <w:rFonts w:cs="Times New Roman"/>
                <w:kern w:val="0"/>
                <w:szCs w:val="20"/>
              </w:rPr>
              <w:t>G1</w:t>
            </w:r>
          </w:p>
        </w:tc>
        <w:tc>
          <w:tcPr>
            <w:tcW w:w="4327" w:type="pct"/>
            <w:tcBorders>
              <w:top w:val="single" w:color="auto" w:sz="4" w:space="0"/>
              <w:left w:val="single" w:color="auto" w:sz="4" w:space="0"/>
              <w:bottom w:val="single" w:color="auto" w:sz="4" w:space="0"/>
              <w:right w:val="nil"/>
            </w:tcBorders>
            <w:vAlign w:val="center"/>
          </w:tcPr>
          <w:p w14:paraId="75791334">
            <w:pPr>
              <w:pStyle w:val="445"/>
              <w:rPr>
                <w:rFonts w:cs="Times New Roman"/>
                <w:kern w:val="0"/>
                <w:szCs w:val="20"/>
              </w:rPr>
            </w:pPr>
            <w:r>
              <w:rPr>
                <w:rFonts w:hint="eastAsia" w:cs="Times New Roman"/>
                <w:kern w:val="0"/>
                <w:szCs w:val="20"/>
              </w:rPr>
              <w:t>集中式自来水水源(包括已建成的在用、备用、应急水源，在建和规划的自来水水源)准保护区；除集中式自来水源以外的国家或地方政府设定的地下环境相关的其他保护区，如热水、矿泉水、温泉等特殊地下水资源保护区</w:t>
            </w:r>
          </w:p>
        </w:tc>
      </w:tr>
      <w:tr w14:paraId="5A6E1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673" w:type="pct"/>
            <w:tcBorders>
              <w:top w:val="single" w:color="auto" w:sz="4" w:space="0"/>
              <w:left w:val="nil"/>
              <w:bottom w:val="single" w:color="auto" w:sz="4" w:space="0"/>
              <w:right w:val="single" w:color="auto" w:sz="4" w:space="0"/>
            </w:tcBorders>
            <w:vAlign w:val="center"/>
          </w:tcPr>
          <w:p w14:paraId="516D1032">
            <w:pPr>
              <w:pStyle w:val="445"/>
              <w:rPr>
                <w:rFonts w:cs="Times New Roman"/>
                <w:kern w:val="0"/>
                <w:szCs w:val="20"/>
              </w:rPr>
            </w:pPr>
            <w:r>
              <w:rPr>
                <w:rFonts w:hint="eastAsia" w:cs="Times New Roman"/>
                <w:kern w:val="0"/>
                <w:szCs w:val="20"/>
              </w:rPr>
              <w:t>较敏感</w:t>
            </w:r>
            <w:r>
              <w:rPr>
                <w:rFonts w:cs="Times New Roman"/>
                <w:kern w:val="0"/>
                <w:szCs w:val="20"/>
              </w:rPr>
              <w:t>G2</w:t>
            </w:r>
          </w:p>
        </w:tc>
        <w:tc>
          <w:tcPr>
            <w:tcW w:w="4327" w:type="pct"/>
            <w:tcBorders>
              <w:top w:val="single" w:color="auto" w:sz="4" w:space="0"/>
              <w:left w:val="single" w:color="auto" w:sz="4" w:space="0"/>
              <w:bottom w:val="single" w:color="auto" w:sz="4" w:space="0"/>
              <w:right w:val="nil"/>
            </w:tcBorders>
            <w:vAlign w:val="center"/>
          </w:tcPr>
          <w:p w14:paraId="60132B39">
            <w:pPr>
              <w:pStyle w:val="445"/>
              <w:rPr>
                <w:rFonts w:cs="Times New Roman"/>
                <w:kern w:val="0"/>
                <w:szCs w:val="20"/>
              </w:rPr>
            </w:pPr>
            <w:r>
              <w:rPr>
                <w:rFonts w:hint="eastAsia" w:cs="Times New Roman"/>
                <w:kern w:val="0"/>
                <w:szCs w:val="20"/>
              </w:rPr>
              <w:t>集中式自来水源(包括已建成的在用、备用、应急水源，在建和规划的自来水源)准保护区以外的补给径流区；未划定准保护区的集，中式自来水水源，其保护区以外的补给径流区；分散式自来水水源地；特殊地下水资源(如热水、矿泉水、温泉等)保护区以外的分布区等其他未列入上述敏感分级的环境敏感区</w:t>
            </w:r>
            <w:r>
              <w:rPr>
                <w:rFonts w:hint="eastAsia" w:cs="Times New Roman"/>
                <w:kern w:val="0"/>
                <w:szCs w:val="20"/>
                <w:vertAlign w:val="superscript"/>
              </w:rPr>
              <w:t>a</w:t>
            </w:r>
          </w:p>
        </w:tc>
      </w:tr>
      <w:tr w14:paraId="7AB48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673" w:type="pct"/>
            <w:tcBorders>
              <w:top w:val="single" w:color="auto" w:sz="4" w:space="0"/>
              <w:left w:val="nil"/>
              <w:bottom w:val="single" w:color="auto" w:sz="4" w:space="0"/>
              <w:right w:val="single" w:color="auto" w:sz="4" w:space="0"/>
            </w:tcBorders>
            <w:vAlign w:val="center"/>
          </w:tcPr>
          <w:p w14:paraId="4CFA7BF5">
            <w:pPr>
              <w:pStyle w:val="445"/>
              <w:rPr>
                <w:rFonts w:cs="Times New Roman"/>
                <w:kern w:val="0"/>
                <w:szCs w:val="20"/>
              </w:rPr>
            </w:pPr>
            <w:r>
              <w:rPr>
                <w:rFonts w:hint="eastAsia" w:cs="Times New Roman"/>
                <w:kern w:val="0"/>
                <w:szCs w:val="20"/>
              </w:rPr>
              <w:t>不敏感</w:t>
            </w:r>
            <w:r>
              <w:rPr>
                <w:rFonts w:cs="Times New Roman"/>
                <w:kern w:val="0"/>
                <w:szCs w:val="20"/>
              </w:rPr>
              <w:t>G3</w:t>
            </w:r>
          </w:p>
        </w:tc>
        <w:tc>
          <w:tcPr>
            <w:tcW w:w="4327" w:type="pct"/>
            <w:tcBorders>
              <w:top w:val="single" w:color="auto" w:sz="4" w:space="0"/>
              <w:left w:val="single" w:color="auto" w:sz="4" w:space="0"/>
              <w:bottom w:val="single" w:color="auto" w:sz="4" w:space="0"/>
              <w:right w:val="nil"/>
            </w:tcBorders>
            <w:vAlign w:val="center"/>
          </w:tcPr>
          <w:p w14:paraId="40724457">
            <w:pPr>
              <w:pStyle w:val="445"/>
              <w:rPr>
                <w:rFonts w:cs="Times New Roman"/>
                <w:kern w:val="0"/>
                <w:szCs w:val="20"/>
              </w:rPr>
            </w:pPr>
            <w:r>
              <w:rPr>
                <w:rFonts w:hint="eastAsia" w:cs="Times New Roman"/>
                <w:kern w:val="0"/>
                <w:szCs w:val="20"/>
              </w:rPr>
              <w:t>上述地区之外的其他地区</w:t>
            </w:r>
          </w:p>
        </w:tc>
      </w:tr>
      <w:tr w14:paraId="5F340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5000" w:type="pct"/>
            <w:gridSpan w:val="2"/>
            <w:tcBorders>
              <w:top w:val="single" w:color="auto" w:sz="4" w:space="0"/>
              <w:left w:val="nil"/>
              <w:bottom w:val="single" w:color="auto" w:sz="12" w:space="0"/>
              <w:right w:val="nil"/>
            </w:tcBorders>
            <w:noWrap/>
            <w:vAlign w:val="center"/>
          </w:tcPr>
          <w:p w14:paraId="7B53F6E7">
            <w:pPr>
              <w:pStyle w:val="445"/>
              <w:rPr>
                <w:rFonts w:cs="Times New Roman"/>
                <w:kern w:val="0"/>
                <w:szCs w:val="20"/>
              </w:rPr>
            </w:pPr>
            <w:r>
              <w:rPr>
                <w:rFonts w:hint="eastAsia" w:cs="Times New Roman"/>
                <w:kern w:val="0"/>
                <w:szCs w:val="20"/>
              </w:rPr>
              <w:t>a：“环境敏感区”是指《建设项目环境影响评价分类管理名录》中所界定的涉及地下水的环境敏感区</w:t>
            </w:r>
          </w:p>
        </w:tc>
      </w:tr>
    </w:tbl>
    <w:p w14:paraId="69FFB020">
      <w:pPr>
        <w:ind w:firstLine="480"/>
        <w:rPr>
          <w:rFonts w:cs="Times New Roman"/>
          <w:szCs w:val="24"/>
        </w:rPr>
      </w:pPr>
      <w:r>
        <w:rPr>
          <w:rFonts w:hint="eastAsia"/>
        </w:rPr>
        <w:t>经调查</w:t>
      </w:r>
      <w:r>
        <w:t>，</w:t>
      </w:r>
      <w:r>
        <w:rPr>
          <w:rFonts w:hint="eastAsia"/>
        </w:rPr>
        <w:t>项目所在地</w:t>
      </w:r>
      <w:r>
        <w:t>不在</w:t>
      </w:r>
      <w:r>
        <w:rPr>
          <w:rFonts w:hint="eastAsia"/>
        </w:rPr>
        <w:t>集中式自来水水源准保护区</w:t>
      </w:r>
      <w:r>
        <w:t>、补给径流区</w:t>
      </w:r>
      <w:r>
        <w:rPr>
          <w:rFonts w:hint="eastAsia"/>
        </w:rPr>
        <w:t>；附近村庄均已接通自来水，居民饮用水无取用地下水，</w:t>
      </w:r>
      <w:r>
        <w:t>不属于</w:t>
      </w:r>
      <w:r>
        <w:rPr>
          <w:rFonts w:hint="eastAsia"/>
        </w:rPr>
        <w:t>分散式自来水水源地；</w:t>
      </w:r>
      <w:r>
        <w:t>也不属于</w:t>
      </w:r>
      <w:r>
        <w:rPr>
          <w:rFonts w:hint="eastAsia"/>
        </w:rPr>
        <w:t>特殊地下水资源保护区。根据上表可知，本项目地下水功能敏感性为</w:t>
      </w:r>
      <w:r>
        <w:t>G3</w:t>
      </w:r>
      <w:r>
        <w:rPr>
          <w:rFonts w:hint="eastAsia"/>
        </w:rPr>
        <w:t>。</w:t>
      </w:r>
    </w:p>
    <w:p w14:paraId="1114A820">
      <w:pPr>
        <w:spacing w:line="500" w:lineRule="exact"/>
        <w:ind w:firstLine="0" w:firstLineChars="0"/>
        <w:jc w:val="center"/>
        <w:rPr>
          <w:rFonts w:eastAsia="黑体"/>
        </w:rPr>
      </w:pPr>
      <w:r>
        <w:rPr>
          <w:rFonts w:ascii="黑体" w:hAnsi="黑体" w:eastAsia="黑体"/>
        </w:rPr>
        <w:t>表</w:t>
      </w:r>
      <w:r>
        <w:rPr>
          <w:rFonts w:eastAsia="黑体"/>
        </w:rPr>
        <w:t xml:space="preserve">2.3.1-16 </w:t>
      </w:r>
      <w:r>
        <w:rPr>
          <w:rFonts w:hint="eastAsia" w:ascii="黑体" w:hAnsi="黑体" w:eastAsia="黑体"/>
        </w:rPr>
        <w:t>包气带防污性能分级</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8048"/>
      </w:tblGrid>
      <w:tr w14:paraId="3AA82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646" w:type="pct"/>
            <w:tcBorders>
              <w:top w:val="single" w:color="auto" w:sz="12" w:space="0"/>
              <w:left w:val="nil"/>
              <w:bottom w:val="single" w:color="auto" w:sz="4" w:space="0"/>
              <w:right w:val="single" w:color="auto" w:sz="4" w:space="0"/>
            </w:tcBorders>
            <w:vAlign w:val="center"/>
          </w:tcPr>
          <w:p w14:paraId="608287B3">
            <w:pPr>
              <w:pStyle w:val="445"/>
              <w:rPr>
                <w:rFonts w:cs="Times New Roman"/>
                <w:kern w:val="0"/>
                <w:szCs w:val="20"/>
              </w:rPr>
            </w:pPr>
            <w:r>
              <w:rPr>
                <w:rFonts w:cs="Times New Roman"/>
                <w:kern w:val="0"/>
                <w:szCs w:val="20"/>
              </w:rPr>
              <w:t>分级</w:t>
            </w:r>
          </w:p>
        </w:tc>
        <w:tc>
          <w:tcPr>
            <w:tcW w:w="4354" w:type="pct"/>
            <w:tcBorders>
              <w:top w:val="single" w:color="auto" w:sz="12" w:space="0"/>
              <w:left w:val="single" w:color="auto" w:sz="4" w:space="0"/>
              <w:bottom w:val="single" w:color="auto" w:sz="4" w:space="0"/>
              <w:right w:val="nil"/>
            </w:tcBorders>
            <w:vAlign w:val="center"/>
          </w:tcPr>
          <w:p w14:paraId="0A9CC116">
            <w:pPr>
              <w:pStyle w:val="445"/>
              <w:rPr>
                <w:rFonts w:cs="Times New Roman"/>
                <w:kern w:val="0"/>
                <w:szCs w:val="20"/>
              </w:rPr>
            </w:pPr>
            <w:r>
              <w:rPr>
                <w:rFonts w:cs="Times New Roman"/>
                <w:kern w:val="0"/>
                <w:szCs w:val="20"/>
              </w:rPr>
              <w:t>包气带岩土的渗透性能</w:t>
            </w:r>
          </w:p>
        </w:tc>
      </w:tr>
      <w:tr w14:paraId="42483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646" w:type="pct"/>
            <w:tcBorders>
              <w:top w:val="single" w:color="auto" w:sz="4" w:space="0"/>
              <w:left w:val="nil"/>
              <w:bottom w:val="single" w:color="auto" w:sz="4" w:space="0"/>
              <w:right w:val="single" w:color="auto" w:sz="4" w:space="0"/>
            </w:tcBorders>
            <w:vAlign w:val="center"/>
          </w:tcPr>
          <w:p w14:paraId="5F16B0BA">
            <w:pPr>
              <w:pStyle w:val="445"/>
              <w:rPr>
                <w:rFonts w:cs="Times New Roman"/>
                <w:kern w:val="0"/>
                <w:szCs w:val="20"/>
              </w:rPr>
            </w:pPr>
            <w:r>
              <w:rPr>
                <w:rFonts w:cs="Times New Roman"/>
                <w:kern w:val="0"/>
                <w:szCs w:val="20"/>
              </w:rPr>
              <w:t>D3</w:t>
            </w:r>
          </w:p>
        </w:tc>
        <w:tc>
          <w:tcPr>
            <w:tcW w:w="4354" w:type="pct"/>
            <w:tcBorders>
              <w:top w:val="single" w:color="auto" w:sz="4" w:space="0"/>
              <w:left w:val="single" w:color="auto" w:sz="4" w:space="0"/>
              <w:bottom w:val="single" w:color="auto" w:sz="4" w:space="0"/>
              <w:right w:val="nil"/>
            </w:tcBorders>
            <w:vAlign w:val="center"/>
          </w:tcPr>
          <w:p w14:paraId="0486CBE1">
            <w:pPr>
              <w:pStyle w:val="445"/>
              <w:rPr>
                <w:rFonts w:cs="Times New Roman"/>
                <w:kern w:val="0"/>
                <w:szCs w:val="20"/>
              </w:rPr>
            </w:pPr>
            <w:r>
              <w:rPr>
                <w:rFonts w:cs="Times New Roman"/>
                <w:kern w:val="0"/>
                <w:szCs w:val="20"/>
              </w:rPr>
              <w:t>Mb≥1.0m，K≤1.0×10</w:t>
            </w:r>
            <w:r>
              <w:rPr>
                <w:rFonts w:cs="Times New Roman"/>
                <w:kern w:val="0"/>
                <w:szCs w:val="20"/>
                <w:vertAlign w:val="superscript"/>
              </w:rPr>
              <w:t>-6</w:t>
            </w:r>
            <w:r>
              <w:rPr>
                <w:rFonts w:cs="Times New Roman"/>
                <w:kern w:val="0"/>
                <w:szCs w:val="20"/>
              </w:rPr>
              <w:t>cm/s，且分布连续、稳定</w:t>
            </w:r>
          </w:p>
        </w:tc>
      </w:tr>
      <w:tr w14:paraId="588E2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46" w:type="pct"/>
            <w:tcBorders>
              <w:top w:val="single" w:color="auto" w:sz="4" w:space="0"/>
              <w:left w:val="nil"/>
              <w:bottom w:val="single" w:color="auto" w:sz="4" w:space="0"/>
              <w:right w:val="single" w:color="auto" w:sz="4" w:space="0"/>
            </w:tcBorders>
            <w:vAlign w:val="center"/>
          </w:tcPr>
          <w:p w14:paraId="677F5B05">
            <w:pPr>
              <w:pStyle w:val="445"/>
              <w:rPr>
                <w:rFonts w:cs="Times New Roman"/>
                <w:kern w:val="0"/>
                <w:szCs w:val="20"/>
              </w:rPr>
            </w:pPr>
            <w:r>
              <w:rPr>
                <w:rFonts w:cs="Times New Roman"/>
                <w:kern w:val="0"/>
                <w:szCs w:val="20"/>
              </w:rPr>
              <w:t>D2</w:t>
            </w:r>
          </w:p>
        </w:tc>
        <w:tc>
          <w:tcPr>
            <w:tcW w:w="4354" w:type="pct"/>
            <w:tcBorders>
              <w:top w:val="single" w:color="auto" w:sz="4" w:space="0"/>
              <w:left w:val="single" w:color="auto" w:sz="4" w:space="0"/>
              <w:bottom w:val="single" w:color="auto" w:sz="4" w:space="0"/>
              <w:right w:val="nil"/>
            </w:tcBorders>
            <w:vAlign w:val="center"/>
          </w:tcPr>
          <w:p w14:paraId="1BD3AFED">
            <w:pPr>
              <w:pStyle w:val="445"/>
              <w:rPr>
                <w:rFonts w:cs="Times New Roman"/>
                <w:kern w:val="0"/>
                <w:szCs w:val="20"/>
              </w:rPr>
            </w:pPr>
            <w:r>
              <w:rPr>
                <w:rFonts w:cs="Times New Roman"/>
                <w:kern w:val="0"/>
                <w:szCs w:val="20"/>
              </w:rPr>
              <w:t>0.5m≤Mb＜1.0m，K≤1.0×10</w:t>
            </w:r>
            <w:r>
              <w:rPr>
                <w:rFonts w:cs="Times New Roman"/>
                <w:kern w:val="0"/>
                <w:szCs w:val="20"/>
                <w:vertAlign w:val="superscript"/>
              </w:rPr>
              <w:t>-6</w:t>
            </w:r>
            <w:r>
              <w:rPr>
                <w:rFonts w:cs="Times New Roman"/>
                <w:kern w:val="0"/>
                <w:szCs w:val="20"/>
              </w:rPr>
              <w:t>cm/s，且分布连续、稳定</w:t>
            </w:r>
          </w:p>
          <w:p w14:paraId="2310DA29">
            <w:pPr>
              <w:pStyle w:val="445"/>
              <w:rPr>
                <w:rFonts w:cs="Times New Roman"/>
                <w:kern w:val="0"/>
                <w:szCs w:val="20"/>
              </w:rPr>
            </w:pPr>
            <w:r>
              <w:rPr>
                <w:rFonts w:cs="Times New Roman"/>
                <w:kern w:val="0"/>
                <w:szCs w:val="20"/>
              </w:rPr>
              <w:t>Mb≥1.0m，1.0×10</w:t>
            </w:r>
            <w:r>
              <w:rPr>
                <w:rFonts w:cs="Times New Roman"/>
                <w:kern w:val="0"/>
                <w:szCs w:val="20"/>
                <w:vertAlign w:val="superscript"/>
              </w:rPr>
              <w:t>-6</w:t>
            </w:r>
            <w:r>
              <w:rPr>
                <w:rFonts w:cs="Times New Roman"/>
                <w:kern w:val="0"/>
                <w:szCs w:val="20"/>
              </w:rPr>
              <w:t>cm/s＜K≤1.0×10</w:t>
            </w:r>
            <w:r>
              <w:rPr>
                <w:rFonts w:cs="Times New Roman"/>
                <w:kern w:val="0"/>
                <w:szCs w:val="20"/>
                <w:vertAlign w:val="superscript"/>
              </w:rPr>
              <w:t>-4</w:t>
            </w:r>
            <w:r>
              <w:rPr>
                <w:rFonts w:cs="Times New Roman"/>
                <w:kern w:val="0"/>
                <w:szCs w:val="20"/>
              </w:rPr>
              <w:t>cm/s，且分布连续、稳定</w:t>
            </w:r>
          </w:p>
        </w:tc>
      </w:tr>
      <w:tr w14:paraId="4919D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646" w:type="pct"/>
            <w:tcBorders>
              <w:top w:val="single" w:color="auto" w:sz="4" w:space="0"/>
              <w:left w:val="nil"/>
              <w:bottom w:val="single" w:color="auto" w:sz="4" w:space="0"/>
              <w:right w:val="single" w:color="auto" w:sz="4" w:space="0"/>
            </w:tcBorders>
            <w:vAlign w:val="center"/>
          </w:tcPr>
          <w:p w14:paraId="5F752A8C">
            <w:pPr>
              <w:pStyle w:val="445"/>
              <w:rPr>
                <w:rFonts w:cs="Times New Roman"/>
                <w:kern w:val="0"/>
                <w:szCs w:val="20"/>
              </w:rPr>
            </w:pPr>
            <w:r>
              <w:rPr>
                <w:rFonts w:cs="Times New Roman"/>
                <w:kern w:val="0"/>
                <w:szCs w:val="20"/>
              </w:rPr>
              <w:t>D1</w:t>
            </w:r>
          </w:p>
        </w:tc>
        <w:tc>
          <w:tcPr>
            <w:tcW w:w="4354" w:type="pct"/>
            <w:tcBorders>
              <w:top w:val="single" w:color="auto" w:sz="4" w:space="0"/>
              <w:left w:val="single" w:color="auto" w:sz="4" w:space="0"/>
              <w:bottom w:val="single" w:color="auto" w:sz="4" w:space="0"/>
              <w:right w:val="nil"/>
            </w:tcBorders>
            <w:vAlign w:val="center"/>
          </w:tcPr>
          <w:p w14:paraId="2CEE32A6">
            <w:pPr>
              <w:pStyle w:val="445"/>
              <w:rPr>
                <w:rFonts w:cs="Times New Roman"/>
                <w:kern w:val="0"/>
                <w:szCs w:val="20"/>
              </w:rPr>
            </w:pPr>
            <w:r>
              <w:rPr>
                <w:rFonts w:cs="Times New Roman"/>
                <w:kern w:val="0"/>
                <w:szCs w:val="20"/>
              </w:rPr>
              <w:t>岩土层不满足上述“D2”和“D3”条件</w:t>
            </w:r>
          </w:p>
        </w:tc>
      </w:tr>
      <w:tr w14:paraId="20496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5000" w:type="pct"/>
            <w:gridSpan w:val="2"/>
            <w:tcBorders>
              <w:top w:val="single" w:color="auto" w:sz="4" w:space="0"/>
              <w:left w:val="nil"/>
              <w:bottom w:val="single" w:color="auto" w:sz="12" w:space="0"/>
              <w:right w:val="nil"/>
            </w:tcBorders>
            <w:noWrap/>
            <w:vAlign w:val="center"/>
          </w:tcPr>
          <w:p w14:paraId="7EABCFA1">
            <w:pPr>
              <w:pStyle w:val="445"/>
              <w:rPr>
                <w:rFonts w:cs="Times New Roman"/>
                <w:kern w:val="0"/>
                <w:szCs w:val="20"/>
              </w:rPr>
            </w:pPr>
            <w:r>
              <w:rPr>
                <w:rFonts w:cs="Times New Roman"/>
                <w:kern w:val="0"/>
                <w:szCs w:val="20"/>
              </w:rPr>
              <w:t>Mb:岩土层单层厚度。K：渗透系数</w:t>
            </w:r>
          </w:p>
        </w:tc>
      </w:tr>
    </w:tbl>
    <w:p w14:paraId="3A10A88C">
      <w:pPr>
        <w:ind w:firstLine="480"/>
        <w:rPr>
          <w:rFonts w:cs="Times New Roman"/>
          <w:szCs w:val="24"/>
        </w:rPr>
      </w:pPr>
      <w:r>
        <w:rPr>
          <w:rFonts w:hint="eastAsia" w:ascii="宋体" w:hAnsi="宋体"/>
        </w:rPr>
        <w:t>经调查</w:t>
      </w:r>
      <w:r>
        <w:rPr>
          <w:rFonts w:ascii="宋体" w:hAnsi="宋体"/>
        </w:rPr>
        <w:t>，</w:t>
      </w:r>
      <w:r>
        <w:rPr>
          <w:rFonts w:hint="eastAsia" w:ascii="宋体" w:hAnsi="宋体"/>
        </w:rPr>
        <w:t>项目</w:t>
      </w:r>
      <w:r>
        <w:rPr>
          <w:rFonts w:ascii="宋体" w:hAnsi="宋体"/>
        </w:rPr>
        <w:t>包气带防污性能为</w:t>
      </w:r>
      <w:r>
        <w:t>Mb≥1.0m</w:t>
      </w:r>
      <w:r>
        <w:rPr>
          <w:rFonts w:hint="eastAsia" w:ascii="宋体" w:hAnsi="宋体"/>
          <w:bCs/>
        </w:rPr>
        <w:t>、</w:t>
      </w:r>
      <w:r>
        <w:rPr>
          <w:rFonts w:hint="eastAsia"/>
          <w:bCs/>
        </w:rPr>
        <w:t>10</w:t>
      </w:r>
      <w:r>
        <w:rPr>
          <w:rFonts w:hint="eastAsia"/>
          <w:bCs/>
          <w:vertAlign w:val="superscript"/>
        </w:rPr>
        <w:t>-</w:t>
      </w:r>
      <w:r>
        <w:rPr>
          <w:bCs/>
          <w:vertAlign w:val="superscript"/>
        </w:rPr>
        <w:t>6</w:t>
      </w:r>
      <w:r>
        <w:rPr>
          <w:rFonts w:hint="eastAsia"/>
          <w:bCs/>
        </w:rPr>
        <w:t>cm/s</w:t>
      </w:r>
      <w:r>
        <w:rPr>
          <w:rFonts w:ascii="宋体" w:hAnsi="宋体"/>
          <w:bCs/>
        </w:rPr>
        <w:t>＜</w:t>
      </w:r>
      <w:r>
        <w:rPr>
          <w:rFonts w:hint="eastAsia"/>
          <w:bCs/>
        </w:rPr>
        <w:t>K</w:t>
      </w:r>
      <w:r>
        <w:rPr>
          <w:rFonts w:hint="eastAsia" w:ascii="宋体" w:hAnsi="宋体"/>
          <w:bCs/>
        </w:rPr>
        <w:t>≤</w:t>
      </w:r>
      <w:r>
        <w:rPr>
          <w:rFonts w:hint="eastAsia"/>
          <w:bCs/>
        </w:rPr>
        <w:t>10</w:t>
      </w:r>
      <w:r>
        <w:rPr>
          <w:rFonts w:hint="eastAsia"/>
          <w:bCs/>
          <w:vertAlign w:val="superscript"/>
        </w:rPr>
        <w:t>-4</w:t>
      </w:r>
      <w:r>
        <w:rPr>
          <w:rFonts w:hint="eastAsia"/>
          <w:bCs/>
        </w:rPr>
        <w:t>cm/s</w:t>
      </w:r>
      <w:r>
        <w:rPr>
          <w:rFonts w:hint="eastAsia" w:ascii="宋体" w:hAnsi="宋体"/>
          <w:bCs/>
        </w:rPr>
        <w:t>。</w:t>
      </w:r>
      <w:r>
        <w:rPr>
          <w:rFonts w:hint="eastAsia" w:ascii="宋体" w:hAnsi="宋体"/>
        </w:rPr>
        <w:t>本项目地下水包气带防污性能分级为</w:t>
      </w:r>
      <w:r>
        <w:t>D2</w:t>
      </w:r>
      <w:r>
        <w:rPr>
          <w:rFonts w:hint="eastAsia" w:ascii="宋体" w:hAnsi="宋体"/>
        </w:rPr>
        <w:t>。</w:t>
      </w:r>
    </w:p>
    <w:p w14:paraId="2C1EC8B2">
      <w:pPr>
        <w:ind w:firstLine="480"/>
      </w:pPr>
      <w:r>
        <w:rPr>
          <w:rFonts w:ascii="宋体" w:hAnsi="宋体"/>
        </w:rPr>
        <w:t>依据地下水功能敏感性与包气带防污性能，地下水环境敏感程度共分为三种类型，</w:t>
      </w:r>
      <w:r>
        <w:t>E1</w:t>
      </w:r>
      <w:r>
        <w:rPr>
          <w:rFonts w:ascii="宋体" w:hAnsi="宋体"/>
        </w:rPr>
        <w:t>为环境高度敏感区，</w:t>
      </w:r>
      <w:r>
        <w:t>E2</w:t>
      </w:r>
      <w:r>
        <w:rPr>
          <w:rFonts w:ascii="宋体" w:hAnsi="宋体"/>
        </w:rPr>
        <w:t>为环境中度敏感区，</w:t>
      </w:r>
      <w:r>
        <w:t>E3</w:t>
      </w:r>
      <w:r>
        <w:rPr>
          <w:rFonts w:ascii="宋体" w:hAnsi="宋体"/>
        </w:rPr>
        <w:t>为环境低度敏感区，分级原则见下表。</w:t>
      </w:r>
    </w:p>
    <w:p w14:paraId="3406133B">
      <w:pPr>
        <w:pStyle w:val="278"/>
      </w:pPr>
      <w:r>
        <w:t xml:space="preserve">表2.3.1-17  </w:t>
      </w:r>
      <w:r>
        <w:rPr>
          <w:rFonts w:hint="eastAsia"/>
        </w:rPr>
        <w:t>地下水环境敏感程度分级</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82"/>
        <w:gridCol w:w="1887"/>
        <w:gridCol w:w="2031"/>
        <w:gridCol w:w="1842"/>
      </w:tblGrid>
      <w:tr w14:paraId="5E71E2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884" w:type="pct"/>
            <w:vMerge w:val="restart"/>
            <w:tcBorders>
              <w:top w:val="single" w:color="auto" w:sz="12" w:space="0"/>
              <w:left w:val="nil"/>
              <w:bottom w:val="single" w:color="auto" w:sz="4" w:space="0"/>
              <w:right w:val="single" w:color="auto" w:sz="4" w:space="0"/>
            </w:tcBorders>
            <w:vAlign w:val="center"/>
          </w:tcPr>
          <w:p w14:paraId="681C8B9C">
            <w:pPr>
              <w:pStyle w:val="445"/>
              <w:rPr>
                <w:rFonts w:cs="Times New Roman"/>
                <w:kern w:val="0"/>
                <w:szCs w:val="20"/>
              </w:rPr>
            </w:pPr>
            <w:r>
              <w:rPr>
                <w:rFonts w:hint="eastAsia" w:cs="Times New Roman"/>
                <w:kern w:val="0"/>
                <w:szCs w:val="20"/>
              </w:rPr>
              <w:t>包气带防污性能</w:t>
            </w:r>
          </w:p>
        </w:tc>
        <w:tc>
          <w:tcPr>
            <w:tcW w:w="3116" w:type="pct"/>
            <w:gridSpan w:val="3"/>
            <w:tcBorders>
              <w:top w:val="single" w:color="auto" w:sz="12" w:space="0"/>
              <w:left w:val="single" w:color="auto" w:sz="4" w:space="0"/>
              <w:bottom w:val="single" w:color="auto" w:sz="4" w:space="0"/>
              <w:right w:val="nil"/>
            </w:tcBorders>
            <w:vAlign w:val="center"/>
          </w:tcPr>
          <w:p w14:paraId="2A24BCF6">
            <w:pPr>
              <w:pStyle w:val="445"/>
              <w:rPr>
                <w:rFonts w:cs="Times New Roman"/>
                <w:kern w:val="0"/>
                <w:szCs w:val="20"/>
              </w:rPr>
            </w:pPr>
            <w:r>
              <w:rPr>
                <w:rFonts w:hint="eastAsia" w:cs="Times New Roman"/>
                <w:kern w:val="0"/>
                <w:szCs w:val="20"/>
              </w:rPr>
              <w:t>地下水功能敏感性</w:t>
            </w:r>
          </w:p>
        </w:tc>
      </w:tr>
      <w:tr w14:paraId="02EFFD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5203F2B3">
            <w:pPr>
              <w:pStyle w:val="445"/>
              <w:rPr>
                <w:rFonts w:ascii="Calibri" w:hAnsi="Calibri" w:cs="Times New Roman"/>
                <w:kern w:val="0"/>
                <w:szCs w:val="18"/>
              </w:rPr>
            </w:pPr>
          </w:p>
        </w:tc>
        <w:tc>
          <w:tcPr>
            <w:tcW w:w="1021" w:type="pct"/>
            <w:tcBorders>
              <w:top w:val="single" w:color="auto" w:sz="4" w:space="0"/>
              <w:left w:val="single" w:color="auto" w:sz="4" w:space="0"/>
              <w:bottom w:val="single" w:color="auto" w:sz="4" w:space="0"/>
              <w:right w:val="single" w:color="auto" w:sz="4" w:space="0"/>
            </w:tcBorders>
            <w:vAlign w:val="center"/>
          </w:tcPr>
          <w:p w14:paraId="7C829C7C">
            <w:pPr>
              <w:pStyle w:val="445"/>
              <w:rPr>
                <w:rFonts w:eastAsia="等线" w:cs="Times New Roman"/>
                <w:kern w:val="0"/>
                <w:szCs w:val="20"/>
              </w:rPr>
            </w:pPr>
            <w:r>
              <w:rPr>
                <w:rFonts w:hint="eastAsia" w:eastAsia="等线" w:cs="Times New Roman"/>
                <w:kern w:val="0"/>
                <w:szCs w:val="20"/>
              </w:rPr>
              <w:t>G</w:t>
            </w:r>
            <w:r>
              <w:rPr>
                <w:rFonts w:eastAsia="等线" w:cs="Times New Roman"/>
                <w:kern w:val="0"/>
                <w:szCs w:val="20"/>
              </w:rPr>
              <w:t>1</w:t>
            </w:r>
          </w:p>
        </w:tc>
        <w:tc>
          <w:tcPr>
            <w:tcW w:w="1099" w:type="pct"/>
            <w:tcBorders>
              <w:top w:val="single" w:color="auto" w:sz="4" w:space="0"/>
              <w:left w:val="single" w:color="auto" w:sz="4" w:space="0"/>
              <w:bottom w:val="single" w:color="auto" w:sz="4" w:space="0"/>
              <w:right w:val="single" w:color="auto" w:sz="4" w:space="0"/>
            </w:tcBorders>
            <w:vAlign w:val="center"/>
          </w:tcPr>
          <w:p w14:paraId="39BA2A9F">
            <w:pPr>
              <w:pStyle w:val="445"/>
              <w:rPr>
                <w:rFonts w:eastAsia="等线" w:cs="Times New Roman"/>
                <w:kern w:val="0"/>
                <w:szCs w:val="20"/>
              </w:rPr>
            </w:pPr>
            <w:r>
              <w:rPr>
                <w:rFonts w:hint="eastAsia" w:eastAsia="等线" w:cs="Times New Roman"/>
                <w:kern w:val="0"/>
                <w:szCs w:val="20"/>
              </w:rPr>
              <w:t>G</w:t>
            </w:r>
            <w:r>
              <w:rPr>
                <w:rFonts w:eastAsia="等线" w:cs="Times New Roman"/>
                <w:kern w:val="0"/>
                <w:szCs w:val="20"/>
              </w:rPr>
              <w:t>2</w:t>
            </w:r>
          </w:p>
        </w:tc>
        <w:tc>
          <w:tcPr>
            <w:tcW w:w="995" w:type="pct"/>
            <w:tcBorders>
              <w:top w:val="single" w:color="auto" w:sz="4" w:space="0"/>
              <w:left w:val="single" w:color="auto" w:sz="4" w:space="0"/>
              <w:bottom w:val="single" w:color="auto" w:sz="4" w:space="0"/>
              <w:right w:val="nil"/>
            </w:tcBorders>
            <w:vAlign w:val="center"/>
          </w:tcPr>
          <w:p w14:paraId="3601ED0E">
            <w:pPr>
              <w:pStyle w:val="445"/>
              <w:rPr>
                <w:rFonts w:eastAsia="等线" w:cs="Times New Roman"/>
                <w:kern w:val="0"/>
                <w:szCs w:val="20"/>
              </w:rPr>
            </w:pPr>
            <w:r>
              <w:rPr>
                <w:rFonts w:hint="eastAsia" w:eastAsia="等线" w:cs="Times New Roman"/>
                <w:kern w:val="0"/>
                <w:szCs w:val="20"/>
              </w:rPr>
              <w:t>G</w:t>
            </w:r>
            <w:r>
              <w:rPr>
                <w:rFonts w:eastAsia="等线" w:cs="Times New Roman"/>
                <w:kern w:val="0"/>
                <w:szCs w:val="20"/>
              </w:rPr>
              <w:t>3</w:t>
            </w:r>
          </w:p>
        </w:tc>
      </w:tr>
      <w:tr w14:paraId="1D620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884" w:type="pct"/>
            <w:tcBorders>
              <w:top w:val="single" w:color="auto" w:sz="4" w:space="0"/>
              <w:left w:val="nil"/>
              <w:bottom w:val="single" w:color="auto" w:sz="4" w:space="0"/>
              <w:right w:val="single" w:color="auto" w:sz="4" w:space="0"/>
            </w:tcBorders>
            <w:vAlign w:val="center"/>
          </w:tcPr>
          <w:p w14:paraId="4BCA4E81">
            <w:pPr>
              <w:pStyle w:val="445"/>
              <w:rPr>
                <w:rFonts w:eastAsia="等线" w:cs="Times New Roman"/>
                <w:kern w:val="0"/>
                <w:szCs w:val="20"/>
              </w:rPr>
            </w:pPr>
            <w:r>
              <w:rPr>
                <w:rFonts w:hint="eastAsia" w:eastAsia="等线" w:cs="Times New Roman"/>
                <w:kern w:val="0"/>
                <w:szCs w:val="20"/>
              </w:rPr>
              <w:t>D</w:t>
            </w:r>
            <w:r>
              <w:rPr>
                <w:rFonts w:eastAsia="等线" w:cs="Times New Roman"/>
                <w:kern w:val="0"/>
                <w:szCs w:val="20"/>
              </w:rPr>
              <w:t>1</w:t>
            </w:r>
          </w:p>
        </w:tc>
        <w:tc>
          <w:tcPr>
            <w:tcW w:w="1021" w:type="pct"/>
            <w:tcBorders>
              <w:top w:val="single" w:color="auto" w:sz="4" w:space="0"/>
              <w:left w:val="single" w:color="auto" w:sz="4" w:space="0"/>
              <w:bottom w:val="single" w:color="auto" w:sz="4" w:space="0"/>
              <w:right w:val="single" w:color="auto" w:sz="4" w:space="0"/>
            </w:tcBorders>
            <w:vAlign w:val="center"/>
          </w:tcPr>
          <w:p w14:paraId="2B3292B8">
            <w:pPr>
              <w:pStyle w:val="445"/>
              <w:rPr>
                <w:rFonts w:eastAsia="等线" w:cs="Times New Roman"/>
                <w:kern w:val="0"/>
                <w:szCs w:val="20"/>
              </w:rPr>
            </w:pPr>
            <w:r>
              <w:rPr>
                <w:rFonts w:eastAsia="等线" w:cs="Times New Roman"/>
                <w:kern w:val="0"/>
                <w:szCs w:val="20"/>
              </w:rPr>
              <w:t>E1</w:t>
            </w:r>
          </w:p>
        </w:tc>
        <w:tc>
          <w:tcPr>
            <w:tcW w:w="1099" w:type="pct"/>
            <w:tcBorders>
              <w:top w:val="single" w:color="auto" w:sz="4" w:space="0"/>
              <w:left w:val="single" w:color="auto" w:sz="4" w:space="0"/>
              <w:bottom w:val="single" w:color="auto" w:sz="4" w:space="0"/>
              <w:right w:val="single" w:color="auto" w:sz="4" w:space="0"/>
            </w:tcBorders>
            <w:vAlign w:val="center"/>
          </w:tcPr>
          <w:p w14:paraId="4E335DE2">
            <w:pPr>
              <w:pStyle w:val="445"/>
              <w:rPr>
                <w:rFonts w:eastAsia="等线" w:cs="Times New Roman"/>
                <w:kern w:val="0"/>
                <w:szCs w:val="20"/>
              </w:rPr>
            </w:pPr>
            <w:r>
              <w:rPr>
                <w:rFonts w:eastAsia="等线" w:cs="Times New Roman"/>
                <w:kern w:val="0"/>
                <w:szCs w:val="20"/>
              </w:rPr>
              <w:t>E1</w:t>
            </w:r>
          </w:p>
        </w:tc>
        <w:tc>
          <w:tcPr>
            <w:tcW w:w="995" w:type="pct"/>
            <w:tcBorders>
              <w:top w:val="single" w:color="auto" w:sz="4" w:space="0"/>
              <w:left w:val="single" w:color="auto" w:sz="4" w:space="0"/>
              <w:bottom w:val="single" w:color="auto" w:sz="4" w:space="0"/>
              <w:right w:val="nil"/>
            </w:tcBorders>
            <w:vAlign w:val="center"/>
          </w:tcPr>
          <w:p w14:paraId="23A5740E">
            <w:pPr>
              <w:pStyle w:val="445"/>
              <w:rPr>
                <w:rFonts w:eastAsia="等线" w:cs="Times New Roman"/>
                <w:kern w:val="0"/>
                <w:szCs w:val="20"/>
              </w:rPr>
            </w:pPr>
            <w:r>
              <w:rPr>
                <w:rFonts w:eastAsia="等线" w:cs="Times New Roman"/>
                <w:kern w:val="0"/>
                <w:szCs w:val="20"/>
              </w:rPr>
              <w:t>E2</w:t>
            </w:r>
          </w:p>
        </w:tc>
      </w:tr>
      <w:tr w14:paraId="77045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884" w:type="pct"/>
            <w:tcBorders>
              <w:top w:val="single" w:color="auto" w:sz="4" w:space="0"/>
              <w:left w:val="nil"/>
              <w:bottom w:val="single" w:color="auto" w:sz="4" w:space="0"/>
              <w:right w:val="single" w:color="auto" w:sz="4" w:space="0"/>
            </w:tcBorders>
            <w:vAlign w:val="center"/>
          </w:tcPr>
          <w:p w14:paraId="547891E7">
            <w:pPr>
              <w:pStyle w:val="445"/>
              <w:rPr>
                <w:rFonts w:eastAsia="等线" w:cs="Times New Roman"/>
                <w:kern w:val="0"/>
                <w:szCs w:val="20"/>
              </w:rPr>
            </w:pPr>
            <w:r>
              <w:rPr>
                <w:rFonts w:hint="eastAsia" w:eastAsia="等线" w:cs="Times New Roman"/>
                <w:kern w:val="0"/>
                <w:szCs w:val="20"/>
              </w:rPr>
              <w:t>D</w:t>
            </w:r>
            <w:r>
              <w:rPr>
                <w:rFonts w:eastAsia="等线" w:cs="Times New Roman"/>
                <w:kern w:val="0"/>
                <w:szCs w:val="20"/>
              </w:rPr>
              <w:t>2</w:t>
            </w:r>
          </w:p>
        </w:tc>
        <w:tc>
          <w:tcPr>
            <w:tcW w:w="1021" w:type="pct"/>
            <w:tcBorders>
              <w:top w:val="single" w:color="auto" w:sz="4" w:space="0"/>
              <w:left w:val="single" w:color="auto" w:sz="4" w:space="0"/>
              <w:bottom w:val="single" w:color="auto" w:sz="4" w:space="0"/>
              <w:right w:val="single" w:color="auto" w:sz="4" w:space="0"/>
            </w:tcBorders>
            <w:vAlign w:val="center"/>
          </w:tcPr>
          <w:p w14:paraId="3082256F">
            <w:pPr>
              <w:pStyle w:val="445"/>
              <w:rPr>
                <w:rFonts w:eastAsia="等线" w:cs="Times New Roman"/>
                <w:kern w:val="0"/>
                <w:szCs w:val="20"/>
              </w:rPr>
            </w:pPr>
            <w:r>
              <w:rPr>
                <w:rFonts w:eastAsia="等线" w:cs="Times New Roman"/>
                <w:kern w:val="0"/>
                <w:szCs w:val="20"/>
              </w:rPr>
              <w:t>E1</w:t>
            </w:r>
          </w:p>
        </w:tc>
        <w:tc>
          <w:tcPr>
            <w:tcW w:w="1099" w:type="pct"/>
            <w:tcBorders>
              <w:top w:val="single" w:color="auto" w:sz="4" w:space="0"/>
              <w:left w:val="single" w:color="auto" w:sz="4" w:space="0"/>
              <w:bottom w:val="single" w:color="auto" w:sz="4" w:space="0"/>
              <w:right w:val="single" w:color="auto" w:sz="4" w:space="0"/>
            </w:tcBorders>
            <w:vAlign w:val="center"/>
          </w:tcPr>
          <w:p w14:paraId="0BE2D6FD">
            <w:pPr>
              <w:pStyle w:val="445"/>
              <w:rPr>
                <w:rFonts w:eastAsia="等线" w:cs="Times New Roman"/>
                <w:kern w:val="0"/>
                <w:szCs w:val="20"/>
              </w:rPr>
            </w:pPr>
            <w:r>
              <w:rPr>
                <w:rFonts w:eastAsia="等线" w:cs="Times New Roman"/>
                <w:kern w:val="0"/>
                <w:szCs w:val="20"/>
              </w:rPr>
              <w:t>E2</w:t>
            </w:r>
          </w:p>
        </w:tc>
        <w:tc>
          <w:tcPr>
            <w:tcW w:w="995" w:type="pct"/>
            <w:tcBorders>
              <w:top w:val="single" w:color="auto" w:sz="4" w:space="0"/>
              <w:left w:val="single" w:color="auto" w:sz="4" w:space="0"/>
              <w:bottom w:val="single" w:color="auto" w:sz="4" w:space="0"/>
              <w:right w:val="nil"/>
            </w:tcBorders>
            <w:vAlign w:val="center"/>
          </w:tcPr>
          <w:p w14:paraId="185E5C36">
            <w:pPr>
              <w:pStyle w:val="445"/>
              <w:rPr>
                <w:rFonts w:eastAsia="等线" w:cs="Times New Roman"/>
                <w:kern w:val="0"/>
                <w:szCs w:val="20"/>
              </w:rPr>
            </w:pPr>
            <w:r>
              <w:rPr>
                <w:rFonts w:eastAsia="等线" w:cs="Times New Roman"/>
                <w:kern w:val="0"/>
                <w:szCs w:val="20"/>
              </w:rPr>
              <w:t>E3</w:t>
            </w:r>
          </w:p>
        </w:tc>
      </w:tr>
      <w:tr w14:paraId="4DE410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884" w:type="pct"/>
            <w:tcBorders>
              <w:top w:val="single" w:color="auto" w:sz="4" w:space="0"/>
              <w:left w:val="nil"/>
              <w:bottom w:val="single" w:color="auto" w:sz="12" w:space="0"/>
              <w:right w:val="single" w:color="auto" w:sz="4" w:space="0"/>
            </w:tcBorders>
            <w:vAlign w:val="center"/>
          </w:tcPr>
          <w:p w14:paraId="7C45F166">
            <w:pPr>
              <w:pStyle w:val="445"/>
              <w:rPr>
                <w:rFonts w:eastAsia="等线" w:cs="Times New Roman"/>
                <w:kern w:val="0"/>
                <w:szCs w:val="20"/>
              </w:rPr>
            </w:pPr>
            <w:r>
              <w:rPr>
                <w:rFonts w:hint="eastAsia" w:eastAsia="等线" w:cs="Times New Roman"/>
                <w:kern w:val="0"/>
                <w:szCs w:val="20"/>
              </w:rPr>
              <w:t>D</w:t>
            </w:r>
            <w:r>
              <w:rPr>
                <w:rFonts w:eastAsia="等线" w:cs="Times New Roman"/>
                <w:kern w:val="0"/>
                <w:szCs w:val="20"/>
              </w:rPr>
              <w:t>3</w:t>
            </w:r>
          </w:p>
        </w:tc>
        <w:tc>
          <w:tcPr>
            <w:tcW w:w="1021" w:type="pct"/>
            <w:tcBorders>
              <w:top w:val="single" w:color="auto" w:sz="4" w:space="0"/>
              <w:left w:val="single" w:color="auto" w:sz="4" w:space="0"/>
              <w:bottom w:val="single" w:color="auto" w:sz="12" w:space="0"/>
              <w:right w:val="single" w:color="auto" w:sz="4" w:space="0"/>
            </w:tcBorders>
            <w:vAlign w:val="center"/>
          </w:tcPr>
          <w:p w14:paraId="224ACEC4">
            <w:pPr>
              <w:pStyle w:val="445"/>
              <w:rPr>
                <w:rFonts w:eastAsia="等线" w:cs="Times New Roman"/>
                <w:kern w:val="0"/>
                <w:szCs w:val="20"/>
              </w:rPr>
            </w:pPr>
            <w:r>
              <w:rPr>
                <w:rFonts w:eastAsia="等线" w:cs="Times New Roman"/>
                <w:kern w:val="0"/>
                <w:szCs w:val="20"/>
              </w:rPr>
              <w:t>E1</w:t>
            </w:r>
          </w:p>
        </w:tc>
        <w:tc>
          <w:tcPr>
            <w:tcW w:w="1099" w:type="pct"/>
            <w:tcBorders>
              <w:top w:val="single" w:color="auto" w:sz="4" w:space="0"/>
              <w:left w:val="single" w:color="auto" w:sz="4" w:space="0"/>
              <w:bottom w:val="single" w:color="auto" w:sz="12" w:space="0"/>
              <w:right w:val="single" w:color="auto" w:sz="4" w:space="0"/>
            </w:tcBorders>
            <w:vAlign w:val="center"/>
          </w:tcPr>
          <w:p w14:paraId="2AEB00A8">
            <w:pPr>
              <w:pStyle w:val="445"/>
              <w:rPr>
                <w:rFonts w:eastAsia="等线" w:cs="Times New Roman"/>
                <w:kern w:val="0"/>
                <w:szCs w:val="20"/>
              </w:rPr>
            </w:pPr>
            <w:r>
              <w:rPr>
                <w:rFonts w:eastAsia="等线" w:cs="Times New Roman"/>
                <w:kern w:val="0"/>
                <w:szCs w:val="20"/>
              </w:rPr>
              <w:t>E2</w:t>
            </w:r>
          </w:p>
        </w:tc>
        <w:tc>
          <w:tcPr>
            <w:tcW w:w="995" w:type="pct"/>
            <w:tcBorders>
              <w:top w:val="single" w:color="auto" w:sz="4" w:space="0"/>
              <w:left w:val="single" w:color="auto" w:sz="4" w:space="0"/>
              <w:bottom w:val="single" w:color="auto" w:sz="12" w:space="0"/>
              <w:right w:val="nil"/>
            </w:tcBorders>
            <w:vAlign w:val="center"/>
          </w:tcPr>
          <w:p w14:paraId="14850380">
            <w:pPr>
              <w:pStyle w:val="445"/>
              <w:rPr>
                <w:rFonts w:eastAsia="等线" w:cs="Times New Roman"/>
                <w:kern w:val="0"/>
                <w:szCs w:val="20"/>
              </w:rPr>
            </w:pPr>
            <w:r>
              <w:rPr>
                <w:rFonts w:eastAsia="等线" w:cs="Times New Roman"/>
                <w:kern w:val="0"/>
                <w:szCs w:val="20"/>
              </w:rPr>
              <w:t>E3</w:t>
            </w:r>
          </w:p>
        </w:tc>
      </w:tr>
    </w:tbl>
    <w:p w14:paraId="615868BD">
      <w:pPr>
        <w:ind w:firstLine="480"/>
        <w:rPr>
          <w:rFonts w:cs="Times New Roman"/>
          <w:b/>
          <w:bCs/>
          <w:color w:val="0000FF"/>
        </w:rPr>
      </w:pPr>
      <w:r>
        <w:rPr>
          <w:rFonts w:hint="eastAsia"/>
        </w:rPr>
        <w:t>由区域地下水功能敏感性分区和包气带防污性能分级可知，区域地下水环境环境敏感程度判定为</w:t>
      </w:r>
      <w:r>
        <w:t>E3</w:t>
      </w:r>
      <w:r>
        <w:rPr>
          <w:rFonts w:hint="eastAsia"/>
        </w:rPr>
        <w:t>。</w:t>
      </w:r>
    </w:p>
    <w:p w14:paraId="2D0F654C">
      <w:pPr>
        <w:ind w:firstLine="0" w:firstLineChars="0"/>
        <w:rPr>
          <w:b/>
        </w:rPr>
      </w:pPr>
      <w:r>
        <w:rPr>
          <w:b/>
        </w:rPr>
        <w:t>2.3.1.5.3环境风险潜势判断</w:t>
      </w:r>
    </w:p>
    <w:p w14:paraId="3C6B4E93">
      <w:pPr>
        <w:ind w:firstLine="480"/>
      </w:pPr>
      <w:r>
        <w:rPr>
          <w:rFonts w:ascii="宋体" w:hAnsi="宋体"/>
        </w:rPr>
        <w:t>根据《建设项目环境风险评价技术导则》</w:t>
      </w:r>
      <w:r>
        <w:t>(HJ169-2018)</w:t>
      </w:r>
      <w:r>
        <w:rPr>
          <w:rFonts w:ascii="宋体" w:hAnsi="宋体"/>
        </w:rPr>
        <w:t>划分依据，本项目</w:t>
      </w:r>
      <w:r>
        <w:rPr>
          <w:rFonts w:hint="eastAsia" w:ascii="宋体" w:hAnsi="宋体"/>
        </w:rPr>
        <w:t>大气环境风险潜势为</w:t>
      </w:r>
      <w:r>
        <w:rPr>
          <w:rFonts w:hint="eastAsia"/>
        </w:rPr>
        <w:t>Ⅳ</w:t>
      </w:r>
      <w:r>
        <w:rPr>
          <w:rFonts w:hint="eastAsia" w:ascii="宋体" w:hAnsi="宋体"/>
        </w:rPr>
        <w:t>级，地表水环境风险潜势为</w:t>
      </w:r>
      <w:r>
        <w:rPr>
          <w:rFonts w:hint="eastAsia"/>
        </w:rPr>
        <w:t>Ⅲ</w:t>
      </w:r>
      <w:r>
        <w:rPr>
          <w:rFonts w:hint="eastAsia" w:ascii="宋体" w:hAnsi="宋体"/>
        </w:rPr>
        <w:t>级，地下水环境风险潜势为</w:t>
      </w:r>
      <w:r>
        <w:rPr>
          <w:rFonts w:hint="eastAsia"/>
        </w:rPr>
        <w:t>Ⅲ</w:t>
      </w:r>
      <w:r>
        <w:rPr>
          <w:rFonts w:hint="eastAsia" w:ascii="宋体" w:hAnsi="宋体"/>
        </w:rPr>
        <w:t>级</w:t>
      </w:r>
      <w:r>
        <w:rPr>
          <w:rFonts w:ascii="宋体" w:hAnsi="宋体"/>
        </w:rPr>
        <w:t>。</w:t>
      </w:r>
      <w:r>
        <w:rPr>
          <w:rFonts w:hint="eastAsia"/>
        </w:rPr>
        <w:t>扩建</w:t>
      </w:r>
      <w:r>
        <w:rPr>
          <w:rFonts w:ascii="宋体" w:hAnsi="宋体"/>
        </w:rPr>
        <w:t>项目环境风险潜势划分结果见表</w:t>
      </w:r>
      <w:r>
        <w:t>2.3.1-18</w:t>
      </w:r>
      <w:r>
        <w:rPr>
          <w:rFonts w:ascii="宋体" w:hAnsi="宋体"/>
        </w:rPr>
        <w:t>。</w:t>
      </w:r>
    </w:p>
    <w:p w14:paraId="7BB231EB">
      <w:pPr>
        <w:pStyle w:val="278"/>
      </w:pPr>
      <w:r>
        <w:rPr>
          <w:rFonts w:ascii="黑体" w:hAnsi="黑体"/>
        </w:rPr>
        <w:t>表</w:t>
      </w:r>
      <w:r>
        <w:t xml:space="preserve">2.3.1-18  </w:t>
      </w:r>
      <w:r>
        <w:rPr>
          <w:rFonts w:hint="eastAsia"/>
        </w:rPr>
        <w:t>扩建</w:t>
      </w:r>
      <w:r>
        <w:rPr>
          <w:rFonts w:ascii="黑体" w:hAnsi="黑体"/>
        </w:rPr>
        <w:t>项目</w:t>
      </w:r>
      <w:r>
        <w:rPr>
          <w:rFonts w:hint="eastAsia" w:ascii="黑体" w:hAnsi="黑体"/>
        </w:rPr>
        <w:t>环境风险</w:t>
      </w:r>
      <w:r>
        <w:rPr>
          <w:rFonts w:ascii="黑体" w:hAnsi="黑体"/>
        </w:rPr>
        <w:t>潜势划分</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2081"/>
        <w:gridCol w:w="1608"/>
        <w:gridCol w:w="1610"/>
        <w:gridCol w:w="1608"/>
        <w:gridCol w:w="1609"/>
      </w:tblGrid>
      <w:tr w14:paraId="3F7AE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93" w:type="pct"/>
            <w:vMerge w:val="restart"/>
            <w:vAlign w:val="center"/>
          </w:tcPr>
          <w:p w14:paraId="7E320060">
            <w:pPr>
              <w:pStyle w:val="445"/>
              <w:rPr>
                <w:rFonts w:cs="Times New Roman"/>
                <w:kern w:val="0"/>
                <w:szCs w:val="20"/>
              </w:rPr>
            </w:pPr>
            <w:r>
              <w:rPr>
                <w:rFonts w:cs="Times New Roman"/>
                <w:kern w:val="0"/>
                <w:szCs w:val="20"/>
              </w:rPr>
              <w:t>类别</w:t>
            </w:r>
          </w:p>
        </w:tc>
        <w:tc>
          <w:tcPr>
            <w:tcW w:w="1126" w:type="pct"/>
            <w:vMerge w:val="restart"/>
            <w:vAlign w:val="center"/>
          </w:tcPr>
          <w:p w14:paraId="5F455464">
            <w:pPr>
              <w:pStyle w:val="445"/>
              <w:rPr>
                <w:rFonts w:cs="Times New Roman"/>
                <w:kern w:val="0"/>
                <w:szCs w:val="20"/>
              </w:rPr>
            </w:pPr>
            <w:r>
              <w:rPr>
                <w:rFonts w:cs="Times New Roman"/>
                <w:kern w:val="0"/>
                <w:szCs w:val="20"/>
              </w:rPr>
              <w:t>环境敏感程度E</w:t>
            </w:r>
          </w:p>
        </w:tc>
        <w:tc>
          <w:tcPr>
            <w:tcW w:w="3482" w:type="pct"/>
            <w:gridSpan w:val="4"/>
            <w:vAlign w:val="center"/>
          </w:tcPr>
          <w:p w14:paraId="01C3615D">
            <w:pPr>
              <w:pStyle w:val="445"/>
              <w:rPr>
                <w:rFonts w:cs="Times New Roman"/>
                <w:kern w:val="0"/>
                <w:szCs w:val="20"/>
              </w:rPr>
            </w:pPr>
            <w:r>
              <w:rPr>
                <w:rFonts w:cs="Times New Roman"/>
                <w:kern w:val="0"/>
                <w:szCs w:val="20"/>
              </w:rPr>
              <w:t>危险物质及工艺系统危害性P</w:t>
            </w:r>
          </w:p>
        </w:tc>
      </w:tr>
      <w:tr w14:paraId="61662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0" w:type="auto"/>
            <w:vMerge w:val="continue"/>
            <w:vAlign w:val="center"/>
          </w:tcPr>
          <w:p w14:paraId="6944CD24">
            <w:pPr>
              <w:pStyle w:val="445"/>
              <w:rPr>
                <w:rFonts w:cs="Times New Roman"/>
                <w:kern w:val="0"/>
                <w:szCs w:val="20"/>
              </w:rPr>
            </w:pPr>
          </w:p>
        </w:tc>
        <w:tc>
          <w:tcPr>
            <w:tcW w:w="0" w:type="auto"/>
            <w:vMerge w:val="continue"/>
            <w:vAlign w:val="center"/>
          </w:tcPr>
          <w:p w14:paraId="0F7EC0E9">
            <w:pPr>
              <w:pStyle w:val="445"/>
              <w:rPr>
                <w:rFonts w:cs="Times New Roman"/>
                <w:kern w:val="0"/>
                <w:szCs w:val="20"/>
              </w:rPr>
            </w:pPr>
          </w:p>
        </w:tc>
        <w:tc>
          <w:tcPr>
            <w:tcW w:w="870" w:type="pct"/>
            <w:vAlign w:val="center"/>
          </w:tcPr>
          <w:p w14:paraId="0CBB7487">
            <w:pPr>
              <w:pStyle w:val="445"/>
              <w:rPr>
                <w:rFonts w:cs="Times New Roman"/>
                <w:kern w:val="0"/>
                <w:szCs w:val="20"/>
              </w:rPr>
            </w:pPr>
            <w:r>
              <w:rPr>
                <w:rFonts w:cs="Times New Roman"/>
                <w:kern w:val="0"/>
                <w:szCs w:val="20"/>
              </w:rPr>
              <w:t>极高危害P1</w:t>
            </w:r>
          </w:p>
        </w:tc>
        <w:tc>
          <w:tcPr>
            <w:tcW w:w="871" w:type="pct"/>
            <w:vAlign w:val="center"/>
          </w:tcPr>
          <w:p w14:paraId="0E721645">
            <w:pPr>
              <w:pStyle w:val="445"/>
              <w:rPr>
                <w:rFonts w:cs="Times New Roman"/>
                <w:kern w:val="0"/>
                <w:szCs w:val="20"/>
              </w:rPr>
            </w:pPr>
            <w:r>
              <w:rPr>
                <w:rFonts w:cs="Times New Roman"/>
                <w:kern w:val="0"/>
                <w:szCs w:val="20"/>
              </w:rPr>
              <w:t>高度危害P2</w:t>
            </w:r>
          </w:p>
        </w:tc>
        <w:tc>
          <w:tcPr>
            <w:tcW w:w="870" w:type="pct"/>
            <w:vAlign w:val="center"/>
          </w:tcPr>
          <w:p w14:paraId="49CD0386">
            <w:pPr>
              <w:pStyle w:val="445"/>
              <w:rPr>
                <w:rFonts w:cs="Times New Roman"/>
                <w:kern w:val="0"/>
                <w:szCs w:val="20"/>
              </w:rPr>
            </w:pPr>
            <w:r>
              <w:rPr>
                <w:rFonts w:cs="Times New Roman"/>
                <w:kern w:val="0"/>
                <w:szCs w:val="20"/>
              </w:rPr>
              <w:t>中度危害P3</w:t>
            </w:r>
          </w:p>
        </w:tc>
        <w:tc>
          <w:tcPr>
            <w:tcW w:w="870" w:type="pct"/>
            <w:vAlign w:val="center"/>
          </w:tcPr>
          <w:p w14:paraId="590CF6D5">
            <w:pPr>
              <w:pStyle w:val="445"/>
              <w:rPr>
                <w:rFonts w:cs="Times New Roman"/>
                <w:kern w:val="0"/>
                <w:szCs w:val="20"/>
              </w:rPr>
            </w:pPr>
            <w:r>
              <w:rPr>
                <w:rFonts w:cs="Times New Roman"/>
                <w:kern w:val="0"/>
                <w:szCs w:val="20"/>
              </w:rPr>
              <w:t>轻度危害P4</w:t>
            </w:r>
          </w:p>
        </w:tc>
      </w:tr>
      <w:tr w14:paraId="09718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93" w:type="pct"/>
            <w:vMerge w:val="restart"/>
            <w:vAlign w:val="center"/>
          </w:tcPr>
          <w:p w14:paraId="277300BB">
            <w:pPr>
              <w:pStyle w:val="445"/>
              <w:rPr>
                <w:rFonts w:cs="Times New Roman"/>
                <w:kern w:val="0"/>
                <w:szCs w:val="20"/>
              </w:rPr>
            </w:pPr>
            <w:r>
              <w:rPr>
                <w:rFonts w:cs="Times New Roman"/>
                <w:kern w:val="0"/>
                <w:szCs w:val="20"/>
              </w:rPr>
              <w:t>环境空气</w:t>
            </w:r>
          </w:p>
        </w:tc>
        <w:tc>
          <w:tcPr>
            <w:tcW w:w="1126" w:type="pct"/>
            <w:vAlign w:val="center"/>
          </w:tcPr>
          <w:p w14:paraId="01EFD776">
            <w:pPr>
              <w:pStyle w:val="445"/>
              <w:rPr>
                <w:rFonts w:cs="Times New Roman"/>
                <w:kern w:val="0"/>
                <w:szCs w:val="20"/>
              </w:rPr>
            </w:pPr>
            <w:r>
              <w:rPr>
                <w:rFonts w:cs="Times New Roman"/>
                <w:kern w:val="0"/>
                <w:szCs w:val="20"/>
              </w:rPr>
              <w:t>环境高度敏感区E1</w:t>
            </w:r>
          </w:p>
        </w:tc>
        <w:tc>
          <w:tcPr>
            <w:tcW w:w="870" w:type="pct"/>
            <w:vAlign w:val="center"/>
          </w:tcPr>
          <w:p w14:paraId="69296EF4">
            <w:pPr>
              <w:pStyle w:val="445"/>
              <w:rPr>
                <w:rFonts w:cs="Times New Roman"/>
                <w:kern w:val="0"/>
                <w:szCs w:val="20"/>
              </w:rPr>
            </w:pPr>
            <w:r>
              <w:rPr>
                <w:rFonts w:cs="Times New Roman"/>
                <w:kern w:val="0"/>
                <w:szCs w:val="20"/>
              </w:rPr>
              <w:t>Ⅳ+</w:t>
            </w:r>
          </w:p>
        </w:tc>
        <w:tc>
          <w:tcPr>
            <w:tcW w:w="871" w:type="pct"/>
            <w:shd w:val="clear" w:color="auto" w:fill="7F7F7F" w:themeFill="background1" w:themeFillShade="80"/>
            <w:vAlign w:val="center"/>
          </w:tcPr>
          <w:p w14:paraId="75928378">
            <w:pPr>
              <w:pStyle w:val="445"/>
              <w:rPr>
                <w:rFonts w:cs="Times New Roman"/>
                <w:kern w:val="0"/>
                <w:szCs w:val="20"/>
              </w:rPr>
            </w:pPr>
            <w:r>
              <w:rPr>
                <w:rFonts w:cs="Times New Roman"/>
                <w:kern w:val="0"/>
                <w:szCs w:val="20"/>
              </w:rPr>
              <w:t>Ⅳ</w:t>
            </w:r>
          </w:p>
        </w:tc>
        <w:tc>
          <w:tcPr>
            <w:tcW w:w="870" w:type="pct"/>
            <w:vAlign w:val="center"/>
          </w:tcPr>
          <w:p w14:paraId="10CA9AF7">
            <w:pPr>
              <w:pStyle w:val="445"/>
              <w:rPr>
                <w:rFonts w:cs="Times New Roman"/>
                <w:kern w:val="0"/>
                <w:szCs w:val="20"/>
              </w:rPr>
            </w:pPr>
            <w:r>
              <w:rPr>
                <w:rFonts w:cs="Times New Roman"/>
                <w:kern w:val="0"/>
                <w:szCs w:val="20"/>
              </w:rPr>
              <w:t>Ⅲ</w:t>
            </w:r>
          </w:p>
        </w:tc>
        <w:tc>
          <w:tcPr>
            <w:tcW w:w="870" w:type="pct"/>
            <w:vAlign w:val="center"/>
          </w:tcPr>
          <w:p w14:paraId="47A7BFAF">
            <w:pPr>
              <w:pStyle w:val="445"/>
              <w:rPr>
                <w:rFonts w:cs="Times New Roman"/>
                <w:kern w:val="0"/>
                <w:szCs w:val="20"/>
              </w:rPr>
            </w:pPr>
            <w:r>
              <w:rPr>
                <w:rFonts w:cs="Times New Roman"/>
                <w:kern w:val="0"/>
                <w:szCs w:val="20"/>
              </w:rPr>
              <w:t>Ⅲ</w:t>
            </w:r>
          </w:p>
        </w:tc>
      </w:tr>
      <w:tr w14:paraId="408B3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0" w:type="auto"/>
            <w:vMerge w:val="continue"/>
            <w:vAlign w:val="center"/>
          </w:tcPr>
          <w:p w14:paraId="62739FAF">
            <w:pPr>
              <w:pStyle w:val="445"/>
              <w:rPr>
                <w:rFonts w:cs="Times New Roman"/>
                <w:kern w:val="0"/>
                <w:szCs w:val="20"/>
              </w:rPr>
            </w:pPr>
          </w:p>
        </w:tc>
        <w:tc>
          <w:tcPr>
            <w:tcW w:w="1126" w:type="pct"/>
            <w:vAlign w:val="center"/>
          </w:tcPr>
          <w:p w14:paraId="08C1EE78">
            <w:pPr>
              <w:pStyle w:val="445"/>
              <w:rPr>
                <w:rFonts w:cs="Times New Roman"/>
                <w:kern w:val="0"/>
                <w:szCs w:val="20"/>
              </w:rPr>
            </w:pPr>
            <w:r>
              <w:rPr>
                <w:rFonts w:cs="Times New Roman"/>
                <w:kern w:val="0"/>
                <w:szCs w:val="20"/>
              </w:rPr>
              <w:t>环境中度敏感区E2</w:t>
            </w:r>
          </w:p>
        </w:tc>
        <w:tc>
          <w:tcPr>
            <w:tcW w:w="870" w:type="pct"/>
            <w:vAlign w:val="center"/>
          </w:tcPr>
          <w:p w14:paraId="12E628AB">
            <w:pPr>
              <w:pStyle w:val="445"/>
              <w:rPr>
                <w:rFonts w:cs="Times New Roman"/>
                <w:kern w:val="0"/>
                <w:szCs w:val="20"/>
              </w:rPr>
            </w:pPr>
            <w:r>
              <w:rPr>
                <w:rFonts w:cs="Times New Roman"/>
                <w:kern w:val="0"/>
                <w:szCs w:val="20"/>
              </w:rPr>
              <w:t>Ⅳ</w:t>
            </w:r>
          </w:p>
        </w:tc>
        <w:tc>
          <w:tcPr>
            <w:tcW w:w="871" w:type="pct"/>
            <w:vAlign w:val="center"/>
          </w:tcPr>
          <w:p w14:paraId="22B2EF01">
            <w:pPr>
              <w:pStyle w:val="445"/>
              <w:rPr>
                <w:rFonts w:cs="Times New Roman"/>
                <w:kern w:val="0"/>
                <w:szCs w:val="20"/>
              </w:rPr>
            </w:pPr>
            <w:r>
              <w:rPr>
                <w:rFonts w:cs="Times New Roman"/>
                <w:kern w:val="0"/>
                <w:szCs w:val="20"/>
              </w:rPr>
              <w:t>Ⅲ</w:t>
            </w:r>
          </w:p>
        </w:tc>
        <w:tc>
          <w:tcPr>
            <w:tcW w:w="870" w:type="pct"/>
            <w:vAlign w:val="center"/>
          </w:tcPr>
          <w:p w14:paraId="4587CCC2">
            <w:pPr>
              <w:pStyle w:val="445"/>
              <w:rPr>
                <w:rFonts w:cs="Times New Roman"/>
                <w:kern w:val="0"/>
                <w:szCs w:val="20"/>
              </w:rPr>
            </w:pPr>
            <w:r>
              <w:rPr>
                <w:rFonts w:cs="Times New Roman"/>
                <w:kern w:val="0"/>
                <w:szCs w:val="20"/>
              </w:rPr>
              <w:t>Ⅲ</w:t>
            </w:r>
          </w:p>
        </w:tc>
        <w:tc>
          <w:tcPr>
            <w:tcW w:w="870" w:type="pct"/>
            <w:vAlign w:val="center"/>
          </w:tcPr>
          <w:p w14:paraId="05C70EB0">
            <w:pPr>
              <w:pStyle w:val="445"/>
              <w:rPr>
                <w:rFonts w:cs="Times New Roman"/>
                <w:kern w:val="0"/>
                <w:szCs w:val="20"/>
              </w:rPr>
            </w:pPr>
            <w:r>
              <w:rPr>
                <w:rFonts w:cs="Times New Roman"/>
                <w:kern w:val="0"/>
                <w:szCs w:val="20"/>
              </w:rPr>
              <w:t>Ⅱ</w:t>
            </w:r>
          </w:p>
        </w:tc>
      </w:tr>
      <w:tr w14:paraId="493CA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0" w:type="auto"/>
            <w:vMerge w:val="continue"/>
            <w:vAlign w:val="center"/>
          </w:tcPr>
          <w:p w14:paraId="370E0A2E">
            <w:pPr>
              <w:pStyle w:val="445"/>
              <w:rPr>
                <w:rFonts w:cs="Times New Roman"/>
                <w:kern w:val="0"/>
                <w:szCs w:val="20"/>
              </w:rPr>
            </w:pPr>
          </w:p>
        </w:tc>
        <w:tc>
          <w:tcPr>
            <w:tcW w:w="1126" w:type="pct"/>
            <w:vAlign w:val="center"/>
          </w:tcPr>
          <w:p w14:paraId="30A94E6B">
            <w:pPr>
              <w:pStyle w:val="445"/>
              <w:rPr>
                <w:rFonts w:cs="Times New Roman"/>
                <w:kern w:val="0"/>
                <w:szCs w:val="20"/>
              </w:rPr>
            </w:pPr>
            <w:r>
              <w:rPr>
                <w:rFonts w:cs="Times New Roman"/>
                <w:kern w:val="0"/>
                <w:szCs w:val="20"/>
              </w:rPr>
              <w:t>环境轻度敏感区E3</w:t>
            </w:r>
          </w:p>
        </w:tc>
        <w:tc>
          <w:tcPr>
            <w:tcW w:w="870" w:type="pct"/>
            <w:vAlign w:val="center"/>
          </w:tcPr>
          <w:p w14:paraId="6A323230">
            <w:pPr>
              <w:pStyle w:val="445"/>
              <w:rPr>
                <w:rFonts w:cs="Times New Roman"/>
                <w:kern w:val="0"/>
                <w:szCs w:val="20"/>
              </w:rPr>
            </w:pPr>
            <w:r>
              <w:rPr>
                <w:rFonts w:cs="Times New Roman"/>
                <w:kern w:val="0"/>
                <w:szCs w:val="20"/>
              </w:rPr>
              <w:t>Ⅲ</w:t>
            </w:r>
          </w:p>
        </w:tc>
        <w:tc>
          <w:tcPr>
            <w:tcW w:w="871" w:type="pct"/>
            <w:vAlign w:val="center"/>
          </w:tcPr>
          <w:p w14:paraId="22BC5B0B">
            <w:pPr>
              <w:pStyle w:val="445"/>
              <w:rPr>
                <w:rFonts w:cs="Times New Roman"/>
                <w:kern w:val="0"/>
                <w:szCs w:val="20"/>
              </w:rPr>
            </w:pPr>
            <w:r>
              <w:rPr>
                <w:rFonts w:cs="Times New Roman"/>
                <w:kern w:val="0"/>
                <w:szCs w:val="20"/>
              </w:rPr>
              <w:t>Ⅲ</w:t>
            </w:r>
          </w:p>
        </w:tc>
        <w:tc>
          <w:tcPr>
            <w:tcW w:w="870" w:type="pct"/>
            <w:vAlign w:val="center"/>
          </w:tcPr>
          <w:p w14:paraId="2EFD7549">
            <w:pPr>
              <w:pStyle w:val="445"/>
              <w:rPr>
                <w:rFonts w:cs="Times New Roman"/>
                <w:kern w:val="0"/>
                <w:szCs w:val="20"/>
              </w:rPr>
            </w:pPr>
            <w:r>
              <w:rPr>
                <w:rFonts w:cs="Times New Roman"/>
                <w:kern w:val="0"/>
                <w:szCs w:val="20"/>
              </w:rPr>
              <w:t>Ⅱ</w:t>
            </w:r>
          </w:p>
        </w:tc>
        <w:tc>
          <w:tcPr>
            <w:tcW w:w="870" w:type="pct"/>
            <w:vAlign w:val="center"/>
          </w:tcPr>
          <w:p w14:paraId="4C894584">
            <w:pPr>
              <w:pStyle w:val="445"/>
              <w:rPr>
                <w:rFonts w:cs="Times New Roman"/>
                <w:kern w:val="0"/>
                <w:szCs w:val="20"/>
              </w:rPr>
            </w:pPr>
            <w:r>
              <w:rPr>
                <w:rFonts w:cs="Times New Roman"/>
                <w:kern w:val="0"/>
                <w:szCs w:val="20"/>
              </w:rPr>
              <w:t>Ⅰ</w:t>
            </w:r>
          </w:p>
        </w:tc>
      </w:tr>
      <w:tr w14:paraId="1117C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93" w:type="pct"/>
            <w:vMerge w:val="restart"/>
            <w:vAlign w:val="center"/>
          </w:tcPr>
          <w:p w14:paraId="367360A3">
            <w:pPr>
              <w:pStyle w:val="445"/>
              <w:rPr>
                <w:rFonts w:cs="Times New Roman"/>
                <w:kern w:val="0"/>
                <w:szCs w:val="20"/>
              </w:rPr>
            </w:pPr>
            <w:r>
              <w:rPr>
                <w:rFonts w:cs="Times New Roman"/>
                <w:kern w:val="0"/>
                <w:szCs w:val="20"/>
              </w:rPr>
              <w:t>地表水</w:t>
            </w:r>
          </w:p>
        </w:tc>
        <w:tc>
          <w:tcPr>
            <w:tcW w:w="1126" w:type="pct"/>
            <w:vAlign w:val="center"/>
          </w:tcPr>
          <w:p w14:paraId="034F2496">
            <w:pPr>
              <w:pStyle w:val="445"/>
              <w:rPr>
                <w:rFonts w:cs="Times New Roman"/>
                <w:kern w:val="0"/>
                <w:szCs w:val="20"/>
              </w:rPr>
            </w:pPr>
            <w:r>
              <w:rPr>
                <w:rFonts w:cs="Times New Roman"/>
                <w:kern w:val="0"/>
                <w:szCs w:val="20"/>
              </w:rPr>
              <w:t>环境高度敏感区E1</w:t>
            </w:r>
          </w:p>
        </w:tc>
        <w:tc>
          <w:tcPr>
            <w:tcW w:w="870" w:type="pct"/>
            <w:vAlign w:val="center"/>
          </w:tcPr>
          <w:p w14:paraId="0E3B3A07">
            <w:pPr>
              <w:pStyle w:val="445"/>
              <w:rPr>
                <w:rFonts w:cs="Times New Roman"/>
                <w:kern w:val="0"/>
                <w:szCs w:val="20"/>
              </w:rPr>
            </w:pPr>
            <w:r>
              <w:rPr>
                <w:rFonts w:cs="Times New Roman"/>
                <w:kern w:val="0"/>
                <w:szCs w:val="20"/>
              </w:rPr>
              <w:t>Ⅳ+</w:t>
            </w:r>
          </w:p>
        </w:tc>
        <w:tc>
          <w:tcPr>
            <w:tcW w:w="871" w:type="pct"/>
            <w:vAlign w:val="center"/>
          </w:tcPr>
          <w:p w14:paraId="112DE67B">
            <w:pPr>
              <w:pStyle w:val="445"/>
              <w:rPr>
                <w:rFonts w:cs="Times New Roman"/>
                <w:kern w:val="0"/>
                <w:szCs w:val="20"/>
              </w:rPr>
            </w:pPr>
            <w:r>
              <w:rPr>
                <w:rFonts w:cs="Times New Roman"/>
                <w:kern w:val="0"/>
                <w:szCs w:val="20"/>
              </w:rPr>
              <w:t>Ⅳ</w:t>
            </w:r>
          </w:p>
        </w:tc>
        <w:tc>
          <w:tcPr>
            <w:tcW w:w="870" w:type="pct"/>
            <w:vAlign w:val="center"/>
          </w:tcPr>
          <w:p w14:paraId="28EFAF30">
            <w:pPr>
              <w:pStyle w:val="445"/>
              <w:rPr>
                <w:rFonts w:cs="Times New Roman"/>
                <w:kern w:val="0"/>
                <w:szCs w:val="20"/>
              </w:rPr>
            </w:pPr>
            <w:r>
              <w:rPr>
                <w:rFonts w:cs="Times New Roman"/>
                <w:kern w:val="0"/>
                <w:szCs w:val="20"/>
              </w:rPr>
              <w:t>Ⅲ</w:t>
            </w:r>
          </w:p>
        </w:tc>
        <w:tc>
          <w:tcPr>
            <w:tcW w:w="870" w:type="pct"/>
            <w:vAlign w:val="center"/>
          </w:tcPr>
          <w:p w14:paraId="0E208840">
            <w:pPr>
              <w:pStyle w:val="445"/>
              <w:rPr>
                <w:rFonts w:cs="Times New Roman"/>
                <w:kern w:val="0"/>
                <w:szCs w:val="20"/>
              </w:rPr>
            </w:pPr>
            <w:r>
              <w:rPr>
                <w:rFonts w:cs="Times New Roman"/>
                <w:kern w:val="0"/>
                <w:szCs w:val="20"/>
              </w:rPr>
              <w:t>Ⅲ</w:t>
            </w:r>
          </w:p>
        </w:tc>
      </w:tr>
      <w:tr w14:paraId="7B194E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0" w:type="auto"/>
            <w:vMerge w:val="continue"/>
            <w:vAlign w:val="center"/>
          </w:tcPr>
          <w:p w14:paraId="5766A1C4">
            <w:pPr>
              <w:pStyle w:val="445"/>
              <w:rPr>
                <w:rFonts w:cs="Times New Roman"/>
                <w:kern w:val="0"/>
                <w:szCs w:val="20"/>
              </w:rPr>
            </w:pPr>
          </w:p>
        </w:tc>
        <w:tc>
          <w:tcPr>
            <w:tcW w:w="1126" w:type="pct"/>
            <w:vAlign w:val="center"/>
          </w:tcPr>
          <w:p w14:paraId="1758AF60">
            <w:pPr>
              <w:pStyle w:val="445"/>
              <w:rPr>
                <w:rFonts w:cs="Times New Roman"/>
                <w:kern w:val="0"/>
                <w:szCs w:val="20"/>
              </w:rPr>
            </w:pPr>
            <w:r>
              <w:rPr>
                <w:rFonts w:cs="Times New Roman"/>
                <w:kern w:val="0"/>
                <w:szCs w:val="20"/>
              </w:rPr>
              <w:t>环境中度敏感区E2</w:t>
            </w:r>
          </w:p>
        </w:tc>
        <w:tc>
          <w:tcPr>
            <w:tcW w:w="870" w:type="pct"/>
            <w:vAlign w:val="center"/>
          </w:tcPr>
          <w:p w14:paraId="404CC12E">
            <w:pPr>
              <w:pStyle w:val="445"/>
              <w:rPr>
                <w:rFonts w:cs="Times New Roman"/>
                <w:kern w:val="0"/>
                <w:szCs w:val="20"/>
              </w:rPr>
            </w:pPr>
            <w:r>
              <w:rPr>
                <w:rFonts w:cs="Times New Roman"/>
                <w:kern w:val="0"/>
                <w:szCs w:val="20"/>
              </w:rPr>
              <w:t>Ⅳ</w:t>
            </w:r>
          </w:p>
        </w:tc>
        <w:tc>
          <w:tcPr>
            <w:tcW w:w="871" w:type="pct"/>
            <w:vAlign w:val="center"/>
          </w:tcPr>
          <w:p w14:paraId="5B9BCA3D">
            <w:pPr>
              <w:pStyle w:val="445"/>
              <w:rPr>
                <w:rFonts w:cs="Times New Roman"/>
                <w:kern w:val="0"/>
                <w:szCs w:val="20"/>
              </w:rPr>
            </w:pPr>
            <w:r>
              <w:rPr>
                <w:rFonts w:cs="Times New Roman"/>
                <w:kern w:val="0"/>
                <w:szCs w:val="20"/>
              </w:rPr>
              <w:t>Ⅲ</w:t>
            </w:r>
          </w:p>
        </w:tc>
        <w:tc>
          <w:tcPr>
            <w:tcW w:w="870" w:type="pct"/>
            <w:vAlign w:val="center"/>
          </w:tcPr>
          <w:p w14:paraId="02AA7FC6">
            <w:pPr>
              <w:pStyle w:val="445"/>
              <w:rPr>
                <w:rFonts w:cs="Times New Roman"/>
                <w:kern w:val="0"/>
                <w:szCs w:val="20"/>
              </w:rPr>
            </w:pPr>
            <w:r>
              <w:rPr>
                <w:rFonts w:cs="Times New Roman"/>
                <w:kern w:val="0"/>
                <w:szCs w:val="20"/>
              </w:rPr>
              <w:t>Ⅲ</w:t>
            </w:r>
          </w:p>
        </w:tc>
        <w:tc>
          <w:tcPr>
            <w:tcW w:w="870" w:type="pct"/>
            <w:vAlign w:val="center"/>
          </w:tcPr>
          <w:p w14:paraId="61F47AD6">
            <w:pPr>
              <w:pStyle w:val="445"/>
              <w:rPr>
                <w:rFonts w:cs="Times New Roman"/>
                <w:kern w:val="0"/>
                <w:szCs w:val="20"/>
              </w:rPr>
            </w:pPr>
            <w:r>
              <w:rPr>
                <w:rFonts w:cs="Times New Roman"/>
                <w:kern w:val="0"/>
                <w:szCs w:val="20"/>
              </w:rPr>
              <w:t>Ⅱ</w:t>
            </w:r>
          </w:p>
        </w:tc>
      </w:tr>
      <w:tr w14:paraId="0AA29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0" w:type="auto"/>
            <w:vMerge w:val="continue"/>
            <w:vAlign w:val="center"/>
          </w:tcPr>
          <w:p w14:paraId="14E60894">
            <w:pPr>
              <w:pStyle w:val="445"/>
              <w:rPr>
                <w:rFonts w:cs="Times New Roman"/>
                <w:kern w:val="0"/>
                <w:szCs w:val="20"/>
              </w:rPr>
            </w:pPr>
          </w:p>
        </w:tc>
        <w:tc>
          <w:tcPr>
            <w:tcW w:w="1126" w:type="pct"/>
            <w:vAlign w:val="center"/>
          </w:tcPr>
          <w:p w14:paraId="57E3DB86">
            <w:pPr>
              <w:pStyle w:val="445"/>
              <w:rPr>
                <w:rFonts w:cs="Times New Roman"/>
                <w:kern w:val="0"/>
                <w:szCs w:val="20"/>
              </w:rPr>
            </w:pPr>
            <w:r>
              <w:rPr>
                <w:rFonts w:cs="Times New Roman"/>
                <w:kern w:val="0"/>
                <w:szCs w:val="20"/>
              </w:rPr>
              <w:t>环境轻度敏感区E3</w:t>
            </w:r>
          </w:p>
        </w:tc>
        <w:tc>
          <w:tcPr>
            <w:tcW w:w="870" w:type="pct"/>
            <w:vAlign w:val="center"/>
          </w:tcPr>
          <w:p w14:paraId="5B6981A3">
            <w:pPr>
              <w:pStyle w:val="445"/>
              <w:rPr>
                <w:rFonts w:cs="Times New Roman"/>
                <w:kern w:val="0"/>
                <w:szCs w:val="20"/>
              </w:rPr>
            </w:pPr>
            <w:r>
              <w:rPr>
                <w:rFonts w:cs="Times New Roman"/>
                <w:kern w:val="0"/>
                <w:szCs w:val="20"/>
              </w:rPr>
              <w:t>Ⅲ</w:t>
            </w:r>
          </w:p>
        </w:tc>
        <w:tc>
          <w:tcPr>
            <w:tcW w:w="871" w:type="pct"/>
            <w:shd w:val="clear" w:color="auto" w:fill="7F7F7F" w:themeFill="background1" w:themeFillShade="80"/>
            <w:vAlign w:val="center"/>
          </w:tcPr>
          <w:p w14:paraId="799F41DF">
            <w:pPr>
              <w:pStyle w:val="445"/>
              <w:rPr>
                <w:rFonts w:cs="Times New Roman"/>
                <w:kern w:val="0"/>
                <w:szCs w:val="20"/>
              </w:rPr>
            </w:pPr>
            <w:r>
              <w:rPr>
                <w:rFonts w:cs="Times New Roman"/>
                <w:kern w:val="0"/>
                <w:szCs w:val="20"/>
              </w:rPr>
              <w:t>Ⅲ</w:t>
            </w:r>
          </w:p>
        </w:tc>
        <w:tc>
          <w:tcPr>
            <w:tcW w:w="870" w:type="pct"/>
            <w:vAlign w:val="center"/>
          </w:tcPr>
          <w:p w14:paraId="6DAF0B49">
            <w:pPr>
              <w:pStyle w:val="445"/>
              <w:rPr>
                <w:rFonts w:cs="Times New Roman"/>
                <w:kern w:val="0"/>
                <w:szCs w:val="20"/>
              </w:rPr>
            </w:pPr>
            <w:r>
              <w:rPr>
                <w:rFonts w:cs="Times New Roman"/>
                <w:kern w:val="0"/>
                <w:szCs w:val="20"/>
              </w:rPr>
              <w:t>Ⅱ</w:t>
            </w:r>
          </w:p>
        </w:tc>
        <w:tc>
          <w:tcPr>
            <w:tcW w:w="870" w:type="pct"/>
            <w:vAlign w:val="center"/>
          </w:tcPr>
          <w:p w14:paraId="6F50D259">
            <w:pPr>
              <w:pStyle w:val="445"/>
              <w:rPr>
                <w:rFonts w:cs="Times New Roman"/>
                <w:kern w:val="0"/>
                <w:szCs w:val="20"/>
              </w:rPr>
            </w:pPr>
            <w:r>
              <w:rPr>
                <w:rFonts w:cs="Times New Roman"/>
                <w:kern w:val="0"/>
                <w:szCs w:val="20"/>
              </w:rPr>
              <w:t>Ⅰ</w:t>
            </w:r>
          </w:p>
        </w:tc>
      </w:tr>
      <w:tr w14:paraId="706E0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93" w:type="pct"/>
            <w:vMerge w:val="restart"/>
            <w:vAlign w:val="center"/>
          </w:tcPr>
          <w:p w14:paraId="199414F0">
            <w:pPr>
              <w:pStyle w:val="445"/>
              <w:rPr>
                <w:rFonts w:cs="Times New Roman"/>
                <w:kern w:val="0"/>
                <w:szCs w:val="20"/>
              </w:rPr>
            </w:pPr>
            <w:r>
              <w:rPr>
                <w:rFonts w:cs="Times New Roman"/>
                <w:kern w:val="0"/>
                <w:szCs w:val="20"/>
              </w:rPr>
              <w:t>地下水</w:t>
            </w:r>
          </w:p>
        </w:tc>
        <w:tc>
          <w:tcPr>
            <w:tcW w:w="1126" w:type="pct"/>
            <w:vAlign w:val="center"/>
          </w:tcPr>
          <w:p w14:paraId="60F3EC7D">
            <w:pPr>
              <w:pStyle w:val="445"/>
              <w:rPr>
                <w:rFonts w:cs="Times New Roman"/>
                <w:kern w:val="0"/>
                <w:szCs w:val="20"/>
              </w:rPr>
            </w:pPr>
            <w:r>
              <w:rPr>
                <w:rFonts w:cs="Times New Roman"/>
                <w:kern w:val="0"/>
                <w:szCs w:val="20"/>
              </w:rPr>
              <w:t>环境高度敏感区E1</w:t>
            </w:r>
          </w:p>
        </w:tc>
        <w:tc>
          <w:tcPr>
            <w:tcW w:w="870" w:type="pct"/>
            <w:vAlign w:val="center"/>
          </w:tcPr>
          <w:p w14:paraId="08C4652F">
            <w:pPr>
              <w:pStyle w:val="445"/>
              <w:rPr>
                <w:rFonts w:cs="Times New Roman"/>
                <w:kern w:val="0"/>
                <w:szCs w:val="20"/>
              </w:rPr>
            </w:pPr>
            <w:r>
              <w:rPr>
                <w:rFonts w:cs="Times New Roman"/>
                <w:kern w:val="0"/>
                <w:szCs w:val="20"/>
              </w:rPr>
              <w:t>Ⅳ+</w:t>
            </w:r>
          </w:p>
        </w:tc>
        <w:tc>
          <w:tcPr>
            <w:tcW w:w="871" w:type="pct"/>
            <w:vAlign w:val="center"/>
          </w:tcPr>
          <w:p w14:paraId="716A7385">
            <w:pPr>
              <w:pStyle w:val="445"/>
              <w:rPr>
                <w:rFonts w:cs="Times New Roman"/>
                <w:kern w:val="0"/>
                <w:szCs w:val="20"/>
              </w:rPr>
            </w:pPr>
            <w:r>
              <w:rPr>
                <w:rFonts w:cs="Times New Roman"/>
                <w:kern w:val="0"/>
                <w:szCs w:val="20"/>
              </w:rPr>
              <w:t>Ⅳ</w:t>
            </w:r>
          </w:p>
        </w:tc>
        <w:tc>
          <w:tcPr>
            <w:tcW w:w="870" w:type="pct"/>
            <w:vAlign w:val="center"/>
          </w:tcPr>
          <w:p w14:paraId="1BDE9F0B">
            <w:pPr>
              <w:pStyle w:val="445"/>
              <w:rPr>
                <w:rFonts w:cs="Times New Roman"/>
                <w:kern w:val="0"/>
                <w:szCs w:val="20"/>
              </w:rPr>
            </w:pPr>
            <w:r>
              <w:rPr>
                <w:rFonts w:cs="Times New Roman"/>
                <w:kern w:val="0"/>
                <w:szCs w:val="20"/>
              </w:rPr>
              <w:t>Ⅲ</w:t>
            </w:r>
          </w:p>
        </w:tc>
        <w:tc>
          <w:tcPr>
            <w:tcW w:w="870" w:type="pct"/>
            <w:vAlign w:val="center"/>
          </w:tcPr>
          <w:p w14:paraId="468827DC">
            <w:pPr>
              <w:pStyle w:val="445"/>
              <w:rPr>
                <w:rFonts w:cs="Times New Roman"/>
                <w:kern w:val="0"/>
                <w:szCs w:val="20"/>
              </w:rPr>
            </w:pPr>
            <w:r>
              <w:rPr>
                <w:rFonts w:cs="Times New Roman"/>
                <w:kern w:val="0"/>
                <w:szCs w:val="20"/>
              </w:rPr>
              <w:t>Ⅲ</w:t>
            </w:r>
          </w:p>
        </w:tc>
      </w:tr>
      <w:tr w14:paraId="6E4A7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0" w:type="auto"/>
            <w:vMerge w:val="continue"/>
            <w:vAlign w:val="center"/>
          </w:tcPr>
          <w:p w14:paraId="48CE1C42">
            <w:pPr>
              <w:pStyle w:val="445"/>
              <w:rPr>
                <w:rFonts w:cs="Times New Roman"/>
                <w:kern w:val="0"/>
                <w:szCs w:val="20"/>
              </w:rPr>
            </w:pPr>
          </w:p>
        </w:tc>
        <w:tc>
          <w:tcPr>
            <w:tcW w:w="1126" w:type="pct"/>
            <w:vAlign w:val="center"/>
          </w:tcPr>
          <w:p w14:paraId="261EF0DC">
            <w:pPr>
              <w:pStyle w:val="445"/>
              <w:rPr>
                <w:rFonts w:cs="Times New Roman"/>
                <w:kern w:val="0"/>
                <w:szCs w:val="20"/>
              </w:rPr>
            </w:pPr>
            <w:r>
              <w:rPr>
                <w:rFonts w:cs="Times New Roman"/>
                <w:kern w:val="0"/>
                <w:szCs w:val="20"/>
              </w:rPr>
              <w:t>环境中度敏感区E2</w:t>
            </w:r>
          </w:p>
        </w:tc>
        <w:tc>
          <w:tcPr>
            <w:tcW w:w="870" w:type="pct"/>
            <w:vAlign w:val="center"/>
          </w:tcPr>
          <w:p w14:paraId="0C0AFC72">
            <w:pPr>
              <w:pStyle w:val="445"/>
              <w:rPr>
                <w:rFonts w:cs="Times New Roman"/>
                <w:kern w:val="0"/>
                <w:szCs w:val="20"/>
              </w:rPr>
            </w:pPr>
            <w:r>
              <w:rPr>
                <w:rFonts w:cs="Times New Roman"/>
                <w:kern w:val="0"/>
                <w:szCs w:val="20"/>
              </w:rPr>
              <w:t>Ⅳ</w:t>
            </w:r>
          </w:p>
        </w:tc>
        <w:tc>
          <w:tcPr>
            <w:tcW w:w="871" w:type="pct"/>
            <w:vAlign w:val="center"/>
          </w:tcPr>
          <w:p w14:paraId="1C8350B2">
            <w:pPr>
              <w:pStyle w:val="445"/>
              <w:rPr>
                <w:rFonts w:cs="Times New Roman"/>
                <w:kern w:val="0"/>
                <w:szCs w:val="20"/>
              </w:rPr>
            </w:pPr>
            <w:r>
              <w:rPr>
                <w:rFonts w:cs="Times New Roman"/>
                <w:kern w:val="0"/>
                <w:szCs w:val="20"/>
              </w:rPr>
              <w:t>Ⅲ</w:t>
            </w:r>
          </w:p>
        </w:tc>
        <w:tc>
          <w:tcPr>
            <w:tcW w:w="870" w:type="pct"/>
            <w:vAlign w:val="center"/>
          </w:tcPr>
          <w:p w14:paraId="74BB87BD">
            <w:pPr>
              <w:pStyle w:val="445"/>
              <w:rPr>
                <w:rFonts w:cs="Times New Roman"/>
                <w:kern w:val="0"/>
                <w:szCs w:val="20"/>
              </w:rPr>
            </w:pPr>
            <w:r>
              <w:rPr>
                <w:rFonts w:cs="Times New Roman"/>
                <w:kern w:val="0"/>
                <w:szCs w:val="20"/>
              </w:rPr>
              <w:t>Ⅲ</w:t>
            </w:r>
          </w:p>
        </w:tc>
        <w:tc>
          <w:tcPr>
            <w:tcW w:w="870" w:type="pct"/>
            <w:vAlign w:val="center"/>
          </w:tcPr>
          <w:p w14:paraId="59535E03">
            <w:pPr>
              <w:pStyle w:val="445"/>
              <w:rPr>
                <w:rFonts w:cs="Times New Roman"/>
                <w:kern w:val="0"/>
                <w:szCs w:val="20"/>
              </w:rPr>
            </w:pPr>
            <w:r>
              <w:rPr>
                <w:rFonts w:cs="Times New Roman"/>
                <w:kern w:val="0"/>
                <w:szCs w:val="20"/>
              </w:rPr>
              <w:t>Ⅱ</w:t>
            </w:r>
          </w:p>
        </w:tc>
      </w:tr>
      <w:tr w14:paraId="5349B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0" w:type="auto"/>
            <w:vMerge w:val="continue"/>
            <w:vAlign w:val="center"/>
          </w:tcPr>
          <w:p w14:paraId="3A081C0C">
            <w:pPr>
              <w:pStyle w:val="445"/>
              <w:rPr>
                <w:rFonts w:cs="Times New Roman"/>
                <w:kern w:val="0"/>
                <w:szCs w:val="20"/>
              </w:rPr>
            </w:pPr>
          </w:p>
        </w:tc>
        <w:tc>
          <w:tcPr>
            <w:tcW w:w="1126" w:type="pct"/>
            <w:vAlign w:val="center"/>
          </w:tcPr>
          <w:p w14:paraId="6428C336">
            <w:pPr>
              <w:pStyle w:val="445"/>
              <w:rPr>
                <w:rFonts w:cs="Times New Roman"/>
                <w:kern w:val="0"/>
                <w:szCs w:val="20"/>
              </w:rPr>
            </w:pPr>
            <w:r>
              <w:rPr>
                <w:rFonts w:cs="Times New Roman"/>
                <w:kern w:val="0"/>
                <w:szCs w:val="20"/>
              </w:rPr>
              <w:t>环境轻度敏感区E3</w:t>
            </w:r>
          </w:p>
        </w:tc>
        <w:tc>
          <w:tcPr>
            <w:tcW w:w="870" w:type="pct"/>
            <w:vAlign w:val="center"/>
          </w:tcPr>
          <w:p w14:paraId="0AD5DA11">
            <w:pPr>
              <w:pStyle w:val="445"/>
              <w:rPr>
                <w:rFonts w:cs="Times New Roman"/>
                <w:kern w:val="0"/>
                <w:szCs w:val="20"/>
              </w:rPr>
            </w:pPr>
            <w:r>
              <w:rPr>
                <w:rFonts w:cs="Times New Roman"/>
                <w:kern w:val="0"/>
                <w:szCs w:val="20"/>
              </w:rPr>
              <w:t>Ⅲ</w:t>
            </w:r>
          </w:p>
        </w:tc>
        <w:tc>
          <w:tcPr>
            <w:tcW w:w="871" w:type="pct"/>
            <w:shd w:val="clear" w:color="auto" w:fill="7F7F7F" w:themeFill="background1" w:themeFillShade="80"/>
            <w:vAlign w:val="center"/>
          </w:tcPr>
          <w:p w14:paraId="491B83C9">
            <w:pPr>
              <w:pStyle w:val="445"/>
              <w:rPr>
                <w:rFonts w:cs="Times New Roman"/>
                <w:kern w:val="0"/>
                <w:szCs w:val="20"/>
              </w:rPr>
            </w:pPr>
            <w:r>
              <w:rPr>
                <w:rFonts w:cs="Times New Roman"/>
                <w:kern w:val="0"/>
                <w:szCs w:val="20"/>
              </w:rPr>
              <w:t>Ⅲ</w:t>
            </w:r>
          </w:p>
        </w:tc>
        <w:tc>
          <w:tcPr>
            <w:tcW w:w="870" w:type="pct"/>
            <w:vAlign w:val="center"/>
          </w:tcPr>
          <w:p w14:paraId="3F9B860B">
            <w:pPr>
              <w:pStyle w:val="445"/>
              <w:rPr>
                <w:rFonts w:cs="Times New Roman"/>
                <w:kern w:val="0"/>
                <w:szCs w:val="20"/>
              </w:rPr>
            </w:pPr>
            <w:r>
              <w:rPr>
                <w:rFonts w:cs="Times New Roman"/>
                <w:kern w:val="0"/>
                <w:szCs w:val="20"/>
              </w:rPr>
              <w:t>Ⅱ</w:t>
            </w:r>
          </w:p>
        </w:tc>
        <w:tc>
          <w:tcPr>
            <w:tcW w:w="870" w:type="pct"/>
            <w:vAlign w:val="center"/>
          </w:tcPr>
          <w:p w14:paraId="4C722D89">
            <w:pPr>
              <w:pStyle w:val="445"/>
              <w:rPr>
                <w:rFonts w:cs="Times New Roman"/>
                <w:kern w:val="0"/>
                <w:szCs w:val="20"/>
              </w:rPr>
            </w:pPr>
            <w:r>
              <w:rPr>
                <w:rFonts w:cs="Times New Roman"/>
                <w:kern w:val="0"/>
                <w:szCs w:val="20"/>
              </w:rPr>
              <w:t>Ⅰ</w:t>
            </w:r>
          </w:p>
        </w:tc>
      </w:tr>
    </w:tbl>
    <w:p w14:paraId="7E41FA23">
      <w:pPr>
        <w:ind w:firstLine="0" w:firstLineChars="0"/>
        <w:rPr>
          <w:b/>
        </w:rPr>
      </w:pPr>
      <w:r>
        <w:rPr>
          <w:rFonts w:hint="eastAsia"/>
          <w:b/>
        </w:rPr>
        <w:t>2.3.</w:t>
      </w:r>
      <w:r>
        <w:rPr>
          <w:b/>
        </w:rPr>
        <w:t>1</w:t>
      </w:r>
      <w:r>
        <w:rPr>
          <w:rFonts w:hint="eastAsia"/>
          <w:b/>
        </w:rPr>
        <w:t>.5.4环境</w:t>
      </w:r>
      <w:r>
        <w:rPr>
          <w:b/>
        </w:rPr>
        <w:t>风险等级</w:t>
      </w:r>
    </w:p>
    <w:p w14:paraId="301ED217">
      <w:pPr>
        <w:ind w:firstLine="480"/>
        <w:contextualSpacing/>
        <w:rPr>
          <w:rFonts w:hAnsi="宋体"/>
          <w:kern w:val="18"/>
        </w:rPr>
      </w:pPr>
      <w:r>
        <w:rPr>
          <w:rFonts w:hint="eastAsia" w:hAnsi="宋体"/>
          <w:kern w:val="18"/>
        </w:rPr>
        <w:t>《建设项目环境风险评价技术导则》（HJ/T169-2018）给出的评价工作等级确定原则见表</w:t>
      </w:r>
      <w:r>
        <w:rPr>
          <w:rFonts w:hAnsi="宋体"/>
          <w:kern w:val="18"/>
        </w:rPr>
        <w:t>2.3.1-19</w:t>
      </w:r>
      <w:r>
        <w:rPr>
          <w:rFonts w:hint="eastAsia" w:hAnsi="宋体"/>
          <w:kern w:val="18"/>
        </w:rPr>
        <w:t>。</w:t>
      </w:r>
    </w:p>
    <w:p w14:paraId="296E796C">
      <w:pPr>
        <w:pStyle w:val="278"/>
      </w:pPr>
      <w:r>
        <w:rPr>
          <w:rFonts w:hint="eastAsia"/>
        </w:rPr>
        <w:t>表</w:t>
      </w:r>
      <w:r>
        <w:t>2.3.1-19</w:t>
      </w:r>
      <w:r>
        <w:rPr>
          <w:rFonts w:hint="eastAsia"/>
        </w:rPr>
        <w:t xml:space="preserve"> 评价工作等级划分</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08"/>
        <w:gridCol w:w="1734"/>
        <w:gridCol w:w="1734"/>
        <w:gridCol w:w="1734"/>
        <w:gridCol w:w="1732"/>
      </w:tblGrid>
      <w:tr w14:paraId="528217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shd w:val="clear" w:color="auto" w:fill="auto"/>
            <w:vAlign w:val="center"/>
          </w:tcPr>
          <w:p w14:paraId="0E34FF80">
            <w:pPr>
              <w:spacing w:line="240" w:lineRule="auto"/>
              <w:ind w:firstLine="0" w:firstLineChars="0"/>
              <w:jc w:val="center"/>
              <w:rPr>
                <w:b/>
                <w:kern w:val="0"/>
                <w:sz w:val="21"/>
                <w:szCs w:val="21"/>
              </w:rPr>
            </w:pPr>
            <w:r>
              <w:rPr>
                <w:b/>
                <w:kern w:val="0"/>
                <w:sz w:val="21"/>
                <w:szCs w:val="21"/>
              </w:rPr>
              <w:t>环境风险潜势</w:t>
            </w:r>
          </w:p>
        </w:tc>
        <w:tc>
          <w:tcPr>
            <w:tcW w:w="938" w:type="pct"/>
            <w:shd w:val="clear" w:color="auto" w:fill="BFBFBF"/>
            <w:vAlign w:val="center"/>
          </w:tcPr>
          <w:p w14:paraId="223A8E1E">
            <w:pPr>
              <w:spacing w:line="240" w:lineRule="auto"/>
              <w:ind w:firstLine="0" w:firstLineChars="0"/>
              <w:jc w:val="center"/>
              <w:rPr>
                <w:b/>
                <w:kern w:val="0"/>
                <w:sz w:val="21"/>
                <w:szCs w:val="21"/>
              </w:rPr>
            </w:pPr>
            <w:r>
              <w:rPr>
                <w:b/>
                <w:kern w:val="0"/>
                <w:sz w:val="20"/>
                <w:szCs w:val="21"/>
              </w:rPr>
              <w:fldChar w:fldCharType="begin"/>
            </w:r>
            <w:r>
              <w:rPr>
                <w:b/>
                <w:kern w:val="0"/>
                <w:sz w:val="21"/>
                <w:szCs w:val="21"/>
              </w:rPr>
              <w:instrText xml:space="preserve"> = 4 \* ROMAN \* MERGEFORMAT </w:instrText>
            </w:r>
            <w:r>
              <w:rPr>
                <w:b/>
                <w:kern w:val="0"/>
                <w:sz w:val="20"/>
                <w:szCs w:val="21"/>
              </w:rPr>
              <w:fldChar w:fldCharType="separate"/>
            </w:r>
            <w:r>
              <w:rPr>
                <w:b/>
                <w:kern w:val="0"/>
                <w:sz w:val="21"/>
                <w:szCs w:val="21"/>
              </w:rPr>
              <w:t>IV</w:t>
            </w:r>
            <w:r>
              <w:rPr>
                <w:b/>
                <w:kern w:val="0"/>
                <w:sz w:val="20"/>
                <w:szCs w:val="21"/>
              </w:rPr>
              <w:fldChar w:fldCharType="end"/>
            </w:r>
            <w:r>
              <w:rPr>
                <w:b/>
                <w:kern w:val="0"/>
                <w:sz w:val="21"/>
                <w:szCs w:val="21"/>
              </w:rPr>
              <w:t>、</w:t>
            </w:r>
            <w:r>
              <w:rPr>
                <w:b/>
                <w:kern w:val="0"/>
                <w:sz w:val="20"/>
                <w:szCs w:val="21"/>
              </w:rPr>
              <w:fldChar w:fldCharType="begin"/>
            </w:r>
            <w:r>
              <w:rPr>
                <w:b/>
                <w:kern w:val="0"/>
                <w:sz w:val="21"/>
                <w:szCs w:val="21"/>
              </w:rPr>
              <w:instrText xml:space="preserve"> = 4 \* ROMAN \* MERGEFORMAT </w:instrText>
            </w:r>
            <w:r>
              <w:rPr>
                <w:b/>
                <w:kern w:val="0"/>
                <w:sz w:val="20"/>
                <w:szCs w:val="21"/>
              </w:rPr>
              <w:fldChar w:fldCharType="separate"/>
            </w:r>
            <w:r>
              <w:rPr>
                <w:b/>
                <w:kern w:val="0"/>
                <w:sz w:val="21"/>
                <w:szCs w:val="21"/>
              </w:rPr>
              <w:t>IV</w:t>
            </w:r>
            <w:r>
              <w:rPr>
                <w:b/>
                <w:kern w:val="0"/>
                <w:sz w:val="20"/>
                <w:szCs w:val="21"/>
              </w:rPr>
              <w:fldChar w:fldCharType="end"/>
            </w:r>
            <w:r>
              <w:rPr>
                <w:b/>
                <w:kern w:val="0"/>
                <w:sz w:val="21"/>
                <w:szCs w:val="21"/>
                <w:vertAlign w:val="superscript"/>
              </w:rPr>
              <w:t>+</w:t>
            </w:r>
          </w:p>
        </w:tc>
        <w:tc>
          <w:tcPr>
            <w:tcW w:w="938" w:type="pct"/>
            <w:tcBorders>
              <w:top w:val="single" w:color="auto" w:sz="12" w:space="0"/>
              <w:bottom w:val="single" w:color="auto" w:sz="4" w:space="0"/>
            </w:tcBorders>
            <w:shd w:val="clear" w:color="auto" w:fill="auto"/>
            <w:vAlign w:val="center"/>
          </w:tcPr>
          <w:p w14:paraId="3B6AECB7">
            <w:pPr>
              <w:spacing w:line="240" w:lineRule="auto"/>
              <w:ind w:firstLine="0" w:firstLineChars="0"/>
              <w:jc w:val="center"/>
              <w:rPr>
                <w:b/>
                <w:kern w:val="0"/>
                <w:sz w:val="21"/>
                <w:szCs w:val="21"/>
              </w:rPr>
            </w:pPr>
            <w:r>
              <w:rPr>
                <w:b/>
                <w:kern w:val="0"/>
                <w:sz w:val="20"/>
                <w:szCs w:val="21"/>
              </w:rPr>
              <w:fldChar w:fldCharType="begin"/>
            </w:r>
            <w:r>
              <w:rPr>
                <w:b/>
                <w:kern w:val="0"/>
                <w:sz w:val="21"/>
                <w:szCs w:val="21"/>
              </w:rPr>
              <w:instrText xml:space="preserve"> = 3 \* ROMAN \* MERGEFORMAT </w:instrText>
            </w:r>
            <w:r>
              <w:rPr>
                <w:b/>
                <w:kern w:val="0"/>
                <w:sz w:val="20"/>
                <w:szCs w:val="21"/>
              </w:rPr>
              <w:fldChar w:fldCharType="separate"/>
            </w:r>
            <w:r>
              <w:rPr>
                <w:b/>
                <w:kern w:val="0"/>
                <w:sz w:val="21"/>
                <w:szCs w:val="21"/>
              </w:rPr>
              <w:t>III</w:t>
            </w:r>
            <w:r>
              <w:rPr>
                <w:b/>
                <w:kern w:val="0"/>
                <w:sz w:val="20"/>
                <w:szCs w:val="21"/>
              </w:rPr>
              <w:fldChar w:fldCharType="end"/>
            </w:r>
          </w:p>
        </w:tc>
        <w:tc>
          <w:tcPr>
            <w:tcW w:w="938" w:type="pct"/>
            <w:vAlign w:val="center"/>
          </w:tcPr>
          <w:p w14:paraId="1007FDD4">
            <w:pPr>
              <w:spacing w:line="240" w:lineRule="auto"/>
              <w:ind w:firstLine="0" w:firstLineChars="0"/>
              <w:jc w:val="center"/>
              <w:rPr>
                <w:b/>
                <w:kern w:val="0"/>
                <w:sz w:val="21"/>
                <w:szCs w:val="21"/>
              </w:rPr>
            </w:pPr>
            <w:r>
              <w:rPr>
                <w:b/>
                <w:kern w:val="0"/>
                <w:sz w:val="20"/>
                <w:szCs w:val="21"/>
              </w:rPr>
              <w:fldChar w:fldCharType="begin"/>
            </w:r>
            <w:r>
              <w:rPr>
                <w:b/>
                <w:kern w:val="0"/>
                <w:sz w:val="21"/>
                <w:szCs w:val="21"/>
              </w:rPr>
              <w:instrText xml:space="preserve"> = 2 \* ROMAN \* MERGEFORMAT </w:instrText>
            </w:r>
            <w:r>
              <w:rPr>
                <w:b/>
                <w:kern w:val="0"/>
                <w:sz w:val="20"/>
                <w:szCs w:val="21"/>
              </w:rPr>
              <w:fldChar w:fldCharType="separate"/>
            </w:r>
            <w:r>
              <w:rPr>
                <w:b/>
                <w:kern w:val="0"/>
                <w:sz w:val="21"/>
                <w:szCs w:val="21"/>
              </w:rPr>
              <w:t>II</w:t>
            </w:r>
            <w:r>
              <w:rPr>
                <w:b/>
                <w:kern w:val="0"/>
                <w:sz w:val="20"/>
                <w:szCs w:val="21"/>
              </w:rPr>
              <w:fldChar w:fldCharType="end"/>
            </w:r>
          </w:p>
        </w:tc>
        <w:tc>
          <w:tcPr>
            <w:tcW w:w="936" w:type="pct"/>
            <w:vAlign w:val="center"/>
          </w:tcPr>
          <w:p w14:paraId="1DA15D39">
            <w:pPr>
              <w:spacing w:line="240" w:lineRule="auto"/>
              <w:ind w:firstLine="0" w:firstLineChars="0"/>
              <w:jc w:val="center"/>
              <w:rPr>
                <w:b/>
                <w:kern w:val="0"/>
                <w:sz w:val="21"/>
                <w:szCs w:val="21"/>
              </w:rPr>
            </w:pPr>
            <w:r>
              <w:rPr>
                <w:b/>
                <w:kern w:val="0"/>
                <w:sz w:val="20"/>
                <w:szCs w:val="21"/>
              </w:rPr>
              <w:fldChar w:fldCharType="begin"/>
            </w:r>
            <w:r>
              <w:rPr>
                <w:b/>
                <w:kern w:val="0"/>
                <w:sz w:val="21"/>
                <w:szCs w:val="21"/>
              </w:rPr>
              <w:instrText xml:space="preserve"> = 1 \* ROMAN \* MERGEFORMAT </w:instrText>
            </w:r>
            <w:r>
              <w:rPr>
                <w:b/>
                <w:kern w:val="0"/>
                <w:sz w:val="20"/>
                <w:szCs w:val="21"/>
              </w:rPr>
              <w:fldChar w:fldCharType="separate"/>
            </w:r>
            <w:r>
              <w:rPr>
                <w:b/>
                <w:kern w:val="0"/>
                <w:sz w:val="21"/>
                <w:szCs w:val="21"/>
              </w:rPr>
              <w:t>I</w:t>
            </w:r>
            <w:r>
              <w:rPr>
                <w:b/>
                <w:kern w:val="0"/>
                <w:sz w:val="20"/>
                <w:szCs w:val="21"/>
              </w:rPr>
              <w:fldChar w:fldCharType="end"/>
            </w:r>
          </w:p>
        </w:tc>
      </w:tr>
      <w:tr w14:paraId="4BC58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shd w:val="clear" w:color="auto" w:fill="auto"/>
            <w:vAlign w:val="center"/>
          </w:tcPr>
          <w:p w14:paraId="63D88B09">
            <w:pPr>
              <w:spacing w:line="240" w:lineRule="auto"/>
              <w:ind w:firstLine="0" w:firstLineChars="0"/>
              <w:jc w:val="center"/>
              <w:rPr>
                <w:kern w:val="0"/>
                <w:sz w:val="21"/>
                <w:szCs w:val="21"/>
              </w:rPr>
            </w:pPr>
            <w:r>
              <w:rPr>
                <w:kern w:val="0"/>
                <w:sz w:val="21"/>
                <w:szCs w:val="21"/>
              </w:rPr>
              <w:t>评价工作等级</w:t>
            </w:r>
          </w:p>
        </w:tc>
        <w:tc>
          <w:tcPr>
            <w:tcW w:w="938" w:type="pct"/>
            <w:shd w:val="clear" w:color="auto" w:fill="BFBFBF"/>
            <w:vAlign w:val="center"/>
          </w:tcPr>
          <w:p w14:paraId="055AB782">
            <w:pPr>
              <w:spacing w:line="240" w:lineRule="auto"/>
              <w:ind w:firstLine="0" w:firstLineChars="0"/>
              <w:jc w:val="center"/>
              <w:rPr>
                <w:kern w:val="0"/>
                <w:sz w:val="21"/>
                <w:szCs w:val="21"/>
              </w:rPr>
            </w:pPr>
            <w:r>
              <w:rPr>
                <w:kern w:val="0"/>
                <w:sz w:val="21"/>
                <w:szCs w:val="21"/>
              </w:rPr>
              <w:t>一</w:t>
            </w:r>
          </w:p>
        </w:tc>
        <w:tc>
          <w:tcPr>
            <w:tcW w:w="938" w:type="pct"/>
            <w:tcBorders>
              <w:top w:val="single" w:color="auto" w:sz="4" w:space="0"/>
              <w:bottom w:val="single" w:color="auto" w:sz="4" w:space="0"/>
            </w:tcBorders>
            <w:shd w:val="clear" w:color="auto" w:fill="auto"/>
            <w:vAlign w:val="center"/>
          </w:tcPr>
          <w:p w14:paraId="043EA489">
            <w:pPr>
              <w:spacing w:line="240" w:lineRule="auto"/>
              <w:ind w:firstLine="0" w:firstLineChars="0"/>
              <w:jc w:val="center"/>
              <w:rPr>
                <w:kern w:val="0"/>
                <w:sz w:val="21"/>
                <w:szCs w:val="21"/>
              </w:rPr>
            </w:pPr>
            <w:r>
              <w:rPr>
                <w:kern w:val="0"/>
                <w:sz w:val="21"/>
                <w:szCs w:val="21"/>
              </w:rPr>
              <w:t>二</w:t>
            </w:r>
          </w:p>
        </w:tc>
        <w:tc>
          <w:tcPr>
            <w:tcW w:w="938" w:type="pct"/>
            <w:vAlign w:val="center"/>
          </w:tcPr>
          <w:p w14:paraId="723AD8FC">
            <w:pPr>
              <w:spacing w:line="240" w:lineRule="auto"/>
              <w:ind w:firstLine="0" w:firstLineChars="0"/>
              <w:jc w:val="center"/>
              <w:rPr>
                <w:kern w:val="0"/>
                <w:sz w:val="21"/>
                <w:szCs w:val="21"/>
              </w:rPr>
            </w:pPr>
            <w:r>
              <w:rPr>
                <w:kern w:val="0"/>
                <w:sz w:val="21"/>
                <w:szCs w:val="21"/>
              </w:rPr>
              <w:t>三</w:t>
            </w:r>
          </w:p>
        </w:tc>
        <w:tc>
          <w:tcPr>
            <w:tcW w:w="936" w:type="pct"/>
            <w:vAlign w:val="center"/>
          </w:tcPr>
          <w:p w14:paraId="56A324BF">
            <w:pPr>
              <w:spacing w:line="240" w:lineRule="auto"/>
              <w:ind w:firstLine="0" w:firstLineChars="0"/>
              <w:jc w:val="center"/>
              <w:rPr>
                <w:kern w:val="0"/>
                <w:sz w:val="21"/>
                <w:szCs w:val="21"/>
              </w:rPr>
            </w:pPr>
            <w:r>
              <w:rPr>
                <w:kern w:val="0"/>
                <w:sz w:val="21"/>
                <w:szCs w:val="21"/>
              </w:rPr>
              <w:t>简单分析</w:t>
            </w:r>
            <w:r>
              <w:rPr>
                <w:kern w:val="0"/>
                <w:sz w:val="21"/>
                <w:szCs w:val="21"/>
                <w:vertAlign w:val="superscript"/>
              </w:rPr>
              <w:t>a</w:t>
            </w:r>
          </w:p>
        </w:tc>
      </w:tr>
      <w:tr w14:paraId="58C738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74EA3A30">
            <w:pPr>
              <w:spacing w:line="240" w:lineRule="auto"/>
              <w:ind w:firstLine="0" w:firstLineChars="0"/>
              <w:jc w:val="left"/>
              <w:rPr>
                <w:kern w:val="0"/>
                <w:sz w:val="21"/>
                <w:szCs w:val="21"/>
              </w:rPr>
            </w:pPr>
            <w:r>
              <w:rPr>
                <w:kern w:val="0"/>
                <w:sz w:val="21"/>
                <w:szCs w:val="21"/>
                <w:vertAlign w:val="superscript"/>
              </w:rPr>
              <w:t>a</w:t>
            </w:r>
            <w:r>
              <w:rPr>
                <w:kern w:val="0"/>
                <w:sz w:val="21"/>
                <w:szCs w:val="21"/>
              </w:rPr>
              <w:t>是相对于详细评价工作内容而言，在描述危险物质、环境影响途径、环境危害后果、风险防范措施等方面给出定性的说明。见附录A</w:t>
            </w:r>
          </w:p>
        </w:tc>
      </w:tr>
    </w:tbl>
    <w:p w14:paraId="6DC0103D">
      <w:pPr>
        <w:ind w:firstLine="480"/>
        <w:contextualSpacing/>
        <w:rPr>
          <w:rFonts w:hAnsi="宋体"/>
          <w:kern w:val="18"/>
        </w:rPr>
      </w:pPr>
      <w:r>
        <w:rPr>
          <w:rFonts w:hint="eastAsia" w:hAnsi="宋体"/>
          <w:kern w:val="18"/>
        </w:rPr>
        <w:t>由上表可知：本项目大气风险评价等级为一级、地表水和</w:t>
      </w:r>
      <w:r>
        <w:rPr>
          <w:rFonts w:hAnsi="宋体"/>
          <w:kern w:val="18"/>
        </w:rPr>
        <w:t>地下水</w:t>
      </w:r>
      <w:r>
        <w:rPr>
          <w:rFonts w:hint="eastAsia" w:hAnsi="宋体"/>
          <w:kern w:val="18"/>
        </w:rPr>
        <w:t>风险评价等级为二级，因此本项目风险评价等级为一级。</w:t>
      </w:r>
    </w:p>
    <w:p w14:paraId="2F560EE8">
      <w:pPr>
        <w:pStyle w:val="349"/>
      </w:pPr>
      <w:r>
        <w:rPr>
          <w:rFonts w:hint="eastAsia"/>
        </w:rPr>
        <w:t>2</w:t>
      </w:r>
      <w:r>
        <w:t>.3.1.6</w:t>
      </w:r>
      <w:r>
        <w:rPr>
          <w:rFonts w:ascii="黑体" w:hAnsi="黑体"/>
        </w:rPr>
        <w:t>土壤评价等级</w:t>
      </w:r>
    </w:p>
    <w:p w14:paraId="1386B83F">
      <w:pPr>
        <w:pStyle w:val="326"/>
        <w:ind w:firstLine="480"/>
      </w:pPr>
      <w:r>
        <w:rPr>
          <w:rFonts w:ascii="宋体" w:hAnsi="宋体"/>
        </w:rPr>
        <w:t>根据</w:t>
      </w:r>
      <w:r>
        <w:rPr>
          <w:rFonts w:hint="eastAsia" w:ascii="宋体" w:hAnsi="宋体"/>
        </w:rPr>
        <w:t>《环境影响评价技术导则</w:t>
      </w:r>
      <w:r>
        <w:rPr>
          <w:rFonts w:hint="eastAsia"/>
        </w:rPr>
        <w:t xml:space="preserve"> 土壤环境（试行）》（H</w:t>
      </w:r>
      <w:r>
        <w:t>J964-2018</w:t>
      </w:r>
      <w:r>
        <w:rPr>
          <w:rFonts w:hint="eastAsia" w:ascii="宋体" w:hAnsi="宋体"/>
        </w:rPr>
        <w:t>），本项目属于污染影响型，土壤评价等级的确定主要依据项目类别和建设项目土壤环境敏感程度等参数进行确定，详见表</w:t>
      </w:r>
      <w:r>
        <w:rPr>
          <w:rFonts w:hint="eastAsia"/>
        </w:rPr>
        <w:t>2</w:t>
      </w:r>
      <w:r>
        <w:t>.3.1-20~22</w:t>
      </w:r>
      <w:r>
        <w:rPr>
          <w:rFonts w:hint="eastAsia" w:ascii="宋体" w:hAnsi="宋体"/>
        </w:rPr>
        <w:t>。</w:t>
      </w:r>
    </w:p>
    <w:p w14:paraId="22307DF0">
      <w:pPr>
        <w:pStyle w:val="278"/>
        <w:rPr>
          <w:rFonts w:ascii="黑体" w:hAnsi="黑体"/>
        </w:rPr>
      </w:pPr>
    </w:p>
    <w:p w14:paraId="3256F3D2">
      <w:pPr>
        <w:pStyle w:val="278"/>
        <w:rPr>
          <w:rFonts w:ascii="黑体" w:hAnsi="黑体"/>
        </w:rPr>
      </w:pPr>
      <w:r>
        <w:rPr>
          <w:rFonts w:hint="eastAsia" w:ascii="黑体" w:hAnsi="黑体"/>
        </w:rPr>
        <w:t>表</w:t>
      </w:r>
      <w:r>
        <w:t xml:space="preserve">2.3.1-20  </w:t>
      </w:r>
      <w:r>
        <w:rPr>
          <w:rFonts w:ascii="黑体" w:hAnsi="黑体"/>
        </w:rPr>
        <w:t>项目类别划分</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771"/>
        <w:gridCol w:w="1451"/>
        <w:gridCol w:w="734"/>
        <w:gridCol w:w="867"/>
        <w:gridCol w:w="1399"/>
      </w:tblGrid>
      <w:tr w14:paraId="3761D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Merge w:val="restart"/>
            <w:tcBorders>
              <w:top w:val="single" w:color="auto" w:sz="12" w:space="0"/>
              <w:left w:val="nil"/>
              <w:bottom w:val="single" w:color="auto" w:sz="4" w:space="0"/>
              <w:right w:val="single" w:color="auto" w:sz="4" w:space="0"/>
            </w:tcBorders>
            <w:vAlign w:val="center"/>
          </w:tcPr>
          <w:p w14:paraId="4CD49C33">
            <w:pPr>
              <w:pStyle w:val="445"/>
              <w:rPr>
                <w:rFonts w:cs="Times New Roman"/>
                <w:kern w:val="0"/>
                <w:szCs w:val="20"/>
              </w:rPr>
            </w:pPr>
            <w:r>
              <w:rPr>
                <w:rFonts w:hint="eastAsia" w:cs="Times New Roman"/>
                <w:kern w:val="0"/>
                <w:szCs w:val="20"/>
              </w:rPr>
              <w:t>行业类别</w:t>
            </w:r>
          </w:p>
        </w:tc>
        <w:tc>
          <w:tcPr>
            <w:tcW w:w="3691" w:type="pct"/>
            <w:gridSpan w:val="4"/>
            <w:tcBorders>
              <w:top w:val="single" w:color="auto" w:sz="12" w:space="0"/>
              <w:left w:val="nil"/>
              <w:bottom w:val="single" w:color="auto" w:sz="4" w:space="0"/>
              <w:right w:val="single" w:color="auto" w:sz="4" w:space="0"/>
            </w:tcBorders>
            <w:vAlign w:val="center"/>
          </w:tcPr>
          <w:p w14:paraId="1379335C">
            <w:pPr>
              <w:pStyle w:val="445"/>
              <w:rPr>
                <w:rFonts w:cs="Times New Roman"/>
                <w:kern w:val="0"/>
                <w:szCs w:val="20"/>
              </w:rPr>
            </w:pPr>
            <w:r>
              <w:rPr>
                <w:rFonts w:hint="eastAsia" w:cs="Times New Roman"/>
                <w:kern w:val="0"/>
                <w:szCs w:val="20"/>
              </w:rPr>
              <w:t>项目类别</w:t>
            </w:r>
          </w:p>
        </w:tc>
        <w:tc>
          <w:tcPr>
            <w:tcW w:w="757" w:type="pct"/>
            <w:vMerge w:val="restart"/>
            <w:tcBorders>
              <w:top w:val="single" w:color="auto" w:sz="12" w:space="0"/>
              <w:left w:val="nil"/>
              <w:bottom w:val="single" w:color="auto" w:sz="4" w:space="0"/>
              <w:right w:val="nil"/>
            </w:tcBorders>
            <w:vAlign w:val="center"/>
          </w:tcPr>
          <w:p w14:paraId="2BB41A4E">
            <w:pPr>
              <w:pStyle w:val="445"/>
              <w:rPr>
                <w:rFonts w:cs="Times New Roman"/>
                <w:kern w:val="0"/>
                <w:szCs w:val="20"/>
              </w:rPr>
            </w:pPr>
            <w:r>
              <w:rPr>
                <w:rFonts w:hint="eastAsia" w:cs="Times New Roman"/>
                <w:kern w:val="0"/>
                <w:szCs w:val="20"/>
              </w:rPr>
              <w:t>本项目类别</w:t>
            </w:r>
          </w:p>
        </w:tc>
      </w:tr>
      <w:tr w14:paraId="654817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12" w:space="0"/>
              <w:left w:val="nil"/>
              <w:bottom w:val="single" w:color="auto" w:sz="4" w:space="0"/>
              <w:right w:val="single" w:color="auto" w:sz="4" w:space="0"/>
            </w:tcBorders>
            <w:vAlign w:val="center"/>
          </w:tcPr>
          <w:p w14:paraId="3FE417C5">
            <w:pPr>
              <w:pStyle w:val="445"/>
              <w:rPr>
                <w:rFonts w:cs="Times New Roman"/>
                <w:kern w:val="0"/>
                <w:szCs w:val="18"/>
              </w:rPr>
            </w:pPr>
          </w:p>
        </w:tc>
        <w:tc>
          <w:tcPr>
            <w:tcW w:w="2040" w:type="pct"/>
            <w:tcBorders>
              <w:top w:val="single" w:color="auto" w:sz="4" w:space="0"/>
              <w:left w:val="nil"/>
              <w:bottom w:val="single" w:color="auto" w:sz="4" w:space="0"/>
              <w:right w:val="single" w:color="auto" w:sz="4" w:space="0"/>
            </w:tcBorders>
            <w:vAlign w:val="center"/>
          </w:tcPr>
          <w:p w14:paraId="2C70ABB9">
            <w:pPr>
              <w:pStyle w:val="445"/>
              <w:rPr>
                <w:rFonts w:cs="Times New Roman"/>
                <w:kern w:val="0"/>
                <w:szCs w:val="20"/>
              </w:rPr>
            </w:pPr>
            <w:r>
              <w:rPr>
                <w:rFonts w:cs="Times New Roman"/>
                <w:kern w:val="0"/>
                <w:szCs w:val="20"/>
              </w:rPr>
              <w:t>I</w:t>
            </w:r>
            <w:r>
              <w:rPr>
                <w:rFonts w:hint="eastAsia" w:cs="Times New Roman"/>
                <w:kern w:val="0"/>
                <w:szCs w:val="20"/>
              </w:rPr>
              <w:t>类</w:t>
            </w:r>
          </w:p>
        </w:tc>
        <w:tc>
          <w:tcPr>
            <w:tcW w:w="785" w:type="pct"/>
            <w:tcBorders>
              <w:top w:val="single" w:color="auto" w:sz="4" w:space="0"/>
              <w:left w:val="nil"/>
              <w:bottom w:val="single" w:color="auto" w:sz="4" w:space="0"/>
              <w:right w:val="single" w:color="auto" w:sz="4" w:space="0"/>
            </w:tcBorders>
            <w:vAlign w:val="center"/>
          </w:tcPr>
          <w:p w14:paraId="797892CC">
            <w:pPr>
              <w:pStyle w:val="445"/>
              <w:rPr>
                <w:rFonts w:cs="Times New Roman"/>
                <w:kern w:val="0"/>
                <w:szCs w:val="20"/>
              </w:rPr>
            </w:pPr>
            <w:r>
              <w:rPr>
                <w:rFonts w:cs="Times New Roman"/>
                <w:kern w:val="0"/>
                <w:szCs w:val="20"/>
              </w:rPr>
              <w:t>II</w:t>
            </w:r>
            <w:r>
              <w:rPr>
                <w:rFonts w:hint="eastAsia" w:cs="Times New Roman"/>
                <w:kern w:val="0"/>
                <w:szCs w:val="20"/>
              </w:rPr>
              <w:t>类</w:t>
            </w:r>
          </w:p>
        </w:tc>
        <w:tc>
          <w:tcPr>
            <w:tcW w:w="397" w:type="pct"/>
            <w:tcBorders>
              <w:top w:val="single" w:color="auto" w:sz="4" w:space="0"/>
              <w:left w:val="nil"/>
              <w:bottom w:val="single" w:color="auto" w:sz="4" w:space="0"/>
              <w:right w:val="single" w:color="auto" w:sz="4" w:space="0"/>
            </w:tcBorders>
            <w:vAlign w:val="center"/>
          </w:tcPr>
          <w:p w14:paraId="21A49DF6">
            <w:pPr>
              <w:pStyle w:val="445"/>
              <w:rPr>
                <w:rFonts w:cs="Times New Roman"/>
                <w:kern w:val="0"/>
                <w:szCs w:val="20"/>
              </w:rPr>
            </w:pPr>
            <w:r>
              <w:rPr>
                <w:rFonts w:cs="Times New Roman"/>
                <w:kern w:val="0"/>
                <w:szCs w:val="20"/>
              </w:rPr>
              <w:t>III</w:t>
            </w:r>
            <w:r>
              <w:rPr>
                <w:rFonts w:hint="eastAsia" w:cs="Times New Roman"/>
                <w:kern w:val="0"/>
                <w:szCs w:val="20"/>
              </w:rPr>
              <w:t>类</w:t>
            </w:r>
          </w:p>
        </w:tc>
        <w:tc>
          <w:tcPr>
            <w:tcW w:w="469" w:type="pct"/>
            <w:tcBorders>
              <w:top w:val="single" w:color="auto" w:sz="4" w:space="0"/>
              <w:left w:val="nil"/>
              <w:bottom w:val="single" w:color="auto" w:sz="4" w:space="0"/>
              <w:right w:val="single" w:color="auto" w:sz="4" w:space="0"/>
            </w:tcBorders>
            <w:vAlign w:val="center"/>
          </w:tcPr>
          <w:p w14:paraId="434CB7F7">
            <w:pPr>
              <w:pStyle w:val="445"/>
              <w:rPr>
                <w:rFonts w:cs="Times New Roman"/>
                <w:kern w:val="0"/>
                <w:szCs w:val="20"/>
              </w:rPr>
            </w:pPr>
            <w:r>
              <w:rPr>
                <w:rFonts w:cs="Times New Roman"/>
                <w:kern w:val="0"/>
                <w:szCs w:val="20"/>
              </w:rPr>
              <w:t>IV</w:t>
            </w:r>
            <w:r>
              <w:rPr>
                <w:rFonts w:hint="eastAsia" w:cs="Times New Roman"/>
                <w:kern w:val="0"/>
                <w:szCs w:val="20"/>
              </w:rPr>
              <w:t>类</w:t>
            </w:r>
          </w:p>
        </w:tc>
        <w:tc>
          <w:tcPr>
            <w:tcW w:w="0" w:type="auto"/>
            <w:vMerge w:val="continue"/>
            <w:tcBorders>
              <w:top w:val="single" w:color="auto" w:sz="12" w:space="0"/>
              <w:left w:val="nil"/>
              <w:bottom w:val="single" w:color="auto" w:sz="4" w:space="0"/>
              <w:right w:val="nil"/>
            </w:tcBorders>
            <w:vAlign w:val="center"/>
          </w:tcPr>
          <w:p w14:paraId="713A5126">
            <w:pPr>
              <w:pStyle w:val="445"/>
              <w:rPr>
                <w:rFonts w:cs="Times New Roman"/>
                <w:kern w:val="0"/>
                <w:szCs w:val="18"/>
              </w:rPr>
            </w:pPr>
          </w:p>
        </w:tc>
      </w:tr>
      <w:tr w14:paraId="66618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552" w:type="pct"/>
            <w:tcBorders>
              <w:top w:val="single" w:color="auto" w:sz="4" w:space="0"/>
              <w:left w:val="nil"/>
              <w:bottom w:val="single" w:color="auto" w:sz="12" w:space="0"/>
              <w:right w:val="single" w:color="auto" w:sz="4" w:space="0"/>
            </w:tcBorders>
            <w:vAlign w:val="center"/>
          </w:tcPr>
          <w:p w14:paraId="19BAEE69">
            <w:pPr>
              <w:pStyle w:val="445"/>
              <w:rPr>
                <w:rFonts w:cs="Times New Roman"/>
                <w:kern w:val="0"/>
                <w:szCs w:val="20"/>
              </w:rPr>
            </w:pPr>
            <w:r>
              <w:rPr>
                <w:rFonts w:cs="Times New Roman"/>
                <w:kern w:val="0"/>
                <w:szCs w:val="20"/>
              </w:rPr>
              <w:t>制造业</w:t>
            </w:r>
          </w:p>
        </w:tc>
        <w:tc>
          <w:tcPr>
            <w:tcW w:w="2040" w:type="pct"/>
            <w:tcBorders>
              <w:top w:val="single" w:color="auto" w:sz="4" w:space="0"/>
              <w:left w:val="nil"/>
              <w:bottom w:val="single" w:color="auto" w:sz="12" w:space="0"/>
              <w:right w:val="single" w:color="auto" w:sz="4" w:space="0"/>
            </w:tcBorders>
            <w:vAlign w:val="center"/>
          </w:tcPr>
          <w:p w14:paraId="3358E240">
            <w:pPr>
              <w:pStyle w:val="445"/>
              <w:rPr>
                <w:rFonts w:cs="Times New Roman"/>
                <w:kern w:val="0"/>
                <w:szCs w:val="20"/>
              </w:rPr>
            </w:pPr>
            <w:r>
              <w:rPr>
                <w:rFonts w:cs="Times New Roman"/>
                <w:kern w:val="0"/>
                <w:szCs w:val="20"/>
              </w:rPr>
              <w:t>石油加工</w:t>
            </w:r>
            <w:r>
              <w:rPr>
                <w:rFonts w:hint="eastAsia" w:cs="Times New Roman"/>
                <w:kern w:val="0"/>
                <w:szCs w:val="20"/>
              </w:rPr>
              <w:t>；</w:t>
            </w:r>
            <w:r>
              <w:rPr>
                <w:rFonts w:cs="Times New Roman"/>
                <w:kern w:val="0"/>
                <w:szCs w:val="20"/>
              </w:rPr>
              <w:t>化学原料和化学制品制造</w:t>
            </w:r>
            <w:r>
              <w:rPr>
                <w:rFonts w:hint="eastAsia" w:cs="Times New Roman"/>
                <w:kern w:val="0"/>
                <w:szCs w:val="20"/>
              </w:rPr>
              <w:t>；</w:t>
            </w:r>
            <w:r>
              <w:rPr>
                <w:rFonts w:cs="Times New Roman"/>
                <w:kern w:val="0"/>
                <w:szCs w:val="20"/>
              </w:rPr>
              <w:t>农药制造</w:t>
            </w:r>
            <w:r>
              <w:rPr>
                <w:rFonts w:hint="eastAsia" w:cs="Times New Roman"/>
                <w:kern w:val="0"/>
                <w:szCs w:val="20"/>
              </w:rPr>
              <w:t>；</w:t>
            </w:r>
            <w:r>
              <w:rPr>
                <w:rFonts w:cs="Times New Roman"/>
                <w:kern w:val="0"/>
                <w:szCs w:val="20"/>
              </w:rPr>
              <w:t>涂料</w:t>
            </w:r>
            <w:r>
              <w:rPr>
                <w:rFonts w:hint="eastAsia" w:cs="Times New Roman"/>
                <w:kern w:val="0"/>
                <w:szCs w:val="20"/>
              </w:rPr>
              <w:t>、</w:t>
            </w:r>
            <w:r>
              <w:rPr>
                <w:rFonts w:cs="Times New Roman"/>
                <w:kern w:val="0"/>
                <w:szCs w:val="20"/>
              </w:rPr>
              <w:t>染料</w:t>
            </w:r>
            <w:r>
              <w:rPr>
                <w:rFonts w:hint="eastAsia" w:cs="Times New Roman"/>
                <w:kern w:val="0"/>
                <w:szCs w:val="20"/>
              </w:rPr>
              <w:t>、</w:t>
            </w:r>
            <w:r>
              <w:rPr>
                <w:rFonts w:cs="Times New Roman"/>
                <w:kern w:val="0"/>
                <w:szCs w:val="20"/>
              </w:rPr>
              <w:t>颜料</w:t>
            </w:r>
            <w:r>
              <w:rPr>
                <w:rFonts w:hint="eastAsia" w:cs="Times New Roman"/>
                <w:kern w:val="0"/>
                <w:szCs w:val="20"/>
              </w:rPr>
              <w:t>、</w:t>
            </w:r>
            <w:r>
              <w:rPr>
                <w:rFonts w:cs="Times New Roman"/>
                <w:kern w:val="0"/>
                <w:szCs w:val="20"/>
              </w:rPr>
              <w:t>油墨及其类似产品制造</w:t>
            </w:r>
            <w:r>
              <w:rPr>
                <w:rFonts w:hint="eastAsia" w:cs="Times New Roman"/>
                <w:kern w:val="0"/>
                <w:szCs w:val="20"/>
              </w:rPr>
              <w:t>；</w:t>
            </w:r>
            <w:r>
              <w:rPr>
                <w:rFonts w:cs="Times New Roman"/>
                <w:kern w:val="0"/>
                <w:szCs w:val="20"/>
              </w:rPr>
              <w:t>合成材料制造</w:t>
            </w:r>
            <w:r>
              <w:rPr>
                <w:rFonts w:hint="eastAsia" w:cs="Times New Roman"/>
                <w:kern w:val="0"/>
                <w:szCs w:val="20"/>
              </w:rPr>
              <w:t>；</w:t>
            </w:r>
            <w:r>
              <w:rPr>
                <w:rFonts w:cs="Times New Roman"/>
                <w:kern w:val="0"/>
                <w:szCs w:val="20"/>
              </w:rPr>
              <w:t>炸药</w:t>
            </w:r>
            <w:r>
              <w:rPr>
                <w:rFonts w:hint="eastAsia" w:cs="Times New Roman"/>
                <w:kern w:val="0"/>
                <w:szCs w:val="20"/>
              </w:rPr>
              <w:t>、</w:t>
            </w:r>
            <w:r>
              <w:rPr>
                <w:rFonts w:cs="Times New Roman"/>
                <w:kern w:val="0"/>
                <w:szCs w:val="20"/>
              </w:rPr>
              <w:t>火工及焰火产品制造</w:t>
            </w:r>
            <w:r>
              <w:rPr>
                <w:rFonts w:hint="eastAsia" w:cs="Times New Roman"/>
                <w:kern w:val="0"/>
                <w:szCs w:val="20"/>
              </w:rPr>
              <w:t>；</w:t>
            </w:r>
            <w:r>
              <w:rPr>
                <w:rFonts w:cs="Times New Roman"/>
                <w:kern w:val="0"/>
                <w:szCs w:val="20"/>
              </w:rPr>
              <w:t>水处理剂等制造</w:t>
            </w:r>
            <w:r>
              <w:rPr>
                <w:rFonts w:hint="eastAsia" w:cs="Times New Roman"/>
                <w:kern w:val="0"/>
                <w:szCs w:val="20"/>
              </w:rPr>
              <w:t>；</w:t>
            </w:r>
            <w:r>
              <w:rPr>
                <w:rFonts w:cs="Times New Roman"/>
                <w:kern w:val="0"/>
                <w:szCs w:val="20"/>
              </w:rPr>
              <w:t>化学药品制造</w:t>
            </w:r>
            <w:r>
              <w:rPr>
                <w:rFonts w:hint="eastAsia" w:cs="Times New Roman"/>
                <w:kern w:val="0"/>
                <w:szCs w:val="20"/>
              </w:rPr>
              <w:t>；</w:t>
            </w:r>
            <w:r>
              <w:rPr>
                <w:rFonts w:cs="Times New Roman"/>
                <w:kern w:val="0"/>
                <w:szCs w:val="20"/>
              </w:rPr>
              <w:t>生物</w:t>
            </w:r>
            <w:r>
              <w:rPr>
                <w:rFonts w:hint="eastAsia" w:cs="Times New Roman"/>
                <w:kern w:val="0"/>
                <w:szCs w:val="20"/>
              </w:rPr>
              <w:t>、</w:t>
            </w:r>
            <w:r>
              <w:rPr>
                <w:rFonts w:cs="Times New Roman"/>
                <w:kern w:val="0"/>
                <w:szCs w:val="20"/>
              </w:rPr>
              <w:t>生化制品制造</w:t>
            </w:r>
          </w:p>
        </w:tc>
        <w:tc>
          <w:tcPr>
            <w:tcW w:w="785" w:type="pct"/>
            <w:tcBorders>
              <w:top w:val="single" w:color="auto" w:sz="4" w:space="0"/>
              <w:left w:val="nil"/>
              <w:bottom w:val="single" w:color="auto" w:sz="12" w:space="0"/>
              <w:right w:val="single" w:color="auto" w:sz="4" w:space="0"/>
            </w:tcBorders>
            <w:vAlign w:val="center"/>
          </w:tcPr>
          <w:p w14:paraId="73EC7C40">
            <w:pPr>
              <w:pStyle w:val="445"/>
              <w:rPr>
                <w:rFonts w:cs="Times New Roman"/>
                <w:kern w:val="0"/>
                <w:szCs w:val="20"/>
              </w:rPr>
            </w:pPr>
            <w:r>
              <w:rPr>
                <w:rFonts w:cs="Times New Roman"/>
                <w:kern w:val="0"/>
                <w:szCs w:val="20"/>
              </w:rPr>
              <w:t>半导体材料</w:t>
            </w:r>
            <w:r>
              <w:rPr>
                <w:rFonts w:hint="eastAsia" w:cs="Times New Roman"/>
                <w:kern w:val="0"/>
                <w:szCs w:val="20"/>
              </w:rPr>
              <w:t>、</w:t>
            </w:r>
            <w:r>
              <w:rPr>
                <w:rFonts w:cs="Times New Roman"/>
                <w:kern w:val="0"/>
                <w:szCs w:val="20"/>
              </w:rPr>
              <w:t>日用化学品制造</w:t>
            </w:r>
            <w:r>
              <w:rPr>
                <w:rFonts w:hint="eastAsia" w:cs="Times New Roman"/>
                <w:kern w:val="0"/>
                <w:szCs w:val="20"/>
              </w:rPr>
              <w:t>；</w:t>
            </w:r>
            <w:r>
              <w:rPr>
                <w:rFonts w:cs="Times New Roman"/>
                <w:kern w:val="0"/>
                <w:szCs w:val="20"/>
              </w:rPr>
              <w:t>化学肥料肥料制造</w:t>
            </w:r>
          </w:p>
        </w:tc>
        <w:tc>
          <w:tcPr>
            <w:tcW w:w="397" w:type="pct"/>
            <w:tcBorders>
              <w:top w:val="single" w:color="auto" w:sz="4" w:space="0"/>
              <w:left w:val="nil"/>
              <w:bottom w:val="single" w:color="auto" w:sz="12" w:space="0"/>
              <w:right w:val="single" w:color="auto" w:sz="4" w:space="0"/>
            </w:tcBorders>
            <w:vAlign w:val="center"/>
          </w:tcPr>
          <w:p w14:paraId="52679CA2">
            <w:pPr>
              <w:pStyle w:val="445"/>
              <w:rPr>
                <w:rFonts w:cs="Times New Roman"/>
                <w:kern w:val="0"/>
                <w:szCs w:val="20"/>
              </w:rPr>
            </w:pPr>
            <w:r>
              <w:rPr>
                <w:rFonts w:cs="Times New Roman"/>
                <w:kern w:val="0"/>
                <w:szCs w:val="20"/>
              </w:rPr>
              <w:t>其他</w:t>
            </w:r>
          </w:p>
        </w:tc>
        <w:tc>
          <w:tcPr>
            <w:tcW w:w="469" w:type="pct"/>
            <w:tcBorders>
              <w:top w:val="single" w:color="auto" w:sz="4" w:space="0"/>
              <w:left w:val="nil"/>
              <w:bottom w:val="single" w:color="auto" w:sz="12" w:space="0"/>
              <w:right w:val="single" w:color="auto" w:sz="4" w:space="0"/>
            </w:tcBorders>
            <w:vAlign w:val="center"/>
          </w:tcPr>
          <w:p w14:paraId="6BF0D694">
            <w:pPr>
              <w:pStyle w:val="445"/>
              <w:rPr>
                <w:rFonts w:cs="Times New Roman"/>
                <w:kern w:val="0"/>
                <w:szCs w:val="20"/>
              </w:rPr>
            </w:pPr>
            <w:r>
              <w:rPr>
                <w:rFonts w:hint="eastAsia" w:cs="Times New Roman"/>
                <w:kern w:val="0"/>
                <w:szCs w:val="20"/>
              </w:rPr>
              <w:t>/</w:t>
            </w:r>
          </w:p>
        </w:tc>
        <w:tc>
          <w:tcPr>
            <w:tcW w:w="757" w:type="pct"/>
            <w:tcBorders>
              <w:top w:val="single" w:color="auto" w:sz="4" w:space="0"/>
              <w:left w:val="nil"/>
              <w:bottom w:val="single" w:color="auto" w:sz="12" w:space="0"/>
              <w:right w:val="nil"/>
            </w:tcBorders>
            <w:vAlign w:val="center"/>
          </w:tcPr>
          <w:p w14:paraId="1164E2E8">
            <w:pPr>
              <w:pStyle w:val="445"/>
              <w:rPr>
                <w:rFonts w:cs="Times New Roman"/>
                <w:kern w:val="0"/>
                <w:szCs w:val="20"/>
              </w:rPr>
            </w:pPr>
            <w:r>
              <w:rPr>
                <w:rFonts w:hint="eastAsia" w:cs="Times New Roman"/>
                <w:kern w:val="0"/>
                <w:szCs w:val="20"/>
              </w:rPr>
              <w:t>本项目属于</w:t>
            </w:r>
            <w:r>
              <w:rPr>
                <w:rFonts w:cs="Times New Roman"/>
                <w:kern w:val="0"/>
                <w:szCs w:val="20"/>
              </w:rPr>
              <w:t>I</w:t>
            </w:r>
            <w:r>
              <w:rPr>
                <w:rFonts w:hint="eastAsia" w:cs="Times New Roman"/>
                <w:kern w:val="0"/>
                <w:szCs w:val="20"/>
              </w:rPr>
              <w:t>类</w:t>
            </w:r>
          </w:p>
        </w:tc>
      </w:tr>
    </w:tbl>
    <w:p w14:paraId="706282B0">
      <w:pPr>
        <w:pStyle w:val="278"/>
      </w:pPr>
      <w:r>
        <w:rPr>
          <w:rFonts w:hint="eastAsia"/>
        </w:rPr>
        <w:t>表</w:t>
      </w:r>
      <w:r>
        <w:t>2.3.1-21  土壤环境敏感程度分级表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5812"/>
        <w:gridCol w:w="1792"/>
      </w:tblGrid>
      <w:tr w14:paraId="1BC9D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1413" w:type="dxa"/>
            <w:vAlign w:val="center"/>
          </w:tcPr>
          <w:p w14:paraId="0E3C90ED">
            <w:pPr>
              <w:pStyle w:val="445"/>
              <w:rPr>
                <w:rFonts w:cs="Times New Roman"/>
                <w:kern w:val="0"/>
                <w:szCs w:val="20"/>
              </w:rPr>
            </w:pPr>
            <w:r>
              <w:rPr>
                <w:rFonts w:hint="eastAsia" w:cs="Times New Roman"/>
                <w:kern w:val="0"/>
                <w:szCs w:val="20"/>
              </w:rPr>
              <w:t>敏感程度</w:t>
            </w:r>
          </w:p>
        </w:tc>
        <w:tc>
          <w:tcPr>
            <w:tcW w:w="5812" w:type="dxa"/>
            <w:vAlign w:val="center"/>
          </w:tcPr>
          <w:p w14:paraId="449098A8">
            <w:pPr>
              <w:pStyle w:val="445"/>
              <w:rPr>
                <w:rFonts w:cs="Times New Roman"/>
                <w:kern w:val="0"/>
                <w:szCs w:val="20"/>
              </w:rPr>
            </w:pPr>
            <w:r>
              <w:rPr>
                <w:rFonts w:hint="eastAsia" w:cs="Times New Roman"/>
                <w:kern w:val="0"/>
                <w:szCs w:val="20"/>
              </w:rPr>
              <w:t>判别依据</w:t>
            </w:r>
          </w:p>
        </w:tc>
        <w:tc>
          <w:tcPr>
            <w:tcW w:w="1792" w:type="dxa"/>
            <w:vAlign w:val="center"/>
          </w:tcPr>
          <w:p w14:paraId="7A3D4696">
            <w:pPr>
              <w:pStyle w:val="445"/>
              <w:rPr>
                <w:rFonts w:cs="Times New Roman"/>
                <w:kern w:val="0"/>
                <w:szCs w:val="20"/>
              </w:rPr>
            </w:pPr>
            <w:r>
              <w:rPr>
                <w:rFonts w:hint="eastAsia" w:cs="Times New Roman"/>
                <w:kern w:val="0"/>
                <w:szCs w:val="20"/>
              </w:rPr>
              <w:t>本项目属性</w:t>
            </w:r>
          </w:p>
        </w:tc>
      </w:tr>
      <w:tr w14:paraId="013E2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413" w:type="dxa"/>
            <w:vAlign w:val="center"/>
          </w:tcPr>
          <w:p w14:paraId="290B27C7">
            <w:pPr>
              <w:pStyle w:val="445"/>
              <w:rPr>
                <w:rFonts w:cs="Times New Roman"/>
                <w:kern w:val="0"/>
                <w:szCs w:val="20"/>
              </w:rPr>
            </w:pPr>
            <w:r>
              <w:rPr>
                <w:rFonts w:hint="eastAsia" w:cs="Times New Roman"/>
                <w:kern w:val="0"/>
                <w:szCs w:val="20"/>
              </w:rPr>
              <w:t>敏感</w:t>
            </w:r>
          </w:p>
        </w:tc>
        <w:tc>
          <w:tcPr>
            <w:tcW w:w="5812" w:type="dxa"/>
            <w:vAlign w:val="center"/>
          </w:tcPr>
          <w:p w14:paraId="2C01D2B6">
            <w:pPr>
              <w:pStyle w:val="445"/>
              <w:rPr>
                <w:rFonts w:cs="Times New Roman"/>
                <w:kern w:val="0"/>
                <w:szCs w:val="20"/>
              </w:rPr>
            </w:pPr>
            <w:r>
              <w:rPr>
                <w:rFonts w:hint="eastAsia" w:cs="Times New Roman"/>
                <w:kern w:val="0"/>
                <w:szCs w:val="20"/>
              </w:rPr>
              <w:t>建设项目周边存在耕地、园地、牧草地、自来水源地或居民区、学校、医院、疗养院、养老院等土壤环境敏感目标的</w:t>
            </w:r>
          </w:p>
        </w:tc>
        <w:tc>
          <w:tcPr>
            <w:tcW w:w="1792" w:type="dxa"/>
            <w:vMerge w:val="restart"/>
            <w:vAlign w:val="center"/>
          </w:tcPr>
          <w:p w14:paraId="5CFD6CA7">
            <w:pPr>
              <w:pStyle w:val="445"/>
              <w:rPr>
                <w:rFonts w:cs="Times New Roman"/>
                <w:kern w:val="0"/>
                <w:szCs w:val="20"/>
              </w:rPr>
            </w:pPr>
            <w:r>
              <w:rPr>
                <w:rFonts w:hint="eastAsia" w:cs="Times New Roman"/>
                <w:kern w:val="0"/>
                <w:szCs w:val="20"/>
              </w:rPr>
              <w:t>本项目为敏感</w:t>
            </w:r>
          </w:p>
        </w:tc>
      </w:tr>
      <w:tr w14:paraId="77662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3" w:type="dxa"/>
            <w:vAlign w:val="center"/>
          </w:tcPr>
          <w:p w14:paraId="48B8834D">
            <w:pPr>
              <w:pStyle w:val="445"/>
              <w:rPr>
                <w:rFonts w:cs="Times New Roman"/>
                <w:kern w:val="0"/>
                <w:szCs w:val="20"/>
              </w:rPr>
            </w:pPr>
            <w:r>
              <w:rPr>
                <w:rFonts w:hint="eastAsia" w:cs="Times New Roman"/>
                <w:kern w:val="0"/>
                <w:szCs w:val="20"/>
              </w:rPr>
              <w:t>较敏感</w:t>
            </w:r>
          </w:p>
        </w:tc>
        <w:tc>
          <w:tcPr>
            <w:tcW w:w="5812" w:type="dxa"/>
            <w:vAlign w:val="center"/>
          </w:tcPr>
          <w:p w14:paraId="6991FCAF">
            <w:pPr>
              <w:pStyle w:val="445"/>
              <w:rPr>
                <w:rFonts w:cs="Times New Roman"/>
                <w:kern w:val="0"/>
                <w:szCs w:val="20"/>
              </w:rPr>
            </w:pPr>
            <w:r>
              <w:rPr>
                <w:rFonts w:hint="eastAsia" w:cs="Times New Roman"/>
                <w:kern w:val="0"/>
                <w:szCs w:val="20"/>
              </w:rPr>
              <w:t>建设项目周边存在其他土壤环境敏感目标的</w:t>
            </w:r>
          </w:p>
        </w:tc>
        <w:tc>
          <w:tcPr>
            <w:tcW w:w="0" w:type="auto"/>
            <w:vMerge w:val="continue"/>
            <w:vAlign w:val="center"/>
          </w:tcPr>
          <w:p w14:paraId="2097B778">
            <w:pPr>
              <w:pStyle w:val="445"/>
              <w:rPr>
                <w:rFonts w:cs="Times New Roman"/>
                <w:kern w:val="0"/>
                <w:szCs w:val="18"/>
              </w:rPr>
            </w:pPr>
          </w:p>
        </w:tc>
      </w:tr>
      <w:tr w14:paraId="4B9F1B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25F2C001">
            <w:pPr>
              <w:pStyle w:val="445"/>
              <w:rPr>
                <w:rFonts w:cs="Times New Roman"/>
                <w:kern w:val="0"/>
                <w:szCs w:val="20"/>
              </w:rPr>
            </w:pPr>
            <w:r>
              <w:rPr>
                <w:rFonts w:hint="eastAsia" w:cs="Times New Roman"/>
                <w:kern w:val="0"/>
                <w:szCs w:val="20"/>
              </w:rPr>
              <w:t>不敏感</w:t>
            </w:r>
          </w:p>
        </w:tc>
        <w:tc>
          <w:tcPr>
            <w:tcW w:w="5812" w:type="dxa"/>
            <w:vAlign w:val="center"/>
          </w:tcPr>
          <w:p w14:paraId="6CBCB9E8">
            <w:pPr>
              <w:pStyle w:val="445"/>
              <w:rPr>
                <w:rFonts w:cs="Times New Roman"/>
                <w:kern w:val="0"/>
                <w:szCs w:val="20"/>
              </w:rPr>
            </w:pPr>
            <w:r>
              <w:rPr>
                <w:rFonts w:hint="eastAsia" w:cs="Times New Roman"/>
                <w:kern w:val="0"/>
                <w:szCs w:val="20"/>
              </w:rPr>
              <w:t>其他情况</w:t>
            </w:r>
          </w:p>
        </w:tc>
        <w:tc>
          <w:tcPr>
            <w:tcW w:w="0" w:type="auto"/>
            <w:vMerge w:val="continue"/>
            <w:vAlign w:val="center"/>
          </w:tcPr>
          <w:p w14:paraId="1F34E76E">
            <w:pPr>
              <w:pStyle w:val="445"/>
              <w:rPr>
                <w:rFonts w:cs="Times New Roman"/>
                <w:kern w:val="0"/>
                <w:szCs w:val="18"/>
              </w:rPr>
            </w:pPr>
          </w:p>
        </w:tc>
      </w:tr>
    </w:tbl>
    <w:p w14:paraId="31DD0B53">
      <w:pPr>
        <w:ind w:firstLine="480"/>
        <w:rPr>
          <w:rFonts w:cs="Times New Roman"/>
        </w:rPr>
      </w:pPr>
      <w:r>
        <w:rPr>
          <w:rFonts w:hint="eastAsia" w:ascii="宋体" w:hAnsi="宋体"/>
          <w:bCs/>
        </w:rPr>
        <w:t>根据《环境影响评价技术导则</w:t>
      </w:r>
      <w:r>
        <w:rPr>
          <w:rFonts w:hint="eastAsia"/>
          <w:bCs/>
        </w:rPr>
        <w:t xml:space="preserve">  </w:t>
      </w:r>
      <w:r>
        <w:rPr>
          <w:rFonts w:hint="eastAsia" w:ascii="宋体" w:hAnsi="宋体"/>
          <w:bCs/>
        </w:rPr>
        <w:t>土壤环境》（</w:t>
      </w:r>
      <w:r>
        <w:rPr>
          <w:bCs/>
        </w:rPr>
        <w:t>HJ964-2018</w:t>
      </w:r>
      <w:r>
        <w:rPr>
          <w:rFonts w:hint="eastAsia" w:ascii="宋体" w:hAnsi="宋体"/>
          <w:bCs/>
        </w:rPr>
        <w:t>）可知本项目为污染影响型，且建设项目占地规模</w:t>
      </w:r>
      <w:r>
        <w:rPr>
          <w:bCs/>
        </w:rPr>
        <w:t>100.246</w:t>
      </w:r>
      <w:r>
        <w:rPr>
          <w:rFonts w:hint="eastAsia" w:ascii="宋体" w:hAnsi="宋体"/>
          <w:bCs/>
        </w:rPr>
        <w:t>亩（</w:t>
      </w:r>
      <w:r>
        <w:rPr>
          <w:bCs/>
        </w:rPr>
        <w:t>5hm</w:t>
      </w:r>
      <w:r>
        <w:rPr>
          <w:bCs/>
          <w:vertAlign w:val="superscript"/>
        </w:rPr>
        <w:t>2</w:t>
      </w:r>
      <w:r>
        <w:rPr>
          <w:rFonts w:hint="eastAsia" w:ascii="宋体" w:hAnsi="宋体"/>
          <w:bCs/>
        </w:rPr>
        <w:t>＜</w:t>
      </w:r>
      <w:r>
        <w:rPr>
          <w:bCs/>
        </w:rPr>
        <w:t>6.68hm</w:t>
      </w:r>
      <w:r>
        <w:rPr>
          <w:bCs/>
          <w:vertAlign w:val="superscript"/>
        </w:rPr>
        <w:t>2</w:t>
      </w:r>
      <w:r>
        <w:rPr>
          <w:rFonts w:hint="eastAsia" w:ascii="宋体" w:hAnsi="宋体"/>
          <w:bCs/>
        </w:rPr>
        <w:t>＜</w:t>
      </w:r>
      <w:r>
        <w:rPr>
          <w:bCs/>
        </w:rPr>
        <w:t>50hm</w:t>
      </w:r>
      <w:r>
        <w:rPr>
          <w:bCs/>
          <w:vertAlign w:val="superscript"/>
        </w:rPr>
        <w:t>2</w:t>
      </w:r>
      <w:r>
        <w:rPr>
          <w:rFonts w:hint="eastAsia" w:ascii="宋体" w:hAnsi="宋体"/>
          <w:bCs/>
        </w:rPr>
        <w:t>），为中型占地规模。本项目行业类别为，属于“</w:t>
      </w:r>
      <w:r>
        <w:t>I</w:t>
      </w:r>
      <w:r>
        <w:rPr>
          <w:rFonts w:hint="eastAsia" w:ascii="宋体" w:hAnsi="宋体"/>
          <w:bCs/>
        </w:rPr>
        <w:t>类”项目类别，建设</w:t>
      </w:r>
      <w:r>
        <w:rPr>
          <w:rFonts w:ascii="宋体" w:hAnsi="宋体"/>
          <w:bCs/>
        </w:rPr>
        <w:t>项目周边存在耕地</w:t>
      </w:r>
      <w:r>
        <w:rPr>
          <w:rFonts w:hint="eastAsia" w:ascii="宋体" w:hAnsi="宋体"/>
          <w:bCs/>
        </w:rPr>
        <w:t>，故土壤环境敏感程度为敏感。对照《环境影响评价技术导则</w:t>
      </w:r>
      <w:r>
        <w:rPr>
          <w:rFonts w:hint="eastAsia"/>
          <w:bCs/>
        </w:rPr>
        <w:t xml:space="preserve"> </w:t>
      </w:r>
      <w:r>
        <w:rPr>
          <w:rFonts w:hint="eastAsia" w:ascii="宋体" w:hAnsi="宋体"/>
          <w:bCs/>
        </w:rPr>
        <w:t>土壤环境（试行）》（</w:t>
      </w:r>
      <w:r>
        <w:rPr>
          <w:bCs/>
        </w:rPr>
        <w:t>HJ964-2018</w:t>
      </w:r>
      <w:r>
        <w:rPr>
          <w:rFonts w:hint="eastAsia" w:ascii="宋体" w:hAnsi="宋体"/>
          <w:bCs/>
        </w:rPr>
        <w:t>）可知建设项目土壤环境影响评价工作等级为一级</w:t>
      </w:r>
      <w:r>
        <w:rPr>
          <w:rFonts w:hint="eastAsia" w:ascii="宋体" w:hAnsi="宋体"/>
        </w:rPr>
        <w:t>。</w:t>
      </w:r>
    </w:p>
    <w:p w14:paraId="08084DF1">
      <w:pPr>
        <w:spacing w:line="500" w:lineRule="exact"/>
        <w:ind w:firstLine="0" w:firstLineChars="0"/>
        <w:jc w:val="center"/>
        <w:rPr>
          <w:rFonts w:eastAsia="黑体"/>
        </w:rPr>
      </w:pPr>
      <w:r>
        <w:rPr>
          <w:rFonts w:hint="eastAsia" w:ascii="黑体" w:hAnsi="黑体" w:eastAsia="黑体"/>
        </w:rPr>
        <w:t>表</w:t>
      </w:r>
      <w:r>
        <w:rPr>
          <w:rFonts w:eastAsia="黑体"/>
        </w:rPr>
        <w:t xml:space="preserve">2.3.1-22  </w:t>
      </w:r>
      <w:r>
        <w:rPr>
          <w:rFonts w:ascii="黑体" w:hAnsi="黑体" w:eastAsia="黑体"/>
        </w:rPr>
        <w:t>土壤评价工作等级划分表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902"/>
        <w:gridCol w:w="902"/>
        <w:gridCol w:w="902"/>
        <w:gridCol w:w="903"/>
        <w:gridCol w:w="903"/>
        <w:gridCol w:w="903"/>
        <w:gridCol w:w="903"/>
        <w:gridCol w:w="903"/>
        <w:gridCol w:w="903"/>
      </w:tblGrid>
      <w:tr w14:paraId="27A34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 w:type="dxa"/>
            <w:vMerge w:val="restart"/>
            <w:vAlign w:val="center"/>
          </w:tcPr>
          <w:p w14:paraId="41A2C169">
            <w:pPr>
              <w:pStyle w:val="445"/>
              <w:rPr>
                <w:rFonts w:cs="Times New Roman"/>
                <w:kern w:val="0"/>
                <w:szCs w:val="20"/>
              </w:rPr>
            </w:pPr>
          </w:p>
        </w:tc>
        <w:tc>
          <w:tcPr>
            <w:tcW w:w="2706" w:type="dxa"/>
            <w:gridSpan w:val="3"/>
            <w:vAlign w:val="center"/>
          </w:tcPr>
          <w:p w14:paraId="1BE2AF17">
            <w:pPr>
              <w:pStyle w:val="445"/>
              <w:rPr>
                <w:rFonts w:cs="Times New Roman"/>
                <w:kern w:val="0"/>
                <w:szCs w:val="20"/>
              </w:rPr>
            </w:pPr>
            <w:r>
              <w:rPr>
                <w:rFonts w:cs="Times New Roman"/>
                <w:kern w:val="0"/>
                <w:szCs w:val="20"/>
              </w:rPr>
              <w:t>Ⅰ</w:t>
            </w:r>
          </w:p>
        </w:tc>
        <w:tc>
          <w:tcPr>
            <w:tcW w:w="2709" w:type="dxa"/>
            <w:gridSpan w:val="3"/>
            <w:vAlign w:val="center"/>
          </w:tcPr>
          <w:p w14:paraId="6263C5F1">
            <w:pPr>
              <w:pStyle w:val="445"/>
              <w:rPr>
                <w:rFonts w:cs="Times New Roman"/>
                <w:kern w:val="0"/>
                <w:szCs w:val="20"/>
              </w:rPr>
            </w:pPr>
            <w:r>
              <w:rPr>
                <w:rFonts w:cs="Times New Roman"/>
                <w:kern w:val="0"/>
                <w:szCs w:val="20"/>
              </w:rPr>
              <w:t>Ⅱ</w:t>
            </w:r>
          </w:p>
        </w:tc>
        <w:tc>
          <w:tcPr>
            <w:tcW w:w="2709" w:type="dxa"/>
            <w:gridSpan w:val="3"/>
            <w:vAlign w:val="center"/>
          </w:tcPr>
          <w:p w14:paraId="28AD9E6C">
            <w:pPr>
              <w:pStyle w:val="445"/>
              <w:rPr>
                <w:rFonts w:cs="Times New Roman"/>
                <w:kern w:val="0"/>
                <w:szCs w:val="20"/>
              </w:rPr>
            </w:pPr>
            <w:r>
              <w:rPr>
                <w:rFonts w:cs="Times New Roman"/>
                <w:kern w:val="0"/>
                <w:szCs w:val="20"/>
              </w:rPr>
              <w:t>Ⅲ</w:t>
            </w:r>
          </w:p>
        </w:tc>
      </w:tr>
      <w:tr w14:paraId="666E8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F40133F">
            <w:pPr>
              <w:pStyle w:val="445"/>
              <w:rPr>
                <w:rFonts w:ascii="Calibri" w:hAnsi="Calibri" w:cs="Times New Roman"/>
                <w:kern w:val="0"/>
                <w:szCs w:val="18"/>
              </w:rPr>
            </w:pPr>
          </w:p>
        </w:tc>
        <w:tc>
          <w:tcPr>
            <w:tcW w:w="902" w:type="dxa"/>
            <w:vAlign w:val="center"/>
          </w:tcPr>
          <w:p w14:paraId="182F212B">
            <w:pPr>
              <w:pStyle w:val="445"/>
              <w:rPr>
                <w:rFonts w:cs="Times New Roman"/>
                <w:kern w:val="0"/>
                <w:szCs w:val="20"/>
              </w:rPr>
            </w:pPr>
            <w:r>
              <w:rPr>
                <w:rFonts w:ascii="宋体" w:hAnsi="宋体" w:cs="Times New Roman"/>
                <w:kern w:val="0"/>
                <w:szCs w:val="20"/>
              </w:rPr>
              <w:t>大</w:t>
            </w:r>
          </w:p>
        </w:tc>
        <w:tc>
          <w:tcPr>
            <w:tcW w:w="902" w:type="dxa"/>
            <w:vAlign w:val="center"/>
          </w:tcPr>
          <w:p w14:paraId="63183AD2">
            <w:pPr>
              <w:pStyle w:val="445"/>
              <w:rPr>
                <w:rFonts w:cs="Times New Roman"/>
                <w:kern w:val="0"/>
                <w:szCs w:val="20"/>
              </w:rPr>
            </w:pPr>
            <w:r>
              <w:rPr>
                <w:rFonts w:ascii="宋体" w:hAnsi="宋体" w:cs="Times New Roman"/>
                <w:kern w:val="0"/>
                <w:szCs w:val="20"/>
              </w:rPr>
              <w:t>中</w:t>
            </w:r>
          </w:p>
        </w:tc>
        <w:tc>
          <w:tcPr>
            <w:tcW w:w="902" w:type="dxa"/>
            <w:vAlign w:val="center"/>
          </w:tcPr>
          <w:p w14:paraId="33958014">
            <w:pPr>
              <w:pStyle w:val="445"/>
              <w:rPr>
                <w:rFonts w:cs="Times New Roman"/>
                <w:kern w:val="0"/>
                <w:szCs w:val="20"/>
              </w:rPr>
            </w:pPr>
            <w:r>
              <w:rPr>
                <w:rFonts w:ascii="宋体" w:hAnsi="宋体" w:cs="Times New Roman"/>
                <w:kern w:val="0"/>
                <w:szCs w:val="20"/>
              </w:rPr>
              <w:t>小</w:t>
            </w:r>
          </w:p>
        </w:tc>
        <w:tc>
          <w:tcPr>
            <w:tcW w:w="903" w:type="dxa"/>
            <w:vAlign w:val="center"/>
          </w:tcPr>
          <w:p w14:paraId="095F476D">
            <w:pPr>
              <w:pStyle w:val="445"/>
              <w:rPr>
                <w:rFonts w:cs="Times New Roman"/>
                <w:kern w:val="0"/>
                <w:szCs w:val="20"/>
              </w:rPr>
            </w:pPr>
            <w:r>
              <w:rPr>
                <w:rFonts w:ascii="宋体" w:hAnsi="宋体" w:cs="Times New Roman"/>
                <w:kern w:val="0"/>
                <w:szCs w:val="20"/>
              </w:rPr>
              <w:t>大</w:t>
            </w:r>
          </w:p>
        </w:tc>
        <w:tc>
          <w:tcPr>
            <w:tcW w:w="903" w:type="dxa"/>
            <w:vAlign w:val="center"/>
          </w:tcPr>
          <w:p w14:paraId="2743D101">
            <w:pPr>
              <w:pStyle w:val="445"/>
              <w:rPr>
                <w:rFonts w:cs="Times New Roman"/>
                <w:kern w:val="0"/>
                <w:szCs w:val="20"/>
              </w:rPr>
            </w:pPr>
            <w:r>
              <w:rPr>
                <w:rFonts w:ascii="宋体" w:hAnsi="宋体" w:cs="Times New Roman"/>
                <w:kern w:val="0"/>
                <w:szCs w:val="20"/>
              </w:rPr>
              <w:t>中</w:t>
            </w:r>
          </w:p>
        </w:tc>
        <w:tc>
          <w:tcPr>
            <w:tcW w:w="903" w:type="dxa"/>
            <w:vAlign w:val="center"/>
          </w:tcPr>
          <w:p w14:paraId="6FB5D3E0">
            <w:pPr>
              <w:pStyle w:val="445"/>
              <w:rPr>
                <w:rFonts w:cs="Times New Roman"/>
                <w:kern w:val="0"/>
                <w:szCs w:val="20"/>
              </w:rPr>
            </w:pPr>
            <w:r>
              <w:rPr>
                <w:rFonts w:ascii="宋体" w:hAnsi="宋体" w:cs="Times New Roman"/>
                <w:kern w:val="0"/>
                <w:szCs w:val="20"/>
              </w:rPr>
              <w:t>小</w:t>
            </w:r>
          </w:p>
        </w:tc>
        <w:tc>
          <w:tcPr>
            <w:tcW w:w="903" w:type="dxa"/>
            <w:vAlign w:val="center"/>
          </w:tcPr>
          <w:p w14:paraId="2D8E2147">
            <w:pPr>
              <w:pStyle w:val="445"/>
              <w:rPr>
                <w:rFonts w:cs="Times New Roman"/>
                <w:kern w:val="0"/>
                <w:szCs w:val="20"/>
              </w:rPr>
            </w:pPr>
            <w:r>
              <w:rPr>
                <w:rFonts w:ascii="宋体" w:hAnsi="宋体" w:cs="Times New Roman"/>
                <w:kern w:val="0"/>
                <w:szCs w:val="20"/>
              </w:rPr>
              <w:t>大</w:t>
            </w:r>
          </w:p>
        </w:tc>
        <w:tc>
          <w:tcPr>
            <w:tcW w:w="903" w:type="dxa"/>
            <w:vAlign w:val="center"/>
          </w:tcPr>
          <w:p w14:paraId="409F5FA8">
            <w:pPr>
              <w:pStyle w:val="445"/>
              <w:rPr>
                <w:rFonts w:cs="Times New Roman"/>
                <w:kern w:val="0"/>
                <w:szCs w:val="20"/>
              </w:rPr>
            </w:pPr>
            <w:r>
              <w:rPr>
                <w:rFonts w:ascii="宋体" w:hAnsi="宋体" w:cs="Times New Roman"/>
                <w:kern w:val="0"/>
                <w:szCs w:val="20"/>
              </w:rPr>
              <w:t>中</w:t>
            </w:r>
          </w:p>
        </w:tc>
        <w:tc>
          <w:tcPr>
            <w:tcW w:w="903" w:type="dxa"/>
            <w:vAlign w:val="center"/>
          </w:tcPr>
          <w:p w14:paraId="3D259915">
            <w:pPr>
              <w:pStyle w:val="445"/>
              <w:rPr>
                <w:rFonts w:cs="Times New Roman"/>
                <w:kern w:val="0"/>
                <w:szCs w:val="20"/>
              </w:rPr>
            </w:pPr>
            <w:r>
              <w:rPr>
                <w:rFonts w:ascii="宋体" w:hAnsi="宋体" w:cs="Times New Roman"/>
                <w:kern w:val="0"/>
                <w:szCs w:val="20"/>
              </w:rPr>
              <w:t>小</w:t>
            </w:r>
          </w:p>
        </w:tc>
      </w:tr>
      <w:tr w14:paraId="011FA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 w:type="dxa"/>
            <w:vAlign w:val="center"/>
          </w:tcPr>
          <w:p w14:paraId="394E67C5">
            <w:pPr>
              <w:pStyle w:val="445"/>
              <w:rPr>
                <w:rFonts w:cs="Times New Roman"/>
                <w:kern w:val="0"/>
                <w:szCs w:val="20"/>
              </w:rPr>
            </w:pPr>
            <w:r>
              <w:rPr>
                <w:rFonts w:ascii="宋体" w:hAnsi="宋体" w:cs="Times New Roman"/>
                <w:kern w:val="0"/>
                <w:szCs w:val="20"/>
              </w:rPr>
              <w:t>敏感</w:t>
            </w:r>
          </w:p>
        </w:tc>
        <w:tc>
          <w:tcPr>
            <w:tcW w:w="902" w:type="dxa"/>
            <w:vAlign w:val="center"/>
          </w:tcPr>
          <w:p w14:paraId="0FEFBE1F">
            <w:pPr>
              <w:pStyle w:val="445"/>
              <w:rPr>
                <w:rFonts w:cs="Times New Roman"/>
                <w:kern w:val="0"/>
                <w:szCs w:val="20"/>
              </w:rPr>
            </w:pPr>
            <w:r>
              <w:rPr>
                <w:rFonts w:ascii="宋体" w:hAnsi="宋体" w:cs="Times New Roman"/>
                <w:kern w:val="0"/>
                <w:szCs w:val="20"/>
              </w:rPr>
              <w:t>一级</w:t>
            </w:r>
          </w:p>
        </w:tc>
        <w:tc>
          <w:tcPr>
            <w:tcW w:w="902" w:type="dxa"/>
            <w:shd w:val="clear" w:color="auto" w:fill="7F7F7F" w:themeFill="background1" w:themeFillShade="80"/>
            <w:vAlign w:val="center"/>
          </w:tcPr>
          <w:p w14:paraId="7B5D5EA9">
            <w:pPr>
              <w:pStyle w:val="445"/>
              <w:rPr>
                <w:rFonts w:cs="Times New Roman"/>
                <w:kern w:val="0"/>
                <w:szCs w:val="20"/>
              </w:rPr>
            </w:pPr>
            <w:r>
              <w:rPr>
                <w:rFonts w:ascii="宋体" w:hAnsi="宋体" w:cs="Times New Roman"/>
                <w:kern w:val="0"/>
                <w:szCs w:val="20"/>
              </w:rPr>
              <w:t>一级</w:t>
            </w:r>
          </w:p>
        </w:tc>
        <w:tc>
          <w:tcPr>
            <w:tcW w:w="902" w:type="dxa"/>
            <w:shd w:val="clear" w:color="auto" w:fill="auto"/>
            <w:vAlign w:val="center"/>
          </w:tcPr>
          <w:p w14:paraId="48056A76">
            <w:pPr>
              <w:pStyle w:val="445"/>
              <w:rPr>
                <w:rFonts w:cs="Times New Roman"/>
                <w:kern w:val="0"/>
                <w:szCs w:val="20"/>
              </w:rPr>
            </w:pPr>
            <w:r>
              <w:rPr>
                <w:rFonts w:ascii="宋体" w:hAnsi="宋体" w:cs="Times New Roman"/>
                <w:kern w:val="0"/>
                <w:szCs w:val="20"/>
              </w:rPr>
              <w:t>一级</w:t>
            </w:r>
          </w:p>
        </w:tc>
        <w:tc>
          <w:tcPr>
            <w:tcW w:w="903" w:type="dxa"/>
            <w:vAlign w:val="center"/>
          </w:tcPr>
          <w:p w14:paraId="12D20E75">
            <w:pPr>
              <w:pStyle w:val="445"/>
              <w:rPr>
                <w:rFonts w:cs="Times New Roman"/>
                <w:kern w:val="0"/>
                <w:szCs w:val="20"/>
              </w:rPr>
            </w:pPr>
            <w:r>
              <w:rPr>
                <w:rFonts w:ascii="宋体" w:hAnsi="宋体" w:cs="Times New Roman"/>
                <w:kern w:val="0"/>
                <w:szCs w:val="20"/>
              </w:rPr>
              <w:t>二级</w:t>
            </w:r>
          </w:p>
        </w:tc>
        <w:tc>
          <w:tcPr>
            <w:tcW w:w="903" w:type="dxa"/>
            <w:vAlign w:val="center"/>
          </w:tcPr>
          <w:p w14:paraId="1F814CF6">
            <w:pPr>
              <w:pStyle w:val="445"/>
              <w:rPr>
                <w:rFonts w:cs="Times New Roman"/>
                <w:kern w:val="0"/>
                <w:szCs w:val="20"/>
              </w:rPr>
            </w:pPr>
            <w:r>
              <w:rPr>
                <w:rFonts w:ascii="宋体" w:hAnsi="宋体" w:cs="Times New Roman"/>
                <w:kern w:val="0"/>
                <w:szCs w:val="20"/>
              </w:rPr>
              <w:t>二级</w:t>
            </w:r>
          </w:p>
        </w:tc>
        <w:tc>
          <w:tcPr>
            <w:tcW w:w="903" w:type="dxa"/>
            <w:vAlign w:val="center"/>
          </w:tcPr>
          <w:p w14:paraId="3E724485">
            <w:pPr>
              <w:pStyle w:val="445"/>
              <w:rPr>
                <w:rFonts w:cs="Times New Roman"/>
                <w:kern w:val="0"/>
                <w:szCs w:val="20"/>
              </w:rPr>
            </w:pPr>
            <w:r>
              <w:rPr>
                <w:rFonts w:ascii="宋体" w:hAnsi="宋体" w:cs="Times New Roman"/>
                <w:kern w:val="0"/>
                <w:szCs w:val="20"/>
              </w:rPr>
              <w:t>三级</w:t>
            </w:r>
          </w:p>
        </w:tc>
        <w:tc>
          <w:tcPr>
            <w:tcW w:w="903" w:type="dxa"/>
            <w:vAlign w:val="center"/>
          </w:tcPr>
          <w:p w14:paraId="40BB8346">
            <w:pPr>
              <w:pStyle w:val="445"/>
              <w:rPr>
                <w:rFonts w:cs="Times New Roman"/>
                <w:kern w:val="0"/>
                <w:szCs w:val="20"/>
              </w:rPr>
            </w:pPr>
            <w:r>
              <w:rPr>
                <w:rFonts w:ascii="宋体" w:hAnsi="宋体" w:cs="Times New Roman"/>
                <w:kern w:val="0"/>
                <w:szCs w:val="20"/>
              </w:rPr>
              <w:t>三级</w:t>
            </w:r>
          </w:p>
        </w:tc>
        <w:tc>
          <w:tcPr>
            <w:tcW w:w="903" w:type="dxa"/>
            <w:vAlign w:val="center"/>
          </w:tcPr>
          <w:p w14:paraId="74A7EFEA">
            <w:pPr>
              <w:pStyle w:val="445"/>
              <w:rPr>
                <w:rFonts w:cs="Times New Roman"/>
                <w:kern w:val="0"/>
                <w:szCs w:val="20"/>
              </w:rPr>
            </w:pPr>
            <w:r>
              <w:rPr>
                <w:rFonts w:ascii="宋体" w:hAnsi="宋体" w:cs="Times New Roman"/>
                <w:kern w:val="0"/>
                <w:szCs w:val="20"/>
              </w:rPr>
              <w:t>三级</w:t>
            </w:r>
          </w:p>
        </w:tc>
        <w:tc>
          <w:tcPr>
            <w:tcW w:w="903" w:type="dxa"/>
            <w:vAlign w:val="center"/>
          </w:tcPr>
          <w:p w14:paraId="69ABDBE4">
            <w:pPr>
              <w:pStyle w:val="445"/>
              <w:rPr>
                <w:rFonts w:cs="Times New Roman"/>
                <w:kern w:val="0"/>
                <w:szCs w:val="20"/>
              </w:rPr>
            </w:pPr>
            <w:r>
              <w:rPr>
                <w:rFonts w:ascii="宋体" w:hAnsi="宋体" w:cs="Times New Roman"/>
                <w:kern w:val="0"/>
                <w:szCs w:val="20"/>
              </w:rPr>
              <w:t>三级</w:t>
            </w:r>
          </w:p>
        </w:tc>
      </w:tr>
      <w:tr w14:paraId="7B272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 w:type="dxa"/>
            <w:vAlign w:val="center"/>
          </w:tcPr>
          <w:p w14:paraId="3708AF69">
            <w:pPr>
              <w:pStyle w:val="445"/>
              <w:rPr>
                <w:rFonts w:cs="Times New Roman"/>
                <w:kern w:val="0"/>
                <w:szCs w:val="20"/>
              </w:rPr>
            </w:pPr>
            <w:r>
              <w:rPr>
                <w:rFonts w:ascii="宋体" w:hAnsi="宋体" w:cs="Times New Roman"/>
                <w:kern w:val="0"/>
                <w:szCs w:val="20"/>
              </w:rPr>
              <w:t>较敏感</w:t>
            </w:r>
          </w:p>
        </w:tc>
        <w:tc>
          <w:tcPr>
            <w:tcW w:w="902" w:type="dxa"/>
            <w:vAlign w:val="center"/>
          </w:tcPr>
          <w:p w14:paraId="633E1A26">
            <w:pPr>
              <w:pStyle w:val="445"/>
              <w:rPr>
                <w:rFonts w:cs="Times New Roman"/>
                <w:kern w:val="0"/>
                <w:szCs w:val="20"/>
              </w:rPr>
            </w:pPr>
            <w:r>
              <w:rPr>
                <w:rFonts w:ascii="宋体" w:hAnsi="宋体" w:cs="Times New Roman"/>
                <w:kern w:val="0"/>
                <w:szCs w:val="20"/>
              </w:rPr>
              <w:t>一级</w:t>
            </w:r>
          </w:p>
        </w:tc>
        <w:tc>
          <w:tcPr>
            <w:tcW w:w="902" w:type="dxa"/>
            <w:vAlign w:val="center"/>
          </w:tcPr>
          <w:p w14:paraId="607E024A">
            <w:pPr>
              <w:pStyle w:val="445"/>
              <w:rPr>
                <w:rFonts w:cs="Times New Roman"/>
                <w:kern w:val="0"/>
                <w:szCs w:val="20"/>
              </w:rPr>
            </w:pPr>
            <w:r>
              <w:rPr>
                <w:rFonts w:ascii="宋体" w:hAnsi="宋体" w:cs="Times New Roman"/>
                <w:kern w:val="0"/>
                <w:szCs w:val="20"/>
              </w:rPr>
              <w:t>一级</w:t>
            </w:r>
          </w:p>
        </w:tc>
        <w:tc>
          <w:tcPr>
            <w:tcW w:w="902" w:type="dxa"/>
            <w:vAlign w:val="center"/>
          </w:tcPr>
          <w:p w14:paraId="5D2AAC98">
            <w:pPr>
              <w:pStyle w:val="445"/>
              <w:rPr>
                <w:rFonts w:cs="Times New Roman"/>
                <w:kern w:val="0"/>
                <w:szCs w:val="20"/>
              </w:rPr>
            </w:pPr>
            <w:r>
              <w:rPr>
                <w:rFonts w:ascii="宋体" w:hAnsi="宋体" w:cs="Times New Roman"/>
                <w:kern w:val="0"/>
                <w:szCs w:val="20"/>
              </w:rPr>
              <w:t>二级</w:t>
            </w:r>
          </w:p>
        </w:tc>
        <w:tc>
          <w:tcPr>
            <w:tcW w:w="903" w:type="dxa"/>
            <w:vAlign w:val="center"/>
          </w:tcPr>
          <w:p w14:paraId="492C29A5">
            <w:pPr>
              <w:pStyle w:val="445"/>
              <w:rPr>
                <w:rFonts w:cs="Times New Roman"/>
                <w:kern w:val="0"/>
                <w:szCs w:val="20"/>
              </w:rPr>
            </w:pPr>
            <w:r>
              <w:rPr>
                <w:rFonts w:ascii="宋体" w:hAnsi="宋体" w:cs="Times New Roman"/>
                <w:kern w:val="0"/>
                <w:szCs w:val="20"/>
              </w:rPr>
              <w:t>二级</w:t>
            </w:r>
          </w:p>
        </w:tc>
        <w:tc>
          <w:tcPr>
            <w:tcW w:w="903" w:type="dxa"/>
            <w:vAlign w:val="center"/>
          </w:tcPr>
          <w:p w14:paraId="3E468465">
            <w:pPr>
              <w:pStyle w:val="445"/>
              <w:rPr>
                <w:rFonts w:cs="Times New Roman"/>
                <w:kern w:val="0"/>
                <w:szCs w:val="20"/>
              </w:rPr>
            </w:pPr>
            <w:r>
              <w:rPr>
                <w:rFonts w:ascii="宋体" w:hAnsi="宋体" w:cs="Times New Roman"/>
                <w:kern w:val="0"/>
                <w:szCs w:val="20"/>
              </w:rPr>
              <w:t>二级</w:t>
            </w:r>
          </w:p>
        </w:tc>
        <w:tc>
          <w:tcPr>
            <w:tcW w:w="903" w:type="dxa"/>
            <w:vAlign w:val="center"/>
          </w:tcPr>
          <w:p w14:paraId="3251EE49">
            <w:pPr>
              <w:pStyle w:val="445"/>
              <w:rPr>
                <w:rFonts w:cs="Times New Roman"/>
                <w:kern w:val="0"/>
                <w:szCs w:val="20"/>
              </w:rPr>
            </w:pPr>
            <w:r>
              <w:rPr>
                <w:rFonts w:ascii="宋体" w:hAnsi="宋体" w:cs="Times New Roman"/>
                <w:kern w:val="0"/>
                <w:szCs w:val="20"/>
              </w:rPr>
              <w:t>三级</w:t>
            </w:r>
          </w:p>
        </w:tc>
        <w:tc>
          <w:tcPr>
            <w:tcW w:w="903" w:type="dxa"/>
            <w:vAlign w:val="center"/>
          </w:tcPr>
          <w:p w14:paraId="0C2F26F6">
            <w:pPr>
              <w:pStyle w:val="445"/>
              <w:rPr>
                <w:rFonts w:cs="Times New Roman"/>
                <w:kern w:val="0"/>
                <w:szCs w:val="20"/>
              </w:rPr>
            </w:pPr>
            <w:r>
              <w:rPr>
                <w:rFonts w:ascii="宋体" w:hAnsi="宋体" w:cs="Times New Roman"/>
                <w:kern w:val="0"/>
                <w:szCs w:val="20"/>
              </w:rPr>
              <w:t>三级</w:t>
            </w:r>
          </w:p>
        </w:tc>
        <w:tc>
          <w:tcPr>
            <w:tcW w:w="903" w:type="dxa"/>
            <w:vAlign w:val="center"/>
          </w:tcPr>
          <w:p w14:paraId="07F666F0">
            <w:pPr>
              <w:pStyle w:val="445"/>
              <w:rPr>
                <w:rFonts w:cs="Times New Roman"/>
                <w:kern w:val="0"/>
                <w:szCs w:val="20"/>
              </w:rPr>
            </w:pPr>
            <w:r>
              <w:rPr>
                <w:rFonts w:ascii="宋体" w:hAnsi="宋体" w:cs="Times New Roman"/>
                <w:kern w:val="0"/>
                <w:szCs w:val="20"/>
              </w:rPr>
              <w:t>三级</w:t>
            </w:r>
          </w:p>
        </w:tc>
        <w:tc>
          <w:tcPr>
            <w:tcW w:w="903" w:type="dxa"/>
            <w:vAlign w:val="center"/>
          </w:tcPr>
          <w:p w14:paraId="12D7C82D">
            <w:pPr>
              <w:pStyle w:val="445"/>
              <w:rPr>
                <w:rFonts w:cs="Times New Roman"/>
                <w:kern w:val="0"/>
                <w:szCs w:val="20"/>
              </w:rPr>
            </w:pPr>
            <w:r>
              <w:rPr>
                <w:rFonts w:cs="Times New Roman"/>
                <w:kern w:val="0"/>
                <w:szCs w:val="20"/>
              </w:rPr>
              <w:t>/</w:t>
            </w:r>
          </w:p>
        </w:tc>
      </w:tr>
      <w:tr w14:paraId="1B836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 w:type="dxa"/>
            <w:vAlign w:val="center"/>
          </w:tcPr>
          <w:p w14:paraId="284FABB8">
            <w:pPr>
              <w:pStyle w:val="445"/>
              <w:rPr>
                <w:rFonts w:cs="Times New Roman"/>
                <w:kern w:val="0"/>
                <w:szCs w:val="20"/>
              </w:rPr>
            </w:pPr>
            <w:r>
              <w:rPr>
                <w:rFonts w:ascii="宋体" w:hAnsi="宋体" w:cs="Times New Roman"/>
                <w:kern w:val="0"/>
                <w:szCs w:val="20"/>
              </w:rPr>
              <w:t>不敏感</w:t>
            </w:r>
          </w:p>
        </w:tc>
        <w:tc>
          <w:tcPr>
            <w:tcW w:w="902" w:type="dxa"/>
            <w:vAlign w:val="center"/>
          </w:tcPr>
          <w:p w14:paraId="137B80E5">
            <w:pPr>
              <w:pStyle w:val="445"/>
              <w:rPr>
                <w:rFonts w:cs="Times New Roman"/>
                <w:kern w:val="0"/>
                <w:szCs w:val="20"/>
              </w:rPr>
            </w:pPr>
            <w:r>
              <w:rPr>
                <w:rFonts w:ascii="宋体" w:hAnsi="宋体" w:cs="Times New Roman"/>
                <w:kern w:val="0"/>
                <w:szCs w:val="20"/>
              </w:rPr>
              <w:t>一级</w:t>
            </w:r>
          </w:p>
        </w:tc>
        <w:tc>
          <w:tcPr>
            <w:tcW w:w="902" w:type="dxa"/>
            <w:shd w:val="clear" w:color="auto" w:fill="auto"/>
            <w:vAlign w:val="center"/>
          </w:tcPr>
          <w:p w14:paraId="040C9CDF">
            <w:pPr>
              <w:pStyle w:val="445"/>
              <w:rPr>
                <w:rFonts w:cs="Times New Roman"/>
                <w:kern w:val="0"/>
                <w:szCs w:val="20"/>
              </w:rPr>
            </w:pPr>
            <w:r>
              <w:rPr>
                <w:rFonts w:ascii="宋体" w:hAnsi="宋体" w:cs="Times New Roman"/>
                <w:kern w:val="0"/>
                <w:szCs w:val="20"/>
              </w:rPr>
              <w:t>二级</w:t>
            </w:r>
          </w:p>
        </w:tc>
        <w:tc>
          <w:tcPr>
            <w:tcW w:w="902" w:type="dxa"/>
            <w:shd w:val="clear" w:color="auto" w:fill="FFFFFF" w:themeFill="background1"/>
            <w:vAlign w:val="center"/>
          </w:tcPr>
          <w:p w14:paraId="72EADC05">
            <w:pPr>
              <w:pStyle w:val="445"/>
              <w:rPr>
                <w:rFonts w:cs="Times New Roman"/>
                <w:kern w:val="0"/>
                <w:szCs w:val="20"/>
              </w:rPr>
            </w:pPr>
            <w:r>
              <w:rPr>
                <w:rFonts w:ascii="宋体" w:hAnsi="宋体" w:cs="Times New Roman"/>
                <w:kern w:val="0"/>
                <w:szCs w:val="20"/>
              </w:rPr>
              <w:t>二级</w:t>
            </w:r>
          </w:p>
        </w:tc>
        <w:tc>
          <w:tcPr>
            <w:tcW w:w="903" w:type="dxa"/>
            <w:vAlign w:val="center"/>
          </w:tcPr>
          <w:p w14:paraId="370790D2">
            <w:pPr>
              <w:pStyle w:val="445"/>
              <w:rPr>
                <w:rFonts w:cs="Times New Roman"/>
                <w:kern w:val="0"/>
                <w:szCs w:val="20"/>
              </w:rPr>
            </w:pPr>
            <w:r>
              <w:rPr>
                <w:rFonts w:ascii="宋体" w:hAnsi="宋体" w:cs="Times New Roman"/>
                <w:kern w:val="0"/>
                <w:szCs w:val="20"/>
              </w:rPr>
              <w:t>二级</w:t>
            </w:r>
          </w:p>
        </w:tc>
        <w:tc>
          <w:tcPr>
            <w:tcW w:w="903" w:type="dxa"/>
            <w:vAlign w:val="center"/>
          </w:tcPr>
          <w:p w14:paraId="384B9C6F">
            <w:pPr>
              <w:pStyle w:val="445"/>
              <w:rPr>
                <w:rFonts w:cs="Times New Roman"/>
                <w:kern w:val="0"/>
                <w:szCs w:val="20"/>
              </w:rPr>
            </w:pPr>
            <w:r>
              <w:rPr>
                <w:rFonts w:ascii="宋体" w:hAnsi="宋体" w:cs="Times New Roman"/>
                <w:kern w:val="0"/>
                <w:szCs w:val="20"/>
              </w:rPr>
              <w:t>三级</w:t>
            </w:r>
          </w:p>
        </w:tc>
        <w:tc>
          <w:tcPr>
            <w:tcW w:w="903" w:type="dxa"/>
            <w:vAlign w:val="center"/>
          </w:tcPr>
          <w:p w14:paraId="47BD277D">
            <w:pPr>
              <w:pStyle w:val="445"/>
              <w:rPr>
                <w:rFonts w:cs="Times New Roman"/>
                <w:kern w:val="0"/>
                <w:szCs w:val="20"/>
              </w:rPr>
            </w:pPr>
            <w:r>
              <w:rPr>
                <w:rFonts w:ascii="宋体" w:hAnsi="宋体" w:cs="Times New Roman"/>
                <w:kern w:val="0"/>
                <w:szCs w:val="20"/>
              </w:rPr>
              <w:t>三级</w:t>
            </w:r>
          </w:p>
        </w:tc>
        <w:tc>
          <w:tcPr>
            <w:tcW w:w="903" w:type="dxa"/>
            <w:vAlign w:val="center"/>
          </w:tcPr>
          <w:p w14:paraId="3EA0C618">
            <w:pPr>
              <w:pStyle w:val="445"/>
              <w:rPr>
                <w:rFonts w:cs="Times New Roman"/>
                <w:kern w:val="0"/>
                <w:szCs w:val="20"/>
              </w:rPr>
            </w:pPr>
            <w:r>
              <w:rPr>
                <w:rFonts w:ascii="宋体" w:hAnsi="宋体" w:cs="Times New Roman"/>
                <w:kern w:val="0"/>
                <w:szCs w:val="20"/>
              </w:rPr>
              <w:t>三级</w:t>
            </w:r>
          </w:p>
        </w:tc>
        <w:tc>
          <w:tcPr>
            <w:tcW w:w="903" w:type="dxa"/>
            <w:vAlign w:val="center"/>
          </w:tcPr>
          <w:p w14:paraId="38DC5ED6">
            <w:pPr>
              <w:pStyle w:val="445"/>
              <w:rPr>
                <w:rFonts w:cs="Times New Roman"/>
                <w:kern w:val="0"/>
                <w:szCs w:val="20"/>
              </w:rPr>
            </w:pPr>
            <w:r>
              <w:rPr>
                <w:rFonts w:cs="Times New Roman"/>
                <w:kern w:val="0"/>
                <w:szCs w:val="20"/>
              </w:rPr>
              <w:t>/</w:t>
            </w:r>
          </w:p>
        </w:tc>
        <w:tc>
          <w:tcPr>
            <w:tcW w:w="903" w:type="dxa"/>
            <w:vAlign w:val="center"/>
          </w:tcPr>
          <w:p w14:paraId="792F0298">
            <w:pPr>
              <w:pStyle w:val="445"/>
              <w:rPr>
                <w:rFonts w:cs="Times New Roman"/>
                <w:kern w:val="0"/>
                <w:szCs w:val="20"/>
              </w:rPr>
            </w:pPr>
            <w:r>
              <w:rPr>
                <w:rFonts w:cs="Times New Roman"/>
                <w:kern w:val="0"/>
                <w:szCs w:val="20"/>
              </w:rPr>
              <w:t>/</w:t>
            </w:r>
          </w:p>
        </w:tc>
      </w:tr>
      <w:tr w14:paraId="600B1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26" w:type="dxa"/>
            <w:gridSpan w:val="10"/>
            <w:vAlign w:val="center"/>
          </w:tcPr>
          <w:p w14:paraId="1BECA1E2">
            <w:pPr>
              <w:pStyle w:val="445"/>
              <w:rPr>
                <w:rFonts w:cs="Times New Roman"/>
                <w:kern w:val="0"/>
                <w:szCs w:val="20"/>
              </w:rPr>
            </w:pPr>
            <w:r>
              <w:rPr>
                <w:rFonts w:ascii="宋体" w:hAnsi="宋体" w:cs="Times New Roman"/>
                <w:kern w:val="0"/>
                <w:szCs w:val="20"/>
              </w:rPr>
              <w:t>注：</w:t>
            </w:r>
            <w:r>
              <w:rPr>
                <w:rFonts w:hint="eastAsia" w:ascii="宋体" w:hAnsi="宋体" w:cs="Times New Roman"/>
                <w:kern w:val="0"/>
                <w:szCs w:val="20"/>
              </w:rPr>
              <w:t>“</w:t>
            </w:r>
            <w:r>
              <w:rPr>
                <w:rFonts w:cs="Times New Roman"/>
                <w:kern w:val="0"/>
                <w:szCs w:val="20"/>
              </w:rPr>
              <w:t>/</w:t>
            </w:r>
            <w:r>
              <w:rPr>
                <w:rFonts w:hint="eastAsia" w:ascii="宋体" w:hAnsi="宋体" w:cs="Times New Roman"/>
                <w:kern w:val="0"/>
                <w:szCs w:val="20"/>
              </w:rPr>
              <w:t>”</w:t>
            </w:r>
            <w:r>
              <w:rPr>
                <w:rFonts w:ascii="宋体" w:hAnsi="宋体" w:cs="Times New Roman"/>
                <w:kern w:val="0"/>
                <w:szCs w:val="20"/>
              </w:rPr>
              <w:t>可不开展土壤环境影响评价工作。</w:t>
            </w:r>
          </w:p>
        </w:tc>
      </w:tr>
    </w:tbl>
    <w:p w14:paraId="5DD30310">
      <w:pPr>
        <w:pStyle w:val="349"/>
      </w:pPr>
      <w:r>
        <w:rPr>
          <w:rFonts w:hint="eastAsia"/>
        </w:rPr>
        <w:t>2</w:t>
      </w:r>
      <w:r>
        <w:t>.3.1.7</w:t>
      </w:r>
      <w:r>
        <w:rPr>
          <w:rFonts w:ascii="黑体" w:hAnsi="黑体"/>
        </w:rPr>
        <w:t>生态评价等级</w:t>
      </w:r>
    </w:p>
    <w:p w14:paraId="03295FA6">
      <w:pPr>
        <w:ind w:firstLine="480"/>
      </w:pPr>
      <w:r>
        <w:rPr>
          <w:rFonts w:hint="eastAsia" w:ascii="宋体" w:hAnsi="宋体"/>
        </w:rPr>
        <w:t>扩建项目位于</w:t>
      </w:r>
      <w:r>
        <w:rPr>
          <w:rFonts w:hint="eastAsia"/>
        </w:rPr>
        <w:t>蚌埠精细化工高新技术产业基地</w:t>
      </w:r>
      <w:r>
        <w:rPr>
          <w:rFonts w:hint="eastAsia" w:ascii="宋体" w:hAnsi="宋体"/>
        </w:rPr>
        <w:t>，且</w:t>
      </w:r>
      <w:r>
        <w:rPr>
          <w:rFonts w:ascii="宋体" w:hAnsi="宋体"/>
        </w:rPr>
        <w:t>在原厂</w:t>
      </w:r>
      <w:r>
        <w:rPr>
          <w:rFonts w:hint="eastAsia" w:ascii="宋体" w:hAnsi="宋体"/>
        </w:rPr>
        <w:t>界</w:t>
      </w:r>
      <w:r>
        <w:rPr>
          <w:rFonts w:ascii="宋体" w:hAnsi="宋体"/>
        </w:rPr>
        <w:t>外进行扩建</w:t>
      </w:r>
      <w:r>
        <w:rPr>
          <w:rFonts w:hint="eastAsia" w:ascii="宋体" w:hAnsi="宋体"/>
        </w:rPr>
        <w:t>，扩建厂区占地面积</w:t>
      </w:r>
      <w:r>
        <w:t>0.0668km</w:t>
      </w:r>
      <w:r>
        <w:rPr>
          <w:vertAlign w:val="superscript"/>
        </w:rPr>
        <w:t>2</w:t>
      </w:r>
      <w:r>
        <w:rPr>
          <w:rFonts w:hint="eastAsia" w:ascii="宋体" w:hAnsi="宋体"/>
        </w:rPr>
        <w:t>，对照《环境影响评价技术导则</w:t>
      </w:r>
      <w:r>
        <w:rPr>
          <w:rFonts w:hint="eastAsia"/>
        </w:rPr>
        <w:t>-</w:t>
      </w:r>
      <w:r>
        <w:rPr>
          <w:rFonts w:hint="eastAsia" w:ascii="宋体" w:hAnsi="宋体"/>
        </w:rPr>
        <w:t>生态影响》（</w:t>
      </w:r>
      <w:r>
        <w:rPr>
          <w:rFonts w:hint="eastAsia"/>
        </w:rPr>
        <w:t>HJ19-20</w:t>
      </w:r>
      <w:r>
        <w:t>22</w:t>
      </w:r>
      <w:r>
        <w:rPr>
          <w:rFonts w:hint="eastAsia" w:ascii="宋体" w:hAnsi="宋体"/>
        </w:rPr>
        <w:t>），确定本项目生态环境评价等级为三级。</w:t>
      </w:r>
    </w:p>
    <w:p w14:paraId="70913F60">
      <w:pPr>
        <w:pStyle w:val="4068"/>
      </w:pPr>
      <w:bookmarkStart w:id="44" w:name="_Toc100783962"/>
      <w:bookmarkStart w:id="45" w:name="_Toc101135790"/>
      <w:bookmarkStart w:id="46" w:name="_Toc108662556"/>
      <w:r>
        <w:rPr>
          <w:rFonts w:hint="eastAsia"/>
        </w:rPr>
        <w:t>2.3.2评价</w:t>
      </w:r>
      <w:r>
        <w:t>重点</w:t>
      </w:r>
      <w:bookmarkEnd w:id="44"/>
      <w:bookmarkEnd w:id="45"/>
      <w:bookmarkEnd w:id="46"/>
    </w:p>
    <w:p w14:paraId="4027A5DB">
      <w:pPr>
        <w:ind w:firstLine="480"/>
        <w:contextualSpacing/>
        <w:rPr>
          <w:szCs w:val="24"/>
        </w:rPr>
      </w:pPr>
      <w:r>
        <w:rPr>
          <w:szCs w:val="24"/>
        </w:rPr>
        <w:t>根据项目建设特点、产排污特征、区域环境功能要求和区域基础设施条件，确定本环评的工作重点是工程分析</w:t>
      </w:r>
      <w:r>
        <w:rPr>
          <w:rFonts w:hint="eastAsia"/>
          <w:szCs w:val="24"/>
        </w:rPr>
        <w:t>、</w:t>
      </w:r>
      <w:r>
        <w:rPr>
          <w:szCs w:val="24"/>
        </w:rPr>
        <w:t>项目环境影响预测及评价、环境保护措施及其经济、技术论证。</w:t>
      </w:r>
    </w:p>
    <w:p w14:paraId="4C12A863">
      <w:pPr>
        <w:ind w:firstLine="480"/>
        <w:contextualSpacing/>
        <w:rPr>
          <w:szCs w:val="24"/>
        </w:rPr>
      </w:pPr>
      <w:r>
        <w:rPr>
          <w:szCs w:val="24"/>
        </w:rPr>
        <w:t>（1）工程分析：调查分析工艺流程及排污环节，核实污染源、污染因子和污染源强、排污特征，核算项目的污染物产生量、削减量、排放量，以及污染物排放总量控制指标建议值。</w:t>
      </w:r>
    </w:p>
    <w:p w14:paraId="6804D577">
      <w:pPr>
        <w:ind w:firstLine="480"/>
        <w:contextualSpacing/>
        <w:rPr>
          <w:szCs w:val="24"/>
        </w:rPr>
      </w:pPr>
      <w:r>
        <w:rPr>
          <w:szCs w:val="24"/>
        </w:rPr>
        <w:t>（2）环境影响预测与评价：通过预测及分析，评价项目污染物排放对环境的影响程度，并根据评价结果提出环境影响缓减措施。</w:t>
      </w:r>
    </w:p>
    <w:p w14:paraId="23EC3551">
      <w:pPr>
        <w:ind w:firstLine="480"/>
      </w:pPr>
      <w:r>
        <w:rPr>
          <w:rFonts w:hint="eastAsia"/>
          <w:szCs w:val="24"/>
        </w:rPr>
        <w:t>（</w:t>
      </w:r>
      <w:r>
        <w:rPr>
          <w:szCs w:val="24"/>
        </w:rPr>
        <w:t>3</w:t>
      </w:r>
      <w:r>
        <w:rPr>
          <w:rFonts w:hint="eastAsia"/>
          <w:szCs w:val="24"/>
        </w:rPr>
        <w:t>）</w:t>
      </w:r>
      <w:r>
        <w:rPr>
          <w:szCs w:val="24"/>
        </w:rPr>
        <w:t>环境保护措施及其经济、技术论证：对项目拟采用的废气、废水、固体废物、噪声污染控制方案进行分析，论证污染物稳定达标排放的可行性，提出污染控制缓减措施和建议</w:t>
      </w:r>
      <w:r>
        <w:rPr>
          <w:rFonts w:hint="eastAsia"/>
          <w:szCs w:val="24"/>
        </w:rPr>
        <w:t>。</w:t>
      </w:r>
    </w:p>
    <w:p w14:paraId="56B7C7D3">
      <w:pPr>
        <w:pStyle w:val="4065"/>
      </w:pPr>
      <w:bookmarkStart w:id="47" w:name="_Toc108662557"/>
      <w:r>
        <w:rPr>
          <w:rFonts w:hint="eastAsia"/>
        </w:rPr>
        <w:t>2</w:t>
      </w:r>
      <w:r>
        <w:t>.4评价范围及环境敏感区</w:t>
      </w:r>
      <w:bookmarkEnd w:id="47"/>
    </w:p>
    <w:p w14:paraId="6379DD31">
      <w:pPr>
        <w:pStyle w:val="4068"/>
      </w:pPr>
      <w:bookmarkStart w:id="48" w:name="_Toc101135792"/>
      <w:bookmarkStart w:id="49" w:name="_Toc100783964"/>
      <w:bookmarkStart w:id="50" w:name="_Toc108662558"/>
      <w:r>
        <w:rPr>
          <w:rFonts w:hint="eastAsia"/>
        </w:rPr>
        <w:t>2</w:t>
      </w:r>
      <w:r>
        <w:t>.4.1</w:t>
      </w:r>
      <w:r>
        <w:rPr>
          <w:rFonts w:ascii="黑体" w:hAnsi="黑体"/>
        </w:rPr>
        <w:t>评价范围</w:t>
      </w:r>
      <w:bookmarkEnd w:id="48"/>
      <w:bookmarkEnd w:id="49"/>
      <w:bookmarkEnd w:id="50"/>
    </w:p>
    <w:p w14:paraId="55277E16">
      <w:pPr>
        <w:pStyle w:val="326"/>
        <w:ind w:firstLine="480"/>
      </w:pPr>
      <w:r>
        <w:rPr>
          <w:rFonts w:hint="eastAsia" w:ascii="宋体" w:hAnsi="宋体"/>
        </w:rPr>
        <w:t>根据</w:t>
      </w:r>
      <w:r>
        <w:rPr>
          <w:rFonts w:hint="eastAsia"/>
        </w:rPr>
        <w:t>扩建</w:t>
      </w:r>
      <w:r>
        <w:rPr>
          <w:rFonts w:hint="eastAsia" w:ascii="宋体" w:hAnsi="宋体"/>
        </w:rPr>
        <w:t>项目污染物排放特点及当地气象条件、自然环境状况，结合各导则的要求，确定各环境要素评价范围见表</w:t>
      </w:r>
      <w:r>
        <w:rPr>
          <w:rFonts w:hint="eastAsia"/>
        </w:rPr>
        <w:t>2</w:t>
      </w:r>
      <w:r>
        <w:t>.4.1-1</w:t>
      </w:r>
      <w:r>
        <w:rPr>
          <w:rFonts w:hint="eastAsia" w:ascii="宋体" w:hAnsi="宋体"/>
        </w:rPr>
        <w:t>。</w:t>
      </w:r>
    </w:p>
    <w:p w14:paraId="671CF14D">
      <w:pPr>
        <w:pStyle w:val="278"/>
      </w:pPr>
      <w:r>
        <w:t xml:space="preserve">表2.4.1-1  </w:t>
      </w:r>
      <w:r>
        <w:rPr>
          <w:rFonts w:hint="eastAsia"/>
        </w:rPr>
        <w:t>扩建</w:t>
      </w:r>
      <w:r>
        <w:t>项目环境影响评价范围表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474"/>
      </w:tblGrid>
      <w:tr w14:paraId="3F4E1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5C61F29C">
            <w:pPr>
              <w:pStyle w:val="445"/>
              <w:rPr>
                <w:rFonts w:cs="Times New Roman"/>
                <w:kern w:val="0"/>
                <w:szCs w:val="20"/>
              </w:rPr>
            </w:pPr>
            <w:r>
              <w:rPr>
                <w:rFonts w:hint="eastAsia" w:cs="Times New Roman"/>
                <w:kern w:val="0"/>
                <w:szCs w:val="20"/>
              </w:rPr>
              <w:t>评价内容</w:t>
            </w:r>
          </w:p>
        </w:tc>
        <w:tc>
          <w:tcPr>
            <w:tcW w:w="6474" w:type="dxa"/>
            <w:vAlign w:val="center"/>
          </w:tcPr>
          <w:p w14:paraId="34A52A22">
            <w:pPr>
              <w:pStyle w:val="445"/>
              <w:rPr>
                <w:rFonts w:cs="Times New Roman"/>
                <w:kern w:val="0"/>
                <w:szCs w:val="20"/>
              </w:rPr>
            </w:pPr>
            <w:r>
              <w:rPr>
                <w:rFonts w:hint="eastAsia" w:cs="Times New Roman"/>
                <w:kern w:val="0"/>
                <w:szCs w:val="20"/>
              </w:rPr>
              <w:t>评价范围</w:t>
            </w:r>
          </w:p>
        </w:tc>
      </w:tr>
      <w:tr w14:paraId="17D6E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32D0F488">
            <w:pPr>
              <w:pStyle w:val="445"/>
              <w:rPr>
                <w:rFonts w:cs="Times New Roman"/>
                <w:kern w:val="0"/>
                <w:szCs w:val="20"/>
              </w:rPr>
            </w:pPr>
            <w:r>
              <w:rPr>
                <w:rFonts w:hint="eastAsia" w:cs="Times New Roman"/>
                <w:kern w:val="0"/>
                <w:szCs w:val="20"/>
              </w:rPr>
              <w:t>大气环境影响评价</w:t>
            </w:r>
          </w:p>
        </w:tc>
        <w:tc>
          <w:tcPr>
            <w:tcW w:w="6474" w:type="dxa"/>
            <w:vAlign w:val="center"/>
          </w:tcPr>
          <w:p w14:paraId="1541C95F">
            <w:pPr>
              <w:pStyle w:val="445"/>
              <w:rPr>
                <w:rFonts w:cs="Times New Roman"/>
                <w:kern w:val="0"/>
                <w:szCs w:val="20"/>
              </w:rPr>
            </w:pPr>
            <w:r>
              <w:rPr>
                <w:rFonts w:hint="eastAsia" w:cs="Times New Roman"/>
                <w:kern w:val="0"/>
                <w:szCs w:val="20"/>
              </w:rPr>
              <w:t>以厂区为中心，边长5</w:t>
            </w:r>
            <w:r>
              <w:rPr>
                <w:rFonts w:cs="Times New Roman"/>
                <w:kern w:val="0"/>
                <w:szCs w:val="20"/>
              </w:rPr>
              <w:t>km的矩形</w:t>
            </w:r>
            <w:r>
              <w:rPr>
                <w:rFonts w:hint="eastAsia" w:cs="Times New Roman"/>
                <w:kern w:val="0"/>
                <w:szCs w:val="20"/>
              </w:rPr>
              <w:t>区域</w:t>
            </w:r>
          </w:p>
        </w:tc>
      </w:tr>
      <w:tr w14:paraId="5BD84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2B0E9044">
            <w:pPr>
              <w:pStyle w:val="445"/>
              <w:rPr>
                <w:rFonts w:cs="Times New Roman"/>
                <w:kern w:val="0"/>
                <w:szCs w:val="20"/>
              </w:rPr>
            </w:pPr>
            <w:r>
              <w:rPr>
                <w:rFonts w:hint="eastAsia" w:cs="Times New Roman"/>
                <w:kern w:val="0"/>
                <w:szCs w:val="20"/>
              </w:rPr>
              <w:t>地表水环境影响评价</w:t>
            </w:r>
          </w:p>
        </w:tc>
        <w:tc>
          <w:tcPr>
            <w:tcW w:w="6474" w:type="dxa"/>
            <w:vAlign w:val="center"/>
          </w:tcPr>
          <w:p w14:paraId="68C1549F">
            <w:pPr>
              <w:pStyle w:val="445"/>
              <w:rPr>
                <w:rFonts w:cs="Times New Roman"/>
                <w:kern w:val="0"/>
                <w:szCs w:val="20"/>
              </w:rPr>
            </w:pPr>
            <w:r>
              <w:rPr>
                <w:rFonts w:hint="eastAsia" w:cs="Times New Roman"/>
                <w:kern w:val="0"/>
                <w:szCs w:val="20"/>
              </w:rPr>
              <w:t>沫河口污水厂排污口</w:t>
            </w:r>
            <w:r>
              <w:rPr>
                <w:rFonts w:cs="Times New Roman"/>
                <w:kern w:val="0"/>
                <w:szCs w:val="20"/>
              </w:rPr>
              <w:t>上游500m</w:t>
            </w:r>
            <w:r>
              <w:rPr>
                <w:rFonts w:hint="eastAsia" w:cs="Times New Roman"/>
                <w:kern w:val="0"/>
                <w:szCs w:val="20"/>
              </w:rPr>
              <w:t>至三铺大沟入</w:t>
            </w:r>
            <w:r>
              <w:rPr>
                <w:rFonts w:cs="Times New Roman"/>
                <w:kern w:val="0"/>
                <w:szCs w:val="20"/>
              </w:rPr>
              <w:t>淮河口下游5000m河段</w:t>
            </w:r>
          </w:p>
        </w:tc>
      </w:tr>
      <w:tr w14:paraId="04DAB1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127795A7">
            <w:pPr>
              <w:pStyle w:val="445"/>
              <w:rPr>
                <w:rFonts w:cs="Times New Roman"/>
                <w:kern w:val="0"/>
                <w:szCs w:val="20"/>
              </w:rPr>
            </w:pPr>
            <w:r>
              <w:rPr>
                <w:rFonts w:hint="eastAsia" w:cs="Times New Roman"/>
                <w:kern w:val="0"/>
                <w:szCs w:val="20"/>
              </w:rPr>
              <w:t>声环境影响评价</w:t>
            </w:r>
          </w:p>
        </w:tc>
        <w:tc>
          <w:tcPr>
            <w:tcW w:w="6474" w:type="dxa"/>
            <w:vAlign w:val="center"/>
          </w:tcPr>
          <w:p w14:paraId="10B4D84D">
            <w:pPr>
              <w:pStyle w:val="445"/>
              <w:rPr>
                <w:rFonts w:cs="Times New Roman"/>
                <w:kern w:val="0"/>
                <w:szCs w:val="20"/>
              </w:rPr>
            </w:pPr>
            <w:r>
              <w:rPr>
                <w:rFonts w:cs="Times New Roman"/>
                <w:kern w:val="0"/>
                <w:szCs w:val="20"/>
              </w:rPr>
              <w:t>厂界外200m</w:t>
            </w:r>
            <w:r>
              <w:rPr>
                <w:rFonts w:hint="eastAsia" w:cs="Times New Roman"/>
                <w:kern w:val="0"/>
                <w:szCs w:val="20"/>
              </w:rPr>
              <w:t>范围</w:t>
            </w:r>
          </w:p>
        </w:tc>
      </w:tr>
      <w:tr w14:paraId="7B672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54C63614">
            <w:pPr>
              <w:pStyle w:val="445"/>
              <w:rPr>
                <w:rFonts w:cs="Times New Roman"/>
                <w:kern w:val="0"/>
                <w:szCs w:val="20"/>
              </w:rPr>
            </w:pPr>
            <w:r>
              <w:rPr>
                <w:rFonts w:hint="eastAsia" w:cs="Times New Roman"/>
                <w:kern w:val="0"/>
                <w:szCs w:val="20"/>
              </w:rPr>
              <w:t>地下水环境影响评价</w:t>
            </w:r>
          </w:p>
        </w:tc>
        <w:tc>
          <w:tcPr>
            <w:tcW w:w="6474" w:type="dxa"/>
            <w:vAlign w:val="center"/>
          </w:tcPr>
          <w:p w14:paraId="5315839E">
            <w:pPr>
              <w:pStyle w:val="445"/>
              <w:rPr>
                <w:rFonts w:cs="Times New Roman"/>
                <w:kern w:val="0"/>
                <w:szCs w:val="20"/>
              </w:rPr>
            </w:pPr>
            <w:r>
              <w:rPr>
                <w:rFonts w:hint="eastAsia" w:cs="Times New Roman"/>
                <w:color w:val="000000" w:themeColor="text1"/>
                <w:kern w:val="0"/>
                <w:szCs w:val="20"/>
                <w14:textFill>
                  <w14:solidFill>
                    <w14:schemeClr w14:val="tx1"/>
                  </w14:solidFill>
                </w14:textFill>
              </w:rPr>
              <w:t>厂区外独立水文地质单元（</w:t>
            </w:r>
            <w:r>
              <w:rPr>
                <w:rFonts w:cs="Times New Roman"/>
                <w:color w:val="000000" w:themeColor="text1"/>
                <w:kern w:val="0"/>
                <w:szCs w:val="20"/>
                <w14:textFill>
                  <w14:solidFill>
                    <w14:schemeClr w14:val="tx1"/>
                  </w14:solidFill>
                </w14:textFill>
              </w:rPr>
              <w:t>19.33</w:t>
            </w:r>
            <w:r>
              <w:rPr>
                <w:rFonts w:hint="eastAsia" w:cs="Times New Roman"/>
                <w:color w:val="000000" w:themeColor="text1"/>
                <w:kern w:val="0"/>
                <w:szCs w:val="20"/>
                <w14:textFill>
                  <w14:solidFill>
                    <w14:schemeClr w14:val="tx1"/>
                  </w14:solidFill>
                </w14:textFill>
              </w:rPr>
              <w:t>km</w:t>
            </w:r>
            <w:r>
              <w:rPr>
                <w:rFonts w:hint="eastAsia" w:cs="Times New Roman"/>
                <w:color w:val="000000" w:themeColor="text1"/>
                <w:kern w:val="0"/>
                <w:szCs w:val="20"/>
                <w:vertAlign w:val="superscript"/>
                <w14:textFill>
                  <w14:solidFill>
                    <w14:schemeClr w14:val="tx1"/>
                  </w14:solidFill>
                </w14:textFill>
              </w:rPr>
              <w:t>2</w:t>
            </w:r>
            <w:r>
              <w:rPr>
                <w:rFonts w:hint="eastAsia" w:cs="Times New Roman"/>
                <w:color w:val="000000" w:themeColor="text1"/>
                <w:kern w:val="0"/>
                <w:szCs w:val="20"/>
                <w14:textFill>
                  <w14:solidFill>
                    <w14:schemeClr w14:val="tx1"/>
                  </w14:solidFill>
                </w14:textFill>
              </w:rPr>
              <w:t>）的浅层地下水</w:t>
            </w:r>
          </w:p>
        </w:tc>
      </w:tr>
      <w:tr w14:paraId="6392E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3EB213D0">
            <w:pPr>
              <w:pStyle w:val="445"/>
              <w:rPr>
                <w:rFonts w:cs="Times New Roman"/>
                <w:kern w:val="0"/>
                <w:szCs w:val="20"/>
              </w:rPr>
            </w:pPr>
            <w:r>
              <w:rPr>
                <w:rFonts w:hint="eastAsia" w:cs="Times New Roman"/>
                <w:kern w:val="0"/>
                <w:szCs w:val="20"/>
              </w:rPr>
              <w:t>土壤环境影响评价</w:t>
            </w:r>
          </w:p>
        </w:tc>
        <w:tc>
          <w:tcPr>
            <w:tcW w:w="6474" w:type="dxa"/>
            <w:vAlign w:val="center"/>
          </w:tcPr>
          <w:p w14:paraId="50AEF8FD">
            <w:pPr>
              <w:pStyle w:val="445"/>
              <w:rPr>
                <w:rFonts w:cs="Times New Roman"/>
                <w:kern w:val="0"/>
                <w:szCs w:val="20"/>
              </w:rPr>
            </w:pPr>
            <w:r>
              <w:rPr>
                <w:rFonts w:hint="eastAsia" w:cs="Times New Roman"/>
                <w:color w:val="000000" w:themeColor="text1"/>
                <w:kern w:val="0"/>
                <w:szCs w:val="20"/>
                <w14:textFill>
                  <w14:solidFill>
                    <w14:schemeClr w14:val="tx1"/>
                  </w14:solidFill>
                </w14:textFill>
              </w:rPr>
              <w:t>占地</w:t>
            </w:r>
            <w:r>
              <w:rPr>
                <w:rFonts w:cs="Times New Roman"/>
                <w:color w:val="000000" w:themeColor="text1"/>
                <w:kern w:val="0"/>
                <w:szCs w:val="20"/>
                <w14:textFill>
                  <w14:solidFill>
                    <w14:schemeClr w14:val="tx1"/>
                  </w14:solidFill>
                </w14:textFill>
              </w:rPr>
              <w:t>范围内及占地范围外10</w:t>
            </w:r>
            <w:r>
              <w:rPr>
                <w:rFonts w:hint="eastAsia" w:cs="Times New Roman"/>
                <w:color w:val="000000" w:themeColor="text1"/>
                <w:kern w:val="0"/>
                <w:szCs w:val="20"/>
                <w14:textFill>
                  <w14:solidFill>
                    <w14:schemeClr w14:val="tx1"/>
                  </w14:solidFill>
                </w14:textFill>
              </w:rPr>
              <w:t>00</w:t>
            </w:r>
            <w:r>
              <w:rPr>
                <w:rFonts w:cs="Times New Roman"/>
                <w:color w:val="000000" w:themeColor="text1"/>
                <w:kern w:val="0"/>
                <w:szCs w:val="20"/>
                <w14:textFill>
                  <w14:solidFill>
                    <w14:schemeClr w14:val="tx1"/>
                  </w14:solidFill>
                </w14:textFill>
              </w:rPr>
              <w:t>m区域</w:t>
            </w:r>
          </w:p>
        </w:tc>
      </w:tr>
      <w:tr w14:paraId="222E1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2" w:type="dxa"/>
            <w:vAlign w:val="center"/>
          </w:tcPr>
          <w:p w14:paraId="15C2B261">
            <w:pPr>
              <w:pStyle w:val="445"/>
              <w:rPr>
                <w:rFonts w:cs="Times New Roman"/>
                <w:kern w:val="0"/>
                <w:szCs w:val="20"/>
              </w:rPr>
            </w:pPr>
            <w:r>
              <w:rPr>
                <w:rFonts w:hint="eastAsia" w:cs="Times New Roman"/>
                <w:kern w:val="0"/>
                <w:szCs w:val="20"/>
              </w:rPr>
              <w:t>风险评价</w:t>
            </w:r>
          </w:p>
        </w:tc>
        <w:tc>
          <w:tcPr>
            <w:tcW w:w="6474" w:type="dxa"/>
            <w:vAlign w:val="center"/>
          </w:tcPr>
          <w:p w14:paraId="610CDD09">
            <w:pPr>
              <w:pStyle w:val="445"/>
              <w:rPr>
                <w:rFonts w:cs="Times New Roman"/>
                <w:color w:val="000000" w:themeColor="text1"/>
                <w:kern w:val="0"/>
                <w:szCs w:val="20"/>
                <w14:textFill>
                  <w14:solidFill>
                    <w14:schemeClr w14:val="tx1"/>
                  </w14:solidFill>
                </w14:textFill>
              </w:rPr>
            </w:pPr>
            <w:r>
              <w:rPr>
                <w:rFonts w:cs="Times New Roman"/>
                <w:color w:val="000000" w:themeColor="text1"/>
                <w:kern w:val="0"/>
                <w:szCs w:val="20"/>
                <w14:textFill>
                  <w14:solidFill>
                    <w14:schemeClr w14:val="tx1"/>
                  </w14:solidFill>
                </w14:textFill>
              </w:rPr>
              <w:t>大气环境风险评价范围</w:t>
            </w:r>
            <w:r>
              <w:rPr>
                <w:rFonts w:hint="eastAsia" w:cs="Times New Roman"/>
                <w:color w:val="000000" w:themeColor="text1"/>
                <w:kern w:val="0"/>
                <w:szCs w:val="20"/>
                <w14:textFill>
                  <w14:solidFill>
                    <w14:schemeClr w14:val="tx1"/>
                  </w14:solidFill>
                </w14:textFill>
              </w:rPr>
              <w:t>：距</w:t>
            </w:r>
            <w:r>
              <w:rPr>
                <w:rFonts w:cs="Times New Roman"/>
                <w:color w:val="000000" w:themeColor="text1"/>
                <w:kern w:val="0"/>
                <w:szCs w:val="20"/>
                <w14:textFill>
                  <w14:solidFill>
                    <w14:schemeClr w14:val="tx1"/>
                  </w14:solidFill>
                </w14:textFill>
              </w:rPr>
              <w:t>项目边界5km；</w:t>
            </w:r>
          </w:p>
          <w:p w14:paraId="45888480">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地表水</w:t>
            </w:r>
            <w:r>
              <w:rPr>
                <w:rFonts w:cs="Times New Roman"/>
                <w:color w:val="000000" w:themeColor="text1"/>
                <w:kern w:val="0"/>
                <w:szCs w:val="20"/>
                <w14:textFill>
                  <w14:solidFill>
                    <w14:schemeClr w14:val="tx1"/>
                  </w14:solidFill>
                </w14:textFill>
              </w:rPr>
              <w:t>环境危险评价范围：</w:t>
            </w:r>
            <w:r>
              <w:rPr>
                <w:rFonts w:hint="eastAsia" w:cs="Times New Roman"/>
                <w:color w:val="000000" w:themeColor="text1"/>
                <w:kern w:val="0"/>
                <w:szCs w:val="20"/>
                <w14:textFill>
                  <w14:solidFill>
                    <w14:schemeClr w14:val="tx1"/>
                  </w14:solidFill>
                </w14:textFill>
              </w:rPr>
              <w:t>雨水</w:t>
            </w:r>
            <w:r>
              <w:rPr>
                <w:rFonts w:cs="Times New Roman"/>
                <w:color w:val="000000" w:themeColor="text1"/>
                <w:kern w:val="0"/>
                <w:szCs w:val="20"/>
                <w14:textFill>
                  <w14:solidFill>
                    <w14:schemeClr w14:val="tx1"/>
                  </w14:solidFill>
                </w14:textFill>
              </w:rPr>
              <w:t>入河口下游</w:t>
            </w:r>
            <w:r>
              <w:rPr>
                <w:rFonts w:hint="eastAsia" w:cs="Times New Roman"/>
                <w:color w:val="000000" w:themeColor="text1"/>
                <w:kern w:val="0"/>
                <w:szCs w:val="20"/>
                <w14:textFill>
                  <w14:solidFill>
                    <w14:schemeClr w14:val="tx1"/>
                  </w14:solidFill>
                </w14:textFill>
              </w:rPr>
              <w:t>5000</w:t>
            </w:r>
            <w:r>
              <w:rPr>
                <w:rFonts w:cs="Times New Roman"/>
                <w:color w:val="000000" w:themeColor="text1"/>
                <w:kern w:val="0"/>
                <w:szCs w:val="20"/>
                <w14:textFill>
                  <w14:solidFill>
                    <w14:schemeClr w14:val="tx1"/>
                  </w14:solidFill>
                </w14:textFill>
              </w:rPr>
              <w:t>m河段</w:t>
            </w:r>
          </w:p>
          <w:p w14:paraId="6941F3AD">
            <w:pPr>
              <w:pStyle w:val="445"/>
              <w:rPr>
                <w:rFonts w:cs="Times New Roman"/>
                <w:kern w:val="0"/>
                <w:szCs w:val="20"/>
              </w:rPr>
            </w:pPr>
            <w:r>
              <w:rPr>
                <w:rFonts w:hint="eastAsia" w:cs="Times New Roman"/>
                <w:color w:val="000000" w:themeColor="text1"/>
                <w:kern w:val="0"/>
                <w:szCs w:val="20"/>
                <w14:textFill>
                  <w14:solidFill>
                    <w14:schemeClr w14:val="tx1"/>
                  </w14:solidFill>
                </w14:textFill>
              </w:rPr>
              <w:t>地下水</w:t>
            </w:r>
            <w:r>
              <w:rPr>
                <w:rFonts w:cs="Times New Roman"/>
                <w:color w:val="000000" w:themeColor="text1"/>
                <w:kern w:val="0"/>
                <w:szCs w:val="20"/>
                <w14:textFill>
                  <w14:solidFill>
                    <w14:schemeClr w14:val="tx1"/>
                  </w14:solidFill>
                </w14:textFill>
              </w:rPr>
              <w:t>环境风险评价范围：</w:t>
            </w:r>
            <w:r>
              <w:rPr>
                <w:rFonts w:hint="eastAsia" w:cs="Times New Roman"/>
                <w:color w:val="000000" w:themeColor="text1"/>
                <w:kern w:val="0"/>
                <w:szCs w:val="20"/>
                <w14:textFill>
                  <w14:solidFill>
                    <w14:schemeClr w14:val="tx1"/>
                  </w14:solidFill>
                </w14:textFill>
              </w:rPr>
              <w:t>厂区外独立水文地质单元（</w:t>
            </w:r>
            <w:r>
              <w:rPr>
                <w:rFonts w:cs="Times New Roman"/>
                <w:color w:val="000000" w:themeColor="text1"/>
                <w:kern w:val="0"/>
                <w:szCs w:val="20"/>
                <w14:textFill>
                  <w14:solidFill>
                    <w14:schemeClr w14:val="tx1"/>
                  </w14:solidFill>
                </w14:textFill>
              </w:rPr>
              <w:t>19.33</w:t>
            </w:r>
            <w:r>
              <w:rPr>
                <w:rFonts w:hint="eastAsia" w:cs="Times New Roman"/>
                <w:color w:val="000000" w:themeColor="text1"/>
                <w:kern w:val="0"/>
                <w:szCs w:val="20"/>
                <w14:textFill>
                  <w14:solidFill>
                    <w14:schemeClr w14:val="tx1"/>
                  </w14:solidFill>
                </w14:textFill>
              </w:rPr>
              <w:t>km</w:t>
            </w:r>
            <w:r>
              <w:rPr>
                <w:rFonts w:hint="eastAsia" w:cs="Times New Roman"/>
                <w:color w:val="000000" w:themeColor="text1"/>
                <w:kern w:val="0"/>
                <w:szCs w:val="20"/>
                <w:vertAlign w:val="superscript"/>
                <w14:textFill>
                  <w14:solidFill>
                    <w14:schemeClr w14:val="tx1"/>
                  </w14:solidFill>
                </w14:textFill>
              </w:rPr>
              <w:t>2</w:t>
            </w:r>
            <w:r>
              <w:rPr>
                <w:rFonts w:hint="eastAsia" w:cs="Times New Roman"/>
                <w:color w:val="000000" w:themeColor="text1"/>
                <w:kern w:val="0"/>
                <w:szCs w:val="20"/>
                <w14:textFill>
                  <w14:solidFill>
                    <w14:schemeClr w14:val="tx1"/>
                  </w14:solidFill>
                </w14:textFill>
              </w:rPr>
              <w:t>）的浅层地下水</w:t>
            </w:r>
          </w:p>
        </w:tc>
      </w:tr>
    </w:tbl>
    <w:p w14:paraId="694A273C">
      <w:pPr>
        <w:pStyle w:val="4068"/>
        <w:rPr>
          <w:rFonts w:cs="Times New Roman"/>
        </w:rPr>
      </w:pPr>
      <w:bookmarkStart w:id="51" w:name="_Toc108662559"/>
      <w:bookmarkStart w:id="52" w:name="_Toc100783965"/>
      <w:bookmarkStart w:id="53" w:name="_Toc101135793"/>
      <w:r>
        <w:rPr>
          <w:rFonts w:hint="eastAsia"/>
        </w:rPr>
        <w:t>2</w:t>
      </w:r>
      <w:r>
        <w:t>.4.2</w:t>
      </w:r>
      <w:r>
        <w:rPr>
          <w:rFonts w:ascii="黑体" w:hAnsi="黑体"/>
        </w:rPr>
        <w:t>环境保护目标</w:t>
      </w:r>
      <w:bookmarkEnd w:id="51"/>
      <w:bookmarkEnd w:id="52"/>
      <w:bookmarkEnd w:id="53"/>
    </w:p>
    <w:p w14:paraId="4DB7A040">
      <w:pPr>
        <w:pStyle w:val="326"/>
        <w:ind w:firstLine="480"/>
        <w:rPr>
          <w:rFonts w:ascii="宋体" w:hAnsi="宋体"/>
        </w:rPr>
        <w:sectPr>
          <w:pgSz w:w="11906" w:h="16838"/>
          <w:pgMar w:top="1440" w:right="1440" w:bottom="1440" w:left="1440" w:header="851" w:footer="992" w:gutter="0"/>
          <w:cols w:space="425" w:num="1"/>
          <w:docGrid w:type="lines" w:linePitch="326" w:charSpace="0"/>
        </w:sectPr>
      </w:pPr>
      <w:r>
        <w:rPr>
          <w:rFonts w:hint="eastAsia"/>
        </w:rPr>
        <w:t>扩建</w:t>
      </w:r>
      <w:r>
        <w:rPr>
          <w:rFonts w:hint="eastAsia" w:ascii="宋体" w:hAnsi="宋体"/>
        </w:rPr>
        <w:t>项目选址于</w:t>
      </w:r>
      <w:r>
        <w:rPr>
          <w:rFonts w:hint="eastAsia"/>
        </w:rPr>
        <w:t>蚌埠精细化工高新技术产业基地</w:t>
      </w:r>
      <w:r>
        <w:rPr>
          <w:rFonts w:hint="eastAsia" w:ascii="宋体" w:hAnsi="宋体"/>
        </w:rPr>
        <w:t>，经调查，周边主要环境敏感目标见表</w:t>
      </w:r>
      <w:r>
        <w:rPr>
          <w:rFonts w:hint="eastAsia"/>
        </w:rPr>
        <w:t>2</w:t>
      </w:r>
      <w:r>
        <w:t>.4.2-1</w:t>
      </w:r>
      <w:r>
        <w:rPr>
          <w:rFonts w:ascii="宋体" w:hAnsi="宋体"/>
        </w:rPr>
        <w:t>及附图</w:t>
      </w:r>
      <w:r>
        <w:rPr>
          <w:rFonts w:hint="eastAsia"/>
        </w:rPr>
        <w:t>2</w:t>
      </w:r>
      <w:r>
        <w:t>.4.2-1</w:t>
      </w:r>
      <w:r>
        <w:rPr>
          <w:rFonts w:hint="eastAsia" w:ascii="宋体" w:hAnsi="宋体"/>
        </w:rPr>
        <w:t>。</w:t>
      </w:r>
    </w:p>
    <w:p w14:paraId="3A0A7C6C">
      <w:pPr>
        <w:pStyle w:val="278"/>
      </w:pPr>
      <w:r>
        <w:t>表2.4.2-1  环境敏感区域和保护目标</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545"/>
        <w:gridCol w:w="1916"/>
        <w:gridCol w:w="1559"/>
        <w:gridCol w:w="992"/>
        <w:gridCol w:w="1922"/>
        <w:gridCol w:w="2758"/>
        <w:gridCol w:w="850"/>
        <w:gridCol w:w="1166"/>
      </w:tblGrid>
      <w:tr w14:paraId="21513C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17" w:type="pct"/>
            <w:vMerge w:val="restart"/>
            <w:vAlign w:val="center"/>
          </w:tcPr>
          <w:p w14:paraId="3F541E5D">
            <w:pPr>
              <w:pStyle w:val="445"/>
              <w:rPr>
                <w:rFonts w:cs="Times New Roman"/>
                <w:kern w:val="0"/>
                <w:szCs w:val="20"/>
              </w:rPr>
            </w:pPr>
            <w:r>
              <w:rPr>
                <w:rFonts w:hint="eastAsia" w:cs="Times New Roman"/>
                <w:kern w:val="0"/>
                <w:szCs w:val="20"/>
              </w:rPr>
              <w:t>类别</w:t>
            </w:r>
          </w:p>
        </w:tc>
        <w:tc>
          <w:tcPr>
            <w:tcW w:w="545" w:type="pct"/>
            <w:vMerge w:val="restart"/>
            <w:vAlign w:val="center"/>
          </w:tcPr>
          <w:p w14:paraId="191DBB8A">
            <w:pPr>
              <w:pStyle w:val="445"/>
              <w:rPr>
                <w:rFonts w:cs="Times New Roman"/>
                <w:kern w:val="0"/>
                <w:szCs w:val="20"/>
              </w:rPr>
            </w:pPr>
            <w:r>
              <w:rPr>
                <w:rFonts w:hint="eastAsia" w:cs="Times New Roman"/>
                <w:kern w:val="0"/>
                <w:szCs w:val="20"/>
              </w:rPr>
              <w:t>名称</w:t>
            </w:r>
          </w:p>
        </w:tc>
        <w:tc>
          <w:tcPr>
            <w:tcW w:w="1226" w:type="pct"/>
            <w:gridSpan w:val="2"/>
            <w:vAlign w:val="center"/>
          </w:tcPr>
          <w:p w14:paraId="24B06A3C">
            <w:pPr>
              <w:pStyle w:val="445"/>
              <w:rPr>
                <w:rFonts w:cs="Times New Roman"/>
                <w:kern w:val="0"/>
                <w:szCs w:val="20"/>
              </w:rPr>
            </w:pPr>
            <w:r>
              <w:rPr>
                <w:rFonts w:hint="eastAsia" w:cs="Times New Roman"/>
                <w:kern w:val="0"/>
                <w:szCs w:val="20"/>
              </w:rPr>
              <w:t>坐标/m</w:t>
            </w:r>
          </w:p>
        </w:tc>
        <w:tc>
          <w:tcPr>
            <w:tcW w:w="350" w:type="pct"/>
            <w:vMerge w:val="restart"/>
            <w:vAlign w:val="center"/>
          </w:tcPr>
          <w:p w14:paraId="1EE8561E">
            <w:pPr>
              <w:pStyle w:val="445"/>
              <w:rPr>
                <w:rFonts w:cs="Times New Roman"/>
                <w:kern w:val="0"/>
                <w:szCs w:val="20"/>
              </w:rPr>
            </w:pPr>
            <w:r>
              <w:rPr>
                <w:rFonts w:hint="eastAsia" w:cs="Times New Roman"/>
                <w:kern w:val="0"/>
                <w:szCs w:val="20"/>
              </w:rPr>
              <w:t>保护对象</w:t>
            </w:r>
          </w:p>
        </w:tc>
        <w:tc>
          <w:tcPr>
            <w:tcW w:w="678" w:type="pct"/>
            <w:vMerge w:val="restart"/>
            <w:vAlign w:val="center"/>
          </w:tcPr>
          <w:p w14:paraId="523C79F7">
            <w:pPr>
              <w:pStyle w:val="445"/>
              <w:rPr>
                <w:rFonts w:cs="Times New Roman"/>
                <w:kern w:val="0"/>
                <w:szCs w:val="20"/>
              </w:rPr>
            </w:pPr>
            <w:r>
              <w:rPr>
                <w:rFonts w:hint="eastAsia" w:cs="Times New Roman"/>
                <w:kern w:val="0"/>
                <w:szCs w:val="20"/>
              </w:rPr>
              <w:t>保护内容</w:t>
            </w:r>
          </w:p>
        </w:tc>
        <w:tc>
          <w:tcPr>
            <w:tcW w:w="973" w:type="pct"/>
            <w:vMerge w:val="restart"/>
            <w:vAlign w:val="center"/>
          </w:tcPr>
          <w:p w14:paraId="751FD3FD">
            <w:pPr>
              <w:pStyle w:val="445"/>
              <w:rPr>
                <w:rFonts w:cs="Times New Roman"/>
                <w:kern w:val="0"/>
                <w:szCs w:val="20"/>
              </w:rPr>
            </w:pPr>
            <w:r>
              <w:rPr>
                <w:rFonts w:hint="eastAsia" w:cs="Times New Roman"/>
                <w:kern w:val="0"/>
                <w:szCs w:val="20"/>
              </w:rPr>
              <w:t>环境功能区</w:t>
            </w:r>
          </w:p>
        </w:tc>
        <w:tc>
          <w:tcPr>
            <w:tcW w:w="300" w:type="pct"/>
            <w:vMerge w:val="restart"/>
            <w:vAlign w:val="center"/>
          </w:tcPr>
          <w:p w14:paraId="61149A41">
            <w:pPr>
              <w:pStyle w:val="445"/>
              <w:rPr>
                <w:rFonts w:cs="Times New Roman"/>
                <w:kern w:val="0"/>
                <w:szCs w:val="20"/>
              </w:rPr>
            </w:pPr>
            <w:r>
              <w:rPr>
                <w:rFonts w:hint="eastAsia" w:cs="Times New Roman"/>
                <w:kern w:val="0"/>
                <w:szCs w:val="20"/>
              </w:rPr>
              <w:t>相对厂址方位</w:t>
            </w:r>
          </w:p>
        </w:tc>
        <w:tc>
          <w:tcPr>
            <w:tcW w:w="411" w:type="pct"/>
            <w:vMerge w:val="restart"/>
            <w:vAlign w:val="center"/>
          </w:tcPr>
          <w:p w14:paraId="6E6E8780">
            <w:pPr>
              <w:pStyle w:val="445"/>
              <w:rPr>
                <w:rFonts w:cs="Times New Roman"/>
                <w:kern w:val="0"/>
                <w:szCs w:val="20"/>
              </w:rPr>
            </w:pPr>
            <w:r>
              <w:rPr>
                <w:rFonts w:hint="eastAsia" w:cs="Times New Roman"/>
                <w:kern w:val="0"/>
                <w:szCs w:val="20"/>
              </w:rPr>
              <w:t>相对厂界距离/m</w:t>
            </w:r>
          </w:p>
        </w:tc>
      </w:tr>
      <w:tr w14:paraId="1D385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17" w:type="pct"/>
            <w:vMerge w:val="continue"/>
            <w:vAlign w:val="center"/>
          </w:tcPr>
          <w:p w14:paraId="447E5BCB">
            <w:pPr>
              <w:pStyle w:val="445"/>
              <w:rPr>
                <w:rFonts w:cs="Times New Roman"/>
                <w:kern w:val="0"/>
                <w:szCs w:val="20"/>
              </w:rPr>
            </w:pPr>
          </w:p>
        </w:tc>
        <w:tc>
          <w:tcPr>
            <w:tcW w:w="545" w:type="pct"/>
            <w:vMerge w:val="continue"/>
            <w:vAlign w:val="center"/>
          </w:tcPr>
          <w:p w14:paraId="3E946598">
            <w:pPr>
              <w:pStyle w:val="445"/>
              <w:rPr>
                <w:rFonts w:cs="Times New Roman"/>
                <w:kern w:val="0"/>
                <w:szCs w:val="20"/>
              </w:rPr>
            </w:pPr>
          </w:p>
        </w:tc>
        <w:tc>
          <w:tcPr>
            <w:tcW w:w="676" w:type="pct"/>
            <w:vAlign w:val="center"/>
          </w:tcPr>
          <w:p w14:paraId="5E0A52CE">
            <w:pPr>
              <w:pStyle w:val="445"/>
              <w:rPr>
                <w:rFonts w:cs="Times New Roman"/>
                <w:kern w:val="0"/>
                <w:szCs w:val="20"/>
              </w:rPr>
            </w:pPr>
            <w:r>
              <w:rPr>
                <w:rFonts w:hint="eastAsia" w:cs="Times New Roman"/>
                <w:kern w:val="0"/>
                <w:szCs w:val="20"/>
              </w:rPr>
              <w:t>X</w:t>
            </w:r>
          </w:p>
        </w:tc>
        <w:tc>
          <w:tcPr>
            <w:tcW w:w="550" w:type="pct"/>
            <w:vAlign w:val="center"/>
          </w:tcPr>
          <w:p w14:paraId="4D1799D4">
            <w:pPr>
              <w:pStyle w:val="445"/>
              <w:rPr>
                <w:rFonts w:cs="Times New Roman"/>
                <w:kern w:val="0"/>
                <w:szCs w:val="20"/>
              </w:rPr>
            </w:pPr>
            <w:r>
              <w:rPr>
                <w:rFonts w:hint="eastAsia" w:cs="Times New Roman"/>
                <w:kern w:val="0"/>
                <w:szCs w:val="20"/>
              </w:rPr>
              <w:t>Y</w:t>
            </w:r>
          </w:p>
        </w:tc>
        <w:tc>
          <w:tcPr>
            <w:tcW w:w="350" w:type="pct"/>
            <w:vMerge w:val="continue"/>
            <w:vAlign w:val="center"/>
          </w:tcPr>
          <w:p w14:paraId="1D75308F">
            <w:pPr>
              <w:pStyle w:val="445"/>
              <w:rPr>
                <w:rFonts w:cs="Times New Roman"/>
                <w:kern w:val="0"/>
                <w:szCs w:val="20"/>
              </w:rPr>
            </w:pPr>
          </w:p>
        </w:tc>
        <w:tc>
          <w:tcPr>
            <w:tcW w:w="678" w:type="pct"/>
            <w:vMerge w:val="continue"/>
            <w:vAlign w:val="center"/>
          </w:tcPr>
          <w:p w14:paraId="33D4AFEC">
            <w:pPr>
              <w:pStyle w:val="445"/>
              <w:rPr>
                <w:rFonts w:cs="Times New Roman"/>
                <w:kern w:val="0"/>
                <w:szCs w:val="20"/>
              </w:rPr>
            </w:pPr>
          </w:p>
        </w:tc>
        <w:tc>
          <w:tcPr>
            <w:tcW w:w="973" w:type="pct"/>
            <w:vMerge w:val="continue"/>
            <w:vAlign w:val="center"/>
          </w:tcPr>
          <w:p w14:paraId="016DBFA3">
            <w:pPr>
              <w:pStyle w:val="445"/>
              <w:rPr>
                <w:rFonts w:cs="Times New Roman"/>
                <w:kern w:val="0"/>
                <w:szCs w:val="20"/>
              </w:rPr>
            </w:pPr>
          </w:p>
        </w:tc>
        <w:tc>
          <w:tcPr>
            <w:tcW w:w="300" w:type="pct"/>
            <w:vMerge w:val="continue"/>
            <w:vAlign w:val="center"/>
          </w:tcPr>
          <w:p w14:paraId="6A5D8DF4">
            <w:pPr>
              <w:pStyle w:val="445"/>
              <w:rPr>
                <w:rFonts w:cs="Times New Roman"/>
                <w:kern w:val="0"/>
                <w:szCs w:val="20"/>
              </w:rPr>
            </w:pPr>
          </w:p>
        </w:tc>
        <w:tc>
          <w:tcPr>
            <w:tcW w:w="411" w:type="pct"/>
            <w:vMerge w:val="continue"/>
            <w:vAlign w:val="center"/>
          </w:tcPr>
          <w:p w14:paraId="221BBD42">
            <w:pPr>
              <w:pStyle w:val="445"/>
              <w:rPr>
                <w:rFonts w:cs="Times New Roman"/>
                <w:kern w:val="0"/>
                <w:szCs w:val="20"/>
              </w:rPr>
            </w:pPr>
          </w:p>
        </w:tc>
      </w:tr>
      <w:tr w14:paraId="0596A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17" w:type="pct"/>
            <w:vMerge w:val="restart"/>
            <w:vAlign w:val="center"/>
          </w:tcPr>
          <w:p w14:paraId="1554CE0D">
            <w:pPr>
              <w:pStyle w:val="445"/>
              <w:rPr>
                <w:rFonts w:cs="Times New Roman"/>
                <w:kern w:val="0"/>
                <w:szCs w:val="20"/>
              </w:rPr>
            </w:pPr>
            <w:r>
              <w:rPr>
                <w:rFonts w:hint="eastAsia" w:cs="Times New Roman"/>
                <w:kern w:val="0"/>
                <w:szCs w:val="20"/>
              </w:rPr>
              <w:t>大气</w:t>
            </w:r>
          </w:p>
          <w:p w14:paraId="71719406">
            <w:pPr>
              <w:pStyle w:val="445"/>
              <w:rPr>
                <w:rFonts w:cs="Times New Roman"/>
                <w:kern w:val="0"/>
                <w:szCs w:val="20"/>
              </w:rPr>
            </w:pPr>
            <w:r>
              <w:rPr>
                <w:rFonts w:hint="eastAsia" w:cs="Times New Roman"/>
                <w:kern w:val="0"/>
                <w:szCs w:val="20"/>
              </w:rPr>
              <w:t>环境</w:t>
            </w:r>
          </w:p>
          <w:p w14:paraId="2D489913">
            <w:pPr>
              <w:pStyle w:val="445"/>
              <w:rPr>
                <w:rFonts w:cs="Times New Roman"/>
                <w:kern w:val="0"/>
                <w:szCs w:val="20"/>
              </w:rPr>
            </w:pPr>
            <w:r>
              <w:rPr>
                <w:rFonts w:hint="eastAsia" w:cs="Times New Roman"/>
                <w:kern w:val="0"/>
                <w:szCs w:val="20"/>
              </w:rPr>
              <w:t>类别</w:t>
            </w:r>
          </w:p>
        </w:tc>
        <w:tc>
          <w:tcPr>
            <w:tcW w:w="545" w:type="pct"/>
            <w:vAlign w:val="center"/>
          </w:tcPr>
          <w:p w14:paraId="55254126">
            <w:pPr>
              <w:pStyle w:val="445"/>
              <w:rPr>
                <w:rFonts w:cs="Times New Roman"/>
                <w:kern w:val="0"/>
                <w:szCs w:val="20"/>
              </w:rPr>
            </w:pPr>
            <w:r>
              <w:rPr>
                <w:rFonts w:hint="eastAsia" w:cs="Times New Roman"/>
                <w:kern w:val="0"/>
                <w:szCs w:val="20"/>
              </w:rPr>
              <w:t>后沈家</w:t>
            </w:r>
          </w:p>
        </w:tc>
        <w:tc>
          <w:tcPr>
            <w:tcW w:w="676" w:type="pct"/>
            <w:vAlign w:val="center"/>
          </w:tcPr>
          <w:p w14:paraId="11412114">
            <w:pPr>
              <w:pStyle w:val="445"/>
              <w:rPr>
                <w:rFonts w:cs="Times New Roman"/>
                <w:kern w:val="0"/>
                <w:szCs w:val="20"/>
              </w:rPr>
            </w:pPr>
            <w:r>
              <w:rPr>
                <w:rFonts w:hint="eastAsia" w:cs="Times New Roman"/>
                <w:kern w:val="0"/>
                <w:szCs w:val="20"/>
              </w:rPr>
              <w:t>-427</w:t>
            </w:r>
          </w:p>
        </w:tc>
        <w:tc>
          <w:tcPr>
            <w:tcW w:w="550" w:type="pct"/>
            <w:vAlign w:val="center"/>
          </w:tcPr>
          <w:p w14:paraId="0A9EC0AE">
            <w:pPr>
              <w:pStyle w:val="445"/>
              <w:rPr>
                <w:rFonts w:cs="Times New Roman"/>
                <w:kern w:val="0"/>
                <w:szCs w:val="20"/>
              </w:rPr>
            </w:pPr>
            <w:r>
              <w:rPr>
                <w:rFonts w:hint="eastAsia" w:cs="Times New Roman"/>
                <w:kern w:val="0"/>
                <w:szCs w:val="20"/>
              </w:rPr>
              <w:t>-1634</w:t>
            </w:r>
          </w:p>
        </w:tc>
        <w:tc>
          <w:tcPr>
            <w:tcW w:w="350" w:type="pct"/>
            <w:vAlign w:val="center"/>
          </w:tcPr>
          <w:p w14:paraId="07528079">
            <w:pPr>
              <w:pStyle w:val="445"/>
              <w:rPr>
                <w:rFonts w:cs="Times New Roman"/>
                <w:kern w:val="0"/>
                <w:szCs w:val="20"/>
              </w:rPr>
            </w:pPr>
            <w:r>
              <w:rPr>
                <w:rFonts w:hint="eastAsia" w:cs="Times New Roman"/>
                <w:kern w:val="0"/>
                <w:szCs w:val="20"/>
              </w:rPr>
              <w:t>居民</w:t>
            </w:r>
          </w:p>
        </w:tc>
        <w:tc>
          <w:tcPr>
            <w:tcW w:w="678" w:type="pct"/>
            <w:vAlign w:val="center"/>
          </w:tcPr>
          <w:p w14:paraId="03174A59">
            <w:pPr>
              <w:pStyle w:val="445"/>
              <w:rPr>
                <w:rFonts w:cs="Times New Roman"/>
                <w:kern w:val="0"/>
                <w:szCs w:val="20"/>
              </w:rPr>
            </w:pPr>
            <w:r>
              <w:rPr>
                <w:rFonts w:cs="Times New Roman"/>
                <w:kern w:val="0"/>
                <w:szCs w:val="20"/>
              </w:rPr>
              <w:t>12</w:t>
            </w:r>
            <w:r>
              <w:rPr>
                <w:rFonts w:hint="eastAsia" w:cs="Times New Roman"/>
                <w:kern w:val="0"/>
                <w:szCs w:val="20"/>
              </w:rPr>
              <w:t>户/</w:t>
            </w:r>
            <w:r>
              <w:rPr>
                <w:rFonts w:cs="Times New Roman"/>
                <w:kern w:val="0"/>
                <w:szCs w:val="20"/>
              </w:rPr>
              <w:t>30</w:t>
            </w:r>
            <w:r>
              <w:rPr>
                <w:rFonts w:hint="eastAsia" w:cs="Times New Roman"/>
                <w:kern w:val="0"/>
                <w:szCs w:val="20"/>
              </w:rPr>
              <w:t>人</w:t>
            </w:r>
          </w:p>
        </w:tc>
        <w:tc>
          <w:tcPr>
            <w:tcW w:w="973" w:type="pct"/>
            <w:vMerge w:val="restart"/>
            <w:vAlign w:val="center"/>
          </w:tcPr>
          <w:p w14:paraId="2F8BE823">
            <w:pPr>
              <w:pStyle w:val="445"/>
              <w:rPr>
                <w:rFonts w:cs="Times New Roman"/>
                <w:kern w:val="0"/>
                <w:szCs w:val="20"/>
              </w:rPr>
            </w:pPr>
            <w:r>
              <w:rPr>
                <w:rFonts w:hint="eastAsia" w:cs="Times New Roman"/>
                <w:kern w:val="0"/>
                <w:szCs w:val="20"/>
              </w:rPr>
              <w:t>《环境空气质量标准》（GB3095-2012）二级标准及</w:t>
            </w:r>
            <w:r>
              <w:rPr>
                <w:rFonts w:cs="Times New Roman"/>
                <w:kern w:val="0"/>
                <w:szCs w:val="20"/>
              </w:rPr>
              <w:t>修改单</w:t>
            </w:r>
          </w:p>
        </w:tc>
        <w:tc>
          <w:tcPr>
            <w:tcW w:w="300" w:type="pct"/>
            <w:vAlign w:val="center"/>
          </w:tcPr>
          <w:p w14:paraId="25555C36">
            <w:pPr>
              <w:pStyle w:val="445"/>
              <w:rPr>
                <w:rFonts w:cs="Times New Roman"/>
                <w:kern w:val="0"/>
                <w:szCs w:val="20"/>
              </w:rPr>
            </w:pPr>
            <w:r>
              <w:rPr>
                <w:rFonts w:cs="Times New Roman"/>
                <w:kern w:val="0"/>
                <w:szCs w:val="20"/>
              </w:rPr>
              <w:t>SW</w:t>
            </w:r>
          </w:p>
        </w:tc>
        <w:tc>
          <w:tcPr>
            <w:tcW w:w="411" w:type="pct"/>
            <w:vAlign w:val="center"/>
          </w:tcPr>
          <w:p w14:paraId="56BF57C3">
            <w:pPr>
              <w:pStyle w:val="445"/>
              <w:rPr>
                <w:rFonts w:cs="Times New Roman"/>
                <w:color w:val="FF0000"/>
                <w:kern w:val="0"/>
                <w:szCs w:val="20"/>
              </w:rPr>
            </w:pPr>
            <w:r>
              <w:rPr>
                <w:rFonts w:hint="eastAsia" w:cs="Times New Roman"/>
                <w:kern w:val="0"/>
                <w:szCs w:val="20"/>
              </w:rPr>
              <w:t>1710</w:t>
            </w:r>
          </w:p>
        </w:tc>
      </w:tr>
      <w:tr w14:paraId="778CA6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17" w:type="pct"/>
            <w:vMerge w:val="continue"/>
            <w:vAlign w:val="center"/>
          </w:tcPr>
          <w:p w14:paraId="0077DF0D">
            <w:pPr>
              <w:pStyle w:val="445"/>
              <w:rPr>
                <w:rFonts w:cs="Times New Roman"/>
                <w:kern w:val="0"/>
                <w:szCs w:val="20"/>
              </w:rPr>
            </w:pPr>
          </w:p>
        </w:tc>
        <w:tc>
          <w:tcPr>
            <w:tcW w:w="545" w:type="pct"/>
            <w:vAlign w:val="center"/>
          </w:tcPr>
          <w:p w14:paraId="11B4A77A">
            <w:pPr>
              <w:pStyle w:val="445"/>
              <w:rPr>
                <w:rFonts w:cs="Times New Roman"/>
                <w:kern w:val="0"/>
                <w:szCs w:val="20"/>
              </w:rPr>
            </w:pPr>
            <w:r>
              <w:rPr>
                <w:rFonts w:hint="eastAsia" w:cs="Times New Roman"/>
                <w:kern w:val="0"/>
                <w:szCs w:val="20"/>
              </w:rPr>
              <w:t>陈巷</w:t>
            </w:r>
          </w:p>
        </w:tc>
        <w:tc>
          <w:tcPr>
            <w:tcW w:w="676" w:type="pct"/>
            <w:vAlign w:val="center"/>
          </w:tcPr>
          <w:p w14:paraId="5A89BE2C">
            <w:pPr>
              <w:pStyle w:val="445"/>
              <w:rPr>
                <w:rFonts w:cs="Times New Roman"/>
                <w:kern w:val="0"/>
                <w:szCs w:val="20"/>
              </w:rPr>
            </w:pPr>
            <w:r>
              <w:rPr>
                <w:rFonts w:hint="eastAsia" w:cs="Times New Roman"/>
                <w:kern w:val="0"/>
                <w:szCs w:val="20"/>
              </w:rPr>
              <w:t>-1802</w:t>
            </w:r>
          </w:p>
        </w:tc>
        <w:tc>
          <w:tcPr>
            <w:tcW w:w="550" w:type="pct"/>
            <w:vAlign w:val="center"/>
          </w:tcPr>
          <w:p w14:paraId="715194EE">
            <w:pPr>
              <w:pStyle w:val="445"/>
              <w:rPr>
                <w:rFonts w:cs="Times New Roman"/>
                <w:kern w:val="0"/>
                <w:szCs w:val="20"/>
              </w:rPr>
            </w:pPr>
            <w:r>
              <w:rPr>
                <w:rFonts w:hint="eastAsia" w:cs="Times New Roman"/>
                <w:kern w:val="0"/>
                <w:szCs w:val="20"/>
              </w:rPr>
              <w:t>-1931</w:t>
            </w:r>
          </w:p>
        </w:tc>
        <w:tc>
          <w:tcPr>
            <w:tcW w:w="350" w:type="pct"/>
            <w:vAlign w:val="center"/>
          </w:tcPr>
          <w:p w14:paraId="61CB690B">
            <w:pPr>
              <w:pStyle w:val="445"/>
              <w:rPr>
                <w:rFonts w:cs="Times New Roman"/>
                <w:kern w:val="0"/>
                <w:szCs w:val="20"/>
              </w:rPr>
            </w:pPr>
            <w:r>
              <w:rPr>
                <w:rFonts w:hint="eastAsia" w:cs="Times New Roman"/>
                <w:kern w:val="0"/>
                <w:szCs w:val="20"/>
              </w:rPr>
              <w:t>居民</w:t>
            </w:r>
          </w:p>
        </w:tc>
        <w:tc>
          <w:tcPr>
            <w:tcW w:w="678" w:type="pct"/>
            <w:vAlign w:val="center"/>
          </w:tcPr>
          <w:p w14:paraId="5389AB21">
            <w:pPr>
              <w:pStyle w:val="445"/>
              <w:rPr>
                <w:rFonts w:cs="Times New Roman"/>
                <w:kern w:val="0"/>
                <w:szCs w:val="20"/>
              </w:rPr>
            </w:pPr>
            <w:r>
              <w:rPr>
                <w:rFonts w:cs="Times New Roman"/>
                <w:kern w:val="0"/>
                <w:szCs w:val="20"/>
              </w:rPr>
              <w:t>628</w:t>
            </w:r>
            <w:r>
              <w:rPr>
                <w:rFonts w:hint="eastAsia" w:cs="Times New Roman"/>
                <w:kern w:val="0"/>
                <w:szCs w:val="20"/>
              </w:rPr>
              <w:t>户</w:t>
            </w:r>
            <w:r>
              <w:rPr>
                <w:rFonts w:cs="Times New Roman"/>
                <w:kern w:val="0"/>
                <w:szCs w:val="20"/>
              </w:rPr>
              <w:t>/1850</w:t>
            </w:r>
            <w:r>
              <w:rPr>
                <w:rFonts w:hint="eastAsia" w:cs="Times New Roman"/>
                <w:kern w:val="0"/>
                <w:szCs w:val="20"/>
              </w:rPr>
              <w:t>人</w:t>
            </w:r>
          </w:p>
        </w:tc>
        <w:tc>
          <w:tcPr>
            <w:tcW w:w="973" w:type="pct"/>
            <w:vMerge w:val="continue"/>
            <w:vAlign w:val="center"/>
          </w:tcPr>
          <w:p w14:paraId="6376EC8C">
            <w:pPr>
              <w:pStyle w:val="445"/>
              <w:rPr>
                <w:rFonts w:cs="Times New Roman"/>
                <w:kern w:val="0"/>
                <w:szCs w:val="20"/>
              </w:rPr>
            </w:pPr>
          </w:p>
        </w:tc>
        <w:tc>
          <w:tcPr>
            <w:tcW w:w="300" w:type="pct"/>
            <w:vAlign w:val="center"/>
          </w:tcPr>
          <w:p w14:paraId="645DB5B6">
            <w:pPr>
              <w:pStyle w:val="445"/>
              <w:rPr>
                <w:rFonts w:cs="Times New Roman"/>
                <w:kern w:val="0"/>
                <w:szCs w:val="20"/>
              </w:rPr>
            </w:pPr>
            <w:r>
              <w:rPr>
                <w:rFonts w:hint="eastAsia" w:cs="Times New Roman"/>
                <w:kern w:val="0"/>
                <w:szCs w:val="20"/>
              </w:rPr>
              <w:t>SW</w:t>
            </w:r>
          </w:p>
        </w:tc>
        <w:tc>
          <w:tcPr>
            <w:tcW w:w="411" w:type="pct"/>
            <w:vAlign w:val="center"/>
          </w:tcPr>
          <w:p w14:paraId="7A10F4CF">
            <w:pPr>
              <w:pStyle w:val="445"/>
              <w:rPr>
                <w:rFonts w:cs="Times New Roman"/>
                <w:color w:val="FF0000"/>
                <w:kern w:val="0"/>
                <w:szCs w:val="20"/>
              </w:rPr>
            </w:pPr>
            <w:r>
              <w:rPr>
                <w:rFonts w:hint="eastAsia" w:cs="Times New Roman"/>
                <w:kern w:val="0"/>
                <w:szCs w:val="20"/>
              </w:rPr>
              <w:t>2570</w:t>
            </w:r>
          </w:p>
        </w:tc>
      </w:tr>
      <w:tr w14:paraId="04E29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17" w:type="pct"/>
            <w:vMerge w:val="continue"/>
            <w:vAlign w:val="center"/>
          </w:tcPr>
          <w:p w14:paraId="69D8AB56">
            <w:pPr>
              <w:pStyle w:val="445"/>
              <w:rPr>
                <w:rFonts w:cs="Times New Roman"/>
                <w:kern w:val="0"/>
                <w:szCs w:val="20"/>
              </w:rPr>
            </w:pPr>
          </w:p>
        </w:tc>
        <w:tc>
          <w:tcPr>
            <w:tcW w:w="545" w:type="pct"/>
            <w:vAlign w:val="center"/>
          </w:tcPr>
          <w:p w14:paraId="3831EE11">
            <w:pPr>
              <w:pStyle w:val="445"/>
              <w:rPr>
                <w:rFonts w:cs="Times New Roman"/>
                <w:kern w:val="0"/>
                <w:szCs w:val="20"/>
              </w:rPr>
            </w:pPr>
            <w:r>
              <w:rPr>
                <w:rFonts w:hint="eastAsia" w:cs="Times New Roman"/>
                <w:kern w:val="0"/>
                <w:szCs w:val="20"/>
              </w:rPr>
              <w:t>三铺村</w:t>
            </w:r>
          </w:p>
        </w:tc>
        <w:tc>
          <w:tcPr>
            <w:tcW w:w="676" w:type="pct"/>
            <w:vAlign w:val="center"/>
          </w:tcPr>
          <w:p w14:paraId="6E86C443">
            <w:pPr>
              <w:pStyle w:val="445"/>
              <w:rPr>
                <w:rFonts w:cs="Times New Roman"/>
                <w:kern w:val="0"/>
                <w:szCs w:val="20"/>
              </w:rPr>
            </w:pPr>
            <w:r>
              <w:rPr>
                <w:rFonts w:hint="eastAsia" w:cs="Times New Roman"/>
                <w:kern w:val="0"/>
                <w:szCs w:val="20"/>
              </w:rPr>
              <w:t>-7</w:t>
            </w:r>
          </w:p>
        </w:tc>
        <w:tc>
          <w:tcPr>
            <w:tcW w:w="550" w:type="pct"/>
            <w:vAlign w:val="center"/>
          </w:tcPr>
          <w:p w14:paraId="4324201F">
            <w:pPr>
              <w:pStyle w:val="445"/>
              <w:rPr>
                <w:rFonts w:cs="Times New Roman"/>
                <w:kern w:val="0"/>
                <w:szCs w:val="20"/>
              </w:rPr>
            </w:pPr>
            <w:r>
              <w:rPr>
                <w:rFonts w:hint="eastAsia" w:cs="Times New Roman"/>
                <w:kern w:val="0"/>
                <w:szCs w:val="20"/>
              </w:rPr>
              <w:t>1319</w:t>
            </w:r>
          </w:p>
        </w:tc>
        <w:tc>
          <w:tcPr>
            <w:tcW w:w="350" w:type="pct"/>
            <w:vAlign w:val="center"/>
          </w:tcPr>
          <w:p w14:paraId="5BF120BF">
            <w:pPr>
              <w:pStyle w:val="445"/>
              <w:rPr>
                <w:rFonts w:cs="Times New Roman"/>
                <w:kern w:val="0"/>
                <w:szCs w:val="20"/>
              </w:rPr>
            </w:pPr>
            <w:r>
              <w:rPr>
                <w:rFonts w:hint="eastAsia" w:cs="Times New Roman"/>
                <w:kern w:val="0"/>
                <w:szCs w:val="20"/>
              </w:rPr>
              <w:t>居民</w:t>
            </w:r>
          </w:p>
        </w:tc>
        <w:tc>
          <w:tcPr>
            <w:tcW w:w="678" w:type="pct"/>
            <w:vAlign w:val="center"/>
          </w:tcPr>
          <w:p w14:paraId="4C823746">
            <w:pPr>
              <w:pStyle w:val="445"/>
              <w:rPr>
                <w:rFonts w:cs="Times New Roman"/>
                <w:kern w:val="0"/>
                <w:szCs w:val="20"/>
              </w:rPr>
            </w:pPr>
            <w:r>
              <w:rPr>
                <w:rFonts w:cs="Times New Roman"/>
                <w:kern w:val="0"/>
                <w:szCs w:val="20"/>
              </w:rPr>
              <w:t>965</w:t>
            </w:r>
            <w:r>
              <w:rPr>
                <w:rFonts w:hint="eastAsia" w:cs="Times New Roman"/>
                <w:kern w:val="0"/>
                <w:szCs w:val="20"/>
              </w:rPr>
              <w:t>户</w:t>
            </w:r>
            <w:r>
              <w:rPr>
                <w:rFonts w:cs="Times New Roman"/>
                <w:kern w:val="0"/>
                <w:szCs w:val="20"/>
              </w:rPr>
              <w:t>/2880</w:t>
            </w:r>
            <w:r>
              <w:rPr>
                <w:rFonts w:hint="eastAsia" w:cs="Times New Roman"/>
                <w:kern w:val="0"/>
                <w:szCs w:val="20"/>
              </w:rPr>
              <w:t>人</w:t>
            </w:r>
          </w:p>
        </w:tc>
        <w:tc>
          <w:tcPr>
            <w:tcW w:w="973" w:type="pct"/>
            <w:vMerge w:val="continue"/>
            <w:vAlign w:val="center"/>
          </w:tcPr>
          <w:p w14:paraId="3A8F43E2">
            <w:pPr>
              <w:pStyle w:val="445"/>
              <w:rPr>
                <w:rFonts w:cs="Times New Roman"/>
                <w:kern w:val="0"/>
                <w:szCs w:val="20"/>
              </w:rPr>
            </w:pPr>
          </w:p>
        </w:tc>
        <w:tc>
          <w:tcPr>
            <w:tcW w:w="300" w:type="pct"/>
            <w:vAlign w:val="center"/>
          </w:tcPr>
          <w:p w14:paraId="252C0B92">
            <w:pPr>
              <w:pStyle w:val="445"/>
              <w:rPr>
                <w:rFonts w:cs="Times New Roman"/>
                <w:kern w:val="0"/>
                <w:szCs w:val="20"/>
              </w:rPr>
            </w:pPr>
            <w:r>
              <w:rPr>
                <w:rFonts w:hint="eastAsia" w:cs="Times New Roman"/>
                <w:kern w:val="0"/>
                <w:szCs w:val="20"/>
              </w:rPr>
              <w:t>N</w:t>
            </w:r>
          </w:p>
        </w:tc>
        <w:tc>
          <w:tcPr>
            <w:tcW w:w="411" w:type="pct"/>
            <w:vAlign w:val="center"/>
          </w:tcPr>
          <w:p w14:paraId="25C4AB0B">
            <w:pPr>
              <w:pStyle w:val="445"/>
              <w:rPr>
                <w:rFonts w:cs="Times New Roman"/>
                <w:color w:val="FF0000"/>
                <w:kern w:val="0"/>
                <w:szCs w:val="20"/>
              </w:rPr>
            </w:pPr>
            <w:r>
              <w:rPr>
                <w:rFonts w:cs="Times New Roman"/>
                <w:kern w:val="0"/>
                <w:szCs w:val="20"/>
              </w:rPr>
              <w:t>700</w:t>
            </w:r>
          </w:p>
        </w:tc>
      </w:tr>
      <w:tr w14:paraId="52B22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17" w:type="pct"/>
            <w:vMerge w:val="continue"/>
            <w:vAlign w:val="center"/>
          </w:tcPr>
          <w:p w14:paraId="03EEB530">
            <w:pPr>
              <w:pStyle w:val="445"/>
              <w:rPr>
                <w:rFonts w:cs="Times New Roman"/>
                <w:kern w:val="0"/>
                <w:szCs w:val="20"/>
              </w:rPr>
            </w:pPr>
          </w:p>
        </w:tc>
        <w:tc>
          <w:tcPr>
            <w:tcW w:w="545" w:type="pct"/>
            <w:vAlign w:val="center"/>
          </w:tcPr>
          <w:p w14:paraId="77A99CD8">
            <w:pPr>
              <w:pStyle w:val="445"/>
              <w:rPr>
                <w:rFonts w:cs="Times New Roman"/>
                <w:kern w:val="0"/>
                <w:szCs w:val="20"/>
              </w:rPr>
            </w:pPr>
            <w:r>
              <w:rPr>
                <w:rFonts w:hint="eastAsia" w:cs="Times New Roman"/>
                <w:kern w:val="0"/>
                <w:szCs w:val="20"/>
              </w:rPr>
              <w:t>李洼</w:t>
            </w:r>
          </w:p>
        </w:tc>
        <w:tc>
          <w:tcPr>
            <w:tcW w:w="676" w:type="pct"/>
            <w:vAlign w:val="center"/>
          </w:tcPr>
          <w:p w14:paraId="40F30354">
            <w:pPr>
              <w:pStyle w:val="445"/>
              <w:rPr>
                <w:rFonts w:cs="Times New Roman"/>
                <w:kern w:val="0"/>
                <w:szCs w:val="20"/>
              </w:rPr>
            </w:pPr>
            <w:r>
              <w:rPr>
                <w:rFonts w:hint="eastAsia" w:cs="Times New Roman"/>
                <w:kern w:val="0"/>
                <w:szCs w:val="20"/>
              </w:rPr>
              <w:t>-1988</w:t>
            </w:r>
          </w:p>
        </w:tc>
        <w:tc>
          <w:tcPr>
            <w:tcW w:w="550" w:type="pct"/>
            <w:vAlign w:val="center"/>
          </w:tcPr>
          <w:p w14:paraId="45D386E8">
            <w:pPr>
              <w:pStyle w:val="445"/>
              <w:rPr>
                <w:rFonts w:cs="Times New Roman"/>
                <w:kern w:val="0"/>
                <w:szCs w:val="20"/>
              </w:rPr>
            </w:pPr>
            <w:r>
              <w:rPr>
                <w:rFonts w:hint="eastAsia" w:cs="Times New Roman"/>
                <w:kern w:val="0"/>
                <w:szCs w:val="20"/>
              </w:rPr>
              <w:t>1422</w:t>
            </w:r>
          </w:p>
        </w:tc>
        <w:tc>
          <w:tcPr>
            <w:tcW w:w="350" w:type="pct"/>
            <w:vAlign w:val="center"/>
          </w:tcPr>
          <w:p w14:paraId="5EEB4081">
            <w:pPr>
              <w:pStyle w:val="445"/>
              <w:rPr>
                <w:rFonts w:cs="Times New Roman"/>
                <w:kern w:val="0"/>
                <w:szCs w:val="20"/>
              </w:rPr>
            </w:pPr>
            <w:r>
              <w:rPr>
                <w:rFonts w:hint="eastAsia" w:cs="Times New Roman"/>
                <w:kern w:val="0"/>
                <w:szCs w:val="20"/>
              </w:rPr>
              <w:t>居民</w:t>
            </w:r>
          </w:p>
        </w:tc>
        <w:tc>
          <w:tcPr>
            <w:tcW w:w="678" w:type="pct"/>
            <w:vAlign w:val="center"/>
          </w:tcPr>
          <w:p w14:paraId="021686FC">
            <w:pPr>
              <w:pStyle w:val="445"/>
              <w:rPr>
                <w:rFonts w:cs="Times New Roman"/>
                <w:kern w:val="0"/>
                <w:szCs w:val="20"/>
              </w:rPr>
            </w:pPr>
            <w:r>
              <w:rPr>
                <w:rFonts w:cs="Times New Roman"/>
                <w:kern w:val="0"/>
                <w:szCs w:val="20"/>
              </w:rPr>
              <w:t>171</w:t>
            </w:r>
            <w:r>
              <w:rPr>
                <w:rFonts w:hint="eastAsia" w:cs="Times New Roman"/>
                <w:kern w:val="0"/>
                <w:szCs w:val="20"/>
              </w:rPr>
              <w:t>户</w:t>
            </w:r>
            <w:r>
              <w:rPr>
                <w:rFonts w:cs="Times New Roman"/>
                <w:kern w:val="0"/>
                <w:szCs w:val="20"/>
              </w:rPr>
              <w:t>/600</w:t>
            </w:r>
            <w:r>
              <w:rPr>
                <w:rFonts w:hint="eastAsia" w:cs="Times New Roman"/>
                <w:kern w:val="0"/>
                <w:szCs w:val="20"/>
              </w:rPr>
              <w:t>人</w:t>
            </w:r>
          </w:p>
        </w:tc>
        <w:tc>
          <w:tcPr>
            <w:tcW w:w="973" w:type="pct"/>
            <w:vMerge w:val="continue"/>
            <w:vAlign w:val="center"/>
          </w:tcPr>
          <w:p w14:paraId="35451729">
            <w:pPr>
              <w:pStyle w:val="445"/>
              <w:rPr>
                <w:rFonts w:cs="Times New Roman"/>
                <w:kern w:val="0"/>
                <w:szCs w:val="20"/>
              </w:rPr>
            </w:pPr>
          </w:p>
        </w:tc>
        <w:tc>
          <w:tcPr>
            <w:tcW w:w="300" w:type="pct"/>
            <w:vAlign w:val="center"/>
          </w:tcPr>
          <w:p w14:paraId="369660C8">
            <w:pPr>
              <w:pStyle w:val="445"/>
              <w:rPr>
                <w:rFonts w:cs="Times New Roman"/>
                <w:kern w:val="0"/>
                <w:szCs w:val="20"/>
              </w:rPr>
            </w:pPr>
            <w:r>
              <w:rPr>
                <w:rFonts w:cs="Times New Roman"/>
                <w:kern w:val="0"/>
                <w:szCs w:val="20"/>
              </w:rPr>
              <w:t>NW</w:t>
            </w:r>
          </w:p>
        </w:tc>
        <w:tc>
          <w:tcPr>
            <w:tcW w:w="411" w:type="pct"/>
            <w:vAlign w:val="center"/>
          </w:tcPr>
          <w:p w14:paraId="420B9DD1">
            <w:pPr>
              <w:pStyle w:val="445"/>
              <w:rPr>
                <w:rFonts w:cs="Times New Roman"/>
                <w:color w:val="FF0000"/>
                <w:kern w:val="0"/>
                <w:szCs w:val="20"/>
              </w:rPr>
            </w:pPr>
            <w:r>
              <w:rPr>
                <w:rFonts w:cs="Times New Roman"/>
                <w:kern w:val="0"/>
                <w:szCs w:val="20"/>
              </w:rPr>
              <w:t>2210</w:t>
            </w:r>
          </w:p>
        </w:tc>
      </w:tr>
      <w:tr w14:paraId="45B07C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17" w:type="pct"/>
            <w:vMerge w:val="continue"/>
            <w:vAlign w:val="center"/>
          </w:tcPr>
          <w:p w14:paraId="17A24BC5">
            <w:pPr>
              <w:pStyle w:val="445"/>
              <w:rPr>
                <w:rFonts w:cs="Times New Roman"/>
                <w:kern w:val="0"/>
                <w:szCs w:val="20"/>
              </w:rPr>
            </w:pPr>
          </w:p>
        </w:tc>
        <w:tc>
          <w:tcPr>
            <w:tcW w:w="545" w:type="pct"/>
            <w:vAlign w:val="center"/>
          </w:tcPr>
          <w:p w14:paraId="4841781E">
            <w:pPr>
              <w:pStyle w:val="445"/>
              <w:rPr>
                <w:rFonts w:cs="Times New Roman"/>
                <w:kern w:val="0"/>
                <w:szCs w:val="20"/>
              </w:rPr>
            </w:pPr>
            <w:r>
              <w:rPr>
                <w:rFonts w:hint="eastAsia" w:cs="Times New Roman"/>
                <w:kern w:val="0"/>
                <w:szCs w:val="20"/>
              </w:rPr>
              <w:t>邓庙</w:t>
            </w:r>
          </w:p>
        </w:tc>
        <w:tc>
          <w:tcPr>
            <w:tcW w:w="676" w:type="pct"/>
            <w:vAlign w:val="center"/>
          </w:tcPr>
          <w:p w14:paraId="12A9EF8B">
            <w:pPr>
              <w:pStyle w:val="445"/>
              <w:rPr>
                <w:rFonts w:cs="Times New Roman"/>
                <w:kern w:val="0"/>
                <w:szCs w:val="20"/>
              </w:rPr>
            </w:pPr>
            <w:r>
              <w:rPr>
                <w:rFonts w:hint="eastAsia" w:cs="Times New Roman"/>
                <w:kern w:val="0"/>
                <w:szCs w:val="20"/>
              </w:rPr>
              <w:t>-1219</w:t>
            </w:r>
          </w:p>
        </w:tc>
        <w:tc>
          <w:tcPr>
            <w:tcW w:w="550" w:type="pct"/>
            <w:vAlign w:val="center"/>
          </w:tcPr>
          <w:p w14:paraId="1C575667">
            <w:pPr>
              <w:pStyle w:val="445"/>
              <w:rPr>
                <w:rFonts w:cs="Times New Roman"/>
                <w:kern w:val="0"/>
                <w:szCs w:val="20"/>
              </w:rPr>
            </w:pPr>
            <w:r>
              <w:rPr>
                <w:rFonts w:hint="eastAsia" w:cs="Times New Roman"/>
                <w:kern w:val="0"/>
                <w:szCs w:val="20"/>
              </w:rPr>
              <w:t>2</w:t>
            </w:r>
            <w:r>
              <w:rPr>
                <w:rFonts w:cs="Times New Roman"/>
                <w:kern w:val="0"/>
                <w:szCs w:val="20"/>
              </w:rPr>
              <w:t>415</w:t>
            </w:r>
          </w:p>
        </w:tc>
        <w:tc>
          <w:tcPr>
            <w:tcW w:w="350" w:type="pct"/>
            <w:vAlign w:val="center"/>
          </w:tcPr>
          <w:p w14:paraId="5D9A7C04">
            <w:pPr>
              <w:pStyle w:val="445"/>
              <w:rPr>
                <w:rFonts w:cs="Times New Roman"/>
                <w:kern w:val="0"/>
                <w:szCs w:val="20"/>
              </w:rPr>
            </w:pPr>
            <w:r>
              <w:rPr>
                <w:rFonts w:hint="eastAsia" w:cs="Times New Roman"/>
                <w:kern w:val="0"/>
                <w:szCs w:val="20"/>
              </w:rPr>
              <w:t>居民</w:t>
            </w:r>
          </w:p>
        </w:tc>
        <w:tc>
          <w:tcPr>
            <w:tcW w:w="678" w:type="pct"/>
            <w:vAlign w:val="center"/>
          </w:tcPr>
          <w:p w14:paraId="0A94940D">
            <w:pPr>
              <w:pStyle w:val="445"/>
              <w:rPr>
                <w:rFonts w:cs="Times New Roman"/>
                <w:kern w:val="0"/>
                <w:szCs w:val="20"/>
              </w:rPr>
            </w:pPr>
            <w:r>
              <w:rPr>
                <w:rFonts w:cs="Times New Roman"/>
                <w:kern w:val="0"/>
                <w:szCs w:val="20"/>
              </w:rPr>
              <w:t>436</w:t>
            </w:r>
            <w:r>
              <w:rPr>
                <w:rFonts w:hint="eastAsia" w:cs="Times New Roman"/>
                <w:kern w:val="0"/>
                <w:szCs w:val="20"/>
              </w:rPr>
              <w:t>户/</w:t>
            </w:r>
            <w:r>
              <w:rPr>
                <w:rFonts w:cs="Times New Roman"/>
                <w:kern w:val="0"/>
                <w:szCs w:val="20"/>
              </w:rPr>
              <w:t>1500</w:t>
            </w:r>
            <w:r>
              <w:rPr>
                <w:rFonts w:hint="eastAsia" w:cs="Times New Roman"/>
                <w:kern w:val="0"/>
                <w:szCs w:val="20"/>
              </w:rPr>
              <w:t>人</w:t>
            </w:r>
          </w:p>
        </w:tc>
        <w:tc>
          <w:tcPr>
            <w:tcW w:w="973" w:type="pct"/>
            <w:vMerge w:val="continue"/>
            <w:vAlign w:val="center"/>
          </w:tcPr>
          <w:p w14:paraId="01006E19">
            <w:pPr>
              <w:pStyle w:val="445"/>
              <w:rPr>
                <w:rFonts w:cs="Times New Roman"/>
                <w:kern w:val="0"/>
                <w:szCs w:val="20"/>
              </w:rPr>
            </w:pPr>
          </w:p>
        </w:tc>
        <w:tc>
          <w:tcPr>
            <w:tcW w:w="300" w:type="pct"/>
            <w:vAlign w:val="center"/>
          </w:tcPr>
          <w:p w14:paraId="088C717A">
            <w:pPr>
              <w:pStyle w:val="445"/>
              <w:rPr>
                <w:rFonts w:cs="Times New Roman"/>
                <w:kern w:val="0"/>
                <w:szCs w:val="20"/>
              </w:rPr>
            </w:pPr>
            <w:r>
              <w:rPr>
                <w:rFonts w:hint="eastAsia" w:cs="Times New Roman"/>
                <w:kern w:val="0"/>
                <w:szCs w:val="20"/>
              </w:rPr>
              <w:t>N</w:t>
            </w:r>
            <w:r>
              <w:rPr>
                <w:rFonts w:cs="Times New Roman"/>
                <w:kern w:val="0"/>
                <w:szCs w:val="20"/>
              </w:rPr>
              <w:t>W</w:t>
            </w:r>
          </w:p>
        </w:tc>
        <w:tc>
          <w:tcPr>
            <w:tcW w:w="411" w:type="pct"/>
            <w:vAlign w:val="center"/>
          </w:tcPr>
          <w:p w14:paraId="0EEA183C">
            <w:pPr>
              <w:pStyle w:val="445"/>
              <w:rPr>
                <w:rFonts w:cs="Times New Roman"/>
                <w:color w:val="FF0000"/>
                <w:kern w:val="0"/>
                <w:szCs w:val="20"/>
              </w:rPr>
            </w:pPr>
            <w:r>
              <w:rPr>
                <w:rFonts w:hint="eastAsia" w:cs="Times New Roman"/>
                <w:kern w:val="0"/>
                <w:szCs w:val="20"/>
              </w:rPr>
              <w:t>2610</w:t>
            </w:r>
          </w:p>
        </w:tc>
      </w:tr>
      <w:tr w14:paraId="1303BD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17" w:type="pct"/>
            <w:vMerge w:val="continue"/>
            <w:vAlign w:val="center"/>
          </w:tcPr>
          <w:p w14:paraId="1EAA82AC">
            <w:pPr>
              <w:pStyle w:val="445"/>
              <w:rPr>
                <w:rFonts w:cs="Times New Roman"/>
                <w:kern w:val="0"/>
                <w:szCs w:val="20"/>
              </w:rPr>
            </w:pPr>
          </w:p>
        </w:tc>
        <w:tc>
          <w:tcPr>
            <w:tcW w:w="545" w:type="pct"/>
            <w:vAlign w:val="center"/>
          </w:tcPr>
          <w:p w14:paraId="0E63CF9D">
            <w:pPr>
              <w:pStyle w:val="445"/>
              <w:rPr>
                <w:rFonts w:cs="Times New Roman"/>
                <w:kern w:val="0"/>
                <w:szCs w:val="20"/>
              </w:rPr>
            </w:pPr>
            <w:r>
              <w:rPr>
                <w:rFonts w:hint="eastAsia" w:cs="Times New Roman"/>
                <w:kern w:val="0"/>
                <w:szCs w:val="20"/>
              </w:rPr>
              <w:t>汤</w:t>
            </w:r>
            <w:r>
              <w:rPr>
                <w:rFonts w:cs="Times New Roman"/>
                <w:kern w:val="0"/>
                <w:szCs w:val="20"/>
              </w:rPr>
              <w:t>陈村</w:t>
            </w:r>
          </w:p>
        </w:tc>
        <w:tc>
          <w:tcPr>
            <w:tcW w:w="676" w:type="pct"/>
            <w:vAlign w:val="center"/>
          </w:tcPr>
          <w:p w14:paraId="26206652">
            <w:pPr>
              <w:pStyle w:val="445"/>
              <w:rPr>
                <w:rFonts w:cs="Times New Roman"/>
                <w:kern w:val="0"/>
                <w:szCs w:val="20"/>
              </w:rPr>
            </w:pPr>
            <w:r>
              <w:rPr>
                <w:rFonts w:hint="eastAsia" w:cs="Times New Roman"/>
                <w:kern w:val="0"/>
                <w:szCs w:val="20"/>
              </w:rPr>
              <w:t>-2403</w:t>
            </w:r>
          </w:p>
        </w:tc>
        <w:tc>
          <w:tcPr>
            <w:tcW w:w="550" w:type="pct"/>
            <w:vAlign w:val="center"/>
          </w:tcPr>
          <w:p w14:paraId="440218AD">
            <w:pPr>
              <w:pStyle w:val="445"/>
              <w:rPr>
                <w:rFonts w:cs="Times New Roman"/>
                <w:kern w:val="0"/>
                <w:szCs w:val="20"/>
              </w:rPr>
            </w:pPr>
            <w:r>
              <w:rPr>
                <w:rFonts w:hint="eastAsia" w:cs="Times New Roman"/>
                <w:kern w:val="0"/>
                <w:szCs w:val="20"/>
              </w:rPr>
              <w:t>-1377</w:t>
            </w:r>
          </w:p>
        </w:tc>
        <w:tc>
          <w:tcPr>
            <w:tcW w:w="350" w:type="pct"/>
            <w:vAlign w:val="center"/>
          </w:tcPr>
          <w:p w14:paraId="1F798A3A">
            <w:pPr>
              <w:pStyle w:val="445"/>
              <w:rPr>
                <w:rFonts w:cs="Times New Roman"/>
                <w:kern w:val="0"/>
                <w:szCs w:val="20"/>
              </w:rPr>
            </w:pPr>
            <w:r>
              <w:rPr>
                <w:rFonts w:hint="eastAsia" w:cs="Times New Roman"/>
                <w:kern w:val="0"/>
                <w:szCs w:val="20"/>
              </w:rPr>
              <w:t>居民</w:t>
            </w:r>
          </w:p>
        </w:tc>
        <w:tc>
          <w:tcPr>
            <w:tcW w:w="678" w:type="pct"/>
            <w:vAlign w:val="center"/>
          </w:tcPr>
          <w:p w14:paraId="14B8A3B2">
            <w:pPr>
              <w:pStyle w:val="445"/>
              <w:rPr>
                <w:rFonts w:cs="Times New Roman"/>
                <w:kern w:val="0"/>
                <w:szCs w:val="20"/>
              </w:rPr>
            </w:pPr>
            <w:r>
              <w:rPr>
                <w:rFonts w:cs="Times New Roman"/>
                <w:kern w:val="0"/>
                <w:szCs w:val="20"/>
              </w:rPr>
              <w:t>803</w:t>
            </w:r>
            <w:r>
              <w:rPr>
                <w:rFonts w:hint="eastAsia" w:cs="Times New Roman"/>
                <w:kern w:val="0"/>
                <w:szCs w:val="20"/>
              </w:rPr>
              <w:t>户</w:t>
            </w:r>
            <w:r>
              <w:rPr>
                <w:rFonts w:cs="Times New Roman"/>
                <w:kern w:val="0"/>
                <w:szCs w:val="20"/>
              </w:rPr>
              <w:t>/</w:t>
            </w:r>
            <w:r>
              <w:rPr>
                <w:rFonts w:hint="eastAsia" w:cs="Times New Roman"/>
                <w:kern w:val="0"/>
                <w:szCs w:val="20"/>
              </w:rPr>
              <w:t>2100人</w:t>
            </w:r>
          </w:p>
        </w:tc>
        <w:tc>
          <w:tcPr>
            <w:tcW w:w="973" w:type="pct"/>
            <w:vMerge w:val="continue"/>
            <w:vAlign w:val="center"/>
          </w:tcPr>
          <w:p w14:paraId="0A6CA83A">
            <w:pPr>
              <w:pStyle w:val="445"/>
              <w:rPr>
                <w:rFonts w:cs="Times New Roman"/>
                <w:kern w:val="0"/>
                <w:szCs w:val="20"/>
              </w:rPr>
            </w:pPr>
          </w:p>
        </w:tc>
        <w:tc>
          <w:tcPr>
            <w:tcW w:w="300" w:type="pct"/>
            <w:vAlign w:val="center"/>
          </w:tcPr>
          <w:p w14:paraId="057E7444">
            <w:pPr>
              <w:pStyle w:val="445"/>
              <w:rPr>
                <w:rFonts w:cs="Times New Roman"/>
                <w:kern w:val="0"/>
                <w:szCs w:val="20"/>
              </w:rPr>
            </w:pPr>
            <w:r>
              <w:rPr>
                <w:rFonts w:hint="eastAsia" w:cs="Times New Roman"/>
                <w:kern w:val="0"/>
                <w:szCs w:val="20"/>
              </w:rPr>
              <w:t>SW</w:t>
            </w:r>
          </w:p>
        </w:tc>
        <w:tc>
          <w:tcPr>
            <w:tcW w:w="411" w:type="pct"/>
            <w:vAlign w:val="center"/>
          </w:tcPr>
          <w:p w14:paraId="5F3F1B36">
            <w:pPr>
              <w:pStyle w:val="445"/>
              <w:rPr>
                <w:rFonts w:cs="Times New Roman"/>
                <w:color w:val="FF0000"/>
                <w:kern w:val="0"/>
                <w:szCs w:val="20"/>
              </w:rPr>
            </w:pPr>
            <w:r>
              <w:rPr>
                <w:rFonts w:hint="eastAsia" w:cs="Times New Roman"/>
                <w:kern w:val="0"/>
                <w:szCs w:val="20"/>
              </w:rPr>
              <w:t>2440</w:t>
            </w:r>
          </w:p>
        </w:tc>
      </w:tr>
      <w:tr w14:paraId="2881B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17" w:type="pct"/>
            <w:vMerge w:val="continue"/>
            <w:vAlign w:val="center"/>
          </w:tcPr>
          <w:p w14:paraId="118AFF39">
            <w:pPr>
              <w:pStyle w:val="445"/>
              <w:rPr>
                <w:rFonts w:cs="Times New Roman"/>
                <w:kern w:val="0"/>
                <w:szCs w:val="20"/>
              </w:rPr>
            </w:pPr>
          </w:p>
        </w:tc>
        <w:tc>
          <w:tcPr>
            <w:tcW w:w="545" w:type="pct"/>
            <w:vAlign w:val="center"/>
          </w:tcPr>
          <w:p w14:paraId="1C6DE801">
            <w:pPr>
              <w:pStyle w:val="445"/>
              <w:rPr>
                <w:rFonts w:cs="Times New Roman"/>
                <w:kern w:val="0"/>
                <w:szCs w:val="20"/>
              </w:rPr>
            </w:pPr>
            <w:r>
              <w:rPr>
                <w:rFonts w:hint="eastAsia" w:cs="Times New Roman"/>
                <w:kern w:val="0"/>
                <w:szCs w:val="20"/>
              </w:rPr>
              <w:t>丽豪家园</w:t>
            </w:r>
          </w:p>
        </w:tc>
        <w:tc>
          <w:tcPr>
            <w:tcW w:w="676" w:type="pct"/>
            <w:vAlign w:val="center"/>
          </w:tcPr>
          <w:p w14:paraId="3F6A2DFA">
            <w:pPr>
              <w:pStyle w:val="445"/>
              <w:rPr>
                <w:rFonts w:cs="Times New Roman"/>
                <w:kern w:val="0"/>
                <w:szCs w:val="20"/>
              </w:rPr>
            </w:pPr>
            <w:r>
              <w:rPr>
                <w:rFonts w:hint="eastAsia" w:cs="Times New Roman"/>
                <w:kern w:val="0"/>
                <w:szCs w:val="20"/>
              </w:rPr>
              <w:t>-</w:t>
            </w:r>
            <w:r>
              <w:rPr>
                <w:rFonts w:cs="Times New Roman"/>
                <w:kern w:val="0"/>
                <w:szCs w:val="20"/>
              </w:rPr>
              <w:t>2298</w:t>
            </w:r>
          </w:p>
        </w:tc>
        <w:tc>
          <w:tcPr>
            <w:tcW w:w="550" w:type="pct"/>
            <w:vAlign w:val="center"/>
          </w:tcPr>
          <w:p w14:paraId="6772B1D3">
            <w:pPr>
              <w:pStyle w:val="445"/>
              <w:rPr>
                <w:rFonts w:cs="Times New Roman"/>
                <w:kern w:val="0"/>
                <w:szCs w:val="20"/>
              </w:rPr>
            </w:pPr>
            <w:r>
              <w:rPr>
                <w:rFonts w:hint="eastAsia" w:cs="Times New Roman"/>
                <w:kern w:val="0"/>
                <w:szCs w:val="20"/>
              </w:rPr>
              <w:t>770</w:t>
            </w:r>
          </w:p>
        </w:tc>
        <w:tc>
          <w:tcPr>
            <w:tcW w:w="350" w:type="pct"/>
            <w:vAlign w:val="center"/>
          </w:tcPr>
          <w:p w14:paraId="361CDBF9">
            <w:pPr>
              <w:pStyle w:val="445"/>
              <w:rPr>
                <w:rFonts w:cs="Times New Roman"/>
                <w:kern w:val="0"/>
                <w:szCs w:val="20"/>
              </w:rPr>
            </w:pPr>
            <w:r>
              <w:rPr>
                <w:rFonts w:hint="eastAsia" w:cs="Times New Roman"/>
                <w:kern w:val="0"/>
                <w:szCs w:val="20"/>
              </w:rPr>
              <w:t>居民</w:t>
            </w:r>
          </w:p>
        </w:tc>
        <w:tc>
          <w:tcPr>
            <w:tcW w:w="678" w:type="pct"/>
            <w:vAlign w:val="center"/>
          </w:tcPr>
          <w:p w14:paraId="0C2F9DA7">
            <w:pPr>
              <w:pStyle w:val="445"/>
              <w:rPr>
                <w:rFonts w:cs="Times New Roman"/>
                <w:kern w:val="0"/>
                <w:szCs w:val="20"/>
              </w:rPr>
            </w:pPr>
            <w:r>
              <w:rPr>
                <w:rFonts w:cs="Times New Roman"/>
                <w:kern w:val="0"/>
                <w:szCs w:val="20"/>
              </w:rPr>
              <w:t>305</w:t>
            </w:r>
            <w:r>
              <w:rPr>
                <w:rFonts w:hint="eastAsia" w:cs="Times New Roman"/>
                <w:kern w:val="0"/>
                <w:szCs w:val="20"/>
              </w:rPr>
              <w:t>户/1000人</w:t>
            </w:r>
          </w:p>
        </w:tc>
        <w:tc>
          <w:tcPr>
            <w:tcW w:w="973" w:type="pct"/>
            <w:vMerge w:val="continue"/>
            <w:vAlign w:val="center"/>
          </w:tcPr>
          <w:p w14:paraId="19BFBA01">
            <w:pPr>
              <w:pStyle w:val="445"/>
              <w:rPr>
                <w:rFonts w:cs="Times New Roman"/>
                <w:kern w:val="0"/>
                <w:szCs w:val="20"/>
              </w:rPr>
            </w:pPr>
          </w:p>
        </w:tc>
        <w:tc>
          <w:tcPr>
            <w:tcW w:w="300" w:type="pct"/>
            <w:vAlign w:val="center"/>
          </w:tcPr>
          <w:p w14:paraId="6B4F83E4">
            <w:pPr>
              <w:pStyle w:val="445"/>
              <w:rPr>
                <w:rFonts w:cs="Times New Roman"/>
                <w:kern w:val="0"/>
                <w:szCs w:val="20"/>
              </w:rPr>
            </w:pPr>
            <w:r>
              <w:rPr>
                <w:rFonts w:hint="eastAsia" w:cs="Times New Roman"/>
                <w:kern w:val="0"/>
                <w:szCs w:val="20"/>
              </w:rPr>
              <w:t>NW</w:t>
            </w:r>
          </w:p>
        </w:tc>
        <w:tc>
          <w:tcPr>
            <w:tcW w:w="411" w:type="pct"/>
            <w:vAlign w:val="center"/>
          </w:tcPr>
          <w:p w14:paraId="64839F43">
            <w:pPr>
              <w:pStyle w:val="445"/>
              <w:rPr>
                <w:rFonts w:cs="Times New Roman"/>
                <w:color w:val="FF0000"/>
                <w:kern w:val="0"/>
                <w:szCs w:val="20"/>
              </w:rPr>
            </w:pPr>
            <w:r>
              <w:rPr>
                <w:rFonts w:hint="eastAsia" w:cs="Times New Roman"/>
                <w:kern w:val="0"/>
                <w:szCs w:val="20"/>
              </w:rPr>
              <w:t>2490</w:t>
            </w:r>
          </w:p>
        </w:tc>
      </w:tr>
      <w:tr w14:paraId="57CC4A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17" w:type="pct"/>
            <w:vMerge w:val="continue"/>
            <w:vAlign w:val="center"/>
          </w:tcPr>
          <w:p w14:paraId="19C6B2E0">
            <w:pPr>
              <w:pStyle w:val="445"/>
              <w:rPr>
                <w:rFonts w:cs="Times New Roman"/>
                <w:kern w:val="0"/>
                <w:szCs w:val="20"/>
              </w:rPr>
            </w:pPr>
          </w:p>
        </w:tc>
        <w:tc>
          <w:tcPr>
            <w:tcW w:w="545" w:type="pct"/>
            <w:vAlign w:val="center"/>
          </w:tcPr>
          <w:p w14:paraId="76C8F30B">
            <w:pPr>
              <w:pStyle w:val="445"/>
              <w:rPr>
                <w:rFonts w:cs="Times New Roman"/>
                <w:kern w:val="0"/>
                <w:szCs w:val="20"/>
              </w:rPr>
            </w:pPr>
            <w:r>
              <w:rPr>
                <w:rFonts w:hint="eastAsia" w:cs="Times New Roman"/>
                <w:kern w:val="0"/>
                <w:szCs w:val="20"/>
              </w:rPr>
              <w:t>高王家</w:t>
            </w:r>
          </w:p>
        </w:tc>
        <w:tc>
          <w:tcPr>
            <w:tcW w:w="676" w:type="pct"/>
            <w:vAlign w:val="center"/>
          </w:tcPr>
          <w:p w14:paraId="1620EBA1">
            <w:pPr>
              <w:pStyle w:val="445"/>
              <w:rPr>
                <w:rFonts w:cs="Times New Roman"/>
                <w:kern w:val="0"/>
                <w:szCs w:val="20"/>
              </w:rPr>
            </w:pPr>
            <w:r>
              <w:rPr>
                <w:rFonts w:hint="eastAsia" w:cs="Times New Roman"/>
                <w:kern w:val="0"/>
                <w:szCs w:val="20"/>
              </w:rPr>
              <w:t>1358</w:t>
            </w:r>
          </w:p>
        </w:tc>
        <w:tc>
          <w:tcPr>
            <w:tcW w:w="550" w:type="pct"/>
            <w:vAlign w:val="center"/>
          </w:tcPr>
          <w:p w14:paraId="07FC3212">
            <w:pPr>
              <w:pStyle w:val="445"/>
              <w:rPr>
                <w:rFonts w:cs="Times New Roman"/>
                <w:kern w:val="0"/>
                <w:szCs w:val="20"/>
              </w:rPr>
            </w:pPr>
            <w:r>
              <w:rPr>
                <w:rFonts w:hint="eastAsia" w:cs="Times New Roman"/>
                <w:kern w:val="0"/>
                <w:szCs w:val="20"/>
              </w:rPr>
              <w:t>2441</w:t>
            </w:r>
          </w:p>
        </w:tc>
        <w:tc>
          <w:tcPr>
            <w:tcW w:w="350" w:type="pct"/>
            <w:vAlign w:val="center"/>
          </w:tcPr>
          <w:p w14:paraId="711980F4">
            <w:pPr>
              <w:pStyle w:val="445"/>
              <w:rPr>
                <w:rFonts w:cs="Times New Roman"/>
                <w:kern w:val="0"/>
                <w:szCs w:val="20"/>
              </w:rPr>
            </w:pPr>
            <w:r>
              <w:rPr>
                <w:rFonts w:hint="eastAsia" w:cs="Times New Roman"/>
                <w:kern w:val="0"/>
                <w:szCs w:val="20"/>
              </w:rPr>
              <w:t>居民</w:t>
            </w:r>
          </w:p>
        </w:tc>
        <w:tc>
          <w:tcPr>
            <w:tcW w:w="678" w:type="pct"/>
            <w:vAlign w:val="center"/>
          </w:tcPr>
          <w:p w14:paraId="7A74F51E">
            <w:pPr>
              <w:pStyle w:val="445"/>
              <w:rPr>
                <w:rFonts w:cs="Times New Roman"/>
                <w:kern w:val="0"/>
                <w:szCs w:val="20"/>
              </w:rPr>
            </w:pPr>
            <w:r>
              <w:rPr>
                <w:rFonts w:cs="Times New Roman"/>
                <w:kern w:val="0"/>
                <w:szCs w:val="20"/>
              </w:rPr>
              <w:t>750/</w:t>
            </w:r>
            <w:r>
              <w:rPr>
                <w:rFonts w:hint="eastAsia" w:cs="Times New Roman"/>
                <w:kern w:val="0"/>
                <w:szCs w:val="20"/>
              </w:rPr>
              <w:t>2200人</w:t>
            </w:r>
          </w:p>
        </w:tc>
        <w:tc>
          <w:tcPr>
            <w:tcW w:w="973" w:type="pct"/>
            <w:vMerge w:val="continue"/>
            <w:vAlign w:val="center"/>
          </w:tcPr>
          <w:p w14:paraId="73EC7010">
            <w:pPr>
              <w:pStyle w:val="445"/>
              <w:rPr>
                <w:rFonts w:cs="Times New Roman"/>
                <w:kern w:val="0"/>
                <w:szCs w:val="20"/>
              </w:rPr>
            </w:pPr>
          </w:p>
        </w:tc>
        <w:tc>
          <w:tcPr>
            <w:tcW w:w="300" w:type="pct"/>
            <w:vAlign w:val="center"/>
          </w:tcPr>
          <w:p w14:paraId="509412DE">
            <w:pPr>
              <w:pStyle w:val="445"/>
              <w:rPr>
                <w:rFonts w:cs="Times New Roman"/>
                <w:kern w:val="0"/>
                <w:szCs w:val="20"/>
              </w:rPr>
            </w:pPr>
            <w:r>
              <w:rPr>
                <w:rFonts w:hint="eastAsia" w:cs="Times New Roman"/>
                <w:kern w:val="0"/>
                <w:szCs w:val="20"/>
              </w:rPr>
              <w:t>N</w:t>
            </w:r>
          </w:p>
        </w:tc>
        <w:tc>
          <w:tcPr>
            <w:tcW w:w="411" w:type="pct"/>
            <w:vAlign w:val="center"/>
          </w:tcPr>
          <w:p w14:paraId="5BA4AEA1">
            <w:pPr>
              <w:pStyle w:val="445"/>
              <w:rPr>
                <w:rFonts w:cs="Times New Roman"/>
                <w:kern w:val="0"/>
                <w:szCs w:val="20"/>
              </w:rPr>
            </w:pPr>
            <w:r>
              <w:rPr>
                <w:rFonts w:cs="Times New Roman"/>
                <w:kern w:val="0"/>
                <w:szCs w:val="20"/>
              </w:rPr>
              <w:t>3060</w:t>
            </w:r>
          </w:p>
        </w:tc>
      </w:tr>
      <w:tr w14:paraId="728AA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17" w:type="pct"/>
            <w:vMerge w:val="continue"/>
            <w:vAlign w:val="center"/>
          </w:tcPr>
          <w:p w14:paraId="13E2BFC3">
            <w:pPr>
              <w:pStyle w:val="445"/>
              <w:rPr>
                <w:rFonts w:cs="Times New Roman"/>
                <w:kern w:val="0"/>
                <w:szCs w:val="20"/>
              </w:rPr>
            </w:pPr>
          </w:p>
        </w:tc>
        <w:tc>
          <w:tcPr>
            <w:tcW w:w="545" w:type="pct"/>
            <w:vAlign w:val="center"/>
          </w:tcPr>
          <w:p w14:paraId="7CE3518F">
            <w:pPr>
              <w:pStyle w:val="445"/>
              <w:rPr>
                <w:rFonts w:cs="Times New Roman"/>
                <w:kern w:val="0"/>
                <w:szCs w:val="20"/>
                <w:vertAlign w:val="superscript"/>
              </w:rPr>
            </w:pPr>
            <w:r>
              <w:rPr>
                <w:rFonts w:hint="eastAsia" w:cs="Times New Roman"/>
                <w:kern w:val="0"/>
                <w:szCs w:val="20"/>
              </w:rPr>
              <w:t>小</w:t>
            </w:r>
            <w:r>
              <w:rPr>
                <w:rFonts w:cs="Times New Roman"/>
                <w:kern w:val="0"/>
                <w:szCs w:val="20"/>
              </w:rPr>
              <w:t>朱家</w:t>
            </w:r>
          </w:p>
        </w:tc>
        <w:tc>
          <w:tcPr>
            <w:tcW w:w="676" w:type="pct"/>
            <w:vAlign w:val="center"/>
          </w:tcPr>
          <w:p w14:paraId="37BCE438">
            <w:pPr>
              <w:pStyle w:val="445"/>
              <w:rPr>
                <w:rFonts w:cs="Times New Roman"/>
                <w:kern w:val="0"/>
                <w:szCs w:val="20"/>
              </w:rPr>
            </w:pPr>
            <w:r>
              <w:rPr>
                <w:rFonts w:hint="eastAsia" w:cs="Times New Roman"/>
                <w:kern w:val="0"/>
                <w:szCs w:val="20"/>
              </w:rPr>
              <w:t>-2093</w:t>
            </w:r>
          </w:p>
        </w:tc>
        <w:tc>
          <w:tcPr>
            <w:tcW w:w="550" w:type="pct"/>
            <w:vAlign w:val="center"/>
          </w:tcPr>
          <w:p w14:paraId="648C0931">
            <w:pPr>
              <w:pStyle w:val="445"/>
              <w:rPr>
                <w:rFonts w:cs="Times New Roman"/>
                <w:kern w:val="0"/>
                <w:szCs w:val="20"/>
              </w:rPr>
            </w:pPr>
            <w:r>
              <w:rPr>
                <w:rFonts w:hint="eastAsia" w:cs="Times New Roman"/>
                <w:kern w:val="0"/>
                <w:szCs w:val="20"/>
              </w:rPr>
              <w:t>-1693</w:t>
            </w:r>
          </w:p>
        </w:tc>
        <w:tc>
          <w:tcPr>
            <w:tcW w:w="350" w:type="pct"/>
            <w:vAlign w:val="center"/>
          </w:tcPr>
          <w:p w14:paraId="6B497643">
            <w:pPr>
              <w:pStyle w:val="445"/>
              <w:rPr>
                <w:rFonts w:cs="Times New Roman"/>
                <w:kern w:val="0"/>
                <w:szCs w:val="20"/>
              </w:rPr>
            </w:pPr>
            <w:r>
              <w:rPr>
                <w:rFonts w:hint="eastAsia" w:cs="Times New Roman"/>
                <w:kern w:val="0"/>
                <w:szCs w:val="20"/>
              </w:rPr>
              <w:t>居民</w:t>
            </w:r>
          </w:p>
        </w:tc>
        <w:tc>
          <w:tcPr>
            <w:tcW w:w="678" w:type="pct"/>
            <w:vAlign w:val="center"/>
          </w:tcPr>
          <w:p w14:paraId="7C4AE3E5">
            <w:pPr>
              <w:pStyle w:val="445"/>
              <w:rPr>
                <w:rFonts w:cs="Times New Roman"/>
                <w:kern w:val="0"/>
                <w:szCs w:val="20"/>
              </w:rPr>
            </w:pPr>
            <w:r>
              <w:rPr>
                <w:rFonts w:cs="Times New Roman"/>
                <w:kern w:val="0"/>
                <w:szCs w:val="20"/>
              </w:rPr>
              <w:t>41</w:t>
            </w:r>
            <w:r>
              <w:rPr>
                <w:rFonts w:hint="eastAsia" w:cs="Times New Roman"/>
                <w:kern w:val="0"/>
                <w:szCs w:val="20"/>
              </w:rPr>
              <w:t>户/109人</w:t>
            </w:r>
          </w:p>
        </w:tc>
        <w:tc>
          <w:tcPr>
            <w:tcW w:w="973" w:type="pct"/>
            <w:vMerge w:val="continue"/>
            <w:vAlign w:val="center"/>
          </w:tcPr>
          <w:p w14:paraId="6015B642">
            <w:pPr>
              <w:pStyle w:val="445"/>
              <w:rPr>
                <w:rFonts w:cs="Times New Roman"/>
                <w:kern w:val="0"/>
                <w:szCs w:val="20"/>
              </w:rPr>
            </w:pPr>
          </w:p>
        </w:tc>
        <w:tc>
          <w:tcPr>
            <w:tcW w:w="300" w:type="pct"/>
            <w:vAlign w:val="center"/>
          </w:tcPr>
          <w:p w14:paraId="3BFDFBBC">
            <w:pPr>
              <w:pStyle w:val="445"/>
              <w:rPr>
                <w:rFonts w:cs="Times New Roman"/>
                <w:kern w:val="0"/>
                <w:szCs w:val="20"/>
              </w:rPr>
            </w:pPr>
            <w:r>
              <w:rPr>
                <w:rFonts w:hint="eastAsia" w:cs="Times New Roman"/>
                <w:kern w:val="0"/>
                <w:szCs w:val="20"/>
              </w:rPr>
              <w:t>SW</w:t>
            </w:r>
          </w:p>
        </w:tc>
        <w:tc>
          <w:tcPr>
            <w:tcW w:w="411" w:type="pct"/>
            <w:vAlign w:val="center"/>
          </w:tcPr>
          <w:p w14:paraId="19AF3B82">
            <w:pPr>
              <w:pStyle w:val="445"/>
              <w:rPr>
                <w:rFonts w:cs="Times New Roman"/>
                <w:color w:val="FF0000"/>
                <w:kern w:val="0"/>
                <w:szCs w:val="20"/>
              </w:rPr>
            </w:pPr>
            <w:r>
              <w:rPr>
                <w:rFonts w:hint="eastAsia" w:cs="Times New Roman"/>
                <w:kern w:val="0"/>
                <w:szCs w:val="20"/>
              </w:rPr>
              <w:t>2530</w:t>
            </w:r>
          </w:p>
        </w:tc>
      </w:tr>
      <w:tr w14:paraId="4DEC8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17" w:type="pct"/>
            <w:vAlign w:val="center"/>
          </w:tcPr>
          <w:p w14:paraId="13171891">
            <w:pPr>
              <w:pStyle w:val="445"/>
              <w:rPr>
                <w:rFonts w:cs="Times New Roman"/>
                <w:kern w:val="0"/>
                <w:szCs w:val="20"/>
                <w:highlight w:val="yellow"/>
              </w:rPr>
            </w:pPr>
            <w:r>
              <w:rPr>
                <w:rFonts w:hint="eastAsia" w:cs="Times New Roman"/>
                <w:kern w:val="0"/>
                <w:szCs w:val="20"/>
              </w:rPr>
              <w:t>声环境</w:t>
            </w:r>
          </w:p>
        </w:tc>
        <w:tc>
          <w:tcPr>
            <w:tcW w:w="2799" w:type="pct"/>
            <w:gridSpan w:val="5"/>
            <w:vAlign w:val="center"/>
          </w:tcPr>
          <w:p w14:paraId="78162B8B">
            <w:pPr>
              <w:pStyle w:val="445"/>
              <w:rPr>
                <w:rFonts w:cs="Times New Roman"/>
                <w:kern w:val="0"/>
                <w:szCs w:val="20"/>
              </w:rPr>
            </w:pPr>
            <w:r>
              <w:rPr>
                <w:rFonts w:hint="eastAsia" w:cs="Times New Roman"/>
                <w:kern w:val="0"/>
                <w:szCs w:val="20"/>
              </w:rPr>
              <w:t>项目周边200米范围内无声环境保护目标</w:t>
            </w:r>
          </w:p>
        </w:tc>
        <w:tc>
          <w:tcPr>
            <w:tcW w:w="973" w:type="pct"/>
            <w:vAlign w:val="center"/>
          </w:tcPr>
          <w:p w14:paraId="05916E88">
            <w:pPr>
              <w:pStyle w:val="445"/>
              <w:rPr>
                <w:rFonts w:cs="Times New Roman"/>
                <w:kern w:val="0"/>
                <w:szCs w:val="20"/>
              </w:rPr>
            </w:pPr>
            <w:r>
              <w:rPr>
                <w:rFonts w:hint="eastAsia" w:cs="Times New Roman"/>
                <w:kern w:val="0"/>
                <w:szCs w:val="20"/>
              </w:rPr>
              <w:t>《声环境质量标准》（GB3096-2008）3类标准</w:t>
            </w:r>
          </w:p>
        </w:tc>
        <w:tc>
          <w:tcPr>
            <w:tcW w:w="300" w:type="pct"/>
            <w:vAlign w:val="center"/>
          </w:tcPr>
          <w:p w14:paraId="374A14C6">
            <w:pPr>
              <w:pStyle w:val="445"/>
              <w:rPr>
                <w:rFonts w:cs="Times New Roman"/>
                <w:kern w:val="0"/>
                <w:szCs w:val="20"/>
              </w:rPr>
            </w:pPr>
            <w:r>
              <w:rPr>
                <w:rFonts w:hint="eastAsia" w:cs="Times New Roman"/>
                <w:kern w:val="0"/>
                <w:szCs w:val="20"/>
              </w:rPr>
              <w:t>/</w:t>
            </w:r>
          </w:p>
        </w:tc>
        <w:tc>
          <w:tcPr>
            <w:tcW w:w="411" w:type="pct"/>
            <w:vAlign w:val="center"/>
          </w:tcPr>
          <w:p w14:paraId="300BC0B4">
            <w:pPr>
              <w:pStyle w:val="445"/>
              <w:rPr>
                <w:rFonts w:cs="Times New Roman"/>
                <w:kern w:val="0"/>
                <w:szCs w:val="20"/>
              </w:rPr>
            </w:pPr>
            <w:r>
              <w:rPr>
                <w:rFonts w:hint="eastAsia" w:cs="Times New Roman"/>
                <w:kern w:val="0"/>
                <w:szCs w:val="20"/>
              </w:rPr>
              <w:t>/</w:t>
            </w:r>
          </w:p>
        </w:tc>
      </w:tr>
      <w:tr w14:paraId="7C37C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17" w:type="pct"/>
            <w:vMerge w:val="restart"/>
            <w:vAlign w:val="center"/>
          </w:tcPr>
          <w:p w14:paraId="06BF5CC8">
            <w:pPr>
              <w:pStyle w:val="445"/>
              <w:rPr>
                <w:rFonts w:cs="Times New Roman"/>
                <w:kern w:val="0"/>
                <w:szCs w:val="20"/>
              </w:rPr>
            </w:pPr>
            <w:r>
              <w:rPr>
                <w:rFonts w:hint="eastAsia" w:cs="Times New Roman"/>
                <w:kern w:val="0"/>
                <w:szCs w:val="20"/>
              </w:rPr>
              <w:t>地表水环境</w:t>
            </w:r>
          </w:p>
        </w:tc>
        <w:tc>
          <w:tcPr>
            <w:tcW w:w="545" w:type="pct"/>
            <w:vAlign w:val="center"/>
          </w:tcPr>
          <w:p w14:paraId="76572BE9">
            <w:pPr>
              <w:pStyle w:val="445"/>
              <w:rPr>
                <w:rFonts w:cs="Times New Roman"/>
                <w:kern w:val="0"/>
                <w:szCs w:val="20"/>
              </w:rPr>
            </w:pPr>
            <w:r>
              <w:rPr>
                <w:rFonts w:cs="Times New Roman"/>
                <w:kern w:val="0"/>
                <w:szCs w:val="20"/>
              </w:rPr>
              <w:t>淮河</w:t>
            </w:r>
          </w:p>
        </w:tc>
        <w:tc>
          <w:tcPr>
            <w:tcW w:w="676" w:type="pct"/>
            <w:vAlign w:val="center"/>
          </w:tcPr>
          <w:p w14:paraId="093C7FE3">
            <w:pPr>
              <w:pStyle w:val="445"/>
              <w:rPr>
                <w:rFonts w:cs="Times New Roman"/>
                <w:kern w:val="0"/>
                <w:szCs w:val="20"/>
              </w:rPr>
            </w:pPr>
            <w:r>
              <w:rPr>
                <w:rFonts w:hint="eastAsia" w:cs="Times New Roman"/>
                <w:kern w:val="0"/>
                <w:szCs w:val="20"/>
              </w:rPr>
              <w:t>/</w:t>
            </w:r>
          </w:p>
        </w:tc>
        <w:tc>
          <w:tcPr>
            <w:tcW w:w="550" w:type="pct"/>
            <w:vAlign w:val="center"/>
          </w:tcPr>
          <w:p w14:paraId="7102CCDA">
            <w:pPr>
              <w:pStyle w:val="445"/>
              <w:rPr>
                <w:rFonts w:cs="Times New Roman"/>
                <w:kern w:val="0"/>
                <w:szCs w:val="20"/>
              </w:rPr>
            </w:pPr>
            <w:r>
              <w:rPr>
                <w:rFonts w:hint="eastAsia" w:cs="Times New Roman"/>
                <w:kern w:val="0"/>
                <w:szCs w:val="20"/>
              </w:rPr>
              <w:t>/</w:t>
            </w:r>
          </w:p>
        </w:tc>
        <w:tc>
          <w:tcPr>
            <w:tcW w:w="350" w:type="pct"/>
            <w:vAlign w:val="center"/>
          </w:tcPr>
          <w:p w14:paraId="1379B98A">
            <w:pPr>
              <w:pStyle w:val="445"/>
              <w:rPr>
                <w:rFonts w:cs="Times New Roman"/>
                <w:kern w:val="0"/>
                <w:szCs w:val="20"/>
              </w:rPr>
            </w:pPr>
            <w:r>
              <w:rPr>
                <w:rFonts w:hint="eastAsia" w:cs="Times New Roman"/>
                <w:kern w:val="0"/>
                <w:szCs w:val="20"/>
              </w:rPr>
              <w:t>水体</w:t>
            </w:r>
          </w:p>
        </w:tc>
        <w:tc>
          <w:tcPr>
            <w:tcW w:w="678" w:type="pct"/>
            <w:vAlign w:val="center"/>
          </w:tcPr>
          <w:p w14:paraId="3FCF9DCD">
            <w:pPr>
              <w:pStyle w:val="445"/>
              <w:rPr>
                <w:rFonts w:cs="Times New Roman"/>
                <w:kern w:val="0"/>
                <w:szCs w:val="20"/>
              </w:rPr>
            </w:pPr>
            <w:r>
              <w:rPr>
                <w:rFonts w:hint="eastAsia" w:cs="Times New Roman"/>
                <w:kern w:val="0"/>
                <w:szCs w:val="20"/>
              </w:rPr>
              <w:t>大型河流</w:t>
            </w:r>
          </w:p>
        </w:tc>
        <w:tc>
          <w:tcPr>
            <w:tcW w:w="973" w:type="pct"/>
            <w:vAlign w:val="center"/>
          </w:tcPr>
          <w:p w14:paraId="1AE5A3EE">
            <w:pPr>
              <w:pStyle w:val="445"/>
              <w:rPr>
                <w:rFonts w:cs="Times New Roman"/>
                <w:kern w:val="0"/>
                <w:szCs w:val="20"/>
              </w:rPr>
            </w:pPr>
            <w:r>
              <w:rPr>
                <w:rFonts w:hint="eastAsia" w:cs="Times New Roman"/>
                <w:kern w:val="0"/>
                <w:szCs w:val="20"/>
              </w:rPr>
              <w:t>《地表水环境质量标准》（GB3838-2002）III类标准</w:t>
            </w:r>
          </w:p>
        </w:tc>
        <w:tc>
          <w:tcPr>
            <w:tcW w:w="300" w:type="pct"/>
            <w:vAlign w:val="center"/>
          </w:tcPr>
          <w:p w14:paraId="76CEAEDC">
            <w:pPr>
              <w:pStyle w:val="445"/>
              <w:rPr>
                <w:rFonts w:cs="Times New Roman"/>
                <w:kern w:val="0"/>
                <w:szCs w:val="20"/>
              </w:rPr>
            </w:pPr>
            <w:r>
              <w:rPr>
                <w:rFonts w:hint="eastAsia" w:cs="Times New Roman"/>
                <w:kern w:val="0"/>
                <w:szCs w:val="20"/>
              </w:rPr>
              <w:t>S</w:t>
            </w:r>
          </w:p>
        </w:tc>
        <w:tc>
          <w:tcPr>
            <w:tcW w:w="411" w:type="pct"/>
            <w:vAlign w:val="center"/>
          </w:tcPr>
          <w:p w14:paraId="7217201C">
            <w:pPr>
              <w:pStyle w:val="445"/>
              <w:rPr>
                <w:rFonts w:cs="Times New Roman"/>
                <w:kern w:val="0"/>
                <w:szCs w:val="20"/>
              </w:rPr>
            </w:pPr>
            <w:r>
              <w:rPr>
                <w:rFonts w:cs="Times New Roman"/>
                <w:kern w:val="0"/>
                <w:szCs w:val="20"/>
              </w:rPr>
              <w:t>3400</w:t>
            </w:r>
          </w:p>
        </w:tc>
      </w:tr>
      <w:tr w14:paraId="7AFE6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7" w:type="pct"/>
            <w:vMerge w:val="continue"/>
            <w:vAlign w:val="center"/>
          </w:tcPr>
          <w:p w14:paraId="03860A86">
            <w:pPr>
              <w:pStyle w:val="445"/>
              <w:rPr>
                <w:rFonts w:cs="Times New Roman"/>
                <w:kern w:val="0"/>
                <w:szCs w:val="20"/>
              </w:rPr>
            </w:pPr>
          </w:p>
        </w:tc>
        <w:tc>
          <w:tcPr>
            <w:tcW w:w="545" w:type="pct"/>
            <w:vAlign w:val="center"/>
          </w:tcPr>
          <w:p w14:paraId="484E6C41">
            <w:pPr>
              <w:pStyle w:val="445"/>
              <w:rPr>
                <w:rFonts w:cs="Times New Roman"/>
                <w:kern w:val="0"/>
                <w:szCs w:val="20"/>
              </w:rPr>
            </w:pPr>
            <w:r>
              <w:rPr>
                <w:rFonts w:cs="Times New Roman"/>
                <w:kern w:val="0"/>
                <w:szCs w:val="20"/>
              </w:rPr>
              <w:t>三铺大沟</w:t>
            </w:r>
          </w:p>
        </w:tc>
        <w:tc>
          <w:tcPr>
            <w:tcW w:w="676" w:type="pct"/>
            <w:vAlign w:val="center"/>
          </w:tcPr>
          <w:p w14:paraId="039BCE96">
            <w:pPr>
              <w:pStyle w:val="445"/>
              <w:rPr>
                <w:rFonts w:cs="Times New Roman"/>
                <w:kern w:val="0"/>
                <w:szCs w:val="20"/>
              </w:rPr>
            </w:pPr>
            <w:r>
              <w:rPr>
                <w:rFonts w:hint="eastAsia" w:cs="Times New Roman"/>
                <w:kern w:val="0"/>
                <w:szCs w:val="20"/>
              </w:rPr>
              <w:t>/</w:t>
            </w:r>
          </w:p>
        </w:tc>
        <w:tc>
          <w:tcPr>
            <w:tcW w:w="550" w:type="pct"/>
            <w:vAlign w:val="center"/>
          </w:tcPr>
          <w:p w14:paraId="0B510339">
            <w:pPr>
              <w:pStyle w:val="445"/>
              <w:rPr>
                <w:rFonts w:cs="Times New Roman"/>
                <w:kern w:val="0"/>
                <w:szCs w:val="20"/>
              </w:rPr>
            </w:pPr>
            <w:r>
              <w:rPr>
                <w:rFonts w:hint="eastAsia" w:cs="Times New Roman"/>
                <w:kern w:val="0"/>
                <w:szCs w:val="20"/>
              </w:rPr>
              <w:t>/</w:t>
            </w:r>
          </w:p>
        </w:tc>
        <w:tc>
          <w:tcPr>
            <w:tcW w:w="350" w:type="pct"/>
            <w:vAlign w:val="center"/>
          </w:tcPr>
          <w:p w14:paraId="3DF5540F">
            <w:pPr>
              <w:pStyle w:val="445"/>
              <w:rPr>
                <w:rFonts w:cs="Times New Roman"/>
                <w:kern w:val="0"/>
                <w:szCs w:val="20"/>
              </w:rPr>
            </w:pPr>
            <w:r>
              <w:rPr>
                <w:rFonts w:hint="eastAsia" w:cs="Times New Roman"/>
                <w:kern w:val="0"/>
                <w:szCs w:val="20"/>
              </w:rPr>
              <w:t>水体</w:t>
            </w:r>
          </w:p>
        </w:tc>
        <w:tc>
          <w:tcPr>
            <w:tcW w:w="678" w:type="pct"/>
            <w:vAlign w:val="center"/>
          </w:tcPr>
          <w:p w14:paraId="07A69FB1">
            <w:pPr>
              <w:pStyle w:val="445"/>
              <w:rPr>
                <w:rFonts w:cs="Times New Roman"/>
                <w:kern w:val="0"/>
                <w:szCs w:val="20"/>
              </w:rPr>
            </w:pPr>
            <w:r>
              <w:rPr>
                <w:rFonts w:hint="eastAsia" w:cs="Times New Roman"/>
                <w:kern w:val="0"/>
                <w:szCs w:val="20"/>
              </w:rPr>
              <w:t>小型河流</w:t>
            </w:r>
          </w:p>
        </w:tc>
        <w:tc>
          <w:tcPr>
            <w:tcW w:w="973" w:type="pct"/>
            <w:vAlign w:val="center"/>
          </w:tcPr>
          <w:p w14:paraId="1E48ED6B">
            <w:pPr>
              <w:pStyle w:val="445"/>
              <w:rPr>
                <w:rFonts w:cs="Times New Roman"/>
                <w:kern w:val="0"/>
                <w:szCs w:val="20"/>
              </w:rPr>
            </w:pPr>
            <w:r>
              <w:rPr>
                <w:rFonts w:cs="Times New Roman"/>
                <w:kern w:val="0"/>
                <w:szCs w:val="20"/>
              </w:rPr>
              <w:t>《地表水环境质量标准》（GB3838-2002）</w:t>
            </w:r>
            <w:r>
              <w:rPr>
                <w:rFonts w:hint="eastAsia" w:ascii="宋体" w:hAnsi="宋体" w:cs="宋体"/>
                <w:kern w:val="0"/>
                <w:szCs w:val="20"/>
              </w:rPr>
              <w:t>Ⅳ</w:t>
            </w:r>
            <w:r>
              <w:rPr>
                <w:rFonts w:cs="Times New Roman"/>
                <w:kern w:val="0"/>
                <w:szCs w:val="20"/>
              </w:rPr>
              <w:t>类</w:t>
            </w:r>
          </w:p>
        </w:tc>
        <w:tc>
          <w:tcPr>
            <w:tcW w:w="300" w:type="pct"/>
            <w:vAlign w:val="center"/>
          </w:tcPr>
          <w:p w14:paraId="6EC8EA79">
            <w:pPr>
              <w:pStyle w:val="445"/>
              <w:rPr>
                <w:rFonts w:cs="Times New Roman"/>
                <w:kern w:val="0"/>
                <w:szCs w:val="20"/>
              </w:rPr>
            </w:pPr>
            <w:r>
              <w:rPr>
                <w:rFonts w:hint="eastAsia" w:cs="Times New Roman"/>
                <w:kern w:val="0"/>
                <w:szCs w:val="20"/>
              </w:rPr>
              <w:t>W</w:t>
            </w:r>
          </w:p>
        </w:tc>
        <w:tc>
          <w:tcPr>
            <w:tcW w:w="411" w:type="pct"/>
            <w:vAlign w:val="center"/>
          </w:tcPr>
          <w:p w14:paraId="2CD82489">
            <w:pPr>
              <w:pStyle w:val="445"/>
              <w:rPr>
                <w:rFonts w:cs="Times New Roman"/>
                <w:kern w:val="0"/>
                <w:szCs w:val="20"/>
              </w:rPr>
            </w:pPr>
            <w:r>
              <w:rPr>
                <w:rFonts w:cs="Times New Roman"/>
                <w:kern w:val="0"/>
                <w:szCs w:val="20"/>
              </w:rPr>
              <w:t>1190</w:t>
            </w:r>
          </w:p>
        </w:tc>
      </w:tr>
      <w:tr w14:paraId="7EB42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17" w:type="pct"/>
            <w:vMerge w:val="continue"/>
            <w:vAlign w:val="center"/>
          </w:tcPr>
          <w:p w14:paraId="0D324786">
            <w:pPr>
              <w:pStyle w:val="445"/>
              <w:rPr>
                <w:rFonts w:cs="Times New Roman"/>
                <w:kern w:val="0"/>
                <w:szCs w:val="20"/>
              </w:rPr>
            </w:pPr>
          </w:p>
        </w:tc>
        <w:tc>
          <w:tcPr>
            <w:tcW w:w="545" w:type="pct"/>
            <w:vAlign w:val="center"/>
          </w:tcPr>
          <w:p w14:paraId="5CEE8990">
            <w:pPr>
              <w:pStyle w:val="445"/>
              <w:rPr>
                <w:rFonts w:cs="Times New Roman"/>
                <w:kern w:val="0"/>
                <w:szCs w:val="20"/>
              </w:rPr>
            </w:pPr>
            <w:r>
              <w:rPr>
                <w:rFonts w:cs="Times New Roman"/>
                <w:kern w:val="0"/>
                <w:szCs w:val="20"/>
              </w:rPr>
              <w:t>沫冲引河</w:t>
            </w:r>
          </w:p>
        </w:tc>
        <w:tc>
          <w:tcPr>
            <w:tcW w:w="676" w:type="pct"/>
            <w:vAlign w:val="center"/>
          </w:tcPr>
          <w:p w14:paraId="462047C2">
            <w:pPr>
              <w:pStyle w:val="445"/>
              <w:rPr>
                <w:rFonts w:cs="Times New Roman"/>
                <w:kern w:val="0"/>
                <w:szCs w:val="20"/>
              </w:rPr>
            </w:pPr>
            <w:r>
              <w:rPr>
                <w:rFonts w:hint="eastAsia" w:cs="Times New Roman"/>
                <w:kern w:val="0"/>
                <w:szCs w:val="20"/>
              </w:rPr>
              <w:t>/</w:t>
            </w:r>
          </w:p>
        </w:tc>
        <w:tc>
          <w:tcPr>
            <w:tcW w:w="550" w:type="pct"/>
            <w:vAlign w:val="center"/>
          </w:tcPr>
          <w:p w14:paraId="5F6DAD46">
            <w:pPr>
              <w:pStyle w:val="445"/>
              <w:rPr>
                <w:rFonts w:cs="Times New Roman"/>
                <w:kern w:val="0"/>
                <w:szCs w:val="20"/>
              </w:rPr>
            </w:pPr>
            <w:r>
              <w:rPr>
                <w:rFonts w:hint="eastAsia" w:cs="Times New Roman"/>
                <w:kern w:val="0"/>
                <w:szCs w:val="20"/>
              </w:rPr>
              <w:t>/</w:t>
            </w:r>
          </w:p>
        </w:tc>
        <w:tc>
          <w:tcPr>
            <w:tcW w:w="350" w:type="pct"/>
            <w:vAlign w:val="center"/>
          </w:tcPr>
          <w:p w14:paraId="0D9D416E">
            <w:pPr>
              <w:pStyle w:val="445"/>
              <w:rPr>
                <w:rFonts w:cs="Times New Roman"/>
                <w:kern w:val="0"/>
                <w:szCs w:val="20"/>
              </w:rPr>
            </w:pPr>
            <w:r>
              <w:rPr>
                <w:rFonts w:hint="eastAsia" w:cs="Times New Roman"/>
                <w:kern w:val="0"/>
                <w:szCs w:val="20"/>
              </w:rPr>
              <w:t>水体</w:t>
            </w:r>
          </w:p>
        </w:tc>
        <w:tc>
          <w:tcPr>
            <w:tcW w:w="678" w:type="pct"/>
            <w:vAlign w:val="center"/>
          </w:tcPr>
          <w:p w14:paraId="64E3DB1F">
            <w:pPr>
              <w:pStyle w:val="445"/>
              <w:rPr>
                <w:rFonts w:cs="Times New Roman"/>
                <w:kern w:val="0"/>
                <w:szCs w:val="20"/>
              </w:rPr>
            </w:pPr>
            <w:r>
              <w:rPr>
                <w:rFonts w:hint="eastAsia" w:cs="Times New Roman"/>
                <w:kern w:val="0"/>
                <w:szCs w:val="20"/>
              </w:rPr>
              <w:t>小型河流</w:t>
            </w:r>
          </w:p>
        </w:tc>
        <w:tc>
          <w:tcPr>
            <w:tcW w:w="973" w:type="pct"/>
            <w:vAlign w:val="center"/>
          </w:tcPr>
          <w:p w14:paraId="145A1D04">
            <w:pPr>
              <w:pStyle w:val="445"/>
              <w:rPr>
                <w:rFonts w:cs="Times New Roman"/>
                <w:kern w:val="0"/>
                <w:szCs w:val="20"/>
              </w:rPr>
            </w:pPr>
            <w:r>
              <w:rPr>
                <w:rFonts w:cs="Times New Roman"/>
                <w:kern w:val="0"/>
                <w:szCs w:val="20"/>
              </w:rPr>
              <w:t>《地表水环境质量标准》（GB3838-2002）</w:t>
            </w:r>
            <w:r>
              <w:rPr>
                <w:rFonts w:hint="eastAsia" w:ascii="宋体" w:hAnsi="宋体" w:cs="宋体"/>
                <w:kern w:val="0"/>
                <w:szCs w:val="20"/>
              </w:rPr>
              <w:t>Ⅳ</w:t>
            </w:r>
            <w:r>
              <w:rPr>
                <w:rFonts w:cs="Times New Roman"/>
                <w:kern w:val="0"/>
                <w:szCs w:val="20"/>
              </w:rPr>
              <w:t>类</w:t>
            </w:r>
          </w:p>
        </w:tc>
        <w:tc>
          <w:tcPr>
            <w:tcW w:w="300" w:type="pct"/>
            <w:vAlign w:val="center"/>
          </w:tcPr>
          <w:p w14:paraId="6017D361">
            <w:pPr>
              <w:pStyle w:val="445"/>
              <w:rPr>
                <w:rFonts w:cs="Times New Roman"/>
                <w:kern w:val="0"/>
                <w:szCs w:val="20"/>
              </w:rPr>
            </w:pPr>
            <w:r>
              <w:rPr>
                <w:rFonts w:hint="eastAsia" w:cs="Times New Roman"/>
                <w:kern w:val="0"/>
                <w:szCs w:val="20"/>
              </w:rPr>
              <w:t>S</w:t>
            </w:r>
          </w:p>
        </w:tc>
        <w:tc>
          <w:tcPr>
            <w:tcW w:w="411" w:type="pct"/>
            <w:vAlign w:val="center"/>
          </w:tcPr>
          <w:p w14:paraId="0D152189">
            <w:pPr>
              <w:pStyle w:val="445"/>
              <w:rPr>
                <w:rFonts w:cs="Times New Roman"/>
                <w:kern w:val="0"/>
                <w:szCs w:val="20"/>
              </w:rPr>
            </w:pPr>
            <w:r>
              <w:rPr>
                <w:rFonts w:cs="Times New Roman"/>
                <w:kern w:val="0"/>
                <w:szCs w:val="20"/>
              </w:rPr>
              <w:t>1390</w:t>
            </w:r>
          </w:p>
        </w:tc>
      </w:tr>
      <w:tr w14:paraId="7C3248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17" w:type="pct"/>
            <w:vAlign w:val="center"/>
          </w:tcPr>
          <w:p w14:paraId="60CDB25A">
            <w:pPr>
              <w:pStyle w:val="445"/>
              <w:rPr>
                <w:rFonts w:cs="Times New Roman"/>
                <w:kern w:val="0"/>
                <w:szCs w:val="20"/>
              </w:rPr>
            </w:pPr>
            <w:r>
              <w:rPr>
                <w:rFonts w:hint="eastAsia" w:cs="Times New Roman"/>
                <w:kern w:val="0"/>
                <w:szCs w:val="20"/>
              </w:rPr>
              <w:t>地下水环境</w:t>
            </w:r>
          </w:p>
        </w:tc>
        <w:tc>
          <w:tcPr>
            <w:tcW w:w="2799" w:type="pct"/>
            <w:gridSpan w:val="5"/>
            <w:vAlign w:val="center"/>
          </w:tcPr>
          <w:p w14:paraId="4E401D9B">
            <w:pPr>
              <w:pStyle w:val="445"/>
              <w:rPr>
                <w:rFonts w:cs="Times New Roman"/>
                <w:kern w:val="0"/>
                <w:szCs w:val="20"/>
              </w:rPr>
            </w:pPr>
            <w:r>
              <w:rPr>
                <w:rFonts w:hint="eastAsia" w:cs="Times New Roman"/>
                <w:kern w:val="0"/>
                <w:szCs w:val="20"/>
              </w:rPr>
              <w:t>厂区外独立水文地质单</w:t>
            </w:r>
            <w:r>
              <w:rPr>
                <w:rFonts w:hint="eastAsia" w:cs="Times New Roman"/>
                <w:color w:val="000000" w:themeColor="text1"/>
                <w:kern w:val="0"/>
                <w:szCs w:val="20"/>
                <w14:textFill>
                  <w14:solidFill>
                    <w14:schemeClr w14:val="tx1"/>
                  </w14:solidFill>
                </w14:textFill>
              </w:rPr>
              <w:t>元（</w:t>
            </w:r>
            <w:r>
              <w:rPr>
                <w:rFonts w:cs="Times New Roman"/>
                <w:color w:val="000000" w:themeColor="text1"/>
                <w:kern w:val="0"/>
                <w:szCs w:val="20"/>
                <w14:textFill>
                  <w14:solidFill>
                    <w14:schemeClr w14:val="tx1"/>
                  </w14:solidFill>
                </w14:textFill>
              </w:rPr>
              <w:t>19.33</w:t>
            </w:r>
            <w:r>
              <w:rPr>
                <w:rFonts w:hint="eastAsia" w:cs="Times New Roman"/>
                <w:color w:val="000000" w:themeColor="text1"/>
                <w:kern w:val="0"/>
                <w:szCs w:val="20"/>
                <w14:textFill>
                  <w14:solidFill>
                    <w14:schemeClr w14:val="tx1"/>
                  </w14:solidFill>
                </w14:textFill>
              </w:rPr>
              <w:t>km</w:t>
            </w:r>
            <w:r>
              <w:rPr>
                <w:rFonts w:hint="eastAsia" w:cs="Times New Roman"/>
                <w:color w:val="000000" w:themeColor="text1"/>
                <w:kern w:val="0"/>
                <w:szCs w:val="20"/>
                <w:vertAlign w:val="superscript"/>
                <w14:textFill>
                  <w14:solidFill>
                    <w14:schemeClr w14:val="tx1"/>
                  </w14:solidFill>
                </w14:textFill>
              </w:rPr>
              <w:t>2</w:t>
            </w:r>
            <w:r>
              <w:rPr>
                <w:rFonts w:hint="eastAsia" w:cs="Times New Roman"/>
                <w:color w:val="000000" w:themeColor="text1"/>
                <w:kern w:val="0"/>
                <w:szCs w:val="20"/>
                <w14:textFill>
                  <w14:solidFill>
                    <w14:schemeClr w14:val="tx1"/>
                  </w14:solidFill>
                </w14:textFill>
              </w:rPr>
              <w:t>）的浅</w:t>
            </w:r>
            <w:r>
              <w:rPr>
                <w:rFonts w:hint="eastAsia" w:cs="Times New Roman"/>
                <w:kern w:val="0"/>
                <w:szCs w:val="20"/>
              </w:rPr>
              <w:t>层地下水</w:t>
            </w:r>
          </w:p>
        </w:tc>
        <w:tc>
          <w:tcPr>
            <w:tcW w:w="973" w:type="pct"/>
            <w:vAlign w:val="center"/>
          </w:tcPr>
          <w:p w14:paraId="0CBCA744">
            <w:pPr>
              <w:pStyle w:val="445"/>
              <w:rPr>
                <w:rFonts w:cs="Times New Roman"/>
                <w:kern w:val="0"/>
                <w:szCs w:val="20"/>
              </w:rPr>
            </w:pPr>
            <w:r>
              <w:rPr>
                <w:rFonts w:hint="eastAsia" w:cs="Times New Roman"/>
                <w:kern w:val="0"/>
                <w:szCs w:val="20"/>
              </w:rPr>
              <w:t>（GB/T14848-2017）中III类标准</w:t>
            </w:r>
          </w:p>
        </w:tc>
        <w:tc>
          <w:tcPr>
            <w:tcW w:w="300" w:type="pct"/>
            <w:vAlign w:val="center"/>
          </w:tcPr>
          <w:p w14:paraId="3C699B05">
            <w:pPr>
              <w:pStyle w:val="445"/>
              <w:rPr>
                <w:rFonts w:cs="Times New Roman"/>
                <w:kern w:val="0"/>
                <w:szCs w:val="20"/>
              </w:rPr>
            </w:pPr>
            <w:r>
              <w:rPr>
                <w:rFonts w:hint="eastAsia" w:cs="Times New Roman"/>
                <w:kern w:val="0"/>
                <w:szCs w:val="20"/>
              </w:rPr>
              <w:t>/</w:t>
            </w:r>
          </w:p>
        </w:tc>
        <w:tc>
          <w:tcPr>
            <w:tcW w:w="411" w:type="pct"/>
            <w:vAlign w:val="center"/>
          </w:tcPr>
          <w:p w14:paraId="3A6CD4F3">
            <w:pPr>
              <w:pStyle w:val="445"/>
              <w:rPr>
                <w:rFonts w:cs="Times New Roman"/>
                <w:kern w:val="0"/>
                <w:szCs w:val="20"/>
              </w:rPr>
            </w:pPr>
            <w:r>
              <w:rPr>
                <w:rFonts w:hint="eastAsia" w:cs="Times New Roman"/>
                <w:kern w:val="0"/>
                <w:szCs w:val="20"/>
              </w:rPr>
              <w:t>/</w:t>
            </w:r>
          </w:p>
        </w:tc>
      </w:tr>
      <w:tr w14:paraId="6CD50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517" w:type="pct"/>
            <w:vAlign w:val="center"/>
          </w:tcPr>
          <w:p w14:paraId="301C7789">
            <w:pPr>
              <w:pStyle w:val="445"/>
              <w:rPr>
                <w:rFonts w:cs="Times New Roman"/>
                <w:kern w:val="0"/>
                <w:szCs w:val="20"/>
              </w:rPr>
            </w:pPr>
            <w:r>
              <w:rPr>
                <w:rFonts w:hint="eastAsia" w:cs="Times New Roman"/>
                <w:kern w:val="0"/>
                <w:szCs w:val="20"/>
              </w:rPr>
              <w:t>土壤环境</w:t>
            </w:r>
          </w:p>
        </w:tc>
        <w:tc>
          <w:tcPr>
            <w:tcW w:w="2799" w:type="pct"/>
            <w:gridSpan w:val="5"/>
            <w:vAlign w:val="center"/>
          </w:tcPr>
          <w:p w14:paraId="4F22A1B4">
            <w:pPr>
              <w:pStyle w:val="445"/>
              <w:rPr>
                <w:rFonts w:cs="Times New Roman"/>
                <w:kern w:val="0"/>
                <w:szCs w:val="20"/>
              </w:rPr>
            </w:pPr>
            <w:r>
              <w:rPr>
                <w:rFonts w:hint="eastAsia" w:cs="Times New Roman"/>
                <w:kern w:val="0"/>
                <w:szCs w:val="20"/>
              </w:rPr>
              <w:t>占地范围外1km的农用地和</w:t>
            </w:r>
            <w:r>
              <w:rPr>
                <w:rFonts w:cs="Times New Roman"/>
                <w:kern w:val="0"/>
                <w:szCs w:val="20"/>
              </w:rPr>
              <w:t>建设用地</w:t>
            </w:r>
          </w:p>
        </w:tc>
        <w:tc>
          <w:tcPr>
            <w:tcW w:w="973" w:type="pct"/>
            <w:vAlign w:val="center"/>
          </w:tcPr>
          <w:p w14:paraId="7EA2558C">
            <w:pPr>
              <w:pStyle w:val="445"/>
              <w:rPr>
                <w:rFonts w:cs="Times New Roman"/>
                <w:kern w:val="0"/>
                <w:szCs w:val="20"/>
              </w:rPr>
            </w:pPr>
            <w:r>
              <w:rPr>
                <w:rFonts w:cs="Times New Roman"/>
                <w:kern w:val="0"/>
                <w:szCs w:val="20"/>
              </w:rPr>
              <w:t xml:space="preserve">《土壤环境质量 </w:t>
            </w:r>
            <w:r>
              <w:rPr>
                <w:rFonts w:hint="eastAsia" w:cs="Times New Roman"/>
                <w:kern w:val="0"/>
                <w:szCs w:val="20"/>
              </w:rPr>
              <w:t>农用地</w:t>
            </w:r>
            <w:r>
              <w:rPr>
                <w:rFonts w:cs="Times New Roman"/>
                <w:kern w:val="0"/>
                <w:szCs w:val="20"/>
              </w:rPr>
              <w:t>土壤污染风险管控标准（试行）》（GB15618-2018）中</w:t>
            </w:r>
            <w:r>
              <w:rPr>
                <w:rFonts w:hint="eastAsia" w:cs="Times New Roman"/>
                <w:kern w:val="0"/>
                <w:szCs w:val="20"/>
              </w:rPr>
              <w:t>风险筛选值和</w:t>
            </w:r>
            <w:r>
              <w:rPr>
                <w:rFonts w:cs="Times New Roman"/>
                <w:kern w:val="0"/>
                <w:szCs w:val="20"/>
              </w:rPr>
              <w:t>《土壤环境质量 建设用地土壤污染风险管控标准（试行）》（GB36600-2018）中</w:t>
            </w:r>
            <w:r>
              <w:rPr>
                <w:rFonts w:hint="eastAsia" w:cs="Times New Roman"/>
                <w:kern w:val="0"/>
                <w:szCs w:val="20"/>
              </w:rPr>
              <w:t>第二类用地筛选值</w:t>
            </w:r>
          </w:p>
        </w:tc>
        <w:tc>
          <w:tcPr>
            <w:tcW w:w="300" w:type="pct"/>
            <w:vAlign w:val="center"/>
          </w:tcPr>
          <w:p w14:paraId="34B8CFED">
            <w:pPr>
              <w:pStyle w:val="445"/>
              <w:rPr>
                <w:rFonts w:cs="Times New Roman"/>
                <w:kern w:val="0"/>
                <w:szCs w:val="20"/>
              </w:rPr>
            </w:pPr>
            <w:r>
              <w:rPr>
                <w:rFonts w:hint="eastAsia" w:cs="Times New Roman"/>
                <w:kern w:val="0"/>
                <w:szCs w:val="20"/>
              </w:rPr>
              <w:t>/</w:t>
            </w:r>
          </w:p>
        </w:tc>
        <w:tc>
          <w:tcPr>
            <w:tcW w:w="411" w:type="pct"/>
            <w:vAlign w:val="center"/>
          </w:tcPr>
          <w:p w14:paraId="310D7883">
            <w:pPr>
              <w:pStyle w:val="445"/>
              <w:rPr>
                <w:rFonts w:cs="Times New Roman"/>
                <w:kern w:val="0"/>
                <w:szCs w:val="20"/>
              </w:rPr>
            </w:pPr>
            <w:r>
              <w:rPr>
                <w:rFonts w:hint="eastAsia" w:cs="Times New Roman"/>
                <w:kern w:val="0"/>
                <w:szCs w:val="20"/>
              </w:rPr>
              <w:t>/</w:t>
            </w:r>
          </w:p>
        </w:tc>
      </w:tr>
    </w:tbl>
    <w:p w14:paraId="63F3B703">
      <w:pPr>
        <w:pStyle w:val="326"/>
        <w:ind w:firstLine="480"/>
        <w:sectPr>
          <w:pgSz w:w="16838" w:h="11906" w:orient="landscape"/>
          <w:pgMar w:top="1440" w:right="1440" w:bottom="1440" w:left="1440" w:header="851" w:footer="992" w:gutter="0"/>
          <w:cols w:space="425" w:num="1"/>
          <w:docGrid w:type="lines" w:linePitch="326" w:charSpace="0"/>
        </w:sectPr>
      </w:pPr>
    </w:p>
    <w:p w14:paraId="0803F784">
      <w:pPr>
        <w:pStyle w:val="4065"/>
      </w:pPr>
      <w:bookmarkStart w:id="54" w:name="_Toc108662560"/>
      <w:r>
        <w:rPr>
          <w:rFonts w:hint="eastAsia"/>
        </w:rPr>
        <w:t>2</w:t>
      </w:r>
      <w:r>
        <w:t>.5与相关法律法规</w:t>
      </w:r>
      <w:r>
        <w:rPr>
          <w:rFonts w:hint="eastAsia"/>
        </w:rPr>
        <w:t>、</w:t>
      </w:r>
      <w:r>
        <w:t>政策</w:t>
      </w:r>
      <w:r>
        <w:rPr>
          <w:rFonts w:hint="eastAsia"/>
        </w:rPr>
        <w:t>、</w:t>
      </w:r>
      <w:r>
        <w:t>规划协调性分析</w:t>
      </w:r>
      <w:bookmarkEnd w:id="54"/>
    </w:p>
    <w:p w14:paraId="59D850FF">
      <w:pPr>
        <w:pStyle w:val="4068"/>
      </w:pPr>
      <w:bookmarkStart w:id="55" w:name="_Toc101135798"/>
      <w:bookmarkStart w:id="56" w:name="_Toc108662561"/>
      <w:r>
        <w:rPr>
          <w:rFonts w:hint="eastAsia"/>
        </w:rPr>
        <w:t>2</w:t>
      </w:r>
      <w:r>
        <w:t>.5.1</w:t>
      </w:r>
      <w:r>
        <w:rPr>
          <w:rFonts w:hint="eastAsia"/>
        </w:rPr>
        <w:t>与</w:t>
      </w:r>
      <w:r>
        <w:t>园区规划和规划</w:t>
      </w:r>
      <w:r>
        <w:rPr>
          <w:rFonts w:hint="eastAsia"/>
        </w:rPr>
        <w:t>环评</w:t>
      </w:r>
      <w:r>
        <w:t>审查意见要求的</w:t>
      </w:r>
      <w:r>
        <w:rPr>
          <w:rFonts w:hint="eastAsia"/>
        </w:rPr>
        <w:t>符合性</w:t>
      </w:r>
      <w:bookmarkEnd w:id="55"/>
      <w:bookmarkEnd w:id="56"/>
    </w:p>
    <w:p w14:paraId="22562361">
      <w:pPr>
        <w:tabs>
          <w:tab w:val="left" w:pos="540"/>
        </w:tabs>
        <w:ind w:firstLine="480"/>
      </w:pPr>
      <w:bookmarkStart w:id="57" w:name="_Toc100783968"/>
      <w:r>
        <w:tab/>
      </w:r>
      <w:r>
        <w:t>2022</w:t>
      </w:r>
      <w:r>
        <w:rPr>
          <w:rFonts w:hint="eastAsia"/>
        </w:rPr>
        <w:t>年2月17日</w:t>
      </w:r>
      <w:r>
        <w:t>，</w:t>
      </w:r>
      <w:r>
        <w:rPr>
          <w:rFonts w:hint="eastAsia"/>
        </w:rPr>
        <w:t>蚌埠</w:t>
      </w:r>
      <w:r>
        <w:t>市生态环境局</w:t>
      </w:r>
      <w:r>
        <w:rPr>
          <w:rFonts w:hint="eastAsia"/>
        </w:rPr>
        <w:t>以</w:t>
      </w:r>
      <w:r>
        <w:t>“</w:t>
      </w:r>
      <w:r>
        <w:rPr>
          <w:rFonts w:hint="eastAsia"/>
        </w:rPr>
        <w:t>蚌</w:t>
      </w:r>
      <w:r>
        <w:t>环字</w:t>
      </w:r>
      <w:r>
        <w:rPr>
          <w:rFonts w:hint="eastAsia"/>
        </w:rPr>
        <w:t>[</w:t>
      </w:r>
      <w:r>
        <w:t>2022</w:t>
      </w:r>
      <w:r>
        <w:rPr>
          <w:rFonts w:hint="eastAsia"/>
        </w:rPr>
        <w:t>]</w:t>
      </w:r>
      <w:r>
        <w:t>18</w:t>
      </w:r>
      <w:r>
        <w:rPr>
          <w:rFonts w:hint="eastAsia"/>
        </w:rPr>
        <w:t>号</w:t>
      </w:r>
      <w:r>
        <w:t>”</w:t>
      </w:r>
      <w:r>
        <w:rPr>
          <w:rFonts w:hint="eastAsia"/>
        </w:rPr>
        <w:t>《蚌埠市</w:t>
      </w:r>
      <w:r>
        <w:t>生态环境局</w:t>
      </w:r>
      <w:r>
        <w:rPr>
          <w:rFonts w:hint="eastAsia"/>
        </w:rPr>
        <w:t>关于</w:t>
      </w:r>
      <w:r>
        <w:t>印发</w:t>
      </w:r>
      <w:r>
        <w:rPr>
          <w:rFonts w:hint="eastAsia"/>
        </w:rPr>
        <w:t>&lt;蚌埠精细化工</w:t>
      </w:r>
      <w:r>
        <w:t>高新技术产业基地规划</w:t>
      </w:r>
      <w:r>
        <w:rPr>
          <w:rFonts w:hint="eastAsia"/>
        </w:rPr>
        <w:t>（2021</w:t>
      </w:r>
      <w:r>
        <w:t>~2035</w:t>
      </w:r>
      <w:r>
        <w:rPr>
          <w:rFonts w:hint="eastAsia"/>
        </w:rPr>
        <w:t>）环境</w:t>
      </w:r>
      <w:r>
        <w:t>影响报告书审查意见</w:t>
      </w:r>
      <w:r>
        <w:rPr>
          <w:rFonts w:hint="eastAsia"/>
        </w:rPr>
        <w:t>&gt;的</w:t>
      </w:r>
      <w:r>
        <w:t>函</w:t>
      </w:r>
      <w:r>
        <w:rPr>
          <w:rFonts w:hint="eastAsia"/>
        </w:rPr>
        <w:t>》通过</w:t>
      </w:r>
      <w:r>
        <w:t>了对</w:t>
      </w:r>
      <w:r>
        <w:rPr>
          <w:rFonts w:hint="eastAsia"/>
        </w:rPr>
        <w:t>蚌埠精细化工</w:t>
      </w:r>
      <w:r>
        <w:t>高新技术产业基地规划</w:t>
      </w:r>
      <w:r>
        <w:rPr>
          <w:rFonts w:hint="eastAsia"/>
        </w:rPr>
        <w:t>（2021</w:t>
      </w:r>
      <w:r>
        <w:t>~2035</w:t>
      </w:r>
      <w:r>
        <w:rPr>
          <w:rFonts w:hint="eastAsia"/>
        </w:rPr>
        <w:t>）环境</w:t>
      </w:r>
      <w:r>
        <w:t>影响</w:t>
      </w:r>
      <w:r>
        <w:rPr>
          <w:rFonts w:hint="eastAsia"/>
        </w:rPr>
        <w:t>报告书</w:t>
      </w:r>
      <w:r>
        <w:t>的审查。</w:t>
      </w:r>
    </w:p>
    <w:p w14:paraId="747C2D1C">
      <w:pPr>
        <w:ind w:firstLine="480"/>
        <w:rPr>
          <w:spacing w:val="5"/>
          <w:szCs w:val="24"/>
        </w:rPr>
      </w:pPr>
      <w:r>
        <w:t>安徽凯盛</w:t>
      </w:r>
      <w:r>
        <w:rPr>
          <w:rFonts w:hint="eastAsia"/>
        </w:rPr>
        <w:t>应用</w:t>
      </w:r>
      <w:r>
        <w:t>材料</w:t>
      </w:r>
      <w:r>
        <w:rPr>
          <w:rFonts w:hint="eastAsia"/>
        </w:rPr>
        <w:t>有限</w:t>
      </w:r>
      <w:r>
        <w:t>公司</w:t>
      </w:r>
      <w:r>
        <w:rPr>
          <w:rFonts w:hint="eastAsia"/>
        </w:rPr>
        <w:t>位于蚌埠精细化工高新技术产业基地内，该区域性质</w:t>
      </w:r>
      <w:r>
        <w:t>定位为以产业升级和科技创新为导向，</w:t>
      </w:r>
      <w:r>
        <w:rPr>
          <w:rFonts w:hint="eastAsia"/>
        </w:rPr>
        <w:t>以</w:t>
      </w:r>
      <w:r>
        <w:t>产城融合为路径，以精细化工</w:t>
      </w:r>
      <w:r>
        <w:rPr>
          <w:rFonts w:hint="eastAsia"/>
        </w:rPr>
        <w:t>产业</w:t>
      </w:r>
      <w:r>
        <w:t>、生物产业</w:t>
      </w:r>
      <w:r>
        <w:rPr>
          <w:rFonts w:hint="eastAsia"/>
        </w:rPr>
        <w:t>、</w:t>
      </w:r>
      <w:r>
        <w:t>新材料产业系列产品的科技研发制造为特色的创新型工业示范开发区</w:t>
      </w:r>
      <w:r>
        <w:rPr>
          <w:rFonts w:hint="eastAsia"/>
        </w:rPr>
        <w:t>。本项目扩建项目</w:t>
      </w:r>
      <w:r>
        <w:t>，属于</w:t>
      </w:r>
      <w:r>
        <w:rPr>
          <w:rFonts w:hint="eastAsia"/>
        </w:rPr>
        <w:t>精细</w:t>
      </w:r>
      <w:r>
        <w:t>化工项目</w:t>
      </w:r>
      <w:r>
        <w:rPr>
          <w:rFonts w:hint="eastAsia"/>
        </w:rPr>
        <w:t>，</w:t>
      </w:r>
      <w:r>
        <w:t>位于</w:t>
      </w:r>
      <w:r>
        <w:rPr>
          <w:rFonts w:hint="eastAsia" w:ascii="宋体" w:hAnsi="宋体"/>
        </w:rPr>
        <w:t>蚌埠精细化工高新技术产业基地精细化工</w:t>
      </w:r>
      <w:r>
        <w:rPr>
          <w:rFonts w:ascii="宋体" w:hAnsi="宋体"/>
        </w:rPr>
        <w:t>区</w:t>
      </w:r>
      <w:r>
        <w:rPr>
          <w:rFonts w:hint="eastAsia"/>
        </w:rPr>
        <w:t>，符合开发区</w:t>
      </w:r>
      <w:r>
        <w:t>产业定位。</w:t>
      </w:r>
      <w:r>
        <w:rPr>
          <w:rFonts w:hint="eastAsia"/>
          <w:spacing w:val="5"/>
          <w:szCs w:val="24"/>
        </w:rPr>
        <w:t>本项目与</w:t>
      </w:r>
      <w:r>
        <w:rPr>
          <w:rFonts w:hint="eastAsia"/>
        </w:rPr>
        <w:t>区域规划及</w:t>
      </w:r>
      <w:r>
        <w:t>规划环评审查意见</w:t>
      </w:r>
      <w:r>
        <w:rPr>
          <w:rFonts w:hint="eastAsia"/>
          <w:spacing w:val="5"/>
          <w:szCs w:val="24"/>
        </w:rPr>
        <w:t>符合性分析如下表</w:t>
      </w:r>
      <w:r>
        <w:rPr>
          <w:spacing w:val="5"/>
          <w:szCs w:val="24"/>
        </w:rPr>
        <w:t>2.5.</w:t>
      </w:r>
      <w:r>
        <w:t>1</w:t>
      </w:r>
      <w:r>
        <w:rPr>
          <w:spacing w:val="5"/>
          <w:szCs w:val="24"/>
        </w:rPr>
        <w:t>-1</w:t>
      </w:r>
      <w:r>
        <w:rPr>
          <w:rFonts w:hint="eastAsia"/>
          <w:spacing w:val="5"/>
          <w:szCs w:val="24"/>
        </w:rPr>
        <w:t>。</w:t>
      </w:r>
    </w:p>
    <w:p w14:paraId="70EB5A90">
      <w:pPr>
        <w:ind w:firstLine="480"/>
        <w:sectPr>
          <w:pgSz w:w="11906" w:h="16838"/>
          <w:pgMar w:top="1440" w:right="1440" w:bottom="1440" w:left="1440" w:header="851" w:footer="992" w:gutter="0"/>
          <w:cols w:space="425" w:num="1"/>
          <w:docGrid w:type="lines" w:linePitch="326" w:charSpace="0"/>
        </w:sectPr>
      </w:pPr>
    </w:p>
    <w:p w14:paraId="3720F6B3">
      <w:pPr>
        <w:pStyle w:val="278"/>
      </w:pPr>
      <w:r>
        <w:t>表</w:t>
      </w:r>
      <w:r>
        <w:rPr>
          <w:spacing w:val="5"/>
          <w:szCs w:val="24"/>
        </w:rPr>
        <w:t>2.5.</w:t>
      </w:r>
      <w:r>
        <w:t>1-1</w:t>
      </w:r>
      <w:r>
        <w:rPr>
          <w:rFonts w:hint="eastAsia"/>
        </w:rPr>
        <w:t xml:space="preserve"> 本项目</w:t>
      </w:r>
      <w:r>
        <w:t>与</w:t>
      </w:r>
      <w:r>
        <w:rPr>
          <w:rFonts w:hint="eastAsia"/>
        </w:rPr>
        <w:t>蚌埠精细化工高新技术产业基地规划（2021-2035）及规划环评审查意见符合性</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629"/>
        <w:gridCol w:w="7626"/>
        <w:gridCol w:w="3705"/>
        <w:gridCol w:w="799"/>
      </w:tblGrid>
      <w:tr w14:paraId="75DCA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1" w:type="pct"/>
            <w:gridSpan w:val="2"/>
            <w:vAlign w:val="center"/>
          </w:tcPr>
          <w:p w14:paraId="06A50075">
            <w:pPr>
              <w:pStyle w:val="445"/>
              <w:rPr>
                <w:rFonts w:cs="Times New Roman"/>
                <w:kern w:val="0"/>
                <w:szCs w:val="20"/>
              </w:rPr>
            </w:pPr>
            <w:r>
              <w:rPr>
                <w:rFonts w:cs="Times New Roman"/>
                <w:kern w:val="0"/>
                <w:szCs w:val="20"/>
              </w:rPr>
              <w:t>分析内容</w:t>
            </w:r>
          </w:p>
        </w:tc>
        <w:tc>
          <w:tcPr>
            <w:tcW w:w="2690" w:type="pct"/>
            <w:vAlign w:val="center"/>
          </w:tcPr>
          <w:p w14:paraId="030F2A4D">
            <w:pPr>
              <w:pStyle w:val="445"/>
              <w:rPr>
                <w:rFonts w:cs="Times New Roman"/>
                <w:kern w:val="0"/>
                <w:szCs w:val="20"/>
              </w:rPr>
            </w:pPr>
            <w:r>
              <w:rPr>
                <w:rFonts w:hint="eastAsia" w:cs="Times New Roman"/>
                <w:kern w:val="0"/>
                <w:szCs w:val="20"/>
              </w:rPr>
              <w:t>蚌埠精细化工高新技术产业基地规划（2021-2035）</w:t>
            </w:r>
            <w:r>
              <w:rPr>
                <w:rFonts w:cs="Times New Roman"/>
                <w:kern w:val="0"/>
                <w:szCs w:val="20"/>
              </w:rPr>
              <w:t>相关内容</w:t>
            </w:r>
          </w:p>
        </w:tc>
        <w:tc>
          <w:tcPr>
            <w:tcW w:w="1307" w:type="pct"/>
            <w:vAlign w:val="center"/>
          </w:tcPr>
          <w:p w14:paraId="77D67C60">
            <w:pPr>
              <w:pStyle w:val="445"/>
              <w:rPr>
                <w:rFonts w:cs="Times New Roman"/>
                <w:kern w:val="0"/>
                <w:szCs w:val="20"/>
              </w:rPr>
            </w:pPr>
            <w:r>
              <w:rPr>
                <w:rFonts w:cs="Times New Roman"/>
                <w:kern w:val="0"/>
                <w:szCs w:val="20"/>
              </w:rPr>
              <w:t>本项目与规划的符合性情况</w:t>
            </w:r>
          </w:p>
        </w:tc>
        <w:tc>
          <w:tcPr>
            <w:tcW w:w="282" w:type="pct"/>
            <w:vAlign w:val="center"/>
          </w:tcPr>
          <w:p w14:paraId="7A6E55C0">
            <w:pPr>
              <w:pStyle w:val="445"/>
              <w:rPr>
                <w:rFonts w:cs="Times New Roman"/>
                <w:kern w:val="0"/>
                <w:szCs w:val="20"/>
              </w:rPr>
            </w:pPr>
            <w:r>
              <w:rPr>
                <w:rFonts w:cs="Times New Roman"/>
                <w:kern w:val="0"/>
                <w:szCs w:val="20"/>
              </w:rPr>
              <w:t>是否符合</w:t>
            </w:r>
          </w:p>
        </w:tc>
      </w:tr>
      <w:tr w14:paraId="66762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9" w:type="pct"/>
            <w:vMerge w:val="restart"/>
            <w:vAlign w:val="center"/>
          </w:tcPr>
          <w:p w14:paraId="58D953E8">
            <w:pPr>
              <w:pStyle w:val="445"/>
              <w:rPr>
                <w:rFonts w:cs="Times New Roman"/>
                <w:kern w:val="0"/>
                <w:szCs w:val="20"/>
              </w:rPr>
            </w:pPr>
            <w:r>
              <w:rPr>
                <w:rFonts w:hint="eastAsia" w:cs="Times New Roman"/>
                <w:kern w:val="0"/>
                <w:szCs w:val="20"/>
              </w:rPr>
              <w:t>蚌埠精细化工高新技术产业基地</w:t>
            </w:r>
            <w:r>
              <w:rPr>
                <w:rFonts w:cs="Times New Roman"/>
                <w:kern w:val="0"/>
                <w:szCs w:val="20"/>
              </w:rPr>
              <w:t>规划</w:t>
            </w:r>
            <w:r>
              <w:rPr>
                <w:rFonts w:hint="eastAsia" w:cs="Times New Roman"/>
                <w:kern w:val="0"/>
                <w:szCs w:val="20"/>
              </w:rPr>
              <w:t>（2021</w:t>
            </w:r>
            <w:r>
              <w:rPr>
                <w:rFonts w:cs="Times New Roman"/>
                <w:kern w:val="0"/>
                <w:szCs w:val="20"/>
              </w:rPr>
              <w:t>~2035</w:t>
            </w:r>
            <w:r>
              <w:rPr>
                <w:rFonts w:hint="eastAsia" w:cs="Times New Roman"/>
                <w:kern w:val="0"/>
                <w:szCs w:val="20"/>
              </w:rPr>
              <w:t>）</w:t>
            </w:r>
          </w:p>
        </w:tc>
        <w:tc>
          <w:tcPr>
            <w:tcW w:w="222" w:type="pct"/>
            <w:vAlign w:val="center"/>
          </w:tcPr>
          <w:p w14:paraId="2474C4E6">
            <w:pPr>
              <w:pStyle w:val="445"/>
              <w:rPr>
                <w:rFonts w:cs="Times New Roman"/>
                <w:kern w:val="0"/>
                <w:szCs w:val="20"/>
              </w:rPr>
            </w:pPr>
            <w:r>
              <w:rPr>
                <w:rFonts w:cs="Times New Roman"/>
                <w:kern w:val="0"/>
                <w:szCs w:val="20"/>
              </w:rPr>
              <w:t>规划区范围</w:t>
            </w:r>
          </w:p>
        </w:tc>
        <w:tc>
          <w:tcPr>
            <w:tcW w:w="2690" w:type="pct"/>
            <w:vAlign w:val="center"/>
          </w:tcPr>
          <w:p w14:paraId="2EB26853">
            <w:pPr>
              <w:pStyle w:val="445"/>
              <w:rPr>
                <w:rFonts w:cs="Times New Roman"/>
                <w:kern w:val="0"/>
                <w:szCs w:val="20"/>
              </w:rPr>
            </w:pPr>
            <w:r>
              <w:rPr>
                <w:rFonts w:cs="Times New Roman"/>
                <w:kern w:val="0"/>
                <w:szCs w:val="20"/>
              </w:rPr>
              <w:t>蚌埠精细化工高新技术产业基地</w:t>
            </w:r>
            <w:r>
              <w:rPr>
                <w:rFonts w:hint="eastAsia" w:cs="Times New Roman"/>
                <w:kern w:val="0"/>
                <w:szCs w:val="20"/>
              </w:rPr>
              <w:t>规划范围</w:t>
            </w:r>
            <w:r>
              <w:rPr>
                <w:rFonts w:cs="Times New Roman"/>
                <w:kern w:val="0"/>
                <w:szCs w:val="20"/>
              </w:rPr>
              <w:t>面积</w:t>
            </w:r>
            <w:r>
              <w:rPr>
                <w:rFonts w:hint="eastAsia" w:cs="Times New Roman"/>
                <w:kern w:val="0"/>
                <w:szCs w:val="20"/>
              </w:rPr>
              <w:t>860公顷，</w:t>
            </w:r>
            <w:r>
              <w:rPr>
                <w:rFonts w:cs="Times New Roman"/>
                <w:kern w:val="0"/>
                <w:szCs w:val="20"/>
              </w:rPr>
              <w:t>四至范围为：</w:t>
            </w:r>
            <w:r>
              <w:rPr>
                <w:rFonts w:hint="eastAsia" w:cs="Times New Roman"/>
                <w:kern w:val="0"/>
                <w:szCs w:val="20"/>
              </w:rPr>
              <w:t>东至</w:t>
            </w:r>
            <w:r>
              <w:rPr>
                <w:rFonts w:cs="Times New Roman"/>
                <w:kern w:val="0"/>
                <w:szCs w:val="20"/>
              </w:rPr>
              <w:t>金滨路</w:t>
            </w:r>
            <w:r>
              <w:rPr>
                <w:rFonts w:hint="eastAsia" w:cs="Times New Roman"/>
                <w:kern w:val="0"/>
                <w:szCs w:val="20"/>
              </w:rPr>
              <w:t>，</w:t>
            </w:r>
            <w:r>
              <w:rPr>
                <w:rFonts w:cs="Times New Roman"/>
                <w:kern w:val="0"/>
                <w:szCs w:val="20"/>
              </w:rPr>
              <w:t>南至南环路，西至沫冲引河，北至现状五蚌路（</w:t>
            </w:r>
            <w:r>
              <w:rPr>
                <w:rFonts w:hint="eastAsia" w:cs="Times New Roman"/>
                <w:kern w:val="0"/>
                <w:szCs w:val="20"/>
              </w:rPr>
              <w:t>S306</w:t>
            </w:r>
            <w:r>
              <w:rPr>
                <w:rFonts w:cs="Times New Roman"/>
                <w:kern w:val="0"/>
                <w:szCs w:val="20"/>
              </w:rPr>
              <w:t>）</w:t>
            </w:r>
            <w:r>
              <w:rPr>
                <w:rFonts w:hint="eastAsia" w:cs="Times New Roman"/>
                <w:kern w:val="0"/>
                <w:szCs w:val="20"/>
              </w:rPr>
              <w:t>。</w:t>
            </w:r>
          </w:p>
        </w:tc>
        <w:tc>
          <w:tcPr>
            <w:tcW w:w="1307" w:type="pct"/>
            <w:vAlign w:val="center"/>
          </w:tcPr>
          <w:p w14:paraId="0D58F78C">
            <w:pPr>
              <w:pStyle w:val="445"/>
              <w:rPr>
                <w:rFonts w:cs="Times New Roman"/>
                <w:kern w:val="0"/>
                <w:szCs w:val="20"/>
              </w:rPr>
            </w:pPr>
            <w:r>
              <w:rPr>
                <w:rFonts w:cs="Times New Roman"/>
                <w:kern w:val="0"/>
                <w:szCs w:val="20"/>
              </w:rPr>
              <w:t>本项目位于</w:t>
            </w:r>
            <w:r>
              <w:rPr>
                <w:rFonts w:hint="eastAsia" w:cs="Times New Roman"/>
                <w:kern w:val="0"/>
                <w:szCs w:val="20"/>
              </w:rPr>
              <w:t>蚌埠精细化工高新技术产业基地开源大道28号，属于</w:t>
            </w:r>
            <w:r>
              <w:rPr>
                <w:rFonts w:cs="Times New Roman"/>
                <w:kern w:val="0"/>
                <w:szCs w:val="20"/>
              </w:rPr>
              <w:t>蚌埠精细化工高新技术产业基地</w:t>
            </w:r>
            <w:r>
              <w:rPr>
                <w:rFonts w:hint="eastAsia" w:cs="Times New Roman"/>
                <w:kern w:val="0"/>
                <w:szCs w:val="20"/>
              </w:rPr>
              <w:t>规划（2021-2035）</w:t>
            </w:r>
            <w:r>
              <w:rPr>
                <w:rFonts w:cs="Times New Roman"/>
                <w:kern w:val="0"/>
                <w:szCs w:val="20"/>
              </w:rPr>
              <w:t>范围内</w:t>
            </w:r>
          </w:p>
        </w:tc>
        <w:tc>
          <w:tcPr>
            <w:tcW w:w="282" w:type="pct"/>
            <w:vAlign w:val="center"/>
          </w:tcPr>
          <w:p w14:paraId="291D5C99">
            <w:pPr>
              <w:pStyle w:val="445"/>
              <w:rPr>
                <w:rFonts w:cs="Times New Roman"/>
                <w:kern w:val="0"/>
                <w:szCs w:val="20"/>
              </w:rPr>
            </w:pPr>
            <w:r>
              <w:rPr>
                <w:rFonts w:cs="Times New Roman"/>
                <w:kern w:val="0"/>
                <w:szCs w:val="20"/>
              </w:rPr>
              <w:t>符合</w:t>
            </w:r>
          </w:p>
        </w:tc>
      </w:tr>
      <w:tr w14:paraId="186D54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9" w:type="pct"/>
            <w:vMerge w:val="continue"/>
            <w:vAlign w:val="center"/>
          </w:tcPr>
          <w:p w14:paraId="28B56C93">
            <w:pPr>
              <w:pStyle w:val="445"/>
              <w:rPr>
                <w:rFonts w:cs="Times New Roman"/>
                <w:kern w:val="0"/>
                <w:szCs w:val="20"/>
              </w:rPr>
            </w:pPr>
          </w:p>
        </w:tc>
        <w:tc>
          <w:tcPr>
            <w:tcW w:w="222" w:type="pct"/>
            <w:vAlign w:val="center"/>
          </w:tcPr>
          <w:p w14:paraId="5313142D">
            <w:pPr>
              <w:pStyle w:val="445"/>
              <w:rPr>
                <w:rFonts w:cs="Times New Roman"/>
                <w:kern w:val="0"/>
                <w:szCs w:val="20"/>
              </w:rPr>
            </w:pPr>
            <w:r>
              <w:rPr>
                <w:rFonts w:cs="Times New Roman"/>
                <w:kern w:val="0"/>
                <w:szCs w:val="20"/>
              </w:rPr>
              <w:t>规划目标</w:t>
            </w:r>
          </w:p>
        </w:tc>
        <w:tc>
          <w:tcPr>
            <w:tcW w:w="2690" w:type="pct"/>
            <w:vAlign w:val="center"/>
          </w:tcPr>
          <w:p w14:paraId="1DF9D4D9">
            <w:pPr>
              <w:pStyle w:val="445"/>
              <w:rPr>
                <w:rFonts w:cs="Times New Roman"/>
                <w:kern w:val="0"/>
                <w:szCs w:val="20"/>
              </w:rPr>
            </w:pPr>
            <w:r>
              <w:rPr>
                <w:rFonts w:hint="eastAsia" w:cs="Times New Roman"/>
                <w:kern w:val="0"/>
                <w:szCs w:val="20"/>
              </w:rPr>
              <w:t>建设省级精细化工</w:t>
            </w:r>
            <w:r>
              <w:rPr>
                <w:rFonts w:cs="Times New Roman"/>
                <w:kern w:val="0"/>
                <w:szCs w:val="20"/>
              </w:rPr>
              <w:t>、化学原料药、生物基新材料生产基地，并争取为国家级生产</w:t>
            </w:r>
            <w:r>
              <w:rPr>
                <w:rFonts w:hint="eastAsia" w:cs="Times New Roman"/>
                <w:kern w:val="0"/>
                <w:szCs w:val="20"/>
              </w:rPr>
              <w:t>基地。创建</w:t>
            </w:r>
            <w:r>
              <w:rPr>
                <w:rFonts w:cs="Times New Roman"/>
                <w:kern w:val="0"/>
                <w:szCs w:val="20"/>
              </w:rPr>
              <w:t>国家级生态开发区</w:t>
            </w:r>
            <w:r>
              <w:rPr>
                <w:rFonts w:hint="eastAsia" w:cs="Times New Roman"/>
                <w:kern w:val="0"/>
                <w:szCs w:val="20"/>
              </w:rPr>
              <w:t>。</w:t>
            </w:r>
          </w:p>
        </w:tc>
        <w:tc>
          <w:tcPr>
            <w:tcW w:w="1307" w:type="pct"/>
            <w:vAlign w:val="center"/>
          </w:tcPr>
          <w:p w14:paraId="14673BC9">
            <w:pPr>
              <w:pStyle w:val="445"/>
              <w:rPr>
                <w:rFonts w:cs="Times New Roman"/>
                <w:kern w:val="0"/>
                <w:szCs w:val="20"/>
              </w:rPr>
            </w:pPr>
            <w:r>
              <w:rPr>
                <w:rFonts w:cs="Times New Roman"/>
                <w:kern w:val="0"/>
                <w:szCs w:val="20"/>
              </w:rPr>
              <w:t>本项目</w:t>
            </w:r>
            <w:r>
              <w:rPr>
                <w:rFonts w:hint="eastAsia" w:cs="Times New Roman"/>
                <w:kern w:val="0"/>
                <w:szCs w:val="20"/>
              </w:rPr>
              <w:t>为基础化学原料制造项目</w:t>
            </w:r>
            <w:r>
              <w:rPr>
                <w:rFonts w:cs="Times New Roman"/>
                <w:kern w:val="0"/>
                <w:szCs w:val="20"/>
              </w:rPr>
              <w:t>，符合规划</w:t>
            </w:r>
            <w:r>
              <w:rPr>
                <w:rFonts w:hint="eastAsia" w:cs="Times New Roman"/>
                <w:kern w:val="0"/>
                <w:szCs w:val="20"/>
              </w:rPr>
              <w:t>目标</w:t>
            </w:r>
            <w:r>
              <w:rPr>
                <w:rFonts w:cs="Times New Roman"/>
                <w:kern w:val="0"/>
                <w:szCs w:val="20"/>
              </w:rPr>
              <w:t>的整体要求。</w:t>
            </w:r>
          </w:p>
        </w:tc>
        <w:tc>
          <w:tcPr>
            <w:tcW w:w="282" w:type="pct"/>
            <w:vAlign w:val="center"/>
          </w:tcPr>
          <w:p w14:paraId="576D5546">
            <w:pPr>
              <w:pStyle w:val="445"/>
              <w:rPr>
                <w:rFonts w:cs="Times New Roman"/>
                <w:kern w:val="0"/>
                <w:szCs w:val="20"/>
              </w:rPr>
            </w:pPr>
            <w:r>
              <w:rPr>
                <w:rFonts w:cs="Times New Roman"/>
                <w:kern w:val="0"/>
                <w:szCs w:val="20"/>
              </w:rPr>
              <w:t>符合</w:t>
            </w:r>
          </w:p>
        </w:tc>
      </w:tr>
      <w:tr w14:paraId="7DE17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9" w:type="pct"/>
            <w:vMerge w:val="continue"/>
            <w:vAlign w:val="center"/>
          </w:tcPr>
          <w:p w14:paraId="0019EC9D">
            <w:pPr>
              <w:pStyle w:val="445"/>
              <w:rPr>
                <w:rFonts w:cs="Times New Roman"/>
                <w:kern w:val="0"/>
                <w:szCs w:val="20"/>
              </w:rPr>
            </w:pPr>
          </w:p>
        </w:tc>
        <w:tc>
          <w:tcPr>
            <w:tcW w:w="222" w:type="pct"/>
            <w:vAlign w:val="center"/>
          </w:tcPr>
          <w:p w14:paraId="7D96E08E">
            <w:pPr>
              <w:pStyle w:val="445"/>
              <w:rPr>
                <w:rFonts w:cs="Times New Roman"/>
                <w:kern w:val="0"/>
                <w:szCs w:val="20"/>
              </w:rPr>
            </w:pPr>
            <w:r>
              <w:rPr>
                <w:rFonts w:cs="Times New Roman"/>
                <w:kern w:val="0"/>
                <w:szCs w:val="20"/>
              </w:rPr>
              <w:t>产业定位与产业布局</w:t>
            </w:r>
          </w:p>
        </w:tc>
        <w:tc>
          <w:tcPr>
            <w:tcW w:w="2690" w:type="pct"/>
            <w:vAlign w:val="center"/>
          </w:tcPr>
          <w:p w14:paraId="20319728">
            <w:pPr>
              <w:pStyle w:val="445"/>
              <w:rPr>
                <w:rFonts w:cs="Times New Roman"/>
                <w:kern w:val="0"/>
                <w:szCs w:val="20"/>
              </w:rPr>
            </w:pPr>
            <w:r>
              <w:rPr>
                <w:rFonts w:hint="eastAsia" w:cs="Times New Roman"/>
                <w:kern w:val="0"/>
                <w:szCs w:val="20"/>
              </w:rPr>
              <w:t>以产业升级</w:t>
            </w:r>
            <w:r>
              <w:rPr>
                <w:rFonts w:cs="Times New Roman"/>
                <w:kern w:val="0"/>
                <w:szCs w:val="20"/>
              </w:rPr>
              <w:t>和科技创新为导向，</w:t>
            </w:r>
            <w:r>
              <w:rPr>
                <w:rFonts w:hint="eastAsia" w:cs="Times New Roman"/>
                <w:kern w:val="0"/>
                <w:szCs w:val="20"/>
              </w:rPr>
              <w:t>以产</w:t>
            </w:r>
            <w:r>
              <w:rPr>
                <w:rFonts w:cs="Times New Roman"/>
                <w:kern w:val="0"/>
                <w:szCs w:val="20"/>
              </w:rPr>
              <w:t>城融合为路径，</w:t>
            </w:r>
            <w:r>
              <w:rPr>
                <w:rFonts w:hint="eastAsia" w:cs="Times New Roman"/>
                <w:kern w:val="0"/>
                <w:szCs w:val="20"/>
              </w:rPr>
              <w:t>以</w:t>
            </w:r>
            <w:r>
              <w:rPr>
                <w:rFonts w:cs="Times New Roman"/>
                <w:kern w:val="0"/>
                <w:szCs w:val="20"/>
              </w:rPr>
              <w:t>精细化工产业、生物</w:t>
            </w:r>
            <w:r>
              <w:rPr>
                <w:rFonts w:hint="eastAsia" w:cs="Times New Roman"/>
                <w:kern w:val="0"/>
                <w:szCs w:val="20"/>
              </w:rPr>
              <w:t>产业</w:t>
            </w:r>
            <w:r>
              <w:rPr>
                <w:rFonts w:cs="Times New Roman"/>
                <w:kern w:val="0"/>
                <w:szCs w:val="20"/>
              </w:rPr>
              <w:t>、新材料产业系列产品的科技研发制造为</w:t>
            </w:r>
            <w:r>
              <w:rPr>
                <w:rFonts w:hint="eastAsia" w:cs="Times New Roman"/>
                <w:kern w:val="0"/>
                <w:szCs w:val="20"/>
              </w:rPr>
              <w:t>特色</w:t>
            </w:r>
            <w:r>
              <w:rPr>
                <w:rFonts w:cs="Times New Roman"/>
                <w:kern w:val="0"/>
                <w:szCs w:val="20"/>
              </w:rPr>
              <w:t>的</w:t>
            </w:r>
            <w:r>
              <w:rPr>
                <w:rFonts w:hint="eastAsia" w:cs="Times New Roman"/>
                <w:kern w:val="0"/>
                <w:szCs w:val="20"/>
              </w:rPr>
              <w:t>创新型</w:t>
            </w:r>
            <w:r>
              <w:rPr>
                <w:rFonts w:cs="Times New Roman"/>
                <w:kern w:val="0"/>
                <w:szCs w:val="20"/>
              </w:rPr>
              <w:t>工业示范开发区。</w:t>
            </w:r>
            <w:r>
              <w:rPr>
                <w:rFonts w:hint="eastAsia" w:cs="Times New Roman"/>
                <w:kern w:val="0"/>
                <w:szCs w:val="20"/>
              </w:rPr>
              <w:t>产业</w:t>
            </w:r>
            <w:r>
              <w:rPr>
                <w:rFonts w:cs="Times New Roman"/>
                <w:kern w:val="0"/>
                <w:szCs w:val="20"/>
              </w:rPr>
              <w:t>布局为精细化工区、</w:t>
            </w:r>
            <w:r>
              <w:rPr>
                <w:rFonts w:hint="eastAsia" w:cs="Times New Roman"/>
                <w:kern w:val="0"/>
                <w:szCs w:val="20"/>
              </w:rPr>
              <w:t>生物</w:t>
            </w:r>
            <w:r>
              <w:rPr>
                <w:rFonts w:cs="Times New Roman"/>
                <w:kern w:val="0"/>
                <w:szCs w:val="20"/>
              </w:rPr>
              <w:t>医药化工产业区和生物基新材料</w:t>
            </w:r>
            <w:r>
              <w:rPr>
                <w:rFonts w:hint="eastAsia" w:cs="Times New Roman"/>
                <w:kern w:val="0"/>
                <w:szCs w:val="20"/>
              </w:rPr>
              <w:t>区</w:t>
            </w:r>
          </w:p>
        </w:tc>
        <w:tc>
          <w:tcPr>
            <w:tcW w:w="1307" w:type="pct"/>
            <w:vAlign w:val="center"/>
          </w:tcPr>
          <w:p w14:paraId="2980AC7B">
            <w:pPr>
              <w:pStyle w:val="445"/>
              <w:rPr>
                <w:rFonts w:cs="Times New Roman"/>
                <w:kern w:val="0"/>
                <w:szCs w:val="20"/>
              </w:rPr>
            </w:pPr>
            <w:r>
              <w:rPr>
                <w:rFonts w:cs="Times New Roman"/>
                <w:kern w:val="0"/>
                <w:szCs w:val="20"/>
              </w:rPr>
              <w:t>本项目</w:t>
            </w:r>
            <w:r>
              <w:rPr>
                <w:rFonts w:hint="eastAsia" w:cs="Times New Roman"/>
                <w:kern w:val="0"/>
                <w:szCs w:val="20"/>
              </w:rPr>
              <w:t>产品</w:t>
            </w:r>
            <w:r>
              <w:rPr>
                <w:rFonts w:cs="Times New Roman"/>
                <w:kern w:val="0"/>
                <w:szCs w:val="20"/>
              </w:rPr>
              <w:t>为超纯二氧化硅和硅烷新材料</w:t>
            </w:r>
            <w:r>
              <w:rPr>
                <w:rFonts w:hint="eastAsia" w:cs="Times New Roman"/>
                <w:kern w:val="0"/>
                <w:szCs w:val="20"/>
              </w:rPr>
              <w:t>，</w:t>
            </w:r>
            <w:r>
              <w:rPr>
                <w:rFonts w:cs="Times New Roman"/>
                <w:kern w:val="0"/>
                <w:szCs w:val="20"/>
              </w:rPr>
              <w:t>属于</w:t>
            </w:r>
            <w:r>
              <w:rPr>
                <w:rFonts w:cs="Times New Roman"/>
                <w:color w:val="000000" w:themeColor="text1"/>
                <w:kern w:val="0"/>
                <w:szCs w:val="20"/>
                <w14:textFill>
                  <w14:solidFill>
                    <w14:schemeClr w14:val="tx1"/>
                  </w14:solidFill>
                </w14:textFill>
              </w:rPr>
              <w:t>精细化工</w:t>
            </w:r>
            <w:r>
              <w:rPr>
                <w:rFonts w:hint="eastAsia" w:cs="Times New Roman"/>
                <w:color w:val="000000" w:themeColor="text1"/>
                <w:kern w:val="0"/>
                <w:szCs w:val="20"/>
                <w14:textFill>
                  <w14:solidFill>
                    <w14:schemeClr w14:val="tx1"/>
                  </w14:solidFill>
                </w14:textFill>
              </w:rPr>
              <w:t>产业</w:t>
            </w:r>
            <w:r>
              <w:rPr>
                <w:rFonts w:cs="Times New Roman"/>
                <w:color w:val="000000" w:themeColor="text1"/>
                <w:kern w:val="0"/>
                <w:szCs w:val="20"/>
                <w14:textFill>
                  <w14:solidFill>
                    <w14:schemeClr w14:val="tx1"/>
                  </w14:solidFill>
                </w14:textFill>
              </w:rPr>
              <w:t>和</w:t>
            </w:r>
            <w:r>
              <w:rPr>
                <w:rFonts w:hint="eastAsia" w:cs="Times New Roman"/>
                <w:color w:val="000000" w:themeColor="text1"/>
                <w:kern w:val="0"/>
                <w:szCs w:val="20"/>
                <w14:textFill>
                  <w14:solidFill>
                    <w14:schemeClr w14:val="tx1"/>
                  </w14:solidFill>
                </w14:textFill>
              </w:rPr>
              <w:t>新材料</w:t>
            </w:r>
            <w:r>
              <w:rPr>
                <w:rFonts w:cs="Times New Roman"/>
                <w:color w:val="000000" w:themeColor="text1"/>
                <w:kern w:val="0"/>
                <w:szCs w:val="20"/>
                <w14:textFill>
                  <w14:solidFill>
                    <w14:schemeClr w14:val="tx1"/>
                  </w14:solidFill>
                </w14:textFill>
              </w:rPr>
              <w:t>产业，</w:t>
            </w:r>
            <w:r>
              <w:rPr>
                <w:rFonts w:cs="Times New Roman"/>
                <w:kern w:val="0"/>
                <w:szCs w:val="20"/>
              </w:rPr>
              <w:t>其建设符合蚌埠精细化工产业基地</w:t>
            </w:r>
            <w:r>
              <w:rPr>
                <w:rFonts w:hint="eastAsia" w:cs="Times New Roman"/>
                <w:kern w:val="0"/>
                <w:szCs w:val="20"/>
              </w:rPr>
              <w:t>产业定位</w:t>
            </w:r>
            <w:r>
              <w:rPr>
                <w:rFonts w:cs="Times New Roman"/>
                <w:kern w:val="0"/>
                <w:szCs w:val="20"/>
              </w:rPr>
              <w:t>要求</w:t>
            </w:r>
            <w:r>
              <w:rPr>
                <w:rFonts w:hint="eastAsia" w:cs="Times New Roman"/>
                <w:kern w:val="0"/>
                <w:szCs w:val="20"/>
              </w:rPr>
              <w:t>；</w:t>
            </w:r>
            <w:r>
              <w:rPr>
                <w:rFonts w:cs="Times New Roman"/>
                <w:kern w:val="0"/>
                <w:szCs w:val="20"/>
              </w:rPr>
              <w:t>本项目位于精细化工区，符合产业布局。</w:t>
            </w:r>
          </w:p>
        </w:tc>
        <w:tc>
          <w:tcPr>
            <w:tcW w:w="282" w:type="pct"/>
            <w:vAlign w:val="center"/>
          </w:tcPr>
          <w:p w14:paraId="4865A115">
            <w:pPr>
              <w:pStyle w:val="445"/>
              <w:rPr>
                <w:rFonts w:cs="Times New Roman"/>
                <w:kern w:val="0"/>
                <w:szCs w:val="20"/>
              </w:rPr>
            </w:pPr>
            <w:r>
              <w:rPr>
                <w:rFonts w:cs="Times New Roman"/>
                <w:kern w:val="0"/>
                <w:szCs w:val="20"/>
              </w:rPr>
              <w:t>符合</w:t>
            </w:r>
          </w:p>
        </w:tc>
      </w:tr>
      <w:tr w14:paraId="7CE60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9" w:type="pct"/>
            <w:vMerge w:val="continue"/>
            <w:vAlign w:val="center"/>
          </w:tcPr>
          <w:p w14:paraId="579CE2EB">
            <w:pPr>
              <w:pStyle w:val="445"/>
              <w:rPr>
                <w:rFonts w:cs="Times New Roman"/>
                <w:kern w:val="0"/>
                <w:szCs w:val="20"/>
              </w:rPr>
            </w:pPr>
          </w:p>
        </w:tc>
        <w:tc>
          <w:tcPr>
            <w:tcW w:w="222" w:type="pct"/>
            <w:vAlign w:val="center"/>
          </w:tcPr>
          <w:p w14:paraId="38BA2717">
            <w:pPr>
              <w:pStyle w:val="445"/>
              <w:rPr>
                <w:rFonts w:cs="Times New Roman"/>
                <w:kern w:val="0"/>
                <w:szCs w:val="20"/>
              </w:rPr>
            </w:pPr>
            <w:r>
              <w:rPr>
                <w:rFonts w:cs="Times New Roman"/>
                <w:kern w:val="0"/>
                <w:szCs w:val="20"/>
              </w:rPr>
              <w:t>给水工程规划</w:t>
            </w:r>
          </w:p>
        </w:tc>
        <w:tc>
          <w:tcPr>
            <w:tcW w:w="2690" w:type="pct"/>
            <w:vAlign w:val="center"/>
          </w:tcPr>
          <w:p w14:paraId="587A6F67">
            <w:pPr>
              <w:pStyle w:val="445"/>
              <w:rPr>
                <w:rFonts w:cs="Times New Roman"/>
                <w:kern w:val="0"/>
                <w:szCs w:val="20"/>
              </w:rPr>
            </w:pPr>
            <w:r>
              <w:rPr>
                <w:rFonts w:hint="eastAsia" w:cs="Times New Roman"/>
                <w:kern w:val="0"/>
                <w:szCs w:val="20"/>
              </w:rPr>
              <w:t>结合蚌埠市</w:t>
            </w:r>
            <w:r>
              <w:rPr>
                <w:rFonts w:cs="Times New Roman"/>
                <w:kern w:val="0"/>
                <w:szCs w:val="20"/>
              </w:rPr>
              <w:t>《</w:t>
            </w:r>
            <w:r>
              <w:rPr>
                <w:rFonts w:hint="eastAsia" w:cs="Times New Roman"/>
                <w:kern w:val="0"/>
                <w:szCs w:val="20"/>
              </w:rPr>
              <w:t>蚌埠市</w:t>
            </w:r>
            <w:r>
              <w:rPr>
                <w:rFonts w:cs="Times New Roman"/>
                <w:kern w:val="0"/>
                <w:szCs w:val="20"/>
              </w:rPr>
              <w:t>城市给水专项规划（</w:t>
            </w:r>
            <w:r>
              <w:rPr>
                <w:rFonts w:hint="eastAsia" w:cs="Times New Roman"/>
                <w:kern w:val="0"/>
                <w:szCs w:val="20"/>
              </w:rPr>
              <w:t>2014-2030</w:t>
            </w:r>
            <w:r>
              <w:rPr>
                <w:rFonts w:cs="Times New Roman"/>
                <w:kern w:val="0"/>
                <w:szCs w:val="20"/>
              </w:rPr>
              <w:t>）</w:t>
            </w:r>
            <w:r>
              <w:rPr>
                <w:rFonts w:hint="eastAsia" w:cs="Times New Roman"/>
                <w:kern w:val="0"/>
                <w:szCs w:val="20"/>
              </w:rPr>
              <w:t>年</w:t>
            </w:r>
            <w:r>
              <w:rPr>
                <w:rFonts w:cs="Times New Roman"/>
                <w:kern w:val="0"/>
                <w:szCs w:val="20"/>
              </w:rPr>
              <w:t>》</w:t>
            </w:r>
            <w:r>
              <w:rPr>
                <w:rFonts w:hint="eastAsia" w:cs="Times New Roman"/>
                <w:kern w:val="0"/>
                <w:szCs w:val="20"/>
              </w:rPr>
              <w:t>，</w:t>
            </w:r>
            <w:r>
              <w:rPr>
                <w:rFonts w:cs="Times New Roman"/>
                <w:kern w:val="0"/>
                <w:szCs w:val="20"/>
              </w:rPr>
              <w:t>对于淮上区供水水源的分析确定为：以淮河</w:t>
            </w:r>
            <w:r>
              <w:rPr>
                <w:rFonts w:hint="eastAsia" w:cs="Times New Roman"/>
                <w:kern w:val="0"/>
                <w:szCs w:val="20"/>
              </w:rPr>
              <w:t>水源</w:t>
            </w:r>
            <w:r>
              <w:rPr>
                <w:rFonts w:cs="Times New Roman"/>
                <w:kern w:val="0"/>
                <w:szCs w:val="20"/>
              </w:rPr>
              <w:t>为主，淮河以北地下水为应急补充水源</w:t>
            </w:r>
            <w:r>
              <w:rPr>
                <w:rFonts w:hint="eastAsia" w:cs="Times New Roman"/>
                <w:kern w:val="0"/>
                <w:szCs w:val="20"/>
              </w:rPr>
              <w:t>。蚌埠精细化工</w:t>
            </w:r>
            <w:r>
              <w:rPr>
                <w:rFonts w:cs="Times New Roman"/>
                <w:kern w:val="0"/>
                <w:szCs w:val="20"/>
              </w:rPr>
              <w:t>高新技术产业基地规划区块近远期供水均由沫河口自来水厂供给，现状供水能力为</w:t>
            </w:r>
            <w:r>
              <w:rPr>
                <w:rFonts w:hint="eastAsia" w:cs="Times New Roman"/>
                <w:kern w:val="0"/>
                <w:szCs w:val="20"/>
              </w:rPr>
              <w:t>3万</w:t>
            </w:r>
            <w:r>
              <w:rPr>
                <w:rFonts w:cs="Times New Roman"/>
                <w:kern w:val="0"/>
                <w:szCs w:val="20"/>
              </w:rPr>
              <w:t>吨</w:t>
            </w:r>
            <w:r>
              <w:rPr>
                <w:rFonts w:hint="eastAsia" w:cs="Times New Roman"/>
                <w:kern w:val="0"/>
                <w:szCs w:val="20"/>
              </w:rPr>
              <w:t>/日</w:t>
            </w:r>
            <w:r>
              <w:rPr>
                <w:rFonts w:cs="Times New Roman"/>
                <w:kern w:val="0"/>
                <w:szCs w:val="20"/>
              </w:rPr>
              <w:t>，</w:t>
            </w:r>
            <w:r>
              <w:rPr>
                <w:rFonts w:hint="eastAsia" w:cs="Times New Roman"/>
                <w:kern w:val="0"/>
                <w:szCs w:val="20"/>
              </w:rPr>
              <w:t>沫河口</w:t>
            </w:r>
            <w:r>
              <w:rPr>
                <w:rFonts w:cs="Times New Roman"/>
                <w:kern w:val="0"/>
                <w:szCs w:val="20"/>
              </w:rPr>
              <w:t>远期将扩容至</w:t>
            </w:r>
            <w:r>
              <w:rPr>
                <w:rFonts w:hint="eastAsia" w:cs="Times New Roman"/>
                <w:kern w:val="0"/>
                <w:szCs w:val="20"/>
              </w:rPr>
              <w:t>12万吨/日的</w:t>
            </w:r>
            <w:r>
              <w:rPr>
                <w:rFonts w:cs="Times New Roman"/>
                <w:kern w:val="0"/>
                <w:szCs w:val="20"/>
              </w:rPr>
              <w:t>水厂供水</w:t>
            </w:r>
            <w:r>
              <w:rPr>
                <w:rFonts w:hint="eastAsia" w:cs="Times New Roman"/>
                <w:kern w:val="0"/>
                <w:szCs w:val="20"/>
              </w:rPr>
              <w:t>。</w:t>
            </w:r>
          </w:p>
        </w:tc>
        <w:tc>
          <w:tcPr>
            <w:tcW w:w="1307" w:type="pct"/>
            <w:vAlign w:val="center"/>
          </w:tcPr>
          <w:p w14:paraId="6C109849">
            <w:pPr>
              <w:pStyle w:val="445"/>
              <w:rPr>
                <w:rFonts w:cs="Times New Roman"/>
                <w:kern w:val="0"/>
                <w:szCs w:val="20"/>
              </w:rPr>
            </w:pPr>
            <w:r>
              <w:rPr>
                <w:rFonts w:cs="Times New Roman"/>
                <w:kern w:val="0"/>
                <w:szCs w:val="20"/>
              </w:rPr>
              <w:t>本项目用水来自基地水厂供水，供水水源有保证。</w:t>
            </w:r>
          </w:p>
        </w:tc>
        <w:tc>
          <w:tcPr>
            <w:tcW w:w="282" w:type="pct"/>
            <w:vAlign w:val="center"/>
          </w:tcPr>
          <w:p w14:paraId="53AF0880">
            <w:pPr>
              <w:pStyle w:val="445"/>
              <w:rPr>
                <w:rFonts w:cs="Times New Roman"/>
                <w:kern w:val="0"/>
                <w:szCs w:val="20"/>
              </w:rPr>
            </w:pPr>
            <w:r>
              <w:rPr>
                <w:rFonts w:cs="Times New Roman"/>
                <w:kern w:val="0"/>
                <w:szCs w:val="20"/>
              </w:rPr>
              <w:t>符合</w:t>
            </w:r>
          </w:p>
        </w:tc>
      </w:tr>
      <w:tr w14:paraId="7C1D9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9" w:type="pct"/>
            <w:vMerge w:val="continue"/>
            <w:vAlign w:val="center"/>
          </w:tcPr>
          <w:p w14:paraId="58739637">
            <w:pPr>
              <w:pStyle w:val="445"/>
              <w:rPr>
                <w:rFonts w:cs="Times New Roman"/>
                <w:kern w:val="0"/>
                <w:szCs w:val="20"/>
              </w:rPr>
            </w:pPr>
          </w:p>
        </w:tc>
        <w:tc>
          <w:tcPr>
            <w:tcW w:w="222" w:type="pct"/>
            <w:vAlign w:val="center"/>
          </w:tcPr>
          <w:p w14:paraId="6556A5A1">
            <w:pPr>
              <w:pStyle w:val="445"/>
              <w:rPr>
                <w:rFonts w:cs="Times New Roman"/>
                <w:kern w:val="0"/>
                <w:szCs w:val="20"/>
              </w:rPr>
            </w:pPr>
            <w:r>
              <w:rPr>
                <w:rFonts w:cs="Times New Roman"/>
                <w:kern w:val="0"/>
                <w:szCs w:val="20"/>
              </w:rPr>
              <w:t>排水工程规划</w:t>
            </w:r>
          </w:p>
        </w:tc>
        <w:tc>
          <w:tcPr>
            <w:tcW w:w="2690" w:type="pct"/>
            <w:vAlign w:val="center"/>
          </w:tcPr>
          <w:p w14:paraId="481CEFAC">
            <w:pPr>
              <w:pStyle w:val="445"/>
              <w:rPr>
                <w:rFonts w:cs="Times New Roman"/>
                <w:kern w:val="0"/>
                <w:szCs w:val="20"/>
              </w:rPr>
            </w:pPr>
            <w:r>
              <w:rPr>
                <w:rFonts w:hint="eastAsia" w:cs="Times New Roman"/>
                <w:kern w:val="0"/>
                <w:szCs w:val="20"/>
              </w:rPr>
              <w:t>现状沫河口</w:t>
            </w:r>
            <w:r>
              <w:rPr>
                <w:rFonts w:cs="Times New Roman"/>
                <w:kern w:val="0"/>
                <w:szCs w:val="20"/>
              </w:rPr>
              <w:t>污水处理厂能力为</w:t>
            </w:r>
            <w:r>
              <w:rPr>
                <w:rFonts w:hint="eastAsia" w:cs="Times New Roman"/>
                <w:kern w:val="0"/>
                <w:szCs w:val="20"/>
              </w:rPr>
              <w:t>2万吨</w:t>
            </w:r>
            <w:r>
              <w:rPr>
                <w:rFonts w:cs="Times New Roman"/>
                <w:kern w:val="0"/>
                <w:szCs w:val="20"/>
              </w:rPr>
              <w:t>/</w:t>
            </w:r>
            <w:r>
              <w:rPr>
                <w:rFonts w:hint="eastAsia" w:cs="Times New Roman"/>
                <w:kern w:val="0"/>
                <w:szCs w:val="20"/>
              </w:rPr>
              <w:t>日</w:t>
            </w:r>
            <w:r>
              <w:rPr>
                <w:rFonts w:cs="Times New Roman"/>
                <w:kern w:val="0"/>
                <w:szCs w:val="20"/>
              </w:rPr>
              <w:t>，处理高新技术技术产业基地的工业污水及镇区生活污水</w:t>
            </w:r>
            <w:r>
              <w:rPr>
                <w:rFonts w:hint="eastAsia" w:cs="Times New Roman"/>
                <w:kern w:val="0"/>
                <w:szCs w:val="20"/>
              </w:rPr>
              <w:t>。</w:t>
            </w:r>
            <w:r>
              <w:rPr>
                <w:rFonts w:cs="Times New Roman"/>
                <w:kern w:val="0"/>
                <w:szCs w:val="20"/>
              </w:rPr>
              <w:t>规划近期扩建现有污水处理厂，日处理能力</w:t>
            </w:r>
            <w:r>
              <w:rPr>
                <w:rFonts w:hint="eastAsia" w:cs="Times New Roman"/>
                <w:kern w:val="0"/>
                <w:szCs w:val="20"/>
              </w:rPr>
              <w:t>5.0万吨</w:t>
            </w:r>
            <w:r>
              <w:rPr>
                <w:rFonts w:cs="Times New Roman"/>
                <w:kern w:val="0"/>
                <w:szCs w:val="20"/>
              </w:rPr>
              <w:t>/</w:t>
            </w:r>
            <w:r>
              <w:rPr>
                <w:rFonts w:hint="eastAsia" w:cs="Times New Roman"/>
                <w:kern w:val="0"/>
                <w:szCs w:val="20"/>
              </w:rPr>
              <w:t>日</w:t>
            </w:r>
            <w:r>
              <w:rPr>
                <w:rFonts w:cs="Times New Roman"/>
                <w:kern w:val="0"/>
                <w:szCs w:val="20"/>
              </w:rPr>
              <w:t>，远期扩</w:t>
            </w:r>
            <w:r>
              <w:rPr>
                <w:rFonts w:hint="eastAsia" w:cs="Times New Roman"/>
                <w:kern w:val="0"/>
                <w:szCs w:val="20"/>
              </w:rPr>
              <w:t>建</w:t>
            </w:r>
            <w:r>
              <w:rPr>
                <w:rFonts w:cs="Times New Roman"/>
                <w:kern w:val="0"/>
                <w:szCs w:val="20"/>
              </w:rPr>
              <w:t>日处理能力为</w:t>
            </w:r>
            <w:r>
              <w:rPr>
                <w:rFonts w:hint="eastAsia" w:cs="Times New Roman"/>
                <w:kern w:val="0"/>
                <w:szCs w:val="20"/>
              </w:rPr>
              <w:t>10万吨/日，</w:t>
            </w:r>
            <w:r>
              <w:rPr>
                <w:rFonts w:cs="Times New Roman"/>
                <w:kern w:val="0"/>
                <w:szCs w:val="20"/>
              </w:rPr>
              <w:t>满足高新技术产业基地污水处理需求，规划污水处理用地面积</w:t>
            </w:r>
            <w:r>
              <w:rPr>
                <w:rFonts w:hint="eastAsia" w:cs="Times New Roman"/>
                <w:kern w:val="0"/>
                <w:szCs w:val="20"/>
              </w:rPr>
              <w:t>12公顷</w:t>
            </w:r>
            <w:r>
              <w:rPr>
                <w:rFonts w:cs="Times New Roman"/>
                <w:kern w:val="0"/>
                <w:szCs w:val="20"/>
              </w:rPr>
              <w:t>。</w:t>
            </w:r>
          </w:p>
        </w:tc>
        <w:tc>
          <w:tcPr>
            <w:tcW w:w="1307" w:type="pct"/>
            <w:vAlign w:val="center"/>
          </w:tcPr>
          <w:p w14:paraId="19237FB0">
            <w:pPr>
              <w:pStyle w:val="445"/>
              <w:rPr>
                <w:rFonts w:cs="Times New Roman"/>
                <w:kern w:val="0"/>
                <w:szCs w:val="20"/>
              </w:rPr>
            </w:pPr>
            <w:r>
              <w:rPr>
                <w:rFonts w:cs="Times New Roman"/>
                <w:kern w:val="0"/>
                <w:szCs w:val="20"/>
              </w:rPr>
              <w:t>本项目各类废水经厂区污水处理站处理达标后</w:t>
            </w:r>
            <w:r>
              <w:rPr>
                <w:rFonts w:hint="eastAsia" w:cs="Times New Roman"/>
                <w:kern w:val="0"/>
                <w:szCs w:val="20"/>
              </w:rPr>
              <w:t>接管沫河口污水处理厂。</w:t>
            </w:r>
          </w:p>
        </w:tc>
        <w:tc>
          <w:tcPr>
            <w:tcW w:w="282" w:type="pct"/>
            <w:vAlign w:val="center"/>
          </w:tcPr>
          <w:p w14:paraId="01E6537D">
            <w:pPr>
              <w:pStyle w:val="445"/>
              <w:rPr>
                <w:rFonts w:cs="Times New Roman"/>
                <w:kern w:val="0"/>
                <w:szCs w:val="20"/>
              </w:rPr>
            </w:pPr>
            <w:r>
              <w:rPr>
                <w:rFonts w:cs="Times New Roman"/>
                <w:kern w:val="0"/>
                <w:szCs w:val="20"/>
              </w:rPr>
              <w:t>符合</w:t>
            </w:r>
          </w:p>
        </w:tc>
      </w:tr>
      <w:tr w14:paraId="033924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2720B582">
            <w:pPr>
              <w:pStyle w:val="445"/>
              <w:rPr>
                <w:rFonts w:cs="Times New Roman"/>
                <w:kern w:val="0"/>
                <w:szCs w:val="20"/>
              </w:rPr>
            </w:pPr>
          </w:p>
        </w:tc>
        <w:tc>
          <w:tcPr>
            <w:tcW w:w="222" w:type="pct"/>
            <w:vAlign w:val="center"/>
          </w:tcPr>
          <w:p w14:paraId="2CDFFB2B">
            <w:pPr>
              <w:pStyle w:val="445"/>
              <w:rPr>
                <w:rFonts w:cs="Times New Roman"/>
                <w:kern w:val="0"/>
                <w:szCs w:val="20"/>
              </w:rPr>
            </w:pPr>
            <w:r>
              <w:rPr>
                <w:rFonts w:hint="eastAsia" w:cs="Times New Roman"/>
                <w:kern w:val="0"/>
                <w:szCs w:val="20"/>
              </w:rPr>
              <w:t>生态环境</w:t>
            </w:r>
            <w:r>
              <w:rPr>
                <w:rFonts w:cs="Times New Roman"/>
                <w:kern w:val="0"/>
                <w:szCs w:val="20"/>
              </w:rPr>
              <w:t>保护规划</w:t>
            </w:r>
          </w:p>
        </w:tc>
        <w:tc>
          <w:tcPr>
            <w:tcW w:w="2690" w:type="pct"/>
            <w:vAlign w:val="center"/>
          </w:tcPr>
          <w:p w14:paraId="27B36A47">
            <w:pPr>
              <w:pStyle w:val="445"/>
              <w:rPr>
                <w:rFonts w:cs="Times New Roman"/>
                <w:kern w:val="0"/>
                <w:szCs w:val="20"/>
              </w:rPr>
            </w:pPr>
            <w:r>
              <w:rPr>
                <w:rFonts w:hint="eastAsia" w:cs="Times New Roman"/>
                <w:kern w:val="0"/>
                <w:szCs w:val="20"/>
              </w:rPr>
              <w:t>以改善</w:t>
            </w:r>
            <w:r>
              <w:rPr>
                <w:rFonts w:cs="Times New Roman"/>
                <w:kern w:val="0"/>
                <w:szCs w:val="20"/>
              </w:rPr>
              <w:t>环境</w:t>
            </w:r>
            <w:r>
              <w:rPr>
                <w:rFonts w:hint="eastAsia" w:cs="Times New Roman"/>
                <w:kern w:val="0"/>
                <w:szCs w:val="20"/>
              </w:rPr>
              <w:t>质量</w:t>
            </w:r>
            <w:r>
              <w:rPr>
                <w:rFonts w:cs="Times New Roman"/>
                <w:kern w:val="0"/>
                <w:szCs w:val="20"/>
              </w:rPr>
              <w:t>为核心，坚持污染防治和生态保护并重，强化环境管理，全面促进高新技术产业局基地的社会、经济和环境的可持续发展。</w:t>
            </w:r>
          </w:p>
        </w:tc>
        <w:tc>
          <w:tcPr>
            <w:tcW w:w="1307" w:type="pct"/>
            <w:vAlign w:val="center"/>
          </w:tcPr>
          <w:p w14:paraId="2900EE7A">
            <w:pPr>
              <w:pStyle w:val="445"/>
              <w:rPr>
                <w:rFonts w:cs="Times New Roman"/>
                <w:kern w:val="0"/>
                <w:szCs w:val="20"/>
              </w:rPr>
            </w:pPr>
            <w:r>
              <w:rPr>
                <w:rFonts w:cs="Times New Roman"/>
                <w:kern w:val="0"/>
                <w:szCs w:val="20"/>
              </w:rPr>
              <w:t>本项目实施后，废气做到达标排放；生产、生活污水</w:t>
            </w:r>
            <w:r>
              <w:rPr>
                <w:rFonts w:hint="eastAsia" w:cs="Times New Roman"/>
                <w:kern w:val="0"/>
                <w:szCs w:val="20"/>
              </w:rPr>
              <w:t>接管沫河口污水处理厂</w:t>
            </w:r>
            <w:r>
              <w:rPr>
                <w:rFonts w:cs="Times New Roman"/>
                <w:kern w:val="0"/>
                <w:szCs w:val="20"/>
              </w:rPr>
              <w:t>；厂界噪声做到达标排放，</w:t>
            </w:r>
            <w:r>
              <w:rPr>
                <w:rFonts w:hint="eastAsia" w:cs="Times New Roman"/>
                <w:kern w:val="0"/>
                <w:szCs w:val="20"/>
              </w:rPr>
              <w:t>固体</w:t>
            </w:r>
            <w:r>
              <w:rPr>
                <w:rFonts w:cs="Times New Roman"/>
                <w:kern w:val="0"/>
                <w:szCs w:val="20"/>
              </w:rPr>
              <w:t>废物处理率达到100%</w:t>
            </w:r>
          </w:p>
        </w:tc>
        <w:tc>
          <w:tcPr>
            <w:tcW w:w="282" w:type="pct"/>
            <w:vAlign w:val="center"/>
          </w:tcPr>
          <w:p w14:paraId="23C97924">
            <w:pPr>
              <w:pStyle w:val="445"/>
              <w:rPr>
                <w:rFonts w:cs="Times New Roman"/>
                <w:kern w:val="0"/>
                <w:szCs w:val="20"/>
              </w:rPr>
            </w:pPr>
            <w:r>
              <w:rPr>
                <w:rFonts w:cs="Times New Roman"/>
                <w:kern w:val="0"/>
                <w:szCs w:val="20"/>
              </w:rPr>
              <w:t>符合</w:t>
            </w:r>
          </w:p>
        </w:tc>
      </w:tr>
      <w:tr w14:paraId="62537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restart"/>
            <w:vAlign w:val="center"/>
          </w:tcPr>
          <w:p w14:paraId="422B0B55">
            <w:pPr>
              <w:pStyle w:val="445"/>
              <w:rPr>
                <w:rFonts w:cs="Times New Roman"/>
                <w:kern w:val="0"/>
                <w:szCs w:val="20"/>
              </w:rPr>
            </w:pPr>
            <w:r>
              <w:rPr>
                <w:rFonts w:hint="eastAsia" w:cs="Times New Roman"/>
                <w:kern w:val="0"/>
                <w:szCs w:val="20"/>
              </w:rPr>
              <w:t>蚌埠精细化工高新技术产业基地</w:t>
            </w:r>
            <w:r>
              <w:rPr>
                <w:rFonts w:cs="Times New Roman"/>
                <w:kern w:val="0"/>
                <w:szCs w:val="20"/>
              </w:rPr>
              <w:t>规划</w:t>
            </w:r>
            <w:r>
              <w:rPr>
                <w:rFonts w:hint="eastAsia" w:cs="Times New Roman"/>
                <w:kern w:val="0"/>
                <w:szCs w:val="20"/>
              </w:rPr>
              <w:t>（2021</w:t>
            </w:r>
            <w:r>
              <w:rPr>
                <w:rFonts w:cs="Times New Roman"/>
                <w:kern w:val="0"/>
                <w:szCs w:val="20"/>
              </w:rPr>
              <w:t>~2035</w:t>
            </w:r>
            <w:r>
              <w:rPr>
                <w:rFonts w:hint="eastAsia" w:cs="Times New Roman"/>
                <w:kern w:val="0"/>
                <w:szCs w:val="20"/>
              </w:rPr>
              <w:t>）</w:t>
            </w:r>
            <w:r>
              <w:rPr>
                <w:rFonts w:cs="Times New Roman"/>
                <w:kern w:val="0"/>
                <w:szCs w:val="20"/>
              </w:rPr>
              <w:t>环评相关要求</w:t>
            </w:r>
          </w:p>
        </w:tc>
        <w:tc>
          <w:tcPr>
            <w:tcW w:w="2912" w:type="pct"/>
            <w:gridSpan w:val="2"/>
            <w:vAlign w:val="center"/>
          </w:tcPr>
          <w:p w14:paraId="085E8876">
            <w:pPr>
              <w:pStyle w:val="445"/>
              <w:rPr>
                <w:rFonts w:cs="Times New Roman"/>
                <w:kern w:val="0"/>
                <w:szCs w:val="20"/>
              </w:rPr>
            </w:pPr>
            <w:r>
              <w:rPr>
                <w:rFonts w:hint="eastAsia" w:cs="Times New Roman"/>
                <w:kern w:val="0"/>
                <w:szCs w:val="20"/>
              </w:rPr>
              <w:t>坚决执行</w:t>
            </w:r>
            <w:r>
              <w:rPr>
                <w:rFonts w:cs="Times New Roman"/>
                <w:kern w:val="0"/>
                <w:szCs w:val="20"/>
              </w:rPr>
              <w:t>项目准入制度，在项目环评审批中</w:t>
            </w:r>
            <w:r>
              <w:rPr>
                <w:rFonts w:hint="eastAsia" w:cs="Times New Roman"/>
                <w:kern w:val="0"/>
                <w:szCs w:val="20"/>
              </w:rPr>
              <w:t>必查</w:t>
            </w:r>
            <w:r>
              <w:rPr>
                <w:rFonts w:cs="Times New Roman"/>
                <w:kern w:val="0"/>
                <w:szCs w:val="20"/>
              </w:rPr>
              <w:t>与</w:t>
            </w:r>
            <w:r>
              <w:rPr>
                <w:rFonts w:hint="eastAsia" w:cs="Times New Roman"/>
                <w:kern w:val="0"/>
                <w:szCs w:val="20"/>
              </w:rPr>
              <w:t>规划环评</w:t>
            </w:r>
            <w:r>
              <w:rPr>
                <w:rFonts w:cs="Times New Roman"/>
                <w:kern w:val="0"/>
                <w:szCs w:val="20"/>
              </w:rPr>
              <w:t>的符合性，对能源、资源消耗高，环境风险大的项目实施“</w:t>
            </w:r>
            <w:r>
              <w:rPr>
                <w:rFonts w:hint="eastAsia" w:cs="Times New Roman"/>
                <w:kern w:val="0"/>
                <w:szCs w:val="20"/>
              </w:rPr>
              <w:t>一票否决</w:t>
            </w:r>
            <w:r>
              <w:rPr>
                <w:rFonts w:cs="Times New Roman"/>
                <w:kern w:val="0"/>
                <w:szCs w:val="20"/>
              </w:rPr>
              <w:t>”。</w:t>
            </w:r>
          </w:p>
        </w:tc>
        <w:tc>
          <w:tcPr>
            <w:tcW w:w="1307" w:type="pct"/>
            <w:vAlign w:val="center"/>
          </w:tcPr>
          <w:p w14:paraId="2DA5D369">
            <w:pPr>
              <w:pStyle w:val="445"/>
              <w:rPr>
                <w:rFonts w:cs="Times New Roman"/>
                <w:kern w:val="0"/>
                <w:szCs w:val="20"/>
              </w:rPr>
            </w:pPr>
            <w:r>
              <w:rPr>
                <w:rFonts w:cs="Times New Roman"/>
                <w:kern w:val="0"/>
                <w:szCs w:val="20"/>
              </w:rPr>
              <w:t>本项目</w:t>
            </w:r>
            <w:r>
              <w:rPr>
                <w:rFonts w:hint="eastAsia" w:cs="Times New Roman"/>
                <w:kern w:val="0"/>
                <w:szCs w:val="20"/>
              </w:rPr>
              <w:t>生产车间配备</w:t>
            </w:r>
            <w:r>
              <w:rPr>
                <w:rFonts w:cs="Times New Roman"/>
                <w:kern w:val="0"/>
                <w:szCs w:val="20"/>
              </w:rPr>
              <w:t>DCS控制系统</w:t>
            </w:r>
            <w:r>
              <w:rPr>
                <w:rFonts w:hint="eastAsia" w:cs="Times New Roman"/>
                <w:kern w:val="0"/>
                <w:szCs w:val="20"/>
              </w:rPr>
              <w:t>、</w:t>
            </w:r>
            <w:r>
              <w:rPr>
                <w:rFonts w:cs="Times New Roman"/>
                <w:kern w:val="0"/>
                <w:szCs w:val="20"/>
              </w:rPr>
              <w:t>视频监控系统和消防报警系统</w:t>
            </w:r>
            <w:r>
              <w:rPr>
                <w:rFonts w:hint="eastAsia" w:cs="Times New Roman"/>
                <w:kern w:val="0"/>
                <w:szCs w:val="20"/>
              </w:rPr>
              <w:t>等</w:t>
            </w:r>
            <w:r>
              <w:rPr>
                <w:rFonts w:cs="Times New Roman"/>
                <w:kern w:val="0"/>
                <w:szCs w:val="20"/>
              </w:rPr>
              <w:t>，</w:t>
            </w:r>
            <w:r>
              <w:rPr>
                <w:rFonts w:hint="eastAsia" w:cs="Times New Roman"/>
                <w:kern w:val="0"/>
                <w:szCs w:val="20"/>
              </w:rPr>
              <w:t>环境风险</w:t>
            </w:r>
            <w:r>
              <w:rPr>
                <w:rFonts w:cs="Times New Roman"/>
                <w:kern w:val="0"/>
                <w:szCs w:val="20"/>
              </w:rPr>
              <w:t>可控，其建设符合规划环评提出的入区要求。</w:t>
            </w:r>
          </w:p>
        </w:tc>
        <w:tc>
          <w:tcPr>
            <w:tcW w:w="282" w:type="pct"/>
            <w:vAlign w:val="center"/>
          </w:tcPr>
          <w:p w14:paraId="4DAC33FE">
            <w:pPr>
              <w:pStyle w:val="445"/>
              <w:rPr>
                <w:rFonts w:cs="Times New Roman"/>
                <w:kern w:val="0"/>
                <w:szCs w:val="20"/>
              </w:rPr>
            </w:pPr>
            <w:r>
              <w:rPr>
                <w:rFonts w:cs="Times New Roman"/>
                <w:kern w:val="0"/>
                <w:szCs w:val="20"/>
              </w:rPr>
              <w:t>符合</w:t>
            </w:r>
          </w:p>
        </w:tc>
      </w:tr>
      <w:tr w14:paraId="6C035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78D32D10">
            <w:pPr>
              <w:pStyle w:val="445"/>
              <w:rPr>
                <w:rFonts w:cs="Times New Roman"/>
                <w:kern w:val="0"/>
                <w:szCs w:val="20"/>
              </w:rPr>
            </w:pPr>
          </w:p>
        </w:tc>
        <w:tc>
          <w:tcPr>
            <w:tcW w:w="2912" w:type="pct"/>
            <w:gridSpan w:val="2"/>
            <w:vAlign w:val="center"/>
          </w:tcPr>
          <w:p w14:paraId="5874C143">
            <w:pPr>
              <w:pStyle w:val="445"/>
              <w:rPr>
                <w:rFonts w:cs="Times New Roman"/>
                <w:kern w:val="0"/>
                <w:szCs w:val="20"/>
              </w:rPr>
            </w:pPr>
            <w:r>
              <w:rPr>
                <w:rFonts w:hint="eastAsia" w:cs="Times New Roman"/>
                <w:kern w:val="0"/>
                <w:szCs w:val="20"/>
              </w:rPr>
              <w:t>严格禁止</w:t>
            </w:r>
            <w:r>
              <w:rPr>
                <w:rFonts w:cs="Times New Roman"/>
                <w:kern w:val="0"/>
                <w:szCs w:val="20"/>
              </w:rPr>
              <w:t>区内企业新建</w:t>
            </w:r>
            <w:r>
              <w:rPr>
                <w:rFonts w:hint="eastAsia" w:cs="Times New Roman"/>
                <w:kern w:val="0"/>
                <w:szCs w:val="20"/>
              </w:rPr>
              <w:t>燃煤</w:t>
            </w:r>
            <w:r>
              <w:rPr>
                <w:rFonts w:cs="Times New Roman"/>
                <w:kern w:val="0"/>
                <w:szCs w:val="20"/>
              </w:rPr>
              <w:t>、燃重油等重污染燃料锅炉或工业炉窑，若集中</w:t>
            </w:r>
            <w:r>
              <w:rPr>
                <w:rFonts w:hint="eastAsia" w:cs="Times New Roman"/>
                <w:kern w:val="0"/>
                <w:szCs w:val="20"/>
              </w:rPr>
              <w:t>供热</w:t>
            </w:r>
            <w:r>
              <w:rPr>
                <w:rFonts w:cs="Times New Roman"/>
                <w:kern w:val="0"/>
                <w:szCs w:val="20"/>
              </w:rPr>
              <w:t>无法满足企业特殊工艺</w:t>
            </w:r>
            <w:r>
              <w:rPr>
                <w:rFonts w:hint="eastAsia" w:cs="Times New Roman"/>
                <w:kern w:val="0"/>
                <w:szCs w:val="20"/>
              </w:rPr>
              <w:t>用热要求</w:t>
            </w:r>
            <w:r>
              <w:rPr>
                <w:rFonts w:cs="Times New Roman"/>
                <w:kern w:val="0"/>
                <w:szCs w:val="20"/>
              </w:rPr>
              <w:t>，需要自建锅炉或者工业炉窑的项目</w:t>
            </w:r>
            <w:r>
              <w:rPr>
                <w:rFonts w:hint="eastAsia" w:cs="Times New Roman"/>
                <w:kern w:val="0"/>
                <w:szCs w:val="20"/>
              </w:rPr>
              <w:t>，必须</w:t>
            </w:r>
            <w:r>
              <w:rPr>
                <w:rFonts w:cs="Times New Roman"/>
                <w:kern w:val="0"/>
                <w:szCs w:val="20"/>
              </w:rPr>
              <w:t>使用</w:t>
            </w:r>
            <w:r>
              <w:rPr>
                <w:rFonts w:hint="eastAsia" w:cs="Times New Roman"/>
                <w:kern w:val="0"/>
                <w:szCs w:val="20"/>
              </w:rPr>
              <w:t>天然气</w:t>
            </w:r>
            <w:r>
              <w:rPr>
                <w:rFonts w:cs="Times New Roman"/>
                <w:kern w:val="0"/>
                <w:szCs w:val="20"/>
              </w:rPr>
              <w:t>等清洁能源，</w:t>
            </w:r>
            <w:r>
              <w:rPr>
                <w:rFonts w:hint="eastAsia" w:cs="Times New Roman"/>
                <w:kern w:val="0"/>
                <w:szCs w:val="20"/>
              </w:rPr>
              <w:t>切实</w:t>
            </w:r>
            <w:r>
              <w:rPr>
                <w:rFonts w:cs="Times New Roman"/>
                <w:kern w:val="0"/>
                <w:szCs w:val="20"/>
              </w:rPr>
              <w:t>发挥“</w:t>
            </w:r>
            <w:r>
              <w:rPr>
                <w:rFonts w:hint="eastAsia" w:cs="Times New Roman"/>
                <w:kern w:val="0"/>
                <w:szCs w:val="20"/>
              </w:rPr>
              <w:t>绿色</w:t>
            </w:r>
            <w:r>
              <w:rPr>
                <w:rFonts w:cs="Times New Roman"/>
                <w:kern w:val="0"/>
                <w:szCs w:val="20"/>
              </w:rPr>
              <w:t>屏障”</w:t>
            </w:r>
            <w:r>
              <w:rPr>
                <w:rFonts w:hint="eastAsia" w:cs="Times New Roman"/>
                <w:kern w:val="0"/>
                <w:szCs w:val="20"/>
              </w:rPr>
              <w:t>源头</w:t>
            </w:r>
            <w:r>
              <w:rPr>
                <w:rFonts w:cs="Times New Roman"/>
                <w:kern w:val="0"/>
                <w:szCs w:val="20"/>
              </w:rPr>
              <w:t>控制作用。</w:t>
            </w:r>
          </w:p>
        </w:tc>
        <w:tc>
          <w:tcPr>
            <w:tcW w:w="1307" w:type="pct"/>
            <w:vAlign w:val="center"/>
          </w:tcPr>
          <w:p w14:paraId="122718B6">
            <w:pPr>
              <w:pStyle w:val="445"/>
              <w:rPr>
                <w:rFonts w:cs="Times New Roman"/>
                <w:kern w:val="0"/>
                <w:szCs w:val="20"/>
              </w:rPr>
            </w:pPr>
            <w:r>
              <w:rPr>
                <w:rFonts w:cs="Times New Roman"/>
                <w:kern w:val="0"/>
                <w:szCs w:val="20"/>
              </w:rPr>
              <w:t>本项目采用</w:t>
            </w:r>
            <w:r>
              <w:rPr>
                <w:rFonts w:hint="eastAsia" w:cs="Times New Roman"/>
                <w:kern w:val="0"/>
                <w:szCs w:val="20"/>
              </w:rPr>
              <w:t>天然气</w:t>
            </w:r>
            <w:r>
              <w:rPr>
                <w:rFonts w:cs="Times New Roman"/>
                <w:kern w:val="0"/>
                <w:szCs w:val="20"/>
              </w:rPr>
              <w:t>和园区集中供热设施供热</w:t>
            </w:r>
            <w:r>
              <w:rPr>
                <w:rFonts w:hint="eastAsia" w:cs="Times New Roman"/>
                <w:kern w:val="0"/>
                <w:szCs w:val="20"/>
              </w:rPr>
              <w:t>。</w:t>
            </w:r>
          </w:p>
        </w:tc>
        <w:tc>
          <w:tcPr>
            <w:tcW w:w="282" w:type="pct"/>
            <w:vAlign w:val="center"/>
          </w:tcPr>
          <w:p w14:paraId="00EBAAC7">
            <w:pPr>
              <w:pStyle w:val="445"/>
              <w:rPr>
                <w:rFonts w:cs="Times New Roman"/>
                <w:kern w:val="0"/>
                <w:szCs w:val="20"/>
              </w:rPr>
            </w:pPr>
            <w:r>
              <w:rPr>
                <w:rFonts w:cs="Times New Roman"/>
                <w:kern w:val="0"/>
                <w:szCs w:val="20"/>
              </w:rPr>
              <w:t>符合</w:t>
            </w:r>
          </w:p>
        </w:tc>
      </w:tr>
      <w:tr w14:paraId="62A2D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5660912B">
            <w:pPr>
              <w:pStyle w:val="445"/>
              <w:rPr>
                <w:rFonts w:cs="Times New Roman"/>
                <w:kern w:val="0"/>
                <w:szCs w:val="20"/>
              </w:rPr>
            </w:pPr>
          </w:p>
        </w:tc>
        <w:tc>
          <w:tcPr>
            <w:tcW w:w="2912" w:type="pct"/>
            <w:gridSpan w:val="2"/>
            <w:vAlign w:val="center"/>
          </w:tcPr>
          <w:p w14:paraId="51ADFCA8">
            <w:pPr>
              <w:pStyle w:val="445"/>
              <w:rPr>
                <w:rFonts w:cs="Times New Roman"/>
                <w:kern w:val="0"/>
                <w:szCs w:val="20"/>
              </w:rPr>
            </w:pPr>
            <w:r>
              <w:rPr>
                <w:rFonts w:hint="eastAsia" w:cs="Times New Roman"/>
                <w:kern w:val="0"/>
                <w:szCs w:val="20"/>
              </w:rPr>
              <w:t>区内</w:t>
            </w:r>
            <w:r>
              <w:rPr>
                <w:rFonts w:cs="Times New Roman"/>
                <w:kern w:val="0"/>
                <w:szCs w:val="20"/>
              </w:rPr>
              <w:t>企业应做到</w:t>
            </w:r>
            <w:r>
              <w:rPr>
                <w:rFonts w:hint="eastAsia" w:cs="Times New Roman"/>
                <w:kern w:val="0"/>
                <w:szCs w:val="20"/>
              </w:rPr>
              <w:t>“</w:t>
            </w:r>
            <w:r>
              <w:rPr>
                <w:rFonts w:cs="Times New Roman"/>
                <w:kern w:val="0"/>
                <w:szCs w:val="20"/>
              </w:rPr>
              <w:t>清污分流、雨污分流</w:t>
            </w:r>
            <w:r>
              <w:rPr>
                <w:rFonts w:hint="eastAsia" w:cs="Times New Roman"/>
                <w:kern w:val="0"/>
                <w:szCs w:val="20"/>
              </w:rPr>
              <w:t>”</w:t>
            </w:r>
            <w:r>
              <w:rPr>
                <w:rFonts w:cs="Times New Roman"/>
                <w:kern w:val="0"/>
                <w:szCs w:val="20"/>
              </w:rPr>
              <w:t>，</w:t>
            </w:r>
            <w:r>
              <w:rPr>
                <w:rFonts w:hint="eastAsia" w:cs="Times New Roman"/>
                <w:kern w:val="0"/>
                <w:szCs w:val="20"/>
              </w:rPr>
              <w:t>实现</w:t>
            </w:r>
            <w:r>
              <w:rPr>
                <w:rFonts w:cs="Times New Roman"/>
                <w:kern w:val="0"/>
                <w:szCs w:val="20"/>
              </w:rPr>
              <w:t>废水分类收集、分</w:t>
            </w:r>
            <w:r>
              <w:rPr>
                <w:rFonts w:hint="eastAsia" w:cs="Times New Roman"/>
                <w:kern w:val="0"/>
                <w:szCs w:val="20"/>
              </w:rPr>
              <w:t>质</w:t>
            </w:r>
            <w:r>
              <w:rPr>
                <w:rFonts w:cs="Times New Roman"/>
                <w:kern w:val="0"/>
                <w:szCs w:val="20"/>
              </w:rPr>
              <w:t>处理，确保污染</w:t>
            </w:r>
            <w:r>
              <w:rPr>
                <w:rFonts w:hint="eastAsia" w:cs="Times New Roman"/>
                <w:kern w:val="0"/>
                <w:szCs w:val="20"/>
              </w:rPr>
              <w:t>物</w:t>
            </w:r>
            <w:r>
              <w:rPr>
                <w:rFonts w:cs="Times New Roman"/>
                <w:kern w:val="0"/>
                <w:szCs w:val="20"/>
              </w:rPr>
              <w:t>的达标排放</w:t>
            </w:r>
            <w:r>
              <w:rPr>
                <w:rFonts w:hint="eastAsia" w:cs="Times New Roman"/>
                <w:kern w:val="0"/>
                <w:szCs w:val="20"/>
              </w:rPr>
              <w:t>。</w:t>
            </w:r>
          </w:p>
        </w:tc>
        <w:tc>
          <w:tcPr>
            <w:tcW w:w="1307" w:type="pct"/>
            <w:vAlign w:val="center"/>
          </w:tcPr>
          <w:p w14:paraId="1AC2914D">
            <w:pPr>
              <w:pStyle w:val="445"/>
              <w:rPr>
                <w:rFonts w:cs="Times New Roman"/>
                <w:kern w:val="0"/>
                <w:szCs w:val="20"/>
              </w:rPr>
            </w:pPr>
            <w:r>
              <w:rPr>
                <w:rFonts w:cs="Times New Roman"/>
                <w:kern w:val="0"/>
                <w:szCs w:val="20"/>
              </w:rPr>
              <w:t>本项目均实施了清污分流、雨污分流、污污分流等，收集后集中处理，</w:t>
            </w:r>
            <w:r>
              <w:rPr>
                <w:rFonts w:hint="eastAsia" w:cs="Times New Roman"/>
                <w:kern w:val="0"/>
                <w:szCs w:val="20"/>
              </w:rPr>
              <w:t>所有</w:t>
            </w:r>
            <w:r>
              <w:rPr>
                <w:rFonts w:cs="Times New Roman"/>
                <w:kern w:val="0"/>
                <w:szCs w:val="20"/>
              </w:rPr>
              <w:t>废水</w:t>
            </w:r>
            <w:r>
              <w:rPr>
                <w:rFonts w:hint="eastAsia" w:cs="Times New Roman"/>
                <w:kern w:val="0"/>
                <w:szCs w:val="20"/>
              </w:rPr>
              <w:t>均</w:t>
            </w:r>
            <w:r>
              <w:rPr>
                <w:rFonts w:cs="Times New Roman"/>
                <w:kern w:val="0"/>
                <w:szCs w:val="20"/>
              </w:rPr>
              <w:t>收集处理</w:t>
            </w:r>
            <w:r>
              <w:rPr>
                <w:rFonts w:hint="eastAsia" w:cs="Times New Roman"/>
                <w:kern w:val="0"/>
                <w:szCs w:val="20"/>
              </w:rPr>
              <w:t>。</w:t>
            </w:r>
            <w:r>
              <w:rPr>
                <w:rFonts w:cs="Times New Roman"/>
                <w:kern w:val="0"/>
                <w:szCs w:val="20"/>
              </w:rPr>
              <w:t>本项目的废水分质收集处理，</w:t>
            </w:r>
            <w:r>
              <w:rPr>
                <w:rFonts w:hint="eastAsia" w:cs="Times New Roman"/>
                <w:kern w:val="0"/>
                <w:szCs w:val="20"/>
              </w:rPr>
              <w:t>高</w:t>
            </w:r>
            <w:r>
              <w:rPr>
                <w:rFonts w:cs="Times New Roman"/>
                <w:kern w:val="0"/>
                <w:szCs w:val="20"/>
              </w:rPr>
              <w:t>盐废水</w:t>
            </w:r>
            <w:r>
              <w:rPr>
                <w:rFonts w:hint="eastAsia" w:cs="Times New Roman"/>
                <w:kern w:val="0"/>
                <w:szCs w:val="20"/>
              </w:rPr>
              <w:t>进行</w:t>
            </w:r>
            <w:r>
              <w:rPr>
                <w:rFonts w:cs="Times New Roman"/>
                <w:kern w:val="0"/>
                <w:szCs w:val="20"/>
              </w:rPr>
              <w:t>预处理</w:t>
            </w:r>
            <w:r>
              <w:rPr>
                <w:rFonts w:hint="eastAsia" w:cs="Times New Roman"/>
                <w:kern w:val="0"/>
                <w:szCs w:val="20"/>
              </w:rPr>
              <w:t>后</w:t>
            </w:r>
            <w:r>
              <w:rPr>
                <w:rFonts w:cs="Times New Roman"/>
                <w:kern w:val="0"/>
                <w:szCs w:val="20"/>
              </w:rPr>
              <w:t>再进入厂区污水处理站，外排废水满足</w:t>
            </w:r>
            <w:r>
              <w:rPr>
                <w:rFonts w:hint="eastAsia" w:cs="Times New Roman"/>
                <w:kern w:val="0"/>
                <w:szCs w:val="20"/>
              </w:rPr>
              <w:t>沫河口污水处理厂</w:t>
            </w:r>
            <w:r>
              <w:rPr>
                <w:rFonts w:cs="Times New Roman"/>
                <w:kern w:val="0"/>
                <w:szCs w:val="20"/>
              </w:rPr>
              <w:t>的接管要求。</w:t>
            </w:r>
          </w:p>
        </w:tc>
        <w:tc>
          <w:tcPr>
            <w:tcW w:w="282" w:type="pct"/>
            <w:vAlign w:val="center"/>
          </w:tcPr>
          <w:p w14:paraId="354CE966">
            <w:pPr>
              <w:pStyle w:val="445"/>
              <w:rPr>
                <w:rFonts w:cs="Times New Roman"/>
                <w:kern w:val="0"/>
                <w:szCs w:val="20"/>
              </w:rPr>
            </w:pPr>
            <w:r>
              <w:rPr>
                <w:rFonts w:cs="Times New Roman"/>
                <w:kern w:val="0"/>
                <w:szCs w:val="20"/>
              </w:rPr>
              <w:t>符合</w:t>
            </w:r>
          </w:p>
        </w:tc>
      </w:tr>
      <w:tr w14:paraId="156FDB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1B42BDB3">
            <w:pPr>
              <w:pStyle w:val="445"/>
              <w:rPr>
                <w:rFonts w:cs="Times New Roman"/>
                <w:kern w:val="0"/>
                <w:szCs w:val="20"/>
              </w:rPr>
            </w:pPr>
          </w:p>
        </w:tc>
        <w:tc>
          <w:tcPr>
            <w:tcW w:w="2912" w:type="pct"/>
            <w:gridSpan w:val="2"/>
            <w:vAlign w:val="center"/>
          </w:tcPr>
          <w:p w14:paraId="6A744501">
            <w:pPr>
              <w:pStyle w:val="445"/>
              <w:rPr>
                <w:rFonts w:cs="Times New Roman"/>
                <w:kern w:val="0"/>
                <w:szCs w:val="20"/>
              </w:rPr>
            </w:pPr>
            <w:r>
              <w:rPr>
                <w:rFonts w:cs="Times New Roman"/>
                <w:kern w:val="0"/>
                <w:szCs w:val="20"/>
              </w:rPr>
              <w:t>化工</w:t>
            </w:r>
            <w:r>
              <w:rPr>
                <w:rFonts w:hint="eastAsia" w:cs="Times New Roman"/>
                <w:kern w:val="0"/>
                <w:szCs w:val="20"/>
              </w:rPr>
              <w:t>、医药、</w:t>
            </w:r>
            <w:r>
              <w:rPr>
                <w:rFonts w:cs="Times New Roman"/>
                <w:kern w:val="0"/>
                <w:szCs w:val="20"/>
              </w:rPr>
              <w:t>涉重等企业可能污染地下水的场地进行防渗处理。</w:t>
            </w:r>
          </w:p>
        </w:tc>
        <w:tc>
          <w:tcPr>
            <w:tcW w:w="1307" w:type="pct"/>
            <w:vAlign w:val="center"/>
          </w:tcPr>
          <w:p w14:paraId="0988346C">
            <w:pPr>
              <w:pStyle w:val="445"/>
              <w:rPr>
                <w:rFonts w:cs="Times New Roman"/>
                <w:kern w:val="0"/>
                <w:szCs w:val="20"/>
              </w:rPr>
            </w:pPr>
            <w:r>
              <w:rPr>
                <w:rFonts w:cs="Times New Roman"/>
                <w:kern w:val="0"/>
                <w:szCs w:val="20"/>
              </w:rPr>
              <w:t>本项目地下水污染防治措施</w:t>
            </w:r>
            <w:r>
              <w:rPr>
                <w:rFonts w:hint="eastAsia" w:cs="Times New Roman"/>
                <w:kern w:val="0"/>
                <w:szCs w:val="20"/>
              </w:rPr>
              <w:t>中</w:t>
            </w:r>
            <w:r>
              <w:rPr>
                <w:rFonts w:cs="Times New Roman"/>
                <w:kern w:val="0"/>
                <w:szCs w:val="20"/>
              </w:rPr>
              <w:t>，提出</w:t>
            </w:r>
            <w:r>
              <w:rPr>
                <w:rFonts w:hint="eastAsia" w:cs="Times New Roman"/>
                <w:kern w:val="0"/>
                <w:szCs w:val="20"/>
              </w:rPr>
              <w:t>对装置区、罐区</w:t>
            </w:r>
            <w:r>
              <w:rPr>
                <w:rFonts w:cs="Times New Roman"/>
                <w:kern w:val="0"/>
                <w:szCs w:val="20"/>
              </w:rPr>
              <w:t>、污水处理站、原料</w:t>
            </w:r>
            <w:r>
              <w:rPr>
                <w:rFonts w:hint="eastAsia" w:cs="Times New Roman"/>
                <w:kern w:val="0"/>
                <w:szCs w:val="20"/>
              </w:rPr>
              <w:t>库</w:t>
            </w:r>
            <w:r>
              <w:rPr>
                <w:rFonts w:cs="Times New Roman"/>
                <w:kern w:val="0"/>
                <w:szCs w:val="20"/>
              </w:rPr>
              <w:t>、危废库、罐组</w:t>
            </w:r>
            <w:r>
              <w:rPr>
                <w:rFonts w:hint="eastAsia" w:cs="Times New Roman"/>
                <w:kern w:val="0"/>
                <w:szCs w:val="20"/>
              </w:rPr>
              <w:t>、</w:t>
            </w:r>
            <w:r>
              <w:rPr>
                <w:rFonts w:cs="Times New Roman"/>
                <w:kern w:val="0"/>
                <w:szCs w:val="20"/>
              </w:rPr>
              <w:t>中间罐区</w:t>
            </w:r>
            <w:r>
              <w:rPr>
                <w:rFonts w:hint="eastAsia" w:cs="Times New Roman"/>
                <w:kern w:val="0"/>
                <w:szCs w:val="20"/>
              </w:rPr>
              <w:t>等</w:t>
            </w:r>
            <w:r>
              <w:rPr>
                <w:rFonts w:cs="Times New Roman"/>
                <w:kern w:val="0"/>
                <w:szCs w:val="20"/>
              </w:rPr>
              <w:t>进行重点防渗。</w:t>
            </w:r>
          </w:p>
        </w:tc>
        <w:tc>
          <w:tcPr>
            <w:tcW w:w="282" w:type="pct"/>
            <w:vAlign w:val="center"/>
          </w:tcPr>
          <w:p w14:paraId="494FCCC7">
            <w:pPr>
              <w:pStyle w:val="445"/>
              <w:rPr>
                <w:rFonts w:cs="Times New Roman"/>
                <w:kern w:val="0"/>
                <w:szCs w:val="20"/>
              </w:rPr>
            </w:pPr>
            <w:r>
              <w:rPr>
                <w:rFonts w:cs="Times New Roman"/>
                <w:kern w:val="0"/>
                <w:szCs w:val="20"/>
              </w:rPr>
              <w:t>符合</w:t>
            </w:r>
          </w:p>
        </w:tc>
      </w:tr>
      <w:tr w14:paraId="4A796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restart"/>
            <w:vAlign w:val="center"/>
          </w:tcPr>
          <w:p w14:paraId="7F3D70EA">
            <w:pPr>
              <w:pStyle w:val="445"/>
              <w:rPr>
                <w:rFonts w:cs="Times New Roman"/>
                <w:kern w:val="0"/>
                <w:szCs w:val="20"/>
              </w:rPr>
            </w:pPr>
            <w:r>
              <w:rPr>
                <w:rFonts w:hint="eastAsia" w:cs="Times New Roman"/>
                <w:kern w:val="0"/>
                <w:szCs w:val="20"/>
              </w:rPr>
              <w:t>蚌埠精细化工高新技术产业基地规划（2021</w:t>
            </w:r>
            <w:r>
              <w:rPr>
                <w:rFonts w:cs="Times New Roman"/>
                <w:kern w:val="0"/>
                <w:szCs w:val="20"/>
              </w:rPr>
              <w:t>~2035</w:t>
            </w:r>
            <w:r>
              <w:rPr>
                <w:rFonts w:hint="eastAsia" w:cs="Times New Roman"/>
                <w:kern w:val="0"/>
                <w:szCs w:val="20"/>
              </w:rPr>
              <w:t>）环评</w:t>
            </w:r>
            <w:r>
              <w:rPr>
                <w:rFonts w:cs="Times New Roman"/>
                <w:kern w:val="0"/>
                <w:szCs w:val="20"/>
              </w:rPr>
              <w:t>审查意见</w:t>
            </w:r>
          </w:p>
        </w:tc>
        <w:tc>
          <w:tcPr>
            <w:tcW w:w="2912" w:type="pct"/>
            <w:gridSpan w:val="2"/>
            <w:vAlign w:val="center"/>
          </w:tcPr>
          <w:p w14:paraId="7321AD93">
            <w:pPr>
              <w:pStyle w:val="445"/>
              <w:rPr>
                <w:rFonts w:cs="Times New Roman"/>
                <w:kern w:val="0"/>
                <w:szCs w:val="20"/>
              </w:rPr>
            </w:pPr>
            <w:r>
              <w:rPr>
                <w:rFonts w:hint="eastAsia" w:cs="Times New Roman"/>
                <w:kern w:val="0"/>
                <w:szCs w:val="20"/>
              </w:rPr>
              <w:t>严守</w:t>
            </w:r>
            <w:r>
              <w:rPr>
                <w:rFonts w:cs="Times New Roman"/>
                <w:kern w:val="0"/>
                <w:szCs w:val="20"/>
              </w:rPr>
              <w:t>环境质量底线，落实区域环境质量管控措施。严格执行我省《</w:t>
            </w:r>
            <w:r>
              <w:rPr>
                <w:rFonts w:hint="eastAsia" w:cs="Times New Roman"/>
                <w:kern w:val="0"/>
                <w:szCs w:val="20"/>
              </w:rPr>
              <w:t>关于</w:t>
            </w:r>
            <w:r>
              <w:rPr>
                <w:rFonts w:cs="Times New Roman"/>
                <w:kern w:val="0"/>
                <w:szCs w:val="20"/>
              </w:rPr>
              <w:t>进一步加强建设项目新增大气主要污染物指标管理工作的通知》</w:t>
            </w:r>
            <w:r>
              <w:rPr>
                <w:rFonts w:hint="eastAsia" w:cs="Times New Roman"/>
                <w:kern w:val="0"/>
                <w:szCs w:val="20"/>
              </w:rPr>
              <w:t>（皖</w:t>
            </w:r>
            <w:r>
              <w:rPr>
                <w:rFonts w:cs="Times New Roman"/>
                <w:kern w:val="0"/>
                <w:szCs w:val="20"/>
              </w:rPr>
              <w:t>环发</w:t>
            </w:r>
            <w:r>
              <w:rPr>
                <w:rFonts w:hint="eastAsia" w:cs="Times New Roman"/>
                <w:kern w:val="0"/>
                <w:szCs w:val="20"/>
              </w:rPr>
              <w:t>[</w:t>
            </w:r>
            <w:r>
              <w:rPr>
                <w:rFonts w:cs="Times New Roman"/>
                <w:kern w:val="0"/>
                <w:szCs w:val="20"/>
              </w:rPr>
              <w:t>2017</w:t>
            </w:r>
            <w:r>
              <w:rPr>
                <w:rFonts w:hint="eastAsia" w:cs="Times New Roman"/>
                <w:kern w:val="0"/>
                <w:szCs w:val="20"/>
              </w:rPr>
              <w:t>]</w:t>
            </w:r>
            <w:r>
              <w:rPr>
                <w:rFonts w:cs="Times New Roman"/>
                <w:kern w:val="0"/>
                <w:szCs w:val="20"/>
              </w:rPr>
              <w:t>19</w:t>
            </w:r>
            <w:r>
              <w:rPr>
                <w:rFonts w:hint="eastAsia" w:cs="Times New Roman"/>
                <w:kern w:val="0"/>
                <w:szCs w:val="20"/>
              </w:rPr>
              <w:t>号），</w:t>
            </w:r>
            <w:r>
              <w:rPr>
                <w:rFonts w:cs="Times New Roman"/>
                <w:kern w:val="0"/>
                <w:szCs w:val="20"/>
              </w:rPr>
              <w:t>在区域大气环境质量稳定达标前，</w:t>
            </w:r>
            <w:r>
              <w:rPr>
                <w:rFonts w:hint="eastAsia" w:cs="Times New Roman"/>
                <w:kern w:val="0"/>
                <w:szCs w:val="20"/>
              </w:rPr>
              <w:t>严格</w:t>
            </w:r>
            <w:r>
              <w:rPr>
                <w:rFonts w:cs="Times New Roman"/>
                <w:kern w:val="0"/>
                <w:szCs w:val="20"/>
              </w:rPr>
              <w:t>限制主要大气污染物排放量大的项目</w:t>
            </w:r>
            <w:r>
              <w:rPr>
                <w:rFonts w:hint="eastAsia" w:cs="Times New Roman"/>
                <w:kern w:val="0"/>
                <w:szCs w:val="20"/>
              </w:rPr>
              <w:t>入园，</w:t>
            </w:r>
            <w:r>
              <w:rPr>
                <w:rFonts w:cs="Times New Roman"/>
                <w:kern w:val="0"/>
                <w:szCs w:val="20"/>
              </w:rPr>
              <w:t>重点关注</w:t>
            </w:r>
            <w:r>
              <w:rPr>
                <w:rFonts w:hint="eastAsia" w:cs="Times New Roman"/>
                <w:kern w:val="0"/>
                <w:szCs w:val="20"/>
              </w:rPr>
              <w:t>涉</w:t>
            </w:r>
            <w:r>
              <w:rPr>
                <w:rFonts w:cs="Times New Roman"/>
                <w:kern w:val="0"/>
                <w:szCs w:val="20"/>
              </w:rPr>
              <w:t>VOCs排放企业。</w:t>
            </w:r>
          </w:p>
        </w:tc>
        <w:tc>
          <w:tcPr>
            <w:tcW w:w="1307" w:type="pct"/>
            <w:vAlign w:val="center"/>
          </w:tcPr>
          <w:p w14:paraId="6E0CE83F">
            <w:pPr>
              <w:pStyle w:val="445"/>
              <w:rPr>
                <w:rFonts w:cs="Times New Roman"/>
                <w:kern w:val="0"/>
                <w:szCs w:val="20"/>
              </w:rPr>
            </w:pPr>
            <w:r>
              <w:rPr>
                <w:rFonts w:cs="Times New Roman"/>
                <w:kern w:val="0"/>
                <w:szCs w:val="20"/>
              </w:rPr>
              <w:t>本项目废气涉及</w:t>
            </w:r>
            <w:r>
              <w:rPr>
                <w:rFonts w:hint="eastAsia" w:cs="Times New Roman"/>
                <w:kern w:val="0"/>
                <w:szCs w:val="20"/>
              </w:rPr>
              <w:t>烟</w:t>
            </w:r>
            <w:r>
              <w:rPr>
                <w:rFonts w:cs="Times New Roman"/>
                <w:kern w:val="0"/>
                <w:szCs w:val="20"/>
              </w:rPr>
              <w:t>（</w:t>
            </w:r>
            <w:r>
              <w:rPr>
                <w:rFonts w:hint="eastAsia" w:cs="Times New Roman"/>
                <w:kern w:val="0"/>
                <w:szCs w:val="20"/>
              </w:rPr>
              <w:t>粉</w:t>
            </w:r>
            <w:r>
              <w:rPr>
                <w:rFonts w:cs="Times New Roman"/>
                <w:kern w:val="0"/>
                <w:szCs w:val="20"/>
              </w:rPr>
              <w:t>）</w:t>
            </w:r>
            <w:r>
              <w:rPr>
                <w:rFonts w:hint="eastAsia" w:cs="Times New Roman"/>
                <w:kern w:val="0"/>
                <w:szCs w:val="20"/>
              </w:rPr>
              <w:t>尘</w:t>
            </w:r>
            <w:r>
              <w:rPr>
                <w:rFonts w:cs="Times New Roman"/>
                <w:kern w:val="0"/>
                <w:szCs w:val="20"/>
              </w:rPr>
              <w:t>、二氧化硫和氮氧化物挥发性有机物（VOCs）</w:t>
            </w:r>
            <w:r>
              <w:rPr>
                <w:rFonts w:hint="eastAsia" w:cs="Times New Roman"/>
                <w:kern w:val="0"/>
                <w:szCs w:val="20"/>
              </w:rPr>
              <w:t>已从</w:t>
            </w:r>
            <w:r>
              <w:rPr>
                <w:rFonts w:cs="Times New Roman"/>
                <w:kern w:val="0"/>
                <w:szCs w:val="20"/>
              </w:rPr>
              <w:t>蚌埠市生态环境局</w:t>
            </w:r>
            <w:r>
              <w:rPr>
                <w:rFonts w:hint="eastAsia" w:cs="Times New Roman"/>
                <w:kern w:val="0"/>
                <w:szCs w:val="20"/>
              </w:rPr>
              <w:t>取得</w:t>
            </w:r>
            <w:r>
              <w:rPr>
                <w:rFonts w:cs="Times New Roman"/>
                <w:kern w:val="0"/>
                <w:szCs w:val="20"/>
              </w:rPr>
              <w:t>总量指标。</w:t>
            </w:r>
          </w:p>
        </w:tc>
        <w:tc>
          <w:tcPr>
            <w:tcW w:w="282" w:type="pct"/>
            <w:vAlign w:val="center"/>
          </w:tcPr>
          <w:p w14:paraId="00369EDE">
            <w:pPr>
              <w:pStyle w:val="445"/>
              <w:rPr>
                <w:rFonts w:cs="Times New Roman"/>
                <w:kern w:val="0"/>
                <w:szCs w:val="20"/>
              </w:rPr>
            </w:pPr>
            <w:r>
              <w:rPr>
                <w:rFonts w:hint="eastAsia" w:cs="Times New Roman"/>
                <w:kern w:val="0"/>
                <w:szCs w:val="20"/>
              </w:rPr>
              <w:t>符合</w:t>
            </w:r>
          </w:p>
        </w:tc>
      </w:tr>
      <w:tr w14:paraId="275F4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2E58F513">
            <w:pPr>
              <w:pStyle w:val="445"/>
              <w:rPr>
                <w:rFonts w:cs="Times New Roman"/>
                <w:kern w:val="0"/>
                <w:szCs w:val="20"/>
              </w:rPr>
            </w:pPr>
          </w:p>
        </w:tc>
        <w:tc>
          <w:tcPr>
            <w:tcW w:w="2912" w:type="pct"/>
            <w:gridSpan w:val="2"/>
            <w:vAlign w:val="center"/>
          </w:tcPr>
          <w:p w14:paraId="25BEA25C">
            <w:pPr>
              <w:pStyle w:val="445"/>
              <w:rPr>
                <w:rFonts w:cs="Times New Roman"/>
                <w:kern w:val="0"/>
                <w:szCs w:val="20"/>
              </w:rPr>
            </w:pPr>
            <w:r>
              <w:rPr>
                <w:rFonts w:hint="eastAsia" w:cs="Times New Roman"/>
                <w:kern w:val="0"/>
                <w:szCs w:val="20"/>
              </w:rPr>
              <w:t>化工</w:t>
            </w:r>
            <w:r>
              <w:rPr>
                <w:rFonts w:cs="Times New Roman"/>
                <w:kern w:val="0"/>
                <w:szCs w:val="20"/>
              </w:rPr>
              <w:t>企业</w:t>
            </w:r>
            <w:r>
              <w:rPr>
                <w:rFonts w:hint="eastAsia" w:cs="Times New Roman"/>
                <w:kern w:val="0"/>
                <w:szCs w:val="20"/>
              </w:rPr>
              <w:t>应做到</w:t>
            </w:r>
            <w:r>
              <w:rPr>
                <w:rFonts w:cs="Times New Roman"/>
                <w:kern w:val="0"/>
                <w:szCs w:val="20"/>
              </w:rPr>
              <w:t>废水分类收集、分</w:t>
            </w:r>
            <w:r>
              <w:rPr>
                <w:rFonts w:hint="eastAsia" w:cs="Times New Roman"/>
                <w:kern w:val="0"/>
                <w:szCs w:val="20"/>
              </w:rPr>
              <w:t>质</w:t>
            </w:r>
            <w:r>
              <w:rPr>
                <w:rFonts w:cs="Times New Roman"/>
                <w:kern w:val="0"/>
                <w:szCs w:val="20"/>
              </w:rPr>
              <w:t>处理，</w:t>
            </w:r>
            <w:r>
              <w:rPr>
                <w:rFonts w:hint="eastAsia" w:cs="Times New Roman"/>
                <w:kern w:val="0"/>
                <w:szCs w:val="20"/>
              </w:rPr>
              <w:t>并对</w:t>
            </w:r>
            <w:r>
              <w:rPr>
                <w:rFonts w:cs="Times New Roman"/>
                <w:kern w:val="0"/>
                <w:szCs w:val="20"/>
              </w:rPr>
              <w:t>废水进行预处理达到相关标准及污水处理厂接管</w:t>
            </w:r>
            <w:r>
              <w:rPr>
                <w:rFonts w:hint="eastAsia" w:cs="Times New Roman"/>
                <w:kern w:val="0"/>
                <w:szCs w:val="20"/>
              </w:rPr>
              <w:t>要求</w:t>
            </w:r>
            <w:r>
              <w:rPr>
                <w:rFonts w:cs="Times New Roman"/>
                <w:kern w:val="0"/>
                <w:szCs w:val="20"/>
              </w:rPr>
              <w:t>后，方可接入污水处理厂深度处理。企业排放的废水应经专用的明管输送至污水处理厂，并设置在线监</w:t>
            </w:r>
            <w:r>
              <w:rPr>
                <w:rFonts w:hint="eastAsia" w:cs="Times New Roman"/>
                <w:kern w:val="0"/>
                <w:szCs w:val="20"/>
              </w:rPr>
              <w:t>控</w:t>
            </w:r>
            <w:r>
              <w:rPr>
                <w:rFonts w:cs="Times New Roman"/>
                <w:kern w:val="0"/>
                <w:szCs w:val="20"/>
              </w:rPr>
              <w:t>装置、视频</w:t>
            </w:r>
            <w:r>
              <w:rPr>
                <w:rFonts w:hint="eastAsia" w:cs="Times New Roman"/>
                <w:kern w:val="0"/>
                <w:szCs w:val="20"/>
              </w:rPr>
              <w:t>监控系统</w:t>
            </w:r>
            <w:r>
              <w:rPr>
                <w:rFonts w:cs="Times New Roman"/>
                <w:kern w:val="0"/>
                <w:szCs w:val="20"/>
              </w:rPr>
              <w:t>及自控阀门。在建和拟建的化工项目</w:t>
            </w:r>
            <w:r>
              <w:rPr>
                <w:rFonts w:hint="eastAsia" w:cs="Times New Roman"/>
                <w:kern w:val="0"/>
                <w:szCs w:val="20"/>
              </w:rPr>
              <w:t>污水排放</w:t>
            </w:r>
            <w:r>
              <w:rPr>
                <w:rFonts w:cs="Times New Roman"/>
                <w:kern w:val="0"/>
                <w:szCs w:val="20"/>
              </w:rPr>
              <w:t>应</w:t>
            </w:r>
            <w:r>
              <w:rPr>
                <w:rFonts w:hint="eastAsia" w:cs="Times New Roman"/>
                <w:kern w:val="0"/>
                <w:szCs w:val="20"/>
              </w:rPr>
              <w:t>实现</w:t>
            </w:r>
            <w:r>
              <w:rPr>
                <w:rFonts w:cs="Times New Roman"/>
                <w:kern w:val="0"/>
                <w:szCs w:val="20"/>
              </w:rPr>
              <w:t>“</w:t>
            </w:r>
            <w:r>
              <w:rPr>
                <w:rFonts w:hint="eastAsia" w:cs="Times New Roman"/>
                <w:kern w:val="0"/>
                <w:szCs w:val="20"/>
              </w:rPr>
              <w:t>一企一管</w:t>
            </w:r>
            <w:r>
              <w:rPr>
                <w:rFonts w:cs="Times New Roman"/>
                <w:kern w:val="0"/>
                <w:szCs w:val="20"/>
              </w:rPr>
              <w:t>”</w:t>
            </w:r>
            <w:r>
              <w:rPr>
                <w:rFonts w:hint="eastAsia" w:cs="Times New Roman"/>
                <w:kern w:val="0"/>
                <w:szCs w:val="20"/>
              </w:rPr>
              <w:t>方式</w:t>
            </w:r>
            <w:r>
              <w:rPr>
                <w:rFonts w:cs="Times New Roman"/>
                <w:kern w:val="0"/>
                <w:szCs w:val="20"/>
              </w:rPr>
              <w:t>。企业</w:t>
            </w:r>
            <w:r>
              <w:rPr>
                <w:rFonts w:hint="eastAsia" w:cs="Times New Roman"/>
                <w:kern w:val="0"/>
                <w:szCs w:val="20"/>
              </w:rPr>
              <w:t>的</w:t>
            </w:r>
            <w:r>
              <w:rPr>
                <w:rFonts w:cs="Times New Roman"/>
                <w:kern w:val="0"/>
                <w:szCs w:val="20"/>
              </w:rPr>
              <w:t>初期雨水、事故废水应全部进行有效收集处理。</w:t>
            </w:r>
          </w:p>
        </w:tc>
        <w:tc>
          <w:tcPr>
            <w:tcW w:w="1307" w:type="pct"/>
            <w:vAlign w:val="center"/>
          </w:tcPr>
          <w:p w14:paraId="1D676FB4">
            <w:pPr>
              <w:pStyle w:val="445"/>
              <w:rPr>
                <w:rFonts w:cs="Times New Roman"/>
                <w:kern w:val="0"/>
                <w:szCs w:val="20"/>
              </w:rPr>
            </w:pPr>
            <w:r>
              <w:rPr>
                <w:rFonts w:cs="Times New Roman"/>
                <w:kern w:val="0"/>
                <w:szCs w:val="20"/>
              </w:rPr>
              <w:t>本项目的废水分质收集处理，</w:t>
            </w:r>
            <w:r>
              <w:rPr>
                <w:rFonts w:hint="eastAsia" w:cs="Times New Roman"/>
                <w:kern w:val="0"/>
                <w:szCs w:val="20"/>
              </w:rPr>
              <w:t>酸洗</w:t>
            </w:r>
            <w:r>
              <w:rPr>
                <w:rFonts w:cs="Times New Roman"/>
                <w:kern w:val="0"/>
                <w:szCs w:val="20"/>
              </w:rPr>
              <w:t>废水</w:t>
            </w:r>
            <w:r>
              <w:rPr>
                <w:rFonts w:hint="eastAsia" w:cs="Times New Roman"/>
                <w:kern w:val="0"/>
                <w:szCs w:val="20"/>
              </w:rPr>
              <w:t>进行</w:t>
            </w:r>
            <w:r>
              <w:rPr>
                <w:rFonts w:cs="Times New Roman"/>
                <w:kern w:val="0"/>
                <w:szCs w:val="20"/>
              </w:rPr>
              <w:t>预处理</w:t>
            </w:r>
            <w:r>
              <w:rPr>
                <w:rFonts w:hint="eastAsia" w:cs="Times New Roman"/>
                <w:kern w:val="0"/>
                <w:szCs w:val="20"/>
              </w:rPr>
              <w:t>后</w:t>
            </w:r>
            <w:r>
              <w:rPr>
                <w:rFonts w:cs="Times New Roman"/>
                <w:kern w:val="0"/>
                <w:szCs w:val="20"/>
              </w:rPr>
              <w:t>再进入厂区污水处理站</w:t>
            </w:r>
            <w:r>
              <w:rPr>
                <w:rFonts w:hint="eastAsia" w:cs="Times New Roman"/>
                <w:kern w:val="0"/>
                <w:szCs w:val="20"/>
              </w:rPr>
              <w:t>处理</w:t>
            </w:r>
            <w:r>
              <w:rPr>
                <w:rFonts w:cs="Times New Roman"/>
                <w:kern w:val="0"/>
                <w:szCs w:val="20"/>
              </w:rPr>
              <w:t>，处理</w:t>
            </w:r>
            <w:r>
              <w:rPr>
                <w:rFonts w:hint="eastAsia" w:cs="Times New Roman"/>
                <w:kern w:val="0"/>
                <w:szCs w:val="20"/>
              </w:rPr>
              <w:t>达到</w:t>
            </w:r>
            <w:r>
              <w:rPr>
                <w:rFonts w:ascii="宋体" w:hAnsi="宋体" w:cs="Times New Roman"/>
                <w:kern w:val="0"/>
                <w:szCs w:val="20"/>
              </w:rPr>
              <w:t>沫河口园区污水处理厂接管标准</w:t>
            </w:r>
            <w:r>
              <w:rPr>
                <w:rFonts w:hint="eastAsia" w:ascii="宋体" w:hAnsi="宋体" w:cs="Times New Roman"/>
                <w:kern w:val="0"/>
                <w:szCs w:val="20"/>
              </w:rPr>
              <w:t>、《污水综合排放标准》（</w:t>
            </w:r>
            <w:r>
              <w:rPr>
                <w:rFonts w:hint="eastAsia" w:cs="Times New Roman"/>
                <w:kern w:val="0"/>
                <w:szCs w:val="20"/>
              </w:rPr>
              <w:t>G</w:t>
            </w:r>
            <w:r>
              <w:rPr>
                <w:rFonts w:cs="Times New Roman"/>
                <w:kern w:val="0"/>
                <w:szCs w:val="20"/>
              </w:rPr>
              <w:t>B8978-1996</w:t>
            </w:r>
            <w:r>
              <w:rPr>
                <w:rFonts w:hint="eastAsia" w:ascii="宋体" w:hAnsi="宋体" w:cs="Times New Roman"/>
                <w:kern w:val="0"/>
                <w:szCs w:val="20"/>
              </w:rPr>
              <w:t>）中表</w:t>
            </w:r>
            <w:r>
              <w:rPr>
                <w:rFonts w:hint="eastAsia" w:cs="Times New Roman"/>
                <w:kern w:val="0"/>
                <w:szCs w:val="20"/>
              </w:rPr>
              <w:t>4</w:t>
            </w:r>
            <w:r>
              <w:rPr>
                <w:rFonts w:hint="eastAsia" w:ascii="宋体" w:hAnsi="宋体" w:cs="Times New Roman"/>
                <w:kern w:val="0"/>
                <w:szCs w:val="20"/>
              </w:rPr>
              <w:t>的三级标准和</w:t>
            </w:r>
            <w:r>
              <w:rPr>
                <w:rFonts w:hint="eastAsia" w:cs="Times New Roman"/>
                <w:kern w:val="0"/>
                <w:szCs w:val="24"/>
              </w:rPr>
              <w:t>《无机化学工业污染物排放标准》（GB31573-2015）水污染物间接排放限值接入</w:t>
            </w:r>
            <w:r>
              <w:rPr>
                <w:rFonts w:cs="Times New Roman"/>
                <w:kern w:val="0"/>
                <w:szCs w:val="20"/>
              </w:rPr>
              <w:t>污水处理厂深度处理</w:t>
            </w:r>
            <w:r>
              <w:rPr>
                <w:rFonts w:hint="eastAsia" w:cs="Times New Roman"/>
                <w:kern w:val="0"/>
                <w:szCs w:val="20"/>
              </w:rPr>
              <w:t>；</w:t>
            </w:r>
          </w:p>
          <w:p w14:paraId="2434FC6C">
            <w:pPr>
              <w:pStyle w:val="445"/>
              <w:rPr>
                <w:rFonts w:cs="Times New Roman"/>
                <w:kern w:val="0"/>
                <w:szCs w:val="20"/>
              </w:rPr>
            </w:pPr>
            <w:r>
              <w:rPr>
                <w:rFonts w:hint="eastAsia" w:cs="Times New Roman"/>
                <w:kern w:val="0"/>
                <w:szCs w:val="20"/>
              </w:rPr>
              <w:t>本项目排放</w:t>
            </w:r>
            <w:r>
              <w:rPr>
                <w:rFonts w:cs="Times New Roman"/>
                <w:kern w:val="0"/>
                <w:szCs w:val="20"/>
              </w:rPr>
              <w:t>的废水经明管输送至污水处理厂，同</w:t>
            </w:r>
            <w:r>
              <w:rPr>
                <w:rFonts w:hint="eastAsia" w:cs="Times New Roman"/>
                <w:kern w:val="0"/>
                <w:szCs w:val="20"/>
              </w:rPr>
              <w:t>时</w:t>
            </w:r>
            <w:r>
              <w:rPr>
                <w:rFonts w:cs="Times New Roman"/>
                <w:kern w:val="0"/>
                <w:szCs w:val="20"/>
              </w:rPr>
              <w:t>配置</w:t>
            </w:r>
            <w:r>
              <w:rPr>
                <w:rFonts w:hint="eastAsia" w:cs="Times New Roman"/>
                <w:kern w:val="0"/>
                <w:szCs w:val="20"/>
              </w:rPr>
              <w:t>在线</w:t>
            </w:r>
            <w:r>
              <w:rPr>
                <w:rFonts w:cs="Times New Roman"/>
                <w:kern w:val="0"/>
                <w:szCs w:val="20"/>
              </w:rPr>
              <w:t>监控装置</w:t>
            </w:r>
            <w:r>
              <w:rPr>
                <w:rFonts w:hint="eastAsia" w:cs="Times New Roman"/>
                <w:kern w:val="0"/>
                <w:szCs w:val="20"/>
              </w:rPr>
              <w:t>、</w:t>
            </w:r>
            <w:r>
              <w:rPr>
                <w:rFonts w:cs="Times New Roman"/>
                <w:kern w:val="0"/>
                <w:szCs w:val="20"/>
              </w:rPr>
              <w:t>视频</w:t>
            </w:r>
            <w:r>
              <w:rPr>
                <w:rFonts w:hint="eastAsia" w:cs="Times New Roman"/>
                <w:kern w:val="0"/>
                <w:szCs w:val="20"/>
              </w:rPr>
              <w:t>监控系统</w:t>
            </w:r>
            <w:r>
              <w:rPr>
                <w:rFonts w:cs="Times New Roman"/>
                <w:kern w:val="0"/>
                <w:szCs w:val="20"/>
              </w:rPr>
              <w:t>及自控阀门</w:t>
            </w:r>
            <w:r>
              <w:rPr>
                <w:rFonts w:hint="eastAsia" w:cs="Times New Roman"/>
                <w:kern w:val="0"/>
                <w:szCs w:val="20"/>
              </w:rPr>
              <w:t>；</w:t>
            </w:r>
          </w:p>
          <w:p w14:paraId="1C1C0BD4">
            <w:pPr>
              <w:pStyle w:val="445"/>
              <w:rPr>
                <w:rFonts w:cs="Times New Roman"/>
                <w:kern w:val="0"/>
                <w:szCs w:val="20"/>
              </w:rPr>
            </w:pPr>
            <w:r>
              <w:rPr>
                <w:rFonts w:hint="eastAsia" w:cs="Times New Roman"/>
                <w:kern w:val="0"/>
                <w:szCs w:val="20"/>
              </w:rPr>
              <w:t>本项目</w:t>
            </w:r>
            <w:r>
              <w:rPr>
                <w:rFonts w:cs="Times New Roman"/>
                <w:kern w:val="0"/>
                <w:szCs w:val="20"/>
              </w:rPr>
              <w:t>污水排放</w:t>
            </w:r>
            <w:r>
              <w:rPr>
                <w:rFonts w:hint="eastAsia" w:cs="Times New Roman"/>
                <w:kern w:val="0"/>
                <w:szCs w:val="20"/>
              </w:rPr>
              <w:t>严格</w:t>
            </w:r>
            <w:r>
              <w:rPr>
                <w:rFonts w:cs="Times New Roman"/>
                <w:kern w:val="0"/>
                <w:szCs w:val="20"/>
              </w:rPr>
              <w:t>遵守</w:t>
            </w:r>
            <w:r>
              <w:rPr>
                <w:rFonts w:hint="eastAsia" w:cs="Times New Roman"/>
                <w:kern w:val="0"/>
                <w:szCs w:val="20"/>
              </w:rPr>
              <w:t>“一企一管”的</w:t>
            </w:r>
            <w:r>
              <w:rPr>
                <w:rFonts w:cs="Times New Roman"/>
                <w:kern w:val="0"/>
                <w:szCs w:val="20"/>
              </w:rPr>
              <w:t>原则</w:t>
            </w:r>
            <w:r>
              <w:rPr>
                <w:rFonts w:hint="eastAsia" w:cs="Times New Roman"/>
                <w:kern w:val="0"/>
                <w:szCs w:val="20"/>
              </w:rPr>
              <w:t>；</w:t>
            </w:r>
          </w:p>
          <w:p w14:paraId="1FC47F46">
            <w:pPr>
              <w:pStyle w:val="445"/>
              <w:rPr>
                <w:rFonts w:cs="Times New Roman"/>
                <w:kern w:val="0"/>
                <w:szCs w:val="20"/>
              </w:rPr>
            </w:pPr>
            <w:r>
              <w:rPr>
                <w:rFonts w:cs="Times New Roman"/>
                <w:kern w:val="0"/>
                <w:szCs w:val="20"/>
              </w:rPr>
              <w:t>厂区内设置初期雨水收集池和事故水池</w:t>
            </w:r>
            <w:r>
              <w:rPr>
                <w:rFonts w:hint="eastAsia" w:cs="Times New Roman"/>
                <w:kern w:val="0"/>
                <w:szCs w:val="20"/>
              </w:rPr>
              <w:t>，保证</w:t>
            </w:r>
            <w:r>
              <w:rPr>
                <w:rFonts w:cs="Times New Roman"/>
                <w:kern w:val="0"/>
                <w:szCs w:val="20"/>
              </w:rPr>
              <w:t>初期雨水、事故废水应全部进行有效收集处理</w:t>
            </w:r>
            <w:r>
              <w:rPr>
                <w:rFonts w:hint="eastAsia" w:cs="Times New Roman"/>
                <w:kern w:val="0"/>
                <w:szCs w:val="20"/>
              </w:rPr>
              <w:t>。</w:t>
            </w:r>
          </w:p>
        </w:tc>
        <w:tc>
          <w:tcPr>
            <w:tcW w:w="282" w:type="pct"/>
            <w:vAlign w:val="center"/>
          </w:tcPr>
          <w:p w14:paraId="50535135">
            <w:pPr>
              <w:pStyle w:val="445"/>
              <w:rPr>
                <w:rFonts w:cs="Times New Roman"/>
                <w:kern w:val="0"/>
                <w:szCs w:val="20"/>
              </w:rPr>
            </w:pPr>
            <w:r>
              <w:rPr>
                <w:rFonts w:hint="eastAsia" w:cs="Times New Roman"/>
                <w:kern w:val="0"/>
                <w:szCs w:val="20"/>
              </w:rPr>
              <w:t>符合</w:t>
            </w:r>
          </w:p>
        </w:tc>
      </w:tr>
      <w:tr w14:paraId="60BFB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vAlign w:val="center"/>
          </w:tcPr>
          <w:p w14:paraId="0C64D1F8">
            <w:pPr>
              <w:pStyle w:val="445"/>
              <w:rPr>
                <w:rFonts w:cs="Times New Roman"/>
                <w:kern w:val="0"/>
                <w:szCs w:val="20"/>
              </w:rPr>
            </w:pPr>
          </w:p>
        </w:tc>
        <w:tc>
          <w:tcPr>
            <w:tcW w:w="2912" w:type="pct"/>
            <w:gridSpan w:val="2"/>
            <w:vAlign w:val="center"/>
          </w:tcPr>
          <w:p w14:paraId="12D7D7D6">
            <w:pPr>
              <w:pStyle w:val="445"/>
              <w:rPr>
                <w:rFonts w:cs="Times New Roman"/>
                <w:kern w:val="0"/>
                <w:szCs w:val="20"/>
              </w:rPr>
            </w:pPr>
            <w:r>
              <w:rPr>
                <w:rFonts w:hint="eastAsia" w:cs="Times New Roman"/>
                <w:kern w:val="0"/>
                <w:szCs w:val="20"/>
              </w:rPr>
              <w:t>入区</w:t>
            </w:r>
            <w:r>
              <w:rPr>
                <w:rFonts w:cs="Times New Roman"/>
                <w:kern w:val="0"/>
                <w:szCs w:val="20"/>
              </w:rPr>
              <w:t>企业要在产业基地环境风险应急处置框架下，</w:t>
            </w:r>
            <w:r>
              <w:rPr>
                <w:rFonts w:hint="eastAsia" w:cs="Times New Roman"/>
                <w:kern w:val="0"/>
                <w:szCs w:val="20"/>
              </w:rPr>
              <w:t>制定</w:t>
            </w:r>
            <w:r>
              <w:rPr>
                <w:rFonts w:cs="Times New Roman"/>
                <w:kern w:val="0"/>
                <w:szCs w:val="20"/>
              </w:rPr>
              <w:t>环境风险应急预案，在具体</w:t>
            </w:r>
            <w:r>
              <w:rPr>
                <w:rFonts w:hint="eastAsia" w:cs="Times New Roman"/>
                <w:kern w:val="0"/>
                <w:szCs w:val="20"/>
              </w:rPr>
              <w:t>项目</w:t>
            </w:r>
            <w:r>
              <w:rPr>
                <w:rFonts w:cs="Times New Roman"/>
                <w:kern w:val="0"/>
                <w:szCs w:val="20"/>
              </w:rPr>
              <w:t>建设中细化落实</w:t>
            </w:r>
            <w:r>
              <w:rPr>
                <w:rFonts w:hint="eastAsia" w:cs="Times New Roman"/>
                <w:kern w:val="0"/>
                <w:szCs w:val="20"/>
              </w:rPr>
              <w:t>。建立</w:t>
            </w:r>
            <w:r>
              <w:rPr>
                <w:rFonts w:cs="Times New Roman"/>
                <w:kern w:val="0"/>
                <w:szCs w:val="20"/>
              </w:rPr>
              <w:t>完善的</w:t>
            </w:r>
            <w:r>
              <w:rPr>
                <w:rFonts w:hint="eastAsia" w:cs="Times New Roman"/>
                <w:kern w:val="0"/>
                <w:szCs w:val="20"/>
              </w:rPr>
              <w:t>环境</w:t>
            </w:r>
            <w:r>
              <w:rPr>
                <w:rFonts w:cs="Times New Roman"/>
                <w:kern w:val="0"/>
                <w:szCs w:val="20"/>
              </w:rPr>
              <w:t>风险防控</w:t>
            </w:r>
            <w:r>
              <w:rPr>
                <w:rFonts w:hint="eastAsia" w:cs="Times New Roman"/>
                <w:kern w:val="0"/>
                <w:szCs w:val="20"/>
              </w:rPr>
              <w:t>设施</w:t>
            </w:r>
            <w:r>
              <w:rPr>
                <w:rFonts w:cs="Times New Roman"/>
                <w:kern w:val="0"/>
                <w:szCs w:val="20"/>
              </w:rPr>
              <w:t>和有效的拦截、降污、导流等措施，确保污水和初期雨水在任何情况下不直接排入地表水体，以及在事故状态下有效阻隔产业基地与外部水体的水力联系。</w:t>
            </w:r>
          </w:p>
        </w:tc>
        <w:tc>
          <w:tcPr>
            <w:tcW w:w="1307" w:type="pct"/>
            <w:vAlign w:val="center"/>
          </w:tcPr>
          <w:p w14:paraId="7D7FDDD1">
            <w:pPr>
              <w:pStyle w:val="445"/>
              <w:rPr>
                <w:rFonts w:cs="Times New Roman"/>
                <w:kern w:val="0"/>
                <w:szCs w:val="20"/>
              </w:rPr>
            </w:pPr>
            <w:r>
              <w:rPr>
                <w:rFonts w:hint="eastAsia" w:cs="Times New Roman"/>
                <w:kern w:val="0"/>
                <w:szCs w:val="20"/>
              </w:rPr>
              <w:t>本项目建成后</w:t>
            </w:r>
            <w:r>
              <w:rPr>
                <w:rFonts w:cs="Times New Roman"/>
                <w:kern w:val="0"/>
                <w:szCs w:val="20"/>
              </w:rPr>
              <w:t>将按要求</w:t>
            </w:r>
            <w:r>
              <w:rPr>
                <w:rFonts w:hint="eastAsia" w:cs="Times New Roman"/>
                <w:kern w:val="0"/>
                <w:szCs w:val="20"/>
              </w:rPr>
              <w:t>编制</w:t>
            </w:r>
            <w:r>
              <w:rPr>
                <w:rFonts w:cs="Times New Roman"/>
                <w:kern w:val="0"/>
                <w:szCs w:val="20"/>
              </w:rPr>
              <w:t>突发环境事件应急预案，</w:t>
            </w:r>
            <w:r>
              <w:rPr>
                <w:rFonts w:hint="eastAsia" w:cs="Times New Roman"/>
                <w:kern w:val="0"/>
                <w:szCs w:val="20"/>
              </w:rPr>
              <w:t>本项目各类</w:t>
            </w:r>
            <w:r>
              <w:rPr>
                <w:rFonts w:cs="Times New Roman"/>
                <w:kern w:val="0"/>
                <w:szCs w:val="20"/>
              </w:rPr>
              <w:t>废水均</w:t>
            </w:r>
            <w:r>
              <w:rPr>
                <w:rFonts w:hint="eastAsia" w:cs="Times New Roman"/>
                <w:kern w:val="0"/>
                <w:szCs w:val="20"/>
              </w:rPr>
              <w:t>收集</w:t>
            </w:r>
            <w:r>
              <w:rPr>
                <w:rFonts w:cs="Times New Roman"/>
                <w:kern w:val="0"/>
                <w:szCs w:val="20"/>
              </w:rPr>
              <w:t>处置达标后接管</w:t>
            </w:r>
            <w:r>
              <w:rPr>
                <w:rFonts w:hint="eastAsia" w:cs="Times New Roman"/>
                <w:kern w:val="0"/>
                <w:szCs w:val="20"/>
              </w:rPr>
              <w:t>沫河口</w:t>
            </w:r>
            <w:r>
              <w:rPr>
                <w:rFonts w:cs="Times New Roman"/>
                <w:kern w:val="0"/>
                <w:szCs w:val="20"/>
              </w:rPr>
              <w:t>污水处理厂，本项目环境风险评价中提出了三级防控体系，同时提出来初期雨水和事故废水在任何情况下不得直接外排到地表水体的控制要求</w:t>
            </w:r>
            <w:r>
              <w:rPr>
                <w:rFonts w:hint="eastAsia" w:cs="Times New Roman"/>
                <w:kern w:val="0"/>
                <w:szCs w:val="20"/>
              </w:rPr>
              <w:t>。</w:t>
            </w:r>
          </w:p>
        </w:tc>
        <w:tc>
          <w:tcPr>
            <w:tcW w:w="282" w:type="pct"/>
            <w:vAlign w:val="center"/>
          </w:tcPr>
          <w:p w14:paraId="2D6D9A28">
            <w:pPr>
              <w:pStyle w:val="445"/>
              <w:rPr>
                <w:rFonts w:cs="Times New Roman"/>
                <w:kern w:val="0"/>
                <w:szCs w:val="20"/>
              </w:rPr>
            </w:pPr>
            <w:r>
              <w:rPr>
                <w:rFonts w:hint="eastAsia" w:cs="Times New Roman"/>
                <w:kern w:val="0"/>
                <w:szCs w:val="20"/>
              </w:rPr>
              <w:t>符合</w:t>
            </w:r>
          </w:p>
        </w:tc>
      </w:tr>
    </w:tbl>
    <w:p w14:paraId="1D959B2A">
      <w:pPr>
        <w:ind w:firstLine="480"/>
        <w:sectPr>
          <w:pgSz w:w="16838" w:h="11906" w:orient="landscape"/>
          <w:pgMar w:top="1440" w:right="1440" w:bottom="1440" w:left="1440" w:header="851" w:footer="992" w:gutter="0"/>
          <w:cols w:space="425" w:num="1"/>
          <w:docGrid w:type="lines" w:linePitch="326" w:charSpace="0"/>
        </w:sectPr>
      </w:pPr>
    </w:p>
    <w:p w14:paraId="7701C01E">
      <w:pPr>
        <w:pStyle w:val="4068"/>
        <w:rPr>
          <w:color w:val="000000" w:themeColor="text1"/>
          <w14:textFill>
            <w14:solidFill>
              <w14:schemeClr w14:val="tx1"/>
            </w14:solidFill>
          </w14:textFill>
        </w:rPr>
      </w:pPr>
      <w:bookmarkStart w:id="58" w:name="_Toc108662562"/>
      <w:bookmarkStart w:id="59" w:name="_Toc101135799"/>
      <w:r>
        <w:rPr>
          <w:rFonts w:hint="eastAsia"/>
        </w:rPr>
        <w:t>2.5.</w:t>
      </w:r>
      <w:r>
        <w:t>2</w:t>
      </w:r>
      <w:r>
        <w:rPr>
          <w:rFonts w:hint="eastAsia"/>
        </w:rPr>
        <w:t>相关政策</w:t>
      </w:r>
      <w:r>
        <w:t>相符性分析</w:t>
      </w:r>
      <w:bookmarkEnd w:id="58"/>
      <w:bookmarkEnd w:id="59"/>
    </w:p>
    <w:p w14:paraId="4092ADF7">
      <w:pPr>
        <w:ind w:firstLine="480"/>
        <w:rPr>
          <w:szCs w:val="24"/>
        </w:rPr>
        <w:sectPr>
          <w:pgSz w:w="11906" w:h="16838"/>
          <w:pgMar w:top="1440" w:right="1440" w:bottom="1440" w:left="1440" w:header="851" w:footer="992" w:gutter="0"/>
          <w:cols w:space="425" w:num="1"/>
          <w:docGrid w:type="lines" w:linePitch="326" w:charSpace="0"/>
        </w:sectPr>
      </w:pPr>
      <w:r>
        <w:rPr>
          <w:rFonts w:hint="eastAsia"/>
          <w:color w:val="000000" w:themeColor="text1"/>
          <w:szCs w:val="24"/>
          <w14:textFill>
            <w14:solidFill>
              <w14:schemeClr w14:val="tx1"/>
            </w14:solidFill>
          </w14:textFill>
        </w:rPr>
        <w:t>对照《</w:t>
      </w:r>
      <w:r>
        <w:t>安徽省环保厅关于进一步明确淮河巢湖流域重污染行业项目省级环保预审范围及内容的通知</w:t>
      </w:r>
      <w:r>
        <w:rPr>
          <w:rFonts w:hint="eastAsia"/>
        </w:rPr>
        <w:t>》</w:t>
      </w:r>
      <w:r>
        <w:t>、</w:t>
      </w:r>
      <w:r>
        <w:rPr>
          <w:rFonts w:hint="eastAsia"/>
        </w:rPr>
        <w:t>《安徽省淮河流域水污染防治条例》</w:t>
      </w:r>
      <w:r>
        <w:rPr>
          <w:kern w:val="0"/>
          <w:szCs w:val="20"/>
        </w:rPr>
        <w:t>、</w:t>
      </w:r>
      <w:r>
        <w:t>《</w:t>
      </w:r>
      <w:r>
        <w:rPr>
          <w:rFonts w:hint="eastAsia"/>
        </w:rPr>
        <w:t>安徽省生态环境厅关于加强化工行业建设项目环境管理的通知</w:t>
      </w:r>
      <w:r>
        <w:t>》</w:t>
      </w:r>
      <w:r>
        <w:rPr>
          <w:rFonts w:hint="eastAsia"/>
        </w:rPr>
        <w:t>、《</w:t>
      </w:r>
      <w:r>
        <w:t>关于</w:t>
      </w:r>
      <w:r>
        <w:rPr>
          <w:rFonts w:hint="eastAsia"/>
        </w:rPr>
        <w:t>进一步规范</w:t>
      </w:r>
      <w:r>
        <w:t>化工项目建设管理的通知</w:t>
      </w:r>
      <w:r>
        <w:rPr>
          <w:rFonts w:hint="eastAsia"/>
        </w:rPr>
        <w:t>》、《重点行业挥发性有机物综合治理方案》、</w:t>
      </w:r>
      <w:r>
        <w:rPr>
          <w:rFonts w:hint="eastAsia" w:cs="Times New Roman"/>
          <w:szCs w:val="24"/>
        </w:rPr>
        <w:t>《</w:t>
      </w:r>
      <w:r>
        <w:rPr>
          <w:rFonts w:hint="eastAsia"/>
        </w:rPr>
        <w:t>安徽省节能减排及应对气候变化工作领导小组办公室</w:t>
      </w:r>
      <w:r>
        <w:rPr>
          <w:rFonts w:hint="eastAsia" w:cs="Times New Roman"/>
          <w:szCs w:val="24"/>
        </w:rPr>
        <w:t>关于印发安徽省</w:t>
      </w:r>
      <w:r>
        <w:rPr>
          <w:rFonts w:cs="Times New Roman"/>
          <w:szCs w:val="24"/>
        </w:rPr>
        <w:t>“</w:t>
      </w:r>
      <w:r>
        <w:rPr>
          <w:rFonts w:hint="eastAsia" w:cs="Times New Roman"/>
          <w:szCs w:val="24"/>
        </w:rPr>
        <w:t>两高</w:t>
      </w:r>
      <w:r>
        <w:rPr>
          <w:rFonts w:cs="Times New Roman"/>
          <w:szCs w:val="24"/>
        </w:rPr>
        <w:t>”</w:t>
      </w:r>
      <w:r>
        <w:rPr>
          <w:rFonts w:hint="eastAsia" w:cs="Times New Roman"/>
          <w:szCs w:val="24"/>
        </w:rPr>
        <w:t>项目</w:t>
      </w:r>
      <w:r>
        <w:rPr>
          <w:rFonts w:cs="Times New Roman"/>
          <w:szCs w:val="24"/>
        </w:rPr>
        <w:t>管理目录（</w:t>
      </w:r>
      <w:r>
        <w:rPr>
          <w:rFonts w:hint="eastAsia" w:cs="Times New Roman"/>
          <w:szCs w:val="24"/>
        </w:rPr>
        <w:t>试行</w:t>
      </w:r>
      <w:r>
        <w:rPr>
          <w:rFonts w:cs="Times New Roman"/>
          <w:szCs w:val="24"/>
        </w:rPr>
        <w:t>）</w:t>
      </w:r>
      <w:r>
        <w:rPr>
          <w:rFonts w:hint="eastAsia" w:cs="Times New Roman"/>
          <w:szCs w:val="24"/>
        </w:rPr>
        <w:t>通知》</w:t>
      </w:r>
      <w:r>
        <w:rPr>
          <w:rFonts w:hint="eastAsia"/>
        </w:rPr>
        <w:t>和《</w:t>
      </w:r>
      <w:r>
        <w:rPr>
          <w:rFonts w:hint="eastAsia" w:cs="Times New Roman"/>
          <w:kern w:val="0"/>
          <w:szCs w:val="20"/>
        </w:rPr>
        <w:t>关于印发蚌埠市化工园区项目准入条件（试行）的通知》</w:t>
      </w:r>
      <w:r>
        <w:rPr>
          <w:rFonts w:hint="eastAsia"/>
          <w:color w:val="000000" w:themeColor="text1"/>
          <w:szCs w:val="24"/>
          <w14:textFill>
            <w14:solidFill>
              <w14:schemeClr w14:val="tx1"/>
            </w14:solidFill>
          </w14:textFill>
        </w:rPr>
        <w:t>等相关政策</w:t>
      </w:r>
      <w:r>
        <w:rPr>
          <w:color w:val="000000" w:themeColor="text1"/>
          <w:szCs w:val="24"/>
          <w14:textFill>
            <w14:solidFill>
              <w14:schemeClr w14:val="tx1"/>
            </w14:solidFill>
          </w14:textFill>
        </w:rPr>
        <w:t>要</w:t>
      </w:r>
      <w:r>
        <w:rPr>
          <w:szCs w:val="24"/>
        </w:rPr>
        <w:t>求，本项目</w:t>
      </w:r>
      <w:r>
        <w:rPr>
          <w:rFonts w:hint="eastAsia"/>
          <w:szCs w:val="24"/>
        </w:rPr>
        <w:t>的</w:t>
      </w:r>
      <w:r>
        <w:rPr>
          <w:szCs w:val="24"/>
        </w:rPr>
        <w:t>政策相符性分析汇总见表2.5.</w:t>
      </w:r>
      <w:r>
        <w:rPr>
          <w:color w:val="000000" w:themeColor="text1"/>
          <w:szCs w:val="24"/>
          <w14:textFill>
            <w14:solidFill>
              <w14:schemeClr w14:val="tx1"/>
            </w14:solidFill>
          </w14:textFill>
        </w:rPr>
        <w:t>2</w:t>
      </w:r>
      <w:r>
        <w:rPr>
          <w:szCs w:val="24"/>
        </w:rPr>
        <w:t>-1</w:t>
      </w:r>
      <w:r>
        <w:rPr>
          <w:rFonts w:hint="eastAsia"/>
          <w:szCs w:val="24"/>
        </w:rPr>
        <w:t>。</w:t>
      </w:r>
    </w:p>
    <w:p w14:paraId="0430F460">
      <w:pPr>
        <w:pStyle w:val="278"/>
      </w:pPr>
      <w:r>
        <w:t>表2.5.2-1  项目实施的政策相符性分析一览表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840"/>
        <w:gridCol w:w="5108"/>
        <w:gridCol w:w="5534"/>
        <w:gridCol w:w="1023"/>
      </w:tblGrid>
      <w:tr w14:paraId="694E3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651BB315">
            <w:pPr>
              <w:pStyle w:val="445"/>
              <w:rPr>
                <w:rFonts w:cs="Times New Roman"/>
                <w:kern w:val="0"/>
                <w:szCs w:val="20"/>
              </w:rPr>
            </w:pPr>
            <w:r>
              <w:rPr>
                <w:rFonts w:cs="Times New Roman"/>
                <w:kern w:val="0"/>
                <w:szCs w:val="20"/>
              </w:rPr>
              <w:t>序号</w:t>
            </w:r>
          </w:p>
        </w:tc>
        <w:tc>
          <w:tcPr>
            <w:tcW w:w="649" w:type="pct"/>
            <w:vAlign w:val="center"/>
          </w:tcPr>
          <w:p w14:paraId="72B20CE9">
            <w:pPr>
              <w:pStyle w:val="445"/>
              <w:rPr>
                <w:rFonts w:cs="Times New Roman"/>
                <w:kern w:val="0"/>
                <w:szCs w:val="20"/>
              </w:rPr>
            </w:pPr>
            <w:r>
              <w:rPr>
                <w:rFonts w:cs="Times New Roman"/>
                <w:kern w:val="0"/>
                <w:szCs w:val="20"/>
              </w:rPr>
              <w:t>政策名称</w:t>
            </w:r>
          </w:p>
        </w:tc>
        <w:tc>
          <w:tcPr>
            <w:tcW w:w="1802" w:type="pct"/>
            <w:vAlign w:val="center"/>
          </w:tcPr>
          <w:p w14:paraId="33A63025">
            <w:pPr>
              <w:pStyle w:val="445"/>
              <w:rPr>
                <w:rFonts w:cs="Times New Roman"/>
                <w:kern w:val="0"/>
                <w:szCs w:val="20"/>
              </w:rPr>
            </w:pPr>
            <w:r>
              <w:rPr>
                <w:rFonts w:cs="Times New Roman"/>
                <w:kern w:val="0"/>
                <w:szCs w:val="20"/>
              </w:rPr>
              <w:t>相关要求</w:t>
            </w:r>
          </w:p>
        </w:tc>
        <w:tc>
          <w:tcPr>
            <w:tcW w:w="1952" w:type="pct"/>
            <w:vAlign w:val="center"/>
          </w:tcPr>
          <w:p w14:paraId="0991CBB1">
            <w:pPr>
              <w:pStyle w:val="445"/>
              <w:rPr>
                <w:rFonts w:cs="Times New Roman"/>
                <w:kern w:val="0"/>
                <w:szCs w:val="20"/>
              </w:rPr>
            </w:pPr>
            <w:r>
              <w:rPr>
                <w:rFonts w:cs="Times New Roman"/>
                <w:kern w:val="0"/>
                <w:szCs w:val="20"/>
              </w:rPr>
              <w:t>符合性分析</w:t>
            </w:r>
          </w:p>
        </w:tc>
        <w:tc>
          <w:tcPr>
            <w:tcW w:w="361" w:type="pct"/>
            <w:vAlign w:val="center"/>
          </w:tcPr>
          <w:p w14:paraId="39400D62">
            <w:pPr>
              <w:pStyle w:val="445"/>
              <w:rPr>
                <w:rFonts w:cs="Times New Roman"/>
                <w:kern w:val="0"/>
                <w:szCs w:val="20"/>
              </w:rPr>
            </w:pPr>
            <w:r>
              <w:rPr>
                <w:rFonts w:hint="eastAsia" w:cs="Times New Roman"/>
                <w:kern w:val="0"/>
                <w:szCs w:val="20"/>
              </w:rPr>
              <w:t>分析结果</w:t>
            </w:r>
          </w:p>
        </w:tc>
      </w:tr>
      <w:tr w14:paraId="319810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restart"/>
            <w:vAlign w:val="center"/>
          </w:tcPr>
          <w:p w14:paraId="78D68C0D">
            <w:pPr>
              <w:pStyle w:val="445"/>
              <w:rPr>
                <w:rFonts w:cs="Times New Roman"/>
                <w:kern w:val="0"/>
                <w:szCs w:val="20"/>
              </w:rPr>
            </w:pPr>
            <w:r>
              <w:rPr>
                <w:rFonts w:hint="eastAsia" w:cs="Times New Roman"/>
                <w:kern w:val="0"/>
                <w:szCs w:val="20"/>
              </w:rPr>
              <w:t>1</w:t>
            </w:r>
          </w:p>
        </w:tc>
        <w:tc>
          <w:tcPr>
            <w:tcW w:w="649" w:type="pct"/>
            <w:vMerge w:val="restart"/>
            <w:vAlign w:val="center"/>
          </w:tcPr>
          <w:p w14:paraId="59C7B73F">
            <w:pPr>
              <w:pStyle w:val="445"/>
              <w:rPr>
                <w:rFonts w:cs="Times New Roman"/>
                <w:kern w:val="0"/>
                <w:szCs w:val="20"/>
              </w:rPr>
            </w:pPr>
            <w:r>
              <w:rPr>
                <w:rFonts w:cs="Times New Roman"/>
                <w:kern w:val="0"/>
                <w:szCs w:val="20"/>
              </w:rPr>
              <w:t>《</w:t>
            </w:r>
            <w:r>
              <w:rPr>
                <w:rFonts w:hint="eastAsia" w:cs="Times New Roman"/>
                <w:kern w:val="0"/>
                <w:szCs w:val="20"/>
              </w:rPr>
              <w:t>安徽省生态环境厅关于加强化工行业建设项目环境管理的通知</w:t>
            </w:r>
            <w:r>
              <w:rPr>
                <w:rFonts w:cs="Times New Roman"/>
                <w:kern w:val="0"/>
                <w:szCs w:val="20"/>
              </w:rPr>
              <w:t>》</w:t>
            </w:r>
            <w:r>
              <w:rPr>
                <w:rFonts w:cs="Times New Roman"/>
                <w:kern w:val="0"/>
                <w:szCs w:val="24"/>
              </w:rPr>
              <w:t>皖政办〔2020〕73号</w:t>
            </w:r>
          </w:p>
        </w:tc>
        <w:tc>
          <w:tcPr>
            <w:tcW w:w="1802" w:type="pct"/>
            <w:vAlign w:val="center"/>
          </w:tcPr>
          <w:p w14:paraId="3C762739">
            <w:pPr>
              <w:pStyle w:val="445"/>
              <w:rPr>
                <w:rFonts w:cs="Times New Roman"/>
                <w:kern w:val="0"/>
                <w:szCs w:val="20"/>
              </w:rPr>
            </w:pPr>
            <w:r>
              <w:rPr>
                <w:rFonts w:hint="eastAsia" w:cs="Times New Roman"/>
                <w:kern w:val="0"/>
                <w:szCs w:val="20"/>
              </w:rPr>
              <w:t>按照有关法律法规和政策性文件要求，禁止在淮</w:t>
            </w:r>
          </w:p>
          <w:p w14:paraId="1BCB8E0D">
            <w:pPr>
              <w:pStyle w:val="445"/>
              <w:rPr>
                <w:rFonts w:cs="Times New Roman"/>
                <w:kern w:val="0"/>
                <w:szCs w:val="20"/>
              </w:rPr>
            </w:pPr>
            <w:r>
              <w:rPr>
                <w:rFonts w:hint="eastAsia" w:cs="Times New Roman"/>
                <w:kern w:val="0"/>
                <w:szCs w:val="20"/>
              </w:rPr>
              <w:t>河、巢湖流域新建化工等水污染严重的小型项目，严格</w:t>
            </w:r>
          </w:p>
          <w:p w14:paraId="6B15421E">
            <w:pPr>
              <w:pStyle w:val="445"/>
              <w:rPr>
                <w:rFonts w:cs="Times New Roman"/>
                <w:kern w:val="0"/>
                <w:szCs w:val="20"/>
              </w:rPr>
            </w:pPr>
            <w:r>
              <w:rPr>
                <w:rFonts w:hint="eastAsia" w:cs="Times New Roman"/>
                <w:kern w:val="0"/>
                <w:szCs w:val="20"/>
              </w:rPr>
              <w:t>限制新建化工大中型项目；禁止新建《产业结构调整指</w:t>
            </w:r>
          </w:p>
          <w:p w14:paraId="299657FC">
            <w:pPr>
              <w:pStyle w:val="445"/>
              <w:rPr>
                <w:rFonts w:cs="Times New Roman"/>
                <w:kern w:val="0"/>
                <w:szCs w:val="20"/>
              </w:rPr>
            </w:pPr>
            <w:r>
              <w:rPr>
                <w:rFonts w:hint="eastAsia" w:cs="Times New Roman"/>
                <w:kern w:val="0"/>
                <w:szCs w:val="20"/>
              </w:rPr>
              <w:t>导目录》中淘汰类化工项目，严格限制高</w:t>
            </w:r>
            <w:r>
              <w:rPr>
                <w:rFonts w:cs="Times New Roman"/>
                <w:kern w:val="0"/>
                <w:szCs w:val="20"/>
              </w:rPr>
              <w:t xml:space="preserve">VOCs </w:t>
            </w:r>
            <w:r>
              <w:rPr>
                <w:rFonts w:hint="eastAsia" w:cs="Times New Roman"/>
                <w:kern w:val="0"/>
                <w:szCs w:val="20"/>
              </w:rPr>
              <w:t>排放化</w:t>
            </w:r>
          </w:p>
          <w:p w14:paraId="07BA255C">
            <w:pPr>
              <w:pStyle w:val="445"/>
              <w:rPr>
                <w:rFonts w:cs="Times New Roman"/>
                <w:kern w:val="0"/>
                <w:szCs w:val="20"/>
              </w:rPr>
            </w:pPr>
            <w:r>
              <w:rPr>
                <w:rFonts w:hint="eastAsia" w:cs="Times New Roman"/>
                <w:kern w:val="0"/>
                <w:szCs w:val="20"/>
              </w:rPr>
              <w:t>工项目，不得新建未纳入《石化产业规划布局方案》的</w:t>
            </w:r>
          </w:p>
          <w:p w14:paraId="0B37E07D">
            <w:pPr>
              <w:pStyle w:val="445"/>
              <w:rPr>
                <w:rFonts w:cs="Times New Roman"/>
                <w:kern w:val="0"/>
                <w:szCs w:val="20"/>
              </w:rPr>
            </w:pPr>
            <w:r>
              <w:rPr>
                <w:rFonts w:hint="eastAsia" w:cs="Times New Roman"/>
                <w:kern w:val="0"/>
                <w:szCs w:val="20"/>
              </w:rPr>
              <w:t>炼化项目。新建化工项目必须进入规范化工园区，并符</w:t>
            </w:r>
          </w:p>
          <w:p w14:paraId="79ABD95F">
            <w:pPr>
              <w:pStyle w:val="445"/>
              <w:rPr>
                <w:rFonts w:cs="Times New Roman"/>
                <w:kern w:val="0"/>
                <w:szCs w:val="20"/>
              </w:rPr>
            </w:pPr>
            <w:r>
              <w:rPr>
                <w:rFonts w:hint="eastAsia" w:cs="Times New Roman"/>
                <w:kern w:val="0"/>
                <w:szCs w:val="20"/>
              </w:rPr>
              <w:t>合园区规划及规划环评要求，与</w:t>
            </w:r>
            <w:r>
              <w:rPr>
                <w:rFonts w:cs="Times New Roman"/>
                <w:kern w:val="0"/>
                <w:szCs w:val="20"/>
              </w:rPr>
              <w:t>“</w:t>
            </w:r>
            <w:r>
              <w:rPr>
                <w:rFonts w:hint="eastAsia" w:cs="Times New Roman"/>
                <w:kern w:val="0"/>
                <w:szCs w:val="20"/>
              </w:rPr>
              <w:t>三线一单</w:t>
            </w:r>
            <w:r>
              <w:rPr>
                <w:rFonts w:cs="Times New Roman"/>
                <w:kern w:val="0"/>
                <w:szCs w:val="20"/>
              </w:rPr>
              <w:t>”</w:t>
            </w:r>
            <w:r>
              <w:rPr>
                <w:rFonts w:hint="eastAsia" w:cs="Times New Roman"/>
                <w:kern w:val="0"/>
                <w:szCs w:val="20"/>
              </w:rPr>
              <w:t>成果相协</w:t>
            </w:r>
          </w:p>
          <w:p w14:paraId="50BF1A08">
            <w:pPr>
              <w:pStyle w:val="445"/>
              <w:rPr>
                <w:rFonts w:cs="Times New Roman"/>
                <w:kern w:val="0"/>
                <w:szCs w:val="20"/>
              </w:rPr>
            </w:pPr>
            <w:r>
              <w:rPr>
                <w:rFonts w:hint="eastAsia" w:cs="Times New Roman"/>
                <w:kern w:val="0"/>
                <w:szCs w:val="20"/>
              </w:rPr>
              <w:t>调；</w:t>
            </w:r>
          </w:p>
          <w:p w14:paraId="28382677">
            <w:pPr>
              <w:pStyle w:val="445"/>
              <w:rPr>
                <w:rFonts w:cs="Times New Roman"/>
                <w:kern w:val="0"/>
                <w:szCs w:val="20"/>
              </w:rPr>
            </w:pPr>
            <w:r>
              <w:rPr>
                <w:rFonts w:hint="eastAsia" w:cs="Times New Roman"/>
                <w:kern w:val="0"/>
                <w:szCs w:val="20"/>
              </w:rPr>
              <w:t>在居民集中区、医院和学校附近，禁止新建或</w:t>
            </w:r>
          </w:p>
          <w:p w14:paraId="5DCDD4B6">
            <w:pPr>
              <w:pStyle w:val="445"/>
              <w:rPr>
                <w:rFonts w:cs="Times New Roman"/>
                <w:kern w:val="0"/>
                <w:szCs w:val="20"/>
              </w:rPr>
            </w:pPr>
            <w:r>
              <w:rPr>
                <w:rFonts w:hint="eastAsia" w:cs="Times New Roman"/>
                <w:kern w:val="0"/>
                <w:szCs w:val="20"/>
              </w:rPr>
              <w:t>扩建可能引发环境风险的化工项目。</w:t>
            </w:r>
          </w:p>
        </w:tc>
        <w:tc>
          <w:tcPr>
            <w:tcW w:w="1952" w:type="pct"/>
            <w:vAlign w:val="center"/>
          </w:tcPr>
          <w:p w14:paraId="2EE4A3CF">
            <w:pPr>
              <w:pStyle w:val="445"/>
              <w:rPr>
                <w:rFonts w:cs="Times New Roman"/>
                <w:kern w:val="0"/>
                <w:szCs w:val="20"/>
              </w:rPr>
            </w:pPr>
            <w:r>
              <w:rPr>
                <w:rFonts w:hint="eastAsia" w:cs="Times New Roman"/>
                <w:kern w:val="0"/>
                <w:szCs w:val="20"/>
              </w:rPr>
              <w:t>本项目位于</w:t>
            </w:r>
            <w:r>
              <w:rPr>
                <w:rFonts w:cs="Times New Roman"/>
                <w:kern w:val="0"/>
                <w:szCs w:val="20"/>
              </w:rPr>
              <w:t>已</w:t>
            </w:r>
            <w:r>
              <w:rPr>
                <w:rFonts w:hint="eastAsia" w:cs="Times New Roman"/>
                <w:kern w:val="0"/>
                <w:szCs w:val="20"/>
              </w:rPr>
              <w:t>经</w:t>
            </w:r>
            <w:r>
              <w:rPr>
                <w:rFonts w:cs="Times New Roman"/>
                <w:kern w:val="0"/>
                <w:szCs w:val="20"/>
              </w:rPr>
              <w:t>规划</w:t>
            </w:r>
            <w:r>
              <w:rPr>
                <w:rFonts w:hint="eastAsia" w:cs="Times New Roman"/>
                <w:kern w:val="0"/>
                <w:szCs w:val="20"/>
              </w:rPr>
              <w:t>的蚌埠精细化工高新技术产业基地内</w:t>
            </w:r>
            <w:r>
              <w:rPr>
                <w:rFonts w:cs="Times New Roman"/>
                <w:kern w:val="0"/>
                <w:szCs w:val="20"/>
              </w:rPr>
              <w:t>，</w:t>
            </w:r>
            <w:r>
              <w:rPr>
                <w:rFonts w:hint="eastAsia" w:cs="Times New Roman"/>
                <w:kern w:val="0"/>
                <w:szCs w:val="20"/>
              </w:rPr>
              <w:t>不属于《产业结构调整指导目录》中淘汰类化工项目。</w:t>
            </w:r>
          </w:p>
          <w:p w14:paraId="75091D05">
            <w:pPr>
              <w:pStyle w:val="445"/>
              <w:rPr>
                <w:rFonts w:cs="Times New Roman"/>
                <w:kern w:val="0"/>
                <w:szCs w:val="20"/>
              </w:rPr>
            </w:pPr>
            <w:r>
              <w:rPr>
                <w:rFonts w:hint="eastAsia" w:cs="Times New Roman"/>
                <w:kern w:val="0"/>
                <w:szCs w:val="20"/>
              </w:rPr>
              <w:t>项目</w:t>
            </w:r>
            <w:r>
              <w:rPr>
                <w:rFonts w:cs="Times New Roman"/>
                <w:kern w:val="0"/>
                <w:szCs w:val="20"/>
              </w:rPr>
              <w:t>符合</w:t>
            </w:r>
            <w:r>
              <w:rPr>
                <w:rFonts w:hint="eastAsia" w:cs="Times New Roman"/>
                <w:kern w:val="0"/>
                <w:szCs w:val="20"/>
              </w:rPr>
              <w:t>《蚌埠精细化工高新技术产业基地规划（2021-</w:t>
            </w:r>
            <w:r>
              <w:rPr>
                <w:rFonts w:cs="Times New Roman"/>
                <w:kern w:val="0"/>
                <w:szCs w:val="20"/>
              </w:rPr>
              <w:t>2035</w:t>
            </w:r>
            <w:r>
              <w:rPr>
                <w:rFonts w:hint="eastAsia" w:cs="Times New Roman"/>
                <w:kern w:val="0"/>
                <w:szCs w:val="20"/>
              </w:rPr>
              <w:t>）环境影响报告书》及审查意见和“三线</w:t>
            </w:r>
            <w:r>
              <w:rPr>
                <w:rFonts w:cs="Times New Roman"/>
                <w:kern w:val="0"/>
                <w:szCs w:val="20"/>
              </w:rPr>
              <w:t>一单</w:t>
            </w:r>
            <w:r>
              <w:rPr>
                <w:rFonts w:hint="eastAsia" w:cs="Times New Roman"/>
                <w:kern w:val="0"/>
                <w:szCs w:val="20"/>
              </w:rPr>
              <w:t>”等相关要求。</w:t>
            </w:r>
          </w:p>
          <w:p w14:paraId="3C662861">
            <w:pPr>
              <w:pStyle w:val="445"/>
              <w:rPr>
                <w:rFonts w:cs="Times New Roman"/>
                <w:kern w:val="0"/>
                <w:szCs w:val="20"/>
              </w:rPr>
            </w:pPr>
            <w:r>
              <w:rPr>
                <w:rFonts w:hint="eastAsia" w:cs="Times New Roman"/>
                <w:kern w:val="0"/>
                <w:szCs w:val="20"/>
              </w:rPr>
              <w:t>项目不</w:t>
            </w:r>
            <w:r>
              <w:rPr>
                <w:rFonts w:cs="Times New Roman"/>
                <w:kern w:val="0"/>
                <w:szCs w:val="20"/>
              </w:rPr>
              <w:t>位于</w:t>
            </w:r>
            <w:r>
              <w:rPr>
                <w:rFonts w:hint="eastAsia" w:cs="Times New Roman"/>
                <w:kern w:val="0"/>
                <w:szCs w:val="20"/>
              </w:rPr>
              <w:t>居民集中区、医院和学校附近。</w:t>
            </w:r>
          </w:p>
        </w:tc>
        <w:tc>
          <w:tcPr>
            <w:tcW w:w="361" w:type="pct"/>
            <w:vAlign w:val="center"/>
          </w:tcPr>
          <w:p w14:paraId="3627D80C">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635BF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0" w:hRule="atLeast"/>
        </w:trPr>
        <w:tc>
          <w:tcPr>
            <w:tcW w:w="236" w:type="pct"/>
            <w:vMerge w:val="continue"/>
            <w:vAlign w:val="center"/>
          </w:tcPr>
          <w:p w14:paraId="31C8D35A">
            <w:pPr>
              <w:pStyle w:val="445"/>
              <w:rPr>
                <w:rFonts w:cs="Times New Roman"/>
                <w:kern w:val="0"/>
                <w:szCs w:val="20"/>
              </w:rPr>
            </w:pPr>
          </w:p>
        </w:tc>
        <w:tc>
          <w:tcPr>
            <w:tcW w:w="649" w:type="pct"/>
            <w:vMerge w:val="continue"/>
            <w:vAlign w:val="center"/>
          </w:tcPr>
          <w:p w14:paraId="0060DF7E">
            <w:pPr>
              <w:pStyle w:val="445"/>
              <w:rPr>
                <w:rFonts w:cs="Times New Roman"/>
                <w:kern w:val="0"/>
                <w:szCs w:val="20"/>
              </w:rPr>
            </w:pPr>
          </w:p>
        </w:tc>
        <w:tc>
          <w:tcPr>
            <w:tcW w:w="1802" w:type="pct"/>
            <w:vAlign w:val="center"/>
          </w:tcPr>
          <w:p w14:paraId="60C70505">
            <w:pPr>
              <w:pStyle w:val="445"/>
              <w:rPr>
                <w:rFonts w:cs="Times New Roman"/>
                <w:kern w:val="0"/>
                <w:szCs w:val="20"/>
              </w:rPr>
            </w:pPr>
            <w:r>
              <w:rPr>
                <w:rFonts w:hint="eastAsia" w:cs="Times New Roman"/>
                <w:kern w:val="0"/>
                <w:szCs w:val="20"/>
              </w:rPr>
              <w:t>规范</w:t>
            </w:r>
            <w:r>
              <w:rPr>
                <w:rFonts w:cs="Times New Roman"/>
                <w:kern w:val="0"/>
                <w:szCs w:val="20"/>
              </w:rPr>
              <w:t>化工建设项目环评审批。</w:t>
            </w:r>
            <w:r>
              <w:rPr>
                <w:rFonts w:hint="eastAsia" w:cs="Times New Roman"/>
                <w:kern w:val="0"/>
                <w:szCs w:val="20"/>
              </w:rPr>
              <w:t>严格</w:t>
            </w:r>
            <w:r>
              <w:rPr>
                <w:rFonts w:cs="Times New Roman"/>
                <w:kern w:val="0"/>
                <w:szCs w:val="20"/>
              </w:rPr>
              <w:t>执行</w:t>
            </w:r>
            <w:r>
              <w:rPr>
                <w:rFonts w:hint="eastAsia" w:cs="Times New Roman"/>
                <w:kern w:val="0"/>
                <w:szCs w:val="20"/>
              </w:rPr>
              <w:t>省级预审</w:t>
            </w:r>
            <w:r>
              <w:rPr>
                <w:rFonts w:cs="Times New Roman"/>
                <w:kern w:val="0"/>
                <w:szCs w:val="20"/>
              </w:rPr>
              <w:t>。按照《</w:t>
            </w:r>
            <w:r>
              <w:rPr>
                <w:rFonts w:hint="eastAsia" w:cs="Times New Roman"/>
                <w:kern w:val="0"/>
                <w:szCs w:val="20"/>
              </w:rPr>
              <w:t>安徽省淮河流域水污染防治条例</w:t>
            </w:r>
            <w:r>
              <w:rPr>
                <w:rFonts w:cs="Times New Roman"/>
                <w:kern w:val="0"/>
                <w:szCs w:val="20"/>
              </w:rPr>
              <w:t>》</w:t>
            </w:r>
            <w:r>
              <w:rPr>
                <w:rFonts w:hint="eastAsia" w:cs="Times New Roman"/>
                <w:kern w:val="0"/>
                <w:szCs w:val="20"/>
              </w:rPr>
              <w:t>《巢湖</w:t>
            </w:r>
            <w:r>
              <w:rPr>
                <w:rFonts w:cs="Times New Roman"/>
                <w:kern w:val="0"/>
                <w:szCs w:val="20"/>
              </w:rPr>
              <w:t>流域水污染防治</w:t>
            </w:r>
            <w:r>
              <w:rPr>
                <w:rFonts w:hint="eastAsia" w:cs="Times New Roman"/>
                <w:kern w:val="0"/>
                <w:szCs w:val="20"/>
              </w:rPr>
              <w:t>条例》等</w:t>
            </w:r>
            <w:r>
              <w:rPr>
                <w:rFonts w:cs="Times New Roman"/>
                <w:kern w:val="0"/>
                <w:szCs w:val="20"/>
              </w:rPr>
              <w:t>法规要求，淮河、巢湖流域</w:t>
            </w:r>
            <w:r>
              <w:rPr>
                <w:rFonts w:hint="eastAsia" w:cs="Times New Roman"/>
                <w:kern w:val="0"/>
                <w:szCs w:val="20"/>
              </w:rPr>
              <w:t>新建</w:t>
            </w:r>
            <w:r>
              <w:rPr>
                <w:rFonts w:cs="Times New Roman"/>
                <w:kern w:val="0"/>
                <w:szCs w:val="20"/>
              </w:rPr>
              <w:t>大中型化工项目按照《</w:t>
            </w:r>
            <w:r>
              <w:rPr>
                <w:rFonts w:hint="eastAsia" w:cs="Times New Roman"/>
                <w:kern w:val="0"/>
                <w:szCs w:val="20"/>
              </w:rPr>
              <w:t>安徽省</w:t>
            </w:r>
            <w:r>
              <w:rPr>
                <w:rFonts w:cs="Times New Roman"/>
                <w:kern w:val="0"/>
                <w:szCs w:val="20"/>
              </w:rPr>
              <w:t>环保厅关于进一步明确</w:t>
            </w:r>
            <w:r>
              <w:rPr>
                <w:rFonts w:hint="eastAsia" w:cs="Times New Roman"/>
                <w:kern w:val="0"/>
                <w:szCs w:val="20"/>
              </w:rPr>
              <w:t>淮河</w:t>
            </w:r>
            <w:r>
              <w:rPr>
                <w:rFonts w:cs="Times New Roman"/>
                <w:kern w:val="0"/>
                <w:szCs w:val="20"/>
              </w:rPr>
              <w:t>巢湖流域重污染行业项目升级环保预审范围及内容的通知</w:t>
            </w:r>
            <w:r>
              <w:rPr>
                <w:rFonts w:hint="eastAsia" w:cs="Times New Roman"/>
                <w:kern w:val="0"/>
                <w:szCs w:val="20"/>
              </w:rPr>
              <w:t>》</w:t>
            </w:r>
            <w:r>
              <w:rPr>
                <w:rFonts w:cs="Times New Roman"/>
                <w:kern w:val="0"/>
                <w:szCs w:val="20"/>
              </w:rPr>
              <w:t>（</w:t>
            </w:r>
            <w:r>
              <w:rPr>
                <w:rFonts w:hint="eastAsia" w:cs="Times New Roman"/>
                <w:kern w:val="0"/>
                <w:szCs w:val="20"/>
              </w:rPr>
              <w:t>皖</w:t>
            </w:r>
            <w:r>
              <w:rPr>
                <w:rFonts w:cs="Times New Roman"/>
                <w:kern w:val="0"/>
                <w:szCs w:val="20"/>
              </w:rPr>
              <w:t>环发</w:t>
            </w:r>
            <w:r>
              <w:rPr>
                <w:rFonts w:hint="eastAsia" w:cs="Times New Roman"/>
                <w:kern w:val="0"/>
                <w:szCs w:val="20"/>
              </w:rPr>
              <w:t>[</w:t>
            </w:r>
            <w:r>
              <w:rPr>
                <w:rFonts w:cs="Times New Roman"/>
                <w:kern w:val="0"/>
                <w:szCs w:val="20"/>
              </w:rPr>
              <w:t>2013</w:t>
            </w:r>
            <w:r>
              <w:rPr>
                <w:rFonts w:hint="eastAsia" w:cs="Times New Roman"/>
                <w:kern w:val="0"/>
                <w:szCs w:val="20"/>
              </w:rPr>
              <w:t>]</w:t>
            </w:r>
            <w:r>
              <w:rPr>
                <w:rFonts w:cs="Times New Roman"/>
                <w:kern w:val="0"/>
                <w:szCs w:val="20"/>
              </w:rPr>
              <w:t>85</w:t>
            </w:r>
            <w:r>
              <w:rPr>
                <w:rFonts w:hint="eastAsia" w:cs="Times New Roman"/>
                <w:kern w:val="0"/>
                <w:szCs w:val="20"/>
              </w:rPr>
              <w:t>号</w:t>
            </w:r>
            <w:r>
              <w:rPr>
                <w:rFonts w:cs="Times New Roman"/>
                <w:kern w:val="0"/>
                <w:szCs w:val="20"/>
              </w:rPr>
              <w:t>文）</w:t>
            </w:r>
            <w:r>
              <w:rPr>
                <w:rFonts w:hint="eastAsia" w:cs="Times New Roman"/>
                <w:kern w:val="0"/>
                <w:szCs w:val="20"/>
              </w:rPr>
              <w:t>有关</w:t>
            </w:r>
            <w:r>
              <w:rPr>
                <w:rFonts w:cs="Times New Roman"/>
                <w:kern w:val="0"/>
                <w:szCs w:val="20"/>
              </w:rPr>
              <w:t>规定，</w:t>
            </w:r>
            <w:r>
              <w:rPr>
                <w:rFonts w:hint="eastAsia" w:cs="Times New Roman"/>
                <w:kern w:val="0"/>
                <w:szCs w:val="20"/>
              </w:rPr>
              <w:t>依法</w:t>
            </w:r>
            <w:r>
              <w:rPr>
                <w:rFonts w:cs="Times New Roman"/>
                <w:kern w:val="0"/>
                <w:szCs w:val="20"/>
              </w:rPr>
              <w:t>报安徽省生态环境厅开阵预审</w:t>
            </w:r>
            <w:r>
              <w:rPr>
                <w:rFonts w:hint="eastAsia" w:cs="Times New Roman"/>
                <w:kern w:val="0"/>
                <w:szCs w:val="20"/>
              </w:rPr>
              <w:t>。</w:t>
            </w:r>
            <w:r>
              <w:rPr>
                <w:rFonts w:cs="Times New Roman"/>
                <w:kern w:val="0"/>
                <w:szCs w:val="20"/>
              </w:rPr>
              <w:t>未经预审的，各地不得受理</w:t>
            </w:r>
            <w:r>
              <w:rPr>
                <w:rFonts w:hint="eastAsia" w:cs="Times New Roman"/>
                <w:kern w:val="0"/>
                <w:szCs w:val="20"/>
              </w:rPr>
              <w:t>；</w:t>
            </w:r>
          </w:p>
          <w:p w14:paraId="1F6A964E">
            <w:pPr>
              <w:pStyle w:val="445"/>
              <w:rPr>
                <w:rFonts w:cs="Times New Roman"/>
                <w:kern w:val="0"/>
                <w:szCs w:val="20"/>
              </w:rPr>
            </w:pPr>
            <w:r>
              <w:rPr>
                <w:rFonts w:hint="eastAsia" w:cs="Times New Roman"/>
                <w:kern w:val="0"/>
                <w:szCs w:val="20"/>
              </w:rPr>
              <w:t>强化</w:t>
            </w:r>
            <w:r>
              <w:rPr>
                <w:rFonts w:cs="Times New Roman"/>
                <w:kern w:val="0"/>
                <w:szCs w:val="20"/>
              </w:rPr>
              <w:t>环境风险评价。化工</w:t>
            </w:r>
            <w:r>
              <w:rPr>
                <w:rFonts w:hint="eastAsia" w:cs="Times New Roman"/>
                <w:kern w:val="0"/>
                <w:szCs w:val="20"/>
              </w:rPr>
              <w:t>项目</w:t>
            </w:r>
            <w:r>
              <w:rPr>
                <w:rFonts w:cs="Times New Roman"/>
                <w:kern w:val="0"/>
                <w:szCs w:val="20"/>
              </w:rPr>
              <w:t>环境影响评价应科学预测评价突发性</w:t>
            </w:r>
            <w:r>
              <w:rPr>
                <w:rFonts w:hint="eastAsia" w:cs="Times New Roman"/>
                <w:kern w:val="0"/>
                <w:szCs w:val="20"/>
              </w:rPr>
              <w:t>事件</w:t>
            </w:r>
            <w:r>
              <w:rPr>
                <w:rFonts w:cs="Times New Roman"/>
                <w:kern w:val="0"/>
                <w:szCs w:val="20"/>
              </w:rPr>
              <w:t>或事故可能引发的环境风险，提出合理有效的环境风险防范措施和应急措施。无环境风险评价专章的化工项目环境影响评价文件不予受理；经论证，环境风险评价内容不完善的相关建设项目环境影响评价文件不予审批。</w:t>
            </w:r>
          </w:p>
        </w:tc>
        <w:tc>
          <w:tcPr>
            <w:tcW w:w="1952" w:type="pct"/>
            <w:vAlign w:val="center"/>
          </w:tcPr>
          <w:p w14:paraId="2CC466E4">
            <w:pPr>
              <w:pStyle w:val="445"/>
              <w:rPr>
                <w:rFonts w:cs="Times New Roman"/>
                <w:kern w:val="0"/>
                <w:szCs w:val="20"/>
              </w:rPr>
            </w:pPr>
            <w:r>
              <w:rPr>
                <w:rFonts w:hint="eastAsia" w:cs="Times New Roman"/>
                <w:kern w:val="0"/>
                <w:szCs w:val="20"/>
              </w:rPr>
              <w:t>原环评</w:t>
            </w:r>
            <w:r>
              <w:rPr>
                <w:rFonts w:cs="Times New Roman"/>
                <w:kern w:val="0"/>
                <w:szCs w:val="20"/>
              </w:rPr>
              <w:t>已按要求</w:t>
            </w:r>
            <w:r>
              <w:rPr>
                <w:rFonts w:hint="eastAsia" w:cs="Times New Roman"/>
                <w:kern w:val="0"/>
                <w:szCs w:val="20"/>
              </w:rPr>
              <w:t>进行</w:t>
            </w:r>
            <w:r>
              <w:rPr>
                <w:rFonts w:cs="Times New Roman"/>
                <w:kern w:val="0"/>
                <w:szCs w:val="20"/>
              </w:rPr>
              <w:t>省级预审，已</w:t>
            </w:r>
            <w:r>
              <w:rPr>
                <w:rFonts w:hint="eastAsia" w:cs="Times New Roman"/>
                <w:kern w:val="0"/>
                <w:szCs w:val="20"/>
              </w:rPr>
              <w:t>取得《安徽省</w:t>
            </w:r>
            <w:r>
              <w:rPr>
                <w:rFonts w:cs="Times New Roman"/>
                <w:kern w:val="0"/>
                <w:szCs w:val="20"/>
              </w:rPr>
              <w:t>生态环境厅关于安徽</w:t>
            </w:r>
            <w:r>
              <w:rPr>
                <w:rFonts w:hint="eastAsia" w:cs="Times New Roman"/>
                <w:kern w:val="0"/>
                <w:szCs w:val="20"/>
              </w:rPr>
              <w:t>中创</w:t>
            </w:r>
            <w:r>
              <w:rPr>
                <w:rFonts w:cs="Times New Roman"/>
                <w:kern w:val="0"/>
                <w:szCs w:val="20"/>
              </w:rPr>
              <w:t>电子信息材料有限公司年产</w:t>
            </w:r>
            <w:r>
              <w:rPr>
                <w:rFonts w:hint="eastAsia" w:cs="Times New Roman"/>
                <w:kern w:val="0"/>
                <w:szCs w:val="20"/>
              </w:rPr>
              <w:t>5000吨</w:t>
            </w:r>
            <w:r>
              <w:rPr>
                <w:rFonts w:cs="Times New Roman"/>
                <w:kern w:val="0"/>
                <w:szCs w:val="20"/>
              </w:rPr>
              <w:t>超纯二氧化硅项目环保预审的</w:t>
            </w:r>
            <w:r>
              <w:rPr>
                <w:rFonts w:hint="eastAsia" w:cs="Times New Roman"/>
                <w:kern w:val="0"/>
                <w:szCs w:val="20"/>
              </w:rPr>
              <w:t>批复》（皖</w:t>
            </w:r>
            <w:r>
              <w:rPr>
                <w:rFonts w:cs="Times New Roman"/>
                <w:kern w:val="0"/>
                <w:szCs w:val="20"/>
              </w:rPr>
              <w:t>环办复</w:t>
            </w:r>
            <w:r>
              <w:rPr>
                <w:rFonts w:hint="eastAsia" w:cs="Times New Roman"/>
                <w:kern w:val="0"/>
                <w:szCs w:val="20"/>
              </w:rPr>
              <w:t>[</w:t>
            </w:r>
            <w:r>
              <w:rPr>
                <w:rFonts w:cs="Times New Roman"/>
                <w:kern w:val="0"/>
                <w:szCs w:val="20"/>
              </w:rPr>
              <w:t>2022</w:t>
            </w:r>
            <w:r>
              <w:rPr>
                <w:rFonts w:hint="eastAsia" w:cs="Times New Roman"/>
                <w:kern w:val="0"/>
                <w:szCs w:val="20"/>
              </w:rPr>
              <w:t>]</w:t>
            </w:r>
            <w:r>
              <w:rPr>
                <w:rFonts w:cs="Times New Roman"/>
                <w:kern w:val="0"/>
                <w:szCs w:val="20"/>
              </w:rPr>
              <w:t>643</w:t>
            </w:r>
            <w:r>
              <w:rPr>
                <w:rFonts w:hint="eastAsia" w:cs="Times New Roman"/>
                <w:kern w:val="0"/>
                <w:szCs w:val="20"/>
              </w:rPr>
              <w:t>号）</w:t>
            </w:r>
            <w:r>
              <w:rPr>
                <w:rFonts w:cs="Times New Roman"/>
                <w:kern w:val="0"/>
                <w:szCs w:val="20"/>
              </w:rPr>
              <w:t>，同意上述项目开展环评等相关前期工作</w:t>
            </w:r>
            <w:r>
              <w:rPr>
                <w:rFonts w:hint="eastAsia" w:cs="Times New Roman"/>
                <w:kern w:val="0"/>
                <w:szCs w:val="20"/>
              </w:rPr>
              <w:t>。</w:t>
            </w:r>
          </w:p>
          <w:p w14:paraId="22A5A4F1">
            <w:pPr>
              <w:pStyle w:val="445"/>
              <w:rPr>
                <w:rFonts w:cs="Times New Roman"/>
                <w:kern w:val="0"/>
                <w:szCs w:val="20"/>
              </w:rPr>
            </w:pPr>
            <w:r>
              <w:rPr>
                <w:rFonts w:hint="eastAsia" w:cs="Times New Roman"/>
                <w:kern w:val="0"/>
                <w:szCs w:val="20"/>
              </w:rPr>
              <w:t>本项目严格遵守《建设项目环境风险评价技术导则》（</w:t>
            </w:r>
            <w:r>
              <w:rPr>
                <w:rFonts w:cs="Times New Roman"/>
                <w:kern w:val="0"/>
                <w:szCs w:val="20"/>
              </w:rPr>
              <w:t>HJ169-2018</w:t>
            </w:r>
            <w:r>
              <w:rPr>
                <w:rFonts w:hint="eastAsia" w:cs="Times New Roman"/>
                <w:kern w:val="0"/>
                <w:szCs w:val="20"/>
              </w:rPr>
              <w:t>）要求</w:t>
            </w:r>
            <w:r>
              <w:rPr>
                <w:rFonts w:cs="Times New Roman"/>
                <w:kern w:val="0"/>
                <w:szCs w:val="20"/>
              </w:rPr>
              <w:t>进行预测分析评价</w:t>
            </w:r>
            <w:r>
              <w:rPr>
                <w:rFonts w:hint="eastAsia" w:cs="Times New Roman"/>
                <w:kern w:val="0"/>
                <w:szCs w:val="20"/>
              </w:rPr>
              <w:t>，</w:t>
            </w:r>
            <w:r>
              <w:rPr>
                <w:rFonts w:cs="Times New Roman"/>
                <w:kern w:val="0"/>
                <w:szCs w:val="20"/>
              </w:rPr>
              <w:t>并提出</w:t>
            </w:r>
            <w:r>
              <w:rPr>
                <w:rFonts w:hint="eastAsia" w:cs="Times New Roman"/>
                <w:kern w:val="0"/>
                <w:szCs w:val="20"/>
              </w:rPr>
              <w:t>合理</w:t>
            </w:r>
            <w:r>
              <w:rPr>
                <w:rFonts w:cs="Times New Roman"/>
                <w:kern w:val="0"/>
                <w:szCs w:val="20"/>
              </w:rPr>
              <w:t>有效的风险防范措施和应急</w:t>
            </w:r>
            <w:r>
              <w:rPr>
                <w:rFonts w:hint="eastAsia" w:cs="Times New Roman"/>
                <w:kern w:val="0"/>
                <w:szCs w:val="20"/>
              </w:rPr>
              <w:t>措施。</w:t>
            </w:r>
          </w:p>
          <w:p w14:paraId="5714E449">
            <w:pPr>
              <w:pStyle w:val="445"/>
              <w:rPr>
                <w:rFonts w:cs="Times New Roman"/>
                <w:kern w:val="0"/>
                <w:szCs w:val="20"/>
              </w:rPr>
            </w:pPr>
            <w:r>
              <w:rPr>
                <w:rFonts w:hint="eastAsia" w:cs="Times New Roman"/>
                <w:kern w:val="0"/>
                <w:szCs w:val="20"/>
              </w:rPr>
              <w:t>经</w:t>
            </w:r>
            <w:r>
              <w:rPr>
                <w:rFonts w:cs="Times New Roman"/>
                <w:kern w:val="0"/>
                <w:szCs w:val="20"/>
              </w:rPr>
              <w:t>论证，在有效落实风险防范措施和事故应急预案的前提下，项目环境风险可以防控</w:t>
            </w:r>
            <w:r>
              <w:rPr>
                <w:rFonts w:hint="eastAsia" w:cs="Times New Roman"/>
                <w:kern w:val="0"/>
                <w:szCs w:val="20"/>
              </w:rPr>
              <w:t>。</w:t>
            </w:r>
          </w:p>
        </w:tc>
        <w:tc>
          <w:tcPr>
            <w:tcW w:w="361" w:type="pct"/>
            <w:vAlign w:val="center"/>
          </w:tcPr>
          <w:p w14:paraId="5786A45A">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0AD8F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restart"/>
            <w:vAlign w:val="center"/>
          </w:tcPr>
          <w:p w14:paraId="447D10AC">
            <w:pPr>
              <w:pStyle w:val="445"/>
              <w:rPr>
                <w:rFonts w:cs="Times New Roman"/>
                <w:kern w:val="0"/>
                <w:szCs w:val="20"/>
              </w:rPr>
            </w:pPr>
            <w:r>
              <w:rPr>
                <w:rFonts w:hint="eastAsia" w:cs="Times New Roman"/>
                <w:kern w:val="0"/>
                <w:szCs w:val="20"/>
              </w:rPr>
              <w:t>2</w:t>
            </w:r>
          </w:p>
        </w:tc>
        <w:tc>
          <w:tcPr>
            <w:tcW w:w="649" w:type="pct"/>
            <w:vMerge w:val="restart"/>
            <w:vAlign w:val="center"/>
          </w:tcPr>
          <w:p w14:paraId="0CF56C48">
            <w:pPr>
              <w:pStyle w:val="445"/>
              <w:rPr>
                <w:rFonts w:cs="Times New Roman"/>
                <w:kern w:val="0"/>
                <w:szCs w:val="20"/>
              </w:rPr>
            </w:pPr>
            <w:r>
              <w:rPr>
                <w:rFonts w:cs="Times New Roman"/>
                <w:kern w:val="0"/>
                <w:szCs w:val="20"/>
              </w:rPr>
              <w:t>《</w:t>
            </w:r>
            <w:r>
              <w:rPr>
                <w:rFonts w:hint="eastAsia" w:cs="Times New Roman"/>
                <w:kern w:val="0"/>
                <w:szCs w:val="20"/>
              </w:rPr>
              <w:t>重点</w:t>
            </w:r>
            <w:r>
              <w:rPr>
                <w:rFonts w:cs="Times New Roman"/>
                <w:kern w:val="0"/>
                <w:szCs w:val="20"/>
              </w:rPr>
              <w:t>行业挥发性有机物综合治理方案》</w:t>
            </w:r>
            <w:r>
              <w:rPr>
                <w:rFonts w:hint="eastAsia" w:cs="Times New Roman"/>
                <w:kern w:val="0"/>
                <w:szCs w:val="20"/>
              </w:rPr>
              <w:t>（生态环境</w:t>
            </w:r>
            <w:r>
              <w:rPr>
                <w:rFonts w:cs="Times New Roman"/>
                <w:kern w:val="0"/>
                <w:szCs w:val="20"/>
              </w:rPr>
              <w:t xml:space="preserve">部 </w:t>
            </w:r>
            <w:r>
              <w:rPr>
                <w:rFonts w:hint="eastAsia" w:cs="Times New Roman"/>
                <w:kern w:val="0"/>
                <w:szCs w:val="20"/>
              </w:rPr>
              <w:t>环大气[</w:t>
            </w:r>
            <w:r>
              <w:rPr>
                <w:rFonts w:cs="Times New Roman"/>
                <w:kern w:val="0"/>
                <w:szCs w:val="20"/>
              </w:rPr>
              <w:t>2019</w:t>
            </w:r>
            <w:r>
              <w:rPr>
                <w:rFonts w:hint="eastAsia" w:cs="Times New Roman"/>
                <w:kern w:val="0"/>
                <w:szCs w:val="20"/>
              </w:rPr>
              <w:t>]</w:t>
            </w:r>
            <w:r>
              <w:rPr>
                <w:rFonts w:cs="Times New Roman"/>
                <w:kern w:val="0"/>
                <w:szCs w:val="20"/>
              </w:rPr>
              <w:t>53</w:t>
            </w:r>
            <w:r>
              <w:rPr>
                <w:rFonts w:hint="eastAsia" w:cs="Times New Roman"/>
                <w:kern w:val="0"/>
                <w:szCs w:val="20"/>
              </w:rPr>
              <w:t>号</w:t>
            </w:r>
          </w:p>
        </w:tc>
        <w:tc>
          <w:tcPr>
            <w:tcW w:w="1802" w:type="pct"/>
            <w:vAlign w:val="center"/>
          </w:tcPr>
          <w:p w14:paraId="3E47B8CF">
            <w:pPr>
              <w:pStyle w:val="445"/>
              <w:rPr>
                <w:rFonts w:cs="Times New Roman"/>
                <w:kern w:val="0"/>
                <w:szCs w:val="20"/>
              </w:rPr>
            </w:pPr>
            <w:r>
              <w:rPr>
                <w:rFonts w:hint="eastAsia" w:cs="Times New Roman"/>
                <w:kern w:val="0"/>
                <w:szCs w:val="20"/>
              </w:rPr>
              <w:t>加快</w:t>
            </w:r>
            <w:r>
              <w:rPr>
                <w:rFonts w:cs="Times New Roman"/>
                <w:kern w:val="0"/>
                <w:szCs w:val="20"/>
              </w:rPr>
              <w:t>生产设备密闭化改造</w:t>
            </w:r>
            <w:r>
              <w:rPr>
                <w:rFonts w:hint="eastAsia" w:cs="Times New Roman"/>
                <w:kern w:val="0"/>
                <w:szCs w:val="20"/>
              </w:rPr>
              <w:t>。</w:t>
            </w:r>
            <w:r>
              <w:rPr>
                <w:rFonts w:cs="Times New Roman"/>
                <w:kern w:val="0"/>
                <w:szCs w:val="20"/>
              </w:rPr>
              <w:t>对进出料、物料输送、搅拌、固液分离、干燥和灌装等过程，采取密闭化措施，提升工艺装备水平。加快淘汰敞口式、明流式设施。重点区域含VOCs物料输送原则上采用重力流或泵送方式，逐步淘汰真空方式；有机液体进料鼓励采用底部、浸入管给料方式，淘汰喷溅</w:t>
            </w:r>
            <w:r>
              <w:rPr>
                <w:rFonts w:hint="eastAsia" w:cs="Times New Roman"/>
                <w:kern w:val="0"/>
                <w:szCs w:val="20"/>
              </w:rPr>
              <w:t>式</w:t>
            </w:r>
            <w:r>
              <w:rPr>
                <w:rFonts w:cs="Times New Roman"/>
                <w:kern w:val="0"/>
                <w:szCs w:val="20"/>
              </w:rPr>
              <w:t>给料；固体物料投加逐步推进采用密闭式投料装置。</w:t>
            </w:r>
          </w:p>
        </w:tc>
        <w:tc>
          <w:tcPr>
            <w:tcW w:w="1952" w:type="pct"/>
            <w:vAlign w:val="center"/>
          </w:tcPr>
          <w:p w14:paraId="6089AEF2">
            <w:pPr>
              <w:pStyle w:val="445"/>
              <w:rPr>
                <w:rFonts w:cs="Times New Roman"/>
                <w:kern w:val="0"/>
                <w:szCs w:val="20"/>
              </w:rPr>
            </w:pPr>
            <w:r>
              <w:rPr>
                <w:rFonts w:hint="eastAsia" w:cs="Times New Roman"/>
                <w:kern w:val="0"/>
                <w:szCs w:val="20"/>
              </w:rPr>
              <w:t>项目位于</w:t>
            </w:r>
            <w:r>
              <w:rPr>
                <w:rFonts w:cs="Times New Roman"/>
                <w:kern w:val="0"/>
                <w:szCs w:val="20"/>
              </w:rPr>
              <w:t>安徽省蚌埠市属于</w:t>
            </w:r>
            <w:r>
              <w:rPr>
                <w:rFonts w:hint="eastAsia" w:cs="Times New Roman"/>
                <w:kern w:val="0"/>
                <w:szCs w:val="20"/>
              </w:rPr>
              <w:t>附件</w:t>
            </w:r>
            <w:r>
              <w:rPr>
                <w:rFonts w:cs="Times New Roman"/>
                <w:kern w:val="0"/>
                <w:szCs w:val="20"/>
              </w:rPr>
              <w:t>内重点区域</w:t>
            </w:r>
            <w:r>
              <w:rPr>
                <w:rFonts w:hint="eastAsia" w:cs="Times New Roman"/>
                <w:kern w:val="0"/>
                <w:szCs w:val="20"/>
              </w:rPr>
              <w:t>范围</w:t>
            </w:r>
            <w:r>
              <w:rPr>
                <w:rFonts w:cs="Times New Roman"/>
                <w:kern w:val="0"/>
                <w:szCs w:val="20"/>
              </w:rPr>
              <w:t>内</w:t>
            </w:r>
            <w:r>
              <w:rPr>
                <w:rFonts w:hint="eastAsia" w:cs="Times New Roman"/>
                <w:kern w:val="0"/>
                <w:szCs w:val="20"/>
              </w:rPr>
              <w:t>；</w:t>
            </w:r>
            <w:r>
              <w:rPr>
                <w:rFonts w:cs="Times New Roman"/>
                <w:kern w:val="0"/>
                <w:szCs w:val="20"/>
              </w:rPr>
              <w:t>项目在设计过程中，充分考虑了涉及VOCs物料的储存、转运、投料、生产等各环节的无组织废气收集要求。在设计上合理布置生产布局，各工序中物料中转采用</w:t>
            </w:r>
            <w:r>
              <w:rPr>
                <w:rFonts w:hint="eastAsia" w:cs="Times New Roman"/>
                <w:kern w:val="0"/>
                <w:szCs w:val="20"/>
              </w:rPr>
              <w:t>泵送</w:t>
            </w:r>
            <w:r>
              <w:rPr>
                <w:rFonts w:cs="Times New Roman"/>
                <w:kern w:val="0"/>
                <w:szCs w:val="20"/>
              </w:rPr>
              <w:t>方式</w:t>
            </w:r>
            <w:r>
              <w:rPr>
                <w:rFonts w:hint="eastAsia" w:cs="Times New Roman"/>
                <w:kern w:val="0"/>
                <w:szCs w:val="20"/>
              </w:rPr>
              <w:t>。</w:t>
            </w:r>
          </w:p>
        </w:tc>
        <w:tc>
          <w:tcPr>
            <w:tcW w:w="361" w:type="pct"/>
            <w:vAlign w:val="center"/>
          </w:tcPr>
          <w:p w14:paraId="1D095A46">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68605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36" w:type="pct"/>
            <w:vMerge w:val="continue"/>
            <w:vAlign w:val="center"/>
          </w:tcPr>
          <w:p w14:paraId="40E9C8E6">
            <w:pPr>
              <w:pStyle w:val="445"/>
              <w:rPr>
                <w:rFonts w:cs="Times New Roman"/>
                <w:kern w:val="0"/>
                <w:szCs w:val="20"/>
              </w:rPr>
            </w:pPr>
          </w:p>
        </w:tc>
        <w:tc>
          <w:tcPr>
            <w:tcW w:w="649" w:type="pct"/>
            <w:vMerge w:val="continue"/>
            <w:vAlign w:val="center"/>
          </w:tcPr>
          <w:p w14:paraId="63CCE802">
            <w:pPr>
              <w:pStyle w:val="445"/>
              <w:rPr>
                <w:rFonts w:cs="Times New Roman"/>
                <w:kern w:val="0"/>
                <w:szCs w:val="20"/>
              </w:rPr>
            </w:pPr>
          </w:p>
        </w:tc>
        <w:tc>
          <w:tcPr>
            <w:tcW w:w="1802" w:type="pct"/>
            <w:vAlign w:val="center"/>
          </w:tcPr>
          <w:p w14:paraId="46ED875E">
            <w:pPr>
              <w:pStyle w:val="445"/>
              <w:rPr>
                <w:rFonts w:cs="Times New Roman"/>
                <w:kern w:val="0"/>
                <w:szCs w:val="20"/>
              </w:rPr>
            </w:pPr>
            <w:r>
              <w:rPr>
                <w:rFonts w:cs="Times New Roman"/>
                <w:kern w:val="0"/>
                <w:szCs w:val="18"/>
              </w:rPr>
              <w:t>系统梳理VOCs排放主要环节和工序。健全内部考核制度。加强人员能力培训和技术交流。建立管理台账，记录企业生产和治污设施运行关键参数，在线监控参数要确保能够实时调取，相关台账记录至少保存三年</w:t>
            </w:r>
            <w:r>
              <w:rPr>
                <w:rFonts w:hint="eastAsia" w:cs="Times New Roman"/>
                <w:kern w:val="0"/>
                <w:szCs w:val="18"/>
              </w:rPr>
              <w:t>。</w:t>
            </w:r>
          </w:p>
        </w:tc>
        <w:tc>
          <w:tcPr>
            <w:tcW w:w="1952" w:type="pct"/>
            <w:vAlign w:val="center"/>
          </w:tcPr>
          <w:p w14:paraId="216EF78B">
            <w:pPr>
              <w:pStyle w:val="445"/>
              <w:rPr>
                <w:rFonts w:cs="Times New Roman"/>
                <w:kern w:val="0"/>
                <w:szCs w:val="20"/>
              </w:rPr>
            </w:pPr>
            <w:r>
              <w:rPr>
                <w:rFonts w:hint="eastAsia" w:cs="Times New Roman"/>
                <w:kern w:val="0"/>
                <w:szCs w:val="18"/>
              </w:rPr>
              <w:t>本评价</w:t>
            </w:r>
            <w:r>
              <w:rPr>
                <w:rFonts w:cs="Times New Roman"/>
                <w:kern w:val="0"/>
                <w:szCs w:val="18"/>
              </w:rPr>
              <w:t>要求建设单位梳理VOCs排放主要环节和工序，落实到具体责任人。健全内部考核制度。加强人员能力培训和技术交流。建立管理台账，记录企业生产和治污设施运行的关键参数，在线监控参数要确保能够实时调取，相关台账记录至少保存</w:t>
            </w:r>
            <w:r>
              <w:rPr>
                <w:rFonts w:hint="eastAsia" w:cs="Times New Roman"/>
                <w:kern w:val="0"/>
                <w:szCs w:val="18"/>
              </w:rPr>
              <w:t>三</w:t>
            </w:r>
            <w:r>
              <w:rPr>
                <w:rFonts w:cs="Times New Roman"/>
                <w:kern w:val="0"/>
                <w:szCs w:val="18"/>
              </w:rPr>
              <w:t>年</w:t>
            </w:r>
            <w:r>
              <w:rPr>
                <w:rFonts w:hint="eastAsia" w:cs="Times New Roman"/>
                <w:kern w:val="0"/>
                <w:szCs w:val="18"/>
              </w:rPr>
              <w:t>。</w:t>
            </w:r>
          </w:p>
        </w:tc>
        <w:tc>
          <w:tcPr>
            <w:tcW w:w="361" w:type="pct"/>
            <w:vAlign w:val="center"/>
          </w:tcPr>
          <w:p w14:paraId="391B5388">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16697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restart"/>
            <w:vAlign w:val="center"/>
          </w:tcPr>
          <w:p w14:paraId="7BCB296B">
            <w:pPr>
              <w:pStyle w:val="445"/>
              <w:rPr>
                <w:rFonts w:cs="Times New Roman"/>
                <w:kern w:val="0"/>
                <w:szCs w:val="20"/>
              </w:rPr>
            </w:pPr>
            <w:r>
              <w:rPr>
                <w:rFonts w:cs="Times New Roman"/>
                <w:kern w:val="0"/>
                <w:szCs w:val="20"/>
              </w:rPr>
              <w:t>3</w:t>
            </w:r>
          </w:p>
        </w:tc>
        <w:tc>
          <w:tcPr>
            <w:tcW w:w="649" w:type="pct"/>
            <w:vMerge w:val="restart"/>
            <w:vAlign w:val="center"/>
          </w:tcPr>
          <w:p w14:paraId="3C00D9D8">
            <w:pPr>
              <w:pStyle w:val="445"/>
              <w:rPr>
                <w:rFonts w:cs="Times New Roman"/>
                <w:kern w:val="0"/>
                <w:szCs w:val="20"/>
              </w:rPr>
            </w:pPr>
            <w:r>
              <w:rPr>
                <w:rFonts w:cs="Times New Roman"/>
                <w:kern w:val="0"/>
                <w:szCs w:val="20"/>
              </w:rPr>
              <w:t>《关于</w:t>
            </w:r>
            <w:r>
              <w:rPr>
                <w:rFonts w:hint="eastAsia" w:cs="Times New Roman"/>
                <w:kern w:val="0"/>
                <w:szCs w:val="20"/>
              </w:rPr>
              <w:t>进一步规范</w:t>
            </w:r>
            <w:r>
              <w:rPr>
                <w:rFonts w:cs="Times New Roman"/>
                <w:kern w:val="0"/>
                <w:szCs w:val="20"/>
              </w:rPr>
              <w:t>化工项目建设管理的通知》</w:t>
            </w:r>
            <w:r>
              <w:rPr>
                <w:rFonts w:hint="eastAsia" w:cs="Times New Roman"/>
                <w:kern w:val="0"/>
                <w:szCs w:val="24"/>
              </w:rPr>
              <w:t>皖经信原材料函</w:t>
            </w:r>
            <w:r>
              <w:rPr>
                <w:rFonts w:cs="Times New Roman"/>
                <w:kern w:val="0"/>
                <w:szCs w:val="24"/>
              </w:rPr>
              <w:t>〔2022〕</w:t>
            </w:r>
            <w:r>
              <w:rPr>
                <w:rFonts w:hint="eastAsia" w:cs="Times New Roman"/>
                <w:kern w:val="0"/>
                <w:szCs w:val="24"/>
              </w:rPr>
              <w:t>7</w:t>
            </w:r>
            <w:r>
              <w:rPr>
                <w:rFonts w:cs="Times New Roman"/>
                <w:kern w:val="0"/>
                <w:szCs w:val="24"/>
              </w:rPr>
              <w:t>3</w:t>
            </w:r>
            <w:r>
              <w:rPr>
                <w:rFonts w:hint="eastAsia" w:cs="Times New Roman"/>
                <w:kern w:val="0"/>
                <w:szCs w:val="24"/>
              </w:rPr>
              <w:t>号</w:t>
            </w:r>
          </w:p>
        </w:tc>
        <w:tc>
          <w:tcPr>
            <w:tcW w:w="1802" w:type="pct"/>
            <w:vAlign w:val="center"/>
          </w:tcPr>
          <w:p w14:paraId="07B20392">
            <w:pPr>
              <w:pStyle w:val="445"/>
              <w:rPr>
                <w:rFonts w:cs="Times New Roman"/>
                <w:kern w:val="0"/>
                <w:szCs w:val="20"/>
              </w:rPr>
            </w:pPr>
            <w:r>
              <w:rPr>
                <w:rFonts w:hint="eastAsia" w:cs="Times New Roman"/>
                <w:kern w:val="0"/>
                <w:szCs w:val="20"/>
              </w:rPr>
              <w:t>严格政策规划</w:t>
            </w:r>
            <w:r>
              <w:rPr>
                <w:rFonts w:cs="Times New Roman"/>
                <w:kern w:val="0"/>
                <w:szCs w:val="20"/>
              </w:rPr>
              <w:t>约束。</w:t>
            </w:r>
            <w:r>
              <w:rPr>
                <w:rFonts w:hint="eastAsia" w:cs="Times New Roman"/>
                <w:kern w:val="0"/>
                <w:szCs w:val="20"/>
              </w:rPr>
              <w:t>严格</w:t>
            </w:r>
            <w:r>
              <w:rPr>
                <w:rFonts w:cs="Times New Roman"/>
                <w:kern w:val="0"/>
                <w:szCs w:val="20"/>
              </w:rPr>
              <w:t>执行国家</w:t>
            </w:r>
            <w:r>
              <w:rPr>
                <w:rFonts w:hint="eastAsia" w:cs="Times New Roman"/>
                <w:kern w:val="0"/>
                <w:szCs w:val="20"/>
              </w:rPr>
              <w:t>产业</w:t>
            </w:r>
            <w:r>
              <w:rPr>
                <w:rFonts w:cs="Times New Roman"/>
                <w:kern w:val="0"/>
                <w:szCs w:val="20"/>
              </w:rPr>
              <w:t>政策，禁止新建产业结构调整指导目录限制类和淘汰类项目。</w:t>
            </w:r>
          </w:p>
        </w:tc>
        <w:tc>
          <w:tcPr>
            <w:tcW w:w="1952" w:type="pct"/>
            <w:vAlign w:val="center"/>
          </w:tcPr>
          <w:p w14:paraId="533FB22F">
            <w:pPr>
              <w:pStyle w:val="445"/>
              <w:rPr>
                <w:rFonts w:cs="Times New Roman"/>
                <w:bCs/>
                <w:kern w:val="0"/>
                <w:szCs w:val="20"/>
              </w:rPr>
            </w:pPr>
            <w:r>
              <w:rPr>
                <w:rFonts w:hint="eastAsia" w:cs="Times New Roman"/>
                <w:kern w:val="0"/>
                <w:szCs w:val="20"/>
              </w:rPr>
              <w:t>对照</w:t>
            </w:r>
            <w:r>
              <w:rPr>
                <w:rFonts w:cs="Times New Roman"/>
                <w:kern w:val="0"/>
                <w:szCs w:val="20"/>
              </w:rPr>
              <w:t>《产业结构调整指导目录》（2024本）</w:t>
            </w:r>
            <w:r>
              <w:rPr>
                <w:rFonts w:hint="eastAsia" w:cs="Times New Roman"/>
                <w:kern w:val="0"/>
                <w:szCs w:val="20"/>
              </w:rPr>
              <w:t>，本项目不属于其中</w:t>
            </w:r>
            <w:r>
              <w:rPr>
                <w:rFonts w:cs="Times New Roman"/>
                <w:kern w:val="0"/>
                <w:szCs w:val="20"/>
              </w:rPr>
              <w:t>的限制和淘汰类项目</w:t>
            </w:r>
            <w:r>
              <w:rPr>
                <w:rFonts w:hint="eastAsia" w:cs="Times New Roman"/>
                <w:kern w:val="0"/>
                <w:szCs w:val="20"/>
              </w:rPr>
              <w:t>。</w:t>
            </w:r>
          </w:p>
        </w:tc>
        <w:tc>
          <w:tcPr>
            <w:tcW w:w="361" w:type="pct"/>
            <w:vAlign w:val="center"/>
          </w:tcPr>
          <w:p w14:paraId="4DA38D1D">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3F1C1D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4BC28FF8">
            <w:pPr>
              <w:pStyle w:val="445"/>
              <w:rPr>
                <w:rFonts w:cs="Times New Roman"/>
                <w:kern w:val="0"/>
                <w:szCs w:val="20"/>
              </w:rPr>
            </w:pPr>
          </w:p>
        </w:tc>
        <w:tc>
          <w:tcPr>
            <w:tcW w:w="649" w:type="pct"/>
            <w:vMerge w:val="continue"/>
            <w:vAlign w:val="center"/>
          </w:tcPr>
          <w:p w14:paraId="0219F6D3">
            <w:pPr>
              <w:pStyle w:val="445"/>
              <w:rPr>
                <w:rFonts w:cs="Times New Roman"/>
                <w:kern w:val="0"/>
                <w:szCs w:val="20"/>
              </w:rPr>
            </w:pPr>
          </w:p>
        </w:tc>
        <w:tc>
          <w:tcPr>
            <w:tcW w:w="1802" w:type="pct"/>
            <w:vAlign w:val="center"/>
          </w:tcPr>
          <w:p w14:paraId="391EB0A7">
            <w:pPr>
              <w:pStyle w:val="445"/>
              <w:rPr>
                <w:rFonts w:cs="Times New Roman"/>
                <w:kern w:val="0"/>
                <w:szCs w:val="20"/>
              </w:rPr>
            </w:pPr>
            <w:r>
              <w:rPr>
                <w:rFonts w:hint="eastAsia" w:cs="Times New Roman"/>
                <w:kern w:val="0"/>
                <w:szCs w:val="20"/>
              </w:rPr>
              <w:t>严守规划</w:t>
            </w:r>
            <w:r>
              <w:rPr>
                <w:rFonts w:cs="Times New Roman"/>
                <w:kern w:val="0"/>
                <w:szCs w:val="20"/>
              </w:rPr>
              <w:t>分区管控。</w:t>
            </w:r>
            <w:r>
              <w:rPr>
                <w:rFonts w:hint="eastAsia" w:cs="Times New Roman"/>
                <w:kern w:val="0"/>
                <w:szCs w:val="20"/>
              </w:rPr>
              <w:t>在生态</w:t>
            </w:r>
            <w:r>
              <w:rPr>
                <w:rFonts w:cs="Times New Roman"/>
                <w:kern w:val="0"/>
                <w:szCs w:val="20"/>
              </w:rPr>
              <w:t>保护红线、</w:t>
            </w:r>
            <w:r>
              <w:rPr>
                <w:rFonts w:hint="eastAsia" w:cs="Times New Roman"/>
                <w:kern w:val="0"/>
                <w:szCs w:val="20"/>
              </w:rPr>
              <w:t>永久</w:t>
            </w:r>
            <w:r>
              <w:rPr>
                <w:rFonts w:cs="Times New Roman"/>
                <w:kern w:val="0"/>
                <w:szCs w:val="20"/>
              </w:rPr>
              <w:t>基本农田</w:t>
            </w:r>
            <w:r>
              <w:rPr>
                <w:rFonts w:hint="eastAsia" w:cs="Times New Roman"/>
                <w:kern w:val="0"/>
                <w:szCs w:val="20"/>
              </w:rPr>
              <w:t>和</w:t>
            </w:r>
            <w:r>
              <w:rPr>
                <w:rFonts w:cs="Times New Roman"/>
                <w:kern w:val="0"/>
                <w:szCs w:val="20"/>
              </w:rPr>
              <w:t>生态空间</w:t>
            </w:r>
            <w:r>
              <w:rPr>
                <w:rFonts w:hint="eastAsia" w:cs="Times New Roman"/>
                <w:kern w:val="0"/>
                <w:szCs w:val="20"/>
              </w:rPr>
              <w:t>、</w:t>
            </w:r>
            <w:r>
              <w:rPr>
                <w:rFonts w:cs="Times New Roman"/>
                <w:kern w:val="0"/>
                <w:szCs w:val="20"/>
              </w:rPr>
              <w:t>农业</w:t>
            </w:r>
            <w:r>
              <w:rPr>
                <w:rFonts w:hint="eastAsia" w:cs="Times New Roman"/>
                <w:kern w:val="0"/>
                <w:szCs w:val="20"/>
              </w:rPr>
              <w:t>空间</w:t>
            </w:r>
            <w:r>
              <w:rPr>
                <w:rFonts w:cs="Times New Roman"/>
                <w:kern w:val="0"/>
                <w:szCs w:val="20"/>
              </w:rPr>
              <w:t>内禁止</w:t>
            </w:r>
            <w:r>
              <w:rPr>
                <w:rFonts w:hint="eastAsia" w:cs="Times New Roman"/>
                <w:kern w:val="0"/>
                <w:szCs w:val="20"/>
              </w:rPr>
              <w:t>新</w:t>
            </w:r>
            <w:r>
              <w:rPr>
                <w:rFonts w:cs="Times New Roman"/>
                <w:kern w:val="0"/>
                <w:szCs w:val="20"/>
              </w:rPr>
              <w:t>（</w:t>
            </w:r>
            <w:r>
              <w:rPr>
                <w:rFonts w:hint="eastAsia" w:cs="Times New Roman"/>
                <w:kern w:val="0"/>
                <w:szCs w:val="20"/>
              </w:rPr>
              <w:t>改</w:t>
            </w:r>
            <w:r>
              <w:rPr>
                <w:rFonts w:cs="Times New Roman"/>
                <w:kern w:val="0"/>
                <w:szCs w:val="20"/>
              </w:rPr>
              <w:t>、扩）</w:t>
            </w:r>
            <w:r>
              <w:rPr>
                <w:rFonts w:hint="eastAsia" w:cs="Times New Roman"/>
                <w:kern w:val="0"/>
                <w:szCs w:val="20"/>
              </w:rPr>
              <w:t>建化工</w:t>
            </w:r>
            <w:r>
              <w:rPr>
                <w:rFonts w:cs="Times New Roman"/>
                <w:kern w:val="0"/>
                <w:szCs w:val="20"/>
              </w:rPr>
              <w:t>项目</w:t>
            </w:r>
          </w:p>
        </w:tc>
        <w:tc>
          <w:tcPr>
            <w:tcW w:w="1952" w:type="pct"/>
            <w:vAlign w:val="center"/>
          </w:tcPr>
          <w:p w14:paraId="696BD2C1">
            <w:pPr>
              <w:pStyle w:val="445"/>
              <w:rPr>
                <w:rFonts w:cs="Times New Roman"/>
                <w:kern w:val="0"/>
                <w:szCs w:val="20"/>
              </w:rPr>
            </w:pPr>
            <w:r>
              <w:rPr>
                <w:rFonts w:hint="eastAsia" w:cs="Times New Roman"/>
                <w:kern w:val="0"/>
                <w:szCs w:val="20"/>
              </w:rPr>
              <w:t>本项目位于</w:t>
            </w:r>
            <w:r>
              <w:rPr>
                <w:rFonts w:cs="Times New Roman"/>
                <w:kern w:val="0"/>
                <w:szCs w:val="20"/>
              </w:rPr>
              <w:t>已</w:t>
            </w:r>
            <w:r>
              <w:rPr>
                <w:rFonts w:hint="eastAsia" w:cs="Times New Roman"/>
                <w:kern w:val="0"/>
                <w:szCs w:val="20"/>
              </w:rPr>
              <w:t>经</w:t>
            </w:r>
            <w:r>
              <w:rPr>
                <w:rFonts w:cs="Times New Roman"/>
                <w:kern w:val="0"/>
                <w:szCs w:val="20"/>
              </w:rPr>
              <w:t>规划</w:t>
            </w:r>
            <w:r>
              <w:rPr>
                <w:rFonts w:hint="eastAsia" w:cs="Times New Roman"/>
                <w:kern w:val="0"/>
                <w:szCs w:val="20"/>
              </w:rPr>
              <w:t>的蚌埠精细化工高新技术产业基地内，不在生态</w:t>
            </w:r>
            <w:r>
              <w:rPr>
                <w:rFonts w:cs="Times New Roman"/>
                <w:kern w:val="0"/>
                <w:szCs w:val="20"/>
              </w:rPr>
              <w:t>保护红线、</w:t>
            </w:r>
            <w:r>
              <w:rPr>
                <w:rFonts w:hint="eastAsia" w:cs="Times New Roman"/>
                <w:kern w:val="0"/>
                <w:szCs w:val="20"/>
              </w:rPr>
              <w:t>永久</w:t>
            </w:r>
            <w:r>
              <w:rPr>
                <w:rFonts w:cs="Times New Roman"/>
                <w:kern w:val="0"/>
                <w:szCs w:val="20"/>
              </w:rPr>
              <w:t>基本农田</w:t>
            </w:r>
            <w:r>
              <w:rPr>
                <w:rFonts w:hint="eastAsia" w:cs="Times New Roman"/>
                <w:kern w:val="0"/>
                <w:szCs w:val="20"/>
              </w:rPr>
              <w:t>和</w:t>
            </w:r>
            <w:r>
              <w:rPr>
                <w:rFonts w:cs="Times New Roman"/>
                <w:kern w:val="0"/>
                <w:szCs w:val="20"/>
              </w:rPr>
              <w:t>生态空间</w:t>
            </w:r>
            <w:r>
              <w:rPr>
                <w:rFonts w:hint="eastAsia" w:cs="Times New Roman"/>
                <w:kern w:val="0"/>
                <w:szCs w:val="20"/>
              </w:rPr>
              <w:t>、</w:t>
            </w:r>
            <w:r>
              <w:rPr>
                <w:rFonts w:cs="Times New Roman"/>
                <w:kern w:val="0"/>
                <w:szCs w:val="20"/>
              </w:rPr>
              <w:t>农业</w:t>
            </w:r>
            <w:r>
              <w:rPr>
                <w:rFonts w:hint="eastAsia" w:cs="Times New Roman"/>
                <w:kern w:val="0"/>
                <w:szCs w:val="20"/>
              </w:rPr>
              <w:t>空间</w:t>
            </w:r>
            <w:r>
              <w:rPr>
                <w:rFonts w:cs="Times New Roman"/>
                <w:kern w:val="0"/>
                <w:szCs w:val="20"/>
              </w:rPr>
              <w:t>内</w:t>
            </w:r>
            <w:r>
              <w:rPr>
                <w:rFonts w:hint="eastAsia" w:cs="Times New Roman"/>
                <w:kern w:val="0"/>
                <w:szCs w:val="20"/>
              </w:rPr>
              <w:t>。</w:t>
            </w:r>
          </w:p>
        </w:tc>
        <w:tc>
          <w:tcPr>
            <w:tcW w:w="361" w:type="pct"/>
            <w:vAlign w:val="center"/>
          </w:tcPr>
          <w:p w14:paraId="68813005">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3186D3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765CDE4C">
            <w:pPr>
              <w:pStyle w:val="445"/>
              <w:rPr>
                <w:rFonts w:cs="Times New Roman"/>
                <w:kern w:val="0"/>
                <w:szCs w:val="20"/>
              </w:rPr>
            </w:pPr>
          </w:p>
        </w:tc>
        <w:tc>
          <w:tcPr>
            <w:tcW w:w="649" w:type="pct"/>
            <w:vMerge w:val="continue"/>
            <w:vAlign w:val="center"/>
          </w:tcPr>
          <w:p w14:paraId="63C90B75">
            <w:pPr>
              <w:pStyle w:val="445"/>
              <w:rPr>
                <w:rFonts w:cs="Times New Roman"/>
                <w:kern w:val="0"/>
                <w:szCs w:val="20"/>
              </w:rPr>
            </w:pPr>
          </w:p>
        </w:tc>
        <w:tc>
          <w:tcPr>
            <w:tcW w:w="1802" w:type="pct"/>
            <w:vAlign w:val="center"/>
          </w:tcPr>
          <w:p w14:paraId="32C97F77">
            <w:pPr>
              <w:pStyle w:val="445"/>
              <w:rPr>
                <w:rFonts w:cs="Times New Roman"/>
                <w:kern w:val="0"/>
                <w:szCs w:val="20"/>
              </w:rPr>
            </w:pPr>
            <w:r>
              <w:rPr>
                <w:rFonts w:hint="eastAsia" w:cs="Times New Roman"/>
                <w:kern w:val="0"/>
                <w:szCs w:val="20"/>
              </w:rPr>
              <w:t>严格项目投资</w:t>
            </w:r>
            <w:r>
              <w:rPr>
                <w:rFonts w:cs="Times New Roman"/>
                <w:kern w:val="0"/>
                <w:szCs w:val="20"/>
              </w:rPr>
              <w:t>准入，新建</w:t>
            </w:r>
            <w:r>
              <w:rPr>
                <w:rFonts w:hint="eastAsia" w:cs="Times New Roman"/>
                <w:kern w:val="0"/>
                <w:szCs w:val="20"/>
              </w:rPr>
              <w:t>化工</w:t>
            </w:r>
            <w:r>
              <w:rPr>
                <w:rFonts w:cs="Times New Roman"/>
                <w:kern w:val="0"/>
                <w:szCs w:val="20"/>
              </w:rPr>
              <w:t>项目</w:t>
            </w:r>
            <w:r>
              <w:rPr>
                <w:rFonts w:hint="eastAsia" w:cs="Times New Roman"/>
                <w:kern w:val="0"/>
                <w:szCs w:val="20"/>
              </w:rPr>
              <w:t>应当</w:t>
            </w:r>
            <w:r>
              <w:rPr>
                <w:rFonts w:cs="Times New Roman"/>
                <w:kern w:val="0"/>
                <w:szCs w:val="20"/>
              </w:rPr>
              <w:t>符合当地化工</w:t>
            </w:r>
            <w:r>
              <w:rPr>
                <w:rFonts w:hint="eastAsia" w:cs="Times New Roman"/>
                <w:kern w:val="0"/>
                <w:szCs w:val="20"/>
              </w:rPr>
              <w:t>园区</w:t>
            </w:r>
            <w:r>
              <w:rPr>
                <w:rFonts w:cs="Times New Roman"/>
                <w:kern w:val="0"/>
                <w:szCs w:val="20"/>
              </w:rPr>
              <w:t>投资准入门槛</w:t>
            </w:r>
            <w:r>
              <w:rPr>
                <w:rFonts w:hint="eastAsia" w:cs="Times New Roman"/>
                <w:kern w:val="0"/>
                <w:szCs w:val="20"/>
              </w:rPr>
              <w:t>。</w:t>
            </w:r>
          </w:p>
        </w:tc>
        <w:tc>
          <w:tcPr>
            <w:tcW w:w="1952" w:type="pct"/>
            <w:vAlign w:val="center"/>
          </w:tcPr>
          <w:p w14:paraId="772BCAA6">
            <w:pPr>
              <w:pStyle w:val="445"/>
              <w:rPr>
                <w:rFonts w:cs="Times New Roman"/>
                <w:kern w:val="0"/>
                <w:szCs w:val="20"/>
              </w:rPr>
            </w:pPr>
            <w:r>
              <w:rPr>
                <w:rFonts w:hint="eastAsia" w:cs="Times New Roman"/>
                <w:kern w:val="0"/>
                <w:szCs w:val="20"/>
              </w:rPr>
              <w:t>本项目</w:t>
            </w:r>
            <w:r>
              <w:rPr>
                <w:rFonts w:cs="Times New Roman"/>
                <w:kern w:val="0"/>
                <w:szCs w:val="20"/>
              </w:rPr>
              <w:t>符合</w:t>
            </w:r>
            <w:r>
              <w:rPr>
                <w:rFonts w:hint="eastAsia" w:cs="Times New Roman"/>
                <w:kern w:val="0"/>
                <w:szCs w:val="20"/>
              </w:rPr>
              <w:t>《蚌埠市化工园区项目准入条件（试行）的通知》中</w:t>
            </w:r>
            <w:r>
              <w:rPr>
                <w:rFonts w:cs="Times New Roman"/>
                <w:kern w:val="0"/>
                <w:szCs w:val="20"/>
              </w:rPr>
              <w:t>投资</w:t>
            </w:r>
            <w:r>
              <w:rPr>
                <w:rFonts w:hint="eastAsia" w:cs="Times New Roman"/>
                <w:kern w:val="0"/>
                <w:szCs w:val="20"/>
              </w:rPr>
              <w:t>规模</w:t>
            </w:r>
            <w:r>
              <w:rPr>
                <w:rFonts w:cs="Times New Roman"/>
                <w:kern w:val="0"/>
                <w:szCs w:val="20"/>
              </w:rPr>
              <w:t>要求。</w:t>
            </w:r>
          </w:p>
        </w:tc>
        <w:tc>
          <w:tcPr>
            <w:tcW w:w="361" w:type="pct"/>
            <w:vAlign w:val="center"/>
          </w:tcPr>
          <w:p w14:paraId="660A3B03">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75EAB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445D4790">
            <w:pPr>
              <w:pStyle w:val="445"/>
              <w:rPr>
                <w:rFonts w:cs="Times New Roman"/>
                <w:kern w:val="0"/>
                <w:szCs w:val="20"/>
              </w:rPr>
            </w:pPr>
          </w:p>
        </w:tc>
        <w:tc>
          <w:tcPr>
            <w:tcW w:w="649" w:type="pct"/>
            <w:vMerge w:val="continue"/>
            <w:vAlign w:val="center"/>
          </w:tcPr>
          <w:p w14:paraId="498F3FBF">
            <w:pPr>
              <w:pStyle w:val="445"/>
              <w:rPr>
                <w:rFonts w:cs="Times New Roman"/>
                <w:kern w:val="0"/>
                <w:szCs w:val="20"/>
              </w:rPr>
            </w:pPr>
          </w:p>
        </w:tc>
        <w:tc>
          <w:tcPr>
            <w:tcW w:w="1802" w:type="pct"/>
            <w:vAlign w:val="center"/>
          </w:tcPr>
          <w:p w14:paraId="178D5376">
            <w:pPr>
              <w:pStyle w:val="445"/>
              <w:rPr>
                <w:rFonts w:cs="Times New Roman"/>
                <w:kern w:val="0"/>
                <w:szCs w:val="20"/>
              </w:rPr>
            </w:pPr>
            <w:r>
              <w:rPr>
                <w:rFonts w:hint="eastAsia" w:cs="Times New Roman"/>
                <w:kern w:val="0"/>
                <w:szCs w:val="20"/>
              </w:rPr>
              <w:t>严格</w:t>
            </w:r>
            <w:r>
              <w:rPr>
                <w:rFonts w:cs="Times New Roman"/>
                <w:kern w:val="0"/>
                <w:szCs w:val="20"/>
              </w:rPr>
              <w:t>执行危险</w:t>
            </w:r>
            <w:r>
              <w:rPr>
                <w:rFonts w:hint="eastAsia" w:cs="Times New Roman"/>
                <w:kern w:val="0"/>
                <w:szCs w:val="20"/>
              </w:rPr>
              <w:t>化学品“禁限控”目录</w:t>
            </w:r>
            <w:r>
              <w:rPr>
                <w:rFonts w:cs="Times New Roman"/>
                <w:kern w:val="0"/>
                <w:szCs w:val="20"/>
              </w:rPr>
              <w:t>，新建危险化学品生产（</w:t>
            </w:r>
            <w:r>
              <w:rPr>
                <w:rFonts w:hint="eastAsia" w:cs="Times New Roman"/>
                <w:kern w:val="0"/>
                <w:szCs w:val="20"/>
              </w:rPr>
              <w:t>含</w:t>
            </w:r>
            <w:r>
              <w:rPr>
                <w:rFonts w:cs="Times New Roman"/>
                <w:kern w:val="0"/>
                <w:szCs w:val="20"/>
              </w:rPr>
              <w:t>中间产品）</w:t>
            </w:r>
            <w:r>
              <w:rPr>
                <w:rFonts w:hint="eastAsia" w:cs="Times New Roman"/>
                <w:kern w:val="0"/>
                <w:szCs w:val="20"/>
              </w:rPr>
              <w:t>项目</w:t>
            </w:r>
            <w:r>
              <w:rPr>
                <w:rFonts w:cs="Times New Roman"/>
                <w:kern w:val="0"/>
                <w:szCs w:val="20"/>
              </w:rPr>
              <w:t>，以爆炸性化学品、剧（</w:t>
            </w:r>
            <w:r>
              <w:rPr>
                <w:rFonts w:hint="eastAsia" w:cs="Times New Roman"/>
                <w:kern w:val="0"/>
                <w:szCs w:val="20"/>
              </w:rPr>
              <w:t>高</w:t>
            </w:r>
            <w:r>
              <w:rPr>
                <w:rFonts w:cs="Times New Roman"/>
                <w:kern w:val="0"/>
                <w:szCs w:val="20"/>
              </w:rPr>
              <w:t>）</w:t>
            </w:r>
            <w:r>
              <w:rPr>
                <w:rFonts w:hint="eastAsia" w:cs="Times New Roman"/>
                <w:kern w:val="0"/>
                <w:szCs w:val="20"/>
              </w:rPr>
              <w:t>毒</w:t>
            </w:r>
            <w:r>
              <w:rPr>
                <w:rFonts w:cs="Times New Roman"/>
                <w:kern w:val="0"/>
                <w:szCs w:val="20"/>
              </w:rPr>
              <w:t>化学品、液化烃类易燃易爆化学品为主要原料的化工生产项目，</w:t>
            </w:r>
            <w:r>
              <w:rPr>
                <w:rFonts w:hint="eastAsia" w:cs="Times New Roman"/>
                <w:kern w:val="0"/>
                <w:szCs w:val="20"/>
              </w:rPr>
              <w:t>以及</w:t>
            </w:r>
            <w:r>
              <w:rPr>
                <w:rFonts w:cs="Times New Roman"/>
                <w:kern w:val="0"/>
                <w:szCs w:val="20"/>
              </w:rPr>
              <w:t>其他构成危险化学品重大危险源</w:t>
            </w:r>
            <w:r>
              <w:rPr>
                <w:rFonts w:hint="eastAsia" w:cs="Times New Roman"/>
                <w:kern w:val="0"/>
                <w:szCs w:val="20"/>
              </w:rPr>
              <w:t>或</w:t>
            </w:r>
            <w:r>
              <w:rPr>
                <w:rFonts w:cs="Times New Roman"/>
                <w:kern w:val="0"/>
                <w:szCs w:val="20"/>
              </w:rPr>
              <w:t>依法应取得安全使用许可证的化工生产项目，必须进入一般或较低安全风险等级的化工园区（</w:t>
            </w:r>
            <w:r>
              <w:rPr>
                <w:rFonts w:hint="eastAsia" w:cs="Times New Roman"/>
                <w:kern w:val="0"/>
                <w:szCs w:val="20"/>
              </w:rPr>
              <w:t>与</w:t>
            </w:r>
            <w:r>
              <w:rPr>
                <w:rFonts w:cs="Times New Roman"/>
                <w:kern w:val="0"/>
                <w:szCs w:val="20"/>
              </w:rPr>
              <w:t>其他行业生产装置配套建设的项目除外）</w:t>
            </w:r>
            <w:r>
              <w:rPr>
                <w:rFonts w:hint="eastAsia" w:cs="Times New Roman"/>
                <w:kern w:val="0"/>
                <w:szCs w:val="20"/>
              </w:rPr>
              <w:t>。</w:t>
            </w:r>
          </w:p>
        </w:tc>
        <w:tc>
          <w:tcPr>
            <w:tcW w:w="1952" w:type="pct"/>
            <w:vAlign w:val="center"/>
          </w:tcPr>
          <w:p w14:paraId="23C79DE0">
            <w:pPr>
              <w:pStyle w:val="445"/>
              <w:rPr>
                <w:rFonts w:cs="Times New Roman"/>
                <w:kern w:val="0"/>
                <w:szCs w:val="20"/>
              </w:rPr>
            </w:pPr>
            <w:r>
              <w:rPr>
                <w:rFonts w:hint="eastAsia" w:cs="Times New Roman"/>
                <w:kern w:val="0"/>
                <w:szCs w:val="20"/>
              </w:rPr>
              <w:t>本项目是以</w:t>
            </w:r>
            <w:r>
              <w:rPr>
                <w:rFonts w:cs="Times New Roman"/>
                <w:kern w:val="0"/>
                <w:szCs w:val="20"/>
              </w:rPr>
              <w:t>甲醇</w:t>
            </w:r>
            <w:r>
              <w:rPr>
                <w:rFonts w:hint="eastAsia" w:cs="Times New Roman"/>
                <w:kern w:val="0"/>
                <w:szCs w:val="20"/>
              </w:rPr>
              <w:t>为</w:t>
            </w:r>
            <w:r>
              <w:rPr>
                <w:rFonts w:cs="Times New Roman"/>
                <w:kern w:val="0"/>
                <w:szCs w:val="20"/>
              </w:rPr>
              <w:t>主要原料的化工生产项目，位于</w:t>
            </w:r>
            <w:r>
              <w:rPr>
                <w:rFonts w:hint="eastAsia" w:cs="Times New Roman"/>
                <w:kern w:val="0"/>
                <w:szCs w:val="20"/>
              </w:rPr>
              <w:t>蚌埠淮上</w:t>
            </w:r>
            <w:r>
              <w:rPr>
                <w:rFonts w:cs="Times New Roman"/>
                <w:kern w:val="0"/>
                <w:szCs w:val="20"/>
              </w:rPr>
              <w:t>化工园区</w:t>
            </w:r>
            <w:r>
              <w:rPr>
                <w:rFonts w:hint="eastAsia" w:cs="Times New Roman"/>
                <w:kern w:val="0"/>
                <w:szCs w:val="20"/>
              </w:rPr>
              <w:t>，</w:t>
            </w:r>
            <w:r>
              <w:rPr>
                <w:rFonts w:cs="Times New Roman"/>
                <w:kern w:val="0"/>
                <w:szCs w:val="20"/>
              </w:rPr>
              <w:t>对照</w:t>
            </w:r>
            <w:r>
              <w:rPr>
                <w:rFonts w:hint="eastAsia" w:cs="Times New Roman"/>
                <w:kern w:val="0"/>
                <w:szCs w:val="20"/>
              </w:rPr>
              <w:t>《关于公布</w:t>
            </w:r>
            <w:r>
              <w:rPr>
                <w:rFonts w:cs="Times New Roman"/>
                <w:kern w:val="0"/>
                <w:szCs w:val="20"/>
              </w:rPr>
              <w:t>全省</w:t>
            </w:r>
            <w:r>
              <w:rPr>
                <w:rFonts w:hint="eastAsia" w:cs="Times New Roman"/>
                <w:kern w:val="0"/>
                <w:szCs w:val="20"/>
              </w:rPr>
              <w:t>化工</w:t>
            </w:r>
            <w:r>
              <w:rPr>
                <w:rFonts w:cs="Times New Roman"/>
                <w:kern w:val="0"/>
                <w:szCs w:val="20"/>
              </w:rPr>
              <w:t>园区</w:t>
            </w:r>
            <w:r>
              <w:rPr>
                <w:rFonts w:hint="eastAsia" w:cs="Times New Roman"/>
                <w:kern w:val="0"/>
                <w:szCs w:val="20"/>
              </w:rPr>
              <w:t>安全</w:t>
            </w:r>
            <w:r>
              <w:rPr>
                <w:rFonts w:cs="Times New Roman"/>
                <w:kern w:val="0"/>
                <w:szCs w:val="20"/>
              </w:rPr>
              <w:t>风险等级</w:t>
            </w:r>
            <w:r>
              <w:rPr>
                <w:rFonts w:hint="eastAsia" w:cs="Times New Roman"/>
                <w:kern w:val="0"/>
                <w:szCs w:val="20"/>
              </w:rPr>
              <w:t>的</w:t>
            </w:r>
            <w:r>
              <w:rPr>
                <w:rFonts w:cs="Times New Roman"/>
                <w:kern w:val="0"/>
                <w:szCs w:val="20"/>
              </w:rPr>
              <w:t>公告</w:t>
            </w:r>
            <w:r>
              <w:rPr>
                <w:rFonts w:hint="eastAsia" w:cs="Times New Roman"/>
                <w:kern w:val="0"/>
                <w:szCs w:val="20"/>
              </w:rPr>
              <w:t>》（安徽省</w:t>
            </w:r>
            <w:r>
              <w:rPr>
                <w:rFonts w:cs="Times New Roman"/>
                <w:kern w:val="0"/>
                <w:szCs w:val="20"/>
              </w:rPr>
              <w:t>应急管理厅</w:t>
            </w:r>
            <w:r>
              <w:rPr>
                <w:rFonts w:hint="eastAsia" w:cs="Times New Roman"/>
                <w:kern w:val="0"/>
                <w:szCs w:val="20"/>
              </w:rPr>
              <w:t>公告 2021年 第4号）中蚌埠淮上</w:t>
            </w:r>
            <w:r>
              <w:rPr>
                <w:rFonts w:cs="Times New Roman"/>
                <w:kern w:val="0"/>
                <w:szCs w:val="20"/>
              </w:rPr>
              <w:t>化工园区</w:t>
            </w:r>
            <w:r>
              <w:rPr>
                <w:rFonts w:hint="eastAsia" w:cs="Times New Roman"/>
                <w:kern w:val="0"/>
                <w:szCs w:val="20"/>
              </w:rPr>
              <w:t>安全</w:t>
            </w:r>
            <w:r>
              <w:rPr>
                <w:rFonts w:cs="Times New Roman"/>
                <w:kern w:val="0"/>
                <w:szCs w:val="20"/>
              </w:rPr>
              <w:t>风险</w:t>
            </w:r>
            <w:r>
              <w:rPr>
                <w:rFonts w:hint="eastAsia" w:cs="Times New Roman"/>
                <w:kern w:val="0"/>
                <w:szCs w:val="20"/>
              </w:rPr>
              <w:t>等级</w:t>
            </w:r>
            <w:r>
              <w:rPr>
                <w:rFonts w:cs="Times New Roman"/>
                <w:kern w:val="0"/>
                <w:szCs w:val="20"/>
              </w:rPr>
              <w:t>为C级</w:t>
            </w:r>
            <w:r>
              <w:rPr>
                <w:rFonts w:hint="eastAsia" w:cs="Times New Roman"/>
                <w:kern w:val="0"/>
                <w:szCs w:val="20"/>
              </w:rPr>
              <w:t>（一般</w:t>
            </w:r>
            <w:r>
              <w:rPr>
                <w:rFonts w:cs="Times New Roman"/>
                <w:kern w:val="0"/>
                <w:szCs w:val="20"/>
              </w:rPr>
              <w:t>安全风险等级</w:t>
            </w:r>
            <w:r>
              <w:rPr>
                <w:rFonts w:hint="eastAsia" w:cs="Times New Roman"/>
                <w:kern w:val="0"/>
                <w:szCs w:val="20"/>
              </w:rPr>
              <w:t>）。</w:t>
            </w:r>
          </w:p>
        </w:tc>
        <w:tc>
          <w:tcPr>
            <w:tcW w:w="361" w:type="pct"/>
            <w:vAlign w:val="center"/>
          </w:tcPr>
          <w:p w14:paraId="3C006335">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1CDFCA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543E6137">
            <w:pPr>
              <w:pStyle w:val="445"/>
              <w:rPr>
                <w:rFonts w:cs="Times New Roman"/>
                <w:kern w:val="0"/>
                <w:szCs w:val="20"/>
              </w:rPr>
            </w:pPr>
          </w:p>
        </w:tc>
        <w:tc>
          <w:tcPr>
            <w:tcW w:w="649" w:type="pct"/>
            <w:vMerge w:val="continue"/>
            <w:vAlign w:val="center"/>
          </w:tcPr>
          <w:p w14:paraId="78244F46">
            <w:pPr>
              <w:pStyle w:val="445"/>
              <w:rPr>
                <w:rFonts w:cs="Times New Roman"/>
                <w:kern w:val="0"/>
                <w:szCs w:val="20"/>
              </w:rPr>
            </w:pPr>
          </w:p>
        </w:tc>
        <w:tc>
          <w:tcPr>
            <w:tcW w:w="1802" w:type="pct"/>
            <w:vAlign w:val="center"/>
          </w:tcPr>
          <w:p w14:paraId="5F107DC4">
            <w:pPr>
              <w:pStyle w:val="445"/>
              <w:rPr>
                <w:rFonts w:cs="Times New Roman"/>
                <w:kern w:val="0"/>
                <w:szCs w:val="20"/>
              </w:rPr>
            </w:pPr>
            <w:r>
              <w:rPr>
                <w:rFonts w:hint="eastAsia" w:cs="Times New Roman"/>
                <w:kern w:val="0"/>
                <w:szCs w:val="20"/>
              </w:rPr>
              <w:t>严格</w:t>
            </w:r>
            <w:r>
              <w:rPr>
                <w:rFonts w:cs="Times New Roman"/>
                <w:kern w:val="0"/>
                <w:szCs w:val="20"/>
              </w:rPr>
              <w:t>生态环境准入。</w:t>
            </w:r>
            <w:r>
              <w:rPr>
                <w:rFonts w:hint="eastAsia" w:cs="Times New Roman"/>
                <w:kern w:val="0"/>
                <w:szCs w:val="20"/>
              </w:rPr>
              <w:t>新</w:t>
            </w:r>
            <w:r>
              <w:rPr>
                <w:rFonts w:cs="Times New Roman"/>
                <w:kern w:val="0"/>
                <w:szCs w:val="20"/>
              </w:rPr>
              <w:t>（</w:t>
            </w:r>
            <w:r>
              <w:rPr>
                <w:rFonts w:hint="eastAsia" w:cs="Times New Roman"/>
                <w:kern w:val="0"/>
                <w:szCs w:val="20"/>
              </w:rPr>
              <w:t>改</w:t>
            </w:r>
            <w:r>
              <w:rPr>
                <w:rFonts w:cs="Times New Roman"/>
                <w:kern w:val="0"/>
                <w:szCs w:val="20"/>
              </w:rPr>
              <w:t>、扩）</w:t>
            </w:r>
            <w:r>
              <w:rPr>
                <w:rFonts w:hint="eastAsia" w:cs="Times New Roman"/>
                <w:kern w:val="0"/>
                <w:szCs w:val="20"/>
              </w:rPr>
              <w:t>建化工</w:t>
            </w:r>
            <w:r>
              <w:rPr>
                <w:rFonts w:cs="Times New Roman"/>
                <w:kern w:val="0"/>
                <w:szCs w:val="20"/>
              </w:rPr>
              <w:t>项目应与“</w:t>
            </w:r>
            <w:r>
              <w:rPr>
                <w:rFonts w:hint="eastAsia" w:cs="Times New Roman"/>
                <w:kern w:val="0"/>
                <w:szCs w:val="20"/>
              </w:rPr>
              <w:t>三线</w:t>
            </w:r>
            <w:r>
              <w:rPr>
                <w:rFonts w:cs="Times New Roman"/>
                <w:kern w:val="0"/>
                <w:szCs w:val="20"/>
              </w:rPr>
              <w:t>一单”</w:t>
            </w:r>
            <w:r>
              <w:rPr>
                <w:rFonts w:hint="eastAsia" w:cs="Times New Roman"/>
                <w:kern w:val="0"/>
                <w:szCs w:val="20"/>
              </w:rPr>
              <w:t>（生态</w:t>
            </w:r>
            <w:r>
              <w:rPr>
                <w:rFonts w:cs="Times New Roman"/>
                <w:kern w:val="0"/>
                <w:szCs w:val="20"/>
              </w:rPr>
              <w:t>保护红线、环境质量底线、资源利用上线和生态环境准入清单</w:t>
            </w:r>
            <w:r>
              <w:rPr>
                <w:rFonts w:hint="eastAsia" w:cs="Times New Roman"/>
                <w:kern w:val="0"/>
                <w:szCs w:val="20"/>
              </w:rPr>
              <w:t>）相</w:t>
            </w:r>
            <w:r>
              <w:rPr>
                <w:rFonts w:cs="Times New Roman"/>
                <w:kern w:val="0"/>
                <w:szCs w:val="20"/>
              </w:rPr>
              <w:t>协调，并符合</w:t>
            </w:r>
            <w:r>
              <w:rPr>
                <w:rFonts w:hint="eastAsia" w:cs="Times New Roman"/>
                <w:kern w:val="0"/>
                <w:szCs w:val="20"/>
              </w:rPr>
              <w:t>国土空间</w:t>
            </w:r>
            <w:r>
              <w:rPr>
                <w:rFonts w:cs="Times New Roman"/>
                <w:kern w:val="0"/>
                <w:szCs w:val="20"/>
              </w:rPr>
              <w:t>规划及规划环评的要求</w:t>
            </w:r>
            <w:r>
              <w:rPr>
                <w:rFonts w:hint="eastAsia" w:cs="Times New Roman"/>
                <w:kern w:val="0"/>
                <w:szCs w:val="20"/>
              </w:rPr>
              <w:t>。</w:t>
            </w:r>
          </w:p>
          <w:p w14:paraId="32E17B65">
            <w:pPr>
              <w:pStyle w:val="445"/>
              <w:rPr>
                <w:rFonts w:cs="Times New Roman"/>
                <w:kern w:val="0"/>
                <w:szCs w:val="20"/>
              </w:rPr>
            </w:pPr>
            <w:r>
              <w:rPr>
                <w:rFonts w:hint="eastAsia" w:cs="Times New Roman"/>
                <w:kern w:val="0"/>
                <w:szCs w:val="20"/>
              </w:rPr>
              <w:t>按</w:t>
            </w:r>
            <w:r>
              <w:rPr>
                <w:rFonts w:cs="Times New Roman"/>
                <w:kern w:val="0"/>
                <w:szCs w:val="20"/>
              </w:rPr>
              <w:t>有关规定设置合理的环境防护距离，环境防护距离内不得有居民区、学校医院等</w:t>
            </w:r>
            <w:r>
              <w:rPr>
                <w:rFonts w:hint="eastAsia" w:cs="Times New Roman"/>
                <w:kern w:val="0"/>
                <w:szCs w:val="20"/>
              </w:rPr>
              <w:t>环境</w:t>
            </w:r>
            <w:r>
              <w:rPr>
                <w:rFonts w:cs="Times New Roman"/>
                <w:kern w:val="0"/>
                <w:szCs w:val="20"/>
              </w:rPr>
              <w:t>敏感目标。</w:t>
            </w:r>
          </w:p>
          <w:p w14:paraId="02DB0F89">
            <w:pPr>
              <w:pStyle w:val="445"/>
              <w:rPr>
                <w:rFonts w:cs="Times New Roman"/>
                <w:kern w:val="0"/>
                <w:szCs w:val="20"/>
              </w:rPr>
            </w:pPr>
            <w:r>
              <w:rPr>
                <w:rFonts w:hint="eastAsia" w:cs="Times New Roman"/>
                <w:kern w:val="0"/>
                <w:szCs w:val="20"/>
              </w:rPr>
              <w:t>新</w:t>
            </w:r>
            <w:r>
              <w:rPr>
                <w:rFonts w:cs="Times New Roman"/>
                <w:kern w:val="0"/>
                <w:szCs w:val="20"/>
              </w:rPr>
              <w:t>（</w:t>
            </w:r>
            <w:r>
              <w:rPr>
                <w:rFonts w:hint="eastAsia" w:cs="Times New Roman"/>
                <w:kern w:val="0"/>
                <w:szCs w:val="20"/>
              </w:rPr>
              <w:t>改</w:t>
            </w:r>
            <w:r>
              <w:rPr>
                <w:rFonts w:cs="Times New Roman"/>
                <w:kern w:val="0"/>
                <w:szCs w:val="20"/>
              </w:rPr>
              <w:t>、扩）</w:t>
            </w:r>
            <w:r>
              <w:rPr>
                <w:rFonts w:hint="eastAsia" w:cs="Times New Roman"/>
                <w:kern w:val="0"/>
                <w:szCs w:val="20"/>
              </w:rPr>
              <w:t>建化工</w:t>
            </w:r>
            <w:r>
              <w:rPr>
                <w:rFonts w:cs="Times New Roman"/>
                <w:kern w:val="0"/>
                <w:szCs w:val="20"/>
              </w:rPr>
              <w:t>项目</w:t>
            </w:r>
            <w:r>
              <w:rPr>
                <w:rFonts w:hint="eastAsia" w:cs="Times New Roman"/>
                <w:kern w:val="0"/>
                <w:szCs w:val="20"/>
              </w:rPr>
              <w:t>污染物排放</w:t>
            </w:r>
            <w:r>
              <w:rPr>
                <w:rFonts w:cs="Times New Roman"/>
                <w:kern w:val="0"/>
                <w:szCs w:val="20"/>
              </w:rPr>
              <w:t>执行相应行业特别排放限值，采取有效措施控制特征污染物的</w:t>
            </w:r>
            <w:r>
              <w:rPr>
                <w:rFonts w:hint="eastAsia" w:cs="Times New Roman"/>
                <w:kern w:val="0"/>
                <w:szCs w:val="20"/>
              </w:rPr>
              <w:t>逸散和排放</w:t>
            </w:r>
            <w:r>
              <w:rPr>
                <w:rFonts w:cs="Times New Roman"/>
                <w:kern w:val="0"/>
                <w:szCs w:val="20"/>
              </w:rPr>
              <w:t>，无组织排放应达到相应标准</w:t>
            </w:r>
            <w:r>
              <w:rPr>
                <w:rFonts w:hint="eastAsia" w:cs="Times New Roman"/>
                <w:kern w:val="0"/>
                <w:szCs w:val="20"/>
              </w:rPr>
              <w:t>。</w:t>
            </w:r>
          </w:p>
          <w:p w14:paraId="24021788">
            <w:pPr>
              <w:pStyle w:val="445"/>
              <w:rPr>
                <w:rFonts w:cs="Times New Roman"/>
                <w:kern w:val="0"/>
                <w:szCs w:val="20"/>
              </w:rPr>
            </w:pPr>
            <w:r>
              <w:rPr>
                <w:rFonts w:cs="Times New Roman"/>
                <w:kern w:val="0"/>
                <w:szCs w:val="20"/>
              </w:rPr>
              <w:t>严禁生产废水直接外排</w:t>
            </w:r>
            <w:r>
              <w:rPr>
                <w:rFonts w:hint="eastAsia" w:cs="Times New Roman"/>
                <w:kern w:val="0"/>
                <w:szCs w:val="20"/>
              </w:rPr>
              <w:t>，</w:t>
            </w:r>
            <w:r>
              <w:rPr>
                <w:rFonts w:cs="Times New Roman"/>
                <w:kern w:val="0"/>
                <w:szCs w:val="20"/>
              </w:rPr>
              <w:t>产生的</w:t>
            </w:r>
            <w:r>
              <w:rPr>
                <w:rFonts w:hint="eastAsia" w:cs="Times New Roman"/>
                <w:kern w:val="0"/>
                <w:szCs w:val="20"/>
              </w:rPr>
              <w:t>生化</w:t>
            </w:r>
            <w:r>
              <w:rPr>
                <w:rFonts w:cs="Times New Roman"/>
                <w:kern w:val="0"/>
                <w:szCs w:val="20"/>
              </w:rPr>
              <w:t>污泥或盐泥等固体废物要按照废物属性</w:t>
            </w:r>
            <w:r>
              <w:rPr>
                <w:rFonts w:hint="eastAsia" w:cs="Times New Roman"/>
                <w:kern w:val="0"/>
                <w:szCs w:val="20"/>
              </w:rPr>
              <w:t>分类</w:t>
            </w:r>
            <w:r>
              <w:rPr>
                <w:rFonts w:cs="Times New Roman"/>
                <w:kern w:val="0"/>
                <w:szCs w:val="20"/>
              </w:rPr>
              <w:t>收集</w:t>
            </w:r>
            <w:r>
              <w:rPr>
                <w:rFonts w:hint="eastAsia" w:cs="Times New Roman"/>
                <w:kern w:val="0"/>
                <w:szCs w:val="20"/>
              </w:rPr>
              <w:t>、</w:t>
            </w:r>
            <w:r>
              <w:rPr>
                <w:rFonts w:cs="Times New Roman"/>
                <w:kern w:val="0"/>
                <w:szCs w:val="20"/>
              </w:rPr>
              <w:t>贮存和处理，蒸发塘、晾晒池、氧化塘、暂存池等要严格按照</w:t>
            </w:r>
            <w:r>
              <w:rPr>
                <w:rFonts w:hint="eastAsia" w:cs="Times New Roman"/>
                <w:kern w:val="0"/>
                <w:szCs w:val="20"/>
              </w:rPr>
              <w:t>相关</w:t>
            </w:r>
            <w:r>
              <w:rPr>
                <w:rFonts w:cs="Times New Roman"/>
                <w:kern w:val="0"/>
                <w:szCs w:val="20"/>
              </w:rPr>
              <w:t>标准进行建设</w:t>
            </w:r>
            <w:r>
              <w:rPr>
                <w:rFonts w:hint="eastAsia" w:cs="Times New Roman"/>
                <w:kern w:val="0"/>
                <w:szCs w:val="20"/>
              </w:rPr>
              <w:t>。</w:t>
            </w:r>
          </w:p>
        </w:tc>
        <w:tc>
          <w:tcPr>
            <w:tcW w:w="1952" w:type="pct"/>
            <w:vAlign w:val="center"/>
          </w:tcPr>
          <w:p w14:paraId="59BAAF5B">
            <w:pPr>
              <w:pStyle w:val="445"/>
              <w:rPr>
                <w:rFonts w:cs="Times New Roman"/>
                <w:kern w:val="0"/>
                <w:szCs w:val="20"/>
              </w:rPr>
            </w:pPr>
            <w:r>
              <w:rPr>
                <w:rFonts w:hint="eastAsia" w:cs="Times New Roman"/>
                <w:bCs/>
                <w:kern w:val="0"/>
                <w:szCs w:val="20"/>
              </w:rPr>
              <w:t>本项目符合“三线一单”（</w:t>
            </w:r>
            <w:r>
              <w:rPr>
                <w:rFonts w:hint="eastAsia" w:cs="Times New Roman"/>
                <w:kern w:val="0"/>
                <w:szCs w:val="20"/>
              </w:rPr>
              <w:t>生态</w:t>
            </w:r>
            <w:r>
              <w:rPr>
                <w:rFonts w:cs="Times New Roman"/>
                <w:kern w:val="0"/>
                <w:szCs w:val="20"/>
              </w:rPr>
              <w:t>保护红线、环境质量底线、资源利用上线和生态环境准入清单</w:t>
            </w:r>
            <w:r>
              <w:rPr>
                <w:rFonts w:hint="eastAsia" w:cs="Times New Roman"/>
                <w:kern w:val="0"/>
                <w:szCs w:val="20"/>
              </w:rPr>
              <w:t>）相</w:t>
            </w:r>
            <w:r>
              <w:rPr>
                <w:rFonts w:cs="Times New Roman"/>
                <w:kern w:val="0"/>
                <w:szCs w:val="20"/>
              </w:rPr>
              <w:t>协调，并符合园区产业定位、园区规划及规划环评的要求</w:t>
            </w:r>
            <w:r>
              <w:rPr>
                <w:rFonts w:hint="eastAsia" w:cs="Times New Roman"/>
                <w:kern w:val="0"/>
                <w:szCs w:val="20"/>
              </w:rPr>
              <w:t>。</w:t>
            </w:r>
          </w:p>
          <w:p w14:paraId="7CD8F486">
            <w:pPr>
              <w:pStyle w:val="445"/>
              <w:rPr>
                <w:rFonts w:ascii="宋体" w:hAnsi="宋体" w:cs="Times New Roman"/>
                <w:kern w:val="0"/>
                <w:szCs w:val="20"/>
              </w:rPr>
            </w:pPr>
            <w:r>
              <w:rPr>
                <w:rFonts w:cs="Times New Roman"/>
                <w:kern w:val="0"/>
                <w:szCs w:val="20"/>
              </w:rPr>
              <w:t>本项目环境防护距离为</w:t>
            </w:r>
            <w:r>
              <w:rPr>
                <w:rFonts w:hint="eastAsia" w:cs="Times New Roman"/>
                <w:kern w:val="0"/>
                <w:szCs w:val="20"/>
              </w:rPr>
              <w:t>500</w:t>
            </w:r>
            <w:r>
              <w:rPr>
                <w:rFonts w:cs="Times New Roman"/>
                <w:kern w:val="0"/>
                <w:szCs w:val="20"/>
              </w:rPr>
              <w:t>m，</w:t>
            </w:r>
            <w:r>
              <w:rPr>
                <w:rFonts w:hint="eastAsia" w:ascii="宋体" w:hAnsi="宋体" w:cs="Times New Roman"/>
                <w:kern w:val="0"/>
                <w:szCs w:val="20"/>
              </w:rPr>
              <w:t>目前在此范围内没有居民点以及学校、医院等敏感目标，今后该防护距离范围内也不得新建居民、学校、医院等环境敏感目标。</w:t>
            </w:r>
          </w:p>
          <w:p w14:paraId="3BF046DE">
            <w:pPr>
              <w:pStyle w:val="445"/>
              <w:rPr>
                <w:rFonts w:cs="Times New Roman"/>
                <w:kern w:val="0"/>
                <w:szCs w:val="20"/>
              </w:rPr>
            </w:pPr>
            <w:r>
              <w:rPr>
                <w:rFonts w:hint="eastAsia" w:ascii="宋体" w:hAnsi="宋体" w:cs="Times New Roman"/>
                <w:kern w:val="0"/>
                <w:szCs w:val="20"/>
              </w:rPr>
              <w:t>本项目废气排放</w:t>
            </w:r>
            <w:r>
              <w:rPr>
                <w:rFonts w:ascii="宋体" w:hAnsi="宋体" w:cs="Times New Roman"/>
                <w:kern w:val="0"/>
                <w:szCs w:val="20"/>
              </w:rPr>
              <w:t>执行《</w:t>
            </w:r>
            <w:r>
              <w:rPr>
                <w:rFonts w:hint="eastAsia" w:ascii="宋体" w:hAnsi="宋体" w:cs="Times New Roman"/>
                <w:kern w:val="0"/>
                <w:szCs w:val="20"/>
              </w:rPr>
              <w:t>大气</w:t>
            </w:r>
            <w:r>
              <w:rPr>
                <w:rFonts w:ascii="宋体" w:hAnsi="宋体" w:cs="Times New Roman"/>
                <w:kern w:val="0"/>
                <w:szCs w:val="20"/>
              </w:rPr>
              <w:t>污染物综合排放标准》</w:t>
            </w:r>
            <w:r>
              <w:rPr>
                <w:rFonts w:cs="Times New Roman"/>
                <w:kern w:val="0"/>
                <w:szCs w:val="20"/>
              </w:rPr>
              <w:t>（GB16297-1996）</w:t>
            </w:r>
            <w:r>
              <w:rPr>
                <w:rFonts w:hint="eastAsia" w:cs="Times New Roman"/>
                <w:kern w:val="0"/>
                <w:szCs w:val="20"/>
              </w:rPr>
              <w:t>和</w:t>
            </w: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r>
              <w:rPr>
                <w:rFonts w:hint="eastAsia" w:cs="Times New Roman"/>
                <w:kern w:val="0"/>
                <w:szCs w:val="20"/>
              </w:rPr>
              <w:t>特别</w:t>
            </w:r>
            <w:r>
              <w:rPr>
                <w:rFonts w:cs="Times New Roman"/>
                <w:kern w:val="0"/>
                <w:szCs w:val="20"/>
              </w:rPr>
              <w:t>排放限值</w:t>
            </w:r>
            <w:r>
              <w:rPr>
                <w:rFonts w:hint="eastAsia" w:cs="Times New Roman"/>
                <w:kern w:val="0"/>
                <w:szCs w:val="20"/>
              </w:rPr>
              <w:t>，VOCs无组织排放参照执行《挥发性有机物无组织排放控制标准》（GB37822-2019）附录A中非甲烷总烃特别排放限值。</w:t>
            </w:r>
          </w:p>
          <w:p w14:paraId="7F4D93D8">
            <w:pPr>
              <w:pStyle w:val="445"/>
              <w:rPr>
                <w:rFonts w:cs="Times New Roman"/>
                <w:bCs/>
                <w:kern w:val="0"/>
                <w:szCs w:val="20"/>
              </w:rPr>
            </w:pPr>
            <w:r>
              <w:rPr>
                <w:rFonts w:hint="eastAsia" w:cs="Times New Roman"/>
                <w:kern w:val="0"/>
                <w:szCs w:val="20"/>
              </w:rPr>
              <w:t>本项目</w:t>
            </w:r>
            <w:r>
              <w:rPr>
                <w:rFonts w:cs="Times New Roman"/>
                <w:kern w:val="0"/>
                <w:szCs w:val="20"/>
              </w:rPr>
              <w:t>废水</w:t>
            </w:r>
            <w:r>
              <w:rPr>
                <w:rFonts w:hint="eastAsia" w:cs="Times New Roman"/>
                <w:kern w:val="0"/>
                <w:szCs w:val="20"/>
              </w:rPr>
              <w:t>经预处理</w:t>
            </w:r>
            <w:r>
              <w:rPr>
                <w:rFonts w:cs="Times New Roman"/>
                <w:kern w:val="0"/>
                <w:szCs w:val="20"/>
              </w:rPr>
              <w:t>和污水处理站处理后，达到</w:t>
            </w:r>
            <w:r>
              <w:rPr>
                <w:rFonts w:ascii="宋体" w:hAnsi="宋体" w:cs="Times New Roman"/>
                <w:kern w:val="0"/>
                <w:szCs w:val="20"/>
              </w:rPr>
              <w:t>沫河口园区污水处理厂接管标准</w:t>
            </w:r>
            <w:r>
              <w:rPr>
                <w:rFonts w:hint="eastAsia" w:ascii="宋体" w:hAnsi="宋体" w:cs="Times New Roman"/>
                <w:kern w:val="0"/>
                <w:szCs w:val="20"/>
              </w:rPr>
              <w:t>、《污水综合排放标准》（</w:t>
            </w:r>
            <w:r>
              <w:rPr>
                <w:rFonts w:hint="eastAsia" w:cs="Times New Roman"/>
                <w:kern w:val="0"/>
                <w:szCs w:val="20"/>
              </w:rPr>
              <w:t>G</w:t>
            </w:r>
            <w:r>
              <w:rPr>
                <w:rFonts w:cs="Times New Roman"/>
                <w:kern w:val="0"/>
                <w:szCs w:val="20"/>
              </w:rPr>
              <w:t>B8978-1996</w:t>
            </w:r>
            <w:r>
              <w:rPr>
                <w:rFonts w:hint="eastAsia" w:ascii="宋体" w:hAnsi="宋体" w:cs="Times New Roman"/>
                <w:kern w:val="0"/>
                <w:szCs w:val="20"/>
              </w:rPr>
              <w:t>）中表</w:t>
            </w:r>
            <w:r>
              <w:rPr>
                <w:rFonts w:hint="eastAsia" w:cs="Times New Roman"/>
                <w:kern w:val="0"/>
                <w:szCs w:val="20"/>
              </w:rPr>
              <w:t>4</w:t>
            </w:r>
            <w:r>
              <w:rPr>
                <w:rFonts w:hint="eastAsia" w:ascii="宋体" w:hAnsi="宋体" w:cs="Times New Roman"/>
                <w:kern w:val="0"/>
                <w:szCs w:val="20"/>
              </w:rPr>
              <w:t>的三级标准和</w:t>
            </w:r>
            <w:r>
              <w:rPr>
                <w:rFonts w:hint="eastAsia" w:cs="Times New Roman"/>
                <w:kern w:val="0"/>
                <w:szCs w:val="24"/>
              </w:rPr>
              <w:t>《无机化学工业污染物排放标准》（GB31573-2015）水污染物间接排放限值水污染物间接排放限值接管</w:t>
            </w:r>
            <w:r>
              <w:rPr>
                <w:rFonts w:cs="Times New Roman"/>
                <w:kern w:val="0"/>
                <w:szCs w:val="24"/>
              </w:rPr>
              <w:t>沫河口园区污水处理厂</w:t>
            </w:r>
            <w:r>
              <w:rPr>
                <w:rFonts w:hint="eastAsia" w:cs="Times New Roman"/>
                <w:kern w:val="0"/>
                <w:szCs w:val="24"/>
              </w:rPr>
              <w:t>。本项目</w:t>
            </w:r>
            <w:r>
              <w:rPr>
                <w:rFonts w:cs="Times New Roman"/>
                <w:kern w:val="0"/>
                <w:szCs w:val="24"/>
              </w:rPr>
              <w:t>污泥</w:t>
            </w:r>
            <w:r>
              <w:rPr>
                <w:rFonts w:hint="eastAsia" w:cs="Times New Roman"/>
                <w:kern w:val="0"/>
                <w:szCs w:val="24"/>
              </w:rPr>
              <w:t>等</w:t>
            </w:r>
            <w:r>
              <w:rPr>
                <w:rFonts w:cs="Times New Roman"/>
                <w:kern w:val="0"/>
                <w:szCs w:val="24"/>
              </w:rPr>
              <w:t>固体废物均按照</w:t>
            </w:r>
            <w:r>
              <w:rPr>
                <w:rFonts w:cs="Times New Roman"/>
                <w:kern w:val="0"/>
                <w:szCs w:val="20"/>
              </w:rPr>
              <w:t>废物属性</w:t>
            </w:r>
            <w:r>
              <w:rPr>
                <w:rFonts w:hint="eastAsia" w:cs="Times New Roman"/>
                <w:kern w:val="0"/>
                <w:szCs w:val="20"/>
              </w:rPr>
              <w:t>分类</w:t>
            </w:r>
            <w:r>
              <w:rPr>
                <w:rFonts w:cs="Times New Roman"/>
                <w:kern w:val="0"/>
                <w:szCs w:val="20"/>
              </w:rPr>
              <w:t>收集</w:t>
            </w:r>
            <w:r>
              <w:rPr>
                <w:rFonts w:hint="eastAsia" w:cs="Times New Roman"/>
                <w:kern w:val="0"/>
                <w:szCs w:val="20"/>
              </w:rPr>
              <w:t>、</w:t>
            </w:r>
            <w:r>
              <w:rPr>
                <w:rFonts w:cs="Times New Roman"/>
                <w:kern w:val="0"/>
                <w:szCs w:val="20"/>
              </w:rPr>
              <w:t>贮存和处理</w:t>
            </w:r>
            <w:r>
              <w:rPr>
                <w:rFonts w:hint="eastAsia" w:cs="Times New Roman"/>
                <w:kern w:val="0"/>
                <w:szCs w:val="20"/>
              </w:rPr>
              <w:t>，</w:t>
            </w:r>
            <w:r>
              <w:rPr>
                <w:rFonts w:cs="Times New Roman"/>
                <w:kern w:val="0"/>
                <w:szCs w:val="20"/>
              </w:rPr>
              <w:t>危废</w:t>
            </w:r>
            <w:r>
              <w:rPr>
                <w:rFonts w:hint="eastAsia" w:cs="Times New Roman"/>
                <w:kern w:val="0"/>
                <w:szCs w:val="20"/>
              </w:rPr>
              <w:t>库</w:t>
            </w:r>
            <w:r>
              <w:rPr>
                <w:rFonts w:cs="Times New Roman"/>
                <w:kern w:val="0"/>
                <w:szCs w:val="20"/>
              </w:rPr>
              <w:t>、污泥</w:t>
            </w:r>
            <w:r>
              <w:rPr>
                <w:rFonts w:hint="eastAsia" w:cs="Times New Roman"/>
                <w:kern w:val="0"/>
                <w:szCs w:val="20"/>
              </w:rPr>
              <w:t>库</w:t>
            </w:r>
            <w:r>
              <w:rPr>
                <w:rFonts w:cs="Times New Roman"/>
                <w:kern w:val="0"/>
                <w:szCs w:val="20"/>
              </w:rPr>
              <w:t>等均按</w:t>
            </w:r>
            <w:r>
              <w:rPr>
                <w:rFonts w:hint="eastAsia" w:cs="Times New Roman"/>
                <w:kern w:val="0"/>
                <w:szCs w:val="20"/>
              </w:rPr>
              <w:t>相关</w:t>
            </w:r>
            <w:r>
              <w:rPr>
                <w:rFonts w:cs="Times New Roman"/>
                <w:kern w:val="0"/>
                <w:szCs w:val="20"/>
              </w:rPr>
              <w:t>标准进行建设。</w:t>
            </w:r>
          </w:p>
        </w:tc>
        <w:tc>
          <w:tcPr>
            <w:tcW w:w="361" w:type="pct"/>
            <w:vAlign w:val="center"/>
          </w:tcPr>
          <w:p w14:paraId="5E2DC4B2">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3C0F3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507B1C15">
            <w:pPr>
              <w:pStyle w:val="445"/>
              <w:rPr>
                <w:rFonts w:cs="Times New Roman"/>
                <w:kern w:val="0"/>
                <w:szCs w:val="20"/>
              </w:rPr>
            </w:pPr>
            <w:r>
              <w:rPr>
                <w:rFonts w:cs="Times New Roman"/>
                <w:kern w:val="0"/>
                <w:szCs w:val="20"/>
              </w:rPr>
              <w:t>4</w:t>
            </w:r>
          </w:p>
        </w:tc>
        <w:tc>
          <w:tcPr>
            <w:tcW w:w="649" w:type="pct"/>
            <w:vAlign w:val="center"/>
          </w:tcPr>
          <w:p w14:paraId="1DF1391B">
            <w:pPr>
              <w:pStyle w:val="445"/>
              <w:rPr>
                <w:rFonts w:cs="Times New Roman"/>
                <w:kern w:val="0"/>
                <w:szCs w:val="20"/>
              </w:rPr>
            </w:pPr>
            <w:r>
              <w:rPr>
                <w:rFonts w:cs="Times New Roman"/>
                <w:kern w:val="0"/>
                <w:szCs w:val="20"/>
              </w:rPr>
              <w:t>安徽省环保厅关于进一步明确淮河巢湖流域重污染行业项目省级环保预审范围及内容的通知</w:t>
            </w:r>
          </w:p>
        </w:tc>
        <w:tc>
          <w:tcPr>
            <w:tcW w:w="1802" w:type="pct"/>
            <w:vAlign w:val="center"/>
          </w:tcPr>
          <w:p w14:paraId="4A2894BA">
            <w:pPr>
              <w:pStyle w:val="445"/>
              <w:rPr>
                <w:rFonts w:cs="Times New Roman"/>
                <w:kern w:val="0"/>
                <w:szCs w:val="20"/>
              </w:rPr>
            </w:pPr>
            <w:r>
              <w:rPr>
                <w:rFonts w:cs="Times New Roman"/>
                <w:kern w:val="0"/>
                <w:szCs w:val="20"/>
                <w:shd w:val="clear" w:color="auto" w:fill="FFFFFF"/>
              </w:rPr>
              <w:t>淮河、巢湖流域各市新建、改建、扩建的大中型制革、化工、电镀、酿造、造纸项目中，环评文件非省厅审批的项目，需试行省级环保预审制度</w:t>
            </w:r>
          </w:p>
        </w:tc>
        <w:tc>
          <w:tcPr>
            <w:tcW w:w="1952" w:type="pct"/>
            <w:vAlign w:val="center"/>
          </w:tcPr>
          <w:p w14:paraId="11DE8E32">
            <w:pPr>
              <w:pStyle w:val="445"/>
              <w:rPr>
                <w:rFonts w:cs="Times New Roman"/>
                <w:kern w:val="0"/>
                <w:szCs w:val="20"/>
              </w:rPr>
            </w:pPr>
            <w:r>
              <w:rPr>
                <w:rFonts w:cs="Times New Roman"/>
                <w:kern w:val="0"/>
                <w:szCs w:val="20"/>
              </w:rPr>
              <w:t>项目所在地为淮河流域，项目为扩建项目，</w:t>
            </w:r>
            <w:r>
              <w:rPr>
                <w:rFonts w:hint="eastAsia" w:cs="Times New Roman"/>
                <w:kern w:val="0"/>
                <w:szCs w:val="20"/>
              </w:rPr>
              <w:t>原环评</w:t>
            </w:r>
            <w:r>
              <w:rPr>
                <w:rFonts w:cs="Times New Roman"/>
                <w:kern w:val="0"/>
                <w:szCs w:val="20"/>
              </w:rPr>
              <w:t>已</w:t>
            </w:r>
            <w:r>
              <w:rPr>
                <w:rFonts w:hint="eastAsia" w:cs="Times New Roman"/>
                <w:kern w:val="0"/>
                <w:szCs w:val="20"/>
              </w:rPr>
              <w:t>取得《安徽省</w:t>
            </w:r>
            <w:r>
              <w:rPr>
                <w:rFonts w:cs="Times New Roman"/>
                <w:kern w:val="0"/>
                <w:szCs w:val="20"/>
              </w:rPr>
              <w:t>生态环境厅关于安徽</w:t>
            </w:r>
            <w:r>
              <w:rPr>
                <w:rFonts w:hint="eastAsia" w:cs="Times New Roman"/>
                <w:kern w:val="0"/>
                <w:szCs w:val="20"/>
              </w:rPr>
              <w:t>中创</w:t>
            </w:r>
            <w:r>
              <w:rPr>
                <w:rFonts w:cs="Times New Roman"/>
                <w:kern w:val="0"/>
                <w:szCs w:val="20"/>
              </w:rPr>
              <w:t>电子信息材料有限公司年产</w:t>
            </w:r>
            <w:r>
              <w:rPr>
                <w:rFonts w:hint="eastAsia" w:cs="Times New Roman"/>
                <w:kern w:val="0"/>
                <w:szCs w:val="20"/>
              </w:rPr>
              <w:t>5000吨</w:t>
            </w:r>
            <w:r>
              <w:rPr>
                <w:rFonts w:cs="Times New Roman"/>
                <w:kern w:val="0"/>
                <w:szCs w:val="20"/>
              </w:rPr>
              <w:t>超纯二氧化硅项目环保预审的</w:t>
            </w:r>
            <w:r>
              <w:rPr>
                <w:rFonts w:hint="eastAsia" w:cs="Times New Roman"/>
                <w:kern w:val="0"/>
                <w:szCs w:val="20"/>
              </w:rPr>
              <w:t>批复》（皖</w:t>
            </w:r>
            <w:r>
              <w:rPr>
                <w:rFonts w:cs="Times New Roman"/>
                <w:kern w:val="0"/>
                <w:szCs w:val="20"/>
              </w:rPr>
              <w:t>环办复</w:t>
            </w:r>
            <w:r>
              <w:rPr>
                <w:rFonts w:hint="eastAsia" w:cs="Times New Roman"/>
                <w:kern w:val="0"/>
                <w:szCs w:val="20"/>
              </w:rPr>
              <w:t>[</w:t>
            </w:r>
            <w:r>
              <w:rPr>
                <w:rFonts w:cs="Times New Roman"/>
                <w:kern w:val="0"/>
                <w:szCs w:val="20"/>
              </w:rPr>
              <w:t>2022</w:t>
            </w:r>
            <w:r>
              <w:rPr>
                <w:rFonts w:hint="eastAsia" w:cs="Times New Roman"/>
                <w:kern w:val="0"/>
                <w:szCs w:val="20"/>
              </w:rPr>
              <w:t>]</w:t>
            </w:r>
            <w:r>
              <w:rPr>
                <w:rFonts w:cs="Times New Roman"/>
                <w:kern w:val="0"/>
                <w:szCs w:val="20"/>
              </w:rPr>
              <w:t>643</w:t>
            </w:r>
            <w:r>
              <w:rPr>
                <w:rFonts w:hint="eastAsia" w:cs="Times New Roman"/>
                <w:kern w:val="0"/>
                <w:szCs w:val="20"/>
              </w:rPr>
              <w:t>号）</w:t>
            </w:r>
            <w:r>
              <w:rPr>
                <w:rFonts w:cs="Times New Roman"/>
                <w:kern w:val="0"/>
                <w:szCs w:val="20"/>
              </w:rPr>
              <w:t>，同意上述项目开展环评等相关前期工作。</w:t>
            </w:r>
          </w:p>
        </w:tc>
        <w:tc>
          <w:tcPr>
            <w:tcW w:w="361" w:type="pct"/>
            <w:vAlign w:val="center"/>
          </w:tcPr>
          <w:p w14:paraId="2201D9D9">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34354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2DD0E412">
            <w:pPr>
              <w:pStyle w:val="445"/>
              <w:rPr>
                <w:rFonts w:cs="Times New Roman"/>
                <w:kern w:val="0"/>
                <w:szCs w:val="20"/>
              </w:rPr>
            </w:pPr>
            <w:r>
              <w:rPr>
                <w:rFonts w:cs="Times New Roman"/>
                <w:kern w:val="0"/>
                <w:szCs w:val="20"/>
              </w:rPr>
              <w:t>5</w:t>
            </w:r>
          </w:p>
        </w:tc>
        <w:tc>
          <w:tcPr>
            <w:tcW w:w="649" w:type="pct"/>
            <w:vAlign w:val="center"/>
          </w:tcPr>
          <w:p w14:paraId="41CA6313">
            <w:pPr>
              <w:pStyle w:val="445"/>
              <w:rPr>
                <w:rFonts w:cs="Times New Roman"/>
                <w:kern w:val="0"/>
                <w:szCs w:val="20"/>
              </w:rPr>
            </w:pPr>
            <w:r>
              <w:rPr>
                <w:rFonts w:cs="Times New Roman"/>
                <w:kern w:val="0"/>
                <w:szCs w:val="20"/>
              </w:rPr>
              <w:t>《淮河流域水污染防治暂行条例》</w:t>
            </w:r>
          </w:p>
        </w:tc>
        <w:tc>
          <w:tcPr>
            <w:tcW w:w="1802" w:type="pct"/>
            <w:vAlign w:val="center"/>
          </w:tcPr>
          <w:p w14:paraId="0C47B642">
            <w:pPr>
              <w:pStyle w:val="445"/>
              <w:rPr>
                <w:rFonts w:cs="Times New Roman"/>
                <w:kern w:val="0"/>
                <w:szCs w:val="20"/>
              </w:rPr>
            </w:pPr>
            <w:r>
              <w:rPr>
                <w:rFonts w:cs="Times New Roman"/>
                <w:kern w:val="0"/>
                <w:szCs w:val="20"/>
              </w:rPr>
              <w:t>禁止在淮河流域新建化学制浆造纸企业。</w:t>
            </w:r>
          </w:p>
          <w:p w14:paraId="3627BA19">
            <w:pPr>
              <w:pStyle w:val="445"/>
              <w:rPr>
                <w:rFonts w:cs="Times New Roman"/>
                <w:kern w:val="0"/>
                <w:szCs w:val="20"/>
              </w:rPr>
            </w:pPr>
            <w:r>
              <w:rPr>
                <w:rFonts w:cs="Times New Roman"/>
                <w:kern w:val="0"/>
                <w:szCs w:val="20"/>
              </w:rPr>
              <w:t>禁止在淮河流域新建制革、化工、印染、电镀、酿造等污染严重的小型企业。</w:t>
            </w:r>
          </w:p>
          <w:p w14:paraId="2D1B2CCC">
            <w:pPr>
              <w:pStyle w:val="445"/>
              <w:rPr>
                <w:rFonts w:cs="Times New Roman"/>
                <w:kern w:val="0"/>
                <w:szCs w:val="20"/>
              </w:rPr>
            </w:pPr>
            <w:r>
              <w:rPr>
                <w:rFonts w:cs="Times New Roman"/>
                <w:kern w:val="0"/>
                <w:szCs w:val="20"/>
              </w:rPr>
              <w:t>严格限制在淮河流域新建前款所列大中型项目或者其他污染严重的项目；建设该类项目的，必须事先征得有关省人民政府环境保护行政主管部门的同意，并报国务院环境保护行政主管部门备案</w:t>
            </w:r>
          </w:p>
        </w:tc>
        <w:tc>
          <w:tcPr>
            <w:tcW w:w="1952" w:type="pct"/>
            <w:vAlign w:val="center"/>
          </w:tcPr>
          <w:p w14:paraId="06924E2D">
            <w:pPr>
              <w:pStyle w:val="445"/>
              <w:rPr>
                <w:rFonts w:cs="Times New Roman"/>
                <w:kern w:val="0"/>
                <w:szCs w:val="20"/>
              </w:rPr>
            </w:pPr>
            <w:r>
              <w:rPr>
                <w:rFonts w:cs="Times New Roman"/>
                <w:kern w:val="0"/>
                <w:szCs w:val="20"/>
              </w:rPr>
              <w:t>项目所在地为淮河流域，项目为扩建项目，该项目已</w:t>
            </w:r>
            <w:r>
              <w:rPr>
                <w:rFonts w:hint="eastAsia" w:cs="Times New Roman"/>
                <w:kern w:val="0"/>
                <w:szCs w:val="20"/>
              </w:rPr>
              <w:t>取得《安徽省</w:t>
            </w:r>
            <w:r>
              <w:rPr>
                <w:rFonts w:cs="Times New Roman"/>
                <w:kern w:val="0"/>
                <w:szCs w:val="20"/>
              </w:rPr>
              <w:t>生态环境厅关于安徽</w:t>
            </w:r>
            <w:r>
              <w:rPr>
                <w:rFonts w:hint="eastAsia" w:cs="Times New Roman"/>
                <w:kern w:val="0"/>
                <w:szCs w:val="20"/>
              </w:rPr>
              <w:t>中创</w:t>
            </w:r>
            <w:r>
              <w:rPr>
                <w:rFonts w:cs="Times New Roman"/>
                <w:kern w:val="0"/>
                <w:szCs w:val="20"/>
              </w:rPr>
              <w:t>电子信息材料有限公司年产</w:t>
            </w:r>
            <w:r>
              <w:rPr>
                <w:rFonts w:hint="eastAsia" w:cs="Times New Roman"/>
                <w:kern w:val="0"/>
                <w:szCs w:val="20"/>
              </w:rPr>
              <w:t>5000吨</w:t>
            </w:r>
            <w:r>
              <w:rPr>
                <w:rFonts w:cs="Times New Roman"/>
                <w:kern w:val="0"/>
                <w:szCs w:val="20"/>
              </w:rPr>
              <w:t>超纯二氧化硅项目环保预审的</w:t>
            </w:r>
            <w:r>
              <w:rPr>
                <w:rFonts w:hint="eastAsia" w:cs="Times New Roman"/>
                <w:kern w:val="0"/>
                <w:szCs w:val="20"/>
              </w:rPr>
              <w:t>批复》（皖</w:t>
            </w:r>
            <w:r>
              <w:rPr>
                <w:rFonts w:cs="Times New Roman"/>
                <w:kern w:val="0"/>
                <w:szCs w:val="20"/>
              </w:rPr>
              <w:t>环办复</w:t>
            </w:r>
            <w:r>
              <w:rPr>
                <w:rFonts w:hint="eastAsia" w:cs="Times New Roman"/>
                <w:kern w:val="0"/>
                <w:szCs w:val="20"/>
              </w:rPr>
              <w:t>[</w:t>
            </w:r>
            <w:r>
              <w:rPr>
                <w:rFonts w:cs="Times New Roman"/>
                <w:kern w:val="0"/>
                <w:szCs w:val="20"/>
              </w:rPr>
              <w:t>2022</w:t>
            </w:r>
            <w:r>
              <w:rPr>
                <w:rFonts w:hint="eastAsia" w:cs="Times New Roman"/>
                <w:kern w:val="0"/>
                <w:szCs w:val="20"/>
              </w:rPr>
              <w:t>]</w:t>
            </w:r>
            <w:r>
              <w:rPr>
                <w:rFonts w:cs="Times New Roman"/>
                <w:kern w:val="0"/>
                <w:szCs w:val="20"/>
              </w:rPr>
              <w:t>643</w:t>
            </w:r>
            <w:r>
              <w:rPr>
                <w:rFonts w:hint="eastAsia" w:cs="Times New Roman"/>
                <w:kern w:val="0"/>
                <w:szCs w:val="20"/>
              </w:rPr>
              <w:t>号）</w:t>
            </w:r>
            <w:r>
              <w:rPr>
                <w:rFonts w:cs="Times New Roman"/>
                <w:kern w:val="0"/>
                <w:szCs w:val="20"/>
              </w:rPr>
              <w:t>，同意上述项目开展环评等相关前期工作。</w:t>
            </w:r>
          </w:p>
        </w:tc>
        <w:tc>
          <w:tcPr>
            <w:tcW w:w="361" w:type="pct"/>
            <w:vAlign w:val="center"/>
          </w:tcPr>
          <w:p w14:paraId="35CDD370">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100A3F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7AFC5597">
            <w:pPr>
              <w:pStyle w:val="445"/>
              <w:rPr>
                <w:rFonts w:cs="Times New Roman"/>
                <w:kern w:val="0"/>
                <w:szCs w:val="20"/>
              </w:rPr>
            </w:pPr>
            <w:r>
              <w:rPr>
                <w:rFonts w:cs="Times New Roman"/>
                <w:kern w:val="0"/>
                <w:szCs w:val="20"/>
              </w:rPr>
              <w:t>6</w:t>
            </w:r>
          </w:p>
        </w:tc>
        <w:tc>
          <w:tcPr>
            <w:tcW w:w="649" w:type="pct"/>
            <w:vAlign w:val="center"/>
          </w:tcPr>
          <w:p w14:paraId="3D6C8A27">
            <w:pPr>
              <w:pStyle w:val="445"/>
              <w:rPr>
                <w:rFonts w:cs="Times New Roman"/>
                <w:kern w:val="0"/>
                <w:szCs w:val="20"/>
              </w:rPr>
            </w:pPr>
            <w:r>
              <w:rPr>
                <w:rFonts w:cs="Times New Roman"/>
                <w:kern w:val="0"/>
                <w:szCs w:val="20"/>
              </w:rPr>
              <w:t>《安徽省水污染防治工作方</w:t>
            </w:r>
          </w:p>
          <w:p w14:paraId="07FCBD3C">
            <w:pPr>
              <w:pStyle w:val="445"/>
              <w:rPr>
                <w:rFonts w:cs="Times New Roman"/>
                <w:kern w:val="0"/>
                <w:szCs w:val="20"/>
              </w:rPr>
            </w:pPr>
            <w:r>
              <w:rPr>
                <w:rFonts w:cs="Times New Roman"/>
                <w:kern w:val="0"/>
                <w:szCs w:val="20"/>
              </w:rPr>
              <w:t>案》国发[2015]17号</w:t>
            </w:r>
          </w:p>
        </w:tc>
        <w:tc>
          <w:tcPr>
            <w:tcW w:w="1802" w:type="pct"/>
            <w:vAlign w:val="center"/>
          </w:tcPr>
          <w:p w14:paraId="05F449B8">
            <w:pPr>
              <w:pStyle w:val="445"/>
              <w:rPr>
                <w:rFonts w:cs="Times New Roman"/>
                <w:kern w:val="0"/>
                <w:szCs w:val="20"/>
              </w:rPr>
            </w:pPr>
            <w:r>
              <w:rPr>
                <w:rFonts w:cs="Times New Roman"/>
                <w:kern w:val="0"/>
                <w:szCs w:val="20"/>
              </w:rPr>
              <w:t>狠抓工业污染防治。取缔</w:t>
            </w:r>
            <w:r>
              <w:rPr>
                <w:rFonts w:ascii="宋体" w:hAnsi="宋体" w:cs="Times New Roman"/>
                <w:kern w:val="0"/>
                <w:szCs w:val="20"/>
              </w:rPr>
              <w:t>“十小”企</w:t>
            </w:r>
            <w:r>
              <w:rPr>
                <w:rFonts w:cs="Times New Roman"/>
                <w:kern w:val="0"/>
                <w:szCs w:val="20"/>
              </w:rPr>
              <w:t>业。全面排查装备水平低、环保设施差的小型工业企业。</w:t>
            </w:r>
          </w:p>
          <w:p w14:paraId="07BCBDB0">
            <w:pPr>
              <w:pStyle w:val="445"/>
              <w:rPr>
                <w:rFonts w:cs="Times New Roman"/>
                <w:kern w:val="0"/>
                <w:szCs w:val="20"/>
              </w:rPr>
            </w:pPr>
            <w:r>
              <w:rPr>
                <w:rFonts w:cs="Times New Roman"/>
                <w:kern w:val="0"/>
                <w:szCs w:val="20"/>
              </w:rPr>
              <w:t>2016年底前，按照水污染防治法律法规要求，全面排查和取缔不符合国家产业政策的小型造纸、制革、印染、染料、炼焦、炼硫、炼砷、炼油、电镀、农药等严重污染水环境的生产项目。</w:t>
            </w:r>
          </w:p>
        </w:tc>
        <w:tc>
          <w:tcPr>
            <w:tcW w:w="1952" w:type="pct"/>
            <w:vAlign w:val="center"/>
          </w:tcPr>
          <w:p w14:paraId="6EC5B1FF">
            <w:pPr>
              <w:pStyle w:val="445"/>
              <w:rPr>
                <w:rFonts w:cs="Times New Roman"/>
                <w:kern w:val="0"/>
                <w:szCs w:val="20"/>
              </w:rPr>
            </w:pPr>
            <w:r>
              <w:rPr>
                <w:rFonts w:cs="Times New Roman"/>
                <w:kern w:val="0"/>
                <w:szCs w:val="20"/>
              </w:rPr>
              <w:t>企业现有装备及拟建设项目均不属于</w:t>
            </w:r>
            <w:r>
              <w:rPr>
                <w:rFonts w:ascii="宋体" w:hAnsi="宋体" w:cs="Times New Roman"/>
                <w:kern w:val="0"/>
                <w:szCs w:val="20"/>
              </w:rPr>
              <w:t>“十小”</w:t>
            </w:r>
            <w:r>
              <w:rPr>
                <w:rFonts w:cs="Times New Roman"/>
                <w:kern w:val="0"/>
                <w:szCs w:val="20"/>
              </w:rPr>
              <w:t>企业，不属于取缔项目</w:t>
            </w:r>
            <w:r>
              <w:rPr>
                <w:rFonts w:hint="eastAsia" w:cs="Times New Roman"/>
                <w:kern w:val="0"/>
                <w:szCs w:val="20"/>
              </w:rPr>
              <w:t>。</w:t>
            </w:r>
          </w:p>
        </w:tc>
        <w:tc>
          <w:tcPr>
            <w:tcW w:w="361" w:type="pct"/>
            <w:vAlign w:val="center"/>
          </w:tcPr>
          <w:p w14:paraId="314A7228">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05EEB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742E0D5B">
            <w:pPr>
              <w:pStyle w:val="445"/>
              <w:rPr>
                <w:rFonts w:cs="Times New Roman"/>
                <w:kern w:val="0"/>
                <w:szCs w:val="20"/>
              </w:rPr>
            </w:pPr>
            <w:r>
              <w:rPr>
                <w:rFonts w:cs="Times New Roman"/>
                <w:kern w:val="0"/>
                <w:szCs w:val="20"/>
              </w:rPr>
              <w:t>7</w:t>
            </w:r>
          </w:p>
        </w:tc>
        <w:tc>
          <w:tcPr>
            <w:tcW w:w="649" w:type="pct"/>
            <w:vAlign w:val="center"/>
          </w:tcPr>
          <w:p w14:paraId="25C340D7">
            <w:pPr>
              <w:pStyle w:val="445"/>
              <w:rPr>
                <w:rFonts w:cs="Times New Roman"/>
                <w:kern w:val="0"/>
                <w:szCs w:val="20"/>
              </w:rPr>
            </w:pPr>
            <w:r>
              <w:rPr>
                <w:rFonts w:cs="Times New Roman"/>
                <w:kern w:val="0"/>
                <w:szCs w:val="20"/>
              </w:rPr>
              <w:t>《安徽省淮河流域水污染防</w:t>
            </w:r>
          </w:p>
          <w:p w14:paraId="4E9B376B">
            <w:pPr>
              <w:pStyle w:val="445"/>
              <w:rPr>
                <w:rFonts w:cs="Times New Roman"/>
                <w:kern w:val="0"/>
                <w:szCs w:val="20"/>
              </w:rPr>
            </w:pPr>
            <w:r>
              <w:rPr>
                <w:rFonts w:cs="Times New Roman"/>
                <w:kern w:val="0"/>
                <w:szCs w:val="20"/>
              </w:rPr>
              <w:t>治条例</w:t>
            </w:r>
            <w:r>
              <w:rPr>
                <w:rFonts w:hint="eastAsia" w:cs="Times New Roman"/>
                <w:kern w:val="0"/>
                <w:szCs w:val="20"/>
              </w:rPr>
              <w:t>》</w:t>
            </w:r>
          </w:p>
        </w:tc>
        <w:tc>
          <w:tcPr>
            <w:tcW w:w="1802" w:type="pct"/>
            <w:vAlign w:val="center"/>
          </w:tcPr>
          <w:p w14:paraId="33A9F05E">
            <w:pPr>
              <w:pStyle w:val="445"/>
              <w:rPr>
                <w:rFonts w:cs="Times New Roman"/>
                <w:kern w:val="0"/>
                <w:szCs w:val="20"/>
              </w:rPr>
            </w:pPr>
            <w:r>
              <w:rPr>
                <w:rFonts w:cs="Times New Roman"/>
                <w:kern w:val="0"/>
                <w:szCs w:val="20"/>
              </w:rPr>
              <w:t>严格限制在淮河流域新建印染、制革、化工、电镀、酿造等大中型项目或者其他污染严重的项目；建设该类项目的，应当事前征得省人民政府生态环境行政主管部门的同意，并按照规定办理有关手续。</w:t>
            </w:r>
          </w:p>
          <w:p w14:paraId="19772097">
            <w:pPr>
              <w:pStyle w:val="445"/>
              <w:rPr>
                <w:rFonts w:cs="Times New Roman"/>
                <w:kern w:val="0"/>
                <w:szCs w:val="20"/>
              </w:rPr>
            </w:pPr>
            <w:r>
              <w:rPr>
                <w:rFonts w:cs="Times New Roman"/>
                <w:kern w:val="0"/>
                <w:szCs w:val="20"/>
              </w:rPr>
              <w:t>新建、改建、扩建直接或者间接向水体排放污染物的建设项目和其他水上设施，应当依法进行环境影响评价。建设项目的水污染防治设施，应当符合经批准或者备案的环境影响评价文件的要求，并与主体工程同时设计、同时施工、同时投入使用。除执</w:t>
            </w:r>
          </w:p>
          <w:p w14:paraId="0A29FD8D">
            <w:pPr>
              <w:pStyle w:val="445"/>
              <w:rPr>
                <w:rFonts w:cs="Times New Roman"/>
                <w:kern w:val="0"/>
                <w:szCs w:val="20"/>
              </w:rPr>
            </w:pPr>
            <w:r>
              <w:rPr>
                <w:rFonts w:cs="Times New Roman"/>
                <w:kern w:val="0"/>
                <w:szCs w:val="20"/>
              </w:rPr>
              <w:t>行前款规定外，还应当遵守下列规定：新建项目的选址应符合城市总体规划，避开饮用水水源地和对环境有特殊要求的功能区；</w:t>
            </w:r>
          </w:p>
          <w:p w14:paraId="07F0C2A6">
            <w:pPr>
              <w:pStyle w:val="445"/>
              <w:rPr>
                <w:rFonts w:cs="Times New Roman"/>
                <w:kern w:val="0"/>
                <w:szCs w:val="20"/>
              </w:rPr>
            </w:pPr>
            <w:r>
              <w:rPr>
                <w:rFonts w:cs="Times New Roman"/>
                <w:kern w:val="0"/>
                <w:szCs w:val="20"/>
              </w:rPr>
              <w:t>采用资源利用率高、污染物排放量少的先进设备和先进工艺。</w:t>
            </w:r>
          </w:p>
          <w:p w14:paraId="3A68052A">
            <w:pPr>
              <w:pStyle w:val="445"/>
              <w:rPr>
                <w:rFonts w:cs="Times New Roman"/>
                <w:kern w:val="0"/>
                <w:szCs w:val="20"/>
              </w:rPr>
            </w:pPr>
            <w:r>
              <w:rPr>
                <w:rFonts w:cs="Times New Roman"/>
                <w:kern w:val="0"/>
                <w:szCs w:val="20"/>
              </w:rPr>
              <w:t>在饮用水水源保护区内，禁止设置排污口。</w:t>
            </w:r>
          </w:p>
          <w:p w14:paraId="439AF233">
            <w:pPr>
              <w:pStyle w:val="445"/>
              <w:ind w:firstLine="360" w:firstLineChars="200"/>
              <w:rPr>
                <w:rFonts w:cs="Times New Roman"/>
                <w:kern w:val="0"/>
                <w:szCs w:val="20"/>
              </w:rPr>
            </w:pPr>
            <w:r>
              <w:rPr>
                <w:rFonts w:cs="Times New Roman"/>
                <w:kern w:val="0"/>
                <w:szCs w:val="20"/>
              </w:rPr>
              <w:t>禁止下列行为：向水体排放或者倾倒油类、酸液、碱液和其他有毒有害液体；在水体中清洗装贮过有毒有害污染物的车辆、船舶和容器；向水体排放、倾倒含有汞、镉、砷、铬、铅、氰化物、黄磷等可溶性剧毒废液或者将上述物质直接埋入地下；向水体排放、倾倒工业废渣、城镇垃圾和其他废弃物；在河流、湖泊、运河、渠道、水库最高水位线以下的滩地和岸坡堆放、贮存固体废弃物和其他污染物；引进不符合国家环境保护规定要求的技术和设备；法律、法规禁止的其他行为</w:t>
            </w:r>
          </w:p>
        </w:tc>
        <w:tc>
          <w:tcPr>
            <w:tcW w:w="1952" w:type="pct"/>
            <w:vAlign w:val="center"/>
          </w:tcPr>
          <w:p w14:paraId="2A4A757B">
            <w:pPr>
              <w:pStyle w:val="445"/>
              <w:rPr>
                <w:rFonts w:cs="Times New Roman"/>
                <w:kern w:val="0"/>
                <w:szCs w:val="20"/>
              </w:rPr>
            </w:pPr>
            <w:r>
              <w:rPr>
                <w:rFonts w:hint="eastAsia" w:cs="Times New Roman"/>
                <w:kern w:val="0"/>
                <w:szCs w:val="20"/>
              </w:rPr>
              <w:t>扩</w:t>
            </w:r>
            <w:r>
              <w:rPr>
                <w:rFonts w:cs="Times New Roman"/>
                <w:kern w:val="0"/>
                <w:szCs w:val="20"/>
              </w:rPr>
              <w:t>建项目已取得</w:t>
            </w:r>
            <w:r>
              <w:rPr>
                <w:rFonts w:hint="eastAsia" w:cs="Times New Roman"/>
                <w:kern w:val="0"/>
                <w:szCs w:val="20"/>
              </w:rPr>
              <w:t>蚌埠市</w:t>
            </w:r>
            <w:r>
              <w:rPr>
                <w:rFonts w:cs="Times New Roman"/>
                <w:kern w:val="0"/>
                <w:szCs w:val="20"/>
              </w:rPr>
              <w:t>淮上区发展和改革</w:t>
            </w:r>
            <w:r>
              <w:rPr>
                <w:rFonts w:hint="eastAsia" w:cs="Times New Roman"/>
                <w:kern w:val="0"/>
                <w:szCs w:val="20"/>
              </w:rPr>
              <w:t>委员会</w:t>
            </w:r>
            <w:r>
              <w:rPr>
                <w:rFonts w:cs="Times New Roman"/>
                <w:kern w:val="0"/>
                <w:szCs w:val="20"/>
              </w:rPr>
              <w:t>的备案；</w:t>
            </w:r>
          </w:p>
          <w:p w14:paraId="0589B931">
            <w:pPr>
              <w:pStyle w:val="445"/>
              <w:rPr>
                <w:rFonts w:cs="Times New Roman"/>
                <w:kern w:val="0"/>
                <w:szCs w:val="20"/>
              </w:rPr>
            </w:pPr>
            <w:r>
              <w:rPr>
                <w:rFonts w:cs="Times New Roman"/>
                <w:kern w:val="0"/>
                <w:szCs w:val="20"/>
              </w:rPr>
              <w:t>项目位于</w:t>
            </w:r>
            <w:r>
              <w:rPr>
                <w:rFonts w:hint="eastAsia" w:cs="Times New Roman"/>
                <w:kern w:val="0"/>
                <w:szCs w:val="20"/>
              </w:rPr>
              <w:t>蚌埠精细化工高新技术产业基地</w:t>
            </w:r>
            <w:r>
              <w:rPr>
                <w:rFonts w:cs="Times New Roman"/>
                <w:kern w:val="0"/>
                <w:szCs w:val="20"/>
              </w:rPr>
              <w:t>，符合城市总体规划。采用国内先进的生产工艺，设备、工艺先进，节能降耗。</w:t>
            </w:r>
          </w:p>
          <w:p w14:paraId="0F92478C">
            <w:pPr>
              <w:pStyle w:val="445"/>
              <w:rPr>
                <w:rFonts w:cs="Times New Roman"/>
                <w:kern w:val="0"/>
                <w:szCs w:val="20"/>
              </w:rPr>
            </w:pPr>
            <w:r>
              <w:rPr>
                <w:rFonts w:cs="Times New Roman"/>
                <w:kern w:val="0"/>
                <w:szCs w:val="20"/>
              </w:rPr>
              <w:t>拟建项目污水经自建污水处理站处理后接管进沫河口污水处理厂，不单独设置排污口。</w:t>
            </w:r>
          </w:p>
          <w:p w14:paraId="79CF88EB">
            <w:pPr>
              <w:pStyle w:val="445"/>
              <w:rPr>
                <w:rFonts w:cs="Times New Roman"/>
                <w:kern w:val="0"/>
                <w:szCs w:val="20"/>
              </w:rPr>
            </w:pPr>
            <w:r>
              <w:rPr>
                <w:rFonts w:cs="Times New Roman"/>
                <w:kern w:val="0"/>
                <w:szCs w:val="20"/>
              </w:rPr>
              <w:t>各类一般固废回收利用或外售，各危废定期委托具有资质的单位进行处置，均不随意处置，不外排。</w:t>
            </w:r>
          </w:p>
          <w:p w14:paraId="29C48F04">
            <w:pPr>
              <w:pStyle w:val="445"/>
              <w:rPr>
                <w:rFonts w:cs="Times New Roman"/>
                <w:kern w:val="0"/>
                <w:szCs w:val="20"/>
              </w:rPr>
            </w:pPr>
            <w:r>
              <w:rPr>
                <w:rFonts w:cs="Times New Roman"/>
                <w:kern w:val="0"/>
                <w:szCs w:val="20"/>
              </w:rPr>
              <w:t>本项目严格落实环评制度及“三同时”制度</w:t>
            </w:r>
            <w:r>
              <w:rPr>
                <w:rFonts w:hint="eastAsia" w:cs="Times New Roman"/>
                <w:kern w:val="0"/>
                <w:szCs w:val="20"/>
              </w:rPr>
              <w:t>。</w:t>
            </w:r>
          </w:p>
        </w:tc>
        <w:tc>
          <w:tcPr>
            <w:tcW w:w="361" w:type="pct"/>
            <w:vAlign w:val="center"/>
          </w:tcPr>
          <w:p w14:paraId="74AF58CD">
            <w:pPr>
              <w:pStyle w:val="445"/>
              <w:rPr>
                <w:rFonts w:cs="Times New Roman"/>
                <w:color w:val="FF0000"/>
                <w:kern w:val="0"/>
                <w:szCs w:val="20"/>
              </w:rPr>
            </w:pPr>
            <w:r>
              <w:rPr>
                <w:rFonts w:hint="eastAsia" w:cs="Times New Roman"/>
                <w:color w:val="000000" w:themeColor="text1"/>
                <w:kern w:val="0"/>
                <w:szCs w:val="20"/>
                <w14:textFill>
                  <w14:solidFill>
                    <w14:schemeClr w14:val="tx1"/>
                  </w14:solidFill>
                </w14:textFill>
              </w:rPr>
              <w:t>符合</w:t>
            </w:r>
          </w:p>
        </w:tc>
      </w:tr>
      <w:tr w14:paraId="0CC1D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14:paraId="33E0283E">
            <w:pPr>
              <w:pStyle w:val="445"/>
              <w:rPr>
                <w:rFonts w:cs="Times New Roman"/>
                <w:kern w:val="0"/>
                <w:szCs w:val="20"/>
              </w:rPr>
            </w:pPr>
            <w:r>
              <w:rPr>
                <w:rFonts w:cs="Times New Roman"/>
                <w:kern w:val="0"/>
                <w:szCs w:val="20"/>
              </w:rPr>
              <w:t>8</w:t>
            </w:r>
          </w:p>
        </w:tc>
        <w:tc>
          <w:tcPr>
            <w:tcW w:w="649" w:type="pct"/>
            <w:vAlign w:val="center"/>
          </w:tcPr>
          <w:p w14:paraId="3974A864">
            <w:pPr>
              <w:pStyle w:val="445"/>
              <w:rPr>
                <w:rFonts w:cs="Times New Roman"/>
                <w:kern w:val="0"/>
                <w:szCs w:val="20"/>
              </w:rPr>
            </w:pPr>
            <w:r>
              <w:rPr>
                <w:rFonts w:hint="eastAsia" w:cs="Times New Roman"/>
                <w:kern w:val="0"/>
                <w:szCs w:val="20"/>
              </w:rPr>
              <w:t>安徽省节能减排及应对气候变化工作领导小组办公室关于印发安徽省</w:t>
            </w:r>
            <w:r>
              <w:rPr>
                <w:rFonts w:cs="Times New Roman"/>
                <w:kern w:val="0"/>
                <w:szCs w:val="20"/>
              </w:rPr>
              <w:t>“</w:t>
            </w:r>
            <w:r>
              <w:rPr>
                <w:rFonts w:hint="eastAsia" w:cs="Times New Roman"/>
                <w:kern w:val="0"/>
                <w:szCs w:val="20"/>
              </w:rPr>
              <w:t>两高</w:t>
            </w:r>
            <w:r>
              <w:rPr>
                <w:rFonts w:cs="Times New Roman"/>
                <w:kern w:val="0"/>
                <w:szCs w:val="20"/>
              </w:rPr>
              <w:t>”</w:t>
            </w:r>
            <w:r>
              <w:rPr>
                <w:rFonts w:hint="eastAsia" w:cs="Times New Roman"/>
                <w:kern w:val="0"/>
                <w:szCs w:val="20"/>
              </w:rPr>
              <w:t>项目</w:t>
            </w:r>
            <w:r>
              <w:rPr>
                <w:rFonts w:cs="Times New Roman"/>
                <w:kern w:val="0"/>
                <w:szCs w:val="20"/>
              </w:rPr>
              <w:t>管理目录</w:t>
            </w:r>
            <w:r>
              <w:rPr>
                <w:rFonts w:hint="eastAsia" w:cs="Times New Roman"/>
                <w:kern w:val="0"/>
                <w:szCs w:val="20"/>
              </w:rPr>
              <w:t>（试行）的通知</w:t>
            </w:r>
          </w:p>
        </w:tc>
        <w:tc>
          <w:tcPr>
            <w:tcW w:w="1802" w:type="pct"/>
            <w:vAlign w:val="center"/>
          </w:tcPr>
          <w:p w14:paraId="4B6CE450">
            <w:pPr>
              <w:pStyle w:val="445"/>
              <w:rPr>
                <w:rFonts w:cs="Times New Roman"/>
                <w:kern w:val="0"/>
                <w:szCs w:val="20"/>
              </w:rPr>
            </w:pPr>
            <w:r>
              <w:rPr>
                <w:rFonts w:hint="eastAsia" w:cs="Times New Roman"/>
                <w:kern w:val="0"/>
                <w:szCs w:val="20"/>
              </w:rPr>
              <w:t>/</w:t>
            </w:r>
          </w:p>
        </w:tc>
        <w:tc>
          <w:tcPr>
            <w:tcW w:w="1952" w:type="pct"/>
            <w:vAlign w:val="center"/>
          </w:tcPr>
          <w:p w14:paraId="2B7F9EB1">
            <w:pPr>
              <w:pStyle w:val="445"/>
              <w:rPr>
                <w:rFonts w:cs="Times New Roman"/>
                <w:kern w:val="0"/>
                <w:szCs w:val="20"/>
              </w:rPr>
            </w:pPr>
            <w:r>
              <w:rPr>
                <w:rFonts w:hint="eastAsia" w:cs="Times New Roman"/>
                <w:kern w:val="0"/>
                <w:szCs w:val="20"/>
              </w:rPr>
              <w:t>扩建项目不属于《安徽省“两高”项目管理目录（试行）》中的包含内容。</w:t>
            </w:r>
          </w:p>
        </w:tc>
        <w:tc>
          <w:tcPr>
            <w:tcW w:w="361" w:type="pct"/>
            <w:vAlign w:val="center"/>
          </w:tcPr>
          <w:p w14:paraId="59F7A6AB">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0EA8A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restart"/>
            <w:vAlign w:val="center"/>
          </w:tcPr>
          <w:p w14:paraId="551F153F">
            <w:pPr>
              <w:pStyle w:val="445"/>
              <w:rPr>
                <w:rFonts w:cs="Times New Roman"/>
                <w:kern w:val="0"/>
                <w:szCs w:val="20"/>
              </w:rPr>
            </w:pPr>
            <w:r>
              <w:rPr>
                <w:rFonts w:hint="eastAsia" w:cs="Times New Roman"/>
                <w:kern w:val="0"/>
                <w:szCs w:val="20"/>
              </w:rPr>
              <w:t>9</w:t>
            </w:r>
          </w:p>
        </w:tc>
        <w:tc>
          <w:tcPr>
            <w:tcW w:w="649" w:type="pct"/>
            <w:vMerge w:val="restart"/>
            <w:vAlign w:val="center"/>
          </w:tcPr>
          <w:p w14:paraId="247F0534">
            <w:pPr>
              <w:pStyle w:val="445"/>
              <w:rPr>
                <w:rFonts w:cs="Times New Roman"/>
                <w:kern w:val="0"/>
                <w:szCs w:val="20"/>
              </w:rPr>
            </w:pPr>
            <w:r>
              <w:rPr>
                <w:rFonts w:hint="eastAsia" w:cs="Times New Roman"/>
                <w:kern w:val="0"/>
                <w:szCs w:val="20"/>
              </w:rPr>
              <w:t>关于印发《蚌埠市化工园区项目准入条件（试行）的通知》</w:t>
            </w:r>
          </w:p>
        </w:tc>
        <w:tc>
          <w:tcPr>
            <w:tcW w:w="1802" w:type="pct"/>
            <w:vAlign w:val="center"/>
          </w:tcPr>
          <w:p w14:paraId="37F76446">
            <w:pPr>
              <w:pStyle w:val="445"/>
              <w:rPr>
                <w:rFonts w:cs="Times New Roman"/>
                <w:kern w:val="0"/>
                <w:szCs w:val="20"/>
              </w:rPr>
            </w:pPr>
            <w:r>
              <w:rPr>
                <w:rFonts w:hint="eastAsia" w:cs="Times New Roman"/>
                <w:kern w:val="0"/>
                <w:szCs w:val="20"/>
              </w:rPr>
              <w:t>本</w:t>
            </w:r>
            <w:r>
              <w:rPr>
                <w:rFonts w:cs="Times New Roman"/>
                <w:kern w:val="0"/>
                <w:szCs w:val="20"/>
              </w:rPr>
              <w:t>准入条件适用范围：新入园化工项目、退市入园化工项目和改扩建化工项目。</w:t>
            </w:r>
          </w:p>
        </w:tc>
        <w:tc>
          <w:tcPr>
            <w:tcW w:w="1952" w:type="pct"/>
            <w:vAlign w:val="center"/>
          </w:tcPr>
          <w:p w14:paraId="28CE96BD">
            <w:pPr>
              <w:pStyle w:val="445"/>
              <w:rPr>
                <w:rFonts w:cs="Times New Roman"/>
                <w:kern w:val="0"/>
                <w:szCs w:val="20"/>
              </w:rPr>
            </w:pPr>
            <w:r>
              <w:rPr>
                <w:rFonts w:hint="eastAsia" w:cs="Times New Roman"/>
                <w:kern w:val="0"/>
                <w:szCs w:val="20"/>
              </w:rPr>
              <w:t>本项目现有</w:t>
            </w:r>
            <w:r>
              <w:rPr>
                <w:rFonts w:cs="Times New Roman"/>
                <w:kern w:val="0"/>
                <w:szCs w:val="20"/>
              </w:rPr>
              <w:t>工程为钛酸钡</w:t>
            </w:r>
            <w:r>
              <w:rPr>
                <w:rFonts w:hint="eastAsia" w:cs="Times New Roman"/>
                <w:kern w:val="0"/>
                <w:szCs w:val="20"/>
              </w:rPr>
              <w:t>生产</w:t>
            </w:r>
            <w:r>
              <w:rPr>
                <w:rFonts w:cs="Times New Roman"/>
                <w:kern w:val="0"/>
                <w:szCs w:val="20"/>
              </w:rPr>
              <w:t>，新增超纯二氧化硅</w:t>
            </w:r>
            <w:r>
              <w:rPr>
                <w:rFonts w:hint="eastAsia" w:cs="Times New Roman"/>
                <w:kern w:val="0"/>
                <w:szCs w:val="20"/>
              </w:rPr>
              <w:t>和</w:t>
            </w:r>
            <w:r>
              <w:rPr>
                <w:rFonts w:cs="Times New Roman"/>
                <w:kern w:val="0"/>
                <w:szCs w:val="20"/>
              </w:rPr>
              <w:t>硅烷新材料</w:t>
            </w:r>
            <w:r>
              <w:rPr>
                <w:rFonts w:hint="eastAsia" w:cs="Times New Roman"/>
                <w:kern w:val="0"/>
                <w:szCs w:val="20"/>
              </w:rPr>
              <w:t>生产线</w:t>
            </w:r>
            <w:r>
              <w:rPr>
                <w:rFonts w:cs="Times New Roman"/>
                <w:kern w:val="0"/>
                <w:szCs w:val="20"/>
              </w:rPr>
              <w:t>，属于扩建项目。</w:t>
            </w:r>
          </w:p>
        </w:tc>
        <w:tc>
          <w:tcPr>
            <w:tcW w:w="361" w:type="pct"/>
            <w:vAlign w:val="center"/>
          </w:tcPr>
          <w:p w14:paraId="1879AB2D">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763AE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42AC1DC0">
            <w:pPr>
              <w:pStyle w:val="445"/>
              <w:rPr>
                <w:rFonts w:cs="Times New Roman"/>
                <w:kern w:val="0"/>
                <w:szCs w:val="20"/>
              </w:rPr>
            </w:pPr>
          </w:p>
        </w:tc>
        <w:tc>
          <w:tcPr>
            <w:tcW w:w="649" w:type="pct"/>
            <w:vMerge w:val="continue"/>
            <w:vAlign w:val="center"/>
          </w:tcPr>
          <w:p w14:paraId="5FFE164E">
            <w:pPr>
              <w:pStyle w:val="445"/>
              <w:rPr>
                <w:rFonts w:cs="Times New Roman"/>
                <w:kern w:val="0"/>
                <w:szCs w:val="20"/>
              </w:rPr>
            </w:pPr>
          </w:p>
        </w:tc>
        <w:tc>
          <w:tcPr>
            <w:tcW w:w="1802" w:type="pct"/>
            <w:vAlign w:val="center"/>
          </w:tcPr>
          <w:p w14:paraId="31AA9A16">
            <w:pPr>
              <w:pStyle w:val="445"/>
              <w:rPr>
                <w:rFonts w:cs="Times New Roman"/>
                <w:kern w:val="0"/>
                <w:szCs w:val="20"/>
              </w:rPr>
            </w:pPr>
            <w:r>
              <w:rPr>
                <w:rFonts w:hint="eastAsia" w:cs="Times New Roman"/>
                <w:kern w:val="0"/>
                <w:szCs w:val="20"/>
              </w:rPr>
              <w:t>项目须入驻蚌埠淮上化工园</w:t>
            </w:r>
            <w:r>
              <w:rPr>
                <w:rFonts w:cs="Times New Roman"/>
                <w:kern w:val="0"/>
                <w:szCs w:val="20"/>
              </w:rPr>
              <w:t>区</w:t>
            </w:r>
            <w:r>
              <w:rPr>
                <w:rFonts w:hint="eastAsia" w:ascii="宋体" w:hAnsi="宋体" w:cs="宋体"/>
                <w:kern w:val="0"/>
                <w:szCs w:val="20"/>
              </w:rPr>
              <w:t>[</w:t>
            </w:r>
            <w:r>
              <w:rPr>
                <w:rFonts w:hint="eastAsia" w:cs="Times New Roman"/>
                <w:kern w:val="0"/>
                <w:szCs w:val="20"/>
              </w:rPr>
              <w:t>淮</w:t>
            </w:r>
            <w:r>
              <w:rPr>
                <w:rFonts w:cs="Times New Roman"/>
                <w:kern w:val="0"/>
                <w:szCs w:val="20"/>
              </w:rPr>
              <w:t>上经济开发区（沫河口）</w:t>
            </w:r>
            <w:r>
              <w:rPr>
                <w:rFonts w:hint="eastAsia" w:ascii="宋体" w:hAnsi="宋体" w:cs="宋体"/>
                <w:kern w:val="0"/>
                <w:szCs w:val="20"/>
              </w:rPr>
              <w:t>]和蚌埠固镇化工园区（固镇经济开发区化工集中区）等省政府认定的合规化工园区，并符合相关化工园区的产业规划定位。</w:t>
            </w:r>
          </w:p>
        </w:tc>
        <w:tc>
          <w:tcPr>
            <w:tcW w:w="1952" w:type="pct"/>
            <w:vAlign w:val="center"/>
          </w:tcPr>
          <w:p w14:paraId="78E5F91C">
            <w:pPr>
              <w:pStyle w:val="445"/>
              <w:rPr>
                <w:rFonts w:cs="Times New Roman"/>
                <w:kern w:val="0"/>
                <w:szCs w:val="20"/>
              </w:rPr>
            </w:pPr>
            <w:r>
              <w:rPr>
                <w:rFonts w:hint="eastAsia" w:cs="Times New Roman"/>
                <w:kern w:val="0"/>
                <w:szCs w:val="20"/>
              </w:rPr>
              <w:t>扩建项目位于蚌埠淮上化工园</w:t>
            </w:r>
            <w:r>
              <w:rPr>
                <w:rFonts w:cs="Times New Roman"/>
                <w:kern w:val="0"/>
                <w:szCs w:val="20"/>
              </w:rPr>
              <w:t>区</w:t>
            </w:r>
            <w:r>
              <w:rPr>
                <w:rFonts w:hint="eastAsia" w:ascii="宋体" w:hAnsi="宋体" w:cs="宋体"/>
                <w:kern w:val="0"/>
                <w:szCs w:val="20"/>
              </w:rPr>
              <w:t>[</w:t>
            </w:r>
            <w:r>
              <w:rPr>
                <w:rFonts w:hint="eastAsia" w:cs="Times New Roman"/>
                <w:kern w:val="0"/>
                <w:szCs w:val="20"/>
              </w:rPr>
              <w:t>淮</w:t>
            </w:r>
            <w:r>
              <w:rPr>
                <w:rFonts w:cs="Times New Roman"/>
                <w:kern w:val="0"/>
                <w:szCs w:val="20"/>
              </w:rPr>
              <w:t>上经济开发区（沫河口）</w:t>
            </w:r>
            <w:r>
              <w:rPr>
                <w:rFonts w:hint="eastAsia" w:ascii="宋体" w:hAnsi="宋体" w:cs="宋体"/>
                <w:kern w:val="0"/>
                <w:szCs w:val="20"/>
              </w:rPr>
              <w:t>]，</w:t>
            </w:r>
            <w:r>
              <w:rPr>
                <w:rFonts w:cs="Times New Roman"/>
                <w:kern w:val="0"/>
                <w:szCs w:val="20"/>
              </w:rPr>
              <w:t>本项目</w:t>
            </w:r>
            <w:r>
              <w:rPr>
                <w:rFonts w:hint="eastAsia" w:cs="Times New Roman"/>
                <w:kern w:val="0"/>
                <w:szCs w:val="20"/>
              </w:rPr>
              <w:t>产品</w:t>
            </w:r>
            <w:r>
              <w:rPr>
                <w:rFonts w:cs="Times New Roman"/>
                <w:kern w:val="0"/>
                <w:szCs w:val="20"/>
              </w:rPr>
              <w:t>为超纯二氧化硅和硅烷新材料</w:t>
            </w:r>
            <w:r>
              <w:rPr>
                <w:rFonts w:hint="eastAsia" w:cs="Times New Roman"/>
                <w:kern w:val="0"/>
                <w:szCs w:val="20"/>
              </w:rPr>
              <w:t>，</w:t>
            </w:r>
            <w:r>
              <w:rPr>
                <w:rFonts w:cs="Times New Roman"/>
                <w:kern w:val="0"/>
                <w:szCs w:val="20"/>
              </w:rPr>
              <w:t>属于</w:t>
            </w:r>
            <w:r>
              <w:rPr>
                <w:rFonts w:cs="Times New Roman"/>
                <w:color w:val="000000" w:themeColor="text1"/>
                <w:kern w:val="0"/>
                <w:szCs w:val="20"/>
                <w14:textFill>
                  <w14:solidFill>
                    <w14:schemeClr w14:val="tx1"/>
                  </w14:solidFill>
                </w14:textFill>
              </w:rPr>
              <w:t>精细化工</w:t>
            </w:r>
            <w:r>
              <w:rPr>
                <w:rFonts w:hint="eastAsia" w:cs="Times New Roman"/>
                <w:color w:val="000000" w:themeColor="text1"/>
                <w:kern w:val="0"/>
                <w:szCs w:val="20"/>
                <w14:textFill>
                  <w14:solidFill>
                    <w14:schemeClr w14:val="tx1"/>
                  </w14:solidFill>
                </w14:textFill>
              </w:rPr>
              <w:t>产业</w:t>
            </w:r>
            <w:r>
              <w:rPr>
                <w:rFonts w:cs="Times New Roman"/>
                <w:color w:val="000000" w:themeColor="text1"/>
                <w:kern w:val="0"/>
                <w:szCs w:val="20"/>
                <w14:textFill>
                  <w14:solidFill>
                    <w14:schemeClr w14:val="tx1"/>
                  </w14:solidFill>
                </w14:textFill>
              </w:rPr>
              <w:t>和</w:t>
            </w:r>
            <w:r>
              <w:rPr>
                <w:rFonts w:hint="eastAsia" w:cs="Times New Roman"/>
                <w:color w:val="000000" w:themeColor="text1"/>
                <w:kern w:val="0"/>
                <w:szCs w:val="20"/>
                <w14:textFill>
                  <w14:solidFill>
                    <w14:schemeClr w14:val="tx1"/>
                  </w14:solidFill>
                </w14:textFill>
              </w:rPr>
              <w:t>新材料</w:t>
            </w:r>
            <w:r>
              <w:rPr>
                <w:rFonts w:cs="Times New Roman"/>
                <w:color w:val="000000" w:themeColor="text1"/>
                <w:kern w:val="0"/>
                <w:szCs w:val="20"/>
                <w14:textFill>
                  <w14:solidFill>
                    <w14:schemeClr w14:val="tx1"/>
                  </w14:solidFill>
                </w14:textFill>
              </w:rPr>
              <w:t>产业，</w:t>
            </w:r>
            <w:r>
              <w:rPr>
                <w:rFonts w:cs="Times New Roman"/>
                <w:kern w:val="0"/>
                <w:szCs w:val="20"/>
              </w:rPr>
              <w:t>其建设符合蚌埠精细化工产业基地</w:t>
            </w:r>
            <w:r>
              <w:rPr>
                <w:rFonts w:hint="eastAsia" w:cs="Times New Roman"/>
                <w:kern w:val="0"/>
                <w:szCs w:val="20"/>
              </w:rPr>
              <w:t>产业定位</w:t>
            </w:r>
            <w:r>
              <w:rPr>
                <w:rFonts w:cs="Times New Roman"/>
                <w:kern w:val="0"/>
                <w:szCs w:val="20"/>
              </w:rPr>
              <w:t>要求</w:t>
            </w:r>
            <w:r>
              <w:rPr>
                <w:rFonts w:hint="eastAsia" w:cs="Times New Roman"/>
                <w:kern w:val="0"/>
                <w:szCs w:val="20"/>
              </w:rPr>
              <w:t>。</w:t>
            </w:r>
          </w:p>
        </w:tc>
        <w:tc>
          <w:tcPr>
            <w:tcW w:w="361" w:type="pct"/>
            <w:vAlign w:val="center"/>
          </w:tcPr>
          <w:p w14:paraId="29928D13">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2157B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05EA0345">
            <w:pPr>
              <w:pStyle w:val="445"/>
              <w:rPr>
                <w:rFonts w:cs="Times New Roman"/>
                <w:kern w:val="0"/>
                <w:szCs w:val="20"/>
              </w:rPr>
            </w:pPr>
          </w:p>
        </w:tc>
        <w:tc>
          <w:tcPr>
            <w:tcW w:w="649" w:type="pct"/>
            <w:vMerge w:val="continue"/>
            <w:vAlign w:val="center"/>
          </w:tcPr>
          <w:p w14:paraId="7D8C2390">
            <w:pPr>
              <w:pStyle w:val="445"/>
              <w:rPr>
                <w:rFonts w:cs="Times New Roman"/>
                <w:kern w:val="0"/>
                <w:szCs w:val="20"/>
              </w:rPr>
            </w:pPr>
          </w:p>
        </w:tc>
        <w:tc>
          <w:tcPr>
            <w:tcW w:w="1802" w:type="pct"/>
            <w:vAlign w:val="center"/>
          </w:tcPr>
          <w:p w14:paraId="043D3FAE">
            <w:pPr>
              <w:pStyle w:val="445"/>
              <w:rPr>
                <w:rFonts w:cs="Times New Roman"/>
                <w:kern w:val="0"/>
                <w:szCs w:val="20"/>
              </w:rPr>
            </w:pPr>
            <w:r>
              <w:rPr>
                <w:rFonts w:hint="eastAsia" w:cs="Times New Roman"/>
                <w:kern w:val="0"/>
                <w:szCs w:val="20"/>
              </w:rPr>
              <w:t>淮上化工园</w:t>
            </w:r>
            <w:r>
              <w:rPr>
                <w:rFonts w:cs="Times New Roman"/>
                <w:kern w:val="0"/>
                <w:szCs w:val="20"/>
              </w:rPr>
              <w:t>区</w:t>
            </w:r>
            <w:r>
              <w:rPr>
                <w:rFonts w:hint="eastAsia" w:cs="Times New Roman"/>
                <w:kern w:val="0"/>
                <w:szCs w:val="20"/>
              </w:rPr>
              <w:t>[淮</w:t>
            </w:r>
            <w:r>
              <w:rPr>
                <w:rFonts w:cs="Times New Roman"/>
                <w:kern w:val="0"/>
                <w:szCs w:val="20"/>
              </w:rPr>
              <w:t>上经济开发区（沫河口）</w:t>
            </w:r>
            <w:r>
              <w:rPr>
                <w:rFonts w:hint="eastAsia" w:cs="Times New Roman"/>
                <w:kern w:val="0"/>
                <w:szCs w:val="20"/>
              </w:rPr>
              <w:t>]项目</w:t>
            </w:r>
            <w:r>
              <w:rPr>
                <w:rFonts w:cs="Times New Roman"/>
                <w:kern w:val="0"/>
                <w:szCs w:val="20"/>
              </w:rPr>
              <w:t>固定投资</w:t>
            </w:r>
            <w:r>
              <w:rPr>
                <w:rFonts w:hint="eastAsia" w:cs="Times New Roman"/>
                <w:kern w:val="0"/>
                <w:szCs w:val="20"/>
              </w:rPr>
              <w:t>原则</w:t>
            </w:r>
            <w:r>
              <w:rPr>
                <w:rFonts w:cs="Times New Roman"/>
                <w:kern w:val="0"/>
                <w:szCs w:val="20"/>
              </w:rPr>
              <w:t>不低于</w:t>
            </w:r>
            <w:r>
              <w:rPr>
                <w:rFonts w:hint="eastAsia" w:cs="Times New Roman"/>
                <w:kern w:val="0"/>
                <w:szCs w:val="20"/>
              </w:rPr>
              <w:t>1亿元，亩均固投原则</w:t>
            </w:r>
            <w:r>
              <w:rPr>
                <w:rFonts w:cs="Times New Roman"/>
                <w:kern w:val="0"/>
                <w:szCs w:val="20"/>
              </w:rPr>
              <w:t>上不低于</w:t>
            </w:r>
            <w:r>
              <w:rPr>
                <w:rFonts w:hint="eastAsia" w:cs="Times New Roman"/>
                <w:kern w:val="0"/>
                <w:szCs w:val="20"/>
              </w:rPr>
              <w:t>300万元，</w:t>
            </w:r>
            <w:r>
              <w:rPr>
                <w:rFonts w:cs="Times New Roman"/>
                <w:kern w:val="0"/>
                <w:szCs w:val="20"/>
              </w:rPr>
              <w:t>亩均</w:t>
            </w:r>
            <w:r>
              <w:rPr>
                <w:rFonts w:hint="eastAsia" w:cs="Times New Roman"/>
                <w:kern w:val="0"/>
                <w:szCs w:val="20"/>
              </w:rPr>
              <w:t>税收不低于30万元每年。</w:t>
            </w:r>
          </w:p>
        </w:tc>
        <w:tc>
          <w:tcPr>
            <w:tcW w:w="1952" w:type="pct"/>
            <w:vAlign w:val="center"/>
          </w:tcPr>
          <w:p w14:paraId="3CC0AD22">
            <w:pPr>
              <w:pStyle w:val="445"/>
              <w:rPr>
                <w:rFonts w:cs="Times New Roman"/>
                <w:kern w:val="0"/>
                <w:szCs w:val="20"/>
              </w:rPr>
            </w:pPr>
            <w:r>
              <w:rPr>
                <w:rFonts w:hint="eastAsia" w:cs="Times New Roman"/>
                <w:kern w:val="0"/>
                <w:szCs w:val="20"/>
              </w:rPr>
              <w:t>本项目</w:t>
            </w:r>
            <w:r>
              <w:rPr>
                <w:rFonts w:cs="Times New Roman"/>
                <w:kern w:val="0"/>
                <w:szCs w:val="20"/>
              </w:rPr>
              <w:t>总投资为30248万元</w:t>
            </w:r>
            <w:r>
              <w:rPr>
                <w:rFonts w:hint="eastAsia" w:cs="Times New Roman"/>
                <w:kern w:val="0"/>
                <w:szCs w:val="20"/>
              </w:rPr>
              <w:t>，年</w:t>
            </w:r>
            <w:r>
              <w:rPr>
                <w:rFonts w:cs="Times New Roman"/>
                <w:kern w:val="0"/>
                <w:szCs w:val="20"/>
              </w:rPr>
              <w:t>上缴税额</w:t>
            </w:r>
            <w:r>
              <w:rPr>
                <w:rFonts w:hint="eastAsia" w:cs="Times New Roman"/>
                <w:kern w:val="0"/>
                <w:szCs w:val="20"/>
              </w:rPr>
              <w:t>32823.28万元</w:t>
            </w:r>
            <w:r>
              <w:rPr>
                <w:rFonts w:cs="Times New Roman"/>
                <w:kern w:val="0"/>
                <w:szCs w:val="20"/>
              </w:rPr>
              <w:t>，项目占地</w:t>
            </w:r>
            <w:r>
              <w:rPr>
                <w:rFonts w:hint="eastAsia" w:cs="Times New Roman"/>
                <w:kern w:val="0"/>
                <w:szCs w:val="20"/>
              </w:rPr>
              <w:t>100.249亩</w:t>
            </w:r>
            <w:r>
              <w:rPr>
                <w:rFonts w:cs="Times New Roman"/>
                <w:kern w:val="0"/>
                <w:szCs w:val="20"/>
              </w:rPr>
              <w:t>，满足</w:t>
            </w:r>
            <w:r>
              <w:rPr>
                <w:rFonts w:hint="eastAsia" w:cs="Times New Roman"/>
                <w:kern w:val="0"/>
                <w:szCs w:val="20"/>
              </w:rPr>
              <w:t>项目</w:t>
            </w:r>
            <w:r>
              <w:rPr>
                <w:rFonts w:cs="Times New Roman"/>
                <w:kern w:val="0"/>
                <w:szCs w:val="20"/>
              </w:rPr>
              <w:t>固定投资</w:t>
            </w:r>
            <w:r>
              <w:rPr>
                <w:rFonts w:hint="eastAsia" w:cs="Times New Roman"/>
                <w:kern w:val="0"/>
                <w:szCs w:val="20"/>
              </w:rPr>
              <w:t>原则</w:t>
            </w:r>
            <w:r>
              <w:rPr>
                <w:rFonts w:cs="Times New Roman"/>
                <w:kern w:val="0"/>
                <w:szCs w:val="20"/>
              </w:rPr>
              <w:t>不低于</w:t>
            </w:r>
            <w:r>
              <w:rPr>
                <w:rFonts w:hint="eastAsia" w:cs="Times New Roman"/>
                <w:kern w:val="0"/>
                <w:szCs w:val="20"/>
              </w:rPr>
              <w:t>1亿元，亩均固投原则</w:t>
            </w:r>
            <w:r>
              <w:rPr>
                <w:rFonts w:cs="Times New Roman"/>
                <w:kern w:val="0"/>
                <w:szCs w:val="20"/>
              </w:rPr>
              <w:t>上不低于</w:t>
            </w:r>
            <w:r>
              <w:rPr>
                <w:rFonts w:hint="eastAsia" w:cs="Times New Roman"/>
                <w:kern w:val="0"/>
                <w:szCs w:val="20"/>
              </w:rPr>
              <w:t>300万元，</w:t>
            </w:r>
            <w:r>
              <w:rPr>
                <w:rFonts w:cs="Times New Roman"/>
                <w:kern w:val="0"/>
                <w:szCs w:val="20"/>
              </w:rPr>
              <w:t>亩均</w:t>
            </w:r>
            <w:r>
              <w:rPr>
                <w:rFonts w:hint="eastAsia" w:cs="Times New Roman"/>
                <w:kern w:val="0"/>
                <w:szCs w:val="20"/>
              </w:rPr>
              <w:t>税收不低于30万元每年的</w:t>
            </w:r>
            <w:r>
              <w:rPr>
                <w:rFonts w:cs="Times New Roman"/>
                <w:kern w:val="0"/>
                <w:szCs w:val="20"/>
              </w:rPr>
              <w:t>要求</w:t>
            </w:r>
            <w:r>
              <w:rPr>
                <w:rFonts w:hint="eastAsia" w:cs="Times New Roman"/>
                <w:kern w:val="0"/>
                <w:szCs w:val="20"/>
              </w:rPr>
              <w:t>。</w:t>
            </w:r>
          </w:p>
        </w:tc>
        <w:tc>
          <w:tcPr>
            <w:tcW w:w="361" w:type="pct"/>
            <w:vAlign w:val="center"/>
          </w:tcPr>
          <w:p w14:paraId="46BED0A9">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4E18D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6ADCD234">
            <w:pPr>
              <w:pStyle w:val="445"/>
              <w:rPr>
                <w:rFonts w:cs="Times New Roman"/>
                <w:kern w:val="0"/>
                <w:szCs w:val="20"/>
              </w:rPr>
            </w:pPr>
          </w:p>
        </w:tc>
        <w:tc>
          <w:tcPr>
            <w:tcW w:w="649" w:type="pct"/>
            <w:vMerge w:val="continue"/>
            <w:vAlign w:val="center"/>
          </w:tcPr>
          <w:p w14:paraId="3479141F">
            <w:pPr>
              <w:pStyle w:val="445"/>
              <w:rPr>
                <w:rFonts w:cs="Times New Roman"/>
                <w:kern w:val="0"/>
                <w:szCs w:val="20"/>
              </w:rPr>
            </w:pPr>
          </w:p>
        </w:tc>
        <w:tc>
          <w:tcPr>
            <w:tcW w:w="1802" w:type="pct"/>
            <w:vAlign w:val="center"/>
          </w:tcPr>
          <w:p w14:paraId="6BD302A2">
            <w:pPr>
              <w:pStyle w:val="445"/>
              <w:rPr>
                <w:rFonts w:cs="Times New Roman"/>
                <w:kern w:val="0"/>
                <w:szCs w:val="20"/>
              </w:rPr>
            </w:pPr>
            <w:r>
              <w:rPr>
                <w:rFonts w:hint="eastAsia" w:cs="Times New Roman"/>
                <w:kern w:val="0"/>
                <w:szCs w:val="20"/>
              </w:rPr>
              <w:t>项目应与“三线一单”（生态保护红线、环境质量底线、资源利用上线和生态环境准入清单）相协调，并符合园区产业定位、规划规划环评要求。</w:t>
            </w:r>
          </w:p>
          <w:p w14:paraId="217C30F9">
            <w:pPr>
              <w:pStyle w:val="445"/>
              <w:rPr>
                <w:rFonts w:cs="Times New Roman"/>
                <w:kern w:val="0"/>
                <w:szCs w:val="20"/>
              </w:rPr>
            </w:pPr>
            <w:r>
              <w:rPr>
                <w:rFonts w:hint="eastAsia" w:cs="Times New Roman"/>
                <w:kern w:val="0"/>
                <w:szCs w:val="20"/>
              </w:rPr>
              <w:t>新建</w:t>
            </w:r>
            <w:r>
              <w:rPr>
                <w:rFonts w:cs="Times New Roman"/>
                <w:kern w:val="0"/>
                <w:szCs w:val="20"/>
              </w:rPr>
              <w:t>化工项目</w:t>
            </w:r>
            <w:r>
              <w:rPr>
                <w:rFonts w:hint="eastAsia" w:cs="Times New Roman"/>
                <w:kern w:val="0"/>
                <w:szCs w:val="20"/>
              </w:rPr>
              <w:t>需按照</w:t>
            </w:r>
            <w:r>
              <w:rPr>
                <w:rFonts w:cs="Times New Roman"/>
                <w:kern w:val="0"/>
                <w:szCs w:val="20"/>
              </w:rPr>
              <w:t>《安徽省淮河流域水污染防</w:t>
            </w:r>
          </w:p>
          <w:p w14:paraId="1D735EBD">
            <w:pPr>
              <w:pStyle w:val="445"/>
              <w:rPr>
                <w:rFonts w:cs="Times New Roman"/>
                <w:kern w:val="0"/>
                <w:szCs w:val="20"/>
              </w:rPr>
            </w:pPr>
            <w:r>
              <w:rPr>
                <w:rFonts w:cs="Times New Roman"/>
                <w:kern w:val="0"/>
                <w:szCs w:val="20"/>
              </w:rPr>
              <w:t>治条例》</w:t>
            </w:r>
            <w:r>
              <w:rPr>
                <w:rFonts w:hint="eastAsia" w:cs="Times New Roman"/>
                <w:kern w:val="0"/>
                <w:szCs w:val="20"/>
              </w:rPr>
              <w:t>和《</w:t>
            </w:r>
            <w:r>
              <w:rPr>
                <w:rFonts w:cs="Times New Roman"/>
                <w:kern w:val="0"/>
                <w:szCs w:val="20"/>
              </w:rPr>
              <w:t>安徽省环保厅关于进一步明确淮河巢湖流域重污染行业项目省级环保预审范围及内容的通知</w:t>
            </w:r>
            <w:r>
              <w:rPr>
                <w:rFonts w:hint="eastAsia" w:cs="Times New Roman"/>
                <w:kern w:val="0"/>
                <w:szCs w:val="20"/>
              </w:rPr>
              <w:t>》（皖</w:t>
            </w:r>
            <w:r>
              <w:rPr>
                <w:rFonts w:cs="Times New Roman"/>
                <w:kern w:val="0"/>
                <w:szCs w:val="20"/>
              </w:rPr>
              <w:t>环发</w:t>
            </w:r>
            <w:r>
              <w:rPr>
                <w:rFonts w:hint="eastAsia" w:cs="Times New Roman"/>
                <w:kern w:val="0"/>
                <w:szCs w:val="20"/>
              </w:rPr>
              <w:t>[</w:t>
            </w:r>
            <w:r>
              <w:rPr>
                <w:rFonts w:cs="Times New Roman"/>
                <w:kern w:val="0"/>
                <w:szCs w:val="20"/>
              </w:rPr>
              <w:t>2013</w:t>
            </w:r>
            <w:r>
              <w:rPr>
                <w:rFonts w:hint="eastAsia" w:cs="Times New Roman"/>
                <w:kern w:val="0"/>
                <w:szCs w:val="20"/>
              </w:rPr>
              <w:t>]</w:t>
            </w:r>
            <w:r>
              <w:rPr>
                <w:rFonts w:cs="Times New Roman"/>
                <w:kern w:val="0"/>
                <w:szCs w:val="20"/>
              </w:rPr>
              <w:t>85</w:t>
            </w:r>
            <w:r>
              <w:rPr>
                <w:rFonts w:hint="eastAsia" w:cs="Times New Roman"/>
                <w:kern w:val="0"/>
                <w:szCs w:val="20"/>
              </w:rPr>
              <w:t>号）有关规定</w:t>
            </w:r>
            <w:r>
              <w:rPr>
                <w:rFonts w:cs="Times New Roman"/>
                <w:kern w:val="0"/>
                <w:szCs w:val="20"/>
              </w:rPr>
              <w:t>，</w:t>
            </w:r>
            <w:r>
              <w:rPr>
                <w:rFonts w:hint="eastAsia" w:cs="Times New Roman"/>
                <w:kern w:val="0"/>
                <w:szCs w:val="20"/>
              </w:rPr>
              <w:t>依法</w:t>
            </w:r>
            <w:r>
              <w:rPr>
                <w:rFonts w:cs="Times New Roman"/>
                <w:kern w:val="0"/>
                <w:szCs w:val="20"/>
              </w:rPr>
              <w:t>报安徽省</w:t>
            </w:r>
            <w:r>
              <w:rPr>
                <w:rFonts w:hint="eastAsia" w:cs="Times New Roman"/>
                <w:kern w:val="0"/>
                <w:szCs w:val="20"/>
              </w:rPr>
              <w:t>生态</w:t>
            </w:r>
            <w:r>
              <w:rPr>
                <w:rFonts w:cs="Times New Roman"/>
                <w:kern w:val="0"/>
                <w:szCs w:val="20"/>
              </w:rPr>
              <w:t>环境厅开展环保预审</w:t>
            </w:r>
            <w:r>
              <w:rPr>
                <w:rFonts w:hint="eastAsia" w:cs="Times New Roman"/>
                <w:kern w:val="0"/>
                <w:szCs w:val="20"/>
              </w:rPr>
              <w:t>。</w:t>
            </w:r>
          </w:p>
          <w:p w14:paraId="2405AD39">
            <w:pPr>
              <w:pStyle w:val="445"/>
              <w:rPr>
                <w:rFonts w:cs="Times New Roman"/>
                <w:kern w:val="0"/>
                <w:szCs w:val="20"/>
              </w:rPr>
            </w:pPr>
            <w:r>
              <w:rPr>
                <w:rFonts w:hint="eastAsia" w:cs="Times New Roman"/>
                <w:kern w:val="0"/>
                <w:szCs w:val="20"/>
              </w:rPr>
              <w:t>新建</w:t>
            </w:r>
            <w:r>
              <w:rPr>
                <w:rFonts w:cs="Times New Roman"/>
                <w:kern w:val="0"/>
                <w:szCs w:val="20"/>
              </w:rPr>
              <w:t>、改建、扩建</w:t>
            </w:r>
            <w:r>
              <w:rPr>
                <w:rFonts w:hint="eastAsia" w:cs="Times New Roman"/>
                <w:kern w:val="0"/>
                <w:szCs w:val="20"/>
              </w:rPr>
              <w:t>“两高”项目</w:t>
            </w:r>
            <w:r>
              <w:rPr>
                <w:rFonts w:cs="Times New Roman"/>
                <w:kern w:val="0"/>
                <w:szCs w:val="20"/>
              </w:rPr>
              <w:t>须符合生态环境保护法律法规和相关法定规划，满足重点污染物排放总量控制</w:t>
            </w:r>
            <w:r>
              <w:rPr>
                <w:rFonts w:hint="eastAsia" w:cs="Times New Roman"/>
                <w:kern w:val="0"/>
                <w:szCs w:val="20"/>
              </w:rPr>
              <w:t>、</w:t>
            </w:r>
            <w:r>
              <w:rPr>
                <w:rFonts w:cs="Times New Roman"/>
                <w:kern w:val="0"/>
                <w:szCs w:val="20"/>
              </w:rPr>
              <w:t>碳排放达峰目标、生态环境准入清单、相关规划环评和相应行业建设项目环境准入条件、环评文件审批原则要求。</w:t>
            </w:r>
          </w:p>
        </w:tc>
        <w:tc>
          <w:tcPr>
            <w:tcW w:w="1952" w:type="pct"/>
            <w:vAlign w:val="center"/>
          </w:tcPr>
          <w:p w14:paraId="755CBD7A">
            <w:pPr>
              <w:pStyle w:val="445"/>
              <w:rPr>
                <w:rFonts w:cs="Times New Roman"/>
                <w:kern w:val="0"/>
                <w:szCs w:val="20"/>
              </w:rPr>
            </w:pPr>
            <w:r>
              <w:rPr>
                <w:rFonts w:hint="eastAsia" w:cs="Times New Roman"/>
                <w:bCs/>
                <w:kern w:val="0"/>
                <w:szCs w:val="20"/>
              </w:rPr>
              <w:t>本项目符合“三线一单”（</w:t>
            </w:r>
            <w:r>
              <w:rPr>
                <w:rFonts w:hint="eastAsia" w:cs="Times New Roman"/>
                <w:kern w:val="0"/>
                <w:szCs w:val="20"/>
              </w:rPr>
              <w:t>生态</w:t>
            </w:r>
            <w:r>
              <w:rPr>
                <w:rFonts w:cs="Times New Roman"/>
                <w:kern w:val="0"/>
                <w:szCs w:val="20"/>
              </w:rPr>
              <w:t>保护红线、环境质量底线、资源利用上线和生态环境准入清单</w:t>
            </w:r>
            <w:r>
              <w:rPr>
                <w:rFonts w:hint="eastAsia" w:cs="Times New Roman"/>
                <w:kern w:val="0"/>
                <w:szCs w:val="20"/>
              </w:rPr>
              <w:t>）相</w:t>
            </w:r>
            <w:r>
              <w:rPr>
                <w:rFonts w:cs="Times New Roman"/>
                <w:kern w:val="0"/>
                <w:szCs w:val="20"/>
              </w:rPr>
              <w:t>协调，并符合园区产业定位、园区规划及规划环评的要求</w:t>
            </w:r>
            <w:r>
              <w:rPr>
                <w:rFonts w:hint="eastAsia" w:cs="Times New Roman"/>
                <w:kern w:val="0"/>
                <w:szCs w:val="20"/>
              </w:rPr>
              <w:t>。</w:t>
            </w:r>
          </w:p>
          <w:p w14:paraId="7E291F06">
            <w:pPr>
              <w:pStyle w:val="445"/>
              <w:rPr>
                <w:rFonts w:cs="Times New Roman"/>
                <w:kern w:val="0"/>
                <w:szCs w:val="20"/>
              </w:rPr>
            </w:pPr>
            <w:r>
              <w:rPr>
                <w:rFonts w:hint="eastAsia" w:cs="Times New Roman"/>
                <w:kern w:val="0"/>
                <w:szCs w:val="20"/>
              </w:rPr>
              <w:t>本</w:t>
            </w:r>
            <w:r>
              <w:rPr>
                <w:rFonts w:cs="Times New Roman"/>
                <w:kern w:val="0"/>
                <w:szCs w:val="20"/>
              </w:rPr>
              <w:t>项目已</w:t>
            </w:r>
            <w:r>
              <w:rPr>
                <w:rFonts w:hint="eastAsia" w:cs="Times New Roman"/>
                <w:kern w:val="0"/>
                <w:szCs w:val="20"/>
              </w:rPr>
              <w:t>取得《安徽省</w:t>
            </w:r>
            <w:r>
              <w:rPr>
                <w:rFonts w:cs="Times New Roman"/>
                <w:kern w:val="0"/>
                <w:szCs w:val="20"/>
              </w:rPr>
              <w:t>生态环境厅关于安徽</w:t>
            </w:r>
            <w:r>
              <w:rPr>
                <w:rFonts w:hint="eastAsia" w:cs="Times New Roman"/>
                <w:kern w:val="0"/>
                <w:szCs w:val="20"/>
              </w:rPr>
              <w:t>中创</w:t>
            </w:r>
            <w:r>
              <w:rPr>
                <w:rFonts w:cs="Times New Roman"/>
                <w:kern w:val="0"/>
                <w:szCs w:val="20"/>
              </w:rPr>
              <w:t>电子信息材料有限公司年产</w:t>
            </w:r>
            <w:r>
              <w:rPr>
                <w:rFonts w:hint="eastAsia" w:cs="Times New Roman"/>
                <w:kern w:val="0"/>
                <w:szCs w:val="20"/>
              </w:rPr>
              <w:t>5000吨</w:t>
            </w:r>
            <w:r>
              <w:rPr>
                <w:rFonts w:cs="Times New Roman"/>
                <w:kern w:val="0"/>
                <w:szCs w:val="20"/>
              </w:rPr>
              <w:t>超纯二氧化硅项目环保预审的</w:t>
            </w:r>
            <w:r>
              <w:rPr>
                <w:rFonts w:hint="eastAsia" w:cs="Times New Roman"/>
                <w:kern w:val="0"/>
                <w:szCs w:val="20"/>
              </w:rPr>
              <w:t>批复》（皖</w:t>
            </w:r>
            <w:r>
              <w:rPr>
                <w:rFonts w:cs="Times New Roman"/>
                <w:kern w:val="0"/>
                <w:szCs w:val="20"/>
              </w:rPr>
              <w:t>环办复</w:t>
            </w:r>
            <w:r>
              <w:rPr>
                <w:rFonts w:hint="eastAsia" w:cs="Times New Roman"/>
                <w:kern w:val="0"/>
                <w:szCs w:val="20"/>
              </w:rPr>
              <w:t>[</w:t>
            </w:r>
            <w:r>
              <w:rPr>
                <w:rFonts w:cs="Times New Roman"/>
                <w:kern w:val="0"/>
                <w:szCs w:val="20"/>
              </w:rPr>
              <w:t>2022</w:t>
            </w:r>
            <w:r>
              <w:rPr>
                <w:rFonts w:hint="eastAsia" w:cs="Times New Roman"/>
                <w:kern w:val="0"/>
                <w:szCs w:val="20"/>
              </w:rPr>
              <w:t>]</w:t>
            </w:r>
            <w:r>
              <w:rPr>
                <w:rFonts w:cs="Times New Roman"/>
                <w:kern w:val="0"/>
                <w:szCs w:val="20"/>
              </w:rPr>
              <w:t>643</w:t>
            </w:r>
            <w:r>
              <w:rPr>
                <w:rFonts w:hint="eastAsia" w:cs="Times New Roman"/>
                <w:kern w:val="0"/>
                <w:szCs w:val="20"/>
              </w:rPr>
              <w:t>号）</w:t>
            </w:r>
            <w:r>
              <w:rPr>
                <w:rFonts w:cs="Times New Roman"/>
                <w:kern w:val="0"/>
                <w:szCs w:val="20"/>
              </w:rPr>
              <w:t>，同意上述项目开展环评等相关前期工作</w:t>
            </w:r>
            <w:r>
              <w:rPr>
                <w:rFonts w:hint="eastAsia" w:cs="Times New Roman"/>
                <w:kern w:val="0"/>
                <w:szCs w:val="20"/>
              </w:rPr>
              <w:t>。</w:t>
            </w:r>
          </w:p>
          <w:p w14:paraId="08D333E2">
            <w:pPr>
              <w:pStyle w:val="445"/>
              <w:rPr>
                <w:rFonts w:cs="Times New Roman"/>
                <w:kern w:val="0"/>
                <w:szCs w:val="20"/>
              </w:rPr>
            </w:pPr>
            <w:r>
              <w:rPr>
                <w:rFonts w:cs="Times New Roman"/>
                <w:kern w:val="0"/>
                <w:szCs w:val="20"/>
              </w:rPr>
              <w:t>对照</w:t>
            </w:r>
            <w:r>
              <w:rPr>
                <w:rFonts w:hint="eastAsia" w:cs="Times New Roman"/>
                <w:kern w:val="0"/>
                <w:szCs w:val="20"/>
              </w:rPr>
              <w:t>《安徽省“两高”项目管理目录（试行）》，本项目</w:t>
            </w:r>
            <w:r>
              <w:rPr>
                <w:rFonts w:cs="Times New Roman"/>
                <w:kern w:val="0"/>
                <w:szCs w:val="20"/>
              </w:rPr>
              <w:t>不属于“</w:t>
            </w:r>
            <w:r>
              <w:rPr>
                <w:rFonts w:hint="eastAsia" w:cs="Times New Roman"/>
                <w:kern w:val="0"/>
                <w:szCs w:val="20"/>
              </w:rPr>
              <w:t>两高</w:t>
            </w:r>
            <w:r>
              <w:rPr>
                <w:rFonts w:cs="Times New Roman"/>
                <w:kern w:val="0"/>
                <w:szCs w:val="20"/>
              </w:rPr>
              <w:t>”</w:t>
            </w:r>
            <w:r>
              <w:rPr>
                <w:rFonts w:hint="eastAsia" w:cs="Times New Roman"/>
                <w:kern w:val="0"/>
                <w:szCs w:val="20"/>
              </w:rPr>
              <w:t>项目。</w:t>
            </w:r>
          </w:p>
        </w:tc>
        <w:tc>
          <w:tcPr>
            <w:tcW w:w="361" w:type="pct"/>
            <w:vAlign w:val="center"/>
          </w:tcPr>
          <w:p w14:paraId="297A2637">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5C42B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023BF1BE">
            <w:pPr>
              <w:pStyle w:val="445"/>
              <w:rPr>
                <w:rFonts w:cs="Times New Roman"/>
                <w:kern w:val="0"/>
                <w:szCs w:val="20"/>
              </w:rPr>
            </w:pPr>
          </w:p>
        </w:tc>
        <w:tc>
          <w:tcPr>
            <w:tcW w:w="649" w:type="pct"/>
            <w:vMerge w:val="continue"/>
            <w:vAlign w:val="center"/>
          </w:tcPr>
          <w:p w14:paraId="50B5A844">
            <w:pPr>
              <w:pStyle w:val="445"/>
              <w:rPr>
                <w:rFonts w:cs="Times New Roman"/>
                <w:kern w:val="0"/>
                <w:szCs w:val="20"/>
              </w:rPr>
            </w:pPr>
          </w:p>
        </w:tc>
        <w:tc>
          <w:tcPr>
            <w:tcW w:w="1802" w:type="pct"/>
            <w:vAlign w:val="center"/>
          </w:tcPr>
          <w:p w14:paraId="640512EB">
            <w:pPr>
              <w:pStyle w:val="445"/>
              <w:rPr>
                <w:rFonts w:cs="Times New Roman"/>
                <w:kern w:val="0"/>
                <w:szCs w:val="20"/>
              </w:rPr>
            </w:pPr>
            <w:r>
              <w:rPr>
                <w:rFonts w:hint="eastAsia" w:cs="Times New Roman"/>
                <w:kern w:val="0"/>
                <w:szCs w:val="20"/>
              </w:rPr>
              <w:t>化工</w:t>
            </w:r>
            <w:r>
              <w:rPr>
                <w:rFonts w:cs="Times New Roman"/>
                <w:kern w:val="0"/>
                <w:szCs w:val="20"/>
              </w:rPr>
              <w:t>原料和化学制品制造业项目用地建设容积率不低于</w:t>
            </w:r>
            <w:r>
              <w:rPr>
                <w:rFonts w:hint="eastAsia" w:cs="Times New Roman"/>
                <w:kern w:val="0"/>
                <w:szCs w:val="20"/>
              </w:rPr>
              <w:t>0.6。</w:t>
            </w:r>
          </w:p>
        </w:tc>
        <w:tc>
          <w:tcPr>
            <w:tcW w:w="1952" w:type="pct"/>
            <w:vAlign w:val="center"/>
          </w:tcPr>
          <w:p w14:paraId="31B3A687">
            <w:pPr>
              <w:pStyle w:val="445"/>
              <w:rPr>
                <w:rFonts w:cs="Times New Roman"/>
                <w:bCs/>
                <w:kern w:val="0"/>
                <w:szCs w:val="20"/>
              </w:rPr>
            </w:pPr>
            <w:r>
              <w:rPr>
                <w:rFonts w:hint="eastAsia" w:cs="Times New Roman"/>
                <w:bCs/>
                <w:kern w:val="0"/>
                <w:szCs w:val="20"/>
              </w:rPr>
              <w:t>本项目建设</w:t>
            </w:r>
            <w:r>
              <w:rPr>
                <w:rFonts w:cs="Times New Roman"/>
                <w:bCs/>
                <w:kern w:val="0"/>
                <w:szCs w:val="20"/>
              </w:rPr>
              <w:t>容积率为</w:t>
            </w:r>
            <w:r>
              <w:rPr>
                <w:rFonts w:hint="eastAsia" w:cs="Times New Roman"/>
                <w:bCs/>
                <w:kern w:val="0"/>
                <w:szCs w:val="20"/>
              </w:rPr>
              <w:t>0.87，</w:t>
            </w:r>
            <w:r>
              <w:rPr>
                <w:rFonts w:cs="Times New Roman"/>
                <w:bCs/>
                <w:kern w:val="0"/>
                <w:szCs w:val="20"/>
              </w:rPr>
              <w:t>不低于</w:t>
            </w:r>
            <w:r>
              <w:rPr>
                <w:rFonts w:hint="eastAsia" w:cs="Times New Roman"/>
                <w:bCs/>
                <w:kern w:val="0"/>
                <w:szCs w:val="20"/>
              </w:rPr>
              <w:t>0.6。</w:t>
            </w:r>
          </w:p>
        </w:tc>
        <w:tc>
          <w:tcPr>
            <w:tcW w:w="361" w:type="pct"/>
            <w:vAlign w:val="center"/>
          </w:tcPr>
          <w:p w14:paraId="540844C3">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0D985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28BB77D0">
            <w:pPr>
              <w:pStyle w:val="445"/>
              <w:rPr>
                <w:rFonts w:cs="Times New Roman"/>
                <w:kern w:val="0"/>
                <w:szCs w:val="20"/>
              </w:rPr>
            </w:pPr>
          </w:p>
        </w:tc>
        <w:tc>
          <w:tcPr>
            <w:tcW w:w="649" w:type="pct"/>
            <w:vMerge w:val="continue"/>
            <w:vAlign w:val="center"/>
          </w:tcPr>
          <w:p w14:paraId="3AF036F6">
            <w:pPr>
              <w:pStyle w:val="445"/>
              <w:rPr>
                <w:rFonts w:cs="Times New Roman"/>
                <w:kern w:val="0"/>
                <w:szCs w:val="20"/>
              </w:rPr>
            </w:pPr>
          </w:p>
        </w:tc>
        <w:tc>
          <w:tcPr>
            <w:tcW w:w="1802" w:type="pct"/>
            <w:vAlign w:val="center"/>
          </w:tcPr>
          <w:p w14:paraId="5F96396F">
            <w:pPr>
              <w:pStyle w:val="445"/>
              <w:rPr>
                <w:rFonts w:cs="Times New Roman"/>
                <w:kern w:val="0"/>
                <w:szCs w:val="20"/>
              </w:rPr>
            </w:pPr>
            <w:r>
              <w:rPr>
                <w:rFonts w:hint="eastAsia" w:cs="Times New Roman"/>
                <w:kern w:val="0"/>
                <w:szCs w:val="20"/>
              </w:rPr>
              <w:t>严格</w:t>
            </w:r>
            <w:r>
              <w:rPr>
                <w:rFonts w:cs="Times New Roman"/>
                <w:kern w:val="0"/>
                <w:szCs w:val="20"/>
              </w:rPr>
              <w:t>限制建设</w:t>
            </w:r>
            <w:r>
              <w:rPr>
                <w:rFonts w:hint="eastAsia" w:cs="Times New Roman"/>
                <w:kern w:val="0"/>
                <w:szCs w:val="20"/>
              </w:rPr>
              <w:t>涉及</w:t>
            </w:r>
            <w:r>
              <w:rPr>
                <w:rFonts w:cs="Times New Roman"/>
                <w:kern w:val="0"/>
                <w:szCs w:val="20"/>
              </w:rPr>
              <w:t>《</w:t>
            </w:r>
            <w:r>
              <w:rPr>
                <w:rFonts w:hint="eastAsia" w:cs="Times New Roman"/>
                <w:kern w:val="0"/>
                <w:szCs w:val="20"/>
              </w:rPr>
              <w:t>产业</w:t>
            </w:r>
            <w:r>
              <w:rPr>
                <w:rFonts w:cs="Times New Roman"/>
                <w:kern w:val="0"/>
                <w:szCs w:val="20"/>
              </w:rPr>
              <w:t>结构调整指导目录（</w:t>
            </w:r>
            <w:r>
              <w:rPr>
                <w:rFonts w:hint="eastAsia" w:cs="Times New Roman"/>
                <w:kern w:val="0"/>
                <w:szCs w:val="20"/>
              </w:rPr>
              <w:t>2019年</w:t>
            </w:r>
            <w:r>
              <w:rPr>
                <w:rFonts w:cs="Times New Roman"/>
                <w:kern w:val="0"/>
                <w:szCs w:val="20"/>
              </w:rPr>
              <w:t>本）》</w:t>
            </w:r>
            <w:r>
              <w:rPr>
                <w:rFonts w:hint="eastAsia" w:cs="Times New Roman"/>
                <w:kern w:val="0"/>
                <w:szCs w:val="20"/>
              </w:rPr>
              <w:t>（中华</w:t>
            </w:r>
            <w:r>
              <w:rPr>
                <w:rFonts w:cs="Times New Roman"/>
                <w:kern w:val="0"/>
                <w:szCs w:val="20"/>
              </w:rPr>
              <w:t>人民共和国国家发展和改革委员会令第</w:t>
            </w:r>
            <w:r>
              <w:rPr>
                <w:rFonts w:hint="eastAsia" w:cs="Times New Roman"/>
                <w:kern w:val="0"/>
                <w:szCs w:val="20"/>
              </w:rPr>
              <w:t>29号）中</w:t>
            </w:r>
            <w:r>
              <w:rPr>
                <w:rFonts w:cs="Times New Roman"/>
                <w:kern w:val="0"/>
                <w:szCs w:val="20"/>
              </w:rPr>
              <w:t>限制类化工项目</w:t>
            </w:r>
            <w:r>
              <w:rPr>
                <w:rFonts w:hint="eastAsia" w:cs="Times New Roman"/>
                <w:kern w:val="0"/>
                <w:szCs w:val="20"/>
              </w:rPr>
              <w:t>。</w:t>
            </w:r>
          </w:p>
          <w:p w14:paraId="1B8C0F28">
            <w:pPr>
              <w:pStyle w:val="445"/>
              <w:rPr>
                <w:rFonts w:cs="Times New Roman"/>
                <w:kern w:val="0"/>
                <w:szCs w:val="20"/>
              </w:rPr>
            </w:pPr>
            <w:r>
              <w:rPr>
                <w:rFonts w:hint="eastAsia" w:cs="Times New Roman"/>
                <w:kern w:val="0"/>
                <w:szCs w:val="20"/>
              </w:rPr>
              <w:t>严格控制</w:t>
            </w:r>
            <w:r>
              <w:rPr>
                <w:rFonts w:cs="Times New Roman"/>
                <w:kern w:val="0"/>
                <w:szCs w:val="20"/>
              </w:rPr>
              <w:t>尿素、磷铵、电石</w:t>
            </w:r>
            <w:r>
              <w:rPr>
                <w:rFonts w:hint="eastAsia" w:cs="Times New Roman"/>
                <w:kern w:val="0"/>
                <w:szCs w:val="20"/>
              </w:rPr>
              <w:t>、</w:t>
            </w:r>
            <w:r>
              <w:rPr>
                <w:rFonts w:cs="Times New Roman"/>
                <w:kern w:val="0"/>
                <w:szCs w:val="20"/>
              </w:rPr>
              <w:t>烧碱（</w:t>
            </w:r>
            <w:r>
              <w:rPr>
                <w:rFonts w:hint="eastAsia" w:cs="Times New Roman"/>
                <w:kern w:val="0"/>
                <w:szCs w:val="20"/>
              </w:rPr>
              <w:t>废盐</w:t>
            </w:r>
            <w:r>
              <w:rPr>
                <w:rFonts w:cs="Times New Roman"/>
                <w:kern w:val="0"/>
                <w:szCs w:val="20"/>
              </w:rPr>
              <w:t>综合利用的离子膜烧碱装置、天然碱除外）</w:t>
            </w:r>
            <w:r>
              <w:rPr>
                <w:rFonts w:hint="eastAsia" w:cs="Times New Roman"/>
                <w:kern w:val="0"/>
                <w:szCs w:val="20"/>
              </w:rPr>
              <w:t>、</w:t>
            </w:r>
            <w:r>
              <w:rPr>
                <w:rFonts w:cs="Times New Roman"/>
                <w:kern w:val="0"/>
                <w:szCs w:val="20"/>
              </w:rPr>
              <w:t>聚氯乙烯、纯碱（</w:t>
            </w:r>
            <w:r>
              <w:rPr>
                <w:rFonts w:hint="eastAsia" w:cs="Times New Roman"/>
                <w:kern w:val="0"/>
                <w:szCs w:val="20"/>
              </w:rPr>
              <w:t>天然碱</w:t>
            </w:r>
            <w:r>
              <w:rPr>
                <w:rFonts w:cs="Times New Roman"/>
                <w:kern w:val="0"/>
                <w:szCs w:val="20"/>
              </w:rPr>
              <w:t>除外）</w:t>
            </w:r>
            <w:r>
              <w:rPr>
                <w:rFonts w:hint="eastAsia" w:cs="Times New Roman"/>
                <w:kern w:val="0"/>
                <w:szCs w:val="20"/>
              </w:rPr>
              <w:t>、</w:t>
            </w:r>
            <w:r>
              <w:rPr>
                <w:rFonts w:cs="Times New Roman"/>
                <w:kern w:val="0"/>
                <w:szCs w:val="20"/>
              </w:rPr>
              <w:t>黄磷等过剩行业新增产能。</w:t>
            </w:r>
          </w:p>
          <w:p w14:paraId="13F3147C">
            <w:pPr>
              <w:pStyle w:val="445"/>
              <w:rPr>
                <w:rFonts w:cs="Times New Roman"/>
                <w:kern w:val="0"/>
                <w:szCs w:val="20"/>
              </w:rPr>
            </w:pPr>
            <w:r>
              <w:rPr>
                <w:rFonts w:hint="eastAsia" w:cs="Times New Roman"/>
                <w:kern w:val="0"/>
                <w:szCs w:val="20"/>
              </w:rPr>
              <w:t>严格</w:t>
            </w:r>
            <w:r>
              <w:rPr>
                <w:rFonts w:cs="Times New Roman"/>
                <w:kern w:val="0"/>
                <w:szCs w:val="20"/>
              </w:rPr>
              <w:t>限制在再淮河流域新建印染、制革、化工、电镀、酿造等化工项目，</w:t>
            </w:r>
            <w:r>
              <w:rPr>
                <w:rFonts w:hint="eastAsia" w:cs="Times New Roman"/>
                <w:kern w:val="0"/>
                <w:szCs w:val="20"/>
              </w:rPr>
              <w:t>建设</w:t>
            </w:r>
            <w:r>
              <w:rPr>
                <w:rFonts w:cs="Times New Roman"/>
                <w:kern w:val="0"/>
                <w:szCs w:val="20"/>
              </w:rPr>
              <w:t>该类项目的，应当事前征</w:t>
            </w:r>
            <w:r>
              <w:rPr>
                <w:rFonts w:hint="eastAsia" w:cs="Times New Roman"/>
                <w:kern w:val="0"/>
                <w:szCs w:val="20"/>
              </w:rPr>
              <w:t>得</w:t>
            </w:r>
            <w:r>
              <w:rPr>
                <w:rFonts w:cs="Times New Roman"/>
                <w:kern w:val="0"/>
                <w:szCs w:val="20"/>
              </w:rPr>
              <w:t>省人民政府生态行政主管部门的同意</w:t>
            </w:r>
            <w:r>
              <w:rPr>
                <w:rFonts w:hint="eastAsia" w:cs="Times New Roman"/>
                <w:kern w:val="0"/>
                <w:szCs w:val="20"/>
              </w:rPr>
              <w:t>，</w:t>
            </w:r>
            <w:r>
              <w:rPr>
                <w:rFonts w:cs="Times New Roman"/>
                <w:kern w:val="0"/>
                <w:szCs w:val="20"/>
              </w:rPr>
              <w:t>并按照规定办理有关手续。</w:t>
            </w:r>
          </w:p>
          <w:p w14:paraId="2C795163">
            <w:pPr>
              <w:pStyle w:val="445"/>
              <w:rPr>
                <w:rFonts w:cs="Times New Roman"/>
                <w:kern w:val="0"/>
                <w:szCs w:val="20"/>
              </w:rPr>
            </w:pPr>
            <w:r>
              <w:rPr>
                <w:rFonts w:hint="eastAsia" w:cs="Times New Roman"/>
                <w:kern w:val="0"/>
                <w:szCs w:val="20"/>
              </w:rPr>
              <w:t>严格</w:t>
            </w:r>
            <w:r>
              <w:rPr>
                <w:rFonts w:cs="Times New Roman"/>
                <w:kern w:val="0"/>
                <w:szCs w:val="20"/>
              </w:rPr>
              <w:t>限制</w:t>
            </w:r>
            <w:r>
              <w:rPr>
                <w:rFonts w:hint="eastAsia" w:cs="Times New Roman"/>
                <w:kern w:val="0"/>
                <w:szCs w:val="20"/>
              </w:rPr>
              <w:t>高</w:t>
            </w:r>
            <w:r>
              <w:rPr>
                <w:rFonts w:cs="Times New Roman"/>
                <w:kern w:val="0"/>
                <w:szCs w:val="20"/>
              </w:rPr>
              <w:t>VOCs排放化工项目</w:t>
            </w:r>
            <w:r>
              <w:rPr>
                <w:rFonts w:hint="eastAsia" w:cs="Times New Roman"/>
                <w:kern w:val="0"/>
                <w:szCs w:val="20"/>
              </w:rPr>
              <w:t>。</w:t>
            </w:r>
          </w:p>
        </w:tc>
        <w:tc>
          <w:tcPr>
            <w:tcW w:w="1952" w:type="pct"/>
            <w:vAlign w:val="center"/>
          </w:tcPr>
          <w:p w14:paraId="7B9D0DAC">
            <w:pPr>
              <w:pStyle w:val="445"/>
              <w:rPr>
                <w:rFonts w:cs="Times New Roman"/>
                <w:kern w:val="0"/>
                <w:szCs w:val="20"/>
              </w:rPr>
            </w:pPr>
            <w:r>
              <w:rPr>
                <w:rFonts w:hint="eastAsia" w:cs="Times New Roman"/>
                <w:bCs/>
                <w:kern w:val="0"/>
                <w:szCs w:val="20"/>
              </w:rPr>
              <w:t>本项目</w:t>
            </w:r>
            <w:r>
              <w:rPr>
                <w:rFonts w:cs="Times New Roman"/>
                <w:bCs/>
                <w:kern w:val="0"/>
                <w:szCs w:val="20"/>
              </w:rPr>
              <w:t>不属于</w:t>
            </w:r>
            <w:r>
              <w:rPr>
                <w:rFonts w:cs="Times New Roman"/>
                <w:kern w:val="0"/>
                <w:szCs w:val="20"/>
              </w:rPr>
              <w:t>《产业结构调整指导目录》（2024本）</w:t>
            </w:r>
            <w:r>
              <w:rPr>
                <w:rFonts w:hint="eastAsia" w:cs="Times New Roman"/>
                <w:kern w:val="0"/>
                <w:szCs w:val="20"/>
              </w:rPr>
              <w:t>中</w:t>
            </w:r>
            <w:r>
              <w:rPr>
                <w:rFonts w:cs="Times New Roman"/>
                <w:kern w:val="0"/>
                <w:szCs w:val="20"/>
              </w:rPr>
              <w:t>的限制和淘汰类项目</w:t>
            </w:r>
            <w:r>
              <w:rPr>
                <w:rFonts w:hint="eastAsia" w:cs="Times New Roman"/>
                <w:kern w:val="0"/>
                <w:szCs w:val="20"/>
              </w:rPr>
              <w:t>。</w:t>
            </w:r>
          </w:p>
          <w:p w14:paraId="4802F70E">
            <w:pPr>
              <w:pStyle w:val="445"/>
              <w:rPr>
                <w:rFonts w:cs="Times New Roman"/>
                <w:kern w:val="0"/>
                <w:szCs w:val="20"/>
              </w:rPr>
            </w:pPr>
            <w:r>
              <w:rPr>
                <w:rFonts w:hint="eastAsia" w:cs="Times New Roman"/>
                <w:kern w:val="0"/>
                <w:szCs w:val="20"/>
              </w:rPr>
              <w:t>本项目产品</w:t>
            </w:r>
            <w:r>
              <w:rPr>
                <w:rFonts w:cs="Times New Roman"/>
                <w:kern w:val="0"/>
                <w:szCs w:val="20"/>
              </w:rPr>
              <w:t>为超纯二氧化硅和硅烷新材料，不属于</w:t>
            </w:r>
            <w:r>
              <w:rPr>
                <w:rFonts w:hint="eastAsia" w:cs="Times New Roman"/>
                <w:kern w:val="0"/>
                <w:szCs w:val="20"/>
              </w:rPr>
              <w:t>所列</w:t>
            </w:r>
            <w:r>
              <w:rPr>
                <w:rFonts w:cs="Times New Roman"/>
                <w:kern w:val="0"/>
                <w:szCs w:val="20"/>
              </w:rPr>
              <w:t>过剩行业</w:t>
            </w:r>
            <w:r>
              <w:rPr>
                <w:rFonts w:hint="eastAsia" w:cs="Times New Roman"/>
                <w:kern w:val="0"/>
                <w:szCs w:val="20"/>
              </w:rPr>
              <w:t>。</w:t>
            </w:r>
          </w:p>
          <w:p w14:paraId="21A2FA5D">
            <w:pPr>
              <w:pStyle w:val="445"/>
              <w:rPr>
                <w:rFonts w:cs="Times New Roman"/>
                <w:kern w:val="0"/>
                <w:szCs w:val="20"/>
              </w:rPr>
            </w:pPr>
            <w:r>
              <w:rPr>
                <w:rFonts w:hint="eastAsia" w:cs="Times New Roman"/>
                <w:kern w:val="0"/>
                <w:szCs w:val="20"/>
              </w:rPr>
              <w:t>本</w:t>
            </w:r>
            <w:r>
              <w:rPr>
                <w:rFonts w:cs="Times New Roman"/>
                <w:kern w:val="0"/>
                <w:szCs w:val="20"/>
              </w:rPr>
              <w:t>项目已</w:t>
            </w:r>
            <w:r>
              <w:rPr>
                <w:rFonts w:hint="eastAsia" w:cs="Times New Roman"/>
                <w:kern w:val="0"/>
                <w:szCs w:val="20"/>
              </w:rPr>
              <w:t>取得《安徽省</w:t>
            </w:r>
            <w:r>
              <w:rPr>
                <w:rFonts w:cs="Times New Roman"/>
                <w:kern w:val="0"/>
                <w:szCs w:val="20"/>
              </w:rPr>
              <w:t>生态环境厅关于安徽</w:t>
            </w:r>
            <w:r>
              <w:rPr>
                <w:rFonts w:hint="eastAsia" w:cs="Times New Roman"/>
                <w:kern w:val="0"/>
                <w:szCs w:val="20"/>
              </w:rPr>
              <w:t>中创</w:t>
            </w:r>
            <w:r>
              <w:rPr>
                <w:rFonts w:cs="Times New Roman"/>
                <w:kern w:val="0"/>
                <w:szCs w:val="20"/>
              </w:rPr>
              <w:t>电子信息材料有限公司年产</w:t>
            </w:r>
            <w:r>
              <w:rPr>
                <w:rFonts w:hint="eastAsia" w:cs="Times New Roman"/>
                <w:kern w:val="0"/>
                <w:szCs w:val="20"/>
              </w:rPr>
              <w:t>5000吨</w:t>
            </w:r>
            <w:r>
              <w:rPr>
                <w:rFonts w:cs="Times New Roman"/>
                <w:kern w:val="0"/>
                <w:szCs w:val="20"/>
              </w:rPr>
              <w:t>超纯二氧化硅项目环保预审的</w:t>
            </w:r>
            <w:r>
              <w:rPr>
                <w:rFonts w:hint="eastAsia" w:cs="Times New Roman"/>
                <w:kern w:val="0"/>
                <w:szCs w:val="20"/>
              </w:rPr>
              <w:t>批复》（皖</w:t>
            </w:r>
            <w:r>
              <w:rPr>
                <w:rFonts w:cs="Times New Roman"/>
                <w:kern w:val="0"/>
                <w:szCs w:val="20"/>
              </w:rPr>
              <w:t>环办复</w:t>
            </w:r>
            <w:r>
              <w:rPr>
                <w:rFonts w:hint="eastAsia" w:cs="Times New Roman"/>
                <w:kern w:val="0"/>
                <w:szCs w:val="20"/>
              </w:rPr>
              <w:t>[</w:t>
            </w:r>
            <w:r>
              <w:rPr>
                <w:rFonts w:cs="Times New Roman"/>
                <w:kern w:val="0"/>
                <w:szCs w:val="20"/>
              </w:rPr>
              <w:t>2022</w:t>
            </w:r>
            <w:r>
              <w:rPr>
                <w:rFonts w:hint="eastAsia" w:cs="Times New Roman"/>
                <w:kern w:val="0"/>
                <w:szCs w:val="20"/>
              </w:rPr>
              <w:t>]</w:t>
            </w:r>
            <w:r>
              <w:rPr>
                <w:rFonts w:cs="Times New Roman"/>
                <w:kern w:val="0"/>
                <w:szCs w:val="20"/>
              </w:rPr>
              <w:t>643</w:t>
            </w:r>
            <w:r>
              <w:rPr>
                <w:rFonts w:hint="eastAsia" w:cs="Times New Roman"/>
                <w:kern w:val="0"/>
                <w:szCs w:val="20"/>
              </w:rPr>
              <w:t>号）</w:t>
            </w:r>
            <w:r>
              <w:rPr>
                <w:rFonts w:cs="Times New Roman"/>
                <w:kern w:val="0"/>
                <w:szCs w:val="20"/>
              </w:rPr>
              <w:t>，同意上述项目开展环评等相关前期工作</w:t>
            </w:r>
            <w:r>
              <w:rPr>
                <w:rFonts w:hint="eastAsia" w:cs="Times New Roman"/>
                <w:kern w:val="0"/>
                <w:szCs w:val="20"/>
              </w:rPr>
              <w:t>。</w:t>
            </w:r>
          </w:p>
          <w:p w14:paraId="45340A85">
            <w:pPr>
              <w:pStyle w:val="445"/>
              <w:rPr>
                <w:rFonts w:cs="Times New Roman"/>
                <w:bCs/>
                <w:kern w:val="0"/>
                <w:szCs w:val="20"/>
              </w:rPr>
            </w:pPr>
            <w:r>
              <w:rPr>
                <w:rFonts w:hint="eastAsia" w:cs="Times New Roman"/>
                <w:bCs/>
                <w:kern w:val="0"/>
                <w:szCs w:val="20"/>
              </w:rPr>
              <w:t>本项目</w:t>
            </w:r>
            <w:r>
              <w:rPr>
                <w:rFonts w:cs="Times New Roman"/>
                <w:bCs/>
                <w:kern w:val="0"/>
                <w:szCs w:val="20"/>
              </w:rPr>
              <w:t>有机</w:t>
            </w:r>
            <w:r>
              <w:rPr>
                <w:rFonts w:hint="eastAsia" w:cs="Times New Roman"/>
                <w:bCs/>
                <w:kern w:val="0"/>
                <w:szCs w:val="20"/>
              </w:rPr>
              <w:t>废气</w:t>
            </w:r>
            <w:r>
              <w:rPr>
                <w:rFonts w:cs="Times New Roman"/>
                <w:bCs/>
                <w:kern w:val="0"/>
                <w:szCs w:val="20"/>
              </w:rPr>
              <w:t>经“</w:t>
            </w:r>
            <w:r>
              <w:rPr>
                <w:rFonts w:hint="eastAsia" w:cs="Times New Roman"/>
                <w:bCs/>
                <w:kern w:val="0"/>
                <w:szCs w:val="20"/>
              </w:rPr>
              <w:t>两级</w:t>
            </w:r>
            <w:r>
              <w:rPr>
                <w:rFonts w:cs="Times New Roman"/>
                <w:bCs/>
                <w:kern w:val="0"/>
                <w:szCs w:val="20"/>
              </w:rPr>
              <w:t>深冷+一级碱吸收+</w:t>
            </w:r>
            <w:r>
              <w:rPr>
                <w:rFonts w:hint="eastAsia" w:cs="Times New Roman"/>
                <w:bCs/>
                <w:kern w:val="0"/>
                <w:szCs w:val="20"/>
              </w:rPr>
              <w:t>活性炭</w:t>
            </w:r>
            <w:r>
              <w:rPr>
                <w:rFonts w:cs="Times New Roman"/>
                <w:bCs/>
                <w:kern w:val="0"/>
                <w:szCs w:val="20"/>
              </w:rPr>
              <w:t>吸附”</w:t>
            </w:r>
            <w:r>
              <w:rPr>
                <w:rFonts w:hint="eastAsia" w:cs="Times New Roman"/>
                <w:bCs/>
                <w:kern w:val="0"/>
                <w:szCs w:val="20"/>
              </w:rPr>
              <w:t>处理后</w:t>
            </w:r>
            <w:r>
              <w:rPr>
                <w:rFonts w:cs="Times New Roman"/>
                <w:bCs/>
                <w:kern w:val="0"/>
                <w:szCs w:val="20"/>
              </w:rPr>
              <w:t>有组织达标排放</w:t>
            </w:r>
            <w:r>
              <w:rPr>
                <w:rFonts w:hint="eastAsia" w:cs="Times New Roman"/>
                <w:bCs/>
                <w:kern w:val="0"/>
                <w:szCs w:val="20"/>
              </w:rPr>
              <w:t>。</w:t>
            </w:r>
          </w:p>
        </w:tc>
        <w:tc>
          <w:tcPr>
            <w:tcW w:w="361" w:type="pct"/>
            <w:vAlign w:val="center"/>
          </w:tcPr>
          <w:p w14:paraId="78847C0F">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65E679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1FB75B45">
            <w:pPr>
              <w:pStyle w:val="445"/>
              <w:rPr>
                <w:rFonts w:cs="Times New Roman"/>
                <w:kern w:val="0"/>
                <w:szCs w:val="20"/>
              </w:rPr>
            </w:pPr>
          </w:p>
        </w:tc>
        <w:tc>
          <w:tcPr>
            <w:tcW w:w="649" w:type="pct"/>
            <w:vMerge w:val="continue"/>
            <w:vAlign w:val="center"/>
          </w:tcPr>
          <w:p w14:paraId="583534BD">
            <w:pPr>
              <w:pStyle w:val="445"/>
              <w:rPr>
                <w:rFonts w:cs="Times New Roman"/>
                <w:kern w:val="0"/>
                <w:szCs w:val="20"/>
              </w:rPr>
            </w:pPr>
          </w:p>
        </w:tc>
        <w:tc>
          <w:tcPr>
            <w:tcW w:w="1802" w:type="pct"/>
            <w:vAlign w:val="center"/>
          </w:tcPr>
          <w:p w14:paraId="0C352C3A">
            <w:pPr>
              <w:pStyle w:val="445"/>
              <w:rPr>
                <w:rFonts w:cs="Times New Roman"/>
                <w:kern w:val="0"/>
                <w:szCs w:val="20"/>
              </w:rPr>
            </w:pPr>
            <w:r>
              <w:rPr>
                <w:rFonts w:hint="eastAsia" w:cs="Times New Roman"/>
                <w:kern w:val="0"/>
                <w:szCs w:val="20"/>
              </w:rPr>
              <w:t>严禁</w:t>
            </w:r>
            <w:r>
              <w:rPr>
                <w:rFonts w:cs="Times New Roman"/>
                <w:kern w:val="0"/>
                <w:szCs w:val="20"/>
              </w:rPr>
              <w:t>建设</w:t>
            </w:r>
            <w:r>
              <w:rPr>
                <w:rFonts w:hint="eastAsia" w:cs="Times New Roman"/>
                <w:kern w:val="0"/>
                <w:szCs w:val="20"/>
              </w:rPr>
              <w:t>涉及</w:t>
            </w:r>
            <w:r>
              <w:rPr>
                <w:rFonts w:cs="Times New Roman"/>
                <w:kern w:val="0"/>
                <w:szCs w:val="20"/>
              </w:rPr>
              <w:t>《</w:t>
            </w:r>
            <w:r>
              <w:rPr>
                <w:rFonts w:hint="eastAsia" w:cs="Times New Roman"/>
                <w:kern w:val="0"/>
                <w:szCs w:val="20"/>
              </w:rPr>
              <w:t>产业</w:t>
            </w:r>
            <w:r>
              <w:rPr>
                <w:rFonts w:cs="Times New Roman"/>
                <w:kern w:val="0"/>
                <w:szCs w:val="20"/>
              </w:rPr>
              <w:t>结构调整指导目录（</w:t>
            </w:r>
            <w:r>
              <w:rPr>
                <w:rFonts w:hint="eastAsia" w:cs="Times New Roman"/>
                <w:kern w:val="0"/>
                <w:szCs w:val="20"/>
              </w:rPr>
              <w:t>2019年</w:t>
            </w:r>
            <w:r>
              <w:rPr>
                <w:rFonts w:cs="Times New Roman"/>
                <w:kern w:val="0"/>
                <w:szCs w:val="20"/>
              </w:rPr>
              <w:t>本）》</w:t>
            </w:r>
            <w:r>
              <w:rPr>
                <w:rFonts w:hint="eastAsia" w:cs="Times New Roman"/>
                <w:kern w:val="0"/>
                <w:szCs w:val="20"/>
              </w:rPr>
              <w:t>（中华</w:t>
            </w:r>
            <w:r>
              <w:rPr>
                <w:rFonts w:cs="Times New Roman"/>
                <w:kern w:val="0"/>
                <w:szCs w:val="20"/>
              </w:rPr>
              <w:t>人民共和国国家发展和改革委员会令第</w:t>
            </w:r>
            <w:r>
              <w:rPr>
                <w:rFonts w:hint="eastAsia" w:cs="Times New Roman"/>
                <w:kern w:val="0"/>
                <w:szCs w:val="20"/>
              </w:rPr>
              <w:t>29号）中淘汰</w:t>
            </w:r>
            <w:r>
              <w:rPr>
                <w:rFonts w:cs="Times New Roman"/>
                <w:kern w:val="0"/>
                <w:szCs w:val="20"/>
              </w:rPr>
              <w:t>类化工项目</w:t>
            </w:r>
            <w:r>
              <w:rPr>
                <w:rFonts w:hint="eastAsia" w:cs="Times New Roman"/>
                <w:kern w:val="0"/>
                <w:szCs w:val="20"/>
              </w:rPr>
              <w:t>。</w:t>
            </w:r>
          </w:p>
        </w:tc>
        <w:tc>
          <w:tcPr>
            <w:tcW w:w="1952" w:type="pct"/>
            <w:vAlign w:val="center"/>
          </w:tcPr>
          <w:p w14:paraId="6EEE6052">
            <w:pPr>
              <w:pStyle w:val="445"/>
              <w:rPr>
                <w:rFonts w:cs="Times New Roman"/>
                <w:bCs/>
                <w:kern w:val="0"/>
                <w:szCs w:val="20"/>
              </w:rPr>
            </w:pPr>
            <w:r>
              <w:rPr>
                <w:rFonts w:hint="eastAsia" w:cs="Times New Roman"/>
                <w:bCs/>
                <w:kern w:val="0"/>
                <w:szCs w:val="20"/>
              </w:rPr>
              <w:t>本项目</w:t>
            </w:r>
            <w:r>
              <w:rPr>
                <w:rFonts w:cs="Times New Roman"/>
                <w:bCs/>
                <w:kern w:val="0"/>
                <w:szCs w:val="20"/>
              </w:rPr>
              <w:t>不属于</w:t>
            </w:r>
            <w:r>
              <w:rPr>
                <w:rFonts w:cs="Times New Roman"/>
                <w:kern w:val="0"/>
                <w:szCs w:val="20"/>
              </w:rPr>
              <w:t>《产业结构调整指导目录》（2024本）</w:t>
            </w:r>
            <w:r>
              <w:rPr>
                <w:rFonts w:hint="eastAsia" w:cs="Times New Roman"/>
                <w:kern w:val="0"/>
                <w:szCs w:val="20"/>
              </w:rPr>
              <w:t>中</w:t>
            </w:r>
            <w:r>
              <w:rPr>
                <w:rFonts w:cs="Times New Roman"/>
                <w:kern w:val="0"/>
                <w:szCs w:val="20"/>
              </w:rPr>
              <w:t>的限制和淘汰类项目</w:t>
            </w:r>
            <w:r>
              <w:rPr>
                <w:rFonts w:hint="eastAsia" w:cs="Times New Roman"/>
                <w:kern w:val="0"/>
                <w:szCs w:val="20"/>
              </w:rPr>
              <w:t>。</w:t>
            </w:r>
          </w:p>
        </w:tc>
        <w:tc>
          <w:tcPr>
            <w:tcW w:w="361" w:type="pct"/>
            <w:vAlign w:val="center"/>
          </w:tcPr>
          <w:p w14:paraId="49F20CEB">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3A176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2432FE6B">
            <w:pPr>
              <w:pStyle w:val="445"/>
              <w:rPr>
                <w:rFonts w:cs="Times New Roman"/>
                <w:kern w:val="0"/>
                <w:szCs w:val="20"/>
              </w:rPr>
            </w:pPr>
          </w:p>
        </w:tc>
        <w:tc>
          <w:tcPr>
            <w:tcW w:w="649" w:type="pct"/>
            <w:vMerge w:val="continue"/>
            <w:vAlign w:val="center"/>
          </w:tcPr>
          <w:p w14:paraId="535705F1">
            <w:pPr>
              <w:pStyle w:val="445"/>
              <w:rPr>
                <w:rFonts w:cs="Times New Roman"/>
                <w:kern w:val="0"/>
                <w:szCs w:val="20"/>
              </w:rPr>
            </w:pPr>
          </w:p>
        </w:tc>
        <w:tc>
          <w:tcPr>
            <w:tcW w:w="1802" w:type="pct"/>
            <w:vAlign w:val="center"/>
          </w:tcPr>
          <w:p w14:paraId="4C8BDBCC">
            <w:pPr>
              <w:pStyle w:val="445"/>
              <w:rPr>
                <w:rFonts w:cs="Times New Roman"/>
                <w:kern w:val="0"/>
                <w:szCs w:val="20"/>
              </w:rPr>
            </w:pPr>
            <w:r>
              <w:rPr>
                <w:rFonts w:hint="eastAsia" w:cs="Times New Roman"/>
                <w:kern w:val="0"/>
                <w:szCs w:val="20"/>
              </w:rPr>
              <w:t>根据</w:t>
            </w:r>
            <w:r>
              <w:rPr>
                <w:rFonts w:cs="Times New Roman"/>
                <w:kern w:val="0"/>
                <w:szCs w:val="20"/>
              </w:rPr>
              <w:t>园区规划，列入园区规划环评负面清单禁止类项目。</w:t>
            </w:r>
          </w:p>
        </w:tc>
        <w:tc>
          <w:tcPr>
            <w:tcW w:w="1952" w:type="pct"/>
            <w:vAlign w:val="center"/>
          </w:tcPr>
          <w:p w14:paraId="2C7BF482">
            <w:pPr>
              <w:pStyle w:val="445"/>
              <w:rPr>
                <w:rFonts w:cs="Times New Roman"/>
                <w:bCs/>
                <w:kern w:val="0"/>
                <w:szCs w:val="20"/>
              </w:rPr>
            </w:pPr>
            <w:r>
              <w:rPr>
                <w:rFonts w:hint="eastAsia" w:cs="Times New Roman"/>
                <w:bCs/>
                <w:kern w:val="0"/>
                <w:szCs w:val="20"/>
              </w:rPr>
              <w:t>对照</w:t>
            </w:r>
            <w:r>
              <w:rPr>
                <w:rFonts w:hint="eastAsia" w:ascii="宋体" w:hAnsi="宋体" w:cs="Times New Roman"/>
                <w:kern w:val="0"/>
                <w:szCs w:val="20"/>
              </w:rPr>
              <w:t>《蚌埠精细化工高新技术产业基地规划</w:t>
            </w:r>
            <w:r>
              <w:rPr>
                <w:rFonts w:hint="eastAsia" w:cs="Times New Roman"/>
                <w:kern w:val="0"/>
                <w:szCs w:val="20"/>
              </w:rPr>
              <w:t>（2021</w:t>
            </w:r>
            <w:r>
              <w:rPr>
                <w:rFonts w:cs="Times New Roman"/>
                <w:kern w:val="0"/>
                <w:szCs w:val="20"/>
              </w:rPr>
              <w:t>~2035</w:t>
            </w:r>
            <w:r>
              <w:rPr>
                <w:rFonts w:hint="eastAsia" w:cs="Times New Roman"/>
                <w:kern w:val="0"/>
                <w:szCs w:val="20"/>
              </w:rPr>
              <w:t>）</w:t>
            </w:r>
            <w:r>
              <w:rPr>
                <w:rFonts w:hint="eastAsia" w:ascii="宋体" w:hAnsi="宋体" w:cs="Times New Roman"/>
                <w:kern w:val="0"/>
                <w:szCs w:val="20"/>
              </w:rPr>
              <w:t>环境影响报告书》中生态</w:t>
            </w:r>
            <w:r>
              <w:rPr>
                <w:rFonts w:ascii="宋体" w:hAnsi="宋体" w:cs="Times New Roman"/>
                <w:kern w:val="0"/>
                <w:szCs w:val="20"/>
              </w:rPr>
              <w:t>环境</w:t>
            </w:r>
            <w:r>
              <w:rPr>
                <w:rFonts w:hint="eastAsia" w:ascii="宋体" w:hAnsi="宋体" w:cs="Times New Roman"/>
                <w:kern w:val="0"/>
                <w:szCs w:val="20"/>
              </w:rPr>
              <w:t>准入</w:t>
            </w:r>
            <w:r>
              <w:rPr>
                <w:rFonts w:ascii="宋体" w:hAnsi="宋体" w:cs="Times New Roman"/>
                <w:kern w:val="0"/>
                <w:szCs w:val="20"/>
              </w:rPr>
              <w:t>清单</w:t>
            </w:r>
            <w:r>
              <w:rPr>
                <w:rFonts w:hint="eastAsia" w:ascii="宋体" w:hAnsi="宋体" w:cs="Times New Roman"/>
                <w:kern w:val="0"/>
                <w:szCs w:val="20"/>
              </w:rPr>
              <w:t>，</w:t>
            </w:r>
            <w:r>
              <w:rPr>
                <w:rFonts w:hint="eastAsia" w:cs="Times New Roman"/>
                <w:kern w:val="0"/>
                <w:szCs w:val="20"/>
              </w:rPr>
              <w:t>本项目产品二氧化硅属于其他基础</w:t>
            </w:r>
            <w:r>
              <w:rPr>
                <w:rFonts w:cs="Times New Roman"/>
                <w:kern w:val="0"/>
                <w:szCs w:val="20"/>
              </w:rPr>
              <w:t>化学原料制造</w:t>
            </w:r>
            <w:r>
              <w:rPr>
                <w:rFonts w:hint="eastAsia" w:cs="Times New Roman"/>
                <w:kern w:val="0"/>
                <w:szCs w:val="20"/>
              </w:rPr>
              <w:t>[C2619]；副产KH-560属于有机化学原料制造[</w:t>
            </w:r>
            <w:r>
              <w:rPr>
                <w:rFonts w:cs="Times New Roman"/>
                <w:kern w:val="0"/>
                <w:szCs w:val="20"/>
              </w:rPr>
              <w:t>C2614]</w:t>
            </w:r>
            <w:r>
              <w:rPr>
                <w:rFonts w:hint="eastAsia" w:cs="Times New Roman"/>
                <w:kern w:val="0"/>
                <w:szCs w:val="20"/>
              </w:rPr>
              <w:t>，</w:t>
            </w:r>
            <w:r>
              <w:rPr>
                <w:rFonts w:cs="Times New Roman"/>
                <w:kern w:val="0"/>
                <w:szCs w:val="20"/>
              </w:rPr>
              <w:t>故</w:t>
            </w:r>
            <w:r>
              <w:rPr>
                <w:rFonts w:hint="eastAsia" w:cs="Times New Roman"/>
                <w:kern w:val="0"/>
                <w:szCs w:val="20"/>
              </w:rPr>
              <w:t>本项目蚌埠精细化工高新技术产业基地生态</w:t>
            </w:r>
            <w:r>
              <w:rPr>
                <w:rFonts w:cs="Times New Roman"/>
                <w:kern w:val="0"/>
                <w:szCs w:val="20"/>
              </w:rPr>
              <w:t>环境</w:t>
            </w:r>
            <w:r>
              <w:rPr>
                <w:rFonts w:hint="eastAsia" w:cs="Times New Roman"/>
                <w:kern w:val="0"/>
                <w:szCs w:val="20"/>
              </w:rPr>
              <w:t>准入</w:t>
            </w:r>
            <w:r>
              <w:rPr>
                <w:rFonts w:cs="Times New Roman"/>
                <w:kern w:val="0"/>
                <w:szCs w:val="20"/>
              </w:rPr>
              <w:t>清单</w:t>
            </w:r>
            <w:r>
              <w:rPr>
                <w:rFonts w:hint="eastAsia" w:cs="Times New Roman"/>
                <w:kern w:val="0"/>
                <w:szCs w:val="20"/>
              </w:rPr>
              <w:t>中</w:t>
            </w:r>
            <w:r>
              <w:rPr>
                <w:rFonts w:cs="Times New Roman"/>
                <w:kern w:val="0"/>
                <w:szCs w:val="20"/>
              </w:rPr>
              <w:t>鼓励类项目</w:t>
            </w:r>
            <w:r>
              <w:rPr>
                <w:rFonts w:hint="eastAsia" w:cs="Times New Roman"/>
                <w:kern w:val="0"/>
                <w:szCs w:val="20"/>
              </w:rPr>
              <w:t>，</w:t>
            </w:r>
            <w:r>
              <w:rPr>
                <w:rFonts w:ascii="宋体" w:hAnsi="宋体" w:cs="Times New Roman"/>
                <w:kern w:val="0"/>
                <w:szCs w:val="20"/>
              </w:rPr>
              <w:t>不属于禁止类项目</w:t>
            </w:r>
            <w:r>
              <w:rPr>
                <w:rFonts w:hint="eastAsia" w:ascii="宋体" w:hAnsi="宋体" w:cs="Times New Roman"/>
                <w:kern w:val="0"/>
                <w:szCs w:val="20"/>
              </w:rPr>
              <w:t>。</w:t>
            </w:r>
          </w:p>
        </w:tc>
        <w:tc>
          <w:tcPr>
            <w:tcW w:w="361" w:type="pct"/>
            <w:vAlign w:val="center"/>
          </w:tcPr>
          <w:p w14:paraId="2A5FD913">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r w14:paraId="04838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6" w:type="pct"/>
            <w:vMerge w:val="continue"/>
            <w:vAlign w:val="center"/>
          </w:tcPr>
          <w:p w14:paraId="01226A29">
            <w:pPr>
              <w:pStyle w:val="445"/>
              <w:rPr>
                <w:rFonts w:cs="Times New Roman"/>
                <w:kern w:val="0"/>
                <w:szCs w:val="20"/>
              </w:rPr>
            </w:pPr>
          </w:p>
        </w:tc>
        <w:tc>
          <w:tcPr>
            <w:tcW w:w="649" w:type="pct"/>
            <w:vMerge w:val="continue"/>
            <w:vAlign w:val="center"/>
          </w:tcPr>
          <w:p w14:paraId="204F5640">
            <w:pPr>
              <w:pStyle w:val="445"/>
              <w:rPr>
                <w:rFonts w:cs="Times New Roman"/>
                <w:kern w:val="0"/>
                <w:szCs w:val="20"/>
              </w:rPr>
            </w:pPr>
          </w:p>
        </w:tc>
        <w:tc>
          <w:tcPr>
            <w:tcW w:w="1802" w:type="pct"/>
            <w:vAlign w:val="center"/>
          </w:tcPr>
          <w:p w14:paraId="1EACA74D">
            <w:pPr>
              <w:pStyle w:val="445"/>
              <w:rPr>
                <w:rFonts w:cs="Times New Roman"/>
                <w:kern w:val="0"/>
                <w:szCs w:val="20"/>
              </w:rPr>
            </w:pPr>
            <w:r>
              <w:rPr>
                <w:rFonts w:hint="eastAsia" w:cs="Times New Roman"/>
                <w:kern w:val="0"/>
                <w:szCs w:val="20"/>
              </w:rPr>
              <w:t>根据</w:t>
            </w:r>
            <w:r>
              <w:rPr>
                <w:rFonts w:cs="Times New Roman"/>
                <w:kern w:val="0"/>
                <w:szCs w:val="20"/>
              </w:rPr>
              <w:t>国家中小微企业</w:t>
            </w:r>
            <w:r>
              <w:rPr>
                <w:rFonts w:hint="eastAsia" w:cs="Times New Roman"/>
                <w:kern w:val="0"/>
                <w:szCs w:val="20"/>
              </w:rPr>
              <w:t>划分</w:t>
            </w:r>
            <w:r>
              <w:rPr>
                <w:rFonts w:cs="Times New Roman"/>
                <w:kern w:val="0"/>
                <w:szCs w:val="20"/>
              </w:rPr>
              <w:t>办法的相关文件规定，属于小型化工企业的禁止建设。</w:t>
            </w:r>
          </w:p>
        </w:tc>
        <w:tc>
          <w:tcPr>
            <w:tcW w:w="1952" w:type="pct"/>
            <w:vAlign w:val="center"/>
          </w:tcPr>
          <w:p w14:paraId="609AEFFA">
            <w:pPr>
              <w:pStyle w:val="445"/>
              <w:rPr>
                <w:rFonts w:cs="Times New Roman"/>
                <w:bCs/>
                <w:kern w:val="0"/>
                <w:szCs w:val="20"/>
              </w:rPr>
            </w:pPr>
            <w:r>
              <w:rPr>
                <w:rFonts w:hint="eastAsia" w:cs="Times New Roman"/>
                <w:bCs/>
                <w:kern w:val="0"/>
                <w:szCs w:val="20"/>
              </w:rPr>
              <w:t>本项目</w:t>
            </w:r>
            <w:r>
              <w:rPr>
                <w:rFonts w:cs="Times New Roman"/>
                <w:bCs/>
                <w:kern w:val="0"/>
                <w:szCs w:val="20"/>
              </w:rPr>
              <w:t>不属于</w:t>
            </w:r>
            <w:r>
              <w:rPr>
                <w:rFonts w:cs="Times New Roman"/>
                <w:kern w:val="0"/>
                <w:szCs w:val="20"/>
              </w:rPr>
              <w:t>小型化工企业</w:t>
            </w:r>
            <w:r>
              <w:rPr>
                <w:rFonts w:hint="eastAsia" w:cs="Times New Roman"/>
                <w:kern w:val="0"/>
                <w:szCs w:val="20"/>
              </w:rPr>
              <w:t>。</w:t>
            </w:r>
          </w:p>
        </w:tc>
        <w:tc>
          <w:tcPr>
            <w:tcW w:w="361" w:type="pct"/>
            <w:vAlign w:val="center"/>
          </w:tcPr>
          <w:p w14:paraId="32F53874">
            <w:pPr>
              <w:pStyle w:val="445"/>
              <w:rPr>
                <w:rFonts w:cs="Times New Roman"/>
                <w:color w:val="000000" w:themeColor="text1"/>
                <w:kern w:val="0"/>
                <w:szCs w:val="20"/>
                <w14:textFill>
                  <w14:solidFill>
                    <w14:schemeClr w14:val="tx1"/>
                  </w14:solidFill>
                </w14:textFill>
              </w:rPr>
            </w:pPr>
            <w:r>
              <w:rPr>
                <w:rFonts w:hint="eastAsia" w:cs="Times New Roman"/>
                <w:color w:val="000000" w:themeColor="text1"/>
                <w:kern w:val="0"/>
                <w:szCs w:val="20"/>
                <w14:textFill>
                  <w14:solidFill>
                    <w14:schemeClr w14:val="tx1"/>
                  </w14:solidFill>
                </w14:textFill>
              </w:rPr>
              <w:t>符合</w:t>
            </w:r>
          </w:p>
        </w:tc>
      </w:tr>
    </w:tbl>
    <w:p w14:paraId="6D5D28EE">
      <w:pPr>
        <w:ind w:firstLine="480"/>
        <w:sectPr>
          <w:pgSz w:w="16838" w:h="11906" w:orient="landscape"/>
          <w:pgMar w:top="1440" w:right="1440" w:bottom="1440" w:left="1440" w:header="851" w:footer="992" w:gutter="0"/>
          <w:cols w:space="425" w:num="1"/>
          <w:docGrid w:type="lines" w:linePitch="326" w:charSpace="0"/>
        </w:sectPr>
      </w:pPr>
    </w:p>
    <w:p w14:paraId="45065D90">
      <w:pPr>
        <w:pStyle w:val="4068"/>
      </w:pPr>
      <w:bookmarkStart w:id="60" w:name="_Toc108662563"/>
      <w:bookmarkStart w:id="61" w:name="_Toc101135800"/>
      <w:r>
        <w:rPr>
          <w:rFonts w:hint="eastAsia"/>
        </w:rPr>
        <w:t>2</w:t>
      </w:r>
      <w:r>
        <w:t>.5.3与</w:t>
      </w:r>
      <w:r>
        <w:rPr>
          <w:rFonts w:hint="eastAsia"/>
        </w:rPr>
        <w:t>“三线一单”相符性分析</w:t>
      </w:r>
      <w:bookmarkEnd w:id="57"/>
      <w:bookmarkEnd w:id="60"/>
      <w:bookmarkEnd w:id="61"/>
    </w:p>
    <w:p w14:paraId="20403535">
      <w:pPr>
        <w:ind w:firstLine="480"/>
      </w:pPr>
      <w:r>
        <w:rPr>
          <w:rFonts w:hint="eastAsia" w:ascii="宋体" w:hAnsi="宋体"/>
        </w:rPr>
        <w:t>（</w:t>
      </w:r>
      <w:r>
        <w:t>1</w:t>
      </w:r>
      <w:r>
        <w:rPr>
          <w:rFonts w:hint="eastAsia" w:ascii="宋体" w:hAnsi="宋体"/>
        </w:rPr>
        <w:t>）生态保护红线</w:t>
      </w:r>
    </w:p>
    <w:p w14:paraId="39380502">
      <w:pPr>
        <w:ind w:firstLine="480"/>
      </w:pPr>
      <w:r>
        <w:rPr>
          <w:rFonts w:hint="eastAsia" w:ascii="宋体" w:hAnsi="宋体"/>
        </w:rPr>
        <w:t>对照《长江经济带战略环境评价安徽省蚌埠市“三线一单”图集》中蚌埠市生态保护红线图和</w:t>
      </w:r>
      <w:r>
        <w:rPr>
          <w:rFonts w:ascii="宋体" w:hAnsi="宋体"/>
        </w:rPr>
        <w:t>蚌埠市生态</w:t>
      </w:r>
      <w:r>
        <w:rPr>
          <w:rFonts w:hint="eastAsia" w:ascii="宋体" w:hAnsi="宋体"/>
        </w:rPr>
        <w:t>空间</w:t>
      </w:r>
      <w:r>
        <w:rPr>
          <w:rFonts w:ascii="宋体" w:hAnsi="宋体"/>
        </w:rPr>
        <w:t>图</w:t>
      </w:r>
      <w:r>
        <w:rPr>
          <w:rFonts w:hint="eastAsia" w:ascii="宋体" w:hAnsi="宋体"/>
        </w:rPr>
        <w:t>，本项目位于</w:t>
      </w:r>
      <w:r>
        <w:rPr>
          <w:rFonts w:hint="eastAsia"/>
        </w:rPr>
        <w:t>蚌埠精细化工高新技术产业基地</w:t>
      </w:r>
      <w:r>
        <w:rPr>
          <w:rFonts w:hint="eastAsia" w:ascii="宋体" w:hAnsi="宋体"/>
        </w:rPr>
        <w:t>内，本项目</w:t>
      </w:r>
      <w:r>
        <w:rPr>
          <w:rFonts w:ascii="宋体" w:hAnsi="宋体"/>
        </w:rPr>
        <w:t>位于一般生态</w:t>
      </w:r>
      <w:r>
        <w:rPr>
          <w:rFonts w:hint="eastAsia" w:ascii="宋体" w:hAnsi="宋体"/>
        </w:rPr>
        <w:t>空间</w:t>
      </w:r>
      <w:r>
        <w:rPr>
          <w:rFonts w:ascii="宋体" w:hAnsi="宋体"/>
        </w:rPr>
        <w:t>内，</w:t>
      </w:r>
      <w:r>
        <w:rPr>
          <w:rFonts w:hint="eastAsia" w:ascii="宋体" w:hAnsi="宋体"/>
        </w:rPr>
        <w:t>不在蚌埠市生态保护红线划定红线范围内。项目所在区域与生态保护红线的位置关系见附图</w:t>
      </w:r>
      <w:r>
        <w:t>2.5.3-1</w:t>
      </w:r>
      <w:r>
        <w:rPr>
          <w:rFonts w:hint="eastAsia"/>
        </w:rPr>
        <w:t>。</w:t>
      </w:r>
    </w:p>
    <w:p w14:paraId="46E9E456">
      <w:pPr>
        <w:ind w:firstLine="480"/>
      </w:pPr>
      <w:r>
        <w:rPr>
          <w:rFonts w:hint="eastAsia" w:ascii="宋体" w:hAnsi="宋体"/>
        </w:rPr>
        <w:t>（</w:t>
      </w:r>
      <w:r>
        <w:t>2</w:t>
      </w:r>
      <w:r>
        <w:rPr>
          <w:rFonts w:hint="eastAsia" w:ascii="宋体" w:hAnsi="宋体"/>
        </w:rPr>
        <w:t>）环境质量底线</w:t>
      </w:r>
    </w:p>
    <w:p w14:paraId="15E9A218">
      <w:pPr>
        <w:ind w:firstLine="480"/>
      </w:pPr>
      <w:r>
        <w:rPr>
          <w:rFonts w:hint="eastAsia" w:ascii="宋体" w:hAnsi="宋体"/>
        </w:rPr>
        <w:t>①环境空气</w:t>
      </w:r>
    </w:p>
    <w:p w14:paraId="3EFC26F2">
      <w:pPr>
        <w:ind w:firstLine="480"/>
      </w:pPr>
      <w:r>
        <w:rPr>
          <w:rFonts w:hint="eastAsia" w:ascii="宋体" w:hAnsi="宋体"/>
        </w:rPr>
        <w:t>根据“</w:t>
      </w:r>
      <w:r>
        <w:t>2020</w:t>
      </w:r>
      <w:r>
        <w:rPr>
          <w:rFonts w:hint="eastAsia" w:ascii="宋体" w:hAnsi="宋体"/>
        </w:rPr>
        <w:t>年蚌埠市环境质量概况”，蚌埠市属于环境空气质量不达标区域，根据例行站点数据可知，主要超标因子为</w:t>
      </w:r>
      <w:r>
        <w:t>PM</w:t>
      </w:r>
      <w:r>
        <w:rPr>
          <w:vertAlign w:val="subscript"/>
        </w:rPr>
        <w:t>10</w:t>
      </w:r>
      <w:r>
        <w:rPr>
          <w:rFonts w:hint="eastAsia" w:ascii="宋体" w:hAnsi="宋体"/>
        </w:rPr>
        <w:t>和</w:t>
      </w:r>
      <w:r>
        <w:t>PM</w:t>
      </w:r>
      <w:r>
        <w:rPr>
          <w:vertAlign w:val="subscript"/>
        </w:rPr>
        <w:t>2.5</w:t>
      </w:r>
      <w:r>
        <w:rPr>
          <w:rFonts w:hint="eastAsia" w:ascii="宋体" w:hAnsi="宋体"/>
        </w:rPr>
        <w:t>，在落实达标规划后，现状超标的污染物</w:t>
      </w:r>
      <w:r>
        <w:t>PM</w:t>
      </w:r>
      <w:r>
        <w:rPr>
          <w:vertAlign w:val="subscript"/>
        </w:rPr>
        <w:t>10</w:t>
      </w:r>
      <w:r>
        <w:rPr>
          <w:rFonts w:hint="eastAsia" w:ascii="宋体" w:hAnsi="宋体"/>
        </w:rPr>
        <w:t>和</w:t>
      </w:r>
      <w:r>
        <w:t>PM</w:t>
      </w:r>
      <w:r>
        <w:rPr>
          <w:vertAlign w:val="subscript"/>
        </w:rPr>
        <w:t>2.5</w:t>
      </w:r>
      <w:r>
        <w:rPr>
          <w:rFonts w:hint="eastAsia" w:ascii="宋体" w:hAnsi="宋体"/>
        </w:rPr>
        <w:t>预测范围内年平均质量浓度变化率</w:t>
      </w:r>
      <w:r>
        <w:t>≤-20%</w:t>
      </w:r>
      <w:r>
        <w:rPr>
          <w:rFonts w:hint="eastAsia" w:ascii="宋体" w:hAnsi="宋体"/>
        </w:rPr>
        <w:t>，补充监测因子满足《环境空气质量标准》（</w:t>
      </w:r>
      <w:r>
        <w:t>GB3095-2012</w:t>
      </w:r>
      <w:r>
        <w:rPr>
          <w:rFonts w:hint="eastAsia" w:ascii="宋体" w:hAnsi="宋体"/>
        </w:rPr>
        <w:t>）二级标准及修改单和其他相关标准要求，本项目大气环境影响可以接受。</w:t>
      </w:r>
    </w:p>
    <w:p w14:paraId="6A6EDC8A">
      <w:pPr>
        <w:ind w:firstLine="480"/>
      </w:pPr>
      <w:r>
        <w:rPr>
          <w:rFonts w:hint="eastAsia" w:ascii="宋体" w:hAnsi="宋体"/>
        </w:rPr>
        <w:t>②地表水环境</w:t>
      </w:r>
    </w:p>
    <w:p w14:paraId="3A0F970A">
      <w:pPr>
        <w:ind w:firstLine="480"/>
      </w:pPr>
      <w:r>
        <w:rPr>
          <w:rFonts w:hint="eastAsia" w:ascii="宋体" w:hAnsi="宋体"/>
        </w:rPr>
        <w:t>现状监测结果表明，淮河（蚌埠段）</w:t>
      </w:r>
      <w:r>
        <w:rPr>
          <w:rFonts w:ascii="宋体" w:hAnsi="宋体"/>
        </w:rPr>
        <w:t>各监测断面</w:t>
      </w:r>
      <w:r>
        <w:rPr>
          <w:rFonts w:hint="eastAsia" w:ascii="宋体" w:hAnsi="宋体"/>
        </w:rPr>
        <w:t>水质</w:t>
      </w:r>
      <w:r>
        <w:rPr>
          <w:rFonts w:ascii="宋体" w:hAnsi="宋体"/>
        </w:rPr>
        <w:t>监测因子均可满足《地表水环境质量标准》（</w:t>
      </w:r>
      <w:r>
        <w:t>GB3838-2002</w:t>
      </w:r>
      <w:r>
        <w:rPr>
          <w:rFonts w:ascii="宋体" w:hAnsi="宋体"/>
        </w:rPr>
        <w:t>）</w:t>
      </w:r>
      <w:r>
        <w:t>III</w:t>
      </w:r>
      <w:r>
        <w:rPr>
          <w:rFonts w:ascii="宋体" w:hAnsi="宋体"/>
        </w:rPr>
        <w:t>类标准</w:t>
      </w:r>
      <w:r>
        <w:rPr>
          <w:rFonts w:hint="eastAsia" w:ascii="宋体" w:hAnsi="宋体"/>
        </w:rPr>
        <w:t>，</w:t>
      </w:r>
      <w:r>
        <w:rPr>
          <w:rFonts w:hint="eastAsia"/>
        </w:rPr>
        <w:t>沫冲引河</w:t>
      </w:r>
      <w:r>
        <w:t>和三铺大沟</w:t>
      </w:r>
      <w:r>
        <w:rPr>
          <w:rFonts w:hint="eastAsia"/>
        </w:rPr>
        <w:t>各</w:t>
      </w:r>
      <w:r>
        <w:rPr>
          <w:rFonts w:ascii="宋体" w:hAnsi="宋体"/>
        </w:rPr>
        <w:t>监测断面</w:t>
      </w:r>
      <w:r>
        <w:rPr>
          <w:rFonts w:hint="eastAsia" w:ascii="宋体" w:hAnsi="宋体"/>
        </w:rPr>
        <w:t>水质</w:t>
      </w:r>
      <w:r>
        <w:rPr>
          <w:rFonts w:ascii="宋体" w:hAnsi="宋体"/>
        </w:rPr>
        <w:t>监测因子均可满足《地表水环境质量标准》（</w:t>
      </w:r>
      <w:r>
        <w:t>GB3838-2002</w:t>
      </w:r>
      <w:r>
        <w:rPr>
          <w:rFonts w:ascii="宋体" w:hAnsi="宋体"/>
        </w:rPr>
        <w:t>）</w:t>
      </w:r>
      <w:r>
        <w:rPr>
          <w:rFonts w:hint="eastAsia"/>
        </w:rPr>
        <w:t>Ⅳ</w:t>
      </w:r>
      <w:r>
        <w:t>类</w:t>
      </w:r>
      <w:r>
        <w:rPr>
          <w:rFonts w:hint="eastAsia"/>
        </w:rPr>
        <w:t>标准</w:t>
      </w:r>
      <w:r>
        <w:rPr>
          <w:rFonts w:hint="eastAsia" w:ascii="宋体" w:hAnsi="宋体"/>
        </w:rPr>
        <w:t>。本项目废水经厂区污水处理站处理达标后排入园区污水处理厂，项目对区域地表水影响较小。</w:t>
      </w:r>
    </w:p>
    <w:p w14:paraId="3E27A555">
      <w:pPr>
        <w:ind w:firstLine="480"/>
      </w:pPr>
      <w:r>
        <w:rPr>
          <w:rFonts w:hint="eastAsia" w:ascii="宋体" w:hAnsi="宋体"/>
        </w:rPr>
        <w:t>③地下水环境</w:t>
      </w:r>
    </w:p>
    <w:p w14:paraId="11FE721B">
      <w:pPr>
        <w:ind w:firstLine="480"/>
      </w:pPr>
      <w:r>
        <w:rPr>
          <w:rFonts w:hint="eastAsia" w:ascii="宋体" w:hAnsi="宋体"/>
        </w:rPr>
        <w:t>现状监测数据表明，项目所在地地下水满足《地下水质量标准》（</w:t>
      </w:r>
      <w:r>
        <w:rPr>
          <w:rFonts w:hint="eastAsia"/>
        </w:rPr>
        <w:t>GB/T14848-2017</w:t>
      </w:r>
      <w:r>
        <w:rPr>
          <w:rFonts w:hint="eastAsia" w:ascii="宋体" w:hAnsi="宋体"/>
        </w:rPr>
        <w:t>）中的</w:t>
      </w:r>
      <w:r>
        <w:rPr>
          <w:rFonts w:hint="eastAsia"/>
        </w:rPr>
        <w:t>III</w:t>
      </w:r>
      <w:r>
        <w:rPr>
          <w:rFonts w:hint="eastAsia" w:ascii="宋体" w:hAnsi="宋体"/>
        </w:rPr>
        <w:t>类标准。</w:t>
      </w:r>
    </w:p>
    <w:p w14:paraId="7EB22ED6">
      <w:pPr>
        <w:ind w:firstLine="480"/>
      </w:pPr>
      <w:r>
        <w:rPr>
          <w:rFonts w:hint="eastAsia" w:ascii="宋体" w:hAnsi="宋体"/>
        </w:rPr>
        <w:t>④土壤环境</w:t>
      </w:r>
    </w:p>
    <w:p w14:paraId="6177F709">
      <w:pPr>
        <w:ind w:firstLine="480"/>
        <w:rPr>
          <w:rFonts w:ascii="宋体" w:hAnsi="宋体"/>
        </w:rPr>
      </w:pPr>
      <w:r>
        <w:rPr>
          <w:rFonts w:hint="eastAsia" w:ascii="宋体" w:hAnsi="宋体"/>
        </w:rPr>
        <w:t>现状监测结果表明，项目占地和评价范围建设</w:t>
      </w:r>
      <w:r>
        <w:rPr>
          <w:rFonts w:ascii="宋体" w:hAnsi="宋体"/>
        </w:rPr>
        <w:t>用地</w:t>
      </w:r>
      <w:r>
        <w:rPr>
          <w:rFonts w:hint="eastAsia" w:ascii="宋体" w:hAnsi="宋体"/>
        </w:rPr>
        <w:t>满足《土壤环境质量</w:t>
      </w:r>
      <w:r>
        <w:t xml:space="preserve"> </w:t>
      </w:r>
      <w:r>
        <w:rPr>
          <w:rFonts w:hint="eastAsia" w:ascii="宋体" w:hAnsi="宋体"/>
        </w:rPr>
        <w:t>建设用地土壤污染风险管控标准（试行）》（</w:t>
      </w:r>
      <w:r>
        <w:t>GB36600-2018</w:t>
      </w:r>
      <w:r>
        <w:rPr>
          <w:rFonts w:hint="eastAsia" w:ascii="宋体" w:hAnsi="宋体"/>
        </w:rPr>
        <w:t>）表</w:t>
      </w:r>
      <w:r>
        <w:rPr>
          <w:rFonts w:hint="eastAsia"/>
        </w:rPr>
        <w:t>1</w:t>
      </w:r>
      <w:r>
        <w:rPr>
          <w:rFonts w:hint="eastAsia" w:ascii="宋体" w:hAnsi="宋体"/>
        </w:rPr>
        <w:t>中第二类用地筛选值要求；</w:t>
      </w:r>
      <w:r>
        <w:rPr>
          <w:rFonts w:ascii="宋体" w:hAnsi="宋体"/>
        </w:rPr>
        <w:t>农用</w:t>
      </w:r>
      <w:r>
        <w:rPr>
          <w:rFonts w:hint="eastAsia" w:ascii="宋体" w:hAnsi="宋体"/>
        </w:rPr>
        <w:t>地</w:t>
      </w:r>
      <w:r>
        <w:rPr>
          <w:rFonts w:ascii="宋体" w:hAnsi="宋体"/>
        </w:rPr>
        <w:t>满足</w:t>
      </w:r>
      <w:r>
        <w:rPr>
          <w:rFonts w:hint="eastAsia" w:ascii="宋体" w:hAnsi="宋体"/>
        </w:rPr>
        <w:t>《土壤环境质量</w:t>
      </w:r>
      <w:r>
        <w:t xml:space="preserve"> </w:t>
      </w:r>
      <w:r>
        <w:rPr>
          <w:rFonts w:ascii="宋体" w:hAnsi="宋体"/>
        </w:rPr>
        <w:t>农用地土壤污染风险管控标准（试行）》（</w:t>
      </w:r>
      <w:r>
        <w:t>GB15618-2018</w:t>
      </w:r>
      <w:r>
        <w:rPr>
          <w:rFonts w:hint="eastAsia" w:ascii="宋体" w:hAnsi="宋体"/>
        </w:rPr>
        <w:t>）表</w:t>
      </w:r>
      <w:r>
        <w:t>1</w:t>
      </w:r>
      <w:r>
        <w:rPr>
          <w:rFonts w:hint="eastAsia" w:ascii="宋体" w:hAnsi="宋体"/>
        </w:rPr>
        <w:t>中风险筛选值要求。</w:t>
      </w:r>
    </w:p>
    <w:p w14:paraId="7C6CD82C">
      <w:pPr>
        <w:ind w:firstLine="480"/>
        <w:rPr>
          <w:rFonts w:ascii="宋体" w:hAnsi="宋体"/>
        </w:rPr>
      </w:pPr>
      <w:r>
        <w:rPr>
          <w:rFonts w:hint="eastAsia" w:ascii="宋体" w:hAnsi="宋体"/>
        </w:rPr>
        <w:t>综上所述，拟建项目的建设运营不会突破区域环境质量底线。</w:t>
      </w:r>
    </w:p>
    <w:p w14:paraId="471A2538">
      <w:pPr>
        <w:ind w:firstLine="480"/>
      </w:pPr>
      <w:r>
        <w:rPr>
          <w:rFonts w:hint="eastAsia"/>
        </w:rPr>
        <w:t>对照</w:t>
      </w:r>
      <w:r>
        <w:rPr>
          <w:rFonts w:hint="eastAsia" w:ascii="宋体" w:hAnsi="宋体"/>
        </w:rPr>
        <w:t>《长江经济带战略环境评价安徽省蚌埠市“三线一单”文本</w:t>
      </w:r>
      <w:r>
        <w:rPr>
          <w:rFonts w:ascii="宋体" w:hAnsi="宋体"/>
        </w:rPr>
        <w:t>和</w:t>
      </w:r>
      <w:r>
        <w:rPr>
          <w:rFonts w:hint="eastAsia" w:ascii="宋体" w:hAnsi="宋体"/>
        </w:rPr>
        <w:t>图集》，本项目位于</w:t>
      </w:r>
      <w:r>
        <w:rPr>
          <w:rFonts w:hint="eastAsia"/>
        </w:rPr>
        <w:t>蚌埠精细化工高新技术产业基地</w:t>
      </w:r>
      <w:r>
        <w:rPr>
          <w:rFonts w:hint="eastAsia" w:ascii="宋体" w:hAnsi="宋体"/>
        </w:rPr>
        <w:t>内，属</w:t>
      </w:r>
      <w:r>
        <w:rPr>
          <w:rFonts w:ascii="宋体" w:hAnsi="宋体"/>
        </w:rPr>
        <w:t>于</w:t>
      </w:r>
      <w:r>
        <w:rPr>
          <w:rFonts w:hint="eastAsia" w:ascii="宋体" w:hAnsi="宋体"/>
        </w:rPr>
        <w:t>重点</w:t>
      </w:r>
      <w:r>
        <w:rPr>
          <w:rFonts w:ascii="宋体" w:hAnsi="宋体"/>
        </w:rPr>
        <w:t>管控单元</w:t>
      </w:r>
      <w:r>
        <w:rPr>
          <w:rFonts w:hint="eastAsia" w:ascii="宋体" w:hAnsi="宋体"/>
        </w:rPr>
        <w:t>，对照其重点管控要求，本项目符合其空间布局约束、污染物排放管控、环境风险管控及资源开发效率要求。项目</w:t>
      </w:r>
      <w:r>
        <w:rPr>
          <w:rFonts w:ascii="宋体" w:hAnsi="宋体"/>
        </w:rPr>
        <w:t>所在地</w:t>
      </w:r>
      <w:r>
        <w:rPr>
          <w:rFonts w:hint="eastAsia" w:ascii="宋体" w:hAnsi="宋体"/>
        </w:rPr>
        <w:t>各</w:t>
      </w:r>
      <w:r>
        <w:rPr>
          <w:rFonts w:ascii="宋体" w:hAnsi="宋体"/>
        </w:rPr>
        <w:t>环境要素分区管控</w:t>
      </w:r>
      <w:r>
        <w:rPr>
          <w:rFonts w:hint="eastAsia" w:ascii="宋体" w:hAnsi="宋体"/>
        </w:rPr>
        <w:t>见</w:t>
      </w:r>
      <w:r>
        <w:rPr>
          <w:rFonts w:ascii="宋体" w:hAnsi="宋体"/>
        </w:rPr>
        <w:t>表</w:t>
      </w:r>
      <w:r>
        <w:rPr>
          <w:rFonts w:cs="Times New Roman"/>
        </w:rPr>
        <w:t>2.5.3-1</w:t>
      </w:r>
      <w:r>
        <w:rPr>
          <w:rFonts w:hint="eastAsia" w:ascii="宋体" w:hAnsi="宋体"/>
        </w:rPr>
        <w:t>，本项目</w:t>
      </w:r>
      <w:r>
        <w:rPr>
          <w:rFonts w:ascii="宋体" w:hAnsi="宋体"/>
        </w:rPr>
        <w:t>与</w:t>
      </w:r>
      <w:r>
        <w:rPr>
          <w:rFonts w:hint="eastAsia" w:ascii="宋体" w:hAnsi="宋体"/>
        </w:rPr>
        <w:t>蚌埠市环境</w:t>
      </w:r>
      <w:r>
        <w:rPr>
          <w:rFonts w:ascii="宋体" w:hAnsi="宋体"/>
        </w:rPr>
        <w:t>管控</w:t>
      </w:r>
      <w:r>
        <w:rPr>
          <w:rFonts w:hint="eastAsia" w:ascii="宋体" w:hAnsi="宋体"/>
        </w:rPr>
        <w:t>图位置</w:t>
      </w:r>
      <w:r>
        <w:rPr>
          <w:rFonts w:ascii="宋体" w:hAnsi="宋体"/>
        </w:rPr>
        <w:t>关系见</w:t>
      </w:r>
      <w:r>
        <w:rPr>
          <w:rFonts w:hint="eastAsia" w:ascii="宋体" w:hAnsi="宋体"/>
        </w:rPr>
        <w:t>附</w:t>
      </w:r>
      <w:r>
        <w:rPr>
          <w:rFonts w:ascii="宋体" w:hAnsi="宋体"/>
        </w:rPr>
        <w:t>图</w:t>
      </w:r>
      <w:r>
        <w:rPr>
          <w:rFonts w:cs="Times New Roman"/>
        </w:rPr>
        <w:t>2.5.3-2</w:t>
      </w:r>
      <w:r>
        <w:rPr>
          <w:rFonts w:hint="eastAsia" w:ascii="宋体" w:hAnsi="宋体"/>
        </w:rPr>
        <w:t>。</w:t>
      </w:r>
      <w:r>
        <w:rPr>
          <w:rFonts w:ascii="宋体" w:hAnsi="宋体"/>
        </w:rPr>
        <w:t>本项目</w:t>
      </w:r>
      <w:r>
        <w:rPr>
          <w:rFonts w:hint="eastAsia" w:ascii="宋体" w:hAnsi="宋体"/>
        </w:rPr>
        <w:t>与重点</w:t>
      </w:r>
      <w:r>
        <w:rPr>
          <w:rFonts w:ascii="宋体" w:hAnsi="宋体"/>
        </w:rPr>
        <w:t>管控单元分区符合性分析见</w:t>
      </w:r>
      <w:r>
        <w:rPr>
          <w:rFonts w:cs="Times New Roman"/>
        </w:rPr>
        <w:t>表2.5.3-2</w:t>
      </w:r>
      <w:r>
        <w:rPr>
          <w:rFonts w:hint="eastAsia" w:ascii="宋体" w:hAnsi="宋体"/>
        </w:rPr>
        <w:t>。</w:t>
      </w:r>
    </w:p>
    <w:p w14:paraId="5112A91D">
      <w:pPr>
        <w:pStyle w:val="278"/>
      </w:pPr>
      <w:r>
        <w:rPr>
          <w:rFonts w:hint="eastAsia"/>
        </w:rPr>
        <w:t>表2.5.3-1 项目</w:t>
      </w:r>
      <w:r>
        <w:t>所在地</w:t>
      </w:r>
      <w:r>
        <w:rPr>
          <w:rFonts w:hint="eastAsia"/>
        </w:rPr>
        <w:t>各</w:t>
      </w:r>
      <w:r>
        <w:t>环境要素分区管控</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190"/>
        <w:gridCol w:w="7157"/>
      </w:tblGrid>
      <w:tr w14:paraId="218D1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53EE9A38">
            <w:pPr>
              <w:pStyle w:val="445"/>
              <w:rPr>
                <w:rFonts w:cs="Times New Roman"/>
                <w:kern w:val="0"/>
                <w:szCs w:val="20"/>
              </w:rPr>
            </w:pPr>
            <w:r>
              <w:rPr>
                <w:rFonts w:hint="eastAsia" w:cs="Times New Roman"/>
                <w:kern w:val="0"/>
                <w:szCs w:val="20"/>
              </w:rPr>
              <w:t>环境</w:t>
            </w:r>
            <w:r>
              <w:rPr>
                <w:rFonts w:cs="Times New Roman"/>
                <w:kern w:val="0"/>
                <w:szCs w:val="20"/>
              </w:rPr>
              <w:t>要素</w:t>
            </w:r>
          </w:p>
        </w:tc>
        <w:tc>
          <w:tcPr>
            <w:tcW w:w="644" w:type="pct"/>
            <w:vAlign w:val="center"/>
          </w:tcPr>
          <w:p w14:paraId="039F4AA3">
            <w:pPr>
              <w:pStyle w:val="445"/>
              <w:rPr>
                <w:rFonts w:cs="Times New Roman"/>
                <w:kern w:val="0"/>
                <w:szCs w:val="20"/>
              </w:rPr>
            </w:pPr>
            <w:r>
              <w:rPr>
                <w:rFonts w:hint="eastAsia" w:cs="Times New Roman"/>
                <w:kern w:val="0"/>
                <w:szCs w:val="20"/>
              </w:rPr>
              <w:t>分区</w:t>
            </w:r>
          </w:p>
        </w:tc>
        <w:tc>
          <w:tcPr>
            <w:tcW w:w="3872" w:type="pct"/>
            <w:vAlign w:val="center"/>
          </w:tcPr>
          <w:p w14:paraId="10FEFF19">
            <w:pPr>
              <w:pStyle w:val="445"/>
              <w:rPr>
                <w:rFonts w:cs="Times New Roman"/>
                <w:kern w:val="0"/>
                <w:szCs w:val="20"/>
              </w:rPr>
            </w:pPr>
            <w:r>
              <w:rPr>
                <w:rFonts w:hint="eastAsia" w:cs="Times New Roman"/>
                <w:kern w:val="0"/>
                <w:szCs w:val="20"/>
              </w:rPr>
              <w:t>判定</w:t>
            </w:r>
            <w:r>
              <w:rPr>
                <w:rFonts w:cs="Times New Roman"/>
                <w:kern w:val="0"/>
                <w:szCs w:val="20"/>
              </w:rPr>
              <w:t>依据</w:t>
            </w:r>
          </w:p>
        </w:tc>
      </w:tr>
      <w:tr w14:paraId="118CE3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3CE57C18">
            <w:pPr>
              <w:pStyle w:val="445"/>
              <w:rPr>
                <w:rFonts w:cs="Times New Roman"/>
                <w:kern w:val="0"/>
                <w:szCs w:val="20"/>
              </w:rPr>
            </w:pPr>
            <w:r>
              <w:rPr>
                <w:rFonts w:hint="eastAsia" w:cs="Times New Roman"/>
                <w:kern w:val="0"/>
                <w:szCs w:val="20"/>
              </w:rPr>
              <w:t>水环境</w:t>
            </w:r>
          </w:p>
        </w:tc>
        <w:tc>
          <w:tcPr>
            <w:tcW w:w="644" w:type="pct"/>
            <w:vAlign w:val="center"/>
          </w:tcPr>
          <w:p w14:paraId="4AD68753">
            <w:pPr>
              <w:pStyle w:val="445"/>
              <w:rPr>
                <w:rFonts w:cs="Times New Roman"/>
                <w:kern w:val="0"/>
                <w:szCs w:val="20"/>
              </w:rPr>
            </w:pPr>
            <w:r>
              <w:rPr>
                <w:rFonts w:hint="eastAsia" w:cs="Times New Roman"/>
                <w:kern w:val="0"/>
                <w:szCs w:val="20"/>
              </w:rPr>
              <w:t>工业</w:t>
            </w:r>
            <w:r>
              <w:rPr>
                <w:rFonts w:cs="Times New Roman"/>
                <w:kern w:val="0"/>
                <w:szCs w:val="20"/>
              </w:rPr>
              <w:t>污染重点</w:t>
            </w:r>
            <w:r>
              <w:rPr>
                <w:rFonts w:hint="eastAsia" w:cs="Times New Roman"/>
                <w:kern w:val="0"/>
                <w:szCs w:val="20"/>
              </w:rPr>
              <w:t>管控</w:t>
            </w:r>
            <w:r>
              <w:rPr>
                <w:rFonts w:cs="Times New Roman"/>
                <w:kern w:val="0"/>
                <w:szCs w:val="20"/>
              </w:rPr>
              <w:t>区</w:t>
            </w:r>
          </w:p>
        </w:tc>
        <w:tc>
          <w:tcPr>
            <w:tcW w:w="3872" w:type="pct"/>
            <w:vAlign w:val="center"/>
          </w:tcPr>
          <w:p w14:paraId="2312567E">
            <w:pPr>
              <w:pStyle w:val="445"/>
              <w:rPr>
                <w:rFonts w:cs="Times New Roman"/>
                <w:kern w:val="0"/>
                <w:szCs w:val="20"/>
              </w:rPr>
            </w:pPr>
            <w:r>
              <w:rPr>
                <w:rFonts w:hint="eastAsia" w:cs="Times New Roman"/>
                <w:kern w:val="0"/>
                <w:szCs w:val="20"/>
              </w:rPr>
              <w:t>蚌埠精细化工高新技术产业基地全</w:t>
            </w:r>
            <w:r>
              <w:rPr>
                <w:rFonts w:cs="Times New Roman"/>
                <w:kern w:val="0"/>
                <w:szCs w:val="20"/>
              </w:rPr>
              <w:t>基地均为</w:t>
            </w:r>
            <w:r>
              <w:rPr>
                <w:rFonts w:hint="eastAsia" w:cs="Times New Roman"/>
                <w:kern w:val="0"/>
                <w:szCs w:val="20"/>
              </w:rPr>
              <w:t>工业</w:t>
            </w:r>
            <w:r>
              <w:rPr>
                <w:rFonts w:cs="Times New Roman"/>
                <w:kern w:val="0"/>
                <w:szCs w:val="20"/>
              </w:rPr>
              <w:t>污染重点</w:t>
            </w:r>
            <w:r>
              <w:rPr>
                <w:rFonts w:hint="eastAsia" w:cs="Times New Roman"/>
                <w:kern w:val="0"/>
                <w:szCs w:val="20"/>
              </w:rPr>
              <w:t>管控</w:t>
            </w:r>
            <w:r>
              <w:rPr>
                <w:rFonts w:cs="Times New Roman"/>
                <w:kern w:val="0"/>
                <w:szCs w:val="20"/>
              </w:rPr>
              <w:t>区</w:t>
            </w:r>
          </w:p>
        </w:tc>
      </w:tr>
      <w:tr w14:paraId="36606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64FB141D">
            <w:pPr>
              <w:pStyle w:val="445"/>
              <w:rPr>
                <w:rFonts w:cs="Times New Roman"/>
                <w:kern w:val="0"/>
                <w:szCs w:val="20"/>
              </w:rPr>
            </w:pPr>
            <w:r>
              <w:rPr>
                <w:rFonts w:hint="eastAsia" w:cs="Times New Roman"/>
                <w:kern w:val="0"/>
                <w:szCs w:val="20"/>
              </w:rPr>
              <w:t>大气</w:t>
            </w:r>
            <w:r>
              <w:rPr>
                <w:rFonts w:cs="Times New Roman"/>
                <w:kern w:val="0"/>
                <w:szCs w:val="20"/>
              </w:rPr>
              <w:t>环境</w:t>
            </w:r>
          </w:p>
        </w:tc>
        <w:tc>
          <w:tcPr>
            <w:tcW w:w="644" w:type="pct"/>
            <w:vAlign w:val="center"/>
          </w:tcPr>
          <w:p w14:paraId="0F3F989F">
            <w:pPr>
              <w:pStyle w:val="445"/>
              <w:rPr>
                <w:rFonts w:cs="Times New Roman"/>
                <w:kern w:val="0"/>
                <w:szCs w:val="20"/>
              </w:rPr>
            </w:pPr>
            <w:r>
              <w:rPr>
                <w:rFonts w:hint="eastAsia" w:cs="Times New Roman"/>
                <w:kern w:val="0"/>
                <w:szCs w:val="20"/>
              </w:rPr>
              <w:t>高排放</w:t>
            </w:r>
            <w:r>
              <w:rPr>
                <w:rFonts w:cs="Times New Roman"/>
                <w:kern w:val="0"/>
                <w:szCs w:val="20"/>
              </w:rPr>
              <w:t>重点管控区</w:t>
            </w:r>
          </w:p>
        </w:tc>
        <w:tc>
          <w:tcPr>
            <w:tcW w:w="3872" w:type="pct"/>
            <w:vAlign w:val="center"/>
          </w:tcPr>
          <w:p w14:paraId="15CEB773">
            <w:pPr>
              <w:pStyle w:val="445"/>
              <w:rPr>
                <w:rFonts w:cs="Times New Roman"/>
                <w:kern w:val="0"/>
                <w:szCs w:val="20"/>
              </w:rPr>
            </w:pPr>
            <w:r>
              <w:rPr>
                <w:rFonts w:hint="eastAsia" w:cs="Times New Roman"/>
                <w:kern w:val="0"/>
                <w:szCs w:val="20"/>
              </w:rPr>
              <w:t>蚌埠精细化工高新技术产业基地全</w:t>
            </w:r>
            <w:r>
              <w:rPr>
                <w:rFonts w:cs="Times New Roman"/>
                <w:kern w:val="0"/>
                <w:szCs w:val="20"/>
              </w:rPr>
              <w:t>基地均为</w:t>
            </w:r>
            <w:r>
              <w:rPr>
                <w:rFonts w:hint="eastAsia" w:cs="Times New Roman"/>
                <w:kern w:val="0"/>
                <w:szCs w:val="20"/>
              </w:rPr>
              <w:t>高排放</w:t>
            </w:r>
            <w:r>
              <w:rPr>
                <w:rFonts w:cs="Times New Roman"/>
                <w:kern w:val="0"/>
                <w:szCs w:val="20"/>
              </w:rPr>
              <w:t>重点管控区</w:t>
            </w:r>
          </w:p>
        </w:tc>
      </w:tr>
      <w:tr w14:paraId="711E9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2B40B824">
            <w:pPr>
              <w:pStyle w:val="445"/>
              <w:rPr>
                <w:rFonts w:cs="Times New Roman"/>
                <w:kern w:val="0"/>
                <w:szCs w:val="20"/>
              </w:rPr>
            </w:pPr>
            <w:r>
              <w:rPr>
                <w:rFonts w:hint="eastAsia" w:cs="Times New Roman"/>
                <w:kern w:val="0"/>
                <w:szCs w:val="20"/>
              </w:rPr>
              <w:t>土壤</w:t>
            </w:r>
            <w:r>
              <w:rPr>
                <w:rFonts w:cs="Times New Roman"/>
                <w:kern w:val="0"/>
                <w:szCs w:val="20"/>
              </w:rPr>
              <w:t>环境风险</w:t>
            </w:r>
          </w:p>
        </w:tc>
        <w:tc>
          <w:tcPr>
            <w:tcW w:w="644" w:type="pct"/>
            <w:vAlign w:val="center"/>
          </w:tcPr>
          <w:p w14:paraId="6CE50AB4">
            <w:pPr>
              <w:pStyle w:val="445"/>
              <w:rPr>
                <w:rFonts w:cs="Times New Roman"/>
                <w:kern w:val="0"/>
                <w:szCs w:val="20"/>
              </w:rPr>
            </w:pPr>
            <w:r>
              <w:rPr>
                <w:rFonts w:hint="eastAsia" w:cs="Times New Roman"/>
                <w:kern w:val="0"/>
                <w:szCs w:val="20"/>
              </w:rPr>
              <w:t>一般</w:t>
            </w:r>
            <w:r>
              <w:rPr>
                <w:rFonts w:cs="Times New Roman"/>
                <w:kern w:val="0"/>
                <w:szCs w:val="20"/>
              </w:rPr>
              <w:t>管控区</w:t>
            </w:r>
          </w:p>
        </w:tc>
        <w:tc>
          <w:tcPr>
            <w:tcW w:w="3872" w:type="pct"/>
            <w:vAlign w:val="center"/>
          </w:tcPr>
          <w:p w14:paraId="29D87C20">
            <w:pPr>
              <w:pStyle w:val="445"/>
              <w:rPr>
                <w:rFonts w:cs="Times New Roman"/>
                <w:kern w:val="0"/>
                <w:szCs w:val="20"/>
              </w:rPr>
            </w:pPr>
            <w:r>
              <w:rPr>
                <w:rFonts w:hint="eastAsia" w:cs="Times New Roman"/>
                <w:kern w:val="0"/>
                <w:szCs w:val="20"/>
              </w:rPr>
              <w:t>蚌埠精细化工高新技术产业基地内除迅启电源科技、巨元化工、富源电子科技、雪郎生物科技、亿钢再生资源利用、海华科技股份块</w:t>
            </w:r>
            <w:r>
              <w:rPr>
                <w:rFonts w:cs="Times New Roman"/>
                <w:kern w:val="0"/>
                <w:szCs w:val="20"/>
              </w:rPr>
              <w:t>地</w:t>
            </w:r>
            <w:r>
              <w:rPr>
                <w:rFonts w:hint="eastAsia" w:cs="Times New Roman"/>
                <w:kern w:val="0"/>
                <w:szCs w:val="20"/>
              </w:rPr>
              <w:t>，</w:t>
            </w:r>
            <w:r>
              <w:rPr>
                <w:rFonts w:cs="Times New Roman"/>
                <w:kern w:val="0"/>
                <w:szCs w:val="20"/>
              </w:rPr>
              <w:t>其余均为一般管控区</w:t>
            </w:r>
          </w:p>
        </w:tc>
      </w:tr>
    </w:tbl>
    <w:p w14:paraId="73064B2A">
      <w:pPr>
        <w:pStyle w:val="278"/>
      </w:pPr>
      <w:r>
        <w:rPr>
          <w:rFonts w:hint="eastAsia"/>
        </w:rPr>
        <w:t>表</w:t>
      </w:r>
      <w:r>
        <w:rPr>
          <w:rFonts w:cs="Times New Roman"/>
        </w:rPr>
        <w:t>2.5.3-2</w:t>
      </w:r>
      <w:r>
        <w:t>本项目</w:t>
      </w:r>
      <w:r>
        <w:rPr>
          <w:rFonts w:hint="eastAsia"/>
        </w:rPr>
        <w:t>与重点</w:t>
      </w:r>
      <w:r>
        <w:t>管控单元分区符合性分析</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4391"/>
        <w:gridCol w:w="3875"/>
        <w:gridCol w:w="457"/>
      </w:tblGrid>
      <w:tr w14:paraId="6C370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1EBB930">
            <w:pPr>
              <w:pStyle w:val="445"/>
              <w:rPr>
                <w:rFonts w:cs="Times New Roman"/>
                <w:kern w:val="0"/>
                <w:szCs w:val="20"/>
              </w:rPr>
            </w:pPr>
            <w:r>
              <w:rPr>
                <w:rFonts w:hint="eastAsia" w:cs="Times New Roman"/>
                <w:kern w:val="0"/>
                <w:szCs w:val="20"/>
              </w:rPr>
              <w:t>管控</w:t>
            </w:r>
            <w:r>
              <w:rPr>
                <w:rFonts w:cs="Times New Roman"/>
                <w:kern w:val="0"/>
                <w:szCs w:val="20"/>
              </w:rPr>
              <w:t>要求</w:t>
            </w:r>
          </w:p>
        </w:tc>
        <w:tc>
          <w:tcPr>
            <w:tcW w:w="0" w:type="auto"/>
            <w:vAlign w:val="center"/>
          </w:tcPr>
          <w:p w14:paraId="0B2C2FB9">
            <w:pPr>
              <w:pStyle w:val="445"/>
              <w:rPr>
                <w:rFonts w:cs="Times New Roman"/>
                <w:kern w:val="0"/>
                <w:szCs w:val="20"/>
              </w:rPr>
            </w:pPr>
            <w:r>
              <w:rPr>
                <w:rFonts w:hint="eastAsia" w:cs="Times New Roman"/>
                <w:kern w:val="0"/>
                <w:szCs w:val="20"/>
              </w:rPr>
              <w:t>重点</w:t>
            </w:r>
            <w:r>
              <w:rPr>
                <w:rFonts w:cs="Times New Roman"/>
                <w:kern w:val="0"/>
                <w:szCs w:val="20"/>
              </w:rPr>
              <w:t>管控要求</w:t>
            </w:r>
          </w:p>
        </w:tc>
        <w:tc>
          <w:tcPr>
            <w:tcW w:w="0" w:type="auto"/>
            <w:vAlign w:val="center"/>
          </w:tcPr>
          <w:p w14:paraId="392F720C">
            <w:pPr>
              <w:pStyle w:val="445"/>
              <w:rPr>
                <w:rFonts w:cs="Times New Roman"/>
                <w:kern w:val="0"/>
                <w:szCs w:val="20"/>
              </w:rPr>
            </w:pPr>
            <w:r>
              <w:rPr>
                <w:rFonts w:hint="eastAsia" w:cs="Times New Roman"/>
                <w:kern w:val="0"/>
                <w:szCs w:val="20"/>
              </w:rPr>
              <w:t>符合性</w:t>
            </w:r>
            <w:r>
              <w:rPr>
                <w:rFonts w:cs="Times New Roman"/>
                <w:kern w:val="0"/>
                <w:szCs w:val="20"/>
              </w:rPr>
              <w:t>分析</w:t>
            </w:r>
          </w:p>
        </w:tc>
        <w:tc>
          <w:tcPr>
            <w:tcW w:w="0" w:type="auto"/>
            <w:vAlign w:val="center"/>
          </w:tcPr>
          <w:p w14:paraId="1A292139">
            <w:pPr>
              <w:pStyle w:val="445"/>
              <w:rPr>
                <w:rFonts w:cs="Times New Roman"/>
                <w:kern w:val="0"/>
                <w:szCs w:val="20"/>
              </w:rPr>
            </w:pPr>
            <w:r>
              <w:rPr>
                <w:rFonts w:hint="eastAsia" w:cs="Times New Roman"/>
                <w:kern w:val="0"/>
                <w:szCs w:val="20"/>
              </w:rPr>
              <w:t>分析</w:t>
            </w:r>
            <w:r>
              <w:rPr>
                <w:rFonts w:cs="Times New Roman"/>
                <w:kern w:val="0"/>
                <w:szCs w:val="20"/>
              </w:rPr>
              <w:t>结果</w:t>
            </w:r>
          </w:p>
        </w:tc>
      </w:tr>
      <w:tr w14:paraId="5D9E8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5E5B82E">
            <w:pPr>
              <w:pStyle w:val="445"/>
              <w:rPr>
                <w:rFonts w:cs="Times New Roman"/>
                <w:kern w:val="0"/>
                <w:szCs w:val="20"/>
              </w:rPr>
            </w:pPr>
            <w:r>
              <w:rPr>
                <w:rFonts w:hint="eastAsia" w:cs="Times New Roman"/>
                <w:kern w:val="0"/>
                <w:szCs w:val="20"/>
              </w:rPr>
              <w:t>空间布局</w:t>
            </w:r>
            <w:r>
              <w:rPr>
                <w:rFonts w:cs="Times New Roman"/>
                <w:kern w:val="0"/>
                <w:szCs w:val="20"/>
              </w:rPr>
              <w:t>约束</w:t>
            </w:r>
          </w:p>
        </w:tc>
        <w:tc>
          <w:tcPr>
            <w:tcW w:w="0" w:type="auto"/>
            <w:vAlign w:val="center"/>
          </w:tcPr>
          <w:p w14:paraId="38DFF6F8">
            <w:pPr>
              <w:pStyle w:val="445"/>
              <w:rPr>
                <w:rFonts w:cs="Times New Roman"/>
                <w:kern w:val="0"/>
                <w:szCs w:val="20"/>
              </w:rPr>
            </w:pPr>
            <w:r>
              <w:rPr>
                <w:rFonts w:hint="eastAsia" w:cs="Times New Roman"/>
                <w:kern w:val="0"/>
                <w:szCs w:val="20"/>
              </w:rPr>
              <w:t>严格执行《安徽省大气污染防治条例》（修正，2018年9月29日）、《安徽省水污染防治工作方案》（皖政〔2015〕131号）、《安徽省淮河流域水污染防治条例》、《蚌埠市水污染防治工作方案》（蚌办发〔2015〕32号）、等</w:t>
            </w:r>
            <w:r>
              <w:rPr>
                <w:rFonts w:cs="Times New Roman"/>
                <w:kern w:val="0"/>
                <w:szCs w:val="20"/>
              </w:rPr>
              <w:t>文件要求</w:t>
            </w:r>
            <w:r>
              <w:rPr>
                <w:rFonts w:hint="eastAsia" w:cs="Times New Roman"/>
                <w:kern w:val="0"/>
                <w:szCs w:val="20"/>
              </w:rPr>
              <w:t>。</w:t>
            </w:r>
          </w:p>
          <w:p w14:paraId="2DF75AA3">
            <w:pPr>
              <w:pStyle w:val="445"/>
              <w:rPr>
                <w:rFonts w:cs="Times New Roman"/>
                <w:kern w:val="0"/>
                <w:szCs w:val="20"/>
              </w:rPr>
            </w:pPr>
            <w:r>
              <w:rPr>
                <w:rFonts w:hint="eastAsia" w:cs="Times New Roman"/>
                <w:kern w:val="0"/>
                <w:szCs w:val="20"/>
              </w:rPr>
              <w:t>根据《安徽省人民政府办公厅关于促进全省开发区规范管理的通知》（皖政办秘〔2019〕30号），禁止淘汰落后类的产业进入开发区。</w:t>
            </w:r>
          </w:p>
          <w:p w14:paraId="28D76D31">
            <w:pPr>
              <w:pStyle w:val="445"/>
              <w:rPr>
                <w:rFonts w:cs="Times New Roman"/>
                <w:kern w:val="0"/>
                <w:szCs w:val="20"/>
              </w:rPr>
            </w:pPr>
            <w:r>
              <w:rPr>
                <w:rFonts w:hint="eastAsia" w:cs="Times New Roman"/>
                <w:kern w:val="0"/>
                <w:szCs w:val="20"/>
              </w:rPr>
              <w:t>根据《蚌埠市淮河流域和国家区域中心城市建设规划》（2019），（1）淮河干流及主要支流岸线1公里范围内的企业，依法依规必须搬迁的，全部搬入合规园区，厂区边界距岸线应大于1公里。（2）淮河干线岸线5公里范围内的重化工企业，经评估认定，难以就地改造提标的，依法依规搬入合规园区。（3）淮河干流岸线15公里范围内，新建工业项目原则上全部进园区。</w:t>
            </w:r>
          </w:p>
        </w:tc>
        <w:tc>
          <w:tcPr>
            <w:tcW w:w="0" w:type="auto"/>
            <w:vAlign w:val="center"/>
          </w:tcPr>
          <w:p w14:paraId="6B84B848">
            <w:pPr>
              <w:pStyle w:val="445"/>
              <w:rPr>
                <w:rFonts w:cs="Times New Roman"/>
                <w:kern w:val="0"/>
                <w:szCs w:val="20"/>
              </w:rPr>
            </w:pPr>
            <w:r>
              <w:rPr>
                <w:rFonts w:hint="eastAsia" w:cs="Times New Roman"/>
                <w:kern w:val="0"/>
                <w:szCs w:val="20"/>
              </w:rPr>
              <w:t>对照</w:t>
            </w:r>
            <w:r>
              <w:rPr>
                <w:rFonts w:cs="Times New Roman"/>
                <w:kern w:val="0"/>
                <w:szCs w:val="20"/>
              </w:rPr>
              <w:t>《产业结构调整指导目录》（2024本）</w:t>
            </w:r>
            <w:r>
              <w:rPr>
                <w:rFonts w:hint="eastAsia" w:cs="Times New Roman"/>
                <w:kern w:val="0"/>
                <w:szCs w:val="20"/>
              </w:rPr>
              <w:t>等</w:t>
            </w:r>
            <w:r>
              <w:rPr>
                <w:rFonts w:cs="Times New Roman"/>
                <w:kern w:val="0"/>
                <w:szCs w:val="20"/>
              </w:rPr>
              <w:t>文件，</w:t>
            </w:r>
            <w:r>
              <w:rPr>
                <w:rFonts w:hint="eastAsia" w:cs="Times New Roman"/>
                <w:kern w:val="0"/>
                <w:szCs w:val="20"/>
              </w:rPr>
              <w:t>本项目不属于淘汰</w:t>
            </w:r>
            <w:r>
              <w:rPr>
                <w:rFonts w:cs="Times New Roman"/>
                <w:kern w:val="0"/>
                <w:szCs w:val="20"/>
              </w:rPr>
              <w:t>和落后产业</w:t>
            </w:r>
            <w:r>
              <w:rPr>
                <w:rFonts w:hint="eastAsia" w:cs="Times New Roman"/>
                <w:kern w:val="0"/>
                <w:szCs w:val="20"/>
              </w:rPr>
              <w:t>。</w:t>
            </w:r>
            <w:r>
              <w:rPr>
                <w:rFonts w:cs="Times New Roman"/>
                <w:kern w:val="0"/>
                <w:szCs w:val="20"/>
              </w:rPr>
              <w:t>本项目</w:t>
            </w:r>
            <w:r>
              <w:rPr>
                <w:rFonts w:hint="eastAsia" w:cs="Times New Roman"/>
                <w:kern w:val="0"/>
                <w:szCs w:val="20"/>
              </w:rPr>
              <w:t>按要求</w:t>
            </w:r>
            <w:r>
              <w:rPr>
                <w:rFonts w:cs="Times New Roman"/>
                <w:kern w:val="0"/>
                <w:szCs w:val="20"/>
              </w:rPr>
              <w:t>进合规园区</w:t>
            </w:r>
            <w:r>
              <w:rPr>
                <w:rFonts w:hint="eastAsia" w:cs="Times New Roman"/>
                <w:kern w:val="0"/>
                <w:szCs w:val="20"/>
              </w:rPr>
              <w:t>蚌埠精细化工高新技术产业基地。</w:t>
            </w:r>
          </w:p>
        </w:tc>
        <w:tc>
          <w:tcPr>
            <w:tcW w:w="0" w:type="auto"/>
            <w:vAlign w:val="center"/>
          </w:tcPr>
          <w:p w14:paraId="23E5DADD">
            <w:pPr>
              <w:pStyle w:val="445"/>
              <w:rPr>
                <w:rFonts w:cs="Times New Roman"/>
                <w:kern w:val="0"/>
                <w:szCs w:val="20"/>
              </w:rPr>
            </w:pPr>
            <w:r>
              <w:rPr>
                <w:rFonts w:hint="eastAsia" w:cs="Times New Roman"/>
                <w:kern w:val="0"/>
                <w:szCs w:val="20"/>
              </w:rPr>
              <w:t>符合</w:t>
            </w:r>
          </w:p>
        </w:tc>
      </w:tr>
      <w:tr w14:paraId="050246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5AB6481">
            <w:pPr>
              <w:pStyle w:val="445"/>
              <w:rPr>
                <w:rFonts w:cs="Times New Roman"/>
                <w:kern w:val="0"/>
                <w:szCs w:val="20"/>
              </w:rPr>
            </w:pPr>
            <w:r>
              <w:rPr>
                <w:rFonts w:cs="Times New Roman"/>
                <w:kern w:val="0"/>
                <w:szCs w:val="20"/>
              </w:rPr>
              <w:t>污染物排放管控</w:t>
            </w:r>
          </w:p>
        </w:tc>
        <w:tc>
          <w:tcPr>
            <w:tcW w:w="0" w:type="auto"/>
            <w:vAlign w:val="center"/>
          </w:tcPr>
          <w:p w14:paraId="261E6833">
            <w:pPr>
              <w:pStyle w:val="445"/>
              <w:rPr>
                <w:rFonts w:cs="Times New Roman"/>
                <w:kern w:val="0"/>
                <w:szCs w:val="20"/>
              </w:rPr>
            </w:pPr>
            <w:r>
              <w:rPr>
                <w:rFonts w:hint="eastAsia" w:cs="Times New Roman"/>
                <w:kern w:val="0"/>
                <w:szCs w:val="20"/>
              </w:rPr>
              <w:t>新建、改建、扩建排放重点大气污染物的项目不符合总量控制要求的，不得通过环境影响评价。</w:t>
            </w:r>
          </w:p>
          <w:p w14:paraId="6625F105">
            <w:pPr>
              <w:pStyle w:val="445"/>
              <w:rPr>
                <w:rFonts w:cs="Times New Roman"/>
                <w:kern w:val="0"/>
                <w:szCs w:val="20"/>
              </w:rPr>
            </w:pPr>
            <w:r>
              <w:rPr>
                <w:rFonts w:hint="eastAsia" w:cs="Times New Roman"/>
                <w:kern w:val="0"/>
                <w:szCs w:val="20"/>
              </w:rPr>
              <w:t>污染物排放标准中有特别排放限值的标准的行业，二氧化硫、氮氧化物、颗粒物、挥发性有机物（VOC</w:t>
            </w:r>
            <w:r>
              <w:rPr>
                <w:rFonts w:cs="Times New Roman"/>
                <w:kern w:val="0"/>
                <w:szCs w:val="20"/>
              </w:rPr>
              <w:t>s</w:t>
            </w:r>
            <w:r>
              <w:rPr>
                <w:rFonts w:hint="eastAsia" w:cs="Times New Roman"/>
                <w:kern w:val="0"/>
                <w:szCs w:val="20"/>
              </w:rPr>
              <w:t>）全面执行大气污染物特别排放限值。</w:t>
            </w:r>
          </w:p>
          <w:p w14:paraId="3B3B6EFF">
            <w:pPr>
              <w:pStyle w:val="445"/>
              <w:rPr>
                <w:rFonts w:cs="Times New Roman"/>
                <w:kern w:val="0"/>
                <w:szCs w:val="20"/>
              </w:rPr>
            </w:pPr>
            <w:r>
              <w:rPr>
                <w:rFonts w:hint="eastAsia" w:cs="Times New Roman"/>
                <w:kern w:val="0"/>
                <w:szCs w:val="20"/>
              </w:rPr>
              <w:t>对以煤、石油焦、渣油、重油等为燃料的工业炉窑，加快使用清洁低碳能源以及利用工厂余热、电厂热力等进行替代。</w:t>
            </w:r>
          </w:p>
        </w:tc>
        <w:tc>
          <w:tcPr>
            <w:tcW w:w="0" w:type="auto"/>
            <w:vAlign w:val="center"/>
          </w:tcPr>
          <w:p w14:paraId="7B0A4EB1">
            <w:pPr>
              <w:pStyle w:val="445"/>
              <w:rPr>
                <w:rFonts w:cs="Times New Roman"/>
                <w:kern w:val="0"/>
                <w:szCs w:val="20"/>
              </w:rPr>
            </w:pPr>
            <w:r>
              <w:rPr>
                <w:rFonts w:hint="eastAsia" w:cs="Times New Roman"/>
                <w:kern w:val="0"/>
                <w:szCs w:val="20"/>
              </w:rPr>
              <w:t>本项目已从</w:t>
            </w:r>
            <w:r>
              <w:rPr>
                <w:rFonts w:cs="Times New Roman"/>
                <w:kern w:val="0"/>
                <w:szCs w:val="20"/>
              </w:rPr>
              <w:t>蚌埠市生态环境局取得</w:t>
            </w:r>
            <w:r>
              <w:rPr>
                <w:rFonts w:hint="eastAsia" w:cs="Times New Roman"/>
                <w:kern w:val="0"/>
                <w:szCs w:val="20"/>
              </w:rPr>
              <w:t>总量</w:t>
            </w:r>
            <w:r>
              <w:rPr>
                <w:rFonts w:cs="Times New Roman"/>
                <w:kern w:val="0"/>
                <w:szCs w:val="20"/>
              </w:rPr>
              <w:t>。</w:t>
            </w:r>
          </w:p>
          <w:p w14:paraId="533B021C">
            <w:pPr>
              <w:pStyle w:val="445"/>
              <w:rPr>
                <w:rFonts w:cs="Times New Roman"/>
                <w:kern w:val="0"/>
                <w:szCs w:val="20"/>
              </w:rPr>
            </w:pPr>
            <w:r>
              <w:rPr>
                <w:rFonts w:hint="eastAsia" w:ascii="宋体" w:hAnsi="宋体" w:cs="Times New Roman"/>
                <w:kern w:val="0"/>
                <w:szCs w:val="20"/>
              </w:rPr>
              <w:t>本项目废气排放</w:t>
            </w:r>
            <w:r>
              <w:rPr>
                <w:rFonts w:ascii="宋体" w:hAnsi="宋体" w:cs="Times New Roman"/>
                <w:kern w:val="0"/>
                <w:szCs w:val="20"/>
              </w:rPr>
              <w:t>执行《</w:t>
            </w:r>
            <w:r>
              <w:rPr>
                <w:rFonts w:hint="eastAsia" w:ascii="宋体" w:hAnsi="宋体" w:cs="Times New Roman"/>
                <w:kern w:val="0"/>
                <w:szCs w:val="20"/>
              </w:rPr>
              <w:t>大气</w:t>
            </w:r>
            <w:r>
              <w:rPr>
                <w:rFonts w:ascii="宋体" w:hAnsi="宋体" w:cs="Times New Roman"/>
                <w:kern w:val="0"/>
                <w:szCs w:val="20"/>
              </w:rPr>
              <w:t>污染物综合排放标准》</w:t>
            </w:r>
            <w:r>
              <w:rPr>
                <w:rFonts w:cs="Times New Roman"/>
                <w:kern w:val="0"/>
                <w:szCs w:val="20"/>
              </w:rPr>
              <w:t>（GB16297-1996）</w:t>
            </w:r>
            <w:r>
              <w:rPr>
                <w:rFonts w:hint="eastAsia" w:cs="Times New Roman"/>
                <w:kern w:val="0"/>
                <w:szCs w:val="20"/>
              </w:rPr>
              <w:t>和</w:t>
            </w: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r>
              <w:rPr>
                <w:rFonts w:hint="eastAsia" w:cs="Times New Roman"/>
                <w:kern w:val="0"/>
                <w:szCs w:val="20"/>
              </w:rPr>
              <w:t>特别</w:t>
            </w:r>
            <w:r>
              <w:rPr>
                <w:rFonts w:cs="Times New Roman"/>
                <w:kern w:val="0"/>
                <w:szCs w:val="20"/>
              </w:rPr>
              <w:t>排放限值</w:t>
            </w:r>
            <w:r>
              <w:rPr>
                <w:rFonts w:hint="eastAsia" w:cs="Times New Roman"/>
                <w:kern w:val="0"/>
                <w:szCs w:val="20"/>
              </w:rPr>
              <w:t>，VOCs无组织排放参照执行《挥发性有机物无组织排放控制标准》（GB37822-2019）附录A中非甲烷总烃特别排放限值。</w:t>
            </w:r>
          </w:p>
          <w:p w14:paraId="721E0713">
            <w:pPr>
              <w:pStyle w:val="445"/>
              <w:rPr>
                <w:rFonts w:cs="Times New Roman"/>
                <w:kern w:val="0"/>
                <w:szCs w:val="20"/>
              </w:rPr>
            </w:pPr>
            <w:r>
              <w:rPr>
                <w:rFonts w:hint="eastAsia" w:cs="Times New Roman"/>
                <w:kern w:val="0"/>
                <w:szCs w:val="20"/>
              </w:rPr>
              <w:t>本项目</w:t>
            </w:r>
            <w:r>
              <w:rPr>
                <w:rFonts w:cs="Times New Roman"/>
                <w:kern w:val="0"/>
                <w:szCs w:val="20"/>
              </w:rPr>
              <w:t>采用天然气</w:t>
            </w:r>
            <w:r>
              <w:rPr>
                <w:rFonts w:hint="eastAsia" w:cs="Times New Roman"/>
                <w:kern w:val="0"/>
                <w:szCs w:val="20"/>
              </w:rPr>
              <w:t>为</w:t>
            </w:r>
            <w:r>
              <w:rPr>
                <w:rFonts w:cs="Times New Roman"/>
                <w:kern w:val="0"/>
                <w:szCs w:val="20"/>
              </w:rPr>
              <w:t>燃料</w:t>
            </w:r>
            <w:r>
              <w:rPr>
                <w:rFonts w:hint="eastAsia" w:cs="Times New Roman"/>
                <w:kern w:val="0"/>
                <w:szCs w:val="20"/>
              </w:rPr>
              <w:t>。</w:t>
            </w:r>
          </w:p>
        </w:tc>
        <w:tc>
          <w:tcPr>
            <w:tcW w:w="0" w:type="auto"/>
            <w:vAlign w:val="center"/>
          </w:tcPr>
          <w:p w14:paraId="5172882A">
            <w:pPr>
              <w:pStyle w:val="445"/>
              <w:rPr>
                <w:rFonts w:cs="Times New Roman"/>
                <w:kern w:val="0"/>
                <w:szCs w:val="20"/>
              </w:rPr>
            </w:pPr>
            <w:r>
              <w:rPr>
                <w:rFonts w:hint="eastAsia" w:cs="Times New Roman"/>
                <w:kern w:val="0"/>
                <w:szCs w:val="20"/>
              </w:rPr>
              <w:t>符合</w:t>
            </w:r>
          </w:p>
        </w:tc>
      </w:tr>
      <w:tr w14:paraId="3AA04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6903F0">
            <w:pPr>
              <w:pStyle w:val="445"/>
              <w:rPr>
                <w:rFonts w:cs="Times New Roman"/>
                <w:kern w:val="0"/>
                <w:szCs w:val="20"/>
              </w:rPr>
            </w:pPr>
            <w:r>
              <w:rPr>
                <w:rFonts w:hint="eastAsia" w:cs="Times New Roman"/>
                <w:kern w:val="0"/>
                <w:szCs w:val="20"/>
              </w:rPr>
              <w:t>环境</w:t>
            </w:r>
            <w:r>
              <w:rPr>
                <w:rFonts w:cs="Times New Roman"/>
                <w:kern w:val="0"/>
                <w:szCs w:val="20"/>
              </w:rPr>
              <w:t>风险防控</w:t>
            </w:r>
          </w:p>
        </w:tc>
        <w:tc>
          <w:tcPr>
            <w:tcW w:w="0" w:type="auto"/>
            <w:vAlign w:val="center"/>
          </w:tcPr>
          <w:p w14:paraId="6E42B984">
            <w:pPr>
              <w:pStyle w:val="445"/>
              <w:rPr>
                <w:rFonts w:cs="Times New Roman"/>
                <w:kern w:val="0"/>
                <w:szCs w:val="20"/>
              </w:rPr>
            </w:pPr>
            <w:r>
              <w:rPr>
                <w:rFonts w:hint="eastAsia" w:cs="Times New Roman"/>
                <w:kern w:val="0"/>
                <w:szCs w:val="20"/>
              </w:rPr>
              <w:t>落实《蚌埠市</w:t>
            </w:r>
            <w:r>
              <w:rPr>
                <w:rFonts w:cs="Times New Roman"/>
                <w:kern w:val="0"/>
                <w:szCs w:val="20"/>
              </w:rPr>
              <w:t>突发环境事件应急预案（</w:t>
            </w:r>
            <w:r>
              <w:rPr>
                <w:rFonts w:hint="eastAsia" w:cs="Times New Roman"/>
                <w:kern w:val="0"/>
                <w:szCs w:val="20"/>
              </w:rPr>
              <w:t>修订</w:t>
            </w:r>
            <w:r>
              <w:rPr>
                <w:rFonts w:cs="Times New Roman"/>
                <w:kern w:val="0"/>
                <w:szCs w:val="20"/>
              </w:rPr>
              <w:t>）</w:t>
            </w:r>
            <w:r>
              <w:rPr>
                <w:rFonts w:hint="eastAsia" w:cs="Times New Roman"/>
                <w:kern w:val="0"/>
                <w:szCs w:val="20"/>
              </w:rPr>
              <w:t>》（2021年2月10日）。</w:t>
            </w:r>
          </w:p>
          <w:p w14:paraId="2EC8ED59">
            <w:pPr>
              <w:pStyle w:val="445"/>
              <w:rPr>
                <w:rFonts w:cs="Times New Roman"/>
                <w:kern w:val="0"/>
                <w:szCs w:val="20"/>
              </w:rPr>
            </w:pPr>
            <w:r>
              <w:rPr>
                <w:rFonts w:hint="eastAsia" w:cs="Times New Roman"/>
                <w:kern w:val="0"/>
                <w:szCs w:val="20"/>
              </w:rPr>
              <w:t>排污单位发生事故或者其他突发性事件，造成或者可能造成水污染事故的，应当立即启动本单位的应急方案，采取隔离等应急措施，防止水污染物进入水体，并向事故发生地的县级以上人民政府或者生态环境行政主管部门报告。</w:t>
            </w:r>
          </w:p>
        </w:tc>
        <w:tc>
          <w:tcPr>
            <w:tcW w:w="0" w:type="auto"/>
            <w:vAlign w:val="center"/>
          </w:tcPr>
          <w:p w14:paraId="6D463D08">
            <w:pPr>
              <w:pStyle w:val="445"/>
              <w:rPr>
                <w:rFonts w:cs="Times New Roman"/>
                <w:kern w:val="0"/>
                <w:szCs w:val="20"/>
              </w:rPr>
            </w:pPr>
            <w:r>
              <w:rPr>
                <w:rFonts w:hint="eastAsia" w:cs="Times New Roman"/>
                <w:kern w:val="0"/>
                <w:szCs w:val="20"/>
              </w:rPr>
              <w:t>本项目建成后备用足够</w:t>
            </w:r>
            <w:r>
              <w:rPr>
                <w:rFonts w:cs="Times New Roman"/>
                <w:kern w:val="0"/>
                <w:szCs w:val="20"/>
              </w:rPr>
              <w:t>的应急物资，</w:t>
            </w:r>
            <w:r>
              <w:rPr>
                <w:rFonts w:hint="eastAsia" w:cs="Times New Roman"/>
                <w:kern w:val="0"/>
                <w:szCs w:val="20"/>
              </w:rPr>
              <w:t>建立</w:t>
            </w:r>
            <w:r>
              <w:rPr>
                <w:rFonts w:cs="Times New Roman"/>
                <w:kern w:val="0"/>
                <w:szCs w:val="20"/>
              </w:rPr>
              <w:t>与园区对接、联动的风险防范体系</w:t>
            </w:r>
            <w:r>
              <w:rPr>
                <w:rFonts w:hint="eastAsia" w:cs="Times New Roman"/>
                <w:kern w:val="0"/>
                <w:szCs w:val="20"/>
              </w:rPr>
              <w:t>、</w:t>
            </w:r>
            <w:r>
              <w:rPr>
                <w:rFonts w:cs="Times New Roman"/>
                <w:kern w:val="0"/>
                <w:szCs w:val="20"/>
              </w:rPr>
              <w:t>三级防控体系</w:t>
            </w:r>
            <w:r>
              <w:rPr>
                <w:rFonts w:hint="eastAsia" w:cs="Times New Roman"/>
                <w:kern w:val="0"/>
                <w:szCs w:val="20"/>
              </w:rPr>
              <w:t>等</w:t>
            </w:r>
            <w:r>
              <w:rPr>
                <w:rFonts w:cs="Times New Roman"/>
                <w:kern w:val="0"/>
                <w:szCs w:val="20"/>
              </w:rPr>
              <w:t>，</w:t>
            </w:r>
            <w:r>
              <w:rPr>
                <w:rFonts w:hint="eastAsia" w:cs="Times New Roman"/>
                <w:kern w:val="0"/>
                <w:szCs w:val="20"/>
              </w:rPr>
              <w:t>建设</w:t>
            </w:r>
            <w:r>
              <w:rPr>
                <w:rFonts w:cs="Times New Roman"/>
                <w:kern w:val="0"/>
                <w:szCs w:val="20"/>
              </w:rPr>
              <w:t>单位将按照要求开展</w:t>
            </w:r>
            <w:r>
              <w:rPr>
                <w:rFonts w:hint="eastAsia" w:cs="Times New Roman"/>
                <w:kern w:val="0"/>
                <w:szCs w:val="20"/>
              </w:rPr>
              <w:t>企业</w:t>
            </w:r>
            <w:r>
              <w:rPr>
                <w:rFonts w:cs="Times New Roman"/>
                <w:kern w:val="0"/>
                <w:szCs w:val="20"/>
              </w:rPr>
              <w:t>突发环境事件应急预案的编制及备案，</w:t>
            </w:r>
            <w:r>
              <w:rPr>
                <w:rFonts w:hint="eastAsia" w:cs="Times New Roman"/>
                <w:kern w:val="0"/>
                <w:szCs w:val="20"/>
              </w:rPr>
              <w:t>确保</w:t>
            </w:r>
            <w:r>
              <w:rPr>
                <w:rFonts w:cs="Times New Roman"/>
                <w:kern w:val="0"/>
                <w:szCs w:val="20"/>
              </w:rPr>
              <w:t>风险可控</w:t>
            </w:r>
            <w:r>
              <w:rPr>
                <w:rFonts w:hint="eastAsia" w:cs="Times New Roman"/>
                <w:kern w:val="0"/>
                <w:szCs w:val="20"/>
              </w:rPr>
              <w:t>。</w:t>
            </w:r>
          </w:p>
        </w:tc>
        <w:tc>
          <w:tcPr>
            <w:tcW w:w="0" w:type="auto"/>
            <w:vAlign w:val="center"/>
          </w:tcPr>
          <w:p w14:paraId="41760E27">
            <w:pPr>
              <w:pStyle w:val="445"/>
              <w:rPr>
                <w:rFonts w:cs="Times New Roman"/>
                <w:kern w:val="0"/>
                <w:szCs w:val="20"/>
              </w:rPr>
            </w:pPr>
            <w:r>
              <w:rPr>
                <w:rFonts w:hint="eastAsia" w:cs="Times New Roman"/>
                <w:kern w:val="0"/>
                <w:szCs w:val="20"/>
              </w:rPr>
              <w:t>符合</w:t>
            </w:r>
          </w:p>
        </w:tc>
      </w:tr>
      <w:tr w14:paraId="3C5BA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14E7A22">
            <w:pPr>
              <w:pStyle w:val="445"/>
              <w:rPr>
                <w:rFonts w:cs="Times New Roman"/>
                <w:kern w:val="0"/>
                <w:szCs w:val="20"/>
              </w:rPr>
            </w:pPr>
            <w:r>
              <w:rPr>
                <w:rFonts w:hint="eastAsia" w:cs="Times New Roman"/>
                <w:kern w:val="0"/>
                <w:szCs w:val="20"/>
              </w:rPr>
              <w:t>资源开发效率</w:t>
            </w:r>
          </w:p>
        </w:tc>
        <w:tc>
          <w:tcPr>
            <w:tcW w:w="0" w:type="auto"/>
            <w:vAlign w:val="center"/>
          </w:tcPr>
          <w:p w14:paraId="2AB0489D">
            <w:pPr>
              <w:pStyle w:val="445"/>
              <w:rPr>
                <w:rFonts w:cs="Times New Roman"/>
                <w:kern w:val="0"/>
                <w:szCs w:val="20"/>
              </w:rPr>
            </w:pPr>
            <w:r>
              <w:rPr>
                <w:rFonts w:hint="eastAsia" w:cs="Times New Roman"/>
                <w:kern w:val="0"/>
                <w:szCs w:val="20"/>
              </w:rPr>
              <w:t>鼓励钢铁、纺织印染、造纸、石油石化、化工、制革等高耗水企业废水深度处理回用。</w:t>
            </w:r>
          </w:p>
        </w:tc>
        <w:tc>
          <w:tcPr>
            <w:tcW w:w="0" w:type="auto"/>
            <w:vAlign w:val="center"/>
          </w:tcPr>
          <w:p w14:paraId="47DE75D8">
            <w:pPr>
              <w:pStyle w:val="445"/>
              <w:rPr>
                <w:rFonts w:cs="Times New Roman"/>
                <w:kern w:val="0"/>
                <w:szCs w:val="20"/>
              </w:rPr>
            </w:pPr>
            <w:r>
              <w:rPr>
                <w:rFonts w:hint="eastAsia" w:cs="Times New Roman"/>
                <w:kern w:val="0"/>
                <w:szCs w:val="20"/>
              </w:rPr>
              <w:t>本项目</w:t>
            </w:r>
            <w:r>
              <w:rPr>
                <w:rFonts w:cs="Times New Roman"/>
                <w:kern w:val="0"/>
                <w:szCs w:val="20"/>
              </w:rPr>
              <w:t>精选废水经</w:t>
            </w:r>
            <w:r>
              <w:rPr>
                <w:rFonts w:hint="eastAsia" w:cs="Times New Roman"/>
                <w:kern w:val="0"/>
                <w:szCs w:val="20"/>
              </w:rPr>
              <w:t>预处理</w:t>
            </w:r>
            <w:r>
              <w:rPr>
                <w:rFonts w:cs="Times New Roman"/>
                <w:kern w:val="0"/>
                <w:szCs w:val="20"/>
              </w:rPr>
              <w:t>后作为循环</w:t>
            </w:r>
            <w:r>
              <w:rPr>
                <w:rFonts w:hint="eastAsia" w:cs="Times New Roman"/>
                <w:kern w:val="0"/>
                <w:szCs w:val="20"/>
              </w:rPr>
              <w:t>冷却水</w:t>
            </w:r>
            <w:r>
              <w:rPr>
                <w:rFonts w:cs="Times New Roman"/>
                <w:kern w:val="0"/>
                <w:szCs w:val="20"/>
              </w:rPr>
              <w:t>补水使用</w:t>
            </w:r>
            <w:r>
              <w:rPr>
                <w:rFonts w:hint="eastAsia" w:cs="Times New Roman"/>
                <w:kern w:val="0"/>
                <w:szCs w:val="20"/>
              </w:rPr>
              <w:t>。</w:t>
            </w:r>
          </w:p>
        </w:tc>
        <w:tc>
          <w:tcPr>
            <w:tcW w:w="0" w:type="auto"/>
            <w:vAlign w:val="center"/>
          </w:tcPr>
          <w:p w14:paraId="3539DE32">
            <w:pPr>
              <w:pStyle w:val="445"/>
              <w:rPr>
                <w:rFonts w:cs="Times New Roman"/>
                <w:kern w:val="0"/>
                <w:szCs w:val="20"/>
              </w:rPr>
            </w:pPr>
            <w:r>
              <w:rPr>
                <w:rFonts w:hint="eastAsia" w:cs="Times New Roman"/>
                <w:kern w:val="0"/>
                <w:szCs w:val="20"/>
              </w:rPr>
              <w:t>符合</w:t>
            </w:r>
          </w:p>
        </w:tc>
      </w:tr>
    </w:tbl>
    <w:p w14:paraId="76AE1D12">
      <w:pPr>
        <w:ind w:firstLine="480"/>
      </w:pPr>
      <w:r>
        <w:rPr>
          <w:rFonts w:hint="eastAsia" w:ascii="宋体" w:hAnsi="宋体"/>
        </w:rPr>
        <w:t>（</w:t>
      </w:r>
      <w:r>
        <w:t>3</w:t>
      </w:r>
      <w:r>
        <w:rPr>
          <w:rFonts w:hint="eastAsia" w:ascii="宋体" w:hAnsi="宋体"/>
        </w:rPr>
        <w:t>）资源利用上线</w:t>
      </w:r>
    </w:p>
    <w:p w14:paraId="109E3CF2">
      <w:pPr>
        <w:ind w:firstLine="480"/>
      </w:pPr>
      <w:r>
        <w:rPr>
          <w:rFonts w:hint="eastAsia" w:ascii="宋体" w:hAnsi="宋体"/>
        </w:rPr>
        <w:t>本项目位于</w:t>
      </w:r>
      <w:r>
        <w:rPr>
          <w:rFonts w:hint="eastAsia"/>
        </w:rPr>
        <w:t>蚌埠精细化工高新技术产业基地</w:t>
      </w:r>
      <w:r>
        <w:rPr>
          <w:rFonts w:hint="eastAsia" w:ascii="宋体" w:hAnsi="宋体"/>
        </w:rPr>
        <w:t>，项目为扩建项目，用地性质属于三类工业用地。项目供水依托园区供水系统，园区供水系统富余能力完全满足本项目需求。园区规划以工业区</w:t>
      </w:r>
      <w:r>
        <w:rPr>
          <w:rFonts w:hint="eastAsia"/>
        </w:rPr>
        <w:t>110kV</w:t>
      </w:r>
      <w:r>
        <w:rPr>
          <w:rFonts w:hint="eastAsia" w:ascii="宋体" w:hAnsi="宋体"/>
        </w:rPr>
        <w:t>变通过</w:t>
      </w:r>
      <w:r>
        <w:rPr>
          <w:rFonts w:hint="eastAsia"/>
        </w:rPr>
        <w:t>35kV</w:t>
      </w:r>
      <w:r>
        <w:rPr>
          <w:rFonts w:hint="eastAsia" w:ascii="宋体" w:hAnsi="宋体"/>
        </w:rPr>
        <w:t>变电站供电，变压后以</w:t>
      </w:r>
      <w:r>
        <w:rPr>
          <w:rFonts w:hint="eastAsia"/>
        </w:rPr>
        <w:t>10kV</w:t>
      </w:r>
      <w:r>
        <w:rPr>
          <w:rFonts w:hint="eastAsia" w:ascii="宋体" w:hAnsi="宋体"/>
        </w:rPr>
        <w:t>向规划区供电，供电富余能力完全满足需求补充，本项目采用双线供电，避免因电力缺失造成不必要的停电。</w:t>
      </w:r>
    </w:p>
    <w:p w14:paraId="2194B7B4">
      <w:pPr>
        <w:ind w:firstLine="480"/>
      </w:pPr>
      <w:r>
        <w:rPr>
          <w:rFonts w:hint="eastAsia" w:ascii="宋体" w:hAnsi="宋体"/>
        </w:rPr>
        <w:t>因此，本项目资源利用均在</w:t>
      </w:r>
      <w:r>
        <w:rPr>
          <w:rFonts w:hint="eastAsia"/>
        </w:rPr>
        <w:t>蚌埠精细化工高新技术产业基地</w:t>
      </w:r>
      <w:r>
        <w:rPr>
          <w:rFonts w:hint="eastAsia" w:ascii="宋体" w:hAnsi="宋体"/>
        </w:rPr>
        <w:t>可承受范围内。</w:t>
      </w:r>
    </w:p>
    <w:p w14:paraId="6158392C">
      <w:pPr>
        <w:ind w:firstLine="480"/>
      </w:pPr>
      <w:r>
        <w:rPr>
          <w:rFonts w:hint="eastAsia" w:ascii="宋体" w:hAnsi="宋体"/>
        </w:rPr>
        <w:t>（</w:t>
      </w:r>
      <w:r>
        <w:t>4</w:t>
      </w:r>
      <w:r>
        <w:rPr>
          <w:rFonts w:hint="eastAsia" w:ascii="宋体" w:hAnsi="宋体"/>
        </w:rPr>
        <w:t>）生态环境准入清单</w:t>
      </w:r>
    </w:p>
    <w:p w14:paraId="10964373">
      <w:pPr>
        <w:ind w:firstLine="480"/>
        <w:rPr>
          <w:rFonts w:ascii="宋体" w:hAnsi="宋体"/>
        </w:rPr>
      </w:pPr>
      <w:r>
        <w:rPr>
          <w:rFonts w:hint="eastAsia" w:ascii="宋体" w:hAnsi="宋体"/>
        </w:rPr>
        <w:t>根据《蚌埠精细化工高新技术产业基地规划</w:t>
      </w:r>
      <w:r>
        <w:rPr>
          <w:rFonts w:hint="eastAsia"/>
        </w:rPr>
        <w:t>（2021</w:t>
      </w:r>
      <w:r>
        <w:t>~2035</w:t>
      </w:r>
      <w:r>
        <w:rPr>
          <w:rFonts w:hint="eastAsia"/>
        </w:rPr>
        <w:t>）</w:t>
      </w:r>
      <w:r>
        <w:rPr>
          <w:rFonts w:hint="eastAsia" w:ascii="宋体" w:hAnsi="宋体"/>
        </w:rPr>
        <w:t>环境影响报告书》中生态</w:t>
      </w:r>
      <w:r>
        <w:rPr>
          <w:rFonts w:ascii="宋体" w:hAnsi="宋体"/>
        </w:rPr>
        <w:t>环境</w:t>
      </w:r>
      <w:r>
        <w:rPr>
          <w:rFonts w:hint="eastAsia" w:ascii="宋体" w:hAnsi="宋体"/>
        </w:rPr>
        <w:t>准入</w:t>
      </w:r>
      <w:r>
        <w:rPr>
          <w:rFonts w:ascii="宋体" w:hAnsi="宋体"/>
        </w:rPr>
        <w:t>清单，具体见</w:t>
      </w:r>
      <w:r>
        <w:rPr>
          <w:rFonts w:hint="eastAsia"/>
        </w:rPr>
        <w:t>表2.5.3-</w:t>
      </w:r>
      <w:r>
        <w:t>3</w:t>
      </w:r>
      <w:r>
        <w:rPr>
          <w:rFonts w:hint="eastAsia" w:ascii="宋体" w:hAnsi="宋体"/>
        </w:rPr>
        <w:t>。</w:t>
      </w:r>
    </w:p>
    <w:p w14:paraId="7DBB135D">
      <w:pPr>
        <w:pStyle w:val="278"/>
      </w:pPr>
      <w:r>
        <w:rPr>
          <w:rFonts w:hint="eastAsia"/>
        </w:rPr>
        <w:t>表2.5.3-</w:t>
      </w:r>
      <w:r>
        <w:t>3</w:t>
      </w:r>
      <w:r>
        <w:rPr>
          <w:rFonts w:hint="eastAsia"/>
        </w:rPr>
        <w:t xml:space="preserve"> 蚌埠精细化工高新技术产业基地生态</w:t>
      </w:r>
      <w:r>
        <w:t>环境</w:t>
      </w:r>
      <w:r>
        <w:rPr>
          <w:rFonts w:hint="eastAsia"/>
        </w:rPr>
        <w:t>准入</w:t>
      </w:r>
      <w:r>
        <w:t>清单</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2256"/>
        <w:gridCol w:w="2257"/>
        <w:gridCol w:w="2257"/>
      </w:tblGrid>
      <w:tr w14:paraId="5AA8F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3B5371EB">
            <w:pPr>
              <w:pStyle w:val="445"/>
              <w:rPr>
                <w:rFonts w:cs="Times New Roman"/>
                <w:kern w:val="0"/>
                <w:szCs w:val="20"/>
              </w:rPr>
            </w:pPr>
            <w:r>
              <w:rPr>
                <w:rFonts w:hint="eastAsia" w:cs="Times New Roman"/>
                <w:kern w:val="0"/>
                <w:szCs w:val="20"/>
              </w:rPr>
              <w:t>管控</w:t>
            </w:r>
            <w:r>
              <w:rPr>
                <w:rFonts w:cs="Times New Roman"/>
                <w:kern w:val="0"/>
                <w:szCs w:val="20"/>
              </w:rPr>
              <w:t>类</w:t>
            </w:r>
            <w:r>
              <w:rPr>
                <w:rFonts w:hint="eastAsia" w:cs="Times New Roman"/>
                <w:kern w:val="0"/>
                <w:szCs w:val="20"/>
              </w:rPr>
              <w:t>别</w:t>
            </w:r>
          </w:p>
        </w:tc>
        <w:tc>
          <w:tcPr>
            <w:tcW w:w="2256" w:type="dxa"/>
            <w:vAlign w:val="center"/>
          </w:tcPr>
          <w:p w14:paraId="0B460A5C">
            <w:pPr>
              <w:pStyle w:val="445"/>
              <w:rPr>
                <w:rFonts w:cs="Times New Roman"/>
                <w:kern w:val="0"/>
                <w:szCs w:val="20"/>
              </w:rPr>
            </w:pPr>
            <w:r>
              <w:rPr>
                <w:rFonts w:hint="eastAsia" w:cs="Times New Roman"/>
                <w:kern w:val="0"/>
                <w:szCs w:val="20"/>
              </w:rPr>
              <w:t>产业类别</w:t>
            </w:r>
          </w:p>
        </w:tc>
        <w:tc>
          <w:tcPr>
            <w:tcW w:w="4514" w:type="dxa"/>
            <w:gridSpan w:val="2"/>
            <w:vAlign w:val="center"/>
          </w:tcPr>
          <w:p w14:paraId="6596863F">
            <w:pPr>
              <w:pStyle w:val="445"/>
              <w:rPr>
                <w:rFonts w:cs="Times New Roman"/>
                <w:kern w:val="0"/>
                <w:szCs w:val="20"/>
              </w:rPr>
            </w:pPr>
            <w:r>
              <w:rPr>
                <w:rFonts w:hint="eastAsia" w:cs="Times New Roman"/>
                <w:kern w:val="0"/>
                <w:szCs w:val="20"/>
              </w:rPr>
              <w:t>准入</w:t>
            </w:r>
            <w:r>
              <w:rPr>
                <w:rFonts w:cs="Times New Roman"/>
                <w:kern w:val="0"/>
                <w:szCs w:val="20"/>
              </w:rPr>
              <w:t>要求</w:t>
            </w:r>
          </w:p>
        </w:tc>
      </w:tr>
      <w:tr w14:paraId="013D73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restart"/>
            <w:vAlign w:val="center"/>
          </w:tcPr>
          <w:p w14:paraId="1FFBC201">
            <w:pPr>
              <w:pStyle w:val="445"/>
              <w:rPr>
                <w:rFonts w:cs="Times New Roman"/>
                <w:kern w:val="0"/>
                <w:szCs w:val="20"/>
              </w:rPr>
            </w:pPr>
            <w:r>
              <w:rPr>
                <w:rFonts w:hint="eastAsia" w:cs="Times New Roman"/>
                <w:kern w:val="0"/>
                <w:szCs w:val="20"/>
              </w:rPr>
              <w:t>鼓励类</w:t>
            </w:r>
          </w:p>
        </w:tc>
        <w:tc>
          <w:tcPr>
            <w:tcW w:w="2256" w:type="dxa"/>
            <w:vAlign w:val="center"/>
          </w:tcPr>
          <w:p w14:paraId="184E52CB">
            <w:pPr>
              <w:pStyle w:val="445"/>
              <w:rPr>
                <w:rFonts w:cs="Times New Roman"/>
                <w:kern w:val="0"/>
                <w:szCs w:val="20"/>
              </w:rPr>
            </w:pPr>
            <w:r>
              <w:rPr>
                <w:rFonts w:hint="eastAsia" w:cs="Times New Roman"/>
                <w:kern w:val="0"/>
                <w:szCs w:val="20"/>
              </w:rPr>
              <w:t>生物</w:t>
            </w:r>
            <w:r>
              <w:rPr>
                <w:rFonts w:cs="Times New Roman"/>
                <w:kern w:val="0"/>
                <w:szCs w:val="20"/>
              </w:rPr>
              <w:t>基新</w:t>
            </w:r>
            <w:r>
              <w:rPr>
                <w:rFonts w:hint="eastAsia" w:cs="Times New Roman"/>
                <w:kern w:val="0"/>
                <w:szCs w:val="20"/>
              </w:rPr>
              <w:t>材料</w:t>
            </w:r>
          </w:p>
        </w:tc>
        <w:tc>
          <w:tcPr>
            <w:tcW w:w="2257" w:type="dxa"/>
            <w:vAlign w:val="center"/>
          </w:tcPr>
          <w:p w14:paraId="0FCAF297">
            <w:pPr>
              <w:pStyle w:val="445"/>
              <w:rPr>
                <w:rFonts w:cs="Times New Roman"/>
                <w:kern w:val="0"/>
                <w:szCs w:val="20"/>
              </w:rPr>
            </w:pPr>
            <w:r>
              <w:rPr>
                <w:rFonts w:hint="eastAsia" w:cs="Times New Roman"/>
                <w:kern w:val="0"/>
                <w:szCs w:val="20"/>
              </w:rPr>
              <w:t>C28</w:t>
            </w:r>
            <w:r>
              <w:rPr>
                <w:rFonts w:cs="Times New Roman"/>
                <w:kern w:val="0"/>
                <w:szCs w:val="20"/>
              </w:rPr>
              <w:t>化学纤维制造业</w:t>
            </w:r>
          </w:p>
        </w:tc>
        <w:tc>
          <w:tcPr>
            <w:tcW w:w="2257" w:type="dxa"/>
            <w:vAlign w:val="center"/>
          </w:tcPr>
          <w:p w14:paraId="77C95136">
            <w:pPr>
              <w:pStyle w:val="445"/>
              <w:rPr>
                <w:rFonts w:cs="Times New Roman"/>
                <w:kern w:val="0"/>
                <w:szCs w:val="20"/>
              </w:rPr>
            </w:pPr>
            <w:r>
              <w:rPr>
                <w:rFonts w:hint="eastAsia" w:cs="Times New Roman"/>
                <w:kern w:val="0"/>
                <w:szCs w:val="20"/>
              </w:rPr>
              <w:t>C283</w:t>
            </w:r>
            <w:r>
              <w:rPr>
                <w:rFonts w:cs="Times New Roman"/>
                <w:kern w:val="0"/>
                <w:szCs w:val="20"/>
              </w:rPr>
              <w:t>生物基材料制造</w:t>
            </w:r>
          </w:p>
        </w:tc>
      </w:tr>
      <w:tr w14:paraId="542F8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D967B36">
            <w:pPr>
              <w:pStyle w:val="445"/>
              <w:rPr>
                <w:rFonts w:cs="Times New Roman"/>
                <w:kern w:val="0"/>
                <w:szCs w:val="20"/>
              </w:rPr>
            </w:pPr>
          </w:p>
        </w:tc>
        <w:tc>
          <w:tcPr>
            <w:tcW w:w="2256" w:type="dxa"/>
            <w:vMerge w:val="restart"/>
            <w:vAlign w:val="center"/>
          </w:tcPr>
          <w:p w14:paraId="01018E1B">
            <w:pPr>
              <w:pStyle w:val="445"/>
              <w:rPr>
                <w:rFonts w:cs="Times New Roman"/>
                <w:kern w:val="0"/>
                <w:szCs w:val="20"/>
              </w:rPr>
            </w:pPr>
            <w:r>
              <w:rPr>
                <w:rFonts w:hint="eastAsia" w:cs="Times New Roman"/>
                <w:kern w:val="0"/>
                <w:szCs w:val="20"/>
              </w:rPr>
              <w:t>医药化工</w:t>
            </w:r>
          </w:p>
        </w:tc>
        <w:tc>
          <w:tcPr>
            <w:tcW w:w="2257" w:type="dxa"/>
            <w:vMerge w:val="restart"/>
            <w:vAlign w:val="center"/>
          </w:tcPr>
          <w:p w14:paraId="33B5455D">
            <w:pPr>
              <w:pStyle w:val="445"/>
              <w:rPr>
                <w:rFonts w:cs="Times New Roman"/>
                <w:kern w:val="0"/>
                <w:szCs w:val="20"/>
              </w:rPr>
            </w:pPr>
            <w:r>
              <w:rPr>
                <w:rFonts w:hint="eastAsia" w:cs="Times New Roman"/>
                <w:kern w:val="0"/>
                <w:szCs w:val="20"/>
              </w:rPr>
              <w:t>C27</w:t>
            </w:r>
            <w:r>
              <w:rPr>
                <w:rFonts w:cs="Times New Roman"/>
                <w:kern w:val="0"/>
                <w:szCs w:val="20"/>
              </w:rPr>
              <w:t>医药制造</w:t>
            </w:r>
            <w:r>
              <w:rPr>
                <w:rFonts w:hint="eastAsia" w:cs="Times New Roman"/>
                <w:kern w:val="0"/>
                <w:szCs w:val="20"/>
              </w:rPr>
              <w:t>业</w:t>
            </w:r>
          </w:p>
        </w:tc>
        <w:tc>
          <w:tcPr>
            <w:tcW w:w="2257" w:type="dxa"/>
            <w:vAlign w:val="center"/>
          </w:tcPr>
          <w:p w14:paraId="4C32CEAD">
            <w:pPr>
              <w:pStyle w:val="445"/>
              <w:rPr>
                <w:rFonts w:cs="Times New Roman"/>
                <w:kern w:val="0"/>
                <w:szCs w:val="20"/>
              </w:rPr>
            </w:pPr>
            <w:r>
              <w:rPr>
                <w:rFonts w:hint="eastAsia" w:cs="Times New Roman"/>
                <w:kern w:val="0"/>
                <w:szCs w:val="20"/>
              </w:rPr>
              <w:t>C271</w:t>
            </w:r>
            <w:r>
              <w:rPr>
                <w:rFonts w:cs="Times New Roman"/>
                <w:kern w:val="0"/>
                <w:szCs w:val="20"/>
              </w:rPr>
              <w:t>化学药品原料药制造</w:t>
            </w:r>
          </w:p>
        </w:tc>
      </w:tr>
      <w:tr w14:paraId="3D6FC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F649716">
            <w:pPr>
              <w:pStyle w:val="445"/>
              <w:rPr>
                <w:rFonts w:cs="Times New Roman"/>
                <w:kern w:val="0"/>
                <w:szCs w:val="20"/>
              </w:rPr>
            </w:pPr>
          </w:p>
        </w:tc>
        <w:tc>
          <w:tcPr>
            <w:tcW w:w="2256" w:type="dxa"/>
            <w:vMerge w:val="continue"/>
            <w:vAlign w:val="center"/>
          </w:tcPr>
          <w:p w14:paraId="1105069B">
            <w:pPr>
              <w:pStyle w:val="445"/>
              <w:rPr>
                <w:rFonts w:cs="Times New Roman"/>
                <w:kern w:val="0"/>
                <w:szCs w:val="20"/>
              </w:rPr>
            </w:pPr>
          </w:p>
        </w:tc>
        <w:tc>
          <w:tcPr>
            <w:tcW w:w="2257" w:type="dxa"/>
            <w:vMerge w:val="continue"/>
            <w:vAlign w:val="center"/>
          </w:tcPr>
          <w:p w14:paraId="08DB1319">
            <w:pPr>
              <w:pStyle w:val="445"/>
              <w:rPr>
                <w:rFonts w:cs="Times New Roman"/>
                <w:kern w:val="0"/>
                <w:szCs w:val="20"/>
              </w:rPr>
            </w:pPr>
          </w:p>
        </w:tc>
        <w:tc>
          <w:tcPr>
            <w:tcW w:w="2257" w:type="dxa"/>
            <w:vAlign w:val="center"/>
          </w:tcPr>
          <w:p w14:paraId="57784EB1">
            <w:pPr>
              <w:pStyle w:val="445"/>
              <w:rPr>
                <w:rFonts w:cs="Times New Roman"/>
                <w:kern w:val="0"/>
                <w:szCs w:val="20"/>
              </w:rPr>
            </w:pPr>
            <w:r>
              <w:rPr>
                <w:rFonts w:hint="eastAsia" w:cs="Times New Roman"/>
                <w:kern w:val="0"/>
                <w:szCs w:val="20"/>
              </w:rPr>
              <w:t>C272</w:t>
            </w:r>
            <w:r>
              <w:rPr>
                <w:rFonts w:cs="Times New Roman"/>
                <w:kern w:val="0"/>
                <w:szCs w:val="20"/>
              </w:rPr>
              <w:t>化学药品制剂制造</w:t>
            </w:r>
          </w:p>
        </w:tc>
      </w:tr>
      <w:tr w14:paraId="43E22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04407702">
            <w:pPr>
              <w:pStyle w:val="445"/>
              <w:rPr>
                <w:rFonts w:cs="Times New Roman"/>
                <w:kern w:val="0"/>
                <w:szCs w:val="20"/>
              </w:rPr>
            </w:pPr>
          </w:p>
        </w:tc>
        <w:tc>
          <w:tcPr>
            <w:tcW w:w="2256" w:type="dxa"/>
            <w:vMerge w:val="continue"/>
            <w:vAlign w:val="center"/>
          </w:tcPr>
          <w:p w14:paraId="382245FE">
            <w:pPr>
              <w:pStyle w:val="445"/>
              <w:rPr>
                <w:rFonts w:cs="Times New Roman"/>
                <w:kern w:val="0"/>
                <w:szCs w:val="20"/>
              </w:rPr>
            </w:pPr>
          </w:p>
        </w:tc>
        <w:tc>
          <w:tcPr>
            <w:tcW w:w="2257" w:type="dxa"/>
            <w:vMerge w:val="continue"/>
            <w:vAlign w:val="center"/>
          </w:tcPr>
          <w:p w14:paraId="15E3F8F1">
            <w:pPr>
              <w:pStyle w:val="445"/>
              <w:rPr>
                <w:rFonts w:cs="Times New Roman"/>
                <w:kern w:val="0"/>
                <w:szCs w:val="20"/>
              </w:rPr>
            </w:pPr>
          </w:p>
        </w:tc>
        <w:tc>
          <w:tcPr>
            <w:tcW w:w="2257" w:type="dxa"/>
            <w:vAlign w:val="center"/>
          </w:tcPr>
          <w:p w14:paraId="65D1FCF5">
            <w:pPr>
              <w:pStyle w:val="445"/>
              <w:rPr>
                <w:rFonts w:cs="Times New Roman"/>
                <w:kern w:val="0"/>
                <w:szCs w:val="20"/>
              </w:rPr>
            </w:pPr>
            <w:r>
              <w:rPr>
                <w:rFonts w:hint="eastAsia" w:cs="Times New Roman"/>
                <w:kern w:val="0"/>
                <w:szCs w:val="20"/>
              </w:rPr>
              <w:t>C273</w:t>
            </w:r>
            <w:r>
              <w:rPr>
                <w:rFonts w:cs="Times New Roman"/>
                <w:kern w:val="0"/>
                <w:szCs w:val="20"/>
              </w:rPr>
              <w:t>中药饮片加工</w:t>
            </w:r>
          </w:p>
        </w:tc>
      </w:tr>
      <w:tr w14:paraId="32DB2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511B549">
            <w:pPr>
              <w:pStyle w:val="445"/>
              <w:rPr>
                <w:rFonts w:cs="Times New Roman"/>
                <w:kern w:val="0"/>
                <w:szCs w:val="20"/>
              </w:rPr>
            </w:pPr>
          </w:p>
        </w:tc>
        <w:tc>
          <w:tcPr>
            <w:tcW w:w="2256" w:type="dxa"/>
            <w:vMerge w:val="continue"/>
            <w:vAlign w:val="center"/>
          </w:tcPr>
          <w:p w14:paraId="236496AD">
            <w:pPr>
              <w:pStyle w:val="445"/>
              <w:rPr>
                <w:rFonts w:cs="Times New Roman"/>
                <w:kern w:val="0"/>
                <w:szCs w:val="20"/>
              </w:rPr>
            </w:pPr>
          </w:p>
        </w:tc>
        <w:tc>
          <w:tcPr>
            <w:tcW w:w="2257" w:type="dxa"/>
            <w:vMerge w:val="continue"/>
            <w:vAlign w:val="center"/>
          </w:tcPr>
          <w:p w14:paraId="64F52690">
            <w:pPr>
              <w:pStyle w:val="445"/>
              <w:rPr>
                <w:rFonts w:cs="Times New Roman"/>
                <w:kern w:val="0"/>
                <w:szCs w:val="20"/>
              </w:rPr>
            </w:pPr>
          </w:p>
        </w:tc>
        <w:tc>
          <w:tcPr>
            <w:tcW w:w="2257" w:type="dxa"/>
            <w:vAlign w:val="center"/>
          </w:tcPr>
          <w:p w14:paraId="2BD5599A">
            <w:pPr>
              <w:pStyle w:val="445"/>
              <w:rPr>
                <w:rFonts w:cs="Times New Roman"/>
                <w:kern w:val="0"/>
                <w:szCs w:val="20"/>
              </w:rPr>
            </w:pPr>
            <w:r>
              <w:rPr>
                <w:rFonts w:hint="eastAsia" w:cs="Times New Roman"/>
                <w:kern w:val="0"/>
                <w:szCs w:val="20"/>
              </w:rPr>
              <w:t>C274</w:t>
            </w:r>
            <w:r>
              <w:rPr>
                <w:rFonts w:cs="Times New Roman"/>
                <w:kern w:val="0"/>
                <w:szCs w:val="20"/>
              </w:rPr>
              <w:t>中成药生产</w:t>
            </w:r>
          </w:p>
        </w:tc>
      </w:tr>
      <w:tr w14:paraId="7BA39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BDB2187">
            <w:pPr>
              <w:pStyle w:val="445"/>
              <w:rPr>
                <w:rFonts w:cs="Times New Roman"/>
                <w:kern w:val="0"/>
                <w:szCs w:val="20"/>
              </w:rPr>
            </w:pPr>
          </w:p>
        </w:tc>
        <w:tc>
          <w:tcPr>
            <w:tcW w:w="2256" w:type="dxa"/>
            <w:vMerge w:val="continue"/>
            <w:vAlign w:val="center"/>
          </w:tcPr>
          <w:p w14:paraId="40A2000D">
            <w:pPr>
              <w:pStyle w:val="445"/>
              <w:rPr>
                <w:rFonts w:cs="Times New Roman"/>
                <w:kern w:val="0"/>
                <w:szCs w:val="20"/>
              </w:rPr>
            </w:pPr>
          </w:p>
        </w:tc>
        <w:tc>
          <w:tcPr>
            <w:tcW w:w="2257" w:type="dxa"/>
            <w:vMerge w:val="continue"/>
            <w:vAlign w:val="center"/>
          </w:tcPr>
          <w:p w14:paraId="21E8BB8E">
            <w:pPr>
              <w:pStyle w:val="445"/>
              <w:rPr>
                <w:rFonts w:cs="Times New Roman"/>
                <w:kern w:val="0"/>
                <w:szCs w:val="20"/>
              </w:rPr>
            </w:pPr>
          </w:p>
        </w:tc>
        <w:tc>
          <w:tcPr>
            <w:tcW w:w="2257" w:type="dxa"/>
            <w:vAlign w:val="center"/>
          </w:tcPr>
          <w:p w14:paraId="786FFF57">
            <w:pPr>
              <w:pStyle w:val="445"/>
              <w:rPr>
                <w:rFonts w:cs="Times New Roman"/>
                <w:kern w:val="0"/>
                <w:szCs w:val="20"/>
              </w:rPr>
            </w:pPr>
            <w:r>
              <w:rPr>
                <w:rFonts w:hint="eastAsia" w:cs="Times New Roman"/>
                <w:kern w:val="0"/>
                <w:szCs w:val="20"/>
              </w:rPr>
              <w:t>C275 兽用药品制造</w:t>
            </w:r>
          </w:p>
        </w:tc>
      </w:tr>
      <w:tr w14:paraId="52D6CE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4D8E9C89">
            <w:pPr>
              <w:pStyle w:val="445"/>
              <w:rPr>
                <w:rFonts w:cs="Times New Roman"/>
                <w:kern w:val="0"/>
                <w:szCs w:val="20"/>
              </w:rPr>
            </w:pPr>
          </w:p>
        </w:tc>
        <w:tc>
          <w:tcPr>
            <w:tcW w:w="2256" w:type="dxa"/>
            <w:vMerge w:val="continue"/>
            <w:vAlign w:val="center"/>
          </w:tcPr>
          <w:p w14:paraId="73180750">
            <w:pPr>
              <w:pStyle w:val="445"/>
              <w:rPr>
                <w:rFonts w:cs="Times New Roman"/>
                <w:kern w:val="0"/>
                <w:szCs w:val="20"/>
              </w:rPr>
            </w:pPr>
          </w:p>
        </w:tc>
        <w:tc>
          <w:tcPr>
            <w:tcW w:w="2257" w:type="dxa"/>
            <w:vMerge w:val="continue"/>
            <w:vAlign w:val="center"/>
          </w:tcPr>
          <w:p w14:paraId="7BDD7634">
            <w:pPr>
              <w:pStyle w:val="445"/>
              <w:rPr>
                <w:rFonts w:cs="Times New Roman"/>
                <w:kern w:val="0"/>
                <w:szCs w:val="20"/>
              </w:rPr>
            </w:pPr>
          </w:p>
        </w:tc>
        <w:tc>
          <w:tcPr>
            <w:tcW w:w="2257" w:type="dxa"/>
            <w:vAlign w:val="center"/>
          </w:tcPr>
          <w:p w14:paraId="7A0CA9B0">
            <w:pPr>
              <w:pStyle w:val="445"/>
              <w:rPr>
                <w:rFonts w:cs="Times New Roman"/>
                <w:kern w:val="0"/>
                <w:szCs w:val="20"/>
              </w:rPr>
            </w:pPr>
            <w:r>
              <w:rPr>
                <w:rFonts w:hint="eastAsia" w:cs="Times New Roman"/>
                <w:kern w:val="0"/>
                <w:szCs w:val="20"/>
              </w:rPr>
              <w:t>C276 生物药品制品制造</w:t>
            </w:r>
          </w:p>
        </w:tc>
      </w:tr>
      <w:tr w14:paraId="154B70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69C49533">
            <w:pPr>
              <w:pStyle w:val="445"/>
              <w:rPr>
                <w:rFonts w:cs="Times New Roman"/>
                <w:kern w:val="0"/>
                <w:szCs w:val="20"/>
              </w:rPr>
            </w:pPr>
          </w:p>
        </w:tc>
        <w:tc>
          <w:tcPr>
            <w:tcW w:w="2256" w:type="dxa"/>
            <w:vMerge w:val="continue"/>
            <w:vAlign w:val="center"/>
          </w:tcPr>
          <w:p w14:paraId="359CBFD0">
            <w:pPr>
              <w:pStyle w:val="445"/>
              <w:rPr>
                <w:rFonts w:cs="Times New Roman"/>
                <w:kern w:val="0"/>
                <w:szCs w:val="20"/>
              </w:rPr>
            </w:pPr>
          </w:p>
        </w:tc>
        <w:tc>
          <w:tcPr>
            <w:tcW w:w="2257" w:type="dxa"/>
            <w:vMerge w:val="continue"/>
            <w:vAlign w:val="center"/>
          </w:tcPr>
          <w:p w14:paraId="597752D2">
            <w:pPr>
              <w:pStyle w:val="445"/>
              <w:rPr>
                <w:rFonts w:cs="Times New Roman"/>
                <w:kern w:val="0"/>
                <w:szCs w:val="20"/>
              </w:rPr>
            </w:pPr>
          </w:p>
        </w:tc>
        <w:tc>
          <w:tcPr>
            <w:tcW w:w="2257" w:type="dxa"/>
            <w:vAlign w:val="center"/>
          </w:tcPr>
          <w:p w14:paraId="51B12E56">
            <w:pPr>
              <w:pStyle w:val="445"/>
              <w:rPr>
                <w:rFonts w:cs="Times New Roman"/>
                <w:kern w:val="0"/>
                <w:szCs w:val="20"/>
              </w:rPr>
            </w:pPr>
            <w:r>
              <w:rPr>
                <w:rFonts w:hint="eastAsia" w:cs="Times New Roman"/>
                <w:kern w:val="0"/>
                <w:szCs w:val="20"/>
              </w:rPr>
              <w:t>C277 卫生材料及医药用品制造</w:t>
            </w:r>
          </w:p>
        </w:tc>
      </w:tr>
      <w:tr w14:paraId="05B35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77F726E4">
            <w:pPr>
              <w:pStyle w:val="445"/>
              <w:rPr>
                <w:rFonts w:cs="Times New Roman"/>
                <w:kern w:val="0"/>
                <w:szCs w:val="20"/>
              </w:rPr>
            </w:pPr>
          </w:p>
        </w:tc>
        <w:tc>
          <w:tcPr>
            <w:tcW w:w="2256" w:type="dxa"/>
            <w:vMerge w:val="continue"/>
            <w:vAlign w:val="center"/>
          </w:tcPr>
          <w:p w14:paraId="5F9BF5F5">
            <w:pPr>
              <w:pStyle w:val="445"/>
              <w:rPr>
                <w:rFonts w:cs="Times New Roman"/>
                <w:kern w:val="0"/>
                <w:szCs w:val="20"/>
              </w:rPr>
            </w:pPr>
          </w:p>
        </w:tc>
        <w:tc>
          <w:tcPr>
            <w:tcW w:w="2257" w:type="dxa"/>
            <w:vMerge w:val="continue"/>
            <w:vAlign w:val="center"/>
          </w:tcPr>
          <w:p w14:paraId="7D379F07">
            <w:pPr>
              <w:pStyle w:val="445"/>
              <w:rPr>
                <w:rFonts w:cs="Times New Roman"/>
                <w:kern w:val="0"/>
                <w:szCs w:val="20"/>
              </w:rPr>
            </w:pPr>
          </w:p>
        </w:tc>
        <w:tc>
          <w:tcPr>
            <w:tcW w:w="2257" w:type="dxa"/>
            <w:vAlign w:val="center"/>
          </w:tcPr>
          <w:p w14:paraId="59DCC661">
            <w:pPr>
              <w:pStyle w:val="445"/>
              <w:rPr>
                <w:rFonts w:cs="Times New Roman"/>
                <w:kern w:val="0"/>
                <w:szCs w:val="20"/>
              </w:rPr>
            </w:pPr>
            <w:r>
              <w:rPr>
                <w:rFonts w:hint="eastAsia" w:cs="Times New Roman"/>
                <w:kern w:val="0"/>
                <w:szCs w:val="20"/>
              </w:rPr>
              <w:t>C278 药用辅料及包装材料</w:t>
            </w:r>
          </w:p>
        </w:tc>
      </w:tr>
      <w:tr w14:paraId="50338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DA62BD0">
            <w:pPr>
              <w:pStyle w:val="445"/>
              <w:rPr>
                <w:rFonts w:cs="Times New Roman"/>
                <w:kern w:val="0"/>
                <w:szCs w:val="20"/>
              </w:rPr>
            </w:pPr>
          </w:p>
        </w:tc>
        <w:tc>
          <w:tcPr>
            <w:tcW w:w="2256" w:type="dxa"/>
            <w:vMerge w:val="restart"/>
            <w:vAlign w:val="center"/>
          </w:tcPr>
          <w:p w14:paraId="0AEB8948">
            <w:pPr>
              <w:pStyle w:val="445"/>
              <w:rPr>
                <w:rFonts w:cs="Times New Roman"/>
                <w:kern w:val="0"/>
                <w:szCs w:val="20"/>
              </w:rPr>
            </w:pPr>
            <w:r>
              <w:rPr>
                <w:rFonts w:hint="eastAsia" w:cs="Times New Roman"/>
                <w:kern w:val="0"/>
                <w:szCs w:val="20"/>
              </w:rPr>
              <w:t>精细化工</w:t>
            </w:r>
          </w:p>
        </w:tc>
        <w:tc>
          <w:tcPr>
            <w:tcW w:w="2257" w:type="dxa"/>
            <w:vMerge w:val="restart"/>
            <w:vAlign w:val="center"/>
          </w:tcPr>
          <w:p w14:paraId="08FE43E9">
            <w:pPr>
              <w:pStyle w:val="445"/>
              <w:rPr>
                <w:rFonts w:cs="Times New Roman"/>
                <w:kern w:val="0"/>
                <w:szCs w:val="20"/>
              </w:rPr>
            </w:pPr>
            <w:r>
              <w:rPr>
                <w:rFonts w:hint="eastAsia" w:cs="Times New Roman"/>
                <w:kern w:val="0"/>
                <w:szCs w:val="20"/>
              </w:rPr>
              <w:t>C261基础化学原料制造</w:t>
            </w:r>
          </w:p>
        </w:tc>
        <w:tc>
          <w:tcPr>
            <w:tcW w:w="2257" w:type="dxa"/>
            <w:vAlign w:val="center"/>
          </w:tcPr>
          <w:p w14:paraId="1D7FF054">
            <w:pPr>
              <w:pStyle w:val="445"/>
              <w:rPr>
                <w:rFonts w:cs="Times New Roman"/>
                <w:kern w:val="0"/>
                <w:szCs w:val="20"/>
              </w:rPr>
            </w:pPr>
            <w:r>
              <w:rPr>
                <w:rFonts w:hint="eastAsia" w:cs="Times New Roman"/>
                <w:kern w:val="0"/>
                <w:szCs w:val="20"/>
              </w:rPr>
              <w:t>C2614 有机化学原料制造</w:t>
            </w:r>
          </w:p>
        </w:tc>
      </w:tr>
      <w:tr w14:paraId="752A6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72DA7F3">
            <w:pPr>
              <w:pStyle w:val="445"/>
              <w:rPr>
                <w:rFonts w:cs="Times New Roman"/>
                <w:kern w:val="0"/>
                <w:szCs w:val="20"/>
              </w:rPr>
            </w:pPr>
          </w:p>
        </w:tc>
        <w:tc>
          <w:tcPr>
            <w:tcW w:w="2256" w:type="dxa"/>
            <w:vMerge w:val="continue"/>
            <w:vAlign w:val="center"/>
          </w:tcPr>
          <w:p w14:paraId="1D90E275">
            <w:pPr>
              <w:pStyle w:val="445"/>
              <w:rPr>
                <w:rFonts w:cs="Times New Roman"/>
                <w:kern w:val="0"/>
                <w:szCs w:val="20"/>
              </w:rPr>
            </w:pPr>
          </w:p>
        </w:tc>
        <w:tc>
          <w:tcPr>
            <w:tcW w:w="2257" w:type="dxa"/>
            <w:vMerge w:val="continue"/>
            <w:vAlign w:val="center"/>
          </w:tcPr>
          <w:p w14:paraId="5A4C596D">
            <w:pPr>
              <w:pStyle w:val="445"/>
              <w:rPr>
                <w:rFonts w:cs="Times New Roman"/>
                <w:kern w:val="0"/>
                <w:szCs w:val="20"/>
              </w:rPr>
            </w:pPr>
          </w:p>
        </w:tc>
        <w:tc>
          <w:tcPr>
            <w:tcW w:w="2257" w:type="dxa"/>
            <w:vAlign w:val="center"/>
          </w:tcPr>
          <w:p w14:paraId="3E0F89E8">
            <w:pPr>
              <w:pStyle w:val="445"/>
              <w:rPr>
                <w:rFonts w:cs="Times New Roman"/>
                <w:kern w:val="0"/>
                <w:szCs w:val="20"/>
              </w:rPr>
            </w:pPr>
            <w:r>
              <w:rPr>
                <w:rFonts w:hint="eastAsia" w:cs="Times New Roman"/>
                <w:kern w:val="0"/>
                <w:szCs w:val="20"/>
              </w:rPr>
              <w:t>C2619 其它基础化学原料制造</w:t>
            </w:r>
          </w:p>
        </w:tc>
      </w:tr>
      <w:tr w14:paraId="4093D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96D528D">
            <w:pPr>
              <w:pStyle w:val="445"/>
              <w:rPr>
                <w:rFonts w:cs="Times New Roman"/>
                <w:kern w:val="0"/>
                <w:szCs w:val="20"/>
              </w:rPr>
            </w:pPr>
          </w:p>
        </w:tc>
        <w:tc>
          <w:tcPr>
            <w:tcW w:w="2256" w:type="dxa"/>
            <w:vMerge w:val="continue"/>
            <w:vAlign w:val="center"/>
          </w:tcPr>
          <w:p w14:paraId="5204CA61">
            <w:pPr>
              <w:pStyle w:val="445"/>
              <w:rPr>
                <w:rFonts w:cs="Times New Roman"/>
                <w:kern w:val="0"/>
                <w:szCs w:val="20"/>
              </w:rPr>
            </w:pPr>
          </w:p>
        </w:tc>
        <w:tc>
          <w:tcPr>
            <w:tcW w:w="2257" w:type="dxa"/>
            <w:vMerge w:val="restart"/>
            <w:vAlign w:val="center"/>
          </w:tcPr>
          <w:p w14:paraId="1CD4DF4E">
            <w:pPr>
              <w:pStyle w:val="445"/>
              <w:rPr>
                <w:rFonts w:cs="Times New Roman"/>
                <w:kern w:val="0"/>
                <w:szCs w:val="20"/>
              </w:rPr>
            </w:pPr>
            <w:r>
              <w:rPr>
                <w:rFonts w:hint="eastAsia" w:cs="Times New Roman"/>
                <w:kern w:val="0"/>
                <w:szCs w:val="20"/>
              </w:rPr>
              <w:t>C262 肥料制造</w:t>
            </w:r>
          </w:p>
        </w:tc>
        <w:tc>
          <w:tcPr>
            <w:tcW w:w="2257" w:type="dxa"/>
            <w:vAlign w:val="center"/>
          </w:tcPr>
          <w:p w14:paraId="2D8774AD">
            <w:pPr>
              <w:pStyle w:val="445"/>
              <w:rPr>
                <w:rFonts w:cs="Times New Roman"/>
                <w:kern w:val="0"/>
                <w:szCs w:val="20"/>
              </w:rPr>
            </w:pPr>
            <w:r>
              <w:rPr>
                <w:rFonts w:hint="eastAsia" w:cs="Times New Roman"/>
                <w:kern w:val="0"/>
                <w:szCs w:val="20"/>
              </w:rPr>
              <w:t>C2624 复混肥料制造</w:t>
            </w:r>
          </w:p>
        </w:tc>
      </w:tr>
      <w:tr w14:paraId="3075B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CD9D10B">
            <w:pPr>
              <w:pStyle w:val="445"/>
              <w:rPr>
                <w:rFonts w:cs="Times New Roman"/>
                <w:kern w:val="0"/>
                <w:szCs w:val="20"/>
              </w:rPr>
            </w:pPr>
          </w:p>
        </w:tc>
        <w:tc>
          <w:tcPr>
            <w:tcW w:w="2256" w:type="dxa"/>
            <w:vMerge w:val="continue"/>
            <w:vAlign w:val="center"/>
          </w:tcPr>
          <w:p w14:paraId="0B357395">
            <w:pPr>
              <w:pStyle w:val="445"/>
              <w:rPr>
                <w:rFonts w:cs="Times New Roman"/>
                <w:kern w:val="0"/>
                <w:szCs w:val="20"/>
              </w:rPr>
            </w:pPr>
          </w:p>
        </w:tc>
        <w:tc>
          <w:tcPr>
            <w:tcW w:w="2257" w:type="dxa"/>
            <w:vMerge w:val="continue"/>
            <w:vAlign w:val="center"/>
          </w:tcPr>
          <w:p w14:paraId="1C9FD3C7">
            <w:pPr>
              <w:pStyle w:val="445"/>
              <w:rPr>
                <w:rFonts w:cs="Times New Roman"/>
                <w:kern w:val="0"/>
                <w:szCs w:val="20"/>
              </w:rPr>
            </w:pPr>
          </w:p>
        </w:tc>
        <w:tc>
          <w:tcPr>
            <w:tcW w:w="2257" w:type="dxa"/>
            <w:vAlign w:val="center"/>
          </w:tcPr>
          <w:p w14:paraId="3A8C390F">
            <w:pPr>
              <w:pStyle w:val="445"/>
              <w:rPr>
                <w:rFonts w:cs="Times New Roman"/>
                <w:kern w:val="0"/>
                <w:szCs w:val="20"/>
              </w:rPr>
            </w:pPr>
            <w:r>
              <w:rPr>
                <w:rFonts w:hint="eastAsia" w:cs="Times New Roman"/>
                <w:kern w:val="0"/>
                <w:szCs w:val="20"/>
              </w:rPr>
              <w:t>C2625 有机肥料及微生物肥料制造</w:t>
            </w:r>
          </w:p>
        </w:tc>
      </w:tr>
      <w:tr w14:paraId="430CF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4E91F5D">
            <w:pPr>
              <w:pStyle w:val="445"/>
              <w:rPr>
                <w:rFonts w:cs="Times New Roman"/>
                <w:kern w:val="0"/>
                <w:szCs w:val="20"/>
              </w:rPr>
            </w:pPr>
          </w:p>
        </w:tc>
        <w:tc>
          <w:tcPr>
            <w:tcW w:w="2256" w:type="dxa"/>
            <w:vMerge w:val="continue"/>
            <w:vAlign w:val="center"/>
          </w:tcPr>
          <w:p w14:paraId="1E64E6B6">
            <w:pPr>
              <w:pStyle w:val="445"/>
              <w:rPr>
                <w:rFonts w:cs="Times New Roman"/>
                <w:kern w:val="0"/>
                <w:szCs w:val="20"/>
              </w:rPr>
            </w:pPr>
          </w:p>
        </w:tc>
        <w:tc>
          <w:tcPr>
            <w:tcW w:w="2257" w:type="dxa"/>
            <w:vMerge w:val="continue"/>
            <w:vAlign w:val="center"/>
          </w:tcPr>
          <w:p w14:paraId="1FF3A93D">
            <w:pPr>
              <w:pStyle w:val="445"/>
              <w:rPr>
                <w:rFonts w:cs="Times New Roman"/>
                <w:kern w:val="0"/>
                <w:szCs w:val="20"/>
              </w:rPr>
            </w:pPr>
          </w:p>
        </w:tc>
        <w:tc>
          <w:tcPr>
            <w:tcW w:w="2257" w:type="dxa"/>
            <w:vAlign w:val="center"/>
          </w:tcPr>
          <w:p w14:paraId="61B049D2">
            <w:pPr>
              <w:pStyle w:val="445"/>
              <w:rPr>
                <w:rFonts w:cs="Times New Roman"/>
                <w:kern w:val="0"/>
                <w:szCs w:val="20"/>
              </w:rPr>
            </w:pPr>
            <w:r>
              <w:rPr>
                <w:rFonts w:hint="eastAsia" w:cs="Times New Roman"/>
                <w:kern w:val="0"/>
                <w:szCs w:val="20"/>
              </w:rPr>
              <w:t>C2629 其它肥料制造</w:t>
            </w:r>
          </w:p>
        </w:tc>
      </w:tr>
      <w:tr w14:paraId="77E57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D95B587">
            <w:pPr>
              <w:pStyle w:val="445"/>
              <w:rPr>
                <w:rFonts w:cs="Times New Roman"/>
                <w:kern w:val="0"/>
                <w:szCs w:val="20"/>
              </w:rPr>
            </w:pPr>
          </w:p>
        </w:tc>
        <w:tc>
          <w:tcPr>
            <w:tcW w:w="2256" w:type="dxa"/>
            <w:vMerge w:val="continue"/>
            <w:vAlign w:val="center"/>
          </w:tcPr>
          <w:p w14:paraId="6361CC70">
            <w:pPr>
              <w:pStyle w:val="445"/>
              <w:rPr>
                <w:rFonts w:cs="Times New Roman"/>
                <w:kern w:val="0"/>
                <w:szCs w:val="20"/>
              </w:rPr>
            </w:pPr>
          </w:p>
        </w:tc>
        <w:tc>
          <w:tcPr>
            <w:tcW w:w="2257" w:type="dxa"/>
            <w:vAlign w:val="center"/>
          </w:tcPr>
          <w:p w14:paraId="39ECE112">
            <w:pPr>
              <w:pStyle w:val="445"/>
              <w:rPr>
                <w:rFonts w:cs="Times New Roman"/>
                <w:kern w:val="0"/>
                <w:szCs w:val="20"/>
              </w:rPr>
            </w:pPr>
            <w:r>
              <w:rPr>
                <w:rFonts w:hint="eastAsia" w:cs="Times New Roman"/>
                <w:kern w:val="0"/>
                <w:szCs w:val="20"/>
              </w:rPr>
              <w:t>C263 农药制造</w:t>
            </w:r>
          </w:p>
        </w:tc>
        <w:tc>
          <w:tcPr>
            <w:tcW w:w="2257" w:type="dxa"/>
            <w:vAlign w:val="center"/>
          </w:tcPr>
          <w:p w14:paraId="4F833718">
            <w:pPr>
              <w:pStyle w:val="445"/>
              <w:rPr>
                <w:rFonts w:cs="Times New Roman"/>
                <w:kern w:val="0"/>
                <w:szCs w:val="20"/>
              </w:rPr>
            </w:pPr>
            <w:r>
              <w:rPr>
                <w:rFonts w:hint="eastAsia" w:cs="Times New Roman"/>
                <w:kern w:val="0"/>
                <w:szCs w:val="20"/>
              </w:rPr>
              <w:t>C2631 化学农药制造</w:t>
            </w:r>
          </w:p>
        </w:tc>
      </w:tr>
      <w:tr w14:paraId="058AF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D8C24F6">
            <w:pPr>
              <w:pStyle w:val="445"/>
              <w:rPr>
                <w:rFonts w:cs="Times New Roman"/>
                <w:kern w:val="0"/>
                <w:szCs w:val="20"/>
              </w:rPr>
            </w:pPr>
          </w:p>
        </w:tc>
        <w:tc>
          <w:tcPr>
            <w:tcW w:w="2256" w:type="dxa"/>
            <w:vMerge w:val="continue"/>
            <w:vAlign w:val="center"/>
          </w:tcPr>
          <w:p w14:paraId="7472ACB5">
            <w:pPr>
              <w:pStyle w:val="445"/>
              <w:rPr>
                <w:rFonts w:cs="Times New Roman"/>
                <w:kern w:val="0"/>
                <w:szCs w:val="20"/>
              </w:rPr>
            </w:pPr>
          </w:p>
        </w:tc>
        <w:tc>
          <w:tcPr>
            <w:tcW w:w="2257" w:type="dxa"/>
            <w:vMerge w:val="restart"/>
            <w:vAlign w:val="center"/>
          </w:tcPr>
          <w:p w14:paraId="6E58968F">
            <w:pPr>
              <w:pStyle w:val="445"/>
              <w:rPr>
                <w:rFonts w:cs="Times New Roman"/>
                <w:kern w:val="0"/>
                <w:szCs w:val="20"/>
              </w:rPr>
            </w:pPr>
            <w:r>
              <w:rPr>
                <w:rFonts w:hint="eastAsia" w:cs="Times New Roman"/>
                <w:kern w:val="0"/>
                <w:szCs w:val="20"/>
              </w:rPr>
              <w:t>C264 涂料、油墨、颜料及类似产品制造</w:t>
            </w:r>
          </w:p>
        </w:tc>
        <w:tc>
          <w:tcPr>
            <w:tcW w:w="2257" w:type="dxa"/>
            <w:vAlign w:val="center"/>
          </w:tcPr>
          <w:p w14:paraId="5794E110">
            <w:pPr>
              <w:pStyle w:val="445"/>
              <w:rPr>
                <w:rFonts w:cs="Times New Roman"/>
                <w:kern w:val="0"/>
                <w:szCs w:val="20"/>
              </w:rPr>
            </w:pPr>
            <w:r>
              <w:rPr>
                <w:rFonts w:hint="eastAsia" w:cs="Times New Roman"/>
                <w:kern w:val="0"/>
                <w:szCs w:val="20"/>
              </w:rPr>
              <w:t>C2641 涂料制造</w:t>
            </w:r>
          </w:p>
        </w:tc>
      </w:tr>
      <w:tr w14:paraId="07540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475217A2">
            <w:pPr>
              <w:pStyle w:val="445"/>
              <w:rPr>
                <w:rFonts w:cs="Times New Roman"/>
                <w:kern w:val="0"/>
                <w:szCs w:val="20"/>
              </w:rPr>
            </w:pPr>
          </w:p>
        </w:tc>
        <w:tc>
          <w:tcPr>
            <w:tcW w:w="2256" w:type="dxa"/>
            <w:vMerge w:val="continue"/>
            <w:vAlign w:val="center"/>
          </w:tcPr>
          <w:p w14:paraId="33616ECE">
            <w:pPr>
              <w:pStyle w:val="445"/>
              <w:rPr>
                <w:rFonts w:cs="Times New Roman"/>
                <w:kern w:val="0"/>
                <w:szCs w:val="20"/>
              </w:rPr>
            </w:pPr>
          </w:p>
        </w:tc>
        <w:tc>
          <w:tcPr>
            <w:tcW w:w="2257" w:type="dxa"/>
            <w:vMerge w:val="continue"/>
            <w:vAlign w:val="center"/>
          </w:tcPr>
          <w:p w14:paraId="3BE49D38">
            <w:pPr>
              <w:pStyle w:val="445"/>
              <w:rPr>
                <w:rFonts w:cs="Times New Roman"/>
                <w:kern w:val="0"/>
                <w:szCs w:val="20"/>
              </w:rPr>
            </w:pPr>
          </w:p>
        </w:tc>
        <w:tc>
          <w:tcPr>
            <w:tcW w:w="2257" w:type="dxa"/>
            <w:vAlign w:val="center"/>
          </w:tcPr>
          <w:p w14:paraId="4C7032A7">
            <w:pPr>
              <w:pStyle w:val="445"/>
              <w:rPr>
                <w:rFonts w:cs="Times New Roman"/>
                <w:kern w:val="0"/>
                <w:szCs w:val="20"/>
              </w:rPr>
            </w:pPr>
            <w:r>
              <w:rPr>
                <w:rFonts w:hint="eastAsia" w:cs="Times New Roman"/>
                <w:kern w:val="0"/>
                <w:szCs w:val="20"/>
              </w:rPr>
              <w:t>C2642 油墨及类似产品制造</w:t>
            </w:r>
          </w:p>
        </w:tc>
      </w:tr>
      <w:tr w14:paraId="57454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427F3FC">
            <w:pPr>
              <w:pStyle w:val="445"/>
              <w:rPr>
                <w:rFonts w:cs="Times New Roman"/>
                <w:kern w:val="0"/>
                <w:szCs w:val="20"/>
              </w:rPr>
            </w:pPr>
          </w:p>
        </w:tc>
        <w:tc>
          <w:tcPr>
            <w:tcW w:w="2256" w:type="dxa"/>
            <w:vMerge w:val="continue"/>
            <w:vAlign w:val="center"/>
          </w:tcPr>
          <w:p w14:paraId="1BC7E9B5">
            <w:pPr>
              <w:pStyle w:val="445"/>
              <w:rPr>
                <w:rFonts w:cs="Times New Roman"/>
                <w:kern w:val="0"/>
                <w:szCs w:val="20"/>
              </w:rPr>
            </w:pPr>
          </w:p>
        </w:tc>
        <w:tc>
          <w:tcPr>
            <w:tcW w:w="2257" w:type="dxa"/>
            <w:vMerge w:val="continue"/>
            <w:vAlign w:val="center"/>
          </w:tcPr>
          <w:p w14:paraId="5F5D9274">
            <w:pPr>
              <w:pStyle w:val="445"/>
              <w:rPr>
                <w:rFonts w:cs="Times New Roman"/>
                <w:kern w:val="0"/>
                <w:szCs w:val="20"/>
              </w:rPr>
            </w:pPr>
          </w:p>
        </w:tc>
        <w:tc>
          <w:tcPr>
            <w:tcW w:w="2257" w:type="dxa"/>
            <w:vAlign w:val="center"/>
          </w:tcPr>
          <w:p w14:paraId="23C853D8">
            <w:pPr>
              <w:pStyle w:val="445"/>
              <w:rPr>
                <w:rFonts w:cs="Times New Roman"/>
                <w:kern w:val="0"/>
                <w:szCs w:val="20"/>
              </w:rPr>
            </w:pPr>
            <w:r>
              <w:rPr>
                <w:rFonts w:hint="eastAsia" w:cs="Times New Roman"/>
                <w:kern w:val="0"/>
                <w:szCs w:val="20"/>
              </w:rPr>
              <w:t>C2643 工业颜料制造</w:t>
            </w:r>
          </w:p>
        </w:tc>
      </w:tr>
      <w:tr w14:paraId="1EFAB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074BA594">
            <w:pPr>
              <w:pStyle w:val="445"/>
              <w:rPr>
                <w:rFonts w:cs="Times New Roman"/>
                <w:kern w:val="0"/>
                <w:szCs w:val="20"/>
              </w:rPr>
            </w:pPr>
          </w:p>
        </w:tc>
        <w:tc>
          <w:tcPr>
            <w:tcW w:w="2256" w:type="dxa"/>
            <w:vMerge w:val="continue"/>
            <w:vAlign w:val="center"/>
          </w:tcPr>
          <w:p w14:paraId="7C1BCEF1">
            <w:pPr>
              <w:pStyle w:val="445"/>
              <w:rPr>
                <w:rFonts w:cs="Times New Roman"/>
                <w:kern w:val="0"/>
                <w:szCs w:val="20"/>
              </w:rPr>
            </w:pPr>
          </w:p>
        </w:tc>
        <w:tc>
          <w:tcPr>
            <w:tcW w:w="2257" w:type="dxa"/>
            <w:vMerge w:val="continue"/>
            <w:vAlign w:val="center"/>
          </w:tcPr>
          <w:p w14:paraId="51DEEBE3">
            <w:pPr>
              <w:pStyle w:val="445"/>
              <w:rPr>
                <w:rFonts w:cs="Times New Roman"/>
                <w:kern w:val="0"/>
                <w:szCs w:val="20"/>
              </w:rPr>
            </w:pPr>
          </w:p>
        </w:tc>
        <w:tc>
          <w:tcPr>
            <w:tcW w:w="2257" w:type="dxa"/>
            <w:vAlign w:val="center"/>
          </w:tcPr>
          <w:p w14:paraId="700C3283">
            <w:pPr>
              <w:pStyle w:val="445"/>
              <w:rPr>
                <w:rFonts w:cs="Times New Roman"/>
                <w:kern w:val="0"/>
                <w:szCs w:val="20"/>
              </w:rPr>
            </w:pPr>
            <w:r>
              <w:rPr>
                <w:rFonts w:hint="eastAsia" w:cs="Times New Roman"/>
                <w:kern w:val="0"/>
                <w:szCs w:val="20"/>
              </w:rPr>
              <w:t>C2645 染料制造</w:t>
            </w:r>
          </w:p>
        </w:tc>
      </w:tr>
      <w:tr w14:paraId="0BCC1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F5818D5">
            <w:pPr>
              <w:pStyle w:val="445"/>
              <w:rPr>
                <w:rFonts w:cs="Times New Roman"/>
                <w:kern w:val="0"/>
                <w:szCs w:val="20"/>
              </w:rPr>
            </w:pPr>
          </w:p>
        </w:tc>
        <w:tc>
          <w:tcPr>
            <w:tcW w:w="2256" w:type="dxa"/>
            <w:vMerge w:val="continue"/>
            <w:vAlign w:val="center"/>
          </w:tcPr>
          <w:p w14:paraId="31BD6817">
            <w:pPr>
              <w:pStyle w:val="445"/>
              <w:rPr>
                <w:rFonts w:cs="Times New Roman"/>
                <w:kern w:val="0"/>
                <w:szCs w:val="20"/>
              </w:rPr>
            </w:pPr>
          </w:p>
        </w:tc>
        <w:tc>
          <w:tcPr>
            <w:tcW w:w="2257" w:type="dxa"/>
            <w:vMerge w:val="restart"/>
            <w:vAlign w:val="center"/>
          </w:tcPr>
          <w:p w14:paraId="4A4F037C">
            <w:pPr>
              <w:pStyle w:val="445"/>
              <w:rPr>
                <w:rFonts w:cs="Times New Roman"/>
                <w:kern w:val="0"/>
                <w:szCs w:val="20"/>
              </w:rPr>
            </w:pPr>
            <w:r>
              <w:rPr>
                <w:rFonts w:hint="eastAsia" w:cs="Times New Roman"/>
                <w:kern w:val="0"/>
                <w:szCs w:val="20"/>
              </w:rPr>
              <w:t>C265 合成材料制造</w:t>
            </w:r>
          </w:p>
        </w:tc>
        <w:tc>
          <w:tcPr>
            <w:tcW w:w="2257" w:type="dxa"/>
            <w:vAlign w:val="center"/>
          </w:tcPr>
          <w:p w14:paraId="544590AD">
            <w:pPr>
              <w:pStyle w:val="445"/>
              <w:rPr>
                <w:rFonts w:cs="Times New Roman"/>
                <w:kern w:val="0"/>
                <w:szCs w:val="20"/>
              </w:rPr>
            </w:pPr>
            <w:r>
              <w:rPr>
                <w:rFonts w:hint="eastAsia" w:cs="Times New Roman"/>
                <w:kern w:val="0"/>
                <w:szCs w:val="20"/>
              </w:rPr>
              <w:t>C2651 初级形态塑料及合成树脂制造</w:t>
            </w:r>
          </w:p>
        </w:tc>
      </w:tr>
      <w:tr w14:paraId="3537B6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048EA9B">
            <w:pPr>
              <w:pStyle w:val="445"/>
              <w:rPr>
                <w:rFonts w:cs="Times New Roman"/>
                <w:kern w:val="0"/>
                <w:szCs w:val="20"/>
              </w:rPr>
            </w:pPr>
          </w:p>
        </w:tc>
        <w:tc>
          <w:tcPr>
            <w:tcW w:w="2256" w:type="dxa"/>
            <w:vMerge w:val="continue"/>
            <w:vAlign w:val="center"/>
          </w:tcPr>
          <w:p w14:paraId="785D1A91">
            <w:pPr>
              <w:pStyle w:val="445"/>
              <w:rPr>
                <w:rFonts w:cs="Times New Roman"/>
                <w:kern w:val="0"/>
                <w:szCs w:val="20"/>
              </w:rPr>
            </w:pPr>
          </w:p>
        </w:tc>
        <w:tc>
          <w:tcPr>
            <w:tcW w:w="2257" w:type="dxa"/>
            <w:vMerge w:val="continue"/>
            <w:vAlign w:val="center"/>
          </w:tcPr>
          <w:p w14:paraId="26D119D9">
            <w:pPr>
              <w:pStyle w:val="445"/>
              <w:rPr>
                <w:rFonts w:cs="Times New Roman"/>
                <w:kern w:val="0"/>
                <w:szCs w:val="20"/>
              </w:rPr>
            </w:pPr>
          </w:p>
        </w:tc>
        <w:tc>
          <w:tcPr>
            <w:tcW w:w="2257" w:type="dxa"/>
            <w:vAlign w:val="center"/>
          </w:tcPr>
          <w:p w14:paraId="3ED96656">
            <w:pPr>
              <w:pStyle w:val="445"/>
              <w:rPr>
                <w:rFonts w:cs="Times New Roman"/>
                <w:kern w:val="0"/>
                <w:szCs w:val="20"/>
              </w:rPr>
            </w:pPr>
            <w:r>
              <w:rPr>
                <w:rFonts w:hint="eastAsia" w:cs="Times New Roman"/>
                <w:kern w:val="0"/>
                <w:szCs w:val="20"/>
              </w:rPr>
              <w:t>C2653 合成纤维单（聚合）体制造</w:t>
            </w:r>
          </w:p>
        </w:tc>
      </w:tr>
      <w:tr w14:paraId="3EE4C7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0B8B9E5">
            <w:pPr>
              <w:pStyle w:val="445"/>
              <w:rPr>
                <w:rFonts w:cs="Times New Roman"/>
                <w:kern w:val="0"/>
                <w:szCs w:val="20"/>
              </w:rPr>
            </w:pPr>
          </w:p>
        </w:tc>
        <w:tc>
          <w:tcPr>
            <w:tcW w:w="2256" w:type="dxa"/>
            <w:vMerge w:val="continue"/>
            <w:vAlign w:val="center"/>
          </w:tcPr>
          <w:p w14:paraId="19C02F1B">
            <w:pPr>
              <w:pStyle w:val="445"/>
              <w:rPr>
                <w:rFonts w:cs="Times New Roman"/>
                <w:kern w:val="0"/>
                <w:szCs w:val="20"/>
              </w:rPr>
            </w:pPr>
          </w:p>
        </w:tc>
        <w:tc>
          <w:tcPr>
            <w:tcW w:w="2257" w:type="dxa"/>
            <w:vMerge w:val="continue"/>
            <w:vAlign w:val="center"/>
          </w:tcPr>
          <w:p w14:paraId="7CDBD906">
            <w:pPr>
              <w:pStyle w:val="445"/>
              <w:rPr>
                <w:rFonts w:cs="Times New Roman"/>
                <w:kern w:val="0"/>
                <w:szCs w:val="20"/>
              </w:rPr>
            </w:pPr>
          </w:p>
        </w:tc>
        <w:tc>
          <w:tcPr>
            <w:tcW w:w="2257" w:type="dxa"/>
            <w:vAlign w:val="center"/>
          </w:tcPr>
          <w:p w14:paraId="1921C08E">
            <w:pPr>
              <w:pStyle w:val="445"/>
              <w:rPr>
                <w:rFonts w:cs="Times New Roman"/>
                <w:kern w:val="0"/>
                <w:szCs w:val="20"/>
              </w:rPr>
            </w:pPr>
            <w:r>
              <w:rPr>
                <w:rFonts w:hint="eastAsia" w:cs="Times New Roman"/>
                <w:kern w:val="0"/>
                <w:szCs w:val="20"/>
              </w:rPr>
              <w:t>C2659 其它合成材料制造</w:t>
            </w:r>
          </w:p>
        </w:tc>
      </w:tr>
      <w:tr w14:paraId="3D884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D7AED25">
            <w:pPr>
              <w:pStyle w:val="445"/>
              <w:rPr>
                <w:rFonts w:cs="Times New Roman"/>
                <w:kern w:val="0"/>
                <w:szCs w:val="20"/>
              </w:rPr>
            </w:pPr>
          </w:p>
        </w:tc>
        <w:tc>
          <w:tcPr>
            <w:tcW w:w="2256" w:type="dxa"/>
            <w:vMerge w:val="continue"/>
            <w:vAlign w:val="center"/>
          </w:tcPr>
          <w:p w14:paraId="2FE871EB">
            <w:pPr>
              <w:pStyle w:val="445"/>
              <w:rPr>
                <w:rFonts w:cs="Times New Roman"/>
                <w:kern w:val="0"/>
                <w:szCs w:val="20"/>
              </w:rPr>
            </w:pPr>
          </w:p>
        </w:tc>
        <w:tc>
          <w:tcPr>
            <w:tcW w:w="4514" w:type="dxa"/>
            <w:gridSpan w:val="2"/>
            <w:vAlign w:val="center"/>
          </w:tcPr>
          <w:p w14:paraId="24F09B73">
            <w:pPr>
              <w:pStyle w:val="445"/>
              <w:rPr>
                <w:rFonts w:cs="Times New Roman"/>
                <w:kern w:val="0"/>
                <w:szCs w:val="20"/>
              </w:rPr>
            </w:pPr>
            <w:r>
              <w:rPr>
                <w:rFonts w:hint="eastAsia" w:cs="Times New Roman"/>
                <w:kern w:val="0"/>
                <w:szCs w:val="20"/>
              </w:rPr>
              <w:t>C266 专用化学产品制造</w:t>
            </w:r>
          </w:p>
        </w:tc>
      </w:tr>
      <w:tr w14:paraId="7CDF6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74066F50">
            <w:pPr>
              <w:pStyle w:val="445"/>
              <w:rPr>
                <w:rFonts w:cs="Times New Roman"/>
                <w:kern w:val="0"/>
                <w:szCs w:val="20"/>
              </w:rPr>
            </w:pPr>
          </w:p>
        </w:tc>
        <w:tc>
          <w:tcPr>
            <w:tcW w:w="2256" w:type="dxa"/>
            <w:vMerge w:val="continue"/>
            <w:vAlign w:val="center"/>
          </w:tcPr>
          <w:p w14:paraId="35E93C2F">
            <w:pPr>
              <w:pStyle w:val="445"/>
              <w:rPr>
                <w:rFonts w:cs="Times New Roman"/>
                <w:kern w:val="0"/>
                <w:szCs w:val="20"/>
              </w:rPr>
            </w:pPr>
          </w:p>
        </w:tc>
        <w:tc>
          <w:tcPr>
            <w:tcW w:w="4514" w:type="dxa"/>
            <w:gridSpan w:val="2"/>
            <w:vAlign w:val="center"/>
          </w:tcPr>
          <w:p w14:paraId="2F4ECB70">
            <w:pPr>
              <w:pStyle w:val="445"/>
              <w:rPr>
                <w:rFonts w:cs="Times New Roman"/>
                <w:kern w:val="0"/>
                <w:szCs w:val="20"/>
              </w:rPr>
            </w:pPr>
            <w:r>
              <w:rPr>
                <w:rFonts w:hint="eastAsia" w:cs="Times New Roman"/>
                <w:kern w:val="0"/>
                <w:szCs w:val="20"/>
              </w:rPr>
              <w:t>C268 日用化学产品制造</w:t>
            </w:r>
          </w:p>
        </w:tc>
      </w:tr>
      <w:tr w14:paraId="7EE26E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CB3051A">
            <w:pPr>
              <w:pStyle w:val="445"/>
              <w:rPr>
                <w:rFonts w:cs="Times New Roman"/>
                <w:kern w:val="0"/>
                <w:szCs w:val="20"/>
              </w:rPr>
            </w:pPr>
          </w:p>
        </w:tc>
        <w:tc>
          <w:tcPr>
            <w:tcW w:w="2256" w:type="dxa"/>
            <w:vAlign w:val="center"/>
          </w:tcPr>
          <w:p w14:paraId="5AD793F4">
            <w:pPr>
              <w:pStyle w:val="445"/>
              <w:rPr>
                <w:rFonts w:cs="Times New Roman"/>
                <w:kern w:val="0"/>
                <w:szCs w:val="20"/>
              </w:rPr>
            </w:pPr>
            <w:r>
              <w:rPr>
                <w:rFonts w:hint="eastAsia" w:cs="Times New Roman"/>
                <w:kern w:val="0"/>
                <w:szCs w:val="20"/>
              </w:rPr>
              <w:t>电子化学</w:t>
            </w:r>
          </w:p>
        </w:tc>
        <w:tc>
          <w:tcPr>
            <w:tcW w:w="2257" w:type="dxa"/>
            <w:vAlign w:val="center"/>
          </w:tcPr>
          <w:p w14:paraId="1B53EBDB">
            <w:pPr>
              <w:pStyle w:val="445"/>
              <w:rPr>
                <w:rFonts w:cs="Times New Roman"/>
                <w:kern w:val="0"/>
                <w:szCs w:val="20"/>
              </w:rPr>
            </w:pPr>
            <w:r>
              <w:rPr>
                <w:rFonts w:hint="eastAsia" w:cs="Times New Roman"/>
                <w:kern w:val="0"/>
                <w:szCs w:val="20"/>
              </w:rPr>
              <w:t>C39 计算机、通信和其他电子设备制造业</w:t>
            </w:r>
          </w:p>
        </w:tc>
        <w:tc>
          <w:tcPr>
            <w:tcW w:w="2257" w:type="dxa"/>
            <w:vAlign w:val="center"/>
          </w:tcPr>
          <w:p w14:paraId="7D8BFFD4">
            <w:pPr>
              <w:pStyle w:val="445"/>
              <w:rPr>
                <w:rFonts w:cs="Times New Roman"/>
                <w:kern w:val="0"/>
                <w:szCs w:val="20"/>
              </w:rPr>
            </w:pPr>
            <w:r>
              <w:rPr>
                <w:rFonts w:hint="eastAsia" w:cs="Times New Roman"/>
                <w:kern w:val="0"/>
                <w:szCs w:val="20"/>
              </w:rPr>
              <w:t>C398 电子元件及电子专用材料制造</w:t>
            </w:r>
          </w:p>
        </w:tc>
      </w:tr>
      <w:tr w14:paraId="745F3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restart"/>
            <w:vAlign w:val="center"/>
          </w:tcPr>
          <w:p w14:paraId="497CF822">
            <w:pPr>
              <w:pStyle w:val="445"/>
              <w:rPr>
                <w:rFonts w:cs="Times New Roman"/>
                <w:kern w:val="0"/>
                <w:szCs w:val="20"/>
              </w:rPr>
            </w:pPr>
            <w:r>
              <w:rPr>
                <w:rFonts w:hint="eastAsia" w:cs="Times New Roman"/>
                <w:kern w:val="0"/>
                <w:szCs w:val="20"/>
              </w:rPr>
              <w:t>禁止类</w:t>
            </w:r>
          </w:p>
        </w:tc>
        <w:tc>
          <w:tcPr>
            <w:tcW w:w="2256" w:type="dxa"/>
            <w:vMerge w:val="restart"/>
            <w:vAlign w:val="center"/>
          </w:tcPr>
          <w:p w14:paraId="5A4800C0">
            <w:pPr>
              <w:pStyle w:val="445"/>
              <w:rPr>
                <w:rFonts w:cs="Times New Roman"/>
                <w:kern w:val="0"/>
                <w:szCs w:val="20"/>
              </w:rPr>
            </w:pPr>
            <w:r>
              <w:rPr>
                <w:rFonts w:hint="eastAsia" w:cs="Times New Roman"/>
                <w:kern w:val="0"/>
                <w:szCs w:val="20"/>
              </w:rPr>
              <w:t>机械设备制造</w:t>
            </w:r>
          </w:p>
        </w:tc>
        <w:tc>
          <w:tcPr>
            <w:tcW w:w="4514" w:type="dxa"/>
            <w:gridSpan w:val="2"/>
            <w:vAlign w:val="center"/>
          </w:tcPr>
          <w:p w14:paraId="30D19C20">
            <w:pPr>
              <w:pStyle w:val="445"/>
              <w:rPr>
                <w:rFonts w:cs="Times New Roman"/>
                <w:kern w:val="0"/>
                <w:szCs w:val="20"/>
              </w:rPr>
            </w:pPr>
            <w:r>
              <w:rPr>
                <w:rFonts w:hint="eastAsia" w:cs="Times New Roman"/>
                <w:kern w:val="0"/>
                <w:szCs w:val="20"/>
              </w:rPr>
              <w:t>C34 通用设备制造业</w:t>
            </w:r>
          </w:p>
        </w:tc>
      </w:tr>
      <w:tr w14:paraId="7BBD8C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3094812E">
            <w:pPr>
              <w:pStyle w:val="445"/>
              <w:rPr>
                <w:rFonts w:cs="Times New Roman"/>
                <w:kern w:val="0"/>
                <w:szCs w:val="20"/>
              </w:rPr>
            </w:pPr>
          </w:p>
        </w:tc>
        <w:tc>
          <w:tcPr>
            <w:tcW w:w="2256" w:type="dxa"/>
            <w:vMerge w:val="continue"/>
            <w:vAlign w:val="center"/>
          </w:tcPr>
          <w:p w14:paraId="4C2CA152">
            <w:pPr>
              <w:pStyle w:val="445"/>
              <w:rPr>
                <w:rFonts w:cs="Times New Roman"/>
                <w:kern w:val="0"/>
                <w:szCs w:val="20"/>
              </w:rPr>
            </w:pPr>
          </w:p>
        </w:tc>
        <w:tc>
          <w:tcPr>
            <w:tcW w:w="4514" w:type="dxa"/>
            <w:gridSpan w:val="2"/>
            <w:vAlign w:val="center"/>
          </w:tcPr>
          <w:p w14:paraId="0E12A12A">
            <w:pPr>
              <w:pStyle w:val="445"/>
              <w:rPr>
                <w:rFonts w:cs="Times New Roman"/>
                <w:kern w:val="0"/>
                <w:szCs w:val="20"/>
              </w:rPr>
            </w:pPr>
            <w:r>
              <w:rPr>
                <w:rFonts w:hint="eastAsia" w:cs="Times New Roman"/>
                <w:kern w:val="0"/>
                <w:szCs w:val="20"/>
              </w:rPr>
              <w:t>C35 专用设备制造业</w:t>
            </w:r>
          </w:p>
        </w:tc>
      </w:tr>
      <w:tr w14:paraId="558CF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72A31B65">
            <w:pPr>
              <w:pStyle w:val="445"/>
              <w:rPr>
                <w:rFonts w:cs="Times New Roman"/>
                <w:kern w:val="0"/>
                <w:szCs w:val="20"/>
              </w:rPr>
            </w:pPr>
          </w:p>
        </w:tc>
        <w:tc>
          <w:tcPr>
            <w:tcW w:w="2256" w:type="dxa"/>
            <w:vMerge w:val="restart"/>
            <w:vAlign w:val="center"/>
          </w:tcPr>
          <w:p w14:paraId="765ED50B">
            <w:pPr>
              <w:pStyle w:val="445"/>
              <w:rPr>
                <w:rFonts w:cs="Times New Roman"/>
                <w:kern w:val="0"/>
                <w:szCs w:val="20"/>
              </w:rPr>
            </w:pPr>
            <w:r>
              <w:rPr>
                <w:rFonts w:hint="eastAsia" w:cs="Times New Roman"/>
                <w:kern w:val="0"/>
                <w:szCs w:val="20"/>
              </w:rPr>
              <w:t>E47 房屋建筑业</w:t>
            </w:r>
          </w:p>
        </w:tc>
        <w:tc>
          <w:tcPr>
            <w:tcW w:w="4514" w:type="dxa"/>
            <w:gridSpan w:val="2"/>
            <w:vAlign w:val="center"/>
          </w:tcPr>
          <w:p w14:paraId="79F20A95">
            <w:pPr>
              <w:pStyle w:val="445"/>
              <w:rPr>
                <w:rFonts w:cs="Times New Roman"/>
                <w:kern w:val="0"/>
                <w:szCs w:val="20"/>
              </w:rPr>
            </w:pPr>
            <w:r>
              <w:rPr>
                <w:rFonts w:hint="eastAsia" w:cs="Times New Roman"/>
                <w:kern w:val="0"/>
                <w:szCs w:val="20"/>
              </w:rPr>
              <w:t>C4710 住宅房屋建筑</w:t>
            </w:r>
          </w:p>
        </w:tc>
      </w:tr>
      <w:tr w14:paraId="24D27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8C19618">
            <w:pPr>
              <w:pStyle w:val="445"/>
              <w:rPr>
                <w:rFonts w:cs="Times New Roman"/>
                <w:kern w:val="0"/>
                <w:szCs w:val="20"/>
              </w:rPr>
            </w:pPr>
          </w:p>
        </w:tc>
        <w:tc>
          <w:tcPr>
            <w:tcW w:w="2256" w:type="dxa"/>
            <w:vMerge w:val="continue"/>
            <w:vAlign w:val="center"/>
          </w:tcPr>
          <w:p w14:paraId="55A7CA7E">
            <w:pPr>
              <w:pStyle w:val="445"/>
              <w:rPr>
                <w:rFonts w:cs="Times New Roman"/>
                <w:kern w:val="0"/>
                <w:szCs w:val="20"/>
              </w:rPr>
            </w:pPr>
          </w:p>
        </w:tc>
        <w:tc>
          <w:tcPr>
            <w:tcW w:w="4514" w:type="dxa"/>
            <w:gridSpan w:val="2"/>
            <w:vAlign w:val="center"/>
          </w:tcPr>
          <w:p w14:paraId="0540DFB3">
            <w:pPr>
              <w:pStyle w:val="445"/>
              <w:rPr>
                <w:rFonts w:cs="Times New Roman"/>
                <w:kern w:val="0"/>
                <w:szCs w:val="20"/>
              </w:rPr>
            </w:pPr>
            <w:r>
              <w:rPr>
                <w:rFonts w:hint="eastAsia" w:cs="Times New Roman"/>
                <w:kern w:val="0"/>
                <w:szCs w:val="20"/>
              </w:rPr>
              <w:t>C4720 体育场馆建筑</w:t>
            </w:r>
          </w:p>
        </w:tc>
      </w:tr>
      <w:tr w14:paraId="1FB23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2476E62F">
            <w:pPr>
              <w:pStyle w:val="445"/>
              <w:rPr>
                <w:rFonts w:cs="Times New Roman"/>
                <w:kern w:val="0"/>
                <w:szCs w:val="20"/>
              </w:rPr>
            </w:pPr>
          </w:p>
        </w:tc>
        <w:tc>
          <w:tcPr>
            <w:tcW w:w="2256" w:type="dxa"/>
            <w:vMerge w:val="restart"/>
            <w:vAlign w:val="center"/>
          </w:tcPr>
          <w:p w14:paraId="00696E59">
            <w:pPr>
              <w:pStyle w:val="445"/>
              <w:rPr>
                <w:rFonts w:cs="Times New Roman"/>
                <w:kern w:val="0"/>
                <w:szCs w:val="20"/>
              </w:rPr>
            </w:pPr>
            <w:r>
              <w:rPr>
                <w:rFonts w:hint="eastAsia" w:cs="Times New Roman"/>
                <w:kern w:val="0"/>
                <w:szCs w:val="20"/>
              </w:rPr>
              <w:t>C32 有色金属冶炼和压延加工业</w:t>
            </w:r>
          </w:p>
        </w:tc>
        <w:tc>
          <w:tcPr>
            <w:tcW w:w="4514" w:type="dxa"/>
            <w:gridSpan w:val="2"/>
            <w:vAlign w:val="center"/>
          </w:tcPr>
          <w:p w14:paraId="0A454D46">
            <w:pPr>
              <w:pStyle w:val="445"/>
              <w:rPr>
                <w:rFonts w:cs="Times New Roman"/>
                <w:kern w:val="0"/>
                <w:szCs w:val="20"/>
              </w:rPr>
            </w:pPr>
            <w:r>
              <w:rPr>
                <w:rFonts w:hint="eastAsia" w:cs="Times New Roman"/>
                <w:kern w:val="0"/>
                <w:szCs w:val="20"/>
              </w:rPr>
              <w:t>C321 常用有色金属冶炼</w:t>
            </w:r>
          </w:p>
        </w:tc>
      </w:tr>
      <w:tr w14:paraId="692210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0A5D7D8F">
            <w:pPr>
              <w:pStyle w:val="445"/>
              <w:rPr>
                <w:rFonts w:cs="Times New Roman"/>
                <w:kern w:val="0"/>
                <w:szCs w:val="20"/>
              </w:rPr>
            </w:pPr>
          </w:p>
        </w:tc>
        <w:tc>
          <w:tcPr>
            <w:tcW w:w="2256" w:type="dxa"/>
            <w:vMerge w:val="continue"/>
            <w:vAlign w:val="center"/>
          </w:tcPr>
          <w:p w14:paraId="3FA681CF">
            <w:pPr>
              <w:pStyle w:val="445"/>
              <w:rPr>
                <w:rFonts w:cs="Times New Roman"/>
                <w:kern w:val="0"/>
                <w:szCs w:val="20"/>
              </w:rPr>
            </w:pPr>
          </w:p>
        </w:tc>
        <w:tc>
          <w:tcPr>
            <w:tcW w:w="4514" w:type="dxa"/>
            <w:gridSpan w:val="2"/>
            <w:vAlign w:val="center"/>
          </w:tcPr>
          <w:p w14:paraId="227B2408">
            <w:pPr>
              <w:pStyle w:val="445"/>
              <w:rPr>
                <w:rFonts w:cs="Times New Roman"/>
                <w:kern w:val="0"/>
                <w:szCs w:val="20"/>
              </w:rPr>
            </w:pPr>
            <w:r>
              <w:rPr>
                <w:rFonts w:hint="eastAsia" w:cs="Times New Roman"/>
                <w:kern w:val="0"/>
                <w:szCs w:val="20"/>
              </w:rPr>
              <w:t>C322 贵金属冶炼</w:t>
            </w:r>
          </w:p>
        </w:tc>
      </w:tr>
      <w:tr w14:paraId="450EB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6417919">
            <w:pPr>
              <w:pStyle w:val="445"/>
              <w:rPr>
                <w:rFonts w:cs="Times New Roman"/>
                <w:kern w:val="0"/>
                <w:szCs w:val="20"/>
              </w:rPr>
            </w:pPr>
          </w:p>
        </w:tc>
        <w:tc>
          <w:tcPr>
            <w:tcW w:w="2256" w:type="dxa"/>
            <w:vMerge w:val="continue"/>
            <w:vAlign w:val="center"/>
          </w:tcPr>
          <w:p w14:paraId="68CF74E5">
            <w:pPr>
              <w:pStyle w:val="445"/>
              <w:rPr>
                <w:rFonts w:cs="Times New Roman"/>
                <w:kern w:val="0"/>
                <w:szCs w:val="20"/>
              </w:rPr>
            </w:pPr>
          </w:p>
        </w:tc>
        <w:tc>
          <w:tcPr>
            <w:tcW w:w="4514" w:type="dxa"/>
            <w:gridSpan w:val="2"/>
            <w:vAlign w:val="center"/>
          </w:tcPr>
          <w:p w14:paraId="7BC80FB0">
            <w:pPr>
              <w:pStyle w:val="445"/>
              <w:rPr>
                <w:rFonts w:cs="Times New Roman"/>
                <w:kern w:val="0"/>
                <w:szCs w:val="20"/>
              </w:rPr>
            </w:pPr>
            <w:r>
              <w:rPr>
                <w:rFonts w:hint="eastAsia" w:cs="Times New Roman"/>
                <w:kern w:val="0"/>
                <w:szCs w:val="20"/>
              </w:rPr>
              <w:t>C323 稀有稀土金属冶炼</w:t>
            </w:r>
          </w:p>
        </w:tc>
      </w:tr>
      <w:tr w14:paraId="02CB8B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78E6B122">
            <w:pPr>
              <w:pStyle w:val="445"/>
              <w:rPr>
                <w:rFonts w:cs="Times New Roman"/>
                <w:kern w:val="0"/>
                <w:szCs w:val="20"/>
              </w:rPr>
            </w:pPr>
          </w:p>
        </w:tc>
        <w:tc>
          <w:tcPr>
            <w:tcW w:w="2256" w:type="dxa"/>
            <w:vMerge w:val="continue"/>
            <w:vAlign w:val="center"/>
          </w:tcPr>
          <w:p w14:paraId="452652E6">
            <w:pPr>
              <w:pStyle w:val="445"/>
              <w:rPr>
                <w:rFonts w:cs="Times New Roman"/>
                <w:kern w:val="0"/>
                <w:szCs w:val="20"/>
              </w:rPr>
            </w:pPr>
          </w:p>
        </w:tc>
        <w:tc>
          <w:tcPr>
            <w:tcW w:w="4514" w:type="dxa"/>
            <w:gridSpan w:val="2"/>
            <w:vAlign w:val="center"/>
          </w:tcPr>
          <w:p w14:paraId="45DE78C2">
            <w:pPr>
              <w:pStyle w:val="445"/>
              <w:rPr>
                <w:rFonts w:cs="Times New Roman"/>
                <w:kern w:val="0"/>
                <w:szCs w:val="20"/>
              </w:rPr>
            </w:pPr>
            <w:r>
              <w:rPr>
                <w:rFonts w:hint="eastAsia" w:cs="Times New Roman"/>
                <w:kern w:val="0"/>
                <w:szCs w:val="20"/>
              </w:rPr>
              <w:t>C324 有色金属合金制造</w:t>
            </w:r>
          </w:p>
        </w:tc>
      </w:tr>
      <w:tr w14:paraId="1993BB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69DD2DE2">
            <w:pPr>
              <w:pStyle w:val="445"/>
              <w:rPr>
                <w:rFonts w:cs="Times New Roman"/>
                <w:kern w:val="0"/>
                <w:szCs w:val="20"/>
              </w:rPr>
            </w:pPr>
          </w:p>
        </w:tc>
        <w:tc>
          <w:tcPr>
            <w:tcW w:w="2256" w:type="dxa"/>
            <w:vAlign w:val="center"/>
          </w:tcPr>
          <w:p w14:paraId="65363581">
            <w:pPr>
              <w:pStyle w:val="445"/>
              <w:rPr>
                <w:rFonts w:cs="Times New Roman"/>
                <w:kern w:val="0"/>
                <w:szCs w:val="20"/>
              </w:rPr>
            </w:pPr>
            <w:r>
              <w:rPr>
                <w:rFonts w:hint="eastAsia" w:cs="Times New Roman"/>
                <w:kern w:val="0"/>
                <w:szCs w:val="20"/>
              </w:rPr>
              <w:t>C42 废弃资源综合利用业</w:t>
            </w:r>
          </w:p>
        </w:tc>
        <w:tc>
          <w:tcPr>
            <w:tcW w:w="4514" w:type="dxa"/>
            <w:gridSpan w:val="2"/>
            <w:vAlign w:val="center"/>
          </w:tcPr>
          <w:p w14:paraId="46D2A1BD">
            <w:pPr>
              <w:pStyle w:val="445"/>
              <w:rPr>
                <w:rFonts w:cs="Times New Roman"/>
                <w:kern w:val="0"/>
                <w:szCs w:val="20"/>
              </w:rPr>
            </w:pPr>
            <w:r>
              <w:rPr>
                <w:rFonts w:hint="eastAsia" w:cs="Times New Roman"/>
                <w:kern w:val="0"/>
                <w:szCs w:val="20"/>
              </w:rPr>
              <w:t>废旧生铁熔炼；废旧轮胎加工</w:t>
            </w:r>
          </w:p>
        </w:tc>
      </w:tr>
      <w:tr w14:paraId="36973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4322909A">
            <w:pPr>
              <w:pStyle w:val="445"/>
              <w:rPr>
                <w:rFonts w:cs="Times New Roman"/>
                <w:kern w:val="0"/>
                <w:szCs w:val="20"/>
              </w:rPr>
            </w:pPr>
          </w:p>
        </w:tc>
        <w:tc>
          <w:tcPr>
            <w:tcW w:w="6770" w:type="dxa"/>
            <w:gridSpan w:val="3"/>
            <w:vAlign w:val="center"/>
          </w:tcPr>
          <w:p w14:paraId="4EF20ADA">
            <w:pPr>
              <w:pStyle w:val="445"/>
              <w:rPr>
                <w:rFonts w:cs="Times New Roman"/>
                <w:kern w:val="0"/>
                <w:szCs w:val="20"/>
              </w:rPr>
            </w:pPr>
            <w:r>
              <w:rPr>
                <w:rFonts w:hint="eastAsia" w:cs="Times New Roman"/>
                <w:kern w:val="0"/>
                <w:szCs w:val="20"/>
              </w:rPr>
              <w:t>C14 食品制造业</w:t>
            </w:r>
          </w:p>
        </w:tc>
      </w:tr>
      <w:tr w14:paraId="5704D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153E964">
            <w:pPr>
              <w:pStyle w:val="445"/>
              <w:rPr>
                <w:rFonts w:cs="Times New Roman"/>
                <w:kern w:val="0"/>
                <w:szCs w:val="20"/>
              </w:rPr>
            </w:pPr>
          </w:p>
        </w:tc>
        <w:tc>
          <w:tcPr>
            <w:tcW w:w="6770" w:type="dxa"/>
            <w:gridSpan w:val="3"/>
            <w:vAlign w:val="center"/>
          </w:tcPr>
          <w:p w14:paraId="2BE6F9AB">
            <w:pPr>
              <w:pStyle w:val="445"/>
              <w:rPr>
                <w:rFonts w:cs="Times New Roman"/>
                <w:kern w:val="0"/>
                <w:szCs w:val="20"/>
              </w:rPr>
            </w:pPr>
            <w:r>
              <w:rPr>
                <w:rFonts w:hint="eastAsia" w:cs="Times New Roman"/>
                <w:kern w:val="0"/>
                <w:szCs w:val="20"/>
              </w:rPr>
              <w:t>C594 危险品仓储</w:t>
            </w:r>
          </w:p>
        </w:tc>
      </w:tr>
      <w:tr w14:paraId="0DD180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11645494">
            <w:pPr>
              <w:pStyle w:val="445"/>
              <w:rPr>
                <w:rFonts w:cs="Times New Roman"/>
                <w:kern w:val="0"/>
                <w:szCs w:val="20"/>
              </w:rPr>
            </w:pPr>
          </w:p>
        </w:tc>
        <w:tc>
          <w:tcPr>
            <w:tcW w:w="6770" w:type="dxa"/>
            <w:gridSpan w:val="3"/>
            <w:vAlign w:val="center"/>
          </w:tcPr>
          <w:p w14:paraId="510D7F17">
            <w:pPr>
              <w:pStyle w:val="445"/>
              <w:rPr>
                <w:rFonts w:cs="Times New Roman"/>
                <w:kern w:val="0"/>
                <w:szCs w:val="20"/>
              </w:rPr>
            </w:pPr>
            <w:r>
              <w:rPr>
                <w:rFonts w:hint="eastAsia" w:cs="Times New Roman"/>
                <w:kern w:val="0"/>
                <w:szCs w:val="20"/>
              </w:rPr>
              <w:t>机制砂、烘干砂、酸洗石英砂类项目；建筑垃圾粉碎及加工项目；大理石加工项目；钢铁、水泥、原油加工、制浆造纸、平板玻璃、有色金属冶炼、多晶硅冶炼等以煤炭为主要原料的高耗能、重污染项目；禁止新建、扩建不符合国家产能置换要求的严重过剩产能行业的项目。</w:t>
            </w:r>
          </w:p>
        </w:tc>
      </w:tr>
      <w:tr w14:paraId="05E1E0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Merge w:val="continue"/>
            <w:vAlign w:val="center"/>
          </w:tcPr>
          <w:p w14:paraId="50023A40">
            <w:pPr>
              <w:pStyle w:val="445"/>
              <w:rPr>
                <w:rFonts w:cs="Times New Roman"/>
                <w:kern w:val="0"/>
                <w:szCs w:val="20"/>
              </w:rPr>
            </w:pPr>
          </w:p>
        </w:tc>
        <w:tc>
          <w:tcPr>
            <w:tcW w:w="6770" w:type="dxa"/>
            <w:gridSpan w:val="3"/>
            <w:vAlign w:val="center"/>
          </w:tcPr>
          <w:p w14:paraId="0081929A">
            <w:pPr>
              <w:pStyle w:val="445"/>
              <w:rPr>
                <w:rFonts w:cs="Times New Roman"/>
                <w:kern w:val="0"/>
                <w:szCs w:val="20"/>
              </w:rPr>
            </w:pPr>
            <w:r>
              <w:rPr>
                <w:rFonts w:hint="eastAsia" w:cs="Times New Roman"/>
                <w:kern w:val="0"/>
                <w:szCs w:val="20"/>
              </w:rPr>
              <w:t>禁止引入列入《产业结构调整指导目录》、《外商投资产业指导目录》、《市场准入负面清单》、《蚌埠市化工园区项目准入条件（试行）》等相关产业政策中禁止或淘汰类项目、产品、工艺和设备。</w:t>
            </w:r>
          </w:p>
        </w:tc>
      </w:tr>
      <w:tr w14:paraId="2A6D3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2A0690B5">
            <w:pPr>
              <w:pStyle w:val="445"/>
              <w:rPr>
                <w:rFonts w:cs="Times New Roman"/>
                <w:kern w:val="0"/>
                <w:szCs w:val="20"/>
              </w:rPr>
            </w:pPr>
            <w:r>
              <w:rPr>
                <w:rFonts w:hint="eastAsia" w:cs="Times New Roman"/>
                <w:kern w:val="0"/>
                <w:szCs w:val="20"/>
              </w:rPr>
              <w:t>限制类</w:t>
            </w:r>
          </w:p>
        </w:tc>
        <w:tc>
          <w:tcPr>
            <w:tcW w:w="6770" w:type="dxa"/>
            <w:gridSpan w:val="3"/>
            <w:vAlign w:val="center"/>
          </w:tcPr>
          <w:p w14:paraId="3098DEED">
            <w:pPr>
              <w:pStyle w:val="445"/>
              <w:rPr>
                <w:rFonts w:cs="Times New Roman"/>
                <w:kern w:val="0"/>
                <w:szCs w:val="20"/>
              </w:rPr>
            </w:pPr>
            <w:r>
              <w:rPr>
                <w:rFonts w:hint="eastAsia" w:cs="Times New Roman"/>
                <w:kern w:val="0"/>
                <w:szCs w:val="20"/>
              </w:rPr>
              <w:t>（1）列入《环境保护综合名录》中（三）“高污染、高环境风险”产品名录的项目；</w:t>
            </w:r>
          </w:p>
          <w:p w14:paraId="73AD05A8">
            <w:pPr>
              <w:pStyle w:val="445"/>
              <w:rPr>
                <w:rFonts w:cs="Times New Roman"/>
                <w:kern w:val="0"/>
                <w:szCs w:val="20"/>
              </w:rPr>
            </w:pPr>
            <w:r>
              <w:rPr>
                <w:rFonts w:hint="eastAsia" w:cs="Times New Roman"/>
                <w:kern w:val="0"/>
                <w:szCs w:val="20"/>
              </w:rPr>
              <w:t>（2）列入《蚌埠市化工园区项目准入条件（试行）》中限制类项目；</w:t>
            </w:r>
          </w:p>
          <w:p w14:paraId="58EA2A7F">
            <w:pPr>
              <w:pStyle w:val="445"/>
              <w:rPr>
                <w:rFonts w:cs="Times New Roman"/>
                <w:kern w:val="0"/>
                <w:szCs w:val="20"/>
              </w:rPr>
            </w:pPr>
            <w:r>
              <w:rPr>
                <w:rFonts w:hint="eastAsia" w:cs="Times New Roman"/>
                <w:kern w:val="0"/>
                <w:szCs w:val="20"/>
              </w:rPr>
              <w:t>（3）《产业结构调整指导目录》、《外商投资产业指导目录》、《市场准入负面清单》中限制类项目，达不到规模经济的项目。</w:t>
            </w:r>
          </w:p>
        </w:tc>
      </w:tr>
      <w:tr w14:paraId="7DFD7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4AA5EDE8">
            <w:pPr>
              <w:pStyle w:val="445"/>
              <w:rPr>
                <w:rFonts w:cs="Times New Roman"/>
                <w:kern w:val="0"/>
                <w:szCs w:val="20"/>
              </w:rPr>
            </w:pPr>
            <w:r>
              <w:rPr>
                <w:rFonts w:hint="eastAsia" w:cs="Times New Roman"/>
                <w:kern w:val="0"/>
                <w:szCs w:val="20"/>
              </w:rPr>
              <w:t>环境</w:t>
            </w:r>
            <w:r>
              <w:rPr>
                <w:rFonts w:cs="Times New Roman"/>
                <w:kern w:val="0"/>
                <w:szCs w:val="20"/>
              </w:rPr>
              <w:t>风险</w:t>
            </w:r>
            <w:r>
              <w:rPr>
                <w:rFonts w:hint="eastAsia" w:cs="Times New Roman"/>
                <w:kern w:val="0"/>
                <w:szCs w:val="20"/>
              </w:rPr>
              <w:t>防控</w:t>
            </w:r>
          </w:p>
        </w:tc>
        <w:tc>
          <w:tcPr>
            <w:tcW w:w="6770" w:type="dxa"/>
            <w:gridSpan w:val="3"/>
            <w:vAlign w:val="center"/>
          </w:tcPr>
          <w:p w14:paraId="5AA4C3EF">
            <w:pPr>
              <w:pStyle w:val="445"/>
              <w:rPr>
                <w:rFonts w:cs="Times New Roman"/>
                <w:kern w:val="0"/>
                <w:szCs w:val="20"/>
              </w:rPr>
            </w:pPr>
            <w:r>
              <w:rPr>
                <w:rFonts w:hint="eastAsia" w:cs="Times New Roman"/>
                <w:kern w:val="0"/>
                <w:szCs w:val="20"/>
              </w:rPr>
              <w:t>基地内新增或改扩建存在环境风险的项目，在建设项目环评阶段须重点开展环境风险评价，与项目周边环境敏感目标之前控制合理的风险控制距离，提出并落实风险防范措施及应急联动要求，编制应急预案，并与经开区应急预案联动，在经开区进行环境风险源、应急设备、物资等的备案；在产业基地规划和项目的工程设计、建造和运行中要科学规划，合理布置，严格按照防火安全设计和相关职业卫生要求，保证建造质量，严格安全生产制度，提高操作人员素质和水平，以减少事故的发生。</w:t>
            </w:r>
          </w:p>
        </w:tc>
      </w:tr>
      <w:tr w14:paraId="40272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56" w:type="dxa"/>
            <w:vAlign w:val="center"/>
          </w:tcPr>
          <w:p w14:paraId="725B2509">
            <w:pPr>
              <w:pStyle w:val="445"/>
              <w:rPr>
                <w:rFonts w:cs="Times New Roman"/>
                <w:kern w:val="0"/>
                <w:szCs w:val="20"/>
              </w:rPr>
            </w:pPr>
            <w:r>
              <w:rPr>
                <w:rFonts w:hint="eastAsia" w:cs="Times New Roman"/>
                <w:kern w:val="0"/>
                <w:szCs w:val="20"/>
              </w:rPr>
              <w:t>清洁生产</w:t>
            </w:r>
          </w:p>
        </w:tc>
        <w:tc>
          <w:tcPr>
            <w:tcW w:w="6770" w:type="dxa"/>
            <w:gridSpan w:val="3"/>
            <w:vAlign w:val="center"/>
          </w:tcPr>
          <w:p w14:paraId="2DA8CF58">
            <w:pPr>
              <w:pStyle w:val="445"/>
              <w:rPr>
                <w:rFonts w:cs="Times New Roman"/>
                <w:kern w:val="0"/>
                <w:szCs w:val="20"/>
              </w:rPr>
            </w:pPr>
            <w:r>
              <w:rPr>
                <w:rFonts w:hint="eastAsia" w:cs="Times New Roman"/>
                <w:kern w:val="0"/>
                <w:szCs w:val="20"/>
              </w:rPr>
              <w:t>清洁生产水平应达到国内先进水平，优先引进清洁生产水平达到国际先进水平的项目，禁止引进低于国内先进水平的项目。严格审查入区企业行业类型和生产工艺，要求基地入驻企业采用先进的生产工艺，在生产、产品和服务中最大限度的做到节能、减污、降碳。</w:t>
            </w:r>
          </w:p>
        </w:tc>
      </w:tr>
    </w:tbl>
    <w:p w14:paraId="3B54260F">
      <w:pPr>
        <w:ind w:firstLine="360"/>
        <w:rPr>
          <w:sz w:val="18"/>
          <w:szCs w:val="18"/>
        </w:rPr>
      </w:pPr>
      <w:r>
        <w:rPr>
          <w:rFonts w:hint="eastAsia"/>
          <w:sz w:val="18"/>
          <w:szCs w:val="18"/>
        </w:rPr>
        <w:t>注：表格中相关政策目录均按照最新版本。</w:t>
      </w:r>
    </w:p>
    <w:p w14:paraId="5B8FC22B">
      <w:pPr>
        <w:ind w:firstLine="480"/>
      </w:pPr>
      <w:r>
        <w:rPr>
          <w:rFonts w:hint="eastAsia"/>
        </w:rPr>
        <w:t>本项目产品二氧化硅属于其他基础</w:t>
      </w:r>
      <w:r>
        <w:t>化学原料制造</w:t>
      </w:r>
      <w:r>
        <w:rPr>
          <w:rFonts w:hint="eastAsia"/>
        </w:rPr>
        <w:t>[C2619]；副产KH-560属于有机化学原料制造[</w:t>
      </w:r>
      <w:r>
        <w:t>C2614]</w:t>
      </w:r>
      <w:r>
        <w:rPr>
          <w:rFonts w:hint="eastAsia"/>
        </w:rPr>
        <w:t>，</w:t>
      </w:r>
      <w:r>
        <w:t>故</w:t>
      </w:r>
      <w:r>
        <w:rPr>
          <w:rFonts w:hint="eastAsia"/>
        </w:rPr>
        <w:t>本项目蚌埠精细化工高新技术产业基地生态</w:t>
      </w:r>
      <w:r>
        <w:t>环境</w:t>
      </w:r>
      <w:r>
        <w:rPr>
          <w:rFonts w:hint="eastAsia"/>
        </w:rPr>
        <w:t>准入</w:t>
      </w:r>
      <w:r>
        <w:t>清单</w:t>
      </w:r>
      <w:r>
        <w:rPr>
          <w:rFonts w:hint="eastAsia"/>
        </w:rPr>
        <w:t>中</w:t>
      </w:r>
      <w:r>
        <w:t>鼓励类项目</w:t>
      </w:r>
      <w:r>
        <w:rPr>
          <w:rFonts w:hint="eastAsia"/>
        </w:rPr>
        <w:t>。</w:t>
      </w:r>
    </w:p>
    <w:p w14:paraId="6FA64CEB">
      <w:pPr>
        <w:ind w:firstLine="480"/>
      </w:pPr>
      <w:r>
        <w:rPr>
          <w:rFonts w:hint="eastAsia"/>
        </w:rPr>
        <w:t>对照</w:t>
      </w:r>
      <w:r>
        <w:t>《产业结构调整指导目录》（2024本）</w:t>
      </w:r>
      <w:r>
        <w:rPr>
          <w:rFonts w:hint="eastAsia"/>
        </w:rPr>
        <w:t>，本项目不属于其中</w:t>
      </w:r>
      <w:r>
        <w:t>的</w:t>
      </w:r>
      <w:r>
        <w:rPr>
          <w:rFonts w:cs="Times New Roman"/>
        </w:rPr>
        <w:t>限制和淘汰类项目，可视为允许类。因此项目的建设符合国家产业政策</w:t>
      </w:r>
      <w:r>
        <w:rPr>
          <w:rFonts w:hint="eastAsia" w:ascii="宋体" w:hAnsi="宋体"/>
        </w:rPr>
        <w:t>。</w:t>
      </w:r>
    </w:p>
    <w:p w14:paraId="47398341">
      <w:pPr>
        <w:ind w:firstLine="480"/>
      </w:pPr>
      <w:r>
        <w:rPr>
          <w:rFonts w:hint="eastAsia" w:ascii="宋体" w:hAnsi="宋体"/>
        </w:rPr>
        <w:t>对照《长江经济带战略环境评价安徽省蚌埠市“三线一单”生态环境准入清单》，中开发区生态环境准入清单中限制入园项目：</w:t>
      </w:r>
      <w:r>
        <w:t xml:space="preserve"> </w:t>
      </w:r>
    </w:p>
    <w:p w14:paraId="046D24CA">
      <w:pPr>
        <w:ind w:firstLine="480"/>
      </w:pPr>
      <w:r>
        <w:rPr>
          <w:rFonts w:hint="eastAsia" w:ascii="宋体" w:hAnsi="宋体"/>
        </w:rPr>
        <w:t>①废水含难降解的有机物、“三致”污染物、重金属等物质以及盐份含量高的项目；废水经预处理达不到污水处理厂接纳标准的项目；</w:t>
      </w:r>
    </w:p>
    <w:p w14:paraId="6A291A7E">
      <w:pPr>
        <w:ind w:firstLine="480"/>
      </w:pPr>
      <w:r>
        <w:rPr>
          <w:rFonts w:hint="eastAsia" w:ascii="宋体" w:hAnsi="宋体"/>
        </w:rPr>
        <w:t>②工艺废气中含难处理的、有毒有害物质的项目；</w:t>
      </w:r>
    </w:p>
    <w:p w14:paraId="45EA4E0E">
      <w:pPr>
        <w:ind w:firstLine="480"/>
      </w:pPr>
      <w:r>
        <w:rPr>
          <w:rFonts w:hint="eastAsia" w:ascii="宋体" w:hAnsi="宋体"/>
        </w:rPr>
        <w:t>③污染严重且难以治理的工业项目；</w:t>
      </w:r>
    </w:p>
    <w:p w14:paraId="48C159B5">
      <w:pPr>
        <w:ind w:firstLine="480"/>
      </w:pPr>
      <w:r>
        <w:rPr>
          <w:rFonts w:hint="eastAsia" w:ascii="宋体" w:hAnsi="宋体"/>
        </w:rPr>
        <w:t>④不符合国家相关产业政策、达不到规模经济的项目。</w:t>
      </w:r>
    </w:p>
    <w:p w14:paraId="3C9B60CD">
      <w:pPr>
        <w:ind w:firstLine="480"/>
      </w:pPr>
      <w:r>
        <w:rPr>
          <w:rFonts w:hint="eastAsia" w:ascii="宋体" w:hAnsi="宋体"/>
        </w:rPr>
        <w:t>本项目运营中遵循清洁生产理念，所采用的各项污染防治措施技术可行、经济合理，能保证各类污染物长期稳定达标排放，不属于上述限制入园项目。</w:t>
      </w:r>
    </w:p>
    <w:p w14:paraId="2FDD6F77">
      <w:pPr>
        <w:ind w:firstLine="480"/>
        <w:rPr>
          <w:rFonts w:ascii="宋体" w:hAnsi="宋体"/>
        </w:rPr>
      </w:pPr>
      <w:r>
        <w:rPr>
          <w:rFonts w:hint="eastAsia" w:ascii="宋体" w:hAnsi="宋体"/>
        </w:rPr>
        <w:t>综上所述，本项目的建设符合长江经济带战略环境评价安徽省蚌埠市“三线一单”相关要求。</w:t>
      </w:r>
    </w:p>
    <w:p w14:paraId="66A09DA4">
      <w:pPr>
        <w:pStyle w:val="4065"/>
      </w:pPr>
      <w:bookmarkStart w:id="62" w:name="_Toc108662564"/>
      <w:r>
        <w:rPr>
          <w:rFonts w:hint="eastAsia"/>
        </w:rPr>
        <w:t>2</w:t>
      </w:r>
      <w:r>
        <w:t>.6环境功能区划</w:t>
      </w:r>
      <w:bookmarkEnd w:id="62"/>
    </w:p>
    <w:p w14:paraId="3ACC86C1">
      <w:pPr>
        <w:ind w:firstLine="480"/>
      </w:pPr>
      <w:r>
        <w:rPr>
          <w:rFonts w:hint="eastAsia"/>
        </w:rPr>
        <w:t>扩建</w:t>
      </w:r>
      <w:r>
        <w:rPr>
          <w:rFonts w:ascii="宋体" w:hAnsi="宋体"/>
        </w:rPr>
        <w:t>项目所在区域环境功能区划详见表</w:t>
      </w:r>
      <w:r>
        <w:rPr>
          <w:rFonts w:hint="eastAsia"/>
        </w:rPr>
        <w:t>2</w:t>
      </w:r>
      <w:r>
        <w:t>.6-1</w:t>
      </w:r>
      <w:r>
        <w:rPr>
          <w:rFonts w:hint="eastAsia" w:ascii="宋体" w:hAnsi="宋体"/>
        </w:rPr>
        <w:t>。</w:t>
      </w:r>
    </w:p>
    <w:p w14:paraId="535A5C59">
      <w:pPr>
        <w:spacing w:line="500" w:lineRule="exact"/>
        <w:ind w:firstLine="0" w:firstLineChars="0"/>
        <w:jc w:val="center"/>
        <w:rPr>
          <w:rFonts w:eastAsia="黑体"/>
        </w:rPr>
      </w:pPr>
      <w:r>
        <w:rPr>
          <w:rFonts w:hint="eastAsia" w:ascii="黑体" w:hAnsi="黑体" w:eastAsia="黑体"/>
        </w:rPr>
        <w:t>表</w:t>
      </w:r>
      <w:r>
        <w:rPr>
          <w:rFonts w:eastAsia="黑体"/>
        </w:rPr>
        <w:t xml:space="preserve">2.6-1  </w:t>
      </w:r>
      <w:r>
        <w:rPr>
          <w:rFonts w:hint="eastAsia" w:ascii="黑体" w:hAnsi="黑体" w:eastAsia="黑体"/>
        </w:rPr>
        <w:t>区域环境功能区划</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878"/>
        <w:gridCol w:w="3050"/>
        <w:gridCol w:w="4739"/>
      </w:tblGrid>
      <w:tr w14:paraId="426B2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6" w:type="pct"/>
            <w:gridSpan w:val="2"/>
            <w:vAlign w:val="center"/>
          </w:tcPr>
          <w:p w14:paraId="4C95B20D">
            <w:pPr>
              <w:pStyle w:val="445"/>
              <w:rPr>
                <w:rFonts w:cs="Times New Roman"/>
                <w:b/>
                <w:kern w:val="0"/>
                <w:szCs w:val="20"/>
              </w:rPr>
            </w:pPr>
            <w:r>
              <w:rPr>
                <w:rFonts w:cs="Times New Roman"/>
                <w:b/>
                <w:kern w:val="0"/>
                <w:szCs w:val="20"/>
              </w:rPr>
              <w:t>环境要素</w:t>
            </w:r>
          </w:p>
        </w:tc>
        <w:tc>
          <w:tcPr>
            <w:tcW w:w="1650" w:type="pct"/>
            <w:vAlign w:val="center"/>
          </w:tcPr>
          <w:p w14:paraId="25DC6FE5">
            <w:pPr>
              <w:pStyle w:val="445"/>
              <w:rPr>
                <w:rFonts w:cs="Times New Roman"/>
                <w:b/>
                <w:kern w:val="0"/>
                <w:szCs w:val="20"/>
              </w:rPr>
            </w:pPr>
            <w:r>
              <w:rPr>
                <w:rFonts w:cs="Times New Roman"/>
                <w:b/>
                <w:kern w:val="0"/>
                <w:szCs w:val="20"/>
              </w:rPr>
              <w:t>功能</w:t>
            </w:r>
          </w:p>
        </w:tc>
        <w:tc>
          <w:tcPr>
            <w:tcW w:w="2564" w:type="pct"/>
            <w:vAlign w:val="center"/>
          </w:tcPr>
          <w:p w14:paraId="14BD6F7F">
            <w:pPr>
              <w:pStyle w:val="445"/>
              <w:rPr>
                <w:rFonts w:cs="Times New Roman"/>
                <w:b/>
                <w:kern w:val="0"/>
                <w:szCs w:val="20"/>
              </w:rPr>
            </w:pPr>
            <w:r>
              <w:rPr>
                <w:rFonts w:cs="Times New Roman"/>
                <w:b/>
                <w:kern w:val="0"/>
                <w:szCs w:val="20"/>
              </w:rPr>
              <w:t>质量目标</w:t>
            </w:r>
          </w:p>
        </w:tc>
      </w:tr>
      <w:tr w14:paraId="3D2939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11" w:type="pct"/>
            <w:vMerge w:val="restart"/>
            <w:vAlign w:val="center"/>
          </w:tcPr>
          <w:p w14:paraId="23442A5E">
            <w:pPr>
              <w:pStyle w:val="445"/>
              <w:rPr>
                <w:rFonts w:cs="Times New Roman"/>
                <w:kern w:val="0"/>
                <w:szCs w:val="20"/>
              </w:rPr>
            </w:pPr>
            <w:r>
              <w:rPr>
                <w:rFonts w:cs="Times New Roman"/>
                <w:kern w:val="0"/>
                <w:szCs w:val="20"/>
              </w:rPr>
              <w:t>水环境</w:t>
            </w:r>
          </w:p>
        </w:tc>
        <w:tc>
          <w:tcPr>
            <w:tcW w:w="474" w:type="pct"/>
            <w:vAlign w:val="center"/>
          </w:tcPr>
          <w:p w14:paraId="091A2A6C">
            <w:pPr>
              <w:pStyle w:val="445"/>
              <w:rPr>
                <w:rFonts w:cs="Times New Roman"/>
                <w:kern w:val="0"/>
                <w:szCs w:val="20"/>
              </w:rPr>
            </w:pPr>
            <w:r>
              <w:rPr>
                <w:rFonts w:hint="eastAsia" w:cs="Times New Roman"/>
                <w:kern w:val="0"/>
                <w:szCs w:val="20"/>
              </w:rPr>
              <w:t>淮河（蚌埠段）</w:t>
            </w:r>
          </w:p>
        </w:tc>
        <w:tc>
          <w:tcPr>
            <w:tcW w:w="1650" w:type="pct"/>
            <w:vAlign w:val="center"/>
          </w:tcPr>
          <w:p w14:paraId="4BDA35A5">
            <w:pPr>
              <w:pStyle w:val="445"/>
              <w:rPr>
                <w:rFonts w:cs="Times New Roman"/>
                <w:kern w:val="0"/>
                <w:szCs w:val="20"/>
              </w:rPr>
            </w:pPr>
            <w:r>
              <w:rPr>
                <w:rFonts w:hint="eastAsia" w:cs="Times New Roman"/>
                <w:kern w:val="0"/>
                <w:szCs w:val="20"/>
              </w:rPr>
              <w:t>开发利用</w:t>
            </w:r>
          </w:p>
        </w:tc>
        <w:tc>
          <w:tcPr>
            <w:tcW w:w="2564" w:type="pct"/>
            <w:vAlign w:val="center"/>
          </w:tcPr>
          <w:p w14:paraId="0D48CE91">
            <w:pPr>
              <w:pStyle w:val="445"/>
              <w:rPr>
                <w:rFonts w:cs="Times New Roman"/>
                <w:kern w:val="0"/>
                <w:szCs w:val="20"/>
              </w:rPr>
            </w:pPr>
            <w:r>
              <w:rPr>
                <w:rFonts w:cs="Times New Roman"/>
                <w:kern w:val="0"/>
                <w:szCs w:val="20"/>
              </w:rPr>
              <w:t>《地表水环境质量标准》（GB3838-2002）</w:t>
            </w:r>
            <w:r>
              <w:rPr>
                <w:rFonts w:hint="eastAsia" w:ascii="宋体" w:hAnsi="宋体" w:cs="Times New Roman"/>
                <w:kern w:val="0"/>
                <w:szCs w:val="20"/>
              </w:rPr>
              <w:t>Ⅲ</w:t>
            </w:r>
            <w:r>
              <w:rPr>
                <w:rFonts w:cs="Times New Roman"/>
                <w:kern w:val="0"/>
                <w:szCs w:val="20"/>
              </w:rPr>
              <w:t>类标准</w:t>
            </w:r>
          </w:p>
        </w:tc>
      </w:tr>
      <w:tr w14:paraId="188D9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11" w:type="pct"/>
            <w:vMerge w:val="continue"/>
            <w:vAlign w:val="center"/>
          </w:tcPr>
          <w:p w14:paraId="78D1D0CD">
            <w:pPr>
              <w:pStyle w:val="445"/>
              <w:rPr>
                <w:rFonts w:cs="Times New Roman"/>
                <w:kern w:val="0"/>
                <w:szCs w:val="20"/>
              </w:rPr>
            </w:pPr>
          </w:p>
        </w:tc>
        <w:tc>
          <w:tcPr>
            <w:tcW w:w="474" w:type="pct"/>
            <w:vAlign w:val="center"/>
          </w:tcPr>
          <w:p w14:paraId="244447B4">
            <w:pPr>
              <w:pStyle w:val="445"/>
              <w:rPr>
                <w:rFonts w:cs="Times New Roman"/>
                <w:kern w:val="0"/>
                <w:szCs w:val="20"/>
              </w:rPr>
            </w:pPr>
            <w:r>
              <w:rPr>
                <w:rFonts w:hint="eastAsia" w:cs="Times New Roman"/>
                <w:kern w:val="0"/>
                <w:szCs w:val="20"/>
              </w:rPr>
              <w:t>三铺大沟</w:t>
            </w:r>
          </w:p>
        </w:tc>
        <w:tc>
          <w:tcPr>
            <w:tcW w:w="1650" w:type="pct"/>
            <w:vAlign w:val="center"/>
          </w:tcPr>
          <w:p w14:paraId="6A7F8859">
            <w:pPr>
              <w:pStyle w:val="445"/>
              <w:rPr>
                <w:rFonts w:cs="Times New Roman"/>
                <w:kern w:val="0"/>
                <w:szCs w:val="20"/>
              </w:rPr>
            </w:pPr>
            <w:r>
              <w:rPr>
                <w:rFonts w:hint="eastAsia" w:cs="Times New Roman"/>
                <w:kern w:val="0"/>
                <w:szCs w:val="20"/>
              </w:rPr>
              <w:t>/</w:t>
            </w:r>
          </w:p>
        </w:tc>
        <w:tc>
          <w:tcPr>
            <w:tcW w:w="2564" w:type="pct"/>
            <w:vAlign w:val="center"/>
          </w:tcPr>
          <w:p w14:paraId="399EB4DF">
            <w:pPr>
              <w:pStyle w:val="445"/>
              <w:rPr>
                <w:rFonts w:cs="Times New Roman"/>
                <w:kern w:val="0"/>
                <w:szCs w:val="20"/>
              </w:rPr>
            </w:pPr>
            <w:r>
              <w:rPr>
                <w:rFonts w:hint="eastAsia" w:ascii="宋体" w:hAnsi="宋体" w:cs="Times New Roman"/>
                <w:kern w:val="0"/>
                <w:szCs w:val="20"/>
              </w:rPr>
              <w:t>《地表水环境质量标准》（</w:t>
            </w:r>
            <w:r>
              <w:rPr>
                <w:rFonts w:hint="eastAsia" w:cs="Times New Roman"/>
                <w:kern w:val="0"/>
                <w:szCs w:val="20"/>
              </w:rPr>
              <w:t>G</w:t>
            </w:r>
            <w:r>
              <w:rPr>
                <w:rFonts w:cs="Times New Roman"/>
                <w:kern w:val="0"/>
                <w:szCs w:val="20"/>
              </w:rPr>
              <w:t>B3838-2002</w:t>
            </w:r>
            <w:r>
              <w:rPr>
                <w:rFonts w:hint="eastAsia" w:ascii="宋体" w:hAnsi="宋体" w:cs="Times New Roman"/>
                <w:kern w:val="0"/>
                <w:szCs w:val="20"/>
              </w:rPr>
              <w:t>）中的</w:t>
            </w:r>
            <w:r>
              <w:rPr>
                <w:rFonts w:hint="eastAsia" w:ascii="宋体" w:hAnsi="宋体" w:cs="宋体"/>
                <w:kern w:val="0"/>
                <w:szCs w:val="20"/>
              </w:rPr>
              <w:t>Ⅳ</w:t>
            </w:r>
            <w:r>
              <w:rPr>
                <w:rFonts w:cs="Times New Roman"/>
                <w:kern w:val="0"/>
                <w:szCs w:val="20"/>
              </w:rPr>
              <w:t>类</w:t>
            </w:r>
            <w:r>
              <w:rPr>
                <w:rFonts w:hint="eastAsia" w:cs="Times New Roman"/>
                <w:kern w:val="0"/>
                <w:szCs w:val="20"/>
              </w:rPr>
              <w:t>标准</w:t>
            </w:r>
          </w:p>
        </w:tc>
      </w:tr>
      <w:tr w14:paraId="4CBD31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11" w:type="pct"/>
            <w:vMerge w:val="continue"/>
            <w:vAlign w:val="center"/>
          </w:tcPr>
          <w:p w14:paraId="72566437">
            <w:pPr>
              <w:pStyle w:val="445"/>
              <w:rPr>
                <w:rFonts w:cs="Times New Roman"/>
                <w:kern w:val="0"/>
                <w:szCs w:val="20"/>
              </w:rPr>
            </w:pPr>
          </w:p>
        </w:tc>
        <w:tc>
          <w:tcPr>
            <w:tcW w:w="474" w:type="pct"/>
            <w:vAlign w:val="center"/>
          </w:tcPr>
          <w:p w14:paraId="774F7A6D">
            <w:pPr>
              <w:pStyle w:val="445"/>
              <w:rPr>
                <w:rFonts w:cs="Times New Roman"/>
                <w:kern w:val="0"/>
                <w:szCs w:val="20"/>
              </w:rPr>
            </w:pPr>
            <w:r>
              <w:rPr>
                <w:rFonts w:hint="eastAsia" w:cs="Times New Roman"/>
                <w:kern w:val="0"/>
                <w:szCs w:val="20"/>
              </w:rPr>
              <w:t>沫冲引河</w:t>
            </w:r>
          </w:p>
        </w:tc>
        <w:tc>
          <w:tcPr>
            <w:tcW w:w="1650" w:type="pct"/>
            <w:vAlign w:val="center"/>
          </w:tcPr>
          <w:p w14:paraId="3F18AFE5">
            <w:pPr>
              <w:pStyle w:val="445"/>
              <w:rPr>
                <w:rFonts w:cs="Times New Roman"/>
                <w:kern w:val="0"/>
                <w:szCs w:val="20"/>
              </w:rPr>
            </w:pPr>
            <w:r>
              <w:rPr>
                <w:rFonts w:hint="eastAsia" w:cs="Times New Roman"/>
                <w:kern w:val="0"/>
                <w:szCs w:val="20"/>
              </w:rPr>
              <w:t>/</w:t>
            </w:r>
          </w:p>
        </w:tc>
        <w:tc>
          <w:tcPr>
            <w:tcW w:w="2564" w:type="pct"/>
            <w:vAlign w:val="center"/>
          </w:tcPr>
          <w:p w14:paraId="3120A741">
            <w:pPr>
              <w:pStyle w:val="445"/>
              <w:rPr>
                <w:rFonts w:cs="Times New Roman"/>
                <w:kern w:val="0"/>
                <w:szCs w:val="20"/>
              </w:rPr>
            </w:pPr>
            <w:r>
              <w:rPr>
                <w:rFonts w:hint="eastAsia" w:ascii="宋体" w:hAnsi="宋体" w:cs="Times New Roman"/>
                <w:kern w:val="0"/>
                <w:szCs w:val="20"/>
              </w:rPr>
              <w:t>《地表水环境质量标准》（</w:t>
            </w:r>
            <w:r>
              <w:rPr>
                <w:rFonts w:hint="eastAsia" w:cs="Times New Roman"/>
                <w:kern w:val="0"/>
                <w:szCs w:val="20"/>
              </w:rPr>
              <w:t>G</w:t>
            </w:r>
            <w:r>
              <w:rPr>
                <w:rFonts w:cs="Times New Roman"/>
                <w:kern w:val="0"/>
                <w:szCs w:val="20"/>
              </w:rPr>
              <w:t>B3838-2002</w:t>
            </w:r>
            <w:r>
              <w:rPr>
                <w:rFonts w:hint="eastAsia" w:ascii="宋体" w:hAnsi="宋体" w:cs="Times New Roman"/>
                <w:kern w:val="0"/>
                <w:szCs w:val="20"/>
              </w:rPr>
              <w:t>）中的</w:t>
            </w:r>
            <w:r>
              <w:rPr>
                <w:rFonts w:hint="eastAsia" w:ascii="宋体" w:hAnsi="宋体" w:cs="宋体"/>
                <w:kern w:val="0"/>
                <w:szCs w:val="20"/>
              </w:rPr>
              <w:t>Ⅳ</w:t>
            </w:r>
            <w:r>
              <w:rPr>
                <w:rFonts w:cs="Times New Roman"/>
                <w:kern w:val="0"/>
                <w:szCs w:val="20"/>
              </w:rPr>
              <w:t>类</w:t>
            </w:r>
            <w:r>
              <w:rPr>
                <w:rFonts w:hint="eastAsia" w:cs="Times New Roman"/>
                <w:kern w:val="0"/>
                <w:szCs w:val="20"/>
              </w:rPr>
              <w:t>标准</w:t>
            </w:r>
          </w:p>
        </w:tc>
      </w:tr>
      <w:tr w14:paraId="14D70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6" w:type="pct"/>
            <w:gridSpan w:val="2"/>
            <w:vAlign w:val="center"/>
          </w:tcPr>
          <w:p w14:paraId="717EF0FA">
            <w:pPr>
              <w:pStyle w:val="445"/>
              <w:rPr>
                <w:rFonts w:cs="Times New Roman"/>
                <w:kern w:val="0"/>
                <w:szCs w:val="20"/>
              </w:rPr>
            </w:pPr>
            <w:r>
              <w:rPr>
                <w:rFonts w:cs="Times New Roman"/>
                <w:kern w:val="0"/>
                <w:szCs w:val="20"/>
              </w:rPr>
              <w:t>地下水环境</w:t>
            </w:r>
          </w:p>
        </w:tc>
        <w:tc>
          <w:tcPr>
            <w:tcW w:w="1650" w:type="pct"/>
            <w:vAlign w:val="center"/>
          </w:tcPr>
          <w:p w14:paraId="2DEFA2AE">
            <w:pPr>
              <w:pStyle w:val="445"/>
              <w:rPr>
                <w:rFonts w:cs="Times New Roman"/>
                <w:kern w:val="0"/>
                <w:szCs w:val="20"/>
              </w:rPr>
            </w:pPr>
            <w:r>
              <w:rPr>
                <w:rFonts w:hint="eastAsia" w:cs="Times New Roman"/>
                <w:kern w:val="0"/>
                <w:szCs w:val="20"/>
              </w:rPr>
              <w:t>/</w:t>
            </w:r>
          </w:p>
        </w:tc>
        <w:tc>
          <w:tcPr>
            <w:tcW w:w="2564" w:type="pct"/>
            <w:vAlign w:val="center"/>
          </w:tcPr>
          <w:p w14:paraId="5D40AA6D">
            <w:pPr>
              <w:pStyle w:val="445"/>
              <w:rPr>
                <w:rFonts w:cs="Times New Roman"/>
                <w:kern w:val="0"/>
                <w:szCs w:val="20"/>
              </w:rPr>
            </w:pPr>
            <w:r>
              <w:rPr>
                <w:rFonts w:hint="eastAsia" w:cs="Times New Roman"/>
                <w:kern w:val="0"/>
                <w:szCs w:val="20"/>
              </w:rPr>
              <w:t>《地下水质量标准》（GB/T14848-2017）III类标准</w:t>
            </w:r>
          </w:p>
        </w:tc>
      </w:tr>
      <w:tr w14:paraId="53BFF1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6" w:type="pct"/>
            <w:gridSpan w:val="2"/>
            <w:vAlign w:val="center"/>
          </w:tcPr>
          <w:p w14:paraId="17466CDA">
            <w:pPr>
              <w:pStyle w:val="445"/>
              <w:rPr>
                <w:rFonts w:cs="Times New Roman"/>
                <w:kern w:val="0"/>
                <w:szCs w:val="20"/>
              </w:rPr>
            </w:pPr>
            <w:r>
              <w:rPr>
                <w:rFonts w:cs="Times New Roman"/>
                <w:kern w:val="0"/>
                <w:szCs w:val="20"/>
              </w:rPr>
              <w:t>空气环境</w:t>
            </w:r>
          </w:p>
        </w:tc>
        <w:tc>
          <w:tcPr>
            <w:tcW w:w="1650" w:type="pct"/>
            <w:vAlign w:val="center"/>
          </w:tcPr>
          <w:p w14:paraId="03CA9967">
            <w:pPr>
              <w:pStyle w:val="445"/>
              <w:rPr>
                <w:rFonts w:cs="Times New Roman"/>
                <w:kern w:val="0"/>
                <w:szCs w:val="20"/>
              </w:rPr>
            </w:pPr>
            <w:r>
              <w:rPr>
                <w:rFonts w:hint="eastAsia" w:cs="Times New Roman"/>
                <w:kern w:val="0"/>
                <w:szCs w:val="20"/>
              </w:rPr>
              <w:t>居住区、</w:t>
            </w:r>
            <w:r>
              <w:rPr>
                <w:rFonts w:cs="Times New Roman"/>
                <w:kern w:val="0"/>
                <w:szCs w:val="20"/>
              </w:rPr>
              <w:t>商业交通居民混合区、文化区、工业区和农村地区</w:t>
            </w:r>
          </w:p>
        </w:tc>
        <w:tc>
          <w:tcPr>
            <w:tcW w:w="2564" w:type="pct"/>
            <w:vAlign w:val="center"/>
          </w:tcPr>
          <w:p w14:paraId="0E6BAC5C">
            <w:pPr>
              <w:pStyle w:val="445"/>
              <w:rPr>
                <w:rFonts w:cs="Times New Roman"/>
                <w:kern w:val="0"/>
                <w:szCs w:val="20"/>
              </w:rPr>
            </w:pPr>
            <w:r>
              <w:rPr>
                <w:rFonts w:hint="eastAsia" w:cs="Times New Roman"/>
                <w:kern w:val="0"/>
                <w:szCs w:val="20"/>
              </w:rPr>
              <w:t>《环境空气质量标准》（GB3095-2012）二级标准</w:t>
            </w:r>
          </w:p>
        </w:tc>
      </w:tr>
      <w:tr w14:paraId="67432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6" w:type="pct"/>
            <w:gridSpan w:val="2"/>
            <w:vAlign w:val="center"/>
          </w:tcPr>
          <w:p w14:paraId="05AB4D84">
            <w:pPr>
              <w:pStyle w:val="445"/>
              <w:rPr>
                <w:rFonts w:cs="Times New Roman"/>
                <w:kern w:val="0"/>
                <w:szCs w:val="20"/>
              </w:rPr>
            </w:pPr>
            <w:r>
              <w:rPr>
                <w:rFonts w:cs="Times New Roman"/>
                <w:kern w:val="0"/>
                <w:szCs w:val="20"/>
              </w:rPr>
              <w:t>声环境</w:t>
            </w:r>
          </w:p>
        </w:tc>
        <w:tc>
          <w:tcPr>
            <w:tcW w:w="1650" w:type="pct"/>
            <w:vAlign w:val="center"/>
          </w:tcPr>
          <w:p w14:paraId="17C97BD9">
            <w:pPr>
              <w:pStyle w:val="445"/>
              <w:rPr>
                <w:rFonts w:cs="Times New Roman"/>
                <w:kern w:val="0"/>
                <w:szCs w:val="20"/>
              </w:rPr>
            </w:pPr>
            <w:r>
              <w:rPr>
                <w:rFonts w:hint="eastAsia" w:cs="Times New Roman"/>
                <w:kern w:val="0"/>
                <w:szCs w:val="20"/>
              </w:rPr>
              <w:t>以工业生产</w:t>
            </w:r>
            <w:r>
              <w:rPr>
                <w:rFonts w:cs="Times New Roman"/>
                <w:kern w:val="0"/>
                <w:szCs w:val="20"/>
              </w:rPr>
              <w:t>、仓储物流为主要功能</w:t>
            </w:r>
            <w:r>
              <w:rPr>
                <w:rFonts w:hint="eastAsia" w:cs="Times New Roman"/>
                <w:kern w:val="0"/>
                <w:szCs w:val="20"/>
              </w:rPr>
              <w:t>，需要防止工业噪声对</w:t>
            </w:r>
            <w:r>
              <w:rPr>
                <w:rFonts w:cs="Times New Roman"/>
                <w:kern w:val="0"/>
                <w:szCs w:val="20"/>
              </w:rPr>
              <w:t>周围环境</w:t>
            </w:r>
            <w:r>
              <w:rPr>
                <w:rFonts w:hint="eastAsia" w:cs="Times New Roman"/>
                <w:kern w:val="0"/>
                <w:szCs w:val="20"/>
              </w:rPr>
              <w:t>产生</w:t>
            </w:r>
            <w:r>
              <w:rPr>
                <w:rFonts w:cs="Times New Roman"/>
                <w:kern w:val="0"/>
                <w:szCs w:val="20"/>
              </w:rPr>
              <w:t>严重影响的区域</w:t>
            </w:r>
          </w:p>
        </w:tc>
        <w:tc>
          <w:tcPr>
            <w:tcW w:w="2564" w:type="pct"/>
            <w:vAlign w:val="center"/>
          </w:tcPr>
          <w:p w14:paraId="27A104D5">
            <w:pPr>
              <w:pStyle w:val="445"/>
              <w:rPr>
                <w:rFonts w:cs="Times New Roman"/>
                <w:kern w:val="0"/>
                <w:szCs w:val="20"/>
              </w:rPr>
            </w:pPr>
            <w:r>
              <w:rPr>
                <w:rFonts w:hint="eastAsia" w:cs="Times New Roman"/>
                <w:kern w:val="0"/>
                <w:szCs w:val="20"/>
              </w:rPr>
              <w:t>《声环境质量标准》（GB3096-2008）</w:t>
            </w:r>
            <w:r>
              <w:rPr>
                <w:rFonts w:cs="Times New Roman"/>
                <w:kern w:val="0"/>
                <w:szCs w:val="20"/>
              </w:rPr>
              <w:t>3</w:t>
            </w:r>
            <w:r>
              <w:rPr>
                <w:rFonts w:hint="eastAsia" w:cs="Times New Roman"/>
                <w:kern w:val="0"/>
                <w:szCs w:val="20"/>
              </w:rPr>
              <w:t>类标准</w:t>
            </w:r>
          </w:p>
        </w:tc>
      </w:tr>
      <w:tr w14:paraId="6B451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86" w:type="pct"/>
            <w:gridSpan w:val="2"/>
            <w:vMerge w:val="restart"/>
            <w:vAlign w:val="center"/>
          </w:tcPr>
          <w:p w14:paraId="153F75D3">
            <w:pPr>
              <w:pStyle w:val="445"/>
              <w:rPr>
                <w:rFonts w:cs="Times New Roman"/>
                <w:kern w:val="0"/>
                <w:szCs w:val="20"/>
              </w:rPr>
            </w:pPr>
            <w:r>
              <w:rPr>
                <w:rFonts w:cs="Times New Roman"/>
                <w:kern w:val="0"/>
                <w:szCs w:val="20"/>
              </w:rPr>
              <w:t>土壤</w:t>
            </w:r>
          </w:p>
        </w:tc>
        <w:tc>
          <w:tcPr>
            <w:tcW w:w="1650" w:type="pct"/>
            <w:vAlign w:val="center"/>
          </w:tcPr>
          <w:p w14:paraId="3E97E809">
            <w:pPr>
              <w:pStyle w:val="445"/>
              <w:rPr>
                <w:rFonts w:cs="Times New Roman"/>
                <w:kern w:val="0"/>
                <w:szCs w:val="20"/>
              </w:rPr>
            </w:pPr>
            <w:r>
              <w:rPr>
                <w:rFonts w:hint="eastAsia" w:cs="Times New Roman"/>
                <w:kern w:val="0"/>
                <w:szCs w:val="20"/>
              </w:rPr>
              <w:t>建设用地</w:t>
            </w:r>
          </w:p>
        </w:tc>
        <w:tc>
          <w:tcPr>
            <w:tcW w:w="2564" w:type="pct"/>
            <w:vAlign w:val="center"/>
          </w:tcPr>
          <w:p w14:paraId="64AD6694">
            <w:pPr>
              <w:pStyle w:val="445"/>
              <w:rPr>
                <w:rFonts w:cs="Times New Roman"/>
                <w:kern w:val="0"/>
                <w:szCs w:val="20"/>
              </w:rPr>
            </w:pPr>
            <w:r>
              <w:rPr>
                <w:rFonts w:cs="Times New Roman"/>
                <w:kern w:val="0"/>
                <w:szCs w:val="20"/>
              </w:rPr>
              <w:t>《土壤环境质量 建设用地土壤污染风险管控标准（试行）》（GB36600-2018）</w:t>
            </w:r>
            <w:r>
              <w:rPr>
                <w:rFonts w:hint="eastAsia" w:cs="Times New Roman"/>
                <w:kern w:val="0"/>
                <w:szCs w:val="20"/>
              </w:rPr>
              <w:t>中第二类用地</w:t>
            </w:r>
            <w:r>
              <w:rPr>
                <w:rFonts w:cs="Times New Roman"/>
                <w:kern w:val="0"/>
                <w:szCs w:val="20"/>
              </w:rPr>
              <w:t>风险筛选值</w:t>
            </w:r>
          </w:p>
        </w:tc>
      </w:tr>
      <w:tr w14:paraId="323A4B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0" w:type="auto"/>
            <w:gridSpan w:val="2"/>
            <w:vMerge w:val="continue"/>
            <w:vAlign w:val="center"/>
          </w:tcPr>
          <w:p w14:paraId="54748BD1">
            <w:pPr>
              <w:pStyle w:val="445"/>
              <w:rPr>
                <w:rFonts w:cs="Times New Roman"/>
                <w:kern w:val="0"/>
                <w:szCs w:val="18"/>
              </w:rPr>
            </w:pPr>
          </w:p>
        </w:tc>
        <w:tc>
          <w:tcPr>
            <w:tcW w:w="1650" w:type="pct"/>
            <w:vAlign w:val="center"/>
          </w:tcPr>
          <w:p w14:paraId="1624ABAB">
            <w:pPr>
              <w:pStyle w:val="445"/>
              <w:rPr>
                <w:rFonts w:cs="Times New Roman"/>
                <w:kern w:val="0"/>
                <w:szCs w:val="20"/>
              </w:rPr>
            </w:pPr>
            <w:r>
              <w:rPr>
                <w:rFonts w:hint="eastAsia" w:cs="Times New Roman"/>
                <w:kern w:val="0"/>
                <w:szCs w:val="20"/>
              </w:rPr>
              <w:t>农用地</w:t>
            </w:r>
          </w:p>
        </w:tc>
        <w:tc>
          <w:tcPr>
            <w:tcW w:w="2564" w:type="pct"/>
            <w:vAlign w:val="center"/>
          </w:tcPr>
          <w:p w14:paraId="17DA7153">
            <w:pPr>
              <w:pStyle w:val="445"/>
              <w:rPr>
                <w:rFonts w:cs="Times New Roman"/>
                <w:kern w:val="0"/>
                <w:szCs w:val="20"/>
              </w:rPr>
            </w:pPr>
            <w:r>
              <w:rPr>
                <w:rFonts w:hint="eastAsia" w:cs="Times New Roman"/>
                <w:kern w:val="0"/>
                <w:szCs w:val="20"/>
              </w:rPr>
              <w:t>《土壤环境质量 农用地土壤污染风险管控标准</w:t>
            </w:r>
            <w:r>
              <w:rPr>
                <w:rFonts w:cs="Times New Roman"/>
                <w:kern w:val="0"/>
                <w:szCs w:val="20"/>
              </w:rPr>
              <w:t>（试行）</w:t>
            </w:r>
            <w:r>
              <w:rPr>
                <w:rFonts w:hint="eastAsia" w:cs="Times New Roman"/>
                <w:kern w:val="0"/>
                <w:szCs w:val="20"/>
              </w:rPr>
              <w:t>》（GB15618-2018）</w:t>
            </w:r>
            <w:r>
              <w:rPr>
                <w:rFonts w:cs="Times New Roman"/>
                <w:kern w:val="0"/>
                <w:szCs w:val="20"/>
              </w:rPr>
              <w:t>中相应标准</w:t>
            </w:r>
          </w:p>
        </w:tc>
      </w:tr>
    </w:tbl>
    <w:p w14:paraId="5D321D73">
      <w:pPr>
        <w:ind w:firstLine="0" w:firstLineChars="0"/>
      </w:pPr>
    </w:p>
    <w:p w14:paraId="6DDE13B6">
      <w:pPr>
        <w:pStyle w:val="4064"/>
        <w:sectPr>
          <w:pgSz w:w="11906" w:h="16838"/>
          <w:pgMar w:top="1440" w:right="1440" w:bottom="1440" w:left="1440" w:header="851" w:footer="992" w:gutter="0"/>
          <w:cols w:space="425" w:num="1"/>
          <w:docGrid w:type="lines" w:linePitch="326" w:charSpace="0"/>
        </w:sectPr>
      </w:pPr>
    </w:p>
    <w:p w14:paraId="6C893C43">
      <w:pPr>
        <w:pStyle w:val="4064"/>
      </w:pPr>
      <w:bookmarkStart w:id="63" w:name="_Toc108662565"/>
      <w:r>
        <w:rPr>
          <w:rFonts w:hint="eastAsia"/>
        </w:rPr>
        <w:t>3、建设项目工程分析</w:t>
      </w:r>
      <w:bookmarkEnd w:id="63"/>
    </w:p>
    <w:p w14:paraId="4288BAA8">
      <w:pPr>
        <w:pStyle w:val="4065"/>
      </w:pPr>
      <w:bookmarkStart w:id="64" w:name="_Toc108662566"/>
      <w:r>
        <w:rPr>
          <w:rFonts w:hint="eastAsia"/>
        </w:rPr>
        <w:t>3</w:t>
      </w:r>
      <w:r>
        <w:t>.1现有工程概况</w:t>
      </w:r>
      <w:bookmarkEnd w:id="64"/>
    </w:p>
    <w:p w14:paraId="32663672">
      <w:pPr>
        <w:pStyle w:val="4068"/>
      </w:pPr>
      <w:bookmarkStart w:id="65" w:name="_Toc100783972"/>
      <w:bookmarkStart w:id="66" w:name="_Toc101135804"/>
      <w:bookmarkStart w:id="67" w:name="_Toc108662567"/>
      <w:r>
        <w:rPr>
          <w:rFonts w:hint="eastAsia"/>
        </w:rPr>
        <w:t>3</w:t>
      </w:r>
      <w:r>
        <w:t>.1.1现有工程基本情况</w:t>
      </w:r>
      <w:bookmarkEnd w:id="65"/>
      <w:bookmarkEnd w:id="66"/>
      <w:bookmarkEnd w:id="67"/>
    </w:p>
    <w:p w14:paraId="0313D3F7">
      <w:pPr>
        <w:ind w:firstLine="480"/>
      </w:pPr>
      <w:r>
        <w:t>安徽凯盛</w:t>
      </w:r>
      <w:r>
        <w:rPr>
          <w:rFonts w:hint="eastAsia"/>
        </w:rPr>
        <w:t>应用</w:t>
      </w:r>
      <w:r>
        <w:t>材料</w:t>
      </w:r>
      <w:r>
        <w:rPr>
          <w:rFonts w:hint="eastAsia"/>
        </w:rPr>
        <w:t>有限</w:t>
      </w:r>
      <w:r>
        <w:t>公司</w:t>
      </w:r>
      <w:r>
        <w:rPr>
          <w:rFonts w:hint="eastAsia"/>
        </w:rPr>
        <w:t>位于安徽蚌埠淮上经济开发区开源大道2</w:t>
      </w:r>
      <w:r>
        <w:t>8</w:t>
      </w:r>
      <w:r>
        <w:rPr>
          <w:rFonts w:hint="eastAsia"/>
        </w:rPr>
        <w:t>号，是凯盛科技股份有限公司2</w:t>
      </w:r>
      <w:r>
        <w:t>014年设立的子公司</w:t>
      </w:r>
      <w:r>
        <w:rPr>
          <w:rFonts w:hint="eastAsia"/>
        </w:rPr>
        <w:t>，</w:t>
      </w:r>
      <w:r>
        <w:t>注册资本为</w:t>
      </w:r>
      <w:r>
        <w:rPr>
          <w:rFonts w:hint="eastAsia"/>
        </w:rPr>
        <w:t>5</w:t>
      </w:r>
      <w:r>
        <w:t>594.06万元</w:t>
      </w:r>
      <w:r>
        <w:rPr>
          <w:rFonts w:hint="eastAsia"/>
        </w:rPr>
        <w:t>，</w:t>
      </w:r>
      <w:r>
        <w:t>其中凯盛科技占股</w:t>
      </w:r>
      <w:r>
        <w:rPr>
          <w:rFonts w:hint="eastAsia"/>
        </w:rPr>
        <w:t>6</w:t>
      </w:r>
      <w:r>
        <w:t>2.57</w:t>
      </w:r>
      <w:r>
        <w:rPr>
          <w:rFonts w:hint="eastAsia"/>
        </w:rPr>
        <w:t>%，</w:t>
      </w:r>
      <w:r>
        <w:t>蚌埠中创投资有限责任公司占股</w:t>
      </w:r>
      <w:r>
        <w:rPr>
          <w:rFonts w:hint="eastAsia"/>
        </w:rPr>
        <w:t>3</w:t>
      </w:r>
      <w:r>
        <w:t>7.43</w:t>
      </w:r>
      <w:r>
        <w:rPr>
          <w:rFonts w:hint="eastAsia"/>
        </w:rPr>
        <w:t>%。</w:t>
      </w:r>
    </w:p>
    <w:p w14:paraId="716DB86F">
      <w:pPr>
        <w:pStyle w:val="4068"/>
      </w:pPr>
      <w:r>
        <w:rPr>
          <w:rFonts w:hint="eastAsia"/>
        </w:rPr>
        <w:t>3</w:t>
      </w:r>
      <w:r>
        <w:t>.1.2现有</w:t>
      </w:r>
      <w:r>
        <w:rPr>
          <w:rFonts w:hint="eastAsia"/>
        </w:rPr>
        <w:t>厂区平面布置</w:t>
      </w:r>
    </w:p>
    <w:p w14:paraId="7015F2F4">
      <w:pPr>
        <w:ind w:firstLine="480"/>
        <w:rPr>
          <w:kern w:val="0"/>
        </w:rPr>
      </w:pPr>
      <w:r>
        <w:rPr>
          <w:rFonts w:hint="eastAsia" w:ascii="宋体" w:hAnsi="宋体"/>
        </w:rPr>
        <w:t>安徽凯盛应用材料有限公司位于安徽蚌埠淮上经济开发区开源大道</w:t>
      </w:r>
      <w:r>
        <w:rPr>
          <w:rFonts w:hint="eastAsia"/>
        </w:rPr>
        <w:t>28</w:t>
      </w:r>
      <w:r>
        <w:rPr>
          <w:rFonts w:hint="eastAsia" w:ascii="宋体" w:hAnsi="宋体"/>
        </w:rPr>
        <w:t>号，</w:t>
      </w:r>
      <w:r>
        <w:rPr>
          <w:rFonts w:hint="eastAsia" w:ascii="宋体" w:hAnsi="宋体"/>
          <w:kern w:val="0"/>
        </w:rPr>
        <w:t>紧邻</w:t>
      </w:r>
      <w:r>
        <w:rPr>
          <w:rFonts w:hint="eastAsia" w:ascii="宋体" w:hAnsi="宋体"/>
        </w:rPr>
        <w:t>开源大道和</w:t>
      </w:r>
      <w:r>
        <w:rPr>
          <w:rFonts w:ascii="宋体" w:hAnsi="宋体"/>
        </w:rPr>
        <w:t>金</w:t>
      </w:r>
      <w:r>
        <w:rPr>
          <w:rFonts w:hint="eastAsia" w:ascii="宋体" w:hAnsi="宋体"/>
        </w:rPr>
        <w:t>潼</w:t>
      </w:r>
      <w:r>
        <w:rPr>
          <w:rFonts w:ascii="宋体" w:hAnsi="宋体"/>
        </w:rPr>
        <w:t>路</w:t>
      </w:r>
      <w:r>
        <w:rPr>
          <w:rFonts w:hint="eastAsia" w:ascii="宋体" w:hAnsi="宋体"/>
          <w:kern w:val="0"/>
        </w:rPr>
        <w:t>，交通便捷。</w:t>
      </w:r>
    </w:p>
    <w:p w14:paraId="15167B38">
      <w:pPr>
        <w:ind w:firstLine="480"/>
      </w:pPr>
      <w:r>
        <w:rPr>
          <w:rFonts w:hint="eastAsia" w:ascii="宋体" w:hAnsi="宋体"/>
        </w:rPr>
        <w:t>现有厂区平面布置按节约用地、布局紧凑又便于生产管理的原则，适当利用道路和绿化带合理布局各功能分区。根据各自生产的特性及功能需求，现有厂区可分为五大功能区，分别为办公生活区、生产区、储罐区、废水处理区、公用及辅助设施区等。</w:t>
      </w:r>
    </w:p>
    <w:p w14:paraId="1A81E17F">
      <w:pPr>
        <w:ind w:firstLine="480"/>
      </w:pPr>
      <w:r>
        <w:rPr>
          <w:rFonts w:hint="eastAsia" w:ascii="宋体" w:hAnsi="宋体"/>
        </w:rPr>
        <w:t>（</w:t>
      </w:r>
      <w:r>
        <w:rPr>
          <w:rFonts w:hint="eastAsia"/>
        </w:rPr>
        <w:t>1</w:t>
      </w:r>
      <w:r>
        <w:rPr>
          <w:rFonts w:hint="eastAsia" w:ascii="宋体" w:hAnsi="宋体"/>
        </w:rPr>
        <w:t>）办公生活区</w:t>
      </w:r>
    </w:p>
    <w:p w14:paraId="03B489ED">
      <w:pPr>
        <w:autoSpaceDE w:val="0"/>
        <w:autoSpaceDN w:val="0"/>
        <w:ind w:firstLine="480"/>
        <w:rPr>
          <w:rFonts w:cs="宋体"/>
          <w:kern w:val="0"/>
        </w:rPr>
      </w:pPr>
      <w:r>
        <w:rPr>
          <w:rFonts w:hint="eastAsia" w:ascii="宋体" w:hAnsi="宋体"/>
          <w:kern w:val="0"/>
        </w:rPr>
        <w:t>该区</w:t>
      </w:r>
      <w:r>
        <w:rPr>
          <w:rFonts w:ascii="宋体" w:hAnsi="宋体" w:cs="宋体"/>
          <w:kern w:val="0"/>
        </w:rPr>
        <w:t>位于</w:t>
      </w:r>
      <w:r>
        <w:rPr>
          <w:rFonts w:hint="eastAsia" w:ascii="宋体" w:hAnsi="宋体"/>
          <w:kern w:val="0"/>
        </w:rPr>
        <w:t>厂区西北</w:t>
      </w:r>
      <w:r>
        <w:rPr>
          <w:rFonts w:ascii="宋体" w:hAnsi="宋体" w:cs="宋体"/>
          <w:kern w:val="0"/>
        </w:rPr>
        <w:t>部</w:t>
      </w:r>
      <w:r>
        <w:rPr>
          <w:rFonts w:hint="eastAsia" w:ascii="宋体" w:hAnsi="宋体"/>
          <w:kern w:val="0"/>
        </w:rPr>
        <w:t>，包括</w:t>
      </w:r>
      <w:r>
        <w:rPr>
          <w:rFonts w:ascii="宋体" w:hAnsi="宋体" w:cs="宋体"/>
          <w:kern w:val="0"/>
        </w:rPr>
        <w:t>办公楼</w:t>
      </w:r>
      <w:r>
        <w:rPr>
          <w:rFonts w:hint="eastAsia" w:ascii="宋体" w:hAnsi="宋体"/>
          <w:kern w:val="0"/>
        </w:rPr>
        <w:t>和</w:t>
      </w:r>
      <w:r>
        <w:rPr>
          <w:rFonts w:ascii="宋体" w:hAnsi="宋体" w:cs="宋体"/>
          <w:kern w:val="0"/>
        </w:rPr>
        <w:t>综合楼</w:t>
      </w:r>
      <w:r>
        <w:rPr>
          <w:rFonts w:hint="eastAsia" w:ascii="宋体" w:hAnsi="宋体"/>
          <w:kern w:val="0"/>
        </w:rPr>
        <w:t>，区内环境相对清洁独立，进出管理方便。</w:t>
      </w:r>
    </w:p>
    <w:p w14:paraId="401BF2D5">
      <w:pPr>
        <w:ind w:firstLine="480"/>
        <w:rPr>
          <w:rFonts w:cs="Times New Roman"/>
        </w:rPr>
      </w:pPr>
      <w:r>
        <w:rPr>
          <w:rFonts w:hint="eastAsia" w:ascii="宋体" w:hAnsi="宋体"/>
        </w:rPr>
        <w:t>（</w:t>
      </w:r>
      <w:r>
        <w:rPr>
          <w:rFonts w:hint="eastAsia"/>
        </w:rPr>
        <w:t>2</w:t>
      </w:r>
      <w:r>
        <w:rPr>
          <w:rFonts w:hint="eastAsia" w:ascii="宋体" w:hAnsi="宋体"/>
        </w:rPr>
        <w:t>）生产区</w:t>
      </w:r>
    </w:p>
    <w:p w14:paraId="0B3FB5E4">
      <w:pPr>
        <w:ind w:firstLine="480"/>
      </w:pPr>
      <w:r>
        <w:rPr>
          <w:rFonts w:hint="eastAsia" w:ascii="宋体" w:hAnsi="宋体"/>
        </w:rPr>
        <w:t>该区位于厂区中部位置，主要包括钛酸钡</w:t>
      </w:r>
      <w:r>
        <w:rPr>
          <w:rFonts w:ascii="宋体" w:hAnsi="宋体"/>
        </w:rPr>
        <w:t>生产车间（</w:t>
      </w:r>
      <w:r>
        <w:rPr>
          <w:rFonts w:hint="eastAsia"/>
        </w:rPr>
        <w:t>B</w:t>
      </w:r>
      <w:r>
        <w:t>1</w:t>
      </w:r>
      <w:r>
        <w:rPr>
          <w:rFonts w:hint="eastAsia" w:ascii="宋体" w:hAnsi="宋体"/>
        </w:rPr>
        <w:t>厂房</w:t>
      </w:r>
      <w:r>
        <w:rPr>
          <w:rFonts w:ascii="宋体" w:hAnsi="宋体"/>
        </w:rPr>
        <w:t>）</w:t>
      </w:r>
      <w:r>
        <w:rPr>
          <w:rFonts w:hint="eastAsia" w:ascii="宋体" w:hAnsi="宋体"/>
        </w:rPr>
        <w:t>、抛光研磨材料</w:t>
      </w:r>
      <w:r>
        <w:rPr>
          <w:rFonts w:ascii="宋体" w:hAnsi="宋体"/>
        </w:rPr>
        <w:t>生产车间（</w:t>
      </w:r>
      <w:r>
        <w:rPr>
          <w:rFonts w:hint="eastAsia"/>
        </w:rPr>
        <w:t>C</w:t>
      </w:r>
      <w:r>
        <w:t>1</w:t>
      </w:r>
      <w:r>
        <w:rPr>
          <w:rFonts w:hint="eastAsia" w:ascii="宋体" w:hAnsi="宋体"/>
        </w:rPr>
        <w:t>厂房</w:t>
      </w:r>
      <w:r>
        <w:rPr>
          <w:rFonts w:ascii="宋体" w:hAnsi="宋体"/>
        </w:rPr>
        <w:t>）</w:t>
      </w:r>
      <w:r>
        <w:rPr>
          <w:rFonts w:hint="eastAsia" w:ascii="宋体" w:hAnsi="宋体"/>
        </w:rPr>
        <w:t>和光伏用二氧化硅实验室（</w:t>
      </w:r>
      <w:r>
        <w:rPr>
          <w:rFonts w:hint="eastAsia"/>
        </w:rPr>
        <w:t>A1</w:t>
      </w:r>
      <w:r>
        <w:rPr>
          <w:rFonts w:hint="eastAsia" w:ascii="宋体" w:hAnsi="宋体"/>
        </w:rPr>
        <w:t>厂房），距离办公生活区有一定的距离，对员工的办公生活影响较小。</w:t>
      </w:r>
    </w:p>
    <w:p w14:paraId="26319D82">
      <w:pPr>
        <w:ind w:firstLine="480"/>
      </w:pPr>
      <w:r>
        <w:rPr>
          <w:rFonts w:hint="eastAsia" w:ascii="宋体" w:hAnsi="宋体"/>
        </w:rPr>
        <w:t>（</w:t>
      </w:r>
      <w:r>
        <w:rPr>
          <w:rFonts w:hint="eastAsia"/>
        </w:rPr>
        <w:t>3</w:t>
      </w:r>
      <w:r>
        <w:rPr>
          <w:rFonts w:hint="eastAsia" w:ascii="宋体" w:hAnsi="宋体"/>
        </w:rPr>
        <w:t>）储罐区</w:t>
      </w:r>
    </w:p>
    <w:p w14:paraId="5874481C">
      <w:pPr>
        <w:ind w:firstLine="480"/>
      </w:pPr>
      <w:r>
        <w:rPr>
          <w:rFonts w:hint="eastAsia" w:ascii="宋体" w:hAnsi="宋体"/>
        </w:rPr>
        <w:t>该区</w:t>
      </w:r>
      <w:r>
        <w:rPr>
          <w:rFonts w:ascii="宋体" w:hAnsi="宋体"/>
        </w:rPr>
        <w:t>位于</w:t>
      </w:r>
      <w:r>
        <w:rPr>
          <w:rFonts w:hint="eastAsia" w:ascii="宋体" w:hAnsi="宋体"/>
        </w:rPr>
        <w:t>生产区南侧</w:t>
      </w:r>
      <w:r>
        <w:rPr>
          <w:rFonts w:ascii="宋体" w:hAnsi="宋体"/>
        </w:rPr>
        <w:t>和</w:t>
      </w:r>
      <w:r>
        <w:rPr>
          <w:rFonts w:hint="eastAsia" w:ascii="宋体" w:hAnsi="宋体"/>
        </w:rPr>
        <w:t>钛酸钡</w:t>
      </w:r>
      <w:r>
        <w:rPr>
          <w:rFonts w:ascii="宋体" w:hAnsi="宋体"/>
        </w:rPr>
        <w:t>生产车间（</w:t>
      </w:r>
      <w:r>
        <w:rPr>
          <w:rFonts w:hint="eastAsia"/>
        </w:rPr>
        <w:t>B</w:t>
      </w:r>
      <w:r>
        <w:t>1</w:t>
      </w:r>
      <w:r>
        <w:rPr>
          <w:rFonts w:hint="eastAsia" w:ascii="宋体" w:hAnsi="宋体"/>
        </w:rPr>
        <w:t>厂房</w:t>
      </w:r>
      <w:r>
        <w:rPr>
          <w:rFonts w:ascii="宋体" w:hAnsi="宋体"/>
        </w:rPr>
        <w:t>）</w:t>
      </w:r>
      <w:r>
        <w:rPr>
          <w:rFonts w:hint="eastAsia" w:ascii="宋体" w:hAnsi="宋体"/>
        </w:rPr>
        <w:t>西侧</w:t>
      </w:r>
      <w:r>
        <w:rPr>
          <w:rFonts w:ascii="宋体" w:hAnsi="宋体"/>
        </w:rPr>
        <w:t>，主要包括</w:t>
      </w:r>
      <w:r>
        <w:rPr>
          <w:rFonts w:hint="eastAsia" w:ascii="宋体" w:hAnsi="宋体"/>
        </w:rPr>
        <w:t>四氯化钛储罐区和</w:t>
      </w:r>
      <w:r>
        <w:rPr>
          <w:rFonts w:ascii="宋体" w:hAnsi="宋体"/>
        </w:rPr>
        <w:t>氨水储罐区，位于生产</w:t>
      </w:r>
      <w:r>
        <w:rPr>
          <w:rFonts w:hint="eastAsia" w:ascii="宋体" w:hAnsi="宋体"/>
        </w:rPr>
        <w:t>车间</w:t>
      </w:r>
      <w:r>
        <w:rPr>
          <w:rFonts w:ascii="宋体" w:hAnsi="宋体"/>
        </w:rPr>
        <w:t>附近，便于原辅料的</w:t>
      </w:r>
      <w:r>
        <w:rPr>
          <w:rFonts w:hint="eastAsia" w:ascii="宋体" w:hAnsi="宋体"/>
        </w:rPr>
        <w:t>输送。</w:t>
      </w:r>
    </w:p>
    <w:p w14:paraId="7FFF49BD">
      <w:pPr>
        <w:ind w:firstLine="480"/>
      </w:pPr>
      <w:r>
        <w:rPr>
          <w:rFonts w:hint="eastAsia" w:ascii="宋体" w:hAnsi="宋体"/>
        </w:rPr>
        <w:t>（</w:t>
      </w:r>
      <w:r>
        <w:rPr>
          <w:rFonts w:hint="eastAsia"/>
        </w:rPr>
        <w:t>4</w:t>
      </w:r>
      <w:r>
        <w:rPr>
          <w:rFonts w:hint="eastAsia" w:ascii="宋体" w:hAnsi="宋体"/>
        </w:rPr>
        <w:t>）废水处理区</w:t>
      </w:r>
    </w:p>
    <w:p w14:paraId="7FBCC341">
      <w:pPr>
        <w:ind w:firstLine="480"/>
        <w:rPr>
          <w:rFonts w:cs="宋体"/>
          <w:kern w:val="0"/>
        </w:rPr>
      </w:pPr>
      <w:r>
        <w:rPr>
          <w:rFonts w:hint="eastAsia" w:ascii="宋体" w:hAnsi="宋体"/>
        </w:rPr>
        <w:t>该</w:t>
      </w:r>
      <w:r>
        <w:rPr>
          <w:rFonts w:ascii="宋体" w:hAnsi="宋体"/>
        </w:rPr>
        <w:t>区</w:t>
      </w:r>
      <w:r>
        <w:rPr>
          <w:rFonts w:hint="eastAsia" w:ascii="宋体" w:hAnsi="宋体"/>
        </w:rPr>
        <w:t>生产区南侧，</w:t>
      </w:r>
      <w:r>
        <w:rPr>
          <w:rFonts w:ascii="宋体" w:hAnsi="宋体"/>
        </w:rPr>
        <w:t>设有</w:t>
      </w:r>
      <w:r>
        <w:rPr>
          <w:rFonts w:hint="eastAsia" w:ascii="宋体" w:hAnsi="宋体"/>
        </w:rPr>
        <w:t>中和池、脱氨塔、</w:t>
      </w:r>
      <w:r>
        <w:rPr>
          <w:rFonts w:ascii="宋体" w:hAnsi="宋体"/>
        </w:rPr>
        <w:t>沉淀池等</w:t>
      </w:r>
      <w:r>
        <w:rPr>
          <w:rFonts w:hint="eastAsia" w:ascii="宋体" w:hAnsi="宋体"/>
        </w:rPr>
        <w:t>，</w:t>
      </w:r>
      <w:r>
        <w:rPr>
          <w:rFonts w:ascii="宋体" w:hAnsi="宋体" w:cs="宋体"/>
          <w:kern w:val="0"/>
        </w:rPr>
        <w:t>用于</w:t>
      </w:r>
      <w:r>
        <w:rPr>
          <w:rFonts w:hint="eastAsia" w:ascii="宋体" w:hAnsi="宋体"/>
          <w:kern w:val="0"/>
        </w:rPr>
        <w:t>生产</w:t>
      </w:r>
      <w:r>
        <w:rPr>
          <w:rFonts w:ascii="宋体" w:hAnsi="宋体" w:cs="宋体"/>
          <w:kern w:val="0"/>
        </w:rPr>
        <w:t>废水的处理</w:t>
      </w:r>
      <w:r>
        <w:rPr>
          <w:rFonts w:hint="eastAsia" w:ascii="宋体" w:hAnsi="宋体"/>
          <w:kern w:val="0"/>
        </w:rPr>
        <w:t>。</w:t>
      </w:r>
    </w:p>
    <w:p w14:paraId="079B8E86">
      <w:pPr>
        <w:ind w:firstLine="480"/>
        <w:rPr>
          <w:rFonts w:cs="宋体"/>
          <w:kern w:val="0"/>
        </w:rPr>
      </w:pPr>
      <w:r>
        <w:rPr>
          <w:rFonts w:hint="eastAsia" w:ascii="宋体" w:hAnsi="宋体"/>
          <w:kern w:val="0"/>
        </w:rPr>
        <w:t>（</w:t>
      </w:r>
      <w:r>
        <w:rPr>
          <w:rFonts w:hint="eastAsia"/>
          <w:kern w:val="0"/>
        </w:rPr>
        <w:t>5</w:t>
      </w:r>
      <w:r>
        <w:rPr>
          <w:rFonts w:hint="eastAsia" w:ascii="宋体" w:hAnsi="宋体"/>
          <w:kern w:val="0"/>
        </w:rPr>
        <w:t>）</w:t>
      </w:r>
      <w:r>
        <w:rPr>
          <w:rFonts w:hint="eastAsia" w:ascii="宋体" w:hAnsi="宋体"/>
        </w:rPr>
        <w:t>公用及辅助设施区</w:t>
      </w:r>
    </w:p>
    <w:p w14:paraId="75B77288">
      <w:pPr>
        <w:ind w:firstLine="480"/>
        <w:rPr>
          <w:rFonts w:cs="Times New Roman"/>
        </w:rPr>
      </w:pPr>
      <w:r>
        <w:rPr>
          <w:rFonts w:hint="eastAsia" w:ascii="宋体" w:hAnsi="宋体"/>
          <w:kern w:val="0"/>
        </w:rPr>
        <w:t>该区主要包括空压机室</w:t>
      </w:r>
      <w:r>
        <w:rPr>
          <w:rFonts w:ascii="宋体" w:hAnsi="宋体" w:cs="宋体"/>
          <w:kern w:val="0"/>
        </w:rPr>
        <w:t>、</w:t>
      </w:r>
      <w:r>
        <w:rPr>
          <w:rFonts w:hint="eastAsia" w:ascii="宋体" w:hAnsi="宋体"/>
          <w:kern w:val="0"/>
        </w:rPr>
        <w:t>循环</w:t>
      </w:r>
      <w:r>
        <w:rPr>
          <w:rFonts w:ascii="宋体" w:hAnsi="宋体" w:cs="宋体"/>
          <w:kern w:val="0"/>
        </w:rPr>
        <w:t>冷却水塔</w:t>
      </w:r>
      <w:r>
        <w:rPr>
          <w:rFonts w:hint="eastAsia" w:ascii="宋体" w:hAnsi="宋体"/>
          <w:kern w:val="0"/>
        </w:rPr>
        <w:t>、导热</w:t>
      </w:r>
      <w:r>
        <w:rPr>
          <w:rFonts w:ascii="宋体" w:hAnsi="宋体" w:cs="宋体"/>
          <w:kern w:val="0"/>
        </w:rPr>
        <w:t>油炉房</w:t>
      </w:r>
      <w:r>
        <w:rPr>
          <w:rFonts w:hint="eastAsia" w:ascii="宋体" w:hAnsi="宋体"/>
          <w:kern w:val="0"/>
        </w:rPr>
        <w:t>、电控室、消防水池等，分别布置在生产区四周，便于满足生产需求。</w:t>
      </w:r>
    </w:p>
    <w:p w14:paraId="19B1D307">
      <w:pPr>
        <w:ind w:firstLine="480"/>
      </w:pPr>
      <w:r>
        <w:rPr>
          <w:rFonts w:hint="eastAsia" w:ascii="宋体" w:hAnsi="宋体"/>
        </w:rPr>
        <w:t>厂区分区明确，各生产工序均在生产车间内进行，原料库、生产车间、成品仓库之间布置便于物料输送，厂内道路满足消防和运输的要求。</w:t>
      </w:r>
      <w:r>
        <w:rPr>
          <w:rFonts w:ascii="宋体" w:hAnsi="宋体"/>
        </w:rPr>
        <w:t>现有厂区</w:t>
      </w:r>
      <w:r>
        <w:rPr>
          <w:rFonts w:hint="eastAsia" w:ascii="宋体" w:hAnsi="宋体"/>
        </w:rPr>
        <w:t>总平面</w:t>
      </w:r>
      <w:r>
        <w:rPr>
          <w:rFonts w:ascii="宋体" w:hAnsi="宋体"/>
        </w:rPr>
        <w:t>布置图见图</w:t>
      </w:r>
      <w:r>
        <w:rPr>
          <w:rFonts w:hint="eastAsia"/>
        </w:rPr>
        <w:t>3.1.2-1</w:t>
      </w:r>
      <w:r>
        <w:rPr>
          <w:rFonts w:hint="eastAsia" w:ascii="宋体" w:hAnsi="宋体"/>
        </w:rPr>
        <w:t>。</w:t>
      </w:r>
    </w:p>
    <w:p w14:paraId="2FFE548A">
      <w:pPr>
        <w:pStyle w:val="4068"/>
      </w:pPr>
      <w:bookmarkStart w:id="68" w:name="_Toc108662568"/>
      <w:bookmarkStart w:id="69" w:name="_Toc100783973"/>
      <w:bookmarkStart w:id="70" w:name="_Toc101135805"/>
      <w:r>
        <w:rPr>
          <w:rFonts w:hint="eastAsia"/>
        </w:rPr>
        <w:t>3</w:t>
      </w:r>
      <w:r>
        <w:t>.1.3现有工程</w:t>
      </w:r>
      <w:r>
        <w:rPr>
          <w:rFonts w:hint="eastAsia"/>
        </w:rPr>
        <w:t>“三同时”及排污许可执行情况</w:t>
      </w:r>
      <w:bookmarkEnd w:id="68"/>
      <w:bookmarkEnd w:id="69"/>
      <w:bookmarkEnd w:id="70"/>
    </w:p>
    <w:p w14:paraId="1058C834">
      <w:pPr>
        <w:pStyle w:val="349"/>
      </w:pPr>
      <w:r>
        <w:rPr>
          <w:rFonts w:hint="eastAsia"/>
        </w:rPr>
        <w:t>3</w:t>
      </w:r>
      <w:r>
        <w:t>.1.2.1现有工程</w:t>
      </w:r>
      <w:r>
        <w:rPr>
          <w:rFonts w:hint="eastAsia"/>
        </w:rPr>
        <w:t>“三同时”执行情况</w:t>
      </w:r>
    </w:p>
    <w:p w14:paraId="3BE7E0D1">
      <w:pPr>
        <w:ind w:firstLine="480"/>
      </w:pPr>
      <w:r>
        <w:t>现有工程</w:t>
      </w:r>
      <w:r>
        <w:rPr>
          <w:rFonts w:hint="eastAsia"/>
        </w:rPr>
        <w:t>“三同时”执行情况一览表见表3</w:t>
      </w:r>
      <w:r>
        <w:t>.1.2-1</w:t>
      </w:r>
      <w:r>
        <w:rPr>
          <w:rFonts w:hint="eastAsia"/>
        </w:rPr>
        <w:t>。</w:t>
      </w:r>
    </w:p>
    <w:p w14:paraId="277864A0">
      <w:pPr>
        <w:pStyle w:val="278"/>
      </w:pPr>
      <w:r>
        <w:t>表</w:t>
      </w:r>
      <w:r>
        <w:rPr>
          <w:rFonts w:hint="eastAsia"/>
        </w:rPr>
        <w:t>3</w:t>
      </w:r>
      <w:r>
        <w:t>.1.2-1  现有工程</w:t>
      </w:r>
      <w:r>
        <w:rPr>
          <w:rFonts w:hint="eastAsia"/>
        </w:rPr>
        <w:t>“三同时”执行情况一览表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976"/>
        <w:gridCol w:w="2379"/>
        <w:gridCol w:w="1301"/>
        <w:gridCol w:w="1198"/>
        <w:gridCol w:w="1693"/>
      </w:tblGrid>
      <w:tr w14:paraId="1C4FA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76" w:type="pct"/>
            <w:vMerge w:val="restart"/>
            <w:vAlign w:val="center"/>
          </w:tcPr>
          <w:p w14:paraId="0D9C4B4D">
            <w:pPr>
              <w:pStyle w:val="445"/>
              <w:rPr>
                <w:rFonts w:cs="Times New Roman"/>
                <w:kern w:val="0"/>
                <w:szCs w:val="20"/>
              </w:rPr>
            </w:pPr>
            <w:r>
              <w:rPr>
                <w:rFonts w:cs="Times New Roman"/>
                <w:kern w:val="0"/>
                <w:szCs w:val="20"/>
              </w:rPr>
              <w:t>序号</w:t>
            </w:r>
          </w:p>
        </w:tc>
        <w:tc>
          <w:tcPr>
            <w:tcW w:w="1069" w:type="pct"/>
            <w:vMerge w:val="restart"/>
            <w:vAlign w:val="center"/>
          </w:tcPr>
          <w:p w14:paraId="40017E19">
            <w:pPr>
              <w:pStyle w:val="445"/>
              <w:rPr>
                <w:rFonts w:cs="Times New Roman"/>
                <w:kern w:val="0"/>
                <w:szCs w:val="20"/>
              </w:rPr>
            </w:pPr>
            <w:r>
              <w:rPr>
                <w:rFonts w:cs="Times New Roman"/>
                <w:kern w:val="0"/>
                <w:szCs w:val="20"/>
              </w:rPr>
              <w:t>项目名称</w:t>
            </w:r>
          </w:p>
        </w:tc>
        <w:tc>
          <w:tcPr>
            <w:tcW w:w="1287" w:type="pct"/>
            <w:vMerge w:val="restart"/>
            <w:vAlign w:val="center"/>
          </w:tcPr>
          <w:p w14:paraId="44EC9D9E">
            <w:pPr>
              <w:pStyle w:val="445"/>
              <w:rPr>
                <w:rFonts w:cs="Times New Roman"/>
                <w:kern w:val="0"/>
                <w:szCs w:val="20"/>
              </w:rPr>
            </w:pPr>
            <w:r>
              <w:rPr>
                <w:rFonts w:hint="eastAsia" w:cs="Times New Roman"/>
                <w:kern w:val="0"/>
                <w:szCs w:val="20"/>
              </w:rPr>
              <w:t>现场建设内容</w:t>
            </w:r>
          </w:p>
        </w:tc>
        <w:tc>
          <w:tcPr>
            <w:tcW w:w="1352" w:type="pct"/>
            <w:gridSpan w:val="2"/>
            <w:vAlign w:val="center"/>
          </w:tcPr>
          <w:p w14:paraId="42BA43C3">
            <w:pPr>
              <w:pStyle w:val="445"/>
              <w:rPr>
                <w:rFonts w:cs="Times New Roman"/>
                <w:kern w:val="0"/>
                <w:szCs w:val="20"/>
              </w:rPr>
            </w:pPr>
            <w:r>
              <w:rPr>
                <w:rFonts w:cs="Times New Roman"/>
                <w:kern w:val="0"/>
                <w:szCs w:val="20"/>
              </w:rPr>
              <w:t>环评情况</w:t>
            </w:r>
          </w:p>
        </w:tc>
        <w:tc>
          <w:tcPr>
            <w:tcW w:w="917" w:type="pct"/>
            <w:vMerge w:val="restart"/>
            <w:vAlign w:val="center"/>
          </w:tcPr>
          <w:p w14:paraId="7EC6664E">
            <w:pPr>
              <w:pStyle w:val="445"/>
              <w:rPr>
                <w:rFonts w:cs="Times New Roman"/>
                <w:kern w:val="0"/>
                <w:szCs w:val="20"/>
              </w:rPr>
            </w:pPr>
            <w:r>
              <w:rPr>
                <w:rFonts w:cs="Times New Roman"/>
                <w:kern w:val="0"/>
                <w:szCs w:val="20"/>
              </w:rPr>
              <w:t>验收情况</w:t>
            </w:r>
          </w:p>
        </w:tc>
      </w:tr>
      <w:tr w14:paraId="4831A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Merge w:val="continue"/>
            <w:vAlign w:val="center"/>
          </w:tcPr>
          <w:p w14:paraId="38145F7D">
            <w:pPr>
              <w:pStyle w:val="445"/>
              <w:rPr>
                <w:rFonts w:cs="Times New Roman"/>
                <w:kern w:val="0"/>
                <w:szCs w:val="20"/>
              </w:rPr>
            </w:pPr>
          </w:p>
        </w:tc>
        <w:tc>
          <w:tcPr>
            <w:tcW w:w="1069" w:type="pct"/>
            <w:vMerge w:val="continue"/>
            <w:vAlign w:val="center"/>
          </w:tcPr>
          <w:p w14:paraId="00A002C0">
            <w:pPr>
              <w:pStyle w:val="445"/>
              <w:rPr>
                <w:rFonts w:cs="Times New Roman"/>
                <w:kern w:val="0"/>
                <w:szCs w:val="20"/>
              </w:rPr>
            </w:pPr>
          </w:p>
        </w:tc>
        <w:tc>
          <w:tcPr>
            <w:tcW w:w="1287" w:type="pct"/>
            <w:vMerge w:val="continue"/>
            <w:vAlign w:val="center"/>
          </w:tcPr>
          <w:p w14:paraId="52325B8F">
            <w:pPr>
              <w:pStyle w:val="445"/>
              <w:rPr>
                <w:rFonts w:cs="Times New Roman"/>
                <w:kern w:val="0"/>
                <w:szCs w:val="20"/>
              </w:rPr>
            </w:pPr>
          </w:p>
        </w:tc>
        <w:tc>
          <w:tcPr>
            <w:tcW w:w="704" w:type="pct"/>
            <w:vAlign w:val="center"/>
          </w:tcPr>
          <w:p w14:paraId="1596260B">
            <w:pPr>
              <w:pStyle w:val="445"/>
              <w:rPr>
                <w:rFonts w:cs="Times New Roman"/>
                <w:kern w:val="0"/>
                <w:szCs w:val="20"/>
              </w:rPr>
            </w:pPr>
            <w:r>
              <w:rPr>
                <w:rFonts w:cs="Times New Roman"/>
                <w:kern w:val="0"/>
                <w:szCs w:val="20"/>
              </w:rPr>
              <w:t>审批部门</w:t>
            </w:r>
          </w:p>
        </w:tc>
        <w:tc>
          <w:tcPr>
            <w:tcW w:w="648" w:type="pct"/>
            <w:vAlign w:val="center"/>
          </w:tcPr>
          <w:p w14:paraId="3C3E2081">
            <w:pPr>
              <w:pStyle w:val="445"/>
              <w:rPr>
                <w:rFonts w:cs="Times New Roman"/>
                <w:kern w:val="0"/>
                <w:szCs w:val="20"/>
              </w:rPr>
            </w:pPr>
            <w:r>
              <w:rPr>
                <w:rFonts w:cs="Times New Roman"/>
                <w:kern w:val="0"/>
                <w:szCs w:val="20"/>
              </w:rPr>
              <w:t>审批文号</w:t>
            </w:r>
          </w:p>
        </w:tc>
        <w:tc>
          <w:tcPr>
            <w:tcW w:w="917" w:type="pct"/>
            <w:vMerge w:val="continue"/>
            <w:vAlign w:val="center"/>
          </w:tcPr>
          <w:p w14:paraId="3671D629">
            <w:pPr>
              <w:pStyle w:val="445"/>
              <w:rPr>
                <w:rFonts w:cs="Times New Roman"/>
                <w:kern w:val="0"/>
                <w:szCs w:val="20"/>
              </w:rPr>
            </w:pPr>
          </w:p>
        </w:tc>
      </w:tr>
      <w:tr w14:paraId="4831C4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33765442">
            <w:pPr>
              <w:pStyle w:val="445"/>
              <w:rPr>
                <w:rFonts w:cs="Times New Roman"/>
                <w:kern w:val="0"/>
                <w:szCs w:val="20"/>
              </w:rPr>
            </w:pPr>
            <w:r>
              <w:rPr>
                <w:rFonts w:hint="eastAsia" w:cs="Times New Roman"/>
                <w:kern w:val="0"/>
                <w:szCs w:val="20"/>
              </w:rPr>
              <w:t>1</w:t>
            </w:r>
          </w:p>
        </w:tc>
        <w:tc>
          <w:tcPr>
            <w:tcW w:w="1069" w:type="pct"/>
            <w:vAlign w:val="center"/>
          </w:tcPr>
          <w:p w14:paraId="5D8B463C">
            <w:pPr>
              <w:pStyle w:val="445"/>
              <w:rPr>
                <w:rFonts w:cs="Times New Roman"/>
                <w:kern w:val="0"/>
                <w:szCs w:val="20"/>
              </w:rPr>
            </w:pPr>
            <w:r>
              <w:rPr>
                <w:rFonts w:hint="eastAsia" w:cs="Times New Roman"/>
                <w:kern w:val="0"/>
                <w:szCs w:val="20"/>
              </w:rPr>
              <w:t>年产6</w:t>
            </w:r>
            <w:r>
              <w:rPr>
                <w:rFonts w:cs="Times New Roman"/>
                <w:kern w:val="0"/>
                <w:szCs w:val="20"/>
              </w:rPr>
              <w:t>000吨纳米钛酸钡功能陶瓷材料生产线项目</w:t>
            </w:r>
          </w:p>
        </w:tc>
        <w:tc>
          <w:tcPr>
            <w:tcW w:w="1287" w:type="pct"/>
            <w:vAlign w:val="center"/>
          </w:tcPr>
          <w:p w14:paraId="291512BA">
            <w:pPr>
              <w:pStyle w:val="445"/>
              <w:rPr>
                <w:rFonts w:cs="Times New Roman"/>
                <w:kern w:val="0"/>
                <w:szCs w:val="20"/>
              </w:rPr>
            </w:pPr>
            <w:r>
              <w:rPr>
                <w:rFonts w:hint="eastAsia" w:cs="Times New Roman"/>
                <w:kern w:val="0"/>
                <w:szCs w:val="20"/>
              </w:rPr>
              <w:t>建设1条年产2000吨纳米钛酸钡生产线(已验收)，位于B1车间;1条年产4000吨纳米钛酸钡生产线(暂未建设)</w:t>
            </w:r>
          </w:p>
        </w:tc>
        <w:tc>
          <w:tcPr>
            <w:tcW w:w="704" w:type="pct"/>
            <w:vAlign w:val="center"/>
          </w:tcPr>
          <w:p w14:paraId="431258F8">
            <w:pPr>
              <w:pStyle w:val="445"/>
              <w:rPr>
                <w:rFonts w:cs="Times New Roman"/>
                <w:kern w:val="0"/>
                <w:szCs w:val="20"/>
              </w:rPr>
            </w:pPr>
            <w:r>
              <w:rPr>
                <w:rFonts w:hint="eastAsia" w:cs="Times New Roman"/>
                <w:kern w:val="0"/>
                <w:szCs w:val="20"/>
              </w:rPr>
              <w:t>原</w:t>
            </w:r>
            <w:r>
              <w:rPr>
                <w:rFonts w:cs="Times New Roman"/>
                <w:kern w:val="0"/>
                <w:szCs w:val="20"/>
              </w:rPr>
              <w:t>蚌埠市环境保护局</w:t>
            </w:r>
          </w:p>
        </w:tc>
        <w:tc>
          <w:tcPr>
            <w:tcW w:w="648" w:type="pct"/>
            <w:vAlign w:val="center"/>
          </w:tcPr>
          <w:p w14:paraId="31EBEE86">
            <w:pPr>
              <w:pStyle w:val="445"/>
              <w:rPr>
                <w:rFonts w:cs="Times New Roman"/>
                <w:kern w:val="0"/>
                <w:szCs w:val="20"/>
              </w:rPr>
            </w:pPr>
            <w:r>
              <w:rPr>
                <w:rFonts w:hint="eastAsia" w:cs="Times New Roman"/>
                <w:kern w:val="0"/>
                <w:szCs w:val="20"/>
              </w:rPr>
              <w:t>蚌环许[</w:t>
            </w:r>
            <w:r>
              <w:rPr>
                <w:rFonts w:cs="Times New Roman"/>
                <w:kern w:val="0"/>
                <w:szCs w:val="20"/>
              </w:rPr>
              <w:t>2015]125号</w:t>
            </w:r>
          </w:p>
        </w:tc>
        <w:tc>
          <w:tcPr>
            <w:tcW w:w="917" w:type="pct"/>
            <w:vAlign w:val="center"/>
          </w:tcPr>
          <w:p w14:paraId="432A48A5">
            <w:pPr>
              <w:pStyle w:val="445"/>
              <w:rPr>
                <w:rFonts w:cs="Times New Roman"/>
                <w:kern w:val="0"/>
                <w:szCs w:val="20"/>
              </w:rPr>
            </w:pPr>
            <w:r>
              <w:rPr>
                <w:rFonts w:hint="eastAsia" w:ascii="宋体" w:hAnsi="宋体" w:cs="宋体"/>
                <w:kern w:val="0"/>
                <w:szCs w:val="18"/>
              </w:rPr>
              <w:t>阶段性验收</w:t>
            </w:r>
            <w:r>
              <w:rPr>
                <w:rFonts w:ascii="宋体" w:hAnsi="宋体" w:cs="宋体"/>
                <w:kern w:val="0"/>
                <w:szCs w:val="18"/>
              </w:rPr>
              <w:t>，</w:t>
            </w:r>
            <w:r>
              <w:rPr>
                <w:rFonts w:hint="eastAsia" w:ascii="宋体" w:hAnsi="宋体" w:cs="宋体"/>
                <w:kern w:val="0"/>
                <w:szCs w:val="18"/>
              </w:rPr>
              <w:t>已验收年产</w:t>
            </w:r>
            <w:r>
              <w:rPr>
                <w:rFonts w:hint="eastAsia" w:cs="Times New Roman"/>
                <w:kern w:val="0"/>
                <w:szCs w:val="18"/>
              </w:rPr>
              <w:t>2000</w:t>
            </w:r>
            <w:r>
              <w:rPr>
                <w:rFonts w:hint="eastAsia" w:ascii="宋体" w:hAnsi="宋体" w:cs="宋体"/>
                <w:kern w:val="0"/>
                <w:szCs w:val="18"/>
              </w:rPr>
              <w:t>吨</w:t>
            </w:r>
            <w:r>
              <w:rPr>
                <w:rFonts w:ascii="宋体" w:hAnsi="宋体" w:cs="宋体"/>
                <w:kern w:val="0"/>
                <w:szCs w:val="18"/>
              </w:rPr>
              <w:t>钛酸钡功能陶瓷材料生产线内容，</w:t>
            </w:r>
            <w:r>
              <w:rPr>
                <w:rFonts w:hint="eastAsia" w:cs="Times New Roman"/>
                <w:kern w:val="0"/>
                <w:szCs w:val="18"/>
              </w:rPr>
              <w:t>4000</w:t>
            </w:r>
            <w:r>
              <w:rPr>
                <w:rFonts w:hint="eastAsia" w:ascii="宋体" w:hAnsi="宋体" w:cs="宋体"/>
                <w:kern w:val="0"/>
                <w:szCs w:val="18"/>
              </w:rPr>
              <w:t>吨</w:t>
            </w:r>
            <w:r>
              <w:rPr>
                <w:rFonts w:hint="eastAsia" w:cs="Times New Roman"/>
                <w:kern w:val="0"/>
                <w:szCs w:val="18"/>
              </w:rPr>
              <w:t>/</w:t>
            </w:r>
            <w:r>
              <w:rPr>
                <w:rFonts w:hint="eastAsia" w:ascii="宋体" w:hAnsi="宋体" w:cs="宋体"/>
                <w:kern w:val="0"/>
                <w:szCs w:val="18"/>
              </w:rPr>
              <w:t>年</w:t>
            </w:r>
            <w:r>
              <w:rPr>
                <w:rFonts w:ascii="宋体" w:hAnsi="宋体" w:cs="宋体"/>
                <w:kern w:val="0"/>
                <w:szCs w:val="18"/>
              </w:rPr>
              <w:t>纳米钛酸钡功能陶瓷材料生产线项目</w:t>
            </w:r>
            <w:r>
              <w:rPr>
                <w:rFonts w:hint="eastAsia" w:ascii="宋体" w:hAnsi="宋体" w:cs="宋体"/>
                <w:kern w:val="0"/>
                <w:szCs w:val="18"/>
              </w:rPr>
              <w:t>未建设，后续亦不再建设</w:t>
            </w:r>
          </w:p>
        </w:tc>
      </w:tr>
      <w:tr w14:paraId="6F2B1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3DE7B9BA">
            <w:pPr>
              <w:pStyle w:val="445"/>
              <w:rPr>
                <w:rFonts w:cs="Times New Roman"/>
                <w:kern w:val="0"/>
                <w:szCs w:val="20"/>
              </w:rPr>
            </w:pPr>
            <w:r>
              <w:rPr>
                <w:rFonts w:hint="eastAsia" w:cs="Times New Roman"/>
                <w:kern w:val="0"/>
                <w:szCs w:val="20"/>
              </w:rPr>
              <w:t>2</w:t>
            </w:r>
          </w:p>
        </w:tc>
        <w:tc>
          <w:tcPr>
            <w:tcW w:w="1069" w:type="pct"/>
            <w:vAlign w:val="center"/>
          </w:tcPr>
          <w:p w14:paraId="7DCCF6B9">
            <w:pPr>
              <w:pStyle w:val="445"/>
              <w:rPr>
                <w:rFonts w:cs="Times New Roman"/>
                <w:kern w:val="0"/>
                <w:szCs w:val="20"/>
              </w:rPr>
            </w:pPr>
            <w:r>
              <w:rPr>
                <w:rFonts w:hint="eastAsia" w:cs="Times New Roman"/>
                <w:kern w:val="0"/>
                <w:szCs w:val="20"/>
              </w:rPr>
              <w:t>年产3500吨CMP(抛光研磨材料)项目</w:t>
            </w:r>
          </w:p>
        </w:tc>
        <w:tc>
          <w:tcPr>
            <w:tcW w:w="1287" w:type="pct"/>
            <w:vAlign w:val="center"/>
          </w:tcPr>
          <w:p w14:paraId="3B221576">
            <w:pPr>
              <w:pStyle w:val="445"/>
              <w:rPr>
                <w:rFonts w:cs="Times New Roman"/>
                <w:kern w:val="0"/>
                <w:szCs w:val="20"/>
              </w:rPr>
            </w:pPr>
            <w:r>
              <w:rPr>
                <w:rFonts w:hint="eastAsia" w:cs="Times New Roman"/>
                <w:kern w:val="0"/>
                <w:szCs w:val="20"/>
              </w:rPr>
              <w:t>建设1条年产3500吨CMP(抛光研磨材料)生产线，位于C1车间</w:t>
            </w:r>
          </w:p>
        </w:tc>
        <w:tc>
          <w:tcPr>
            <w:tcW w:w="704" w:type="pct"/>
            <w:vAlign w:val="center"/>
          </w:tcPr>
          <w:p w14:paraId="259E2C41">
            <w:pPr>
              <w:pStyle w:val="445"/>
              <w:rPr>
                <w:rFonts w:cs="Times New Roman"/>
                <w:kern w:val="0"/>
                <w:szCs w:val="20"/>
              </w:rPr>
            </w:pPr>
            <w:r>
              <w:rPr>
                <w:rFonts w:hint="eastAsia" w:cs="Times New Roman"/>
                <w:kern w:val="0"/>
                <w:szCs w:val="20"/>
              </w:rPr>
              <w:t>蚌埠市生态环境局</w:t>
            </w:r>
          </w:p>
        </w:tc>
        <w:tc>
          <w:tcPr>
            <w:tcW w:w="648" w:type="pct"/>
            <w:vAlign w:val="center"/>
          </w:tcPr>
          <w:p w14:paraId="40149207">
            <w:pPr>
              <w:pStyle w:val="445"/>
              <w:rPr>
                <w:rFonts w:cs="Times New Roman"/>
                <w:kern w:val="0"/>
                <w:szCs w:val="20"/>
              </w:rPr>
            </w:pPr>
            <w:r>
              <w:rPr>
                <w:rFonts w:hint="eastAsia" w:cs="Times New Roman"/>
                <w:kern w:val="0"/>
                <w:szCs w:val="20"/>
              </w:rPr>
              <w:t>蚌环许[</w:t>
            </w:r>
            <w:r>
              <w:rPr>
                <w:rFonts w:cs="Times New Roman"/>
                <w:kern w:val="0"/>
                <w:szCs w:val="20"/>
              </w:rPr>
              <w:t>2022]28号</w:t>
            </w:r>
          </w:p>
        </w:tc>
        <w:tc>
          <w:tcPr>
            <w:tcW w:w="917" w:type="pct"/>
            <w:vAlign w:val="center"/>
          </w:tcPr>
          <w:p w14:paraId="7032FD44">
            <w:pPr>
              <w:pStyle w:val="445"/>
              <w:rPr>
                <w:rFonts w:cs="Times New Roman"/>
                <w:kern w:val="0"/>
                <w:szCs w:val="20"/>
              </w:rPr>
            </w:pPr>
            <w:r>
              <w:rPr>
                <w:rFonts w:hint="eastAsia" w:cs="Times New Roman"/>
                <w:kern w:val="0"/>
                <w:szCs w:val="20"/>
              </w:rPr>
              <w:t>2</w:t>
            </w:r>
            <w:r>
              <w:rPr>
                <w:rFonts w:cs="Times New Roman"/>
                <w:kern w:val="0"/>
                <w:szCs w:val="20"/>
              </w:rPr>
              <w:t>024</w:t>
            </w:r>
            <w:r>
              <w:rPr>
                <w:rFonts w:hint="eastAsia" w:cs="Times New Roman"/>
                <w:kern w:val="0"/>
                <w:szCs w:val="20"/>
              </w:rPr>
              <w:t>年1</w:t>
            </w:r>
            <w:r>
              <w:rPr>
                <w:rFonts w:cs="Times New Roman"/>
                <w:kern w:val="0"/>
                <w:szCs w:val="20"/>
              </w:rPr>
              <w:t>2</w:t>
            </w:r>
            <w:r>
              <w:rPr>
                <w:rFonts w:hint="eastAsia" w:cs="Times New Roman"/>
                <w:kern w:val="0"/>
                <w:szCs w:val="20"/>
              </w:rPr>
              <w:t>月2</w:t>
            </w:r>
            <w:r>
              <w:rPr>
                <w:rFonts w:cs="Times New Roman"/>
                <w:kern w:val="0"/>
                <w:szCs w:val="20"/>
              </w:rPr>
              <w:t>6</w:t>
            </w:r>
            <w:r>
              <w:rPr>
                <w:rFonts w:hint="eastAsia" w:cs="Times New Roman"/>
                <w:kern w:val="0"/>
                <w:szCs w:val="20"/>
              </w:rPr>
              <w:t>日完成验收</w:t>
            </w:r>
          </w:p>
        </w:tc>
      </w:tr>
      <w:tr w14:paraId="52F9C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637867F8">
            <w:pPr>
              <w:pStyle w:val="445"/>
              <w:rPr>
                <w:rFonts w:cs="Times New Roman"/>
                <w:kern w:val="0"/>
                <w:szCs w:val="20"/>
              </w:rPr>
            </w:pPr>
            <w:r>
              <w:rPr>
                <w:rFonts w:hint="eastAsia" w:cs="Times New Roman"/>
                <w:kern w:val="0"/>
                <w:szCs w:val="20"/>
              </w:rPr>
              <w:t>3</w:t>
            </w:r>
          </w:p>
        </w:tc>
        <w:tc>
          <w:tcPr>
            <w:tcW w:w="1069" w:type="pct"/>
            <w:vAlign w:val="center"/>
          </w:tcPr>
          <w:p w14:paraId="1D3993CD">
            <w:pPr>
              <w:pStyle w:val="445"/>
              <w:rPr>
                <w:rFonts w:cs="Times New Roman"/>
                <w:kern w:val="0"/>
                <w:szCs w:val="20"/>
              </w:rPr>
            </w:pPr>
            <w:r>
              <w:rPr>
                <w:rFonts w:hint="eastAsia" w:cs="Times New Roman"/>
                <w:kern w:val="0"/>
                <w:szCs w:val="20"/>
              </w:rPr>
              <w:t>年产5000吨超纯二氧化硅（副产4000吨硅烷新材料）项目</w:t>
            </w:r>
          </w:p>
        </w:tc>
        <w:tc>
          <w:tcPr>
            <w:tcW w:w="1287" w:type="pct"/>
            <w:vAlign w:val="center"/>
          </w:tcPr>
          <w:p w14:paraId="44E7D8DE">
            <w:pPr>
              <w:pStyle w:val="445"/>
              <w:rPr>
                <w:rFonts w:cs="Times New Roman"/>
                <w:kern w:val="0"/>
                <w:szCs w:val="20"/>
              </w:rPr>
            </w:pPr>
            <w:r>
              <w:rPr>
                <w:rFonts w:hint="eastAsia" w:cs="Times New Roman"/>
                <w:kern w:val="0"/>
                <w:szCs w:val="20"/>
              </w:rPr>
              <w:t>A1车间主要包括初级浮选工艺加工过程；B2车间占地</w:t>
            </w:r>
            <w:r>
              <w:rPr>
                <w:rFonts w:cs="Times New Roman"/>
                <w:kern w:val="0"/>
                <w:szCs w:val="20"/>
              </w:rPr>
              <w:t>面积6605.64</w:t>
            </w:r>
            <w:r>
              <w:rPr>
                <w:rFonts w:hint="eastAsia" w:cs="Times New Roman"/>
                <w:kern w:val="0"/>
                <w:szCs w:val="20"/>
              </w:rPr>
              <w:t>m</w:t>
            </w:r>
            <w:r>
              <w:rPr>
                <w:rFonts w:cs="Times New Roman"/>
                <w:kern w:val="0"/>
                <w:szCs w:val="20"/>
                <w:vertAlign w:val="superscript"/>
              </w:rPr>
              <w:t>2</w:t>
            </w:r>
            <w:r>
              <w:rPr>
                <w:rFonts w:hint="eastAsia" w:cs="Times New Roman"/>
                <w:kern w:val="0"/>
                <w:szCs w:val="20"/>
              </w:rPr>
              <w:t>，主要包括浮选、酸洗、离心、烤砂、提纯</w:t>
            </w:r>
            <w:r>
              <w:rPr>
                <w:rFonts w:cs="Times New Roman"/>
                <w:kern w:val="0"/>
                <w:szCs w:val="20"/>
              </w:rPr>
              <w:t>等工艺</w:t>
            </w:r>
            <w:r>
              <w:rPr>
                <w:rFonts w:hint="eastAsia" w:cs="Times New Roman"/>
                <w:kern w:val="0"/>
                <w:szCs w:val="20"/>
              </w:rPr>
              <w:t>制备</w:t>
            </w:r>
            <w:r>
              <w:rPr>
                <w:rFonts w:cs="Times New Roman"/>
                <w:kern w:val="0"/>
                <w:szCs w:val="20"/>
              </w:rPr>
              <w:t>光伏用二氧化硅</w:t>
            </w:r>
            <w:r>
              <w:rPr>
                <w:rFonts w:hint="eastAsia" w:cs="Times New Roman"/>
                <w:kern w:val="0"/>
                <w:szCs w:val="20"/>
              </w:rPr>
              <w:t>；C2车间占地面积7611.78m</w:t>
            </w:r>
            <w:r>
              <w:rPr>
                <w:rFonts w:cs="Times New Roman"/>
                <w:kern w:val="0"/>
                <w:szCs w:val="20"/>
                <w:vertAlign w:val="superscript"/>
              </w:rPr>
              <w:t>2</w:t>
            </w:r>
            <w:r>
              <w:rPr>
                <w:rFonts w:hint="eastAsia" w:cs="Times New Roman"/>
                <w:kern w:val="0"/>
                <w:szCs w:val="20"/>
              </w:rPr>
              <w:t>，主要包括二氧化硅原料的破碎、煅烧、粉碎、筛分、磁选等过程，新增浮选和色选工艺。</w:t>
            </w:r>
            <w:r>
              <w:rPr>
                <w:rFonts w:cs="Times New Roman"/>
                <w:kern w:val="0"/>
                <w:szCs w:val="20"/>
              </w:rPr>
              <w:t>年产光伏用二氧化硅</w:t>
            </w:r>
            <w:r>
              <w:rPr>
                <w:rFonts w:hint="eastAsia" w:cs="Times New Roman"/>
                <w:kern w:val="0"/>
                <w:szCs w:val="20"/>
              </w:rPr>
              <w:t>1000吨</w:t>
            </w:r>
          </w:p>
        </w:tc>
        <w:tc>
          <w:tcPr>
            <w:tcW w:w="704" w:type="pct"/>
            <w:vAlign w:val="center"/>
          </w:tcPr>
          <w:p w14:paraId="0D779BBC">
            <w:pPr>
              <w:pStyle w:val="445"/>
              <w:rPr>
                <w:rFonts w:cs="Times New Roman"/>
                <w:kern w:val="0"/>
                <w:szCs w:val="20"/>
              </w:rPr>
            </w:pPr>
            <w:r>
              <w:rPr>
                <w:rFonts w:hint="eastAsia" w:cs="Times New Roman"/>
                <w:kern w:val="0"/>
                <w:szCs w:val="20"/>
              </w:rPr>
              <w:t>蚌埠市生态环境局</w:t>
            </w:r>
          </w:p>
        </w:tc>
        <w:tc>
          <w:tcPr>
            <w:tcW w:w="648" w:type="pct"/>
            <w:vAlign w:val="center"/>
          </w:tcPr>
          <w:p w14:paraId="409E4208">
            <w:pPr>
              <w:pStyle w:val="445"/>
              <w:rPr>
                <w:rFonts w:cs="Times New Roman"/>
                <w:kern w:val="0"/>
                <w:szCs w:val="20"/>
              </w:rPr>
            </w:pPr>
            <w:r>
              <w:rPr>
                <w:rFonts w:hint="eastAsia" w:cs="Times New Roman"/>
                <w:kern w:val="0"/>
                <w:szCs w:val="20"/>
              </w:rPr>
              <w:t>蚌环许[</w:t>
            </w:r>
            <w:r>
              <w:rPr>
                <w:rFonts w:cs="Times New Roman"/>
                <w:kern w:val="0"/>
                <w:szCs w:val="20"/>
              </w:rPr>
              <w:t>2022]27号</w:t>
            </w:r>
          </w:p>
        </w:tc>
        <w:tc>
          <w:tcPr>
            <w:tcW w:w="917" w:type="pct"/>
            <w:vAlign w:val="center"/>
          </w:tcPr>
          <w:p w14:paraId="1257F25E">
            <w:pPr>
              <w:pStyle w:val="445"/>
              <w:rPr>
                <w:rFonts w:cs="Times New Roman"/>
                <w:kern w:val="0"/>
                <w:szCs w:val="20"/>
              </w:rPr>
            </w:pPr>
            <w:r>
              <w:rPr>
                <w:rFonts w:hint="eastAsia" w:cs="Times New Roman"/>
                <w:kern w:val="0"/>
                <w:szCs w:val="20"/>
              </w:rPr>
              <w:t>其中</w:t>
            </w:r>
            <w:r>
              <w:rPr>
                <w:rFonts w:cs="Times New Roman"/>
                <w:kern w:val="0"/>
                <w:szCs w:val="20"/>
              </w:rPr>
              <w:t>年产光伏用二氧化硅</w:t>
            </w:r>
            <w:r>
              <w:rPr>
                <w:rFonts w:hint="eastAsia" w:cs="Times New Roman"/>
                <w:kern w:val="0"/>
                <w:szCs w:val="20"/>
              </w:rPr>
              <w:t>1000吨已验收，其余不再建设</w:t>
            </w:r>
          </w:p>
        </w:tc>
      </w:tr>
      <w:tr w14:paraId="63947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3201815A">
            <w:pPr>
              <w:pStyle w:val="445"/>
              <w:rPr>
                <w:rFonts w:cs="Times New Roman"/>
                <w:kern w:val="0"/>
                <w:szCs w:val="20"/>
              </w:rPr>
            </w:pPr>
            <w:r>
              <w:rPr>
                <w:rFonts w:hint="eastAsia" w:cs="Times New Roman"/>
                <w:kern w:val="0"/>
                <w:szCs w:val="20"/>
              </w:rPr>
              <w:t>4</w:t>
            </w:r>
          </w:p>
        </w:tc>
        <w:tc>
          <w:tcPr>
            <w:tcW w:w="1069" w:type="pct"/>
            <w:vAlign w:val="center"/>
          </w:tcPr>
          <w:p w14:paraId="7ECC2E36">
            <w:pPr>
              <w:pStyle w:val="445"/>
              <w:rPr>
                <w:rFonts w:cs="Times New Roman"/>
                <w:kern w:val="0"/>
                <w:szCs w:val="20"/>
              </w:rPr>
            </w:pPr>
            <w:r>
              <w:rPr>
                <w:rFonts w:hint="eastAsia" w:cs="Times New Roman"/>
                <w:kern w:val="0"/>
                <w:szCs w:val="20"/>
              </w:rPr>
              <w:t>电子专用材料研发实验基地建设项目</w:t>
            </w:r>
          </w:p>
        </w:tc>
        <w:tc>
          <w:tcPr>
            <w:tcW w:w="1287" w:type="pct"/>
            <w:vAlign w:val="center"/>
          </w:tcPr>
          <w:p w14:paraId="408435BB">
            <w:pPr>
              <w:pStyle w:val="445"/>
              <w:rPr>
                <w:rFonts w:cs="Times New Roman"/>
                <w:kern w:val="0"/>
                <w:szCs w:val="20"/>
              </w:rPr>
            </w:pPr>
            <w:r>
              <w:rPr>
                <w:rFonts w:hint="eastAsia" w:cs="Times New Roman"/>
                <w:kern w:val="0"/>
                <w:szCs w:val="20"/>
              </w:rPr>
              <w:t>项目建设粉碎、筛分、磁选、高温烧结、纯水设备、除尘设备、尾气处理等实验装置，建设</w:t>
            </w:r>
          </w:p>
          <w:p w14:paraId="7A15C99F">
            <w:pPr>
              <w:pStyle w:val="445"/>
              <w:rPr>
                <w:rFonts w:cs="Times New Roman"/>
                <w:kern w:val="0"/>
                <w:szCs w:val="20"/>
              </w:rPr>
            </w:pPr>
            <w:r>
              <w:rPr>
                <w:rFonts w:hint="eastAsia" w:cs="Times New Roman"/>
                <w:kern w:val="0"/>
                <w:szCs w:val="20"/>
              </w:rPr>
              <w:t>光伏用二氧化硅实验室，位于A1车间西南角</w:t>
            </w:r>
          </w:p>
        </w:tc>
        <w:tc>
          <w:tcPr>
            <w:tcW w:w="704" w:type="pct"/>
            <w:vAlign w:val="center"/>
          </w:tcPr>
          <w:p w14:paraId="30E4CA48">
            <w:pPr>
              <w:pStyle w:val="445"/>
              <w:rPr>
                <w:rFonts w:cs="Times New Roman"/>
                <w:kern w:val="0"/>
                <w:szCs w:val="20"/>
              </w:rPr>
            </w:pPr>
            <w:r>
              <w:rPr>
                <w:rFonts w:hint="eastAsia" w:cs="Times New Roman"/>
                <w:kern w:val="0"/>
                <w:szCs w:val="20"/>
              </w:rPr>
              <w:t>蚌埠市淮上区生态环境分局</w:t>
            </w:r>
          </w:p>
        </w:tc>
        <w:tc>
          <w:tcPr>
            <w:tcW w:w="648" w:type="pct"/>
            <w:vAlign w:val="center"/>
          </w:tcPr>
          <w:p w14:paraId="5430E6D3">
            <w:pPr>
              <w:pStyle w:val="445"/>
              <w:rPr>
                <w:rFonts w:cs="Times New Roman"/>
                <w:kern w:val="0"/>
                <w:szCs w:val="20"/>
              </w:rPr>
            </w:pPr>
            <w:r>
              <w:rPr>
                <w:rFonts w:hint="eastAsia" w:cs="Times New Roman"/>
                <w:kern w:val="0"/>
                <w:szCs w:val="20"/>
              </w:rPr>
              <w:t>蚌淮环许[</w:t>
            </w:r>
            <w:r>
              <w:rPr>
                <w:rFonts w:cs="Times New Roman"/>
                <w:kern w:val="0"/>
                <w:szCs w:val="20"/>
              </w:rPr>
              <w:t>2023]3号</w:t>
            </w:r>
          </w:p>
        </w:tc>
        <w:tc>
          <w:tcPr>
            <w:tcW w:w="917" w:type="pct"/>
            <w:vAlign w:val="center"/>
          </w:tcPr>
          <w:p w14:paraId="73140F1B">
            <w:pPr>
              <w:pStyle w:val="445"/>
              <w:rPr>
                <w:rFonts w:cs="Times New Roman"/>
                <w:kern w:val="0"/>
                <w:szCs w:val="20"/>
              </w:rPr>
            </w:pPr>
            <w:r>
              <w:rPr>
                <w:rFonts w:hint="eastAsia" w:cs="Times New Roman"/>
                <w:kern w:val="0"/>
                <w:szCs w:val="20"/>
              </w:rPr>
              <w:t>在建</w:t>
            </w:r>
          </w:p>
        </w:tc>
      </w:tr>
      <w:tr w14:paraId="39525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5F575BC0">
            <w:pPr>
              <w:pStyle w:val="445"/>
              <w:rPr>
                <w:rFonts w:cs="Times New Roman"/>
                <w:kern w:val="0"/>
                <w:szCs w:val="20"/>
              </w:rPr>
            </w:pPr>
            <w:r>
              <w:rPr>
                <w:rFonts w:hint="eastAsia" w:cs="Times New Roman"/>
                <w:kern w:val="0"/>
                <w:szCs w:val="20"/>
              </w:rPr>
              <w:t>5</w:t>
            </w:r>
          </w:p>
        </w:tc>
        <w:tc>
          <w:tcPr>
            <w:tcW w:w="1069" w:type="pct"/>
            <w:vAlign w:val="center"/>
          </w:tcPr>
          <w:p w14:paraId="3567BA0E">
            <w:pPr>
              <w:pStyle w:val="445"/>
              <w:rPr>
                <w:rFonts w:cs="Times New Roman"/>
                <w:kern w:val="0"/>
                <w:szCs w:val="20"/>
              </w:rPr>
            </w:pPr>
            <w:r>
              <w:rPr>
                <w:rFonts w:hint="eastAsia" w:cs="Times New Roman"/>
                <w:kern w:val="0"/>
                <w:szCs w:val="20"/>
              </w:rPr>
              <w:t>安徽凯盛应用材料有限公司年产1000吨纳米复合氧化锆项目</w:t>
            </w:r>
          </w:p>
        </w:tc>
        <w:tc>
          <w:tcPr>
            <w:tcW w:w="1287" w:type="pct"/>
            <w:vAlign w:val="center"/>
          </w:tcPr>
          <w:p w14:paraId="675974BD">
            <w:pPr>
              <w:pStyle w:val="445"/>
              <w:rPr>
                <w:rFonts w:cs="Times New Roman"/>
                <w:kern w:val="0"/>
                <w:szCs w:val="20"/>
              </w:rPr>
            </w:pPr>
            <w:r>
              <w:rPr>
                <w:rFonts w:hint="eastAsia" w:cs="Times New Roman"/>
                <w:kern w:val="0"/>
                <w:szCs w:val="20"/>
              </w:rPr>
              <w:t>建设2条纳米复合氧化锆产品生产线，分别位于B2车间和C2车间，共计年产1000吨纳米复合氧化锆</w:t>
            </w:r>
          </w:p>
        </w:tc>
        <w:tc>
          <w:tcPr>
            <w:tcW w:w="704" w:type="pct"/>
            <w:vAlign w:val="center"/>
          </w:tcPr>
          <w:p w14:paraId="6DE065B4">
            <w:pPr>
              <w:pStyle w:val="445"/>
              <w:rPr>
                <w:rFonts w:cs="Times New Roman"/>
                <w:kern w:val="0"/>
                <w:szCs w:val="20"/>
              </w:rPr>
            </w:pPr>
            <w:r>
              <w:rPr>
                <w:rFonts w:hint="eastAsia" w:cs="Times New Roman"/>
                <w:kern w:val="0"/>
                <w:szCs w:val="20"/>
              </w:rPr>
              <w:t>蚌埠市生态环境局</w:t>
            </w:r>
          </w:p>
        </w:tc>
        <w:tc>
          <w:tcPr>
            <w:tcW w:w="648" w:type="pct"/>
            <w:vAlign w:val="center"/>
          </w:tcPr>
          <w:p w14:paraId="54AA8B92">
            <w:pPr>
              <w:pStyle w:val="445"/>
              <w:rPr>
                <w:rFonts w:cs="Times New Roman"/>
                <w:kern w:val="0"/>
                <w:szCs w:val="20"/>
              </w:rPr>
            </w:pPr>
            <w:r>
              <w:rPr>
                <w:rFonts w:hint="eastAsia" w:cs="Times New Roman"/>
                <w:kern w:val="0"/>
                <w:szCs w:val="20"/>
              </w:rPr>
              <w:t>蚌环许[</w:t>
            </w:r>
            <w:r>
              <w:rPr>
                <w:rFonts w:cs="Times New Roman"/>
                <w:kern w:val="0"/>
                <w:szCs w:val="20"/>
              </w:rPr>
              <w:t>2023]32号</w:t>
            </w:r>
          </w:p>
        </w:tc>
        <w:tc>
          <w:tcPr>
            <w:tcW w:w="917" w:type="pct"/>
            <w:vAlign w:val="center"/>
          </w:tcPr>
          <w:p w14:paraId="2DB95082">
            <w:pPr>
              <w:pStyle w:val="445"/>
              <w:rPr>
                <w:rFonts w:cs="Times New Roman"/>
                <w:kern w:val="0"/>
                <w:szCs w:val="20"/>
              </w:rPr>
            </w:pPr>
            <w:r>
              <w:rPr>
                <w:rFonts w:cs="Times New Roman"/>
                <w:kern w:val="0"/>
                <w:szCs w:val="20"/>
              </w:rPr>
              <w:t>20</w:t>
            </w:r>
            <w:r>
              <w:rPr>
                <w:rFonts w:hint="eastAsia" w:cs="Times New Roman"/>
                <w:kern w:val="0"/>
                <w:szCs w:val="20"/>
              </w:rPr>
              <w:t>2</w:t>
            </w:r>
            <w:r>
              <w:rPr>
                <w:rFonts w:cs="Times New Roman"/>
                <w:kern w:val="0"/>
                <w:szCs w:val="20"/>
              </w:rPr>
              <w:t>5</w:t>
            </w:r>
            <w:r>
              <w:rPr>
                <w:rFonts w:hint="eastAsia" w:cs="Times New Roman"/>
                <w:kern w:val="0"/>
                <w:szCs w:val="20"/>
              </w:rPr>
              <w:t>年6月完成验收</w:t>
            </w:r>
          </w:p>
        </w:tc>
      </w:tr>
      <w:tr w14:paraId="354D2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6" w:type="pct"/>
            <w:vAlign w:val="center"/>
          </w:tcPr>
          <w:p w14:paraId="6475EB0E">
            <w:pPr>
              <w:pStyle w:val="445"/>
              <w:rPr>
                <w:rFonts w:cs="Times New Roman"/>
                <w:kern w:val="0"/>
                <w:szCs w:val="20"/>
              </w:rPr>
            </w:pPr>
            <w:r>
              <w:rPr>
                <w:rFonts w:hint="eastAsia" w:cs="Times New Roman"/>
                <w:kern w:val="0"/>
                <w:szCs w:val="20"/>
              </w:rPr>
              <w:t>6</w:t>
            </w:r>
          </w:p>
        </w:tc>
        <w:tc>
          <w:tcPr>
            <w:tcW w:w="1069" w:type="pct"/>
            <w:vAlign w:val="center"/>
          </w:tcPr>
          <w:p w14:paraId="1AC759AE">
            <w:pPr>
              <w:pStyle w:val="445"/>
              <w:rPr>
                <w:rFonts w:cs="Times New Roman"/>
                <w:kern w:val="0"/>
                <w:szCs w:val="20"/>
              </w:rPr>
            </w:pPr>
            <w:r>
              <w:rPr>
                <w:rFonts w:hint="eastAsia" w:cs="Times New Roman"/>
                <w:kern w:val="0"/>
                <w:szCs w:val="20"/>
              </w:rPr>
              <w:t>陶瓷颗粒研发实验基地建设项目</w:t>
            </w:r>
          </w:p>
        </w:tc>
        <w:tc>
          <w:tcPr>
            <w:tcW w:w="1287" w:type="pct"/>
            <w:vAlign w:val="center"/>
          </w:tcPr>
          <w:p w14:paraId="6CC8176A">
            <w:pPr>
              <w:pStyle w:val="445"/>
              <w:rPr>
                <w:rFonts w:cs="Times New Roman"/>
                <w:kern w:val="0"/>
                <w:szCs w:val="20"/>
              </w:rPr>
            </w:pPr>
            <w:r>
              <w:rPr>
                <w:rFonts w:hint="eastAsia" w:cs="Times New Roman"/>
                <w:kern w:val="0"/>
                <w:szCs w:val="20"/>
              </w:rPr>
              <w:t>建设陶瓷颗粒研发实验室，实验内容包括氧化锆产品配方研发、实验、产品性能测试等。</w:t>
            </w:r>
          </w:p>
        </w:tc>
        <w:tc>
          <w:tcPr>
            <w:tcW w:w="704" w:type="pct"/>
            <w:vAlign w:val="center"/>
          </w:tcPr>
          <w:p w14:paraId="533727FB">
            <w:pPr>
              <w:pStyle w:val="445"/>
              <w:rPr>
                <w:rFonts w:cs="Times New Roman"/>
                <w:kern w:val="0"/>
                <w:szCs w:val="20"/>
              </w:rPr>
            </w:pPr>
            <w:r>
              <w:rPr>
                <w:rFonts w:hint="eastAsia" w:cs="Times New Roman"/>
                <w:kern w:val="0"/>
                <w:szCs w:val="20"/>
              </w:rPr>
              <w:t>蚌埠市生态环境局</w:t>
            </w:r>
          </w:p>
        </w:tc>
        <w:tc>
          <w:tcPr>
            <w:tcW w:w="648" w:type="pct"/>
            <w:vAlign w:val="center"/>
          </w:tcPr>
          <w:p w14:paraId="0605A65F">
            <w:pPr>
              <w:pStyle w:val="445"/>
              <w:rPr>
                <w:rFonts w:cs="Times New Roman"/>
                <w:kern w:val="0"/>
                <w:szCs w:val="20"/>
              </w:rPr>
            </w:pPr>
            <w:r>
              <w:rPr>
                <w:rFonts w:hint="eastAsia" w:cs="Times New Roman"/>
                <w:kern w:val="0"/>
                <w:szCs w:val="20"/>
              </w:rPr>
              <w:t>蚌环许[</w:t>
            </w:r>
            <w:r>
              <w:rPr>
                <w:rFonts w:cs="Times New Roman"/>
                <w:kern w:val="0"/>
                <w:szCs w:val="20"/>
              </w:rPr>
              <w:t>2025]38号</w:t>
            </w:r>
          </w:p>
        </w:tc>
        <w:tc>
          <w:tcPr>
            <w:tcW w:w="917" w:type="pct"/>
            <w:vAlign w:val="center"/>
          </w:tcPr>
          <w:p w14:paraId="21CC4A5A">
            <w:pPr>
              <w:pStyle w:val="445"/>
              <w:rPr>
                <w:rFonts w:cs="Times New Roman"/>
                <w:kern w:val="0"/>
                <w:szCs w:val="20"/>
              </w:rPr>
            </w:pPr>
            <w:r>
              <w:rPr>
                <w:rFonts w:hint="eastAsia" w:cs="Times New Roman"/>
                <w:kern w:val="0"/>
                <w:szCs w:val="20"/>
              </w:rPr>
              <w:t>在建</w:t>
            </w:r>
          </w:p>
        </w:tc>
      </w:tr>
    </w:tbl>
    <w:p w14:paraId="66063107">
      <w:pPr>
        <w:pStyle w:val="349"/>
      </w:pPr>
      <w:r>
        <w:rPr>
          <w:rFonts w:hint="eastAsia"/>
        </w:rPr>
        <w:t>3</w:t>
      </w:r>
      <w:r>
        <w:t>.1.2.2现有工程排污许可执行情况</w:t>
      </w:r>
      <w:r>
        <w:rPr>
          <w:rFonts w:hint="eastAsia"/>
        </w:rPr>
        <w:t>和突发</w:t>
      </w:r>
      <w:r>
        <w:t>环境事件应急预案</w:t>
      </w:r>
    </w:p>
    <w:p w14:paraId="1693C1EC">
      <w:pPr>
        <w:ind w:firstLine="480"/>
      </w:pPr>
      <w:r>
        <w:t>安徽凯盛</w:t>
      </w:r>
      <w:r>
        <w:rPr>
          <w:rFonts w:hint="eastAsia"/>
        </w:rPr>
        <w:t>应用</w:t>
      </w:r>
      <w:r>
        <w:t>材料</w:t>
      </w:r>
      <w:r>
        <w:rPr>
          <w:rFonts w:hint="eastAsia"/>
        </w:rPr>
        <w:t>有限</w:t>
      </w:r>
      <w:r>
        <w:t>公司</w:t>
      </w:r>
      <w:r>
        <w:rPr>
          <w:rFonts w:hint="eastAsia"/>
        </w:rPr>
        <w:t>已取得</w:t>
      </w:r>
      <w:r>
        <w:t>排污许可</w:t>
      </w:r>
      <w:r>
        <w:rPr>
          <w:rFonts w:hint="eastAsia"/>
        </w:rPr>
        <w:t>证</w:t>
      </w:r>
      <w:r>
        <w:t>，</w:t>
      </w:r>
      <w:r>
        <w:rPr>
          <w:rFonts w:hint="eastAsia"/>
        </w:rPr>
        <w:t>排污许可证</w:t>
      </w:r>
      <w:r>
        <w:t>编号为</w:t>
      </w:r>
      <w:r>
        <w:rPr>
          <w:rFonts w:hint="eastAsia"/>
        </w:rPr>
        <w:t>913403003959366383001</w:t>
      </w:r>
      <w:r>
        <w:t>Y</w:t>
      </w:r>
      <w:r>
        <w:rPr>
          <w:rFonts w:hint="eastAsia"/>
        </w:rPr>
        <w:t>；企业</w:t>
      </w:r>
      <w:r>
        <w:t>于</w:t>
      </w:r>
      <w:r>
        <w:rPr>
          <w:rFonts w:hint="eastAsia"/>
        </w:rPr>
        <w:t>202</w:t>
      </w:r>
      <w:r>
        <w:t>3</w:t>
      </w:r>
      <w:r>
        <w:rPr>
          <w:rFonts w:hint="eastAsia"/>
        </w:rPr>
        <w:t>年</w:t>
      </w:r>
      <w:r>
        <w:t>7</w:t>
      </w:r>
      <w:r>
        <w:rPr>
          <w:rFonts w:hint="eastAsia"/>
        </w:rPr>
        <w:t>月1</w:t>
      </w:r>
      <w:r>
        <w:t>3</w:t>
      </w:r>
      <w:r>
        <w:rPr>
          <w:rFonts w:hint="eastAsia"/>
        </w:rPr>
        <w:t>日取得</w:t>
      </w:r>
      <w:r>
        <w:t>淮上区生态环境分局</w:t>
      </w:r>
      <w:r>
        <w:rPr>
          <w:rFonts w:hint="eastAsia"/>
        </w:rPr>
        <w:t>突发环境事件</w:t>
      </w:r>
      <w:r>
        <w:t>应急预案备案，备案号为</w:t>
      </w:r>
      <w:r>
        <w:rPr>
          <w:rFonts w:hint="eastAsia"/>
        </w:rPr>
        <w:t>340311-</w:t>
      </w:r>
      <w:r>
        <w:t>2023-024-M。</w:t>
      </w:r>
    </w:p>
    <w:p w14:paraId="5620A8C7">
      <w:pPr>
        <w:pStyle w:val="4068"/>
      </w:pPr>
      <w:r>
        <w:rPr>
          <w:rFonts w:hint="eastAsia"/>
        </w:rPr>
        <w:t>3</w:t>
      </w:r>
      <w:r>
        <w:t>.1.4</w:t>
      </w:r>
      <w:r>
        <w:rPr>
          <w:rFonts w:hint="eastAsia"/>
        </w:rPr>
        <w:t>已批已验收项目概况</w:t>
      </w:r>
    </w:p>
    <w:p w14:paraId="4F396571">
      <w:pPr>
        <w:pStyle w:val="349"/>
      </w:pPr>
      <w:bookmarkStart w:id="71" w:name="_Toc100783975"/>
      <w:bookmarkStart w:id="72" w:name="_Toc101135807"/>
      <w:bookmarkStart w:id="73" w:name="_Toc108662570"/>
      <w:r>
        <w:rPr>
          <w:rFonts w:hint="eastAsia"/>
        </w:rPr>
        <w:t>3</w:t>
      </w:r>
      <w:r>
        <w:t>.1.4.1现有工程产品方案及主要建设内容</w:t>
      </w:r>
      <w:bookmarkEnd w:id="71"/>
      <w:bookmarkEnd w:id="72"/>
      <w:bookmarkEnd w:id="73"/>
    </w:p>
    <w:p w14:paraId="67F57252">
      <w:pPr>
        <w:ind w:firstLine="480"/>
      </w:pPr>
      <w:r>
        <w:rPr>
          <w:rFonts w:hint="eastAsia"/>
        </w:rPr>
        <w:t>（1）产品方案</w:t>
      </w:r>
    </w:p>
    <w:p w14:paraId="73C3A028">
      <w:pPr>
        <w:pStyle w:val="278"/>
        <w:rPr>
          <w:color w:val="FF0000"/>
        </w:rPr>
      </w:pPr>
      <w:r>
        <w:rPr>
          <w:rFonts w:hint="eastAsia"/>
          <w:color w:val="FF0000"/>
        </w:rPr>
        <w:t>涉及商业机密，已删除</w:t>
      </w:r>
    </w:p>
    <w:p w14:paraId="0ED19284">
      <w:pPr>
        <w:ind w:firstLine="480"/>
      </w:pPr>
      <w:r>
        <w:rPr>
          <w:rFonts w:hint="eastAsia"/>
        </w:rPr>
        <w:t>（2）工程主要建设内容</w:t>
      </w:r>
    </w:p>
    <w:p w14:paraId="66115002">
      <w:pPr>
        <w:ind w:firstLine="480"/>
      </w:pPr>
      <w:r>
        <w:t>现有工程主要包括主体工程</w:t>
      </w:r>
      <w:r>
        <w:rPr>
          <w:rFonts w:hint="eastAsia"/>
        </w:rPr>
        <w:t>、</w:t>
      </w:r>
      <w:r>
        <w:t>辅助工程</w:t>
      </w:r>
      <w:r>
        <w:rPr>
          <w:rFonts w:hint="eastAsia"/>
        </w:rPr>
        <w:t>、</w:t>
      </w:r>
      <w:r>
        <w:t>储运工程</w:t>
      </w:r>
      <w:r>
        <w:rPr>
          <w:rFonts w:hint="eastAsia"/>
        </w:rPr>
        <w:t>、</w:t>
      </w:r>
      <w:r>
        <w:t>公用工程</w:t>
      </w:r>
      <w:r>
        <w:rPr>
          <w:rFonts w:hint="eastAsia"/>
        </w:rPr>
        <w:t>、</w:t>
      </w:r>
      <w:r>
        <w:t>环保工程</w:t>
      </w:r>
      <w:r>
        <w:rPr>
          <w:rFonts w:hint="eastAsia"/>
        </w:rPr>
        <w:t>。</w:t>
      </w:r>
    </w:p>
    <w:p w14:paraId="68F95E79">
      <w:pPr>
        <w:ind w:firstLine="480"/>
      </w:pPr>
      <w:r>
        <w:t>主体工程包括</w:t>
      </w:r>
      <w:r>
        <w:rPr>
          <w:rFonts w:hint="eastAsia"/>
        </w:rPr>
        <w:t>生产车间；</w:t>
      </w:r>
      <w:r>
        <w:t>辅助工程包括办公楼</w:t>
      </w:r>
      <w:r>
        <w:rPr>
          <w:rFonts w:hint="eastAsia"/>
        </w:rPr>
        <w:t>、</w:t>
      </w:r>
      <w:r>
        <w:t>综合楼和值班宿舍</w:t>
      </w:r>
      <w:r>
        <w:rPr>
          <w:rFonts w:hint="eastAsia"/>
        </w:rPr>
        <w:t>；</w:t>
      </w:r>
      <w:r>
        <w:t>储运工程包括原料库</w:t>
      </w:r>
      <w:r>
        <w:rPr>
          <w:rFonts w:hint="eastAsia"/>
        </w:rPr>
        <w:t>、</w:t>
      </w:r>
      <w:r>
        <w:t>成品库</w:t>
      </w:r>
      <w:r>
        <w:rPr>
          <w:rFonts w:hint="eastAsia"/>
        </w:rPr>
        <w:t>、</w:t>
      </w:r>
      <w:r>
        <w:t>各类罐区</w:t>
      </w:r>
      <w:r>
        <w:rPr>
          <w:rFonts w:hint="eastAsia"/>
        </w:rPr>
        <w:t>；</w:t>
      </w:r>
      <w:r>
        <w:t>公用工程包括天然气调压站</w:t>
      </w:r>
      <w:r>
        <w:rPr>
          <w:rFonts w:hint="eastAsia"/>
        </w:rPr>
        <w:t>、</w:t>
      </w:r>
      <w:r>
        <w:t>纯水制备</w:t>
      </w:r>
      <w:r>
        <w:rPr>
          <w:rFonts w:hint="eastAsia"/>
        </w:rPr>
        <w:t>、</w:t>
      </w:r>
      <w:r>
        <w:t>消防系统</w:t>
      </w:r>
      <w:r>
        <w:rPr>
          <w:rFonts w:hint="eastAsia"/>
        </w:rPr>
        <w:t>、</w:t>
      </w:r>
      <w:r>
        <w:t>供水供电系统</w:t>
      </w:r>
      <w:r>
        <w:rPr>
          <w:rFonts w:hint="eastAsia"/>
        </w:rPr>
        <w:t>；</w:t>
      </w:r>
      <w:r>
        <w:t>环保工程包括废气治理系统</w:t>
      </w:r>
      <w:r>
        <w:rPr>
          <w:rFonts w:hint="eastAsia"/>
        </w:rPr>
        <w:t>、</w:t>
      </w:r>
      <w:r>
        <w:t>废水治理系统</w:t>
      </w:r>
      <w:r>
        <w:rPr>
          <w:rFonts w:hint="eastAsia"/>
        </w:rPr>
        <w:t>、噪声治理工程及固体废物处理处置。</w:t>
      </w:r>
    </w:p>
    <w:p w14:paraId="230D2E72">
      <w:pPr>
        <w:ind w:firstLine="480"/>
        <w:sectPr>
          <w:pgSz w:w="11906" w:h="16838"/>
          <w:pgMar w:top="1440" w:right="1440" w:bottom="1440" w:left="1440" w:header="851" w:footer="992" w:gutter="0"/>
          <w:cols w:space="425" w:num="1"/>
          <w:docGrid w:type="lines" w:linePitch="326" w:charSpace="0"/>
        </w:sectPr>
      </w:pPr>
      <w:r>
        <w:t>具体建设内容见表</w:t>
      </w:r>
      <w:r>
        <w:rPr>
          <w:rFonts w:hint="eastAsia"/>
        </w:rPr>
        <w:t>3</w:t>
      </w:r>
      <w:r>
        <w:t>.1.4-2</w:t>
      </w:r>
      <w:r>
        <w:rPr>
          <w:rFonts w:hint="eastAsia"/>
        </w:rPr>
        <w:t>。</w:t>
      </w:r>
    </w:p>
    <w:p w14:paraId="51AA4891">
      <w:pPr>
        <w:pStyle w:val="278"/>
      </w:pPr>
      <w:r>
        <w:t>表</w:t>
      </w:r>
      <w:r>
        <w:rPr>
          <w:rFonts w:hint="eastAsia"/>
        </w:rPr>
        <w:t>3</w:t>
      </w:r>
      <w:r>
        <w:t>.1.4-2  现有项目建设内容一览表</w:t>
      </w:r>
    </w:p>
    <w:p w14:paraId="72C6C555">
      <w:pPr>
        <w:pStyle w:val="278"/>
        <w:rPr>
          <w:color w:val="FF0000"/>
        </w:rPr>
      </w:pPr>
      <w:r>
        <w:rPr>
          <w:rFonts w:hint="eastAsia"/>
          <w:color w:val="FF0000"/>
        </w:rPr>
        <w:t>涉及商业机密，已删除</w:t>
      </w:r>
    </w:p>
    <w:p w14:paraId="0F4D0AD3">
      <w:pPr>
        <w:pStyle w:val="278"/>
      </w:pPr>
    </w:p>
    <w:p w14:paraId="37139E25">
      <w:pPr>
        <w:pStyle w:val="278"/>
      </w:pPr>
    </w:p>
    <w:p w14:paraId="0F8B7143">
      <w:pPr>
        <w:pStyle w:val="4068"/>
        <w:sectPr>
          <w:pgSz w:w="16838" w:h="11906" w:orient="landscape"/>
          <w:pgMar w:top="1440" w:right="1440" w:bottom="1440" w:left="1440" w:header="851" w:footer="992" w:gutter="0"/>
          <w:cols w:space="425" w:num="1"/>
          <w:docGrid w:type="lines" w:linePitch="326" w:charSpace="0"/>
        </w:sectPr>
      </w:pPr>
      <w:bookmarkStart w:id="74" w:name="_Toc101135808"/>
      <w:bookmarkStart w:id="75" w:name="_Toc100783976"/>
    </w:p>
    <w:p w14:paraId="28FFE925">
      <w:pPr>
        <w:pStyle w:val="349"/>
      </w:pPr>
      <w:bookmarkStart w:id="76" w:name="_Toc108662571"/>
      <w:r>
        <w:rPr>
          <w:rFonts w:hint="eastAsia"/>
        </w:rPr>
        <w:t>3</w:t>
      </w:r>
      <w:r>
        <w:t>.1.4.2现有工程主要原辅材料及燃料消耗</w:t>
      </w:r>
      <w:bookmarkEnd w:id="74"/>
      <w:bookmarkEnd w:id="75"/>
      <w:bookmarkEnd w:id="76"/>
    </w:p>
    <w:p w14:paraId="4E08AB7F">
      <w:pPr>
        <w:ind w:firstLine="480"/>
      </w:pPr>
      <w:r>
        <w:rPr>
          <w:rFonts w:hint="eastAsia"/>
        </w:rPr>
        <w:t>现有工程主要原辅材料及燃料消耗情况具体见表3</w:t>
      </w:r>
      <w:r>
        <w:t>.1.4-3</w:t>
      </w:r>
      <w:r>
        <w:rPr>
          <w:rFonts w:hint="eastAsia"/>
        </w:rPr>
        <w:t>。</w:t>
      </w:r>
    </w:p>
    <w:p w14:paraId="63025788">
      <w:pPr>
        <w:pStyle w:val="278"/>
        <w:rPr>
          <w:color w:val="FF0000"/>
        </w:rPr>
      </w:pPr>
      <w:r>
        <w:rPr>
          <w:rFonts w:hint="eastAsia"/>
          <w:color w:val="FF0000"/>
        </w:rPr>
        <w:t>涉及商业机密，已删除</w:t>
      </w:r>
    </w:p>
    <w:p w14:paraId="29B9DE21">
      <w:pPr>
        <w:pStyle w:val="278"/>
      </w:pPr>
    </w:p>
    <w:p w14:paraId="41EB1E51">
      <w:pPr>
        <w:pStyle w:val="349"/>
      </w:pPr>
      <w:bookmarkStart w:id="77" w:name="_Toc100783977"/>
      <w:bookmarkStart w:id="78" w:name="_Toc101135809"/>
      <w:bookmarkStart w:id="79" w:name="_Toc108662572"/>
      <w:r>
        <w:rPr>
          <w:rFonts w:hint="eastAsia"/>
        </w:rPr>
        <w:t>3</w:t>
      </w:r>
      <w:r>
        <w:t>.1.4.3现有工程主要生产设施</w:t>
      </w:r>
      <w:bookmarkEnd w:id="77"/>
      <w:bookmarkEnd w:id="78"/>
      <w:bookmarkEnd w:id="79"/>
    </w:p>
    <w:p w14:paraId="55F98F4E">
      <w:pPr>
        <w:pStyle w:val="278"/>
        <w:rPr>
          <w:color w:val="FF0000"/>
        </w:rPr>
      </w:pPr>
      <w:r>
        <w:rPr>
          <w:rFonts w:hint="eastAsia"/>
          <w:color w:val="FF0000"/>
        </w:rPr>
        <w:t>涉及商业机密，已删除</w:t>
      </w:r>
    </w:p>
    <w:p w14:paraId="413AFF50">
      <w:pPr>
        <w:ind w:firstLine="480"/>
        <w:rPr>
          <w:rFonts w:hint="eastAsia"/>
        </w:rPr>
      </w:pPr>
    </w:p>
    <w:p w14:paraId="60BFB9B5">
      <w:pPr>
        <w:pStyle w:val="349"/>
      </w:pPr>
      <w:bookmarkStart w:id="80" w:name="_Toc108662574"/>
      <w:bookmarkStart w:id="81" w:name="_Toc100783978"/>
      <w:bookmarkStart w:id="82" w:name="_Toc101135810"/>
      <w:r>
        <w:rPr>
          <w:rFonts w:hint="eastAsia"/>
        </w:rPr>
        <w:t>3</w:t>
      </w:r>
      <w:r>
        <w:t>.1.4.4</w:t>
      </w:r>
      <w:r>
        <w:rPr>
          <w:rFonts w:hint="eastAsia"/>
        </w:rPr>
        <w:t>现有工程工艺</w:t>
      </w:r>
      <w:r>
        <w:t>流程</w:t>
      </w:r>
      <w:bookmarkEnd w:id="80"/>
      <w:bookmarkEnd w:id="81"/>
      <w:bookmarkEnd w:id="82"/>
    </w:p>
    <w:p w14:paraId="1214161B">
      <w:pPr>
        <w:pStyle w:val="278"/>
        <w:ind w:firstLine="480"/>
        <w:rPr>
          <w:color w:val="FF0000"/>
        </w:rPr>
      </w:pPr>
      <w:r>
        <w:rPr>
          <w:rFonts w:hint="eastAsia"/>
          <w:color w:val="FF0000"/>
        </w:rPr>
        <w:t>涉及商业机密，已删除</w:t>
      </w:r>
    </w:p>
    <w:p w14:paraId="16DD822E">
      <w:pPr>
        <w:ind w:firstLine="480"/>
        <w:jc w:val="center"/>
        <w:rPr>
          <w:rFonts w:cs="Times New Roman"/>
        </w:rPr>
      </w:pPr>
    </w:p>
    <w:p w14:paraId="38C1E228">
      <w:pPr>
        <w:pStyle w:val="349"/>
      </w:pPr>
      <w:bookmarkStart w:id="83" w:name="_Toc101135811"/>
      <w:bookmarkStart w:id="84" w:name="_Toc108662575"/>
      <w:bookmarkStart w:id="85" w:name="_Toc100783979"/>
      <w:r>
        <w:t>3.1.4.5现有工程产污节点及污染治理措施</w:t>
      </w:r>
      <w:bookmarkEnd w:id="83"/>
      <w:bookmarkEnd w:id="84"/>
      <w:bookmarkEnd w:id="85"/>
    </w:p>
    <w:p w14:paraId="77FA4DC6">
      <w:pPr>
        <w:ind w:firstLine="482"/>
        <w:rPr>
          <w:b/>
        </w:rPr>
      </w:pPr>
      <w:r>
        <w:rPr>
          <w:rFonts w:hint="eastAsia"/>
          <w:b/>
        </w:rPr>
        <w:t>（1）</w:t>
      </w:r>
      <w:r>
        <w:rPr>
          <w:b/>
        </w:rPr>
        <w:t>废气</w:t>
      </w:r>
    </w:p>
    <w:p w14:paraId="03FEAD27">
      <w:pPr>
        <w:pStyle w:val="278"/>
        <w:ind w:firstLine="480"/>
        <w:rPr>
          <w:color w:val="FF0000"/>
        </w:rPr>
      </w:pPr>
      <w:r>
        <w:rPr>
          <w:rFonts w:hint="eastAsia"/>
          <w:color w:val="FF0000"/>
        </w:rPr>
        <w:t>涉及商业机密，已删除</w:t>
      </w:r>
    </w:p>
    <w:p w14:paraId="3F73ECB8">
      <w:pPr>
        <w:ind w:firstLine="482"/>
        <w:rPr>
          <w:rFonts w:hint="eastAsia"/>
          <w:b/>
        </w:rPr>
      </w:pPr>
    </w:p>
    <w:p w14:paraId="73665828">
      <w:pPr>
        <w:ind w:firstLine="482"/>
        <w:rPr>
          <w:b/>
        </w:rPr>
      </w:pPr>
      <w:r>
        <w:rPr>
          <w:rFonts w:hint="eastAsia"/>
          <w:b/>
        </w:rPr>
        <w:t>（2）</w:t>
      </w:r>
      <w:r>
        <w:rPr>
          <w:b/>
        </w:rPr>
        <w:t>废水</w:t>
      </w:r>
    </w:p>
    <w:p w14:paraId="123A9E22">
      <w:pPr>
        <w:pStyle w:val="278"/>
        <w:ind w:firstLine="480"/>
        <w:rPr>
          <w:color w:val="FF0000"/>
        </w:rPr>
      </w:pPr>
      <w:r>
        <w:rPr>
          <w:rFonts w:hint="eastAsia"/>
          <w:color w:val="FF0000"/>
        </w:rPr>
        <w:t>涉及商业机密，已删除</w:t>
      </w:r>
    </w:p>
    <w:p w14:paraId="3E3B702D">
      <w:pPr>
        <w:ind w:firstLine="482"/>
        <w:rPr>
          <w:b/>
        </w:rPr>
      </w:pPr>
    </w:p>
    <w:p w14:paraId="57DD7221">
      <w:pPr>
        <w:pStyle w:val="4068"/>
      </w:pPr>
      <w:bookmarkStart w:id="86" w:name="_Toc101135812"/>
      <w:bookmarkStart w:id="87" w:name="_Toc100783980"/>
      <w:bookmarkStart w:id="88" w:name="_Toc108662576"/>
      <w:r>
        <w:rPr>
          <w:rFonts w:hint="eastAsia"/>
        </w:rPr>
        <w:t>3</w:t>
      </w:r>
      <w:r>
        <w:t>.1.10污染物达标排放情况</w:t>
      </w:r>
      <w:bookmarkEnd w:id="86"/>
      <w:bookmarkEnd w:id="87"/>
      <w:bookmarkEnd w:id="88"/>
    </w:p>
    <w:p w14:paraId="0E377985">
      <w:pPr>
        <w:ind w:firstLine="480"/>
      </w:pPr>
      <w:r>
        <w:rPr>
          <w:rFonts w:hint="eastAsia" w:ascii="宋体" w:hAnsi="宋体"/>
        </w:rPr>
        <w:t>根据</w:t>
      </w:r>
      <w:r>
        <w:rPr>
          <w:rFonts w:ascii="宋体" w:hAnsi="宋体"/>
        </w:rPr>
        <w:t>验收监测数据</w:t>
      </w:r>
      <w:r>
        <w:rPr>
          <w:rFonts w:hint="eastAsia" w:ascii="宋体" w:hAnsi="宋体"/>
        </w:rPr>
        <w:t>，</w:t>
      </w:r>
      <w:r>
        <w:rPr>
          <w:rFonts w:ascii="宋体" w:hAnsi="宋体"/>
        </w:rPr>
        <w:t>对企业现有工程污染物达标排放情况进行分析，具体</w:t>
      </w:r>
      <w:r>
        <w:rPr>
          <w:rFonts w:hint="eastAsia" w:ascii="宋体" w:hAnsi="宋体"/>
        </w:rPr>
        <w:t>如下</w:t>
      </w:r>
      <w:r>
        <w:rPr>
          <w:rFonts w:ascii="宋体" w:hAnsi="宋体"/>
        </w:rPr>
        <w:t>：</w:t>
      </w:r>
    </w:p>
    <w:p w14:paraId="7FFD4D86">
      <w:pPr>
        <w:pStyle w:val="349"/>
      </w:pPr>
      <w:r>
        <w:t>3.1.10.1大气污染物达标排放情况</w:t>
      </w:r>
    </w:p>
    <w:p w14:paraId="16E2D880">
      <w:pPr>
        <w:pStyle w:val="278"/>
        <w:ind w:firstLine="480"/>
        <w:rPr>
          <w:color w:val="FF0000"/>
        </w:rPr>
      </w:pPr>
      <w:r>
        <w:rPr>
          <w:rFonts w:hint="eastAsia"/>
          <w:color w:val="FF0000"/>
        </w:rPr>
        <w:t>涉及商业机密，已删除</w:t>
      </w:r>
    </w:p>
    <w:p w14:paraId="74CA51BB">
      <w:pPr>
        <w:ind w:firstLine="480"/>
      </w:pPr>
    </w:p>
    <w:p w14:paraId="07FE85E2">
      <w:pPr>
        <w:ind w:firstLine="480"/>
      </w:pPr>
      <w:r>
        <w:rPr>
          <w:rFonts w:hint="eastAsia"/>
        </w:rPr>
        <w:t>（2）无组织废气</w:t>
      </w:r>
    </w:p>
    <w:p w14:paraId="40075A01">
      <w:pPr>
        <w:pStyle w:val="278"/>
        <w:ind w:firstLine="480"/>
        <w:rPr>
          <w:color w:val="FF0000"/>
        </w:rPr>
      </w:pPr>
      <w:r>
        <w:rPr>
          <w:rFonts w:hint="eastAsia"/>
          <w:color w:val="FF0000"/>
        </w:rPr>
        <w:t>涉及商业机密，已删除</w:t>
      </w:r>
    </w:p>
    <w:p w14:paraId="75FB7912">
      <w:pPr>
        <w:pStyle w:val="278"/>
      </w:pPr>
    </w:p>
    <w:p w14:paraId="2B0770BA">
      <w:pPr>
        <w:pStyle w:val="278"/>
        <w:rPr>
          <w:rFonts w:hint="eastAsia"/>
        </w:rPr>
        <w:sectPr>
          <w:pgSz w:w="11906" w:h="16838"/>
          <w:pgMar w:top="1440" w:right="1440" w:bottom="1440" w:left="1440" w:header="851" w:footer="992" w:gutter="0"/>
          <w:cols w:space="425" w:num="1"/>
          <w:docGrid w:type="lines" w:linePitch="326" w:charSpace="0"/>
        </w:sectPr>
      </w:pPr>
    </w:p>
    <w:p w14:paraId="0BA5E3F0">
      <w:pPr>
        <w:pStyle w:val="349"/>
      </w:pPr>
      <w:r>
        <w:t>3.1.10.2废水污染物达标排放情况</w:t>
      </w:r>
    </w:p>
    <w:p w14:paraId="6A6E6C80">
      <w:pPr>
        <w:pStyle w:val="278"/>
        <w:ind w:firstLine="480"/>
        <w:rPr>
          <w:color w:val="FF0000"/>
        </w:rPr>
      </w:pPr>
      <w:r>
        <w:rPr>
          <w:rFonts w:hint="eastAsia"/>
          <w:color w:val="FF0000"/>
        </w:rPr>
        <w:t>涉及商业机密，已删除</w:t>
      </w:r>
    </w:p>
    <w:p w14:paraId="1C44BDDB">
      <w:pPr>
        <w:ind w:firstLine="480"/>
        <w:rPr>
          <w:rFonts w:hint="eastAsia"/>
        </w:rPr>
      </w:pPr>
    </w:p>
    <w:p w14:paraId="2D926CBD">
      <w:pPr>
        <w:pStyle w:val="349"/>
      </w:pPr>
      <w:r>
        <w:t>3.1.10.3噪声达标排放情况</w:t>
      </w:r>
    </w:p>
    <w:p w14:paraId="3F1B117D">
      <w:pPr>
        <w:pStyle w:val="278"/>
        <w:ind w:firstLine="480"/>
        <w:rPr>
          <w:color w:val="FF0000"/>
        </w:rPr>
      </w:pPr>
      <w:r>
        <w:rPr>
          <w:rFonts w:hint="eastAsia"/>
          <w:color w:val="FF0000"/>
        </w:rPr>
        <w:t>涉及商业机密，已删除</w:t>
      </w:r>
    </w:p>
    <w:p w14:paraId="43274E19">
      <w:pPr>
        <w:ind w:firstLine="480"/>
        <w:rPr>
          <w:rFonts w:hint="eastAsia"/>
        </w:rPr>
      </w:pPr>
    </w:p>
    <w:p w14:paraId="7674A88D">
      <w:pPr>
        <w:pStyle w:val="4068"/>
      </w:pPr>
      <w:bookmarkStart w:id="89" w:name="_Toc100783981"/>
      <w:bookmarkStart w:id="90" w:name="_Toc101135813"/>
      <w:bookmarkStart w:id="91" w:name="_Toc108662577"/>
      <w:r>
        <w:rPr>
          <w:rFonts w:hint="eastAsia"/>
        </w:rPr>
        <w:t>3</w:t>
      </w:r>
      <w:r>
        <w:t>.1.11现有工程污染物汇总及总量控制指标</w:t>
      </w:r>
      <w:bookmarkEnd w:id="89"/>
      <w:bookmarkEnd w:id="90"/>
      <w:bookmarkEnd w:id="91"/>
    </w:p>
    <w:p w14:paraId="32593005">
      <w:pPr>
        <w:pStyle w:val="349"/>
      </w:pPr>
      <w:r>
        <w:rPr>
          <w:rFonts w:hint="eastAsia"/>
        </w:rPr>
        <w:t>3</w:t>
      </w:r>
      <w:r>
        <w:t>.1.11.1现有污染物排放情况</w:t>
      </w:r>
    </w:p>
    <w:p w14:paraId="2513FD13">
      <w:pPr>
        <w:pStyle w:val="278"/>
        <w:ind w:firstLine="480"/>
        <w:rPr>
          <w:color w:val="FF0000"/>
        </w:rPr>
      </w:pPr>
      <w:r>
        <w:rPr>
          <w:rFonts w:hint="eastAsia"/>
          <w:color w:val="FF0000"/>
        </w:rPr>
        <w:t>涉及商业机密，已删除</w:t>
      </w:r>
    </w:p>
    <w:p w14:paraId="6975DA97">
      <w:pPr>
        <w:ind w:firstLine="480"/>
        <w:rPr>
          <w:rFonts w:hint="eastAsia"/>
        </w:rPr>
      </w:pPr>
    </w:p>
    <w:p w14:paraId="68DF968E">
      <w:pPr>
        <w:pStyle w:val="349"/>
      </w:pPr>
      <w:r>
        <w:rPr>
          <w:rFonts w:hint="eastAsia"/>
        </w:rPr>
        <w:t>3</w:t>
      </w:r>
      <w:r>
        <w:t>.1.11.2现有工程总量控制指标</w:t>
      </w:r>
    </w:p>
    <w:p w14:paraId="0E29BDAF">
      <w:pPr>
        <w:pStyle w:val="278"/>
        <w:ind w:firstLine="480"/>
        <w:rPr>
          <w:color w:val="FF0000"/>
        </w:rPr>
      </w:pPr>
      <w:r>
        <w:rPr>
          <w:rFonts w:hint="eastAsia"/>
          <w:color w:val="FF0000"/>
        </w:rPr>
        <w:t>涉及商业机密，已删除</w:t>
      </w:r>
    </w:p>
    <w:p w14:paraId="293F01CA">
      <w:pPr>
        <w:ind w:firstLine="480"/>
        <w:rPr>
          <w:rFonts w:hint="eastAsia"/>
        </w:rPr>
      </w:pPr>
    </w:p>
    <w:p w14:paraId="2B0DE272">
      <w:pPr>
        <w:pStyle w:val="4068"/>
      </w:pPr>
      <w:bookmarkStart w:id="92" w:name="_Toc100783982"/>
      <w:bookmarkStart w:id="93" w:name="_Toc108662578"/>
      <w:bookmarkStart w:id="94" w:name="_Toc101135814"/>
      <w:r>
        <w:rPr>
          <w:rFonts w:hint="eastAsia"/>
        </w:rPr>
        <w:t>3</w:t>
      </w:r>
      <w:r>
        <w:t>.1.5</w:t>
      </w:r>
      <w:r>
        <w:rPr>
          <w:rFonts w:hint="eastAsia"/>
        </w:rPr>
        <w:t>已批在建项目概况</w:t>
      </w:r>
    </w:p>
    <w:p w14:paraId="4EB4FB8A">
      <w:pPr>
        <w:pStyle w:val="349"/>
      </w:pPr>
      <w:r>
        <w:rPr>
          <w:rFonts w:hint="eastAsia"/>
        </w:rPr>
        <w:t>3</w:t>
      </w:r>
      <w:r>
        <w:t>.1.5.1</w:t>
      </w:r>
      <w:r>
        <w:rPr>
          <w:rFonts w:hint="eastAsia"/>
        </w:rPr>
        <w:t>已批在建</w:t>
      </w:r>
      <w:r>
        <w:t>工程产品方案及主要建设内容</w:t>
      </w:r>
    </w:p>
    <w:p w14:paraId="0CE37AC8">
      <w:pPr>
        <w:pStyle w:val="278"/>
        <w:ind w:firstLine="480"/>
        <w:rPr>
          <w:color w:val="FF0000"/>
        </w:rPr>
      </w:pPr>
      <w:r>
        <w:rPr>
          <w:rFonts w:hint="eastAsia"/>
          <w:color w:val="FF0000"/>
        </w:rPr>
        <w:t>涉及商业机密，已删除</w:t>
      </w:r>
    </w:p>
    <w:p w14:paraId="4D429577">
      <w:pPr>
        <w:ind w:firstLine="480"/>
        <w:rPr>
          <w:rFonts w:hint="eastAsia"/>
        </w:rPr>
      </w:pPr>
    </w:p>
    <w:p w14:paraId="1A772205">
      <w:pPr>
        <w:ind w:firstLine="480"/>
        <w:sectPr>
          <w:pgSz w:w="11906" w:h="16838"/>
          <w:pgMar w:top="1440" w:right="1440" w:bottom="1440" w:left="1440" w:header="851" w:footer="992" w:gutter="0"/>
          <w:cols w:space="425" w:num="1"/>
          <w:docGrid w:type="lines" w:linePitch="326" w:charSpace="0"/>
        </w:sectPr>
      </w:pPr>
    </w:p>
    <w:p w14:paraId="69E684A5">
      <w:pPr>
        <w:ind w:firstLine="480"/>
        <w:sectPr>
          <w:pgSz w:w="16838" w:h="11906" w:orient="landscape"/>
          <w:pgMar w:top="1440" w:right="1440" w:bottom="1440" w:left="1440" w:header="851" w:footer="992" w:gutter="0"/>
          <w:cols w:space="425" w:num="1"/>
          <w:docGrid w:type="lines" w:linePitch="326" w:charSpace="0"/>
        </w:sectPr>
      </w:pPr>
    </w:p>
    <w:p w14:paraId="33CEBE16">
      <w:pPr>
        <w:pStyle w:val="4068"/>
      </w:pPr>
      <w:r>
        <w:rPr>
          <w:rFonts w:hint="eastAsia"/>
        </w:rPr>
        <w:t>3</w:t>
      </w:r>
      <w:r>
        <w:t>.1.12现有工程防护距离设置情况</w:t>
      </w:r>
      <w:bookmarkEnd w:id="92"/>
      <w:bookmarkEnd w:id="93"/>
      <w:bookmarkEnd w:id="94"/>
    </w:p>
    <w:p w14:paraId="20BB7382">
      <w:pPr>
        <w:pStyle w:val="278"/>
        <w:ind w:firstLine="480"/>
        <w:rPr>
          <w:color w:val="FF0000"/>
        </w:rPr>
      </w:pPr>
      <w:r>
        <w:rPr>
          <w:rFonts w:hint="eastAsia"/>
          <w:color w:val="FF0000"/>
        </w:rPr>
        <w:t>涉及商业机密，已删除</w:t>
      </w:r>
    </w:p>
    <w:p w14:paraId="4EC0257F">
      <w:pPr>
        <w:ind w:firstLine="480"/>
        <w:rPr>
          <w:rFonts w:hint="eastAsia"/>
        </w:rPr>
      </w:pPr>
    </w:p>
    <w:p w14:paraId="0F4CFF2B">
      <w:pPr>
        <w:pStyle w:val="4068"/>
      </w:pPr>
      <w:bookmarkStart w:id="95" w:name="_Toc100783983"/>
      <w:bookmarkStart w:id="96" w:name="_Toc101135815"/>
      <w:bookmarkStart w:id="97" w:name="_Toc108662579"/>
      <w:r>
        <w:rPr>
          <w:rFonts w:hint="eastAsia"/>
        </w:rPr>
        <w:t>3</w:t>
      </w:r>
      <w:r>
        <w:t>.1.13现有工程存在的主要环境问题</w:t>
      </w:r>
      <w:bookmarkEnd w:id="95"/>
      <w:bookmarkEnd w:id="96"/>
      <w:bookmarkEnd w:id="97"/>
    </w:p>
    <w:p w14:paraId="75FBAB09">
      <w:pPr>
        <w:pStyle w:val="278"/>
        <w:ind w:firstLine="480"/>
        <w:rPr>
          <w:color w:val="FF0000"/>
        </w:rPr>
      </w:pPr>
      <w:r>
        <w:rPr>
          <w:rFonts w:hint="eastAsia"/>
          <w:color w:val="FF0000"/>
        </w:rPr>
        <w:t>涉及商业机密，已删除</w:t>
      </w:r>
    </w:p>
    <w:p w14:paraId="0201E872">
      <w:pPr>
        <w:ind w:firstLine="480"/>
      </w:pPr>
    </w:p>
    <w:p w14:paraId="7867C946">
      <w:pPr>
        <w:pStyle w:val="4064"/>
        <w:sectPr>
          <w:pgSz w:w="11906" w:h="16838"/>
          <w:pgMar w:top="1440" w:right="1440" w:bottom="1440" w:left="1440" w:header="851" w:footer="992" w:gutter="0"/>
          <w:cols w:space="425" w:num="1"/>
          <w:docGrid w:type="lines" w:linePitch="326" w:charSpace="0"/>
        </w:sectPr>
      </w:pPr>
    </w:p>
    <w:p w14:paraId="24EDF1EA">
      <w:pPr>
        <w:pStyle w:val="4065"/>
        <w:spacing w:before="0" w:after="0"/>
        <w:ind w:left="-425" w:leftChars="-177" w:firstLine="425" w:firstLineChars="133"/>
      </w:pPr>
      <w:bookmarkStart w:id="98" w:name="_Toc86542505"/>
      <w:bookmarkStart w:id="99" w:name="_Toc8221562"/>
      <w:bookmarkStart w:id="100" w:name="_Toc52175491"/>
      <w:bookmarkStart w:id="101" w:name="_Toc108662589"/>
      <w:r>
        <w:t>3.2</w:t>
      </w:r>
      <w:r>
        <w:rPr>
          <w:rFonts w:hint="eastAsia"/>
        </w:rPr>
        <w:t>本项目</w:t>
      </w:r>
      <w:bookmarkEnd w:id="98"/>
      <w:bookmarkEnd w:id="99"/>
      <w:bookmarkEnd w:id="100"/>
      <w:bookmarkEnd w:id="101"/>
      <w:r>
        <w:rPr>
          <w:rFonts w:hint="eastAsia"/>
        </w:rPr>
        <w:t>工程</w:t>
      </w:r>
      <w:r>
        <w:t>分析</w:t>
      </w:r>
    </w:p>
    <w:p w14:paraId="576659A6">
      <w:pPr>
        <w:pStyle w:val="4068"/>
      </w:pPr>
      <w:bookmarkStart w:id="102" w:name="_Toc52175492"/>
      <w:bookmarkStart w:id="103" w:name="_Toc100783985"/>
      <w:bookmarkStart w:id="104" w:name="_Toc101135817"/>
      <w:bookmarkStart w:id="105" w:name="_Toc108662590"/>
      <w:r>
        <w:t>3.2.1</w:t>
      </w:r>
      <w:r>
        <w:rPr>
          <w:rFonts w:hint="eastAsia"/>
        </w:rPr>
        <w:t>本项目</w:t>
      </w:r>
      <w:r>
        <w:t>基本概况</w:t>
      </w:r>
      <w:bookmarkEnd w:id="102"/>
      <w:bookmarkEnd w:id="103"/>
      <w:bookmarkEnd w:id="104"/>
      <w:bookmarkEnd w:id="105"/>
    </w:p>
    <w:p w14:paraId="0C8A25A0">
      <w:pPr>
        <w:ind w:firstLine="480"/>
      </w:pPr>
      <w:r>
        <w:t>项目名称：</w:t>
      </w:r>
      <w:r>
        <w:rPr>
          <w:rFonts w:hint="eastAsia"/>
        </w:rPr>
        <w:t>年产7000吨硅基新材料技改/扩建项目</w:t>
      </w:r>
      <w:r>
        <w:t>；</w:t>
      </w:r>
    </w:p>
    <w:p w14:paraId="2AD22951">
      <w:pPr>
        <w:ind w:firstLine="480"/>
      </w:pPr>
      <w:r>
        <w:rPr>
          <w:rFonts w:hint="eastAsia"/>
        </w:rPr>
        <w:t>建设单位：</w:t>
      </w:r>
      <w:r>
        <w:t>安徽凯盛</w:t>
      </w:r>
      <w:r>
        <w:rPr>
          <w:rFonts w:hint="eastAsia"/>
        </w:rPr>
        <w:t>应用</w:t>
      </w:r>
      <w:r>
        <w:t>材料</w:t>
      </w:r>
      <w:r>
        <w:rPr>
          <w:rFonts w:hint="eastAsia"/>
        </w:rPr>
        <w:t>有限</w:t>
      </w:r>
      <w:r>
        <w:t>公司</w:t>
      </w:r>
      <w:r>
        <w:rPr>
          <w:rFonts w:hint="eastAsia"/>
        </w:rPr>
        <w:t>；</w:t>
      </w:r>
    </w:p>
    <w:p w14:paraId="5B87D91F">
      <w:pPr>
        <w:ind w:firstLine="480"/>
      </w:pPr>
      <w:r>
        <w:rPr>
          <w:rFonts w:hint="eastAsia"/>
        </w:rPr>
        <w:t>建设</w:t>
      </w:r>
      <w:r>
        <w:t>性质：</w:t>
      </w:r>
      <w:r>
        <w:rPr>
          <w:rFonts w:hint="eastAsia"/>
        </w:rPr>
        <w:t>技改/扩建</w:t>
      </w:r>
      <w:r>
        <w:t>；</w:t>
      </w:r>
    </w:p>
    <w:p w14:paraId="05A16C28">
      <w:pPr>
        <w:ind w:firstLine="480"/>
      </w:pPr>
      <w:r>
        <w:rPr>
          <w:rFonts w:hint="eastAsia"/>
        </w:rPr>
        <w:t>行业类别</w:t>
      </w:r>
      <w:r>
        <w:t>：</w:t>
      </w:r>
      <w:r>
        <w:rPr>
          <w:rFonts w:hint="eastAsia"/>
        </w:rPr>
        <w:t>基础化学原料制造[C261]（硅：其他基础</w:t>
      </w:r>
      <w:r>
        <w:t>化学原料制造</w:t>
      </w:r>
      <w:r>
        <w:rPr>
          <w:rFonts w:hint="eastAsia"/>
        </w:rPr>
        <w:t>[C2619]；KH-560及A-</w:t>
      </w:r>
      <w:r>
        <w:t>171</w:t>
      </w:r>
      <w:r>
        <w:rPr>
          <w:rFonts w:hint="eastAsia"/>
        </w:rPr>
        <w:t>：有机化学原料制造[</w:t>
      </w:r>
      <w:r>
        <w:t>C2614]</w:t>
      </w:r>
      <w:r>
        <w:rPr>
          <w:rFonts w:hint="eastAsia"/>
        </w:rPr>
        <w:t>）；</w:t>
      </w:r>
    </w:p>
    <w:p w14:paraId="1CBEF19B">
      <w:pPr>
        <w:ind w:firstLine="480"/>
      </w:pPr>
      <w:r>
        <w:t>建设地点：</w:t>
      </w:r>
      <w:r>
        <w:rPr>
          <w:rFonts w:hint="eastAsia"/>
        </w:rPr>
        <w:t>蚌埠精细化工高新技术产业基地开源大道28号</w:t>
      </w:r>
      <w:r>
        <w:t>；</w:t>
      </w:r>
    </w:p>
    <w:p w14:paraId="64478E30">
      <w:pPr>
        <w:ind w:firstLine="480"/>
      </w:pPr>
      <w:r>
        <w:t>建设</w:t>
      </w:r>
      <w:r>
        <w:rPr>
          <w:rFonts w:hint="eastAsia"/>
        </w:rPr>
        <w:t>内容</w:t>
      </w:r>
      <w:r>
        <w:t>及规模：</w:t>
      </w:r>
      <w:r>
        <w:rPr>
          <w:rFonts w:hint="eastAsia"/>
        </w:rPr>
        <w:t>项目分两期建设。项目（一期）年生产电子级硅溶胶1500吨(固含量20%)全部销售，中间产品硅粉2880吨，四甲氧基硅烷1037吨（99.9%的998吨，90%的39吨），三甲氧基硅烷4500吨。产品年生产能力硅烷偶联剂(KH560)3000吨，硅烷偶联剂(A-171)2500吨。副产品甲醇645吨/年，甲基三甲氧基硅烷135吨/年，烯丙基缩水甘油醚335吨/年，细硅粉70吨/年，聚硅氧烷1</w:t>
      </w:r>
      <w:r>
        <w:t>50</w:t>
      </w:r>
      <w:r>
        <w:rPr>
          <w:rFonts w:hint="eastAsia"/>
        </w:rPr>
        <w:t>吨/年，溶剂1</w:t>
      </w:r>
      <w:r>
        <w:t>58</w:t>
      </w:r>
      <w:r>
        <w:rPr>
          <w:rFonts w:hint="eastAsia"/>
        </w:rPr>
        <w:t>吨/年。回收套用甲醇795吨/年，氨水（10%）435吨/年。项目（二期）年生产乙炔450吨，用于硅烷偶联剂A-171使用。</w:t>
      </w:r>
    </w:p>
    <w:p w14:paraId="2826C133">
      <w:pPr>
        <w:ind w:firstLine="480"/>
      </w:pPr>
      <w:r>
        <w:rPr>
          <w:rFonts w:hint="eastAsia"/>
        </w:rPr>
        <w:t>建设投资</w:t>
      </w:r>
      <w:r>
        <w:t>：2500万元，其中环保投资</w:t>
      </w:r>
      <w:r>
        <w:rPr>
          <w:color w:val="FF0000"/>
        </w:rPr>
        <w:t>30</w:t>
      </w:r>
      <w:r>
        <w:t>万元，占总投资的</w:t>
      </w:r>
      <w:r>
        <w:rPr>
          <w:color w:val="FF0000"/>
        </w:rPr>
        <w:t>1.20</w:t>
      </w:r>
      <w:r>
        <w:t>%；</w:t>
      </w:r>
    </w:p>
    <w:p w14:paraId="71CE7B5F">
      <w:pPr>
        <w:ind w:firstLine="480"/>
      </w:pPr>
      <w:r>
        <w:rPr>
          <w:rFonts w:hint="eastAsia"/>
        </w:rPr>
        <w:t>占地</w:t>
      </w:r>
      <w:r>
        <w:t>面积</w:t>
      </w:r>
      <w:r>
        <w:rPr>
          <w:rFonts w:hint="eastAsia"/>
        </w:rPr>
        <w:t>：占地</w:t>
      </w:r>
      <w:r>
        <w:t>面积100.249</w:t>
      </w:r>
      <w:r>
        <w:rPr>
          <w:rFonts w:hint="eastAsia"/>
        </w:rPr>
        <w:t>亩</w:t>
      </w:r>
      <w:r>
        <w:t>，总建筑</w:t>
      </w:r>
      <w:r>
        <w:rPr>
          <w:rFonts w:hint="eastAsia"/>
        </w:rPr>
        <w:t>面积</w:t>
      </w:r>
      <w:r>
        <w:t>为19804.85m</w:t>
      </w:r>
      <w:r>
        <w:rPr>
          <w:vertAlign w:val="superscript"/>
        </w:rPr>
        <w:t>2</w:t>
      </w:r>
      <w:r>
        <w:rPr>
          <w:rFonts w:hint="eastAsia"/>
        </w:rPr>
        <w:t>；</w:t>
      </w:r>
    </w:p>
    <w:p w14:paraId="195FCE0C">
      <w:pPr>
        <w:ind w:firstLine="480"/>
      </w:pPr>
      <w:r>
        <w:rPr>
          <w:rFonts w:hint="eastAsia"/>
        </w:rPr>
        <w:t>劳动</w:t>
      </w:r>
      <w:r>
        <w:t>定员及工作制度：</w:t>
      </w:r>
      <w:r>
        <w:rPr>
          <w:rFonts w:hint="eastAsia"/>
        </w:rPr>
        <w:t>新增</w:t>
      </w:r>
      <w:r>
        <w:t>职工60</w:t>
      </w:r>
      <w:r>
        <w:rPr>
          <w:rFonts w:hint="eastAsia"/>
        </w:rPr>
        <w:t>人</w:t>
      </w:r>
      <w:r>
        <w:t>，</w:t>
      </w:r>
      <w:r>
        <w:rPr>
          <w:rFonts w:hint="eastAsia"/>
        </w:rPr>
        <w:t>年生产300天</w:t>
      </w:r>
      <w:r>
        <w:t>，实行每天四班三运行，每班8小时</w:t>
      </w:r>
      <w:r>
        <w:rPr>
          <w:rFonts w:hint="eastAsia"/>
        </w:rPr>
        <w:t>，</w:t>
      </w:r>
      <w:r>
        <w:t>年运行时数7200小时；</w:t>
      </w:r>
    </w:p>
    <w:p w14:paraId="0B705072">
      <w:pPr>
        <w:ind w:firstLine="480"/>
      </w:pPr>
      <w:r>
        <w:rPr>
          <w:rFonts w:hint="eastAsia"/>
        </w:rPr>
        <w:t>投产日期</w:t>
      </w:r>
      <w:r>
        <w:t>：2026</w:t>
      </w:r>
      <w:r>
        <w:rPr>
          <w:rFonts w:hint="eastAsia"/>
        </w:rPr>
        <w:t>年。</w:t>
      </w:r>
    </w:p>
    <w:p w14:paraId="6ECACDB9">
      <w:pPr>
        <w:pStyle w:val="4068"/>
      </w:pPr>
      <w:bookmarkStart w:id="106" w:name="_Toc108662591"/>
      <w:bookmarkStart w:id="107" w:name="_Toc100783986"/>
      <w:bookmarkStart w:id="108" w:name="_Toc101135818"/>
      <w:r>
        <w:rPr>
          <w:rFonts w:hint="eastAsia"/>
        </w:rPr>
        <w:t>3.</w:t>
      </w:r>
      <w:r>
        <w:t>2</w:t>
      </w:r>
      <w:r>
        <w:rPr>
          <w:rFonts w:hint="eastAsia"/>
        </w:rPr>
        <w:t>.2本项目组成及建设内容</w:t>
      </w:r>
      <w:bookmarkEnd w:id="106"/>
      <w:bookmarkEnd w:id="107"/>
      <w:bookmarkEnd w:id="108"/>
    </w:p>
    <w:p w14:paraId="754327C4">
      <w:pPr>
        <w:ind w:firstLine="480"/>
        <w:sectPr>
          <w:headerReference r:id="rId12" w:type="first"/>
          <w:footerReference r:id="rId14" w:type="first"/>
          <w:headerReference r:id="rId11" w:type="even"/>
          <w:footerReference r:id="rId13" w:type="even"/>
          <w:pgSz w:w="11906" w:h="16838"/>
          <w:pgMar w:top="1440" w:right="1440" w:bottom="1440" w:left="1440" w:header="851" w:footer="992" w:gutter="0"/>
          <w:cols w:space="720" w:num="1"/>
          <w:docGrid w:type="lines" w:linePitch="326" w:charSpace="0"/>
        </w:sectPr>
      </w:pPr>
      <w:r>
        <w:rPr>
          <w:rFonts w:hint="eastAsia"/>
        </w:rPr>
        <w:t>扩建项目工程组成见表3.</w:t>
      </w:r>
      <w:r>
        <w:t>2</w:t>
      </w:r>
      <w:r>
        <w:rPr>
          <w:rFonts w:hint="eastAsia"/>
        </w:rPr>
        <w:t>.2-1，主要生产单元、主要工艺、生产设施及参数见表3.</w:t>
      </w:r>
      <w:r>
        <w:t>2.2</w:t>
      </w:r>
      <w:r>
        <w:rPr>
          <w:rFonts w:hint="eastAsia"/>
        </w:rPr>
        <w:t>-2。</w:t>
      </w:r>
    </w:p>
    <w:p w14:paraId="2C598A42">
      <w:pPr>
        <w:pStyle w:val="278"/>
      </w:pPr>
      <w:r>
        <w:t>表3.2.2-1  项目组成及工程建设内容</w:t>
      </w:r>
    </w:p>
    <w:p w14:paraId="631A4839">
      <w:pPr>
        <w:pStyle w:val="278"/>
        <w:ind w:firstLine="480"/>
        <w:rPr>
          <w:color w:val="FF0000"/>
        </w:rPr>
      </w:pPr>
      <w:r>
        <w:rPr>
          <w:rFonts w:hint="eastAsia"/>
          <w:color w:val="FF0000"/>
        </w:rPr>
        <w:t>涉及商业机密，已删除</w:t>
      </w:r>
    </w:p>
    <w:p w14:paraId="0BC14117">
      <w:pPr>
        <w:tabs>
          <w:tab w:val="left" w:pos="1320"/>
        </w:tabs>
        <w:ind w:firstLine="0" w:firstLineChars="0"/>
        <w:sectPr>
          <w:pgSz w:w="16838" w:h="11906" w:orient="landscape"/>
          <w:pgMar w:top="1800" w:right="1440" w:bottom="1800" w:left="1440" w:header="851" w:footer="992" w:gutter="0"/>
          <w:cols w:space="720" w:num="1"/>
          <w:docGrid w:type="lines" w:linePitch="326" w:charSpace="0"/>
        </w:sectPr>
      </w:pPr>
      <w:r>
        <w:tab/>
      </w:r>
    </w:p>
    <w:p w14:paraId="7BCDF86E">
      <w:pPr>
        <w:pStyle w:val="4068"/>
      </w:pPr>
      <w:bookmarkStart w:id="109" w:name="_Toc100783987"/>
      <w:bookmarkStart w:id="110" w:name="_Toc108662592"/>
      <w:bookmarkStart w:id="111" w:name="_Toc101135819"/>
      <w:r>
        <w:rPr>
          <w:rFonts w:hint="eastAsia"/>
        </w:rPr>
        <w:t>3.</w:t>
      </w:r>
      <w:r>
        <w:t>2</w:t>
      </w:r>
      <w:r>
        <w:rPr>
          <w:rFonts w:hint="eastAsia"/>
        </w:rPr>
        <w:t>.3产品</w:t>
      </w:r>
      <w:r>
        <w:t>方案</w:t>
      </w:r>
      <w:bookmarkEnd w:id="109"/>
      <w:bookmarkEnd w:id="110"/>
      <w:bookmarkEnd w:id="111"/>
    </w:p>
    <w:p w14:paraId="27C09331">
      <w:pPr>
        <w:ind w:firstLine="480"/>
      </w:pPr>
      <w:r>
        <w:rPr>
          <w:rFonts w:hint="eastAsia"/>
        </w:rPr>
        <w:t>（1）产品方案</w:t>
      </w:r>
    </w:p>
    <w:p w14:paraId="21DB82C3">
      <w:pPr>
        <w:ind w:firstLine="480"/>
      </w:pPr>
      <w:r>
        <w:rPr>
          <w:rFonts w:hint="eastAsia"/>
        </w:rPr>
        <w:t>本项目</w:t>
      </w:r>
      <w:r>
        <w:t>产品方案见表</w:t>
      </w:r>
      <w:r>
        <w:rPr>
          <w:rFonts w:hint="eastAsia"/>
        </w:rPr>
        <w:t>3.</w:t>
      </w:r>
      <w:r>
        <w:t>2</w:t>
      </w:r>
      <w:r>
        <w:rPr>
          <w:rFonts w:hint="eastAsia"/>
        </w:rPr>
        <w:t>.3</w:t>
      </w:r>
      <w:r>
        <w:t>-1</w:t>
      </w:r>
      <w:r>
        <w:rPr>
          <w:rFonts w:hint="eastAsia"/>
        </w:rPr>
        <w:t>。</w:t>
      </w:r>
    </w:p>
    <w:p w14:paraId="7D344302">
      <w:pPr>
        <w:pStyle w:val="278"/>
      </w:pPr>
      <w:r>
        <w:rPr>
          <w:rFonts w:hint="eastAsia"/>
        </w:rPr>
        <w:t>表3.</w:t>
      </w:r>
      <w:r>
        <w:t>2</w:t>
      </w:r>
      <w:r>
        <w:rPr>
          <w:rFonts w:hint="eastAsia"/>
        </w:rPr>
        <w:t>.3</w:t>
      </w:r>
      <w:r>
        <w:t xml:space="preserve">-1  </w:t>
      </w:r>
      <w:r>
        <w:rPr>
          <w:rFonts w:hint="eastAsia"/>
        </w:rPr>
        <w:t>本项目</w:t>
      </w:r>
      <w:r>
        <w:t>产品方案</w:t>
      </w:r>
      <w:r>
        <w:rPr>
          <w:rFonts w:hint="eastAsia"/>
        </w:rPr>
        <w:t>一览表</w:t>
      </w:r>
    </w:p>
    <w:p w14:paraId="4FA8755B">
      <w:pPr>
        <w:pStyle w:val="278"/>
        <w:ind w:firstLine="480"/>
        <w:rPr>
          <w:color w:val="FF0000"/>
        </w:rPr>
      </w:pPr>
      <w:r>
        <w:rPr>
          <w:rFonts w:hint="eastAsia"/>
          <w:color w:val="FF0000"/>
        </w:rPr>
        <w:t>涉及商业机密，已删除</w:t>
      </w:r>
    </w:p>
    <w:p w14:paraId="55E7B88F">
      <w:pPr>
        <w:ind w:firstLine="360"/>
        <w:rPr>
          <w:sz w:val="18"/>
          <w:szCs w:val="18"/>
        </w:rPr>
      </w:pPr>
    </w:p>
    <w:p w14:paraId="7D4DF146">
      <w:pPr>
        <w:ind w:firstLine="480"/>
        <w:sectPr>
          <w:pgSz w:w="16838" w:h="11906" w:orient="landscape"/>
          <w:pgMar w:top="1440" w:right="1440" w:bottom="1440" w:left="1440" w:header="851" w:footer="992" w:gutter="0"/>
          <w:cols w:space="425" w:num="1"/>
          <w:docGrid w:type="lines" w:linePitch="326" w:charSpace="0"/>
        </w:sectPr>
      </w:pPr>
    </w:p>
    <w:p w14:paraId="7238B79D">
      <w:pPr>
        <w:ind w:firstLine="480"/>
      </w:pPr>
      <w:r>
        <w:rPr>
          <w:rFonts w:hint="eastAsia"/>
        </w:rPr>
        <w:t>本项目</w:t>
      </w:r>
      <w:r>
        <w:t>产品组分控制</w:t>
      </w:r>
      <w:r>
        <w:rPr>
          <w:rFonts w:hint="eastAsia"/>
        </w:rPr>
        <w:t>技术</w:t>
      </w:r>
      <w:r>
        <w:t>主要包括</w:t>
      </w:r>
      <w:r>
        <w:rPr>
          <w:rFonts w:hint="eastAsia"/>
        </w:rPr>
        <w:t>一下</w:t>
      </w:r>
      <w:r>
        <w:t>：</w:t>
      </w:r>
    </w:p>
    <w:p w14:paraId="78803F4F">
      <w:pPr>
        <w:ind w:firstLine="480"/>
      </w:pPr>
      <w:r>
        <w:rPr>
          <w:rFonts w:hint="eastAsia"/>
        </w:rPr>
        <w:t>①通过控制反应釜的反应温度，反应压力及反应釜内的硅粉量及进釜的甲醇的气量来控制合成组份；</w:t>
      </w:r>
    </w:p>
    <w:p w14:paraId="044A9FC9">
      <w:pPr>
        <w:ind w:firstLine="480"/>
      </w:pPr>
      <w:r>
        <w:rPr>
          <w:rFonts w:hint="eastAsia"/>
        </w:rPr>
        <w:t>②通过控制塔釜温度塔釜压力，塔顶温度塔顶压力，塔顶压力回流量来控制达到分离指标的要求，本项目精馏塔的设计单位是委托天津大学精馏分离工程的教授、专家进行设计。</w:t>
      </w:r>
    </w:p>
    <w:p w14:paraId="055366BB">
      <w:pPr>
        <w:pStyle w:val="278"/>
      </w:pPr>
      <w:r>
        <w:rPr>
          <w:rFonts w:hint="eastAsia"/>
        </w:rPr>
        <w:t>表3</w:t>
      </w:r>
      <w:r>
        <w:t xml:space="preserve">.2.3-2 </w:t>
      </w:r>
      <w:r>
        <w:rPr>
          <w:rFonts w:hint="eastAsia"/>
        </w:rPr>
        <w:t>产品转化率、收率组分和控制技术</w:t>
      </w:r>
    </w:p>
    <w:p w14:paraId="6EF983F0">
      <w:pPr>
        <w:pStyle w:val="278"/>
        <w:ind w:firstLine="480"/>
        <w:rPr>
          <w:color w:val="FF0000"/>
        </w:rPr>
      </w:pPr>
      <w:r>
        <w:rPr>
          <w:rFonts w:hint="eastAsia"/>
          <w:color w:val="FF0000"/>
        </w:rPr>
        <w:t>涉及商业机密，已删除</w:t>
      </w:r>
    </w:p>
    <w:p w14:paraId="4F21FE46">
      <w:pPr>
        <w:ind w:firstLine="480"/>
      </w:pPr>
    </w:p>
    <w:p w14:paraId="2A15E183">
      <w:pPr>
        <w:ind w:firstLine="480"/>
      </w:pPr>
      <w:r>
        <w:rPr>
          <w:rFonts w:hint="eastAsia"/>
        </w:rPr>
        <w:t>（2）产品质量</w:t>
      </w:r>
      <w:r>
        <w:t>标准</w:t>
      </w:r>
    </w:p>
    <w:p w14:paraId="5BE61E7A">
      <w:pPr>
        <w:pStyle w:val="278"/>
        <w:ind w:firstLine="480"/>
        <w:rPr>
          <w:color w:val="FF0000"/>
        </w:rPr>
      </w:pPr>
      <w:r>
        <w:rPr>
          <w:rFonts w:hint="eastAsia"/>
          <w:color w:val="FF0000"/>
        </w:rPr>
        <w:t>涉及商业机密，已删除</w:t>
      </w:r>
    </w:p>
    <w:p w14:paraId="3ACCF4A9">
      <w:pPr>
        <w:ind w:firstLine="480"/>
        <w:rPr>
          <w:rFonts w:hint="eastAsia"/>
        </w:rPr>
      </w:pPr>
    </w:p>
    <w:p w14:paraId="6B5B8D98">
      <w:pPr>
        <w:pStyle w:val="4068"/>
      </w:pPr>
      <w:bookmarkStart w:id="112" w:name="_Toc108662593"/>
      <w:bookmarkStart w:id="113" w:name="_Toc101135820"/>
      <w:bookmarkStart w:id="114" w:name="_Toc100783988"/>
      <w:r>
        <w:rPr>
          <w:rFonts w:hint="eastAsia"/>
        </w:rPr>
        <w:t>3.</w:t>
      </w:r>
      <w:r>
        <w:t>3</w:t>
      </w:r>
      <w:r>
        <w:rPr>
          <w:rFonts w:hint="eastAsia"/>
        </w:rPr>
        <w:t>.4总体</w:t>
      </w:r>
      <w:r>
        <w:t>布局</w:t>
      </w:r>
      <w:bookmarkEnd w:id="112"/>
      <w:bookmarkEnd w:id="113"/>
      <w:bookmarkEnd w:id="114"/>
    </w:p>
    <w:p w14:paraId="0A76BA28">
      <w:pPr>
        <w:ind w:firstLine="480"/>
      </w:pPr>
      <w:r>
        <w:t>（1）周边环境概况</w:t>
      </w:r>
    </w:p>
    <w:p w14:paraId="63BFC2AF">
      <w:pPr>
        <w:ind w:firstLine="480"/>
        <w:rPr>
          <w:bCs/>
        </w:rPr>
      </w:pPr>
      <w:r>
        <w:rPr>
          <w:rFonts w:hint="eastAsia"/>
        </w:rPr>
        <w:t>扩建</w:t>
      </w:r>
      <w:r>
        <w:rPr>
          <w:bCs/>
        </w:rPr>
        <w:t>项目位于</w:t>
      </w:r>
      <w:r>
        <w:rPr>
          <w:rFonts w:hint="eastAsia"/>
        </w:rPr>
        <w:t>蚌埠精细化工高新技术产业基地</w:t>
      </w:r>
      <w:r>
        <w:rPr>
          <w:rFonts w:hint="eastAsia"/>
          <w:bCs/>
        </w:rPr>
        <w:t>，北侧是安徽朗润新材料科技股份有限公司，西侧为蚌埠市圣光化工有限公司，南侧为安徽八一化工股份有限公司，东侧</w:t>
      </w:r>
      <w:r>
        <w:rPr>
          <w:bCs/>
        </w:rPr>
        <w:t>为</w:t>
      </w:r>
      <w:r>
        <w:rPr>
          <w:rFonts w:hint="eastAsia"/>
          <w:bCs/>
        </w:rPr>
        <w:t>蚌埠圣丹生物化工有限公司</w:t>
      </w:r>
      <w:r>
        <w:rPr>
          <w:bCs/>
        </w:rPr>
        <w:t>。</w:t>
      </w:r>
    </w:p>
    <w:p w14:paraId="4E9CA730">
      <w:pPr>
        <w:ind w:firstLine="480"/>
        <w:rPr>
          <w:bCs/>
        </w:rPr>
      </w:pPr>
      <w:r>
        <w:rPr>
          <w:rFonts w:hint="eastAsia"/>
          <w:bCs/>
        </w:rPr>
        <w:t>项目</w:t>
      </w:r>
      <w:r>
        <w:rPr>
          <w:bCs/>
        </w:rPr>
        <w:t>周边概况</w:t>
      </w:r>
      <w:r>
        <w:rPr>
          <w:rFonts w:hint="eastAsia"/>
          <w:bCs/>
        </w:rPr>
        <w:t>见图3.</w:t>
      </w:r>
      <w:r>
        <w:rPr>
          <w:bCs/>
        </w:rPr>
        <w:t>3</w:t>
      </w:r>
      <w:r>
        <w:rPr>
          <w:rFonts w:hint="eastAsia"/>
          <w:bCs/>
        </w:rPr>
        <w:t>.</w:t>
      </w:r>
      <w:r>
        <w:rPr>
          <w:bCs/>
        </w:rPr>
        <w:t>4-1</w:t>
      </w:r>
      <w:r>
        <w:rPr>
          <w:rFonts w:hint="eastAsia"/>
          <w:bCs/>
        </w:rPr>
        <w:t>。</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21"/>
        <w:gridCol w:w="4621"/>
      </w:tblGrid>
      <w:tr w14:paraId="22A094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80" w:type="dxa"/>
          </w:tcPr>
          <w:p w14:paraId="6AC6C0B0">
            <w:pPr>
              <w:ind w:firstLine="0" w:firstLineChars="0"/>
              <w:jc w:val="center"/>
              <w:rPr>
                <w:rFonts w:cs="Times New Roman"/>
                <w:kern w:val="0"/>
                <w:sz w:val="21"/>
                <w:szCs w:val="24"/>
                <w:lang w:val="zh-CN"/>
              </w:rPr>
            </w:pPr>
            <w:r>
              <w:rPr>
                <w:rFonts w:cs="Times New Roman"/>
                <w:kern w:val="0"/>
                <w:sz w:val="21"/>
                <w:szCs w:val="24"/>
              </w:rPr>
              <w:drawing>
                <wp:inline distT="0" distB="0" distL="0" distR="0">
                  <wp:extent cx="2929890" cy="2199005"/>
                  <wp:effectExtent l="0" t="0" r="3810" b="0"/>
                  <wp:docPr id="35" name="图片 35" descr="C:\Users\Administrator\Desktop\微信图片_20220312102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Administrator\Desktop\微信图片_2022031210292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30400" cy="2199600"/>
                          </a:xfrm>
                          <a:prstGeom prst="rect">
                            <a:avLst/>
                          </a:prstGeom>
                          <a:noFill/>
                          <a:ln>
                            <a:noFill/>
                          </a:ln>
                        </pic:spPr>
                      </pic:pic>
                    </a:graphicData>
                  </a:graphic>
                </wp:inline>
              </w:drawing>
            </w:r>
          </w:p>
        </w:tc>
        <w:tc>
          <w:tcPr>
            <w:tcW w:w="4147" w:type="dxa"/>
          </w:tcPr>
          <w:p w14:paraId="65DB217D">
            <w:pPr>
              <w:ind w:firstLine="0" w:firstLineChars="0"/>
              <w:jc w:val="center"/>
              <w:rPr>
                <w:rFonts w:cs="Times New Roman"/>
                <w:kern w:val="0"/>
                <w:sz w:val="21"/>
                <w:szCs w:val="24"/>
                <w:lang w:val="zh-CN"/>
              </w:rPr>
            </w:pPr>
            <w:r>
              <w:rPr>
                <w:rFonts w:cs="Times New Roman"/>
                <w:kern w:val="0"/>
                <w:sz w:val="21"/>
                <w:szCs w:val="24"/>
              </w:rPr>
              <w:drawing>
                <wp:inline distT="0" distB="0" distL="0" distR="0">
                  <wp:extent cx="2929890" cy="2199005"/>
                  <wp:effectExtent l="0" t="0" r="3810" b="0"/>
                  <wp:docPr id="36" name="图片 36" descr="C:\Users\Administrator\Desktop\东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Administrator\Desktop\东侧.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930400" cy="2199600"/>
                          </a:xfrm>
                          <a:prstGeom prst="rect">
                            <a:avLst/>
                          </a:prstGeom>
                          <a:noFill/>
                          <a:ln>
                            <a:noFill/>
                          </a:ln>
                        </pic:spPr>
                      </pic:pic>
                    </a:graphicData>
                  </a:graphic>
                </wp:inline>
              </w:drawing>
            </w:r>
          </w:p>
        </w:tc>
      </w:tr>
      <w:tr w14:paraId="63437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80" w:type="dxa"/>
          </w:tcPr>
          <w:p w14:paraId="056DAF0C">
            <w:pPr>
              <w:ind w:firstLine="0" w:firstLineChars="0"/>
              <w:jc w:val="center"/>
              <w:rPr>
                <w:rFonts w:cs="Times New Roman"/>
                <w:kern w:val="0"/>
                <w:sz w:val="21"/>
                <w:szCs w:val="24"/>
                <w:lang w:val="zh-CN"/>
              </w:rPr>
            </w:pPr>
            <w:r>
              <w:rPr>
                <w:rFonts w:hint="eastAsia" w:cs="Times New Roman"/>
                <w:kern w:val="0"/>
                <w:sz w:val="21"/>
                <w:szCs w:val="24"/>
                <w:lang w:val="zh-CN"/>
              </w:rPr>
              <w:t>北侧</w:t>
            </w:r>
          </w:p>
        </w:tc>
        <w:tc>
          <w:tcPr>
            <w:tcW w:w="4147" w:type="dxa"/>
          </w:tcPr>
          <w:p w14:paraId="5BE109D8">
            <w:pPr>
              <w:ind w:firstLine="0" w:firstLineChars="0"/>
              <w:jc w:val="center"/>
              <w:rPr>
                <w:rFonts w:cs="Times New Roman"/>
                <w:kern w:val="0"/>
                <w:sz w:val="21"/>
                <w:szCs w:val="24"/>
                <w:lang w:val="zh-CN"/>
              </w:rPr>
            </w:pPr>
            <w:r>
              <w:rPr>
                <w:rFonts w:hint="eastAsia" w:cs="Times New Roman"/>
                <w:kern w:val="0"/>
                <w:sz w:val="21"/>
                <w:szCs w:val="24"/>
                <w:lang w:val="zh-CN"/>
              </w:rPr>
              <w:t>东侧</w:t>
            </w:r>
          </w:p>
        </w:tc>
      </w:tr>
      <w:tr w14:paraId="6C03D5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80" w:type="dxa"/>
          </w:tcPr>
          <w:p w14:paraId="2F1CB205">
            <w:pPr>
              <w:ind w:firstLine="0" w:firstLineChars="0"/>
              <w:jc w:val="center"/>
              <w:rPr>
                <w:rFonts w:cs="Times New Roman"/>
                <w:kern w:val="0"/>
                <w:sz w:val="21"/>
                <w:szCs w:val="24"/>
                <w:lang w:val="zh-CN"/>
              </w:rPr>
            </w:pPr>
            <w:r>
              <w:rPr>
                <w:rFonts w:cs="Times New Roman"/>
                <w:kern w:val="0"/>
                <w:sz w:val="21"/>
                <w:szCs w:val="24"/>
              </w:rPr>
              <w:drawing>
                <wp:inline distT="0" distB="0" distL="0" distR="0">
                  <wp:extent cx="2929890" cy="2199005"/>
                  <wp:effectExtent l="0" t="0" r="3810" b="0"/>
                  <wp:docPr id="22" name="4.jpg"/>
                  <wp:cNvGraphicFramePr/>
                  <a:graphic xmlns:a="http://schemas.openxmlformats.org/drawingml/2006/main">
                    <a:graphicData uri="http://schemas.openxmlformats.org/drawingml/2006/picture">
                      <pic:pic xmlns:pic="http://schemas.openxmlformats.org/drawingml/2006/picture">
                        <pic:nvPicPr>
                          <pic:cNvPr id="22" name="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30400" cy="2199600"/>
                          </a:xfrm>
                          <a:prstGeom prst="rect">
                            <a:avLst/>
                          </a:prstGeom>
                        </pic:spPr>
                      </pic:pic>
                    </a:graphicData>
                  </a:graphic>
                </wp:inline>
              </w:drawing>
            </w:r>
          </w:p>
        </w:tc>
        <w:tc>
          <w:tcPr>
            <w:tcW w:w="4147" w:type="dxa"/>
          </w:tcPr>
          <w:p w14:paraId="7AE63172">
            <w:pPr>
              <w:ind w:firstLine="0" w:firstLineChars="0"/>
              <w:jc w:val="center"/>
              <w:rPr>
                <w:rFonts w:cs="Times New Roman"/>
                <w:kern w:val="0"/>
                <w:sz w:val="21"/>
                <w:szCs w:val="24"/>
                <w:lang w:val="zh-CN"/>
              </w:rPr>
            </w:pPr>
            <w:r>
              <w:rPr>
                <w:rFonts w:cs="Times New Roman"/>
                <w:kern w:val="0"/>
                <w:sz w:val="21"/>
                <w:szCs w:val="24"/>
              </w:rPr>
              <w:drawing>
                <wp:inline distT="0" distB="0" distL="0" distR="0">
                  <wp:extent cx="2929890" cy="2199005"/>
                  <wp:effectExtent l="0" t="0" r="3810" b="0"/>
                  <wp:docPr id="24" name="3.jpg"/>
                  <wp:cNvGraphicFramePr/>
                  <a:graphic xmlns:a="http://schemas.openxmlformats.org/drawingml/2006/main">
                    <a:graphicData uri="http://schemas.openxmlformats.org/drawingml/2006/picture">
                      <pic:pic xmlns:pic="http://schemas.openxmlformats.org/drawingml/2006/picture">
                        <pic:nvPicPr>
                          <pic:cNvPr id="24" name="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30400" cy="2199600"/>
                          </a:xfrm>
                          <a:prstGeom prst="rect">
                            <a:avLst/>
                          </a:prstGeom>
                        </pic:spPr>
                      </pic:pic>
                    </a:graphicData>
                  </a:graphic>
                </wp:inline>
              </w:drawing>
            </w:r>
          </w:p>
        </w:tc>
      </w:tr>
      <w:tr w14:paraId="4826F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80" w:type="dxa"/>
          </w:tcPr>
          <w:p w14:paraId="6A14306C">
            <w:pPr>
              <w:ind w:firstLine="0" w:firstLineChars="0"/>
              <w:jc w:val="center"/>
              <w:rPr>
                <w:rFonts w:cs="Times New Roman"/>
                <w:kern w:val="0"/>
                <w:sz w:val="21"/>
                <w:szCs w:val="24"/>
                <w:lang w:val="zh-CN"/>
              </w:rPr>
            </w:pPr>
            <w:r>
              <w:rPr>
                <w:rFonts w:hint="eastAsia" w:cs="Times New Roman"/>
                <w:kern w:val="0"/>
                <w:sz w:val="21"/>
                <w:szCs w:val="24"/>
                <w:lang w:val="zh-CN"/>
              </w:rPr>
              <w:t>南侧</w:t>
            </w:r>
          </w:p>
        </w:tc>
        <w:tc>
          <w:tcPr>
            <w:tcW w:w="4147" w:type="dxa"/>
          </w:tcPr>
          <w:p w14:paraId="23928C8F">
            <w:pPr>
              <w:ind w:firstLine="0" w:firstLineChars="0"/>
              <w:jc w:val="center"/>
              <w:rPr>
                <w:rFonts w:cs="Times New Roman"/>
                <w:kern w:val="0"/>
                <w:sz w:val="21"/>
                <w:szCs w:val="24"/>
                <w:lang w:val="zh-CN"/>
              </w:rPr>
            </w:pPr>
            <w:r>
              <w:rPr>
                <w:rFonts w:hint="eastAsia" w:cs="Times New Roman"/>
                <w:kern w:val="0"/>
                <w:sz w:val="21"/>
                <w:szCs w:val="24"/>
                <w:lang w:val="zh-CN"/>
              </w:rPr>
              <w:t>西侧</w:t>
            </w:r>
          </w:p>
        </w:tc>
      </w:tr>
    </w:tbl>
    <w:p w14:paraId="1AE92F5E">
      <w:pPr>
        <w:pStyle w:val="278"/>
      </w:pPr>
      <w:r>
        <w:rPr>
          <w:rFonts w:hint="eastAsia"/>
          <w:lang w:val="zh-CN"/>
        </w:rPr>
        <w:t>图</w:t>
      </w:r>
      <w:r>
        <w:rPr>
          <w:lang w:val="zh-CN"/>
        </w:rPr>
        <w:t>3.2.4-1</w:t>
      </w:r>
      <w:r>
        <w:rPr>
          <w:rFonts w:hint="eastAsia"/>
          <w:lang w:val="zh-CN"/>
        </w:rPr>
        <w:t xml:space="preserve">  本项目周边概况</w:t>
      </w:r>
    </w:p>
    <w:p w14:paraId="59892C85">
      <w:pPr>
        <w:ind w:firstLine="480"/>
      </w:pPr>
      <w:r>
        <w:t>（2）总平面布置方案</w:t>
      </w:r>
    </w:p>
    <w:p w14:paraId="71C8C9DC">
      <w:pPr>
        <w:ind w:firstLine="480"/>
      </w:pPr>
      <w:r>
        <w:rPr>
          <w:rFonts w:hint="eastAsia"/>
        </w:rPr>
        <w:t>项目</w:t>
      </w:r>
      <w:r>
        <w:t>厂区西侧建设污水处理站</w:t>
      </w:r>
      <w:r>
        <w:rPr>
          <w:rFonts w:hint="eastAsia"/>
        </w:rPr>
        <w:t>、</w:t>
      </w:r>
      <w:r>
        <w:t>事故水池、初期雨水池、</w:t>
      </w:r>
      <w:r>
        <w:rPr>
          <w:rFonts w:hint="eastAsia"/>
        </w:rPr>
        <w:t>堆场、</w:t>
      </w:r>
      <w:r>
        <w:t>危废库和</w:t>
      </w:r>
      <w:r>
        <w:rPr>
          <w:rFonts w:hint="eastAsia"/>
        </w:rPr>
        <w:t>原料库</w:t>
      </w:r>
      <w:r>
        <w:t>等，</w:t>
      </w:r>
      <w:r>
        <w:rPr>
          <w:rFonts w:hint="eastAsia"/>
        </w:rPr>
        <w:t>东侧</w:t>
      </w:r>
      <w:r>
        <w:t>用地</w:t>
      </w:r>
      <w:r>
        <w:rPr>
          <w:rFonts w:hint="eastAsia"/>
        </w:rPr>
        <w:t>自北</w:t>
      </w:r>
      <w:r>
        <w:t>向南</w:t>
      </w:r>
      <w:r>
        <w:rPr>
          <w:rFonts w:hint="eastAsia"/>
        </w:rPr>
        <w:t>依次</w:t>
      </w:r>
      <w:r>
        <w:t>是</w:t>
      </w:r>
      <w:r>
        <w:rPr>
          <w:rFonts w:hint="eastAsia"/>
        </w:rPr>
        <w:t>水解</w:t>
      </w:r>
      <w:r>
        <w:t>车间</w:t>
      </w:r>
      <w:r>
        <w:rPr>
          <w:rFonts w:hint="eastAsia"/>
        </w:rPr>
        <w:t>，</w:t>
      </w:r>
      <w:r>
        <w:t>厂区南侧为</w:t>
      </w:r>
      <w:r>
        <w:rPr>
          <w:rFonts w:hint="eastAsia"/>
        </w:rPr>
        <w:t>综合楼</w:t>
      </w:r>
      <w:r>
        <w:t>、配电房</w:t>
      </w:r>
      <w:r>
        <w:rPr>
          <w:rFonts w:hint="eastAsia"/>
        </w:rPr>
        <w:t>、</w:t>
      </w:r>
      <w:r>
        <w:t>生产</w:t>
      </w:r>
      <w:r>
        <w:rPr>
          <w:rFonts w:hint="eastAsia"/>
        </w:rPr>
        <w:t>辅助</w:t>
      </w:r>
      <w:r>
        <w:t>车间</w:t>
      </w:r>
      <w:r>
        <w:rPr>
          <w:rFonts w:hint="eastAsia"/>
        </w:rPr>
        <w:t>、</w:t>
      </w:r>
      <w:r>
        <w:t>消防水池以及循环水池</w:t>
      </w:r>
      <w:r>
        <w:rPr>
          <w:rFonts w:hint="eastAsia"/>
        </w:rPr>
        <w:t>。循环水池</w:t>
      </w:r>
      <w:r>
        <w:t>北侧自东向西依次是</w:t>
      </w:r>
      <w:r>
        <w:rPr>
          <w:rFonts w:hint="eastAsia"/>
        </w:rPr>
        <w:t>水解</w:t>
      </w:r>
      <w:r>
        <w:t>车间、</w:t>
      </w:r>
      <w:r>
        <w:rPr>
          <w:rFonts w:hint="eastAsia"/>
        </w:rPr>
        <w:t>中间罐区</w:t>
      </w:r>
      <w:r>
        <w:t>、合成精馏偶联剂车间、硅粉车间</w:t>
      </w:r>
      <w:r>
        <w:rPr>
          <w:rFonts w:hint="eastAsia"/>
        </w:rPr>
        <w:t>、</w:t>
      </w:r>
      <w:r>
        <w:t>硅</w:t>
      </w:r>
      <w:r>
        <w:rPr>
          <w:rFonts w:hint="eastAsia"/>
        </w:rPr>
        <w:t>块</w:t>
      </w:r>
      <w:r>
        <w:t>中间仓库</w:t>
      </w:r>
      <w:r>
        <w:rPr>
          <w:rFonts w:hint="eastAsia"/>
        </w:rPr>
        <w:t>、</w:t>
      </w:r>
      <w:r>
        <w:t>机修间和罐区等</w:t>
      </w:r>
      <w:r>
        <w:rPr>
          <w:rFonts w:hint="eastAsia"/>
        </w:rPr>
        <w:t>。扩建项目整个平面布局合理、紧凑，主装置、料仓和辅助设施分开布置，功能分开，管线走向设置合理，节约用地。</w:t>
      </w:r>
      <w:r>
        <w:t>厂区平面布置图见附图</w:t>
      </w:r>
      <w:r>
        <w:rPr>
          <w:rFonts w:hint="eastAsia"/>
        </w:rPr>
        <w:t>3.</w:t>
      </w:r>
      <w:r>
        <w:t>2</w:t>
      </w:r>
      <w:r>
        <w:rPr>
          <w:rFonts w:hint="eastAsia"/>
        </w:rPr>
        <w:t>.4-1，各车间平面布置图见3</w:t>
      </w:r>
      <w:r>
        <w:t>.2.4-2</w:t>
      </w:r>
      <w:r>
        <w:rPr>
          <w:rFonts w:hint="eastAsia"/>
        </w:rPr>
        <w:t>。</w:t>
      </w:r>
      <w:bookmarkStart w:id="115" w:name="_Toc101135821"/>
      <w:bookmarkStart w:id="116" w:name="_Toc19379611"/>
      <w:bookmarkStart w:id="117" w:name="_Toc19379267"/>
      <w:bookmarkStart w:id="118" w:name="_Toc19379973"/>
      <w:bookmarkStart w:id="119" w:name="_Toc100783989"/>
    </w:p>
    <w:p w14:paraId="3DCED6AE">
      <w:pPr>
        <w:pStyle w:val="4068"/>
      </w:pPr>
      <w:bookmarkStart w:id="120" w:name="_Toc108662594"/>
      <w:r>
        <w:t>3.2.5公用、辅助工程</w:t>
      </w:r>
      <w:bookmarkEnd w:id="115"/>
      <w:bookmarkEnd w:id="116"/>
      <w:bookmarkEnd w:id="117"/>
      <w:bookmarkEnd w:id="118"/>
      <w:bookmarkEnd w:id="119"/>
      <w:bookmarkEnd w:id="120"/>
    </w:p>
    <w:p w14:paraId="29DC6DF1">
      <w:pPr>
        <w:pStyle w:val="278"/>
        <w:ind w:firstLine="480"/>
        <w:rPr>
          <w:color w:val="FF0000"/>
        </w:rPr>
      </w:pPr>
      <w:r>
        <w:rPr>
          <w:rFonts w:hint="eastAsia"/>
          <w:color w:val="FF0000"/>
        </w:rPr>
        <w:t>涉及商业机密，已删除</w:t>
      </w:r>
    </w:p>
    <w:p w14:paraId="10C74EDD">
      <w:pPr>
        <w:ind w:firstLine="480"/>
        <w:rPr>
          <w:rFonts w:hint="eastAsia"/>
        </w:rPr>
      </w:pPr>
    </w:p>
    <w:p w14:paraId="21F0F659">
      <w:pPr>
        <w:pStyle w:val="4068"/>
      </w:pPr>
      <w:bookmarkStart w:id="121" w:name="_Toc100783990"/>
      <w:bookmarkStart w:id="122" w:name="_Toc101135822"/>
      <w:bookmarkStart w:id="123" w:name="_Toc108662595"/>
      <w:r>
        <w:rPr>
          <w:rFonts w:hint="eastAsia"/>
        </w:rPr>
        <w:t>3.</w:t>
      </w:r>
      <w:r>
        <w:t>2</w:t>
      </w:r>
      <w:r>
        <w:rPr>
          <w:rFonts w:hint="eastAsia"/>
        </w:rPr>
        <w:t>.6原辅材料及能源消耗情况</w:t>
      </w:r>
      <w:bookmarkEnd w:id="121"/>
      <w:bookmarkEnd w:id="122"/>
      <w:bookmarkEnd w:id="123"/>
    </w:p>
    <w:p w14:paraId="4BA531BC">
      <w:pPr>
        <w:pStyle w:val="278"/>
        <w:ind w:firstLine="480"/>
        <w:rPr>
          <w:color w:val="FF0000"/>
        </w:rPr>
      </w:pPr>
      <w:r>
        <w:rPr>
          <w:rFonts w:hint="eastAsia"/>
          <w:color w:val="FF0000"/>
        </w:rPr>
        <w:t>涉及商业机密，已删除</w:t>
      </w:r>
    </w:p>
    <w:p w14:paraId="67E8A547">
      <w:pPr>
        <w:ind w:firstLine="480"/>
        <w:rPr>
          <w:rFonts w:hint="eastAsia"/>
        </w:rPr>
      </w:pPr>
    </w:p>
    <w:p w14:paraId="51DA31AF">
      <w:pPr>
        <w:pStyle w:val="4068"/>
        <w:sectPr>
          <w:pgSz w:w="11906" w:h="16838"/>
          <w:pgMar w:top="1440" w:right="1440" w:bottom="1440" w:left="1440" w:header="851" w:footer="992" w:gutter="0"/>
          <w:cols w:space="425" w:num="1"/>
          <w:docGrid w:type="lines" w:linePitch="326" w:charSpace="0"/>
        </w:sectPr>
      </w:pPr>
    </w:p>
    <w:p w14:paraId="68C20E40">
      <w:pPr>
        <w:pStyle w:val="4068"/>
      </w:pPr>
      <w:bookmarkStart w:id="124" w:name="_Toc108662596"/>
      <w:bookmarkStart w:id="125" w:name="_Toc100783991"/>
      <w:bookmarkStart w:id="126" w:name="_Toc101135823"/>
      <w:r>
        <w:rPr>
          <w:rFonts w:hint="eastAsia"/>
        </w:rPr>
        <w:t>3.</w:t>
      </w:r>
      <w:r>
        <w:t>2</w:t>
      </w:r>
      <w:r>
        <w:rPr>
          <w:rFonts w:hint="eastAsia"/>
        </w:rPr>
        <w:t>.7主要生产</w:t>
      </w:r>
      <w:r>
        <w:t>设备及</w:t>
      </w:r>
      <w:r>
        <w:rPr>
          <w:rFonts w:hint="eastAsia"/>
        </w:rPr>
        <w:t>产能</w:t>
      </w:r>
      <w:r>
        <w:t>匹配性分析</w:t>
      </w:r>
      <w:bookmarkEnd w:id="124"/>
      <w:bookmarkEnd w:id="125"/>
      <w:bookmarkEnd w:id="126"/>
    </w:p>
    <w:p w14:paraId="531978DE">
      <w:pPr>
        <w:ind w:firstLine="480"/>
      </w:pPr>
      <w:r>
        <w:rPr>
          <w:rFonts w:hint="eastAsia"/>
        </w:rPr>
        <w:t>（1）主要</w:t>
      </w:r>
      <w:r>
        <w:t>生产设备</w:t>
      </w:r>
    </w:p>
    <w:p w14:paraId="6659FAC9">
      <w:pPr>
        <w:ind w:firstLine="480"/>
      </w:pPr>
      <w:r>
        <w:rPr>
          <w:rFonts w:hint="eastAsia"/>
        </w:rPr>
        <w:t>本</w:t>
      </w:r>
      <w:r>
        <w:t>项目</w:t>
      </w:r>
      <w:r>
        <w:rPr>
          <w:rFonts w:hint="eastAsia"/>
        </w:rPr>
        <w:t>主要生产设备</w:t>
      </w:r>
      <w:r>
        <w:t>情况见表</w:t>
      </w:r>
      <w:r>
        <w:rPr>
          <w:rFonts w:hint="eastAsia"/>
        </w:rPr>
        <w:t>3.</w:t>
      </w:r>
      <w:r>
        <w:t>2</w:t>
      </w:r>
      <w:r>
        <w:rPr>
          <w:rFonts w:hint="eastAsia"/>
        </w:rPr>
        <w:t>.</w:t>
      </w:r>
      <w:r>
        <w:t>7-1</w:t>
      </w:r>
      <w:r>
        <w:rPr>
          <w:rFonts w:hint="eastAsia"/>
        </w:rPr>
        <w:t>，</w:t>
      </w:r>
      <w:r>
        <w:t>详细设备清单见表</w:t>
      </w:r>
      <w:r>
        <w:rPr>
          <w:rFonts w:hint="eastAsia"/>
        </w:rPr>
        <w:t>3.</w:t>
      </w:r>
      <w:r>
        <w:t>2</w:t>
      </w:r>
      <w:r>
        <w:rPr>
          <w:rFonts w:hint="eastAsia"/>
        </w:rPr>
        <w:t>.</w:t>
      </w:r>
      <w:r>
        <w:t>7</w:t>
      </w:r>
      <w:r>
        <w:rPr>
          <w:rFonts w:hint="eastAsia"/>
        </w:rPr>
        <w:t>-2。</w:t>
      </w:r>
    </w:p>
    <w:p w14:paraId="1554B1F7">
      <w:pPr>
        <w:pStyle w:val="278"/>
        <w:ind w:firstLine="480"/>
        <w:rPr>
          <w:color w:val="FF0000"/>
        </w:rPr>
      </w:pPr>
      <w:r>
        <w:rPr>
          <w:rFonts w:hint="eastAsia"/>
          <w:color w:val="FF0000"/>
        </w:rPr>
        <w:t>涉及商业机密，已删除</w:t>
      </w:r>
    </w:p>
    <w:p w14:paraId="2C5EE929">
      <w:pPr>
        <w:ind w:firstLine="480"/>
      </w:pPr>
    </w:p>
    <w:p w14:paraId="0244955C">
      <w:pPr>
        <w:ind w:firstLine="480"/>
      </w:pPr>
    </w:p>
    <w:p w14:paraId="78D95DAA">
      <w:pPr>
        <w:ind w:firstLine="480"/>
        <w:jc w:val="center"/>
      </w:pPr>
    </w:p>
    <w:p w14:paraId="6AA049B4">
      <w:pPr>
        <w:tabs>
          <w:tab w:val="center" w:pos="4753"/>
        </w:tabs>
        <w:ind w:firstLine="480"/>
        <w:sectPr>
          <w:pgSz w:w="16838" w:h="11906" w:orient="landscape"/>
          <w:pgMar w:top="1440" w:right="1440" w:bottom="1440" w:left="1440" w:header="851" w:footer="992" w:gutter="0"/>
          <w:cols w:space="425" w:num="1"/>
          <w:docGrid w:type="lines" w:linePitch="326" w:charSpace="0"/>
        </w:sectPr>
      </w:pPr>
    </w:p>
    <w:p w14:paraId="685AB87B">
      <w:pPr>
        <w:ind w:firstLine="480"/>
      </w:pPr>
      <w:r>
        <w:t>（2）设备及产能匹配性情况见表3.3.7-3。</w:t>
      </w:r>
    </w:p>
    <w:p w14:paraId="646BAE6C">
      <w:pPr>
        <w:pStyle w:val="278"/>
        <w:ind w:firstLine="480"/>
        <w:rPr>
          <w:color w:val="FF0000"/>
        </w:rPr>
      </w:pPr>
      <w:r>
        <w:rPr>
          <w:rFonts w:hint="eastAsia"/>
          <w:color w:val="FF0000"/>
        </w:rPr>
        <w:t>涉及商业机密，已删除</w:t>
      </w:r>
    </w:p>
    <w:p w14:paraId="76D9F491">
      <w:pPr>
        <w:ind w:firstLine="480"/>
      </w:pPr>
    </w:p>
    <w:p w14:paraId="40D3334B">
      <w:pPr>
        <w:pStyle w:val="4065"/>
      </w:pPr>
      <w:bookmarkStart w:id="127" w:name="_Toc108662597"/>
      <w:r>
        <w:rPr>
          <w:rFonts w:hint="eastAsia"/>
        </w:rPr>
        <w:t>3.</w:t>
      </w:r>
      <w:bookmarkEnd w:id="127"/>
      <w:r>
        <w:t>3</w:t>
      </w:r>
      <w:r>
        <w:rPr>
          <w:rFonts w:hint="eastAsia"/>
        </w:rPr>
        <w:t>生产工艺</w:t>
      </w:r>
      <w:r>
        <w:t>及物料平衡分析</w:t>
      </w:r>
    </w:p>
    <w:p w14:paraId="2083A4E9">
      <w:pPr>
        <w:pStyle w:val="278"/>
        <w:ind w:firstLine="480"/>
        <w:rPr>
          <w:color w:val="FF0000"/>
        </w:rPr>
      </w:pPr>
      <w:r>
        <w:rPr>
          <w:rFonts w:hint="eastAsia"/>
          <w:color w:val="FF0000"/>
        </w:rPr>
        <w:t>涉及商业机密，已删除</w:t>
      </w:r>
    </w:p>
    <w:p w14:paraId="0DE5B825">
      <w:pPr>
        <w:ind w:firstLine="480"/>
        <w:rPr>
          <w:rFonts w:hint="eastAsia"/>
        </w:rPr>
      </w:pPr>
    </w:p>
    <w:p w14:paraId="08724AFB">
      <w:pPr>
        <w:pStyle w:val="4065"/>
      </w:pPr>
      <w:bookmarkStart w:id="128" w:name="_Toc108662604"/>
      <w:r>
        <w:rPr>
          <w:rFonts w:hint="eastAsia"/>
        </w:rPr>
        <w:t>3.</w:t>
      </w:r>
      <w:r>
        <w:t>4</w:t>
      </w:r>
      <w:r>
        <w:rPr>
          <w:rFonts w:hint="eastAsia"/>
        </w:rPr>
        <w:t>污染</w:t>
      </w:r>
      <w:bookmarkEnd w:id="128"/>
      <w:r>
        <w:rPr>
          <w:rFonts w:hint="eastAsia"/>
        </w:rPr>
        <w:t>源分析</w:t>
      </w:r>
    </w:p>
    <w:p w14:paraId="64688DDD">
      <w:pPr>
        <w:pStyle w:val="4068"/>
      </w:pPr>
      <w:r>
        <w:rPr>
          <w:rFonts w:hint="eastAsia"/>
        </w:rPr>
        <w:t>3.</w:t>
      </w:r>
      <w:r>
        <w:t>4</w:t>
      </w:r>
      <w:r>
        <w:rPr>
          <w:rFonts w:hint="eastAsia"/>
        </w:rPr>
        <w:t>.</w:t>
      </w:r>
      <w:r>
        <w:t>1</w:t>
      </w:r>
      <w:r>
        <w:rPr>
          <w:rFonts w:hint="eastAsia"/>
        </w:rPr>
        <w:t>废气</w:t>
      </w:r>
    </w:p>
    <w:p w14:paraId="466278D8">
      <w:pPr>
        <w:pStyle w:val="278"/>
        <w:ind w:firstLine="480"/>
        <w:rPr>
          <w:color w:val="FF0000"/>
        </w:rPr>
      </w:pPr>
      <w:r>
        <w:rPr>
          <w:rFonts w:hint="eastAsia"/>
          <w:color w:val="FF0000"/>
        </w:rPr>
        <w:t>涉及商业机密，已删除</w:t>
      </w:r>
    </w:p>
    <w:p w14:paraId="6363B2A6">
      <w:pPr>
        <w:ind w:firstLine="480"/>
        <w:rPr>
          <w:rFonts w:hint="eastAsia"/>
        </w:rPr>
      </w:pPr>
    </w:p>
    <w:p w14:paraId="10CC34F7">
      <w:pPr>
        <w:pStyle w:val="4068"/>
      </w:pPr>
      <w:bookmarkStart w:id="129" w:name="_Toc101135832"/>
      <w:bookmarkStart w:id="130" w:name="_Toc100784000"/>
      <w:bookmarkStart w:id="131" w:name="_Toc108662606"/>
      <w:r>
        <w:rPr>
          <w:rFonts w:hint="eastAsia"/>
        </w:rPr>
        <w:t>3.</w:t>
      </w:r>
      <w:r>
        <w:t>4</w:t>
      </w:r>
      <w:r>
        <w:rPr>
          <w:rFonts w:hint="eastAsia"/>
        </w:rPr>
        <w:t>.2废水</w:t>
      </w:r>
      <w:bookmarkEnd w:id="129"/>
      <w:bookmarkEnd w:id="130"/>
      <w:bookmarkEnd w:id="131"/>
    </w:p>
    <w:p w14:paraId="7BC66DD1">
      <w:pPr>
        <w:pStyle w:val="278"/>
        <w:ind w:firstLine="480"/>
        <w:rPr>
          <w:color w:val="FF0000"/>
        </w:rPr>
      </w:pPr>
      <w:r>
        <w:rPr>
          <w:rFonts w:hint="eastAsia"/>
          <w:color w:val="FF0000"/>
        </w:rPr>
        <w:t>涉及商业机密，已删除</w:t>
      </w:r>
    </w:p>
    <w:p w14:paraId="0197BBCD">
      <w:pPr>
        <w:ind w:firstLine="480"/>
        <w:rPr>
          <w:rFonts w:hint="eastAsia"/>
        </w:rPr>
      </w:pPr>
    </w:p>
    <w:p w14:paraId="1F274DB5">
      <w:pPr>
        <w:pStyle w:val="4068"/>
      </w:pPr>
      <w:bookmarkStart w:id="132" w:name="_Toc100784001"/>
      <w:bookmarkStart w:id="133" w:name="_Toc101135833"/>
      <w:bookmarkStart w:id="134" w:name="_Toc108662607"/>
      <w:r>
        <w:rPr>
          <w:rFonts w:hint="eastAsia"/>
        </w:rPr>
        <w:t>3.</w:t>
      </w:r>
      <w:r>
        <w:t>4</w:t>
      </w:r>
      <w:r>
        <w:rPr>
          <w:rFonts w:hint="eastAsia"/>
        </w:rPr>
        <w:t>.3噪声</w:t>
      </w:r>
      <w:bookmarkEnd w:id="132"/>
      <w:bookmarkEnd w:id="133"/>
      <w:bookmarkEnd w:id="134"/>
    </w:p>
    <w:p w14:paraId="0E96E571">
      <w:pPr>
        <w:pStyle w:val="278"/>
        <w:ind w:firstLine="480"/>
        <w:rPr>
          <w:color w:val="FF0000"/>
        </w:rPr>
      </w:pPr>
      <w:r>
        <w:rPr>
          <w:rFonts w:hint="eastAsia"/>
          <w:color w:val="FF0000"/>
        </w:rPr>
        <w:t>涉及商业机密，已删除</w:t>
      </w:r>
    </w:p>
    <w:p w14:paraId="605FDF2C">
      <w:pPr>
        <w:ind w:firstLine="480"/>
        <w:rPr>
          <w:rFonts w:hint="eastAsia"/>
        </w:rPr>
      </w:pPr>
    </w:p>
    <w:p w14:paraId="33771892">
      <w:pPr>
        <w:pStyle w:val="4068"/>
      </w:pPr>
      <w:bookmarkStart w:id="135" w:name="_Toc108662608"/>
      <w:bookmarkStart w:id="136" w:name="_Toc100784002"/>
      <w:bookmarkStart w:id="137" w:name="_Toc101135834"/>
      <w:r>
        <w:rPr>
          <w:rFonts w:hint="eastAsia"/>
        </w:rPr>
        <w:t>3.</w:t>
      </w:r>
      <w:r>
        <w:t>4</w:t>
      </w:r>
      <w:r>
        <w:rPr>
          <w:rFonts w:hint="eastAsia"/>
        </w:rPr>
        <w:t>.4固体废物</w:t>
      </w:r>
      <w:bookmarkEnd w:id="135"/>
      <w:bookmarkEnd w:id="136"/>
      <w:bookmarkEnd w:id="137"/>
    </w:p>
    <w:p w14:paraId="1053FA49">
      <w:pPr>
        <w:pStyle w:val="278"/>
        <w:ind w:firstLine="480"/>
        <w:rPr>
          <w:color w:val="FF0000"/>
        </w:rPr>
      </w:pPr>
      <w:r>
        <w:rPr>
          <w:rFonts w:hint="eastAsia"/>
          <w:color w:val="FF0000"/>
        </w:rPr>
        <w:t>涉及商业机密，已删除</w:t>
      </w:r>
    </w:p>
    <w:p w14:paraId="5A133B28">
      <w:pPr>
        <w:ind w:firstLine="480"/>
        <w:rPr>
          <w:rFonts w:hint="eastAsia"/>
        </w:rPr>
      </w:pPr>
    </w:p>
    <w:p w14:paraId="302734FF">
      <w:pPr>
        <w:pStyle w:val="4068"/>
      </w:pPr>
      <w:bookmarkStart w:id="138" w:name="_Toc101135835"/>
      <w:bookmarkStart w:id="139" w:name="_Toc100784003"/>
      <w:bookmarkStart w:id="140" w:name="_Toc108662609"/>
      <w:r>
        <w:rPr>
          <w:rFonts w:hint="eastAsia"/>
        </w:rPr>
        <w:t>3.</w:t>
      </w:r>
      <w:r>
        <w:t>5</w:t>
      </w:r>
      <w:r>
        <w:rPr>
          <w:rFonts w:hint="eastAsia"/>
        </w:rPr>
        <w:t>.5非正常工况源强</w:t>
      </w:r>
      <w:bookmarkEnd w:id="138"/>
      <w:bookmarkEnd w:id="139"/>
      <w:bookmarkEnd w:id="140"/>
    </w:p>
    <w:p w14:paraId="5FC8EEE5">
      <w:pPr>
        <w:pStyle w:val="278"/>
        <w:ind w:firstLine="480"/>
        <w:rPr>
          <w:color w:val="FF0000"/>
        </w:rPr>
      </w:pPr>
      <w:r>
        <w:rPr>
          <w:rFonts w:hint="eastAsia"/>
          <w:color w:val="FF0000"/>
        </w:rPr>
        <w:t>涉及商业机密，已删除</w:t>
      </w:r>
    </w:p>
    <w:p w14:paraId="24BE4311">
      <w:pPr>
        <w:ind w:firstLine="480"/>
        <w:rPr>
          <w:rFonts w:cs="Times New Roman"/>
        </w:rPr>
      </w:pPr>
    </w:p>
    <w:p w14:paraId="011916A6">
      <w:pPr>
        <w:pStyle w:val="4068"/>
      </w:pPr>
      <w:bookmarkStart w:id="141" w:name="_Toc101135836"/>
      <w:bookmarkStart w:id="142" w:name="_Toc100784004"/>
      <w:bookmarkStart w:id="143" w:name="_Toc108662610"/>
      <w:r>
        <w:rPr>
          <w:rFonts w:hint="eastAsia"/>
        </w:rPr>
        <w:t>3.</w:t>
      </w:r>
      <w:r>
        <w:t>5.</w:t>
      </w:r>
      <w:r>
        <w:rPr>
          <w:rFonts w:hint="eastAsia"/>
        </w:rPr>
        <w:t>6扩建</w:t>
      </w:r>
      <w:r>
        <w:t>项目污染物三废汇总</w:t>
      </w:r>
      <w:bookmarkEnd w:id="141"/>
      <w:bookmarkEnd w:id="142"/>
      <w:bookmarkEnd w:id="143"/>
    </w:p>
    <w:p w14:paraId="0F21A895">
      <w:pPr>
        <w:pStyle w:val="278"/>
        <w:ind w:firstLine="480"/>
        <w:rPr>
          <w:color w:val="FF0000"/>
        </w:rPr>
      </w:pPr>
      <w:r>
        <w:rPr>
          <w:rFonts w:hint="eastAsia"/>
          <w:color w:val="FF0000"/>
        </w:rPr>
        <w:t>涉及商业机密，已删除</w:t>
      </w:r>
    </w:p>
    <w:p w14:paraId="2EF70D28">
      <w:pPr>
        <w:ind w:firstLine="480"/>
        <w:rPr>
          <w:rFonts w:hint="eastAsia"/>
        </w:rPr>
      </w:pPr>
    </w:p>
    <w:p w14:paraId="2F38DBA2">
      <w:pPr>
        <w:pStyle w:val="4065"/>
      </w:pPr>
      <w:bookmarkStart w:id="144" w:name="_Toc108662611"/>
      <w:r>
        <w:rPr>
          <w:rFonts w:hint="eastAsia"/>
        </w:rPr>
        <w:t>3.</w:t>
      </w:r>
      <w:r>
        <w:t>6</w:t>
      </w:r>
      <w:r>
        <w:rPr>
          <w:rFonts w:hint="eastAsia"/>
        </w:rPr>
        <w:t>扩建</w:t>
      </w:r>
      <w:r>
        <w:t>完成</w:t>
      </w:r>
      <w:r>
        <w:rPr>
          <w:rFonts w:hint="eastAsia"/>
        </w:rPr>
        <w:t>后</w:t>
      </w:r>
      <w:r>
        <w:t>全厂</w:t>
      </w:r>
      <w:r>
        <w:rPr>
          <w:rFonts w:hint="eastAsia"/>
        </w:rPr>
        <w:t>“三本帐”</w:t>
      </w:r>
      <w:bookmarkEnd w:id="144"/>
    </w:p>
    <w:p w14:paraId="41B2C70F">
      <w:pPr>
        <w:pStyle w:val="278"/>
        <w:ind w:firstLine="480"/>
        <w:rPr>
          <w:color w:val="FF0000"/>
        </w:rPr>
      </w:pPr>
      <w:r>
        <w:rPr>
          <w:rFonts w:hint="eastAsia"/>
          <w:color w:val="FF0000"/>
        </w:rPr>
        <w:t>涉及商业机密，已删除</w:t>
      </w:r>
    </w:p>
    <w:p w14:paraId="1984BEE3">
      <w:pPr>
        <w:pStyle w:val="278"/>
      </w:pPr>
    </w:p>
    <w:p w14:paraId="41FF3E6E">
      <w:pPr>
        <w:pStyle w:val="4065"/>
      </w:pPr>
      <w:bookmarkStart w:id="145" w:name="_Toc108662612"/>
      <w:r>
        <w:rPr>
          <w:rFonts w:hint="eastAsia"/>
        </w:rPr>
        <w:t>3.</w:t>
      </w:r>
      <w:r>
        <w:t>7</w:t>
      </w:r>
      <w:r>
        <w:rPr>
          <w:rFonts w:hint="eastAsia"/>
        </w:rPr>
        <w:t>清洁生产</w:t>
      </w:r>
      <w:r>
        <w:t>分析</w:t>
      </w:r>
      <w:bookmarkEnd w:id="145"/>
    </w:p>
    <w:p w14:paraId="738EE4DA">
      <w:pPr>
        <w:pStyle w:val="4068"/>
      </w:pPr>
      <w:bookmarkStart w:id="146" w:name="_Toc101135839"/>
      <w:bookmarkStart w:id="147" w:name="_Toc100784007"/>
      <w:bookmarkStart w:id="148" w:name="_Toc108662613"/>
      <w:r>
        <w:rPr>
          <w:rFonts w:hint="eastAsia"/>
        </w:rPr>
        <w:t>3</w:t>
      </w:r>
      <w:r>
        <w:t>.7</w:t>
      </w:r>
      <w:r>
        <w:rPr>
          <w:rFonts w:hint="eastAsia"/>
        </w:rPr>
        <w:t>.1原辅材料</w:t>
      </w:r>
      <w:r>
        <w:t>先进性分析</w:t>
      </w:r>
      <w:bookmarkEnd w:id="146"/>
      <w:bookmarkEnd w:id="147"/>
      <w:bookmarkEnd w:id="148"/>
    </w:p>
    <w:p w14:paraId="4BEE8099">
      <w:pPr>
        <w:ind w:firstLine="480"/>
      </w:pPr>
      <w:r>
        <w:rPr>
          <w:rFonts w:hint="eastAsia"/>
        </w:rPr>
        <w:t>扩建</w:t>
      </w:r>
      <w:r>
        <w:t>项目所用原辅材料纯度较高，在生产过程中也有较高的利用效率。生产过程中根据原辅材料的不同性质，进行合理分类储存，可有效减少危险事故的发生。对于生产过程中有一定的毒性的原辅材料，通过采用先进工艺技术，增加原辅材料利用率和回收率，最大限度的减少废物的产生。项目生产过程中使用的有机溶剂（甲醇）及纯水均可实现最大限度的循环套用，有效地提高了溶剂的利用效率。因此，本项目的原辅材料是属于清洁型的。</w:t>
      </w:r>
    </w:p>
    <w:p w14:paraId="1654853D">
      <w:pPr>
        <w:pStyle w:val="4068"/>
      </w:pPr>
      <w:bookmarkStart w:id="149" w:name="_Toc100784008"/>
      <w:bookmarkStart w:id="150" w:name="_Toc108662614"/>
      <w:bookmarkStart w:id="151" w:name="_Toc101135840"/>
      <w:r>
        <w:rPr>
          <w:rFonts w:hint="eastAsia"/>
        </w:rPr>
        <w:t>3.</w:t>
      </w:r>
      <w:r>
        <w:t>7</w:t>
      </w:r>
      <w:r>
        <w:rPr>
          <w:rFonts w:hint="eastAsia"/>
        </w:rPr>
        <w:t>.2生产</w:t>
      </w:r>
      <w:r>
        <w:t>工艺先进性分析</w:t>
      </w:r>
      <w:bookmarkEnd w:id="149"/>
      <w:bookmarkEnd w:id="150"/>
      <w:bookmarkEnd w:id="151"/>
    </w:p>
    <w:p w14:paraId="43882DA8">
      <w:pPr>
        <w:ind w:firstLine="480"/>
      </w:pPr>
      <w:r>
        <w:rPr>
          <w:rFonts w:hint="eastAsia"/>
        </w:rPr>
        <w:t>本</w:t>
      </w:r>
      <w:r>
        <w:t>项目生产主要以</w:t>
      </w:r>
      <w:r>
        <w:rPr>
          <w:rFonts w:hint="eastAsia"/>
        </w:rPr>
        <w:t>合成</w:t>
      </w:r>
      <w:r>
        <w:t>、精馏、冷凝、水解</w:t>
      </w:r>
      <w:r>
        <w:rPr>
          <w:rFonts w:hint="eastAsia"/>
        </w:rPr>
        <w:t>、</w:t>
      </w:r>
      <w:r>
        <w:t>破碎、煅烧</w:t>
      </w:r>
      <w:r>
        <w:rPr>
          <w:rFonts w:hint="eastAsia"/>
        </w:rPr>
        <w:t>和</w:t>
      </w:r>
      <w:r>
        <w:t>纯化等单元操作为主，项目采用国内外先进技术工艺，技术成熟可靠，生产过程均为连续化、自动化、密闭化生产工艺，减少了物料与外界环境的接触。工艺技术反应步骤短，成本低，三废较少，大部分反应溶剂可回收利用。项目生产过程中通过合理控制反应温度、时间、压力等参数，有效地提高了主反应的转化率，减少副反应的发生，同时显著增加了产品的收率。并且项目采用集散型控制系统（DCS）、可燃气体检测系统（独立设置），对生产工艺过程进行集中监控，对重要的工艺参数设置信号报警及操作联锁系统，同时，配备必要的火灾报警系统，可有效防止危险的发生。</w:t>
      </w:r>
    </w:p>
    <w:p w14:paraId="5A4C5E38">
      <w:pPr>
        <w:ind w:firstLine="480"/>
      </w:pPr>
      <w:r>
        <w:t>因此，</w:t>
      </w:r>
      <w:r>
        <w:rPr>
          <w:rFonts w:hint="eastAsia"/>
        </w:rPr>
        <w:t>本</w:t>
      </w:r>
      <w:r>
        <w:t>项目工艺清洁生产水平较高，符合企业工艺要求。</w:t>
      </w:r>
    </w:p>
    <w:p w14:paraId="7F80FE0D">
      <w:pPr>
        <w:pStyle w:val="4068"/>
      </w:pPr>
      <w:bookmarkStart w:id="152" w:name="_Toc108662615"/>
      <w:bookmarkStart w:id="153" w:name="_Toc100784009"/>
      <w:bookmarkStart w:id="154" w:name="_Toc101135841"/>
      <w:r>
        <w:t>3.7.3</w:t>
      </w:r>
      <w:r>
        <w:rPr>
          <w:rFonts w:hint="eastAsia"/>
        </w:rPr>
        <w:t>设备</w:t>
      </w:r>
      <w:r>
        <w:t>及过程控制先进性分析</w:t>
      </w:r>
      <w:bookmarkEnd w:id="152"/>
      <w:bookmarkEnd w:id="153"/>
      <w:bookmarkEnd w:id="154"/>
    </w:p>
    <w:p w14:paraId="129F340F">
      <w:pPr>
        <w:ind w:firstLine="480"/>
      </w:pPr>
      <w:r>
        <w:rPr>
          <w:rFonts w:hint="eastAsia"/>
        </w:rPr>
        <w:t>根据产品特点，本项目建设中尽量采用通用定型设备，如</w:t>
      </w:r>
      <w:r>
        <w:rPr>
          <w:rFonts w:hint="eastAsia" w:cs="宋体"/>
        </w:rPr>
        <w:t>钢衬瓷和</w:t>
      </w:r>
      <w:r>
        <w:rPr>
          <w:rFonts w:cs="宋体"/>
        </w:rPr>
        <w:t>搪瓷</w:t>
      </w:r>
      <w:r>
        <w:rPr>
          <w:rFonts w:hint="eastAsia"/>
        </w:rPr>
        <w:t>反应釜等。各种设备原则上采用标准化产品，非标准设备按国家有关标准另行设计。此外，项目还将通过提高装备的自控水平，来提高工程的整体水平，主要表现在：</w:t>
      </w:r>
    </w:p>
    <w:p w14:paraId="009CD654">
      <w:pPr>
        <w:ind w:firstLine="480"/>
      </w:pPr>
      <w:r>
        <w:rPr>
          <w:rFonts w:hint="eastAsia"/>
        </w:rPr>
        <w:t>（1）采用连续化、自动化、密闭化生产工艺替代间歇式、敞开式生产工艺，减少物料与外界接触频率。降低劳动强度，提高劳动生产率。</w:t>
      </w:r>
    </w:p>
    <w:p w14:paraId="1BD714C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（2）车间内设备之间对于液体物料，根据其特性选用屏蔽泵、隔膜泵、磁力泵等 </w:t>
      </w:r>
      <w:r>
        <w:rPr>
          <w:color w:val="000000" w:themeColor="text1"/>
          <w14:textFill>
            <w14:solidFill>
              <w14:schemeClr w14:val="tx1"/>
            </w14:solidFill>
          </w14:textFill>
        </w:rPr>
        <w:t xml:space="preserve">                 </w:t>
      </w:r>
    </w:p>
    <w:p w14:paraId="2545F6D5">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粉状的物料，尽量采取正压脉冲方式（氮气保护）来进行输送，万一遇到特定原物料因特殊原因需要使用压缩空气、真空抽吸等方式输送易燃及有毒、有害化工物料时，应对放空尾气进行统一收集、处理；投料和出料均应设密封装置或设置密闭区域，不能实现密闭的应采用负压排气并收集至尾气处理系统处理。反应釜内采用惰性气体保护，尽可能考虑采用底部给料或使用浸入管给料，特殊原因需要从反应釜顶部添加液体料液时应尽量采用导管贴壁给料。生产过程中的取样监控，采用正压输送或者循环泵支管取样的方式解决，杜绝开启反应釜的方式进行取样。</w:t>
      </w:r>
    </w:p>
    <w:p w14:paraId="081B201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优先采用效率较高的换热设备，对于低沸点溶剂采用低温冷冻介质（如冷冻盐水等冷媒）等进行深度冷凝，冷凝后的不凝性尾气收集后需进一步净化处理。如因工艺需要采用喷射真空泵或水环真空泵，应采用配备冷却系统的水槽作为循环液，保证体系的真空度及减少无组织气体的挥发排放。</w:t>
      </w:r>
    </w:p>
    <w:p w14:paraId="13ABA26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生产储运的设备与管线组件、工艺排气、废气管道、废水处理管线、化学品贮存等应建立泄漏检测与修复（LDAR）体系，对压缩机、泵、阀门、法兰等易泄漏设备及管线组件在选择时充分考虑工作状况，选择耐腐蚀的材质，并定期检测、及时修复。严格控制跑、冒、滴、漏的情况发生。</w:t>
      </w:r>
    </w:p>
    <w:p w14:paraId="3A81616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（5）过程控制中采取一定的节水措施，实现了节水目标。</w:t>
      </w:r>
    </w:p>
    <w:p w14:paraId="1081AB4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6）本项目自控系统遵循“经济合理、技术先进、运行可靠、操作方便”的原则，根据工艺装置的生产规模，流程特点及工艺操作要求，对生产过程中的温度、压力、流量等各种主要参数，按技术工艺要求进行集中控制。本项目工程生产过程中，针对危险工艺全部采用DCS自动控制系统，主要工艺参数集中在控制室进行显示、记录和调节。同时本项目将能源消耗的计量数据通过远程计量仪表的信息引入控制系统，这样，不仅保证生产装置安全可靠地运行，又可将能源消耗情况及时与生产挂钩，从而有效地对生产过程进行控制和管理。</w:t>
      </w:r>
    </w:p>
    <w:p w14:paraId="5994ADA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（7）本项目设置单独的投料间，投料间封闭，物料用隔膜泵（用泵）通过密闭管道泵至投料釜，最大程度降低物料的无组织挥发，提高物料的利用效率，减少污染物排放。</w:t>
      </w:r>
    </w:p>
    <w:p w14:paraId="756E6EEF">
      <w:pPr>
        <w:pStyle w:val="4068"/>
      </w:pPr>
      <w:bookmarkStart w:id="155" w:name="_Toc108662616"/>
      <w:r>
        <w:rPr>
          <w:rFonts w:hint="eastAsia"/>
        </w:rPr>
        <w:t>3.7.4节能</w:t>
      </w:r>
      <w:r>
        <w:t>措施</w:t>
      </w:r>
      <w:bookmarkEnd w:id="155"/>
    </w:p>
    <w:p w14:paraId="53BCD7A3">
      <w:pPr>
        <w:snapToGrid/>
        <w:ind w:firstLine="480"/>
      </w:pPr>
      <w:r>
        <w:rPr>
          <w:rFonts w:hint="eastAsia"/>
        </w:rPr>
        <w:t>（1）本项目各类机电产品均选用国家推荐的节能型品种，部分关键的工艺控制点使用先进的仪器仪表控制，强化生产过程中的自控水平，提高收率，减少能耗，尽可能做到合理利用和节约能耗，严格控制跑、冒、滴、漏，最大限度地减少物耗、能耗。</w:t>
      </w:r>
    </w:p>
    <w:p w14:paraId="0EA96893">
      <w:pPr>
        <w:snapToGrid/>
        <w:ind w:firstLine="480"/>
      </w:pPr>
      <w:r>
        <w:rPr>
          <w:rFonts w:hint="eastAsia"/>
        </w:rPr>
        <w:t>（2）对冷、热管网系统采用先进的保温技术和保温材料进行保温、保冷，减少系统在输送过程中的损失，降低能源消耗。</w:t>
      </w:r>
    </w:p>
    <w:p w14:paraId="141D9982">
      <w:pPr>
        <w:snapToGrid/>
        <w:ind w:firstLine="480"/>
      </w:pPr>
      <w:r>
        <w:rPr>
          <w:rFonts w:hint="eastAsia"/>
        </w:rPr>
        <w:t>（3）加强物料回收和循环利用，提高回收率，减少了物料的消耗量和污染物排放量，降低对区域大气环境影响。</w:t>
      </w:r>
    </w:p>
    <w:p w14:paraId="0436760F">
      <w:pPr>
        <w:pStyle w:val="4068"/>
      </w:pPr>
      <w:bookmarkStart w:id="156" w:name="_Toc108662617"/>
      <w:r>
        <w:rPr>
          <w:rFonts w:hint="eastAsia"/>
        </w:rPr>
        <w:t>3.7.5有毒有害物质的控制及溶剂的循环利用</w:t>
      </w:r>
      <w:bookmarkEnd w:id="156"/>
    </w:p>
    <w:p w14:paraId="4F88ECAB">
      <w:pPr>
        <w:ind w:firstLine="480"/>
      </w:pPr>
      <w:r>
        <w:rPr>
          <w:rFonts w:hint="eastAsia"/>
        </w:rPr>
        <w:t>本项目使用溶剂，在生产工程中最大程度的进行套用，尤其是对于有毒有害物质，在生产过程中进行回收利用，例如甲醇，生产过程中回收套用率达到9</w:t>
      </w:r>
      <w:r>
        <w:t>0</w:t>
      </w:r>
      <w:r>
        <w:rPr>
          <w:rFonts w:hint="eastAsia"/>
        </w:rPr>
        <w:t>%以上，最大程度减少有毒有害物质的消耗量。本项目冷凝过程中采用两级冷凝，并且采用盐水作为冷凝介质，可以提高冷凝效率。</w:t>
      </w:r>
    </w:p>
    <w:p w14:paraId="6C40EC4B">
      <w:pPr>
        <w:pStyle w:val="4068"/>
      </w:pPr>
      <w:bookmarkStart w:id="157" w:name="_Toc108662618"/>
      <w:r>
        <w:rPr>
          <w:rFonts w:hint="eastAsia"/>
        </w:rPr>
        <w:t>3.7.6环境</w:t>
      </w:r>
      <w:r>
        <w:t>管理</w:t>
      </w:r>
      <w:bookmarkEnd w:id="157"/>
    </w:p>
    <w:p w14:paraId="7174918C">
      <w:pPr>
        <w:snapToGrid/>
        <w:ind w:firstLine="480"/>
      </w:pPr>
      <w:r>
        <w:rPr>
          <w:rFonts w:hint="eastAsia"/>
        </w:rPr>
        <w:t>本项目设置专门的安环科负责日常的环境、安全管理工作，建立了生产、环保管理台账，建立环保档案室，制定了完整的环保管理规章制度，有完善的日常环境管理监测计划，环境管理较规范。</w:t>
      </w:r>
    </w:p>
    <w:p w14:paraId="20009974">
      <w:pPr>
        <w:snapToGrid/>
        <w:ind w:firstLine="480"/>
      </w:pPr>
      <w:r>
        <w:rPr>
          <w:rFonts w:hint="eastAsia"/>
        </w:rPr>
        <w:t>综上所述，本项目采用的生产工艺体现了清洁生产理念，工艺过程及路线处于国内领先水平。</w:t>
      </w:r>
    </w:p>
    <w:p w14:paraId="198F7B8F">
      <w:pPr>
        <w:ind w:firstLine="480"/>
      </w:pPr>
    </w:p>
    <w:p w14:paraId="4B2D7F4A">
      <w:pPr>
        <w:ind w:firstLine="480"/>
      </w:pPr>
    </w:p>
    <w:p w14:paraId="5CF10928">
      <w:pPr>
        <w:ind w:firstLine="480"/>
        <w:sectPr>
          <w:pgSz w:w="11906" w:h="16838"/>
          <w:pgMar w:top="1440" w:right="1440" w:bottom="1440" w:left="1440" w:header="851" w:footer="992" w:gutter="0"/>
          <w:cols w:space="425" w:num="1"/>
          <w:docGrid w:type="lines" w:linePitch="326" w:charSpace="0"/>
        </w:sectPr>
      </w:pPr>
    </w:p>
    <w:p w14:paraId="3CD0989B">
      <w:pPr>
        <w:pStyle w:val="4064"/>
      </w:pPr>
      <w:bookmarkStart w:id="158" w:name="_Toc108662619"/>
      <w:r>
        <w:rPr>
          <w:rFonts w:hint="eastAsia"/>
        </w:rPr>
        <w:t>4、</w:t>
      </w:r>
      <w:r>
        <w:t>环境现状调查与评价</w:t>
      </w:r>
      <w:bookmarkEnd w:id="158"/>
    </w:p>
    <w:p w14:paraId="297B5511">
      <w:pPr>
        <w:pStyle w:val="4065"/>
      </w:pPr>
      <w:bookmarkStart w:id="159" w:name="_Toc108662620"/>
      <w:r>
        <w:rPr>
          <w:rFonts w:hint="eastAsia"/>
        </w:rPr>
        <w:t>4</w:t>
      </w:r>
      <w:r>
        <w:t>.1自然环境概况</w:t>
      </w:r>
      <w:bookmarkEnd w:id="159"/>
    </w:p>
    <w:p w14:paraId="7B7B3015">
      <w:pPr>
        <w:pStyle w:val="4068"/>
      </w:pPr>
      <w:bookmarkStart w:id="160" w:name="_Toc100784012"/>
      <w:bookmarkStart w:id="161" w:name="_Toc101135844"/>
      <w:bookmarkStart w:id="162" w:name="_Toc108662621"/>
      <w:r>
        <w:rPr>
          <w:rFonts w:hint="eastAsia"/>
        </w:rPr>
        <w:t>4</w:t>
      </w:r>
      <w:r>
        <w:t>.1.1</w:t>
      </w:r>
      <w:r>
        <w:rPr>
          <w:rFonts w:ascii="黑体" w:hAnsi="黑体"/>
        </w:rPr>
        <w:t>地理位置</w:t>
      </w:r>
      <w:bookmarkEnd w:id="160"/>
      <w:bookmarkEnd w:id="161"/>
      <w:bookmarkEnd w:id="162"/>
    </w:p>
    <w:p w14:paraId="3FF09DB3">
      <w:pPr>
        <w:ind w:firstLine="480"/>
      </w:pPr>
      <w:r>
        <w:rPr>
          <w:rFonts w:hint="eastAsia" w:ascii="宋体" w:hAnsi="宋体"/>
        </w:rPr>
        <w:t>蚌埠市处于安徽省北部，津浦线与淮河交汇处，位于东经</w:t>
      </w:r>
      <w:r>
        <w:t>117</w:t>
      </w:r>
      <w:r>
        <w:rPr>
          <w:vertAlign w:val="superscript"/>
        </w:rPr>
        <w:t>o</w:t>
      </w:r>
      <w:r>
        <w:t>11′</w:t>
      </w:r>
      <w:r>
        <w:rPr>
          <w:rFonts w:hint="eastAsia" w:ascii="宋体" w:hAnsi="宋体"/>
        </w:rPr>
        <w:t>至</w:t>
      </w:r>
      <w:r>
        <w:t>117</w:t>
      </w:r>
      <w:r>
        <w:rPr>
          <w:vertAlign w:val="superscript"/>
        </w:rPr>
        <w:t xml:space="preserve"> o</w:t>
      </w:r>
      <w:r>
        <w:t>31′</w:t>
      </w:r>
      <w:r>
        <w:rPr>
          <w:rFonts w:hint="eastAsia" w:ascii="宋体" w:hAnsi="宋体"/>
        </w:rPr>
        <w:t>，北纬</w:t>
      </w:r>
      <w:r>
        <w:t>32</w:t>
      </w:r>
      <w:r>
        <w:rPr>
          <w:vertAlign w:val="superscript"/>
        </w:rPr>
        <w:t>o</w:t>
      </w:r>
      <w:r>
        <w:t>49′</w:t>
      </w:r>
      <w:r>
        <w:rPr>
          <w:rFonts w:hint="eastAsia" w:ascii="宋体" w:hAnsi="宋体"/>
        </w:rPr>
        <w:t>至</w:t>
      </w:r>
      <w:r>
        <w:t>33</w:t>
      </w:r>
      <w:r>
        <w:rPr>
          <w:vertAlign w:val="superscript"/>
        </w:rPr>
        <w:t>o</w:t>
      </w:r>
      <w:r>
        <w:t>01′</w:t>
      </w:r>
      <w:r>
        <w:rPr>
          <w:rFonts w:hint="eastAsia" w:ascii="宋体" w:hAnsi="宋体"/>
        </w:rPr>
        <w:t>，东西长</w:t>
      </w:r>
      <w:r>
        <w:t>32.3</w:t>
      </w:r>
      <w:r>
        <w:rPr>
          <w:rFonts w:hint="eastAsia" w:ascii="宋体" w:hAnsi="宋体"/>
        </w:rPr>
        <w:t>公里，南北宽</w:t>
      </w:r>
      <w:r>
        <w:t>23.5</w:t>
      </w:r>
      <w:r>
        <w:rPr>
          <w:rFonts w:hint="eastAsia" w:ascii="宋体" w:hAnsi="宋体"/>
        </w:rPr>
        <w:t>公里，市区面积</w:t>
      </w:r>
      <w:r>
        <w:t>455.4</w:t>
      </w:r>
      <w:r>
        <w:rPr>
          <w:rFonts w:hint="eastAsia" w:ascii="宋体" w:hAnsi="宋体"/>
        </w:rPr>
        <w:t>平方公里，城市北为市辖怀远县，东北为市辖五河县，东部和南部为滁县地区凤阳县，西部为市辖怀远县，淮河干流自西向东贯通城区，其北岸为</w:t>
      </w:r>
      <w:r>
        <w:t>54.56</w:t>
      </w:r>
      <w:r>
        <w:rPr>
          <w:rFonts w:hint="eastAsia" w:ascii="宋体" w:hAnsi="宋体"/>
        </w:rPr>
        <w:t>平方公里，南岸为</w:t>
      </w:r>
      <w:r>
        <w:t>360.84</w:t>
      </w:r>
      <w:r>
        <w:rPr>
          <w:rFonts w:hint="eastAsia" w:ascii="宋体" w:hAnsi="宋体"/>
        </w:rPr>
        <w:t>平方公里。蚌埠因曾盛产珠而得名，被誉为“淮上明珠”，素有“珍珠城”的誉称。</w:t>
      </w:r>
    </w:p>
    <w:p w14:paraId="0CDEB07A">
      <w:pPr>
        <w:ind w:firstLine="480"/>
      </w:pPr>
      <w:r>
        <w:rPr>
          <w:rFonts w:hint="eastAsia" w:ascii="宋体" w:hAnsi="宋体"/>
        </w:rPr>
        <w:t>本项目位于安徽蚌埠淮上区</w:t>
      </w:r>
      <w:r>
        <w:rPr>
          <w:rFonts w:hint="eastAsia"/>
        </w:rPr>
        <w:t>蚌埠精细化工</w:t>
      </w:r>
      <w:r>
        <w:t>高新技术产业基地</w:t>
      </w:r>
      <w:r>
        <w:rPr>
          <w:rFonts w:hint="eastAsia" w:ascii="宋体" w:hAnsi="宋体"/>
        </w:rPr>
        <w:t>，具体地理位置见附图</w:t>
      </w:r>
      <w:r>
        <w:t>4</w:t>
      </w:r>
      <w:r>
        <w:rPr>
          <w:rFonts w:hint="eastAsia"/>
        </w:rPr>
        <w:t>.1.1</w:t>
      </w:r>
      <w:r>
        <w:t>-1</w:t>
      </w:r>
      <w:r>
        <w:rPr>
          <w:rFonts w:hint="eastAsia" w:ascii="宋体" w:hAnsi="宋体"/>
        </w:rPr>
        <w:t>。</w:t>
      </w:r>
    </w:p>
    <w:p w14:paraId="5624E0A1">
      <w:pPr>
        <w:pStyle w:val="4068"/>
      </w:pPr>
      <w:bookmarkStart w:id="163" w:name="_Toc100784013"/>
      <w:bookmarkStart w:id="164" w:name="_Toc101135845"/>
      <w:bookmarkStart w:id="165" w:name="_Toc108662622"/>
      <w:r>
        <w:rPr>
          <w:rFonts w:hint="eastAsia"/>
        </w:rPr>
        <w:t>4</w:t>
      </w:r>
      <w:r>
        <w:t>.1.2</w:t>
      </w:r>
      <w:r>
        <w:rPr>
          <w:rFonts w:ascii="黑体" w:hAnsi="黑体"/>
        </w:rPr>
        <w:t>地形地貌</w:t>
      </w:r>
      <w:bookmarkEnd w:id="163"/>
      <w:bookmarkEnd w:id="164"/>
      <w:bookmarkEnd w:id="165"/>
    </w:p>
    <w:p w14:paraId="5FCA760D">
      <w:pPr>
        <w:ind w:firstLine="480"/>
      </w:pPr>
      <w:r>
        <w:rPr>
          <w:rFonts w:hint="eastAsia" w:ascii="宋体" w:hAnsi="宋体"/>
        </w:rPr>
        <w:t>蚌埠市位于安徽省北部，北纬</w:t>
      </w:r>
      <w:r>
        <w:t>32°43′</w:t>
      </w:r>
      <w:r>
        <w:rPr>
          <w:rFonts w:hint="eastAsia" w:ascii="宋体" w:hAnsi="宋体"/>
        </w:rPr>
        <w:t>至</w:t>
      </w:r>
      <w:r>
        <w:t>33°30′</w:t>
      </w:r>
      <w:r>
        <w:rPr>
          <w:rFonts w:hint="eastAsia" w:ascii="宋体" w:hAnsi="宋体"/>
        </w:rPr>
        <w:t>，东经</w:t>
      </w:r>
      <w:r>
        <w:t>116°45′</w:t>
      </w:r>
      <w:r>
        <w:rPr>
          <w:rFonts w:hint="eastAsia" w:ascii="宋体" w:hAnsi="宋体"/>
        </w:rPr>
        <w:t>至</w:t>
      </w:r>
      <w:r>
        <w:t>118°04′</w:t>
      </w:r>
      <w:r>
        <w:rPr>
          <w:rFonts w:hint="eastAsia" w:ascii="宋体" w:hAnsi="宋体"/>
        </w:rPr>
        <w:t>，北与宿州市、濉溪县、灵璧县、泗县接壤，南与淮南市、凤阳县相连，东与明光市和江苏省泗洪县毗邻，西与蒙城县、凤台县搭界。津浦铁路从境区中部纵贯南北，淮河自西向东流过境南，辖区大部分处于淮北平原南端。蚌埠市区位于北纬</w:t>
      </w:r>
      <w:r>
        <w:t>33°01′</w:t>
      </w:r>
      <w:r>
        <w:rPr>
          <w:rFonts w:hint="eastAsia" w:ascii="宋体" w:hAnsi="宋体"/>
        </w:rPr>
        <w:t>至</w:t>
      </w:r>
      <w:r>
        <w:t>32°49′</w:t>
      </w:r>
      <w:r>
        <w:rPr>
          <w:rFonts w:hint="eastAsia" w:ascii="宋体" w:hAnsi="宋体"/>
        </w:rPr>
        <w:t>，东经</w:t>
      </w:r>
      <w:r>
        <w:t>117°31′</w:t>
      </w:r>
      <w:r>
        <w:rPr>
          <w:rFonts w:hint="eastAsia" w:ascii="宋体" w:hAnsi="宋体"/>
        </w:rPr>
        <w:t>至</w:t>
      </w:r>
      <w:r>
        <w:t>117°11′</w:t>
      </w:r>
      <w:r>
        <w:rPr>
          <w:rFonts w:hint="eastAsia" w:ascii="宋体" w:hAnsi="宋体"/>
        </w:rPr>
        <w:t>，北部与固镇县、五河县交界，东部、南部与凤阳县毗邻，西部与怀远县相连。</w:t>
      </w:r>
    </w:p>
    <w:p w14:paraId="751FAA55">
      <w:pPr>
        <w:ind w:firstLine="480"/>
      </w:pPr>
      <w:r>
        <w:rPr>
          <w:rFonts w:hint="eastAsia" w:ascii="宋体" w:hAnsi="宋体"/>
        </w:rPr>
        <w:t>全市地形以平原为主，山丘相对集中，河沟纵横，湖泊散落。淮河以北为平原地区，约占全市面积的</w:t>
      </w:r>
      <w:r>
        <w:t>86%</w:t>
      </w:r>
      <w:r>
        <w:rPr>
          <w:rFonts w:hint="eastAsia" w:ascii="宋体" w:hAnsi="宋体"/>
        </w:rPr>
        <w:t>。地势呈西北高东南低，西部最高地面高程在涡芡之间西部为</w:t>
      </w:r>
      <w:r>
        <w:t>24</w:t>
      </w:r>
      <w:r>
        <w:rPr>
          <w:rFonts w:hint="eastAsia" w:ascii="宋体" w:hAnsi="宋体"/>
        </w:rPr>
        <w:t>米，最低地面高程在老潼河附近为</w:t>
      </w:r>
      <w:r>
        <w:t>14</w:t>
      </w:r>
      <w:r>
        <w:rPr>
          <w:rFonts w:hint="eastAsia" w:ascii="宋体" w:hAnsi="宋体"/>
        </w:rPr>
        <w:t>米，东西高差</w:t>
      </w:r>
      <w:r>
        <w:t>10</w:t>
      </w:r>
      <w:r>
        <w:rPr>
          <w:rFonts w:hint="eastAsia" w:ascii="宋体" w:hAnsi="宋体"/>
        </w:rPr>
        <w:t>米；北部沱浍之间任桥附近最高地面高程为</w:t>
      </w:r>
      <w:r>
        <w:t>22.0</w:t>
      </w:r>
      <w:r>
        <w:rPr>
          <w:rFonts w:hint="eastAsia" w:ascii="宋体" w:hAnsi="宋体"/>
        </w:rPr>
        <w:t>米，南部北淝河下游地面高程最低为</w:t>
      </w:r>
      <w:r>
        <w:t>14</w:t>
      </w:r>
      <w:r>
        <w:rPr>
          <w:rFonts w:hint="eastAsia" w:ascii="宋体" w:hAnsi="宋体"/>
        </w:rPr>
        <w:t>米，南北高差</w:t>
      </w:r>
      <w:r>
        <w:t>8</w:t>
      </w:r>
      <w:r>
        <w:rPr>
          <w:rFonts w:hint="eastAsia" w:ascii="宋体" w:hAnsi="宋体"/>
        </w:rPr>
        <w:t>米。淮河以南地形为有湖洼间隔的不连续山丘高地，约占全市面积的</w:t>
      </w:r>
      <w:r>
        <w:t>14%</w:t>
      </w:r>
      <w:r>
        <w:rPr>
          <w:rFonts w:hint="eastAsia" w:ascii="宋体" w:hAnsi="宋体"/>
        </w:rPr>
        <w:t>。蚌埠地处江淮腹地丘陵地区，由西向东的江淮分水岭贯穿该市，形成低缓的鱼背形地势。项目范围内的地形基本为岗冲起伏的丘陵荒地，高程在</w:t>
      </w:r>
      <w:r>
        <w:t>23.06</w:t>
      </w:r>
      <w:r>
        <w:rPr>
          <w:rFonts w:hint="eastAsia" w:ascii="宋体" w:hAnsi="宋体"/>
        </w:rPr>
        <w:t>米～</w:t>
      </w:r>
      <w:r>
        <w:t>49.54</w:t>
      </w:r>
      <w:r>
        <w:rPr>
          <w:rFonts w:hint="eastAsia" w:ascii="宋体" w:hAnsi="宋体"/>
        </w:rPr>
        <w:t>米之间，整个地形呈东高西低。项目范围内扩建场地地面高程范围在</w:t>
      </w:r>
      <w:r>
        <w:t>15.4</w:t>
      </w:r>
      <w:r>
        <w:rPr>
          <w:rFonts w:hint="eastAsia" w:ascii="宋体" w:hAnsi="宋体"/>
        </w:rPr>
        <w:t>～</w:t>
      </w:r>
      <w:r>
        <w:t>30.6m</w:t>
      </w:r>
      <w:r>
        <w:rPr>
          <w:rFonts w:hint="eastAsia" w:ascii="宋体" w:hAnsi="宋体"/>
        </w:rPr>
        <w:t>之间。</w:t>
      </w:r>
    </w:p>
    <w:p w14:paraId="5AD6885F">
      <w:pPr>
        <w:pStyle w:val="4068"/>
      </w:pPr>
      <w:bookmarkStart w:id="166" w:name="_Toc101135846"/>
      <w:bookmarkStart w:id="167" w:name="_Toc108662623"/>
      <w:bookmarkStart w:id="168" w:name="_Toc100784014"/>
      <w:r>
        <w:rPr>
          <w:rFonts w:hint="eastAsia"/>
        </w:rPr>
        <w:t>4</w:t>
      </w:r>
      <w:r>
        <w:t>.1.3</w:t>
      </w:r>
      <w:r>
        <w:rPr>
          <w:rFonts w:ascii="黑体" w:hAnsi="黑体"/>
        </w:rPr>
        <w:t>气候气象</w:t>
      </w:r>
      <w:bookmarkEnd w:id="166"/>
      <w:bookmarkEnd w:id="167"/>
      <w:bookmarkEnd w:id="168"/>
    </w:p>
    <w:p w14:paraId="733A8A56">
      <w:pPr>
        <w:ind w:firstLine="480"/>
      </w:pPr>
      <w:r>
        <w:rPr>
          <w:rFonts w:hint="eastAsia" w:ascii="宋体" w:hAnsi="宋体"/>
        </w:rPr>
        <w:t>蚌埠属于北亚热带半湿润气候区与温暖带半湿润区气候的过渡带，兼有两个气候带的特征，雨量适中光照充足，年均无霜期</w:t>
      </w:r>
      <w:r>
        <w:t>217</w:t>
      </w:r>
      <w:r>
        <w:rPr>
          <w:rFonts w:hint="eastAsia" w:ascii="宋体" w:hAnsi="宋体"/>
        </w:rPr>
        <w:t>天，年均冷暖气团活动交锋频繁变化大，降水集中，梅雨季节在</w:t>
      </w:r>
      <w:r>
        <w:t>6</w:t>
      </w:r>
      <w:r>
        <w:rPr>
          <w:rFonts w:hint="eastAsia" w:ascii="宋体" w:hAnsi="宋体"/>
        </w:rPr>
        <w:t>月下旬至</w:t>
      </w:r>
      <w:r>
        <w:t>7</w:t>
      </w:r>
      <w:r>
        <w:rPr>
          <w:rFonts w:hint="eastAsia" w:ascii="宋体" w:hAnsi="宋体"/>
        </w:rPr>
        <w:t>月下旬，年均降水量</w:t>
      </w:r>
      <w:r>
        <w:t>1195.7</w:t>
      </w:r>
      <w:r>
        <w:rPr>
          <w:rFonts w:hint="eastAsia" w:ascii="宋体" w:hAnsi="宋体"/>
        </w:rPr>
        <w:t>毫米。经常有空梅年份出现，常有旱涝灾害发生。年平均气温</w:t>
      </w:r>
      <w:r>
        <w:t>15.37</w:t>
      </w:r>
      <w:r>
        <w:rPr>
          <w:vertAlign w:val="superscript"/>
        </w:rPr>
        <w:t>o</w:t>
      </w:r>
      <w:r>
        <w:t>C</w:t>
      </w:r>
      <w:r>
        <w:rPr>
          <w:rFonts w:hint="eastAsia" w:ascii="宋体" w:hAnsi="宋体"/>
        </w:rPr>
        <w:t>，</w:t>
      </w:r>
      <w:r>
        <w:t>1</w:t>
      </w:r>
      <w:r>
        <w:rPr>
          <w:rFonts w:hint="eastAsia" w:ascii="宋体" w:hAnsi="宋体"/>
        </w:rPr>
        <w:t>月份最低，</w:t>
      </w:r>
      <w:r>
        <w:t>7</w:t>
      </w:r>
      <w:r>
        <w:rPr>
          <w:rFonts w:hint="eastAsia" w:ascii="宋体" w:hAnsi="宋体"/>
        </w:rPr>
        <w:t>月份最高，高于淮北和皖西地区，平均降雪日为</w:t>
      </w:r>
      <w:r>
        <w:t>11</w:t>
      </w:r>
      <w:r>
        <w:rPr>
          <w:rFonts w:hint="eastAsia" w:ascii="宋体" w:hAnsi="宋体"/>
        </w:rPr>
        <w:t>天，平均气压</w:t>
      </w:r>
      <w:r>
        <w:t>1014.2</w:t>
      </w:r>
      <w:r>
        <w:rPr>
          <w:rFonts w:hint="eastAsia" w:ascii="宋体" w:hAnsi="宋体"/>
        </w:rPr>
        <w:t>百帕。</w:t>
      </w:r>
    </w:p>
    <w:p w14:paraId="27D9FFAD">
      <w:pPr>
        <w:ind w:firstLine="480"/>
      </w:pPr>
      <w:r>
        <w:rPr>
          <w:rFonts w:hint="eastAsia" w:ascii="宋体" w:hAnsi="宋体"/>
        </w:rPr>
        <w:t>其主要气象参数为：</w:t>
      </w:r>
    </w:p>
    <w:p w14:paraId="71326231">
      <w:pPr>
        <w:ind w:firstLine="480"/>
      </w:pPr>
      <w:r>
        <w:rPr>
          <w:rFonts w:hint="eastAsia" w:ascii="宋体" w:hAnsi="宋体"/>
        </w:rPr>
        <w:t>年平均气温</w:t>
      </w:r>
      <w:r>
        <w:t xml:space="preserve">                   15.37</w:t>
      </w:r>
      <w:r>
        <w:rPr>
          <w:vertAlign w:val="superscript"/>
        </w:rPr>
        <w:t xml:space="preserve"> o</w:t>
      </w:r>
      <w:r>
        <w:t>C</w:t>
      </w:r>
    </w:p>
    <w:p w14:paraId="34EDE38B">
      <w:pPr>
        <w:ind w:firstLine="480"/>
      </w:pPr>
      <w:r>
        <w:rPr>
          <w:rFonts w:ascii="宋体" w:hAnsi="宋体"/>
        </w:rPr>
        <w:t>极端最低温度</w:t>
      </w:r>
      <w:r>
        <w:t xml:space="preserve">                 -24.3</w:t>
      </w:r>
      <w:r>
        <w:rPr>
          <w:vertAlign w:val="superscript"/>
        </w:rPr>
        <w:t xml:space="preserve"> o</w:t>
      </w:r>
      <w:r>
        <w:t>C</w:t>
      </w:r>
    </w:p>
    <w:p w14:paraId="253F1B26">
      <w:pPr>
        <w:ind w:firstLine="480"/>
      </w:pPr>
      <w:r>
        <w:rPr>
          <w:rFonts w:ascii="宋体" w:hAnsi="宋体"/>
        </w:rPr>
        <w:t>极端最高温度</w:t>
      </w:r>
      <w:r>
        <w:t xml:space="preserve">                 40.5</w:t>
      </w:r>
      <w:r>
        <w:rPr>
          <w:vertAlign w:val="superscript"/>
        </w:rPr>
        <w:t xml:space="preserve"> o</w:t>
      </w:r>
      <w:r>
        <w:t>C</w:t>
      </w:r>
    </w:p>
    <w:p w14:paraId="01013782">
      <w:pPr>
        <w:ind w:firstLine="480"/>
      </w:pPr>
      <w:r>
        <w:rPr>
          <w:rFonts w:ascii="宋体" w:hAnsi="宋体"/>
        </w:rPr>
        <w:t>最高月平均气温</w:t>
      </w:r>
      <w:r>
        <w:t xml:space="preserve">               29.62</w:t>
      </w:r>
      <w:r>
        <w:rPr>
          <w:vertAlign w:val="superscript"/>
        </w:rPr>
        <w:t xml:space="preserve"> o</w:t>
      </w:r>
      <w:r>
        <w:t>C</w:t>
      </w:r>
      <w:r>
        <w:rPr>
          <w:rFonts w:ascii="宋体" w:hAnsi="宋体"/>
        </w:rPr>
        <w:t>（</w:t>
      </w:r>
      <w:r>
        <w:t>7</w:t>
      </w:r>
      <w:r>
        <w:rPr>
          <w:rFonts w:ascii="宋体" w:hAnsi="宋体"/>
        </w:rPr>
        <w:t>月）</w:t>
      </w:r>
    </w:p>
    <w:p w14:paraId="26BB1A45">
      <w:pPr>
        <w:ind w:firstLine="480"/>
      </w:pPr>
      <w:r>
        <w:rPr>
          <w:rFonts w:ascii="宋体" w:hAnsi="宋体"/>
        </w:rPr>
        <w:t>最低月平均气温</w:t>
      </w:r>
      <w:r>
        <w:t xml:space="preserve">               0.75</w:t>
      </w:r>
      <w:r>
        <w:rPr>
          <w:vertAlign w:val="superscript"/>
        </w:rPr>
        <w:t xml:space="preserve"> o</w:t>
      </w:r>
      <w:r>
        <w:t xml:space="preserve">C </w:t>
      </w:r>
      <w:r>
        <w:rPr>
          <w:rFonts w:hint="eastAsia" w:ascii="宋体" w:hAnsi="宋体"/>
        </w:rPr>
        <w:t>（</w:t>
      </w:r>
      <w:r>
        <w:rPr>
          <w:rFonts w:hint="eastAsia"/>
        </w:rPr>
        <w:t>1</w:t>
      </w:r>
      <w:r>
        <w:rPr>
          <w:rFonts w:hint="eastAsia" w:ascii="宋体" w:hAnsi="宋体"/>
        </w:rPr>
        <w:t>月）</w:t>
      </w:r>
    </w:p>
    <w:p w14:paraId="72EB8AB4">
      <w:pPr>
        <w:ind w:firstLine="480"/>
      </w:pPr>
      <w:r>
        <w:rPr>
          <w:rFonts w:hint="eastAsia" w:ascii="宋体" w:hAnsi="宋体"/>
        </w:rPr>
        <w:t>年平均湿度</w:t>
      </w:r>
      <w:r>
        <w:t xml:space="preserve">                   71.81%</w:t>
      </w:r>
    </w:p>
    <w:p w14:paraId="5135053A">
      <w:pPr>
        <w:ind w:firstLine="480"/>
      </w:pPr>
      <w:r>
        <w:rPr>
          <w:rFonts w:hint="eastAsia" w:ascii="宋体" w:hAnsi="宋体"/>
        </w:rPr>
        <w:t>最热月平均相对湿度</w:t>
      </w:r>
      <w:r>
        <w:t xml:space="preserve">           79.9%</w:t>
      </w:r>
    </w:p>
    <w:p w14:paraId="7A165E9B">
      <w:pPr>
        <w:ind w:firstLine="480"/>
      </w:pPr>
      <w:r>
        <w:rPr>
          <w:rFonts w:hint="eastAsia" w:ascii="宋体" w:hAnsi="宋体"/>
        </w:rPr>
        <w:t>最冷月平均相对湿度</w:t>
      </w:r>
      <w:r>
        <w:t xml:space="preserve">           68.0%</w:t>
      </w:r>
    </w:p>
    <w:p w14:paraId="473846A9">
      <w:pPr>
        <w:ind w:firstLine="480"/>
      </w:pPr>
      <w:r>
        <w:rPr>
          <w:rFonts w:hint="eastAsia" w:ascii="宋体" w:hAnsi="宋体"/>
        </w:rPr>
        <w:t>年平均气压</w:t>
      </w:r>
      <w:r>
        <w:t xml:space="preserve">                   101.43KPa</w:t>
      </w:r>
    </w:p>
    <w:p w14:paraId="54FBA007">
      <w:pPr>
        <w:ind w:firstLine="480"/>
      </w:pPr>
      <w:r>
        <w:rPr>
          <w:rFonts w:hint="eastAsia" w:ascii="宋体" w:hAnsi="宋体"/>
        </w:rPr>
        <w:t>历史最高气压</w:t>
      </w:r>
      <w:r>
        <w:t xml:space="preserve">                 104.52KPa</w:t>
      </w:r>
    </w:p>
    <w:p w14:paraId="54371631">
      <w:pPr>
        <w:ind w:firstLine="480"/>
      </w:pPr>
      <w:r>
        <w:rPr>
          <w:rFonts w:hint="eastAsia" w:ascii="宋体" w:hAnsi="宋体"/>
        </w:rPr>
        <w:t>历史最低气压</w:t>
      </w:r>
      <w:r>
        <w:t xml:space="preserve">                 98.83KPa</w:t>
      </w:r>
    </w:p>
    <w:p w14:paraId="605B33FC">
      <w:pPr>
        <w:ind w:firstLine="480"/>
      </w:pPr>
      <w:r>
        <w:rPr>
          <w:rFonts w:hint="eastAsia" w:ascii="宋体" w:hAnsi="宋体"/>
        </w:rPr>
        <w:t>年主导风向</w:t>
      </w:r>
      <w:r>
        <w:t xml:space="preserve">                   </w:t>
      </w:r>
      <w:r>
        <w:rPr>
          <w:rFonts w:ascii="宋体" w:hAnsi="宋体"/>
        </w:rPr>
        <w:t>东北风</w:t>
      </w:r>
    </w:p>
    <w:p w14:paraId="25E630C0">
      <w:pPr>
        <w:ind w:firstLine="480"/>
      </w:pPr>
      <w:r>
        <w:rPr>
          <w:rFonts w:hint="eastAsia" w:ascii="宋体" w:hAnsi="宋体"/>
        </w:rPr>
        <w:t>历年平均风速</w:t>
      </w:r>
      <w:r>
        <w:t xml:space="preserve">                 2.45m/s</w:t>
      </w:r>
    </w:p>
    <w:p w14:paraId="0AE9064D">
      <w:pPr>
        <w:ind w:firstLine="480"/>
      </w:pPr>
      <w:r>
        <w:rPr>
          <w:rFonts w:hint="eastAsia" w:ascii="宋体" w:hAnsi="宋体"/>
        </w:rPr>
        <w:t>历年最大风速</w:t>
      </w:r>
      <w:r>
        <w:t xml:space="preserve">                 19.5m/s</w:t>
      </w:r>
    </w:p>
    <w:p w14:paraId="28A37591">
      <w:pPr>
        <w:ind w:firstLine="480"/>
      </w:pPr>
      <w:r>
        <w:rPr>
          <w:rFonts w:hint="eastAsia" w:ascii="宋体" w:hAnsi="宋体"/>
        </w:rPr>
        <w:t>基本风压</w:t>
      </w:r>
      <w:r>
        <w:t xml:space="preserve">                     0.35KN/m</w:t>
      </w:r>
      <w:r>
        <w:rPr>
          <w:vertAlign w:val="superscript"/>
        </w:rPr>
        <w:t>2</w:t>
      </w:r>
    </w:p>
    <w:p w14:paraId="21E1FAFE">
      <w:pPr>
        <w:ind w:firstLine="480"/>
      </w:pPr>
      <w:r>
        <w:rPr>
          <w:rFonts w:hint="eastAsia" w:ascii="宋体" w:hAnsi="宋体"/>
        </w:rPr>
        <w:t>静风频率</w:t>
      </w:r>
      <w:r>
        <w:t xml:space="preserve">                     3.2%</w:t>
      </w:r>
    </w:p>
    <w:p w14:paraId="7566A867">
      <w:pPr>
        <w:ind w:firstLine="480"/>
      </w:pPr>
      <w:r>
        <w:rPr>
          <w:rFonts w:hint="eastAsia" w:ascii="宋体" w:hAnsi="宋体"/>
        </w:rPr>
        <w:t>年平均降雨量</w:t>
      </w:r>
      <w:r>
        <w:t xml:space="preserve">                 1195.7mm</w:t>
      </w:r>
    </w:p>
    <w:p w14:paraId="7E577837">
      <w:pPr>
        <w:ind w:firstLine="480"/>
      </w:pPr>
      <w:r>
        <w:rPr>
          <w:rFonts w:hint="eastAsia" w:ascii="宋体" w:hAnsi="宋体"/>
        </w:rPr>
        <w:t>年最大降雨量</w:t>
      </w:r>
      <w:r>
        <w:t xml:space="preserve">                 1559.5mm</w:t>
      </w:r>
    </w:p>
    <w:p w14:paraId="7CABDF78">
      <w:pPr>
        <w:ind w:firstLine="480"/>
      </w:pPr>
      <w:r>
        <w:rPr>
          <w:rFonts w:hint="eastAsia" w:ascii="宋体" w:hAnsi="宋体"/>
        </w:rPr>
        <w:t>日最大降雨量</w:t>
      </w:r>
      <w:r>
        <w:t xml:space="preserve">                 216.7mm</w:t>
      </w:r>
    </w:p>
    <w:p w14:paraId="68A90AC8">
      <w:pPr>
        <w:ind w:firstLine="480"/>
      </w:pPr>
      <w:r>
        <w:rPr>
          <w:rFonts w:hint="eastAsia" w:ascii="宋体" w:hAnsi="宋体"/>
        </w:rPr>
        <w:t>年最小降雨量</w:t>
      </w:r>
      <w:r>
        <w:t xml:space="preserve">                 442.1mm</w:t>
      </w:r>
    </w:p>
    <w:p w14:paraId="380F952A">
      <w:pPr>
        <w:ind w:firstLine="480"/>
      </w:pPr>
      <w:r>
        <w:rPr>
          <w:rFonts w:hint="eastAsia" w:ascii="宋体" w:hAnsi="宋体"/>
        </w:rPr>
        <w:t>年日照时间</w:t>
      </w:r>
      <w:r>
        <w:rPr>
          <w:rFonts w:hint="eastAsia"/>
        </w:rPr>
        <w:t xml:space="preserve">                   </w:t>
      </w:r>
      <w:r>
        <w:t>2200h</w:t>
      </w:r>
    </w:p>
    <w:p w14:paraId="48DA456C">
      <w:pPr>
        <w:ind w:firstLine="480"/>
      </w:pPr>
      <w:r>
        <w:rPr>
          <w:rFonts w:hint="eastAsia" w:ascii="宋体" w:hAnsi="宋体"/>
        </w:rPr>
        <w:t>最大积雪深度</w:t>
      </w:r>
      <w:r>
        <w:t xml:space="preserve">                 260mm</w:t>
      </w:r>
    </w:p>
    <w:p w14:paraId="78A61FEA">
      <w:pPr>
        <w:ind w:firstLine="480"/>
      </w:pPr>
      <w:r>
        <w:rPr>
          <w:rFonts w:hint="eastAsia" w:ascii="宋体" w:hAnsi="宋体"/>
        </w:rPr>
        <w:t>裹冰厚度（导线）</w:t>
      </w:r>
      <w:r>
        <w:t xml:space="preserve">             5mm</w:t>
      </w:r>
    </w:p>
    <w:p w14:paraId="1823527D">
      <w:pPr>
        <w:ind w:firstLine="480"/>
      </w:pPr>
      <w:r>
        <w:rPr>
          <w:rFonts w:hint="eastAsia" w:ascii="宋体" w:hAnsi="宋体"/>
        </w:rPr>
        <w:t>基本雪压</w:t>
      </w:r>
      <w:r>
        <w:t xml:space="preserve">                     0.45KN/m</w:t>
      </w:r>
      <w:r>
        <w:rPr>
          <w:vertAlign w:val="superscript"/>
        </w:rPr>
        <w:t>2</w:t>
      </w:r>
    </w:p>
    <w:p w14:paraId="1E205044">
      <w:pPr>
        <w:ind w:firstLine="480"/>
      </w:pPr>
      <w:r>
        <w:rPr>
          <w:rFonts w:hint="eastAsia" w:ascii="宋体" w:hAnsi="宋体"/>
        </w:rPr>
        <w:t>无霜期</w:t>
      </w:r>
      <w:r>
        <w:t xml:space="preserve">                       217</w:t>
      </w:r>
      <w:r>
        <w:rPr>
          <w:rFonts w:hint="eastAsia" w:ascii="宋体" w:hAnsi="宋体"/>
        </w:rPr>
        <w:t>天</w:t>
      </w:r>
    </w:p>
    <w:p w14:paraId="58B405C9">
      <w:pPr>
        <w:ind w:firstLine="480"/>
      </w:pPr>
      <w:r>
        <w:rPr>
          <w:rFonts w:hint="eastAsia" w:ascii="宋体" w:hAnsi="宋体"/>
        </w:rPr>
        <w:t>地震基本烈度（相当于修正后的麦卡里烈度）</w:t>
      </w:r>
      <w:r>
        <w:t>7</w:t>
      </w:r>
      <w:r>
        <w:rPr>
          <w:rFonts w:hint="eastAsia" w:ascii="宋体" w:hAnsi="宋体"/>
        </w:rPr>
        <w:t>度。</w:t>
      </w:r>
    </w:p>
    <w:p w14:paraId="0D4EDBFF">
      <w:pPr>
        <w:pStyle w:val="4068"/>
      </w:pPr>
      <w:bookmarkStart w:id="169" w:name="_Toc100784015"/>
      <w:bookmarkStart w:id="170" w:name="_Toc101135847"/>
      <w:bookmarkStart w:id="171" w:name="_Toc108662624"/>
      <w:r>
        <w:rPr>
          <w:rFonts w:hint="eastAsia"/>
        </w:rPr>
        <w:t>4</w:t>
      </w:r>
      <w:r>
        <w:t>.1.4</w:t>
      </w:r>
      <w:r>
        <w:rPr>
          <w:rFonts w:ascii="黑体" w:hAnsi="黑体"/>
        </w:rPr>
        <w:t>水文水系</w:t>
      </w:r>
      <w:bookmarkEnd w:id="169"/>
      <w:bookmarkEnd w:id="170"/>
      <w:bookmarkEnd w:id="171"/>
    </w:p>
    <w:p w14:paraId="255A6F4C">
      <w:pPr>
        <w:ind w:firstLine="480"/>
      </w:pPr>
      <w:r>
        <w:rPr>
          <w:rFonts w:hint="eastAsia" w:ascii="宋体" w:hAnsi="宋体"/>
        </w:rPr>
        <w:t>（</w:t>
      </w:r>
      <w:r>
        <w:rPr>
          <w:rFonts w:hint="eastAsia"/>
        </w:rPr>
        <w:t>1</w:t>
      </w:r>
      <w:r>
        <w:rPr>
          <w:rFonts w:hint="eastAsia" w:ascii="宋体" w:hAnsi="宋体"/>
        </w:rPr>
        <w:t>）地表水</w:t>
      </w:r>
    </w:p>
    <w:p w14:paraId="196C9027">
      <w:pPr>
        <w:ind w:firstLine="480"/>
      </w:pPr>
      <w:r>
        <w:rPr>
          <w:rFonts w:hint="eastAsia" w:ascii="宋体" w:hAnsi="宋体"/>
        </w:rPr>
        <w:t>蚌埠市位于淮河中下游、属于淮河流域，市区地表水以淮河干流为主，另有一级直流北淝河和数条河流等。一些小河流量小，干旱年份常断流。</w:t>
      </w:r>
    </w:p>
    <w:p w14:paraId="74E2DDF7">
      <w:pPr>
        <w:ind w:firstLine="480"/>
      </w:pPr>
      <w:r>
        <w:rPr>
          <w:rFonts w:hint="eastAsia" w:ascii="宋体" w:hAnsi="宋体"/>
        </w:rPr>
        <w:t>淮河：发源于河南省桐柏山区，干流全长</w:t>
      </w:r>
      <w:r>
        <w:t>1000km</w:t>
      </w:r>
      <w:r>
        <w:rPr>
          <w:rFonts w:hint="eastAsia" w:ascii="宋体" w:hAnsi="宋体"/>
        </w:rPr>
        <w:t>，流域面积</w:t>
      </w:r>
      <w:r>
        <w:t>18890</w:t>
      </w:r>
      <w:r>
        <w:rPr>
          <w:rFonts w:hint="eastAsia" w:ascii="宋体" w:hAnsi="宋体"/>
        </w:rPr>
        <w:t>平方公里，其中下流横贯安徽省北部，淮河蚌埠市区段上起蚌埠闸，下到临淮关，全长</w:t>
      </w:r>
      <w:r>
        <w:t>39.8km</w:t>
      </w:r>
      <w:r>
        <w:rPr>
          <w:rFonts w:hint="eastAsia" w:ascii="宋体" w:hAnsi="宋体"/>
        </w:rPr>
        <w:t>，正常水位下河宽约</w:t>
      </w:r>
      <w:r>
        <w:t>400m</w:t>
      </w:r>
      <w:r>
        <w:rPr>
          <w:rFonts w:hint="eastAsia" w:ascii="宋体" w:hAnsi="宋体"/>
        </w:rPr>
        <w:t>。淮河蚌埠段历年最高水位</w:t>
      </w:r>
      <w:r>
        <w:t>22.18m</w:t>
      </w:r>
      <w:r>
        <w:rPr>
          <w:rFonts w:hint="eastAsia" w:ascii="宋体" w:hAnsi="宋体"/>
        </w:rPr>
        <w:t>，最低水位</w:t>
      </w:r>
      <w:r>
        <w:t>10.3m</w:t>
      </w:r>
      <w:r>
        <w:rPr>
          <w:rFonts w:hint="eastAsia" w:ascii="宋体" w:hAnsi="宋体"/>
        </w:rPr>
        <w:t>，平均水位在</w:t>
      </w:r>
      <w:r>
        <w:t>12.15m</w:t>
      </w:r>
      <w:r>
        <w:rPr>
          <w:rFonts w:hint="eastAsia" w:ascii="宋体" w:hAnsi="宋体"/>
        </w:rPr>
        <w:t>，多年平均流量</w:t>
      </w:r>
      <w:r>
        <w:t>852m</w:t>
      </w:r>
      <w:r>
        <w:rPr>
          <w:vertAlign w:val="superscript"/>
        </w:rPr>
        <w:t>3</w:t>
      </w:r>
      <w:r>
        <w:t>/s</w:t>
      </w:r>
      <w:r>
        <w:rPr>
          <w:rFonts w:hint="eastAsia" w:ascii="宋体" w:hAnsi="宋体"/>
        </w:rPr>
        <w:t>，最大年均流量</w:t>
      </w:r>
      <w:r>
        <w:t>2940m</w:t>
      </w:r>
      <w:r>
        <w:rPr>
          <w:vertAlign w:val="superscript"/>
        </w:rPr>
        <w:t>3</w:t>
      </w:r>
      <w:r>
        <w:t>/s</w:t>
      </w:r>
      <w:r>
        <w:rPr>
          <w:rFonts w:hint="eastAsia" w:ascii="宋体" w:hAnsi="宋体"/>
        </w:rPr>
        <w:t>，最小年平均流量为</w:t>
      </w:r>
      <w:r>
        <w:t>85.4m</w:t>
      </w:r>
      <w:r>
        <w:rPr>
          <w:vertAlign w:val="superscript"/>
        </w:rPr>
        <w:t>3</w:t>
      </w:r>
      <w:r>
        <w:t>/s</w:t>
      </w:r>
      <w:r>
        <w:rPr>
          <w:rFonts w:hint="eastAsia" w:ascii="宋体" w:hAnsi="宋体"/>
        </w:rPr>
        <w:t>，最大流量为</w:t>
      </w:r>
      <w:r>
        <w:t>11600m</w:t>
      </w:r>
      <w:r>
        <w:rPr>
          <w:vertAlign w:val="superscript"/>
        </w:rPr>
        <w:t>3</w:t>
      </w:r>
      <w:r>
        <w:t>/s</w:t>
      </w:r>
      <w:r>
        <w:rPr>
          <w:rFonts w:hint="eastAsia" w:ascii="宋体" w:hAnsi="宋体"/>
        </w:rPr>
        <w:t>，最小流量以关闸时渗透量和船闸泄水量计为</w:t>
      </w:r>
      <w:r>
        <w:t>12.4m</w:t>
      </w:r>
      <w:r>
        <w:rPr>
          <w:vertAlign w:val="superscript"/>
        </w:rPr>
        <w:t>3</w:t>
      </w:r>
      <w:r>
        <w:t>/s</w:t>
      </w:r>
      <w:r>
        <w:rPr>
          <w:rFonts w:hint="eastAsia" w:ascii="宋体" w:hAnsi="宋体"/>
        </w:rPr>
        <w:t>，流速一般在</w:t>
      </w:r>
      <w:r>
        <w:t>0.07~0.7m</w:t>
      </w:r>
      <w:r>
        <w:rPr>
          <w:vertAlign w:val="superscript"/>
        </w:rPr>
        <w:t>3</w:t>
      </w:r>
      <w:r>
        <w:t>/s</w:t>
      </w:r>
      <w:r>
        <w:rPr>
          <w:rFonts w:hint="eastAsia" w:ascii="宋体" w:hAnsi="宋体"/>
        </w:rPr>
        <w:t>，平均流速在</w:t>
      </w:r>
      <w:r>
        <w:t>0.45m/s</w:t>
      </w:r>
      <w:r>
        <w:rPr>
          <w:rFonts w:hint="eastAsia" w:ascii="宋体" w:hAnsi="宋体"/>
        </w:rPr>
        <w:t>左右。</w:t>
      </w:r>
    </w:p>
    <w:p w14:paraId="3E6A369B">
      <w:pPr>
        <w:ind w:firstLine="480"/>
      </w:pPr>
      <w:r>
        <w:rPr>
          <w:rFonts w:hint="eastAsia" w:ascii="宋体" w:hAnsi="宋体"/>
        </w:rPr>
        <w:t>北淝河：源出河南商丘，流经蒙城，于瓦埠集进入县境，流域面积</w:t>
      </w:r>
      <w:r>
        <w:t>1047</w:t>
      </w:r>
      <w:r>
        <w:rPr>
          <w:rFonts w:hint="eastAsia" w:ascii="宋体" w:hAnsi="宋体"/>
        </w:rPr>
        <w:t>平方公里。河面宽而水浅。</w:t>
      </w:r>
    </w:p>
    <w:p w14:paraId="0BBDA51D">
      <w:pPr>
        <w:ind w:firstLine="480"/>
      </w:pPr>
      <w:r>
        <w:rPr>
          <w:rFonts w:hint="eastAsia" w:ascii="宋体" w:hAnsi="宋体"/>
        </w:rPr>
        <w:t>怀洪新河人工河道。</w:t>
      </w:r>
      <w:r>
        <w:rPr>
          <w:rFonts w:hint="eastAsia"/>
        </w:rPr>
        <w:t>19</w:t>
      </w:r>
      <w:r>
        <w:t>91</w:t>
      </w:r>
      <w:r>
        <w:rPr>
          <w:rFonts w:hint="eastAsia" w:ascii="宋体" w:hAnsi="宋体"/>
        </w:rPr>
        <w:t>年大水以后，开始实施的安徽省重点防洪工程。自涡河何巷在孙巷过北淝河，后入澥河，再经浍河，最后在江苏泗洪县注入洪泽湖。怀远县境内长约</w:t>
      </w:r>
      <w:r>
        <w:t>25</w:t>
      </w:r>
      <w:r>
        <w:rPr>
          <w:rFonts w:hint="eastAsia" w:ascii="宋体" w:hAnsi="宋体"/>
        </w:rPr>
        <w:t>公里。其主要作用是分担淮河蚌埠段洪水流量。</w:t>
      </w:r>
    </w:p>
    <w:p w14:paraId="057403FC">
      <w:pPr>
        <w:ind w:firstLine="480"/>
      </w:pPr>
      <w:r>
        <w:rPr>
          <w:rFonts w:hint="eastAsia" w:ascii="宋体" w:hAnsi="宋体"/>
        </w:rPr>
        <w:t>（</w:t>
      </w:r>
      <w:r>
        <w:t>2</w:t>
      </w:r>
      <w:r>
        <w:rPr>
          <w:rFonts w:hint="eastAsia" w:ascii="宋体" w:hAnsi="宋体"/>
        </w:rPr>
        <w:t>）地下水</w:t>
      </w:r>
    </w:p>
    <w:p w14:paraId="4EC981BC">
      <w:pPr>
        <w:ind w:firstLine="480"/>
      </w:pPr>
      <w:r>
        <w:rPr>
          <w:rFonts w:hint="eastAsia" w:ascii="宋体" w:hAnsi="宋体"/>
        </w:rPr>
        <w:t>蚌埠市境内地下水基本属于渗蒸发型，静储存量约</w:t>
      </w:r>
      <w:r>
        <w:t>3.2</w:t>
      </w:r>
      <w:r>
        <w:rPr>
          <w:rFonts w:hint="eastAsia" w:ascii="宋体" w:hAnsi="宋体"/>
        </w:rPr>
        <w:t>亿立方米。年地下水调节储量为</w:t>
      </w:r>
      <w:r>
        <w:t>1500~2500</w:t>
      </w:r>
      <w:r>
        <w:rPr>
          <w:rFonts w:hint="eastAsia" w:ascii="宋体" w:hAnsi="宋体"/>
        </w:rPr>
        <w:t>万吨之间。南岸为贫水区，北岸为富水区。日最高开采量为</w:t>
      </w:r>
      <w:r>
        <w:t>7</w:t>
      </w:r>
      <w:r>
        <w:rPr>
          <w:rFonts w:hint="eastAsia" w:ascii="宋体" w:hAnsi="宋体"/>
        </w:rPr>
        <w:t>万吨。北岸地下水储量不大。南岸地下水主要作为民用生活及工厂辅助补给水。</w:t>
      </w:r>
    </w:p>
    <w:p w14:paraId="2382E310">
      <w:pPr>
        <w:ind w:firstLine="480"/>
      </w:pPr>
      <w:r>
        <w:rPr>
          <w:rFonts w:hint="eastAsia" w:ascii="宋体" w:hAnsi="宋体"/>
        </w:rPr>
        <w:t>区域水系分布见附图</w:t>
      </w:r>
      <w:r>
        <w:rPr>
          <w:rFonts w:hint="eastAsia"/>
        </w:rPr>
        <w:t>4</w:t>
      </w:r>
      <w:r>
        <w:t>.1.4-1</w:t>
      </w:r>
      <w:r>
        <w:rPr>
          <w:rFonts w:hint="eastAsia" w:ascii="宋体" w:hAnsi="宋体"/>
        </w:rPr>
        <w:t>。</w:t>
      </w:r>
    </w:p>
    <w:p w14:paraId="6F4DA783">
      <w:pPr>
        <w:pStyle w:val="4068"/>
      </w:pPr>
      <w:bookmarkStart w:id="172" w:name="_Toc100784016"/>
      <w:bookmarkStart w:id="173" w:name="_Toc108662625"/>
      <w:bookmarkStart w:id="174" w:name="_Toc101135848"/>
      <w:r>
        <w:rPr>
          <w:rFonts w:hint="eastAsia"/>
        </w:rPr>
        <w:t>4</w:t>
      </w:r>
      <w:r>
        <w:t>.1.5</w:t>
      </w:r>
      <w:r>
        <w:rPr>
          <w:rFonts w:ascii="黑体" w:hAnsi="黑体"/>
        </w:rPr>
        <w:t>生态环境</w:t>
      </w:r>
      <w:bookmarkEnd w:id="172"/>
      <w:bookmarkEnd w:id="173"/>
      <w:bookmarkEnd w:id="174"/>
    </w:p>
    <w:p w14:paraId="11205078">
      <w:pPr>
        <w:ind w:firstLine="480"/>
        <w:rPr>
          <w:bCs/>
        </w:rPr>
      </w:pPr>
      <w:r>
        <w:rPr>
          <w:rFonts w:hint="eastAsia" w:ascii="宋体" w:hAnsi="宋体"/>
          <w:bCs/>
        </w:rPr>
        <w:t>蚌埠市土地总面积</w:t>
      </w:r>
      <w:r>
        <w:rPr>
          <w:bCs/>
        </w:rPr>
        <w:t>595072.23</w:t>
      </w:r>
      <w:r>
        <w:rPr>
          <w:rFonts w:hint="eastAsia" w:ascii="宋体" w:hAnsi="宋体"/>
          <w:bCs/>
        </w:rPr>
        <w:t>公顷，其中耕地</w:t>
      </w:r>
      <w:r>
        <w:rPr>
          <w:bCs/>
        </w:rPr>
        <w:t>378585.41</w:t>
      </w:r>
      <w:r>
        <w:rPr>
          <w:rFonts w:hint="eastAsia" w:ascii="宋体" w:hAnsi="宋体"/>
          <w:bCs/>
        </w:rPr>
        <w:t>公顷，占土地总面积的</w:t>
      </w:r>
      <w:r>
        <w:rPr>
          <w:bCs/>
        </w:rPr>
        <w:t>63.62%</w:t>
      </w:r>
      <w:r>
        <w:rPr>
          <w:rFonts w:hint="eastAsia" w:ascii="宋体" w:hAnsi="宋体"/>
          <w:bCs/>
        </w:rPr>
        <w:t>；林地</w:t>
      </w:r>
      <w:r>
        <w:rPr>
          <w:bCs/>
        </w:rPr>
        <w:t>18156.63</w:t>
      </w:r>
      <w:r>
        <w:rPr>
          <w:rFonts w:hint="eastAsia" w:ascii="宋体" w:hAnsi="宋体"/>
          <w:bCs/>
        </w:rPr>
        <w:t>公顷，占土地总面积的</w:t>
      </w:r>
      <w:r>
        <w:rPr>
          <w:bCs/>
        </w:rPr>
        <w:t>3.07%</w:t>
      </w:r>
      <w:r>
        <w:rPr>
          <w:rFonts w:hint="eastAsia" w:ascii="宋体" w:hAnsi="宋体"/>
          <w:bCs/>
        </w:rPr>
        <w:t>；园地用地</w:t>
      </w:r>
      <w:r>
        <w:rPr>
          <w:bCs/>
        </w:rPr>
        <w:t>1356.04</w:t>
      </w:r>
      <w:r>
        <w:rPr>
          <w:rFonts w:hint="eastAsia" w:ascii="宋体" w:hAnsi="宋体"/>
          <w:bCs/>
        </w:rPr>
        <w:t>公顷，占土地总面积的</w:t>
      </w:r>
      <w:r>
        <w:rPr>
          <w:bCs/>
        </w:rPr>
        <w:t>0.23%</w:t>
      </w:r>
      <w:r>
        <w:rPr>
          <w:rFonts w:hint="eastAsia" w:ascii="宋体" w:hAnsi="宋体"/>
          <w:bCs/>
        </w:rPr>
        <w:t>。牧地</w:t>
      </w:r>
      <w:r>
        <w:rPr>
          <w:bCs/>
        </w:rPr>
        <w:t>187.63</w:t>
      </w:r>
      <w:r>
        <w:rPr>
          <w:rFonts w:hint="eastAsia" w:ascii="宋体" w:hAnsi="宋体"/>
          <w:bCs/>
        </w:rPr>
        <w:t>公顷，占土地总面积的</w:t>
      </w:r>
      <w:r>
        <w:rPr>
          <w:bCs/>
        </w:rPr>
        <w:t>0.03%</w:t>
      </w:r>
      <w:r>
        <w:rPr>
          <w:rFonts w:hint="eastAsia" w:ascii="宋体" w:hAnsi="宋体"/>
          <w:bCs/>
        </w:rPr>
        <w:t>；城镇村及工矿用地面积为</w:t>
      </w:r>
      <w:r>
        <w:rPr>
          <w:bCs/>
        </w:rPr>
        <w:t>76170.14</w:t>
      </w:r>
      <w:r>
        <w:rPr>
          <w:rFonts w:hint="eastAsia" w:ascii="宋体" w:hAnsi="宋体"/>
          <w:bCs/>
        </w:rPr>
        <w:t>公顷，占土地总面积的</w:t>
      </w:r>
      <w:r>
        <w:rPr>
          <w:bCs/>
        </w:rPr>
        <w:t>12.80%</w:t>
      </w:r>
      <w:r>
        <w:rPr>
          <w:rFonts w:hint="eastAsia" w:ascii="宋体" w:hAnsi="宋体"/>
          <w:bCs/>
        </w:rPr>
        <w:t>；交通运输用地面积为</w:t>
      </w:r>
      <w:r>
        <w:rPr>
          <w:bCs/>
        </w:rPr>
        <w:t>18729.17</w:t>
      </w:r>
      <w:r>
        <w:rPr>
          <w:rFonts w:hint="eastAsia" w:ascii="宋体" w:hAnsi="宋体"/>
          <w:bCs/>
        </w:rPr>
        <w:t>公顷，占土地总面积的</w:t>
      </w:r>
      <w:r>
        <w:rPr>
          <w:bCs/>
        </w:rPr>
        <w:t>3.15%</w:t>
      </w:r>
      <w:r>
        <w:rPr>
          <w:rFonts w:hint="eastAsia" w:ascii="宋体" w:hAnsi="宋体"/>
          <w:bCs/>
        </w:rPr>
        <w:t>；水域及水利设施用地面积为</w:t>
      </w:r>
      <w:r>
        <w:rPr>
          <w:bCs/>
        </w:rPr>
        <w:t>3733.67</w:t>
      </w:r>
      <w:r>
        <w:rPr>
          <w:rFonts w:hint="eastAsia" w:ascii="宋体" w:hAnsi="宋体"/>
          <w:bCs/>
        </w:rPr>
        <w:t>公顷，占土地总面积的</w:t>
      </w:r>
      <w:r>
        <w:rPr>
          <w:bCs/>
        </w:rPr>
        <w:t>0.63%</w:t>
      </w:r>
      <w:r>
        <w:rPr>
          <w:rFonts w:hint="eastAsia" w:ascii="宋体" w:hAnsi="宋体"/>
          <w:bCs/>
        </w:rPr>
        <w:t>。</w:t>
      </w:r>
    </w:p>
    <w:p w14:paraId="1FBBB315">
      <w:pPr>
        <w:ind w:firstLine="480"/>
        <w:rPr>
          <w:bCs/>
        </w:rPr>
      </w:pPr>
      <w:r>
        <w:rPr>
          <w:rFonts w:hint="eastAsia" w:ascii="宋体" w:hAnsi="宋体"/>
          <w:bCs/>
        </w:rPr>
        <w:t>市区土地利用程度：土地垦殖率</w:t>
      </w:r>
      <w:r>
        <w:rPr>
          <w:bCs/>
        </w:rPr>
        <w:t>36.31%</w:t>
      </w:r>
      <w:r>
        <w:rPr>
          <w:rFonts w:hint="eastAsia" w:ascii="宋体" w:hAnsi="宋体"/>
          <w:bCs/>
        </w:rPr>
        <w:t>，土地利用率</w:t>
      </w:r>
      <w:r>
        <w:rPr>
          <w:bCs/>
        </w:rPr>
        <w:t>96.09%</w:t>
      </w:r>
      <w:r>
        <w:rPr>
          <w:rFonts w:hint="eastAsia" w:ascii="宋体" w:hAnsi="宋体"/>
          <w:bCs/>
        </w:rPr>
        <w:t>，耕地复种指数</w:t>
      </w:r>
      <w:r>
        <w:rPr>
          <w:bCs/>
        </w:rPr>
        <w:t>215%</w:t>
      </w:r>
      <w:r>
        <w:rPr>
          <w:rFonts w:hint="eastAsia" w:ascii="宋体" w:hAnsi="宋体"/>
          <w:bCs/>
        </w:rPr>
        <w:t>，森林覆盖率</w:t>
      </w:r>
      <w:r>
        <w:rPr>
          <w:bCs/>
        </w:rPr>
        <w:t>28.35%</w:t>
      </w:r>
      <w:r>
        <w:rPr>
          <w:rFonts w:hint="eastAsia" w:ascii="宋体" w:hAnsi="宋体"/>
          <w:bCs/>
        </w:rPr>
        <w:t>，农业用地率</w:t>
      </w:r>
      <w:r>
        <w:rPr>
          <w:bCs/>
        </w:rPr>
        <w:t>76.88%</w:t>
      </w:r>
      <w:r>
        <w:rPr>
          <w:rFonts w:hint="eastAsia" w:ascii="宋体" w:hAnsi="宋体"/>
          <w:bCs/>
        </w:rPr>
        <w:t>，建设用地率</w:t>
      </w:r>
      <w:r>
        <w:rPr>
          <w:bCs/>
        </w:rPr>
        <w:t>19.21%</w:t>
      </w:r>
      <w:r>
        <w:rPr>
          <w:rFonts w:hint="eastAsia" w:ascii="宋体" w:hAnsi="宋体"/>
          <w:bCs/>
        </w:rPr>
        <w:t>。</w:t>
      </w:r>
    </w:p>
    <w:p w14:paraId="7ED1FBE6">
      <w:pPr>
        <w:ind w:firstLine="480"/>
        <w:rPr>
          <w:bCs/>
        </w:rPr>
      </w:pPr>
      <w:r>
        <w:rPr>
          <w:rFonts w:hint="eastAsia" w:ascii="宋体" w:hAnsi="宋体"/>
          <w:bCs/>
        </w:rPr>
        <w:t>蚌埠市处于两个生物带交界处，由于地形和地貌不同，成土类型多样，成土母质主要为第四系近代堆积物，受黄泛影响土壤类型及分布较为复杂。根据土壤普查，市境内土壤大致分为澎、黄棕壤、砂浆黑土、水稻土等类型，总面积</w:t>
      </w:r>
      <w:r>
        <w:rPr>
          <w:bCs/>
        </w:rPr>
        <w:t>445</w:t>
      </w:r>
      <w:r>
        <w:rPr>
          <w:rFonts w:hint="eastAsia" w:ascii="宋体" w:hAnsi="宋体"/>
          <w:bCs/>
        </w:rPr>
        <w:t>平方公里。</w:t>
      </w:r>
    </w:p>
    <w:p w14:paraId="58B9AD80">
      <w:pPr>
        <w:ind w:firstLine="480"/>
        <w:rPr>
          <w:bCs/>
        </w:rPr>
      </w:pPr>
      <w:r>
        <w:rPr>
          <w:rFonts w:hint="eastAsia" w:ascii="宋体" w:hAnsi="宋体"/>
          <w:bCs/>
        </w:rPr>
        <w:t>蚌埠市地处温暖带落叶阔叶林带及热带落叶常绿阔叶混交林带的过渡带，植被以人工栽培树木和农作物为主。树木有杨、柳、梧桐、刺槐、黑松、苦松、苦栋等，农作物有小麦、大豆、水稻、杂粮和蔬菜等</w:t>
      </w:r>
      <w:r>
        <w:rPr>
          <w:rFonts w:hint="eastAsia"/>
          <w:bCs/>
        </w:rPr>
        <w:t>,</w:t>
      </w:r>
      <w:r>
        <w:rPr>
          <w:rFonts w:hint="eastAsia" w:ascii="宋体" w:hAnsi="宋体"/>
          <w:bCs/>
        </w:rPr>
        <w:t>动物有野兔、野鸡、獾、黄鼬等。</w:t>
      </w:r>
    </w:p>
    <w:p w14:paraId="6641E695">
      <w:pPr>
        <w:pStyle w:val="4065"/>
      </w:pPr>
      <w:bookmarkStart w:id="175" w:name="_Toc108662626"/>
      <w:r>
        <w:rPr>
          <w:rFonts w:hint="eastAsia"/>
        </w:rPr>
        <w:t>4</w:t>
      </w:r>
      <w:r>
        <w:t>.2环境质量现状</w:t>
      </w:r>
      <w:bookmarkEnd w:id="175"/>
    </w:p>
    <w:p w14:paraId="0937CF3A">
      <w:pPr>
        <w:pStyle w:val="4068"/>
      </w:pPr>
      <w:bookmarkStart w:id="176" w:name="_Toc101135850"/>
      <w:bookmarkStart w:id="177" w:name="_Toc108662627"/>
      <w:bookmarkStart w:id="178" w:name="_Toc100784018"/>
      <w:r>
        <w:rPr>
          <w:rFonts w:hint="eastAsia"/>
        </w:rPr>
        <w:t>4</w:t>
      </w:r>
      <w:r>
        <w:t>.2.1环境空气质量现状</w:t>
      </w:r>
      <w:bookmarkEnd w:id="176"/>
      <w:bookmarkEnd w:id="177"/>
      <w:bookmarkEnd w:id="178"/>
    </w:p>
    <w:p w14:paraId="3D15A988">
      <w:pPr>
        <w:pStyle w:val="349"/>
      </w:pPr>
      <w:r>
        <w:rPr>
          <w:rFonts w:hint="eastAsia"/>
        </w:rPr>
        <w:t>4</w:t>
      </w:r>
      <w:r>
        <w:t>.2.1.1项目区达标情况判定</w:t>
      </w:r>
    </w:p>
    <w:p w14:paraId="3FA066F3">
      <w:pPr>
        <w:widowControl/>
        <w:autoSpaceDE w:val="0"/>
        <w:autoSpaceDN w:val="0"/>
        <w:ind w:firstLine="480"/>
        <w:jc w:val="left"/>
        <w:rPr>
          <w:kern w:val="0"/>
          <w:lang w:val="zh-CN" w:bidi="zh-CN"/>
        </w:rPr>
      </w:pPr>
      <w:r>
        <w:rPr>
          <w:kern w:val="0"/>
          <w:lang w:val="zh-CN" w:bidi="zh-CN"/>
        </w:rPr>
        <w:t>根据《环境影响评价技术导则大气环境》（HJ2.2-2018）要求，</w:t>
      </w:r>
      <w:r>
        <w:rPr>
          <w:kern w:val="0"/>
          <w:lang w:bidi="zh-CN"/>
        </w:rPr>
        <w:t>拟建</w:t>
      </w:r>
      <w:r>
        <w:rPr>
          <w:kern w:val="0"/>
          <w:lang w:val="zh-CN" w:bidi="zh-CN"/>
        </w:rPr>
        <w:t>项目所在区域环境空气达标情况评价指标为SO</w:t>
      </w:r>
      <w:r>
        <w:rPr>
          <w:kern w:val="0"/>
          <w:vertAlign w:val="subscript"/>
          <w:lang w:val="zh-CN" w:bidi="zh-CN"/>
        </w:rPr>
        <w:t>2</w:t>
      </w:r>
      <w:r>
        <w:rPr>
          <w:kern w:val="0"/>
          <w:lang w:val="zh-CN" w:bidi="zh-CN"/>
        </w:rPr>
        <w:t>、NO</w:t>
      </w:r>
      <w:r>
        <w:rPr>
          <w:kern w:val="0"/>
          <w:vertAlign w:val="subscript"/>
          <w:lang w:val="zh-CN" w:bidi="zh-CN"/>
        </w:rPr>
        <w:t>2</w:t>
      </w:r>
      <w:r>
        <w:rPr>
          <w:kern w:val="0"/>
          <w:lang w:val="zh-CN" w:bidi="zh-CN"/>
        </w:rPr>
        <w:t>、PM</w:t>
      </w:r>
      <w:r>
        <w:rPr>
          <w:kern w:val="0"/>
          <w:vertAlign w:val="subscript"/>
          <w:lang w:val="zh-CN" w:bidi="zh-CN"/>
        </w:rPr>
        <w:t>10</w:t>
      </w:r>
      <w:r>
        <w:rPr>
          <w:kern w:val="0"/>
          <w:lang w:val="zh-CN" w:bidi="zh-CN"/>
        </w:rPr>
        <w:t>、PM</w:t>
      </w:r>
      <w:r>
        <w:rPr>
          <w:kern w:val="0"/>
          <w:vertAlign w:val="subscript"/>
          <w:lang w:val="zh-CN" w:bidi="zh-CN"/>
        </w:rPr>
        <w:t>2.5</w:t>
      </w:r>
      <w:r>
        <w:rPr>
          <w:kern w:val="0"/>
          <w:lang w:val="zh-CN" w:bidi="zh-CN"/>
        </w:rPr>
        <w:t>、CO和O</w:t>
      </w:r>
      <w:r>
        <w:rPr>
          <w:kern w:val="0"/>
          <w:vertAlign w:val="subscript"/>
          <w:lang w:val="zh-CN" w:bidi="zh-CN"/>
        </w:rPr>
        <w:t>3</w:t>
      </w:r>
      <w:r>
        <w:rPr>
          <w:kern w:val="0"/>
          <w:lang w:val="zh-CN" w:bidi="zh-CN"/>
        </w:rPr>
        <w:t>，六项基本污染物全部达标即为城市环境空气质量达标。基本污染物环境质量现状数据优先采用国家或地方生态环境主管部门发布的评价基准年环境质量公告或环境质量报告中的数据或结论。</w:t>
      </w:r>
    </w:p>
    <w:p w14:paraId="079A509F">
      <w:pPr>
        <w:ind w:firstLine="480"/>
      </w:pPr>
      <w:r>
        <w:t>根据</w:t>
      </w:r>
      <w:r>
        <w:rPr>
          <w:rFonts w:hint="eastAsia"/>
        </w:rPr>
        <w:t>蚌埠</w:t>
      </w:r>
      <w:r>
        <w:t>市生态环境局</w:t>
      </w:r>
      <w:r>
        <w:rPr>
          <w:rFonts w:hint="eastAsia"/>
        </w:rPr>
        <w:t>于2</w:t>
      </w:r>
      <w:r>
        <w:t>025</w:t>
      </w:r>
      <w:r>
        <w:rPr>
          <w:rFonts w:hint="eastAsia"/>
        </w:rPr>
        <w:t>年6月23日</w:t>
      </w:r>
      <w:r>
        <w:t>公布的《</w:t>
      </w:r>
      <w:r>
        <w:rPr>
          <w:rFonts w:hint="eastAsia"/>
        </w:rPr>
        <w:t>202</w:t>
      </w:r>
      <w:r>
        <w:t>4</w:t>
      </w:r>
      <w:r>
        <w:rPr>
          <w:rFonts w:hint="eastAsia"/>
        </w:rPr>
        <w:t>年度蚌埠市环境质量状况公报</w:t>
      </w:r>
      <w:r>
        <w:t>》，</w:t>
      </w:r>
      <w:r>
        <w:rPr>
          <w:kern w:val="0"/>
          <w:lang w:val="zh-CN" w:bidi="zh-CN"/>
        </w:rPr>
        <w:t>2024年，空气质量综合指数为3.91，同比改善幅度为5.3%</w:t>
      </w:r>
      <w:r>
        <w:rPr>
          <w:rFonts w:hint="eastAsia"/>
          <w:kern w:val="0"/>
          <w:lang w:val="zh-CN" w:bidi="zh-CN"/>
        </w:rPr>
        <w:t>；</w:t>
      </w:r>
      <w:r>
        <w:rPr>
          <w:kern w:val="0"/>
          <w:lang w:val="zh-CN" w:bidi="zh-CN"/>
        </w:rPr>
        <w:t>细颗粒物(PM2.5)年均浓度为39微克/立方米，同比持平</w:t>
      </w:r>
      <w:r>
        <w:rPr>
          <w:rFonts w:hint="eastAsia"/>
          <w:kern w:val="0"/>
          <w:lang w:val="zh-CN" w:bidi="zh-CN"/>
        </w:rPr>
        <w:t>；</w:t>
      </w:r>
      <w:r>
        <w:rPr>
          <w:kern w:val="0"/>
          <w:lang w:val="zh-CN" w:bidi="zh-CN"/>
        </w:rPr>
        <w:t>优良天数比例为77.3%，同比上升3.5%。</w:t>
      </w:r>
      <w:r>
        <w:rPr>
          <w:kern w:val="0"/>
          <w:lang w:bidi="zh-CN"/>
        </w:rPr>
        <w:t>具体统计结果见下表</w:t>
      </w:r>
      <w:r>
        <w:rPr>
          <w:rFonts w:hint="eastAsia"/>
        </w:rPr>
        <w:t>。</w:t>
      </w:r>
    </w:p>
    <w:p w14:paraId="46139D28">
      <w:pPr>
        <w:spacing w:line="500" w:lineRule="exact"/>
        <w:ind w:firstLine="0" w:firstLineChars="0"/>
        <w:jc w:val="center"/>
        <w:rPr>
          <w:rFonts w:eastAsia="黑体"/>
        </w:rPr>
      </w:pPr>
      <w:r>
        <w:rPr>
          <w:rFonts w:eastAsia="黑体"/>
        </w:rPr>
        <w:t xml:space="preserve">表4.2.1-1  </w:t>
      </w:r>
      <w:r>
        <w:rPr>
          <w:rFonts w:hint="eastAsia" w:eastAsia="黑体"/>
        </w:rPr>
        <w:t>项目所在区域空气质量现状评价结果一览表</w:t>
      </w:r>
    </w:p>
    <w:tbl>
      <w:tblPr>
        <w:tblStyle w:val="64"/>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50"/>
        <w:gridCol w:w="3214"/>
        <w:gridCol w:w="1555"/>
        <w:gridCol w:w="1702"/>
        <w:gridCol w:w="991"/>
        <w:gridCol w:w="930"/>
      </w:tblGrid>
      <w:tr w14:paraId="328DDC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top w:val="single" w:color="auto" w:sz="12" w:space="0"/>
              <w:left w:val="nil"/>
            </w:tcBorders>
            <w:vAlign w:val="center"/>
          </w:tcPr>
          <w:p w14:paraId="7980E69D">
            <w:pPr>
              <w:pStyle w:val="445"/>
              <w:rPr>
                <w:b/>
              </w:rPr>
            </w:pPr>
            <w:r>
              <w:rPr>
                <w:b/>
              </w:rPr>
              <w:t>污染物</w:t>
            </w:r>
          </w:p>
        </w:tc>
        <w:tc>
          <w:tcPr>
            <w:tcW w:w="1739" w:type="pct"/>
            <w:tcBorders>
              <w:top w:val="single" w:color="auto" w:sz="12" w:space="0"/>
            </w:tcBorders>
            <w:vAlign w:val="center"/>
          </w:tcPr>
          <w:p w14:paraId="611C0221">
            <w:pPr>
              <w:pStyle w:val="445"/>
              <w:rPr>
                <w:b/>
              </w:rPr>
            </w:pPr>
            <w:r>
              <w:rPr>
                <w:b/>
              </w:rPr>
              <w:t>评价指标</w:t>
            </w:r>
          </w:p>
        </w:tc>
        <w:tc>
          <w:tcPr>
            <w:tcW w:w="841" w:type="pct"/>
            <w:tcBorders>
              <w:top w:val="single" w:color="auto" w:sz="12" w:space="0"/>
            </w:tcBorders>
            <w:vAlign w:val="center"/>
          </w:tcPr>
          <w:p w14:paraId="0A8A97D0">
            <w:pPr>
              <w:pStyle w:val="445"/>
              <w:rPr>
                <w:b/>
              </w:rPr>
            </w:pPr>
            <w:r>
              <w:rPr>
                <w:b/>
              </w:rPr>
              <w:t>现状浓度（μg/m</w:t>
            </w:r>
            <w:r>
              <w:rPr>
                <w:b/>
                <w:vertAlign w:val="superscript"/>
              </w:rPr>
              <w:t>3</w:t>
            </w:r>
            <w:r>
              <w:rPr>
                <w:b/>
              </w:rPr>
              <w:t>）</w:t>
            </w:r>
          </w:p>
        </w:tc>
        <w:tc>
          <w:tcPr>
            <w:tcW w:w="921" w:type="pct"/>
            <w:tcBorders>
              <w:top w:val="single" w:color="auto" w:sz="12" w:space="0"/>
            </w:tcBorders>
            <w:vAlign w:val="center"/>
          </w:tcPr>
          <w:p w14:paraId="01EEC8A7">
            <w:pPr>
              <w:pStyle w:val="445"/>
              <w:rPr>
                <w:b/>
              </w:rPr>
            </w:pPr>
            <w:r>
              <w:rPr>
                <w:b/>
              </w:rPr>
              <w:t>标准值（μg/m</w:t>
            </w:r>
            <w:r>
              <w:rPr>
                <w:b/>
                <w:vertAlign w:val="superscript"/>
              </w:rPr>
              <w:t>3</w:t>
            </w:r>
            <w:r>
              <w:rPr>
                <w:b/>
              </w:rPr>
              <w:t>）</w:t>
            </w:r>
          </w:p>
        </w:tc>
        <w:tc>
          <w:tcPr>
            <w:tcW w:w="536" w:type="pct"/>
            <w:tcBorders>
              <w:top w:val="single" w:color="auto" w:sz="12" w:space="0"/>
            </w:tcBorders>
            <w:vAlign w:val="center"/>
          </w:tcPr>
          <w:p w14:paraId="40946A16">
            <w:pPr>
              <w:pStyle w:val="445"/>
              <w:rPr>
                <w:b/>
              </w:rPr>
            </w:pPr>
            <w:r>
              <w:rPr>
                <w:b/>
              </w:rPr>
              <w:t>占标率%</w:t>
            </w:r>
          </w:p>
        </w:tc>
        <w:tc>
          <w:tcPr>
            <w:tcW w:w="503" w:type="pct"/>
            <w:tcBorders>
              <w:top w:val="single" w:color="auto" w:sz="12" w:space="0"/>
              <w:right w:val="nil"/>
            </w:tcBorders>
            <w:vAlign w:val="center"/>
          </w:tcPr>
          <w:p w14:paraId="18B6A969">
            <w:pPr>
              <w:pStyle w:val="445"/>
              <w:rPr>
                <w:b/>
              </w:rPr>
            </w:pPr>
            <w:r>
              <w:rPr>
                <w:b/>
              </w:rPr>
              <w:t>达标情况</w:t>
            </w:r>
          </w:p>
        </w:tc>
      </w:tr>
      <w:tr w14:paraId="3E0122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left w:val="nil"/>
            </w:tcBorders>
            <w:vAlign w:val="center"/>
          </w:tcPr>
          <w:p w14:paraId="074ABC1E">
            <w:pPr>
              <w:pStyle w:val="445"/>
            </w:pPr>
            <w:r>
              <w:t>SO</w:t>
            </w:r>
            <w:r>
              <w:rPr>
                <w:vertAlign w:val="subscript"/>
              </w:rPr>
              <w:t>2</w:t>
            </w:r>
          </w:p>
        </w:tc>
        <w:tc>
          <w:tcPr>
            <w:tcW w:w="1739" w:type="pct"/>
            <w:vAlign w:val="center"/>
          </w:tcPr>
          <w:p w14:paraId="591F7B73">
            <w:pPr>
              <w:pStyle w:val="445"/>
            </w:pPr>
            <w:r>
              <w:t>年平均浓度</w:t>
            </w:r>
          </w:p>
        </w:tc>
        <w:tc>
          <w:tcPr>
            <w:tcW w:w="841" w:type="pct"/>
            <w:vAlign w:val="center"/>
          </w:tcPr>
          <w:p w14:paraId="27CFDF98">
            <w:pPr>
              <w:pStyle w:val="445"/>
            </w:pPr>
            <w:r>
              <w:t>7</w:t>
            </w:r>
          </w:p>
        </w:tc>
        <w:tc>
          <w:tcPr>
            <w:tcW w:w="921" w:type="pct"/>
            <w:vAlign w:val="center"/>
          </w:tcPr>
          <w:p w14:paraId="6CC18483">
            <w:pPr>
              <w:pStyle w:val="445"/>
            </w:pPr>
            <w:r>
              <w:t>60</w:t>
            </w:r>
          </w:p>
        </w:tc>
        <w:tc>
          <w:tcPr>
            <w:tcW w:w="536" w:type="pct"/>
            <w:vAlign w:val="center"/>
          </w:tcPr>
          <w:p w14:paraId="57057B91">
            <w:pPr>
              <w:pStyle w:val="445"/>
            </w:pPr>
            <w:r>
              <w:t>11.7</w:t>
            </w:r>
          </w:p>
        </w:tc>
        <w:tc>
          <w:tcPr>
            <w:tcW w:w="503" w:type="pct"/>
            <w:tcBorders>
              <w:right w:val="nil"/>
            </w:tcBorders>
            <w:vAlign w:val="center"/>
          </w:tcPr>
          <w:p w14:paraId="08624BC3">
            <w:pPr>
              <w:pStyle w:val="445"/>
            </w:pPr>
            <w:r>
              <w:t>达标</w:t>
            </w:r>
          </w:p>
        </w:tc>
      </w:tr>
      <w:tr w14:paraId="099D58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 w:hRule="atLeast"/>
          <w:jc w:val="center"/>
        </w:trPr>
        <w:tc>
          <w:tcPr>
            <w:tcW w:w="460" w:type="pct"/>
            <w:tcBorders>
              <w:left w:val="nil"/>
            </w:tcBorders>
            <w:vAlign w:val="center"/>
          </w:tcPr>
          <w:p w14:paraId="4C91837D">
            <w:pPr>
              <w:pStyle w:val="445"/>
            </w:pPr>
            <w:r>
              <w:t>NO</w:t>
            </w:r>
            <w:r>
              <w:rPr>
                <w:vertAlign w:val="subscript"/>
              </w:rPr>
              <w:t>2</w:t>
            </w:r>
          </w:p>
        </w:tc>
        <w:tc>
          <w:tcPr>
            <w:tcW w:w="1739" w:type="pct"/>
            <w:vAlign w:val="center"/>
          </w:tcPr>
          <w:p w14:paraId="056E237D">
            <w:pPr>
              <w:pStyle w:val="445"/>
            </w:pPr>
            <w:r>
              <w:t>年平均浓度</w:t>
            </w:r>
          </w:p>
        </w:tc>
        <w:tc>
          <w:tcPr>
            <w:tcW w:w="841" w:type="pct"/>
            <w:vAlign w:val="center"/>
          </w:tcPr>
          <w:p w14:paraId="6D54140D">
            <w:pPr>
              <w:pStyle w:val="445"/>
            </w:pPr>
            <w:r>
              <w:t>21</w:t>
            </w:r>
          </w:p>
        </w:tc>
        <w:tc>
          <w:tcPr>
            <w:tcW w:w="921" w:type="pct"/>
            <w:vAlign w:val="center"/>
          </w:tcPr>
          <w:p w14:paraId="4D9225EA">
            <w:pPr>
              <w:pStyle w:val="445"/>
            </w:pPr>
            <w:r>
              <w:t>40</w:t>
            </w:r>
          </w:p>
        </w:tc>
        <w:tc>
          <w:tcPr>
            <w:tcW w:w="536" w:type="pct"/>
            <w:vAlign w:val="center"/>
          </w:tcPr>
          <w:p w14:paraId="7AC57120">
            <w:pPr>
              <w:pStyle w:val="445"/>
            </w:pPr>
            <w:r>
              <w:t>52.5</w:t>
            </w:r>
          </w:p>
        </w:tc>
        <w:tc>
          <w:tcPr>
            <w:tcW w:w="503" w:type="pct"/>
            <w:tcBorders>
              <w:right w:val="nil"/>
            </w:tcBorders>
            <w:vAlign w:val="center"/>
          </w:tcPr>
          <w:p w14:paraId="0391C0C8">
            <w:pPr>
              <w:pStyle w:val="445"/>
            </w:pPr>
            <w:r>
              <w:t>达标</w:t>
            </w:r>
          </w:p>
        </w:tc>
      </w:tr>
      <w:tr w14:paraId="59AF0D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left w:val="nil"/>
            </w:tcBorders>
            <w:vAlign w:val="center"/>
          </w:tcPr>
          <w:p w14:paraId="7453482A">
            <w:pPr>
              <w:pStyle w:val="445"/>
            </w:pPr>
            <w:r>
              <w:t>PM</w:t>
            </w:r>
            <w:r>
              <w:rPr>
                <w:vertAlign w:val="subscript"/>
              </w:rPr>
              <w:t>10</w:t>
            </w:r>
          </w:p>
        </w:tc>
        <w:tc>
          <w:tcPr>
            <w:tcW w:w="1739" w:type="pct"/>
            <w:vAlign w:val="center"/>
          </w:tcPr>
          <w:p w14:paraId="3A045A6F">
            <w:pPr>
              <w:pStyle w:val="445"/>
            </w:pPr>
            <w:r>
              <w:t>年平均浓度</w:t>
            </w:r>
          </w:p>
        </w:tc>
        <w:tc>
          <w:tcPr>
            <w:tcW w:w="841" w:type="pct"/>
            <w:vAlign w:val="center"/>
          </w:tcPr>
          <w:p w14:paraId="540E32CF">
            <w:pPr>
              <w:pStyle w:val="445"/>
            </w:pPr>
            <w:r>
              <w:t>62</w:t>
            </w:r>
          </w:p>
        </w:tc>
        <w:tc>
          <w:tcPr>
            <w:tcW w:w="921" w:type="pct"/>
            <w:vAlign w:val="center"/>
          </w:tcPr>
          <w:p w14:paraId="3FC00AE9">
            <w:pPr>
              <w:pStyle w:val="445"/>
            </w:pPr>
            <w:r>
              <w:t>70</w:t>
            </w:r>
          </w:p>
        </w:tc>
        <w:tc>
          <w:tcPr>
            <w:tcW w:w="536" w:type="pct"/>
            <w:vAlign w:val="center"/>
          </w:tcPr>
          <w:p w14:paraId="456F7312">
            <w:pPr>
              <w:pStyle w:val="445"/>
            </w:pPr>
            <w:r>
              <w:t>88.6</w:t>
            </w:r>
          </w:p>
        </w:tc>
        <w:tc>
          <w:tcPr>
            <w:tcW w:w="503" w:type="pct"/>
            <w:tcBorders>
              <w:right w:val="nil"/>
            </w:tcBorders>
            <w:vAlign w:val="center"/>
          </w:tcPr>
          <w:p w14:paraId="5F9E5EFE">
            <w:pPr>
              <w:pStyle w:val="445"/>
            </w:pPr>
            <w:r>
              <w:t>达标</w:t>
            </w:r>
          </w:p>
        </w:tc>
      </w:tr>
      <w:tr w14:paraId="22EF2F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left w:val="nil"/>
            </w:tcBorders>
            <w:vAlign w:val="center"/>
          </w:tcPr>
          <w:p w14:paraId="2BB3BE17">
            <w:pPr>
              <w:pStyle w:val="445"/>
            </w:pPr>
            <w:r>
              <w:t>PM</w:t>
            </w:r>
            <w:r>
              <w:rPr>
                <w:vertAlign w:val="subscript"/>
              </w:rPr>
              <w:t>2.5</w:t>
            </w:r>
          </w:p>
        </w:tc>
        <w:tc>
          <w:tcPr>
            <w:tcW w:w="1739" w:type="pct"/>
            <w:vAlign w:val="center"/>
          </w:tcPr>
          <w:p w14:paraId="299033ED">
            <w:pPr>
              <w:pStyle w:val="445"/>
            </w:pPr>
            <w:r>
              <w:t>年平均浓度</w:t>
            </w:r>
          </w:p>
        </w:tc>
        <w:tc>
          <w:tcPr>
            <w:tcW w:w="841" w:type="pct"/>
            <w:vAlign w:val="center"/>
          </w:tcPr>
          <w:p w14:paraId="1C24CE16">
            <w:pPr>
              <w:pStyle w:val="445"/>
            </w:pPr>
            <w:r>
              <w:t>39</w:t>
            </w:r>
          </w:p>
        </w:tc>
        <w:tc>
          <w:tcPr>
            <w:tcW w:w="921" w:type="pct"/>
            <w:vAlign w:val="center"/>
          </w:tcPr>
          <w:p w14:paraId="4B02E44E">
            <w:pPr>
              <w:pStyle w:val="445"/>
            </w:pPr>
            <w:r>
              <w:t>35</w:t>
            </w:r>
          </w:p>
        </w:tc>
        <w:tc>
          <w:tcPr>
            <w:tcW w:w="536" w:type="pct"/>
            <w:vAlign w:val="center"/>
          </w:tcPr>
          <w:p w14:paraId="48FD54A9">
            <w:pPr>
              <w:pStyle w:val="445"/>
            </w:pPr>
            <w:r>
              <w:t>111.4</w:t>
            </w:r>
          </w:p>
        </w:tc>
        <w:tc>
          <w:tcPr>
            <w:tcW w:w="503" w:type="pct"/>
            <w:tcBorders>
              <w:right w:val="nil"/>
            </w:tcBorders>
            <w:vAlign w:val="center"/>
          </w:tcPr>
          <w:p w14:paraId="39A5A672">
            <w:pPr>
              <w:pStyle w:val="445"/>
            </w:pPr>
            <w:r>
              <w:t>不达标</w:t>
            </w:r>
          </w:p>
        </w:tc>
      </w:tr>
      <w:tr w14:paraId="2DB0E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left w:val="nil"/>
            </w:tcBorders>
            <w:vAlign w:val="center"/>
          </w:tcPr>
          <w:p w14:paraId="4CEE70BA">
            <w:pPr>
              <w:pStyle w:val="445"/>
            </w:pPr>
            <w:r>
              <w:t>CO</w:t>
            </w:r>
          </w:p>
        </w:tc>
        <w:tc>
          <w:tcPr>
            <w:tcW w:w="1739" w:type="pct"/>
            <w:vAlign w:val="center"/>
          </w:tcPr>
          <w:p w14:paraId="72677492">
            <w:pPr>
              <w:pStyle w:val="445"/>
            </w:pPr>
            <w:r>
              <w:t>第95百分位数日平均质量浓度</w:t>
            </w:r>
          </w:p>
        </w:tc>
        <w:tc>
          <w:tcPr>
            <w:tcW w:w="841" w:type="pct"/>
            <w:vAlign w:val="center"/>
          </w:tcPr>
          <w:p w14:paraId="05EFFF8D">
            <w:pPr>
              <w:pStyle w:val="445"/>
            </w:pPr>
            <w:r>
              <w:t>800</w:t>
            </w:r>
          </w:p>
        </w:tc>
        <w:tc>
          <w:tcPr>
            <w:tcW w:w="921" w:type="pct"/>
            <w:vAlign w:val="center"/>
          </w:tcPr>
          <w:p w14:paraId="632B7719">
            <w:pPr>
              <w:pStyle w:val="445"/>
            </w:pPr>
            <w:r>
              <w:t>4000</w:t>
            </w:r>
          </w:p>
        </w:tc>
        <w:tc>
          <w:tcPr>
            <w:tcW w:w="536" w:type="pct"/>
            <w:vAlign w:val="center"/>
          </w:tcPr>
          <w:p w14:paraId="1584E0BD">
            <w:pPr>
              <w:pStyle w:val="445"/>
            </w:pPr>
            <w:r>
              <w:t>20.0</w:t>
            </w:r>
          </w:p>
        </w:tc>
        <w:tc>
          <w:tcPr>
            <w:tcW w:w="503" w:type="pct"/>
            <w:tcBorders>
              <w:right w:val="nil"/>
            </w:tcBorders>
            <w:vAlign w:val="center"/>
          </w:tcPr>
          <w:p w14:paraId="25AE604B">
            <w:pPr>
              <w:pStyle w:val="445"/>
            </w:pPr>
            <w:r>
              <w:t>达标</w:t>
            </w:r>
          </w:p>
        </w:tc>
      </w:tr>
      <w:tr w14:paraId="270532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0" w:type="pct"/>
            <w:tcBorders>
              <w:left w:val="nil"/>
              <w:bottom w:val="single" w:color="auto" w:sz="12" w:space="0"/>
            </w:tcBorders>
            <w:vAlign w:val="center"/>
          </w:tcPr>
          <w:p w14:paraId="76D351E1">
            <w:pPr>
              <w:pStyle w:val="445"/>
            </w:pPr>
            <w:r>
              <w:t>O</w:t>
            </w:r>
            <w:r>
              <w:rPr>
                <w:vertAlign w:val="subscript"/>
              </w:rPr>
              <w:t>3</w:t>
            </w:r>
          </w:p>
        </w:tc>
        <w:tc>
          <w:tcPr>
            <w:tcW w:w="1739" w:type="pct"/>
            <w:tcBorders>
              <w:bottom w:val="single" w:color="auto" w:sz="12" w:space="0"/>
            </w:tcBorders>
            <w:vAlign w:val="center"/>
          </w:tcPr>
          <w:p w14:paraId="23F92278">
            <w:pPr>
              <w:pStyle w:val="445"/>
            </w:pPr>
            <w:r>
              <w:t>最大8h第90百分位数平均质量浓度</w:t>
            </w:r>
          </w:p>
        </w:tc>
        <w:tc>
          <w:tcPr>
            <w:tcW w:w="841" w:type="pct"/>
            <w:tcBorders>
              <w:bottom w:val="single" w:color="auto" w:sz="12" w:space="0"/>
            </w:tcBorders>
            <w:vAlign w:val="center"/>
          </w:tcPr>
          <w:p w14:paraId="27AC27A4">
            <w:pPr>
              <w:pStyle w:val="445"/>
            </w:pPr>
            <w:r>
              <w:t>163</w:t>
            </w:r>
          </w:p>
        </w:tc>
        <w:tc>
          <w:tcPr>
            <w:tcW w:w="921" w:type="pct"/>
            <w:tcBorders>
              <w:bottom w:val="single" w:color="auto" w:sz="12" w:space="0"/>
            </w:tcBorders>
            <w:vAlign w:val="center"/>
          </w:tcPr>
          <w:p w14:paraId="12799473">
            <w:pPr>
              <w:pStyle w:val="445"/>
            </w:pPr>
            <w:r>
              <w:t>160</w:t>
            </w:r>
          </w:p>
        </w:tc>
        <w:tc>
          <w:tcPr>
            <w:tcW w:w="536" w:type="pct"/>
            <w:tcBorders>
              <w:bottom w:val="single" w:color="auto" w:sz="12" w:space="0"/>
            </w:tcBorders>
            <w:vAlign w:val="center"/>
          </w:tcPr>
          <w:p w14:paraId="5D40B965">
            <w:pPr>
              <w:pStyle w:val="445"/>
            </w:pPr>
            <w:r>
              <w:t>101.9</w:t>
            </w:r>
          </w:p>
        </w:tc>
        <w:tc>
          <w:tcPr>
            <w:tcW w:w="503" w:type="pct"/>
            <w:tcBorders>
              <w:bottom w:val="single" w:color="auto" w:sz="12" w:space="0"/>
              <w:right w:val="nil"/>
            </w:tcBorders>
            <w:vAlign w:val="center"/>
          </w:tcPr>
          <w:p w14:paraId="17154BAF">
            <w:pPr>
              <w:pStyle w:val="445"/>
            </w:pPr>
            <w:r>
              <w:t>不达标</w:t>
            </w:r>
          </w:p>
        </w:tc>
      </w:tr>
    </w:tbl>
    <w:p w14:paraId="0D803480">
      <w:pPr>
        <w:ind w:firstLine="480"/>
        <w:rPr>
          <w:kern w:val="0"/>
          <w:lang w:bidi="ar"/>
        </w:rPr>
      </w:pPr>
      <w:bookmarkStart w:id="179" w:name="_Hlk179277537"/>
      <w:r>
        <w:rPr>
          <w:kern w:val="0"/>
          <w:lang w:bidi="ar"/>
        </w:rPr>
        <w:t>2024年环境空气质量状况显示，基本污染物SO</w:t>
      </w:r>
      <w:r>
        <w:rPr>
          <w:kern w:val="0"/>
          <w:sz w:val="15"/>
          <w:szCs w:val="15"/>
          <w:lang w:bidi="ar"/>
        </w:rPr>
        <w:t>2</w:t>
      </w:r>
      <w:r>
        <w:rPr>
          <w:kern w:val="0"/>
          <w:lang w:bidi="ar"/>
        </w:rPr>
        <w:t>、NO</w:t>
      </w:r>
      <w:r>
        <w:rPr>
          <w:kern w:val="0"/>
          <w:sz w:val="15"/>
          <w:szCs w:val="15"/>
          <w:lang w:bidi="ar"/>
        </w:rPr>
        <w:t>2</w:t>
      </w:r>
      <w:r>
        <w:rPr>
          <w:kern w:val="0"/>
          <w:lang w:bidi="ar"/>
        </w:rPr>
        <w:t>、PM</w:t>
      </w:r>
      <w:r>
        <w:rPr>
          <w:kern w:val="0"/>
          <w:sz w:val="15"/>
          <w:szCs w:val="15"/>
          <w:lang w:bidi="ar"/>
        </w:rPr>
        <w:t>10</w:t>
      </w:r>
      <w:r>
        <w:rPr>
          <w:kern w:val="0"/>
          <w:lang w:bidi="ar"/>
        </w:rPr>
        <w:t>、CO年平均质量浓度均未出现超标，</w:t>
      </w:r>
      <w:bookmarkEnd w:id="179"/>
      <w:r>
        <w:rPr>
          <w:kern w:val="0"/>
          <w:lang w:val="zh-CN" w:bidi="zh-CN"/>
        </w:rPr>
        <w:t>细颗粒物（PM</w:t>
      </w:r>
      <w:r>
        <w:rPr>
          <w:kern w:val="0"/>
          <w:vertAlign w:val="subscript"/>
          <w:lang w:val="zh-CN" w:bidi="zh-CN"/>
        </w:rPr>
        <w:t>2.5</w:t>
      </w:r>
      <w:r>
        <w:rPr>
          <w:kern w:val="0"/>
          <w:lang w:val="zh-CN" w:bidi="zh-CN"/>
        </w:rPr>
        <w:t>）年均浓度为39微克/立方米，占标率111.4%</w:t>
      </w:r>
      <w:r>
        <w:rPr>
          <w:rFonts w:hint="eastAsia"/>
          <w:kern w:val="0"/>
          <w:lang w:val="zh-CN" w:bidi="zh-CN"/>
        </w:rPr>
        <w:t>；</w:t>
      </w:r>
      <w:r>
        <w:rPr>
          <w:kern w:val="0"/>
          <w:lang w:bidi="ar"/>
        </w:rPr>
        <w:t>O</w:t>
      </w:r>
      <w:r>
        <w:rPr>
          <w:kern w:val="0"/>
          <w:sz w:val="15"/>
          <w:szCs w:val="15"/>
          <w:lang w:bidi="ar"/>
        </w:rPr>
        <w:t>3</w:t>
      </w:r>
      <w:r>
        <w:t>最大8h第90百分位数平均质量浓度</w:t>
      </w:r>
      <w:r>
        <w:rPr>
          <w:rFonts w:hint="eastAsia"/>
        </w:rPr>
        <w:t>为1</w:t>
      </w:r>
      <w:r>
        <w:t>63</w:t>
      </w:r>
      <w:r>
        <w:rPr>
          <w:kern w:val="0"/>
          <w:lang w:val="zh-CN" w:bidi="zh-CN"/>
        </w:rPr>
        <w:t>微克/立方米，占标率101.9%，细颗粒物（PM</w:t>
      </w:r>
      <w:r>
        <w:rPr>
          <w:kern w:val="0"/>
          <w:vertAlign w:val="subscript"/>
          <w:lang w:val="zh-CN" w:bidi="zh-CN"/>
        </w:rPr>
        <w:t>2.5</w:t>
      </w:r>
      <w:r>
        <w:rPr>
          <w:kern w:val="0"/>
          <w:lang w:val="zh-CN" w:bidi="zh-CN"/>
        </w:rPr>
        <w:t>）</w:t>
      </w:r>
      <w:r>
        <w:rPr>
          <w:rFonts w:hint="eastAsia"/>
          <w:kern w:val="0"/>
          <w:lang w:val="zh-CN" w:bidi="zh-CN"/>
        </w:rPr>
        <w:t>及</w:t>
      </w:r>
      <w:r>
        <w:rPr>
          <w:kern w:val="0"/>
          <w:lang w:bidi="ar"/>
        </w:rPr>
        <w:t>O</w:t>
      </w:r>
      <w:r>
        <w:rPr>
          <w:kern w:val="0"/>
          <w:sz w:val="15"/>
          <w:szCs w:val="15"/>
          <w:lang w:bidi="ar"/>
        </w:rPr>
        <w:t>3</w:t>
      </w:r>
      <w:r>
        <w:rPr>
          <w:kern w:val="0"/>
          <w:lang w:val="zh-CN" w:bidi="zh-CN"/>
        </w:rPr>
        <w:t>超标，项目所在地为大气环境空气质量不达标区。</w:t>
      </w:r>
      <w:r>
        <w:rPr>
          <w:kern w:val="0"/>
          <w:lang w:bidi="ar"/>
        </w:rPr>
        <w:t>改善区域大气环境质量的措施：通过落实《蚌埠市环境空气质量达标规划（2019-2030 年）》中十大重点领域与主要任务，到2030年，全市空气质量实现达标，PM</w:t>
      </w:r>
      <w:r>
        <w:rPr>
          <w:kern w:val="0"/>
          <w:vertAlign w:val="subscript"/>
          <w:lang w:bidi="ar"/>
        </w:rPr>
        <w:t>2.5</w:t>
      </w:r>
      <w:r>
        <w:rPr>
          <w:kern w:val="0"/>
          <w:lang w:bidi="ar"/>
        </w:rPr>
        <w:t>年均浓度下降至35微克/立方米以下；SO</w:t>
      </w:r>
      <w:r>
        <w:rPr>
          <w:kern w:val="0"/>
          <w:sz w:val="15"/>
          <w:szCs w:val="15"/>
          <w:lang w:bidi="ar"/>
        </w:rPr>
        <w:t>2</w:t>
      </w:r>
      <w:r>
        <w:rPr>
          <w:kern w:val="0"/>
          <w:lang w:bidi="ar"/>
        </w:rPr>
        <w:t>、NO</w:t>
      </w:r>
      <w:r>
        <w:rPr>
          <w:kern w:val="0"/>
          <w:sz w:val="15"/>
          <w:szCs w:val="15"/>
          <w:lang w:bidi="ar"/>
        </w:rPr>
        <w:t>2</w:t>
      </w:r>
      <w:r>
        <w:rPr>
          <w:kern w:val="0"/>
          <w:lang w:bidi="ar"/>
        </w:rPr>
        <w:t>、CO、PM</w:t>
      </w:r>
      <w:r>
        <w:rPr>
          <w:kern w:val="0"/>
          <w:sz w:val="15"/>
          <w:szCs w:val="15"/>
          <w:lang w:bidi="ar"/>
        </w:rPr>
        <w:t>10</w:t>
      </w:r>
      <w:r>
        <w:rPr>
          <w:kern w:val="0"/>
          <w:lang w:bidi="ar"/>
        </w:rPr>
        <w:t>年评价浓度全面稳定达到国家二级标准限值以下；臭氧污染态势得到遏制；全市空气质量优良率达到85%及以上。</w:t>
      </w:r>
    </w:p>
    <w:p w14:paraId="0A6ACA07">
      <w:pPr>
        <w:ind w:firstLine="480"/>
        <w:rPr>
          <w:kern w:val="0"/>
          <w:lang w:bidi="ar"/>
        </w:rPr>
      </w:pPr>
      <w:r>
        <w:rPr>
          <w:color w:val="000000"/>
          <w:kern w:val="0"/>
          <w:lang w:val="zh-CN" w:bidi="zh-CN"/>
        </w:rPr>
        <w:t>根据蚌埠市生态环境局2024年6月3日发布的《2023年蚌埠市生态环境质量状况公报》，</w:t>
      </w:r>
      <w:r>
        <w:rPr>
          <w:rFonts w:hint="eastAsia"/>
          <w:kern w:val="0"/>
          <w:lang w:bidi="ar"/>
        </w:rPr>
        <w:t>评价基准年2</w:t>
      </w:r>
      <w:r>
        <w:rPr>
          <w:kern w:val="0"/>
          <w:lang w:bidi="ar"/>
        </w:rPr>
        <w:t>023</w:t>
      </w:r>
      <w:r>
        <w:rPr>
          <w:rFonts w:hint="eastAsia"/>
          <w:kern w:val="0"/>
          <w:lang w:bidi="ar"/>
        </w:rPr>
        <w:t>年环境质量状况如下。</w:t>
      </w:r>
    </w:p>
    <w:p w14:paraId="3DD51282">
      <w:pPr>
        <w:spacing w:line="500" w:lineRule="exact"/>
        <w:ind w:firstLine="0" w:firstLineChars="0"/>
        <w:jc w:val="center"/>
        <w:rPr>
          <w:rFonts w:eastAsia="黑体"/>
        </w:rPr>
      </w:pPr>
      <w:r>
        <w:rPr>
          <w:rFonts w:eastAsia="黑体"/>
        </w:rPr>
        <w:t>表4.2.1-2  环境空气达标区判断结果一览表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2796"/>
        <w:gridCol w:w="2138"/>
        <w:gridCol w:w="1913"/>
        <w:gridCol w:w="1194"/>
      </w:tblGrid>
      <w:tr w14:paraId="04190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8" w:type="pct"/>
            <w:vAlign w:val="center"/>
          </w:tcPr>
          <w:p w14:paraId="3233E643">
            <w:pPr>
              <w:pStyle w:val="445"/>
              <w:ind w:left="482"/>
              <w:rPr>
                <w:rFonts w:cs="Times New Roman"/>
                <w:b/>
                <w:kern w:val="0"/>
                <w:szCs w:val="20"/>
              </w:rPr>
            </w:pPr>
            <w:r>
              <w:rPr>
                <w:rFonts w:cs="Times New Roman"/>
                <w:b/>
                <w:kern w:val="0"/>
                <w:szCs w:val="20"/>
              </w:rPr>
              <w:t>污染物</w:t>
            </w:r>
          </w:p>
        </w:tc>
        <w:tc>
          <w:tcPr>
            <w:tcW w:w="1521" w:type="pct"/>
            <w:vAlign w:val="center"/>
          </w:tcPr>
          <w:p w14:paraId="0C155470">
            <w:pPr>
              <w:pStyle w:val="445"/>
              <w:ind w:left="482"/>
              <w:rPr>
                <w:rFonts w:cs="Times New Roman"/>
                <w:b/>
                <w:kern w:val="0"/>
                <w:szCs w:val="20"/>
              </w:rPr>
            </w:pPr>
            <w:r>
              <w:rPr>
                <w:rFonts w:cs="Times New Roman"/>
                <w:b/>
                <w:kern w:val="0"/>
                <w:szCs w:val="20"/>
              </w:rPr>
              <w:t>评价指标</w:t>
            </w:r>
          </w:p>
        </w:tc>
        <w:tc>
          <w:tcPr>
            <w:tcW w:w="1165" w:type="pct"/>
            <w:vAlign w:val="center"/>
          </w:tcPr>
          <w:p w14:paraId="2954F3BA">
            <w:pPr>
              <w:pStyle w:val="445"/>
              <w:ind w:left="482"/>
              <w:rPr>
                <w:rFonts w:cs="Times New Roman"/>
                <w:b/>
                <w:kern w:val="0"/>
                <w:szCs w:val="20"/>
              </w:rPr>
            </w:pPr>
            <w:r>
              <w:rPr>
                <w:rFonts w:cs="Times New Roman"/>
                <w:b/>
                <w:kern w:val="0"/>
                <w:szCs w:val="20"/>
              </w:rPr>
              <w:t>现状浓度（μg/m</w:t>
            </w:r>
            <w:r>
              <w:rPr>
                <w:rFonts w:cs="Times New Roman"/>
                <w:b/>
                <w:kern w:val="0"/>
                <w:szCs w:val="20"/>
                <w:vertAlign w:val="superscript"/>
              </w:rPr>
              <w:t>3</w:t>
            </w:r>
            <w:r>
              <w:rPr>
                <w:rFonts w:cs="Times New Roman"/>
                <w:b/>
                <w:kern w:val="0"/>
                <w:szCs w:val="20"/>
              </w:rPr>
              <w:t>）</w:t>
            </w:r>
          </w:p>
        </w:tc>
        <w:tc>
          <w:tcPr>
            <w:tcW w:w="1043" w:type="pct"/>
            <w:vAlign w:val="center"/>
          </w:tcPr>
          <w:p w14:paraId="3B16F266">
            <w:pPr>
              <w:pStyle w:val="445"/>
              <w:ind w:left="482"/>
              <w:rPr>
                <w:rFonts w:cs="Times New Roman"/>
                <w:b/>
                <w:kern w:val="0"/>
                <w:szCs w:val="20"/>
              </w:rPr>
            </w:pPr>
            <w:r>
              <w:rPr>
                <w:rFonts w:cs="Times New Roman"/>
                <w:b/>
                <w:kern w:val="0"/>
                <w:szCs w:val="20"/>
              </w:rPr>
              <w:t>标准值（μg/m</w:t>
            </w:r>
            <w:r>
              <w:rPr>
                <w:rFonts w:cs="Times New Roman"/>
                <w:b/>
                <w:kern w:val="0"/>
                <w:szCs w:val="20"/>
                <w:vertAlign w:val="superscript"/>
              </w:rPr>
              <w:t>3</w:t>
            </w:r>
            <w:r>
              <w:rPr>
                <w:rFonts w:cs="Times New Roman"/>
                <w:b/>
                <w:kern w:val="0"/>
                <w:szCs w:val="20"/>
              </w:rPr>
              <w:t>）</w:t>
            </w:r>
          </w:p>
        </w:tc>
        <w:tc>
          <w:tcPr>
            <w:tcW w:w="614" w:type="pct"/>
            <w:vAlign w:val="center"/>
          </w:tcPr>
          <w:p w14:paraId="7A5E05FF">
            <w:pPr>
              <w:pStyle w:val="445"/>
              <w:ind w:left="482"/>
              <w:rPr>
                <w:rFonts w:cs="Times New Roman"/>
                <w:b/>
                <w:kern w:val="0"/>
                <w:szCs w:val="20"/>
              </w:rPr>
            </w:pPr>
            <w:r>
              <w:rPr>
                <w:rFonts w:cs="Times New Roman"/>
                <w:b/>
                <w:kern w:val="0"/>
                <w:szCs w:val="20"/>
              </w:rPr>
              <w:t>占标率%</w:t>
            </w:r>
          </w:p>
        </w:tc>
      </w:tr>
      <w:tr w14:paraId="204C4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8" w:type="pct"/>
            <w:vAlign w:val="center"/>
          </w:tcPr>
          <w:p w14:paraId="4FBEAFE2">
            <w:pPr>
              <w:pStyle w:val="445"/>
              <w:ind w:left="482"/>
              <w:rPr>
                <w:rFonts w:cs="Times New Roman"/>
                <w:kern w:val="0"/>
                <w:szCs w:val="20"/>
              </w:rPr>
            </w:pPr>
            <w:r>
              <w:rPr>
                <w:rFonts w:cs="Times New Roman"/>
                <w:kern w:val="0"/>
                <w:szCs w:val="20"/>
              </w:rPr>
              <w:t>SO</w:t>
            </w:r>
            <w:r>
              <w:rPr>
                <w:rFonts w:cs="Times New Roman"/>
                <w:kern w:val="0"/>
                <w:szCs w:val="20"/>
                <w:vertAlign w:val="subscript"/>
              </w:rPr>
              <w:t>2</w:t>
            </w:r>
          </w:p>
        </w:tc>
        <w:tc>
          <w:tcPr>
            <w:tcW w:w="1521" w:type="pct"/>
            <w:vAlign w:val="center"/>
          </w:tcPr>
          <w:p w14:paraId="616E5128">
            <w:pPr>
              <w:pStyle w:val="445"/>
              <w:ind w:left="482"/>
              <w:rPr>
                <w:rFonts w:cs="Times New Roman"/>
                <w:kern w:val="0"/>
                <w:szCs w:val="20"/>
              </w:rPr>
            </w:pPr>
            <w:r>
              <w:rPr>
                <w:rFonts w:cs="Times New Roman"/>
                <w:kern w:val="0"/>
                <w:szCs w:val="20"/>
              </w:rPr>
              <w:t>年平均浓度</w:t>
            </w:r>
          </w:p>
        </w:tc>
        <w:tc>
          <w:tcPr>
            <w:tcW w:w="1165" w:type="pct"/>
            <w:vAlign w:val="center"/>
          </w:tcPr>
          <w:p w14:paraId="602C667D">
            <w:pPr>
              <w:pStyle w:val="445"/>
              <w:ind w:left="482"/>
              <w:rPr>
                <w:rFonts w:cs="Times New Roman"/>
                <w:kern w:val="0"/>
                <w:szCs w:val="20"/>
              </w:rPr>
            </w:pPr>
            <w:r>
              <w:rPr>
                <w:rFonts w:cs="Times New Roman"/>
                <w:kern w:val="0"/>
                <w:szCs w:val="20"/>
              </w:rPr>
              <w:t>8</w:t>
            </w:r>
          </w:p>
        </w:tc>
        <w:tc>
          <w:tcPr>
            <w:tcW w:w="1043" w:type="pct"/>
            <w:vAlign w:val="center"/>
          </w:tcPr>
          <w:p w14:paraId="2264A606">
            <w:pPr>
              <w:pStyle w:val="445"/>
              <w:ind w:left="482"/>
              <w:rPr>
                <w:rFonts w:cs="Times New Roman"/>
                <w:kern w:val="0"/>
                <w:szCs w:val="20"/>
              </w:rPr>
            </w:pPr>
            <w:r>
              <w:rPr>
                <w:rFonts w:cs="Times New Roman"/>
                <w:kern w:val="0"/>
                <w:szCs w:val="20"/>
              </w:rPr>
              <w:t>60</w:t>
            </w:r>
          </w:p>
        </w:tc>
        <w:tc>
          <w:tcPr>
            <w:tcW w:w="614" w:type="pct"/>
            <w:vAlign w:val="center"/>
          </w:tcPr>
          <w:p w14:paraId="0A41FB24">
            <w:pPr>
              <w:pStyle w:val="445"/>
              <w:ind w:left="482"/>
              <w:rPr>
                <w:rFonts w:cs="Times New Roman"/>
                <w:kern w:val="0"/>
                <w:szCs w:val="20"/>
              </w:rPr>
            </w:pPr>
            <w:r>
              <w:rPr>
                <w:rFonts w:cs="Times New Roman"/>
                <w:kern w:val="0"/>
                <w:szCs w:val="20"/>
              </w:rPr>
              <w:t>13.33</w:t>
            </w:r>
          </w:p>
        </w:tc>
      </w:tr>
      <w:tr w14:paraId="7FC0A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658" w:type="pct"/>
            <w:vAlign w:val="center"/>
          </w:tcPr>
          <w:p w14:paraId="2976035B">
            <w:pPr>
              <w:pStyle w:val="445"/>
              <w:ind w:left="482"/>
              <w:rPr>
                <w:rFonts w:cs="Times New Roman"/>
                <w:kern w:val="0"/>
                <w:szCs w:val="20"/>
              </w:rPr>
            </w:pPr>
            <w:r>
              <w:rPr>
                <w:rFonts w:cs="Times New Roman"/>
                <w:kern w:val="0"/>
                <w:szCs w:val="20"/>
              </w:rPr>
              <w:t>NO</w:t>
            </w:r>
            <w:r>
              <w:rPr>
                <w:rFonts w:cs="Times New Roman"/>
                <w:kern w:val="0"/>
                <w:szCs w:val="20"/>
                <w:vertAlign w:val="subscript"/>
              </w:rPr>
              <w:t>2</w:t>
            </w:r>
          </w:p>
        </w:tc>
        <w:tc>
          <w:tcPr>
            <w:tcW w:w="1521" w:type="pct"/>
            <w:vAlign w:val="center"/>
          </w:tcPr>
          <w:p w14:paraId="2F6B769A">
            <w:pPr>
              <w:pStyle w:val="445"/>
              <w:ind w:left="482"/>
              <w:rPr>
                <w:rFonts w:cs="Times New Roman"/>
                <w:kern w:val="0"/>
                <w:szCs w:val="20"/>
              </w:rPr>
            </w:pPr>
            <w:r>
              <w:rPr>
                <w:rFonts w:cs="Times New Roman"/>
                <w:kern w:val="0"/>
                <w:szCs w:val="20"/>
              </w:rPr>
              <w:t>年平均浓度</w:t>
            </w:r>
          </w:p>
        </w:tc>
        <w:tc>
          <w:tcPr>
            <w:tcW w:w="1165" w:type="pct"/>
            <w:vAlign w:val="center"/>
          </w:tcPr>
          <w:p w14:paraId="48B1C2CB">
            <w:pPr>
              <w:pStyle w:val="445"/>
              <w:ind w:left="482"/>
              <w:rPr>
                <w:rFonts w:cs="Times New Roman"/>
                <w:kern w:val="0"/>
                <w:szCs w:val="20"/>
              </w:rPr>
            </w:pPr>
            <w:r>
              <w:rPr>
                <w:rFonts w:cs="Times New Roman"/>
                <w:kern w:val="0"/>
                <w:szCs w:val="20"/>
              </w:rPr>
              <w:t>31</w:t>
            </w:r>
          </w:p>
        </w:tc>
        <w:tc>
          <w:tcPr>
            <w:tcW w:w="1043" w:type="pct"/>
            <w:vAlign w:val="center"/>
          </w:tcPr>
          <w:p w14:paraId="668ABF35">
            <w:pPr>
              <w:pStyle w:val="445"/>
              <w:ind w:left="482"/>
              <w:rPr>
                <w:rFonts w:cs="Times New Roman"/>
                <w:kern w:val="0"/>
                <w:szCs w:val="20"/>
              </w:rPr>
            </w:pPr>
            <w:r>
              <w:rPr>
                <w:rFonts w:cs="Times New Roman"/>
                <w:kern w:val="0"/>
                <w:szCs w:val="20"/>
              </w:rPr>
              <w:t>40</w:t>
            </w:r>
          </w:p>
        </w:tc>
        <w:tc>
          <w:tcPr>
            <w:tcW w:w="614" w:type="pct"/>
            <w:vAlign w:val="center"/>
          </w:tcPr>
          <w:p w14:paraId="73D64FCF">
            <w:pPr>
              <w:pStyle w:val="445"/>
              <w:ind w:left="482"/>
              <w:rPr>
                <w:rFonts w:cs="Times New Roman"/>
                <w:kern w:val="0"/>
                <w:szCs w:val="20"/>
              </w:rPr>
            </w:pPr>
            <w:r>
              <w:rPr>
                <w:rFonts w:cs="Times New Roman"/>
                <w:kern w:val="0"/>
                <w:szCs w:val="20"/>
              </w:rPr>
              <w:t>77.50</w:t>
            </w:r>
          </w:p>
        </w:tc>
      </w:tr>
      <w:tr w14:paraId="4EEA2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8" w:type="pct"/>
            <w:vAlign w:val="center"/>
          </w:tcPr>
          <w:p w14:paraId="1CB49885">
            <w:pPr>
              <w:pStyle w:val="445"/>
              <w:ind w:left="482"/>
              <w:rPr>
                <w:rFonts w:cs="Times New Roman"/>
                <w:kern w:val="0"/>
                <w:szCs w:val="20"/>
              </w:rPr>
            </w:pPr>
            <w:r>
              <w:rPr>
                <w:rFonts w:cs="Times New Roman"/>
                <w:kern w:val="0"/>
                <w:szCs w:val="20"/>
              </w:rPr>
              <w:t>PM</w:t>
            </w:r>
            <w:r>
              <w:rPr>
                <w:rFonts w:cs="Times New Roman"/>
                <w:kern w:val="0"/>
                <w:szCs w:val="20"/>
                <w:vertAlign w:val="subscript"/>
              </w:rPr>
              <w:t>10</w:t>
            </w:r>
          </w:p>
        </w:tc>
        <w:tc>
          <w:tcPr>
            <w:tcW w:w="1521" w:type="pct"/>
            <w:vAlign w:val="center"/>
          </w:tcPr>
          <w:p w14:paraId="574BDD63">
            <w:pPr>
              <w:pStyle w:val="445"/>
              <w:ind w:left="482"/>
              <w:rPr>
                <w:rFonts w:cs="Times New Roman"/>
                <w:kern w:val="0"/>
                <w:szCs w:val="20"/>
              </w:rPr>
            </w:pPr>
            <w:r>
              <w:rPr>
                <w:rFonts w:cs="Times New Roman"/>
                <w:kern w:val="0"/>
                <w:szCs w:val="20"/>
              </w:rPr>
              <w:t>年平均浓度</w:t>
            </w:r>
          </w:p>
        </w:tc>
        <w:tc>
          <w:tcPr>
            <w:tcW w:w="1165" w:type="pct"/>
            <w:vAlign w:val="center"/>
          </w:tcPr>
          <w:p w14:paraId="14790C37">
            <w:pPr>
              <w:pStyle w:val="445"/>
              <w:ind w:left="482"/>
              <w:rPr>
                <w:rFonts w:cs="Times New Roman"/>
                <w:kern w:val="0"/>
                <w:szCs w:val="20"/>
              </w:rPr>
            </w:pPr>
            <w:r>
              <w:rPr>
                <w:rFonts w:cs="Times New Roman"/>
                <w:kern w:val="0"/>
                <w:szCs w:val="20"/>
              </w:rPr>
              <w:t>66</w:t>
            </w:r>
          </w:p>
        </w:tc>
        <w:tc>
          <w:tcPr>
            <w:tcW w:w="1043" w:type="pct"/>
            <w:vAlign w:val="center"/>
          </w:tcPr>
          <w:p w14:paraId="02D64704">
            <w:pPr>
              <w:pStyle w:val="445"/>
              <w:ind w:left="482"/>
              <w:rPr>
                <w:rFonts w:cs="Times New Roman"/>
                <w:kern w:val="0"/>
                <w:szCs w:val="20"/>
              </w:rPr>
            </w:pPr>
            <w:r>
              <w:rPr>
                <w:rFonts w:cs="Times New Roman"/>
                <w:kern w:val="0"/>
                <w:szCs w:val="20"/>
              </w:rPr>
              <w:t>70</w:t>
            </w:r>
          </w:p>
        </w:tc>
        <w:tc>
          <w:tcPr>
            <w:tcW w:w="614" w:type="pct"/>
            <w:vAlign w:val="center"/>
          </w:tcPr>
          <w:p w14:paraId="716F1E4C">
            <w:pPr>
              <w:pStyle w:val="445"/>
              <w:ind w:left="482"/>
              <w:rPr>
                <w:rFonts w:cs="Times New Roman"/>
                <w:kern w:val="0"/>
                <w:szCs w:val="20"/>
              </w:rPr>
            </w:pPr>
            <w:r>
              <w:rPr>
                <w:rFonts w:cs="Times New Roman"/>
                <w:kern w:val="0"/>
                <w:szCs w:val="20"/>
              </w:rPr>
              <w:t>94.29</w:t>
            </w:r>
          </w:p>
        </w:tc>
      </w:tr>
      <w:tr w14:paraId="44463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8" w:type="pct"/>
            <w:vAlign w:val="center"/>
          </w:tcPr>
          <w:p w14:paraId="08AC4C74">
            <w:pPr>
              <w:pStyle w:val="445"/>
              <w:ind w:left="482"/>
              <w:rPr>
                <w:rFonts w:cs="Times New Roman"/>
                <w:kern w:val="0"/>
                <w:szCs w:val="20"/>
              </w:rPr>
            </w:pPr>
            <w:r>
              <w:rPr>
                <w:rFonts w:cs="Times New Roman"/>
                <w:kern w:val="0"/>
                <w:szCs w:val="20"/>
              </w:rPr>
              <w:t>PM</w:t>
            </w:r>
            <w:r>
              <w:rPr>
                <w:rFonts w:cs="Times New Roman"/>
                <w:kern w:val="0"/>
                <w:szCs w:val="20"/>
                <w:vertAlign w:val="subscript"/>
              </w:rPr>
              <w:t>2.5</w:t>
            </w:r>
          </w:p>
        </w:tc>
        <w:tc>
          <w:tcPr>
            <w:tcW w:w="1521" w:type="pct"/>
            <w:vAlign w:val="center"/>
          </w:tcPr>
          <w:p w14:paraId="54FDBCC8">
            <w:pPr>
              <w:pStyle w:val="445"/>
              <w:ind w:left="482"/>
              <w:rPr>
                <w:rFonts w:cs="Times New Roman"/>
                <w:kern w:val="0"/>
                <w:szCs w:val="20"/>
              </w:rPr>
            </w:pPr>
            <w:r>
              <w:rPr>
                <w:rFonts w:cs="Times New Roman"/>
                <w:kern w:val="0"/>
                <w:szCs w:val="20"/>
              </w:rPr>
              <w:t>年平均浓度</w:t>
            </w:r>
          </w:p>
        </w:tc>
        <w:tc>
          <w:tcPr>
            <w:tcW w:w="1165" w:type="pct"/>
            <w:vAlign w:val="center"/>
          </w:tcPr>
          <w:p w14:paraId="254018CD">
            <w:pPr>
              <w:pStyle w:val="445"/>
              <w:ind w:left="482"/>
              <w:rPr>
                <w:rFonts w:cs="Times New Roman"/>
                <w:kern w:val="0"/>
                <w:szCs w:val="20"/>
              </w:rPr>
            </w:pPr>
            <w:r>
              <w:rPr>
                <w:rFonts w:cs="Times New Roman"/>
                <w:kern w:val="0"/>
                <w:szCs w:val="20"/>
              </w:rPr>
              <w:t>38</w:t>
            </w:r>
          </w:p>
        </w:tc>
        <w:tc>
          <w:tcPr>
            <w:tcW w:w="1043" w:type="pct"/>
            <w:vAlign w:val="center"/>
          </w:tcPr>
          <w:p w14:paraId="270449A4">
            <w:pPr>
              <w:pStyle w:val="445"/>
              <w:ind w:left="482"/>
              <w:rPr>
                <w:rFonts w:cs="Times New Roman"/>
                <w:kern w:val="0"/>
                <w:szCs w:val="20"/>
              </w:rPr>
            </w:pPr>
            <w:r>
              <w:rPr>
                <w:rFonts w:cs="Times New Roman"/>
                <w:kern w:val="0"/>
                <w:szCs w:val="20"/>
              </w:rPr>
              <w:t>35</w:t>
            </w:r>
          </w:p>
        </w:tc>
        <w:tc>
          <w:tcPr>
            <w:tcW w:w="614" w:type="pct"/>
            <w:vAlign w:val="center"/>
          </w:tcPr>
          <w:p w14:paraId="6A89D1E5">
            <w:pPr>
              <w:pStyle w:val="445"/>
              <w:ind w:left="482"/>
              <w:rPr>
                <w:rFonts w:cs="Times New Roman"/>
                <w:kern w:val="0"/>
                <w:szCs w:val="20"/>
              </w:rPr>
            </w:pPr>
            <w:r>
              <w:rPr>
                <w:rFonts w:cs="Times New Roman"/>
                <w:kern w:val="0"/>
                <w:szCs w:val="20"/>
              </w:rPr>
              <w:t>108.6</w:t>
            </w:r>
          </w:p>
        </w:tc>
      </w:tr>
      <w:tr w14:paraId="2F435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8" w:type="pct"/>
            <w:vAlign w:val="center"/>
          </w:tcPr>
          <w:p w14:paraId="55925D56">
            <w:pPr>
              <w:pStyle w:val="445"/>
              <w:ind w:left="482"/>
              <w:rPr>
                <w:rFonts w:cs="Times New Roman"/>
                <w:kern w:val="0"/>
                <w:szCs w:val="20"/>
              </w:rPr>
            </w:pPr>
            <w:r>
              <w:rPr>
                <w:rFonts w:cs="Times New Roman"/>
                <w:kern w:val="0"/>
                <w:szCs w:val="20"/>
              </w:rPr>
              <w:t>CO</w:t>
            </w:r>
          </w:p>
        </w:tc>
        <w:tc>
          <w:tcPr>
            <w:tcW w:w="1521" w:type="pct"/>
            <w:vAlign w:val="center"/>
          </w:tcPr>
          <w:p w14:paraId="6B1397B0">
            <w:pPr>
              <w:pStyle w:val="445"/>
              <w:ind w:left="482"/>
              <w:rPr>
                <w:rFonts w:cs="Times New Roman"/>
                <w:kern w:val="0"/>
                <w:szCs w:val="20"/>
              </w:rPr>
            </w:pPr>
            <w:r>
              <w:rPr>
                <w:rFonts w:cs="Times New Roman"/>
                <w:kern w:val="0"/>
                <w:szCs w:val="20"/>
              </w:rPr>
              <w:t>第95百分位数日平均质量浓度</w:t>
            </w:r>
          </w:p>
        </w:tc>
        <w:tc>
          <w:tcPr>
            <w:tcW w:w="1165" w:type="pct"/>
            <w:vAlign w:val="center"/>
          </w:tcPr>
          <w:p w14:paraId="69AF26E8">
            <w:pPr>
              <w:pStyle w:val="445"/>
              <w:ind w:left="482"/>
              <w:rPr>
                <w:rFonts w:cs="Times New Roman"/>
                <w:kern w:val="0"/>
                <w:szCs w:val="20"/>
              </w:rPr>
            </w:pPr>
            <w:r>
              <w:rPr>
                <w:rFonts w:cs="Times New Roman"/>
                <w:kern w:val="0"/>
                <w:szCs w:val="20"/>
              </w:rPr>
              <w:t>900</w:t>
            </w:r>
          </w:p>
        </w:tc>
        <w:tc>
          <w:tcPr>
            <w:tcW w:w="1043" w:type="pct"/>
            <w:vAlign w:val="center"/>
          </w:tcPr>
          <w:p w14:paraId="7F7488BD">
            <w:pPr>
              <w:pStyle w:val="445"/>
              <w:ind w:left="482"/>
              <w:rPr>
                <w:rFonts w:cs="Times New Roman"/>
                <w:kern w:val="0"/>
                <w:szCs w:val="20"/>
              </w:rPr>
            </w:pPr>
            <w:r>
              <w:rPr>
                <w:rFonts w:cs="Times New Roman"/>
                <w:kern w:val="0"/>
                <w:szCs w:val="20"/>
              </w:rPr>
              <w:t>4000</w:t>
            </w:r>
          </w:p>
        </w:tc>
        <w:tc>
          <w:tcPr>
            <w:tcW w:w="614" w:type="pct"/>
            <w:vAlign w:val="center"/>
          </w:tcPr>
          <w:p w14:paraId="34AEC188">
            <w:pPr>
              <w:pStyle w:val="445"/>
              <w:ind w:left="482"/>
              <w:rPr>
                <w:rFonts w:cs="Times New Roman"/>
                <w:kern w:val="0"/>
                <w:szCs w:val="20"/>
              </w:rPr>
            </w:pPr>
            <w:r>
              <w:rPr>
                <w:rFonts w:cs="Times New Roman"/>
                <w:kern w:val="0"/>
                <w:szCs w:val="20"/>
              </w:rPr>
              <w:t>22.5</w:t>
            </w:r>
          </w:p>
        </w:tc>
      </w:tr>
      <w:tr w14:paraId="03E2D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8" w:type="pct"/>
            <w:vAlign w:val="center"/>
          </w:tcPr>
          <w:p w14:paraId="45583DAA">
            <w:pPr>
              <w:pStyle w:val="445"/>
              <w:ind w:left="482"/>
              <w:rPr>
                <w:rFonts w:cs="Times New Roman"/>
                <w:kern w:val="0"/>
                <w:szCs w:val="20"/>
              </w:rPr>
            </w:pPr>
            <w:r>
              <w:rPr>
                <w:rFonts w:cs="Times New Roman"/>
                <w:kern w:val="0"/>
                <w:szCs w:val="20"/>
              </w:rPr>
              <w:t>O</w:t>
            </w:r>
            <w:r>
              <w:rPr>
                <w:rFonts w:cs="Times New Roman"/>
                <w:kern w:val="0"/>
                <w:szCs w:val="20"/>
                <w:vertAlign w:val="subscript"/>
              </w:rPr>
              <w:t>3</w:t>
            </w:r>
          </w:p>
        </w:tc>
        <w:tc>
          <w:tcPr>
            <w:tcW w:w="1521" w:type="pct"/>
            <w:vAlign w:val="center"/>
          </w:tcPr>
          <w:p w14:paraId="65426BF6">
            <w:pPr>
              <w:pStyle w:val="445"/>
              <w:ind w:left="482"/>
              <w:rPr>
                <w:rFonts w:cs="Times New Roman"/>
                <w:kern w:val="0"/>
                <w:szCs w:val="20"/>
              </w:rPr>
            </w:pPr>
            <w:r>
              <w:rPr>
                <w:rFonts w:cs="Times New Roman"/>
                <w:kern w:val="0"/>
                <w:szCs w:val="20"/>
              </w:rPr>
              <w:t>最大8h第90百分位数平均质量浓度</w:t>
            </w:r>
          </w:p>
        </w:tc>
        <w:tc>
          <w:tcPr>
            <w:tcW w:w="1165" w:type="pct"/>
            <w:vAlign w:val="center"/>
          </w:tcPr>
          <w:p w14:paraId="4034A7F7">
            <w:pPr>
              <w:pStyle w:val="445"/>
              <w:ind w:left="482"/>
              <w:rPr>
                <w:rFonts w:cs="Times New Roman"/>
                <w:kern w:val="0"/>
                <w:szCs w:val="20"/>
              </w:rPr>
            </w:pPr>
            <w:r>
              <w:rPr>
                <w:rFonts w:cs="Times New Roman"/>
                <w:kern w:val="0"/>
                <w:szCs w:val="20"/>
              </w:rPr>
              <w:t>159</w:t>
            </w:r>
          </w:p>
        </w:tc>
        <w:tc>
          <w:tcPr>
            <w:tcW w:w="1043" w:type="pct"/>
            <w:vAlign w:val="center"/>
          </w:tcPr>
          <w:p w14:paraId="3F1C8247">
            <w:pPr>
              <w:pStyle w:val="445"/>
              <w:ind w:left="482"/>
              <w:rPr>
                <w:rFonts w:cs="Times New Roman"/>
                <w:kern w:val="0"/>
                <w:szCs w:val="20"/>
              </w:rPr>
            </w:pPr>
            <w:r>
              <w:rPr>
                <w:rFonts w:cs="Times New Roman"/>
                <w:kern w:val="0"/>
                <w:szCs w:val="20"/>
              </w:rPr>
              <w:t>160</w:t>
            </w:r>
          </w:p>
        </w:tc>
        <w:tc>
          <w:tcPr>
            <w:tcW w:w="614" w:type="pct"/>
            <w:vAlign w:val="center"/>
          </w:tcPr>
          <w:p w14:paraId="43BEA593">
            <w:pPr>
              <w:pStyle w:val="445"/>
              <w:ind w:left="482"/>
              <w:rPr>
                <w:rFonts w:cs="Times New Roman"/>
                <w:kern w:val="0"/>
                <w:szCs w:val="20"/>
              </w:rPr>
            </w:pPr>
            <w:r>
              <w:rPr>
                <w:rFonts w:cs="Times New Roman"/>
                <w:kern w:val="0"/>
                <w:szCs w:val="20"/>
              </w:rPr>
              <w:t>99.375</w:t>
            </w:r>
          </w:p>
        </w:tc>
      </w:tr>
    </w:tbl>
    <w:p w14:paraId="653BB8DF">
      <w:pPr>
        <w:pStyle w:val="349"/>
      </w:pPr>
      <w:r>
        <w:rPr>
          <w:rFonts w:hint="eastAsia"/>
        </w:rPr>
        <w:t>4.2.1.2其他污染物环境质量现状监测与评价</w:t>
      </w:r>
    </w:p>
    <w:p w14:paraId="51C5E09C">
      <w:pPr>
        <w:ind w:firstLine="480"/>
        <w:rPr>
          <w:rFonts w:cs="Times New Roman"/>
        </w:rPr>
      </w:pPr>
    </w:p>
    <w:p w14:paraId="2F469CD6">
      <w:pPr>
        <w:pStyle w:val="4068"/>
      </w:pPr>
      <w:bookmarkStart w:id="180" w:name="_Toc100784019"/>
      <w:bookmarkStart w:id="181" w:name="_Toc101135851"/>
      <w:bookmarkStart w:id="182" w:name="_Toc108662628"/>
      <w:r>
        <w:rPr>
          <w:rFonts w:hint="eastAsia"/>
        </w:rPr>
        <w:t>4</w:t>
      </w:r>
      <w:r>
        <w:t>.2.2地表水环境质量现状</w:t>
      </w:r>
      <w:bookmarkEnd w:id="180"/>
      <w:bookmarkEnd w:id="181"/>
      <w:bookmarkEnd w:id="182"/>
    </w:p>
    <w:p w14:paraId="47A30778">
      <w:pPr>
        <w:ind w:firstLine="0" w:firstLineChars="0"/>
      </w:pPr>
    </w:p>
    <w:p w14:paraId="271C873A">
      <w:pPr>
        <w:ind w:firstLine="0" w:firstLineChars="0"/>
        <w:sectPr>
          <w:pgSz w:w="11906" w:h="16838"/>
          <w:pgMar w:top="1440" w:right="1440" w:bottom="1440" w:left="1440" w:header="851" w:footer="992" w:gutter="0"/>
          <w:cols w:space="425" w:num="1"/>
          <w:docGrid w:type="lines" w:linePitch="326" w:charSpace="0"/>
        </w:sectPr>
      </w:pPr>
    </w:p>
    <w:p w14:paraId="0AB80B0C">
      <w:pPr>
        <w:pStyle w:val="278"/>
        <w:ind w:firstLine="480"/>
      </w:pPr>
      <w:r>
        <w:rPr>
          <w:rFonts w:hint="eastAsia" w:ascii="黑体" w:hAnsi="黑体"/>
        </w:rPr>
        <w:t>表</w:t>
      </w:r>
      <w:r>
        <w:t xml:space="preserve">4.2.2-2  </w:t>
      </w:r>
      <w:r>
        <w:rPr>
          <w:rFonts w:eastAsia="Times New Roman" w:cs="Times New Roman"/>
          <w:spacing w:val="-4"/>
          <w:sz w:val="21"/>
          <w:szCs w:val="21"/>
        </w:rPr>
        <w:t xml:space="preserve">  </w:t>
      </w:r>
      <w:r>
        <w:rPr>
          <w:rFonts w:ascii="黑体" w:hAnsi="黑体" w:cs="黑体"/>
          <w:spacing w:val="-4"/>
          <w:sz w:val="21"/>
          <w:szCs w:val="21"/>
        </w:rPr>
        <w:t xml:space="preserve">地表水监测统计与评价结果    单位： </w:t>
      </w:r>
      <w:r>
        <w:rPr>
          <w:rFonts w:eastAsia="Times New Roman" w:cs="Times New Roman"/>
          <w:spacing w:val="-4"/>
          <w:sz w:val="21"/>
          <w:szCs w:val="21"/>
        </w:rPr>
        <w:t xml:space="preserve">mg/L </w:t>
      </w:r>
      <w:r>
        <w:rPr>
          <w:rFonts w:ascii="黑体" w:hAnsi="黑体" w:cs="黑体"/>
          <w:spacing w:val="-4"/>
          <w:sz w:val="21"/>
          <w:szCs w:val="21"/>
        </w:rPr>
        <w:t>，</w:t>
      </w:r>
      <w:r>
        <w:rPr>
          <w:rFonts w:eastAsia="Times New Roman" w:cs="Times New Roman"/>
          <w:spacing w:val="-4"/>
          <w:sz w:val="21"/>
          <w:szCs w:val="21"/>
        </w:rPr>
        <w:t xml:space="preserve">pH </w:t>
      </w:r>
      <w:r>
        <w:rPr>
          <w:rFonts w:ascii="黑体" w:hAnsi="黑体" w:cs="黑体"/>
          <w:spacing w:val="-4"/>
          <w:sz w:val="21"/>
          <w:szCs w:val="21"/>
        </w:rPr>
        <w:t>除外</w:t>
      </w:r>
    </w:p>
    <w:p w14:paraId="164D0621">
      <w:pPr>
        <w:ind w:firstLine="480"/>
        <w:sectPr>
          <w:pgSz w:w="16838" w:h="11906" w:orient="landscape"/>
          <w:pgMar w:top="1440" w:right="1440" w:bottom="1440" w:left="1440" w:header="851" w:footer="992" w:gutter="0"/>
          <w:cols w:space="425" w:num="1"/>
          <w:docGrid w:type="lines" w:linePitch="326" w:charSpace="0"/>
        </w:sectPr>
      </w:pPr>
      <w:r>
        <w:rPr>
          <w:rFonts w:hint="eastAsia"/>
        </w:rPr>
        <w:t>由表4.2.2</w:t>
      </w:r>
      <w:r>
        <w:t>-2</w:t>
      </w:r>
      <w:r>
        <w:rPr>
          <w:rFonts w:hint="eastAsia"/>
        </w:rPr>
        <w:t>可知</w:t>
      </w:r>
      <w:r>
        <w:t>，</w:t>
      </w:r>
      <w:r>
        <w:rPr>
          <w:rFonts w:hint="eastAsia"/>
        </w:rPr>
        <w:t>沫冲引河</w:t>
      </w:r>
      <w:r>
        <w:t>和三铺大沟</w:t>
      </w:r>
      <w:r>
        <w:rPr>
          <w:rFonts w:hint="eastAsia"/>
        </w:rPr>
        <w:t>各</w:t>
      </w:r>
      <w:r>
        <w:t>断面水质</w:t>
      </w:r>
      <w:r>
        <w:rPr>
          <w:rFonts w:hint="eastAsia"/>
        </w:rPr>
        <w:t>均</w:t>
      </w:r>
      <w:r>
        <w:t>满足</w:t>
      </w:r>
      <w:r>
        <w:rPr>
          <w:rFonts w:hint="eastAsia" w:ascii="宋体" w:hAnsi="宋体"/>
        </w:rPr>
        <w:t>《地表水环境质量标准》（</w:t>
      </w:r>
      <w:r>
        <w:rPr>
          <w:rFonts w:hint="eastAsia"/>
        </w:rPr>
        <w:t>G</w:t>
      </w:r>
      <w:r>
        <w:t>B3838-2002</w:t>
      </w:r>
      <w:r>
        <w:rPr>
          <w:rFonts w:hint="eastAsia" w:ascii="宋体" w:hAnsi="宋体"/>
        </w:rPr>
        <w:t>）中的</w:t>
      </w:r>
      <w:r>
        <w:rPr>
          <w:rFonts w:hint="eastAsia"/>
        </w:rPr>
        <w:t>Ⅳ</w:t>
      </w:r>
      <w:r>
        <w:t>类</w:t>
      </w:r>
      <w:r>
        <w:rPr>
          <w:rFonts w:hint="eastAsia"/>
        </w:rPr>
        <w:t>标准；</w:t>
      </w:r>
      <w:r>
        <w:rPr>
          <w:rFonts w:ascii="宋体" w:hAnsi="宋体"/>
        </w:rPr>
        <w:t>淮河</w:t>
      </w:r>
      <w:r>
        <w:rPr>
          <w:rFonts w:hint="eastAsia" w:ascii="宋体" w:hAnsi="宋体"/>
        </w:rPr>
        <w:t>（蚌埠段）各</w:t>
      </w:r>
      <w:r>
        <w:rPr>
          <w:rFonts w:ascii="宋体" w:hAnsi="宋体"/>
        </w:rPr>
        <w:t>断面</w:t>
      </w:r>
      <w:r>
        <w:rPr>
          <w:rFonts w:hint="eastAsia" w:ascii="宋体" w:hAnsi="宋体"/>
        </w:rPr>
        <w:t>水质均</w:t>
      </w:r>
      <w:r>
        <w:rPr>
          <w:rFonts w:ascii="宋体" w:hAnsi="宋体"/>
        </w:rPr>
        <w:t>满足</w:t>
      </w:r>
      <w:r>
        <w:rPr>
          <w:rFonts w:hint="eastAsia" w:ascii="宋体" w:hAnsi="宋体"/>
        </w:rPr>
        <w:t>《地表水环境质量标准》（</w:t>
      </w:r>
      <w:r>
        <w:rPr>
          <w:rFonts w:hint="eastAsia"/>
        </w:rPr>
        <w:t>G</w:t>
      </w:r>
      <w:r>
        <w:t>B3838-2002</w:t>
      </w:r>
      <w:r>
        <w:rPr>
          <w:rFonts w:hint="eastAsia" w:ascii="宋体" w:hAnsi="宋体"/>
        </w:rPr>
        <w:t>）中的Ⅲ类标准。</w:t>
      </w:r>
    </w:p>
    <w:p w14:paraId="3CAFF9E9">
      <w:pPr>
        <w:pStyle w:val="4068"/>
      </w:pPr>
      <w:bookmarkStart w:id="183" w:name="_Toc100784020"/>
      <w:bookmarkStart w:id="184" w:name="_Toc108662629"/>
      <w:bookmarkStart w:id="185" w:name="_Toc101135852"/>
      <w:r>
        <w:rPr>
          <w:rFonts w:hint="eastAsia"/>
        </w:rPr>
        <w:t>4</w:t>
      </w:r>
      <w:r>
        <w:t>.2.3</w:t>
      </w:r>
      <w:r>
        <w:rPr>
          <w:rFonts w:ascii="黑体" w:hAnsi="黑体"/>
        </w:rPr>
        <w:t>声环境质量现状</w:t>
      </w:r>
      <w:bookmarkEnd w:id="183"/>
      <w:bookmarkEnd w:id="184"/>
      <w:bookmarkEnd w:id="185"/>
      <w:r>
        <w:tab/>
      </w:r>
    </w:p>
    <w:p w14:paraId="4613301E">
      <w:pPr>
        <w:ind w:firstLine="480"/>
      </w:pPr>
      <w:r>
        <w:rPr>
          <w:rFonts w:hint="eastAsia" w:ascii="宋体" w:hAnsi="宋体"/>
        </w:rPr>
        <w:t>（</w:t>
      </w:r>
      <w:r>
        <w:rPr>
          <w:rFonts w:hint="eastAsia"/>
        </w:rPr>
        <w:t>1</w:t>
      </w:r>
      <w:r>
        <w:rPr>
          <w:rFonts w:hint="eastAsia" w:ascii="宋体" w:hAnsi="宋体"/>
        </w:rPr>
        <w:t>）监测点布设</w:t>
      </w:r>
    </w:p>
    <w:p w14:paraId="6929CBE2">
      <w:pPr>
        <w:ind w:firstLine="480"/>
      </w:pPr>
      <w:r>
        <w:rPr>
          <w:rFonts w:ascii="宋体" w:hAnsi="宋体"/>
        </w:rPr>
        <w:t>根据声源的位置和周围情况</w:t>
      </w:r>
      <w:r>
        <w:rPr>
          <w:rFonts w:hint="eastAsia" w:ascii="宋体" w:hAnsi="宋体"/>
        </w:rPr>
        <w:t>，</w:t>
      </w:r>
      <w:r>
        <w:rPr>
          <w:rFonts w:ascii="宋体" w:hAnsi="宋体"/>
        </w:rPr>
        <w:t>在总厂界外布设</w:t>
      </w:r>
      <w:r>
        <w:rPr>
          <w:rFonts w:hint="eastAsia"/>
        </w:rPr>
        <w:t>4</w:t>
      </w:r>
      <w:r>
        <w:rPr>
          <w:rFonts w:hint="eastAsia" w:ascii="宋体" w:hAnsi="宋体"/>
        </w:rPr>
        <w:t>个监测点。噪声现状监测布点见表</w:t>
      </w:r>
      <w:r>
        <w:rPr>
          <w:rFonts w:hint="eastAsia"/>
        </w:rPr>
        <w:t>4</w:t>
      </w:r>
      <w:r>
        <w:t>.2.3-1</w:t>
      </w:r>
      <w:r>
        <w:rPr>
          <w:rFonts w:ascii="宋体" w:hAnsi="宋体"/>
        </w:rPr>
        <w:t>和附图</w:t>
      </w:r>
      <w:r>
        <w:rPr>
          <w:rFonts w:hint="eastAsia"/>
        </w:rPr>
        <w:t>4</w:t>
      </w:r>
      <w:r>
        <w:t>.2.3-1</w:t>
      </w:r>
      <w:r>
        <w:rPr>
          <w:rFonts w:hint="eastAsia" w:ascii="宋体" w:hAnsi="宋体"/>
        </w:rPr>
        <w:t>。</w:t>
      </w:r>
    </w:p>
    <w:p w14:paraId="037F86E8">
      <w:pPr>
        <w:pStyle w:val="278"/>
        <w:ind w:firstLine="480"/>
      </w:pPr>
      <w:r>
        <w:rPr>
          <w:rFonts w:ascii="黑体" w:hAnsi="黑体"/>
        </w:rPr>
        <w:t>表</w:t>
      </w:r>
      <w:r>
        <w:rPr>
          <w:rFonts w:hint="eastAsia"/>
        </w:rPr>
        <w:t>4.</w:t>
      </w:r>
      <w:r>
        <w:t>2</w:t>
      </w:r>
      <w:r>
        <w:rPr>
          <w:rFonts w:hint="eastAsia"/>
        </w:rPr>
        <w:t>.</w:t>
      </w:r>
      <w:r>
        <w:t>3-</w:t>
      </w:r>
      <w:r>
        <w:rPr>
          <w:rFonts w:hint="eastAsia"/>
        </w:rPr>
        <w:t>1</w:t>
      </w:r>
      <w:r>
        <w:t xml:space="preserve">  </w:t>
      </w:r>
      <w:r>
        <w:rPr>
          <w:rFonts w:ascii="黑体" w:hAnsi="黑体"/>
        </w:rPr>
        <w:t>声环境质量现状监测点位</w:t>
      </w:r>
    </w:p>
    <w:tbl>
      <w:tblPr>
        <w:tblStyle w:val="64"/>
        <w:tblW w:w="90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4011"/>
        <w:gridCol w:w="3380"/>
      </w:tblGrid>
      <w:tr w14:paraId="36B292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26" w:type="dxa"/>
            <w:vAlign w:val="center"/>
          </w:tcPr>
          <w:p w14:paraId="4E6711AD">
            <w:pPr>
              <w:pStyle w:val="445"/>
            </w:pPr>
            <w:r>
              <w:t>编号</w:t>
            </w:r>
          </w:p>
        </w:tc>
        <w:tc>
          <w:tcPr>
            <w:tcW w:w="4011" w:type="dxa"/>
            <w:vAlign w:val="center"/>
          </w:tcPr>
          <w:p w14:paraId="631DF7CE">
            <w:pPr>
              <w:pStyle w:val="445"/>
            </w:pPr>
            <w:r>
              <w:rPr>
                <w:rFonts w:hint="eastAsia"/>
              </w:rPr>
              <w:t>监测点位描述</w:t>
            </w:r>
          </w:p>
        </w:tc>
        <w:tc>
          <w:tcPr>
            <w:tcW w:w="3380" w:type="dxa"/>
            <w:vAlign w:val="center"/>
          </w:tcPr>
          <w:p w14:paraId="0FB89180">
            <w:pPr>
              <w:pStyle w:val="445"/>
            </w:pPr>
            <w:r>
              <w:t>监测点功能区</w:t>
            </w:r>
          </w:p>
        </w:tc>
      </w:tr>
      <w:tr w14:paraId="7BA9D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26" w:type="dxa"/>
            <w:vAlign w:val="center"/>
          </w:tcPr>
          <w:p w14:paraId="7B99B930">
            <w:pPr>
              <w:pStyle w:val="445"/>
            </w:pPr>
            <w:r>
              <w:t>N1</w:t>
            </w:r>
          </w:p>
        </w:tc>
        <w:tc>
          <w:tcPr>
            <w:tcW w:w="4011" w:type="dxa"/>
            <w:vAlign w:val="center"/>
          </w:tcPr>
          <w:p w14:paraId="536256AE">
            <w:pPr>
              <w:pStyle w:val="445"/>
            </w:pPr>
            <w:r>
              <w:rPr>
                <w:rFonts w:hint="eastAsia"/>
              </w:rPr>
              <w:t>北</w:t>
            </w:r>
            <w:r>
              <w:t>厂界</w:t>
            </w:r>
          </w:p>
        </w:tc>
        <w:tc>
          <w:tcPr>
            <w:tcW w:w="3380" w:type="dxa"/>
            <w:vMerge w:val="restart"/>
            <w:vAlign w:val="center"/>
          </w:tcPr>
          <w:p w14:paraId="7EA42EF1">
            <w:pPr>
              <w:pStyle w:val="445"/>
            </w:pPr>
            <w:r>
              <w:t>GB3096-2008  3</w:t>
            </w:r>
            <w:r>
              <w:rPr>
                <w:rFonts w:hint="eastAsia"/>
              </w:rPr>
              <w:t>类区</w:t>
            </w:r>
          </w:p>
        </w:tc>
      </w:tr>
      <w:tr w14:paraId="646FF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26" w:type="dxa"/>
            <w:vAlign w:val="center"/>
          </w:tcPr>
          <w:p w14:paraId="3E83758C">
            <w:pPr>
              <w:pStyle w:val="445"/>
            </w:pPr>
            <w:r>
              <w:t>N2</w:t>
            </w:r>
          </w:p>
        </w:tc>
        <w:tc>
          <w:tcPr>
            <w:tcW w:w="4011" w:type="dxa"/>
            <w:vAlign w:val="center"/>
          </w:tcPr>
          <w:p w14:paraId="54414537">
            <w:pPr>
              <w:pStyle w:val="445"/>
            </w:pPr>
            <w:r>
              <w:t>东厂界</w:t>
            </w:r>
          </w:p>
        </w:tc>
        <w:tc>
          <w:tcPr>
            <w:tcW w:w="3380" w:type="dxa"/>
            <w:vMerge w:val="continue"/>
            <w:vAlign w:val="center"/>
          </w:tcPr>
          <w:p w14:paraId="67092226">
            <w:pPr>
              <w:pStyle w:val="445"/>
              <w:rPr>
                <w:szCs w:val="18"/>
              </w:rPr>
            </w:pPr>
          </w:p>
        </w:tc>
      </w:tr>
      <w:tr w14:paraId="5FFFB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26" w:type="dxa"/>
            <w:vAlign w:val="center"/>
          </w:tcPr>
          <w:p w14:paraId="375BD37D">
            <w:pPr>
              <w:pStyle w:val="445"/>
            </w:pPr>
            <w:r>
              <w:t>N3</w:t>
            </w:r>
          </w:p>
        </w:tc>
        <w:tc>
          <w:tcPr>
            <w:tcW w:w="4011" w:type="dxa"/>
            <w:vAlign w:val="center"/>
          </w:tcPr>
          <w:p w14:paraId="58CD35A8">
            <w:pPr>
              <w:pStyle w:val="445"/>
            </w:pPr>
            <w:r>
              <w:t>南厂界</w:t>
            </w:r>
          </w:p>
        </w:tc>
        <w:tc>
          <w:tcPr>
            <w:tcW w:w="3380" w:type="dxa"/>
            <w:vMerge w:val="continue"/>
            <w:vAlign w:val="center"/>
          </w:tcPr>
          <w:p w14:paraId="5390404D">
            <w:pPr>
              <w:pStyle w:val="445"/>
              <w:rPr>
                <w:szCs w:val="18"/>
              </w:rPr>
            </w:pPr>
          </w:p>
        </w:tc>
      </w:tr>
      <w:tr w14:paraId="16F2BC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26" w:type="dxa"/>
            <w:vAlign w:val="center"/>
          </w:tcPr>
          <w:p w14:paraId="6FC5D701">
            <w:pPr>
              <w:pStyle w:val="445"/>
            </w:pPr>
            <w:r>
              <w:t>N4</w:t>
            </w:r>
          </w:p>
        </w:tc>
        <w:tc>
          <w:tcPr>
            <w:tcW w:w="4011" w:type="dxa"/>
            <w:vAlign w:val="center"/>
          </w:tcPr>
          <w:p w14:paraId="13D6367B">
            <w:pPr>
              <w:pStyle w:val="445"/>
            </w:pPr>
            <w:r>
              <w:t>西厂界</w:t>
            </w:r>
          </w:p>
        </w:tc>
        <w:tc>
          <w:tcPr>
            <w:tcW w:w="3380" w:type="dxa"/>
            <w:vMerge w:val="continue"/>
            <w:vAlign w:val="center"/>
          </w:tcPr>
          <w:p w14:paraId="1BF4BC91">
            <w:pPr>
              <w:pStyle w:val="445"/>
              <w:rPr>
                <w:szCs w:val="18"/>
              </w:rPr>
            </w:pPr>
          </w:p>
        </w:tc>
      </w:tr>
    </w:tbl>
    <w:p w14:paraId="7940D74F">
      <w:pPr>
        <w:ind w:firstLine="480"/>
        <w:rPr>
          <w:rFonts w:cs="Times New Roman"/>
        </w:rPr>
      </w:pPr>
      <w:r>
        <w:rPr>
          <w:rFonts w:hint="eastAsia" w:ascii="宋体" w:hAnsi="宋体"/>
        </w:rPr>
        <w:t>（</w:t>
      </w:r>
      <w:r>
        <w:rPr>
          <w:rFonts w:hint="eastAsia"/>
        </w:rPr>
        <w:t>2</w:t>
      </w:r>
      <w:r>
        <w:rPr>
          <w:rFonts w:hint="eastAsia" w:ascii="宋体" w:hAnsi="宋体"/>
        </w:rPr>
        <w:t>）监测因子</w:t>
      </w:r>
    </w:p>
    <w:p w14:paraId="4790FAAB">
      <w:pPr>
        <w:ind w:firstLine="480"/>
      </w:pPr>
      <w:r>
        <w:rPr>
          <w:rFonts w:ascii="宋体" w:hAnsi="宋体"/>
        </w:rPr>
        <w:t>等效连续</w:t>
      </w:r>
      <w:r>
        <w:t>A</w:t>
      </w:r>
      <w:r>
        <w:rPr>
          <w:rFonts w:ascii="宋体" w:hAnsi="宋体"/>
        </w:rPr>
        <w:t>声级</w:t>
      </w:r>
      <w:r>
        <w:rPr>
          <w:rFonts w:hint="eastAsia" w:ascii="宋体" w:hAnsi="宋体"/>
        </w:rPr>
        <w:t>。</w:t>
      </w:r>
    </w:p>
    <w:p w14:paraId="1FED4D76">
      <w:pPr>
        <w:ind w:firstLine="480"/>
      </w:pPr>
      <w:r>
        <w:rPr>
          <w:rFonts w:hint="eastAsia" w:ascii="宋体" w:hAnsi="宋体"/>
        </w:rPr>
        <w:t>（</w:t>
      </w:r>
      <w:r>
        <w:rPr>
          <w:rFonts w:hint="eastAsia"/>
        </w:rPr>
        <w:t>3</w:t>
      </w:r>
      <w:r>
        <w:rPr>
          <w:rFonts w:hint="eastAsia" w:ascii="宋体" w:hAnsi="宋体"/>
        </w:rPr>
        <w:t>）监测时间和频次</w:t>
      </w:r>
    </w:p>
    <w:p w14:paraId="6DC16B73">
      <w:pPr>
        <w:ind w:firstLine="480"/>
      </w:pPr>
      <w:r>
        <w:rPr>
          <w:rFonts w:hint="eastAsia"/>
        </w:rPr>
        <w:t>2</w:t>
      </w:r>
      <w:r>
        <w:t>021</w:t>
      </w:r>
      <w:r>
        <w:rPr>
          <w:rFonts w:ascii="宋体" w:hAnsi="宋体"/>
        </w:rPr>
        <w:t>年</w:t>
      </w:r>
      <w:r>
        <w:rPr>
          <w:rFonts w:hint="eastAsia"/>
        </w:rPr>
        <w:t>1</w:t>
      </w:r>
      <w:r>
        <w:t>1.20</w:t>
      </w:r>
      <w:r>
        <w:rPr>
          <w:rFonts w:ascii="宋体" w:hAnsi="宋体"/>
        </w:rPr>
        <w:t>日</w:t>
      </w:r>
      <w:r>
        <w:rPr>
          <w:rFonts w:hint="eastAsia"/>
        </w:rPr>
        <w:t>~</w:t>
      </w:r>
      <w:r>
        <w:t>2021</w:t>
      </w:r>
      <w:r>
        <w:rPr>
          <w:rFonts w:ascii="宋体" w:hAnsi="宋体"/>
        </w:rPr>
        <w:t>年</w:t>
      </w:r>
      <w:r>
        <w:rPr>
          <w:rFonts w:hint="eastAsia"/>
        </w:rPr>
        <w:t>11</w:t>
      </w:r>
      <w:r>
        <w:t>.21</w:t>
      </w:r>
      <w:r>
        <w:rPr>
          <w:rFonts w:ascii="宋体" w:hAnsi="宋体"/>
        </w:rPr>
        <w:t>日</w:t>
      </w:r>
      <w:r>
        <w:rPr>
          <w:rFonts w:hint="eastAsia" w:ascii="宋体" w:hAnsi="宋体"/>
        </w:rPr>
        <w:t>，</w:t>
      </w:r>
      <w:r>
        <w:rPr>
          <w:rFonts w:ascii="宋体" w:hAnsi="宋体"/>
        </w:rPr>
        <w:t>连续监测</w:t>
      </w:r>
      <w:r>
        <w:rPr>
          <w:rFonts w:hint="eastAsia"/>
        </w:rPr>
        <w:t>2</w:t>
      </w:r>
      <w:r>
        <w:rPr>
          <w:rFonts w:hint="eastAsia" w:ascii="宋体" w:hAnsi="宋体"/>
        </w:rPr>
        <w:t>天，每天昼夜各监测一次。</w:t>
      </w:r>
    </w:p>
    <w:p w14:paraId="304414D6">
      <w:pPr>
        <w:ind w:firstLine="480"/>
      </w:pPr>
      <w:r>
        <w:rPr>
          <w:rFonts w:hint="eastAsia" w:ascii="宋体" w:hAnsi="宋体"/>
        </w:rPr>
        <w:t>（</w:t>
      </w:r>
      <w:r>
        <w:rPr>
          <w:rFonts w:hint="eastAsia"/>
        </w:rPr>
        <w:t>4</w:t>
      </w:r>
      <w:r>
        <w:rPr>
          <w:rFonts w:hint="eastAsia" w:ascii="宋体" w:hAnsi="宋体"/>
        </w:rPr>
        <w:t>）监测方法</w:t>
      </w:r>
    </w:p>
    <w:p w14:paraId="3EE02B89">
      <w:pPr>
        <w:ind w:firstLine="480"/>
      </w:pPr>
      <w:r>
        <w:rPr>
          <w:rFonts w:ascii="宋体" w:hAnsi="宋体"/>
        </w:rPr>
        <w:t>监测方法按</w:t>
      </w:r>
      <w:r>
        <w:rPr>
          <w:rFonts w:hint="eastAsia" w:ascii="宋体" w:hAnsi="宋体"/>
        </w:rPr>
        <w:t>《声环境质量标准》（</w:t>
      </w:r>
      <w:r>
        <w:rPr>
          <w:rFonts w:hint="eastAsia"/>
        </w:rPr>
        <w:t>G</w:t>
      </w:r>
      <w:r>
        <w:t>B3096-2008</w:t>
      </w:r>
      <w:r>
        <w:rPr>
          <w:rFonts w:hint="eastAsia" w:ascii="宋体" w:hAnsi="宋体"/>
        </w:rPr>
        <w:t>）、《工业企业厂界噪声环境排放标准》（</w:t>
      </w:r>
      <w:r>
        <w:rPr>
          <w:rFonts w:hint="eastAsia"/>
        </w:rPr>
        <w:t>G</w:t>
      </w:r>
      <w:r>
        <w:t>B12348-2008</w:t>
      </w:r>
      <w:r>
        <w:rPr>
          <w:rFonts w:hint="eastAsia" w:ascii="宋体" w:hAnsi="宋体"/>
        </w:rPr>
        <w:t>）执行。</w:t>
      </w:r>
    </w:p>
    <w:p w14:paraId="38F2FFC9">
      <w:pPr>
        <w:ind w:firstLine="480"/>
      </w:pPr>
      <w:r>
        <w:rPr>
          <w:rFonts w:hint="eastAsia" w:ascii="宋体" w:hAnsi="宋体"/>
        </w:rPr>
        <w:t>（</w:t>
      </w:r>
      <w:r>
        <w:rPr>
          <w:rFonts w:hint="eastAsia"/>
        </w:rPr>
        <w:t>5</w:t>
      </w:r>
      <w:r>
        <w:rPr>
          <w:rFonts w:hint="eastAsia" w:ascii="宋体" w:hAnsi="宋体"/>
        </w:rPr>
        <w:t>）监测结果与评价</w:t>
      </w:r>
    </w:p>
    <w:p w14:paraId="5D4B93C4">
      <w:pPr>
        <w:ind w:firstLine="480"/>
      </w:pPr>
      <w:r>
        <w:rPr>
          <w:rFonts w:ascii="宋体" w:hAnsi="宋体"/>
        </w:rPr>
        <w:t>声环境质量现状监测结果见表</w:t>
      </w:r>
      <w:r>
        <w:rPr>
          <w:rFonts w:hint="eastAsia"/>
        </w:rPr>
        <w:t>4</w:t>
      </w:r>
      <w:r>
        <w:t>.2.3-2</w:t>
      </w:r>
      <w:r>
        <w:rPr>
          <w:rFonts w:hint="eastAsia" w:ascii="宋体" w:hAnsi="宋体"/>
        </w:rPr>
        <w:t>。</w:t>
      </w:r>
    </w:p>
    <w:p w14:paraId="3770A690">
      <w:pPr>
        <w:pStyle w:val="278"/>
        <w:ind w:firstLine="480"/>
      </w:pPr>
      <w:r>
        <w:rPr>
          <w:rFonts w:ascii="黑体" w:hAnsi="黑体"/>
        </w:rPr>
        <w:t>表</w:t>
      </w:r>
      <w:r>
        <w:rPr>
          <w:rFonts w:hint="eastAsia"/>
        </w:rPr>
        <w:t>4</w:t>
      </w:r>
      <w:r>
        <w:t xml:space="preserve">.2.3-2 </w:t>
      </w:r>
      <w:r>
        <w:rPr>
          <w:rFonts w:ascii="黑体" w:hAnsi="黑体"/>
        </w:rPr>
        <w:t>声环境现状监测结果表</w:t>
      </w:r>
      <w:r>
        <w:rPr>
          <w:rFonts w:hint="eastAsia"/>
        </w:rPr>
        <w:t xml:space="preserve"> </w:t>
      </w:r>
      <w:r>
        <w:rPr>
          <w:rFonts w:hint="eastAsia" w:ascii="黑体" w:hAnsi="黑体"/>
        </w:rPr>
        <w:t>单位：</w:t>
      </w:r>
      <w:r>
        <w:rPr>
          <w:rFonts w:hint="eastAsia"/>
        </w:rPr>
        <w:t>d</w:t>
      </w:r>
      <w:r>
        <w:t>B</w:t>
      </w:r>
      <w:r>
        <w:rPr>
          <w:rFonts w:hint="eastAsia" w:ascii="黑体" w:hAnsi="黑体"/>
        </w:rPr>
        <w:t>（</w:t>
      </w:r>
      <w:r>
        <w:rPr>
          <w:rFonts w:hint="eastAsia"/>
        </w:rPr>
        <w:t>A</w:t>
      </w:r>
      <w:r>
        <w:rPr>
          <w:rFonts w:hint="eastAsia" w:ascii="黑体" w:hAnsi="黑体"/>
        </w:rPr>
        <w:t>）</w:t>
      </w:r>
    </w:p>
    <w:p w14:paraId="100670A1">
      <w:pPr>
        <w:ind w:firstLine="480"/>
        <w:rPr>
          <w:rFonts w:cs="Times New Roman"/>
        </w:rPr>
      </w:pPr>
      <w:r>
        <w:rPr>
          <w:rFonts w:hint="eastAsia" w:ascii="宋体" w:hAnsi="宋体"/>
        </w:rPr>
        <w:t>由表</w:t>
      </w:r>
      <w:r>
        <w:rPr>
          <w:rFonts w:hint="eastAsia"/>
        </w:rPr>
        <w:t>4</w:t>
      </w:r>
      <w:r>
        <w:t>.2.3-2</w:t>
      </w:r>
      <w:r>
        <w:rPr>
          <w:rFonts w:ascii="宋体" w:hAnsi="宋体"/>
        </w:rPr>
        <w:t>可知</w:t>
      </w:r>
      <w:r>
        <w:rPr>
          <w:rFonts w:hint="eastAsia" w:ascii="宋体" w:hAnsi="宋体"/>
        </w:rPr>
        <w:t>，</w:t>
      </w:r>
      <w:r>
        <w:rPr>
          <w:rFonts w:ascii="宋体" w:hAnsi="宋体"/>
        </w:rPr>
        <w:t>监测期间厂界各点位现状监测结果均可达到</w:t>
      </w:r>
      <w:r>
        <w:rPr>
          <w:rFonts w:hint="eastAsia" w:ascii="宋体" w:hAnsi="宋体"/>
        </w:rPr>
        <w:t>《声环境质量标准》（</w:t>
      </w:r>
      <w:r>
        <w:rPr>
          <w:rFonts w:hint="eastAsia"/>
        </w:rPr>
        <w:t>G</w:t>
      </w:r>
      <w:r>
        <w:t>B3096-2008</w:t>
      </w:r>
      <w:r>
        <w:rPr>
          <w:rFonts w:hint="eastAsia" w:ascii="宋体" w:hAnsi="宋体"/>
        </w:rPr>
        <w:t>）中的</w:t>
      </w:r>
      <w:r>
        <w:rPr>
          <w:rFonts w:hint="eastAsia"/>
        </w:rPr>
        <w:t>3</w:t>
      </w:r>
      <w:r>
        <w:rPr>
          <w:rFonts w:hint="eastAsia" w:ascii="宋体" w:hAnsi="宋体"/>
        </w:rPr>
        <w:t>类标准要求。</w:t>
      </w:r>
    </w:p>
    <w:p w14:paraId="621B83AA">
      <w:pPr>
        <w:pStyle w:val="4068"/>
      </w:pPr>
      <w:bookmarkStart w:id="186" w:name="_Toc108662630"/>
      <w:bookmarkStart w:id="187" w:name="_Toc100784021"/>
      <w:bookmarkStart w:id="188" w:name="_Toc101135853"/>
      <w:r>
        <w:rPr>
          <w:rFonts w:hint="eastAsia"/>
        </w:rPr>
        <w:t>4</w:t>
      </w:r>
      <w:r>
        <w:t>.2.4地下水质量现状</w:t>
      </w:r>
      <w:bookmarkEnd w:id="186"/>
      <w:bookmarkEnd w:id="187"/>
      <w:bookmarkEnd w:id="188"/>
    </w:p>
    <w:p w14:paraId="561DCB3D">
      <w:pPr>
        <w:ind w:firstLine="482"/>
        <w:rPr>
          <w:b/>
        </w:rPr>
      </w:pPr>
      <w:r>
        <w:rPr>
          <w:rFonts w:hint="eastAsia" w:ascii="宋体" w:hAnsi="宋体"/>
          <w:b/>
        </w:rPr>
        <w:t>（</w:t>
      </w:r>
      <w:r>
        <w:rPr>
          <w:rFonts w:hint="eastAsia"/>
          <w:b/>
        </w:rPr>
        <w:t>1</w:t>
      </w:r>
      <w:r>
        <w:rPr>
          <w:rFonts w:ascii="宋体" w:hAnsi="宋体"/>
          <w:b/>
        </w:rPr>
        <w:t>）</w:t>
      </w:r>
      <w:r>
        <w:rPr>
          <w:rFonts w:hint="eastAsia" w:ascii="宋体" w:hAnsi="宋体"/>
          <w:b/>
        </w:rPr>
        <w:t>监测布点</w:t>
      </w:r>
      <w:r>
        <w:rPr>
          <w:rFonts w:ascii="宋体" w:hAnsi="宋体"/>
          <w:b/>
        </w:rPr>
        <w:t>和监测因子</w:t>
      </w:r>
    </w:p>
    <w:p w14:paraId="500AD906">
      <w:pPr>
        <w:ind w:firstLine="480"/>
      </w:pPr>
      <w:r>
        <w:rPr>
          <w:rFonts w:ascii="宋体" w:hAnsi="宋体"/>
        </w:rPr>
        <w:t>项目建设地周边布设</w:t>
      </w:r>
      <w:r>
        <w:t>5</w:t>
      </w:r>
      <w:r>
        <w:rPr>
          <w:rFonts w:ascii="宋体" w:hAnsi="宋体"/>
        </w:rPr>
        <w:t>个地下水</w:t>
      </w:r>
      <w:r>
        <w:rPr>
          <w:rFonts w:hint="eastAsia" w:ascii="宋体" w:hAnsi="宋体"/>
        </w:rPr>
        <w:t>水质</w:t>
      </w:r>
      <w:r>
        <w:rPr>
          <w:rFonts w:ascii="宋体" w:hAnsi="宋体"/>
        </w:rPr>
        <w:t>监测</w:t>
      </w:r>
      <w:r>
        <w:rPr>
          <w:rFonts w:hint="eastAsia" w:ascii="宋体" w:hAnsi="宋体"/>
        </w:rPr>
        <w:t>点</w:t>
      </w:r>
      <w:r>
        <w:rPr>
          <w:rFonts w:ascii="宋体" w:hAnsi="宋体"/>
        </w:rPr>
        <w:t>，具体见表</w:t>
      </w:r>
      <w:r>
        <w:rPr>
          <w:rFonts w:hint="eastAsia"/>
        </w:rPr>
        <w:t>4.</w:t>
      </w:r>
      <w:r>
        <w:t>2</w:t>
      </w:r>
      <w:r>
        <w:rPr>
          <w:rFonts w:hint="eastAsia"/>
        </w:rPr>
        <w:t>.4</w:t>
      </w:r>
      <w:r>
        <w:t>-1</w:t>
      </w:r>
      <w:r>
        <w:rPr>
          <w:rFonts w:hint="eastAsia" w:ascii="宋体" w:hAnsi="宋体"/>
        </w:rPr>
        <w:t>；布设</w:t>
      </w:r>
      <w:r>
        <w:t>10</w:t>
      </w:r>
      <w:r>
        <w:rPr>
          <w:rFonts w:hint="eastAsia" w:ascii="宋体" w:hAnsi="宋体"/>
        </w:rPr>
        <w:t>个地下水水位</w:t>
      </w:r>
      <w:r>
        <w:rPr>
          <w:rFonts w:ascii="宋体" w:hAnsi="宋体"/>
        </w:rPr>
        <w:t>点</w:t>
      </w:r>
      <w:r>
        <w:rPr>
          <w:rFonts w:hint="eastAsia" w:ascii="宋体" w:hAnsi="宋体"/>
        </w:rPr>
        <w:t>。</w:t>
      </w:r>
      <w:r>
        <w:rPr>
          <w:rFonts w:ascii="宋体" w:hAnsi="宋体"/>
        </w:rPr>
        <w:t>具体监测点位、监测因子见表</w:t>
      </w:r>
      <w:r>
        <w:t>4.2.4</w:t>
      </w:r>
      <w:r>
        <w:rPr>
          <w:rFonts w:hint="eastAsia"/>
        </w:rPr>
        <w:t>-</w:t>
      </w:r>
      <w:r>
        <w:t>2</w:t>
      </w:r>
      <w:r>
        <w:rPr>
          <w:rFonts w:hint="eastAsia" w:ascii="宋体" w:hAnsi="宋体"/>
        </w:rPr>
        <w:t>及</w:t>
      </w:r>
      <w:r>
        <w:rPr>
          <w:rFonts w:ascii="宋体" w:hAnsi="宋体"/>
        </w:rPr>
        <w:t>附图</w:t>
      </w:r>
      <w:r>
        <w:rPr>
          <w:rFonts w:hint="eastAsia"/>
        </w:rPr>
        <w:t>4.</w:t>
      </w:r>
      <w:r>
        <w:t>2.1-1</w:t>
      </w:r>
      <w:r>
        <w:rPr>
          <w:rFonts w:hint="eastAsia" w:ascii="宋体" w:hAnsi="宋体"/>
        </w:rPr>
        <w:t>。</w:t>
      </w:r>
    </w:p>
    <w:p w14:paraId="4B348A4E">
      <w:pPr>
        <w:spacing w:line="500" w:lineRule="exact"/>
        <w:ind w:firstLine="0" w:firstLineChars="0"/>
        <w:jc w:val="center"/>
        <w:rPr>
          <w:rFonts w:eastAsia="黑体"/>
        </w:rPr>
      </w:pPr>
      <w:r>
        <w:rPr>
          <w:rFonts w:hint="eastAsia" w:ascii="黑体" w:hAnsi="黑体" w:eastAsia="黑体"/>
        </w:rPr>
        <w:t>表</w:t>
      </w:r>
      <w:r>
        <w:rPr>
          <w:rFonts w:hint="eastAsia" w:eastAsia="黑体"/>
        </w:rPr>
        <w:t>4.</w:t>
      </w:r>
      <w:r>
        <w:rPr>
          <w:rFonts w:eastAsia="黑体"/>
        </w:rPr>
        <w:t>2</w:t>
      </w:r>
      <w:r>
        <w:rPr>
          <w:rFonts w:hint="eastAsia" w:eastAsia="黑体"/>
        </w:rPr>
        <w:t xml:space="preserve">.4-1  </w:t>
      </w:r>
      <w:r>
        <w:rPr>
          <w:rFonts w:hint="eastAsia" w:ascii="黑体" w:hAnsi="黑体" w:eastAsia="黑体"/>
        </w:rPr>
        <w:t>地下水环境质量现场监测布点及监测因子</w:t>
      </w:r>
    </w:p>
    <w:p w14:paraId="680AE65D">
      <w:pPr>
        <w:spacing w:line="500" w:lineRule="exact"/>
        <w:ind w:firstLine="0" w:firstLineChars="0"/>
        <w:jc w:val="center"/>
        <w:rPr>
          <w:rFonts w:eastAsia="黑体"/>
        </w:rPr>
      </w:pPr>
      <w:r>
        <w:rPr>
          <w:rFonts w:ascii="黑体" w:hAnsi="黑体" w:eastAsia="黑体"/>
        </w:rPr>
        <w:t>表</w:t>
      </w:r>
      <w:r>
        <w:rPr>
          <w:rFonts w:eastAsia="黑体"/>
        </w:rPr>
        <w:t>4.2.4-2</w:t>
      </w:r>
      <w:r>
        <w:rPr>
          <w:rFonts w:hint="eastAsia" w:eastAsia="黑体"/>
        </w:rPr>
        <w:t xml:space="preserve"> </w:t>
      </w:r>
      <w:r>
        <w:rPr>
          <w:rFonts w:eastAsia="黑体"/>
        </w:rPr>
        <w:t xml:space="preserve"> </w:t>
      </w:r>
      <w:r>
        <w:rPr>
          <w:rFonts w:ascii="黑体" w:hAnsi="黑体" w:eastAsia="黑体"/>
        </w:rPr>
        <w:t>地下水环境</w:t>
      </w:r>
      <w:r>
        <w:rPr>
          <w:rFonts w:hint="eastAsia" w:ascii="黑体" w:hAnsi="黑体" w:eastAsia="黑体"/>
        </w:rPr>
        <w:t>水位</w:t>
      </w:r>
      <w:r>
        <w:rPr>
          <w:rFonts w:ascii="黑体" w:hAnsi="黑体" w:eastAsia="黑体"/>
        </w:rPr>
        <w:t>现场监测布点</w:t>
      </w:r>
    </w:p>
    <w:p w14:paraId="4B00E254">
      <w:pPr>
        <w:ind w:firstLine="482"/>
        <w:rPr>
          <w:rFonts w:cs="Times New Roman"/>
          <w:b/>
        </w:rPr>
      </w:pPr>
      <w:r>
        <w:rPr>
          <w:rFonts w:hint="eastAsia" w:ascii="宋体" w:hAnsi="宋体"/>
          <w:b/>
        </w:rPr>
        <w:t>（</w:t>
      </w:r>
      <w:r>
        <w:rPr>
          <w:rFonts w:hint="eastAsia"/>
          <w:b/>
        </w:rPr>
        <w:t>2</w:t>
      </w:r>
      <w:r>
        <w:rPr>
          <w:rFonts w:ascii="宋体" w:hAnsi="宋体"/>
          <w:b/>
        </w:rPr>
        <w:t>）</w:t>
      </w:r>
      <w:r>
        <w:rPr>
          <w:rFonts w:hint="eastAsia" w:ascii="宋体" w:hAnsi="宋体"/>
          <w:b/>
        </w:rPr>
        <w:t>监测</w:t>
      </w:r>
      <w:r>
        <w:rPr>
          <w:rFonts w:ascii="宋体" w:hAnsi="宋体"/>
          <w:b/>
        </w:rPr>
        <w:t>时间和频次</w:t>
      </w:r>
    </w:p>
    <w:p w14:paraId="7BF78914">
      <w:pPr>
        <w:ind w:firstLine="480"/>
      </w:pPr>
      <w:r>
        <w:rPr>
          <w:rFonts w:ascii="宋体" w:hAnsi="宋体"/>
        </w:rPr>
        <w:t>监测</w:t>
      </w:r>
      <w:r>
        <w:t>1</w:t>
      </w:r>
      <w:r>
        <w:rPr>
          <w:rFonts w:hint="eastAsia" w:ascii="宋体" w:hAnsi="宋体"/>
        </w:rPr>
        <w:t>天，</w:t>
      </w:r>
      <w:r>
        <w:rPr>
          <w:rFonts w:ascii="宋体" w:hAnsi="宋体"/>
        </w:rPr>
        <w:t>采样</w:t>
      </w:r>
      <w:r>
        <w:t>1</w:t>
      </w:r>
      <w:r>
        <w:rPr>
          <w:rFonts w:ascii="宋体" w:hAnsi="宋体"/>
        </w:rPr>
        <w:t>次。</w:t>
      </w:r>
    </w:p>
    <w:p w14:paraId="6252B8ED">
      <w:pPr>
        <w:ind w:firstLine="480"/>
      </w:pPr>
      <w:r>
        <w:rPr>
          <w:rFonts w:ascii="宋体" w:hAnsi="宋体"/>
        </w:rPr>
        <w:t>采样及分析方案按照《水和废水监测分析方法》的有关规定和要求执行，质量控制按照《环境监测技术规范》执行。</w:t>
      </w:r>
    </w:p>
    <w:p w14:paraId="1A8D5542">
      <w:pPr>
        <w:ind w:firstLine="482"/>
        <w:rPr>
          <w:rFonts w:cs="Times New Roman"/>
          <w:b/>
        </w:rPr>
      </w:pPr>
      <w:r>
        <w:rPr>
          <w:rFonts w:hint="eastAsia" w:ascii="宋体" w:hAnsi="宋体"/>
          <w:b/>
        </w:rPr>
        <w:t>（</w:t>
      </w:r>
      <w:r>
        <w:rPr>
          <w:rFonts w:hint="eastAsia"/>
          <w:b/>
        </w:rPr>
        <w:t>3</w:t>
      </w:r>
      <w:r>
        <w:rPr>
          <w:rFonts w:hint="eastAsia" w:ascii="宋体" w:hAnsi="宋体"/>
          <w:b/>
        </w:rPr>
        <w:t>）</w:t>
      </w:r>
      <w:r>
        <w:rPr>
          <w:rFonts w:ascii="宋体" w:hAnsi="宋体"/>
          <w:b/>
        </w:rPr>
        <w:t>监测结果</w:t>
      </w:r>
    </w:p>
    <w:p w14:paraId="795EA58F">
      <w:pPr>
        <w:ind w:firstLine="480"/>
        <w:rPr>
          <w:rFonts w:cs="Times New Roman"/>
        </w:rPr>
      </w:pPr>
      <w:r>
        <w:rPr>
          <w:rFonts w:hint="eastAsia" w:ascii="宋体" w:hAnsi="宋体"/>
        </w:rPr>
        <w:t>根据表</w:t>
      </w:r>
      <w:r>
        <w:t>4.2.4</w:t>
      </w:r>
      <w:r>
        <w:rPr>
          <w:rFonts w:hint="eastAsia"/>
        </w:rPr>
        <w:t>-</w:t>
      </w:r>
      <w:r>
        <w:t>3</w:t>
      </w:r>
      <w:r>
        <w:rPr>
          <w:rFonts w:hint="eastAsia" w:ascii="宋体" w:hAnsi="宋体"/>
        </w:rPr>
        <w:t>所示，各监测点位各指标均达到《地下水质量标准》（</w:t>
      </w:r>
      <w:r>
        <w:t>GB/T14848-2017</w:t>
      </w:r>
      <w:r>
        <w:rPr>
          <w:rFonts w:hint="eastAsia" w:ascii="宋体" w:hAnsi="宋体"/>
        </w:rPr>
        <w:t>）中</w:t>
      </w:r>
      <w:r>
        <w:rPr>
          <w:rFonts w:hint="eastAsia"/>
        </w:rPr>
        <w:t>Ⅲ类标准。</w:t>
      </w:r>
    </w:p>
    <w:p w14:paraId="3D0BDD3F">
      <w:pPr>
        <w:pStyle w:val="4068"/>
      </w:pPr>
      <w:bookmarkStart w:id="189" w:name="_Toc108662631"/>
      <w:bookmarkStart w:id="190" w:name="_Toc100784022"/>
      <w:bookmarkStart w:id="191" w:name="_Toc101135854"/>
      <w:r>
        <w:rPr>
          <w:rFonts w:hint="eastAsia"/>
        </w:rPr>
        <w:t>4</w:t>
      </w:r>
      <w:r>
        <w:t>.2.5土壤环境质量现状</w:t>
      </w:r>
      <w:bookmarkEnd w:id="189"/>
      <w:bookmarkEnd w:id="190"/>
      <w:bookmarkEnd w:id="191"/>
    </w:p>
    <w:p w14:paraId="0B33869E">
      <w:pPr>
        <w:ind w:firstLine="480"/>
      </w:pPr>
      <w:r>
        <w:rPr>
          <w:rFonts w:hint="eastAsia" w:ascii="宋体" w:hAnsi="宋体"/>
        </w:rPr>
        <w:t>（</w:t>
      </w:r>
      <w:r>
        <w:rPr>
          <w:rFonts w:hint="eastAsia"/>
        </w:rPr>
        <w:t>1</w:t>
      </w:r>
      <w:r>
        <w:rPr>
          <w:rFonts w:hint="eastAsia" w:ascii="宋体" w:hAnsi="宋体"/>
        </w:rPr>
        <w:t>）监测点布设</w:t>
      </w:r>
    </w:p>
    <w:p w14:paraId="52C00EE0">
      <w:pPr>
        <w:ind w:firstLine="480"/>
      </w:pPr>
      <w:r>
        <w:rPr>
          <w:rFonts w:hint="eastAsia" w:ascii="宋体" w:hAnsi="宋体"/>
        </w:rPr>
        <w:t>本次评价共布设</w:t>
      </w:r>
      <w:r>
        <w:t>11</w:t>
      </w:r>
      <w:r>
        <w:rPr>
          <w:rFonts w:hint="eastAsia" w:ascii="宋体" w:hAnsi="宋体"/>
        </w:rPr>
        <w:t>个土壤环境质量现状监测点位，其中项目所在地范围内</w:t>
      </w:r>
      <w:r>
        <w:t>7</w:t>
      </w:r>
      <w:r>
        <w:rPr>
          <w:rFonts w:hint="eastAsia" w:ascii="宋体" w:hAnsi="宋体"/>
        </w:rPr>
        <w:t>个点位（</w:t>
      </w:r>
      <w:r>
        <w:t>5</w:t>
      </w:r>
      <w:r>
        <w:rPr>
          <w:rFonts w:hint="eastAsia" w:ascii="宋体" w:hAnsi="宋体"/>
        </w:rPr>
        <w:t>个为柱状样，</w:t>
      </w:r>
      <w:r>
        <w:t>2</w:t>
      </w:r>
      <w:r>
        <w:rPr>
          <w:rFonts w:hint="eastAsia" w:ascii="宋体" w:hAnsi="宋体"/>
        </w:rPr>
        <w:t>个为表层样），项目周边</w:t>
      </w:r>
      <w:r>
        <w:t>4</w:t>
      </w:r>
      <w:r>
        <w:rPr>
          <w:rFonts w:hint="eastAsia" w:ascii="宋体" w:hAnsi="宋体"/>
        </w:rPr>
        <w:t>个点位，具体监测点位、监测因子见表</w:t>
      </w:r>
      <w:r>
        <w:t>4.2.5-1</w:t>
      </w:r>
      <w:r>
        <w:rPr>
          <w:rFonts w:ascii="宋体" w:hAnsi="宋体"/>
        </w:rPr>
        <w:t>及附图</w:t>
      </w:r>
      <w:r>
        <w:rPr>
          <w:rFonts w:hint="eastAsia"/>
        </w:rPr>
        <w:t>4</w:t>
      </w:r>
      <w:r>
        <w:t>.2.3-1</w:t>
      </w:r>
      <w:r>
        <w:rPr>
          <w:rFonts w:hint="eastAsia" w:ascii="宋体" w:hAnsi="宋体"/>
        </w:rPr>
        <w:t>。</w:t>
      </w:r>
    </w:p>
    <w:p w14:paraId="2D07790C">
      <w:pPr>
        <w:spacing w:line="500" w:lineRule="exact"/>
        <w:ind w:firstLine="0" w:firstLineChars="0"/>
        <w:jc w:val="center"/>
        <w:rPr>
          <w:rFonts w:eastAsia="黑体"/>
        </w:rPr>
      </w:pPr>
      <w:r>
        <w:rPr>
          <w:rFonts w:hint="eastAsia" w:ascii="黑体" w:hAnsi="黑体" w:eastAsia="黑体"/>
        </w:rPr>
        <w:t>表</w:t>
      </w:r>
      <w:r>
        <w:rPr>
          <w:rFonts w:hint="eastAsia" w:eastAsia="黑体"/>
        </w:rPr>
        <w:t>4.</w:t>
      </w:r>
      <w:r>
        <w:rPr>
          <w:rFonts w:eastAsia="黑体"/>
        </w:rPr>
        <w:t>2</w:t>
      </w:r>
      <w:r>
        <w:rPr>
          <w:rFonts w:hint="eastAsia" w:eastAsia="黑体"/>
        </w:rPr>
        <w:t xml:space="preserve">.5-1  </w:t>
      </w:r>
      <w:r>
        <w:rPr>
          <w:rFonts w:hint="eastAsia" w:ascii="黑体" w:hAnsi="黑体" w:eastAsia="黑体"/>
        </w:rPr>
        <w:t>土壤环境质量现状监测点位和监测因子</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84"/>
        <w:gridCol w:w="2155"/>
        <w:gridCol w:w="3482"/>
        <w:gridCol w:w="1550"/>
      </w:tblGrid>
      <w:tr w14:paraId="38488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12BB9AC0">
            <w:pPr>
              <w:pStyle w:val="445"/>
              <w:rPr>
                <w:rFonts w:cs="Times New Roman"/>
                <w:kern w:val="0"/>
                <w:szCs w:val="20"/>
              </w:rPr>
            </w:pPr>
            <w:r>
              <w:rPr>
                <w:rFonts w:cs="Times New Roman"/>
                <w:kern w:val="0"/>
                <w:szCs w:val="20"/>
              </w:rPr>
              <w:t>编号</w:t>
            </w:r>
          </w:p>
        </w:tc>
        <w:tc>
          <w:tcPr>
            <w:tcW w:w="803" w:type="pct"/>
            <w:vAlign w:val="center"/>
          </w:tcPr>
          <w:p w14:paraId="422C85FA">
            <w:pPr>
              <w:pStyle w:val="445"/>
              <w:rPr>
                <w:rFonts w:cs="Times New Roman"/>
                <w:kern w:val="0"/>
                <w:szCs w:val="20"/>
              </w:rPr>
            </w:pPr>
            <w:r>
              <w:rPr>
                <w:rFonts w:cs="Times New Roman"/>
                <w:kern w:val="0"/>
                <w:szCs w:val="20"/>
              </w:rPr>
              <w:t>监测点位名称</w:t>
            </w:r>
          </w:p>
        </w:tc>
        <w:tc>
          <w:tcPr>
            <w:tcW w:w="1166" w:type="pct"/>
            <w:vAlign w:val="center"/>
          </w:tcPr>
          <w:p w14:paraId="411C9393">
            <w:pPr>
              <w:pStyle w:val="445"/>
              <w:rPr>
                <w:rFonts w:cs="Times New Roman"/>
                <w:kern w:val="0"/>
                <w:szCs w:val="20"/>
              </w:rPr>
            </w:pPr>
            <w:r>
              <w:rPr>
                <w:rFonts w:hint="eastAsia" w:cs="Times New Roman"/>
                <w:kern w:val="0"/>
                <w:szCs w:val="20"/>
              </w:rPr>
              <w:t>采样点</w:t>
            </w:r>
          </w:p>
        </w:tc>
        <w:tc>
          <w:tcPr>
            <w:tcW w:w="1884" w:type="pct"/>
            <w:vAlign w:val="center"/>
          </w:tcPr>
          <w:p w14:paraId="00563A62">
            <w:pPr>
              <w:pStyle w:val="445"/>
              <w:rPr>
                <w:rFonts w:cs="Times New Roman"/>
                <w:kern w:val="0"/>
                <w:szCs w:val="20"/>
              </w:rPr>
            </w:pPr>
            <w:r>
              <w:rPr>
                <w:rFonts w:cs="Times New Roman"/>
                <w:kern w:val="0"/>
                <w:szCs w:val="20"/>
              </w:rPr>
              <w:t>监测因子</w:t>
            </w:r>
          </w:p>
        </w:tc>
        <w:tc>
          <w:tcPr>
            <w:tcW w:w="838" w:type="pct"/>
            <w:vAlign w:val="center"/>
          </w:tcPr>
          <w:p w14:paraId="070A7C20">
            <w:pPr>
              <w:pStyle w:val="445"/>
              <w:rPr>
                <w:rFonts w:cs="Times New Roman"/>
                <w:kern w:val="0"/>
                <w:szCs w:val="20"/>
              </w:rPr>
            </w:pPr>
            <w:r>
              <w:rPr>
                <w:rFonts w:cs="Times New Roman"/>
                <w:kern w:val="0"/>
                <w:szCs w:val="20"/>
              </w:rPr>
              <w:t>功能要求</w:t>
            </w:r>
          </w:p>
        </w:tc>
      </w:tr>
      <w:tr w14:paraId="76D78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51412DAD">
            <w:pPr>
              <w:pStyle w:val="445"/>
              <w:rPr>
                <w:rFonts w:cs="Times New Roman"/>
                <w:kern w:val="0"/>
                <w:szCs w:val="20"/>
              </w:rPr>
            </w:pPr>
            <w:r>
              <w:rPr>
                <w:rFonts w:hint="eastAsia" w:cs="Times New Roman"/>
                <w:kern w:val="0"/>
                <w:szCs w:val="20"/>
              </w:rPr>
              <w:t>T1</w:t>
            </w:r>
          </w:p>
        </w:tc>
        <w:tc>
          <w:tcPr>
            <w:tcW w:w="803" w:type="pct"/>
            <w:vAlign w:val="center"/>
          </w:tcPr>
          <w:p w14:paraId="4C822335">
            <w:pPr>
              <w:pStyle w:val="445"/>
              <w:rPr>
                <w:rFonts w:cs="Times New Roman"/>
                <w:kern w:val="0"/>
                <w:szCs w:val="20"/>
              </w:rPr>
            </w:pPr>
            <w:r>
              <w:rPr>
                <w:rFonts w:hint="eastAsia" w:cs="Times New Roman"/>
                <w:kern w:val="0"/>
                <w:szCs w:val="20"/>
              </w:rPr>
              <w:t>污水</w:t>
            </w:r>
            <w:r>
              <w:rPr>
                <w:rFonts w:cs="Times New Roman"/>
                <w:kern w:val="0"/>
                <w:szCs w:val="20"/>
              </w:rPr>
              <w:t>处理站</w:t>
            </w:r>
          </w:p>
        </w:tc>
        <w:tc>
          <w:tcPr>
            <w:tcW w:w="1166" w:type="pct"/>
            <w:vAlign w:val="center"/>
          </w:tcPr>
          <w:p w14:paraId="378D8E88">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Align w:val="center"/>
          </w:tcPr>
          <w:p w14:paraId="4CA1CEEC">
            <w:pPr>
              <w:pStyle w:val="445"/>
              <w:rPr>
                <w:rFonts w:cs="Times New Roman"/>
                <w:kern w:val="0"/>
                <w:szCs w:val="20"/>
              </w:rPr>
            </w:pPr>
            <w:r>
              <w:rPr>
                <w:rFonts w:hint="eastAsia" w:cs="Times New Roman"/>
                <w:kern w:val="0"/>
                <w:szCs w:val="20"/>
              </w:rPr>
              <w:t>砷、</w:t>
            </w:r>
            <w:r>
              <w:rPr>
                <w:rFonts w:cs="Times New Roman"/>
                <w:kern w:val="0"/>
                <w:szCs w:val="20"/>
              </w:rPr>
              <w:t>镉、铬（</w:t>
            </w:r>
            <w:r>
              <w:rPr>
                <w:rFonts w:hint="eastAsia" w:cs="Times New Roman"/>
                <w:kern w:val="0"/>
                <w:szCs w:val="20"/>
              </w:rPr>
              <w:t>六价</w:t>
            </w:r>
            <w:r>
              <w:rPr>
                <w:rFonts w:cs="Times New Roman"/>
                <w:kern w:val="0"/>
                <w:szCs w:val="20"/>
              </w:rPr>
              <w:t>）</w:t>
            </w:r>
            <w:r>
              <w:rPr>
                <w:rFonts w:hint="eastAsia" w:cs="Times New Roman"/>
                <w:kern w:val="0"/>
                <w:szCs w:val="20"/>
              </w:rPr>
              <w:t>、</w:t>
            </w:r>
            <w:r>
              <w:rPr>
                <w:rFonts w:cs="Times New Roman"/>
                <w:kern w:val="0"/>
                <w:szCs w:val="20"/>
              </w:rPr>
              <w:t>铜、铅、汞、镍</w:t>
            </w:r>
          </w:p>
        </w:tc>
        <w:tc>
          <w:tcPr>
            <w:tcW w:w="838" w:type="pct"/>
            <w:vMerge w:val="restart"/>
            <w:vAlign w:val="center"/>
          </w:tcPr>
          <w:p w14:paraId="768C1391">
            <w:pPr>
              <w:pStyle w:val="445"/>
              <w:rPr>
                <w:rFonts w:cs="Times New Roman"/>
                <w:kern w:val="0"/>
                <w:szCs w:val="20"/>
              </w:rPr>
            </w:pPr>
            <w:r>
              <w:rPr>
                <w:rFonts w:hint="eastAsia" w:cs="Times New Roman"/>
                <w:kern w:val="0"/>
                <w:szCs w:val="20"/>
              </w:rPr>
              <w:t>《</w:t>
            </w:r>
            <w:r>
              <w:rPr>
                <w:rFonts w:cs="Times New Roman"/>
                <w:kern w:val="0"/>
                <w:szCs w:val="20"/>
              </w:rPr>
              <w:t xml:space="preserve">土壤环境质量 </w:t>
            </w:r>
            <w:r>
              <w:rPr>
                <w:rFonts w:hint="eastAsia" w:cs="Times New Roman"/>
                <w:kern w:val="0"/>
                <w:szCs w:val="20"/>
              </w:rPr>
              <w:t>建设用地土壤污染风险管控标准</w:t>
            </w:r>
            <w:r>
              <w:rPr>
                <w:rFonts w:cs="Times New Roman"/>
                <w:kern w:val="0"/>
                <w:szCs w:val="20"/>
              </w:rPr>
              <w:t>（试行）</w:t>
            </w:r>
            <w:r>
              <w:rPr>
                <w:rFonts w:hint="eastAsia" w:cs="Times New Roman"/>
                <w:kern w:val="0"/>
                <w:szCs w:val="20"/>
              </w:rPr>
              <w:t>》GB36600</w:t>
            </w:r>
            <w:r>
              <w:rPr>
                <w:rFonts w:cs="Times New Roman"/>
                <w:kern w:val="0"/>
                <w:szCs w:val="20"/>
              </w:rPr>
              <w:t>-2018</w:t>
            </w:r>
          </w:p>
        </w:tc>
      </w:tr>
      <w:tr w14:paraId="00518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457ED3B2">
            <w:pPr>
              <w:pStyle w:val="445"/>
              <w:rPr>
                <w:rFonts w:cs="Times New Roman"/>
                <w:kern w:val="0"/>
                <w:szCs w:val="20"/>
              </w:rPr>
            </w:pPr>
            <w:r>
              <w:rPr>
                <w:rFonts w:hint="eastAsia" w:cs="Times New Roman"/>
                <w:kern w:val="0"/>
                <w:szCs w:val="20"/>
              </w:rPr>
              <w:t>T2</w:t>
            </w:r>
          </w:p>
        </w:tc>
        <w:tc>
          <w:tcPr>
            <w:tcW w:w="803" w:type="pct"/>
            <w:vAlign w:val="center"/>
          </w:tcPr>
          <w:p w14:paraId="2D8C2783">
            <w:pPr>
              <w:pStyle w:val="445"/>
              <w:rPr>
                <w:rFonts w:cs="Times New Roman"/>
                <w:kern w:val="0"/>
                <w:szCs w:val="20"/>
              </w:rPr>
            </w:pPr>
            <w:r>
              <w:rPr>
                <w:rFonts w:hint="eastAsia" w:cs="Times New Roman"/>
                <w:color w:val="000000"/>
                <w:kern w:val="0"/>
                <w:szCs w:val="20"/>
              </w:rPr>
              <w:t>罐区</w:t>
            </w:r>
          </w:p>
        </w:tc>
        <w:tc>
          <w:tcPr>
            <w:tcW w:w="1166" w:type="pct"/>
            <w:vAlign w:val="center"/>
          </w:tcPr>
          <w:p w14:paraId="74D489E1">
            <w:pPr>
              <w:pStyle w:val="445"/>
              <w:rPr>
                <w:rFonts w:cs="Times New Roman"/>
                <w:kern w:val="0"/>
                <w:szCs w:val="20"/>
              </w:rPr>
            </w:pPr>
            <w:r>
              <w:rPr>
                <w:rFonts w:cs="Times New Roman"/>
                <w:kern w:val="0"/>
                <w:szCs w:val="20"/>
              </w:rPr>
              <w:t>0~</w:t>
            </w:r>
            <w:r>
              <w:rPr>
                <w:rFonts w:hint="eastAsia" w:cs="Times New Roman"/>
                <w:kern w:val="0"/>
                <w:szCs w:val="20"/>
              </w:rPr>
              <w:t>0.</w:t>
            </w:r>
            <w:r>
              <w:rPr>
                <w:rFonts w:cs="Times New Roman"/>
                <w:kern w:val="0"/>
                <w:szCs w:val="20"/>
              </w:rPr>
              <w:t>5</w:t>
            </w:r>
            <w:r>
              <w:rPr>
                <w:rFonts w:hint="eastAsia" w:cs="Times New Roman"/>
                <w:kern w:val="0"/>
                <w:szCs w:val="20"/>
              </w:rPr>
              <w:t>m处柱状样</w:t>
            </w:r>
          </w:p>
          <w:p w14:paraId="18BA6CE9">
            <w:pPr>
              <w:pStyle w:val="445"/>
              <w:rPr>
                <w:rFonts w:cs="Times New Roman"/>
                <w:kern w:val="0"/>
                <w:szCs w:val="20"/>
              </w:rPr>
            </w:pPr>
            <w:r>
              <w:rPr>
                <w:rFonts w:cs="Times New Roman"/>
                <w:kern w:val="0"/>
                <w:szCs w:val="20"/>
              </w:rPr>
              <w:t>0.5~1.5</w:t>
            </w:r>
            <w:r>
              <w:rPr>
                <w:rFonts w:hint="eastAsia" w:cs="Times New Roman"/>
                <w:kern w:val="0"/>
                <w:szCs w:val="20"/>
              </w:rPr>
              <w:t>m处柱状样</w:t>
            </w:r>
          </w:p>
          <w:p w14:paraId="42F0D6F9">
            <w:pPr>
              <w:pStyle w:val="445"/>
              <w:rPr>
                <w:rFonts w:cs="Times New Roman"/>
                <w:kern w:val="0"/>
                <w:szCs w:val="20"/>
              </w:rPr>
            </w:pPr>
            <w:r>
              <w:rPr>
                <w:rFonts w:cs="Times New Roman"/>
                <w:kern w:val="0"/>
                <w:szCs w:val="20"/>
              </w:rPr>
              <w:t>1.5~3</w:t>
            </w:r>
            <w:r>
              <w:rPr>
                <w:rFonts w:hint="eastAsia" w:cs="Times New Roman"/>
                <w:kern w:val="0"/>
                <w:szCs w:val="20"/>
              </w:rPr>
              <w:t>m处柱状样</w:t>
            </w:r>
          </w:p>
        </w:tc>
        <w:tc>
          <w:tcPr>
            <w:tcW w:w="1884" w:type="pct"/>
            <w:vAlign w:val="center"/>
          </w:tcPr>
          <w:p w14:paraId="2C73EE5E">
            <w:pPr>
              <w:pStyle w:val="445"/>
              <w:rPr>
                <w:rFonts w:cs="Times New Roman"/>
                <w:kern w:val="0"/>
                <w:szCs w:val="20"/>
              </w:rPr>
            </w:pPr>
            <w:r>
              <w:rPr>
                <w:rFonts w:hint="eastAsia" w:cs="Times New Roman"/>
                <w:kern w:val="0"/>
                <w:szCs w:val="20"/>
              </w:rPr>
              <w:t>铅、镉、汞、砷、镍、铬（六价）、铜、四氯化碳、氯仿、氯甲烷、</w:t>
            </w:r>
            <w:r>
              <w:rPr>
                <w:rFonts w:cs="Times New Roman"/>
                <w:kern w:val="0"/>
                <w:szCs w:val="20"/>
              </w:rPr>
              <w:t>1,1-</w:t>
            </w:r>
            <w:r>
              <w:rPr>
                <w:rFonts w:hint="eastAsia" w:cs="Times New Roman"/>
                <w:kern w:val="0"/>
                <w:szCs w:val="20"/>
              </w:rPr>
              <w:t>二氯乙烷、</w:t>
            </w:r>
            <w:r>
              <w:rPr>
                <w:rFonts w:cs="Times New Roman"/>
                <w:kern w:val="0"/>
                <w:szCs w:val="20"/>
              </w:rPr>
              <w:t>1,2-</w:t>
            </w:r>
            <w:r>
              <w:rPr>
                <w:rFonts w:hint="eastAsia" w:cs="Times New Roman"/>
                <w:kern w:val="0"/>
                <w:szCs w:val="20"/>
              </w:rPr>
              <w:t>二氯乙烷、</w:t>
            </w:r>
            <w:r>
              <w:rPr>
                <w:rFonts w:cs="Times New Roman"/>
                <w:kern w:val="0"/>
                <w:szCs w:val="20"/>
              </w:rPr>
              <w:t>1,1-</w:t>
            </w:r>
            <w:r>
              <w:rPr>
                <w:rFonts w:hint="eastAsia" w:cs="Times New Roman"/>
                <w:kern w:val="0"/>
                <w:szCs w:val="20"/>
              </w:rPr>
              <w:t>二氯乙烯、顺</w:t>
            </w:r>
            <w:r>
              <w:rPr>
                <w:rFonts w:cs="Times New Roman"/>
                <w:kern w:val="0"/>
                <w:szCs w:val="20"/>
              </w:rPr>
              <w:t>-1,2-</w:t>
            </w:r>
            <w:r>
              <w:rPr>
                <w:rFonts w:hint="eastAsia" w:cs="Times New Roman"/>
                <w:kern w:val="0"/>
                <w:szCs w:val="20"/>
              </w:rPr>
              <w:t>二氯乙烯、反</w:t>
            </w:r>
            <w:r>
              <w:rPr>
                <w:rFonts w:cs="Times New Roman"/>
                <w:kern w:val="0"/>
                <w:szCs w:val="20"/>
              </w:rPr>
              <w:t>-1,2-</w:t>
            </w:r>
            <w:r>
              <w:rPr>
                <w:rFonts w:hint="eastAsia" w:cs="Times New Roman"/>
                <w:kern w:val="0"/>
                <w:szCs w:val="20"/>
              </w:rPr>
              <w:t>二氯乙烯、二氯甲烷、</w:t>
            </w:r>
            <w:r>
              <w:rPr>
                <w:rFonts w:cs="Times New Roman"/>
                <w:kern w:val="0"/>
                <w:szCs w:val="20"/>
              </w:rPr>
              <w:t>1,2-</w:t>
            </w:r>
            <w:r>
              <w:rPr>
                <w:rFonts w:hint="eastAsia" w:cs="Times New Roman"/>
                <w:kern w:val="0"/>
                <w:szCs w:val="20"/>
              </w:rPr>
              <w:t>二氯丙烷、</w:t>
            </w:r>
            <w:r>
              <w:rPr>
                <w:rFonts w:cs="Times New Roman"/>
                <w:kern w:val="0"/>
                <w:szCs w:val="20"/>
              </w:rPr>
              <w:t>1,1,1,2-</w:t>
            </w:r>
            <w:r>
              <w:rPr>
                <w:rFonts w:hint="eastAsia" w:cs="Times New Roman"/>
                <w:kern w:val="0"/>
                <w:szCs w:val="20"/>
              </w:rPr>
              <w:t>四氯乙烷、</w:t>
            </w:r>
            <w:r>
              <w:rPr>
                <w:rFonts w:cs="Times New Roman"/>
                <w:kern w:val="0"/>
                <w:szCs w:val="20"/>
              </w:rPr>
              <w:t>1,1,2,2-</w:t>
            </w:r>
            <w:r>
              <w:rPr>
                <w:rFonts w:hint="eastAsia" w:cs="Times New Roman"/>
                <w:kern w:val="0"/>
                <w:szCs w:val="20"/>
              </w:rPr>
              <w:t>四氯乙烷、四氯乙烯、</w:t>
            </w:r>
            <w:r>
              <w:rPr>
                <w:rFonts w:cs="Times New Roman"/>
                <w:kern w:val="0"/>
                <w:szCs w:val="20"/>
              </w:rPr>
              <w:t>1,1,1-</w:t>
            </w:r>
            <w:r>
              <w:rPr>
                <w:rFonts w:hint="eastAsia" w:cs="Times New Roman"/>
                <w:kern w:val="0"/>
                <w:szCs w:val="20"/>
              </w:rPr>
              <w:t>三氯乙烷、</w:t>
            </w:r>
            <w:r>
              <w:rPr>
                <w:rFonts w:cs="Times New Roman"/>
                <w:kern w:val="0"/>
                <w:szCs w:val="20"/>
              </w:rPr>
              <w:t>1,1,2-</w:t>
            </w:r>
            <w:r>
              <w:rPr>
                <w:rFonts w:hint="eastAsia" w:cs="Times New Roman"/>
                <w:kern w:val="0"/>
                <w:szCs w:val="20"/>
              </w:rPr>
              <w:t>三氯乙烷、三氯乙烯、</w:t>
            </w:r>
            <w:r>
              <w:rPr>
                <w:rFonts w:cs="Times New Roman"/>
                <w:kern w:val="0"/>
                <w:szCs w:val="20"/>
              </w:rPr>
              <w:t>1,2,3-</w:t>
            </w:r>
            <w:r>
              <w:rPr>
                <w:rFonts w:hint="eastAsia" w:cs="Times New Roman"/>
                <w:kern w:val="0"/>
                <w:szCs w:val="20"/>
              </w:rPr>
              <w:t>三氯丙烷、氯乙烯、苯、氯苯、</w:t>
            </w:r>
            <w:r>
              <w:rPr>
                <w:rFonts w:cs="Times New Roman"/>
                <w:kern w:val="0"/>
                <w:szCs w:val="20"/>
              </w:rPr>
              <w:t>1,2-</w:t>
            </w:r>
            <w:r>
              <w:rPr>
                <w:rFonts w:hint="eastAsia" w:cs="Times New Roman"/>
                <w:kern w:val="0"/>
                <w:szCs w:val="20"/>
              </w:rPr>
              <w:t>二氯苯、</w:t>
            </w:r>
            <w:r>
              <w:rPr>
                <w:rFonts w:cs="Times New Roman"/>
                <w:kern w:val="0"/>
                <w:szCs w:val="20"/>
              </w:rPr>
              <w:t>1,4-</w:t>
            </w:r>
            <w:r>
              <w:rPr>
                <w:rFonts w:hint="eastAsia" w:cs="Times New Roman"/>
                <w:kern w:val="0"/>
                <w:szCs w:val="20"/>
              </w:rPr>
              <w:t>二氯苯、乙苯、苯乙烯、甲苯、间二甲苯</w:t>
            </w:r>
            <w:r>
              <w:rPr>
                <w:rFonts w:cs="Times New Roman"/>
                <w:kern w:val="0"/>
                <w:szCs w:val="20"/>
              </w:rPr>
              <w:t>+</w:t>
            </w:r>
            <w:r>
              <w:rPr>
                <w:rFonts w:hint="eastAsia" w:cs="Times New Roman"/>
                <w:kern w:val="0"/>
                <w:szCs w:val="20"/>
              </w:rPr>
              <w:t>对二甲苯、邻二甲苯、硝基苯、苯胺、2</w:t>
            </w:r>
            <w:r>
              <w:rPr>
                <w:rFonts w:cs="Times New Roman"/>
                <w:kern w:val="0"/>
                <w:szCs w:val="20"/>
              </w:rPr>
              <w:t>-</w:t>
            </w:r>
            <w:r>
              <w:rPr>
                <w:rFonts w:hint="eastAsia" w:cs="Times New Roman"/>
                <w:kern w:val="0"/>
                <w:szCs w:val="20"/>
              </w:rPr>
              <w:t>氯酚、苯并</w:t>
            </w:r>
            <w:r>
              <w:rPr>
                <w:rFonts w:cs="Times New Roman"/>
                <w:kern w:val="0"/>
                <w:szCs w:val="20"/>
              </w:rPr>
              <w:t>[a]</w:t>
            </w:r>
            <w:r>
              <w:rPr>
                <w:rFonts w:hint="eastAsia" w:cs="Times New Roman"/>
                <w:kern w:val="0"/>
                <w:szCs w:val="20"/>
              </w:rPr>
              <w:t>蒽、苯并</w:t>
            </w:r>
            <w:r>
              <w:rPr>
                <w:rFonts w:cs="Times New Roman"/>
                <w:kern w:val="0"/>
                <w:szCs w:val="20"/>
              </w:rPr>
              <w:t>[a]</w:t>
            </w:r>
            <w:r>
              <w:rPr>
                <w:rFonts w:hint="eastAsia" w:cs="Times New Roman"/>
                <w:kern w:val="0"/>
                <w:szCs w:val="20"/>
              </w:rPr>
              <w:t>芘、苯并</w:t>
            </w:r>
            <w:r>
              <w:rPr>
                <w:rFonts w:cs="Times New Roman"/>
                <w:kern w:val="0"/>
                <w:szCs w:val="20"/>
              </w:rPr>
              <w:t>[b]</w:t>
            </w:r>
            <w:r>
              <w:rPr>
                <w:rFonts w:hint="eastAsia" w:cs="Times New Roman"/>
                <w:kern w:val="0"/>
                <w:szCs w:val="20"/>
              </w:rPr>
              <w:t>荧蒽、苯并</w:t>
            </w:r>
            <w:r>
              <w:rPr>
                <w:rFonts w:cs="Times New Roman"/>
                <w:kern w:val="0"/>
                <w:szCs w:val="20"/>
              </w:rPr>
              <w:t>[k]</w:t>
            </w:r>
            <w:r>
              <w:rPr>
                <w:rFonts w:hint="eastAsia" w:cs="Times New Roman"/>
                <w:kern w:val="0"/>
                <w:szCs w:val="20"/>
              </w:rPr>
              <w:t>荧蒽、䓛、二苯并[a，h]蒽、茚并[1，2，3-c，d]芘、萘</w:t>
            </w:r>
          </w:p>
        </w:tc>
        <w:tc>
          <w:tcPr>
            <w:tcW w:w="0" w:type="auto"/>
            <w:vMerge w:val="continue"/>
            <w:vAlign w:val="center"/>
          </w:tcPr>
          <w:p w14:paraId="768C52CE">
            <w:pPr>
              <w:pStyle w:val="445"/>
              <w:rPr>
                <w:rFonts w:cs="Times New Roman"/>
                <w:kern w:val="0"/>
                <w:szCs w:val="18"/>
              </w:rPr>
            </w:pPr>
          </w:p>
        </w:tc>
      </w:tr>
      <w:tr w14:paraId="2F7F3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53B585A8">
            <w:pPr>
              <w:pStyle w:val="445"/>
              <w:rPr>
                <w:rFonts w:cs="Times New Roman"/>
                <w:kern w:val="0"/>
                <w:szCs w:val="20"/>
              </w:rPr>
            </w:pPr>
            <w:r>
              <w:rPr>
                <w:rFonts w:hint="eastAsia" w:cs="Times New Roman"/>
                <w:kern w:val="0"/>
                <w:szCs w:val="20"/>
              </w:rPr>
              <w:t>T3</w:t>
            </w:r>
          </w:p>
        </w:tc>
        <w:tc>
          <w:tcPr>
            <w:tcW w:w="803" w:type="pct"/>
            <w:vAlign w:val="center"/>
          </w:tcPr>
          <w:p w14:paraId="75D56D60">
            <w:pPr>
              <w:pStyle w:val="445"/>
              <w:rPr>
                <w:rFonts w:cs="Times New Roman"/>
                <w:kern w:val="0"/>
                <w:szCs w:val="20"/>
              </w:rPr>
            </w:pPr>
            <w:r>
              <w:rPr>
                <w:rFonts w:hint="eastAsia" w:cs="Times New Roman"/>
                <w:color w:val="000000"/>
                <w:kern w:val="0"/>
                <w:szCs w:val="20"/>
              </w:rPr>
              <w:t>中间</w:t>
            </w:r>
            <w:r>
              <w:rPr>
                <w:rFonts w:cs="Times New Roman"/>
                <w:color w:val="000000"/>
                <w:kern w:val="0"/>
                <w:szCs w:val="20"/>
              </w:rPr>
              <w:t>罐区</w:t>
            </w:r>
          </w:p>
        </w:tc>
        <w:tc>
          <w:tcPr>
            <w:tcW w:w="1166" w:type="pct"/>
            <w:vAlign w:val="center"/>
          </w:tcPr>
          <w:p w14:paraId="17D1E0F5">
            <w:pPr>
              <w:pStyle w:val="445"/>
              <w:rPr>
                <w:rFonts w:cs="Times New Roman"/>
                <w:kern w:val="0"/>
                <w:szCs w:val="20"/>
              </w:rPr>
            </w:pPr>
            <w:r>
              <w:rPr>
                <w:rFonts w:cs="Times New Roman"/>
                <w:kern w:val="0"/>
                <w:szCs w:val="20"/>
              </w:rPr>
              <w:t>0~</w:t>
            </w:r>
            <w:r>
              <w:rPr>
                <w:rFonts w:hint="eastAsia" w:cs="Times New Roman"/>
                <w:kern w:val="0"/>
                <w:szCs w:val="20"/>
              </w:rPr>
              <w:t>0.</w:t>
            </w:r>
            <w:r>
              <w:rPr>
                <w:rFonts w:cs="Times New Roman"/>
                <w:kern w:val="0"/>
                <w:szCs w:val="20"/>
              </w:rPr>
              <w:t>5</w:t>
            </w:r>
            <w:r>
              <w:rPr>
                <w:rFonts w:hint="eastAsia" w:cs="Times New Roman"/>
                <w:kern w:val="0"/>
                <w:szCs w:val="20"/>
              </w:rPr>
              <w:t>m处柱状样</w:t>
            </w:r>
          </w:p>
          <w:p w14:paraId="69AFCBD3">
            <w:pPr>
              <w:pStyle w:val="445"/>
              <w:rPr>
                <w:rFonts w:cs="Times New Roman"/>
                <w:kern w:val="0"/>
                <w:szCs w:val="20"/>
              </w:rPr>
            </w:pPr>
            <w:r>
              <w:rPr>
                <w:rFonts w:cs="Times New Roman"/>
                <w:kern w:val="0"/>
                <w:szCs w:val="20"/>
              </w:rPr>
              <w:t>0.5~1.5</w:t>
            </w:r>
            <w:r>
              <w:rPr>
                <w:rFonts w:hint="eastAsia" w:cs="Times New Roman"/>
                <w:kern w:val="0"/>
                <w:szCs w:val="20"/>
              </w:rPr>
              <w:t>m处柱状样</w:t>
            </w:r>
          </w:p>
          <w:p w14:paraId="182B6008">
            <w:pPr>
              <w:pStyle w:val="445"/>
              <w:rPr>
                <w:rFonts w:cs="Times New Roman"/>
                <w:kern w:val="0"/>
                <w:szCs w:val="20"/>
              </w:rPr>
            </w:pPr>
            <w:r>
              <w:rPr>
                <w:rFonts w:cs="Times New Roman"/>
                <w:kern w:val="0"/>
                <w:szCs w:val="20"/>
              </w:rPr>
              <w:t>1.5~3</w:t>
            </w:r>
            <w:r>
              <w:rPr>
                <w:rFonts w:hint="eastAsia" w:cs="Times New Roman"/>
                <w:kern w:val="0"/>
                <w:szCs w:val="20"/>
              </w:rPr>
              <w:t>m处柱状样</w:t>
            </w:r>
          </w:p>
        </w:tc>
        <w:tc>
          <w:tcPr>
            <w:tcW w:w="1884" w:type="pct"/>
            <w:vAlign w:val="center"/>
          </w:tcPr>
          <w:p w14:paraId="530FC87B">
            <w:pPr>
              <w:pStyle w:val="445"/>
              <w:rPr>
                <w:rFonts w:cs="Times New Roman"/>
                <w:kern w:val="0"/>
                <w:szCs w:val="20"/>
              </w:rPr>
            </w:pPr>
            <w:r>
              <w:rPr>
                <w:rFonts w:hint="eastAsia" w:cs="Times New Roman"/>
                <w:kern w:val="0"/>
                <w:szCs w:val="20"/>
              </w:rPr>
              <w:t>砷、</w:t>
            </w:r>
            <w:r>
              <w:rPr>
                <w:rFonts w:cs="Times New Roman"/>
                <w:kern w:val="0"/>
                <w:szCs w:val="20"/>
              </w:rPr>
              <w:t>镉、铬（</w:t>
            </w:r>
            <w:r>
              <w:rPr>
                <w:rFonts w:hint="eastAsia" w:cs="Times New Roman"/>
                <w:kern w:val="0"/>
                <w:szCs w:val="20"/>
              </w:rPr>
              <w:t>六价</w:t>
            </w:r>
            <w:r>
              <w:rPr>
                <w:rFonts w:cs="Times New Roman"/>
                <w:kern w:val="0"/>
                <w:szCs w:val="20"/>
              </w:rPr>
              <w:t>）</w:t>
            </w:r>
            <w:r>
              <w:rPr>
                <w:rFonts w:hint="eastAsia" w:cs="Times New Roman"/>
                <w:kern w:val="0"/>
                <w:szCs w:val="20"/>
              </w:rPr>
              <w:t>、</w:t>
            </w:r>
            <w:r>
              <w:rPr>
                <w:rFonts w:cs="Times New Roman"/>
                <w:kern w:val="0"/>
                <w:szCs w:val="20"/>
              </w:rPr>
              <w:t>铜、铅、汞、镍</w:t>
            </w:r>
          </w:p>
        </w:tc>
        <w:tc>
          <w:tcPr>
            <w:tcW w:w="0" w:type="auto"/>
            <w:vMerge w:val="continue"/>
            <w:vAlign w:val="center"/>
          </w:tcPr>
          <w:p w14:paraId="1F8AEBA8">
            <w:pPr>
              <w:pStyle w:val="445"/>
              <w:rPr>
                <w:rFonts w:cs="Times New Roman"/>
                <w:kern w:val="0"/>
                <w:szCs w:val="18"/>
              </w:rPr>
            </w:pPr>
          </w:p>
        </w:tc>
      </w:tr>
      <w:tr w14:paraId="0C84B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3F977131">
            <w:pPr>
              <w:pStyle w:val="445"/>
              <w:rPr>
                <w:rFonts w:cs="Times New Roman"/>
                <w:kern w:val="0"/>
                <w:szCs w:val="20"/>
              </w:rPr>
            </w:pPr>
            <w:r>
              <w:rPr>
                <w:rFonts w:hint="eastAsia" w:cs="Times New Roman"/>
                <w:kern w:val="0"/>
                <w:szCs w:val="20"/>
              </w:rPr>
              <w:t>T4</w:t>
            </w:r>
          </w:p>
        </w:tc>
        <w:tc>
          <w:tcPr>
            <w:tcW w:w="803" w:type="pct"/>
            <w:vAlign w:val="center"/>
          </w:tcPr>
          <w:p w14:paraId="2FDE410A">
            <w:pPr>
              <w:pStyle w:val="445"/>
              <w:rPr>
                <w:rFonts w:cs="Times New Roman"/>
                <w:kern w:val="0"/>
                <w:szCs w:val="20"/>
              </w:rPr>
            </w:pPr>
            <w:r>
              <w:rPr>
                <w:rFonts w:hint="eastAsia" w:cs="Times New Roman"/>
                <w:kern w:val="0"/>
                <w:szCs w:val="20"/>
              </w:rPr>
              <w:t>厂界外</w:t>
            </w:r>
            <w:r>
              <w:rPr>
                <w:rFonts w:cs="Times New Roman"/>
                <w:kern w:val="0"/>
                <w:szCs w:val="20"/>
              </w:rPr>
              <w:t>东侧空地</w:t>
            </w:r>
          </w:p>
        </w:tc>
        <w:tc>
          <w:tcPr>
            <w:tcW w:w="1166" w:type="pct"/>
            <w:vAlign w:val="center"/>
          </w:tcPr>
          <w:p w14:paraId="212A9B5E">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Align w:val="center"/>
          </w:tcPr>
          <w:p w14:paraId="7A973A44">
            <w:pPr>
              <w:pStyle w:val="445"/>
              <w:rPr>
                <w:rFonts w:cs="Times New Roman"/>
                <w:kern w:val="0"/>
                <w:szCs w:val="20"/>
              </w:rPr>
            </w:pPr>
            <w:r>
              <w:rPr>
                <w:rFonts w:hint="eastAsia" w:cs="Times New Roman"/>
                <w:kern w:val="0"/>
                <w:szCs w:val="20"/>
              </w:rPr>
              <w:t>砷、</w:t>
            </w:r>
            <w:r>
              <w:rPr>
                <w:rFonts w:cs="Times New Roman"/>
                <w:kern w:val="0"/>
                <w:szCs w:val="20"/>
              </w:rPr>
              <w:t>镉、铬（</w:t>
            </w:r>
            <w:r>
              <w:rPr>
                <w:rFonts w:hint="eastAsia" w:cs="Times New Roman"/>
                <w:kern w:val="0"/>
                <w:szCs w:val="20"/>
              </w:rPr>
              <w:t>六价</w:t>
            </w:r>
            <w:r>
              <w:rPr>
                <w:rFonts w:cs="Times New Roman"/>
                <w:kern w:val="0"/>
                <w:szCs w:val="20"/>
              </w:rPr>
              <w:t>）</w:t>
            </w:r>
            <w:r>
              <w:rPr>
                <w:rFonts w:hint="eastAsia" w:cs="Times New Roman"/>
                <w:kern w:val="0"/>
                <w:szCs w:val="20"/>
              </w:rPr>
              <w:t>、</w:t>
            </w:r>
            <w:r>
              <w:rPr>
                <w:rFonts w:cs="Times New Roman"/>
                <w:kern w:val="0"/>
                <w:szCs w:val="20"/>
              </w:rPr>
              <w:t>铜、铅、汞、镍</w:t>
            </w:r>
          </w:p>
        </w:tc>
        <w:tc>
          <w:tcPr>
            <w:tcW w:w="0" w:type="auto"/>
            <w:vMerge w:val="continue"/>
            <w:vAlign w:val="center"/>
          </w:tcPr>
          <w:p w14:paraId="16A329BB">
            <w:pPr>
              <w:pStyle w:val="445"/>
              <w:rPr>
                <w:rFonts w:cs="Times New Roman"/>
                <w:kern w:val="0"/>
                <w:szCs w:val="18"/>
              </w:rPr>
            </w:pPr>
          </w:p>
        </w:tc>
      </w:tr>
      <w:tr w14:paraId="297C0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5B1941A3">
            <w:pPr>
              <w:pStyle w:val="445"/>
              <w:rPr>
                <w:rFonts w:cs="Times New Roman"/>
                <w:kern w:val="0"/>
                <w:szCs w:val="20"/>
              </w:rPr>
            </w:pPr>
            <w:r>
              <w:rPr>
                <w:rFonts w:hint="eastAsia" w:cs="Times New Roman"/>
                <w:kern w:val="0"/>
                <w:szCs w:val="20"/>
              </w:rPr>
              <w:t>T5</w:t>
            </w:r>
          </w:p>
        </w:tc>
        <w:tc>
          <w:tcPr>
            <w:tcW w:w="803" w:type="pct"/>
            <w:vAlign w:val="center"/>
          </w:tcPr>
          <w:p w14:paraId="72F7EFE4">
            <w:pPr>
              <w:pStyle w:val="445"/>
              <w:rPr>
                <w:rFonts w:cs="Times New Roman"/>
                <w:kern w:val="0"/>
                <w:szCs w:val="20"/>
              </w:rPr>
            </w:pPr>
            <w:r>
              <w:rPr>
                <w:rFonts w:hint="eastAsia" w:cs="Times New Roman"/>
                <w:kern w:val="0"/>
                <w:szCs w:val="20"/>
              </w:rPr>
              <w:t>厂界外西侧</w:t>
            </w:r>
            <w:r>
              <w:rPr>
                <w:rFonts w:cs="Times New Roman"/>
                <w:kern w:val="0"/>
                <w:szCs w:val="20"/>
              </w:rPr>
              <w:t>空地</w:t>
            </w:r>
          </w:p>
        </w:tc>
        <w:tc>
          <w:tcPr>
            <w:tcW w:w="1166" w:type="pct"/>
            <w:vAlign w:val="center"/>
          </w:tcPr>
          <w:p w14:paraId="2CBAEA53">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Align w:val="center"/>
          </w:tcPr>
          <w:p w14:paraId="19BC4C98">
            <w:pPr>
              <w:pStyle w:val="445"/>
              <w:rPr>
                <w:rFonts w:cs="Times New Roman"/>
                <w:kern w:val="0"/>
                <w:szCs w:val="20"/>
              </w:rPr>
            </w:pPr>
            <w:r>
              <w:rPr>
                <w:rFonts w:hint="eastAsia" w:cs="Times New Roman"/>
                <w:kern w:val="0"/>
                <w:szCs w:val="20"/>
              </w:rPr>
              <w:t>砷、</w:t>
            </w:r>
            <w:r>
              <w:rPr>
                <w:rFonts w:cs="Times New Roman"/>
                <w:kern w:val="0"/>
                <w:szCs w:val="20"/>
              </w:rPr>
              <w:t>镉、铬（</w:t>
            </w:r>
            <w:r>
              <w:rPr>
                <w:rFonts w:hint="eastAsia" w:cs="Times New Roman"/>
                <w:kern w:val="0"/>
                <w:szCs w:val="20"/>
              </w:rPr>
              <w:t>六价</w:t>
            </w:r>
            <w:r>
              <w:rPr>
                <w:rFonts w:cs="Times New Roman"/>
                <w:kern w:val="0"/>
                <w:szCs w:val="20"/>
              </w:rPr>
              <w:t>）</w:t>
            </w:r>
            <w:r>
              <w:rPr>
                <w:rFonts w:hint="eastAsia" w:cs="Times New Roman"/>
                <w:kern w:val="0"/>
                <w:szCs w:val="20"/>
              </w:rPr>
              <w:t>、</w:t>
            </w:r>
            <w:r>
              <w:rPr>
                <w:rFonts w:cs="Times New Roman"/>
                <w:kern w:val="0"/>
                <w:szCs w:val="20"/>
              </w:rPr>
              <w:t>铜、铅、汞、镍</w:t>
            </w:r>
          </w:p>
        </w:tc>
        <w:tc>
          <w:tcPr>
            <w:tcW w:w="838" w:type="pct"/>
            <w:vMerge w:val="continue"/>
            <w:vAlign w:val="center"/>
          </w:tcPr>
          <w:p w14:paraId="67D31FE9">
            <w:pPr>
              <w:pStyle w:val="445"/>
              <w:rPr>
                <w:rFonts w:cs="Times New Roman"/>
                <w:color w:val="FF0000"/>
                <w:kern w:val="0"/>
                <w:sz w:val="21"/>
                <w:szCs w:val="21"/>
              </w:rPr>
            </w:pPr>
          </w:p>
        </w:tc>
      </w:tr>
      <w:tr w14:paraId="6DCA0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16F5A930">
            <w:pPr>
              <w:pStyle w:val="445"/>
              <w:rPr>
                <w:rFonts w:cs="Times New Roman"/>
                <w:kern w:val="0"/>
                <w:szCs w:val="18"/>
              </w:rPr>
            </w:pPr>
            <w:r>
              <w:rPr>
                <w:rFonts w:hint="eastAsia" w:cs="Times New Roman"/>
                <w:kern w:val="0"/>
                <w:szCs w:val="20"/>
              </w:rPr>
              <w:t>T6</w:t>
            </w:r>
          </w:p>
        </w:tc>
        <w:tc>
          <w:tcPr>
            <w:tcW w:w="803" w:type="pct"/>
            <w:vAlign w:val="center"/>
          </w:tcPr>
          <w:p w14:paraId="69684604">
            <w:pPr>
              <w:pStyle w:val="445"/>
              <w:rPr>
                <w:rFonts w:cs="Times New Roman"/>
                <w:kern w:val="0"/>
                <w:szCs w:val="20"/>
              </w:rPr>
            </w:pPr>
            <w:r>
              <w:rPr>
                <w:rFonts w:hint="eastAsia" w:cs="Times New Roman"/>
                <w:kern w:val="0"/>
                <w:szCs w:val="20"/>
              </w:rPr>
              <w:t>厂界</w:t>
            </w:r>
            <w:r>
              <w:rPr>
                <w:rFonts w:cs="Times New Roman"/>
                <w:kern w:val="0"/>
                <w:szCs w:val="20"/>
              </w:rPr>
              <w:t>外</w:t>
            </w:r>
            <w:r>
              <w:rPr>
                <w:rFonts w:hint="eastAsia" w:cs="Times New Roman"/>
                <w:kern w:val="0"/>
                <w:szCs w:val="20"/>
              </w:rPr>
              <w:t>南侧</w:t>
            </w:r>
            <w:r>
              <w:rPr>
                <w:rFonts w:cs="Times New Roman"/>
                <w:kern w:val="0"/>
                <w:szCs w:val="20"/>
              </w:rPr>
              <w:t>八一化工</w:t>
            </w:r>
          </w:p>
        </w:tc>
        <w:tc>
          <w:tcPr>
            <w:tcW w:w="0" w:type="auto"/>
            <w:vAlign w:val="center"/>
          </w:tcPr>
          <w:p w14:paraId="6052EE67">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Align w:val="center"/>
          </w:tcPr>
          <w:p w14:paraId="6890D549">
            <w:pPr>
              <w:pStyle w:val="445"/>
              <w:rPr>
                <w:rFonts w:cs="Times New Roman"/>
                <w:kern w:val="0"/>
                <w:szCs w:val="20"/>
              </w:rPr>
            </w:pPr>
            <w:r>
              <w:rPr>
                <w:rFonts w:hint="eastAsia" w:cs="Times New Roman"/>
                <w:kern w:val="0"/>
                <w:szCs w:val="20"/>
              </w:rPr>
              <w:t>砷、</w:t>
            </w:r>
            <w:r>
              <w:rPr>
                <w:rFonts w:cs="Times New Roman"/>
                <w:kern w:val="0"/>
                <w:szCs w:val="20"/>
              </w:rPr>
              <w:t>镉、铬（</w:t>
            </w:r>
            <w:r>
              <w:rPr>
                <w:rFonts w:hint="eastAsia" w:cs="Times New Roman"/>
                <w:kern w:val="0"/>
                <w:szCs w:val="20"/>
              </w:rPr>
              <w:t>六价</w:t>
            </w:r>
            <w:r>
              <w:rPr>
                <w:rFonts w:cs="Times New Roman"/>
                <w:kern w:val="0"/>
                <w:szCs w:val="20"/>
              </w:rPr>
              <w:t>）</w:t>
            </w:r>
            <w:r>
              <w:rPr>
                <w:rFonts w:hint="eastAsia" w:cs="Times New Roman"/>
                <w:kern w:val="0"/>
                <w:szCs w:val="20"/>
              </w:rPr>
              <w:t>、</w:t>
            </w:r>
            <w:r>
              <w:rPr>
                <w:rFonts w:cs="Times New Roman"/>
                <w:kern w:val="0"/>
                <w:szCs w:val="20"/>
              </w:rPr>
              <w:t>铜、铅、汞、镍</w:t>
            </w:r>
          </w:p>
        </w:tc>
        <w:tc>
          <w:tcPr>
            <w:tcW w:w="838" w:type="pct"/>
            <w:vMerge w:val="continue"/>
            <w:vAlign w:val="center"/>
          </w:tcPr>
          <w:p w14:paraId="175332A1">
            <w:pPr>
              <w:pStyle w:val="445"/>
              <w:rPr>
                <w:rFonts w:cs="Times New Roman"/>
                <w:kern w:val="0"/>
                <w:szCs w:val="20"/>
              </w:rPr>
            </w:pPr>
          </w:p>
        </w:tc>
      </w:tr>
      <w:tr w14:paraId="7C9A0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3297EC0A">
            <w:pPr>
              <w:pStyle w:val="445"/>
              <w:rPr>
                <w:rFonts w:cs="Times New Roman"/>
                <w:kern w:val="0"/>
                <w:szCs w:val="20"/>
              </w:rPr>
            </w:pPr>
            <w:r>
              <w:rPr>
                <w:rFonts w:hint="eastAsia" w:cs="Times New Roman"/>
                <w:kern w:val="0"/>
                <w:szCs w:val="20"/>
              </w:rPr>
              <w:t>T7</w:t>
            </w:r>
          </w:p>
        </w:tc>
        <w:tc>
          <w:tcPr>
            <w:tcW w:w="803" w:type="pct"/>
            <w:vAlign w:val="center"/>
          </w:tcPr>
          <w:p w14:paraId="0946FE19">
            <w:pPr>
              <w:pStyle w:val="445"/>
              <w:rPr>
                <w:rFonts w:cs="Times New Roman"/>
                <w:kern w:val="0"/>
                <w:szCs w:val="20"/>
              </w:rPr>
            </w:pPr>
            <w:r>
              <w:rPr>
                <w:rFonts w:hint="eastAsia" w:cs="Times New Roman"/>
                <w:kern w:val="0"/>
                <w:szCs w:val="20"/>
              </w:rPr>
              <w:t>现有</w:t>
            </w:r>
            <w:r>
              <w:rPr>
                <w:rFonts w:cs="Times New Roman"/>
                <w:kern w:val="0"/>
                <w:szCs w:val="20"/>
              </w:rPr>
              <w:t>工程厂区</w:t>
            </w:r>
          </w:p>
        </w:tc>
        <w:tc>
          <w:tcPr>
            <w:tcW w:w="0" w:type="auto"/>
            <w:vAlign w:val="center"/>
          </w:tcPr>
          <w:p w14:paraId="038EBCFC">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Merge w:val="restart"/>
            <w:vAlign w:val="center"/>
          </w:tcPr>
          <w:p w14:paraId="15F4AFFE">
            <w:pPr>
              <w:pStyle w:val="445"/>
              <w:rPr>
                <w:rFonts w:cs="Times New Roman"/>
                <w:kern w:val="0"/>
                <w:szCs w:val="20"/>
              </w:rPr>
            </w:pPr>
            <w:r>
              <w:rPr>
                <w:rFonts w:hint="eastAsia" w:cs="Times New Roman"/>
                <w:kern w:val="0"/>
                <w:szCs w:val="20"/>
              </w:rPr>
              <w:t>铅、镉、汞、砷、镍、铬（六价）、铜、四氯化碳、氯仿、氯甲烷、</w:t>
            </w:r>
            <w:r>
              <w:rPr>
                <w:rFonts w:cs="Times New Roman"/>
                <w:kern w:val="0"/>
                <w:szCs w:val="20"/>
              </w:rPr>
              <w:t>1,1-</w:t>
            </w:r>
            <w:r>
              <w:rPr>
                <w:rFonts w:hint="eastAsia" w:cs="Times New Roman"/>
                <w:kern w:val="0"/>
                <w:szCs w:val="20"/>
              </w:rPr>
              <w:t>二氯乙烷、</w:t>
            </w:r>
            <w:r>
              <w:rPr>
                <w:rFonts w:cs="Times New Roman"/>
                <w:kern w:val="0"/>
                <w:szCs w:val="20"/>
              </w:rPr>
              <w:t>1,2-</w:t>
            </w:r>
            <w:r>
              <w:rPr>
                <w:rFonts w:hint="eastAsia" w:cs="Times New Roman"/>
                <w:kern w:val="0"/>
                <w:szCs w:val="20"/>
              </w:rPr>
              <w:t>二氯乙烷、</w:t>
            </w:r>
            <w:r>
              <w:rPr>
                <w:rFonts w:cs="Times New Roman"/>
                <w:kern w:val="0"/>
                <w:szCs w:val="20"/>
              </w:rPr>
              <w:t>1,1-</w:t>
            </w:r>
            <w:r>
              <w:rPr>
                <w:rFonts w:hint="eastAsia" w:cs="Times New Roman"/>
                <w:kern w:val="0"/>
                <w:szCs w:val="20"/>
              </w:rPr>
              <w:t>二氯乙烯、顺</w:t>
            </w:r>
            <w:r>
              <w:rPr>
                <w:rFonts w:cs="Times New Roman"/>
                <w:kern w:val="0"/>
                <w:szCs w:val="20"/>
              </w:rPr>
              <w:t>-1,2-</w:t>
            </w:r>
            <w:r>
              <w:rPr>
                <w:rFonts w:hint="eastAsia" w:cs="Times New Roman"/>
                <w:kern w:val="0"/>
                <w:szCs w:val="20"/>
              </w:rPr>
              <w:t>二氯乙烯、反</w:t>
            </w:r>
            <w:r>
              <w:rPr>
                <w:rFonts w:cs="Times New Roman"/>
                <w:kern w:val="0"/>
                <w:szCs w:val="20"/>
              </w:rPr>
              <w:t>-1,2-</w:t>
            </w:r>
            <w:r>
              <w:rPr>
                <w:rFonts w:hint="eastAsia" w:cs="Times New Roman"/>
                <w:kern w:val="0"/>
                <w:szCs w:val="20"/>
              </w:rPr>
              <w:t>二氯乙烯、二氯甲烷、</w:t>
            </w:r>
            <w:r>
              <w:rPr>
                <w:rFonts w:cs="Times New Roman"/>
                <w:kern w:val="0"/>
                <w:szCs w:val="20"/>
              </w:rPr>
              <w:t>1,2-</w:t>
            </w:r>
            <w:r>
              <w:rPr>
                <w:rFonts w:hint="eastAsia" w:cs="Times New Roman"/>
                <w:kern w:val="0"/>
                <w:szCs w:val="20"/>
              </w:rPr>
              <w:t>二氯丙烷、</w:t>
            </w:r>
            <w:r>
              <w:rPr>
                <w:rFonts w:cs="Times New Roman"/>
                <w:kern w:val="0"/>
                <w:szCs w:val="20"/>
              </w:rPr>
              <w:t>1,1,1,2-</w:t>
            </w:r>
            <w:r>
              <w:rPr>
                <w:rFonts w:hint="eastAsia" w:cs="Times New Roman"/>
                <w:kern w:val="0"/>
                <w:szCs w:val="20"/>
              </w:rPr>
              <w:t>四氯乙烷、</w:t>
            </w:r>
            <w:r>
              <w:rPr>
                <w:rFonts w:cs="Times New Roman"/>
                <w:kern w:val="0"/>
                <w:szCs w:val="20"/>
              </w:rPr>
              <w:t>1,1,2,2-</w:t>
            </w:r>
            <w:r>
              <w:rPr>
                <w:rFonts w:hint="eastAsia" w:cs="Times New Roman"/>
                <w:kern w:val="0"/>
                <w:szCs w:val="20"/>
              </w:rPr>
              <w:t>四氯乙烷、四氯乙烯、</w:t>
            </w:r>
            <w:r>
              <w:rPr>
                <w:rFonts w:cs="Times New Roman"/>
                <w:kern w:val="0"/>
                <w:szCs w:val="20"/>
              </w:rPr>
              <w:t>1,1,1-</w:t>
            </w:r>
            <w:r>
              <w:rPr>
                <w:rFonts w:hint="eastAsia" w:cs="Times New Roman"/>
                <w:kern w:val="0"/>
                <w:szCs w:val="20"/>
              </w:rPr>
              <w:t>三氯乙烷、</w:t>
            </w:r>
            <w:r>
              <w:rPr>
                <w:rFonts w:cs="Times New Roman"/>
                <w:kern w:val="0"/>
                <w:szCs w:val="20"/>
              </w:rPr>
              <w:t>1,1,2-</w:t>
            </w:r>
            <w:r>
              <w:rPr>
                <w:rFonts w:hint="eastAsia" w:cs="Times New Roman"/>
                <w:kern w:val="0"/>
                <w:szCs w:val="20"/>
              </w:rPr>
              <w:t>三氯乙烷、三氯乙烯、</w:t>
            </w:r>
            <w:r>
              <w:rPr>
                <w:rFonts w:cs="Times New Roman"/>
                <w:kern w:val="0"/>
                <w:szCs w:val="20"/>
              </w:rPr>
              <w:t>1,2,3-</w:t>
            </w:r>
            <w:r>
              <w:rPr>
                <w:rFonts w:hint="eastAsia" w:cs="Times New Roman"/>
                <w:kern w:val="0"/>
                <w:szCs w:val="20"/>
              </w:rPr>
              <w:t>三氯丙烷、氯乙烯、苯、氯苯、</w:t>
            </w:r>
            <w:r>
              <w:rPr>
                <w:rFonts w:cs="Times New Roman"/>
                <w:kern w:val="0"/>
                <w:szCs w:val="20"/>
              </w:rPr>
              <w:t>1,2-</w:t>
            </w:r>
            <w:r>
              <w:rPr>
                <w:rFonts w:hint="eastAsia" w:cs="Times New Roman"/>
                <w:kern w:val="0"/>
                <w:szCs w:val="20"/>
              </w:rPr>
              <w:t>二氯苯、</w:t>
            </w:r>
            <w:r>
              <w:rPr>
                <w:rFonts w:cs="Times New Roman"/>
                <w:kern w:val="0"/>
                <w:szCs w:val="20"/>
              </w:rPr>
              <w:t>1,4-</w:t>
            </w:r>
            <w:r>
              <w:rPr>
                <w:rFonts w:hint="eastAsia" w:cs="Times New Roman"/>
                <w:kern w:val="0"/>
                <w:szCs w:val="20"/>
              </w:rPr>
              <w:t>二氯苯、乙苯、苯乙烯、甲苯、间二甲苯</w:t>
            </w:r>
            <w:r>
              <w:rPr>
                <w:rFonts w:cs="Times New Roman"/>
                <w:kern w:val="0"/>
                <w:szCs w:val="20"/>
              </w:rPr>
              <w:t>+</w:t>
            </w:r>
            <w:r>
              <w:rPr>
                <w:rFonts w:hint="eastAsia" w:cs="Times New Roman"/>
                <w:kern w:val="0"/>
                <w:szCs w:val="20"/>
              </w:rPr>
              <w:t>对二甲苯、邻二甲苯、硝基苯、苯胺、2</w:t>
            </w:r>
            <w:r>
              <w:rPr>
                <w:rFonts w:cs="Times New Roman"/>
                <w:kern w:val="0"/>
                <w:szCs w:val="20"/>
              </w:rPr>
              <w:t>-</w:t>
            </w:r>
            <w:r>
              <w:rPr>
                <w:rFonts w:hint="eastAsia" w:cs="Times New Roman"/>
                <w:kern w:val="0"/>
                <w:szCs w:val="20"/>
              </w:rPr>
              <w:t>氯酚、苯并</w:t>
            </w:r>
            <w:r>
              <w:rPr>
                <w:rFonts w:cs="Times New Roman"/>
                <w:kern w:val="0"/>
                <w:szCs w:val="20"/>
              </w:rPr>
              <w:t>[a]</w:t>
            </w:r>
            <w:r>
              <w:rPr>
                <w:rFonts w:hint="eastAsia" w:cs="Times New Roman"/>
                <w:kern w:val="0"/>
                <w:szCs w:val="20"/>
              </w:rPr>
              <w:t>蒽、苯并</w:t>
            </w:r>
            <w:r>
              <w:rPr>
                <w:rFonts w:cs="Times New Roman"/>
                <w:kern w:val="0"/>
                <w:szCs w:val="20"/>
              </w:rPr>
              <w:t>[a]</w:t>
            </w:r>
            <w:r>
              <w:rPr>
                <w:rFonts w:hint="eastAsia" w:cs="Times New Roman"/>
                <w:kern w:val="0"/>
                <w:szCs w:val="20"/>
              </w:rPr>
              <w:t>芘、苯并</w:t>
            </w:r>
            <w:r>
              <w:rPr>
                <w:rFonts w:cs="Times New Roman"/>
                <w:kern w:val="0"/>
                <w:szCs w:val="20"/>
              </w:rPr>
              <w:t>[b]</w:t>
            </w:r>
            <w:r>
              <w:rPr>
                <w:rFonts w:hint="eastAsia" w:cs="Times New Roman"/>
                <w:kern w:val="0"/>
                <w:szCs w:val="20"/>
              </w:rPr>
              <w:t>荧蒽、苯并</w:t>
            </w:r>
            <w:r>
              <w:rPr>
                <w:rFonts w:cs="Times New Roman"/>
                <w:kern w:val="0"/>
                <w:szCs w:val="20"/>
              </w:rPr>
              <w:t>[k]</w:t>
            </w:r>
            <w:r>
              <w:rPr>
                <w:rFonts w:hint="eastAsia" w:cs="Times New Roman"/>
                <w:kern w:val="0"/>
                <w:szCs w:val="20"/>
              </w:rPr>
              <w:t>荧蒽、䓛、二苯并[a，h]蒽、茚并[1，2，3-c，d]芘、萘</w:t>
            </w:r>
          </w:p>
        </w:tc>
        <w:tc>
          <w:tcPr>
            <w:tcW w:w="838" w:type="pct"/>
            <w:vMerge w:val="continue"/>
            <w:vAlign w:val="center"/>
          </w:tcPr>
          <w:p w14:paraId="67106FB3">
            <w:pPr>
              <w:pStyle w:val="445"/>
              <w:rPr>
                <w:rFonts w:cs="Times New Roman"/>
                <w:kern w:val="0"/>
                <w:szCs w:val="20"/>
              </w:rPr>
            </w:pPr>
          </w:p>
        </w:tc>
      </w:tr>
      <w:tr w14:paraId="0F64C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25D90B95">
            <w:pPr>
              <w:pStyle w:val="445"/>
              <w:rPr>
                <w:rFonts w:cs="Times New Roman"/>
                <w:kern w:val="0"/>
                <w:szCs w:val="20"/>
              </w:rPr>
            </w:pPr>
            <w:r>
              <w:rPr>
                <w:rFonts w:hint="eastAsia" w:cs="Times New Roman"/>
                <w:kern w:val="0"/>
                <w:szCs w:val="20"/>
              </w:rPr>
              <w:t>T8</w:t>
            </w:r>
          </w:p>
        </w:tc>
        <w:tc>
          <w:tcPr>
            <w:tcW w:w="803" w:type="pct"/>
            <w:vAlign w:val="center"/>
          </w:tcPr>
          <w:p w14:paraId="129E2388">
            <w:pPr>
              <w:pStyle w:val="445"/>
              <w:rPr>
                <w:rFonts w:cs="Times New Roman"/>
                <w:kern w:val="0"/>
                <w:szCs w:val="20"/>
              </w:rPr>
            </w:pPr>
            <w:r>
              <w:rPr>
                <w:rFonts w:hint="eastAsia" w:cs="Times New Roman"/>
                <w:kern w:val="0"/>
                <w:szCs w:val="20"/>
              </w:rPr>
              <w:t>现有</w:t>
            </w:r>
            <w:r>
              <w:rPr>
                <w:rFonts w:cs="Times New Roman"/>
                <w:kern w:val="0"/>
                <w:szCs w:val="20"/>
              </w:rPr>
              <w:t>工程厂区</w:t>
            </w:r>
          </w:p>
        </w:tc>
        <w:tc>
          <w:tcPr>
            <w:tcW w:w="0" w:type="auto"/>
            <w:vAlign w:val="center"/>
          </w:tcPr>
          <w:p w14:paraId="0E1DD226">
            <w:pPr>
              <w:pStyle w:val="445"/>
              <w:rPr>
                <w:rFonts w:cs="Times New Roman"/>
                <w:kern w:val="0"/>
                <w:szCs w:val="20"/>
              </w:rPr>
            </w:pPr>
            <w:r>
              <w:rPr>
                <w:rFonts w:cs="Times New Roman"/>
                <w:kern w:val="0"/>
                <w:szCs w:val="20"/>
              </w:rPr>
              <w:t>0~</w:t>
            </w:r>
            <w:r>
              <w:rPr>
                <w:rFonts w:hint="eastAsia" w:cs="Times New Roman"/>
                <w:kern w:val="0"/>
                <w:szCs w:val="20"/>
              </w:rPr>
              <w:t>0.</w:t>
            </w:r>
            <w:r>
              <w:rPr>
                <w:rFonts w:cs="Times New Roman"/>
                <w:kern w:val="0"/>
                <w:szCs w:val="20"/>
              </w:rPr>
              <w:t>5</w:t>
            </w:r>
            <w:r>
              <w:rPr>
                <w:rFonts w:hint="eastAsia" w:cs="Times New Roman"/>
                <w:kern w:val="0"/>
                <w:szCs w:val="20"/>
              </w:rPr>
              <w:t>m处柱状样</w:t>
            </w:r>
          </w:p>
          <w:p w14:paraId="2913A192">
            <w:pPr>
              <w:pStyle w:val="445"/>
              <w:rPr>
                <w:rFonts w:cs="Times New Roman"/>
                <w:kern w:val="0"/>
                <w:szCs w:val="20"/>
              </w:rPr>
            </w:pPr>
            <w:r>
              <w:rPr>
                <w:rFonts w:cs="Times New Roman"/>
                <w:kern w:val="0"/>
                <w:szCs w:val="20"/>
              </w:rPr>
              <w:t>0.5~1.5</w:t>
            </w:r>
            <w:r>
              <w:rPr>
                <w:rFonts w:hint="eastAsia" w:cs="Times New Roman"/>
                <w:kern w:val="0"/>
                <w:szCs w:val="20"/>
              </w:rPr>
              <w:t>m处柱状样</w:t>
            </w:r>
          </w:p>
          <w:p w14:paraId="57C5C80F">
            <w:pPr>
              <w:pStyle w:val="445"/>
              <w:rPr>
                <w:rFonts w:cs="Times New Roman"/>
                <w:kern w:val="0"/>
                <w:szCs w:val="20"/>
              </w:rPr>
            </w:pPr>
            <w:r>
              <w:rPr>
                <w:rFonts w:cs="Times New Roman"/>
                <w:kern w:val="0"/>
                <w:szCs w:val="20"/>
              </w:rPr>
              <w:t>1.5~3</w:t>
            </w:r>
            <w:r>
              <w:rPr>
                <w:rFonts w:hint="eastAsia" w:cs="Times New Roman"/>
                <w:kern w:val="0"/>
                <w:szCs w:val="20"/>
              </w:rPr>
              <w:t>m处柱状样</w:t>
            </w:r>
          </w:p>
        </w:tc>
        <w:tc>
          <w:tcPr>
            <w:tcW w:w="1884" w:type="pct"/>
            <w:vMerge w:val="continue"/>
            <w:vAlign w:val="center"/>
          </w:tcPr>
          <w:p w14:paraId="5998D55E">
            <w:pPr>
              <w:pStyle w:val="445"/>
              <w:rPr>
                <w:rFonts w:cs="Times New Roman"/>
                <w:kern w:val="0"/>
                <w:szCs w:val="20"/>
              </w:rPr>
            </w:pPr>
          </w:p>
        </w:tc>
        <w:tc>
          <w:tcPr>
            <w:tcW w:w="838" w:type="pct"/>
            <w:vMerge w:val="continue"/>
            <w:vAlign w:val="center"/>
          </w:tcPr>
          <w:p w14:paraId="573E62E5">
            <w:pPr>
              <w:pStyle w:val="445"/>
              <w:rPr>
                <w:rFonts w:cs="Times New Roman"/>
                <w:kern w:val="0"/>
                <w:szCs w:val="20"/>
              </w:rPr>
            </w:pPr>
          </w:p>
        </w:tc>
      </w:tr>
      <w:tr w14:paraId="3CFB79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29B2294A">
            <w:pPr>
              <w:pStyle w:val="445"/>
              <w:rPr>
                <w:rFonts w:cs="Times New Roman"/>
                <w:kern w:val="0"/>
                <w:szCs w:val="20"/>
              </w:rPr>
            </w:pPr>
            <w:r>
              <w:rPr>
                <w:rFonts w:hint="eastAsia" w:cs="Times New Roman"/>
                <w:kern w:val="0"/>
                <w:szCs w:val="20"/>
              </w:rPr>
              <w:t>T9</w:t>
            </w:r>
          </w:p>
        </w:tc>
        <w:tc>
          <w:tcPr>
            <w:tcW w:w="803" w:type="pct"/>
            <w:vAlign w:val="center"/>
          </w:tcPr>
          <w:p w14:paraId="32E6C3AA">
            <w:pPr>
              <w:pStyle w:val="445"/>
              <w:rPr>
                <w:rFonts w:cs="Times New Roman"/>
                <w:kern w:val="0"/>
                <w:szCs w:val="20"/>
              </w:rPr>
            </w:pPr>
            <w:r>
              <w:rPr>
                <w:rFonts w:hint="eastAsia" w:cs="Times New Roman"/>
                <w:kern w:val="0"/>
                <w:szCs w:val="20"/>
              </w:rPr>
              <w:t>现有</w:t>
            </w:r>
            <w:r>
              <w:rPr>
                <w:rFonts w:cs="Times New Roman"/>
                <w:kern w:val="0"/>
                <w:szCs w:val="20"/>
              </w:rPr>
              <w:t>工程厂区</w:t>
            </w:r>
          </w:p>
        </w:tc>
        <w:tc>
          <w:tcPr>
            <w:tcW w:w="0" w:type="auto"/>
            <w:vAlign w:val="center"/>
          </w:tcPr>
          <w:p w14:paraId="7913A269">
            <w:pPr>
              <w:pStyle w:val="445"/>
              <w:rPr>
                <w:rFonts w:cs="Times New Roman"/>
                <w:kern w:val="0"/>
                <w:szCs w:val="20"/>
              </w:rPr>
            </w:pPr>
            <w:r>
              <w:rPr>
                <w:rFonts w:cs="Times New Roman"/>
                <w:kern w:val="0"/>
                <w:szCs w:val="20"/>
              </w:rPr>
              <w:t>0~</w:t>
            </w:r>
            <w:r>
              <w:rPr>
                <w:rFonts w:hint="eastAsia" w:cs="Times New Roman"/>
                <w:kern w:val="0"/>
                <w:szCs w:val="20"/>
              </w:rPr>
              <w:t>0.</w:t>
            </w:r>
            <w:r>
              <w:rPr>
                <w:rFonts w:cs="Times New Roman"/>
                <w:kern w:val="0"/>
                <w:szCs w:val="20"/>
              </w:rPr>
              <w:t>5</w:t>
            </w:r>
            <w:r>
              <w:rPr>
                <w:rFonts w:hint="eastAsia" w:cs="Times New Roman"/>
                <w:kern w:val="0"/>
                <w:szCs w:val="20"/>
              </w:rPr>
              <w:t>m处柱状样</w:t>
            </w:r>
          </w:p>
          <w:p w14:paraId="014A930E">
            <w:pPr>
              <w:pStyle w:val="445"/>
              <w:rPr>
                <w:rFonts w:cs="Times New Roman"/>
                <w:kern w:val="0"/>
                <w:szCs w:val="20"/>
              </w:rPr>
            </w:pPr>
            <w:r>
              <w:rPr>
                <w:rFonts w:cs="Times New Roman"/>
                <w:kern w:val="0"/>
                <w:szCs w:val="20"/>
              </w:rPr>
              <w:t>0.5~1.5</w:t>
            </w:r>
            <w:r>
              <w:rPr>
                <w:rFonts w:hint="eastAsia" w:cs="Times New Roman"/>
                <w:kern w:val="0"/>
                <w:szCs w:val="20"/>
              </w:rPr>
              <w:t>m处柱状样</w:t>
            </w:r>
          </w:p>
          <w:p w14:paraId="59ED2B0C">
            <w:pPr>
              <w:pStyle w:val="445"/>
              <w:rPr>
                <w:rFonts w:cs="Times New Roman"/>
                <w:kern w:val="0"/>
                <w:szCs w:val="20"/>
              </w:rPr>
            </w:pPr>
            <w:r>
              <w:rPr>
                <w:rFonts w:cs="Times New Roman"/>
                <w:kern w:val="0"/>
                <w:szCs w:val="20"/>
              </w:rPr>
              <w:t>1.5~3</w:t>
            </w:r>
            <w:r>
              <w:rPr>
                <w:rFonts w:hint="eastAsia" w:cs="Times New Roman"/>
                <w:kern w:val="0"/>
                <w:szCs w:val="20"/>
              </w:rPr>
              <w:t>m处柱状样</w:t>
            </w:r>
          </w:p>
        </w:tc>
        <w:tc>
          <w:tcPr>
            <w:tcW w:w="1884" w:type="pct"/>
            <w:vMerge w:val="continue"/>
            <w:vAlign w:val="center"/>
          </w:tcPr>
          <w:p w14:paraId="7A99407A">
            <w:pPr>
              <w:pStyle w:val="445"/>
              <w:rPr>
                <w:rFonts w:cs="Times New Roman"/>
                <w:kern w:val="0"/>
                <w:szCs w:val="20"/>
              </w:rPr>
            </w:pPr>
          </w:p>
        </w:tc>
        <w:tc>
          <w:tcPr>
            <w:tcW w:w="838" w:type="pct"/>
            <w:vMerge w:val="continue"/>
            <w:vAlign w:val="center"/>
          </w:tcPr>
          <w:p w14:paraId="644B6F58">
            <w:pPr>
              <w:pStyle w:val="445"/>
              <w:rPr>
                <w:rFonts w:cs="Times New Roman"/>
                <w:kern w:val="0"/>
                <w:szCs w:val="20"/>
              </w:rPr>
            </w:pPr>
          </w:p>
        </w:tc>
      </w:tr>
      <w:tr w14:paraId="79C4A0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12C58465">
            <w:pPr>
              <w:pStyle w:val="445"/>
              <w:rPr>
                <w:rFonts w:cs="Times New Roman"/>
                <w:kern w:val="0"/>
                <w:szCs w:val="20"/>
              </w:rPr>
            </w:pPr>
            <w:r>
              <w:rPr>
                <w:rFonts w:hint="eastAsia" w:cs="Times New Roman"/>
                <w:kern w:val="0"/>
                <w:szCs w:val="20"/>
              </w:rPr>
              <w:t>T10</w:t>
            </w:r>
          </w:p>
        </w:tc>
        <w:tc>
          <w:tcPr>
            <w:tcW w:w="803" w:type="pct"/>
            <w:vAlign w:val="center"/>
          </w:tcPr>
          <w:p w14:paraId="3E74CD04">
            <w:pPr>
              <w:pStyle w:val="445"/>
              <w:rPr>
                <w:rFonts w:cs="Times New Roman"/>
                <w:kern w:val="0"/>
                <w:szCs w:val="20"/>
              </w:rPr>
            </w:pPr>
            <w:r>
              <w:rPr>
                <w:rFonts w:hint="eastAsia" w:cs="Times New Roman"/>
                <w:kern w:val="0"/>
                <w:szCs w:val="20"/>
              </w:rPr>
              <w:t>现有</w:t>
            </w:r>
            <w:r>
              <w:rPr>
                <w:rFonts w:cs="Times New Roman"/>
                <w:kern w:val="0"/>
                <w:szCs w:val="20"/>
              </w:rPr>
              <w:t>工程厂区</w:t>
            </w:r>
          </w:p>
        </w:tc>
        <w:tc>
          <w:tcPr>
            <w:tcW w:w="0" w:type="auto"/>
            <w:vAlign w:val="center"/>
          </w:tcPr>
          <w:p w14:paraId="4D668C68">
            <w:pPr>
              <w:pStyle w:val="445"/>
              <w:rPr>
                <w:rFonts w:cs="Times New Roman"/>
                <w:kern w:val="0"/>
                <w:szCs w:val="20"/>
              </w:rPr>
            </w:pPr>
            <w:r>
              <w:rPr>
                <w:rFonts w:cs="Times New Roman"/>
                <w:kern w:val="0"/>
                <w:szCs w:val="20"/>
              </w:rPr>
              <w:t>0~</w:t>
            </w:r>
            <w:r>
              <w:rPr>
                <w:rFonts w:hint="eastAsia" w:cs="Times New Roman"/>
                <w:kern w:val="0"/>
                <w:szCs w:val="20"/>
              </w:rPr>
              <w:t>0.</w:t>
            </w:r>
            <w:r>
              <w:rPr>
                <w:rFonts w:cs="Times New Roman"/>
                <w:kern w:val="0"/>
                <w:szCs w:val="20"/>
              </w:rPr>
              <w:t>5</w:t>
            </w:r>
            <w:r>
              <w:rPr>
                <w:rFonts w:hint="eastAsia" w:cs="Times New Roman"/>
                <w:kern w:val="0"/>
                <w:szCs w:val="20"/>
              </w:rPr>
              <w:t>m处柱状样</w:t>
            </w:r>
          </w:p>
          <w:p w14:paraId="722540C1">
            <w:pPr>
              <w:pStyle w:val="445"/>
              <w:rPr>
                <w:rFonts w:cs="Times New Roman"/>
                <w:kern w:val="0"/>
                <w:szCs w:val="20"/>
              </w:rPr>
            </w:pPr>
            <w:r>
              <w:rPr>
                <w:rFonts w:cs="Times New Roman"/>
                <w:kern w:val="0"/>
                <w:szCs w:val="20"/>
              </w:rPr>
              <w:t>0.5~1.5</w:t>
            </w:r>
            <w:r>
              <w:rPr>
                <w:rFonts w:hint="eastAsia" w:cs="Times New Roman"/>
                <w:kern w:val="0"/>
                <w:szCs w:val="20"/>
              </w:rPr>
              <w:t>m处柱状样</w:t>
            </w:r>
          </w:p>
          <w:p w14:paraId="21E9E061">
            <w:pPr>
              <w:pStyle w:val="445"/>
              <w:rPr>
                <w:rFonts w:cs="Times New Roman"/>
                <w:kern w:val="0"/>
                <w:szCs w:val="20"/>
              </w:rPr>
            </w:pPr>
            <w:r>
              <w:rPr>
                <w:rFonts w:cs="Times New Roman"/>
                <w:kern w:val="0"/>
                <w:szCs w:val="20"/>
              </w:rPr>
              <w:t>1.5~3</w:t>
            </w:r>
            <w:r>
              <w:rPr>
                <w:rFonts w:hint="eastAsia" w:cs="Times New Roman"/>
                <w:kern w:val="0"/>
                <w:szCs w:val="20"/>
              </w:rPr>
              <w:t>m处柱状样</w:t>
            </w:r>
          </w:p>
        </w:tc>
        <w:tc>
          <w:tcPr>
            <w:tcW w:w="1884" w:type="pct"/>
            <w:vMerge w:val="continue"/>
            <w:vAlign w:val="center"/>
          </w:tcPr>
          <w:p w14:paraId="2451BF7C">
            <w:pPr>
              <w:pStyle w:val="445"/>
              <w:rPr>
                <w:rFonts w:cs="Times New Roman"/>
                <w:kern w:val="0"/>
                <w:szCs w:val="20"/>
              </w:rPr>
            </w:pPr>
          </w:p>
        </w:tc>
        <w:tc>
          <w:tcPr>
            <w:tcW w:w="838" w:type="pct"/>
            <w:vMerge w:val="continue"/>
            <w:vAlign w:val="center"/>
          </w:tcPr>
          <w:p w14:paraId="6F2BAE24">
            <w:pPr>
              <w:pStyle w:val="445"/>
              <w:rPr>
                <w:rFonts w:cs="Times New Roman"/>
                <w:kern w:val="0"/>
                <w:szCs w:val="20"/>
              </w:rPr>
            </w:pPr>
          </w:p>
        </w:tc>
      </w:tr>
      <w:tr w14:paraId="31E24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3D9F57FC">
            <w:pPr>
              <w:pStyle w:val="445"/>
              <w:rPr>
                <w:rFonts w:cs="Times New Roman"/>
                <w:kern w:val="0"/>
                <w:szCs w:val="20"/>
              </w:rPr>
            </w:pPr>
            <w:r>
              <w:rPr>
                <w:rFonts w:hint="eastAsia" w:cs="Times New Roman"/>
                <w:kern w:val="0"/>
                <w:szCs w:val="20"/>
              </w:rPr>
              <w:t>T11</w:t>
            </w:r>
          </w:p>
        </w:tc>
        <w:tc>
          <w:tcPr>
            <w:tcW w:w="803" w:type="pct"/>
            <w:vAlign w:val="center"/>
          </w:tcPr>
          <w:p w14:paraId="24FF21AF">
            <w:pPr>
              <w:pStyle w:val="445"/>
              <w:rPr>
                <w:rFonts w:cs="Times New Roman"/>
                <w:kern w:val="0"/>
                <w:szCs w:val="20"/>
              </w:rPr>
            </w:pPr>
            <w:r>
              <w:rPr>
                <w:rFonts w:hint="eastAsia" w:cs="Times New Roman"/>
                <w:kern w:val="0"/>
                <w:szCs w:val="20"/>
              </w:rPr>
              <w:t>厂界北侧</w:t>
            </w:r>
            <w:r>
              <w:rPr>
                <w:rFonts w:cs="Times New Roman"/>
                <w:kern w:val="0"/>
                <w:szCs w:val="20"/>
              </w:rPr>
              <w:t>农田</w:t>
            </w:r>
          </w:p>
        </w:tc>
        <w:tc>
          <w:tcPr>
            <w:tcW w:w="0" w:type="auto"/>
            <w:vAlign w:val="center"/>
          </w:tcPr>
          <w:p w14:paraId="6ABC06D2">
            <w:pPr>
              <w:pStyle w:val="445"/>
              <w:rPr>
                <w:rFonts w:cs="Times New Roman"/>
                <w:kern w:val="0"/>
                <w:szCs w:val="20"/>
              </w:rPr>
            </w:pPr>
            <w:r>
              <w:rPr>
                <w:rFonts w:hint="eastAsia" w:cs="Times New Roman"/>
                <w:kern w:val="0"/>
                <w:szCs w:val="20"/>
              </w:rPr>
              <w:t>0</w:t>
            </w:r>
            <w:r>
              <w:rPr>
                <w:rFonts w:cs="Times New Roman"/>
                <w:kern w:val="0"/>
                <w:szCs w:val="20"/>
              </w:rPr>
              <w:t>~0.2m</w:t>
            </w:r>
            <w:r>
              <w:rPr>
                <w:rFonts w:hint="eastAsia" w:cs="Times New Roman"/>
                <w:kern w:val="0"/>
                <w:szCs w:val="20"/>
              </w:rPr>
              <w:t>表层</w:t>
            </w:r>
            <w:r>
              <w:rPr>
                <w:rFonts w:cs="Times New Roman"/>
                <w:kern w:val="0"/>
                <w:szCs w:val="20"/>
              </w:rPr>
              <w:t>样</w:t>
            </w:r>
          </w:p>
        </w:tc>
        <w:tc>
          <w:tcPr>
            <w:tcW w:w="1884" w:type="pct"/>
            <w:vAlign w:val="center"/>
          </w:tcPr>
          <w:p w14:paraId="4A5E94BC">
            <w:pPr>
              <w:pStyle w:val="445"/>
              <w:rPr>
                <w:rFonts w:cs="Times New Roman"/>
                <w:kern w:val="0"/>
                <w:szCs w:val="20"/>
              </w:rPr>
            </w:pPr>
            <w:r>
              <w:rPr>
                <w:rFonts w:hint="eastAsia" w:cs="Times New Roman"/>
                <w:kern w:val="0"/>
                <w:szCs w:val="20"/>
              </w:rPr>
              <w:t>pH</w:t>
            </w:r>
            <w:r>
              <w:rPr>
                <w:rFonts w:cs="Times New Roman"/>
                <w:kern w:val="0"/>
                <w:szCs w:val="20"/>
              </w:rPr>
              <w:t>值</w:t>
            </w:r>
            <w:r>
              <w:rPr>
                <w:rFonts w:ascii="宋体" w:hAnsi="宋体" w:cs="宋体"/>
                <w:kern w:val="0"/>
                <w:szCs w:val="21"/>
              </w:rPr>
              <w:t>、汞</w:t>
            </w:r>
            <w:r>
              <w:rPr>
                <w:rFonts w:hint="eastAsia" w:ascii="宋体" w:hAnsi="宋体" w:cs="宋体"/>
                <w:kern w:val="0"/>
                <w:szCs w:val="21"/>
              </w:rPr>
              <w:t>、</w:t>
            </w:r>
            <w:r>
              <w:rPr>
                <w:rFonts w:ascii="宋体" w:hAnsi="宋体" w:cs="宋体"/>
                <w:kern w:val="0"/>
                <w:szCs w:val="21"/>
              </w:rPr>
              <w:t>镉</w:t>
            </w:r>
            <w:r>
              <w:rPr>
                <w:rFonts w:hint="eastAsia" w:ascii="宋体" w:hAnsi="宋体" w:cs="宋体"/>
                <w:kern w:val="0"/>
                <w:szCs w:val="21"/>
              </w:rPr>
              <w:t>、</w:t>
            </w:r>
            <w:r>
              <w:rPr>
                <w:rFonts w:ascii="宋体" w:hAnsi="宋体" w:cs="宋体"/>
                <w:kern w:val="0"/>
                <w:szCs w:val="21"/>
              </w:rPr>
              <w:t>铬</w:t>
            </w:r>
            <w:r>
              <w:rPr>
                <w:rFonts w:hint="eastAsia" w:ascii="宋体" w:hAnsi="宋体" w:cs="宋体"/>
                <w:kern w:val="0"/>
                <w:szCs w:val="21"/>
              </w:rPr>
              <w:t>、</w:t>
            </w:r>
            <w:r>
              <w:rPr>
                <w:rFonts w:ascii="宋体" w:hAnsi="宋体" w:cs="宋体"/>
                <w:kern w:val="0"/>
                <w:szCs w:val="21"/>
              </w:rPr>
              <w:t>铅</w:t>
            </w:r>
            <w:r>
              <w:rPr>
                <w:rFonts w:hint="eastAsia" w:ascii="宋体" w:hAnsi="宋体" w:cs="宋体"/>
                <w:kern w:val="0"/>
                <w:szCs w:val="21"/>
              </w:rPr>
              <w:t>、</w:t>
            </w:r>
            <w:r>
              <w:rPr>
                <w:rFonts w:ascii="宋体" w:hAnsi="宋体" w:cs="宋体"/>
                <w:kern w:val="0"/>
                <w:szCs w:val="21"/>
              </w:rPr>
              <w:t>砷</w:t>
            </w:r>
            <w:r>
              <w:rPr>
                <w:rFonts w:hint="eastAsia" w:ascii="宋体" w:hAnsi="宋体" w:cs="宋体"/>
                <w:kern w:val="0"/>
                <w:szCs w:val="21"/>
              </w:rPr>
              <w:t>、</w:t>
            </w:r>
            <w:r>
              <w:rPr>
                <w:rFonts w:ascii="宋体" w:hAnsi="宋体" w:cs="宋体"/>
                <w:kern w:val="0"/>
                <w:szCs w:val="21"/>
              </w:rPr>
              <w:t>铜</w:t>
            </w:r>
            <w:r>
              <w:rPr>
                <w:rFonts w:hint="eastAsia" w:ascii="宋体" w:hAnsi="宋体" w:cs="宋体"/>
                <w:kern w:val="0"/>
                <w:szCs w:val="21"/>
              </w:rPr>
              <w:t>、</w:t>
            </w:r>
            <w:r>
              <w:rPr>
                <w:rFonts w:ascii="宋体" w:hAnsi="宋体" w:cs="宋体"/>
                <w:kern w:val="0"/>
                <w:szCs w:val="21"/>
              </w:rPr>
              <w:t>镍</w:t>
            </w:r>
            <w:r>
              <w:rPr>
                <w:rFonts w:hint="eastAsia" w:ascii="宋体" w:hAnsi="宋体" w:cs="宋体"/>
                <w:kern w:val="0"/>
                <w:szCs w:val="21"/>
              </w:rPr>
              <w:t>、</w:t>
            </w:r>
            <w:r>
              <w:rPr>
                <w:rFonts w:ascii="宋体" w:hAnsi="宋体" w:cs="宋体"/>
                <w:kern w:val="0"/>
                <w:szCs w:val="21"/>
              </w:rPr>
              <w:t>锌</w:t>
            </w:r>
          </w:p>
        </w:tc>
        <w:tc>
          <w:tcPr>
            <w:tcW w:w="838" w:type="pct"/>
            <w:vMerge w:val="continue"/>
            <w:vAlign w:val="center"/>
          </w:tcPr>
          <w:p w14:paraId="297CC019">
            <w:pPr>
              <w:pStyle w:val="445"/>
              <w:rPr>
                <w:rFonts w:cs="Times New Roman"/>
                <w:kern w:val="0"/>
                <w:szCs w:val="20"/>
              </w:rPr>
            </w:pPr>
          </w:p>
        </w:tc>
      </w:tr>
    </w:tbl>
    <w:p w14:paraId="1D212A18">
      <w:pPr>
        <w:ind w:firstLine="0" w:firstLineChars="0"/>
        <w:rPr>
          <w:rFonts w:ascii="宋体" w:hAnsi="宋体"/>
          <w:sz w:val="18"/>
          <w:szCs w:val="18"/>
        </w:rPr>
      </w:pPr>
      <w:r>
        <w:rPr>
          <w:rFonts w:hint="eastAsia" w:ascii="宋体" w:hAnsi="宋体"/>
          <w:sz w:val="18"/>
          <w:szCs w:val="18"/>
        </w:rPr>
        <w:t>注</w:t>
      </w:r>
      <w:r>
        <w:rPr>
          <w:rFonts w:ascii="宋体" w:hAnsi="宋体"/>
          <w:sz w:val="18"/>
          <w:szCs w:val="18"/>
        </w:rPr>
        <w:t>：T7-11为引用</w:t>
      </w:r>
      <w:r>
        <w:rPr>
          <w:rFonts w:hint="eastAsia" w:ascii="宋体" w:hAnsi="宋体"/>
          <w:sz w:val="18"/>
          <w:szCs w:val="18"/>
        </w:rPr>
        <w:t>数据</w:t>
      </w:r>
      <w:r>
        <w:rPr>
          <w:rFonts w:ascii="宋体" w:hAnsi="宋体"/>
          <w:sz w:val="18"/>
          <w:szCs w:val="18"/>
        </w:rPr>
        <w:t>。</w:t>
      </w:r>
    </w:p>
    <w:p w14:paraId="116B5838">
      <w:pPr>
        <w:ind w:firstLine="0" w:firstLineChars="0"/>
      </w:pPr>
      <w:r>
        <w:rPr>
          <w:rFonts w:hint="eastAsia" w:ascii="宋体" w:hAnsi="宋体"/>
        </w:rPr>
        <w:t>（</w:t>
      </w:r>
      <w:r>
        <w:rPr>
          <w:rFonts w:hint="eastAsia"/>
        </w:rPr>
        <w:t>2</w:t>
      </w:r>
      <w:r>
        <w:rPr>
          <w:rFonts w:hint="eastAsia" w:ascii="宋体" w:hAnsi="宋体"/>
        </w:rPr>
        <w:t>）监测频次与分析方法</w:t>
      </w:r>
    </w:p>
    <w:p w14:paraId="5E24136A">
      <w:pPr>
        <w:ind w:firstLine="480"/>
      </w:pPr>
      <w:r>
        <w:rPr>
          <w:rFonts w:hint="eastAsia" w:ascii="宋体" w:hAnsi="宋体"/>
        </w:rPr>
        <w:t>土壤监测采集表层土。采样</w:t>
      </w:r>
      <w:r>
        <w:t>1</w:t>
      </w:r>
      <w:r>
        <w:rPr>
          <w:rFonts w:hint="eastAsia" w:ascii="宋体" w:hAnsi="宋体"/>
        </w:rPr>
        <w:t>次，监测</w:t>
      </w:r>
      <w:r>
        <w:t>1</w:t>
      </w:r>
      <w:r>
        <w:rPr>
          <w:rFonts w:hint="eastAsia" w:ascii="宋体" w:hAnsi="宋体"/>
        </w:rPr>
        <w:t>次。采样及分析方案按照《土壤环境质量 建设用地土壤污染风险管控标准（试行）》（</w:t>
      </w:r>
      <w:r>
        <w:t>GB36600-2018</w:t>
      </w:r>
      <w:r>
        <w:rPr>
          <w:rFonts w:hint="eastAsia" w:ascii="宋体" w:hAnsi="宋体"/>
        </w:rPr>
        <w:t>）第二类用地筛选值。</w:t>
      </w:r>
    </w:p>
    <w:p w14:paraId="2909B6C1">
      <w:pPr>
        <w:ind w:firstLine="482"/>
        <w:rPr>
          <w:b/>
        </w:rPr>
      </w:pPr>
      <w:r>
        <w:rPr>
          <w:rFonts w:hint="eastAsia" w:ascii="宋体" w:hAnsi="宋体"/>
          <w:b/>
        </w:rPr>
        <w:t>（</w:t>
      </w:r>
      <w:r>
        <w:rPr>
          <w:b/>
        </w:rPr>
        <w:t>3</w:t>
      </w:r>
      <w:r>
        <w:rPr>
          <w:rFonts w:hint="eastAsia" w:ascii="宋体" w:hAnsi="宋体"/>
          <w:b/>
        </w:rPr>
        <w:t>）监测结果与评价</w:t>
      </w:r>
    </w:p>
    <w:p w14:paraId="3B597BE4">
      <w:pPr>
        <w:ind w:firstLine="480"/>
        <w:rPr>
          <w:rFonts w:ascii="宋体" w:hAnsi="宋体"/>
        </w:rPr>
        <w:sectPr>
          <w:pgSz w:w="11906" w:h="16838"/>
          <w:pgMar w:top="1440" w:right="1440" w:bottom="1440" w:left="1440" w:header="851" w:footer="992" w:gutter="0"/>
          <w:cols w:space="425" w:num="1"/>
          <w:docGrid w:type="lines" w:linePitch="326" w:charSpace="0"/>
        </w:sectPr>
      </w:pPr>
      <w:r>
        <w:rPr>
          <w:rFonts w:hint="eastAsia" w:ascii="宋体" w:hAnsi="宋体"/>
        </w:rPr>
        <w:t>土壤环境质量现状监测结果见表</w:t>
      </w:r>
      <w:r>
        <w:t>4.2.</w:t>
      </w:r>
      <w:r>
        <w:rPr>
          <w:rFonts w:hint="eastAsia"/>
        </w:rPr>
        <w:t>5</w:t>
      </w:r>
      <w:r>
        <w:t>-2~</w:t>
      </w:r>
      <w:r>
        <w:rPr>
          <w:rFonts w:hint="eastAsia"/>
        </w:rPr>
        <w:t>4</w:t>
      </w:r>
      <w:r>
        <w:rPr>
          <w:rFonts w:hint="eastAsia" w:ascii="宋体" w:hAnsi="宋体"/>
        </w:rPr>
        <w:t>。</w:t>
      </w:r>
    </w:p>
    <w:p w14:paraId="7C2A868A">
      <w:pPr>
        <w:pStyle w:val="278"/>
        <w:ind w:firstLine="480"/>
      </w:pPr>
      <w:r>
        <w:rPr>
          <w:rFonts w:hint="eastAsia" w:ascii="黑体" w:hAnsi="黑体"/>
        </w:rPr>
        <w:t>表</w:t>
      </w:r>
      <w:r>
        <w:rPr>
          <w:rFonts w:hint="eastAsia"/>
        </w:rPr>
        <w:t>4.</w:t>
      </w:r>
      <w:r>
        <w:t>2</w:t>
      </w:r>
      <w:r>
        <w:rPr>
          <w:rFonts w:hint="eastAsia"/>
        </w:rPr>
        <w:t xml:space="preserve">.5-2 </w:t>
      </w:r>
      <w:r>
        <w:t xml:space="preserve"> </w:t>
      </w:r>
      <w:r>
        <w:rPr>
          <w:rFonts w:hint="eastAsia" w:ascii="黑体" w:hAnsi="黑体"/>
        </w:rPr>
        <w:t>项目地土壤环境监测结果</w:t>
      </w:r>
      <w:r>
        <w:rPr>
          <w:rFonts w:hint="eastAsia"/>
        </w:rPr>
        <w:t xml:space="preserve">  </w:t>
      </w:r>
      <w:r>
        <w:rPr>
          <w:rFonts w:hint="eastAsia" w:ascii="黑体" w:hAnsi="黑体"/>
        </w:rPr>
        <w:t>单位：</w:t>
      </w:r>
      <w:r>
        <w:t>mg/kg</w:t>
      </w:r>
    </w:p>
    <w:p w14:paraId="1275C7CF">
      <w:pPr>
        <w:pStyle w:val="278"/>
        <w:ind w:firstLine="480"/>
      </w:pPr>
      <w:r>
        <w:rPr>
          <w:rFonts w:hint="eastAsia" w:ascii="黑体" w:hAnsi="黑体"/>
        </w:rPr>
        <w:t>表</w:t>
      </w:r>
      <w:r>
        <w:rPr>
          <w:rFonts w:hint="eastAsia"/>
        </w:rPr>
        <w:t>4.2.5-</w:t>
      </w:r>
      <w:r>
        <w:t>3</w:t>
      </w:r>
      <w:r>
        <w:rPr>
          <w:rFonts w:hint="eastAsia"/>
        </w:rPr>
        <w:t xml:space="preserve">  </w:t>
      </w:r>
      <w:r>
        <w:rPr>
          <w:rFonts w:hint="eastAsia" w:ascii="黑体" w:hAnsi="黑体"/>
        </w:rPr>
        <w:t>土壤环境质量现状监测点位和监测因子</w:t>
      </w:r>
      <w:r>
        <w:rPr>
          <w:rFonts w:hint="eastAsia"/>
        </w:rPr>
        <w:t xml:space="preserve">  </w:t>
      </w:r>
      <w:r>
        <w:rPr>
          <w:rFonts w:hint="eastAsia" w:ascii="黑体" w:hAnsi="黑体"/>
        </w:rPr>
        <w:t>单位：（</w:t>
      </w:r>
      <w:r>
        <w:rPr>
          <w:rFonts w:hint="eastAsia"/>
        </w:rPr>
        <w:t>mg</w:t>
      </w:r>
      <w:r>
        <w:t>/kg</w:t>
      </w:r>
      <w:r>
        <w:rPr>
          <w:rFonts w:hint="eastAsia" w:ascii="黑体" w:hAnsi="黑体"/>
        </w:rPr>
        <w:t>）</w:t>
      </w:r>
    </w:p>
    <w:p w14:paraId="19B687E4">
      <w:pPr>
        <w:pStyle w:val="278"/>
        <w:ind w:firstLine="480"/>
        <w:rPr>
          <w:rFonts w:ascii="黑体" w:hAnsi="黑体"/>
        </w:rPr>
        <w:sectPr>
          <w:pgSz w:w="11906" w:h="16838"/>
          <w:pgMar w:top="1440" w:right="1440" w:bottom="1440" w:left="1440" w:header="851" w:footer="992" w:gutter="0"/>
          <w:cols w:space="425" w:num="1"/>
          <w:docGrid w:type="lines" w:linePitch="326" w:charSpace="0"/>
        </w:sectPr>
      </w:pPr>
    </w:p>
    <w:p w14:paraId="07D1F81D">
      <w:pPr>
        <w:pStyle w:val="278"/>
      </w:pPr>
      <w:r>
        <w:t>表4.2.5-4  土壤</w:t>
      </w:r>
      <w:r>
        <w:rPr>
          <w:rFonts w:hint="eastAsia"/>
        </w:rPr>
        <w:t>深层样点</w:t>
      </w:r>
      <w:r>
        <w:t>监测结果及评价表</w:t>
      </w:r>
    </w:p>
    <w:p w14:paraId="3ABB6220">
      <w:pPr>
        <w:pStyle w:val="278"/>
        <w:ind w:firstLine="480"/>
        <w:rPr>
          <w:rFonts w:ascii="黑体" w:hAnsi="黑体"/>
        </w:rPr>
        <w:sectPr>
          <w:pgSz w:w="16838" w:h="11906" w:orient="landscape"/>
          <w:pgMar w:top="1440" w:right="1440" w:bottom="1440" w:left="1440" w:header="851" w:footer="992" w:gutter="0"/>
          <w:cols w:space="425" w:num="1"/>
          <w:docGrid w:type="lines" w:linePitch="326" w:charSpace="0"/>
        </w:sectPr>
      </w:pPr>
    </w:p>
    <w:p w14:paraId="60FC1610">
      <w:pPr>
        <w:pStyle w:val="278"/>
        <w:ind w:firstLine="480"/>
        <w:rPr>
          <w:rFonts w:cs="Times New Roman"/>
        </w:rPr>
      </w:pPr>
      <w:r>
        <w:rPr>
          <w:rFonts w:hint="eastAsia" w:ascii="黑体" w:hAnsi="黑体"/>
        </w:rPr>
        <w:t>表</w:t>
      </w:r>
      <w:r>
        <w:rPr>
          <w:rFonts w:hint="eastAsia"/>
        </w:rPr>
        <w:t>4.2.5</w:t>
      </w:r>
      <w:r>
        <w:t xml:space="preserve">-5  </w:t>
      </w:r>
      <w:r>
        <w:rPr>
          <w:rFonts w:hint="eastAsia" w:ascii="黑体" w:hAnsi="黑体"/>
        </w:rPr>
        <w:t>土壤理化性质一览表</w:t>
      </w:r>
    </w:p>
    <w:p w14:paraId="0DD3CF87">
      <w:pPr>
        <w:pStyle w:val="278"/>
        <w:ind w:firstLine="480"/>
      </w:pPr>
      <w:r>
        <w:rPr>
          <w:rFonts w:hint="eastAsia" w:ascii="黑体" w:hAnsi="黑体"/>
        </w:rPr>
        <w:t>表</w:t>
      </w:r>
      <w:r>
        <w:rPr>
          <w:rFonts w:hint="eastAsia"/>
        </w:rPr>
        <w:t>4.2.</w:t>
      </w:r>
      <w:r>
        <w:t>5</w:t>
      </w:r>
      <w:r>
        <w:rPr>
          <w:rFonts w:hint="eastAsia"/>
        </w:rPr>
        <w:t>-</w:t>
      </w:r>
      <w:r>
        <w:t>6</w:t>
      </w:r>
      <w:r>
        <w:rPr>
          <w:rFonts w:hint="eastAsia"/>
        </w:rPr>
        <w:t xml:space="preserve">  </w:t>
      </w:r>
      <w:r>
        <w:rPr>
          <w:rFonts w:hint="eastAsia" w:ascii="黑体" w:hAnsi="黑体"/>
        </w:rPr>
        <w:t>土体构型（土壤剖面）</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3449"/>
        <w:gridCol w:w="3576"/>
        <w:gridCol w:w="1801"/>
      </w:tblGrid>
      <w:tr w14:paraId="637D1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30" w:type="pct"/>
            <w:vAlign w:val="center"/>
          </w:tcPr>
          <w:p w14:paraId="11CD3946">
            <w:pPr>
              <w:pStyle w:val="445"/>
              <w:rPr>
                <w:rFonts w:cs="Times New Roman"/>
                <w:kern w:val="0"/>
                <w:szCs w:val="20"/>
              </w:rPr>
            </w:pPr>
            <w:r>
              <w:rPr>
                <w:rFonts w:hint="eastAsia" w:cs="Times New Roman"/>
                <w:kern w:val="0"/>
                <w:szCs w:val="20"/>
              </w:rPr>
              <w:t>点号</w:t>
            </w:r>
          </w:p>
        </w:tc>
        <w:tc>
          <w:tcPr>
            <w:tcW w:w="2047" w:type="pct"/>
            <w:vAlign w:val="center"/>
          </w:tcPr>
          <w:p w14:paraId="091AF3FF">
            <w:pPr>
              <w:pStyle w:val="445"/>
              <w:rPr>
                <w:rFonts w:cs="Times New Roman"/>
                <w:kern w:val="0"/>
                <w:szCs w:val="20"/>
              </w:rPr>
            </w:pPr>
            <w:r>
              <w:rPr>
                <w:rFonts w:hint="eastAsia" w:cs="Times New Roman"/>
                <w:kern w:val="0"/>
                <w:szCs w:val="20"/>
              </w:rPr>
              <w:t>景观</w:t>
            </w:r>
            <w:r>
              <w:rPr>
                <w:rFonts w:cs="Times New Roman"/>
                <w:kern w:val="0"/>
                <w:szCs w:val="20"/>
              </w:rPr>
              <w:t>照片</w:t>
            </w:r>
          </w:p>
        </w:tc>
        <w:tc>
          <w:tcPr>
            <w:tcW w:w="1656" w:type="pct"/>
            <w:vAlign w:val="center"/>
          </w:tcPr>
          <w:p w14:paraId="109786DF">
            <w:pPr>
              <w:pStyle w:val="445"/>
              <w:rPr>
                <w:rFonts w:cs="Times New Roman"/>
                <w:kern w:val="0"/>
                <w:szCs w:val="20"/>
              </w:rPr>
            </w:pPr>
            <w:r>
              <w:rPr>
                <w:rFonts w:hint="eastAsia" w:cs="Times New Roman"/>
                <w:kern w:val="0"/>
                <w:szCs w:val="20"/>
              </w:rPr>
              <w:t>土壤</w:t>
            </w:r>
            <w:r>
              <w:rPr>
                <w:rFonts w:cs="Times New Roman"/>
                <w:kern w:val="0"/>
                <w:szCs w:val="20"/>
              </w:rPr>
              <w:t>剖面照片</w:t>
            </w:r>
          </w:p>
        </w:tc>
        <w:tc>
          <w:tcPr>
            <w:tcW w:w="1066" w:type="pct"/>
            <w:vAlign w:val="center"/>
          </w:tcPr>
          <w:p w14:paraId="6A0F2EA3">
            <w:pPr>
              <w:pStyle w:val="445"/>
              <w:rPr>
                <w:rFonts w:cs="Times New Roman"/>
                <w:kern w:val="0"/>
                <w:szCs w:val="20"/>
              </w:rPr>
            </w:pPr>
            <w:r>
              <w:rPr>
                <w:rFonts w:hint="eastAsia" w:cs="Times New Roman"/>
                <w:kern w:val="0"/>
                <w:szCs w:val="20"/>
              </w:rPr>
              <w:t>层次</w:t>
            </w:r>
            <w:r>
              <w:rPr>
                <w:rFonts w:hint="eastAsia" w:cs="Times New Roman"/>
                <w:kern w:val="0"/>
                <w:szCs w:val="20"/>
                <w:vertAlign w:val="superscript"/>
              </w:rPr>
              <w:t>a</w:t>
            </w:r>
          </w:p>
        </w:tc>
      </w:tr>
      <w:tr w14:paraId="1F051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230" w:type="pct"/>
            <w:vMerge w:val="restart"/>
            <w:vAlign w:val="center"/>
          </w:tcPr>
          <w:p w14:paraId="5193DF40">
            <w:pPr>
              <w:pStyle w:val="445"/>
              <w:rPr>
                <w:rFonts w:cs="Times New Roman"/>
                <w:kern w:val="0"/>
                <w:szCs w:val="20"/>
              </w:rPr>
            </w:pPr>
            <w:r>
              <w:rPr>
                <w:rFonts w:cs="Times New Roman"/>
                <w:kern w:val="0"/>
                <w:szCs w:val="20"/>
              </w:rPr>
              <w:t>T2</w:t>
            </w:r>
          </w:p>
        </w:tc>
        <w:tc>
          <w:tcPr>
            <w:tcW w:w="2047" w:type="pct"/>
            <w:vMerge w:val="restart"/>
            <w:vAlign w:val="center"/>
          </w:tcPr>
          <w:p w14:paraId="30E8827A">
            <w:pPr>
              <w:ind w:firstLine="0" w:firstLineChars="0"/>
              <w:rPr>
                <w:rFonts w:cs="Times New Roman"/>
                <w:kern w:val="0"/>
                <w:szCs w:val="20"/>
              </w:rPr>
            </w:pPr>
            <w:r>
              <w:rPr>
                <w:rFonts w:cs="Times New Roman"/>
                <w:kern w:val="0"/>
                <w:szCs w:val="20"/>
              </w:rPr>
              <w:drawing>
                <wp:inline distT="0" distB="0" distL="0" distR="0">
                  <wp:extent cx="1990725" cy="1953260"/>
                  <wp:effectExtent l="0" t="0" r="0" b="8890"/>
                  <wp:docPr id="48" name="图片 48" descr="C:\Users\ADMINI~1\AppData\Local\Temp\1650220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ADMINI~1\AppData\Local\Temp\165022011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035928" cy="1997874"/>
                          </a:xfrm>
                          <a:prstGeom prst="rect">
                            <a:avLst/>
                          </a:prstGeom>
                          <a:noFill/>
                          <a:ln>
                            <a:noFill/>
                          </a:ln>
                        </pic:spPr>
                      </pic:pic>
                    </a:graphicData>
                  </a:graphic>
                </wp:inline>
              </w:drawing>
            </w:r>
          </w:p>
        </w:tc>
        <w:tc>
          <w:tcPr>
            <w:tcW w:w="1656" w:type="pct"/>
            <w:vMerge w:val="restart"/>
            <w:vAlign w:val="center"/>
          </w:tcPr>
          <w:p w14:paraId="31F5AC30">
            <w:pPr>
              <w:ind w:firstLine="0" w:firstLineChars="0"/>
              <w:rPr>
                <w:rFonts w:cs="Times New Roman"/>
                <w:kern w:val="0"/>
                <w:szCs w:val="20"/>
              </w:rPr>
            </w:pPr>
            <w:r>
              <w:rPr>
                <w:rFonts w:cs="Times New Roman"/>
                <w:kern w:val="0"/>
                <w:szCs w:val="20"/>
              </w:rPr>
              <w:drawing>
                <wp:inline distT="0" distB="0" distL="0" distR="0">
                  <wp:extent cx="2132330" cy="1857375"/>
                  <wp:effectExtent l="0" t="0" r="127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3"/>
                          <a:stretch>
                            <a:fillRect/>
                          </a:stretch>
                        </pic:blipFill>
                        <pic:spPr>
                          <a:xfrm>
                            <a:off x="0" y="0"/>
                            <a:ext cx="2170863" cy="1890493"/>
                          </a:xfrm>
                          <a:prstGeom prst="rect">
                            <a:avLst/>
                          </a:prstGeom>
                        </pic:spPr>
                      </pic:pic>
                    </a:graphicData>
                  </a:graphic>
                </wp:inline>
              </w:drawing>
            </w:r>
          </w:p>
        </w:tc>
        <w:tc>
          <w:tcPr>
            <w:tcW w:w="1066" w:type="pct"/>
            <w:vAlign w:val="center"/>
          </w:tcPr>
          <w:p w14:paraId="62E24F32">
            <w:pPr>
              <w:pStyle w:val="445"/>
              <w:rPr>
                <w:rFonts w:cs="Times New Roman"/>
                <w:kern w:val="0"/>
                <w:szCs w:val="20"/>
              </w:rPr>
            </w:pPr>
            <w:r>
              <w:rPr>
                <w:rFonts w:hint="eastAsia" w:cs="Times New Roman"/>
                <w:kern w:val="0"/>
                <w:szCs w:val="20"/>
              </w:rPr>
              <w:t>0</w:t>
            </w:r>
            <w:r>
              <w:rPr>
                <w:rFonts w:cs="Times New Roman"/>
                <w:kern w:val="0"/>
                <w:szCs w:val="20"/>
              </w:rPr>
              <w:t>~0.1m</w:t>
            </w:r>
            <w:r>
              <w:rPr>
                <w:rFonts w:hint="eastAsia" w:cs="Times New Roman"/>
                <w:kern w:val="0"/>
                <w:szCs w:val="20"/>
              </w:rPr>
              <w:t>黄褐色，</w:t>
            </w:r>
            <w:r>
              <w:rPr>
                <w:rFonts w:cs="Times New Roman"/>
                <w:kern w:val="0"/>
                <w:szCs w:val="20"/>
              </w:rPr>
              <w:t>团粒</w:t>
            </w:r>
            <w:r>
              <w:rPr>
                <w:rFonts w:hint="eastAsia" w:cs="Times New Roman"/>
                <w:kern w:val="0"/>
                <w:szCs w:val="20"/>
              </w:rPr>
              <w:t>、黏土</w:t>
            </w:r>
          </w:p>
        </w:tc>
      </w:tr>
      <w:tr w14:paraId="20C89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230" w:type="pct"/>
            <w:vMerge w:val="continue"/>
            <w:vAlign w:val="center"/>
          </w:tcPr>
          <w:p w14:paraId="3CDDC7AC">
            <w:pPr>
              <w:pStyle w:val="445"/>
              <w:rPr>
                <w:rFonts w:cs="Times New Roman"/>
                <w:kern w:val="0"/>
                <w:szCs w:val="20"/>
              </w:rPr>
            </w:pPr>
          </w:p>
        </w:tc>
        <w:tc>
          <w:tcPr>
            <w:tcW w:w="2047" w:type="pct"/>
            <w:vMerge w:val="continue"/>
            <w:vAlign w:val="center"/>
          </w:tcPr>
          <w:p w14:paraId="2341D67F">
            <w:pPr>
              <w:pStyle w:val="445"/>
              <w:rPr>
                <w:rFonts w:cs="Times New Roman"/>
                <w:kern w:val="0"/>
                <w:szCs w:val="20"/>
                <w:vertAlign w:val="subscript"/>
              </w:rPr>
            </w:pPr>
          </w:p>
        </w:tc>
        <w:tc>
          <w:tcPr>
            <w:tcW w:w="1656" w:type="pct"/>
            <w:vMerge w:val="continue"/>
            <w:vAlign w:val="center"/>
          </w:tcPr>
          <w:p w14:paraId="56635D2D">
            <w:pPr>
              <w:pStyle w:val="445"/>
              <w:rPr>
                <w:rFonts w:cs="Times New Roman"/>
                <w:kern w:val="0"/>
                <w:szCs w:val="20"/>
              </w:rPr>
            </w:pPr>
          </w:p>
        </w:tc>
        <w:tc>
          <w:tcPr>
            <w:tcW w:w="1066" w:type="pct"/>
            <w:vAlign w:val="center"/>
          </w:tcPr>
          <w:p w14:paraId="2FCE84C7">
            <w:pPr>
              <w:pStyle w:val="445"/>
              <w:rPr>
                <w:rFonts w:cs="Times New Roman"/>
                <w:kern w:val="0"/>
                <w:szCs w:val="20"/>
              </w:rPr>
            </w:pPr>
            <w:r>
              <w:rPr>
                <w:rFonts w:hint="eastAsia" w:cs="Times New Roman"/>
                <w:kern w:val="0"/>
                <w:szCs w:val="20"/>
              </w:rPr>
              <w:t>0</w:t>
            </w:r>
            <w:r>
              <w:rPr>
                <w:rFonts w:cs="Times New Roman"/>
                <w:kern w:val="0"/>
                <w:szCs w:val="20"/>
              </w:rPr>
              <w:t>.1~0.3m</w:t>
            </w:r>
            <w:r>
              <w:rPr>
                <w:rFonts w:hint="eastAsia" w:cs="Times New Roman"/>
                <w:kern w:val="0"/>
                <w:szCs w:val="20"/>
              </w:rPr>
              <w:t>黄褐色，</w:t>
            </w:r>
            <w:r>
              <w:rPr>
                <w:rFonts w:cs="Times New Roman"/>
                <w:kern w:val="0"/>
                <w:szCs w:val="20"/>
              </w:rPr>
              <w:t>团粒</w:t>
            </w:r>
            <w:r>
              <w:rPr>
                <w:rFonts w:hint="eastAsia" w:cs="Times New Roman"/>
                <w:kern w:val="0"/>
                <w:szCs w:val="20"/>
              </w:rPr>
              <w:t>、黏土</w:t>
            </w:r>
          </w:p>
        </w:tc>
      </w:tr>
      <w:tr w14:paraId="57577E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30" w:type="pct"/>
            <w:vMerge w:val="continue"/>
            <w:vAlign w:val="center"/>
          </w:tcPr>
          <w:p w14:paraId="1F167D88">
            <w:pPr>
              <w:pStyle w:val="445"/>
              <w:rPr>
                <w:rFonts w:cs="Times New Roman"/>
                <w:kern w:val="0"/>
                <w:szCs w:val="18"/>
                <w:vertAlign w:val="subscript"/>
              </w:rPr>
            </w:pPr>
          </w:p>
        </w:tc>
        <w:tc>
          <w:tcPr>
            <w:tcW w:w="2047" w:type="pct"/>
            <w:vMerge w:val="continue"/>
            <w:vAlign w:val="center"/>
          </w:tcPr>
          <w:p w14:paraId="3CDA8813">
            <w:pPr>
              <w:pStyle w:val="445"/>
              <w:rPr>
                <w:rFonts w:cs="Times New Roman"/>
                <w:kern w:val="0"/>
                <w:szCs w:val="18"/>
              </w:rPr>
            </w:pPr>
          </w:p>
        </w:tc>
        <w:tc>
          <w:tcPr>
            <w:tcW w:w="1656" w:type="pct"/>
            <w:vMerge w:val="continue"/>
            <w:vAlign w:val="center"/>
          </w:tcPr>
          <w:p w14:paraId="6B7DCAF8">
            <w:pPr>
              <w:pStyle w:val="445"/>
              <w:rPr>
                <w:rFonts w:cs="Times New Roman"/>
                <w:kern w:val="0"/>
                <w:szCs w:val="20"/>
              </w:rPr>
            </w:pPr>
          </w:p>
        </w:tc>
        <w:tc>
          <w:tcPr>
            <w:tcW w:w="1066" w:type="pct"/>
            <w:vAlign w:val="center"/>
          </w:tcPr>
          <w:p w14:paraId="26A30730">
            <w:pPr>
              <w:pStyle w:val="445"/>
              <w:rPr>
                <w:rFonts w:cs="Times New Roman"/>
                <w:kern w:val="0"/>
                <w:szCs w:val="20"/>
              </w:rPr>
            </w:pPr>
            <w:r>
              <w:rPr>
                <w:rFonts w:hint="eastAsia" w:cs="Times New Roman"/>
                <w:kern w:val="0"/>
                <w:szCs w:val="20"/>
              </w:rPr>
              <w:t>0</w:t>
            </w:r>
            <w:r>
              <w:rPr>
                <w:rFonts w:cs="Times New Roman"/>
                <w:kern w:val="0"/>
                <w:szCs w:val="20"/>
              </w:rPr>
              <w:t>.3~0.6m</w:t>
            </w:r>
            <w:r>
              <w:rPr>
                <w:rFonts w:hint="eastAsia" w:cs="Times New Roman"/>
                <w:kern w:val="0"/>
                <w:szCs w:val="20"/>
              </w:rPr>
              <w:t>黄褐色，</w:t>
            </w:r>
            <w:r>
              <w:rPr>
                <w:rFonts w:cs="Times New Roman"/>
                <w:kern w:val="0"/>
                <w:szCs w:val="20"/>
              </w:rPr>
              <w:t>团粒</w:t>
            </w:r>
            <w:r>
              <w:rPr>
                <w:rFonts w:hint="eastAsia" w:cs="Times New Roman"/>
                <w:kern w:val="0"/>
                <w:szCs w:val="20"/>
              </w:rPr>
              <w:t>、黏土</w:t>
            </w:r>
          </w:p>
        </w:tc>
      </w:tr>
      <w:tr w14:paraId="04E10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0" w:type="pct"/>
            <w:vMerge w:val="continue"/>
            <w:vAlign w:val="center"/>
          </w:tcPr>
          <w:p w14:paraId="529ADC97">
            <w:pPr>
              <w:pStyle w:val="445"/>
              <w:rPr>
                <w:rFonts w:cs="Times New Roman"/>
                <w:kern w:val="0"/>
                <w:szCs w:val="18"/>
                <w:vertAlign w:val="subscript"/>
              </w:rPr>
            </w:pPr>
          </w:p>
        </w:tc>
        <w:tc>
          <w:tcPr>
            <w:tcW w:w="2047" w:type="pct"/>
            <w:vMerge w:val="continue"/>
            <w:vAlign w:val="center"/>
          </w:tcPr>
          <w:p w14:paraId="1A0D6C64">
            <w:pPr>
              <w:pStyle w:val="445"/>
              <w:rPr>
                <w:rFonts w:cs="Times New Roman"/>
                <w:kern w:val="0"/>
                <w:szCs w:val="18"/>
              </w:rPr>
            </w:pPr>
          </w:p>
        </w:tc>
        <w:tc>
          <w:tcPr>
            <w:tcW w:w="1656" w:type="pct"/>
            <w:vMerge w:val="continue"/>
            <w:vAlign w:val="center"/>
          </w:tcPr>
          <w:p w14:paraId="68845094">
            <w:pPr>
              <w:pStyle w:val="445"/>
              <w:rPr>
                <w:rFonts w:cs="Times New Roman"/>
                <w:kern w:val="0"/>
                <w:szCs w:val="20"/>
              </w:rPr>
            </w:pPr>
          </w:p>
        </w:tc>
        <w:tc>
          <w:tcPr>
            <w:tcW w:w="1066" w:type="pct"/>
            <w:vAlign w:val="center"/>
          </w:tcPr>
          <w:p w14:paraId="10040283">
            <w:pPr>
              <w:pStyle w:val="445"/>
              <w:rPr>
                <w:rFonts w:cs="Times New Roman"/>
                <w:kern w:val="0"/>
                <w:szCs w:val="20"/>
              </w:rPr>
            </w:pPr>
            <w:r>
              <w:rPr>
                <w:rFonts w:hint="eastAsia" w:cs="Times New Roman"/>
                <w:kern w:val="0"/>
                <w:szCs w:val="20"/>
              </w:rPr>
              <w:t>0</w:t>
            </w:r>
            <w:r>
              <w:rPr>
                <w:rFonts w:cs="Times New Roman"/>
                <w:kern w:val="0"/>
                <w:szCs w:val="20"/>
              </w:rPr>
              <w:t>.6~0.9m</w:t>
            </w:r>
            <w:r>
              <w:rPr>
                <w:rFonts w:hint="eastAsia" w:cs="Times New Roman"/>
                <w:kern w:val="0"/>
                <w:szCs w:val="20"/>
              </w:rPr>
              <w:t>黄褐色，</w:t>
            </w:r>
            <w:r>
              <w:rPr>
                <w:rFonts w:cs="Times New Roman"/>
                <w:kern w:val="0"/>
                <w:szCs w:val="20"/>
              </w:rPr>
              <w:t>团粒</w:t>
            </w:r>
            <w:r>
              <w:rPr>
                <w:rFonts w:hint="eastAsia" w:cs="Times New Roman"/>
                <w:kern w:val="0"/>
                <w:szCs w:val="20"/>
              </w:rPr>
              <w:t>、黏土</w:t>
            </w:r>
          </w:p>
        </w:tc>
      </w:tr>
      <w:tr w14:paraId="2096B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48091C7D">
            <w:pPr>
              <w:pStyle w:val="445"/>
              <w:rPr>
                <w:rFonts w:cs="Times New Roman"/>
                <w:kern w:val="0"/>
                <w:szCs w:val="20"/>
              </w:rPr>
            </w:pPr>
            <w:r>
              <w:rPr>
                <w:rFonts w:hint="eastAsia" w:cs="Times New Roman"/>
                <w:kern w:val="0"/>
                <w:szCs w:val="20"/>
                <w:vertAlign w:val="superscript"/>
              </w:rPr>
              <w:t>a</w:t>
            </w:r>
            <w:r>
              <w:rPr>
                <w:rFonts w:hint="eastAsia" w:cs="Times New Roman"/>
                <w:kern w:val="0"/>
                <w:szCs w:val="20"/>
              </w:rPr>
              <w:t>根据</w:t>
            </w:r>
            <w:r>
              <w:rPr>
                <w:rFonts w:cs="Times New Roman"/>
                <w:kern w:val="0"/>
                <w:szCs w:val="20"/>
              </w:rPr>
              <w:t>土壤分层情况描述</w:t>
            </w:r>
            <w:r>
              <w:rPr>
                <w:rFonts w:hint="eastAsia" w:cs="Times New Roman"/>
                <w:kern w:val="0"/>
                <w:szCs w:val="20"/>
              </w:rPr>
              <w:t>土壤</w:t>
            </w:r>
            <w:r>
              <w:rPr>
                <w:rFonts w:cs="Times New Roman"/>
                <w:kern w:val="0"/>
                <w:szCs w:val="20"/>
              </w:rPr>
              <w:t>的理</w:t>
            </w:r>
            <w:r>
              <w:rPr>
                <w:rFonts w:hint="eastAsia" w:cs="Times New Roman"/>
                <w:kern w:val="0"/>
                <w:szCs w:val="20"/>
              </w:rPr>
              <w:t>化</w:t>
            </w:r>
            <w:r>
              <w:rPr>
                <w:rFonts w:cs="Times New Roman"/>
                <w:kern w:val="0"/>
                <w:szCs w:val="20"/>
              </w:rPr>
              <w:t>特性</w:t>
            </w:r>
          </w:p>
        </w:tc>
      </w:tr>
    </w:tbl>
    <w:p w14:paraId="50869CAF">
      <w:pPr>
        <w:ind w:firstLine="480"/>
        <w:rPr>
          <w:rFonts w:cs="Times New Roman"/>
        </w:rPr>
      </w:pPr>
      <w:r>
        <w:t xml:space="preserve"> </w:t>
      </w:r>
    </w:p>
    <w:p w14:paraId="5735BB5E">
      <w:pPr>
        <w:ind w:firstLine="480"/>
      </w:pPr>
      <w:r>
        <w:rPr>
          <w:rFonts w:hint="eastAsia" w:ascii="宋体" w:hAnsi="宋体"/>
        </w:rPr>
        <w:t>根据表</w:t>
      </w:r>
      <w:r>
        <w:t>4.2.</w:t>
      </w:r>
      <w:r>
        <w:rPr>
          <w:rFonts w:hint="eastAsia"/>
        </w:rPr>
        <w:t>5</w:t>
      </w:r>
      <w:r>
        <w:t>-2~</w:t>
      </w:r>
      <w:r>
        <w:rPr>
          <w:rFonts w:hint="eastAsia"/>
        </w:rPr>
        <w:t>4</w:t>
      </w:r>
      <w:r>
        <w:rPr>
          <w:rFonts w:hint="eastAsia" w:ascii="宋体" w:hAnsi="宋体"/>
        </w:rPr>
        <w:t>所示，项目占地和评价范围监测点（指标均小于《土壤环境质量</w:t>
      </w:r>
      <w:r>
        <w:t xml:space="preserve"> </w:t>
      </w:r>
      <w:r>
        <w:rPr>
          <w:rFonts w:ascii="宋体" w:hAnsi="宋体"/>
        </w:rPr>
        <w:t>建设用地土壤污染风险管控标准（试行）》（</w:t>
      </w:r>
      <w:r>
        <w:t>GB36600-2018</w:t>
      </w:r>
      <w:r>
        <w:rPr>
          <w:rFonts w:hint="eastAsia" w:ascii="宋体" w:hAnsi="宋体"/>
        </w:rPr>
        <w:t>）中第二类用地风险筛选值要求，</w:t>
      </w:r>
      <w:r>
        <w:rPr>
          <w:rFonts w:ascii="宋体" w:hAnsi="宋体"/>
        </w:rPr>
        <w:t xml:space="preserve"> 农用</w:t>
      </w:r>
      <w:r>
        <w:rPr>
          <w:rFonts w:hint="eastAsia" w:ascii="宋体" w:hAnsi="宋体"/>
        </w:rPr>
        <w:t>地</w:t>
      </w:r>
      <w:r>
        <w:rPr>
          <w:rFonts w:ascii="宋体" w:hAnsi="宋体"/>
        </w:rPr>
        <w:t>满足</w:t>
      </w:r>
      <w:r>
        <w:rPr>
          <w:rFonts w:hint="eastAsia" w:ascii="宋体" w:hAnsi="宋体"/>
        </w:rPr>
        <w:t>《土壤环境质量</w:t>
      </w:r>
      <w:r>
        <w:t xml:space="preserve"> </w:t>
      </w:r>
      <w:r>
        <w:rPr>
          <w:rFonts w:ascii="宋体" w:hAnsi="宋体"/>
        </w:rPr>
        <w:t>农用地土壤污染风险管控标准（试行）》（</w:t>
      </w:r>
      <w:r>
        <w:t>GB15618-2018</w:t>
      </w:r>
      <w:r>
        <w:rPr>
          <w:rFonts w:hint="eastAsia" w:ascii="宋体" w:hAnsi="宋体"/>
        </w:rPr>
        <w:t>）表</w:t>
      </w:r>
      <w:r>
        <w:t>1</w:t>
      </w:r>
      <w:r>
        <w:rPr>
          <w:rFonts w:hint="eastAsia" w:ascii="宋体" w:hAnsi="宋体"/>
        </w:rPr>
        <w:t>中风险筛选值要求。</w:t>
      </w:r>
    </w:p>
    <w:p w14:paraId="4361DE2A">
      <w:pPr>
        <w:pStyle w:val="4065"/>
      </w:pPr>
      <w:bookmarkStart w:id="192" w:name="_Toc108662632"/>
      <w:r>
        <w:rPr>
          <w:rFonts w:hint="eastAsia"/>
        </w:rPr>
        <w:t>4</w:t>
      </w:r>
      <w:r>
        <w:t>.3区域污染源调查</w:t>
      </w:r>
      <w:bookmarkEnd w:id="192"/>
    </w:p>
    <w:p w14:paraId="1C94C302">
      <w:pPr>
        <w:ind w:firstLine="480"/>
      </w:pPr>
      <w:r>
        <w:rPr>
          <w:rFonts w:hint="eastAsia" w:ascii="宋体" w:hAnsi="宋体"/>
        </w:rPr>
        <w:t>对本项目环评区域范围内的重点企业在建、拟建的大气污染源进行调查，通过实际调查，对该地区的各污染源源强、排放的污染因子及排放特性进行核实和汇总，具体调查结果见表</w:t>
      </w:r>
      <w:r>
        <w:rPr>
          <w:rFonts w:hint="eastAsia"/>
        </w:rPr>
        <w:t>4.3</w:t>
      </w:r>
      <w:r>
        <w:t>-1</w:t>
      </w:r>
      <w:r>
        <w:rPr>
          <w:rFonts w:hint="eastAsia" w:ascii="宋体" w:hAnsi="宋体"/>
        </w:rPr>
        <w:t>。</w:t>
      </w:r>
    </w:p>
    <w:p w14:paraId="38F9F24A">
      <w:pPr>
        <w:ind w:firstLine="0" w:firstLineChars="0"/>
      </w:pPr>
    </w:p>
    <w:p w14:paraId="5E9B1D01">
      <w:pPr>
        <w:ind w:firstLine="0" w:firstLineChars="0"/>
      </w:pPr>
    </w:p>
    <w:p w14:paraId="7FB499D5">
      <w:pPr>
        <w:ind w:firstLine="0" w:firstLineChars="0"/>
      </w:pPr>
    </w:p>
    <w:p w14:paraId="4E7E84DA">
      <w:pPr>
        <w:ind w:firstLine="0" w:firstLineChars="0"/>
      </w:pPr>
    </w:p>
    <w:p w14:paraId="66BB7E6D">
      <w:pPr>
        <w:ind w:firstLine="0" w:firstLineChars="0"/>
      </w:pPr>
    </w:p>
    <w:p w14:paraId="6A472F5F">
      <w:pPr>
        <w:ind w:firstLine="0" w:firstLineChars="0"/>
        <w:sectPr>
          <w:pgSz w:w="11906" w:h="16838"/>
          <w:pgMar w:top="1440" w:right="1440" w:bottom="1440" w:left="1440" w:header="851" w:footer="992" w:gutter="0"/>
          <w:cols w:space="425" w:num="1"/>
          <w:docGrid w:type="lines" w:linePitch="326" w:charSpace="0"/>
        </w:sectPr>
      </w:pPr>
    </w:p>
    <w:p w14:paraId="36360877">
      <w:pPr>
        <w:spacing w:line="500" w:lineRule="exact"/>
        <w:ind w:firstLine="0" w:firstLineChars="0"/>
        <w:jc w:val="center"/>
        <w:rPr>
          <w:rFonts w:eastAsia="黑体"/>
        </w:rPr>
      </w:pPr>
      <w:r>
        <w:rPr>
          <w:rFonts w:hint="eastAsia" w:ascii="黑体" w:hAnsi="黑体" w:eastAsia="黑体"/>
        </w:rPr>
        <w:t>表</w:t>
      </w:r>
      <w:r>
        <w:rPr>
          <w:rFonts w:hint="eastAsia" w:eastAsia="黑体"/>
        </w:rPr>
        <w:t>4.3</w:t>
      </w:r>
      <w:r>
        <w:rPr>
          <w:rFonts w:eastAsia="黑体"/>
        </w:rPr>
        <w:t xml:space="preserve">-1  </w:t>
      </w:r>
      <w:r>
        <w:rPr>
          <w:rFonts w:hint="eastAsia" w:ascii="黑体" w:hAnsi="黑体" w:eastAsia="黑体"/>
        </w:rPr>
        <w:t>区域在建、拟建项目大气污染源现状调查结果（</w:t>
      </w:r>
      <w:r>
        <w:rPr>
          <w:rFonts w:hint="eastAsia" w:eastAsia="黑体"/>
        </w:rPr>
        <w:t>kg/h</w:t>
      </w:r>
      <w:r>
        <w:rPr>
          <w:rFonts w:hint="eastAsia" w:ascii="黑体" w:hAnsi="黑体" w:eastAsia="黑体"/>
        </w:rPr>
        <w:t>）</w:t>
      </w:r>
    </w:p>
    <w:p w14:paraId="456CC7B0">
      <w:pPr>
        <w:ind w:firstLine="0" w:firstLineChars="0"/>
        <w:rPr>
          <w:rFonts w:cs="Times New Roman"/>
        </w:rPr>
      </w:pPr>
      <w:r>
        <w:t xml:space="preserve"> </w:t>
      </w:r>
    </w:p>
    <w:p w14:paraId="41EE16A1">
      <w:pPr>
        <w:ind w:firstLine="0" w:firstLineChars="0"/>
      </w:pPr>
    </w:p>
    <w:p w14:paraId="3B630595">
      <w:pPr>
        <w:ind w:firstLine="0" w:firstLineChars="0"/>
      </w:pPr>
    </w:p>
    <w:p w14:paraId="60DA094E">
      <w:pPr>
        <w:ind w:firstLine="0" w:firstLineChars="0"/>
      </w:pPr>
    </w:p>
    <w:p w14:paraId="27A3EFEC">
      <w:pPr>
        <w:ind w:firstLine="0" w:firstLineChars="0"/>
      </w:pPr>
    </w:p>
    <w:p w14:paraId="15975817">
      <w:pPr>
        <w:ind w:firstLine="0" w:firstLineChars="0"/>
      </w:pPr>
    </w:p>
    <w:p w14:paraId="6A1B31AF">
      <w:pPr>
        <w:ind w:firstLine="0" w:firstLineChars="0"/>
      </w:pPr>
    </w:p>
    <w:p w14:paraId="35A9ED71">
      <w:pPr>
        <w:ind w:firstLine="0" w:firstLineChars="0"/>
        <w:sectPr>
          <w:pgSz w:w="16838" w:h="11906" w:orient="landscape"/>
          <w:pgMar w:top="1440" w:right="1440" w:bottom="1440" w:left="1440" w:header="851" w:footer="992" w:gutter="0"/>
          <w:cols w:space="425" w:num="1"/>
          <w:docGrid w:type="lines" w:linePitch="326" w:charSpace="0"/>
        </w:sectPr>
      </w:pPr>
    </w:p>
    <w:p w14:paraId="388BA65A">
      <w:pPr>
        <w:pStyle w:val="4064"/>
      </w:pPr>
      <w:bookmarkStart w:id="193" w:name="_Toc108662633"/>
      <w:r>
        <w:rPr>
          <w:rFonts w:hint="eastAsia"/>
        </w:rPr>
        <w:t>5、环境影响预测与评价</w:t>
      </w:r>
      <w:bookmarkEnd w:id="193"/>
    </w:p>
    <w:p w14:paraId="5B185ACE">
      <w:pPr>
        <w:pStyle w:val="4065"/>
      </w:pPr>
      <w:bookmarkStart w:id="194" w:name="_Toc108662634"/>
      <w:r>
        <w:rPr>
          <w:rFonts w:hint="eastAsia"/>
        </w:rPr>
        <w:t>5</w:t>
      </w:r>
      <w:r>
        <w:t>.1</w:t>
      </w:r>
      <w:r>
        <w:rPr>
          <w:rFonts w:hint="eastAsia"/>
        </w:rPr>
        <w:t>大气环境</w:t>
      </w:r>
      <w:r>
        <w:t>影响</w:t>
      </w:r>
      <w:r>
        <w:rPr>
          <w:rFonts w:hint="eastAsia"/>
        </w:rPr>
        <w:t>分析</w:t>
      </w:r>
      <w:bookmarkEnd w:id="194"/>
    </w:p>
    <w:p w14:paraId="50606C2C">
      <w:pPr>
        <w:pStyle w:val="4068"/>
      </w:pPr>
      <w:bookmarkStart w:id="195" w:name="_Toc108662635"/>
      <w:bookmarkStart w:id="196" w:name="_Toc100784026"/>
      <w:bookmarkStart w:id="197" w:name="_Toc101135858"/>
      <w:r>
        <w:rPr>
          <w:rFonts w:hint="eastAsia"/>
        </w:rPr>
        <w:t>5.</w:t>
      </w:r>
      <w:r>
        <w:t>1</w:t>
      </w:r>
      <w:r>
        <w:rPr>
          <w:rFonts w:hint="eastAsia"/>
        </w:rPr>
        <w:t>.1</w:t>
      </w:r>
      <w:r>
        <w:rPr>
          <w:rFonts w:hint="eastAsia" w:ascii="黑体" w:hAnsi="黑体"/>
        </w:rPr>
        <w:t>污染气象分析</w:t>
      </w:r>
      <w:bookmarkEnd w:id="195"/>
      <w:bookmarkEnd w:id="196"/>
      <w:bookmarkEnd w:id="197"/>
    </w:p>
    <w:p w14:paraId="1E22BDEF">
      <w:pPr>
        <w:pStyle w:val="349"/>
      </w:pPr>
      <w:r>
        <w:rPr>
          <w:rFonts w:hint="eastAsia"/>
        </w:rPr>
        <w:t>5.</w:t>
      </w:r>
      <w:r>
        <w:t>1</w:t>
      </w:r>
      <w:r>
        <w:rPr>
          <w:rFonts w:hint="eastAsia"/>
        </w:rPr>
        <w:t>.1.1</w:t>
      </w:r>
      <w:r>
        <w:rPr>
          <w:rFonts w:hint="eastAsia" w:ascii="黑体" w:hAnsi="黑体"/>
        </w:rPr>
        <w:t>近</w:t>
      </w:r>
      <w:r>
        <w:rPr>
          <w:rFonts w:hint="eastAsia"/>
        </w:rPr>
        <w:t>20</w:t>
      </w:r>
      <w:r>
        <w:rPr>
          <w:rFonts w:hint="eastAsia" w:ascii="黑体" w:hAnsi="黑体"/>
        </w:rPr>
        <w:t>年</w:t>
      </w:r>
      <w:r>
        <w:rPr>
          <w:rFonts w:ascii="黑体" w:hAnsi="黑体"/>
        </w:rPr>
        <w:t>气象资料统计</w:t>
      </w:r>
    </w:p>
    <w:p w14:paraId="35DD4D85">
      <w:pPr>
        <w:ind w:firstLine="480"/>
      </w:pPr>
      <w:r>
        <w:rPr>
          <w:rFonts w:hint="eastAsia" w:ascii="宋体" w:hAnsi="宋体"/>
        </w:rPr>
        <w:t>根据</w:t>
      </w:r>
      <w:r>
        <w:rPr>
          <w:rFonts w:ascii="宋体" w:hAnsi="宋体"/>
        </w:rPr>
        <w:t>蚌埠气象站</w:t>
      </w:r>
      <w:r>
        <w:t>(58221)</w:t>
      </w:r>
      <w:r>
        <w:rPr>
          <w:rFonts w:hint="eastAsia" w:ascii="宋体" w:hAnsi="宋体"/>
        </w:rPr>
        <w:t>近</w:t>
      </w:r>
      <w:r>
        <w:rPr>
          <w:rFonts w:ascii="宋体" w:hAnsi="宋体"/>
        </w:rPr>
        <w:t>二十年（</w:t>
      </w:r>
      <w:r>
        <w:t>2001~2020</w:t>
      </w:r>
      <w:r>
        <w:rPr>
          <w:rFonts w:ascii="宋体" w:hAnsi="宋体"/>
        </w:rPr>
        <w:t>）</w:t>
      </w:r>
      <w:r>
        <w:rPr>
          <w:rFonts w:hint="eastAsia" w:ascii="宋体" w:hAnsi="宋体"/>
        </w:rPr>
        <w:t>气象</w:t>
      </w:r>
      <w:r>
        <w:rPr>
          <w:rFonts w:ascii="宋体" w:hAnsi="宋体"/>
        </w:rPr>
        <w:t>资料</w:t>
      </w:r>
      <w:r>
        <w:rPr>
          <w:rFonts w:hint="eastAsia" w:ascii="宋体" w:hAnsi="宋体"/>
        </w:rPr>
        <w:t>统计</w:t>
      </w:r>
      <w:r>
        <w:rPr>
          <w:rFonts w:ascii="宋体" w:hAnsi="宋体"/>
        </w:rPr>
        <w:t>，分析本地区污染气象特征。气象站位于安徽省蚌埠市，地理坐标为东经</w:t>
      </w:r>
      <w:r>
        <w:t>117.3044</w:t>
      </w:r>
      <w:r>
        <w:rPr>
          <w:rFonts w:ascii="宋体" w:hAnsi="宋体"/>
        </w:rPr>
        <w:t>度，北纬</w:t>
      </w:r>
      <w:r>
        <w:t>32.8436</w:t>
      </w:r>
      <w:r>
        <w:rPr>
          <w:rFonts w:ascii="宋体" w:hAnsi="宋体"/>
        </w:rPr>
        <w:t>度，海拔高度</w:t>
      </w:r>
      <w:r>
        <w:t>26.8</w:t>
      </w:r>
      <w:r>
        <w:rPr>
          <w:rFonts w:ascii="宋体" w:hAnsi="宋体"/>
        </w:rPr>
        <w:t>米。气象站始建于</w:t>
      </w:r>
      <w:r>
        <w:t>1951</w:t>
      </w:r>
      <w:r>
        <w:rPr>
          <w:rFonts w:ascii="宋体" w:hAnsi="宋体"/>
        </w:rPr>
        <w:t>年，</w:t>
      </w:r>
      <w:r>
        <w:t>1951</w:t>
      </w:r>
      <w:r>
        <w:rPr>
          <w:rFonts w:ascii="宋体" w:hAnsi="宋体"/>
        </w:rPr>
        <w:t>年正式进行气象观测。蚌埠气象站距本项目约</w:t>
      </w:r>
      <w:r>
        <w:t>28.971km</w:t>
      </w:r>
      <w:r>
        <w:rPr>
          <w:rFonts w:ascii="宋体" w:hAnsi="宋体"/>
        </w:rPr>
        <w:t>，是距项目最近的国家气象站，距离小于</w:t>
      </w:r>
      <w:r>
        <w:t>50km</w:t>
      </w:r>
      <w:r>
        <w:rPr>
          <w:rFonts w:ascii="宋体" w:hAnsi="宋体"/>
        </w:rPr>
        <w:t>，满足导则气象资料的使用条件。</w:t>
      </w:r>
    </w:p>
    <w:p w14:paraId="05F3BD0A">
      <w:pPr>
        <w:ind w:firstLine="480"/>
      </w:pPr>
      <w:r>
        <w:rPr>
          <w:rFonts w:hint="eastAsia" w:ascii="宋体" w:hAnsi="宋体"/>
        </w:rPr>
        <w:t>（</w:t>
      </w:r>
      <w:r>
        <w:rPr>
          <w:rFonts w:hint="eastAsia"/>
        </w:rPr>
        <w:t>1</w:t>
      </w:r>
      <w:r>
        <w:rPr>
          <w:rFonts w:hint="eastAsia" w:ascii="宋体" w:hAnsi="宋体"/>
        </w:rPr>
        <w:t>）</w:t>
      </w:r>
      <w:r>
        <w:rPr>
          <w:rFonts w:ascii="宋体" w:hAnsi="宋体"/>
          <w:shd w:val="clear" w:color="auto" w:fill="FFFFFF"/>
        </w:rPr>
        <w:t>气候特征</w:t>
      </w:r>
    </w:p>
    <w:p w14:paraId="72A7D450">
      <w:pPr>
        <w:ind w:firstLine="480"/>
        <w:rPr>
          <w:rFonts w:cs="Times New Roman"/>
        </w:rPr>
      </w:pPr>
      <w:r>
        <w:rPr>
          <w:rFonts w:hint="eastAsia" w:ascii="宋体" w:hAnsi="宋体"/>
        </w:rPr>
        <w:t>蚌埠市地处亚热带和暖温带的过渡地带，属于东部季风性气候区暖温带半湿润气候，</w:t>
      </w:r>
      <w:r>
        <w:rPr>
          <w:rFonts w:cs="Times New Roman"/>
        </w:rPr>
        <w:t>兼有南北过渡类型的气候特点。气候温和，四季分明，光照充足，雨量适中。多年平均气温为15.37</w:t>
      </w:r>
      <w:r>
        <w:rPr>
          <w:rFonts w:cs="Times New Roman"/>
          <w:vertAlign w:val="superscript"/>
        </w:rPr>
        <w:t>o</w:t>
      </w:r>
      <w:r>
        <w:rPr>
          <w:rFonts w:cs="Times New Roman"/>
        </w:rPr>
        <w:t>C，最冷出现在1月平均气温0.75，最热的7月平均气温29.62</w:t>
      </w:r>
      <w:r>
        <w:rPr>
          <w:rFonts w:cs="Times New Roman"/>
          <w:vertAlign w:val="superscript"/>
        </w:rPr>
        <w:t>o</w:t>
      </w:r>
      <w:r>
        <w:rPr>
          <w:rFonts w:cs="Times New Roman"/>
        </w:rPr>
        <w:t>C，日极端最高气温40.5</w:t>
      </w:r>
      <w:r>
        <w:rPr>
          <w:rFonts w:cs="Times New Roman"/>
          <w:vertAlign w:val="superscript"/>
        </w:rPr>
        <w:t>o</w:t>
      </w:r>
      <w:r>
        <w:rPr>
          <w:rFonts w:cs="Times New Roman"/>
        </w:rPr>
        <w:t>C，日极端最低气温为-24.3</w:t>
      </w:r>
      <w:r>
        <w:rPr>
          <w:rFonts w:cs="Times New Roman"/>
          <w:vertAlign w:val="superscript"/>
        </w:rPr>
        <w:t>o</w:t>
      </w:r>
      <w:r>
        <w:rPr>
          <w:rFonts w:cs="Times New Roman"/>
        </w:rPr>
        <w:t>C。区域内风向有明显的季节性变化，全年以E风为主，其次是ENE风，全年平均风速2.45m/s。</w:t>
      </w:r>
    </w:p>
    <w:p w14:paraId="2B88FD4C">
      <w:pPr>
        <w:ind w:firstLine="480"/>
        <w:rPr>
          <w:rFonts w:cs="Times New Roman"/>
        </w:rPr>
      </w:pPr>
      <w:r>
        <w:rPr>
          <w:rFonts w:cs="Times New Roman"/>
        </w:rPr>
        <w:t>（2）温度</w:t>
      </w:r>
    </w:p>
    <w:p w14:paraId="416A0661">
      <w:pPr>
        <w:ind w:firstLine="480"/>
        <w:rPr>
          <w:rFonts w:cs="Times New Roman"/>
        </w:rPr>
      </w:pPr>
      <w:r>
        <w:rPr>
          <w:rFonts w:cs="Times New Roman"/>
        </w:rPr>
        <w:t>蚌埠市多年平均温度的月变化情况见表5.1.1-1和图5.1.1-1。从表5.1.1-1和图5.1.1-1知，全年平均气温为15.37</w:t>
      </w:r>
      <w:r>
        <w:rPr>
          <w:rFonts w:cs="Times New Roman"/>
          <w:vertAlign w:val="superscript"/>
        </w:rPr>
        <w:t xml:space="preserve"> o</w:t>
      </w:r>
      <w:r>
        <w:rPr>
          <w:rFonts w:cs="Times New Roman"/>
        </w:rPr>
        <w:t>C，其中夏季气温明显高于其它季节，以7月温度最高，平均为29.62</w:t>
      </w:r>
      <w:r>
        <w:rPr>
          <w:rFonts w:cs="Times New Roman"/>
          <w:vertAlign w:val="superscript"/>
        </w:rPr>
        <w:t xml:space="preserve"> o</w:t>
      </w:r>
      <w:r>
        <w:rPr>
          <w:rFonts w:cs="Times New Roman"/>
        </w:rPr>
        <w:t>C，1月温度最低，平均为0.75</w:t>
      </w:r>
      <w:r>
        <w:rPr>
          <w:rFonts w:cs="Times New Roman"/>
          <w:vertAlign w:val="superscript"/>
        </w:rPr>
        <w:t xml:space="preserve"> o</w:t>
      </w:r>
      <w:r>
        <w:rPr>
          <w:rFonts w:cs="Times New Roman"/>
        </w:rPr>
        <w:t>C。</w:t>
      </w:r>
    </w:p>
    <w:p w14:paraId="1B8392CE">
      <w:pPr>
        <w:pStyle w:val="278"/>
        <w:ind w:firstLine="480"/>
      </w:pPr>
      <w:r>
        <w:rPr>
          <w:rFonts w:ascii="黑体" w:hAnsi="黑体"/>
        </w:rPr>
        <w:t>表</w:t>
      </w:r>
      <w:r>
        <w:t xml:space="preserve">5.1.1-1  </w:t>
      </w:r>
      <w:r>
        <w:rPr>
          <w:rFonts w:hint="eastAsia" w:ascii="黑体" w:hAnsi="黑体"/>
        </w:rPr>
        <w:t>区域多年平均温度的月变化统计</w:t>
      </w:r>
      <w:r>
        <w:rPr>
          <w:rFonts w:hint="eastAsia"/>
        </w:rPr>
        <w:t xml:space="preserve">  单位：</w:t>
      </w:r>
      <w:r>
        <w:rPr>
          <w:rFonts w:hint="eastAsia"/>
          <w:vertAlign w:val="superscript"/>
        </w:rPr>
        <w:t>o</w:t>
      </w:r>
      <w:r>
        <w:rPr>
          <w:rFonts w:hint="eastAsia"/>
        </w:rPr>
        <w:t>C</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597"/>
        <w:gridCol w:w="599"/>
        <w:gridCol w:w="599"/>
        <w:gridCol w:w="706"/>
        <w:gridCol w:w="706"/>
        <w:gridCol w:w="706"/>
        <w:gridCol w:w="706"/>
        <w:gridCol w:w="706"/>
        <w:gridCol w:w="706"/>
        <w:gridCol w:w="706"/>
        <w:gridCol w:w="636"/>
        <w:gridCol w:w="643"/>
        <w:gridCol w:w="707"/>
      </w:tblGrid>
      <w:tr w14:paraId="7EDDD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1" w:type="pct"/>
            <w:tcBorders>
              <w:top w:val="single" w:color="auto" w:sz="12" w:space="0"/>
              <w:left w:val="nil"/>
              <w:bottom w:val="single" w:color="auto" w:sz="4" w:space="0"/>
              <w:right w:val="single" w:color="auto" w:sz="4" w:space="0"/>
            </w:tcBorders>
            <w:vAlign w:val="center"/>
          </w:tcPr>
          <w:p w14:paraId="21A39AF7">
            <w:pPr>
              <w:pStyle w:val="445"/>
              <w:rPr>
                <w:rFonts w:cs="Times New Roman"/>
                <w:kern w:val="0"/>
                <w:szCs w:val="20"/>
              </w:rPr>
            </w:pPr>
            <w:r>
              <w:rPr>
                <w:rFonts w:cs="Times New Roman"/>
                <w:kern w:val="0"/>
                <w:szCs w:val="20"/>
              </w:rPr>
              <w:t>月份</w:t>
            </w:r>
          </w:p>
        </w:tc>
        <w:tc>
          <w:tcPr>
            <w:tcW w:w="323" w:type="pct"/>
            <w:tcBorders>
              <w:top w:val="single" w:color="auto" w:sz="12" w:space="0"/>
              <w:left w:val="single" w:color="auto" w:sz="4" w:space="0"/>
              <w:bottom w:val="single" w:color="auto" w:sz="4" w:space="0"/>
              <w:right w:val="single" w:color="auto" w:sz="4" w:space="0"/>
            </w:tcBorders>
            <w:vAlign w:val="center"/>
          </w:tcPr>
          <w:p w14:paraId="1C7CBD11">
            <w:pPr>
              <w:pStyle w:val="445"/>
              <w:rPr>
                <w:rFonts w:cs="Times New Roman"/>
                <w:kern w:val="0"/>
                <w:szCs w:val="20"/>
              </w:rPr>
            </w:pPr>
            <w:r>
              <w:rPr>
                <w:rFonts w:cs="Times New Roman"/>
                <w:kern w:val="0"/>
                <w:szCs w:val="20"/>
              </w:rPr>
              <w:t>1月</w:t>
            </w:r>
          </w:p>
        </w:tc>
        <w:tc>
          <w:tcPr>
            <w:tcW w:w="324" w:type="pct"/>
            <w:tcBorders>
              <w:top w:val="single" w:color="auto" w:sz="12" w:space="0"/>
              <w:left w:val="single" w:color="auto" w:sz="4" w:space="0"/>
              <w:bottom w:val="single" w:color="auto" w:sz="4" w:space="0"/>
              <w:right w:val="single" w:color="auto" w:sz="4" w:space="0"/>
            </w:tcBorders>
            <w:vAlign w:val="center"/>
          </w:tcPr>
          <w:p w14:paraId="786DE5A7">
            <w:pPr>
              <w:pStyle w:val="445"/>
              <w:rPr>
                <w:rFonts w:cs="Times New Roman"/>
                <w:kern w:val="0"/>
                <w:szCs w:val="20"/>
              </w:rPr>
            </w:pPr>
            <w:r>
              <w:rPr>
                <w:rFonts w:cs="Times New Roman"/>
                <w:kern w:val="0"/>
                <w:szCs w:val="20"/>
              </w:rPr>
              <w:t>2月</w:t>
            </w:r>
          </w:p>
        </w:tc>
        <w:tc>
          <w:tcPr>
            <w:tcW w:w="324" w:type="pct"/>
            <w:tcBorders>
              <w:top w:val="single" w:color="auto" w:sz="12" w:space="0"/>
              <w:left w:val="single" w:color="auto" w:sz="4" w:space="0"/>
              <w:bottom w:val="single" w:color="auto" w:sz="4" w:space="0"/>
              <w:right w:val="single" w:color="auto" w:sz="4" w:space="0"/>
            </w:tcBorders>
            <w:vAlign w:val="center"/>
          </w:tcPr>
          <w:p w14:paraId="2B102584">
            <w:pPr>
              <w:pStyle w:val="445"/>
              <w:rPr>
                <w:rFonts w:cs="Times New Roman"/>
                <w:kern w:val="0"/>
                <w:szCs w:val="20"/>
              </w:rPr>
            </w:pPr>
            <w:r>
              <w:rPr>
                <w:rFonts w:cs="Times New Roman"/>
                <w:kern w:val="0"/>
                <w:szCs w:val="20"/>
              </w:rPr>
              <w:t>3月</w:t>
            </w:r>
          </w:p>
        </w:tc>
        <w:tc>
          <w:tcPr>
            <w:tcW w:w="382" w:type="pct"/>
            <w:tcBorders>
              <w:top w:val="single" w:color="auto" w:sz="12" w:space="0"/>
              <w:left w:val="single" w:color="auto" w:sz="4" w:space="0"/>
              <w:bottom w:val="single" w:color="auto" w:sz="4" w:space="0"/>
              <w:right w:val="single" w:color="auto" w:sz="4" w:space="0"/>
            </w:tcBorders>
            <w:vAlign w:val="center"/>
          </w:tcPr>
          <w:p w14:paraId="257BF785">
            <w:pPr>
              <w:pStyle w:val="445"/>
              <w:rPr>
                <w:rFonts w:cs="Times New Roman"/>
                <w:kern w:val="0"/>
                <w:szCs w:val="20"/>
              </w:rPr>
            </w:pPr>
            <w:r>
              <w:rPr>
                <w:rFonts w:cs="Times New Roman"/>
                <w:kern w:val="0"/>
                <w:szCs w:val="20"/>
              </w:rPr>
              <w:t>4月</w:t>
            </w:r>
          </w:p>
        </w:tc>
        <w:tc>
          <w:tcPr>
            <w:tcW w:w="382" w:type="pct"/>
            <w:tcBorders>
              <w:top w:val="single" w:color="auto" w:sz="12" w:space="0"/>
              <w:left w:val="single" w:color="auto" w:sz="4" w:space="0"/>
              <w:bottom w:val="single" w:color="auto" w:sz="4" w:space="0"/>
              <w:right w:val="single" w:color="auto" w:sz="4" w:space="0"/>
            </w:tcBorders>
            <w:vAlign w:val="center"/>
          </w:tcPr>
          <w:p w14:paraId="1FD3767F">
            <w:pPr>
              <w:pStyle w:val="445"/>
              <w:rPr>
                <w:rFonts w:cs="Times New Roman"/>
                <w:kern w:val="0"/>
                <w:szCs w:val="20"/>
              </w:rPr>
            </w:pPr>
            <w:r>
              <w:rPr>
                <w:rFonts w:cs="Times New Roman"/>
                <w:kern w:val="0"/>
                <w:szCs w:val="20"/>
              </w:rPr>
              <w:t>5月</w:t>
            </w:r>
          </w:p>
        </w:tc>
        <w:tc>
          <w:tcPr>
            <w:tcW w:w="382" w:type="pct"/>
            <w:tcBorders>
              <w:top w:val="single" w:color="auto" w:sz="12" w:space="0"/>
              <w:left w:val="single" w:color="auto" w:sz="4" w:space="0"/>
              <w:bottom w:val="single" w:color="auto" w:sz="4" w:space="0"/>
              <w:right w:val="single" w:color="auto" w:sz="4" w:space="0"/>
            </w:tcBorders>
            <w:vAlign w:val="center"/>
          </w:tcPr>
          <w:p w14:paraId="0E759D10">
            <w:pPr>
              <w:pStyle w:val="445"/>
              <w:rPr>
                <w:rFonts w:cs="Times New Roman"/>
                <w:kern w:val="0"/>
                <w:szCs w:val="20"/>
              </w:rPr>
            </w:pPr>
            <w:r>
              <w:rPr>
                <w:rFonts w:cs="Times New Roman"/>
                <w:kern w:val="0"/>
                <w:szCs w:val="20"/>
              </w:rPr>
              <w:t>6月</w:t>
            </w:r>
          </w:p>
        </w:tc>
        <w:tc>
          <w:tcPr>
            <w:tcW w:w="382" w:type="pct"/>
            <w:tcBorders>
              <w:top w:val="single" w:color="auto" w:sz="12" w:space="0"/>
              <w:left w:val="single" w:color="auto" w:sz="4" w:space="0"/>
              <w:bottom w:val="single" w:color="auto" w:sz="4" w:space="0"/>
              <w:right w:val="single" w:color="auto" w:sz="4" w:space="0"/>
            </w:tcBorders>
            <w:vAlign w:val="center"/>
          </w:tcPr>
          <w:p w14:paraId="511727C2">
            <w:pPr>
              <w:pStyle w:val="445"/>
              <w:rPr>
                <w:rFonts w:cs="Times New Roman"/>
                <w:kern w:val="0"/>
                <w:szCs w:val="20"/>
              </w:rPr>
            </w:pPr>
            <w:r>
              <w:rPr>
                <w:rFonts w:cs="Times New Roman"/>
                <w:kern w:val="0"/>
                <w:szCs w:val="20"/>
              </w:rPr>
              <w:t>7月</w:t>
            </w:r>
          </w:p>
        </w:tc>
        <w:tc>
          <w:tcPr>
            <w:tcW w:w="382" w:type="pct"/>
            <w:tcBorders>
              <w:top w:val="single" w:color="auto" w:sz="12" w:space="0"/>
              <w:left w:val="single" w:color="auto" w:sz="4" w:space="0"/>
              <w:bottom w:val="single" w:color="auto" w:sz="4" w:space="0"/>
              <w:right w:val="single" w:color="auto" w:sz="4" w:space="0"/>
            </w:tcBorders>
            <w:vAlign w:val="center"/>
          </w:tcPr>
          <w:p w14:paraId="005D191E">
            <w:pPr>
              <w:pStyle w:val="445"/>
              <w:rPr>
                <w:rFonts w:cs="Times New Roman"/>
                <w:kern w:val="0"/>
                <w:szCs w:val="20"/>
              </w:rPr>
            </w:pPr>
            <w:r>
              <w:rPr>
                <w:rFonts w:cs="Times New Roman"/>
                <w:kern w:val="0"/>
                <w:szCs w:val="20"/>
              </w:rPr>
              <w:t>8月</w:t>
            </w:r>
          </w:p>
        </w:tc>
        <w:tc>
          <w:tcPr>
            <w:tcW w:w="382" w:type="pct"/>
            <w:tcBorders>
              <w:top w:val="single" w:color="auto" w:sz="12" w:space="0"/>
              <w:left w:val="single" w:color="auto" w:sz="4" w:space="0"/>
              <w:bottom w:val="single" w:color="auto" w:sz="4" w:space="0"/>
              <w:right w:val="single" w:color="auto" w:sz="4" w:space="0"/>
            </w:tcBorders>
            <w:vAlign w:val="center"/>
          </w:tcPr>
          <w:p w14:paraId="0E994CFF">
            <w:pPr>
              <w:pStyle w:val="445"/>
              <w:rPr>
                <w:rFonts w:cs="Times New Roman"/>
                <w:kern w:val="0"/>
                <w:szCs w:val="20"/>
              </w:rPr>
            </w:pPr>
            <w:r>
              <w:rPr>
                <w:rFonts w:cs="Times New Roman"/>
                <w:kern w:val="0"/>
                <w:szCs w:val="20"/>
              </w:rPr>
              <w:t>9月</w:t>
            </w:r>
          </w:p>
        </w:tc>
        <w:tc>
          <w:tcPr>
            <w:tcW w:w="382" w:type="pct"/>
            <w:tcBorders>
              <w:top w:val="single" w:color="auto" w:sz="12" w:space="0"/>
              <w:left w:val="single" w:color="auto" w:sz="4" w:space="0"/>
              <w:bottom w:val="single" w:color="auto" w:sz="4" w:space="0"/>
              <w:right w:val="single" w:color="auto" w:sz="4" w:space="0"/>
            </w:tcBorders>
            <w:vAlign w:val="center"/>
          </w:tcPr>
          <w:p w14:paraId="2A2B95DA">
            <w:pPr>
              <w:pStyle w:val="445"/>
              <w:rPr>
                <w:rFonts w:cs="Times New Roman"/>
                <w:kern w:val="0"/>
                <w:szCs w:val="20"/>
              </w:rPr>
            </w:pPr>
            <w:r>
              <w:rPr>
                <w:rFonts w:cs="Times New Roman"/>
                <w:kern w:val="0"/>
                <w:szCs w:val="20"/>
              </w:rPr>
              <w:t>10月</w:t>
            </w:r>
          </w:p>
        </w:tc>
        <w:tc>
          <w:tcPr>
            <w:tcW w:w="344" w:type="pct"/>
            <w:tcBorders>
              <w:top w:val="single" w:color="auto" w:sz="12" w:space="0"/>
              <w:left w:val="single" w:color="auto" w:sz="4" w:space="0"/>
              <w:bottom w:val="single" w:color="auto" w:sz="4" w:space="0"/>
              <w:right w:val="single" w:color="auto" w:sz="4" w:space="0"/>
            </w:tcBorders>
            <w:vAlign w:val="center"/>
          </w:tcPr>
          <w:p w14:paraId="65208B6A">
            <w:pPr>
              <w:pStyle w:val="445"/>
              <w:rPr>
                <w:rFonts w:cs="Times New Roman"/>
                <w:kern w:val="0"/>
                <w:szCs w:val="20"/>
              </w:rPr>
            </w:pPr>
            <w:r>
              <w:rPr>
                <w:rFonts w:cs="Times New Roman"/>
                <w:kern w:val="0"/>
                <w:szCs w:val="20"/>
              </w:rPr>
              <w:t>11月</w:t>
            </w:r>
          </w:p>
        </w:tc>
        <w:tc>
          <w:tcPr>
            <w:tcW w:w="347" w:type="pct"/>
            <w:tcBorders>
              <w:top w:val="single" w:color="auto" w:sz="12" w:space="0"/>
              <w:left w:val="single" w:color="auto" w:sz="4" w:space="0"/>
              <w:bottom w:val="single" w:color="auto" w:sz="4" w:space="0"/>
              <w:right w:val="single" w:color="auto" w:sz="4" w:space="0"/>
            </w:tcBorders>
            <w:vAlign w:val="center"/>
          </w:tcPr>
          <w:p w14:paraId="2C914EE8">
            <w:pPr>
              <w:pStyle w:val="445"/>
              <w:rPr>
                <w:rFonts w:cs="Times New Roman"/>
                <w:kern w:val="0"/>
                <w:szCs w:val="20"/>
              </w:rPr>
            </w:pPr>
            <w:r>
              <w:rPr>
                <w:rFonts w:cs="Times New Roman"/>
                <w:kern w:val="0"/>
                <w:szCs w:val="20"/>
              </w:rPr>
              <w:t>12月</w:t>
            </w:r>
          </w:p>
        </w:tc>
        <w:tc>
          <w:tcPr>
            <w:tcW w:w="382" w:type="pct"/>
            <w:tcBorders>
              <w:top w:val="single" w:color="auto" w:sz="12" w:space="0"/>
              <w:left w:val="single" w:color="auto" w:sz="4" w:space="0"/>
              <w:bottom w:val="single" w:color="auto" w:sz="4" w:space="0"/>
              <w:right w:val="nil"/>
            </w:tcBorders>
            <w:vAlign w:val="center"/>
          </w:tcPr>
          <w:p w14:paraId="5D8CD540">
            <w:pPr>
              <w:pStyle w:val="445"/>
              <w:rPr>
                <w:rFonts w:cs="Times New Roman"/>
                <w:kern w:val="0"/>
                <w:szCs w:val="20"/>
              </w:rPr>
            </w:pPr>
            <w:r>
              <w:rPr>
                <w:rFonts w:cs="Times New Roman"/>
                <w:kern w:val="0"/>
                <w:szCs w:val="20"/>
              </w:rPr>
              <w:t>年</w:t>
            </w:r>
          </w:p>
        </w:tc>
      </w:tr>
      <w:tr w14:paraId="0CBEC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1" w:type="pct"/>
            <w:tcBorders>
              <w:top w:val="single" w:color="auto" w:sz="4" w:space="0"/>
              <w:left w:val="nil"/>
              <w:bottom w:val="single" w:color="auto" w:sz="12" w:space="0"/>
              <w:right w:val="single" w:color="auto" w:sz="4" w:space="0"/>
            </w:tcBorders>
            <w:vAlign w:val="center"/>
          </w:tcPr>
          <w:p w14:paraId="1E89B143">
            <w:pPr>
              <w:pStyle w:val="445"/>
              <w:rPr>
                <w:rFonts w:cs="Times New Roman"/>
                <w:kern w:val="0"/>
                <w:szCs w:val="20"/>
              </w:rPr>
            </w:pPr>
            <w:r>
              <w:rPr>
                <w:rFonts w:cs="Times New Roman"/>
                <w:kern w:val="0"/>
                <w:szCs w:val="20"/>
              </w:rPr>
              <w:t>温度</w:t>
            </w:r>
          </w:p>
        </w:tc>
        <w:tc>
          <w:tcPr>
            <w:tcW w:w="323" w:type="pct"/>
            <w:tcBorders>
              <w:top w:val="single" w:color="auto" w:sz="4" w:space="0"/>
              <w:left w:val="single" w:color="auto" w:sz="4" w:space="0"/>
              <w:bottom w:val="single" w:color="auto" w:sz="12" w:space="0"/>
              <w:right w:val="single" w:color="auto" w:sz="4" w:space="0"/>
            </w:tcBorders>
            <w:vAlign w:val="center"/>
          </w:tcPr>
          <w:p w14:paraId="236224BE">
            <w:pPr>
              <w:pStyle w:val="445"/>
              <w:rPr>
                <w:rFonts w:cs="Times New Roman"/>
                <w:kern w:val="0"/>
                <w:szCs w:val="20"/>
              </w:rPr>
            </w:pPr>
            <w:r>
              <w:rPr>
                <w:rFonts w:cs="Times New Roman"/>
                <w:kern w:val="0"/>
                <w:szCs w:val="20"/>
              </w:rPr>
              <w:t>0.75</w:t>
            </w:r>
          </w:p>
        </w:tc>
        <w:tc>
          <w:tcPr>
            <w:tcW w:w="324" w:type="pct"/>
            <w:tcBorders>
              <w:top w:val="single" w:color="auto" w:sz="4" w:space="0"/>
              <w:left w:val="single" w:color="auto" w:sz="4" w:space="0"/>
              <w:bottom w:val="single" w:color="auto" w:sz="12" w:space="0"/>
              <w:right w:val="single" w:color="auto" w:sz="4" w:space="0"/>
            </w:tcBorders>
            <w:vAlign w:val="center"/>
          </w:tcPr>
          <w:p w14:paraId="072858DB">
            <w:pPr>
              <w:pStyle w:val="445"/>
              <w:rPr>
                <w:rFonts w:cs="Times New Roman"/>
                <w:kern w:val="0"/>
                <w:szCs w:val="20"/>
              </w:rPr>
            </w:pPr>
            <w:r>
              <w:rPr>
                <w:rFonts w:cs="Times New Roman"/>
                <w:kern w:val="0"/>
                <w:szCs w:val="20"/>
              </w:rPr>
              <w:t>3.88</w:t>
            </w:r>
          </w:p>
        </w:tc>
        <w:tc>
          <w:tcPr>
            <w:tcW w:w="324" w:type="pct"/>
            <w:tcBorders>
              <w:top w:val="single" w:color="auto" w:sz="4" w:space="0"/>
              <w:left w:val="single" w:color="auto" w:sz="4" w:space="0"/>
              <w:bottom w:val="single" w:color="auto" w:sz="12" w:space="0"/>
              <w:right w:val="single" w:color="auto" w:sz="4" w:space="0"/>
            </w:tcBorders>
            <w:vAlign w:val="center"/>
          </w:tcPr>
          <w:p w14:paraId="31E57624">
            <w:pPr>
              <w:pStyle w:val="445"/>
              <w:rPr>
                <w:rFonts w:cs="Times New Roman"/>
                <w:kern w:val="0"/>
                <w:szCs w:val="20"/>
              </w:rPr>
            </w:pPr>
            <w:r>
              <w:rPr>
                <w:rFonts w:cs="Times New Roman"/>
                <w:kern w:val="0"/>
                <w:szCs w:val="20"/>
              </w:rPr>
              <w:t>9.79</w:t>
            </w:r>
          </w:p>
        </w:tc>
        <w:tc>
          <w:tcPr>
            <w:tcW w:w="382" w:type="pct"/>
            <w:tcBorders>
              <w:top w:val="single" w:color="auto" w:sz="4" w:space="0"/>
              <w:left w:val="single" w:color="auto" w:sz="4" w:space="0"/>
              <w:bottom w:val="single" w:color="auto" w:sz="12" w:space="0"/>
              <w:right w:val="single" w:color="auto" w:sz="4" w:space="0"/>
            </w:tcBorders>
            <w:vAlign w:val="center"/>
          </w:tcPr>
          <w:p w14:paraId="4AF21FD7">
            <w:pPr>
              <w:pStyle w:val="445"/>
              <w:rPr>
                <w:rFonts w:cs="Times New Roman"/>
                <w:kern w:val="0"/>
                <w:szCs w:val="20"/>
              </w:rPr>
            </w:pPr>
            <w:r>
              <w:rPr>
                <w:rFonts w:cs="Times New Roman"/>
                <w:kern w:val="0"/>
                <w:szCs w:val="20"/>
              </w:rPr>
              <w:t>14.58</w:t>
            </w:r>
          </w:p>
        </w:tc>
        <w:tc>
          <w:tcPr>
            <w:tcW w:w="382" w:type="pct"/>
            <w:tcBorders>
              <w:top w:val="single" w:color="auto" w:sz="4" w:space="0"/>
              <w:left w:val="single" w:color="auto" w:sz="4" w:space="0"/>
              <w:bottom w:val="single" w:color="auto" w:sz="12" w:space="0"/>
              <w:right w:val="single" w:color="auto" w:sz="4" w:space="0"/>
            </w:tcBorders>
            <w:vAlign w:val="center"/>
          </w:tcPr>
          <w:p w14:paraId="45BC5000">
            <w:pPr>
              <w:pStyle w:val="445"/>
              <w:rPr>
                <w:rFonts w:cs="Times New Roman"/>
                <w:kern w:val="0"/>
                <w:szCs w:val="20"/>
              </w:rPr>
            </w:pPr>
            <w:r>
              <w:rPr>
                <w:rFonts w:cs="Times New Roman"/>
                <w:kern w:val="0"/>
                <w:szCs w:val="20"/>
              </w:rPr>
              <w:t>20.83</w:t>
            </w:r>
          </w:p>
        </w:tc>
        <w:tc>
          <w:tcPr>
            <w:tcW w:w="382" w:type="pct"/>
            <w:tcBorders>
              <w:top w:val="single" w:color="auto" w:sz="4" w:space="0"/>
              <w:left w:val="single" w:color="auto" w:sz="4" w:space="0"/>
              <w:bottom w:val="single" w:color="auto" w:sz="12" w:space="0"/>
              <w:right w:val="single" w:color="auto" w:sz="4" w:space="0"/>
            </w:tcBorders>
            <w:vAlign w:val="center"/>
          </w:tcPr>
          <w:p w14:paraId="6455E21F">
            <w:pPr>
              <w:pStyle w:val="445"/>
              <w:rPr>
                <w:rFonts w:cs="Times New Roman"/>
                <w:kern w:val="0"/>
                <w:szCs w:val="20"/>
              </w:rPr>
            </w:pPr>
            <w:r>
              <w:rPr>
                <w:rFonts w:cs="Times New Roman"/>
                <w:kern w:val="0"/>
                <w:szCs w:val="20"/>
              </w:rPr>
              <w:t>24.72</w:t>
            </w:r>
          </w:p>
        </w:tc>
        <w:tc>
          <w:tcPr>
            <w:tcW w:w="382" w:type="pct"/>
            <w:tcBorders>
              <w:top w:val="single" w:color="auto" w:sz="4" w:space="0"/>
              <w:left w:val="single" w:color="auto" w:sz="4" w:space="0"/>
              <w:bottom w:val="single" w:color="auto" w:sz="12" w:space="0"/>
              <w:right w:val="single" w:color="auto" w:sz="4" w:space="0"/>
            </w:tcBorders>
            <w:vAlign w:val="center"/>
          </w:tcPr>
          <w:p w14:paraId="4DD09C19">
            <w:pPr>
              <w:pStyle w:val="445"/>
              <w:rPr>
                <w:rFonts w:cs="Times New Roman"/>
                <w:kern w:val="0"/>
                <w:szCs w:val="20"/>
              </w:rPr>
            </w:pPr>
            <w:r>
              <w:rPr>
                <w:rFonts w:cs="Times New Roman"/>
                <w:kern w:val="0"/>
                <w:szCs w:val="20"/>
              </w:rPr>
              <w:t>29.62</w:t>
            </w:r>
          </w:p>
        </w:tc>
        <w:tc>
          <w:tcPr>
            <w:tcW w:w="382" w:type="pct"/>
            <w:tcBorders>
              <w:top w:val="single" w:color="auto" w:sz="4" w:space="0"/>
              <w:left w:val="single" w:color="auto" w:sz="4" w:space="0"/>
              <w:bottom w:val="single" w:color="auto" w:sz="12" w:space="0"/>
              <w:right w:val="single" w:color="auto" w:sz="4" w:space="0"/>
            </w:tcBorders>
            <w:vAlign w:val="center"/>
          </w:tcPr>
          <w:p w14:paraId="570146F1">
            <w:pPr>
              <w:pStyle w:val="445"/>
              <w:rPr>
                <w:rFonts w:cs="Times New Roman"/>
                <w:kern w:val="0"/>
                <w:szCs w:val="20"/>
              </w:rPr>
            </w:pPr>
            <w:r>
              <w:rPr>
                <w:rFonts w:cs="Times New Roman"/>
                <w:kern w:val="0"/>
                <w:szCs w:val="20"/>
              </w:rPr>
              <w:t>29.26</w:t>
            </w:r>
          </w:p>
        </w:tc>
        <w:tc>
          <w:tcPr>
            <w:tcW w:w="382" w:type="pct"/>
            <w:tcBorders>
              <w:top w:val="single" w:color="auto" w:sz="4" w:space="0"/>
              <w:left w:val="single" w:color="auto" w:sz="4" w:space="0"/>
              <w:bottom w:val="single" w:color="auto" w:sz="12" w:space="0"/>
              <w:right w:val="single" w:color="auto" w:sz="4" w:space="0"/>
            </w:tcBorders>
            <w:vAlign w:val="center"/>
          </w:tcPr>
          <w:p w14:paraId="670B7FEA">
            <w:pPr>
              <w:pStyle w:val="445"/>
              <w:rPr>
                <w:rFonts w:cs="Times New Roman"/>
                <w:kern w:val="0"/>
                <w:szCs w:val="20"/>
              </w:rPr>
            </w:pPr>
            <w:r>
              <w:rPr>
                <w:rFonts w:cs="Times New Roman"/>
                <w:kern w:val="0"/>
                <w:szCs w:val="20"/>
              </w:rPr>
              <w:t>22.24</w:t>
            </w:r>
          </w:p>
        </w:tc>
        <w:tc>
          <w:tcPr>
            <w:tcW w:w="382" w:type="pct"/>
            <w:tcBorders>
              <w:top w:val="single" w:color="auto" w:sz="4" w:space="0"/>
              <w:left w:val="single" w:color="auto" w:sz="4" w:space="0"/>
              <w:bottom w:val="single" w:color="auto" w:sz="12" w:space="0"/>
              <w:right w:val="single" w:color="auto" w:sz="4" w:space="0"/>
            </w:tcBorders>
            <w:vAlign w:val="center"/>
          </w:tcPr>
          <w:p w14:paraId="3F371138">
            <w:pPr>
              <w:pStyle w:val="445"/>
              <w:rPr>
                <w:rFonts w:cs="Times New Roman"/>
                <w:kern w:val="0"/>
                <w:szCs w:val="20"/>
              </w:rPr>
            </w:pPr>
            <w:r>
              <w:rPr>
                <w:rFonts w:cs="Times New Roman"/>
                <w:kern w:val="0"/>
                <w:szCs w:val="20"/>
              </w:rPr>
              <w:t>16.72</w:t>
            </w:r>
          </w:p>
        </w:tc>
        <w:tc>
          <w:tcPr>
            <w:tcW w:w="344" w:type="pct"/>
            <w:tcBorders>
              <w:top w:val="single" w:color="auto" w:sz="4" w:space="0"/>
              <w:left w:val="single" w:color="auto" w:sz="4" w:space="0"/>
              <w:bottom w:val="single" w:color="auto" w:sz="12" w:space="0"/>
              <w:right w:val="single" w:color="auto" w:sz="4" w:space="0"/>
            </w:tcBorders>
            <w:vAlign w:val="center"/>
          </w:tcPr>
          <w:p w14:paraId="3E9C69AF">
            <w:pPr>
              <w:pStyle w:val="445"/>
              <w:rPr>
                <w:rFonts w:cs="Times New Roman"/>
                <w:kern w:val="0"/>
                <w:szCs w:val="20"/>
              </w:rPr>
            </w:pPr>
            <w:r>
              <w:rPr>
                <w:rFonts w:cs="Times New Roman"/>
                <w:kern w:val="0"/>
                <w:szCs w:val="20"/>
              </w:rPr>
              <w:t>9.81</w:t>
            </w:r>
          </w:p>
        </w:tc>
        <w:tc>
          <w:tcPr>
            <w:tcW w:w="347" w:type="pct"/>
            <w:tcBorders>
              <w:top w:val="single" w:color="auto" w:sz="4" w:space="0"/>
              <w:left w:val="single" w:color="auto" w:sz="4" w:space="0"/>
              <w:bottom w:val="single" w:color="auto" w:sz="12" w:space="0"/>
              <w:right w:val="single" w:color="auto" w:sz="4" w:space="0"/>
            </w:tcBorders>
            <w:vAlign w:val="center"/>
          </w:tcPr>
          <w:p w14:paraId="118F3E56">
            <w:pPr>
              <w:pStyle w:val="445"/>
              <w:rPr>
                <w:rFonts w:cs="Times New Roman"/>
                <w:kern w:val="0"/>
                <w:szCs w:val="20"/>
              </w:rPr>
            </w:pPr>
            <w:r>
              <w:rPr>
                <w:rFonts w:cs="Times New Roman"/>
                <w:kern w:val="0"/>
                <w:szCs w:val="20"/>
              </w:rPr>
              <w:t>2.29</w:t>
            </w:r>
          </w:p>
        </w:tc>
        <w:tc>
          <w:tcPr>
            <w:tcW w:w="382" w:type="pct"/>
            <w:tcBorders>
              <w:top w:val="single" w:color="auto" w:sz="4" w:space="0"/>
              <w:left w:val="single" w:color="auto" w:sz="4" w:space="0"/>
              <w:bottom w:val="single" w:color="auto" w:sz="12" w:space="0"/>
              <w:right w:val="nil"/>
            </w:tcBorders>
            <w:vAlign w:val="center"/>
          </w:tcPr>
          <w:p w14:paraId="3F5721F7">
            <w:pPr>
              <w:pStyle w:val="445"/>
              <w:rPr>
                <w:rFonts w:cs="Times New Roman"/>
                <w:kern w:val="0"/>
                <w:szCs w:val="20"/>
              </w:rPr>
            </w:pPr>
            <w:r>
              <w:rPr>
                <w:rFonts w:cs="Times New Roman"/>
                <w:kern w:val="0"/>
                <w:szCs w:val="20"/>
              </w:rPr>
              <w:t>15.37</w:t>
            </w:r>
          </w:p>
        </w:tc>
      </w:tr>
    </w:tbl>
    <w:p w14:paraId="0DF6E5B1">
      <w:pPr>
        <w:ind w:firstLine="480" w:firstLineChars="0"/>
        <w:jc w:val="center"/>
        <w:rPr>
          <w:rFonts w:ascii="黑体" w:hAnsi="黑体" w:eastAsia="黑体" w:cs="Times New Roman"/>
          <w:kern w:val="0"/>
        </w:rPr>
      </w:pPr>
      <w:r>
        <w:rPr>
          <w:rFonts w:hint="eastAsia" w:ascii="黑体" w:hAnsi="黑体" w:eastAsia="黑体"/>
          <w:kern w:val="0"/>
        </w:rPr>
        <w:t xml:space="preserve"> </w:t>
      </w:r>
    </w:p>
    <w:p w14:paraId="53D67963">
      <w:pPr>
        <w:ind w:firstLine="0" w:firstLineChars="0"/>
        <w:jc w:val="center"/>
        <w:rPr>
          <w:rFonts w:ascii="黑体" w:hAnsi="黑体" w:eastAsia="黑体"/>
          <w:kern w:val="0"/>
        </w:rPr>
      </w:pPr>
      <w:r>
        <w:drawing>
          <wp:inline distT="0" distB="0" distL="0" distR="0">
            <wp:extent cx="4772025" cy="2000250"/>
            <wp:effectExtent l="0" t="0" r="9525" b="0"/>
            <wp:docPr id="6" name="图片 6" descr="C:\Users\ADMINI~1\AppData\Local\Temp\ksohtml\wps43E0.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ksohtml\wps43E0.tmp.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772025" cy="2000250"/>
                    </a:xfrm>
                    <a:prstGeom prst="rect">
                      <a:avLst/>
                    </a:prstGeom>
                    <a:noFill/>
                    <a:ln>
                      <a:noFill/>
                    </a:ln>
                  </pic:spPr>
                </pic:pic>
              </a:graphicData>
            </a:graphic>
          </wp:inline>
        </w:drawing>
      </w:r>
      <w:r>
        <w:rPr>
          <w:rFonts w:hint="eastAsia" w:ascii="黑体" w:hAnsi="黑体" w:eastAsia="黑体"/>
          <w:kern w:val="0"/>
        </w:rPr>
        <w:t xml:space="preserve"> </w:t>
      </w:r>
    </w:p>
    <w:p w14:paraId="65FBACBF">
      <w:pPr>
        <w:pStyle w:val="278"/>
        <w:ind w:firstLine="480"/>
      </w:pPr>
      <w:r>
        <w:rPr>
          <w:rFonts w:ascii="黑体" w:hAnsi="黑体"/>
        </w:rPr>
        <w:t>图</w:t>
      </w:r>
      <w:r>
        <w:t xml:space="preserve">5.1.1-1  </w:t>
      </w:r>
      <w:r>
        <w:rPr>
          <w:rFonts w:ascii="黑体" w:hAnsi="黑体"/>
        </w:rPr>
        <w:t>区域多年平均温度变化</w:t>
      </w:r>
    </w:p>
    <w:p w14:paraId="031EF6CE">
      <w:pPr>
        <w:ind w:firstLine="480"/>
      </w:pPr>
      <w:r>
        <w:rPr>
          <w:rFonts w:hint="eastAsia" w:ascii="宋体" w:hAnsi="宋体"/>
        </w:rPr>
        <w:t>（</w:t>
      </w:r>
      <w:r>
        <w:rPr>
          <w:rFonts w:hint="eastAsia"/>
        </w:rPr>
        <w:t>3</w:t>
      </w:r>
      <w:r>
        <w:rPr>
          <w:rFonts w:hint="eastAsia" w:ascii="宋体" w:hAnsi="宋体"/>
        </w:rPr>
        <w:t>）</w:t>
      </w:r>
      <w:r>
        <w:rPr>
          <w:rFonts w:ascii="宋体" w:hAnsi="宋体"/>
        </w:rPr>
        <w:t>风速</w:t>
      </w:r>
    </w:p>
    <w:p w14:paraId="55EEE106">
      <w:pPr>
        <w:ind w:firstLine="480"/>
      </w:pPr>
      <w:r>
        <w:rPr>
          <w:rFonts w:hint="eastAsia" w:ascii="宋体" w:hAnsi="宋体"/>
        </w:rPr>
        <w:t>区域多年</w:t>
      </w:r>
      <w:r>
        <w:rPr>
          <w:rFonts w:ascii="宋体" w:hAnsi="宋体"/>
        </w:rPr>
        <w:t>平均风速的月份变化统计见</w:t>
      </w:r>
      <w:r>
        <w:rPr>
          <w:rFonts w:hint="eastAsia" w:ascii="宋体" w:hAnsi="宋体"/>
        </w:rPr>
        <w:t>表</w:t>
      </w:r>
      <w:r>
        <w:t>5.1.1-2</w:t>
      </w:r>
      <w:r>
        <w:rPr>
          <w:rFonts w:ascii="宋体" w:hAnsi="宋体"/>
        </w:rPr>
        <w:t>和</w:t>
      </w:r>
      <w:r>
        <w:rPr>
          <w:rFonts w:hint="eastAsia" w:ascii="宋体" w:hAnsi="宋体"/>
        </w:rPr>
        <w:t>图</w:t>
      </w:r>
      <w:r>
        <w:t>5.1.1-2</w:t>
      </w:r>
      <w:r>
        <w:rPr>
          <w:rFonts w:ascii="宋体" w:hAnsi="宋体"/>
        </w:rPr>
        <w:t>。</w:t>
      </w:r>
    </w:p>
    <w:p w14:paraId="483B991E">
      <w:pPr>
        <w:pStyle w:val="278"/>
        <w:ind w:firstLine="480"/>
      </w:pPr>
      <w:r>
        <w:rPr>
          <w:rFonts w:ascii="黑体" w:hAnsi="黑体"/>
        </w:rPr>
        <w:t>表</w:t>
      </w:r>
      <w:r>
        <w:t xml:space="preserve">5.1.1-2 </w:t>
      </w:r>
      <w:r>
        <w:rPr>
          <w:rFonts w:hint="eastAsia" w:ascii="黑体" w:hAnsi="黑体"/>
        </w:rPr>
        <w:t>多年平均风速月变化</w:t>
      </w:r>
      <w:r>
        <w:rPr>
          <w:rFonts w:hint="eastAsia"/>
        </w:rPr>
        <w:t xml:space="preserve">  单位：m/s</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650"/>
        <w:gridCol w:w="650"/>
        <w:gridCol w:w="651"/>
        <w:gridCol w:w="651"/>
        <w:gridCol w:w="651"/>
        <w:gridCol w:w="651"/>
        <w:gridCol w:w="651"/>
        <w:gridCol w:w="651"/>
        <w:gridCol w:w="651"/>
        <w:gridCol w:w="699"/>
        <w:gridCol w:w="699"/>
        <w:gridCol w:w="699"/>
        <w:gridCol w:w="649"/>
      </w:tblGrid>
      <w:tr w14:paraId="13E1C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tcBorders>
              <w:top w:val="single" w:color="auto" w:sz="12" w:space="0"/>
              <w:left w:val="nil"/>
              <w:bottom w:val="single" w:color="auto" w:sz="4" w:space="0"/>
              <w:right w:val="single" w:color="auto" w:sz="4" w:space="0"/>
            </w:tcBorders>
          </w:tcPr>
          <w:p w14:paraId="316E00FF">
            <w:pPr>
              <w:pStyle w:val="445"/>
              <w:rPr>
                <w:rFonts w:cs="Times New Roman"/>
                <w:kern w:val="0"/>
                <w:szCs w:val="20"/>
              </w:rPr>
            </w:pPr>
            <w:r>
              <w:rPr>
                <w:rFonts w:cs="Times New Roman"/>
                <w:kern w:val="0"/>
                <w:szCs w:val="20"/>
              </w:rPr>
              <w:t>月份</w:t>
            </w:r>
          </w:p>
        </w:tc>
        <w:tc>
          <w:tcPr>
            <w:tcW w:w="352" w:type="pct"/>
            <w:tcBorders>
              <w:top w:val="single" w:color="auto" w:sz="12" w:space="0"/>
              <w:left w:val="single" w:color="auto" w:sz="4" w:space="0"/>
              <w:bottom w:val="single" w:color="auto" w:sz="4" w:space="0"/>
              <w:right w:val="single" w:color="auto" w:sz="4" w:space="0"/>
            </w:tcBorders>
          </w:tcPr>
          <w:p w14:paraId="6428FC18">
            <w:pPr>
              <w:pStyle w:val="445"/>
              <w:rPr>
                <w:rFonts w:cs="Times New Roman"/>
                <w:kern w:val="0"/>
                <w:szCs w:val="20"/>
              </w:rPr>
            </w:pPr>
            <w:r>
              <w:rPr>
                <w:rFonts w:cs="Times New Roman"/>
                <w:kern w:val="0"/>
                <w:szCs w:val="20"/>
              </w:rPr>
              <w:t>1月</w:t>
            </w:r>
          </w:p>
        </w:tc>
        <w:tc>
          <w:tcPr>
            <w:tcW w:w="352" w:type="pct"/>
            <w:tcBorders>
              <w:top w:val="single" w:color="auto" w:sz="12" w:space="0"/>
              <w:left w:val="single" w:color="auto" w:sz="4" w:space="0"/>
              <w:bottom w:val="single" w:color="auto" w:sz="4" w:space="0"/>
              <w:right w:val="single" w:color="auto" w:sz="4" w:space="0"/>
            </w:tcBorders>
          </w:tcPr>
          <w:p w14:paraId="135C0D2C">
            <w:pPr>
              <w:pStyle w:val="445"/>
              <w:rPr>
                <w:rFonts w:cs="Times New Roman"/>
                <w:kern w:val="0"/>
                <w:szCs w:val="20"/>
              </w:rPr>
            </w:pPr>
            <w:r>
              <w:rPr>
                <w:rFonts w:cs="Times New Roman"/>
                <w:kern w:val="0"/>
                <w:szCs w:val="20"/>
              </w:rPr>
              <w:t>2月</w:t>
            </w:r>
          </w:p>
        </w:tc>
        <w:tc>
          <w:tcPr>
            <w:tcW w:w="352" w:type="pct"/>
            <w:tcBorders>
              <w:top w:val="single" w:color="auto" w:sz="12" w:space="0"/>
              <w:left w:val="single" w:color="auto" w:sz="4" w:space="0"/>
              <w:bottom w:val="single" w:color="auto" w:sz="4" w:space="0"/>
              <w:right w:val="single" w:color="auto" w:sz="4" w:space="0"/>
            </w:tcBorders>
          </w:tcPr>
          <w:p w14:paraId="4D720C67">
            <w:pPr>
              <w:pStyle w:val="445"/>
              <w:rPr>
                <w:rFonts w:cs="Times New Roman"/>
                <w:kern w:val="0"/>
                <w:szCs w:val="20"/>
              </w:rPr>
            </w:pPr>
            <w:r>
              <w:rPr>
                <w:rFonts w:cs="Times New Roman"/>
                <w:kern w:val="0"/>
                <w:szCs w:val="20"/>
              </w:rPr>
              <w:t>3月</w:t>
            </w:r>
          </w:p>
        </w:tc>
        <w:tc>
          <w:tcPr>
            <w:tcW w:w="352" w:type="pct"/>
            <w:tcBorders>
              <w:top w:val="single" w:color="auto" w:sz="12" w:space="0"/>
              <w:left w:val="single" w:color="auto" w:sz="4" w:space="0"/>
              <w:bottom w:val="single" w:color="auto" w:sz="4" w:space="0"/>
              <w:right w:val="single" w:color="auto" w:sz="4" w:space="0"/>
            </w:tcBorders>
          </w:tcPr>
          <w:p w14:paraId="2B52A6D5">
            <w:pPr>
              <w:pStyle w:val="445"/>
              <w:rPr>
                <w:rFonts w:cs="Times New Roman"/>
                <w:kern w:val="0"/>
                <w:szCs w:val="20"/>
              </w:rPr>
            </w:pPr>
            <w:r>
              <w:rPr>
                <w:rFonts w:cs="Times New Roman"/>
                <w:kern w:val="0"/>
                <w:szCs w:val="20"/>
              </w:rPr>
              <w:t>4月</w:t>
            </w:r>
          </w:p>
        </w:tc>
        <w:tc>
          <w:tcPr>
            <w:tcW w:w="352" w:type="pct"/>
            <w:tcBorders>
              <w:top w:val="single" w:color="auto" w:sz="12" w:space="0"/>
              <w:left w:val="single" w:color="auto" w:sz="4" w:space="0"/>
              <w:bottom w:val="single" w:color="auto" w:sz="4" w:space="0"/>
              <w:right w:val="single" w:color="auto" w:sz="4" w:space="0"/>
            </w:tcBorders>
          </w:tcPr>
          <w:p w14:paraId="1CD703EF">
            <w:pPr>
              <w:pStyle w:val="445"/>
              <w:rPr>
                <w:rFonts w:cs="Times New Roman"/>
                <w:kern w:val="0"/>
                <w:szCs w:val="20"/>
              </w:rPr>
            </w:pPr>
            <w:r>
              <w:rPr>
                <w:rFonts w:cs="Times New Roman"/>
                <w:kern w:val="0"/>
                <w:szCs w:val="20"/>
              </w:rPr>
              <w:t>5月</w:t>
            </w:r>
          </w:p>
        </w:tc>
        <w:tc>
          <w:tcPr>
            <w:tcW w:w="352" w:type="pct"/>
            <w:tcBorders>
              <w:top w:val="single" w:color="auto" w:sz="12" w:space="0"/>
              <w:left w:val="single" w:color="auto" w:sz="4" w:space="0"/>
              <w:bottom w:val="single" w:color="auto" w:sz="4" w:space="0"/>
              <w:right w:val="single" w:color="auto" w:sz="4" w:space="0"/>
            </w:tcBorders>
          </w:tcPr>
          <w:p w14:paraId="7FBEB765">
            <w:pPr>
              <w:pStyle w:val="445"/>
              <w:rPr>
                <w:rFonts w:cs="Times New Roman"/>
                <w:kern w:val="0"/>
                <w:szCs w:val="20"/>
              </w:rPr>
            </w:pPr>
            <w:r>
              <w:rPr>
                <w:rFonts w:cs="Times New Roman"/>
                <w:kern w:val="0"/>
                <w:szCs w:val="20"/>
              </w:rPr>
              <w:t>6月</w:t>
            </w:r>
          </w:p>
        </w:tc>
        <w:tc>
          <w:tcPr>
            <w:tcW w:w="352" w:type="pct"/>
            <w:tcBorders>
              <w:top w:val="single" w:color="auto" w:sz="12" w:space="0"/>
              <w:left w:val="single" w:color="auto" w:sz="4" w:space="0"/>
              <w:bottom w:val="single" w:color="auto" w:sz="4" w:space="0"/>
              <w:right w:val="single" w:color="auto" w:sz="4" w:space="0"/>
            </w:tcBorders>
          </w:tcPr>
          <w:p w14:paraId="528E9A26">
            <w:pPr>
              <w:pStyle w:val="445"/>
              <w:rPr>
                <w:rFonts w:cs="Times New Roman"/>
                <w:kern w:val="0"/>
                <w:szCs w:val="20"/>
              </w:rPr>
            </w:pPr>
            <w:r>
              <w:rPr>
                <w:rFonts w:cs="Times New Roman"/>
                <w:kern w:val="0"/>
                <w:szCs w:val="20"/>
              </w:rPr>
              <w:t>7月</w:t>
            </w:r>
          </w:p>
        </w:tc>
        <w:tc>
          <w:tcPr>
            <w:tcW w:w="352" w:type="pct"/>
            <w:tcBorders>
              <w:top w:val="single" w:color="auto" w:sz="12" w:space="0"/>
              <w:left w:val="single" w:color="auto" w:sz="4" w:space="0"/>
              <w:bottom w:val="single" w:color="auto" w:sz="4" w:space="0"/>
              <w:right w:val="single" w:color="auto" w:sz="4" w:space="0"/>
            </w:tcBorders>
          </w:tcPr>
          <w:p w14:paraId="43BC7268">
            <w:pPr>
              <w:pStyle w:val="445"/>
              <w:rPr>
                <w:rFonts w:cs="Times New Roman"/>
                <w:kern w:val="0"/>
                <w:szCs w:val="20"/>
              </w:rPr>
            </w:pPr>
            <w:r>
              <w:rPr>
                <w:rFonts w:cs="Times New Roman"/>
                <w:kern w:val="0"/>
                <w:szCs w:val="20"/>
              </w:rPr>
              <w:t>8月</w:t>
            </w:r>
          </w:p>
        </w:tc>
        <w:tc>
          <w:tcPr>
            <w:tcW w:w="352" w:type="pct"/>
            <w:tcBorders>
              <w:top w:val="single" w:color="auto" w:sz="12" w:space="0"/>
              <w:left w:val="single" w:color="auto" w:sz="4" w:space="0"/>
              <w:bottom w:val="single" w:color="auto" w:sz="4" w:space="0"/>
              <w:right w:val="single" w:color="auto" w:sz="4" w:space="0"/>
            </w:tcBorders>
          </w:tcPr>
          <w:p w14:paraId="2F7DC803">
            <w:pPr>
              <w:pStyle w:val="445"/>
              <w:rPr>
                <w:rFonts w:cs="Times New Roman"/>
                <w:kern w:val="0"/>
                <w:szCs w:val="20"/>
              </w:rPr>
            </w:pPr>
            <w:r>
              <w:rPr>
                <w:rFonts w:cs="Times New Roman"/>
                <w:kern w:val="0"/>
                <w:szCs w:val="20"/>
              </w:rPr>
              <w:t>9月</w:t>
            </w:r>
          </w:p>
        </w:tc>
        <w:tc>
          <w:tcPr>
            <w:tcW w:w="378" w:type="pct"/>
            <w:tcBorders>
              <w:top w:val="single" w:color="auto" w:sz="12" w:space="0"/>
              <w:left w:val="single" w:color="auto" w:sz="4" w:space="0"/>
              <w:bottom w:val="single" w:color="auto" w:sz="4" w:space="0"/>
              <w:right w:val="single" w:color="auto" w:sz="4" w:space="0"/>
            </w:tcBorders>
          </w:tcPr>
          <w:p w14:paraId="076EF8D4">
            <w:pPr>
              <w:pStyle w:val="445"/>
              <w:rPr>
                <w:rFonts w:cs="Times New Roman"/>
                <w:kern w:val="0"/>
                <w:szCs w:val="20"/>
              </w:rPr>
            </w:pPr>
            <w:r>
              <w:rPr>
                <w:rFonts w:cs="Times New Roman"/>
                <w:kern w:val="0"/>
                <w:szCs w:val="20"/>
              </w:rPr>
              <w:t>10月</w:t>
            </w:r>
          </w:p>
        </w:tc>
        <w:tc>
          <w:tcPr>
            <w:tcW w:w="378" w:type="pct"/>
            <w:tcBorders>
              <w:top w:val="single" w:color="auto" w:sz="12" w:space="0"/>
              <w:left w:val="single" w:color="auto" w:sz="4" w:space="0"/>
              <w:bottom w:val="single" w:color="auto" w:sz="4" w:space="0"/>
              <w:right w:val="single" w:color="auto" w:sz="4" w:space="0"/>
            </w:tcBorders>
          </w:tcPr>
          <w:p w14:paraId="474C9968">
            <w:pPr>
              <w:pStyle w:val="445"/>
              <w:rPr>
                <w:rFonts w:cs="Times New Roman"/>
                <w:kern w:val="0"/>
                <w:szCs w:val="20"/>
              </w:rPr>
            </w:pPr>
            <w:r>
              <w:rPr>
                <w:rFonts w:cs="Times New Roman"/>
                <w:kern w:val="0"/>
                <w:szCs w:val="20"/>
              </w:rPr>
              <w:t>11月</w:t>
            </w:r>
          </w:p>
        </w:tc>
        <w:tc>
          <w:tcPr>
            <w:tcW w:w="378" w:type="pct"/>
            <w:tcBorders>
              <w:top w:val="single" w:color="auto" w:sz="12" w:space="0"/>
              <w:left w:val="single" w:color="auto" w:sz="4" w:space="0"/>
              <w:bottom w:val="single" w:color="auto" w:sz="4" w:space="0"/>
              <w:right w:val="single" w:color="auto" w:sz="4" w:space="0"/>
            </w:tcBorders>
          </w:tcPr>
          <w:p w14:paraId="60A6140E">
            <w:pPr>
              <w:pStyle w:val="445"/>
              <w:rPr>
                <w:rFonts w:cs="Times New Roman"/>
                <w:kern w:val="0"/>
                <w:szCs w:val="20"/>
              </w:rPr>
            </w:pPr>
            <w:r>
              <w:rPr>
                <w:rFonts w:cs="Times New Roman"/>
                <w:kern w:val="0"/>
                <w:szCs w:val="20"/>
              </w:rPr>
              <w:t>12月</w:t>
            </w:r>
          </w:p>
        </w:tc>
        <w:tc>
          <w:tcPr>
            <w:tcW w:w="352" w:type="pct"/>
            <w:tcBorders>
              <w:top w:val="single" w:color="auto" w:sz="12" w:space="0"/>
              <w:left w:val="single" w:color="auto" w:sz="4" w:space="0"/>
              <w:bottom w:val="single" w:color="auto" w:sz="4" w:space="0"/>
              <w:right w:val="nil"/>
            </w:tcBorders>
          </w:tcPr>
          <w:p w14:paraId="5E5C3ECA">
            <w:pPr>
              <w:pStyle w:val="445"/>
              <w:rPr>
                <w:rFonts w:cs="Times New Roman"/>
                <w:kern w:val="0"/>
                <w:szCs w:val="20"/>
              </w:rPr>
            </w:pPr>
            <w:r>
              <w:rPr>
                <w:rFonts w:cs="Times New Roman"/>
                <w:kern w:val="0"/>
                <w:szCs w:val="20"/>
              </w:rPr>
              <w:t>年</w:t>
            </w:r>
          </w:p>
        </w:tc>
      </w:tr>
      <w:tr w14:paraId="679FB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tcBorders>
              <w:top w:val="single" w:color="auto" w:sz="4" w:space="0"/>
              <w:left w:val="nil"/>
              <w:bottom w:val="single" w:color="auto" w:sz="12" w:space="0"/>
              <w:right w:val="single" w:color="auto" w:sz="4" w:space="0"/>
            </w:tcBorders>
          </w:tcPr>
          <w:p w14:paraId="577D1479">
            <w:pPr>
              <w:pStyle w:val="445"/>
              <w:rPr>
                <w:rFonts w:cs="Times New Roman"/>
                <w:kern w:val="0"/>
                <w:szCs w:val="20"/>
              </w:rPr>
            </w:pPr>
            <w:r>
              <w:rPr>
                <w:rFonts w:cs="Times New Roman"/>
                <w:kern w:val="0"/>
                <w:szCs w:val="20"/>
              </w:rPr>
              <w:t>风速</w:t>
            </w:r>
          </w:p>
        </w:tc>
        <w:tc>
          <w:tcPr>
            <w:tcW w:w="352" w:type="pct"/>
            <w:tcBorders>
              <w:top w:val="single" w:color="auto" w:sz="4" w:space="0"/>
              <w:left w:val="single" w:color="auto" w:sz="4" w:space="0"/>
              <w:bottom w:val="single" w:color="auto" w:sz="12" w:space="0"/>
              <w:right w:val="single" w:color="auto" w:sz="4" w:space="0"/>
            </w:tcBorders>
          </w:tcPr>
          <w:p w14:paraId="74875B84">
            <w:pPr>
              <w:pStyle w:val="445"/>
              <w:rPr>
                <w:rFonts w:cs="Times New Roman"/>
                <w:kern w:val="0"/>
                <w:szCs w:val="20"/>
              </w:rPr>
            </w:pPr>
            <w:r>
              <w:rPr>
                <w:rFonts w:cs="Times New Roman"/>
                <w:kern w:val="0"/>
                <w:szCs w:val="20"/>
              </w:rPr>
              <w:t>2.16</w:t>
            </w:r>
          </w:p>
        </w:tc>
        <w:tc>
          <w:tcPr>
            <w:tcW w:w="352" w:type="pct"/>
            <w:tcBorders>
              <w:top w:val="single" w:color="auto" w:sz="4" w:space="0"/>
              <w:left w:val="single" w:color="auto" w:sz="4" w:space="0"/>
              <w:bottom w:val="single" w:color="auto" w:sz="12" w:space="0"/>
              <w:right w:val="single" w:color="auto" w:sz="4" w:space="0"/>
            </w:tcBorders>
          </w:tcPr>
          <w:p w14:paraId="07CED6EF">
            <w:pPr>
              <w:pStyle w:val="445"/>
              <w:rPr>
                <w:rFonts w:cs="Times New Roman"/>
                <w:kern w:val="0"/>
                <w:szCs w:val="20"/>
              </w:rPr>
            </w:pPr>
            <w:r>
              <w:rPr>
                <w:rFonts w:cs="Times New Roman"/>
                <w:kern w:val="0"/>
                <w:szCs w:val="20"/>
              </w:rPr>
              <w:t>2.76</w:t>
            </w:r>
          </w:p>
        </w:tc>
        <w:tc>
          <w:tcPr>
            <w:tcW w:w="352" w:type="pct"/>
            <w:tcBorders>
              <w:top w:val="single" w:color="auto" w:sz="4" w:space="0"/>
              <w:left w:val="single" w:color="auto" w:sz="4" w:space="0"/>
              <w:bottom w:val="single" w:color="auto" w:sz="12" w:space="0"/>
              <w:right w:val="single" w:color="auto" w:sz="4" w:space="0"/>
            </w:tcBorders>
          </w:tcPr>
          <w:p w14:paraId="25184B98">
            <w:pPr>
              <w:pStyle w:val="445"/>
              <w:rPr>
                <w:rFonts w:cs="Times New Roman"/>
                <w:kern w:val="0"/>
                <w:szCs w:val="20"/>
              </w:rPr>
            </w:pPr>
            <w:r>
              <w:rPr>
                <w:rFonts w:cs="Times New Roman"/>
                <w:kern w:val="0"/>
                <w:szCs w:val="20"/>
              </w:rPr>
              <w:t>3.39</w:t>
            </w:r>
          </w:p>
        </w:tc>
        <w:tc>
          <w:tcPr>
            <w:tcW w:w="352" w:type="pct"/>
            <w:tcBorders>
              <w:top w:val="single" w:color="auto" w:sz="4" w:space="0"/>
              <w:left w:val="single" w:color="auto" w:sz="4" w:space="0"/>
              <w:bottom w:val="single" w:color="auto" w:sz="12" w:space="0"/>
              <w:right w:val="single" w:color="auto" w:sz="4" w:space="0"/>
            </w:tcBorders>
          </w:tcPr>
          <w:p w14:paraId="3018C59C">
            <w:pPr>
              <w:pStyle w:val="445"/>
              <w:rPr>
                <w:rFonts w:cs="Times New Roman"/>
                <w:kern w:val="0"/>
                <w:szCs w:val="20"/>
              </w:rPr>
            </w:pPr>
            <w:r>
              <w:rPr>
                <w:rFonts w:cs="Times New Roman"/>
                <w:kern w:val="0"/>
                <w:szCs w:val="20"/>
              </w:rPr>
              <w:t>3.03</w:t>
            </w:r>
          </w:p>
        </w:tc>
        <w:tc>
          <w:tcPr>
            <w:tcW w:w="352" w:type="pct"/>
            <w:tcBorders>
              <w:top w:val="single" w:color="auto" w:sz="4" w:space="0"/>
              <w:left w:val="single" w:color="auto" w:sz="4" w:space="0"/>
              <w:bottom w:val="single" w:color="auto" w:sz="12" w:space="0"/>
              <w:right w:val="single" w:color="auto" w:sz="4" w:space="0"/>
            </w:tcBorders>
          </w:tcPr>
          <w:p w14:paraId="4161BEC6">
            <w:pPr>
              <w:pStyle w:val="445"/>
              <w:rPr>
                <w:rFonts w:cs="Times New Roman"/>
                <w:kern w:val="0"/>
                <w:szCs w:val="20"/>
              </w:rPr>
            </w:pPr>
            <w:r>
              <w:rPr>
                <w:rFonts w:cs="Times New Roman"/>
                <w:kern w:val="0"/>
                <w:szCs w:val="20"/>
              </w:rPr>
              <w:t>2.61</w:t>
            </w:r>
          </w:p>
        </w:tc>
        <w:tc>
          <w:tcPr>
            <w:tcW w:w="352" w:type="pct"/>
            <w:tcBorders>
              <w:top w:val="single" w:color="auto" w:sz="4" w:space="0"/>
              <w:left w:val="single" w:color="auto" w:sz="4" w:space="0"/>
              <w:bottom w:val="single" w:color="auto" w:sz="12" w:space="0"/>
              <w:right w:val="single" w:color="auto" w:sz="4" w:space="0"/>
            </w:tcBorders>
          </w:tcPr>
          <w:p w14:paraId="5DE0883F">
            <w:pPr>
              <w:pStyle w:val="445"/>
              <w:rPr>
                <w:rFonts w:cs="Times New Roman"/>
                <w:kern w:val="0"/>
                <w:szCs w:val="20"/>
              </w:rPr>
            </w:pPr>
            <w:r>
              <w:rPr>
                <w:rFonts w:cs="Times New Roman"/>
                <w:kern w:val="0"/>
                <w:szCs w:val="20"/>
              </w:rPr>
              <w:t>2.36</w:t>
            </w:r>
          </w:p>
        </w:tc>
        <w:tc>
          <w:tcPr>
            <w:tcW w:w="352" w:type="pct"/>
            <w:tcBorders>
              <w:top w:val="single" w:color="auto" w:sz="4" w:space="0"/>
              <w:left w:val="single" w:color="auto" w:sz="4" w:space="0"/>
              <w:bottom w:val="single" w:color="auto" w:sz="12" w:space="0"/>
              <w:right w:val="single" w:color="auto" w:sz="4" w:space="0"/>
            </w:tcBorders>
          </w:tcPr>
          <w:p w14:paraId="09D7BC52">
            <w:pPr>
              <w:pStyle w:val="445"/>
              <w:rPr>
                <w:rFonts w:cs="Times New Roman"/>
                <w:kern w:val="0"/>
                <w:szCs w:val="20"/>
              </w:rPr>
            </w:pPr>
            <w:r>
              <w:rPr>
                <w:rFonts w:cs="Times New Roman"/>
                <w:kern w:val="0"/>
                <w:szCs w:val="20"/>
              </w:rPr>
              <w:t>2.33</w:t>
            </w:r>
          </w:p>
        </w:tc>
        <w:tc>
          <w:tcPr>
            <w:tcW w:w="352" w:type="pct"/>
            <w:tcBorders>
              <w:top w:val="single" w:color="auto" w:sz="4" w:space="0"/>
              <w:left w:val="single" w:color="auto" w:sz="4" w:space="0"/>
              <w:bottom w:val="single" w:color="auto" w:sz="12" w:space="0"/>
              <w:right w:val="single" w:color="auto" w:sz="4" w:space="0"/>
            </w:tcBorders>
          </w:tcPr>
          <w:p w14:paraId="34604AB1">
            <w:pPr>
              <w:pStyle w:val="445"/>
              <w:rPr>
                <w:rFonts w:cs="Times New Roman"/>
                <w:kern w:val="0"/>
                <w:szCs w:val="20"/>
              </w:rPr>
            </w:pPr>
            <w:r>
              <w:rPr>
                <w:rFonts w:cs="Times New Roman"/>
                <w:kern w:val="0"/>
                <w:szCs w:val="20"/>
              </w:rPr>
              <w:t>2.38</w:t>
            </w:r>
          </w:p>
        </w:tc>
        <w:tc>
          <w:tcPr>
            <w:tcW w:w="352" w:type="pct"/>
            <w:tcBorders>
              <w:top w:val="single" w:color="auto" w:sz="4" w:space="0"/>
              <w:left w:val="single" w:color="auto" w:sz="4" w:space="0"/>
              <w:bottom w:val="single" w:color="auto" w:sz="12" w:space="0"/>
              <w:right w:val="single" w:color="auto" w:sz="4" w:space="0"/>
            </w:tcBorders>
          </w:tcPr>
          <w:p w14:paraId="6D1E24EA">
            <w:pPr>
              <w:pStyle w:val="445"/>
              <w:rPr>
                <w:rFonts w:cs="Times New Roman"/>
                <w:kern w:val="0"/>
                <w:szCs w:val="20"/>
              </w:rPr>
            </w:pPr>
            <w:r>
              <w:rPr>
                <w:rFonts w:cs="Times New Roman"/>
                <w:kern w:val="0"/>
                <w:szCs w:val="20"/>
              </w:rPr>
              <w:t>2.03</w:t>
            </w:r>
          </w:p>
        </w:tc>
        <w:tc>
          <w:tcPr>
            <w:tcW w:w="378" w:type="pct"/>
            <w:tcBorders>
              <w:top w:val="single" w:color="auto" w:sz="4" w:space="0"/>
              <w:left w:val="single" w:color="auto" w:sz="4" w:space="0"/>
              <w:bottom w:val="single" w:color="auto" w:sz="12" w:space="0"/>
              <w:right w:val="single" w:color="auto" w:sz="4" w:space="0"/>
            </w:tcBorders>
          </w:tcPr>
          <w:p w14:paraId="387B2330">
            <w:pPr>
              <w:pStyle w:val="445"/>
              <w:rPr>
                <w:rFonts w:cs="Times New Roman"/>
                <w:kern w:val="0"/>
                <w:szCs w:val="20"/>
              </w:rPr>
            </w:pPr>
            <w:r>
              <w:rPr>
                <w:rFonts w:cs="Times New Roman"/>
                <w:kern w:val="0"/>
                <w:szCs w:val="20"/>
              </w:rPr>
              <w:t>2.08</w:t>
            </w:r>
          </w:p>
        </w:tc>
        <w:tc>
          <w:tcPr>
            <w:tcW w:w="378" w:type="pct"/>
            <w:tcBorders>
              <w:top w:val="single" w:color="auto" w:sz="4" w:space="0"/>
              <w:left w:val="single" w:color="auto" w:sz="4" w:space="0"/>
              <w:bottom w:val="single" w:color="auto" w:sz="12" w:space="0"/>
              <w:right w:val="single" w:color="auto" w:sz="4" w:space="0"/>
            </w:tcBorders>
          </w:tcPr>
          <w:p w14:paraId="6701BDC7">
            <w:pPr>
              <w:pStyle w:val="445"/>
              <w:rPr>
                <w:rFonts w:cs="Times New Roman"/>
                <w:kern w:val="0"/>
                <w:szCs w:val="20"/>
              </w:rPr>
            </w:pPr>
            <w:r>
              <w:rPr>
                <w:rFonts w:cs="Times New Roman"/>
                <w:kern w:val="0"/>
                <w:szCs w:val="20"/>
              </w:rPr>
              <w:t>2.24</w:t>
            </w:r>
          </w:p>
        </w:tc>
        <w:tc>
          <w:tcPr>
            <w:tcW w:w="378" w:type="pct"/>
            <w:tcBorders>
              <w:top w:val="single" w:color="auto" w:sz="4" w:space="0"/>
              <w:left w:val="single" w:color="auto" w:sz="4" w:space="0"/>
              <w:bottom w:val="single" w:color="auto" w:sz="12" w:space="0"/>
              <w:right w:val="single" w:color="auto" w:sz="4" w:space="0"/>
            </w:tcBorders>
          </w:tcPr>
          <w:p w14:paraId="48DA7739">
            <w:pPr>
              <w:pStyle w:val="445"/>
              <w:rPr>
                <w:rFonts w:cs="Times New Roman"/>
                <w:kern w:val="0"/>
                <w:szCs w:val="20"/>
              </w:rPr>
            </w:pPr>
            <w:r>
              <w:rPr>
                <w:rFonts w:cs="Times New Roman"/>
                <w:kern w:val="0"/>
                <w:szCs w:val="20"/>
              </w:rPr>
              <w:t>2.00</w:t>
            </w:r>
          </w:p>
        </w:tc>
        <w:tc>
          <w:tcPr>
            <w:tcW w:w="352" w:type="pct"/>
            <w:tcBorders>
              <w:top w:val="single" w:color="auto" w:sz="4" w:space="0"/>
              <w:left w:val="single" w:color="auto" w:sz="4" w:space="0"/>
              <w:bottom w:val="single" w:color="auto" w:sz="12" w:space="0"/>
              <w:right w:val="nil"/>
            </w:tcBorders>
          </w:tcPr>
          <w:p w14:paraId="001CB02F">
            <w:pPr>
              <w:pStyle w:val="445"/>
              <w:rPr>
                <w:rFonts w:cs="Times New Roman"/>
                <w:kern w:val="0"/>
                <w:szCs w:val="20"/>
              </w:rPr>
            </w:pPr>
            <w:r>
              <w:rPr>
                <w:rFonts w:hint="eastAsia" w:cs="Times New Roman"/>
                <w:kern w:val="0"/>
                <w:szCs w:val="20"/>
              </w:rPr>
              <w:t>2</w:t>
            </w:r>
            <w:r>
              <w:rPr>
                <w:rFonts w:cs="Times New Roman"/>
                <w:kern w:val="0"/>
                <w:szCs w:val="20"/>
              </w:rPr>
              <w:t>.45</w:t>
            </w:r>
          </w:p>
        </w:tc>
      </w:tr>
    </w:tbl>
    <w:p w14:paraId="749C0186">
      <w:pPr>
        <w:ind w:firstLine="480" w:firstLineChars="0"/>
        <w:jc w:val="center"/>
        <w:rPr>
          <w:rFonts w:ascii="黑体" w:hAnsi="黑体" w:eastAsia="黑体" w:cs="Times New Roman"/>
          <w:kern w:val="0"/>
        </w:rPr>
      </w:pPr>
      <w:r>
        <w:rPr>
          <w:rFonts w:hint="eastAsia" w:ascii="黑体" w:hAnsi="黑体" w:eastAsia="黑体"/>
          <w:kern w:val="0"/>
        </w:rPr>
        <w:t xml:space="preserve"> </w:t>
      </w:r>
    </w:p>
    <w:p w14:paraId="1FF354BD">
      <w:pPr>
        <w:overflowPunct w:val="0"/>
        <w:ind w:firstLine="0" w:firstLineChars="0"/>
        <w:jc w:val="center"/>
        <w:textAlignment w:val="baseline"/>
      </w:pPr>
      <w:r>
        <w:drawing>
          <wp:inline distT="0" distB="0" distL="0" distR="0">
            <wp:extent cx="4467225" cy="1866900"/>
            <wp:effectExtent l="0" t="0" r="9525" b="0"/>
            <wp:docPr id="5" name="图片 5" descr="C:\Users\ADMINI~1\AppData\Local\Temp\ksohtml\wps43E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1\AppData\Local\Temp\ksohtml\wps43E1.tmp.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467225" cy="1866900"/>
                    </a:xfrm>
                    <a:prstGeom prst="rect">
                      <a:avLst/>
                    </a:prstGeom>
                    <a:noFill/>
                    <a:ln>
                      <a:noFill/>
                    </a:ln>
                  </pic:spPr>
                </pic:pic>
              </a:graphicData>
            </a:graphic>
          </wp:inline>
        </w:drawing>
      </w:r>
      <w:r>
        <w:t xml:space="preserve"> </w:t>
      </w:r>
    </w:p>
    <w:p w14:paraId="55068F3B">
      <w:pPr>
        <w:pStyle w:val="278"/>
        <w:ind w:firstLine="480"/>
      </w:pPr>
      <w:r>
        <w:rPr>
          <w:rFonts w:ascii="黑体" w:hAnsi="黑体"/>
        </w:rPr>
        <w:t>图</w:t>
      </w:r>
      <w:r>
        <w:t xml:space="preserve">5.1.1-2  </w:t>
      </w:r>
      <w:r>
        <w:rPr>
          <w:rFonts w:hint="eastAsia" w:ascii="黑体" w:hAnsi="黑体"/>
        </w:rPr>
        <w:t>多年平均风速月变化</w:t>
      </w:r>
    </w:p>
    <w:p w14:paraId="77B1A997">
      <w:pPr>
        <w:ind w:firstLine="480"/>
      </w:pPr>
      <w:r>
        <w:rPr>
          <w:rFonts w:ascii="宋体" w:hAnsi="宋体"/>
        </w:rPr>
        <w:t>由</w:t>
      </w:r>
      <w:r>
        <w:rPr>
          <w:rFonts w:hint="eastAsia" w:ascii="宋体" w:hAnsi="宋体"/>
        </w:rPr>
        <w:t>表</w:t>
      </w:r>
      <w:r>
        <w:t>5.1.1-2</w:t>
      </w:r>
      <w:r>
        <w:rPr>
          <w:rFonts w:ascii="宋体" w:hAnsi="宋体"/>
        </w:rPr>
        <w:t>和</w:t>
      </w:r>
      <w:r>
        <w:rPr>
          <w:rFonts w:hint="eastAsia" w:ascii="宋体" w:hAnsi="宋体"/>
        </w:rPr>
        <w:t>图</w:t>
      </w:r>
      <w:r>
        <w:t>5.1.1-2</w:t>
      </w:r>
      <w:r>
        <w:rPr>
          <w:rFonts w:ascii="宋体" w:hAnsi="宋体"/>
        </w:rPr>
        <w:t>可以看出，</w:t>
      </w:r>
      <w:r>
        <w:rPr>
          <w:rFonts w:hint="eastAsia" w:ascii="宋体" w:hAnsi="宋体"/>
        </w:rPr>
        <w:t>区域多年平均风速为</w:t>
      </w:r>
      <w:r>
        <w:rPr>
          <w:rFonts w:hint="eastAsia"/>
        </w:rPr>
        <w:t>2.</w:t>
      </w:r>
      <w:r>
        <w:t>45</w:t>
      </w:r>
      <w:r>
        <w:rPr>
          <w:rFonts w:hint="eastAsia"/>
        </w:rPr>
        <w:t>m/s</w:t>
      </w:r>
      <w:r>
        <w:rPr>
          <w:rFonts w:hint="eastAsia" w:ascii="宋体" w:hAnsi="宋体"/>
        </w:rPr>
        <w:t>，</w:t>
      </w:r>
      <w:r>
        <w:rPr>
          <w:rFonts w:ascii="宋体" w:hAnsi="宋体"/>
        </w:rPr>
        <w:t>该区域地面各月风速变化较为规律，春季风速最高，</w:t>
      </w:r>
      <w:r>
        <w:rPr>
          <w:rFonts w:hint="eastAsia" w:ascii="宋体" w:hAnsi="宋体"/>
        </w:rPr>
        <w:t>冬季</w:t>
      </w:r>
      <w:r>
        <w:rPr>
          <w:rFonts w:ascii="宋体" w:hAnsi="宋体"/>
        </w:rPr>
        <w:t>风速最低，一年中以</w:t>
      </w:r>
      <w:r>
        <w:rPr>
          <w:rFonts w:hint="eastAsia"/>
        </w:rPr>
        <w:t>1</w:t>
      </w:r>
      <w:r>
        <w:t>2</w:t>
      </w:r>
      <w:r>
        <w:rPr>
          <w:rFonts w:ascii="宋体" w:hAnsi="宋体"/>
        </w:rPr>
        <w:t>月份风速最小，</w:t>
      </w:r>
      <w:r>
        <w:t>3</w:t>
      </w:r>
      <w:r>
        <w:rPr>
          <w:rFonts w:ascii="宋体" w:hAnsi="宋体"/>
        </w:rPr>
        <w:t>月份风速最大。</w:t>
      </w:r>
    </w:p>
    <w:p w14:paraId="75C3F9EB">
      <w:pPr>
        <w:ind w:firstLine="480"/>
        <w:rPr>
          <w:shd w:val="clear" w:color="auto" w:fill="FFFFFF"/>
        </w:rPr>
      </w:pPr>
      <w:r>
        <w:rPr>
          <w:rFonts w:hint="eastAsia" w:ascii="宋体" w:hAnsi="宋体"/>
          <w:shd w:val="clear" w:color="auto" w:fill="FFFFFF"/>
        </w:rPr>
        <w:t>（</w:t>
      </w:r>
      <w:r>
        <w:rPr>
          <w:rFonts w:hint="eastAsia"/>
          <w:shd w:val="clear" w:color="auto" w:fill="FFFFFF"/>
        </w:rPr>
        <w:t>4</w:t>
      </w:r>
      <w:r>
        <w:rPr>
          <w:rFonts w:hint="eastAsia" w:ascii="宋体" w:hAnsi="宋体"/>
          <w:shd w:val="clear" w:color="auto" w:fill="FFFFFF"/>
        </w:rPr>
        <w:t>）</w:t>
      </w:r>
      <w:r>
        <w:rPr>
          <w:rFonts w:ascii="宋体" w:hAnsi="宋体"/>
          <w:shd w:val="clear" w:color="auto" w:fill="FFFFFF"/>
        </w:rPr>
        <w:t>风向和风频</w:t>
      </w:r>
    </w:p>
    <w:p w14:paraId="7A579425">
      <w:pPr>
        <w:ind w:firstLine="480"/>
      </w:pPr>
      <w:r>
        <w:rPr>
          <w:rFonts w:hint="eastAsia" w:ascii="宋体" w:hAnsi="宋体"/>
        </w:rPr>
        <w:t>蚌埠市年风向</w:t>
      </w:r>
      <w:r>
        <w:rPr>
          <w:rFonts w:ascii="宋体" w:hAnsi="宋体"/>
        </w:rPr>
        <w:t>频率</w:t>
      </w:r>
      <w:r>
        <w:rPr>
          <w:rFonts w:hint="eastAsia" w:ascii="宋体" w:hAnsi="宋体"/>
        </w:rPr>
        <w:t>见</w:t>
      </w:r>
      <w:r>
        <w:rPr>
          <w:rFonts w:ascii="宋体" w:hAnsi="宋体"/>
        </w:rPr>
        <w:t>表</w:t>
      </w:r>
      <w:r>
        <w:rPr>
          <w:rFonts w:hint="eastAsia"/>
        </w:rPr>
        <w:t>5.1.</w:t>
      </w:r>
      <w:r>
        <w:t>1-3</w:t>
      </w:r>
      <w:r>
        <w:rPr>
          <w:rFonts w:hint="eastAsia" w:ascii="宋体" w:hAnsi="宋体"/>
        </w:rPr>
        <w:t>，月</w:t>
      </w:r>
      <w:r>
        <w:rPr>
          <w:rFonts w:ascii="宋体" w:hAnsi="宋体"/>
        </w:rPr>
        <w:t>风向频率见表</w:t>
      </w:r>
      <w:r>
        <w:rPr>
          <w:rFonts w:hint="eastAsia"/>
        </w:rPr>
        <w:t>5.1.1-4</w:t>
      </w:r>
      <w:r>
        <w:rPr>
          <w:rFonts w:hint="eastAsia" w:ascii="宋体" w:hAnsi="宋体"/>
        </w:rPr>
        <w:t>。</w:t>
      </w:r>
    </w:p>
    <w:p w14:paraId="0CDB3F50">
      <w:pPr>
        <w:ind w:firstLine="480"/>
      </w:pPr>
      <w:r>
        <w:rPr>
          <w:rFonts w:hint="eastAsia" w:ascii="宋体" w:hAnsi="宋体"/>
        </w:rPr>
        <w:t>近</w:t>
      </w:r>
      <w:r>
        <w:rPr>
          <w:rFonts w:hint="eastAsia"/>
        </w:rPr>
        <w:t>20</w:t>
      </w:r>
      <w:r>
        <w:rPr>
          <w:rFonts w:hint="eastAsia" w:ascii="宋体" w:hAnsi="宋体"/>
        </w:rPr>
        <w:t>年资料分析的风向玫瑰图如图</w:t>
      </w:r>
      <w:r>
        <w:rPr>
          <w:rFonts w:hint="eastAsia"/>
        </w:rPr>
        <w:t>5.</w:t>
      </w:r>
      <w:r>
        <w:t>1.1-3</w:t>
      </w:r>
      <w:r>
        <w:rPr>
          <w:rFonts w:hint="eastAsia" w:ascii="宋体" w:hAnsi="宋体"/>
        </w:rPr>
        <w:t>所示，蚌埠气象站主要风向为</w:t>
      </w:r>
      <w:r>
        <w:rPr>
          <w:rFonts w:hint="eastAsia"/>
        </w:rPr>
        <w:t>ENE</w:t>
      </w:r>
      <w:r>
        <w:rPr>
          <w:rFonts w:hint="eastAsia" w:ascii="宋体" w:hAnsi="宋体"/>
        </w:rPr>
        <w:t>和</w:t>
      </w:r>
      <w:r>
        <w:rPr>
          <w:rFonts w:hint="eastAsia"/>
        </w:rPr>
        <w:t>E</w:t>
      </w:r>
      <w:r>
        <w:rPr>
          <w:rFonts w:hint="eastAsia" w:ascii="宋体" w:hAnsi="宋体"/>
        </w:rPr>
        <w:t>、</w:t>
      </w:r>
      <w:r>
        <w:rPr>
          <w:rFonts w:hint="eastAsia"/>
        </w:rPr>
        <w:t>NE</w:t>
      </w:r>
      <w:r>
        <w:rPr>
          <w:rFonts w:hint="eastAsia" w:ascii="宋体" w:hAnsi="宋体"/>
        </w:rPr>
        <w:t>、</w:t>
      </w:r>
      <w:r>
        <w:rPr>
          <w:rFonts w:hint="eastAsia"/>
        </w:rPr>
        <w:t>ESE</w:t>
      </w:r>
      <w:r>
        <w:rPr>
          <w:rFonts w:hint="eastAsia" w:ascii="宋体" w:hAnsi="宋体"/>
        </w:rPr>
        <w:t>，占</w:t>
      </w:r>
      <w:r>
        <w:rPr>
          <w:rFonts w:hint="eastAsia"/>
        </w:rPr>
        <w:t>41.4%</w:t>
      </w:r>
      <w:r>
        <w:rPr>
          <w:rFonts w:hint="eastAsia" w:ascii="宋体" w:hAnsi="宋体"/>
        </w:rPr>
        <w:t>，其中以</w:t>
      </w:r>
      <w:r>
        <w:rPr>
          <w:rFonts w:hint="eastAsia"/>
        </w:rPr>
        <w:t>ENE</w:t>
      </w:r>
      <w:r>
        <w:rPr>
          <w:rFonts w:hint="eastAsia" w:ascii="宋体" w:hAnsi="宋体"/>
        </w:rPr>
        <w:t>为主风向，占到全年</w:t>
      </w:r>
      <w:r>
        <w:rPr>
          <w:rFonts w:hint="eastAsia"/>
        </w:rPr>
        <w:t>12.5%</w:t>
      </w:r>
      <w:r>
        <w:rPr>
          <w:rFonts w:hint="eastAsia" w:ascii="宋体" w:hAnsi="宋体"/>
        </w:rPr>
        <w:t>左右。</w:t>
      </w:r>
    </w:p>
    <w:p w14:paraId="52189AE1">
      <w:pPr>
        <w:ind w:firstLine="0" w:firstLineChars="0"/>
        <w:jc w:val="center"/>
        <w:rPr>
          <w:rFonts w:eastAsia="黑体"/>
          <w:kern w:val="0"/>
        </w:rPr>
      </w:pPr>
      <w:r>
        <w:drawing>
          <wp:inline distT="0" distB="0" distL="0" distR="0">
            <wp:extent cx="5143500" cy="3857625"/>
            <wp:effectExtent l="0" t="0" r="0" b="9525"/>
            <wp:docPr id="4" name="图片 4" descr="C:\Users\ADMINI~1\AppData\Local\Temp\ksohtml\wps43F1.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ksohtml\wps43F1.tmp.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143500" cy="3857625"/>
                    </a:xfrm>
                    <a:prstGeom prst="rect">
                      <a:avLst/>
                    </a:prstGeom>
                    <a:noFill/>
                    <a:ln>
                      <a:noFill/>
                    </a:ln>
                  </pic:spPr>
                </pic:pic>
              </a:graphicData>
            </a:graphic>
          </wp:inline>
        </w:drawing>
      </w:r>
      <w:r>
        <w:rPr>
          <w:rFonts w:eastAsia="黑体"/>
          <w:kern w:val="0"/>
        </w:rPr>
        <w:t xml:space="preserve"> </w:t>
      </w:r>
    </w:p>
    <w:p w14:paraId="14FA9A22">
      <w:pPr>
        <w:pStyle w:val="278"/>
      </w:pPr>
      <w:r>
        <w:rPr>
          <w:rFonts w:ascii="宋体" w:hAnsi="宋体"/>
        </w:rPr>
        <w:t>图</w:t>
      </w:r>
      <w:r>
        <w:rPr>
          <w:rFonts w:hint="eastAsia"/>
        </w:rPr>
        <w:t>5.1.1-3</w:t>
      </w:r>
      <w:r>
        <w:t xml:space="preserve">  </w:t>
      </w:r>
      <w:r>
        <w:rPr>
          <w:rFonts w:hint="eastAsia" w:ascii="宋体" w:hAnsi="宋体"/>
        </w:rPr>
        <w:t>蚌埠风向玫瑰图（静风频率</w:t>
      </w:r>
      <w:r>
        <w:rPr>
          <w:rFonts w:hint="eastAsia"/>
        </w:rPr>
        <w:t xml:space="preserve"> 3.2%</w:t>
      </w:r>
      <w:r>
        <w:rPr>
          <w:rFonts w:hint="eastAsia" w:ascii="宋体" w:hAnsi="宋体"/>
        </w:rPr>
        <w:t>）</w:t>
      </w:r>
    </w:p>
    <w:p w14:paraId="641E2913">
      <w:pPr>
        <w:ind w:firstLine="480"/>
      </w:pPr>
    </w:p>
    <w:p w14:paraId="2088D148">
      <w:pPr>
        <w:ind w:firstLine="480"/>
      </w:pPr>
    </w:p>
    <w:p w14:paraId="3BD170A0">
      <w:pPr>
        <w:ind w:firstLine="480"/>
      </w:pPr>
    </w:p>
    <w:p w14:paraId="6CDA902D">
      <w:pPr>
        <w:ind w:firstLine="480"/>
      </w:pPr>
    </w:p>
    <w:p w14:paraId="17D9F753">
      <w:pPr>
        <w:ind w:firstLine="480"/>
      </w:pPr>
    </w:p>
    <w:p w14:paraId="1FF1F110">
      <w:pPr>
        <w:ind w:firstLine="480"/>
      </w:pPr>
    </w:p>
    <w:p w14:paraId="1FB9B859">
      <w:pPr>
        <w:ind w:firstLine="480"/>
      </w:pPr>
    </w:p>
    <w:p w14:paraId="32E1F763">
      <w:pPr>
        <w:ind w:firstLine="480"/>
      </w:pPr>
    </w:p>
    <w:p w14:paraId="21DC6EA1">
      <w:pPr>
        <w:ind w:firstLine="480"/>
      </w:pPr>
    </w:p>
    <w:p w14:paraId="208CCBEA">
      <w:pPr>
        <w:ind w:firstLine="480"/>
      </w:pPr>
    </w:p>
    <w:p w14:paraId="5477970A">
      <w:pPr>
        <w:ind w:firstLine="480"/>
      </w:pPr>
    </w:p>
    <w:p w14:paraId="0AEA3BF8">
      <w:pPr>
        <w:ind w:firstLine="480"/>
      </w:pPr>
    </w:p>
    <w:p w14:paraId="570B4AB2">
      <w:pPr>
        <w:ind w:firstLine="480"/>
      </w:pPr>
    </w:p>
    <w:p w14:paraId="673D71F1">
      <w:pPr>
        <w:ind w:firstLine="480"/>
      </w:pPr>
    </w:p>
    <w:p w14:paraId="7F19F561">
      <w:pPr>
        <w:ind w:firstLine="0" w:firstLineChars="0"/>
      </w:pPr>
    </w:p>
    <w:p w14:paraId="74FD1E61">
      <w:pPr>
        <w:ind w:firstLine="480"/>
        <w:sectPr>
          <w:pgSz w:w="11907" w:h="16839"/>
          <w:pgMar w:top="1440" w:right="1440" w:bottom="1440" w:left="1440" w:header="851" w:footer="992" w:gutter="0"/>
          <w:cols w:space="425" w:num="1"/>
          <w:docGrid w:type="lines" w:linePitch="326" w:charSpace="0"/>
        </w:sectPr>
      </w:pPr>
    </w:p>
    <w:p w14:paraId="74564857">
      <w:pPr>
        <w:pStyle w:val="278"/>
        <w:ind w:firstLine="480"/>
      </w:pPr>
      <w:r>
        <w:rPr>
          <w:rFonts w:ascii="黑体" w:hAnsi="黑体"/>
        </w:rPr>
        <w:t>表</w:t>
      </w:r>
      <w:r>
        <w:rPr>
          <w:rFonts w:hint="eastAsia"/>
        </w:rPr>
        <w:t>5.1.</w:t>
      </w:r>
      <w:r>
        <w:t xml:space="preserve">1-3 </w:t>
      </w:r>
      <w:r>
        <w:rPr>
          <w:rFonts w:hint="eastAsia" w:ascii="黑体" w:hAnsi="黑体"/>
        </w:rPr>
        <w:t>蚌埠市年风向频率统计（单位</w:t>
      </w:r>
      <w:r>
        <w:rPr>
          <w:rFonts w:hint="eastAsia"/>
        </w:rPr>
        <w:t>%</w:t>
      </w:r>
      <w:r>
        <w:rPr>
          <w:rFonts w:hint="eastAsia" w:ascii="黑体" w:hAnsi="黑体"/>
        </w:rP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692"/>
        <w:gridCol w:w="936"/>
        <w:gridCol w:w="718"/>
        <w:gridCol w:w="902"/>
        <w:gridCol w:w="615"/>
        <w:gridCol w:w="854"/>
        <w:gridCol w:w="692"/>
        <w:gridCol w:w="837"/>
        <w:gridCol w:w="692"/>
        <w:gridCol w:w="936"/>
        <w:gridCol w:w="769"/>
        <w:gridCol w:w="1055"/>
        <w:gridCol w:w="601"/>
        <w:gridCol w:w="1106"/>
        <w:gridCol w:w="820"/>
        <w:gridCol w:w="1035"/>
      </w:tblGrid>
      <w:tr w14:paraId="6BDD30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23" w:type="pct"/>
            <w:tcBorders>
              <w:top w:val="single" w:color="auto" w:sz="12" w:space="0"/>
              <w:left w:val="nil"/>
              <w:bottom w:val="single" w:color="auto" w:sz="4" w:space="0"/>
              <w:right w:val="single" w:color="auto" w:sz="4" w:space="0"/>
            </w:tcBorders>
          </w:tcPr>
          <w:p w14:paraId="2D2233E8">
            <w:pPr>
              <w:pStyle w:val="445"/>
              <w:rPr>
                <w:rFonts w:cs="Times New Roman"/>
                <w:kern w:val="0"/>
                <w:szCs w:val="20"/>
              </w:rPr>
            </w:pPr>
            <w:r>
              <w:rPr>
                <w:rFonts w:cs="Times New Roman"/>
                <w:kern w:val="0"/>
                <w:szCs w:val="20"/>
              </w:rPr>
              <w:t>风向</w:t>
            </w:r>
          </w:p>
        </w:tc>
        <w:tc>
          <w:tcPr>
            <w:tcW w:w="244" w:type="pct"/>
            <w:tcBorders>
              <w:top w:val="single" w:color="auto" w:sz="12" w:space="0"/>
              <w:left w:val="single" w:color="auto" w:sz="4" w:space="0"/>
              <w:bottom w:val="single" w:color="auto" w:sz="4" w:space="0"/>
              <w:right w:val="single" w:color="auto" w:sz="4" w:space="0"/>
            </w:tcBorders>
          </w:tcPr>
          <w:p w14:paraId="142E2054">
            <w:pPr>
              <w:pStyle w:val="445"/>
              <w:rPr>
                <w:rFonts w:cs="Times New Roman"/>
                <w:kern w:val="0"/>
                <w:szCs w:val="20"/>
              </w:rPr>
            </w:pPr>
            <w:r>
              <w:rPr>
                <w:rFonts w:cs="Times New Roman"/>
                <w:kern w:val="0"/>
                <w:szCs w:val="20"/>
              </w:rPr>
              <w:t>N</w:t>
            </w:r>
          </w:p>
        </w:tc>
        <w:tc>
          <w:tcPr>
            <w:tcW w:w="330" w:type="pct"/>
            <w:tcBorders>
              <w:top w:val="single" w:color="auto" w:sz="12" w:space="0"/>
              <w:left w:val="single" w:color="auto" w:sz="4" w:space="0"/>
              <w:bottom w:val="single" w:color="auto" w:sz="4" w:space="0"/>
              <w:right w:val="single" w:color="auto" w:sz="4" w:space="0"/>
            </w:tcBorders>
          </w:tcPr>
          <w:p w14:paraId="489AF036">
            <w:pPr>
              <w:pStyle w:val="445"/>
              <w:rPr>
                <w:rFonts w:cs="Times New Roman"/>
                <w:kern w:val="0"/>
                <w:szCs w:val="20"/>
              </w:rPr>
            </w:pPr>
            <w:r>
              <w:rPr>
                <w:rFonts w:cs="Times New Roman"/>
                <w:kern w:val="0"/>
                <w:szCs w:val="20"/>
              </w:rPr>
              <w:t>NNE</w:t>
            </w:r>
          </w:p>
        </w:tc>
        <w:tc>
          <w:tcPr>
            <w:tcW w:w="253" w:type="pct"/>
            <w:tcBorders>
              <w:top w:val="single" w:color="auto" w:sz="12" w:space="0"/>
              <w:left w:val="single" w:color="auto" w:sz="4" w:space="0"/>
              <w:bottom w:val="single" w:color="auto" w:sz="4" w:space="0"/>
              <w:right w:val="single" w:color="auto" w:sz="4" w:space="0"/>
            </w:tcBorders>
          </w:tcPr>
          <w:p w14:paraId="7AFE1C35">
            <w:pPr>
              <w:pStyle w:val="445"/>
              <w:rPr>
                <w:rFonts w:cs="Times New Roman"/>
                <w:kern w:val="0"/>
                <w:szCs w:val="20"/>
              </w:rPr>
            </w:pPr>
            <w:r>
              <w:rPr>
                <w:rFonts w:cs="Times New Roman"/>
                <w:kern w:val="0"/>
                <w:szCs w:val="20"/>
              </w:rPr>
              <w:t>NE</w:t>
            </w:r>
          </w:p>
        </w:tc>
        <w:tc>
          <w:tcPr>
            <w:tcW w:w="318" w:type="pct"/>
            <w:tcBorders>
              <w:top w:val="single" w:color="auto" w:sz="12" w:space="0"/>
              <w:left w:val="single" w:color="auto" w:sz="4" w:space="0"/>
              <w:bottom w:val="single" w:color="auto" w:sz="4" w:space="0"/>
              <w:right w:val="single" w:color="auto" w:sz="4" w:space="0"/>
            </w:tcBorders>
          </w:tcPr>
          <w:p w14:paraId="018D203C">
            <w:pPr>
              <w:pStyle w:val="445"/>
              <w:rPr>
                <w:rFonts w:cs="Times New Roman"/>
                <w:kern w:val="0"/>
                <w:szCs w:val="20"/>
              </w:rPr>
            </w:pPr>
            <w:r>
              <w:rPr>
                <w:rFonts w:cs="Times New Roman"/>
                <w:kern w:val="0"/>
                <w:szCs w:val="20"/>
              </w:rPr>
              <w:t>ENE</w:t>
            </w:r>
          </w:p>
        </w:tc>
        <w:tc>
          <w:tcPr>
            <w:tcW w:w="217" w:type="pct"/>
            <w:tcBorders>
              <w:top w:val="single" w:color="auto" w:sz="12" w:space="0"/>
              <w:left w:val="single" w:color="auto" w:sz="4" w:space="0"/>
              <w:bottom w:val="single" w:color="auto" w:sz="4" w:space="0"/>
              <w:right w:val="single" w:color="auto" w:sz="4" w:space="0"/>
            </w:tcBorders>
          </w:tcPr>
          <w:p w14:paraId="1E1A3E65">
            <w:pPr>
              <w:pStyle w:val="445"/>
              <w:rPr>
                <w:rFonts w:cs="Times New Roman"/>
                <w:kern w:val="0"/>
                <w:szCs w:val="20"/>
              </w:rPr>
            </w:pPr>
            <w:r>
              <w:rPr>
                <w:rFonts w:cs="Times New Roman"/>
                <w:kern w:val="0"/>
                <w:szCs w:val="20"/>
              </w:rPr>
              <w:t>E</w:t>
            </w:r>
          </w:p>
        </w:tc>
        <w:tc>
          <w:tcPr>
            <w:tcW w:w="301" w:type="pct"/>
            <w:tcBorders>
              <w:top w:val="single" w:color="auto" w:sz="12" w:space="0"/>
              <w:left w:val="single" w:color="auto" w:sz="4" w:space="0"/>
              <w:bottom w:val="single" w:color="auto" w:sz="4" w:space="0"/>
              <w:right w:val="single" w:color="auto" w:sz="4" w:space="0"/>
            </w:tcBorders>
          </w:tcPr>
          <w:p w14:paraId="6FD85CB1">
            <w:pPr>
              <w:pStyle w:val="445"/>
              <w:rPr>
                <w:rFonts w:cs="Times New Roman"/>
                <w:kern w:val="0"/>
                <w:szCs w:val="20"/>
              </w:rPr>
            </w:pPr>
            <w:r>
              <w:rPr>
                <w:rFonts w:cs="Times New Roman"/>
                <w:kern w:val="0"/>
                <w:szCs w:val="20"/>
              </w:rPr>
              <w:t>ESE</w:t>
            </w:r>
          </w:p>
        </w:tc>
        <w:tc>
          <w:tcPr>
            <w:tcW w:w="244" w:type="pct"/>
            <w:tcBorders>
              <w:top w:val="single" w:color="auto" w:sz="12" w:space="0"/>
              <w:left w:val="single" w:color="auto" w:sz="4" w:space="0"/>
              <w:bottom w:val="single" w:color="auto" w:sz="4" w:space="0"/>
              <w:right w:val="single" w:color="auto" w:sz="4" w:space="0"/>
            </w:tcBorders>
          </w:tcPr>
          <w:p w14:paraId="5A68D9E3">
            <w:pPr>
              <w:pStyle w:val="445"/>
              <w:rPr>
                <w:rFonts w:cs="Times New Roman"/>
                <w:kern w:val="0"/>
                <w:szCs w:val="20"/>
              </w:rPr>
            </w:pPr>
            <w:r>
              <w:rPr>
                <w:rFonts w:cs="Times New Roman"/>
                <w:kern w:val="0"/>
                <w:szCs w:val="20"/>
              </w:rPr>
              <w:t>SE</w:t>
            </w:r>
          </w:p>
        </w:tc>
        <w:tc>
          <w:tcPr>
            <w:tcW w:w="295" w:type="pct"/>
            <w:tcBorders>
              <w:top w:val="single" w:color="auto" w:sz="12" w:space="0"/>
              <w:left w:val="single" w:color="auto" w:sz="4" w:space="0"/>
              <w:bottom w:val="single" w:color="auto" w:sz="4" w:space="0"/>
              <w:right w:val="single" w:color="auto" w:sz="4" w:space="0"/>
            </w:tcBorders>
          </w:tcPr>
          <w:p w14:paraId="037BCB23">
            <w:pPr>
              <w:pStyle w:val="445"/>
              <w:rPr>
                <w:rFonts w:cs="Times New Roman"/>
                <w:kern w:val="0"/>
                <w:szCs w:val="20"/>
              </w:rPr>
            </w:pPr>
            <w:r>
              <w:rPr>
                <w:rFonts w:cs="Times New Roman"/>
                <w:kern w:val="0"/>
                <w:szCs w:val="20"/>
              </w:rPr>
              <w:t>SSE</w:t>
            </w:r>
          </w:p>
        </w:tc>
        <w:tc>
          <w:tcPr>
            <w:tcW w:w="244" w:type="pct"/>
            <w:tcBorders>
              <w:top w:val="single" w:color="auto" w:sz="12" w:space="0"/>
              <w:left w:val="single" w:color="auto" w:sz="4" w:space="0"/>
              <w:bottom w:val="single" w:color="auto" w:sz="4" w:space="0"/>
              <w:right w:val="single" w:color="auto" w:sz="4" w:space="0"/>
            </w:tcBorders>
          </w:tcPr>
          <w:p w14:paraId="3F2C9FE2">
            <w:pPr>
              <w:pStyle w:val="445"/>
              <w:rPr>
                <w:rFonts w:cs="Times New Roman"/>
                <w:kern w:val="0"/>
                <w:szCs w:val="20"/>
              </w:rPr>
            </w:pPr>
            <w:r>
              <w:rPr>
                <w:rFonts w:cs="Times New Roman"/>
                <w:kern w:val="0"/>
                <w:szCs w:val="20"/>
              </w:rPr>
              <w:t>S</w:t>
            </w:r>
          </w:p>
        </w:tc>
        <w:tc>
          <w:tcPr>
            <w:tcW w:w="330" w:type="pct"/>
            <w:tcBorders>
              <w:top w:val="single" w:color="auto" w:sz="12" w:space="0"/>
              <w:left w:val="single" w:color="auto" w:sz="4" w:space="0"/>
              <w:bottom w:val="single" w:color="auto" w:sz="4" w:space="0"/>
              <w:right w:val="single" w:color="auto" w:sz="4" w:space="0"/>
            </w:tcBorders>
          </w:tcPr>
          <w:p w14:paraId="2DFE7459">
            <w:pPr>
              <w:pStyle w:val="445"/>
              <w:rPr>
                <w:rFonts w:cs="Times New Roman"/>
                <w:kern w:val="0"/>
                <w:szCs w:val="20"/>
              </w:rPr>
            </w:pPr>
            <w:r>
              <w:rPr>
                <w:rFonts w:cs="Times New Roman"/>
                <w:kern w:val="0"/>
                <w:szCs w:val="20"/>
              </w:rPr>
              <w:t>SSW</w:t>
            </w:r>
          </w:p>
        </w:tc>
        <w:tc>
          <w:tcPr>
            <w:tcW w:w="271" w:type="pct"/>
            <w:tcBorders>
              <w:top w:val="single" w:color="auto" w:sz="12" w:space="0"/>
              <w:left w:val="single" w:color="auto" w:sz="4" w:space="0"/>
              <w:bottom w:val="single" w:color="auto" w:sz="4" w:space="0"/>
              <w:right w:val="single" w:color="auto" w:sz="4" w:space="0"/>
            </w:tcBorders>
          </w:tcPr>
          <w:p w14:paraId="15C24C9B">
            <w:pPr>
              <w:pStyle w:val="445"/>
              <w:rPr>
                <w:rFonts w:cs="Times New Roman"/>
                <w:kern w:val="0"/>
                <w:szCs w:val="20"/>
              </w:rPr>
            </w:pPr>
            <w:r>
              <w:rPr>
                <w:rFonts w:cs="Times New Roman"/>
                <w:kern w:val="0"/>
                <w:szCs w:val="20"/>
              </w:rPr>
              <w:t>SW</w:t>
            </w:r>
          </w:p>
        </w:tc>
        <w:tc>
          <w:tcPr>
            <w:tcW w:w="372" w:type="pct"/>
            <w:tcBorders>
              <w:top w:val="single" w:color="auto" w:sz="12" w:space="0"/>
              <w:left w:val="single" w:color="auto" w:sz="4" w:space="0"/>
              <w:bottom w:val="single" w:color="auto" w:sz="4" w:space="0"/>
              <w:right w:val="single" w:color="auto" w:sz="4" w:space="0"/>
            </w:tcBorders>
          </w:tcPr>
          <w:p w14:paraId="5A019AB8">
            <w:pPr>
              <w:pStyle w:val="445"/>
              <w:rPr>
                <w:rFonts w:cs="Times New Roman"/>
                <w:kern w:val="0"/>
                <w:szCs w:val="20"/>
              </w:rPr>
            </w:pPr>
            <w:r>
              <w:rPr>
                <w:rFonts w:cs="Times New Roman"/>
                <w:kern w:val="0"/>
                <w:szCs w:val="20"/>
              </w:rPr>
              <w:t>WSW</w:t>
            </w:r>
          </w:p>
        </w:tc>
        <w:tc>
          <w:tcPr>
            <w:tcW w:w="212" w:type="pct"/>
            <w:tcBorders>
              <w:top w:val="single" w:color="auto" w:sz="12" w:space="0"/>
              <w:left w:val="single" w:color="auto" w:sz="4" w:space="0"/>
              <w:bottom w:val="single" w:color="auto" w:sz="4" w:space="0"/>
              <w:right w:val="single" w:color="auto" w:sz="4" w:space="0"/>
            </w:tcBorders>
          </w:tcPr>
          <w:p w14:paraId="0A995878">
            <w:pPr>
              <w:pStyle w:val="445"/>
              <w:rPr>
                <w:rFonts w:cs="Times New Roman"/>
                <w:kern w:val="0"/>
                <w:szCs w:val="20"/>
              </w:rPr>
            </w:pPr>
            <w:r>
              <w:rPr>
                <w:rFonts w:cs="Times New Roman"/>
                <w:kern w:val="0"/>
                <w:szCs w:val="20"/>
              </w:rPr>
              <w:t>W</w:t>
            </w:r>
          </w:p>
        </w:tc>
        <w:tc>
          <w:tcPr>
            <w:tcW w:w="390" w:type="pct"/>
            <w:tcBorders>
              <w:top w:val="single" w:color="auto" w:sz="12" w:space="0"/>
              <w:left w:val="single" w:color="auto" w:sz="4" w:space="0"/>
              <w:bottom w:val="single" w:color="auto" w:sz="4" w:space="0"/>
              <w:right w:val="single" w:color="auto" w:sz="4" w:space="0"/>
            </w:tcBorders>
          </w:tcPr>
          <w:p w14:paraId="37E39BFB">
            <w:pPr>
              <w:pStyle w:val="445"/>
              <w:rPr>
                <w:rFonts w:cs="Times New Roman"/>
                <w:kern w:val="0"/>
                <w:szCs w:val="20"/>
              </w:rPr>
            </w:pPr>
            <w:r>
              <w:rPr>
                <w:rFonts w:cs="Times New Roman"/>
                <w:kern w:val="0"/>
                <w:szCs w:val="20"/>
              </w:rPr>
              <w:t>WNW</w:t>
            </w:r>
          </w:p>
        </w:tc>
        <w:tc>
          <w:tcPr>
            <w:tcW w:w="289" w:type="pct"/>
            <w:tcBorders>
              <w:top w:val="single" w:color="auto" w:sz="12" w:space="0"/>
              <w:left w:val="single" w:color="auto" w:sz="4" w:space="0"/>
              <w:bottom w:val="single" w:color="auto" w:sz="4" w:space="0"/>
              <w:right w:val="single" w:color="auto" w:sz="4" w:space="0"/>
            </w:tcBorders>
          </w:tcPr>
          <w:p w14:paraId="31E3C25A">
            <w:pPr>
              <w:pStyle w:val="445"/>
              <w:rPr>
                <w:rFonts w:cs="Times New Roman"/>
                <w:kern w:val="0"/>
                <w:szCs w:val="20"/>
              </w:rPr>
            </w:pPr>
            <w:r>
              <w:rPr>
                <w:rFonts w:cs="Times New Roman"/>
                <w:kern w:val="0"/>
                <w:szCs w:val="20"/>
              </w:rPr>
              <w:t>NW</w:t>
            </w:r>
          </w:p>
        </w:tc>
        <w:tc>
          <w:tcPr>
            <w:tcW w:w="365" w:type="pct"/>
            <w:tcBorders>
              <w:top w:val="single" w:color="auto" w:sz="12" w:space="0"/>
              <w:left w:val="single" w:color="auto" w:sz="4" w:space="0"/>
              <w:bottom w:val="single" w:color="auto" w:sz="4" w:space="0"/>
              <w:right w:val="nil"/>
            </w:tcBorders>
          </w:tcPr>
          <w:p w14:paraId="09A3CC31">
            <w:pPr>
              <w:pStyle w:val="445"/>
              <w:rPr>
                <w:rFonts w:cs="Times New Roman"/>
                <w:kern w:val="0"/>
                <w:szCs w:val="20"/>
              </w:rPr>
            </w:pPr>
            <w:r>
              <w:rPr>
                <w:rFonts w:cs="Times New Roman"/>
                <w:kern w:val="0"/>
                <w:szCs w:val="20"/>
              </w:rPr>
              <w:t>NNW</w:t>
            </w:r>
          </w:p>
        </w:tc>
      </w:tr>
      <w:tr w14:paraId="04E0A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3" w:type="pct"/>
            <w:tcBorders>
              <w:top w:val="single" w:color="auto" w:sz="4" w:space="0"/>
              <w:left w:val="nil"/>
              <w:bottom w:val="single" w:color="auto" w:sz="12" w:space="0"/>
              <w:right w:val="single" w:color="auto" w:sz="4" w:space="0"/>
            </w:tcBorders>
          </w:tcPr>
          <w:p w14:paraId="1FAB6FC9">
            <w:pPr>
              <w:pStyle w:val="445"/>
              <w:rPr>
                <w:rFonts w:cs="Times New Roman"/>
                <w:kern w:val="0"/>
                <w:szCs w:val="20"/>
              </w:rPr>
            </w:pPr>
            <w:r>
              <w:rPr>
                <w:rFonts w:cs="Times New Roman"/>
                <w:kern w:val="0"/>
                <w:szCs w:val="20"/>
              </w:rPr>
              <w:t>频率</w:t>
            </w:r>
          </w:p>
        </w:tc>
        <w:tc>
          <w:tcPr>
            <w:tcW w:w="244" w:type="pct"/>
            <w:tcBorders>
              <w:top w:val="single" w:color="auto" w:sz="4" w:space="0"/>
              <w:left w:val="single" w:color="auto" w:sz="4" w:space="0"/>
              <w:bottom w:val="single" w:color="auto" w:sz="12" w:space="0"/>
              <w:right w:val="single" w:color="auto" w:sz="4" w:space="0"/>
            </w:tcBorders>
          </w:tcPr>
          <w:p w14:paraId="0EEC2A98">
            <w:pPr>
              <w:pStyle w:val="445"/>
              <w:rPr>
                <w:rFonts w:cs="Times New Roman"/>
                <w:kern w:val="0"/>
                <w:szCs w:val="20"/>
              </w:rPr>
            </w:pPr>
            <w:r>
              <w:rPr>
                <w:rFonts w:cs="Times New Roman"/>
                <w:kern w:val="0"/>
                <w:szCs w:val="20"/>
              </w:rPr>
              <w:t>4.2</w:t>
            </w:r>
          </w:p>
        </w:tc>
        <w:tc>
          <w:tcPr>
            <w:tcW w:w="330" w:type="pct"/>
            <w:tcBorders>
              <w:top w:val="single" w:color="auto" w:sz="4" w:space="0"/>
              <w:left w:val="single" w:color="auto" w:sz="4" w:space="0"/>
              <w:bottom w:val="single" w:color="auto" w:sz="12" w:space="0"/>
              <w:right w:val="single" w:color="auto" w:sz="4" w:space="0"/>
            </w:tcBorders>
          </w:tcPr>
          <w:p w14:paraId="152AC204">
            <w:pPr>
              <w:pStyle w:val="445"/>
              <w:rPr>
                <w:rFonts w:cs="Times New Roman"/>
                <w:kern w:val="0"/>
                <w:szCs w:val="20"/>
              </w:rPr>
            </w:pPr>
            <w:r>
              <w:rPr>
                <w:rFonts w:cs="Times New Roman"/>
                <w:kern w:val="0"/>
                <w:szCs w:val="20"/>
              </w:rPr>
              <w:t>5.5</w:t>
            </w:r>
          </w:p>
        </w:tc>
        <w:tc>
          <w:tcPr>
            <w:tcW w:w="253" w:type="pct"/>
            <w:tcBorders>
              <w:top w:val="single" w:color="auto" w:sz="4" w:space="0"/>
              <w:left w:val="single" w:color="auto" w:sz="4" w:space="0"/>
              <w:bottom w:val="single" w:color="auto" w:sz="12" w:space="0"/>
              <w:right w:val="single" w:color="auto" w:sz="4" w:space="0"/>
            </w:tcBorders>
          </w:tcPr>
          <w:p w14:paraId="2461E128">
            <w:pPr>
              <w:pStyle w:val="445"/>
              <w:rPr>
                <w:rFonts w:cs="Times New Roman"/>
                <w:kern w:val="0"/>
                <w:szCs w:val="20"/>
              </w:rPr>
            </w:pPr>
            <w:r>
              <w:rPr>
                <w:rFonts w:cs="Times New Roman"/>
                <w:kern w:val="0"/>
                <w:szCs w:val="20"/>
              </w:rPr>
              <w:t>9.9</w:t>
            </w:r>
          </w:p>
        </w:tc>
        <w:tc>
          <w:tcPr>
            <w:tcW w:w="318" w:type="pct"/>
            <w:tcBorders>
              <w:top w:val="single" w:color="auto" w:sz="4" w:space="0"/>
              <w:left w:val="single" w:color="auto" w:sz="4" w:space="0"/>
              <w:bottom w:val="single" w:color="auto" w:sz="12" w:space="0"/>
              <w:right w:val="single" w:color="auto" w:sz="4" w:space="0"/>
            </w:tcBorders>
          </w:tcPr>
          <w:p w14:paraId="5A077CDE">
            <w:pPr>
              <w:pStyle w:val="445"/>
              <w:rPr>
                <w:rFonts w:cs="Times New Roman"/>
                <w:kern w:val="0"/>
                <w:szCs w:val="20"/>
              </w:rPr>
            </w:pPr>
            <w:r>
              <w:rPr>
                <w:rFonts w:cs="Times New Roman"/>
                <w:kern w:val="0"/>
                <w:szCs w:val="20"/>
              </w:rPr>
              <w:t>12.5</w:t>
            </w:r>
          </w:p>
        </w:tc>
        <w:tc>
          <w:tcPr>
            <w:tcW w:w="217" w:type="pct"/>
            <w:tcBorders>
              <w:top w:val="single" w:color="auto" w:sz="4" w:space="0"/>
              <w:left w:val="single" w:color="auto" w:sz="4" w:space="0"/>
              <w:bottom w:val="single" w:color="auto" w:sz="12" w:space="0"/>
              <w:right w:val="single" w:color="auto" w:sz="4" w:space="0"/>
            </w:tcBorders>
          </w:tcPr>
          <w:p w14:paraId="6C4E3979">
            <w:pPr>
              <w:pStyle w:val="445"/>
              <w:rPr>
                <w:rFonts w:cs="Times New Roman"/>
                <w:kern w:val="0"/>
                <w:szCs w:val="20"/>
              </w:rPr>
            </w:pPr>
            <w:r>
              <w:rPr>
                <w:rFonts w:cs="Times New Roman"/>
                <w:kern w:val="0"/>
                <w:szCs w:val="20"/>
              </w:rPr>
              <w:t>12</w:t>
            </w:r>
          </w:p>
        </w:tc>
        <w:tc>
          <w:tcPr>
            <w:tcW w:w="301" w:type="pct"/>
            <w:tcBorders>
              <w:top w:val="single" w:color="auto" w:sz="4" w:space="0"/>
              <w:left w:val="single" w:color="auto" w:sz="4" w:space="0"/>
              <w:bottom w:val="single" w:color="auto" w:sz="12" w:space="0"/>
              <w:right w:val="single" w:color="auto" w:sz="4" w:space="0"/>
            </w:tcBorders>
          </w:tcPr>
          <w:p w14:paraId="0FFFB538">
            <w:pPr>
              <w:pStyle w:val="445"/>
              <w:rPr>
                <w:rFonts w:cs="Times New Roman"/>
                <w:kern w:val="0"/>
                <w:szCs w:val="20"/>
              </w:rPr>
            </w:pPr>
            <w:r>
              <w:rPr>
                <w:rFonts w:cs="Times New Roman"/>
                <w:kern w:val="0"/>
                <w:szCs w:val="20"/>
              </w:rPr>
              <w:t>7</w:t>
            </w:r>
          </w:p>
        </w:tc>
        <w:tc>
          <w:tcPr>
            <w:tcW w:w="244" w:type="pct"/>
            <w:tcBorders>
              <w:top w:val="single" w:color="auto" w:sz="4" w:space="0"/>
              <w:left w:val="single" w:color="auto" w:sz="4" w:space="0"/>
              <w:bottom w:val="single" w:color="auto" w:sz="12" w:space="0"/>
              <w:right w:val="single" w:color="auto" w:sz="4" w:space="0"/>
            </w:tcBorders>
          </w:tcPr>
          <w:p w14:paraId="5FD7EC4D">
            <w:pPr>
              <w:pStyle w:val="445"/>
              <w:rPr>
                <w:rFonts w:cs="Times New Roman"/>
                <w:kern w:val="0"/>
                <w:szCs w:val="20"/>
              </w:rPr>
            </w:pPr>
            <w:r>
              <w:rPr>
                <w:rFonts w:cs="Times New Roman"/>
                <w:kern w:val="0"/>
                <w:szCs w:val="20"/>
              </w:rPr>
              <w:t>6.5</w:t>
            </w:r>
          </w:p>
        </w:tc>
        <w:tc>
          <w:tcPr>
            <w:tcW w:w="295" w:type="pct"/>
            <w:tcBorders>
              <w:top w:val="single" w:color="auto" w:sz="4" w:space="0"/>
              <w:left w:val="single" w:color="auto" w:sz="4" w:space="0"/>
              <w:bottom w:val="single" w:color="auto" w:sz="12" w:space="0"/>
              <w:right w:val="single" w:color="auto" w:sz="4" w:space="0"/>
            </w:tcBorders>
          </w:tcPr>
          <w:p w14:paraId="79912055">
            <w:pPr>
              <w:pStyle w:val="445"/>
              <w:rPr>
                <w:rFonts w:cs="Times New Roman"/>
                <w:kern w:val="0"/>
                <w:szCs w:val="20"/>
              </w:rPr>
            </w:pPr>
            <w:r>
              <w:rPr>
                <w:rFonts w:cs="Times New Roman"/>
                <w:kern w:val="0"/>
                <w:szCs w:val="20"/>
              </w:rPr>
              <w:t>4.9</w:t>
            </w:r>
          </w:p>
        </w:tc>
        <w:tc>
          <w:tcPr>
            <w:tcW w:w="244" w:type="pct"/>
            <w:tcBorders>
              <w:top w:val="single" w:color="auto" w:sz="4" w:space="0"/>
              <w:left w:val="single" w:color="auto" w:sz="4" w:space="0"/>
              <w:bottom w:val="single" w:color="auto" w:sz="12" w:space="0"/>
              <w:right w:val="single" w:color="auto" w:sz="4" w:space="0"/>
            </w:tcBorders>
          </w:tcPr>
          <w:p w14:paraId="4F925F54">
            <w:pPr>
              <w:pStyle w:val="445"/>
              <w:rPr>
                <w:rFonts w:cs="Times New Roman"/>
                <w:kern w:val="0"/>
                <w:szCs w:val="20"/>
              </w:rPr>
            </w:pPr>
            <w:r>
              <w:rPr>
                <w:rFonts w:cs="Times New Roman"/>
                <w:kern w:val="0"/>
                <w:szCs w:val="20"/>
              </w:rPr>
              <w:t>5.3</w:t>
            </w:r>
          </w:p>
        </w:tc>
        <w:tc>
          <w:tcPr>
            <w:tcW w:w="330" w:type="pct"/>
            <w:tcBorders>
              <w:top w:val="single" w:color="auto" w:sz="4" w:space="0"/>
              <w:left w:val="single" w:color="auto" w:sz="4" w:space="0"/>
              <w:bottom w:val="single" w:color="auto" w:sz="12" w:space="0"/>
              <w:right w:val="single" w:color="auto" w:sz="4" w:space="0"/>
            </w:tcBorders>
          </w:tcPr>
          <w:p w14:paraId="3D5FFC7F">
            <w:pPr>
              <w:pStyle w:val="445"/>
              <w:rPr>
                <w:rFonts w:cs="Times New Roman"/>
                <w:kern w:val="0"/>
                <w:szCs w:val="20"/>
              </w:rPr>
            </w:pPr>
            <w:r>
              <w:rPr>
                <w:rFonts w:cs="Times New Roman"/>
                <w:kern w:val="0"/>
                <w:szCs w:val="20"/>
              </w:rPr>
              <w:t>5.6</w:t>
            </w:r>
          </w:p>
        </w:tc>
        <w:tc>
          <w:tcPr>
            <w:tcW w:w="271" w:type="pct"/>
            <w:tcBorders>
              <w:top w:val="single" w:color="auto" w:sz="4" w:space="0"/>
              <w:left w:val="single" w:color="auto" w:sz="4" w:space="0"/>
              <w:bottom w:val="single" w:color="auto" w:sz="12" w:space="0"/>
              <w:right w:val="single" w:color="auto" w:sz="4" w:space="0"/>
            </w:tcBorders>
          </w:tcPr>
          <w:p w14:paraId="26666BF4">
            <w:pPr>
              <w:pStyle w:val="445"/>
              <w:rPr>
                <w:rFonts w:cs="Times New Roman"/>
                <w:kern w:val="0"/>
                <w:szCs w:val="20"/>
              </w:rPr>
            </w:pPr>
            <w:r>
              <w:rPr>
                <w:rFonts w:cs="Times New Roman"/>
                <w:kern w:val="0"/>
                <w:szCs w:val="20"/>
              </w:rPr>
              <w:t>5.1</w:t>
            </w:r>
          </w:p>
        </w:tc>
        <w:tc>
          <w:tcPr>
            <w:tcW w:w="372" w:type="pct"/>
            <w:tcBorders>
              <w:top w:val="single" w:color="auto" w:sz="4" w:space="0"/>
              <w:left w:val="single" w:color="auto" w:sz="4" w:space="0"/>
              <w:bottom w:val="single" w:color="auto" w:sz="12" w:space="0"/>
              <w:right w:val="single" w:color="auto" w:sz="4" w:space="0"/>
            </w:tcBorders>
          </w:tcPr>
          <w:p w14:paraId="424844FC">
            <w:pPr>
              <w:pStyle w:val="445"/>
              <w:rPr>
                <w:rFonts w:cs="Times New Roman"/>
                <w:kern w:val="0"/>
                <w:szCs w:val="20"/>
              </w:rPr>
            </w:pPr>
            <w:r>
              <w:rPr>
                <w:rFonts w:cs="Times New Roman"/>
                <w:kern w:val="0"/>
                <w:szCs w:val="20"/>
              </w:rPr>
              <w:t>3.9</w:t>
            </w:r>
          </w:p>
        </w:tc>
        <w:tc>
          <w:tcPr>
            <w:tcW w:w="212" w:type="pct"/>
            <w:tcBorders>
              <w:top w:val="single" w:color="auto" w:sz="4" w:space="0"/>
              <w:left w:val="single" w:color="auto" w:sz="4" w:space="0"/>
              <w:bottom w:val="single" w:color="auto" w:sz="12" w:space="0"/>
              <w:right w:val="single" w:color="auto" w:sz="4" w:space="0"/>
            </w:tcBorders>
          </w:tcPr>
          <w:p w14:paraId="698B4D1D">
            <w:pPr>
              <w:pStyle w:val="445"/>
              <w:rPr>
                <w:rFonts w:cs="Times New Roman"/>
                <w:kern w:val="0"/>
                <w:szCs w:val="20"/>
              </w:rPr>
            </w:pPr>
            <w:r>
              <w:rPr>
                <w:rFonts w:cs="Times New Roman"/>
                <w:kern w:val="0"/>
                <w:szCs w:val="20"/>
              </w:rPr>
              <w:t>4</w:t>
            </w:r>
          </w:p>
        </w:tc>
        <w:tc>
          <w:tcPr>
            <w:tcW w:w="390" w:type="pct"/>
            <w:tcBorders>
              <w:top w:val="single" w:color="auto" w:sz="4" w:space="0"/>
              <w:left w:val="single" w:color="auto" w:sz="4" w:space="0"/>
              <w:bottom w:val="single" w:color="auto" w:sz="12" w:space="0"/>
              <w:right w:val="single" w:color="auto" w:sz="4" w:space="0"/>
            </w:tcBorders>
          </w:tcPr>
          <w:p w14:paraId="201A3C03">
            <w:pPr>
              <w:pStyle w:val="445"/>
              <w:rPr>
                <w:rFonts w:cs="Times New Roman"/>
                <w:kern w:val="0"/>
                <w:szCs w:val="20"/>
              </w:rPr>
            </w:pPr>
            <w:r>
              <w:rPr>
                <w:rFonts w:cs="Times New Roman"/>
                <w:kern w:val="0"/>
                <w:szCs w:val="20"/>
              </w:rPr>
              <w:t>3.5</w:t>
            </w:r>
          </w:p>
        </w:tc>
        <w:tc>
          <w:tcPr>
            <w:tcW w:w="289" w:type="pct"/>
            <w:tcBorders>
              <w:top w:val="single" w:color="auto" w:sz="4" w:space="0"/>
              <w:left w:val="single" w:color="auto" w:sz="4" w:space="0"/>
              <w:bottom w:val="single" w:color="auto" w:sz="12" w:space="0"/>
              <w:right w:val="single" w:color="auto" w:sz="4" w:space="0"/>
            </w:tcBorders>
          </w:tcPr>
          <w:p w14:paraId="297CF6D7">
            <w:pPr>
              <w:pStyle w:val="445"/>
              <w:rPr>
                <w:rFonts w:cs="Times New Roman"/>
                <w:kern w:val="0"/>
                <w:szCs w:val="20"/>
              </w:rPr>
            </w:pPr>
            <w:r>
              <w:rPr>
                <w:rFonts w:cs="Times New Roman"/>
                <w:kern w:val="0"/>
                <w:szCs w:val="20"/>
              </w:rPr>
              <w:t>3.8</w:t>
            </w:r>
          </w:p>
        </w:tc>
        <w:tc>
          <w:tcPr>
            <w:tcW w:w="365" w:type="pct"/>
            <w:tcBorders>
              <w:top w:val="single" w:color="auto" w:sz="4" w:space="0"/>
              <w:left w:val="single" w:color="auto" w:sz="4" w:space="0"/>
              <w:bottom w:val="single" w:color="auto" w:sz="12" w:space="0"/>
              <w:right w:val="nil"/>
            </w:tcBorders>
          </w:tcPr>
          <w:p w14:paraId="3A164EFA">
            <w:pPr>
              <w:pStyle w:val="445"/>
              <w:rPr>
                <w:rFonts w:cs="Times New Roman"/>
                <w:kern w:val="0"/>
                <w:szCs w:val="20"/>
              </w:rPr>
            </w:pPr>
            <w:r>
              <w:rPr>
                <w:rFonts w:cs="Times New Roman"/>
                <w:kern w:val="0"/>
                <w:szCs w:val="20"/>
              </w:rPr>
              <w:t>3.2</w:t>
            </w:r>
          </w:p>
        </w:tc>
      </w:tr>
    </w:tbl>
    <w:p w14:paraId="38A01BFE">
      <w:pPr>
        <w:pStyle w:val="278"/>
        <w:ind w:firstLine="480"/>
        <w:rPr>
          <w:rFonts w:cs="Times New Roman"/>
        </w:rPr>
      </w:pPr>
      <w:r>
        <w:rPr>
          <w:rFonts w:ascii="黑体" w:hAnsi="黑体"/>
        </w:rPr>
        <w:t>表</w:t>
      </w:r>
      <w:r>
        <w:rPr>
          <w:rFonts w:hint="eastAsia"/>
        </w:rPr>
        <w:t>5.1.1-4</w:t>
      </w:r>
      <w:r>
        <w:t xml:space="preserve">  </w:t>
      </w:r>
      <w:r>
        <w:rPr>
          <w:rFonts w:hint="eastAsia" w:ascii="黑体" w:hAnsi="黑体"/>
        </w:rPr>
        <w:t>蚌埠市月风向频率统计（单位</w:t>
      </w:r>
      <w:r>
        <w:rPr>
          <w:rFonts w:hint="eastAsia"/>
        </w:rPr>
        <w:t>%</w:t>
      </w:r>
      <w:r>
        <w:rPr>
          <w:rFonts w:hint="eastAsia" w:ascii="黑体" w:hAnsi="黑体"/>
        </w:rP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774"/>
        <w:gridCol w:w="777"/>
        <w:gridCol w:w="774"/>
        <w:gridCol w:w="777"/>
        <w:gridCol w:w="774"/>
        <w:gridCol w:w="774"/>
        <w:gridCol w:w="774"/>
        <w:gridCol w:w="774"/>
        <w:gridCol w:w="774"/>
        <w:gridCol w:w="774"/>
        <w:gridCol w:w="774"/>
        <w:gridCol w:w="774"/>
        <w:gridCol w:w="774"/>
        <w:gridCol w:w="774"/>
        <w:gridCol w:w="774"/>
        <w:gridCol w:w="774"/>
        <w:gridCol w:w="760"/>
      </w:tblGrid>
      <w:tr w14:paraId="3AB0F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362" w:type="pct"/>
            <w:tcBorders>
              <w:top w:val="single" w:color="auto" w:sz="12" w:space="0"/>
              <w:left w:val="nil"/>
              <w:bottom w:val="single" w:color="auto" w:sz="4" w:space="0"/>
              <w:right w:val="single" w:color="auto" w:sz="4" w:space="0"/>
            </w:tcBorders>
            <w:vAlign w:val="center"/>
          </w:tcPr>
          <w:p w14:paraId="715EA21B">
            <w:pPr>
              <w:pStyle w:val="445"/>
              <w:rPr>
                <w:rFonts w:cs="Times New Roman"/>
                <w:kern w:val="0"/>
                <w:szCs w:val="20"/>
              </w:rPr>
            </w:pPr>
            <w:r>
              <w:rPr>
                <w:rFonts w:cs="Times New Roman"/>
                <w:kern w:val="0"/>
                <w:szCs w:val="20"/>
              </w:rPr>
              <w:t>风向频</w:t>
            </w:r>
          </w:p>
          <w:p w14:paraId="567DE6E9">
            <w:pPr>
              <w:pStyle w:val="445"/>
              <w:rPr>
                <w:rFonts w:cs="Times New Roman"/>
                <w:kern w:val="0"/>
                <w:szCs w:val="20"/>
              </w:rPr>
            </w:pPr>
            <w:r>
              <w:rPr>
                <w:rFonts w:cs="Times New Roman"/>
                <w:kern w:val="0"/>
                <w:szCs w:val="20"/>
              </w:rPr>
              <w:t>率月份</w:t>
            </w:r>
          </w:p>
        </w:tc>
        <w:tc>
          <w:tcPr>
            <w:tcW w:w="273" w:type="pct"/>
            <w:tcBorders>
              <w:top w:val="single" w:color="auto" w:sz="12" w:space="0"/>
              <w:left w:val="single" w:color="auto" w:sz="4" w:space="0"/>
              <w:bottom w:val="single" w:color="auto" w:sz="4" w:space="0"/>
              <w:right w:val="single" w:color="auto" w:sz="4" w:space="0"/>
            </w:tcBorders>
            <w:vAlign w:val="center"/>
          </w:tcPr>
          <w:p w14:paraId="37105149">
            <w:pPr>
              <w:pStyle w:val="445"/>
              <w:rPr>
                <w:rFonts w:cs="Times New Roman"/>
                <w:kern w:val="0"/>
                <w:szCs w:val="20"/>
              </w:rPr>
            </w:pPr>
            <w:r>
              <w:rPr>
                <w:rFonts w:cs="Times New Roman"/>
                <w:kern w:val="0"/>
                <w:szCs w:val="20"/>
              </w:rPr>
              <w:t>N</w:t>
            </w:r>
          </w:p>
        </w:tc>
        <w:tc>
          <w:tcPr>
            <w:tcW w:w="274" w:type="pct"/>
            <w:tcBorders>
              <w:top w:val="single" w:color="auto" w:sz="12" w:space="0"/>
              <w:left w:val="single" w:color="auto" w:sz="4" w:space="0"/>
              <w:bottom w:val="single" w:color="auto" w:sz="4" w:space="0"/>
              <w:right w:val="single" w:color="auto" w:sz="4" w:space="0"/>
            </w:tcBorders>
            <w:vAlign w:val="center"/>
          </w:tcPr>
          <w:p w14:paraId="080B32CB">
            <w:pPr>
              <w:pStyle w:val="445"/>
              <w:rPr>
                <w:rFonts w:cs="Times New Roman"/>
                <w:kern w:val="0"/>
                <w:szCs w:val="20"/>
              </w:rPr>
            </w:pPr>
            <w:r>
              <w:rPr>
                <w:rFonts w:cs="Times New Roman"/>
                <w:kern w:val="0"/>
                <w:szCs w:val="20"/>
              </w:rPr>
              <w:t>NNE</w:t>
            </w:r>
          </w:p>
        </w:tc>
        <w:tc>
          <w:tcPr>
            <w:tcW w:w="273" w:type="pct"/>
            <w:tcBorders>
              <w:top w:val="single" w:color="auto" w:sz="12" w:space="0"/>
              <w:left w:val="single" w:color="auto" w:sz="4" w:space="0"/>
              <w:bottom w:val="single" w:color="auto" w:sz="4" w:space="0"/>
              <w:right w:val="single" w:color="auto" w:sz="4" w:space="0"/>
            </w:tcBorders>
            <w:vAlign w:val="center"/>
          </w:tcPr>
          <w:p w14:paraId="30A83DFC">
            <w:pPr>
              <w:pStyle w:val="445"/>
              <w:rPr>
                <w:rFonts w:cs="Times New Roman"/>
                <w:kern w:val="0"/>
                <w:szCs w:val="20"/>
              </w:rPr>
            </w:pPr>
            <w:r>
              <w:rPr>
                <w:rFonts w:cs="Times New Roman"/>
                <w:kern w:val="0"/>
                <w:szCs w:val="20"/>
              </w:rPr>
              <w:t>NE</w:t>
            </w:r>
          </w:p>
        </w:tc>
        <w:tc>
          <w:tcPr>
            <w:tcW w:w="274" w:type="pct"/>
            <w:tcBorders>
              <w:top w:val="single" w:color="auto" w:sz="12" w:space="0"/>
              <w:left w:val="single" w:color="auto" w:sz="4" w:space="0"/>
              <w:bottom w:val="single" w:color="auto" w:sz="4" w:space="0"/>
              <w:right w:val="single" w:color="auto" w:sz="4" w:space="0"/>
            </w:tcBorders>
            <w:vAlign w:val="center"/>
          </w:tcPr>
          <w:p w14:paraId="415EB4C7">
            <w:pPr>
              <w:pStyle w:val="445"/>
              <w:rPr>
                <w:rFonts w:cs="Times New Roman"/>
                <w:kern w:val="0"/>
                <w:szCs w:val="20"/>
              </w:rPr>
            </w:pPr>
            <w:r>
              <w:rPr>
                <w:rFonts w:cs="Times New Roman"/>
                <w:kern w:val="0"/>
                <w:szCs w:val="20"/>
              </w:rPr>
              <w:t>ENE</w:t>
            </w:r>
          </w:p>
        </w:tc>
        <w:tc>
          <w:tcPr>
            <w:tcW w:w="273" w:type="pct"/>
            <w:tcBorders>
              <w:top w:val="single" w:color="auto" w:sz="12" w:space="0"/>
              <w:left w:val="single" w:color="auto" w:sz="4" w:space="0"/>
              <w:bottom w:val="single" w:color="auto" w:sz="4" w:space="0"/>
              <w:right w:val="single" w:color="auto" w:sz="4" w:space="0"/>
            </w:tcBorders>
            <w:vAlign w:val="center"/>
          </w:tcPr>
          <w:p w14:paraId="694A1407">
            <w:pPr>
              <w:pStyle w:val="445"/>
              <w:rPr>
                <w:rFonts w:cs="Times New Roman"/>
                <w:kern w:val="0"/>
                <w:szCs w:val="20"/>
              </w:rPr>
            </w:pPr>
            <w:r>
              <w:rPr>
                <w:rFonts w:cs="Times New Roman"/>
                <w:kern w:val="0"/>
                <w:szCs w:val="20"/>
              </w:rPr>
              <w:t>E</w:t>
            </w:r>
          </w:p>
        </w:tc>
        <w:tc>
          <w:tcPr>
            <w:tcW w:w="273" w:type="pct"/>
            <w:tcBorders>
              <w:top w:val="single" w:color="auto" w:sz="12" w:space="0"/>
              <w:left w:val="single" w:color="auto" w:sz="4" w:space="0"/>
              <w:bottom w:val="single" w:color="auto" w:sz="4" w:space="0"/>
              <w:right w:val="single" w:color="auto" w:sz="4" w:space="0"/>
            </w:tcBorders>
            <w:vAlign w:val="center"/>
          </w:tcPr>
          <w:p w14:paraId="59EF334C">
            <w:pPr>
              <w:pStyle w:val="445"/>
              <w:rPr>
                <w:rFonts w:cs="Times New Roman"/>
                <w:kern w:val="0"/>
                <w:szCs w:val="20"/>
              </w:rPr>
            </w:pPr>
            <w:r>
              <w:rPr>
                <w:rFonts w:cs="Times New Roman"/>
                <w:kern w:val="0"/>
                <w:szCs w:val="20"/>
              </w:rPr>
              <w:t>ESE</w:t>
            </w:r>
          </w:p>
        </w:tc>
        <w:tc>
          <w:tcPr>
            <w:tcW w:w="273" w:type="pct"/>
            <w:tcBorders>
              <w:top w:val="single" w:color="auto" w:sz="12" w:space="0"/>
              <w:left w:val="single" w:color="auto" w:sz="4" w:space="0"/>
              <w:bottom w:val="single" w:color="auto" w:sz="4" w:space="0"/>
              <w:right w:val="single" w:color="auto" w:sz="4" w:space="0"/>
            </w:tcBorders>
            <w:vAlign w:val="center"/>
          </w:tcPr>
          <w:p w14:paraId="488FD3E2">
            <w:pPr>
              <w:pStyle w:val="445"/>
              <w:rPr>
                <w:rFonts w:cs="Times New Roman"/>
                <w:kern w:val="0"/>
                <w:szCs w:val="20"/>
              </w:rPr>
            </w:pPr>
            <w:r>
              <w:rPr>
                <w:rFonts w:cs="Times New Roman"/>
                <w:kern w:val="0"/>
                <w:szCs w:val="20"/>
              </w:rPr>
              <w:t>SE</w:t>
            </w:r>
          </w:p>
        </w:tc>
        <w:tc>
          <w:tcPr>
            <w:tcW w:w="273" w:type="pct"/>
            <w:tcBorders>
              <w:top w:val="single" w:color="auto" w:sz="12" w:space="0"/>
              <w:left w:val="single" w:color="auto" w:sz="4" w:space="0"/>
              <w:bottom w:val="single" w:color="auto" w:sz="4" w:space="0"/>
              <w:right w:val="single" w:color="auto" w:sz="4" w:space="0"/>
            </w:tcBorders>
            <w:vAlign w:val="center"/>
          </w:tcPr>
          <w:p w14:paraId="50C066CF">
            <w:pPr>
              <w:pStyle w:val="445"/>
              <w:rPr>
                <w:rFonts w:cs="Times New Roman"/>
                <w:kern w:val="0"/>
                <w:szCs w:val="20"/>
              </w:rPr>
            </w:pPr>
            <w:r>
              <w:rPr>
                <w:rFonts w:cs="Times New Roman"/>
                <w:kern w:val="0"/>
                <w:szCs w:val="20"/>
              </w:rPr>
              <w:t>SSE</w:t>
            </w:r>
          </w:p>
        </w:tc>
        <w:tc>
          <w:tcPr>
            <w:tcW w:w="273" w:type="pct"/>
            <w:tcBorders>
              <w:top w:val="single" w:color="auto" w:sz="12" w:space="0"/>
              <w:left w:val="single" w:color="auto" w:sz="4" w:space="0"/>
              <w:bottom w:val="single" w:color="auto" w:sz="4" w:space="0"/>
              <w:right w:val="single" w:color="auto" w:sz="4" w:space="0"/>
            </w:tcBorders>
            <w:vAlign w:val="center"/>
          </w:tcPr>
          <w:p w14:paraId="0034E7A6">
            <w:pPr>
              <w:pStyle w:val="445"/>
              <w:rPr>
                <w:rFonts w:cs="Times New Roman"/>
                <w:kern w:val="0"/>
                <w:szCs w:val="20"/>
              </w:rPr>
            </w:pPr>
            <w:r>
              <w:rPr>
                <w:rFonts w:cs="Times New Roman"/>
                <w:kern w:val="0"/>
                <w:szCs w:val="20"/>
              </w:rPr>
              <w:t>S</w:t>
            </w:r>
          </w:p>
        </w:tc>
        <w:tc>
          <w:tcPr>
            <w:tcW w:w="273" w:type="pct"/>
            <w:tcBorders>
              <w:top w:val="single" w:color="auto" w:sz="12" w:space="0"/>
              <w:left w:val="single" w:color="auto" w:sz="4" w:space="0"/>
              <w:bottom w:val="single" w:color="auto" w:sz="4" w:space="0"/>
              <w:right w:val="single" w:color="auto" w:sz="4" w:space="0"/>
            </w:tcBorders>
            <w:vAlign w:val="center"/>
          </w:tcPr>
          <w:p w14:paraId="08A7739F">
            <w:pPr>
              <w:pStyle w:val="445"/>
              <w:rPr>
                <w:rFonts w:cs="Times New Roman"/>
                <w:kern w:val="0"/>
                <w:szCs w:val="20"/>
              </w:rPr>
            </w:pPr>
            <w:r>
              <w:rPr>
                <w:rFonts w:cs="Times New Roman"/>
                <w:kern w:val="0"/>
                <w:szCs w:val="20"/>
              </w:rPr>
              <w:t>SSW</w:t>
            </w:r>
          </w:p>
        </w:tc>
        <w:tc>
          <w:tcPr>
            <w:tcW w:w="273" w:type="pct"/>
            <w:tcBorders>
              <w:top w:val="single" w:color="auto" w:sz="12" w:space="0"/>
              <w:left w:val="single" w:color="auto" w:sz="4" w:space="0"/>
              <w:bottom w:val="single" w:color="auto" w:sz="4" w:space="0"/>
              <w:right w:val="single" w:color="auto" w:sz="4" w:space="0"/>
            </w:tcBorders>
            <w:vAlign w:val="center"/>
          </w:tcPr>
          <w:p w14:paraId="1B0B439A">
            <w:pPr>
              <w:pStyle w:val="445"/>
              <w:rPr>
                <w:rFonts w:cs="Times New Roman"/>
                <w:kern w:val="0"/>
                <w:szCs w:val="20"/>
              </w:rPr>
            </w:pPr>
            <w:r>
              <w:rPr>
                <w:rFonts w:cs="Times New Roman"/>
                <w:kern w:val="0"/>
                <w:szCs w:val="20"/>
              </w:rPr>
              <w:t>SW</w:t>
            </w:r>
          </w:p>
        </w:tc>
        <w:tc>
          <w:tcPr>
            <w:tcW w:w="273" w:type="pct"/>
            <w:tcBorders>
              <w:top w:val="single" w:color="auto" w:sz="12" w:space="0"/>
              <w:left w:val="single" w:color="auto" w:sz="4" w:space="0"/>
              <w:bottom w:val="single" w:color="auto" w:sz="4" w:space="0"/>
              <w:right w:val="single" w:color="auto" w:sz="4" w:space="0"/>
            </w:tcBorders>
            <w:vAlign w:val="center"/>
          </w:tcPr>
          <w:p w14:paraId="1A2D2C93">
            <w:pPr>
              <w:pStyle w:val="445"/>
              <w:rPr>
                <w:rFonts w:cs="Times New Roman"/>
                <w:kern w:val="0"/>
                <w:szCs w:val="20"/>
              </w:rPr>
            </w:pPr>
            <w:r>
              <w:rPr>
                <w:rFonts w:cs="Times New Roman"/>
                <w:kern w:val="0"/>
                <w:szCs w:val="20"/>
              </w:rPr>
              <w:t>WSW</w:t>
            </w:r>
          </w:p>
        </w:tc>
        <w:tc>
          <w:tcPr>
            <w:tcW w:w="273" w:type="pct"/>
            <w:tcBorders>
              <w:top w:val="single" w:color="auto" w:sz="12" w:space="0"/>
              <w:left w:val="single" w:color="auto" w:sz="4" w:space="0"/>
              <w:bottom w:val="single" w:color="auto" w:sz="4" w:space="0"/>
              <w:right w:val="single" w:color="auto" w:sz="4" w:space="0"/>
            </w:tcBorders>
            <w:vAlign w:val="center"/>
          </w:tcPr>
          <w:p w14:paraId="5213D27D">
            <w:pPr>
              <w:pStyle w:val="445"/>
              <w:rPr>
                <w:rFonts w:cs="Times New Roman"/>
                <w:kern w:val="0"/>
                <w:szCs w:val="20"/>
              </w:rPr>
            </w:pPr>
            <w:r>
              <w:rPr>
                <w:rFonts w:cs="Times New Roman"/>
                <w:kern w:val="0"/>
                <w:szCs w:val="20"/>
              </w:rPr>
              <w:t>W</w:t>
            </w:r>
          </w:p>
        </w:tc>
        <w:tc>
          <w:tcPr>
            <w:tcW w:w="273" w:type="pct"/>
            <w:tcBorders>
              <w:top w:val="single" w:color="auto" w:sz="12" w:space="0"/>
              <w:left w:val="single" w:color="auto" w:sz="4" w:space="0"/>
              <w:bottom w:val="single" w:color="auto" w:sz="4" w:space="0"/>
              <w:right w:val="single" w:color="auto" w:sz="4" w:space="0"/>
            </w:tcBorders>
            <w:vAlign w:val="center"/>
          </w:tcPr>
          <w:p w14:paraId="5D7EE7C1">
            <w:pPr>
              <w:pStyle w:val="445"/>
              <w:rPr>
                <w:rFonts w:cs="Times New Roman"/>
                <w:kern w:val="0"/>
                <w:szCs w:val="20"/>
              </w:rPr>
            </w:pPr>
            <w:r>
              <w:rPr>
                <w:rFonts w:cs="Times New Roman"/>
                <w:kern w:val="0"/>
                <w:szCs w:val="20"/>
              </w:rPr>
              <w:t>WNW</w:t>
            </w:r>
          </w:p>
        </w:tc>
        <w:tc>
          <w:tcPr>
            <w:tcW w:w="273" w:type="pct"/>
            <w:tcBorders>
              <w:top w:val="single" w:color="auto" w:sz="12" w:space="0"/>
              <w:left w:val="single" w:color="auto" w:sz="4" w:space="0"/>
              <w:bottom w:val="single" w:color="auto" w:sz="4" w:space="0"/>
              <w:right w:val="single" w:color="auto" w:sz="4" w:space="0"/>
            </w:tcBorders>
            <w:vAlign w:val="center"/>
          </w:tcPr>
          <w:p w14:paraId="688DAD47">
            <w:pPr>
              <w:pStyle w:val="445"/>
              <w:rPr>
                <w:rFonts w:cs="Times New Roman"/>
                <w:kern w:val="0"/>
                <w:szCs w:val="20"/>
              </w:rPr>
            </w:pPr>
            <w:r>
              <w:rPr>
                <w:rFonts w:cs="Times New Roman"/>
                <w:kern w:val="0"/>
                <w:szCs w:val="20"/>
              </w:rPr>
              <w:t>NW</w:t>
            </w:r>
          </w:p>
        </w:tc>
        <w:tc>
          <w:tcPr>
            <w:tcW w:w="273" w:type="pct"/>
            <w:tcBorders>
              <w:top w:val="single" w:color="auto" w:sz="12" w:space="0"/>
              <w:left w:val="single" w:color="auto" w:sz="4" w:space="0"/>
              <w:bottom w:val="single" w:color="auto" w:sz="4" w:space="0"/>
              <w:right w:val="single" w:color="auto" w:sz="4" w:space="0"/>
            </w:tcBorders>
            <w:vAlign w:val="center"/>
          </w:tcPr>
          <w:p w14:paraId="1E3D78A7">
            <w:pPr>
              <w:pStyle w:val="445"/>
              <w:rPr>
                <w:rFonts w:cs="Times New Roman"/>
                <w:kern w:val="0"/>
                <w:szCs w:val="20"/>
              </w:rPr>
            </w:pPr>
            <w:r>
              <w:rPr>
                <w:rFonts w:cs="Times New Roman"/>
                <w:kern w:val="0"/>
                <w:szCs w:val="20"/>
              </w:rPr>
              <w:t>NNW</w:t>
            </w:r>
          </w:p>
        </w:tc>
        <w:tc>
          <w:tcPr>
            <w:tcW w:w="268" w:type="pct"/>
            <w:tcBorders>
              <w:top w:val="single" w:color="auto" w:sz="12" w:space="0"/>
              <w:left w:val="single" w:color="auto" w:sz="4" w:space="0"/>
              <w:bottom w:val="single" w:color="auto" w:sz="4" w:space="0"/>
              <w:right w:val="nil"/>
            </w:tcBorders>
            <w:vAlign w:val="center"/>
          </w:tcPr>
          <w:p w14:paraId="374A5BCF">
            <w:pPr>
              <w:pStyle w:val="445"/>
              <w:rPr>
                <w:rFonts w:cs="Times New Roman"/>
                <w:kern w:val="0"/>
                <w:szCs w:val="20"/>
              </w:rPr>
            </w:pPr>
            <w:r>
              <w:rPr>
                <w:rFonts w:cs="Times New Roman"/>
                <w:kern w:val="0"/>
                <w:szCs w:val="20"/>
              </w:rPr>
              <w:t>C</w:t>
            </w:r>
          </w:p>
        </w:tc>
      </w:tr>
      <w:tr w14:paraId="2DB44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31EAB8D2">
            <w:pPr>
              <w:pStyle w:val="445"/>
              <w:rPr>
                <w:rFonts w:cs="Times New Roman"/>
                <w:kern w:val="0"/>
                <w:szCs w:val="20"/>
              </w:rPr>
            </w:pPr>
            <w:r>
              <w:rPr>
                <w:rFonts w:cs="Times New Roman"/>
                <w:kern w:val="0"/>
                <w:szCs w:val="20"/>
              </w:rPr>
              <w:t>1</w:t>
            </w:r>
          </w:p>
        </w:tc>
        <w:tc>
          <w:tcPr>
            <w:tcW w:w="273" w:type="pct"/>
            <w:tcBorders>
              <w:top w:val="single" w:color="auto" w:sz="4" w:space="0"/>
              <w:left w:val="single" w:color="auto" w:sz="4" w:space="0"/>
              <w:bottom w:val="single" w:color="auto" w:sz="4" w:space="0"/>
              <w:right w:val="single" w:color="auto" w:sz="4" w:space="0"/>
            </w:tcBorders>
            <w:vAlign w:val="center"/>
          </w:tcPr>
          <w:p w14:paraId="14C1287C">
            <w:pPr>
              <w:pStyle w:val="445"/>
              <w:rPr>
                <w:rFonts w:cs="Times New Roman"/>
                <w:kern w:val="0"/>
                <w:szCs w:val="20"/>
              </w:rPr>
            </w:pPr>
            <w:r>
              <w:rPr>
                <w:rFonts w:cs="Times New Roman"/>
                <w:kern w:val="0"/>
                <w:szCs w:val="20"/>
              </w:rPr>
              <w:t>5.4</w:t>
            </w:r>
          </w:p>
        </w:tc>
        <w:tc>
          <w:tcPr>
            <w:tcW w:w="274" w:type="pct"/>
            <w:tcBorders>
              <w:top w:val="single" w:color="auto" w:sz="4" w:space="0"/>
              <w:left w:val="single" w:color="auto" w:sz="4" w:space="0"/>
              <w:bottom w:val="single" w:color="auto" w:sz="4" w:space="0"/>
              <w:right w:val="single" w:color="auto" w:sz="4" w:space="0"/>
            </w:tcBorders>
            <w:vAlign w:val="center"/>
          </w:tcPr>
          <w:p w14:paraId="513AC881">
            <w:pPr>
              <w:pStyle w:val="445"/>
              <w:rPr>
                <w:rFonts w:cs="Times New Roman"/>
                <w:kern w:val="0"/>
                <w:szCs w:val="20"/>
              </w:rPr>
            </w:pPr>
            <w:r>
              <w:rPr>
                <w:rFonts w:cs="Times New Roman"/>
                <w:kern w:val="0"/>
                <w:szCs w:val="20"/>
              </w:rPr>
              <w:t>7.7</w:t>
            </w:r>
          </w:p>
        </w:tc>
        <w:tc>
          <w:tcPr>
            <w:tcW w:w="273" w:type="pct"/>
            <w:tcBorders>
              <w:top w:val="single" w:color="auto" w:sz="4" w:space="0"/>
              <w:left w:val="single" w:color="auto" w:sz="4" w:space="0"/>
              <w:bottom w:val="single" w:color="auto" w:sz="4" w:space="0"/>
              <w:right w:val="single" w:color="auto" w:sz="4" w:space="0"/>
            </w:tcBorders>
            <w:vAlign w:val="center"/>
          </w:tcPr>
          <w:p w14:paraId="572AE430">
            <w:pPr>
              <w:pStyle w:val="445"/>
              <w:rPr>
                <w:rFonts w:cs="Times New Roman"/>
                <w:kern w:val="0"/>
                <w:szCs w:val="20"/>
              </w:rPr>
            </w:pPr>
            <w:r>
              <w:rPr>
                <w:rFonts w:cs="Times New Roman"/>
                <w:kern w:val="0"/>
                <w:szCs w:val="20"/>
              </w:rPr>
              <w:t>12.9</w:t>
            </w:r>
          </w:p>
        </w:tc>
        <w:tc>
          <w:tcPr>
            <w:tcW w:w="274" w:type="pct"/>
            <w:tcBorders>
              <w:top w:val="single" w:color="auto" w:sz="4" w:space="0"/>
              <w:left w:val="single" w:color="auto" w:sz="4" w:space="0"/>
              <w:bottom w:val="single" w:color="auto" w:sz="4" w:space="0"/>
              <w:right w:val="single" w:color="auto" w:sz="4" w:space="0"/>
            </w:tcBorders>
            <w:vAlign w:val="center"/>
          </w:tcPr>
          <w:p w14:paraId="2380F1C9">
            <w:pPr>
              <w:pStyle w:val="445"/>
              <w:rPr>
                <w:rFonts w:cs="Times New Roman"/>
                <w:kern w:val="0"/>
                <w:szCs w:val="20"/>
              </w:rPr>
            </w:pPr>
            <w:r>
              <w:rPr>
                <w:rFonts w:cs="Times New Roman"/>
                <w:kern w:val="0"/>
                <w:szCs w:val="20"/>
              </w:rPr>
              <w:t>12.9</w:t>
            </w:r>
          </w:p>
        </w:tc>
        <w:tc>
          <w:tcPr>
            <w:tcW w:w="273" w:type="pct"/>
            <w:tcBorders>
              <w:top w:val="single" w:color="auto" w:sz="4" w:space="0"/>
              <w:left w:val="single" w:color="auto" w:sz="4" w:space="0"/>
              <w:bottom w:val="single" w:color="auto" w:sz="4" w:space="0"/>
              <w:right w:val="single" w:color="auto" w:sz="4" w:space="0"/>
            </w:tcBorders>
            <w:vAlign w:val="center"/>
          </w:tcPr>
          <w:p w14:paraId="24C87886">
            <w:pPr>
              <w:pStyle w:val="445"/>
              <w:rPr>
                <w:rFonts w:cs="Times New Roman"/>
                <w:kern w:val="0"/>
                <w:szCs w:val="20"/>
              </w:rPr>
            </w:pPr>
            <w:r>
              <w:rPr>
                <w:rFonts w:cs="Times New Roman"/>
                <w:kern w:val="0"/>
                <w:szCs w:val="20"/>
              </w:rPr>
              <w:t>8.5</w:t>
            </w:r>
          </w:p>
        </w:tc>
        <w:tc>
          <w:tcPr>
            <w:tcW w:w="273" w:type="pct"/>
            <w:tcBorders>
              <w:top w:val="single" w:color="auto" w:sz="4" w:space="0"/>
              <w:left w:val="single" w:color="auto" w:sz="4" w:space="0"/>
              <w:bottom w:val="single" w:color="auto" w:sz="4" w:space="0"/>
              <w:right w:val="single" w:color="auto" w:sz="4" w:space="0"/>
            </w:tcBorders>
            <w:vAlign w:val="center"/>
          </w:tcPr>
          <w:p w14:paraId="39C4719D">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4" w:space="0"/>
              <w:right w:val="single" w:color="auto" w:sz="4" w:space="0"/>
            </w:tcBorders>
            <w:vAlign w:val="center"/>
          </w:tcPr>
          <w:p w14:paraId="40477212">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0FEFF4CF">
            <w:pPr>
              <w:pStyle w:val="445"/>
              <w:rPr>
                <w:rFonts w:cs="Times New Roman"/>
                <w:kern w:val="0"/>
                <w:szCs w:val="20"/>
              </w:rPr>
            </w:pPr>
            <w:r>
              <w:rPr>
                <w:rFonts w:cs="Times New Roman"/>
                <w:kern w:val="0"/>
                <w:szCs w:val="20"/>
              </w:rPr>
              <w:t>3</w:t>
            </w:r>
          </w:p>
        </w:tc>
        <w:tc>
          <w:tcPr>
            <w:tcW w:w="273" w:type="pct"/>
            <w:tcBorders>
              <w:top w:val="single" w:color="auto" w:sz="4" w:space="0"/>
              <w:left w:val="single" w:color="auto" w:sz="4" w:space="0"/>
              <w:bottom w:val="single" w:color="auto" w:sz="4" w:space="0"/>
              <w:right w:val="single" w:color="auto" w:sz="4" w:space="0"/>
            </w:tcBorders>
            <w:vAlign w:val="center"/>
          </w:tcPr>
          <w:p w14:paraId="038F5BA1">
            <w:pPr>
              <w:pStyle w:val="445"/>
              <w:rPr>
                <w:rFonts w:cs="Times New Roman"/>
                <w:kern w:val="0"/>
                <w:szCs w:val="20"/>
              </w:rPr>
            </w:pPr>
            <w:r>
              <w:rPr>
                <w:rFonts w:cs="Times New Roman"/>
                <w:kern w:val="0"/>
                <w:szCs w:val="20"/>
              </w:rPr>
              <w:t>4.3</w:t>
            </w:r>
          </w:p>
        </w:tc>
        <w:tc>
          <w:tcPr>
            <w:tcW w:w="273" w:type="pct"/>
            <w:tcBorders>
              <w:top w:val="single" w:color="auto" w:sz="4" w:space="0"/>
              <w:left w:val="single" w:color="auto" w:sz="4" w:space="0"/>
              <w:bottom w:val="single" w:color="auto" w:sz="4" w:space="0"/>
              <w:right w:val="single" w:color="auto" w:sz="4" w:space="0"/>
            </w:tcBorders>
            <w:vAlign w:val="center"/>
          </w:tcPr>
          <w:p w14:paraId="2DBAEC55">
            <w:pPr>
              <w:pStyle w:val="445"/>
              <w:rPr>
                <w:rFonts w:cs="Times New Roman"/>
                <w:kern w:val="0"/>
                <w:szCs w:val="20"/>
              </w:rPr>
            </w:pPr>
            <w:r>
              <w:rPr>
                <w:rFonts w:cs="Times New Roman"/>
                <w:kern w:val="0"/>
                <w:szCs w:val="20"/>
              </w:rPr>
              <w:t>4.3</w:t>
            </w:r>
          </w:p>
        </w:tc>
        <w:tc>
          <w:tcPr>
            <w:tcW w:w="273" w:type="pct"/>
            <w:tcBorders>
              <w:top w:val="single" w:color="auto" w:sz="4" w:space="0"/>
              <w:left w:val="single" w:color="auto" w:sz="4" w:space="0"/>
              <w:bottom w:val="single" w:color="auto" w:sz="4" w:space="0"/>
              <w:right w:val="single" w:color="auto" w:sz="4" w:space="0"/>
            </w:tcBorders>
            <w:vAlign w:val="center"/>
          </w:tcPr>
          <w:p w14:paraId="77093F3C">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4" w:space="0"/>
              <w:right w:val="single" w:color="auto" w:sz="4" w:space="0"/>
            </w:tcBorders>
            <w:vAlign w:val="center"/>
          </w:tcPr>
          <w:p w14:paraId="38CBD024">
            <w:pPr>
              <w:pStyle w:val="445"/>
              <w:rPr>
                <w:rFonts w:cs="Times New Roman"/>
                <w:kern w:val="0"/>
                <w:szCs w:val="20"/>
              </w:rPr>
            </w:pPr>
            <w:r>
              <w:rPr>
                <w:rFonts w:cs="Times New Roman"/>
                <w:kern w:val="0"/>
                <w:szCs w:val="20"/>
              </w:rPr>
              <w:t>4.4</w:t>
            </w:r>
          </w:p>
        </w:tc>
        <w:tc>
          <w:tcPr>
            <w:tcW w:w="273" w:type="pct"/>
            <w:tcBorders>
              <w:top w:val="single" w:color="auto" w:sz="4" w:space="0"/>
              <w:left w:val="single" w:color="auto" w:sz="4" w:space="0"/>
              <w:bottom w:val="single" w:color="auto" w:sz="4" w:space="0"/>
              <w:right w:val="single" w:color="auto" w:sz="4" w:space="0"/>
            </w:tcBorders>
            <w:vAlign w:val="center"/>
          </w:tcPr>
          <w:p w14:paraId="7DFCCBEB">
            <w:pPr>
              <w:pStyle w:val="445"/>
              <w:rPr>
                <w:rFonts w:cs="Times New Roman"/>
                <w:kern w:val="0"/>
                <w:szCs w:val="20"/>
              </w:rPr>
            </w:pPr>
            <w:r>
              <w:rPr>
                <w:rFonts w:cs="Times New Roman"/>
                <w:kern w:val="0"/>
                <w:szCs w:val="20"/>
              </w:rPr>
              <w:t>4.9</w:t>
            </w:r>
          </w:p>
        </w:tc>
        <w:tc>
          <w:tcPr>
            <w:tcW w:w="273" w:type="pct"/>
            <w:tcBorders>
              <w:top w:val="single" w:color="auto" w:sz="4" w:space="0"/>
              <w:left w:val="single" w:color="auto" w:sz="4" w:space="0"/>
              <w:bottom w:val="single" w:color="auto" w:sz="4" w:space="0"/>
              <w:right w:val="single" w:color="auto" w:sz="4" w:space="0"/>
            </w:tcBorders>
            <w:vAlign w:val="center"/>
          </w:tcPr>
          <w:p w14:paraId="6627E437">
            <w:pPr>
              <w:pStyle w:val="445"/>
              <w:rPr>
                <w:rFonts w:cs="Times New Roman"/>
                <w:kern w:val="0"/>
                <w:szCs w:val="20"/>
              </w:rPr>
            </w:pPr>
            <w:r>
              <w:rPr>
                <w:rFonts w:cs="Times New Roman"/>
                <w:kern w:val="0"/>
                <w:szCs w:val="20"/>
              </w:rPr>
              <w:t>4.4</w:t>
            </w:r>
          </w:p>
        </w:tc>
        <w:tc>
          <w:tcPr>
            <w:tcW w:w="273" w:type="pct"/>
            <w:tcBorders>
              <w:top w:val="single" w:color="auto" w:sz="4" w:space="0"/>
              <w:left w:val="single" w:color="auto" w:sz="4" w:space="0"/>
              <w:bottom w:val="single" w:color="auto" w:sz="4" w:space="0"/>
              <w:right w:val="single" w:color="auto" w:sz="4" w:space="0"/>
            </w:tcBorders>
            <w:vAlign w:val="center"/>
          </w:tcPr>
          <w:p w14:paraId="236AF6E9">
            <w:pPr>
              <w:pStyle w:val="445"/>
              <w:rPr>
                <w:rFonts w:cs="Times New Roman"/>
                <w:kern w:val="0"/>
                <w:szCs w:val="20"/>
              </w:rPr>
            </w:pPr>
            <w:r>
              <w:rPr>
                <w:rFonts w:cs="Times New Roman"/>
                <w:kern w:val="0"/>
                <w:szCs w:val="20"/>
              </w:rPr>
              <w:t>5.4</w:t>
            </w:r>
          </w:p>
        </w:tc>
        <w:tc>
          <w:tcPr>
            <w:tcW w:w="273" w:type="pct"/>
            <w:tcBorders>
              <w:top w:val="single" w:color="auto" w:sz="4" w:space="0"/>
              <w:left w:val="single" w:color="auto" w:sz="4" w:space="0"/>
              <w:bottom w:val="single" w:color="auto" w:sz="4" w:space="0"/>
              <w:right w:val="single" w:color="auto" w:sz="4" w:space="0"/>
            </w:tcBorders>
            <w:vAlign w:val="center"/>
          </w:tcPr>
          <w:p w14:paraId="598F15D2">
            <w:pPr>
              <w:pStyle w:val="445"/>
              <w:rPr>
                <w:rFonts w:cs="Times New Roman"/>
                <w:kern w:val="0"/>
                <w:szCs w:val="20"/>
              </w:rPr>
            </w:pPr>
            <w:r>
              <w:rPr>
                <w:rFonts w:cs="Times New Roman"/>
                <w:kern w:val="0"/>
                <w:szCs w:val="20"/>
              </w:rPr>
              <w:t>4.2</w:t>
            </w:r>
          </w:p>
        </w:tc>
        <w:tc>
          <w:tcPr>
            <w:tcW w:w="268" w:type="pct"/>
            <w:tcBorders>
              <w:top w:val="single" w:color="auto" w:sz="4" w:space="0"/>
              <w:left w:val="single" w:color="auto" w:sz="4" w:space="0"/>
              <w:bottom w:val="single" w:color="auto" w:sz="4" w:space="0"/>
              <w:right w:val="nil"/>
            </w:tcBorders>
            <w:vAlign w:val="center"/>
          </w:tcPr>
          <w:p w14:paraId="6144F693">
            <w:pPr>
              <w:pStyle w:val="445"/>
              <w:rPr>
                <w:rFonts w:cs="Times New Roman"/>
                <w:kern w:val="0"/>
                <w:szCs w:val="20"/>
              </w:rPr>
            </w:pPr>
            <w:r>
              <w:rPr>
                <w:rFonts w:cs="Times New Roman"/>
                <w:kern w:val="0"/>
                <w:szCs w:val="20"/>
              </w:rPr>
              <w:t>3.8</w:t>
            </w:r>
          </w:p>
        </w:tc>
      </w:tr>
      <w:tr w14:paraId="59B46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62" w:type="pct"/>
            <w:tcBorders>
              <w:top w:val="single" w:color="auto" w:sz="4" w:space="0"/>
              <w:left w:val="nil"/>
              <w:bottom w:val="single" w:color="auto" w:sz="4" w:space="0"/>
              <w:right w:val="single" w:color="auto" w:sz="4" w:space="0"/>
            </w:tcBorders>
            <w:vAlign w:val="center"/>
          </w:tcPr>
          <w:p w14:paraId="77BCD5C0">
            <w:pPr>
              <w:pStyle w:val="445"/>
              <w:rPr>
                <w:rFonts w:cs="Times New Roman"/>
                <w:kern w:val="0"/>
                <w:szCs w:val="20"/>
              </w:rPr>
            </w:pPr>
            <w:r>
              <w:rPr>
                <w:rFonts w:cs="Times New Roman"/>
                <w:kern w:val="0"/>
                <w:szCs w:val="20"/>
              </w:rPr>
              <w:t>2</w:t>
            </w:r>
          </w:p>
        </w:tc>
        <w:tc>
          <w:tcPr>
            <w:tcW w:w="273" w:type="pct"/>
            <w:tcBorders>
              <w:top w:val="single" w:color="auto" w:sz="4" w:space="0"/>
              <w:left w:val="single" w:color="auto" w:sz="4" w:space="0"/>
              <w:bottom w:val="single" w:color="auto" w:sz="4" w:space="0"/>
              <w:right w:val="single" w:color="auto" w:sz="4" w:space="0"/>
            </w:tcBorders>
            <w:vAlign w:val="center"/>
          </w:tcPr>
          <w:p w14:paraId="22612C93">
            <w:pPr>
              <w:pStyle w:val="445"/>
              <w:rPr>
                <w:rFonts w:cs="Times New Roman"/>
                <w:kern w:val="0"/>
                <w:szCs w:val="20"/>
              </w:rPr>
            </w:pPr>
            <w:r>
              <w:rPr>
                <w:rFonts w:cs="Times New Roman"/>
                <w:kern w:val="0"/>
                <w:szCs w:val="20"/>
              </w:rPr>
              <w:t>3.8</w:t>
            </w:r>
          </w:p>
        </w:tc>
        <w:tc>
          <w:tcPr>
            <w:tcW w:w="274" w:type="pct"/>
            <w:tcBorders>
              <w:top w:val="single" w:color="auto" w:sz="4" w:space="0"/>
              <w:left w:val="single" w:color="auto" w:sz="4" w:space="0"/>
              <w:bottom w:val="single" w:color="auto" w:sz="4" w:space="0"/>
              <w:right w:val="single" w:color="auto" w:sz="4" w:space="0"/>
            </w:tcBorders>
            <w:vAlign w:val="center"/>
          </w:tcPr>
          <w:p w14:paraId="04F7C6C4">
            <w:pPr>
              <w:pStyle w:val="445"/>
              <w:rPr>
                <w:rFonts w:cs="Times New Roman"/>
                <w:kern w:val="0"/>
                <w:szCs w:val="20"/>
              </w:rPr>
            </w:pPr>
            <w:r>
              <w:rPr>
                <w:rFonts w:cs="Times New Roman"/>
                <w:kern w:val="0"/>
                <w:szCs w:val="20"/>
              </w:rPr>
              <w:t>5.9</w:t>
            </w:r>
          </w:p>
        </w:tc>
        <w:tc>
          <w:tcPr>
            <w:tcW w:w="273" w:type="pct"/>
            <w:tcBorders>
              <w:top w:val="single" w:color="auto" w:sz="4" w:space="0"/>
              <w:left w:val="single" w:color="auto" w:sz="4" w:space="0"/>
              <w:bottom w:val="single" w:color="auto" w:sz="4" w:space="0"/>
              <w:right w:val="single" w:color="auto" w:sz="4" w:space="0"/>
            </w:tcBorders>
            <w:vAlign w:val="center"/>
          </w:tcPr>
          <w:p w14:paraId="30910BFF">
            <w:pPr>
              <w:pStyle w:val="445"/>
              <w:rPr>
                <w:rFonts w:cs="Times New Roman"/>
                <w:kern w:val="0"/>
                <w:szCs w:val="20"/>
              </w:rPr>
            </w:pPr>
            <w:r>
              <w:rPr>
                <w:rFonts w:cs="Times New Roman"/>
                <w:kern w:val="0"/>
                <w:szCs w:val="20"/>
              </w:rPr>
              <w:t>10.6</w:t>
            </w:r>
          </w:p>
        </w:tc>
        <w:tc>
          <w:tcPr>
            <w:tcW w:w="274" w:type="pct"/>
            <w:tcBorders>
              <w:top w:val="single" w:color="auto" w:sz="4" w:space="0"/>
              <w:left w:val="single" w:color="auto" w:sz="4" w:space="0"/>
              <w:bottom w:val="single" w:color="auto" w:sz="4" w:space="0"/>
              <w:right w:val="single" w:color="auto" w:sz="4" w:space="0"/>
            </w:tcBorders>
            <w:vAlign w:val="center"/>
          </w:tcPr>
          <w:p w14:paraId="4785F15B">
            <w:pPr>
              <w:pStyle w:val="445"/>
              <w:rPr>
                <w:rFonts w:cs="Times New Roman"/>
                <w:kern w:val="0"/>
                <w:szCs w:val="20"/>
              </w:rPr>
            </w:pPr>
            <w:r>
              <w:rPr>
                <w:rFonts w:cs="Times New Roman"/>
                <w:kern w:val="0"/>
                <w:szCs w:val="20"/>
              </w:rPr>
              <w:t>14.8</w:t>
            </w:r>
          </w:p>
        </w:tc>
        <w:tc>
          <w:tcPr>
            <w:tcW w:w="273" w:type="pct"/>
            <w:tcBorders>
              <w:top w:val="single" w:color="auto" w:sz="4" w:space="0"/>
              <w:left w:val="single" w:color="auto" w:sz="4" w:space="0"/>
              <w:bottom w:val="single" w:color="auto" w:sz="4" w:space="0"/>
              <w:right w:val="single" w:color="auto" w:sz="4" w:space="0"/>
            </w:tcBorders>
            <w:vAlign w:val="center"/>
          </w:tcPr>
          <w:p w14:paraId="788900FA">
            <w:pPr>
              <w:pStyle w:val="445"/>
              <w:rPr>
                <w:rFonts w:cs="Times New Roman"/>
                <w:kern w:val="0"/>
                <w:szCs w:val="20"/>
              </w:rPr>
            </w:pPr>
            <w:r>
              <w:rPr>
                <w:rFonts w:cs="Times New Roman"/>
                <w:kern w:val="0"/>
                <w:szCs w:val="20"/>
              </w:rPr>
              <w:t>13.3</w:t>
            </w:r>
          </w:p>
        </w:tc>
        <w:tc>
          <w:tcPr>
            <w:tcW w:w="273" w:type="pct"/>
            <w:tcBorders>
              <w:top w:val="single" w:color="auto" w:sz="4" w:space="0"/>
              <w:left w:val="single" w:color="auto" w:sz="4" w:space="0"/>
              <w:bottom w:val="single" w:color="auto" w:sz="4" w:space="0"/>
              <w:right w:val="single" w:color="auto" w:sz="4" w:space="0"/>
            </w:tcBorders>
            <w:vAlign w:val="center"/>
          </w:tcPr>
          <w:p w14:paraId="3AF77D9E">
            <w:pPr>
              <w:pStyle w:val="445"/>
              <w:rPr>
                <w:rFonts w:cs="Times New Roman"/>
                <w:kern w:val="0"/>
                <w:szCs w:val="20"/>
              </w:rPr>
            </w:pPr>
            <w:r>
              <w:rPr>
                <w:rFonts w:cs="Times New Roman"/>
                <w:kern w:val="0"/>
                <w:szCs w:val="20"/>
              </w:rPr>
              <w:t>6.4</w:t>
            </w:r>
          </w:p>
        </w:tc>
        <w:tc>
          <w:tcPr>
            <w:tcW w:w="273" w:type="pct"/>
            <w:tcBorders>
              <w:top w:val="single" w:color="auto" w:sz="4" w:space="0"/>
              <w:left w:val="single" w:color="auto" w:sz="4" w:space="0"/>
              <w:bottom w:val="single" w:color="auto" w:sz="4" w:space="0"/>
              <w:right w:val="single" w:color="auto" w:sz="4" w:space="0"/>
            </w:tcBorders>
            <w:vAlign w:val="center"/>
          </w:tcPr>
          <w:p w14:paraId="439AE78C">
            <w:pPr>
              <w:pStyle w:val="445"/>
              <w:rPr>
                <w:rFonts w:cs="Times New Roman"/>
                <w:kern w:val="0"/>
                <w:szCs w:val="20"/>
              </w:rPr>
            </w:pPr>
            <w:r>
              <w:rPr>
                <w:rFonts w:cs="Times New Roman"/>
                <w:kern w:val="0"/>
                <w:szCs w:val="20"/>
              </w:rPr>
              <w:t>5.3</w:t>
            </w:r>
          </w:p>
        </w:tc>
        <w:tc>
          <w:tcPr>
            <w:tcW w:w="273" w:type="pct"/>
            <w:tcBorders>
              <w:top w:val="single" w:color="auto" w:sz="4" w:space="0"/>
              <w:left w:val="single" w:color="auto" w:sz="4" w:space="0"/>
              <w:bottom w:val="single" w:color="auto" w:sz="4" w:space="0"/>
              <w:right w:val="single" w:color="auto" w:sz="4" w:space="0"/>
            </w:tcBorders>
            <w:vAlign w:val="center"/>
          </w:tcPr>
          <w:p w14:paraId="28B1B4D6">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44733A74">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13963D46">
            <w:pPr>
              <w:pStyle w:val="445"/>
              <w:rPr>
                <w:rFonts w:cs="Times New Roman"/>
                <w:kern w:val="0"/>
                <w:szCs w:val="20"/>
              </w:rPr>
            </w:pPr>
            <w:r>
              <w:rPr>
                <w:rFonts w:cs="Times New Roman"/>
                <w:kern w:val="0"/>
                <w:szCs w:val="20"/>
              </w:rPr>
              <w:t>4.3</w:t>
            </w:r>
          </w:p>
        </w:tc>
        <w:tc>
          <w:tcPr>
            <w:tcW w:w="273" w:type="pct"/>
            <w:tcBorders>
              <w:top w:val="single" w:color="auto" w:sz="4" w:space="0"/>
              <w:left w:val="single" w:color="auto" w:sz="4" w:space="0"/>
              <w:bottom w:val="single" w:color="auto" w:sz="4" w:space="0"/>
              <w:right w:val="single" w:color="auto" w:sz="4" w:space="0"/>
            </w:tcBorders>
            <w:vAlign w:val="center"/>
          </w:tcPr>
          <w:p w14:paraId="05B964B3">
            <w:pPr>
              <w:pStyle w:val="445"/>
              <w:rPr>
                <w:rFonts w:cs="Times New Roman"/>
                <w:kern w:val="0"/>
                <w:szCs w:val="20"/>
              </w:rPr>
            </w:pPr>
            <w:r>
              <w:rPr>
                <w:rFonts w:cs="Times New Roman"/>
                <w:kern w:val="0"/>
                <w:szCs w:val="20"/>
              </w:rPr>
              <w:t>4.9</w:t>
            </w:r>
          </w:p>
        </w:tc>
        <w:tc>
          <w:tcPr>
            <w:tcW w:w="273" w:type="pct"/>
            <w:tcBorders>
              <w:top w:val="single" w:color="auto" w:sz="4" w:space="0"/>
              <w:left w:val="single" w:color="auto" w:sz="4" w:space="0"/>
              <w:bottom w:val="single" w:color="auto" w:sz="4" w:space="0"/>
              <w:right w:val="single" w:color="auto" w:sz="4" w:space="0"/>
            </w:tcBorders>
            <w:vAlign w:val="center"/>
          </w:tcPr>
          <w:p w14:paraId="3458D855">
            <w:pPr>
              <w:pStyle w:val="445"/>
              <w:rPr>
                <w:rFonts w:cs="Times New Roman"/>
                <w:kern w:val="0"/>
                <w:szCs w:val="20"/>
              </w:rPr>
            </w:pPr>
            <w:r>
              <w:rPr>
                <w:rFonts w:cs="Times New Roman"/>
                <w:kern w:val="0"/>
                <w:szCs w:val="20"/>
              </w:rPr>
              <w:t>3.5</w:t>
            </w:r>
          </w:p>
        </w:tc>
        <w:tc>
          <w:tcPr>
            <w:tcW w:w="273" w:type="pct"/>
            <w:tcBorders>
              <w:top w:val="single" w:color="auto" w:sz="4" w:space="0"/>
              <w:left w:val="single" w:color="auto" w:sz="4" w:space="0"/>
              <w:bottom w:val="single" w:color="auto" w:sz="4" w:space="0"/>
              <w:right w:val="single" w:color="auto" w:sz="4" w:space="0"/>
            </w:tcBorders>
            <w:vAlign w:val="center"/>
          </w:tcPr>
          <w:p w14:paraId="4F6FFC49">
            <w:pPr>
              <w:pStyle w:val="445"/>
              <w:rPr>
                <w:rFonts w:cs="Times New Roman"/>
                <w:kern w:val="0"/>
                <w:szCs w:val="20"/>
              </w:rPr>
            </w:pPr>
            <w:r>
              <w:rPr>
                <w:rFonts w:cs="Times New Roman"/>
                <w:kern w:val="0"/>
                <w:szCs w:val="20"/>
              </w:rPr>
              <w:t>4</w:t>
            </w:r>
          </w:p>
        </w:tc>
        <w:tc>
          <w:tcPr>
            <w:tcW w:w="273" w:type="pct"/>
            <w:tcBorders>
              <w:top w:val="single" w:color="auto" w:sz="4" w:space="0"/>
              <w:left w:val="single" w:color="auto" w:sz="4" w:space="0"/>
              <w:bottom w:val="single" w:color="auto" w:sz="4" w:space="0"/>
              <w:right w:val="single" w:color="auto" w:sz="4" w:space="0"/>
            </w:tcBorders>
            <w:vAlign w:val="center"/>
          </w:tcPr>
          <w:p w14:paraId="162E5A55">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0B4C323E">
            <w:pPr>
              <w:pStyle w:val="445"/>
              <w:rPr>
                <w:rFonts w:cs="Times New Roman"/>
                <w:kern w:val="0"/>
                <w:szCs w:val="20"/>
              </w:rPr>
            </w:pPr>
            <w:r>
              <w:rPr>
                <w:rFonts w:cs="Times New Roman"/>
                <w:kern w:val="0"/>
                <w:szCs w:val="20"/>
              </w:rPr>
              <w:t>4.2</w:t>
            </w:r>
          </w:p>
        </w:tc>
        <w:tc>
          <w:tcPr>
            <w:tcW w:w="273" w:type="pct"/>
            <w:tcBorders>
              <w:top w:val="single" w:color="auto" w:sz="4" w:space="0"/>
              <w:left w:val="single" w:color="auto" w:sz="4" w:space="0"/>
              <w:bottom w:val="single" w:color="auto" w:sz="4" w:space="0"/>
              <w:right w:val="single" w:color="auto" w:sz="4" w:space="0"/>
            </w:tcBorders>
            <w:vAlign w:val="center"/>
          </w:tcPr>
          <w:p w14:paraId="05303351">
            <w:pPr>
              <w:pStyle w:val="445"/>
              <w:rPr>
                <w:rFonts w:cs="Times New Roman"/>
                <w:kern w:val="0"/>
                <w:szCs w:val="20"/>
              </w:rPr>
            </w:pPr>
            <w:r>
              <w:rPr>
                <w:rFonts w:cs="Times New Roman"/>
                <w:kern w:val="0"/>
                <w:szCs w:val="20"/>
              </w:rPr>
              <w:t>3.2</w:t>
            </w:r>
          </w:p>
        </w:tc>
        <w:tc>
          <w:tcPr>
            <w:tcW w:w="268" w:type="pct"/>
            <w:tcBorders>
              <w:top w:val="single" w:color="auto" w:sz="4" w:space="0"/>
              <w:left w:val="single" w:color="auto" w:sz="4" w:space="0"/>
              <w:bottom w:val="single" w:color="auto" w:sz="4" w:space="0"/>
              <w:right w:val="nil"/>
            </w:tcBorders>
            <w:vAlign w:val="center"/>
          </w:tcPr>
          <w:p w14:paraId="252D6625">
            <w:pPr>
              <w:pStyle w:val="445"/>
              <w:rPr>
                <w:rFonts w:cs="Times New Roman"/>
                <w:kern w:val="0"/>
                <w:szCs w:val="20"/>
              </w:rPr>
            </w:pPr>
            <w:r>
              <w:rPr>
                <w:rFonts w:cs="Times New Roman"/>
                <w:kern w:val="0"/>
                <w:szCs w:val="20"/>
              </w:rPr>
              <w:t>3.7</w:t>
            </w:r>
          </w:p>
        </w:tc>
      </w:tr>
      <w:tr w14:paraId="205B3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79615237">
            <w:pPr>
              <w:pStyle w:val="445"/>
              <w:rPr>
                <w:rFonts w:cs="Times New Roman"/>
                <w:kern w:val="0"/>
                <w:szCs w:val="20"/>
              </w:rPr>
            </w:pPr>
            <w:r>
              <w:rPr>
                <w:rFonts w:cs="Times New Roman"/>
                <w:kern w:val="0"/>
                <w:szCs w:val="20"/>
              </w:rPr>
              <w:t>3</w:t>
            </w:r>
          </w:p>
        </w:tc>
        <w:tc>
          <w:tcPr>
            <w:tcW w:w="273" w:type="pct"/>
            <w:tcBorders>
              <w:top w:val="single" w:color="auto" w:sz="4" w:space="0"/>
              <w:left w:val="single" w:color="auto" w:sz="4" w:space="0"/>
              <w:bottom w:val="single" w:color="auto" w:sz="4" w:space="0"/>
              <w:right w:val="single" w:color="auto" w:sz="4" w:space="0"/>
            </w:tcBorders>
            <w:vAlign w:val="center"/>
          </w:tcPr>
          <w:p w14:paraId="259BFF6B">
            <w:pPr>
              <w:pStyle w:val="445"/>
              <w:rPr>
                <w:rFonts w:cs="Times New Roman"/>
                <w:kern w:val="0"/>
                <w:szCs w:val="20"/>
              </w:rPr>
            </w:pPr>
            <w:r>
              <w:rPr>
                <w:rFonts w:cs="Times New Roman"/>
                <w:kern w:val="0"/>
                <w:szCs w:val="20"/>
              </w:rPr>
              <w:t>3.7</w:t>
            </w:r>
          </w:p>
        </w:tc>
        <w:tc>
          <w:tcPr>
            <w:tcW w:w="274" w:type="pct"/>
            <w:tcBorders>
              <w:top w:val="single" w:color="auto" w:sz="4" w:space="0"/>
              <w:left w:val="single" w:color="auto" w:sz="4" w:space="0"/>
              <w:bottom w:val="single" w:color="auto" w:sz="4" w:space="0"/>
              <w:right w:val="single" w:color="auto" w:sz="4" w:space="0"/>
            </w:tcBorders>
            <w:vAlign w:val="center"/>
          </w:tcPr>
          <w:p w14:paraId="6CA27406">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2F4A0750">
            <w:pPr>
              <w:pStyle w:val="445"/>
              <w:rPr>
                <w:rFonts w:cs="Times New Roman"/>
                <w:kern w:val="0"/>
                <w:szCs w:val="20"/>
              </w:rPr>
            </w:pPr>
            <w:r>
              <w:rPr>
                <w:rFonts w:cs="Times New Roman"/>
                <w:kern w:val="0"/>
                <w:szCs w:val="20"/>
              </w:rPr>
              <w:t>10.1</w:t>
            </w:r>
          </w:p>
        </w:tc>
        <w:tc>
          <w:tcPr>
            <w:tcW w:w="274" w:type="pct"/>
            <w:tcBorders>
              <w:top w:val="single" w:color="auto" w:sz="4" w:space="0"/>
              <w:left w:val="single" w:color="auto" w:sz="4" w:space="0"/>
              <w:bottom w:val="single" w:color="auto" w:sz="4" w:space="0"/>
              <w:right w:val="single" w:color="auto" w:sz="4" w:space="0"/>
            </w:tcBorders>
            <w:vAlign w:val="center"/>
          </w:tcPr>
          <w:p w14:paraId="460748BA">
            <w:pPr>
              <w:pStyle w:val="445"/>
              <w:rPr>
                <w:rFonts w:cs="Times New Roman"/>
                <w:kern w:val="0"/>
                <w:szCs w:val="20"/>
              </w:rPr>
            </w:pPr>
            <w:r>
              <w:rPr>
                <w:rFonts w:cs="Times New Roman"/>
                <w:kern w:val="0"/>
                <w:szCs w:val="20"/>
              </w:rPr>
              <w:t>12.1</w:t>
            </w:r>
          </w:p>
        </w:tc>
        <w:tc>
          <w:tcPr>
            <w:tcW w:w="273" w:type="pct"/>
            <w:tcBorders>
              <w:top w:val="single" w:color="auto" w:sz="4" w:space="0"/>
              <w:left w:val="single" w:color="auto" w:sz="4" w:space="0"/>
              <w:bottom w:val="single" w:color="auto" w:sz="4" w:space="0"/>
              <w:right w:val="single" w:color="auto" w:sz="4" w:space="0"/>
            </w:tcBorders>
            <w:vAlign w:val="center"/>
          </w:tcPr>
          <w:p w14:paraId="207DD80C">
            <w:pPr>
              <w:pStyle w:val="445"/>
              <w:rPr>
                <w:rFonts w:cs="Times New Roman"/>
                <w:kern w:val="0"/>
                <w:szCs w:val="20"/>
              </w:rPr>
            </w:pPr>
            <w:r>
              <w:rPr>
                <w:rFonts w:cs="Times New Roman"/>
                <w:kern w:val="0"/>
                <w:szCs w:val="20"/>
              </w:rPr>
              <w:t>12.8</w:t>
            </w:r>
          </w:p>
        </w:tc>
        <w:tc>
          <w:tcPr>
            <w:tcW w:w="273" w:type="pct"/>
            <w:tcBorders>
              <w:top w:val="single" w:color="auto" w:sz="4" w:space="0"/>
              <w:left w:val="single" w:color="auto" w:sz="4" w:space="0"/>
              <w:bottom w:val="single" w:color="auto" w:sz="4" w:space="0"/>
              <w:right w:val="single" w:color="auto" w:sz="4" w:space="0"/>
            </w:tcBorders>
            <w:vAlign w:val="center"/>
          </w:tcPr>
          <w:p w14:paraId="16D5FAFC">
            <w:pPr>
              <w:pStyle w:val="445"/>
              <w:rPr>
                <w:rFonts w:cs="Times New Roman"/>
                <w:kern w:val="0"/>
                <w:szCs w:val="20"/>
              </w:rPr>
            </w:pPr>
            <w:r>
              <w:rPr>
                <w:rFonts w:cs="Times New Roman"/>
                <w:kern w:val="0"/>
                <w:szCs w:val="20"/>
              </w:rPr>
              <w:t>6.5</w:t>
            </w:r>
          </w:p>
        </w:tc>
        <w:tc>
          <w:tcPr>
            <w:tcW w:w="273" w:type="pct"/>
            <w:tcBorders>
              <w:top w:val="single" w:color="auto" w:sz="4" w:space="0"/>
              <w:left w:val="single" w:color="auto" w:sz="4" w:space="0"/>
              <w:bottom w:val="single" w:color="auto" w:sz="4" w:space="0"/>
              <w:right w:val="single" w:color="auto" w:sz="4" w:space="0"/>
            </w:tcBorders>
            <w:vAlign w:val="center"/>
          </w:tcPr>
          <w:p w14:paraId="2A0A58FC">
            <w:pPr>
              <w:pStyle w:val="445"/>
              <w:rPr>
                <w:rFonts w:cs="Times New Roman"/>
                <w:kern w:val="0"/>
                <w:szCs w:val="20"/>
              </w:rPr>
            </w:pPr>
            <w:r>
              <w:rPr>
                <w:rFonts w:cs="Times New Roman"/>
                <w:kern w:val="0"/>
                <w:szCs w:val="20"/>
              </w:rPr>
              <w:t>7.4</w:t>
            </w:r>
          </w:p>
        </w:tc>
        <w:tc>
          <w:tcPr>
            <w:tcW w:w="273" w:type="pct"/>
            <w:tcBorders>
              <w:top w:val="single" w:color="auto" w:sz="4" w:space="0"/>
              <w:left w:val="single" w:color="auto" w:sz="4" w:space="0"/>
              <w:bottom w:val="single" w:color="auto" w:sz="4" w:space="0"/>
              <w:right w:val="single" w:color="auto" w:sz="4" w:space="0"/>
            </w:tcBorders>
            <w:vAlign w:val="center"/>
          </w:tcPr>
          <w:p w14:paraId="6A04814E">
            <w:pPr>
              <w:pStyle w:val="445"/>
              <w:rPr>
                <w:rFonts w:cs="Times New Roman"/>
                <w:kern w:val="0"/>
                <w:szCs w:val="20"/>
              </w:rPr>
            </w:pPr>
            <w:r>
              <w:rPr>
                <w:rFonts w:cs="Times New Roman"/>
                <w:kern w:val="0"/>
                <w:szCs w:val="20"/>
              </w:rPr>
              <w:t>5.3</w:t>
            </w:r>
          </w:p>
        </w:tc>
        <w:tc>
          <w:tcPr>
            <w:tcW w:w="273" w:type="pct"/>
            <w:tcBorders>
              <w:top w:val="single" w:color="auto" w:sz="4" w:space="0"/>
              <w:left w:val="single" w:color="auto" w:sz="4" w:space="0"/>
              <w:bottom w:val="single" w:color="auto" w:sz="4" w:space="0"/>
              <w:right w:val="single" w:color="auto" w:sz="4" w:space="0"/>
            </w:tcBorders>
            <w:vAlign w:val="center"/>
          </w:tcPr>
          <w:p w14:paraId="49E16B4C">
            <w:pPr>
              <w:pStyle w:val="445"/>
              <w:rPr>
                <w:rFonts w:cs="Times New Roman"/>
                <w:kern w:val="0"/>
                <w:szCs w:val="20"/>
              </w:rPr>
            </w:pPr>
            <w:r>
              <w:rPr>
                <w:rFonts w:cs="Times New Roman"/>
                <w:kern w:val="0"/>
                <w:szCs w:val="20"/>
              </w:rPr>
              <w:t>6.5</w:t>
            </w:r>
          </w:p>
        </w:tc>
        <w:tc>
          <w:tcPr>
            <w:tcW w:w="273" w:type="pct"/>
            <w:tcBorders>
              <w:top w:val="single" w:color="auto" w:sz="4" w:space="0"/>
              <w:left w:val="single" w:color="auto" w:sz="4" w:space="0"/>
              <w:bottom w:val="single" w:color="auto" w:sz="4" w:space="0"/>
              <w:right w:val="single" w:color="auto" w:sz="4" w:space="0"/>
            </w:tcBorders>
            <w:vAlign w:val="center"/>
          </w:tcPr>
          <w:p w14:paraId="67DE13E8">
            <w:pPr>
              <w:pStyle w:val="445"/>
              <w:rPr>
                <w:rFonts w:cs="Times New Roman"/>
                <w:kern w:val="0"/>
                <w:szCs w:val="20"/>
              </w:rPr>
            </w:pPr>
            <w:r>
              <w:rPr>
                <w:rFonts w:cs="Times New Roman"/>
                <w:kern w:val="0"/>
                <w:szCs w:val="20"/>
              </w:rPr>
              <w:t>7.1</w:t>
            </w:r>
          </w:p>
        </w:tc>
        <w:tc>
          <w:tcPr>
            <w:tcW w:w="273" w:type="pct"/>
            <w:tcBorders>
              <w:top w:val="single" w:color="auto" w:sz="4" w:space="0"/>
              <w:left w:val="single" w:color="auto" w:sz="4" w:space="0"/>
              <w:bottom w:val="single" w:color="auto" w:sz="4" w:space="0"/>
              <w:right w:val="single" w:color="auto" w:sz="4" w:space="0"/>
            </w:tcBorders>
            <w:vAlign w:val="center"/>
          </w:tcPr>
          <w:p w14:paraId="4DAE8831">
            <w:pPr>
              <w:pStyle w:val="445"/>
              <w:rPr>
                <w:rFonts w:cs="Times New Roman"/>
                <w:kern w:val="0"/>
                <w:szCs w:val="20"/>
              </w:rPr>
            </w:pPr>
            <w:r>
              <w:rPr>
                <w:rFonts w:cs="Times New Roman"/>
                <w:kern w:val="0"/>
                <w:szCs w:val="20"/>
              </w:rPr>
              <w:t>5.1</w:t>
            </w:r>
          </w:p>
        </w:tc>
        <w:tc>
          <w:tcPr>
            <w:tcW w:w="273" w:type="pct"/>
            <w:tcBorders>
              <w:top w:val="single" w:color="auto" w:sz="4" w:space="0"/>
              <w:left w:val="single" w:color="auto" w:sz="4" w:space="0"/>
              <w:bottom w:val="single" w:color="auto" w:sz="4" w:space="0"/>
              <w:right w:val="single" w:color="auto" w:sz="4" w:space="0"/>
            </w:tcBorders>
            <w:vAlign w:val="center"/>
          </w:tcPr>
          <w:p w14:paraId="3BABA2A2">
            <w:pPr>
              <w:pStyle w:val="445"/>
              <w:rPr>
                <w:rFonts w:cs="Times New Roman"/>
                <w:kern w:val="0"/>
                <w:szCs w:val="20"/>
              </w:rPr>
            </w:pPr>
            <w:r>
              <w:rPr>
                <w:rFonts w:cs="Times New Roman"/>
                <w:kern w:val="0"/>
                <w:szCs w:val="20"/>
              </w:rPr>
              <w:t>4.6</w:t>
            </w:r>
          </w:p>
        </w:tc>
        <w:tc>
          <w:tcPr>
            <w:tcW w:w="273" w:type="pct"/>
            <w:tcBorders>
              <w:top w:val="single" w:color="auto" w:sz="4" w:space="0"/>
              <w:left w:val="single" w:color="auto" w:sz="4" w:space="0"/>
              <w:bottom w:val="single" w:color="auto" w:sz="4" w:space="0"/>
              <w:right w:val="single" w:color="auto" w:sz="4" w:space="0"/>
            </w:tcBorders>
            <w:vAlign w:val="center"/>
          </w:tcPr>
          <w:p w14:paraId="428AEABB">
            <w:pPr>
              <w:pStyle w:val="445"/>
              <w:rPr>
                <w:rFonts w:cs="Times New Roman"/>
                <w:kern w:val="0"/>
                <w:szCs w:val="20"/>
              </w:rPr>
            </w:pPr>
            <w:r>
              <w:rPr>
                <w:rFonts w:cs="Times New Roman"/>
                <w:kern w:val="0"/>
                <w:szCs w:val="20"/>
              </w:rPr>
              <w:t>4</w:t>
            </w:r>
          </w:p>
        </w:tc>
        <w:tc>
          <w:tcPr>
            <w:tcW w:w="273" w:type="pct"/>
            <w:tcBorders>
              <w:top w:val="single" w:color="auto" w:sz="4" w:space="0"/>
              <w:left w:val="single" w:color="auto" w:sz="4" w:space="0"/>
              <w:bottom w:val="single" w:color="auto" w:sz="4" w:space="0"/>
              <w:right w:val="single" w:color="auto" w:sz="4" w:space="0"/>
            </w:tcBorders>
            <w:vAlign w:val="center"/>
          </w:tcPr>
          <w:p w14:paraId="665BE584">
            <w:pPr>
              <w:pStyle w:val="445"/>
              <w:rPr>
                <w:rFonts w:cs="Times New Roman"/>
                <w:kern w:val="0"/>
                <w:szCs w:val="20"/>
              </w:rPr>
            </w:pPr>
            <w:r>
              <w:rPr>
                <w:rFonts w:cs="Times New Roman"/>
                <w:kern w:val="0"/>
                <w:szCs w:val="20"/>
              </w:rPr>
              <w:t>2.7</w:t>
            </w:r>
          </w:p>
        </w:tc>
        <w:tc>
          <w:tcPr>
            <w:tcW w:w="273" w:type="pct"/>
            <w:tcBorders>
              <w:top w:val="single" w:color="auto" w:sz="4" w:space="0"/>
              <w:left w:val="single" w:color="auto" w:sz="4" w:space="0"/>
              <w:bottom w:val="single" w:color="auto" w:sz="4" w:space="0"/>
              <w:right w:val="single" w:color="auto" w:sz="4" w:space="0"/>
            </w:tcBorders>
            <w:vAlign w:val="center"/>
          </w:tcPr>
          <w:p w14:paraId="6E80F422">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6422ADDE">
            <w:pPr>
              <w:pStyle w:val="445"/>
              <w:rPr>
                <w:rFonts w:cs="Times New Roman"/>
                <w:kern w:val="0"/>
                <w:szCs w:val="20"/>
              </w:rPr>
            </w:pPr>
            <w:r>
              <w:rPr>
                <w:rFonts w:cs="Times New Roman"/>
                <w:kern w:val="0"/>
                <w:szCs w:val="20"/>
              </w:rPr>
              <w:t>2.5</w:t>
            </w:r>
          </w:p>
        </w:tc>
        <w:tc>
          <w:tcPr>
            <w:tcW w:w="268" w:type="pct"/>
            <w:tcBorders>
              <w:top w:val="single" w:color="auto" w:sz="4" w:space="0"/>
              <w:left w:val="single" w:color="auto" w:sz="4" w:space="0"/>
              <w:bottom w:val="single" w:color="auto" w:sz="4" w:space="0"/>
              <w:right w:val="nil"/>
            </w:tcBorders>
            <w:vAlign w:val="center"/>
          </w:tcPr>
          <w:p w14:paraId="2174FEAF">
            <w:pPr>
              <w:pStyle w:val="445"/>
              <w:rPr>
                <w:rFonts w:cs="Times New Roman"/>
                <w:kern w:val="0"/>
                <w:szCs w:val="20"/>
              </w:rPr>
            </w:pPr>
            <w:r>
              <w:rPr>
                <w:rFonts w:cs="Times New Roman"/>
                <w:kern w:val="0"/>
                <w:szCs w:val="20"/>
              </w:rPr>
              <w:t>2.1</w:t>
            </w:r>
          </w:p>
        </w:tc>
      </w:tr>
      <w:tr w14:paraId="5E75B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670CDC85">
            <w:pPr>
              <w:pStyle w:val="445"/>
              <w:rPr>
                <w:rFonts w:cs="Times New Roman"/>
                <w:kern w:val="0"/>
                <w:szCs w:val="20"/>
              </w:rPr>
            </w:pPr>
            <w:r>
              <w:rPr>
                <w:rFonts w:cs="Times New Roman"/>
                <w:kern w:val="0"/>
                <w:szCs w:val="20"/>
              </w:rPr>
              <w:t>4</w:t>
            </w:r>
          </w:p>
        </w:tc>
        <w:tc>
          <w:tcPr>
            <w:tcW w:w="273" w:type="pct"/>
            <w:tcBorders>
              <w:top w:val="single" w:color="auto" w:sz="4" w:space="0"/>
              <w:left w:val="single" w:color="auto" w:sz="4" w:space="0"/>
              <w:bottom w:val="single" w:color="auto" w:sz="4" w:space="0"/>
              <w:right w:val="single" w:color="auto" w:sz="4" w:space="0"/>
            </w:tcBorders>
            <w:vAlign w:val="center"/>
          </w:tcPr>
          <w:p w14:paraId="7374CC81">
            <w:pPr>
              <w:pStyle w:val="445"/>
              <w:rPr>
                <w:rFonts w:cs="Times New Roman"/>
                <w:kern w:val="0"/>
                <w:szCs w:val="20"/>
              </w:rPr>
            </w:pPr>
            <w:r>
              <w:rPr>
                <w:rFonts w:cs="Times New Roman"/>
                <w:kern w:val="0"/>
                <w:szCs w:val="20"/>
              </w:rPr>
              <w:t>3.3</w:t>
            </w:r>
          </w:p>
        </w:tc>
        <w:tc>
          <w:tcPr>
            <w:tcW w:w="274" w:type="pct"/>
            <w:tcBorders>
              <w:top w:val="single" w:color="auto" w:sz="4" w:space="0"/>
              <w:left w:val="single" w:color="auto" w:sz="4" w:space="0"/>
              <w:bottom w:val="single" w:color="auto" w:sz="4" w:space="0"/>
              <w:right w:val="single" w:color="auto" w:sz="4" w:space="0"/>
            </w:tcBorders>
            <w:vAlign w:val="center"/>
          </w:tcPr>
          <w:p w14:paraId="62D66A2C">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4" w:space="0"/>
              <w:right w:val="single" w:color="auto" w:sz="4" w:space="0"/>
            </w:tcBorders>
            <w:vAlign w:val="center"/>
          </w:tcPr>
          <w:p w14:paraId="56B3F6D2">
            <w:pPr>
              <w:pStyle w:val="445"/>
              <w:rPr>
                <w:rFonts w:cs="Times New Roman"/>
                <w:kern w:val="0"/>
                <w:szCs w:val="20"/>
              </w:rPr>
            </w:pPr>
            <w:r>
              <w:rPr>
                <w:rFonts w:cs="Times New Roman"/>
                <w:kern w:val="0"/>
                <w:szCs w:val="20"/>
              </w:rPr>
              <w:t>7.7</w:t>
            </w:r>
          </w:p>
        </w:tc>
        <w:tc>
          <w:tcPr>
            <w:tcW w:w="274" w:type="pct"/>
            <w:tcBorders>
              <w:top w:val="single" w:color="auto" w:sz="4" w:space="0"/>
              <w:left w:val="single" w:color="auto" w:sz="4" w:space="0"/>
              <w:bottom w:val="single" w:color="auto" w:sz="4" w:space="0"/>
              <w:right w:val="single" w:color="auto" w:sz="4" w:space="0"/>
            </w:tcBorders>
            <w:vAlign w:val="center"/>
          </w:tcPr>
          <w:p w14:paraId="5110B227">
            <w:pPr>
              <w:pStyle w:val="445"/>
              <w:rPr>
                <w:rFonts w:cs="Times New Roman"/>
                <w:kern w:val="0"/>
                <w:szCs w:val="20"/>
              </w:rPr>
            </w:pPr>
            <w:r>
              <w:rPr>
                <w:rFonts w:cs="Times New Roman"/>
                <w:kern w:val="0"/>
                <w:szCs w:val="20"/>
              </w:rPr>
              <w:t>9.2</w:t>
            </w:r>
          </w:p>
        </w:tc>
        <w:tc>
          <w:tcPr>
            <w:tcW w:w="273" w:type="pct"/>
            <w:tcBorders>
              <w:top w:val="single" w:color="auto" w:sz="4" w:space="0"/>
              <w:left w:val="single" w:color="auto" w:sz="4" w:space="0"/>
              <w:bottom w:val="single" w:color="auto" w:sz="4" w:space="0"/>
              <w:right w:val="single" w:color="auto" w:sz="4" w:space="0"/>
            </w:tcBorders>
            <w:vAlign w:val="center"/>
          </w:tcPr>
          <w:p w14:paraId="088F502C">
            <w:pPr>
              <w:pStyle w:val="445"/>
              <w:rPr>
                <w:rFonts w:cs="Times New Roman"/>
                <w:kern w:val="0"/>
                <w:szCs w:val="20"/>
              </w:rPr>
            </w:pPr>
            <w:r>
              <w:rPr>
                <w:rFonts w:cs="Times New Roman"/>
                <w:kern w:val="0"/>
                <w:szCs w:val="20"/>
              </w:rPr>
              <w:t>11.3</w:t>
            </w:r>
          </w:p>
        </w:tc>
        <w:tc>
          <w:tcPr>
            <w:tcW w:w="273" w:type="pct"/>
            <w:tcBorders>
              <w:top w:val="single" w:color="auto" w:sz="4" w:space="0"/>
              <w:left w:val="single" w:color="auto" w:sz="4" w:space="0"/>
              <w:bottom w:val="single" w:color="auto" w:sz="4" w:space="0"/>
              <w:right w:val="single" w:color="auto" w:sz="4" w:space="0"/>
            </w:tcBorders>
            <w:vAlign w:val="center"/>
          </w:tcPr>
          <w:p w14:paraId="7D035ED4">
            <w:pPr>
              <w:pStyle w:val="445"/>
              <w:rPr>
                <w:rFonts w:cs="Times New Roman"/>
                <w:kern w:val="0"/>
                <w:szCs w:val="20"/>
              </w:rPr>
            </w:pPr>
            <w:r>
              <w:rPr>
                <w:rFonts w:cs="Times New Roman"/>
                <w:kern w:val="0"/>
                <w:szCs w:val="20"/>
              </w:rPr>
              <w:t>7.3</w:t>
            </w:r>
          </w:p>
        </w:tc>
        <w:tc>
          <w:tcPr>
            <w:tcW w:w="273" w:type="pct"/>
            <w:tcBorders>
              <w:top w:val="single" w:color="auto" w:sz="4" w:space="0"/>
              <w:left w:val="single" w:color="auto" w:sz="4" w:space="0"/>
              <w:bottom w:val="single" w:color="auto" w:sz="4" w:space="0"/>
              <w:right w:val="single" w:color="auto" w:sz="4" w:space="0"/>
            </w:tcBorders>
            <w:vAlign w:val="center"/>
          </w:tcPr>
          <w:p w14:paraId="0559E9B9">
            <w:pPr>
              <w:pStyle w:val="445"/>
              <w:rPr>
                <w:rFonts w:cs="Times New Roman"/>
                <w:kern w:val="0"/>
                <w:szCs w:val="20"/>
              </w:rPr>
            </w:pPr>
            <w:r>
              <w:rPr>
                <w:rFonts w:cs="Times New Roman"/>
                <w:kern w:val="0"/>
                <w:szCs w:val="20"/>
              </w:rPr>
              <w:t>7.9</w:t>
            </w:r>
          </w:p>
        </w:tc>
        <w:tc>
          <w:tcPr>
            <w:tcW w:w="273" w:type="pct"/>
            <w:tcBorders>
              <w:top w:val="single" w:color="auto" w:sz="4" w:space="0"/>
              <w:left w:val="single" w:color="auto" w:sz="4" w:space="0"/>
              <w:bottom w:val="single" w:color="auto" w:sz="4" w:space="0"/>
              <w:right w:val="single" w:color="auto" w:sz="4" w:space="0"/>
            </w:tcBorders>
            <w:vAlign w:val="center"/>
          </w:tcPr>
          <w:p w14:paraId="656817AD">
            <w:pPr>
              <w:pStyle w:val="445"/>
              <w:rPr>
                <w:rFonts w:cs="Times New Roman"/>
                <w:kern w:val="0"/>
                <w:szCs w:val="20"/>
              </w:rPr>
            </w:pPr>
            <w:r>
              <w:rPr>
                <w:rFonts w:cs="Times New Roman"/>
                <w:kern w:val="0"/>
                <w:szCs w:val="20"/>
              </w:rPr>
              <w:t>6.7</w:t>
            </w:r>
          </w:p>
        </w:tc>
        <w:tc>
          <w:tcPr>
            <w:tcW w:w="273" w:type="pct"/>
            <w:tcBorders>
              <w:top w:val="single" w:color="auto" w:sz="4" w:space="0"/>
              <w:left w:val="single" w:color="auto" w:sz="4" w:space="0"/>
              <w:bottom w:val="single" w:color="auto" w:sz="4" w:space="0"/>
              <w:right w:val="single" w:color="auto" w:sz="4" w:space="0"/>
            </w:tcBorders>
            <w:vAlign w:val="center"/>
          </w:tcPr>
          <w:p w14:paraId="65612DE6">
            <w:pPr>
              <w:pStyle w:val="445"/>
              <w:rPr>
                <w:rFonts w:cs="Times New Roman"/>
                <w:kern w:val="0"/>
                <w:szCs w:val="20"/>
              </w:rPr>
            </w:pPr>
            <w:r>
              <w:rPr>
                <w:rFonts w:cs="Times New Roman"/>
                <w:kern w:val="0"/>
                <w:szCs w:val="20"/>
              </w:rPr>
              <w:t>7.4</w:t>
            </w:r>
          </w:p>
        </w:tc>
        <w:tc>
          <w:tcPr>
            <w:tcW w:w="273" w:type="pct"/>
            <w:tcBorders>
              <w:top w:val="single" w:color="auto" w:sz="4" w:space="0"/>
              <w:left w:val="single" w:color="auto" w:sz="4" w:space="0"/>
              <w:bottom w:val="single" w:color="auto" w:sz="4" w:space="0"/>
              <w:right w:val="single" w:color="auto" w:sz="4" w:space="0"/>
            </w:tcBorders>
            <w:vAlign w:val="center"/>
          </w:tcPr>
          <w:p w14:paraId="5C2AB987">
            <w:pPr>
              <w:pStyle w:val="445"/>
              <w:rPr>
                <w:rFonts w:cs="Times New Roman"/>
                <w:kern w:val="0"/>
                <w:szCs w:val="20"/>
              </w:rPr>
            </w:pPr>
            <w:r>
              <w:rPr>
                <w:rFonts w:cs="Times New Roman"/>
                <w:kern w:val="0"/>
                <w:szCs w:val="20"/>
              </w:rPr>
              <w:t>7.4</w:t>
            </w:r>
          </w:p>
        </w:tc>
        <w:tc>
          <w:tcPr>
            <w:tcW w:w="273" w:type="pct"/>
            <w:tcBorders>
              <w:top w:val="single" w:color="auto" w:sz="4" w:space="0"/>
              <w:left w:val="single" w:color="auto" w:sz="4" w:space="0"/>
              <w:bottom w:val="single" w:color="auto" w:sz="4" w:space="0"/>
              <w:right w:val="single" w:color="auto" w:sz="4" w:space="0"/>
            </w:tcBorders>
            <w:vAlign w:val="center"/>
          </w:tcPr>
          <w:p w14:paraId="6E1C5C3D">
            <w:pPr>
              <w:pStyle w:val="445"/>
              <w:rPr>
                <w:rFonts w:cs="Times New Roman"/>
                <w:kern w:val="0"/>
                <w:szCs w:val="20"/>
              </w:rPr>
            </w:pPr>
            <w:r>
              <w:rPr>
                <w:rFonts w:cs="Times New Roman"/>
                <w:kern w:val="0"/>
                <w:szCs w:val="20"/>
              </w:rPr>
              <w:t>6.4</w:t>
            </w:r>
          </w:p>
        </w:tc>
        <w:tc>
          <w:tcPr>
            <w:tcW w:w="273" w:type="pct"/>
            <w:tcBorders>
              <w:top w:val="single" w:color="auto" w:sz="4" w:space="0"/>
              <w:left w:val="single" w:color="auto" w:sz="4" w:space="0"/>
              <w:bottom w:val="single" w:color="auto" w:sz="4" w:space="0"/>
              <w:right w:val="single" w:color="auto" w:sz="4" w:space="0"/>
            </w:tcBorders>
            <w:vAlign w:val="center"/>
          </w:tcPr>
          <w:p w14:paraId="510B7516">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4" w:space="0"/>
              <w:right w:val="single" w:color="auto" w:sz="4" w:space="0"/>
            </w:tcBorders>
            <w:vAlign w:val="center"/>
          </w:tcPr>
          <w:p w14:paraId="3F97C09B">
            <w:pPr>
              <w:pStyle w:val="445"/>
              <w:rPr>
                <w:rFonts w:cs="Times New Roman"/>
                <w:kern w:val="0"/>
                <w:szCs w:val="20"/>
              </w:rPr>
            </w:pPr>
            <w:r>
              <w:rPr>
                <w:rFonts w:cs="Times New Roman"/>
                <w:kern w:val="0"/>
                <w:szCs w:val="20"/>
              </w:rPr>
              <w:t>4.3</w:t>
            </w:r>
          </w:p>
        </w:tc>
        <w:tc>
          <w:tcPr>
            <w:tcW w:w="273" w:type="pct"/>
            <w:tcBorders>
              <w:top w:val="single" w:color="auto" w:sz="4" w:space="0"/>
              <w:left w:val="single" w:color="auto" w:sz="4" w:space="0"/>
              <w:bottom w:val="single" w:color="auto" w:sz="4" w:space="0"/>
              <w:right w:val="single" w:color="auto" w:sz="4" w:space="0"/>
            </w:tcBorders>
            <w:vAlign w:val="center"/>
          </w:tcPr>
          <w:p w14:paraId="3BC4DE90">
            <w:pPr>
              <w:pStyle w:val="445"/>
              <w:rPr>
                <w:rFonts w:cs="Times New Roman"/>
                <w:kern w:val="0"/>
                <w:szCs w:val="20"/>
              </w:rPr>
            </w:pPr>
            <w:r>
              <w:rPr>
                <w:rFonts w:cs="Times New Roman"/>
                <w:kern w:val="0"/>
                <w:szCs w:val="20"/>
              </w:rPr>
              <w:t>3.3</w:t>
            </w:r>
          </w:p>
        </w:tc>
        <w:tc>
          <w:tcPr>
            <w:tcW w:w="273" w:type="pct"/>
            <w:tcBorders>
              <w:top w:val="single" w:color="auto" w:sz="4" w:space="0"/>
              <w:left w:val="single" w:color="auto" w:sz="4" w:space="0"/>
              <w:bottom w:val="single" w:color="auto" w:sz="4" w:space="0"/>
              <w:right w:val="single" w:color="auto" w:sz="4" w:space="0"/>
            </w:tcBorders>
            <w:vAlign w:val="center"/>
          </w:tcPr>
          <w:p w14:paraId="0A9B1581">
            <w:pPr>
              <w:pStyle w:val="445"/>
              <w:rPr>
                <w:rFonts w:cs="Times New Roman"/>
                <w:kern w:val="0"/>
                <w:szCs w:val="20"/>
              </w:rPr>
            </w:pPr>
            <w:r>
              <w:rPr>
                <w:rFonts w:cs="Times New Roman"/>
                <w:kern w:val="0"/>
                <w:szCs w:val="20"/>
              </w:rPr>
              <w:t>3.9</w:t>
            </w:r>
          </w:p>
        </w:tc>
        <w:tc>
          <w:tcPr>
            <w:tcW w:w="273" w:type="pct"/>
            <w:tcBorders>
              <w:top w:val="single" w:color="auto" w:sz="4" w:space="0"/>
              <w:left w:val="single" w:color="auto" w:sz="4" w:space="0"/>
              <w:bottom w:val="single" w:color="auto" w:sz="4" w:space="0"/>
              <w:right w:val="single" w:color="auto" w:sz="4" w:space="0"/>
            </w:tcBorders>
            <w:vAlign w:val="center"/>
          </w:tcPr>
          <w:p w14:paraId="7A94AB82">
            <w:pPr>
              <w:pStyle w:val="445"/>
              <w:rPr>
                <w:rFonts w:cs="Times New Roman"/>
                <w:kern w:val="0"/>
                <w:szCs w:val="20"/>
              </w:rPr>
            </w:pPr>
            <w:r>
              <w:rPr>
                <w:rFonts w:cs="Times New Roman"/>
                <w:kern w:val="0"/>
                <w:szCs w:val="20"/>
              </w:rPr>
              <w:t>2.6</w:t>
            </w:r>
          </w:p>
        </w:tc>
        <w:tc>
          <w:tcPr>
            <w:tcW w:w="268" w:type="pct"/>
            <w:tcBorders>
              <w:top w:val="single" w:color="auto" w:sz="4" w:space="0"/>
              <w:left w:val="single" w:color="auto" w:sz="4" w:space="0"/>
              <w:bottom w:val="single" w:color="auto" w:sz="4" w:space="0"/>
              <w:right w:val="nil"/>
            </w:tcBorders>
            <w:vAlign w:val="center"/>
          </w:tcPr>
          <w:p w14:paraId="34849C87">
            <w:pPr>
              <w:pStyle w:val="445"/>
              <w:rPr>
                <w:rFonts w:cs="Times New Roman"/>
                <w:kern w:val="0"/>
                <w:szCs w:val="20"/>
              </w:rPr>
            </w:pPr>
            <w:r>
              <w:rPr>
                <w:rFonts w:cs="Times New Roman"/>
                <w:kern w:val="0"/>
                <w:szCs w:val="20"/>
              </w:rPr>
              <w:t>2.5</w:t>
            </w:r>
          </w:p>
        </w:tc>
      </w:tr>
      <w:tr w14:paraId="0DF5F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65BD780C">
            <w:pPr>
              <w:pStyle w:val="445"/>
              <w:rPr>
                <w:rFonts w:cs="Times New Roman"/>
                <w:kern w:val="0"/>
                <w:szCs w:val="20"/>
              </w:rPr>
            </w:pPr>
            <w:r>
              <w:rPr>
                <w:rFonts w:cs="Times New Roman"/>
                <w:kern w:val="0"/>
                <w:szCs w:val="20"/>
              </w:rPr>
              <w:t>5</w:t>
            </w:r>
          </w:p>
        </w:tc>
        <w:tc>
          <w:tcPr>
            <w:tcW w:w="273" w:type="pct"/>
            <w:tcBorders>
              <w:top w:val="single" w:color="auto" w:sz="4" w:space="0"/>
              <w:left w:val="single" w:color="auto" w:sz="4" w:space="0"/>
              <w:bottom w:val="single" w:color="auto" w:sz="4" w:space="0"/>
              <w:right w:val="single" w:color="auto" w:sz="4" w:space="0"/>
            </w:tcBorders>
            <w:vAlign w:val="center"/>
          </w:tcPr>
          <w:p w14:paraId="30B35F51">
            <w:pPr>
              <w:pStyle w:val="445"/>
              <w:rPr>
                <w:rFonts w:cs="Times New Roman"/>
                <w:kern w:val="0"/>
                <w:szCs w:val="20"/>
              </w:rPr>
            </w:pPr>
            <w:r>
              <w:rPr>
                <w:rFonts w:cs="Times New Roman"/>
                <w:kern w:val="0"/>
                <w:szCs w:val="20"/>
              </w:rPr>
              <w:t>3.2</w:t>
            </w:r>
          </w:p>
        </w:tc>
        <w:tc>
          <w:tcPr>
            <w:tcW w:w="274" w:type="pct"/>
            <w:tcBorders>
              <w:top w:val="single" w:color="auto" w:sz="4" w:space="0"/>
              <w:left w:val="single" w:color="auto" w:sz="4" w:space="0"/>
              <w:bottom w:val="single" w:color="auto" w:sz="4" w:space="0"/>
              <w:right w:val="single" w:color="auto" w:sz="4" w:space="0"/>
            </w:tcBorders>
            <w:vAlign w:val="center"/>
          </w:tcPr>
          <w:p w14:paraId="6C5C8309">
            <w:pPr>
              <w:pStyle w:val="445"/>
              <w:rPr>
                <w:rFonts w:cs="Times New Roman"/>
                <w:kern w:val="0"/>
                <w:szCs w:val="20"/>
              </w:rPr>
            </w:pPr>
            <w:r>
              <w:rPr>
                <w:rFonts w:cs="Times New Roman"/>
                <w:kern w:val="0"/>
                <w:szCs w:val="20"/>
              </w:rPr>
              <w:t>4</w:t>
            </w:r>
          </w:p>
        </w:tc>
        <w:tc>
          <w:tcPr>
            <w:tcW w:w="273" w:type="pct"/>
            <w:tcBorders>
              <w:top w:val="single" w:color="auto" w:sz="4" w:space="0"/>
              <w:left w:val="single" w:color="auto" w:sz="4" w:space="0"/>
              <w:bottom w:val="single" w:color="auto" w:sz="4" w:space="0"/>
              <w:right w:val="single" w:color="auto" w:sz="4" w:space="0"/>
            </w:tcBorders>
            <w:vAlign w:val="center"/>
          </w:tcPr>
          <w:p w14:paraId="341BDD97">
            <w:pPr>
              <w:pStyle w:val="445"/>
              <w:rPr>
                <w:rFonts w:cs="Times New Roman"/>
                <w:kern w:val="0"/>
                <w:szCs w:val="20"/>
              </w:rPr>
            </w:pPr>
            <w:r>
              <w:rPr>
                <w:rFonts w:cs="Times New Roman"/>
                <w:kern w:val="0"/>
                <w:szCs w:val="20"/>
              </w:rPr>
              <w:t>6.3</w:t>
            </w:r>
          </w:p>
        </w:tc>
        <w:tc>
          <w:tcPr>
            <w:tcW w:w="274" w:type="pct"/>
            <w:tcBorders>
              <w:top w:val="single" w:color="auto" w:sz="4" w:space="0"/>
              <w:left w:val="single" w:color="auto" w:sz="4" w:space="0"/>
              <w:bottom w:val="single" w:color="auto" w:sz="4" w:space="0"/>
              <w:right w:val="single" w:color="auto" w:sz="4" w:space="0"/>
            </w:tcBorders>
            <w:vAlign w:val="center"/>
          </w:tcPr>
          <w:p w14:paraId="2C10C44C">
            <w:pPr>
              <w:pStyle w:val="445"/>
              <w:rPr>
                <w:rFonts w:cs="Times New Roman"/>
                <w:kern w:val="0"/>
                <w:szCs w:val="20"/>
              </w:rPr>
            </w:pPr>
            <w:r>
              <w:rPr>
                <w:rFonts w:cs="Times New Roman"/>
                <w:kern w:val="0"/>
                <w:szCs w:val="20"/>
              </w:rPr>
              <w:t>10.5</w:t>
            </w:r>
          </w:p>
        </w:tc>
        <w:tc>
          <w:tcPr>
            <w:tcW w:w="273" w:type="pct"/>
            <w:tcBorders>
              <w:top w:val="single" w:color="auto" w:sz="4" w:space="0"/>
              <w:left w:val="single" w:color="auto" w:sz="4" w:space="0"/>
              <w:bottom w:val="single" w:color="auto" w:sz="4" w:space="0"/>
              <w:right w:val="single" w:color="auto" w:sz="4" w:space="0"/>
            </w:tcBorders>
            <w:vAlign w:val="center"/>
          </w:tcPr>
          <w:p w14:paraId="1A47544E">
            <w:pPr>
              <w:pStyle w:val="445"/>
              <w:rPr>
                <w:rFonts w:cs="Times New Roman"/>
                <w:kern w:val="0"/>
                <w:szCs w:val="20"/>
              </w:rPr>
            </w:pPr>
            <w:r>
              <w:rPr>
                <w:rFonts w:cs="Times New Roman"/>
                <w:kern w:val="0"/>
                <w:szCs w:val="20"/>
              </w:rPr>
              <w:t>12.7</w:t>
            </w:r>
          </w:p>
        </w:tc>
        <w:tc>
          <w:tcPr>
            <w:tcW w:w="273" w:type="pct"/>
            <w:tcBorders>
              <w:top w:val="single" w:color="auto" w:sz="4" w:space="0"/>
              <w:left w:val="single" w:color="auto" w:sz="4" w:space="0"/>
              <w:bottom w:val="single" w:color="auto" w:sz="4" w:space="0"/>
              <w:right w:val="single" w:color="auto" w:sz="4" w:space="0"/>
            </w:tcBorders>
            <w:vAlign w:val="center"/>
          </w:tcPr>
          <w:p w14:paraId="3D79ECC2">
            <w:pPr>
              <w:pStyle w:val="445"/>
              <w:rPr>
                <w:rFonts w:cs="Times New Roman"/>
                <w:kern w:val="0"/>
                <w:szCs w:val="20"/>
              </w:rPr>
            </w:pPr>
            <w:r>
              <w:rPr>
                <w:rFonts w:cs="Times New Roman"/>
                <w:kern w:val="0"/>
                <w:szCs w:val="20"/>
              </w:rPr>
              <w:t>7.9</w:t>
            </w:r>
          </w:p>
        </w:tc>
        <w:tc>
          <w:tcPr>
            <w:tcW w:w="273" w:type="pct"/>
            <w:tcBorders>
              <w:top w:val="single" w:color="auto" w:sz="4" w:space="0"/>
              <w:left w:val="single" w:color="auto" w:sz="4" w:space="0"/>
              <w:bottom w:val="single" w:color="auto" w:sz="4" w:space="0"/>
              <w:right w:val="single" w:color="auto" w:sz="4" w:space="0"/>
            </w:tcBorders>
            <w:vAlign w:val="center"/>
          </w:tcPr>
          <w:p w14:paraId="097C9FB4">
            <w:pPr>
              <w:pStyle w:val="445"/>
              <w:rPr>
                <w:rFonts w:cs="Times New Roman"/>
                <w:kern w:val="0"/>
                <w:szCs w:val="20"/>
              </w:rPr>
            </w:pPr>
            <w:r>
              <w:rPr>
                <w:rFonts w:cs="Times New Roman"/>
                <w:kern w:val="0"/>
                <w:szCs w:val="20"/>
              </w:rPr>
              <w:t>7.4</w:t>
            </w:r>
          </w:p>
        </w:tc>
        <w:tc>
          <w:tcPr>
            <w:tcW w:w="273" w:type="pct"/>
            <w:tcBorders>
              <w:top w:val="single" w:color="auto" w:sz="4" w:space="0"/>
              <w:left w:val="single" w:color="auto" w:sz="4" w:space="0"/>
              <w:bottom w:val="single" w:color="auto" w:sz="4" w:space="0"/>
              <w:right w:val="single" w:color="auto" w:sz="4" w:space="0"/>
            </w:tcBorders>
            <w:vAlign w:val="center"/>
          </w:tcPr>
          <w:p w14:paraId="0D076BF9">
            <w:pPr>
              <w:pStyle w:val="445"/>
              <w:rPr>
                <w:rFonts w:cs="Times New Roman"/>
                <w:kern w:val="0"/>
                <w:szCs w:val="20"/>
              </w:rPr>
            </w:pPr>
            <w:r>
              <w:rPr>
                <w:rFonts w:cs="Times New Roman"/>
                <w:kern w:val="0"/>
                <w:szCs w:val="20"/>
              </w:rPr>
              <w:t>6.2</w:t>
            </w:r>
          </w:p>
        </w:tc>
        <w:tc>
          <w:tcPr>
            <w:tcW w:w="273" w:type="pct"/>
            <w:tcBorders>
              <w:top w:val="single" w:color="auto" w:sz="4" w:space="0"/>
              <w:left w:val="single" w:color="auto" w:sz="4" w:space="0"/>
              <w:bottom w:val="single" w:color="auto" w:sz="4" w:space="0"/>
              <w:right w:val="single" w:color="auto" w:sz="4" w:space="0"/>
            </w:tcBorders>
            <w:vAlign w:val="center"/>
          </w:tcPr>
          <w:p w14:paraId="70C5F00B">
            <w:pPr>
              <w:pStyle w:val="445"/>
              <w:rPr>
                <w:rFonts w:cs="Times New Roman"/>
                <w:kern w:val="0"/>
                <w:szCs w:val="20"/>
              </w:rPr>
            </w:pPr>
            <w:r>
              <w:rPr>
                <w:rFonts w:cs="Times New Roman"/>
                <w:kern w:val="0"/>
                <w:szCs w:val="20"/>
              </w:rPr>
              <w:t>6.3</w:t>
            </w:r>
          </w:p>
        </w:tc>
        <w:tc>
          <w:tcPr>
            <w:tcW w:w="273" w:type="pct"/>
            <w:tcBorders>
              <w:top w:val="single" w:color="auto" w:sz="4" w:space="0"/>
              <w:left w:val="single" w:color="auto" w:sz="4" w:space="0"/>
              <w:bottom w:val="single" w:color="auto" w:sz="4" w:space="0"/>
              <w:right w:val="single" w:color="auto" w:sz="4" w:space="0"/>
            </w:tcBorders>
            <w:vAlign w:val="center"/>
          </w:tcPr>
          <w:p w14:paraId="7496C5DC">
            <w:pPr>
              <w:pStyle w:val="445"/>
              <w:rPr>
                <w:rFonts w:cs="Times New Roman"/>
                <w:kern w:val="0"/>
                <w:szCs w:val="20"/>
              </w:rPr>
            </w:pPr>
            <w:r>
              <w:rPr>
                <w:rFonts w:cs="Times New Roman"/>
                <w:kern w:val="0"/>
                <w:szCs w:val="20"/>
              </w:rPr>
              <w:t>6.7</w:t>
            </w:r>
          </w:p>
        </w:tc>
        <w:tc>
          <w:tcPr>
            <w:tcW w:w="273" w:type="pct"/>
            <w:tcBorders>
              <w:top w:val="single" w:color="auto" w:sz="4" w:space="0"/>
              <w:left w:val="single" w:color="auto" w:sz="4" w:space="0"/>
              <w:bottom w:val="single" w:color="auto" w:sz="4" w:space="0"/>
              <w:right w:val="single" w:color="auto" w:sz="4" w:space="0"/>
            </w:tcBorders>
            <w:vAlign w:val="center"/>
          </w:tcPr>
          <w:p w14:paraId="57319077">
            <w:pPr>
              <w:pStyle w:val="445"/>
              <w:rPr>
                <w:rFonts w:cs="Times New Roman"/>
                <w:kern w:val="0"/>
                <w:szCs w:val="20"/>
              </w:rPr>
            </w:pPr>
            <w:r>
              <w:rPr>
                <w:rFonts w:cs="Times New Roman"/>
                <w:kern w:val="0"/>
                <w:szCs w:val="20"/>
              </w:rPr>
              <w:t>6.7</w:t>
            </w:r>
          </w:p>
        </w:tc>
        <w:tc>
          <w:tcPr>
            <w:tcW w:w="273" w:type="pct"/>
            <w:tcBorders>
              <w:top w:val="single" w:color="auto" w:sz="4" w:space="0"/>
              <w:left w:val="single" w:color="auto" w:sz="4" w:space="0"/>
              <w:bottom w:val="single" w:color="auto" w:sz="4" w:space="0"/>
              <w:right w:val="single" w:color="auto" w:sz="4" w:space="0"/>
            </w:tcBorders>
            <w:vAlign w:val="center"/>
          </w:tcPr>
          <w:p w14:paraId="238015B3">
            <w:pPr>
              <w:pStyle w:val="445"/>
              <w:rPr>
                <w:rFonts w:cs="Times New Roman"/>
                <w:kern w:val="0"/>
                <w:szCs w:val="20"/>
              </w:rPr>
            </w:pPr>
            <w:r>
              <w:rPr>
                <w:rFonts w:cs="Times New Roman"/>
                <w:kern w:val="0"/>
                <w:szCs w:val="20"/>
              </w:rPr>
              <w:t>4.6</w:t>
            </w:r>
          </w:p>
        </w:tc>
        <w:tc>
          <w:tcPr>
            <w:tcW w:w="273" w:type="pct"/>
            <w:tcBorders>
              <w:top w:val="single" w:color="auto" w:sz="4" w:space="0"/>
              <w:left w:val="single" w:color="auto" w:sz="4" w:space="0"/>
              <w:bottom w:val="single" w:color="auto" w:sz="4" w:space="0"/>
              <w:right w:val="single" w:color="auto" w:sz="4" w:space="0"/>
            </w:tcBorders>
            <w:vAlign w:val="center"/>
          </w:tcPr>
          <w:p w14:paraId="03CD4029">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4" w:space="0"/>
              <w:right w:val="single" w:color="auto" w:sz="4" w:space="0"/>
            </w:tcBorders>
            <w:vAlign w:val="center"/>
          </w:tcPr>
          <w:p w14:paraId="742306FC">
            <w:pPr>
              <w:pStyle w:val="445"/>
              <w:rPr>
                <w:rFonts w:cs="Times New Roman"/>
                <w:kern w:val="0"/>
                <w:szCs w:val="20"/>
              </w:rPr>
            </w:pPr>
            <w:r>
              <w:rPr>
                <w:rFonts w:cs="Times New Roman"/>
                <w:kern w:val="0"/>
                <w:szCs w:val="20"/>
              </w:rPr>
              <w:t>3.2</w:t>
            </w:r>
          </w:p>
        </w:tc>
        <w:tc>
          <w:tcPr>
            <w:tcW w:w="273" w:type="pct"/>
            <w:tcBorders>
              <w:top w:val="single" w:color="auto" w:sz="4" w:space="0"/>
              <w:left w:val="single" w:color="auto" w:sz="4" w:space="0"/>
              <w:bottom w:val="single" w:color="auto" w:sz="4" w:space="0"/>
              <w:right w:val="single" w:color="auto" w:sz="4" w:space="0"/>
            </w:tcBorders>
            <w:vAlign w:val="center"/>
          </w:tcPr>
          <w:p w14:paraId="7ECFE42F">
            <w:pPr>
              <w:pStyle w:val="445"/>
              <w:rPr>
                <w:rFonts w:cs="Times New Roman"/>
                <w:kern w:val="0"/>
                <w:szCs w:val="20"/>
              </w:rPr>
            </w:pPr>
            <w:r>
              <w:rPr>
                <w:rFonts w:cs="Times New Roman"/>
                <w:kern w:val="0"/>
                <w:szCs w:val="20"/>
              </w:rPr>
              <w:t>3.7</w:t>
            </w:r>
          </w:p>
        </w:tc>
        <w:tc>
          <w:tcPr>
            <w:tcW w:w="273" w:type="pct"/>
            <w:tcBorders>
              <w:top w:val="single" w:color="auto" w:sz="4" w:space="0"/>
              <w:left w:val="single" w:color="auto" w:sz="4" w:space="0"/>
              <w:bottom w:val="single" w:color="auto" w:sz="4" w:space="0"/>
              <w:right w:val="single" w:color="auto" w:sz="4" w:space="0"/>
            </w:tcBorders>
            <w:vAlign w:val="center"/>
          </w:tcPr>
          <w:p w14:paraId="0871DBFC">
            <w:pPr>
              <w:pStyle w:val="445"/>
              <w:rPr>
                <w:rFonts w:cs="Times New Roman"/>
                <w:kern w:val="0"/>
                <w:szCs w:val="20"/>
              </w:rPr>
            </w:pPr>
            <w:r>
              <w:rPr>
                <w:rFonts w:cs="Times New Roman"/>
                <w:kern w:val="0"/>
                <w:szCs w:val="20"/>
              </w:rPr>
              <w:t>3.2</w:t>
            </w:r>
          </w:p>
        </w:tc>
        <w:tc>
          <w:tcPr>
            <w:tcW w:w="268" w:type="pct"/>
            <w:tcBorders>
              <w:top w:val="single" w:color="auto" w:sz="4" w:space="0"/>
              <w:left w:val="single" w:color="auto" w:sz="4" w:space="0"/>
              <w:bottom w:val="single" w:color="auto" w:sz="4" w:space="0"/>
              <w:right w:val="nil"/>
            </w:tcBorders>
            <w:vAlign w:val="center"/>
          </w:tcPr>
          <w:p w14:paraId="1310FE3C">
            <w:pPr>
              <w:pStyle w:val="445"/>
              <w:rPr>
                <w:rFonts w:cs="Times New Roman"/>
                <w:kern w:val="0"/>
                <w:szCs w:val="20"/>
              </w:rPr>
            </w:pPr>
            <w:r>
              <w:rPr>
                <w:rFonts w:cs="Times New Roman"/>
                <w:kern w:val="0"/>
                <w:szCs w:val="20"/>
              </w:rPr>
              <w:t>2.6</w:t>
            </w:r>
          </w:p>
        </w:tc>
      </w:tr>
      <w:tr w14:paraId="0C2A5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2F83B0F5">
            <w:pPr>
              <w:pStyle w:val="445"/>
              <w:rPr>
                <w:rFonts w:cs="Times New Roman"/>
                <w:kern w:val="0"/>
                <w:szCs w:val="20"/>
              </w:rPr>
            </w:pPr>
            <w:r>
              <w:rPr>
                <w:rFonts w:cs="Times New Roman"/>
                <w:kern w:val="0"/>
                <w:szCs w:val="20"/>
              </w:rPr>
              <w:t>6</w:t>
            </w:r>
          </w:p>
        </w:tc>
        <w:tc>
          <w:tcPr>
            <w:tcW w:w="273" w:type="pct"/>
            <w:tcBorders>
              <w:top w:val="single" w:color="auto" w:sz="4" w:space="0"/>
              <w:left w:val="single" w:color="auto" w:sz="4" w:space="0"/>
              <w:bottom w:val="single" w:color="auto" w:sz="4" w:space="0"/>
              <w:right w:val="single" w:color="auto" w:sz="4" w:space="0"/>
            </w:tcBorders>
            <w:vAlign w:val="center"/>
          </w:tcPr>
          <w:p w14:paraId="6A2874A1">
            <w:pPr>
              <w:pStyle w:val="445"/>
              <w:rPr>
                <w:rFonts w:cs="Times New Roman"/>
                <w:kern w:val="0"/>
                <w:szCs w:val="20"/>
              </w:rPr>
            </w:pPr>
            <w:r>
              <w:rPr>
                <w:rFonts w:cs="Times New Roman"/>
                <w:kern w:val="0"/>
                <w:szCs w:val="20"/>
              </w:rPr>
              <w:t>1.5</w:t>
            </w:r>
          </w:p>
        </w:tc>
        <w:tc>
          <w:tcPr>
            <w:tcW w:w="274" w:type="pct"/>
            <w:tcBorders>
              <w:top w:val="single" w:color="auto" w:sz="4" w:space="0"/>
              <w:left w:val="single" w:color="auto" w:sz="4" w:space="0"/>
              <w:bottom w:val="single" w:color="auto" w:sz="4" w:space="0"/>
              <w:right w:val="single" w:color="auto" w:sz="4" w:space="0"/>
            </w:tcBorders>
            <w:vAlign w:val="center"/>
          </w:tcPr>
          <w:p w14:paraId="2D0F2539">
            <w:pPr>
              <w:pStyle w:val="445"/>
              <w:rPr>
                <w:rFonts w:cs="Times New Roman"/>
                <w:kern w:val="0"/>
                <w:szCs w:val="20"/>
              </w:rPr>
            </w:pPr>
            <w:r>
              <w:rPr>
                <w:rFonts w:cs="Times New Roman"/>
                <w:kern w:val="0"/>
                <w:szCs w:val="20"/>
              </w:rPr>
              <w:t>3.1</w:t>
            </w:r>
          </w:p>
        </w:tc>
        <w:tc>
          <w:tcPr>
            <w:tcW w:w="273" w:type="pct"/>
            <w:tcBorders>
              <w:top w:val="single" w:color="auto" w:sz="4" w:space="0"/>
              <w:left w:val="single" w:color="auto" w:sz="4" w:space="0"/>
              <w:bottom w:val="single" w:color="auto" w:sz="4" w:space="0"/>
              <w:right w:val="single" w:color="auto" w:sz="4" w:space="0"/>
            </w:tcBorders>
            <w:vAlign w:val="center"/>
          </w:tcPr>
          <w:p w14:paraId="3913C24A">
            <w:pPr>
              <w:pStyle w:val="445"/>
              <w:rPr>
                <w:rFonts w:cs="Times New Roman"/>
                <w:kern w:val="0"/>
                <w:szCs w:val="20"/>
              </w:rPr>
            </w:pPr>
            <w:r>
              <w:rPr>
                <w:rFonts w:cs="Times New Roman"/>
                <w:kern w:val="0"/>
                <w:szCs w:val="20"/>
              </w:rPr>
              <w:t>4.8</w:t>
            </w:r>
          </w:p>
        </w:tc>
        <w:tc>
          <w:tcPr>
            <w:tcW w:w="274" w:type="pct"/>
            <w:tcBorders>
              <w:top w:val="single" w:color="auto" w:sz="4" w:space="0"/>
              <w:left w:val="single" w:color="auto" w:sz="4" w:space="0"/>
              <w:bottom w:val="single" w:color="auto" w:sz="4" w:space="0"/>
              <w:right w:val="single" w:color="auto" w:sz="4" w:space="0"/>
            </w:tcBorders>
            <w:vAlign w:val="center"/>
          </w:tcPr>
          <w:p w14:paraId="46116EC5">
            <w:pPr>
              <w:pStyle w:val="445"/>
              <w:rPr>
                <w:rFonts w:cs="Times New Roman"/>
                <w:kern w:val="0"/>
                <w:szCs w:val="20"/>
              </w:rPr>
            </w:pPr>
            <w:r>
              <w:rPr>
                <w:rFonts w:cs="Times New Roman"/>
                <w:kern w:val="0"/>
                <w:szCs w:val="20"/>
              </w:rPr>
              <w:t>9.3</w:t>
            </w:r>
          </w:p>
        </w:tc>
        <w:tc>
          <w:tcPr>
            <w:tcW w:w="273" w:type="pct"/>
            <w:tcBorders>
              <w:top w:val="single" w:color="auto" w:sz="4" w:space="0"/>
              <w:left w:val="single" w:color="auto" w:sz="4" w:space="0"/>
              <w:bottom w:val="single" w:color="auto" w:sz="4" w:space="0"/>
              <w:right w:val="single" w:color="auto" w:sz="4" w:space="0"/>
            </w:tcBorders>
            <w:vAlign w:val="center"/>
          </w:tcPr>
          <w:p w14:paraId="25D345E6">
            <w:pPr>
              <w:pStyle w:val="445"/>
              <w:rPr>
                <w:rFonts w:cs="Times New Roman"/>
                <w:kern w:val="0"/>
                <w:szCs w:val="20"/>
              </w:rPr>
            </w:pPr>
            <w:r>
              <w:rPr>
                <w:rFonts w:cs="Times New Roman"/>
                <w:kern w:val="0"/>
                <w:szCs w:val="20"/>
              </w:rPr>
              <w:t>13.8</w:t>
            </w:r>
          </w:p>
        </w:tc>
        <w:tc>
          <w:tcPr>
            <w:tcW w:w="273" w:type="pct"/>
            <w:tcBorders>
              <w:top w:val="single" w:color="auto" w:sz="4" w:space="0"/>
              <w:left w:val="single" w:color="auto" w:sz="4" w:space="0"/>
              <w:bottom w:val="single" w:color="auto" w:sz="4" w:space="0"/>
              <w:right w:val="single" w:color="auto" w:sz="4" w:space="0"/>
            </w:tcBorders>
            <w:vAlign w:val="center"/>
          </w:tcPr>
          <w:p w14:paraId="352D4339">
            <w:pPr>
              <w:pStyle w:val="445"/>
              <w:rPr>
                <w:rFonts w:cs="Times New Roman"/>
                <w:kern w:val="0"/>
                <w:szCs w:val="20"/>
              </w:rPr>
            </w:pPr>
            <w:r>
              <w:rPr>
                <w:rFonts w:cs="Times New Roman"/>
                <w:kern w:val="0"/>
                <w:szCs w:val="20"/>
              </w:rPr>
              <w:t>12.9</w:t>
            </w:r>
          </w:p>
        </w:tc>
        <w:tc>
          <w:tcPr>
            <w:tcW w:w="273" w:type="pct"/>
            <w:tcBorders>
              <w:top w:val="single" w:color="auto" w:sz="4" w:space="0"/>
              <w:left w:val="single" w:color="auto" w:sz="4" w:space="0"/>
              <w:bottom w:val="single" w:color="auto" w:sz="4" w:space="0"/>
              <w:right w:val="single" w:color="auto" w:sz="4" w:space="0"/>
            </w:tcBorders>
            <w:vAlign w:val="center"/>
          </w:tcPr>
          <w:p w14:paraId="2478C42A">
            <w:pPr>
              <w:pStyle w:val="445"/>
              <w:rPr>
                <w:rFonts w:cs="Times New Roman"/>
                <w:kern w:val="0"/>
                <w:szCs w:val="20"/>
              </w:rPr>
            </w:pPr>
            <w:r>
              <w:rPr>
                <w:rFonts w:cs="Times New Roman"/>
                <w:kern w:val="0"/>
                <w:szCs w:val="20"/>
              </w:rPr>
              <w:t>11.9</w:t>
            </w:r>
          </w:p>
        </w:tc>
        <w:tc>
          <w:tcPr>
            <w:tcW w:w="273" w:type="pct"/>
            <w:tcBorders>
              <w:top w:val="single" w:color="auto" w:sz="4" w:space="0"/>
              <w:left w:val="single" w:color="auto" w:sz="4" w:space="0"/>
              <w:bottom w:val="single" w:color="auto" w:sz="4" w:space="0"/>
              <w:right w:val="single" w:color="auto" w:sz="4" w:space="0"/>
            </w:tcBorders>
            <w:vAlign w:val="center"/>
          </w:tcPr>
          <w:p w14:paraId="480A4CA9">
            <w:pPr>
              <w:pStyle w:val="445"/>
              <w:rPr>
                <w:rFonts w:cs="Times New Roman"/>
                <w:kern w:val="0"/>
                <w:szCs w:val="20"/>
              </w:rPr>
            </w:pPr>
            <w:r>
              <w:rPr>
                <w:rFonts w:cs="Times New Roman"/>
                <w:kern w:val="0"/>
                <w:szCs w:val="20"/>
              </w:rPr>
              <w:t>9.7</w:t>
            </w:r>
          </w:p>
        </w:tc>
        <w:tc>
          <w:tcPr>
            <w:tcW w:w="273" w:type="pct"/>
            <w:tcBorders>
              <w:top w:val="single" w:color="auto" w:sz="4" w:space="0"/>
              <w:left w:val="single" w:color="auto" w:sz="4" w:space="0"/>
              <w:bottom w:val="single" w:color="auto" w:sz="4" w:space="0"/>
              <w:right w:val="single" w:color="auto" w:sz="4" w:space="0"/>
            </w:tcBorders>
            <w:vAlign w:val="center"/>
          </w:tcPr>
          <w:p w14:paraId="4E2BBB39">
            <w:pPr>
              <w:pStyle w:val="445"/>
              <w:rPr>
                <w:rFonts w:cs="Times New Roman"/>
                <w:kern w:val="0"/>
                <w:szCs w:val="20"/>
              </w:rPr>
            </w:pPr>
            <w:r>
              <w:rPr>
                <w:rFonts w:cs="Times New Roman"/>
                <w:kern w:val="0"/>
                <w:szCs w:val="20"/>
              </w:rPr>
              <w:t>6.9</w:t>
            </w:r>
          </w:p>
        </w:tc>
        <w:tc>
          <w:tcPr>
            <w:tcW w:w="273" w:type="pct"/>
            <w:tcBorders>
              <w:top w:val="single" w:color="auto" w:sz="4" w:space="0"/>
              <w:left w:val="single" w:color="auto" w:sz="4" w:space="0"/>
              <w:bottom w:val="single" w:color="auto" w:sz="4" w:space="0"/>
              <w:right w:val="single" w:color="auto" w:sz="4" w:space="0"/>
            </w:tcBorders>
            <w:vAlign w:val="center"/>
          </w:tcPr>
          <w:p w14:paraId="7EBA4CA6">
            <w:pPr>
              <w:pStyle w:val="445"/>
              <w:rPr>
                <w:rFonts w:cs="Times New Roman"/>
                <w:kern w:val="0"/>
                <w:szCs w:val="20"/>
              </w:rPr>
            </w:pPr>
            <w:r>
              <w:rPr>
                <w:rFonts w:cs="Times New Roman"/>
                <w:kern w:val="0"/>
                <w:szCs w:val="20"/>
              </w:rPr>
              <w:t>5.8</w:t>
            </w:r>
          </w:p>
        </w:tc>
        <w:tc>
          <w:tcPr>
            <w:tcW w:w="273" w:type="pct"/>
            <w:tcBorders>
              <w:top w:val="single" w:color="auto" w:sz="4" w:space="0"/>
              <w:left w:val="single" w:color="auto" w:sz="4" w:space="0"/>
              <w:bottom w:val="single" w:color="auto" w:sz="4" w:space="0"/>
              <w:right w:val="single" w:color="auto" w:sz="4" w:space="0"/>
            </w:tcBorders>
            <w:vAlign w:val="center"/>
          </w:tcPr>
          <w:p w14:paraId="4C1B7F6E">
            <w:pPr>
              <w:pStyle w:val="445"/>
              <w:rPr>
                <w:rFonts w:cs="Times New Roman"/>
                <w:kern w:val="0"/>
                <w:szCs w:val="20"/>
              </w:rPr>
            </w:pPr>
            <w:r>
              <w:rPr>
                <w:rFonts w:cs="Times New Roman"/>
                <w:kern w:val="0"/>
                <w:szCs w:val="20"/>
              </w:rPr>
              <w:t>5.3</w:t>
            </w:r>
          </w:p>
        </w:tc>
        <w:tc>
          <w:tcPr>
            <w:tcW w:w="273" w:type="pct"/>
            <w:tcBorders>
              <w:top w:val="single" w:color="auto" w:sz="4" w:space="0"/>
              <w:left w:val="single" w:color="auto" w:sz="4" w:space="0"/>
              <w:bottom w:val="single" w:color="auto" w:sz="4" w:space="0"/>
              <w:right w:val="single" w:color="auto" w:sz="4" w:space="0"/>
            </w:tcBorders>
            <w:vAlign w:val="center"/>
          </w:tcPr>
          <w:p w14:paraId="55F47401">
            <w:pPr>
              <w:pStyle w:val="445"/>
              <w:rPr>
                <w:rFonts w:cs="Times New Roman"/>
                <w:kern w:val="0"/>
                <w:szCs w:val="20"/>
              </w:rPr>
            </w:pPr>
            <w:r>
              <w:rPr>
                <w:rFonts w:cs="Times New Roman"/>
                <w:kern w:val="0"/>
                <w:szCs w:val="20"/>
              </w:rPr>
              <w:t>3.7</w:t>
            </w:r>
          </w:p>
        </w:tc>
        <w:tc>
          <w:tcPr>
            <w:tcW w:w="273" w:type="pct"/>
            <w:tcBorders>
              <w:top w:val="single" w:color="auto" w:sz="4" w:space="0"/>
              <w:left w:val="single" w:color="auto" w:sz="4" w:space="0"/>
              <w:bottom w:val="single" w:color="auto" w:sz="4" w:space="0"/>
              <w:right w:val="single" w:color="auto" w:sz="4" w:space="0"/>
            </w:tcBorders>
            <w:vAlign w:val="center"/>
          </w:tcPr>
          <w:p w14:paraId="1E132A6C">
            <w:pPr>
              <w:pStyle w:val="445"/>
              <w:rPr>
                <w:rFonts w:cs="Times New Roman"/>
                <w:kern w:val="0"/>
                <w:szCs w:val="20"/>
              </w:rPr>
            </w:pPr>
            <w:r>
              <w:rPr>
                <w:rFonts w:cs="Times New Roman"/>
                <w:kern w:val="0"/>
                <w:szCs w:val="20"/>
              </w:rPr>
              <w:t>3</w:t>
            </w:r>
          </w:p>
        </w:tc>
        <w:tc>
          <w:tcPr>
            <w:tcW w:w="273" w:type="pct"/>
            <w:tcBorders>
              <w:top w:val="single" w:color="auto" w:sz="4" w:space="0"/>
              <w:left w:val="single" w:color="auto" w:sz="4" w:space="0"/>
              <w:bottom w:val="single" w:color="auto" w:sz="4" w:space="0"/>
              <w:right w:val="single" w:color="auto" w:sz="4" w:space="0"/>
            </w:tcBorders>
            <w:vAlign w:val="center"/>
          </w:tcPr>
          <w:p w14:paraId="604F45D4">
            <w:pPr>
              <w:pStyle w:val="445"/>
              <w:rPr>
                <w:rFonts w:cs="Times New Roman"/>
                <w:kern w:val="0"/>
                <w:szCs w:val="20"/>
              </w:rPr>
            </w:pPr>
            <w:r>
              <w:rPr>
                <w:rFonts w:cs="Times New Roman"/>
                <w:kern w:val="0"/>
                <w:szCs w:val="20"/>
              </w:rPr>
              <w:t>2.6</w:t>
            </w:r>
          </w:p>
        </w:tc>
        <w:tc>
          <w:tcPr>
            <w:tcW w:w="273" w:type="pct"/>
            <w:tcBorders>
              <w:top w:val="single" w:color="auto" w:sz="4" w:space="0"/>
              <w:left w:val="single" w:color="auto" w:sz="4" w:space="0"/>
              <w:bottom w:val="single" w:color="auto" w:sz="4" w:space="0"/>
              <w:right w:val="single" w:color="auto" w:sz="4" w:space="0"/>
            </w:tcBorders>
            <w:vAlign w:val="center"/>
          </w:tcPr>
          <w:p w14:paraId="5C36B2A0">
            <w:pPr>
              <w:pStyle w:val="445"/>
              <w:rPr>
                <w:rFonts w:cs="Times New Roman"/>
                <w:kern w:val="0"/>
                <w:szCs w:val="20"/>
              </w:rPr>
            </w:pPr>
            <w:r>
              <w:rPr>
                <w:rFonts w:cs="Times New Roman"/>
                <w:kern w:val="0"/>
                <w:szCs w:val="20"/>
              </w:rPr>
              <w:t>1.8</w:t>
            </w:r>
          </w:p>
        </w:tc>
        <w:tc>
          <w:tcPr>
            <w:tcW w:w="273" w:type="pct"/>
            <w:tcBorders>
              <w:top w:val="single" w:color="auto" w:sz="4" w:space="0"/>
              <w:left w:val="single" w:color="auto" w:sz="4" w:space="0"/>
              <w:bottom w:val="single" w:color="auto" w:sz="4" w:space="0"/>
              <w:right w:val="single" w:color="auto" w:sz="4" w:space="0"/>
            </w:tcBorders>
            <w:vAlign w:val="center"/>
          </w:tcPr>
          <w:p w14:paraId="396F9172">
            <w:pPr>
              <w:pStyle w:val="445"/>
              <w:rPr>
                <w:rFonts w:cs="Times New Roman"/>
                <w:kern w:val="0"/>
                <w:szCs w:val="20"/>
              </w:rPr>
            </w:pPr>
            <w:r>
              <w:rPr>
                <w:rFonts w:cs="Times New Roman"/>
                <w:kern w:val="0"/>
                <w:szCs w:val="20"/>
              </w:rPr>
              <w:t>1.9</w:t>
            </w:r>
          </w:p>
        </w:tc>
        <w:tc>
          <w:tcPr>
            <w:tcW w:w="268" w:type="pct"/>
            <w:tcBorders>
              <w:top w:val="single" w:color="auto" w:sz="4" w:space="0"/>
              <w:left w:val="single" w:color="auto" w:sz="4" w:space="0"/>
              <w:bottom w:val="single" w:color="auto" w:sz="4" w:space="0"/>
              <w:right w:val="nil"/>
            </w:tcBorders>
            <w:vAlign w:val="center"/>
          </w:tcPr>
          <w:p w14:paraId="082B9CC8">
            <w:pPr>
              <w:pStyle w:val="445"/>
              <w:rPr>
                <w:rFonts w:cs="Times New Roman"/>
                <w:kern w:val="0"/>
                <w:szCs w:val="20"/>
              </w:rPr>
            </w:pPr>
            <w:r>
              <w:rPr>
                <w:rFonts w:cs="Times New Roman"/>
                <w:kern w:val="0"/>
                <w:szCs w:val="20"/>
              </w:rPr>
              <w:t>2.2</w:t>
            </w:r>
          </w:p>
        </w:tc>
      </w:tr>
      <w:tr w14:paraId="6E86D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4FDA1E25">
            <w:pPr>
              <w:pStyle w:val="445"/>
              <w:rPr>
                <w:rFonts w:cs="Times New Roman"/>
                <w:kern w:val="0"/>
                <w:szCs w:val="20"/>
              </w:rPr>
            </w:pPr>
            <w:r>
              <w:rPr>
                <w:rFonts w:cs="Times New Roman"/>
                <w:kern w:val="0"/>
                <w:szCs w:val="20"/>
              </w:rPr>
              <w:t>7</w:t>
            </w:r>
          </w:p>
        </w:tc>
        <w:tc>
          <w:tcPr>
            <w:tcW w:w="273" w:type="pct"/>
            <w:tcBorders>
              <w:top w:val="single" w:color="auto" w:sz="4" w:space="0"/>
              <w:left w:val="single" w:color="auto" w:sz="4" w:space="0"/>
              <w:bottom w:val="single" w:color="auto" w:sz="4" w:space="0"/>
              <w:right w:val="single" w:color="auto" w:sz="4" w:space="0"/>
            </w:tcBorders>
            <w:vAlign w:val="center"/>
          </w:tcPr>
          <w:p w14:paraId="7DC34249">
            <w:pPr>
              <w:pStyle w:val="445"/>
              <w:rPr>
                <w:rFonts w:cs="Times New Roman"/>
                <w:kern w:val="0"/>
                <w:szCs w:val="20"/>
              </w:rPr>
            </w:pPr>
            <w:r>
              <w:rPr>
                <w:rFonts w:cs="Times New Roman"/>
                <w:kern w:val="0"/>
                <w:szCs w:val="20"/>
              </w:rPr>
              <w:t>2.3</w:t>
            </w:r>
          </w:p>
        </w:tc>
        <w:tc>
          <w:tcPr>
            <w:tcW w:w="274" w:type="pct"/>
            <w:tcBorders>
              <w:top w:val="single" w:color="auto" w:sz="4" w:space="0"/>
              <w:left w:val="single" w:color="auto" w:sz="4" w:space="0"/>
              <w:bottom w:val="single" w:color="auto" w:sz="4" w:space="0"/>
              <w:right w:val="single" w:color="auto" w:sz="4" w:space="0"/>
            </w:tcBorders>
            <w:vAlign w:val="center"/>
          </w:tcPr>
          <w:p w14:paraId="46D2EA59">
            <w:pPr>
              <w:pStyle w:val="445"/>
              <w:rPr>
                <w:rFonts w:cs="Times New Roman"/>
                <w:kern w:val="0"/>
                <w:szCs w:val="20"/>
              </w:rPr>
            </w:pPr>
            <w:r>
              <w:rPr>
                <w:rFonts w:cs="Times New Roman"/>
                <w:kern w:val="0"/>
                <w:szCs w:val="20"/>
              </w:rPr>
              <w:t>2.5</w:t>
            </w:r>
          </w:p>
        </w:tc>
        <w:tc>
          <w:tcPr>
            <w:tcW w:w="273" w:type="pct"/>
            <w:tcBorders>
              <w:top w:val="single" w:color="auto" w:sz="4" w:space="0"/>
              <w:left w:val="single" w:color="auto" w:sz="4" w:space="0"/>
              <w:bottom w:val="single" w:color="auto" w:sz="4" w:space="0"/>
              <w:right w:val="single" w:color="auto" w:sz="4" w:space="0"/>
            </w:tcBorders>
            <w:vAlign w:val="center"/>
          </w:tcPr>
          <w:p w14:paraId="24752DAD">
            <w:pPr>
              <w:pStyle w:val="445"/>
              <w:rPr>
                <w:rFonts w:cs="Times New Roman"/>
                <w:kern w:val="0"/>
                <w:szCs w:val="20"/>
              </w:rPr>
            </w:pPr>
            <w:r>
              <w:rPr>
                <w:rFonts w:cs="Times New Roman"/>
                <w:kern w:val="0"/>
                <w:szCs w:val="20"/>
              </w:rPr>
              <w:t>6.1</w:t>
            </w:r>
          </w:p>
        </w:tc>
        <w:tc>
          <w:tcPr>
            <w:tcW w:w="274" w:type="pct"/>
            <w:tcBorders>
              <w:top w:val="single" w:color="auto" w:sz="4" w:space="0"/>
              <w:left w:val="single" w:color="auto" w:sz="4" w:space="0"/>
              <w:bottom w:val="single" w:color="auto" w:sz="4" w:space="0"/>
              <w:right w:val="single" w:color="auto" w:sz="4" w:space="0"/>
            </w:tcBorders>
            <w:vAlign w:val="center"/>
          </w:tcPr>
          <w:p w14:paraId="3E661B6B">
            <w:pPr>
              <w:pStyle w:val="445"/>
              <w:rPr>
                <w:rFonts w:cs="Times New Roman"/>
                <w:kern w:val="0"/>
                <w:szCs w:val="20"/>
              </w:rPr>
            </w:pPr>
            <w:r>
              <w:rPr>
                <w:rFonts w:cs="Times New Roman"/>
                <w:kern w:val="0"/>
                <w:szCs w:val="20"/>
              </w:rPr>
              <w:t>9</w:t>
            </w:r>
          </w:p>
        </w:tc>
        <w:tc>
          <w:tcPr>
            <w:tcW w:w="273" w:type="pct"/>
            <w:tcBorders>
              <w:top w:val="single" w:color="auto" w:sz="4" w:space="0"/>
              <w:left w:val="single" w:color="auto" w:sz="4" w:space="0"/>
              <w:bottom w:val="single" w:color="auto" w:sz="4" w:space="0"/>
              <w:right w:val="single" w:color="auto" w:sz="4" w:space="0"/>
            </w:tcBorders>
            <w:vAlign w:val="center"/>
          </w:tcPr>
          <w:p w14:paraId="6E369BFA">
            <w:pPr>
              <w:pStyle w:val="445"/>
              <w:rPr>
                <w:rFonts w:cs="Times New Roman"/>
                <w:kern w:val="0"/>
                <w:szCs w:val="20"/>
              </w:rPr>
            </w:pPr>
            <w:r>
              <w:rPr>
                <w:rFonts w:cs="Times New Roman"/>
                <w:kern w:val="0"/>
                <w:szCs w:val="20"/>
              </w:rPr>
              <w:t>13.5</w:t>
            </w:r>
          </w:p>
        </w:tc>
        <w:tc>
          <w:tcPr>
            <w:tcW w:w="273" w:type="pct"/>
            <w:tcBorders>
              <w:top w:val="single" w:color="auto" w:sz="4" w:space="0"/>
              <w:left w:val="single" w:color="auto" w:sz="4" w:space="0"/>
              <w:bottom w:val="single" w:color="auto" w:sz="4" w:space="0"/>
              <w:right w:val="single" w:color="auto" w:sz="4" w:space="0"/>
            </w:tcBorders>
            <w:vAlign w:val="center"/>
          </w:tcPr>
          <w:p w14:paraId="400ACA4B">
            <w:pPr>
              <w:pStyle w:val="445"/>
              <w:rPr>
                <w:rFonts w:cs="Times New Roman"/>
                <w:kern w:val="0"/>
                <w:szCs w:val="20"/>
              </w:rPr>
            </w:pPr>
            <w:r>
              <w:rPr>
                <w:rFonts w:cs="Times New Roman"/>
                <w:kern w:val="0"/>
                <w:szCs w:val="20"/>
              </w:rPr>
              <w:t>7.3</w:t>
            </w:r>
          </w:p>
        </w:tc>
        <w:tc>
          <w:tcPr>
            <w:tcW w:w="273" w:type="pct"/>
            <w:tcBorders>
              <w:top w:val="single" w:color="auto" w:sz="4" w:space="0"/>
              <w:left w:val="single" w:color="auto" w:sz="4" w:space="0"/>
              <w:bottom w:val="single" w:color="auto" w:sz="4" w:space="0"/>
              <w:right w:val="single" w:color="auto" w:sz="4" w:space="0"/>
            </w:tcBorders>
            <w:vAlign w:val="center"/>
          </w:tcPr>
          <w:p w14:paraId="78FF7E7A">
            <w:pPr>
              <w:pStyle w:val="445"/>
              <w:rPr>
                <w:rFonts w:cs="Times New Roman"/>
                <w:kern w:val="0"/>
                <w:szCs w:val="20"/>
              </w:rPr>
            </w:pPr>
            <w:r>
              <w:rPr>
                <w:rFonts w:cs="Times New Roman"/>
                <w:kern w:val="0"/>
                <w:szCs w:val="20"/>
              </w:rPr>
              <w:t>8.4</w:t>
            </w:r>
          </w:p>
        </w:tc>
        <w:tc>
          <w:tcPr>
            <w:tcW w:w="273" w:type="pct"/>
            <w:tcBorders>
              <w:top w:val="single" w:color="auto" w:sz="4" w:space="0"/>
              <w:left w:val="single" w:color="auto" w:sz="4" w:space="0"/>
              <w:bottom w:val="single" w:color="auto" w:sz="4" w:space="0"/>
              <w:right w:val="single" w:color="auto" w:sz="4" w:space="0"/>
            </w:tcBorders>
            <w:vAlign w:val="center"/>
          </w:tcPr>
          <w:p w14:paraId="7CA40959">
            <w:pPr>
              <w:pStyle w:val="445"/>
              <w:rPr>
                <w:rFonts w:cs="Times New Roman"/>
                <w:kern w:val="0"/>
                <w:szCs w:val="20"/>
              </w:rPr>
            </w:pPr>
            <w:r>
              <w:rPr>
                <w:rFonts w:cs="Times New Roman"/>
                <w:kern w:val="0"/>
                <w:szCs w:val="20"/>
              </w:rPr>
              <w:t>7.5</w:t>
            </w:r>
          </w:p>
        </w:tc>
        <w:tc>
          <w:tcPr>
            <w:tcW w:w="273" w:type="pct"/>
            <w:tcBorders>
              <w:top w:val="single" w:color="auto" w:sz="4" w:space="0"/>
              <w:left w:val="single" w:color="auto" w:sz="4" w:space="0"/>
              <w:bottom w:val="single" w:color="auto" w:sz="4" w:space="0"/>
              <w:right w:val="single" w:color="auto" w:sz="4" w:space="0"/>
            </w:tcBorders>
            <w:vAlign w:val="center"/>
          </w:tcPr>
          <w:p w14:paraId="3C07A56D">
            <w:pPr>
              <w:pStyle w:val="445"/>
              <w:rPr>
                <w:rFonts w:cs="Times New Roman"/>
                <w:kern w:val="0"/>
                <w:szCs w:val="20"/>
              </w:rPr>
            </w:pPr>
            <w:r>
              <w:rPr>
                <w:rFonts w:cs="Times New Roman"/>
                <w:kern w:val="0"/>
                <w:szCs w:val="20"/>
              </w:rPr>
              <w:t>9.6</w:t>
            </w:r>
          </w:p>
        </w:tc>
        <w:tc>
          <w:tcPr>
            <w:tcW w:w="273" w:type="pct"/>
            <w:tcBorders>
              <w:top w:val="single" w:color="auto" w:sz="4" w:space="0"/>
              <w:left w:val="single" w:color="auto" w:sz="4" w:space="0"/>
              <w:bottom w:val="single" w:color="auto" w:sz="4" w:space="0"/>
              <w:right w:val="single" w:color="auto" w:sz="4" w:space="0"/>
            </w:tcBorders>
            <w:vAlign w:val="center"/>
          </w:tcPr>
          <w:p w14:paraId="0C621773">
            <w:pPr>
              <w:pStyle w:val="445"/>
              <w:rPr>
                <w:rFonts w:cs="Times New Roman"/>
                <w:kern w:val="0"/>
                <w:szCs w:val="20"/>
              </w:rPr>
            </w:pPr>
            <w:r>
              <w:rPr>
                <w:rFonts w:cs="Times New Roman"/>
                <w:kern w:val="0"/>
                <w:szCs w:val="20"/>
              </w:rPr>
              <w:t>8.8</w:t>
            </w:r>
          </w:p>
        </w:tc>
        <w:tc>
          <w:tcPr>
            <w:tcW w:w="273" w:type="pct"/>
            <w:tcBorders>
              <w:top w:val="single" w:color="auto" w:sz="4" w:space="0"/>
              <w:left w:val="single" w:color="auto" w:sz="4" w:space="0"/>
              <w:bottom w:val="single" w:color="auto" w:sz="4" w:space="0"/>
              <w:right w:val="single" w:color="auto" w:sz="4" w:space="0"/>
            </w:tcBorders>
            <w:vAlign w:val="center"/>
          </w:tcPr>
          <w:p w14:paraId="2A2A49E1">
            <w:pPr>
              <w:pStyle w:val="445"/>
              <w:rPr>
                <w:rFonts w:cs="Times New Roman"/>
                <w:kern w:val="0"/>
                <w:szCs w:val="20"/>
              </w:rPr>
            </w:pPr>
            <w:r>
              <w:rPr>
                <w:rFonts w:cs="Times New Roman"/>
                <w:kern w:val="0"/>
                <w:szCs w:val="20"/>
              </w:rPr>
              <w:t>7.5</w:t>
            </w:r>
          </w:p>
        </w:tc>
        <w:tc>
          <w:tcPr>
            <w:tcW w:w="273" w:type="pct"/>
            <w:tcBorders>
              <w:top w:val="single" w:color="auto" w:sz="4" w:space="0"/>
              <w:left w:val="single" w:color="auto" w:sz="4" w:space="0"/>
              <w:bottom w:val="single" w:color="auto" w:sz="4" w:space="0"/>
              <w:right w:val="single" w:color="auto" w:sz="4" w:space="0"/>
            </w:tcBorders>
            <w:vAlign w:val="center"/>
          </w:tcPr>
          <w:p w14:paraId="336111EF">
            <w:pPr>
              <w:pStyle w:val="445"/>
              <w:rPr>
                <w:rFonts w:cs="Times New Roman"/>
                <w:kern w:val="0"/>
                <w:szCs w:val="20"/>
              </w:rPr>
            </w:pPr>
            <w:r>
              <w:rPr>
                <w:rFonts w:cs="Times New Roman"/>
                <w:kern w:val="0"/>
                <w:szCs w:val="20"/>
              </w:rPr>
              <w:t>3.9</w:t>
            </w:r>
          </w:p>
        </w:tc>
        <w:tc>
          <w:tcPr>
            <w:tcW w:w="273" w:type="pct"/>
            <w:tcBorders>
              <w:top w:val="single" w:color="auto" w:sz="4" w:space="0"/>
              <w:left w:val="single" w:color="auto" w:sz="4" w:space="0"/>
              <w:bottom w:val="single" w:color="auto" w:sz="4" w:space="0"/>
              <w:right w:val="single" w:color="auto" w:sz="4" w:space="0"/>
            </w:tcBorders>
            <w:vAlign w:val="center"/>
          </w:tcPr>
          <w:p w14:paraId="2DF9C575">
            <w:pPr>
              <w:pStyle w:val="445"/>
              <w:rPr>
                <w:rFonts w:cs="Times New Roman"/>
                <w:kern w:val="0"/>
                <w:szCs w:val="20"/>
              </w:rPr>
            </w:pPr>
            <w:r>
              <w:rPr>
                <w:rFonts w:cs="Times New Roman"/>
                <w:kern w:val="0"/>
                <w:szCs w:val="20"/>
              </w:rPr>
              <w:t>4.1</w:t>
            </w:r>
          </w:p>
        </w:tc>
        <w:tc>
          <w:tcPr>
            <w:tcW w:w="273" w:type="pct"/>
            <w:tcBorders>
              <w:top w:val="single" w:color="auto" w:sz="4" w:space="0"/>
              <w:left w:val="single" w:color="auto" w:sz="4" w:space="0"/>
              <w:bottom w:val="single" w:color="auto" w:sz="4" w:space="0"/>
              <w:right w:val="single" w:color="auto" w:sz="4" w:space="0"/>
            </w:tcBorders>
            <w:vAlign w:val="center"/>
          </w:tcPr>
          <w:p w14:paraId="6218E5DB">
            <w:pPr>
              <w:pStyle w:val="445"/>
              <w:rPr>
                <w:rFonts w:cs="Times New Roman"/>
                <w:kern w:val="0"/>
                <w:szCs w:val="20"/>
              </w:rPr>
            </w:pPr>
            <w:r>
              <w:rPr>
                <w:rFonts w:cs="Times New Roman"/>
                <w:kern w:val="0"/>
                <w:szCs w:val="20"/>
              </w:rPr>
              <w:t>2.1</w:t>
            </w:r>
          </w:p>
        </w:tc>
        <w:tc>
          <w:tcPr>
            <w:tcW w:w="273" w:type="pct"/>
            <w:tcBorders>
              <w:top w:val="single" w:color="auto" w:sz="4" w:space="0"/>
              <w:left w:val="single" w:color="auto" w:sz="4" w:space="0"/>
              <w:bottom w:val="single" w:color="auto" w:sz="4" w:space="0"/>
              <w:right w:val="single" w:color="auto" w:sz="4" w:space="0"/>
            </w:tcBorders>
            <w:vAlign w:val="center"/>
          </w:tcPr>
          <w:p w14:paraId="7036DFEB">
            <w:pPr>
              <w:pStyle w:val="445"/>
              <w:rPr>
                <w:rFonts w:cs="Times New Roman"/>
                <w:kern w:val="0"/>
                <w:szCs w:val="20"/>
              </w:rPr>
            </w:pPr>
            <w:r>
              <w:rPr>
                <w:rFonts w:cs="Times New Roman"/>
                <w:kern w:val="0"/>
                <w:szCs w:val="20"/>
              </w:rPr>
              <w:t>1.9</w:t>
            </w:r>
          </w:p>
        </w:tc>
        <w:tc>
          <w:tcPr>
            <w:tcW w:w="273" w:type="pct"/>
            <w:tcBorders>
              <w:top w:val="single" w:color="auto" w:sz="4" w:space="0"/>
              <w:left w:val="single" w:color="auto" w:sz="4" w:space="0"/>
              <w:bottom w:val="single" w:color="auto" w:sz="4" w:space="0"/>
              <w:right w:val="single" w:color="auto" w:sz="4" w:space="0"/>
            </w:tcBorders>
            <w:vAlign w:val="center"/>
          </w:tcPr>
          <w:p w14:paraId="043920A7">
            <w:pPr>
              <w:pStyle w:val="445"/>
              <w:rPr>
                <w:rFonts w:cs="Times New Roman"/>
                <w:kern w:val="0"/>
                <w:szCs w:val="20"/>
              </w:rPr>
            </w:pPr>
            <w:r>
              <w:rPr>
                <w:rFonts w:cs="Times New Roman"/>
                <w:kern w:val="0"/>
                <w:szCs w:val="20"/>
              </w:rPr>
              <w:t>1.6</w:t>
            </w:r>
          </w:p>
        </w:tc>
        <w:tc>
          <w:tcPr>
            <w:tcW w:w="268" w:type="pct"/>
            <w:tcBorders>
              <w:top w:val="single" w:color="auto" w:sz="4" w:space="0"/>
              <w:left w:val="single" w:color="auto" w:sz="4" w:space="0"/>
              <w:bottom w:val="single" w:color="auto" w:sz="4" w:space="0"/>
              <w:right w:val="nil"/>
            </w:tcBorders>
            <w:vAlign w:val="center"/>
          </w:tcPr>
          <w:p w14:paraId="1EA657E6">
            <w:pPr>
              <w:pStyle w:val="445"/>
              <w:rPr>
                <w:rFonts w:cs="Times New Roman"/>
                <w:kern w:val="0"/>
                <w:szCs w:val="20"/>
              </w:rPr>
            </w:pPr>
            <w:r>
              <w:rPr>
                <w:rFonts w:cs="Times New Roman"/>
                <w:kern w:val="0"/>
                <w:szCs w:val="20"/>
              </w:rPr>
              <w:t>3.6</w:t>
            </w:r>
          </w:p>
        </w:tc>
      </w:tr>
      <w:tr w14:paraId="35629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62" w:type="pct"/>
            <w:tcBorders>
              <w:top w:val="single" w:color="auto" w:sz="4" w:space="0"/>
              <w:left w:val="nil"/>
              <w:bottom w:val="single" w:color="auto" w:sz="4" w:space="0"/>
              <w:right w:val="single" w:color="auto" w:sz="4" w:space="0"/>
            </w:tcBorders>
            <w:vAlign w:val="center"/>
          </w:tcPr>
          <w:p w14:paraId="45593C34">
            <w:pPr>
              <w:pStyle w:val="445"/>
              <w:rPr>
                <w:rFonts w:cs="Times New Roman"/>
                <w:kern w:val="0"/>
                <w:szCs w:val="20"/>
              </w:rPr>
            </w:pPr>
            <w:r>
              <w:rPr>
                <w:rFonts w:cs="Times New Roman"/>
                <w:kern w:val="0"/>
                <w:szCs w:val="20"/>
              </w:rPr>
              <w:t>8</w:t>
            </w:r>
          </w:p>
        </w:tc>
        <w:tc>
          <w:tcPr>
            <w:tcW w:w="273" w:type="pct"/>
            <w:tcBorders>
              <w:top w:val="single" w:color="auto" w:sz="4" w:space="0"/>
              <w:left w:val="single" w:color="auto" w:sz="4" w:space="0"/>
              <w:bottom w:val="single" w:color="auto" w:sz="4" w:space="0"/>
              <w:right w:val="single" w:color="auto" w:sz="4" w:space="0"/>
            </w:tcBorders>
            <w:vAlign w:val="center"/>
          </w:tcPr>
          <w:p w14:paraId="0B678051">
            <w:pPr>
              <w:pStyle w:val="445"/>
              <w:rPr>
                <w:rFonts w:cs="Times New Roman"/>
                <w:kern w:val="0"/>
                <w:szCs w:val="20"/>
              </w:rPr>
            </w:pPr>
            <w:r>
              <w:rPr>
                <w:rFonts w:cs="Times New Roman"/>
                <w:kern w:val="0"/>
                <w:szCs w:val="20"/>
              </w:rPr>
              <w:t>4.6</w:t>
            </w:r>
          </w:p>
        </w:tc>
        <w:tc>
          <w:tcPr>
            <w:tcW w:w="274" w:type="pct"/>
            <w:tcBorders>
              <w:top w:val="single" w:color="auto" w:sz="4" w:space="0"/>
              <w:left w:val="single" w:color="auto" w:sz="4" w:space="0"/>
              <w:bottom w:val="single" w:color="auto" w:sz="4" w:space="0"/>
              <w:right w:val="single" w:color="auto" w:sz="4" w:space="0"/>
            </w:tcBorders>
            <w:vAlign w:val="center"/>
          </w:tcPr>
          <w:p w14:paraId="1CB26CB5">
            <w:pPr>
              <w:pStyle w:val="445"/>
              <w:rPr>
                <w:rFonts w:cs="Times New Roman"/>
                <w:kern w:val="0"/>
                <w:szCs w:val="20"/>
              </w:rPr>
            </w:pPr>
            <w:r>
              <w:rPr>
                <w:rFonts w:cs="Times New Roman"/>
                <w:kern w:val="0"/>
                <w:szCs w:val="20"/>
              </w:rPr>
              <w:t>6.2</w:t>
            </w:r>
          </w:p>
        </w:tc>
        <w:tc>
          <w:tcPr>
            <w:tcW w:w="273" w:type="pct"/>
            <w:tcBorders>
              <w:top w:val="single" w:color="auto" w:sz="4" w:space="0"/>
              <w:left w:val="single" w:color="auto" w:sz="4" w:space="0"/>
              <w:bottom w:val="single" w:color="auto" w:sz="4" w:space="0"/>
              <w:right w:val="single" w:color="auto" w:sz="4" w:space="0"/>
            </w:tcBorders>
            <w:vAlign w:val="center"/>
          </w:tcPr>
          <w:p w14:paraId="040127F6">
            <w:pPr>
              <w:pStyle w:val="445"/>
              <w:rPr>
                <w:rFonts w:cs="Times New Roman"/>
                <w:kern w:val="0"/>
                <w:szCs w:val="20"/>
              </w:rPr>
            </w:pPr>
            <w:r>
              <w:rPr>
                <w:rFonts w:cs="Times New Roman"/>
                <w:kern w:val="0"/>
                <w:szCs w:val="20"/>
              </w:rPr>
              <w:t>12.9</w:t>
            </w:r>
          </w:p>
        </w:tc>
        <w:tc>
          <w:tcPr>
            <w:tcW w:w="274" w:type="pct"/>
            <w:tcBorders>
              <w:top w:val="single" w:color="auto" w:sz="4" w:space="0"/>
              <w:left w:val="single" w:color="auto" w:sz="4" w:space="0"/>
              <w:bottom w:val="single" w:color="auto" w:sz="4" w:space="0"/>
              <w:right w:val="single" w:color="auto" w:sz="4" w:space="0"/>
            </w:tcBorders>
            <w:vAlign w:val="center"/>
          </w:tcPr>
          <w:p w14:paraId="3B66B16E">
            <w:pPr>
              <w:pStyle w:val="445"/>
              <w:rPr>
                <w:rFonts w:cs="Times New Roman"/>
                <w:kern w:val="0"/>
                <w:szCs w:val="20"/>
              </w:rPr>
            </w:pPr>
            <w:r>
              <w:rPr>
                <w:rFonts w:cs="Times New Roman"/>
                <w:kern w:val="0"/>
                <w:szCs w:val="20"/>
              </w:rPr>
              <w:t>15.3</w:t>
            </w:r>
          </w:p>
        </w:tc>
        <w:tc>
          <w:tcPr>
            <w:tcW w:w="273" w:type="pct"/>
            <w:tcBorders>
              <w:top w:val="single" w:color="auto" w:sz="4" w:space="0"/>
              <w:left w:val="single" w:color="auto" w:sz="4" w:space="0"/>
              <w:bottom w:val="single" w:color="auto" w:sz="4" w:space="0"/>
              <w:right w:val="single" w:color="auto" w:sz="4" w:space="0"/>
            </w:tcBorders>
            <w:vAlign w:val="center"/>
          </w:tcPr>
          <w:p w14:paraId="6DB1911D">
            <w:pPr>
              <w:pStyle w:val="445"/>
              <w:rPr>
                <w:rFonts w:cs="Times New Roman"/>
                <w:kern w:val="0"/>
                <w:szCs w:val="20"/>
              </w:rPr>
            </w:pPr>
            <w:r>
              <w:rPr>
                <w:rFonts w:cs="Times New Roman"/>
                <w:kern w:val="0"/>
                <w:szCs w:val="20"/>
              </w:rPr>
              <w:t>12.7</w:t>
            </w:r>
          </w:p>
        </w:tc>
        <w:tc>
          <w:tcPr>
            <w:tcW w:w="273" w:type="pct"/>
            <w:tcBorders>
              <w:top w:val="single" w:color="auto" w:sz="4" w:space="0"/>
              <w:left w:val="single" w:color="auto" w:sz="4" w:space="0"/>
              <w:bottom w:val="single" w:color="auto" w:sz="4" w:space="0"/>
              <w:right w:val="single" w:color="auto" w:sz="4" w:space="0"/>
            </w:tcBorders>
            <w:vAlign w:val="center"/>
          </w:tcPr>
          <w:p w14:paraId="501902AA">
            <w:pPr>
              <w:pStyle w:val="445"/>
              <w:rPr>
                <w:rFonts w:cs="Times New Roman"/>
                <w:kern w:val="0"/>
                <w:szCs w:val="20"/>
              </w:rPr>
            </w:pPr>
            <w:r>
              <w:rPr>
                <w:rFonts w:cs="Times New Roman"/>
                <w:kern w:val="0"/>
                <w:szCs w:val="20"/>
              </w:rPr>
              <w:t>7.3</w:t>
            </w:r>
          </w:p>
        </w:tc>
        <w:tc>
          <w:tcPr>
            <w:tcW w:w="273" w:type="pct"/>
            <w:tcBorders>
              <w:top w:val="single" w:color="auto" w:sz="4" w:space="0"/>
              <w:left w:val="single" w:color="auto" w:sz="4" w:space="0"/>
              <w:bottom w:val="single" w:color="auto" w:sz="4" w:space="0"/>
              <w:right w:val="single" w:color="auto" w:sz="4" w:space="0"/>
            </w:tcBorders>
            <w:vAlign w:val="center"/>
          </w:tcPr>
          <w:p w14:paraId="6A881AC8">
            <w:pPr>
              <w:pStyle w:val="445"/>
              <w:rPr>
                <w:rFonts w:cs="Times New Roman"/>
                <w:kern w:val="0"/>
                <w:szCs w:val="20"/>
              </w:rPr>
            </w:pPr>
            <w:r>
              <w:rPr>
                <w:rFonts w:cs="Times New Roman"/>
                <w:kern w:val="0"/>
                <w:szCs w:val="20"/>
              </w:rPr>
              <w:t>5.9</w:t>
            </w:r>
          </w:p>
        </w:tc>
        <w:tc>
          <w:tcPr>
            <w:tcW w:w="273" w:type="pct"/>
            <w:tcBorders>
              <w:top w:val="single" w:color="auto" w:sz="4" w:space="0"/>
              <w:left w:val="single" w:color="auto" w:sz="4" w:space="0"/>
              <w:bottom w:val="single" w:color="auto" w:sz="4" w:space="0"/>
              <w:right w:val="single" w:color="auto" w:sz="4" w:space="0"/>
            </w:tcBorders>
            <w:vAlign w:val="center"/>
          </w:tcPr>
          <w:p w14:paraId="0278617F">
            <w:pPr>
              <w:pStyle w:val="445"/>
              <w:rPr>
                <w:rFonts w:cs="Times New Roman"/>
                <w:kern w:val="0"/>
                <w:szCs w:val="20"/>
              </w:rPr>
            </w:pPr>
            <w:r>
              <w:rPr>
                <w:rFonts w:cs="Times New Roman"/>
                <w:kern w:val="0"/>
                <w:szCs w:val="20"/>
              </w:rPr>
              <w:t>3.5</w:t>
            </w:r>
          </w:p>
        </w:tc>
        <w:tc>
          <w:tcPr>
            <w:tcW w:w="273" w:type="pct"/>
            <w:tcBorders>
              <w:top w:val="single" w:color="auto" w:sz="4" w:space="0"/>
              <w:left w:val="single" w:color="auto" w:sz="4" w:space="0"/>
              <w:bottom w:val="single" w:color="auto" w:sz="4" w:space="0"/>
              <w:right w:val="single" w:color="auto" w:sz="4" w:space="0"/>
            </w:tcBorders>
            <w:vAlign w:val="center"/>
          </w:tcPr>
          <w:p w14:paraId="5F40FBC2">
            <w:pPr>
              <w:pStyle w:val="445"/>
              <w:rPr>
                <w:rFonts w:cs="Times New Roman"/>
                <w:kern w:val="0"/>
                <w:szCs w:val="20"/>
              </w:rPr>
            </w:pPr>
            <w:r>
              <w:rPr>
                <w:rFonts w:cs="Times New Roman"/>
                <w:kern w:val="0"/>
                <w:szCs w:val="20"/>
              </w:rPr>
              <w:t>4.9</w:t>
            </w:r>
          </w:p>
        </w:tc>
        <w:tc>
          <w:tcPr>
            <w:tcW w:w="273" w:type="pct"/>
            <w:tcBorders>
              <w:top w:val="single" w:color="auto" w:sz="4" w:space="0"/>
              <w:left w:val="single" w:color="auto" w:sz="4" w:space="0"/>
              <w:bottom w:val="single" w:color="auto" w:sz="4" w:space="0"/>
              <w:right w:val="single" w:color="auto" w:sz="4" w:space="0"/>
            </w:tcBorders>
            <w:vAlign w:val="center"/>
          </w:tcPr>
          <w:p w14:paraId="5B072B47">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4" w:space="0"/>
              <w:right w:val="single" w:color="auto" w:sz="4" w:space="0"/>
            </w:tcBorders>
            <w:vAlign w:val="center"/>
          </w:tcPr>
          <w:p w14:paraId="3D141F8E">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480B5F7B">
            <w:pPr>
              <w:pStyle w:val="445"/>
              <w:rPr>
                <w:rFonts w:cs="Times New Roman"/>
                <w:kern w:val="0"/>
                <w:szCs w:val="20"/>
              </w:rPr>
            </w:pPr>
            <w:r>
              <w:rPr>
                <w:rFonts w:cs="Times New Roman"/>
                <w:kern w:val="0"/>
                <w:szCs w:val="20"/>
              </w:rPr>
              <w:t>3.1</w:t>
            </w:r>
          </w:p>
        </w:tc>
        <w:tc>
          <w:tcPr>
            <w:tcW w:w="273" w:type="pct"/>
            <w:tcBorders>
              <w:top w:val="single" w:color="auto" w:sz="4" w:space="0"/>
              <w:left w:val="single" w:color="auto" w:sz="4" w:space="0"/>
              <w:bottom w:val="single" w:color="auto" w:sz="4" w:space="0"/>
              <w:right w:val="single" w:color="auto" w:sz="4" w:space="0"/>
            </w:tcBorders>
            <w:vAlign w:val="center"/>
          </w:tcPr>
          <w:p w14:paraId="775AC3CD">
            <w:pPr>
              <w:pStyle w:val="445"/>
              <w:rPr>
                <w:rFonts w:cs="Times New Roman"/>
                <w:kern w:val="0"/>
                <w:szCs w:val="20"/>
              </w:rPr>
            </w:pPr>
            <w:r>
              <w:rPr>
                <w:rFonts w:cs="Times New Roman"/>
                <w:kern w:val="0"/>
                <w:szCs w:val="20"/>
              </w:rPr>
              <w:t>3.3</w:t>
            </w:r>
          </w:p>
        </w:tc>
        <w:tc>
          <w:tcPr>
            <w:tcW w:w="273" w:type="pct"/>
            <w:tcBorders>
              <w:top w:val="single" w:color="auto" w:sz="4" w:space="0"/>
              <w:left w:val="single" w:color="auto" w:sz="4" w:space="0"/>
              <w:bottom w:val="single" w:color="auto" w:sz="4" w:space="0"/>
              <w:right w:val="single" w:color="auto" w:sz="4" w:space="0"/>
            </w:tcBorders>
            <w:vAlign w:val="center"/>
          </w:tcPr>
          <w:p w14:paraId="701692AB">
            <w:pPr>
              <w:pStyle w:val="445"/>
              <w:rPr>
                <w:rFonts w:cs="Times New Roman"/>
                <w:kern w:val="0"/>
                <w:szCs w:val="20"/>
              </w:rPr>
            </w:pPr>
            <w:r>
              <w:rPr>
                <w:rFonts w:cs="Times New Roman"/>
                <w:kern w:val="0"/>
                <w:szCs w:val="20"/>
              </w:rPr>
              <w:t>3.1</w:t>
            </w:r>
          </w:p>
        </w:tc>
        <w:tc>
          <w:tcPr>
            <w:tcW w:w="273" w:type="pct"/>
            <w:tcBorders>
              <w:top w:val="single" w:color="auto" w:sz="4" w:space="0"/>
              <w:left w:val="single" w:color="auto" w:sz="4" w:space="0"/>
              <w:bottom w:val="single" w:color="auto" w:sz="4" w:space="0"/>
              <w:right w:val="single" w:color="auto" w:sz="4" w:space="0"/>
            </w:tcBorders>
            <w:vAlign w:val="center"/>
          </w:tcPr>
          <w:p w14:paraId="2D05AC6C">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4DB48047">
            <w:pPr>
              <w:pStyle w:val="445"/>
              <w:rPr>
                <w:rFonts w:cs="Times New Roman"/>
                <w:kern w:val="0"/>
                <w:szCs w:val="20"/>
              </w:rPr>
            </w:pPr>
            <w:r>
              <w:rPr>
                <w:rFonts w:cs="Times New Roman"/>
                <w:kern w:val="0"/>
                <w:szCs w:val="20"/>
              </w:rPr>
              <w:t>3.1</w:t>
            </w:r>
          </w:p>
        </w:tc>
        <w:tc>
          <w:tcPr>
            <w:tcW w:w="268" w:type="pct"/>
            <w:tcBorders>
              <w:top w:val="single" w:color="auto" w:sz="4" w:space="0"/>
              <w:left w:val="single" w:color="auto" w:sz="4" w:space="0"/>
              <w:bottom w:val="single" w:color="auto" w:sz="4" w:space="0"/>
              <w:right w:val="nil"/>
            </w:tcBorders>
            <w:vAlign w:val="center"/>
          </w:tcPr>
          <w:p w14:paraId="20AA03DA">
            <w:pPr>
              <w:pStyle w:val="445"/>
              <w:rPr>
                <w:rFonts w:cs="Times New Roman"/>
                <w:kern w:val="0"/>
                <w:szCs w:val="20"/>
              </w:rPr>
            </w:pPr>
            <w:r>
              <w:rPr>
                <w:rFonts w:cs="Times New Roman"/>
                <w:kern w:val="0"/>
                <w:szCs w:val="20"/>
              </w:rPr>
              <w:t>2.7</w:t>
            </w:r>
          </w:p>
        </w:tc>
      </w:tr>
      <w:tr w14:paraId="0F3D1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223F9FFF">
            <w:pPr>
              <w:pStyle w:val="445"/>
              <w:rPr>
                <w:rFonts w:cs="Times New Roman"/>
                <w:kern w:val="0"/>
                <w:szCs w:val="20"/>
              </w:rPr>
            </w:pPr>
            <w:r>
              <w:rPr>
                <w:rFonts w:cs="Times New Roman"/>
                <w:kern w:val="0"/>
                <w:szCs w:val="20"/>
              </w:rPr>
              <w:t>9</w:t>
            </w:r>
          </w:p>
        </w:tc>
        <w:tc>
          <w:tcPr>
            <w:tcW w:w="273" w:type="pct"/>
            <w:tcBorders>
              <w:top w:val="single" w:color="auto" w:sz="4" w:space="0"/>
              <w:left w:val="single" w:color="auto" w:sz="4" w:space="0"/>
              <w:bottom w:val="single" w:color="auto" w:sz="4" w:space="0"/>
              <w:right w:val="single" w:color="auto" w:sz="4" w:space="0"/>
            </w:tcBorders>
            <w:vAlign w:val="center"/>
          </w:tcPr>
          <w:p w14:paraId="7DE9C097">
            <w:pPr>
              <w:pStyle w:val="445"/>
              <w:rPr>
                <w:rFonts w:cs="Times New Roman"/>
                <w:kern w:val="0"/>
                <w:szCs w:val="20"/>
              </w:rPr>
            </w:pPr>
            <w:r>
              <w:rPr>
                <w:rFonts w:cs="Times New Roman"/>
                <w:kern w:val="0"/>
                <w:szCs w:val="20"/>
              </w:rPr>
              <w:t>6.4</w:t>
            </w:r>
          </w:p>
        </w:tc>
        <w:tc>
          <w:tcPr>
            <w:tcW w:w="274" w:type="pct"/>
            <w:tcBorders>
              <w:top w:val="single" w:color="auto" w:sz="4" w:space="0"/>
              <w:left w:val="single" w:color="auto" w:sz="4" w:space="0"/>
              <w:bottom w:val="single" w:color="auto" w:sz="4" w:space="0"/>
              <w:right w:val="single" w:color="auto" w:sz="4" w:space="0"/>
            </w:tcBorders>
            <w:vAlign w:val="center"/>
          </w:tcPr>
          <w:p w14:paraId="0B8E6196">
            <w:pPr>
              <w:pStyle w:val="445"/>
              <w:rPr>
                <w:rFonts w:cs="Times New Roman"/>
                <w:kern w:val="0"/>
                <w:szCs w:val="20"/>
              </w:rPr>
            </w:pPr>
            <w:r>
              <w:rPr>
                <w:rFonts w:cs="Times New Roman"/>
                <w:kern w:val="0"/>
                <w:szCs w:val="20"/>
              </w:rPr>
              <w:t>7.2</w:t>
            </w:r>
          </w:p>
        </w:tc>
        <w:tc>
          <w:tcPr>
            <w:tcW w:w="273" w:type="pct"/>
            <w:tcBorders>
              <w:top w:val="single" w:color="auto" w:sz="4" w:space="0"/>
              <w:left w:val="single" w:color="auto" w:sz="4" w:space="0"/>
              <w:bottom w:val="single" w:color="auto" w:sz="4" w:space="0"/>
              <w:right w:val="single" w:color="auto" w:sz="4" w:space="0"/>
            </w:tcBorders>
            <w:vAlign w:val="center"/>
          </w:tcPr>
          <w:p w14:paraId="70426D5D">
            <w:pPr>
              <w:pStyle w:val="445"/>
              <w:rPr>
                <w:rFonts w:cs="Times New Roman"/>
                <w:kern w:val="0"/>
                <w:szCs w:val="20"/>
              </w:rPr>
            </w:pPr>
            <w:r>
              <w:rPr>
                <w:rFonts w:cs="Times New Roman"/>
                <w:kern w:val="0"/>
                <w:szCs w:val="20"/>
              </w:rPr>
              <w:t>14.3</w:t>
            </w:r>
          </w:p>
        </w:tc>
        <w:tc>
          <w:tcPr>
            <w:tcW w:w="274" w:type="pct"/>
            <w:tcBorders>
              <w:top w:val="single" w:color="auto" w:sz="4" w:space="0"/>
              <w:left w:val="single" w:color="auto" w:sz="4" w:space="0"/>
              <w:bottom w:val="single" w:color="auto" w:sz="4" w:space="0"/>
              <w:right w:val="single" w:color="auto" w:sz="4" w:space="0"/>
            </w:tcBorders>
            <w:vAlign w:val="center"/>
          </w:tcPr>
          <w:p w14:paraId="3F6A79A1">
            <w:pPr>
              <w:pStyle w:val="445"/>
              <w:rPr>
                <w:rFonts w:cs="Times New Roman"/>
                <w:kern w:val="0"/>
                <w:szCs w:val="20"/>
              </w:rPr>
            </w:pPr>
            <w:r>
              <w:rPr>
                <w:rFonts w:cs="Times New Roman"/>
                <w:kern w:val="0"/>
                <w:szCs w:val="20"/>
              </w:rPr>
              <w:t>18.5</w:t>
            </w:r>
          </w:p>
        </w:tc>
        <w:tc>
          <w:tcPr>
            <w:tcW w:w="273" w:type="pct"/>
            <w:tcBorders>
              <w:top w:val="single" w:color="auto" w:sz="4" w:space="0"/>
              <w:left w:val="single" w:color="auto" w:sz="4" w:space="0"/>
              <w:bottom w:val="single" w:color="auto" w:sz="4" w:space="0"/>
              <w:right w:val="single" w:color="auto" w:sz="4" w:space="0"/>
            </w:tcBorders>
            <w:vAlign w:val="center"/>
          </w:tcPr>
          <w:p w14:paraId="72C8DE3E">
            <w:pPr>
              <w:pStyle w:val="445"/>
              <w:rPr>
                <w:rFonts w:cs="Times New Roman"/>
                <w:kern w:val="0"/>
                <w:szCs w:val="20"/>
              </w:rPr>
            </w:pPr>
            <w:r>
              <w:rPr>
                <w:rFonts w:cs="Times New Roman"/>
                <w:kern w:val="0"/>
                <w:szCs w:val="20"/>
              </w:rPr>
              <w:t>15.7</w:t>
            </w:r>
          </w:p>
        </w:tc>
        <w:tc>
          <w:tcPr>
            <w:tcW w:w="273" w:type="pct"/>
            <w:tcBorders>
              <w:top w:val="single" w:color="auto" w:sz="4" w:space="0"/>
              <w:left w:val="single" w:color="auto" w:sz="4" w:space="0"/>
              <w:bottom w:val="single" w:color="auto" w:sz="4" w:space="0"/>
              <w:right w:val="single" w:color="auto" w:sz="4" w:space="0"/>
            </w:tcBorders>
            <w:vAlign w:val="center"/>
          </w:tcPr>
          <w:p w14:paraId="1F02D8AD">
            <w:pPr>
              <w:pStyle w:val="445"/>
              <w:rPr>
                <w:rFonts w:cs="Times New Roman"/>
                <w:kern w:val="0"/>
                <w:szCs w:val="20"/>
              </w:rPr>
            </w:pPr>
            <w:r>
              <w:rPr>
                <w:rFonts w:cs="Times New Roman"/>
                <w:kern w:val="0"/>
                <w:szCs w:val="20"/>
              </w:rPr>
              <w:t>7.2</w:t>
            </w:r>
          </w:p>
        </w:tc>
        <w:tc>
          <w:tcPr>
            <w:tcW w:w="273" w:type="pct"/>
            <w:tcBorders>
              <w:top w:val="single" w:color="auto" w:sz="4" w:space="0"/>
              <w:left w:val="single" w:color="auto" w:sz="4" w:space="0"/>
              <w:bottom w:val="single" w:color="auto" w:sz="4" w:space="0"/>
              <w:right w:val="single" w:color="auto" w:sz="4" w:space="0"/>
            </w:tcBorders>
            <w:vAlign w:val="center"/>
          </w:tcPr>
          <w:p w14:paraId="4B3F2AE8">
            <w:pPr>
              <w:pStyle w:val="445"/>
              <w:rPr>
                <w:rFonts w:cs="Times New Roman"/>
                <w:kern w:val="0"/>
                <w:szCs w:val="20"/>
              </w:rPr>
            </w:pPr>
            <w:r>
              <w:rPr>
                <w:rFonts w:cs="Times New Roman"/>
                <w:kern w:val="0"/>
                <w:szCs w:val="20"/>
              </w:rPr>
              <w:t>5</w:t>
            </w:r>
          </w:p>
        </w:tc>
        <w:tc>
          <w:tcPr>
            <w:tcW w:w="273" w:type="pct"/>
            <w:tcBorders>
              <w:top w:val="single" w:color="auto" w:sz="4" w:space="0"/>
              <w:left w:val="single" w:color="auto" w:sz="4" w:space="0"/>
              <w:bottom w:val="single" w:color="auto" w:sz="4" w:space="0"/>
              <w:right w:val="single" w:color="auto" w:sz="4" w:space="0"/>
            </w:tcBorders>
            <w:vAlign w:val="center"/>
          </w:tcPr>
          <w:p w14:paraId="515DD9C0">
            <w:pPr>
              <w:pStyle w:val="445"/>
              <w:rPr>
                <w:rFonts w:cs="Times New Roman"/>
                <w:kern w:val="0"/>
                <w:szCs w:val="20"/>
              </w:rPr>
            </w:pPr>
            <w:r>
              <w:rPr>
                <w:rFonts w:cs="Times New Roman"/>
                <w:kern w:val="0"/>
                <w:szCs w:val="20"/>
              </w:rPr>
              <w:t>3</w:t>
            </w:r>
          </w:p>
        </w:tc>
        <w:tc>
          <w:tcPr>
            <w:tcW w:w="273" w:type="pct"/>
            <w:tcBorders>
              <w:top w:val="single" w:color="auto" w:sz="4" w:space="0"/>
              <w:left w:val="single" w:color="auto" w:sz="4" w:space="0"/>
              <w:bottom w:val="single" w:color="auto" w:sz="4" w:space="0"/>
              <w:right w:val="single" w:color="auto" w:sz="4" w:space="0"/>
            </w:tcBorders>
            <w:vAlign w:val="center"/>
          </w:tcPr>
          <w:p w14:paraId="187781EE">
            <w:pPr>
              <w:pStyle w:val="445"/>
              <w:rPr>
                <w:rFonts w:cs="Times New Roman"/>
                <w:kern w:val="0"/>
                <w:szCs w:val="20"/>
              </w:rPr>
            </w:pPr>
            <w:r>
              <w:rPr>
                <w:rFonts w:cs="Times New Roman"/>
                <w:kern w:val="0"/>
                <w:szCs w:val="20"/>
              </w:rPr>
              <w:t>2.5</w:t>
            </w:r>
          </w:p>
        </w:tc>
        <w:tc>
          <w:tcPr>
            <w:tcW w:w="273" w:type="pct"/>
            <w:tcBorders>
              <w:top w:val="single" w:color="auto" w:sz="4" w:space="0"/>
              <w:left w:val="single" w:color="auto" w:sz="4" w:space="0"/>
              <w:bottom w:val="single" w:color="auto" w:sz="4" w:space="0"/>
              <w:right w:val="single" w:color="auto" w:sz="4" w:space="0"/>
            </w:tcBorders>
            <w:vAlign w:val="center"/>
          </w:tcPr>
          <w:p w14:paraId="3BC03F82">
            <w:pPr>
              <w:pStyle w:val="445"/>
              <w:rPr>
                <w:rFonts w:cs="Times New Roman"/>
                <w:kern w:val="0"/>
                <w:szCs w:val="20"/>
              </w:rPr>
            </w:pPr>
            <w:r>
              <w:rPr>
                <w:rFonts w:cs="Times New Roman"/>
                <w:kern w:val="0"/>
                <w:szCs w:val="20"/>
              </w:rPr>
              <w:t>2.2</w:t>
            </w:r>
          </w:p>
        </w:tc>
        <w:tc>
          <w:tcPr>
            <w:tcW w:w="273" w:type="pct"/>
            <w:tcBorders>
              <w:top w:val="single" w:color="auto" w:sz="4" w:space="0"/>
              <w:left w:val="single" w:color="auto" w:sz="4" w:space="0"/>
              <w:bottom w:val="single" w:color="auto" w:sz="4" w:space="0"/>
              <w:right w:val="single" w:color="auto" w:sz="4" w:space="0"/>
            </w:tcBorders>
            <w:vAlign w:val="center"/>
          </w:tcPr>
          <w:p w14:paraId="595132F8">
            <w:pPr>
              <w:pStyle w:val="445"/>
              <w:rPr>
                <w:rFonts w:cs="Times New Roman"/>
                <w:kern w:val="0"/>
                <w:szCs w:val="20"/>
              </w:rPr>
            </w:pPr>
            <w:r>
              <w:rPr>
                <w:rFonts w:cs="Times New Roman"/>
                <w:kern w:val="0"/>
                <w:szCs w:val="20"/>
              </w:rPr>
              <w:t>2.7</w:t>
            </w:r>
          </w:p>
        </w:tc>
        <w:tc>
          <w:tcPr>
            <w:tcW w:w="273" w:type="pct"/>
            <w:tcBorders>
              <w:top w:val="single" w:color="auto" w:sz="4" w:space="0"/>
              <w:left w:val="single" w:color="auto" w:sz="4" w:space="0"/>
              <w:bottom w:val="single" w:color="auto" w:sz="4" w:space="0"/>
              <w:right w:val="single" w:color="auto" w:sz="4" w:space="0"/>
            </w:tcBorders>
            <w:vAlign w:val="center"/>
          </w:tcPr>
          <w:p w14:paraId="1B1D3EA5">
            <w:pPr>
              <w:pStyle w:val="445"/>
              <w:rPr>
                <w:rFonts w:cs="Times New Roman"/>
                <w:kern w:val="0"/>
                <w:szCs w:val="20"/>
              </w:rPr>
            </w:pPr>
            <w:r>
              <w:rPr>
                <w:rFonts w:cs="Times New Roman"/>
                <w:kern w:val="0"/>
                <w:szCs w:val="20"/>
              </w:rPr>
              <w:t>1.2</w:t>
            </w:r>
          </w:p>
        </w:tc>
        <w:tc>
          <w:tcPr>
            <w:tcW w:w="273" w:type="pct"/>
            <w:tcBorders>
              <w:top w:val="single" w:color="auto" w:sz="4" w:space="0"/>
              <w:left w:val="single" w:color="auto" w:sz="4" w:space="0"/>
              <w:bottom w:val="single" w:color="auto" w:sz="4" w:space="0"/>
              <w:right w:val="single" w:color="auto" w:sz="4" w:space="0"/>
            </w:tcBorders>
            <w:vAlign w:val="center"/>
          </w:tcPr>
          <w:p w14:paraId="4BF8FEA8">
            <w:pPr>
              <w:pStyle w:val="445"/>
              <w:rPr>
                <w:rFonts w:cs="Times New Roman"/>
                <w:kern w:val="0"/>
                <w:szCs w:val="20"/>
              </w:rPr>
            </w:pPr>
            <w:r>
              <w:rPr>
                <w:rFonts w:cs="Times New Roman"/>
                <w:kern w:val="0"/>
                <w:szCs w:val="20"/>
              </w:rPr>
              <w:t>2.1</w:t>
            </w:r>
          </w:p>
        </w:tc>
        <w:tc>
          <w:tcPr>
            <w:tcW w:w="273" w:type="pct"/>
            <w:tcBorders>
              <w:top w:val="single" w:color="auto" w:sz="4" w:space="0"/>
              <w:left w:val="single" w:color="auto" w:sz="4" w:space="0"/>
              <w:bottom w:val="single" w:color="auto" w:sz="4" w:space="0"/>
              <w:right w:val="single" w:color="auto" w:sz="4" w:space="0"/>
            </w:tcBorders>
            <w:vAlign w:val="center"/>
          </w:tcPr>
          <w:p w14:paraId="2A4E4E25">
            <w:pPr>
              <w:pStyle w:val="445"/>
              <w:rPr>
                <w:rFonts w:cs="Times New Roman"/>
                <w:kern w:val="0"/>
                <w:szCs w:val="20"/>
              </w:rPr>
            </w:pPr>
            <w:r>
              <w:rPr>
                <w:rFonts w:cs="Times New Roman"/>
                <w:kern w:val="0"/>
                <w:szCs w:val="20"/>
              </w:rPr>
              <w:t>2.3</w:t>
            </w:r>
          </w:p>
        </w:tc>
        <w:tc>
          <w:tcPr>
            <w:tcW w:w="273" w:type="pct"/>
            <w:tcBorders>
              <w:top w:val="single" w:color="auto" w:sz="4" w:space="0"/>
              <w:left w:val="single" w:color="auto" w:sz="4" w:space="0"/>
              <w:bottom w:val="single" w:color="auto" w:sz="4" w:space="0"/>
              <w:right w:val="single" w:color="auto" w:sz="4" w:space="0"/>
            </w:tcBorders>
            <w:vAlign w:val="center"/>
          </w:tcPr>
          <w:p w14:paraId="1918B67D">
            <w:pPr>
              <w:pStyle w:val="445"/>
              <w:rPr>
                <w:rFonts w:cs="Times New Roman"/>
                <w:kern w:val="0"/>
                <w:szCs w:val="20"/>
              </w:rPr>
            </w:pPr>
            <w:r>
              <w:rPr>
                <w:rFonts w:cs="Times New Roman"/>
                <w:kern w:val="0"/>
                <w:szCs w:val="20"/>
              </w:rPr>
              <w:t>3.2</w:t>
            </w:r>
          </w:p>
        </w:tc>
        <w:tc>
          <w:tcPr>
            <w:tcW w:w="273" w:type="pct"/>
            <w:tcBorders>
              <w:top w:val="single" w:color="auto" w:sz="4" w:space="0"/>
              <w:left w:val="single" w:color="auto" w:sz="4" w:space="0"/>
              <w:bottom w:val="single" w:color="auto" w:sz="4" w:space="0"/>
              <w:right w:val="single" w:color="auto" w:sz="4" w:space="0"/>
            </w:tcBorders>
            <w:vAlign w:val="center"/>
          </w:tcPr>
          <w:p w14:paraId="641D931A">
            <w:pPr>
              <w:pStyle w:val="445"/>
              <w:rPr>
                <w:rFonts w:cs="Times New Roman"/>
                <w:kern w:val="0"/>
                <w:szCs w:val="20"/>
              </w:rPr>
            </w:pPr>
            <w:r>
              <w:rPr>
                <w:rFonts w:cs="Times New Roman"/>
                <w:kern w:val="0"/>
                <w:szCs w:val="20"/>
              </w:rPr>
              <w:t>3.4</w:t>
            </w:r>
          </w:p>
        </w:tc>
        <w:tc>
          <w:tcPr>
            <w:tcW w:w="268" w:type="pct"/>
            <w:tcBorders>
              <w:top w:val="single" w:color="auto" w:sz="4" w:space="0"/>
              <w:left w:val="single" w:color="auto" w:sz="4" w:space="0"/>
              <w:bottom w:val="single" w:color="auto" w:sz="4" w:space="0"/>
              <w:right w:val="nil"/>
            </w:tcBorders>
            <w:vAlign w:val="center"/>
          </w:tcPr>
          <w:p w14:paraId="5DA14767">
            <w:pPr>
              <w:pStyle w:val="445"/>
              <w:rPr>
                <w:rFonts w:cs="Times New Roman"/>
                <w:kern w:val="0"/>
                <w:szCs w:val="20"/>
              </w:rPr>
            </w:pPr>
            <w:r>
              <w:rPr>
                <w:rFonts w:cs="Times New Roman"/>
                <w:kern w:val="0"/>
                <w:szCs w:val="20"/>
              </w:rPr>
              <w:t>3.3</w:t>
            </w:r>
          </w:p>
        </w:tc>
      </w:tr>
      <w:tr w14:paraId="62CBC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35A954DD">
            <w:pPr>
              <w:pStyle w:val="445"/>
              <w:rPr>
                <w:rFonts w:cs="Times New Roman"/>
                <w:kern w:val="0"/>
                <w:szCs w:val="20"/>
              </w:rPr>
            </w:pPr>
            <w:r>
              <w:rPr>
                <w:rFonts w:cs="Times New Roman"/>
                <w:kern w:val="0"/>
                <w:szCs w:val="20"/>
              </w:rPr>
              <w:t>10</w:t>
            </w:r>
          </w:p>
        </w:tc>
        <w:tc>
          <w:tcPr>
            <w:tcW w:w="273" w:type="pct"/>
            <w:tcBorders>
              <w:top w:val="single" w:color="auto" w:sz="4" w:space="0"/>
              <w:left w:val="single" w:color="auto" w:sz="4" w:space="0"/>
              <w:bottom w:val="single" w:color="auto" w:sz="4" w:space="0"/>
              <w:right w:val="single" w:color="auto" w:sz="4" w:space="0"/>
            </w:tcBorders>
            <w:vAlign w:val="center"/>
          </w:tcPr>
          <w:p w14:paraId="3C297CA6">
            <w:pPr>
              <w:pStyle w:val="445"/>
              <w:rPr>
                <w:rFonts w:cs="Times New Roman"/>
                <w:kern w:val="0"/>
                <w:szCs w:val="20"/>
              </w:rPr>
            </w:pPr>
            <w:r>
              <w:rPr>
                <w:rFonts w:cs="Times New Roman"/>
                <w:kern w:val="0"/>
                <w:szCs w:val="20"/>
              </w:rPr>
              <w:t>5.4</w:t>
            </w:r>
          </w:p>
        </w:tc>
        <w:tc>
          <w:tcPr>
            <w:tcW w:w="274" w:type="pct"/>
            <w:tcBorders>
              <w:top w:val="single" w:color="auto" w:sz="4" w:space="0"/>
              <w:left w:val="single" w:color="auto" w:sz="4" w:space="0"/>
              <w:bottom w:val="single" w:color="auto" w:sz="4" w:space="0"/>
              <w:right w:val="single" w:color="auto" w:sz="4" w:space="0"/>
            </w:tcBorders>
            <w:vAlign w:val="center"/>
          </w:tcPr>
          <w:p w14:paraId="1E9FC865">
            <w:pPr>
              <w:pStyle w:val="445"/>
              <w:rPr>
                <w:rFonts w:cs="Times New Roman"/>
                <w:kern w:val="0"/>
                <w:szCs w:val="20"/>
              </w:rPr>
            </w:pPr>
            <w:r>
              <w:rPr>
                <w:rFonts w:cs="Times New Roman"/>
                <w:kern w:val="0"/>
                <w:szCs w:val="20"/>
              </w:rPr>
              <w:t>6.7</w:t>
            </w:r>
          </w:p>
        </w:tc>
        <w:tc>
          <w:tcPr>
            <w:tcW w:w="273" w:type="pct"/>
            <w:tcBorders>
              <w:top w:val="single" w:color="auto" w:sz="4" w:space="0"/>
              <w:left w:val="single" w:color="auto" w:sz="4" w:space="0"/>
              <w:bottom w:val="single" w:color="auto" w:sz="4" w:space="0"/>
              <w:right w:val="single" w:color="auto" w:sz="4" w:space="0"/>
            </w:tcBorders>
            <w:vAlign w:val="center"/>
          </w:tcPr>
          <w:p w14:paraId="72D7873B">
            <w:pPr>
              <w:pStyle w:val="445"/>
              <w:rPr>
                <w:rFonts w:cs="Times New Roman"/>
                <w:kern w:val="0"/>
                <w:szCs w:val="20"/>
              </w:rPr>
            </w:pPr>
            <w:r>
              <w:rPr>
                <w:rFonts w:cs="Times New Roman"/>
                <w:kern w:val="0"/>
                <w:szCs w:val="20"/>
              </w:rPr>
              <w:t>11.9</w:t>
            </w:r>
          </w:p>
        </w:tc>
        <w:tc>
          <w:tcPr>
            <w:tcW w:w="274" w:type="pct"/>
            <w:tcBorders>
              <w:top w:val="single" w:color="auto" w:sz="4" w:space="0"/>
              <w:left w:val="single" w:color="auto" w:sz="4" w:space="0"/>
              <w:bottom w:val="single" w:color="auto" w:sz="4" w:space="0"/>
              <w:right w:val="single" w:color="auto" w:sz="4" w:space="0"/>
            </w:tcBorders>
            <w:vAlign w:val="center"/>
          </w:tcPr>
          <w:p w14:paraId="516BD9A5">
            <w:pPr>
              <w:pStyle w:val="445"/>
              <w:rPr>
                <w:rFonts w:cs="Times New Roman"/>
                <w:kern w:val="0"/>
                <w:szCs w:val="20"/>
              </w:rPr>
            </w:pPr>
            <w:r>
              <w:rPr>
                <w:rFonts w:cs="Times New Roman"/>
                <w:kern w:val="0"/>
                <w:szCs w:val="20"/>
              </w:rPr>
              <w:t>15.3</w:t>
            </w:r>
          </w:p>
        </w:tc>
        <w:tc>
          <w:tcPr>
            <w:tcW w:w="273" w:type="pct"/>
            <w:tcBorders>
              <w:top w:val="single" w:color="auto" w:sz="4" w:space="0"/>
              <w:left w:val="single" w:color="auto" w:sz="4" w:space="0"/>
              <w:bottom w:val="single" w:color="auto" w:sz="4" w:space="0"/>
              <w:right w:val="single" w:color="auto" w:sz="4" w:space="0"/>
            </w:tcBorders>
            <w:vAlign w:val="center"/>
          </w:tcPr>
          <w:p w14:paraId="3189687B">
            <w:pPr>
              <w:pStyle w:val="445"/>
              <w:rPr>
                <w:rFonts w:cs="Times New Roman"/>
                <w:kern w:val="0"/>
                <w:szCs w:val="20"/>
              </w:rPr>
            </w:pPr>
            <w:r>
              <w:rPr>
                <w:rFonts w:cs="Times New Roman"/>
                <w:kern w:val="0"/>
                <w:szCs w:val="20"/>
              </w:rPr>
              <w:t>12.7</w:t>
            </w:r>
          </w:p>
        </w:tc>
        <w:tc>
          <w:tcPr>
            <w:tcW w:w="273" w:type="pct"/>
            <w:tcBorders>
              <w:top w:val="single" w:color="auto" w:sz="4" w:space="0"/>
              <w:left w:val="single" w:color="auto" w:sz="4" w:space="0"/>
              <w:bottom w:val="single" w:color="auto" w:sz="4" w:space="0"/>
              <w:right w:val="single" w:color="auto" w:sz="4" w:space="0"/>
            </w:tcBorders>
            <w:vAlign w:val="center"/>
          </w:tcPr>
          <w:p w14:paraId="7F7A12D8">
            <w:pPr>
              <w:pStyle w:val="445"/>
              <w:rPr>
                <w:rFonts w:cs="Times New Roman"/>
                <w:kern w:val="0"/>
                <w:szCs w:val="20"/>
              </w:rPr>
            </w:pPr>
            <w:r>
              <w:rPr>
                <w:rFonts w:cs="Times New Roman"/>
                <w:kern w:val="0"/>
                <w:szCs w:val="20"/>
              </w:rPr>
              <w:t>7.4</w:t>
            </w:r>
          </w:p>
        </w:tc>
        <w:tc>
          <w:tcPr>
            <w:tcW w:w="273" w:type="pct"/>
            <w:tcBorders>
              <w:top w:val="single" w:color="auto" w:sz="4" w:space="0"/>
              <w:left w:val="single" w:color="auto" w:sz="4" w:space="0"/>
              <w:bottom w:val="single" w:color="auto" w:sz="4" w:space="0"/>
              <w:right w:val="single" w:color="auto" w:sz="4" w:space="0"/>
            </w:tcBorders>
            <w:vAlign w:val="center"/>
          </w:tcPr>
          <w:p w14:paraId="0931D259">
            <w:pPr>
              <w:pStyle w:val="445"/>
              <w:rPr>
                <w:rFonts w:cs="Times New Roman"/>
                <w:kern w:val="0"/>
                <w:szCs w:val="20"/>
              </w:rPr>
            </w:pPr>
            <w:r>
              <w:rPr>
                <w:rFonts w:cs="Times New Roman"/>
                <w:kern w:val="0"/>
                <w:szCs w:val="20"/>
              </w:rPr>
              <w:t>5.2</w:t>
            </w:r>
          </w:p>
        </w:tc>
        <w:tc>
          <w:tcPr>
            <w:tcW w:w="273" w:type="pct"/>
            <w:tcBorders>
              <w:top w:val="single" w:color="auto" w:sz="4" w:space="0"/>
              <w:left w:val="single" w:color="auto" w:sz="4" w:space="0"/>
              <w:bottom w:val="single" w:color="auto" w:sz="4" w:space="0"/>
              <w:right w:val="single" w:color="auto" w:sz="4" w:space="0"/>
            </w:tcBorders>
            <w:vAlign w:val="center"/>
          </w:tcPr>
          <w:p w14:paraId="575F46C5">
            <w:pPr>
              <w:pStyle w:val="445"/>
              <w:rPr>
                <w:rFonts w:cs="Times New Roman"/>
                <w:kern w:val="0"/>
                <w:szCs w:val="20"/>
              </w:rPr>
            </w:pPr>
            <w:r>
              <w:rPr>
                <w:rFonts w:cs="Times New Roman"/>
                <w:kern w:val="0"/>
                <w:szCs w:val="20"/>
              </w:rPr>
              <w:t>3.2</w:t>
            </w:r>
          </w:p>
        </w:tc>
        <w:tc>
          <w:tcPr>
            <w:tcW w:w="273" w:type="pct"/>
            <w:tcBorders>
              <w:top w:val="single" w:color="auto" w:sz="4" w:space="0"/>
              <w:left w:val="single" w:color="auto" w:sz="4" w:space="0"/>
              <w:bottom w:val="single" w:color="auto" w:sz="4" w:space="0"/>
              <w:right w:val="single" w:color="auto" w:sz="4" w:space="0"/>
            </w:tcBorders>
            <w:vAlign w:val="center"/>
          </w:tcPr>
          <w:p w14:paraId="7D2AD45F">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6F22346C">
            <w:pPr>
              <w:pStyle w:val="445"/>
              <w:rPr>
                <w:rFonts w:cs="Times New Roman"/>
                <w:kern w:val="0"/>
                <w:szCs w:val="20"/>
              </w:rPr>
            </w:pPr>
            <w:r>
              <w:rPr>
                <w:rFonts w:cs="Times New Roman"/>
                <w:kern w:val="0"/>
                <w:szCs w:val="20"/>
              </w:rPr>
              <w:t>3.9</w:t>
            </w:r>
          </w:p>
        </w:tc>
        <w:tc>
          <w:tcPr>
            <w:tcW w:w="273" w:type="pct"/>
            <w:tcBorders>
              <w:top w:val="single" w:color="auto" w:sz="4" w:space="0"/>
              <w:left w:val="single" w:color="auto" w:sz="4" w:space="0"/>
              <w:bottom w:val="single" w:color="auto" w:sz="4" w:space="0"/>
              <w:right w:val="single" w:color="auto" w:sz="4" w:space="0"/>
            </w:tcBorders>
            <w:vAlign w:val="center"/>
          </w:tcPr>
          <w:p w14:paraId="0E421371">
            <w:pPr>
              <w:pStyle w:val="445"/>
              <w:rPr>
                <w:rFonts w:cs="Times New Roman"/>
                <w:kern w:val="0"/>
                <w:szCs w:val="20"/>
              </w:rPr>
            </w:pPr>
            <w:r>
              <w:rPr>
                <w:rFonts w:cs="Times New Roman"/>
                <w:kern w:val="0"/>
                <w:szCs w:val="20"/>
              </w:rPr>
              <w:t>3</w:t>
            </w:r>
          </w:p>
        </w:tc>
        <w:tc>
          <w:tcPr>
            <w:tcW w:w="273" w:type="pct"/>
            <w:tcBorders>
              <w:top w:val="single" w:color="auto" w:sz="4" w:space="0"/>
              <w:left w:val="single" w:color="auto" w:sz="4" w:space="0"/>
              <w:bottom w:val="single" w:color="auto" w:sz="4" w:space="0"/>
              <w:right w:val="single" w:color="auto" w:sz="4" w:space="0"/>
            </w:tcBorders>
            <w:vAlign w:val="center"/>
          </w:tcPr>
          <w:p w14:paraId="17F08170">
            <w:pPr>
              <w:pStyle w:val="445"/>
              <w:rPr>
                <w:rFonts w:cs="Times New Roman"/>
                <w:kern w:val="0"/>
                <w:szCs w:val="20"/>
              </w:rPr>
            </w:pPr>
            <w:r>
              <w:rPr>
                <w:rFonts w:cs="Times New Roman"/>
                <w:kern w:val="0"/>
                <w:szCs w:val="20"/>
              </w:rPr>
              <w:t>3.7</w:t>
            </w:r>
          </w:p>
        </w:tc>
        <w:tc>
          <w:tcPr>
            <w:tcW w:w="273" w:type="pct"/>
            <w:tcBorders>
              <w:top w:val="single" w:color="auto" w:sz="4" w:space="0"/>
              <w:left w:val="single" w:color="auto" w:sz="4" w:space="0"/>
              <w:bottom w:val="single" w:color="auto" w:sz="4" w:space="0"/>
              <w:right w:val="single" w:color="auto" w:sz="4" w:space="0"/>
            </w:tcBorders>
            <w:vAlign w:val="center"/>
          </w:tcPr>
          <w:p w14:paraId="00A25FB0">
            <w:pPr>
              <w:pStyle w:val="445"/>
              <w:rPr>
                <w:rFonts w:cs="Times New Roman"/>
                <w:kern w:val="0"/>
                <w:szCs w:val="20"/>
              </w:rPr>
            </w:pPr>
            <w:r>
              <w:rPr>
                <w:rFonts w:cs="Times New Roman"/>
                <w:kern w:val="0"/>
                <w:szCs w:val="20"/>
              </w:rPr>
              <w:t>3.3</w:t>
            </w:r>
          </w:p>
        </w:tc>
        <w:tc>
          <w:tcPr>
            <w:tcW w:w="273" w:type="pct"/>
            <w:tcBorders>
              <w:top w:val="single" w:color="auto" w:sz="4" w:space="0"/>
              <w:left w:val="single" w:color="auto" w:sz="4" w:space="0"/>
              <w:bottom w:val="single" w:color="auto" w:sz="4" w:space="0"/>
              <w:right w:val="single" w:color="auto" w:sz="4" w:space="0"/>
            </w:tcBorders>
            <w:vAlign w:val="center"/>
          </w:tcPr>
          <w:p w14:paraId="703D86AD">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03648D58">
            <w:pPr>
              <w:pStyle w:val="445"/>
              <w:rPr>
                <w:rFonts w:cs="Times New Roman"/>
                <w:kern w:val="0"/>
                <w:szCs w:val="20"/>
              </w:rPr>
            </w:pPr>
            <w:r>
              <w:rPr>
                <w:rFonts w:cs="Times New Roman"/>
                <w:kern w:val="0"/>
                <w:szCs w:val="20"/>
              </w:rPr>
              <w:t>4.2</w:t>
            </w:r>
          </w:p>
        </w:tc>
        <w:tc>
          <w:tcPr>
            <w:tcW w:w="273" w:type="pct"/>
            <w:tcBorders>
              <w:top w:val="single" w:color="auto" w:sz="4" w:space="0"/>
              <w:left w:val="single" w:color="auto" w:sz="4" w:space="0"/>
              <w:bottom w:val="single" w:color="auto" w:sz="4" w:space="0"/>
              <w:right w:val="single" w:color="auto" w:sz="4" w:space="0"/>
            </w:tcBorders>
            <w:vAlign w:val="center"/>
          </w:tcPr>
          <w:p w14:paraId="438F169A">
            <w:pPr>
              <w:pStyle w:val="445"/>
              <w:rPr>
                <w:rFonts w:cs="Times New Roman"/>
                <w:kern w:val="0"/>
                <w:szCs w:val="20"/>
              </w:rPr>
            </w:pPr>
            <w:r>
              <w:rPr>
                <w:rFonts w:cs="Times New Roman"/>
                <w:kern w:val="0"/>
                <w:szCs w:val="20"/>
              </w:rPr>
              <w:t>3.3</w:t>
            </w:r>
          </w:p>
        </w:tc>
        <w:tc>
          <w:tcPr>
            <w:tcW w:w="268" w:type="pct"/>
            <w:tcBorders>
              <w:top w:val="single" w:color="auto" w:sz="4" w:space="0"/>
              <w:left w:val="single" w:color="auto" w:sz="4" w:space="0"/>
              <w:bottom w:val="single" w:color="auto" w:sz="4" w:space="0"/>
              <w:right w:val="nil"/>
            </w:tcBorders>
            <w:vAlign w:val="center"/>
          </w:tcPr>
          <w:p w14:paraId="6362DD2C">
            <w:pPr>
              <w:pStyle w:val="445"/>
              <w:rPr>
                <w:rFonts w:cs="Times New Roman"/>
                <w:kern w:val="0"/>
                <w:szCs w:val="20"/>
              </w:rPr>
            </w:pPr>
            <w:r>
              <w:rPr>
                <w:rFonts w:cs="Times New Roman"/>
                <w:kern w:val="0"/>
                <w:szCs w:val="20"/>
              </w:rPr>
              <w:t>4.1</w:t>
            </w:r>
          </w:p>
        </w:tc>
      </w:tr>
      <w:tr w14:paraId="55706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62" w:type="pct"/>
            <w:tcBorders>
              <w:top w:val="single" w:color="auto" w:sz="4" w:space="0"/>
              <w:left w:val="nil"/>
              <w:bottom w:val="single" w:color="auto" w:sz="4" w:space="0"/>
              <w:right w:val="single" w:color="auto" w:sz="4" w:space="0"/>
            </w:tcBorders>
            <w:vAlign w:val="center"/>
          </w:tcPr>
          <w:p w14:paraId="3EE76A03">
            <w:pPr>
              <w:pStyle w:val="445"/>
              <w:rPr>
                <w:rFonts w:cs="Times New Roman"/>
                <w:kern w:val="0"/>
                <w:szCs w:val="20"/>
              </w:rPr>
            </w:pPr>
            <w:r>
              <w:rPr>
                <w:rFonts w:cs="Times New Roman"/>
                <w:kern w:val="0"/>
                <w:szCs w:val="20"/>
              </w:rPr>
              <w:t>11</w:t>
            </w:r>
          </w:p>
        </w:tc>
        <w:tc>
          <w:tcPr>
            <w:tcW w:w="273" w:type="pct"/>
            <w:tcBorders>
              <w:top w:val="single" w:color="auto" w:sz="4" w:space="0"/>
              <w:left w:val="single" w:color="auto" w:sz="4" w:space="0"/>
              <w:bottom w:val="single" w:color="auto" w:sz="4" w:space="0"/>
              <w:right w:val="single" w:color="auto" w:sz="4" w:space="0"/>
            </w:tcBorders>
            <w:vAlign w:val="center"/>
          </w:tcPr>
          <w:p w14:paraId="4EDAC6FC">
            <w:pPr>
              <w:pStyle w:val="445"/>
              <w:rPr>
                <w:rFonts w:cs="Times New Roman"/>
                <w:kern w:val="0"/>
                <w:szCs w:val="20"/>
              </w:rPr>
            </w:pPr>
            <w:r>
              <w:rPr>
                <w:rFonts w:cs="Times New Roman"/>
                <w:kern w:val="0"/>
                <w:szCs w:val="20"/>
              </w:rPr>
              <w:t>5.1</w:t>
            </w:r>
          </w:p>
        </w:tc>
        <w:tc>
          <w:tcPr>
            <w:tcW w:w="274" w:type="pct"/>
            <w:tcBorders>
              <w:top w:val="single" w:color="auto" w:sz="4" w:space="0"/>
              <w:left w:val="single" w:color="auto" w:sz="4" w:space="0"/>
              <w:bottom w:val="single" w:color="auto" w:sz="4" w:space="0"/>
              <w:right w:val="single" w:color="auto" w:sz="4" w:space="0"/>
            </w:tcBorders>
            <w:vAlign w:val="center"/>
          </w:tcPr>
          <w:p w14:paraId="3A109FD8">
            <w:pPr>
              <w:pStyle w:val="445"/>
              <w:rPr>
                <w:rFonts w:cs="Times New Roman"/>
                <w:kern w:val="0"/>
                <w:szCs w:val="20"/>
              </w:rPr>
            </w:pPr>
            <w:r>
              <w:rPr>
                <w:rFonts w:cs="Times New Roman"/>
                <w:kern w:val="0"/>
                <w:szCs w:val="20"/>
              </w:rPr>
              <w:t>7.1</w:t>
            </w:r>
          </w:p>
        </w:tc>
        <w:tc>
          <w:tcPr>
            <w:tcW w:w="273" w:type="pct"/>
            <w:tcBorders>
              <w:top w:val="single" w:color="auto" w:sz="4" w:space="0"/>
              <w:left w:val="single" w:color="auto" w:sz="4" w:space="0"/>
              <w:bottom w:val="single" w:color="auto" w:sz="4" w:space="0"/>
              <w:right w:val="single" w:color="auto" w:sz="4" w:space="0"/>
            </w:tcBorders>
            <w:vAlign w:val="center"/>
          </w:tcPr>
          <w:p w14:paraId="2AD0E355">
            <w:pPr>
              <w:pStyle w:val="445"/>
              <w:rPr>
                <w:rFonts w:cs="Times New Roman"/>
                <w:kern w:val="0"/>
                <w:szCs w:val="20"/>
              </w:rPr>
            </w:pPr>
            <w:r>
              <w:rPr>
                <w:rFonts w:cs="Times New Roman"/>
                <w:kern w:val="0"/>
                <w:szCs w:val="20"/>
              </w:rPr>
              <w:t>10</w:t>
            </w:r>
          </w:p>
        </w:tc>
        <w:tc>
          <w:tcPr>
            <w:tcW w:w="274" w:type="pct"/>
            <w:tcBorders>
              <w:top w:val="single" w:color="auto" w:sz="4" w:space="0"/>
              <w:left w:val="single" w:color="auto" w:sz="4" w:space="0"/>
              <w:bottom w:val="single" w:color="auto" w:sz="4" w:space="0"/>
              <w:right w:val="single" w:color="auto" w:sz="4" w:space="0"/>
            </w:tcBorders>
            <w:vAlign w:val="center"/>
          </w:tcPr>
          <w:p w14:paraId="2AAE00C2">
            <w:pPr>
              <w:pStyle w:val="445"/>
              <w:rPr>
                <w:rFonts w:cs="Times New Roman"/>
                <w:kern w:val="0"/>
                <w:szCs w:val="20"/>
              </w:rPr>
            </w:pPr>
            <w:r>
              <w:rPr>
                <w:rFonts w:cs="Times New Roman"/>
                <w:kern w:val="0"/>
                <w:szCs w:val="20"/>
              </w:rPr>
              <w:t>12.3</w:t>
            </w:r>
          </w:p>
        </w:tc>
        <w:tc>
          <w:tcPr>
            <w:tcW w:w="273" w:type="pct"/>
            <w:tcBorders>
              <w:top w:val="single" w:color="auto" w:sz="4" w:space="0"/>
              <w:left w:val="single" w:color="auto" w:sz="4" w:space="0"/>
              <w:bottom w:val="single" w:color="auto" w:sz="4" w:space="0"/>
              <w:right w:val="single" w:color="auto" w:sz="4" w:space="0"/>
            </w:tcBorders>
            <w:vAlign w:val="center"/>
          </w:tcPr>
          <w:p w14:paraId="705FD3E3">
            <w:pPr>
              <w:pStyle w:val="445"/>
              <w:rPr>
                <w:rFonts w:cs="Times New Roman"/>
                <w:kern w:val="0"/>
                <w:szCs w:val="20"/>
              </w:rPr>
            </w:pPr>
            <w:r>
              <w:rPr>
                <w:rFonts w:cs="Times New Roman"/>
                <w:kern w:val="0"/>
                <w:szCs w:val="20"/>
              </w:rPr>
              <w:t>9.5</w:t>
            </w:r>
          </w:p>
        </w:tc>
        <w:tc>
          <w:tcPr>
            <w:tcW w:w="273" w:type="pct"/>
            <w:tcBorders>
              <w:top w:val="single" w:color="auto" w:sz="4" w:space="0"/>
              <w:left w:val="single" w:color="auto" w:sz="4" w:space="0"/>
              <w:bottom w:val="single" w:color="auto" w:sz="4" w:space="0"/>
              <w:right w:val="single" w:color="auto" w:sz="4" w:space="0"/>
            </w:tcBorders>
            <w:vAlign w:val="center"/>
          </w:tcPr>
          <w:p w14:paraId="27509B42">
            <w:pPr>
              <w:pStyle w:val="445"/>
              <w:rPr>
                <w:rFonts w:cs="Times New Roman"/>
                <w:kern w:val="0"/>
                <w:szCs w:val="20"/>
              </w:rPr>
            </w:pPr>
            <w:r>
              <w:rPr>
                <w:rFonts w:cs="Times New Roman"/>
                <w:kern w:val="0"/>
                <w:szCs w:val="20"/>
              </w:rPr>
              <w:t>4.6</w:t>
            </w:r>
          </w:p>
        </w:tc>
        <w:tc>
          <w:tcPr>
            <w:tcW w:w="273" w:type="pct"/>
            <w:tcBorders>
              <w:top w:val="single" w:color="auto" w:sz="4" w:space="0"/>
              <w:left w:val="single" w:color="auto" w:sz="4" w:space="0"/>
              <w:bottom w:val="single" w:color="auto" w:sz="4" w:space="0"/>
              <w:right w:val="single" w:color="auto" w:sz="4" w:space="0"/>
            </w:tcBorders>
            <w:vAlign w:val="center"/>
          </w:tcPr>
          <w:p w14:paraId="5A610D1D">
            <w:pPr>
              <w:pStyle w:val="445"/>
              <w:rPr>
                <w:rFonts w:cs="Times New Roman"/>
                <w:kern w:val="0"/>
                <w:szCs w:val="20"/>
              </w:rPr>
            </w:pPr>
            <w:r>
              <w:rPr>
                <w:rFonts w:cs="Times New Roman"/>
                <w:kern w:val="0"/>
                <w:szCs w:val="20"/>
              </w:rPr>
              <w:t>5.1</w:t>
            </w:r>
          </w:p>
        </w:tc>
        <w:tc>
          <w:tcPr>
            <w:tcW w:w="273" w:type="pct"/>
            <w:tcBorders>
              <w:top w:val="single" w:color="auto" w:sz="4" w:space="0"/>
              <w:left w:val="single" w:color="auto" w:sz="4" w:space="0"/>
              <w:bottom w:val="single" w:color="auto" w:sz="4" w:space="0"/>
              <w:right w:val="single" w:color="auto" w:sz="4" w:space="0"/>
            </w:tcBorders>
            <w:vAlign w:val="center"/>
          </w:tcPr>
          <w:p w14:paraId="5840FF14">
            <w:pPr>
              <w:pStyle w:val="445"/>
              <w:rPr>
                <w:rFonts w:cs="Times New Roman"/>
                <w:kern w:val="0"/>
                <w:szCs w:val="20"/>
              </w:rPr>
            </w:pPr>
            <w:r>
              <w:rPr>
                <w:rFonts w:cs="Times New Roman"/>
                <w:kern w:val="0"/>
                <w:szCs w:val="20"/>
              </w:rPr>
              <w:t>3.4</w:t>
            </w:r>
          </w:p>
        </w:tc>
        <w:tc>
          <w:tcPr>
            <w:tcW w:w="273" w:type="pct"/>
            <w:tcBorders>
              <w:top w:val="single" w:color="auto" w:sz="4" w:space="0"/>
              <w:left w:val="single" w:color="auto" w:sz="4" w:space="0"/>
              <w:bottom w:val="single" w:color="auto" w:sz="4" w:space="0"/>
              <w:right w:val="single" w:color="auto" w:sz="4" w:space="0"/>
            </w:tcBorders>
            <w:vAlign w:val="center"/>
          </w:tcPr>
          <w:p w14:paraId="50869189">
            <w:pPr>
              <w:pStyle w:val="445"/>
              <w:rPr>
                <w:rFonts w:cs="Times New Roman"/>
                <w:kern w:val="0"/>
                <w:szCs w:val="20"/>
              </w:rPr>
            </w:pPr>
            <w:r>
              <w:rPr>
                <w:rFonts w:cs="Times New Roman"/>
                <w:kern w:val="0"/>
                <w:szCs w:val="20"/>
              </w:rPr>
              <w:t>4.3</w:t>
            </w:r>
          </w:p>
        </w:tc>
        <w:tc>
          <w:tcPr>
            <w:tcW w:w="273" w:type="pct"/>
            <w:tcBorders>
              <w:top w:val="single" w:color="auto" w:sz="4" w:space="0"/>
              <w:left w:val="single" w:color="auto" w:sz="4" w:space="0"/>
              <w:bottom w:val="single" w:color="auto" w:sz="4" w:space="0"/>
              <w:right w:val="single" w:color="auto" w:sz="4" w:space="0"/>
            </w:tcBorders>
            <w:vAlign w:val="center"/>
          </w:tcPr>
          <w:p w14:paraId="558A047E">
            <w:pPr>
              <w:pStyle w:val="445"/>
              <w:rPr>
                <w:rFonts w:cs="Times New Roman"/>
                <w:kern w:val="0"/>
                <w:szCs w:val="20"/>
              </w:rPr>
            </w:pPr>
            <w:r>
              <w:rPr>
                <w:rFonts w:cs="Times New Roman"/>
                <w:kern w:val="0"/>
                <w:szCs w:val="20"/>
              </w:rPr>
              <w:t>5.8</w:t>
            </w:r>
          </w:p>
        </w:tc>
        <w:tc>
          <w:tcPr>
            <w:tcW w:w="273" w:type="pct"/>
            <w:tcBorders>
              <w:top w:val="single" w:color="auto" w:sz="4" w:space="0"/>
              <w:left w:val="single" w:color="auto" w:sz="4" w:space="0"/>
              <w:bottom w:val="single" w:color="auto" w:sz="4" w:space="0"/>
              <w:right w:val="single" w:color="auto" w:sz="4" w:space="0"/>
            </w:tcBorders>
            <w:vAlign w:val="center"/>
          </w:tcPr>
          <w:p w14:paraId="2ADB39CE">
            <w:pPr>
              <w:pStyle w:val="445"/>
              <w:rPr>
                <w:rFonts w:cs="Times New Roman"/>
                <w:kern w:val="0"/>
                <w:szCs w:val="20"/>
              </w:rPr>
            </w:pPr>
            <w:r>
              <w:rPr>
                <w:rFonts w:cs="Times New Roman"/>
                <w:kern w:val="0"/>
                <w:szCs w:val="20"/>
              </w:rPr>
              <w:t>5.2</w:t>
            </w:r>
          </w:p>
        </w:tc>
        <w:tc>
          <w:tcPr>
            <w:tcW w:w="273" w:type="pct"/>
            <w:tcBorders>
              <w:top w:val="single" w:color="auto" w:sz="4" w:space="0"/>
              <w:left w:val="single" w:color="auto" w:sz="4" w:space="0"/>
              <w:bottom w:val="single" w:color="auto" w:sz="4" w:space="0"/>
              <w:right w:val="single" w:color="auto" w:sz="4" w:space="0"/>
            </w:tcBorders>
            <w:vAlign w:val="center"/>
          </w:tcPr>
          <w:p w14:paraId="37455A1F">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4" w:space="0"/>
              <w:right w:val="single" w:color="auto" w:sz="4" w:space="0"/>
            </w:tcBorders>
            <w:vAlign w:val="center"/>
          </w:tcPr>
          <w:p w14:paraId="7A9F1945">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4" w:space="0"/>
              <w:right w:val="single" w:color="auto" w:sz="4" w:space="0"/>
            </w:tcBorders>
            <w:vAlign w:val="center"/>
          </w:tcPr>
          <w:p w14:paraId="44996D3E">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4" w:space="0"/>
              <w:right w:val="single" w:color="auto" w:sz="4" w:space="0"/>
            </w:tcBorders>
            <w:vAlign w:val="center"/>
          </w:tcPr>
          <w:p w14:paraId="4D00C30E">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4" w:space="0"/>
              <w:right w:val="single" w:color="auto" w:sz="4" w:space="0"/>
            </w:tcBorders>
            <w:vAlign w:val="center"/>
          </w:tcPr>
          <w:p w14:paraId="3147E0A1">
            <w:pPr>
              <w:pStyle w:val="445"/>
              <w:rPr>
                <w:rFonts w:cs="Times New Roman"/>
                <w:kern w:val="0"/>
                <w:szCs w:val="20"/>
              </w:rPr>
            </w:pPr>
            <w:r>
              <w:rPr>
                <w:rFonts w:cs="Times New Roman"/>
                <w:kern w:val="0"/>
                <w:szCs w:val="20"/>
              </w:rPr>
              <w:t>4.3</w:t>
            </w:r>
          </w:p>
        </w:tc>
        <w:tc>
          <w:tcPr>
            <w:tcW w:w="268" w:type="pct"/>
            <w:tcBorders>
              <w:top w:val="single" w:color="auto" w:sz="4" w:space="0"/>
              <w:left w:val="single" w:color="auto" w:sz="4" w:space="0"/>
              <w:bottom w:val="single" w:color="auto" w:sz="4" w:space="0"/>
              <w:right w:val="nil"/>
            </w:tcBorders>
            <w:vAlign w:val="center"/>
          </w:tcPr>
          <w:p w14:paraId="2D815396">
            <w:pPr>
              <w:pStyle w:val="445"/>
              <w:rPr>
                <w:rFonts w:cs="Times New Roman"/>
                <w:kern w:val="0"/>
                <w:szCs w:val="20"/>
              </w:rPr>
            </w:pPr>
            <w:r>
              <w:rPr>
                <w:rFonts w:cs="Times New Roman"/>
                <w:kern w:val="0"/>
                <w:szCs w:val="20"/>
              </w:rPr>
              <w:t>4.8</w:t>
            </w:r>
          </w:p>
        </w:tc>
      </w:tr>
      <w:tr w14:paraId="5141F7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62" w:type="pct"/>
            <w:tcBorders>
              <w:top w:val="single" w:color="auto" w:sz="4" w:space="0"/>
              <w:left w:val="nil"/>
              <w:bottom w:val="single" w:color="auto" w:sz="12" w:space="0"/>
              <w:right w:val="single" w:color="auto" w:sz="4" w:space="0"/>
            </w:tcBorders>
            <w:vAlign w:val="center"/>
          </w:tcPr>
          <w:p w14:paraId="53FF42AB">
            <w:pPr>
              <w:pStyle w:val="445"/>
              <w:rPr>
                <w:rFonts w:cs="Times New Roman"/>
                <w:kern w:val="0"/>
                <w:szCs w:val="20"/>
              </w:rPr>
            </w:pPr>
            <w:r>
              <w:rPr>
                <w:rFonts w:cs="Times New Roman"/>
                <w:kern w:val="0"/>
                <w:szCs w:val="20"/>
              </w:rPr>
              <w:t>12</w:t>
            </w:r>
          </w:p>
        </w:tc>
        <w:tc>
          <w:tcPr>
            <w:tcW w:w="273" w:type="pct"/>
            <w:tcBorders>
              <w:top w:val="single" w:color="auto" w:sz="4" w:space="0"/>
              <w:left w:val="single" w:color="auto" w:sz="4" w:space="0"/>
              <w:bottom w:val="single" w:color="auto" w:sz="12" w:space="0"/>
              <w:right w:val="single" w:color="auto" w:sz="4" w:space="0"/>
            </w:tcBorders>
            <w:vAlign w:val="center"/>
          </w:tcPr>
          <w:p w14:paraId="02AD6CFF">
            <w:pPr>
              <w:pStyle w:val="445"/>
              <w:rPr>
                <w:rFonts w:cs="Times New Roman"/>
                <w:kern w:val="0"/>
                <w:szCs w:val="20"/>
              </w:rPr>
            </w:pPr>
            <w:r>
              <w:rPr>
                <w:rFonts w:cs="Times New Roman"/>
                <w:kern w:val="0"/>
                <w:szCs w:val="20"/>
              </w:rPr>
              <w:t>5.2</w:t>
            </w:r>
          </w:p>
        </w:tc>
        <w:tc>
          <w:tcPr>
            <w:tcW w:w="274" w:type="pct"/>
            <w:tcBorders>
              <w:top w:val="single" w:color="auto" w:sz="4" w:space="0"/>
              <w:left w:val="single" w:color="auto" w:sz="4" w:space="0"/>
              <w:bottom w:val="single" w:color="auto" w:sz="12" w:space="0"/>
              <w:right w:val="single" w:color="auto" w:sz="4" w:space="0"/>
            </w:tcBorders>
            <w:vAlign w:val="center"/>
          </w:tcPr>
          <w:p w14:paraId="523B2211">
            <w:pPr>
              <w:pStyle w:val="445"/>
              <w:rPr>
                <w:rFonts w:cs="Times New Roman"/>
                <w:kern w:val="0"/>
                <w:szCs w:val="20"/>
              </w:rPr>
            </w:pPr>
            <w:r>
              <w:rPr>
                <w:rFonts w:cs="Times New Roman"/>
                <w:kern w:val="0"/>
                <w:szCs w:val="20"/>
              </w:rPr>
              <w:t>7.5</w:t>
            </w:r>
          </w:p>
        </w:tc>
        <w:tc>
          <w:tcPr>
            <w:tcW w:w="273" w:type="pct"/>
            <w:tcBorders>
              <w:top w:val="single" w:color="auto" w:sz="4" w:space="0"/>
              <w:left w:val="single" w:color="auto" w:sz="4" w:space="0"/>
              <w:bottom w:val="single" w:color="auto" w:sz="12" w:space="0"/>
              <w:right w:val="single" w:color="auto" w:sz="4" w:space="0"/>
            </w:tcBorders>
            <w:vAlign w:val="center"/>
          </w:tcPr>
          <w:p w14:paraId="4196BF31">
            <w:pPr>
              <w:pStyle w:val="445"/>
              <w:rPr>
                <w:rFonts w:cs="Times New Roman"/>
                <w:kern w:val="0"/>
                <w:szCs w:val="20"/>
              </w:rPr>
            </w:pPr>
            <w:r>
              <w:rPr>
                <w:rFonts w:cs="Times New Roman"/>
                <w:kern w:val="0"/>
                <w:szCs w:val="20"/>
              </w:rPr>
              <w:t>11.3</w:t>
            </w:r>
          </w:p>
        </w:tc>
        <w:tc>
          <w:tcPr>
            <w:tcW w:w="274" w:type="pct"/>
            <w:tcBorders>
              <w:top w:val="single" w:color="auto" w:sz="4" w:space="0"/>
              <w:left w:val="single" w:color="auto" w:sz="4" w:space="0"/>
              <w:bottom w:val="single" w:color="auto" w:sz="12" w:space="0"/>
              <w:right w:val="single" w:color="auto" w:sz="4" w:space="0"/>
            </w:tcBorders>
            <w:vAlign w:val="center"/>
          </w:tcPr>
          <w:p w14:paraId="4F31A38D">
            <w:pPr>
              <w:pStyle w:val="445"/>
              <w:rPr>
                <w:rFonts w:cs="Times New Roman"/>
                <w:kern w:val="0"/>
                <w:szCs w:val="20"/>
              </w:rPr>
            </w:pPr>
            <w:r>
              <w:rPr>
                <w:rFonts w:cs="Times New Roman"/>
                <w:kern w:val="0"/>
                <w:szCs w:val="20"/>
              </w:rPr>
              <w:t>11.3</w:t>
            </w:r>
          </w:p>
        </w:tc>
        <w:tc>
          <w:tcPr>
            <w:tcW w:w="273" w:type="pct"/>
            <w:tcBorders>
              <w:top w:val="single" w:color="auto" w:sz="4" w:space="0"/>
              <w:left w:val="single" w:color="auto" w:sz="4" w:space="0"/>
              <w:bottom w:val="single" w:color="auto" w:sz="12" w:space="0"/>
              <w:right w:val="single" w:color="auto" w:sz="4" w:space="0"/>
            </w:tcBorders>
            <w:vAlign w:val="center"/>
          </w:tcPr>
          <w:p w14:paraId="3E5C2F84">
            <w:pPr>
              <w:pStyle w:val="445"/>
              <w:rPr>
                <w:rFonts w:cs="Times New Roman"/>
                <w:kern w:val="0"/>
                <w:szCs w:val="20"/>
              </w:rPr>
            </w:pPr>
            <w:r>
              <w:rPr>
                <w:rFonts w:cs="Times New Roman"/>
                <w:kern w:val="0"/>
                <w:szCs w:val="20"/>
              </w:rPr>
              <w:t>7.8</w:t>
            </w:r>
          </w:p>
        </w:tc>
        <w:tc>
          <w:tcPr>
            <w:tcW w:w="273" w:type="pct"/>
            <w:tcBorders>
              <w:top w:val="single" w:color="auto" w:sz="4" w:space="0"/>
              <w:left w:val="single" w:color="auto" w:sz="4" w:space="0"/>
              <w:bottom w:val="single" w:color="auto" w:sz="12" w:space="0"/>
              <w:right w:val="single" w:color="auto" w:sz="4" w:space="0"/>
            </w:tcBorders>
            <w:vAlign w:val="center"/>
          </w:tcPr>
          <w:p w14:paraId="7197A5E1">
            <w:pPr>
              <w:pStyle w:val="445"/>
              <w:rPr>
                <w:rFonts w:cs="Times New Roman"/>
                <w:kern w:val="0"/>
                <w:szCs w:val="20"/>
              </w:rPr>
            </w:pPr>
            <w:r>
              <w:rPr>
                <w:rFonts w:cs="Times New Roman"/>
                <w:kern w:val="0"/>
                <w:szCs w:val="20"/>
              </w:rPr>
              <w:t>4</w:t>
            </w:r>
          </w:p>
        </w:tc>
        <w:tc>
          <w:tcPr>
            <w:tcW w:w="273" w:type="pct"/>
            <w:tcBorders>
              <w:top w:val="single" w:color="auto" w:sz="4" w:space="0"/>
              <w:left w:val="single" w:color="auto" w:sz="4" w:space="0"/>
              <w:bottom w:val="single" w:color="auto" w:sz="12" w:space="0"/>
              <w:right w:val="single" w:color="auto" w:sz="4" w:space="0"/>
            </w:tcBorders>
            <w:vAlign w:val="center"/>
          </w:tcPr>
          <w:p w14:paraId="61C39B27">
            <w:pPr>
              <w:pStyle w:val="445"/>
              <w:rPr>
                <w:rFonts w:cs="Times New Roman"/>
                <w:kern w:val="0"/>
                <w:szCs w:val="20"/>
              </w:rPr>
            </w:pPr>
            <w:r>
              <w:rPr>
                <w:rFonts w:cs="Times New Roman"/>
                <w:kern w:val="0"/>
                <w:szCs w:val="20"/>
              </w:rPr>
              <w:t>4.5</w:t>
            </w:r>
          </w:p>
        </w:tc>
        <w:tc>
          <w:tcPr>
            <w:tcW w:w="273" w:type="pct"/>
            <w:tcBorders>
              <w:top w:val="single" w:color="auto" w:sz="4" w:space="0"/>
              <w:left w:val="single" w:color="auto" w:sz="4" w:space="0"/>
              <w:bottom w:val="single" w:color="auto" w:sz="12" w:space="0"/>
              <w:right w:val="single" w:color="auto" w:sz="4" w:space="0"/>
            </w:tcBorders>
            <w:vAlign w:val="center"/>
          </w:tcPr>
          <w:p w14:paraId="28240F18">
            <w:pPr>
              <w:pStyle w:val="445"/>
              <w:rPr>
                <w:rFonts w:cs="Times New Roman"/>
                <w:kern w:val="0"/>
                <w:szCs w:val="20"/>
              </w:rPr>
            </w:pPr>
            <w:r>
              <w:rPr>
                <w:rFonts w:cs="Times New Roman"/>
                <w:kern w:val="0"/>
                <w:szCs w:val="20"/>
              </w:rPr>
              <w:t>2.6</w:t>
            </w:r>
          </w:p>
        </w:tc>
        <w:tc>
          <w:tcPr>
            <w:tcW w:w="273" w:type="pct"/>
            <w:tcBorders>
              <w:top w:val="single" w:color="auto" w:sz="4" w:space="0"/>
              <w:left w:val="single" w:color="auto" w:sz="4" w:space="0"/>
              <w:bottom w:val="single" w:color="auto" w:sz="12" w:space="0"/>
              <w:right w:val="single" w:color="auto" w:sz="4" w:space="0"/>
            </w:tcBorders>
            <w:vAlign w:val="center"/>
          </w:tcPr>
          <w:p w14:paraId="0A63E317">
            <w:pPr>
              <w:pStyle w:val="445"/>
              <w:rPr>
                <w:rFonts w:cs="Times New Roman"/>
                <w:kern w:val="0"/>
                <w:szCs w:val="20"/>
              </w:rPr>
            </w:pPr>
            <w:r>
              <w:rPr>
                <w:rFonts w:cs="Times New Roman"/>
                <w:kern w:val="0"/>
                <w:szCs w:val="20"/>
              </w:rPr>
              <w:t>3.8</w:t>
            </w:r>
          </w:p>
        </w:tc>
        <w:tc>
          <w:tcPr>
            <w:tcW w:w="273" w:type="pct"/>
            <w:tcBorders>
              <w:top w:val="single" w:color="auto" w:sz="4" w:space="0"/>
              <w:left w:val="single" w:color="auto" w:sz="4" w:space="0"/>
              <w:bottom w:val="single" w:color="auto" w:sz="12" w:space="0"/>
              <w:right w:val="single" w:color="auto" w:sz="4" w:space="0"/>
            </w:tcBorders>
            <w:vAlign w:val="center"/>
          </w:tcPr>
          <w:p w14:paraId="350B94E4">
            <w:pPr>
              <w:pStyle w:val="445"/>
              <w:rPr>
                <w:rFonts w:cs="Times New Roman"/>
                <w:kern w:val="0"/>
                <w:szCs w:val="20"/>
              </w:rPr>
            </w:pPr>
            <w:r>
              <w:rPr>
                <w:rFonts w:cs="Times New Roman"/>
                <w:kern w:val="0"/>
                <w:szCs w:val="20"/>
              </w:rPr>
              <w:t>6.2</w:t>
            </w:r>
          </w:p>
        </w:tc>
        <w:tc>
          <w:tcPr>
            <w:tcW w:w="273" w:type="pct"/>
            <w:tcBorders>
              <w:top w:val="single" w:color="auto" w:sz="4" w:space="0"/>
              <w:left w:val="single" w:color="auto" w:sz="4" w:space="0"/>
              <w:bottom w:val="single" w:color="auto" w:sz="12" w:space="0"/>
              <w:right w:val="single" w:color="auto" w:sz="4" w:space="0"/>
            </w:tcBorders>
            <w:vAlign w:val="center"/>
          </w:tcPr>
          <w:p w14:paraId="185BB6C3">
            <w:pPr>
              <w:pStyle w:val="445"/>
              <w:rPr>
                <w:rFonts w:cs="Times New Roman"/>
                <w:kern w:val="0"/>
                <w:szCs w:val="20"/>
              </w:rPr>
            </w:pPr>
            <w:r>
              <w:rPr>
                <w:rFonts w:cs="Times New Roman"/>
                <w:kern w:val="0"/>
                <w:szCs w:val="20"/>
              </w:rPr>
              <w:t>5.9</w:t>
            </w:r>
          </w:p>
        </w:tc>
        <w:tc>
          <w:tcPr>
            <w:tcW w:w="273" w:type="pct"/>
            <w:tcBorders>
              <w:top w:val="single" w:color="auto" w:sz="4" w:space="0"/>
              <w:left w:val="single" w:color="auto" w:sz="4" w:space="0"/>
              <w:bottom w:val="single" w:color="auto" w:sz="12" w:space="0"/>
              <w:right w:val="single" w:color="auto" w:sz="4" w:space="0"/>
            </w:tcBorders>
            <w:vAlign w:val="center"/>
          </w:tcPr>
          <w:p w14:paraId="117F18B4">
            <w:pPr>
              <w:pStyle w:val="445"/>
              <w:rPr>
                <w:rFonts w:cs="Times New Roman"/>
                <w:kern w:val="0"/>
                <w:szCs w:val="20"/>
              </w:rPr>
            </w:pPr>
            <w:r>
              <w:rPr>
                <w:rFonts w:cs="Times New Roman"/>
                <w:kern w:val="0"/>
                <w:szCs w:val="20"/>
              </w:rPr>
              <w:t>4.8</w:t>
            </w:r>
          </w:p>
        </w:tc>
        <w:tc>
          <w:tcPr>
            <w:tcW w:w="273" w:type="pct"/>
            <w:tcBorders>
              <w:top w:val="single" w:color="auto" w:sz="4" w:space="0"/>
              <w:left w:val="single" w:color="auto" w:sz="4" w:space="0"/>
              <w:bottom w:val="single" w:color="auto" w:sz="12" w:space="0"/>
              <w:right w:val="single" w:color="auto" w:sz="4" w:space="0"/>
            </w:tcBorders>
            <w:vAlign w:val="center"/>
          </w:tcPr>
          <w:p w14:paraId="53E37E44">
            <w:pPr>
              <w:pStyle w:val="445"/>
              <w:rPr>
                <w:rFonts w:cs="Times New Roman"/>
                <w:kern w:val="0"/>
                <w:szCs w:val="20"/>
              </w:rPr>
            </w:pPr>
            <w:r>
              <w:rPr>
                <w:rFonts w:cs="Times New Roman"/>
                <w:kern w:val="0"/>
                <w:szCs w:val="20"/>
              </w:rPr>
              <w:t>5.5</w:t>
            </w:r>
          </w:p>
        </w:tc>
        <w:tc>
          <w:tcPr>
            <w:tcW w:w="273" w:type="pct"/>
            <w:tcBorders>
              <w:top w:val="single" w:color="auto" w:sz="4" w:space="0"/>
              <w:left w:val="single" w:color="auto" w:sz="4" w:space="0"/>
              <w:bottom w:val="single" w:color="auto" w:sz="12" w:space="0"/>
              <w:right w:val="single" w:color="auto" w:sz="4" w:space="0"/>
            </w:tcBorders>
            <w:vAlign w:val="center"/>
          </w:tcPr>
          <w:p w14:paraId="596FDE7A">
            <w:pPr>
              <w:pStyle w:val="445"/>
              <w:rPr>
                <w:rFonts w:cs="Times New Roman"/>
                <w:kern w:val="0"/>
                <w:szCs w:val="20"/>
              </w:rPr>
            </w:pPr>
            <w:r>
              <w:rPr>
                <w:rFonts w:cs="Times New Roman"/>
                <w:kern w:val="0"/>
                <w:szCs w:val="20"/>
              </w:rPr>
              <w:t>5.8</w:t>
            </w:r>
          </w:p>
        </w:tc>
        <w:tc>
          <w:tcPr>
            <w:tcW w:w="273" w:type="pct"/>
            <w:tcBorders>
              <w:top w:val="single" w:color="auto" w:sz="4" w:space="0"/>
              <w:left w:val="single" w:color="auto" w:sz="4" w:space="0"/>
              <w:bottom w:val="single" w:color="auto" w:sz="12" w:space="0"/>
              <w:right w:val="single" w:color="auto" w:sz="4" w:space="0"/>
            </w:tcBorders>
            <w:vAlign w:val="center"/>
          </w:tcPr>
          <w:p w14:paraId="33B6DE1D">
            <w:pPr>
              <w:pStyle w:val="445"/>
              <w:rPr>
                <w:rFonts w:cs="Times New Roman"/>
                <w:kern w:val="0"/>
                <w:szCs w:val="20"/>
              </w:rPr>
            </w:pPr>
            <w:r>
              <w:rPr>
                <w:rFonts w:cs="Times New Roman"/>
                <w:kern w:val="0"/>
                <w:szCs w:val="20"/>
              </w:rPr>
              <w:t>5.7</w:t>
            </w:r>
          </w:p>
        </w:tc>
        <w:tc>
          <w:tcPr>
            <w:tcW w:w="273" w:type="pct"/>
            <w:tcBorders>
              <w:top w:val="single" w:color="auto" w:sz="4" w:space="0"/>
              <w:left w:val="single" w:color="auto" w:sz="4" w:space="0"/>
              <w:bottom w:val="single" w:color="auto" w:sz="12" w:space="0"/>
              <w:right w:val="single" w:color="auto" w:sz="4" w:space="0"/>
            </w:tcBorders>
            <w:vAlign w:val="center"/>
          </w:tcPr>
          <w:p w14:paraId="0973D8AD">
            <w:pPr>
              <w:pStyle w:val="445"/>
              <w:rPr>
                <w:rFonts w:cs="Times New Roman"/>
                <w:kern w:val="0"/>
                <w:szCs w:val="20"/>
              </w:rPr>
            </w:pPr>
            <w:r>
              <w:rPr>
                <w:rFonts w:cs="Times New Roman"/>
                <w:kern w:val="0"/>
                <w:szCs w:val="20"/>
              </w:rPr>
              <w:t>4.7</w:t>
            </w:r>
          </w:p>
        </w:tc>
        <w:tc>
          <w:tcPr>
            <w:tcW w:w="268" w:type="pct"/>
            <w:tcBorders>
              <w:top w:val="single" w:color="auto" w:sz="4" w:space="0"/>
              <w:left w:val="single" w:color="auto" w:sz="4" w:space="0"/>
              <w:bottom w:val="single" w:color="auto" w:sz="12" w:space="0"/>
              <w:right w:val="nil"/>
            </w:tcBorders>
            <w:vAlign w:val="center"/>
          </w:tcPr>
          <w:p w14:paraId="3C4C2C08">
            <w:pPr>
              <w:pStyle w:val="445"/>
              <w:rPr>
                <w:rFonts w:cs="Times New Roman"/>
                <w:kern w:val="0"/>
                <w:szCs w:val="20"/>
              </w:rPr>
            </w:pPr>
            <w:r>
              <w:rPr>
                <w:rFonts w:cs="Times New Roman"/>
                <w:kern w:val="0"/>
                <w:szCs w:val="20"/>
              </w:rPr>
              <w:t>3.6</w:t>
            </w:r>
          </w:p>
        </w:tc>
      </w:tr>
    </w:tbl>
    <w:p w14:paraId="21E787AC">
      <w:pPr>
        <w:ind w:firstLine="480"/>
      </w:pPr>
    </w:p>
    <w:p w14:paraId="0E270A1D">
      <w:pPr>
        <w:ind w:firstLine="480"/>
        <w:sectPr>
          <w:pgSz w:w="16839" w:h="11907" w:orient="landscape"/>
          <w:pgMar w:top="1440" w:right="1440" w:bottom="1440" w:left="1440" w:header="851" w:footer="992" w:gutter="0"/>
          <w:cols w:space="425" w:num="1"/>
          <w:docGrid w:type="lines" w:linePitch="326" w:charSpace="0"/>
        </w:sectPr>
      </w:pPr>
    </w:p>
    <w:p w14:paraId="752073B2">
      <w:pPr>
        <w:pStyle w:val="349"/>
      </w:pPr>
      <w:r>
        <w:rPr>
          <w:rFonts w:hint="eastAsia"/>
        </w:rPr>
        <w:t>5.1.1.2评价基准年气象资料统计</w:t>
      </w:r>
    </w:p>
    <w:p w14:paraId="79035ACD">
      <w:pPr>
        <w:ind w:firstLine="480"/>
      </w:pPr>
      <w:r>
        <w:rPr>
          <w:rFonts w:hint="eastAsia" w:ascii="宋体" w:hAnsi="宋体"/>
        </w:rPr>
        <w:t>本项目的大气环境影响评价等级为一级，预测范围自厂界外延</w:t>
      </w:r>
      <w:r>
        <w:t>2.5km</w:t>
      </w:r>
      <w:r>
        <w:rPr>
          <w:rFonts w:hint="eastAsia" w:ascii="宋体" w:hAnsi="宋体"/>
        </w:rPr>
        <w:t>矩形区域，根据《环境影响评价技术导则》（</w:t>
      </w:r>
      <w:r>
        <w:t>HJ2.2-2018)</w:t>
      </w:r>
      <w:r>
        <w:rPr>
          <w:rFonts w:hint="eastAsia" w:ascii="宋体" w:hAnsi="宋体"/>
        </w:rPr>
        <w:t>，评价基准年可选择近</w:t>
      </w:r>
      <w:r>
        <w:t>3</w:t>
      </w:r>
      <w:r>
        <w:rPr>
          <w:rFonts w:hint="eastAsia" w:ascii="宋体" w:hAnsi="宋体"/>
        </w:rPr>
        <w:t>年中数据相对完整的</w:t>
      </w:r>
      <w:r>
        <w:t>1</w:t>
      </w:r>
      <w:r>
        <w:rPr>
          <w:rFonts w:hint="eastAsia" w:ascii="宋体" w:hAnsi="宋体"/>
        </w:rPr>
        <w:t>个日历年作为评价基准年，本评价选择</w:t>
      </w:r>
      <w:r>
        <w:t>2020</w:t>
      </w:r>
      <w:r>
        <w:rPr>
          <w:rFonts w:hint="eastAsia" w:ascii="宋体" w:hAnsi="宋体"/>
        </w:rPr>
        <w:t>年为评价基准年。</w:t>
      </w:r>
    </w:p>
    <w:p w14:paraId="10BF58B2">
      <w:pPr>
        <w:ind w:firstLine="480"/>
      </w:pPr>
      <w:r>
        <w:rPr>
          <w:rFonts w:ascii="宋体" w:hAnsi="宋体"/>
        </w:rPr>
        <w:t>本次评价采用蚌埠市气象站</w:t>
      </w:r>
      <w:r>
        <w:t>2020</w:t>
      </w:r>
      <w:r>
        <w:rPr>
          <w:rFonts w:ascii="宋体" w:hAnsi="宋体"/>
        </w:rPr>
        <w:t>年的地面站逐时气象数据和高空模拟气象数据。</w:t>
      </w:r>
    </w:p>
    <w:p w14:paraId="17BA5FA3">
      <w:pPr>
        <w:ind w:firstLine="480"/>
      </w:pPr>
      <w:r>
        <w:rPr>
          <w:rFonts w:ascii="宋体" w:hAnsi="宋体"/>
        </w:rPr>
        <w:t>蚌埠市气象站（编号</w:t>
      </w:r>
      <w:r>
        <w:rPr>
          <w:rFonts w:hint="eastAsia" w:ascii="宋体" w:hAnsi="宋体"/>
        </w:rPr>
        <w:t>：</w:t>
      </w:r>
      <w:r>
        <w:t>58221</w:t>
      </w:r>
      <w:r>
        <w:rPr>
          <w:rFonts w:ascii="宋体" w:hAnsi="宋体"/>
        </w:rPr>
        <w:t>）位于安徽省蚌埠市，地理坐标为地处东经</w:t>
      </w:r>
      <w:r>
        <w:rPr>
          <w:kern w:val="0"/>
        </w:rPr>
        <w:t>117.3044</w:t>
      </w:r>
      <w:r>
        <w:t>°</w:t>
      </w:r>
      <w:r>
        <w:rPr>
          <w:rFonts w:ascii="宋体" w:hAnsi="宋体"/>
        </w:rPr>
        <w:t>，北纬</w:t>
      </w:r>
      <w:r>
        <w:rPr>
          <w:kern w:val="0"/>
        </w:rPr>
        <w:t>32.8436</w:t>
      </w:r>
      <w:r>
        <w:t>°</w:t>
      </w:r>
      <w:r>
        <w:rPr>
          <w:rFonts w:ascii="宋体" w:hAnsi="宋体"/>
        </w:rPr>
        <w:t>，海拔高度</w:t>
      </w:r>
      <w:r>
        <w:rPr>
          <w:kern w:val="0"/>
        </w:rPr>
        <w:t>26.8</w:t>
      </w:r>
      <w:r>
        <w:rPr>
          <w:rFonts w:ascii="宋体" w:hAnsi="宋体"/>
        </w:rPr>
        <w:t>米。站点性质为基本站。基准年为</w:t>
      </w:r>
      <w:r>
        <w:t>2020</w:t>
      </w:r>
      <w:r>
        <w:rPr>
          <w:rFonts w:ascii="宋体" w:hAnsi="宋体"/>
        </w:rPr>
        <w:t>年。</w:t>
      </w:r>
    </w:p>
    <w:p w14:paraId="63F3A1D1">
      <w:pPr>
        <w:ind w:firstLine="480"/>
      </w:pPr>
      <w:r>
        <w:rPr>
          <w:rFonts w:hint="eastAsia" w:ascii="宋体" w:hAnsi="宋体"/>
        </w:rPr>
        <w:t>（</w:t>
      </w:r>
      <w:r>
        <w:rPr>
          <w:rFonts w:hint="eastAsia"/>
        </w:rPr>
        <w:t>1</w:t>
      </w:r>
      <w:r>
        <w:rPr>
          <w:rFonts w:hint="eastAsia" w:ascii="宋体" w:hAnsi="宋体"/>
        </w:rPr>
        <w:t>）</w:t>
      </w:r>
      <w:r>
        <w:rPr>
          <w:rFonts w:ascii="宋体" w:hAnsi="宋体"/>
        </w:rPr>
        <w:t>基准年年平均温度月变化统计</w:t>
      </w:r>
    </w:p>
    <w:p w14:paraId="1493B235">
      <w:pPr>
        <w:ind w:firstLine="480"/>
      </w:pPr>
      <w:r>
        <w:rPr>
          <w:rFonts w:ascii="宋体" w:hAnsi="宋体"/>
        </w:rPr>
        <w:t>根据对</w:t>
      </w:r>
      <w:r>
        <w:t>2020</w:t>
      </w:r>
      <w:r>
        <w:rPr>
          <w:rFonts w:ascii="宋体" w:hAnsi="宋体"/>
        </w:rPr>
        <w:t>年蚌埠市气象站的地面站逐时气象数据统计分析可知，蚌埠市气象站</w:t>
      </w:r>
      <w:r>
        <w:t>2020</w:t>
      </w:r>
      <w:r>
        <w:rPr>
          <w:rFonts w:ascii="宋体" w:hAnsi="宋体"/>
        </w:rPr>
        <w:t>年日平均气温最高值为</w:t>
      </w:r>
      <w:r>
        <w:t>31.87</w:t>
      </w:r>
      <w:r>
        <w:rPr>
          <w:rFonts w:hint="eastAsia" w:ascii="宋体" w:hAnsi="宋体"/>
          <w:bCs/>
          <w:sz w:val="21"/>
          <w:szCs w:val="21"/>
        </w:rPr>
        <w:t>℃</w:t>
      </w:r>
      <w:r>
        <w:rPr>
          <w:rFonts w:ascii="宋体" w:hAnsi="宋体"/>
        </w:rPr>
        <w:t>，出现在</w:t>
      </w:r>
      <w:r>
        <w:t>2020</w:t>
      </w:r>
      <w:r>
        <w:rPr>
          <w:rFonts w:ascii="宋体" w:hAnsi="宋体"/>
        </w:rPr>
        <w:t>年</w:t>
      </w:r>
      <w:r>
        <w:t>8</w:t>
      </w:r>
      <w:r>
        <w:rPr>
          <w:rFonts w:ascii="宋体" w:hAnsi="宋体"/>
        </w:rPr>
        <w:t>月</w:t>
      </w:r>
      <w:r>
        <w:t>17</w:t>
      </w:r>
      <w:r>
        <w:rPr>
          <w:rFonts w:ascii="宋体" w:hAnsi="宋体"/>
        </w:rPr>
        <w:t>日；日平均气温最低值为</w:t>
      </w:r>
      <w:r>
        <w:t>-</w:t>
      </w:r>
      <w:r>
        <w:rPr>
          <w:rFonts w:hint="eastAsia"/>
        </w:rPr>
        <w:t>6.3</w:t>
      </w:r>
      <w:r>
        <w:rPr>
          <w:rFonts w:hint="eastAsia" w:ascii="宋体" w:hAnsi="宋体"/>
          <w:bCs/>
          <w:sz w:val="21"/>
          <w:szCs w:val="21"/>
        </w:rPr>
        <w:t>℃</w:t>
      </w:r>
      <w:r>
        <w:rPr>
          <w:rFonts w:ascii="宋体" w:hAnsi="宋体"/>
        </w:rPr>
        <w:t>，出现在</w:t>
      </w:r>
      <w:r>
        <w:t>2020</w:t>
      </w:r>
      <w:r>
        <w:rPr>
          <w:rFonts w:ascii="宋体" w:hAnsi="宋体"/>
        </w:rPr>
        <w:t>年</w:t>
      </w:r>
      <w:r>
        <w:t>12</w:t>
      </w:r>
      <w:r>
        <w:rPr>
          <w:rFonts w:ascii="宋体" w:hAnsi="宋体"/>
        </w:rPr>
        <w:t>月</w:t>
      </w:r>
      <w:r>
        <w:rPr>
          <w:rFonts w:hint="eastAsia"/>
        </w:rPr>
        <w:t>5</w:t>
      </w:r>
      <w:r>
        <w:rPr>
          <w:rFonts w:ascii="宋体" w:hAnsi="宋体"/>
        </w:rPr>
        <w:t>日；年平均气温为</w:t>
      </w:r>
      <w:r>
        <w:t>16.38</w:t>
      </w:r>
      <w:r>
        <w:rPr>
          <w:rFonts w:hint="eastAsia" w:ascii="宋体" w:hAnsi="宋体"/>
          <w:bCs/>
          <w:sz w:val="21"/>
          <w:szCs w:val="21"/>
        </w:rPr>
        <w:t>℃</w:t>
      </w:r>
      <w:r>
        <w:rPr>
          <w:rFonts w:ascii="宋体" w:hAnsi="宋体"/>
        </w:rPr>
        <w:t>。</w:t>
      </w:r>
    </w:p>
    <w:p w14:paraId="01286896">
      <w:pPr>
        <w:pStyle w:val="278"/>
        <w:ind w:firstLine="480"/>
      </w:pPr>
      <w:r>
        <w:rPr>
          <w:rFonts w:hint="eastAsia" w:ascii="黑体" w:hAnsi="黑体"/>
        </w:rPr>
        <w:t>表</w:t>
      </w:r>
      <w:r>
        <w:rPr>
          <w:rFonts w:hint="eastAsia"/>
        </w:rPr>
        <w:t>5.1.1-5  20</w:t>
      </w:r>
      <w:r>
        <w:t>20</w:t>
      </w:r>
      <w:r>
        <w:rPr>
          <w:rFonts w:hint="eastAsia" w:ascii="黑体" w:hAnsi="黑体"/>
        </w:rPr>
        <w:t>年蚌埠市气象站年平均温度月变化统计表</w:t>
      </w:r>
      <w:r>
        <w:rPr>
          <w:rFonts w:hint="eastAsia"/>
        </w:rPr>
        <w:t xml:space="preserve">  (</w:t>
      </w:r>
      <w:r>
        <w:rPr>
          <w:rFonts w:hint="eastAsia" w:ascii="黑体" w:hAnsi="黑体"/>
        </w:rPr>
        <w:t>单位：℃</w:t>
      </w:r>
      <w:r>
        <w:rPr>
          <w:rFonts w:hint="eastAsia"/>
        </w:rP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693"/>
        <w:gridCol w:w="623"/>
        <w:gridCol w:w="693"/>
        <w:gridCol w:w="693"/>
        <w:gridCol w:w="693"/>
        <w:gridCol w:w="693"/>
        <w:gridCol w:w="693"/>
        <w:gridCol w:w="693"/>
        <w:gridCol w:w="695"/>
        <w:gridCol w:w="695"/>
        <w:gridCol w:w="659"/>
        <w:gridCol w:w="659"/>
      </w:tblGrid>
      <w:tr w14:paraId="39F18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4" w:type="pct"/>
            <w:tcBorders>
              <w:top w:val="single" w:color="auto" w:sz="12" w:space="0"/>
              <w:left w:val="nil"/>
              <w:bottom w:val="single" w:color="auto" w:sz="4" w:space="0"/>
              <w:right w:val="single" w:color="auto" w:sz="4" w:space="0"/>
            </w:tcBorders>
            <w:noWrap/>
          </w:tcPr>
          <w:p w14:paraId="0640E0FE">
            <w:pPr>
              <w:pStyle w:val="445"/>
              <w:rPr>
                <w:rFonts w:cs="Times New Roman"/>
                <w:kern w:val="0"/>
                <w:szCs w:val="20"/>
              </w:rPr>
            </w:pPr>
            <w:r>
              <w:rPr>
                <w:rFonts w:cs="Times New Roman"/>
                <w:kern w:val="0"/>
                <w:szCs w:val="20"/>
              </w:rPr>
              <w:t>月份</w:t>
            </w:r>
          </w:p>
        </w:tc>
        <w:tc>
          <w:tcPr>
            <w:tcW w:w="375" w:type="pct"/>
            <w:tcBorders>
              <w:top w:val="single" w:color="auto" w:sz="12" w:space="0"/>
              <w:left w:val="single" w:color="auto" w:sz="4" w:space="0"/>
              <w:bottom w:val="single" w:color="auto" w:sz="4" w:space="0"/>
              <w:right w:val="single" w:color="auto" w:sz="4" w:space="0"/>
            </w:tcBorders>
            <w:noWrap/>
          </w:tcPr>
          <w:p w14:paraId="020420FB">
            <w:pPr>
              <w:pStyle w:val="445"/>
              <w:rPr>
                <w:rFonts w:cs="Times New Roman"/>
                <w:kern w:val="0"/>
                <w:szCs w:val="20"/>
              </w:rPr>
            </w:pPr>
            <w:r>
              <w:rPr>
                <w:rFonts w:cs="Times New Roman"/>
                <w:kern w:val="0"/>
                <w:szCs w:val="20"/>
              </w:rPr>
              <w:t>1月</w:t>
            </w:r>
          </w:p>
        </w:tc>
        <w:tc>
          <w:tcPr>
            <w:tcW w:w="337" w:type="pct"/>
            <w:tcBorders>
              <w:top w:val="single" w:color="auto" w:sz="12" w:space="0"/>
              <w:left w:val="single" w:color="auto" w:sz="4" w:space="0"/>
              <w:bottom w:val="single" w:color="auto" w:sz="4" w:space="0"/>
              <w:right w:val="single" w:color="auto" w:sz="4" w:space="0"/>
            </w:tcBorders>
            <w:noWrap/>
          </w:tcPr>
          <w:p w14:paraId="7371FEB3">
            <w:pPr>
              <w:pStyle w:val="445"/>
              <w:rPr>
                <w:rFonts w:cs="Times New Roman"/>
                <w:kern w:val="0"/>
                <w:szCs w:val="20"/>
              </w:rPr>
            </w:pPr>
            <w:r>
              <w:rPr>
                <w:rFonts w:cs="Times New Roman"/>
                <w:kern w:val="0"/>
                <w:szCs w:val="20"/>
              </w:rPr>
              <w:t>2月</w:t>
            </w:r>
          </w:p>
        </w:tc>
        <w:tc>
          <w:tcPr>
            <w:tcW w:w="375" w:type="pct"/>
            <w:tcBorders>
              <w:top w:val="single" w:color="auto" w:sz="12" w:space="0"/>
              <w:left w:val="single" w:color="auto" w:sz="4" w:space="0"/>
              <w:bottom w:val="single" w:color="auto" w:sz="4" w:space="0"/>
              <w:right w:val="single" w:color="auto" w:sz="4" w:space="0"/>
            </w:tcBorders>
            <w:noWrap/>
          </w:tcPr>
          <w:p w14:paraId="77451ED3">
            <w:pPr>
              <w:pStyle w:val="445"/>
              <w:rPr>
                <w:rFonts w:cs="Times New Roman"/>
                <w:kern w:val="0"/>
                <w:szCs w:val="20"/>
              </w:rPr>
            </w:pPr>
            <w:r>
              <w:rPr>
                <w:rFonts w:cs="Times New Roman"/>
                <w:kern w:val="0"/>
                <w:szCs w:val="20"/>
              </w:rPr>
              <w:t>3月</w:t>
            </w:r>
          </w:p>
        </w:tc>
        <w:tc>
          <w:tcPr>
            <w:tcW w:w="375" w:type="pct"/>
            <w:tcBorders>
              <w:top w:val="single" w:color="auto" w:sz="12" w:space="0"/>
              <w:left w:val="single" w:color="auto" w:sz="4" w:space="0"/>
              <w:bottom w:val="single" w:color="auto" w:sz="4" w:space="0"/>
              <w:right w:val="single" w:color="auto" w:sz="4" w:space="0"/>
            </w:tcBorders>
            <w:noWrap/>
          </w:tcPr>
          <w:p w14:paraId="31BC8575">
            <w:pPr>
              <w:pStyle w:val="445"/>
              <w:rPr>
                <w:rFonts w:cs="Times New Roman"/>
                <w:kern w:val="0"/>
                <w:szCs w:val="20"/>
              </w:rPr>
            </w:pPr>
            <w:r>
              <w:rPr>
                <w:rFonts w:cs="Times New Roman"/>
                <w:kern w:val="0"/>
                <w:szCs w:val="20"/>
              </w:rPr>
              <w:t>4月</w:t>
            </w:r>
          </w:p>
        </w:tc>
        <w:tc>
          <w:tcPr>
            <w:tcW w:w="375" w:type="pct"/>
            <w:tcBorders>
              <w:top w:val="single" w:color="auto" w:sz="12" w:space="0"/>
              <w:left w:val="single" w:color="auto" w:sz="4" w:space="0"/>
              <w:bottom w:val="single" w:color="auto" w:sz="4" w:space="0"/>
              <w:right w:val="single" w:color="auto" w:sz="4" w:space="0"/>
            </w:tcBorders>
            <w:noWrap/>
          </w:tcPr>
          <w:p w14:paraId="28589646">
            <w:pPr>
              <w:pStyle w:val="445"/>
              <w:rPr>
                <w:rFonts w:cs="Times New Roman"/>
                <w:kern w:val="0"/>
                <w:szCs w:val="20"/>
              </w:rPr>
            </w:pPr>
            <w:r>
              <w:rPr>
                <w:rFonts w:cs="Times New Roman"/>
                <w:kern w:val="0"/>
                <w:szCs w:val="20"/>
              </w:rPr>
              <w:t>5月</w:t>
            </w:r>
          </w:p>
        </w:tc>
        <w:tc>
          <w:tcPr>
            <w:tcW w:w="375" w:type="pct"/>
            <w:tcBorders>
              <w:top w:val="single" w:color="auto" w:sz="12" w:space="0"/>
              <w:left w:val="single" w:color="auto" w:sz="4" w:space="0"/>
              <w:bottom w:val="single" w:color="auto" w:sz="4" w:space="0"/>
              <w:right w:val="single" w:color="auto" w:sz="4" w:space="0"/>
            </w:tcBorders>
            <w:noWrap/>
          </w:tcPr>
          <w:p w14:paraId="6989BAD1">
            <w:pPr>
              <w:pStyle w:val="445"/>
              <w:rPr>
                <w:rFonts w:cs="Times New Roman"/>
                <w:kern w:val="0"/>
                <w:szCs w:val="20"/>
              </w:rPr>
            </w:pPr>
            <w:r>
              <w:rPr>
                <w:rFonts w:cs="Times New Roman"/>
                <w:kern w:val="0"/>
                <w:szCs w:val="20"/>
              </w:rPr>
              <w:t>6月</w:t>
            </w:r>
          </w:p>
        </w:tc>
        <w:tc>
          <w:tcPr>
            <w:tcW w:w="375" w:type="pct"/>
            <w:tcBorders>
              <w:top w:val="single" w:color="auto" w:sz="12" w:space="0"/>
              <w:left w:val="single" w:color="auto" w:sz="4" w:space="0"/>
              <w:bottom w:val="single" w:color="auto" w:sz="4" w:space="0"/>
              <w:right w:val="single" w:color="auto" w:sz="4" w:space="0"/>
            </w:tcBorders>
            <w:noWrap/>
          </w:tcPr>
          <w:p w14:paraId="63D0D763">
            <w:pPr>
              <w:pStyle w:val="445"/>
              <w:rPr>
                <w:rFonts w:cs="Times New Roman"/>
                <w:kern w:val="0"/>
                <w:szCs w:val="20"/>
              </w:rPr>
            </w:pPr>
            <w:r>
              <w:rPr>
                <w:rFonts w:cs="Times New Roman"/>
                <w:kern w:val="0"/>
                <w:szCs w:val="20"/>
              </w:rPr>
              <w:t>7月</w:t>
            </w:r>
          </w:p>
        </w:tc>
        <w:tc>
          <w:tcPr>
            <w:tcW w:w="375" w:type="pct"/>
            <w:tcBorders>
              <w:top w:val="single" w:color="auto" w:sz="12" w:space="0"/>
              <w:left w:val="single" w:color="auto" w:sz="4" w:space="0"/>
              <w:bottom w:val="single" w:color="auto" w:sz="4" w:space="0"/>
              <w:right w:val="single" w:color="auto" w:sz="4" w:space="0"/>
            </w:tcBorders>
            <w:noWrap/>
          </w:tcPr>
          <w:p w14:paraId="5DE3EDA5">
            <w:pPr>
              <w:pStyle w:val="445"/>
              <w:rPr>
                <w:rFonts w:cs="Times New Roman"/>
                <w:kern w:val="0"/>
                <w:szCs w:val="20"/>
              </w:rPr>
            </w:pPr>
            <w:r>
              <w:rPr>
                <w:rFonts w:cs="Times New Roman"/>
                <w:kern w:val="0"/>
                <w:szCs w:val="20"/>
              </w:rPr>
              <w:t>8月</w:t>
            </w:r>
          </w:p>
        </w:tc>
        <w:tc>
          <w:tcPr>
            <w:tcW w:w="376" w:type="pct"/>
            <w:tcBorders>
              <w:top w:val="single" w:color="auto" w:sz="12" w:space="0"/>
              <w:left w:val="single" w:color="auto" w:sz="4" w:space="0"/>
              <w:bottom w:val="single" w:color="auto" w:sz="4" w:space="0"/>
              <w:right w:val="single" w:color="auto" w:sz="4" w:space="0"/>
            </w:tcBorders>
            <w:noWrap/>
          </w:tcPr>
          <w:p w14:paraId="0C20B660">
            <w:pPr>
              <w:pStyle w:val="445"/>
              <w:rPr>
                <w:rFonts w:cs="Times New Roman"/>
                <w:kern w:val="0"/>
                <w:szCs w:val="20"/>
              </w:rPr>
            </w:pPr>
            <w:r>
              <w:rPr>
                <w:rFonts w:cs="Times New Roman"/>
                <w:kern w:val="0"/>
                <w:szCs w:val="20"/>
              </w:rPr>
              <w:t>9月</w:t>
            </w:r>
          </w:p>
        </w:tc>
        <w:tc>
          <w:tcPr>
            <w:tcW w:w="376" w:type="pct"/>
            <w:tcBorders>
              <w:top w:val="single" w:color="auto" w:sz="12" w:space="0"/>
              <w:left w:val="single" w:color="auto" w:sz="4" w:space="0"/>
              <w:bottom w:val="single" w:color="auto" w:sz="4" w:space="0"/>
              <w:right w:val="single" w:color="auto" w:sz="4" w:space="0"/>
            </w:tcBorders>
            <w:noWrap/>
          </w:tcPr>
          <w:p w14:paraId="5E0135C6">
            <w:pPr>
              <w:pStyle w:val="445"/>
              <w:rPr>
                <w:rFonts w:cs="Times New Roman"/>
                <w:kern w:val="0"/>
                <w:szCs w:val="20"/>
              </w:rPr>
            </w:pPr>
            <w:r>
              <w:rPr>
                <w:rFonts w:cs="Times New Roman"/>
                <w:kern w:val="0"/>
                <w:szCs w:val="20"/>
              </w:rPr>
              <w:t>10月</w:t>
            </w:r>
          </w:p>
        </w:tc>
        <w:tc>
          <w:tcPr>
            <w:tcW w:w="356" w:type="pct"/>
            <w:tcBorders>
              <w:top w:val="single" w:color="auto" w:sz="12" w:space="0"/>
              <w:left w:val="single" w:color="auto" w:sz="4" w:space="0"/>
              <w:bottom w:val="single" w:color="auto" w:sz="4" w:space="0"/>
              <w:right w:val="single" w:color="auto" w:sz="4" w:space="0"/>
            </w:tcBorders>
            <w:noWrap/>
          </w:tcPr>
          <w:p w14:paraId="6F78CFE8">
            <w:pPr>
              <w:pStyle w:val="445"/>
              <w:rPr>
                <w:rFonts w:cs="Times New Roman"/>
                <w:kern w:val="0"/>
                <w:szCs w:val="20"/>
              </w:rPr>
            </w:pPr>
            <w:r>
              <w:rPr>
                <w:rFonts w:cs="Times New Roman"/>
                <w:kern w:val="0"/>
                <w:szCs w:val="20"/>
              </w:rPr>
              <w:t>11月</w:t>
            </w:r>
          </w:p>
        </w:tc>
        <w:tc>
          <w:tcPr>
            <w:tcW w:w="356" w:type="pct"/>
            <w:tcBorders>
              <w:top w:val="single" w:color="auto" w:sz="12" w:space="0"/>
              <w:left w:val="single" w:color="auto" w:sz="4" w:space="0"/>
              <w:bottom w:val="single" w:color="auto" w:sz="4" w:space="0"/>
              <w:right w:val="nil"/>
            </w:tcBorders>
            <w:noWrap/>
          </w:tcPr>
          <w:p w14:paraId="08CCF577">
            <w:pPr>
              <w:pStyle w:val="445"/>
              <w:rPr>
                <w:rFonts w:cs="Times New Roman"/>
                <w:kern w:val="0"/>
                <w:szCs w:val="20"/>
              </w:rPr>
            </w:pPr>
            <w:r>
              <w:rPr>
                <w:rFonts w:cs="Times New Roman"/>
                <w:kern w:val="0"/>
                <w:szCs w:val="20"/>
              </w:rPr>
              <w:t>12月</w:t>
            </w:r>
          </w:p>
        </w:tc>
      </w:tr>
      <w:tr w14:paraId="2B6A9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4" w:type="pct"/>
            <w:tcBorders>
              <w:top w:val="single" w:color="auto" w:sz="4" w:space="0"/>
              <w:left w:val="nil"/>
              <w:bottom w:val="single" w:color="auto" w:sz="12" w:space="0"/>
              <w:right w:val="single" w:color="auto" w:sz="4" w:space="0"/>
            </w:tcBorders>
            <w:noWrap/>
          </w:tcPr>
          <w:p w14:paraId="01903E30">
            <w:pPr>
              <w:pStyle w:val="445"/>
              <w:rPr>
                <w:rFonts w:cs="Times New Roman"/>
                <w:kern w:val="0"/>
                <w:szCs w:val="20"/>
              </w:rPr>
            </w:pPr>
            <w:r>
              <w:rPr>
                <w:rFonts w:cs="Times New Roman"/>
                <w:kern w:val="0"/>
                <w:szCs w:val="20"/>
              </w:rPr>
              <w:t>温度(</w:t>
            </w:r>
            <w:r>
              <w:rPr>
                <w:rFonts w:hint="eastAsia" w:cs="Times New Roman"/>
                <w:kern w:val="0"/>
                <w:szCs w:val="20"/>
              </w:rPr>
              <w:t>℃</w:t>
            </w:r>
            <w:r>
              <w:rPr>
                <w:rFonts w:cs="Times New Roman"/>
                <w:kern w:val="0"/>
                <w:szCs w:val="20"/>
              </w:rPr>
              <w:t>)</w:t>
            </w:r>
          </w:p>
        </w:tc>
        <w:tc>
          <w:tcPr>
            <w:tcW w:w="375" w:type="pct"/>
            <w:tcBorders>
              <w:top w:val="single" w:color="auto" w:sz="4" w:space="0"/>
              <w:left w:val="single" w:color="auto" w:sz="4" w:space="0"/>
              <w:bottom w:val="single" w:color="auto" w:sz="12" w:space="0"/>
              <w:right w:val="single" w:color="auto" w:sz="4" w:space="0"/>
            </w:tcBorders>
            <w:noWrap/>
          </w:tcPr>
          <w:p w14:paraId="15AE7B8D">
            <w:pPr>
              <w:pStyle w:val="445"/>
              <w:rPr>
                <w:rFonts w:cs="Times New Roman"/>
                <w:kern w:val="0"/>
                <w:szCs w:val="20"/>
              </w:rPr>
            </w:pPr>
            <w:r>
              <w:rPr>
                <w:rFonts w:cs="Times New Roman"/>
                <w:kern w:val="0"/>
                <w:szCs w:val="20"/>
              </w:rPr>
              <w:t>3.78</w:t>
            </w:r>
          </w:p>
        </w:tc>
        <w:tc>
          <w:tcPr>
            <w:tcW w:w="337" w:type="pct"/>
            <w:tcBorders>
              <w:top w:val="single" w:color="auto" w:sz="4" w:space="0"/>
              <w:left w:val="single" w:color="auto" w:sz="4" w:space="0"/>
              <w:bottom w:val="single" w:color="auto" w:sz="12" w:space="0"/>
              <w:right w:val="single" w:color="auto" w:sz="4" w:space="0"/>
            </w:tcBorders>
            <w:noWrap/>
          </w:tcPr>
          <w:p w14:paraId="61C687F8">
            <w:pPr>
              <w:pStyle w:val="445"/>
              <w:rPr>
                <w:rFonts w:cs="Times New Roman"/>
                <w:kern w:val="0"/>
                <w:szCs w:val="20"/>
              </w:rPr>
            </w:pPr>
            <w:r>
              <w:rPr>
                <w:rFonts w:hint="eastAsia" w:cs="Times New Roman"/>
                <w:kern w:val="0"/>
                <w:szCs w:val="20"/>
              </w:rPr>
              <w:t>7.49</w:t>
            </w:r>
          </w:p>
        </w:tc>
        <w:tc>
          <w:tcPr>
            <w:tcW w:w="375" w:type="pct"/>
            <w:tcBorders>
              <w:top w:val="single" w:color="auto" w:sz="4" w:space="0"/>
              <w:left w:val="single" w:color="auto" w:sz="4" w:space="0"/>
              <w:bottom w:val="single" w:color="auto" w:sz="12" w:space="0"/>
              <w:right w:val="single" w:color="auto" w:sz="4" w:space="0"/>
            </w:tcBorders>
            <w:noWrap/>
          </w:tcPr>
          <w:p w14:paraId="185B1FD5">
            <w:pPr>
              <w:pStyle w:val="445"/>
              <w:rPr>
                <w:rFonts w:cs="Times New Roman"/>
                <w:kern w:val="0"/>
                <w:szCs w:val="20"/>
              </w:rPr>
            </w:pPr>
            <w:r>
              <w:rPr>
                <w:rFonts w:hint="eastAsia" w:cs="Times New Roman"/>
                <w:kern w:val="0"/>
                <w:szCs w:val="20"/>
              </w:rPr>
              <w:t>11.67</w:t>
            </w:r>
          </w:p>
        </w:tc>
        <w:tc>
          <w:tcPr>
            <w:tcW w:w="375" w:type="pct"/>
            <w:tcBorders>
              <w:top w:val="single" w:color="auto" w:sz="4" w:space="0"/>
              <w:left w:val="single" w:color="auto" w:sz="4" w:space="0"/>
              <w:bottom w:val="single" w:color="auto" w:sz="12" w:space="0"/>
              <w:right w:val="single" w:color="auto" w:sz="4" w:space="0"/>
            </w:tcBorders>
            <w:noWrap/>
          </w:tcPr>
          <w:p w14:paraId="7AE0EB5E">
            <w:pPr>
              <w:pStyle w:val="445"/>
              <w:rPr>
                <w:rFonts w:cs="Times New Roman"/>
                <w:kern w:val="0"/>
                <w:szCs w:val="20"/>
              </w:rPr>
            </w:pPr>
            <w:r>
              <w:rPr>
                <w:rFonts w:hint="eastAsia" w:cs="Times New Roman"/>
                <w:kern w:val="0"/>
                <w:szCs w:val="20"/>
              </w:rPr>
              <w:t>15.47</w:t>
            </w:r>
          </w:p>
        </w:tc>
        <w:tc>
          <w:tcPr>
            <w:tcW w:w="375" w:type="pct"/>
            <w:tcBorders>
              <w:top w:val="single" w:color="auto" w:sz="4" w:space="0"/>
              <w:left w:val="single" w:color="auto" w:sz="4" w:space="0"/>
              <w:bottom w:val="single" w:color="auto" w:sz="12" w:space="0"/>
              <w:right w:val="single" w:color="auto" w:sz="4" w:space="0"/>
            </w:tcBorders>
            <w:noWrap/>
          </w:tcPr>
          <w:p w14:paraId="21B26FCF">
            <w:pPr>
              <w:pStyle w:val="445"/>
              <w:rPr>
                <w:rFonts w:cs="Times New Roman"/>
                <w:kern w:val="0"/>
                <w:szCs w:val="20"/>
              </w:rPr>
            </w:pPr>
            <w:r>
              <w:rPr>
                <w:rFonts w:hint="eastAsia" w:cs="Times New Roman"/>
                <w:kern w:val="0"/>
                <w:szCs w:val="20"/>
              </w:rPr>
              <w:t>23.10</w:t>
            </w:r>
          </w:p>
        </w:tc>
        <w:tc>
          <w:tcPr>
            <w:tcW w:w="375" w:type="pct"/>
            <w:tcBorders>
              <w:top w:val="single" w:color="auto" w:sz="4" w:space="0"/>
              <w:left w:val="single" w:color="auto" w:sz="4" w:space="0"/>
              <w:bottom w:val="single" w:color="auto" w:sz="12" w:space="0"/>
              <w:right w:val="single" w:color="auto" w:sz="4" w:space="0"/>
            </w:tcBorders>
            <w:noWrap/>
          </w:tcPr>
          <w:p w14:paraId="55781903">
            <w:pPr>
              <w:pStyle w:val="445"/>
              <w:rPr>
                <w:rFonts w:cs="Times New Roman"/>
                <w:kern w:val="0"/>
                <w:szCs w:val="20"/>
              </w:rPr>
            </w:pPr>
            <w:r>
              <w:rPr>
                <w:rFonts w:hint="eastAsia" w:cs="Times New Roman"/>
                <w:kern w:val="0"/>
                <w:szCs w:val="20"/>
              </w:rPr>
              <w:t>26.02</w:t>
            </w:r>
          </w:p>
        </w:tc>
        <w:tc>
          <w:tcPr>
            <w:tcW w:w="375" w:type="pct"/>
            <w:tcBorders>
              <w:top w:val="single" w:color="auto" w:sz="4" w:space="0"/>
              <w:left w:val="single" w:color="auto" w:sz="4" w:space="0"/>
              <w:bottom w:val="single" w:color="auto" w:sz="12" w:space="0"/>
              <w:right w:val="single" w:color="auto" w:sz="4" w:space="0"/>
            </w:tcBorders>
            <w:noWrap/>
          </w:tcPr>
          <w:p w14:paraId="7B64667F">
            <w:pPr>
              <w:pStyle w:val="445"/>
              <w:rPr>
                <w:rFonts w:cs="Times New Roman"/>
                <w:kern w:val="0"/>
                <w:szCs w:val="20"/>
              </w:rPr>
            </w:pPr>
            <w:r>
              <w:rPr>
                <w:rFonts w:hint="eastAsia" w:cs="Times New Roman"/>
                <w:kern w:val="0"/>
                <w:szCs w:val="20"/>
              </w:rPr>
              <w:t>25.21</w:t>
            </w:r>
          </w:p>
        </w:tc>
        <w:tc>
          <w:tcPr>
            <w:tcW w:w="375" w:type="pct"/>
            <w:tcBorders>
              <w:top w:val="single" w:color="auto" w:sz="4" w:space="0"/>
              <w:left w:val="single" w:color="auto" w:sz="4" w:space="0"/>
              <w:bottom w:val="single" w:color="auto" w:sz="12" w:space="0"/>
              <w:right w:val="single" w:color="auto" w:sz="4" w:space="0"/>
            </w:tcBorders>
            <w:noWrap/>
          </w:tcPr>
          <w:p w14:paraId="55BD113E">
            <w:pPr>
              <w:pStyle w:val="445"/>
              <w:rPr>
                <w:rFonts w:cs="Times New Roman"/>
                <w:kern w:val="0"/>
                <w:szCs w:val="20"/>
              </w:rPr>
            </w:pPr>
            <w:r>
              <w:rPr>
                <w:rFonts w:hint="eastAsia" w:cs="Times New Roman"/>
                <w:kern w:val="0"/>
                <w:szCs w:val="20"/>
              </w:rPr>
              <w:t>28.90</w:t>
            </w:r>
          </w:p>
        </w:tc>
        <w:tc>
          <w:tcPr>
            <w:tcW w:w="376" w:type="pct"/>
            <w:tcBorders>
              <w:top w:val="single" w:color="auto" w:sz="4" w:space="0"/>
              <w:left w:val="single" w:color="auto" w:sz="4" w:space="0"/>
              <w:bottom w:val="single" w:color="auto" w:sz="12" w:space="0"/>
              <w:right w:val="single" w:color="auto" w:sz="4" w:space="0"/>
            </w:tcBorders>
            <w:noWrap/>
          </w:tcPr>
          <w:p w14:paraId="514B6225">
            <w:pPr>
              <w:pStyle w:val="445"/>
              <w:rPr>
                <w:rFonts w:cs="Times New Roman"/>
                <w:kern w:val="0"/>
                <w:szCs w:val="20"/>
              </w:rPr>
            </w:pPr>
            <w:r>
              <w:rPr>
                <w:rFonts w:hint="eastAsia" w:cs="Times New Roman"/>
                <w:kern w:val="0"/>
                <w:szCs w:val="20"/>
              </w:rPr>
              <w:t>23.63</w:t>
            </w:r>
          </w:p>
        </w:tc>
        <w:tc>
          <w:tcPr>
            <w:tcW w:w="376" w:type="pct"/>
            <w:tcBorders>
              <w:top w:val="single" w:color="auto" w:sz="4" w:space="0"/>
              <w:left w:val="single" w:color="auto" w:sz="4" w:space="0"/>
              <w:bottom w:val="single" w:color="auto" w:sz="12" w:space="0"/>
              <w:right w:val="single" w:color="auto" w:sz="4" w:space="0"/>
            </w:tcBorders>
            <w:noWrap/>
          </w:tcPr>
          <w:p w14:paraId="5401117D">
            <w:pPr>
              <w:pStyle w:val="445"/>
              <w:rPr>
                <w:rFonts w:cs="Times New Roman"/>
                <w:kern w:val="0"/>
                <w:szCs w:val="20"/>
              </w:rPr>
            </w:pPr>
            <w:r>
              <w:rPr>
                <w:rFonts w:hint="eastAsia" w:cs="Times New Roman"/>
                <w:kern w:val="0"/>
                <w:szCs w:val="20"/>
              </w:rPr>
              <w:t>16.53</w:t>
            </w:r>
          </w:p>
        </w:tc>
        <w:tc>
          <w:tcPr>
            <w:tcW w:w="356" w:type="pct"/>
            <w:tcBorders>
              <w:top w:val="single" w:color="auto" w:sz="4" w:space="0"/>
              <w:left w:val="single" w:color="auto" w:sz="4" w:space="0"/>
              <w:bottom w:val="single" w:color="auto" w:sz="12" w:space="0"/>
              <w:right w:val="single" w:color="auto" w:sz="4" w:space="0"/>
            </w:tcBorders>
            <w:noWrap/>
          </w:tcPr>
          <w:p w14:paraId="4808BF67">
            <w:pPr>
              <w:pStyle w:val="445"/>
              <w:rPr>
                <w:rFonts w:cs="Times New Roman"/>
                <w:kern w:val="0"/>
                <w:szCs w:val="20"/>
              </w:rPr>
            </w:pPr>
            <w:r>
              <w:rPr>
                <w:rFonts w:hint="eastAsia" w:cs="Times New Roman"/>
                <w:kern w:val="0"/>
                <w:szCs w:val="20"/>
              </w:rPr>
              <w:t>11.32</w:t>
            </w:r>
          </w:p>
        </w:tc>
        <w:tc>
          <w:tcPr>
            <w:tcW w:w="356" w:type="pct"/>
            <w:tcBorders>
              <w:top w:val="single" w:color="auto" w:sz="4" w:space="0"/>
              <w:left w:val="single" w:color="auto" w:sz="4" w:space="0"/>
              <w:bottom w:val="single" w:color="auto" w:sz="12" w:space="0"/>
              <w:right w:val="nil"/>
            </w:tcBorders>
            <w:noWrap/>
          </w:tcPr>
          <w:p w14:paraId="12A3A7D7">
            <w:pPr>
              <w:pStyle w:val="445"/>
              <w:rPr>
                <w:rFonts w:cs="Times New Roman"/>
                <w:kern w:val="0"/>
                <w:szCs w:val="20"/>
              </w:rPr>
            </w:pPr>
            <w:r>
              <w:rPr>
                <w:rFonts w:hint="eastAsia" w:cs="Times New Roman"/>
                <w:kern w:val="0"/>
                <w:szCs w:val="20"/>
              </w:rPr>
              <w:t>3.21</w:t>
            </w:r>
          </w:p>
        </w:tc>
      </w:tr>
    </w:tbl>
    <w:p w14:paraId="33871F25">
      <w:pPr>
        <w:spacing w:before="163" w:beforeLines="50"/>
        <w:ind w:firstLine="480"/>
        <w:rPr>
          <w:rFonts w:cs="Times New Roman"/>
        </w:rPr>
      </w:pPr>
      <w:r>
        <w:rPr>
          <w:rFonts w:hint="eastAsia" w:ascii="宋体" w:hAnsi="宋体"/>
        </w:rPr>
        <w:t>（</w:t>
      </w:r>
      <w:r>
        <w:rPr>
          <w:rFonts w:hint="eastAsia"/>
        </w:rPr>
        <w:t>2</w:t>
      </w:r>
      <w:r>
        <w:rPr>
          <w:rFonts w:hint="eastAsia" w:ascii="宋体" w:hAnsi="宋体"/>
        </w:rPr>
        <w:t>）</w:t>
      </w:r>
      <w:r>
        <w:rPr>
          <w:rFonts w:ascii="宋体" w:hAnsi="宋体"/>
        </w:rPr>
        <w:t>基准年年平均风速月变化统计</w:t>
      </w:r>
    </w:p>
    <w:p w14:paraId="61C2ACED">
      <w:pPr>
        <w:ind w:firstLine="480"/>
      </w:pPr>
      <w:r>
        <w:rPr>
          <w:rFonts w:ascii="宋体" w:hAnsi="宋体"/>
        </w:rPr>
        <w:t>根据对</w:t>
      </w:r>
      <w:r>
        <w:t>2020</w:t>
      </w:r>
      <w:r>
        <w:rPr>
          <w:rFonts w:ascii="宋体" w:hAnsi="宋体"/>
        </w:rPr>
        <w:t>年蚌埠市气象站的地面站逐时气象数据的统计分析可知，项目评价区域的基准年的年平均风速月变化统计如下表所示。</w:t>
      </w:r>
    </w:p>
    <w:p w14:paraId="0470DBD0">
      <w:pPr>
        <w:pStyle w:val="278"/>
        <w:ind w:firstLine="480"/>
      </w:pPr>
      <w:r>
        <w:rPr>
          <w:rFonts w:hint="eastAsia" w:ascii="黑体" w:hAnsi="黑体"/>
        </w:rPr>
        <w:t>表</w:t>
      </w:r>
      <w:r>
        <w:rPr>
          <w:rFonts w:hint="eastAsia"/>
        </w:rPr>
        <w:t>5.</w:t>
      </w:r>
      <w:r>
        <w:t>1.1-6</w:t>
      </w:r>
      <w:r>
        <w:rPr>
          <w:rFonts w:hint="eastAsia"/>
        </w:rPr>
        <w:t xml:space="preserve">  20</w:t>
      </w:r>
      <w:r>
        <w:t>20</w:t>
      </w:r>
      <w:r>
        <w:rPr>
          <w:rFonts w:hint="eastAsia" w:ascii="黑体" w:hAnsi="黑体"/>
        </w:rPr>
        <w:t>年蚌埠市气象站年平均风速月变化统计表</w:t>
      </w:r>
      <w:r>
        <w:rPr>
          <w:rFonts w:hint="eastAsia"/>
        </w:rPr>
        <w:t xml:space="preserve">   (</w:t>
      </w:r>
      <w:r>
        <w:rPr>
          <w:rFonts w:hint="eastAsia" w:ascii="黑体" w:hAnsi="黑体"/>
        </w:rPr>
        <w:t>单位：</w:t>
      </w:r>
      <w:r>
        <w:rPr>
          <w:rFonts w:hint="eastAsia"/>
        </w:rPr>
        <w:t>m/s)</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636"/>
        <w:gridCol w:w="636"/>
        <w:gridCol w:w="636"/>
        <w:gridCol w:w="636"/>
        <w:gridCol w:w="636"/>
        <w:gridCol w:w="636"/>
        <w:gridCol w:w="636"/>
        <w:gridCol w:w="636"/>
        <w:gridCol w:w="636"/>
        <w:gridCol w:w="749"/>
        <w:gridCol w:w="749"/>
        <w:gridCol w:w="741"/>
      </w:tblGrid>
      <w:tr w14:paraId="56297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3" w:type="pct"/>
            <w:tcBorders>
              <w:top w:val="single" w:color="auto" w:sz="12" w:space="0"/>
              <w:left w:val="nil"/>
              <w:bottom w:val="single" w:color="auto" w:sz="4" w:space="0"/>
              <w:right w:val="single" w:color="auto" w:sz="4" w:space="0"/>
            </w:tcBorders>
            <w:noWrap/>
          </w:tcPr>
          <w:p w14:paraId="78AD7AA0">
            <w:pPr>
              <w:pStyle w:val="445"/>
              <w:rPr>
                <w:rFonts w:cs="Times New Roman"/>
                <w:kern w:val="0"/>
                <w:szCs w:val="20"/>
              </w:rPr>
            </w:pPr>
            <w:r>
              <w:rPr>
                <w:rFonts w:hint="eastAsia" w:cs="Times New Roman"/>
                <w:kern w:val="0"/>
                <w:szCs w:val="20"/>
              </w:rPr>
              <w:t>月份</w:t>
            </w:r>
          </w:p>
        </w:tc>
        <w:tc>
          <w:tcPr>
            <w:tcW w:w="344" w:type="pct"/>
            <w:tcBorders>
              <w:top w:val="single" w:color="auto" w:sz="12" w:space="0"/>
              <w:left w:val="single" w:color="auto" w:sz="4" w:space="0"/>
              <w:bottom w:val="single" w:color="auto" w:sz="4" w:space="0"/>
              <w:right w:val="single" w:color="auto" w:sz="4" w:space="0"/>
            </w:tcBorders>
            <w:noWrap/>
          </w:tcPr>
          <w:p w14:paraId="32463194">
            <w:pPr>
              <w:pStyle w:val="445"/>
              <w:rPr>
                <w:rFonts w:cs="Times New Roman"/>
                <w:kern w:val="0"/>
                <w:szCs w:val="20"/>
              </w:rPr>
            </w:pPr>
            <w:r>
              <w:rPr>
                <w:rFonts w:hint="eastAsia" w:cs="Times New Roman"/>
                <w:kern w:val="0"/>
                <w:szCs w:val="20"/>
              </w:rPr>
              <w:t>1月</w:t>
            </w:r>
          </w:p>
        </w:tc>
        <w:tc>
          <w:tcPr>
            <w:tcW w:w="344" w:type="pct"/>
            <w:tcBorders>
              <w:top w:val="single" w:color="auto" w:sz="12" w:space="0"/>
              <w:left w:val="single" w:color="auto" w:sz="4" w:space="0"/>
              <w:bottom w:val="single" w:color="auto" w:sz="4" w:space="0"/>
              <w:right w:val="single" w:color="auto" w:sz="4" w:space="0"/>
            </w:tcBorders>
            <w:noWrap/>
          </w:tcPr>
          <w:p w14:paraId="49E8D282">
            <w:pPr>
              <w:pStyle w:val="445"/>
              <w:rPr>
                <w:rFonts w:cs="Times New Roman"/>
                <w:kern w:val="0"/>
                <w:szCs w:val="20"/>
              </w:rPr>
            </w:pPr>
            <w:r>
              <w:rPr>
                <w:rFonts w:hint="eastAsia" w:cs="Times New Roman"/>
                <w:kern w:val="0"/>
                <w:szCs w:val="20"/>
              </w:rPr>
              <w:t>2月</w:t>
            </w:r>
          </w:p>
        </w:tc>
        <w:tc>
          <w:tcPr>
            <w:tcW w:w="344" w:type="pct"/>
            <w:tcBorders>
              <w:top w:val="single" w:color="auto" w:sz="12" w:space="0"/>
              <w:left w:val="single" w:color="auto" w:sz="4" w:space="0"/>
              <w:bottom w:val="single" w:color="auto" w:sz="4" w:space="0"/>
              <w:right w:val="single" w:color="auto" w:sz="4" w:space="0"/>
            </w:tcBorders>
            <w:noWrap/>
          </w:tcPr>
          <w:p w14:paraId="03E0939B">
            <w:pPr>
              <w:pStyle w:val="445"/>
              <w:rPr>
                <w:rFonts w:cs="Times New Roman"/>
                <w:kern w:val="0"/>
                <w:szCs w:val="20"/>
              </w:rPr>
            </w:pPr>
            <w:r>
              <w:rPr>
                <w:rFonts w:hint="eastAsia" w:cs="Times New Roman"/>
                <w:kern w:val="0"/>
                <w:szCs w:val="20"/>
              </w:rPr>
              <w:t>3月</w:t>
            </w:r>
          </w:p>
        </w:tc>
        <w:tc>
          <w:tcPr>
            <w:tcW w:w="344" w:type="pct"/>
            <w:tcBorders>
              <w:top w:val="single" w:color="auto" w:sz="12" w:space="0"/>
              <w:left w:val="single" w:color="auto" w:sz="4" w:space="0"/>
              <w:bottom w:val="single" w:color="auto" w:sz="4" w:space="0"/>
              <w:right w:val="single" w:color="auto" w:sz="4" w:space="0"/>
            </w:tcBorders>
            <w:noWrap/>
          </w:tcPr>
          <w:p w14:paraId="598B54A2">
            <w:pPr>
              <w:pStyle w:val="445"/>
              <w:rPr>
                <w:rFonts w:cs="Times New Roman"/>
                <w:kern w:val="0"/>
                <w:szCs w:val="20"/>
              </w:rPr>
            </w:pPr>
            <w:r>
              <w:rPr>
                <w:rFonts w:hint="eastAsia" w:cs="Times New Roman"/>
                <w:kern w:val="0"/>
                <w:szCs w:val="20"/>
              </w:rPr>
              <w:t>4月</w:t>
            </w:r>
          </w:p>
        </w:tc>
        <w:tc>
          <w:tcPr>
            <w:tcW w:w="344" w:type="pct"/>
            <w:tcBorders>
              <w:top w:val="single" w:color="auto" w:sz="12" w:space="0"/>
              <w:left w:val="single" w:color="auto" w:sz="4" w:space="0"/>
              <w:bottom w:val="single" w:color="auto" w:sz="4" w:space="0"/>
              <w:right w:val="single" w:color="auto" w:sz="4" w:space="0"/>
            </w:tcBorders>
            <w:noWrap/>
          </w:tcPr>
          <w:p w14:paraId="513AB4F3">
            <w:pPr>
              <w:pStyle w:val="445"/>
              <w:rPr>
                <w:rFonts w:cs="Times New Roman"/>
                <w:kern w:val="0"/>
                <w:szCs w:val="20"/>
              </w:rPr>
            </w:pPr>
            <w:r>
              <w:rPr>
                <w:rFonts w:hint="eastAsia" w:cs="Times New Roman"/>
                <w:kern w:val="0"/>
                <w:szCs w:val="20"/>
              </w:rPr>
              <w:t>5月</w:t>
            </w:r>
          </w:p>
        </w:tc>
        <w:tc>
          <w:tcPr>
            <w:tcW w:w="344" w:type="pct"/>
            <w:tcBorders>
              <w:top w:val="single" w:color="auto" w:sz="12" w:space="0"/>
              <w:left w:val="single" w:color="auto" w:sz="4" w:space="0"/>
              <w:bottom w:val="single" w:color="auto" w:sz="4" w:space="0"/>
              <w:right w:val="single" w:color="auto" w:sz="4" w:space="0"/>
            </w:tcBorders>
            <w:noWrap/>
          </w:tcPr>
          <w:p w14:paraId="543CAFE8">
            <w:pPr>
              <w:pStyle w:val="445"/>
              <w:rPr>
                <w:rFonts w:cs="Times New Roman"/>
                <w:kern w:val="0"/>
                <w:szCs w:val="20"/>
              </w:rPr>
            </w:pPr>
            <w:r>
              <w:rPr>
                <w:rFonts w:hint="eastAsia" w:cs="Times New Roman"/>
                <w:kern w:val="0"/>
                <w:szCs w:val="20"/>
              </w:rPr>
              <w:t>6月</w:t>
            </w:r>
          </w:p>
        </w:tc>
        <w:tc>
          <w:tcPr>
            <w:tcW w:w="344" w:type="pct"/>
            <w:tcBorders>
              <w:top w:val="single" w:color="auto" w:sz="12" w:space="0"/>
              <w:left w:val="single" w:color="auto" w:sz="4" w:space="0"/>
              <w:bottom w:val="single" w:color="auto" w:sz="4" w:space="0"/>
              <w:right w:val="single" w:color="auto" w:sz="4" w:space="0"/>
            </w:tcBorders>
            <w:noWrap/>
          </w:tcPr>
          <w:p w14:paraId="37354B1F">
            <w:pPr>
              <w:pStyle w:val="445"/>
              <w:rPr>
                <w:rFonts w:cs="Times New Roman"/>
                <w:kern w:val="0"/>
                <w:szCs w:val="20"/>
              </w:rPr>
            </w:pPr>
            <w:r>
              <w:rPr>
                <w:rFonts w:hint="eastAsia" w:cs="Times New Roman"/>
                <w:kern w:val="0"/>
                <w:szCs w:val="20"/>
              </w:rPr>
              <w:t>7月</w:t>
            </w:r>
          </w:p>
        </w:tc>
        <w:tc>
          <w:tcPr>
            <w:tcW w:w="344" w:type="pct"/>
            <w:tcBorders>
              <w:top w:val="single" w:color="auto" w:sz="12" w:space="0"/>
              <w:left w:val="single" w:color="auto" w:sz="4" w:space="0"/>
              <w:bottom w:val="single" w:color="auto" w:sz="4" w:space="0"/>
              <w:right w:val="single" w:color="auto" w:sz="4" w:space="0"/>
            </w:tcBorders>
            <w:noWrap/>
          </w:tcPr>
          <w:p w14:paraId="128FB710">
            <w:pPr>
              <w:pStyle w:val="445"/>
              <w:rPr>
                <w:rFonts w:cs="Times New Roman"/>
                <w:kern w:val="0"/>
                <w:szCs w:val="20"/>
              </w:rPr>
            </w:pPr>
            <w:r>
              <w:rPr>
                <w:rFonts w:hint="eastAsia" w:cs="Times New Roman"/>
                <w:kern w:val="0"/>
                <w:szCs w:val="20"/>
              </w:rPr>
              <w:t>8月</w:t>
            </w:r>
          </w:p>
        </w:tc>
        <w:tc>
          <w:tcPr>
            <w:tcW w:w="344" w:type="pct"/>
            <w:tcBorders>
              <w:top w:val="single" w:color="auto" w:sz="12" w:space="0"/>
              <w:left w:val="single" w:color="auto" w:sz="4" w:space="0"/>
              <w:bottom w:val="single" w:color="auto" w:sz="4" w:space="0"/>
              <w:right w:val="single" w:color="auto" w:sz="4" w:space="0"/>
            </w:tcBorders>
            <w:noWrap/>
          </w:tcPr>
          <w:p w14:paraId="2E6E8946">
            <w:pPr>
              <w:pStyle w:val="445"/>
              <w:rPr>
                <w:rFonts w:cs="Times New Roman"/>
                <w:kern w:val="0"/>
                <w:szCs w:val="20"/>
              </w:rPr>
            </w:pPr>
            <w:r>
              <w:rPr>
                <w:rFonts w:hint="eastAsia" w:cs="Times New Roman"/>
                <w:kern w:val="0"/>
                <w:szCs w:val="20"/>
              </w:rPr>
              <w:t>9月</w:t>
            </w:r>
          </w:p>
        </w:tc>
        <w:tc>
          <w:tcPr>
            <w:tcW w:w="405" w:type="pct"/>
            <w:tcBorders>
              <w:top w:val="single" w:color="auto" w:sz="12" w:space="0"/>
              <w:left w:val="single" w:color="auto" w:sz="4" w:space="0"/>
              <w:bottom w:val="single" w:color="auto" w:sz="4" w:space="0"/>
              <w:right w:val="single" w:color="auto" w:sz="4" w:space="0"/>
            </w:tcBorders>
            <w:noWrap/>
          </w:tcPr>
          <w:p w14:paraId="61951F90">
            <w:pPr>
              <w:pStyle w:val="445"/>
              <w:rPr>
                <w:rFonts w:cs="Times New Roman"/>
                <w:kern w:val="0"/>
                <w:szCs w:val="20"/>
              </w:rPr>
            </w:pPr>
            <w:r>
              <w:rPr>
                <w:rFonts w:hint="eastAsia" w:cs="Times New Roman"/>
                <w:kern w:val="0"/>
                <w:szCs w:val="20"/>
              </w:rPr>
              <w:t>10月</w:t>
            </w:r>
          </w:p>
        </w:tc>
        <w:tc>
          <w:tcPr>
            <w:tcW w:w="405" w:type="pct"/>
            <w:tcBorders>
              <w:top w:val="single" w:color="auto" w:sz="12" w:space="0"/>
              <w:left w:val="single" w:color="auto" w:sz="4" w:space="0"/>
              <w:bottom w:val="single" w:color="auto" w:sz="4" w:space="0"/>
              <w:right w:val="single" w:color="auto" w:sz="4" w:space="0"/>
            </w:tcBorders>
            <w:noWrap/>
          </w:tcPr>
          <w:p w14:paraId="30E8CF0D">
            <w:pPr>
              <w:pStyle w:val="445"/>
              <w:rPr>
                <w:rFonts w:cs="Times New Roman"/>
                <w:kern w:val="0"/>
                <w:szCs w:val="20"/>
              </w:rPr>
            </w:pPr>
            <w:r>
              <w:rPr>
                <w:rFonts w:hint="eastAsia" w:cs="Times New Roman"/>
                <w:kern w:val="0"/>
                <w:szCs w:val="20"/>
              </w:rPr>
              <w:t>11月</w:t>
            </w:r>
          </w:p>
        </w:tc>
        <w:tc>
          <w:tcPr>
            <w:tcW w:w="401" w:type="pct"/>
            <w:tcBorders>
              <w:top w:val="single" w:color="auto" w:sz="12" w:space="0"/>
              <w:left w:val="single" w:color="auto" w:sz="4" w:space="0"/>
              <w:bottom w:val="single" w:color="auto" w:sz="4" w:space="0"/>
              <w:right w:val="nil"/>
            </w:tcBorders>
            <w:noWrap/>
          </w:tcPr>
          <w:p w14:paraId="6E5BE33C">
            <w:pPr>
              <w:pStyle w:val="445"/>
              <w:rPr>
                <w:rFonts w:cs="Times New Roman"/>
                <w:kern w:val="0"/>
                <w:szCs w:val="20"/>
              </w:rPr>
            </w:pPr>
            <w:r>
              <w:rPr>
                <w:rFonts w:hint="eastAsia" w:cs="Times New Roman"/>
                <w:kern w:val="0"/>
                <w:szCs w:val="20"/>
              </w:rPr>
              <w:t>12月</w:t>
            </w:r>
          </w:p>
        </w:tc>
      </w:tr>
      <w:tr w14:paraId="7DA1D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3" w:type="pct"/>
            <w:tcBorders>
              <w:top w:val="single" w:color="auto" w:sz="4" w:space="0"/>
              <w:left w:val="nil"/>
              <w:bottom w:val="single" w:color="auto" w:sz="12" w:space="0"/>
              <w:right w:val="single" w:color="auto" w:sz="4" w:space="0"/>
            </w:tcBorders>
            <w:noWrap/>
          </w:tcPr>
          <w:p w14:paraId="10352A45">
            <w:pPr>
              <w:pStyle w:val="445"/>
              <w:rPr>
                <w:rFonts w:cs="Times New Roman"/>
                <w:kern w:val="0"/>
                <w:szCs w:val="20"/>
              </w:rPr>
            </w:pPr>
            <w:r>
              <w:rPr>
                <w:rFonts w:hint="eastAsia" w:cs="Times New Roman"/>
                <w:kern w:val="0"/>
                <w:szCs w:val="20"/>
              </w:rPr>
              <w:t>风速(m/s)</w:t>
            </w:r>
          </w:p>
        </w:tc>
        <w:tc>
          <w:tcPr>
            <w:tcW w:w="344" w:type="pct"/>
            <w:tcBorders>
              <w:top w:val="single" w:color="auto" w:sz="4" w:space="0"/>
              <w:left w:val="single" w:color="auto" w:sz="4" w:space="0"/>
              <w:bottom w:val="single" w:color="auto" w:sz="12" w:space="0"/>
              <w:right w:val="single" w:color="auto" w:sz="4" w:space="0"/>
            </w:tcBorders>
            <w:noWrap/>
          </w:tcPr>
          <w:p w14:paraId="62A34CC4">
            <w:pPr>
              <w:pStyle w:val="445"/>
              <w:rPr>
                <w:rFonts w:cs="Times New Roman"/>
                <w:kern w:val="0"/>
                <w:szCs w:val="20"/>
              </w:rPr>
            </w:pPr>
            <w:r>
              <w:rPr>
                <w:rFonts w:hint="eastAsia" w:cs="Times New Roman"/>
                <w:kern w:val="0"/>
                <w:szCs w:val="20"/>
              </w:rPr>
              <w:t>2.34</w:t>
            </w:r>
          </w:p>
        </w:tc>
        <w:tc>
          <w:tcPr>
            <w:tcW w:w="344" w:type="pct"/>
            <w:tcBorders>
              <w:top w:val="single" w:color="auto" w:sz="4" w:space="0"/>
              <w:left w:val="single" w:color="auto" w:sz="4" w:space="0"/>
              <w:bottom w:val="single" w:color="auto" w:sz="12" w:space="0"/>
              <w:right w:val="single" w:color="auto" w:sz="4" w:space="0"/>
            </w:tcBorders>
            <w:noWrap/>
          </w:tcPr>
          <w:p w14:paraId="2DC4E1C8">
            <w:pPr>
              <w:pStyle w:val="445"/>
              <w:rPr>
                <w:rFonts w:cs="Times New Roman"/>
                <w:kern w:val="0"/>
                <w:szCs w:val="20"/>
              </w:rPr>
            </w:pPr>
            <w:r>
              <w:rPr>
                <w:rFonts w:hint="eastAsia" w:cs="Times New Roman"/>
                <w:kern w:val="0"/>
                <w:szCs w:val="20"/>
              </w:rPr>
              <w:t>2.75</w:t>
            </w:r>
          </w:p>
        </w:tc>
        <w:tc>
          <w:tcPr>
            <w:tcW w:w="344" w:type="pct"/>
            <w:tcBorders>
              <w:top w:val="single" w:color="auto" w:sz="4" w:space="0"/>
              <w:left w:val="single" w:color="auto" w:sz="4" w:space="0"/>
              <w:bottom w:val="single" w:color="auto" w:sz="12" w:space="0"/>
              <w:right w:val="single" w:color="auto" w:sz="4" w:space="0"/>
            </w:tcBorders>
            <w:noWrap/>
          </w:tcPr>
          <w:p w14:paraId="751682AE">
            <w:pPr>
              <w:pStyle w:val="445"/>
              <w:rPr>
                <w:rFonts w:cs="Times New Roman"/>
                <w:kern w:val="0"/>
                <w:szCs w:val="20"/>
              </w:rPr>
            </w:pPr>
            <w:r>
              <w:rPr>
                <w:rFonts w:hint="eastAsia" w:cs="Times New Roman"/>
                <w:kern w:val="0"/>
                <w:szCs w:val="20"/>
              </w:rPr>
              <w:t>2.88</w:t>
            </w:r>
          </w:p>
        </w:tc>
        <w:tc>
          <w:tcPr>
            <w:tcW w:w="344" w:type="pct"/>
            <w:tcBorders>
              <w:top w:val="single" w:color="auto" w:sz="4" w:space="0"/>
              <w:left w:val="single" w:color="auto" w:sz="4" w:space="0"/>
              <w:bottom w:val="single" w:color="auto" w:sz="12" w:space="0"/>
              <w:right w:val="single" w:color="auto" w:sz="4" w:space="0"/>
            </w:tcBorders>
            <w:noWrap/>
          </w:tcPr>
          <w:p w14:paraId="7BA042EC">
            <w:pPr>
              <w:pStyle w:val="445"/>
              <w:rPr>
                <w:rFonts w:cs="Times New Roman"/>
                <w:kern w:val="0"/>
                <w:szCs w:val="20"/>
              </w:rPr>
            </w:pPr>
            <w:r>
              <w:rPr>
                <w:rFonts w:hint="eastAsia" w:cs="Times New Roman"/>
                <w:kern w:val="0"/>
                <w:szCs w:val="20"/>
              </w:rPr>
              <w:t>2.74</w:t>
            </w:r>
          </w:p>
        </w:tc>
        <w:tc>
          <w:tcPr>
            <w:tcW w:w="344" w:type="pct"/>
            <w:tcBorders>
              <w:top w:val="single" w:color="auto" w:sz="4" w:space="0"/>
              <w:left w:val="single" w:color="auto" w:sz="4" w:space="0"/>
              <w:bottom w:val="single" w:color="auto" w:sz="12" w:space="0"/>
              <w:right w:val="single" w:color="auto" w:sz="4" w:space="0"/>
            </w:tcBorders>
            <w:noWrap/>
          </w:tcPr>
          <w:p w14:paraId="4E343F5C">
            <w:pPr>
              <w:pStyle w:val="445"/>
              <w:rPr>
                <w:rFonts w:cs="Times New Roman"/>
                <w:kern w:val="0"/>
                <w:szCs w:val="20"/>
              </w:rPr>
            </w:pPr>
            <w:r>
              <w:rPr>
                <w:rFonts w:hint="eastAsia" w:cs="Times New Roman"/>
                <w:kern w:val="0"/>
                <w:szCs w:val="20"/>
              </w:rPr>
              <w:t>2.64</w:t>
            </w:r>
          </w:p>
        </w:tc>
        <w:tc>
          <w:tcPr>
            <w:tcW w:w="344" w:type="pct"/>
            <w:tcBorders>
              <w:top w:val="single" w:color="auto" w:sz="4" w:space="0"/>
              <w:left w:val="single" w:color="auto" w:sz="4" w:space="0"/>
              <w:bottom w:val="single" w:color="auto" w:sz="12" w:space="0"/>
              <w:right w:val="single" w:color="auto" w:sz="4" w:space="0"/>
            </w:tcBorders>
            <w:noWrap/>
          </w:tcPr>
          <w:p w14:paraId="456F8E5A">
            <w:pPr>
              <w:pStyle w:val="445"/>
              <w:rPr>
                <w:rFonts w:cs="Times New Roman"/>
                <w:kern w:val="0"/>
                <w:szCs w:val="20"/>
              </w:rPr>
            </w:pPr>
            <w:r>
              <w:rPr>
                <w:rFonts w:hint="eastAsia" w:cs="Times New Roman"/>
                <w:kern w:val="0"/>
                <w:szCs w:val="20"/>
              </w:rPr>
              <w:t>2.60</w:t>
            </w:r>
          </w:p>
        </w:tc>
        <w:tc>
          <w:tcPr>
            <w:tcW w:w="344" w:type="pct"/>
            <w:tcBorders>
              <w:top w:val="single" w:color="auto" w:sz="4" w:space="0"/>
              <w:left w:val="single" w:color="auto" w:sz="4" w:space="0"/>
              <w:bottom w:val="single" w:color="auto" w:sz="12" w:space="0"/>
              <w:right w:val="single" w:color="auto" w:sz="4" w:space="0"/>
            </w:tcBorders>
            <w:noWrap/>
          </w:tcPr>
          <w:p w14:paraId="63B4FC0B">
            <w:pPr>
              <w:pStyle w:val="445"/>
              <w:rPr>
                <w:rFonts w:cs="Times New Roman"/>
                <w:kern w:val="0"/>
                <w:szCs w:val="20"/>
              </w:rPr>
            </w:pPr>
            <w:r>
              <w:rPr>
                <w:rFonts w:hint="eastAsia" w:cs="Times New Roman"/>
                <w:kern w:val="0"/>
                <w:szCs w:val="20"/>
              </w:rPr>
              <w:t>2.23</w:t>
            </w:r>
          </w:p>
        </w:tc>
        <w:tc>
          <w:tcPr>
            <w:tcW w:w="344" w:type="pct"/>
            <w:tcBorders>
              <w:top w:val="single" w:color="auto" w:sz="4" w:space="0"/>
              <w:left w:val="single" w:color="auto" w:sz="4" w:space="0"/>
              <w:bottom w:val="single" w:color="auto" w:sz="12" w:space="0"/>
              <w:right w:val="single" w:color="auto" w:sz="4" w:space="0"/>
            </w:tcBorders>
            <w:noWrap/>
          </w:tcPr>
          <w:p w14:paraId="31361AAC">
            <w:pPr>
              <w:pStyle w:val="445"/>
              <w:rPr>
                <w:rFonts w:cs="Times New Roman"/>
                <w:kern w:val="0"/>
                <w:szCs w:val="20"/>
              </w:rPr>
            </w:pPr>
            <w:r>
              <w:rPr>
                <w:rFonts w:hint="eastAsia" w:cs="Times New Roman"/>
                <w:kern w:val="0"/>
                <w:szCs w:val="20"/>
              </w:rPr>
              <w:t>2.09</w:t>
            </w:r>
          </w:p>
        </w:tc>
        <w:tc>
          <w:tcPr>
            <w:tcW w:w="344" w:type="pct"/>
            <w:tcBorders>
              <w:top w:val="single" w:color="auto" w:sz="4" w:space="0"/>
              <w:left w:val="single" w:color="auto" w:sz="4" w:space="0"/>
              <w:bottom w:val="single" w:color="auto" w:sz="12" w:space="0"/>
              <w:right w:val="single" w:color="auto" w:sz="4" w:space="0"/>
            </w:tcBorders>
            <w:noWrap/>
          </w:tcPr>
          <w:p w14:paraId="03AA08D0">
            <w:pPr>
              <w:pStyle w:val="445"/>
              <w:rPr>
                <w:rFonts w:cs="Times New Roman"/>
                <w:kern w:val="0"/>
                <w:szCs w:val="20"/>
              </w:rPr>
            </w:pPr>
            <w:r>
              <w:rPr>
                <w:rFonts w:hint="eastAsia" w:cs="Times New Roman"/>
                <w:kern w:val="0"/>
                <w:szCs w:val="20"/>
              </w:rPr>
              <w:t>1.67</w:t>
            </w:r>
          </w:p>
        </w:tc>
        <w:tc>
          <w:tcPr>
            <w:tcW w:w="405" w:type="pct"/>
            <w:tcBorders>
              <w:top w:val="single" w:color="auto" w:sz="4" w:space="0"/>
              <w:left w:val="single" w:color="auto" w:sz="4" w:space="0"/>
              <w:bottom w:val="single" w:color="auto" w:sz="12" w:space="0"/>
              <w:right w:val="single" w:color="auto" w:sz="4" w:space="0"/>
            </w:tcBorders>
            <w:noWrap/>
          </w:tcPr>
          <w:p w14:paraId="2D20BC40">
            <w:pPr>
              <w:pStyle w:val="445"/>
              <w:rPr>
                <w:rFonts w:cs="Times New Roman"/>
                <w:kern w:val="0"/>
                <w:szCs w:val="20"/>
              </w:rPr>
            </w:pPr>
            <w:r>
              <w:rPr>
                <w:rFonts w:hint="eastAsia" w:cs="Times New Roman"/>
                <w:kern w:val="0"/>
                <w:szCs w:val="20"/>
              </w:rPr>
              <w:t>1.99</w:t>
            </w:r>
          </w:p>
        </w:tc>
        <w:tc>
          <w:tcPr>
            <w:tcW w:w="405" w:type="pct"/>
            <w:tcBorders>
              <w:top w:val="single" w:color="auto" w:sz="4" w:space="0"/>
              <w:left w:val="single" w:color="auto" w:sz="4" w:space="0"/>
              <w:bottom w:val="single" w:color="auto" w:sz="12" w:space="0"/>
              <w:right w:val="single" w:color="auto" w:sz="4" w:space="0"/>
            </w:tcBorders>
            <w:noWrap/>
          </w:tcPr>
          <w:p w14:paraId="5BE2AEED">
            <w:pPr>
              <w:pStyle w:val="445"/>
              <w:rPr>
                <w:rFonts w:cs="Times New Roman"/>
                <w:kern w:val="0"/>
                <w:szCs w:val="20"/>
              </w:rPr>
            </w:pPr>
            <w:r>
              <w:rPr>
                <w:rFonts w:hint="eastAsia" w:cs="Times New Roman"/>
                <w:kern w:val="0"/>
                <w:szCs w:val="20"/>
              </w:rPr>
              <w:t>2.44</w:t>
            </w:r>
          </w:p>
        </w:tc>
        <w:tc>
          <w:tcPr>
            <w:tcW w:w="401" w:type="pct"/>
            <w:tcBorders>
              <w:top w:val="single" w:color="auto" w:sz="4" w:space="0"/>
              <w:left w:val="single" w:color="auto" w:sz="4" w:space="0"/>
              <w:bottom w:val="single" w:color="auto" w:sz="12" w:space="0"/>
              <w:right w:val="nil"/>
            </w:tcBorders>
            <w:noWrap/>
          </w:tcPr>
          <w:p w14:paraId="225DA579">
            <w:pPr>
              <w:pStyle w:val="445"/>
              <w:rPr>
                <w:rFonts w:cs="Times New Roman"/>
                <w:kern w:val="0"/>
                <w:szCs w:val="20"/>
              </w:rPr>
            </w:pPr>
            <w:r>
              <w:rPr>
                <w:rFonts w:hint="eastAsia" w:cs="Times New Roman"/>
                <w:kern w:val="0"/>
                <w:szCs w:val="20"/>
              </w:rPr>
              <w:t>1.77</w:t>
            </w:r>
          </w:p>
        </w:tc>
      </w:tr>
    </w:tbl>
    <w:p w14:paraId="43F2AEBA">
      <w:pPr>
        <w:spacing w:before="163" w:beforeLines="50"/>
        <w:ind w:firstLine="480"/>
        <w:rPr>
          <w:rFonts w:cs="Times New Roman"/>
        </w:rPr>
      </w:pPr>
      <w:r>
        <w:rPr>
          <w:rFonts w:hint="eastAsia" w:ascii="宋体" w:hAnsi="宋体"/>
        </w:rPr>
        <w:t>（</w:t>
      </w:r>
      <w:r>
        <w:rPr>
          <w:rFonts w:hint="eastAsia"/>
        </w:rPr>
        <w:t>3</w:t>
      </w:r>
      <w:r>
        <w:rPr>
          <w:rFonts w:hint="eastAsia" w:ascii="宋体" w:hAnsi="宋体"/>
        </w:rPr>
        <w:t>）</w:t>
      </w:r>
      <w:r>
        <w:rPr>
          <w:rFonts w:ascii="宋体" w:hAnsi="宋体"/>
        </w:rPr>
        <w:t>基准年月季年风频变化统计</w:t>
      </w:r>
    </w:p>
    <w:p w14:paraId="5025EECF">
      <w:pPr>
        <w:ind w:firstLine="480"/>
      </w:pPr>
      <w:r>
        <w:rPr>
          <w:rFonts w:ascii="宋体" w:hAnsi="宋体"/>
        </w:rPr>
        <w:t>根据对</w:t>
      </w:r>
      <w:r>
        <w:t>2020</w:t>
      </w:r>
      <w:r>
        <w:rPr>
          <w:rFonts w:ascii="宋体" w:hAnsi="宋体"/>
        </w:rPr>
        <w:t>年蚌埠市气象站的地面站逐时气象数据的统计分析可知，项目评价区域的基准年的月季年风频变化统计见表</w:t>
      </w:r>
      <w:r>
        <w:t>5.1.1-7</w:t>
      </w:r>
      <w:r>
        <w:rPr>
          <w:rFonts w:ascii="宋体" w:hAnsi="宋体"/>
        </w:rPr>
        <w:t>。由表</w:t>
      </w:r>
      <w:r>
        <w:t>5.1.1-7</w:t>
      </w:r>
      <w:r>
        <w:rPr>
          <w:rFonts w:ascii="宋体" w:hAnsi="宋体"/>
        </w:rPr>
        <w:t>绘出</w:t>
      </w:r>
      <w:r>
        <w:t>2020</w:t>
      </w:r>
      <w:r>
        <w:rPr>
          <w:rFonts w:ascii="宋体" w:hAnsi="宋体"/>
        </w:rPr>
        <w:t>年蚌埠市年、季风向频率玫瑰图，见图</w:t>
      </w:r>
      <w:r>
        <w:t>5.1.1-4</w:t>
      </w:r>
      <w:r>
        <w:rPr>
          <w:rFonts w:ascii="宋体" w:hAnsi="宋体"/>
        </w:rPr>
        <w:t>。</w:t>
      </w:r>
    </w:p>
    <w:p w14:paraId="5A4761DA">
      <w:pPr>
        <w:ind w:firstLine="480"/>
      </w:pPr>
      <w:r>
        <w:rPr>
          <w:rFonts w:ascii="宋体" w:hAnsi="宋体"/>
        </w:rPr>
        <w:t>对比图</w:t>
      </w:r>
      <w:r>
        <w:t>5.1.1-3</w:t>
      </w:r>
      <w:r>
        <w:rPr>
          <w:rFonts w:ascii="宋体" w:hAnsi="宋体"/>
        </w:rPr>
        <w:t>和图</w:t>
      </w:r>
      <w:r>
        <w:t>5.1.1-4</w:t>
      </w:r>
      <w:r>
        <w:rPr>
          <w:rFonts w:ascii="宋体" w:hAnsi="宋体"/>
        </w:rPr>
        <w:t>可知，蚌埠市近</w:t>
      </w:r>
      <w:r>
        <w:t>20</w:t>
      </w:r>
      <w:r>
        <w:rPr>
          <w:rFonts w:ascii="宋体" w:hAnsi="宋体"/>
        </w:rPr>
        <w:t>年四季和全年主导风均为</w:t>
      </w:r>
      <w:r>
        <w:t>NE</w:t>
      </w:r>
      <w:r>
        <w:rPr>
          <w:rFonts w:ascii="宋体" w:hAnsi="宋体"/>
        </w:rPr>
        <w:t>风，</w:t>
      </w:r>
      <w:r>
        <w:t>2020</w:t>
      </w:r>
      <w:r>
        <w:rPr>
          <w:rFonts w:ascii="宋体" w:hAnsi="宋体"/>
        </w:rPr>
        <w:t>全年主导风向为</w:t>
      </w:r>
      <w:r>
        <w:t>E</w:t>
      </w:r>
      <w:r>
        <w:rPr>
          <w:rFonts w:ascii="宋体" w:hAnsi="宋体"/>
        </w:rPr>
        <w:t>风，这与当地</w:t>
      </w:r>
      <w:r>
        <w:t>20</w:t>
      </w:r>
      <w:r>
        <w:rPr>
          <w:rFonts w:ascii="宋体" w:hAnsi="宋体"/>
        </w:rPr>
        <w:t>年气象统计资料</w:t>
      </w:r>
      <w:r>
        <w:rPr>
          <w:rFonts w:hint="eastAsia" w:ascii="宋体" w:hAnsi="宋体"/>
        </w:rPr>
        <w:t>基本符合</w:t>
      </w:r>
      <w:r>
        <w:rPr>
          <w:rFonts w:ascii="宋体" w:hAnsi="宋体"/>
        </w:rPr>
        <w:t>。因此，评价预测选用</w:t>
      </w:r>
      <w:r>
        <w:t>2020</w:t>
      </w:r>
      <w:r>
        <w:rPr>
          <w:rFonts w:ascii="宋体" w:hAnsi="宋体"/>
        </w:rPr>
        <w:t>年的气象资料是合理的。</w:t>
      </w:r>
    </w:p>
    <w:p w14:paraId="3A305FDB">
      <w:pPr>
        <w:ind w:firstLine="0" w:firstLineChars="0"/>
        <w:jc w:val="center"/>
      </w:pPr>
      <w:r>
        <w:drawing>
          <wp:inline distT="0" distB="0" distL="0" distR="0">
            <wp:extent cx="5057775" cy="7029450"/>
            <wp:effectExtent l="0" t="0" r="9525" b="0"/>
            <wp:docPr id="7" name="图片 7" descr="C:\Users\ADMINI~1\AppData\Local\Temp\ksohtml\wps9A8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ksohtml\wps9A85.tmp.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057775" cy="7029450"/>
                    </a:xfrm>
                    <a:prstGeom prst="rect">
                      <a:avLst/>
                    </a:prstGeom>
                    <a:noFill/>
                    <a:ln>
                      <a:noFill/>
                    </a:ln>
                  </pic:spPr>
                </pic:pic>
              </a:graphicData>
            </a:graphic>
          </wp:inline>
        </w:drawing>
      </w:r>
    </w:p>
    <w:p w14:paraId="6CDA1E10">
      <w:pPr>
        <w:pStyle w:val="278"/>
        <w:ind w:firstLine="480"/>
      </w:pPr>
      <w:r>
        <w:rPr>
          <w:rFonts w:ascii="黑体" w:hAnsi="黑体"/>
        </w:rPr>
        <w:t>图</w:t>
      </w:r>
      <w:r>
        <w:t>5.1.1-4  2020</w:t>
      </w:r>
      <w:r>
        <w:rPr>
          <w:rFonts w:ascii="黑体" w:hAnsi="黑体"/>
        </w:rPr>
        <w:t>年</w:t>
      </w:r>
      <w:r>
        <w:rPr>
          <w:rFonts w:ascii="黑体" w:hAnsi="黑体"/>
          <w:bCs/>
        </w:rPr>
        <w:t>蚌埠</w:t>
      </w:r>
      <w:r>
        <w:rPr>
          <w:rFonts w:ascii="黑体" w:hAnsi="黑体"/>
        </w:rPr>
        <w:t>市气象台站风向频率玫瑰图</w:t>
      </w:r>
    </w:p>
    <w:p w14:paraId="4A79F28C">
      <w:pPr>
        <w:ind w:firstLine="480"/>
      </w:pPr>
    </w:p>
    <w:p w14:paraId="2626CE89">
      <w:pPr>
        <w:ind w:firstLine="480"/>
      </w:pPr>
    </w:p>
    <w:p w14:paraId="39CE348A">
      <w:pPr>
        <w:ind w:firstLine="480"/>
      </w:pPr>
    </w:p>
    <w:p w14:paraId="1BCCFAEE">
      <w:pPr>
        <w:ind w:firstLine="480"/>
        <w:sectPr>
          <w:pgSz w:w="11907" w:h="16839"/>
          <w:pgMar w:top="1440" w:right="1440" w:bottom="1440" w:left="1440" w:header="851" w:footer="992" w:gutter="0"/>
          <w:cols w:space="425" w:num="1"/>
          <w:docGrid w:type="lines" w:linePitch="326" w:charSpace="0"/>
        </w:sectPr>
      </w:pPr>
    </w:p>
    <w:p w14:paraId="58BE3BAF">
      <w:pPr>
        <w:pStyle w:val="278"/>
      </w:pPr>
      <w:r>
        <w:rPr>
          <w:rFonts w:hint="eastAsia" w:ascii="黑体" w:hAnsi="黑体"/>
        </w:rPr>
        <w:t>表</w:t>
      </w:r>
      <w:r>
        <w:t xml:space="preserve">5.1.1-7  </w:t>
      </w:r>
      <w:r>
        <w:rPr>
          <w:rFonts w:hint="eastAsia"/>
        </w:rPr>
        <w:t>20</w:t>
      </w:r>
      <w:r>
        <w:t>20</w:t>
      </w:r>
      <w:r>
        <w:rPr>
          <w:rFonts w:hint="eastAsia" w:ascii="黑体" w:hAnsi="黑体"/>
        </w:rPr>
        <w:t>年蚌埠市风频的月、季、年变化</w:t>
      </w:r>
      <w:r>
        <w:rPr>
          <w:rFonts w:hint="eastAsia"/>
        </w:rPr>
        <w:t xml:space="preserve">   单位：</w:t>
      </w:r>
      <w: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777"/>
        <w:gridCol w:w="777"/>
        <w:gridCol w:w="774"/>
        <w:gridCol w:w="774"/>
        <w:gridCol w:w="774"/>
        <w:gridCol w:w="777"/>
        <w:gridCol w:w="777"/>
        <w:gridCol w:w="777"/>
        <w:gridCol w:w="777"/>
        <w:gridCol w:w="777"/>
        <w:gridCol w:w="777"/>
        <w:gridCol w:w="783"/>
        <w:gridCol w:w="777"/>
        <w:gridCol w:w="822"/>
        <w:gridCol w:w="777"/>
        <w:gridCol w:w="778"/>
        <w:gridCol w:w="761"/>
      </w:tblGrid>
      <w:tr w14:paraId="5DBCC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12" w:space="0"/>
              <w:left w:val="nil"/>
              <w:bottom w:val="single" w:color="auto" w:sz="4" w:space="0"/>
              <w:right w:val="single" w:color="auto" w:sz="4" w:space="0"/>
            </w:tcBorders>
            <w:noWrap/>
          </w:tcPr>
          <w:p w14:paraId="15049D77">
            <w:pPr>
              <w:pStyle w:val="445"/>
              <w:rPr>
                <w:rFonts w:cs="Times New Roman"/>
                <w:kern w:val="0"/>
                <w:szCs w:val="20"/>
              </w:rPr>
            </w:pPr>
            <w:r>
              <w:rPr>
                <w:rFonts w:cs="Times New Roman"/>
                <w:kern w:val="0"/>
                <w:szCs w:val="20"/>
              </w:rPr>
              <w:t>月份</w:t>
            </w:r>
          </w:p>
        </w:tc>
        <w:tc>
          <w:tcPr>
            <w:tcW w:w="274" w:type="pct"/>
            <w:tcBorders>
              <w:top w:val="single" w:color="auto" w:sz="12" w:space="0"/>
              <w:left w:val="single" w:color="auto" w:sz="4" w:space="0"/>
              <w:bottom w:val="single" w:color="auto" w:sz="4" w:space="0"/>
              <w:right w:val="single" w:color="auto" w:sz="4" w:space="0"/>
            </w:tcBorders>
            <w:noWrap/>
          </w:tcPr>
          <w:p w14:paraId="6D199F7E">
            <w:pPr>
              <w:pStyle w:val="445"/>
              <w:rPr>
                <w:rFonts w:cs="Times New Roman"/>
                <w:kern w:val="0"/>
                <w:szCs w:val="20"/>
              </w:rPr>
            </w:pPr>
            <w:r>
              <w:rPr>
                <w:rFonts w:cs="Times New Roman"/>
                <w:kern w:val="0"/>
                <w:szCs w:val="20"/>
              </w:rPr>
              <w:t>N</w:t>
            </w:r>
          </w:p>
        </w:tc>
        <w:tc>
          <w:tcPr>
            <w:tcW w:w="274" w:type="pct"/>
            <w:tcBorders>
              <w:top w:val="single" w:color="auto" w:sz="12" w:space="0"/>
              <w:left w:val="single" w:color="auto" w:sz="4" w:space="0"/>
              <w:bottom w:val="single" w:color="auto" w:sz="4" w:space="0"/>
              <w:right w:val="single" w:color="auto" w:sz="4" w:space="0"/>
            </w:tcBorders>
            <w:noWrap/>
          </w:tcPr>
          <w:p w14:paraId="0B0886A2">
            <w:pPr>
              <w:pStyle w:val="445"/>
              <w:rPr>
                <w:rFonts w:cs="Times New Roman"/>
                <w:kern w:val="0"/>
                <w:szCs w:val="20"/>
              </w:rPr>
            </w:pPr>
            <w:r>
              <w:rPr>
                <w:rFonts w:cs="Times New Roman"/>
                <w:kern w:val="0"/>
                <w:szCs w:val="20"/>
              </w:rPr>
              <w:t>NNE</w:t>
            </w:r>
          </w:p>
        </w:tc>
        <w:tc>
          <w:tcPr>
            <w:tcW w:w="273" w:type="pct"/>
            <w:tcBorders>
              <w:top w:val="single" w:color="auto" w:sz="12" w:space="0"/>
              <w:left w:val="single" w:color="auto" w:sz="4" w:space="0"/>
              <w:bottom w:val="single" w:color="auto" w:sz="4" w:space="0"/>
              <w:right w:val="single" w:color="auto" w:sz="4" w:space="0"/>
            </w:tcBorders>
            <w:noWrap/>
          </w:tcPr>
          <w:p w14:paraId="6121B104">
            <w:pPr>
              <w:pStyle w:val="445"/>
              <w:rPr>
                <w:rFonts w:cs="Times New Roman"/>
                <w:kern w:val="0"/>
                <w:szCs w:val="20"/>
              </w:rPr>
            </w:pPr>
            <w:r>
              <w:rPr>
                <w:rFonts w:cs="Times New Roman"/>
                <w:kern w:val="0"/>
                <w:szCs w:val="20"/>
              </w:rPr>
              <w:t>NE</w:t>
            </w:r>
          </w:p>
        </w:tc>
        <w:tc>
          <w:tcPr>
            <w:tcW w:w="273" w:type="pct"/>
            <w:tcBorders>
              <w:top w:val="single" w:color="auto" w:sz="12" w:space="0"/>
              <w:left w:val="single" w:color="auto" w:sz="4" w:space="0"/>
              <w:bottom w:val="single" w:color="auto" w:sz="4" w:space="0"/>
              <w:right w:val="single" w:color="auto" w:sz="4" w:space="0"/>
            </w:tcBorders>
            <w:noWrap/>
          </w:tcPr>
          <w:p w14:paraId="6490E12F">
            <w:pPr>
              <w:pStyle w:val="445"/>
              <w:rPr>
                <w:rFonts w:cs="Times New Roman"/>
                <w:kern w:val="0"/>
                <w:szCs w:val="20"/>
              </w:rPr>
            </w:pPr>
            <w:r>
              <w:rPr>
                <w:rFonts w:cs="Times New Roman"/>
                <w:kern w:val="0"/>
                <w:szCs w:val="20"/>
              </w:rPr>
              <w:t>ENE</w:t>
            </w:r>
          </w:p>
        </w:tc>
        <w:tc>
          <w:tcPr>
            <w:tcW w:w="273" w:type="pct"/>
            <w:tcBorders>
              <w:top w:val="single" w:color="auto" w:sz="12" w:space="0"/>
              <w:left w:val="single" w:color="auto" w:sz="4" w:space="0"/>
              <w:bottom w:val="single" w:color="auto" w:sz="4" w:space="0"/>
              <w:right w:val="single" w:color="auto" w:sz="4" w:space="0"/>
            </w:tcBorders>
            <w:noWrap/>
          </w:tcPr>
          <w:p w14:paraId="251BB625">
            <w:pPr>
              <w:pStyle w:val="445"/>
              <w:rPr>
                <w:rFonts w:cs="Times New Roman"/>
                <w:kern w:val="0"/>
                <w:szCs w:val="20"/>
              </w:rPr>
            </w:pPr>
            <w:r>
              <w:rPr>
                <w:rFonts w:cs="Times New Roman"/>
                <w:kern w:val="0"/>
                <w:szCs w:val="20"/>
              </w:rPr>
              <w:t>E</w:t>
            </w:r>
          </w:p>
        </w:tc>
        <w:tc>
          <w:tcPr>
            <w:tcW w:w="274" w:type="pct"/>
            <w:tcBorders>
              <w:top w:val="single" w:color="auto" w:sz="12" w:space="0"/>
              <w:left w:val="single" w:color="auto" w:sz="4" w:space="0"/>
              <w:bottom w:val="single" w:color="auto" w:sz="4" w:space="0"/>
              <w:right w:val="single" w:color="auto" w:sz="4" w:space="0"/>
            </w:tcBorders>
            <w:noWrap/>
          </w:tcPr>
          <w:p w14:paraId="33277CC3">
            <w:pPr>
              <w:pStyle w:val="445"/>
              <w:rPr>
                <w:rFonts w:cs="Times New Roman"/>
                <w:kern w:val="0"/>
                <w:szCs w:val="20"/>
              </w:rPr>
            </w:pPr>
            <w:r>
              <w:rPr>
                <w:rFonts w:cs="Times New Roman"/>
                <w:kern w:val="0"/>
                <w:szCs w:val="20"/>
              </w:rPr>
              <w:t>ESE</w:t>
            </w:r>
          </w:p>
        </w:tc>
        <w:tc>
          <w:tcPr>
            <w:tcW w:w="274" w:type="pct"/>
            <w:tcBorders>
              <w:top w:val="single" w:color="auto" w:sz="12" w:space="0"/>
              <w:left w:val="single" w:color="auto" w:sz="4" w:space="0"/>
              <w:bottom w:val="single" w:color="auto" w:sz="4" w:space="0"/>
              <w:right w:val="single" w:color="auto" w:sz="4" w:space="0"/>
            </w:tcBorders>
            <w:noWrap/>
          </w:tcPr>
          <w:p w14:paraId="0CEA1E15">
            <w:pPr>
              <w:pStyle w:val="445"/>
              <w:rPr>
                <w:rFonts w:cs="Times New Roman"/>
                <w:kern w:val="0"/>
                <w:szCs w:val="20"/>
              </w:rPr>
            </w:pPr>
            <w:r>
              <w:rPr>
                <w:rFonts w:cs="Times New Roman"/>
                <w:kern w:val="0"/>
                <w:szCs w:val="20"/>
              </w:rPr>
              <w:t>SE</w:t>
            </w:r>
          </w:p>
        </w:tc>
        <w:tc>
          <w:tcPr>
            <w:tcW w:w="274" w:type="pct"/>
            <w:tcBorders>
              <w:top w:val="single" w:color="auto" w:sz="12" w:space="0"/>
              <w:left w:val="single" w:color="auto" w:sz="4" w:space="0"/>
              <w:bottom w:val="single" w:color="auto" w:sz="4" w:space="0"/>
              <w:right w:val="single" w:color="auto" w:sz="4" w:space="0"/>
            </w:tcBorders>
            <w:noWrap/>
          </w:tcPr>
          <w:p w14:paraId="0C90CBEC">
            <w:pPr>
              <w:pStyle w:val="445"/>
              <w:rPr>
                <w:rFonts w:cs="Times New Roman"/>
                <w:kern w:val="0"/>
                <w:szCs w:val="20"/>
              </w:rPr>
            </w:pPr>
            <w:r>
              <w:rPr>
                <w:rFonts w:cs="Times New Roman"/>
                <w:kern w:val="0"/>
                <w:szCs w:val="20"/>
              </w:rPr>
              <w:t>SSE</w:t>
            </w:r>
          </w:p>
        </w:tc>
        <w:tc>
          <w:tcPr>
            <w:tcW w:w="274" w:type="pct"/>
            <w:tcBorders>
              <w:top w:val="single" w:color="auto" w:sz="12" w:space="0"/>
              <w:left w:val="single" w:color="auto" w:sz="4" w:space="0"/>
              <w:bottom w:val="single" w:color="auto" w:sz="4" w:space="0"/>
              <w:right w:val="single" w:color="auto" w:sz="4" w:space="0"/>
            </w:tcBorders>
            <w:noWrap/>
          </w:tcPr>
          <w:p w14:paraId="29EBCA5E">
            <w:pPr>
              <w:pStyle w:val="445"/>
              <w:rPr>
                <w:rFonts w:cs="Times New Roman"/>
                <w:kern w:val="0"/>
                <w:szCs w:val="20"/>
              </w:rPr>
            </w:pPr>
            <w:r>
              <w:rPr>
                <w:rFonts w:cs="Times New Roman"/>
                <w:kern w:val="0"/>
                <w:szCs w:val="20"/>
              </w:rPr>
              <w:t>S</w:t>
            </w:r>
          </w:p>
        </w:tc>
        <w:tc>
          <w:tcPr>
            <w:tcW w:w="274" w:type="pct"/>
            <w:tcBorders>
              <w:top w:val="single" w:color="auto" w:sz="12" w:space="0"/>
              <w:left w:val="single" w:color="auto" w:sz="4" w:space="0"/>
              <w:bottom w:val="single" w:color="auto" w:sz="4" w:space="0"/>
              <w:right w:val="single" w:color="auto" w:sz="4" w:space="0"/>
            </w:tcBorders>
            <w:noWrap/>
          </w:tcPr>
          <w:p w14:paraId="55BF4360">
            <w:pPr>
              <w:pStyle w:val="445"/>
              <w:rPr>
                <w:rFonts w:cs="Times New Roman"/>
                <w:kern w:val="0"/>
                <w:szCs w:val="20"/>
              </w:rPr>
            </w:pPr>
            <w:r>
              <w:rPr>
                <w:rFonts w:cs="Times New Roman"/>
                <w:kern w:val="0"/>
                <w:szCs w:val="20"/>
              </w:rPr>
              <w:t>SSW</w:t>
            </w:r>
          </w:p>
        </w:tc>
        <w:tc>
          <w:tcPr>
            <w:tcW w:w="274" w:type="pct"/>
            <w:tcBorders>
              <w:top w:val="single" w:color="auto" w:sz="12" w:space="0"/>
              <w:left w:val="single" w:color="auto" w:sz="4" w:space="0"/>
              <w:bottom w:val="single" w:color="auto" w:sz="4" w:space="0"/>
              <w:right w:val="single" w:color="auto" w:sz="4" w:space="0"/>
            </w:tcBorders>
            <w:noWrap/>
          </w:tcPr>
          <w:p w14:paraId="2588A1CD">
            <w:pPr>
              <w:pStyle w:val="445"/>
              <w:rPr>
                <w:rFonts w:cs="Times New Roman"/>
                <w:kern w:val="0"/>
                <w:szCs w:val="20"/>
              </w:rPr>
            </w:pPr>
            <w:r>
              <w:rPr>
                <w:rFonts w:cs="Times New Roman"/>
                <w:kern w:val="0"/>
                <w:szCs w:val="20"/>
              </w:rPr>
              <w:t>SW</w:t>
            </w:r>
          </w:p>
        </w:tc>
        <w:tc>
          <w:tcPr>
            <w:tcW w:w="276" w:type="pct"/>
            <w:tcBorders>
              <w:top w:val="single" w:color="auto" w:sz="12" w:space="0"/>
              <w:left w:val="single" w:color="auto" w:sz="4" w:space="0"/>
              <w:bottom w:val="single" w:color="auto" w:sz="4" w:space="0"/>
              <w:right w:val="single" w:color="auto" w:sz="4" w:space="0"/>
            </w:tcBorders>
            <w:noWrap/>
          </w:tcPr>
          <w:p w14:paraId="05B40CD8">
            <w:pPr>
              <w:pStyle w:val="445"/>
              <w:rPr>
                <w:rFonts w:cs="Times New Roman"/>
                <w:kern w:val="0"/>
                <w:szCs w:val="20"/>
              </w:rPr>
            </w:pPr>
            <w:r>
              <w:rPr>
                <w:rFonts w:cs="Times New Roman"/>
                <w:kern w:val="0"/>
                <w:szCs w:val="20"/>
              </w:rPr>
              <w:t>WSW</w:t>
            </w:r>
          </w:p>
        </w:tc>
        <w:tc>
          <w:tcPr>
            <w:tcW w:w="274" w:type="pct"/>
            <w:tcBorders>
              <w:top w:val="single" w:color="auto" w:sz="12" w:space="0"/>
              <w:left w:val="single" w:color="auto" w:sz="4" w:space="0"/>
              <w:bottom w:val="single" w:color="auto" w:sz="4" w:space="0"/>
              <w:right w:val="single" w:color="auto" w:sz="4" w:space="0"/>
            </w:tcBorders>
            <w:noWrap/>
          </w:tcPr>
          <w:p w14:paraId="675D6600">
            <w:pPr>
              <w:pStyle w:val="445"/>
              <w:rPr>
                <w:rFonts w:cs="Times New Roman"/>
                <w:kern w:val="0"/>
                <w:szCs w:val="20"/>
              </w:rPr>
            </w:pPr>
            <w:r>
              <w:rPr>
                <w:rFonts w:cs="Times New Roman"/>
                <w:kern w:val="0"/>
                <w:szCs w:val="20"/>
              </w:rPr>
              <w:t>W</w:t>
            </w:r>
          </w:p>
        </w:tc>
        <w:tc>
          <w:tcPr>
            <w:tcW w:w="290" w:type="pct"/>
            <w:tcBorders>
              <w:top w:val="single" w:color="auto" w:sz="12" w:space="0"/>
              <w:left w:val="single" w:color="auto" w:sz="4" w:space="0"/>
              <w:bottom w:val="single" w:color="auto" w:sz="4" w:space="0"/>
              <w:right w:val="single" w:color="auto" w:sz="4" w:space="0"/>
            </w:tcBorders>
            <w:noWrap/>
          </w:tcPr>
          <w:p w14:paraId="051EFC4C">
            <w:pPr>
              <w:pStyle w:val="445"/>
              <w:rPr>
                <w:rFonts w:cs="Times New Roman"/>
                <w:kern w:val="0"/>
                <w:szCs w:val="20"/>
              </w:rPr>
            </w:pPr>
            <w:r>
              <w:rPr>
                <w:rFonts w:cs="Times New Roman"/>
                <w:kern w:val="0"/>
                <w:szCs w:val="20"/>
              </w:rPr>
              <w:t>WNW</w:t>
            </w:r>
          </w:p>
        </w:tc>
        <w:tc>
          <w:tcPr>
            <w:tcW w:w="274" w:type="pct"/>
            <w:tcBorders>
              <w:top w:val="single" w:color="auto" w:sz="12" w:space="0"/>
              <w:left w:val="single" w:color="auto" w:sz="4" w:space="0"/>
              <w:bottom w:val="single" w:color="auto" w:sz="4" w:space="0"/>
              <w:right w:val="single" w:color="auto" w:sz="4" w:space="0"/>
            </w:tcBorders>
            <w:noWrap/>
          </w:tcPr>
          <w:p w14:paraId="10C1B179">
            <w:pPr>
              <w:pStyle w:val="445"/>
              <w:rPr>
                <w:rFonts w:cs="Times New Roman"/>
                <w:kern w:val="0"/>
                <w:szCs w:val="20"/>
              </w:rPr>
            </w:pPr>
            <w:r>
              <w:rPr>
                <w:rFonts w:cs="Times New Roman"/>
                <w:kern w:val="0"/>
                <w:szCs w:val="20"/>
              </w:rPr>
              <w:t>NW</w:t>
            </w:r>
          </w:p>
        </w:tc>
        <w:tc>
          <w:tcPr>
            <w:tcW w:w="274" w:type="pct"/>
            <w:tcBorders>
              <w:top w:val="single" w:color="auto" w:sz="12" w:space="0"/>
              <w:left w:val="single" w:color="auto" w:sz="4" w:space="0"/>
              <w:bottom w:val="single" w:color="auto" w:sz="4" w:space="0"/>
              <w:right w:val="single" w:color="auto" w:sz="4" w:space="0"/>
            </w:tcBorders>
            <w:noWrap/>
          </w:tcPr>
          <w:p w14:paraId="71C23BD5">
            <w:pPr>
              <w:pStyle w:val="445"/>
              <w:rPr>
                <w:rFonts w:cs="Times New Roman"/>
                <w:kern w:val="0"/>
                <w:szCs w:val="20"/>
              </w:rPr>
            </w:pPr>
            <w:r>
              <w:rPr>
                <w:rFonts w:cs="Times New Roman"/>
                <w:kern w:val="0"/>
                <w:szCs w:val="20"/>
              </w:rPr>
              <w:t>NNW</w:t>
            </w:r>
          </w:p>
        </w:tc>
        <w:tc>
          <w:tcPr>
            <w:tcW w:w="268" w:type="pct"/>
            <w:tcBorders>
              <w:top w:val="single" w:color="auto" w:sz="12" w:space="0"/>
              <w:left w:val="single" w:color="auto" w:sz="4" w:space="0"/>
              <w:bottom w:val="single" w:color="auto" w:sz="4" w:space="0"/>
              <w:right w:val="nil"/>
            </w:tcBorders>
            <w:noWrap/>
          </w:tcPr>
          <w:p w14:paraId="437E4228">
            <w:pPr>
              <w:pStyle w:val="445"/>
              <w:rPr>
                <w:rFonts w:cs="Times New Roman"/>
                <w:kern w:val="0"/>
                <w:szCs w:val="20"/>
              </w:rPr>
            </w:pPr>
            <w:r>
              <w:rPr>
                <w:rFonts w:cs="Times New Roman"/>
                <w:kern w:val="0"/>
                <w:szCs w:val="20"/>
              </w:rPr>
              <w:t>静风</w:t>
            </w:r>
          </w:p>
        </w:tc>
      </w:tr>
      <w:tr w14:paraId="405D5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tcBorders>
              <w:top w:val="single" w:color="auto" w:sz="4" w:space="0"/>
              <w:left w:val="nil"/>
              <w:bottom w:val="single" w:color="auto" w:sz="4" w:space="0"/>
              <w:right w:val="single" w:color="auto" w:sz="4" w:space="0"/>
            </w:tcBorders>
            <w:noWrap/>
          </w:tcPr>
          <w:p w14:paraId="2D6CB461">
            <w:pPr>
              <w:pStyle w:val="445"/>
              <w:rPr>
                <w:rFonts w:cs="Times New Roman"/>
                <w:kern w:val="0"/>
                <w:szCs w:val="20"/>
              </w:rPr>
            </w:pPr>
            <w:r>
              <w:rPr>
                <w:rFonts w:cs="Times New Roman"/>
                <w:kern w:val="0"/>
                <w:szCs w:val="20"/>
              </w:rPr>
              <w:t>一月</w:t>
            </w:r>
          </w:p>
        </w:tc>
        <w:tc>
          <w:tcPr>
            <w:tcW w:w="274" w:type="pct"/>
            <w:tcBorders>
              <w:top w:val="single" w:color="auto" w:sz="4" w:space="0"/>
              <w:left w:val="single" w:color="auto" w:sz="4" w:space="0"/>
              <w:bottom w:val="single" w:color="auto" w:sz="4" w:space="0"/>
              <w:right w:val="single" w:color="auto" w:sz="4" w:space="0"/>
            </w:tcBorders>
            <w:noWrap/>
          </w:tcPr>
          <w:p w14:paraId="3E50B04D">
            <w:pPr>
              <w:pStyle w:val="445"/>
              <w:rPr>
                <w:rFonts w:cs="Times New Roman"/>
                <w:kern w:val="0"/>
                <w:szCs w:val="20"/>
              </w:rPr>
            </w:pPr>
            <w:r>
              <w:rPr>
                <w:rFonts w:hint="eastAsia" w:cs="Times New Roman"/>
                <w:kern w:val="0"/>
                <w:szCs w:val="20"/>
              </w:rPr>
              <w:t>9.68</w:t>
            </w:r>
          </w:p>
        </w:tc>
        <w:tc>
          <w:tcPr>
            <w:tcW w:w="274" w:type="pct"/>
            <w:tcBorders>
              <w:top w:val="single" w:color="auto" w:sz="4" w:space="0"/>
              <w:left w:val="single" w:color="auto" w:sz="4" w:space="0"/>
              <w:bottom w:val="single" w:color="auto" w:sz="4" w:space="0"/>
              <w:right w:val="single" w:color="auto" w:sz="4" w:space="0"/>
            </w:tcBorders>
            <w:noWrap/>
          </w:tcPr>
          <w:p w14:paraId="38884341">
            <w:pPr>
              <w:pStyle w:val="445"/>
              <w:rPr>
                <w:rFonts w:cs="Times New Roman"/>
                <w:kern w:val="0"/>
                <w:szCs w:val="20"/>
              </w:rPr>
            </w:pPr>
            <w:r>
              <w:rPr>
                <w:rFonts w:hint="eastAsia" w:cs="Times New Roman"/>
                <w:kern w:val="0"/>
                <w:szCs w:val="20"/>
              </w:rPr>
              <w:t>6.45</w:t>
            </w:r>
          </w:p>
        </w:tc>
        <w:tc>
          <w:tcPr>
            <w:tcW w:w="273" w:type="pct"/>
            <w:tcBorders>
              <w:top w:val="single" w:color="auto" w:sz="4" w:space="0"/>
              <w:left w:val="single" w:color="auto" w:sz="4" w:space="0"/>
              <w:bottom w:val="single" w:color="auto" w:sz="4" w:space="0"/>
              <w:right w:val="single" w:color="auto" w:sz="4" w:space="0"/>
            </w:tcBorders>
            <w:noWrap/>
          </w:tcPr>
          <w:p w14:paraId="5E88E0D0">
            <w:pPr>
              <w:pStyle w:val="445"/>
              <w:rPr>
                <w:rFonts w:cs="Times New Roman"/>
                <w:kern w:val="0"/>
                <w:szCs w:val="20"/>
              </w:rPr>
            </w:pPr>
            <w:r>
              <w:rPr>
                <w:rFonts w:hint="eastAsia" w:cs="Times New Roman"/>
                <w:kern w:val="0"/>
                <w:szCs w:val="20"/>
              </w:rPr>
              <w:t>15.59</w:t>
            </w:r>
          </w:p>
        </w:tc>
        <w:tc>
          <w:tcPr>
            <w:tcW w:w="273" w:type="pct"/>
            <w:tcBorders>
              <w:top w:val="single" w:color="auto" w:sz="4" w:space="0"/>
              <w:left w:val="single" w:color="auto" w:sz="4" w:space="0"/>
              <w:bottom w:val="single" w:color="auto" w:sz="4" w:space="0"/>
              <w:right w:val="single" w:color="auto" w:sz="4" w:space="0"/>
            </w:tcBorders>
            <w:noWrap/>
          </w:tcPr>
          <w:p w14:paraId="4425815A">
            <w:pPr>
              <w:pStyle w:val="445"/>
              <w:rPr>
                <w:rFonts w:cs="Times New Roman"/>
                <w:kern w:val="0"/>
                <w:szCs w:val="20"/>
              </w:rPr>
            </w:pPr>
            <w:r>
              <w:rPr>
                <w:rFonts w:hint="eastAsia" w:cs="Times New Roman"/>
                <w:kern w:val="0"/>
                <w:szCs w:val="20"/>
              </w:rPr>
              <w:t>13.71</w:t>
            </w:r>
          </w:p>
        </w:tc>
        <w:tc>
          <w:tcPr>
            <w:tcW w:w="273" w:type="pct"/>
            <w:tcBorders>
              <w:top w:val="single" w:color="auto" w:sz="4" w:space="0"/>
              <w:left w:val="single" w:color="auto" w:sz="4" w:space="0"/>
              <w:bottom w:val="single" w:color="auto" w:sz="4" w:space="0"/>
              <w:right w:val="single" w:color="auto" w:sz="4" w:space="0"/>
            </w:tcBorders>
            <w:noWrap/>
          </w:tcPr>
          <w:p w14:paraId="6DE021D9">
            <w:pPr>
              <w:pStyle w:val="445"/>
              <w:rPr>
                <w:rFonts w:cs="Times New Roman"/>
                <w:kern w:val="0"/>
                <w:szCs w:val="20"/>
              </w:rPr>
            </w:pPr>
            <w:r>
              <w:rPr>
                <w:rFonts w:hint="eastAsia" w:cs="Times New Roman"/>
                <w:kern w:val="0"/>
                <w:szCs w:val="20"/>
              </w:rPr>
              <w:t>12.63</w:t>
            </w:r>
          </w:p>
        </w:tc>
        <w:tc>
          <w:tcPr>
            <w:tcW w:w="274" w:type="pct"/>
            <w:tcBorders>
              <w:top w:val="single" w:color="auto" w:sz="4" w:space="0"/>
              <w:left w:val="single" w:color="auto" w:sz="4" w:space="0"/>
              <w:bottom w:val="single" w:color="auto" w:sz="4" w:space="0"/>
              <w:right w:val="single" w:color="auto" w:sz="4" w:space="0"/>
            </w:tcBorders>
            <w:noWrap/>
          </w:tcPr>
          <w:p w14:paraId="4A7F7EF6">
            <w:pPr>
              <w:pStyle w:val="445"/>
              <w:rPr>
                <w:rFonts w:cs="Times New Roman"/>
                <w:kern w:val="0"/>
                <w:szCs w:val="20"/>
              </w:rPr>
            </w:pPr>
            <w:r>
              <w:rPr>
                <w:rFonts w:hint="eastAsia" w:cs="Times New Roman"/>
                <w:kern w:val="0"/>
                <w:szCs w:val="20"/>
              </w:rPr>
              <w:t>2.02</w:t>
            </w:r>
          </w:p>
        </w:tc>
        <w:tc>
          <w:tcPr>
            <w:tcW w:w="274" w:type="pct"/>
            <w:tcBorders>
              <w:top w:val="single" w:color="auto" w:sz="4" w:space="0"/>
              <w:left w:val="single" w:color="auto" w:sz="4" w:space="0"/>
              <w:bottom w:val="single" w:color="auto" w:sz="4" w:space="0"/>
              <w:right w:val="single" w:color="auto" w:sz="4" w:space="0"/>
            </w:tcBorders>
            <w:noWrap/>
          </w:tcPr>
          <w:p w14:paraId="18368A65">
            <w:pPr>
              <w:pStyle w:val="445"/>
              <w:rPr>
                <w:rFonts w:cs="Times New Roman"/>
                <w:kern w:val="0"/>
                <w:szCs w:val="20"/>
              </w:rPr>
            </w:pPr>
            <w:r>
              <w:rPr>
                <w:rFonts w:hint="eastAsia" w:cs="Times New Roman"/>
                <w:kern w:val="0"/>
                <w:szCs w:val="20"/>
              </w:rPr>
              <w:t>1.08</w:t>
            </w:r>
          </w:p>
        </w:tc>
        <w:tc>
          <w:tcPr>
            <w:tcW w:w="274" w:type="pct"/>
            <w:tcBorders>
              <w:top w:val="single" w:color="auto" w:sz="4" w:space="0"/>
              <w:left w:val="single" w:color="auto" w:sz="4" w:space="0"/>
              <w:bottom w:val="single" w:color="auto" w:sz="4" w:space="0"/>
              <w:right w:val="single" w:color="auto" w:sz="4" w:space="0"/>
            </w:tcBorders>
            <w:noWrap/>
          </w:tcPr>
          <w:p w14:paraId="7F681529">
            <w:pPr>
              <w:pStyle w:val="445"/>
              <w:rPr>
                <w:rFonts w:cs="Times New Roman"/>
                <w:kern w:val="0"/>
                <w:szCs w:val="20"/>
              </w:rPr>
            </w:pPr>
            <w:r>
              <w:rPr>
                <w:rFonts w:hint="eastAsia" w:cs="Times New Roman"/>
                <w:kern w:val="0"/>
                <w:szCs w:val="20"/>
              </w:rPr>
              <w:t>1.21</w:t>
            </w:r>
          </w:p>
        </w:tc>
        <w:tc>
          <w:tcPr>
            <w:tcW w:w="274" w:type="pct"/>
            <w:tcBorders>
              <w:top w:val="single" w:color="auto" w:sz="4" w:space="0"/>
              <w:left w:val="single" w:color="auto" w:sz="4" w:space="0"/>
              <w:bottom w:val="single" w:color="auto" w:sz="4" w:space="0"/>
              <w:right w:val="single" w:color="auto" w:sz="4" w:space="0"/>
            </w:tcBorders>
            <w:noWrap/>
          </w:tcPr>
          <w:p w14:paraId="5700C93E">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54353965">
            <w:pPr>
              <w:pStyle w:val="445"/>
              <w:rPr>
                <w:rFonts w:cs="Times New Roman"/>
                <w:kern w:val="0"/>
                <w:szCs w:val="20"/>
              </w:rPr>
            </w:pPr>
            <w:r>
              <w:rPr>
                <w:rFonts w:hint="eastAsia" w:cs="Times New Roman"/>
                <w:kern w:val="0"/>
                <w:szCs w:val="20"/>
              </w:rPr>
              <w:t>1.61</w:t>
            </w:r>
          </w:p>
        </w:tc>
        <w:tc>
          <w:tcPr>
            <w:tcW w:w="274" w:type="pct"/>
            <w:tcBorders>
              <w:top w:val="single" w:color="auto" w:sz="4" w:space="0"/>
              <w:left w:val="single" w:color="auto" w:sz="4" w:space="0"/>
              <w:bottom w:val="single" w:color="auto" w:sz="4" w:space="0"/>
              <w:right w:val="single" w:color="auto" w:sz="4" w:space="0"/>
            </w:tcBorders>
            <w:noWrap/>
          </w:tcPr>
          <w:p w14:paraId="18E7CAC9">
            <w:pPr>
              <w:pStyle w:val="445"/>
              <w:rPr>
                <w:rFonts w:cs="Times New Roman"/>
                <w:kern w:val="0"/>
                <w:szCs w:val="20"/>
              </w:rPr>
            </w:pPr>
            <w:r>
              <w:rPr>
                <w:rFonts w:hint="eastAsia" w:cs="Times New Roman"/>
                <w:kern w:val="0"/>
                <w:szCs w:val="20"/>
              </w:rPr>
              <w:t>2.42</w:t>
            </w:r>
          </w:p>
        </w:tc>
        <w:tc>
          <w:tcPr>
            <w:tcW w:w="276" w:type="pct"/>
            <w:tcBorders>
              <w:top w:val="single" w:color="auto" w:sz="4" w:space="0"/>
              <w:left w:val="single" w:color="auto" w:sz="4" w:space="0"/>
              <w:bottom w:val="single" w:color="auto" w:sz="4" w:space="0"/>
              <w:right w:val="single" w:color="auto" w:sz="4" w:space="0"/>
            </w:tcBorders>
            <w:noWrap/>
          </w:tcPr>
          <w:p w14:paraId="0F5B3480">
            <w:pPr>
              <w:pStyle w:val="445"/>
              <w:rPr>
                <w:rFonts w:cs="Times New Roman"/>
                <w:kern w:val="0"/>
                <w:szCs w:val="20"/>
              </w:rPr>
            </w:pPr>
            <w:r>
              <w:rPr>
                <w:rFonts w:hint="eastAsia" w:cs="Times New Roman"/>
                <w:kern w:val="0"/>
                <w:szCs w:val="20"/>
              </w:rPr>
              <w:t>4.17</w:t>
            </w:r>
          </w:p>
        </w:tc>
        <w:tc>
          <w:tcPr>
            <w:tcW w:w="274" w:type="pct"/>
            <w:tcBorders>
              <w:top w:val="single" w:color="auto" w:sz="4" w:space="0"/>
              <w:left w:val="single" w:color="auto" w:sz="4" w:space="0"/>
              <w:bottom w:val="single" w:color="auto" w:sz="4" w:space="0"/>
              <w:right w:val="single" w:color="auto" w:sz="4" w:space="0"/>
            </w:tcBorders>
            <w:noWrap/>
          </w:tcPr>
          <w:p w14:paraId="38F9BDCF">
            <w:pPr>
              <w:pStyle w:val="445"/>
              <w:rPr>
                <w:rFonts w:cs="Times New Roman"/>
                <w:kern w:val="0"/>
                <w:szCs w:val="20"/>
              </w:rPr>
            </w:pPr>
            <w:r>
              <w:rPr>
                <w:rFonts w:hint="eastAsia" w:cs="Times New Roman"/>
                <w:kern w:val="0"/>
                <w:szCs w:val="20"/>
              </w:rPr>
              <w:t>12.23</w:t>
            </w:r>
          </w:p>
        </w:tc>
        <w:tc>
          <w:tcPr>
            <w:tcW w:w="290" w:type="pct"/>
            <w:tcBorders>
              <w:top w:val="single" w:color="auto" w:sz="4" w:space="0"/>
              <w:left w:val="single" w:color="auto" w:sz="4" w:space="0"/>
              <w:bottom w:val="single" w:color="auto" w:sz="4" w:space="0"/>
              <w:right w:val="single" w:color="auto" w:sz="4" w:space="0"/>
            </w:tcBorders>
            <w:noWrap/>
          </w:tcPr>
          <w:p w14:paraId="5FF38796">
            <w:pPr>
              <w:pStyle w:val="445"/>
              <w:rPr>
                <w:rFonts w:cs="Times New Roman"/>
                <w:kern w:val="0"/>
                <w:szCs w:val="20"/>
              </w:rPr>
            </w:pPr>
            <w:r>
              <w:rPr>
                <w:rFonts w:hint="eastAsia" w:cs="Times New Roman"/>
                <w:kern w:val="0"/>
                <w:szCs w:val="20"/>
              </w:rPr>
              <w:t>6.59</w:t>
            </w:r>
          </w:p>
        </w:tc>
        <w:tc>
          <w:tcPr>
            <w:tcW w:w="274" w:type="pct"/>
            <w:tcBorders>
              <w:top w:val="single" w:color="auto" w:sz="4" w:space="0"/>
              <w:left w:val="single" w:color="auto" w:sz="4" w:space="0"/>
              <w:bottom w:val="single" w:color="auto" w:sz="4" w:space="0"/>
              <w:right w:val="single" w:color="auto" w:sz="4" w:space="0"/>
            </w:tcBorders>
            <w:noWrap/>
          </w:tcPr>
          <w:p w14:paraId="1CA57A15">
            <w:pPr>
              <w:pStyle w:val="445"/>
              <w:rPr>
                <w:rFonts w:cs="Times New Roman"/>
                <w:kern w:val="0"/>
                <w:szCs w:val="20"/>
              </w:rPr>
            </w:pPr>
            <w:r>
              <w:rPr>
                <w:rFonts w:hint="eastAsia" w:cs="Times New Roman"/>
                <w:kern w:val="0"/>
                <w:szCs w:val="20"/>
              </w:rPr>
              <w:t>4.57</w:t>
            </w:r>
          </w:p>
        </w:tc>
        <w:tc>
          <w:tcPr>
            <w:tcW w:w="274" w:type="pct"/>
            <w:tcBorders>
              <w:top w:val="single" w:color="auto" w:sz="4" w:space="0"/>
              <w:left w:val="single" w:color="auto" w:sz="4" w:space="0"/>
              <w:bottom w:val="single" w:color="auto" w:sz="4" w:space="0"/>
              <w:right w:val="single" w:color="auto" w:sz="4" w:space="0"/>
            </w:tcBorders>
            <w:noWrap/>
          </w:tcPr>
          <w:p w14:paraId="13494362">
            <w:pPr>
              <w:pStyle w:val="445"/>
              <w:rPr>
                <w:rFonts w:cs="Times New Roman"/>
                <w:kern w:val="0"/>
                <w:szCs w:val="20"/>
              </w:rPr>
            </w:pPr>
            <w:r>
              <w:rPr>
                <w:rFonts w:hint="eastAsia" w:cs="Times New Roman"/>
                <w:kern w:val="0"/>
                <w:szCs w:val="20"/>
              </w:rPr>
              <w:t>4.17</w:t>
            </w:r>
          </w:p>
        </w:tc>
        <w:tc>
          <w:tcPr>
            <w:tcW w:w="268" w:type="pct"/>
            <w:tcBorders>
              <w:top w:val="single" w:color="auto" w:sz="4" w:space="0"/>
              <w:left w:val="single" w:color="auto" w:sz="4" w:space="0"/>
              <w:bottom w:val="single" w:color="auto" w:sz="4" w:space="0"/>
              <w:right w:val="nil"/>
            </w:tcBorders>
            <w:noWrap/>
          </w:tcPr>
          <w:p w14:paraId="7CAAD293">
            <w:pPr>
              <w:pStyle w:val="445"/>
              <w:rPr>
                <w:rFonts w:cs="Times New Roman"/>
                <w:kern w:val="0"/>
                <w:szCs w:val="20"/>
              </w:rPr>
            </w:pPr>
            <w:r>
              <w:rPr>
                <w:rFonts w:hint="eastAsia" w:cs="Times New Roman"/>
                <w:kern w:val="0"/>
                <w:szCs w:val="20"/>
              </w:rPr>
              <w:t>0.13</w:t>
            </w:r>
          </w:p>
        </w:tc>
      </w:tr>
      <w:tr w14:paraId="2248D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581EACE6">
            <w:pPr>
              <w:pStyle w:val="445"/>
              <w:rPr>
                <w:rFonts w:cs="Times New Roman"/>
                <w:kern w:val="0"/>
                <w:szCs w:val="20"/>
              </w:rPr>
            </w:pPr>
            <w:r>
              <w:rPr>
                <w:rFonts w:cs="Times New Roman"/>
                <w:kern w:val="0"/>
                <w:szCs w:val="20"/>
              </w:rPr>
              <w:t>二月</w:t>
            </w:r>
          </w:p>
        </w:tc>
        <w:tc>
          <w:tcPr>
            <w:tcW w:w="274" w:type="pct"/>
            <w:tcBorders>
              <w:top w:val="single" w:color="auto" w:sz="4" w:space="0"/>
              <w:left w:val="single" w:color="auto" w:sz="4" w:space="0"/>
              <w:bottom w:val="single" w:color="auto" w:sz="4" w:space="0"/>
              <w:right w:val="single" w:color="auto" w:sz="4" w:space="0"/>
            </w:tcBorders>
            <w:noWrap/>
          </w:tcPr>
          <w:p w14:paraId="2BDBD02B">
            <w:pPr>
              <w:pStyle w:val="445"/>
              <w:rPr>
                <w:rFonts w:cs="Times New Roman"/>
                <w:kern w:val="0"/>
                <w:szCs w:val="20"/>
              </w:rPr>
            </w:pPr>
            <w:r>
              <w:rPr>
                <w:rFonts w:hint="eastAsia" w:cs="Times New Roman"/>
                <w:kern w:val="0"/>
                <w:szCs w:val="20"/>
              </w:rPr>
              <w:t>3.88</w:t>
            </w:r>
          </w:p>
        </w:tc>
        <w:tc>
          <w:tcPr>
            <w:tcW w:w="274" w:type="pct"/>
            <w:tcBorders>
              <w:top w:val="single" w:color="auto" w:sz="4" w:space="0"/>
              <w:left w:val="single" w:color="auto" w:sz="4" w:space="0"/>
              <w:bottom w:val="single" w:color="auto" w:sz="4" w:space="0"/>
              <w:right w:val="single" w:color="auto" w:sz="4" w:space="0"/>
            </w:tcBorders>
            <w:noWrap/>
          </w:tcPr>
          <w:p w14:paraId="2ACDC894">
            <w:pPr>
              <w:pStyle w:val="445"/>
              <w:rPr>
                <w:rFonts w:cs="Times New Roman"/>
                <w:kern w:val="0"/>
                <w:szCs w:val="20"/>
              </w:rPr>
            </w:pPr>
            <w:r>
              <w:rPr>
                <w:rFonts w:hint="eastAsia" w:cs="Times New Roman"/>
                <w:kern w:val="0"/>
                <w:szCs w:val="20"/>
              </w:rPr>
              <w:t>3.16</w:t>
            </w:r>
          </w:p>
        </w:tc>
        <w:tc>
          <w:tcPr>
            <w:tcW w:w="273" w:type="pct"/>
            <w:tcBorders>
              <w:top w:val="single" w:color="auto" w:sz="4" w:space="0"/>
              <w:left w:val="single" w:color="auto" w:sz="4" w:space="0"/>
              <w:bottom w:val="single" w:color="auto" w:sz="4" w:space="0"/>
              <w:right w:val="single" w:color="auto" w:sz="4" w:space="0"/>
            </w:tcBorders>
            <w:noWrap/>
          </w:tcPr>
          <w:p w14:paraId="3394B021">
            <w:pPr>
              <w:pStyle w:val="445"/>
              <w:rPr>
                <w:rFonts w:cs="Times New Roman"/>
                <w:kern w:val="0"/>
                <w:szCs w:val="20"/>
              </w:rPr>
            </w:pPr>
            <w:r>
              <w:rPr>
                <w:rFonts w:hint="eastAsia" w:cs="Times New Roman"/>
                <w:kern w:val="0"/>
                <w:szCs w:val="20"/>
              </w:rPr>
              <w:t>6.32</w:t>
            </w:r>
          </w:p>
        </w:tc>
        <w:tc>
          <w:tcPr>
            <w:tcW w:w="273" w:type="pct"/>
            <w:tcBorders>
              <w:top w:val="single" w:color="auto" w:sz="4" w:space="0"/>
              <w:left w:val="single" w:color="auto" w:sz="4" w:space="0"/>
              <w:bottom w:val="single" w:color="auto" w:sz="4" w:space="0"/>
              <w:right w:val="single" w:color="auto" w:sz="4" w:space="0"/>
            </w:tcBorders>
            <w:noWrap/>
          </w:tcPr>
          <w:p w14:paraId="6A35BE13">
            <w:pPr>
              <w:pStyle w:val="445"/>
              <w:rPr>
                <w:rFonts w:cs="Times New Roman"/>
                <w:kern w:val="0"/>
                <w:szCs w:val="20"/>
              </w:rPr>
            </w:pPr>
            <w:r>
              <w:rPr>
                <w:rFonts w:hint="eastAsia" w:cs="Times New Roman"/>
                <w:kern w:val="0"/>
                <w:szCs w:val="20"/>
              </w:rPr>
              <w:t>18.82</w:t>
            </w:r>
          </w:p>
        </w:tc>
        <w:tc>
          <w:tcPr>
            <w:tcW w:w="273" w:type="pct"/>
            <w:tcBorders>
              <w:top w:val="single" w:color="auto" w:sz="4" w:space="0"/>
              <w:left w:val="single" w:color="auto" w:sz="4" w:space="0"/>
              <w:bottom w:val="single" w:color="auto" w:sz="4" w:space="0"/>
              <w:right w:val="single" w:color="auto" w:sz="4" w:space="0"/>
            </w:tcBorders>
            <w:noWrap/>
          </w:tcPr>
          <w:p w14:paraId="2AC9C1CF">
            <w:pPr>
              <w:pStyle w:val="445"/>
              <w:rPr>
                <w:rFonts w:cs="Times New Roman"/>
                <w:kern w:val="0"/>
                <w:szCs w:val="20"/>
              </w:rPr>
            </w:pPr>
            <w:r>
              <w:rPr>
                <w:rFonts w:hint="eastAsia" w:cs="Times New Roman"/>
                <w:kern w:val="0"/>
                <w:szCs w:val="20"/>
              </w:rPr>
              <w:t>20.11</w:t>
            </w:r>
          </w:p>
        </w:tc>
        <w:tc>
          <w:tcPr>
            <w:tcW w:w="274" w:type="pct"/>
            <w:tcBorders>
              <w:top w:val="single" w:color="auto" w:sz="4" w:space="0"/>
              <w:left w:val="single" w:color="auto" w:sz="4" w:space="0"/>
              <w:bottom w:val="single" w:color="auto" w:sz="4" w:space="0"/>
              <w:right w:val="single" w:color="auto" w:sz="4" w:space="0"/>
            </w:tcBorders>
            <w:noWrap/>
          </w:tcPr>
          <w:p w14:paraId="191CF30D">
            <w:pPr>
              <w:pStyle w:val="445"/>
              <w:rPr>
                <w:rFonts w:cs="Times New Roman"/>
                <w:kern w:val="0"/>
                <w:szCs w:val="20"/>
              </w:rPr>
            </w:pPr>
            <w:r>
              <w:rPr>
                <w:rFonts w:hint="eastAsia" w:cs="Times New Roman"/>
                <w:kern w:val="0"/>
                <w:szCs w:val="20"/>
              </w:rPr>
              <w:t>6.03</w:t>
            </w:r>
          </w:p>
        </w:tc>
        <w:tc>
          <w:tcPr>
            <w:tcW w:w="274" w:type="pct"/>
            <w:tcBorders>
              <w:top w:val="single" w:color="auto" w:sz="4" w:space="0"/>
              <w:left w:val="single" w:color="auto" w:sz="4" w:space="0"/>
              <w:bottom w:val="single" w:color="auto" w:sz="4" w:space="0"/>
              <w:right w:val="single" w:color="auto" w:sz="4" w:space="0"/>
            </w:tcBorders>
            <w:noWrap/>
          </w:tcPr>
          <w:p w14:paraId="06A4ECD4">
            <w:pPr>
              <w:pStyle w:val="445"/>
              <w:rPr>
                <w:rFonts w:cs="Times New Roman"/>
                <w:kern w:val="0"/>
                <w:szCs w:val="20"/>
              </w:rPr>
            </w:pPr>
            <w:r>
              <w:rPr>
                <w:rFonts w:hint="eastAsia" w:cs="Times New Roman"/>
                <w:kern w:val="0"/>
                <w:szCs w:val="20"/>
              </w:rPr>
              <w:t>4.45</w:t>
            </w:r>
          </w:p>
        </w:tc>
        <w:tc>
          <w:tcPr>
            <w:tcW w:w="274" w:type="pct"/>
            <w:tcBorders>
              <w:top w:val="single" w:color="auto" w:sz="4" w:space="0"/>
              <w:left w:val="single" w:color="auto" w:sz="4" w:space="0"/>
              <w:bottom w:val="single" w:color="auto" w:sz="4" w:space="0"/>
              <w:right w:val="single" w:color="auto" w:sz="4" w:space="0"/>
            </w:tcBorders>
            <w:noWrap/>
          </w:tcPr>
          <w:p w14:paraId="001E2FDA">
            <w:pPr>
              <w:pStyle w:val="445"/>
              <w:rPr>
                <w:rFonts w:cs="Times New Roman"/>
                <w:kern w:val="0"/>
                <w:szCs w:val="20"/>
              </w:rPr>
            </w:pPr>
            <w:r>
              <w:rPr>
                <w:rFonts w:hint="eastAsia" w:cs="Times New Roman"/>
                <w:kern w:val="0"/>
                <w:szCs w:val="20"/>
              </w:rPr>
              <w:t>2.16</w:t>
            </w:r>
          </w:p>
        </w:tc>
        <w:tc>
          <w:tcPr>
            <w:tcW w:w="274" w:type="pct"/>
            <w:tcBorders>
              <w:top w:val="single" w:color="auto" w:sz="4" w:space="0"/>
              <w:left w:val="single" w:color="auto" w:sz="4" w:space="0"/>
              <w:bottom w:val="single" w:color="auto" w:sz="4" w:space="0"/>
              <w:right w:val="single" w:color="auto" w:sz="4" w:space="0"/>
            </w:tcBorders>
            <w:noWrap/>
          </w:tcPr>
          <w:p w14:paraId="211E5F77">
            <w:pPr>
              <w:pStyle w:val="445"/>
              <w:rPr>
                <w:rFonts w:cs="Times New Roman"/>
                <w:kern w:val="0"/>
                <w:szCs w:val="20"/>
              </w:rPr>
            </w:pPr>
            <w:r>
              <w:rPr>
                <w:rFonts w:hint="eastAsia" w:cs="Times New Roman"/>
                <w:kern w:val="0"/>
                <w:szCs w:val="20"/>
              </w:rPr>
              <w:t>5.75</w:t>
            </w:r>
          </w:p>
        </w:tc>
        <w:tc>
          <w:tcPr>
            <w:tcW w:w="274" w:type="pct"/>
            <w:tcBorders>
              <w:top w:val="single" w:color="auto" w:sz="4" w:space="0"/>
              <w:left w:val="single" w:color="auto" w:sz="4" w:space="0"/>
              <w:bottom w:val="single" w:color="auto" w:sz="4" w:space="0"/>
              <w:right w:val="single" w:color="auto" w:sz="4" w:space="0"/>
            </w:tcBorders>
            <w:noWrap/>
          </w:tcPr>
          <w:p w14:paraId="25412496">
            <w:pPr>
              <w:pStyle w:val="445"/>
              <w:rPr>
                <w:rFonts w:cs="Times New Roman"/>
                <w:kern w:val="0"/>
                <w:szCs w:val="20"/>
              </w:rPr>
            </w:pPr>
            <w:r>
              <w:rPr>
                <w:rFonts w:hint="eastAsia" w:cs="Times New Roman"/>
                <w:kern w:val="0"/>
                <w:szCs w:val="20"/>
              </w:rPr>
              <w:t>3.74</w:t>
            </w:r>
          </w:p>
        </w:tc>
        <w:tc>
          <w:tcPr>
            <w:tcW w:w="274" w:type="pct"/>
            <w:tcBorders>
              <w:top w:val="single" w:color="auto" w:sz="4" w:space="0"/>
              <w:left w:val="single" w:color="auto" w:sz="4" w:space="0"/>
              <w:bottom w:val="single" w:color="auto" w:sz="4" w:space="0"/>
              <w:right w:val="single" w:color="auto" w:sz="4" w:space="0"/>
            </w:tcBorders>
            <w:noWrap/>
          </w:tcPr>
          <w:p w14:paraId="4F2553E0">
            <w:pPr>
              <w:pStyle w:val="445"/>
              <w:rPr>
                <w:rFonts w:cs="Times New Roman"/>
                <w:kern w:val="0"/>
                <w:szCs w:val="20"/>
              </w:rPr>
            </w:pPr>
            <w:r>
              <w:rPr>
                <w:rFonts w:hint="eastAsia" w:cs="Times New Roman"/>
                <w:kern w:val="0"/>
                <w:szCs w:val="20"/>
              </w:rPr>
              <w:t>2.01</w:t>
            </w:r>
          </w:p>
        </w:tc>
        <w:tc>
          <w:tcPr>
            <w:tcW w:w="276" w:type="pct"/>
            <w:tcBorders>
              <w:top w:val="single" w:color="auto" w:sz="4" w:space="0"/>
              <w:left w:val="single" w:color="auto" w:sz="4" w:space="0"/>
              <w:bottom w:val="single" w:color="auto" w:sz="4" w:space="0"/>
              <w:right w:val="single" w:color="auto" w:sz="4" w:space="0"/>
            </w:tcBorders>
            <w:noWrap/>
          </w:tcPr>
          <w:p w14:paraId="660F99DB">
            <w:pPr>
              <w:pStyle w:val="445"/>
              <w:rPr>
                <w:rFonts w:cs="Times New Roman"/>
                <w:kern w:val="0"/>
                <w:szCs w:val="20"/>
              </w:rPr>
            </w:pPr>
            <w:r>
              <w:rPr>
                <w:rFonts w:hint="eastAsia" w:cs="Times New Roman"/>
                <w:kern w:val="0"/>
                <w:szCs w:val="20"/>
              </w:rPr>
              <w:t>3.02</w:t>
            </w:r>
          </w:p>
        </w:tc>
        <w:tc>
          <w:tcPr>
            <w:tcW w:w="274" w:type="pct"/>
            <w:tcBorders>
              <w:top w:val="single" w:color="auto" w:sz="4" w:space="0"/>
              <w:left w:val="single" w:color="auto" w:sz="4" w:space="0"/>
              <w:bottom w:val="single" w:color="auto" w:sz="4" w:space="0"/>
              <w:right w:val="single" w:color="auto" w:sz="4" w:space="0"/>
            </w:tcBorders>
            <w:noWrap/>
          </w:tcPr>
          <w:p w14:paraId="7F8E4C75">
            <w:pPr>
              <w:pStyle w:val="445"/>
              <w:rPr>
                <w:rFonts w:cs="Times New Roman"/>
                <w:kern w:val="0"/>
                <w:szCs w:val="20"/>
              </w:rPr>
            </w:pPr>
            <w:r>
              <w:rPr>
                <w:rFonts w:hint="eastAsia" w:cs="Times New Roman"/>
                <w:kern w:val="0"/>
                <w:szCs w:val="20"/>
              </w:rPr>
              <w:t>6.9</w:t>
            </w:r>
          </w:p>
        </w:tc>
        <w:tc>
          <w:tcPr>
            <w:tcW w:w="290" w:type="pct"/>
            <w:tcBorders>
              <w:top w:val="single" w:color="auto" w:sz="4" w:space="0"/>
              <w:left w:val="single" w:color="auto" w:sz="4" w:space="0"/>
              <w:bottom w:val="single" w:color="auto" w:sz="4" w:space="0"/>
              <w:right w:val="single" w:color="auto" w:sz="4" w:space="0"/>
            </w:tcBorders>
            <w:noWrap/>
          </w:tcPr>
          <w:p w14:paraId="111825E9">
            <w:pPr>
              <w:pStyle w:val="445"/>
              <w:rPr>
                <w:rFonts w:cs="Times New Roman"/>
                <w:kern w:val="0"/>
                <w:szCs w:val="20"/>
              </w:rPr>
            </w:pPr>
            <w:r>
              <w:rPr>
                <w:rFonts w:hint="eastAsia" w:cs="Times New Roman"/>
                <w:kern w:val="0"/>
                <w:szCs w:val="20"/>
              </w:rPr>
              <w:t>5.89</w:t>
            </w:r>
          </w:p>
        </w:tc>
        <w:tc>
          <w:tcPr>
            <w:tcW w:w="274" w:type="pct"/>
            <w:tcBorders>
              <w:top w:val="single" w:color="auto" w:sz="4" w:space="0"/>
              <w:left w:val="single" w:color="auto" w:sz="4" w:space="0"/>
              <w:bottom w:val="single" w:color="auto" w:sz="4" w:space="0"/>
              <w:right w:val="single" w:color="auto" w:sz="4" w:space="0"/>
            </w:tcBorders>
            <w:noWrap/>
          </w:tcPr>
          <w:p w14:paraId="6673036E">
            <w:pPr>
              <w:pStyle w:val="445"/>
              <w:rPr>
                <w:rFonts w:cs="Times New Roman"/>
                <w:kern w:val="0"/>
                <w:szCs w:val="20"/>
              </w:rPr>
            </w:pPr>
            <w:r>
              <w:rPr>
                <w:rFonts w:hint="eastAsia" w:cs="Times New Roman"/>
                <w:kern w:val="0"/>
                <w:szCs w:val="20"/>
              </w:rPr>
              <w:t>4.74</w:t>
            </w:r>
          </w:p>
        </w:tc>
        <w:tc>
          <w:tcPr>
            <w:tcW w:w="274" w:type="pct"/>
            <w:tcBorders>
              <w:top w:val="single" w:color="auto" w:sz="4" w:space="0"/>
              <w:left w:val="single" w:color="auto" w:sz="4" w:space="0"/>
              <w:bottom w:val="single" w:color="auto" w:sz="4" w:space="0"/>
              <w:right w:val="single" w:color="auto" w:sz="4" w:space="0"/>
            </w:tcBorders>
            <w:noWrap/>
          </w:tcPr>
          <w:p w14:paraId="65577E1B">
            <w:pPr>
              <w:pStyle w:val="445"/>
              <w:rPr>
                <w:rFonts w:cs="Times New Roman"/>
                <w:kern w:val="0"/>
                <w:szCs w:val="20"/>
              </w:rPr>
            </w:pPr>
            <w:r>
              <w:rPr>
                <w:rFonts w:hint="eastAsia" w:cs="Times New Roman"/>
                <w:kern w:val="0"/>
                <w:szCs w:val="20"/>
              </w:rPr>
              <w:t>2.59</w:t>
            </w:r>
          </w:p>
        </w:tc>
        <w:tc>
          <w:tcPr>
            <w:tcW w:w="268" w:type="pct"/>
            <w:tcBorders>
              <w:top w:val="single" w:color="auto" w:sz="4" w:space="0"/>
              <w:left w:val="single" w:color="auto" w:sz="4" w:space="0"/>
              <w:bottom w:val="single" w:color="auto" w:sz="4" w:space="0"/>
              <w:right w:val="nil"/>
            </w:tcBorders>
            <w:noWrap/>
          </w:tcPr>
          <w:p w14:paraId="688DC845">
            <w:pPr>
              <w:pStyle w:val="445"/>
              <w:rPr>
                <w:rFonts w:cs="Times New Roman"/>
                <w:kern w:val="0"/>
                <w:szCs w:val="20"/>
              </w:rPr>
            </w:pPr>
            <w:r>
              <w:rPr>
                <w:rFonts w:hint="eastAsia" w:cs="Times New Roman"/>
                <w:kern w:val="0"/>
                <w:szCs w:val="20"/>
              </w:rPr>
              <w:t>0.43</w:t>
            </w:r>
          </w:p>
        </w:tc>
      </w:tr>
      <w:tr w14:paraId="233C1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60B5E271">
            <w:pPr>
              <w:pStyle w:val="445"/>
              <w:rPr>
                <w:rFonts w:cs="Times New Roman"/>
                <w:kern w:val="0"/>
                <w:szCs w:val="20"/>
              </w:rPr>
            </w:pPr>
            <w:r>
              <w:rPr>
                <w:rFonts w:cs="Times New Roman"/>
                <w:kern w:val="0"/>
                <w:szCs w:val="20"/>
              </w:rPr>
              <w:t>三月</w:t>
            </w:r>
          </w:p>
        </w:tc>
        <w:tc>
          <w:tcPr>
            <w:tcW w:w="274" w:type="pct"/>
            <w:tcBorders>
              <w:top w:val="single" w:color="auto" w:sz="4" w:space="0"/>
              <w:left w:val="single" w:color="auto" w:sz="4" w:space="0"/>
              <w:bottom w:val="single" w:color="auto" w:sz="4" w:space="0"/>
              <w:right w:val="single" w:color="auto" w:sz="4" w:space="0"/>
            </w:tcBorders>
            <w:noWrap/>
          </w:tcPr>
          <w:p w14:paraId="3CBCF34D">
            <w:pPr>
              <w:pStyle w:val="445"/>
              <w:rPr>
                <w:rFonts w:cs="Times New Roman"/>
                <w:kern w:val="0"/>
                <w:szCs w:val="20"/>
              </w:rPr>
            </w:pPr>
            <w:r>
              <w:rPr>
                <w:rFonts w:hint="eastAsia" w:cs="Times New Roman"/>
                <w:kern w:val="0"/>
                <w:szCs w:val="20"/>
              </w:rPr>
              <w:t>6.45</w:t>
            </w:r>
          </w:p>
        </w:tc>
        <w:tc>
          <w:tcPr>
            <w:tcW w:w="274" w:type="pct"/>
            <w:tcBorders>
              <w:top w:val="single" w:color="auto" w:sz="4" w:space="0"/>
              <w:left w:val="single" w:color="auto" w:sz="4" w:space="0"/>
              <w:bottom w:val="single" w:color="auto" w:sz="4" w:space="0"/>
              <w:right w:val="single" w:color="auto" w:sz="4" w:space="0"/>
            </w:tcBorders>
            <w:noWrap/>
          </w:tcPr>
          <w:p w14:paraId="37CE9A2E">
            <w:pPr>
              <w:pStyle w:val="445"/>
              <w:rPr>
                <w:rFonts w:cs="Times New Roman"/>
                <w:kern w:val="0"/>
                <w:szCs w:val="20"/>
              </w:rPr>
            </w:pPr>
            <w:r>
              <w:rPr>
                <w:rFonts w:hint="eastAsia" w:cs="Times New Roman"/>
                <w:kern w:val="0"/>
                <w:szCs w:val="20"/>
              </w:rPr>
              <w:t>7.12</w:t>
            </w:r>
          </w:p>
        </w:tc>
        <w:tc>
          <w:tcPr>
            <w:tcW w:w="273" w:type="pct"/>
            <w:tcBorders>
              <w:top w:val="single" w:color="auto" w:sz="4" w:space="0"/>
              <w:left w:val="single" w:color="auto" w:sz="4" w:space="0"/>
              <w:bottom w:val="single" w:color="auto" w:sz="4" w:space="0"/>
              <w:right w:val="single" w:color="auto" w:sz="4" w:space="0"/>
            </w:tcBorders>
            <w:noWrap/>
          </w:tcPr>
          <w:p w14:paraId="0BFD9BF3">
            <w:pPr>
              <w:pStyle w:val="445"/>
              <w:rPr>
                <w:rFonts w:cs="Times New Roman"/>
                <w:kern w:val="0"/>
                <w:szCs w:val="20"/>
              </w:rPr>
            </w:pPr>
            <w:r>
              <w:rPr>
                <w:rFonts w:hint="eastAsia" w:cs="Times New Roman"/>
                <w:kern w:val="0"/>
                <w:szCs w:val="20"/>
              </w:rPr>
              <w:t>8.74</w:t>
            </w:r>
          </w:p>
        </w:tc>
        <w:tc>
          <w:tcPr>
            <w:tcW w:w="273" w:type="pct"/>
            <w:tcBorders>
              <w:top w:val="single" w:color="auto" w:sz="4" w:space="0"/>
              <w:left w:val="single" w:color="auto" w:sz="4" w:space="0"/>
              <w:bottom w:val="single" w:color="auto" w:sz="4" w:space="0"/>
              <w:right w:val="single" w:color="auto" w:sz="4" w:space="0"/>
            </w:tcBorders>
            <w:noWrap/>
          </w:tcPr>
          <w:p w14:paraId="1B546676">
            <w:pPr>
              <w:pStyle w:val="445"/>
              <w:rPr>
                <w:rFonts w:cs="Times New Roman"/>
                <w:kern w:val="0"/>
                <w:szCs w:val="20"/>
              </w:rPr>
            </w:pPr>
            <w:r>
              <w:rPr>
                <w:rFonts w:hint="eastAsia" w:cs="Times New Roman"/>
                <w:kern w:val="0"/>
                <w:szCs w:val="20"/>
              </w:rPr>
              <w:t>13.04</w:t>
            </w:r>
          </w:p>
        </w:tc>
        <w:tc>
          <w:tcPr>
            <w:tcW w:w="273" w:type="pct"/>
            <w:tcBorders>
              <w:top w:val="single" w:color="auto" w:sz="4" w:space="0"/>
              <w:left w:val="single" w:color="auto" w:sz="4" w:space="0"/>
              <w:bottom w:val="single" w:color="auto" w:sz="4" w:space="0"/>
              <w:right w:val="single" w:color="auto" w:sz="4" w:space="0"/>
            </w:tcBorders>
            <w:noWrap/>
          </w:tcPr>
          <w:p w14:paraId="0FEB84A7">
            <w:pPr>
              <w:pStyle w:val="445"/>
              <w:rPr>
                <w:rFonts w:cs="Times New Roman"/>
                <w:kern w:val="0"/>
                <w:szCs w:val="20"/>
              </w:rPr>
            </w:pPr>
            <w:r>
              <w:rPr>
                <w:rFonts w:hint="eastAsia" w:cs="Times New Roman"/>
                <w:kern w:val="0"/>
                <w:szCs w:val="20"/>
              </w:rPr>
              <w:t>21.24</w:t>
            </w:r>
          </w:p>
        </w:tc>
        <w:tc>
          <w:tcPr>
            <w:tcW w:w="274" w:type="pct"/>
            <w:tcBorders>
              <w:top w:val="single" w:color="auto" w:sz="4" w:space="0"/>
              <w:left w:val="single" w:color="auto" w:sz="4" w:space="0"/>
              <w:bottom w:val="single" w:color="auto" w:sz="4" w:space="0"/>
              <w:right w:val="single" w:color="auto" w:sz="4" w:space="0"/>
            </w:tcBorders>
            <w:noWrap/>
          </w:tcPr>
          <w:p w14:paraId="594CAE98">
            <w:pPr>
              <w:pStyle w:val="445"/>
              <w:rPr>
                <w:rFonts w:cs="Times New Roman"/>
                <w:kern w:val="0"/>
                <w:szCs w:val="20"/>
              </w:rPr>
            </w:pPr>
            <w:r>
              <w:rPr>
                <w:rFonts w:hint="eastAsia" w:cs="Times New Roman"/>
                <w:kern w:val="0"/>
                <w:szCs w:val="20"/>
              </w:rPr>
              <w:t>5.38</w:t>
            </w:r>
          </w:p>
        </w:tc>
        <w:tc>
          <w:tcPr>
            <w:tcW w:w="274" w:type="pct"/>
            <w:tcBorders>
              <w:top w:val="single" w:color="auto" w:sz="4" w:space="0"/>
              <w:left w:val="single" w:color="auto" w:sz="4" w:space="0"/>
              <w:bottom w:val="single" w:color="auto" w:sz="4" w:space="0"/>
              <w:right w:val="single" w:color="auto" w:sz="4" w:space="0"/>
            </w:tcBorders>
            <w:noWrap/>
          </w:tcPr>
          <w:p w14:paraId="6DD2D256">
            <w:pPr>
              <w:pStyle w:val="445"/>
              <w:rPr>
                <w:rFonts w:cs="Times New Roman"/>
                <w:kern w:val="0"/>
                <w:szCs w:val="20"/>
              </w:rPr>
            </w:pPr>
            <w:r>
              <w:rPr>
                <w:rFonts w:hint="eastAsia" w:cs="Times New Roman"/>
                <w:kern w:val="0"/>
                <w:szCs w:val="20"/>
              </w:rPr>
              <w:t>3.09</w:t>
            </w:r>
          </w:p>
        </w:tc>
        <w:tc>
          <w:tcPr>
            <w:tcW w:w="274" w:type="pct"/>
            <w:tcBorders>
              <w:top w:val="single" w:color="auto" w:sz="4" w:space="0"/>
              <w:left w:val="single" w:color="auto" w:sz="4" w:space="0"/>
              <w:bottom w:val="single" w:color="auto" w:sz="4" w:space="0"/>
              <w:right w:val="single" w:color="auto" w:sz="4" w:space="0"/>
            </w:tcBorders>
            <w:noWrap/>
          </w:tcPr>
          <w:p w14:paraId="4BDC1445">
            <w:pPr>
              <w:pStyle w:val="445"/>
              <w:rPr>
                <w:rFonts w:cs="Times New Roman"/>
                <w:kern w:val="0"/>
                <w:szCs w:val="20"/>
              </w:rPr>
            </w:pPr>
            <w:r>
              <w:rPr>
                <w:rFonts w:hint="eastAsia" w:cs="Times New Roman"/>
                <w:kern w:val="0"/>
                <w:szCs w:val="20"/>
              </w:rPr>
              <w:t>2.82</w:t>
            </w:r>
          </w:p>
        </w:tc>
        <w:tc>
          <w:tcPr>
            <w:tcW w:w="274" w:type="pct"/>
            <w:tcBorders>
              <w:top w:val="single" w:color="auto" w:sz="4" w:space="0"/>
              <w:left w:val="single" w:color="auto" w:sz="4" w:space="0"/>
              <w:bottom w:val="single" w:color="auto" w:sz="4" w:space="0"/>
              <w:right w:val="single" w:color="auto" w:sz="4" w:space="0"/>
            </w:tcBorders>
            <w:noWrap/>
          </w:tcPr>
          <w:p w14:paraId="55026B9D">
            <w:pPr>
              <w:pStyle w:val="445"/>
              <w:rPr>
                <w:rFonts w:cs="Times New Roman"/>
                <w:kern w:val="0"/>
                <w:szCs w:val="20"/>
              </w:rPr>
            </w:pPr>
            <w:r>
              <w:rPr>
                <w:rFonts w:hint="eastAsia" w:cs="Times New Roman"/>
                <w:kern w:val="0"/>
                <w:szCs w:val="20"/>
              </w:rPr>
              <w:t>6.72</w:t>
            </w:r>
          </w:p>
        </w:tc>
        <w:tc>
          <w:tcPr>
            <w:tcW w:w="274" w:type="pct"/>
            <w:tcBorders>
              <w:top w:val="single" w:color="auto" w:sz="4" w:space="0"/>
              <w:left w:val="single" w:color="auto" w:sz="4" w:space="0"/>
              <w:bottom w:val="single" w:color="auto" w:sz="4" w:space="0"/>
              <w:right w:val="single" w:color="auto" w:sz="4" w:space="0"/>
            </w:tcBorders>
            <w:noWrap/>
          </w:tcPr>
          <w:p w14:paraId="58E749FD">
            <w:pPr>
              <w:pStyle w:val="445"/>
              <w:rPr>
                <w:rFonts w:cs="Times New Roman"/>
                <w:kern w:val="0"/>
                <w:szCs w:val="20"/>
              </w:rPr>
            </w:pPr>
            <w:r>
              <w:rPr>
                <w:rFonts w:hint="eastAsia" w:cs="Times New Roman"/>
                <w:kern w:val="0"/>
                <w:szCs w:val="20"/>
              </w:rPr>
              <w:t>4.44</w:t>
            </w:r>
          </w:p>
        </w:tc>
        <w:tc>
          <w:tcPr>
            <w:tcW w:w="274" w:type="pct"/>
            <w:tcBorders>
              <w:top w:val="single" w:color="auto" w:sz="4" w:space="0"/>
              <w:left w:val="single" w:color="auto" w:sz="4" w:space="0"/>
              <w:bottom w:val="single" w:color="auto" w:sz="4" w:space="0"/>
              <w:right w:val="single" w:color="auto" w:sz="4" w:space="0"/>
            </w:tcBorders>
            <w:noWrap/>
          </w:tcPr>
          <w:p w14:paraId="3C0E5497">
            <w:pPr>
              <w:pStyle w:val="445"/>
              <w:rPr>
                <w:rFonts w:cs="Times New Roman"/>
                <w:kern w:val="0"/>
                <w:szCs w:val="20"/>
              </w:rPr>
            </w:pPr>
            <w:r>
              <w:rPr>
                <w:rFonts w:hint="eastAsia" w:cs="Times New Roman"/>
                <w:kern w:val="0"/>
                <w:szCs w:val="20"/>
              </w:rPr>
              <w:t>3.09</w:t>
            </w:r>
          </w:p>
        </w:tc>
        <w:tc>
          <w:tcPr>
            <w:tcW w:w="276" w:type="pct"/>
            <w:tcBorders>
              <w:top w:val="single" w:color="auto" w:sz="4" w:space="0"/>
              <w:left w:val="single" w:color="auto" w:sz="4" w:space="0"/>
              <w:bottom w:val="single" w:color="auto" w:sz="4" w:space="0"/>
              <w:right w:val="single" w:color="auto" w:sz="4" w:space="0"/>
            </w:tcBorders>
            <w:noWrap/>
          </w:tcPr>
          <w:p w14:paraId="0CCFEAFE">
            <w:pPr>
              <w:pStyle w:val="445"/>
              <w:rPr>
                <w:rFonts w:cs="Times New Roman"/>
                <w:kern w:val="0"/>
                <w:szCs w:val="20"/>
              </w:rPr>
            </w:pPr>
            <w:r>
              <w:rPr>
                <w:rFonts w:hint="eastAsia" w:cs="Times New Roman"/>
                <w:kern w:val="0"/>
                <w:szCs w:val="20"/>
              </w:rPr>
              <w:t>5.38</w:t>
            </w:r>
          </w:p>
        </w:tc>
        <w:tc>
          <w:tcPr>
            <w:tcW w:w="274" w:type="pct"/>
            <w:tcBorders>
              <w:top w:val="single" w:color="auto" w:sz="4" w:space="0"/>
              <w:left w:val="single" w:color="auto" w:sz="4" w:space="0"/>
              <w:bottom w:val="single" w:color="auto" w:sz="4" w:space="0"/>
              <w:right w:val="single" w:color="auto" w:sz="4" w:space="0"/>
            </w:tcBorders>
            <w:noWrap/>
          </w:tcPr>
          <w:p w14:paraId="1F76C65A">
            <w:pPr>
              <w:pStyle w:val="445"/>
              <w:rPr>
                <w:rFonts w:cs="Times New Roman"/>
                <w:kern w:val="0"/>
                <w:szCs w:val="20"/>
              </w:rPr>
            </w:pPr>
            <w:r>
              <w:rPr>
                <w:rFonts w:hint="eastAsia" w:cs="Times New Roman"/>
                <w:kern w:val="0"/>
                <w:szCs w:val="20"/>
              </w:rPr>
              <w:t>5.91</w:t>
            </w:r>
          </w:p>
        </w:tc>
        <w:tc>
          <w:tcPr>
            <w:tcW w:w="290" w:type="pct"/>
            <w:tcBorders>
              <w:top w:val="single" w:color="auto" w:sz="4" w:space="0"/>
              <w:left w:val="single" w:color="auto" w:sz="4" w:space="0"/>
              <w:bottom w:val="single" w:color="auto" w:sz="4" w:space="0"/>
              <w:right w:val="single" w:color="auto" w:sz="4" w:space="0"/>
            </w:tcBorders>
            <w:noWrap/>
          </w:tcPr>
          <w:p w14:paraId="2AA42764">
            <w:pPr>
              <w:pStyle w:val="445"/>
              <w:rPr>
                <w:rFonts w:cs="Times New Roman"/>
                <w:kern w:val="0"/>
                <w:szCs w:val="20"/>
              </w:rPr>
            </w:pPr>
            <w:r>
              <w:rPr>
                <w:rFonts w:hint="eastAsia" w:cs="Times New Roman"/>
                <w:kern w:val="0"/>
                <w:szCs w:val="20"/>
              </w:rPr>
              <w:t>2.28</w:t>
            </w:r>
          </w:p>
        </w:tc>
        <w:tc>
          <w:tcPr>
            <w:tcW w:w="274" w:type="pct"/>
            <w:tcBorders>
              <w:top w:val="single" w:color="auto" w:sz="4" w:space="0"/>
              <w:left w:val="single" w:color="auto" w:sz="4" w:space="0"/>
              <w:bottom w:val="single" w:color="auto" w:sz="4" w:space="0"/>
              <w:right w:val="single" w:color="auto" w:sz="4" w:space="0"/>
            </w:tcBorders>
            <w:noWrap/>
          </w:tcPr>
          <w:p w14:paraId="7687DFBF">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559F99F9">
            <w:pPr>
              <w:pStyle w:val="445"/>
              <w:rPr>
                <w:rFonts w:cs="Times New Roman"/>
                <w:kern w:val="0"/>
                <w:szCs w:val="20"/>
              </w:rPr>
            </w:pPr>
            <w:r>
              <w:rPr>
                <w:rFonts w:hint="eastAsia" w:cs="Times New Roman"/>
                <w:kern w:val="0"/>
                <w:szCs w:val="20"/>
              </w:rPr>
              <w:t>2.28</w:t>
            </w:r>
          </w:p>
        </w:tc>
        <w:tc>
          <w:tcPr>
            <w:tcW w:w="268" w:type="pct"/>
            <w:tcBorders>
              <w:top w:val="single" w:color="auto" w:sz="4" w:space="0"/>
              <w:left w:val="single" w:color="auto" w:sz="4" w:space="0"/>
              <w:bottom w:val="single" w:color="auto" w:sz="4" w:space="0"/>
              <w:right w:val="nil"/>
            </w:tcBorders>
            <w:noWrap/>
          </w:tcPr>
          <w:p w14:paraId="66E2BB66">
            <w:pPr>
              <w:pStyle w:val="445"/>
              <w:rPr>
                <w:rFonts w:cs="Times New Roman"/>
                <w:kern w:val="0"/>
                <w:szCs w:val="20"/>
              </w:rPr>
            </w:pPr>
            <w:r>
              <w:rPr>
                <w:rFonts w:hint="eastAsia" w:cs="Times New Roman"/>
                <w:kern w:val="0"/>
                <w:szCs w:val="20"/>
              </w:rPr>
              <w:t>0.27</w:t>
            </w:r>
          </w:p>
        </w:tc>
      </w:tr>
      <w:tr w14:paraId="10D806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547E593B">
            <w:pPr>
              <w:pStyle w:val="445"/>
              <w:rPr>
                <w:rFonts w:cs="Times New Roman"/>
                <w:kern w:val="0"/>
                <w:szCs w:val="20"/>
              </w:rPr>
            </w:pPr>
            <w:r>
              <w:rPr>
                <w:rFonts w:cs="Times New Roman"/>
                <w:kern w:val="0"/>
                <w:szCs w:val="20"/>
              </w:rPr>
              <w:t>四月</w:t>
            </w:r>
          </w:p>
        </w:tc>
        <w:tc>
          <w:tcPr>
            <w:tcW w:w="274" w:type="pct"/>
            <w:tcBorders>
              <w:top w:val="single" w:color="auto" w:sz="4" w:space="0"/>
              <w:left w:val="single" w:color="auto" w:sz="4" w:space="0"/>
              <w:bottom w:val="single" w:color="auto" w:sz="4" w:space="0"/>
              <w:right w:val="single" w:color="auto" w:sz="4" w:space="0"/>
            </w:tcBorders>
            <w:noWrap/>
          </w:tcPr>
          <w:p w14:paraId="0E320D8B">
            <w:pPr>
              <w:pStyle w:val="445"/>
              <w:rPr>
                <w:rFonts w:cs="Times New Roman"/>
                <w:kern w:val="0"/>
                <w:szCs w:val="20"/>
              </w:rPr>
            </w:pPr>
            <w:r>
              <w:rPr>
                <w:rFonts w:hint="eastAsia" w:cs="Times New Roman"/>
                <w:kern w:val="0"/>
                <w:szCs w:val="20"/>
              </w:rPr>
              <w:t>4.17</w:t>
            </w:r>
          </w:p>
        </w:tc>
        <w:tc>
          <w:tcPr>
            <w:tcW w:w="274" w:type="pct"/>
            <w:tcBorders>
              <w:top w:val="single" w:color="auto" w:sz="4" w:space="0"/>
              <w:left w:val="single" w:color="auto" w:sz="4" w:space="0"/>
              <w:bottom w:val="single" w:color="auto" w:sz="4" w:space="0"/>
              <w:right w:val="single" w:color="auto" w:sz="4" w:space="0"/>
            </w:tcBorders>
            <w:noWrap/>
          </w:tcPr>
          <w:p w14:paraId="313E508F">
            <w:pPr>
              <w:pStyle w:val="445"/>
              <w:rPr>
                <w:rFonts w:cs="Times New Roman"/>
                <w:kern w:val="0"/>
                <w:szCs w:val="20"/>
              </w:rPr>
            </w:pPr>
            <w:r>
              <w:rPr>
                <w:rFonts w:hint="eastAsia" w:cs="Times New Roman"/>
                <w:kern w:val="0"/>
                <w:szCs w:val="20"/>
              </w:rPr>
              <w:t>4.44</w:t>
            </w:r>
          </w:p>
        </w:tc>
        <w:tc>
          <w:tcPr>
            <w:tcW w:w="273" w:type="pct"/>
            <w:tcBorders>
              <w:top w:val="single" w:color="auto" w:sz="4" w:space="0"/>
              <w:left w:val="single" w:color="auto" w:sz="4" w:space="0"/>
              <w:bottom w:val="single" w:color="auto" w:sz="4" w:space="0"/>
              <w:right w:val="single" w:color="auto" w:sz="4" w:space="0"/>
            </w:tcBorders>
            <w:noWrap/>
          </w:tcPr>
          <w:p w14:paraId="3EA5473B">
            <w:pPr>
              <w:pStyle w:val="445"/>
              <w:rPr>
                <w:rFonts w:cs="Times New Roman"/>
                <w:kern w:val="0"/>
                <w:szCs w:val="20"/>
              </w:rPr>
            </w:pPr>
            <w:r>
              <w:rPr>
                <w:rFonts w:hint="eastAsia" w:cs="Times New Roman"/>
                <w:kern w:val="0"/>
                <w:szCs w:val="20"/>
              </w:rPr>
              <w:t>6.94</w:t>
            </w:r>
          </w:p>
        </w:tc>
        <w:tc>
          <w:tcPr>
            <w:tcW w:w="273" w:type="pct"/>
            <w:tcBorders>
              <w:top w:val="single" w:color="auto" w:sz="4" w:space="0"/>
              <w:left w:val="single" w:color="auto" w:sz="4" w:space="0"/>
              <w:bottom w:val="single" w:color="auto" w:sz="4" w:space="0"/>
              <w:right w:val="single" w:color="auto" w:sz="4" w:space="0"/>
            </w:tcBorders>
            <w:noWrap/>
          </w:tcPr>
          <w:p w14:paraId="65AA6EA2">
            <w:pPr>
              <w:pStyle w:val="445"/>
              <w:rPr>
                <w:rFonts w:cs="Times New Roman"/>
                <w:kern w:val="0"/>
                <w:szCs w:val="20"/>
              </w:rPr>
            </w:pPr>
            <w:r>
              <w:rPr>
                <w:rFonts w:hint="eastAsia" w:cs="Times New Roman"/>
                <w:kern w:val="0"/>
                <w:szCs w:val="20"/>
              </w:rPr>
              <w:t>14.58</w:t>
            </w:r>
          </w:p>
        </w:tc>
        <w:tc>
          <w:tcPr>
            <w:tcW w:w="273" w:type="pct"/>
            <w:tcBorders>
              <w:top w:val="single" w:color="auto" w:sz="4" w:space="0"/>
              <w:left w:val="single" w:color="auto" w:sz="4" w:space="0"/>
              <w:bottom w:val="single" w:color="auto" w:sz="4" w:space="0"/>
              <w:right w:val="single" w:color="auto" w:sz="4" w:space="0"/>
            </w:tcBorders>
            <w:noWrap/>
          </w:tcPr>
          <w:p w14:paraId="566332A3">
            <w:pPr>
              <w:pStyle w:val="445"/>
              <w:rPr>
                <w:rFonts w:cs="Times New Roman"/>
                <w:kern w:val="0"/>
                <w:szCs w:val="20"/>
              </w:rPr>
            </w:pPr>
            <w:r>
              <w:rPr>
                <w:rFonts w:hint="eastAsia" w:cs="Times New Roman"/>
                <w:kern w:val="0"/>
                <w:szCs w:val="20"/>
              </w:rPr>
              <w:t>19.86</w:t>
            </w:r>
          </w:p>
        </w:tc>
        <w:tc>
          <w:tcPr>
            <w:tcW w:w="274" w:type="pct"/>
            <w:tcBorders>
              <w:top w:val="single" w:color="auto" w:sz="4" w:space="0"/>
              <w:left w:val="single" w:color="auto" w:sz="4" w:space="0"/>
              <w:bottom w:val="single" w:color="auto" w:sz="4" w:space="0"/>
              <w:right w:val="single" w:color="auto" w:sz="4" w:space="0"/>
            </w:tcBorders>
            <w:noWrap/>
          </w:tcPr>
          <w:p w14:paraId="369A85BC">
            <w:pPr>
              <w:pStyle w:val="445"/>
              <w:rPr>
                <w:rFonts w:cs="Times New Roman"/>
                <w:kern w:val="0"/>
                <w:szCs w:val="20"/>
              </w:rPr>
            </w:pPr>
            <w:r>
              <w:rPr>
                <w:rFonts w:hint="eastAsia" w:cs="Times New Roman"/>
                <w:kern w:val="0"/>
                <w:szCs w:val="20"/>
              </w:rPr>
              <w:t>5.97</w:t>
            </w:r>
          </w:p>
        </w:tc>
        <w:tc>
          <w:tcPr>
            <w:tcW w:w="274" w:type="pct"/>
            <w:tcBorders>
              <w:top w:val="single" w:color="auto" w:sz="4" w:space="0"/>
              <w:left w:val="single" w:color="auto" w:sz="4" w:space="0"/>
              <w:bottom w:val="single" w:color="auto" w:sz="4" w:space="0"/>
              <w:right w:val="single" w:color="auto" w:sz="4" w:space="0"/>
            </w:tcBorders>
            <w:noWrap/>
          </w:tcPr>
          <w:p w14:paraId="61095410">
            <w:pPr>
              <w:pStyle w:val="445"/>
              <w:rPr>
                <w:rFonts w:cs="Times New Roman"/>
                <w:kern w:val="0"/>
                <w:szCs w:val="20"/>
              </w:rPr>
            </w:pPr>
            <w:r>
              <w:rPr>
                <w:rFonts w:hint="eastAsia" w:cs="Times New Roman"/>
                <w:kern w:val="0"/>
                <w:szCs w:val="20"/>
              </w:rPr>
              <w:t>4.31</w:t>
            </w:r>
          </w:p>
        </w:tc>
        <w:tc>
          <w:tcPr>
            <w:tcW w:w="274" w:type="pct"/>
            <w:tcBorders>
              <w:top w:val="single" w:color="auto" w:sz="4" w:space="0"/>
              <w:left w:val="single" w:color="auto" w:sz="4" w:space="0"/>
              <w:bottom w:val="single" w:color="auto" w:sz="4" w:space="0"/>
              <w:right w:val="single" w:color="auto" w:sz="4" w:space="0"/>
            </w:tcBorders>
            <w:noWrap/>
          </w:tcPr>
          <w:p w14:paraId="3DEAD0B1">
            <w:pPr>
              <w:pStyle w:val="445"/>
              <w:rPr>
                <w:rFonts w:cs="Times New Roman"/>
                <w:kern w:val="0"/>
                <w:szCs w:val="20"/>
              </w:rPr>
            </w:pPr>
            <w:r>
              <w:rPr>
                <w:rFonts w:hint="eastAsia" w:cs="Times New Roman"/>
                <w:kern w:val="0"/>
                <w:szCs w:val="20"/>
              </w:rPr>
              <w:t>3.47</w:t>
            </w:r>
          </w:p>
        </w:tc>
        <w:tc>
          <w:tcPr>
            <w:tcW w:w="274" w:type="pct"/>
            <w:tcBorders>
              <w:top w:val="single" w:color="auto" w:sz="4" w:space="0"/>
              <w:left w:val="single" w:color="auto" w:sz="4" w:space="0"/>
              <w:bottom w:val="single" w:color="auto" w:sz="4" w:space="0"/>
              <w:right w:val="single" w:color="auto" w:sz="4" w:space="0"/>
            </w:tcBorders>
            <w:noWrap/>
          </w:tcPr>
          <w:p w14:paraId="7454D8D6">
            <w:pPr>
              <w:pStyle w:val="445"/>
              <w:rPr>
                <w:rFonts w:cs="Times New Roman"/>
                <w:kern w:val="0"/>
                <w:szCs w:val="20"/>
              </w:rPr>
            </w:pPr>
            <w:r>
              <w:rPr>
                <w:rFonts w:hint="eastAsia" w:cs="Times New Roman"/>
                <w:kern w:val="0"/>
                <w:szCs w:val="20"/>
              </w:rPr>
              <w:t>7.22</w:t>
            </w:r>
          </w:p>
        </w:tc>
        <w:tc>
          <w:tcPr>
            <w:tcW w:w="274" w:type="pct"/>
            <w:tcBorders>
              <w:top w:val="single" w:color="auto" w:sz="4" w:space="0"/>
              <w:left w:val="single" w:color="auto" w:sz="4" w:space="0"/>
              <w:bottom w:val="single" w:color="auto" w:sz="4" w:space="0"/>
              <w:right w:val="single" w:color="auto" w:sz="4" w:space="0"/>
            </w:tcBorders>
            <w:noWrap/>
          </w:tcPr>
          <w:p w14:paraId="760F6EF8">
            <w:pPr>
              <w:pStyle w:val="445"/>
              <w:rPr>
                <w:rFonts w:cs="Times New Roman"/>
                <w:kern w:val="0"/>
                <w:szCs w:val="20"/>
              </w:rPr>
            </w:pPr>
            <w:r>
              <w:rPr>
                <w:rFonts w:hint="eastAsia" w:cs="Times New Roman"/>
                <w:kern w:val="0"/>
                <w:szCs w:val="20"/>
              </w:rPr>
              <w:t>4.44</w:t>
            </w:r>
          </w:p>
        </w:tc>
        <w:tc>
          <w:tcPr>
            <w:tcW w:w="274" w:type="pct"/>
            <w:tcBorders>
              <w:top w:val="single" w:color="auto" w:sz="4" w:space="0"/>
              <w:left w:val="single" w:color="auto" w:sz="4" w:space="0"/>
              <w:bottom w:val="single" w:color="auto" w:sz="4" w:space="0"/>
              <w:right w:val="single" w:color="auto" w:sz="4" w:space="0"/>
            </w:tcBorders>
            <w:noWrap/>
          </w:tcPr>
          <w:p w14:paraId="49210938">
            <w:pPr>
              <w:pStyle w:val="445"/>
              <w:rPr>
                <w:rFonts w:cs="Times New Roman"/>
                <w:kern w:val="0"/>
                <w:szCs w:val="20"/>
              </w:rPr>
            </w:pPr>
            <w:r>
              <w:rPr>
                <w:rFonts w:hint="eastAsia" w:cs="Times New Roman"/>
                <w:kern w:val="0"/>
                <w:szCs w:val="20"/>
              </w:rPr>
              <w:t>3.89</w:t>
            </w:r>
          </w:p>
        </w:tc>
        <w:tc>
          <w:tcPr>
            <w:tcW w:w="276" w:type="pct"/>
            <w:tcBorders>
              <w:top w:val="single" w:color="auto" w:sz="4" w:space="0"/>
              <w:left w:val="single" w:color="auto" w:sz="4" w:space="0"/>
              <w:bottom w:val="single" w:color="auto" w:sz="4" w:space="0"/>
              <w:right w:val="single" w:color="auto" w:sz="4" w:space="0"/>
            </w:tcBorders>
            <w:noWrap/>
          </w:tcPr>
          <w:p w14:paraId="136B7D31">
            <w:pPr>
              <w:pStyle w:val="445"/>
              <w:rPr>
                <w:rFonts w:cs="Times New Roman"/>
                <w:kern w:val="0"/>
                <w:szCs w:val="20"/>
              </w:rPr>
            </w:pPr>
            <w:r>
              <w:rPr>
                <w:rFonts w:hint="eastAsia" w:cs="Times New Roman"/>
                <w:kern w:val="0"/>
                <w:szCs w:val="20"/>
              </w:rPr>
              <w:t>4.86</w:t>
            </w:r>
          </w:p>
        </w:tc>
        <w:tc>
          <w:tcPr>
            <w:tcW w:w="274" w:type="pct"/>
            <w:tcBorders>
              <w:top w:val="single" w:color="auto" w:sz="4" w:space="0"/>
              <w:left w:val="single" w:color="auto" w:sz="4" w:space="0"/>
              <w:bottom w:val="single" w:color="auto" w:sz="4" w:space="0"/>
              <w:right w:val="single" w:color="auto" w:sz="4" w:space="0"/>
            </w:tcBorders>
            <w:noWrap/>
          </w:tcPr>
          <w:p w14:paraId="1DAE7E18">
            <w:pPr>
              <w:pStyle w:val="445"/>
              <w:rPr>
                <w:rFonts w:cs="Times New Roman"/>
                <w:kern w:val="0"/>
                <w:szCs w:val="20"/>
              </w:rPr>
            </w:pPr>
            <w:r>
              <w:rPr>
                <w:rFonts w:hint="eastAsia" w:cs="Times New Roman"/>
                <w:kern w:val="0"/>
                <w:szCs w:val="20"/>
              </w:rPr>
              <w:t>8.33</w:t>
            </w:r>
          </w:p>
        </w:tc>
        <w:tc>
          <w:tcPr>
            <w:tcW w:w="290" w:type="pct"/>
            <w:tcBorders>
              <w:top w:val="single" w:color="auto" w:sz="4" w:space="0"/>
              <w:left w:val="single" w:color="auto" w:sz="4" w:space="0"/>
              <w:bottom w:val="single" w:color="auto" w:sz="4" w:space="0"/>
              <w:right w:val="single" w:color="auto" w:sz="4" w:space="0"/>
            </w:tcBorders>
            <w:noWrap/>
          </w:tcPr>
          <w:p w14:paraId="4A282886">
            <w:pPr>
              <w:pStyle w:val="445"/>
              <w:rPr>
                <w:rFonts w:cs="Times New Roman"/>
                <w:kern w:val="0"/>
                <w:szCs w:val="20"/>
              </w:rPr>
            </w:pPr>
            <w:r>
              <w:rPr>
                <w:rFonts w:hint="eastAsia" w:cs="Times New Roman"/>
                <w:kern w:val="0"/>
                <w:szCs w:val="20"/>
              </w:rPr>
              <w:t>3.89</w:t>
            </w:r>
          </w:p>
        </w:tc>
        <w:tc>
          <w:tcPr>
            <w:tcW w:w="274" w:type="pct"/>
            <w:tcBorders>
              <w:top w:val="single" w:color="auto" w:sz="4" w:space="0"/>
              <w:left w:val="single" w:color="auto" w:sz="4" w:space="0"/>
              <w:bottom w:val="single" w:color="auto" w:sz="4" w:space="0"/>
              <w:right w:val="single" w:color="auto" w:sz="4" w:space="0"/>
            </w:tcBorders>
            <w:noWrap/>
          </w:tcPr>
          <w:p w14:paraId="01A7734D">
            <w:pPr>
              <w:pStyle w:val="445"/>
              <w:rPr>
                <w:rFonts w:cs="Times New Roman"/>
                <w:kern w:val="0"/>
                <w:szCs w:val="20"/>
              </w:rPr>
            </w:pPr>
            <w:r>
              <w:rPr>
                <w:rFonts w:hint="eastAsia" w:cs="Times New Roman"/>
                <w:kern w:val="0"/>
                <w:szCs w:val="20"/>
              </w:rPr>
              <w:t>1.39</w:t>
            </w:r>
          </w:p>
        </w:tc>
        <w:tc>
          <w:tcPr>
            <w:tcW w:w="274" w:type="pct"/>
            <w:tcBorders>
              <w:top w:val="single" w:color="auto" w:sz="4" w:space="0"/>
              <w:left w:val="single" w:color="auto" w:sz="4" w:space="0"/>
              <w:bottom w:val="single" w:color="auto" w:sz="4" w:space="0"/>
              <w:right w:val="single" w:color="auto" w:sz="4" w:space="0"/>
            </w:tcBorders>
            <w:noWrap/>
          </w:tcPr>
          <w:p w14:paraId="0FFF038D">
            <w:pPr>
              <w:pStyle w:val="445"/>
              <w:rPr>
                <w:rFonts w:cs="Times New Roman"/>
                <w:kern w:val="0"/>
                <w:szCs w:val="20"/>
              </w:rPr>
            </w:pPr>
            <w:r>
              <w:rPr>
                <w:rFonts w:hint="eastAsia" w:cs="Times New Roman"/>
                <w:kern w:val="0"/>
                <w:szCs w:val="20"/>
              </w:rPr>
              <w:t>2.08</w:t>
            </w:r>
          </w:p>
        </w:tc>
        <w:tc>
          <w:tcPr>
            <w:tcW w:w="268" w:type="pct"/>
            <w:tcBorders>
              <w:top w:val="single" w:color="auto" w:sz="4" w:space="0"/>
              <w:left w:val="single" w:color="auto" w:sz="4" w:space="0"/>
              <w:bottom w:val="single" w:color="auto" w:sz="4" w:space="0"/>
              <w:right w:val="nil"/>
            </w:tcBorders>
            <w:noWrap/>
          </w:tcPr>
          <w:p w14:paraId="45380301">
            <w:pPr>
              <w:pStyle w:val="445"/>
              <w:rPr>
                <w:rFonts w:cs="Times New Roman"/>
                <w:kern w:val="0"/>
                <w:szCs w:val="20"/>
              </w:rPr>
            </w:pPr>
            <w:r>
              <w:rPr>
                <w:rFonts w:hint="eastAsia" w:cs="Times New Roman"/>
                <w:kern w:val="0"/>
                <w:szCs w:val="20"/>
              </w:rPr>
              <w:t>0.14</w:t>
            </w:r>
          </w:p>
        </w:tc>
      </w:tr>
      <w:tr w14:paraId="64B40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4A90A399">
            <w:pPr>
              <w:pStyle w:val="445"/>
              <w:rPr>
                <w:rFonts w:cs="Times New Roman"/>
                <w:kern w:val="0"/>
                <w:szCs w:val="20"/>
              </w:rPr>
            </w:pPr>
            <w:r>
              <w:rPr>
                <w:rFonts w:cs="Times New Roman"/>
                <w:kern w:val="0"/>
                <w:szCs w:val="20"/>
              </w:rPr>
              <w:t>五月</w:t>
            </w:r>
          </w:p>
        </w:tc>
        <w:tc>
          <w:tcPr>
            <w:tcW w:w="274" w:type="pct"/>
            <w:tcBorders>
              <w:top w:val="single" w:color="auto" w:sz="4" w:space="0"/>
              <w:left w:val="single" w:color="auto" w:sz="4" w:space="0"/>
              <w:bottom w:val="single" w:color="auto" w:sz="4" w:space="0"/>
              <w:right w:val="single" w:color="auto" w:sz="4" w:space="0"/>
            </w:tcBorders>
            <w:noWrap/>
          </w:tcPr>
          <w:p w14:paraId="29E10B4F">
            <w:pPr>
              <w:pStyle w:val="445"/>
              <w:rPr>
                <w:rFonts w:cs="Times New Roman"/>
                <w:kern w:val="0"/>
                <w:szCs w:val="20"/>
              </w:rPr>
            </w:pPr>
            <w:r>
              <w:rPr>
                <w:rFonts w:hint="eastAsia" w:cs="Times New Roman"/>
                <w:kern w:val="0"/>
                <w:szCs w:val="20"/>
              </w:rPr>
              <w:t>2.28</w:t>
            </w:r>
          </w:p>
        </w:tc>
        <w:tc>
          <w:tcPr>
            <w:tcW w:w="274" w:type="pct"/>
            <w:tcBorders>
              <w:top w:val="single" w:color="auto" w:sz="4" w:space="0"/>
              <w:left w:val="single" w:color="auto" w:sz="4" w:space="0"/>
              <w:bottom w:val="single" w:color="auto" w:sz="4" w:space="0"/>
              <w:right w:val="single" w:color="auto" w:sz="4" w:space="0"/>
            </w:tcBorders>
            <w:noWrap/>
          </w:tcPr>
          <w:p w14:paraId="397BB0AA">
            <w:pPr>
              <w:pStyle w:val="445"/>
              <w:rPr>
                <w:rFonts w:cs="Times New Roman"/>
                <w:kern w:val="0"/>
                <w:szCs w:val="20"/>
              </w:rPr>
            </w:pPr>
            <w:r>
              <w:rPr>
                <w:rFonts w:hint="eastAsia" w:cs="Times New Roman"/>
                <w:kern w:val="0"/>
                <w:szCs w:val="20"/>
              </w:rPr>
              <w:t>2.28</w:t>
            </w:r>
          </w:p>
        </w:tc>
        <w:tc>
          <w:tcPr>
            <w:tcW w:w="273" w:type="pct"/>
            <w:tcBorders>
              <w:top w:val="single" w:color="auto" w:sz="4" w:space="0"/>
              <w:left w:val="single" w:color="auto" w:sz="4" w:space="0"/>
              <w:bottom w:val="single" w:color="auto" w:sz="4" w:space="0"/>
              <w:right w:val="single" w:color="auto" w:sz="4" w:space="0"/>
            </w:tcBorders>
            <w:noWrap/>
          </w:tcPr>
          <w:p w14:paraId="593530DD">
            <w:pPr>
              <w:pStyle w:val="445"/>
              <w:rPr>
                <w:rFonts w:cs="Times New Roman"/>
                <w:kern w:val="0"/>
                <w:szCs w:val="20"/>
              </w:rPr>
            </w:pPr>
            <w:r>
              <w:rPr>
                <w:rFonts w:hint="eastAsia" w:cs="Times New Roman"/>
                <w:kern w:val="0"/>
                <w:szCs w:val="20"/>
              </w:rPr>
              <w:t>3.36</w:t>
            </w:r>
          </w:p>
        </w:tc>
        <w:tc>
          <w:tcPr>
            <w:tcW w:w="273" w:type="pct"/>
            <w:tcBorders>
              <w:top w:val="single" w:color="auto" w:sz="4" w:space="0"/>
              <w:left w:val="single" w:color="auto" w:sz="4" w:space="0"/>
              <w:bottom w:val="single" w:color="auto" w:sz="4" w:space="0"/>
              <w:right w:val="single" w:color="auto" w:sz="4" w:space="0"/>
            </w:tcBorders>
            <w:noWrap/>
          </w:tcPr>
          <w:p w14:paraId="68A07695">
            <w:pPr>
              <w:pStyle w:val="445"/>
              <w:rPr>
                <w:rFonts w:cs="Times New Roman"/>
                <w:kern w:val="0"/>
                <w:szCs w:val="20"/>
              </w:rPr>
            </w:pPr>
            <w:r>
              <w:rPr>
                <w:rFonts w:hint="eastAsia" w:cs="Times New Roman"/>
                <w:kern w:val="0"/>
                <w:szCs w:val="20"/>
              </w:rPr>
              <w:t>9.01</w:t>
            </w:r>
          </w:p>
        </w:tc>
        <w:tc>
          <w:tcPr>
            <w:tcW w:w="273" w:type="pct"/>
            <w:tcBorders>
              <w:top w:val="single" w:color="auto" w:sz="4" w:space="0"/>
              <w:left w:val="single" w:color="auto" w:sz="4" w:space="0"/>
              <w:bottom w:val="single" w:color="auto" w:sz="4" w:space="0"/>
              <w:right w:val="single" w:color="auto" w:sz="4" w:space="0"/>
            </w:tcBorders>
            <w:noWrap/>
          </w:tcPr>
          <w:p w14:paraId="6EF22C56">
            <w:pPr>
              <w:pStyle w:val="445"/>
              <w:rPr>
                <w:rFonts w:cs="Times New Roman"/>
                <w:kern w:val="0"/>
                <w:szCs w:val="20"/>
              </w:rPr>
            </w:pPr>
            <w:r>
              <w:rPr>
                <w:rFonts w:hint="eastAsia" w:cs="Times New Roman"/>
                <w:kern w:val="0"/>
                <w:szCs w:val="20"/>
              </w:rPr>
              <w:t>15.59</w:t>
            </w:r>
          </w:p>
        </w:tc>
        <w:tc>
          <w:tcPr>
            <w:tcW w:w="274" w:type="pct"/>
            <w:tcBorders>
              <w:top w:val="single" w:color="auto" w:sz="4" w:space="0"/>
              <w:left w:val="single" w:color="auto" w:sz="4" w:space="0"/>
              <w:bottom w:val="single" w:color="auto" w:sz="4" w:space="0"/>
              <w:right w:val="single" w:color="auto" w:sz="4" w:space="0"/>
            </w:tcBorders>
            <w:noWrap/>
          </w:tcPr>
          <w:p w14:paraId="5B9BC2E5">
            <w:pPr>
              <w:pStyle w:val="445"/>
              <w:rPr>
                <w:rFonts w:cs="Times New Roman"/>
                <w:kern w:val="0"/>
                <w:szCs w:val="20"/>
              </w:rPr>
            </w:pPr>
            <w:r>
              <w:rPr>
                <w:rFonts w:hint="eastAsia" w:cs="Times New Roman"/>
                <w:kern w:val="0"/>
                <w:szCs w:val="20"/>
              </w:rPr>
              <w:t>6.05</w:t>
            </w:r>
          </w:p>
        </w:tc>
        <w:tc>
          <w:tcPr>
            <w:tcW w:w="274" w:type="pct"/>
            <w:tcBorders>
              <w:top w:val="single" w:color="auto" w:sz="4" w:space="0"/>
              <w:left w:val="single" w:color="auto" w:sz="4" w:space="0"/>
              <w:bottom w:val="single" w:color="auto" w:sz="4" w:space="0"/>
              <w:right w:val="single" w:color="auto" w:sz="4" w:space="0"/>
            </w:tcBorders>
            <w:noWrap/>
          </w:tcPr>
          <w:p w14:paraId="0190BB83">
            <w:pPr>
              <w:pStyle w:val="445"/>
              <w:rPr>
                <w:rFonts w:cs="Times New Roman"/>
                <w:kern w:val="0"/>
                <w:szCs w:val="20"/>
              </w:rPr>
            </w:pPr>
            <w:r>
              <w:rPr>
                <w:rFonts w:hint="eastAsia" w:cs="Times New Roman"/>
                <w:kern w:val="0"/>
                <w:szCs w:val="20"/>
              </w:rPr>
              <w:t>6.85</w:t>
            </w:r>
          </w:p>
        </w:tc>
        <w:tc>
          <w:tcPr>
            <w:tcW w:w="274" w:type="pct"/>
            <w:tcBorders>
              <w:top w:val="single" w:color="auto" w:sz="4" w:space="0"/>
              <w:left w:val="single" w:color="auto" w:sz="4" w:space="0"/>
              <w:bottom w:val="single" w:color="auto" w:sz="4" w:space="0"/>
              <w:right w:val="single" w:color="auto" w:sz="4" w:space="0"/>
            </w:tcBorders>
            <w:noWrap/>
          </w:tcPr>
          <w:p w14:paraId="28764EC8">
            <w:pPr>
              <w:pStyle w:val="445"/>
              <w:rPr>
                <w:rFonts w:cs="Times New Roman"/>
                <w:kern w:val="0"/>
                <w:szCs w:val="20"/>
              </w:rPr>
            </w:pPr>
            <w:r>
              <w:rPr>
                <w:rFonts w:hint="eastAsia" w:cs="Times New Roman"/>
                <w:kern w:val="0"/>
                <w:szCs w:val="20"/>
              </w:rPr>
              <w:t>5.38</w:t>
            </w:r>
          </w:p>
        </w:tc>
        <w:tc>
          <w:tcPr>
            <w:tcW w:w="274" w:type="pct"/>
            <w:tcBorders>
              <w:top w:val="single" w:color="auto" w:sz="4" w:space="0"/>
              <w:left w:val="single" w:color="auto" w:sz="4" w:space="0"/>
              <w:bottom w:val="single" w:color="auto" w:sz="4" w:space="0"/>
              <w:right w:val="single" w:color="auto" w:sz="4" w:space="0"/>
            </w:tcBorders>
            <w:noWrap/>
          </w:tcPr>
          <w:p w14:paraId="5DB91F5B">
            <w:pPr>
              <w:pStyle w:val="445"/>
              <w:rPr>
                <w:rFonts w:cs="Times New Roman"/>
                <w:kern w:val="0"/>
                <w:szCs w:val="20"/>
              </w:rPr>
            </w:pPr>
            <w:r>
              <w:rPr>
                <w:rFonts w:hint="eastAsia" w:cs="Times New Roman"/>
                <w:kern w:val="0"/>
                <w:szCs w:val="20"/>
              </w:rPr>
              <w:t>9.41</w:t>
            </w:r>
          </w:p>
        </w:tc>
        <w:tc>
          <w:tcPr>
            <w:tcW w:w="274" w:type="pct"/>
            <w:tcBorders>
              <w:top w:val="single" w:color="auto" w:sz="4" w:space="0"/>
              <w:left w:val="single" w:color="auto" w:sz="4" w:space="0"/>
              <w:bottom w:val="single" w:color="auto" w:sz="4" w:space="0"/>
              <w:right w:val="single" w:color="auto" w:sz="4" w:space="0"/>
            </w:tcBorders>
            <w:noWrap/>
          </w:tcPr>
          <w:p w14:paraId="21F4BD17">
            <w:pPr>
              <w:pStyle w:val="445"/>
              <w:rPr>
                <w:rFonts w:cs="Times New Roman"/>
                <w:kern w:val="0"/>
                <w:szCs w:val="20"/>
              </w:rPr>
            </w:pPr>
            <w:r>
              <w:rPr>
                <w:rFonts w:hint="eastAsia" w:cs="Times New Roman"/>
                <w:kern w:val="0"/>
                <w:szCs w:val="20"/>
              </w:rPr>
              <w:t>8.6</w:t>
            </w:r>
          </w:p>
        </w:tc>
        <w:tc>
          <w:tcPr>
            <w:tcW w:w="274" w:type="pct"/>
            <w:tcBorders>
              <w:top w:val="single" w:color="auto" w:sz="4" w:space="0"/>
              <w:left w:val="single" w:color="auto" w:sz="4" w:space="0"/>
              <w:bottom w:val="single" w:color="auto" w:sz="4" w:space="0"/>
              <w:right w:val="single" w:color="auto" w:sz="4" w:space="0"/>
            </w:tcBorders>
            <w:noWrap/>
          </w:tcPr>
          <w:p w14:paraId="4506E10A">
            <w:pPr>
              <w:pStyle w:val="445"/>
              <w:rPr>
                <w:rFonts w:cs="Times New Roman"/>
                <w:kern w:val="0"/>
                <w:szCs w:val="20"/>
              </w:rPr>
            </w:pPr>
            <w:r>
              <w:rPr>
                <w:rFonts w:hint="eastAsia" w:cs="Times New Roman"/>
                <w:kern w:val="0"/>
                <w:szCs w:val="20"/>
              </w:rPr>
              <w:t>7.66</w:t>
            </w:r>
          </w:p>
        </w:tc>
        <w:tc>
          <w:tcPr>
            <w:tcW w:w="276" w:type="pct"/>
            <w:tcBorders>
              <w:top w:val="single" w:color="auto" w:sz="4" w:space="0"/>
              <w:left w:val="single" w:color="auto" w:sz="4" w:space="0"/>
              <w:bottom w:val="single" w:color="auto" w:sz="4" w:space="0"/>
              <w:right w:val="single" w:color="auto" w:sz="4" w:space="0"/>
            </w:tcBorders>
            <w:noWrap/>
          </w:tcPr>
          <w:p w14:paraId="33F413A0">
            <w:pPr>
              <w:pStyle w:val="445"/>
              <w:rPr>
                <w:rFonts w:cs="Times New Roman"/>
                <w:kern w:val="0"/>
                <w:szCs w:val="20"/>
              </w:rPr>
            </w:pPr>
            <w:r>
              <w:rPr>
                <w:rFonts w:hint="eastAsia" w:cs="Times New Roman"/>
                <w:kern w:val="0"/>
                <w:szCs w:val="20"/>
              </w:rPr>
              <w:t>4.97</w:t>
            </w:r>
          </w:p>
        </w:tc>
        <w:tc>
          <w:tcPr>
            <w:tcW w:w="274" w:type="pct"/>
            <w:tcBorders>
              <w:top w:val="single" w:color="auto" w:sz="4" w:space="0"/>
              <w:left w:val="single" w:color="auto" w:sz="4" w:space="0"/>
              <w:bottom w:val="single" w:color="auto" w:sz="4" w:space="0"/>
              <w:right w:val="single" w:color="auto" w:sz="4" w:space="0"/>
            </w:tcBorders>
            <w:noWrap/>
          </w:tcPr>
          <w:p w14:paraId="35A1B68B">
            <w:pPr>
              <w:pStyle w:val="445"/>
              <w:rPr>
                <w:rFonts w:cs="Times New Roman"/>
                <w:kern w:val="0"/>
                <w:szCs w:val="20"/>
              </w:rPr>
            </w:pPr>
            <w:r>
              <w:rPr>
                <w:rFonts w:hint="eastAsia" w:cs="Times New Roman"/>
                <w:kern w:val="0"/>
                <w:szCs w:val="20"/>
              </w:rPr>
              <w:t>6.85</w:t>
            </w:r>
          </w:p>
        </w:tc>
        <w:tc>
          <w:tcPr>
            <w:tcW w:w="290" w:type="pct"/>
            <w:tcBorders>
              <w:top w:val="single" w:color="auto" w:sz="4" w:space="0"/>
              <w:left w:val="single" w:color="auto" w:sz="4" w:space="0"/>
              <w:bottom w:val="single" w:color="auto" w:sz="4" w:space="0"/>
              <w:right w:val="single" w:color="auto" w:sz="4" w:space="0"/>
            </w:tcBorders>
            <w:noWrap/>
          </w:tcPr>
          <w:p w14:paraId="17E4CF09">
            <w:pPr>
              <w:pStyle w:val="445"/>
              <w:rPr>
                <w:rFonts w:cs="Times New Roman"/>
                <w:kern w:val="0"/>
                <w:szCs w:val="20"/>
              </w:rPr>
            </w:pPr>
            <w:r>
              <w:rPr>
                <w:rFonts w:hint="eastAsia" w:cs="Times New Roman"/>
                <w:kern w:val="0"/>
                <w:szCs w:val="20"/>
              </w:rPr>
              <w:t>6.85</w:t>
            </w:r>
          </w:p>
        </w:tc>
        <w:tc>
          <w:tcPr>
            <w:tcW w:w="274" w:type="pct"/>
            <w:tcBorders>
              <w:top w:val="single" w:color="auto" w:sz="4" w:space="0"/>
              <w:left w:val="single" w:color="auto" w:sz="4" w:space="0"/>
              <w:bottom w:val="single" w:color="auto" w:sz="4" w:space="0"/>
              <w:right w:val="single" w:color="auto" w:sz="4" w:space="0"/>
            </w:tcBorders>
            <w:noWrap/>
          </w:tcPr>
          <w:p w14:paraId="3FE74C42">
            <w:pPr>
              <w:pStyle w:val="445"/>
              <w:rPr>
                <w:rFonts w:cs="Times New Roman"/>
                <w:kern w:val="0"/>
                <w:szCs w:val="20"/>
              </w:rPr>
            </w:pPr>
            <w:r>
              <w:rPr>
                <w:rFonts w:hint="eastAsia" w:cs="Times New Roman"/>
                <w:kern w:val="0"/>
                <w:szCs w:val="20"/>
              </w:rPr>
              <w:t>2.82</w:t>
            </w:r>
          </w:p>
        </w:tc>
        <w:tc>
          <w:tcPr>
            <w:tcW w:w="274" w:type="pct"/>
            <w:tcBorders>
              <w:top w:val="single" w:color="auto" w:sz="4" w:space="0"/>
              <w:left w:val="single" w:color="auto" w:sz="4" w:space="0"/>
              <w:bottom w:val="single" w:color="auto" w:sz="4" w:space="0"/>
              <w:right w:val="single" w:color="auto" w:sz="4" w:space="0"/>
            </w:tcBorders>
            <w:noWrap/>
          </w:tcPr>
          <w:p w14:paraId="27655E77">
            <w:pPr>
              <w:pStyle w:val="445"/>
              <w:rPr>
                <w:rFonts w:cs="Times New Roman"/>
                <w:kern w:val="0"/>
                <w:szCs w:val="20"/>
              </w:rPr>
            </w:pPr>
            <w:r>
              <w:rPr>
                <w:rFonts w:hint="eastAsia" w:cs="Times New Roman"/>
                <w:kern w:val="0"/>
                <w:szCs w:val="20"/>
              </w:rPr>
              <w:t>1.75</w:t>
            </w:r>
          </w:p>
        </w:tc>
        <w:tc>
          <w:tcPr>
            <w:tcW w:w="268" w:type="pct"/>
            <w:tcBorders>
              <w:top w:val="single" w:color="auto" w:sz="4" w:space="0"/>
              <w:left w:val="single" w:color="auto" w:sz="4" w:space="0"/>
              <w:bottom w:val="single" w:color="auto" w:sz="4" w:space="0"/>
              <w:right w:val="nil"/>
            </w:tcBorders>
            <w:noWrap/>
          </w:tcPr>
          <w:p w14:paraId="76E5B094">
            <w:pPr>
              <w:pStyle w:val="445"/>
              <w:rPr>
                <w:rFonts w:cs="Times New Roman"/>
                <w:kern w:val="0"/>
                <w:szCs w:val="20"/>
              </w:rPr>
            </w:pPr>
            <w:r>
              <w:rPr>
                <w:rFonts w:hint="eastAsia" w:cs="Times New Roman"/>
                <w:kern w:val="0"/>
                <w:szCs w:val="20"/>
              </w:rPr>
              <w:t>0.27</w:t>
            </w:r>
          </w:p>
        </w:tc>
      </w:tr>
      <w:tr w14:paraId="08E3F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6911B154">
            <w:pPr>
              <w:pStyle w:val="445"/>
              <w:rPr>
                <w:rFonts w:cs="Times New Roman"/>
                <w:kern w:val="0"/>
                <w:szCs w:val="20"/>
              </w:rPr>
            </w:pPr>
            <w:r>
              <w:rPr>
                <w:rFonts w:cs="Times New Roman"/>
                <w:kern w:val="0"/>
                <w:szCs w:val="20"/>
              </w:rPr>
              <w:t>六月</w:t>
            </w:r>
          </w:p>
        </w:tc>
        <w:tc>
          <w:tcPr>
            <w:tcW w:w="274" w:type="pct"/>
            <w:tcBorders>
              <w:top w:val="single" w:color="auto" w:sz="4" w:space="0"/>
              <w:left w:val="single" w:color="auto" w:sz="4" w:space="0"/>
              <w:bottom w:val="single" w:color="auto" w:sz="4" w:space="0"/>
              <w:right w:val="single" w:color="auto" w:sz="4" w:space="0"/>
            </w:tcBorders>
            <w:noWrap/>
          </w:tcPr>
          <w:p w14:paraId="66CCC213">
            <w:pPr>
              <w:pStyle w:val="445"/>
              <w:rPr>
                <w:rFonts w:cs="Times New Roman"/>
                <w:kern w:val="0"/>
                <w:szCs w:val="20"/>
              </w:rPr>
            </w:pPr>
            <w:r>
              <w:rPr>
                <w:rFonts w:hint="eastAsia" w:cs="Times New Roman"/>
                <w:kern w:val="0"/>
                <w:szCs w:val="20"/>
              </w:rPr>
              <w:t>3.06</w:t>
            </w:r>
          </w:p>
        </w:tc>
        <w:tc>
          <w:tcPr>
            <w:tcW w:w="274" w:type="pct"/>
            <w:tcBorders>
              <w:top w:val="single" w:color="auto" w:sz="4" w:space="0"/>
              <w:left w:val="single" w:color="auto" w:sz="4" w:space="0"/>
              <w:bottom w:val="single" w:color="auto" w:sz="4" w:space="0"/>
              <w:right w:val="single" w:color="auto" w:sz="4" w:space="0"/>
            </w:tcBorders>
            <w:noWrap/>
          </w:tcPr>
          <w:p w14:paraId="583E3595">
            <w:pPr>
              <w:pStyle w:val="445"/>
              <w:rPr>
                <w:rFonts w:cs="Times New Roman"/>
                <w:kern w:val="0"/>
                <w:szCs w:val="20"/>
              </w:rPr>
            </w:pPr>
            <w:r>
              <w:rPr>
                <w:rFonts w:hint="eastAsia" w:cs="Times New Roman"/>
                <w:kern w:val="0"/>
                <w:szCs w:val="20"/>
              </w:rPr>
              <w:t>2.08</w:t>
            </w:r>
          </w:p>
        </w:tc>
        <w:tc>
          <w:tcPr>
            <w:tcW w:w="273" w:type="pct"/>
            <w:tcBorders>
              <w:top w:val="single" w:color="auto" w:sz="4" w:space="0"/>
              <w:left w:val="single" w:color="auto" w:sz="4" w:space="0"/>
              <w:bottom w:val="single" w:color="auto" w:sz="4" w:space="0"/>
              <w:right w:val="single" w:color="auto" w:sz="4" w:space="0"/>
            </w:tcBorders>
            <w:noWrap/>
          </w:tcPr>
          <w:p w14:paraId="659A776F">
            <w:pPr>
              <w:pStyle w:val="445"/>
              <w:rPr>
                <w:rFonts w:cs="Times New Roman"/>
                <w:kern w:val="0"/>
                <w:szCs w:val="20"/>
              </w:rPr>
            </w:pPr>
            <w:r>
              <w:rPr>
                <w:rFonts w:hint="eastAsia" w:cs="Times New Roman"/>
                <w:kern w:val="0"/>
                <w:szCs w:val="20"/>
              </w:rPr>
              <w:t>3.61</w:t>
            </w:r>
          </w:p>
        </w:tc>
        <w:tc>
          <w:tcPr>
            <w:tcW w:w="273" w:type="pct"/>
            <w:tcBorders>
              <w:top w:val="single" w:color="auto" w:sz="4" w:space="0"/>
              <w:left w:val="single" w:color="auto" w:sz="4" w:space="0"/>
              <w:bottom w:val="single" w:color="auto" w:sz="4" w:space="0"/>
              <w:right w:val="single" w:color="auto" w:sz="4" w:space="0"/>
            </w:tcBorders>
            <w:noWrap/>
          </w:tcPr>
          <w:p w14:paraId="71E4C326">
            <w:pPr>
              <w:pStyle w:val="445"/>
              <w:rPr>
                <w:rFonts w:cs="Times New Roman"/>
                <w:kern w:val="0"/>
                <w:szCs w:val="20"/>
              </w:rPr>
            </w:pPr>
            <w:r>
              <w:rPr>
                <w:rFonts w:hint="eastAsia" w:cs="Times New Roman"/>
                <w:kern w:val="0"/>
                <w:szCs w:val="20"/>
              </w:rPr>
              <w:t>9.72</w:t>
            </w:r>
          </w:p>
        </w:tc>
        <w:tc>
          <w:tcPr>
            <w:tcW w:w="273" w:type="pct"/>
            <w:tcBorders>
              <w:top w:val="single" w:color="auto" w:sz="4" w:space="0"/>
              <w:left w:val="single" w:color="auto" w:sz="4" w:space="0"/>
              <w:bottom w:val="single" w:color="auto" w:sz="4" w:space="0"/>
              <w:right w:val="single" w:color="auto" w:sz="4" w:space="0"/>
            </w:tcBorders>
            <w:noWrap/>
          </w:tcPr>
          <w:p w14:paraId="701F833C">
            <w:pPr>
              <w:pStyle w:val="445"/>
              <w:rPr>
                <w:rFonts w:cs="Times New Roman"/>
                <w:kern w:val="0"/>
                <w:szCs w:val="20"/>
              </w:rPr>
            </w:pPr>
            <w:r>
              <w:rPr>
                <w:rFonts w:hint="eastAsia" w:cs="Times New Roman"/>
                <w:kern w:val="0"/>
                <w:szCs w:val="20"/>
              </w:rPr>
              <w:t>25.69</w:t>
            </w:r>
          </w:p>
        </w:tc>
        <w:tc>
          <w:tcPr>
            <w:tcW w:w="274" w:type="pct"/>
            <w:tcBorders>
              <w:top w:val="single" w:color="auto" w:sz="4" w:space="0"/>
              <w:left w:val="single" w:color="auto" w:sz="4" w:space="0"/>
              <w:bottom w:val="single" w:color="auto" w:sz="4" w:space="0"/>
              <w:right w:val="single" w:color="auto" w:sz="4" w:space="0"/>
            </w:tcBorders>
            <w:noWrap/>
          </w:tcPr>
          <w:p w14:paraId="03FA8D83">
            <w:pPr>
              <w:pStyle w:val="445"/>
              <w:rPr>
                <w:rFonts w:cs="Times New Roman"/>
                <w:kern w:val="0"/>
                <w:szCs w:val="20"/>
              </w:rPr>
            </w:pPr>
            <w:r>
              <w:rPr>
                <w:rFonts w:hint="eastAsia" w:cs="Times New Roman"/>
                <w:kern w:val="0"/>
                <w:szCs w:val="20"/>
              </w:rPr>
              <w:t>9.58</w:t>
            </w:r>
          </w:p>
        </w:tc>
        <w:tc>
          <w:tcPr>
            <w:tcW w:w="274" w:type="pct"/>
            <w:tcBorders>
              <w:top w:val="single" w:color="auto" w:sz="4" w:space="0"/>
              <w:left w:val="single" w:color="auto" w:sz="4" w:space="0"/>
              <w:bottom w:val="single" w:color="auto" w:sz="4" w:space="0"/>
              <w:right w:val="single" w:color="auto" w:sz="4" w:space="0"/>
            </w:tcBorders>
            <w:noWrap/>
          </w:tcPr>
          <w:p w14:paraId="3E137FAE">
            <w:pPr>
              <w:pStyle w:val="445"/>
              <w:rPr>
                <w:rFonts w:cs="Times New Roman"/>
                <w:kern w:val="0"/>
                <w:szCs w:val="20"/>
              </w:rPr>
            </w:pPr>
            <w:r>
              <w:rPr>
                <w:rFonts w:hint="eastAsia" w:cs="Times New Roman"/>
                <w:kern w:val="0"/>
                <w:szCs w:val="20"/>
              </w:rPr>
              <w:t>5.97</w:t>
            </w:r>
          </w:p>
        </w:tc>
        <w:tc>
          <w:tcPr>
            <w:tcW w:w="274" w:type="pct"/>
            <w:tcBorders>
              <w:top w:val="single" w:color="auto" w:sz="4" w:space="0"/>
              <w:left w:val="single" w:color="auto" w:sz="4" w:space="0"/>
              <w:bottom w:val="single" w:color="auto" w:sz="4" w:space="0"/>
              <w:right w:val="single" w:color="auto" w:sz="4" w:space="0"/>
            </w:tcBorders>
            <w:noWrap/>
          </w:tcPr>
          <w:p w14:paraId="0D160CAE">
            <w:pPr>
              <w:pStyle w:val="445"/>
              <w:rPr>
                <w:rFonts w:cs="Times New Roman"/>
                <w:kern w:val="0"/>
                <w:szCs w:val="20"/>
              </w:rPr>
            </w:pPr>
            <w:r>
              <w:rPr>
                <w:rFonts w:hint="eastAsia" w:cs="Times New Roman"/>
                <w:kern w:val="0"/>
                <w:szCs w:val="20"/>
              </w:rPr>
              <w:t>6.67</w:t>
            </w:r>
          </w:p>
        </w:tc>
        <w:tc>
          <w:tcPr>
            <w:tcW w:w="274" w:type="pct"/>
            <w:tcBorders>
              <w:top w:val="single" w:color="auto" w:sz="4" w:space="0"/>
              <w:left w:val="single" w:color="auto" w:sz="4" w:space="0"/>
              <w:bottom w:val="single" w:color="auto" w:sz="4" w:space="0"/>
              <w:right w:val="single" w:color="auto" w:sz="4" w:space="0"/>
            </w:tcBorders>
            <w:noWrap/>
          </w:tcPr>
          <w:p w14:paraId="21F13A37">
            <w:pPr>
              <w:pStyle w:val="445"/>
              <w:rPr>
                <w:rFonts w:cs="Times New Roman"/>
                <w:kern w:val="0"/>
                <w:szCs w:val="20"/>
              </w:rPr>
            </w:pPr>
            <w:r>
              <w:rPr>
                <w:rFonts w:hint="eastAsia" w:cs="Times New Roman"/>
                <w:kern w:val="0"/>
                <w:szCs w:val="20"/>
              </w:rPr>
              <w:t>6.53</w:t>
            </w:r>
          </w:p>
        </w:tc>
        <w:tc>
          <w:tcPr>
            <w:tcW w:w="274" w:type="pct"/>
            <w:tcBorders>
              <w:top w:val="single" w:color="auto" w:sz="4" w:space="0"/>
              <w:left w:val="single" w:color="auto" w:sz="4" w:space="0"/>
              <w:bottom w:val="single" w:color="auto" w:sz="4" w:space="0"/>
              <w:right w:val="single" w:color="auto" w:sz="4" w:space="0"/>
            </w:tcBorders>
            <w:noWrap/>
          </w:tcPr>
          <w:p w14:paraId="3E532300">
            <w:pPr>
              <w:pStyle w:val="445"/>
              <w:rPr>
                <w:rFonts w:cs="Times New Roman"/>
                <w:kern w:val="0"/>
                <w:szCs w:val="20"/>
              </w:rPr>
            </w:pPr>
            <w:r>
              <w:rPr>
                <w:rFonts w:hint="eastAsia" w:cs="Times New Roman"/>
                <w:kern w:val="0"/>
                <w:szCs w:val="20"/>
              </w:rPr>
              <w:t>2.5</w:t>
            </w:r>
          </w:p>
        </w:tc>
        <w:tc>
          <w:tcPr>
            <w:tcW w:w="274" w:type="pct"/>
            <w:tcBorders>
              <w:top w:val="single" w:color="auto" w:sz="4" w:space="0"/>
              <w:left w:val="single" w:color="auto" w:sz="4" w:space="0"/>
              <w:bottom w:val="single" w:color="auto" w:sz="4" w:space="0"/>
              <w:right w:val="single" w:color="auto" w:sz="4" w:space="0"/>
            </w:tcBorders>
            <w:noWrap/>
          </w:tcPr>
          <w:p w14:paraId="16729ABB">
            <w:pPr>
              <w:pStyle w:val="445"/>
              <w:rPr>
                <w:rFonts w:cs="Times New Roman"/>
                <w:kern w:val="0"/>
                <w:szCs w:val="20"/>
              </w:rPr>
            </w:pPr>
            <w:r>
              <w:rPr>
                <w:rFonts w:hint="eastAsia" w:cs="Times New Roman"/>
                <w:kern w:val="0"/>
                <w:szCs w:val="20"/>
              </w:rPr>
              <w:t>5.14</w:t>
            </w:r>
          </w:p>
        </w:tc>
        <w:tc>
          <w:tcPr>
            <w:tcW w:w="276" w:type="pct"/>
            <w:tcBorders>
              <w:top w:val="single" w:color="auto" w:sz="4" w:space="0"/>
              <w:left w:val="single" w:color="auto" w:sz="4" w:space="0"/>
              <w:bottom w:val="single" w:color="auto" w:sz="4" w:space="0"/>
              <w:right w:val="single" w:color="auto" w:sz="4" w:space="0"/>
            </w:tcBorders>
            <w:noWrap/>
          </w:tcPr>
          <w:p w14:paraId="45A6C8B5">
            <w:pPr>
              <w:pStyle w:val="445"/>
              <w:rPr>
                <w:rFonts w:cs="Times New Roman"/>
                <w:kern w:val="0"/>
                <w:szCs w:val="20"/>
              </w:rPr>
            </w:pPr>
            <w:r>
              <w:rPr>
                <w:rFonts w:hint="eastAsia" w:cs="Times New Roman"/>
                <w:kern w:val="0"/>
                <w:szCs w:val="20"/>
              </w:rPr>
              <w:t>2.78</w:t>
            </w:r>
          </w:p>
        </w:tc>
        <w:tc>
          <w:tcPr>
            <w:tcW w:w="274" w:type="pct"/>
            <w:tcBorders>
              <w:top w:val="single" w:color="auto" w:sz="4" w:space="0"/>
              <w:left w:val="single" w:color="auto" w:sz="4" w:space="0"/>
              <w:bottom w:val="single" w:color="auto" w:sz="4" w:space="0"/>
              <w:right w:val="single" w:color="auto" w:sz="4" w:space="0"/>
            </w:tcBorders>
            <w:noWrap/>
          </w:tcPr>
          <w:p w14:paraId="2A6E9A40">
            <w:pPr>
              <w:pStyle w:val="445"/>
              <w:rPr>
                <w:rFonts w:cs="Times New Roman"/>
                <w:kern w:val="0"/>
                <w:szCs w:val="20"/>
              </w:rPr>
            </w:pPr>
            <w:r>
              <w:rPr>
                <w:rFonts w:hint="eastAsia" w:cs="Times New Roman"/>
                <w:kern w:val="0"/>
                <w:szCs w:val="20"/>
              </w:rPr>
              <w:t>7.22</w:t>
            </w:r>
          </w:p>
        </w:tc>
        <w:tc>
          <w:tcPr>
            <w:tcW w:w="290" w:type="pct"/>
            <w:tcBorders>
              <w:top w:val="single" w:color="auto" w:sz="4" w:space="0"/>
              <w:left w:val="single" w:color="auto" w:sz="4" w:space="0"/>
              <w:bottom w:val="single" w:color="auto" w:sz="4" w:space="0"/>
              <w:right w:val="single" w:color="auto" w:sz="4" w:space="0"/>
            </w:tcBorders>
            <w:noWrap/>
          </w:tcPr>
          <w:p w14:paraId="70206290">
            <w:pPr>
              <w:pStyle w:val="445"/>
              <w:rPr>
                <w:rFonts w:cs="Times New Roman"/>
                <w:kern w:val="0"/>
                <w:szCs w:val="20"/>
              </w:rPr>
            </w:pPr>
            <w:r>
              <w:rPr>
                <w:rFonts w:hint="eastAsia" w:cs="Times New Roman"/>
                <w:kern w:val="0"/>
                <w:szCs w:val="20"/>
              </w:rPr>
              <w:t>5.28</w:t>
            </w:r>
          </w:p>
        </w:tc>
        <w:tc>
          <w:tcPr>
            <w:tcW w:w="274" w:type="pct"/>
            <w:tcBorders>
              <w:top w:val="single" w:color="auto" w:sz="4" w:space="0"/>
              <w:left w:val="single" w:color="auto" w:sz="4" w:space="0"/>
              <w:bottom w:val="single" w:color="auto" w:sz="4" w:space="0"/>
              <w:right w:val="single" w:color="auto" w:sz="4" w:space="0"/>
            </w:tcBorders>
            <w:noWrap/>
          </w:tcPr>
          <w:p w14:paraId="25721BEF">
            <w:pPr>
              <w:pStyle w:val="445"/>
              <w:rPr>
                <w:rFonts w:cs="Times New Roman"/>
                <w:kern w:val="0"/>
                <w:szCs w:val="20"/>
              </w:rPr>
            </w:pPr>
            <w:r>
              <w:rPr>
                <w:rFonts w:hint="eastAsia" w:cs="Times New Roman"/>
                <w:kern w:val="0"/>
                <w:szCs w:val="20"/>
              </w:rPr>
              <w:t>2.5</w:t>
            </w:r>
          </w:p>
        </w:tc>
        <w:tc>
          <w:tcPr>
            <w:tcW w:w="274" w:type="pct"/>
            <w:tcBorders>
              <w:top w:val="single" w:color="auto" w:sz="4" w:space="0"/>
              <w:left w:val="single" w:color="auto" w:sz="4" w:space="0"/>
              <w:bottom w:val="single" w:color="auto" w:sz="4" w:space="0"/>
              <w:right w:val="single" w:color="auto" w:sz="4" w:space="0"/>
            </w:tcBorders>
            <w:noWrap/>
          </w:tcPr>
          <w:p w14:paraId="25A66FC6">
            <w:pPr>
              <w:pStyle w:val="445"/>
              <w:rPr>
                <w:rFonts w:cs="Times New Roman"/>
                <w:kern w:val="0"/>
                <w:szCs w:val="20"/>
              </w:rPr>
            </w:pPr>
            <w:r>
              <w:rPr>
                <w:rFonts w:hint="eastAsia" w:cs="Times New Roman"/>
                <w:kern w:val="0"/>
                <w:szCs w:val="20"/>
              </w:rPr>
              <w:t>1.67</w:t>
            </w:r>
          </w:p>
        </w:tc>
        <w:tc>
          <w:tcPr>
            <w:tcW w:w="268" w:type="pct"/>
            <w:tcBorders>
              <w:top w:val="single" w:color="auto" w:sz="4" w:space="0"/>
              <w:left w:val="single" w:color="auto" w:sz="4" w:space="0"/>
              <w:bottom w:val="single" w:color="auto" w:sz="4" w:space="0"/>
              <w:right w:val="nil"/>
            </w:tcBorders>
            <w:noWrap/>
          </w:tcPr>
          <w:p w14:paraId="7D1AD17F">
            <w:pPr>
              <w:pStyle w:val="445"/>
              <w:rPr>
                <w:rFonts w:cs="Times New Roman"/>
                <w:kern w:val="0"/>
                <w:szCs w:val="20"/>
              </w:rPr>
            </w:pPr>
            <w:r>
              <w:rPr>
                <w:rFonts w:hint="eastAsia" w:cs="Times New Roman"/>
                <w:kern w:val="0"/>
                <w:szCs w:val="20"/>
              </w:rPr>
              <w:t>0</w:t>
            </w:r>
          </w:p>
        </w:tc>
      </w:tr>
      <w:tr w14:paraId="44C30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2D3F113B">
            <w:pPr>
              <w:pStyle w:val="445"/>
              <w:rPr>
                <w:rFonts w:cs="Times New Roman"/>
                <w:kern w:val="0"/>
                <w:szCs w:val="20"/>
              </w:rPr>
            </w:pPr>
            <w:r>
              <w:rPr>
                <w:rFonts w:cs="Times New Roman"/>
                <w:kern w:val="0"/>
                <w:szCs w:val="20"/>
              </w:rPr>
              <w:t>七月</w:t>
            </w:r>
          </w:p>
        </w:tc>
        <w:tc>
          <w:tcPr>
            <w:tcW w:w="274" w:type="pct"/>
            <w:tcBorders>
              <w:top w:val="single" w:color="auto" w:sz="4" w:space="0"/>
              <w:left w:val="single" w:color="auto" w:sz="4" w:space="0"/>
              <w:bottom w:val="single" w:color="auto" w:sz="4" w:space="0"/>
              <w:right w:val="single" w:color="auto" w:sz="4" w:space="0"/>
            </w:tcBorders>
            <w:noWrap/>
          </w:tcPr>
          <w:p w14:paraId="6784DBA6">
            <w:pPr>
              <w:pStyle w:val="445"/>
              <w:rPr>
                <w:rFonts w:cs="Times New Roman"/>
                <w:kern w:val="0"/>
                <w:szCs w:val="20"/>
              </w:rPr>
            </w:pPr>
            <w:r>
              <w:rPr>
                <w:rFonts w:hint="eastAsia" w:cs="Times New Roman"/>
                <w:kern w:val="0"/>
                <w:szCs w:val="20"/>
              </w:rPr>
              <w:t>4.03</w:t>
            </w:r>
          </w:p>
        </w:tc>
        <w:tc>
          <w:tcPr>
            <w:tcW w:w="274" w:type="pct"/>
            <w:tcBorders>
              <w:top w:val="single" w:color="auto" w:sz="4" w:space="0"/>
              <w:left w:val="single" w:color="auto" w:sz="4" w:space="0"/>
              <w:bottom w:val="single" w:color="auto" w:sz="4" w:space="0"/>
              <w:right w:val="single" w:color="auto" w:sz="4" w:space="0"/>
            </w:tcBorders>
            <w:noWrap/>
          </w:tcPr>
          <w:p w14:paraId="6EEB59A0">
            <w:pPr>
              <w:pStyle w:val="445"/>
              <w:rPr>
                <w:rFonts w:cs="Times New Roman"/>
                <w:kern w:val="0"/>
                <w:szCs w:val="20"/>
              </w:rPr>
            </w:pPr>
            <w:r>
              <w:rPr>
                <w:rFonts w:hint="eastAsia" w:cs="Times New Roman"/>
                <w:kern w:val="0"/>
                <w:szCs w:val="20"/>
              </w:rPr>
              <w:t>3.09</w:t>
            </w:r>
          </w:p>
        </w:tc>
        <w:tc>
          <w:tcPr>
            <w:tcW w:w="273" w:type="pct"/>
            <w:tcBorders>
              <w:top w:val="single" w:color="auto" w:sz="4" w:space="0"/>
              <w:left w:val="single" w:color="auto" w:sz="4" w:space="0"/>
              <w:bottom w:val="single" w:color="auto" w:sz="4" w:space="0"/>
              <w:right w:val="single" w:color="auto" w:sz="4" w:space="0"/>
            </w:tcBorders>
            <w:noWrap/>
          </w:tcPr>
          <w:p w14:paraId="55DA45A9">
            <w:pPr>
              <w:pStyle w:val="445"/>
              <w:rPr>
                <w:rFonts w:cs="Times New Roman"/>
                <w:kern w:val="0"/>
                <w:szCs w:val="20"/>
              </w:rPr>
            </w:pPr>
            <w:r>
              <w:rPr>
                <w:rFonts w:hint="eastAsia" w:cs="Times New Roman"/>
                <w:kern w:val="0"/>
                <w:szCs w:val="20"/>
              </w:rPr>
              <w:t>2.55</w:t>
            </w:r>
          </w:p>
        </w:tc>
        <w:tc>
          <w:tcPr>
            <w:tcW w:w="273" w:type="pct"/>
            <w:tcBorders>
              <w:top w:val="single" w:color="auto" w:sz="4" w:space="0"/>
              <w:left w:val="single" w:color="auto" w:sz="4" w:space="0"/>
              <w:bottom w:val="single" w:color="auto" w:sz="4" w:space="0"/>
              <w:right w:val="single" w:color="auto" w:sz="4" w:space="0"/>
            </w:tcBorders>
            <w:noWrap/>
          </w:tcPr>
          <w:p w14:paraId="31AF4C06">
            <w:pPr>
              <w:pStyle w:val="445"/>
              <w:rPr>
                <w:rFonts w:cs="Times New Roman"/>
                <w:kern w:val="0"/>
                <w:szCs w:val="20"/>
              </w:rPr>
            </w:pPr>
            <w:r>
              <w:rPr>
                <w:rFonts w:hint="eastAsia" w:cs="Times New Roman"/>
                <w:kern w:val="0"/>
                <w:szCs w:val="20"/>
              </w:rPr>
              <w:t>13.84</w:t>
            </w:r>
          </w:p>
        </w:tc>
        <w:tc>
          <w:tcPr>
            <w:tcW w:w="273" w:type="pct"/>
            <w:tcBorders>
              <w:top w:val="single" w:color="auto" w:sz="4" w:space="0"/>
              <w:left w:val="single" w:color="auto" w:sz="4" w:space="0"/>
              <w:bottom w:val="single" w:color="auto" w:sz="4" w:space="0"/>
              <w:right w:val="single" w:color="auto" w:sz="4" w:space="0"/>
            </w:tcBorders>
            <w:noWrap/>
          </w:tcPr>
          <w:p w14:paraId="2D043DAD">
            <w:pPr>
              <w:pStyle w:val="445"/>
              <w:rPr>
                <w:rFonts w:cs="Times New Roman"/>
                <w:kern w:val="0"/>
                <w:szCs w:val="20"/>
              </w:rPr>
            </w:pPr>
            <w:r>
              <w:rPr>
                <w:rFonts w:hint="eastAsia" w:cs="Times New Roman"/>
                <w:kern w:val="0"/>
                <w:szCs w:val="20"/>
              </w:rPr>
              <w:t>29.84</w:t>
            </w:r>
          </w:p>
        </w:tc>
        <w:tc>
          <w:tcPr>
            <w:tcW w:w="274" w:type="pct"/>
            <w:tcBorders>
              <w:top w:val="single" w:color="auto" w:sz="4" w:space="0"/>
              <w:left w:val="single" w:color="auto" w:sz="4" w:space="0"/>
              <w:bottom w:val="single" w:color="auto" w:sz="4" w:space="0"/>
              <w:right w:val="single" w:color="auto" w:sz="4" w:space="0"/>
            </w:tcBorders>
            <w:noWrap/>
          </w:tcPr>
          <w:p w14:paraId="16BED1DE">
            <w:pPr>
              <w:pStyle w:val="445"/>
              <w:rPr>
                <w:rFonts w:cs="Times New Roman"/>
                <w:kern w:val="0"/>
                <w:szCs w:val="20"/>
              </w:rPr>
            </w:pPr>
            <w:r>
              <w:rPr>
                <w:rFonts w:hint="eastAsia" w:cs="Times New Roman"/>
                <w:kern w:val="0"/>
                <w:szCs w:val="20"/>
              </w:rPr>
              <w:t>8.2</w:t>
            </w:r>
          </w:p>
        </w:tc>
        <w:tc>
          <w:tcPr>
            <w:tcW w:w="274" w:type="pct"/>
            <w:tcBorders>
              <w:top w:val="single" w:color="auto" w:sz="4" w:space="0"/>
              <w:left w:val="single" w:color="auto" w:sz="4" w:space="0"/>
              <w:bottom w:val="single" w:color="auto" w:sz="4" w:space="0"/>
              <w:right w:val="single" w:color="auto" w:sz="4" w:space="0"/>
            </w:tcBorders>
            <w:noWrap/>
          </w:tcPr>
          <w:p w14:paraId="3185F815">
            <w:pPr>
              <w:pStyle w:val="445"/>
              <w:rPr>
                <w:rFonts w:cs="Times New Roman"/>
                <w:kern w:val="0"/>
                <w:szCs w:val="20"/>
              </w:rPr>
            </w:pPr>
            <w:r>
              <w:rPr>
                <w:rFonts w:hint="eastAsia" w:cs="Times New Roman"/>
                <w:kern w:val="0"/>
                <w:szCs w:val="20"/>
              </w:rPr>
              <w:t>3.23</w:t>
            </w:r>
          </w:p>
        </w:tc>
        <w:tc>
          <w:tcPr>
            <w:tcW w:w="274" w:type="pct"/>
            <w:tcBorders>
              <w:top w:val="single" w:color="auto" w:sz="4" w:space="0"/>
              <w:left w:val="single" w:color="auto" w:sz="4" w:space="0"/>
              <w:bottom w:val="single" w:color="auto" w:sz="4" w:space="0"/>
              <w:right w:val="single" w:color="auto" w:sz="4" w:space="0"/>
            </w:tcBorders>
            <w:noWrap/>
          </w:tcPr>
          <w:p w14:paraId="7B8B0D93">
            <w:pPr>
              <w:pStyle w:val="445"/>
              <w:rPr>
                <w:rFonts w:cs="Times New Roman"/>
                <w:kern w:val="0"/>
                <w:szCs w:val="20"/>
              </w:rPr>
            </w:pPr>
            <w:r>
              <w:rPr>
                <w:rFonts w:hint="eastAsia" w:cs="Times New Roman"/>
                <w:kern w:val="0"/>
                <w:szCs w:val="20"/>
              </w:rPr>
              <w:t>3.49</w:t>
            </w:r>
          </w:p>
        </w:tc>
        <w:tc>
          <w:tcPr>
            <w:tcW w:w="274" w:type="pct"/>
            <w:tcBorders>
              <w:top w:val="single" w:color="auto" w:sz="4" w:space="0"/>
              <w:left w:val="single" w:color="auto" w:sz="4" w:space="0"/>
              <w:bottom w:val="single" w:color="auto" w:sz="4" w:space="0"/>
              <w:right w:val="single" w:color="auto" w:sz="4" w:space="0"/>
            </w:tcBorders>
            <w:noWrap/>
          </w:tcPr>
          <w:p w14:paraId="2094B957">
            <w:pPr>
              <w:pStyle w:val="445"/>
              <w:rPr>
                <w:rFonts w:cs="Times New Roman"/>
                <w:kern w:val="0"/>
                <w:szCs w:val="20"/>
              </w:rPr>
            </w:pPr>
            <w:r>
              <w:rPr>
                <w:rFonts w:hint="eastAsia" w:cs="Times New Roman"/>
                <w:kern w:val="0"/>
                <w:szCs w:val="20"/>
              </w:rPr>
              <w:t>4.57</w:t>
            </w:r>
          </w:p>
        </w:tc>
        <w:tc>
          <w:tcPr>
            <w:tcW w:w="274" w:type="pct"/>
            <w:tcBorders>
              <w:top w:val="single" w:color="auto" w:sz="4" w:space="0"/>
              <w:left w:val="single" w:color="auto" w:sz="4" w:space="0"/>
              <w:bottom w:val="single" w:color="auto" w:sz="4" w:space="0"/>
              <w:right w:val="single" w:color="auto" w:sz="4" w:space="0"/>
            </w:tcBorders>
            <w:noWrap/>
          </w:tcPr>
          <w:p w14:paraId="0496F8AE">
            <w:pPr>
              <w:pStyle w:val="445"/>
              <w:rPr>
                <w:rFonts w:cs="Times New Roman"/>
                <w:kern w:val="0"/>
                <w:szCs w:val="20"/>
              </w:rPr>
            </w:pPr>
            <w:r>
              <w:rPr>
                <w:rFonts w:hint="eastAsia" w:cs="Times New Roman"/>
                <w:kern w:val="0"/>
                <w:szCs w:val="20"/>
              </w:rPr>
              <w:t>2.82</w:t>
            </w:r>
          </w:p>
        </w:tc>
        <w:tc>
          <w:tcPr>
            <w:tcW w:w="274" w:type="pct"/>
            <w:tcBorders>
              <w:top w:val="single" w:color="auto" w:sz="4" w:space="0"/>
              <w:left w:val="single" w:color="auto" w:sz="4" w:space="0"/>
              <w:bottom w:val="single" w:color="auto" w:sz="4" w:space="0"/>
              <w:right w:val="single" w:color="auto" w:sz="4" w:space="0"/>
            </w:tcBorders>
            <w:noWrap/>
          </w:tcPr>
          <w:p w14:paraId="2ECED5EC">
            <w:pPr>
              <w:pStyle w:val="445"/>
              <w:rPr>
                <w:rFonts w:cs="Times New Roman"/>
                <w:kern w:val="0"/>
                <w:szCs w:val="20"/>
              </w:rPr>
            </w:pPr>
            <w:r>
              <w:rPr>
                <w:rFonts w:hint="eastAsia" w:cs="Times New Roman"/>
                <w:kern w:val="0"/>
                <w:szCs w:val="20"/>
              </w:rPr>
              <w:t>3.36</w:t>
            </w:r>
          </w:p>
        </w:tc>
        <w:tc>
          <w:tcPr>
            <w:tcW w:w="276" w:type="pct"/>
            <w:tcBorders>
              <w:top w:val="single" w:color="auto" w:sz="4" w:space="0"/>
              <w:left w:val="single" w:color="auto" w:sz="4" w:space="0"/>
              <w:bottom w:val="single" w:color="auto" w:sz="4" w:space="0"/>
              <w:right w:val="single" w:color="auto" w:sz="4" w:space="0"/>
            </w:tcBorders>
            <w:noWrap/>
          </w:tcPr>
          <w:p w14:paraId="4FF186BD">
            <w:pPr>
              <w:pStyle w:val="445"/>
              <w:rPr>
                <w:rFonts w:cs="Times New Roman"/>
                <w:kern w:val="0"/>
                <w:szCs w:val="20"/>
              </w:rPr>
            </w:pPr>
            <w:r>
              <w:rPr>
                <w:rFonts w:hint="eastAsia" w:cs="Times New Roman"/>
                <w:kern w:val="0"/>
                <w:szCs w:val="20"/>
              </w:rPr>
              <w:t>4.44</w:t>
            </w:r>
          </w:p>
        </w:tc>
        <w:tc>
          <w:tcPr>
            <w:tcW w:w="274" w:type="pct"/>
            <w:tcBorders>
              <w:top w:val="single" w:color="auto" w:sz="4" w:space="0"/>
              <w:left w:val="single" w:color="auto" w:sz="4" w:space="0"/>
              <w:bottom w:val="single" w:color="auto" w:sz="4" w:space="0"/>
              <w:right w:val="single" w:color="auto" w:sz="4" w:space="0"/>
            </w:tcBorders>
            <w:noWrap/>
          </w:tcPr>
          <w:p w14:paraId="7FCAEFDA">
            <w:pPr>
              <w:pStyle w:val="445"/>
              <w:rPr>
                <w:rFonts w:cs="Times New Roman"/>
                <w:kern w:val="0"/>
                <w:szCs w:val="20"/>
              </w:rPr>
            </w:pPr>
            <w:r>
              <w:rPr>
                <w:rFonts w:hint="eastAsia" w:cs="Times New Roman"/>
                <w:kern w:val="0"/>
                <w:szCs w:val="20"/>
              </w:rPr>
              <w:t>10.62</w:t>
            </w:r>
          </w:p>
        </w:tc>
        <w:tc>
          <w:tcPr>
            <w:tcW w:w="290" w:type="pct"/>
            <w:tcBorders>
              <w:top w:val="single" w:color="auto" w:sz="4" w:space="0"/>
              <w:left w:val="single" w:color="auto" w:sz="4" w:space="0"/>
              <w:bottom w:val="single" w:color="auto" w:sz="4" w:space="0"/>
              <w:right w:val="single" w:color="auto" w:sz="4" w:space="0"/>
            </w:tcBorders>
            <w:noWrap/>
          </w:tcPr>
          <w:p w14:paraId="27606D51">
            <w:pPr>
              <w:pStyle w:val="445"/>
              <w:rPr>
                <w:rFonts w:cs="Times New Roman"/>
                <w:kern w:val="0"/>
                <w:szCs w:val="20"/>
              </w:rPr>
            </w:pPr>
            <w:r>
              <w:rPr>
                <w:rFonts w:hint="eastAsia" w:cs="Times New Roman"/>
                <w:kern w:val="0"/>
                <w:szCs w:val="20"/>
              </w:rPr>
              <w:t>3.49</w:t>
            </w:r>
          </w:p>
        </w:tc>
        <w:tc>
          <w:tcPr>
            <w:tcW w:w="274" w:type="pct"/>
            <w:tcBorders>
              <w:top w:val="single" w:color="auto" w:sz="4" w:space="0"/>
              <w:left w:val="single" w:color="auto" w:sz="4" w:space="0"/>
              <w:bottom w:val="single" w:color="auto" w:sz="4" w:space="0"/>
              <w:right w:val="single" w:color="auto" w:sz="4" w:space="0"/>
            </w:tcBorders>
            <w:noWrap/>
          </w:tcPr>
          <w:p w14:paraId="394E7E4A">
            <w:pPr>
              <w:pStyle w:val="445"/>
              <w:rPr>
                <w:rFonts w:cs="Times New Roman"/>
                <w:kern w:val="0"/>
                <w:szCs w:val="20"/>
              </w:rPr>
            </w:pPr>
            <w:r>
              <w:rPr>
                <w:rFonts w:hint="eastAsia" w:cs="Times New Roman"/>
                <w:kern w:val="0"/>
                <w:szCs w:val="20"/>
              </w:rPr>
              <w:t>1.21</w:t>
            </w:r>
          </w:p>
        </w:tc>
        <w:tc>
          <w:tcPr>
            <w:tcW w:w="274" w:type="pct"/>
            <w:tcBorders>
              <w:top w:val="single" w:color="auto" w:sz="4" w:space="0"/>
              <w:left w:val="single" w:color="auto" w:sz="4" w:space="0"/>
              <w:bottom w:val="single" w:color="auto" w:sz="4" w:space="0"/>
              <w:right w:val="single" w:color="auto" w:sz="4" w:space="0"/>
            </w:tcBorders>
            <w:noWrap/>
          </w:tcPr>
          <w:p w14:paraId="134FA9C3">
            <w:pPr>
              <w:pStyle w:val="445"/>
              <w:rPr>
                <w:rFonts w:cs="Times New Roman"/>
                <w:kern w:val="0"/>
                <w:szCs w:val="20"/>
              </w:rPr>
            </w:pPr>
            <w:r>
              <w:rPr>
                <w:rFonts w:hint="eastAsia" w:cs="Times New Roman"/>
                <w:kern w:val="0"/>
                <w:szCs w:val="20"/>
              </w:rPr>
              <w:t>0.67</w:t>
            </w:r>
          </w:p>
        </w:tc>
        <w:tc>
          <w:tcPr>
            <w:tcW w:w="268" w:type="pct"/>
            <w:tcBorders>
              <w:top w:val="single" w:color="auto" w:sz="4" w:space="0"/>
              <w:left w:val="single" w:color="auto" w:sz="4" w:space="0"/>
              <w:bottom w:val="single" w:color="auto" w:sz="4" w:space="0"/>
              <w:right w:val="nil"/>
            </w:tcBorders>
            <w:noWrap/>
          </w:tcPr>
          <w:p w14:paraId="72305F40">
            <w:pPr>
              <w:pStyle w:val="445"/>
              <w:rPr>
                <w:rFonts w:cs="Times New Roman"/>
                <w:kern w:val="0"/>
                <w:szCs w:val="20"/>
              </w:rPr>
            </w:pPr>
            <w:r>
              <w:rPr>
                <w:rFonts w:hint="eastAsia" w:cs="Times New Roman"/>
                <w:kern w:val="0"/>
                <w:szCs w:val="20"/>
              </w:rPr>
              <w:t>0.54</w:t>
            </w:r>
          </w:p>
        </w:tc>
      </w:tr>
      <w:tr w14:paraId="1A763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09652223">
            <w:pPr>
              <w:pStyle w:val="445"/>
              <w:rPr>
                <w:rFonts w:cs="Times New Roman"/>
                <w:kern w:val="0"/>
                <w:szCs w:val="20"/>
              </w:rPr>
            </w:pPr>
            <w:r>
              <w:rPr>
                <w:rFonts w:cs="Times New Roman"/>
                <w:kern w:val="0"/>
                <w:szCs w:val="20"/>
              </w:rPr>
              <w:t>八月</w:t>
            </w:r>
          </w:p>
        </w:tc>
        <w:tc>
          <w:tcPr>
            <w:tcW w:w="274" w:type="pct"/>
            <w:tcBorders>
              <w:top w:val="single" w:color="auto" w:sz="4" w:space="0"/>
              <w:left w:val="single" w:color="auto" w:sz="4" w:space="0"/>
              <w:bottom w:val="single" w:color="auto" w:sz="4" w:space="0"/>
              <w:right w:val="single" w:color="auto" w:sz="4" w:space="0"/>
            </w:tcBorders>
            <w:noWrap/>
          </w:tcPr>
          <w:p w14:paraId="07DB5FE7">
            <w:pPr>
              <w:pStyle w:val="445"/>
              <w:rPr>
                <w:rFonts w:cs="Times New Roman"/>
                <w:kern w:val="0"/>
                <w:szCs w:val="20"/>
              </w:rPr>
            </w:pPr>
            <w:r>
              <w:rPr>
                <w:rFonts w:hint="eastAsia" w:cs="Times New Roman"/>
                <w:kern w:val="0"/>
                <w:szCs w:val="20"/>
              </w:rPr>
              <w:t>3.9</w:t>
            </w:r>
          </w:p>
        </w:tc>
        <w:tc>
          <w:tcPr>
            <w:tcW w:w="274" w:type="pct"/>
            <w:tcBorders>
              <w:top w:val="single" w:color="auto" w:sz="4" w:space="0"/>
              <w:left w:val="single" w:color="auto" w:sz="4" w:space="0"/>
              <w:bottom w:val="single" w:color="auto" w:sz="4" w:space="0"/>
              <w:right w:val="single" w:color="auto" w:sz="4" w:space="0"/>
            </w:tcBorders>
            <w:noWrap/>
          </w:tcPr>
          <w:p w14:paraId="05FAC377">
            <w:pPr>
              <w:pStyle w:val="445"/>
              <w:rPr>
                <w:rFonts w:cs="Times New Roman"/>
                <w:kern w:val="0"/>
                <w:szCs w:val="20"/>
              </w:rPr>
            </w:pPr>
            <w:r>
              <w:rPr>
                <w:rFonts w:hint="eastAsia" w:cs="Times New Roman"/>
                <w:kern w:val="0"/>
                <w:szCs w:val="20"/>
              </w:rPr>
              <w:t>2.69</w:t>
            </w:r>
          </w:p>
        </w:tc>
        <w:tc>
          <w:tcPr>
            <w:tcW w:w="273" w:type="pct"/>
            <w:tcBorders>
              <w:top w:val="single" w:color="auto" w:sz="4" w:space="0"/>
              <w:left w:val="single" w:color="auto" w:sz="4" w:space="0"/>
              <w:bottom w:val="single" w:color="auto" w:sz="4" w:space="0"/>
              <w:right w:val="single" w:color="auto" w:sz="4" w:space="0"/>
            </w:tcBorders>
            <w:noWrap/>
          </w:tcPr>
          <w:p w14:paraId="00295598">
            <w:pPr>
              <w:pStyle w:val="445"/>
              <w:rPr>
                <w:rFonts w:cs="Times New Roman"/>
                <w:kern w:val="0"/>
                <w:szCs w:val="20"/>
              </w:rPr>
            </w:pPr>
            <w:r>
              <w:rPr>
                <w:rFonts w:hint="eastAsia" w:cs="Times New Roman"/>
                <w:kern w:val="0"/>
                <w:szCs w:val="20"/>
              </w:rPr>
              <w:t>5.78</w:t>
            </w:r>
          </w:p>
        </w:tc>
        <w:tc>
          <w:tcPr>
            <w:tcW w:w="273" w:type="pct"/>
            <w:tcBorders>
              <w:top w:val="single" w:color="auto" w:sz="4" w:space="0"/>
              <w:left w:val="single" w:color="auto" w:sz="4" w:space="0"/>
              <w:bottom w:val="single" w:color="auto" w:sz="4" w:space="0"/>
              <w:right w:val="single" w:color="auto" w:sz="4" w:space="0"/>
            </w:tcBorders>
            <w:noWrap/>
          </w:tcPr>
          <w:p w14:paraId="4CC565E2">
            <w:pPr>
              <w:pStyle w:val="445"/>
              <w:rPr>
                <w:rFonts w:cs="Times New Roman"/>
                <w:kern w:val="0"/>
                <w:szCs w:val="20"/>
              </w:rPr>
            </w:pPr>
            <w:r>
              <w:rPr>
                <w:rFonts w:hint="eastAsia" w:cs="Times New Roman"/>
                <w:kern w:val="0"/>
                <w:szCs w:val="20"/>
              </w:rPr>
              <w:t>11.56</w:t>
            </w:r>
          </w:p>
        </w:tc>
        <w:tc>
          <w:tcPr>
            <w:tcW w:w="273" w:type="pct"/>
            <w:tcBorders>
              <w:top w:val="single" w:color="auto" w:sz="4" w:space="0"/>
              <w:left w:val="single" w:color="auto" w:sz="4" w:space="0"/>
              <w:bottom w:val="single" w:color="auto" w:sz="4" w:space="0"/>
              <w:right w:val="single" w:color="auto" w:sz="4" w:space="0"/>
            </w:tcBorders>
            <w:noWrap/>
          </w:tcPr>
          <w:p w14:paraId="4BE27BC0">
            <w:pPr>
              <w:pStyle w:val="445"/>
              <w:rPr>
                <w:rFonts w:cs="Times New Roman"/>
                <w:kern w:val="0"/>
                <w:szCs w:val="20"/>
              </w:rPr>
            </w:pPr>
            <w:r>
              <w:rPr>
                <w:rFonts w:hint="eastAsia" w:cs="Times New Roman"/>
                <w:kern w:val="0"/>
                <w:szCs w:val="20"/>
              </w:rPr>
              <w:t>11.02</w:t>
            </w:r>
          </w:p>
        </w:tc>
        <w:tc>
          <w:tcPr>
            <w:tcW w:w="274" w:type="pct"/>
            <w:tcBorders>
              <w:top w:val="single" w:color="auto" w:sz="4" w:space="0"/>
              <w:left w:val="single" w:color="auto" w:sz="4" w:space="0"/>
              <w:bottom w:val="single" w:color="auto" w:sz="4" w:space="0"/>
              <w:right w:val="single" w:color="auto" w:sz="4" w:space="0"/>
            </w:tcBorders>
            <w:noWrap/>
          </w:tcPr>
          <w:p w14:paraId="4AB24526">
            <w:pPr>
              <w:pStyle w:val="445"/>
              <w:rPr>
                <w:rFonts w:cs="Times New Roman"/>
                <w:kern w:val="0"/>
                <w:szCs w:val="20"/>
              </w:rPr>
            </w:pPr>
            <w:r>
              <w:rPr>
                <w:rFonts w:hint="eastAsia" w:cs="Times New Roman"/>
                <w:kern w:val="0"/>
                <w:szCs w:val="20"/>
              </w:rPr>
              <w:t>5.38</w:t>
            </w:r>
          </w:p>
        </w:tc>
        <w:tc>
          <w:tcPr>
            <w:tcW w:w="274" w:type="pct"/>
            <w:tcBorders>
              <w:top w:val="single" w:color="auto" w:sz="4" w:space="0"/>
              <w:left w:val="single" w:color="auto" w:sz="4" w:space="0"/>
              <w:bottom w:val="single" w:color="auto" w:sz="4" w:space="0"/>
              <w:right w:val="single" w:color="auto" w:sz="4" w:space="0"/>
            </w:tcBorders>
            <w:noWrap/>
          </w:tcPr>
          <w:p w14:paraId="341398D3">
            <w:pPr>
              <w:pStyle w:val="445"/>
              <w:rPr>
                <w:rFonts w:cs="Times New Roman"/>
                <w:kern w:val="0"/>
                <w:szCs w:val="20"/>
              </w:rPr>
            </w:pPr>
            <w:r>
              <w:rPr>
                <w:rFonts w:hint="eastAsia" w:cs="Times New Roman"/>
                <w:kern w:val="0"/>
                <w:szCs w:val="20"/>
              </w:rPr>
              <w:t>5.24</w:t>
            </w:r>
          </w:p>
        </w:tc>
        <w:tc>
          <w:tcPr>
            <w:tcW w:w="274" w:type="pct"/>
            <w:tcBorders>
              <w:top w:val="single" w:color="auto" w:sz="4" w:space="0"/>
              <w:left w:val="single" w:color="auto" w:sz="4" w:space="0"/>
              <w:bottom w:val="single" w:color="auto" w:sz="4" w:space="0"/>
              <w:right w:val="single" w:color="auto" w:sz="4" w:space="0"/>
            </w:tcBorders>
            <w:noWrap/>
          </w:tcPr>
          <w:p w14:paraId="6EDA9E35">
            <w:pPr>
              <w:pStyle w:val="445"/>
              <w:rPr>
                <w:rFonts w:cs="Times New Roman"/>
                <w:kern w:val="0"/>
                <w:szCs w:val="20"/>
              </w:rPr>
            </w:pPr>
            <w:r>
              <w:rPr>
                <w:rFonts w:hint="eastAsia" w:cs="Times New Roman"/>
                <w:kern w:val="0"/>
                <w:szCs w:val="20"/>
              </w:rPr>
              <w:t>4.84</w:t>
            </w:r>
          </w:p>
        </w:tc>
        <w:tc>
          <w:tcPr>
            <w:tcW w:w="274" w:type="pct"/>
            <w:tcBorders>
              <w:top w:val="single" w:color="auto" w:sz="4" w:space="0"/>
              <w:left w:val="single" w:color="auto" w:sz="4" w:space="0"/>
              <w:bottom w:val="single" w:color="auto" w:sz="4" w:space="0"/>
              <w:right w:val="single" w:color="auto" w:sz="4" w:space="0"/>
            </w:tcBorders>
            <w:noWrap/>
          </w:tcPr>
          <w:p w14:paraId="53F44300">
            <w:pPr>
              <w:pStyle w:val="445"/>
              <w:rPr>
                <w:rFonts w:cs="Times New Roman"/>
                <w:kern w:val="0"/>
                <w:szCs w:val="20"/>
              </w:rPr>
            </w:pPr>
            <w:r>
              <w:rPr>
                <w:rFonts w:hint="eastAsia" w:cs="Times New Roman"/>
                <w:kern w:val="0"/>
                <w:szCs w:val="20"/>
              </w:rPr>
              <w:t>15.99</w:t>
            </w:r>
          </w:p>
        </w:tc>
        <w:tc>
          <w:tcPr>
            <w:tcW w:w="274" w:type="pct"/>
            <w:tcBorders>
              <w:top w:val="single" w:color="auto" w:sz="4" w:space="0"/>
              <w:left w:val="single" w:color="auto" w:sz="4" w:space="0"/>
              <w:bottom w:val="single" w:color="auto" w:sz="4" w:space="0"/>
              <w:right w:val="single" w:color="auto" w:sz="4" w:space="0"/>
            </w:tcBorders>
            <w:noWrap/>
          </w:tcPr>
          <w:p w14:paraId="5CBB38A1">
            <w:pPr>
              <w:pStyle w:val="445"/>
              <w:rPr>
                <w:rFonts w:cs="Times New Roman"/>
                <w:kern w:val="0"/>
                <w:szCs w:val="20"/>
              </w:rPr>
            </w:pPr>
            <w:r>
              <w:rPr>
                <w:rFonts w:hint="eastAsia" w:cs="Times New Roman"/>
                <w:kern w:val="0"/>
                <w:szCs w:val="20"/>
              </w:rPr>
              <w:t>10.62</w:t>
            </w:r>
          </w:p>
        </w:tc>
        <w:tc>
          <w:tcPr>
            <w:tcW w:w="274" w:type="pct"/>
            <w:tcBorders>
              <w:top w:val="single" w:color="auto" w:sz="4" w:space="0"/>
              <w:left w:val="single" w:color="auto" w:sz="4" w:space="0"/>
              <w:bottom w:val="single" w:color="auto" w:sz="4" w:space="0"/>
              <w:right w:val="single" w:color="auto" w:sz="4" w:space="0"/>
            </w:tcBorders>
            <w:noWrap/>
          </w:tcPr>
          <w:p w14:paraId="15786C55">
            <w:pPr>
              <w:pStyle w:val="445"/>
              <w:rPr>
                <w:rFonts w:cs="Times New Roman"/>
                <w:kern w:val="0"/>
                <w:szCs w:val="20"/>
              </w:rPr>
            </w:pPr>
            <w:r>
              <w:rPr>
                <w:rFonts w:hint="eastAsia" w:cs="Times New Roman"/>
                <w:kern w:val="0"/>
                <w:szCs w:val="20"/>
              </w:rPr>
              <w:t>4.17</w:t>
            </w:r>
          </w:p>
        </w:tc>
        <w:tc>
          <w:tcPr>
            <w:tcW w:w="276" w:type="pct"/>
            <w:tcBorders>
              <w:top w:val="single" w:color="auto" w:sz="4" w:space="0"/>
              <w:left w:val="single" w:color="auto" w:sz="4" w:space="0"/>
              <w:bottom w:val="single" w:color="auto" w:sz="4" w:space="0"/>
              <w:right w:val="single" w:color="auto" w:sz="4" w:space="0"/>
            </w:tcBorders>
            <w:noWrap/>
          </w:tcPr>
          <w:p w14:paraId="47E0A550">
            <w:pPr>
              <w:pStyle w:val="445"/>
              <w:rPr>
                <w:rFonts w:cs="Times New Roman"/>
                <w:kern w:val="0"/>
                <w:szCs w:val="20"/>
              </w:rPr>
            </w:pPr>
            <w:r>
              <w:rPr>
                <w:rFonts w:hint="eastAsia" w:cs="Times New Roman"/>
                <w:kern w:val="0"/>
                <w:szCs w:val="20"/>
              </w:rPr>
              <w:t>2.96</w:t>
            </w:r>
          </w:p>
        </w:tc>
        <w:tc>
          <w:tcPr>
            <w:tcW w:w="274" w:type="pct"/>
            <w:tcBorders>
              <w:top w:val="single" w:color="auto" w:sz="4" w:space="0"/>
              <w:left w:val="single" w:color="auto" w:sz="4" w:space="0"/>
              <w:bottom w:val="single" w:color="auto" w:sz="4" w:space="0"/>
              <w:right w:val="single" w:color="auto" w:sz="4" w:space="0"/>
            </w:tcBorders>
            <w:noWrap/>
          </w:tcPr>
          <w:p w14:paraId="1032BCE4">
            <w:pPr>
              <w:pStyle w:val="445"/>
              <w:rPr>
                <w:rFonts w:cs="Times New Roman"/>
                <w:kern w:val="0"/>
                <w:szCs w:val="20"/>
              </w:rPr>
            </w:pPr>
            <w:r>
              <w:rPr>
                <w:rFonts w:hint="eastAsia" w:cs="Times New Roman"/>
                <w:kern w:val="0"/>
                <w:szCs w:val="20"/>
              </w:rPr>
              <w:t>7.26</w:t>
            </w:r>
          </w:p>
        </w:tc>
        <w:tc>
          <w:tcPr>
            <w:tcW w:w="290" w:type="pct"/>
            <w:tcBorders>
              <w:top w:val="single" w:color="auto" w:sz="4" w:space="0"/>
              <w:left w:val="single" w:color="auto" w:sz="4" w:space="0"/>
              <w:bottom w:val="single" w:color="auto" w:sz="4" w:space="0"/>
              <w:right w:val="single" w:color="auto" w:sz="4" w:space="0"/>
            </w:tcBorders>
            <w:noWrap/>
          </w:tcPr>
          <w:p w14:paraId="05852D9B">
            <w:pPr>
              <w:pStyle w:val="445"/>
              <w:rPr>
                <w:rFonts w:cs="Times New Roman"/>
                <w:kern w:val="0"/>
                <w:szCs w:val="20"/>
              </w:rPr>
            </w:pPr>
            <w:r>
              <w:rPr>
                <w:rFonts w:hint="eastAsia" w:cs="Times New Roman"/>
                <w:kern w:val="0"/>
                <w:szCs w:val="20"/>
              </w:rPr>
              <w:t>2.82</w:t>
            </w:r>
          </w:p>
        </w:tc>
        <w:tc>
          <w:tcPr>
            <w:tcW w:w="274" w:type="pct"/>
            <w:tcBorders>
              <w:top w:val="single" w:color="auto" w:sz="4" w:space="0"/>
              <w:left w:val="single" w:color="auto" w:sz="4" w:space="0"/>
              <w:bottom w:val="single" w:color="auto" w:sz="4" w:space="0"/>
              <w:right w:val="single" w:color="auto" w:sz="4" w:space="0"/>
            </w:tcBorders>
            <w:noWrap/>
          </w:tcPr>
          <w:p w14:paraId="61333E51">
            <w:pPr>
              <w:pStyle w:val="445"/>
              <w:rPr>
                <w:rFonts w:cs="Times New Roman"/>
                <w:kern w:val="0"/>
                <w:szCs w:val="20"/>
              </w:rPr>
            </w:pPr>
            <w:r>
              <w:rPr>
                <w:rFonts w:hint="eastAsia" w:cs="Times New Roman"/>
                <w:kern w:val="0"/>
                <w:szCs w:val="20"/>
              </w:rPr>
              <w:t>2.55</w:t>
            </w:r>
          </w:p>
        </w:tc>
        <w:tc>
          <w:tcPr>
            <w:tcW w:w="274" w:type="pct"/>
            <w:tcBorders>
              <w:top w:val="single" w:color="auto" w:sz="4" w:space="0"/>
              <w:left w:val="single" w:color="auto" w:sz="4" w:space="0"/>
              <w:bottom w:val="single" w:color="auto" w:sz="4" w:space="0"/>
              <w:right w:val="single" w:color="auto" w:sz="4" w:space="0"/>
            </w:tcBorders>
            <w:noWrap/>
          </w:tcPr>
          <w:p w14:paraId="05EA8D4F">
            <w:pPr>
              <w:pStyle w:val="445"/>
              <w:rPr>
                <w:rFonts w:cs="Times New Roman"/>
                <w:kern w:val="0"/>
                <w:szCs w:val="20"/>
              </w:rPr>
            </w:pPr>
            <w:r>
              <w:rPr>
                <w:rFonts w:hint="eastAsia" w:cs="Times New Roman"/>
                <w:kern w:val="0"/>
                <w:szCs w:val="20"/>
              </w:rPr>
              <w:t>2.82</w:t>
            </w:r>
          </w:p>
        </w:tc>
        <w:tc>
          <w:tcPr>
            <w:tcW w:w="268" w:type="pct"/>
            <w:tcBorders>
              <w:top w:val="single" w:color="auto" w:sz="4" w:space="0"/>
              <w:left w:val="single" w:color="auto" w:sz="4" w:space="0"/>
              <w:bottom w:val="single" w:color="auto" w:sz="4" w:space="0"/>
              <w:right w:val="nil"/>
            </w:tcBorders>
            <w:noWrap/>
          </w:tcPr>
          <w:p w14:paraId="123BC80C">
            <w:pPr>
              <w:pStyle w:val="445"/>
              <w:rPr>
                <w:rFonts w:cs="Times New Roman"/>
                <w:kern w:val="0"/>
                <w:szCs w:val="20"/>
              </w:rPr>
            </w:pPr>
            <w:r>
              <w:rPr>
                <w:rFonts w:hint="eastAsia" w:cs="Times New Roman"/>
                <w:kern w:val="0"/>
                <w:szCs w:val="20"/>
              </w:rPr>
              <w:t>0.4</w:t>
            </w:r>
          </w:p>
        </w:tc>
      </w:tr>
      <w:tr w14:paraId="48B36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454CE719">
            <w:pPr>
              <w:pStyle w:val="445"/>
              <w:rPr>
                <w:rFonts w:cs="Times New Roman"/>
                <w:kern w:val="0"/>
                <w:szCs w:val="20"/>
              </w:rPr>
            </w:pPr>
            <w:r>
              <w:rPr>
                <w:rFonts w:cs="Times New Roman"/>
                <w:kern w:val="0"/>
                <w:szCs w:val="20"/>
              </w:rPr>
              <w:t>九月</w:t>
            </w:r>
          </w:p>
        </w:tc>
        <w:tc>
          <w:tcPr>
            <w:tcW w:w="274" w:type="pct"/>
            <w:tcBorders>
              <w:top w:val="single" w:color="auto" w:sz="4" w:space="0"/>
              <w:left w:val="single" w:color="auto" w:sz="4" w:space="0"/>
              <w:bottom w:val="single" w:color="auto" w:sz="4" w:space="0"/>
              <w:right w:val="single" w:color="auto" w:sz="4" w:space="0"/>
            </w:tcBorders>
            <w:noWrap/>
          </w:tcPr>
          <w:p w14:paraId="324A90A9">
            <w:pPr>
              <w:pStyle w:val="445"/>
              <w:rPr>
                <w:rFonts w:cs="Times New Roman"/>
                <w:kern w:val="0"/>
                <w:szCs w:val="20"/>
              </w:rPr>
            </w:pPr>
            <w:r>
              <w:rPr>
                <w:rFonts w:hint="eastAsia" w:cs="Times New Roman"/>
                <w:kern w:val="0"/>
                <w:szCs w:val="20"/>
              </w:rPr>
              <w:t>8.61</w:t>
            </w:r>
          </w:p>
        </w:tc>
        <w:tc>
          <w:tcPr>
            <w:tcW w:w="274" w:type="pct"/>
            <w:tcBorders>
              <w:top w:val="single" w:color="auto" w:sz="4" w:space="0"/>
              <w:left w:val="single" w:color="auto" w:sz="4" w:space="0"/>
              <w:bottom w:val="single" w:color="auto" w:sz="4" w:space="0"/>
              <w:right w:val="single" w:color="auto" w:sz="4" w:space="0"/>
            </w:tcBorders>
            <w:noWrap/>
          </w:tcPr>
          <w:p w14:paraId="719C706B">
            <w:pPr>
              <w:pStyle w:val="445"/>
              <w:rPr>
                <w:rFonts w:cs="Times New Roman"/>
                <w:kern w:val="0"/>
                <w:szCs w:val="20"/>
              </w:rPr>
            </w:pPr>
            <w:r>
              <w:rPr>
                <w:rFonts w:hint="eastAsia" w:cs="Times New Roman"/>
                <w:kern w:val="0"/>
                <w:szCs w:val="20"/>
              </w:rPr>
              <w:t>4.86</w:t>
            </w:r>
          </w:p>
        </w:tc>
        <w:tc>
          <w:tcPr>
            <w:tcW w:w="273" w:type="pct"/>
            <w:tcBorders>
              <w:top w:val="single" w:color="auto" w:sz="4" w:space="0"/>
              <w:left w:val="single" w:color="auto" w:sz="4" w:space="0"/>
              <w:bottom w:val="single" w:color="auto" w:sz="4" w:space="0"/>
              <w:right w:val="single" w:color="auto" w:sz="4" w:space="0"/>
            </w:tcBorders>
            <w:noWrap/>
          </w:tcPr>
          <w:p w14:paraId="1991AE96">
            <w:pPr>
              <w:pStyle w:val="445"/>
              <w:rPr>
                <w:rFonts w:cs="Times New Roman"/>
                <w:kern w:val="0"/>
                <w:szCs w:val="20"/>
              </w:rPr>
            </w:pPr>
            <w:r>
              <w:rPr>
                <w:rFonts w:hint="eastAsia" w:cs="Times New Roman"/>
                <w:kern w:val="0"/>
                <w:szCs w:val="20"/>
              </w:rPr>
              <w:t>5.56</w:t>
            </w:r>
          </w:p>
        </w:tc>
        <w:tc>
          <w:tcPr>
            <w:tcW w:w="273" w:type="pct"/>
            <w:tcBorders>
              <w:top w:val="single" w:color="auto" w:sz="4" w:space="0"/>
              <w:left w:val="single" w:color="auto" w:sz="4" w:space="0"/>
              <w:bottom w:val="single" w:color="auto" w:sz="4" w:space="0"/>
              <w:right w:val="single" w:color="auto" w:sz="4" w:space="0"/>
            </w:tcBorders>
            <w:noWrap/>
          </w:tcPr>
          <w:p w14:paraId="04E371C2">
            <w:pPr>
              <w:pStyle w:val="445"/>
              <w:rPr>
                <w:rFonts w:cs="Times New Roman"/>
                <w:kern w:val="0"/>
                <w:szCs w:val="20"/>
              </w:rPr>
            </w:pPr>
            <w:r>
              <w:rPr>
                <w:rFonts w:hint="eastAsia" w:cs="Times New Roman"/>
                <w:kern w:val="0"/>
                <w:szCs w:val="20"/>
              </w:rPr>
              <w:t>12.78</w:t>
            </w:r>
          </w:p>
        </w:tc>
        <w:tc>
          <w:tcPr>
            <w:tcW w:w="273" w:type="pct"/>
            <w:tcBorders>
              <w:top w:val="single" w:color="auto" w:sz="4" w:space="0"/>
              <w:left w:val="single" w:color="auto" w:sz="4" w:space="0"/>
              <w:bottom w:val="single" w:color="auto" w:sz="4" w:space="0"/>
              <w:right w:val="single" w:color="auto" w:sz="4" w:space="0"/>
            </w:tcBorders>
            <w:noWrap/>
          </w:tcPr>
          <w:p w14:paraId="248FDAF9">
            <w:pPr>
              <w:pStyle w:val="445"/>
              <w:rPr>
                <w:rFonts w:cs="Times New Roman"/>
                <w:kern w:val="0"/>
                <w:szCs w:val="20"/>
              </w:rPr>
            </w:pPr>
            <w:r>
              <w:rPr>
                <w:rFonts w:hint="eastAsia" w:cs="Times New Roman"/>
                <w:kern w:val="0"/>
                <w:szCs w:val="20"/>
              </w:rPr>
              <w:t>20.56</w:t>
            </w:r>
          </w:p>
        </w:tc>
        <w:tc>
          <w:tcPr>
            <w:tcW w:w="274" w:type="pct"/>
            <w:tcBorders>
              <w:top w:val="single" w:color="auto" w:sz="4" w:space="0"/>
              <w:left w:val="single" w:color="auto" w:sz="4" w:space="0"/>
              <w:bottom w:val="single" w:color="auto" w:sz="4" w:space="0"/>
              <w:right w:val="single" w:color="auto" w:sz="4" w:space="0"/>
            </w:tcBorders>
            <w:noWrap/>
          </w:tcPr>
          <w:p w14:paraId="3DD03E7A">
            <w:pPr>
              <w:pStyle w:val="445"/>
              <w:rPr>
                <w:rFonts w:cs="Times New Roman"/>
                <w:kern w:val="0"/>
                <w:szCs w:val="20"/>
              </w:rPr>
            </w:pPr>
            <w:r>
              <w:rPr>
                <w:rFonts w:hint="eastAsia" w:cs="Times New Roman"/>
                <w:kern w:val="0"/>
                <w:szCs w:val="20"/>
              </w:rPr>
              <w:t>5.83</w:t>
            </w:r>
          </w:p>
        </w:tc>
        <w:tc>
          <w:tcPr>
            <w:tcW w:w="274" w:type="pct"/>
            <w:tcBorders>
              <w:top w:val="single" w:color="auto" w:sz="4" w:space="0"/>
              <w:left w:val="single" w:color="auto" w:sz="4" w:space="0"/>
              <w:bottom w:val="single" w:color="auto" w:sz="4" w:space="0"/>
              <w:right w:val="single" w:color="auto" w:sz="4" w:space="0"/>
            </w:tcBorders>
            <w:noWrap/>
          </w:tcPr>
          <w:p w14:paraId="78F994C0">
            <w:pPr>
              <w:pStyle w:val="445"/>
              <w:rPr>
                <w:rFonts w:cs="Times New Roman"/>
                <w:kern w:val="0"/>
                <w:szCs w:val="20"/>
              </w:rPr>
            </w:pPr>
            <w:r>
              <w:rPr>
                <w:rFonts w:hint="eastAsia" w:cs="Times New Roman"/>
                <w:kern w:val="0"/>
                <w:szCs w:val="20"/>
              </w:rPr>
              <w:t>4.72</w:t>
            </w:r>
          </w:p>
        </w:tc>
        <w:tc>
          <w:tcPr>
            <w:tcW w:w="274" w:type="pct"/>
            <w:tcBorders>
              <w:top w:val="single" w:color="auto" w:sz="4" w:space="0"/>
              <w:left w:val="single" w:color="auto" w:sz="4" w:space="0"/>
              <w:bottom w:val="single" w:color="auto" w:sz="4" w:space="0"/>
              <w:right w:val="single" w:color="auto" w:sz="4" w:space="0"/>
            </w:tcBorders>
            <w:noWrap/>
          </w:tcPr>
          <w:p w14:paraId="19CC8010">
            <w:pPr>
              <w:pStyle w:val="445"/>
              <w:rPr>
                <w:rFonts w:cs="Times New Roman"/>
                <w:kern w:val="0"/>
                <w:szCs w:val="20"/>
              </w:rPr>
            </w:pPr>
            <w:r>
              <w:rPr>
                <w:rFonts w:hint="eastAsia" w:cs="Times New Roman"/>
                <w:kern w:val="0"/>
                <w:szCs w:val="20"/>
              </w:rPr>
              <w:t>3.06</w:t>
            </w:r>
          </w:p>
        </w:tc>
        <w:tc>
          <w:tcPr>
            <w:tcW w:w="274" w:type="pct"/>
            <w:tcBorders>
              <w:top w:val="single" w:color="auto" w:sz="4" w:space="0"/>
              <w:left w:val="single" w:color="auto" w:sz="4" w:space="0"/>
              <w:bottom w:val="single" w:color="auto" w:sz="4" w:space="0"/>
              <w:right w:val="single" w:color="auto" w:sz="4" w:space="0"/>
            </w:tcBorders>
            <w:noWrap/>
          </w:tcPr>
          <w:p w14:paraId="5559B875">
            <w:pPr>
              <w:pStyle w:val="445"/>
              <w:rPr>
                <w:rFonts w:cs="Times New Roman"/>
                <w:kern w:val="0"/>
                <w:szCs w:val="20"/>
              </w:rPr>
            </w:pPr>
            <w:r>
              <w:rPr>
                <w:rFonts w:hint="eastAsia" w:cs="Times New Roman"/>
                <w:kern w:val="0"/>
                <w:szCs w:val="20"/>
              </w:rPr>
              <w:t>4.86</w:t>
            </w:r>
          </w:p>
        </w:tc>
        <w:tc>
          <w:tcPr>
            <w:tcW w:w="274" w:type="pct"/>
            <w:tcBorders>
              <w:top w:val="single" w:color="auto" w:sz="4" w:space="0"/>
              <w:left w:val="single" w:color="auto" w:sz="4" w:space="0"/>
              <w:bottom w:val="single" w:color="auto" w:sz="4" w:space="0"/>
              <w:right w:val="single" w:color="auto" w:sz="4" w:space="0"/>
            </w:tcBorders>
            <w:noWrap/>
          </w:tcPr>
          <w:p w14:paraId="6E0647C1">
            <w:pPr>
              <w:pStyle w:val="445"/>
              <w:rPr>
                <w:rFonts w:cs="Times New Roman"/>
                <w:kern w:val="0"/>
                <w:szCs w:val="20"/>
              </w:rPr>
            </w:pPr>
            <w:r>
              <w:rPr>
                <w:rFonts w:hint="eastAsia" w:cs="Times New Roman"/>
                <w:kern w:val="0"/>
                <w:szCs w:val="20"/>
              </w:rPr>
              <w:t>4.17</w:t>
            </w:r>
          </w:p>
        </w:tc>
        <w:tc>
          <w:tcPr>
            <w:tcW w:w="274" w:type="pct"/>
            <w:tcBorders>
              <w:top w:val="single" w:color="auto" w:sz="4" w:space="0"/>
              <w:left w:val="single" w:color="auto" w:sz="4" w:space="0"/>
              <w:bottom w:val="single" w:color="auto" w:sz="4" w:space="0"/>
              <w:right w:val="single" w:color="auto" w:sz="4" w:space="0"/>
            </w:tcBorders>
            <w:noWrap/>
          </w:tcPr>
          <w:p w14:paraId="01FB9C7F">
            <w:pPr>
              <w:pStyle w:val="445"/>
              <w:rPr>
                <w:rFonts w:cs="Times New Roman"/>
                <w:kern w:val="0"/>
                <w:szCs w:val="20"/>
              </w:rPr>
            </w:pPr>
            <w:r>
              <w:rPr>
                <w:rFonts w:hint="eastAsia" w:cs="Times New Roman"/>
                <w:kern w:val="0"/>
                <w:szCs w:val="20"/>
              </w:rPr>
              <w:t>3.61</w:t>
            </w:r>
          </w:p>
        </w:tc>
        <w:tc>
          <w:tcPr>
            <w:tcW w:w="276" w:type="pct"/>
            <w:tcBorders>
              <w:top w:val="single" w:color="auto" w:sz="4" w:space="0"/>
              <w:left w:val="single" w:color="auto" w:sz="4" w:space="0"/>
              <w:bottom w:val="single" w:color="auto" w:sz="4" w:space="0"/>
              <w:right w:val="single" w:color="auto" w:sz="4" w:space="0"/>
            </w:tcBorders>
            <w:noWrap/>
          </w:tcPr>
          <w:p w14:paraId="2CAF5E79">
            <w:pPr>
              <w:pStyle w:val="445"/>
              <w:rPr>
                <w:rFonts w:cs="Times New Roman"/>
                <w:kern w:val="0"/>
                <w:szCs w:val="20"/>
              </w:rPr>
            </w:pPr>
            <w:r>
              <w:rPr>
                <w:rFonts w:hint="eastAsia" w:cs="Times New Roman"/>
                <w:kern w:val="0"/>
                <w:szCs w:val="20"/>
              </w:rPr>
              <w:t>6.67</w:t>
            </w:r>
          </w:p>
        </w:tc>
        <w:tc>
          <w:tcPr>
            <w:tcW w:w="274" w:type="pct"/>
            <w:tcBorders>
              <w:top w:val="single" w:color="auto" w:sz="4" w:space="0"/>
              <w:left w:val="single" w:color="auto" w:sz="4" w:space="0"/>
              <w:bottom w:val="single" w:color="auto" w:sz="4" w:space="0"/>
              <w:right w:val="single" w:color="auto" w:sz="4" w:space="0"/>
            </w:tcBorders>
            <w:noWrap/>
          </w:tcPr>
          <w:p w14:paraId="5EC8137C">
            <w:pPr>
              <w:pStyle w:val="445"/>
              <w:rPr>
                <w:rFonts w:cs="Times New Roman"/>
                <w:kern w:val="0"/>
                <w:szCs w:val="20"/>
              </w:rPr>
            </w:pPr>
            <w:r>
              <w:rPr>
                <w:rFonts w:hint="eastAsia" w:cs="Times New Roman"/>
                <w:kern w:val="0"/>
                <w:szCs w:val="20"/>
              </w:rPr>
              <w:t>7.78</w:t>
            </w:r>
          </w:p>
        </w:tc>
        <w:tc>
          <w:tcPr>
            <w:tcW w:w="290" w:type="pct"/>
            <w:tcBorders>
              <w:top w:val="single" w:color="auto" w:sz="4" w:space="0"/>
              <w:left w:val="single" w:color="auto" w:sz="4" w:space="0"/>
              <w:bottom w:val="single" w:color="auto" w:sz="4" w:space="0"/>
              <w:right w:val="single" w:color="auto" w:sz="4" w:space="0"/>
            </w:tcBorders>
            <w:noWrap/>
          </w:tcPr>
          <w:p w14:paraId="3CA0707C">
            <w:pPr>
              <w:pStyle w:val="445"/>
              <w:rPr>
                <w:rFonts w:cs="Times New Roman"/>
                <w:kern w:val="0"/>
                <w:szCs w:val="20"/>
              </w:rPr>
            </w:pPr>
            <w:r>
              <w:rPr>
                <w:rFonts w:hint="eastAsia" w:cs="Times New Roman"/>
                <w:kern w:val="0"/>
                <w:szCs w:val="20"/>
              </w:rPr>
              <w:t>2.08</w:t>
            </w:r>
          </w:p>
        </w:tc>
        <w:tc>
          <w:tcPr>
            <w:tcW w:w="274" w:type="pct"/>
            <w:tcBorders>
              <w:top w:val="single" w:color="auto" w:sz="4" w:space="0"/>
              <w:left w:val="single" w:color="auto" w:sz="4" w:space="0"/>
              <w:bottom w:val="single" w:color="auto" w:sz="4" w:space="0"/>
              <w:right w:val="single" w:color="auto" w:sz="4" w:space="0"/>
            </w:tcBorders>
            <w:noWrap/>
          </w:tcPr>
          <w:p w14:paraId="72082939">
            <w:pPr>
              <w:pStyle w:val="445"/>
              <w:rPr>
                <w:rFonts w:cs="Times New Roman"/>
                <w:kern w:val="0"/>
                <w:szCs w:val="20"/>
              </w:rPr>
            </w:pPr>
            <w:r>
              <w:rPr>
                <w:rFonts w:hint="eastAsia" w:cs="Times New Roman"/>
                <w:kern w:val="0"/>
                <w:szCs w:val="20"/>
              </w:rPr>
              <w:t>1.81</w:t>
            </w:r>
          </w:p>
        </w:tc>
        <w:tc>
          <w:tcPr>
            <w:tcW w:w="274" w:type="pct"/>
            <w:tcBorders>
              <w:top w:val="single" w:color="auto" w:sz="4" w:space="0"/>
              <w:left w:val="single" w:color="auto" w:sz="4" w:space="0"/>
              <w:bottom w:val="single" w:color="auto" w:sz="4" w:space="0"/>
              <w:right w:val="single" w:color="auto" w:sz="4" w:space="0"/>
            </w:tcBorders>
            <w:noWrap/>
          </w:tcPr>
          <w:p w14:paraId="3E226A4A">
            <w:pPr>
              <w:pStyle w:val="445"/>
              <w:rPr>
                <w:rFonts w:cs="Times New Roman"/>
                <w:kern w:val="0"/>
                <w:szCs w:val="20"/>
              </w:rPr>
            </w:pPr>
            <w:r>
              <w:rPr>
                <w:rFonts w:hint="eastAsia" w:cs="Times New Roman"/>
                <w:kern w:val="0"/>
                <w:szCs w:val="20"/>
              </w:rPr>
              <w:t>2.92</w:t>
            </w:r>
          </w:p>
        </w:tc>
        <w:tc>
          <w:tcPr>
            <w:tcW w:w="268" w:type="pct"/>
            <w:tcBorders>
              <w:top w:val="single" w:color="auto" w:sz="4" w:space="0"/>
              <w:left w:val="single" w:color="auto" w:sz="4" w:space="0"/>
              <w:bottom w:val="single" w:color="auto" w:sz="4" w:space="0"/>
              <w:right w:val="nil"/>
            </w:tcBorders>
            <w:noWrap/>
          </w:tcPr>
          <w:p w14:paraId="49547904">
            <w:pPr>
              <w:pStyle w:val="445"/>
              <w:rPr>
                <w:rFonts w:cs="Times New Roman"/>
                <w:kern w:val="0"/>
                <w:szCs w:val="20"/>
              </w:rPr>
            </w:pPr>
            <w:r>
              <w:rPr>
                <w:rFonts w:hint="eastAsia" w:cs="Times New Roman"/>
                <w:kern w:val="0"/>
                <w:szCs w:val="20"/>
              </w:rPr>
              <w:t>0.14</w:t>
            </w:r>
          </w:p>
        </w:tc>
      </w:tr>
      <w:tr w14:paraId="36D76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25F6F3F2">
            <w:pPr>
              <w:pStyle w:val="445"/>
              <w:rPr>
                <w:rFonts w:cs="Times New Roman"/>
                <w:kern w:val="0"/>
                <w:szCs w:val="20"/>
              </w:rPr>
            </w:pPr>
            <w:r>
              <w:rPr>
                <w:rFonts w:cs="Times New Roman"/>
                <w:kern w:val="0"/>
                <w:szCs w:val="20"/>
              </w:rPr>
              <w:t>十月</w:t>
            </w:r>
          </w:p>
        </w:tc>
        <w:tc>
          <w:tcPr>
            <w:tcW w:w="274" w:type="pct"/>
            <w:tcBorders>
              <w:top w:val="single" w:color="auto" w:sz="4" w:space="0"/>
              <w:left w:val="single" w:color="auto" w:sz="4" w:space="0"/>
              <w:bottom w:val="single" w:color="auto" w:sz="4" w:space="0"/>
              <w:right w:val="single" w:color="auto" w:sz="4" w:space="0"/>
            </w:tcBorders>
            <w:noWrap/>
          </w:tcPr>
          <w:p w14:paraId="0DF95240">
            <w:pPr>
              <w:pStyle w:val="445"/>
              <w:rPr>
                <w:rFonts w:cs="Times New Roman"/>
                <w:kern w:val="0"/>
                <w:szCs w:val="20"/>
              </w:rPr>
            </w:pPr>
            <w:r>
              <w:rPr>
                <w:rFonts w:hint="eastAsia" w:cs="Times New Roman"/>
                <w:kern w:val="0"/>
                <w:szCs w:val="20"/>
              </w:rPr>
              <w:t>7.66</w:t>
            </w:r>
          </w:p>
        </w:tc>
        <w:tc>
          <w:tcPr>
            <w:tcW w:w="274" w:type="pct"/>
            <w:tcBorders>
              <w:top w:val="single" w:color="auto" w:sz="4" w:space="0"/>
              <w:left w:val="single" w:color="auto" w:sz="4" w:space="0"/>
              <w:bottom w:val="single" w:color="auto" w:sz="4" w:space="0"/>
              <w:right w:val="single" w:color="auto" w:sz="4" w:space="0"/>
            </w:tcBorders>
            <w:noWrap/>
          </w:tcPr>
          <w:p w14:paraId="30D511BB">
            <w:pPr>
              <w:pStyle w:val="445"/>
              <w:rPr>
                <w:rFonts w:cs="Times New Roman"/>
                <w:kern w:val="0"/>
                <w:szCs w:val="20"/>
              </w:rPr>
            </w:pPr>
            <w:r>
              <w:rPr>
                <w:rFonts w:hint="eastAsia" w:cs="Times New Roman"/>
                <w:kern w:val="0"/>
                <w:szCs w:val="20"/>
              </w:rPr>
              <w:t>6.18</w:t>
            </w:r>
          </w:p>
        </w:tc>
        <w:tc>
          <w:tcPr>
            <w:tcW w:w="273" w:type="pct"/>
            <w:tcBorders>
              <w:top w:val="single" w:color="auto" w:sz="4" w:space="0"/>
              <w:left w:val="single" w:color="auto" w:sz="4" w:space="0"/>
              <w:bottom w:val="single" w:color="auto" w:sz="4" w:space="0"/>
              <w:right w:val="single" w:color="auto" w:sz="4" w:space="0"/>
            </w:tcBorders>
            <w:noWrap/>
          </w:tcPr>
          <w:p w14:paraId="7915FA69">
            <w:pPr>
              <w:pStyle w:val="445"/>
              <w:rPr>
                <w:rFonts w:cs="Times New Roman"/>
                <w:kern w:val="0"/>
                <w:szCs w:val="20"/>
              </w:rPr>
            </w:pPr>
            <w:r>
              <w:rPr>
                <w:rFonts w:hint="eastAsia" w:cs="Times New Roman"/>
                <w:kern w:val="0"/>
                <w:szCs w:val="20"/>
              </w:rPr>
              <w:t>14.92</w:t>
            </w:r>
          </w:p>
        </w:tc>
        <w:tc>
          <w:tcPr>
            <w:tcW w:w="273" w:type="pct"/>
            <w:tcBorders>
              <w:top w:val="single" w:color="auto" w:sz="4" w:space="0"/>
              <w:left w:val="single" w:color="auto" w:sz="4" w:space="0"/>
              <w:bottom w:val="single" w:color="auto" w:sz="4" w:space="0"/>
              <w:right w:val="single" w:color="auto" w:sz="4" w:space="0"/>
            </w:tcBorders>
            <w:noWrap/>
          </w:tcPr>
          <w:p w14:paraId="5B349949">
            <w:pPr>
              <w:pStyle w:val="445"/>
              <w:rPr>
                <w:rFonts w:cs="Times New Roman"/>
                <w:kern w:val="0"/>
                <w:szCs w:val="20"/>
              </w:rPr>
            </w:pPr>
            <w:r>
              <w:rPr>
                <w:rFonts w:hint="eastAsia" w:cs="Times New Roman"/>
                <w:kern w:val="0"/>
                <w:szCs w:val="20"/>
              </w:rPr>
              <w:t>25.67</w:t>
            </w:r>
          </w:p>
        </w:tc>
        <w:tc>
          <w:tcPr>
            <w:tcW w:w="273" w:type="pct"/>
            <w:tcBorders>
              <w:top w:val="single" w:color="auto" w:sz="4" w:space="0"/>
              <w:left w:val="single" w:color="auto" w:sz="4" w:space="0"/>
              <w:bottom w:val="single" w:color="auto" w:sz="4" w:space="0"/>
              <w:right w:val="single" w:color="auto" w:sz="4" w:space="0"/>
            </w:tcBorders>
            <w:noWrap/>
          </w:tcPr>
          <w:p w14:paraId="0BE96B33">
            <w:pPr>
              <w:pStyle w:val="445"/>
              <w:rPr>
                <w:rFonts w:cs="Times New Roman"/>
                <w:kern w:val="0"/>
                <w:szCs w:val="20"/>
              </w:rPr>
            </w:pPr>
            <w:r>
              <w:rPr>
                <w:rFonts w:hint="eastAsia" w:cs="Times New Roman"/>
                <w:kern w:val="0"/>
                <w:szCs w:val="20"/>
              </w:rPr>
              <w:t>23.25</w:t>
            </w:r>
          </w:p>
        </w:tc>
        <w:tc>
          <w:tcPr>
            <w:tcW w:w="274" w:type="pct"/>
            <w:tcBorders>
              <w:top w:val="single" w:color="auto" w:sz="4" w:space="0"/>
              <w:left w:val="single" w:color="auto" w:sz="4" w:space="0"/>
              <w:bottom w:val="single" w:color="auto" w:sz="4" w:space="0"/>
              <w:right w:val="single" w:color="auto" w:sz="4" w:space="0"/>
            </w:tcBorders>
            <w:noWrap/>
          </w:tcPr>
          <w:p w14:paraId="14C249AA">
            <w:pPr>
              <w:pStyle w:val="445"/>
              <w:rPr>
                <w:rFonts w:cs="Times New Roman"/>
                <w:kern w:val="0"/>
                <w:szCs w:val="20"/>
              </w:rPr>
            </w:pPr>
            <w:r>
              <w:rPr>
                <w:rFonts w:hint="eastAsia" w:cs="Times New Roman"/>
                <w:kern w:val="0"/>
                <w:szCs w:val="20"/>
              </w:rPr>
              <w:t>5.38</w:t>
            </w:r>
          </w:p>
        </w:tc>
        <w:tc>
          <w:tcPr>
            <w:tcW w:w="274" w:type="pct"/>
            <w:tcBorders>
              <w:top w:val="single" w:color="auto" w:sz="4" w:space="0"/>
              <w:left w:val="single" w:color="auto" w:sz="4" w:space="0"/>
              <w:bottom w:val="single" w:color="auto" w:sz="4" w:space="0"/>
              <w:right w:val="single" w:color="auto" w:sz="4" w:space="0"/>
            </w:tcBorders>
            <w:noWrap/>
          </w:tcPr>
          <w:p w14:paraId="7C90B2D4">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5629786F">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0FFE1943">
            <w:pPr>
              <w:pStyle w:val="445"/>
              <w:rPr>
                <w:rFonts w:cs="Times New Roman"/>
                <w:kern w:val="0"/>
                <w:szCs w:val="20"/>
              </w:rPr>
            </w:pPr>
            <w:r>
              <w:rPr>
                <w:rFonts w:hint="eastAsia" w:cs="Times New Roman"/>
                <w:kern w:val="0"/>
                <w:szCs w:val="20"/>
              </w:rPr>
              <w:t>2.02</w:t>
            </w:r>
          </w:p>
        </w:tc>
        <w:tc>
          <w:tcPr>
            <w:tcW w:w="274" w:type="pct"/>
            <w:tcBorders>
              <w:top w:val="single" w:color="auto" w:sz="4" w:space="0"/>
              <w:left w:val="single" w:color="auto" w:sz="4" w:space="0"/>
              <w:bottom w:val="single" w:color="auto" w:sz="4" w:space="0"/>
              <w:right w:val="single" w:color="auto" w:sz="4" w:space="0"/>
            </w:tcBorders>
            <w:noWrap/>
          </w:tcPr>
          <w:p w14:paraId="221BD823">
            <w:pPr>
              <w:pStyle w:val="445"/>
              <w:rPr>
                <w:rFonts w:cs="Times New Roman"/>
                <w:kern w:val="0"/>
                <w:szCs w:val="20"/>
              </w:rPr>
            </w:pPr>
            <w:r>
              <w:rPr>
                <w:rFonts w:hint="eastAsia" w:cs="Times New Roman"/>
                <w:kern w:val="0"/>
                <w:szCs w:val="20"/>
              </w:rPr>
              <w:t>2.02</w:t>
            </w:r>
          </w:p>
        </w:tc>
        <w:tc>
          <w:tcPr>
            <w:tcW w:w="274" w:type="pct"/>
            <w:tcBorders>
              <w:top w:val="single" w:color="auto" w:sz="4" w:space="0"/>
              <w:left w:val="single" w:color="auto" w:sz="4" w:space="0"/>
              <w:bottom w:val="single" w:color="auto" w:sz="4" w:space="0"/>
              <w:right w:val="single" w:color="auto" w:sz="4" w:space="0"/>
            </w:tcBorders>
            <w:noWrap/>
          </w:tcPr>
          <w:p w14:paraId="213F846B">
            <w:pPr>
              <w:pStyle w:val="445"/>
              <w:rPr>
                <w:rFonts w:cs="Times New Roman"/>
                <w:kern w:val="0"/>
                <w:szCs w:val="20"/>
              </w:rPr>
            </w:pPr>
            <w:r>
              <w:rPr>
                <w:rFonts w:hint="eastAsia" w:cs="Times New Roman"/>
                <w:kern w:val="0"/>
                <w:szCs w:val="20"/>
              </w:rPr>
              <w:t>1.34</w:t>
            </w:r>
          </w:p>
        </w:tc>
        <w:tc>
          <w:tcPr>
            <w:tcW w:w="276" w:type="pct"/>
            <w:tcBorders>
              <w:top w:val="single" w:color="auto" w:sz="4" w:space="0"/>
              <w:left w:val="single" w:color="auto" w:sz="4" w:space="0"/>
              <w:bottom w:val="single" w:color="auto" w:sz="4" w:space="0"/>
              <w:right w:val="single" w:color="auto" w:sz="4" w:space="0"/>
            </w:tcBorders>
            <w:noWrap/>
          </w:tcPr>
          <w:p w14:paraId="1CC7BE36">
            <w:pPr>
              <w:pStyle w:val="445"/>
              <w:rPr>
                <w:rFonts w:cs="Times New Roman"/>
                <w:kern w:val="0"/>
                <w:szCs w:val="20"/>
              </w:rPr>
            </w:pPr>
            <w:r>
              <w:rPr>
                <w:rFonts w:hint="eastAsia" w:cs="Times New Roman"/>
                <w:kern w:val="0"/>
                <w:szCs w:val="20"/>
              </w:rPr>
              <w:t>1.61</w:t>
            </w:r>
          </w:p>
        </w:tc>
        <w:tc>
          <w:tcPr>
            <w:tcW w:w="274" w:type="pct"/>
            <w:tcBorders>
              <w:top w:val="single" w:color="auto" w:sz="4" w:space="0"/>
              <w:left w:val="single" w:color="auto" w:sz="4" w:space="0"/>
              <w:bottom w:val="single" w:color="auto" w:sz="4" w:space="0"/>
              <w:right w:val="single" w:color="auto" w:sz="4" w:space="0"/>
            </w:tcBorders>
            <w:noWrap/>
          </w:tcPr>
          <w:p w14:paraId="35D8E014">
            <w:pPr>
              <w:pStyle w:val="445"/>
              <w:rPr>
                <w:rFonts w:cs="Times New Roman"/>
                <w:kern w:val="0"/>
                <w:szCs w:val="20"/>
              </w:rPr>
            </w:pPr>
            <w:r>
              <w:rPr>
                <w:rFonts w:hint="eastAsia" w:cs="Times New Roman"/>
                <w:kern w:val="0"/>
                <w:szCs w:val="20"/>
              </w:rPr>
              <w:t>1.48</w:t>
            </w:r>
          </w:p>
        </w:tc>
        <w:tc>
          <w:tcPr>
            <w:tcW w:w="290" w:type="pct"/>
            <w:tcBorders>
              <w:top w:val="single" w:color="auto" w:sz="4" w:space="0"/>
              <w:left w:val="single" w:color="auto" w:sz="4" w:space="0"/>
              <w:bottom w:val="single" w:color="auto" w:sz="4" w:space="0"/>
              <w:right w:val="single" w:color="auto" w:sz="4" w:space="0"/>
            </w:tcBorders>
            <w:noWrap/>
          </w:tcPr>
          <w:p w14:paraId="5C193D86">
            <w:pPr>
              <w:pStyle w:val="445"/>
              <w:rPr>
                <w:rFonts w:cs="Times New Roman"/>
                <w:kern w:val="0"/>
                <w:szCs w:val="20"/>
              </w:rPr>
            </w:pPr>
            <w:r>
              <w:rPr>
                <w:rFonts w:hint="eastAsia" w:cs="Times New Roman"/>
                <w:kern w:val="0"/>
                <w:szCs w:val="20"/>
              </w:rPr>
              <w:t>1.08</w:t>
            </w:r>
          </w:p>
        </w:tc>
        <w:tc>
          <w:tcPr>
            <w:tcW w:w="274" w:type="pct"/>
            <w:tcBorders>
              <w:top w:val="single" w:color="auto" w:sz="4" w:space="0"/>
              <w:left w:val="single" w:color="auto" w:sz="4" w:space="0"/>
              <w:bottom w:val="single" w:color="auto" w:sz="4" w:space="0"/>
              <w:right w:val="single" w:color="auto" w:sz="4" w:space="0"/>
            </w:tcBorders>
            <w:noWrap/>
          </w:tcPr>
          <w:p w14:paraId="4F5A2AD9">
            <w:pPr>
              <w:pStyle w:val="445"/>
              <w:rPr>
                <w:rFonts w:cs="Times New Roman"/>
                <w:kern w:val="0"/>
                <w:szCs w:val="20"/>
              </w:rPr>
            </w:pPr>
            <w:r>
              <w:rPr>
                <w:rFonts w:hint="eastAsia" w:cs="Times New Roman"/>
                <w:kern w:val="0"/>
                <w:szCs w:val="20"/>
              </w:rPr>
              <w:t>1.21</w:t>
            </w:r>
          </w:p>
        </w:tc>
        <w:tc>
          <w:tcPr>
            <w:tcW w:w="274" w:type="pct"/>
            <w:tcBorders>
              <w:top w:val="single" w:color="auto" w:sz="4" w:space="0"/>
              <w:left w:val="single" w:color="auto" w:sz="4" w:space="0"/>
              <w:bottom w:val="single" w:color="auto" w:sz="4" w:space="0"/>
              <w:right w:val="single" w:color="auto" w:sz="4" w:space="0"/>
            </w:tcBorders>
            <w:noWrap/>
          </w:tcPr>
          <w:p w14:paraId="512AB99F">
            <w:pPr>
              <w:pStyle w:val="445"/>
              <w:rPr>
                <w:rFonts w:cs="Times New Roman"/>
                <w:kern w:val="0"/>
                <w:szCs w:val="20"/>
              </w:rPr>
            </w:pPr>
            <w:r>
              <w:rPr>
                <w:rFonts w:hint="eastAsia" w:cs="Times New Roman"/>
                <w:kern w:val="0"/>
                <w:szCs w:val="20"/>
              </w:rPr>
              <w:t>2.42</w:t>
            </w:r>
          </w:p>
        </w:tc>
        <w:tc>
          <w:tcPr>
            <w:tcW w:w="268" w:type="pct"/>
            <w:tcBorders>
              <w:top w:val="single" w:color="auto" w:sz="4" w:space="0"/>
              <w:left w:val="single" w:color="auto" w:sz="4" w:space="0"/>
              <w:bottom w:val="single" w:color="auto" w:sz="4" w:space="0"/>
              <w:right w:val="nil"/>
            </w:tcBorders>
            <w:noWrap/>
          </w:tcPr>
          <w:p w14:paraId="6F1FED17">
            <w:pPr>
              <w:pStyle w:val="445"/>
              <w:rPr>
                <w:rFonts w:cs="Times New Roman"/>
                <w:kern w:val="0"/>
                <w:szCs w:val="20"/>
              </w:rPr>
            </w:pPr>
            <w:r>
              <w:rPr>
                <w:rFonts w:hint="eastAsia" w:cs="Times New Roman"/>
                <w:kern w:val="0"/>
                <w:szCs w:val="20"/>
              </w:rPr>
              <w:t>0.27</w:t>
            </w:r>
          </w:p>
        </w:tc>
      </w:tr>
      <w:tr w14:paraId="6F76F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019112A2">
            <w:pPr>
              <w:pStyle w:val="445"/>
              <w:rPr>
                <w:rFonts w:cs="Times New Roman"/>
                <w:kern w:val="0"/>
                <w:szCs w:val="20"/>
              </w:rPr>
            </w:pPr>
            <w:r>
              <w:rPr>
                <w:rFonts w:cs="Times New Roman"/>
                <w:kern w:val="0"/>
                <w:szCs w:val="20"/>
              </w:rPr>
              <w:t>十一月</w:t>
            </w:r>
          </w:p>
        </w:tc>
        <w:tc>
          <w:tcPr>
            <w:tcW w:w="274" w:type="pct"/>
            <w:tcBorders>
              <w:top w:val="single" w:color="auto" w:sz="4" w:space="0"/>
              <w:left w:val="single" w:color="auto" w:sz="4" w:space="0"/>
              <w:bottom w:val="single" w:color="auto" w:sz="4" w:space="0"/>
              <w:right w:val="single" w:color="auto" w:sz="4" w:space="0"/>
            </w:tcBorders>
            <w:noWrap/>
          </w:tcPr>
          <w:p w14:paraId="358494BD">
            <w:pPr>
              <w:pStyle w:val="445"/>
              <w:rPr>
                <w:rFonts w:cs="Times New Roman"/>
                <w:kern w:val="0"/>
                <w:szCs w:val="20"/>
              </w:rPr>
            </w:pPr>
            <w:r>
              <w:rPr>
                <w:rFonts w:hint="eastAsia" w:cs="Times New Roman"/>
                <w:kern w:val="0"/>
                <w:szCs w:val="20"/>
              </w:rPr>
              <w:t>11.94</w:t>
            </w:r>
          </w:p>
        </w:tc>
        <w:tc>
          <w:tcPr>
            <w:tcW w:w="274" w:type="pct"/>
            <w:tcBorders>
              <w:top w:val="single" w:color="auto" w:sz="4" w:space="0"/>
              <w:left w:val="single" w:color="auto" w:sz="4" w:space="0"/>
              <w:bottom w:val="single" w:color="auto" w:sz="4" w:space="0"/>
              <w:right w:val="single" w:color="auto" w:sz="4" w:space="0"/>
            </w:tcBorders>
            <w:noWrap/>
          </w:tcPr>
          <w:p w14:paraId="3A4ADFDE">
            <w:pPr>
              <w:pStyle w:val="445"/>
              <w:rPr>
                <w:rFonts w:cs="Times New Roman"/>
                <w:kern w:val="0"/>
                <w:szCs w:val="20"/>
              </w:rPr>
            </w:pPr>
            <w:r>
              <w:rPr>
                <w:rFonts w:hint="eastAsia" w:cs="Times New Roman"/>
                <w:kern w:val="0"/>
                <w:szCs w:val="20"/>
              </w:rPr>
              <w:t>6.25</w:t>
            </w:r>
          </w:p>
        </w:tc>
        <w:tc>
          <w:tcPr>
            <w:tcW w:w="273" w:type="pct"/>
            <w:tcBorders>
              <w:top w:val="single" w:color="auto" w:sz="4" w:space="0"/>
              <w:left w:val="single" w:color="auto" w:sz="4" w:space="0"/>
              <w:bottom w:val="single" w:color="auto" w:sz="4" w:space="0"/>
              <w:right w:val="single" w:color="auto" w:sz="4" w:space="0"/>
            </w:tcBorders>
            <w:noWrap/>
          </w:tcPr>
          <w:p w14:paraId="657B1858">
            <w:pPr>
              <w:pStyle w:val="445"/>
              <w:rPr>
                <w:rFonts w:cs="Times New Roman"/>
                <w:kern w:val="0"/>
                <w:szCs w:val="20"/>
              </w:rPr>
            </w:pPr>
            <w:r>
              <w:rPr>
                <w:rFonts w:hint="eastAsia" w:cs="Times New Roman"/>
                <w:kern w:val="0"/>
                <w:szCs w:val="20"/>
              </w:rPr>
              <w:t>10.56</w:t>
            </w:r>
          </w:p>
        </w:tc>
        <w:tc>
          <w:tcPr>
            <w:tcW w:w="273" w:type="pct"/>
            <w:tcBorders>
              <w:top w:val="single" w:color="auto" w:sz="4" w:space="0"/>
              <w:left w:val="single" w:color="auto" w:sz="4" w:space="0"/>
              <w:bottom w:val="single" w:color="auto" w:sz="4" w:space="0"/>
              <w:right w:val="single" w:color="auto" w:sz="4" w:space="0"/>
            </w:tcBorders>
            <w:noWrap/>
          </w:tcPr>
          <w:p w14:paraId="3E61D9DC">
            <w:pPr>
              <w:pStyle w:val="445"/>
              <w:rPr>
                <w:rFonts w:cs="Times New Roman"/>
                <w:kern w:val="0"/>
                <w:szCs w:val="20"/>
              </w:rPr>
            </w:pPr>
            <w:r>
              <w:rPr>
                <w:rFonts w:hint="eastAsia" w:cs="Times New Roman"/>
                <w:kern w:val="0"/>
                <w:szCs w:val="20"/>
              </w:rPr>
              <w:t>19.17</w:t>
            </w:r>
          </w:p>
        </w:tc>
        <w:tc>
          <w:tcPr>
            <w:tcW w:w="273" w:type="pct"/>
            <w:tcBorders>
              <w:top w:val="single" w:color="auto" w:sz="4" w:space="0"/>
              <w:left w:val="single" w:color="auto" w:sz="4" w:space="0"/>
              <w:bottom w:val="single" w:color="auto" w:sz="4" w:space="0"/>
              <w:right w:val="single" w:color="auto" w:sz="4" w:space="0"/>
            </w:tcBorders>
            <w:noWrap/>
          </w:tcPr>
          <w:p w14:paraId="4AEFAA5B">
            <w:pPr>
              <w:pStyle w:val="445"/>
              <w:rPr>
                <w:rFonts w:cs="Times New Roman"/>
                <w:kern w:val="0"/>
                <w:szCs w:val="20"/>
              </w:rPr>
            </w:pPr>
            <w:r>
              <w:rPr>
                <w:rFonts w:hint="eastAsia" w:cs="Times New Roman"/>
                <w:kern w:val="0"/>
                <w:szCs w:val="20"/>
              </w:rPr>
              <w:t>20.42</w:t>
            </w:r>
          </w:p>
        </w:tc>
        <w:tc>
          <w:tcPr>
            <w:tcW w:w="274" w:type="pct"/>
            <w:tcBorders>
              <w:top w:val="single" w:color="auto" w:sz="4" w:space="0"/>
              <w:left w:val="single" w:color="auto" w:sz="4" w:space="0"/>
              <w:bottom w:val="single" w:color="auto" w:sz="4" w:space="0"/>
              <w:right w:val="single" w:color="auto" w:sz="4" w:space="0"/>
            </w:tcBorders>
            <w:noWrap/>
          </w:tcPr>
          <w:p w14:paraId="6767524D">
            <w:pPr>
              <w:pStyle w:val="445"/>
              <w:rPr>
                <w:rFonts w:cs="Times New Roman"/>
                <w:kern w:val="0"/>
                <w:szCs w:val="20"/>
              </w:rPr>
            </w:pPr>
            <w:r>
              <w:rPr>
                <w:rFonts w:hint="eastAsia" w:cs="Times New Roman"/>
                <w:kern w:val="0"/>
                <w:szCs w:val="20"/>
              </w:rPr>
              <w:t>6.53</w:t>
            </w:r>
          </w:p>
        </w:tc>
        <w:tc>
          <w:tcPr>
            <w:tcW w:w="274" w:type="pct"/>
            <w:tcBorders>
              <w:top w:val="single" w:color="auto" w:sz="4" w:space="0"/>
              <w:left w:val="single" w:color="auto" w:sz="4" w:space="0"/>
              <w:bottom w:val="single" w:color="auto" w:sz="4" w:space="0"/>
              <w:right w:val="single" w:color="auto" w:sz="4" w:space="0"/>
            </w:tcBorders>
            <w:noWrap/>
          </w:tcPr>
          <w:p w14:paraId="01CD4DBC">
            <w:pPr>
              <w:pStyle w:val="445"/>
              <w:rPr>
                <w:rFonts w:cs="Times New Roman"/>
                <w:kern w:val="0"/>
                <w:szCs w:val="20"/>
              </w:rPr>
            </w:pPr>
            <w:r>
              <w:rPr>
                <w:rFonts w:hint="eastAsia" w:cs="Times New Roman"/>
                <w:kern w:val="0"/>
                <w:szCs w:val="20"/>
              </w:rPr>
              <w:t>3.61</w:t>
            </w:r>
          </w:p>
        </w:tc>
        <w:tc>
          <w:tcPr>
            <w:tcW w:w="274" w:type="pct"/>
            <w:tcBorders>
              <w:top w:val="single" w:color="auto" w:sz="4" w:space="0"/>
              <w:left w:val="single" w:color="auto" w:sz="4" w:space="0"/>
              <w:bottom w:val="single" w:color="auto" w:sz="4" w:space="0"/>
              <w:right w:val="single" w:color="auto" w:sz="4" w:space="0"/>
            </w:tcBorders>
            <w:noWrap/>
          </w:tcPr>
          <w:p w14:paraId="3C2BDF24">
            <w:pPr>
              <w:pStyle w:val="445"/>
              <w:rPr>
                <w:rFonts w:cs="Times New Roman"/>
                <w:kern w:val="0"/>
                <w:szCs w:val="20"/>
              </w:rPr>
            </w:pPr>
            <w:r>
              <w:rPr>
                <w:rFonts w:hint="eastAsia" w:cs="Times New Roman"/>
                <w:kern w:val="0"/>
                <w:szCs w:val="20"/>
              </w:rPr>
              <w:t>1.67</w:t>
            </w:r>
          </w:p>
        </w:tc>
        <w:tc>
          <w:tcPr>
            <w:tcW w:w="274" w:type="pct"/>
            <w:tcBorders>
              <w:top w:val="single" w:color="auto" w:sz="4" w:space="0"/>
              <w:left w:val="single" w:color="auto" w:sz="4" w:space="0"/>
              <w:bottom w:val="single" w:color="auto" w:sz="4" w:space="0"/>
              <w:right w:val="single" w:color="auto" w:sz="4" w:space="0"/>
            </w:tcBorders>
            <w:noWrap/>
          </w:tcPr>
          <w:p w14:paraId="7A1C4A9C">
            <w:pPr>
              <w:pStyle w:val="445"/>
              <w:rPr>
                <w:rFonts w:cs="Times New Roman"/>
                <w:kern w:val="0"/>
                <w:szCs w:val="20"/>
              </w:rPr>
            </w:pPr>
            <w:r>
              <w:rPr>
                <w:rFonts w:hint="eastAsia" w:cs="Times New Roman"/>
                <w:kern w:val="0"/>
                <w:szCs w:val="20"/>
              </w:rPr>
              <w:t>1.81</w:t>
            </w:r>
          </w:p>
        </w:tc>
        <w:tc>
          <w:tcPr>
            <w:tcW w:w="274" w:type="pct"/>
            <w:tcBorders>
              <w:top w:val="single" w:color="auto" w:sz="4" w:space="0"/>
              <w:left w:val="single" w:color="auto" w:sz="4" w:space="0"/>
              <w:bottom w:val="single" w:color="auto" w:sz="4" w:space="0"/>
              <w:right w:val="single" w:color="auto" w:sz="4" w:space="0"/>
            </w:tcBorders>
            <w:noWrap/>
          </w:tcPr>
          <w:p w14:paraId="2A672E0C">
            <w:pPr>
              <w:pStyle w:val="445"/>
              <w:rPr>
                <w:rFonts w:cs="Times New Roman"/>
                <w:kern w:val="0"/>
                <w:szCs w:val="20"/>
              </w:rPr>
            </w:pPr>
            <w:r>
              <w:rPr>
                <w:rFonts w:hint="eastAsia" w:cs="Times New Roman"/>
                <w:kern w:val="0"/>
                <w:szCs w:val="20"/>
              </w:rPr>
              <w:t>0.97</w:t>
            </w:r>
          </w:p>
        </w:tc>
        <w:tc>
          <w:tcPr>
            <w:tcW w:w="274" w:type="pct"/>
            <w:tcBorders>
              <w:top w:val="single" w:color="auto" w:sz="4" w:space="0"/>
              <w:left w:val="single" w:color="auto" w:sz="4" w:space="0"/>
              <w:bottom w:val="single" w:color="auto" w:sz="4" w:space="0"/>
              <w:right w:val="single" w:color="auto" w:sz="4" w:space="0"/>
            </w:tcBorders>
            <w:noWrap/>
          </w:tcPr>
          <w:p w14:paraId="535E4113">
            <w:pPr>
              <w:pStyle w:val="445"/>
              <w:rPr>
                <w:rFonts w:cs="Times New Roman"/>
                <w:kern w:val="0"/>
                <w:szCs w:val="20"/>
              </w:rPr>
            </w:pPr>
            <w:r>
              <w:rPr>
                <w:rFonts w:hint="eastAsia" w:cs="Times New Roman"/>
                <w:kern w:val="0"/>
                <w:szCs w:val="20"/>
              </w:rPr>
              <w:t>0.69</w:t>
            </w:r>
          </w:p>
        </w:tc>
        <w:tc>
          <w:tcPr>
            <w:tcW w:w="276" w:type="pct"/>
            <w:tcBorders>
              <w:top w:val="single" w:color="auto" w:sz="4" w:space="0"/>
              <w:left w:val="single" w:color="auto" w:sz="4" w:space="0"/>
              <w:bottom w:val="single" w:color="auto" w:sz="4" w:space="0"/>
              <w:right w:val="single" w:color="auto" w:sz="4" w:space="0"/>
            </w:tcBorders>
            <w:noWrap/>
          </w:tcPr>
          <w:p w14:paraId="61F35103">
            <w:pPr>
              <w:pStyle w:val="445"/>
              <w:rPr>
                <w:rFonts w:cs="Times New Roman"/>
                <w:kern w:val="0"/>
                <w:szCs w:val="20"/>
              </w:rPr>
            </w:pPr>
            <w:r>
              <w:rPr>
                <w:rFonts w:hint="eastAsia" w:cs="Times New Roman"/>
                <w:kern w:val="0"/>
                <w:szCs w:val="20"/>
              </w:rPr>
              <w:t>1.81</w:t>
            </w:r>
          </w:p>
        </w:tc>
        <w:tc>
          <w:tcPr>
            <w:tcW w:w="274" w:type="pct"/>
            <w:tcBorders>
              <w:top w:val="single" w:color="auto" w:sz="4" w:space="0"/>
              <w:left w:val="single" w:color="auto" w:sz="4" w:space="0"/>
              <w:bottom w:val="single" w:color="auto" w:sz="4" w:space="0"/>
              <w:right w:val="single" w:color="auto" w:sz="4" w:space="0"/>
            </w:tcBorders>
            <w:noWrap/>
          </w:tcPr>
          <w:p w14:paraId="4E77DB7F">
            <w:pPr>
              <w:pStyle w:val="445"/>
              <w:rPr>
                <w:rFonts w:cs="Times New Roman"/>
                <w:kern w:val="0"/>
                <w:szCs w:val="20"/>
              </w:rPr>
            </w:pPr>
            <w:r>
              <w:rPr>
                <w:rFonts w:hint="eastAsia" w:cs="Times New Roman"/>
                <w:kern w:val="0"/>
                <w:szCs w:val="20"/>
              </w:rPr>
              <w:t>6.81</w:t>
            </w:r>
          </w:p>
        </w:tc>
        <w:tc>
          <w:tcPr>
            <w:tcW w:w="290" w:type="pct"/>
            <w:tcBorders>
              <w:top w:val="single" w:color="auto" w:sz="4" w:space="0"/>
              <w:left w:val="single" w:color="auto" w:sz="4" w:space="0"/>
              <w:bottom w:val="single" w:color="auto" w:sz="4" w:space="0"/>
              <w:right w:val="single" w:color="auto" w:sz="4" w:space="0"/>
            </w:tcBorders>
            <w:noWrap/>
          </w:tcPr>
          <w:p w14:paraId="672C7731">
            <w:pPr>
              <w:pStyle w:val="445"/>
              <w:rPr>
                <w:rFonts w:cs="Times New Roman"/>
                <w:kern w:val="0"/>
                <w:szCs w:val="20"/>
              </w:rPr>
            </w:pPr>
            <w:r>
              <w:rPr>
                <w:rFonts w:hint="eastAsia" w:cs="Times New Roman"/>
                <w:kern w:val="0"/>
                <w:szCs w:val="20"/>
              </w:rPr>
              <w:t>3.19</w:t>
            </w:r>
          </w:p>
        </w:tc>
        <w:tc>
          <w:tcPr>
            <w:tcW w:w="274" w:type="pct"/>
            <w:tcBorders>
              <w:top w:val="single" w:color="auto" w:sz="4" w:space="0"/>
              <w:left w:val="single" w:color="auto" w:sz="4" w:space="0"/>
              <w:bottom w:val="single" w:color="auto" w:sz="4" w:space="0"/>
              <w:right w:val="single" w:color="auto" w:sz="4" w:space="0"/>
            </w:tcBorders>
            <w:noWrap/>
          </w:tcPr>
          <w:p w14:paraId="2FE58DC2">
            <w:pPr>
              <w:pStyle w:val="445"/>
              <w:rPr>
                <w:rFonts w:cs="Times New Roman"/>
                <w:kern w:val="0"/>
                <w:szCs w:val="20"/>
              </w:rPr>
            </w:pPr>
            <w:r>
              <w:rPr>
                <w:rFonts w:hint="eastAsia" w:cs="Times New Roman"/>
                <w:kern w:val="0"/>
                <w:szCs w:val="20"/>
              </w:rPr>
              <w:t>1.11</w:t>
            </w:r>
          </w:p>
        </w:tc>
        <w:tc>
          <w:tcPr>
            <w:tcW w:w="274" w:type="pct"/>
            <w:tcBorders>
              <w:top w:val="single" w:color="auto" w:sz="4" w:space="0"/>
              <w:left w:val="single" w:color="auto" w:sz="4" w:space="0"/>
              <w:bottom w:val="single" w:color="auto" w:sz="4" w:space="0"/>
              <w:right w:val="single" w:color="auto" w:sz="4" w:space="0"/>
            </w:tcBorders>
            <w:noWrap/>
          </w:tcPr>
          <w:p w14:paraId="147C2817">
            <w:pPr>
              <w:pStyle w:val="445"/>
              <w:rPr>
                <w:rFonts w:cs="Times New Roman"/>
                <w:kern w:val="0"/>
                <w:szCs w:val="20"/>
              </w:rPr>
            </w:pPr>
            <w:r>
              <w:rPr>
                <w:rFonts w:hint="eastAsia" w:cs="Times New Roman"/>
                <w:kern w:val="0"/>
                <w:szCs w:val="20"/>
              </w:rPr>
              <w:t>2.78</w:t>
            </w:r>
          </w:p>
        </w:tc>
        <w:tc>
          <w:tcPr>
            <w:tcW w:w="268" w:type="pct"/>
            <w:tcBorders>
              <w:top w:val="single" w:color="auto" w:sz="4" w:space="0"/>
              <w:left w:val="single" w:color="auto" w:sz="4" w:space="0"/>
              <w:bottom w:val="single" w:color="auto" w:sz="4" w:space="0"/>
              <w:right w:val="nil"/>
            </w:tcBorders>
            <w:noWrap/>
          </w:tcPr>
          <w:p w14:paraId="7A1AC14F">
            <w:pPr>
              <w:pStyle w:val="445"/>
              <w:rPr>
                <w:rFonts w:cs="Times New Roman"/>
                <w:kern w:val="0"/>
                <w:szCs w:val="20"/>
              </w:rPr>
            </w:pPr>
            <w:r>
              <w:rPr>
                <w:rFonts w:hint="eastAsia" w:cs="Times New Roman"/>
                <w:kern w:val="0"/>
                <w:szCs w:val="20"/>
              </w:rPr>
              <w:t>0.69</w:t>
            </w:r>
          </w:p>
        </w:tc>
      </w:tr>
      <w:tr w14:paraId="65303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418BD5D6">
            <w:pPr>
              <w:pStyle w:val="445"/>
              <w:rPr>
                <w:rFonts w:cs="Times New Roman"/>
                <w:kern w:val="0"/>
                <w:szCs w:val="20"/>
              </w:rPr>
            </w:pPr>
            <w:r>
              <w:rPr>
                <w:rFonts w:cs="Times New Roman"/>
                <w:kern w:val="0"/>
                <w:szCs w:val="20"/>
              </w:rPr>
              <w:t>十二月</w:t>
            </w:r>
          </w:p>
        </w:tc>
        <w:tc>
          <w:tcPr>
            <w:tcW w:w="274" w:type="pct"/>
            <w:tcBorders>
              <w:top w:val="single" w:color="auto" w:sz="4" w:space="0"/>
              <w:left w:val="single" w:color="auto" w:sz="4" w:space="0"/>
              <w:bottom w:val="single" w:color="auto" w:sz="4" w:space="0"/>
              <w:right w:val="single" w:color="auto" w:sz="4" w:space="0"/>
            </w:tcBorders>
            <w:noWrap/>
          </w:tcPr>
          <w:p w14:paraId="2C973D4C">
            <w:pPr>
              <w:pStyle w:val="445"/>
              <w:rPr>
                <w:rFonts w:cs="Times New Roman"/>
                <w:kern w:val="0"/>
                <w:szCs w:val="20"/>
              </w:rPr>
            </w:pPr>
            <w:r>
              <w:rPr>
                <w:rFonts w:hint="eastAsia" w:cs="Times New Roman"/>
                <w:kern w:val="0"/>
                <w:szCs w:val="20"/>
              </w:rPr>
              <w:t>13.84</w:t>
            </w:r>
          </w:p>
        </w:tc>
        <w:tc>
          <w:tcPr>
            <w:tcW w:w="274" w:type="pct"/>
            <w:tcBorders>
              <w:top w:val="single" w:color="auto" w:sz="4" w:space="0"/>
              <w:left w:val="single" w:color="auto" w:sz="4" w:space="0"/>
              <w:bottom w:val="single" w:color="auto" w:sz="4" w:space="0"/>
              <w:right w:val="single" w:color="auto" w:sz="4" w:space="0"/>
            </w:tcBorders>
            <w:noWrap/>
          </w:tcPr>
          <w:p w14:paraId="41175C2F">
            <w:pPr>
              <w:pStyle w:val="445"/>
              <w:rPr>
                <w:rFonts w:cs="Times New Roman"/>
                <w:kern w:val="0"/>
                <w:szCs w:val="20"/>
              </w:rPr>
            </w:pPr>
            <w:r>
              <w:rPr>
                <w:rFonts w:hint="eastAsia" w:cs="Times New Roman"/>
                <w:kern w:val="0"/>
                <w:szCs w:val="20"/>
              </w:rPr>
              <w:t>6.72</w:t>
            </w:r>
          </w:p>
        </w:tc>
        <w:tc>
          <w:tcPr>
            <w:tcW w:w="273" w:type="pct"/>
            <w:tcBorders>
              <w:top w:val="single" w:color="auto" w:sz="4" w:space="0"/>
              <w:left w:val="single" w:color="auto" w:sz="4" w:space="0"/>
              <w:bottom w:val="single" w:color="auto" w:sz="4" w:space="0"/>
              <w:right w:val="single" w:color="auto" w:sz="4" w:space="0"/>
            </w:tcBorders>
            <w:noWrap/>
          </w:tcPr>
          <w:p w14:paraId="38384D2B">
            <w:pPr>
              <w:pStyle w:val="445"/>
              <w:rPr>
                <w:rFonts w:cs="Times New Roman"/>
                <w:kern w:val="0"/>
                <w:szCs w:val="20"/>
              </w:rPr>
            </w:pPr>
            <w:r>
              <w:rPr>
                <w:rFonts w:hint="eastAsia" w:cs="Times New Roman"/>
                <w:kern w:val="0"/>
                <w:szCs w:val="20"/>
              </w:rPr>
              <w:t>9.01</w:t>
            </w:r>
          </w:p>
        </w:tc>
        <w:tc>
          <w:tcPr>
            <w:tcW w:w="273" w:type="pct"/>
            <w:tcBorders>
              <w:top w:val="single" w:color="auto" w:sz="4" w:space="0"/>
              <w:left w:val="single" w:color="auto" w:sz="4" w:space="0"/>
              <w:bottom w:val="single" w:color="auto" w:sz="4" w:space="0"/>
              <w:right w:val="single" w:color="auto" w:sz="4" w:space="0"/>
            </w:tcBorders>
            <w:noWrap/>
          </w:tcPr>
          <w:p w14:paraId="62F53925">
            <w:pPr>
              <w:pStyle w:val="445"/>
              <w:rPr>
                <w:rFonts w:cs="Times New Roman"/>
                <w:kern w:val="0"/>
                <w:szCs w:val="20"/>
              </w:rPr>
            </w:pPr>
            <w:r>
              <w:rPr>
                <w:rFonts w:hint="eastAsia" w:cs="Times New Roman"/>
                <w:kern w:val="0"/>
                <w:szCs w:val="20"/>
              </w:rPr>
              <w:t>14.38</w:t>
            </w:r>
          </w:p>
        </w:tc>
        <w:tc>
          <w:tcPr>
            <w:tcW w:w="273" w:type="pct"/>
            <w:tcBorders>
              <w:top w:val="single" w:color="auto" w:sz="4" w:space="0"/>
              <w:left w:val="single" w:color="auto" w:sz="4" w:space="0"/>
              <w:bottom w:val="single" w:color="auto" w:sz="4" w:space="0"/>
              <w:right w:val="single" w:color="auto" w:sz="4" w:space="0"/>
            </w:tcBorders>
            <w:noWrap/>
          </w:tcPr>
          <w:p w14:paraId="749E2810">
            <w:pPr>
              <w:pStyle w:val="445"/>
              <w:rPr>
                <w:rFonts w:cs="Times New Roman"/>
                <w:kern w:val="0"/>
                <w:szCs w:val="20"/>
              </w:rPr>
            </w:pPr>
            <w:r>
              <w:rPr>
                <w:rFonts w:hint="eastAsia" w:cs="Times New Roman"/>
                <w:kern w:val="0"/>
                <w:szCs w:val="20"/>
              </w:rPr>
              <w:t>15.86</w:t>
            </w:r>
          </w:p>
        </w:tc>
        <w:tc>
          <w:tcPr>
            <w:tcW w:w="274" w:type="pct"/>
            <w:tcBorders>
              <w:top w:val="single" w:color="auto" w:sz="4" w:space="0"/>
              <w:left w:val="single" w:color="auto" w:sz="4" w:space="0"/>
              <w:bottom w:val="single" w:color="auto" w:sz="4" w:space="0"/>
              <w:right w:val="single" w:color="auto" w:sz="4" w:space="0"/>
            </w:tcBorders>
            <w:noWrap/>
          </w:tcPr>
          <w:p w14:paraId="7273F608">
            <w:pPr>
              <w:pStyle w:val="445"/>
              <w:rPr>
                <w:rFonts w:cs="Times New Roman"/>
                <w:kern w:val="0"/>
                <w:szCs w:val="20"/>
              </w:rPr>
            </w:pPr>
            <w:r>
              <w:rPr>
                <w:rFonts w:hint="eastAsia" w:cs="Times New Roman"/>
                <w:kern w:val="0"/>
                <w:szCs w:val="20"/>
              </w:rPr>
              <w:t>2.82</w:t>
            </w:r>
          </w:p>
        </w:tc>
        <w:tc>
          <w:tcPr>
            <w:tcW w:w="274" w:type="pct"/>
            <w:tcBorders>
              <w:top w:val="single" w:color="auto" w:sz="4" w:space="0"/>
              <w:left w:val="single" w:color="auto" w:sz="4" w:space="0"/>
              <w:bottom w:val="single" w:color="auto" w:sz="4" w:space="0"/>
              <w:right w:val="single" w:color="auto" w:sz="4" w:space="0"/>
            </w:tcBorders>
            <w:noWrap/>
          </w:tcPr>
          <w:p w14:paraId="65B2736F">
            <w:pPr>
              <w:pStyle w:val="445"/>
              <w:rPr>
                <w:rFonts w:cs="Times New Roman"/>
                <w:kern w:val="0"/>
                <w:szCs w:val="20"/>
              </w:rPr>
            </w:pPr>
            <w:r>
              <w:rPr>
                <w:rFonts w:hint="eastAsia" w:cs="Times New Roman"/>
                <w:kern w:val="0"/>
                <w:szCs w:val="20"/>
              </w:rPr>
              <w:t>1.08</w:t>
            </w:r>
          </w:p>
        </w:tc>
        <w:tc>
          <w:tcPr>
            <w:tcW w:w="274" w:type="pct"/>
            <w:tcBorders>
              <w:top w:val="single" w:color="auto" w:sz="4" w:space="0"/>
              <w:left w:val="single" w:color="auto" w:sz="4" w:space="0"/>
              <w:bottom w:val="single" w:color="auto" w:sz="4" w:space="0"/>
              <w:right w:val="single" w:color="auto" w:sz="4" w:space="0"/>
            </w:tcBorders>
            <w:noWrap/>
          </w:tcPr>
          <w:p w14:paraId="0A036423">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3F253B07">
            <w:pPr>
              <w:pStyle w:val="445"/>
              <w:rPr>
                <w:rFonts w:cs="Times New Roman"/>
                <w:kern w:val="0"/>
                <w:szCs w:val="20"/>
              </w:rPr>
            </w:pPr>
            <w:r>
              <w:rPr>
                <w:rFonts w:hint="eastAsia" w:cs="Times New Roman"/>
                <w:kern w:val="0"/>
                <w:szCs w:val="20"/>
              </w:rPr>
              <w:t>3.63</w:t>
            </w:r>
          </w:p>
        </w:tc>
        <w:tc>
          <w:tcPr>
            <w:tcW w:w="274" w:type="pct"/>
            <w:tcBorders>
              <w:top w:val="single" w:color="auto" w:sz="4" w:space="0"/>
              <w:left w:val="single" w:color="auto" w:sz="4" w:space="0"/>
              <w:bottom w:val="single" w:color="auto" w:sz="4" w:space="0"/>
              <w:right w:val="single" w:color="auto" w:sz="4" w:space="0"/>
            </w:tcBorders>
            <w:noWrap/>
          </w:tcPr>
          <w:p w14:paraId="12564ABF">
            <w:pPr>
              <w:pStyle w:val="445"/>
              <w:rPr>
                <w:rFonts w:cs="Times New Roman"/>
                <w:kern w:val="0"/>
                <w:szCs w:val="20"/>
              </w:rPr>
            </w:pPr>
            <w:r>
              <w:rPr>
                <w:rFonts w:hint="eastAsia" w:cs="Times New Roman"/>
                <w:kern w:val="0"/>
                <w:szCs w:val="20"/>
              </w:rPr>
              <w:t>1.75</w:t>
            </w:r>
          </w:p>
        </w:tc>
        <w:tc>
          <w:tcPr>
            <w:tcW w:w="274" w:type="pct"/>
            <w:tcBorders>
              <w:top w:val="single" w:color="auto" w:sz="4" w:space="0"/>
              <w:left w:val="single" w:color="auto" w:sz="4" w:space="0"/>
              <w:bottom w:val="single" w:color="auto" w:sz="4" w:space="0"/>
              <w:right w:val="single" w:color="auto" w:sz="4" w:space="0"/>
            </w:tcBorders>
            <w:noWrap/>
          </w:tcPr>
          <w:p w14:paraId="137E34A4">
            <w:pPr>
              <w:pStyle w:val="445"/>
              <w:rPr>
                <w:rFonts w:cs="Times New Roman"/>
                <w:kern w:val="0"/>
                <w:szCs w:val="20"/>
              </w:rPr>
            </w:pPr>
            <w:r>
              <w:rPr>
                <w:rFonts w:hint="eastAsia" w:cs="Times New Roman"/>
                <w:kern w:val="0"/>
                <w:szCs w:val="20"/>
              </w:rPr>
              <w:t>2.82</w:t>
            </w:r>
          </w:p>
        </w:tc>
        <w:tc>
          <w:tcPr>
            <w:tcW w:w="276" w:type="pct"/>
            <w:tcBorders>
              <w:top w:val="single" w:color="auto" w:sz="4" w:space="0"/>
              <w:left w:val="single" w:color="auto" w:sz="4" w:space="0"/>
              <w:bottom w:val="single" w:color="auto" w:sz="4" w:space="0"/>
              <w:right w:val="single" w:color="auto" w:sz="4" w:space="0"/>
            </w:tcBorders>
            <w:noWrap/>
          </w:tcPr>
          <w:p w14:paraId="6BB63458">
            <w:pPr>
              <w:pStyle w:val="445"/>
              <w:rPr>
                <w:rFonts w:cs="Times New Roman"/>
                <w:kern w:val="0"/>
                <w:szCs w:val="20"/>
              </w:rPr>
            </w:pPr>
            <w:r>
              <w:rPr>
                <w:rFonts w:hint="eastAsia" w:cs="Times New Roman"/>
                <w:kern w:val="0"/>
                <w:szCs w:val="20"/>
              </w:rPr>
              <w:t>2.69</w:t>
            </w:r>
          </w:p>
        </w:tc>
        <w:tc>
          <w:tcPr>
            <w:tcW w:w="274" w:type="pct"/>
            <w:tcBorders>
              <w:top w:val="single" w:color="auto" w:sz="4" w:space="0"/>
              <w:left w:val="single" w:color="auto" w:sz="4" w:space="0"/>
              <w:bottom w:val="single" w:color="auto" w:sz="4" w:space="0"/>
              <w:right w:val="single" w:color="auto" w:sz="4" w:space="0"/>
            </w:tcBorders>
            <w:noWrap/>
          </w:tcPr>
          <w:p w14:paraId="4802F9B9">
            <w:pPr>
              <w:pStyle w:val="445"/>
              <w:rPr>
                <w:rFonts w:cs="Times New Roman"/>
                <w:kern w:val="0"/>
                <w:szCs w:val="20"/>
              </w:rPr>
            </w:pPr>
            <w:r>
              <w:rPr>
                <w:rFonts w:hint="eastAsia" w:cs="Times New Roman"/>
                <w:kern w:val="0"/>
                <w:szCs w:val="20"/>
              </w:rPr>
              <w:t>6.05</w:t>
            </w:r>
          </w:p>
        </w:tc>
        <w:tc>
          <w:tcPr>
            <w:tcW w:w="290" w:type="pct"/>
            <w:tcBorders>
              <w:top w:val="single" w:color="auto" w:sz="4" w:space="0"/>
              <w:left w:val="single" w:color="auto" w:sz="4" w:space="0"/>
              <w:bottom w:val="single" w:color="auto" w:sz="4" w:space="0"/>
              <w:right w:val="single" w:color="auto" w:sz="4" w:space="0"/>
            </w:tcBorders>
            <w:noWrap/>
          </w:tcPr>
          <w:p w14:paraId="3532FB76">
            <w:pPr>
              <w:pStyle w:val="445"/>
              <w:rPr>
                <w:rFonts w:cs="Times New Roman"/>
                <w:kern w:val="0"/>
                <w:szCs w:val="20"/>
              </w:rPr>
            </w:pPr>
            <w:r>
              <w:rPr>
                <w:rFonts w:hint="eastAsia" w:cs="Times New Roman"/>
                <w:kern w:val="0"/>
                <w:szCs w:val="20"/>
              </w:rPr>
              <w:t>4.03</w:t>
            </w:r>
          </w:p>
        </w:tc>
        <w:tc>
          <w:tcPr>
            <w:tcW w:w="274" w:type="pct"/>
            <w:tcBorders>
              <w:top w:val="single" w:color="auto" w:sz="4" w:space="0"/>
              <w:left w:val="single" w:color="auto" w:sz="4" w:space="0"/>
              <w:bottom w:val="single" w:color="auto" w:sz="4" w:space="0"/>
              <w:right w:val="single" w:color="auto" w:sz="4" w:space="0"/>
            </w:tcBorders>
            <w:noWrap/>
          </w:tcPr>
          <w:p w14:paraId="7FE59BC1">
            <w:pPr>
              <w:pStyle w:val="445"/>
              <w:rPr>
                <w:rFonts w:cs="Times New Roman"/>
                <w:kern w:val="0"/>
                <w:szCs w:val="20"/>
              </w:rPr>
            </w:pPr>
            <w:r>
              <w:rPr>
                <w:rFonts w:hint="eastAsia" w:cs="Times New Roman"/>
                <w:kern w:val="0"/>
                <w:szCs w:val="20"/>
              </w:rPr>
              <w:t>4.03</w:t>
            </w:r>
          </w:p>
        </w:tc>
        <w:tc>
          <w:tcPr>
            <w:tcW w:w="274" w:type="pct"/>
            <w:tcBorders>
              <w:top w:val="single" w:color="auto" w:sz="4" w:space="0"/>
              <w:left w:val="single" w:color="auto" w:sz="4" w:space="0"/>
              <w:bottom w:val="single" w:color="auto" w:sz="4" w:space="0"/>
              <w:right w:val="single" w:color="auto" w:sz="4" w:space="0"/>
            </w:tcBorders>
            <w:noWrap/>
          </w:tcPr>
          <w:p w14:paraId="26953CAB">
            <w:pPr>
              <w:pStyle w:val="445"/>
              <w:rPr>
                <w:rFonts w:cs="Times New Roman"/>
                <w:kern w:val="0"/>
                <w:szCs w:val="20"/>
              </w:rPr>
            </w:pPr>
            <w:r>
              <w:rPr>
                <w:rFonts w:hint="eastAsia" w:cs="Times New Roman"/>
                <w:kern w:val="0"/>
                <w:szCs w:val="20"/>
              </w:rPr>
              <w:t>3.23</w:t>
            </w:r>
          </w:p>
        </w:tc>
        <w:tc>
          <w:tcPr>
            <w:tcW w:w="268" w:type="pct"/>
            <w:tcBorders>
              <w:top w:val="single" w:color="auto" w:sz="4" w:space="0"/>
              <w:left w:val="single" w:color="auto" w:sz="4" w:space="0"/>
              <w:bottom w:val="single" w:color="auto" w:sz="4" w:space="0"/>
              <w:right w:val="nil"/>
            </w:tcBorders>
            <w:noWrap/>
          </w:tcPr>
          <w:p w14:paraId="464521D8">
            <w:pPr>
              <w:pStyle w:val="445"/>
              <w:rPr>
                <w:rFonts w:cs="Times New Roman"/>
                <w:kern w:val="0"/>
                <w:szCs w:val="20"/>
              </w:rPr>
            </w:pPr>
            <w:r>
              <w:rPr>
                <w:rFonts w:hint="eastAsia" w:cs="Times New Roman"/>
                <w:kern w:val="0"/>
                <w:szCs w:val="20"/>
              </w:rPr>
              <w:t>6.32</w:t>
            </w:r>
          </w:p>
        </w:tc>
      </w:tr>
      <w:tr w14:paraId="2DF22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06D5B9BA">
            <w:pPr>
              <w:pStyle w:val="445"/>
              <w:rPr>
                <w:rFonts w:cs="Times New Roman"/>
                <w:kern w:val="0"/>
                <w:szCs w:val="20"/>
              </w:rPr>
            </w:pPr>
            <w:r>
              <w:rPr>
                <w:rFonts w:cs="Times New Roman"/>
                <w:kern w:val="0"/>
                <w:szCs w:val="20"/>
              </w:rPr>
              <w:t>全年</w:t>
            </w:r>
          </w:p>
        </w:tc>
        <w:tc>
          <w:tcPr>
            <w:tcW w:w="274" w:type="pct"/>
            <w:tcBorders>
              <w:top w:val="single" w:color="auto" w:sz="4" w:space="0"/>
              <w:left w:val="single" w:color="auto" w:sz="4" w:space="0"/>
              <w:bottom w:val="single" w:color="auto" w:sz="4" w:space="0"/>
              <w:right w:val="single" w:color="auto" w:sz="4" w:space="0"/>
            </w:tcBorders>
            <w:noWrap/>
          </w:tcPr>
          <w:p w14:paraId="5042C7AC">
            <w:pPr>
              <w:pStyle w:val="445"/>
              <w:rPr>
                <w:rFonts w:cs="Times New Roman"/>
                <w:kern w:val="0"/>
                <w:szCs w:val="20"/>
              </w:rPr>
            </w:pPr>
            <w:r>
              <w:rPr>
                <w:rFonts w:hint="eastAsia" w:cs="Times New Roman"/>
                <w:kern w:val="0"/>
                <w:szCs w:val="20"/>
              </w:rPr>
              <w:t>6.64</w:t>
            </w:r>
          </w:p>
        </w:tc>
        <w:tc>
          <w:tcPr>
            <w:tcW w:w="274" w:type="pct"/>
            <w:tcBorders>
              <w:top w:val="single" w:color="auto" w:sz="4" w:space="0"/>
              <w:left w:val="single" w:color="auto" w:sz="4" w:space="0"/>
              <w:bottom w:val="single" w:color="auto" w:sz="4" w:space="0"/>
              <w:right w:val="single" w:color="auto" w:sz="4" w:space="0"/>
            </w:tcBorders>
            <w:noWrap/>
          </w:tcPr>
          <w:p w14:paraId="2CF2E6AE">
            <w:pPr>
              <w:pStyle w:val="445"/>
              <w:rPr>
                <w:rFonts w:cs="Times New Roman"/>
                <w:kern w:val="0"/>
                <w:szCs w:val="20"/>
              </w:rPr>
            </w:pPr>
            <w:r>
              <w:rPr>
                <w:rFonts w:hint="eastAsia" w:cs="Times New Roman"/>
                <w:kern w:val="0"/>
                <w:szCs w:val="20"/>
              </w:rPr>
              <w:t>4.62</w:t>
            </w:r>
          </w:p>
        </w:tc>
        <w:tc>
          <w:tcPr>
            <w:tcW w:w="273" w:type="pct"/>
            <w:tcBorders>
              <w:top w:val="single" w:color="auto" w:sz="4" w:space="0"/>
              <w:left w:val="single" w:color="auto" w:sz="4" w:space="0"/>
              <w:bottom w:val="single" w:color="auto" w:sz="4" w:space="0"/>
              <w:right w:val="single" w:color="auto" w:sz="4" w:space="0"/>
            </w:tcBorders>
            <w:noWrap/>
          </w:tcPr>
          <w:p w14:paraId="7D8868D7">
            <w:pPr>
              <w:pStyle w:val="445"/>
              <w:rPr>
                <w:rFonts w:cs="Times New Roman"/>
                <w:kern w:val="0"/>
                <w:szCs w:val="20"/>
              </w:rPr>
            </w:pPr>
            <w:r>
              <w:rPr>
                <w:rFonts w:hint="eastAsia" w:cs="Times New Roman"/>
                <w:kern w:val="0"/>
                <w:szCs w:val="20"/>
              </w:rPr>
              <w:t>7.76</w:t>
            </w:r>
          </w:p>
        </w:tc>
        <w:tc>
          <w:tcPr>
            <w:tcW w:w="273" w:type="pct"/>
            <w:tcBorders>
              <w:top w:val="single" w:color="auto" w:sz="4" w:space="0"/>
              <w:left w:val="single" w:color="auto" w:sz="4" w:space="0"/>
              <w:bottom w:val="single" w:color="auto" w:sz="4" w:space="0"/>
              <w:right w:val="single" w:color="auto" w:sz="4" w:space="0"/>
            </w:tcBorders>
            <w:noWrap/>
          </w:tcPr>
          <w:p w14:paraId="752AF2D1">
            <w:pPr>
              <w:pStyle w:val="445"/>
              <w:rPr>
                <w:rFonts w:cs="Times New Roman"/>
                <w:kern w:val="0"/>
                <w:szCs w:val="20"/>
              </w:rPr>
            </w:pPr>
            <w:r>
              <w:rPr>
                <w:rFonts w:hint="eastAsia" w:cs="Times New Roman"/>
                <w:kern w:val="0"/>
                <w:szCs w:val="20"/>
              </w:rPr>
              <w:t>14.67</w:t>
            </w:r>
          </w:p>
        </w:tc>
        <w:tc>
          <w:tcPr>
            <w:tcW w:w="273" w:type="pct"/>
            <w:tcBorders>
              <w:top w:val="single" w:color="auto" w:sz="4" w:space="0"/>
              <w:left w:val="single" w:color="auto" w:sz="4" w:space="0"/>
              <w:bottom w:val="single" w:color="auto" w:sz="4" w:space="0"/>
              <w:right w:val="single" w:color="auto" w:sz="4" w:space="0"/>
            </w:tcBorders>
            <w:noWrap/>
          </w:tcPr>
          <w:p w14:paraId="0BB23FBA">
            <w:pPr>
              <w:pStyle w:val="445"/>
              <w:rPr>
                <w:rFonts w:cs="Times New Roman"/>
                <w:kern w:val="0"/>
                <w:szCs w:val="20"/>
              </w:rPr>
            </w:pPr>
            <w:r>
              <w:rPr>
                <w:rFonts w:hint="eastAsia" w:cs="Times New Roman"/>
                <w:kern w:val="0"/>
                <w:szCs w:val="20"/>
              </w:rPr>
              <w:t>19.65</w:t>
            </w:r>
          </w:p>
        </w:tc>
        <w:tc>
          <w:tcPr>
            <w:tcW w:w="274" w:type="pct"/>
            <w:tcBorders>
              <w:top w:val="single" w:color="auto" w:sz="4" w:space="0"/>
              <w:left w:val="single" w:color="auto" w:sz="4" w:space="0"/>
              <w:bottom w:val="single" w:color="auto" w:sz="4" w:space="0"/>
              <w:right w:val="single" w:color="auto" w:sz="4" w:space="0"/>
            </w:tcBorders>
            <w:noWrap/>
          </w:tcPr>
          <w:p w14:paraId="50438987">
            <w:pPr>
              <w:pStyle w:val="445"/>
              <w:rPr>
                <w:rFonts w:cs="Times New Roman"/>
                <w:kern w:val="0"/>
                <w:szCs w:val="20"/>
              </w:rPr>
            </w:pPr>
            <w:r>
              <w:rPr>
                <w:rFonts w:hint="eastAsia" w:cs="Times New Roman"/>
                <w:kern w:val="0"/>
                <w:szCs w:val="20"/>
              </w:rPr>
              <w:t>5.75</w:t>
            </w:r>
          </w:p>
        </w:tc>
        <w:tc>
          <w:tcPr>
            <w:tcW w:w="274" w:type="pct"/>
            <w:tcBorders>
              <w:top w:val="single" w:color="auto" w:sz="4" w:space="0"/>
              <w:left w:val="single" w:color="auto" w:sz="4" w:space="0"/>
              <w:bottom w:val="single" w:color="auto" w:sz="4" w:space="0"/>
              <w:right w:val="single" w:color="auto" w:sz="4" w:space="0"/>
            </w:tcBorders>
            <w:noWrap/>
          </w:tcPr>
          <w:p w14:paraId="49FFDA68">
            <w:pPr>
              <w:pStyle w:val="445"/>
              <w:rPr>
                <w:rFonts w:cs="Times New Roman"/>
                <w:kern w:val="0"/>
                <w:szCs w:val="20"/>
              </w:rPr>
            </w:pPr>
            <w:r>
              <w:rPr>
                <w:rFonts w:hint="eastAsia" w:cs="Times New Roman"/>
                <w:kern w:val="0"/>
                <w:szCs w:val="20"/>
              </w:rPr>
              <w:t>3.77</w:t>
            </w:r>
          </w:p>
        </w:tc>
        <w:tc>
          <w:tcPr>
            <w:tcW w:w="274" w:type="pct"/>
            <w:tcBorders>
              <w:top w:val="single" w:color="auto" w:sz="4" w:space="0"/>
              <w:left w:val="single" w:color="auto" w:sz="4" w:space="0"/>
              <w:bottom w:val="single" w:color="auto" w:sz="4" w:space="0"/>
              <w:right w:val="single" w:color="auto" w:sz="4" w:space="0"/>
            </w:tcBorders>
            <w:noWrap/>
          </w:tcPr>
          <w:p w14:paraId="776AA3DD">
            <w:pPr>
              <w:pStyle w:val="445"/>
              <w:rPr>
                <w:rFonts w:cs="Times New Roman"/>
                <w:kern w:val="0"/>
                <w:szCs w:val="20"/>
              </w:rPr>
            </w:pPr>
            <w:r>
              <w:rPr>
                <w:rFonts w:hint="eastAsia" w:cs="Times New Roman"/>
                <w:kern w:val="0"/>
                <w:szCs w:val="20"/>
              </w:rPr>
              <w:t>3.19</w:t>
            </w:r>
          </w:p>
        </w:tc>
        <w:tc>
          <w:tcPr>
            <w:tcW w:w="274" w:type="pct"/>
            <w:tcBorders>
              <w:top w:val="single" w:color="auto" w:sz="4" w:space="0"/>
              <w:left w:val="single" w:color="auto" w:sz="4" w:space="0"/>
              <w:bottom w:val="single" w:color="auto" w:sz="4" w:space="0"/>
              <w:right w:val="single" w:color="auto" w:sz="4" w:space="0"/>
            </w:tcBorders>
            <w:noWrap/>
          </w:tcPr>
          <w:p w14:paraId="511D5E8E">
            <w:pPr>
              <w:pStyle w:val="445"/>
              <w:rPr>
                <w:rFonts w:cs="Times New Roman"/>
                <w:kern w:val="0"/>
                <w:szCs w:val="20"/>
              </w:rPr>
            </w:pPr>
            <w:r>
              <w:rPr>
                <w:rFonts w:hint="eastAsia" w:cs="Times New Roman"/>
                <w:kern w:val="0"/>
                <w:szCs w:val="20"/>
              </w:rPr>
              <w:t>5.86</w:t>
            </w:r>
          </w:p>
        </w:tc>
        <w:tc>
          <w:tcPr>
            <w:tcW w:w="274" w:type="pct"/>
            <w:tcBorders>
              <w:top w:val="single" w:color="auto" w:sz="4" w:space="0"/>
              <w:left w:val="single" w:color="auto" w:sz="4" w:space="0"/>
              <w:bottom w:val="single" w:color="auto" w:sz="4" w:space="0"/>
              <w:right w:val="single" w:color="auto" w:sz="4" w:space="0"/>
            </w:tcBorders>
            <w:noWrap/>
          </w:tcPr>
          <w:p w14:paraId="6EC13E6E">
            <w:pPr>
              <w:pStyle w:val="445"/>
              <w:rPr>
                <w:rFonts w:cs="Times New Roman"/>
                <w:kern w:val="0"/>
                <w:szCs w:val="20"/>
              </w:rPr>
            </w:pPr>
            <w:r>
              <w:rPr>
                <w:rFonts w:hint="eastAsia" w:cs="Times New Roman"/>
                <w:kern w:val="0"/>
                <w:szCs w:val="20"/>
              </w:rPr>
              <w:t>3.98</w:t>
            </w:r>
          </w:p>
        </w:tc>
        <w:tc>
          <w:tcPr>
            <w:tcW w:w="274" w:type="pct"/>
            <w:tcBorders>
              <w:top w:val="single" w:color="auto" w:sz="4" w:space="0"/>
              <w:left w:val="single" w:color="auto" w:sz="4" w:space="0"/>
              <w:bottom w:val="single" w:color="auto" w:sz="4" w:space="0"/>
              <w:right w:val="single" w:color="auto" w:sz="4" w:space="0"/>
            </w:tcBorders>
            <w:noWrap/>
          </w:tcPr>
          <w:p w14:paraId="068501CB">
            <w:pPr>
              <w:pStyle w:val="445"/>
              <w:rPr>
                <w:rFonts w:cs="Times New Roman"/>
                <w:kern w:val="0"/>
                <w:szCs w:val="20"/>
              </w:rPr>
            </w:pPr>
            <w:r>
              <w:rPr>
                <w:rFonts w:hint="eastAsia" w:cs="Times New Roman"/>
                <w:kern w:val="0"/>
                <w:szCs w:val="20"/>
              </w:rPr>
              <w:t>3.36</w:t>
            </w:r>
          </w:p>
        </w:tc>
        <w:tc>
          <w:tcPr>
            <w:tcW w:w="276" w:type="pct"/>
            <w:tcBorders>
              <w:top w:val="single" w:color="auto" w:sz="4" w:space="0"/>
              <w:left w:val="single" w:color="auto" w:sz="4" w:space="0"/>
              <w:bottom w:val="single" w:color="auto" w:sz="4" w:space="0"/>
              <w:right w:val="single" w:color="auto" w:sz="4" w:space="0"/>
            </w:tcBorders>
            <w:noWrap/>
          </w:tcPr>
          <w:p w14:paraId="37A277BA">
            <w:pPr>
              <w:pStyle w:val="445"/>
              <w:rPr>
                <w:rFonts w:cs="Times New Roman"/>
                <w:kern w:val="0"/>
                <w:szCs w:val="20"/>
              </w:rPr>
            </w:pPr>
            <w:r>
              <w:rPr>
                <w:rFonts w:hint="eastAsia" w:cs="Times New Roman"/>
                <w:kern w:val="0"/>
                <w:szCs w:val="20"/>
              </w:rPr>
              <w:t>3.78</w:t>
            </w:r>
          </w:p>
        </w:tc>
        <w:tc>
          <w:tcPr>
            <w:tcW w:w="274" w:type="pct"/>
            <w:tcBorders>
              <w:top w:val="single" w:color="auto" w:sz="4" w:space="0"/>
              <w:left w:val="single" w:color="auto" w:sz="4" w:space="0"/>
              <w:bottom w:val="single" w:color="auto" w:sz="4" w:space="0"/>
              <w:right w:val="single" w:color="auto" w:sz="4" w:space="0"/>
            </w:tcBorders>
            <w:noWrap/>
          </w:tcPr>
          <w:p w14:paraId="6ED7F023">
            <w:pPr>
              <w:pStyle w:val="445"/>
              <w:rPr>
                <w:rFonts w:cs="Times New Roman"/>
                <w:kern w:val="0"/>
                <w:szCs w:val="20"/>
              </w:rPr>
            </w:pPr>
            <w:r>
              <w:rPr>
                <w:rFonts w:hint="eastAsia" w:cs="Times New Roman"/>
                <w:kern w:val="0"/>
                <w:szCs w:val="20"/>
              </w:rPr>
              <w:t>7.29</w:t>
            </w:r>
          </w:p>
        </w:tc>
        <w:tc>
          <w:tcPr>
            <w:tcW w:w="290" w:type="pct"/>
            <w:tcBorders>
              <w:top w:val="single" w:color="auto" w:sz="4" w:space="0"/>
              <w:left w:val="single" w:color="auto" w:sz="4" w:space="0"/>
              <w:bottom w:val="single" w:color="auto" w:sz="4" w:space="0"/>
              <w:right w:val="single" w:color="auto" w:sz="4" w:space="0"/>
            </w:tcBorders>
            <w:noWrap/>
          </w:tcPr>
          <w:p w14:paraId="6D24592F">
            <w:pPr>
              <w:pStyle w:val="445"/>
              <w:rPr>
                <w:rFonts w:cs="Times New Roman"/>
                <w:kern w:val="0"/>
                <w:szCs w:val="20"/>
              </w:rPr>
            </w:pPr>
            <w:r>
              <w:rPr>
                <w:rFonts w:hint="eastAsia" w:cs="Times New Roman"/>
                <w:kern w:val="0"/>
                <w:szCs w:val="20"/>
              </w:rPr>
              <w:t>3.95</w:t>
            </w:r>
          </w:p>
        </w:tc>
        <w:tc>
          <w:tcPr>
            <w:tcW w:w="274" w:type="pct"/>
            <w:tcBorders>
              <w:top w:val="single" w:color="auto" w:sz="4" w:space="0"/>
              <w:left w:val="single" w:color="auto" w:sz="4" w:space="0"/>
              <w:bottom w:val="single" w:color="auto" w:sz="4" w:space="0"/>
              <w:right w:val="single" w:color="auto" w:sz="4" w:space="0"/>
            </w:tcBorders>
            <w:noWrap/>
          </w:tcPr>
          <w:p w14:paraId="267E64A0">
            <w:pPr>
              <w:pStyle w:val="445"/>
              <w:rPr>
                <w:rFonts w:cs="Times New Roman"/>
                <w:kern w:val="0"/>
                <w:szCs w:val="20"/>
              </w:rPr>
            </w:pPr>
            <w:r>
              <w:rPr>
                <w:rFonts w:hint="eastAsia" w:cs="Times New Roman"/>
                <w:kern w:val="0"/>
                <w:szCs w:val="20"/>
              </w:rPr>
              <w:t>2.47</w:t>
            </w:r>
          </w:p>
        </w:tc>
        <w:tc>
          <w:tcPr>
            <w:tcW w:w="274" w:type="pct"/>
            <w:tcBorders>
              <w:top w:val="single" w:color="auto" w:sz="4" w:space="0"/>
              <w:left w:val="single" w:color="auto" w:sz="4" w:space="0"/>
              <w:bottom w:val="single" w:color="auto" w:sz="4" w:space="0"/>
              <w:right w:val="single" w:color="auto" w:sz="4" w:space="0"/>
            </w:tcBorders>
            <w:noWrap/>
          </w:tcPr>
          <w:p w14:paraId="59E70E0A">
            <w:pPr>
              <w:pStyle w:val="445"/>
              <w:rPr>
                <w:rFonts w:cs="Times New Roman"/>
                <w:kern w:val="0"/>
                <w:szCs w:val="20"/>
              </w:rPr>
            </w:pPr>
            <w:r>
              <w:rPr>
                <w:rFonts w:hint="eastAsia" w:cs="Times New Roman"/>
                <w:kern w:val="0"/>
                <w:szCs w:val="20"/>
              </w:rPr>
              <w:t>2.45</w:t>
            </w:r>
          </w:p>
        </w:tc>
        <w:tc>
          <w:tcPr>
            <w:tcW w:w="268" w:type="pct"/>
            <w:tcBorders>
              <w:top w:val="single" w:color="auto" w:sz="4" w:space="0"/>
              <w:left w:val="single" w:color="auto" w:sz="4" w:space="0"/>
              <w:bottom w:val="single" w:color="auto" w:sz="4" w:space="0"/>
              <w:right w:val="nil"/>
            </w:tcBorders>
            <w:noWrap/>
          </w:tcPr>
          <w:p w14:paraId="10126D27">
            <w:pPr>
              <w:pStyle w:val="445"/>
              <w:rPr>
                <w:rFonts w:cs="Times New Roman"/>
                <w:kern w:val="0"/>
                <w:szCs w:val="20"/>
              </w:rPr>
            </w:pPr>
            <w:r>
              <w:rPr>
                <w:rFonts w:hint="eastAsia" w:cs="Times New Roman"/>
                <w:kern w:val="0"/>
                <w:szCs w:val="20"/>
              </w:rPr>
              <w:t>0.81</w:t>
            </w:r>
          </w:p>
        </w:tc>
      </w:tr>
      <w:tr w14:paraId="25FAC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3E5A9545">
            <w:pPr>
              <w:pStyle w:val="445"/>
              <w:rPr>
                <w:rFonts w:cs="Times New Roman"/>
                <w:kern w:val="0"/>
                <w:szCs w:val="20"/>
              </w:rPr>
            </w:pPr>
            <w:r>
              <w:rPr>
                <w:rFonts w:cs="Times New Roman"/>
                <w:kern w:val="0"/>
                <w:szCs w:val="20"/>
              </w:rPr>
              <w:t>春季</w:t>
            </w:r>
          </w:p>
        </w:tc>
        <w:tc>
          <w:tcPr>
            <w:tcW w:w="274" w:type="pct"/>
            <w:tcBorders>
              <w:top w:val="single" w:color="auto" w:sz="4" w:space="0"/>
              <w:left w:val="single" w:color="auto" w:sz="4" w:space="0"/>
              <w:bottom w:val="single" w:color="auto" w:sz="4" w:space="0"/>
              <w:right w:val="single" w:color="auto" w:sz="4" w:space="0"/>
            </w:tcBorders>
            <w:noWrap/>
          </w:tcPr>
          <w:p w14:paraId="341D3AAE">
            <w:pPr>
              <w:pStyle w:val="445"/>
              <w:rPr>
                <w:rFonts w:cs="Times New Roman"/>
                <w:kern w:val="0"/>
                <w:szCs w:val="20"/>
              </w:rPr>
            </w:pPr>
            <w:r>
              <w:rPr>
                <w:rFonts w:hint="eastAsia" w:cs="Times New Roman"/>
                <w:kern w:val="0"/>
                <w:szCs w:val="20"/>
              </w:rPr>
              <w:t>4.3</w:t>
            </w:r>
          </w:p>
        </w:tc>
        <w:tc>
          <w:tcPr>
            <w:tcW w:w="274" w:type="pct"/>
            <w:tcBorders>
              <w:top w:val="single" w:color="auto" w:sz="4" w:space="0"/>
              <w:left w:val="single" w:color="auto" w:sz="4" w:space="0"/>
              <w:bottom w:val="single" w:color="auto" w:sz="4" w:space="0"/>
              <w:right w:val="single" w:color="auto" w:sz="4" w:space="0"/>
            </w:tcBorders>
            <w:noWrap/>
          </w:tcPr>
          <w:p w14:paraId="6060EB0B">
            <w:pPr>
              <w:pStyle w:val="445"/>
              <w:rPr>
                <w:rFonts w:cs="Times New Roman"/>
                <w:kern w:val="0"/>
                <w:szCs w:val="20"/>
              </w:rPr>
            </w:pPr>
            <w:r>
              <w:rPr>
                <w:rFonts w:hint="eastAsia" w:cs="Times New Roman"/>
                <w:kern w:val="0"/>
                <w:szCs w:val="20"/>
              </w:rPr>
              <w:t>4.62</w:t>
            </w:r>
          </w:p>
        </w:tc>
        <w:tc>
          <w:tcPr>
            <w:tcW w:w="273" w:type="pct"/>
            <w:tcBorders>
              <w:top w:val="single" w:color="auto" w:sz="4" w:space="0"/>
              <w:left w:val="single" w:color="auto" w:sz="4" w:space="0"/>
              <w:bottom w:val="single" w:color="auto" w:sz="4" w:space="0"/>
              <w:right w:val="single" w:color="auto" w:sz="4" w:space="0"/>
            </w:tcBorders>
            <w:noWrap/>
          </w:tcPr>
          <w:p w14:paraId="0125E9EE">
            <w:pPr>
              <w:pStyle w:val="445"/>
              <w:rPr>
                <w:rFonts w:cs="Times New Roman"/>
                <w:kern w:val="0"/>
                <w:szCs w:val="20"/>
              </w:rPr>
            </w:pPr>
            <w:r>
              <w:rPr>
                <w:rFonts w:hint="eastAsia" w:cs="Times New Roman"/>
                <w:kern w:val="0"/>
                <w:szCs w:val="20"/>
              </w:rPr>
              <w:t>6.34</w:t>
            </w:r>
          </w:p>
        </w:tc>
        <w:tc>
          <w:tcPr>
            <w:tcW w:w="273" w:type="pct"/>
            <w:tcBorders>
              <w:top w:val="single" w:color="auto" w:sz="4" w:space="0"/>
              <w:left w:val="single" w:color="auto" w:sz="4" w:space="0"/>
              <w:bottom w:val="single" w:color="auto" w:sz="4" w:space="0"/>
              <w:right w:val="single" w:color="auto" w:sz="4" w:space="0"/>
            </w:tcBorders>
            <w:noWrap/>
          </w:tcPr>
          <w:p w14:paraId="268BF647">
            <w:pPr>
              <w:pStyle w:val="445"/>
              <w:rPr>
                <w:rFonts w:cs="Times New Roman"/>
                <w:kern w:val="0"/>
                <w:szCs w:val="20"/>
              </w:rPr>
            </w:pPr>
            <w:r>
              <w:rPr>
                <w:rFonts w:hint="eastAsia" w:cs="Times New Roman"/>
                <w:kern w:val="0"/>
                <w:szCs w:val="20"/>
              </w:rPr>
              <w:t>12.18</w:t>
            </w:r>
          </w:p>
        </w:tc>
        <w:tc>
          <w:tcPr>
            <w:tcW w:w="273" w:type="pct"/>
            <w:tcBorders>
              <w:top w:val="single" w:color="auto" w:sz="4" w:space="0"/>
              <w:left w:val="single" w:color="auto" w:sz="4" w:space="0"/>
              <w:bottom w:val="single" w:color="auto" w:sz="4" w:space="0"/>
              <w:right w:val="single" w:color="auto" w:sz="4" w:space="0"/>
            </w:tcBorders>
            <w:noWrap/>
          </w:tcPr>
          <w:p w14:paraId="6273B8B7">
            <w:pPr>
              <w:pStyle w:val="445"/>
              <w:rPr>
                <w:rFonts w:cs="Times New Roman"/>
                <w:kern w:val="0"/>
                <w:szCs w:val="20"/>
              </w:rPr>
            </w:pPr>
            <w:r>
              <w:rPr>
                <w:rFonts w:hint="eastAsia" w:cs="Times New Roman"/>
                <w:kern w:val="0"/>
                <w:szCs w:val="20"/>
              </w:rPr>
              <w:t>18.89</w:t>
            </w:r>
          </w:p>
        </w:tc>
        <w:tc>
          <w:tcPr>
            <w:tcW w:w="274" w:type="pct"/>
            <w:tcBorders>
              <w:top w:val="single" w:color="auto" w:sz="4" w:space="0"/>
              <w:left w:val="single" w:color="auto" w:sz="4" w:space="0"/>
              <w:bottom w:val="single" w:color="auto" w:sz="4" w:space="0"/>
              <w:right w:val="single" w:color="auto" w:sz="4" w:space="0"/>
            </w:tcBorders>
            <w:noWrap/>
          </w:tcPr>
          <w:p w14:paraId="0C822F4B">
            <w:pPr>
              <w:pStyle w:val="445"/>
              <w:rPr>
                <w:rFonts w:cs="Times New Roman"/>
                <w:kern w:val="0"/>
                <w:szCs w:val="20"/>
              </w:rPr>
            </w:pPr>
            <w:r>
              <w:rPr>
                <w:rFonts w:hint="eastAsia" w:cs="Times New Roman"/>
                <w:kern w:val="0"/>
                <w:szCs w:val="20"/>
              </w:rPr>
              <w:t>5.8</w:t>
            </w:r>
          </w:p>
        </w:tc>
        <w:tc>
          <w:tcPr>
            <w:tcW w:w="274" w:type="pct"/>
            <w:tcBorders>
              <w:top w:val="single" w:color="auto" w:sz="4" w:space="0"/>
              <w:left w:val="single" w:color="auto" w:sz="4" w:space="0"/>
              <w:bottom w:val="single" w:color="auto" w:sz="4" w:space="0"/>
              <w:right w:val="single" w:color="auto" w:sz="4" w:space="0"/>
            </w:tcBorders>
            <w:noWrap/>
          </w:tcPr>
          <w:p w14:paraId="795D1421">
            <w:pPr>
              <w:pStyle w:val="445"/>
              <w:rPr>
                <w:rFonts w:cs="Times New Roman"/>
                <w:kern w:val="0"/>
                <w:szCs w:val="20"/>
              </w:rPr>
            </w:pPr>
            <w:r>
              <w:rPr>
                <w:rFonts w:hint="eastAsia" w:cs="Times New Roman"/>
                <w:kern w:val="0"/>
                <w:szCs w:val="20"/>
              </w:rPr>
              <w:t>4.76</w:t>
            </w:r>
          </w:p>
        </w:tc>
        <w:tc>
          <w:tcPr>
            <w:tcW w:w="274" w:type="pct"/>
            <w:tcBorders>
              <w:top w:val="single" w:color="auto" w:sz="4" w:space="0"/>
              <w:left w:val="single" w:color="auto" w:sz="4" w:space="0"/>
              <w:bottom w:val="single" w:color="auto" w:sz="4" w:space="0"/>
              <w:right w:val="single" w:color="auto" w:sz="4" w:space="0"/>
            </w:tcBorders>
            <w:noWrap/>
          </w:tcPr>
          <w:p w14:paraId="02DA2590">
            <w:pPr>
              <w:pStyle w:val="445"/>
              <w:rPr>
                <w:rFonts w:cs="Times New Roman"/>
                <w:kern w:val="0"/>
                <w:szCs w:val="20"/>
              </w:rPr>
            </w:pPr>
            <w:r>
              <w:rPr>
                <w:rFonts w:hint="eastAsia" w:cs="Times New Roman"/>
                <w:kern w:val="0"/>
                <w:szCs w:val="20"/>
              </w:rPr>
              <w:t>3.89</w:t>
            </w:r>
          </w:p>
        </w:tc>
        <w:tc>
          <w:tcPr>
            <w:tcW w:w="274" w:type="pct"/>
            <w:tcBorders>
              <w:top w:val="single" w:color="auto" w:sz="4" w:space="0"/>
              <w:left w:val="single" w:color="auto" w:sz="4" w:space="0"/>
              <w:bottom w:val="single" w:color="auto" w:sz="4" w:space="0"/>
              <w:right w:val="single" w:color="auto" w:sz="4" w:space="0"/>
            </w:tcBorders>
            <w:noWrap/>
          </w:tcPr>
          <w:p w14:paraId="05DFA443">
            <w:pPr>
              <w:pStyle w:val="445"/>
              <w:rPr>
                <w:rFonts w:cs="Times New Roman"/>
                <w:kern w:val="0"/>
                <w:szCs w:val="20"/>
              </w:rPr>
            </w:pPr>
            <w:r>
              <w:rPr>
                <w:rFonts w:hint="eastAsia" w:cs="Times New Roman"/>
                <w:kern w:val="0"/>
                <w:szCs w:val="20"/>
              </w:rPr>
              <w:t>7.79</w:t>
            </w:r>
          </w:p>
        </w:tc>
        <w:tc>
          <w:tcPr>
            <w:tcW w:w="274" w:type="pct"/>
            <w:tcBorders>
              <w:top w:val="single" w:color="auto" w:sz="4" w:space="0"/>
              <w:left w:val="single" w:color="auto" w:sz="4" w:space="0"/>
              <w:bottom w:val="single" w:color="auto" w:sz="4" w:space="0"/>
              <w:right w:val="single" w:color="auto" w:sz="4" w:space="0"/>
            </w:tcBorders>
            <w:noWrap/>
          </w:tcPr>
          <w:p w14:paraId="6FAD527D">
            <w:pPr>
              <w:pStyle w:val="445"/>
              <w:rPr>
                <w:rFonts w:cs="Times New Roman"/>
                <w:kern w:val="0"/>
                <w:szCs w:val="20"/>
              </w:rPr>
            </w:pPr>
            <w:r>
              <w:rPr>
                <w:rFonts w:hint="eastAsia" w:cs="Times New Roman"/>
                <w:kern w:val="0"/>
                <w:szCs w:val="20"/>
              </w:rPr>
              <w:t>5.84</w:t>
            </w:r>
          </w:p>
        </w:tc>
        <w:tc>
          <w:tcPr>
            <w:tcW w:w="274" w:type="pct"/>
            <w:tcBorders>
              <w:top w:val="single" w:color="auto" w:sz="4" w:space="0"/>
              <w:left w:val="single" w:color="auto" w:sz="4" w:space="0"/>
              <w:bottom w:val="single" w:color="auto" w:sz="4" w:space="0"/>
              <w:right w:val="single" w:color="auto" w:sz="4" w:space="0"/>
            </w:tcBorders>
            <w:noWrap/>
          </w:tcPr>
          <w:p w14:paraId="6742866D">
            <w:pPr>
              <w:pStyle w:val="445"/>
              <w:rPr>
                <w:rFonts w:cs="Times New Roman"/>
                <w:kern w:val="0"/>
                <w:szCs w:val="20"/>
              </w:rPr>
            </w:pPr>
            <w:r>
              <w:rPr>
                <w:rFonts w:hint="eastAsia" w:cs="Times New Roman"/>
                <w:kern w:val="0"/>
                <w:szCs w:val="20"/>
              </w:rPr>
              <w:t>4.89</w:t>
            </w:r>
          </w:p>
        </w:tc>
        <w:tc>
          <w:tcPr>
            <w:tcW w:w="276" w:type="pct"/>
            <w:tcBorders>
              <w:top w:val="single" w:color="auto" w:sz="4" w:space="0"/>
              <w:left w:val="single" w:color="auto" w:sz="4" w:space="0"/>
              <w:bottom w:val="single" w:color="auto" w:sz="4" w:space="0"/>
              <w:right w:val="single" w:color="auto" w:sz="4" w:space="0"/>
            </w:tcBorders>
            <w:noWrap/>
          </w:tcPr>
          <w:p w14:paraId="7E2BEC6B">
            <w:pPr>
              <w:pStyle w:val="445"/>
              <w:rPr>
                <w:rFonts w:cs="Times New Roman"/>
                <w:kern w:val="0"/>
                <w:szCs w:val="20"/>
              </w:rPr>
            </w:pPr>
            <w:r>
              <w:rPr>
                <w:rFonts w:hint="eastAsia" w:cs="Times New Roman"/>
                <w:kern w:val="0"/>
                <w:szCs w:val="20"/>
              </w:rPr>
              <w:t>5.07</w:t>
            </w:r>
          </w:p>
        </w:tc>
        <w:tc>
          <w:tcPr>
            <w:tcW w:w="274" w:type="pct"/>
            <w:tcBorders>
              <w:top w:val="single" w:color="auto" w:sz="4" w:space="0"/>
              <w:left w:val="single" w:color="auto" w:sz="4" w:space="0"/>
              <w:bottom w:val="single" w:color="auto" w:sz="4" w:space="0"/>
              <w:right w:val="single" w:color="auto" w:sz="4" w:space="0"/>
            </w:tcBorders>
            <w:noWrap/>
          </w:tcPr>
          <w:p w14:paraId="7619C97E">
            <w:pPr>
              <w:pStyle w:val="445"/>
              <w:rPr>
                <w:rFonts w:cs="Times New Roman"/>
                <w:kern w:val="0"/>
                <w:szCs w:val="20"/>
              </w:rPr>
            </w:pPr>
            <w:r>
              <w:rPr>
                <w:rFonts w:hint="eastAsia" w:cs="Times New Roman"/>
                <w:kern w:val="0"/>
                <w:szCs w:val="20"/>
              </w:rPr>
              <w:t>7.02</w:t>
            </w:r>
          </w:p>
        </w:tc>
        <w:tc>
          <w:tcPr>
            <w:tcW w:w="290" w:type="pct"/>
            <w:tcBorders>
              <w:top w:val="single" w:color="auto" w:sz="4" w:space="0"/>
              <w:left w:val="single" w:color="auto" w:sz="4" w:space="0"/>
              <w:bottom w:val="single" w:color="auto" w:sz="4" w:space="0"/>
              <w:right w:val="single" w:color="auto" w:sz="4" w:space="0"/>
            </w:tcBorders>
            <w:noWrap/>
          </w:tcPr>
          <w:p w14:paraId="5653D418">
            <w:pPr>
              <w:pStyle w:val="445"/>
              <w:rPr>
                <w:rFonts w:cs="Times New Roman"/>
                <w:kern w:val="0"/>
                <w:szCs w:val="20"/>
              </w:rPr>
            </w:pPr>
            <w:r>
              <w:rPr>
                <w:rFonts w:hint="eastAsia" w:cs="Times New Roman"/>
                <w:kern w:val="0"/>
                <w:szCs w:val="20"/>
              </w:rPr>
              <w:t>4.35</w:t>
            </w:r>
          </w:p>
        </w:tc>
        <w:tc>
          <w:tcPr>
            <w:tcW w:w="274" w:type="pct"/>
            <w:tcBorders>
              <w:top w:val="single" w:color="auto" w:sz="4" w:space="0"/>
              <w:left w:val="single" w:color="auto" w:sz="4" w:space="0"/>
              <w:bottom w:val="single" w:color="auto" w:sz="4" w:space="0"/>
              <w:right w:val="single" w:color="auto" w:sz="4" w:space="0"/>
            </w:tcBorders>
            <w:noWrap/>
          </w:tcPr>
          <w:p w14:paraId="68FC7728">
            <w:pPr>
              <w:pStyle w:val="445"/>
              <w:rPr>
                <w:rFonts w:cs="Times New Roman"/>
                <w:kern w:val="0"/>
                <w:szCs w:val="20"/>
              </w:rPr>
            </w:pPr>
            <w:r>
              <w:rPr>
                <w:rFonts w:hint="eastAsia" w:cs="Times New Roman"/>
                <w:kern w:val="0"/>
                <w:szCs w:val="20"/>
              </w:rPr>
              <w:t>1.99</w:t>
            </w:r>
          </w:p>
        </w:tc>
        <w:tc>
          <w:tcPr>
            <w:tcW w:w="274" w:type="pct"/>
            <w:tcBorders>
              <w:top w:val="single" w:color="auto" w:sz="4" w:space="0"/>
              <w:left w:val="single" w:color="auto" w:sz="4" w:space="0"/>
              <w:bottom w:val="single" w:color="auto" w:sz="4" w:space="0"/>
              <w:right w:val="single" w:color="auto" w:sz="4" w:space="0"/>
            </w:tcBorders>
            <w:noWrap/>
          </w:tcPr>
          <w:p w14:paraId="38741C96">
            <w:pPr>
              <w:pStyle w:val="445"/>
              <w:rPr>
                <w:rFonts w:cs="Times New Roman"/>
                <w:kern w:val="0"/>
                <w:szCs w:val="20"/>
              </w:rPr>
            </w:pPr>
            <w:r>
              <w:rPr>
                <w:rFonts w:hint="eastAsia" w:cs="Times New Roman"/>
                <w:kern w:val="0"/>
                <w:szCs w:val="20"/>
              </w:rPr>
              <w:t>2.04</w:t>
            </w:r>
          </w:p>
        </w:tc>
        <w:tc>
          <w:tcPr>
            <w:tcW w:w="268" w:type="pct"/>
            <w:tcBorders>
              <w:top w:val="single" w:color="auto" w:sz="4" w:space="0"/>
              <w:left w:val="single" w:color="auto" w:sz="4" w:space="0"/>
              <w:bottom w:val="single" w:color="auto" w:sz="4" w:space="0"/>
              <w:right w:val="nil"/>
            </w:tcBorders>
            <w:noWrap/>
          </w:tcPr>
          <w:p w14:paraId="59798546">
            <w:pPr>
              <w:pStyle w:val="445"/>
              <w:rPr>
                <w:rFonts w:cs="Times New Roman"/>
                <w:kern w:val="0"/>
                <w:szCs w:val="20"/>
              </w:rPr>
            </w:pPr>
            <w:r>
              <w:rPr>
                <w:rFonts w:hint="eastAsia" w:cs="Times New Roman"/>
                <w:kern w:val="0"/>
                <w:szCs w:val="20"/>
              </w:rPr>
              <w:t>0.23</w:t>
            </w:r>
          </w:p>
        </w:tc>
      </w:tr>
      <w:tr w14:paraId="41156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208B5D66">
            <w:pPr>
              <w:pStyle w:val="445"/>
              <w:rPr>
                <w:rFonts w:cs="Times New Roman"/>
                <w:kern w:val="0"/>
                <w:szCs w:val="20"/>
              </w:rPr>
            </w:pPr>
            <w:r>
              <w:rPr>
                <w:rFonts w:cs="Times New Roman"/>
                <w:kern w:val="0"/>
                <w:szCs w:val="20"/>
              </w:rPr>
              <w:t>夏季</w:t>
            </w:r>
          </w:p>
        </w:tc>
        <w:tc>
          <w:tcPr>
            <w:tcW w:w="274" w:type="pct"/>
            <w:tcBorders>
              <w:top w:val="single" w:color="auto" w:sz="4" w:space="0"/>
              <w:left w:val="single" w:color="auto" w:sz="4" w:space="0"/>
              <w:bottom w:val="single" w:color="auto" w:sz="4" w:space="0"/>
              <w:right w:val="single" w:color="auto" w:sz="4" w:space="0"/>
            </w:tcBorders>
            <w:noWrap/>
          </w:tcPr>
          <w:p w14:paraId="1D8AD2A5">
            <w:pPr>
              <w:pStyle w:val="445"/>
              <w:rPr>
                <w:rFonts w:cs="Times New Roman"/>
                <w:kern w:val="0"/>
                <w:szCs w:val="20"/>
              </w:rPr>
            </w:pPr>
            <w:r>
              <w:rPr>
                <w:rFonts w:hint="eastAsia" w:cs="Times New Roman"/>
                <w:kern w:val="0"/>
                <w:szCs w:val="20"/>
              </w:rPr>
              <w:t>3.67</w:t>
            </w:r>
          </w:p>
        </w:tc>
        <w:tc>
          <w:tcPr>
            <w:tcW w:w="274" w:type="pct"/>
            <w:tcBorders>
              <w:top w:val="single" w:color="auto" w:sz="4" w:space="0"/>
              <w:left w:val="single" w:color="auto" w:sz="4" w:space="0"/>
              <w:bottom w:val="single" w:color="auto" w:sz="4" w:space="0"/>
              <w:right w:val="single" w:color="auto" w:sz="4" w:space="0"/>
            </w:tcBorders>
            <w:noWrap/>
          </w:tcPr>
          <w:p w14:paraId="71BFCD71">
            <w:pPr>
              <w:pStyle w:val="445"/>
              <w:rPr>
                <w:rFonts w:cs="Times New Roman"/>
                <w:kern w:val="0"/>
                <w:szCs w:val="20"/>
              </w:rPr>
            </w:pPr>
            <w:r>
              <w:rPr>
                <w:rFonts w:hint="eastAsia" w:cs="Times New Roman"/>
                <w:kern w:val="0"/>
                <w:szCs w:val="20"/>
              </w:rPr>
              <w:t>2.63</w:t>
            </w:r>
          </w:p>
        </w:tc>
        <w:tc>
          <w:tcPr>
            <w:tcW w:w="273" w:type="pct"/>
            <w:tcBorders>
              <w:top w:val="single" w:color="auto" w:sz="4" w:space="0"/>
              <w:left w:val="single" w:color="auto" w:sz="4" w:space="0"/>
              <w:bottom w:val="single" w:color="auto" w:sz="4" w:space="0"/>
              <w:right w:val="single" w:color="auto" w:sz="4" w:space="0"/>
            </w:tcBorders>
            <w:noWrap/>
          </w:tcPr>
          <w:p w14:paraId="66396F85">
            <w:pPr>
              <w:pStyle w:val="445"/>
              <w:rPr>
                <w:rFonts w:cs="Times New Roman"/>
                <w:kern w:val="0"/>
                <w:szCs w:val="20"/>
              </w:rPr>
            </w:pPr>
            <w:r>
              <w:rPr>
                <w:rFonts w:hint="eastAsia" w:cs="Times New Roman"/>
                <w:kern w:val="0"/>
                <w:szCs w:val="20"/>
              </w:rPr>
              <w:t>3.99</w:t>
            </w:r>
          </w:p>
        </w:tc>
        <w:tc>
          <w:tcPr>
            <w:tcW w:w="273" w:type="pct"/>
            <w:tcBorders>
              <w:top w:val="single" w:color="auto" w:sz="4" w:space="0"/>
              <w:left w:val="single" w:color="auto" w:sz="4" w:space="0"/>
              <w:bottom w:val="single" w:color="auto" w:sz="4" w:space="0"/>
              <w:right w:val="single" w:color="auto" w:sz="4" w:space="0"/>
            </w:tcBorders>
            <w:noWrap/>
          </w:tcPr>
          <w:p w14:paraId="44782ABE">
            <w:pPr>
              <w:pStyle w:val="445"/>
              <w:rPr>
                <w:rFonts w:cs="Times New Roman"/>
                <w:kern w:val="0"/>
                <w:szCs w:val="20"/>
              </w:rPr>
            </w:pPr>
            <w:r>
              <w:rPr>
                <w:rFonts w:hint="eastAsia" w:cs="Times New Roman"/>
                <w:kern w:val="0"/>
                <w:szCs w:val="20"/>
              </w:rPr>
              <w:t>11.73</w:t>
            </w:r>
          </w:p>
        </w:tc>
        <w:tc>
          <w:tcPr>
            <w:tcW w:w="273" w:type="pct"/>
            <w:tcBorders>
              <w:top w:val="single" w:color="auto" w:sz="4" w:space="0"/>
              <w:left w:val="single" w:color="auto" w:sz="4" w:space="0"/>
              <w:bottom w:val="single" w:color="auto" w:sz="4" w:space="0"/>
              <w:right w:val="single" w:color="auto" w:sz="4" w:space="0"/>
            </w:tcBorders>
            <w:noWrap/>
          </w:tcPr>
          <w:p w14:paraId="510C844D">
            <w:pPr>
              <w:pStyle w:val="445"/>
              <w:rPr>
                <w:rFonts w:cs="Times New Roman"/>
                <w:kern w:val="0"/>
                <w:szCs w:val="20"/>
              </w:rPr>
            </w:pPr>
            <w:r>
              <w:rPr>
                <w:rFonts w:hint="eastAsia" w:cs="Times New Roman"/>
                <w:kern w:val="0"/>
                <w:szCs w:val="20"/>
              </w:rPr>
              <w:t>22.15</w:t>
            </w:r>
          </w:p>
        </w:tc>
        <w:tc>
          <w:tcPr>
            <w:tcW w:w="274" w:type="pct"/>
            <w:tcBorders>
              <w:top w:val="single" w:color="auto" w:sz="4" w:space="0"/>
              <w:left w:val="single" w:color="auto" w:sz="4" w:space="0"/>
              <w:bottom w:val="single" w:color="auto" w:sz="4" w:space="0"/>
              <w:right w:val="single" w:color="auto" w:sz="4" w:space="0"/>
            </w:tcBorders>
            <w:noWrap/>
          </w:tcPr>
          <w:p w14:paraId="683C7089">
            <w:pPr>
              <w:pStyle w:val="445"/>
              <w:rPr>
                <w:rFonts w:cs="Times New Roman"/>
                <w:kern w:val="0"/>
                <w:szCs w:val="20"/>
              </w:rPr>
            </w:pPr>
            <w:r>
              <w:rPr>
                <w:rFonts w:hint="eastAsia" w:cs="Times New Roman"/>
                <w:kern w:val="0"/>
                <w:szCs w:val="20"/>
              </w:rPr>
              <w:t>7.7</w:t>
            </w:r>
          </w:p>
        </w:tc>
        <w:tc>
          <w:tcPr>
            <w:tcW w:w="274" w:type="pct"/>
            <w:tcBorders>
              <w:top w:val="single" w:color="auto" w:sz="4" w:space="0"/>
              <w:left w:val="single" w:color="auto" w:sz="4" w:space="0"/>
              <w:bottom w:val="single" w:color="auto" w:sz="4" w:space="0"/>
              <w:right w:val="single" w:color="auto" w:sz="4" w:space="0"/>
            </w:tcBorders>
            <w:noWrap/>
          </w:tcPr>
          <w:p w14:paraId="71B62D8E">
            <w:pPr>
              <w:pStyle w:val="445"/>
              <w:rPr>
                <w:rFonts w:cs="Times New Roman"/>
                <w:kern w:val="0"/>
                <w:szCs w:val="20"/>
              </w:rPr>
            </w:pPr>
            <w:r>
              <w:rPr>
                <w:rFonts w:hint="eastAsia" w:cs="Times New Roman"/>
                <w:kern w:val="0"/>
                <w:szCs w:val="20"/>
              </w:rPr>
              <w:t>4.8</w:t>
            </w:r>
          </w:p>
        </w:tc>
        <w:tc>
          <w:tcPr>
            <w:tcW w:w="274" w:type="pct"/>
            <w:tcBorders>
              <w:top w:val="single" w:color="auto" w:sz="4" w:space="0"/>
              <w:left w:val="single" w:color="auto" w:sz="4" w:space="0"/>
              <w:bottom w:val="single" w:color="auto" w:sz="4" w:space="0"/>
              <w:right w:val="single" w:color="auto" w:sz="4" w:space="0"/>
            </w:tcBorders>
            <w:noWrap/>
          </w:tcPr>
          <w:p w14:paraId="74FE8F1A">
            <w:pPr>
              <w:pStyle w:val="445"/>
              <w:rPr>
                <w:rFonts w:cs="Times New Roman"/>
                <w:kern w:val="0"/>
                <w:szCs w:val="20"/>
              </w:rPr>
            </w:pPr>
            <w:r>
              <w:rPr>
                <w:rFonts w:hint="eastAsia" w:cs="Times New Roman"/>
                <w:kern w:val="0"/>
                <w:szCs w:val="20"/>
              </w:rPr>
              <w:t>4.98</w:t>
            </w:r>
          </w:p>
        </w:tc>
        <w:tc>
          <w:tcPr>
            <w:tcW w:w="274" w:type="pct"/>
            <w:tcBorders>
              <w:top w:val="single" w:color="auto" w:sz="4" w:space="0"/>
              <w:left w:val="single" w:color="auto" w:sz="4" w:space="0"/>
              <w:bottom w:val="single" w:color="auto" w:sz="4" w:space="0"/>
              <w:right w:val="single" w:color="auto" w:sz="4" w:space="0"/>
            </w:tcBorders>
            <w:noWrap/>
          </w:tcPr>
          <w:p w14:paraId="64C4D5A6">
            <w:pPr>
              <w:pStyle w:val="445"/>
              <w:rPr>
                <w:rFonts w:cs="Times New Roman"/>
                <w:kern w:val="0"/>
                <w:szCs w:val="20"/>
              </w:rPr>
            </w:pPr>
            <w:r>
              <w:rPr>
                <w:rFonts w:hint="eastAsia" w:cs="Times New Roman"/>
                <w:kern w:val="0"/>
                <w:szCs w:val="20"/>
              </w:rPr>
              <w:t>9.06</w:t>
            </w:r>
          </w:p>
        </w:tc>
        <w:tc>
          <w:tcPr>
            <w:tcW w:w="274" w:type="pct"/>
            <w:tcBorders>
              <w:top w:val="single" w:color="auto" w:sz="4" w:space="0"/>
              <w:left w:val="single" w:color="auto" w:sz="4" w:space="0"/>
              <w:bottom w:val="single" w:color="auto" w:sz="4" w:space="0"/>
              <w:right w:val="single" w:color="auto" w:sz="4" w:space="0"/>
            </w:tcBorders>
            <w:noWrap/>
          </w:tcPr>
          <w:p w14:paraId="6E452F39">
            <w:pPr>
              <w:pStyle w:val="445"/>
              <w:rPr>
                <w:rFonts w:cs="Times New Roman"/>
                <w:kern w:val="0"/>
                <w:szCs w:val="20"/>
              </w:rPr>
            </w:pPr>
            <w:r>
              <w:rPr>
                <w:rFonts w:hint="eastAsia" w:cs="Times New Roman"/>
                <w:kern w:val="0"/>
                <w:szCs w:val="20"/>
              </w:rPr>
              <w:t>5.34</w:t>
            </w:r>
          </w:p>
        </w:tc>
        <w:tc>
          <w:tcPr>
            <w:tcW w:w="274" w:type="pct"/>
            <w:tcBorders>
              <w:top w:val="single" w:color="auto" w:sz="4" w:space="0"/>
              <w:left w:val="single" w:color="auto" w:sz="4" w:space="0"/>
              <w:bottom w:val="single" w:color="auto" w:sz="4" w:space="0"/>
              <w:right w:val="single" w:color="auto" w:sz="4" w:space="0"/>
            </w:tcBorders>
            <w:noWrap/>
          </w:tcPr>
          <w:p w14:paraId="6F318974">
            <w:pPr>
              <w:pStyle w:val="445"/>
              <w:rPr>
                <w:rFonts w:cs="Times New Roman"/>
                <w:kern w:val="0"/>
                <w:szCs w:val="20"/>
              </w:rPr>
            </w:pPr>
            <w:r>
              <w:rPr>
                <w:rFonts w:hint="eastAsia" w:cs="Times New Roman"/>
                <w:kern w:val="0"/>
                <w:szCs w:val="20"/>
              </w:rPr>
              <w:t>4.21</w:t>
            </w:r>
          </w:p>
        </w:tc>
        <w:tc>
          <w:tcPr>
            <w:tcW w:w="276" w:type="pct"/>
            <w:tcBorders>
              <w:top w:val="single" w:color="auto" w:sz="4" w:space="0"/>
              <w:left w:val="single" w:color="auto" w:sz="4" w:space="0"/>
              <w:bottom w:val="single" w:color="auto" w:sz="4" w:space="0"/>
              <w:right w:val="single" w:color="auto" w:sz="4" w:space="0"/>
            </w:tcBorders>
            <w:noWrap/>
          </w:tcPr>
          <w:p w14:paraId="5A7308C5">
            <w:pPr>
              <w:pStyle w:val="445"/>
              <w:rPr>
                <w:rFonts w:cs="Times New Roman"/>
                <w:kern w:val="0"/>
                <w:szCs w:val="20"/>
              </w:rPr>
            </w:pPr>
            <w:r>
              <w:rPr>
                <w:rFonts w:hint="eastAsia" w:cs="Times New Roman"/>
                <w:kern w:val="0"/>
                <w:szCs w:val="20"/>
              </w:rPr>
              <w:t>3.4</w:t>
            </w:r>
          </w:p>
        </w:tc>
        <w:tc>
          <w:tcPr>
            <w:tcW w:w="274" w:type="pct"/>
            <w:tcBorders>
              <w:top w:val="single" w:color="auto" w:sz="4" w:space="0"/>
              <w:left w:val="single" w:color="auto" w:sz="4" w:space="0"/>
              <w:bottom w:val="single" w:color="auto" w:sz="4" w:space="0"/>
              <w:right w:val="single" w:color="auto" w:sz="4" w:space="0"/>
            </w:tcBorders>
            <w:noWrap/>
          </w:tcPr>
          <w:p w14:paraId="0A24617C">
            <w:pPr>
              <w:pStyle w:val="445"/>
              <w:rPr>
                <w:rFonts w:cs="Times New Roman"/>
                <w:kern w:val="0"/>
                <w:szCs w:val="20"/>
              </w:rPr>
            </w:pPr>
            <w:r>
              <w:rPr>
                <w:rFonts w:hint="eastAsia" w:cs="Times New Roman"/>
                <w:kern w:val="0"/>
                <w:szCs w:val="20"/>
              </w:rPr>
              <w:t>8.38</w:t>
            </w:r>
          </w:p>
        </w:tc>
        <w:tc>
          <w:tcPr>
            <w:tcW w:w="290" w:type="pct"/>
            <w:tcBorders>
              <w:top w:val="single" w:color="auto" w:sz="4" w:space="0"/>
              <w:left w:val="single" w:color="auto" w:sz="4" w:space="0"/>
              <w:bottom w:val="single" w:color="auto" w:sz="4" w:space="0"/>
              <w:right w:val="single" w:color="auto" w:sz="4" w:space="0"/>
            </w:tcBorders>
            <w:noWrap/>
          </w:tcPr>
          <w:p w14:paraId="30BC8573">
            <w:pPr>
              <w:pStyle w:val="445"/>
              <w:rPr>
                <w:rFonts w:cs="Times New Roman"/>
                <w:kern w:val="0"/>
                <w:szCs w:val="20"/>
              </w:rPr>
            </w:pPr>
            <w:r>
              <w:rPr>
                <w:rFonts w:hint="eastAsia" w:cs="Times New Roman"/>
                <w:kern w:val="0"/>
                <w:szCs w:val="20"/>
              </w:rPr>
              <w:t>3.85</w:t>
            </w:r>
          </w:p>
        </w:tc>
        <w:tc>
          <w:tcPr>
            <w:tcW w:w="274" w:type="pct"/>
            <w:tcBorders>
              <w:top w:val="single" w:color="auto" w:sz="4" w:space="0"/>
              <w:left w:val="single" w:color="auto" w:sz="4" w:space="0"/>
              <w:bottom w:val="single" w:color="auto" w:sz="4" w:space="0"/>
              <w:right w:val="single" w:color="auto" w:sz="4" w:space="0"/>
            </w:tcBorders>
            <w:noWrap/>
          </w:tcPr>
          <w:p w14:paraId="4B58577B">
            <w:pPr>
              <w:pStyle w:val="445"/>
              <w:rPr>
                <w:rFonts w:cs="Times New Roman"/>
                <w:kern w:val="0"/>
                <w:szCs w:val="20"/>
              </w:rPr>
            </w:pPr>
            <w:r>
              <w:rPr>
                <w:rFonts w:hint="eastAsia" w:cs="Times New Roman"/>
                <w:kern w:val="0"/>
                <w:szCs w:val="20"/>
              </w:rPr>
              <w:t>2.08</w:t>
            </w:r>
          </w:p>
        </w:tc>
        <w:tc>
          <w:tcPr>
            <w:tcW w:w="274" w:type="pct"/>
            <w:tcBorders>
              <w:top w:val="single" w:color="auto" w:sz="4" w:space="0"/>
              <w:left w:val="single" w:color="auto" w:sz="4" w:space="0"/>
              <w:bottom w:val="single" w:color="auto" w:sz="4" w:space="0"/>
              <w:right w:val="single" w:color="auto" w:sz="4" w:space="0"/>
            </w:tcBorders>
            <w:noWrap/>
          </w:tcPr>
          <w:p w14:paraId="1720E732">
            <w:pPr>
              <w:pStyle w:val="445"/>
              <w:rPr>
                <w:rFonts w:cs="Times New Roman"/>
                <w:kern w:val="0"/>
                <w:szCs w:val="20"/>
              </w:rPr>
            </w:pPr>
            <w:r>
              <w:rPr>
                <w:rFonts w:hint="eastAsia" w:cs="Times New Roman"/>
                <w:kern w:val="0"/>
                <w:szCs w:val="20"/>
              </w:rPr>
              <w:t>1.72</w:t>
            </w:r>
          </w:p>
        </w:tc>
        <w:tc>
          <w:tcPr>
            <w:tcW w:w="268" w:type="pct"/>
            <w:tcBorders>
              <w:top w:val="single" w:color="auto" w:sz="4" w:space="0"/>
              <w:left w:val="single" w:color="auto" w:sz="4" w:space="0"/>
              <w:bottom w:val="single" w:color="auto" w:sz="4" w:space="0"/>
              <w:right w:val="nil"/>
            </w:tcBorders>
            <w:noWrap/>
          </w:tcPr>
          <w:p w14:paraId="64523703">
            <w:pPr>
              <w:pStyle w:val="445"/>
              <w:rPr>
                <w:rFonts w:cs="Times New Roman"/>
                <w:kern w:val="0"/>
                <w:szCs w:val="20"/>
              </w:rPr>
            </w:pPr>
            <w:r>
              <w:rPr>
                <w:rFonts w:hint="eastAsia" w:cs="Times New Roman"/>
                <w:kern w:val="0"/>
                <w:szCs w:val="20"/>
              </w:rPr>
              <w:t>0.32</w:t>
            </w:r>
          </w:p>
        </w:tc>
      </w:tr>
      <w:tr w14:paraId="374001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4" w:space="0"/>
              <w:right w:val="single" w:color="auto" w:sz="4" w:space="0"/>
            </w:tcBorders>
            <w:noWrap/>
          </w:tcPr>
          <w:p w14:paraId="6C9FB727">
            <w:pPr>
              <w:pStyle w:val="445"/>
              <w:rPr>
                <w:rFonts w:cs="Times New Roman"/>
                <w:kern w:val="0"/>
                <w:szCs w:val="20"/>
              </w:rPr>
            </w:pPr>
            <w:r>
              <w:rPr>
                <w:rFonts w:cs="Times New Roman"/>
                <w:kern w:val="0"/>
                <w:szCs w:val="20"/>
              </w:rPr>
              <w:t>秋季</w:t>
            </w:r>
          </w:p>
        </w:tc>
        <w:tc>
          <w:tcPr>
            <w:tcW w:w="274" w:type="pct"/>
            <w:tcBorders>
              <w:top w:val="single" w:color="auto" w:sz="4" w:space="0"/>
              <w:left w:val="single" w:color="auto" w:sz="4" w:space="0"/>
              <w:bottom w:val="single" w:color="auto" w:sz="4" w:space="0"/>
              <w:right w:val="single" w:color="auto" w:sz="4" w:space="0"/>
            </w:tcBorders>
            <w:noWrap/>
          </w:tcPr>
          <w:p w14:paraId="4642322D">
            <w:pPr>
              <w:pStyle w:val="445"/>
              <w:rPr>
                <w:rFonts w:cs="Times New Roman"/>
                <w:kern w:val="0"/>
                <w:szCs w:val="20"/>
              </w:rPr>
            </w:pPr>
            <w:r>
              <w:rPr>
                <w:rFonts w:hint="eastAsia" w:cs="Times New Roman"/>
                <w:kern w:val="0"/>
                <w:szCs w:val="20"/>
              </w:rPr>
              <w:t>9.39</w:t>
            </w:r>
          </w:p>
        </w:tc>
        <w:tc>
          <w:tcPr>
            <w:tcW w:w="274" w:type="pct"/>
            <w:tcBorders>
              <w:top w:val="single" w:color="auto" w:sz="4" w:space="0"/>
              <w:left w:val="single" w:color="auto" w:sz="4" w:space="0"/>
              <w:bottom w:val="single" w:color="auto" w:sz="4" w:space="0"/>
              <w:right w:val="single" w:color="auto" w:sz="4" w:space="0"/>
            </w:tcBorders>
            <w:noWrap/>
          </w:tcPr>
          <w:p w14:paraId="748BCE79">
            <w:pPr>
              <w:pStyle w:val="445"/>
              <w:rPr>
                <w:rFonts w:cs="Times New Roman"/>
                <w:kern w:val="0"/>
                <w:szCs w:val="20"/>
              </w:rPr>
            </w:pPr>
            <w:r>
              <w:rPr>
                <w:rFonts w:hint="eastAsia" w:cs="Times New Roman"/>
                <w:kern w:val="0"/>
                <w:szCs w:val="20"/>
              </w:rPr>
              <w:t>5.77</w:t>
            </w:r>
          </w:p>
        </w:tc>
        <w:tc>
          <w:tcPr>
            <w:tcW w:w="273" w:type="pct"/>
            <w:tcBorders>
              <w:top w:val="single" w:color="auto" w:sz="4" w:space="0"/>
              <w:left w:val="single" w:color="auto" w:sz="4" w:space="0"/>
              <w:bottom w:val="single" w:color="auto" w:sz="4" w:space="0"/>
              <w:right w:val="single" w:color="auto" w:sz="4" w:space="0"/>
            </w:tcBorders>
            <w:noWrap/>
          </w:tcPr>
          <w:p w14:paraId="327CE7E7">
            <w:pPr>
              <w:pStyle w:val="445"/>
              <w:rPr>
                <w:rFonts w:cs="Times New Roman"/>
                <w:kern w:val="0"/>
                <w:szCs w:val="20"/>
              </w:rPr>
            </w:pPr>
            <w:r>
              <w:rPr>
                <w:rFonts w:hint="eastAsia" w:cs="Times New Roman"/>
                <w:kern w:val="0"/>
                <w:szCs w:val="20"/>
              </w:rPr>
              <w:t>10.39</w:t>
            </w:r>
          </w:p>
        </w:tc>
        <w:tc>
          <w:tcPr>
            <w:tcW w:w="273" w:type="pct"/>
            <w:tcBorders>
              <w:top w:val="single" w:color="auto" w:sz="4" w:space="0"/>
              <w:left w:val="single" w:color="auto" w:sz="4" w:space="0"/>
              <w:bottom w:val="single" w:color="auto" w:sz="4" w:space="0"/>
              <w:right w:val="single" w:color="auto" w:sz="4" w:space="0"/>
            </w:tcBorders>
            <w:noWrap/>
          </w:tcPr>
          <w:p w14:paraId="7CD94AC7">
            <w:pPr>
              <w:pStyle w:val="445"/>
              <w:rPr>
                <w:rFonts w:cs="Times New Roman"/>
                <w:kern w:val="0"/>
                <w:szCs w:val="20"/>
              </w:rPr>
            </w:pPr>
            <w:r>
              <w:rPr>
                <w:rFonts w:hint="eastAsia" w:cs="Times New Roman"/>
                <w:kern w:val="0"/>
                <w:szCs w:val="20"/>
              </w:rPr>
              <w:t>19.28</w:t>
            </w:r>
          </w:p>
        </w:tc>
        <w:tc>
          <w:tcPr>
            <w:tcW w:w="273" w:type="pct"/>
            <w:tcBorders>
              <w:top w:val="single" w:color="auto" w:sz="4" w:space="0"/>
              <w:left w:val="single" w:color="auto" w:sz="4" w:space="0"/>
              <w:bottom w:val="single" w:color="auto" w:sz="4" w:space="0"/>
              <w:right w:val="single" w:color="auto" w:sz="4" w:space="0"/>
            </w:tcBorders>
            <w:noWrap/>
          </w:tcPr>
          <w:p w14:paraId="3716A789">
            <w:pPr>
              <w:pStyle w:val="445"/>
              <w:rPr>
                <w:rFonts w:cs="Times New Roman"/>
                <w:kern w:val="0"/>
                <w:szCs w:val="20"/>
              </w:rPr>
            </w:pPr>
            <w:r>
              <w:rPr>
                <w:rFonts w:hint="eastAsia" w:cs="Times New Roman"/>
                <w:kern w:val="0"/>
                <w:szCs w:val="20"/>
              </w:rPr>
              <w:t>21.43</w:t>
            </w:r>
          </w:p>
        </w:tc>
        <w:tc>
          <w:tcPr>
            <w:tcW w:w="274" w:type="pct"/>
            <w:tcBorders>
              <w:top w:val="single" w:color="auto" w:sz="4" w:space="0"/>
              <w:left w:val="single" w:color="auto" w:sz="4" w:space="0"/>
              <w:bottom w:val="single" w:color="auto" w:sz="4" w:space="0"/>
              <w:right w:val="single" w:color="auto" w:sz="4" w:space="0"/>
            </w:tcBorders>
            <w:noWrap/>
          </w:tcPr>
          <w:p w14:paraId="7B25F454">
            <w:pPr>
              <w:pStyle w:val="445"/>
              <w:rPr>
                <w:rFonts w:cs="Times New Roman"/>
                <w:kern w:val="0"/>
                <w:szCs w:val="20"/>
              </w:rPr>
            </w:pPr>
            <w:r>
              <w:rPr>
                <w:rFonts w:hint="eastAsia" w:cs="Times New Roman"/>
                <w:kern w:val="0"/>
                <w:szCs w:val="20"/>
              </w:rPr>
              <w:t>5.91</w:t>
            </w:r>
          </w:p>
        </w:tc>
        <w:tc>
          <w:tcPr>
            <w:tcW w:w="274" w:type="pct"/>
            <w:tcBorders>
              <w:top w:val="single" w:color="auto" w:sz="4" w:space="0"/>
              <w:left w:val="single" w:color="auto" w:sz="4" w:space="0"/>
              <w:bottom w:val="single" w:color="auto" w:sz="4" w:space="0"/>
              <w:right w:val="single" w:color="auto" w:sz="4" w:space="0"/>
            </w:tcBorders>
            <w:noWrap/>
          </w:tcPr>
          <w:p w14:paraId="7A1B383E">
            <w:pPr>
              <w:pStyle w:val="445"/>
              <w:rPr>
                <w:rFonts w:cs="Times New Roman"/>
                <w:kern w:val="0"/>
                <w:szCs w:val="20"/>
              </w:rPr>
            </w:pPr>
            <w:r>
              <w:rPr>
                <w:rFonts w:hint="eastAsia" w:cs="Times New Roman"/>
                <w:kern w:val="0"/>
                <w:szCs w:val="20"/>
              </w:rPr>
              <w:t>3.34</w:t>
            </w:r>
          </w:p>
        </w:tc>
        <w:tc>
          <w:tcPr>
            <w:tcW w:w="274" w:type="pct"/>
            <w:tcBorders>
              <w:top w:val="single" w:color="auto" w:sz="4" w:space="0"/>
              <w:left w:val="single" w:color="auto" w:sz="4" w:space="0"/>
              <w:bottom w:val="single" w:color="auto" w:sz="4" w:space="0"/>
              <w:right w:val="single" w:color="auto" w:sz="4" w:space="0"/>
            </w:tcBorders>
            <w:noWrap/>
          </w:tcPr>
          <w:p w14:paraId="01499AF0">
            <w:pPr>
              <w:pStyle w:val="445"/>
              <w:rPr>
                <w:rFonts w:cs="Times New Roman"/>
                <w:kern w:val="0"/>
                <w:szCs w:val="20"/>
              </w:rPr>
            </w:pPr>
            <w:r>
              <w:rPr>
                <w:rFonts w:hint="eastAsia" w:cs="Times New Roman"/>
                <w:kern w:val="0"/>
                <w:szCs w:val="20"/>
              </w:rPr>
              <w:t>2.15</w:t>
            </w:r>
          </w:p>
        </w:tc>
        <w:tc>
          <w:tcPr>
            <w:tcW w:w="274" w:type="pct"/>
            <w:tcBorders>
              <w:top w:val="single" w:color="auto" w:sz="4" w:space="0"/>
              <w:left w:val="single" w:color="auto" w:sz="4" w:space="0"/>
              <w:bottom w:val="single" w:color="auto" w:sz="4" w:space="0"/>
              <w:right w:val="single" w:color="auto" w:sz="4" w:space="0"/>
            </w:tcBorders>
            <w:noWrap/>
          </w:tcPr>
          <w:p w14:paraId="7FC998C3">
            <w:pPr>
              <w:pStyle w:val="445"/>
              <w:rPr>
                <w:rFonts w:cs="Times New Roman"/>
                <w:kern w:val="0"/>
                <w:szCs w:val="20"/>
              </w:rPr>
            </w:pPr>
            <w:r>
              <w:rPr>
                <w:rFonts w:hint="eastAsia" w:cs="Times New Roman"/>
                <w:kern w:val="0"/>
                <w:szCs w:val="20"/>
              </w:rPr>
              <w:t>2.88</w:t>
            </w:r>
          </w:p>
        </w:tc>
        <w:tc>
          <w:tcPr>
            <w:tcW w:w="274" w:type="pct"/>
            <w:tcBorders>
              <w:top w:val="single" w:color="auto" w:sz="4" w:space="0"/>
              <w:left w:val="single" w:color="auto" w:sz="4" w:space="0"/>
              <w:bottom w:val="single" w:color="auto" w:sz="4" w:space="0"/>
              <w:right w:val="single" w:color="auto" w:sz="4" w:space="0"/>
            </w:tcBorders>
            <w:noWrap/>
          </w:tcPr>
          <w:p w14:paraId="73F67E27">
            <w:pPr>
              <w:pStyle w:val="445"/>
              <w:rPr>
                <w:rFonts w:cs="Times New Roman"/>
                <w:kern w:val="0"/>
                <w:szCs w:val="20"/>
              </w:rPr>
            </w:pPr>
            <w:r>
              <w:rPr>
                <w:rFonts w:hint="eastAsia" w:cs="Times New Roman"/>
                <w:kern w:val="0"/>
                <w:szCs w:val="20"/>
              </w:rPr>
              <w:t>2.38</w:t>
            </w:r>
          </w:p>
        </w:tc>
        <w:tc>
          <w:tcPr>
            <w:tcW w:w="274" w:type="pct"/>
            <w:tcBorders>
              <w:top w:val="single" w:color="auto" w:sz="4" w:space="0"/>
              <w:left w:val="single" w:color="auto" w:sz="4" w:space="0"/>
              <w:bottom w:val="single" w:color="auto" w:sz="4" w:space="0"/>
              <w:right w:val="single" w:color="auto" w:sz="4" w:space="0"/>
            </w:tcBorders>
            <w:noWrap/>
          </w:tcPr>
          <w:p w14:paraId="52529993">
            <w:pPr>
              <w:pStyle w:val="445"/>
              <w:rPr>
                <w:rFonts w:cs="Times New Roman"/>
                <w:kern w:val="0"/>
                <w:szCs w:val="20"/>
              </w:rPr>
            </w:pPr>
            <w:r>
              <w:rPr>
                <w:rFonts w:hint="eastAsia" w:cs="Times New Roman"/>
                <w:kern w:val="0"/>
                <w:szCs w:val="20"/>
              </w:rPr>
              <w:t>1.88</w:t>
            </w:r>
          </w:p>
        </w:tc>
        <w:tc>
          <w:tcPr>
            <w:tcW w:w="276" w:type="pct"/>
            <w:tcBorders>
              <w:top w:val="single" w:color="auto" w:sz="4" w:space="0"/>
              <w:left w:val="single" w:color="auto" w:sz="4" w:space="0"/>
              <w:bottom w:val="single" w:color="auto" w:sz="4" w:space="0"/>
              <w:right w:val="single" w:color="auto" w:sz="4" w:space="0"/>
            </w:tcBorders>
            <w:noWrap/>
          </w:tcPr>
          <w:p w14:paraId="45DA7C89">
            <w:pPr>
              <w:pStyle w:val="445"/>
              <w:rPr>
                <w:rFonts w:cs="Times New Roman"/>
                <w:kern w:val="0"/>
                <w:szCs w:val="20"/>
              </w:rPr>
            </w:pPr>
            <w:r>
              <w:rPr>
                <w:rFonts w:hint="eastAsia" w:cs="Times New Roman"/>
                <w:kern w:val="0"/>
                <w:szCs w:val="20"/>
              </w:rPr>
              <w:t>3.34</w:t>
            </w:r>
          </w:p>
        </w:tc>
        <w:tc>
          <w:tcPr>
            <w:tcW w:w="274" w:type="pct"/>
            <w:tcBorders>
              <w:top w:val="single" w:color="auto" w:sz="4" w:space="0"/>
              <w:left w:val="single" w:color="auto" w:sz="4" w:space="0"/>
              <w:bottom w:val="single" w:color="auto" w:sz="4" w:space="0"/>
              <w:right w:val="single" w:color="auto" w:sz="4" w:space="0"/>
            </w:tcBorders>
            <w:noWrap/>
          </w:tcPr>
          <w:p w14:paraId="69E86F54">
            <w:pPr>
              <w:pStyle w:val="445"/>
              <w:rPr>
                <w:rFonts w:cs="Times New Roman"/>
                <w:kern w:val="0"/>
                <w:szCs w:val="20"/>
              </w:rPr>
            </w:pPr>
            <w:r>
              <w:rPr>
                <w:rFonts w:hint="eastAsia" w:cs="Times New Roman"/>
                <w:kern w:val="0"/>
                <w:szCs w:val="20"/>
              </w:rPr>
              <w:t>5.31</w:t>
            </w:r>
          </w:p>
        </w:tc>
        <w:tc>
          <w:tcPr>
            <w:tcW w:w="290" w:type="pct"/>
            <w:tcBorders>
              <w:top w:val="single" w:color="auto" w:sz="4" w:space="0"/>
              <w:left w:val="single" w:color="auto" w:sz="4" w:space="0"/>
              <w:bottom w:val="single" w:color="auto" w:sz="4" w:space="0"/>
              <w:right w:val="single" w:color="auto" w:sz="4" w:space="0"/>
            </w:tcBorders>
            <w:noWrap/>
          </w:tcPr>
          <w:p w14:paraId="1503E85F">
            <w:pPr>
              <w:pStyle w:val="445"/>
              <w:rPr>
                <w:rFonts w:cs="Times New Roman"/>
                <w:kern w:val="0"/>
                <w:szCs w:val="20"/>
              </w:rPr>
            </w:pPr>
            <w:r>
              <w:rPr>
                <w:rFonts w:hint="eastAsia" w:cs="Times New Roman"/>
                <w:kern w:val="0"/>
                <w:szCs w:val="20"/>
              </w:rPr>
              <w:t>2.11</w:t>
            </w:r>
          </w:p>
        </w:tc>
        <w:tc>
          <w:tcPr>
            <w:tcW w:w="274" w:type="pct"/>
            <w:tcBorders>
              <w:top w:val="single" w:color="auto" w:sz="4" w:space="0"/>
              <w:left w:val="single" w:color="auto" w:sz="4" w:space="0"/>
              <w:bottom w:val="single" w:color="auto" w:sz="4" w:space="0"/>
              <w:right w:val="single" w:color="auto" w:sz="4" w:space="0"/>
            </w:tcBorders>
            <w:noWrap/>
          </w:tcPr>
          <w:p w14:paraId="51F64BD8">
            <w:pPr>
              <w:pStyle w:val="445"/>
              <w:rPr>
                <w:rFonts w:cs="Times New Roman"/>
                <w:kern w:val="0"/>
                <w:szCs w:val="20"/>
              </w:rPr>
            </w:pPr>
            <w:r>
              <w:rPr>
                <w:rFonts w:hint="eastAsia" w:cs="Times New Roman"/>
                <w:kern w:val="0"/>
                <w:szCs w:val="20"/>
              </w:rPr>
              <w:t>1.37</w:t>
            </w:r>
          </w:p>
        </w:tc>
        <w:tc>
          <w:tcPr>
            <w:tcW w:w="274" w:type="pct"/>
            <w:tcBorders>
              <w:top w:val="single" w:color="auto" w:sz="4" w:space="0"/>
              <w:left w:val="single" w:color="auto" w:sz="4" w:space="0"/>
              <w:bottom w:val="single" w:color="auto" w:sz="4" w:space="0"/>
              <w:right w:val="single" w:color="auto" w:sz="4" w:space="0"/>
            </w:tcBorders>
            <w:noWrap/>
          </w:tcPr>
          <w:p w14:paraId="70C8744F">
            <w:pPr>
              <w:pStyle w:val="445"/>
              <w:rPr>
                <w:rFonts w:cs="Times New Roman"/>
                <w:kern w:val="0"/>
                <w:szCs w:val="20"/>
              </w:rPr>
            </w:pPr>
            <w:r>
              <w:rPr>
                <w:rFonts w:hint="eastAsia" w:cs="Times New Roman"/>
                <w:kern w:val="0"/>
                <w:szCs w:val="20"/>
              </w:rPr>
              <w:t>2.7</w:t>
            </w:r>
          </w:p>
        </w:tc>
        <w:tc>
          <w:tcPr>
            <w:tcW w:w="268" w:type="pct"/>
            <w:tcBorders>
              <w:top w:val="single" w:color="auto" w:sz="4" w:space="0"/>
              <w:left w:val="single" w:color="auto" w:sz="4" w:space="0"/>
              <w:bottom w:val="single" w:color="auto" w:sz="4" w:space="0"/>
              <w:right w:val="nil"/>
            </w:tcBorders>
            <w:noWrap/>
          </w:tcPr>
          <w:p w14:paraId="5522E88B">
            <w:pPr>
              <w:pStyle w:val="445"/>
              <w:rPr>
                <w:rFonts w:cs="Times New Roman"/>
                <w:kern w:val="0"/>
                <w:szCs w:val="20"/>
              </w:rPr>
            </w:pPr>
            <w:r>
              <w:rPr>
                <w:rFonts w:hint="eastAsia" w:cs="Times New Roman"/>
                <w:kern w:val="0"/>
                <w:szCs w:val="20"/>
              </w:rPr>
              <w:t>0.37</w:t>
            </w:r>
          </w:p>
        </w:tc>
      </w:tr>
      <w:tr w14:paraId="6897B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1" w:type="pct"/>
            <w:tcBorders>
              <w:top w:val="single" w:color="auto" w:sz="4" w:space="0"/>
              <w:left w:val="nil"/>
              <w:bottom w:val="single" w:color="auto" w:sz="12" w:space="0"/>
              <w:right w:val="single" w:color="auto" w:sz="4" w:space="0"/>
            </w:tcBorders>
            <w:noWrap/>
          </w:tcPr>
          <w:p w14:paraId="2D837FC6">
            <w:pPr>
              <w:pStyle w:val="445"/>
              <w:rPr>
                <w:rFonts w:cs="Times New Roman"/>
                <w:kern w:val="0"/>
                <w:szCs w:val="20"/>
              </w:rPr>
            </w:pPr>
            <w:r>
              <w:rPr>
                <w:rFonts w:cs="Times New Roman"/>
                <w:kern w:val="0"/>
                <w:szCs w:val="20"/>
              </w:rPr>
              <w:t>冬季</w:t>
            </w:r>
          </w:p>
        </w:tc>
        <w:tc>
          <w:tcPr>
            <w:tcW w:w="274" w:type="pct"/>
            <w:tcBorders>
              <w:top w:val="single" w:color="auto" w:sz="4" w:space="0"/>
              <w:left w:val="single" w:color="auto" w:sz="4" w:space="0"/>
              <w:bottom w:val="single" w:color="auto" w:sz="12" w:space="0"/>
              <w:right w:val="single" w:color="auto" w:sz="4" w:space="0"/>
            </w:tcBorders>
            <w:noWrap/>
          </w:tcPr>
          <w:p w14:paraId="28C9AC38">
            <w:pPr>
              <w:pStyle w:val="445"/>
              <w:rPr>
                <w:rFonts w:cs="Times New Roman"/>
                <w:kern w:val="0"/>
                <w:szCs w:val="20"/>
              </w:rPr>
            </w:pPr>
            <w:r>
              <w:rPr>
                <w:rFonts w:hint="eastAsia" w:cs="Times New Roman"/>
                <w:kern w:val="0"/>
                <w:szCs w:val="20"/>
              </w:rPr>
              <w:t>9.25</w:t>
            </w:r>
          </w:p>
        </w:tc>
        <w:tc>
          <w:tcPr>
            <w:tcW w:w="274" w:type="pct"/>
            <w:tcBorders>
              <w:top w:val="single" w:color="auto" w:sz="4" w:space="0"/>
              <w:left w:val="single" w:color="auto" w:sz="4" w:space="0"/>
              <w:bottom w:val="single" w:color="auto" w:sz="12" w:space="0"/>
              <w:right w:val="single" w:color="auto" w:sz="4" w:space="0"/>
            </w:tcBorders>
            <w:noWrap/>
          </w:tcPr>
          <w:p w14:paraId="5BE0994A">
            <w:pPr>
              <w:pStyle w:val="445"/>
              <w:rPr>
                <w:rFonts w:cs="Times New Roman"/>
                <w:kern w:val="0"/>
                <w:szCs w:val="20"/>
              </w:rPr>
            </w:pPr>
            <w:r>
              <w:rPr>
                <w:rFonts w:hint="eastAsia" w:cs="Times New Roman"/>
                <w:kern w:val="0"/>
                <w:szCs w:val="20"/>
              </w:rPr>
              <w:t>5.49</w:t>
            </w:r>
          </w:p>
        </w:tc>
        <w:tc>
          <w:tcPr>
            <w:tcW w:w="273" w:type="pct"/>
            <w:tcBorders>
              <w:top w:val="single" w:color="auto" w:sz="4" w:space="0"/>
              <w:left w:val="single" w:color="auto" w:sz="4" w:space="0"/>
              <w:bottom w:val="single" w:color="auto" w:sz="12" w:space="0"/>
              <w:right w:val="single" w:color="auto" w:sz="4" w:space="0"/>
            </w:tcBorders>
            <w:noWrap/>
          </w:tcPr>
          <w:p w14:paraId="52658785">
            <w:pPr>
              <w:pStyle w:val="445"/>
              <w:rPr>
                <w:rFonts w:cs="Times New Roman"/>
                <w:kern w:val="0"/>
                <w:szCs w:val="20"/>
              </w:rPr>
            </w:pPr>
            <w:r>
              <w:rPr>
                <w:rFonts w:hint="eastAsia" w:cs="Times New Roman"/>
                <w:kern w:val="0"/>
                <w:szCs w:val="20"/>
              </w:rPr>
              <w:t>10.39</w:t>
            </w:r>
          </w:p>
        </w:tc>
        <w:tc>
          <w:tcPr>
            <w:tcW w:w="273" w:type="pct"/>
            <w:tcBorders>
              <w:top w:val="single" w:color="auto" w:sz="4" w:space="0"/>
              <w:left w:val="single" w:color="auto" w:sz="4" w:space="0"/>
              <w:bottom w:val="single" w:color="auto" w:sz="12" w:space="0"/>
              <w:right w:val="single" w:color="auto" w:sz="4" w:space="0"/>
            </w:tcBorders>
            <w:noWrap/>
          </w:tcPr>
          <w:p w14:paraId="1C0CD8C7">
            <w:pPr>
              <w:pStyle w:val="445"/>
              <w:rPr>
                <w:rFonts w:cs="Times New Roman"/>
                <w:kern w:val="0"/>
                <w:szCs w:val="20"/>
              </w:rPr>
            </w:pPr>
            <w:r>
              <w:rPr>
                <w:rFonts w:hint="eastAsia" w:cs="Times New Roman"/>
                <w:kern w:val="0"/>
                <w:szCs w:val="20"/>
              </w:rPr>
              <w:t>15.57</w:t>
            </w:r>
          </w:p>
        </w:tc>
        <w:tc>
          <w:tcPr>
            <w:tcW w:w="273" w:type="pct"/>
            <w:tcBorders>
              <w:top w:val="single" w:color="auto" w:sz="4" w:space="0"/>
              <w:left w:val="single" w:color="auto" w:sz="4" w:space="0"/>
              <w:bottom w:val="single" w:color="auto" w:sz="12" w:space="0"/>
              <w:right w:val="single" w:color="auto" w:sz="4" w:space="0"/>
            </w:tcBorders>
            <w:noWrap/>
          </w:tcPr>
          <w:p w14:paraId="33E50D81">
            <w:pPr>
              <w:pStyle w:val="445"/>
              <w:rPr>
                <w:rFonts w:cs="Times New Roman"/>
                <w:kern w:val="0"/>
                <w:szCs w:val="20"/>
              </w:rPr>
            </w:pPr>
            <w:r>
              <w:rPr>
                <w:rFonts w:hint="eastAsia" w:cs="Times New Roman"/>
                <w:kern w:val="0"/>
                <w:szCs w:val="20"/>
              </w:rPr>
              <w:t>16.12</w:t>
            </w:r>
          </w:p>
        </w:tc>
        <w:tc>
          <w:tcPr>
            <w:tcW w:w="274" w:type="pct"/>
            <w:tcBorders>
              <w:top w:val="single" w:color="auto" w:sz="4" w:space="0"/>
              <w:left w:val="single" w:color="auto" w:sz="4" w:space="0"/>
              <w:bottom w:val="single" w:color="auto" w:sz="12" w:space="0"/>
              <w:right w:val="single" w:color="auto" w:sz="4" w:space="0"/>
            </w:tcBorders>
            <w:noWrap/>
          </w:tcPr>
          <w:p w14:paraId="7543E514">
            <w:pPr>
              <w:pStyle w:val="445"/>
              <w:rPr>
                <w:rFonts w:cs="Times New Roman"/>
                <w:kern w:val="0"/>
                <w:szCs w:val="20"/>
              </w:rPr>
            </w:pPr>
            <w:r>
              <w:rPr>
                <w:rFonts w:hint="eastAsia" w:cs="Times New Roman"/>
                <w:kern w:val="0"/>
                <w:szCs w:val="20"/>
              </w:rPr>
              <w:t>3.57</w:t>
            </w:r>
          </w:p>
        </w:tc>
        <w:tc>
          <w:tcPr>
            <w:tcW w:w="274" w:type="pct"/>
            <w:tcBorders>
              <w:top w:val="single" w:color="auto" w:sz="4" w:space="0"/>
              <w:left w:val="single" w:color="auto" w:sz="4" w:space="0"/>
              <w:bottom w:val="single" w:color="auto" w:sz="12" w:space="0"/>
              <w:right w:val="single" w:color="auto" w:sz="4" w:space="0"/>
            </w:tcBorders>
            <w:noWrap/>
          </w:tcPr>
          <w:p w14:paraId="48B81A97">
            <w:pPr>
              <w:pStyle w:val="445"/>
              <w:rPr>
                <w:rFonts w:cs="Times New Roman"/>
                <w:kern w:val="0"/>
                <w:szCs w:val="20"/>
              </w:rPr>
            </w:pPr>
            <w:r>
              <w:rPr>
                <w:rFonts w:hint="eastAsia" w:cs="Times New Roman"/>
                <w:kern w:val="0"/>
                <w:szCs w:val="20"/>
              </w:rPr>
              <w:t>2.15</w:t>
            </w:r>
          </w:p>
        </w:tc>
        <w:tc>
          <w:tcPr>
            <w:tcW w:w="274" w:type="pct"/>
            <w:tcBorders>
              <w:top w:val="single" w:color="auto" w:sz="4" w:space="0"/>
              <w:left w:val="single" w:color="auto" w:sz="4" w:space="0"/>
              <w:bottom w:val="single" w:color="auto" w:sz="12" w:space="0"/>
              <w:right w:val="single" w:color="auto" w:sz="4" w:space="0"/>
            </w:tcBorders>
            <w:noWrap/>
          </w:tcPr>
          <w:p w14:paraId="59E0E31A">
            <w:pPr>
              <w:pStyle w:val="445"/>
              <w:rPr>
                <w:rFonts w:cs="Times New Roman"/>
                <w:kern w:val="0"/>
                <w:szCs w:val="20"/>
              </w:rPr>
            </w:pPr>
            <w:r>
              <w:rPr>
                <w:rFonts w:hint="eastAsia" w:cs="Times New Roman"/>
                <w:kern w:val="0"/>
                <w:szCs w:val="20"/>
              </w:rPr>
              <w:t>1.69</w:t>
            </w:r>
          </w:p>
        </w:tc>
        <w:tc>
          <w:tcPr>
            <w:tcW w:w="274" w:type="pct"/>
            <w:tcBorders>
              <w:top w:val="single" w:color="auto" w:sz="4" w:space="0"/>
              <w:left w:val="single" w:color="auto" w:sz="4" w:space="0"/>
              <w:bottom w:val="single" w:color="auto" w:sz="12" w:space="0"/>
              <w:right w:val="single" w:color="auto" w:sz="4" w:space="0"/>
            </w:tcBorders>
            <w:noWrap/>
          </w:tcPr>
          <w:p w14:paraId="23754AE4">
            <w:pPr>
              <w:pStyle w:val="445"/>
              <w:rPr>
                <w:rFonts w:cs="Times New Roman"/>
                <w:kern w:val="0"/>
                <w:szCs w:val="20"/>
              </w:rPr>
            </w:pPr>
            <w:r>
              <w:rPr>
                <w:rFonts w:hint="eastAsia" w:cs="Times New Roman"/>
                <w:kern w:val="0"/>
                <w:szCs w:val="20"/>
              </w:rPr>
              <w:t>3.66</w:t>
            </w:r>
          </w:p>
        </w:tc>
        <w:tc>
          <w:tcPr>
            <w:tcW w:w="274" w:type="pct"/>
            <w:tcBorders>
              <w:top w:val="single" w:color="auto" w:sz="4" w:space="0"/>
              <w:left w:val="single" w:color="auto" w:sz="4" w:space="0"/>
              <w:bottom w:val="single" w:color="auto" w:sz="12" w:space="0"/>
              <w:right w:val="single" w:color="auto" w:sz="4" w:space="0"/>
            </w:tcBorders>
            <w:noWrap/>
          </w:tcPr>
          <w:p w14:paraId="65C6DCA0">
            <w:pPr>
              <w:pStyle w:val="445"/>
              <w:rPr>
                <w:rFonts w:cs="Times New Roman"/>
                <w:kern w:val="0"/>
                <w:szCs w:val="20"/>
              </w:rPr>
            </w:pPr>
            <w:r>
              <w:rPr>
                <w:rFonts w:hint="eastAsia" w:cs="Times New Roman"/>
                <w:kern w:val="0"/>
                <w:szCs w:val="20"/>
              </w:rPr>
              <w:t>2.34</w:t>
            </w:r>
          </w:p>
        </w:tc>
        <w:tc>
          <w:tcPr>
            <w:tcW w:w="274" w:type="pct"/>
            <w:tcBorders>
              <w:top w:val="single" w:color="auto" w:sz="4" w:space="0"/>
              <w:left w:val="single" w:color="auto" w:sz="4" w:space="0"/>
              <w:bottom w:val="single" w:color="auto" w:sz="12" w:space="0"/>
              <w:right w:val="single" w:color="auto" w:sz="4" w:space="0"/>
            </w:tcBorders>
            <w:noWrap/>
          </w:tcPr>
          <w:p w14:paraId="190AD120">
            <w:pPr>
              <w:pStyle w:val="445"/>
              <w:rPr>
                <w:rFonts w:cs="Times New Roman"/>
                <w:kern w:val="0"/>
                <w:szCs w:val="20"/>
              </w:rPr>
            </w:pPr>
            <w:r>
              <w:rPr>
                <w:rFonts w:hint="eastAsia" w:cs="Times New Roman"/>
                <w:kern w:val="0"/>
                <w:szCs w:val="20"/>
              </w:rPr>
              <w:t>2.43</w:t>
            </w:r>
          </w:p>
        </w:tc>
        <w:tc>
          <w:tcPr>
            <w:tcW w:w="276" w:type="pct"/>
            <w:tcBorders>
              <w:top w:val="single" w:color="auto" w:sz="4" w:space="0"/>
              <w:left w:val="single" w:color="auto" w:sz="4" w:space="0"/>
              <w:bottom w:val="single" w:color="auto" w:sz="12" w:space="0"/>
              <w:right w:val="single" w:color="auto" w:sz="4" w:space="0"/>
            </w:tcBorders>
            <w:noWrap/>
          </w:tcPr>
          <w:p w14:paraId="4F057AC9">
            <w:pPr>
              <w:pStyle w:val="445"/>
              <w:rPr>
                <w:rFonts w:cs="Times New Roman"/>
                <w:kern w:val="0"/>
                <w:szCs w:val="20"/>
              </w:rPr>
            </w:pPr>
            <w:r>
              <w:rPr>
                <w:rFonts w:hint="eastAsia" w:cs="Times New Roman"/>
                <w:kern w:val="0"/>
                <w:szCs w:val="20"/>
              </w:rPr>
              <w:t>3.3</w:t>
            </w:r>
          </w:p>
        </w:tc>
        <w:tc>
          <w:tcPr>
            <w:tcW w:w="274" w:type="pct"/>
            <w:tcBorders>
              <w:top w:val="single" w:color="auto" w:sz="4" w:space="0"/>
              <w:left w:val="single" w:color="auto" w:sz="4" w:space="0"/>
              <w:bottom w:val="single" w:color="auto" w:sz="12" w:space="0"/>
              <w:right w:val="single" w:color="auto" w:sz="4" w:space="0"/>
            </w:tcBorders>
            <w:noWrap/>
          </w:tcPr>
          <w:p w14:paraId="204459C6">
            <w:pPr>
              <w:pStyle w:val="445"/>
              <w:rPr>
                <w:rFonts w:cs="Times New Roman"/>
                <w:kern w:val="0"/>
                <w:szCs w:val="20"/>
              </w:rPr>
            </w:pPr>
            <w:r>
              <w:rPr>
                <w:rFonts w:hint="eastAsia" w:cs="Times New Roman"/>
                <w:kern w:val="0"/>
                <w:szCs w:val="20"/>
              </w:rPr>
              <w:t>8.42</w:t>
            </w:r>
          </w:p>
        </w:tc>
        <w:tc>
          <w:tcPr>
            <w:tcW w:w="290" w:type="pct"/>
            <w:tcBorders>
              <w:top w:val="single" w:color="auto" w:sz="4" w:space="0"/>
              <w:left w:val="single" w:color="auto" w:sz="4" w:space="0"/>
              <w:bottom w:val="single" w:color="auto" w:sz="12" w:space="0"/>
              <w:right w:val="single" w:color="auto" w:sz="4" w:space="0"/>
            </w:tcBorders>
            <w:noWrap/>
          </w:tcPr>
          <w:p w14:paraId="7934B1DB">
            <w:pPr>
              <w:pStyle w:val="445"/>
              <w:rPr>
                <w:rFonts w:cs="Times New Roman"/>
                <w:kern w:val="0"/>
                <w:szCs w:val="20"/>
              </w:rPr>
            </w:pPr>
            <w:r>
              <w:rPr>
                <w:rFonts w:hint="eastAsia" w:cs="Times New Roman"/>
                <w:kern w:val="0"/>
                <w:szCs w:val="20"/>
              </w:rPr>
              <w:t>5.49</w:t>
            </w:r>
          </w:p>
        </w:tc>
        <w:tc>
          <w:tcPr>
            <w:tcW w:w="274" w:type="pct"/>
            <w:tcBorders>
              <w:top w:val="single" w:color="auto" w:sz="4" w:space="0"/>
              <w:left w:val="single" w:color="auto" w:sz="4" w:space="0"/>
              <w:bottom w:val="single" w:color="auto" w:sz="12" w:space="0"/>
              <w:right w:val="single" w:color="auto" w:sz="4" w:space="0"/>
            </w:tcBorders>
            <w:noWrap/>
          </w:tcPr>
          <w:p w14:paraId="75980FD9">
            <w:pPr>
              <w:pStyle w:val="445"/>
              <w:rPr>
                <w:rFonts w:cs="Times New Roman"/>
                <w:kern w:val="0"/>
                <w:szCs w:val="20"/>
              </w:rPr>
            </w:pPr>
            <w:r>
              <w:rPr>
                <w:rFonts w:hint="eastAsia" w:cs="Times New Roman"/>
                <w:kern w:val="0"/>
                <w:szCs w:val="20"/>
              </w:rPr>
              <w:t>4.44</w:t>
            </w:r>
          </w:p>
        </w:tc>
        <w:tc>
          <w:tcPr>
            <w:tcW w:w="274" w:type="pct"/>
            <w:tcBorders>
              <w:top w:val="single" w:color="auto" w:sz="4" w:space="0"/>
              <w:left w:val="single" w:color="auto" w:sz="4" w:space="0"/>
              <w:bottom w:val="single" w:color="auto" w:sz="12" w:space="0"/>
              <w:right w:val="single" w:color="auto" w:sz="4" w:space="0"/>
            </w:tcBorders>
            <w:noWrap/>
          </w:tcPr>
          <w:p w14:paraId="65A4EA3F">
            <w:pPr>
              <w:pStyle w:val="445"/>
              <w:rPr>
                <w:rFonts w:cs="Times New Roman"/>
                <w:kern w:val="0"/>
                <w:szCs w:val="20"/>
              </w:rPr>
            </w:pPr>
            <w:r>
              <w:rPr>
                <w:rFonts w:hint="eastAsia" w:cs="Times New Roman"/>
                <w:kern w:val="0"/>
                <w:szCs w:val="20"/>
              </w:rPr>
              <w:t>3.34</w:t>
            </w:r>
          </w:p>
        </w:tc>
        <w:tc>
          <w:tcPr>
            <w:tcW w:w="268" w:type="pct"/>
            <w:tcBorders>
              <w:top w:val="single" w:color="auto" w:sz="4" w:space="0"/>
              <w:left w:val="single" w:color="auto" w:sz="4" w:space="0"/>
              <w:bottom w:val="single" w:color="auto" w:sz="12" w:space="0"/>
              <w:right w:val="nil"/>
            </w:tcBorders>
            <w:noWrap/>
          </w:tcPr>
          <w:p w14:paraId="02BB5AD1">
            <w:pPr>
              <w:pStyle w:val="445"/>
              <w:rPr>
                <w:rFonts w:cs="Times New Roman"/>
                <w:kern w:val="0"/>
                <w:szCs w:val="20"/>
              </w:rPr>
            </w:pPr>
            <w:r>
              <w:rPr>
                <w:rFonts w:hint="eastAsia" w:cs="Times New Roman"/>
                <w:kern w:val="0"/>
                <w:szCs w:val="20"/>
              </w:rPr>
              <w:t>2.34</w:t>
            </w:r>
          </w:p>
        </w:tc>
      </w:tr>
    </w:tbl>
    <w:p w14:paraId="57E96CD7">
      <w:pPr>
        <w:ind w:firstLine="480"/>
      </w:pPr>
    </w:p>
    <w:p w14:paraId="1F04E05D">
      <w:pPr>
        <w:ind w:firstLine="480"/>
      </w:pPr>
    </w:p>
    <w:p w14:paraId="065E5D91">
      <w:pPr>
        <w:ind w:firstLine="0" w:firstLineChars="0"/>
      </w:pPr>
    </w:p>
    <w:p w14:paraId="3E4BA6CC">
      <w:pPr>
        <w:ind w:firstLine="480"/>
        <w:sectPr>
          <w:pgSz w:w="16839" w:h="11907" w:orient="landscape"/>
          <w:pgMar w:top="1440" w:right="1440" w:bottom="1440" w:left="1440" w:header="851" w:footer="992" w:gutter="0"/>
          <w:cols w:space="425" w:num="1"/>
          <w:docGrid w:type="lines" w:linePitch="326" w:charSpace="0"/>
        </w:sectPr>
      </w:pPr>
    </w:p>
    <w:p w14:paraId="1C6D7E9C">
      <w:pPr>
        <w:pStyle w:val="4068"/>
      </w:pPr>
      <w:bookmarkStart w:id="198" w:name="_Toc108662636"/>
      <w:bookmarkStart w:id="199" w:name="_Toc101135859"/>
      <w:bookmarkStart w:id="200" w:name="_Toc100784027"/>
      <w:r>
        <w:t>5.1.</w:t>
      </w:r>
      <w:r>
        <w:rPr>
          <w:rFonts w:hint="eastAsia"/>
        </w:rPr>
        <w:t>2</w:t>
      </w:r>
      <w:r>
        <w:rPr>
          <w:rFonts w:ascii="黑体" w:hAnsi="黑体"/>
        </w:rPr>
        <w:t>预测模式</w:t>
      </w:r>
      <w:bookmarkEnd w:id="198"/>
      <w:bookmarkEnd w:id="199"/>
      <w:bookmarkEnd w:id="200"/>
    </w:p>
    <w:p w14:paraId="2F9EDEF2">
      <w:pPr>
        <w:ind w:firstLine="480"/>
      </w:pPr>
      <w:r>
        <w:rPr>
          <w:rFonts w:ascii="宋体" w:hAnsi="宋体"/>
        </w:rPr>
        <w:t>本项目大气评价等级为</w:t>
      </w:r>
      <w:r>
        <w:rPr>
          <w:rFonts w:hint="eastAsia" w:ascii="宋体" w:hAnsi="宋体"/>
        </w:rPr>
        <w:t>一级</w:t>
      </w:r>
      <w:r>
        <w:rPr>
          <w:rFonts w:ascii="宋体" w:hAnsi="宋体"/>
        </w:rPr>
        <w:t>，采用《环境影响评价技术导则</w:t>
      </w:r>
      <w:r>
        <w:t xml:space="preserve"> </w:t>
      </w:r>
      <w:r>
        <w:rPr>
          <w:rFonts w:ascii="宋体" w:hAnsi="宋体"/>
        </w:rPr>
        <w:t>大气环境》</w:t>
      </w:r>
      <w:r>
        <w:t>(HJ2.2-2018)</w:t>
      </w:r>
      <w:r>
        <w:rPr>
          <w:rFonts w:ascii="宋体" w:hAnsi="宋体"/>
        </w:rPr>
        <w:t>推荐的</w:t>
      </w:r>
      <w:r>
        <w:t>AERMOD</w:t>
      </w:r>
      <w:r>
        <w:rPr>
          <w:rFonts w:ascii="宋体" w:hAnsi="宋体"/>
        </w:rPr>
        <w:t>模式系统进行预测。</w:t>
      </w:r>
    </w:p>
    <w:p w14:paraId="7CDBAD32">
      <w:pPr>
        <w:pStyle w:val="4068"/>
      </w:pPr>
      <w:bookmarkStart w:id="201" w:name="_Toc100784028"/>
      <w:bookmarkStart w:id="202" w:name="_Toc101135860"/>
      <w:bookmarkStart w:id="203" w:name="_Toc108662637"/>
      <w:r>
        <w:t>5.1.</w:t>
      </w:r>
      <w:r>
        <w:rPr>
          <w:rFonts w:hint="eastAsia"/>
        </w:rPr>
        <w:t>3</w:t>
      </w:r>
      <w:r>
        <w:rPr>
          <w:rFonts w:ascii="黑体" w:hAnsi="黑体"/>
        </w:rPr>
        <w:t>预测条件</w:t>
      </w:r>
      <w:bookmarkEnd w:id="201"/>
      <w:bookmarkEnd w:id="202"/>
      <w:bookmarkEnd w:id="203"/>
    </w:p>
    <w:p w14:paraId="12905BB7">
      <w:pPr>
        <w:ind w:firstLine="482"/>
        <w:rPr>
          <w:b/>
        </w:rPr>
      </w:pPr>
      <w:r>
        <w:rPr>
          <w:rFonts w:ascii="宋体" w:hAnsi="宋体"/>
          <w:b/>
        </w:rPr>
        <w:t>（</w:t>
      </w:r>
      <w:r>
        <w:rPr>
          <w:b/>
        </w:rPr>
        <w:t>1</w:t>
      </w:r>
      <w:r>
        <w:rPr>
          <w:rFonts w:ascii="宋体" w:hAnsi="宋体"/>
          <w:b/>
        </w:rPr>
        <w:t>）气象条件选取、相应参数</w:t>
      </w:r>
    </w:p>
    <w:p w14:paraId="471B3B65">
      <w:pPr>
        <w:ind w:firstLine="480"/>
      </w:pPr>
      <w:r>
        <w:rPr>
          <w:rFonts w:ascii="宋体" w:hAnsi="宋体"/>
        </w:rPr>
        <w:t>（</w:t>
      </w:r>
      <w:r>
        <w:t>a</w:t>
      </w:r>
      <w:r>
        <w:rPr>
          <w:rFonts w:ascii="宋体" w:hAnsi="宋体"/>
        </w:rPr>
        <w:t>）气象条件选取</w:t>
      </w:r>
    </w:p>
    <w:p w14:paraId="7AC26934">
      <w:pPr>
        <w:ind w:firstLine="480"/>
      </w:pPr>
      <w:r>
        <w:rPr>
          <w:rFonts w:ascii="宋体" w:hAnsi="宋体"/>
        </w:rPr>
        <w:t>预测需要的气象资料采用气象观测站</w:t>
      </w:r>
      <w:r>
        <w:t>2020</w:t>
      </w:r>
      <w:r>
        <w:rPr>
          <w:rFonts w:ascii="宋体" w:hAnsi="宋体"/>
        </w:rPr>
        <w:t>年全年常规气象数据。</w:t>
      </w:r>
    </w:p>
    <w:p w14:paraId="0F4AF617">
      <w:pPr>
        <w:pStyle w:val="278"/>
        <w:ind w:firstLine="480"/>
      </w:pPr>
      <w:r>
        <w:rPr>
          <w:rFonts w:ascii="黑体" w:hAnsi="黑体"/>
        </w:rPr>
        <w:t>表</w:t>
      </w:r>
      <w:r>
        <w:t>5.1.</w:t>
      </w:r>
      <w:r>
        <w:rPr>
          <w:rFonts w:hint="eastAsia"/>
        </w:rPr>
        <w:t>3</w:t>
      </w:r>
      <w:r>
        <w:t xml:space="preserve">-1  </w:t>
      </w:r>
      <w:r>
        <w:rPr>
          <w:rFonts w:ascii="黑体" w:hAnsi="黑体"/>
        </w:rPr>
        <w:t>观测气象数据信息</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852"/>
        <w:gridCol w:w="1028"/>
        <w:gridCol w:w="850"/>
        <w:gridCol w:w="996"/>
        <w:gridCol w:w="978"/>
        <w:gridCol w:w="710"/>
        <w:gridCol w:w="847"/>
        <w:gridCol w:w="1986"/>
      </w:tblGrid>
      <w:tr w14:paraId="6506CA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39" w:type="pct"/>
            <w:vMerge w:val="restart"/>
            <w:tcBorders>
              <w:top w:val="single" w:color="auto" w:sz="12" w:space="0"/>
              <w:left w:val="nil"/>
              <w:bottom w:val="single" w:color="auto" w:sz="4" w:space="0"/>
              <w:right w:val="single" w:color="auto" w:sz="4" w:space="0"/>
            </w:tcBorders>
            <w:vAlign w:val="center"/>
          </w:tcPr>
          <w:p w14:paraId="49CF901F">
            <w:pPr>
              <w:pStyle w:val="445"/>
            </w:pPr>
            <w:r>
              <w:t>气象站名称</w:t>
            </w:r>
          </w:p>
        </w:tc>
        <w:tc>
          <w:tcPr>
            <w:tcW w:w="461" w:type="pct"/>
            <w:vMerge w:val="restart"/>
            <w:tcBorders>
              <w:top w:val="single" w:color="auto" w:sz="12" w:space="0"/>
              <w:left w:val="single" w:color="auto" w:sz="4" w:space="0"/>
              <w:bottom w:val="single" w:color="auto" w:sz="4" w:space="0"/>
              <w:right w:val="single" w:color="auto" w:sz="4" w:space="0"/>
            </w:tcBorders>
            <w:vAlign w:val="center"/>
          </w:tcPr>
          <w:p w14:paraId="3AD8BED8">
            <w:pPr>
              <w:pStyle w:val="445"/>
            </w:pPr>
            <w:r>
              <w:t>气象站编号</w:t>
            </w:r>
          </w:p>
        </w:tc>
        <w:tc>
          <w:tcPr>
            <w:tcW w:w="1015" w:type="pct"/>
            <w:gridSpan w:val="2"/>
            <w:tcBorders>
              <w:top w:val="single" w:color="auto" w:sz="12" w:space="0"/>
              <w:left w:val="single" w:color="auto" w:sz="4" w:space="0"/>
              <w:bottom w:val="single" w:color="auto" w:sz="4" w:space="0"/>
              <w:right w:val="single" w:color="auto" w:sz="4" w:space="0"/>
            </w:tcBorders>
            <w:vAlign w:val="center"/>
          </w:tcPr>
          <w:p w14:paraId="281E262F">
            <w:pPr>
              <w:pStyle w:val="445"/>
            </w:pPr>
            <w:r>
              <w:t>气象站坐标/m</w:t>
            </w:r>
          </w:p>
        </w:tc>
        <w:tc>
          <w:tcPr>
            <w:tcW w:w="539" w:type="pct"/>
            <w:vMerge w:val="restart"/>
            <w:tcBorders>
              <w:top w:val="single" w:color="auto" w:sz="12" w:space="0"/>
              <w:left w:val="single" w:color="auto" w:sz="4" w:space="0"/>
              <w:bottom w:val="single" w:color="auto" w:sz="4" w:space="0"/>
              <w:right w:val="single" w:color="auto" w:sz="4" w:space="0"/>
            </w:tcBorders>
            <w:vAlign w:val="center"/>
          </w:tcPr>
          <w:p w14:paraId="27AB9804">
            <w:pPr>
              <w:pStyle w:val="445"/>
            </w:pPr>
            <w:r>
              <w:t>相对距离/m</w:t>
            </w:r>
          </w:p>
        </w:tc>
        <w:tc>
          <w:tcPr>
            <w:tcW w:w="529" w:type="pct"/>
            <w:vMerge w:val="restart"/>
            <w:tcBorders>
              <w:top w:val="single" w:color="auto" w:sz="12" w:space="0"/>
              <w:left w:val="single" w:color="auto" w:sz="4" w:space="0"/>
              <w:bottom w:val="single" w:color="auto" w:sz="4" w:space="0"/>
              <w:right w:val="single" w:color="auto" w:sz="4" w:space="0"/>
            </w:tcBorders>
            <w:vAlign w:val="center"/>
          </w:tcPr>
          <w:p w14:paraId="7CF39B1B">
            <w:pPr>
              <w:pStyle w:val="445"/>
            </w:pPr>
            <w:r>
              <w:t>气象站等级</w:t>
            </w:r>
          </w:p>
        </w:tc>
        <w:tc>
          <w:tcPr>
            <w:tcW w:w="384" w:type="pct"/>
            <w:vMerge w:val="restart"/>
            <w:tcBorders>
              <w:top w:val="single" w:color="auto" w:sz="12" w:space="0"/>
              <w:left w:val="single" w:color="auto" w:sz="4" w:space="0"/>
              <w:bottom w:val="single" w:color="auto" w:sz="4" w:space="0"/>
              <w:right w:val="single" w:color="auto" w:sz="4" w:space="0"/>
            </w:tcBorders>
            <w:vAlign w:val="center"/>
          </w:tcPr>
          <w:p w14:paraId="289249DB">
            <w:pPr>
              <w:pStyle w:val="445"/>
            </w:pPr>
            <w:r>
              <w:t>海拔高度</w:t>
            </w:r>
          </w:p>
        </w:tc>
        <w:tc>
          <w:tcPr>
            <w:tcW w:w="458" w:type="pct"/>
            <w:vMerge w:val="restart"/>
            <w:tcBorders>
              <w:top w:val="single" w:color="auto" w:sz="12" w:space="0"/>
              <w:left w:val="single" w:color="auto" w:sz="4" w:space="0"/>
              <w:bottom w:val="single" w:color="auto" w:sz="4" w:space="0"/>
              <w:right w:val="single" w:color="auto" w:sz="4" w:space="0"/>
            </w:tcBorders>
            <w:vAlign w:val="center"/>
          </w:tcPr>
          <w:p w14:paraId="0F281188">
            <w:pPr>
              <w:pStyle w:val="445"/>
            </w:pPr>
            <w:r>
              <w:t>数据</w:t>
            </w:r>
          </w:p>
          <w:p w14:paraId="0F354003">
            <w:pPr>
              <w:pStyle w:val="445"/>
            </w:pPr>
            <w:r>
              <w:t>年份</w:t>
            </w:r>
          </w:p>
        </w:tc>
        <w:tc>
          <w:tcPr>
            <w:tcW w:w="1074" w:type="pct"/>
            <w:vMerge w:val="restart"/>
            <w:tcBorders>
              <w:top w:val="single" w:color="auto" w:sz="12" w:space="0"/>
              <w:left w:val="single" w:color="auto" w:sz="4" w:space="0"/>
              <w:bottom w:val="single" w:color="auto" w:sz="4" w:space="0"/>
              <w:right w:val="nil"/>
            </w:tcBorders>
            <w:vAlign w:val="center"/>
          </w:tcPr>
          <w:p w14:paraId="08E57003">
            <w:pPr>
              <w:pStyle w:val="445"/>
            </w:pPr>
            <w:r>
              <w:t>气象要素</w:t>
            </w:r>
          </w:p>
        </w:tc>
      </w:tr>
      <w:tr w14:paraId="44B5D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50823FF2">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2FDBFDFB">
            <w:pPr>
              <w:pStyle w:val="445"/>
              <w:rPr>
                <w:szCs w:val="18"/>
              </w:rPr>
            </w:pPr>
          </w:p>
        </w:tc>
        <w:tc>
          <w:tcPr>
            <w:tcW w:w="556" w:type="pct"/>
            <w:tcBorders>
              <w:top w:val="single" w:color="auto" w:sz="4" w:space="0"/>
              <w:left w:val="single" w:color="auto" w:sz="4" w:space="0"/>
              <w:bottom w:val="single" w:color="auto" w:sz="4" w:space="0"/>
              <w:right w:val="single" w:color="auto" w:sz="4" w:space="0"/>
            </w:tcBorders>
            <w:vAlign w:val="center"/>
          </w:tcPr>
          <w:p w14:paraId="25AB6292">
            <w:pPr>
              <w:pStyle w:val="445"/>
            </w:pPr>
            <w:r>
              <w:t>X</w:t>
            </w:r>
          </w:p>
        </w:tc>
        <w:tc>
          <w:tcPr>
            <w:tcW w:w="460" w:type="pct"/>
            <w:tcBorders>
              <w:top w:val="single" w:color="auto" w:sz="4" w:space="0"/>
              <w:left w:val="single" w:color="auto" w:sz="4" w:space="0"/>
              <w:bottom w:val="single" w:color="auto" w:sz="4" w:space="0"/>
              <w:right w:val="single" w:color="auto" w:sz="4" w:space="0"/>
            </w:tcBorders>
            <w:vAlign w:val="center"/>
          </w:tcPr>
          <w:p w14:paraId="3AF15375">
            <w:pPr>
              <w:pStyle w:val="445"/>
            </w:pPr>
            <w:r>
              <w:t>Y</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71B6FDE">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29F729C">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9FCB824">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F312560">
            <w:pPr>
              <w:pStyle w:val="445"/>
              <w:rPr>
                <w:szCs w:val="18"/>
              </w:rPr>
            </w:pPr>
          </w:p>
        </w:tc>
        <w:tc>
          <w:tcPr>
            <w:tcW w:w="0" w:type="auto"/>
            <w:vMerge w:val="continue"/>
            <w:tcBorders>
              <w:top w:val="single" w:color="auto" w:sz="12" w:space="0"/>
              <w:left w:val="single" w:color="auto" w:sz="4" w:space="0"/>
              <w:bottom w:val="single" w:color="auto" w:sz="4" w:space="0"/>
              <w:right w:val="nil"/>
            </w:tcBorders>
            <w:vAlign w:val="center"/>
          </w:tcPr>
          <w:p w14:paraId="1B73CE16">
            <w:pPr>
              <w:pStyle w:val="445"/>
              <w:rPr>
                <w:szCs w:val="18"/>
              </w:rPr>
            </w:pPr>
          </w:p>
        </w:tc>
      </w:tr>
      <w:tr w14:paraId="725869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39" w:type="pct"/>
            <w:tcBorders>
              <w:top w:val="single" w:color="auto" w:sz="4" w:space="0"/>
              <w:left w:val="nil"/>
              <w:bottom w:val="single" w:color="auto" w:sz="12" w:space="0"/>
              <w:right w:val="single" w:color="auto" w:sz="4" w:space="0"/>
            </w:tcBorders>
            <w:vAlign w:val="center"/>
          </w:tcPr>
          <w:p w14:paraId="10469D33">
            <w:pPr>
              <w:pStyle w:val="445"/>
              <w:rPr>
                <w:kern w:val="0"/>
              </w:rPr>
            </w:pPr>
            <w:r>
              <w:rPr>
                <w:rFonts w:hint="eastAsia"/>
                <w:kern w:val="0"/>
              </w:rPr>
              <w:t>蚌埠市</w:t>
            </w:r>
            <w:r>
              <w:rPr>
                <w:kern w:val="0"/>
              </w:rPr>
              <w:t>气象站</w:t>
            </w:r>
          </w:p>
        </w:tc>
        <w:tc>
          <w:tcPr>
            <w:tcW w:w="461" w:type="pct"/>
            <w:tcBorders>
              <w:top w:val="single" w:color="auto" w:sz="4" w:space="0"/>
              <w:left w:val="single" w:color="auto" w:sz="4" w:space="0"/>
              <w:bottom w:val="single" w:color="auto" w:sz="12" w:space="0"/>
              <w:right w:val="single" w:color="auto" w:sz="4" w:space="0"/>
            </w:tcBorders>
            <w:vAlign w:val="center"/>
          </w:tcPr>
          <w:p w14:paraId="000959AA">
            <w:pPr>
              <w:pStyle w:val="445"/>
              <w:rPr>
                <w:kern w:val="0"/>
              </w:rPr>
            </w:pPr>
            <w:r>
              <w:rPr>
                <w:kern w:val="0"/>
              </w:rPr>
              <w:t>58221</w:t>
            </w:r>
          </w:p>
        </w:tc>
        <w:tc>
          <w:tcPr>
            <w:tcW w:w="556" w:type="pct"/>
            <w:tcBorders>
              <w:top w:val="single" w:color="auto" w:sz="4" w:space="0"/>
              <w:left w:val="single" w:color="auto" w:sz="4" w:space="0"/>
              <w:bottom w:val="single" w:color="auto" w:sz="12" w:space="0"/>
              <w:right w:val="single" w:color="auto" w:sz="4" w:space="0"/>
            </w:tcBorders>
            <w:vAlign w:val="center"/>
          </w:tcPr>
          <w:p w14:paraId="01C181B7">
            <w:pPr>
              <w:pStyle w:val="445"/>
              <w:rPr>
                <w:kern w:val="0"/>
              </w:rPr>
            </w:pPr>
            <w:r>
              <w:rPr>
                <w:kern w:val="0"/>
              </w:rPr>
              <w:t>E117.4</w:t>
            </w:r>
          </w:p>
        </w:tc>
        <w:tc>
          <w:tcPr>
            <w:tcW w:w="460" w:type="pct"/>
            <w:tcBorders>
              <w:top w:val="single" w:color="auto" w:sz="4" w:space="0"/>
              <w:left w:val="single" w:color="auto" w:sz="4" w:space="0"/>
              <w:bottom w:val="single" w:color="auto" w:sz="12" w:space="0"/>
              <w:right w:val="single" w:color="auto" w:sz="4" w:space="0"/>
            </w:tcBorders>
            <w:vAlign w:val="center"/>
          </w:tcPr>
          <w:p w14:paraId="7799EA5F">
            <w:pPr>
              <w:pStyle w:val="445"/>
              <w:rPr>
                <w:kern w:val="0"/>
              </w:rPr>
            </w:pPr>
            <w:r>
              <w:rPr>
                <w:kern w:val="0"/>
              </w:rPr>
              <w:t>N32.92</w:t>
            </w:r>
          </w:p>
        </w:tc>
        <w:tc>
          <w:tcPr>
            <w:tcW w:w="539" w:type="pct"/>
            <w:tcBorders>
              <w:top w:val="single" w:color="auto" w:sz="4" w:space="0"/>
              <w:left w:val="single" w:color="auto" w:sz="4" w:space="0"/>
              <w:bottom w:val="single" w:color="auto" w:sz="12" w:space="0"/>
              <w:right w:val="single" w:color="auto" w:sz="4" w:space="0"/>
            </w:tcBorders>
            <w:vAlign w:val="center"/>
          </w:tcPr>
          <w:p w14:paraId="66C14267">
            <w:pPr>
              <w:pStyle w:val="445"/>
              <w:rPr>
                <w:kern w:val="0"/>
              </w:rPr>
            </w:pPr>
            <w:r>
              <w:rPr>
                <w:kern w:val="0"/>
              </w:rPr>
              <w:t>30147</w:t>
            </w:r>
          </w:p>
        </w:tc>
        <w:tc>
          <w:tcPr>
            <w:tcW w:w="529" w:type="pct"/>
            <w:tcBorders>
              <w:top w:val="single" w:color="auto" w:sz="4" w:space="0"/>
              <w:left w:val="single" w:color="auto" w:sz="4" w:space="0"/>
              <w:bottom w:val="single" w:color="auto" w:sz="12" w:space="0"/>
              <w:right w:val="single" w:color="auto" w:sz="4" w:space="0"/>
            </w:tcBorders>
            <w:vAlign w:val="center"/>
          </w:tcPr>
          <w:p w14:paraId="1F1D55D7">
            <w:pPr>
              <w:pStyle w:val="445"/>
              <w:rPr>
                <w:kern w:val="0"/>
              </w:rPr>
            </w:pPr>
            <w:r>
              <w:rPr>
                <w:rFonts w:hint="eastAsia"/>
                <w:kern w:val="0"/>
              </w:rPr>
              <w:t>基本站</w:t>
            </w:r>
          </w:p>
        </w:tc>
        <w:tc>
          <w:tcPr>
            <w:tcW w:w="384" w:type="pct"/>
            <w:tcBorders>
              <w:top w:val="single" w:color="auto" w:sz="4" w:space="0"/>
              <w:left w:val="single" w:color="auto" w:sz="4" w:space="0"/>
              <w:bottom w:val="single" w:color="auto" w:sz="12" w:space="0"/>
              <w:right w:val="single" w:color="auto" w:sz="4" w:space="0"/>
            </w:tcBorders>
            <w:vAlign w:val="center"/>
          </w:tcPr>
          <w:p w14:paraId="4372EC93">
            <w:pPr>
              <w:pStyle w:val="445"/>
              <w:rPr>
                <w:kern w:val="0"/>
              </w:rPr>
            </w:pPr>
            <w:r>
              <w:rPr>
                <w:kern w:val="0"/>
              </w:rPr>
              <w:t>2</w:t>
            </w:r>
            <w:r>
              <w:rPr>
                <w:rFonts w:hint="eastAsia"/>
                <w:kern w:val="0"/>
              </w:rPr>
              <w:t>6.8</w:t>
            </w:r>
          </w:p>
        </w:tc>
        <w:tc>
          <w:tcPr>
            <w:tcW w:w="458" w:type="pct"/>
            <w:tcBorders>
              <w:top w:val="single" w:color="auto" w:sz="4" w:space="0"/>
              <w:left w:val="single" w:color="auto" w:sz="4" w:space="0"/>
              <w:bottom w:val="single" w:color="auto" w:sz="12" w:space="0"/>
              <w:right w:val="single" w:color="auto" w:sz="4" w:space="0"/>
            </w:tcBorders>
            <w:vAlign w:val="center"/>
          </w:tcPr>
          <w:p w14:paraId="2AEAAA95">
            <w:pPr>
              <w:pStyle w:val="445"/>
              <w:rPr>
                <w:kern w:val="0"/>
              </w:rPr>
            </w:pPr>
            <w:r>
              <w:rPr>
                <w:rFonts w:hint="eastAsia"/>
                <w:kern w:val="0"/>
              </w:rPr>
              <w:t>20</w:t>
            </w:r>
            <w:r>
              <w:rPr>
                <w:kern w:val="0"/>
              </w:rPr>
              <w:t>20</w:t>
            </w:r>
          </w:p>
        </w:tc>
        <w:tc>
          <w:tcPr>
            <w:tcW w:w="1074" w:type="pct"/>
            <w:tcBorders>
              <w:top w:val="single" w:color="auto" w:sz="4" w:space="0"/>
              <w:left w:val="single" w:color="auto" w:sz="4" w:space="0"/>
              <w:bottom w:val="single" w:color="auto" w:sz="12" w:space="0"/>
              <w:right w:val="nil"/>
            </w:tcBorders>
            <w:vAlign w:val="center"/>
          </w:tcPr>
          <w:p w14:paraId="079ECE2E">
            <w:pPr>
              <w:pStyle w:val="445"/>
              <w:rPr>
                <w:kern w:val="0"/>
              </w:rPr>
            </w:pPr>
            <w:r>
              <w:rPr>
                <w:rFonts w:hint="eastAsia"/>
                <w:kern w:val="0"/>
              </w:rPr>
              <w:t>风向、风速、总云、低云、干球温度</w:t>
            </w:r>
          </w:p>
        </w:tc>
      </w:tr>
    </w:tbl>
    <w:p w14:paraId="44C481E7">
      <w:pPr>
        <w:ind w:firstLine="480"/>
        <w:rPr>
          <w:rFonts w:cs="Times New Roman"/>
        </w:rPr>
      </w:pPr>
      <w:r>
        <w:rPr>
          <w:rFonts w:ascii="宋体" w:hAnsi="宋体"/>
        </w:rPr>
        <w:t>（</w:t>
      </w:r>
      <w:r>
        <w:t>b</w:t>
      </w:r>
      <w:r>
        <w:rPr>
          <w:rFonts w:ascii="宋体" w:hAnsi="宋体"/>
        </w:rPr>
        <w:t>）地形数据来源</w:t>
      </w:r>
    </w:p>
    <w:p w14:paraId="41B86025">
      <w:pPr>
        <w:ind w:firstLine="480"/>
      </w:pPr>
      <w:r>
        <w:rPr>
          <w:rFonts w:ascii="宋体" w:hAnsi="宋体"/>
        </w:rPr>
        <w:t>本次预测采用的是</w:t>
      </w:r>
      <w:r>
        <w:t>USGS</w:t>
      </w:r>
      <w:r>
        <w:rPr>
          <w:rFonts w:ascii="宋体" w:hAnsi="宋体"/>
        </w:rPr>
        <w:t>的</w:t>
      </w:r>
      <w:r>
        <w:t>SRTM</w:t>
      </w:r>
      <w:r>
        <w:rPr>
          <w:vertAlign w:val="superscript"/>
        </w:rPr>
        <w:t>3</w:t>
      </w:r>
      <w:r>
        <w:rPr>
          <w:rFonts w:ascii="宋体" w:hAnsi="宋体"/>
        </w:rPr>
        <w:t>数字高程地形数据，精度为</w:t>
      </w:r>
      <w:r>
        <w:t>3arc</w:t>
      </w:r>
      <w:r>
        <w:rPr>
          <w:rFonts w:ascii="宋体" w:hAnsi="宋体"/>
        </w:rPr>
        <w:t>，约为</w:t>
      </w:r>
      <w:r>
        <w:t>90</w:t>
      </w:r>
      <w:r>
        <w:rPr>
          <w:rFonts w:ascii="宋体" w:hAnsi="宋体"/>
        </w:rPr>
        <w:t>米。</w:t>
      </w:r>
    </w:p>
    <w:p w14:paraId="594D547D">
      <w:pPr>
        <w:ind w:firstLine="0" w:firstLineChars="0"/>
        <w:jc w:val="center"/>
      </w:pPr>
      <w:r>
        <w:drawing>
          <wp:inline distT="0" distB="0" distL="0" distR="0">
            <wp:extent cx="4095750" cy="3538855"/>
            <wp:effectExtent l="0" t="0" r="0" b="4445"/>
            <wp:docPr id="14" name="图片 14" descr="C:\Users\ADMINI~1\AppData\Local\Temp\WeChat Files\0e3691cbb4c1bdca6a21e33cd71fd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WeChat Files\0e3691cbb4c1bdca6a21e33cd71fdfc.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105964" cy="3548030"/>
                    </a:xfrm>
                    <a:prstGeom prst="rect">
                      <a:avLst/>
                    </a:prstGeom>
                    <a:noFill/>
                    <a:ln>
                      <a:noFill/>
                    </a:ln>
                  </pic:spPr>
                </pic:pic>
              </a:graphicData>
            </a:graphic>
          </wp:inline>
        </w:drawing>
      </w:r>
      <w:r>
        <w:t xml:space="preserve"> </w:t>
      </w:r>
    </w:p>
    <w:p w14:paraId="06AF3294">
      <w:pPr>
        <w:pStyle w:val="278"/>
        <w:ind w:firstLine="480"/>
      </w:pPr>
      <w:r>
        <w:rPr>
          <w:rFonts w:ascii="黑体" w:hAnsi="黑体"/>
        </w:rPr>
        <w:t>图</w:t>
      </w:r>
      <w:r>
        <w:t>5.1.</w:t>
      </w:r>
      <w:r>
        <w:rPr>
          <w:rFonts w:hint="eastAsia"/>
        </w:rPr>
        <w:t>3</w:t>
      </w:r>
      <w:r>
        <w:t xml:space="preserve">-2  </w:t>
      </w:r>
      <w:r>
        <w:rPr>
          <w:rFonts w:ascii="黑体" w:hAnsi="黑体"/>
        </w:rPr>
        <w:t>评价区域地形高程图</w:t>
      </w:r>
    </w:p>
    <w:p w14:paraId="0A341237">
      <w:pPr>
        <w:ind w:firstLine="482"/>
        <w:rPr>
          <w:b/>
        </w:rPr>
      </w:pPr>
      <w:r>
        <w:rPr>
          <w:rFonts w:ascii="宋体" w:hAnsi="宋体"/>
          <w:b/>
        </w:rPr>
        <w:t>（</w:t>
      </w:r>
      <w:r>
        <w:rPr>
          <w:b/>
        </w:rPr>
        <w:t>2</w:t>
      </w:r>
      <w:r>
        <w:rPr>
          <w:rFonts w:ascii="宋体" w:hAnsi="宋体"/>
          <w:b/>
        </w:rPr>
        <w:t>）预测方案</w:t>
      </w:r>
    </w:p>
    <w:p w14:paraId="0AAB6F2C">
      <w:pPr>
        <w:ind w:firstLine="480"/>
      </w:pPr>
      <w:r>
        <w:rPr>
          <w:rFonts w:ascii="宋体" w:hAnsi="宋体"/>
        </w:rPr>
        <w:t>（</w:t>
      </w:r>
      <w:r>
        <w:t>a</w:t>
      </w:r>
      <w:r>
        <w:rPr>
          <w:rFonts w:ascii="宋体" w:hAnsi="宋体"/>
        </w:rPr>
        <w:t>）预测因子</w:t>
      </w:r>
    </w:p>
    <w:p w14:paraId="6DD49E62">
      <w:pPr>
        <w:ind w:firstLine="480"/>
      </w:pPr>
      <w:r>
        <w:rPr>
          <w:rFonts w:ascii="宋体" w:hAnsi="宋体"/>
        </w:rPr>
        <w:t>根据本项目工程分析和周围污染源分析</w:t>
      </w:r>
      <w:r>
        <w:rPr>
          <w:rFonts w:hint="eastAsia" w:ascii="宋体" w:hAnsi="宋体"/>
        </w:rPr>
        <w:t>，</w:t>
      </w:r>
      <w:r>
        <w:rPr>
          <w:rFonts w:ascii="宋体" w:hAnsi="宋体"/>
        </w:rPr>
        <w:t>筛选出本次预测因子：正常工况预测因子为</w:t>
      </w:r>
      <w:r>
        <w:t>SO</w:t>
      </w:r>
      <w:r>
        <w:rPr>
          <w:vertAlign w:val="subscript"/>
        </w:rPr>
        <w:t>2</w:t>
      </w:r>
      <w:r>
        <w:rPr>
          <w:rFonts w:ascii="宋体" w:hAnsi="宋体"/>
        </w:rPr>
        <w:t>、</w:t>
      </w:r>
      <w:r>
        <w:rPr>
          <w:rFonts w:hint="eastAsia"/>
        </w:rPr>
        <w:t>NO</w:t>
      </w:r>
      <w:r>
        <w:rPr>
          <w:vertAlign w:val="subscript"/>
        </w:rPr>
        <w:t>x</w:t>
      </w:r>
      <w:r>
        <w:rPr>
          <w:rFonts w:hint="eastAsia" w:ascii="宋体" w:hAnsi="宋体"/>
        </w:rPr>
        <w:t>、</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w:t>
      </w:r>
      <w:r>
        <w:rPr>
          <w:rFonts w:hint="eastAsia"/>
        </w:rPr>
        <w:t>甲醇</w:t>
      </w:r>
      <w:r>
        <w:rPr>
          <w:rFonts w:hint="eastAsia" w:ascii="宋体" w:hAnsi="宋体"/>
        </w:rPr>
        <w:t>、</w:t>
      </w:r>
      <w:r>
        <w:rPr>
          <w:rFonts w:hint="eastAsia" w:cs="Times New Roman"/>
        </w:rPr>
        <w:t>非甲烷总烃</w:t>
      </w:r>
      <w:r>
        <w:rPr>
          <w:rFonts w:cs="Times New Roman"/>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；非正常工况预测因子为</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w:t>
      </w:r>
      <w:r>
        <w:rPr>
          <w:rFonts w:hint="eastAsia"/>
        </w:rPr>
        <w:t>甲醇</w:t>
      </w:r>
      <w:r>
        <w:rPr>
          <w:rFonts w:hint="eastAsia" w:ascii="宋体" w:hAnsi="宋体"/>
        </w:rPr>
        <w:t>、</w:t>
      </w:r>
      <w:r>
        <w:rPr>
          <w:rFonts w:hint="eastAsia" w:cs="Times New Roman"/>
        </w:rPr>
        <w:t>非甲烷总烃</w:t>
      </w:r>
      <w:r>
        <w:t>、NH</w:t>
      </w:r>
      <w:r>
        <w:rPr>
          <w:vertAlign w:val="subscript"/>
        </w:rPr>
        <w:t>3</w:t>
      </w:r>
      <w:r>
        <w:rPr>
          <w:rFonts w:hint="eastAsia"/>
        </w:rPr>
        <w:t>。</w:t>
      </w:r>
    </w:p>
    <w:p w14:paraId="10CD06AC">
      <w:pPr>
        <w:ind w:firstLine="480"/>
      </w:pPr>
      <w:r>
        <w:rPr>
          <w:rFonts w:ascii="宋体" w:hAnsi="宋体"/>
        </w:rPr>
        <w:t>（</w:t>
      </w:r>
      <w:r>
        <w:t>b</w:t>
      </w:r>
      <w:r>
        <w:rPr>
          <w:rFonts w:ascii="宋体" w:hAnsi="宋体"/>
        </w:rPr>
        <w:t>）预测范围</w:t>
      </w:r>
    </w:p>
    <w:p w14:paraId="2485ABB5">
      <w:pPr>
        <w:ind w:firstLine="480"/>
      </w:pPr>
      <w:r>
        <w:rPr>
          <w:rFonts w:ascii="宋体" w:hAnsi="宋体"/>
        </w:rPr>
        <w:t>根据</w:t>
      </w:r>
      <w:r>
        <w:t>AERSCREEN</w:t>
      </w:r>
      <w:r>
        <w:rPr>
          <w:rFonts w:ascii="宋体" w:hAnsi="宋体"/>
        </w:rPr>
        <w:t>预测结果，本项目</w:t>
      </w:r>
      <w:r>
        <w:t>D10%</w:t>
      </w:r>
      <w:r>
        <w:rPr>
          <w:rFonts w:ascii="宋体" w:hAnsi="宋体"/>
        </w:rPr>
        <w:t>最远距离</w:t>
      </w:r>
      <w:r>
        <w:rPr>
          <w:rFonts w:ascii="宋体" w:hAnsi="宋体"/>
          <w:shd w:val="clear" w:color="auto" w:fill="FFFFFF" w:themeFill="background1"/>
        </w:rPr>
        <w:t>为</w:t>
      </w:r>
      <w:r>
        <w:rPr>
          <w:shd w:val="clear" w:color="auto" w:fill="FFFFFF" w:themeFill="background1"/>
        </w:rPr>
        <w:t>1400m</w:t>
      </w:r>
      <w:r>
        <w:rPr>
          <w:rFonts w:ascii="宋体" w:hAnsi="宋体"/>
          <w:shd w:val="clear" w:color="auto" w:fill="FFFFFF" w:themeFill="background1"/>
        </w:rPr>
        <w:t>，</w:t>
      </w:r>
      <w:r>
        <w:rPr>
          <w:rFonts w:ascii="宋体" w:hAnsi="宋体"/>
        </w:rPr>
        <w:t>根据《环境影响评价技术导则</w:t>
      </w:r>
      <w:r>
        <w:t xml:space="preserve"> </w:t>
      </w:r>
      <w:r>
        <w:rPr>
          <w:rFonts w:ascii="宋体" w:hAnsi="宋体"/>
        </w:rPr>
        <w:t>大气环境》</w:t>
      </w:r>
      <w:r>
        <w:t>(HJ 2.2-2018)</w:t>
      </w:r>
      <w:r>
        <w:rPr>
          <w:rFonts w:ascii="宋体" w:hAnsi="宋体"/>
        </w:rPr>
        <w:t>，本次大气预测的范围为：</w:t>
      </w:r>
      <w:r>
        <w:rPr>
          <w:rFonts w:hint="eastAsia"/>
        </w:rPr>
        <w:t>边长5km矩形</w:t>
      </w:r>
      <w:r>
        <w:rPr>
          <w:rFonts w:ascii="宋体" w:hAnsi="宋体"/>
        </w:rPr>
        <w:t>区域。</w:t>
      </w:r>
    </w:p>
    <w:p w14:paraId="37191393">
      <w:pPr>
        <w:ind w:firstLine="480"/>
      </w:pPr>
      <w:r>
        <w:rPr>
          <w:rFonts w:ascii="宋体" w:hAnsi="宋体"/>
        </w:rPr>
        <w:t>（</w:t>
      </w:r>
      <w:r>
        <w:t>c</w:t>
      </w:r>
      <w:r>
        <w:rPr>
          <w:rFonts w:ascii="宋体" w:hAnsi="宋体"/>
        </w:rPr>
        <w:t>）预测网格</w:t>
      </w:r>
      <w:r>
        <w:rPr>
          <w:rFonts w:hint="eastAsia" w:ascii="宋体" w:hAnsi="宋体"/>
        </w:rPr>
        <w:t>及预测点</w:t>
      </w:r>
    </w:p>
    <w:p w14:paraId="5810B98E">
      <w:pPr>
        <w:ind w:firstLine="480"/>
      </w:pPr>
      <w:r>
        <w:rPr>
          <w:rFonts w:ascii="宋体" w:hAnsi="宋体"/>
        </w:rPr>
        <w:t>本次预测采用矩形网格，将大气评价范围全部包括在内，网格间</w:t>
      </w:r>
      <w:r>
        <w:t>距为50m</w:t>
      </w:r>
      <w:r>
        <w:rPr>
          <w:rFonts w:hint="eastAsia" w:ascii="宋体" w:hAnsi="宋体"/>
        </w:rPr>
        <w:t>，评价区域预测点共</w:t>
      </w:r>
      <w:r>
        <w:t>11155</w:t>
      </w:r>
      <w:r>
        <w:rPr>
          <w:rFonts w:hint="eastAsia" w:ascii="宋体" w:hAnsi="宋体"/>
        </w:rPr>
        <w:t>个。同时选取大气</w:t>
      </w:r>
      <w:r>
        <w:rPr>
          <w:rFonts w:ascii="宋体" w:hAnsi="宋体"/>
        </w:rPr>
        <w:t>评价范围内</w:t>
      </w:r>
      <w:r>
        <w:rPr>
          <w:rFonts w:hint="eastAsia" w:ascii="宋体" w:hAnsi="宋体"/>
        </w:rPr>
        <w:t>厂区</w:t>
      </w:r>
      <w:r>
        <w:rPr>
          <w:rFonts w:ascii="宋体" w:hAnsi="宋体"/>
        </w:rPr>
        <w:t>上风向</w:t>
      </w:r>
      <w:r>
        <w:rPr>
          <w:rFonts w:hint="eastAsia" w:ascii="宋体" w:hAnsi="宋体"/>
        </w:rPr>
        <w:t>、</w:t>
      </w:r>
      <w:r>
        <w:rPr>
          <w:rFonts w:ascii="宋体" w:hAnsi="宋体"/>
        </w:rPr>
        <w:t>下风向</w:t>
      </w:r>
      <w:r>
        <w:rPr>
          <w:rFonts w:hint="eastAsia" w:ascii="宋体" w:hAnsi="宋体"/>
        </w:rPr>
        <w:t>代表性</w:t>
      </w:r>
      <w:r>
        <w:rPr>
          <w:rFonts w:ascii="宋体" w:hAnsi="宋体"/>
        </w:rPr>
        <w:t>敏感点</w:t>
      </w:r>
      <w:r>
        <w:rPr>
          <w:rFonts w:hint="eastAsia" w:ascii="宋体" w:hAnsi="宋体"/>
        </w:rPr>
        <w:t>作为预测点，选取敏感点见表</w:t>
      </w:r>
      <w:r>
        <w:rPr>
          <w:rFonts w:hint="eastAsia"/>
        </w:rPr>
        <w:t>5.1.3-2</w:t>
      </w:r>
      <w:r>
        <w:rPr>
          <w:rFonts w:hint="eastAsia" w:ascii="宋体" w:hAnsi="宋体"/>
        </w:rPr>
        <w:t>。</w:t>
      </w:r>
    </w:p>
    <w:p w14:paraId="14AB5D8C">
      <w:pPr>
        <w:pStyle w:val="278"/>
      </w:pPr>
      <w:r>
        <w:t>表</w:t>
      </w:r>
      <w:r>
        <w:rPr>
          <w:rFonts w:hint="eastAsia"/>
        </w:rPr>
        <w:t>5.1.3-2</w:t>
      </w:r>
      <w:r>
        <w:t xml:space="preserve"> </w:t>
      </w:r>
      <w:r>
        <w:rPr>
          <w:rFonts w:hint="eastAsia"/>
        </w:rPr>
        <w:t xml:space="preserve"> 环境保护目标及坐标</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2544"/>
        <w:gridCol w:w="1815"/>
        <w:gridCol w:w="2011"/>
        <w:gridCol w:w="2012"/>
      </w:tblGrid>
      <w:tr w14:paraId="1C7BD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66" w:type="pct"/>
            <w:vMerge w:val="restart"/>
            <w:tcBorders>
              <w:top w:val="single" w:color="auto" w:sz="12" w:space="0"/>
              <w:left w:val="nil"/>
              <w:bottom w:val="single" w:color="auto" w:sz="4" w:space="0"/>
              <w:right w:val="single" w:color="auto" w:sz="4" w:space="0"/>
            </w:tcBorders>
            <w:vAlign w:val="center"/>
          </w:tcPr>
          <w:p w14:paraId="0D3078FD">
            <w:pPr>
              <w:pStyle w:val="445"/>
              <w:rPr>
                <w:rFonts w:cs="Times New Roman"/>
                <w:kern w:val="0"/>
                <w:szCs w:val="20"/>
              </w:rPr>
            </w:pPr>
            <w:r>
              <w:rPr>
                <w:rFonts w:cs="Times New Roman"/>
                <w:kern w:val="0"/>
                <w:szCs w:val="20"/>
              </w:rPr>
              <w:t>序号</w:t>
            </w:r>
          </w:p>
        </w:tc>
        <w:tc>
          <w:tcPr>
            <w:tcW w:w="1376" w:type="pct"/>
            <w:vMerge w:val="restart"/>
            <w:tcBorders>
              <w:top w:val="single" w:color="auto" w:sz="12" w:space="0"/>
              <w:left w:val="single" w:color="auto" w:sz="4" w:space="0"/>
              <w:bottom w:val="single" w:color="auto" w:sz="4" w:space="0"/>
              <w:right w:val="single" w:color="auto" w:sz="4" w:space="0"/>
            </w:tcBorders>
            <w:vAlign w:val="center"/>
          </w:tcPr>
          <w:p w14:paraId="179E2D12">
            <w:pPr>
              <w:pStyle w:val="445"/>
              <w:rPr>
                <w:rFonts w:cs="Times New Roman"/>
                <w:kern w:val="0"/>
                <w:szCs w:val="20"/>
              </w:rPr>
            </w:pPr>
            <w:r>
              <w:rPr>
                <w:rFonts w:cs="Times New Roman"/>
                <w:kern w:val="0"/>
                <w:szCs w:val="20"/>
              </w:rPr>
              <w:t>名称</w:t>
            </w:r>
          </w:p>
        </w:tc>
        <w:tc>
          <w:tcPr>
            <w:tcW w:w="2070" w:type="pct"/>
            <w:gridSpan w:val="2"/>
            <w:tcBorders>
              <w:top w:val="single" w:color="auto" w:sz="12" w:space="0"/>
              <w:left w:val="single" w:color="auto" w:sz="4" w:space="0"/>
              <w:bottom w:val="single" w:color="auto" w:sz="4" w:space="0"/>
              <w:right w:val="single" w:color="auto" w:sz="4" w:space="0"/>
            </w:tcBorders>
            <w:vAlign w:val="center"/>
          </w:tcPr>
          <w:p w14:paraId="2A33D6FE">
            <w:pPr>
              <w:pStyle w:val="445"/>
              <w:rPr>
                <w:rFonts w:cs="Times New Roman"/>
                <w:kern w:val="0"/>
                <w:szCs w:val="20"/>
              </w:rPr>
            </w:pPr>
            <w:r>
              <w:rPr>
                <w:rFonts w:cs="Times New Roman"/>
                <w:kern w:val="0"/>
                <w:szCs w:val="20"/>
              </w:rPr>
              <w:t>坐标</w:t>
            </w:r>
          </w:p>
        </w:tc>
        <w:tc>
          <w:tcPr>
            <w:tcW w:w="1088" w:type="pct"/>
            <w:vMerge w:val="restart"/>
            <w:tcBorders>
              <w:top w:val="single" w:color="auto" w:sz="12" w:space="0"/>
              <w:left w:val="single" w:color="auto" w:sz="4" w:space="0"/>
              <w:bottom w:val="single" w:color="auto" w:sz="4" w:space="0"/>
              <w:right w:val="nil"/>
            </w:tcBorders>
            <w:vAlign w:val="center"/>
          </w:tcPr>
          <w:p w14:paraId="21CBA4BE">
            <w:pPr>
              <w:pStyle w:val="445"/>
              <w:rPr>
                <w:rFonts w:cs="Times New Roman"/>
                <w:kern w:val="0"/>
                <w:szCs w:val="20"/>
              </w:rPr>
            </w:pPr>
            <w:r>
              <w:rPr>
                <w:rFonts w:cs="Times New Roman"/>
                <w:kern w:val="0"/>
                <w:szCs w:val="20"/>
              </w:rPr>
              <w:t>备注</w:t>
            </w:r>
          </w:p>
        </w:tc>
      </w:tr>
      <w:tr w14:paraId="56D15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561B5790">
            <w:pPr>
              <w:pStyle w:val="445"/>
              <w:rPr>
                <w:rFonts w:ascii="Calibri" w:hAnsi="Calibri" w:cs="Times New Roman"/>
                <w:kern w:val="0"/>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1FB130A">
            <w:pPr>
              <w:pStyle w:val="445"/>
              <w:rPr>
                <w:rFonts w:cs="Times New Roman"/>
                <w:kern w:val="0"/>
                <w:szCs w:val="18"/>
              </w:rPr>
            </w:pPr>
          </w:p>
        </w:tc>
        <w:tc>
          <w:tcPr>
            <w:tcW w:w="982" w:type="pct"/>
            <w:tcBorders>
              <w:top w:val="single" w:color="auto" w:sz="4" w:space="0"/>
              <w:left w:val="single" w:color="auto" w:sz="4" w:space="0"/>
              <w:bottom w:val="single" w:color="auto" w:sz="4" w:space="0"/>
              <w:right w:val="single" w:color="auto" w:sz="4" w:space="0"/>
            </w:tcBorders>
            <w:vAlign w:val="center"/>
          </w:tcPr>
          <w:p w14:paraId="48165DC5">
            <w:pPr>
              <w:pStyle w:val="445"/>
              <w:rPr>
                <w:rFonts w:cs="Times New Roman"/>
                <w:kern w:val="0"/>
                <w:szCs w:val="20"/>
              </w:rPr>
            </w:pPr>
            <w:r>
              <w:rPr>
                <w:rFonts w:hint="eastAsia" w:cs="Times New Roman"/>
                <w:kern w:val="0"/>
                <w:szCs w:val="20"/>
              </w:rPr>
              <w:t>X</w:t>
            </w:r>
          </w:p>
        </w:tc>
        <w:tc>
          <w:tcPr>
            <w:tcW w:w="1088" w:type="pct"/>
            <w:tcBorders>
              <w:top w:val="single" w:color="auto" w:sz="4" w:space="0"/>
              <w:left w:val="single" w:color="auto" w:sz="4" w:space="0"/>
              <w:bottom w:val="single" w:color="auto" w:sz="4" w:space="0"/>
              <w:right w:val="single" w:color="auto" w:sz="4" w:space="0"/>
            </w:tcBorders>
            <w:vAlign w:val="center"/>
          </w:tcPr>
          <w:p w14:paraId="1D182137">
            <w:pPr>
              <w:pStyle w:val="445"/>
              <w:rPr>
                <w:rFonts w:cs="Times New Roman"/>
                <w:kern w:val="0"/>
                <w:szCs w:val="20"/>
              </w:rPr>
            </w:pPr>
            <w:r>
              <w:rPr>
                <w:rFonts w:hint="eastAsia" w:cs="Times New Roman"/>
                <w:kern w:val="0"/>
                <w:szCs w:val="20"/>
              </w:rPr>
              <w:t>Y</w:t>
            </w:r>
          </w:p>
        </w:tc>
        <w:tc>
          <w:tcPr>
            <w:tcW w:w="0" w:type="auto"/>
            <w:vMerge w:val="continue"/>
            <w:tcBorders>
              <w:top w:val="single" w:color="auto" w:sz="12" w:space="0"/>
              <w:left w:val="single" w:color="auto" w:sz="4" w:space="0"/>
              <w:bottom w:val="single" w:color="auto" w:sz="4" w:space="0"/>
              <w:right w:val="nil"/>
            </w:tcBorders>
            <w:vAlign w:val="center"/>
          </w:tcPr>
          <w:p w14:paraId="41BEFBDE">
            <w:pPr>
              <w:pStyle w:val="445"/>
              <w:rPr>
                <w:rFonts w:cs="Times New Roman"/>
                <w:kern w:val="0"/>
                <w:szCs w:val="18"/>
              </w:rPr>
            </w:pPr>
          </w:p>
        </w:tc>
      </w:tr>
      <w:tr w14:paraId="1DA5C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66" w:type="pct"/>
            <w:tcBorders>
              <w:top w:val="single" w:color="auto" w:sz="4" w:space="0"/>
              <w:left w:val="nil"/>
              <w:bottom w:val="single" w:color="auto" w:sz="4" w:space="0"/>
              <w:right w:val="single" w:color="auto" w:sz="4" w:space="0"/>
            </w:tcBorders>
            <w:vAlign w:val="center"/>
          </w:tcPr>
          <w:p w14:paraId="3851322B">
            <w:pPr>
              <w:pStyle w:val="445"/>
              <w:rPr>
                <w:rFonts w:cs="Times New Roman"/>
                <w:kern w:val="0"/>
                <w:szCs w:val="20"/>
              </w:rPr>
            </w:pPr>
            <w:r>
              <w:rPr>
                <w:rFonts w:cs="Times New Roman"/>
                <w:kern w:val="0"/>
                <w:szCs w:val="20"/>
              </w:rPr>
              <w:t>1</w:t>
            </w:r>
          </w:p>
        </w:tc>
        <w:tc>
          <w:tcPr>
            <w:tcW w:w="1376" w:type="pct"/>
            <w:tcBorders>
              <w:top w:val="single" w:color="auto" w:sz="4" w:space="0"/>
              <w:left w:val="single" w:color="auto" w:sz="4" w:space="0"/>
              <w:bottom w:val="single" w:color="auto" w:sz="4" w:space="0"/>
              <w:right w:val="single" w:color="auto" w:sz="4" w:space="0"/>
            </w:tcBorders>
            <w:vAlign w:val="center"/>
          </w:tcPr>
          <w:p w14:paraId="1DFE602F">
            <w:pPr>
              <w:pStyle w:val="445"/>
              <w:rPr>
                <w:rFonts w:cs="Times New Roman"/>
                <w:kern w:val="0"/>
                <w:szCs w:val="20"/>
              </w:rPr>
            </w:pPr>
            <w:r>
              <w:rPr>
                <w:rFonts w:hint="eastAsia" w:cs="Times New Roman"/>
                <w:kern w:val="0"/>
                <w:szCs w:val="20"/>
              </w:rPr>
              <w:t>三铺村</w:t>
            </w:r>
          </w:p>
        </w:tc>
        <w:tc>
          <w:tcPr>
            <w:tcW w:w="982" w:type="pct"/>
            <w:tcBorders>
              <w:top w:val="single" w:color="auto" w:sz="4" w:space="0"/>
              <w:left w:val="single" w:color="auto" w:sz="4" w:space="0"/>
              <w:bottom w:val="single" w:color="auto" w:sz="4" w:space="0"/>
              <w:right w:val="single" w:color="auto" w:sz="4" w:space="0"/>
            </w:tcBorders>
            <w:vAlign w:val="center"/>
          </w:tcPr>
          <w:p w14:paraId="42BCA645">
            <w:pPr>
              <w:pStyle w:val="445"/>
              <w:rPr>
                <w:rFonts w:cs="Times New Roman"/>
                <w:kern w:val="0"/>
                <w:szCs w:val="20"/>
              </w:rPr>
            </w:pPr>
            <w:r>
              <w:rPr>
                <w:rFonts w:hint="eastAsia" w:cs="Times New Roman"/>
                <w:kern w:val="0"/>
                <w:szCs w:val="20"/>
              </w:rPr>
              <w:t>-7</w:t>
            </w:r>
          </w:p>
        </w:tc>
        <w:tc>
          <w:tcPr>
            <w:tcW w:w="1088" w:type="pct"/>
            <w:tcBorders>
              <w:top w:val="single" w:color="auto" w:sz="4" w:space="0"/>
              <w:left w:val="single" w:color="auto" w:sz="4" w:space="0"/>
              <w:bottom w:val="single" w:color="auto" w:sz="4" w:space="0"/>
              <w:right w:val="single" w:color="auto" w:sz="4" w:space="0"/>
            </w:tcBorders>
            <w:vAlign w:val="center"/>
          </w:tcPr>
          <w:p w14:paraId="5A436B93">
            <w:pPr>
              <w:pStyle w:val="445"/>
              <w:rPr>
                <w:rFonts w:cs="Times New Roman"/>
                <w:kern w:val="0"/>
                <w:szCs w:val="20"/>
              </w:rPr>
            </w:pPr>
            <w:r>
              <w:rPr>
                <w:rFonts w:hint="eastAsia" w:cs="Times New Roman"/>
                <w:kern w:val="0"/>
                <w:szCs w:val="20"/>
              </w:rPr>
              <w:t>1319</w:t>
            </w:r>
          </w:p>
        </w:tc>
        <w:tc>
          <w:tcPr>
            <w:tcW w:w="1088" w:type="pct"/>
            <w:vMerge w:val="restart"/>
            <w:tcBorders>
              <w:top w:val="single" w:color="auto" w:sz="4" w:space="0"/>
              <w:left w:val="single" w:color="auto" w:sz="4" w:space="0"/>
              <w:bottom w:val="single" w:color="auto" w:sz="4" w:space="0"/>
              <w:right w:val="nil"/>
            </w:tcBorders>
            <w:vAlign w:val="center"/>
          </w:tcPr>
          <w:p w14:paraId="6782BD51">
            <w:pPr>
              <w:pStyle w:val="445"/>
              <w:rPr>
                <w:rFonts w:cs="Times New Roman"/>
                <w:kern w:val="0"/>
                <w:szCs w:val="20"/>
              </w:rPr>
            </w:pPr>
            <w:r>
              <w:rPr>
                <w:rFonts w:hint="eastAsia" w:cs="Times New Roman"/>
                <w:kern w:val="0"/>
                <w:szCs w:val="20"/>
              </w:rPr>
              <w:t>大气环境</w:t>
            </w:r>
            <w:r>
              <w:rPr>
                <w:rFonts w:cs="Times New Roman"/>
                <w:kern w:val="0"/>
                <w:szCs w:val="20"/>
              </w:rPr>
              <w:t>影响评价</w:t>
            </w:r>
            <w:r>
              <w:rPr>
                <w:rFonts w:hint="eastAsia" w:cs="Times New Roman"/>
                <w:kern w:val="0"/>
                <w:szCs w:val="20"/>
              </w:rPr>
              <w:t>范围内上风向、下风向代表性</w:t>
            </w:r>
            <w:r>
              <w:rPr>
                <w:rFonts w:cs="Times New Roman"/>
                <w:kern w:val="0"/>
                <w:szCs w:val="20"/>
              </w:rPr>
              <w:t>敏感点</w:t>
            </w:r>
          </w:p>
        </w:tc>
      </w:tr>
      <w:tr w14:paraId="51E60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66" w:type="pct"/>
            <w:tcBorders>
              <w:top w:val="single" w:color="auto" w:sz="4" w:space="0"/>
              <w:left w:val="nil"/>
              <w:bottom w:val="single" w:color="auto" w:sz="4" w:space="0"/>
              <w:right w:val="single" w:color="auto" w:sz="4" w:space="0"/>
            </w:tcBorders>
            <w:vAlign w:val="center"/>
          </w:tcPr>
          <w:p w14:paraId="7AF321D0">
            <w:pPr>
              <w:pStyle w:val="445"/>
              <w:rPr>
                <w:rFonts w:cs="Times New Roman"/>
                <w:kern w:val="0"/>
                <w:szCs w:val="20"/>
              </w:rPr>
            </w:pPr>
            <w:r>
              <w:rPr>
                <w:rFonts w:cs="Times New Roman"/>
                <w:kern w:val="0"/>
                <w:szCs w:val="20"/>
              </w:rPr>
              <w:t>2</w:t>
            </w:r>
          </w:p>
        </w:tc>
        <w:tc>
          <w:tcPr>
            <w:tcW w:w="1376" w:type="pct"/>
            <w:tcBorders>
              <w:top w:val="single" w:color="auto" w:sz="4" w:space="0"/>
              <w:left w:val="single" w:color="auto" w:sz="4" w:space="0"/>
              <w:bottom w:val="single" w:color="auto" w:sz="4" w:space="0"/>
              <w:right w:val="single" w:color="auto" w:sz="4" w:space="0"/>
            </w:tcBorders>
            <w:vAlign w:val="center"/>
          </w:tcPr>
          <w:p w14:paraId="5C6534E7">
            <w:pPr>
              <w:pStyle w:val="445"/>
              <w:rPr>
                <w:rFonts w:cs="Times New Roman"/>
                <w:kern w:val="0"/>
                <w:szCs w:val="20"/>
              </w:rPr>
            </w:pPr>
            <w:r>
              <w:rPr>
                <w:rFonts w:hint="eastAsia" w:cs="Times New Roman"/>
                <w:kern w:val="0"/>
                <w:szCs w:val="20"/>
              </w:rPr>
              <w:t>高王家</w:t>
            </w:r>
          </w:p>
        </w:tc>
        <w:tc>
          <w:tcPr>
            <w:tcW w:w="982" w:type="pct"/>
            <w:tcBorders>
              <w:top w:val="single" w:color="auto" w:sz="4" w:space="0"/>
              <w:left w:val="single" w:color="auto" w:sz="4" w:space="0"/>
              <w:bottom w:val="single" w:color="auto" w:sz="4" w:space="0"/>
              <w:right w:val="single" w:color="auto" w:sz="4" w:space="0"/>
            </w:tcBorders>
            <w:vAlign w:val="center"/>
          </w:tcPr>
          <w:p w14:paraId="31AB6400">
            <w:pPr>
              <w:pStyle w:val="445"/>
              <w:rPr>
                <w:rFonts w:cs="Times New Roman"/>
                <w:kern w:val="0"/>
                <w:szCs w:val="20"/>
              </w:rPr>
            </w:pPr>
            <w:r>
              <w:rPr>
                <w:rFonts w:hint="eastAsia" w:cs="Times New Roman"/>
                <w:kern w:val="0"/>
                <w:szCs w:val="20"/>
              </w:rPr>
              <w:t>1358</w:t>
            </w:r>
          </w:p>
        </w:tc>
        <w:tc>
          <w:tcPr>
            <w:tcW w:w="1088" w:type="pct"/>
            <w:tcBorders>
              <w:top w:val="single" w:color="auto" w:sz="4" w:space="0"/>
              <w:left w:val="single" w:color="auto" w:sz="4" w:space="0"/>
              <w:bottom w:val="single" w:color="auto" w:sz="4" w:space="0"/>
              <w:right w:val="single" w:color="auto" w:sz="4" w:space="0"/>
            </w:tcBorders>
            <w:vAlign w:val="center"/>
          </w:tcPr>
          <w:p w14:paraId="172824ED">
            <w:pPr>
              <w:pStyle w:val="445"/>
              <w:rPr>
                <w:rFonts w:cs="Times New Roman"/>
                <w:kern w:val="0"/>
                <w:szCs w:val="20"/>
              </w:rPr>
            </w:pPr>
            <w:r>
              <w:rPr>
                <w:rFonts w:hint="eastAsia" w:cs="Times New Roman"/>
                <w:kern w:val="0"/>
                <w:szCs w:val="20"/>
              </w:rPr>
              <w:t>2441</w:t>
            </w:r>
          </w:p>
        </w:tc>
        <w:tc>
          <w:tcPr>
            <w:tcW w:w="0" w:type="auto"/>
            <w:vMerge w:val="continue"/>
            <w:tcBorders>
              <w:top w:val="single" w:color="auto" w:sz="4" w:space="0"/>
              <w:left w:val="single" w:color="auto" w:sz="4" w:space="0"/>
              <w:bottom w:val="single" w:color="auto" w:sz="4" w:space="0"/>
              <w:right w:val="nil"/>
            </w:tcBorders>
            <w:vAlign w:val="center"/>
          </w:tcPr>
          <w:p w14:paraId="7A1D522A">
            <w:pPr>
              <w:pStyle w:val="445"/>
              <w:rPr>
                <w:rFonts w:cs="Times New Roman"/>
                <w:kern w:val="0"/>
                <w:szCs w:val="18"/>
              </w:rPr>
            </w:pPr>
          </w:p>
        </w:tc>
      </w:tr>
      <w:tr w14:paraId="5FFBD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66" w:type="pct"/>
            <w:tcBorders>
              <w:top w:val="single" w:color="auto" w:sz="4" w:space="0"/>
              <w:left w:val="nil"/>
              <w:bottom w:val="single" w:color="auto" w:sz="4" w:space="0"/>
              <w:right w:val="single" w:color="auto" w:sz="4" w:space="0"/>
            </w:tcBorders>
            <w:vAlign w:val="center"/>
          </w:tcPr>
          <w:p w14:paraId="0181D0D3">
            <w:pPr>
              <w:pStyle w:val="445"/>
              <w:rPr>
                <w:rFonts w:cs="Times New Roman"/>
                <w:kern w:val="0"/>
                <w:szCs w:val="20"/>
              </w:rPr>
            </w:pPr>
            <w:r>
              <w:rPr>
                <w:rFonts w:cs="Times New Roman"/>
                <w:kern w:val="0"/>
                <w:szCs w:val="20"/>
              </w:rPr>
              <w:t>3</w:t>
            </w:r>
          </w:p>
        </w:tc>
        <w:tc>
          <w:tcPr>
            <w:tcW w:w="1376" w:type="pct"/>
            <w:tcBorders>
              <w:top w:val="single" w:color="auto" w:sz="4" w:space="0"/>
              <w:left w:val="single" w:color="auto" w:sz="4" w:space="0"/>
              <w:bottom w:val="single" w:color="auto" w:sz="4" w:space="0"/>
              <w:right w:val="single" w:color="auto" w:sz="4" w:space="0"/>
            </w:tcBorders>
            <w:vAlign w:val="center"/>
          </w:tcPr>
          <w:p w14:paraId="6C34DF0E">
            <w:pPr>
              <w:pStyle w:val="445"/>
              <w:rPr>
                <w:rFonts w:cs="Times New Roman"/>
                <w:kern w:val="0"/>
                <w:szCs w:val="20"/>
              </w:rPr>
            </w:pPr>
            <w:r>
              <w:rPr>
                <w:rFonts w:hint="eastAsia" w:cs="Times New Roman"/>
                <w:kern w:val="0"/>
                <w:szCs w:val="20"/>
              </w:rPr>
              <w:t>邓庙</w:t>
            </w:r>
          </w:p>
        </w:tc>
        <w:tc>
          <w:tcPr>
            <w:tcW w:w="982" w:type="pct"/>
            <w:tcBorders>
              <w:top w:val="single" w:color="auto" w:sz="4" w:space="0"/>
              <w:left w:val="single" w:color="auto" w:sz="4" w:space="0"/>
              <w:bottom w:val="single" w:color="auto" w:sz="4" w:space="0"/>
              <w:right w:val="single" w:color="auto" w:sz="4" w:space="0"/>
            </w:tcBorders>
            <w:vAlign w:val="center"/>
          </w:tcPr>
          <w:p w14:paraId="435E02F7">
            <w:pPr>
              <w:pStyle w:val="445"/>
              <w:rPr>
                <w:rFonts w:cs="Times New Roman"/>
                <w:kern w:val="0"/>
                <w:szCs w:val="20"/>
              </w:rPr>
            </w:pPr>
            <w:r>
              <w:rPr>
                <w:rFonts w:hint="eastAsia" w:cs="Times New Roman"/>
                <w:kern w:val="0"/>
                <w:szCs w:val="20"/>
              </w:rPr>
              <w:t>-1219</w:t>
            </w:r>
          </w:p>
        </w:tc>
        <w:tc>
          <w:tcPr>
            <w:tcW w:w="1088" w:type="pct"/>
            <w:tcBorders>
              <w:top w:val="single" w:color="auto" w:sz="4" w:space="0"/>
              <w:left w:val="single" w:color="auto" w:sz="4" w:space="0"/>
              <w:bottom w:val="single" w:color="auto" w:sz="4" w:space="0"/>
              <w:right w:val="single" w:color="auto" w:sz="4" w:space="0"/>
            </w:tcBorders>
            <w:vAlign w:val="center"/>
          </w:tcPr>
          <w:p w14:paraId="08A48BE2">
            <w:pPr>
              <w:pStyle w:val="445"/>
              <w:rPr>
                <w:rFonts w:cs="Times New Roman"/>
                <w:kern w:val="0"/>
                <w:szCs w:val="20"/>
              </w:rPr>
            </w:pPr>
            <w:r>
              <w:rPr>
                <w:rFonts w:hint="eastAsia" w:cs="Times New Roman"/>
                <w:kern w:val="0"/>
                <w:szCs w:val="20"/>
              </w:rPr>
              <w:t>2415</w:t>
            </w:r>
          </w:p>
        </w:tc>
        <w:tc>
          <w:tcPr>
            <w:tcW w:w="0" w:type="auto"/>
            <w:vMerge w:val="continue"/>
            <w:tcBorders>
              <w:top w:val="single" w:color="auto" w:sz="4" w:space="0"/>
              <w:left w:val="single" w:color="auto" w:sz="4" w:space="0"/>
              <w:bottom w:val="single" w:color="auto" w:sz="4" w:space="0"/>
              <w:right w:val="nil"/>
            </w:tcBorders>
            <w:vAlign w:val="center"/>
          </w:tcPr>
          <w:p w14:paraId="2B9721E3">
            <w:pPr>
              <w:pStyle w:val="445"/>
              <w:rPr>
                <w:rFonts w:cs="Times New Roman"/>
                <w:kern w:val="0"/>
                <w:szCs w:val="18"/>
              </w:rPr>
            </w:pPr>
          </w:p>
        </w:tc>
      </w:tr>
      <w:tr w14:paraId="44973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66" w:type="pct"/>
            <w:tcBorders>
              <w:top w:val="single" w:color="auto" w:sz="4" w:space="0"/>
              <w:left w:val="nil"/>
              <w:bottom w:val="single" w:color="auto" w:sz="4" w:space="0"/>
              <w:right w:val="single" w:color="auto" w:sz="4" w:space="0"/>
            </w:tcBorders>
            <w:vAlign w:val="center"/>
          </w:tcPr>
          <w:p w14:paraId="5AA361D2">
            <w:pPr>
              <w:pStyle w:val="445"/>
              <w:rPr>
                <w:rFonts w:cs="Times New Roman"/>
                <w:kern w:val="0"/>
                <w:szCs w:val="20"/>
              </w:rPr>
            </w:pPr>
            <w:r>
              <w:rPr>
                <w:rFonts w:cs="Times New Roman"/>
                <w:kern w:val="0"/>
                <w:szCs w:val="20"/>
              </w:rPr>
              <w:t>4</w:t>
            </w:r>
          </w:p>
        </w:tc>
        <w:tc>
          <w:tcPr>
            <w:tcW w:w="1376" w:type="pct"/>
            <w:tcBorders>
              <w:top w:val="single" w:color="auto" w:sz="4" w:space="0"/>
              <w:left w:val="single" w:color="auto" w:sz="4" w:space="0"/>
              <w:bottom w:val="single" w:color="auto" w:sz="4" w:space="0"/>
              <w:right w:val="single" w:color="auto" w:sz="4" w:space="0"/>
            </w:tcBorders>
            <w:vAlign w:val="center"/>
          </w:tcPr>
          <w:p w14:paraId="48EC8D54">
            <w:pPr>
              <w:pStyle w:val="445"/>
              <w:rPr>
                <w:rFonts w:cs="Times New Roman"/>
                <w:kern w:val="0"/>
                <w:szCs w:val="20"/>
              </w:rPr>
            </w:pPr>
            <w:r>
              <w:rPr>
                <w:rFonts w:hint="eastAsia" w:cs="Times New Roman"/>
                <w:kern w:val="0"/>
                <w:szCs w:val="20"/>
              </w:rPr>
              <w:t>李洼</w:t>
            </w:r>
          </w:p>
        </w:tc>
        <w:tc>
          <w:tcPr>
            <w:tcW w:w="982" w:type="pct"/>
            <w:tcBorders>
              <w:top w:val="single" w:color="auto" w:sz="4" w:space="0"/>
              <w:left w:val="single" w:color="auto" w:sz="4" w:space="0"/>
              <w:bottom w:val="single" w:color="auto" w:sz="4" w:space="0"/>
              <w:right w:val="single" w:color="auto" w:sz="4" w:space="0"/>
            </w:tcBorders>
            <w:vAlign w:val="center"/>
          </w:tcPr>
          <w:p w14:paraId="35F6B9C4">
            <w:pPr>
              <w:pStyle w:val="445"/>
              <w:rPr>
                <w:rFonts w:cs="Times New Roman"/>
                <w:kern w:val="0"/>
                <w:szCs w:val="20"/>
              </w:rPr>
            </w:pPr>
            <w:r>
              <w:rPr>
                <w:rFonts w:hint="eastAsia" w:cs="Times New Roman"/>
                <w:kern w:val="0"/>
                <w:szCs w:val="20"/>
              </w:rPr>
              <w:t>-1988</w:t>
            </w:r>
          </w:p>
        </w:tc>
        <w:tc>
          <w:tcPr>
            <w:tcW w:w="1088" w:type="pct"/>
            <w:tcBorders>
              <w:top w:val="single" w:color="auto" w:sz="4" w:space="0"/>
              <w:left w:val="single" w:color="auto" w:sz="4" w:space="0"/>
              <w:bottom w:val="single" w:color="auto" w:sz="4" w:space="0"/>
              <w:right w:val="single" w:color="auto" w:sz="4" w:space="0"/>
            </w:tcBorders>
            <w:vAlign w:val="center"/>
          </w:tcPr>
          <w:p w14:paraId="55415D68">
            <w:pPr>
              <w:pStyle w:val="445"/>
              <w:rPr>
                <w:rFonts w:cs="Times New Roman"/>
                <w:kern w:val="0"/>
                <w:szCs w:val="20"/>
              </w:rPr>
            </w:pPr>
            <w:r>
              <w:rPr>
                <w:rFonts w:hint="eastAsia" w:cs="Times New Roman"/>
                <w:kern w:val="0"/>
                <w:szCs w:val="20"/>
              </w:rPr>
              <w:t>1422</w:t>
            </w:r>
          </w:p>
        </w:tc>
        <w:tc>
          <w:tcPr>
            <w:tcW w:w="0" w:type="auto"/>
            <w:vMerge w:val="continue"/>
            <w:tcBorders>
              <w:top w:val="single" w:color="auto" w:sz="4" w:space="0"/>
              <w:left w:val="single" w:color="auto" w:sz="4" w:space="0"/>
              <w:bottom w:val="single" w:color="auto" w:sz="4" w:space="0"/>
              <w:right w:val="nil"/>
            </w:tcBorders>
            <w:vAlign w:val="center"/>
          </w:tcPr>
          <w:p w14:paraId="47A94A61">
            <w:pPr>
              <w:pStyle w:val="445"/>
              <w:rPr>
                <w:rFonts w:cs="Times New Roman"/>
                <w:kern w:val="0"/>
                <w:szCs w:val="18"/>
              </w:rPr>
            </w:pPr>
          </w:p>
        </w:tc>
      </w:tr>
      <w:tr w14:paraId="3A9A4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66" w:type="pct"/>
            <w:tcBorders>
              <w:top w:val="single" w:color="auto" w:sz="4" w:space="0"/>
              <w:left w:val="nil"/>
              <w:bottom w:val="single" w:color="auto" w:sz="12" w:space="0"/>
              <w:right w:val="single" w:color="auto" w:sz="4" w:space="0"/>
            </w:tcBorders>
            <w:vAlign w:val="center"/>
          </w:tcPr>
          <w:p w14:paraId="79506CCC">
            <w:pPr>
              <w:pStyle w:val="445"/>
              <w:rPr>
                <w:rFonts w:cs="Times New Roman"/>
                <w:kern w:val="0"/>
                <w:szCs w:val="20"/>
              </w:rPr>
            </w:pPr>
            <w:r>
              <w:rPr>
                <w:rFonts w:cs="Times New Roman"/>
                <w:kern w:val="0"/>
                <w:szCs w:val="20"/>
              </w:rPr>
              <w:t>5</w:t>
            </w:r>
          </w:p>
        </w:tc>
        <w:tc>
          <w:tcPr>
            <w:tcW w:w="1376" w:type="pct"/>
            <w:tcBorders>
              <w:top w:val="single" w:color="auto" w:sz="4" w:space="0"/>
              <w:left w:val="single" w:color="auto" w:sz="4" w:space="0"/>
              <w:bottom w:val="single" w:color="auto" w:sz="12" w:space="0"/>
              <w:right w:val="single" w:color="auto" w:sz="4" w:space="0"/>
            </w:tcBorders>
            <w:vAlign w:val="center"/>
          </w:tcPr>
          <w:p w14:paraId="1D6ACEC4">
            <w:pPr>
              <w:pStyle w:val="445"/>
              <w:rPr>
                <w:rFonts w:cs="Times New Roman"/>
                <w:kern w:val="0"/>
                <w:szCs w:val="20"/>
              </w:rPr>
            </w:pPr>
            <w:r>
              <w:rPr>
                <w:rFonts w:hint="eastAsia" w:cs="Times New Roman"/>
                <w:kern w:val="0"/>
                <w:szCs w:val="20"/>
              </w:rPr>
              <w:t>陈巷</w:t>
            </w:r>
          </w:p>
        </w:tc>
        <w:tc>
          <w:tcPr>
            <w:tcW w:w="982" w:type="pct"/>
            <w:tcBorders>
              <w:top w:val="single" w:color="auto" w:sz="4" w:space="0"/>
              <w:left w:val="single" w:color="auto" w:sz="4" w:space="0"/>
              <w:bottom w:val="single" w:color="auto" w:sz="12" w:space="0"/>
              <w:right w:val="single" w:color="auto" w:sz="4" w:space="0"/>
            </w:tcBorders>
            <w:vAlign w:val="center"/>
          </w:tcPr>
          <w:p w14:paraId="258AE409">
            <w:pPr>
              <w:pStyle w:val="445"/>
              <w:rPr>
                <w:rFonts w:cs="Times New Roman"/>
                <w:kern w:val="0"/>
                <w:szCs w:val="20"/>
              </w:rPr>
            </w:pPr>
            <w:r>
              <w:rPr>
                <w:rFonts w:hint="eastAsia" w:cs="Times New Roman"/>
                <w:kern w:val="0"/>
                <w:szCs w:val="20"/>
              </w:rPr>
              <w:t>-1802</w:t>
            </w:r>
          </w:p>
        </w:tc>
        <w:tc>
          <w:tcPr>
            <w:tcW w:w="1088" w:type="pct"/>
            <w:tcBorders>
              <w:top w:val="single" w:color="auto" w:sz="4" w:space="0"/>
              <w:left w:val="single" w:color="auto" w:sz="4" w:space="0"/>
              <w:bottom w:val="single" w:color="auto" w:sz="12" w:space="0"/>
              <w:right w:val="single" w:color="auto" w:sz="4" w:space="0"/>
            </w:tcBorders>
            <w:vAlign w:val="center"/>
          </w:tcPr>
          <w:p w14:paraId="5C5AF4E6">
            <w:pPr>
              <w:pStyle w:val="445"/>
              <w:rPr>
                <w:rFonts w:cs="Times New Roman"/>
                <w:kern w:val="0"/>
                <w:szCs w:val="20"/>
              </w:rPr>
            </w:pPr>
            <w:r>
              <w:rPr>
                <w:rFonts w:hint="eastAsia" w:cs="Times New Roman"/>
                <w:kern w:val="0"/>
                <w:szCs w:val="20"/>
              </w:rPr>
              <w:t>-1931</w:t>
            </w:r>
          </w:p>
        </w:tc>
        <w:tc>
          <w:tcPr>
            <w:tcW w:w="0" w:type="auto"/>
            <w:vMerge w:val="continue"/>
            <w:tcBorders>
              <w:top w:val="single" w:color="auto" w:sz="4" w:space="0"/>
              <w:left w:val="single" w:color="auto" w:sz="4" w:space="0"/>
              <w:bottom w:val="single" w:color="auto" w:sz="12" w:space="0"/>
              <w:right w:val="nil"/>
            </w:tcBorders>
            <w:vAlign w:val="center"/>
          </w:tcPr>
          <w:p w14:paraId="28720E46">
            <w:pPr>
              <w:pStyle w:val="445"/>
              <w:rPr>
                <w:rFonts w:cs="Times New Roman"/>
                <w:kern w:val="0"/>
                <w:szCs w:val="18"/>
              </w:rPr>
            </w:pPr>
          </w:p>
        </w:tc>
      </w:tr>
    </w:tbl>
    <w:p w14:paraId="6D54F1E4">
      <w:pPr>
        <w:ind w:firstLine="480"/>
      </w:pPr>
      <w:r>
        <w:rPr>
          <w:rFonts w:ascii="宋体" w:hAnsi="宋体"/>
        </w:rPr>
        <w:t>（</w:t>
      </w:r>
      <w:r>
        <w:t>d</w:t>
      </w:r>
      <w:r>
        <w:rPr>
          <w:rFonts w:ascii="宋体" w:hAnsi="宋体"/>
        </w:rPr>
        <w:t>）预测内容</w:t>
      </w:r>
    </w:p>
    <w:p w14:paraId="6ED097A9">
      <w:pPr>
        <w:ind w:firstLine="480"/>
      </w:pPr>
      <w:r>
        <w:rPr>
          <w:rFonts w:ascii="宋体" w:hAnsi="宋体"/>
        </w:rPr>
        <w:t>本次预测及评价内容见表</w:t>
      </w:r>
      <w:r>
        <w:t>5.1.</w:t>
      </w:r>
      <w:r>
        <w:rPr>
          <w:rFonts w:hint="eastAsia"/>
        </w:rPr>
        <w:t>3</w:t>
      </w:r>
      <w:r>
        <w:t>-</w:t>
      </w:r>
      <w:r>
        <w:rPr>
          <w:rFonts w:hint="eastAsia"/>
        </w:rPr>
        <w:t>3</w:t>
      </w:r>
      <w:r>
        <w:rPr>
          <w:rFonts w:ascii="宋体" w:hAnsi="宋体"/>
        </w:rPr>
        <w:t>。</w:t>
      </w:r>
    </w:p>
    <w:p w14:paraId="53571485">
      <w:pPr>
        <w:pStyle w:val="278"/>
        <w:ind w:firstLine="480"/>
      </w:pPr>
      <w:r>
        <w:rPr>
          <w:rFonts w:ascii="黑体" w:hAnsi="黑体"/>
        </w:rPr>
        <w:t>表</w:t>
      </w:r>
      <w:r>
        <w:t>5.1.</w:t>
      </w:r>
      <w:r>
        <w:rPr>
          <w:rFonts w:hint="eastAsia"/>
        </w:rPr>
        <w:t>3</w:t>
      </w:r>
      <w:r>
        <w:t>-</w:t>
      </w:r>
      <w:r>
        <w:rPr>
          <w:rFonts w:hint="eastAsia"/>
        </w:rPr>
        <w:t>3</w:t>
      </w:r>
      <w:r>
        <w:t xml:space="preserve">  </w:t>
      </w:r>
      <w:r>
        <w:rPr>
          <w:rFonts w:ascii="黑体" w:hAnsi="黑体"/>
        </w:rPr>
        <w:t>本项目预测及评价内容</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111"/>
        <w:gridCol w:w="2143"/>
        <w:gridCol w:w="1063"/>
        <w:gridCol w:w="2244"/>
        <w:gridCol w:w="1961"/>
      </w:tblGrid>
      <w:tr w14:paraId="49A72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0" w:type="pct"/>
            <w:vAlign w:val="center"/>
          </w:tcPr>
          <w:p w14:paraId="4EBB2255">
            <w:pPr>
              <w:pStyle w:val="445"/>
              <w:rPr>
                <w:rFonts w:cs="Times New Roman"/>
                <w:kern w:val="0"/>
                <w:szCs w:val="20"/>
              </w:rPr>
            </w:pPr>
            <w:r>
              <w:rPr>
                <w:rFonts w:cs="Times New Roman"/>
                <w:kern w:val="0"/>
                <w:szCs w:val="20"/>
              </w:rPr>
              <w:t>评价</w:t>
            </w:r>
          </w:p>
          <w:p w14:paraId="7C2105EB">
            <w:pPr>
              <w:pStyle w:val="445"/>
              <w:rPr>
                <w:rFonts w:cs="Times New Roman"/>
                <w:kern w:val="0"/>
                <w:szCs w:val="20"/>
              </w:rPr>
            </w:pPr>
            <w:r>
              <w:rPr>
                <w:rFonts w:cs="Times New Roman"/>
                <w:kern w:val="0"/>
                <w:szCs w:val="20"/>
              </w:rPr>
              <w:t>对象</w:t>
            </w:r>
          </w:p>
        </w:tc>
        <w:tc>
          <w:tcPr>
            <w:tcW w:w="601" w:type="pct"/>
            <w:vAlign w:val="center"/>
          </w:tcPr>
          <w:p w14:paraId="19ED0FEB">
            <w:pPr>
              <w:pStyle w:val="445"/>
              <w:rPr>
                <w:rFonts w:cs="Times New Roman"/>
                <w:kern w:val="0"/>
                <w:szCs w:val="20"/>
              </w:rPr>
            </w:pPr>
            <w:r>
              <w:rPr>
                <w:rFonts w:cs="Times New Roman"/>
                <w:kern w:val="0"/>
                <w:szCs w:val="20"/>
              </w:rPr>
              <w:t>污染源</w:t>
            </w:r>
          </w:p>
        </w:tc>
        <w:tc>
          <w:tcPr>
            <w:tcW w:w="1159" w:type="pct"/>
            <w:vAlign w:val="center"/>
          </w:tcPr>
          <w:p w14:paraId="3688747A">
            <w:pPr>
              <w:pStyle w:val="445"/>
              <w:rPr>
                <w:rFonts w:cs="Times New Roman"/>
                <w:kern w:val="0"/>
                <w:szCs w:val="20"/>
              </w:rPr>
            </w:pPr>
            <w:r>
              <w:rPr>
                <w:rFonts w:cs="Times New Roman"/>
                <w:kern w:val="0"/>
                <w:szCs w:val="20"/>
              </w:rPr>
              <w:t>预测因子</w:t>
            </w:r>
          </w:p>
        </w:tc>
        <w:tc>
          <w:tcPr>
            <w:tcW w:w="575" w:type="pct"/>
            <w:vAlign w:val="center"/>
          </w:tcPr>
          <w:p w14:paraId="2BE93873">
            <w:pPr>
              <w:pStyle w:val="445"/>
              <w:rPr>
                <w:rFonts w:cs="Times New Roman"/>
                <w:kern w:val="0"/>
                <w:szCs w:val="20"/>
              </w:rPr>
            </w:pPr>
            <w:r>
              <w:rPr>
                <w:rFonts w:cs="Times New Roman"/>
                <w:kern w:val="0"/>
                <w:szCs w:val="20"/>
              </w:rPr>
              <w:t>污染源</w:t>
            </w:r>
          </w:p>
          <w:p w14:paraId="2D275C3C">
            <w:pPr>
              <w:pStyle w:val="445"/>
              <w:rPr>
                <w:rFonts w:cs="Times New Roman"/>
                <w:kern w:val="0"/>
                <w:szCs w:val="20"/>
              </w:rPr>
            </w:pPr>
            <w:r>
              <w:rPr>
                <w:rFonts w:cs="Times New Roman"/>
                <w:kern w:val="0"/>
                <w:szCs w:val="20"/>
              </w:rPr>
              <w:t>排放形式</w:t>
            </w:r>
          </w:p>
        </w:tc>
        <w:tc>
          <w:tcPr>
            <w:tcW w:w="1214" w:type="pct"/>
            <w:vAlign w:val="center"/>
          </w:tcPr>
          <w:p w14:paraId="5A0A3613">
            <w:pPr>
              <w:pStyle w:val="445"/>
              <w:rPr>
                <w:rFonts w:cs="Times New Roman"/>
                <w:kern w:val="0"/>
                <w:szCs w:val="20"/>
              </w:rPr>
            </w:pPr>
            <w:r>
              <w:rPr>
                <w:rFonts w:cs="Times New Roman"/>
                <w:kern w:val="0"/>
                <w:szCs w:val="20"/>
              </w:rPr>
              <w:t>预测内容</w:t>
            </w:r>
          </w:p>
        </w:tc>
        <w:tc>
          <w:tcPr>
            <w:tcW w:w="1061" w:type="pct"/>
            <w:vAlign w:val="center"/>
          </w:tcPr>
          <w:p w14:paraId="54C94D4B">
            <w:pPr>
              <w:pStyle w:val="445"/>
              <w:rPr>
                <w:rFonts w:cs="Times New Roman"/>
                <w:kern w:val="0"/>
                <w:szCs w:val="20"/>
              </w:rPr>
            </w:pPr>
            <w:r>
              <w:rPr>
                <w:rFonts w:cs="Times New Roman"/>
                <w:kern w:val="0"/>
                <w:szCs w:val="20"/>
              </w:rPr>
              <w:t>评价内容</w:t>
            </w:r>
          </w:p>
        </w:tc>
      </w:tr>
      <w:tr w14:paraId="7F86D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0" w:type="pct"/>
            <w:vMerge w:val="restart"/>
            <w:vAlign w:val="center"/>
          </w:tcPr>
          <w:p w14:paraId="2B9C3116">
            <w:pPr>
              <w:pStyle w:val="445"/>
              <w:rPr>
                <w:rFonts w:cs="Times New Roman"/>
                <w:kern w:val="0"/>
                <w:szCs w:val="20"/>
              </w:rPr>
            </w:pPr>
            <w:r>
              <w:rPr>
                <w:rFonts w:cs="Times New Roman"/>
                <w:kern w:val="0"/>
                <w:szCs w:val="20"/>
              </w:rPr>
              <w:t>不达标区评价项目</w:t>
            </w:r>
          </w:p>
        </w:tc>
        <w:tc>
          <w:tcPr>
            <w:tcW w:w="601" w:type="pct"/>
            <w:vAlign w:val="center"/>
          </w:tcPr>
          <w:p w14:paraId="2213D5FC">
            <w:pPr>
              <w:pStyle w:val="445"/>
              <w:rPr>
                <w:rFonts w:cs="Times New Roman"/>
                <w:kern w:val="0"/>
                <w:szCs w:val="20"/>
              </w:rPr>
            </w:pPr>
            <w:r>
              <w:rPr>
                <w:rFonts w:cs="Times New Roman"/>
                <w:kern w:val="0"/>
                <w:szCs w:val="20"/>
              </w:rPr>
              <w:t>新增污染源</w:t>
            </w:r>
          </w:p>
        </w:tc>
        <w:tc>
          <w:tcPr>
            <w:tcW w:w="1159" w:type="pct"/>
            <w:vAlign w:val="center"/>
          </w:tcPr>
          <w:p w14:paraId="6E04F8D7">
            <w:pPr>
              <w:pStyle w:val="445"/>
              <w:rPr>
                <w:rFonts w:cs="Times New Roman"/>
                <w:kern w:val="0"/>
                <w:szCs w:val="20"/>
              </w:rPr>
            </w:pPr>
            <w:r>
              <w:rPr>
                <w:rFonts w:cs="Times New Roman"/>
                <w:kern w:val="0"/>
                <w:szCs w:val="20"/>
              </w:rPr>
              <w:t>SO</w:t>
            </w:r>
            <w:r>
              <w:rPr>
                <w:rFonts w:cs="Times New Roman"/>
                <w:kern w:val="0"/>
                <w:szCs w:val="20"/>
                <w:vertAlign w:val="subscript"/>
              </w:rPr>
              <w:t>2</w:t>
            </w:r>
            <w:r>
              <w:rPr>
                <w:rFonts w:cs="Times New Roman"/>
                <w:kern w:val="0"/>
                <w:szCs w:val="20"/>
              </w:rPr>
              <w:t>、</w:t>
            </w:r>
            <w:r>
              <w:rPr>
                <w:rFonts w:hint="eastAsia" w:cs="Times New Roman"/>
                <w:kern w:val="0"/>
                <w:szCs w:val="20"/>
              </w:rPr>
              <w:t>NO</w:t>
            </w:r>
            <w:r>
              <w:rPr>
                <w:rFonts w:cs="Times New Roman"/>
                <w:kern w:val="0"/>
                <w:szCs w:val="20"/>
                <w:vertAlign w:val="subscript"/>
              </w:rPr>
              <w:t>x</w:t>
            </w:r>
            <w:r>
              <w:rPr>
                <w:rFonts w:hint="eastAsia" w:cs="Times New Roman"/>
                <w:kern w:val="0"/>
                <w:szCs w:val="20"/>
              </w:rPr>
              <w:t>、</w:t>
            </w:r>
            <w:r>
              <w:rPr>
                <w:rFonts w:cs="Times New Roman"/>
                <w:kern w:val="0"/>
                <w:szCs w:val="20"/>
              </w:rPr>
              <w:t>PM</w:t>
            </w:r>
            <w:r>
              <w:rPr>
                <w:rFonts w:cs="Times New Roman"/>
                <w:kern w:val="0"/>
                <w:szCs w:val="20"/>
                <w:vertAlign w:val="subscript"/>
              </w:rPr>
              <w:t>10</w:t>
            </w:r>
            <w:r>
              <w:rPr>
                <w:rFonts w:cs="Times New Roman"/>
                <w:kern w:val="0"/>
                <w:szCs w:val="20"/>
              </w:rPr>
              <w:t>、</w:t>
            </w:r>
            <w:r>
              <w:rPr>
                <w:rFonts w:hint="eastAsia" w:cs="Times New Roman"/>
                <w:kern w:val="0"/>
                <w:szCs w:val="20"/>
              </w:rPr>
              <w:t>P</w:t>
            </w:r>
            <w:r>
              <w:rPr>
                <w:rFonts w:cs="Times New Roman"/>
                <w:kern w:val="0"/>
                <w:szCs w:val="20"/>
              </w:rPr>
              <w:t>M</w:t>
            </w:r>
            <w:r>
              <w:rPr>
                <w:rFonts w:cs="Times New Roman"/>
                <w:kern w:val="0"/>
                <w:szCs w:val="20"/>
                <w:vertAlign w:val="subscript"/>
              </w:rPr>
              <w:t>2.5</w:t>
            </w:r>
            <w:r>
              <w:rPr>
                <w:rFonts w:hint="eastAsia" w:cs="Times New Roman"/>
                <w:kern w:val="0"/>
                <w:szCs w:val="20"/>
              </w:rPr>
              <w:t>、H</w:t>
            </w:r>
            <w:r>
              <w:rPr>
                <w:rFonts w:cs="Times New Roman"/>
                <w:kern w:val="0"/>
                <w:szCs w:val="20"/>
              </w:rPr>
              <w:t>F、HCl、NH</w:t>
            </w:r>
            <w:r>
              <w:rPr>
                <w:rFonts w:cs="Times New Roman"/>
                <w:kern w:val="0"/>
                <w:szCs w:val="20"/>
                <w:vertAlign w:val="subscript"/>
              </w:rPr>
              <w:t>3</w:t>
            </w:r>
            <w:r>
              <w:rPr>
                <w:rFonts w:cs="Times New Roman"/>
                <w:kern w:val="0"/>
                <w:szCs w:val="20"/>
              </w:rPr>
              <w:t>、</w:t>
            </w:r>
            <w:r>
              <w:rPr>
                <w:rFonts w:hint="eastAsia" w:cs="Times New Roman"/>
                <w:kern w:val="0"/>
                <w:szCs w:val="20"/>
              </w:rPr>
              <w:t>甲醇、非甲烷总烃</w:t>
            </w:r>
          </w:p>
        </w:tc>
        <w:tc>
          <w:tcPr>
            <w:tcW w:w="575" w:type="pct"/>
            <w:vAlign w:val="center"/>
          </w:tcPr>
          <w:p w14:paraId="4FCB3735">
            <w:pPr>
              <w:pStyle w:val="445"/>
              <w:rPr>
                <w:rFonts w:cs="Times New Roman"/>
                <w:kern w:val="0"/>
                <w:szCs w:val="20"/>
              </w:rPr>
            </w:pPr>
            <w:r>
              <w:rPr>
                <w:rFonts w:cs="Times New Roman"/>
                <w:kern w:val="0"/>
                <w:szCs w:val="20"/>
              </w:rPr>
              <w:t>正常排放</w:t>
            </w:r>
          </w:p>
        </w:tc>
        <w:tc>
          <w:tcPr>
            <w:tcW w:w="1214" w:type="pct"/>
            <w:vAlign w:val="center"/>
          </w:tcPr>
          <w:p w14:paraId="50D417EA">
            <w:pPr>
              <w:pStyle w:val="445"/>
              <w:rPr>
                <w:rFonts w:cs="Times New Roman"/>
                <w:kern w:val="0"/>
                <w:szCs w:val="20"/>
              </w:rPr>
            </w:pPr>
            <w:r>
              <w:rPr>
                <w:rFonts w:hint="eastAsia" w:cs="Times New Roman"/>
                <w:kern w:val="0"/>
                <w:szCs w:val="20"/>
              </w:rPr>
              <w:t>短期浓度</w:t>
            </w:r>
          </w:p>
          <w:p w14:paraId="3E8D5C88">
            <w:pPr>
              <w:pStyle w:val="445"/>
              <w:rPr>
                <w:rFonts w:cs="Times New Roman"/>
                <w:kern w:val="0"/>
                <w:szCs w:val="20"/>
              </w:rPr>
            </w:pPr>
            <w:r>
              <w:rPr>
                <w:rFonts w:hint="eastAsia" w:cs="Times New Roman"/>
                <w:kern w:val="0"/>
                <w:szCs w:val="20"/>
              </w:rPr>
              <w:t>长期</w:t>
            </w:r>
            <w:r>
              <w:rPr>
                <w:rFonts w:cs="Times New Roman"/>
                <w:kern w:val="0"/>
                <w:szCs w:val="20"/>
              </w:rPr>
              <w:t>浓度</w:t>
            </w:r>
          </w:p>
        </w:tc>
        <w:tc>
          <w:tcPr>
            <w:tcW w:w="1061" w:type="pct"/>
            <w:vAlign w:val="center"/>
          </w:tcPr>
          <w:p w14:paraId="50239137">
            <w:pPr>
              <w:pStyle w:val="445"/>
              <w:rPr>
                <w:rFonts w:cs="Times New Roman"/>
                <w:kern w:val="0"/>
                <w:szCs w:val="20"/>
              </w:rPr>
            </w:pPr>
            <w:r>
              <w:rPr>
                <w:rFonts w:cs="Times New Roman"/>
                <w:kern w:val="0"/>
                <w:szCs w:val="20"/>
              </w:rPr>
              <w:t>最大浓度占标率</w:t>
            </w:r>
          </w:p>
        </w:tc>
      </w:tr>
      <w:tr w14:paraId="35D795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26FC47B">
            <w:pPr>
              <w:pStyle w:val="445"/>
              <w:rPr>
                <w:rFonts w:cs="Times New Roman"/>
                <w:kern w:val="0"/>
                <w:szCs w:val="18"/>
              </w:rPr>
            </w:pPr>
          </w:p>
        </w:tc>
        <w:tc>
          <w:tcPr>
            <w:tcW w:w="601" w:type="pct"/>
            <w:vMerge w:val="restart"/>
            <w:vAlign w:val="center"/>
          </w:tcPr>
          <w:p w14:paraId="44D19C4B">
            <w:pPr>
              <w:pStyle w:val="445"/>
              <w:rPr>
                <w:rFonts w:cs="Times New Roman"/>
                <w:kern w:val="0"/>
                <w:szCs w:val="20"/>
              </w:rPr>
            </w:pPr>
            <w:r>
              <w:rPr>
                <w:rFonts w:cs="Times New Roman"/>
                <w:kern w:val="0"/>
                <w:szCs w:val="20"/>
              </w:rPr>
              <w:t>新增污染源</w:t>
            </w:r>
            <w:r>
              <w:rPr>
                <w:rFonts w:hint="eastAsia" w:cs="Times New Roman"/>
                <w:kern w:val="0"/>
                <w:szCs w:val="20"/>
              </w:rPr>
              <w:t>+</w:t>
            </w:r>
            <w:r>
              <w:rPr>
                <w:rFonts w:cs="Times New Roman"/>
                <w:kern w:val="0"/>
                <w:szCs w:val="20"/>
              </w:rPr>
              <w:t>其他在建</w:t>
            </w:r>
            <w:r>
              <w:rPr>
                <w:rFonts w:hint="eastAsia" w:cs="Times New Roman"/>
                <w:kern w:val="0"/>
                <w:szCs w:val="20"/>
              </w:rPr>
              <w:t>、拟建</w:t>
            </w:r>
            <w:r>
              <w:rPr>
                <w:rFonts w:cs="Times New Roman"/>
                <w:kern w:val="0"/>
                <w:szCs w:val="20"/>
              </w:rPr>
              <w:t>污染源</w:t>
            </w:r>
          </w:p>
        </w:tc>
        <w:tc>
          <w:tcPr>
            <w:tcW w:w="1159" w:type="pct"/>
            <w:vAlign w:val="center"/>
          </w:tcPr>
          <w:p w14:paraId="3865BB98">
            <w:pPr>
              <w:pStyle w:val="445"/>
              <w:rPr>
                <w:rFonts w:cs="Times New Roman"/>
                <w:kern w:val="0"/>
                <w:szCs w:val="20"/>
              </w:rPr>
            </w:pPr>
            <w:r>
              <w:rPr>
                <w:rFonts w:cs="Times New Roman"/>
                <w:kern w:val="0"/>
                <w:szCs w:val="20"/>
              </w:rPr>
              <w:t>现状达标因子SO</w:t>
            </w:r>
            <w:r>
              <w:rPr>
                <w:rFonts w:cs="Times New Roman"/>
                <w:kern w:val="0"/>
                <w:szCs w:val="20"/>
                <w:vertAlign w:val="subscript"/>
              </w:rPr>
              <w:t>2</w:t>
            </w:r>
            <w:r>
              <w:rPr>
                <w:rFonts w:cs="Times New Roman"/>
                <w:kern w:val="0"/>
                <w:szCs w:val="20"/>
              </w:rPr>
              <w:t>、</w:t>
            </w:r>
            <w:r>
              <w:rPr>
                <w:rFonts w:hint="eastAsia" w:cs="Times New Roman"/>
                <w:kern w:val="0"/>
                <w:szCs w:val="20"/>
              </w:rPr>
              <w:t>NO</w:t>
            </w:r>
            <w:r>
              <w:rPr>
                <w:rFonts w:cs="Times New Roman"/>
                <w:kern w:val="0"/>
                <w:szCs w:val="20"/>
                <w:vertAlign w:val="subscript"/>
              </w:rPr>
              <w:t>x</w:t>
            </w:r>
            <w:r>
              <w:rPr>
                <w:rFonts w:hint="eastAsia" w:cs="Times New Roman"/>
                <w:kern w:val="0"/>
                <w:szCs w:val="20"/>
              </w:rPr>
              <w:t>、甲醇、H</w:t>
            </w:r>
            <w:r>
              <w:rPr>
                <w:rFonts w:cs="Times New Roman"/>
                <w:kern w:val="0"/>
                <w:szCs w:val="20"/>
              </w:rPr>
              <w:t>F、HCl、NH</w:t>
            </w:r>
            <w:r>
              <w:rPr>
                <w:rFonts w:cs="Times New Roman"/>
                <w:kern w:val="0"/>
                <w:szCs w:val="20"/>
                <w:vertAlign w:val="subscript"/>
              </w:rPr>
              <w:t>3</w:t>
            </w:r>
            <w:r>
              <w:rPr>
                <w:rFonts w:hint="eastAsia" w:cs="Times New Roman"/>
                <w:kern w:val="0"/>
                <w:szCs w:val="20"/>
              </w:rPr>
              <w:t>、非甲烷总烃</w:t>
            </w:r>
          </w:p>
        </w:tc>
        <w:tc>
          <w:tcPr>
            <w:tcW w:w="575" w:type="pct"/>
            <w:vAlign w:val="center"/>
          </w:tcPr>
          <w:p w14:paraId="31DA8199">
            <w:pPr>
              <w:pStyle w:val="445"/>
              <w:rPr>
                <w:rFonts w:cs="Times New Roman"/>
                <w:kern w:val="0"/>
                <w:szCs w:val="20"/>
              </w:rPr>
            </w:pPr>
            <w:r>
              <w:rPr>
                <w:rFonts w:cs="Times New Roman"/>
                <w:kern w:val="0"/>
                <w:szCs w:val="20"/>
              </w:rPr>
              <w:t>正常排放</w:t>
            </w:r>
          </w:p>
        </w:tc>
        <w:tc>
          <w:tcPr>
            <w:tcW w:w="1214" w:type="pct"/>
            <w:vAlign w:val="center"/>
          </w:tcPr>
          <w:p w14:paraId="5E5F0C32">
            <w:pPr>
              <w:pStyle w:val="445"/>
              <w:rPr>
                <w:rFonts w:cs="Times New Roman"/>
                <w:kern w:val="0"/>
                <w:szCs w:val="20"/>
              </w:rPr>
            </w:pPr>
            <w:r>
              <w:rPr>
                <w:rFonts w:hint="eastAsia" w:cs="Times New Roman"/>
                <w:kern w:val="0"/>
                <w:szCs w:val="20"/>
              </w:rPr>
              <w:t>短期浓度</w:t>
            </w:r>
          </w:p>
          <w:p w14:paraId="79E5E6C0">
            <w:pPr>
              <w:pStyle w:val="445"/>
              <w:rPr>
                <w:rFonts w:cs="Times New Roman"/>
                <w:kern w:val="0"/>
                <w:szCs w:val="20"/>
              </w:rPr>
            </w:pPr>
            <w:r>
              <w:rPr>
                <w:rFonts w:hint="eastAsia" w:cs="Times New Roman"/>
                <w:kern w:val="0"/>
                <w:szCs w:val="20"/>
              </w:rPr>
              <w:t>长期</w:t>
            </w:r>
            <w:r>
              <w:rPr>
                <w:rFonts w:cs="Times New Roman"/>
                <w:kern w:val="0"/>
                <w:szCs w:val="20"/>
              </w:rPr>
              <w:t>浓度</w:t>
            </w:r>
          </w:p>
        </w:tc>
        <w:tc>
          <w:tcPr>
            <w:tcW w:w="1061" w:type="pct"/>
            <w:vAlign w:val="center"/>
          </w:tcPr>
          <w:p w14:paraId="03D24CC3">
            <w:pPr>
              <w:pStyle w:val="445"/>
              <w:rPr>
                <w:rFonts w:cs="Times New Roman"/>
                <w:kern w:val="0"/>
                <w:szCs w:val="20"/>
              </w:rPr>
            </w:pPr>
            <w:r>
              <w:rPr>
                <w:rFonts w:cs="Times New Roman"/>
                <w:kern w:val="0"/>
                <w:szCs w:val="20"/>
              </w:rPr>
              <w:t>叠加环境质量现状浓度后</w:t>
            </w:r>
            <w:r>
              <w:rPr>
                <w:rFonts w:hint="eastAsia" w:cs="Times New Roman"/>
                <w:kern w:val="0"/>
                <w:szCs w:val="20"/>
              </w:rPr>
              <w:t>日</w:t>
            </w:r>
            <w:r>
              <w:rPr>
                <w:rFonts w:cs="Times New Roman"/>
                <w:kern w:val="0"/>
                <w:szCs w:val="20"/>
              </w:rPr>
              <w:t>平均质量浓度</w:t>
            </w:r>
            <w:r>
              <w:rPr>
                <w:rFonts w:hint="eastAsia" w:cs="Times New Roman"/>
                <w:kern w:val="0"/>
                <w:szCs w:val="20"/>
              </w:rPr>
              <w:t>和</w:t>
            </w:r>
            <w:r>
              <w:rPr>
                <w:rFonts w:cs="Times New Roman"/>
                <w:kern w:val="0"/>
                <w:szCs w:val="20"/>
              </w:rPr>
              <w:t>年平均质量浓度的占标率</w:t>
            </w:r>
            <w:r>
              <w:rPr>
                <w:rFonts w:hint="eastAsia" w:cs="Times New Roman"/>
                <w:kern w:val="0"/>
                <w:szCs w:val="20"/>
              </w:rPr>
              <w:t>或</w:t>
            </w:r>
            <w:r>
              <w:rPr>
                <w:rFonts w:cs="Times New Roman"/>
                <w:kern w:val="0"/>
                <w:szCs w:val="20"/>
              </w:rPr>
              <w:t>短期</w:t>
            </w:r>
            <w:r>
              <w:rPr>
                <w:rFonts w:hint="eastAsia" w:cs="Times New Roman"/>
                <w:kern w:val="0"/>
                <w:szCs w:val="20"/>
              </w:rPr>
              <w:t>浓度</w:t>
            </w:r>
            <w:r>
              <w:rPr>
                <w:rFonts w:cs="Times New Roman"/>
                <w:kern w:val="0"/>
                <w:szCs w:val="20"/>
              </w:rPr>
              <w:t>的达标情况</w:t>
            </w:r>
          </w:p>
        </w:tc>
      </w:tr>
      <w:tr w14:paraId="3034F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A9AC5D2">
            <w:pPr>
              <w:pStyle w:val="445"/>
              <w:rPr>
                <w:rFonts w:cs="Times New Roman"/>
                <w:kern w:val="0"/>
                <w:szCs w:val="18"/>
              </w:rPr>
            </w:pPr>
          </w:p>
        </w:tc>
        <w:tc>
          <w:tcPr>
            <w:tcW w:w="0" w:type="auto"/>
            <w:vMerge w:val="continue"/>
            <w:vAlign w:val="center"/>
          </w:tcPr>
          <w:p w14:paraId="0EA3D5CB">
            <w:pPr>
              <w:pStyle w:val="445"/>
              <w:rPr>
                <w:rFonts w:cs="Times New Roman"/>
                <w:kern w:val="0"/>
                <w:szCs w:val="18"/>
              </w:rPr>
            </w:pPr>
          </w:p>
        </w:tc>
        <w:tc>
          <w:tcPr>
            <w:tcW w:w="1159" w:type="pct"/>
            <w:vAlign w:val="center"/>
          </w:tcPr>
          <w:p w14:paraId="3E4D91AE">
            <w:pPr>
              <w:pStyle w:val="445"/>
              <w:rPr>
                <w:rFonts w:cs="Times New Roman"/>
                <w:kern w:val="0"/>
                <w:szCs w:val="20"/>
              </w:rPr>
            </w:pPr>
            <w:r>
              <w:rPr>
                <w:rFonts w:cs="Times New Roman"/>
                <w:kern w:val="0"/>
                <w:szCs w:val="20"/>
              </w:rPr>
              <w:t>现状超标因子PM</w:t>
            </w:r>
            <w:r>
              <w:rPr>
                <w:rFonts w:cs="Times New Roman"/>
                <w:kern w:val="0"/>
                <w:szCs w:val="20"/>
                <w:vertAlign w:val="subscript"/>
              </w:rPr>
              <w:t>10</w:t>
            </w:r>
            <w:r>
              <w:rPr>
                <w:rFonts w:hint="eastAsia" w:cs="Times New Roman"/>
                <w:kern w:val="0"/>
                <w:szCs w:val="20"/>
              </w:rPr>
              <w:t>、</w:t>
            </w:r>
            <w:r>
              <w:rPr>
                <w:rFonts w:cs="Times New Roman"/>
                <w:kern w:val="0"/>
                <w:szCs w:val="20"/>
              </w:rPr>
              <w:t>PM</w:t>
            </w:r>
            <w:r>
              <w:rPr>
                <w:rFonts w:hint="eastAsia" w:cs="Times New Roman"/>
                <w:kern w:val="0"/>
                <w:szCs w:val="20"/>
                <w:vertAlign w:val="subscript"/>
              </w:rPr>
              <w:t>2.5</w:t>
            </w:r>
          </w:p>
        </w:tc>
        <w:tc>
          <w:tcPr>
            <w:tcW w:w="575" w:type="pct"/>
            <w:vAlign w:val="center"/>
          </w:tcPr>
          <w:p w14:paraId="40DA9E3F">
            <w:pPr>
              <w:pStyle w:val="445"/>
              <w:rPr>
                <w:rFonts w:cs="Times New Roman"/>
                <w:kern w:val="0"/>
                <w:szCs w:val="20"/>
              </w:rPr>
            </w:pPr>
            <w:r>
              <w:rPr>
                <w:rFonts w:cs="Times New Roman"/>
                <w:kern w:val="0"/>
                <w:szCs w:val="20"/>
              </w:rPr>
              <w:t>正常排放</w:t>
            </w:r>
          </w:p>
        </w:tc>
        <w:tc>
          <w:tcPr>
            <w:tcW w:w="1214" w:type="pct"/>
            <w:vAlign w:val="center"/>
          </w:tcPr>
          <w:p w14:paraId="1DF5AF28">
            <w:pPr>
              <w:pStyle w:val="445"/>
              <w:rPr>
                <w:rFonts w:cs="Times New Roman"/>
                <w:kern w:val="0"/>
                <w:szCs w:val="20"/>
              </w:rPr>
            </w:pPr>
            <w:r>
              <w:rPr>
                <w:rFonts w:cs="Times New Roman"/>
                <w:kern w:val="0"/>
                <w:szCs w:val="20"/>
              </w:rPr>
              <w:t>年平均质量浓度</w:t>
            </w:r>
          </w:p>
        </w:tc>
        <w:tc>
          <w:tcPr>
            <w:tcW w:w="1061" w:type="pct"/>
            <w:vAlign w:val="center"/>
          </w:tcPr>
          <w:p w14:paraId="754D43F4">
            <w:pPr>
              <w:pStyle w:val="445"/>
              <w:rPr>
                <w:rFonts w:cs="Times New Roman"/>
                <w:kern w:val="0"/>
                <w:szCs w:val="20"/>
              </w:rPr>
            </w:pPr>
            <w:r>
              <w:rPr>
                <w:rFonts w:cs="Times New Roman"/>
                <w:kern w:val="0"/>
                <w:szCs w:val="20"/>
              </w:rPr>
              <w:t>评价年平均质量浓度变化率</w:t>
            </w:r>
          </w:p>
        </w:tc>
      </w:tr>
      <w:tr w14:paraId="1DC27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0DEAABC">
            <w:pPr>
              <w:pStyle w:val="445"/>
              <w:rPr>
                <w:rFonts w:cs="Times New Roman"/>
                <w:kern w:val="0"/>
                <w:szCs w:val="18"/>
              </w:rPr>
            </w:pPr>
          </w:p>
        </w:tc>
        <w:tc>
          <w:tcPr>
            <w:tcW w:w="0" w:type="auto"/>
            <w:vAlign w:val="center"/>
          </w:tcPr>
          <w:p w14:paraId="5948DC11">
            <w:pPr>
              <w:pStyle w:val="445"/>
              <w:rPr>
                <w:rFonts w:cs="Times New Roman"/>
                <w:kern w:val="0"/>
                <w:szCs w:val="18"/>
              </w:rPr>
            </w:pPr>
            <w:r>
              <w:rPr>
                <w:rFonts w:cs="Times New Roman"/>
                <w:kern w:val="0"/>
                <w:szCs w:val="20"/>
              </w:rPr>
              <w:t>新增污染源</w:t>
            </w:r>
          </w:p>
        </w:tc>
        <w:tc>
          <w:tcPr>
            <w:tcW w:w="1159" w:type="pct"/>
            <w:vAlign w:val="center"/>
          </w:tcPr>
          <w:p w14:paraId="5B2F55FC">
            <w:pPr>
              <w:pStyle w:val="445"/>
              <w:rPr>
                <w:rFonts w:cs="Times New Roman"/>
                <w:kern w:val="0"/>
                <w:szCs w:val="20"/>
              </w:rPr>
            </w:pPr>
            <w:r>
              <w:rPr>
                <w:rFonts w:cs="Times New Roman"/>
                <w:kern w:val="0"/>
                <w:szCs w:val="20"/>
              </w:rPr>
              <w:t>PM</w:t>
            </w:r>
            <w:r>
              <w:rPr>
                <w:rFonts w:cs="Times New Roman"/>
                <w:kern w:val="0"/>
                <w:szCs w:val="20"/>
                <w:vertAlign w:val="subscript"/>
              </w:rPr>
              <w:t>10</w:t>
            </w:r>
            <w:r>
              <w:rPr>
                <w:rFonts w:cs="Times New Roman"/>
                <w:kern w:val="0"/>
                <w:szCs w:val="20"/>
              </w:rPr>
              <w:t>、</w:t>
            </w:r>
            <w:r>
              <w:rPr>
                <w:rFonts w:hint="eastAsia" w:cs="Times New Roman"/>
                <w:kern w:val="0"/>
                <w:szCs w:val="20"/>
              </w:rPr>
              <w:t>P</w:t>
            </w:r>
            <w:r>
              <w:rPr>
                <w:rFonts w:cs="Times New Roman"/>
                <w:kern w:val="0"/>
                <w:szCs w:val="20"/>
              </w:rPr>
              <w:t>M</w:t>
            </w:r>
            <w:r>
              <w:rPr>
                <w:rFonts w:cs="Times New Roman"/>
                <w:kern w:val="0"/>
                <w:szCs w:val="20"/>
                <w:vertAlign w:val="subscript"/>
              </w:rPr>
              <w:t>2.5</w:t>
            </w:r>
            <w:r>
              <w:rPr>
                <w:rFonts w:hint="eastAsia" w:cs="Times New Roman"/>
                <w:kern w:val="0"/>
                <w:szCs w:val="20"/>
              </w:rPr>
              <w:t>、甲醇、非甲烷总烃、</w:t>
            </w:r>
            <w:r>
              <w:rPr>
                <w:rFonts w:cs="Times New Roman"/>
                <w:kern w:val="0"/>
                <w:szCs w:val="20"/>
              </w:rPr>
              <w:t>NH</w:t>
            </w:r>
            <w:r>
              <w:rPr>
                <w:rFonts w:cs="Times New Roman"/>
                <w:kern w:val="0"/>
                <w:szCs w:val="20"/>
                <w:vertAlign w:val="subscript"/>
              </w:rPr>
              <w:t>3</w:t>
            </w:r>
          </w:p>
        </w:tc>
        <w:tc>
          <w:tcPr>
            <w:tcW w:w="575" w:type="pct"/>
            <w:vAlign w:val="center"/>
          </w:tcPr>
          <w:p w14:paraId="42028E45">
            <w:pPr>
              <w:pStyle w:val="445"/>
              <w:rPr>
                <w:rFonts w:cs="Times New Roman"/>
                <w:kern w:val="0"/>
                <w:szCs w:val="20"/>
              </w:rPr>
            </w:pPr>
            <w:r>
              <w:rPr>
                <w:rFonts w:hint="eastAsia" w:cs="Times New Roman"/>
                <w:kern w:val="0"/>
                <w:szCs w:val="20"/>
              </w:rPr>
              <w:t>非正常</w:t>
            </w:r>
            <w:r>
              <w:rPr>
                <w:rFonts w:cs="Times New Roman"/>
                <w:kern w:val="0"/>
                <w:szCs w:val="20"/>
              </w:rPr>
              <w:t>排放</w:t>
            </w:r>
          </w:p>
        </w:tc>
        <w:tc>
          <w:tcPr>
            <w:tcW w:w="1214" w:type="pct"/>
            <w:vAlign w:val="center"/>
          </w:tcPr>
          <w:p w14:paraId="7718D237">
            <w:pPr>
              <w:pStyle w:val="445"/>
              <w:rPr>
                <w:rFonts w:cs="Times New Roman"/>
                <w:kern w:val="0"/>
                <w:szCs w:val="20"/>
              </w:rPr>
            </w:pPr>
            <w:r>
              <w:rPr>
                <w:rFonts w:hint="eastAsia" w:cs="Times New Roman"/>
                <w:kern w:val="0"/>
                <w:szCs w:val="20"/>
              </w:rPr>
              <w:t>1</w:t>
            </w:r>
            <w:r>
              <w:rPr>
                <w:rFonts w:cs="Times New Roman"/>
                <w:kern w:val="0"/>
                <w:szCs w:val="20"/>
              </w:rPr>
              <w:t>h</w:t>
            </w:r>
            <w:r>
              <w:rPr>
                <w:rFonts w:hint="eastAsia" w:cs="Times New Roman"/>
                <w:kern w:val="0"/>
                <w:szCs w:val="20"/>
              </w:rPr>
              <w:t>评价</w:t>
            </w:r>
            <w:r>
              <w:rPr>
                <w:rFonts w:cs="Times New Roman"/>
                <w:kern w:val="0"/>
                <w:szCs w:val="20"/>
              </w:rPr>
              <w:t>质量浓度</w:t>
            </w:r>
          </w:p>
        </w:tc>
        <w:tc>
          <w:tcPr>
            <w:tcW w:w="1061" w:type="pct"/>
            <w:vAlign w:val="center"/>
          </w:tcPr>
          <w:p w14:paraId="0E45906E">
            <w:pPr>
              <w:pStyle w:val="445"/>
              <w:rPr>
                <w:rFonts w:cs="Times New Roman"/>
                <w:kern w:val="0"/>
                <w:szCs w:val="20"/>
              </w:rPr>
            </w:pPr>
            <w:r>
              <w:rPr>
                <w:rFonts w:cs="Times New Roman"/>
                <w:kern w:val="0"/>
                <w:szCs w:val="20"/>
              </w:rPr>
              <w:t>最大浓度占标率</w:t>
            </w:r>
          </w:p>
        </w:tc>
      </w:tr>
      <w:tr w14:paraId="3648CC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0" w:type="pct"/>
            <w:vAlign w:val="center"/>
          </w:tcPr>
          <w:p w14:paraId="7A166AF9">
            <w:pPr>
              <w:pStyle w:val="445"/>
              <w:rPr>
                <w:rFonts w:cs="Times New Roman"/>
                <w:kern w:val="0"/>
                <w:szCs w:val="20"/>
              </w:rPr>
            </w:pPr>
            <w:r>
              <w:rPr>
                <w:rFonts w:cs="Times New Roman"/>
                <w:kern w:val="0"/>
                <w:szCs w:val="20"/>
              </w:rPr>
              <w:t>大气环境防护距离</w:t>
            </w:r>
          </w:p>
        </w:tc>
        <w:tc>
          <w:tcPr>
            <w:tcW w:w="601" w:type="pct"/>
            <w:vAlign w:val="center"/>
          </w:tcPr>
          <w:p w14:paraId="4912C1CD">
            <w:pPr>
              <w:pStyle w:val="445"/>
              <w:rPr>
                <w:rFonts w:cs="Times New Roman"/>
                <w:kern w:val="0"/>
                <w:szCs w:val="20"/>
              </w:rPr>
            </w:pPr>
            <w:r>
              <w:rPr>
                <w:rFonts w:cs="Times New Roman"/>
                <w:kern w:val="0"/>
                <w:szCs w:val="20"/>
              </w:rPr>
              <w:t>新增污染源</w:t>
            </w:r>
          </w:p>
        </w:tc>
        <w:tc>
          <w:tcPr>
            <w:tcW w:w="1159" w:type="pct"/>
            <w:vAlign w:val="center"/>
          </w:tcPr>
          <w:p w14:paraId="6FA1AC50">
            <w:pPr>
              <w:pStyle w:val="445"/>
              <w:rPr>
                <w:rFonts w:cs="Times New Roman"/>
                <w:kern w:val="0"/>
                <w:szCs w:val="20"/>
              </w:rPr>
            </w:pPr>
            <w:r>
              <w:rPr>
                <w:rFonts w:cs="Times New Roman"/>
                <w:kern w:val="0"/>
                <w:szCs w:val="20"/>
              </w:rPr>
              <w:t>SO</w:t>
            </w:r>
            <w:r>
              <w:rPr>
                <w:rFonts w:cs="Times New Roman"/>
                <w:kern w:val="0"/>
                <w:szCs w:val="20"/>
                <w:vertAlign w:val="subscript"/>
              </w:rPr>
              <w:t>2</w:t>
            </w:r>
            <w:r>
              <w:rPr>
                <w:rFonts w:cs="Times New Roman"/>
                <w:kern w:val="0"/>
                <w:szCs w:val="20"/>
              </w:rPr>
              <w:t>、</w:t>
            </w:r>
            <w:r>
              <w:rPr>
                <w:rFonts w:hint="eastAsia" w:cs="Times New Roman"/>
                <w:kern w:val="0"/>
                <w:szCs w:val="20"/>
              </w:rPr>
              <w:t>NO</w:t>
            </w:r>
            <w:r>
              <w:rPr>
                <w:rFonts w:cs="Times New Roman"/>
                <w:kern w:val="0"/>
                <w:szCs w:val="20"/>
                <w:vertAlign w:val="subscript"/>
              </w:rPr>
              <w:t>x</w:t>
            </w:r>
            <w:r>
              <w:rPr>
                <w:rFonts w:hint="eastAsia" w:cs="Times New Roman"/>
                <w:kern w:val="0"/>
                <w:szCs w:val="20"/>
              </w:rPr>
              <w:t>、</w:t>
            </w:r>
            <w:r>
              <w:rPr>
                <w:rFonts w:cs="Times New Roman"/>
                <w:kern w:val="0"/>
                <w:szCs w:val="20"/>
              </w:rPr>
              <w:t>PM</w:t>
            </w:r>
            <w:r>
              <w:rPr>
                <w:rFonts w:cs="Times New Roman"/>
                <w:kern w:val="0"/>
                <w:szCs w:val="20"/>
                <w:vertAlign w:val="subscript"/>
              </w:rPr>
              <w:t>10</w:t>
            </w:r>
            <w:r>
              <w:rPr>
                <w:rFonts w:cs="Times New Roman"/>
                <w:kern w:val="0"/>
                <w:szCs w:val="20"/>
              </w:rPr>
              <w:t>、</w:t>
            </w:r>
            <w:r>
              <w:rPr>
                <w:rFonts w:hint="eastAsia" w:cs="Times New Roman"/>
                <w:kern w:val="0"/>
                <w:szCs w:val="20"/>
              </w:rPr>
              <w:t>P</w:t>
            </w:r>
            <w:r>
              <w:rPr>
                <w:rFonts w:cs="Times New Roman"/>
                <w:kern w:val="0"/>
                <w:szCs w:val="20"/>
              </w:rPr>
              <w:t>M</w:t>
            </w:r>
            <w:r>
              <w:rPr>
                <w:rFonts w:cs="Times New Roman"/>
                <w:kern w:val="0"/>
                <w:szCs w:val="20"/>
                <w:vertAlign w:val="subscript"/>
              </w:rPr>
              <w:t>2.5</w:t>
            </w:r>
            <w:r>
              <w:rPr>
                <w:rFonts w:hint="eastAsia" w:cs="Times New Roman"/>
                <w:kern w:val="0"/>
                <w:szCs w:val="20"/>
              </w:rPr>
              <w:t>、甲醇、H</w:t>
            </w:r>
            <w:r>
              <w:rPr>
                <w:rFonts w:cs="Times New Roman"/>
                <w:kern w:val="0"/>
                <w:szCs w:val="20"/>
              </w:rPr>
              <w:t>F、HCl、NH</w:t>
            </w:r>
            <w:r>
              <w:rPr>
                <w:rFonts w:cs="Times New Roman"/>
                <w:kern w:val="0"/>
                <w:szCs w:val="20"/>
                <w:vertAlign w:val="subscript"/>
              </w:rPr>
              <w:t>3</w:t>
            </w:r>
            <w:r>
              <w:rPr>
                <w:rFonts w:hint="eastAsia" w:cs="Times New Roman"/>
                <w:kern w:val="0"/>
                <w:szCs w:val="20"/>
              </w:rPr>
              <w:t>、非甲烷总烃</w:t>
            </w:r>
          </w:p>
        </w:tc>
        <w:tc>
          <w:tcPr>
            <w:tcW w:w="575" w:type="pct"/>
            <w:vAlign w:val="center"/>
          </w:tcPr>
          <w:p w14:paraId="285C66E9">
            <w:pPr>
              <w:pStyle w:val="445"/>
              <w:rPr>
                <w:rFonts w:cs="Times New Roman"/>
                <w:kern w:val="0"/>
                <w:szCs w:val="20"/>
              </w:rPr>
            </w:pPr>
            <w:r>
              <w:rPr>
                <w:rFonts w:cs="Times New Roman"/>
                <w:kern w:val="0"/>
                <w:szCs w:val="20"/>
              </w:rPr>
              <w:t>正常排放</w:t>
            </w:r>
          </w:p>
        </w:tc>
        <w:tc>
          <w:tcPr>
            <w:tcW w:w="1214" w:type="pct"/>
            <w:vAlign w:val="center"/>
          </w:tcPr>
          <w:p w14:paraId="7BE4B735">
            <w:pPr>
              <w:pStyle w:val="445"/>
              <w:rPr>
                <w:rFonts w:cs="Times New Roman"/>
                <w:kern w:val="0"/>
                <w:szCs w:val="20"/>
              </w:rPr>
            </w:pPr>
            <w:r>
              <w:rPr>
                <w:rFonts w:hint="eastAsia" w:cs="Times New Roman"/>
                <w:kern w:val="0"/>
                <w:szCs w:val="20"/>
              </w:rPr>
              <w:t>短期</w:t>
            </w:r>
            <w:r>
              <w:rPr>
                <w:rFonts w:cs="Times New Roman"/>
                <w:kern w:val="0"/>
                <w:szCs w:val="20"/>
              </w:rPr>
              <w:t>浓度</w:t>
            </w:r>
          </w:p>
        </w:tc>
        <w:tc>
          <w:tcPr>
            <w:tcW w:w="1061" w:type="pct"/>
            <w:vAlign w:val="center"/>
          </w:tcPr>
          <w:p w14:paraId="10555FCC">
            <w:pPr>
              <w:pStyle w:val="445"/>
              <w:rPr>
                <w:rFonts w:cs="Times New Roman"/>
                <w:kern w:val="0"/>
                <w:szCs w:val="20"/>
              </w:rPr>
            </w:pPr>
            <w:r>
              <w:rPr>
                <w:rFonts w:cs="Times New Roman"/>
                <w:kern w:val="0"/>
                <w:szCs w:val="20"/>
              </w:rPr>
              <w:t>大气环境防护距离</w:t>
            </w:r>
          </w:p>
        </w:tc>
      </w:tr>
    </w:tbl>
    <w:p w14:paraId="742EA365">
      <w:pPr>
        <w:ind w:firstLine="482"/>
        <w:rPr>
          <w:b/>
          <w:szCs w:val="24"/>
        </w:rPr>
      </w:pPr>
      <w:r>
        <w:rPr>
          <w:rFonts w:ascii="宋体" w:hAnsi="宋体"/>
          <w:b/>
        </w:rPr>
        <w:t>（</w:t>
      </w:r>
      <w:r>
        <w:rPr>
          <w:rFonts w:hint="eastAsia"/>
          <w:b/>
        </w:rPr>
        <w:t>3</w:t>
      </w:r>
      <w:r>
        <w:rPr>
          <w:rFonts w:ascii="宋体" w:hAnsi="宋体"/>
          <w:b/>
        </w:rPr>
        <w:t>）</w:t>
      </w:r>
      <w:r>
        <w:rPr>
          <w:rFonts w:hint="eastAsia" w:ascii="宋体" w:hAnsi="宋体"/>
          <w:b/>
        </w:rPr>
        <w:t>地表参数</w:t>
      </w:r>
    </w:p>
    <w:p w14:paraId="3C3F6043">
      <w:pPr>
        <w:overflowPunct w:val="0"/>
        <w:autoSpaceDE w:val="0"/>
        <w:autoSpaceDN w:val="0"/>
        <w:ind w:firstLine="480"/>
        <w:textAlignment w:val="baseline"/>
        <w:rPr>
          <w:rFonts w:ascii="宋体" w:hAnsi="宋体"/>
        </w:rPr>
      </w:pPr>
      <w:r>
        <w:rPr>
          <w:rFonts w:ascii="宋体" w:hAnsi="宋体"/>
        </w:rPr>
        <w:t>地面特征参数按照</w:t>
      </w:r>
      <w:r>
        <w:t xml:space="preserve">AERMOD </w:t>
      </w:r>
      <w:r>
        <w:rPr>
          <w:rFonts w:ascii="宋体" w:hAnsi="宋体"/>
        </w:rPr>
        <w:t>通用地表类型选取，详见表</w:t>
      </w:r>
      <w:r>
        <w:t>5.1</w:t>
      </w:r>
      <w:r>
        <w:rPr>
          <w:rFonts w:hint="eastAsia"/>
        </w:rPr>
        <w:t>.3-4</w:t>
      </w:r>
      <w:r>
        <w:rPr>
          <w:rFonts w:ascii="宋体" w:hAnsi="宋体"/>
        </w:rPr>
        <w:t>。</w:t>
      </w:r>
    </w:p>
    <w:p w14:paraId="29A022B8">
      <w:pPr>
        <w:pStyle w:val="278"/>
        <w:ind w:firstLine="480"/>
      </w:pPr>
      <w:r>
        <w:rPr>
          <w:rFonts w:ascii="黑体" w:hAnsi="黑体"/>
        </w:rPr>
        <w:t>表</w:t>
      </w:r>
      <w:r>
        <w:t>5.1</w:t>
      </w:r>
      <w:r>
        <w:rPr>
          <w:rFonts w:hint="eastAsia"/>
        </w:rPr>
        <w:t>.3-4</w:t>
      </w:r>
      <w:r>
        <w:t xml:space="preserve">  </w:t>
      </w:r>
      <w:r>
        <w:rPr>
          <w:rFonts w:hint="eastAsia" w:ascii="黑体" w:hAnsi="黑体"/>
        </w:rPr>
        <w:t>厂址</w:t>
      </w:r>
      <w:r>
        <w:rPr>
          <w:rFonts w:ascii="黑体" w:hAnsi="黑体"/>
        </w:rPr>
        <w:t>区域地面参数特征</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209"/>
        <w:gridCol w:w="2474"/>
        <w:gridCol w:w="1886"/>
        <w:gridCol w:w="1468"/>
        <w:gridCol w:w="1257"/>
      </w:tblGrid>
      <w:tr w14:paraId="3A9B2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Align w:val="center"/>
          </w:tcPr>
          <w:p w14:paraId="7F60BDC3">
            <w:pPr>
              <w:pStyle w:val="445"/>
            </w:pPr>
            <w:r>
              <w:t>序号</w:t>
            </w:r>
          </w:p>
        </w:tc>
        <w:tc>
          <w:tcPr>
            <w:tcW w:w="654" w:type="pct"/>
            <w:vAlign w:val="center"/>
          </w:tcPr>
          <w:p w14:paraId="3D5CE8A3">
            <w:pPr>
              <w:pStyle w:val="445"/>
            </w:pPr>
            <w:r>
              <w:t>扇区</w:t>
            </w:r>
          </w:p>
        </w:tc>
        <w:tc>
          <w:tcPr>
            <w:tcW w:w="1338" w:type="pct"/>
            <w:vAlign w:val="center"/>
          </w:tcPr>
          <w:p w14:paraId="3055865D">
            <w:pPr>
              <w:pStyle w:val="445"/>
            </w:pPr>
            <w:r>
              <w:t>时段</w:t>
            </w:r>
          </w:p>
        </w:tc>
        <w:tc>
          <w:tcPr>
            <w:tcW w:w="1020" w:type="pct"/>
            <w:vAlign w:val="center"/>
          </w:tcPr>
          <w:p w14:paraId="5C106CC2">
            <w:pPr>
              <w:pStyle w:val="445"/>
            </w:pPr>
            <w:r>
              <w:t>正午反照率</w:t>
            </w:r>
          </w:p>
        </w:tc>
        <w:tc>
          <w:tcPr>
            <w:tcW w:w="794" w:type="pct"/>
            <w:vAlign w:val="center"/>
          </w:tcPr>
          <w:p w14:paraId="7D29398C">
            <w:pPr>
              <w:pStyle w:val="445"/>
            </w:pPr>
            <w:r>
              <w:t>BOWEN</w:t>
            </w:r>
          </w:p>
        </w:tc>
        <w:tc>
          <w:tcPr>
            <w:tcW w:w="680" w:type="pct"/>
            <w:vAlign w:val="center"/>
          </w:tcPr>
          <w:p w14:paraId="31919F5B">
            <w:pPr>
              <w:pStyle w:val="445"/>
            </w:pPr>
            <w:r>
              <w:t>粗糙度</w:t>
            </w:r>
          </w:p>
        </w:tc>
      </w:tr>
      <w:tr w14:paraId="7A7CA8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Align w:val="center"/>
          </w:tcPr>
          <w:p w14:paraId="6CCD5BD1">
            <w:pPr>
              <w:pStyle w:val="445"/>
            </w:pPr>
            <w:r>
              <w:t>1</w:t>
            </w:r>
          </w:p>
        </w:tc>
        <w:tc>
          <w:tcPr>
            <w:tcW w:w="654" w:type="pct"/>
            <w:vMerge w:val="restart"/>
            <w:vAlign w:val="center"/>
          </w:tcPr>
          <w:p w14:paraId="1D484EB3">
            <w:pPr>
              <w:pStyle w:val="445"/>
            </w:pPr>
            <w:r>
              <w:t>0-360</w:t>
            </w:r>
          </w:p>
        </w:tc>
        <w:tc>
          <w:tcPr>
            <w:tcW w:w="1338" w:type="pct"/>
            <w:vAlign w:val="center"/>
          </w:tcPr>
          <w:p w14:paraId="79FFE08C">
            <w:pPr>
              <w:pStyle w:val="445"/>
            </w:pPr>
            <w:r>
              <w:t>冬季(12,1,2月)</w:t>
            </w:r>
          </w:p>
        </w:tc>
        <w:tc>
          <w:tcPr>
            <w:tcW w:w="1020" w:type="pct"/>
          </w:tcPr>
          <w:p w14:paraId="68564B8D">
            <w:pPr>
              <w:pStyle w:val="445"/>
            </w:pPr>
            <w:r>
              <w:t>0.6</w:t>
            </w:r>
          </w:p>
        </w:tc>
        <w:tc>
          <w:tcPr>
            <w:tcW w:w="794" w:type="pct"/>
          </w:tcPr>
          <w:p w14:paraId="519D4141">
            <w:pPr>
              <w:pStyle w:val="445"/>
            </w:pPr>
            <w:r>
              <w:t>1.5</w:t>
            </w:r>
          </w:p>
        </w:tc>
        <w:tc>
          <w:tcPr>
            <w:tcW w:w="680" w:type="pct"/>
          </w:tcPr>
          <w:p w14:paraId="18DD3D12">
            <w:pPr>
              <w:pStyle w:val="445"/>
            </w:pPr>
            <w:r>
              <w:t>0.01</w:t>
            </w:r>
          </w:p>
        </w:tc>
      </w:tr>
      <w:tr w14:paraId="6F79D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Align w:val="center"/>
          </w:tcPr>
          <w:p w14:paraId="1B69F161">
            <w:pPr>
              <w:pStyle w:val="445"/>
            </w:pPr>
            <w:r>
              <w:t>2</w:t>
            </w:r>
          </w:p>
        </w:tc>
        <w:tc>
          <w:tcPr>
            <w:tcW w:w="0" w:type="auto"/>
            <w:vMerge w:val="continue"/>
            <w:vAlign w:val="center"/>
          </w:tcPr>
          <w:p w14:paraId="4A5DE92F">
            <w:pPr>
              <w:pStyle w:val="445"/>
              <w:rPr>
                <w:szCs w:val="18"/>
              </w:rPr>
            </w:pPr>
          </w:p>
        </w:tc>
        <w:tc>
          <w:tcPr>
            <w:tcW w:w="1338" w:type="pct"/>
            <w:vAlign w:val="center"/>
          </w:tcPr>
          <w:p w14:paraId="0FC78CD7">
            <w:pPr>
              <w:pStyle w:val="445"/>
            </w:pPr>
            <w:r>
              <w:t>春季(3,4,5月)</w:t>
            </w:r>
          </w:p>
        </w:tc>
        <w:tc>
          <w:tcPr>
            <w:tcW w:w="1020" w:type="pct"/>
          </w:tcPr>
          <w:p w14:paraId="7572C2A2">
            <w:pPr>
              <w:pStyle w:val="445"/>
            </w:pPr>
            <w:r>
              <w:t>0.14</w:t>
            </w:r>
          </w:p>
        </w:tc>
        <w:tc>
          <w:tcPr>
            <w:tcW w:w="794" w:type="pct"/>
          </w:tcPr>
          <w:p w14:paraId="4EA1B956">
            <w:pPr>
              <w:pStyle w:val="445"/>
            </w:pPr>
            <w:r>
              <w:t>0.3</w:t>
            </w:r>
          </w:p>
        </w:tc>
        <w:tc>
          <w:tcPr>
            <w:tcW w:w="680" w:type="pct"/>
          </w:tcPr>
          <w:p w14:paraId="2D4FF514">
            <w:pPr>
              <w:pStyle w:val="445"/>
            </w:pPr>
            <w:r>
              <w:t>0.03</w:t>
            </w:r>
          </w:p>
        </w:tc>
      </w:tr>
      <w:tr w14:paraId="2CCAE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Align w:val="center"/>
          </w:tcPr>
          <w:p w14:paraId="30FEABFD">
            <w:pPr>
              <w:pStyle w:val="445"/>
            </w:pPr>
            <w:r>
              <w:t>3</w:t>
            </w:r>
          </w:p>
        </w:tc>
        <w:tc>
          <w:tcPr>
            <w:tcW w:w="0" w:type="auto"/>
            <w:vMerge w:val="continue"/>
            <w:vAlign w:val="center"/>
          </w:tcPr>
          <w:p w14:paraId="3518E632">
            <w:pPr>
              <w:pStyle w:val="445"/>
              <w:rPr>
                <w:szCs w:val="18"/>
              </w:rPr>
            </w:pPr>
          </w:p>
        </w:tc>
        <w:tc>
          <w:tcPr>
            <w:tcW w:w="1338" w:type="pct"/>
            <w:vAlign w:val="center"/>
          </w:tcPr>
          <w:p w14:paraId="1743EB7A">
            <w:pPr>
              <w:pStyle w:val="445"/>
            </w:pPr>
            <w:r>
              <w:t>夏季(6,7,8月)</w:t>
            </w:r>
          </w:p>
        </w:tc>
        <w:tc>
          <w:tcPr>
            <w:tcW w:w="1020" w:type="pct"/>
          </w:tcPr>
          <w:p w14:paraId="23AD5C99">
            <w:pPr>
              <w:pStyle w:val="445"/>
            </w:pPr>
            <w:r>
              <w:t>0.2</w:t>
            </w:r>
          </w:p>
        </w:tc>
        <w:tc>
          <w:tcPr>
            <w:tcW w:w="794" w:type="pct"/>
          </w:tcPr>
          <w:p w14:paraId="4CC612AD">
            <w:pPr>
              <w:pStyle w:val="445"/>
            </w:pPr>
            <w:r>
              <w:t>0.5</w:t>
            </w:r>
          </w:p>
        </w:tc>
        <w:tc>
          <w:tcPr>
            <w:tcW w:w="680" w:type="pct"/>
          </w:tcPr>
          <w:p w14:paraId="65C7606B">
            <w:pPr>
              <w:pStyle w:val="445"/>
            </w:pPr>
            <w:r>
              <w:t>0.2</w:t>
            </w:r>
          </w:p>
        </w:tc>
      </w:tr>
      <w:tr w14:paraId="066B8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Align w:val="center"/>
          </w:tcPr>
          <w:p w14:paraId="7EF7B419">
            <w:pPr>
              <w:pStyle w:val="445"/>
            </w:pPr>
            <w:r>
              <w:t>4</w:t>
            </w:r>
          </w:p>
        </w:tc>
        <w:tc>
          <w:tcPr>
            <w:tcW w:w="0" w:type="auto"/>
            <w:vMerge w:val="continue"/>
            <w:vAlign w:val="center"/>
          </w:tcPr>
          <w:p w14:paraId="7FC5199D">
            <w:pPr>
              <w:pStyle w:val="445"/>
              <w:rPr>
                <w:szCs w:val="18"/>
              </w:rPr>
            </w:pPr>
          </w:p>
        </w:tc>
        <w:tc>
          <w:tcPr>
            <w:tcW w:w="1338" w:type="pct"/>
            <w:vAlign w:val="center"/>
          </w:tcPr>
          <w:p w14:paraId="4774AA06">
            <w:pPr>
              <w:pStyle w:val="445"/>
            </w:pPr>
            <w:r>
              <w:t>秋季(9,10,11月)</w:t>
            </w:r>
          </w:p>
        </w:tc>
        <w:tc>
          <w:tcPr>
            <w:tcW w:w="1020" w:type="pct"/>
          </w:tcPr>
          <w:p w14:paraId="61AB8A1C">
            <w:pPr>
              <w:pStyle w:val="445"/>
            </w:pPr>
            <w:r>
              <w:t>0.18</w:t>
            </w:r>
          </w:p>
        </w:tc>
        <w:tc>
          <w:tcPr>
            <w:tcW w:w="794" w:type="pct"/>
          </w:tcPr>
          <w:p w14:paraId="0CDE3D86">
            <w:pPr>
              <w:pStyle w:val="445"/>
            </w:pPr>
            <w:r>
              <w:t>0.7</w:t>
            </w:r>
          </w:p>
        </w:tc>
        <w:tc>
          <w:tcPr>
            <w:tcW w:w="680" w:type="pct"/>
          </w:tcPr>
          <w:p w14:paraId="44EAFFFE">
            <w:pPr>
              <w:pStyle w:val="445"/>
            </w:pPr>
            <w:r>
              <w:t>0.05</w:t>
            </w:r>
          </w:p>
        </w:tc>
      </w:tr>
    </w:tbl>
    <w:p w14:paraId="14E6AC30">
      <w:pPr>
        <w:ind w:firstLine="482"/>
        <w:rPr>
          <w:b/>
        </w:rPr>
      </w:pPr>
      <w:r>
        <w:rPr>
          <w:rFonts w:hint="eastAsia" w:ascii="宋体" w:hAnsi="宋体"/>
          <w:b/>
        </w:rPr>
        <w:t>（</w:t>
      </w:r>
      <w:r>
        <w:rPr>
          <w:b/>
        </w:rPr>
        <w:t>4</w:t>
      </w:r>
      <w:r>
        <w:rPr>
          <w:rFonts w:hint="eastAsia" w:ascii="宋体" w:hAnsi="宋体"/>
          <w:b/>
        </w:rPr>
        <w:t>）背景浓度参数</w:t>
      </w:r>
    </w:p>
    <w:p w14:paraId="7068621C">
      <w:pPr>
        <w:ind w:firstLine="480"/>
      </w:pPr>
      <w:r>
        <w:rPr>
          <w:rFonts w:hint="eastAsia"/>
        </w:rPr>
        <w:t>SO</w:t>
      </w:r>
      <w:r>
        <w:rPr>
          <w:rFonts w:hint="eastAsia"/>
          <w:vertAlign w:val="subscript"/>
        </w:rPr>
        <w:t>2</w:t>
      </w:r>
      <w:r>
        <w:rPr>
          <w:rFonts w:hint="eastAsia" w:ascii="宋体" w:hAnsi="宋体"/>
        </w:rPr>
        <w:t>、</w:t>
      </w:r>
      <w:r>
        <w:rPr>
          <w:rFonts w:hint="eastAsia"/>
        </w:rPr>
        <w:t>NO</w:t>
      </w:r>
      <w:r>
        <w:rPr>
          <w:vertAlign w:val="subscript"/>
        </w:rPr>
        <w:t>2</w:t>
      </w:r>
      <w:r>
        <w:rPr>
          <w:rFonts w:hint="eastAsia" w:ascii="宋体" w:hAnsi="宋体"/>
        </w:rPr>
        <w:t>、</w:t>
      </w:r>
      <w:r>
        <w:rPr>
          <w:rFonts w:hint="eastAsia"/>
        </w:rPr>
        <w:t>CO</w:t>
      </w:r>
      <w:r>
        <w:rPr>
          <w:rFonts w:hint="eastAsia" w:ascii="宋体" w:hAnsi="宋体"/>
        </w:rPr>
        <w:t>、</w:t>
      </w:r>
      <w:r>
        <w:rPr>
          <w:rFonts w:hint="eastAsia"/>
        </w:rPr>
        <w:t>O</w:t>
      </w:r>
      <w:r>
        <w:rPr>
          <w:rFonts w:hint="eastAsia"/>
          <w:vertAlign w:val="subscript"/>
        </w:rPr>
        <w:t>3</w:t>
      </w:r>
      <w:r>
        <w:rPr>
          <w:rFonts w:hint="eastAsia" w:ascii="宋体" w:hAnsi="宋体"/>
        </w:rPr>
        <w:t>、</w:t>
      </w:r>
      <w:r>
        <w:rPr>
          <w:rFonts w:hint="eastAsia"/>
        </w:rPr>
        <w:t>PM</w:t>
      </w:r>
      <w:r>
        <w:rPr>
          <w:rFonts w:hint="eastAsia"/>
          <w:vertAlign w:val="subscript"/>
        </w:rPr>
        <w:t>2.5</w:t>
      </w:r>
      <w:r>
        <w:rPr>
          <w:rFonts w:hint="eastAsia" w:ascii="宋体" w:hAnsi="宋体"/>
        </w:rPr>
        <w:t>、</w:t>
      </w:r>
      <w:r>
        <w:rPr>
          <w:rFonts w:hint="eastAsia"/>
        </w:rPr>
        <w:t>PM</w:t>
      </w:r>
      <w:r>
        <w:rPr>
          <w:rFonts w:hint="eastAsia"/>
          <w:vertAlign w:val="subscript"/>
        </w:rPr>
        <w:t>10</w:t>
      </w:r>
      <w:r>
        <w:rPr>
          <w:rFonts w:hint="eastAsia" w:ascii="宋体" w:hAnsi="宋体"/>
        </w:rPr>
        <w:t>背景浓度采用项目区域空气质量现状评价采用中国空气质量在线监测分析平台历史环境质量数据（</w:t>
      </w:r>
      <w:r>
        <w:rPr>
          <w:rFonts w:hint="eastAsia"/>
        </w:rPr>
        <w:t>www.aqistudy.cn</w:t>
      </w:r>
      <w:r>
        <w:rPr>
          <w:rFonts w:hint="eastAsia" w:ascii="宋体" w:hAnsi="宋体"/>
        </w:rPr>
        <w:t>）发布的蚌埠市连续</w:t>
      </w:r>
      <w:r>
        <w:rPr>
          <w:rFonts w:hint="eastAsia"/>
        </w:rPr>
        <w:t>1</w:t>
      </w:r>
      <w:r>
        <w:rPr>
          <w:rFonts w:hint="eastAsia" w:ascii="宋体" w:hAnsi="宋体"/>
        </w:rPr>
        <w:t>年</w:t>
      </w:r>
      <w:r>
        <w:rPr>
          <w:rFonts w:hint="eastAsia"/>
        </w:rPr>
        <w:t>6</w:t>
      </w:r>
      <w:r>
        <w:rPr>
          <w:rFonts w:hint="eastAsia" w:ascii="宋体" w:hAnsi="宋体"/>
        </w:rPr>
        <w:t>项基本污染物历史监测数据，按</w:t>
      </w:r>
      <w:r>
        <w:rPr>
          <w:rFonts w:hint="eastAsia"/>
        </w:rPr>
        <w:t>HJ663</w:t>
      </w:r>
      <w:r>
        <w:rPr>
          <w:rFonts w:hint="eastAsia" w:ascii="宋体" w:hAnsi="宋体"/>
        </w:rPr>
        <w:t>中的统计方法对各污染物的年评价指标进行现状评价，其中</w:t>
      </w:r>
      <w:r>
        <w:rPr>
          <w:rFonts w:hint="eastAsia"/>
        </w:rPr>
        <w:t>PM</w:t>
      </w:r>
      <w:r>
        <w:rPr>
          <w:rFonts w:hint="eastAsia"/>
          <w:vertAlign w:val="subscript"/>
        </w:rPr>
        <w:t>2.5</w:t>
      </w:r>
      <w:r>
        <w:rPr>
          <w:rFonts w:hint="eastAsia" w:ascii="宋体" w:hAnsi="宋体"/>
        </w:rPr>
        <w:t>、</w:t>
      </w:r>
      <w:r>
        <w:rPr>
          <w:rFonts w:hint="eastAsia"/>
        </w:rPr>
        <w:t>PM</w:t>
      </w:r>
      <w:r>
        <w:rPr>
          <w:rFonts w:hint="eastAsia"/>
          <w:vertAlign w:val="subscript"/>
        </w:rPr>
        <w:t>10</w:t>
      </w:r>
      <w:r>
        <w:rPr>
          <w:rFonts w:hint="eastAsia" w:ascii="宋体" w:hAnsi="宋体"/>
        </w:rPr>
        <w:t>因子超过《环境空气质量标准》（</w:t>
      </w:r>
      <w:r>
        <w:rPr>
          <w:rFonts w:hint="eastAsia"/>
        </w:rPr>
        <w:t>GB3095-2002</w:t>
      </w:r>
      <w:r>
        <w:rPr>
          <w:rFonts w:hint="eastAsia" w:ascii="宋体" w:hAnsi="宋体"/>
        </w:rPr>
        <w:t>）二级标准；其他因子</w:t>
      </w:r>
      <w:r>
        <w:rPr>
          <w:rFonts w:hint="eastAsia"/>
        </w:rPr>
        <w:t>HF</w:t>
      </w:r>
      <w:r>
        <w:rPr>
          <w:rFonts w:hint="eastAsia" w:ascii="宋体" w:hAnsi="宋体"/>
        </w:rPr>
        <w:t>、</w:t>
      </w:r>
      <w:r>
        <w:rPr>
          <w:rFonts w:hint="eastAsia"/>
        </w:rPr>
        <w:t>HCl</w:t>
      </w:r>
      <w:r>
        <w:rPr>
          <w:rFonts w:hint="eastAsia" w:ascii="宋体" w:hAnsi="宋体"/>
        </w:rPr>
        <w:t>、甲醇</w:t>
      </w:r>
      <w:r>
        <w:rPr>
          <w:rFonts w:ascii="宋体" w:hAnsi="宋体"/>
        </w:rPr>
        <w:t>、</w:t>
      </w:r>
      <w:r>
        <w:rPr>
          <w:rFonts w:hint="eastAsia" w:cs="Times New Roman"/>
        </w:rPr>
        <w:t>非甲烷总烃</w:t>
      </w:r>
      <w:r>
        <w:rPr>
          <w:rFonts w:hint="eastAsia" w:ascii="宋体" w:hAnsi="宋体"/>
        </w:rPr>
        <w:t>、</w:t>
      </w:r>
      <w:r>
        <w:rPr>
          <w:rFonts w:hint="eastAsia"/>
        </w:rPr>
        <w:t>NH</w:t>
      </w:r>
      <w:r>
        <w:rPr>
          <w:rFonts w:hint="eastAsia"/>
          <w:vertAlign w:val="subscript"/>
        </w:rPr>
        <w:t>3</w:t>
      </w:r>
      <w:r>
        <w:rPr>
          <w:rFonts w:hint="eastAsia" w:ascii="宋体" w:hAnsi="宋体"/>
        </w:rPr>
        <w:t>采用现状补充监测数据。</w:t>
      </w:r>
    </w:p>
    <w:p w14:paraId="6F88C09C">
      <w:pPr>
        <w:ind w:firstLine="482"/>
        <w:rPr>
          <w:b/>
        </w:rPr>
      </w:pPr>
      <w:r>
        <w:rPr>
          <w:rFonts w:hint="eastAsia" w:ascii="宋体" w:hAnsi="宋体"/>
          <w:b/>
        </w:rPr>
        <w:t>（</w:t>
      </w:r>
      <w:r>
        <w:rPr>
          <w:b/>
        </w:rPr>
        <w:t>5</w:t>
      </w:r>
      <w:r>
        <w:rPr>
          <w:rFonts w:hint="eastAsia" w:ascii="宋体" w:hAnsi="宋体"/>
          <w:b/>
        </w:rPr>
        <w:t>）模型输出参数</w:t>
      </w:r>
    </w:p>
    <w:p w14:paraId="6C520500">
      <w:pPr>
        <w:ind w:firstLine="480"/>
        <w:rPr>
          <w:rFonts w:cs="Times New Roman"/>
        </w:rPr>
      </w:pPr>
      <w:r>
        <w:rPr>
          <w:rFonts w:hint="eastAsia" w:ascii="宋体" w:hAnsi="宋体"/>
        </w:rPr>
        <w:t>正常工况下，</w:t>
      </w:r>
      <w:r>
        <w:rPr>
          <w:rFonts w:hint="eastAsia"/>
        </w:rPr>
        <w:t>SO</w:t>
      </w:r>
      <w:r>
        <w:rPr>
          <w:rFonts w:hint="eastAsia"/>
          <w:vertAlign w:val="subscript"/>
        </w:rPr>
        <w:t>2</w:t>
      </w:r>
      <w:r>
        <w:rPr>
          <w:rFonts w:hint="eastAsia" w:ascii="宋体" w:hAnsi="宋体"/>
        </w:rPr>
        <w:t>、</w:t>
      </w:r>
      <w:r>
        <w:rPr>
          <w:rFonts w:hint="eastAsia"/>
        </w:rPr>
        <w:t>NO</w:t>
      </w:r>
      <w:r>
        <w:rPr>
          <w:vertAlign w:val="subscript"/>
        </w:rPr>
        <w:t>x</w:t>
      </w:r>
      <w:r>
        <w:rPr>
          <w:rFonts w:hint="eastAsia" w:ascii="宋体" w:hAnsi="宋体"/>
        </w:rPr>
        <w:t>输出</w:t>
      </w:r>
      <w:r>
        <w:rPr>
          <w:rFonts w:hint="eastAsia"/>
        </w:rPr>
        <w:t>1</w:t>
      </w:r>
      <w:r>
        <w:rPr>
          <w:rFonts w:hint="eastAsia" w:ascii="宋体" w:hAnsi="宋体"/>
        </w:rPr>
        <w:t>小时、</w:t>
      </w:r>
      <w:r>
        <w:rPr>
          <w:rFonts w:hint="eastAsia"/>
        </w:rPr>
        <w:t>24</w:t>
      </w:r>
      <w:r>
        <w:rPr>
          <w:rFonts w:hint="eastAsia" w:ascii="宋体" w:hAnsi="宋体"/>
        </w:rPr>
        <w:t>小时、全时段值，</w:t>
      </w:r>
      <w:r>
        <w:rPr>
          <w:rFonts w:hint="eastAsia"/>
        </w:rPr>
        <w:t>PM</w:t>
      </w:r>
      <w:r>
        <w:rPr>
          <w:rFonts w:hint="eastAsia"/>
          <w:vertAlign w:val="subscript"/>
        </w:rPr>
        <w:t>10</w:t>
      </w:r>
      <w:r>
        <w:rPr>
          <w:rFonts w:hint="eastAsia" w:ascii="宋体" w:hAnsi="宋体"/>
        </w:rPr>
        <w:t>、</w:t>
      </w:r>
      <w:r>
        <w:rPr>
          <w:rFonts w:hint="eastAsia"/>
        </w:rPr>
        <w:t>PM</w:t>
      </w:r>
      <w:r>
        <w:rPr>
          <w:rFonts w:hint="eastAsia"/>
          <w:vertAlign w:val="subscript"/>
        </w:rPr>
        <w:t>2.5</w:t>
      </w:r>
      <w:r>
        <w:rPr>
          <w:rFonts w:hint="eastAsia" w:ascii="宋体" w:hAnsi="宋体"/>
        </w:rPr>
        <w:t>输出</w:t>
      </w:r>
      <w:r>
        <w:rPr>
          <w:rFonts w:hint="eastAsia"/>
        </w:rPr>
        <w:t>24</w:t>
      </w:r>
      <w:r>
        <w:rPr>
          <w:rFonts w:hint="eastAsia" w:ascii="宋体" w:hAnsi="宋体"/>
        </w:rPr>
        <w:t>小时、</w:t>
      </w:r>
      <w:r>
        <w:rPr>
          <w:rFonts w:ascii="宋体" w:hAnsi="宋体"/>
        </w:rPr>
        <w:t>全时段</w:t>
      </w:r>
      <w:r>
        <w:rPr>
          <w:rFonts w:hint="eastAsia" w:ascii="宋体" w:hAnsi="宋体"/>
        </w:rPr>
        <w:t>值，</w:t>
      </w:r>
      <w:r>
        <w:t xml:space="preserve"> HF</w:t>
      </w:r>
      <w:r>
        <w:rPr>
          <w:rFonts w:hint="eastAsia" w:ascii="宋体" w:hAnsi="宋体"/>
        </w:rPr>
        <w:t>、</w:t>
      </w:r>
      <w:r>
        <w:t>HCl</w:t>
      </w:r>
      <w:r>
        <w:rPr>
          <w:rFonts w:hint="eastAsia"/>
        </w:rPr>
        <w:t>、</w:t>
      </w:r>
      <w:r>
        <w:t>甲醇</w:t>
      </w:r>
      <w:r>
        <w:rPr>
          <w:rFonts w:hint="eastAsia" w:ascii="宋体" w:hAnsi="宋体"/>
        </w:rPr>
        <w:t>输出</w:t>
      </w:r>
      <w:r>
        <w:rPr>
          <w:rFonts w:hint="eastAsia"/>
        </w:rPr>
        <w:t>1</w:t>
      </w:r>
      <w:r>
        <w:rPr>
          <w:rFonts w:hint="eastAsia" w:ascii="宋体" w:hAnsi="宋体"/>
        </w:rPr>
        <w:t>小时、</w:t>
      </w:r>
      <w:r>
        <w:rPr>
          <w:rFonts w:hint="eastAsia"/>
        </w:rPr>
        <w:t>24</w:t>
      </w:r>
      <w:r>
        <w:rPr>
          <w:rFonts w:hint="eastAsia" w:ascii="宋体" w:hAnsi="宋体"/>
        </w:rPr>
        <w:t>小时值，</w:t>
      </w:r>
      <w:r>
        <w:rPr>
          <w:rFonts w:hint="eastAsia"/>
        </w:rPr>
        <w:t>NH</w:t>
      </w:r>
      <w:r>
        <w:rPr>
          <w:rFonts w:hint="eastAsia"/>
          <w:vertAlign w:val="subscript"/>
        </w:rPr>
        <w:t>3</w:t>
      </w:r>
      <w:r>
        <w:rPr>
          <w:rFonts w:hint="eastAsia" w:ascii="宋体" w:hAnsi="宋体"/>
        </w:rPr>
        <w:t>输出</w:t>
      </w:r>
      <w:r>
        <w:rPr>
          <w:rFonts w:hint="eastAsia"/>
        </w:rPr>
        <w:t>1</w:t>
      </w:r>
      <w:r>
        <w:rPr>
          <w:rFonts w:hint="eastAsia" w:ascii="宋体" w:hAnsi="宋体"/>
        </w:rPr>
        <w:t>小时值，</w:t>
      </w:r>
      <w:r>
        <w:rPr>
          <w:rFonts w:hint="eastAsia" w:cs="Times New Roman"/>
        </w:rPr>
        <w:t>非甲烷总烃</w:t>
      </w:r>
      <w:r>
        <w:rPr>
          <w:rFonts w:cs="Times New Roman"/>
        </w:rPr>
        <w:t>输出</w:t>
      </w:r>
      <w:r>
        <w:rPr>
          <w:rFonts w:hint="eastAsia"/>
        </w:rPr>
        <w:t>1</w:t>
      </w:r>
      <w:r>
        <w:rPr>
          <w:rFonts w:cs="Times New Roman"/>
        </w:rPr>
        <w:t>小时平均值。</w:t>
      </w:r>
    </w:p>
    <w:p w14:paraId="2196B33C">
      <w:pPr>
        <w:pStyle w:val="4068"/>
      </w:pPr>
      <w:bookmarkStart w:id="204" w:name="_Toc100784029"/>
      <w:bookmarkStart w:id="205" w:name="_Toc108662638"/>
      <w:bookmarkStart w:id="206" w:name="_Toc101135861"/>
      <w:r>
        <w:t>5.1.</w:t>
      </w:r>
      <w:r>
        <w:rPr>
          <w:rFonts w:hint="eastAsia"/>
        </w:rPr>
        <w:t>4</w:t>
      </w:r>
      <w:r>
        <w:rPr>
          <w:rFonts w:ascii="黑体" w:hAnsi="黑体"/>
        </w:rPr>
        <w:t>源强参数</w:t>
      </w:r>
      <w:bookmarkEnd w:id="204"/>
      <w:bookmarkEnd w:id="205"/>
      <w:bookmarkEnd w:id="206"/>
    </w:p>
    <w:p w14:paraId="28F36B33">
      <w:pPr>
        <w:ind w:firstLine="480"/>
        <w:rPr>
          <w:rFonts w:ascii="宋体" w:hAnsi="宋体"/>
        </w:rPr>
        <w:sectPr>
          <w:pgSz w:w="11907" w:h="16839"/>
          <w:pgMar w:top="1440" w:right="1440" w:bottom="1440" w:left="1440" w:header="851" w:footer="992" w:gutter="0"/>
          <w:cols w:space="425" w:num="1"/>
          <w:docGrid w:type="lines" w:linePitch="326" w:charSpace="0"/>
        </w:sectPr>
      </w:pPr>
      <w:r>
        <w:rPr>
          <w:rFonts w:ascii="宋体" w:hAnsi="宋体"/>
        </w:rPr>
        <w:t>本项目新增污染源有组织废气污染物排放汇总情况详见表</w:t>
      </w:r>
      <w:r>
        <w:t>5.1.</w:t>
      </w:r>
      <w:r>
        <w:rPr>
          <w:rFonts w:hint="eastAsia"/>
        </w:rPr>
        <w:t>4</w:t>
      </w:r>
      <w:r>
        <w:t>-1</w:t>
      </w:r>
      <w:r>
        <w:rPr>
          <w:rFonts w:ascii="宋体" w:hAnsi="宋体"/>
        </w:rPr>
        <w:t>，无组织废气污染物排放汇总情况详见表</w:t>
      </w:r>
      <w:r>
        <w:t>5.1.</w:t>
      </w:r>
      <w:r>
        <w:rPr>
          <w:rFonts w:hint="eastAsia"/>
        </w:rPr>
        <w:t>4</w:t>
      </w:r>
      <w:r>
        <w:t>-2</w:t>
      </w:r>
      <w:r>
        <w:rPr>
          <w:rFonts w:ascii="宋体" w:hAnsi="宋体"/>
        </w:rPr>
        <w:t>，非正常工况下废气污染物排放汇总情况详见表</w:t>
      </w:r>
      <w:r>
        <w:t>5.1.</w:t>
      </w:r>
      <w:r>
        <w:rPr>
          <w:rFonts w:hint="eastAsia"/>
        </w:rPr>
        <w:t>4</w:t>
      </w:r>
      <w:r>
        <w:t>-3</w:t>
      </w:r>
      <w:r>
        <w:rPr>
          <w:rFonts w:hint="eastAsia" w:ascii="宋体" w:hAnsi="宋体"/>
        </w:rPr>
        <w:t>，</w:t>
      </w:r>
      <w:r>
        <w:rPr>
          <w:rFonts w:ascii="宋体" w:hAnsi="宋体"/>
        </w:rPr>
        <w:t>区域内</w:t>
      </w:r>
      <w:r>
        <w:rPr>
          <w:rFonts w:hint="eastAsia" w:ascii="宋体" w:hAnsi="宋体"/>
        </w:rPr>
        <w:t>同期拟建</w:t>
      </w:r>
      <w:r>
        <w:rPr>
          <w:rFonts w:ascii="宋体" w:hAnsi="宋体"/>
        </w:rPr>
        <w:t>或</w:t>
      </w:r>
      <w:r>
        <w:rPr>
          <w:rFonts w:hint="eastAsia" w:ascii="宋体" w:hAnsi="宋体"/>
        </w:rPr>
        <w:t>在建</w:t>
      </w:r>
      <w:r>
        <w:rPr>
          <w:rFonts w:ascii="宋体" w:hAnsi="宋体"/>
        </w:rPr>
        <w:t>项目</w:t>
      </w:r>
      <w:r>
        <w:rPr>
          <w:rFonts w:hint="eastAsia" w:ascii="宋体" w:hAnsi="宋体"/>
        </w:rPr>
        <w:t>废气</w:t>
      </w:r>
      <w:r>
        <w:rPr>
          <w:rFonts w:ascii="宋体" w:hAnsi="宋体"/>
        </w:rPr>
        <w:t>污染物</w:t>
      </w:r>
      <w:r>
        <w:rPr>
          <w:rFonts w:hint="eastAsia" w:ascii="宋体" w:hAnsi="宋体"/>
        </w:rPr>
        <w:t>（仅考虑</w:t>
      </w:r>
      <w:r>
        <w:rPr>
          <w:rFonts w:ascii="宋体" w:hAnsi="宋体"/>
        </w:rPr>
        <w:t>与本项目排放的相同污染物</w:t>
      </w:r>
      <w:r>
        <w:rPr>
          <w:rFonts w:hint="eastAsia" w:ascii="宋体" w:hAnsi="宋体"/>
        </w:rPr>
        <w:t>）</w:t>
      </w:r>
      <w:r>
        <w:rPr>
          <w:rFonts w:ascii="宋体" w:hAnsi="宋体"/>
        </w:rPr>
        <w:t>排放</w:t>
      </w:r>
    </w:p>
    <w:p w14:paraId="37128067">
      <w:pPr>
        <w:ind w:firstLine="480"/>
        <w:rPr>
          <w:rFonts w:ascii="黑体" w:hAnsi="黑体"/>
        </w:rPr>
      </w:pPr>
      <w:r>
        <w:t>汇总情况见表</w:t>
      </w:r>
      <w:r>
        <w:rPr>
          <w:rFonts w:hint="eastAsia"/>
        </w:rPr>
        <w:t>5.1.4-4。</w:t>
      </w:r>
    </w:p>
    <w:p w14:paraId="0B37EA66">
      <w:pPr>
        <w:pStyle w:val="278"/>
        <w:ind w:firstLine="480"/>
      </w:pPr>
      <w:r>
        <w:rPr>
          <w:rFonts w:hint="eastAsia" w:ascii="黑体" w:hAnsi="黑体"/>
        </w:rPr>
        <w:t>表</w:t>
      </w:r>
      <w:r>
        <w:t xml:space="preserve">5.1.4-1  </w:t>
      </w:r>
      <w:r>
        <w:rPr>
          <w:rFonts w:hint="eastAsia" w:ascii="黑体" w:hAnsi="黑体"/>
        </w:rPr>
        <w:t>有组织废气</w:t>
      </w:r>
      <w:r>
        <w:rPr>
          <w:rFonts w:ascii="黑体" w:hAnsi="黑体"/>
        </w:rPr>
        <w:t>污染物排放情况</w:t>
      </w:r>
    </w:p>
    <w:p w14:paraId="50E4B0B4">
      <w:pPr>
        <w:pStyle w:val="278"/>
        <w:ind w:firstLine="480"/>
      </w:pPr>
      <w:r>
        <w:rPr>
          <w:rFonts w:hint="eastAsia" w:ascii="黑体" w:hAnsi="黑体"/>
        </w:rPr>
        <w:t>表</w:t>
      </w:r>
      <w:r>
        <w:t xml:space="preserve">5.1.4-2  </w:t>
      </w:r>
      <w:r>
        <w:rPr>
          <w:rFonts w:hint="eastAsia" w:ascii="黑体" w:hAnsi="黑体"/>
        </w:rPr>
        <w:t>无组织（矩形面源）</w:t>
      </w:r>
      <w:r>
        <w:rPr>
          <w:rFonts w:ascii="黑体" w:hAnsi="黑体"/>
        </w:rPr>
        <w:t>废气污染物排放情况</w:t>
      </w:r>
    </w:p>
    <w:p w14:paraId="397A225A">
      <w:pPr>
        <w:pStyle w:val="278"/>
        <w:ind w:firstLine="480"/>
        <w:rPr>
          <w:rFonts w:ascii="黑体" w:hAnsi="黑体"/>
        </w:rPr>
        <w:sectPr>
          <w:pgSz w:w="16839" w:h="11907" w:orient="landscape"/>
          <w:pgMar w:top="1440" w:right="1440" w:bottom="1440" w:left="1440" w:header="851" w:footer="992" w:gutter="0"/>
          <w:cols w:space="425" w:num="1"/>
          <w:docGrid w:type="lines" w:linePitch="326" w:charSpace="0"/>
        </w:sectPr>
      </w:pPr>
    </w:p>
    <w:p w14:paraId="633881A1">
      <w:pPr>
        <w:pStyle w:val="278"/>
        <w:ind w:firstLine="480"/>
      </w:pPr>
      <w:r>
        <w:rPr>
          <w:rFonts w:ascii="黑体" w:hAnsi="黑体"/>
        </w:rPr>
        <w:t>表</w:t>
      </w:r>
      <w:r>
        <w:t>5.1.</w:t>
      </w:r>
      <w:r>
        <w:rPr>
          <w:rFonts w:hint="eastAsia"/>
        </w:rPr>
        <w:t>4</w:t>
      </w:r>
      <w:r>
        <w:t xml:space="preserve">-3  </w:t>
      </w:r>
      <w:r>
        <w:rPr>
          <w:rFonts w:ascii="黑体" w:hAnsi="黑体"/>
        </w:rPr>
        <w:t>非正常工况下废气污染物排放情况</w:t>
      </w:r>
    </w:p>
    <w:p w14:paraId="4F8F321D">
      <w:pPr>
        <w:pStyle w:val="278"/>
        <w:ind w:firstLine="480"/>
        <w:rPr>
          <w:rFonts w:ascii="黑体" w:hAnsi="黑体"/>
        </w:rPr>
      </w:pPr>
    </w:p>
    <w:p w14:paraId="3F0C8176">
      <w:pPr>
        <w:pStyle w:val="278"/>
        <w:ind w:firstLine="480"/>
        <w:rPr>
          <w:rFonts w:ascii="黑体" w:hAnsi="黑体"/>
        </w:rPr>
      </w:pPr>
    </w:p>
    <w:p w14:paraId="04C658B5">
      <w:pPr>
        <w:ind w:firstLine="480"/>
      </w:pPr>
    </w:p>
    <w:p w14:paraId="3457B42B">
      <w:pPr>
        <w:ind w:firstLine="480"/>
        <w:sectPr>
          <w:pgSz w:w="16839" w:h="11907" w:orient="landscape"/>
          <w:pgMar w:top="1440" w:right="1440" w:bottom="1440" w:left="1440" w:header="851" w:footer="992" w:gutter="0"/>
          <w:cols w:space="425" w:num="1"/>
          <w:docGrid w:type="lines" w:linePitch="326" w:charSpace="0"/>
        </w:sectPr>
      </w:pPr>
    </w:p>
    <w:p w14:paraId="2C1257B2">
      <w:pPr>
        <w:pStyle w:val="4068"/>
      </w:pPr>
      <w:bookmarkStart w:id="207" w:name="_Toc108662639"/>
      <w:bookmarkStart w:id="208" w:name="_Toc100784030"/>
      <w:bookmarkStart w:id="209" w:name="_Toc101135862"/>
      <w:r>
        <w:rPr>
          <w:rFonts w:hint="eastAsia"/>
        </w:rPr>
        <w:t>5.1.</w:t>
      </w:r>
      <w:r>
        <w:t>5</w:t>
      </w:r>
      <w:r>
        <w:rPr>
          <w:rFonts w:hint="eastAsia"/>
        </w:rPr>
        <w:t>正常工况下</w:t>
      </w:r>
      <w:r>
        <w:t>预测结果及分析</w:t>
      </w:r>
      <w:bookmarkEnd w:id="207"/>
      <w:bookmarkEnd w:id="208"/>
      <w:bookmarkEnd w:id="209"/>
    </w:p>
    <w:p w14:paraId="56BB2433">
      <w:pPr>
        <w:ind w:firstLine="480"/>
      </w:pPr>
      <w:r>
        <w:rPr>
          <w:rFonts w:hint="eastAsia" w:ascii="宋体" w:hAnsi="宋体"/>
        </w:rPr>
        <w:t>采用</w:t>
      </w:r>
      <w:r>
        <w:t>2020</w:t>
      </w:r>
      <w:r>
        <w:rPr>
          <w:rFonts w:ascii="宋体" w:hAnsi="宋体"/>
        </w:rPr>
        <w:t>年全年气象资料逐时、逐日计算项目排放的污染物在评价区域及保护目标贡献值。评价范围及保护目标最大贡献浓度预测及分析情况见表</w:t>
      </w:r>
      <w:r>
        <w:t>5.1.5-1</w:t>
      </w:r>
      <w:r>
        <w:rPr>
          <w:rFonts w:ascii="宋体" w:hAnsi="宋体"/>
        </w:rPr>
        <w:t>。现状质量达标污染物（</w:t>
      </w:r>
      <w:r>
        <w:t>SO</w:t>
      </w:r>
      <w:r>
        <w:rPr>
          <w:vertAlign w:val="subscript"/>
        </w:rPr>
        <w:t>2</w:t>
      </w:r>
      <w:r>
        <w:rPr>
          <w:rFonts w:ascii="宋体" w:hAnsi="宋体"/>
        </w:rPr>
        <w:t>、</w:t>
      </w:r>
      <w:r>
        <w:rPr>
          <w:rFonts w:hint="eastAsia"/>
        </w:rPr>
        <w:t>NO</w:t>
      </w:r>
      <w:r>
        <w:rPr>
          <w:vertAlign w:val="subscript"/>
        </w:rPr>
        <w:t>x</w:t>
      </w:r>
      <w:r>
        <w:rPr>
          <w:rFonts w:hint="eastAsia" w:ascii="宋体" w:hAnsi="宋体"/>
        </w:rPr>
        <w:t>、</w:t>
      </w:r>
      <w:r>
        <w:t>PM</w:t>
      </w:r>
      <w:r>
        <w:rPr>
          <w:vertAlign w:val="subscript"/>
        </w:rPr>
        <w:t>10</w:t>
      </w:r>
      <w:r>
        <w:rPr>
          <w:rFonts w:ascii="宋体" w:hAnsi="宋体"/>
        </w:rPr>
        <w:t>、</w:t>
      </w:r>
      <w:r>
        <w:t>PM</w:t>
      </w:r>
      <w:r>
        <w:rPr>
          <w:vertAlign w:val="subscript"/>
        </w:rPr>
        <w:t>2.5</w:t>
      </w:r>
      <w:r>
        <w:rPr>
          <w:rFonts w:ascii="宋体" w:hAnsi="宋体"/>
        </w:rPr>
        <w:t>、</w:t>
      </w:r>
      <w:r>
        <w:rPr>
          <w:rFonts w:hint="eastAsia"/>
        </w:rPr>
        <w:t>甲醇</w:t>
      </w:r>
      <w:r>
        <w:rPr>
          <w:rFonts w:hint="eastAsia" w:ascii="宋体" w:hAnsi="宋体"/>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w:t>
      </w:r>
      <w:r>
        <w:rPr>
          <w:rFonts w:hint="eastAsia" w:cs="Times New Roman"/>
        </w:rPr>
        <w:t>非甲烷总烃</w:t>
      </w:r>
      <w:r>
        <w:rPr>
          <w:rFonts w:ascii="宋体" w:hAnsi="宋体"/>
        </w:rPr>
        <w:t>）叠加现状浓度后达标情况预测见表</w:t>
      </w:r>
      <w:r>
        <w:t>5.1.5-2</w:t>
      </w:r>
      <w:r>
        <w:rPr>
          <w:rFonts w:ascii="宋体" w:hAnsi="宋体"/>
        </w:rPr>
        <w:t>，浓度分布</w:t>
      </w:r>
      <w:r>
        <w:rPr>
          <w:rFonts w:hint="eastAsia" w:ascii="宋体" w:hAnsi="宋体"/>
        </w:rPr>
        <w:t>情况</w:t>
      </w:r>
      <w:r>
        <w:rPr>
          <w:rFonts w:ascii="宋体" w:hAnsi="宋体"/>
        </w:rPr>
        <w:t>见图</w:t>
      </w:r>
      <w:r>
        <w:t>5.1.5-1~21</w:t>
      </w:r>
      <w:r>
        <w:rPr>
          <w:rFonts w:ascii="宋体" w:hAnsi="宋体"/>
        </w:rPr>
        <w:t>。浓度现状质量超标污染物（</w:t>
      </w:r>
      <w:r>
        <w:t>PM</w:t>
      </w:r>
      <w:r>
        <w:rPr>
          <w:vertAlign w:val="subscript"/>
        </w:rPr>
        <w:t>10</w:t>
      </w:r>
      <w:r>
        <w:rPr>
          <w:rFonts w:hint="eastAsia" w:ascii="宋体" w:hAnsi="宋体"/>
        </w:rPr>
        <w:t>、</w:t>
      </w:r>
      <w:r>
        <w:rPr>
          <w:rFonts w:hint="eastAsia"/>
        </w:rPr>
        <w:t>P</w:t>
      </w:r>
      <w:r>
        <w:t>M</w:t>
      </w:r>
      <w:r>
        <w:rPr>
          <w:vertAlign w:val="subscript"/>
        </w:rPr>
        <w:t>2.5</w:t>
      </w:r>
      <w:r>
        <w:rPr>
          <w:rFonts w:ascii="宋体" w:hAnsi="宋体"/>
        </w:rPr>
        <w:t>）</w:t>
      </w:r>
      <w:r>
        <w:rPr>
          <w:rFonts w:hint="eastAsia" w:ascii="宋体" w:hAnsi="宋体"/>
        </w:rPr>
        <w:t>落实达标</w:t>
      </w:r>
      <w:r>
        <w:rPr>
          <w:rFonts w:ascii="宋体" w:hAnsi="宋体"/>
        </w:rPr>
        <w:t>规划后预测范围的年平均质量浓度变化情况见表</w:t>
      </w:r>
      <w:r>
        <w:t>5.1.5-3</w:t>
      </w:r>
      <w:r>
        <w:rPr>
          <w:rFonts w:ascii="宋体" w:hAnsi="宋体"/>
        </w:rPr>
        <w:t>。</w:t>
      </w:r>
    </w:p>
    <w:p w14:paraId="64689EE1">
      <w:pPr>
        <w:ind w:firstLine="480"/>
        <w:rPr>
          <w:color w:val="000000" w:themeColor="text1"/>
          <w14:textFill>
            <w14:solidFill>
              <w14:schemeClr w14:val="tx1"/>
            </w14:solidFill>
          </w14:textFill>
        </w:rPr>
      </w:pPr>
      <w:r>
        <w:rPr>
          <w:rFonts w:hint="eastAsia" w:ascii="宋体" w:hAnsi="宋体"/>
        </w:rPr>
        <w:t>由表</w:t>
      </w:r>
      <w:r>
        <w:t>5.1.5-1</w:t>
      </w:r>
      <w:r>
        <w:rPr>
          <w:rFonts w:ascii="宋体" w:hAnsi="宋体"/>
        </w:rPr>
        <w:t>可见，评价范围内</w:t>
      </w:r>
      <w:r>
        <w:rPr>
          <w:rFonts w:hint="eastAsia"/>
        </w:rPr>
        <w:t>甲醇</w:t>
      </w:r>
      <w:r>
        <w:rPr>
          <w:rFonts w:hint="eastAsia" w:ascii="宋体" w:hAnsi="宋体"/>
        </w:rPr>
        <w:t>、</w:t>
      </w:r>
      <w:r>
        <w:rPr>
          <w:rFonts w:hint="eastAsia"/>
        </w:rPr>
        <w:t>SO</w:t>
      </w:r>
      <w:r>
        <w:rPr>
          <w:rFonts w:hint="eastAsia"/>
          <w:vertAlign w:val="subscript"/>
        </w:rPr>
        <w:t>2</w:t>
      </w:r>
      <w:r>
        <w:rPr>
          <w:rFonts w:hint="eastAsia" w:ascii="宋体" w:hAnsi="宋体"/>
        </w:rPr>
        <w:t>、</w:t>
      </w:r>
      <w:r>
        <w:rPr>
          <w:rFonts w:hint="eastAsia"/>
        </w:rPr>
        <w:t>NO</w:t>
      </w:r>
      <w:r>
        <w:rPr>
          <w:vertAlign w:val="subscript"/>
        </w:rPr>
        <w:t>x</w:t>
      </w:r>
      <w:r>
        <w:rPr>
          <w:rFonts w:hint="eastAsia" w:ascii="宋体" w:hAnsi="宋体"/>
        </w:rPr>
        <w:t>、</w:t>
      </w:r>
      <w:r>
        <w:rPr>
          <w:rFonts w:hint="eastAsia"/>
        </w:rPr>
        <w:t>PM</w:t>
      </w:r>
      <w:r>
        <w:rPr>
          <w:rFonts w:hint="eastAsia"/>
          <w:vertAlign w:val="subscript"/>
        </w:rPr>
        <w:t>10</w:t>
      </w:r>
      <w:r>
        <w:rPr>
          <w:rFonts w:hint="eastAsia" w:ascii="宋体" w:hAnsi="宋体"/>
        </w:rPr>
        <w:t>、</w:t>
      </w:r>
      <w:r>
        <w:t>PM</w:t>
      </w:r>
      <w:r>
        <w:rPr>
          <w:vertAlign w:val="subscript"/>
        </w:rPr>
        <w:t>2.5</w:t>
      </w:r>
      <w:r>
        <w:rPr>
          <w:rFonts w:ascii="宋体" w:hAnsi="宋体"/>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w:t>
      </w:r>
      <w:r>
        <w:rPr>
          <w:rFonts w:hint="eastAsia" w:cs="Times New Roman"/>
        </w:rPr>
        <w:t>非甲烷总烃</w:t>
      </w:r>
      <w:r>
        <w:rPr>
          <w:rFonts w:hint="eastAsia" w:ascii="宋体" w:hAnsi="宋体"/>
        </w:rPr>
        <w:t>短期浓度（</w:t>
      </w:r>
      <w:r>
        <w:rPr>
          <w:rFonts w:ascii="宋体" w:hAnsi="宋体"/>
        </w:rPr>
        <w:t>小时平均、日平均</w:t>
      </w:r>
      <w:r>
        <w:rPr>
          <w:rFonts w:hint="eastAsia" w:ascii="宋体" w:hAnsi="宋体"/>
        </w:rPr>
        <w:t>）贡献值</w:t>
      </w:r>
      <w:r>
        <w:rPr>
          <w:rFonts w:ascii="宋体" w:hAnsi="宋体"/>
        </w:rPr>
        <w:t>保护目标和网格点最大占标率为</w:t>
      </w:r>
      <w:r>
        <w:t>PM</w:t>
      </w:r>
      <w:r>
        <w:rPr>
          <w:vertAlign w:val="subscript"/>
        </w:rPr>
        <w:t>10</w:t>
      </w:r>
      <w:r>
        <w:rPr>
          <w:rFonts w:ascii="宋体" w:hAnsi="宋体"/>
        </w:rPr>
        <w:t>、</w:t>
      </w:r>
      <w:r>
        <w:t>PM</w:t>
      </w:r>
      <w:r>
        <w:rPr>
          <w:vertAlign w:val="subscript"/>
        </w:rPr>
        <w:t>2.5</w:t>
      </w:r>
      <w:r>
        <w:t xml:space="preserve"> 12.6%＜100%</w:t>
      </w:r>
      <w:r>
        <w:rPr>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年平均贡献值保护目标和网格点最大占标率为</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 xml:space="preserve"> 3.56%</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30%</w:t>
      </w:r>
      <w:r>
        <w:rPr>
          <w:rFonts w:ascii="宋体" w:hAnsi="宋体"/>
          <w:color w:val="000000" w:themeColor="text1"/>
          <w14:textFill>
            <w14:solidFill>
              <w14:schemeClr w14:val="tx1"/>
            </w14:solidFill>
          </w14:textFill>
        </w:rPr>
        <w:t>。</w:t>
      </w:r>
    </w:p>
    <w:p w14:paraId="1CA3FC3A">
      <w:pPr>
        <w:ind w:firstLine="480"/>
      </w:pPr>
      <w:r>
        <w:rPr>
          <w:rFonts w:hint="eastAsia" w:ascii="宋体" w:hAnsi="宋体"/>
        </w:rPr>
        <w:t>由表</w:t>
      </w:r>
      <w:r>
        <w:t>5.1.5-2</w:t>
      </w:r>
      <w:r>
        <w:rPr>
          <w:rFonts w:ascii="宋体" w:hAnsi="宋体"/>
        </w:rPr>
        <w:t>可见，叠加现状浓度、本项目污染源、</w:t>
      </w:r>
      <w:r>
        <w:rPr>
          <w:rFonts w:hint="eastAsia" w:ascii="宋体" w:hAnsi="宋体"/>
        </w:rPr>
        <w:t>区域同期</w:t>
      </w:r>
      <w:r>
        <w:rPr>
          <w:rFonts w:ascii="宋体" w:hAnsi="宋体"/>
        </w:rPr>
        <w:t>拟建、在建</w:t>
      </w:r>
      <w:r>
        <w:rPr>
          <w:rFonts w:hint="eastAsia" w:ascii="宋体" w:hAnsi="宋体"/>
        </w:rPr>
        <w:t>项目污染源</w:t>
      </w:r>
      <w:r>
        <w:rPr>
          <w:rFonts w:ascii="宋体" w:hAnsi="宋体"/>
        </w:rPr>
        <w:t>的环境影响后，现状达标的污染物</w:t>
      </w:r>
      <w:r>
        <w:rPr>
          <w:rFonts w:hint="eastAsia"/>
        </w:rPr>
        <w:t>H</w:t>
      </w:r>
      <w:r>
        <w:t>F</w:t>
      </w:r>
      <w:r>
        <w:rPr>
          <w:rFonts w:ascii="宋体" w:hAnsi="宋体"/>
        </w:rPr>
        <w:t>、</w:t>
      </w:r>
      <w:r>
        <w:t>HCl</w:t>
      </w:r>
      <w:r>
        <w:rPr>
          <w:rFonts w:ascii="宋体" w:hAnsi="宋体"/>
        </w:rPr>
        <w:t>、</w:t>
      </w:r>
      <w:r>
        <w:t>NH</w:t>
      </w:r>
      <w:r>
        <w:rPr>
          <w:vertAlign w:val="subscript"/>
        </w:rPr>
        <w:t>3</w:t>
      </w:r>
      <w:r>
        <w:rPr>
          <w:rFonts w:hint="eastAsia"/>
        </w:rPr>
        <w:t>、</w:t>
      </w:r>
      <w:r>
        <w:t>甲醇</w:t>
      </w:r>
      <w:r>
        <w:rPr>
          <w:rFonts w:ascii="宋体" w:hAnsi="宋体"/>
        </w:rPr>
        <w:t>和</w:t>
      </w:r>
      <w:r>
        <w:rPr>
          <w:rFonts w:hint="eastAsia" w:cs="Times New Roman"/>
        </w:rPr>
        <w:t>非甲烷总烃</w:t>
      </w:r>
      <w:r>
        <w:rPr>
          <w:rFonts w:ascii="宋体" w:hAnsi="宋体"/>
        </w:rPr>
        <w:t>保护目标和网格点的短期浓度符合环境质量标准</w:t>
      </w:r>
      <w:r>
        <w:rPr>
          <w:rFonts w:hint="eastAsia" w:ascii="宋体" w:hAnsi="宋体"/>
        </w:rPr>
        <w:t>，</w:t>
      </w:r>
      <w:r>
        <w:t>SO</w:t>
      </w:r>
      <w:r>
        <w:rPr>
          <w:vertAlign w:val="subscript"/>
        </w:rPr>
        <w:t>2</w:t>
      </w:r>
      <w:r>
        <w:rPr>
          <w:rFonts w:hint="eastAsia" w:ascii="宋体" w:hAnsi="宋体"/>
        </w:rPr>
        <w:t>、</w:t>
      </w:r>
      <w:r>
        <w:rPr>
          <w:rFonts w:hint="eastAsia"/>
        </w:rPr>
        <w:t>NO</w:t>
      </w:r>
      <w:r>
        <w:t>x</w:t>
      </w:r>
      <w:r>
        <w:rPr>
          <w:rFonts w:ascii="宋体" w:hAnsi="宋体"/>
        </w:rPr>
        <w:t>的</w:t>
      </w:r>
      <w:r>
        <w:t>98%</w:t>
      </w:r>
      <w:r>
        <w:rPr>
          <w:rFonts w:ascii="宋体" w:hAnsi="宋体"/>
        </w:rPr>
        <w:t>保证率日均浓度和年均浓度符合环境质量标准</w:t>
      </w:r>
      <w:r>
        <w:rPr>
          <w:rFonts w:hint="eastAsia" w:ascii="宋体" w:hAnsi="宋体"/>
        </w:rPr>
        <w:t>。</w:t>
      </w:r>
    </w:p>
    <w:p w14:paraId="5A0FF26B">
      <w:pPr>
        <w:ind w:firstLine="480"/>
      </w:pPr>
      <w:r>
        <w:rPr>
          <w:rFonts w:hint="eastAsia" w:ascii="宋体" w:hAnsi="宋体"/>
        </w:rPr>
        <w:t>由表</w:t>
      </w:r>
      <w:r>
        <w:t>5.1.5-3</w:t>
      </w:r>
      <w:r>
        <w:rPr>
          <w:rFonts w:ascii="宋体" w:hAnsi="宋体"/>
        </w:rPr>
        <w:t>可见，在</w:t>
      </w:r>
      <w:r>
        <w:rPr>
          <w:rFonts w:hint="eastAsia" w:ascii="宋体" w:hAnsi="宋体"/>
        </w:rPr>
        <w:t>落实达标</w:t>
      </w:r>
      <w:r>
        <w:rPr>
          <w:rFonts w:ascii="宋体" w:hAnsi="宋体"/>
        </w:rPr>
        <w:t>规划后，现状超标的污染物</w:t>
      </w:r>
      <w:r>
        <w:t>PM</w:t>
      </w:r>
      <w:r>
        <w:rPr>
          <w:vertAlign w:val="subscript"/>
        </w:rPr>
        <w:t>10</w:t>
      </w:r>
      <w:r>
        <w:rPr>
          <w:rFonts w:ascii="宋体" w:hAnsi="宋体"/>
        </w:rPr>
        <w:t>预测范围内年平均质量浓度变化率</w:t>
      </w:r>
      <w:r>
        <w:t>k</w:t>
      </w:r>
      <w:r>
        <w:rPr>
          <w:rFonts w:ascii="宋体" w:hAnsi="宋体"/>
        </w:rPr>
        <w:t>为</w:t>
      </w:r>
      <w:r>
        <w:t>-95.06%≤-20%</w:t>
      </w:r>
      <w:r>
        <w:rPr>
          <w:rFonts w:hint="eastAsia" w:ascii="宋体" w:hAnsi="宋体"/>
        </w:rPr>
        <w:t>；</w:t>
      </w:r>
      <w:r>
        <w:rPr>
          <w:rFonts w:ascii="宋体" w:hAnsi="宋体"/>
        </w:rPr>
        <w:t>现状超标的污染物</w:t>
      </w:r>
      <w:r>
        <w:t>PM</w:t>
      </w:r>
      <w:r>
        <w:rPr>
          <w:vertAlign w:val="subscript"/>
        </w:rPr>
        <w:t>2.5</w:t>
      </w:r>
      <w:r>
        <w:rPr>
          <w:rFonts w:ascii="宋体" w:hAnsi="宋体"/>
        </w:rPr>
        <w:t>预测范围内年平均质量浓度变化率</w:t>
      </w:r>
      <w:r>
        <w:t>k</w:t>
      </w:r>
      <w:r>
        <w:rPr>
          <w:rFonts w:ascii="宋体" w:hAnsi="宋体"/>
        </w:rPr>
        <w:t>为</w:t>
      </w:r>
      <w:r>
        <w:t>-95.06%≤-20%</w:t>
      </w:r>
      <w:r>
        <w:rPr>
          <w:rFonts w:ascii="宋体" w:hAnsi="宋体"/>
        </w:rPr>
        <w:t>。</w:t>
      </w:r>
    </w:p>
    <w:p w14:paraId="30D3D94D">
      <w:pPr>
        <w:ind w:firstLine="480"/>
      </w:pPr>
      <w:r>
        <w:rPr>
          <w:rFonts w:hint="eastAsia" w:ascii="宋体" w:hAnsi="宋体"/>
        </w:rPr>
        <w:t>综上，本项目大气环境影响可以接受。</w:t>
      </w:r>
    </w:p>
    <w:p w14:paraId="4845CEAD">
      <w:pPr>
        <w:ind w:firstLine="480"/>
      </w:pPr>
    </w:p>
    <w:p w14:paraId="4A441E10">
      <w:pPr>
        <w:ind w:firstLine="480"/>
      </w:pPr>
    </w:p>
    <w:p w14:paraId="32422368">
      <w:pPr>
        <w:ind w:firstLine="480"/>
      </w:pPr>
    </w:p>
    <w:p w14:paraId="2E550D39">
      <w:pPr>
        <w:ind w:firstLine="480"/>
      </w:pPr>
    </w:p>
    <w:p w14:paraId="0FE8FF47">
      <w:pPr>
        <w:ind w:firstLine="480"/>
      </w:pPr>
    </w:p>
    <w:p w14:paraId="789609C7">
      <w:pPr>
        <w:ind w:firstLine="480"/>
      </w:pPr>
    </w:p>
    <w:p w14:paraId="2F01FFF8">
      <w:pPr>
        <w:ind w:firstLine="480"/>
      </w:pPr>
    </w:p>
    <w:p w14:paraId="7AC59D7D">
      <w:pPr>
        <w:ind w:firstLine="480"/>
      </w:pPr>
    </w:p>
    <w:p w14:paraId="0A37C0CB">
      <w:pPr>
        <w:ind w:firstLine="480"/>
      </w:pPr>
    </w:p>
    <w:p w14:paraId="5C11C053">
      <w:pPr>
        <w:ind w:firstLine="480"/>
        <w:sectPr>
          <w:pgSz w:w="11907" w:h="16839"/>
          <w:pgMar w:top="1440" w:right="1440" w:bottom="1440" w:left="1440" w:header="851" w:footer="992" w:gutter="0"/>
          <w:cols w:space="425" w:num="1"/>
          <w:docGrid w:type="lines" w:linePitch="326" w:charSpace="0"/>
        </w:sectPr>
      </w:pPr>
    </w:p>
    <w:p w14:paraId="3134C53A">
      <w:pPr>
        <w:spacing w:line="500" w:lineRule="exact"/>
        <w:ind w:firstLine="0" w:firstLineChars="0"/>
        <w:jc w:val="center"/>
        <w:rPr>
          <w:rFonts w:eastAsia="黑体"/>
        </w:rPr>
      </w:pPr>
      <w:r>
        <w:rPr>
          <w:rFonts w:hint="eastAsia" w:ascii="黑体" w:hAnsi="黑体" w:eastAsia="黑体"/>
        </w:rPr>
        <w:t>表</w:t>
      </w:r>
      <w:r>
        <w:rPr>
          <w:rFonts w:eastAsia="黑体"/>
        </w:rPr>
        <w:t xml:space="preserve">5.1.5-1  </w:t>
      </w:r>
      <w:r>
        <w:rPr>
          <w:rFonts w:hint="eastAsia" w:ascii="黑体" w:hAnsi="黑体" w:eastAsia="黑体"/>
        </w:rPr>
        <w:t>本项目贡献质量浓度预测结果表</w:t>
      </w:r>
    </w:p>
    <w:p w14:paraId="507F1658">
      <w:pPr>
        <w:widowControl/>
        <w:adjustRightInd/>
        <w:snapToGrid/>
        <w:ind w:firstLine="0" w:firstLineChars="0"/>
        <w:jc w:val="left"/>
        <w:rPr>
          <w:rFonts w:eastAsia="黑体"/>
        </w:rPr>
        <w:sectPr>
          <w:pgSz w:w="16840" w:h="11907" w:orient="landscape"/>
          <w:pgMar w:top="1440" w:right="1440" w:bottom="1440" w:left="1440" w:header="851" w:footer="992" w:gutter="0"/>
          <w:cols w:space="720" w:num="1"/>
          <w:docGrid w:type="lines" w:linePitch="326" w:charSpace="0"/>
        </w:sectPr>
      </w:pPr>
    </w:p>
    <w:p w14:paraId="36891CF0">
      <w:pPr>
        <w:pStyle w:val="278"/>
        <w:ind w:firstLine="480"/>
      </w:pPr>
      <w:r>
        <w:rPr>
          <w:rFonts w:hint="eastAsia" w:ascii="黑体" w:hAnsi="黑体"/>
        </w:rPr>
        <w:t>表</w:t>
      </w:r>
      <w:r>
        <w:t xml:space="preserve">5.1.5-2  </w:t>
      </w:r>
      <w:r>
        <w:rPr>
          <w:rFonts w:ascii="黑体" w:hAnsi="黑体"/>
        </w:rPr>
        <w:t>现状达标污染物叠加后环境质量浓度预测结果表</w:t>
      </w:r>
    </w:p>
    <w:p w14:paraId="17EBF34E">
      <w:pPr>
        <w:ind w:firstLine="480"/>
      </w:pPr>
    </w:p>
    <w:p w14:paraId="3E54C7FF">
      <w:pPr>
        <w:ind w:firstLine="480"/>
      </w:pPr>
    </w:p>
    <w:p w14:paraId="55895ABA">
      <w:pPr>
        <w:ind w:firstLine="480"/>
      </w:pPr>
    </w:p>
    <w:p w14:paraId="116A6A4A">
      <w:pPr>
        <w:ind w:firstLine="480"/>
      </w:pPr>
    </w:p>
    <w:p w14:paraId="3A7C4EC2">
      <w:pPr>
        <w:ind w:firstLine="480"/>
      </w:pPr>
    </w:p>
    <w:p w14:paraId="3FA09FE3">
      <w:pPr>
        <w:ind w:firstLine="480"/>
        <w:sectPr>
          <w:pgSz w:w="16839" w:h="11907" w:orient="landscape"/>
          <w:pgMar w:top="1440" w:right="1440" w:bottom="1440" w:left="1440" w:header="851" w:footer="992" w:gutter="0"/>
          <w:cols w:space="425" w:num="1"/>
          <w:docGrid w:type="lines" w:linePitch="326" w:charSpace="0"/>
        </w:sectPr>
      </w:pPr>
    </w:p>
    <w:p w14:paraId="068EB14B">
      <w:pPr>
        <w:ind w:firstLine="480"/>
      </w:pPr>
      <w:r>
        <w:rPr>
          <w:rFonts w:hint="eastAsia" w:ascii="宋体" w:hAnsi="宋体"/>
        </w:rPr>
        <w:t>项目区域属于环境空气质量不达标区域，报告评价区域环境质量的整体变化情况，即当实施区域削减方案后预测范围的年平均质量浓度变化</w:t>
      </w:r>
      <w:r>
        <w:rPr>
          <w:rFonts w:hint="eastAsia"/>
        </w:rPr>
        <w:t>k</w:t>
      </w:r>
      <w:r>
        <w:rPr>
          <w:rFonts w:hint="eastAsia" w:ascii="宋体" w:hAnsi="宋体"/>
        </w:rPr>
        <w:t>≤</w:t>
      </w:r>
      <w:r>
        <w:rPr>
          <w:rFonts w:hint="eastAsia"/>
        </w:rPr>
        <w:t>-20%</w:t>
      </w:r>
      <w:r>
        <w:rPr>
          <w:rFonts w:hint="eastAsia" w:ascii="宋体" w:hAnsi="宋体"/>
        </w:rPr>
        <w:t>时，则判定项目建设后区域环境质量达到整体改善。</w:t>
      </w:r>
    </w:p>
    <w:p w14:paraId="2B344883">
      <w:pPr>
        <w:ind w:firstLine="0" w:firstLineChars="0"/>
        <w:jc w:val="center"/>
      </w:pPr>
      <w:r>
        <w:drawing>
          <wp:inline distT="0" distB="0" distL="0" distR="0">
            <wp:extent cx="3714750" cy="428625"/>
            <wp:effectExtent l="0" t="0" r="0" b="9525"/>
            <wp:docPr id="11" name="图片 11" descr="C:\Users\ADMINI~1\AppData\Local\Temp\ksohtml\wps90E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ksohtml\wps90E5.tmp.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714750" cy="428625"/>
                    </a:xfrm>
                    <a:prstGeom prst="rect">
                      <a:avLst/>
                    </a:prstGeom>
                    <a:noFill/>
                    <a:ln>
                      <a:noFill/>
                    </a:ln>
                  </pic:spPr>
                </pic:pic>
              </a:graphicData>
            </a:graphic>
          </wp:inline>
        </w:drawing>
      </w:r>
      <w:r>
        <w:t xml:space="preserve"> </w:t>
      </w:r>
    </w:p>
    <w:p w14:paraId="0FCEA142">
      <w:pPr>
        <w:ind w:firstLine="480"/>
      </w:pPr>
      <w:r>
        <w:rPr>
          <w:rFonts w:hint="eastAsia" w:ascii="宋体" w:hAnsi="宋体"/>
        </w:rPr>
        <w:t>式中：</w:t>
      </w:r>
      <w:r>
        <w:t>k——</w:t>
      </w:r>
      <w:r>
        <w:rPr>
          <w:rFonts w:hint="eastAsia" w:ascii="宋体" w:hAnsi="宋体"/>
        </w:rPr>
        <w:t>预测范围内年平均质量浓度变化率，</w:t>
      </w:r>
      <w:r>
        <w:t>%</w:t>
      </w:r>
      <w:r>
        <w:rPr>
          <w:rFonts w:hint="eastAsia" w:ascii="宋体" w:hAnsi="宋体"/>
        </w:rPr>
        <w:t>；</w:t>
      </w:r>
    </w:p>
    <w:p w14:paraId="050D2863">
      <w:pPr>
        <w:ind w:firstLine="480"/>
      </w:pPr>
      <w:r>
        <w:drawing>
          <wp:inline distT="0" distB="0" distL="0" distR="0">
            <wp:extent cx="685800" cy="323850"/>
            <wp:effectExtent l="0" t="0" r="0" b="0"/>
            <wp:docPr id="10" name="图片 10" descr="C:\Users\ADMINI~1\AppData\Local\Temp\ksohtml\wps90E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ksohtml\wps90E6.tmp.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85800" cy="323850"/>
                    </a:xfrm>
                    <a:prstGeom prst="rect">
                      <a:avLst/>
                    </a:prstGeom>
                    <a:noFill/>
                    <a:ln>
                      <a:noFill/>
                    </a:ln>
                  </pic:spPr>
                </pic:pic>
              </a:graphicData>
            </a:graphic>
          </wp:inline>
        </w:drawing>
      </w:r>
      <w:r>
        <w:t>——</w:t>
      </w:r>
      <w:r>
        <w:rPr>
          <w:rFonts w:hint="eastAsia" w:ascii="宋体" w:hAnsi="宋体"/>
        </w:rPr>
        <w:t>本项目对所有网格点的年平均质量浓度贡献值的算术平均值，</w:t>
      </w:r>
      <w:r>
        <w:t>μg/m</w:t>
      </w:r>
      <w:r>
        <w:rPr>
          <w:vertAlign w:val="superscript"/>
        </w:rPr>
        <w:t>3</w:t>
      </w:r>
      <w:r>
        <w:rPr>
          <w:rFonts w:hint="eastAsia" w:ascii="宋体" w:hAnsi="宋体"/>
        </w:rPr>
        <w:t>；</w:t>
      </w:r>
    </w:p>
    <w:p w14:paraId="64D31569">
      <w:pPr>
        <w:ind w:firstLine="480"/>
      </w:pPr>
      <w:r>
        <w:drawing>
          <wp:inline distT="0" distB="0" distL="0" distR="0">
            <wp:extent cx="742950" cy="352425"/>
            <wp:effectExtent l="0" t="0" r="0" b="9525"/>
            <wp:docPr id="9" name="图片 9" descr="C:\Users\ADMINI~1\AppData\Local\Temp\ksohtml\wps90E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ksohtml\wps90E7.tmp.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742950" cy="352425"/>
                    </a:xfrm>
                    <a:prstGeom prst="rect">
                      <a:avLst/>
                    </a:prstGeom>
                    <a:noFill/>
                    <a:ln>
                      <a:noFill/>
                    </a:ln>
                  </pic:spPr>
                </pic:pic>
              </a:graphicData>
            </a:graphic>
          </wp:inline>
        </w:drawing>
      </w:r>
      <w:r>
        <w:t>——</w:t>
      </w:r>
      <w:r>
        <w:rPr>
          <w:rFonts w:hint="eastAsia" w:ascii="宋体" w:hAnsi="宋体"/>
        </w:rPr>
        <w:t>区域削减源对所有网格点的年平均质量浓度贡献值的算术平均值，</w:t>
      </w:r>
      <w:r>
        <w:t>μg/m</w:t>
      </w:r>
      <w:r>
        <w:rPr>
          <w:vertAlign w:val="superscript"/>
        </w:rPr>
        <w:t>3</w:t>
      </w:r>
      <w:r>
        <w:rPr>
          <w:rFonts w:hint="eastAsia" w:ascii="宋体" w:hAnsi="宋体"/>
        </w:rPr>
        <w:t>。</w:t>
      </w:r>
    </w:p>
    <w:p w14:paraId="10E946DF">
      <w:pPr>
        <w:ind w:firstLine="480"/>
      </w:pPr>
      <w:r>
        <w:rPr>
          <w:rFonts w:hint="eastAsia" w:ascii="宋体" w:hAnsi="宋体"/>
        </w:rPr>
        <w:t>《蚌埠市人民</w:t>
      </w:r>
      <w:r>
        <w:rPr>
          <w:rFonts w:ascii="宋体" w:hAnsi="宋体"/>
        </w:rPr>
        <w:t>政府关于印发</w:t>
      </w:r>
      <w:r>
        <w:rPr>
          <w:rFonts w:hint="eastAsia" w:ascii="宋体" w:hAnsi="宋体"/>
        </w:rPr>
        <w:t>蚌埠市环境</w:t>
      </w:r>
      <w:r>
        <w:rPr>
          <w:rFonts w:ascii="宋体" w:hAnsi="宋体"/>
        </w:rPr>
        <w:t>空气质量</w:t>
      </w:r>
      <w:r>
        <w:rPr>
          <w:rFonts w:hint="eastAsia" w:ascii="宋体" w:hAnsi="宋体"/>
        </w:rPr>
        <w:t>达标</w:t>
      </w:r>
      <w:r>
        <w:rPr>
          <w:rFonts w:ascii="宋体" w:hAnsi="宋体"/>
        </w:rPr>
        <w:t>规划</w:t>
      </w:r>
      <w:r>
        <w:rPr>
          <w:rFonts w:hint="eastAsia" w:ascii="宋体" w:hAnsi="宋体"/>
        </w:rPr>
        <w:t>（</w:t>
      </w:r>
      <w:r>
        <w:rPr>
          <w:rFonts w:hint="eastAsia"/>
        </w:rPr>
        <w:t>2019-2030</w:t>
      </w:r>
      <w:r>
        <w:rPr>
          <w:rFonts w:hint="eastAsia" w:ascii="宋体" w:hAnsi="宋体"/>
        </w:rPr>
        <w:t>）的</w:t>
      </w:r>
      <w:r>
        <w:rPr>
          <w:rFonts w:ascii="宋体" w:hAnsi="宋体"/>
        </w:rPr>
        <w:t>通知</w:t>
      </w:r>
      <w:r>
        <w:rPr>
          <w:rFonts w:hint="eastAsia" w:ascii="宋体" w:hAnsi="宋体"/>
        </w:rPr>
        <w:t>》于</w:t>
      </w:r>
      <w:r>
        <w:rPr>
          <w:rFonts w:hint="eastAsia"/>
        </w:rPr>
        <w:t>2021</w:t>
      </w:r>
      <w:r>
        <w:rPr>
          <w:rFonts w:hint="eastAsia" w:ascii="宋体" w:hAnsi="宋体"/>
        </w:rPr>
        <w:t>年</w:t>
      </w:r>
      <w:r>
        <w:rPr>
          <w:rFonts w:hint="eastAsia"/>
        </w:rPr>
        <w:t>1</w:t>
      </w:r>
      <w:r>
        <w:rPr>
          <w:rFonts w:hint="eastAsia" w:ascii="宋体" w:hAnsi="宋体"/>
        </w:rPr>
        <w:t>月</w:t>
      </w:r>
      <w:r>
        <w:rPr>
          <w:rFonts w:hint="eastAsia"/>
        </w:rPr>
        <w:t>22</w:t>
      </w:r>
      <w:r>
        <w:rPr>
          <w:rFonts w:hint="eastAsia" w:ascii="宋体" w:hAnsi="宋体"/>
        </w:rPr>
        <w:t>日</w:t>
      </w:r>
      <w:r>
        <w:rPr>
          <w:rFonts w:ascii="宋体" w:hAnsi="宋体"/>
        </w:rPr>
        <w:t>发布，</w:t>
      </w:r>
      <w:r>
        <w:rPr>
          <w:rFonts w:hint="eastAsia" w:ascii="宋体" w:hAnsi="宋体"/>
        </w:rPr>
        <w:t>因《蚌埠市环境</w:t>
      </w:r>
      <w:r>
        <w:rPr>
          <w:rFonts w:ascii="宋体" w:hAnsi="宋体"/>
        </w:rPr>
        <w:t>空气质量</w:t>
      </w:r>
      <w:r>
        <w:rPr>
          <w:rFonts w:hint="eastAsia" w:ascii="宋体" w:hAnsi="宋体"/>
        </w:rPr>
        <w:t>达标</w:t>
      </w:r>
      <w:r>
        <w:rPr>
          <w:rFonts w:ascii="宋体" w:hAnsi="宋体"/>
        </w:rPr>
        <w:t>规划</w:t>
      </w:r>
      <w:r>
        <w:rPr>
          <w:rFonts w:hint="eastAsia" w:ascii="宋体" w:hAnsi="宋体"/>
        </w:rPr>
        <w:t>（</w:t>
      </w:r>
      <w:r>
        <w:rPr>
          <w:rFonts w:hint="eastAsia"/>
        </w:rPr>
        <w:t>2019-2030</w:t>
      </w:r>
      <w:r>
        <w:rPr>
          <w:rFonts w:hint="eastAsia" w:ascii="宋体" w:hAnsi="宋体"/>
        </w:rPr>
        <w:t>）》未</w:t>
      </w:r>
      <w:r>
        <w:rPr>
          <w:rFonts w:ascii="宋体" w:hAnsi="宋体"/>
        </w:rPr>
        <w:t>明确区域污染源清单且</w:t>
      </w:r>
      <w:r>
        <w:rPr>
          <w:rFonts w:hint="eastAsia" w:ascii="宋体" w:hAnsi="宋体"/>
        </w:rPr>
        <w:t>无法</w:t>
      </w:r>
      <w:r>
        <w:rPr>
          <w:rFonts w:ascii="宋体" w:hAnsi="宋体"/>
        </w:rPr>
        <w:t>获得预测浓度场</w:t>
      </w:r>
      <w:r>
        <w:rPr>
          <w:rFonts w:hint="eastAsia" w:ascii="宋体" w:hAnsi="宋体"/>
        </w:rPr>
        <w:t>，</w:t>
      </w:r>
      <w:r>
        <w:rPr>
          <w:rFonts w:ascii="宋体" w:hAnsi="宋体"/>
        </w:rPr>
        <w:t>因此根据《环境影响评价技术导则</w:t>
      </w:r>
      <w:r>
        <w:t xml:space="preserve"> 大气环境》（HJ2.2-2018</w:t>
      </w:r>
      <w:r>
        <w:rPr>
          <w:rFonts w:ascii="宋体" w:hAnsi="宋体"/>
        </w:rPr>
        <w:t>）</w:t>
      </w:r>
      <w:r>
        <w:rPr>
          <w:rFonts w:hint="eastAsia" w:ascii="宋体" w:hAnsi="宋体"/>
        </w:rPr>
        <w:t>中</w:t>
      </w:r>
      <w:r>
        <w:rPr>
          <w:rFonts w:hint="eastAsia"/>
        </w:rPr>
        <w:t>“8.8.4</w:t>
      </w:r>
      <w:r>
        <w:t xml:space="preserve"> </w:t>
      </w:r>
      <w:r>
        <w:rPr>
          <w:rFonts w:hint="eastAsia" w:ascii="宋体" w:hAnsi="宋体"/>
        </w:rPr>
        <w:t>区域</w:t>
      </w:r>
      <w:r>
        <w:rPr>
          <w:rFonts w:ascii="宋体" w:hAnsi="宋体"/>
        </w:rPr>
        <w:t>环境质量变化评价</w:t>
      </w:r>
      <w:r>
        <w:rPr>
          <w:rFonts w:hint="eastAsia" w:ascii="宋体" w:hAnsi="宋体"/>
        </w:rPr>
        <w:t>”要求，</w:t>
      </w:r>
      <w:r>
        <w:rPr>
          <w:rFonts w:ascii="宋体" w:hAnsi="宋体"/>
        </w:rPr>
        <w:t>本次评价采用</w:t>
      </w:r>
      <w:r>
        <w:rPr>
          <w:rFonts w:hint="eastAsia" w:ascii="宋体" w:hAnsi="宋体"/>
        </w:rPr>
        <w:t>《蚌埠市环境</w:t>
      </w:r>
      <w:r>
        <w:rPr>
          <w:rFonts w:ascii="宋体" w:hAnsi="宋体"/>
        </w:rPr>
        <w:t>空气质量</w:t>
      </w:r>
      <w:r>
        <w:rPr>
          <w:rFonts w:hint="eastAsia" w:ascii="宋体" w:hAnsi="宋体"/>
        </w:rPr>
        <w:t>达标</w:t>
      </w:r>
      <w:r>
        <w:rPr>
          <w:rFonts w:ascii="宋体" w:hAnsi="宋体"/>
        </w:rPr>
        <w:t>规划</w:t>
      </w:r>
      <w:r>
        <w:rPr>
          <w:rFonts w:hint="eastAsia" w:ascii="宋体" w:hAnsi="宋体"/>
        </w:rPr>
        <w:t>（</w:t>
      </w:r>
      <w:r>
        <w:rPr>
          <w:rFonts w:hint="eastAsia"/>
        </w:rPr>
        <w:t>2019-2030</w:t>
      </w:r>
      <w:r>
        <w:rPr>
          <w:rFonts w:hint="eastAsia" w:ascii="宋体" w:hAnsi="宋体"/>
        </w:rPr>
        <w:t>）》中</w:t>
      </w:r>
      <w:r>
        <w:rPr>
          <w:rFonts w:hint="eastAsia"/>
        </w:rPr>
        <w:t>PM</w:t>
      </w:r>
      <w:r>
        <w:rPr>
          <w:rFonts w:hint="eastAsia"/>
          <w:vertAlign w:val="subscript"/>
        </w:rPr>
        <w:t>10</w:t>
      </w:r>
      <w:r>
        <w:rPr>
          <w:rFonts w:hint="eastAsia" w:ascii="宋体" w:hAnsi="宋体"/>
        </w:rPr>
        <w:t>、</w:t>
      </w:r>
      <w:r>
        <w:rPr>
          <w:rFonts w:hint="eastAsia"/>
        </w:rPr>
        <w:t>PM</w:t>
      </w:r>
      <w:r>
        <w:rPr>
          <w:rFonts w:hint="eastAsia"/>
          <w:vertAlign w:val="subscript"/>
        </w:rPr>
        <w:t>2.5</w:t>
      </w:r>
      <w:r>
        <w:rPr>
          <w:rFonts w:hint="eastAsia" w:ascii="宋体" w:hAnsi="宋体"/>
        </w:rPr>
        <w:t>目标值以此</w:t>
      </w:r>
      <w:r>
        <w:rPr>
          <w:rFonts w:ascii="宋体" w:hAnsi="宋体"/>
        </w:rPr>
        <w:t>计算</w:t>
      </w:r>
      <w:r>
        <w:rPr>
          <w:rFonts w:hint="eastAsia"/>
        </w:rPr>
        <w:t>k</w:t>
      </w:r>
      <w:r>
        <w:rPr>
          <w:rFonts w:hint="eastAsia" w:ascii="宋体" w:hAnsi="宋体"/>
        </w:rPr>
        <w:t>值</w:t>
      </w:r>
      <w:r>
        <w:rPr>
          <w:rFonts w:ascii="宋体" w:hAnsi="宋体"/>
        </w:rPr>
        <w:t>来</w:t>
      </w:r>
      <w:r>
        <w:rPr>
          <w:rFonts w:hint="eastAsia" w:ascii="宋体" w:hAnsi="宋体"/>
        </w:rPr>
        <w:t>评价区域</w:t>
      </w:r>
      <w:r>
        <w:rPr>
          <w:rFonts w:ascii="宋体" w:hAnsi="宋体"/>
        </w:rPr>
        <w:t>环境质量的整体变化情况。</w:t>
      </w:r>
    </w:p>
    <w:p w14:paraId="605097CD">
      <w:pPr>
        <w:ind w:firstLine="480"/>
      </w:pPr>
      <w:r>
        <w:rPr>
          <w:rFonts w:hint="eastAsia" w:ascii="宋体" w:hAnsi="宋体"/>
        </w:rPr>
        <w:t>根据《蚌埠市环境</w:t>
      </w:r>
      <w:r>
        <w:rPr>
          <w:rFonts w:ascii="宋体" w:hAnsi="宋体"/>
        </w:rPr>
        <w:t>空气质量</w:t>
      </w:r>
      <w:r>
        <w:rPr>
          <w:rFonts w:hint="eastAsia" w:ascii="宋体" w:hAnsi="宋体"/>
        </w:rPr>
        <w:t>达标</w:t>
      </w:r>
      <w:r>
        <w:rPr>
          <w:rFonts w:ascii="宋体" w:hAnsi="宋体"/>
        </w:rPr>
        <w:t>规划</w:t>
      </w:r>
      <w:r>
        <w:rPr>
          <w:rFonts w:hint="eastAsia" w:ascii="宋体" w:hAnsi="宋体"/>
        </w:rPr>
        <w:t>（</w:t>
      </w:r>
      <w:r>
        <w:rPr>
          <w:rFonts w:hint="eastAsia"/>
        </w:rPr>
        <w:t>2019-2030</w:t>
      </w:r>
      <w:r>
        <w:rPr>
          <w:rFonts w:hint="eastAsia" w:ascii="宋体" w:hAnsi="宋体"/>
        </w:rPr>
        <w:t>）》，至</w:t>
      </w:r>
      <w:r>
        <w:rPr>
          <w:rFonts w:hint="eastAsia"/>
        </w:rPr>
        <w:t>20</w:t>
      </w:r>
      <w:r>
        <w:t>25</w:t>
      </w:r>
      <w:r>
        <w:rPr>
          <w:rFonts w:hint="eastAsia" w:ascii="宋体" w:hAnsi="宋体"/>
        </w:rPr>
        <w:t>年</w:t>
      </w:r>
      <w:r>
        <w:rPr>
          <w:rFonts w:ascii="宋体" w:hAnsi="宋体"/>
        </w:rPr>
        <w:t>底，</w:t>
      </w:r>
      <w:r>
        <w:rPr>
          <w:rFonts w:hint="eastAsia"/>
        </w:rPr>
        <w:t>PM</w:t>
      </w:r>
      <w:r>
        <w:rPr>
          <w:rFonts w:hint="eastAsia"/>
          <w:vertAlign w:val="subscript"/>
        </w:rPr>
        <w:t>10</w:t>
      </w:r>
      <w:r>
        <w:rPr>
          <w:rFonts w:hint="eastAsia" w:ascii="宋体" w:hAnsi="宋体"/>
        </w:rPr>
        <w:t>降至</w:t>
      </w:r>
      <w:r>
        <w:rPr>
          <w:rFonts w:hint="eastAsia"/>
        </w:rPr>
        <w:t>7</w:t>
      </w:r>
      <w:r>
        <w:t>0μg/m</w:t>
      </w:r>
      <w:r>
        <w:rPr>
          <w:vertAlign w:val="superscript"/>
        </w:rPr>
        <w:t>3</w:t>
      </w:r>
      <w:r>
        <w:rPr>
          <w:rFonts w:hint="eastAsia" w:ascii="宋体" w:hAnsi="宋体"/>
        </w:rPr>
        <w:t>、</w:t>
      </w:r>
      <w:r>
        <w:rPr>
          <w:rFonts w:hint="eastAsia"/>
        </w:rPr>
        <w:t>PM</w:t>
      </w:r>
      <w:r>
        <w:rPr>
          <w:rFonts w:hint="eastAsia"/>
          <w:vertAlign w:val="subscript"/>
        </w:rPr>
        <w:t>2.5</w:t>
      </w:r>
      <w:r>
        <w:rPr>
          <w:rFonts w:hint="eastAsia" w:ascii="宋体" w:hAnsi="宋体"/>
        </w:rPr>
        <w:t>降至</w:t>
      </w:r>
      <w:r>
        <w:rPr>
          <w:rFonts w:hint="eastAsia"/>
        </w:rPr>
        <w:t>4</w:t>
      </w:r>
      <w:r>
        <w:t>2μg/m</w:t>
      </w:r>
      <w:r>
        <w:rPr>
          <w:vertAlign w:val="superscript"/>
        </w:rPr>
        <w:t>3</w:t>
      </w:r>
      <w:r>
        <w:rPr>
          <w:rFonts w:ascii="宋体" w:hAnsi="宋体"/>
        </w:rPr>
        <w:t>，</w:t>
      </w:r>
      <w:r>
        <w:rPr>
          <w:rFonts w:hint="eastAsia" w:ascii="宋体" w:hAnsi="宋体"/>
        </w:rPr>
        <w:t>主要</w:t>
      </w:r>
      <w:r>
        <w:rPr>
          <w:rFonts w:ascii="宋体" w:hAnsi="宋体"/>
        </w:rPr>
        <w:t>来自区域集中供热、燃煤锅炉淘汰、低氮燃烧等措施，</w:t>
      </w:r>
      <w:r>
        <w:rPr>
          <w:rFonts w:hint="eastAsia" w:ascii="宋体" w:hAnsi="宋体"/>
        </w:rPr>
        <w:t>目前蚌埠</w:t>
      </w:r>
      <w:r>
        <w:rPr>
          <w:rFonts w:ascii="宋体" w:hAnsi="宋体"/>
        </w:rPr>
        <w:t>市</w:t>
      </w:r>
      <w:r>
        <w:rPr>
          <w:rFonts w:hint="eastAsia"/>
        </w:rPr>
        <w:t>PM</w:t>
      </w:r>
      <w:r>
        <w:rPr>
          <w:rFonts w:hint="eastAsia"/>
          <w:vertAlign w:val="subscript"/>
        </w:rPr>
        <w:t>10</w:t>
      </w:r>
      <w:r>
        <w:rPr>
          <w:rFonts w:hint="eastAsia" w:ascii="宋体" w:hAnsi="宋体"/>
        </w:rPr>
        <w:t>年</w:t>
      </w:r>
      <w:r>
        <w:rPr>
          <w:rFonts w:ascii="宋体" w:hAnsi="宋体"/>
        </w:rPr>
        <w:t>平均值为</w:t>
      </w:r>
      <w:r>
        <w:t>72μg/m</w:t>
      </w:r>
      <w:r>
        <w:rPr>
          <w:vertAlign w:val="superscript"/>
        </w:rPr>
        <w:t>3</w:t>
      </w:r>
      <w:r>
        <w:rPr>
          <w:rFonts w:hint="eastAsia" w:ascii="宋体" w:hAnsi="宋体"/>
        </w:rPr>
        <w:t>，</w:t>
      </w:r>
      <w:r>
        <w:t>PM</w:t>
      </w:r>
      <w:r>
        <w:rPr>
          <w:vertAlign w:val="subscript"/>
        </w:rPr>
        <w:t>2.5</w:t>
      </w:r>
      <w:r>
        <w:rPr>
          <w:rFonts w:hint="eastAsia" w:ascii="宋体" w:hAnsi="宋体"/>
        </w:rPr>
        <w:t>年均值</w:t>
      </w:r>
      <w:r>
        <w:rPr>
          <w:rFonts w:ascii="宋体" w:hAnsi="宋体"/>
        </w:rPr>
        <w:t>为</w:t>
      </w:r>
      <w:r>
        <w:t>43μg/m</w:t>
      </w:r>
      <w:r>
        <w:rPr>
          <w:vertAlign w:val="superscript"/>
        </w:rPr>
        <w:t>3</w:t>
      </w:r>
      <w:r>
        <w:rPr>
          <w:rFonts w:hint="eastAsia" w:ascii="宋体" w:hAnsi="宋体"/>
        </w:rPr>
        <w:t>。</w:t>
      </w:r>
    </w:p>
    <w:p w14:paraId="0EDC758F">
      <w:pPr>
        <w:pStyle w:val="278"/>
        <w:ind w:firstLine="480"/>
      </w:pPr>
      <w:r>
        <w:rPr>
          <w:rFonts w:hint="eastAsia" w:ascii="黑体" w:hAnsi="黑体"/>
        </w:rPr>
        <w:t>表</w:t>
      </w:r>
      <w:r>
        <w:t xml:space="preserve">5.1.5-3  </w:t>
      </w:r>
      <w:r>
        <w:rPr>
          <w:rFonts w:ascii="黑体" w:hAnsi="黑体"/>
        </w:rPr>
        <w:t>现状</w:t>
      </w:r>
      <w:r>
        <w:rPr>
          <w:rFonts w:hint="eastAsia" w:ascii="黑体" w:hAnsi="黑体"/>
        </w:rPr>
        <w:t>超标</w:t>
      </w:r>
      <w:r>
        <w:rPr>
          <w:rFonts w:ascii="黑体" w:hAnsi="黑体"/>
        </w:rPr>
        <w:t>污染物</w:t>
      </w:r>
      <w:r>
        <w:rPr>
          <w:rFonts w:hint="eastAsia" w:ascii="黑体" w:hAnsi="黑体"/>
        </w:rPr>
        <w:t>年平均质量浓度增量预测结果表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899"/>
        <w:gridCol w:w="2178"/>
        <w:gridCol w:w="1148"/>
        <w:gridCol w:w="1431"/>
        <w:gridCol w:w="1453"/>
      </w:tblGrid>
      <w:tr w14:paraId="507D22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14" w:type="pct"/>
            <w:tcBorders>
              <w:top w:val="single" w:color="auto" w:sz="12" w:space="0"/>
              <w:left w:val="nil"/>
              <w:bottom w:val="single" w:color="auto" w:sz="4" w:space="0"/>
              <w:right w:val="single" w:color="auto" w:sz="4" w:space="0"/>
            </w:tcBorders>
            <w:vAlign w:val="center"/>
          </w:tcPr>
          <w:p w14:paraId="3A969982">
            <w:pPr>
              <w:pStyle w:val="445"/>
              <w:rPr>
                <w:rFonts w:cs="Times New Roman"/>
                <w:kern w:val="0"/>
                <w:szCs w:val="20"/>
              </w:rPr>
            </w:pPr>
            <w:r>
              <w:rPr>
                <w:rFonts w:hint="eastAsia" w:cs="Times New Roman"/>
                <w:kern w:val="0"/>
                <w:szCs w:val="20"/>
              </w:rPr>
              <w:t>污染物</w:t>
            </w:r>
          </w:p>
        </w:tc>
        <w:tc>
          <w:tcPr>
            <w:tcW w:w="1027" w:type="pct"/>
            <w:tcBorders>
              <w:top w:val="single" w:color="auto" w:sz="12" w:space="0"/>
              <w:left w:val="single" w:color="auto" w:sz="4" w:space="0"/>
              <w:bottom w:val="single" w:color="auto" w:sz="4" w:space="0"/>
              <w:right w:val="single" w:color="auto" w:sz="4" w:space="0"/>
            </w:tcBorders>
            <w:vAlign w:val="center"/>
          </w:tcPr>
          <w:p w14:paraId="3E8BF0A9">
            <w:pPr>
              <w:pStyle w:val="445"/>
              <w:rPr>
                <w:rFonts w:cs="Times New Roman"/>
                <w:kern w:val="0"/>
                <w:szCs w:val="20"/>
              </w:rPr>
            </w:pPr>
            <w:r>
              <w:rPr>
                <w:rFonts w:hint="eastAsia" w:cs="Times New Roman"/>
                <w:kern w:val="0"/>
                <w:szCs w:val="20"/>
              </w:rPr>
              <w:t>本项目所有网格点年均质量浓度贡献值的算术平均值/（</w:t>
            </w:r>
            <w:r>
              <w:rPr>
                <w:rFonts w:cs="Times New Roman"/>
                <w:kern w:val="0"/>
                <w:szCs w:val="20"/>
              </w:rPr>
              <w:t>μg/m</w:t>
            </w:r>
            <w:r>
              <w:rPr>
                <w:rFonts w:cs="Times New Roman"/>
                <w:kern w:val="0"/>
                <w:szCs w:val="20"/>
                <w:vertAlign w:val="superscript"/>
              </w:rPr>
              <w:t>3</w:t>
            </w:r>
            <w:r>
              <w:rPr>
                <w:rFonts w:hint="eastAsia" w:cs="Times New Roman"/>
                <w:kern w:val="0"/>
                <w:szCs w:val="20"/>
              </w:rPr>
              <w:t>）</w:t>
            </w:r>
          </w:p>
        </w:tc>
        <w:tc>
          <w:tcPr>
            <w:tcW w:w="1178" w:type="pct"/>
            <w:tcBorders>
              <w:top w:val="single" w:color="auto" w:sz="12" w:space="0"/>
              <w:left w:val="single" w:color="auto" w:sz="4" w:space="0"/>
              <w:bottom w:val="single" w:color="auto" w:sz="4" w:space="0"/>
              <w:right w:val="single" w:color="auto" w:sz="4" w:space="0"/>
            </w:tcBorders>
            <w:vAlign w:val="center"/>
          </w:tcPr>
          <w:p w14:paraId="199C5478">
            <w:pPr>
              <w:pStyle w:val="445"/>
              <w:rPr>
                <w:rFonts w:cs="Times New Roman"/>
                <w:kern w:val="0"/>
                <w:szCs w:val="20"/>
              </w:rPr>
            </w:pPr>
            <w:r>
              <w:rPr>
                <w:rFonts w:hint="eastAsia" w:cs="Times New Roman"/>
                <w:kern w:val="0"/>
                <w:szCs w:val="20"/>
              </w:rPr>
              <w:t>区域削减源所有网格点年均质量浓度贡献值的算术平均值/（</w:t>
            </w:r>
            <w:r>
              <w:rPr>
                <w:rFonts w:cs="Times New Roman"/>
                <w:kern w:val="0"/>
                <w:szCs w:val="20"/>
              </w:rPr>
              <w:t>μg/m</w:t>
            </w:r>
            <w:r>
              <w:rPr>
                <w:rFonts w:cs="Times New Roman"/>
                <w:kern w:val="0"/>
                <w:szCs w:val="20"/>
                <w:vertAlign w:val="superscript"/>
              </w:rPr>
              <w:t>3</w:t>
            </w:r>
            <w:r>
              <w:rPr>
                <w:rFonts w:hint="eastAsia" w:cs="Times New Roman"/>
                <w:kern w:val="0"/>
                <w:szCs w:val="20"/>
              </w:rPr>
              <w:t>）</w:t>
            </w:r>
          </w:p>
        </w:tc>
        <w:tc>
          <w:tcPr>
            <w:tcW w:w="621" w:type="pct"/>
            <w:tcBorders>
              <w:top w:val="single" w:color="auto" w:sz="12" w:space="0"/>
              <w:left w:val="single" w:color="auto" w:sz="4" w:space="0"/>
              <w:bottom w:val="single" w:color="auto" w:sz="4" w:space="0"/>
              <w:right w:val="single" w:color="auto" w:sz="4" w:space="0"/>
            </w:tcBorders>
            <w:vAlign w:val="center"/>
          </w:tcPr>
          <w:p w14:paraId="1D61479A">
            <w:pPr>
              <w:pStyle w:val="445"/>
              <w:rPr>
                <w:rFonts w:cs="Times New Roman"/>
                <w:kern w:val="0"/>
                <w:szCs w:val="20"/>
              </w:rPr>
            </w:pPr>
            <w:r>
              <w:rPr>
                <w:rFonts w:hint="eastAsia" w:cs="Times New Roman"/>
                <w:kern w:val="0"/>
                <w:szCs w:val="20"/>
              </w:rPr>
              <w:t>年平均浓度最大增量/（</w:t>
            </w:r>
            <w:r>
              <w:rPr>
                <w:rFonts w:cs="Times New Roman"/>
                <w:kern w:val="0"/>
                <w:szCs w:val="20"/>
              </w:rPr>
              <w:t>μg/m</w:t>
            </w:r>
            <w:r>
              <w:rPr>
                <w:rFonts w:cs="Times New Roman"/>
                <w:kern w:val="0"/>
                <w:szCs w:val="20"/>
                <w:vertAlign w:val="superscript"/>
              </w:rPr>
              <w:t>3</w:t>
            </w:r>
            <w:r>
              <w:rPr>
                <w:rFonts w:hint="eastAsia" w:cs="Times New Roman"/>
                <w:kern w:val="0"/>
                <w:szCs w:val="20"/>
              </w:rPr>
              <w:t>）</w:t>
            </w:r>
          </w:p>
        </w:tc>
        <w:tc>
          <w:tcPr>
            <w:tcW w:w="774" w:type="pct"/>
            <w:tcBorders>
              <w:top w:val="single" w:color="auto" w:sz="12" w:space="0"/>
              <w:left w:val="single" w:color="auto" w:sz="4" w:space="0"/>
              <w:bottom w:val="single" w:color="auto" w:sz="4" w:space="0"/>
              <w:right w:val="single" w:color="auto" w:sz="4" w:space="0"/>
            </w:tcBorders>
            <w:vAlign w:val="center"/>
          </w:tcPr>
          <w:p w14:paraId="3804A7C7">
            <w:pPr>
              <w:pStyle w:val="445"/>
              <w:rPr>
                <w:rFonts w:cs="Times New Roman"/>
                <w:kern w:val="0"/>
                <w:szCs w:val="20"/>
              </w:rPr>
            </w:pPr>
            <w:r>
              <w:rPr>
                <w:rFonts w:hint="eastAsia" w:cs="Times New Roman"/>
                <w:kern w:val="0"/>
                <w:szCs w:val="20"/>
              </w:rPr>
              <w:t>预测范围年平均质量浓度变化率</w:t>
            </w:r>
            <w:r>
              <w:rPr>
                <w:rFonts w:cs="Times New Roman"/>
                <w:kern w:val="0"/>
                <w:szCs w:val="20"/>
              </w:rPr>
              <w:t>/%</w:t>
            </w:r>
          </w:p>
        </w:tc>
        <w:tc>
          <w:tcPr>
            <w:tcW w:w="786" w:type="pct"/>
            <w:tcBorders>
              <w:top w:val="single" w:color="auto" w:sz="12" w:space="0"/>
              <w:left w:val="single" w:color="auto" w:sz="4" w:space="0"/>
              <w:bottom w:val="single" w:color="auto" w:sz="4" w:space="0"/>
              <w:right w:val="nil"/>
            </w:tcBorders>
            <w:noWrap/>
            <w:vAlign w:val="center"/>
          </w:tcPr>
          <w:p w14:paraId="25A5460D">
            <w:pPr>
              <w:pStyle w:val="445"/>
              <w:rPr>
                <w:rFonts w:cs="Times New Roman"/>
                <w:kern w:val="0"/>
                <w:szCs w:val="20"/>
              </w:rPr>
            </w:pPr>
            <w:r>
              <w:rPr>
                <w:rFonts w:hint="eastAsia" w:cs="Times New Roman"/>
                <w:kern w:val="0"/>
                <w:szCs w:val="20"/>
              </w:rPr>
              <w:t>达标情况</w:t>
            </w:r>
          </w:p>
        </w:tc>
      </w:tr>
      <w:tr w14:paraId="52A096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14" w:type="pct"/>
            <w:tcBorders>
              <w:top w:val="single" w:color="auto" w:sz="4" w:space="0"/>
              <w:left w:val="nil"/>
              <w:bottom w:val="single" w:color="auto" w:sz="4" w:space="0"/>
              <w:right w:val="single" w:color="auto" w:sz="4" w:space="0"/>
            </w:tcBorders>
            <w:vAlign w:val="center"/>
          </w:tcPr>
          <w:p w14:paraId="6BA1C17F">
            <w:pPr>
              <w:pStyle w:val="445"/>
              <w:rPr>
                <w:rFonts w:cs="Times New Roman"/>
                <w:kern w:val="0"/>
                <w:szCs w:val="20"/>
              </w:rPr>
            </w:pPr>
            <w:r>
              <w:rPr>
                <w:rFonts w:hint="eastAsia" w:cs="Times New Roman"/>
                <w:kern w:val="0"/>
                <w:szCs w:val="20"/>
              </w:rPr>
              <w:t>PM</w:t>
            </w:r>
            <w:r>
              <w:rPr>
                <w:rFonts w:hint="eastAsia" w:cs="Times New Roman"/>
                <w:kern w:val="0"/>
                <w:szCs w:val="20"/>
                <w:vertAlign w:val="subscript"/>
              </w:rPr>
              <w:t>10</w:t>
            </w:r>
          </w:p>
        </w:tc>
        <w:tc>
          <w:tcPr>
            <w:tcW w:w="1027" w:type="pct"/>
            <w:tcBorders>
              <w:top w:val="single" w:color="auto" w:sz="4" w:space="0"/>
              <w:left w:val="single" w:color="auto" w:sz="4" w:space="0"/>
              <w:bottom w:val="single" w:color="auto" w:sz="4" w:space="0"/>
              <w:right w:val="single" w:color="auto" w:sz="4" w:space="0"/>
            </w:tcBorders>
            <w:vAlign w:val="center"/>
          </w:tcPr>
          <w:p w14:paraId="37891109">
            <w:pPr>
              <w:pStyle w:val="445"/>
              <w:rPr>
                <w:rFonts w:cs="Times New Roman"/>
                <w:kern w:val="0"/>
                <w:szCs w:val="20"/>
              </w:rPr>
            </w:pPr>
            <w:r>
              <w:rPr>
                <w:rFonts w:hint="eastAsia" w:cs="Times New Roman"/>
                <w:kern w:val="0"/>
                <w:szCs w:val="20"/>
              </w:rPr>
              <w:t>0.0988</w:t>
            </w:r>
          </w:p>
        </w:tc>
        <w:tc>
          <w:tcPr>
            <w:tcW w:w="1178" w:type="pct"/>
            <w:tcBorders>
              <w:top w:val="single" w:color="auto" w:sz="4" w:space="0"/>
              <w:left w:val="single" w:color="auto" w:sz="4" w:space="0"/>
              <w:bottom w:val="single" w:color="auto" w:sz="4" w:space="0"/>
              <w:right w:val="single" w:color="auto" w:sz="4" w:space="0"/>
            </w:tcBorders>
            <w:vAlign w:val="center"/>
          </w:tcPr>
          <w:p w14:paraId="205F4F54">
            <w:pPr>
              <w:pStyle w:val="445"/>
              <w:rPr>
                <w:rFonts w:cs="Times New Roman"/>
                <w:kern w:val="0"/>
                <w:szCs w:val="20"/>
              </w:rPr>
            </w:pPr>
            <w:r>
              <w:rPr>
                <w:rFonts w:cs="Times New Roman"/>
                <w:kern w:val="0"/>
                <w:szCs w:val="20"/>
              </w:rPr>
              <w:t>2</w:t>
            </w:r>
          </w:p>
        </w:tc>
        <w:tc>
          <w:tcPr>
            <w:tcW w:w="621" w:type="pct"/>
            <w:tcBorders>
              <w:top w:val="single" w:color="auto" w:sz="4" w:space="0"/>
              <w:left w:val="single" w:color="auto" w:sz="4" w:space="0"/>
              <w:bottom w:val="single" w:color="auto" w:sz="4" w:space="0"/>
              <w:right w:val="single" w:color="auto" w:sz="4" w:space="0"/>
            </w:tcBorders>
            <w:vAlign w:val="center"/>
          </w:tcPr>
          <w:p w14:paraId="037300D1">
            <w:pPr>
              <w:pStyle w:val="445"/>
              <w:rPr>
                <w:rFonts w:cs="Times New Roman"/>
                <w:kern w:val="0"/>
                <w:szCs w:val="20"/>
              </w:rPr>
            </w:pPr>
            <w:r>
              <w:rPr>
                <w:rFonts w:hint="eastAsia" w:cs="Times New Roman"/>
                <w:kern w:val="0"/>
                <w:szCs w:val="20"/>
              </w:rPr>
              <w:t>-1.9012</w:t>
            </w:r>
          </w:p>
        </w:tc>
        <w:tc>
          <w:tcPr>
            <w:tcW w:w="774" w:type="pct"/>
            <w:tcBorders>
              <w:top w:val="single" w:color="auto" w:sz="4" w:space="0"/>
              <w:left w:val="single" w:color="auto" w:sz="4" w:space="0"/>
              <w:bottom w:val="single" w:color="auto" w:sz="4" w:space="0"/>
              <w:right w:val="single" w:color="auto" w:sz="4" w:space="0"/>
            </w:tcBorders>
            <w:vAlign w:val="center"/>
          </w:tcPr>
          <w:p w14:paraId="6DF30759">
            <w:pPr>
              <w:pStyle w:val="445"/>
              <w:rPr>
                <w:rFonts w:cs="Times New Roman"/>
                <w:kern w:val="0"/>
                <w:szCs w:val="20"/>
              </w:rPr>
            </w:pPr>
            <w:r>
              <w:rPr>
                <w:rFonts w:cs="Times New Roman"/>
                <w:kern w:val="0"/>
                <w:szCs w:val="20"/>
              </w:rPr>
              <w:t>-</w:t>
            </w:r>
            <w:r>
              <w:rPr>
                <w:rFonts w:hint="eastAsia" w:cs="Times New Roman"/>
                <w:kern w:val="0"/>
                <w:szCs w:val="20"/>
              </w:rPr>
              <w:t>9</w:t>
            </w:r>
            <w:r>
              <w:rPr>
                <w:rFonts w:cs="Times New Roman"/>
                <w:kern w:val="0"/>
                <w:szCs w:val="20"/>
              </w:rPr>
              <w:t>5.06</w:t>
            </w:r>
          </w:p>
        </w:tc>
        <w:tc>
          <w:tcPr>
            <w:tcW w:w="786" w:type="pct"/>
            <w:tcBorders>
              <w:top w:val="single" w:color="auto" w:sz="4" w:space="0"/>
              <w:left w:val="single" w:color="auto" w:sz="4" w:space="0"/>
              <w:bottom w:val="single" w:color="auto" w:sz="4" w:space="0"/>
              <w:right w:val="nil"/>
            </w:tcBorders>
            <w:noWrap/>
            <w:vAlign w:val="center"/>
          </w:tcPr>
          <w:p w14:paraId="1F6DCEBB">
            <w:pPr>
              <w:pStyle w:val="445"/>
              <w:rPr>
                <w:rFonts w:cs="Times New Roman"/>
                <w:kern w:val="0"/>
                <w:szCs w:val="20"/>
              </w:rPr>
            </w:pPr>
            <w:r>
              <w:rPr>
                <w:rFonts w:hint="eastAsia" w:cs="Times New Roman"/>
                <w:kern w:val="0"/>
                <w:szCs w:val="20"/>
              </w:rPr>
              <w:t>达标</w:t>
            </w:r>
          </w:p>
        </w:tc>
      </w:tr>
      <w:tr w14:paraId="0B9DB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14" w:type="pct"/>
            <w:tcBorders>
              <w:top w:val="single" w:color="auto" w:sz="4" w:space="0"/>
              <w:left w:val="nil"/>
              <w:bottom w:val="single" w:color="auto" w:sz="12" w:space="0"/>
              <w:right w:val="single" w:color="auto" w:sz="4" w:space="0"/>
            </w:tcBorders>
            <w:vAlign w:val="center"/>
          </w:tcPr>
          <w:p w14:paraId="75C9F3E1">
            <w:pPr>
              <w:pStyle w:val="445"/>
              <w:rPr>
                <w:rFonts w:cs="Times New Roman"/>
                <w:kern w:val="0"/>
                <w:szCs w:val="20"/>
              </w:rPr>
            </w:pPr>
            <w:r>
              <w:rPr>
                <w:rFonts w:cs="Times New Roman"/>
                <w:kern w:val="0"/>
                <w:szCs w:val="20"/>
              </w:rPr>
              <w:t>PM</w:t>
            </w:r>
            <w:r>
              <w:rPr>
                <w:rFonts w:cs="Times New Roman"/>
                <w:kern w:val="0"/>
                <w:szCs w:val="20"/>
                <w:vertAlign w:val="subscript"/>
              </w:rPr>
              <w:t>2.5</w:t>
            </w:r>
          </w:p>
        </w:tc>
        <w:tc>
          <w:tcPr>
            <w:tcW w:w="1027" w:type="pct"/>
            <w:tcBorders>
              <w:top w:val="single" w:color="auto" w:sz="4" w:space="0"/>
              <w:left w:val="single" w:color="auto" w:sz="4" w:space="0"/>
              <w:bottom w:val="single" w:color="auto" w:sz="12" w:space="0"/>
              <w:right w:val="single" w:color="auto" w:sz="4" w:space="0"/>
            </w:tcBorders>
            <w:vAlign w:val="center"/>
          </w:tcPr>
          <w:p w14:paraId="5F9E0861">
            <w:pPr>
              <w:pStyle w:val="445"/>
              <w:rPr>
                <w:rFonts w:cs="Times New Roman"/>
                <w:kern w:val="0"/>
                <w:szCs w:val="20"/>
              </w:rPr>
            </w:pPr>
            <w:r>
              <w:rPr>
                <w:rFonts w:hint="eastAsia" w:cs="Times New Roman"/>
                <w:kern w:val="0"/>
                <w:szCs w:val="20"/>
              </w:rPr>
              <w:t>0.0494</w:t>
            </w:r>
          </w:p>
        </w:tc>
        <w:tc>
          <w:tcPr>
            <w:tcW w:w="1178" w:type="pct"/>
            <w:tcBorders>
              <w:top w:val="single" w:color="auto" w:sz="4" w:space="0"/>
              <w:left w:val="single" w:color="auto" w:sz="4" w:space="0"/>
              <w:bottom w:val="single" w:color="auto" w:sz="12" w:space="0"/>
              <w:right w:val="single" w:color="auto" w:sz="4" w:space="0"/>
            </w:tcBorders>
            <w:vAlign w:val="center"/>
          </w:tcPr>
          <w:p w14:paraId="4CB46501">
            <w:pPr>
              <w:pStyle w:val="445"/>
              <w:rPr>
                <w:rFonts w:cs="Times New Roman"/>
                <w:kern w:val="0"/>
                <w:szCs w:val="20"/>
              </w:rPr>
            </w:pPr>
            <w:r>
              <w:rPr>
                <w:rFonts w:cs="Times New Roman"/>
                <w:kern w:val="0"/>
                <w:szCs w:val="20"/>
              </w:rPr>
              <w:t>1</w:t>
            </w:r>
          </w:p>
        </w:tc>
        <w:tc>
          <w:tcPr>
            <w:tcW w:w="621" w:type="pct"/>
            <w:tcBorders>
              <w:top w:val="single" w:color="auto" w:sz="4" w:space="0"/>
              <w:left w:val="single" w:color="auto" w:sz="4" w:space="0"/>
              <w:bottom w:val="single" w:color="auto" w:sz="12" w:space="0"/>
              <w:right w:val="single" w:color="auto" w:sz="4" w:space="0"/>
            </w:tcBorders>
            <w:vAlign w:val="center"/>
          </w:tcPr>
          <w:p w14:paraId="3F93A331">
            <w:pPr>
              <w:pStyle w:val="445"/>
              <w:rPr>
                <w:rFonts w:cs="Times New Roman"/>
                <w:kern w:val="0"/>
                <w:szCs w:val="20"/>
              </w:rPr>
            </w:pPr>
            <w:r>
              <w:rPr>
                <w:rFonts w:hint="eastAsia" w:cs="Times New Roman"/>
                <w:kern w:val="0"/>
                <w:szCs w:val="20"/>
              </w:rPr>
              <w:t>-0.9506</w:t>
            </w:r>
          </w:p>
        </w:tc>
        <w:tc>
          <w:tcPr>
            <w:tcW w:w="774" w:type="pct"/>
            <w:tcBorders>
              <w:top w:val="single" w:color="auto" w:sz="4" w:space="0"/>
              <w:left w:val="single" w:color="auto" w:sz="4" w:space="0"/>
              <w:bottom w:val="single" w:color="auto" w:sz="12" w:space="0"/>
              <w:right w:val="single" w:color="auto" w:sz="4" w:space="0"/>
            </w:tcBorders>
            <w:vAlign w:val="center"/>
          </w:tcPr>
          <w:p w14:paraId="1DE861C0">
            <w:pPr>
              <w:pStyle w:val="445"/>
              <w:rPr>
                <w:rFonts w:cs="Times New Roman"/>
                <w:kern w:val="0"/>
                <w:szCs w:val="20"/>
              </w:rPr>
            </w:pPr>
            <w:r>
              <w:rPr>
                <w:rFonts w:cs="Times New Roman"/>
                <w:kern w:val="0"/>
                <w:szCs w:val="20"/>
              </w:rPr>
              <w:t>-</w:t>
            </w:r>
            <w:r>
              <w:rPr>
                <w:rFonts w:hint="eastAsia" w:cs="Times New Roman"/>
                <w:kern w:val="0"/>
                <w:szCs w:val="20"/>
              </w:rPr>
              <w:t>9</w:t>
            </w:r>
            <w:r>
              <w:rPr>
                <w:rFonts w:cs="Times New Roman"/>
                <w:kern w:val="0"/>
                <w:szCs w:val="20"/>
              </w:rPr>
              <w:t>5.06</w:t>
            </w:r>
          </w:p>
        </w:tc>
        <w:tc>
          <w:tcPr>
            <w:tcW w:w="786" w:type="pct"/>
            <w:tcBorders>
              <w:top w:val="single" w:color="auto" w:sz="4" w:space="0"/>
              <w:left w:val="single" w:color="auto" w:sz="4" w:space="0"/>
              <w:bottom w:val="single" w:color="auto" w:sz="12" w:space="0"/>
              <w:right w:val="nil"/>
            </w:tcBorders>
            <w:noWrap/>
            <w:vAlign w:val="center"/>
          </w:tcPr>
          <w:p w14:paraId="76FAB925">
            <w:pPr>
              <w:pStyle w:val="445"/>
              <w:rPr>
                <w:rFonts w:cs="Times New Roman"/>
                <w:kern w:val="0"/>
                <w:szCs w:val="20"/>
              </w:rPr>
            </w:pPr>
            <w:r>
              <w:rPr>
                <w:rFonts w:hint="eastAsia" w:cs="Times New Roman"/>
                <w:kern w:val="0"/>
                <w:szCs w:val="20"/>
              </w:rPr>
              <w:t>达标</w:t>
            </w:r>
          </w:p>
        </w:tc>
      </w:tr>
    </w:tbl>
    <w:p w14:paraId="1EAAB2C7">
      <w:pPr>
        <w:widowControl/>
        <w:ind w:firstLine="0" w:firstLineChars="0"/>
        <w:rPr>
          <w:kern w:val="0"/>
        </w:rPr>
        <w:sectPr>
          <w:pgSz w:w="11907" w:h="16840"/>
          <w:pgMar w:top="1440" w:right="1440" w:bottom="1440" w:left="1440" w:header="851" w:footer="992" w:gutter="0"/>
          <w:cols w:space="720" w:num="1"/>
          <w:docGrid w:type="lines" w:linePitch="326" w:charSpace="0"/>
        </w:sectPr>
      </w:pPr>
    </w:p>
    <w:p w14:paraId="15994307">
      <w:pPr>
        <w:pStyle w:val="4068"/>
      </w:pPr>
      <w:bookmarkStart w:id="210" w:name="_Toc100784031"/>
      <w:bookmarkStart w:id="211" w:name="_Toc101135863"/>
      <w:bookmarkStart w:id="212" w:name="_Toc108662640"/>
      <w:r>
        <w:rPr>
          <w:rFonts w:hint="eastAsia"/>
        </w:rPr>
        <w:t>5.1.</w:t>
      </w:r>
      <w:r>
        <w:t>6</w:t>
      </w:r>
      <w:r>
        <w:rPr>
          <w:rFonts w:hint="eastAsia"/>
        </w:rPr>
        <w:t>非正常工况下的环境空气质量影响预测</w:t>
      </w:r>
      <w:bookmarkEnd w:id="210"/>
      <w:bookmarkEnd w:id="211"/>
      <w:bookmarkEnd w:id="212"/>
    </w:p>
    <w:p w14:paraId="33AD2901">
      <w:pPr>
        <w:ind w:firstLine="480"/>
      </w:pPr>
      <w:r>
        <w:rPr>
          <w:rFonts w:hint="eastAsia" w:ascii="宋体" w:hAnsi="宋体"/>
        </w:rPr>
        <w:t>本次预测采用</w:t>
      </w:r>
      <w:r>
        <w:t>AERMOD</w:t>
      </w:r>
      <w:r>
        <w:rPr>
          <w:rFonts w:ascii="宋体" w:hAnsi="宋体"/>
        </w:rPr>
        <w:t>模式预测非正常</w:t>
      </w:r>
      <w:r>
        <w:rPr>
          <w:rFonts w:hint="eastAsia" w:ascii="宋体" w:hAnsi="宋体"/>
        </w:rPr>
        <w:t>工况同时发生时</w:t>
      </w:r>
      <w:r>
        <w:rPr>
          <w:rFonts w:ascii="宋体" w:hAnsi="宋体"/>
        </w:rPr>
        <w:t>排放废气排放浓度，见表</w:t>
      </w:r>
      <w:r>
        <w:t>5.1.6-1</w:t>
      </w:r>
      <w:r>
        <w:rPr>
          <w:rFonts w:ascii="宋体" w:hAnsi="宋体"/>
        </w:rPr>
        <w:t>。由表可见，在非正常情况下，各污染物对外环境影响贡献值较正常工况明显增加，</w:t>
      </w:r>
      <w:r>
        <w:rPr>
          <w:rFonts w:hint="eastAsia"/>
        </w:rPr>
        <w:t>非甲烷总烃</w:t>
      </w:r>
      <w:r>
        <w:t>和NH</w:t>
      </w:r>
      <w:r>
        <w:rPr>
          <w:vertAlign w:val="subscript"/>
        </w:rPr>
        <w:t>3</w:t>
      </w:r>
      <w:r>
        <w:rPr>
          <w:rFonts w:ascii="宋体" w:hAnsi="宋体"/>
        </w:rPr>
        <w:t>出现超标。需要避免事故发生，加强预警，同时加强废气处理设施的维护和管理，及时更换易损部件，确保废气治理措施的正常运转，杜绝废气处理设施故障发生。</w:t>
      </w:r>
    </w:p>
    <w:p w14:paraId="150ACD74">
      <w:pPr>
        <w:pStyle w:val="278"/>
        <w:ind w:firstLine="480"/>
      </w:pPr>
      <w:r>
        <w:rPr>
          <w:rFonts w:hint="eastAsia" w:ascii="黑体" w:hAnsi="黑体"/>
        </w:rPr>
        <w:t>表</w:t>
      </w:r>
      <w:r>
        <w:t xml:space="preserve">5.1.6-1  </w:t>
      </w:r>
      <w:r>
        <w:rPr>
          <w:rFonts w:ascii="黑体" w:hAnsi="黑体"/>
        </w:rPr>
        <w:t>非正常工况大气环境影响预测结果</w:t>
      </w:r>
    </w:p>
    <w:p w14:paraId="7A7F9C14">
      <w:pPr>
        <w:pStyle w:val="4068"/>
      </w:pPr>
      <w:bookmarkStart w:id="213" w:name="_Toc108662641"/>
      <w:bookmarkStart w:id="214" w:name="_Toc100784032"/>
      <w:bookmarkStart w:id="215" w:name="_Toc101135864"/>
      <w:r>
        <w:t>5.1.7</w:t>
      </w:r>
      <w:r>
        <w:rPr>
          <w:rFonts w:hint="eastAsia"/>
        </w:rPr>
        <w:t>厂界达标情况分析</w:t>
      </w:r>
      <w:bookmarkEnd w:id="213"/>
      <w:bookmarkEnd w:id="214"/>
      <w:bookmarkEnd w:id="215"/>
    </w:p>
    <w:p w14:paraId="0C939E36">
      <w:pPr>
        <w:ind w:firstLine="480"/>
      </w:pPr>
      <w:r>
        <w:rPr>
          <w:rFonts w:hint="eastAsia" w:ascii="宋体" w:hAnsi="宋体"/>
        </w:rPr>
        <w:t>本项目在生产过程中会产生</w:t>
      </w:r>
      <w:r>
        <w:rPr>
          <w:rFonts w:hint="eastAsia"/>
        </w:rPr>
        <w:t>非甲烷总烃</w:t>
      </w:r>
      <w:r>
        <w:rPr>
          <w:rFonts w:ascii="宋体" w:hAnsi="宋体"/>
        </w:rPr>
        <w:t>、</w:t>
      </w:r>
      <w:r>
        <w:t>NH</w:t>
      </w:r>
      <w:r>
        <w:rPr>
          <w:vertAlign w:val="subscript"/>
        </w:rPr>
        <w:t>3</w:t>
      </w:r>
      <w:r>
        <w:rPr>
          <w:rFonts w:hint="eastAsia" w:ascii="宋体" w:hAnsi="宋体"/>
        </w:rPr>
        <w:t>、</w:t>
      </w:r>
      <w:r>
        <w:rPr>
          <w:rFonts w:hint="eastAsia"/>
        </w:rPr>
        <w:t>甲醇、</w:t>
      </w:r>
      <w:r>
        <w:t>HF</w:t>
      </w:r>
      <w:r>
        <w:rPr>
          <w:rFonts w:hint="eastAsia"/>
        </w:rPr>
        <w:t>、</w:t>
      </w:r>
      <w:r>
        <w:t>SO</w:t>
      </w:r>
      <w:r>
        <w:rPr>
          <w:vertAlign w:val="subscript"/>
        </w:rPr>
        <w:t>2</w:t>
      </w:r>
      <w:r>
        <w:rPr>
          <w:rFonts w:hint="eastAsia"/>
        </w:rPr>
        <w:t>、</w:t>
      </w:r>
      <w:r>
        <w:t>NO</w:t>
      </w:r>
      <w:r>
        <w:rPr>
          <w:vertAlign w:val="subscript"/>
        </w:rPr>
        <w:t>x</w:t>
      </w:r>
      <w:r>
        <w:rPr>
          <w:rFonts w:hint="eastAsia"/>
        </w:rPr>
        <w:t>、</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w:t>
      </w:r>
      <w:r>
        <w:t>HCl</w:t>
      </w:r>
      <w:r>
        <w:rPr>
          <w:rFonts w:ascii="宋体" w:hAnsi="宋体"/>
        </w:rPr>
        <w:t>等污染物，若处置不当将对周边环境产生不良影响，采用</w:t>
      </w:r>
      <w:r>
        <w:t>AERMOD</w:t>
      </w:r>
      <w:r>
        <w:rPr>
          <w:rFonts w:ascii="宋体" w:hAnsi="宋体"/>
        </w:rPr>
        <w:t>模式预测了正常工况下叠加本项目贡献值的厂界最大落地浓度贡献值，计算结果见表</w:t>
      </w:r>
      <w:r>
        <w:t>5.1.7-1</w:t>
      </w:r>
      <w:r>
        <w:rPr>
          <w:rFonts w:ascii="宋体" w:hAnsi="宋体"/>
        </w:rPr>
        <w:t>。</w:t>
      </w:r>
    </w:p>
    <w:p w14:paraId="1629234F">
      <w:pPr>
        <w:pStyle w:val="278"/>
        <w:ind w:firstLine="480"/>
      </w:pPr>
      <w:r>
        <w:rPr>
          <w:rFonts w:ascii="黑体" w:hAnsi="黑体"/>
        </w:rPr>
        <w:t>表</w:t>
      </w:r>
      <w:r>
        <w:t xml:space="preserve">5.1.7-1  </w:t>
      </w:r>
      <w:r>
        <w:rPr>
          <w:rFonts w:ascii="黑体" w:hAnsi="黑体"/>
        </w:rPr>
        <w:t>评价区域内无组织排放污染物厂界最大落地浓度贡献值</w:t>
      </w:r>
      <w:r>
        <w:rPr>
          <w:rFonts w:hint="eastAsia"/>
        </w:rPr>
        <w:t xml:space="preserve"> </w:t>
      </w:r>
    </w:p>
    <w:p w14:paraId="69AE53B9">
      <w:pPr>
        <w:ind w:firstLine="480"/>
        <w:rPr>
          <w:rFonts w:cs="Times New Roman"/>
        </w:rPr>
      </w:pPr>
      <w:r>
        <w:rPr>
          <w:rFonts w:hint="eastAsia" w:ascii="宋体" w:hAnsi="宋体"/>
        </w:rPr>
        <w:t>由上表可知，本项目排放的</w:t>
      </w:r>
      <w:r>
        <w:rPr>
          <w:rFonts w:hint="eastAsia"/>
        </w:rPr>
        <w:t>非甲烷总烃</w:t>
      </w:r>
      <w:r>
        <w:rPr>
          <w:rFonts w:ascii="宋体" w:hAnsi="宋体"/>
        </w:rPr>
        <w:t>、</w:t>
      </w:r>
      <w:r>
        <w:t>NH</w:t>
      </w:r>
      <w:r>
        <w:rPr>
          <w:vertAlign w:val="subscript"/>
        </w:rPr>
        <w:t>3</w:t>
      </w:r>
      <w:r>
        <w:rPr>
          <w:rFonts w:hint="eastAsia" w:ascii="宋体" w:hAnsi="宋体"/>
        </w:rPr>
        <w:t>、</w:t>
      </w:r>
      <w:r>
        <w:rPr>
          <w:rFonts w:hint="eastAsia"/>
        </w:rPr>
        <w:t>甲醇、</w:t>
      </w:r>
      <w:r>
        <w:t>HF</w:t>
      </w:r>
      <w:r>
        <w:rPr>
          <w:rFonts w:hint="eastAsia"/>
        </w:rPr>
        <w:t>、</w:t>
      </w:r>
      <w:r>
        <w:t>SO</w:t>
      </w:r>
      <w:r>
        <w:rPr>
          <w:vertAlign w:val="subscript"/>
        </w:rPr>
        <w:t>2</w:t>
      </w:r>
      <w:r>
        <w:rPr>
          <w:rFonts w:hint="eastAsia"/>
        </w:rPr>
        <w:t>、</w:t>
      </w:r>
      <w:r>
        <w:t>NO</w:t>
      </w:r>
      <w:r>
        <w:rPr>
          <w:vertAlign w:val="subscript"/>
        </w:rPr>
        <w:t>x</w:t>
      </w:r>
      <w:r>
        <w:rPr>
          <w:rFonts w:hint="eastAsia"/>
        </w:rPr>
        <w:t>、</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w:t>
      </w:r>
      <w:r>
        <w:t>HCl</w:t>
      </w:r>
      <w:r>
        <w:rPr>
          <w:rFonts w:hint="eastAsia" w:ascii="宋体" w:hAnsi="宋体"/>
        </w:rPr>
        <w:t>等</w:t>
      </w:r>
      <w:r>
        <w:rPr>
          <w:rFonts w:ascii="宋体" w:hAnsi="宋体"/>
        </w:rPr>
        <w:t>的厂界最大落地浓度贡献值均能达到厂界无组织监控点浓度要求，因此，本项目正常工况下各污染物排放浓度可做到厂界达标。</w:t>
      </w:r>
    </w:p>
    <w:p w14:paraId="5FCEC73B">
      <w:pPr>
        <w:spacing w:before="240" w:after="120"/>
        <w:ind w:firstLine="0" w:firstLineChars="0"/>
        <w:jc w:val="left"/>
        <w:outlineLvl w:val="2"/>
        <w:rPr>
          <w:rFonts w:eastAsia="黑体"/>
          <w:sz w:val="28"/>
          <w:szCs w:val="28"/>
        </w:rPr>
      </w:pPr>
      <w:bookmarkStart w:id="216" w:name="_Toc101135865"/>
      <w:bookmarkStart w:id="217" w:name="_Toc100784033"/>
      <w:bookmarkStart w:id="218" w:name="_Toc108662642"/>
      <w:r>
        <w:rPr>
          <w:rFonts w:hint="eastAsia" w:eastAsia="黑体"/>
          <w:sz w:val="28"/>
          <w:szCs w:val="28"/>
        </w:rPr>
        <w:t>5.1.</w:t>
      </w:r>
      <w:r>
        <w:rPr>
          <w:rFonts w:eastAsia="黑体"/>
          <w:sz w:val="28"/>
          <w:szCs w:val="28"/>
        </w:rPr>
        <w:t>8</w:t>
      </w:r>
      <w:r>
        <w:rPr>
          <w:rFonts w:hint="eastAsia" w:ascii="黑体" w:hAnsi="黑体" w:eastAsia="黑体"/>
          <w:sz w:val="28"/>
          <w:szCs w:val="28"/>
        </w:rPr>
        <w:t>环境防护距离</w:t>
      </w:r>
      <w:r>
        <w:rPr>
          <w:rFonts w:ascii="黑体" w:hAnsi="黑体" w:eastAsia="黑体"/>
          <w:sz w:val="28"/>
          <w:szCs w:val="28"/>
        </w:rPr>
        <w:t>设置</w:t>
      </w:r>
      <w:bookmarkEnd w:id="216"/>
      <w:bookmarkEnd w:id="217"/>
      <w:bookmarkEnd w:id="218"/>
    </w:p>
    <w:p w14:paraId="1ABE1946">
      <w:pPr>
        <w:ind w:firstLine="480"/>
        <w:rPr>
          <w:szCs w:val="24"/>
        </w:rPr>
      </w:pPr>
      <w:r>
        <w:rPr>
          <w:rFonts w:ascii="宋体" w:hAnsi="宋体"/>
        </w:rPr>
        <w:t>（</w:t>
      </w:r>
      <w:r>
        <w:t>1</w:t>
      </w:r>
      <w:r>
        <w:rPr>
          <w:rFonts w:ascii="宋体" w:hAnsi="宋体"/>
        </w:rPr>
        <w:t>）大气环境防护距离计算</w:t>
      </w:r>
    </w:p>
    <w:p w14:paraId="09DC490E">
      <w:pPr>
        <w:ind w:firstLine="480"/>
      </w:pPr>
      <w:r>
        <w:rPr>
          <w:rFonts w:hint="eastAsia" w:ascii="宋体" w:hAnsi="宋体"/>
        </w:rPr>
        <w:t>依据《环境影响评价技术导则</w:t>
      </w:r>
      <w:r>
        <w:rPr>
          <w:rFonts w:hint="eastAsia"/>
        </w:rPr>
        <w:t xml:space="preserve"> 大气环境》（</w:t>
      </w:r>
      <w:r>
        <w:t>HJ2.2-2018</w:t>
      </w:r>
      <w:r>
        <w:rPr>
          <w:rFonts w:ascii="宋体" w:hAnsi="宋体"/>
        </w:rPr>
        <w:t>），采用</w:t>
      </w:r>
      <w:r>
        <w:t>AERMOD</w:t>
      </w:r>
      <w:r>
        <w:rPr>
          <w:rFonts w:ascii="宋体" w:hAnsi="宋体"/>
        </w:rPr>
        <w:t>模式进行预测，结果表明厂界浓度满足大气污染物厂界浓度限值，厂界外大气污染物短期贡献浓度未超过环境质量浓度限值，因此本项目无需设置大气环境防护距离。</w:t>
      </w:r>
    </w:p>
    <w:p w14:paraId="62EB6185">
      <w:pPr>
        <w:ind w:firstLine="480"/>
      </w:pPr>
      <w:r>
        <w:rPr>
          <w:rFonts w:hint="eastAsia" w:ascii="宋体" w:hAnsi="宋体"/>
        </w:rPr>
        <w:t>（</w:t>
      </w:r>
      <w:r>
        <w:rPr>
          <w:rFonts w:hint="eastAsia"/>
        </w:rPr>
        <w:t>2</w:t>
      </w:r>
      <w:r>
        <w:rPr>
          <w:rFonts w:hint="eastAsia" w:ascii="宋体" w:hAnsi="宋体"/>
        </w:rPr>
        <w:t>）风险</w:t>
      </w:r>
      <w:r>
        <w:rPr>
          <w:rFonts w:ascii="宋体" w:hAnsi="宋体"/>
        </w:rPr>
        <w:t>防护距离</w:t>
      </w:r>
    </w:p>
    <w:p w14:paraId="7B09176F">
      <w:pPr>
        <w:ind w:firstLine="480"/>
      </w:pPr>
      <w:r>
        <w:rPr>
          <w:rFonts w:hint="eastAsia" w:ascii="宋体" w:hAnsi="宋体"/>
        </w:rPr>
        <w:t>根据报告</w:t>
      </w:r>
      <w:r>
        <w:rPr>
          <w:rFonts w:hint="eastAsia"/>
        </w:rPr>
        <w:t>5.6</w:t>
      </w:r>
      <w:r>
        <w:rPr>
          <w:rFonts w:hint="eastAsia" w:ascii="宋体" w:hAnsi="宋体"/>
        </w:rPr>
        <w:t>章节，</w:t>
      </w:r>
      <w:r>
        <w:rPr>
          <w:rFonts w:hint="eastAsia" w:cs="Times New Roman"/>
        </w:rPr>
        <w:t>在</w:t>
      </w:r>
      <w:r>
        <w:rPr>
          <w:rFonts w:cs="Times New Roman"/>
        </w:rPr>
        <w:t>F稳定度下，</w:t>
      </w:r>
      <w:r>
        <w:rPr>
          <w:rFonts w:hint="eastAsia"/>
        </w:rPr>
        <w:t>氯化氢钢瓶</w:t>
      </w:r>
      <w:r>
        <w:t>泄漏事故</w:t>
      </w:r>
      <w:r>
        <w:rPr>
          <w:rFonts w:hint="eastAsia" w:cs="Times New Roman"/>
        </w:rPr>
        <w:t>产生</w:t>
      </w:r>
      <w:r>
        <w:rPr>
          <w:rFonts w:cs="Times New Roman"/>
        </w:rPr>
        <w:t>的</w:t>
      </w:r>
      <w:r>
        <w:rPr>
          <w:rFonts w:hint="eastAsia" w:cs="Times New Roman"/>
        </w:rPr>
        <w:t>氯化氢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氯化氢钢瓶</w:t>
      </w:r>
      <w:r>
        <w:rPr>
          <w:rFonts w:cs="Times New Roman"/>
        </w:rPr>
        <w:t>下风向1320m</w:t>
      </w:r>
      <w:r>
        <w:rPr>
          <w:rFonts w:hint="eastAsia" w:cs="Times New Roman"/>
        </w:rPr>
        <w:t>（超</w:t>
      </w:r>
      <w:r>
        <w:rPr>
          <w:rFonts w:cs="Times New Roman"/>
        </w:rPr>
        <w:t>厂界</w:t>
      </w:r>
      <w:r>
        <w:rPr>
          <w:rFonts w:hint="eastAsia" w:cs="Times New Roman"/>
        </w:rPr>
        <w:t>外</w:t>
      </w:r>
      <w:r>
        <w:rPr>
          <w:rFonts w:cs="Times New Roman"/>
        </w:rPr>
        <w:t>1280m</w:t>
      </w:r>
      <w:r>
        <w:rPr>
          <w:rFonts w:hint="eastAsia" w:cs="Times New Roman"/>
        </w:rPr>
        <w:t>）；</w:t>
      </w:r>
      <w:r>
        <w:rPr>
          <w:rFonts w:hint="eastAsia"/>
        </w:rPr>
        <w:t>达到</w:t>
      </w:r>
      <w:r>
        <w:t>毒性终点浓度</w:t>
      </w:r>
      <w:r>
        <w:rPr>
          <w:rFonts w:hint="eastAsia"/>
        </w:rPr>
        <w:t>-</w:t>
      </w:r>
      <w:r>
        <w:t>1</w:t>
      </w:r>
      <w:r>
        <w:rPr>
          <w:rFonts w:hint="eastAsia"/>
        </w:rPr>
        <w:t>最大出现距离为氯化氢钢瓶</w:t>
      </w:r>
      <w:r>
        <w:t>下风向528m（</w:t>
      </w:r>
      <w:r>
        <w:rPr>
          <w:rFonts w:hint="eastAsia"/>
        </w:rPr>
        <w:t>超厂界外</w:t>
      </w:r>
      <w:r>
        <w:t>488m）</w:t>
      </w:r>
      <w:r>
        <w:rPr>
          <w:rFonts w:hint="eastAsia"/>
        </w:rPr>
        <w:t>。</w:t>
      </w:r>
      <w:r>
        <w:rPr>
          <w:rFonts w:hint="eastAsia" w:ascii="宋体" w:hAnsi="宋体"/>
        </w:rPr>
        <w:t>本项目</w:t>
      </w:r>
      <w:r>
        <w:rPr>
          <w:rFonts w:ascii="宋体" w:hAnsi="宋体"/>
        </w:rPr>
        <w:t>以厂界外扩</w:t>
      </w:r>
      <w:r>
        <w:t>5</w:t>
      </w:r>
      <w:r>
        <w:rPr>
          <w:rFonts w:hint="eastAsia"/>
        </w:rPr>
        <w:t>00m</w:t>
      </w:r>
      <w:r>
        <w:rPr>
          <w:rFonts w:hint="eastAsia" w:ascii="宋体" w:hAnsi="宋体"/>
        </w:rPr>
        <w:t>设置环境</w:t>
      </w:r>
      <w:r>
        <w:rPr>
          <w:rFonts w:ascii="宋体" w:hAnsi="宋体"/>
        </w:rPr>
        <w:t>防护距离。</w:t>
      </w:r>
    </w:p>
    <w:p w14:paraId="26D501A6">
      <w:pPr>
        <w:ind w:firstLine="480"/>
      </w:pPr>
      <w:r>
        <w:rPr>
          <w:rFonts w:hint="eastAsia" w:ascii="宋体" w:hAnsi="宋体"/>
        </w:rPr>
        <w:t>（</w:t>
      </w:r>
      <w:r>
        <w:t>3</w:t>
      </w:r>
      <w:r>
        <w:rPr>
          <w:rFonts w:hint="eastAsia" w:ascii="宋体" w:hAnsi="宋体"/>
        </w:rPr>
        <w:t>）环境</w:t>
      </w:r>
      <w:r>
        <w:rPr>
          <w:rFonts w:ascii="宋体" w:hAnsi="宋体"/>
        </w:rPr>
        <w:t>防护距离设置</w:t>
      </w:r>
    </w:p>
    <w:p w14:paraId="54AD0EC0">
      <w:pPr>
        <w:ind w:firstLine="480"/>
      </w:pPr>
      <w:r>
        <w:rPr>
          <w:rFonts w:hint="eastAsia" w:ascii="宋体" w:hAnsi="宋体"/>
        </w:rPr>
        <w:t>根据大气防护距离及风险防护距离综合判定，本项目环境防护距离为</w:t>
      </w:r>
      <w:r>
        <w:t>500m</w:t>
      </w:r>
      <w:r>
        <w:rPr>
          <w:rFonts w:hint="eastAsia" w:ascii="宋体" w:hAnsi="宋体"/>
        </w:rPr>
        <w:t>范围。目前在此范围内没有居民点以及学校、医院等敏感目标，今后该防护距离范围内也不得新建居民、学校、医院等环境敏感目标。本项目环境防护距离包络线见附图</w:t>
      </w:r>
      <w:r>
        <w:rPr>
          <w:rFonts w:hint="eastAsia"/>
        </w:rPr>
        <w:t>5.1.</w:t>
      </w:r>
      <w:r>
        <w:t>8</w:t>
      </w:r>
      <w:r>
        <w:rPr>
          <w:rFonts w:hint="eastAsia"/>
        </w:rPr>
        <w:t>-1</w:t>
      </w:r>
      <w:r>
        <w:rPr>
          <w:rFonts w:hint="eastAsia" w:ascii="宋体" w:hAnsi="宋体"/>
        </w:rPr>
        <w:t>。</w:t>
      </w:r>
    </w:p>
    <w:p w14:paraId="15BF809E">
      <w:pPr>
        <w:pStyle w:val="4068"/>
      </w:pPr>
      <w:bookmarkStart w:id="219" w:name="_Toc101135866"/>
      <w:bookmarkStart w:id="220" w:name="_Toc100784034"/>
      <w:bookmarkStart w:id="221" w:name="_Toc108662643"/>
      <w:r>
        <w:rPr>
          <w:rFonts w:hint="eastAsia"/>
        </w:rPr>
        <w:t>5.1.</w:t>
      </w:r>
      <w:r>
        <w:t>9</w:t>
      </w:r>
      <w:r>
        <w:rPr>
          <w:rFonts w:hint="eastAsia"/>
        </w:rPr>
        <w:t>污染物</w:t>
      </w:r>
      <w:r>
        <w:t>排放量核算</w:t>
      </w:r>
      <w:bookmarkEnd w:id="219"/>
      <w:bookmarkEnd w:id="220"/>
      <w:bookmarkEnd w:id="221"/>
    </w:p>
    <w:p w14:paraId="6EB5DD93">
      <w:pPr>
        <w:ind w:firstLine="480"/>
      </w:pPr>
      <w:r>
        <w:rPr>
          <w:rFonts w:hint="eastAsia" w:ascii="宋体" w:hAnsi="宋体"/>
        </w:rPr>
        <w:t>（</w:t>
      </w:r>
      <w:r>
        <w:rPr>
          <w:rFonts w:hint="eastAsia"/>
        </w:rPr>
        <w:t>1</w:t>
      </w:r>
      <w:r>
        <w:rPr>
          <w:rFonts w:hint="eastAsia" w:ascii="宋体" w:hAnsi="宋体"/>
        </w:rPr>
        <w:t>）有组织</w:t>
      </w:r>
      <w:r>
        <w:rPr>
          <w:rFonts w:ascii="宋体" w:hAnsi="宋体"/>
        </w:rPr>
        <w:t>排放量核算</w:t>
      </w:r>
    </w:p>
    <w:p w14:paraId="520248BD">
      <w:pPr>
        <w:pStyle w:val="278"/>
        <w:ind w:firstLine="480"/>
      </w:pPr>
      <w:r>
        <w:rPr>
          <w:rFonts w:hint="eastAsia" w:ascii="黑体" w:hAnsi="黑体"/>
        </w:rPr>
        <w:t>表</w:t>
      </w:r>
      <w:r>
        <w:rPr>
          <w:rFonts w:hint="eastAsia"/>
        </w:rPr>
        <w:t>5.1.</w:t>
      </w:r>
      <w:r>
        <w:t xml:space="preserve">9-1  </w:t>
      </w:r>
      <w:r>
        <w:rPr>
          <w:rFonts w:hint="eastAsia" w:ascii="黑体" w:hAnsi="黑体"/>
        </w:rPr>
        <w:t>本项目</w:t>
      </w:r>
      <w:r>
        <w:rPr>
          <w:rFonts w:ascii="黑体" w:hAnsi="黑体"/>
        </w:rPr>
        <w:t>大气污染物有组织排放量核算表</w:t>
      </w:r>
    </w:p>
    <w:p w14:paraId="456903C1">
      <w:pPr>
        <w:ind w:firstLine="480"/>
        <w:rPr>
          <w:rFonts w:cs="Times New Roman"/>
        </w:rPr>
      </w:pPr>
      <w:r>
        <w:rPr>
          <w:rFonts w:hint="eastAsia" w:ascii="宋体" w:hAnsi="宋体"/>
        </w:rPr>
        <w:t>（</w:t>
      </w:r>
      <w:r>
        <w:rPr>
          <w:rFonts w:hint="eastAsia"/>
        </w:rPr>
        <w:t>2</w:t>
      </w:r>
      <w:r>
        <w:rPr>
          <w:rFonts w:hint="eastAsia" w:ascii="宋体" w:hAnsi="宋体"/>
        </w:rPr>
        <w:t>）无组织排放量</w:t>
      </w:r>
      <w:r>
        <w:rPr>
          <w:rFonts w:ascii="宋体" w:hAnsi="宋体"/>
        </w:rPr>
        <w:t>核算</w:t>
      </w:r>
    </w:p>
    <w:p w14:paraId="15CD2381">
      <w:pPr>
        <w:pStyle w:val="278"/>
        <w:ind w:firstLine="480"/>
        <w:rPr>
          <w:rFonts w:ascii="黑体" w:hAnsi="黑体"/>
        </w:rPr>
        <w:sectPr>
          <w:pgSz w:w="11907" w:h="16840"/>
          <w:pgMar w:top="1440" w:right="1440" w:bottom="1440" w:left="1440" w:header="851" w:footer="992" w:gutter="0"/>
          <w:cols w:space="720" w:num="1"/>
          <w:docGrid w:type="lines" w:linePitch="326" w:charSpace="0"/>
        </w:sectPr>
      </w:pPr>
    </w:p>
    <w:p w14:paraId="68C1EEDC">
      <w:pPr>
        <w:pStyle w:val="278"/>
        <w:ind w:firstLine="480"/>
      </w:pPr>
      <w:r>
        <w:rPr>
          <w:rFonts w:hint="eastAsia" w:ascii="黑体" w:hAnsi="黑体"/>
        </w:rPr>
        <w:t>表</w:t>
      </w:r>
      <w:r>
        <w:rPr>
          <w:rFonts w:hint="eastAsia"/>
        </w:rPr>
        <w:t>5.1.</w:t>
      </w:r>
      <w:r>
        <w:t xml:space="preserve">9-2  </w:t>
      </w:r>
      <w:r>
        <w:rPr>
          <w:rFonts w:hint="eastAsia" w:ascii="黑体" w:hAnsi="黑体"/>
        </w:rPr>
        <w:t>大气污染物</w:t>
      </w:r>
      <w:r>
        <w:rPr>
          <w:rFonts w:ascii="黑体" w:hAnsi="黑体"/>
        </w:rPr>
        <w:t>无组织排放量核算</w:t>
      </w:r>
    </w:p>
    <w:p w14:paraId="5444596C">
      <w:pPr>
        <w:ind w:firstLine="480"/>
        <w:rPr>
          <w:rFonts w:cs="Times New Roman"/>
        </w:rPr>
      </w:pPr>
      <w:r>
        <w:rPr>
          <w:rFonts w:hint="eastAsia" w:ascii="宋体" w:hAnsi="宋体"/>
        </w:rPr>
        <w:t>（</w:t>
      </w:r>
      <w:r>
        <w:rPr>
          <w:rFonts w:hint="eastAsia"/>
        </w:rPr>
        <w:t>3</w:t>
      </w:r>
      <w:r>
        <w:rPr>
          <w:rFonts w:hint="eastAsia" w:ascii="宋体" w:hAnsi="宋体"/>
        </w:rPr>
        <w:t>）大气污染物</w:t>
      </w:r>
      <w:r>
        <w:rPr>
          <w:rFonts w:ascii="宋体" w:hAnsi="宋体"/>
        </w:rPr>
        <w:t>年排放量核算表</w:t>
      </w:r>
    </w:p>
    <w:p w14:paraId="5D275A8D">
      <w:pPr>
        <w:widowControl/>
        <w:adjustRightInd/>
        <w:snapToGrid/>
        <w:ind w:firstLine="0" w:firstLineChars="0"/>
        <w:jc w:val="left"/>
        <w:rPr>
          <w:rFonts w:eastAsia="黑体"/>
        </w:rPr>
        <w:sectPr>
          <w:pgSz w:w="11907" w:h="16840"/>
          <w:pgMar w:top="1440" w:right="1440" w:bottom="1440" w:left="1440" w:header="851" w:footer="992" w:gutter="0"/>
          <w:cols w:space="720" w:num="1"/>
          <w:docGrid w:type="lines" w:linePitch="326" w:charSpace="0"/>
        </w:sectPr>
      </w:pPr>
    </w:p>
    <w:p w14:paraId="49C9B6A7">
      <w:pPr>
        <w:pStyle w:val="278"/>
        <w:ind w:firstLine="480"/>
      </w:pPr>
      <w:r>
        <w:rPr>
          <w:rFonts w:hint="eastAsia" w:ascii="黑体" w:hAnsi="黑体"/>
        </w:rPr>
        <w:t>表</w:t>
      </w:r>
      <w:r>
        <w:rPr>
          <w:rFonts w:hint="eastAsia"/>
        </w:rPr>
        <w:t>5.1.</w:t>
      </w:r>
      <w:r>
        <w:t xml:space="preserve">9-3  </w:t>
      </w:r>
      <w:r>
        <w:rPr>
          <w:rFonts w:hint="eastAsia" w:ascii="黑体" w:hAnsi="黑体"/>
        </w:rPr>
        <w:t>大气污染物</w:t>
      </w:r>
      <w:r>
        <w:rPr>
          <w:rFonts w:ascii="黑体" w:hAnsi="黑体"/>
        </w:rPr>
        <w:t>年排放量核算表</w:t>
      </w:r>
    </w:p>
    <w:p w14:paraId="3A38086D">
      <w:pPr>
        <w:ind w:firstLine="480"/>
        <w:rPr>
          <w:rFonts w:cs="Times New Roman"/>
        </w:rPr>
      </w:pPr>
      <w:r>
        <w:rPr>
          <w:rFonts w:hint="eastAsia" w:ascii="宋体" w:hAnsi="宋体"/>
        </w:rPr>
        <w:t>（</w:t>
      </w:r>
      <w:r>
        <w:t>4</w:t>
      </w:r>
      <w:r>
        <w:rPr>
          <w:rFonts w:hint="eastAsia" w:ascii="宋体" w:hAnsi="宋体"/>
        </w:rPr>
        <w:t>）非正常排放</w:t>
      </w:r>
      <w:r>
        <w:rPr>
          <w:rFonts w:ascii="宋体" w:hAnsi="宋体"/>
        </w:rPr>
        <w:t>核算表</w:t>
      </w:r>
    </w:p>
    <w:p w14:paraId="12A811AC">
      <w:pPr>
        <w:pStyle w:val="278"/>
        <w:ind w:firstLine="480"/>
      </w:pPr>
      <w:r>
        <w:rPr>
          <w:rFonts w:hint="eastAsia" w:ascii="黑体" w:hAnsi="黑体"/>
        </w:rPr>
        <w:t>表</w:t>
      </w:r>
      <w:r>
        <w:rPr>
          <w:rFonts w:hint="eastAsia"/>
        </w:rPr>
        <w:t>5.1.</w:t>
      </w:r>
      <w:r>
        <w:t xml:space="preserve">9-4  </w:t>
      </w:r>
      <w:r>
        <w:rPr>
          <w:rFonts w:hint="eastAsia" w:ascii="黑体" w:hAnsi="黑体"/>
        </w:rPr>
        <w:t>非正常</w:t>
      </w:r>
      <w:r>
        <w:rPr>
          <w:rFonts w:ascii="黑体" w:hAnsi="黑体"/>
        </w:rPr>
        <w:t>排放核算表</w:t>
      </w:r>
    </w:p>
    <w:p w14:paraId="02C5DA00">
      <w:pPr>
        <w:pStyle w:val="4068"/>
      </w:pPr>
      <w:bookmarkStart w:id="222" w:name="_Toc101135867"/>
      <w:bookmarkStart w:id="223" w:name="_Toc100784035"/>
      <w:bookmarkStart w:id="224" w:name="_Toc108662644"/>
      <w:r>
        <w:rPr>
          <w:rFonts w:hint="eastAsia"/>
        </w:rPr>
        <w:t>5.1.</w:t>
      </w:r>
      <w:r>
        <w:t>10</w:t>
      </w:r>
      <w:r>
        <w:rPr>
          <w:rFonts w:hint="eastAsia"/>
        </w:rPr>
        <w:t>大气环境</w:t>
      </w:r>
      <w:r>
        <w:t>影响评价小结</w:t>
      </w:r>
      <w:bookmarkEnd w:id="222"/>
      <w:bookmarkEnd w:id="223"/>
      <w:bookmarkEnd w:id="224"/>
    </w:p>
    <w:p w14:paraId="7B48F1D6">
      <w:pPr>
        <w:ind w:firstLine="480"/>
      </w:pPr>
      <w:r>
        <w:rPr>
          <w:rFonts w:hint="eastAsia" w:ascii="宋体" w:hAnsi="宋体"/>
        </w:rPr>
        <w:t>（</w:t>
      </w:r>
      <w:r>
        <w:t>1</w:t>
      </w:r>
      <w:r>
        <w:rPr>
          <w:rFonts w:ascii="宋体" w:hAnsi="宋体"/>
        </w:rPr>
        <w:t>）</w:t>
      </w:r>
      <w:r>
        <w:rPr>
          <w:rFonts w:hint="eastAsia" w:ascii="宋体" w:hAnsi="宋体"/>
        </w:rPr>
        <w:t>正常工况下</w:t>
      </w:r>
      <w:r>
        <w:rPr>
          <w:rFonts w:ascii="宋体" w:hAnsi="宋体"/>
        </w:rPr>
        <w:t>采用</w:t>
      </w:r>
      <w:r>
        <w:t>2020</w:t>
      </w:r>
      <w:r>
        <w:rPr>
          <w:rFonts w:ascii="宋体" w:hAnsi="宋体"/>
        </w:rPr>
        <w:t>年全年气象资料逐时、逐日计算项目排放的污染物在评价区域及保护目标贡献值。评价范围内</w:t>
      </w:r>
      <w:r>
        <w:rPr>
          <w:rFonts w:hint="eastAsia"/>
        </w:rPr>
        <w:t>甲醇</w:t>
      </w:r>
      <w:r>
        <w:rPr>
          <w:rFonts w:hint="eastAsia" w:ascii="宋体" w:hAnsi="宋体"/>
        </w:rPr>
        <w:t>、</w:t>
      </w:r>
      <w:r>
        <w:rPr>
          <w:rFonts w:hint="eastAsia"/>
        </w:rPr>
        <w:t>SO</w:t>
      </w:r>
      <w:r>
        <w:rPr>
          <w:rFonts w:hint="eastAsia"/>
          <w:vertAlign w:val="subscript"/>
        </w:rPr>
        <w:t>2</w:t>
      </w:r>
      <w:r>
        <w:rPr>
          <w:rFonts w:hint="eastAsia" w:ascii="宋体" w:hAnsi="宋体"/>
        </w:rPr>
        <w:t>、</w:t>
      </w:r>
      <w:r>
        <w:rPr>
          <w:rFonts w:hint="eastAsia"/>
        </w:rPr>
        <w:t>NO</w:t>
      </w:r>
      <w:r>
        <w:rPr>
          <w:vertAlign w:val="subscript"/>
        </w:rPr>
        <w:t>x</w:t>
      </w:r>
      <w:r>
        <w:rPr>
          <w:rFonts w:hint="eastAsia" w:ascii="宋体" w:hAnsi="宋体"/>
        </w:rPr>
        <w:t>、</w:t>
      </w:r>
      <w:r>
        <w:rPr>
          <w:rFonts w:hint="eastAsia"/>
        </w:rPr>
        <w:t>PM</w:t>
      </w:r>
      <w:r>
        <w:rPr>
          <w:rFonts w:hint="eastAsia"/>
          <w:vertAlign w:val="subscript"/>
        </w:rPr>
        <w:t>10</w:t>
      </w:r>
      <w:r>
        <w:rPr>
          <w:rFonts w:hint="eastAsia" w:ascii="宋体" w:hAnsi="宋体"/>
        </w:rPr>
        <w:t>、</w:t>
      </w:r>
      <w:r>
        <w:t>PM</w:t>
      </w:r>
      <w:r>
        <w:rPr>
          <w:vertAlign w:val="subscript"/>
        </w:rPr>
        <w:t>2.5</w:t>
      </w:r>
      <w:r>
        <w:rPr>
          <w:rFonts w:ascii="宋体" w:hAnsi="宋体"/>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w:t>
      </w:r>
      <w:r>
        <w:rPr>
          <w:rFonts w:hint="eastAsia" w:cs="Times New Roman"/>
        </w:rPr>
        <w:t>非甲烷总烃</w:t>
      </w:r>
      <w:r>
        <w:rPr>
          <w:rFonts w:hint="eastAsia" w:ascii="宋体" w:hAnsi="宋体"/>
        </w:rPr>
        <w:t>短期浓度（</w:t>
      </w:r>
      <w:r>
        <w:rPr>
          <w:rFonts w:ascii="宋体" w:hAnsi="宋体"/>
        </w:rPr>
        <w:t>小时平均、日平均</w:t>
      </w:r>
      <w:r>
        <w:rPr>
          <w:rFonts w:hint="eastAsia" w:ascii="宋体" w:hAnsi="宋体"/>
        </w:rPr>
        <w:t>）贡献值</w:t>
      </w:r>
      <w:r>
        <w:rPr>
          <w:rFonts w:ascii="宋体" w:hAnsi="宋体"/>
        </w:rPr>
        <w:t>保护目标和网格点最大占标率为</w:t>
      </w:r>
      <w:r>
        <w:t>PM</w:t>
      </w:r>
      <w:r>
        <w:rPr>
          <w:vertAlign w:val="subscript"/>
        </w:rPr>
        <w:t>10</w:t>
      </w:r>
      <w:r>
        <w:rPr>
          <w:rFonts w:ascii="宋体" w:hAnsi="宋体"/>
        </w:rPr>
        <w:t>、</w:t>
      </w:r>
      <w:r>
        <w:t>PM</w:t>
      </w:r>
      <w:r>
        <w:rPr>
          <w:vertAlign w:val="subscript"/>
        </w:rPr>
        <w:t>2.5</w:t>
      </w:r>
      <w:r>
        <w:t xml:space="preserve"> 12.6%＜100%</w:t>
      </w:r>
      <w:r>
        <w:rPr>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年平均贡献值保护目标和网格点最大占标率为</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 xml:space="preserve"> 3.56%</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30%</w:t>
      </w:r>
      <w:r>
        <w:rPr>
          <w:rFonts w:ascii="宋体" w:hAnsi="宋体"/>
        </w:rPr>
        <w:t>。叠加现状浓度、本项目污染源、</w:t>
      </w:r>
      <w:r>
        <w:rPr>
          <w:rFonts w:hint="eastAsia" w:ascii="宋体" w:hAnsi="宋体"/>
        </w:rPr>
        <w:t>区域同期</w:t>
      </w:r>
      <w:r>
        <w:rPr>
          <w:rFonts w:ascii="宋体" w:hAnsi="宋体"/>
        </w:rPr>
        <w:t>拟建、在建</w:t>
      </w:r>
      <w:r>
        <w:rPr>
          <w:rFonts w:hint="eastAsia" w:ascii="宋体" w:hAnsi="宋体"/>
        </w:rPr>
        <w:t>项目污染源</w:t>
      </w:r>
      <w:r>
        <w:rPr>
          <w:rFonts w:ascii="宋体" w:hAnsi="宋体"/>
        </w:rPr>
        <w:t>的环境影响后，现状达标的污染物</w:t>
      </w:r>
      <w:r>
        <w:rPr>
          <w:rFonts w:hint="eastAsia"/>
        </w:rPr>
        <w:t>H</w:t>
      </w:r>
      <w:r>
        <w:t>F</w:t>
      </w:r>
      <w:r>
        <w:rPr>
          <w:rFonts w:ascii="宋体" w:hAnsi="宋体"/>
        </w:rPr>
        <w:t>、</w:t>
      </w:r>
      <w:r>
        <w:t>HCl</w:t>
      </w:r>
      <w:r>
        <w:rPr>
          <w:rFonts w:ascii="宋体" w:hAnsi="宋体"/>
        </w:rPr>
        <w:t>、</w:t>
      </w:r>
      <w:r>
        <w:t>NH</w:t>
      </w:r>
      <w:r>
        <w:rPr>
          <w:vertAlign w:val="subscript"/>
        </w:rPr>
        <w:t>3</w:t>
      </w:r>
      <w:r>
        <w:rPr>
          <w:rFonts w:hint="eastAsia"/>
        </w:rPr>
        <w:t>、</w:t>
      </w:r>
      <w:r>
        <w:t>甲醇</w:t>
      </w:r>
      <w:r>
        <w:rPr>
          <w:rFonts w:ascii="宋体" w:hAnsi="宋体"/>
        </w:rPr>
        <w:t>和</w:t>
      </w:r>
      <w:r>
        <w:rPr>
          <w:rFonts w:hint="eastAsia" w:cs="Times New Roman"/>
        </w:rPr>
        <w:t>非甲烷总烃</w:t>
      </w:r>
      <w:r>
        <w:rPr>
          <w:rFonts w:ascii="宋体" w:hAnsi="宋体"/>
        </w:rPr>
        <w:t>保护目标和网格点的短期浓度符合环境质量标准</w:t>
      </w:r>
      <w:r>
        <w:rPr>
          <w:rFonts w:hint="eastAsia" w:ascii="宋体" w:hAnsi="宋体"/>
        </w:rPr>
        <w:t>，</w:t>
      </w:r>
      <w:r>
        <w:t>SO</w:t>
      </w:r>
      <w:r>
        <w:rPr>
          <w:vertAlign w:val="subscript"/>
        </w:rPr>
        <w:t>2</w:t>
      </w:r>
      <w:r>
        <w:rPr>
          <w:rFonts w:hint="eastAsia" w:ascii="宋体" w:hAnsi="宋体"/>
        </w:rPr>
        <w:t>、</w:t>
      </w:r>
      <w:r>
        <w:rPr>
          <w:rFonts w:hint="eastAsia"/>
        </w:rPr>
        <w:t>NO</w:t>
      </w:r>
      <w:r>
        <w:t>x</w:t>
      </w:r>
      <w:r>
        <w:rPr>
          <w:rFonts w:ascii="宋体" w:hAnsi="宋体"/>
        </w:rPr>
        <w:t>的</w:t>
      </w:r>
      <w:r>
        <w:t>98%</w:t>
      </w:r>
      <w:r>
        <w:rPr>
          <w:rFonts w:ascii="宋体" w:hAnsi="宋体"/>
        </w:rPr>
        <w:t>保证率日均浓度和年均浓度符合环境质量标准。在</w:t>
      </w:r>
      <w:r>
        <w:rPr>
          <w:rFonts w:hint="eastAsia" w:ascii="宋体" w:hAnsi="宋体"/>
        </w:rPr>
        <w:t>落实达标</w:t>
      </w:r>
      <w:r>
        <w:rPr>
          <w:rFonts w:ascii="宋体" w:hAnsi="宋体"/>
        </w:rPr>
        <w:t>规划后，现状超标的污染物</w:t>
      </w:r>
      <w:r>
        <w:t>PM</w:t>
      </w:r>
      <w:r>
        <w:rPr>
          <w:vertAlign w:val="subscript"/>
        </w:rPr>
        <w:t>10</w:t>
      </w:r>
      <w:r>
        <w:rPr>
          <w:rFonts w:ascii="宋体" w:hAnsi="宋体"/>
        </w:rPr>
        <w:t>预测范围内年平均质量浓度变化率</w:t>
      </w:r>
      <w:r>
        <w:t>k</w:t>
      </w:r>
      <w:r>
        <w:rPr>
          <w:rFonts w:ascii="宋体" w:hAnsi="宋体"/>
        </w:rPr>
        <w:t>为</w:t>
      </w:r>
      <w:r>
        <w:t>-95.06%≤-20%</w:t>
      </w:r>
      <w:r>
        <w:rPr>
          <w:rFonts w:hint="eastAsia" w:ascii="宋体" w:hAnsi="宋体"/>
        </w:rPr>
        <w:t>；</w:t>
      </w:r>
      <w:r>
        <w:rPr>
          <w:rFonts w:ascii="宋体" w:hAnsi="宋体"/>
        </w:rPr>
        <w:t>现状超标的污染物</w:t>
      </w:r>
      <w:r>
        <w:t>PM</w:t>
      </w:r>
      <w:r>
        <w:rPr>
          <w:vertAlign w:val="subscript"/>
        </w:rPr>
        <w:t>2.5</w:t>
      </w:r>
      <w:r>
        <w:rPr>
          <w:rFonts w:ascii="宋体" w:hAnsi="宋体"/>
        </w:rPr>
        <w:t>预测范围内年平均质量浓度变化率</w:t>
      </w:r>
      <w:r>
        <w:t>k</w:t>
      </w:r>
      <w:r>
        <w:rPr>
          <w:rFonts w:ascii="宋体" w:hAnsi="宋体"/>
        </w:rPr>
        <w:t>为</w:t>
      </w:r>
      <w:r>
        <w:t>-95.06%≤-20%</w:t>
      </w:r>
      <w:r>
        <w:rPr>
          <w:rFonts w:ascii="宋体" w:hAnsi="宋体"/>
        </w:rPr>
        <w:t>。</w:t>
      </w:r>
    </w:p>
    <w:p w14:paraId="387295A8">
      <w:pPr>
        <w:ind w:firstLine="480"/>
      </w:pPr>
      <w:r>
        <w:rPr>
          <w:rFonts w:hint="eastAsia" w:ascii="宋体" w:hAnsi="宋体"/>
        </w:rPr>
        <w:t>（</w:t>
      </w:r>
      <w:r>
        <w:rPr>
          <w:rFonts w:hint="eastAsia"/>
        </w:rPr>
        <w:t>2</w:t>
      </w:r>
      <w:r>
        <w:rPr>
          <w:rFonts w:hint="eastAsia" w:ascii="宋体" w:hAnsi="宋体"/>
        </w:rPr>
        <w:t>）</w:t>
      </w:r>
      <w:r>
        <w:rPr>
          <w:rFonts w:ascii="宋体" w:hAnsi="宋体"/>
        </w:rPr>
        <w:t>在非正常情况下，各污染物对外环境影响贡献值较正常工况明显增加，</w:t>
      </w:r>
      <w:r>
        <w:rPr>
          <w:rFonts w:hint="eastAsia" w:cs="Times New Roman"/>
        </w:rPr>
        <w:t>非甲烷总烃</w:t>
      </w:r>
      <w:r>
        <w:t>和NH</w:t>
      </w:r>
      <w:r>
        <w:rPr>
          <w:vertAlign w:val="subscript"/>
        </w:rPr>
        <w:t>3</w:t>
      </w:r>
      <w:r>
        <w:rPr>
          <w:rFonts w:ascii="宋体" w:hAnsi="宋体"/>
        </w:rPr>
        <w:t>出现超标。需要避免事故发生，加强预警，同时加强废气处理设施的维护和管理，及时更换易损部件，确保废气治理措施的正常运转，杜绝废气处理设施故障发生。</w:t>
      </w:r>
    </w:p>
    <w:p w14:paraId="1EE422A1">
      <w:pPr>
        <w:ind w:firstLine="480"/>
      </w:pPr>
      <w:r>
        <w:rPr>
          <w:rFonts w:hint="eastAsia" w:ascii="宋体" w:hAnsi="宋体"/>
        </w:rPr>
        <w:t>（</w:t>
      </w:r>
      <w:r>
        <w:rPr>
          <w:rFonts w:hint="eastAsia"/>
        </w:rPr>
        <w:t>3</w:t>
      </w:r>
      <w:r>
        <w:rPr>
          <w:rFonts w:hint="eastAsia" w:ascii="宋体" w:hAnsi="宋体"/>
        </w:rPr>
        <w:t>）本项目</w:t>
      </w:r>
      <w:r>
        <w:rPr>
          <w:rFonts w:hint="eastAsia" w:cs="Times New Roman"/>
        </w:rPr>
        <w:t>非甲烷总烃</w:t>
      </w:r>
      <w:r>
        <w:rPr>
          <w:rFonts w:ascii="宋体" w:hAnsi="宋体"/>
        </w:rPr>
        <w:t>、</w:t>
      </w:r>
      <w:r>
        <w:t>NH</w:t>
      </w:r>
      <w:r>
        <w:rPr>
          <w:vertAlign w:val="subscript"/>
        </w:rPr>
        <w:t>3</w:t>
      </w:r>
      <w:r>
        <w:rPr>
          <w:rFonts w:hint="eastAsia" w:ascii="宋体" w:hAnsi="宋体"/>
        </w:rPr>
        <w:t>、</w:t>
      </w:r>
      <w:r>
        <w:rPr>
          <w:rFonts w:hint="eastAsia"/>
        </w:rPr>
        <w:t>甲醇、</w:t>
      </w:r>
      <w:r>
        <w:t>HF</w:t>
      </w:r>
      <w:r>
        <w:rPr>
          <w:rFonts w:hint="eastAsia"/>
        </w:rPr>
        <w:t>、</w:t>
      </w:r>
      <w:r>
        <w:t>SO</w:t>
      </w:r>
      <w:r>
        <w:rPr>
          <w:vertAlign w:val="subscript"/>
        </w:rPr>
        <w:t>2</w:t>
      </w:r>
      <w:r>
        <w:rPr>
          <w:rFonts w:hint="eastAsia"/>
        </w:rPr>
        <w:t>、</w:t>
      </w:r>
      <w:r>
        <w:t>NO</w:t>
      </w:r>
      <w:r>
        <w:rPr>
          <w:vertAlign w:val="subscript"/>
        </w:rPr>
        <w:t>x</w:t>
      </w:r>
      <w:r>
        <w:rPr>
          <w:rFonts w:hint="eastAsia"/>
        </w:rPr>
        <w:t>、</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w:t>
      </w:r>
      <w:r>
        <w:t>HCl</w:t>
      </w:r>
      <w:r>
        <w:rPr>
          <w:rFonts w:hint="eastAsia" w:ascii="宋体" w:hAnsi="宋体"/>
        </w:rPr>
        <w:t>厂界浓度满足大气污染物厂界浓度限值。</w:t>
      </w:r>
    </w:p>
    <w:p w14:paraId="311130BD">
      <w:pPr>
        <w:ind w:firstLine="480"/>
      </w:pPr>
      <w:r>
        <w:rPr>
          <w:rFonts w:hint="eastAsia" w:ascii="宋体" w:hAnsi="宋体"/>
        </w:rPr>
        <w:t>（</w:t>
      </w:r>
      <w:r>
        <w:rPr>
          <w:rFonts w:hint="eastAsia"/>
        </w:rPr>
        <w:t>4</w:t>
      </w:r>
      <w:r>
        <w:rPr>
          <w:rFonts w:hint="eastAsia" w:ascii="宋体" w:hAnsi="宋体"/>
        </w:rPr>
        <w:t>）厂界外大气污染物短期贡献浓度未超过环境质量浓度限值，因此本项目无需设置大气环境防护距离。</w:t>
      </w:r>
    </w:p>
    <w:p w14:paraId="7B87899D">
      <w:pPr>
        <w:ind w:firstLine="480"/>
      </w:pPr>
      <w:r>
        <w:rPr>
          <w:rFonts w:hint="eastAsia" w:ascii="宋体" w:hAnsi="宋体"/>
        </w:rPr>
        <w:t>（</w:t>
      </w:r>
      <w:r>
        <w:rPr>
          <w:rFonts w:hint="eastAsia"/>
        </w:rPr>
        <w:t>5</w:t>
      </w:r>
      <w:r>
        <w:rPr>
          <w:rFonts w:hint="eastAsia" w:ascii="宋体" w:hAnsi="宋体"/>
        </w:rPr>
        <w:t>）</w:t>
      </w:r>
      <w:r>
        <w:rPr>
          <w:rFonts w:ascii="宋体" w:hAnsi="宋体"/>
        </w:rPr>
        <w:t>本项目设置</w:t>
      </w:r>
      <w:r>
        <w:t>500m</w:t>
      </w:r>
      <w:r>
        <w:rPr>
          <w:rFonts w:hint="eastAsia" w:ascii="宋体" w:hAnsi="宋体"/>
        </w:rPr>
        <w:t>环境防护距离，目前在此范围内没有居民点以及学校、医院等敏感目标，今后该防护距离范围内也不得新建居民、学校、医院等环境敏感目标。</w:t>
      </w:r>
    </w:p>
    <w:p w14:paraId="19B74CC4">
      <w:pPr>
        <w:ind w:firstLine="480"/>
      </w:pPr>
      <w:r>
        <w:rPr>
          <w:rFonts w:hint="eastAsia" w:ascii="宋体" w:hAnsi="宋体"/>
        </w:rPr>
        <w:t>（</w:t>
      </w:r>
      <w:r>
        <w:rPr>
          <w:rFonts w:hint="eastAsia"/>
        </w:rPr>
        <w:t>6</w:t>
      </w:r>
      <w:r>
        <w:rPr>
          <w:rFonts w:hint="eastAsia" w:ascii="宋体" w:hAnsi="宋体"/>
        </w:rPr>
        <w:t>）大气环境影响自查表</w:t>
      </w:r>
    </w:p>
    <w:p w14:paraId="2808B114">
      <w:pPr>
        <w:ind w:firstLine="480"/>
      </w:pPr>
      <w:r>
        <w:rPr>
          <w:rFonts w:hint="eastAsia" w:ascii="宋体" w:hAnsi="宋体"/>
        </w:rPr>
        <w:t>本次大气环境影响评价后，对大气环境影响评价主要内容与结论进行自查，详见表</w:t>
      </w:r>
      <w:r>
        <w:t>5.1.10-1</w:t>
      </w:r>
      <w:r>
        <w:rPr>
          <w:rFonts w:hint="eastAsia" w:ascii="宋体" w:hAnsi="宋体"/>
        </w:rPr>
        <w:t>。</w:t>
      </w:r>
    </w:p>
    <w:p w14:paraId="303B65FE">
      <w:pPr>
        <w:pStyle w:val="278"/>
        <w:ind w:firstLine="480"/>
      </w:pPr>
      <w:r>
        <w:rPr>
          <w:rFonts w:hint="eastAsia" w:ascii="黑体" w:hAnsi="黑体"/>
        </w:rPr>
        <w:t>表</w:t>
      </w:r>
      <w:r>
        <w:t xml:space="preserve">5.1.10-1  </w:t>
      </w:r>
      <w:r>
        <w:rPr>
          <w:rFonts w:hint="eastAsia" w:ascii="黑体" w:hAnsi="黑体"/>
        </w:rPr>
        <w:t>大气环境影响评价自查表</w:t>
      </w:r>
    </w:p>
    <w:tbl>
      <w:tblPr>
        <w:tblStyle w:val="64"/>
        <w:tblW w:w="5000" w:type="pct"/>
        <w:jc w:val="center"/>
        <w:tblLayout w:type="autofit"/>
        <w:tblCellMar>
          <w:top w:w="0" w:type="dxa"/>
          <w:left w:w="108" w:type="dxa"/>
          <w:bottom w:w="0" w:type="dxa"/>
          <w:right w:w="108" w:type="dxa"/>
        </w:tblCellMar>
      </w:tblPr>
      <w:tblGrid>
        <w:gridCol w:w="595"/>
        <w:gridCol w:w="950"/>
        <w:gridCol w:w="1164"/>
        <w:gridCol w:w="494"/>
        <w:gridCol w:w="423"/>
        <w:gridCol w:w="1452"/>
        <w:gridCol w:w="1426"/>
        <w:gridCol w:w="1187"/>
        <w:gridCol w:w="889"/>
        <w:gridCol w:w="663"/>
      </w:tblGrid>
      <w:tr w14:paraId="31003AFD">
        <w:tblPrEx>
          <w:tblCellMar>
            <w:top w:w="0" w:type="dxa"/>
            <w:left w:w="108" w:type="dxa"/>
            <w:bottom w:w="0" w:type="dxa"/>
            <w:right w:w="108" w:type="dxa"/>
          </w:tblCellMar>
        </w:tblPrEx>
        <w:trPr>
          <w:trHeight w:val="319" w:hRule="atLeast"/>
          <w:jc w:val="center"/>
        </w:trPr>
        <w:tc>
          <w:tcPr>
            <w:tcW w:w="799" w:type="pct"/>
            <w:gridSpan w:val="2"/>
            <w:tcBorders>
              <w:top w:val="single" w:color="000000" w:sz="12" w:space="0"/>
              <w:left w:val="nil"/>
              <w:bottom w:val="single" w:color="000000" w:sz="8" w:space="0"/>
              <w:right w:val="single" w:color="000000" w:sz="8" w:space="0"/>
            </w:tcBorders>
            <w:vAlign w:val="center"/>
          </w:tcPr>
          <w:p w14:paraId="71C49B8F">
            <w:pPr>
              <w:pStyle w:val="445"/>
            </w:pPr>
            <w:r>
              <w:rPr>
                <w:rFonts w:hint="eastAsia"/>
              </w:rPr>
              <w:t>工作内容</w:t>
            </w:r>
          </w:p>
        </w:tc>
        <w:tc>
          <w:tcPr>
            <w:tcW w:w="4201" w:type="pct"/>
            <w:gridSpan w:val="8"/>
            <w:tcBorders>
              <w:top w:val="single" w:color="000000" w:sz="12" w:space="0"/>
              <w:left w:val="nil"/>
              <w:bottom w:val="single" w:color="000000" w:sz="8" w:space="0"/>
              <w:right w:val="nil"/>
            </w:tcBorders>
            <w:vAlign w:val="center"/>
          </w:tcPr>
          <w:p w14:paraId="1E90B86F">
            <w:pPr>
              <w:pStyle w:val="445"/>
            </w:pPr>
            <w:r>
              <w:rPr>
                <w:rFonts w:hint="eastAsia"/>
              </w:rPr>
              <w:t>自查项目</w:t>
            </w:r>
          </w:p>
        </w:tc>
      </w:tr>
      <w:tr w14:paraId="5165E68B">
        <w:tblPrEx>
          <w:tblCellMar>
            <w:top w:w="0" w:type="dxa"/>
            <w:left w:w="108" w:type="dxa"/>
            <w:bottom w:w="0" w:type="dxa"/>
            <w:right w:w="108" w:type="dxa"/>
          </w:tblCellMar>
        </w:tblPrEx>
        <w:trPr>
          <w:trHeight w:val="319" w:hRule="atLeast"/>
          <w:jc w:val="center"/>
        </w:trPr>
        <w:tc>
          <w:tcPr>
            <w:tcW w:w="393" w:type="pct"/>
            <w:vMerge w:val="restart"/>
            <w:tcBorders>
              <w:top w:val="nil"/>
              <w:left w:val="nil"/>
              <w:bottom w:val="single" w:color="000000" w:sz="8" w:space="0"/>
              <w:right w:val="single" w:color="000000" w:sz="8" w:space="0"/>
            </w:tcBorders>
            <w:vAlign w:val="center"/>
          </w:tcPr>
          <w:p w14:paraId="70E3CC61">
            <w:pPr>
              <w:pStyle w:val="445"/>
            </w:pPr>
            <w:r>
              <w:rPr>
                <w:rFonts w:hint="eastAsia"/>
              </w:rPr>
              <w:t>评价等级与范围</w:t>
            </w:r>
          </w:p>
        </w:tc>
        <w:tc>
          <w:tcPr>
            <w:tcW w:w="406" w:type="pct"/>
            <w:tcBorders>
              <w:top w:val="single" w:color="000000" w:sz="8" w:space="0"/>
              <w:left w:val="nil"/>
              <w:bottom w:val="single" w:color="000000" w:sz="8" w:space="0"/>
              <w:right w:val="single" w:color="000000" w:sz="8" w:space="0"/>
            </w:tcBorders>
            <w:vAlign w:val="center"/>
          </w:tcPr>
          <w:p w14:paraId="6E24A896">
            <w:pPr>
              <w:pStyle w:val="445"/>
            </w:pPr>
            <w:r>
              <w:rPr>
                <w:rFonts w:hint="eastAsia"/>
              </w:rPr>
              <w:t>评价等级</w:t>
            </w:r>
          </w:p>
        </w:tc>
        <w:tc>
          <w:tcPr>
            <w:tcW w:w="1905" w:type="pct"/>
            <w:gridSpan w:val="4"/>
            <w:tcBorders>
              <w:top w:val="single" w:color="000000" w:sz="8" w:space="0"/>
              <w:left w:val="nil"/>
              <w:bottom w:val="single" w:color="000000" w:sz="8" w:space="0"/>
              <w:right w:val="single" w:color="000000" w:sz="8" w:space="0"/>
            </w:tcBorders>
            <w:vAlign w:val="center"/>
          </w:tcPr>
          <w:p w14:paraId="0F646C5F">
            <w:pPr>
              <w:pStyle w:val="445"/>
            </w:pPr>
            <w:r>
              <w:rPr>
                <w:rFonts w:hint="eastAsia"/>
              </w:rPr>
              <w:t>一级</w:t>
            </w:r>
            <w:r>
              <w:rPr>
                <w:rFonts w:ascii="Wingdings 2" w:hAnsi="Wingdings 2" w:cs="宋体"/>
              </w:rPr>
              <w:t></w:t>
            </w:r>
          </w:p>
        </w:tc>
        <w:tc>
          <w:tcPr>
            <w:tcW w:w="1314" w:type="pct"/>
            <w:gridSpan w:val="2"/>
            <w:tcBorders>
              <w:top w:val="single" w:color="000000" w:sz="8" w:space="0"/>
              <w:left w:val="nil"/>
              <w:bottom w:val="single" w:color="000000" w:sz="8" w:space="0"/>
              <w:right w:val="single" w:color="000000" w:sz="8" w:space="0"/>
            </w:tcBorders>
            <w:vAlign w:val="center"/>
          </w:tcPr>
          <w:p w14:paraId="1A9E1EF4">
            <w:pPr>
              <w:pStyle w:val="445"/>
            </w:pPr>
            <w:r>
              <w:rPr>
                <w:rFonts w:hint="eastAsia"/>
              </w:rPr>
              <w:t>二级□</w:t>
            </w:r>
          </w:p>
        </w:tc>
        <w:tc>
          <w:tcPr>
            <w:tcW w:w="982" w:type="pct"/>
            <w:gridSpan w:val="2"/>
            <w:tcBorders>
              <w:top w:val="single" w:color="000000" w:sz="8" w:space="0"/>
              <w:left w:val="nil"/>
              <w:bottom w:val="single" w:color="000000" w:sz="8" w:space="0"/>
              <w:right w:val="nil"/>
            </w:tcBorders>
            <w:vAlign w:val="center"/>
          </w:tcPr>
          <w:p w14:paraId="3F163116">
            <w:pPr>
              <w:pStyle w:val="445"/>
            </w:pPr>
            <w:r>
              <w:rPr>
                <w:rFonts w:hint="eastAsia"/>
              </w:rPr>
              <w:t>三级□</w:t>
            </w:r>
          </w:p>
        </w:tc>
      </w:tr>
      <w:tr w14:paraId="7F72B5B6">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single" w:color="000000" w:sz="8" w:space="0"/>
              <w:right w:val="single" w:color="000000" w:sz="8" w:space="0"/>
            </w:tcBorders>
            <w:vAlign w:val="center"/>
          </w:tcPr>
          <w:p w14:paraId="4D4A3C42">
            <w:pPr>
              <w:pStyle w:val="445"/>
            </w:pPr>
          </w:p>
        </w:tc>
        <w:tc>
          <w:tcPr>
            <w:tcW w:w="406" w:type="pct"/>
            <w:tcBorders>
              <w:top w:val="single" w:color="000000" w:sz="8" w:space="0"/>
              <w:left w:val="nil"/>
              <w:bottom w:val="single" w:color="000000" w:sz="8" w:space="0"/>
              <w:right w:val="single" w:color="000000" w:sz="8" w:space="0"/>
            </w:tcBorders>
            <w:vAlign w:val="center"/>
          </w:tcPr>
          <w:p w14:paraId="33F6A10B">
            <w:pPr>
              <w:pStyle w:val="445"/>
            </w:pPr>
            <w:r>
              <w:rPr>
                <w:rFonts w:hint="eastAsia"/>
              </w:rPr>
              <w:t>评价范围</w:t>
            </w:r>
          </w:p>
        </w:tc>
        <w:tc>
          <w:tcPr>
            <w:tcW w:w="1905" w:type="pct"/>
            <w:gridSpan w:val="4"/>
            <w:tcBorders>
              <w:top w:val="single" w:color="000000" w:sz="8" w:space="0"/>
              <w:left w:val="nil"/>
              <w:bottom w:val="single" w:color="000000" w:sz="8" w:space="0"/>
              <w:right w:val="single" w:color="000000" w:sz="8" w:space="0"/>
            </w:tcBorders>
            <w:vAlign w:val="center"/>
          </w:tcPr>
          <w:p w14:paraId="178D0082">
            <w:pPr>
              <w:pStyle w:val="445"/>
            </w:pPr>
            <w:r>
              <w:rPr>
                <w:rFonts w:hint="eastAsia"/>
              </w:rPr>
              <w:t>边长</w:t>
            </w:r>
            <w:r>
              <w:t>=50km</w:t>
            </w:r>
            <w:r>
              <w:rPr>
                <w:rFonts w:hint="eastAsia"/>
              </w:rPr>
              <w:t>□</w:t>
            </w:r>
          </w:p>
        </w:tc>
        <w:tc>
          <w:tcPr>
            <w:tcW w:w="1314" w:type="pct"/>
            <w:gridSpan w:val="2"/>
            <w:tcBorders>
              <w:top w:val="single" w:color="000000" w:sz="8" w:space="0"/>
              <w:left w:val="nil"/>
              <w:bottom w:val="single" w:color="000000" w:sz="8" w:space="0"/>
              <w:right w:val="single" w:color="000000" w:sz="8" w:space="0"/>
            </w:tcBorders>
            <w:vAlign w:val="center"/>
          </w:tcPr>
          <w:p w14:paraId="17594914">
            <w:pPr>
              <w:pStyle w:val="445"/>
            </w:pPr>
            <w:r>
              <w:rPr>
                <w:rFonts w:hint="eastAsia"/>
              </w:rPr>
              <w:t>边长</w:t>
            </w:r>
            <w:r>
              <w:t>=5~50km</w:t>
            </w:r>
            <w:r>
              <w:rPr>
                <w:rFonts w:hint="eastAsia"/>
              </w:rPr>
              <w:t>□</w:t>
            </w:r>
          </w:p>
        </w:tc>
        <w:tc>
          <w:tcPr>
            <w:tcW w:w="982" w:type="pct"/>
            <w:gridSpan w:val="2"/>
            <w:tcBorders>
              <w:top w:val="single" w:color="000000" w:sz="8" w:space="0"/>
              <w:left w:val="nil"/>
              <w:bottom w:val="single" w:color="000000" w:sz="8" w:space="0"/>
              <w:right w:val="nil"/>
            </w:tcBorders>
            <w:vAlign w:val="center"/>
          </w:tcPr>
          <w:p w14:paraId="5755538A">
            <w:pPr>
              <w:pStyle w:val="445"/>
            </w:pPr>
            <w:r>
              <w:rPr>
                <w:rFonts w:hint="eastAsia"/>
              </w:rPr>
              <w:t>边长</w:t>
            </w:r>
            <w:r>
              <w:t>=5km</w:t>
            </w:r>
            <w:r>
              <w:rPr>
                <w:rFonts w:ascii="Wingdings 2" w:hAnsi="Wingdings 2" w:cs="宋体"/>
              </w:rPr>
              <w:t></w:t>
            </w:r>
          </w:p>
        </w:tc>
      </w:tr>
      <w:tr w14:paraId="682B0C68">
        <w:tblPrEx>
          <w:tblCellMar>
            <w:top w:w="0" w:type="dxa"/>
            <w:left w:w="108" w:type="dxa"/>
            <w:bottom w:w="0" w:type="dxa"/>
            <w:right w:w="108" w:type="dxa"/>
          </w:tblCellMar>
        </w:tblPrEx>
        <w:trPr>
          <w:trHeight w:val="679" w:hRule="atLeast"/>
          <w:jc w:val="center"/>
        </w:trPr>
        <w:tc>
          <w:tcPr>
            <w:tcW w:w="393" w:type="pct"/>
            <w:vMerge w:val="restart"/>
            <w:tcBorders>
              <w:top w:val="nil"/>
              <w:left w:val="nil"/>
              <w:bottom w:val="single" w:color="000000" w:sz="8" w:space="0"/>
              <w:right w:val="single" w:color="000000" w:sz="8" w:space="0"/>
            </w:tcBorders>
            <w:vAlign w:val="center"/>
          </w:tcPr>
          <w:p w14:paraId="6EB20C7D">
            <w:pPr>
              <w:pStyle w:val="445"/>
            </w:pPr>
            <w:r>
              <w:rPr>
                <w:rFonts w:hint="eastAsia"/>
              </w:rPr>
              <w:t>评价因子</w:t>
            </w:r>
          </w:p>
        </w:tc>
        <w:tc>
          <w:tcPr>
            <w:tcW w:w="406" w:type="pct"/>
            <w:tcBorders>
              <w:top w:val="single" w:color="000000" w:sz="8" w:space="0"/>
              <w:left w:val="nil"/>
              <w:bottom w:val="single" w:color="000000" w:sz="8" w:space="0"/>
              <w:right w:val="single" w:color="000000" w:sz="8" w:space="0"/>
            </w:tcBorders>
            <w:vAlign w:val="center"/>
          </w:tcPr>
          <w:p w14:paraId="3F95FD8A">
            <w:pPr>
              <w:pStyle w:val="445"/>
            </w:pPr>
            <w:r>
              <w:t>SO</w:t>
            </w:r>
            <w:r>
              <w:rPr>
                <w:vertAlign w:val="subscript"/>
              </w:rPr>
              <w:t>2</w:t>
            </w:r>
            <w:r>
              <w:t>+NO</w:t>
            </w:r>
            <w:r>
              <w:rPr>
                <w:vertAlign w:val="subscript"/>
              </w:rPr>
              <w:t>X</w:t>
            </w:r>
            <w:r>
              <w:rPr>
                <w:rFonts w:hint="eastAsia"/>
              </w:rPr>
              <w:t>排放量</w:t>
            </w:r>
          </w:p>
        </w:tc>
        <w:tc>
          <w:tcPr>
            <w:tcW w:w="1133" w:type="pct"/>
            <w:gridSpan w:val="3"/>
            <w:tcBorders>
              <w:top w:val="single" w:color="000000" w:sz="8" w:space="0"/>
              <w:left w:val="nil"/>
              <w:bottom w:val="single" w:color="000000" w:sz="8" w:space="0"/>
              <w:right w:val="single" w:color="000000" w:sz="8" w:space="0"/>
            </w:tcBorders>
            <w:vAlign w:val="center"/>
          </w:tcPr>
          <w:p w14:paraId="782C60C9">
            <w:pPr>
              <w:pStyle w:val="445"/>
            </w:pPr>
            <w:r>
              <w:rPr>
                <w:rFonts w:hint="eastAsia"/>
              </w:rPr>
              <w:t>≥</w:t>
            </w:r>
            <w:r>
              <w:t>2000t/a</w:t>
            </w:r>
            <w:r>
              <w:rPr>
                <w:rFonts w:hint="eastAsia"/>
              </w:rPr>
              <w:t>□</w:t>
            </w:r>
          </w:p>
        </w:tc>
        <w:tc>
          <w:tcPr>
            <w:tcW w:w="772" w:type="pct"/>
            <w:tcBorders>
              <w:top w:val="single" w:color="000000" w:sz="8" w:space="0"/>
              <w:left w:val="nil"/>
              <w:bottom w:val="single" w:color="000000" w:sz="8" w:space="0"/>
              <w:right w:val="single" w:color="000000" w:sz="8" w:space="0"/>
            </w:tcBorders>
            <w:vAlign w:val="center"/>
          </w:tcPr>
          <w:p w14:paraId="5989EE10">
            <w:pPr>
              <w:pStyle w:val="445"/>
            </w:pPr>
            <w:r>
              <w:t>500~2000t/a</w:t>
            </w:r>
            <w:r>
              <w:rPr>
                <w:rFonts w:hint="eastAsia"/>
              </w:rPr>
              <w:t>□</w:t>
            </w:r>
          </w:p>
        </w:tc>
        <w:tc>
          <w:tcPr>
            <w:tcW w:w="2296" w:type="pct"/>
            <w:gridSpan w:val="4"/>
            <w:tcBorders>
              <w:top w:val="single" w:color="000000" w:sz="8" w:space="0"/>
              <w:left w:val="nil"/>
              <w:bottom w:val="single" w:color="000000" w:sz="8" w:space="0"/>
              <w:right w:val="nil"/>
            </w:tcBorders>
            <w:vAlign w:val="center"/>
          </w:tcPr>
          <w:p w14:paraId="1B7EBD26">
            <w:pPr>
              <w:pStyle w:val="445"/>
            </w:pPr>
            <w:r>
              <w:t>&lt;500t/a</w:t>
            </w:r>
            <w:r>
              <w:rPr>
                <w:rFonts w:ascii="Wingdings 2" w:hAnsi="Wingdings 2" w:cs="宋体"/>
              </w:rPr>
              <w:t></w:t>
            </w:r>
          </w:p>
        </w:tc>
      </w:tr>
      <w:tr w14:paraId="56A88500">
        <w:tblPrEx>
          <w:tblCellMar>
            <w:top w:w="0" w:type="dxa"/>
            <w:left w:w="108" w:type="dxa"/>
            <w:bottom w:w="0" w:type="dxa"/>
            <w:right w:w="108" w:type="dxa"/>
          </w:tblCellMar>
        </w:tblPrEx>
        <w:trPr>
          <w:trHeight w:val="735" w:hRule="atLeast"/>
          <w:jc w:val="center"/>
        </w:trPr>
        <w:tc>
          <w:tcPr>
            <w:tcW w:w="0" w:type="auto"/>
            <w:vMerge w:val="continue"/>
            <w:tcBorders>
              <w:top w:val="nil"/>
              <w:left w:val="nil"/>
              <w:bottom w:val="single" w:color="000000" w:sz="8" w:space="0"/>
              <w:right w:val="single" w:color="000000" w:sz="8" w:space="0"/>
            </w:tcBorders>
            <w:vAlign w:val="center"/>
          </w:tcPr>
          <w:p w14:paraId="5687D50F">
            <w:pPr>
              <w:pStyle w:val="445"/>
            </w:pPr>
          </w:p>
        </w:tc>
        <w:tc>
          <w:tcPr>
            <w:tcW w:w="406" w:type="pct"/>
            <w:vMerge w:val="restart"/>
            <w:tcBorders>
              <w:top w:val="nil"/>
              <w:left w:val="nil"/>
              <w:bottom w:val="single" w:color="000000" w:sz="8" w:space="0"/>
              <w:right w:val="single" w:color="000000" w:sz="8" w:space="0"/>
            </w:tcBorders>
            <w:vAlign w:val="center"/>
          </w:tcPr>
          <w:p w14:paraId="34059424">
            <w:pPr>
              <w:pStyle w:val="445"/>
            </w:pPr>
            <w:r>
              <w:rPr>
                <w:rFonts w:hint="eastAsia"/>
              </w:rPr>
              <w:t>评价因子</w:t>
            </w:r>
          </w:p>
        </w:tc>
        <w:tc>
          <w:tcPr>
            <w:tcW w:w="1905" w:type="pct"/>
            <w:gridSpan w:val="4"/>
            <w:tcBorders>
              <w:top w:val="single" w:color="000000" w:sz="8" w:space="0"/>
              <w:left w:val="nil"/>
              <w:bottom w:val="single" w:color="000000" w:sz="8" w:space="0"/>
              <w:right w:val="single" w:color="000000" w:sz="8" w:space="0"/>
            </w:tcBorders>
            <w:vAlign w:val="center"/>
          </w:tcPr>
          <w:p w14:paraId="5510EDF0">
            <w:pPr>
              <w:pStyle w:val="445"/>
            </w:pPr>
            <w:r>
              <w:rPr>
                <w:rFonts w:hint="eastAsia"/>
              </w:rPr>
              <w:t>基本污染物（</w:t>
            </w:r>
            <w:r>
              <w:t>SO</w:t>
            </w:r>
            <w:r>
              <w:rPr>
                <w:vertAlign w:val="subscript"/>
              </w:rPr>
              <w:t>2</w:t>
            </w:r>
            <w:r>
              <w:rPr>
                <w:rFonts w:hint="eastAsia"/>
              </w:rPr>
              <w:t>、</w:t>
            </w:r>
            <w:r>
              <w:t>NO</w:t>
            </w:r>
            <w:r>
              <w:rPr>
                <w:vertAlign w:val="subscript"/>
              </w:rPr>
              <w:t>2</w:t>
            </w:r>
            <w:r>
              <w:rPr>
                <w:rFonts w:hint="eastAsia"/>
              </w:rPr>
              <w:t>、</w:t>
            </w:r>
            <w:r>
              <w:t>PM</w:t>
            </w:r>
            <w:r>
              <w:rPr>
                <w:vertAlign w:val="subscript"/>
              </w:rPr>
              <w:t>10</w:t>
            </w:r>
            <w:r>
              <w:rPr>
                <w:rFonts w:hint="eastAsia"/>
              </w:rPr>
              <w:t>、</w:t>
            </w:r>
            <w:r>
              <w:t>PM</w:t>
            </w:r>
            <w:r>
              <w:rPr>
                <w:vertAlign w:val="subscript"/>
              </w:rPr>
              <w:t>2.5</w:t>
            </w:r>
            <w:r>
              <w:rPr>
                <w:rFonts w:hint="eastAsia"/>
              </w:rPr>
              <w:t>）</w:t>
            </w:r>
          </w:p>
        </w:tc>
        <w:tc>
          <w:tcPr>
            <w:tcW w:w="2296" w:type="pct"/>
            <w:gridSpan w:val="4"/>
            <w:tcBorders>
              <w:top w:val="single" w:color="000000" w:sz="8" w:space="0"/>
              <w:left w:val="nil"/>
              <w:bottom w:val="single" w:color="000000" w:sz="8" w:space="0"/>
              <w:right w:val="nil"/>
            </w:tcBorders>
            <w:vAlign w:val="center"/>
          </w:tcPr>
          <w:p w14:paraId="0584E742">
            <w:pPr>
              <w:pStyle w:val="445"/>
            </w:pPr>
            <w:r>
              <w:rPr>
                <w:rFonts w:hint="eastAsia"/>
              </w:rPr>
              <w:t>包括二次</w:t>
            </w:r>
            <w:r>
              <w:t>PM</w:t>
            </w:r>
            <w:r>
              <w:rPr>
                <w:vertAlign w:val="subscript"/>
              </w:rPr>
              <w:t>2.5</w:t>
            </w:r>
            <w:r>
              <w:rPr>
                <w:rFonts w:hint="eastAsia"/>
              </w:rPr>
              <w:t>□</w:t>
            </w:r>
          </w:p>
        </w:tc>
      </w:tr>
      <w:tr w14:paraId="1396CD38">
        <w:tblPrEx>
          <w:tblCellMar>
            <w:top w:w="0" w:type="dxa"/>
            <w:left w:w="108" w:type="dxa"/>
            <w:bottom w:w="0" w:type="dxa"/>
            <w:right w:w="108" w:type="dxa"/>
          </w:tblCellMar>
        </w:tblPrEx>
        <w:trPr>
          <w:trHeight w:val="375" w:hRule="atLeast"/>
          <w:jc w:val="center"/>
        </w:trPr>
        <w:tc>
          <w:tcPr>
            <w:tcW w:w="0" w:type="auto"/>
            <w:vMerge w:val="continue"/>
            <w:tcBorders>
              <w:top w:val="nil"/>
              <w:left w:val="nil"/>
              <w:bottom w:val="single" w:color="000000" w:sz="8" w:space="0"/>
              <w:right w:val="single" w:color="000000" w:sz="8" w:space="0"/>
            </w:tcBorders>
            <w:vAlign w:val="center"/>
          </w:tcPr>
          <w:p w14:paraId="1A03296B">
            <w:pPr>
              <w:pStyle w:val="445"/>
            </w:pPr>
          </w:p>
        </w:tc>
        <w:tc>
          <w:tcPr>
            <w:tcW w:w="0" w:type="auto"/>
            <w:vMerge w:val="continue"/>
            <w:tcBorders>
              <w:top w:val="nil"/>
              <w:left w:val="nil"/>
              <w:bottom w:val="single" w:color="000000" w:sz="8" w:space="0"/>
              <w:right w:val="single" w:color="000000" w:sz="8" w:space="0"/>
            </w:tcBorders>
            <w:vAlign w:val="center"/>
          </w:tcPr>
          <w:p w14:paraId="0658AE3D">
            <w:pPr>
              <w:pStyle w:val="445"/>
            </w:pPr>
          </w:p>
        </w:tc>
        <w:tc>
          <w:tcPr>
            <w:tcW w:w="1905" w:type="pct"/>
            <w:gridSpan w:val="4"/>
            <w:tcBorders>
              <w:top w:val="single" w:color="000000" w:sz="8" w:space="0"/>
              <w:left w:val="nil"/>
              <w:bottom w:val="single" w:color="000000" w:sz="8" w:space="0"/>
              <w:right w:val="single" w:color="000000" w:sz="8" w:space="0"/>
            </w:tcBorders>
            <w:vAlign w:val="center"/>
          </w:tcPr>
          <w:p w14:paraId="13210EC3">
            <w:pPr>
              <w:pStyle w:val="445"/>
            </w:pPr>
            <w:r>
              <w:rPr>
                <w:rFonts w:hint="eastAsia"/>
              </w:rPr>
              <w:t>其他污染物（</w:t>
            </w:r>
            <w:r>
              <w:t>HCl、</w:t>
            </w:r>
            <w:r>
              <w:rPr>
                <w:rFonts w:hint="eastAsia"/>
              </w:rPr>
              <w:t>H</w:t>
            </w:r>
            <w:r>
              <w:t>F、</w:t>
            </w:r>
            <w:r>
              <w:rPr>
                <w:rFonts w:hint="eastAsia"/>
              </w:rPr>
              <w:t>NH</w:t>
            </w:r>
            <w:r>
              <w:rPr>
                <w:vertAlign w:val="subscript"/>
              </w:rPr>
              <w:t>3</w:t>
            </w:r>
            <w:r>
              <w:rPr>
                <w:rFonts w:hint="eastAsia"/>
              </w:rPr>
              <w:t>、</w:t>
            </w:r>
            <w:r>
              <w:t>甲醇和</w:t>
            </w:r>
            <w:r>
              <w:rPr>
                <w:rFonts w:hint="eastAsia"/>
              </w:rPr>
              <w:t>V</w:t>
            </w:r>
            <w:r>
              <w:t>OC</w:t>
            </w:r>
            <w:r>
              <w:rPr>
                <w:rFonts w:hint="eastAsia"/>
              </w:rPr>
              <w:t>s）</w:t>
            </w:r>
          </w:p>
        </w:tc>
        <w:tc>
          <w:tcPr>
            <w:tcW w:w="2296" w:type="pct"/>
            <w:gridSpan w:val="4"/>
            <w:tcBorders>
              <w:top w:val="single" w:color="000000" w:sz="8" w:space="0"/>
              <w:left w:val="nil"/>
              <w:bottom w:val="single" w:color="000000" w:sz="8" w:space="0"/>
              <w:right w:val="nil"/>
            </w:tcBorders>
            <w:vAlign w:val="center"/>
          </w:tcPr>
          <w:p w14:paraId="764015F2">
            <w:pPr>
              <w:pStyle w:val="445"/>
            </w:pPr>
            <w:r>
              <w:rPr>
                <w:rFonts w:hint="eastAsia"/>
              </w:rPr>
              <w:t>不包括二次</w:t>
            </w:r>
            <w:r>
              <w:t>PM</w:t>
            </w:r>
            <w:r>
              <w:rPr>
                <w:vertAlign w:val="subscript"/>
              </w:rPr>
              <w:t>2.5</w:t>
            </w:r>
            <w:r>
              <w:rPr>
                <w:rFonts w:ascii="Wingdings 2" w:hAnsi="Wingdings 2" w:cs="宋体"/>
              </w:rPr>
              <w:t></w:t>
            </w:r>
          </w:p>
        </w:tc>
      </w:tr>
      <w:tr w14:paraId="5A7CC08C">
        <w:tblPrEx>
          <w:tblCellMar>
            <w:top w:w="0" w:type="dxa"/>
            <w:left w:w="108" w:type="dxa"/>
            <w:bottom w:w="0" w:type="dxa"/>
            <w:right w:w="108" w:type="dxa"/>
          </w:tblCellMar>
        </w:tblPrEx>
        <w:trPr>
          <w:trHeight w:val="330" w:hRule="atLeast"/>
          <w:jc w:val="center"/>
        </w:trPr>
        <w:tc>
          <w:tcPr>
            <w:tcW w:w="393" w:type="pct"/>
            <w:tcBorders>
              <w:top w:val="single" w:color="000000" w:sz="8" w:space="0"/>
              <w:left w:val="nil"/>
              <w:bottom w:val="single" w:color="000000" w:sz="8" w:space="0"/>
              <w:right w:val="single" w:color="000000" w:sz="8" w:space="0"/>
            </w:tcBorders>
            <w:vAlign w:val="center"/>
          </w:tcPr>
          <w:p w14:paraId="1B4B8AD4">
            <w:pPr>
              <w:pStyle w:val="445"/>
            </w:pPr>
            <w:r>
              <w:rPr>
                <w:rFonts w:hint="eastAsia"/>
              </w:rPr>
              <w:t>评价标准</w:t>
            </w:r>
          </w:p>
        </w:tc>
        <w:tc>
          <w:tcPr>
            <w:tcW w:w="406" w:type="pct"/>
            <w:tcBorders>
              <w:top w:val="single" w:color="000000" w:sz="8" w:space="0"/>
              <w:left w:val="nil"/>
              <w:bottom w:val="single" w:color="000000" w:sz="8" w:space="0"/>
              <w:right w:val="single" w:color="000000" w:sz="8" w:space="0"/>
            </w:tcBorders>
            <w:vAlign w:val="center"/>
          </w:tcPr>
          <w:p w14:paraId="3C19A44F">
            <w:pPr>
              <w:pStyle w:val="445"/>
            </w:pPr>
            <w:r>
              <w:rPr>
                <w:rFonts w:hint="eastAsia"/>
              </w:rPr>
              <w:t>评价标准</w:t>
            </w:r>
          </w:p>
        </w:tc>
        <w:tc>
          <w:tcPr>
            <w:tcW w:w="934" w:type="pct"/>
            <w:gridSpan w:val="2"/>
            <w:tcBorders>
              <w:top w:val="single" w:color="000000" w:sz="8" w:space="0"/>
              <w:left w:val="nil"/>
              <w:bottom w:val="single" w:color="000000" w:sz="8" w:space="0"/>
              <w:right w:val="single" w:color="000000" w:sz="8" w:space="0"/>
            </w:tcBorders>
            <w:vAlign w:val="center"/>
          </w:tcPr>
          <w:p w14:paraId="3EC13481">
            <w:pPr>
              <w:pStyle w:val="445"/>
            </w:pPr>
            <w:r>
              <w:rPr>
                <w:rFonts w:hint="eastAsia"/>
              </w:rPr>
              <w:t>国家标准</w:t>
            </w:r>
            <w:r>
              <w:rPr>
                <w:rFonts w:ascii="Wingdings 2" w:hAnsi="Wingdings 2" w:cs="宋体"/>
              </w:rPr>
              <w:t></w:t>
            </w:r>
          </w:p>
        </w:tc>
        <w:tc>
          <w:tcPr>
            <w:tcW w:w="970" w:type="pct"/>
            <w:gridSpan w:val="2"/>
            <w:tcBorders>
              <w:top w:val="single" w:color="000000" w:sz="8" w:space="0"/>
              <w:left w:val="nil"/>
              <w:bottom w:val="single" w:color="000000" w:sz="8" w:space="0"/>
              <w:right w:val="single" w:color="000000" w:sz="8" w:space="0"/>
            </w:tcBorders>
            <w:vAlign w:val="center"/>
          </w:tcPr>
          <w:p w14:paraId="15080F7C">
            <w:pPr>
              <w:pStyle w:val="445"/>
            </w:pPr>
            <w:r>
              <w:rPr>
                <w:rFonts w:hint="eastAsia"/>
              </w:rPr>
              <w:t>地方标准□</w:t>
            </w:r>
          </w:p>
        </w:tc>
        <w:tc>
          <w:tcPr>
            <w:tcW w:w="1314" w:type="pct"/>
            <w:gridSpan w:val="2"/>
            <w:tcBorders>
              <w:top w:val="single" w:color="000000" w:sz="8" w:space="0"/>
              <w:left w:val="nil"/>
              <w:bottom w:val="single" w:color="000000" w:sz="8" w:space="0"/>
              <w:right w:val="single" w:color="000000" w:sz="8" w:space="0"/>
            </w:tcBorders>
            <w:vAlign w:val="center"/>
          </w:tcPr>
          <w:p w14:paraId="7146BA9F">
            <w:pPr>
              <w:pStyle w:val="445"/>
            </w:pPr>
            <w:r>
              <w:rPr>
                <w:rFonts w:hint="eastAsia"/>
              </w:rPr>
              <w:t>附录</w:t>
            </w:r>
            <w:r>
              <w:t>D</w:t>
            </w:r>
            <w:r>
              <w:rPr>
                <w:rFonts w:ascii="Wingdings 2" w:hAnsi="Wingdings 2" w:cs="宋体"/>
              </w:rPr>
              <w:t></w:t>
            </w:r>
          </w:p>
        </w:tc>
        <w:tc>
          <w:tcPr>
            <w:tcW w:w="982" w:type="pct"/>
            <w:gridSpan w:val="2"/>
            <w:tcBorders>
              <w:top w:val="single" w:color="000000" w:sz="8" w:space="0"/>
              <w:left w:val="nil"/>
              <w:bottom w:val="single" w:color="000000" w:sz="8" w:space="0"/>
              <w:right w:val="nil"/>
            </w:tcBorders>
            <w:vAlign w:val="center"/>
          </w:tcPr>
          <w:p w14:paraId="417256E7">
            <w:pPr>
              <w:pStyle w:val="445"/>
            </w:pPr>
            <w:r>
              <w:rPr>
                <w:rFonts w:hint="eastAsia"/>
              </w:rPr>
              <w:t>其他标准□</w:t>
            </w:r>
          </w:p>
        </w:tc>
      </w:tr>
      <w:tr w14:paraId="1A70CEA3">
        <w:tblPrEx>
          <w:tblCellMar>
            <w:top w:w="0" w:type="dxa"/>
            <w:left w:w="108" w:type="dxa"/>
            <w:bottom w:w="0" w:type="dxa"/>
            <w:right w:w="108" w:type="dxa"/>
          </w:tblCellMar>
        </w:tblPrEx>
        <w:trPr>
          <w:trHeight w:val="608" w:hRule="atLeast"/>
          <w:jc w:val="center"/>
        </w:trPr>
        <w:tc>
          <w:tcPr>
            <w:tcW w:w="393" w:type="pct"/>
            <w:vMerge w:val="restart"/>
            <w:tcBorders>
              <w:top w:val="nil"/>
              <w:left w:val="nil"/>
              <w:bottom w:val="single" w:color="000000" w:sz="8" w:space="0"/>
              <w:right w:val="single" w:color="000000" w:sz="8" w:space="0"/>
            </w:tcBorders>
            <w:vAlign w:val="center"/>
          </w:tcPr>
          <w:p w14:paraId="7EF39286">
            <w:pPr>
              <w:pStyle w:val="445"/>
            </w:pPr>
            <w:r>
              <w:rPr>
                <w:rFonts w:hint="eastAsia"/>
              </w:rPr>
              <w:t>现状评价</w:t>
            </w:r>
          </w:p>
        </w:tc>
        <w:tc>
          <w:tcPr>
            <w:tcW w:w="406" w:type="pct"/>
            <w:tcBorders>
              <w:top w:val="single" w:color="000000" w:sz="8" w:space="0"/>
              <w:left w:val="nil"/>
              <w:bottom w:val="single" w:color="000000" w:sz="8" w:space="0"/>
              <w:right w:val="single" w:color="000000" w:sz="8" w:space="0"/>
            </w:tcBorders>
            <w:vAlign w:val="center"/>
          </w:tcPr>
          <w:p w14:paraId="61490C73">
            <w:pPr>
              <w:pStyle w:val="445"/>
            </w:pPr>
            <w:r>
              <w:rPr>
                <w:rFonts w:hint="eastAsia"/>
              </w:rPr>
              <w:t>评价功能区</w:t>
            </w:r>
          </w:p>
        </w:tc>
        <w:tc>
          <w:tcPr>
            <w:tcW w:w="1905" w:type="pct"/>
            <w:gridSpan w:val="4"/>
            <w:tcBorders>
              <w:top w:val="single" w:color="000000" w:sz="8" w:space="0"/>
              <w:left w:val="nil"/>
              <w:bottom w:val="single" w:color="000000" w:sz="8" w:space="0"/>
              <w:right w:val="single" w:color="000000" w:sz="8" w:space="0"/>
            </w:tcBorders>
            <w:vAlign w:val="center"/>
          </w:tcPr>
          <w:p w14:paraId="4A6F75AA">
            <w:pPr>
              <w:pStyle w:val="445"/>
            </w:pPr>
            <w:r>
              <w:rPr>
                <w:rFonts w:hint="eastAsia"/>
              </w:rPr>
              <w:t>一类区□</w:t>
            </w:r>
          </w:p>
        </w:tc>
        <w:tc>
          <w:tcPr>
            <w:tcW w:w="1314" w:type="pct"/>
            <w:gridSpan w:val="2"/>
            <w:tcBorders>
              <w:top w:val="single" w:color="000000" w:sz="8" w:space="0"/>
              <w:left w:val="nil"/>
              <w:bottom w:val="single" w:color="000000" w:sz="8" w:space="0"/>
              <w:right w:val="single" w:color="000000" w:sz="8" w:space="0"/>
            </w:tcBorders>
            <w:vAlign w:val="center"/>
          </w:tcPr>
          <w:p w14:paraId="3101C517">
            <w:pPr>
              <w:pStyle w:val="445"/>
            </w:pPr>
            <w:r>
              <w:rPr>
                <w:rFonts w:hint="eastAsia"/>
              </w:rPr>
              <w:t>二类区</w:t>
            </w:r>
            <w:r>
              <w:rPr>
                <w:rFonts w:ascii="Wingdings 2" w:hAnsi="Wingdings 2" w:cs="宋体"/>
              </w:rPr>
              <w:t></w:t>
            </w:r>
          </w:p>
        </w:tc>
        <w:tc>
          <w:tcPr>
            <w:tcW w:w="982" w:type="pct"/>
            <w:gridSpan w:val="2"/>
            <w:tcBorders>
              <w:top w:val="single" w:color="000000" w:sz="8" w:space="0"/>
              <w:left w:val="nil"/>
              <w:bottom w:val="single" w:color="000000" w:sz="8" w:space="0"/>
              <w:right w:val="nil"/>
            </w:tcBorders>
            <w:vAlign w:val="center"/>
          </w:tcPr>
          <w:p w14:paraId="2BF2BE07">
            <w:pPr>
              <w:pStyle w:val="445"/>
            </w:pPr>
            <w:r>
              <w:rPr>
                <w:rFonts w:hint="eastAsia"/>
              </w:rPr>
              <w:t>一类区和二类区□</w:t>
            </w:r>
          </w:p>
        </w:tc>
      </w:tr>
      <w:tr w14:paraId="4B72BB37">
        <w:tblPrEx>
          <w:tblCellMar>
            <w:top w:w="0" w:type="dxa"/>
            <w:left w:w="108" w:type="dxa"/>
            <w:bottom w:w="0" w:type="dxa"/>
            <w:right w:w="108" w:type="dxa"/>
          </w:tblCellMar>
        </w:tblPrEx>
        <w:trPr>
          <w:trHeight w:val="608" w:hRule="atLeast"/>
          <w:jc w:val="center"/>
        </w:trPr>
        <w:tc>
          <w:tcPr>
            <w:tcW w:w="0" w:type="auto"/>
            <w:vMerge w:val="continue"/>
            <w:tcBorders>
              <w:top w:val="nil"/>
              <w:left w:val="nil"/>
              <w:bottom w:val="single" w:color="000000" w:sz="8" w:space="0"/>
              <w:right w:val="single" w:color="000000" w:sz="8" w:space="0"/>
            </w:tcBorders>
            <w:vAlign w:val="center"/>
          </w:tcPr>
          <w:p w14:paraId="74B4109D">
            <w:pPr>
              <w:pStyle w:val="445"/>
            </w:pPr>
          </w:p>
        </w:tc>
        <w:tc>
          <w:tcPr>
            <w:tcW w:w="406" w:type="pct"/>
            <w:tcBorders>
              <w:top w:val="single" w:color="000000" w:sz="8" w:space="0"/>
              <w:left w:val="nil"/>
              <w:bottom w:val="single" w:color="000000" w:sz="8" w:space="0"/>
              <w:right w:val="single" w:color="000000" w:sz="8" w:space="0"/>
            </w:tcBorders>
            <w:vAlign w:val="center"/>
          </w:tcPr>
          <w:p w14:paraId="3AEE493A">
            <w:pPr>
              <w:pStyle w:val="445"/>
            </w:pPr>
            <w:r>
              <w:rPr>
                <w:rFonts w:hint="eastAsia"/>
              </w:rPr>
              <w:t>评价基准年</w:t>
            </w:r>
          </w:p>
        </w:tc>
        <w:tc>
          <w:tcPr>
            <w:tcW w:w="4201" w:type="pct"/>
            <w:gridSpan w:val="8"/>
            <w:tcBorders>
              <w:top w:val="single" w:color="000000" w:sz="8" w:space="0"/>
              <w:left w:val="nil"/>
              <w:bottom w:val="single" w:color="000000" w:sz="8" w:space="0"/>
              <w:right w:val="nil"/>
            </w:tcBorders>
            <w:vAlign w:val="center"/>
          </w:tcPr>
          <w:p w14:paraId="627C0904">
            <w:pPr>
              <w:pStyle w:val="445"/>
            </w:pPr>
            <w:r>
              <w:rPr>
                <w:rFonts w:hint="eastAsia"/>
              </w:rPr>
              <w:t>（</w:t>
            </w:r>
            <w:r>
              <w:t>2020</w:t>
            </w:r>
            <w:r>
              <w:rPr>
                <w:rFonts w:hint="eastAsia"/>
              </w:rPr>
              <w:t>）年</w:t>
            </w:r>
          </w:p>
        </w:tc>
      </w:tr>
      <w:tr w14:paraId="02E43D99">
        <w:tblPrEx>
          <w:tblCellMar>
            <w:top w:w="0" w:type="dxa"/>
            <w:left w:w="108" w:type="dxa"/>
            <w:bottom w:w="0" w:type="dxa"/>
            <w:right w:w="108" w:type="dxa"/>
          </w:tblCellMar>
        </w:tblPrEx>
        <w:trPr>
          <w:trHeight w:val="1182" w:hRule="atLeast"/>
          <w:jc w:val="center"/>
        </w:trPr>
        <w:tc>
          <w:tcPr>
            <w:tcW w:w="0" w:type="auto"/>
            <w:vMerge w:val="continue"/>
            <w:tcBorders>
              <w:top w:val="nil"/>
              <w:left w:val="nil"/>
              <w:bottom w:val="single" w:color="000000" w:sz="8" w:space="0"/>
              <w:right w:val="single" w:color="000000" w:sz="8" w:space="0"/>
            </w:tcBorders>
            <w:vAlign w:val="center"/>
          </w:tcPr>
          <w:p w14:paraId="0B8501E1">
            <w:pPr>
              <w:pStyle w:val="445"/>
            </w:pPr>
          </w:p>
        </w:tc>
        <w:tc>
          <w:tcPr>
            <w:tcW w:w="406" w:type="pct"/>
            <w:tcBorders>
              <w:top w:val="single" w:color="000000" w:sz="8" w:space="0"/>
              <w:left w:val="nil"/>
              <w:bottom w:val="single" w:color="000000" w:sz="8" w:space="0"/>
              <w:right w:val="single" w:color="000000" w:sz="8" w:space="0"/>
            </w:tcBorders>
            <w:vAlign w:val="center"/>
          </w:tcPr>
          <w:p w14:paraId="08A5C080">
            <w:pPr>
              <w:pStyle w:val="445"/>
            </w:pPr>
            <w:r>
              <w:rPr>
                <w:rFonts w:hint="eastAsia"/>
              </w:rPr>
              <w:t>环境空气质量现状调查数据来源</w:t>
            </w:r>
          </w:p>
        </w:tc>
        <w:tc>
          <w:tcPr>
            <w:tcW w:w="1905" w:type="pct"/>
            <w:gridSpan w:val="4"/>
            <w:tcBorders>
              <w:top w:val="single" w:color="000000" w:sz="8" w:space="0"/>
              <w:left w:val="nil"/>
              <w:bottom w:val="single" w:color="000000" w:sz="8" w:space="0"/>
              <w:right w:val="single" w:color="000000" w:sz="8" w:space="0"/>
            </w:tcBorders>
            <w:vAlign w:val="center"/>
          </w:tcPr>
          <w:p w14:paraId="59D6A4F9">
            <w:pPr>
              <w:pStyle w:val="445"/>
            </w:pPr>
            <w:r>
              <w:rPr>
                <w:rFonts w:hint="eastAsia"/>
              </w:rPr>
              <w:t>长期例行监测数据□</w:t>
            </w:r>
          </w:p>
        </w:tc>
        <w:tc>
          <w:tcPr>
            <w:tcW w:w="1314" w:type="pct"/>
            <w:gridSpan w:val="2"/>
            <w:tcBorders>
              <w:top w:val="single" w:color="000000" w:sz="8" w:space="0"/>
              <w:left w:val="nil"/>
              <w:bottom w:val="single" w:color="000000" w:sz="8" w:space="0"/>
              <w:right w:val="single" w:color="000000" w:sz="8" w:space="0"/>
            </w:tcBorders>
            <w:vAlign w:val="center"/>
          </w:tcPr>
          <w:p w14:paraId="1A83C052">
            <w:pPr>
              <w:pStyle w:val="445"/>
            </w:pPr>
            <w:r>
              <w:rPr>
                <w:rFonts w:hint="eastAsia"/>
              </w:rPr>
              <w:t>主管部门发布的数据</w:t>
            </w:r>
            <w:r>
              <w:rPr>
                <w:rFonts w:ascii="Wingdings 2" w:hAnsi="Wingdings 2" w:cs="宋体"/>
              </w:rPr>
              <w:t></w:t>
            </w:r>
          </w:p>
        </w:tc>
        <w:tc>
          <w:tcPr>
            <w:tcW w:w="982" w:type="pct"/>
            <w:gridSpan w:val="2"/>
            <w:tcBorders>
              <w:top w:val="single" w:color="000000" w:sz="8" w:space="0"/>
              <w:left w:val="nil"/>
              <w:bottom w:val="single" w:color="000000" w:sz="8" w:space="0"/>
              <w:right w:val="nil"/>
            </w:tcBorders>
            <w:vAlign w:val="center"/>
          </w:tcPr>
          <w:p w14:paraId="4B75D7CA">
            <w:pPr>
              <w:pStyle w:val="445"/>
            </w:pPr>
            <w:r>
              <w:rPr>
                <w:rFonts w:hint="eastAsia"/>
              </w:rPr>
              <w:t>现状补充检测</w:t>
            </w:r>
            <w:r>
              <w:rPr>
                <w:rFonts w:ascii="Wingdings 2" w:hAnsi="Wingdings 2" w:cs="宋体"/>
              </w:rPr>
              <w:t></w:t>
            </w:r>
          </w:p>
        </w:tc>
      </w:tr>
      <w:tr w14:paraId="1BC7A9C6">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single" w:color="000000" w:sz="8" w:space="0"/>
              <w:right w:val="single" w:color="000000" w:sz="8" w:space="0"/>
            </w:tcBorders>
            <w:vAlign w:val="center"/>
          </w:tcPr>
          <w:p w14:paraId="091BC890">
            <w:pPr>
              <w:pStyle w:val="445"/>
            </w:pPr>
          </w:p>
        </w:tc>
        <w:tc>
          <w:tcPr>
            <w:tcW w:w="406" w:type="pct"/>
            <w:tcBorders>
              <w:top w:val="single" w:color="000000" w:sz="8" w:space="0"/>
              <w:left w:val="nil"/>
              <w:bottom w:val="single" w:color="000000" w:sz="8" w:space="0"/>
              <w:right w:val="single" w:color="000000" w:sz="8" w:space="0"/>
            </w:tcBorders>
            <w:vAlign w:val="center"/>
          </w:tcPr>
          <w:p w14:paraId="09E9F5B7">
            <w:pPr>
              <w:pStyle w:val="445"/>
            </w:pPr>
            <w:r>
              <w:rPr>
                <w:rFonts w:hint="eastAsia"/>
              </w:rPr>
              <w:t>现状评价</w:t>
            </w:r>
          </w:p>
        </w:tc>
        <w:tc>
          <w:tcPr>
            <w:tcW w:w="1905" w:type="pct"/>
            <w:gridSpan w:val="4"/>
            <w:tcBorders>
              <w:top w:val="single" w:color="000000" w:sz="8" w:space="0"/>
              <w:left w:val="nil"/>
              <w:bottom w:val="single" w:color="000000" w:sz="8" w:space="0"/>
              <w:right w:val="single" w:color="000000" w:sz="8" w:space="0"/>
            </w:tcBorders>
            <w:vAlign w:val="center"/>
          </w:tcPr>
          <w:p w14:paraId="6F8416D4">
            <w:pPr>
              <w:pStyle w:val="445"/>
            </w:pPr>
            <w:r>
              <w:rPr>
                <w:rFonts w:hint="eastAsia"/>
              </w:rPr>
              <w:t>达标区□</w:t>
            </w:r>
          </w:p>
        </w:tc>
        <w:tc>
          <w:tcPr>
            <w:tcW w:w="2296" w:type="pct"/>
            <w:gridSpan w:val="4"/>
            <w:tcBorders>
              <w:top w:val="single" w:color="000000" w:sz="8" w:space="0"/>
              <w:left w:val="nil"/>
              <w:bottom w:val="single" w:color="000000" w:sz="8" w:space="0"/>
              <w:right w:val="nil"/>
            </w:tcBorders>
            <w:vAlign w:val="center"/>
          </w:tcPr>
          <w:p w14:paraId="396CBE27">
            <w:pPr>
              <w:pStyle w:val="445"/>
            </w:pPr>
            <w:r>
              <w:rPr>
                <w:rFonts w:hint="eastAsia"/>
              </w:rPr>
              <w:t>不达标区</w:t>
            </w:r>
            <w:r>
              <w:rPr>
                <w:rFonts w:ascii="Wingdings 2" w:hAnsi="Wingdings 2" w:cs="宋体"/>
              </w:rPr>
              <w:t></w:t>
            </w:r>
          </w:p>
        </w:tc>
      </w:tr>
      <w:tr w14:paraId="60788C2E">
        <w:tblPrEx>
          <w:tblCellMar>
            <w:top w:w="0" w:type="dxa"/>
            <w:left w:w="108" w:type="dxa"/>
            <w:bottom w:w="0" w:type="dxa"/>
            <w:right w:w="108" w:type="dxa"/>
          </w:tblCellMar>
        </w:tblPrEx>
        <w:trPr>
          <w:trHeight w:val="563" w:hRule="atLeast"/>
          <w:jc w:val="center"/>
        </w:trPr>
        <w:tc>
          <w:tcPr>
            <w:tcW w:w="393" w:type="pct"/>
            <w:vMerge w:val="restart"/>
            <w:tcBorders>
              <w:top w:val="nil"/>
              <w:left w:val="nil"/>
              <w:bottom w:val="single" w:color="000000" w:sz="8" w:space="0"/>
              <w:right w:val="single" w:color="000000" w:sz="8" w:space="0"/>
            </w:tcBorders>
            <w:vAlign w:val="center"/>
          </w:tcPr>
          <w:p w14:paraId="55C8CEF8">
            <w:pPr>
              <w:pStyle w:val="445"/>
            </w:pPr>
            <w:r>
              <w:rPr>
                <w:rFonts w:hint="eastAsia"/>
              </w:rPr>
              <w:t>污染源调查</w:t>
            </w:r>
          </w:p>
        </w:tc>
        <w:tc>
          <w:tcPr>
            <w:tcW w:w="406" w:type="pct"/>
            <w:vMerge w:val="restart"/>
            <w:tcBorders>
              <w:top w:val="nil"/>
              <w:left w:val="nil"/>
              <w:bottom w:val="single" w:color="000000" w:sz="8" w:space="0"/>
              <w:right w:val="single" w:color="000000" w:sz="8" w:space="0"/>
            </w:tcBorders>
            <w:vAlign w:val="center"/>
          </w:tcPr>
          <w:p w14:paraId="13B8E939">
            <w:pPr>
              <w:pStyle w:val="445"/>
            </w:pPr>
            <w:r>
              <w:rPr>
                <w:rFonts w:hint="eastAsia"/>
              </w:rPr>
              <w:t>调查内容</w:t>
            </w:r>
          </w:p>
        </w:tc>
        <w:tc>
          <w:tcPr>
            <w:tcW w:w="934" w:type="pct"/>
            <w:gridSpan w:val="2"/>
            <w:tcBorders>
              <w:top w:val="single" w:color="000000" w:sz="8" w:space="0"/>
              <w:left w:val="nil"/>
              <w:bottom w:val="single" w:color="000000" w:sz="8" w:space="0"/>
              <w:right w:val="single" w:color="000000" w:sz="8" w:space="0"/>
            </w:tcBorders>
            <w:vAlign w:val="center"/>
          </w:tcPr>
          <w:p w14:paraId="37D7DD1D">
            <w:pPr>
              <w:pStyle w:val="445"/>
            </w:pPr>
            <w:r>
              <w:rPr>
                <w:rFonts w:hint="eastAsia"/>
              </w:rPr>
              <w:t>本项目正常排放源</w:t>
            </w:r>
            <w:r>
              <w:rPr>
                <w:rFonts w:ascii="Wingdings 2" w:hAnsi="Wingdings 2" w:cs="宋体"/>
              </w:rPr>
              <w:t></w:t>
            </w:r>
          </w:p>
        </w:tc>
        <w:tc>
          <w:tcPr>
            <w:tcW w:w="970" w:type="pct"/>
            <w:gridSpan w:val="2"/>
            <w:vMerge w:val="restart"/>
            <w:tcBorders>
              <w:top w:val="nil"/>
              <w:left w:val="nil"/>
              <w:bottom w:val="single" w:color="000000" w:sz="8" w:space="0"/>
              <w:right w:val="single" w:color="000000" w:sz="8" w:space="0"/>
            </w:tcBorders>
            <w:vAlign w:val="center"/>
          </w:tcPr>
          <w:p w14:paraId="6F4A7E38">
            <w:pPr>
              <w:pStyle w:val="445"/>
            </w:pPr>
            <w:r>
              <w:rPr>
                <w:rFonts w:hint="eastAsia"/>
              </w:rPr>
              <w:t>拟替代的污染源</w:t>
            </w:r>
            <w:r>
              <w:rPr>
                <w:rFonts w:ascii="Wingdings 2" w:hAnsi="Wingdings 2" w:cs="宋体"/>
              </w:rPr>
              <w:t></w:t>
            </w:r>
          </w:p>
        </w:tc>
        <w:tc>
          <w:tcPr>
            <w:tcW w:w="1314" w:type="pct"/>
            <w:gridSpan w:val="2"/>
            <w:vMerge w:val="restart"/>
            <w:tcBorders>
              <w:top w:val="single" w:color="000000" w:sz="8" w:space="0"/>
              <w:left w:val="nil"/>
              <w:bottom w:val="single" w:color="000000" w:sz="8" w:space="0"/>
              <w:right w:val="single" w:color="000000" w:sz="8" w:space="0"/>
            </w:tcBorders>
            <w:vAlign w:val="center"/>
          </w:tcPr>
          <w:p w14:paraId="17D91EA3">
            <w:pPr>
              <w:pStyle w:val="445"/>
            </w:pPr>
            <w:r>
              <w:rPr>
                <w:rFonts w:hint="eastAsia"/>
              </w:rPr>
              <w:t>其他在建、新建项目污染源</w:t>
            </w:r>
            <w:r>
              <w:rPr>
                <w:rFonts w:ascii="Wingdings 2" w:hAnsi="Wingdings 2" w:cs="宋体"/>
              </w:rPr>
              <w:t></w:t>
            </w:r>
          </w:p>
        </w:tc>
        <w:tc>
          <w:tcPr>
            <w:tcW w:w="982" w:type="pct"/>
            <w:gridSpan w:val="2"/>
            <w:vMerge w:val="restart"/>
            <w:tcBorders>
              <w:top w:val="single" w:color="000000" w:sz="8" w:space="0"/>
              <w:left w:val="nil"/>
              <w:bottom w:val="single" w:color="000000" w:sz="8" w:space="0"/>
              <w:right w:val="nil"/>
            </w:tcBorders>
            <w:vAlign w:val="center"/>
          </w:tcPr>
          <w:p w14:paraId="7F790317">
            <w:pPr>
              <w:pStyle w:val="445"/>
            </w:pPr>
            <w:r>
              <w:rPr>
                <w:rFonts w:hint="eastAsia"/>
              </w:rPr>
              <w:t>区域污染源</w:t>
            </w:r>
            <w:r>
              <w:rPr>
                <w:rFonts w:ascii="Wingdings 2" w:hAnsi="Wingdings 2" w:cs="宋体"/>
              </w:rPr>
              <w:t></w:t>
            </w:r>
          </w:p>
        </w:tc>
      </w:tr>
      <w:tr w14:paraId="5E14BBE7">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single" w:color="000000" w:sz="8" w:space="0"/>
              <w:right w:val="single" w:color="000000" w:sz="8" w:space="0"/>
            </w:tcBorders>
            <w:vAlign w:val="center"/>
          </w:tcPr>
          <w:p w14:paraId="0BA6A03F">
            <w:pPr>
              <w:pStyle w:val="445"/>
            </w:pPr>
          </w:p>
        </w:tc>
        <w:tc>
          <w:tcPr>
            <w:tcW w:w="0" w:type="auto"/>
            <w:vMerge w:val="continue"/>
            <w:tcBorders>
              <w:top w:val="nil"/>
              <w:left w:val="nil"/>
              <w:bottom w:val="single" w:color="000000" w:sz="8" w:space="0"/>
              <w:right w:val="single" w:color="000000" w:sz="8" w:space="0"/>
            </w:tcBorders>
            <w:vAlign w:val="center"/>
          </w:tcPr>
          <w:p w14:paraId="125E5B12">
            <w:pPr>
              <w:pStyle w:val="445"/>
            </w:pPr>
          </w:p>
        </w:tc>
        <w:tc>
          <w:tcPr>
            <w:tcW w:w="934" w:type="pct"/>
            <w:gridSpan w:val="2"/>
            <w:tcBorders>
              <w:top w:val="single" w:color="000000" w:sz="8" w:space="0"/>
              <w:left w:val="nil"/>
              <w:bottom w:val="single" w:color="000000" w:sz="8" w:space="0"/>
              <w:right w:val="single" w:color="000000" w:sz="8" w:space="0"/>
            </w:tcBorders>
            <w:vAlign w:val="center"/>
          </w:tcPr>
          <w:p w14:paraId="48D86E45">
            <w:pPr>
              <w:pStyle w:val="445"/>
            </w:pPr>
            <w:r>
              <w:rPr>
                <w:rFonts w:hint="eastAsia"/>
              </w:rPr>
              <w:t>本项目非正常排放源</w:t>
            </w:r>
            <w:r>
              <w:rPr>
                <w:rFonts w:ascii="Wingdings 2" w:hAnsi="Wingdings 2" w:cs="宋体"/>
              </w:rPr>
              <w:t></w:t>
            </w:r>
          </w:p>
        </w:tc>
        <w:tc>
          <w:tcPr>
            <w:tcW w:w="0" w:type="auto"/>
            <w:gridSpan w:val="2"/>
            <w:vMerge w:val="continue"/>
            <w:tcBorders>
              <w:top w:val="nil"/>
              <w:left w:val="nil"/>
              <w:bottom w:val="single" w:color="000000" w:sz="8" w:space="0"/>
              <w:right w:val="single" w:color="000000" w:sz="8" w:space="0"/>
            </w:tcBorders>
            <w:vAlign w:val="center"/>
          </w:tcPr>
          <w:p w14:paraId="320B37C4">
            <w:pPr>
              <w:pStyle w:val="445"/>
            </w:pPr>
          </w:p>
        </w:tc>
        <w:tc>
          <w:tcPr>
            <w:tcW w:w="0" w:type="auto"/>
            <w:gridSpan w:val="2"/>
            <w:vMerge w:val="continue"/>
            <w:tcBorders>
              <w:top w:val="single" w:color="000000" w:sz="8" w:space="0"/>
              <w:left w:val="nil"/>
              <w:bottom w:val="single" w:color="000000" w:sz="8" w:space="0"/>
              <w:right w:val="single" w:color="000000" w:sz="8" w:space="0"/>
            </w:tcBorders>
            <w:vAlign w:val="center"/>
          </w:tcPr>
          <w:p w14:paraId="736726DA">
            <w:pPr>
              <w:pStyle w:val="445"/>
            </w:pPr>
          </w:p>
        </w:tc>
        <w:tc>
          <w:tcPr>
            <w:tcW w:w="0" w:type="auto"/>
            <w:gridSpan w:val="2"/>
            <w:vMerge w:val="continue"/>
            <w:tcBorders>
              <w:top w:val="single" w:color="000000" w:sz="8" w:space="0"/>
              <w:left w:val="nil"/>
              <w:bottom w:val="single" w:color="000000" w:sz="8" w:space="0"/>
              <w:right w:val="nil"/>
            </w:tcBorders>
            <w:vAlign w:val="center"/>
          </w:tcPr>
          <w:p w14:paraId="574A726E">
            <w:pPr>
              <w:pStyle w:val="445"/>
            </w:pPr>
          </w:p>
        </w:tc>
      </w:tr>
      <w:tr w14:paraId="75250C38">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single" w:color="000000" w:sz="8" w:space="0"/>
              <w:right w:val="single" w:color="000000" w:sz="8" w:space="0"/>
            </w:tcBorders>
            <w:vAlign w:val="center"/>
          </w:tcPr>
          <w:p w14:paraId="5C7973DE">
            <w:pPr>
              <w:pStyle w:val="445"/>
            </w:pPr>
          </w:p>
        </w:tc>
        <w:tc>
          <w:tcPr>
            <w:tcW w:w="0" w:type="auto"/>
            <w:vMerge w:val="continue"/>
            <w:tcBorders>
              <w:top w:val="nil"/>
              <w:left w:val="nil"/>
              <w:bottom w:val="single" w:color="000000" w:sz="8" w:space="0"/>
              <w:right w:val="single" w:color="000000" w:sz="8" w:space="0"/>
            </w:tcBorders>
            <w:vAlign w:val="center"/>
          </w:tcPr>
          <w:p w14:paraId="3A5EFB84">
            <w:pPr>
              <w:pStyle w:val="445"/>
            </w:pPr>
          </w:p>
        </w:tc>
        <w:tc>
          <w:tcPr>
            <w:tcW w:w="934" w:type="pct"/>
            <w:gridSpan w:val="2"/>
            <w:tcBorders>
              <w:top w:val="single" w:color="000000" w:sz="8" w:space="0"/>
              <w:left w:val="nil"/>
              <w:bottom w:val="single" w:color="000000" w:sz="8" w:space="0"/>
              <w:right w:val="single" w:color="000000" w:sz="8" w:space="0"/>
            </w:tcBorders>
            <w:vAlign w:val="center"/>
          </w:tcPr>
          <w:p w14:paraId="68E3D80F">
            <w:pPr>
              <w:pStyle w:val="445"/>
            </w:pPr>
            <w:r>
              <w:rPr>
                <w:rFonts w:hint="eastAsia"/>
              </w:rPr>
              <w:t>现有污染源</w:t>
            </w:r>
            <w:r>
              <w:rPr>
                <w:rFonts w:ascii="Wingdings 2" w:hAnsi="Wingdings 2" w:cs="宋体"/>
              </w:rPr>
              <w:t></w:t>
            </w:r>
          </w:p>
        </w:tc>
        <w:tc>
          <w:tcPr>
            <w:tcW w:w="0" w:type="auto"/>
            <w:gridSpan w:val="2"/>
            <w:vMerge w:val="continue"/>
            <w:tcBorders>
              <w:top w:val="nil"/>
              <w:left w:val="nil"/>
              <w:bottom w:val="single" w:color="000000" w:sz="8" w:space="0"/>
              <w:right w:val="single" w:color="000000" w:sz="8" w:space="0"/>
            </w:tcBorders>
            <w:vAlign w:val="center"/>
          </w:tcPr>
          <w:p w14:paraId="07E4A0E1">
            <w:pPr>
              <w:pStyle w:val="445"/>
            </w:pPr>
          </w:p>
        </w:tc>
        <w:tc>
          <w:tcPr>
            <w:tcW w:w="0" w:type="auto"/>
            <w:gridSpan w:val="2"/>
            <w:vMerge w:val="continue"/>
            <w:tcBorders>
              <w:top w:val="single" w:color="000000" w:sz="8" w:space="0"/>
              <w:left w:val="nil"/>
              <w:bottom w:val="single" w:color="000000" w:sz="8" w:space="0"/>
              <w:right w:val="single" w:color="000000" w:sz="8" w:space="0"/>
            </w:tcBorders>
            <w:vAlign w:val="center"/>
          </w:tcPr>
          <w:p w14:paraId="68FC7AA7">
            <w:pPr>
              <w:pStyle w:val="445"/>
            </w:pPr>
          </w:p>
        </w:tc>
        <w:tc>
          <w:tcPr>
            <w:tcW w:w="0" w:type="auto"/>
            <w:gridSpan w:val="2"/>
            <w:vMerge w:val="continue"/>
            <w:tcBorders>
              <w:top w:val="single" w:color="000000" w:sz="8" w:space="0"/>
              <w:left w:val="nil"/>
              <w:bottom w:val="single" w:color="000000" w:sz="8" w:space="0"/>
              <w:right w:val="nil"/>
            </w:tcBorders>
            <w:vAlign w:val="center"/>
          </w:tcPr>
          <w:p w14:paraId="38FA4B3C">
            <w:pPr>
              <w:pStyle w:val="445"/>
            </w:pPr>
          </w:p>
        </w:tc>
      </w:tr>
      <w:tr w14:paraId="6299DEA2">
        <w:tblPrEx>
          <w:tblCellMar>
            <w:top w:w="0" w:type="dxa"/>
            <w:left w:w="108" w:type="dxa"/>
            <w:bottom w:w="0" w:type="dxa"/>
            <w:right w:w="108" w:type="dxa"/>
          </w:tblCellMar>
        </w:tblPrEx>
        <w:trPr>
          <w:trHeight w:val="893" w:hRule="atLeast"/>
          <w:jc w:val="center"/>
        </w:trPr>
        <w:tc>
          <w:tcPr>
            <w:tcW w:w="393" w:type="pct"/>
            <w:vMerge w:val="restart"/>
            <w:tcBorders>
              <w:top w:val="nil"/>
              <w:left w:val="nil"/>
              <w:bottom w:val="nil"/>
              <w:right w:val="single" w:color="000000" w:sz="8" w:space="0"/>
            </w:tcBorders>
            <w:vAlign w:val="center"/>
          </w:tcPr>
          <w:p w14:paraId="2952AEDD">
            <w:pPr>
              <w:pStyle w:val="445"/>
            </w:pPr>
            <w:r>
              <w:rPr>
                <w:rFonts w:hint="eastAsia"/>
              </w:rPr>
              <w:t>大气环境影响预测与评价</w:t>
            </w:r>
          </w:p>
        </w:tc>
        <w:tc>
          <w:tcPr>
            <w:tcW w:w="406" w:type="pct"/>
            <w:tcBorders>
              <w:top w:val="single" w:color="000000" w:sz="8" w:space="0"/>
              <w:left w:val="nil"/>
              <w:bottom w:val="single" w:color="000000" w:sz="8" w:space="0"/>
              <w:right w:val="single" w:color="000000" w:sz="8" w:space="0"/>
            </w:tcBorders>
            <w:vAlign w:val="center"/>
          </w:tcPr>
          <w:p w14:paraId="640B2B20">
            <w:pPr>
              <w:pStyle w:val="445"/>
            </w:pPr>
            <w:r>
              <w:rPr>
                <w:rFonts w:hint="eastAsia"/>
              </w:rPr>
              <w:t>预测模型</w:t>
            </w:r>
          </w:p>
        </w:tc>
        <w:tc>
          <w:tcPr>
            <w:tcW w:w="700" w:type="pct"/>
            <w:tcBorders>
              <w:top w:val="single" w:color="000000" w:sz="8" w:space="0"/>
              <w:left w:val="nil"/>
              <w:bottom w:val="single" w:color="000000" w:sz="8" w:space="0"/>
              <w:right w:val="single" w:color="000000" w:sz="8" w:space="0"/>
            </w:tcBorders>
            <w:vAlign w:val="center"/>
          </w:tcPr>
          <w:p w14:paraId="1B825879">
            <w:pPr>
              <w:pStyle w:val="445"/>
            </w:pPr>
            <w:r>
              <w:t>AERMOD</w:t>
            </w:r>
            <w:r>
              <w:rPr>
                <w:rFonts w:ascii="Wingdings 2" w:hAnsi="Wingdings 2" w:cs="宋体"/>
              </w:rPr>
              <w:t></w:t>
            </w:r>
          </w:p>
        </w:tc>
        <w:tc>
          <w:tcPr>
            <w:tcW w:w="434" w:type="pct"/>
            <w:gridSpan w:val="2"/>
            <w:tcBorders>
              <w:top w:val="single" w:color="000000" w:sz="8" w:space="0"/>
              <w:left w:val="nil"/>
              <w:bottom w:val="single" w:color="000000" w:sz="8" w:space="0"/>
              <w:right w:val="single" w:color="000000" w:sz="8" w:space="0"/>
            </w:tcBorders>
            <w:vAlign w:val="center"/>
          </w:tcPr>
          <w:p w14:paraId="7288D85F">
            <w:pPr>
              <w:pStyle w:val="445"/>
            </w:pPr>
            <w:r>
              <w:t>ADMS</w:t>
            </w:r>
            <w:r>
              <w:rPr>
                <w:rFonts w:hint="eastAsia"/>
              </w:rPr>
              <w:t>□</w:t>
            </w:r>
          </w:p>
        </w:tc>
        <w:tc>
          <w:tcPr>
            <w:tcW w:w="772" w:type="pct"/>
            <w:tcBorders>
              <w:top w:val="single" w:color="000000" w:sz="8" w:space="0"/>
              <w:left w:val="nil"/>
              <w:bottom w:val="single" w:color="000000" w:sz="8" w:space="0"/>
              <w:right w:val="single" w:color="000000" w:sz="8" w:space="0"/>
            </w:tcBorders>
            <w:vAlign w:val="center"/>
          </w:tcPr>
          <w:p w14:paraId="06E19A1E">
            <w:pPr>
              <w:pStyle w:val="445"/>
            </w:pPr>
            <w:r>
              <w:t>AUSTAL2000</w:t>
            </w:r>
            <w:r>
              <w:rPr>
                <w:rFonts w:hint="eastAsia"/>
              </w:rPr>
              <w:t>□</w:t>
            </w:r>
          </w:p>
        </w:tc>
        <w:tc>
          <w:tcPr>
            <w:tcW w:w="757" w:type="pct"/>
            <w:tcBorders>
              <w:top w:val="single" w:color="000000" w:sz="8" w:space="0"/>
              <w:left w:val="nil"/>
              <w:bottom w:val="single" w:color="000000" w:sz="8" w:space="0"/>
              <w:right w:val="single" w:color="000000" w:sz="8" w:space="0"/>
            </w:tcBorders>
            <w:vAlign w:val="center"/>
          </w:tcPr>
          <w:p w14:paraId="17E23011">
            <w:pPr>
              <w:pStyle w:val="445"/>
            </w:pPr>
            <w:r>
              <w:t>EDMS/AEDT</w:t>
            </w:r>
            <w:r>
              <w:rPr>
                <w:rFonts w:hint="eastAsia"/>
              </w:rPr>
              <w:t>□</w:t>
            </w:r>
          </w:p>
        </w:tc>
        <w:tc>
          <w:tcPr>
            <w:tcW w:w="558" w:type="pct"/>
            <w:tcBorders>
              <w:top w:val="single" w:color="000000" w:sz="8" w:space="0"/>
              <w:left w:val="nil"/>
              <w:bottom w:val="single" w:color="000000" w:sz="8" w:space="0"/>
              <w:right w:val="single" w:color="000000" w:sz="8" w:space="0"/>
            </w:tcBorders>
            <w:vAlign w:val="center"/>
          </w:tcPr>
          <w:p w14:paraId="5B5AB45F">
            <w:pPr>
              <w:pStyle w:val="445"/>
            </w:pPr>
            <w:r>
              <w:t>CALPUFF</w:t>
            </w:r>
            <w:r>
              <w:rPr>
                <w:rFonts w:hint="eastAsia"/>
              </w:rPr>
              <w:t>□</w:t>
            </w:r>
          </w:p>
        </w:tc>
        <w:tc>
          <w:tcPr>
            <w:tcW w:w="551" w:type="pct"/>
            <w:tcBorders>
              <w:top w:val="single" w:color="000000" w:sz="8" w:space="0"/>
              <w:left w:val="nil"/>
              <w:bottom w:val="single" w:color="000000" w:sz="8" w:space="0"/>
              <w:right w:val="single" w:color="000000" w:sz="8" w:space="0"/>
            </w:tcBorders>
            <w:vAlign w:val="center"/>
          </w:tcPr>
          <w:p w14:paraId="41C68331">
            <w:pPr>
              <w:pStyle w:val="445"/>
            </w:pPr>
            <w:r>
              <w:rPr>
                <w:rFonts w:hint="eastAsia"/>
              </w:rPr>
              <w:t>网格模型□</w:t>
            </w:r>
          </w:p>
        </w:tc>
        <w:tc>
          <w:tcPr>
            <w:tcW w:w="431" w:type="pct"/>
            <w:tcBorders>
              <w:top w:val="single" w:color="000000" w:sz="8" w:space="0"/>
              <w:left w:val="nil"/>
              <w:bottom w:val="single" w:color="000000" w:sz="8" w:space="0"/>
              <w:right w:val="nil"/>
            </w:tcBorders>
            <w:vAlign w:val="center"/>
          </w:tcPr>
          <w:p w14:paraId="77A3D11B">
            <w:pPr>
              <w:pStyle w:val="445"/>
            </w:pPr>
            <w:r>
              <w:rPr>
                <w:rFonts w:hint="eastAsia"/>
              </w:rPr>
              <w:t>其他□</w:t>
            </w:r>
          </w:p>
        </w:tc>
      </w:tr>
      <w:tr w14:paraId="359BD614">
        <w:tblPrEx>
          <w:tblCellMar>
            <w:top w:w="0" w:type="dxa"/>
            <w:left w:w="108" w:type="dxa"/>
            <w:bottom w:w="0" w:type="dxa"/>
            <w:right w:w="108" w:type="dxa"/>
          </w:tblCellMar>
        </w:tblPrEx>
        <w:trPr>
          <w:trHeight w:val="608" w:hRule="atLeast"/>
          <w:jc w:val="center"/>
        </w:trPr>
        <w:tc>
          <w:tcPr>
            <w:tcW w:w="0" w:type="auto"/>
            <w:vMerge w:val="continue"/>
            <w:tcBorders>
              <w:top w:val="nil"/>
              <w:left w:val="nil"/>
              <w:bottom w:val="nil"/>
              <w:right w:val="single" w:color="000000" w:sz="8" w:space="0"/>
            </w:tcBorders>
            <w:vAlign w:val="center"/>
          </w:tcPr>
          <w:p w14:paraId="43FEE75C">
            <w:pPr>
              <w:pStyle w:val="445"/>
            </w:pPr>
          </w:p>
        </w:tc>
        <w:tc>
          <w:tcPr>
            <w:tcW w:w="406" w:type="pct"/>
            <w:tcBorders>
              <w:top w:val="single" w:color="000000" w:sz="8" w:space="0"/>
              <w:left w:val="nil"/>
              <w:bottom w:val="single" w:color="000000" w:sz="8" w:space="0"/>
              <w:right w:val="single" w:color="000000" w:sz="8" w:space="0"/>
            </w:tcBorders>
            <w:vAlign w:val="center"/>
          </w:tcPr>
          <w:p w14:paraId="24FE8D97">
            <w:pPr>
              <w:pStyle w:val="445"/>
            </w:pPr>
            <w:r>
              <w:rPr>
                <w:rFonts w:hint="eastAsia"/>
              </w:rPr>
              <w:t>预测范围</w:t>
            </w:r>
          </w:p>
        </w:tc>
        <w:tc>
          <w:tcPr>
            <w:tcW w:w="1905" w:type="pct"/>
            <w:gridSpan w:val="4"/>
            <w:tcBorders>
              <w:top w:val="single" w:color="000000" w:sz="8" w:space="0"/>
              <w:left w:val="nil"/>
              <w:bottom w:val="single" w:color="000000" w:sz="8" w:space="0"/>
              <w:right w:val="single" w:color="000000" w:sz="8" w:space="0"/>
            </w:tcBorders>
            <w:vAlign w:val="center"/>
          </w:tcPr>
          <w:p w14:paraId="548A932D">
            <w:pPr>
              <w:pStyle w:val="445"/>
            </w:pPr>
            <w:r>
              <w:rPr>
                <w:rFonts w:hint="eastAsia"/>
              </w:rPr>
              <w:t>边长≥</w:t>
            </w:r>
            <w:r>
              <w:t>50km</w:t>
            </w:r>
            <w:r>
              <w:rPr>
                <w:rFonts w:hint="eastAsia"/>
              </w:rPr>
              <w:t>□</w:t>
            </w:r>
          </w:p>
        </w:tc>
        <w:tc>
          <w:tcPr>
            <w:tcW w:w="1314" w:type="pct"/>
            <w:gridSpan w:val="2"/>
            <w:tcBorders>
              <w:top w:val="single" w:color="000000" w:sz="8" w:space="0"/>
              <w:left w:val="nil"/>
              <w:bottom w:val="single" w:color="000000" w:sz="8" w:space="0"/>
              <w:right w:val="single" w:color="000000" w:sz="8" w:space="0"/>
            </w:tcBorders>
            <w:vAlign w:val="center"/>
          </w:tcPr>
          <w:p w14:paraId="633CFD76">
            <w:pPr>
              <w:pStyle w:val="445"/>
            </w:pPr>
            <w:r>
              <w:rPr>
                <w:rFonts w:hint="eastAsia"/>
              </w:rPr>
              <w:t>边长</w:t>
            </w:r>
            <w:r>
              <w:t>5~50km</w:t>
            </w:r>
            <w:r>
              <w:rPr>
                <w:rFonts w:hint="eastAsia"/>
              </w:rPr>
              <w:t>□</w:t>
            </w:r>
          </w:p>
        </w:tc>
        <w:tc>
          <w:tcPr>
            <w:tcW w:w="982" w:type="pct"/>
            <w:gridSpan w:val="2"/>
            <w:tcBorders>
              <w:top w:val="single" w:color="000000" w:sz="8" w:space="0"/>
              <w:left w:val="nil"/>
              <w:bottom w:val="single" w:color="000000" w:sz="8" w:space="0"/>
              <w:right w:val="nil"/>
            </w:tcBorders>
            <w:vAlign w:val="center"/>
          </w:tcPr>
          <w:p w14:paraId="35D48916">
            <w:pPr>
              <w:pStyle w:val="445"/>
            </w:pPr>
            <w:r>
              <w:rPr>
                <w:rFonts w:hint="eastAsia"/>
              </w:rPr>
              <w:t>边长</w:t>
            </w:r>
            <w:r>
              <w:t>=5km</w:t>
            </w:r>
            <w:r>
              <w:rPr>
                <w:rFonts w:ascii="Wingdings 2" w:hAnsi="Wingdings 2" w:cs="宋体"/>
              </w:rPr>
              <w:t></w:t>
            </w:r>
          </w:p>
        </w:tc>
      </w:tr>
      <w:tr w14:paraId="5A48631C">
        <w:tblPrEx>
          <w:tblCellMar>
            <w:top w:w="0" w:type="dxa"/>
            <w:left w:w="108" w:type="dxa"/>
            <w:bottom w:w="0" w:type="dxa"/>
            <w:right w:w="108" w:type="dxa"/>
          </w:tblCellMar>
        </w:tblPrEx>
        <w:trPr>
          <w:trHeight w:val="375" w:hRule="atLeast"/>
          <w:jc w:val="center"/>
        </w:trPr>
        <w:tc>
          <w:tcPr>
            <w:tcW w:w="0" w:type="auto"/>
            <w:vMerge w:val="continue"/>
            <w:tcBorders>
              <w:top w:val="nil"/>
              <w:left w:val="nil"/>
              <w:bottom w:val="nil"/>
              <w:right w:val="single" w:color="000000" w:sz="8" w:space="0"/>
            </w:tcBorders>
            <w:vAlign w:val="center"/>
          </w:tcPr>
          <w:p w14:paraId="367082E0">
            <w:pPr>
              <w:pStyle w:val="445"/>
            </w:pPr>
          </w:p>
        </w:tc>
        <w:tc>
          <w:tcPr>
            <w:tcW w:w="406" w:type="pct"/>
            <w:vMerge w:val="restart"/>
            <w:tcBorders>
              <w:top w:val="nil"/>
              <w:left w:val="nil"/>
              <w:bottom w:val="single" w:color="000000" w:sz="8" w:space="0"/>
              <w:right w:val="single" w:color="000000" w:sz="8" w:space="0"/>
            </w:tcBorders>
            <w:vAlign w:val="center"/>
          </w:tcPr>
          <w:p w14:paraId="15599B67">
            <w:pPr>
              <w:pStyle w:val="445"/>
            </w:pPr>
            <w:r>
              <w:rPr>
                <w:rFonts w:hint="eastAsia"/>
              </w:rPr>
              <w:t>预测因子</w:t>
            </w:r>
          </w:p>
        </w:tc>
        <w:tc>
          <w:tcPr>
            <w:tcW w:w="1905" w:type="pct"/>
            <w:gridSpan w:val="4"/>
            <w:vMerge w:val="restart"/>
            <w:tcBorders>
              <w:top w:val="nil"/>
              <w:left w:val="nil"/>
              <w:bottom w:val="single" w:color="000000" w:sz="8" w:space="0"/>
              <w:right w:val="single" w:color="000000" w:sz="8" w:space="0"/>
            </w:tcBorders>
            <w:vAlign w:val="center"/>
          </w:tcPr>
          <w:p w14:paraId="29AB7198">
            <w:pPr>
              <w:pStyle w:val="445"/>
            </w:pPr>
            <w:r>
              <w:rPr>
                <w:rFonts w:hint="eastAsia"/>
              </w:rPr>
              <w:t>预测因子（</w:t>
            </w:r>
            <w:r>
              <w:t>SO</w:t>
            </w:r>
            <w:r>
              <w:rPr>
                <w:vertAlign w:val="subscript"/>
              </w:rPr>
              <w:t>2</w:t>
            </w:r>
            <w:r>
              <w:rPr>
                <w:rFonts w:ascii="宋体" w:hAnsi="宋体"/>
              </w:rPr>
              <w:t>、</w:t>
            </w:r>
            <w:r>
              <w:rPr>
                <w:rFonts w:hint="eastAsia"/>
              </w:rPr>
              <w:t>NO</w:t>
            </w:r>
            <w:r>
              <w:rPr>
                <w:vertAlign w:val="subscript"/>
              </w:rPr>
              <w:t>x</w:t>
            </w:r>
            <w:r>
              <w:rPr>
                <w:rFonts w:hint="eastAsia" w:ascii="宋体" w:hAnsi="宋体"/>
              </w:rPr>
              <w:t>、</w:t>
            </w:r>
            <w:r>
              <w:t>PM</w:t>
            </w:r>
            <w:r>
              <w:rPr>
                <w:vertAlign w:val="subscript"/>
              </w:rPr>
              <w:t>10</w:t>
            </w:r>
            <w:r>
              <w:rPr>
                <w:rFonts w:ascii="宋体" w:hAnsi="宋体"/>
              </w:rPr>
              <w:t>、</w:t>
            </w:r>
            <w:r>
              <w:t>PM</w:t>
            </w:r>
            <w:r>
              <w:rPr>
                <w:vertAlign w:val="subscript"/>
              </w:rPr>
              <w:t>2.5</w:t>
            </w:r>
            <w:r>
              <w:rPr>
                <w:rFonts w:ascii="宋体" w:hAnsi="宋体"/>
              </w:rPr>
              <w:t>、</w:t>
            </w:r>
            <w:r>
              <w:rPr>
                <w:rFonts w:hint="eastAsia"/>
              </w:rPr>
              <w:t>甲醇</w:t>
            </w:r>
            <w:r>
              <w:rPr>
                <w:rFonts w:hint="eastAsia" w:ascii="宋体" w:hAnsi="宋体"/>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w:t>
            </w:r>
            <w:r>
              <w:rPr>
                <w:rFonts w:hint="eastAsia" w:cs="Times New Roman"/>
              </w:rPr>
              <w:t>非甲烷总烃</w:t>
            </w:r>
            <w:r>
              <w:rPr>
                <w:rFonts w:hint="eastAsia"/>
              </w:rPr>
              <w:t>）</w:t>
            </w:r>
          </w:p>
        </w:tc>
        <w:tc>
          <w:tcPr>
            <w:tcW w:w="2296" w:type="pct"/>
            <w:gridSpan w:val="4"/>
            <w:tcBorders>
              <w:top w:val="single" w:color="000000" w:sz="8" w:space="0"/>
              <w:left w:val="nil"/>
              <w:bottom w:val="single" w:color="000000" w:sz="8" w:space="0"/>
              <w:right w:val="nil"/>
            </w:tcBorders>
            <w:vAlign w:val="center"/>
          </w:tcPr>
          <w:p w14:paraId="3131B062">
            <w:pPr>
              <w:pStyle w:val="445"/>
            </w:pPr>
            <w:r>
              <w:rPr>
                <w:rFonts w:hint="eastAsia"/>
              </w:rPr>
              <w:t>包括二次</w:t>
            </w:r>
            <w:r>
              <w:t>PM</w:t>
            </w:r>
            <w:r>
              <w:rPr>
                <w:vertAlign w:val="subscript"/>
              </w:rPr>
              <w:t>2.5</w:t>
            </w:r>
            <w:r>
              <w:rPr>
                <w:rFonts w:hint="eastAsia"/>
              </w:rPr>
              <w:t>□</w:t>
            </w:r>
          </w:p>
        </w:tc>
      </w:tr>
      <w:tr w14:paraId="20677C80">
        <w:tblPrEx>
          <w:tblCellMar>
            <w:top w:w="0" w:type="dxa"/>
            <w:left w:w="108" w:type="dxa"/>
            <w:bottom w:w="0" w:type="dxa"/>
            <w:right w:w="108" w:type="dxa"/>
          </w:tblCellMar>
        </w:tblPrEx>
        <w:trPr>
          <w:trHeight w:val="375" w:hRule="atLeast"/>
          <w:jc w:val="center"/>
        </w:trPr>
        <w:tc>
          <w:tcPr>
            <w:tcW w:w="0" w:type="auto"/>
            <w:vMerge w:val="continue"/>
            <w:tcBorders>
              <w:top w:val="nil"/>
              <w:left w:val="nil"/>
              <w:bottom w:val="nil"/>
              <w:right w:val="single" w:color="000000" w:sz="8" w:space="0"/>
            </w:tcBorders>
            <w:vAlign w:val="center"/>
          </w:tcPr>
          <w:p w14:paraId="260F1C43">
            <w:pPr>
              <w:pStyle w:val="445"/>
            </w:pPr>
          </w:p>
        </w:tc>
        <w:tc>
          <w:tcPr>
            <w:tcW w:w="0" w:type="auto"/>
            <w:vMerge w:val="continue"/>
            <w:tcBorders>
              <w:top w:val="nil"/>
              <w:left w:val="nil"/>
              <w:bottom w:val="single" w:color="000000" w:sz="8" w:space="0"/>
              <w:right w:val="single" w:color="000000" w:sz="8" w:space="0"/>
            </w:tcBorders>
            <w:vAlign w:val="center"/>
          </w:tcPr>
          <w:p w14:paraId="2CBC102E">
            <w:pPr>
              <w:pStyle w:val="445"/>
            </w:pPr>
          </w:p>
        </w:tc>
        <w:tc>
          <w:tcPr>
            <w:tcW w:w="0" w:type="auto"/>
            <w:gridSpan w:val="4"/>
            <w:vMerge w:val="continue"/>
            <w:tcBorders>
              <w:top w:val="nil"/>
              <w:left w:val="nil"/>
              <w:bottom w:val="single" w:color="000000" w:sz="8" w:space="0"/>
              <w:right w:val="single" w:color="000000" w:sz="8" w:space="0"/>
            </w:tcBorders>
            <w:vAlign w:val="center"/>
          </w:tcPr>
          <w:p w14:paraId="45C58662">
            <w:pPr>
              <w:pStyle w:val="445"/>
            </w:pPr>
          </w:p>
        </w:tc>
        <w:tc>
          <w:tcPr>
            <w:tcW w:w="2296" w:type="pct"/>
            <w:gridSpan w:val="4"/>
            <w:tcBorders>
              <w:top w:val="single" w:color="000000" w:sz="8" w:space="0"/>
              <w:left w:val="nil"/>
              <w:bottom w:val="single" w:color="000000" w:sz="8" w:space="0"/>
              <w:right w:val="nil"/>
            </w:tcBorders>
            <w:vAlign w:val="center"/>
          </w:tcPr>
          <w:p w14:paraId="45C136FE">
            <w:pPr>
              <w:pStyle w:val="445"/>
            </w:pPr>
            <w:r>
              <w:rPr>
                <w:rFonts w:hint="eastAsia"/>
              </w:rPr>
              <w:t>不包括二次</w:t>
            </w:r>
            <w:r>
              <w:t>PM</w:t>
            </w:r>
            <w:r>
              <w:rPr>
                <w:vertAlign w:val="subscript"/>
              </w:rPr>
              <w:t>2.5</w:t>
            </w:r>
            <w:r>
              <w:rPr>
                <w:rFonts w:ascii="Wingdings 2" w:hAnsi="Wingdings 2" w:cs="宋体"/>
              </w:rPr>
              <w:t></w:t>
            </w:r>
          </w:p>
        </w:tc>
      </w:tr>
      <w:tr w14:paraId="6FF5C15A">
        <w:tblPrEx>
          <w:tblCellMar>
            <w:top w:w="0" w:type="dxa"/>
            <w:left w:w="108" w:type="dxa"/>
            <w:bottom w:w="0" w:type="dxa"/>
            <w:right w:w="108" w:type="dxa"/>
          </w:tblCellMar>
        </w:tblPrEx>
        <w:trPr>
          <w:trHeight w:val="893" w:hRule="atLeast"/>
          <w:jc w:val="center"/>
        </w:trPr>
        <w:tc>
          <w:tcPr>
            <w:tcW w:w="0" w:type="auto"/>
            <w:vMerge w:val="continue"/>
            <w:tcBorders>
              <w:top w:val="nil"/>
              <w:left w:val="nil"/>
              <w:bottom w:val="nil"/>
              <w:right w:val="single" w:color="000000" w:sz="8" w:space="0"/>
            </w:tcBorders>
            <w:vAlign w:val="center"/>
          </w:tcPr>
          <w:p w14:paraId="3D200641">
            <w:pPr>
              <w:pStyle w:val="445"/>
            </w:pPr>
          </w:p>
        </w:tc>
        <w:tc>
          <w:tcPr>
            <w:tcW w:w="406" w:type="pct"/>
            <w:tcBorders>
              <w:top w:val="single" w:color="000000" w:sz="8" w:space="0"/>
              <w:left w:val="nil"/>
              <w:bottom w:val="single" w:color="000000" w:sz="8" w:space="0"/>
              <w:right w:val="single" w:color="000000" w:sz="8" w:space="0"/>
            </w:tcBorders>
            <w:vAlign w:val="center"/>
          </w:tcPr>
          <w:p w14:paraId="109CB798">
            <w:pPr>
              <w:pStyle w:val="445"/>
            </w:pPr>
            <w:r>
              <w:rPr>
                <w:rFonts w:hint="eastAsia"/>
              </w:rPr>
              <w:t>正常排放短期浓度贡献值</w:t>
            </w:r>
          </w:p>
        </w:tc>
        <w:tc>
          <w:tcPr>
            <w:tcW w:w="1905" w:type="pct"/>
            <w:gridSpan w:val="4"/>
            <w:tcBorders>
              <w:top w:val="single" w:color="000000" w:sz="8" w:space="0"/>
              <w:left w:val="nil"/>
              <w:bottom w:val="single" w:color="000000" w:sz="8" w:space="0"/>
              <w:right w:val="single" w:color="000000" w:sz="8" w:space="0"/>
            </w:tcBorders>
            <w:vAlign w:val="center"/>
          </w:tcPr>
          <w:p w14:paraId="673BFCBC">
            <w:pPr>
              <w:pStyle w:val="445"/>
            </w:pPr>
            <w:r>
              <w:t>C</w:t>
            </w:r>
            <w:r>
              <w:rPr>
                <w:rFonts w:hint="eastAsia"/>
              </w:rPr>
              <w:t>本项目最大占标率≤</w:t>
            </w:r>
            <w:r>
              <w:t>100%</w:t>
            </w:r>
            <w:r>
              <w:rPr>
                <w:rFonts w:ascii="Wingdings 2" w:hAnsi="Wingdings 2" w:cs="宋体"/>
              </w:rPr>
              <w:t></w:t>
            </w:r>
          </w:p>
        </w:tc>
        <w:tc>
          <w:tcPr>
            <w:tcW w:w="2296" w:type="pct"/>
            <w:gridSpan w:val="4"/>
            <w:tcBorders>
              <w:top w:val="single" w:color="000000" w:sz="8" w:space="0"/>
              <w:left w:val="nil"/>
              <w:bottom w:val="single" w:color="000000" w:sz="8" w:space="0"/>
              <w:right w:val="nil"/>
            </w:tcBorders>
            <w:vAlign w:val="center"/>
          </w:tcPr>
          <w:p w14:paraId="035BB32F">
            <w:pPr>
              <w:pStyle w:val="445"/>
            </w:pPr>
            <w:r>
              <w:t>C</w:t>
            </w:r>
            <w:r>
              <w:rPr>
                <w:rFonts w:hint="eastAsia"/>
              </w:rPr>
              <w:t>本项目最大占标率</w:t>
            </w:r>
            <w:r>
              <w:t>&gt;100%</w:t>
            </w:r>
            <w:r>
              <w:rPr>
                <w:rFonts w:hint="eastAsia"/>
              </w:rPr>
              <w:t>□</w:t>
            </w:r>
          </w:p>
        </w:tc>
      </w:tr>
      <w:tr w14:paraId="6A4E891A">
        <w:tblPrEx>
          <w:tblCellMar>
            <w:top w:w="0" w:type="dxa"/>
            <w:left w:w="108" w:type="dxa"/>
            <w:bottom w:w="0" w:type="dxa"/>
            <w:right w:w="108" w:type="dxa"/>
          </w:tblCellMar>
        </w:tblPrEx>
        <w:trPr>
          <w:trHeight w:val="578" w:hRule="atLeast"/>
          <w:jc w:val="center"/>
        </w:trPr>
        <w:tc>
          <w:tcPr>
            <w:tcW w:w="0" w:type="auto"/>
            <w:vMerge w:val="continue"/>
            <w:tcBorders>
              <w:top w:val="nil"/>
              <w:left w:val="nil"/>
              <w:bottom w:val="nil"/>
              <w:right w:val="single" w:color="000000" w:sz="8" w:space="0"/>
            </w:tcBorders>
            <w:vAlign w:val="center"/>
          </w:tcPr>
          <w:p w14:paraId="42078B23">
            <w:pPr>
              <w:pStyle w:val="445"/>
            </w:pPr>
          </w:p>
        </w:tc>
        <w:tc>
          <w:tcPr>
            <w:tcW w:w="406" w:type="pct"/>
            <w:vMerge w:val="restart"/>
            <w:tcBorders>
              <w:top w:val="nil"/>
              <w:left w:val="nil"/>
              <w:bottom w:val="single" w:color="000000" w:sz="8" w:space="0"/>
              <w:right w:val="single" w:color="000000" w:sz="8" w:space="0"/>
            </w:tcBorders>
            <w:vAlign w:val="center"/>
          </w:tcPr>
          <w:p w14:paraId="367197DB">
            <w:pPr>
              <w:pStyle w:val="445"/>
            </w:pPr>
            <w:r>
              <w:rPr>
                <w:rFonts w:hint="eastAsia"/>
              </w:rPr>
              <w:t>正常排放年均浓度贡献值</w:t>
            </w:r>
          </w:p>
        </w:tc>
        <w:tc>
          <w:tcPr>
            <w:tcW w:w="1133" w:type="pct"/>
            <w:gridSpan w:val="3"/>
            <w:tcBorders>
              <w:top w:val="single" w:color="000000" w:sz="8" w:space="0"/>
              <w:left w:val="nil"/>
              <w:bottom w:val="single" w:color="000000" w:sz="8" w:space="0"/>
              <w:right w:val="single" w:color="000000" w:sz="8" w:space="0"/>
            </w:tcBorders>
            <w:vAlign w:val="center"/>
          </w:tcPr>
          <w:p w14:paraId="3EDB73BE">
            <w:pPr>
              <w:pStyle w:val="445"/>
            </w:pPr>
            <w:r>
              <w:rPr>
                <w:rFonts w:hint="eastAsia"/>
              </w:rPr>
              <w:t>一类区</w:t>
            </w:r>
          </w:p>
        </w:tc>
        <w:tc>
          <w:tcPr>
            <w:tcW w:w="772" w:type="pct"/>
            <w:tcBorders>
              <w:top w:val="single" w:color="000000" w:sz="8" w:space="0"/>
              <w:left w:val="nil"/>
              <w:bottom w:val="single" w:color="000000" w:sz="8" w:space="0"/>
              <w:right w:val="single" w:color="000000" w:sz="8" w:space="0"/>
            </w:tcBorders>
            <w:vAlign w:val="center"/>
          </w:tcPr>
          <w:p w14:paraId="03F408EF">
            <w:pPr>
              <w:pStyle w:val="445"/>
            </w:pPr>
            <w:r>
              <w:t>C</w:t>
            </w:r>
            <w:r>
              <w:rPr>
                <w:rFonts w:hint="eastAsia"/>
                <w:vertAlign w:val="subscript"/>
              </w:rPr>
              <w:t>本项目</w:t>
            </w:r>
            <w:r>
              <w:rPr>
                <w:rFonts w:hint="eastAsia"/>
              </w:rPr>
              <w:t>最大占标率≤</w:t>
            </w:r>
            <w:r>
              <w:t>10%</w:t>
            </w:r>
            <w:r>
              <w:rPr>
                <w:rFonts w:hint="eastAsia"/>
              </w:rPr>
              <w:t>□</w:t>
            </w:r>
          </w:p>
        </w:tc>
        <w:tc>
          <w:tcPr>
            <w:tcW w:w="2296" w:type="pct"/>
            <w:gridSpan w:val="4"/>
            <w:tcBorders>
              <w:top w:val="single" w:color="000000" w:sz="8" w:space="0"/>
              <w:left w:val="nil"/>
              <w:bottom w:val="single" w:color="000000" w:sz="8" w:space="0"/>
              <w:right w:val="nil"/>
            </w:tcBorders>
            <w:vAlign w:val="center"/>
          </w:tcPr>
          <w:p w14:paraId="4407622F">
            <w:pPr>
              <w:pStyle w:val="445"/>
            </w:pPr>
            <w:r>
              <w:t>C</w:t>
            </w:r>
            <w:r>
              <w:rPr>
                <w:rFonts w:hint="eastAsia"/>
                <w:vertAlign w:val="subscript"/>
              </w:rPr>
              <w:t>本项目</w:t>
            </w:r>
            <w:r>
              <w:rPr>
                <w:rFonts w:hint="eastAsia"/>
              </w:rPr>
              <w:t>最大占标率</w:t>
            </w:r>
            <w:r>
              <w:t>&gt;10%</w:t>
            </w:r>
            <w:r>
              <w:rPr>
                <w:rFonts w:hint="eastAsia"/>
              </w:rPr>
              <w:t>□</w:t>
            </w:r>
          </w:p>
        </w:tc>
      </w:tr>
      <w:tr w14:paraId="1F33A21B">
        <w:tblPrEx>
          <w:tblCellMar>
            <w:top w:w="0" w:type="dxa"/>
            <w:left w:w="108" w:type="dxa"/>
            <w:bottom w:w="0" w:type="dxa"/>
            <w:right w:w="108" w:type="dxa"/>
          </w:tblCellMar>
        </w:tblPrEx>
        <w:trPr>
          <w:trHeight w:val="364" w:hRule="atLeast"/>
          <w:jc w:val="center"/>
        </w:trPr>
        <w:tc>
          <w:tcPr>
            <w:tcW w:w="0" w:type="auto"/>
            <w:vMerge w:val="continue"/>
            <w:tcBorders>
              <w:top w:val="nil"/>
              <w:left w:val="nil"/>
              <w:bottom w:val="nil"/>
              <w:right w:val="single" w:color="000000" w:sz="8" w:space="0"/>
            </w:tcBorders>
            <w:vAlign w:val="center"/>
          </w:tcPr>
          <w:p w14:paraId="61EE9717">
            <w:pPr>
              <w:pStyle w:val="445"/>
            </w:pPr>
          </w:p>
        </w:tc>
        <w:tc>
          <w:tcPr>
            <w:tcW w:w="0" w:type="auto"/>
            <w:vMerge w:val="continue"/>
            <w:tcBorders>
              <w:top w:val="nil"/>
              <w:left w:val="nil"/>
              <w:bottom w:val="single" w:color="000000" w:sz="8" w:space="0"/>
              <w:right w:val="single" w:color="000000" w:sz="8" w:space="0"/>
            </w:tcBorders>
            <w:vAlign w:val="center"/>
          </w:tcPr>
          <w:p w14:paraId="192735BC">
            <w:pPr>
              <w:pStyle w:val="445"/>
            </w:pPr>
          </w:p>
        </w:tc>
        <w:tc>
          <w:tcPr>
            <w:tcW w:w="1133" w:type="pct"/>
            <w:gridSpan w:val="3"/>
            <w:tcBorders>
              <w:top w:val="single" w:color="000000" w:sz="8" w:space="0"/>
              <w:left w:val="nil"/>
              <w:bottom w:val="single" w:color="000000" w:sz="8" w:space="0"/>
              <w:right w:val="single" w:color="000000" w:sz="8" w:space="0"/>
            </w:tcBorders>
            <w:vAlign w:val="center"/>
          </w:tcPr>
          <w:p w14:paraId="104521C0">
            <w:pPr>
              <w:pStyle w:val="445"/>
            </w:pPr>
            <w:r>
              <w:rPr>
                <w:rFonts w:hint="eastAsia"/>
              </w:rPr>
              <w:t>二类区</w:t>
            </w:r>
          </w:p>
        </w:tc>
        <w:tc>
          <w:tcPr>
            <w:tcW w:w="772" w:type="pct"/>
            <w:tcBorders>
              <w:top w:val="single" w:color="000000" w:sz="8" w:space="0"/>
              <w:left w:val="nil"/>
              <w:bottom w:val="single" w:color="000000" w:sz="8" w:space="0"/>
              <w:right w:val="single" w:color="000000" w:sz="8" w:space="0"/>
            </w:tcBorders>
            <w:vAlign w:val="center"/>
          </w:tcPr>
          <w:p w14:paraId="472C7BEC">
            <w:pPr>
              <w:pStyle w:val="445"/>
            </w:pPr>
            <w:r>
              <w:t>C</w:t>
            </w:r>
            <w:r>
              <w:rPr>
                <w:rFonts w:hint="eastAsia"/>
                <w:vertAlign w:val="subscript"/>
              </w:rPr>
              <w:t>本项目</w:t>
            </w:r>
            <w:r>
              <w:rPr>
                <w:rFonts w:hint="eastAsia"/>
              </w:rPr>
              <w:t>最大占标率≤</w:t>
            </w:r>
            <w:r>
              <w:t>30%</w:t>
            </w:r>
            <w:r>
              <w:rPr>
                <w:rFonts w:ascii="Wingdings 2" w:hAnsi="Wingdings 2" w:cs="宋体"/>
              </w:rPr>
              <w:t></w:t>
            </w:r>
          </w:p>
        </w:tc>
        <w:tc>
          <w:tcPr>
            <w:tcW w:w="2296" w:type="pct"/>
            <w:gridSpan w:val="4"/>
            <w:tcBorders>
              <w:top w:val="single" w:color="000000" w:sz="8" w:space="0"/>
              <w:left w:val="nil"/>
              <w:bottom w:val="single" w:color="000000" w:sz="8" w:space="0"/>
              <w:right w:val="nil"/>
            </w:tcBorders>
            <w:vAlign w:val="center"/>
          </w:tcPr>
          <w:p w14:paraId="109AD6EB">
            <w:pPr>
              <w:pStyle w:val="445"/>
            </w:pPr>
            <w:r>
              <w:t>C</w:t>
            </w:r>
            <w:r>
              <w:rPr>
                <w:rFonts w:hint="eastAsia"/>
                <w:vertAlign w:val="subscript"/>
              </w:rPr>
              <w:t>本项目</w:t>
            </w:r>
            <w:r>
              <w:rPr>
                <w:rFonts w:hint="eastAsia"/>
              </w:rPr>
              <w:t>最大占标率</w:t>
            </w:r>
            <w:r>
              <w:t>&gt;30%</w:t>
            </w:r>
            <w:r>
              <w:rPr>
                <w:rFonts w:hint="eastAsia"/>
              </w:rPr>
              <w:t>□</w:t>
            </w:r>
          </w:p>
        </w:tc>
      </w:tr>
      <w:tr w14:paraId="6D0FFB43">
        <w:tblPrEx>
          <w:tblCellMar>
            <w:top w:w="0" w:type="dxa"/>
            <w:left w:w="108" w:type="dxa"/>
            <w:bottom w:w="0" w:type="dxa"/>
            <w:right w:w="108" w:type="dxa"/>
          </w:tblCellMar>
        </w:tblPrEx>
        <w:trPr>
          <w:trHeight w:val="578" w:hRule="atLeast"/>
          <w:jc w:val="center"/>
        </w:trPr>
        <w:tc>
          <w:tcPr>
            <w:tcW w:w="0" w:type="auto"/>
            <w:vMerge w:val="continue"/>
            <w:tcBorders>
              <w:top w:val="nil"/>
              <w:left w:val="nil"/>
              <w:bottom w:val="nil"/>
              <w:right w:val="single" w:color="000000" w:sz="8" w:space="0"/>
            </w:tcBorders>
            <w:vAlign w:val="center"/>
          </w:tcPr>
          <w:p w14:paraId="1ADEAA25">
            <w:pPr>
              <w:pStyle w:val="445"/>
            </w:pPr>
          </w:p>
        </w:tc>
        <w:tc>
          <w:tcPr>
            <w:tcW w:w="406" w:type="pct"/>
            <w:vMerge w:val="restart"/>
            <w:tcBorders>
              <w:top w:val="nil"/>
              <w:left w:val="nil"/>
              <w:bottom w:val="single" w:color="000000" w:sz="8" w:space="0"/>
              <w:right w:val="single" w:color="000000" w:sz="8" w:space="0"/>
            </w:tcBorders>
            <w:vAlign w:val="center"/>
          </w:tcPr>
          <w:p w14:paraId="6B321A17">
            <w:pPr>
              <w:pStyle w:val="445"/>
            </w:pPr>
            <w:r>
              <w:rPr>
                <w:rFonts w:hint="eastAsia"/>
              </w:rPr>
              <w:t>非正常</w:t>
            </w:r>
            <w:r>
              <w:t>1h</w:t>
            </w:r>
            <w:r>
              <w:rPr>
                <w:rFonts w:hint="eastAsia"/>
              </w:rPr>
              <w:t>浓度贡献值</w:t>
            </w:r>
          </w:p>
        </w:tc>
        <w:tc>
          <w:tcPr>
            <w:tcW w:w="934" w:type="pct"/>
            <w:gridSpan w:val="2"/>
            <w:tcBorders>
              <w:top w:val="single" w:color="000000" w:sz="8" w:space="0"/>
              <w:left w:val="nil"/>
              <w:bottom w:val="single" w:color="000000" w:sz="8" w:space="0"/>
              <w:right w:val="single" w:color="000000" w:sz="8" w:space="0"/>
            </w:tcBorders>
            <w:vAlign w:val="center"/>
          </w:tcPr>
          <w:p w14:paraId="7C1FDD96">
            <w:pPr>
              <w:pStyle w:val="445"/>
            </w:pPr>
            <w:r>
              <w:rPr>
                <w:rFonts w:hint="eastAsia"/>
              </w:rPr>
              <w:t>非正常持续时长</w:t>
            </w:r>
          </w:p>
        </w:tc>
        <w:tc>
          <w:tcPr>
            <w:tcW w:w="2285" w:type="pct"/>
            <w:gridSpan w:val="4"/>
            <w:vMerge w:val="restart"/>
            <w:tcBorders>
              <w:top w:val="nil"/>
              <w:left w:val="nil"/>
              <w:bottom w:val="single" w:color="000000" w:sz="8" w:space="0"/>
              <w:right w:val="single" w:color="000000" w:sz="8" w:space="0"/>
            </w:tcBorders>
            <w:vAlign w:val="center"/>
          </w:tcPr>
          <w:p w14:paraId="6D84BFCC">
            <w:pPr>
              <w:pStyle w:val="445"/>
            </w:pPr>
            <w:r>
              <w:t>C</w:t>
            </w:r>
            <w:r>
              <w:rPr>
                <w:rFonts w:hint="eastAsia"/>
                <w:vertAlign w:val="subscript"/>
              </w:rPr>
              <w:t>非正常</w:t>
            </w:r>
            <w:r>
              <w:rPr>
                <w:rFonts w:hint="eastAsia"/>
              </w:rPr>
              <w:t>占标率≤</w:t>
            </w:r>
            <w:r>
              <w:t>100%</w:t>
            </w:r>
            <w:r>
              <w:rPr>
                <w:rFonts w:hint="eastAsia"/>
              </w:rPr>
              <w:t>□</w:t>
            </w:r>
          </w:p>
        </w:tc>
        <w:tc>
          <w:tcPr>
            <w:tcW w:w="982" w:type="pct"/>
            <w:gridSpan w:val="2"/>
            <w:vMerge w:val="restart"/>
            <w:tcBorders>
              <w:top w:val="nil"/>
              <w:left w:val="nil"/>
              <w:bottom w:val="single" w:color="000000" w:sz="8" w:space="0"/>
              <w:right w:val="nil"/>
            </w:tcBorders>
            <w:vAlign w:val="center"/>
          </w:tcPr>
          <w:p w14:paraId="18BEDC23">
            <w:pPr>
              <w:pStyle w:val="445"/>
            </w:pPr>
            <w:r>
              <w:t>C</w:t>
            </w:r>
            <w:r>
              <w:rPr>
                <w:rFonts w:hint="eastAsia"/>
                <w:vertAlign w:val="subscript"/>
              </w:rPr>
              <w:t>非正常</w:t>
            </w:r>
            <w:r>
              <w:rPr>
                <w:rFonts w:hint="eastAsia"/>
              </w:rPr>
              <w:t>占标率</w:t>
            </w:r>
            <w:r>
              <w:t>&gt;100%</w:t>
            </w:r>
            <w:r>
              <w:rPr>
                <w:rFonts w:ascii="Wingdings 2" w:hAnsi="Wingdings 2" w:cs="宋体"/>
              </w:rPr>
              <w:t></w:t>
            </w:r>
          </w:p>
        </w:tc>
      </w:tr>
      <w:tr w14:paraId="4B1175B3">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nil"/>
              <w:right w:val="single" w:color="000000" w:sz="8" w:space="0"/>
            </w:tcBorders>
            <w:vAlign w:val="center"/>
          </w:tcPr>
          <w:p w14:paraId="19271D4C">
            <w:pPr>
              <w:pStyle w:val="445"/>
            </w:pPr>
          </w:p>
        </w:tc>
        <w:tc>
          <w:tcPr>
            <w:tcW w:w="0" w:type="auto"/>
            <w:vMerge w:val="continue"/>
            <w:tcBorders>
              <w:top w:val="nil"/>
              <w:left w:val="nil"/>
              <w:bottom w:val="single" w:color="000000" w:sz="8" w:space="0"/>
              <w:right w:val="single" w:color="000000" w:sz="8" w:space="0"/>
            </w:tcBorders>
            <w:vAlign w:val="center"/>
          </w:tcPr>
          <w:p w14:paraId="0C9BAC14">
            <w:pPr>
              <w:pStyle w:val="445"/>
            </w:pPr>
          </w:p>
        </w:tc>
        <w:tc>
          <w:tcPr>
            <w:tcW w:w="934" w:type="pct"/>
            <w:gridSpan w:val="2"/>
            <w:tcBorders>
              <w:top w:val="single" w:color="000000" w:sz="8" w:space="0"/>
              <w:left w:val="nil"/>
              <w:bottom w:val="single" w:color="000000" w:sz="8" w:space="0"/>
              <w:right w:val="single" w:color="000000" w:sz="8" w:space="0"/>
            </w:tcBorders>
            <w:vAlign w:val="center"/>
          </w:tcPr>
          <w:p w14:paraId="4B2528F9">
            <w:pPr>
              <w:pStyle w:val="445"/>
            </w:pPr>
            <w:r>
              <w:rPr>
                <w:rFonts w:hint="eastAsia"/>
              </w:rPr>
              <w:t>（</w:t>
            </w:r>
            <w:r>
              <w:t>0.5</w:t>
            </w:r>
            <w:r>
              <w:rPr>
                <w:rFonts w:hint="eastAsia"/>
              </w:rPr>
              <w:t>）</w:t>
            </w:r>
            <w:r>
              <w:t>h</w:t>
            </w:r>
          </w:p>
        </w:tc>
        <w:tc>
          <w:tcPr>
            <w:tcW w:w="0" w:type="auto"/>
            <w:gridSpan w:val="4"/>
            <w:vMerge w:val="continue"/>
            <w:tcBorders>
              <w:top w:val="nil"/>
              <w:left w:val="nil"/>
              <w:bottom w:val="single" w:color="000000" w:sz="8" w:space="0"/>
              <w:right w:val="single" w:color="000000" w:sz="8" w:space="0"/>
            </w:tcBorders>
            <w:vAlign w:val="center"/>
          </w:tcPr>
          <w:p w14:paraId="6BA1AAA7">
            <w:pPr>
              <w:pStyle w:val="445"/>
            </w:pPr>
          </w:p>
        </w:tc>
        <w:tc>
          <w:tcPr>
            <w:tcW w:w="0" w:type="auto"/>
            <w:gridSpan w:val="2"/>
            <w:vMerge w:val="continue"/>
            <w:tcBorders>
              <w:top w:val="nil"/>
              <w:left w:val="nil"/>
              <w:bottom w:val="single" w:color="000000" w:sz="8" w:space="0"/>
              <w:right w:val="nil"/>
            </w:tcBorders>
            <w:vAlign w:val="center"/>
          </w:tcPr>
          <w:p w14:paraId="341CAC79">
            <w:pPr>
              <w:pStyle w:val="445"/>
            </w:pPr>
          </w:p>
        </w:tc>
      </w:tr>
      <w:tr w14:paraId="6C43A53E">
        <w:tblPrEx>
          <w:tblCellMar>
            <w:top w:w="0" w:type="dxa"/>
            <w:left w:w="108" w:type="dxa"/>
            <w:bottom w:w="0" w:type="dxa"/>
            <w:right w:w="108" w:type="dxa"/>
          </w:tblCellMar>
        </w:tblPrEx>
        <w:trPr>
          <w:trHeight w:val="1470" w:hRule="atLeast"/>
          <w:jc w:val="center"/>
        </w:trPr>
        <w:tc>
          <w:tcPr>
            <w:tcW w:w="0" w:type="auto"/>
            <w:vMerge w:val="continue"/>
            <w:tcBorders>
              <w:top w:val="nil"/>
              <w:left w:val="nil"/>
              <w:bottom w:val="nil"/>
              <w:right w:val="single" w:color="000000" w:sz="8" w:space="0"/>
            </w:tcBorders>
            <w:vAlign w:val="center"/>
          </w:tcPr>
          <w:p w14:paraId="77DD2266">
            <w:pPr>
              <w:pStyle w:val="445"/>
            </w:pPr>
          </w:p>
        </w:tc>
        <w:tc>
          <w:tcPr>
            <w:tcW w:w="406" w:type="pct"/>
            <w:tcBorders>
              <w:top w:val="single" w:color="000000" w:sz="8" w:space="0"/>
              <w:left w:val="nil"/>
              <w:bottom w:val="single" w:color="000000" w:sz="8" w:space="0"/>
              <w:right w:val="single" w:color="000000" w:sz="8" w:space="0"/>
            </w:tcBorders>
            <w:vAlign w:val="center"/>
          </w:tcPr>
          <w:p w14:paraId="797DA31B">
            <w:pPr>
              <w:pStyle w:val="445"/>
            </w:pPr>
            <w:r>
              <w:rPr>
                <w:rFonts w:hint="eastAsia"/>
              </w:rPr>
              <w:t>保证率日平均浓度和年平均浓度叠加值</w:t>
            </w:r>
          </w:p>
        </w:tc>
        <w:tc>
          <w:tcPr>
            <w:tcW w:w="1905" w:type="pct"/>
            <w:gridSpan w:val="4"/>
            <w:tcBorders>
              <w:top w:val="single" w:color="000000" w:sz="8" w:space="0"/>
              <w:left w:val="nil"/>
              <w:bottom w:val="single" w:color="000000" w:sz="8" w:space="0"/>
              <w:right w:val="single" w:color="000000" w:sz="8" w:space="0"/>
            </w:tcBorders>
            <w:vAlign w:val="center"/>
          </w:tcPr>
          <w:p w14:paraId="63E72CFB">
            <w:pPr>
              <w:pStyle w:val="445"/>
            </w:pPr>
            <w:r>
              <w:t>C</w:t>
            </w:r>
            <w:r>
              <w:rPr>
                <w:rFonts w:hint="eastAsia"/>
              </w:rPr>
              <w:t>叠加达标</w:t>
            </w:r>
            <w:r>
              <w:rPr>
                <w:rFonts w:ascii="Wingdings 2" w:hAnsi="Wingdings 2" w:cs="宋体"/>
              </w:rPr>
              <w:t></w:t>
            </w:r>
          </w:p>
        </w:tc>
        <w:tc>
          <w:tcPr>
            <w:tcW w:w="2296" w:type="pct"/>
            <w:gridSpan w:val="4"/>
            <w:tcBorders>
              <w:top w:val="single" w:color="000000" w:sz="8" w:space="0"/>
              <w:left w:val="nil"/>
              <w:bottom w:val="single" w:color="000000" w:sz="8" w:space="0"/>
              <w:right w:val="nil"/>
            </w:tcBorders>
            <w:vAlign w:val="center"/>
          </w:tcPr>
          <w:p w14:paraId="36B581DC">
            <w:pPr>
              <w:pStyle w:val="445"/>
            </w:pPr>
            <w:r>
              <w:t>C</w:t>
            </w:r>
            <w:r>
              <w:rPr>
                <w:rFonts w:hint="eastAsia"/>
              </w:rPr>
              <w:t>叠加不达标□</w:t>
            </w:r>
          </w:p>
        </w:tc>
      </w:tr>
      <w:tr w14:paraId="1EBD7C83">
        <w:tblPrEx>
          <w:tblCellMar>
            <w:top w:w="0" w:type="dxa"/>
            <w:left w:w="108" w:type="dxa"/>
            <w:bottom w:w="0" w:type="dxa"/>
            <w:right w:w="108" w:type="dxa"/>
          </w:tblCellMar>
        </w:tblPrEx>
        <w:trPr>
          <w:trHeight w:val="1182" w:hRule="atLeast"/>
          <w:jc w:val="center"/>
        </w:trPr>
        <w:tc>
          <w:tcPr>
            <w:tcW w:w="0" w:type="auto"/>
            <w:vMerge w:val="continue"/>
            <w:tcBorders>
              <w:top w:val="nil"/>
              <w:left w:val="nil"/>
              <w:bottom w:val="nil"/>
              <w:right w:val="single" w:color="000000" w:sz="8" w:space="0"/>
            </w:tcBorders>
            <w:vAlign w:val="center"/>
          </w:tcPr>
          <w:p w14:paraId="7A2730EF">
            <w:pPr>
              <w:pStyle w:val="445"/>
            </w:pPr>
          </w:p>
        </w:tc>
        <w:tc>
          <w:tcPr>
            <w:tcW w:w="406" w:type="pct"/>
            <w:tcBorders>
              <w:top w:val="single" w:color="000000" w:sz="8" w:space="0"/>
              <w:left w:val="nil"/>
              <w:bottom w:val="single" w:color="000000" w:sz="8" w:space="0"/>
              <w:right w:val="single" w:color="000000" w:sz="8" w:space="0"/>
            </w:tcBorders>
            <w:vAlign w:val="center"/>
          </w:tcPr>
          <w:p w14:paraId="4C8D32F1">
            <w:pPr>
              <w:pStyle w:val="445"/>
            </w:pPr>
            <w:r>
              <w:rPr>
                <w:rFonts w:hint="eastAsia"/>
              </w:rPr>
              <w:t>区域环境质量的整体变化情况</w:t>
            </w:r>
          </w:p>
        </w:tc>
        <w:tc>
          <w:tcPr>
            <w:tcW w:w="1905" w:type="pct"/>
            <w:gridSpan w:val="4"/>
            <w:tcBorders>
              <w:top w:val="single" w:color="000000" w:sz="8" w:space="0"/>
              <w:left w:val="nil"/>
              <w:bottom w:val="single" w:color="000000" w:sz="8" w:space="0"/>
              <w:right w:val="single" w:color="000000" w:sz="8" w:space="0"/>
            </w:tcBorders>
            <w:vAlign w:val="center"/>
          </w:tcPr>
          <w:p w14:paraId="5FE8139A">
            <w:pPr>
              <w:pStyle w:val="445"/>
            </w:pPr>
            <w:r>
              <w:t>k</w:t>
            </w:r>
            <w:r>
              <w:rPr>
                <w:rFonts w:hint="eastAsia"/>
              </w:rPr>
              <w:t>≤</w:t>
            </w:r>
            <w:r>
              <w:t>-20%</w:t>
            </w:r>
            <w:r>
              <w:rPr>
                <w:rFonts w:ascii="Wingdings 2" w:hAnsi="Wingdings 2" w:cs="宋体"/>
              </w:rPr>
              <w:t></w:t>
            </w:r>
          </w:p>
        </w:tc>
        <w:tc>
          <w:tcPr>
            <w:tcW w:w="2296" w:type="pct"/>
            <w:gridSpan w:val="4"/>
            <w:tcBorders>
              <w:top w:val="single" w:color="000000" w:sz="8" w:space="0"/>
              <w:left w:val="nil"/>
              <w:bottom w:val="single" w:color="000000" w:sz="8" w:space="0"/>
              <w:right w:val="nil"/>
            </w:tcBorders>
            <w:vAlign w:val="center"/>
          </w:tcPr>
          <w:p w14:paraId="6544E2CB">
            <w:pPr>
              <w:pStyle w:val="445"/>
            </w:pPr>
            <w:r>
              <w:t>k&gt;-20%</w:t>
            </w:r>
            <w:r>
              <w:rPr>
                <w:rFonts w:hint="eastAsia"/>
              </w:rPr>
              <w:t>□</w:t>
            </w:r>
          </w:p>
        </w:tc>
      </w:tr>
      <w:tr w14:paraId="5032F984">
        <w:tblPrEx>
          <w:tblCellMar>
            <w:top w:w="0" w:type="dxa"/>
            <w:left w:w="108" w:type="dxa"/>
            <w:bottom w:w="0" w:type="dxa"/>
            <w:right w:w="108" w:type="dxa"/>
          </w:tblCellMar>
        </w:tblPrEx>
        <w:trPr>
          <w:trHeight w:val="319" w:hRule="atLeast"/>
          <w:jc w:val="center"/>
        </w:trPr>
        <w:tc>
          <w:tcPr>
            <w:tcW w:w="393" w:type="pct"/>
            <w:vMerge w:val="restart"/>
            <w:tcBorders>
              <w:top w:val="nil"/>
              <w:left w:val="nil"/>
              <w:bottom w:val="single" w:color="000000" w:sz="8" w:space="0"/>
              <w:right w:val="single" w:color="000000" w:sz="8" w:space="0"/>
            </w:tcBorders>
            <w:vAlign w:val="center"/>
          </w:tcPr>
          <w:p w14:paraId="665E5D3E">
            <w:pPr>
              <w:pStyle w:val="445"/>
            </w:pPr>
            <w:r>
              <w:rPr>
                <w:rFonts w:hint="eastAsia"/>
              </w:rPr>
              <w:t>环境监测计划</w:t>
            </w:r>
          </w:p>
        </w:tc>
        <w:tc>
          <w:tcPr>
            <w:tcW w:w="406" w:type="pct"/>
            <w:vMerge w:val="restart"/>
            <w:tcBorders>
              <w:top w:val="nil"/>
              <w:left w:val="nil"/>
              <w:bottom w:val="single" w:color="000000" w:sz="8" w:space="0"/>
              <w:right w:val="single" w:color="000000" w:sz="8" w:space="0"/>
            </w:tcBorders>
            <w:vAlign w:val="center"/>
          </w:tcPr>
          <w:p w14:paraId="4D2C0171">
            <w:pPr>
              <w:pStyle w:val="445"/>
            </w:pPr>
            <w:r>
              <w:rPr>
                <w:rFonts w:hint="eastAsia"/>
              </w:rPr>
              <w:t>污染源监测</w:t>
            </w:r>
          </w:p>
        </w:tc>
        <w:tc>
          <w:tcPr>
            <w:tcW w:w="1905" w:type="pct"/>
            <w:gridSpan w:val="4"/>
            <w:tcBorders>
              <w:top w:val="single" w:color="000000" w:sz="8" w:space="0"/>
              <w:left w:val="nil"/>
              <w:bottom w:val="single" w:color="000000" w:sz="8" w:space="0"/>
              <w:right w:val="single" w:color="000000" w:sz="8" w:space="0"/>
            </w:tcBorders>
            <w:vAlign w:val="center"/>
          </w:tcPr>
          <w:p w14:paraId="2C4037CD">
            <w:pPr>
              <w:pStyle w:val="445"/>
            </w:pPr>
            <w:r>
              <w:rPr>
                <w:rFonts w:hint="eastAsia"/>
              </w:rPr>
              <w:t>监测因子：（</w:t>
            </w:r>
            <w:r>
              <w:t>SO</w:t>
            </w:r>
            <w:r>
              <w:rPr>
                <w:vertAlign w:val="subscript"/>
              </w:rPr>
              <w:t>2</w:t>
            </w:r>
            <w:r>
              <w:rPr>
                <w:rFonts w:ascii="宋体" w:hAnsi="宋体"/>
              </w:rPr>
              <w:t>、</w:t>
            </w:r>
            <w:r>
              <w:rPr>
                <w:rFonts w:hint="eastAsia"/>
              </w:rPr>
              <w:t>NO</w:t>
            </w:r>
            <w:r>
              <w:rPr>
                <w:vertAlign w:val="subscript"/>
              </w:rPr>
              <w:t>x</w:t>
            </w:r>
            <w:r>
              <w:rPr>
                <w:rFonts w:hint="eastAsia" w:ascii="宋体" w:hAnsi="宋体"/>
              </w:rPr>
              <w:t>、</w:t>
            </w:r>
            <w:r>
              <w:t>PM</w:t>
            </w:r>
            <w:r>
              <w:rPr>
                <w:vertAlign w:val="subscript"/>
              </w:rPr>
              <w:t>10</w:t>
            </w:r>
            <w:r>
              <w:rPr>
                <w:rFonts w:ascii="宋体" w:hAnsi="宋体"/>
              </w:rPr>
              <w:t>、</w:t>
            </w:r>
            <w:r>
              <w:t>PM</w:t>
            </w:r>
            <w:r>
              <w:rPr>
                <w:vertAlign w:val="subscript"/>
              </w:rPr>
              <w:t>2.5</w:t>
            </w:r>
            <w:r>
              <w:rPr>
                <w:rFonts w:ascii="宋体" w:hAnsi="宋体"/>
              </w:rPr>
              <w:t>、</w:t>
            </w:r>
            <w:r>
              <w:rPr>
                <w:rFonts w:hint="eastAsia"/>
              </w:rPr>
              <w:t>甲醇</w:t>
            </w:r>
            <w:r>
              <w:rPr>
                <w:rFonts w:hint="eastAsia" w:ascii="宋体" w:hAnsi="宋体"/>
              </w:rPr>
              <w:t>、</w:t>
            </w:r>
            <w:r>
              <w:rPr>
                <w:rFonts w:hint="eastAsia"/>
              </w:rPr>
              <w:t>H</w:t>
            </w:r>
            <w:r>
              <w:t>F</w:t>
            </w:r>
            <w:r>
              <w:rPr>
                <w:rFonts w:ascii="宋体" w:hAnsi="宋体"/>
              </w:rPr>
              <w:t>、</w:t>
            </w:r>
            <w:r>
              <w:t>HCl</w:t>
            </w:r>
            <w:r>
              <w:rPr>
                <w:rFonts w:ascii="宋体" w:hAnsi="宋体"/>
              </w:rPr>
              <w:t>、</w:t>
            </w:r>
            <w:r>
              <w:t>NH</w:t>
            </w:r>
            <w:r>
              <w:rPr>
                <w:vertAlign w:val="subscript"/>
              </w:rPr>
              <w:t>3</w:t>
            </w:r>
            <w:r>
              <w:rPr>
                <w:rFonts w:ascii="宋体" w:hAnsi="宋体"/>
              </w:rPr>
              <w:t>、</w:t>
            </w:r>
            <w:r>
              <w:rPr>
                <w:rFonts w:hint="eastAsia" w:cs="Times New Roman"/>
              </w:rPr>
              <w:t>非甲烷总烃</w:t>
            </w:r>
            <w:r>
              <w:rPr>
                <w:rFonts w:hint="eastAsia"/>
              </w:rPr>
              <w:t>）</w:t>
            </w:r>
          </w:p>
        </w:tc>
        <w:tc>
          <w:tcPr>
            <w:tcW w:w="1314" w:type="pct"/>
            <w:gridSpan w:val="2"/>
            <w:tcBorders>
              <w:top w:val="single" w:color="000000" w:sz="8" w:space="0"/>
              <w:left w:val="nil"/>
              <w:bottom w:val="single" w:color="000000" w:sz="8" w:space="0"/>
              <w:right w:val="single" w:color="000000" w:sz="8" w:space="0"/>
            </w:tcBorders>
            <w:vAlign w:val="center"/>
          </w:tcPr>
          <w:p w14:paraId="36A96E98">
            <w:pPr>
              <w:pStyle w:val="445"/>
            </w:pPr>
            <w:r>
              <w:rPr>
                <w:rFonts w:hint="eastAsia"/>
              </w:rPr>
              <w:t>有组织废气监测</w:t>
            </w:r>
            <w:r>
              <w:rPr>
                <w:rFonts w:ascii="Wingdings 2" w:hAnsi="Wingdings 2" w:cs="宋体"/>
              </w:rPr>
              <w:t></w:t>
            </w:r>
          </w:p>
        </w:tc>
        <w:tc>
          <w:tcPr>
            <w:tcW w:w="982" w:type="pct"/>
            <w:gridSpan w:val="2"/>
            <w:vMerge w:val="restart"/>
            <w:tcBorders>
              <w:top w:val="single" w:color="000000" w:sz="8" w:space="0"/>
              <w:left w:val="nil"/>
              <w:bottom w:val="single" w:color="000000" w:sz="8" w:space="0"/>
              <w:right w:val="nil"/>
            </w:tcBorders>
            <w:vAlign w:val="center"/>
          </w:tcPr>
          <w:p w14:paraId="1D047CC3">
            <w:pPr>
              <w:pStyle w:val="445"/>
            </w:pPr>
            <w:r>
              <w:rPr>
                <w:rFonts w:hint="eastAsia"/>
              </w:rPr>
              <w:t>无监测□</w:t>
            </w:r>
          </w:p>
        </w:tc>
      </w:tr>
      <w:tr w14:paraId="29F01AA1">
        <w:tblPrEx>
          <w:tblCellMar>
            <w:top w:w="0" w:type="dxa"/>
            <w:left w:w="108" w:type="dxa"/>
            <w:bottom w:w="0" w:type="dxa"/>
            <w:right w:w="108" w:type="dxa"/>
          </w:tblCellMar>
        </w:tblPrEx>
        <w:trPr>
          <w:trHeight w:val="319" w:hRule="atLeast"/>
          <w:jc w:val="center"/>
        </w:trPr>
        <w:tc>
          <w:tcPr>
            <w:tcW w:w="0" w:type="auto"/>
            <w:vMerge w:val="continue"/>
            <w:tcBorders>
              <w:top w:val="nil"/>
              <w:left w:val="nil"/>
              <w:bottom w:val="single" w:color="000000" w:sz="8" w:space="0"/>
              <w:right w:val="single" w:color="000000" w:sz="8" w:space="0"/>
            </w:tcBorders>
            <w:vAlign w:val="center"/>
          </w:tcPr>
          <w:p w14:paraId="4E9B0B07">
            <w:pPr>
              <w:pStyle w:val="445"/>
            </w:pPr>
          </w:p>
        </w:tc>
        <w:tc>
          <w:tcPr>
            <w:tcW w:w="0" w:type="auto"/>
            <w:vMerge w:val="continue"/>
            <w:tcBorders>
              <w:top w:val="nil"/>
              <w:left w:val="nil"/>
              <w:bottom w:val="single" w:color="000000" w:sz="8" w:space="0"/>
              <w:right w:val="single" w:color="000000" w:sz="8" w:space="0"/>
            </w:tcBorders>
            <w:vAlign w:val="center"/>
          </w:tcPr>
          <w:p w14:paraId="2D02EFB9">
            <w:pPr>
              <w:pStyle w:val="445"/>
            </w:pPr>
          </w:p>
        </w:tc>
        <w:tc>
          <w:tcPr>
            <w:tcW w:w="1905" w:type="pct"/>
            <w:gridSpan w:val="4"/>
            <w:tcBorders>
              <w:top w:val="single" w:color="000000" w:sz="8" w:space="0"/>
              <w:left w:val="nil"/>
              <w:bottom w:val="single" w:color="000000" w:sz="8" w:space="0"/>
              <w:right w:val="single" w:color="000000" w:sz="8" w:space="0"/>
            </w:tcBorders>
            <w:vAlign w:val="center"/>
          </w:tcPr>
          <w:p w14:paraId="64B3606D">
            <w:pPr>
              <w:pStyle w:val="445"/>
            </w:pPr>
            <w:r>
              <w:rPr>
                <w:rFonts w:hint="eastAsia"/>
              </w:rPr>
              <w:t>粉尘</w:t>
            </w:r>
            <w:r>
              <w:t>、NH</w:t>
            </w:r>
            <w:r>
              <w:rPr>
                <w:vertAlign w:val="subscript"/>
              </w:rPr>
              <w:t>3</w:t>
            </w:r>
            <w:r>
              <w:t>、</w:t>
            </w:r>
            <w:r>
              <w:rPr>
                <w:rFonts w:hint="eastAsia"/>
                <w:bCs/>
              </w:rPr>
              <w:t>VOC</w:t>
            </w:r>
            <w:r>
              <w:rPr>
                <w:bCs/>
              </w:rPr>
              <w:t>s</w:t>
            </w:r>
            <w:r>
              <w:rPr>
                <w:rFonts w:hint="eastAsia"/>
                <w:bCs/>
              </w:rPr>
              <w:t>、H</w:t>
            </w:r>
            <w:r>
              <w:rPr>
                <w:bCs/>
              </w:rPr>
              <w:t>Cl</w:t>
            </w:r>
            <w:r>
              <w:rPr>
                <w:rFonts w:hint="eastAsia"/>
                <w:bCs/>
              </w:rPr>
              <w:t>、</w:t>
            </w:r>
            <w:r>
              <w:rPr>
                <w:bCs/>
              </w:rPr>
              <w:t>HF、甲醇</w:t>
            </w:r>
          </w:p>
        </w:tc>
        <w:tc>
          <w:tcPr>
            <w:tcW w:w="1314" w:type="pct"/>
            <w:gridSpan w:val="2"/>
            <w:tcBorders>
              <w:top w:val="single" w:color="000000" w:sz="8" w:space="0"/>
              <w:left w:val="nil"/>
              <w:bottom w:val="single" w:color="000000" w:sz="8" w:space="0"/>
              <w:right w:val="single" w:color="000000" w:sz="8" w:space="0"/>
            </w:tcBorders>
            <w:vAlign w:val="center"/>
          </w:tcPr>
          <w:p w14:paraId="508715BB">
            <w:pPr>
              <w:pStyle w:val="445"/>
            </w:pPr>
            <w:r>
              <w:rPr>
                <w:rFonts w:hint="eastAsia"/>
              </w:rPr>
              <w:t>无组织废气监测</w:t>
            </w:r>
            <w:r>
              <w:rPr>
                <w:rFonts w:ascii="Wingdings 2" w:hAnsi="Wingdings 2" w:cs="宋体"/>
              </w:rPr>
              <w:t></w:t>
            </w:r>
          </w:p>
        </w:tc>
        <w:tc>
          <w:tcPr>
            <w:tcW w:w="0" w:type="auto"/>
            <w:gridSpan w:val="2"/>
            <w:vMerge w:val="continue"/>
            <w:tcBorders>
              <w:top w:val="single" w:color="000000" w:sz="8" w:space="0"/>
              <w:left w:val="nil"/>
              <w:bottom w:val="single" w:color="000000" w:sz="8" w:space="0"/>
              <w:right w:val="nil"/>
            </w:tcBorders>
            <w:vAlign w:val="center"/>
          </w:tcPr>
          <w:p w14:paraId="6959827E">
            <w:pPr>
              <w:pStyle w:val="445"/>
            </w:pPr>
          </w:p>
        </w:tc>
      </w:tr>
      <w:tr w14:paraId="77B9B127">
        <w:tblPrEx>
          <w:tblCellMar>
            <w:top w:w="0" w:type="dxa"/>
            <w:left w:w="108" w:type="dxa"/>
            <w:bottom w:w="0" w:type="dxa"/>
            <w:right w:w="108" w:type="dxa"/>
          </w:tblCellMar>
        </w:tblPrEx>
        <w:trPr>
          <w:trHeight w:val="608" w:hRule="atLeast"/>
          <w:jc w:val="center"/>
        </w:trPr>
        <w:tc>
          <w:tcPr>
            <w:tcW w:w="0" w:type="auto"/>
            <w:vMerge w:val="continue"/>
            <w:tcBorders>
              <w:top w:val="nil"/>
              <w:left w:val="nil"/>
              <w:bottom w:val="single" w:color="000000" w:sz="8" w:space="0"/>
              <w:right w:val="single" w:color="000000" w:sz="8" w:space="0"/>
            </w:tcBorders>
            <w:vAlign w:val="center"/>
          </w:tcPr>
          <w:p w14:paraId="7B3A59D1">
            <w:pPr>
              <w:pStyle w:val="445"/>
            </w:pPr>
          </w:p>
        </w:tc>
        <w:tc>
          <w:tcPr>
            <w:tcW w:w="406" w:type="pct"/>
            <w:tcBorders>
              <w:top w:val="single" w:color="000000" w:sz="8" w:space="0"/>
              <w:left w:val="nil"/>
              <w:bottom w:val="single" w:color="000000" w:sz="8" w:space="0"/>
              <w:right w:val="single" w:color="000000" w:sz="8" w:space="0"/>
            </w:tcBorders>
            <w:vAlign w:val="center"/>
          </w:tcPr>
          <w:p w14:paraId="0894A422">
            <w:pPr>
              <w:pStyle w:val="445"/>
            </w:pPr>
            <w:r>
              <w:rPr>
                <w:rFonts w:hint="eastAsia"/>
              </w:rPr>
              <w:t>环境质量监测</w:t>
            </w:r>
          </w:p>
        </w:tc>
        <w:tc>
          <w:tcPr>
            <w:tcW w:w="1905" w:type="pct"/>
            <w:gridSpan w:val="4"/>
            <w:tcBorders>
              <w:top w:val="single" w:color="000000" w:sz="8" w:space="0"/>
              <w:left w:val="nil"/>
              <w:bottom w:val="single" w:color="000000" w:sz="8" w:space="0"/>
              <w:right w:val="single" w:color="000000" w:sz="8" w:space="0"/>
            </w:tcBorders>
            <w:vAlign w:val="center"/>
          </w:tcPr>
          <w:p w14:paraId="496973E8">
            <w:pPr>
              <w:pStyle w:val="445"/>
            </w:pPr>
            <w:r>
              <w:rPr>
                <w:rFonts w:hint="eastAsia"/>
              </w:rPr>
              <w:t>监测因子：（HCl、甲醇</w:t>
            </w:r>
            <w:r>
              <w:t>、</w:t>
            </w:r>
            <w:r>
              <w:rPr>
                <w:rFonts w:hint="eastAsia" w:cs="Times New Roman"/>
              </w:rPr>
              <w:t>非甲烷总烃</w:t>
            </w:r>
            <w:r>
              <w:rPr>
                <w:rFonts w:hint="eastAsia"/>
              </w:rPr>
              <w:t>）</w:t>
            </w:r>
          </w:p>
        </w:tc>
        <w:tc>
          <w:tcPr>
            <w:tcW w:w="1314" w:type="pct"/>
            <w:gridSpan w:val="2"/>
            <w:tcBorders>
              <w:top w:val="single" w:color="000000" w:sz="8" w:space="0"/>
              <w:left w:val="nil"/>
              <w:bottom w:val="single" w:color="000000" w:sz="8" w:space="0"/>
              <w:right w:val="single" w:color="000000" w:sz="8" w:space="0"/>
            </w:tcBorders>
            <w:vAlign w:val="center"/>
          </w:tcPr>
          <w:p w14:paraId="6D907707">
            <w:pPr>
              <w:pStyle w:val="445"/>
            </w:pPr>
            <w:r>
              <w:rPr>
                <w:rFonts w:hint="eastAsia"/>
              </w:rPr>
              <w:t>监测点位数（</w:t>
            </w:r>
            <w:r>
              <w:t xml:space="preserve"> 1 </w:t>
            </w:r>
            <w:r>
              <w:rPr>
                <w:rFonts w:hint="eastAsia"/>
              </w:rPr>
              <w:t>）</w:t>
            </w:r>
          </w:p>
        </w:tc>
        <w:tc>
          <w:tcPr>
            <w:tcW w:w="982" w:type="pct"/>
            <w:gridSpan w:val="2"/>
            <w:tcBorders>
              <w:top w:val="single" w:color="000000" w:sz="8" w:space="0"/>
              <w:left w:val="nil"/>
              <w:bottom w:val="single" w:color="000000" w:sz="8" w:space="0"/>
              <w:right w:val="nil"/>
            </w:tcBorders>
            <w:vAlign w:val="center"/>
          </w:tcPr>
          <w:p w14:paraId="5A332906">
            <w:pPr>
              <w:pStyle w:val="445"/>
            </w:pPr>
            <w:r>
              <w:rPr>
                <w:rFonts w:hint="eastAsia"/>
              </w:rPr>
              <w:t>无监测□</w:t>
            </w:r>
          </w:p>
        </w:tc>
      </w:tr>
      <w:tr w14:paraId="5D31548E">
        <w:tblPrEx>
          <w:tblCellMar>
            <w:top w:w="0" w:type="dxa"/>
            <w:left w:w="108" w:type="dxa"/>
            <w:bottom w:w="0" w:type="dxa"/>
            <w:right w:w="108" w:type="dxa"/>
          </w:tblCellMar>
        </w:tblPrEx>
        <w:trPr>
          <w:trHeight w:val="319" w:hRule="atLeast"/>
          <w:jc w:val="center"/>
        </w:trPr>
        <w:tc>
          <w:tcPr>
            <w:tcW w:w="393" w:type="pct"/>
            <w:vMerge w:val="restart"/>
            <w:tcBorders>
              <w:top w:val="nil"/>
              <w:left w:val="nil"/>
              <w:bottom w:val="single" w:color="000000" w:sz="8" w:space="0"/>
              <w:right w:val="single" w:color="000000" w:sz="8" w:space="0"/>
            </w:tcBorders>
            <w:vAlign w:val="center"/>
          </w:tcPr>
          <w:p w14:paraId="29CE2D8A">
            <w:pPr>
              <w:pStyle w:val="445"/>
            </w:pPr>
            <w:r>
              <w:rPr>
                <w:rFonts w:hint="eastAsia"/>
              </w:rPr>
              <w:t>评价结论</w:t>
            </w:r>
          </w:p>
        </w:tc>
        <w:tc>
          <w:tcPr>
            <w:tcW w:w="406" w:type="pct"/>
            <w:tcBorders>
              <w:top w:val="single" w:color="000000" w:sz="8" w:space="0"/>
              <w:left w:val="nil"/>
              <w:bottom w:val="single" w:color="000000" w:sz="8" w:space="0"/>
              <w:right w:val="single" w:color="000000" w:sz="8" w:space="0"/>
            </w:tcBorders>
            <w:vAlign w:val="center"/>
          </w:tcPr>
          <w:p w14:paraId="65B5D116">
            <w:pPr>
              <w:pStyle w:val="445"/>
            </w:pPr>
            <w:r>
              <w:rPr>
                <w:rFonts w:hint="eastAsia"/>
              </w:rPr>
              <w:t>环境影响</w:t>
            </w:r>
          </w:p>
        </w:tc>
        <w:tc>
          <w:tcPr>
            <w:tcW w:w="4201" w:type="pct"/>
            <w:gridSpan w:val="8"/>
            <w:tcBorders>
              <w:top w:val="single" w:color="000000" w:sz="8" w:space="0"/>
              <w:left w:val="nil"/>
              <w:bottom w:val="single" w:color="000000" w:sz="8" w:space="0"/>
              <w:right w:val="nil"/>
            </w:tcBorders>
            <w:vAlign w:val="center"/>
          </w:tcPr>
          <w:p w14:paraId="0B231D8D">
            <w:pPr>
              <w:pStyle w:val="445"/>
            </w:pPr>
            <w:r>
              <w:rPr>
                <w:rFonts w:hint="eastAsia"/>
              </w:rPr>
              <w:t>可以接受</w:t>
            </w:r>
            <w:r>
              <w:t xml:space="preserve"> </w:t>
            </w:r>
            <w:r>
              <w:rPr>
                <w:rFonts w:ascii="Wingdings 2" w:hAnsi="Wingdings 2" w:cs="宋体"/>
              </w:rPr>
              <w:t></w:t>
            </w:r>
            <w:r>
              <w:t xml:space="preserve">             </w:t>
            </w:r>
            <w:r>
              <w:rPr>
                <w:rFonts w:hint="eastAsia"/>
              </w:rPr>
              <w:t>不可以接受</w:t>
            </w:r>
            <w:r>
              <w:t xml:space="preserve"> </w:t>
            </w:r>
            <w:r>
              <w:rPr>
                <w:rFonts w:hint="eastAsia"/>
              </w:rPr>
              <w:t>□</w:t>
            </w:r>
          </w:p>
        </w:tc>
      </w:tr>
      <w:tr w14:paraId="418E2FD1">
        <w:tblPrEx>
          <w:tblCellMar>
            <w:top w:w="0" w:type="dxa"/>
            <w:left w:w="108" w:type="dxa"/>
            <w:bottom w:w="0" w:type="dxa"/>
            <w:right w:w="108" w:type="dxa"/>
          </w:tblCellMar>
        </w:tblPrEx>
        <w:trPr>
          <w:trHeight w:val="608" w:hRule="atLeast"/>
          <w:jc w:val="center"/>
        </w:trPr>
        <w:tc>
          <w:tcPr>
            <w:tcW w:w="0" w:type="auto"/>
            <w:vMerge w:val="continue"/>
            <w:tcBorders>
              <w:top w:val="nil"/>
              <w:left w:val="nil"/>
              <w:bottom w:val="single" w:color="000000" w:sz="8" w:space="0"/>
              <w:right w:val="single" w:color="000000" w:sz="8" w:space="0"/>
            </w:tcBorders>
            <w:vAlign w:val="center"/>
          </w:tcPr>
          <w:p w14:paraId="4885BD7A">
            <w:pPr>
              <w:pStyle w:val="445"/>
            </w:pPr>
          </w:p>
        </w:tc>
        <w:tc>
          <w:tcPr>
            <w:tcW w:w="406" w:type="pct"/>
            <w:tcBorders>
              <w:top w:val="single" w:color="000000" w:sz="8" w:space="0"/>
              <w:left w:val="nil"/>
              <w:bottom w:val="single" w:color="000000" w:sz="8" w:space="0"/>
              <w:right w:val="single" w:color="000000" w:sz="8" w:space="0"/>
            </w:tcBorders>
            <w:vAlign w:val="center"/>
          </w:tcPr>
          <w:p w14:paraId="4DC2CEC1">
            <w:pPr>
              <w:pStyle w:val="445"/>
            </w:pPr>
            <w:r>
              <w:rPr>
                <w:rFonts w:hint="eastAsia"/>
              </w:rPr>
              <w:t>大气环境防护距离</w:t>
            </w:r>
          </w:p>
        </w:tc>
        <w:tc>
          <w:tcPr>
            <w:tcW w:w="4201" w:type="pct"/>
            <w:gridSpan w:val="8"/>
            <w:tcBorders>
              <w:top w:val="single" w:color="000000" w:sz="8" w:space="0"/>
              <w:left w:val="nil"/>
              <w:bottom w:val="single" w:color="000000" w:sz="8" w:space="0"/>
              <w:right w:val="nil"/>
            </w:tcBorders>
            <w:vAlign w:val="center"/>
          </w:tcPr>
          <w:p w14:paraId="4582AF5C">
            <w:pPr>
              <w:pStyle w:val="445"/>
            </w:pPr>
            <w:r>
              <w:rPr>
                <w:rFonts w:hint="eastAsia"/>
              </w:rPr>
              <w:t>距（</w:t>
            </w:r>
            <w:r>
              <w:t xml:space="preserve">   </w:t>
            </w:r>
            <w:r>
              <w:rPr>
                <w:rFonts w:hint="eastAsia"/>
              </w:rPr>
              <w:t>）厂界最远（</w:t>
            </w:r>
            <w:r>
              <w:t xml:space="preserve">  </w:t>
            </w:r>
            <w:r>
              <w:rPr>
                <w:rFonts w:hint="eastAsia"/>
              </w:rPr>
              <w:t>）</w:t>
            </w:r>
            <w:r>
              <w:t>m</w:t>
            </w:r>
          </w:p>
        </w:tc>
      </w:tr>
      <w:tr w14:paraId="30DBA068">
        <w:tblPrEx>
          <w:tblCellMar>
            <w:top w:w="0" w:type="dxa"/>
            <w:left w:w="108" w:type="dxa"/>
            <w:bottom w:w="0" w:type="dxa"/>
            <w:right w:w="108" w:type="dxa"/>
          </w:tblCellMar>
        </w:tblPrEx>
        <w:trPr>
          <w:trHeight w:val="608" w:hRule="atLeast"/>
          <w:jc w:val="center"/>
        </w:trPr>
        <w:tc>
          <w:tcPr>
            <w:tcW w:w="0" w:type="auto"/>
            <w:vMerge w:val="continue"/>
            <w:tcBorders>
              <w:top w:val="nil"/>
              <w:left w:val="nil"/>
              <w:bottom w:val="single" w:color="000000" w:sz="8" w:space="0"/>
              <w:right w:val="single" w:color="000000" w:sz="8" w:space="0"/>
            </w:tcBorders>
            <w:vAlign w:val="center"/>
          </w:tcPr>
          <w:p w14:paraId="06CD4523">
            <w:pPr>
              <w:pStyle w:val="445"/>
            </w:pPr>
          </w:p>
        </w:tc>
        <w:tc>
          <w:tcPr>
            <w:tcW w:w="406" w:type="pct"/>
            <w:tcBorders>
              <w:top w:val="single" w:color="000000" w:sz="8" w:space="0"/>
              <w:left w:val="nil"/>
              <w:bottom w:val="single" w:color="000000" w:sz="8" w:space="0"/>
              <w:right w:val="single" w:color="000000" w:sz="8" w:space="0"/>
            </w:tcBorders>
            <w:vAlign w:val="center"/>
          </w:tcPr>
          <w:p w14:paraId="0BE20BE3">
            <w:pPr>
              <w:pStyle w:val="445"/>
            </w:pPr>
            <w:r>
              <w:rPr>
                <w:rFonts w:hint="eastAsia"/>
              </w:rPr>
              <w:t>污染源年排放量</w:t>
            </w:r>
          </w:p>
        </w:tc>
        <w:tc>
          <w:tcPr>
            <w:tcW w:w="934" w:type="pct"/>
            <w:gridSpan w:val="2"/>
            <w:tcBorders>
              <w:top w:val="single" w:color="000000" w:sz="8" w:space="0"/>
              <w:left w:val="nil"/>
              <w:bottom w:val="single" w:color="000000" w:sz="8" w:space="0"/>
              <w:right w:val="single" w:color="000000" w:sz="8" w:space="0"/>
            </w:tcBorders>
            <w:vAlign w:val="center"/>
          </w:tcPr>
          <w:p w14:paraId="79EEB178">
            <w:pPr>
              <w:pStyle w:val="445"/>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:(0.165)t/a</w:t>
            </w:r>
          </w:p>
        </w:tc>
        <w:tc>
          <w:tcPr>
            <w:tcW w:w="970" w:type="pct"/>
            <w:gridSpan w:val="2"/>
            <w:tcBorders>
              <w:top w:val="single" w:color="000000" w:sz="8" w:space="0"/>
              <w:left w:val="nil"/>
              <w:bottom w:val="single" w:color="000000" w:sz="8" w:space="0"/>
              <w:right w:val="single" w:color="000000" w:sz="8" w:space="0"/>
            </w:tcBorders>
            <w:vAlign w:val="center"/>
          </w:tcPr>
          <w:p w14:paraId="551B36AA">
            <w:pPr>
              <w:pStyle w:val="445"/>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X</w:t>
            </w:r>
            <w:r>
              <w:rPr>
                <w:color w:val="000000" w:themeColor="text1"/>
                <w14:textFill>
                  <w14:solidFill>
                    <w14:schemeClr w14:val="tx1"/>
                  </w14:solidFill>
                </w14:textFill>
              </w:rPr>
              <w:t>:(0.385)t/a</w:t>
            </w:r>
          </w:p>
        </w:tc>
        <w:tc>
          <w:tcPr>
            <w:tcW w:w="1314" w:type="pct"/>
            <w:gridSpan w:val="2"/>
            <w:tcBorders>
              <w:top w:val="single" w:color="000000" w:sz="8" w:space="0"/>
              <w:left w:val="nil"/>
              <w:bottom w:val="single" w:color="000000" w:sz="8" w:space="0"/>
              <w:right w:val="single" w:color="000000" w:sz="8" w:space="0"/>
            </w:tcBorders>
            <w:vAlign w:val="center"/>
          </w:tcPr>
          <w:p w14:paraId="100CEB28">
            <w:pPr>
              <w:pStyle w:val="445"/>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r>
              <w:rPr>
                <w:color w:val="000000" w:themeColor="text1"/>
                <w14:textFill>
                  <w14:solidFill>
                    <w14:schemeClr w14:val="tx1"/>
                  </w14:solidFill>
                </w14:textFill>
              </w:rPr>
              <w:t>:(0.925)t/a</w:t>
            </w:r>
          </w:p>
        </w:tc>
        <w:tc>
          <w:tcPr>
            <w:tcW w:w="982" w:type="pct"/>
            <w:gridSpan w:val="2"/>
            <w:tcBorders>
              <w:top w:val="single" w:color="000000" w:sz="8" w:space="0"/>
              <w:left w:val="nil"/>
              <w:bottom w:val="single" w:color="000000" w:sz="8" w:space="0"/>
              <w:right w:val="nil"/>
            </w:tcBorders>
            <w:vAlign w:val="center"/>
          </w:tcPr>
          <w:p w14:paraId="5AA61760">
            <w:pPr>
              <w:pStyle w:val="445"/>
              <w:rPr>
                <w:color w:val="000000" w:themeColor="text1"/>
                <w14:textFill>
                  <w14:solidFill>
                    <w14:schemeClr w14:val="tx1"/>
                  </w14:solidFill>
                </w14:textFill>
              </w:rPr>
            </w:pPr>
            <w:r>
              <w:rPr>
                <w:color w:val="000000" w:themeColor="text1"/>
                <w14:textFill>
                  <w14:solidFill>
                    <w14:schemeClr w14:val="tx1"/>
                  </w14:solidFill>
                </w14:textFill>
              </w:rPr>
              <w:t>VOCs:(1.829)t/a</w:t>
            </w:r>
          </w:p>
        </w:tc>
      </w:tr>
      <w:tr w14:paraId="0DB1C1E1">
        <w:tblPrEx>
          <w:tblCellMar>
            <w:top w:w="0" w:type="dxa"/>
            <w:left w:w="108" w:type="dxa"/>
            <w:bottom w:w="0" w:type="dxa"/>
            <w:right w:w="108" w:type="dxa"/>
          </w:tblCellMar>
        </w:tblPrEx>
        <w:trPr>
          <w:trHeight w:val="270" w:hRule="atLeast"/>
          <w:jc w:val="center"/>
        </w:trPr>
        <w:tc>
          <w:tcPr>
            <w:tcW w:w="5000" w:type="pct"/>
            <w:gridSpan w:val="10"/>
            <w:tcBorders>
              <w:top w:val="single" w:color="000000" w:sz="8" w:space="0"/>
              <w:left w:val="nil"/>
              <w:bottom w:val="single" w:color="000000" w:sz="12" w:space="0"/>
              <w:right w:val="nil"/>
            </w:tcBorders>
            <w:vAlign w:val="center"/>
          </w:tcPr>
          <w:p w14:paraId="74A58A26">
            <w:pPr>
              <w:pStyle w:val="445"/>
            </w:pPr>
            <w:r>
              <w:rPr>
                <w:rFonts w:hint="eastAsia"/>
              </w:rPr>
              <w:t>注：</w:t>
            </w:r>
            <w:r>
              <w:t>“</w:t>
            </w:r>
            <w:r>
              <w:rPr>
                <w:rFonts w:hint="eastAsia"/>
              </w:rPr>
              <w:t>□</w:t>
            </w:r>
            <w:r>
              <w:t>”</w:t>
            </w:r>
            <w:r>
              <w:rPr>
                <w:rFonts w:hint="eastAsia"/>
              </w:rPr>
              <w:t>，填</w:t>
            </w:r>
            <w:r>
              <w:t>“</w:t>
            </w:r>
            <w:r>
              <w:rPr>
                <w:rFonts w:hint="eastAsia"/>
              </w:rPr>
              <w:t>√</w:t>
            </w:r>
            <w:r>
              <w:t>”</w:t>
            </w:r>
            <w:r>
              <w:rPr>
                <w:rFonts w:hint="eastAsia"/>
              </w:rPr>
              <w:t>；</w:t>
            </w:r>
            <w:r>
              <w:t>“</w:t>
            </w:r>
            <w:r>
              <w:rPr>
                <w:rFonts w:hint="eastAsia"/>
              </w:rPr>
              <w:t>（</w:t>
            </w:r>
            <w:r>
              <w:t xml:space="preserve">  </w:t>
            </w:r>
            <w:r>
              <w:rPr>
                <w:rFonts w:hint="eastAsia"/>
              </w:rPr>
              <w:t>）</w:t>
            </w:r>
            <w:r>
              <w:t>”</w:t>
            </w:r>
            <w:r>
              <w:rPr>
                <w:rFonts w:hint="eastAsia"/>
              </w:rPr>
              <w:t>为内容填写项</w:t>
            </w:r>
          </w:p>
        </w:tc>
      </w:tr>
    </w:tbl>
    <w:p w14:paraId="776781C4">
      <w:pPr>
        <w:ind w:firstLine="480"/>
        <w:rPr>
          <w:rFonts w:cs="Times New Roman"/>
          <w:szCs w:val="24"/>
        </w:rPr>
      </w:pPr>
      <w:r>
        <w:t xml:space="preserve"> </w:t>
      </w:r>
    </w:p>
    <w:p w14:paraId="58EA42C6">
      <w:pPr>
        <w:widowControl/>
        <w:adjustRightInd/>
        <w:snapToGrid/>
        <w:ind w:firstLine="0" w:firstLineChars="0"/>
        <w:jc w:val="left"/>
        <w:rPr>
          <w:rFonts w:eastAsia="黑体"/>
          <w:sz w:val="32"/>
          <w:szCs w:val="32"/>
        </w:rPr>
        <w:sectPr>
          <w:pgSz w:w="11907" w:h="16840"/>
          <w:pgMar w:top="1440" w:right="1440" w:bottom="1440" w:left="1440" w:header="851" w:footer="992" w:gutter="0"/>
          <w:cols w:space="720" w:num="1"/>
          <w:docGrid w:type="lines" w:linePitch="326" w:charSpace="0"/>
        </w:sectPr>
      </w:pPr>
    </w:p>
    <w:p w14:paraId="2E108876">
      <w:pPr>
        <w:pStyle w:val="4065"/>
      </w:pPr>
      <w:bookmarkStart w:id="225" w:name="_Toc108662645"/>
      <w:r>
        <w:rPr>
          <w:rFonts w:hint="eastAsia"/>
        </w:rPr>
        <w:t>5.2地表水</w:t>
      </w:r>
      <w:r>
        <w:t>环境影响分析</w:t>
      </w:r>
      <w:bookmarkEnd w:id="225"/>
    </w:p>
    <w:p w14:paraId="4B4FEB3C">
      <w:pPr>
        <w:spacing w:before="240" w:after="120"/>
        <w:ind w:firstLine="0" w:firstLineChars="0"/>
        <w:jc w:val="left"/>
        <w:outlineLvl w:val="2"/>
        <w:rPr>
          <w:rFonts w:eastAsia="黑体"/>
          <w:sz w:val="28"/>
          <w:szCs w:val="28"/>
        </w:rPr>
      </w:pPr>
      <w:bookmarkStart w:id="226" w:name="_Toc101135869"/>
      <w:bookmarkStart w:id="227" w:name="_Toc108662646"/>
      <w:bookmarkStart w:id="228" w:name="_Toc100784037"/>
      <w:r>
        <w:rPr>
          <w:rFonts w:hint="eastAsia" w:eastAsia="黑体"/>
          <w:sz w:val="28"/>
          <w:szCs w:val="28"/>
        </w:rPr>
        <w:t>5.2.1</w:t>
      </w:r>
      <w:r>
        <w:rPr>
          <w:rFonts w:hint="eastAsia" w:ascii="黑体" w:hAnsi="黑体" w:eastAsia="黑体"/>
          <w:sz w:val="28"/>
          <w:szCs w:val="28"/>
        </w:rPr>
        <w:t>地表水</w:t>
      </w:r>
      <w:r>
        <w:rPr>
          <w:rFonts w:ascii="黑体" w:hAnsi="黑体" w:eastAsia="黑体"/>
          <w:sz w:val="28"/>
          <w:szCs w:val="28"/>
        </w:rPr>
        <w:t>环境影响分析</w:t>
      </w:r>
      <w:bookmarkEnd w:id="226"/>
      <w:bookmarkEnd w:id="227"/>
      <w:bookmarkEnd w:id="228"/>
    </w:p>
    <w:p w14:paraId="54004ADE">
      <w:pPr>
        <w:ind w:firstLine="480"/>
        <w:rPr>
          <w:szCs w:val="24"/>
        </w:rPr>
      </w:pPr>
      <w:r>
        <w:rPr>
          <w:rFonts w:hint="eastAsia" w:ascii="宋体" w:hAnsi="宋体"/>
        </w:rPr>
        <w:t>厂内实行</w:t>
      </w:r>
      <w:r>
        <w:rPr>
          <w:rFonts w:ascii="宋体" w:hAnsi="宋体"/>
        </w:rPr>
        <w:t>雨污分流，</w:t>
      </w:r>
      <w:r>
        <w:rPr>
          <w:rFonts w:cs="Times New Roman"/>
        </w:rPr>
        <w:t>纯水制备</w:t>
      </w:r>
      <w:r>
        <w:rPr>
          <w:rFonts w:hint="eastAsia" w:cs="Times New Roman"/>
        </w:rPr>
        <w:t>排</w:t>
      </w:r>
      <w:r>
        <w:rPr>
          <w:rFonts w:cs="Times New Roman"/>
        </w:rPr>
        <w:t>水</w:t>
      </w:r>
      <w:r>
        <w:rPr>
          <w:rFonts w:hint="eastAsia" w:cs="Times New Roman"/>
        </w:rPr>
        <w:t>和循环冷却水排</w:t>
      </w:r>
      <w:r>
        <w:rPr>
          <w:rFonts w:cs="Times New Roman"/>
        </w:rPr>
        <w:t>水</w:t>
      </w:r>
      <w:r>
        <w:rPr>
          <w:rFonts w:hint="eastAsia" w:cs="Times New Roman"/>
        </w:rPr>
        <w:t>直接</w:t>
      </w:r>
      <w:r>
        <w:rPr>
          <w:rFonts w:cs="Times New Roman"/>
        </w:rPr>
        <w:t>接入总排口；工艺废水、设备冲洗废水、</w:t>
      </w:r>
      <w:r>
        <w:rPr>
          <w:rFonts w:hint="eastAsia" w:cs="Times New Roman"/>
        </w:rPr>
        <w:t>废气处理</w:t>
      </w:r>
      <w:r>
        <w:rPr>
          <w:rFonts w:cs="Times New Roman"/>
        </w:rPr>
        <w:t>设施</w:t>
      </w:r>
      <w:r>
        <w:rPr>
          <w:rFonts w:hint="eastAsia" w:cs="Times New Roman"/>
        </w:rPr>
        <w:t>排水</w:t>
      </w:r>
      <w:r>
        <w:rPr>
          <w:rFonts w:cs="Times New Roman"/>
        </w:rPr>
        <w:t>、地</w:t>
      </w:r>
      <w:r>
        <w:rPr>
          <w:rFonts w:hint="eastAsia" w:cs="Times New Roman"/>
        </w:rPr>
        <w:t>面</w:t>
      </w:r>
      <w:r>
        <w:rPr>
          <w:rFonts w:cs="Times New Roman"/>
        </w:rPr>
        <w:t>冲洗废水、</w:t>
      </w:r>
      <w:r>
        <w:rPr>
          <w:rFonts w:hint="eastAsia" w:cs="Times New Roman"/>
        </w:rPr>
        <w:t>再生水</w:t>
      </w:r>
      <w:r>
        <w:rPr>
          <w:rFonts w:cs="Times New Roman"/>
        </w:rPr>
        <w:t>、实验室废水、生活污水</w:t>
      </w:r>
      <w:r>
        <w:rPr>
          <w:rFonts w:hint="eastAsia" w:cs="Times New Roman"/>
        </w:rPr>
        <w:t>和</w:t>
      </w:r>
      <w:r>
        <w:rPr>
          <w:rFonts w:cs="Times New Roman"/>
        </w:rPr>
        <w:t>初期雨水等</w:t>
      </w:r>
      <w:r>
        <w:rPr>
          <w:rFonts w:hint="eastAsia" w:ascii="宋体" w:hAnsi="宋体"/>
        </w:rPr>
        <w:t>经</w:t>
      </w:r>
      <w:r>
        <w:rPr>
          <w:rFonts w:hint="eastAsia"/>
        </w:rPr>
        <w:t>“调节池+混凝沉淀+水解酸化+MBR</w:t>
      </w:r>
      <w:r>
        <w:rPr>
          <w:rFonts w:hint="eastAsia" w:ascii="宋体" w:hAnsi="宋体"/>
        </w:rPr>
        <w:t>”处理达标后接管沫河口</w:t>
      </w:r>
      <w:r>
        <w:rPr>
          <w:rFonts w:ascii="宋体" w:hAnsi="宋体"/>
        </w:rPr>
        <w:t>污水处理厂</w:t>
      </w:r>
      <w:r>
        <w:rPr>
          <w:rFonts w:hint="eastAsia" w:ascii="宋体" w:hAnsi="宋体"/>
        </w:rPr>
        <w:t>。</w:t>
      </w:r>
    </w:p>
    <w:p w14:paraId="2A44F9F8">
      <w:pPr>
        <w:ind w:firstLine="480"/>
      </w:pPr>
      <w:r>
        <w:rPr>
          <w:rFonts w:hint="eastAsia" w:ascii="宋体" w:hAnsi="宋体"/>
        </w:rPr>
        <w:t>项目废水</w:t>
      </w:r>
      <w:r>
        <w:rPr>
          <w:rFonts w:ascii="宋体" w:hAnsi="宋体"/>
        </w:rPr>
        <w:t>总排放量为</w:t>
      </w:r>
      <w:r>
        <w:rPr>
          <w:rFonts w:hint="eastAsia"/>
        </w:rPr>
        <w:t>175806.735</w:t>
      </w:r>
      <w:r>
        <w:t>t/a</w:t>
      </w:r>
      <w:r>
        <w:rPr>
          <w:rFonts w:hint="eastAsia" w:ascii="宋体" w:hAnsi="宋体"/>
        </w:rPr>
        <w:t>，通过</w:t>
      </w:r>
      <w:r>
        <w:rPr>
          <w:rFonts w:ascii="宋体" w:hAnsi="宋体"/>
        </w:rPr>
        <w:t>污水管网接管</w:t>
      </w:r>
      <w:r>
        <w:rPr>
          <w:rFonts w:hint="eastAsia" w:ascii="宋体" w:hAnsi="宋体"/>
        </w:rPr>
        <w:t>沫河口污水处理厂，</w:t>
      </w:r>
      <w:r>
        <w:rPr>
          <w:rFonts w:ascii="宋体" w:hAnsi="宋体"/>
        </w:rPr>
        <w:t>经</w:t>
      </w:r>
      <w:r>
        <w:rPr>
          <w:rFonts w:hint="eastAsia" w:ascii="宋体" w:hAnsi="宋体"/>
        </w:rPr>
        <w:t>污水厂处理</w:t>
      </w:r>
      <w:r>
        <w:rPr>
          <w:rFonts w:ascii="宋体" w:hAnsi="宋体"/>
        </w:rPr>
        <w:t>达到《城镇污水处理厂污染物排放标准》（</w:t>
      </w:r>
      <w:r>
        <w:t>GB18918-2002</w:t>
      </w:r>
      <w:r>
        <w:rPr>
          <w:rFonts w:ascii="宋体" w:hAnsi="宋体"/>
        </w:rPr>
        <w:t>）中一级</w:t>
      </w:r>
      <w:r>
        <w:t>A</w:t>
      </w:r>
      <w:r>
        <w:rPr>
          <w:rFonts w:ascii="宋体" w:hAnsi="宋体"/>
        </w:rPr>
        <w:t>标准，尾水最终</w:t>
      </w:r>
      <w:r>
        <w:rPr>
          <w:rFonts w:hint="eastAsia" w:ascii="宋体" w:hAnsi="宋体"/>
        </w:rPr>
        <w:t>汇入</w:t>
      </w:r>
      <w:r>
        <w:rPr>
          <w:rFonts w:ascii="宋体" w:hAnsi="宋体"/>
        </w:rPr>
        <w:t>淮河</w:t>
      </w:r>
      <w:r>
        <w:rPr>
          <w:rFonts w:hint="eastAsia" w:ascii="宋体" w:hAnsi="宋体"/>
        </w:rPr>
        <w:t>。根据</w:t>
      </w:r>
      <w:r>
        <w:rPr>
          <w:rFonts w:ascii="宋体" w:hAnsi="宋体"/>
        </w:rPr>
        <w:t>《</w:t>
      </w:r>
      <w:r>
        <w:rPr>
          <w:rFonts w:hint="eastAsia" w:ascii="宋体" w:hAnsi="宋体"/>
        </w:rPr>
        <w:t>蚌埠第三污水</w:t>
      </w:r>
      <w:r>
        <w:rPr>
          <w:rFonts w:ascii="宋体" w:hAnsi="宋体"/>
        </w:rPr>
        <w:t>处理有限公司沫河口污水处理厂三期工程环境影响报告书》</w:t>
      </w:r>
      <w:r>
        <w:rPr>
          <w:rFonts w:hint="eastAsia" w:ascii="宋体" w:hAnsi="宋体"/>
        </w:rPr>
        <w:t>（报批</w:t>
      </w:r>
      <w:r>
        <w:rPr>
          <w:rFonts w:ascii="宋体" w:hAnsi="宋体"/>
        </w:rPr>
        <w:t>中</w:t>
      </w:r>
      <w:r>
        <w:rPr>
          <w:rFonts w:hint="eastAsia" w:ascii="宋体" w:hAnsi="宋体"/>
        </w:rPr>
        <w:t>）中对</w:t>
      </w:r>
      <w:r>
        <w:rPr>
          <w:rFonts w:ascii="宋体" w:hAnsi="宋体"/>
        </w:rPr>
        <w:t>地表水影响分析</w:t>
      </w:r>
      <w:r>
        <w:rPr>
          <w:rFonts w:hint="eastAsia" w:ascii="宋体" w:hAnsi="宋体"/>
        </w:rPr>
        <w:t>结论，</w:t>
      </w:r>
      <w:r>
        <w:rPr>
          <w:rFonts w:hint="eastAsia"/>
        </w:rPr>
        <w:t>“</w:t>
      </w:r>
      <w:r>
        <w:t>COD</w:t>
      </w:r>
      <w:r>
        <w:rPr>
          <w:rFonts w:hint="eastAsia" w:ascii="宋体" w:hAnsi="宋体"/>
        </w:rPr>
        <w:t>、</w:t>
      </w:r>
      <w:r>
        <w:t>NH</w:t>
      </w:r>
      <w:r>
        <w:rPr>
          <w:vertAlign w:val="subscript"/>
        </w:rPr>
        <w:t>3</w:t>
      </w:r>
      <w:r>
        <w:t>-N</w:t>
      </w:r>
      <w:r>
        <w:rPr>
          <w:rFonts w:hint="eastAsia" w:ascii="宋体" w:hAnsi="宋体"/>
        </w:rPr>
        <w:t>预测浓度在淮河蚌埠段丰水期、枯水期评价范围内均能满足《地表水环境质量标准》（</w:t>
      </w:r>
      <w:r>
        <w:t>GB3838-2002</w:t>
      </w:r>
      <w:r>
        <w:rPr>
          <w:rFonts w:hint="eastAsia" w:ascii="宋体" w:hAnsi="宋体"/>
        </w:rPr>
        <w:t>）中的</w:t>
      </w:r>
      <w:r>
        <w:t>III</w:t>
      </w:r>
      <w:r>
        <w:rPr>
          <w:rFonts w:hint="eastAsia" w:ascii="宋体" w:hAnsi="宋体"/>
        </w:rPr>
        <w:t>类标准，废水污染源较施行前有一定程度削减，降低区域水环境影响以达到改善区域水环境质量的目的。污水厂</w:t>
      </w:r>
      <w:r>
        <w:rPr>
          <w:rFonts w:ascii="宋体" w:hAnsi="宋体"/>
        </w:rPr>
        <w:t>三期工程建成运行后，</w:t>
      </w:r>
      <w:r>
        <w:rPr>
          <w:rFonts w:hint="eastAsia" w:ascii="宋体" w:hAnsi="宋体"/>
        </w:rPr>
        <w:t>不会</w:t>
      </w:r>
      <w:r>
        <w:rPr>
          <w:rFonts w:ascii="宋体" w:hAnsi="宋体"/>
        </w:rPr>
        <w:t>改变排污口下游各断面的水环境功能级别，</w:t>
      </w:r>
      <w:r>
        <w:rPr>
          <w:rFonts w:hint="eastAsia" w:ascii="宋体" w:hAnsi="宋体"/>
        </w:rPr>
        <w:t>依然满足</w:t>
      </w:r>
      <w:r>
        <w:rPr>
          <w:rFonts w:ascii="宋体" w:hAnsi="宋体"/>
        </w:rPr>
        <w:t>《地表水环境质量标准》（</w:t>
      </w:r>
      <w:r>
        <w:t>GB3838-2002</w:t>
      </w:r>
      <w:r>
        <w:rPr>
          <w:rFonts w:ascii="宋体" w:hAnsi="宋体"/>
        </w:rPr>
        <w:t>）中的</w:t>
      </w:r>
      <w:r>
        <w:t>III</w:t>
      </w:r>
      <w:r>
        <w:rPr>
          <w:rFonts w:ascii="宋体" w:hAnsi="宋体"/>
        </w:rPr>
        <w:t>类标准</w:t>
      </w:r>
      <w:r>
        <w:rPr>
          <w:rFonts w:hint="eastAsia" w:ascii="宋体" w:hAnsi="宋体"/>
        </w:rPr>
        <w:t>要求</w:t>
      </w:r>
      <w:r>
        <w:rPr>
          <w:rFonts w:hint="eastAsia"/>
        </w:rPr>
        <w:t>”</w:t>
      </w:r>
      <w:r>
        <w:rPr>
          <w:rFonts w:ascii="宋体" w:hAnsi="宋体"/>
        </w:rPr>
        <w:t>。</w:t>
      </w:r>
    </w:p>
    <w:p w14:paraId="4DE632F4">
      <w:pPr>
        <w:ind w:firstLine="480"/>
      </w:pPr>
    </w:p>
    <w:p w14:paraId="08E56025">
      <w:pPr>
        <w:ind w:firstLine="480"/>
      </w:pPr>
    </w:p>
    <w:p w14:paraId="62A62582">
      <w:pPr>
        <w:ind w:firstLine="480"/>
      </w:pPr>
    </w:p>
    <w:p w14:paraId="1AF9E3AA">
      <w:pPr>
        <w:ind w:firstLine="480"/>
      </w:pPr>
    </w:p>
    <w:p w14:paraId="7F9FB8C3">
      <w:pPr>
        <w:ind w:firstLine="480"/>
      </w:pPr>
    </w:p>
    <w:p w14:paraId="2D800009">
      <w:pPr>
        <w:ind w:firstLine="480"/>
      </w:pPr>
    </w:p>
    <w:p w14:paraId="228E2207">
      <w:pPr>
        <w:ind w:firstLine="480"/>
      </w:pPr>
    </w:p>
    <w:p w14:paraId="41BC2855">
      <w:pPr>
        <w:ind w:firstLine="480"/>
      </w:pPr>
    </w:p>
    <w:p w14:paraId="6A640AC9">
      <w:pPr>
        <w:ind w:firstLine="480"/>
      </w:pPr>
    </w:p>
    <w:p w14:paraId="1AFEACEB">
      <w:pPr>
        <w:ind w:firstLine="480"/>
      </w:pPr>
    </w:p>
    <w:p w14:paraId="373C7C6D">
      <w:pPr>
        <w:ind w:firstLine="480"/>
      </w:pPr>
    </w:p>
    <w:p w14:paraId="416A003C">
      <w:pPr>
        <w:ind w:firstLine="480"/>
        <w:sectPr>
          <w:pgSz w:w="11907" w:h="16839"/>
          <w:pgMar w:top="1440" w:right="1440" w:bottom="1440" w:left="1440" w:header="851" w:footer="992" w:gutter="0"/>
          <w:cols w:space="425" w:num="1"/>
          <w:docGrid w:type="lines" w:linePitch="326" w:charSpace="0"/>
        </w:sectPr>
      </w:pPr>
    </w:p>
    <w:p w14:paraId="38705BE5">
      <w:pPr>
        <w:spacing w:before="240" w:after="120"/>
        <w:ind w:firstLine="0" w:firstLineChars="0"/>
        <w:jc w:val="left"/>
        <w:outlineLvl w:val="2"/>
        <w:rPr>
          <w:rFonts w:eastAsia="黑体"/>
          <w:sz w:val="28"/>
          <w:szCs w:val="28"/>
        </w:rPr>
      </w:pPr>
      <w:bookmarkStart w:id="229" w:name="_Toc108662647"/>
      <w:bookmarkStart w:id="230" w:name="_Toc101135870"/>
      <w:bookmarkStart w:id="231" w:name="_Toc100784038"/>
      <w:r>
        <w:rPr>
          <w:rFonts w:hint="eastAsia" w:eastAsia="黑体"/>
          <w:sz w:val="28"/>
          <w:szCs w:val="28"/>
        </w:rPr>
        <w:t>5.2.2</w:t>
      </w:r>
      <w:r>
        <w:rPr>
          <w:rFonts w:hint="eastAsia" w:ascii="黑体" w:hAnsi="黑体" w:eastAsia="黑体"/>
          <w:sz w:val="28"/>
          <w:szCs w:val="28"/>
        </w:rPr>
        <w:t>废水污染物</w:t>
      </w:r>
      <w:r>
        <w:rPr>
          <w:rFonts w:ascii="黑体" w:hAnsi="黑体" w:eastAsia="黑体"/>
          <w:sz w:val="28"/>
          <w:szCs w:val="28"/>
        </w:rPr>
        <w:t>排放信息表</w:t>
      </w:r>
      <w:bookmarkEnd w:id="229"/>
      <w:bookmarkEnd w:id="230"/>
      <w:bookmarkEnd w:id="231"/>
    </w:p>
    <w:p w14:paraId="498230E4">
      <w:pPr>
        <w:spacing w:line="500" w:lineRule="exact"/>
        <w:ind w:firstLine="0" w:firstLineChars="0"/>
        <w:jc w:val="center"/>
        <w:rPr>
          <w:rFonts w:eastAsia="黑体"/>
          <w:szCs w:val="24"/>
        </w:rPr>
      </w:pPr>
      <w:r>
        <w:rPr>
          <w:rFonts w:hint="eastAsia" w:ascii="黑体" w:hAnsi="黑体" w:eastAsia="黑体"/>
        </w:rPr>
        <w:t>表</w:t>
      </w:r>
      <w:r>
        <w:rPr>
          <w:rFonts w:hint="eastAsia" w:eastAsia="黑体"/>
        </w:rPr>
        <w:t>5.2.2</w:t>
      </w:r>
      <w:r>
        <w:rPr>
          <w:rFonts w:eastAsia="黑体"/>
        </w:rPr>
        <w:t xml:space="preserve">-1  </w:t>
      </w:r>
      <w:r>
        <w:rPr>
          <w:rFonts w:hint="eastAsia" w:ascii="黑体" w:hAnsi="黑体" w:eastAsia="黑体"/>
        </w:rPr>
        <w:t>废水类别</w:t>
      </w:r>
      <w:r>
        <w:rPr>
          <w:rFonts w:ascii="黑体" w:hAnsi="黑体" w:eastAsia="黑体"/>
        </w:rPr>
        <w:t>、污染物及污染治理设施信息表</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08"/>
        <w:gridCol w:w="1089"/>
        <w:gridCol w:w="1178"/>
        <w:gridCol w:w="1329"/>
        <w:gridCol w:w="1228"/>
        <w:gridCol w:w="676"/>
        <w:gridCol w:w="1240"/>
        <w:gridCol w:w="1390"/>
        <w:gridCol w:w="1245"/>
        <w:gridCol w:w="1281"/>
        <w:gridCol w:w="2795"/>
      </w:tblGrid>
      <w:tr w14:paraId="46C24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vMerge w:val="restart"/>
            <w:tcBorders>
              <w:top w:val="single" w:color="auto" w:sz="12" w:space="0"/>
              <w:left w:val="nil"/>
              <w:bottom w:val="single" w:color="auto" w:sz="4" w:space="0"/>
              <w:right w:val="single" w:color="auto" w:sz="4" w:space="0"/>
            </w:tcBorders>
            <w:vAlign w:val="center"/>
          </w:tcPr>
          <w:p w14:paraId="229A665C">
            <w:pPr>
              <w:pStyle w:val="445"/>
            </w:pPr>
            <w:r>
              <w:rPr>
                <w:rFonts w:hint="eastAsia"/>
              </w:rPr>
              <w:t>序号</w:t>
            </w:r>
          </w:p>
        </w:tc>
        <w:tc>
          <w:tcPr>
            <w:tcW w:w="390" w:type="pct"/>
            <w:vMerge w:val="restart"/>
            <w:tcBorders>
              <w:top w:val="single" w:color="auto" w:sz="12" w:space="0"/>
              <w:left w:val="single" w:color="auto" w:sz="4" w:space="0"/>
              <w:bottom w:val="single" w:color="auto" w:sz="4" w:space="0"/>
              <w:right w:val="single" w:color="auto" w:sz="4" w:space="0"/>
            </w:tcBorders>
            <w:vAlign w:val="center"/>
          </w:tcPr>
          <w:p w14:paraId="18558E7F">
            <w:pPr>
              <w:pStyle w:val="445"/>
            </w:pPr>
            <w:r>
              <w:rPr>
                <w:rFonts w:hint="eastAsia"/>
              </w:rPr>
              <w:t>废水类别</w:t>
            </w:r>
          </w:p>
        </w:tc>
        <w:tc>
          <w:tcPr>
            <w:tcW w:w="422" w:type="pct"/>
            <w:vMerge w:val="restart"/>
            <w:tcBorders>
              <w:top w:val="single" w:color="auto" w:sz="12" w:space="0"/>
              <w:left w:val="single" w:color="auto" w:sz="4" w:space="0"/>
              <w:bottom w:val="single" w:color="auto" w:sz="4" w:space="0"/>
              <w:right w:val="single" w:color="auto" w:sz="4" w:space="0"/>
            </w:tcBorders>
            <w:vAlign w:val="center"/>
          </w:tcPr>
          <w:p w14:paraId="25486505">
            <w:pPr>
              <w:pStyle w:val="445"/>
            </w:pPr>
            <w:r>
              <w:rPr>
                <w:rFonts w:hint="eastAsia"/>
              </w:rPr>
              <w:t>污染物种类</w:t>
            </w:r>
          </w:p>
        </w:tc>
        <w:tc>
          <w:tcPr>
            <w:tcW w:w="476" w:type="pct"/>
            <w:vMerge w:val="restart"/>
            <w:tcBorders>
              <w:top w:val="single" w:color="auto" w:sz="12" w:space="0"/>
              <w:left w:val="single" w:color="auto" w:sz="4" w:space="0"/>
              <w:bottom w:val="single" w:color="auto" w:sz="4" w:space="0"/>
              <w:right w:val="single" w:color="auto" w:sz="4" w:space="0"/>
            </w:tcBorders>
            <w:vAlign w:val="center"/>
          </w:tcPr>
          <w:p w14:paraId="65584436">
            <w:pPr>
              <w:pStyle w:val="445"/>
            </w:pPr>
            <w:r>
              <w:rPr>
                <w:rFonts w:hint="eastAsia"/>
              </w:rPr>
              <w:t>排放去向</w:t>
            </w:r>
          </w:p>
        </w:tc>
        <w:tc>
          <w:tcPr>
            <w:tcW w:w="440" w:type="pct"/>
            <w:vMerge w:val="restart"/>
            <w:tcBorders>
              <w:top w:val="single" w:color="auto" w:sz="12" w:space="0"/>
              <w:left w:val="single" w:color="auto" w:sz="4" w:space="0"/>
              <w:bottom w:val="single" w:color="auto" w:sz="4" w:space="0"/>
              <w:right w:val="single" w:color="auto" w:sz="4" w:space="0"/>
            </w:tcBorders>
            <w:vAlign w:val="center"/>
          </w:tcPr>
          <w:p w14:paraId="063DABD4">
            <w:pPr>
              <w:pStyle w:val="445"/>
            </w:pPr>
            <w:r>
              <w:rPr>
                <w:rFonts w:hint="eastAsia"/>
              </w:rPr>
              <w:t>排放规律</w:t>
            </w:r>
          </w:p>
        </w:tc>
        <w:tc>
          <w:tcPr>
            <w:tcW w:w="1184" w:type="pct"/>
            <w:gridSpan w:val="3"/>
            <w:tcBorders>
              <w:top w:val="single" w:color="auto" w:sz="12" w:space="0"/>
              <w:left w:val="single" w:color="auto" w:sz="4" w:space="0"/>
              <w:bottom w:val="single" w:color="auto" w:sz="4" w:space="0"/>
              <w:right w:val="single" w:color="auto" w:sz="4" w:space="0"/>
            </w:tcBorders>
            <w:vAlign w:val="center"/>
          </w:tcPr>
          <w:p w14:paraId="06F5A030">
            <w:pPr>
              <w:pStyle w:val="445"/>
            </w:pPr>
            <w:r>
              <w:rPr>
                <w:rFonts w:hint="eastAsia"/>
              </w:rPr>
              <w:t>治理措施</w:t>
            </w:r>
          </w:p>
        </w:tc>
        <w:tc>
          <w:tcPr>
            <w:tcW w:w="446" w:type="pct"/>
            <w:vMerge w:val="restart"/>
            <w:tcBorders>
              <w:top w:val="single" w:color="auto" w:sz="12" w:space="0"/>
              <w:left w:val="single" w:color="auto" w:sz="4" w:space="0"/>
              <w:bottom w:val="single" w:color="auto" w:sz="4" w:space="0"/>
              <w:right w:val="single" w:color="auto" w:sz="4" w:space="0"/>
            </w:tcBorders>
            <w:vAlign w:val="center"/>
          </w:tcPr>
          <w:p w14:paraId="180EFF72">
            <w:pPr>
              <w:pStyle w:val="445"/>
            </w:pPr>
            <w:r>
              <w:rPr>
                <w:rFonts w:hint="eastAsia"/>
              </w:rPr>
              <w:t>排放口</w:t>
            </w:r>
          </w:p>
          <w:p w14:paraId="126A8020">
            <w:pPr>
              <w:pStyle w:val="445"/>
            </w:pPr>
            <w:r>
              <w:rPr>
                <w:rFonts w:hint="eastAsia"/>
              </w:rPr>
              <w:t>编号</w:t>
            </w:r>
          </w:p>
        </w:tc>
        <w:tc>
          <w:tcPr>
            <w:tcW w:w="459" w:type="pct"/>
            <w:vMerge w:val="restart"/>
            <w:tcBorders>
              <w:top w:val="single" w:color="auto" w:sz="12" w:space="0"/>
              <w:left w:val="single" w:color="auto" w:sz="4" w:space="0"/>
              <w:bottom w:val="single" w:color="auto" w:sz="4" w:space="0"/>
              <w:right w:val="single" w:color="auto" w:sz="4" w:space="0"/>
            </w:tcBorders>
            <w:vAlign w:val="center"/>
          </w:tcPr>
          <w:p w14:paraId="1AC1F896">
            <w:pPr>
              <w:pStyle w:val="445"/>
            </w:pPr>
            <w:r>
              <w:rPr>
                <w:rFonts w:hint="eastAsia"/>
              </w:rPr>
              <w:t>排放口设置是否符合要求</w:t>
            </w:r>
          </w:p>
        </w:tc>
        <w:tc>
          <w:tcPr>
            <w:tcW w:w="1001" w:type="pct"/>
            <w:vMerge w:val="restart"/>
            <w:tcBorders>
              <w:top w:val="single" w:color="auto" w:sz="12" w:space="0"/>
              <w:left w:val="single" w:color="auto" w:sz="4" w:space="0"/>
              <w:bottom w:val="single" w:color="auto" w:sz="4" w:space="0"/>
              <w:right w:val="nil"/>
            </w:tcBorders>
            <w:vAlign w:val="center"/>
          </w:tcPr>
          <w:p w14:paraId="1E6A455F">
            <w:pPr>
              <w:pStyle w:val="445"/>
            </w:pPr>
            <w:r>
              <w:rPr>
                <w:rFonts w:hint="eastAsia"/>
              </w:rPr>
              <w:t>排放口</w:t>
            </w:r>
          </w:p>
          <w:p w14:paraId="6DF40DCC">
            <w:pPr>
              <w:pStyle w:val="445"/>
            </w:pPr>
            <w:r>
              <w:rPr>
                <w:rFonts w:hint="eastAsia"/>
              </w:rPr>
              <w:t>类型</w:t>
            </w:r>
          </w:p>
        </w:tc>
      </w:tr>
      <w:tr w14:paraId="4ABD5A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12" w:space="0"/>
              <w:left w:val="nil"/>
              <w:bottom w:val="single" w:color="auto" w:sz="4" w:space="0"/>
              <w:right w:val="single" w:color="auto" w:sz="4" w:space="0"/>
            </w:tcBorders>
            <w:vAlign w:val="center"/>
          </w:tcPr>
          <w:p w14:paraId="25EFD7E6">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D3A5B15">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2C52E3D">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218BAC82">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0665C29C">
            <w:pPr>
              <w:pStyle w:val="445"/>
              <w:rPr>
                <w:szCs w:val="18"/>
              </w:rPr>
            </w:pPr>
          </w:p>
        </w:tc>
        <w:tc>
          <w:tcPr>
            <w:tcW w:w="242" w:type="pct"/>
            <w:tcBorders>
              <w:top w:val="single" w:color="auto" w:sz="4" w:space="0"/>
              <w:left w:val="single" w:color="auto" w:sz="4" w:space="0"/>
              <w:bottom w:val="single" w:color="auto" w:sz="4" w:space="0"/>
              <w:right w:val="single" w:color="auto" w:sz="4" w:space="0"/>
            </w:tcBorders>
            <w:vAlign w:val="center"/>
          </w:tcPr>
          <w:p w14:paraId="08E783D0">
            <w:pPr>
              <w:pStyle w:val="445"/>
            </w:pPr>
            <w:r>
              <w:rPr>
                <w:rFonts w:hint="eastAsia"/>
              </w:rPr>
              <w:t>污染治理设施</w:t>
            </w:r>
          </w:p>
          <w:p w14:paraId="34B86B53">
            <w:pPr>
              <w:pStyle w:val="445"/>
            </w:pPr>
            <w:r>
              <w:rPr>
                <w:rFonts w:hint="eastAsia"/>
              </w:rPr>
              <w:t>编号</w:t>
            </w:r>
          </w:p>
        </w:tc>
        <w:tc>
          <w:tcPr>
            <w:tcW w:w="444" w:type="pct"/>
            <w:tcBorders>
              <w:top w:val="single" w:color="auto" w:sz="4" w:space="0"/>
              <w:left w:val="single" w:color="auto" w:sz="4" w:space="0"/>
              <w:bottom w:val="single" w:color="auto" w:sz="4" w:space="0"/>
              <w:right w:val="single" w:color="auto" w:sz="4" w:space="0"/>
            </w:tcBorders>
            <w:vAlign w:val="center"/>
          </w:tcPr>
          <w:p w14:paraId="21FA21CD">
            <w:pPr>
              <w:pStyle w:val="445"/>
            </w:pPr>
            <w:r>
              <w:rPr>
                <w:rFonts w:hint="eastAsia"/>
              </w:rPr>
              <w:t>污染治理设施</w:t>
            </w:r>
          </w:p>
          <w:p w14:paraId="13EF765D">
            <w:pPr>
              <w:pStyle w:val="445"/>
            </w:pPr>
            <w:r>
              <w:rPr>
                <w:rFonts w:hint="eastAsia"/>
              </w:rPr>
              <w:t>名称</w:t>
            </w:r>
          </w:p>
        </w:tc>
        <w:tc>
          <w:tcPr>
            <w:tcW w:w="498" w:type="pct"/>
            <w:tcBorders>
              <w:top w:val="single" w:color="auto" w:sz="4" w:space="0"/>
              <w:left w:val="single" w:color="auto" w:sz="4" w:space="0"/>
              <w:bottom w:val="single" w:color="auto" w:sz="4" w:space="0"/>
              <w:right w:val="single" w:color="auto" w:sz="4" w:space="0"/>
            </w:tcBorders>
            <w:vAlign w:val="center"/>
          </w:tcPr>
          <w:p w14:paraId="649C8CCC">
            <w:pPr>
              <w:pStyle w:val="445"/>
            </w:pPr>
            <w:r>
              <w:rPr>
                <w:rFonts w:hint="eastAsia"/>
              </w:rPr>
              <w:t>污染治理设施工艺</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64D26518">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67D34A3">
            <w:pPr>
              <w:pStyle w:val="445"/>
              <w:rPr>
                <w:szCs w:val="18"/>
              </w:rPr>
            </w:pPr>
          </w:p>
        </w:tc>
        <w:tc>
          <w:tcPr>
            <w:tcW w:w="0" w:type="auto"/>
            <w:vMerge w:val="continue"/>
            <w:tcBorders>
              <w:top w:val="single" w:color="auto" w:sz="12" w:space="0"/>
              <w:left w:val="single" w:color="auto" w:sz="4" w:space="0"/>
              <w:bottom w:val="single" w:color="auto" w:sz="4" w:space="0"/>
              <w:right w:val="nil"/>
            </w:tcBorders>
            <w:vAlign w:val="center"/>
          </w:tcPr>
          <w:p w14:paraId="3C595923">
            <w:pPr>
              <w:pStyle w:val="445"/>
              <w:rPr>
                <w:szCs w:val="18"/>
              </w:rPr>
            </w:pPr>
          </w:p>
        </w:tc>
      </w:tr>
      <w:tr w14:paraId="185083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08A2F6F0">
            <w:pPr>
              <w:pStyle w:val="445"/>
            </w:pPr>
            <w:r>
              <w:t>1</w:t>
            </w:r>
          </w:p>
        </w:tc>
        <w:tc>
          <w:tcPr>
            <w:tcW w:w="390" w:type="pct"/>
            <w:tcBorders>
              <w:top w:val="single" w:color="auto" w:sz="4" w:space="0"/>
              <w:left w:val="single" w:color="auto" w:sz="4" w:space="0"/>
              <w:bottom w:val="single" w:color="auto" w:sz="4" w:space="0"/>
              <w:right w:val="single" w:color="auto" w:sz="4" w:space="0"/>
            </w:tcBorders>
            <w:vAlign w:val="center"/>
          </w:tcPr>
          <w:p w14:paraId="6EE7FEB2">
            <w:pPr>
              <w:pStyle w:val="445"/>
            </w:pPr>
            <w:r>
              <w:rPr>
                <w:rFonts w:hint="eastAsia"/>
              </w:rPr>
              <w:t>初期</w:t>
            </w:r>
            <w:r>
              <w:t>雨水</w:t>
            </w:r>
          </w:p>
        </w:tc>
        <w:tc>
          <w:tcPr>
            <w:tcW w:w="422" w:type="pct"/>
            <w:tcBorders>
              <w:top w:val="single" w:color="auto" w:sz="4" w:space="0"/>
              <w:left w:val="single" w:color="auto" w:sz="4" w:space="0"/>
              <w:bottom w:val="single" w:color="auto" w:sz="4" w:space="0"/>
              <w:right w:val="single" w:color="auto" w:sz="4" w:space="0"/>
            </w:tcBorders>
            <w:vAlign w:val="center"/>
          </w:tcPr>
          <w:p w14:paraId="5522E4A1">
            <w:pPr>
              <w:pStyle w:val="445"/>
            </w:pPr>
            <w:r>
              <w:rPr>
                <w:rFonts w:hint="eastAsia"/>
              </w:rPr>
              <w:t>COD</w:t>
            </w:r>
          </w:p>
          <w:p w14:paraId="64406008">
            <w:pPr>
              <w:pStyle w:val="445"/>
            </w:pPr>
            <w:r>
              <w:rPr>
                <w:rFonts w:hint="eastAsia"/>
              </w:rPr>
              <w:t>SS</w:t>
            </w:r>
          </w:p>
        </w:tc>
        <w:tc>
          <w:tcPr>
            <w:tcW w:w="476" w:type="pct"/>
            <w:tcBorders>
              <w:top w:val="single" w:color="auto" w:sz="4" w:space="0"/>
              <w:left w:val="single" w:color="auto" w:sz="4" w:space="0"/>
              <w:bottom w:val="single" w:color="auto" w:sz="4" w:space="0"/>
              <w:right w:val="single" w:color="auto" w:sz="4" w:space="0"/>
            </w:tcBorders>
            <w:vAlign w:val="center"/>
          </w:tcPr>
          <w:p w14:paraId="14B103AD">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65E6C57C">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61330461">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7D3BF160">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7FA7DE8A">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66115F46">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4380E61C">
            <w:pPr>
              <w:pStyle w:val="445"/>
            </w:pPr>
            <w:r>
              <w:rPr>
                <w:rFonts w:hint="eastAsia"/>
              </w:rPr>
              <w:t>■是</w:t>
            </w:r>
          </w:p>
          <w:p w14:paraId="4308864E">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91538C6">
            <w:pPr>
              <w:pStyle w:val="445"/>
            </w:pPr>
            <w:r>
              <w:rPr>
                <w:rFonts w:hint="eastAsia"/>
              </w:rPr>
              <w:t>■企业总排</w:t>
            </w:r>
          </w:p>
          <w:p w14:paraId="7E2FE6FB">
            <w:pPr>
              <w:pStyle w:val="445"/>
            </w:pPr>
            <w:r>
              <w:rPr>
                <w:rFonts w:hint="eastAsia"/>
              </w:rPr>
              <w:t>□雨水排放</w:t>
            </w:r>
          </w:p>
          <w:p w14:paraId="0EBD3056">
            <w:pPr>
              <w:pStyle w:val="445"/>
            </w:pPr>
            <w:r>
              <w:rPr>
                <w:rFonts w:hint="eastAsia"/>
              </w:rPr>
              <w:t>□清净下水排放</w:t>
            </w:r>
          </w:p>
          <w:p w14:paraId="0AF3FE2E">
            <w:pPr>
              <w:pStyle w:val="445"/>
            </w:pPr>
            <w:r>
              <w:rPr>
                <w:rFonts w:hint="eastAsia"/>
              </w:rPr>
              <w:t>□温排水排放</w:t>
            </w:r>
          </w:p>
          <w:p w14:paraId="4D6AE142">
            <w:pPr>
              <w:pStyle w:val="445"/>
            </w:pPr>
            <w:r>
              <w:rPr>
                <w:rFonts w:hint="eastAsia"/>
              </w:rPr>
              <w:t>□车间或车间处理设施排放</w:t>
            </w:r>
          </w:p>
        </w:tc>
      </w:tr>
      <w:tr w14:paraId="6D425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63DD6614">
            <w:pPr>
              <w:pStyle w:val="445"/>
            </w:pPr>
            <w:r>
              <w:t>2</w:t>
            </w:r>
          </w:p>
        </w:tc>
        <w:tc>
          <w:tcPr>
            <w:tcW w:w="390" w:type="pct"/>
            <w:tcBorders>
              <w:top w:val="single" w:color="auto" w:sz="4" w:space="0"/>
              <w:left w:val="single" w:color="auto" w:sz="4" w:space="0"/>
              <w:bottom w:val="single" w:color="auto" w:sz="4" w:space="0"/>
              <w:right w:val="single" w:color="auto" w:sz="4" w:space="0"/>
            </w:tcBorders>
            <w:vAlign w:val="center"/>
          </w:tcPr>
          <w:p w14:paraId="3FA1EADA">
            <w:pPr>
              <w:pStyle w:val="445"/>
            </w:pPr>
            <w:r>
              <w:rPr>
                <w:rFonts w:hint="eastAsia"/>
              </w:rPr>
              <w:t>生活污水</w:t>
            </w:r>
          </w:p>
        </w:tc>
        <w:tc>
          <w:tcPr>
            <w:tcW w:w="422" w:type="pct"/>
            <w:tcBorders>
              <w:top w:val="single" w:color="auto" w:sz="4" w:space="0"/>
              <w:left w:val="single" w:color="auto" w:sz="4" w:space="0"/>
              <w:bottom w:val="single" w:color="auto" w:sz="4" w:space="0"/>
              <w:right w:val="single" w:color="auto" w:sz="4" w:space="0"/>
            </w:tcBorders>
            <w:vAlign w:val="center"/>
          </w:tcPr>
          <w:p w14:paraId="41BB8204">
            <w:pPr>
              <w:pStyle w:val="445"/>
            </w:pPr>
            <w:r>
              <w:rPr>
                <w:rFonts w:hint="eastAsia"/>
              </w:rPr>
              <w:t>COD</w:t>
            </w:r>
          </w:p>
          <w:p w14:paraId="51779E9B">
            <w:pPr>
              <w:pStyle w:val="445"/>
            </w:pPr>
            <w:r>
              <w:rPr>
                <w:rFonts w:hint="eastAsia"/>
              </w:rPr>
              <w:t>SS</w:t>
            </w:r>
          </w:p>
          <w:p w14:paraId="1C13210C">
            <w:pPr>
              <w:pStyle w:val="445"/>
            </w:pPr>
            <w:r>
              <w:rPr>
                <w:rFonts w:hint="eastAsia"/>
              </w:rPr>
              <w:t>NH</w:t>
            </w:r>
            <w:r>
              <w:rPr>
                <w:rFonts w:hint="eastAsia"/>
                <w:vertAlign w:val="subscript"/>
              </w:rPr>
              <w:t>3</w:t>
            </w:r>
            <w:r>
              <w:rPr>
                <w:rFonts w:hint="eastAsia"/>
              </w:rPr>
              <w:t xml:space="preserve">-N </w:t>
            </w:r>
          </w:p>
          <w:p w14:paraId="7BC7E930">
            <w:pPr>
              <w:pStyle w:val="445"/>
              <w:rPr>
                <w:vertAlign w:val="subscript"/>
              </w:rPr>
            </w:pPr>
            <w:r>
              <w:rPr>
                <w:rFonts w:hint="eastAsia"/>
              </w:rPr>
              <w:t>BOD</w:t>
            </w:r>
            <w:r>
              <w:rPr>
                <w:vertAlign w:val="subscript"/>
              </w:rPr>
              <w:t>5</w:t>
            </w:r>
          </w:p>
          <w:p w14:paraId="3F49CE66">
            <w:pPr>
              <w:pStyle w:val="445"/>
            </w:pPr>
            <w:r>
              <w:rPr>
                <w:rFonts w:hint="eastAsia"/>
              </w:rPr>
              <w:t>T</w:t>
            </w:r>
            <w:r>
              <w:t>P</w:t>
            </w:r>
          </w:p>
        </w:tc>
        <w:tc>
          <w:tcPr>
            <w:tcW w:w="476" w:type="pct"/>
            <w:tcBorders>
              <w:top w:val="single" w:color="auto" w:sz="4" w:space="0"/>
              <w:left w:val="single" w:color="auto" w:sz="4" w:space="0"/>
              <w:bottom w:val="single" w:color="auto" w:sz="4" w:space="0"/>
              <w:right w:val="single" w:color="auto" w:sz="4" w:space="0"/>
            </w:tcBorders>
            <w:vAlign w:val="center"/>
          </w:tcPr>
          <w:p w14:paraId="0D7FF18E">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0062878B">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5EF68063">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31A84C34">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208040E2">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7345D758">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5963427A">
            <w:pPr>
              <w:pStyle w:val="445"/>
            </w:pPr>
            <w:r>
              <w:rPr>
                <w:rFonts w:hint="eastAsia"/>
              </w:rPr>
              <w:t>■是</w:t>
            </w:r>
          </w:p>
          <w:p w14:paraId="4FFA37BB">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4D38F2F9">
            <w:pPr>
              <w:pStyle w:val="445"/>
            </w:pPr>
            <w:r>
              <w:rPr>
                <w:rFonts w:hint="eastAsia"/>
              </w:rPr>
              <w:t>■企业总排</w:t>
            </w:r>
          </w:p>
          <w:p w14:paraId="1CCE25D5">
            <w:pPr>
              <w:pStyle w:val="445"/>
            </w:pPr>
            <w:r>
              <w:rPr>
                <w:rFonts w:hint="eastAsia"/>
              </w:rPr>
              <w:t>□雨水排放</w:t>
            </w:r>
          </w:p>
          <w:p w14:paraId="2B8E1B05">
            <w:pPr>
              <w:pStyle w:val="445"/>
            </w:pPr>
            <w:r>
              <w:rPr>
                <w:rFonts w:hint="eastAsia"/>
              </w:rPr>
              <w:t>□清净下水排放</w:t>
            </w:r>
          </w:p>
          <w:p w14:paraId="05AF62F7">
            <w:pPr>
              <w:pStyle w:val="445"/>
            </w:pPr>
            <w:r>
              <w:rPr>
                <w:rFonts w:hint="eastAsia"/>
              </w:rPr>
              <w:t>□温排水排放</w:t>
            </w:r>
          </w:p>
          <w:p w14:paraId="34745088">
            <w:pPr>
              <w:pStyle w:val="445"/>
            </w:pPr>
            <w:r>
              <w:rPr>
                <w:rFonts w:hint="eastAsia"/>
              </w:rPr>
              <w:t>□车间或车间处理设施排放</w:t>
            </w:r>
          </w:p>
        </w:tc>
      </w:tr>
      <w:tr w14:paraId="444DD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1C20EAAD">
            <w:pPr>
              <w:pStyle w:val="445"/>
            </w:pPr>
            <w:r>
              <w:rPr>
                <w:rFonts w:hint="eastAsia"/>
              </w:rPr>
              <w:t>3</w:t>
            </w:r>
          </w:p>
        </w:tc>
        <w:tc>
          <w:tcPr>
            <w:tcW w:w="390" w:type="pct"/>
            <w:tcBorders>
              <w:top w:val="single" w:color="auto" w:sz="4" w:space="0"/>
              <w:left w:val="single" w:color="auto" w:sz="4" w:space="0"/>
              <w:bottom w:val="single" w:color="auto" w:sz="4" w:space="0"/>
              <w:right w:val="single" w:color="auto" w:sz="4" w:space="0"/>
            </w:tcBorders>
            <w:vAlign w:val="center"/>
          </w:tcPr>
          <w:p w14:paraId="35D7AA1E">
            <w:pPr>
              <w:pStyle w:val="445"/>
            </w:pPr>
            <w:r>
              <w:rPr>
                <w:rFonts w:hint="eastAsia"/>
              </w:rPr>
              <w:t>循环</w:t>
            </w:r>
            <w:r>
              <w:t>冷却水排水</w:t>
            </w:r>
          </w:p>
        </w:tc>
        <w:tc>
          <w:tcPr>
            <w:tcW w:w="422" w:type="pct"/>
            <w:tcBorders>
              <w:top w:val="single" w:color="auto" w:sz="4" w:space="0"/>
              <w:left w:val="single" w:color="auto" w:sz="4" w:space="0"/>
              <w:bottom w:val="single" w:color="auto" w:sz="4" w:space="0"/>
              <w:right w:val="single" w:color="auto" w:sz="4" w:space="0"/>
            </w:tcBorders>
            <w:vAlign w:val="center"/>
          </w:tcPr>
          <w:p w14:paraId="732DD500">
            <w:pPr>
              <w:pStyle w:val="445"/>
            </w:pPr>
            <w:r>
              <w:rPr>
                <w:rFonts w:hint="eastAsia"/>
              </w:rPr>
              <w:t>COD</w:t>
            </w:r>
          </w:p>
          <w:p w14:paraId="2DA60E60">
            <w:pPr>
              <w:pStyle w:val="445"/>
            </w:pPr>
            <w:r>
              <w:rPr>
                <w:rFonts w:hint="eastAsia"/>
              </w:rPr>
              <w:t>SS</w:t>
            </w:r>
          </w:p>
        </w:tc>
        <w:tc>
          <w:tcPr>
            <w:tcW w:w="476" w:type="pct"/>
            <w:tcBorders>
              <w:top w:val="single" w:color="auto" w:sz="4" w:space="0"/>
              <w:left w:val="single" w:color="auto" w:sz="4" w:space="0"/>
              <w:bottom w:val="single" w:color="auto" w:sz="4" w:space="0"/>
              <w:right w:val="single" w:color="auto" w:sz="4" w:space="0"/>
            </w:tcBorders>
            <w:vAlign w:val="center"/>
          </w:tcPr>
          <w:p w14:paraId="56824BAB">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5F9DD44F">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44E6B7D6">
            <w:pPr>
              <w:pStyle w:val="445"/>
            </w:pPr>
            <w:r>
              <w:rPr>
                <w:rFonts w:hint="eastAsia"/>
              </w:rPr>
              <w:t>/</w:t>
            </w:r>
          </w:p>
        </w:tc>
        <w:tc>
          <w:tcPr>
            <w:tcW w:w="444" w:type="pct"/>
            <w:tcBorders>
              <w:top w:val="single" w:color="auto" w:sz="4" w:space="0"/>
              <w:left w:val="single" w:color="auto" w:sz="4" w:space="0"/>
              <w:bottom w:val="single" w:color="auto" w:sz="4" w:space="0"/>
              <w:right w:val="single" w:color="auto" w:sz="4" w:space="0"/>
            </w:tcBorders>
            <w:vAlign w:val="center"/>
          </w:tcPr>
          <w:p w14:paraId="62275E1D">
            <w:pPr>
              <w:pStyle w:val="445"/>
            </w:pPr>
            <w:r>
              <w:rPr>
                <w:rFonts w:hint="eastAsia"/>
              </w:rPr>
              <w:t>/</w:t>
            </w:r>
          </w:p>
        </w:tc>
        <w:tc>
          <w:tcPr>
            <w:tcW w:w="498" w:type="pct"/>
            <w:tcBorders>
              <w:top w:val="single" w:color="auto" w:sz="4" w:space="0"/>
              <w:left w:val="single" w:color="auto" w:sz="4" w:space="0"/>
              <w:bottom w:val="single" w:color="auto" w:sz="4" w:space="0"/>
              <w:right w:val="single" w:color="auto" w:sz="4" w:space="0"/>
            </w:tcBorders>
            <w:vAlign w:val="center"/>
          </w:tcPr>
          <w:p w14:paraId="1B52626B">
            <w:pPr>
              <w:pStyle w:val="445"/>
            </w:pPr>
            <w:r>
              <w:rPr>
                <w:rFonts w:hint="eastAsia"/>
              </w:rPr>
              <w:t>/</w:t>
            </w:r>
          </w:p>
        </w:tc>
        <w:tc>
          <w:tcPr>
            <w:tcW w:w="446" w:type="pct"/>
            <w:tcBorders>
              <w:top w:val="single" w:color="auto" w:sz="4" w:space="0"/>
              <w:left w:val="single" w:color="auto" w:sz="4" w:space="0"/>
              <w:bottom w:val="single" w:color="auto" w:sz="4" w:space="0"/>
              <w:right w:val="single" w:color="auto" w:sz="4" w:space="0"/>
            </w:tcBorders>
            <w:vAlign w:val="center"/>
          </w:tcPr>
          <w:p w14:paraId="42965B38">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1BEAAD8D">
            <w:pPr>
              <w:pStyle w:val="445"/>
            </w:pPr>
            <w:r>
              <w:rPr>
                <w:rFonts w:hint="eastAsia"/>
              </w:rPr>
              <w:t>■是</w:t>
            </w:r>
          </w:p>
          <w:p w14:paraId="1D363D9A">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EAD5DA0">
            <w:pPr>
              <w:pStyle w:val="445"/>
            </w:pPr>
            <w:r>
              <w:rPr>
                <w:rFonts w:hint="eastAsia"/>
              </w:rPr>
              <w:t>■企业总排</w:t>
            </w:r>
          </w:p>
          <w:p w14:paraId="1BEDAA4E">
            <w:pPr>
              <w:pStyle w:val="445"/>
            </w:pPr>
            <w:r>
              <w:rPr>
                <w:rFonts w:hint="eastAsia"/>
              </w:rPr>
              <w:t>□雨水排放</w:t>
            </w:r>
          </w:p>
          <w:p w14:paraId="07AB2A63">
            <w:pPr>
              <w:pStyle w:val="445"/>
            </w:pPr>
            <w:r>
              <w:rPr>
                <w:rFonts w:hint="eastAsia"/>
              </w:rPr>
              <w:t>□清净下水排放</w:t>
            </w:r>
          </w:p>
          <w:p w14:paraId="4C85C658">
            <w:pPr>
              <w:pStyle w:val="445"/>
            </w:pPr>
            <w:r>
              <w:rPr>
                <w:rFonts w:hint="eastAsia"/>
              </w:rPr>
              <w:t>□温排水排放</w:t>
            </w:r>
          </w:p>
          <w:p w14:paraId="44E5F0A5">
            <w:pPr>
              <w:pStyle w:val="445"/>
            </w:pPr>
            <w:r>
              <w:rPr>
                <w:rFonts w:hint="eastAsia"/>
              </w:rPr>
              <w:t>□车间或车间处理设施排放</w:t>
            </w:r>
          </w:p>
        </w:tc>
      </w:tr>
      <w:tr w14:paraId="3EC969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4D34FE02">
            <w:pPr>
              <w:pStyle w:val="445"/>
            </w:pPr>
            <w:r>
              <w:rPr>
                <w:rFonts w:hint="eastAsia"/>
              </w:rPr>
              <w:t>4</w:t>
            </w:r>
          </w:p>
        </w:tc>
        <w:tc>
          <w:tcPr>
            <w:tcW w:w="390" w:type="pct"/>
            <w:tcBorders>
              <w:top w:val="single" w:color="auto" w:sz="4" w:space="0"/>
              <w:left w:val="single" w:color="auto" w:sz="4" w:space="0"/>
              <w:bottom w:val="single" w:color="auto" w:sz="4" w:space="0"/>
              <w:right w:val="single" w:color="auto" w:sz="4" w:space="0"/>
            </w:tcBorders>
            <w:vAlign w:val="center"/>
          </w:tcPr>
          <w:p w14:paraId="0501800D">
            <w:pPr>
              <w:pStyle w:val="445"/>
            </w:pPr>
            <w:r>
              <w:rPr>
                <w:rFonts w:hint="eastAsia"/>
              </w:rPr>
              <w:t>纯水</w:t>
            </w:r>
            <w:r>
              <w:t>制备排水</w:t>
            </w:r>
          </w:p>
        </w:tc>
        <w:tc>
          <w:tcPr>
            <w:tcW w:w="422" w:type="pct"/>
            <w:tcBorders>
              <w:top w:val="single" w:color="auto" w:sz="4" w:space="0"/>
              <w:left w:val="single" w:color="auto" w:sz="4" w:space="0"/>
              <w:bottom w:val="single" w:color="auto" w:sz="4" w:space="0"/>
              <w:right w:val="single" w:color="auto" w:sz="4" w:space="0"/>
            </w:tcBorders>
            <w:vAlign w:val="center"/>
          </w:tcPr>
          <w:p w14:paraId="7018BBCC">
            <w:pPr>
              <w:pStyle w:val="445"/>
            </w:pPr>
            <w:r>
              <w:rPr>
                <w:rFonts w:hint="eastAsia"/>
              </w:rPr>
              <w:t>COD</w:t>
            </w:r>
          </w:p>
          <w:p w14:paraId="2D0CC0DC">
            <w:pPr>
              <w:pStyle w:val="445"/>
            </w:pPr>
            <w:r>
              <w:rPr>
                <w:rFonts w:hint="eastAsia"/>
              </w:rPr>
              <w:t>SS</w:t>
            </w:r>
          </w:p>
          <w:p w14:paraId="259A26BA">
            <w:pPr>
              <w:pStyle w:val="445"/>
            </w:pPr>
            <w:r>
              <w:rPr>
                <w:rFonts w:hint="eastAsia"/>
              </w:rPr>
              <w:t>盐分</w:t>
            </w:r>
          </w:p>
        </w:tc>
        <w:tc>
          <w:tcPr>
            <w:tcW w:w="476" w:type="pct"/>
            <w:tcBorders>
              <w:top w:val="single" w:color="auto" w:sz="4" w:space="0"/>
              <w:left w:val="single" w:color="auto" w:sz="4" w:space="0"/>
              <w:bottom w:val="single" w:color="auto" w:sz="4" w:space="0"/>
              <w:right w:val="single" w:color="auto" w:sz="4" w:space="0"/>
            </w:tcBorders>
            <w:vAlign w:val="center"/>
          </w:tcPr>
          <w:p w14:paraId="25CC634C">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2D0A1727">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77270403">
            <w:pPr>
              <w:pStyle w:val="445"/>
            </w:pPr>
            <w:r>
              <w:rPr>
                <w:rFonts w:hint="eastAsia"/>
              </w:rPr>
              <w:t>/</w:t>
            </w:r>
          </w:p>
        </w:tc>
        <w:tc>
          <w:tcPr>
            <w:tcW w:w="444" w:type="pct"/>
            <w:tcBorders>
              <w:top w:val="single" w:color="auto" w:sz="4" w:space="0"/>
              <w:left w:val="single" w:color="auto" w:sz="4" w:space="0"/>
              <w:bottom w:val="single" w:color="auto" w:sz="4" w:space="0"/>
              <w:right w:val="single" w:color="auto" w:sz="4" w:space="0"/>
            </w:tcBorders>
            <w:vAlign w:val="center"/>
          </w:tcPr>
          <w:p w14:paraId="2ED1E6EB">
            <w:pPr>
              <w:pStyle w:val="445"/>
            </w:pPr>
            <w:r>
              <w:rPr>
                <w:rFonts w:hint="eastAsia"/>
              </w:rPr>
              <w:t>/</w:t>
            </w:r>
          </w:p>
        </w:tc>
        <w:tc>
          <w:tcPr>
            <w:tcW w:w="498" w:type="pct"/>
            <w:tcBorders>
              <w:top w:val="single" w:color="auto" w:sz="4" w:space="0"/>
              <w:left w:val="single" w:color="auto" w:sz="4" w:space="0"/>
              <w:bottom w:val="single" w:color="auto" w:sz="4" w:space="0"/>
              <w:right w:val="single" w:color="auto" w:sz="4" w:space="0"/>
            </w:tcBorders>
            <w:vAlign w:val="center"/>
          </w:tcPr>
          <w:p w14:paraId="45949AB7">
            <w:pPr>
              <w:pStyle w:val="445"/>
            </w:pPr>
            <w:r>
              <w:rPr>
                <w:rFonts w:hint="eastAsia"/>
              </w:rPr>
              <w:t>/</w:t>
            </w:r>
          </w:p>
        </w:tc>
        <w:tc>
          <w:tcPr>
            <w:tcW w:w="446" w:type="pct"/>
            <w:tcBorders>
              <w:top w:val="single" w:color="auto" w:sz="4" w:space="0"/>
              <w:left w:val="single" w:color="auto" w:sz="4" w:space="0"/>
              <w:bottom w:val="single" w:color="auto" w:sz="4" w:space="0"/>
              <w:right w:val="single" w:color="auto" w:sz="4" w:space="0"/>
            </w:tcBorders>
            <w:vAlign w:val="center"/>
          </w:tcPr>
          <w:p w14:paraId="7100340C">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5B3320FC">
            <w:pPr>
              <w:pStyle w:val="445"/>
            </w:pPr>
            <w:r>
              <w:rPr>
                <w:rFonts w:hint="eastAsia"/>
              </w:rPr>
              <w:t>■是</w:t>
            </w:r>
          </w:p>
          <w:p w14:paraId="2FD99AD5">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E2E3B7C">
            <w:pPr>
              <w:pStyle w:val="445"/>
            </w:pPr>
            <w:r>
              <w:rPr>
                <w:rFonts w:hint="eastAsia"/>
              </w:rPr>
              <w:t>■企业总排</w:t>
            </w:r>
          </w:p>
          <w:p w14:paraId="0EACD7AC">
            <w:pPr>
              <w:pStyle w:val="445"/>
            </w:pPr>
            <w:r>
              <w:rPr>
                <w:rFonts w:hint="eastAsia"/>
              </w:rPr>
              <w:t>□雨水排放</w:t>
            </w:r>
          </w:p>
          <w:p w14:paraId="17DA89E0">
            <w:pPr>
              <w:pStyle w:val="445"/>
            </w:pPr>
            <w:r>
              <w:rPr>
                <w:rFonts w:hint="eastAsia"/>
              </w:rPr>
              <w:t>□清净下水排放</w:t>
            </w:r>
          </w:p>
          <w:p w14:paraId="35E8062E">
            <w:pPr>
              <w:pStyle w:val="445"/>
            </w:pPr>
            <w:r>
              <w:rPr>
                <w:rFonts w:hint="eastAsia"/>
              </w:rPr>
              <w:t>□温排水排放</w:t>
            </w:r>
          </w:p>
          <w:p w14:paraId="4A15BB90">
            <w:pPr>
              <w:pStyle w:val="445"/>
            </w:pPr>
            <w:r>
              <w:rPr>
                <w:rFonts w:hint="eastAsia"/>
              </w:rPr>
              <w:t>□车间或车间处理设施排放</w:t>
            </w:r>
          </w:p>
        </w:tc>
      </w:tr>
      <w:tr w14:paraId="48929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5896737F">
            <w:pPr>
              <w:pStyle w:val="445"/>
            </w:pPr>
            <w:r>
              <w:rPr>
                <w:rFonts w:hint="eastAsia"/>
              </w:rPr>
              <w:t>5</w:t>
            </w:r>
          </w:p>
        </w:tc>
        <w:tc>
          <w:tcPr>
            <w:tcW w:w="390" w:type="pct"/>
            <w:tcBorders>
              <w:top w:val="single" w:color="auto" w:sz="4" w:space="0"/>
              <w:left w:val="single" w:color="auto" w:sz="4" w:space="0"/>
              <w:bottom w:val="single" w:color="auto" w:sz="4" w:space="0"/>
              <w:right w:val="single" w:color="auto" w:sz="4" w:space="0"/>
            </w:tcBorders>
            <w:vAlign w:val="center"/>
          </w:tcPr>
          <w:p w14:paraId="1ED9C214">
            <w:pPr>
              <w:pStyle w:val="445"/>
            </w:pPr>
            <w:r>
              <w:rPr>
                <w:rFonts w:hint="eastAsia"/>
              </w:rPr>
              <w:t>硅溶胶工艺废水</w:t>
            </w:r>
          </w:p>
        </w:tc>
        <w:tc>
          <w:tcPr>
            <w:tcW w:w="422" w:type="pct"/>
            <w:tcBorders>
              <w:top w:val="single" w:color="auto" w:sz="4" w:space="0"/>
              <w:left w:val="single" w:color="auto" w:sz="4" w:space="0"/>
              <w:bottom w:val="single" w:color="auto" w:sz="4" w:space="0"/>
              <w:right w:val="single" w:color="auto" w:sz="4" w:space="0"/>
            </w:tcBorders>
            <w:vAlign w:val="center"/>
          </w:tcPr>
          <w:p w14:paraId="2A3C2EBD">
            <w:pPr>
              <w:pStyle w:val="445"/>
            </w:pPr>
            <w:r>
              <w:rPr>
                <w:rFonts w:hint="eastAsia"/>
              </w:rPr>
              <w:t>COD</w:t>
            </w:r>
          </w:p>
          <w:p w14:paraId="61D9C86C">
            <w:pPr>
              <w:pStyle w:val="445"/>
            </w:pPr>
            <w:r>
              <w:rPr>
                <w:rFonts w:hint="eastAsia"/>
              </w:rPr>
              <w:t>SS</w:t>
            </w:r>
          </w:p>
          <w:p w14:paraId="22F7452C">
            <w:pPr>
              <w:pStyle w:val="445"/>
            </w:pPr>
            <w:r>
              <w:rPr>
                <w:rFonts w:hint="eastAsia"/>
              </w:rPr>
              <w:t>NH</w:t>
            </w:r>
            <w:r>
              <w:rPr>
                <w:rFonts w:hint="eastAsia"/>
                <w:vertAlign w:val="subscript"/>
              </w:rPr>
              <w:t>3</w:t>
            </w:r>
            <w:r>
              <w:rPr>
                <w:rFonts w:hint="eastAsia"/>
              </w:rPr>
              <w:t>-N</w:t>
            </w:r>
          </w:p>
        </w:tc>
        <w:tc>
          <w:tcPr>
            <w:tcW w:w="476" w:type="pct"/>
            <w:tcBorders>
              <w:top w:val="single" w:color="auto" w:sz="4" w:space="0"/>
              <w:left w:val="single" w:color="auto" w:sz="4" w:space="0"/>
              <w:bottom w:val="single" w:color="auto" w:sz="4" w:space="0"/>
              <w:right w:val="single" w:color="auto" w:sz="4" w:space="0"/>
            </w:tcBorders>
            <w:vAlign w:val="center"/>
          </w:tcPr>
          <w:p w14:paraId="03255C8A">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4B5BCC69">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1BBDAD6B">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56B2A11C">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1DDB94B4">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0BE47597">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2EBECD27">
            <w:pPr>
              <w:pStyle w:val="445"/>
            </w:pPr>
            <w:r>
              <w:rPr>
                <w:rFonts w:hint="eastAsia"/>
              </w:rPr>
              <w:t>■是</w:t>
            </w:r>
          </w:p>
          <w:p w14:paraId="567FDE2C">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9DF0F3F">
            <w:pPr>
              <w:pStyle w:val="445"/>
            </w:pPr>
            <w:r>
              <w:rPr>
                <w:rFonts w:hint="eastAsia"/>
              </w:rPr>
              <w:t>■企业总排</w:t>
            </w:r>
          </w:p>
          <w:p w14:paraId="3D58B688">
            <w:pPr>
              <w:pStyle w:val="445"/>
            </w:pPr>
            <w:r>
              <w:rPr>
                <w:rFonts w:hint="eastAsia"/>
              </w:rPr>
              <w:t>□雨水排放</w:t>
            </w:r>
          </w:p>
          <w:p w14:paraId="0F5F66A9">
            <w:pPr>
              <w:pStyle w:val="445"/>
            </w:pPr>
            <w:r>
              <w:rPr>
                <w:rFonts w:hint="eastAsia"/>
              </w:rPr>
              <w:t>□清净下水排放</w:t>
            </w:r>
          </w:p>
          <w:p w14:paraId="59F22068">
            <w:pPr>
              <w:pStyle w:val="445"/>
            </w:pPr>
            <w:r>
              <w:rPr>
                <w:rFonts w:hint="eastAsia"/>
              </w:rPr>
              <w:t>□温排水排放</w:t>
            </w:r>
          </w:p>
          <w:p w14:paraId="027B204B">
            <w:pPr>
              <w:pStyle w:val="445"/>
            </w:pPr>
            <w:r>
              <w:rPr>
                <w:rFonts w:hint="eastAsia"/>
              </w:rPr>
              <w:t>□车间或车间处理设施排放</w:t>
            </w:r>
          </w:p>
        </w:tc>
      </w:tr>
      <w:tr w14:paraId="6DA619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6090A43A">
            <w:pPr>
              <w:pStyle w:val="445"/>
            </w:pPr>
            <w:r>
              <w:rPr>
                <w:rFonts w:hint="eastAsia"/>
              </w:rPr>
              <w:t>6</w:t>
            </w:r>
          </w:p>
        </w:tc>
        <w:tc>
          <w:tcPr>
            <w:tcW w:w="390" w:type="pct"/>
            <w:tcBorders>
              <w:top w:val="single" w:color="auto" w:sz="4" w:space="0"/>
              <w:left w:val="single" w:color="auto" w:sz="4" w:space="0"/>
              <w:bottom w:val="single" w:color="auto" w:sz="4" w:space="0"/>
              <w:right w:val="single" w:color="auto" w:sz="4" w:space="0"/>
            </w:tcBorders>
            <w:vAlign w:val="center"/>
          </w:tcPr>
          <w:p w14:paraId="27F9323E">
            <w:pPr>
              <w:pStyle w:val="445"/>
            </w:pPr>
            <w:r>
              <w:rPr>
                <w:rFonts w:hint="eastAsia"/>
              </w:rPr>
              <w:t>设备</w:t>
            </w:r>
            <w:r>
              <w:t>冲洗水</w:t>
            </w:r>
          </w:p>
        </w:tc>
        <w:tc>
          <w:tcPr>
            <w:tcW w:w="422" w:type="pct"/>
            <w:tcBorders>
              <w:top w:val="single" w:color="auto" w:sz="4" w:space="0"/>
              <w:left w:val="single" w:color="auto" w:sz="4" w:space="0"/>
              <w:bottom w:val="single" w:color="auto" w:sz="4" w:space="0"/>
              <w:right w:val="single" w:color="auto" w:sz="4" w:space="0"/>
            </w:tcBorders>
            <w:vAlign w:val="center"/>
          </w:tcPr>
          <w:p w14:paraId="6360878A">
            <w:pPr>
              <w:pStyle w:val="445"/>
            </w:pPr>
            <w:r>
              <w:rPr>
                <w:rFonts w:hint="eastAsia"/>
              </w:rPr>
              <w:t>COD</w:t>
            </w:r>
          </w:p>
          <w:p w14:paraId="1E0940F4">
            <w:pPr>
              <w:pStyle w:val="445"/>
            </w:pPr>
            <w:r>
              <w:rPr>
                <w:rFonts w:hint="eastAsia"/>
              </w:rPr>
              <w:t>SS</w:t>
            </w:r>
          </w:p>
        </w:tc>
        <w:tc>
          <w:tcPr>
            <w:tcW w:w="476" w:type="pct"/>
            <w:tcBorders>
              <w:top w:val="single" w:color="auto" w:sz="4" w:space="0"/>
              <w:left w:val="single" w:color="auto" w:sz="4" w:space="0"/>
              <w:bottom w:val="single" w:color="auto" w:sz="4" w:space="0"/>
              <w:right w:val="single" w:color="auto" w:sz="4" w:space="0"/>
            </w:tcBorders>
            <w:vAlign w:val="center"/>
          </w:tcPr>
          <w:p w14:paraId="640D8E9B">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7724B276">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55DF571F">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741E1CA5">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423DE4B8">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5B7C4D92">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4CCE282D">
            <w:pPr>
              <w:pStyle w:val="445"/>
            </w:pPr>
            <w:r>
              <w:rPr>
                <w:rFonts w:hint="eastAsia"/>
              </w:rPr>
              <w:t>■是</w:t>
            </w:r>
          </w:p>
          <w:p w14:paraId="4AB8B500">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463D4E2">
            <w:pPr>
              <w:pStyle w:val="445"/>
            </w:pPr>
            <w:r>
              <w:rPr>
                <w:rFonts w:hint="eastAsia"/>
              </w:rPr>
              <w:t>■企业总排</w:t>
            </w:r>
          </w:p>
          <w:p w14:paraId="74EAC288">
            <w:pPr>
              <w:pStyle w:val="445"/>
            </w:pPr>
            <w:r>
              <w:rPr>
                <w:rFonts w:hint="eastAsia"/>
              </w:rPr>
              <w:t>□雨水排放</w:t>
            </w:r>
          </w:p>
          <w:p w14:paraId="6D35D2D7">
            <w:pPr>
              <w:pStyle w:val="445"/>
            </w:pPr>
            <w:r>
              <w:rPr>
                <w:rFonts w:hint="eastAsia"/>
              </w:rPr>
              <w:t>□清净下水排放</w:t>
            </w:r>
          </w:p>
          <w:p w14:paraId="44E670A0">
            <w:pPr>
              <w:pStyle w:val="445"/>
            </w:pPr>
            <w:r>
              <w:rPr>
                <w:rFonts w:hint="eastAsia"/>
              </w:rPr>
              <w:t>□温排水排放</w:t>
            </w:r>
          </w:p>
          <w:p w14:paraId="2B04AE79">
            <w:pPr>
              <w:pStyle w:val="445"/>
            </w:pPr>
            <w:r>
              <w:rPr>
                <w:rFonts w:hint="eastAsia"/>
              </w:rPr>
              <w:t>□车间或车间处理设施排放</w:t>
            </w:r>
          </w:p>
        </w:tc>
      </w:tr>
      <w:tr w14:paraId="38829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61B2EF5D">
            <w:pPr>
              <w:pStyle w:val="445"/>
            </w:pPr>
            <w:r>
              <w:rPr>
                <w:rFonts w:hint="eastAsia"/>
              </w:rPr>
              <w:t>7</w:t>
            </w:r>
          </w:p>
        </w:tc>
        <w:tc>
          <w:tcPr>
            <w:tcW w:w="390" w:type="pct"/>
            <w:tcBorders>
              <w:top w:val="single" w:color="auto" w:sz="4" w:space="0"/>
              <w:left w:val="single" w:color="auto" w:sz="4" w:space="0"/>
              <w:bottom w:val="single" w:color="auto" w:sz="4" w:space="0"/>
              <w:right w:val="single" w:color="auto" w:sz="4" w:space="0"/>
            </w:tcBorders>
            <w:vAlign w:val="center"/>
          </w:tcPr>
          <w:p w14:paraId="2895B401">
            <w:pPr>
              <w:pStyle w:val="445"/>
              <w:rPr>
                <w:bCs/>
                <w:color w:val="FF0000"/>
              </w:rPr>
            </w:pPr>
            <w:r>
              <w:rPr>
                <w:rFonts w:hint="eastAsia"/>
                <w:bCs/>
              </w:rPr>
              <w:t>地面</w:t>
            </w:r>
            <w:r>
              <w:rPr>
                <w:bCs/>
              </w:rPr>
              <w:t>冲洗水</w:t>
            </w:r>
          </w:p>
        </w:tc>
        <w:tc>
          <w:tcPr>
            <w:tcW w:w="422" w:type="pct"/>
            <w:tcBorders>
              <w:top w:val="single" w:color="auto" w:sz="4" w:space="0"/>
              <w:left w:val="single" w:color="auto" w:sz="4" w:space="0"/>
              <w:bottom w:val="single" w:color="auto" w:sz="4" w:space="0"/>
              <w:right w:val="single" w:color="auto" w:sz="4" w:space="0"/>
            </w:tcBorders>
            <w:vAlign w:val="center"/>
          </w:tcPr>
          <w:p w14:paraId="128E86C4">
            <w:pPr>
              <w:pStyle w:val="445"/>
            </w:pPr>
            <w:r>
              <w:rPr>
                <w:rFonts w:hint="eastAsia"/>
              </w:rPr>
              <w:t>COD</w:t>
            </w:r>
          </w:p>
          <w:p w14:paraId="12274F73">
            <w:pPr>
              <w:pStyle w:val="445"/>
            </w:pPr>
            <w:r>
              <w:rPr>
                <w:rFonts w:hint="eastAsia"/>
              </w:rPr>
              <w:t>SS</w:t>
            </w:r>
          </w:p>
        </w:tc>
        <w:tc>
          <w:tcPr>
            <w:tcW w:w="476" w:type="pct"/>
            <w:tcBorders>
              <w:top w:val="single" w:color="auto" w:sz="4" w:space="0"/>
              <w:left w:val="single" w:color="auto" w:sz="4" w:space="0"/>
              <w:bottom w:val="single" w:color="auto" w:sz="4" w:space="0"/>
              <w:right w:val="single" w:color="auto" w:sz="4" w:space="0"/>
            </w:tcBorders>
            <w:vAlign w:val="center"/>
          </w:tcPr>
          <w:p w14:paraId="091FB464">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205809FE">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6C840872">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2044FFF1">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121B8437">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44ABE648">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4821B8CB">
            <w:pPr>
              <w:pStyle w:val="445"/>
            </w:pPr>
            <w:r>
              <w:rPr>
                <w:rFonts w:hint="eastAsia"/>
              </w:rPr>
              <w:t>■是</w:t>
            </w:r>
          </w:p>
          <w:p w14:paraId="11AE29C2">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36596A6E">
            <w:pPr>
              <w:pStyle w:val="445"/>
            </w:pPr>
            <w:r>
              <w:rPr>
                <w:rFonts w:hint="eastAsia"/>
              </w:rPr>
              <w:t>■企业总排</w:t>
            </w:r>
          </w:p>
          <w:p w14:paraId="1F54DA93">
            <w:pPr>
              <w:pStyle w:val="445"/>
            </w:pPr>
            <w:r>
              <w:rPr>
                <w:rFonts w:hint="eastAsia"/>
              </w:rPr>
              <w:t>□雨水排放</w:t>
            </w:r>
          </w:p>
          <w:p w14:paraId="1552005D">
            <w:pPr>
              <w:pStyle w:val="445"/>
            </w:pPr>
            <w:r>
              <w:rPr>
                <w:rFonts w:hint="eastAsia"/>
              </w:rPr>
              <w:t>□清净下水排放</w:t>
            </w:r>
          </w:p>
          <w:p w14:paraId="05E4A3CA">
            <w:pPr>
              <w:pStyle w:val="445"/>
            </w:pPr>
            <w:r>
              <w:rPr>
                <w:rFonts w:hint="eastAsia"/>
              </w:rPr>
              <w:t>□温排水排放</w:t>
            </w:r>
          </w:p>
          <w:p w14:paraId="6184A388">
            <w:pPr>
              <w:pStyle w:val="445"/>
            </w:pPr>
            <w:r>
              <w:rPr>
                <w:rFonts w:hint="eastAsia"/>
              </w:rPr>
              <w:t>□车间或车间处理设施排放</w:t>
            </w:r>
          </w:p>
        </w:tc>
      </w:tr>
      <w:tr w14:paraId="36396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273864A8">
            <w:pPr>
              <w:pStyle w:val="445"/>
            </w:pPr>
            <w:r>
              <w:rPr>
                <w:rFonts w:hint="eastAsia"/>
              </w:rPr>
              <w:t>8</w:t>
            </w:r>
          </w:p>
        </w:tc>
        <w:tc>
          <w:tcPr>
            <w:tcW w:w="390" w:type="pct"/>
            <w:tcBorders>
              <w:top w:val="single" w:color="auto" w:sz="4" w:space="0"/>
              <w:left w:val="single" w:color="auto" w:sz="4" w:space="0"/>
              <w:bottom w:val="single" w:color="auto" w:sz="4" w:space="0"/>
              <w:right w:val="single" w:color="auto" w:sz="4" w:space="0"/>
            </w:tcBorders>
            <w:vAlign w:val="center"/>
          </w:tcPr>
          <w:p w14:paraId="397A52EE">
            <w:pPr>
              <w:pStyle w:val="445"/>
              <w:rPr>
                <w:bCs/>
              </w:rPr>
            </w:pPr>
            <w:r>
              <w:t>废气处理系统排水</w:t>
            </w:r>
          </w:p>
        </w:tc>
        <w:tc>
          <w:tcPr>
            <w:tcW w:w="422" w:type="pct"/>
            <w:tcBorders>
              <w:top w:val="single" w:color="auto" w:sz="4" w:space="0"/>
              <w:left w:val="single" w:color="auto" w:sz="4" w:space="0"/>
              <w:bottom w:val="single" w:color="auto" w:sz="4" w:space="0"/>
              <w:right w:val="single" w:color="auto" w:sz="4" w:space="0"/>
            </w:tcBorders>
            <w:vAlign w:val="center"/>
          </w:tcPr>
          <w:p w14:paraId="671F0B23">
            <w:pPr>
              <w:pStyle w:val="445"/>
            </w:pPr>
            <w:r>
              <w:rPr>
                <w:rFonts w:hint="eastAsia"/>
              </w:rPr>
              <w:t>COD</w:t>
            </w:r>
          </w:p>
          <w:p w14:paraId="2CFB36F4">
            <w:pPr>
              <w:pStyle w:val="445"/>
            </w:pPr>
            <w:r>
              <w:rPr>
                <w:rFonts w:hint="eastAsia"/>
              </w:rPr>
              <w:t>SS</w:t>
            </w:r>
          </w:p>
          <w:p w14:paraId="24CC3C65">
            <w:pPr>
              <w:pStyle w:val="445"/>
            </w:pPr>
            <w:r>
              <w:rPr>
                <w:rFonts w:hint="eastAsia"/>
              </w:rPr>
              <w:t>盐分</w:t>
            </w:r>
          </w:p>
        </w:tc>
        <w:tc>
          <w:tcPr>
            <w:tcW w:w="476" w:type="pct"/>
            <w:tcBorders>
              <w:top w:val="single" w:color="auto" w:sz="4" w:space="0"/>
              <w:left w:val="single" w:color="auto" w:sz="4" w:space="0"/>
              <w:bottom w:val="single" w:color="auto" w:sz="4" w:space="0"/>
              <w:right w:val="single" w:color="auto" w:sz="4" w:space="0"/>
            </w:tcBorders>
            <w:vAlign w:val="center"/>
          </w:tcPr>
          <w:p w14:paraId="4A35B08E">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08C30477">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3C8F0AA5">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5698255F">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25DE87A7">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6506D8D9">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404B9763">
            <w:pPr>
              <w:pStyle w:val="445"/>
            </w:pPr>
            <w:r>
              <w:rPr>
                <w:rFonts w:hint="eastAsia"/>
              </w:rPr>
              <w:t>■是</w:t>
            </w:r>
          </w:p>
          <w:p w14:paraId="52B9EC1A">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0250DACA">
            <w:pPr>
              <w:pStyle w:val="445"/>
            </w:pPr>
            <w:r>
              <w:rPr>
                <w:rFonts w:hint="eastAsia"/>
              </w:rPr>
              <w:t>■企业总排</w:t>
            </w:r>
          </w:p>
          <w:p w14:paraId="72E6259C">
            <w:pPr>
              <w:pStyle w:val="445"/>
            </w:pPr>
            <w:r>
              <w:rPr>
                <w:rFonts w:hint="eastAsia"/>
              </w:rPr>
              <w:t>□雨水排放</w:t>
            </w:r>
          </w:p>
          <w:p w14:paraId="023DD4A7">
            <w:pPr>
              <w:pStyle w:val="445"/>
            </w:pPr>
            <w:r>
              <w:rPr>
                <w:rFonts w:hint="eastAsia"/>
              </w:rPr>
              <w:t>□清净下水排放</w:t>
            </w:r>
          </w:p>
          <w:p w14:paraId="1913C258">
            <w:pPr>
              <w:pStyle w:val="445"/>
            </w:pPr>
            <w:r>
              <w:rPr>
                <w:rFonts w:hint="eastAsia"/>
              </w:rPr>
              <w:t>□温排水排放</w:t>
            </w:r>
          </w:p>
          <w:p w14:paraId="41A3712B">
            <w:pPr>
              <w:pStyle w:val="445"/>
            </w:pPr>
            <w:r>
              <w:rPr>
                <w:rFonts w:hint="eastAsia"/>
              </w:rPr>
              <w:t>□车间或车间处理设施排放</w:t>
            </w:r>
          </w:p>
        </w:tc>
      </w:tr>
      <w:tr w14:paraId="6F036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172359D8">
            <w:pPr>
              <w:pStyle w:val="445"/>
            </w:pPr>
            <w:r>
              <w:rPr>
                <w:rFonts w:hint="eastAsia"/>
              </w:rPr>
              <w:t>9</w:t>
            </w:r>
          </w:p>
        </w:tc>
        <w:tc>
          <w:tcPr>
            <w:tcW w:w="390" w:type="pct"/>
            <w:tcBorders>
              <w:top w:val="single" w:color="auto" w:sz="4" w:space="0"/>
              <w:left w:val="single" w:color="auto" w:sz="4" w:space="0"/>
              <w:bottom w:val="single" w:color="auto" w:sz="4" w:space="0"/>
              <w:right w:val="single" w:color="auto" w:sz="4" w:space="0"/>
            </w:tcBorders>
            <w:vAlign w:val="center"/>
          </w:tcPr>
          <w:p w14:paraId="423A6DFD">
            <w:pPr>
              <w:pStyle w:val="445"/>
            </w:pPr>
            <w:r>
              <w:rPr>
                <w:rFonts w:hint="eastAsia"/>
              </w:rPr>
              <w:t>再生水</w:t>
            </w:r>
          </w:p>
        </w:tc>
        <w:tc>
          <w:tcPr>
            <w:tcW w:w="422" w:type="pct"/>
            <w:tcBorders>
              <w:top w:val="single" w:color="auto" w:sz="4" w:space="0"/>
              <w:left w:val="single" w:color="auto" w:sz="4" w:space="0"/>
              <w:bottom w:val="single" w:color="auto" w:sz="4" w:space="0"/>
              <w:right w:val="single" w:color="auto" w:sz="4" w:space="0"/>
            </w:tcBorders>
            <w:vAlign w:val="center"/>
          </w:tcPr>
          <w:p w14:paraId="5256D37F">
            <w:pPr>
              <w:pStyle w:val="445"/>
            </w:pPr>
            <w:r>
              <w:rPr>
                <w:rFonts w:hint="eastAsia"/>
              </w:rPr>
              <w:t>COD</w:t>
            </w:r>
          </w:p>
          <w:p w14:paraId="67FCA00D">
            <w:pPr>
              <w:pStyle w:val="445"/>
            </w:pPr>
            <w:r>
              <w:rPr>
                <w:rFonts w:hint="eastAsia"/>
              </w:rPr>
              <w:t>SS</w:t>
            </w:r>
          </w:p>
          <w:p w14:paraId="569A576E">
            <w:pPr>
              <w:pStyle w:val="445"/>
            </w:pPr>
            <w:r>
              <w:rPr>
                <w:rFonts w:hint="eastAsia"/>
              </w:rPr>
              <w:t>盐分</w:t>
            </w:r>
          </w:p>
        </w:tc>
        <w:tc>
          <w:tcPr>
            <w:tcW w:w="476" w:type="pct"/>
            <w:tcBorders>
              <w:top w:val="single" w:color="auto" w:sz="4" w:space="0"/>
              <w:left w:val="single" w:color="auto" w:sz="4" w:space="0"/>
              <w:bottom w:val="single" w:color="auto" w:sz="4" w:space="0"/>
              <w:right w:val="single" w:color="auto" w:sz="4" w:space="0"/>
            </w:tcBorders>
            <w:vAlign w:val="center"/>
          </w:tcPr>
          <w:p w14:paraId="7A18EC9A">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2939C163">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27BCCD1B">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11154BFE">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7911182D">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1FD96C70">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1C1E5362">
            <w:pPr>
              <w:pStyle w:val="445"/>
            </w:pPr>
            <w:r>
              <w:rPr>
                <w:rFonts w:hint="eastAsia"/>
              </w:rPr>
              <w:t>■是</w:t>
            </w:r>
          </w:p>
          <w:p w14:paraId="7321C25A">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6D73DD44">
            <w:pPr>
              <w:pStyle w:val="445"/>
            </w:pPr>
            <w:r>
              <w:rPr>
                <w:rFonts w:hint="eastAsia"/>
              </w:rPr>
              <w:t>■企业总排</w:t>
            </w:r>
          </w:p>
          <w:p w14:paraId="10FC6335">
            <w:pPr>
              <w:pStyle w:val="445"/>
            </w:pPr>
            <w:r>
              <w:rPr>
                <w:rFonts w:hint="eastAsia"/>
              </w:rPr>
              <w:t>□雨水排放</w:t>
            </w:r>
          </w:p>
          <w:p w14:paraId="3D769224">
            <w:pPr>
              <w:pStyle w:val="445"/>
            </w:pPr>
            <w:r>
              <w:rPr>
                <w:rFonts w:hint="eastAsia"/>
              </w:rPr>
              <w:t>□清净下水排放</w:t>
            </w:r>
          </w:p>
          <w:p w14:paraId="08D1372A">
            <w:pPr>
              <w:pStyle w:val="445"/>
            </w:pPr>
            <w:r>
              <w:rPr>
                <w:rFonts w:hint="eastAsia"/>
              </w:rPr>
              <w:t>□温排水排放</w:t>
            </w:r>
          </w:p>
          <w:p w14:paraId="7129E357">
            <w:pPr>
              <w:pStyle w:val="445"/>
            </w:pPr>
            <w:r>
              <w:rPr>
                <w:rFonts w:hint="eastAsia"/>
              </w:rPr>
              <w:t>□车间或车间处理设施排放</w:t>
            </w:r>
          </w:p>
        </w:tc>
      </w:tr>
      <w:tr w14:paraId="77617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82" w:type="pct"/>
            <w:tcBorders>
              <w:top w:val="single" w:color="auto" w:sz="4" w:space="0"/>
              <w:left w:val="nil"/>
              <w:bottom w:val="single" w:color="auto" w:sz="4" w:space="0"/>
              <w:right w:val="single" w:color="auto" w:sz="4" w:space="0"/>
            </w:tcBorders>
            <w:vAlign w:val="center"/>
          </w:tcPr>
          <w:p w14:paraId="03400E4A">
            <w:pPr>
              <w:pStyle w:val="445"/>
            </w:pPr>
            <w:r>
              <w:rPr>
                <w:rFonts w:hint="eastAsia"/>
              </w:rPr>
              <w:t>10</w:t>
            </w:r>
          </w:p>
        </w:tc>
        <w:tc>
          <w:tcPr>
            <w:tcW w:w="390" w:type="pct"/>
            <w:tcBorders>
              <w:top w:val="single" w:color="auto" w:sz="4" w:space="0"/>
              <w:left w:val="single" w:color="auto" w:sz="4" w:space="0"/>
              <w:bottom w:val="single" w:color="auto" w:sz="4" w:space="0"/>
              <w:right w:val="single" w:color="auto" w:sz="4" w:space="0"/>
            </w:tcBorders>
            <w:vAlign w:val="center"/>
          </w:tcPr>
          <w:p w14:paraId="4B70E6E0">
            <w:pPr>
              <w:pStyle w:val="445"/>
            </w:pPr>
            <w:r>
              <w:rPr>
                <w:rFonts w:hint="eastAsia"/>
              </w:rPr>
              <w:t>实验室废水</w:t>
            </w:r>
          </w:p>
        </w:tc>
        <w:tc>
          <w:tcPr>
            <w:tcW w:w="422" w:type="pct"/>
            <w:tcBorders>
              <w:top w:val="single" w:color="auto" w:sz="4" w:space="0"/>
              <w:left w:val="single" w:color="auto" w:sz="4" w:space="0"/>
              <w:bottom w:val="single" w:color="auto" w:sz="4" w:space="0"/>
              <w:right w:val="single" w:color="auto" w:sz="4" w:space="0"/>
            </w:tcBorders>
            <w:vAlign w:val="center"/>
          </w:tcPr>
          <w:p w14:paraId="2ED895EE">
            <w:pPr>
              <w:pStyle w:val="445"/>
            </w:pPr>
            <w:r>
              <w:rPr>
                <w:rFonts w:hint="eastAsia"/>
              </w:rPr>
              <w:t>COD</w:t>
            </w:r>
          </w:p>
          <w:p w14:paraId="45560FD8">
            <w:pPr>
              <w:pStyle w:val="445"/>
            </w:pPr>
            <w:r>
              <w:rPr>
                <w:rFonts w:hint="eastAsia"/>
              </w:rPr>
              <w:t>SS</w:t>
            </w:r>
          </w:p>
        </w:tc>
        <w:tc>
          <w:tcPr>
            <w:tcW w:w="476" w:type="pct"/>
            <w:tcBorders>
              <w:top w:val="single" w:color="auto" w:sz="4" w:space="0"/>
              <w:left w:val="single" w:color="auto" w:sz="4" w:space="0"/>
              <w:bottom w:val="single" w:color="auto" w:sz="4" w:space="0"/>
              <w:right w:val="single" w:color="auto" w:sz="4" w:space="0"/>
            </w:tcBorders>
            <w:vAlign w:val="center"/>
          </w:tcPr>
          <w:p w14:paraId="11AAB49A">
            <w:pPr>
              <w:pStyle w:val="445"/>
            </w:pPr>
            <w:r>
              <w:rPr>
                <w:rFonts w:hint="eastAsia"/>
              </w:rPr>
              <w:t>接管至</w:t>
            </w:r>
            <w:r>
              <w:t>沫河口污水处理厂</w:t>
            </w:r>
          </w:p>
        </w:tc>
        <w:tc>
          <w:tcPr>
            <w:tcW w:w="440" w:type="pct"/>
            <w:tcBorders>
              <w:top w:val="single" w:color="auto" w:sz="4" w:space="0"/>
              <w:left w:val="single" w:color="auto" w:sz="4" w:space="0"/>
              <w:bottom w:val="single" w:color="auto" w:sz="4" w:space="0"/>
              <w:right w:val="single" w:color="auto" w:sz="4" w:space="0"/>
            </w:tcBorders>
            <w:vAlign w:val="center"/>
          </w:tcPr>
          <w:p w14:paraId="5CDF3755">
            <w:pPr>
              <w:pStyle w:val="445"/>
            </w:pPr>
            <w:r>
              <w:rPr>
                <w:rFonts w:hint="eastAsia"/>
              </w:rPr>
              <w:t>间断排放，排放期间流量不稳定且无规律，但不属于冲击型排放</w:t>
            </w:r>
          </w:p>
        </w:tc>
        <w:tc>
          <w:tcPr>
            <w:tcW w:w="242" w:type="pct"/>
            <w:tcBorders>
              <w:top w:val="single" w:color="auto" w:sz="4" w:space="0"/>
              <w:left w:val="single" w:color="auto" w:sz="4" w:space="0"/>
              <w:bottom w:val="single" w:color="auto" w:sz="4" w:space="0"/>
              <w:right w:val="single" w:color="auto" w:sz="4" w:space="0"/>
            </w:tcBorders>
            <w:vAlign w:val="center"/>
          </w:tcPr>
          <w:p w14:paraId="7A5AAB57">
            <w:pPr>
              <w:pStyle w:val="445"/>
            </w:pPr>
            <w:r>
              <w:rPr>
                <w:rFonts w:hint="eastAsia"/>
              </w:rPr>
              <w:t>TW001</w:t>
            </w:r>
          </w:p>
        </w:tc>
        <w:tc>
          <w:tcPr>
            <w:tcW w:w="444" w:type="pct"/>
            <w:tcBorders>
              <w:top w:val="single" w:color="auto" w:sz="4" w:space="0"/>
              <w:left w:val="single" w:color="auto" w:sz="4" w:space="0"/>
              <w:bottom w:val="single" w:color="auto" w:sz="4" w:space="0"/>
              <w:right w:val="single" w:color="auto" w:sz="4" w:space="0"/>
            </w:tcBorders>
            <w:vAlign w:val="center"/>
          </w:tcPr>
          <w:p w14:paraId="036C254A">
            <w:pPr>
              <w:pStyle w:val="445"/>
            </w:pPr>
            <w:r>
              <w:rPr>
                <w:rFonts w:hint="eastAsia"/>
              </w:rPr>
              <w:t>污水处理站</w:t>
            </w:r>
          </w:p>
        </w:tc>
        <w:tc>
          <w:tcPr>
            <w:tcW w:w="498" w:type="pct"/>
            <w:tcBorders>
              <w:top w:val="single" w:color="auto" w:sz="4" w:space="0"/>
              <w:left w:val="single" w:color="auto" w:sz="4" w:space="0"/>
              <w:bottom w:val="single" w:color="auto" w:sz="4" w:space="0"/>
              <w:right w:val="single" w:color="auto" w:sz="4" w:space="0"/>
            </w:tcBorders>
            <w:vAlign w:val="center"/>
          </w:tcPr>
          <w:p w14:paraId="66DF44F3">
            <w:pPr>
              <w:pStyle w:val="445"/>
            </w:pPr>
            <w:r>
              <w:rPr>
                <w:rFonts w:hint="eastAsia"/>
              </w:rPr>
              <w:t>调节池+混凝沉淀+水解酸化+MBR</w:t>
            </w:r>
          </w:p>
        </w:tc>
        <w:tc>
          <w:tcPr>
            <w:tcW w:w="446" w:type="pct"/>
            <w:tcBorders>
              <w:top w:val="single" w:color="auto" w:sz="4" w:space="0"/>
              <w:left w:val="single" w:color="auto" w:sz="4" w:space="0"/>
              <w:bottom w:val="single" w:color="auto" w:sz="4" w:space="0"/>
              <w:right w:val="single" w:color="auto" w:sz="4" w:space="0"/>
            </w:tcBorders>
            <w:vAlign w:val="center"/>
          </w:tcPr>
          <w:p w14:paraId="1E64F98B">
            <w:pPr>
              <w:pStyle w:val="445"/>
            </w:pPr>
            <w:r>
              <w:rPr>
                <w:rFonts w:hint="eastAsia"/>
              </w:rPr>
              <w:t>DW</w:t>
            </w:r>
            <w:r>
              <w:t>001</w:t>
            </w:r>
          </w:p>
        </w:tc>
        <w:tc>
          <w:tcPr>
            <w:tcW w:w="459" w:type="pct"/>
            <w:tcBorders>
              <w:top w:val="single" w:color="auto" w:sz="4" w:space="0"/>
              <w:left w:val="single" w:color="auto" w:sz="4" w:space="0"/>
              <w:bottom w:val="single" w:color="auto" w:sz="4" w:space="0"/>
              <w:right w:val="single" w:color="auto" w:sz="4" w:space="0"/>
            </w:tcBorders>
            <w:vAlign w:val="center"/>
          </w:tcPr>
          <w:p w14:paraId="27D80F52">
            <w:pPr>
              <w:pStyle w:val="445"/>
            </w:pPr>
            <w:r>
              <w:rPr>
                <w:rFonts w:hint="eastAsia"/>
              </w:rPr>
              <w:t>■是</w:t>
            </w:r>
          </w:p>
          <w:p w14:paraId="22C6061D">
            <w:pPr>
              <w:pStyle w:val="445"/>
            </w:pPr>
            <w:r>
              <w:rPr>
                <w:rFonts w:hint="eastAsia"/>
              </w:rPr>
              <w:t>□否</w:t>
            </w:r>
          </w:p>
        </w:tc>
        <w:tc>
          <w:tcPr>
            <w:tcW w:w="1001" w:type="pct"/>
            <w:tcBorders>
              <w:top w:val="single" w:color="auto" w:sz="4" w:space="0"/>
              <w:left w:val="single" w:color="auto" w:sz="4" w:space="0"/>
              <w:bottom w:val="single" w:color="auto" w:sz="4" w:space="0"/>
              <w:right w:val="nil"/>
            </w:tcBorders>
            <w:vAlign w:val="center"/>
          </w:tcPr>
          <w:p w14:paraId="2763DBE0">
            <w:pPr>
              <w:pStyle w:val="445"/>
            </w:pPr>
            <w:r>
              <w:rPr>
                <w:rFonts w:hint="eastAsia"/>
              </w:rPr>
              <w:t>■企业总排</w:t>
            </w:r>
          </w:p>
          <w:p w14:paraId="3CF6DF3E">
            <w:pPr>
              <w:pStyle w:val="445"/>
            </w:pPr>
            <w:r>
              <w:rPr>
                <w:rFonts w:hint="eastAsia"/>
              </w:rPr>
              <w:t>□雨水排放</w:t>
            </w:r>
          </w:p>
          <w:p w14:paraId="65DF1035">
            <w:pPr>
              <w:pStyle w:val="445"/>
            </w:pPr>
            <w:r>
              <w:rPr>
                <w:rFonts w:hint="eastAsia"/>
              </w:rPr>
              <w:t>□清净下水排放</w:t>
            </w:r>
          </w:p>
          <w:p w14:paraId="397DB46B">
            <w:pPr>
              <w:pStyle w:val="445"/>
            </w:pPr>
            <w:r>
              <w:rPr>
                <w:rFonts w:hint="eastAsia"/>
              </w:rPr>
              <w:t>□温排水排放</w:t>
            </w:r>
          </w:p>
          <w:p w14:paraId="21E55E5A">
            <w:pPr>
              <w:pStyle w:val="445"/>
            </w:pPr>
            <w:r>
              <w:rPr>
                <w:rFonts w:hint="eastAsia"/>
              </w:rPr>
              <w:t>□车间或车间处理设施排放</w:t>
            </w:r>
          </w:p>
        </w:tc>
      </w:tr>
    </w:tbl>
    <w:p w14:paraId="242DB779">
      <w:pPr>
        <w:spacing w:line="500" w:lineRule="exact"/>
        <w:ind w:firstLine="0" w:firstLineChars="0"/>
        <w:jc w:val="center"/>
        <w:rPr>
          <w:rFonts w:eastAsia="黑体" w:cs="Times New Roman"/>
        </w:rPr>
      </w:pPr>
      <w:r>
        <w:rPr>
          <w:rFonts w:ascii="黑体" w:hAnsi="黑体" w:eastAsia="黑体"/>
        </w:rPr>
        <w:t>表</w:t>
      </w:r>
      <w:r>
        <w:rPr>
          <w:rFonts w:eastAsia="黑体"/>
        </w:rPr>
        <w:t>5.2.2-2</w:t>
      </w:r>
      <w:r>
        <w:rPr>
          <w:rFonts w:hint="eastAsia" w:eastAsia="黑体"/>
        </w:rPr>
        <w:t xml:space="preserve"> </w:t>
      </w:r>
      <w:r>
        <w:rPr>
          <w:rFonts w:eastAsia="黑体"/>
        </w:rPr>
        <w:t xml:space="preserve"> </w:t>
      </w:r>
      <w:r>
        <w:rPr>
          <w:rFonts w:hint="eastAsia" w:ascii="黑体" w:hAnsi="黑体" w:eastAsia="黑体"/>
        </w:rPr>
        <w:t>废水间接排放口</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56"/>
        <w:gridCol w:w="1555"/>
        <w:gridCol w:w="1276"/>
        <w:gridCol w:w="1209"/>
        <w:gridCol w:w="885"/>
        <w:gridCol w:w="835"/>
        <w:gridCol w:w="659"/>
        <w:gridCol w:w="1150"/>
        <w:gridCol w:w="1175"/>
        <w:gridCol w:w="1798"/>
        <w:gridCol w:w="2580"/>
        <w:gridCol w:w="181"/>
      </w:tblGrid>
      <w:tr w14:paraId="4405D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1"/>
          <w:wAfter w:w="65" w:type="pct"/>
          <w:cantSplit/>
          <w:trHeight w:val="225" w:hRule="atLeast"/>
          <w:jc w:val="center"/>
        </w:trPr>
        <w:tc>
          <w:tcPr>
            <w:tcW w:w="235" w:type="pct"/>
            <w:vMerge w:val="restart"/>
            <w:tcBorders>
              <w:top w:val="single" w:color="auto" w:sz="12" w:space="0"/>
              <w:left w:val="nil"/>
              <w:bottom w:val="single" w:color="auto" w:sz="4" w:space="0"/>
              <w:right w:val="single" w:color="auto" w:sz="4" w:space="0"/>
            </w:tcBorders>
            <w:vAlign w:val="center"/>
          </w:tcPr>
          <w:p w14:paraId="08E467D0">
            <w:pPr>
              <w:pStyle w:val="445"/>
            </w:pPr>
            <w:r>
              <w:rPr>
                <w:rFonts w:hint="eastAsia"/>
              </w:rPr>
              <w:t>序号</w:t>
            </w:r>
          </w:p>
        </w:tc>
        <w:tc>
          <w:tcPr>
            <w:tcW w:w="557" w:type="pct"/>
            <w:vMerge w:val="restart"/>
            <w:tcBorders>
              <w:top w:val="single" w:color="auto" w:sz="12" w:space="0"/>
              <w:left w:val="single" w:color="auto" w:sz="4" w:space="0"/>
              <w:bottom w:val="single" w:color="auto" w:sz="4" w:space="0"/>
              <w:right w:val="single" w:color="auto" w:sz="4" w:space="0"/>
            </w:tcBorders>
            <w:vAlign w:val="center"/>
          </w:tcPr>
          <w:p w14:paraId="3D6F5BA6">
            <w:pPr>
              <w:pStyle w:val="445"/>
            </w:pPr>
            <w:r>
              <w:rPr>
                <w:rFonts w:hint="eastAsia"/>
              </w:rPr>
              <w:t>排放编号</w:t>
            </w:r>
          </w:p>
        </w:tc>
        <w:tc>
          <w:tcPr>
            <w:tcW w:w="890" w:type="pct"/>
            <w:gridSpan w:val="2"/>
            <w:vMerge w:val="restart"/>
            <w:tcBorders>
              <w:top w:val="single" w:color="auto" w:sz="12" w:space="0"/>
              <w:left w:val="single" w:color="auto" w:sz="4" w:space="0"/>
              <w:bottom w:val="single" w:color="auto" w:sz="4" w:space="0"/>
              <w:right w:val="single" w:color="auto" w:sz="4" w:space="0"/>
            </w:tcBorders>
            <w:vAlign w:val="center"/>
          </w:tcPr>
          <w:p w14:paraId="741BB4E9">
            <w:pPr>
              <w:pStyle w:val="445"/>
            </w:pPr>
            <w:r>
              <w:rPr>
                <w:rFonts w:hint="eastAsia"/>
              </w:rPr>
              <w:t>排放地理坐标</w:t>
            </w:r>
          </w:p>
        </w:tc>
        <w:tc>
          <w:tcPr>
            <w:tcW w:w="317" w:type="pct"/>
            <w:vMerge w:val="restart"/>
            <w:tcBorders>
              <w:top w:val="single" w:color="auto" w:sz="12" w:space="0"/>
              <w:left w:val="single" w:color="auto" w:sz="4" w:space="0"/>
              <w:bottom w:val="single" w:color="auto" w:sz="4" w:space="0"/>
              <w:right w:val="single" w:color="auto" w:sz="4" w:space="0"/>
            </w:tcBorders>
            <w:vAlign w:val="center"/>
          </w:tcPr>
          <w:p w14:paraId="65F84507">
            <w:pPr>
              <w:pStyle w:val="445"/>
            </w:pPr>
            <w:r>
              <w:rPr>
                <w:rFonts w:hint="eastAsia"/>
              </w:rPr>
              <w:t>废水排放量/（万t/a）</w:t>
            </w:r>
          </w:p>
        </w:tc>
        <w:tc>
          <w:tcPr>
            <w:tcW w:w="299" w:type="pct"/>
            <w:vMerge w:val="restart"/>
            <w:tcBorders>
              <w:top w:val="single" w:color="auto" w:sz="12" w:space="0"/>
              <w:left w:val="single" w:color="auto" w:sz="4" w:space="0"/>
              <w:bottom w:val="single" w:color="auto" w:sz="4" w:space="0"/>
              <w:right w:val="single" w:color="auto" w:sz="4" w:space="0"/>
            </w:tcBorders>
            <w:vAlign w:val="center"/>
          </w:tcPr>
          <w:p w14:paraId="007D1D73">
            <w:pPr>
              <w:pStyle w:val="445"/>
            </w:pPr>
            <w:r>
              <w:rPr>
                <w:rFonts w:hint="eastAsia"/>
              </w:rPr>
              <w:t>排放去向</w:t>
            </w:r>
          </w:p>
        </w:tc>
        <w:tc>
          <w:tcPr>
            <w:tcW w:w="236" w:type="pct"/>
            <w:vMerge w:val="restart"/>
            <w:tcBorders>
              <w:top w:val="single" w:color="auto" w:sz="12" w:space="0"/>
              <w:left w:val="single" w:color="auto" w:sz="4" w:space="0"/>
              <w:bottom w:val="single" w:color="auto" w:sz="4" w:space="0"/>
              <w:right w:val="single" w:color="auto" w:sz="4" w:space="0"/>
            </w:tcBorders>
            <w:vAlign w:val="center"/>
          </w:tcPr>
          <w:p w14:paraId="5ADF7A93">
            <w:pPr>
              <w:pStyle w:val="445"/>
            </w:pPr>
            <w:r>
              <w:rPr>
                <w:rFonts w:hint="eastAsia"/>
              </w:rPr>
              <w:t>排放规律</w:t>
            </w:r>
          </w:p>
        </w:tc>
        <w:tc>
          <w:tcPr>
            <w:tcW w:w="412" w:type="pct"/>
            <w:vMerge w:val="restart"/>
            <w:tcBorders>
              <w:top w:val="single" w:color="auto" w:sz="12" w:space="0"/>
              <w:left w:val="single" w:color="auto" w:sz="4" w:space="0"/>
              <w:bottom w:val="single" w:color="auto" w:sz="4" w:space="0"/>
              <w:right w:val="single" w:color="auto" w:sz="4" w:space="0"/>
            </w:tcBorders>
            <w:vAlign w:val="center"/>
          </w:tcPr>
          <w:p w14:paraId="4A6E4347">
            <w:pPr>
              <w:pStyle w:val="445"/>
            </w:pPr>
            <w:r>
              <w:rPr>
                <w:rFonts w:hint="eastAsia"/>
              </w:rPr>
              <w:t>间歇排放时段</w:t>
            </w:r>
          </w:p>
        </w:tc>
        <w:tc>
          <w:tcPr>
            <w:tcW w:w="1989" w:type="pct"/>
            <w:gridSpan w:val="3"/>
            <w:tcBorders>
              <w:top w:val="single" w:color="auto" w:sz="12" w:space="0"/>
              <w:left w:val="single" w:color="auto" w:sz="4" w:space="0"/>
              <w:bottom w:val="single" w:color="auto" w:sz="4" w:space="0"/>
              <w:right w:val="nil"/>
            </w:tcBorders>
            <w:vAlign w:val="center"/>
          </w:tcPr>
          <w:p w14:paraId="0317D2FD">
            <w:pPr>
              <w:pStyle w:val="445"/>
            </w:pPr>
            <w:r>
              <w:rPr>
                <w:rFonts w:hint="eastAsia"/>
              </w:rPr>
              <w:t>受纳污水处理厂信息</w:t>
            </w:r>
          </w:p>
        </w:tc>
      </w:tr>
      <w:tr w14:paraId="112FB2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89"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3057007A">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14BA254F">
            <w:pPr>
              <w:pStyle w:val="445"/>
              <w:rPr>
                <w:szCs w:val="18"/>
              </w:rPr>
            </w:pPr>
          </w:p>
        </w:tc>
        <w:tc>
          <w:tcPr>
            <w:tcW w:w="0" w:type="auto"/>
            <w:gridSpan w:val="2"/>
            <w:vMerge w:val="continue"/>
            <w:tcBorders>
              <w:top w:val="single" w:color="auto" w:sz="12" w:space="0"/>
              <w:left w:val="single" w:color="auto" w:sz="4" w:space="0"/>
              <w:bottom w:val="single" w:color="auto" w:sz="4" w:space="0"/>
              <w:right w:val="single" w:color="auto" w:sz="4" w:space="0"/>
            </w:tcBorders>
            <w:vAlign w:val="center"/>
          </w:tcPr>
          <w:p w14:paraId="44360B22">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68560379">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6D016EB">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380C06AB">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068AB08">
            <w:pPr>
              <w:pStyle w:val="445"/>
              <w:rPr>
                <w:szCs w:val="18"/>
              </w:rPr>
            </w:pPr>
          </w:p>
        </w:tc>
        <w:tc>
          <w:tcPr>
            <w:tcW w:w="421" w:type="pct"/>
            <w:vMerge w:val="restart"/>
            <w:tcBorders>
              <w:top w:val="single" w:color="auto" w:sz="4" w:space="0"/>
              <w:left w:val="single" w:color="auto" w:sz="4" w:space="0"/>
              <w:bottom w:val="single" w:color="auto" w:sz="4" w:space="0"/>
              <w:right w:val="single" w:color="auto" w:sz="4" w:space="0"/>
            </w:tcBorders>
            <w:vAlign w:val="center"/>
          </w:tcPr>
          <w:p w14:paraId="0A7634BE">
            <w:pPr>
              <w:pStyle w:val="445"/>
            </w:pPr>
            <w:r>
              <w:rPr>
                <w:rFonts w:hint="eastAsia"/>
              </w:rPr>
              <w:t>名称</w:t>
            </w:r>
          </w:p>
        </w:tc>
        <w:tc>
          <w:tcPr>
            <w:tcW w:w="644" w:type="pct"/>
            <w:vMerge w:val="restart"/>
            <w:tcBorders>
              <w:top w:val="single" w:color="auto" w:sz="4" w:space="0"/>
              <w:left w:val="single" w:color="auto" w:sz="4" w:space="0"/>
              <w:bottom w:val="single" w:color="auto" w:sz="4" w:space="0"/>
              <w:right w:val="single" w:color="auto" w:sz="4" w:space="0"/>
            </w:tcBorders>
            <w:vAlign w:val="center"/>
          </w:tcPr>
          <w:p w14:paraId="73D20089">
            <w:pPr>
              <w:pStyle w:val="445"/>
            </w:pPr>
            <w:r>
              <w:rPr>
                <w:rFonts w:hint="eastAsia"/>
              </w:rPr>
              <w:t>污染物种类</w:t>
            </w:r>
          </w:p>
        </w:tc>
        <w:tc>
          <w:tcPr>
            <w:tcW w:w="989" w:type="pct"/>
            <w:gridSpan w:val="2"/>
            <w:vMerge w:val="restart"/>
            <w:tcBorders>
              <w:top w:val="single" w:color="auto" w:sz="4" w:space="0"/>
              <w:left w:val="single" w:color="auto" w:sz="4" w:space="0"/>
              <w:bottom w:val="single" w:color="auto" w:sz="4" w:space="0"/>
              <w:right w:val="nil"/>
            </w:tcBorders>
            <w:vAlign w:val="center"/>
          </w:tcPr>
          <w:p w14:paraId="5A6B8BB8">
            <w:pPr>
              <w:pStyle w:val="445"/>
            </w:pPr>
            <w:r>
              <w:rPr>
                <w:rFonts w:hint="eastAsia"/>
              </w:rPr>
              <w:t>国家或地方污染物排放</w:t>
            </w:r>
          </w:p>
          <w:p w14:paraId="6ADBE6BC">
            <w:pPr>
              <w:pStyle w:val="445"/>
            </w:pPr>
            <w:r>
              <w:rPr>
                <w:rFonts w:hint="eastAsia"/>
              </w:rPr>
              <w:t>标准浓度限值/(mg/L)</w:t>
            </w:r>
          </w:p>
        </w:tc>
      </w:tr>
      <w:tr w14:paraId="16789C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16"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6DEA7F7D">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829E0A2">
            <w:pPr>
              <w:pStyle w:val="445"/>
              <w:rPr>
                <w:szCs w:val="18"/>
              </w:rPr>
            </w:pPr>
          </w:p>
        </w:tc>
        <w:tc>
          <w:tcPr>
            <w:tcW w:w="457" w:type="pct"/>
            <w:tcBorders>
              <w:top w:val="single" w:color="auto" w:sz="4" w:space="0"/>
              <w:left w:val="single" w:color="auto" w:sz="4" w:space="0"/>
              <w:bottom w:val="single" w:color="auto" w:sz="4" w:space="0"/>
              <w:right w:val="single" w:color="auto" w:sz="4" w:space="0"/>
            </w:tcBorders>
            <w:vAlign w:val="center"/>
          </w:tcPr>
          <w:p w14:paraId="599B9B5D">
            <w:pPr>
              <w:pStyle w:val="445"/>
            </w:pPr>
            <w:r>
              <w:rPr>
                <w:rFonts w:hint="eastAsia"/>
              </w:rPr>
              <w:t>经度</w:t>
            </w:r>
          </w:p>
        </w:tc>
        <w:tc>
          <w:tcPr>
            <w:tcW w:w="433" w:type="pct"/>
            <w:tcBorders>
              <w:top w:val="single" w:color="auto" w:sz="4" w:space="0"/>
              <w:left w:val="single" w:color="auto" w:sz="4" w:space="0"/>
              <w:bottom w:val="single" w:color="auto" w:sz="4" w:space="0"/>
              <w:right w:val="single" w:color="auto" w:sz="4" w:space="0"/>
            </w:tcBorders>
            <w:vAlign w:val="center"/>
          </w:tcPr>
          <w:p w14:paraId="41A429EF">
            <w:pPr>
              <w:pStyle w:val="445"/>
            </w:pPr>
            <w:r>
              <w:rPr>
                <w:rFonts w:hint="eastAsia"/>
              </w:rPr>
              <w:t>纬度</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1E985EC">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06C38F3F">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175B1591">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1C571F90">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62A084">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B4D38D">
            <w:pPr>
              <w:pStyle w:val="445"/>
              <w:rPr>
                <w:szCs w:val="18"/>
              </w:rPr>
            </w:pPr>
          </w:p>
        </w:tc>
        <w:tc>
          <w:tcPr>
            <w:tcW w:w="0" w:type="auto"/>
            <w:gridSpan w:val="2"/>
            <w:vMerge w:val="continue"/>
            <w:tcBorders>
              <w:top w:val="single" w:color="auto" w:sz="4" w:space="0"/>
              <w:left w:val="single" w:color="auto" w:sz="4" w:space="0"/>
              <w:bottom w:val="single" w:color="auto" w:sz="4" w:space="0"/>
              <w:right w:val="nil"/>
            </w:tcBorders>
            <w:vAlign w:val="center"/>
          </w:tcPr>
          <w:p w14:paraId="0B249BC5">
            <w:pPr>
              <w:pStyle w:val="445"/>
              <w:rPr>
                <w:szCs w:val="18"/>
              </w:rPr>
            </w:pPr>
          </w:p>
        </w:tc>
      </w:tr>
      <w:tr w14:paraId="62929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235" w:type="pct"/>
            <w:vMerge w:val="restart"/>
            <w:tcBorders>
              <w:top w:val="single" w:color="auto" w:sz="4" w:space="0"/>
              <w:left w:val="nil"/>
              <w:bottom w:val="single" w:color="auto" w:sz="4" w:space="0"/>
              <w:right w:val="single" w:color="auto" w:sz="4" w:space="0"/>
            </w:tcBorders>
            <w:vAlign w:val="center"/>
          </w:tcPr>
          <w:p w14:paraId="2C12DC9F">
            <w:pPr>
              <w:pStyle w:val="445"/>
            </w:pPr>
            <w:r>
              <w:rPr>
                <w:rFonts w:hint="eastAsia"/>
              </w:rPr>
              <w:t>1</w:t>
            </w:r>
          </w:p>
        </w:tc>
        <w:tc>
          <w:tcPr>
            <w:tcW w:w="557" w:type="pct"/>
            <w:vMerge w:val="restart"/>
            <w:tcBorders>
              <w:top w:val="single" w:color="auto" w:sz="4" w:space="0"/>
              <w:left w:val="single" w:color="auto" w:sz="4" w:space="0"/>
              <w:bottom w:val="single" w:color="auto" w:sz="4" w:space="0"/>
              <w:right w:val="single" w:color="auto" w:sz="4" w:space="0"/>
            </w:tcBorders>
            <w:vAlign w:val="center"/>
          </w:tcPr>
          <w:p w14:paraId="6AA694E1">
            <w:pPr>
              <w:pStyle w:val="445"/>
            </w:pPr>
            <w:r>
              <w:t>DW001</w:t>
            </w:r>
          </w:p>
        </w:tc>
        <w:tc>
          <w:tcPr>
            <w:tcW w:w="457" w:type="pct"/>
            <w:vMerge w:val="restart"/>
            <w:tcBorders>
              <w:top w:val="single" w:color="auto" w:sz="4" w:space="0"/>
              <w:left w:val="single" w:color="auto" w:sz="4" w:space="0"/>
              <w:bottom w:val="single" w:color="auto" w:sz="4" w:space="0"/>
              <w:right w:val="single" w:color="auto" w:sz="4" w:space="0"/>
            </w:tcBorders>
            <w:vAlign w:val="center"/>
          </w:tcPr>
          <w:p w14:paraId="13AA62C5">
            <w:pPr>
              <w:pStyle w:val="445"/>
            </w:pPr>
            <w:r>
              <w:t>117.58564</w:t>
            </w:r>
          </w:p>
        </w:tc>
        <w:tc>
          <w:tcPr>
            <w:tcW w:w="433" w:type="pct"/>
            <w:vMerge w:val="restart"/>
            <w:tcBorders>
              <w:top w:val="single" w:color="auto" w:sz="4" w:space="0"/>
              <w:left w:val="single" w:color="auto" w:sz="4" w:space="0"/>
              <w:bottom w:val="single" w:color="auto" w:sz="4" w:space="0"/>
              <w:right w:val="single" w:color="auto" w:sz="4" w:space="0"/>
            </w:tcBorders>
            <w:vAlign w:val="center"/>
          </w:tcPr>
          <w:p w14:paraId="0A9BC9AE">
            <w:pPr>
              <w:pStyle w:val="445"/>
            </w:pPr>
            <w:r>
              <w:t>32.97950</w:t>
            </w:r>
          </w:p>
        </w:tc>
        <w:tc>
          <w:tcPr>
            <w:tcW w:w="317" w:type="pct"/>
            <w:vMerge w:val="restart"/>
            <w:tcBorders>
              <w:top w:val="single" w:color="auto" w:sz="4" w:space="0"/>
              <w:left w:val="single" w:color="auto" w:sz="4" w:space="0"/>
              <w:bottom w:val="single" w:color="auto" w:sz="4" w:space="0"/>
              <w:right w:val="single" w:color="auto" w:sz="4" w:space="0"/>
            </w:tcBorders>
            <w:vAlign w:val="center"/>
          </w:tcPr>
          <w:p w14:paraId="1594CED6">
            <w:pPr>
              <w:pStyle w:val="445"/>
            </w:pPr>
            <w:r>
              <w:t>17.61</w:t>
            </w:r>
          </w:p>
        </w:tc>
        <w:tc>
          <w:tcPr>
            <w:tcW w:w="299" w:type="pct"/>
            <w:vMerge w:val="restart"/>
            <w:tcBorders>
              <w:top w:val="single" w:color="auto" w:sz="4" w:space="0"/>
              <w:left w:val="single" w:color="auto" w:sz="4" w:space="0"/>
              <w:bottom w:val="single" w:color="auto" w:sz="4" w:space="0"/>
              <w:right w:val="single" w:color="auto" w:sz="4" w:space="0"/>
            </w:tcBorders>
            <w:vAlign w:val="center"/>
          </w:tcPr>
          <w:p w14:paraId="08CFAB2E">
            <w:pPr>
              <w:pStyle w:val="445"/>
            </w:pPr>
            <w:r>
              <w:rPr>
                <w:rFonts w:hint="eastAsia"/>
              </w:rPr>
              <w:t>排管沫河口污水</w:t>
            </w:r>
            <w:r>
              <w:t>处理厂</w:t>
            </w:r>
          </w:p>
        </w:tc>
        <w:tc>
          <w:tcPr>
            <w:tcW w:w="236" w:type="pct"/>
            <w:vMerge w:val="restart"/>
            <w:tcBorders>
              <w:top w:val="single" w:color="auto" w:sz="4" w:space="0"/>
              <w:left w:val="single" w:color="auto" w:sz="4" w:space="0"/>
              <w:bottom w:val="single" w:color="auto" w:sz="4" w:space="0"/>
              <w:right w:val="single" w:color="auto" w:sz="4" w:space="0"/>
            </w:tcBorders>
            <w:vAlign w:val="center"/>
          </w:tcPr>
          <w:p w14:paraId="21E6C979">
            <w:pPr>
              <w:pStyle w:val="445"/>
            </w:pPr>
            <w:r>
              <w:rPr>
                <w:rFonts w:hint="eastAsia"/>
              </w:rPr>
              <w:t>间断排放，排放期间流量稳定</w:t>
            </w:r>
          </w:p>
        </w:tc>
        <w:tc>
          <w:tcPr>
            <w:tcW w:w="412" w:type="pct"/>
            <w:vMerge w:val="restart"/>
            <w:tcBorders>
              <w:top w:val="single" w:color="auto" w:sz="4" w:space="0"/>
              <w:left w:val="single" w:color="auto" w:sz="4" w:space="0"/>
              <w:bottom w:val="single" w:color="auto" w:sz="4" w:space="0"/>
              <w:right w:val="single" w:color="auto" w:sz="4" w:space="0"/>
            </w:tcBorders>
            <w:vAlign w:val="center"/>
          </w:tcPr>
          <w:p w14:paraId="2DCBDE8E">
            <w:pPr>
              <w:pStyle w:val="445"/>
            </w:pPr>
            <w:r>
              <w:t>24</w:t>
            </w:r>
            <w:r>
              <w:rPr>
                <w:rFonts w:hint="eastAsia"/>
              </w:rPr>
              <w:t>小时</w:t>
            </w:r>
          </w:p>
        </w:tc>
        <w:tc>
          <w:tcPr>
            <w:tcW w:w="421" w:type="pct"/>
            <w:vMerge w:val="restart"/>
            <w:tcBorders>
              <w:top w:val="single" w:color="auto" w:sz="4" w:space="0"/>
              <w:left w:val="single" w:color="auto" w:sz="4" w:space="0"/>
              <w:bottom w:val="single" w:color="auto" w:sz="4" w:space="0"/>
              <w:right w:val="single" w:color="auto" w:sz="4" w:space="0"/>
            </w:tcBorders>
            <w:vAlign w:val="center"/>
          </w:tcPr>
          <w:p w14:paraId="0125BEE3">
            <w:pPr>
              <w:pStyle w:val="445"/>
            </w:pPr>
            <w:r>
              <w:rPr>
                <w:rFonts w:hint="eastAsia"/>
              </w:rPr>
              <w:t>沫河口污水</w:t>
            </w:r>
            <w:r>
              <w:t>处理厂</w:t>
            </w:r>
          </w:p>
        </w:tc>
        <w:tc>
          <w:tcPr>
            <w:tcW w:w="644" w:type="pct"/>
            <w:tcBorders>
              <w:top w:val="single" w:color="auto" w:sz="4" w:space="0"/>
              <w:left w:val="single" w:color="auto" w:sz="4" w:space="0"/>
              <w:bottom w:val="single" w:color="auto" w:sz="4" w:space="0"/>
              <w:right w:val="single" w:color="auto" w:sz="4" w:space="0"/>
            </w:tcBorders>
            <w:vAlign w:val="center"/>
          </w:tcPr>
          <w:p w14:paraId="2018C104">
            <w:pPr>
              <w:pStyle w:val="445"/>
            </w:pPr>
            <w:r>
              <w:t>COD</w:t>
            </w:r>
          </w:p>
        </w:tc>
        <w:tc>
          <w:tcPr>
            <w:tcW w:w="989" w:type="pct"/>
            <w:gridSpan w:val="2"/>
            <w:tcBorders>
              <w:top w:val="single" w:color="auto" w:sz="4" w:space="0"/>
              <w:left w:val="single" w:color="auto" w:sz="4" w:space="0"/>
              <w:bottom w:val="single" w:color="auto" w:sz="4" w:space="0"/>
              <w:right w:val="nil"/>
            </w:tcBorders>
            <w:vAlign w:val="center"/>
          </w:tcPr>
          <w:p w14:paraId="70B172EB">
            <w:pPr>
              <w:pStyle w:val="445"/>
            </w:pPr>
            <w:r>
              <w:t>50</w:t>
            </w:r>
          </w:p>
        </w:tc>
      </w:tr>
      <w:tr w14:paraId="44492C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2DA24DCF">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68FC3B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54CC5B">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30765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395CD9">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ABB7DE">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B97A9F">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9A1D75D">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CFEE11">
            <w:pPr>
              <w:pStyle w:val="445"/>
              <w:rPr>
                <w:szCs w:val="18"/>
              </w:rPr>
            </w:pPr>
          </w:p>
        </w:tc>
        <w:tc>
          <w:tcPr>
            <w:tcW w:w="644" w:type="pct"/>
            <w:tcBorders>
              <w:top w:val="single" w:color="auto" w:sz="4" w:space="0"/>
              <w:left w:val="single" w:color="auto" w:sz="4" w:space="0"/>
              <w:bottom w:val="single" w:color="auto" w:sz="4" w:space="0"/>
              <w:right w:val="single" w:color="auto" w:sz="4" w:space="0"/>
            </w:tcBorders>
            <w:vAlign w:val="center"/>
          </w:tcPr>
          <w:p w14:paraId="33ECCF81">
            <w:pPr>
              <w:pStyle w:val="445"/>
            </w:pPr>
            <w:r>
              <w:t>BOD</w:t>
            </w:r>
            <w:r>
              <w:rPr>
                <w:vertAlign w:val="subscript"/>
              </w:rPr>
              <w:t>5</w:t>
            </w:r>
          </w:p>
        </w:tc>
        <w:tc>
          <w:tcPr>
            <w:tcW w:w="989" w:type="pct"/>
            <w:gridSpan w:val="2"/>
            <w:tcBorders>
              <w:top w:val="single" w:color="auto" w:sz="4" w:space="0"/>
              <w:left w:val="single" w:color="auto" w:sz="4" w:space="0"/>
              <w:bottom w:val="single" w:color="auto" w:sz="4" w:space="0"/>
              <w:right w:val="nil"/>
            </w:tcBorders>
            <w:vAlign w:val="center"/>
          </w:tcPr>
          <w:p w14:paraId="1EE14CBA">
            <w:pPr>
              <w:pStyle w:val="445"/>
            </w:pPr>
            <w:r>
              <w:t>10</w:t>
            </w:r>
          </w:p>
        </w:tc>
      </w:tr>
      <w:tr w14:paraId="7B6BF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463455D1">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CD0B5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38EF55">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4426AD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09A793">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6E9AB5">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31BF3D">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824473">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88DFF2">
            <w:pPr>
              <w:pStyle w:val="445"/>
              <w:rPr>
                <w:szCs w:val="18"/>
              </w:rPr>
            </w:pPr>
          </w:p>
        </w:tc>
        <w:tc>
          <w:tcPr>
            <w:tcW w:w="644" w:type="pct"/>
            <w:tcBorders>
              <w:top w:val="single" w:color="auto" w:sz="4" w:space="0"/>
              <w:left w:val="single" w:color="auto" w:sz="4" w:space="0"/>
              <w:bottom w:val="single" w:color="auto" w:sz="4" w:space="0"/>
              <w:right w:val="single" w:color="auto" w:sz="4" w:space="0"/>
            </w:tcBorders>
            <w:vAlign w:val="center"/>
          </w:tcPr>
          <w:p w14:paraId="2F041D88">
            <w:pPr>
              <w:pStyle w:val="445"/>
            </w:pPr>
            <w:r>
              <w:t>SS</w:t>
            </w:r>
          </w:p>
        </w:tc>
        <w:tc>
          <w:tcPr>
            <w:tcW w:w="989" w:type="pct"/>
            <w:gridSpan w:val="2"/>
            <w:tcBorders>
              <w:top w:val="single" w:color="auto" w:sz="4" w:space="0"/>
              <w:left w:val="single" w:color="auto" w:sz="4" w:space="0"/>
              <w:bottom w:val="single" w:color="auto" w:sz="4" w:space="0"/>
              <w:right w:val="nil"/>
            </w:tcBorders>
            <w:vAlign w:val="center"/>
          </w:tcPr>
          <w:p w14:paraId="4BEDC359">
            <w:pPr>
              <w:pStyle w:val="445"/>
            </w:pPr>
            <w:r>
              <w:t>10</w:t>
            </w:r>
          </w:p>
        </w:tc>
      </w:tr>
      <w:tr w14:paraId="0DE233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1BDE0266">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0ED062">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5D0475">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980F9F0">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01223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8A4A09">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46FBA2">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3050D0">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992908">
            <w:pPr>
              <w:pStyle w:val="445"/>
              <w:rPr>
                <w:szCs w:val="18"/>
              </w:rPr>
            </w:pPr>
          </w:p>
        </w:tc>
        <w:tc>
          <w:tcPr>
            <w:tcW w:w="644" w:type="pct"/>
            <w:tcBorders>
              <w:top w:val="single" w:color="auto" w:sz="4" w:space="0"/>
              <w:left w:val="single" w:color="auto" w:sz="4" w:space="0"/>
              <w:bottom w:val="single" w:color="auto" w:sz="4" w:space="0"/>
              <w:right w:val="single" w:color="auto" w:sz="4" w:space="0"/>
            </w:tcBorders>
            <w:vAlign w:val="center"/>
          </w:tcPr>
          <w:p w14:paraId="32C80035">
            <w:pPr>
              <w:pStyle w:val="445"/>
            </w:pPr>
            <w:r>
              <w:rPr>
                <w:rFonts w:hint="eastAsia"/>
              </w:rPr>
              <w:t>NH</w:t>
            </w:r>
            <w:r>
              <w:rPr>
                <w:rFonts w:hint="eastAsia"/>
                <w:vertAlign w:val="subscript"/>
              </w:rPr>
              <w:t>3</w:t>
            </w:r>
            <w:r>
              <w:rPr>
                <w:rFonts w:hint="eastAsia"/>
              </w:rPr>
              <w:t>-N</w:t>
            </w:r>
          </w:p>
        </w:tc>
        <w:tc>
          <w:tcPr>
            <w:tcW w:w="989" w:type="pct"/>
            <w:gridSpan w:val="2"/>
            <w:tcBorders>
              <w:top w:val="single" w:color="auto" w:sz="4" w:space="0"/>
              <w:left w:val="single" w:color="auto" w:sz="4" w:space="0"/>
              <w:bottom w:val="single" w:color="auto" w:sz="4" w:space="0"/>
              <w:right w:val="nil"/>
            </w:tcBorders>
            <w:vAlign w:val="center"/>
          </w:tcPr>
          <w:p w14:paraId="3DBCC519">
            <w:pPr>
              <w:pStyle w:val="445"/>
            </w:pPr>
            <w:r>
              <w:rPr>
                <w:rFonts w:hint="eastAsia"/>
              </w:rPr>
              <w:t>5</w:t>
            </w:r>
          </w:p>
        </w:tc>
      </w:tr>
      <w:tr w14:paraId="4A0E7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49736B5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EA900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A4FE38">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B96682">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9E83F6">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7393C39">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9C837F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17CFBB">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988F9F8">
            <w:pPr>
              <w:pStyle w:val="445"/>
              <w:rPr>
                <w:szCs w:val="18"/>
              </w:rPr>
            </w:pPr>
          </w:p>
        </w:tc>
        <w:tc>
          <w:tcPr>
            <w:tcW w:w="644" w:type="pct"/>
            <w:tcBorders>
              <w:top w:val="single" w:color="auto" w:sz="4" w:space="0"/>
              <w:left w:val="single" w:color="auto" w:sz="4" w:space="0"/>
              <w:bottom w:val="single" w:color="auto" w:sz="4" w:space="0"/>
              <w:right w:val="single" w:color="auto" w:sz="4" w:space="0"/>
            </w:tcBorders>
            <w:vAlign w:val="center"/>
          </w:tcPr>
          <w:p w14:paraId="16EA9269">
            <w:pPr>
              <w:pStyle w:val="445"/>
            </w:pPr>
            <w:r>
              <w:rPr>
                <w:rFonts w:hint="eastAsia"/>
              </w:rPr>
              <w:t>TP</w:t>
            </w:r>
          </w:p>
        </w:tc>
        <w:tc>
          <w:tcPr>
            <w:tcW w:w="989" w:type="pct"/>
            <w:gridSpan w:val="2"/>
            <w:tcBorders>
              <w:top w:val="single" w:color="auto" w:sz="4" w:space="0"/>
              <w:left w:val="single" w:color="auto" w:sz="4" w:space="0"/>
              <w:bottom w:val="single" w:color="auto" w:sz="4" w:space="0"/>
              <w:right w:val="nil"/>
            </w:tcBorders>
            <w:vAlign w:val="center"/>
          </w:tcPr>
          <w:p w14:paraId="3FFF8E9A">
            <w:pPr>
              <w:pStyle w:val="445"/>
            </w:pPr>
            <w:r>
              <w:rPr>
                <w:rFonts w:hint="eastAsia"/>
              </w:rPr>
              <w:t>0.5</w:t>
            </w:r>
          </w:p>
        </w:tc>
      </w:tr>
      <w:tr w14:paraId="33B9D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8"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781A2EA6">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F7C867A">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3FA6A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E90E37">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D31AA4">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B1C412">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1BBACBF">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DEFCC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94D6AE">
            <w:pPr>
              <w:pStyle w:val="445"/>
              <w:rPr>
                <w:szCs w:val="18"/>
              </w:rPr>
            </w:pPr>
          </w:p>
        </w:tc>
        <w:tc>
          <w:tcPr>
            <w:tcW w:w="644" w:type="pct"/>
            <w:tcBorders>
              <w:top w:val="single" w:color="auto" w:sz="4" w:space="0"/>
              <w:left w:val="single" w:color="auto" w:sz="4" w:space="0"/>
              <w:bottom w:val="single" w:color="auto" w:sz="4" w:space="0"/>
              <w:right w:val="single" w:color="auto" w:sz="4" w:space="0"/>
            </w:tcBorders>
            <w:vAlign w:val="center"/>
          </w:tcPr>
          <w:p w14:paraId="58FCB05E">
            <w:pPr>
              <w:pStyle w:val="445"/>
            </w:pPr>
            <w:r>
              <w:rPr>
                <w:rFonts w:hint="eastAsia"/>
              </w:rPr>
              <w:t>盐分</w:t>
            </w:r>
          </w:p>
        </w:tc>
        <w:tc>
          <w:tcPr>
            <w:tcW w:w="989" w:type="pct"/>
            <w:gridSpan w:val="2"/>
            <w:tcBorders>
              <w:top w:val="single" w:color="auto" w:sz="4" w:space="0"/>
              <w:left w:val="single" w:color="auto" w:sz="4" w:space="0"/>
              <w:bottom w:val="single" w:color="auto" w:sz="4" w:space="0"/>
              <w:right w:val="nil"/>
            </w:tcBorders>
            <w:vAlign w:val="center"/>
          </w:tcPr>
          <w:p w14:paraId="7106FA36">
            <w:pPr>
              <w:pStyle w:val="445"/>
            </w:pPr>
            <w:r>
              <w:rPr>
                <w:rFonts w:hint="eastAsia"/>
              </w:rPr>
              <w:t>/</w:t>
            </w:r>
          </w:p>
        </w:tc>
      </w:tr>
    </w:tbl>
    <w:p w14:paraId="1749756B">
      <w:pPr>
        <w:ind w:firstLine="480"/>
      </w:pPr>
    </w:p>
    <w:p w14:paraId="40CCCE99">
      <w:pPr>
        <w:ind w:firstLine="480"/>
        <w:sectPr>
          <w:pgSz w:w="16839" w:h="11907" w:orient="landscape"/>
          <w:pgMar w:top="1440" w:right="1440" w:bottom="1440" w:left="1440" w:header="851" w:footer="992" w:gutter="0"/>
          <w:cols w:space="425" w:num="1"/>
          <w:docGrid w:type="lines" w:linePitch="326" w:charSpace="0"/>
        </w:sectPr>
      </w:pPr>
    </w:p>
    <w:p w14:paraId="759A307E">
      <w:pPr>
        <w:spacing w:line="500" w:lineRule="exact"/>
        <w:ind w:firstLine="0" w:firstLineChars="0"/>
        <w:jc w:val="center"/>
        <w:rPr>
          <w:rFonts w:eastAsia="黑体"/>
        </w:rPr>
      </w:pPr>
      <w:r>
        <w:rPr>
          <w:rFonts w:ascii="黑体" w:hAnsi="黑体" w:eastAsia="黑体"/>
        </w:rPr>
        <w:t>表</w:t>
      </w:r>
      <w:r>
        <w:rPr>
          <w:rFonts w:hint="eastAsia" w:eastAsia="黑体"/>
        </w:rPr>
        <w:t>5.</w:t>
      </w:r>
      <w:r>
        <w:rPr>
          <w:rFonts w:eastAsia="黑体"/>
        </w:rPr>
        <w:t>2.2-3</w:t>
      </w:r>
      <w:r>
        <w:rPr>
          <w:rFonts w:hint="eastAsia" w:eastAsia="黑体"/>
        </w:rPr>
        <w:t xml:space="preserve">  </w:t>
      </w:r>
      <w:r>
        <w:rPr>
          <w:rFonts w:hint="eastAsia" w:ascii="黑体" w:hAnsi="黑体" w:eastAsia="黑体"/>
        </w:rPr>
        <w:t>废水污染物排放执行标准表</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85"/>
        <w:gridCol w:w="1269"/>
        <w:gridCol w:w="1269"/>
        <w:gridCol w:w="4512"/>
        <w:gridCol w:w="1692"/>
      </w:tblGrid>
      <w:tr w14:paraId="795E1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158" w:type="pct"/>
            <w:vMerge w:val="restart"/>
            <w:tcBorders>
              <w:top w:val="single" w:color="auto" w:sz="12" w:space="0"/>
              <w:left w:val="nil"/>
              <w:bottom w:val="single" w:color="auto" w:sz="4" w:space="0"/>
              <w:right w:val="single" w:color="auto" w:sz="4" w:space="0"/>
            </w:tcBorders>
            <w:vAlign w:val="center"/>
          </w:tcPr>
          <w:p w14:paraId="374341F1">
            <w:pPr>
              <w:pStyle w:val="445"/>
            </w:pPr>
            <w:r>
              <w:rPr>
                <w:rFonts w:hint="eastAsia"/>
              </w:rPr>
              <w:t>序号</w:t>
            </w:r>
          </w:p>
        </w:tc>
        <w:tc>
          <w:tcPr>
            <w:tcW w:w="703" w:type="pct"/>
            <w:vMerge w:val="restart"/>
            <w:tcBorders>
              <w:top w:val="single" w:color="auto" w:sz="12" w:space="0"/>
              <w:left w:val="single" w:color="auto" w:sz="4" w:space="0"/>
              <w:bottom w:val="single" w:color="auto" w:sz="4" w:space="0"/>
              <w:right w:val="single" w:color="auto" w:sz="4" w:space="0"/>
            </w:tcBorders>
            <w:vAlign w:val="center"/>
          </w:tcPr>
          <w:p w14:paraId="2A45913F">
            <w:pPr>
              <w:pStyle w:val="445"/>
            </w:pPr>
            <w:r>
              <w:rPr>
                <w:rFonts w:hint="eastAsia"/>
              </w:rPr>
              <w:t>排放编号</w:t>
            </w:r>
          </w:p>
        </w:tc>
        <w:tc>
          <w:tcPr>
            <w:tcW w:w="703" w:type="pct"/>
            <w:vMerge w:val="restart"/>
            <w:tcBorders>
              <w:top w:val="single" w:color="auto" w:sz="12" w:space="0"/>
              <w:left w:val="single" w:color="auto" w:sz="4" w:space="0"/>
              <w:bottom w:val="single" w:color="auto" w:sz="4" w:space="0"/>
              <w:right w:val="single" w:color="auto" w:sz="4" w:space="0"/>
            </w:tcBorders>
            <w:vAlign w:val="center"/>
          </w:tcPr>
          <w:p w14:paraId="49E1D76E">
            <w:pPr>
              <w:pStyle w:val="445"/>
            </w:pPr>
            <w:r>
              <w:rPr>
                <w:rFonts w:hint="eastAsia"/>
              </w:rPr>
              <w:t>污染物种类</w:t>
            </w:r>
          </w:p>
        </w:tc>
        <w:tc>
          <w:tcPr>
            <w:tcW w:w="3436" w:type="pct"/>
            <w:gridSpan w:val="2"/>
            <w:tcBorders>
              <w:top w:val="single" w:color="auto" w:sz="12" w:space="0"/>
              <w:left w:val="single" w:color="auto" w:sz="4" w:space="0"/>
              <w:bottom w:val="single" w:color="auto" w:sz="4" w:space="0"/>
              <w:right w:val="nil"/>
            </w:tcBorders>
            <w:vAlign w:val="center"/>
          </w:tcPr>
          <w:p w14:paraId="781283FA">
            <w:pPr>
              <w:pStyle w:val="445"/>
            </w:pPr>
            <w:r>
              <w:rPr>
                <w:rFonts w:hint="eastAsia"/>
              </w:rPr>
              <w:t>国家或地方污染物排放标准及其他按规定商定的排放协议</w:t>
            </w:r>
          </w:p>
        </w:tc>
      </w:tr>
      <w:tr w14:paraId="2369CE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12" w:space="0"/>
              <w:left w:val="nil"/>
              <w:bottom w:val="single" w:color="auto" w:sz="4" w:space="0"/>
              <w:right w:val="single" w:color="auto" w:sz="4" w:space="0"/>
            </w:tcBorders>
            <w:vAlign w:val="center"/>
          </w:tcPr>
          <w:p w14:paraId="29F35AFE">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7F68B53">
            <w:pPr>
              <w:pStyle w:val="445"/>
              <w:rPr>
                <w:szCs w:val="18"/>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84BF32D">
            <w:pPr>
              <w:pStyle w:val="445"/>
              <w:rPr>
                <w:szCs w:val="18"/>
              </w:rPr>
            </w:pPr>
          </w:p>
        </w:tc>
        <w:tc>
          <w:tcPr>
            <w:tcW w:w="2499" w:type="pct"/>
            <w:tcBorders>
              <w:top w:val="single" w:color="auto" w:sz="4" w:space="0"/>
              <w:left w:val="single" w:color="auto" w:sz="4" w:space="0"/>
              <w:bottom w:val="single" w:color="auto" w:sz="4" w:space="0"/>
              <w:right w:val="single" w:color="auto" w:sz="4" w:space="0"/>
            </w:tcBorders>
            <w:vAlign w:val="center"/>
          </w:tcPr>
          <w:p w14:paraId="24BCE149">
            <w:pPr>
              <w:pStyle w:val="445"/>
            </w:pPr>
            <w:r>
              <w:rPr>
                <w:rFonts w:hint="eastAsia"/>
              </w:rPr>
              <w:t>名称</w:t>
            </w:r>
          </w:p>
        </w:tc>
        <w:tc>
          <w:tcPr>
            <w:tcW w:w="937" w:type="pct"/>
            <w:tcBorders>
              <w:top w:val="single" w:color="auto" w:sz="4" w:space="0"/>
              <w:left w:val="single" w:color="auto" w:sz="4" w:space="0"/>
              <w:bottom w:val="single" w:color="auto" w:sz="4" w:space="0"/>
              <w:right w:val="nil"/>
            </w:tcBorders>
            <w:vAlign w:val="center"/>
          </w:tcPr>
          <w:p w14:paraId="7D1B827C">
            <w:pPr>
              <w:pStyle w:val="445"/>
            </w:pPr>
            <w:r>
              <w:rPr>
                <w:rFonts w:hint="eastAsia"/>
              </w:rPr>
              <w:t>浓度限值/(mg/L)</w:t>
            </w:r>
          </w:p>
        </w:tc>
      </w:tr>
      <w:tr w14:paraId="14BF55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158" w:type="pct"/>
            <w:vMerge w:val="restart"/>
            <w:tcBorders>
              <w:top w:val="single" w:color="auto" w:sz="4" w:space="0"/>
              <w:left w:val="nil"/>
              <w:bottom w:val="single" w:color="auto" w:sz="4" w:space="0"/>
              <w:right w:val="single" w:color="auto" w:sz="4" w:space="0"/>
            </w:tcBorders>
            <w:vAlign w:val="center"/>
          </w:tcPr>
          <w:p w14:paraId="46EC6C7B">
            <w:pPr>
              <w:pStyle w:val="445"/>
            </w:pPr>
            <w:r>
              <w:t>1</w:t>
            </w:r>
          </w:p>
        </w:tc>
        <w:tc>
          <w:tcPr>
            <w:tcW w:w="703" w:type="pct"/>
            <w:vMerge w:val="restart"/>
            <w:tcBorders>
              <w:top w:val="single" w:color="auto" w:sz="4" w:space="0"/>
              <w:left w:val="single" w:color="auto" w:sz="4" w:space="0"/>
              <w:bottom w:val="single" w:color="auto" w:sz="4" w:space="0"/>
              <w:right w:val="single" w:color="auto" w:sz="4" w:space="0"/>
            </w:tcBorders>
            <w:vAlign w:val="center"/>
          </w:tcPr>
          <w:p w14:paraId="770A7289">
            <w:pPr>
              <w:pStyle w:val="445"/>
            </w:pPr>
            <w:r>
              <w:rPr>
                <w:rFonts w:hint="eastAsia"/>
              </w:rPr>
              <w:t>D</w:t>
            </w:r>
            <w:r>
              <w:t>W001</w:t>
            </w:r>
          </w:p>
        </w:tc>
        <w:tc>
          <w:tcPr>
            <w:tcW w:w="703" w:type="pct"/>
            <w:tcBorders>
              <w:top w:val="single" w:color="auto" w:sz="4" w:space="0"/>
              <w:left w:val="single" w:color="auto" w:sz="4" w:space="0"/>
              <w:bottom w:val="single" w:color="auto" w:sz="4" w:space="0"/>
              <w:right w:val="single" w:color="auto" w:sz="4" w:space="0"/>
            </w:tcBorders>
            <w:vAlign w:val="center"/>
          </w:tcPr>
          <w:p w14:paraId="66D8F963">
            <w:pPr>
              <w:pStyle w:val="445"/>
            </w:pPr>
            <w:r>
              <w:t>COD</w:t>
            </w:r>
          </w:p>
        </w:tc>
        <w:tc>
          <w:tcPr>
            <w:tcW w:w="2499" w:type="pct"/>
            <w:vMerge w:val="restart"/>
            <w:tcBorders>
              <w:top w:val="single" w:color="auto" w:sz="4" w:space="0"/>
              <w:left w:val="single" w:color="auto" w:sz="4" w:space="0"/>
              <w:bottom w:val="single" w:color="auto" w:sz="4" w:space="0"/>
              <w:right w:val="single" w:color="auto" w:sz="4" w:space="0"/>
            </w:tcBorders>
            <w:vAlign w:val="center"/>
          </w:tcPr>
          <w:p w14:paraId="2CE4427A">
            <w:pPr>
              <w:pStyle w:val="445"/>
            </w:pPr>
            <w:r>
              <w:rPr>
                <w:rFonts w:ascii="宋体" w:hAnsi="宋体"/>
              </w:rPr>
              <w:t>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p>
        </w:tc>
        <w:tc>
          <w:tcPr>
            <w:tcW w:w="937" w:type="pct"/>
            <w:tcBorders>
              <w:top w:val="single" w:color="auto" w:sz="4" w:space="0"/>
              <w:left w:val="single" w:color="auto" w:sz="4" w:space="0"/>
              <w:bottom w:val="single" w:color="auto" w:sz="4" w:space="0"/>
              <w:right w:val="nil"/>
            </w:tcBorders>
            <w:vAlign w:val="center"/>
          </w:tcPr>
          <w:p w14:paraId="4BD7114B">
            <w:pPr>
              <w:pStyle w:val="445"/>
            </w:pPr>
            <w:r>
              <w:rPr>
                <w:rFonts w:hint="eastAsia"/>
              </w:rPr>
              <w:t>200</w:t>
            </w:r>
          </w:p>
        </w:tc>
      </w:tr>
      <w:tr w14:paraId="15E53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4" w:space="0"/>
              <w:left w:val="nil"/>
              <w:bottom w:val="single" w:color="auto" w:sz="4" w:space="0"/>
              <w:right w:val="single" w:color="auto" w:sz="4" w:space="0"/>
            </w:tcBorders>
            <w:vAlign w:val="center"/>
          </w:tcPr>
          <w:p w14:paraId="0B38F3EC">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F26300">
            <w:pPr>
              <w:pStyle w:val="445"/>
              <w:rPr>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47CCCEAA">
            <w:pPr>
              <w:pStyle w:val="445"/>
            </w:pPr>
            <w:r>
              <w:t>BOD</w:t>
            </w:r>
            <w:r>
              <w:rPr>
                <w:vertAlign w:val="subscript"/>
              </w:rPr>
              <w:t>5</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213D88">
            <w:pPr>
              <w:pStyle w:val="445"/>
              <w:rPr>
                <w:szCs w:val="18"/>
              </w:rPr>
            </w:pPr>
          </w:p>
        </w:tc>
        <w:tc>
          <w:tcPr>
            <w:tcW w:w="937" w:type="pct"/>
            <w:tcBorders>
              <w:top w:val="single" w:color="auto" w:sz="4" w:space="0"/>
              <w:left w:val="single" w:color="auto" w:sz="4" w:space="0"/>
              <w:bottom w:val="single" w:color="auto" w:sz="4" w:space="0"/>
              <w:right w:val="nil"/>
            </w:tcBorders>
            <w:vAlign w:val="center"/>
          </w:tcPr>
          <w:p w14:paraId="714241DA">
            <w:pPr>
              <w:pStyle w:val="445"/>
            </w:pPr>
            <w:r>
              <w:rPr>
                <w:rFonts w:hint="eastAsia"/>
              </w:rPr>
              <w:t>120</w:t>
            </w:r>
          </w:p>
        </w:tc>
      </w:tr>
      <w:tr w14:paraId="0B1D0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4" w:space="0"/>
              <w:left w:val="nil"/>
              <w:bottom w:val="single" w:color="auto" w:sz="4" w:space="0"/>
              <w:right w:val="single" w:color="auto" w:sz="4" w:space="0"/>
            </w:tcBorders>
            <w:vAlign w:val="center"/>
          </w:tcPr>
          <w:p w14:paraId="14B8E99A">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E67BA2">
            <w:pPr>
              <w:pStyle w:val="445"/>
              <w:rPr>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6921C2A7">
            <w:pPr>
              <w:pStyle w:val="445"/>
            </w:pPr>
            <w:r>
              <w:t>SS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35617A">
            <w:pPr>
              <w:pStyle w:val="445"/>
              <w:rPr>
                <w:szCs w:val="18"/>
              </w:rPr>
            </w:pPr>
          </w:p>
        </w:tc>
        <w:tc>
          <w:tcPr>
            <w:tcW w:w="937" w:type="pct"/>
            <w:tcBorders>
              <w:top w:val="single" w:color="auto" w:sz="4" w:space="0"/>
              <w:left w:val="single" w:color="auto" w:sz="4" w:space="0"/>
              <w:bottom w:val="single" w:color="auto" w:sz="4" w:space="0"/>
              <w:right w:val="nil"/>
            </w:tcBorders>
            <w:vAlign w:val="center"/>
          </w:tcPr>
          <w:p w14:paraId="4DE952DF">
            <w:pPr>
              <w:pStyle w:val="445"/>
            </w:pPr>
            <w:r>
              <w:rPr>
                <w:rFonts w:hint="eastAsia"/>
              </w:rPr>
              <w:t>100</w:t>
            </w:r>
          </w:p>
        </w:tc>
      </w:tr>
      <w:tr w14:paraId="31CB2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4" w:space="0"/>
              <w:left w:val="nil"/>
              <w:bottom w:val="single" w:color="auto" w:sz="4" w:space="0"/>
              <w:right w:val="single" w:color="auto" w:sz="4" w:space="0"/>
            </w:tcBorders>
            <w:vAlign w:val="center"/>
          </w:tcPr>
          <w:p w14:paraId="03EA1248">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CC0EFA">
            <w:pPr>
              <w:pStyle w:val="445"/>
              <w:rPr>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406756DA">
            <w:pPr>
              <w:pStyle w:val="445"/>
            </w:pPr>
            <w:r>
              <w:rPr>
                <w:rFonts w:hint="eastAsia"/>
              </w:rPr>
              <w:t>NH</w:t>
            </w:r>
            <w:r>
              <w:rPr>
                <w:rFonts w:hint="eastAsia"/>
                <w:vertAlign w:val="subscript"/>
              </w:rPr>
              <w:t>3</w:t>
            </w:r>
            <w:r>
              <w:rPr>
                <w:rFonts w:hint="eastAsia"/>
              </w:rPr>
              <w:t>-N</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7BAE5A">
            <w:pPr>
              <w:pStyle w:val="445"/>
              <w:rPr>
                <w:szCs w:val="18"/>
              </w:rPr>
            </w:pPr>
          </w:p>
        </w:tc>
        <w:tc>
          <w:tcPr>
            <w:tcW w:w="937" w:type="pct"/>
            <w:tcBorders>
              <w:top w:val="single" w:color="auto" w:sz="4" w:space="0"/>
              <w:left w:val="single" w:color="auto" w:sz="4" w:space="0"/>
              <w:bottom w:val="single" w:color="auto" w:sz="4" w:space="0"/>
              <w:right w:val="nil"/>
            </w:tcBorders>
            <w:vAlign w:val="center"/>
          </w:tcPr>
          <w:p w14:paraId="3EDCA5A3">
            <w:pPr>
              <w:pStyle w:val="445"/>
            </w:pPr>
            <w:r>
              <w:rPr>
                <w:rFonts w:hint="eastAsia"/>
              </w:rPr>
              <w:t>30</w:t>
            </w:r>
          </w:p>
        </w:tc>
      </w:tr>
      <w:tr w14:paraId="402E45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4" w:space="0"/>
              <w:left w:val="nil"/>
              <w:bottom w:val="single" w:color="auto" w:sz="4" w:space="0"/>
              <w:right w:val="single" w:color="auto" w:sz="4" w:space="0"/>
            </w:tcBorders>
            <w:vAlign w:val="center"/>
          </w:tcPr>
          <w:p w14:paraId="74CCB2FE">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FBBE25">
            <w:pPr>
              <w:pStyle w:val="445"/>
              <w:rPr>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33BA85A8">
            <w:pPr>
              <w:pStyle w:val="445"/>
            </w:pPr>
            <w:r>
              <w:rPr>
                <w:rFonts w:hint="eastAsia"/>
              </w:rPr>
              <w:t>TP</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5A64D62">
            <w:pPr>
              <w:pStyle w:val="445"/>
              <w:rPr>
                <w:szCs w:val="18"/>
              </w:rPr>
            </w:pPr>
          </w:p>
        </w:tc>
        <w:tc>
          <w:tcPr>
            <w:tcW w:w="937" w:type="pct"/>
            <w:tcBorders>
              <w:top w:val="single" w:color="auto" w:sz="4" w:space="0"/>
              <w:left w:val="single" w:color="auto" w:sz="4" w:space="0"/>
              <w:bottom w:val="single" w:color="auto" w:sz="4" w:space="0"/>
              <w:right w:val="nil"/>
            </w:tcBorders>
            <w:vAlign w:val="center"/>
          </w:tcPr>
          <w:p w14:paraId="27F369CA">
            <w:pPr>
              <w:pStyle w:val="445"/>
            </w:pPr>
            <w:r>
              <w:rPr>
                <w:rFonts w:hint="eastAsia"/>
              </w:rPr>
              <w:t>2</w:t>
            </w:r>
          </w:p>
        </w:tc>
      </w:tr>
      <w:tr w14:paraId="7D125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jc w:val="center"/>
        </w:trPr>
        <w:tc>
          <w:tcPr>
            <w:tcW w:w="0" w:type="auto"/>
            <w:vMerge w:val="continue"/>
            <w:tcBorders>
              <w:top w:val="single" w:color="auto" w:sz="4" w:space="0"/>
              <w:left w:val="nil"/>
              <w:bottom w:val="single" w:color="auto" w:sz="4" w:space="0"/>
              <w:right w:val="single" w:color="auto" w:sz="4" w:space="0"/>
            </w:tcBorders>
            <w:vAlign w:val="center"/>
          </w:tcPr>
          <w:p w14:paraId="4A244E91">
            <w:pPr>
              <w:pStyle w:val="445"/>
              <w:rPr>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E6FD18">
            <w:pPr>
              <w:pStyle w:val="445"/>
              <w:rPr>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51887B8D">
            <w:pPr>
              <w:pStyle w:val="445"/>
            </w:pPr>
            <w:r>
              <w:rPr>
                <w:rFonts w:hint="eastAsia"/>
              </w:rPr>
              <w:t>盐分</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F8B78C">
            <w:pPr>
              <w:pStyle w:val="445"/>
              <w:rPr>
                <w:szCs w:val="18"/>
              </w:rPr>
            </w:pPr>
          </w:p>
        </w:tc>
        <w:tc>
          <w:tcPr>
            <w:tcW w:w="937" w:type="pct"/>
            <w:tcBorders>
              <w:top w:val="single" w:color="auto" w:sz="4" w:space="0"/>
              <w:left w:val="single" w:color="auto" w:sz="4" w:space="0"/>
              <w:bottom w:val="single" w:color="auto" w:sz="4" w:space="0"/>
              <w:right w:val="nil"/>
            </w:tcBorders>
            <w:vAlign w:val="center"/>
          </w:tcPr>
          <w:p w14:paraId="0FA66235">
            <w:pPr>
              <w:pStyle w:val="445"/>
            </w:pPr>
            <w:r>
              <w:t>6000</w:t>
            </w:r>
          </w:p>
        </w:tc>
      </w:tr>
    </w:tbl>
    <w:p w14:paraId="40193884">
      <w:pPr>
        <w:spacing w:line="500" w:lineRule="exact"/>
        <w:ind w:firstLine="0" w:firstLineChars="0"/>
        <w:jc w:val="center"/>
        <w:rPr>
          <w:rFonts w:eastAsia="黑体" w:cs="Times New Roman"/>
        </w:rPr>
      </w:pPr>
      <w:r>
        <w:rPr>
          <w:rFonts w:ascii="黑体" w:hAnsi="黑体" w:eastAsia="黑体"/>
        </w:rPr>
        <w:t>表</w:t>
      </w:r>
      <w:r>
        <w:rPr>
          <w:rFonts w:hint="eastAsia" w:eastAsia="黑体"/>
        </w:rPr>
        <w:t>5</w:t>
      </w:r>
      <w:r>
        <w:rPr>
          <w:rFonts w:eastAsia="黑体"/>
        </w:rPr>
        <w:t>.2.2-4</w:t>
      </w:r>
      <w:r>
        <w:rPr>
          <w:rFonts w:hint="eastAsia" w:eastAsia="黑体"/>
        </w:rPr>
        <w:t xml:space="preserve">  </w:t>
      </w:r>
      <w:r>
        <w:rPr>
          <w:rFonts w:hint="eastAsia" w:ascii="黑体" w:hAnsi="黑体" w:eastAsia="黑体"/>
        </w:rPr>
        <w:t>废水污染物排放信息表</w:t>
      </w:r>
    </w:p>
    <w:p w14:paraId="782A4CA1">
      <w:pPr>
        <w:ind w:firstLine="480"/>
      </w:pPr>
    </w:p>
    <w:p w14:paraId="5DB8D6C9">
      <w:pPr>
        <w:ind w:firstLine="480"/>
      </w:pPr>
    </w:p>
    <w:p w14:paraId="1714C519">
      <w:pPr>
        <w:ind w:firstLine="480"/>
      </w:pPr>
    </w:p>
    <w:p w14:paraId="12DA0F06">
      <w:pPr>
        <w:ind w:firstLine="480"/>
      </w:pPr>
    </w:p>
    <w:p w14:paraId="527F22D5">
      <w:pPr>
        <w:ind w:firstLine="480"/>
      </w:pPr>
    </w:p>
    <w:p w14:paraId="2320BAE8">
      <w:pPr>
        <w:ind w:firstLine="0" w:firstLineChars="0"/>
        <w:sectPr>
          <w:pgSz w:w="11907" w:h="16839"/>
          <w:pgMar w:top="1440" w:right="1440" w:bottom="1440" w:left="1440" w:header="851" w:footer="992" w:gutter="0"/>
          <w:cols w:space="425" w:num="1"/>
          <w:docGrid w:type="lines" w:linePitch="326" w:charSpace="0"/>
        </w:sectPr>
      </w:pPr>
    </w:p>
    <w:p w14:paraId="5C5FD708">
      <w:pPr>
        <w:spacing w:before="240" w:after="120"/>
        <w:ind w:firstLine="0" w:firstLineChars="0"/>
        <w:jc w:val="left"/>
        <w:outlineLvl w:val="2"/>
        <w:rPr>
          <w:rFonts w:eastAsia="黑体"/>
          <w:sz w:val="28"/>
          <w:szCs w:val="28"/>
        </w:rPr>
      </w:pPr>
      <w:bookmarkStart w:id="232" w:name="_Toc100784039"/>
      <w:bookmarkStart w:id="233" w:name="_Toc108662648"/>
      <w:bookmarkStart w:id="234" w:name="_Toc101135871"/>
      <w:r>
        <w:rPr>
          <w:rFonts w:hint="eastAsia" w:eastAsia="黑体"/>
          <w:sz w:val="28"/>
          <w:szCs w:val="28"/>
        </w:rPr>
        <w:t>5.2.3</w:t>
      </w:r>
      <w:r>
        <w:rPr>
          <w:rFonts w:hint="eastAsia" w:ascii="黑体" w:hAnsi="黑体" w:eastAsia="黑体"/>
          <w:sz w:val="28"/>
          <w:szCs w:val="28"/>
        </w:rPr>
        <w:t>地表水</w:t>
      </w:r>
      <w:r>
        <w:rPr>
          <w:rFonts w:ascii="黑体" w:hAnsi="黑体" w:eastAsia="黑体"/>
          <w:sz w:val="28"/>
          <w:szCs w:val="28"/>
        </w:rPr>
        <w:t>环境影响评价自查表</w:t>
      </w:r>
      <w:bookmarkEnd w:id="232"/>
      <w:bookmarkEnd w:id="233"/>
      <w:bookmarkEnd w:id="234"/>
    </w:p>
    <w:p w14:paraId="63C935C1">
      <w:pPr>
        <w:spacing w:line="500" w:lineRule="exact"/>
        <w:ind w:firstLine="0" w:firstLineChars="0"/>
        <w:jc w:val="center"/>
        <w:rPr>
          <w:rFonts w:eastAsia="黑体"/>
          <w:szCs w:val="24"/>
        </w:rPr>
      </w:pPr>
      <w:r>
        <w:rPr>
          <w:rFonts w:ascii="黑体" w:hAnsi="黑体" w:eastAsia="黑体"/>
        </w:rPr>
        <w:t>表</w:t>
      </w:r>
      <w:r>
        <w:rPr>
          <w:rFonts w:hint="eastAsia" w:eastAsia="黑体"/>
        </w:rPr>
        <w:t>5</w:t>
      </w:r>
      <w:r>
        <w:rPr>
          <w:rFonts w:eastAsia="黑体"/>
        </w:rPr>
        <w:t>.2.3-1</w:t>
      </w:r>
      <w:r>
        <w:rPr>
          <w:rFonts w:hint="eastAsia" w:eastAsia="黑体"/>
        </w:rPr>
        <w:t xml:space="preserve">  </w:t>
      </w:r>
      <w:r>
        <w:rPr>
          <w:rFonts w:hint="eastAsia" w:ascii="黑体" w:hAnsi="黑体" w:eastAsia="黑体"/>
        </w:rPr>
        <w:t>地表水环境影响评价自查表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2954"/>
        <w:gridCol w:w="1240"/>
        <w:gridCol w:w="870"/>
        <w:gridCol w:w="770"/>
        <w:gridCol w:w="807"/>
        <w:gridCol w:w="948"/>
        <w:gridCol w:w="954"/>
        <w:gridCol w:w="924"/>
        <w:gridCol w:w="1147"/>
        <w:gridCol w:w="715"/>
        <w:gridCol w:w="842"/>
        <w:gridCol w:w="1241"/>
      </w:tblGrid>
      <w:tr w14:paraId="0F53D0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0" w:type="pct"/>
            <w:gridSpan w:val="2"/>
            <w:tcBorders>
              <w:top w:val="single" w:color="auto" w:sz="12" w:space="0"/>
              <w:left w:val="nil"/>
              <w:bottom w:val="single" w:color="auto" w:sz="4" w:space="0"/>
              <w:right w:val="single" w:color="auto" w:sz="4" w:space="0"/>
            </w:tcBorders>
            <w:noWrap/>
            <w:vAlign w:val="center"/>
          </w:tcPr>
          <w:p w14:paraId="392023E0">
            <w:pPr>
              <w:pStyle w:val="445"/>
              <w:rPr>
                <w:rFonts w:cs="Times New Roman"/>
                <w:kern w:val="0"/>
                <w:szCs w:val="20"/>
              </w:rPr>
            </w:pPr>
            <w:r>
              <w:rPr>
                <w:rFonts w:cs="Times New Roman"/>
                <w:kern w:val="0"/>
                <w:szCs w:val="20"/>
              </w:rPr>
              <w:t>工作内容</w:t>
            </w:r>
          </w:p>
        </w:tc>
        <w:tc>
          <w:tcPr>
            <w:tcW w:w="3720" w:type="pct"/>
            <w:gridSpan w:val="11"/>
            <w:tcBorders>
              <w:top w:val="single" w:color="auto" w:sz="12" w:space="0"/>
              <w:left w:val="single" w:color="auto" w:sz="4" w:space="0"/>
              <w:bottom w:val="single" w:color="auto" w:sz="4" w:space="0"/>
              <w:right w:val="nil"/>
            </w:tcBorders>
            <w:noWrap/>
            <w:vAlign w:val="center"/>
          </w:tcPr>
          <w:p w14:paraId="210D1E65">
            <w:pPr>
              <w:pStyle w:val="445"/>
              <w:rPr>
                <w:rFonts w:cs="Times New Roman"/>
                <w:kern w:val="0"/>
                <w:szCs w:val="20"/>
              </w:rPr>
            </w:pPr>
            <w:r>
              <w:rPr>
                <w:rFonts w:hint="eastAsia" w:cs="Times New Roman"/>
                <w:kern w:val="0"/>
                <w:szCs w:val="20"/>
              </w:rPr>
              <w:t>自查项目</w:t>
            </w:r>
          </w:p>
        </w:tc>
      </w:tr>
      <w:tr w14:paraId="67A7B1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1D68ECA3">
            <w:pPr>
              <w:pStyle w:val="445"/>
              <w:rPr>
                <w:rFonts w:cs="Times New Roman"/>
                <w:kern w:val="0"/>
                <w:szCs w:val="20"/>
              </w:rPr>
            </w:pPr>
            <w:r>
              <w:rPr>
                <w:rFonts w:hint="eastAsia" w:cs="Times New Roman"/>
                <w:kern w:val="0"/>
                <w:szCs w:val="20"/>
              </w:rPr>
              <w:t>影响识别</w:t>
            </w:r>
          </w:p>
        </w:tc>
        <w:tc>
          <w:tcPr>
            <w:tcW w:w="1015" w:type="pct"/>
            <w:tcBorders>
              <w:top w:val="single" w:color="auto" w:sz="4" w:space="0"/>
              <w:left w:val="single" w:color="auto" w:sz="4" w:space="0"/>
              <w:bottom w:val="single" w:color="auto" w:sz="4" w:space="0"/>
              <w:right w:val="single" w:color="auto" w:sz="4" w:space="0"/>
            </w:tcBorders>
            <w:noWrap/>
            <w:vAlign w:val="center"/>
          </w:tcPr>
          <w:p w14:paraId="5D4AE455">
            <w:pPr>
              <w:pStyle w:val="445"/>
              <w:rPr>
                <w:rFonts w:cs="Times New Roman"/>
                <w:kern w:val="0"/>
                <w:szCs w:val="20"/>
              </w:rPr>
            </w:pPr>
            <w:r>
              <w:rPr>
                <w:rFonts w:hint="eastAsia" w:cs="Times New Roman"/>
                <w:kern w:val="0"/>
                <w:szCs w:val="20"/>
              </w:rPr>
              <w:t>影响类型</w:t>
            </w:r>
          </w:p>
        </w:tc>
        <w:tc>
          <w:tcPr>
            <w:tcW w:w="3720" w:type="pct"/>
            <w:gridSpan w:val="11"/>
            <w:tcBorders>
              <w:top w:val="single" w:color="auto" w:sz="4" w:space="0"/>
              <w:left w:val="single" w:color="auto" w:sz="4" w:space="0"/>
              <w:bottom w:val="single" w:color="auto" w:sz="4" w:space="0"/>
              <w:right w:val="nil"/>
            </w:tcBorders>
            <w:noWrap/>
            <w:vAlign w:val="center"/>
          </w:tcPr>
          <w:p w14:paraId="1D2676C9">
            <w:pPr>
              <w:pStyle w:val="445"/>
              <w:rPr>
                <w:rFonts w:cs="Times New Roman"/>
                <w:kern w:val="0"/>
                <w:szCs w:val="20"/>
              </w:rPr>
            </w:pPr>
            <w:r>
              <w:rPr>
                <w:rFonts w:hint="eastAsia" w:cs="Times New Roman"/>
                <w:kern w:val="0"/>
                <w:szCs w:val="20"/>
              </w:rPr>
              <w:t>水污染影响型</w:t>
            </w:r>
            <w:r>
              <w:rPr>
                <w:rFonts w:ascii="Wingdings" w:hAnsi="Wingdings" w:cs="Times New Roman"/>
                <w:kern w:val="0"/>
                <w:szCs w:val="20"/>
              </w:rPr>
              <w:t></w:t>
            </w:r>
            <w:r>
              <w:rPr>
                <w:rFonts w:hint="eastAsia" w:cs="Times New Roman"/>
                <w:kern w:val="0"/>
                <w:szCs w:val="20"/>
              </w:rPr>
              <w:t>；水文要素影响型</w:t>
            </w:r>
            <w:r>
              <w:rPr>
                <w:rFonts w:ascii="Wingdings" w:hAnsi="Wingdings" w:cs="Times New Roman"/>
                <w:kern w:val="0"/>
                <w:szCs w:val="20"/>
              </w:rPr>
              <w:t></w:t>
            </w:r>
          </w:p>
        </w:tc>
      </w:tr>
      <w:tr w14:paraId="34EDCD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758C7BE">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13F381D8">
            <w:pPr>
              <w:pStyle w:val="445"/>
              <w:rPr>
                <w:rFonts w:cs="Times New Roman"/>
                <w:kern w:val="0"/>
                <w:szCs w:val="20"/>
              </w:rPr>
            </w:pPr>
            <w:r>
              <w:rPr>
                <w:rFonts w:hint="eastAsia" w:cs="Times New Roman"/>
                <w:kern w:val="0"/>
                <w:szCs w:val="20"/>
              </w:rPr>
              <w:t>水环境保护目标</w:t>
            </w:r>
          </w:p>
        </w:tc>
        <w:tc>
          <w:tcPr>
            <w:tcW w:w="3720" w:type="pct"/>
            <w:gridSpan w:val="11"/>
            <w:tcBorders>
              <w:top w:val="single" w:color="auto" w:sz="4" w:space="0"/>
              <w:left w:val="single" w:color="auto" w:sz="4" w:space="0"/>
              <w:bottom w:val="single" w:color="auto" w:sz="4" w:space="0"/>
              <w:right w:val="nil"/>
            </w:tcBorders>
            <w:noWrap/>
            <w:vAlign w:val="center"/>
          </w:tcPr>
          <w:p w14:paraId="7FC8E952">
            <w:pPr>
              <w:pStyle w:val="445"/>
              <w:rPr>
                <w:rFonts w:cs="Times New Roman"/>
                <w:kern w:val="0"/>
                <w:szCs w:val="20"/>
              </w:rPr>
            </w:pPr>
            <w:r>
              <w:rPr>
                <w:rFonts w:hint="eastAsia" w:cs="Times New Roman"/>
                <w:kern w:val="0"/>
                <w:szCs w:val="20"/>
              </w:rPr>
              <w:t>饮用水水源保护区</w:t>
            </w:r>
            <w:r>
              <w:rPr>
                <w:rFonts w:ascii="Wingdings" w:hAnsi="Wingdings" w:cs="Times New Roman"/>
                <w:kern w:val="0"/>
                <w:szCs w:val="20"/>
              </w:rPr>
              <w:t></w:t>
            </w:r>
            <w:r>
              <w:rPr>
                <w:rFonts w:hint="eastAsia" w:cs="Times New Roman"/>
                <w:kern w:val="0"/>
                <w:szCs w:val="20"/>
              </w:rPr>
              <w:t>；应用水取水口</w:t>
            </w:r>
            <w:r>
              <w:rPr>
                <w:rFonts w:ascii="Wingdings" w:hAnsi="Wingdings" w:cs="Times New Roman"/>
                <w:kern w:val="0"/>
                <w:szCs w:val="20"/>
              </w:rPr>
              <w:t></w:t>
            </w:r>
            <w:r>
              <w:rPr>
                <w:rFonts w:hint="eastAsia" w:cs="Times New Roman"/>
                <w:kern w:val="0"/>
                <w:szCs w:val="20"/>
              </w:rPr>
              <w:t>；涉水的自然保护区</w:t>
            </w:r>
            <w:r>
              <w:rPr>
                <w:rFonts w:ascii="Wingdings" w:hAnsi="Wingdings" w:cs="Times New Roman"/>
                <w:kern w:val="0"/>
                <w:szCs w:val="20"/>
              </w:rPr>
              <w:t></w:t>
            </w:r>
            <w:r>
              <w:rPr>
                <w:rFonts w:hint="eastAsia" w:cs="Times New Roman"/>
                <w:kern w:val="0"/>
                <w:szCs w:val="20"/>
              </w:rPr>
              <w:t>；重要湿地</w:t>
            </w:r>
            <w:r>
              <w:rPr>
                <w:rFonts w:ascii="Wingdings" w:hAnsi="Wingdings" w:cs="Times New Roman"/>
                <w:kern w:val="0"/>
                <w:szCs w:val="20"/>
              </w:rPr>
              <w:t></w:t>
            </w:r>
            <w:r>
              <w:rPr>
                <w:rFonts w:hint="eastAsia" w:cs="Times New Roman"/>
                <w:kern w:val="0"/>
                <w:szCs w:val="20"/>
              </w:rPr>
              <w:t>；</w:t>
            </w:r>
          </w:p>
          <w:p w14:paraId="59ABF549">
            <w:pPr>
              <w:pStyle w:val="445"/>
              <w:rPr>
                <w:rFonts w:cs="Times New Roman"/>
                <w:kern w:val="0"/>
                <w:szCs w:val="20"/>
              </w:rPr>
            </w:pPr>
            <w:r>
              <w:rPr>
                <w:rFonts w:hint="eastAsia" w:cs="Times New Roman"/>
                <w:kern w:val="0"/>
                <w:szCs w:val="20"/>
              </w:rPr>
              <w:t>重点保护与珍惜水生生物的栖息地</w:t>
            </w:r>
            <w:r>
              <w:rPr>
                <w:rFonts w:ascii="Wingdings" w:hAnsi="Wingdings" w:cs="Times New Roman"/>
                <w:kern w:val="0"/>
                <w:szCs w:val="20"/>
              </w:rPr>
              <w:t></w:t>
            </w:r>
            <w:r>
              <w:rPr>
                <w:rFonts w:hint="eastAsia" w:cs="Times New Roman"/>
                <w:kern w:val="0"/>
                <w:szCs w:val="20"/>
              </w:rPr>
              <w:t>；重要水生生物的自然产卵场及索饵场、越冬场和洄游通道、天然渔场等渔业水体</w:t>
            </w:r>
            <w:r>
              <w:rPr>
                <w:rFonts w:ascii="Wingdings" w:hAnsi="Wingdings" w:cs="Times New Roman"/>
                <w:kern w:val="0"/>
                <w:szCs w:val="20"/>
              </w:rPr>
              <w:t></w:t>
            </w:r>
            <w:r>
              <w:rPr>
                <w:rFonts w:hint="eastAsia" w:cs="Times New Roman"/>
                <w:kern w:val="0"/>
                <w:szCs w:val="20"/>
              </w:rPr>
              <w:t>；涉水的风景名胜区</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5CF70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1E456FE">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4FEA117C">
            <w:pPr>
              <w:pStyle w:val="445"/>
              <w:rPr>
                <w:rFonts w:cs="Times New Roman"/>
                <w:kern w:val="0"/>
                <w:szCs w:val="20"/>
              </w:rPr>
            </w:pPr>
            <w:r>
              <w:rPr>
                <w:rFonts w:hint="eastAsia" w:cs="Times New Roman"/>
                <w:kern w:val="0"/>
                <w:szCs w:val="20"/>
              </w:rPr>
              <w:t>影响途径</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61AD9943">
            <w:pPr>
              <w:pStyle w:val="445"/>
              <w:rPr>
                <w:rFonts w:cs="Times New Roman"/>
                <w:kern w:val="0"/>
                <w:szCs w:val="20"/>
              </w:rPr>
            </w:pPr>
            <w:r>
              <w:rPr>
                <w:rFonts w:hint="eastAsia" w:cs="Times New Roman"/>
                <w:kern w:val="0"/>
                <w:szCs w:val="20"/>
              </w:rPr>
              <w:t>水污染影响型</w:t>
            </w:r>
          </w:p>
        </w:tc>
        <w:tc>
          <w:tcPr>
            <w:tcW w:w="2070" w:type="pct"/>
            <w:gridSpan w:val="6"/>
            <w:tcBorders>
              <w:top w:val="single" w:color="auto" w:sz="4" w:space="0"/>
              <w:left w:val="single" w:color="auto" w:sz="4" w:space="0"/>
              <w:bottom w:val="single" w:color="auto" w:sz="4" w:space="0"/>
              <w:right w:val="nil"/>
            </w:tcBorders>
            <w:noWrap/>
            <w:vAlign w:val="center"/>
          </w:tcPr>
          <w:p w14:paraId="5BDD89A9">
            <w:pPr>
              <w:pStyle w:val="445"/>
              <w:rPr>
                <w:rFonts w:cs="Times New Roman"/>
                <w:kern w:val="0"/>
                <w:szCs w:val="20"/>
              </w:rPr>
            </w:pPr>
            <w:r>
              <w:rPr>
                <w:rFonts w:hint="eastAsia" w:cs="Times New Roman"/>
                <w:kern w:val="0"/>
                <w:szCs w:val="20"/>
              </w:rPr>
              <w:t>水文要素影响型</w:t>
            </w:r>
          </w:p>
        </w:tc>
      </w:tr>
      <w:tr w14:paraId="79A45F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D04A7F1">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AB761C">
            <w:pPr>
              <w:pStyle w:val="445"/>
              <w:rPr>
                <w:rFonts w:cs="Times New Roman"/>
                <w:kern w:val="0"/>
                <w:szCs w:val="18"/>
              </w:rPr>
            </w:pP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7ADED46E">
            <w:pPr>
              <w:pStyle w:val="445"/>
              <w:rPr>
                <w:rFonts w:cs="Times New Roman"/>
                <w:kern w:val="0"/>
                <w:szCs w:val="20"/>
              </w:rPr>
            </w:pPr>
            <w:r>
              <w:rPr>
                <w:rFonts w:hint="eastAsia" w:cs="Times New Roman"/>
                <w:kern w:val="0"/>
                <w:szCs w:val="20"/>
              </w:rPr>
              <w:t>直接排放</w:t>
            </w:r>
            <w:r>
              <w:rPr>
                <w:rFonts w:ascii="Wingdings" w:hAnsi="Wingdings" w:cs="Times New Roman"/>
                <w:kern w:val="0"/>
                <w:szCs w:val="20"/>
              </w:rPr>
              <w:t></w:t>
            </w:r>
            <w:r>
              <w:rPr>
                <w:rFonts w:hint="eastAsia" w:cs="Times New Roman"/>
                <w:kern w:val="0"/>
                <w:szCs w:val="20"/>
              </w:rPr>
              <w:t>；间接排放</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51886C02">
            <w:pPr>
              <w:pStyle w:val="445"/>
              <w:rPr>
                <w:rFonts w:cs="Times New Roman"/>
                <w:kern w:val="0"/>
                <w:szCs w:val="20"/>
              </w:rPr>
            </w:pPr>
            <w:r>
              <w:rPr>
                <w:rFonts w:hint="eastAsia" w:cs="Times New Roman"/>
                <w:kern w:val="0"/>
                <w:szCs w:val="20"/>
              </w:rPr>
              <w:t>水温</w:t>
            </w:r>
            <w:r>
              <w:rPr>
                <w:rFonts w:ascii="Wingdings" w:hAnsi="Wingdings" w:cs="Times New Roman"/>
                <w:kern w:val="0"/>
                <w:szCs w:val="20"/>
              </w:rPr>
              <w:t></w:t>
            </w:r>
            <w:r>
              <w:rPr>
                <w:rFonts w:hint="eastAsia" w:cs="Times New Roman"/>
                <w:kern w:val="0"/>
                <w:szCs w:val="20"/>
              </w:rPr>
              <w:t>；径流</w:t>
            </w:r>
            <w:r>
              <w:rPr>
                <w:rFonts w:ascii="Wingdings" w:hAnsi="Wingdings" w:cs="Times New Roman"/>
                <w:kern w:val="0"/>
                <w:szCs w:val="20"/>
              </w:rPr>
              <w:t></w:t>
            </w:r>
            <w:r>
              <w:rPr>
                <w:rFonts w:hint="eastAsia" w:cs="Times New Roman"/>
                <w:kern w:val="0"/>
                <w:szCs w:val="20"/>
              </w:rPr>
              <w:t>；水域面积</w:t>
            </w:r>
            <w:r>
              <w:rPr>
                <w:rFonts w:ascii="Wingdings" w:hAnsi="Wingdings" w:cs="Times New Roman"/>
                <w:kern w:val="0"/>
                <w:szCs w:val="20"/>
              </w:rPr>
              <w:t></w:t>
            </w:r>
          </w:p>
        </w:tc>
      </w:tr>
      <w:tr w14:paraId="1CA221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1FEAB01">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11F319D0">
            <w:pPr>
              <w:pStyle w:val="445"/>
              <w:rPr>
                <w:rFonts w:cs="Times New Roman"/>
                <w:kern w:val="0"/>
                <w:szCs w:val="20"/>
              </w:rPr>
            </w:pPr>
            <w:r>
              <w:rPr>
                <w:rFonts w:hint="eastAsia" w:cs="Times New Roman"/>
                <w:kern w:val="0"/>
                <w:szCs w:val="20"/>
              </w:rPr>
              <w:t>影响因子</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3631E8E0">
            <w:pPr>
              <w:pStyle w:val="445"/>
              <w:rPr>
                <w:rFonts w:cs="Times New Roman"/>
                <w:kern w:val="0"/>
                <w:szCs w:val="20"/>
              </w:rPr>
            </w:pPr>
            <w:r>
              <w:rPr>
                <w:rFonts w:hint="eastAsia" w:cs="Times New Roman"/>
                <w:kern w:val="0"/>
                <w:szCs w:val="20"/>
              </w:rPr>
              <w:t>持久性污染物</w:t>
            </w:r>
            <w:r>
              <w:rPr>
                <w:rFonts w:ascii="Wingdings" w:hAnsi="Wingdings" w:cs="Times New Roman"/>
                <w:kern w:val="0"/>
                <w:szCs w:val="20"/>
              </w:rPr>
              <w:t></w:t>
            </w:r>
            <w:r>
              <w:rPr>
                <w:rFonts w:hint="eastAsia" w:cs="Times New Roman"/>
                <w:kern w:val="0"/>
                <w:szCs w:val="20"/>
              </w:rPr>
              <w:t>；有毒有害污染物</w:t>
            </w:r>
            <w:r>
              <w:rPr>
                <w:rFonts w:ascii="Wingdings" w:hAnsi="Wingdings" w:cs="Times New Roman"/>
                <w:kern w:val="0"/>
                <w:szCs w:val="20"/>
              </w:rPr>
              <w:t></w:t>
            </w:r>
            <w:r>
              <w:rPr>
                <w:rFonts w:hint="eastAsia" w:cs="Times New Roman"/>
                <w:kern w:val="0"/>
                <w:szCs w:val="20"/>
              </w:rPr>
              <w:t>；非持久性污染物</w:t>
            </w:r>
            <w:r>
              <w:rPr>
                <w:rFonts w:ascii="Wingdings" w:hAnsi="Wingdings" w:cs="Times New Roman"/>
                <w:kern w:val="0"/>
                <w:szCs w:val="20"/>
              </w:rPr>
              <w:t></w:t>
            </w:r>
            <w:r>
              <w:rPr>
                <w:rFonts w:hint="eastAsia" w:cs="Times New Roman"/>
                <w:kern w:val="0"/>
                <w:szCs w:val="20"/>
              </w:rPr>
              <w:t>；</w:t>
            </w:r>
          </w:p>
          <w:p w14:paraId="33BFA893">
            <w:pPr>
              <w:pStyle w:val="445"/>
              <w:rPr>
                <w:rFonts w:cs="Times New Roman"/>
                <w:kern w:val="0"/>
                <w:szCs w:val="20"/>
              </w:rPr>
            </w:pPr>
            <w:r>
              <w:rPr>
                <w:rFonts w:hint="eastAsia" w:cs="Times New Roman"/>
                <w:kern w:val="0"/>
                <w:szCs w:val="20"/>
              </w:rPr>
              <w:t>pH值</w:t>
            </w:r>
            <w:r>
              <w:rPr>
                <w:rFonts w:ascii="Wingdings" w:hAnsi="Wingdings" w:cs="Times New Roman"/>
                <w:kern w:val="0"/>
                <w:szCs w:val="20"/>
              </w:rPr>
              <w:t></w:t>
            </w:r>
            <w:r>
              <w:rPr>
                <w:rFonts w:hint="eastAsia" w:cs="Times New Roman"/>
                <w:kern w:val="0"/>
                <w:szCs w:val="20"/>
              </w:rPr>
              <w:t>；热污染</w:t>
            </w:r>
            <w:r>
              <w:rPr>
                <w:rFonts w:ascii="Wingdings" w:hAnsi="Wingdings" w:cs="Times New Roman"/>
                <w:kern w:val="0"/>
                <w:szCs w:val="20"/>
              </w:rPr>
              <w:t></w:t>
            </w:r>
            <w:r>
              <w:rPr>
                <w:rFonts w:hint="eastAsia" w:cs="Times New Roman"/>
                <w:kern w:val="0"/>
                <w:szCs w:val="20"/>
              </w:rPr>
              <w:t>；富营养化</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5AB2E904">
            <w:pPr>
              <w:pStyle w:val="445"/>
              <w:rPr>
                <w:rFonts w:cs="Times New Roman"/>
                <w:kern w:val="0"/>
                <w:szCs w:val="20"/>
              </w:rPr>
            </w:pPr>
            <w:r>
              <w:rPr>
                <w:rFonts w:hint="eastAsia" w:cs="Times New Roman"/>
                <w:kern w:val="0"/>
                <w:szCs w:val="20"/>
              </w:rPr>
              <w:t>水温</w:t>
            </w:r>
            <w:r>
              <w:rPr>
                <w:rFonts w:ascii="Wingdings" w:hAnsi="Wingdings" w:cs="Times New Roman"/>
                <w:kern w:val="0"/>
                <w:szCs w:val="20"/>
              </w:rPr>
              <w:t></w:t>
            </w:r>
            <w:r>
              <w:rPr>
                <w:rFonts w:hint="eastAsia" w:cs="Times New Roman"/>
                <w:kern w:val="0"/>
                <w:szCs w:val="20"/>
              </w:rPr>
              <w:t>；水位（水深）</w:t>
            </w:r>
            <w:r>
              <w:rPr>
                <w:rFonts w:ascii="Wingdings" w:hAnsi="Wingdings" w:cs="Times New Roman"/>
                <w:kern w:val="0"/>
                <w:szCs w:val="20"/>
              </w:rPr>
              <w:t></w:t>
            </w:r>
            <w:r>
              <w:rPr>
                <w:rFonts w:hint="eastAsia" w:cs="Times New Roman"/>
                <w:kern w:val="0"/>
                <w:szCs w:val="20"/>
              </w:rPr>
              <w:t>；流速</w:t>
            </w:r>
            <w:r>
              <w:rPr>
                <w:rFonts w:ascii="Wingdings" w:hAnsi="Wingdings" w:cs="Times New Roman"/>
                <w:kern w:val="0"/>
                <w:szCs w:val="20"/>
              </w:rPr>
              <w:t></w:t>
            </w:r>
            <w:r>
              <w:rPr>
                <w:rFonts w:hint="eastAsia" w:cs="Times New Roman"/>
                <w:kern w:val="0"/>
                <w:szCs w:val="20"/>
              </w:rPr>
              <w:t>；流量</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2538A2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0" w:type="pct"/>
            <w:gridSpan w:val="2"/>
            <w:vMerge w:val="restart"/>
            <w:tcBorders>
              <w:top w:val="single" w:color="auto" w:sz="4" w:space="0"/>
              <w:left w:val="nil"/>
              <w:bottom w:val="single" w:color="auto" w:sz="4" w:space="0"/>
              <w:right w:val="single" w:color="auto" w:sz="4" w:space="0"/>
            </w:tcBorders>
            <w:noWrap/>
            <w:vAlign w:val="center"/>
          </w:tcPr>
          <w:p w14:paraId="12EF36E2">
            <w:pPr>
              <w:pStyle w:val="445"/>
              <w:rPr>
                <w:rFonts w:cs="Times New Roman"/>
                <w:kern w:val="0"/>
                <w:szCs w:val="20"/>
              </w:rPr>
            </w:pPr>
            <w:r>
              <w:rPr>
                <w:rFonts w:hint="eastAsia" w:cs="Times New Roman"/>
                <w:kern w:val="0"/>
                <w:szCs w:val="20"/>
              </w:rPr>
              <w:t>评价等级</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7E194933">
            <w:pPr>
              <w:pStyle w:val="445"/>
              <w:rPr>
                <w:rFonts w:cs="Times New Roman"/>
                <w:kern w:val="0"/>
                <w:szCs w:val="20"/>
              </w:rPr>
            </w:pPr>
            <w:r>
              <w:rPr>
                <w:rFonts w:hint="eastAsia" w:cs="Times New Roman"/>
                <w:kern w:val="0"/>
                <w:szCs w:val="20"/>
              </w:rPr>
              <w:t>水污染影响型</w:t>
            </w:r>
          </w:p>
        </w:tc>
        <w:tc>
          <w:tcPr>
            <w:tcW w:w="2070" w:type="pct"/>
            <w:gridSpan w:val="6"/>
            <w:tcBorders>
              <w:top w:val="single" w:color="auto" w:sz="4" w:space="0"/>
              <w:left w:val="single" w:color="auto" w:sz="4" w:space="0"/>
              <w:bottom w:val="single" w:color="auto" w:sz="4" w:space="0"/>
              <w:right w:val="nil"/>
            </w:tcBorders>
            <w:noWrap/>
            <w:vAlign w:val="center"/>
          </w:tcPr>
          <w:p w14:paraId="2B1A2636">
            <w:pPr>
              <w:pStyle w:val="445"/>
              <w:rPr>
                <w:rFonts w:cs="Times New Roman"/>
                <w:kern w:val="0"/>
                <w:szCs w:val="20"/>
              </w:rPr>
            </w:pPr>
            <w:r>
              <w:rPr>
                <w:rFonts w:hint="eastAsia" w:cs="Times New Roman"/>
                <w:kern w:val="0"/>
                <w:szCs w:val="20"/>
              </w:rPr>
              <w:t>水文要素影响型</w:t>
            </w:r>
          </w:p>
        </w:tc>
      </w:tr>
      <w:tr w14:paraId="088DA2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Merge w:val="continue"/>
            <w:tcBorders>
              <w:top w:val="single" w:color="auto" w:sz="4" w:space="0"/>
              <w:left w:val="nil"/>
              <w:bottom w:val="single" w:color="auto" w:sz="4" w:space="0"/>
              <w:right w:val="single" w:color="auto" w:sz="4" w:space="0"/>
            </w:tcBorders>
            <w:vAlign w:val="center"/>
          </w:tcPr>
          <w:p w14:paraId="08C5EED7">
            <w:pPr>
              <w:pStyle w:val="445"/>
              <w:rPr>
                <w:rFonts w:cs="Times New Roman"/>
                <w:kern w:val="0"/>
                <w:szCs w:val="18"/>
              </w:rPr>
            </w:pP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2C686AB9">
            <w:pPr>
              <w:pStyle w:val="445"/>
              <w:rPr>
                <w:rFonts w:cs="Times New Roman"/>
                <w:kern w:val="0"/>
                <w:szCs w:val="20"/>
              </w:rPr>
            </w:pPr>
            <w:r>
              <w:rPr>
                <w:rFonts w:hint="eastAsia" w:cs="Times New Roman"/>
                <w:kern w:val="0"/>
                <w:szCs w:val="20"/>
              </w:rPr>
              <w:t>一级</w:t>
            </w:r>
            <w:r>
              <w:rPr>
                <w:rFonts w:ascii="Wingdings" w:hAnsi="Wingdings" w:cs="Times New Roman"/>
                <w:kern w:val="0"/>
                <w:szCs w:val="20"/>
              </w:rPr>
              <w:t></w:t>
            </w:r>
            <w:r>
              <w:rPr>
                <w:rFonts w:hint="eastAsia" w:cs="Times New Roman"/>
                <w:kern w:val="0"/>
                <w:szCs w:val="20"/>
              </w:rPr>
              <w:t>；二级</w:t>
            </w:r>
            <w:r>
              <w:rPr>
                <w:rFonts w:ascii="Wingdings" w:hAnsi="Wingdings" w:cs="Times New Roman"/>
                <w:kern w:val="0"/>
                <w:szCs w:val="20"/>
              </w:rPr>
              <w:t></w:t>
            </w:r>
            <w:r>
              <w:rPr>
                <w:rFonts w:hint="eastAsia" w:cs="Times New Roman"/>
                <w:kern w:val="0"/>
                <w:szCs w:val="20"/>
              </w:rPr>
              <w:t>；三级A</w:t>
            </w:r>
            <w:r>
              <w:rPr>
                <w:rFonts w:ascii="Wingdings" w:hAnsi="Wingdings" w:cs="Times New Roman"/>
                <w:kern w:val="0"/>
                <w:szCs w:val="20"/>
              </w:rPr>
              <w:t></w:t>
            </w:r>
            <w:r>
              <w:rPr>
                <w:rFonts w:hint="eastAsia" w:cs="Times New Roman"/>
                <w:kern w:val="0"/>
                <w:szCs w:val="20"/>
              </w:rPr>
              <w:t>；三级B</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3CD31306">
            <w:pPr>
              <w:pStyle w:val="445"/>
              <w:rPr>
                <w:rFonts w:cs="Times New Roman"/>
                <w:kern w:val="0"/>
                <w:szCs w:val="20"/>
              </w:rPr>
            </w:pPr>
            <w:r>
              <w:rPr>
                <w:rFonts w:hint="eastAsia" w:cs="Times New Roman"/>
                <w:kern w:val="0"/>
                <w:szCs w:val="20"/>
              </w:rPr>
              <w:t>一级</w:t>
            </w:r>
            <w:r>
              <w:rPr>
                <w:rFonts w:ascii="Wingdings" w:hAnsi="Wingdings" w:cs="Times New Roman"/>
                <w:kern w:val="0"/>
                <w:szCs w:val="20"/>
              </w:rPr>
              <w:t></w:t>
            </w:r>
            <w:r>
              <w:rPr>
                <w:rFonts w:hint="eastAsia" w:cs="Times New Roman"/>
                <w:kern w:val="0"/>
                <w:szCs w:val="20"/>
              </w:rPr>
              <w:t>；二级</w:t>
            </w:r>
            <w:r>
              <w:rPr>
                <w:rFonts w:ascii="Wingdings" w:hAnsi="Wingdings" w:cs="Times New Roman"/>
                <w:kern w:val="0"/>
                <w:szCs w:val="20"/>
              </w:rPr>
              <w:t></w:t>
            </w:r>
            <w:r>
              <w:rPr>
                <w:rFonts w:hint="eastAsia" w:cs="Times New Roman"/>
                <w:kern w:val="0"/>
                <w:szCs w:val="20"/>
              </w:rPr>
              <w:t>；三级</w:t>
            </w:r>
            <w:r>
              <w:rPr>
                <w:rFonts w:ascii="Wingdings" w:hAnsi="Wingdings" w:cs="Times New Roman"/>
                <w:kern w:val="0"/>
                <w:szCs w:val="20"/>
              </w:rPr>
              <w:t></w:t>
            </w:r>
          </w:p>
        </w:tc>
      </w:tr>
      <w:tr w14:paraId="21959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3CA0C440">
            <w:pPr>
              <w:pStyle w:val="445"/>
              <w:rPr>
                <w:rFonts w:cs="Times New Roman"/>
                <w:kern w:val="0"/>
                <w:szCs w:val="20"/>
              </w:rPr>
            </w:pPr>
            <w:r>
              <w:rPr>
                <w:rFonts w:hint="eastAsia" w:cs="Times New Roman"/>
                <w:kern w:val="0"/>
                <w:szCs w:val="20"/>
              </w:rPr>
              <w:t>现状调查</w:t>
            </w: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7E958F5B">
            <w:pPr>
              <w:pStyle w:val="445"/>
              <w:rPr>
                <w:rFonts w:cs="Times New Roman"/>
                <w:kern w:val="0"/>
                <w:szCs w:val="20"/>
              </w:rPr>
            </w:pPr>
            <w:r>
              <w:rPr>
                <w:rFonts w:hint="eastAsia" w:cs="Times New Roman"/>
                <w:kern w:val="0"/>
                <w:szCs w:val="20"/>
              </w:rPr>
              <w:t>区域污染源</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4AA99A88">
            <w:pPr>
              <w:pStyle w:val="445"/>
              <w:rPr>
                <w:rFonts w:cs="Times New Roman"/>
                <w:kern w:val="0"/>
                <w:szCs w:val="20"/>
              </w:rPr>
            </w:pPr>
            <w:r>
              <w:rPr>
                <w:rFonts w:hint="eastAsia" w:cs="Times New Roman"/>
                <w:kern w:val="0"/>
                <w:szCs w:val="20"/>
              </w:rPr>
              <w:t>调查项目</w:t>
            </w:r>
          </w:p>
        </w:tc>
        <w:tc>
          <w:tcPr>
            <w:tcW w:w="2070" w:type="pct"/>
            <w:gridSpan w:val="6"/>
            <w:tcBorders>
              <w:top w:val="single" w:color="auto" w:sz="4" w:space="0"/>
              <w:left w:val="single" w:color="auto" w:sz="4" w:space="0"/>
              <w:bottom w:val="single" w:color="auto" w:sz="4" w:space="0"/>
              <w:right w:val="nil"/>
            </w:tcBorders>
            <w:noWrap/>
            <w:vAlign w:val="center"/>
          </w:tcPr>
          <w:p w14:paraId="679A32A3">
            <w:pPr>
              <w:pStyle w:val="445"/>
              <w:rPr>
                <w:rFonts w:cs="Times New Roman"/>
                <w:kern w:val="0"/>
                <w:szCs w:val="20"/>
              </w:rPr>
            </w:pPr>
            <w:r>
              <w:rPr>
                <w:rFonts w:hint="eastAsia" w:cs="Times New Roman"/>
                <w:kern w:val="0"/>
                <w:szCs w:val="20"/>
              </w:rPr>
              <w:t>数据来源</w:t>
            </w:r>
          </w:p>
        </w:tc>
      </w:tr>
      <w:tr w14:paraId="7EE5F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2185E78">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ECE46D">
            <w:pPr>
              <w:pStyle w:val="445"/>
              <w:rPr>
                <w:rFonts w:cs="Times New Roman"/>
                <w:kern w:val="0"/>
                <w:szCs w:val="18"/>
              </w:rPr>
            </w:pPr>
          </w:p>
        </w:tc>
        <w:tc>
          <w:tcPr>
            <w:tcW w:w="740" w:type="pct"/>
            <w:gridSpan w:val="2"/>
            <w:tcBorders>
              <w:top w:val="single" w:color="auto" w:sz="4" w:space="0"/>
              <w:left w:val="single" w:color="auto" w:sz="4" w:space="0"/>
              <w:bottom w:val="single" w:color="auto" w:sz="4" w:space="0"/>
              <w:right w:val="single" w:color="auto" w:sz="4" w:space="0"/>
            </w:tcBorders>
            <w:noWrap/>
            <w:vAlign w:val="center"/>
          </w:tcPr>
          <w:p w14:paraId="4A042AB3">
            <w:pPr>
              <w:pStyle w:val="445"/>
              <w:rPr>
                <w:rFonts w:cs="Times New Roman"/>
                <w:kern w:val="0"/>
                <w:szCs w:val="20"/>
              </w:rPr>
            </w:pPr>
            <w:r>
              <w:rPr>
                <w:rFonts w:hint="eastAsia" w:cs="Times New Roman"/>
                <w:kern w:val="0"/>
                <w:szCs w:val="20"/>
              </w:rPr>
              <w:t>已建</w:t>
            </w:r>
            <w:r>
              <w:rPr>
                <w:rFonts w:ascii="Wingdings" w:hAnsi="Wingdings" w:cs="Times New Roman"/>
                <w:kern w:val="0"/>
                <w:szCs w:val="20"/>
              </w:rPr>
              <w:t></w:t>
            </w:r>
            <w:r>
              <w:rPr>
                <w:rFonts w:hint="eastAsia" w:cs="Times New Roman"/>
                <w:kern w:val="0"/>
                <w:szCs w:val="20"/>
              </w:rPr>
              <w:t>；在建</w:t>
            </w:r>
            <w:r>
              <w:rPr>
                <w:rFonts w:ascii="Wingdings" w:hAnsi="Wingdings" w:cs="Times New Roman"/>
                <w:kern w:val="0"/>
                <w:szCs w:val="20"/>
              </w:rPr>
              <w:t></w:t>
            </w:r>
            <w:r>
              <w:rPr>
                <w:rFonts w:hint="eastAsia" w:cs="Times New Roman"/>
                <w:kern w:val="0"/>
                <w:szCs w:val="20"/>
              </w:rPr>
              <w:t>；新建</w:t>
            </w:r>
            <w:r>
              <w:rPr>
                <w:rFonts w:ascii="Wingdings" w:hAnsi="Wingdings" w:cs="Times New Roman"/>
                <w:kern w:val="0"/>
                <w:szCs w:val="20"/>
              </w:rPr>
              <w:t></w:t>
            </w:r>
            <w:r>
              <w:rPr>
                <w:rFonts w:hint="eastAsia" w:cs="Times New Roman"/>
                <w:kern w:val="0"/>
                <w:szCs w:val="20"/>
              </w:rPr>
              <w:t>；其他</w:t>
            </w:r>
          </w:p>
        </w:tc>
        <w:tc>
          <w:tcPr>
            <w:tcW w:w="909" w:type="pct"/>
            <w:gridSpan w:val="3"/>
            <w:tcBorders>
              <w:top w:val="single" w:color="auto" w:sz="4" w:space="0"/>
              <w:left w:val="single" w:color="auto" w:sz="4" w:space="0"/>
              <w:bottom w:val="single" w:color="auto" w:sz="4" w:space="0"/>
              <w:right w:val="single" w:color="auto" w:sz="4" w:space="0"/>
            </w:tcBorders>
            <w:noWrap/>
            <w:vAlign w:val="center"/>
          </w:tcPr>
          <w:p w14:paraId="1CE70499">
            <w:pPr>
              <w:pStyle w:val="445"/>
              <w:rPr>
                <w:rFonts w:cs="Times New Roman"/>
                <w:kern w:val="0"/>
                <w:szCs w:val="20"/>
              </w:rPr>
            </w:pPr>
            <w:r>
              <w:rPr>
                <w:rFonts w:hint="eastAsia" w:cs="Times New Roman"/>
                <w:kern w:val="0"/>
                <w:szCs w:val="20"/>
              </w:rPr>
              <w:t>拟替代的污染源</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65A826D0">
            <w:pPr>
              <w:pStyle w:val="445"/>
              <w:rPr>
                <w:rFonts w:cs="Times New Roman"/>
                <w:kern w:val="0"/>
                <w:szCs w:val="20"/>
              </w:rPr>
            </w:pPr>
            <w:r>
              <w:rPr>
                <w:rFonts w:hint="eastAsia" w:cs="Times New Roman"/>
                <w:kern w:val="0"/>
                <w:szCs w:val="20"/>
              </w:rPr>
              <w:t>排污许可证</w:t>
            </w:r>
            <w:r>
              <w:rPr>
                <w:rFonts w:ascii="Wingdings" w:hAnsi="Wingdings" w:cs="Times New Roman"/>
                <w:kern w:val="0"/>
                <w:szCs w:val="20"/>
              </w:rPr>
              <w:t></w:t>
            </w:r>
            <w:r>
              <w:rPr>
                <w:rFonts w:hint="eastAsia" w:cs="Times New Roman"/>
                <w:kern w:val="0"/>
                <w:szCs w:val="20"/>
              </w:rPr>
              <w:t>；环评</w:t>
            </w:r>
            <w:r>
              <w:rPr>
                <w:rFonts w:ascii="Wingdings" w:hAnsi="Wingdings" w:cs="Times New Roman"/>
                <w:kern w:val="0"/>
                <w:szCs w:val="20"/>
              </w:rPr>
              <w:t></w:t>
            </w:r>
            <w:r>
              <w:rPr>
                <w:rFonts w:hint="eastAsia" w:cs="Times New Roman"/>
                <w:kern w:val="0"/>
                <w:szCs w:val="20"/>
              </w:rPr>
              <w:t>；环保验收</w:t>
            </w:r>
            <w:r>
              <w:rPr>
                <w:rFonts w:ascii="Wingdings" w:hAnsi="Wingdings" w:cs="Times New Roman"/>
                <w:kern w:val="0"/>
                <w:szCs w:val="20"/>
              </w:rPr>
              <w:t></w:t>
            </w:r>
            <w:r>
              <w:rPr>
                <w:rFonts w:hint="eastAsia" w:cs="Times New Roman"/>
                <w:kern w:val="0"/>
                <w:szCs w:val="20"/>
              </w:rPr>
              <w:t>；既有实测</w:t>
            </w:r>
            <w:r>
              <w:rPr>
                <w:rFonts w:ascii="Wingdings" w:hAnsi="Wingdings" w:cs="Times New Roman"/>
                <w:kern w:val="0"/>
                <w:szCs w:val="20"/>
              </w:rPr>
              <w:t></w:t>
            </w:r>
            <w:r>
              <w:rPr>
                <w:rFonts w:hint="eastAsia" w:cs="Times New Roman"/>
                <w:kern w:val="0"/>
                <w:szCs w:val="20"/>
              </w:rPr>
              <w:t>；现场监测</w:t>
            </w:r>
            <w:r>
              <w:rPr>
                <w:rFonts w:ascii="Wingdings" w:hAnsi="Wingdings" w:cs="Times New Roman"/>
                <w:kern w:val="0"/>
                <w:szCs w:val="20"/>
              </w:rPr>
              <w:t></w:t>
            </w:r>
            <w:r>
              <w:rPr>
                <w:rFonts w:hint="eastAsia" w:cs="Times New Roman"/>
                <w:kern w:val="0"/>
                <w:szCs w:val="20"/>
              </w:rPr>
              <w:t>；入河排放口数据</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07F2C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6BA30BD">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3FEC9D19">
            <w:pPr>
              <w:pStyle w:val="445"/>
              <w:rPr>
                <w:rFonts w:cs="Times New Roman"/>
                <w:kern w:val="0"/>
                <w:szCs w:val="20"/>
              </w:rPr>
            </w:pPr>
            <w:r>
              <w:rPr>
                <w:rFonts w:hint="eastAsia" w:cs="Times New Roman"/>
                <w:kern w:val="0"/>
                <w:szCs w:val="20"/>
              </w:rPr>
              <w:t>受影响水体环境质量</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7353AB22">
            <w:pPr>
              <w:pStyle w:val="445"/>
              <w:rPr>
                <w:rFonts w:cs="Times New Roman"/>
                <w:kern w:val="0"/>
                <w:szCs w:val="20"/>
              </w:rPr>
            </w:pPr>
            <w:r>
              <w:rPr>
                <w:rFonts w:hint="eastAsia" w:cs="Times New Roman"/>
                <w:kern w:val="0"/>
                <w:szCs w:val="20"/>
              </w:rPr>
              <w:t>调查时期</w:t>
            </w:r>
          </w:p>
        </w:tc>
        <w:tc>
          <w:tcPr>
            <w:tcW w:w="2070" w:type="pct"/>
            <w:gridSpan w:val="6"/>
            <w:tcBorders>
              <w:top w:val="single" w:color="auto" w:sz="4" w:space="0"/>
              <w:left w:val="single" w:color="auto" w:sz="4" w:space="0"/>
              <w:bottom w:val="single" w:color="auto" w:sz="4" w:space="0"/>
              <w:right w:val="nil"/>
            </w:tcBorders>
            <w:noWrap/>
            <w:vAlign w:val="center"/>
          </w:tcPr>
          <w:p w14:paraId="6BD93C7F">
            <w:pPr>
              <w:pStyle w:val="445"/>
              <w:rPr>
                <w:rFonts w:cs="Times New Roman"/>
                <w:kern w:val="0"/>
                <w:szCs w:val="20"/>
              </w:rPr>
            </w:pPr>
            <w:r>
              <w:rPr>
                <w:rFonts w:hint="eastAsia" w:cs="Times New Roman"/>
                <w:kern w:val="0"/>
                <w:szCs w:val="20"/>
              </w:rPr>
              <w:t>数据来源</w:t>
            </w:r>
          </w:p>
        </w:tc>
      </w:tr>
      <w:tr w14:paraId="5D6C26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8812E19">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D23884">
            <w:pPr>
              <w:pStyle w:val="445"/>
              <w:rPr>
                <w:rFonts w:cs="Times New Roman"/>
                <w:kern w:val="0"/>
                <w:szCs w:val="18"/>
              </w:rPr>
            </w:pP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41CF0C13">
            <w:pPr>
              <w:pStyle w:val="445"/>
              <w:rPr>
                <w:rFonts w:cs="Times New Roman"/>
                <w:kern w:val="0"/>
                <w:szCs w:val="20"/>
              </w:rPr>
            </w:pPr>
            <w:r>
              <w:rPr>
                <w:rFonts w:hint="eastAsia" w:cs="Times New Roman"/>
                <w:kern w:val="0"/>
                <w:szCs w:val="20"/>
              </w:rPr>
              <w:t>丰水期</w:t>
            </w:r>
            <w:r>
              <w:rPr>
                <w:rFonts w:ascii="Wingdings" w:hAnsi="Wingdings" w:cs="Times New Roman"/>
                <w:kern w:val="0"/>
                <w:szCs w:val="20"/>
              </w:rPr>
              <w:t></w:t>
            </w:r>
            <w:r>
              <w:rPr>
                <w:rFonts w:hint="eastAsia" w:cs="Times New Roman"/>
                <w:kern w:val="0"/>
                <w:szCs w:val="20"/>
              </w:rPr>
              <w:t>；平水期</w:t>
            </w:r>
            <w:r>
              <w:rPr>
                <w:rFonts w:ascii="Wingdings" w:hAnsi="Wingdings" w:cs="Times New Roman"/>
                <w:kern w:val="0"/>
                <w:szCs w:val="20"/>
              </w:rPr>
              <w:t></w:t>
            </w:r>
            <w:r>
              <w:rPr>
                <w:rFonts w:hint="eastAsia" w:cs="Times New Roman"/>
                <w:kern w:val="0"/>
                <w:szCs w:val="20"/>
              </w:rPr>
              <w:t>；枯水期</w:t>
            </w:r>
            <w:r>
              <w:rPr>
                <w:rFonts w:ascii="Wingdings" w:hAnsi="Wingdings" w:cs="Times New Roman"/>
                <w:kern w:val="0"/>
                <w:szCs w:val="20"/>
              </w:rPr>
              <w:t></w:t>
            </w:r>
            <w:r>
              <w:rPr>
                <w:rFonts w:hint="eastAsia" w:cs="Times New Roman"/>
                <w:kern w:val="0"/>
                <w:szCs w:val="20"/>
              </w:rPr>
              <w:t>；冰封期</w:t>
            </w:r>
            <w:r>
              <w:rPr>
                <w:rFonts w:ascii="Wingdings" w:hAnsi="Wingdings" w:cs="Times New Roman"/>
                <w:kern w:val="0"/>
                <w:szCs w:val="20"/>
              </w:rPr>
              <w:t></w:t>
            </w:r>
          </w:p>
          <w:p w14:paraId="3F0F12DD">
            <w:pPr>
              <w:pStyle w:val="445"/>
              <w:rPr>
                <w:rFonts w:cs="Times New Roman"/>
                <w:kern w:val="0"/>
                <w:szCs w:val="20"/>
              </w:rPr>
            </w:pPr>
            <w:r>
              <w:rPr>
                <w:rFonts w:hint="eastAsia" w:cs="Times New Roman"/>
                <w:kern w:val="0"/>
                <w:szCs w:val="20"/>
              </w:rPr>
              <w:t>春季</w:t>
            </w:r>
            <w:r>
              <w:rPr>
                <w:rFonts w:ascii="Wingdings" w:hAnsi="Wingdings" w:cs="Times New Roman"/>
                <w:kern w:val="0"/>
                <w:szCs w:val="20"/>
              </w:rPr>
              <w:t></w:t>
            </w:r>
            <w:r>
              <w:rPr>
                <w:rFonts w:hint="eastAsia" w:cs="Times New Roman"/>
                <w:kern w:val="0"/>
                <w:szCs w:val="20"/>
              </w:rPr>
              <w:t>；夏季</w:t>
            </w:r>
            <w:r>
              <w:rPr>
                <w:rFonts w:ascii="Wingdings" w:hAnsi="Wingdings" w:cs="Times New Roman"/>
                <w:kern w:val="0"/>
                <w:szCs w:val="20"/>
              </w:rPr>
              <w:t></w:t>
            </w:r>
            <w:r>
              <w:rPr>
                <w:rFonts w:hint="eastAsia" w:cs="Times New Roman"/>
                <w:kern w:val="0"/>
                <w:szCs w:val="20"/>
              </w:rPr>
              <w:t>；秋季</w:t>
            </w:r>
            <w:r>
              <w:rPr>
                <w:rFonts w:ascii="Wingdings" w:hAnsi="Wingdings" w:cs="Times New Roman"/>
                <w:kern w:val="0"/>
                <w:szCs w:val="20"/>
              </w:rPr>
              <w:t></w:t>
            </w:r>
            <w:r>
              <w:rPr>
                <w:rFonts w:hint="eastAsia" w:cs="Times New Roman"/>
                <w:kern w:val="0"/>
                <w:szCs w:val="20"/>
              </w:rPr>
              <w:t>；冬季</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40537995">
            <w:pPr>
              <w:pStyle w:val="445"/>
              <w:rPr>
                <w:rFonts w:cs="Times New Roman"/>
                <w:kern w:val="0"/>
                <w:szCs w:val="20"/>
              </w:rPr>
            </w:pPr>
            <w:r>
              <w:rPr>
                <w:rFonts w:hint="eastAsia" w:cs="Times New Roman"/>
                <w:kern w:val="0"/>
                <w:szCs w:val="20"/>
              </w:rPr>
              <w:t>生态环境主管部门</w:t>
            </w:r>
            <w:r>
              <w:rPr>
                <w:rFonts w:ascii="Wingdings" w:hAnsi="Wingdings" w:cs="Times New Roman"/>
                <w:kern w:val="0"/>
                <w:szCs w:val="20"/>
              </w:rPr>
              <w:t></w:t>
            </w:r>
            <w:r>
              <w:rPr>
                <w:rFonts w:hint="eastAsia" w:cs="Times New Roman"/>
                <w:kern w:val="0"/>
                <w:szCs w:val="20"/>
              </w:rPr>
              <w:t>；补充监测</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12712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8FC3077">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1DDC0F1D">
            <w:pPr>
              <w:pStyle w:val="445"/>
              <w:rPr>
                <w:rFonts w:cs="Times New Roman"/>
                <w:kern w:val="0"/>
                <w:szCs w:val="20"/>
              </w:rPr>
            </w:pPr>
            <w:r>
              <w:rPr>
                <w:rFonts w:hint="eastAsia" w:cs="Times New Roman"/>
                <w:kern w:val="0"/>
                <w:szCs w:val="20"/>
              </w:rPr>
              <w:t>区域水资源开发利用状况</w:t>
            </w:r>
          </w:p>
        </w:tc>
        <w:tc>
          <w:tcPr>
            <w:tcW w:w="3720" w:type="pct"/>
            <w:gridSpan w:val="11"/>
            <w:tcBorders>
              <w:top w:val="single" w:color="auto" w:sz="4" w:space="0"/>
              <w:left w:val="single" w:color="auto" w:sz="4" w:space="0"/>
              <w:bottom w:val="single" w:color="auto" w:sz="4" w:space="0"/>
              <w:right w:val="nil"/>
            </w:tcBorders>
            <w:noWrap/>
            <w:vAlign w:val="center"/>
          </w:tcPr>
          <w:p w14:paraId="1E3C82C2">
            <w:pPr>
              <w:pStyle w:val="445"/>
              <w:rPr>
                <w:rFonts w:cs="Times New Roman"/>
                <w:kern w:val="0"/>
                <w:szCs w:val="20"/>
              </w:rPr>
            </w:pPr>
            <w:r>
              <w:rPr>
                <w:rFonts w:hint="eastAsia" w:cs="Times New Roman"/>
                <w:kern w:val="0"/>
                <w:szCs w:val="20"/>
              </w:rPr>
              <w:t>未开发</w:t>
            </w:r>
            <w:r>
              <w:rPr>
                <w:rFonts w:ascii="Wingdings" w:hAnsi="Wingdings" w:cs="Times New Roman"/>
                <w:kern w:val="0"/>
                <w:szCs w:val="20"/>
              </w:rPr>
              <w:t></w:t>
            </w:r>
            <w:r>
              <w:rPr>
                <w:rFonts w:hint="eastAsia" w:cs="Times New Roman"/>
                <w:kern w:val="0"/>
                <w:szCs w:val="20"/>
              </w:rPr>
              <w:t>；开发量40%以下</w:t>
            </w:r>
            <w:r>
              <w:rPr>
                <w:rFonts w:ascii="Wingdings" w:hAnsi="Wingdings" w:cs="Times New Roman"/>
                <w:kern w:val="0"/>
                <w:szCs w:val="20"/>
              </w:rPr>
              <w:t></w:t>
            </w:r>
            <w:r>
              <w:rPr>
                <w:rFonts w:hint="eastAsia" w:cs="Times New Roman"/>
                <w:kern w:val="0"/>
                <w:szCs w:val="20"/>
              </w:rPr>
              <w:t>；开发量40%以上</w:t>
            </w:r>
            <w:r>
              <w:rPr>
                <w:rFonts w:ascii="Wingdings" w:hAnsi="Wingdings" w:cs="Times New Roman"/>
                <w:kern w:val="0"/>
                <w:szCs w:val="20"/>
              </w:rPr>
              <w:t></w:t>
            </w:r>
          </w:p>
        </w:tc>
      </w:tr>
      <w:tr w14:paraId="318A6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9172BC4">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28F6B8CC">
            <w:pPr>
              <w:pStyle w:val="445"/>
              <w:rPr>
                <w:rFonts w:cs="Times New Roman"/>
                <w:kern w:val="0"/>
                <w:szCs w:val="20"/>
              </w:rPr>
            </w:pPr>
            <w:r>
              <w:rPr>
                <w:rFonts w:hint="eastAsia" w:cs="Times New Roman"/>
                <w:kern w:val="0"/>
                <w:szCs w:val="20"/>
              </w:rPr>
              <w:t>水文情势调查</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1C1C4599">
            <w:pPr>
              <w:pStyle w:val="445"/>
              <w:rPr>
                <w:rFonts w:cs="Times New Roman"/>
                <w:kern w:val="0"/>
                <w:szCs w:val="20"/>
              </w:rPr>
            </w:pPr>
            <w:r>
              <w:rPr>
                <w:rFonts w:hint="eastAsia" w:cs="Times New Roman"/>
                <w:kern w:val="0"/>
                <w:szCs w:val="20"/>
              </w:rPr>
              <w:t>调查时期</w:t>
            </w:r>
          </w:p>
        </w:tc>
        <w:tc>
          <w:tcPr>
            <w:tcW w:w="2070" w:type="pct"/>
            <w:gridSpan w:val="6"/>
            <w:tcBorders>
              <w:top w:val="single" w:color="auto" w:sz="4" w:space="0"/>
              <w:left w:val="single" w:color="auto" w:sz="4" w:space="0"/>
              <w:bottom w:val="single" w:color="auto" w:sz="4" w:space="0"/>
              <w:right w:val="nil"/>
            </w:tcBorders>
            <w:noWrap/>
            <w:vAlign w:val="center"/>
          </w:tcPr>
          <w:p w14:paraId="03A6D01C">
            <w:pPr>
              <w:pStyle w:val="445"/>
              <w:rPr>
                <w:rFonts w:cs="Times New Roman"/>
                <w:kern w:val="0"/>
                <w:szCs w:val="20"/>
              </w:rPr>
            </w:pPr>
            <w:r>
              <w:rPr>
                <w:rFonts w:hint="eastAsia" w:cs="Times New Roman"/>
                <w:kern w:val="0"/>
                <w:szCs w:val="20"/>
              </w:rPr>
              <w:t>数据来源</w:t>
            </w:r>
          </w:p>
        </w:tc>
      </w:tr>
      <w:tr w14:paraId="199D47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5A84BCF">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710F34">
            <w:pPr>
              <w:pStyle w:val="445"/>
              <w:rPr>
                <w:rFonts w:cs="Times New Roman"/>
                <w:kern w:val="0"/>
                <w:szCs w:val="18"/>
              </w:rPr>
            </w:pP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406110E9">
            <w:pPr>
              <w:pStyle w:val="445"/>
              <w:rPr>
                <w:rFonts w:cs="Times New Roman"/>
                <w:kern w:val="0"/>
                <w:szCs w:val="20"/>
              </w:rPr>
            </w:pPr>
            <w:r>
              <w:rPr>
                <w:rFonts w:hint="eastAsia" w:cs="Times New Roman"/>
                <w:kern w:val="0"/>
                <w:szCs w:val="20"/>
              </w:rPr>
              <w:t>丰水期</w:t>
            </w:r>
            <w:r>
              <w:rPr>
                <w:rFonts w:ascii="Wingdings" w:hAnsi="Wingdings" w:cs="Times New Roman"/>
                <w:kern w:val="0"/>
                <w:szCs w:val="20"/>
              </w:rPr>
              <w:t></w:t>
            </w:r>
            <w:r>
              <w:rPr>
                <w:rFonts w:hint="eastAsia" w:cs="Times New Roman"/>
                <w:kern w:val="0"/>
                <w:szCs w:val="20"/>
              </w:rPr>
              <w:t>；平水期</w:t>
            </w:r>
            <w:r>
              <w:rPr>
                <w:rFonts w:ascii="Wingdings" w:hAnsi="Wingdings" w:cs="Times New Roman"/>
                <w:kern w:val="0"/>
                <w:szCs w:val="20"/>
              </w:rPr>
              <w:t></w:t>
            </w:r>
            <w:r>
              <w:rPr>
                <w:rFonts w:hint="eastAsia" w:cs="Times New Roman"/>
                <w:kern w:val="0"/>
                <w:szCs w:val="20"/>
              </w:rPr>
              <w:t>；枯水期</w:t>
            </w:r>
            <w:r>
              <w:rPr>
                <w:rFonts w:ascii="Wingdings" w:hAnsi="Wingdings" w:cs="Times New Roman"/>
                <w:kern w:val="0"/>
                <w:szCs w:val="20"/>
              </w:rPr>
              <w:t></w:t>
            </w:r>
            <w:r>
              <w:rPr>
                <w:rFonts w:hint="eastAsia" w:cs="Times New Roman"/>
                <w:kern w:val="0"/>
                <w:szCs w:val="20"/>
              </w:rPr>
              <w:t>；冰封期</w:t>
            </w:r>
            <w:r>
              <w:rPr>
                <w:rFonts w:ascii="Wingdings" w:hAnsi="Wingdings" w:cs="Times New Roman"/>
                <w:kern w:val="0"/>
                <w:szCs w:val="20"/>
              </w:rPr>
              <w:t></w:t>
            </w:r>
          </w:p>
          <w:p w14:paraId="66D29E5F">
            <w:pPr>
              <w:pStyle w:val="445"/>
              <w:rPr>
                <w:rFonts w:cs="Times New Roman"/>
                <w:kern w:val="0"/>
                <w:szCs w:val="20"/>
              </w:rPr>
            </w:pPr>
            <w:r>
              <w:rPr>
                <w:rFonts w:hint="eastAsia" w:cs="Times New Roman"/>
                <w:kern w:val="0"/>
                <w:szCs w:val="20"/>
              </w:rPr>
              <w:t>春季</w:t>
            </w:r>
            <w:r>
              <w:rPr>
                <w:rFonts w:ascii="Wingdings" w:hAnsi="Wingdings" w:cs="Times New Roman"/>
                <w:kern w:val="0"/>
                <w:szCs w:val="20"/>
              </w:rPr>
              <w:t></w:t>
            </w:r>
            <w:r>
              <w:rPr>
                <w:rFonts w:hint="eastAsia" w:cs="Times New Roman"/>
                <w:kern w:val="0"/>
                <w:szCs w:val="20"/>
              </w:rPr>
              <w:t>；夏季</w:t>
            </w:r>
            <w:r>
              <w:rPr>
                <w:rFonts w:ascii="Wingdings" w:hAnsi="Wingdings" w:cs="Times New Roman"/>
                <w:kern w:val="0"/>
                <w:szCs w:val="20"/>
              </w:rPr>
              <w:t></w:t>
            </w:r>
            <w:r>
              <w:rPr>
                <w:rFonts w:hint="eastAsia" w:cs="Times New Roman"/>
                <w:kern w:val="0"/>
                <w:szCs w:val="20"/>
              </w:rPr>
              <w:t>；秋季</w:t>
            </w:r>
            <w:r>
              <w:rPr>
                <w:rFonts w:ascii="Wingdings" w:hAnsi="Wingdings" w:cs="Times New Roman"/>
                <w:kern w:val="0"/>
                <w:szCs w:val="20"/>
              </w:rPr>
              <w:t></w:t>
            </w:r>
            <w:r>
              <w:rPr>
                <w:rFonts w:hint="eastAsia" w:cs="Times New Roman"/>
                <w:kern w:val="0"/>
                <w:szCs w:val="20"/>
              </w:rPr>
              <w:t>；冬季</w:t>
            </w:r>
            <w:r>
              <w:rPr>
                <w:rFonts w:ascii="Wingdings" w:hAnsi="Wingdings" w:cs="Times New Roman"/>
                <w:kern w:val="0"/>
                <w:szCs w:val="20"/>
              </w:rPr>
              <w:t></w:t>
            </w:r>
          </w:p>
        </w:tc>
        <w:tc>
          <w:tcPr>
            <w:tcW w:w="2070" w:type="pct"/>
            <w:gridSpan w:val="6"/>
            <w:tcBorders>
              <w:top w:val="single" w:color="auto" w:sz="4" w:space="0"/>
              <w:left w:val="single" w:color="auto" w:sz="4" w:space="0"/>
              <w:bottom w:val="single" w:color="auto" w:sz="4" w:space="0"/>
              <w:right w:val="nil"/>
            </w:tcBorders>
            <w:noWrap/>
            <w:vAlign w:val="center"/>
          </w:tcPr>
          <w:p w14:paraId="391299A6">
            <w:pPr>
              <w:pStyle w:val="445"/>
              <w:rPr>
                <w:rFonts w:cs="Times New Roman"/>
                <w:kern w:val="0"/>
                <w:szCs w:val="20"/>
              </w:rPr>
            </w:pPr>
            <w:r>
              <w:rPr>
                <w:rFonts w:hint="eastAsia" w:cs="Times New Roman"/>
                <w:kern w:val="0"/>
                <w:szCs w:val="20"/>
              </w:rPr>
              <w:t>生态环境主管部门</w:t>
            </w:r>
            <w:r>
              <w:rPr>
                <w:rFonts w:ascii="Wingdings" w:hAnsi="Wingdings" w:cs="Times New Roman"/>
                <w:kern w:val="0"/>
                <w:szCs w:val="20"/>
              </w:rPr>
              <w:t></w:t>
            </w:r>
            <w:r>
              <w:rPr>
                <w:rFonts w:hint="eastAsia" w:cs="Times New Roman"/>
                <w:kern w:val="0"/>
                <w:szCs w:val="20"/>
              </w:rPr>
              <w:t>；补充监测</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78C82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1D85CCA">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246C78A4">
            <w:pPr>
              <w:pStyle w:val="445"/>
              <w:rPr>
                <w:rFonts w:cs="Times New Roman"/>
                <w:kern w:val="0"/>
                <w:szCs w:val="20"/>
              </w:rPr>
            </w:pPr>
            <w:r>
              <w:rPr>
                <w:rFonts w:hint="eastAsia" w:cs="Times New Roman"/>
                <w:kern w:val="0"/>
                <w:szCs w:val="20"/>
              </w:rPr>
              <w:t>补充监测</w:t>
            </w: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705CFB73">
            <w:pPr>
              <w:pStyle w:val="445"/>
              <w:rPr>
                <w:rFonts w:cs="Times New Roman"/>
                <w:kern w:val="0"/>
                <w:szCs w:val="20"/>
              </w:rPr>
            </w:pPr>
            <w:r>
              <w:rPr>
                <w:rFonts w:hint="eastAsia" w:cs="Times New Roman"/>
                <w:kern w:val="0"/>
                <w:szCs w:val="20"/>
              </w:rPr>
              <w:t>监测时期</w:t>
            </w:r>
          </w:p>
        </w:tc>
        <w:tc>
          <w:tcPr>
            <w:tcW w:w="1081" w:type="pct"/>
            <w:gridSpan w:val="3"/>
            <w:tcBorders>
              <w:top w:val="single" w:color="auto" w:sz="4" w:space="0"/>
              <w:left w:val="single" w:color="auto" w:sz="4" w:space="0"/>
              <w:bottom w:val="single" w:color="auto" w:sz="4" w:space="0"/>
              <w:right w:val="single" w:color="auto" w:sz="4" w:space="0"/>
            </w:tcBorders>
            <w:noWrap/>
            <w:vAlign w:val="center"/>
          </w:tcPr>
          <w:p w14:paraId="3A275CBE">
            <w:pPr>
              <w:pStyle w:val="445"/>
              <w:rPr>
                <w:rFonts w:cs="Times New Roman"/>
                <w:kern w:val="0"/>
                <w:szCs w:val="20"/>
              </w:rPr>
            </w:pPr>
            <w:r>
              <w:rPr>
                <w:rFonts w:hint="eastAsia" w:cs="Times New Roman"/>
                <w:kern w:val="0"/>
                <w:szCs w:val="20"/>
              </w:rPr>
              <w:t>监测因子</w:t>
            </w:r>
          </w:p>
        </w:tc>
        <w:tc>
          <w:tcPr>
            <w:tcW w:w="989" w:type="pct"/>
            <w:gridSpan w:val="3"/>
            <w:tcBorders>
              <w:top w:val="single" w:color="auto" w:sz="4" w:space="0"/>
              <w:left w:val="single" w:color="auto" w:sz="4" w:space="0"/>
              <w:bottom w:val="single" w:color="auto" w:sz="4" w:space="0"/>
              <w:right w:val="nil"/>
            </w:tcBorders>
            <w:noWrap/>
            <w:vAlign w:val="center"/>
          </w:tcPr>
          <w:p w14:paraId="131DC981">
            <w:pPr>
              <w:pStyle w:val="445"/>
              <w:rPr>
                <w:rFonts w:cs="Times New Roman"/>
                <w:kern w:val="0"/>
                <w:szCs w:val="20"/>
              </w:rPr>
            </w:pPr>
            <w:r>
              <w:rPr>
                <w:rFonts w:hint="eastAsia" w:cs="Times New Roman"/>
                <w:kern w:val="0"/>
                <w:szCs w:val="20"/>
              </w:rPr>
              <w:t>监测断面或点位</w:t>
            </w:r>
          </w:p>
        </w:tc>
      </w:tr>
      <w:tr w14:paraId="7D25A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10A4DDE">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35A1AC8">
            <w:pPr>
              <w:pStyle w:val="445"/>
              <w:rPr>
                <w:rFonts w:cs="Times New Roman"/>
                <w:kern w:val="0"/>
                <w:szCs w:val="18"/>
              </w:rPr>
            </w:pPr>
          </w:p>
        </w:tc>
        <w:tc>
          <w:tcPr>
            <w:tcW w:w="1649" w:type="pct"/>
            <w:gridSpan w:val="5"/>
            <w:tcBorders>
              <w:top w:val="single" w:color="auto" w:sz="4" w:space="0"/>
              <w:left w:val="single" w:color="auto" w:sz="4" w:space="0"/>
              <w:bottom w:val="single" w:color="auto" w:sz="4" w:space="0"/>
              <w:right w:val="single" w:color="auto" w:sz="4" w:space="0"/>
            </w:tcBorders>
            <w:noWrap/>
            <w:vAlign w:val="center"/>
          </w:tcPr>
          <w:p w14:paraId="62C26264">
            <w:pPr>
              <w:pStyle w:val="445"/>
              <w:rPr>
                <w:rFonts w:cs="Times New Roman"/>
                <w:kern w:val="0"/>
                <w:szCs w:val="20"/>
              </w:rPr>
            </w:pPr>
            <w:r>
              <w:rPr>
                <w:rFonts w:hint="eastAsia" w:cs="Times New Roman"/>
                <w:kern w:val="0"/>
                <w:szCs w:val="20"/>
              </w:rPr>
              <w:t>丰水期</w:t>
            </w:r>
            <w:r>
              <w:rPr>
                <w:rFonts w:ascii="Wingdings" w:hAnsi="Wingdings" w:cs="Times New Roman"/>
                <w:kern w:val="0"/>
                <w:szCs w:val="20"/>
              </w:rPr>
              <w:t></w:t>
            </w:r>
            <w:r>
              <w:rPr>
                <w:rFonts w:hint="eastAsia" w:cs="Times New Roman"/>
                <w:kern w:val="0"/>
                <w:szCs w:val="20"/>
              </w:rPr>
              <w:t>；平水期</w:t>
            </w:r>
            <w:r>
              <w:rPr>
                <w:rFonts w:ascii="Wingdings" w:hAnsi="Wingdings" w:cs="Times New Roman"/>
                <w:kern w:val="0"/>
                <w:szCs w:val="20"/>
              </w:rPr>
              <w:t></w:t>
            </w:r>
            <w:r>
              <w:rPr>
                <w:rFonts w:hint="eastAsia" w:cs="Times New Roman"/>
                <w:kern w:val="0"/>
                <w:szCs w:val="20"/>
              </w:rPr>
              <w:t>；枯水期</w:t>
            </w:r>
            <w:r>
              <w:rPr>
                <w:rFonts w:ascii="Wingdings" w:hAnsi="Wingdings" w:cs="Times New Roman"/>
                <w:kern w:val="0"/>
                <w:szCs w:val="20"/>
              </w:rPr>
              <w:t></w:t>
            </w:r>
            <w:r>
              <w:rPr>
                <w:rFonts w:hint="eastAsia" w:cs="Times New Roman"/>
                <w:kern w:val="0"/>
                <w:szCs w:val="20"/>
              </w:rPr>
              <w:t>；冰封期</w:t>
            </w:r>
            <w:r>
              <w:rPr>
                <w:rFonts w:ascii="Wingdings" w:hAnsi="Wingdings" w:cs="Times New Roman"/>
                <w:kern w:val="0"/>
                <w:szCs w:val="20"/>
              </w:rPr>
              <w:t></w:t>
            </w:r>
          </w:p>
          <w:p w14:paraId="56457A5B">
            <w:pPr>
              <w:pStyle w:val="445"/>
              <w:rPr>
                <w:rFonts w:cs="Times New Roman"/>
                <w:kern w:val="0"/>
                <w:szCs w:val="20"/>
              </w:rPr>
            </w:pPr>
            <w:r>
              <w:rPr>
                <w:rFonts w:hint="eastAsia" w:cs="Times New Roman"/>
                <w:kern w:val="0"/>
                <w:szCs w:val="20"/>
              </w:rPr>
              <w:t>春季</w:t>
            </w:r>
            <w:r>
              <w:rPr>
                <w:rFonts w:ascii="Wingdings" w:hAnsi="Wingdings" w:cs="Times New Roman"/>
                <w:kern w:val="0"/>
                <w:szCs w:val="20"/>
              </w:rPr>
              <w:t></w:t>
            </w:r>
            <w:r>
              <w:rPr>
                <w:rFonts w:hint="eastAsia" w:cs="Times New Roman"/>
                <w:kern w:val="0"/>
                <w:szCs w:val="20"/>
              </w:rPr>
              <w:t>；夏季</w:t>
            </w:r>
            <w:r>
              <w:rPr>
                <w:rFonts w:ascii="Wingdings" w:hAnsi="Wingdings" w:cs="Times New Roman"/>
                <w:kern w:val="0"/>
                <w:szCs w:val="20"/>
              </w:rPr>
              <w:t></w:t>
            </w:r>
            <w:r>
              <w:rPr>
                <w:rFonts w:hint="eastAsia" w:cs="Times New Roman"/>
                <w:kern w:val="0"/>
                <w:szCs w:val="20"/>
              </w:rPr>
              <w:t>；秋季</w:t>
            </w:r>
            <w:r>
              <w:rPr>
                <w:rFonts w:ascii="Wingdings" w:hAnsi="Wingdings" w:cs="Times New Roman"/>
                <w:kern w:val="0"/>
                <w:szCs w:val="20"/>
              </w:rPr>
              <w:t></w:t>
            </w:r>
            <w:r>
              <w:rPr>
                <w:rFonts w:hint="eastAsia" w:cs="Times New Roman"/>
                <w:kern w:val="0"/>
                <w:szCs w:val="20"/>
              </w:rPr>
              <w:t>；冬季</w:t>
            </w:r>
            <w:r>
              <w:rPr>
                <w:rFonts w:ascii="Wingdings" w:hAnsi="Wingdings" w:cs="Times New Roman"/>
                <w:kern w:val="0"/>
                <w:szCs w:val="20"/>
              </w:rPr>
              <w:t></w:t>
            </w:r>
          </w:p>
        </w:tc>
        <w:tc>
          <w:tcPr>
            <w:tcW w:w="1081" w:type="pct"/>
            <w:gridSpan w:val="3"/>
            <w:tcBorders>
              <w:top w:val="single" w:color="auto" w:sz="4" w:space="0"/>
              <w:left w:val="single" w:color="auto" w:sz="4" w:space="0"/>
              <w:bottom w:val="single" w:color="auto" w:sz="4" w:space="0"/>
              <w:right w:val="single" w:color="auto" w:sz="4" w:space="0"/>
            </w:tcBorders>
            <w:noWrap/>
            <w:vAlign w:val="center"/>
          </w:tcPr>
          <w:p w14:paraId="4273E1B4">
            <w:pPr>
              <w:pStyle w:val="445"/>
              <w:rPr>
                <w:rFonts w:cs="Times New Roman"/>
                <w:kern w:val="0"/>
                <w:szCs w:val="20"/>
              </w:rPr>
            </w:pPr>
            <w:r>
              <w:rPr>
                <w:rFonts w:hint="eastAsia" w:cs="Times New Roman"/>
                <w:kern w:val="0"/>
                <w:szCs w:val="20"/>
              </w:rPr>
              <w:t>（）</w:t>
            </w:r>
          </w:p>
        </w:tc>
        <w:tc>
          <w:tcPr>
            <w:tcW w:w="989" w:type="pct"/>
            <w:gridSpan w:val="3"/>
            <w:tcBorders>
              <w:top w:val="single" w:color="auto" w:sz="4" w:space="0"/>
              <w:left w:val="single" w:color="auto" w:sz="4" w:space="0"/>
              <w:bottom w:val="single" w:color="auto" w:sz="4" w:space="0"/>
              <w:right w:val="nil"/>
            </w:tcBorders>
            <w:noWrap/>
            <w:vAlign w:val="center"/>
          </w:tcPr>
          <w:p w14:paraId="72A69EC3">
            <w:pPr>
              <w:pStyle w:val="445"/>
              <w:rPr>
                <w:rFonts w:cs="Times New Roman"/>
                <w:kern w:val="0"/>
                <w:szCs w:val="20"/>
              </w:rPr>
            </w:pPr>
            <w:r>
              <w:rPr>
                <w:rFonts w:hint="eastAsia" w:cs="Times New Roman"/>
                <w:kern w:val="0"/>
                <w:szCs w:val="20"/>
              </w:rPr>
              <w:t>监测断面或点位个数（</w:t>
            </w:r>
            <w:r>
              <w:rPr>
                <w:rFonts w:cs="Times New Roman"/>
                <w:kern w:val="0"/>
                <w:szCs w:val="20"/>
              </w:rPr>
              <w:t>7</w:t>
            </w:r>
            <w:r>
              <w:rPr>
                <w:rFonts w:hint="eastAsia" w:cs="Times New Roman"/>
                <w:kern w:val="0"/>
                <w:szCs w:val="20"/>
              </w:rPr>
              <w:t>）个</w:t>
            </w:r>
          </w:p>
        </w:tc>
      </w:tr>
      <w:tr w14:paraId="2259E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277898FD">
            <w:pPr>
              <w:pStyle w:val="445"/>
              <w:rPr>
                <w:rFonts w:cs="Times New Roman"/>
                <w:kern w:val="0"/>
                <w:szCs w:val="20"/>
              </w:rPr>
            </w:pPr>
            <w:r>
              <w:rPr>
                <w:rFonts w:hint="eastAsia" w:cs="Times New Roman"/>
                <w:kern w:val="0"/>
                <w:szCs w:val="20"/>
              </w:rPr>
              <w:t>现状评价</w:t>
            </w:r>
          </w:p>
        </w:tc>
        <w:tc>
          <w:tcPr>
            <w:tcW w:w="1015" w:type="pct"/>
            <w:tcBorders>
              <w:top w:val="single" w:color="auto" w:sz="4" w:space="0"/>
              <w:left w:val="single" w:color="auto" w:sz="4" w:space="0"/>
              <w:bottom w:val="single" w:color="auto" w:sz="4" w:space="0"/>
              <w:right w:val="single" w:color="auto" w:sz="4" w:space="0"/>
            </w:tcBorders>
            <w:noWrap/>
            <w:vAlign w:val="center"/>
          </w:tcPr>
          <w:p w14:paraId="5891EC2A">
            <w:pPr>
              <w:pStyle w:val="445"/>
              <w:rPr>
                <w:rFonts w:cs="Times New Roman"/>
                <w:kern w:val="0"/>
                <w:szCs w:val="20"/>
              </w:rPr>
            </w:pPr>
            <w:r>
              <w:rPr>
                <w:rFonts w:hint="eastAsia" w:cs="Times New Roman"/>
                <w:kern w:val="0"/>
                <w:szCs w:val="20"/>
              </w:rPr>
              <w:t>评价范围</w:t>
            </w:r>
          </w:p>
        </w:tc>
        <w:tc>
          <w:tcPr>
            <w:tcW w:w="3720" w:type="pct"/>
            <w:gridSpan w:val="11"/>
            <w:tcBorders>
              <w:top w:val="single" w:color="auto" w:sz="4" w:space="0"/>
              <w:left w:val="single" w:color="auto" w:sz="4" w:space="0"/>
              <w:bottom w:val="single" w:color="auto" w:sz="4" w:space="0"/>
              <w:right w:val="nil"/>
            </w:tcBorders>
            <w:noWrap/>
            <w:vAlign w:val="center"/>
          </w:tcPr>
          <w:p w14:paraId="711DE152">
            <w:pPr>
              <w:pStyle w:val="445"/>
              <w:rPr>
                <w:rFonts w:cs="Times New Roman"/>
                <w:kern w:val="0"/>
                <w:szCs w:val="20"/>
              </w:rPr>
            </w:pPr>
            <w:r>
              <w:rPr>
                <w:rFonts w:hint="eastAsia" w:cs="Times New Roman"/>
                <w:kern w:val="0"/>
                <w:szCs w:val="20"/>
              </w:rPr>
              <w:t>河流：长度（</w:t>
            </w:r>
            <w:r>
              <w:rPr>
                <w:rFonts w:cs="Times New Roman"/>
                <w:kern w:val="0"/>
                <w:szCs w:val="20"/>
              </w:rPr>
              <w:t>5.5</w:t>
            </w:r>
            <w:r>
              <w:rPr>
                <w:rFonts w:hint="eastAsia" w:cs="Times New Roman"/>
                <w:kern w:val="0"/>
                <w:szCs w:val="20"/>
              </w:rPr>
              <w:t>）km；湖库、河口及近岸海域：面积（）km</w:t>
            </w:r>
            <w:r>
              <w:rPr>
                <w:rFonts w:hint="eastAsia" w:cs="Times New Roman"/>
                <w:kern w:val="0"/>
                <w:szCs w:val="20"/>
                <w:vertAlign w:val="superscript"/>
              </w:rPr>
              <w:t>2</w:t>
            </w:r>
          </w:p>
        </w:tc>
      </w:tr>
      <w:tr w14:paraId="3BD0C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EF3FC3F">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2120F992">
            <w:pPr>
              <w:pStyle w:val="445"/>
              <w:rPr>
                <w:rFonts w:cs="Times New Roman"/>
                <w:kern w:val="0"/>
                <w:szCs w:val="20"/>
              </w:rPr>
            </w:pPr>
            <w:r>
              <w:rPr>
                <w:rFonts w:hint="eastAsia" w:cs="Times New Roman"/>
                <w:kern w:val="0"/>
                <w:szCs w:val="20"/>
              </w:rPr>
              <w:t>评价因子</w:t>
            </w:r>
          </w:p>
        </w:tc>
        <w:tc>
          <w:tcPr>
            <w:tcW w:w="3720" w:type="pct"/>
            <w:gridSpan w:val="11"/>
            <w:tcBorders>
              <w:top w:val="single" w:color="auto" w:sz="4" w:space="0"/>
              <w:left w:val="single" w:color="auto" w:sz="4" w:space="0"/>
              <w:bottom w:val="single" w:color="auto" w:sz="4" w:space="0"/>
              <w:right w:val="nil"/>
            </w:tcBorders>
            <w:noWrap/>
            <w:vAlign w:val="center"/>
          </w:tcPr>
          <w:p w14:paraId="0913131C">
            <w:pPr>
              <w:pStyle w:val="445"/>
              <w:rPr>
                <w:rFonts w:cs="Times New Roman"/>
                <w:kern w:val="0"/>
                <w:szCs w:val="20"/>
              </w:rPr>
            </w:pPr>
            <w:r>
              <w:rPr>
                <w:rFonts w:hint="eastAsia" w:cs="Times New Roman"/>
                <w:kern w:val="0"/>
                <w:szCs w:val="20"/>
              </w:rPr>
              <w:t>（）</w:t>
            </w:r>
          </w:p>
        </w:tc>
      </w:tr>
      <w:tr w14:paraId="66462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47E6B85">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10EFA523">
            <w:pPr>
              <w:pStyle w:val="445"/>
              <w:rPr>
                <w:rFonts w:cs="Times New Roman"/>
                <w:kern w:val="0"/>
                <w:szCs w:val="20"/>
              </w:rPr>
            </w:pPr>
            <w:r>
              <w:rPr>
                <w:rFonts w:hint="eastAsia" w:cs="Times New Roman"/>
                <w:kern w:val="0"/>
                <w:szCs w:val="20"/>
              </w:rPr>
              <w:t>评价标准</w:t>
            </w:r>
          </w:p>
        </w:tc>
        <w:tc>
          <w:tcPr>
            <w:tcW w:w="3720" w:type="pct"/>
            <w:gridSpan w:val="11"/>
            <w:tcBorders>
              <w:top w:val="single" w:color="auto" w:sz="4" w:space="0"/>
              <w:left w:val="single" w:color="auto" w:sz="4" w:space="0"/>
              <w:bottom w:val="single" w:color="auto" w:sz="4" w:space="0"/>
              <w:right w:val="nil"/>
            </w:tcBorders>
            <w:noWrap/>
            <w:vAlign w:val="center"/>
          </w:tcPr>
          <w:p w14:paraId="549EDEB2">
            <w:pPr>
              <w:pStyle w:val="445"/>
              <w:rPr>
                <w:rFonts w:cs="Times New Roman"/>
                <w:kern w:val="0"/>
                <w:szCs w:val="20"/>
              </w:rPr>
            </w:pPr>
            <w:r>
              <w:rPr>
                <w:rFonts w:hint="eastAsia" w:cs="Times New Roman"/>
                <w:kern w:val="0"/>
                <w:szCs w:val="20"/>
              </w:rPr>
              <w:t>河流、湖库、河口：I类</w:t>
            </w:r>
            <w:r>
              <w:rPr>
                <w:rFonts w:ascii="Wingdings" w:hAnsi="Wingdings" w:cs="Times New Roman"/>
                <w:kern w:val="0"/>
                <w:szCs w:val="20"/>
              </w:rPr>
              <w:t></w:t>
            </w:r>
            <w:r>
              <w:rPr>
                <w:rFonts w:hint="eastAsia" w:cs="Times New Roman"/>
                <w:kern w:val="0"/>
                <w:szCs w:val="20"/>
              </w:rPr>
              <w:t>；II类</w:t>
            </w:r>
            <w:r>
              <w:rPr>
                <w:rFonts w:ascii="Wingdings" w:hAnsi="Wingdings" w:cs="Times New Roman"/>
                <w:kern w:val="0"/>
                <w:szCs w:val="20"/>
              </w:rPr>
              <w:t></w:t>
            </w:r>
            <w:r>
              <w:rPr>
                <w:rFonts w:hint="eastAsia" w:cs="Times New Roman"/>
                <w:kern w:val="0"/>
                <w:szCs w:val="20"/>
              </w:rPr>
              <w:t>；III类</w:t>
            </w:r>
            <w:r>
              <w:rPr>
                <w:rFonts w:ascii="Wingdings" w:hAnsi="Wingdings" w:cs="Times New Roman"/>
                <w:kern w:val="0"/>
                <w:szCs w:val="20"/>
              </w:rPr>
              <w:t></w:t>
            </w:r>
            <w:r>
              <w:rPr>
                <w:rFonts w:hint="eastAsia" w:cs="Times New Roman"/>
                <w:kern w:val="0"/>
                <w:szCs w:val="20"/>
              </w:rPr>
              <w:t>；IV类</w:t>
            </w:r>
            <w:r>
              <w:rPr>
                <w:rFonts w:ascii="Wingdings" w:hAnsi="Wingdings" w:cs="Times New Roman"/>
                <w:kern w:val="0"/>
                <w:szCs w:val="20"/>
              </w:rPr>
              <w:t></w:t>
            </w:r>
            <w:r>
              <w:rPr>
                <w:rFonts w:hint="eastAsia" w:cs="Times New Roman"/>
                <w:kern w:val="0"/>
                <w:szCs w:val="20"/>
              </w:rPr>
              <w:t>；V类</w:t>
            </w:r>
            <w:r>
              <w:rPr>
                <w:rFonts w:ascii="Wingdings" w:hAnsi="Wingdings" w:cs="Times New Roman"/>
                <w:kern w:val="0"/>
                <w:szCs w:val="20"/>
              </w:rPr>
              <w:t></w:t>
            </w:r>
          </w:p>
          <w:p w14:paraId="6DD2283B">
            <w:pPr>
              <w:pStyle w:val="445"/>
              <w:rPr>
                <w:rFonts w:cs="Times New Roman"/>
                <w:kern w:val="0"/>
                <w:szCs w:val="20"/>
              </w:rPr>
            </w:pPr>
            <w:r>
              <w:rPr>
                <w:rFonts w:hint="eastAsia" w:cs="Times New Roman"/>
                <w:kern w:val="0"/>
                <w:szCs w:val="20"/>
              </w:rPr>
              <w:t>近岸海域：第一类</w:t>
            </w:r>
            <w:r>
              <w:rPr>
                <w:rFonts w:ascii="Wingdings" w:hAnsi="Wingdings" w:cs="Times New Roman"/>
                <w:kern w:val="0"/>
                <w:szCs w:val="20"/>
              </w:rPr>
              <w:t></w:t>
            </w:r>
            <w:r>
              <w:rPr>
                <w:rFonts w:hint="eastAsia" w:cs="Times New Roman"/>
                <w:kern w:val="0"/>
                <w:szCs w:val="20"/>
              </w:rPr>
              <w:t>；第二类</w:t>
            </w:r>
            <w:r>
              <w:rPr>
                <w:rFonts w:ascii="Wingdings" w:hAnsi="Wingdings" w:cs="Times New Roman"/>
                <w:kern w:val="0"/>
                <w:szCs w:val="20"/>
              </w:rPr>
              <w:t></w:t>
            </w:r>
            <w:r>
              <w:rPr>
                <w:rFonts w:hint="eastAsia" w:cs="Times New Roman"/>
                <w:kern w:val="0"/>
                <w:szCs w:val="20"/>
              </w:rPr>
              <w:t>；第三类</w:t>
            </w:r>
            <w:r>
              <w:rPr>
                <w:rFonts w:ascii="Wingdings" w:hAnsi="Wingdings" w:cs="Times New Roman"/>
                <w:kern w:val="0"/>
                <w:szCs w:val="20"/>
              </w:rPr>
              <w:t></w:t>
            </w:r>
            <w:r>
              <w:rPr>
                <w:rFonts w:hint="eastAsia" w:cs="Times New Roman"/>
                <w:kern w:val="0"/>
                <w:szCs w:val="20"/>
              </w:rPr>
              <w:t>；第四类</w:t>
            </w:r>
            <w:r>
              <w:rPr>
                <w:rFonts w:ascii="Wingdings" w:hAnsi="Wingdings" w:cs="Times New Roman"/>
                <w:kern w:val="0"/>
                <w:szCs w:val="20"/>
              </w:rPr>
              <w:t></w:t>
            </w:r>
          </w:p>
          <w:p w14:paraId="325E49E8">
            <w:pPr>
              <w:pStyle w:val="445"/>
              <w:rPr>
                <w:rFonts w:cs="Times New Roman"/>
                <w:kern w:val="0"/>
                <w:szCs w:val="20"/>
              </w:rPr>
            </w:pPr>
            <w:r>
              <w:rPr>
                <w:rFonts w:hint="eastAsia" w:cs="Times New Roman"/>
                <w:kern w:val="0"/>
                <w:szCs w:val="20"/>
              </w:rPr>
              <w:t>规划年评价标准（）</w:t>
            </w:r>
          </w:p>
        </w:tc>
      </w:tr>
      <w:tr w14:paraId="33526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C64E66F">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35E900E0">
            <w:pPr>
              <w:pStyle w:val="445"/>
              <w:rPr>
                <w:rFonts w:cs="Times New Roman"/>
                <w:kern w:val="0"/>
                <w:szCs w:val="20"/>
              </w:rPr>
            </w:pPr>
            <w:r>
              <w:rPr>
                <w:rFonts w:hint="eastAsia" w:cs="Times New Roman"/>
                <w:kern w:val="0"/>
                <w:szCs w:val="20"/>
              </w:rPr>
              <w:t>评价时期</w:t>
            </w:r>
          </w:p>
        </w:tc>
        <w:tc>
          <w:tcPr>
            <w:tcW w:w="3720" w:type="pct"/>
            <w:gridSpan w:val="11"/>
            <w:tcBorders>
              <w:top w:val="single" w:color="auto" w:sz="4" w:space="0"/>
              <w:left w:val="single" w:color="auto" w:sz="4" w:space="0"/>
              <w:bottom w:val="single" w:color="auto" w:sz="4" w:space="0"/>
              <w:right w:val="nil"/>
            </w:tcBorders>
            <w:noWrap/>
            <w:vAlign w:val="center"/>
          </w:tcPr>
          <w:p w14:paraId="46D34EF7">
            <w:pPr>
              <w:pStyle w:val="445"/>
              <w:rPr>
                <w:rFonts w:cs="Times New Roman"/>
                <w:kern w:val="0"/>
                <w:szCs w:val="20"/>
              </w:rPr>
            </w:pPr>
            <w:r>
              <w:rPr>
                <w:rFonts w:hint="eastAsia" w:cs="Times New Roman"/>
                <w:kern w:val="0"/>
                <w:szCs w:val="20"/>
              </w:rPr>
              <w:t>丰水期</w:t>
            </w:r>
            <w:r>
              <w:rPr>
                <w:rFonts w:ascii="Wingdings" w:hAnsi="Wingdings" w:cs="Times New Roman"/>
                <w:kern w:val="0"/>
                <w:szCs w:val="20"/>
              </w:rPr>
              <w:t></w:t>
            </w:r>
            <w:r>
              <w:rPr>
                <w:rFonts w:hint="eastAsia" w:cs="Times New Roman"/>
                <w:kern w:val="0"/>
                <w:szCs w:val="20"/>
              </w:rPr>
              <w:t>；平水期</w:t>
            </w:r>
            <w:r>
              <w:rPr>
                <w:rFonts w:ascii="Wingdings" w:hAnsi="Wingdings" w:cs="Times New Roman"/>
                <w:kern w:val="0"/>
                <w:szCs w:val="20"/>
              </w:rPr>
              <w:t></w:t>
            </w:r>
            <w:r>
              <w:rPr>
                <w:rFonts w:hint="eastAsia" w:cs="Times New Roman"/>
                <w:kern w:val="0"/>
                <w:szCs w:val="20"/>
              </w:rPr>
              <w:t>；枯水期</w:t>
            </w:r>
            <w:r>
              <w:rPr>
                <w:rFonts w:ascii="Wingdings" w:hAnsi="Wingdings" w:cs="Times New Roman"/>
                <w:kern w:val="0"/>
                <w:szCs w:val="20"/>
              </w:rPr>
              <w:t></w:t>
            </w:r>
            <w:r>
              <w:rPr>
                <w:rFonts w:hint="eastAsia" w:cs="Times New Roman"/>
                <w:kern w:val="0"/>
                <w:szCs w:val="20"/>
              </w:rPr>
              <w:t>；冰封期</w:t>
            </w:r>
            <w:r>
              <w:rPr>
                <w:rFonts w:ascii="Wingdings" w:hAnsi="Wingdings" w:cs="Times New Roman"/>
                <w:kern w:val="0"/>
                <w:szCs w:val="20"/>
              </w:rPr>
              <w:t></w:t>
            </w:r>
          </w:p>
          <w:p w14:paraId="33893F69">
            <w:pPr>
              <w:pStyle w:val="445"/>
              <w:rPr>
                <w:rFonts w:cs="Times New Roman"/>
                <w:kern w:val="0"/>
                <w:szCs w:val="20"/>
              </w:rPr>
            </w:pPr>
            <w:r>
              <w:rPr>
                <w:rFonts w:hint="eastAsia" w:cs="Times New Roman"/>
                <w:kern w:val="0"/>
                <w:szCs w:val="20"/>
              </w:rPr>
              <w:t>春季</w:t>
            </w:r>
            <w:r>
              <w:rPr>
                <w:rFonts w:ascii="Wingdings" w:hAnsi="Wingdings" w:cs="Times New Roman"/>
                <w:kern w:val="0"/>
                <w:szCs w:val="20"/>
              </w:rPr>
              <w:t></w:t>
            </w:r>
            <w:r>
              <w:rPr>
                <w:rFonts w:hint="eastAsia" w:cs="Times New Roman"/>
                <w:kern w:val="0"/>
                <w:szCs w:val="20"/>
              </w:rPr>
              <w:t>；夏季</w:t>
            </w:r>
            <w:r>
              <w:rPr>
                <w:rFonts w:ascii="Wingdings" w:hAnsi="Wingdings" w:cs="Times New Roman"/>
                <w:kern w:val="0"/>
                <w:szCs w:val="20"/>
              </w:rPr>
              <w:t></w:t>
            </w:r>
            <w:r>
              <w:rPr>
                <w:rFonts w:hint="eastAsia" w:cs="Times New Roman"/>
                <w:kern w:val="0"/>
                <w:szCs w:val="20"/>
              </w:rPr>
              <w:t>；秋季</w:t>
            </w:r>
            <w:r>
              <w:rPr>
                <w:rFonts w:ascii="Wingdings" w:hAnsi="Wingdings" w:cs="Times New Roman"/>
                <w:kern w:val="0"/>
                <w:szCs w:val="20"/>
              </w:rPr>
              <w:t></w:t>
            </w:r>
            <w:r>
              <w:rPr>
                <w:rFonts w:hint="eastAsia" w:cs="Times New Roman"/>
                <w:kern w:val="0"/>
                <w:szCs w:val="20"/>
              </w:rPr>
              <w:t>；冬季</w:t>
            </w:r>
            <w:r>
              <w:rPr>
                <w:rFonts w:ascii="Wingdings" w:hAnsi="Wingdings" w:cs="Times New Roman"/>
                <w:kern w:val="0"/>
                <w:szCs w:val="20"/>
              </w:rPr>
              <w:t></w:t>
            </w:r>
          </w:p>
        </w:tc>
      </w:tr>
      <w:tr w14:paraId="3735C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7B042F3A">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6A94CD7D">
            <w:pPr>
              <w:pStyle w:val="445"/>
              <w:rPr>
                <w:rFonts w:cs="Times New Roman"/>
                <w:kern w:val="0"/>
                <w:szCs w:val="20"/>
              </w:rPr>
            </w:pPr>
            <w:r>
              <w:rPr>
                <w:rFonts w:hint="eastAsia" w:cs="Times New Roman"/>
                <w:kern w:val="0"/>
                <w:szCs w:val="20"/>
              </w:rPr>
              <w:t>评价结论</w:t>
            </w:r>
          </w:p>
        </w:tc>
        <w:tc>
          <w:tcPr>
            <w:tcW w:w="3286" w:type="pct"/>
            <w:gridSpan w:val="10"/>
            <w:tcBorders>
              <w:top w:val="single" w:color="auto" w:sz="4" w:space="0"/>
              <w:left w:val="single" w:color="auto" w:sz="4" w:space="0"/>
              <w:bottom w:val="single" w:color="auto" w:sz="4" w:space="0"/>
              <w:right w:val="single" w:color="auto" w:sz="4" w:space="0"/>
            </w:tcBorders>
            <w:noWrap/>
            <w:vAlign w:val="center"/>
          </w:tcPr>
          <w:p w14:paraId="699C1358">
            <w:pPr>
              <w:pStyle w:val="445"/>
              <w:rPr>
                <w:rFonts w:cs="Times New Roman"/>
                <w:kern w:val="0"/>
                <w:szCs w:val="20"/>
              </w:rPr>
            </w:pPr>
            <w:r>
              <w:rPr>
                <w:rFonts w:hint="eastAsia" w:cs="Times New Roman"/>
                <w:kern w:val="0"/>
                <w:szCs w:val="20"/>
              </w:rPr>
              <w:t>水环境功能区或水功能区、近岸海域环境功能区水质达标状况</w:t>
            </w:r>
            <w:r>
              <w:rPr>
                <w:rFonts w:ascii="Wingdings" w:hAnsi="Wingdings" w:cs="Times New Roman"/>
                <w:kern w:val="0"/>
                <w:szCs w:val="20"/>
              </w:rPr>
              <w:t></w:t>
            </w:r>
            <w:r>
              <w:rPr>
                <w:rFonts w:hint="eastAsia" w:cs="Times New Roman"/>
                <w:kern w:val="0"/>
                <w:szCs w:val="20"/>
              </w:rPr>
              <w:t>：达标</w:t>
            </w:r>
            <w:r>
              <w:rPr>
                <w:rFonts w:ascii="Wingdings" w:hAnsi="Wingdings" w:cs="Times New Roman"/>
                <w:kern w:val="0"/>
                <w:szCs w:val="20"/>
              </w:rPr>
              <w:t></w:t>
            </w:r>
            <w:r>
              <w:rPr>
                <w:rFonts w:hint="eastAsia" w:cs="Times New Roman"/>
                <w:kern w:val="0"/>
                <w:szCs w:val="20"/>
              </w:rPr>
              <w:t>；不达标</w:t>
            </w:r>
            <w:r>
              <w:rPr>
                <w:rFonts w:ascii="Wingdings" w:hAnsi="Wingdings" w:cs="Times New Roman"/>
                <w:kern w:val="0"/>
                <w:szCs w:val="20"/>
              </w:rPr>
              <w:t></w:t>
            </w:r>
          </w:p>
          <w:p w14:paraId="239EF621">
            <w:pPr>
              <w:pStyle w:val="445"/>
              <w:rPr>
                <w:rFonts w:cs="Times New Roman"/>
                <w:kern w:val="0"/>
                <w:szCs w:val="20"/>
              </w:rPr>
            </w:pPr>
            <w:r>
              <w:rPr>
                <w:rFonts w:hint="eastAsia" w:cs="Times New Roman"/>
                <w:kern w:val="0"/>
                <w:szCs w:val="20"/>
              </w:rPr>
              <w:t>水环境控制单元或断面水质达标状况</w:t>
            </w:r>
            <w:r>
              <w:rPr>
                <w:rFonts w:ascii="Wingdings" w:hAnsi="Wingdings" w:cs="Times New Roman"/>
                <w:kern w:val="0"/>
                <w:szCs w:val="20"/>
              </w:rPr>
              <w:t></w:t>
            </w:r>
            <w:r>
              <w:rPr>
                <w:rFonts w:hint="eastAsia" w:cs="Times New Roman"/>
                <w:kern w:val="0"/>
                <w:szCs w:val="20"/>
              </w:rPr>
              <w:t>：达标</w:t>
            </w:r>
            <w:r>
              <w:rPr>
                <w:rFonts w:ascii="Wingdings" w:hAnsi="Wingdings" w:cs="Times New Roman"/>
                <w:kern w:val="0"/>
                <w:szCs w:val="20"/>
              </w:rPr>
              <w:t></w:t>
            </w:r>
            <w:r>
              <w:rPr>
                <w:rFonts w:hint="eastAsia" w:cs="Times New Roman"/>
                <w:kern w:val="0"/>
                <w:szCs w:val="20"/>
              </w:rPr>
              <w:t>；不达标</w:t>
            </w:r>
            <w:r>
              <w:rPr>
                <w:rFonts w:ascii="Wingdings" w:hAnsi="Wingdings" w:cs="Times New Roman"/>
                <w:kern w:val="0"/>
                <w:szCs w:val="20"/>
              </w:rPr>
              <w:t></w:t>
            </w:r>
          </w:p>
          <w:p w14:paraId="24551DB1">
            <w:pPr>
              <w:pStyle w:val="445"/>
              <w:rPr>
                <w:rFonts w:cs="Times New Roman"/>
                <w:kern w:val="0"/>
                <w:szCs w:val="20"/>
              </w:rPr>
            </w:pPr>
            <w:r>
              <w:rPr>
                <w:rFonts w:hint="eastAsia" w:cs="Times New Roman"/>
                <w:kern w:val="0"/>
                <w:szCs w:val="20"/>
              </w:rPr>
              <w:t>水环境保护目标质量状况</w:t>
            </w:r>
            <w:r>
              <w:rPr>
                <w:rFonts w:ascii="Wingdings" w:hAnsi="Wingdings" w:cs="Times New Roman"/>
                <w:kern w:val="0"/>
                <w:szCs w:val="20"/>
              </w:rPr>
              <w:t></w:t>
            </w:r>
            <w:r>
              <w:rPr>
                <w:rFonts w:hint="eastAsia" w:cs="Times New Roman"/>
                <w:kern w:val="0"/>
                <w:szCs w:val="20"/>
              </w:rPr>
              <w:t>：达标</w:t>
            </w:r>
            <w:r>
              <w:rPr>
                <w:rFonts w:ascii="Wingdings" w:hAnsi="Wingdings" w:cs="Times New Roman"/>
                <w:kern w:val="0"/>
                <w:szCs w:val="20"/>
              </w:rPr>
              <w:t></w:t>
            </w:r>
            <w:r>
              <w:rPr>
                <w:rFonts w:hint="eastAsia" w:cs="Times New Roman"/>
                <w:kern w:val="0"/>
                <w:szCs w:val="20"/>
              </w:rPr>
              <w:t>；不达标</w:t>
            </w:r>
            <w:r>
              <w:rPr>
                <w:rFonts w:ascii="Wingdings" w:hAnsi="Wingdings" w:cs="Times New Roman"/>
                <w:kern w:val="0"/>
                <w:szCs w:val="20"/>
              </w:rPr>
              <w:t></w:t>
            </w:r>
          </w:p>
          <w:p w14:paraId="7060D0A3">
            <w:pPr>
              <w:pStyle w:val="445"/>
              <w:rPr>
                <w:rFonts w:cs="Times New Roman"/>
                <w:kern w:val="0"/>
                <w:szCs w:val="20"/>
              </w:rPr>
            </w:pPr>
            <w:r>
              <w:rPr>
                <w:rFonts w:hint="eastAsia" w:cs="Times New Roman"/>
                <w:kern w:val="0"/>
                <w:szCs w:val="20"/>
              </w:rPr>
              <w:t>对照断面、控制断面等代表性断面的水质状况</w:t>
            </w:r>
            <w:r>
              <w:rPr>
                <w:rFonts w:ascii="Wingdings" w:hAnsi="Wingdings" w:cs="Times New Roman"/>
                <w:kern w:val="0"/>
                <w:szCs w:val="20"/>
              </w:rPr>
              <w:t></w:t>
            </w:r>
            <w:r>
              <w:rPr>
                <w:rFonts w:hint="eastAsia" w:cs="Times New Roman"/>
                <w:kern w:val="0"/>
                <w:szCs w:val="20"/>
              </w:rPr>
              <w:t>：达标</w:t>
            </w:r>
            <w:r>
              <w:rPr>
                <w:rFonts w:ascii="Wingdings" w:hAnsi="Wingdings" w:cs="Times New Roman"/>
                <w:kern w:val="0"/>
                <w:szCs w:val="20"/>
              </w:rPr>
              <w:t></w:t>
            </w:r>
            <w:r>
              <w:rPr>
                <w:rFonts w:hint="eastAsia" w:cs="Times New Roman"/>
                <w:kern w:val="0"/>
                <w:szCs w:val="20"/>
              </w:rPr>
              <w:t>；不达标</w:t>
            </w:r>
            <w:r>
              <w:rPr>
                <w:rFonts w:ascii="Wingdings" w:hAnsi="Wingdings" w:cs="Times New Roman"/>
                <w:kern w:val="0"/>
                <w:szCs w:val="20"/>
              </w:rPr>
              <w:t></w:t>
            </w:r>
          </w:p>
          <w:p w14:paraId="4D30E60A">
            <w:pPr>
              <w:pStyle w:val="445"/>
              <w:rPr>
                <w:rFonts w:cs="Times New Roman"/>
                <w:kern w:val="0"/>
                <w:szCs w:val="20"/>
              </w:rPr>
            </w:pPr>
            <w:r>
              <w:rPr>
                <w:rFonts w:hint="eastAsia" w:cs="Times New Roman"/>
                <w:kern w:val="0"/>
                <w:szCs w:val="20"/>
              </w:rPr>
              <w:t>底泥污染评价</w:t>
            </w:r>
            <w:r>
              <w:rPr>
                <w:rFonts w:ascii="Wingdings" w:hAnsi="Wingdings" w:cs="Times New Roman"/>
                <w:kern w:val="0"/>
                <w:szCs w:val="20"/>
              </w:rPr>
              <w:t></w:t>
            </w:r>
          </w:p>
          <w:p w14:paraId="67F5EBF7">
            <w:pPr>
              <w:pStyle w:val="445"/>
              <w:rPr>
                <w:rFonts w:cs="Times New Roman"/>
                <w:kern w:val="0"/>
                <w:szCs w:val="20"/>
              </w:rPr>
            </w:pPr>
            <w:r>
              <w:rPr>
                <w:rFonts w:hint="eastAsia" w:cs="Times New Roman"/>
                <w:kern w:val="0"/>
                <w:szCs w:val="20"/>
              </w:rPr>
              <w:t>水资源与开发利用程度及其水文情势评价</w:t>
            </w:r>
            <w:r>
              <w:rPr>
                <w:rFonts w:ascii="Wingdings" w:hAnsi="Wingdings" w:cs="Times New Roman"/>
                <w:kern w:val="0"/>
                <w:szCs w:val="20"/>
              </w:rPr>
              <w:t></w:t>
            </w:r>
          </w:p>
          <w:p w14:paraId="606A56DE">
            <w:pPr>
              <w:pStyle w:val="445"/>
              <w:rPr>
                <w:rFonts w:cs="Times New Roman"/>
                <w:kern w:val="0"/>
                <w:szCs w:val="20"/>
              </w:rPr>
            </w:pPr>
            <w:r>
              <w:rPr>
                <w:rFonts w:hint="eastAsia" w:cs="Times New Roman"/>
                <w:kern w:val="0"/>
                <w:szCs w:val="20"/>
              </w:rPr>
              <w:t>水环境质量回顾性评价</w:t>
            </w:r>
            <w:r>
              <w:rPr>
                <w:rFonts w:ascii="Wingdings" w:hAnsi="Wingdings" w:cs="Times New Roman"/>
                <w:kern w:val="0"/>
                <w:szCs w:val="20"/>
              </w:rPr>
              <w:t></w:t>
            </w:r>
          </w:p>
          <w:p w14:paraId="6A937151">
            <w:pPr>
              <w:pStyle w:val="445"/>
              <w:rPr>
                <w:rFonts w:cs="Times New Roman"/>
                <w:kern w:val="0"/>
                <w:szCs w:val="20"/>
              </w:rPr>
            </w:pPr>
            <w:r>
              <w:rPr>
                <w:rFonts w:hint="eastAsia" w:cs="Times New Roman"/>
                <w:kern w:val="0"/>
                <w:szCs w:val="20"/>
              </w:rPr>
              <w:t>流域（区域）水资源（包括水能资源）与开发利用总体状况、生态流量管理要求与现状满足程度、建设项目占用水域的水流状况与河湖演变状况</w:t>
            </w:r>
            <w:r>
              <w:rPr>
                <w:rFonts w:ascii="Wingdings" w:hAnsi="Wingdings" w:cs="Times New Roman"/>
                <w:kern w:val="0"/>
                <w:szCs w:val="20"/>
              </w:rPr>
              <w:t></w:t>
            </w:r>
          </w:p>
        </w:tc>
        <w:tc>
          <w:tcPr>
            <w:tcW w:w="434" w:type="pct"/>
            <w:tcBorders>
              <w:top w:val="single" w:color="auto" w:sz="4" w:space="0"/>
              <w:left w:val="single" w:color="auto" w:sz="4" w:space="0"/>
              <w:bottom w:val="single" w:color="auto" w:sz="4" w:space="0"/>
              <w:right w:val="nil"/>
            </w:tcBorders>
            <w:noWrap/>
            <w:vAlign w:val="center"/>
          </w:tcPr>
          <w:p w14:paraId="356F1521">
            <w:pPr>
              <w:pStyle w:val="445"/>
              <w:rPr>
                <w:rFonts w:cs="Times New Roman"/>
                <w:kern w:val="0"/>
                <w:szCs w:val="20"/>
              </w:rPr>
            </w:pPr>
            <w:r>
              <w:rPr>
                <w:rFonts w:hint="eastAsia" w:cs="Times New Roman"/>
                <w:kern w:val="0"/>
                <w:szCs w:val="20"/>
              </w:rPr>
              <w:t>达标区</w:t>
            </w:r>
            <w:r>
              <w:rPr>
                <w:rFonts w:ascii="Wingdings" w:hAnsi="Wingdings" w:cs="Times New Roman"/>
                <w:kern w:val="0"/>
                <w:szCs w:val="20"/>
              </w:rPr>
              <w:t></w:t>
            </w:r>
          </w:p>
          <w:p w14:paraId="018A71A0">
            <w:pPr>
              <w:pStyle w:val="445"/>
              <w:rPr>
                <w:rFonts w:cs="Times New Roman"/>
                <w:kern w:val="0"/>
                <w:szCs w:val="20"/>
              </w:rPr>
            </w:pPr>
            <w:r>
              <w:rPr>
                <w:rFonts w:hint="eastAsia" w:cs="Times New Roman"/>
                <w:kern w:val="0"/>
                <w:szCs w:val="20"/>
              </w:rPr>
              <w:t>不达标区</w:t>
            </w:r>
            <w:r>
              <w:rPr>
                <w:rFonts w:ascii="Wingdings" w:hAnsi="Wingdings" w:cs="Times New Roman"/>
                <w:kern w:val="0"/>
                <w:szCs w:val="20"/>
              </w:rPr>
              <w:t></w:t>
            </w:r>
          </w:p>
        </w:tc>
      </w:tr>
      <w:tr w14:paraId="402C68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25A2FC55">
            <w:pPr>
              <w:pStyle w:val="445"/>
              <w:rPr>
                <w:rFonts w:cs="Times New Roman"/>
                <w:kern w:val="0"/>
                <w:szCs w:val="20"/>
              </w:rPr>
            </w:pPr>
            <w:r>
              <w:rPr>
                <w:rFonts w:hint="eastAsia" w:cs="Times New Roman"/>
                <w:kern w:val="0"/>
                <w:szCs w:val="20"/>
              </w:rPr>
              <w:t>影响预测</w:t>
            </w:r>
          </w:p>
        </w:tc>
        <w:tc>
          <w:tcPr>
            <w:tcW w:w="1015" w:type="pct"/>
            <w:tcBorders>
              <w:top w:val="single" w:color="auto" w:sz="4" w:space="0"/>
              <w:left w:val="single" w:color="auto" w:sz="4" w:space="0"/>
              <w:bottom w:val="single" w:color="auto" w:sz="4" w:space="0"/>
              <w:right w:val="single" w:color="auto" w:sz="4" w:space="0"/>
            </w:tcBorders>
            <w:noWrap/>
            <w:vAlign w:val="center"/>
          </w:tcPr>
          <w:p w14:paraId="78B7142E">
            <w:pPr>
              <w:pStyle w:val="445"/>
              <w:rPr>
                <w:rFonts w:cs="Times New Roman"/>
                <w:kern w:val="0"/>
                <w:szCs w:val="20"/>
              </w:rPr>
            </w:pPr>
            <w:r>
              <w:rPr>
                <w:rFonts w:hint="eastAsia" w:cs="Times New Roman"/>
                <w:kern w:val="0"/>
                <w:szCs w:val="20"/>
              </w:rPr>
              <w:t>预测范围</w:t>
            </w:r>
          </w:p>
        </w:tc>
        <w:tc>
          <w:tcPr>
            <w:tcW w:w="3720" w:type="pct"/>
            <w:gridSpan w:val="11"/>
            <w:tcBorders>
              <w:top w:val="single" w:color="auto" w:sz="4" w:space="0"/>
              <w:left w:val="single" w:color="auto" w:sz="4" w:space="0"/>
              <w:bottom w:val="single" w:color="auto" w:sz="4" w:space="0"/>
              <w:right w:val="nil"/>
            </w:tcBorders>
            <w:noWrap/>
            <w:vAlign w:val="center"/>
          </w:tcPr>
          <w:p w14:paraId="228E179B">
            <w:pPr>
              <w:pStyle w:val="445"/>
              <w:rPr>
                <w:rFonts w:cs="Times New Roman"/>
                <w:kern w:val="0"/>
                <w:szCs w:val="20"/>
              </w:rPr>
            </w:pPr>
            <w:r>
              <w:rPr>
                <w:rFonts w:hint="eastAsia" w:cs="Times New Roman"/>
                <w:kern w:val="0"/>
                <w:szCs w:val="20"/>
              </w:rPr>
              <w:t>河流：长度（）km；湖库、河口及近岸海域：面积（）km2</w:t>
            </w:r>
          </w:p>
        </w:tc>
      </w:tr>
      <w:tr w14:paraId="25C965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2B3E1DC">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49EC7955">
            <w:pPr>
              <w:pStyle w:val="445"/>
              <w:rPr>
                <w:rFonts w:cs="Times New Roman"/>
                <w:kern w:val="0"/>
                <w:szCs w:val="20"/>
              </w:rPr>
            </w:pPr>
            <w:r>
              <w:rPr>
                <w:rFonts w:hint="eastAsia" w:cs="Times New Roman"/>
                <w:kern w:val="0"/>
                <w:szCs w:val="20"/>
              </w:rPr>
              <w:t>预测因子</w:t>
            </w:r>
          </w:p>
        </w:tc>
        <w:tc>
          <w:tcPr>
            <w:tcW w:w="3720" w:type="pct"/>
            <w:gridSpan w:val="11"/>
            <w:tcBorders>
              <w:top w:val="single" w:color="auto" w:sz="4" w:space="0"/>
              <w:left w:val="single" w:color="auto" w:sz="4" w:space="0"/>
              <w:bottom w:val="single" w:color="auto" w:sz="4" w:space="0"/>
              <w:right w:val="nil"/>
            </w:tcBorders>
            <w:noWrap/>
            <w:vAlign w:val="center"/>
          </w:tcPr>
          <w:p w14:paraId="0FF78581">
            <w:pPr>
              <w:pStyle w:val="445"/>
              <w:rPr>
                <w:rFonts w:cs="Times New Roman"/>
                <w:kern w:val="0"/>
                <w:szCs w:val="20"/>
              </w:rPr>
            </w:pPr>
            <w:r>
              <w:rPr>
                <w:rFonts w:hint="eastAsia" w:cs="Times New Roman"/>
                <w:kern w:val="0"/>
                <w:szCs w:val="20"/>
              </w:rPr>
              <w:t>（）</w:t>
            </w:r>
          </w:p>
        </w:tc>
      </w:tr>
      <w:tr w14:paraId="26E30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A3E3BB7">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0085B1CD">
            <w:pPr>
              <w:pStyle w:val="445"/>
              <w:rPr>
                <w:rFonts w:cs="Times New Roman"/>
                <w:kern w:val="0"/>
                <w:szCs w:val="20"/>
              </w:rPr>
            </w:pPr>
            <w:r>
              <w:rPr>
                <w:rFonts w:hint="eastAsia" w:cs="Times New Roman"/>
                <w:kern w:val="0"/>
                <w:szCs w:val="20"/>
              </w:rPr>
              <w:t>预测时期</w:t>
            </w:r>
          </w:p>
        </w:tc>
        <w:tc>
          <w:tcPr>
            <w:tcW w:w="3720" w:type="pct"/>
            <w:gridSpan w:val="11"/>
            <w:tcBorders>
              <w:top w:val="single" w:color="auto" w:sz="4" w:space="0"/>
              <w:left w:val="single" w:color="auto" w:sz="4" w:space="0"/>
              <w:bottom w:val="single" w:color="auto" w:sz="4" w:space="0"/>
              <w:right w:val="nil"/>
            </w:tcBorders>
            <w:noWrap/>
            <w:vAlign w:val="center"/>
          </w:tcPr>
          <w:p w14:paraId="2402C28B">
            <w:pPr>
              <w:pStyle w:val="445"/>
              <w:rPr>
                <w:rFonts w:cs="Times New Roman"/>
                <w:kern w:val="0"/>
                <w:szCs w:val="20"/>
              </w:rPr>
            </w:pPr>
            <w:r>
              <w:rPr>
                <w:rFonts w:hint="eastAsia" w:cs="Times New Roman"/>
                <w:kern w:val="0"/>
                <w:szCs w:val="20"/>
              </w:rPr>
              <w:t>丰水期</w:t>
            </w:r>
            <w:r>
              <w:rPr>
                <w:rFonts w:ascii="Wingdings" w:hAnsi="Wingdings" w:cs="Times New Roman"/>
                <w:kern w:val="0"/>
                <w:szCs w:val="20"/>
              </w:rPr>
              <w:t></w:t>
            </w:r>
            <w:r>
              <w:rPr>
                <w:rFonts w:hint="eastAsia" w:cs="Times New Roman"/>
                <w:kern w:val="0"/>
                <w:szCs w:val="20"/>
              </w:rPr>
              <w:t>；平水期</w:t>
            </w:r>
            <w:r>
              <w:rPr>
                <w:rFonts w:ascii="Wingdings" w:hAnsi="Wingdings" w:cs="Times New Roman"/>
                <w:kern w:val="0"/>
                <w:szCs w:val="20"/>
              </w:rPr>
              <w:t></w:t>
            </w:r>
            <w:r>
              <w:rPr>
                <w:rFonts w:hint="eastAsia" w:cs="Times New Roman"/>
                <w:kern w:val="0"/>
                <w:szCs w:val="20"/>
              </w:rPr>
              <w:t>；枯水期</w:t>
            </w:r>
            <w:r>
              <w:rPr>
                <w:rFonts w:ascii="Wingdings" w:hAnsi="Wingdings" w:cs="Times New Roman"/>
                <w:kern w:val="0"/>
                <w:szCs w:val="20"/>
              </w:rPr>
              <w:t></w:t>
            </w:r>
            <w:r>
              <w:rPr>
                <w:rFonts w:hint="eastAsia" w:cs="Times New Roman"/>
                <w:kern w:val="0"/>
                <w:szCs w:val="20"/>
              </w:rPr>
              <w:t>；冰封期</w:t>
            </w:r>
            <w:r>
              <w:rPr>
                <w:rFonts w:ascii="Wingdings" w:hAnsi="Wingdings" w:cs="Times New Roman"/>
                <w:kern w:val="0"/>
                <w:szCs w:val="20"/>
              </w:rPr>
              <w:t></w:t>
            </w:r>
          </w:p>
          <w:p w14:paraId="18EE0366">
            <w:pPr>
              <w:pStyle w:val="445"/>
              <w:rPr>
                <w:rFonts w:cs="Times New Roman"/>
                <w:kern w:val="0"/>
                <w:szCs w:val="20"/>
              </w:rPr>
            </w:pPr>
            <w:r>
              <w:rPr>
                <w:rFonts w:hint="eastAsia" w:cs="Times New Roman"/>
                <w:kern w:val="0"/>
                <w:szCs w:val="20"/>
              </w:rPr>
              <w:t>春季</w:t>
            </w:r>
            <w:r>
              <w:rPr>
                <w:rFonts w:ascii="Wingdings" w:hAnsi="Wingdings" w:cs="Times New Roman"/>
                <w:kern w:val="0"/>
                <w:szCs w:val="20"/>
              </w:rPr>
              <w:t></w:t>
            </w:r>
            <w:r>
              <w:rPr>
                <w:rFonts w:hint="eastAsia" w:cs="Times New Roman"/>
                <w:kern w:val="0"/>
                <w:szCs w:val="20"/>
              </w:rPr>
              <w:t>；夏季</w:t>
            </w:r>
            <w:r>
              <w:rPr>
                <w:rFonts w:ascii="Wingdings" w:hAnsi="Wingdings" w:cs="Times New Roman"/>
                <w:kern w:val="0"/>
                <w:szCs w:val="20"/>
              </w:rPr>
              <w:t></w:t>
            </w:r>
            <w:r>
              <w:rPr>
                <w:rFonts w:hint="eastAsia" w:cs="Times New Roman"/>
                <w:kern w:val="0"/>
                <w:szCs w:val="20"/>
              </w:rPr>
              <w:t>；秋季</w:t>
            </w:r>
            <w:r>
              <w:rPr>
                <w:rFonts w:ascii="Wingdings" w:hAnsi="Wingdings" w:cs="Times New Roman"/>
                <w:kern w:val="0"/>
                <w:szCs w:val="20"/>
              </w:rPr>
              <w:t></w:t>
            </w:r>
            <w:r>
              <w:rPr>
                <w:rFonts w:hint="eastAsia" w:cs="Times New Roman"/>
                <w:kern w:val="0"/>
                <w:szCs w:val="20"/>
              </w:rPr>
              <w:t>；冬季</w:t>
            </w:r>
            <w:r>
              <w:rPr>
                <w:rFonts w:ascii="Wingdings" w:hAnsi="Wingdings" w:cs="Times New Roman"/>
                <w:kern w:val="0"/>
                <w:szCs w:val="20"/>
              </w:rPr>
              <w:t></w:t>
            </w:r>
          </w:p>
          <w:p w14:paraId="7E05282B">
            <w:pPr>
              <w:pStyle w:val="445"/>
              <w:rPr>
                <w:rFonts w:cs="Times New Roman"/>
                <w:kern w:val="0"/>
                <w:szCs w:val="20"/>
              </w:rPr>
            </w:pPr>
            <w:r>
              <w:rPr>
                <w:rFonts w:hint="eastAsia" w:cs="Times New Roman"/>
                <w:kern w:val="0"/>
                <w:szCs w:val="20"/>
              </w:rPr>
              <w:t>设计水文条件</w:t>
            </w:r>
            <w:r>
              <w:rPr>
                <w:rFonts w:ascii="Wingdings" w:hAnsi="Wingdings" w:cs="Times New Roman"/>
                <w:kern w:val="0"/>
                <w:szCs w:val="20"/>
              </w:rPr>
              <w:t></w:t>
            </w:r>
          </w:p>
        </w:tc>
      </w:tr>
      <w:tr w14:paraId="2F827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E7B3F91">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09429D0F">
            <w:pPr>
              <w:pStyle w:val="445"/>
              <w:rPr>
                <w:rFonts w:cs="Times New Roman"/>
                <w:kern w:val="0"/>
                <w:szCs w:val="20"/>
              </w:rPr>
            </w:pPr>
            <w:r>
              <w:rPr>
                <w:rFonts w:hint="eastAsia" w:cs="Times New Roman"/>
                <w:kern w:val="0"/>
                <w:szCs w:val="20"/>
              </w:rPr>
              <w:t>预测情景</w:t>
            </w:r>
          </w:p>
        </w:tc>
        <w:tc>
          <w:tcPr>
            <w:tcW w:w="3720" w:type="pct"/>
            <w:gridSpan w:val="11"/>
            <w:tcBorders>
              <w:top w:val="single" w:color="auto" w:sz="4" w:space="0"/>
              <w:left w:val="single" w:color="auto" w:sz="4" w:space="0"/>
              <w:bottom w:val="single" w:color="auto" w:sz="4" w:space="0"/>
              <w:right w:val="nil"/>
            </w:tcBorders>
            <w:noWrap/>
            <w:vAlign w:val="center"/>
          </w:tcPr>
          <w:p w14:paraId="5B8FF3D5">
            <w:pPr>
              <w:pStyle w:val="445"/>
              <w:rPr>
                <w:rFonts w:cs="Times New Roman"/>
                <w:kern w:val="0"/>
                <w:szCs w:val="20"/>
              </w:rPr>
            </w:pPr>
            <w:r>
              <w:rPr>
                <w:rFonts w:hint="eastAsia" w:cs="Times New Roman"/>
                <w:kern w:val="0"/>
                <w:szCs w:val="20"/>
              </w:rPr>
              <w:t>建设期</w:t>
            </w:r>
            <w:r>
              <w:rPr>
                <w:rFonts w:ascii="Wingdings" w:hAnsi="Wingdings" w:cs="Times New Roman"/>
                <w:kern w:val="0"/>
                <w:szCs w:val="20"/>
              </w:rPr>
              <w:t></w:t>
            </w:r>
            <w:r>
              <w:rPr>
                <w:rFonts w:hint="eastAsia" w:cs="Times New Roman"/>
                <w:kern w:val="0"/>
                <w:szCs w:val="20"/>
              </w:rPr>
              <w:t>；生产运行期</w:t>
            </w:r>
            <w:r>
              <w:rPr>
                <w:rFonts w:ascii="Wingdings" w:hAnsi="Wingdings" w:cs="Times New Roman"/>
                <w:kern w:val="0"/>
                <w:szCs w:val="20"/>
              </w:rPr>
              <w:t></w:t>
            </w:r>
            <w:r>
              <w:rPr>
                <w:rFonts w:hint="eastAsia" w:cs="Times New Roman"/>
                <w:kern w:val="0"/>
                <w:szCs w:val="20"/>
              </w:rPr>
              <w:t>；服务期满后</w:t>
            </w:r>
            <w:r>
              <w:rPr>
                <w:rFonts w:ascii="Wingdings" w:hAnsi="Wingdings" w:cs="Times New Roman"/>
                <w:kern w:val="0"/>
                <w:szCs w:val="20"/>
              </w:rPr>
              <w:t></w:t>
            </w:r>
          </w:p>
          <w:p w14:paraId="3C8A12BD">
            <w:pPr>
              <w:pStyle w:val="445"/>
              <w:rPr>
                <w:rFonts w:cs="Times New Roman"/>
                <w:kern w:val="0"/>
                <w:szCs w:val="20"/>
              </w:rPr>
            </w:pPr>
            <w:r>
              <w:rPr>
                <w:rFonts w:hint="eastAsia" w:cs="Times New Roman"/>
                <w:kern w:val="0"/>
                <w:szCs w:val="20"/>
              </w:rPr>
              <w:t>正常工况</w:t>
            </w:r>
            <w:r>
              <w:rPr>
                <w:rFonts w:ascii="Wingdings" w:hAnsi="Wingdings" w:cs="Times New Roman"/>
                <w:kern w:val="0"/>
                <w:szCs w:val="20"/>
              </w:rPr>
              <w:t></w:t>
            </w:r>
            <w:r>
              <w:rPr>
                <w:rFonts w:hint="eastAsia" w:cs="Times New Roman"/>
                <w:kern w:val="0"/>
                <w:szCs w:val="20"/>
              </w:rPr>
              <w:t>；非正常工况</w:t>
            </w:r>
            <w:r>
              <w:rPr>
                <w:rFonts w:ascii="Wingdings" w:hAnsi="Wingdings" w:cs="Times New Roman"/>
                <w:kern w:val="0"/>
                <w:szCs w:val="20"/>
              </w:rPr>
              <w:t></w:t>
            </w:r>
          </w:p>
          <w:p w14:paraId="17FDA6C4">
            <w:pPr>
              <w:pStyle w:val="445"/>
              <w:rPr>
                <w:rFonts w:cs="Times New Roman"/>
                <w:kern w:val="0"/>
                <w:szCs w:val="20"/>
              </w:rPr>
            </w:pPr>
            <w:r>
              <w:rPr>
                <w:rFonts w:hint="eastAsia" w:cs="Times New Roman"/>
                <w:kern w:val="0"/>
                <w:szCs w:val="20"/>
              </w:rPr>
              <w:t>污染控制和减缓措施方案</w:t>
            </w:r>
            <w:r>
              <w:rPr>
                <w:rFonts w:ascii="Wingdings" w:hAnsi="Wingdings" w:cs="Times New Roman"/>
                <w:kern w:val="0"/>
                <w:szCs w:val="20"/>
              </w:rPr>
              <w:t></w:t>
            </w:r>
          </w:p>
          <w:p w14:paraId="78F37954">
            <w:pPr>
              <w:pStyle w:val="445"/>
              <w:rPr>
                <w:rFonts w:cs="Times New Roman"/>
                <w:kern w:val="0"/>
                <w:szCs w:val="20"/>
              </w:rPr>
            </w:pPr>
            <w:r>
              <w:rPr>
                <w:rFonts w:hint="eastAsia" w:cs="Times New Roman"/>
                <w:kern w:val="0"/>
                <w:szCs w:val="20"/>
              </w:rPr>
              <w:t>区（流）域环境质量改善目标要求情景</w:t>
            </w:r>
            <w:r>
              <w:rPr>
                <w:rFonts w:ascii="Wingdings" w:hAnsi="Wingdings" w:cs="Times New Roman"/>
                <w:kern w:val="0"/>
                <w:szCs w:val="20"/>
              </w:rPr>
              <w:t></w:t>
            </w:r>
          </w:p>
        </w:tc>
      </w:tr>
      <w:tr w14:paraId="50D98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B9C0198">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6AF60194">
            <w:pPr>
              <w:pStyle w:val="445"/>
              <w:rPr>
                <w:rFonts w:cs="Times New Roman"/>
                <w:kern w:val="0"/>
                <w:szCs w:val="20"/>
              </w:rPr>
            </w:pPr>
            <w:r>
              <w:rPr>
                <w:rFonts w:hint="eastAsia" w:cs="Times New Roman"/>
                <w:kern w:val="0"/>
                <w:szCs w:val="20"/>
              </w:rPr>
              <w:t>预测方法</w:t>
            </w:r>
          </w:p>
        </w:tc>
        <w:tc>
          <w:tcPr>
            <w:tcW w:w="3720" w:type="pct"/>
            <w:gridSpan w:val="11"/>
            <w:tcBorders>
              <w:top w:val="single" w:color="auto" w:sz="4" w:space="0"/>
              <w:left w:val="single" w:color="auto" w:sz="4" w:space="0"/>
              <w:bottom w:val="single" w:color="auto" w:sz="4" w:space="0"/>
              <w:right w:val="nil"/>
            </w:tcBorders>
            <w:noWrap/>
            <w:vAlign w:val="center"/>
          </w:tcPr>
          <w:p w14:paraId="7AA7710A">
            <w:pPr>
              <w:pStyle w:val="445"/>
              <w:rPr>
                <w:rFonts w:cs="Times New Roman"/>
                <w:kern w:val="0"/>
                <w:szCs w:val="20"/>
              </w:rPr>
            </w:pPr>
            <w:r>
              <w:rPr>
                <w:rFonts w:hint="eastAsia" w:cs="Times New Roman"/>
                <w:kern w:val="0"/>
                <w:szCs w:val="20"/>
              </w:rPr>
              <w:t>数值解</w:t>
            </w:r>
            <w:r>
              <w:rPr>
                <w:rFonts w:ascii="Wingdings" w:hAnsi="Wingdings" w:cs="Times New Roman"/>
                <w:kern w:val="0"/>
                <w:szCs w:val="20"/>
              </w:rPr>
              <w:t></w:t>
            </w:r>
            <w:r>
              <w:rPr>
                <w:rFonts w:hint="eastAsia" w:cs="Times New Roman"/>
                <w:kern w:val="0"/>
                <w:szCs w:val="20"/>
              </w:rPr>
              <w:t>；解析解</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p w14:paraId="04A88A97">
            <w:pPr>
              <w:pStyle w:val="445"/>
              <w:rPr>
                <w:rFonts w:cs="Times New Roman"/>
                <w:kern w:val="0"/>
                <w:szCs w:val="20"/>
              </w:rPr>
            </w:pPr>
            <w:r>
              <w:rPr>
                <w:rFonts w:hint="eastAsia" w:cs="Times New Roman"/>
                <w:kern w:val="0"/>
                <w:szCs w:val="20"/>
              </w:rPr>
              <w:t>导则推荐模式</w:t>
            </w:r>
            <w:r>
              <w:rPr>
                <w:rFonts w:ascii="Wingdings" w:hAnsi="Wingdings" w:cs="Times New Roman"/>
                <w:kern w:val="0"/>
                <w:szCs w:val="20"/>
              </w:rPr>
              <w:t></w:t>
            </w:r>
            <w:r>
              <w:rPr>
                <w:rFonts w:hint="eastAsia" w:cs="Times New Roman"/>
                <w:kern w:val="0"/>
                <w:szCs w:val="20"/>
              </w:rPr>
              <w:t>；其他</w:t>
            </w:r>
            <w:r>
              <w:rPr>
                <w:rFonts w:ascii="Wingdings" w:hAnsi="Wingdings" w:cs="Times New Roman"/>
                <w:kern w:val="0"/>
                <w:szCs w:val="20"/>
              </w:rPr>
              <w:t></w:t>
            </w:r>
          </w:p>
        </w:tc>
      </w:tr>
      <w:tr w14:paraId="0EEC7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4391960C">
            <w:pPr>
              <w:pStyle w:val="445"/>
              <w:rPr>
                <w:rFonts w:cs="Times New Roman"/>
                <w:kern w:val="0"/>
                <w:szCs w:val="20"/>
              </w:rPr>
            </w:pPr>
            <w:r>
              <w:rPr>
                <w:rFonts w:hint="eastAsia" w:cs="Times New Roman"/>
                <w:kern w:val="0"/>
                <w:szCs w:val="20"/>
              </w:rPr>
              <w:t>影响评价</w:t>
            </w:r>
          </w:p>
        </w:tc>
        <w:tc>
          <w:tcPr>
            <w:tcW w:w="1015" w:type="pct"/>
            <w:tcBorders>
              <w:top w:val="single" w:color="auto" w:sz="4" w:space="0"/>
              <w:left w:val="single" w:color="auto" w:sz="4" w:space="0"/>
              <w:bottom w:val="single" w:color="auto" w:sz="4" w:space="0"/>
              <w:right w:val="single" w:color="auto" w:sz="4" w:space="0"/>
            </w:tcBorders>
            <w:noWrap/>
            <w:vAlign w:val="center"/>
          </w:tcPr>
          <w:p w14:paraId="43362F96">
            <w:pPr>
              <w:pStyle w:val="445"/>
              <w:rPr>
                <w:rFonts w:cs="Times New Roman"/>
                <w:kern w:val="0"/>
                <w:szCs w:val="20"/>
              </w:rPr>
            </w:pPr>
            <w:r>
              <w:rPr>
                <w:rFonts w:hint="eastAsia" w:cs="Times New Roman"/>
                <w:kern w:val="0"/>
                <w:szCs w:val="20"/>
              </w:rPr>
              <w:t>水污染控制和水环境影响减缓措施有效性评价</w:t>
            </w:r>
          </w:p>
        </w:tc>
        <w:tc>
          <w:tcPr>
            <w:tcW w:w="3720" w:type="pct"/>
            <w:gridSpan w:val="11"/>
            <w:tcBorders>
              <w:top w:val="single" w:color="auto" w:sz="4" w:space="0"/>
              <w:left w:val="single" w:color="auto" w:sz="4" w:space="0"/>
              <w:bottom w:val="single" w:color="auto" w:sz="4" w:space="0"/>
              <w:right w:val="nil"/>
            </w:tcBorders>
            <w:noWrap/>
            <w:vAlign w:val="center"/>
          </w:tcPr>
          <w:p w14:paraId="10CC768B">
            <w:pPr>
              <w:pStyle w:val="445"/>
              <w:rPr>
                <w:rFonts w:cs="Times New Roman"/>
                <w:kern w:val="0"/>
                <w:szCs w:val="20"/>
              </w:rPr>
            </w:pPr>
            <w:r>
              <w:rPr>
                <w:rFonts w:cs="Times New Roman"/>
                <w:kern w:val="0"/>
                <w:szCs w:val="20"/>
              </w:rPr>
              <w:t>区（流）域水环境质量改善目标</w:t>
            </w:r>
            <w:r>
              <w:rPr>
                <w:rFonts w:ascii="Wingdings" w:hAnsi="Wingdings" w:cs="Times New Roman"/>
                <w:kern w:val="0"/>
                <w:szCs w:val="20"/>
              </w:rPr>
              <w:t></w:t>
            </w:r>
            <w:r>
              <w:rPr>
                <w:rFonts w:cs="Times New Roman"/>
                <w:kern w:val="0"/>
                <w:szCs w:val="20"/>
              </w:rPr>
              <w:t>；替代削减源</w:t>
            </w:r>
            <w:r>
              <w:rPr>
                <w:rFonts w:ascii="Wingdings" w:hAnsi="Wingdings" w:cs="Times New Roman"/>
                <w:kern w:val="0"/>
                <w:szCs w:val="20"/>
              </w:rPr>
              <w:t></w:t>
            </w:r>
          </w:p>
        </w:tc>
      </w:tr>
      <w:tr w14:paraId="1B363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1DC676B">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1F78416D">
            <w:pPr>
              <w:pStyle w:val="445"/>
              <w:rPr>
                <w:rFonts w:cs="Times New Roman"/>
                <w:kern w:val="0"/>
                <w:szCs w:val="20"/>
              </w:rPr>
            </w:pPr>
            <w:r>
              <w:rPr>
                <w:rFonts w:hint="eastAsia" w:cs="Times New Roman"/>
                <w:kern w:val="0"/>
                <w:szCs w:val="20"/>
              </w:rPr>
              <w:t>水环境影响评价</w:t>
            </w:r>
          </w:p>
        </w:tc>
        <w:tc>
          <w:tcPr>
            <w:tcW w:w="3720" w:type="pct"/>
            <w:gridSpan w:val="11"/>
            <w:tcBorders>
              <w:top w:val="single" w:color="auto" w:sz="4" w:space="0"/>
              <w:left w:val="single" w:color="auto" w:sz="4" w:space="0"/>
              <w:bottom w:val="single" w:color="auto" w:sz="4" w:space="0"/>
              <w:right w:val="nil"/>
            </w:tcBorders>
            <w:noWrap/>
            <w:vAlign w:val="center"/>
          </w:tcPr>
          <w:p w14:paraId="6372A5FF">
            <w:pPr>
              <w:pStyle w:val="445"/>
              <w:rPr>
                <w:rFonts w:cs="Times New Roman"/>
                <w:kern w:val="0"/>
                <w:szCs w:val="20"/>
              </w:rPr>
            </w:pPr>
            <w:r>
              <w:rPr>
                <w:rFonts w:cs="Times New Roman"/>
                <w:kern w:val="0"/>
                <w:szCs w:val="20"/>
              </w:rPr>
              <w:t>排放口混合区外满足水环境管理要求</w:t>
            </w:r>
            <w:r>
              <w:rPr>
                <w:rFonts w:ascii="Wingdings" w:hAnsi="Wingdings" w:cs="Times New Roman"/>
                <w:kern w:val="0"/>
                <w:szCs w:val="20"/>
              </w:rPr>
              <w:t></w:t>
            </w:r>
          </w:p>
          <w:p w14:paraId="405718B4">
            <w:pPr>
              <w:pStyle w:val="445"/>
              <w:rPr>
                <w:rFonts w:cs="Times New Roman"/>
                <w:kern w:val="0"/>
                <w:szCs w:val="20"/>
              </w:rPr>
            </w:pPr>
            <w:r>
              <w:rPr>
                <w:rFonts w:cs="Times New Roman"/>
                <w:kern w:val="0"/>
                <w:szCs w:val="20"/>
              </w:rPr>
              <w:t>水环境功能区或水功能区、近岸海域环境功能区水质达标</w:t>
            </w:r>
            <w:r>
              <w:rPr>
                <w:rFonts w:ascii="Wingdings" w:hAnsi="Wingdings" w:cs="Times New Roman"/>
                <w:kern w:val="0"/>
                <w:szCs w:val="20"/>
              </w:rPr>
              <w:t></w:t>
            </w:r>
          </w:p>
          <w:p w14:paraId="685B8EE6">
            <w:pPr>
              <w:pStyle w:val="445"/>
              <w:rPr>
                <w:rFonts w:cs="Times New Roman"/>
                <w:kern w:val="0"/>
                <w:szCs w:val="20"/>
              </w:rPr>
            </w:pPr>
            <w:r>
              <w:rPr>
                <w:rFonts w:cs="Times New Roman"/>
                <w:kern w:val="0"/>
                <w:szCs w:val="20"/>
              </w:rPr>
              <w:t>满足水环境保护目标水域水环境质量要求</w:t>
            </w:r>
            <w:r>
              <w:rPr>
                <w:rFonts w:ascii="Wingdings" w:hAnsi="Wingdings" w:cs="Times New Roman"/>
                <w:kern w:val="0"/>
                <w:szCs w:val="20"/>
              </w:rPr>
              <w:t></w:t>
            </w:r>
          </w:p>
          <w:p w14:paraId="1B8601C5">
            <w:pPr>
              <w:pStyle w:val="445"/>
              <w:rPr>
                <w:rFonts w:cs="Times New Roman"/>
                <w:kern w:val="0"/>
                <w:szCs w:val="20"/>
              </w:rPr>
            </w:pPr>
            <w:r>
              <w:rPr>
                <w:rFonts w:cs="Times New Roman"/>
                <w:kern w:val="0"/>
                <w:szCs w:val="20"/>
              </w:rPr>
              <w:t>水环境控制单元或断面水质达标</w:t>
            </w:r>
            <w:r>
              <w:rPr>
                <w:rFonts w:ascii="Wingdings" w:hAnsi="Wingdings" w:cs="Times New Roman"/>
                <w:kern w:val="0"/>
                <w:szCs w:val="20"/>
              </w:rPr>
              <w:t></w:t>
            </w:r>
          </w:p>
          <w:p w14:paraId="7EFEB1D6">
            <w:pPr>
              <w:pStyle w:val="445"/>
              <w:rPr>
                <w:rFonts w:cs="Times New Roman"/>
                <w:kern w:val="0"/>
                <w:szCs w:val="20"/>
              </w:rPr>
            </w:pPr>
            <w:r>
              <w:rPr>
                <w:rFonts w:cs="Times New Roman"/>
                <w:kern w:val="0"/>
                <w:szCs w:val="20"/>
              </w:rPr>
              <w:t>满足重点水污染物排放总量控制指标要求，重点行业建设项目，主要污染物排放满足等量或减量替代要求</w:t>
            </w:r>
            <w:r>
              <w:rPr>
                <w:rFonts w:ascii="Wingdings" w:hAnsi="Wingdings" w:cs="Times New Roman"/>
                <w:kern w:val="0"/>
                <w:szCs w:val="20"/>
              </w:rPr>
              <w:t></w:t>
            </w:r>
          </w:p>
          <w:p w14:paraId="0BF965B1">
            <w:pPr>
              <w:pStyle w:val="445"/>
              <w:rPr>
                <w:rFonts w:cs="Times New Roman"/>
                <w:kern w:val="0"/>
                <w:szCs w:val="20"/>
              </w:rPr>
            </w:pPr>
            <w:r>
              <w:rPr>
                <w:rFonts w:cs="Times New Roman"/>
                <w:kern w:val="0"/>
                <w:szCs w:val="20"/>
              </w:rPr>
              <w:t>满足区（流）域水环境质量改善目标要求</w:t>
            </w:r>
            <w:r>
              <w:rPr>
                <w:rFonts w:ascii="Wingdings" w:hAnsi="Wingdings" w:cs="Times New Roman"/>
                <w:kern w:val="0"/>
                <w:szCs w:val="20"/>
              </w:rPr>
              <w:t></w:t>
            </w:r>
          </w:p>
          <w:p w14:paraId="79BEF005">
            <w:pPr>
              <w:pStyle w:val="445"/>
              <w:rPr>
                <w:rFonts w:cs="Times New Roman"/>
                <w:kern w:val="0"/>
                <w:szCs w:val="20"/>
              </w:rPr>
            </w:pPr>
            <w:r>
              <w:rPr>
                <w:rFonts w:cs="Times New Roman"/>
                <w:kern w:val="0"/>
                <w:szCs w:val="20"/>
              </w:rPr>
              <w:t>水文要素影响型建设项目同时应包括水文情势变化评价、主要水文特征值影响评价、生态流量符合性评价</w:t>
            </w:r>
            <w:r>
              <w:rPr>
                <w:rFonts w:ascii="Wingdings" w:hAnsi="Wingdings" w:cs="Times New Roman"/>
                <w:kern w:val="0"/>
                <w:szCs w:val="20"/>
              </w:rPr>
              <w:t></w:t>
            </w:r>
          </w:p>
          <w:p w14:paraId="2D0ADCEA">
            <w:pPr>
              <w:pStyle w:val="445"/>
              <w:rPr>
                <w:rFonts w:cs="Times New Roman"/>
                <w:kern w:val="0"/>
                <w:szCs w:val="20"/>
              </w:rPr>
            </w:pPr>
            <w:r>
              <w:rPr>
                <w:rFonts w:cs="Times New Roman"/>
                <w:kern w:val="0"/>
                <w:szCs w:val="20"/>
              </w:rPr>
              <w:t>对于新设或调整入河（湖库、近岸海域）排放口的建设项目，应包括排放口设置的环境合理性评价</w:t>
            </w:r>
            <w:r>
              <w:rPr>
                <w:rFonts w:ascii="Wingdings" w:hAnsi="Wingdings" w:cs="Times New Roman"/>
                <w:kern w:val="0"/>
                <w:szCs w:val="20"/>
              </w:rPr>
              <w:t></w:t>
            </w:r>
          </w:p>
          <w:p w14:paraId="14C9C278">
            <w:pPr>
              <w:pStyle w:val="445"/>
              <w:rPr>
                <w:rFonts w:cs="Times New Roman"/>
                <w:kern w:val="0"/>
                <w:szCs w:val="20"/>
              </w:rPr>
            </w:pPr>
            <w:r>
              <w:rPr>
                <w:rFonts w:cs="Times New Roman"/>
                <w:kern w:val="0"/>
                <w:szCs w:val="20"/>
              </w:rPr>
              <w:t>满足生态保护红线、水环境质量底线、资源利用上线和环境准入清单管理要求</w:t>
            </w:r>
            <w:r>
              <w:rPr>
                <w:rFonts w:ascii="Wingdings" w:hAnsi="Wingdings" w:cs="Times New Roman"/>
                <w:kern w:val="0"/>
                <w:szCs w:val="20"/>
              </w:rPr>
              <w:t></w:t>
            </w:r>
          </w:p>
        </w:tc>
      </w:tr>
      <w:tr w14:paraId="44A40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A02EFFF">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2DBDBEB0">
            <w:pPr>
              <w:pStyle w:val="445"/>
              <w:rPr>
                <w:rFonts w:cs="Times New Roman"/>
                <w:kern w:val="0"/>
                <w:szCs w:val="20"/>
              </w:rPr>
            </w:pPr>
            <w:r>
              <w:rPr>
                <w:rFonts w:hint="eastAsia" w:cs="Times New Roman"/>
                <w:kern w:val="0"/>
                <w:szCs w:val="20"/>
              </w:rPr>
              <w:t>污染源排放量核算</w:t>
            </w: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6349307D">
            <w:pPr>
              <w:pStyle w:val="445"/>
              <w:rPr>
                <w:rFonts w:cs="Times New Roman"/>
                <w:kern w:val="0"/>
                <w:szCs w:val="20"/>
              </w:rPr>
            </w:pPr>
            <w:r>
              <w:rPr>
                <w:rFonts w:hint="eastAsia" w:cs="Times New Roman"/>
                <w:kern w:val="0"/>
                <w:szCs w:val="20"/>
              </w:rPr>
              <w:t>污染物名称</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09D6215A">
            <w:pPr>
              <w:pStyle w:val="445"/>
              <w:rPr>
                <w:rFonts w:cs="Times New Roman"/>
                <w:kern w:val="0"/>
                <w:szCs w:val="20"/>
              </w:rPr>
            </w:pPr>
            <w:r>
              <w:rPr>
                <w:rFonts w:hint="eastAsia" w:cs="Times New Roman"/>
                <w:kern w:val="0"/>
                <w:szCs w:val="20"/>
              </w:rPr>
              <w:t>排放量/（t/a）</w:t>
            </w:r>
          </w:p>
        </w:tc>
        <w:tc>
          <w:tcPr>
            <w:tcW w:w="1401" w:type="pct"/>
            <w:gridSpan w:val="4"/>
            <w:tcBorders>
              <w:top w:val="single" w:color="auto" w:sz="4" w:space="0"/>
              <w:left w:val="single" w:color="auto" w:sz="4" w:space="0"/>
              <w:bottom w:val="single" w:color="auto" w:sz="4" w:space="0"/>
              <w:right w:val="nil"/>
            </w:tcBorders>
            <w:noWrap/>
            <w:vAlign w:val="center"/>
          </w:tcPr>
          <w:p w14:paraId="76CA296C">
            <w:pPr>
              <w:pStyle w:val="445"/>
              <w:rPr>
                <w:rFonts w:cs="Times New Roman"/>
                <w:kern w:val="0"/>
                <w:szCs w:val="20"/>
              </w:rPr>
            </w:pPr>
            <w:r>
              <w:rPr>
                <w:rFonts w:hint="eastAsia" w:cs="Times New Roman"/>
                <w:kern w:val="0"/>
                <w:szCs w:val="20"/>
              </w:rPr>
              <w:t>排放浓度/（mg/L）</w:t>
            </w:r>
          </w:p>
        </w:tc>
      </w:tr>
      <w:tr w14:paraId="7566A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3FED1E3">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C6D352">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03A5D32D">
            <w:pPr>
              <w:pStyle w:val="445"/>
              <w:rPr>
                <w:rFonts w:cs="Times New Roman"/>
                <w:kern w:val="0"/>
                <w:szCs w:val="20"/>
              </w:rPr>
            </w:pPr>
            <w:r>
              <w:rPr>
                <w:rFonts w:cs="Times New Roman"/>
                <w:kern w:val="0"/>
                <w:szCs w:val="20"/>
              </w:rPr>
              <w:t>COD</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0BA3056C">
            <w:pPr>
              <w:pStyle w:val="445"/>
              <w:rPr>
                <w:rFonts w:cs="Times New Roman"/>
                <w:kern w:val="0"/>
                <w:szCs w:val="20"/>
              </w:rPr>
            </w:pPr>
            <w:r>
              <w:rPr>
                <w:rFonts w:hint="eastAsia" w:cs="Times New Roman"/>
                <w:kern w:val="0"/>
                <w:szCs w:val="20"/>
              </w:rPr>
              <w:t>14.15</w:t>
            </w:r>
            <w:r>
              <w:rPr>
                <w:rFonts w:cs="Times New Roman"/>
                <w:kern w:val="0"/>
                <w:szCs w:val="20"/>
              </w:rPr>
              <w:t>9</w:t>
            </w:r>
          </w:p>
        </w:tc>
        <w:tc>
          <w:tcPr>
            <w:tcW w:w="1401" w:type="pct"/>
            <w:gridSpan w:val="4"/>
            <w:tcBorders>
              <w:top w:val="single" w:color="auto" w:sz="4" w:space="0"/>
              <w:left w:val="single" w:color="auto" w:sz="4" w:space="0"/>
              <w:bottom w:val="single" w:color="auto" w:sz="4" w:space="0"/>
              <w:right w:val="nil"/>
            </w:tcBorders>
            <w:noWrap/>
            <w:vAlign w:val="center"/>
          </w:tcPr>
          <w:p w14:paraId="0813A9D3">
            <w:pPr>
              <w:pStyle w:val="445"/>
              <w:rPr>
                <w:rFonts w:cs="Times New Roman"/>
                <w:kern w:val="0"/>
                <w:szCs w:val="20"/>
              </w:rPr>
            </w:pPr>
            <w:r>
              <w:rPr>
                <w:rFonts w:hint="eastAsia" w:cs="Times New Roman"/>
                <w:kern w:val="0"/>
                <w:szCs w:val="20"/>
              </w:rPr>
              <w:t>80.422</w:t>
            </w:r>
          </w:p>
        </w:tc>
      </w:tr>
      <w:tr w14:paraId="39A33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6A593F8">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92A7427">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5CB6B496">
            <w:pPr>
              <w:pStyle w:val="445"/>
              <w:rPr>
                <w:rFonts w:cs="Times New Roman"/>
                <w:kern w:val="0"/>
                <w:szCs w:val="20"/>
              </w:rPr>
            </w:pPr>
            <w:r>
              <w:rPr>
                <w:rFonts w:cs="Times New Roman"/>
                <w:kern w:val="0"/>
                <w:szCs w:val="20"/>
              </w:rPr>
              <w:t>SS</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683AD613">
            <w:pPr>
              <w:pStyle w:val="445"/>
              <w:rPr>
                <w:rFonts w:cs="Times New Roman"/>
                <w:kern w:val="0"/>
                <w:szCs w:val="20"/>
              </w:rPr>
            </w:pPr>
            <w:r>
              <w:rPr>
                <w:rFonts w:hint="eastAsia" w:cs="Times New Roman"/>
                <w:kern w:val="0"/>
                <w:szCs w:val="20"/>
              </w:rPr>
              <w:t xml:space="preserve">9.64 </w:t>
            </w:r>
          </w:p>
        </w:tc>
        <w:tc>
          <w:tcPr>
            <w:tcW w:w="1401" w:type="pct"/>
            <w:gridSpan w:val="4"/>
            <w:tcBorders>
              <w:top w:val="single" w:color="auto" w:sz="4" w:space="0"/>
              <w:left w:val="single" w:color="auto" w:sz="4" w:space="0"/>
              <w:bottom w:val="single" w:color="auto" w:sz="4" w:space="0"/>
              <w:right w:val="nil"/>
            </w:tcBorders>
            <w:noWrap/>
            <w:vAlign w:val="center"/>
          </w:tcPr>
          <w:p w14:paraId="34339336">
            <w:pPr>
              <w:pStyle w:val="445"/>
              <w:rPr>
                <w:rFonts w:cs="Times New Roman"/>
                <w:kern w:val="0"/>
                <w:szCs w:val="20"/>
              </w:rPr>
            </w:pPr>
            <w:r>
              <w:rPr>
                <w:rFonts w:hint="eastAsia" w:cs="Times New Roman"/>
                <w:kern w:val="0"/>
                <w:szCs w:val="20"/>
              </w:rPr>
              <w:t>54.758</w:t>
            </w:r>
          </w:p>
        </w:tc>
      </w:tr>
      <w:tr w14:paraId="6EDB13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7F756B34">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9E9377">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1C8C1386">
            <w:pPr>
              <w:pStyle w:val="445"/>
              <w:rPr>
                <w:rFonts w:cs="Times New Roman"/>
                <w:kern w:val="0"/>
                <w:szCs w:val="20"/>
              </w:rPr>
            </w:pPr>
            <w:r>
              <w:rPr>
                <w:rFonts w:cs="Times New Roman"/>
                <w:kern w:val="0"/>
                <w:szCs w:val="20"/>
              </w:rPr>
              <w:t>NH</w:t>
            </w:r>
            <w:r>
              <w:rPr>
                <w:rFonts w:cs="Times New Roman"/>
                <w:kern w:val="0"/>
                <w:szCs w:val="20"/>
                <w:vertAlign w:val="subscript"/>
              </w:rPr>
              <w:t>3</w:t>
            </w:r>
            <w:r>
              <w:rPr>
                <w:rFonts w:cs="Times New Roman"/>
                <w:kern w:val="0"/>
                <w:szCs w:val="20"/>
              </w:rPr>
              <w:t>-N</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44D5C69C">
            <w:pPr>
              <w:pStyle w:val="445"/>
              <w:rPr>
                <w:rFonts w:cs="Times New Roman"/>
                <w:kern w:val="0"/>
                <w:szCs w:val="20"/>
              </w:rPr>
            </w:pPr>
            <w:r>
              <w:rPr>
                <w:rFonts w:hint="eastAsia" w:cs="Times New Roman"/>
                <w:kern w:val="0"/>
                <w:szCs w:val="20"/>
              </w:rPr>
              <w:t>0.54</w:t>
            </w:r>
          </w:p>
        </w:tc>
        <w:tc>
          <w:tcPr>
            <w:tcW w:w="1401" w:type="pct"/>
            <w:gridSpan w:val="4"/>
            <w:tcBorders>
              <w:top w:val="single" w:color="auto" w:sz="4" w:space="0"/>
              <w:left w:val="single" w:color="auto" w:sz="4" w:space="0"/>
              <w:bottom w:val="single" w:color="auto" w:sz="4" w:space="0"/>
              <w:right w:val="nil"/>
            </w:tcBorders>
            <w:noWrap/>
            <w:vAlign w:val="center"/>
          </w:tcPr>
          <w:p w14:paraId="58311AB9">
            <w:pPr>
              <w:pStyle w:val="445"/>
              <w:rPr>
                <w:rFonts w:cs="Times New Roman"/>
                <w:kern w:val="0"/>
                <w:szCs w:val="20"/>
              </w:rPr>
            </w:pPr>
            <w:r>
              <w:rPr>
                <w:rFonts w:hint="eastAsia" w:cs="Times New Roman"/>
                <w:kern w:val="0"/>
                <w:szCs w:val="20"/>
              </w:rPr>
              <w:t>3.065</w:t>
            </w:r>
          </w:p>
        </w:tc>
      </w:tr>
      <w:tr w14:paraId="11557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576F6D8">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FE8B8ED">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3E0B2A9F">
            <w:pPr>
              <w:pStyle w:val="445"/>
              <w:rPr>
                <w:rFonts w:cs="Times New Roman"/>
                <w:kern w:val="0"/>
                <w:szCs w:val="20"/>
              </w:rPr>
            </w:pPr>
            <w:r>
              <w:rPr>
                <w:rFonts w:hint="eastAsia" w:cs="Times New Roman"/>
                <w:kern w:val="0"/>
                <w:szCs w:val="20"/>
              </w:rPr>
              <w:t>盐分</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4D6EFD63">
            <w:pPr>
              <w:pStyle w:val="445"/>
              <w:rPr>
                <w:rFonts w:cs="Times New Roman"/>
                <w:kern w:val="0"/>
                <w:szCs w:val="20"/>
              </w:rPr>
            </w:pPr>
            <w:r>
              <w:rPr>
                <w:rFonts w:hint="eastAsia" w:cs="Times New Roman"/>
                <w:kern w:val="0"/>
                <w:szCs w:val="20"/>
              </w:rPr>
              <w:t xml:space="preserve">42.635 </w:t>
            </w:r>
          </w:p>
        </w:tc>
        <w:tc>
          <w:tcPr>
            <w:tcW w:w="1401" w:type="pct"/>
            <w:gridSpan w:val="4"/>
            <w:tcBorders>
              <w:top w:val="single" w:color="auto" w:sz="4" w:space="0"/>
              <w:left w:val="single" w:color="auto" w:sz="4" w:space="0"/>
              <w:bottom w:val="single" w:color="auto" w:sz="4" w:space="0"/>
              <w:right w:val="nil"/>
            </w:tcBorders>
            <w:noWrap/>
            <w:vAlign w:val="center"/>
          </w:tcPr>
          <w:p w14:paraId="35FBA0D2">
            <w:pPr>
              <w:pStyle w:val="445"/>
              <w:rPr>
                <w:rFonts w:cs="Times New Roman"/>
                <w:kern w:val="0"/>
                <w:szCs w:val="20"/>
              </w:rPr>
            </w:pPr>
            <w:r>
              <w:rPr>
                <w:rFonts w:hint="eastAsia" w:cs="Times New Roman"/>
                <w:kern w:val="0"/>
                <w:szCs w:val="20"/>
              </w:rPr>
              <w:t>242.167</w:t>
            </w:r>
          </w:p>
        </w:tc>
      </w:tr>
      <w:tr w14:paraId="7BD60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45E0F37">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7A7F0F">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51692044">
            <w:pPr>
              <w:pStyle w:val="445"/>
              <w:rPr>
                <w:rFonts w:cs="Times New Roman"/>
                <w:kern w:val="0"/>
                <w:szCs w:val="20"/>
              </w:rPr>
            </w:pPr>
            <w:r>
              <w:rPr>
                <w:rFonts w:cs="Times New Roman"/>
                <w:kern w:val="0"/>
                <w:szCs w:val="20"/>
              </w:rPr>
              <w:t>BOD</w:t>
            </w:r>
            <w:r>
              <w:rPr>
                <w:rFonts w:cs="Times New Roman"/>
                <w:kern w:val="0"/>
                <w:szCs w:val="20"/>
                <w:vertAlign w:val="subscript"/>
              </w:rPr>
              <w:t>5</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4907A4EC">
            <w:pPr>
              <w:pStyle w:val="445"/>
              <w:rPr>
                <w:rFonts w:cs="Times New Roman"/>
                <w:kern w:val="0"/>
                <w:szCs w:val="20"/>
              </w:rPr>
            </w:pPr>
            <w:r>
              <w:rPr>
                <w:rFonts w:hint="eastAsia" w:cs="Times New Roman"/>
                <w:kern w:val="0"/>
                <w:szCs w:val="20"/>
              </w:rPr>
              <w:t>0.116</w:t>
            </w:r>
          </w:p>
        </w:tc>
        <w:tc>
          <w:tcPr>
            <w:tcW w:w="1401" w:type="pct"/>
            <w:gridSpan w:val="4"/>
            <w:tcBorders>
              <w:top w:val="single" w:color="auto" w:sz="4" w:space="0"/>
              <w:left w:val="single" w:color="auto" w:sz="4" w:space="0"/>
              <w:bottom w:val="single" w:color="auto" w:sz="4" w:space="0"/>
              <w:right w:val="nil"/>
            </w:tcBorders>
            <w:noWrap/>
            <w:vAlign w:val="center"/>
          </w:tcPr>
          <w:p w14:paraId="454ED1DE">
            <w:pPr>
              <w:pStyle w:val="445"/>
              <w:rPr>
                <w:rFonts w:cs="Times New Roman"/>
                <w:kern w:val="0"/>
                <w:szCs w:val="20"/>
              </w:rPr>
            </w:pPr>
            <w:r>
              <w:rPr>
                <w:rFonts w:hint="eastAsia" w:cs="Times New Roman"/>
                <w:kern w:val="0"/>
                <w:szCs w:val="20"/>
              </w:rPr>
              <w:t>0.660</w:t>
            </w:r>
          </w:p>
        </w:tc>
      </w:tr>
      <w:tr w14:paraId="0CD579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74FDEEB">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27AD51">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0330F55D">
            <w:pPr>
              <w:pStyle w:val="445"/>
              <w:rPr>
                <w:rFonts w:cs="Times New Roman"/>
                <w:kern w:val="0"/>
                <w:szCs w:val="20"/>
              </w:rPr>
            </w:pPr>
            <w:r>
              <w:rPr>
                <w:rFonts w:cs="Times New Roman"/>
                <w:kern w:val="0"/>
                <w:szCs w:val="20"/>
              </w:rPr>
              <w:t>TP</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0841AADC">
            <w:pPr>
              <w:pStyle w:val="445"/>
              <w:rPr>
                <w:rFonts w:cs="Times New Roman"/>
                <w:kern w:val="0"/>
                <w:szCs w:val="20"/>
              </w:rPr>
            </w:pPr>
            <w:r>
              <w:rPr>
                <w:rFonts w:hint="eastAsia" w:cs="Times New Roman"/>
                <w:kern w:val="0"/>
                <w:szCs w:val="20"/>
              </w:rPr>
              <w:t>0.002</w:t>
            </w:r>
          </w:p>
        </w:tc>
        <w:tc>
          <w:tcPr>
            <w:tcW w:w="1401" w:type="pct"/>
            <w:gridSpan w:val="4"/>
            <w:tcBorders>
              <w:top w:val="single" w:color="auto" w:sz="4" w:space="0"/>
              <w:left w:val="single" w:color="auto" w:sz="4" w:space="0"/>
              <w:bottom w:val="single" w:color="auto" w:sz="4" w:space="0"/>
              <w:right w:val="nil"/>
            </w:tcBorders>
            <w:noWrap/>
            <w:vAlign w:val="center"/>
          </w:tcPr>
          <w:p w14:paraId="5A4464A2">
            <w:pPr>
              <w:pStyle w:val="445"/>
              <w:rPr>
                <w:rFonts w:cs="Times New Roman"/>
                <w:kern w:val="0"/>
                <w:szCs w:val="20"/>
              </w:rPr>
            </w:pPr>
            <w:r>
              <w:rPr>
                <w:rFonts w:hint="eastAsia" w:cs="Times New Roman"/>
                <w:kern w:val="0"/>
                <w:szCs w:val="20"/>
              </w:rPr>
              <w:t>0.014</w:t>
            </w:r>
          </w:p>
        </w:tc>
      </w:tr>
      <w:tr w14:paraId="491206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525CDAE">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265078EF">
            <w:pPr>
              <w:pStyle w:val="445"/>
              <w:rPr>
                <w:rFonts w:cs="Times New Roman"/>
                <w:kern w:val="0"/>
                <w:szCs w:val="20"/>
              </w:rPr>
            </w:pPr>
            <w:r>
              <w:rPr>
                <w:rFonts w:hint="eastAsia" w:cs="Times New Roman"/>
                <w:kern w:val="0"/>
                <w:szCs w:val="20"/>
              </w:rPr>
              <w:t>替代原排放情况</w:t>
            </w:r>
          </w:p>
        </w:tc>
        <w:tc>
          <w:tcPr>
            <w:tcW w:w="432" w:type="pct"/>
            <w:tcBorders>
              <w:top w:val="single" w:color="auto" w:sz="4" w:space="0"/>
              <w:left w:val="single" w:color="auto" w:sz="4" w:space="0"/>
              <w:bottom w:val="single" w:color="auto" w:sz="4" w:space="0"/>
              <w:right w:val="single" w:color="auto" w:sz="4" w:space="0"/>
            </w:tcBorders>
            <w:noWrap/>
            <w:vAlign w:val="center"/>
          </w:tcPr>
          <w:p w14:paraId="783C31CD">
            <w:pPr>
              <w:pStyle w:val="445"/>
              <w:rPr>
                <w:rFonts w:cs="Times New Roman"/>
                <w:kern w:val="0"/>
                <w:szCs w:val="20"/>
              </w:rPr>
            </w:pPr>
            <w:r>
              <w:rPr>
                <w:rFonts w:hint="eastAsia" w:cs="Times New Roman"/>
                <w:kern w:val="0"/>
                <w:szCs w:val="20"/>
              </w:rPr>
              <w:t>污染源名称</w:t>
            </w:r>
          </w:p>
        </w:tc>
        <w:tc>
          <w:tcPr>
            <w:tcW w:w="877" w:type="pct"/>
            <w:gridSpan w:val="3"/>
            <w:tcBorders>
              <w:top w:val="single" w:color="auto" w:sz="4" w:space="0"/>
              <w:left w:val="single" w:color="auto" w:sz="4" w:space="0"/>
              <w:bottom w:val="single" w:color="auto" w:sz="4" w:space="0"/>
              <w:right w:val="single" w:color="auto" w:sz="4" w:space="0"/>
            </w:tcBorders>
            <w:noWrap/>
            <w:vAlign w:val="center"/>
          </w:tcPr>
          <w:p w14:paraId="384F8287">
            <w:pPr>
              <w:pStyle w:val="445"/>
              <w:rPr>
                <w:rFonts w:cs="Times New Roman"/>
                <w:kern w:val="0"/>
                <w:szCs w:val="20"/>
              </w:rPr>
            </w:pPr>
            <w:r>
              <w:rPr>
                <w:rFonts w:hint="eastAsia" w:cs="Times New Roman"/>
                <w:kern w:val="0"/>
                <w:szCs w:val="20"/>
              </w:rPr>
              <w:t>排污许可证编号</w:t>
            </w:r>
          </w:p>
        </w:tc>
        <w:tc>
          <w:tcPr>
            <w:tcW w:w="679" w:type="pct"/>
            <w:gridSpan w:val="2"/>
            <w:tcBorders>
              <w:top w:val="single" w:color="auto" w:sz="4" w:space="0"/>
              <w:left w:val="single" w:color="auto" w:sz="4" w:space="0"/>
              <w:bottom w:val="single" w:color="auto" w:sz="4" w:space="0"/>
              <w:right w:val="single" w:color="auto" w:sz="4" w:space="0"/>
            </w:tcBorders>
            <w:noWrap/>
            <w:vAlign w:val="center"/>
          </w:tcPr>
          <w:p w14:paraId="5D4F5506">
            <w:pPr>
              <w:pStyle w:val="445"/>
              <w:rPr>
                <w:rFonts w:cs="Times New Roman"/>
                <w:kern w:val="0"/>
                <w:szCs w:val="20"/>
              </w:rPr>
            </w:pPr>
            <w:r>
              <w:rPr>
                <w:rFonts w:hint="eastAsia" w:cs="Times New Roman"/>
                <w:kern w:val="0"/>
                <w:szCs w:val="20"/>
              </w:rPr>
              <w:t>污染物名称</w:t>
            </w:r>
          </w:p>
        </w:tc>
        <w:tc>
          <w:tcPr>
            <w:tcW w:w="998" w:type="pct"/>
            <w:gridSpan w:val="3"/>
            <w:tcBorders>
              <w:top w:val="single" w:color="auto" w:sz="4" w:space="0"/>
              <w:left w:val="single" w:color="auto" w:sz="4" w:space="0"/>
              <w:bottom w:val="single" w:color="auto" w:sz="4" w:space="0"/>
              <w:right w:val="single" w:color="auto" w:sz="4" w:space="0"/>
            </w:tcBorders>
            <w:noWrap/>
            <w:vAlign w:val="center"/>
          </w:tcPr>
          <w:p w14:paraId="477DBB2B">
            <w:pPr>
              <w:pStyle w:val="445"/>
              <w:rPr>
                <w:rFonts w:cs="Times New Roman"/>
                <w:kern w:val="0"/>
                <w:szCs w:val="20"/>
              </w:rPr>
            </w:pPr>
            <w:r>
              <w:rPr>
                <w:rFonts w:hint="eastAsia" w:cs="Times New Roman"/>
                <w:kern w:val="0"/>
                <w:szCs w:val="20"/>
              </w:rPr>
              <w:t>排放量/（t/a）</w:t>
            </w:r>
          </w:p>
        </w:tc>
        <w:tc>
          <w:tcPr>
            <w:tcW w:w="734" w:type="pct"/>
            <w:gridSpan w:val="2"/>
            <w:tcBorders>
              <w:top w:val="single" w:color="auto" w:sz="4" w:space="0"/>
              <w:left w:val="single" w:color="auto" w:sz="4" w:space="0"/>
              <w:bottom w:val="single" w:color="auto" w:sz="4" w:space="0"/>
              <w:right w:val="nil"/>
            </w:tcBorders>
            <w:noWrap/>
            <w:vAlign w:val="center"/>
          </w:tcPr>
          <w:p w14:paraId="3D82415B">
            <w:pPr>
              <w:pStyle w:val="445"/>
              <w:rPr>
                <w:rFonts w:cs="Times New Roman"/>
                <w:kern w:val="0"/>
                <w:szCs w:val="20"/>
              </w:rPr>
            </w:pPr>
            <w:r>
              <w:rPr>
                <w:rFonts w:hint="eastAsia" w:cs="Times New Roman"/>
                <w:kern w:val="0"/>
                <w:szCs w:val="20"/>
              </w:rPr>
              <w:t>排放浓度/（mg/L）</w:t>
            </w:r>
          </w:p>
        </w:tc>
      </w:tr>
      <w:tr w14:paraId="0DFA6C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3959F76">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136290">
            <w:pPr>
              <w:pStyle w:val="445"/>
              <w:rPr>
                <w:rFonts w:cs="Times New Roman"/>
                <w:kern w:val="0"/>
                <w:szCs w:val="18"/>
              </w:rPr>
            </w:pPr>
          </w:p>
        </w:tc>
        <w:tc>
          <w:tcPr>
            <w:tcW w:w="432" w:type="pct"/>
            <w:tcBorders>
              <w:top w:val="single" w:color="auto" w:sz="4" w:space="0"/>
              <w:left w:val="single" w:color="auto" w:sz="4" w:space="0"/>
              <w:bottom w:val="single" w:color="auto" w:sz="4" w:space="0"/>
              <w:right w:val="single" w:color="auto" w:sz="4" w:space="0"/>
            </w:tcBorders>
            <w:noWrap/>
            <w:vAlign w:val="center"/>
          </w:tcPr>
          <w:p w14:paraId="38B8E8FB">
            <w:pPr>
              <w:pStyle w:val="445"/>
              <w:rPr>
                <w:rFonts w:cs="Times New Roman"/>
                <w:kern w:val="0"/>
                <w:szCs w:val="20"/>
              </w:rPr>
            </w:pPr>
            <w:r>
              <w:rPr>
                <w:rFonts w:hint="eastAsia" w:cs="Times New Roman"/>
                <w:kern w:val="0"/>
                <w:szCs w:val="20"/>
              </w:rPr>
              <w:t>（）</w:t>
            </w:r>
          </w:p>
        </w:tc>
        <w:tc>
          <w:tcPr>
            <w:tcW w:w="877" w:type="pct"/>
            <w:gridSpan w:val="3"/>
            <w:tcBorders>
              <w:top w:val="single" w:color="auto" w:sz="4" w:space="0"/>
              <w:left w:val="single" w:color="auto" w:sz="4" w:space="0"/>
              <w:bottom w:val="single" w:color="auto" w:sz="4" w:space="0"/>
              <w:right w:val="single" w:color="auto" w:sz="4" w:space="0"/>
            </w:tcBorders>
            <w:noWrap/>
            <w:vAlign w:val="center"/>
          </w:tcPr>
          <w:p w14:paraId="28CEC7A4">
            <w:pPr>
              <w:pStyle w:val="445"/>
              <w:rPr>
                <w:rFonts w:cs="Times New Roman"/>
                <w:kern w:val="0"/>
                <w:szCs w:val="20"/>
              </w:rPr>
            </w:pPr>
            <w:r>
              <w:rPr>
                <w:rFonts w:hint="eastAsia" w:cs="Times New Roman"/>
                <w:kern w:val="0"/>
                <w:szCs w:val="20"/>
              </w:rPr>
              <w:t>（）</w:t>
            </w:r>
          </w:p>
        </w:tc>
        <w:tc>
          <w:tcPr>
            <w:tcW w:w="679" w:type="pct"/>
            <w:gridSpan w:val="2"/>
            <w:tcBorders>
              <w:top w:val="single" w:color="auto" w:sz="4" w:space="0"/>
              <w:left w:val="single" w:color="auto" w:sz="4" w:space="0"/>
              <w:bottom w:val="single" w:color="auto" w:sz="4" w:space="0"/>
              <w:right w:val="single" w:color="auto" w:sz="4" w:space="0"/>
            </w:tcBorders>
            <w:noWrap/>
            <w:vAlign w:val="center"/>
          </w:tcPr>
          <w:p w14:paraId="1FCDABFB">
            <w:pPr>
              <w:pStyle w:val="445"/>
              <w:rPr>
                <w:rFonts w:cs="Times New Roman"/>
                <w:kern w:val="0"/>
                <w:szCs w:val="20"/>
              </w:rPr>
            </w:pPr>
            <w:r>
              <w:rPr>
                <w:rFonts w:hint="eastAsia" w:cs="Times New Roman"/>
                <w:kern w:val="0"/>
                <w:szCs w:val="20"/>
              </w:rPr>
              <w:t>（）</w:t>
            </w:r>
          </w:p>
        </w:tc>
        <w:tc>
          <w:tcPr>
            <w:tcW w:w="998" w:type="pct"/>
            <w:gridSpan w:val="3"/>
            <w:tcBorders>
              <w:top w:val="single" w:color="auto" w:sz="4" w:space="0"/>
              <w:left w:val="single" w:color="auto" w:sz="4" w:space="0"/>
              <w:bottom w:val="single" w:color="auto" w:sz="4" w:space="0"/>
              <w:right w:val="single" w:color="auto" w:sz="4" w:space="0"/>
            </w:tcBorders>
            <w:noWrap/>
            <w:vAlign w:val="center"/>
          </w:tcPr>
          <w:p w14:paraId="304B8803">
            <w:pPr>
              <w:pStyle w:val="445"/>
              <w:rPr>
                <w:rFonts w:cs="Times New Roman"/>
                <w:kern w:val="0"/>
                <w:szCs w:val="20"/>
              </w:rPr>
            </w:pPr>
            <w:r>
              <w:rPr>
                <w:rFonts w:hint="eastAsia" w:cs="Times New Roman"/>
                <w:kern w:val="0"/>
                <w:szCs w:val="20"/>
              </w:rPr>
              <w:t>（）</w:t>
            </w:r>
          </w:p>
        </w:tc>
        <w:tc>
          <w:tcPr>
            <w:tcW w:w="734" w:type="pct"/>
            <w:gridSpan w:val="2"/>
            <w:tcBorders>
              <w:top w:val="single" w:color="auto" w:sz="4" w:space="0"/>
              <w:left w:val="single" w:color="auto" w:sz="4" w:space="0"/>
              <w:bottom w:val="single" w:color="auto" w:sz="4" w:space="0"/>
              <w:right w:val="nil"/>
            </w:tcBorders>
            <w:noWrap/>
            <w:vAlign w:val="center"/>
          </w:tcPr>
          <w:p w14:paraId="5CADAE09">
            <w:pPr>
              <w:pStyle w:val="445"/>
              <w:rPr>
                <w:rFonts w:cs="Times New Roman"/>
                <w:kern w:val="0"/>
                <w:szCs w:val="20"/>
              </w:rPr>
            </w:pPr>
            <w:r>
              <w:rPr>
                <w:rFonts w:hint="eastAsia" w:cs="Times New Roman"/>
                <w:kern w:val="0"/>
                <w:szCs w:val="20"/>
              </w:rPr>
              <w:t>（）</w:t>
            </w:r>
          </w:p>
        </w:tc>
      </w:tr>
      <w:tr w14:paraId="47FEE5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B0F43CC">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73A8E197">
            <w:pPr>
              <w:pStyle w:val="445"/>
              <w:rPr>
                <w:rFonts w:cs="Times New Roman"/>
                <w:kern w:val="0"/>
                <w:szCs w:val="20"/>
              </w:rPr>
            </w:pPr>
            <w:r>
              <w:rPr>
                <w:rFonts w:hint="eastAsia" w:cs="Times New Roman"/>
                <w:kern w:val="0"/>
                <w:szCs w:val="20"/>
              </w:rPr>
              <w:t>生态流量确定</w:t>
            </w:r>
          </w:p>
        </w:tc>
        <w:tc>
          <w:tcPr>
            <w:tcW w:w="3720" w:type="pct"/>
            <w:gridSpan w:val="11"/>
            <w:tcBorders>
              <w:top w:val="single" w:color="auto" w:sz="4" w:space="0"/>
              <w:left w:val="single" w:color="auto" w:sz="4" w:space="0"/>
              <w:bottom w:val="single" w:color="auto" w:sz="4" w:space="0"/>
              <w:right w:val="nil"/>
            </w:tcBorders>
            <w:noWrap/>
            <w:vAlign w:val="center"/>
          </w:tcPr>
          <w:p w14:paraId="30E3610E">
            <w:pPr>
              <w:pStyle w:val="445"/>
              <w:rPr>
                <w:rFonts w:cs="Times New Roman"/>
                <w:kern w:val="0"/>
                <w:szCs w:val="20"/>
              </w:rPr>
            </w:pPr>
            <w:r>
              <w:rPr>
                <w:rFonts w:cs="Times New Roman"/>
                <w:kern w:val="0"/>
                <w:szCs w:val="20"/>
              </w:rPr>
              <w:t>生态流量：一般水期（ ）m</w:t>
            </w:r>
            <w:r>
              <w:rPr>
                <w:rFonts w:cs="Times New Roman"/>
                <w:kern w:val="0"/>
                <w:szCs w:val="20"/>
                <w:vertAlign w:val="superscript"/>
              </w:rPr>
              <w:t>3</w:t>
            </w:r>
            <w:r>
              <w:rPr>
                <w:rFonts w:cs="Times New Roman"/>
                <w:kern w:val="0"/>
                <w:szCs w:val="20"/>
              </w:rPr>
              <w:t>/s；鱼类繁殖期（ ）m</w:t>
            </w:r>
            <w:r>
              <w:rPr>
                <w:rFonts w:cs="Times New Roman"/>
                <w:kern w:val="0"/>
                <w:szCs w:val="20"/>
                <w:vertAlign w:val="superscript"/>
              </w:rPr>
              <w:t>3</w:t>
            </w:r>
            <w:r>
              <w:rPr>
                <w:rFonts w:cs="Times New Roman"/>
                <w:kern w:val="0"/>
                <w:szCs w:val="20"/>
              </w:rPr>
              <w:t>/s；其他（ ）m</w:t>
            </w:r>
            <w:r>
              <w:rPr>
                <w:rFonts w:cs="Times New Roman"/>
                <w:kern w:val="0"/>
                <w:szCs w:val="20"/>
                <w:vertAlign w:val="superscript"/>
              </w:rPr>
              <w:t>3</w:t>
            </w:r>
            <w:r>
              <w:rPr>
                <w:rFonts w:cs="Times New Roman"/>
                <w:kern w:val="0"/>
                <w:szCs w:val="20"/>
              </w:rPr>
              <w:t>/s</w:t>
            </w:r>
          </w:p>
          <w:p w14:paraId="1E0F3206">
            <w:pPr>
              <w:pStyle w:val="445"/>
              <w:rPr>
                <w:rFonts w:cs="Times New Roman"/>
                <w:kern w:val="0"/>
                <w:szCs w:val="20"/>
              </w:rPr>
            </w:pPr>
            <w:r>
              <w:rPr>
                <w:rFonts w:cs="Times New Roman"/>
                <w:kern w:val="0"/>
                <w:szCs w:val="20"/>
              </w:rPr>
              <w:t>生态水位：一般水期（ ）m；鱼类繁殖期（ ）m；其他（ ）m</w:t>
            </w:r>
          </w:p>
        </w:tc>
      </w:tr>
      <w:tr w14:paraId="03E2B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restart"/>
            <w:tcBorders>
              <w:top w:val="single" w:color="auto" w:sz="4" w:space="0"/>
              <w:left w:val="nil"/>
              <w:bottom w:val="single" w:color="auto" w:sz="4" w:space="0"/>
              <w:right w:val="single" w:color="auto" w:sz="4" w:space="0"/>
            </w:tcBorders>
            <w:noWrap/>
            <w:vAlign w:val="center"/>
          </w:tcPr>
          <w:p w14:paraId="18A9BBE6">
            <w:pPr>
              <w:pStyle w:val="445"/>
              <w:rPr>
                <w:rFonts w:cs="Times New Roman"/>
                <w:kern w:val="0"/>
                <w:szCs w:val="20"/>
              </w:rPr>
            </w:pPr>
            <w:r>
              <w:rPr>
                <w:rFonts w:hint="eastAsia" w:cs="Times New Roman"/>
                <w:kern w:val="0"/>
                <w:szCs w:val="20"/>
              </w:rPr>
              <w:t>防治措施</w:t>
            </w:r>
          </w:p>
        </w:tc>
        <w:tc>
          <w:tcPr>
            <w:tcW w:w="1015" w:type="pct"/>
            <w:tcBorders>
              <w:top w:val="single" w:color="auto" w:sz="4" w:space="0"/>
              <w:left w:val="single" w:color="auto" w:sz="4" w:space="0"/>
              <w:bottom w:val="single" w:color="auto" w:sz="4" w:space="0"/>
              <w:right w:val="single" w:color="auto" w:sz="4" w:space="0"/>
            </w:tcBorders>
            <w:noWrap/>
            <w:vAlign w:val="center"/>
          </w:tcPr>
          <w:p w14:paraId="429A18E8">
            <w:pPr>
              <w:pStyle w:val="445"/>
              <w:rPr>
                <w:rFonts w:cs="Times New Roman"/>
                <w:kern w:val="0"/>
                <w:szCs w:val="20"/>
              </w:rPr>
            </w:pPr>
            <w:r>
              <w:rPr>
                <w:rFonts w:hint="eastAsia" w:cs="Times New Roman"/>
                <w:kern w:val="0"/>
                <w:szCs w:val="20"/>
              </w:rPr>
              <w:t>环保措施</w:t>
            </w:r>
          </w:p>
        </w:tc>
        <w:tc>
          <w:tcPr>
            <w:tcW w:w="3720" w:type="pct"/>
            <w:gridSpan w:val="11"/>
            <w:tcBorders>
              <w:top w:val="single" w:color="auto" w:sz="4" w:space="0"/>
              <w:left w:val="single" w:color="auto" w:sz="4" w:space="0"/>
              <w:bottom w:val="single" w:color="auto" w:sz="4" w:space="0"/>
              <w:right w:val="nil"/>
            </w:tcBorders>
            <w:noWrap/>
            <w:vAlign w:val="center"/>
          </w:tcPr>
          <w:p w14:paraId="2CBA5885">
            <w:pPr>
              <w:pStyle w:val="445"/>
              <w:rPr>
                <w:rFonts w:cs="Times New Roman"/>
                <w:kern w:val="0"/>
                <w:szCs w:val="20"/>
              </w:rPr>
            </w:pPr>
            <w:r>
              <w:rPr>
                <w:rFonts w:cs="Times New Roman"/>
                <w:kern w:val="0"/>
                <w:szCs w:val="20"/>
              </w:rPr>
              <w:t>污水处理设施</w:t>
            </w:r>
            <w:r>
              <w:rPr>
                <w:rFonts w:ascii="Wingdings" w:hAnsi="Wingdings" w:cs="Times New Roman"/>
                <w:kern w:val="0"/>
                <w:szCs w:val="20"/>
              </w:rPr>
              <w:t></w:t>
            </w:r>
            <w:r>
              <w:rPr>
                <w:rFonts w:cs="Times New Roman"/>
                <w:kern w:val="0"/>
                <w:szCs w:val="20"/>
              </w:rPr>
              <w:t>；水文减缓设施</w:t>
            </w:r>
            <w:r>
              <w:rPr>
                <w:rFonts w:ascii="Wingdings" w:hAnsi="Wingdings" w:cs="Times New Roman"/>
                <w:kern w:val="0"/>
                <w:szCs w:val="20"/>
              </w:rPr>
              <w:t></w:t>
            </w:r>
            <w:r>
              <w:rPr>
                <w:rFonts w:cs="Times New Roman"/>
                <w:kern w:val="0"/>
                <w:szCs w:val="20"/>
              </w:rPr>
              <w:t>；生态流量保障设施</w:t>
            </w:r>
            <w:r>
              <w:rPr>
                <w:rFonts w:ascii="Wingdings" w:hAnsi="Wingdings" w:cs="Times New Roman"/>
                <w:kern w:val="0"/>
                <w:szCs w:val="20"/>
              </w:rPr>
              <w:t></w:t>
            </w:r>
            <w:r>
              <w:rPr>
                <w:rFonts w:cs="Times New Roman"/>
                <w:kern w:val="0"/>
                <w:szCs w:val="20"/>
              </w:rPr>
              <w:t>；区域削减</w:t>
            </w:r>
            <w:r>
              <w:rPr>
                <w:rFonts w:ascii="Wingdings" w:hAnsi="Wingdings" w:cs="Times New Roman"/>
                <w:kern w:val="0"/>
                <w:szCs w:val="20"/>
              </w:rPr>
              <w:t></w:t>
            </w:r>
            <w:r>
              <w:rPr>
                <w:rFonts w:cs="Times New Roman"/>
                <w:kern w:val="0"/>
                <w:szCs w:val="20"/>
              </w:rPr>
              <w:t>；依托其他工程措施</w:t>
            </w:r>
            <w:r>
              <w:rPr>
                <w:rFonts w:ascii="Wingdings" w:hAnsi="Wingdings" w:cs="Times New Roman"/>
                <w:kern w:val="0"/>
                <w:szCs w:val="20"/>
              </w:rPr>
              <w:t></w:t>
            </w:r>
            <w:r>
              <w:rPr>
                <w:rFonts w:cs="Times New Roman"/>
                <w:kern w:val="0"/>
                <w:szCs w:val="20"/>
              </w:rPr>
              <w:t>；其他</w:t>
            </w:r>
            <w:r>
              <w:rPr>
                <w:rFonts w:ascii="Wingdings" w:hAnsi="Wingdings" w:cs="Times New Roman"/>
                <w:kern w:val="0"/>
                <w:szCs w:val="20"/>
              </w:rPr>
              <w:t></w:t>
            </w:r>
          </w:p>
        </w:tc>
      </w:tr>
      <w:tr w14:paraId="6E426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AA54AB7">
            <w:pPr>
              <w:pStyle w:val="445"/>
              <w:rPr>
                <w:rFonts w:cs="Times New Roman"/>
                <w:kern w:val="0"/>
                <w:szCs w:val="18"/>
              </w:rPr>
            </w:pPr>
          </w:p>
        </w:tc>
        <w:tc>
          <w:tcPr>
            <w:tcW w:w="1015" w:type="pct"/>
            <w:vMerge w:val="restart"/>
            <w:tcBorders>
              <w:top w:val="single" w:color="auto" w:sz="4" w:space="0"/>
              <w:left w:val="single" w:color="auto" w:sz="4" w:space="0"/>
              <w:bottom w:val="single" w:color="auto" w:sz="4" w:space="0"/>
              <w:right w:val="single" w:color="auto" w:sz="4" w:space="0"/>
            </w:tcBorders>
            <w:noWrap/>
            <w:vAlign w:val="center"/>
          </w:tcPr>
          <w:p w14:paraId="223028B2">
            <w:pPr>
              <w:pStyle w:val="445"/>
              <w:rPr>
                <w:rFonts w:cs="Times New Roman"/>
                <w:kern w:val="0"/>
                <w:szCs w:val="20"/>
              </w:rPr>
            </w:pPr>
            <w:r>
              <w:rPr>
                <w:rFonts w:hint="eastAsia" w:cs="Times New Roman"/>
                <w:kern w:val="0"/>
                <w:szCs w:val="20"/>
              </w:rPr>
              <w:t>监测计划</w:t>
            </w: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2C9602D1">
            <w:pPr>
              <w:pStyle w:val="445"/>
              <w:rPr>
                <w:rFonts w:cs="Times New Roman"/>
                <w:kern w:val="0"/>
                <w:szCs w:val="20"/>
              </w:rPr>
            </w:pP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11F6D0B7">
            <w:pPr>
              <w:pStyle w:val="445"/>
              <w:rPr>
                <w:rFonts w:cs="Times New Roman"/>
                <w:kern w:val="0"/>
                <w:szCs w:val="20"/>
              </w:rPr>
            </w:pPr>
            <w:r>
              <w:rPr>
                <w:rFonts w:hint="eastAsia" w:cs="Times New Roman"/>
                <w:kern w:val="0"/>
                <w:szCs w:val="20"/>
              </w:rPr>
              <w:t>环境质量</w:t>
            </w:r>
          </w:p>
        </w:tc>
        <w:tc>
          <w:tcPr>
            <w:tcW w:w="1401" w:type="pct"/>
            <w:gridSpan w:val="4"/>
            <w:tcBorders>
              <w:top w:val="single" w:color="auto" w:sz="4" w:space="0"/>
              <w:left w:val="single" w:color="auto" w:sz="4" w:space="0"/>
              <w:bottom w:val="single" w:color="auto" w:sz="4" w:space="0"/>
              <w:right w:val="nil"/>
            </w:tcBorders>
            <w:noWrap/>
            <w:vAlign w:val="center"/>
          </w:tcPr>
          <w:p w14:paraId="44B1A637">
            <w:pPr>
              <w:pStyle w:val="445"/>
              <w:rPr>
                <w:rFonts w:cs="Times New Roman"/>
                <w:kern w:val="0"/>
                <w:szCs w:val="20"/>
              </w:rPr>
            </w:pPr>
            <w:r>
              <w:rPr>
                <w:rFonts w:hint="eastAsia" w:cs="Times New Roman"/>
                <w:kern w:val="0"/>
                <w:szCs w:val="20"/>
              </w:rPr>
              <w:t>污染源</w:t>
            </w:r>
          </w:p>
        </w:tc>
      </w:tr>
      <w:tr w14:paraId="71FB3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548CF74">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4B591A">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46A60A9E">
            <w:pPr>
              <w:pStyle w:val="445"/>
              <w:rPr>
                <w:rFonts w:cs="Times New Roman"/>
                <w:kern w:val="0"/>
                <w:szCs w:val="20"/>
              </w:rPr>
            </w:pPr>
            <w:r>
              <w:rPr>
                <w:rFonts w:hint="eastAsia" w:cs="Times New Roman"/>
                <w:kern w:val="0"/>
                <w:szCs w:val="20"/>
              </w:rPr>
              <w:t>监测方式</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6AF236DF">
            <w:pPr>
              <w:pStyle w:val="445"/>
              <w:rPr>
                <w:rFonts w:cs="Times New Roman"/>
                <w:kern w:val="0"/>
                <w:szCs w:val="20"/>
              </w:rPr>
            </w:pPr>
            <w:r>
              <w:rPr>
                <w:rFonts w:hint="eastAsia" w:cs="Times New Roman"/>
                <w:kern w:val="0"/>
                <w:szCs w:val="20"/>
              </w:rPr>
              <w:t>手动</w:t>
            </w:r>
            <w:r>
              <w:rPr>
                <w:rFonts w:ascii="Wingdings" w:hAnsi="Wingdings" w:cs="Times New Roman"/>
                <w:kern w:val="0"/>
                <w:szCs w:val="20"/>
              </w:rPr>
              <w:t></w:t>
            </w:r>
            <w:r>
              <w:rPr>
                <w:rFonts w:hint="eastAsia" w:cs="Times New Roman"/>
                <w:kern w:val="0"/>
                <w:szCs w:val="20"/>
              </w:rPr>
              <w:t>；自动</w:t>
            </w:r>
            <w:r>
              <w:rPr>
                <w:rFonts w:ascii="Wingdings" w:hAnsi="Wingdings" w:cs="Times New Roman"/>
                <w:kern w:val="0"/>
                <w:szCs w:val="20"/>
              </w:rPr>
              <w:t></w:t>
            </w:r>
            <w:r>
              <w:rPr>
                <w:rFonts w:hint="eastAsia" w:cs="Times New Roman"/>
                <w:kern w:val="0"/>
                <w:szCs w:val="20"/>
              </w:rPr>
              <w:t>；无监测</w:t>
            </w:r>
            <w:r>
              <w:rPr>
                <w:rFonts w:ascii="Wingdings" w:hAnsi="Wingdings" w:cs="Times New Roman"/>
                <w:kern w:val="0"/>
                <w:szCs w:val="20"/>
              </w:rPr>
              <w:t></w:t>
            </w:r>
          </w:p>
        </w:tc>
        <w:tc>
          <w:tcPr>
            <w:tcW w:w="1401" w:type="pct"/>
            <w:gridSpan w:val="4"/>
            <w:tcBorders>
              <w:top w:val="single" w:color="auto" w:sz="4" w:space="0"/>
              <w:left w:val="single" w:color="auto" w:sz="4" w:space="0"/>
              <w:bottom w:val="single" w:color="auto" w:sz="4" w:space="0"/>
              <w:right w:val="nil"/>
            </w:tcBorders>
            <w:noWrap/>
            <w:vAlign w:val="center"/>
          </w:tcPr>
          <w:p w14:paraId="6930034B">
            <w:pPr>
              <w:pStyle w:val="445"/>
              <w:rPr>
                <w:rFonts w:cs="Times New Roman"/>
                <w:kern w:val="0"/>
                <w:szCs w:val="20"/>
              </w:rPr>
            </w:pPr>
            <w:r>
              <w:rPr>
                <w:rFonts w:hint="eastAsia" w:cs="Times New Roman"/>
                <w:kern w:val="0"/>
                <w:szCs w:val="20"/>
              </w:rPr>
              <w:t>手动</w:t>
            </w:r>
            <w:r>
              <w:rPr>
                <w:rFonts w:ascii="Wingdings" w:hAnsi="Wingdings" w:cs="Times New Roman"/>
                <w:kern w:val="0"/>
                <w:szCs w:val="20"/>
              </w:rPr>
              <w:t></w:t>
            </w:r>
            <w:r>
              <w:rPr>
                <w:rFonts w:hint="eastAsia" w:cs="Times New Roman"/>
                <w:kern w:val="0"/>
                <w:szCs w:val="20"/>
              </w:rPr>
              <w:t>；自动</w:t>
            </w:r>
            <w:r>
              <w:rPr>
                <w:rFonts w:ascii="Wingdings" w:hAnsi="Wingdings" w:cs="Times New Roman"/>
                <w:kern w:val="0"/>
                <w:szCs w:val="20"/>
              </w:rPr>
              <w:t></w:t>
            </w:r>
            <w:r>
              <w:rPr>
                <w:rFonts w:hint="eastAsia" w:cs="Times New Roman"/>
                <w:kern w:val="0"/>
                <w:szCs w:val="20"/>
              </w:rPr>
              <w:t>无监测</w:t>
            </w:r>
            <w:r>
              <w:rPr>
                <w:rFonts w:ascii="Wingdings" w:hAnsi="Wingdings" w:cs="Times New Roman"/>
                <w:kern w:val="0"/>
                <w:szCs w:val="20"/>
              </w:rPr>
              <w:t></w:t>
            </w:r>
          </w:p>
        </w:tc>
      </w:tr>
      <w:tr w14:paraId="1BA439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EA7B6B2">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18A1CF">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33043F31">
            <w:pPr>
              <w:pStyle w:val="445"/>
              <w:rPr>
                <w:rFonts w:cs="Times New Roman"/>
                <w:kern w:val="0"/>
                <w:szCs w:val="20"/>
              </w:rPr>
            </w:pPr>
            <w:r>
              <w:rPr>
                <w:rFonts w:hint="eastAsia" w:cs="Times New Roman"/>
                <w:kern w:val="0"/>
                <w:szCs w:val="20"/>
              </w:rPr>
              <w:t>监测点位</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44F90F18">
            <w:pPr>
              <w:pStyle w:val="445"/>
              <w:rPr>
                <w:rFonts w:cs="Times New Roman"/>
                <w:kern w:val="0"/>
                <w:szCs w:val="20"/>
              </w:rPr>
            </w:pPr>
            <w:r>
              <w:rPr>
                <w:rFonts w:hint="eastAsia" w:cs="Times New Roman"/>
                <w:kern w:val="0"/>
                <w:szCs w:val="20"/>
              </w:rPr>
              <w:t>（）</w:t>
            </w:r>
          </w:p>
        </w:tc>
        <w:tc>
          <w:tcPr>
            <w:tcW w:w="1401" w:type="pct"/>
            <w:gridSpan w:val="4"/>
            <w:tcBorders>
              <w:top w:val="single" w:color="auto" w:sz="4" w:space="0"/>
              <w:left w:val="single" w:color="auto" w:sz="4" w:space="0"/>
              <w:bottom w:val="single" w:color="auto" w:sz="4" w:space="0"/>
              <w:right w:val="nil"/>
            </w:tcBorders>
            <w:noWrap/>
            <w:vAlign w:val="center"/>
          </w:tcPr>
          <w:p w14:paraId="21C4F2D2">
            <w:pPr>
              <w:pStyle w:val="445"/>
              <w:rPr>
                <w:rFonts w:cs="Times New Roman"/>
                <w:kern w:val="0"/>
                <w:szCs w:val="20"/>
              </w:rPr>
            </w:pPr>
            <w:r>
              <w:rPr>
                <w:rFonts w:hint="eastAsia" w:cs="Times New Roman"/>
                <w:kern w:val="0"/>
                <w:szCs w:val="20"/>
              </w:rPr>
              <w:t>（总排口）</w:t>
            </w:r>
          </w:p>
        </w:tc>
      </w:tr>
      <w:tr w14:paraId="79B72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64793CD">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FDE349">
            <w:pPr>
              <w:pStyle w:val="445"/>
              <w:rPr>
                <w:rFonts w:cs="Times New Roman"/>
                <w:kern w:val="0"/>
                <w:szCs w:val="18"/>
              </w:rPr>
            </w:pPr>
          </w:p>
        </w:tc>
        <w:tc>
          <w:tcPr>
            <w:tcW w:w="1018" w:type="pct"/>
            <w:gridSpan w:val="3"/>
            <w:tcBorders>
              <w:top w:val="single" w:color="auto" w:sz="4" w:space="0"/>
              <w:left w:val="single" w:color="auto" w:sz="4" w:space="0"/>
              <w:bottom w:val="single" w:color="auto" w:sz="4" w:space="0"/>
              <w:right w:val="single" w:color="auto" w:sz="4" w:space="0"/>
            </w:tcBorders>
            <w:noWrap/>
            <w:vAlign w:val="center"/>
          </w:tcPr>
          <w:p w14:paraId="610529C1">
            <w:pPr>
              <w:pStyle w:val="445"/>
              <w:rPr>
                <w:rFonts w:cs="Times New Roman"/>
                <w:kern w:val="0"/>
                <w:szCs w:val="20"/>
              </w:rPr>
            </w:pPr>
            <w:r>
              <w:rPr>
                <w:rFonts w:hint="eastAsia" w:cs="Times New Roman"/>
                <w:kern w:val="0"/>
                <w:szCs w:val="20"/>
              </w:rPr>
              <w:t>监测因子</w:t>
            </w:r>
          </w:p>
        </w:tc>
        <w:tc>
          <w:tcPr>
            <w:tcW w:w="1301" w:type="pct"/>
            <w:gridSpan w:val="4"/>
            <w:tcBorders>
              <w:top w:val="single" w:color="auto" w:sz="4" w:space="0"/>
              <w:left w:val="single" w:color="auto" w:sz="4" w:space="0"/>
              <w:bottom w:val="single" w:color="auto" w:sz="4" w:space="0"/>
              <w:right w:val="single" w:color="auto" w:sz="4" w:space="0"/>
            </w:tcBorders>
            <w:noWrap/>
            <w:vAlign w:val="center"/>
          </w:tcPr>
          <w:p w14:paraId="1E1FC0D6">
            <w:pPr>
              <w:pStyle w:val="445"/>
              <w:rPr>
                <w:rFonts w:cs="Times New Roman"/>
                <w:kern w:val="0"/>
                <w:szCs w:val="20"/>
              </w:rPr>
            </w:pPr>
            <w:r>
              <w:rPr>
                <w:rFonts w:hint="eastAsia" w:cs="Times New Roman"/>
                <w:kern w:val="0"/>
                <w:szCs w:val="20"/>
              </w:rPr>
              <w:t>（）</w:t>
            </w:r>
          </w:p>
        </w:tc>
        <w:tc>
          <w:tcPr>
            <w:tcW w:w="1401" w:type="pct"/>
            <w:gridSpan w:val="4"/>
            <w:tcBorders>
              <w:top w:val="single" w:color="auto" w:sz="4" w:space="0"/>
              <w:left w:val="single" w:color="auto" w:sz="4" w:space="0"/>
              <w:bottom w:val="single" w:color="auto" w:sz="4" w:space="0"/>
              <w:right w:val="nil"/>
            </w:tcBorders>
            <w:noWrap/>
            <w:vAlign w:val="center"/>
          </w:tcPr>
          <w:p w14:paraId="4335958D">
            <w:pPr>
              <w:pStyle w:val="445"/>
              <w:rPr>
                <w:rFonts w:cs="Times New Roman"/>
                <w:kern w:val="0"/>
                <w:szCs w:val="20"/>
              </w:rPr>
            </w:pPr>
            <w:r>
              <w:rPr>
                <w:rFonts w:hint="eastAsia" w:cs="Times New Roman"/>
                <w:kern w:val="0"/>
                <w:szCs w:val="20"/>
              </w:rPr>
              <w:t>（</w:t>
            </w:r>
            <w:r>
              <w:rPr>
                <w:rFonts w:cs="Times New Roman"/>
                <w:kern w:val="0"/>
                <w:szCs w:val="20"/>
              </w:rPr>
              <w:t>pH、COD、</w:t>
            </w:r>
            <w:r>
              <w:rPr>
                <w:rFonts w:hint="eastAsia" w:cs="Times New Roman"/>
                <w:kern w:val="0"/>
                <w:szCs w:val="20"/>
              </w:rPr>
              <w:t>TP、</w:t>
            </w:r>
            <w:r>
              <w:rPr>
                <w:rFonts w:cs="Times New Roman"/>
                <w:kern w:val="0"/>
                <w:szCs w:val="20"/>
              </w:rPr>
              <w:t>SS、氨氮、BOD</w:t>
            </w:r>
            <w:r>
              <w:rPr>
                <w:rFonts w:cs="Times New Roman"/>
                <w:kern w:val="0"/>
                <w:szCs w:val="20"/>
                <w:vertAlign w:val="subscript"/>
              </w:rPr>
              <w:t>5</w:t>
            </w:r>
            <w:r>
              <w:rPr>
                <w:rFonts w:hint="eastAsia" w:cs="Times New Roman"/>
                <w:kern w:val="0"/>
                <w:szCs w:val="20"/>
              </w:rPr>
              <w:t>）</w:t>
            </w:r>
          </w:p>
        </w:tc>
      </w:tr>
      <w:tr w14:paraId="3D28E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2F2AA03">
            <w:pPr>
              <w:pStyle w:val="445"/>
              <w:rPr>
                <w:rFonts w:cs="Times New Roman"/>
                <w:kern w:val="0"/>
                <w:szCs w:val="18"/>
              </w:rPr>
            </w:pPr>
          </w:p>
        </w:tc>
        <w:tc>
          <w:tcPr>
            <w:tcW w:w="1015" w:type="pct"/>
            <w:tcBorders>
              <w:top w:val="single" w:color="auto" w:sz="4" w:space="0"/>
              <w:left w:val="single" w:color="auto" w:sz="4" w:space="0"/>
              <w:bottom w:val="single" w:color="auto" w:sz="4" w:space="0"/>
              <w:right w:val="single" w:color="auto" w:sz="4" w:space="0"/>
            </w:tcBorders>
            <w:noWrap/>
            <w:vAlign w:val="center"/>
          </w:tcPr>
          <w:p w14:paraId="3270E1F9">
            <w:pPr>
              <w:pStyle w:val="445"/>
              <w:rPr>
                <w:rFonts w:cs="Times New Roman"/>
                <w:kern w:val="0"/>
                <w:szCs w:val="20"/>
              </w:rPr>
            </w:pPr>
            <w:r>
              <w:rPr>
                <w:rFonts w:hint="eastAsia" w:cs="Times New Roman"/>
                <w:kern w:val="0"/>
                <w:szCs w:val="20"/>
              </w:rPr>
              <w:t>污染物排放清单</w:t>
            </w:r>
          </w:p>
        </w:tc>
        <w:tc>
          <w:tcPr>
            <w:tcW w:w="3720" w:type="pct"/>
            <w:gridSpan w:val="11"/>
            <w:tcBorders>
              <w:top w:val="single" w:color="auto" w:sz="4" w:space="0"/>
              <w:left w:val="single" w:color="auto" w:sz="4" w:space="0"/>
              <w:bottom w:val="single" w:color="auto" w:sz="4" w:space="0"/>
              <w:right w:val="nil"/>
            </w:tcBorders>
            <w:noWrap/>
            <w:vAlign w:val="center"/>
          </w:tcPr>
          <w:p w14:paraId="2F99DFBB">
            <w:pPr>
              <w:pStyle w:val="445"/>
              <w:rPr>
                <w:rFonts w:cs="Times New Roman"/>
                <w:kern w:val="0"/>
                <w:szCs w:val="20"/>
              </w:rPr>
            </w:pPr>
            <w:r>
              <w:rPr>
                <w:rFonts w:ascii="Wingdings" w:hAnsi="Wingdings" w:cs="Times New Roman"/>
                <w:kern w:val="0"/>
                <w:szCs w:val="20"/>
              </w:rPr>
              <w:t></w:t>
            </w:r>
          </w:p>
        </w:tc>
      </w:tr>
      <w:tr w14:paraId="6F98E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0" w:type="pct"/>
            <w:gridSpan w:val="2"/>
            <w:tcBorders>
              <w:top w:val="single" w:color="auto" w:sz="4" w:space="0"/>
              <w:left w:val="nil"/>
              <w:bottom w:val="single" w:color="auto" w:sz="4" w:space="0"/>
              <w:right w:val="single" w:color="auto" w:sz="4" w:space="0"/>
            </w:tcBorders>
            <w:noWrap/>
            <w:vAlign w:val="center"/>
          </w:tcPr>
          <w:p w14:paraId="64CCF4E2">
            <w:pPr>
              <w:pStyle w:val="445"/>
              <w:rPr>
                <w:rFonts w:cs="Times New Roman"/>
                <w:kern w:val="0"/>
                <w:szCs w:val="20"/>
              </w:rPr>
            </w:pPr>
            <w:r>
              <w:rPr>
                <w:rFonts w:hint="eastAsia" w:cs="Times New Roman"/>
                <w:kern w:val="0"/>
                <w:szCs w:val="20"/>
              </w:rPr>
              <w:t>评价结论</w:t>
            </w:r>
          </w:p>
        </w:tc>
        <w:tc>
          <w:tcPr>
            <w:tcW w:w="3720" w:type="pct"/>
            <w:gridSpan w:val="11"/>
            <w:tcBorders>
              <w:top w:val="single" w:color="auto" w:sz="4" w:space="0"/>
              <w:left w:val="single" w:color="auto" w:sz="4" w:space="0"/>
              <w:bottom w:val="single" w:color="auto" w:sz="4" w:space="0"/>
              <w:right w:val="nil"/>
            </w:tcBorders>
            <w:noWrap/>
            <w:vAlign w:val="center"/>
          </w:tcPr>
          <w:p w14:paraId="25DB780A">
            <w:pPr>
              <w:pStyle w:val="445"/>
              <w:rPr>
                <w:rFonts w:cs="Times New Roman"/>
                <w:kern w:val="0"/>
                <w:szCs w:val="20"/>
              </w:rPr>
            </w:pPr>
            <w:r>
              <w:rPr>
                <w:rFonts w:hint="eastAsia" w:cs="Times New Roman"/>
                <w:kern w:val="0"/>
                <w:szCs w:val="20"/>
              </w:rPr>
              <w:t>可以接受</w:t>
            </w:r>
            <w:r>
              <w:rPr>
                <w:rFonts w:ascii="Wingdings" w:hAnsi="Wingdings" w:cs="Times New Roman"/>
                <w:kern w:val="0"/>
                <w:szCs w:val="20"/>
              </w:rPr>
              <w:t></w:t>
            </w:r>
            <w:r>
              <w:rPr>
                <w:rFonts w:hint="eastAsia" w:cs="Times New Roman"/>
                <w:kern w:val="0"/>
                <w:szCs w:val="20"/>
              </w:rPr>
              <w:t>；不可以接受</w:t>
            </w:r>
            <w:r>
              <w:rPr>
                <w:rFonts w:ascii="Wingdings" w:hAnsi="Wingdings" w:cs="Times New Roman"/>
                <w:kern w:val="0"/>
                <w:szCs w:val="20"/>
              </w:rPr>
              <w:t></w:t>
            </w:r>
          </w:p>
        </w:tc>
      </w:tr>
      <w:tr w14:paraId="5BB6C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3"/>
            <w:tcBorders>
              <w:top w:val="single" w:color="auto" w:sz="4" w:space="0"/>
              <w:left w:val="nil"/>
              <w:bottom w:val="single" w:color="auto" w:sz="12" w:space="0"/>
              <w:right w:val="nil"/>
            </w:tcBorders>
            <w:noWrap/>
            <w:vAlign w:val="center"/>
          </w:tcPr>
          <w:p w14:paraId="58E4C718">
            <w:pPr>
              <w:pStyle w:val="445"/>
              <w:rPr>
                <w:rFonts w:cs="Times New Roman"/>
                <w:kern w:val="0"/>
                <w:szCs w:val="20"/>
              </w:rPr>
            </w:pPr>
            <w:r>
              <w:rPr>
                <w:rFonts w:hint="eastAsia" w:cs="Times New Roman"/>
                <w:kern w:val="0"/>
                <w:szCs w:val="20"/>
              </w:rPr>
              <w:t>注：“</w:t>
            </w:r>
            <w:r>
              <w:rPr>
                <w:rFonts w:ascii="Wingdings" w:hAnsi="Wingdings" w:cs="Times New Roman"/>
                <w:kern w:val="0"/>
                <w:szCs w:val="20"/>
              </w:rPr>
              <w:t></w:t>
            </w:r>
            <w:r>
              <w:rPr>
                <w:rFonts w:hint="eastAsia" w:cs="Times New Roman"/>
                <w:kern w:val="0"/>
                <w:szCs w:val="20"/>
              </w:rPr>
              <w:t>”为勾选项，可√；“（）”为内容填写项；“备注”为其他补充内容</w:t>
            </w:r>
          </w:p>
        </w:tc>
      </w:tr>
    </w:tbl>
    <w:p w14:paraId="3B1642A6">
      <w:pPr>
        <w:ind w:firstLine="480"/>
      </w:pPr>
    </w:p>
    <w:p w14:paraId="28AD0CE8">
      <w:pPr>
        <w:ind w:firstLine="480"/>
        <w:sectPr>
          <w:pgSz w:w="16839" w:h="11907" w:orient="landscape"/>
          <w:pgMar w:top="1440" w:right="1440" w:bottom="1440" w:left="1440" w:header="851" w:footer="992" w:gutter="0"/>
          <w:cols w:space="425" w:num="1"/>
          <w:docGrid w:type="lines" w:linePitch="326" w:charSpace="0"/>
        </w:sectPr>
      </w:pPr>
    </w:p>
    <w:p w14:paraId="20F4DBFF">
      <w:pPr>
        <w:pStyle w:val="4065"/>
      </w:pPr>
      <w:bookmarkStart w:id="235" w:name="_Toc87977850"/>
      <w:bookmarkEnd w:id="235"/>
      <w:bookmarkStart w:id="236" w:name="_Toc108662649"/>
      <w:r>
        <w:rPr>
          <w:rFonts w:hint="eastAsia"/>
        </w:rPr>
        <w:t>5.</w:t>
      </w:r>
      <w:r>
        <w:t>3</w:t>
      </w:r>
      <w:r>
        <w:rPr>
          <w:rFonts w:hint="eastAsia"/>
        </w:rPr>
        <w:t>声环境</w:t>
      </w:r>
      <w:r>
        <w:t>影响评价</w:t>
      </w:r>
      <w:bookmarkEnd w:id="236"/>
    </w:p>
    <w:p w14:paraId="6CA88CE4">
      <w:pPr>
        <w:pStyle w:val="4068"/>
      </w:pPr>
      <w:bookmarkStart w:id="237" w:name="_Toc108662650"/>
      <w:bookmarkStart w:id="238" w:name="_Toc100784041"/>
      <w:bookmarkStart w:id="239" w:name="_Toc101135873"/>
      <w:r>
        <w:rPr>
          <w:rFonts w:hint="eastAsia"/>
        </w:rPr>
        <w:t>5.</w:t>
      </w:r>
      <w:r>
        <w:t>3.1</w:t>
      </w:r>
      <w:r>
        <w:rPr>
          <w:rFonts w:hint="eastAsia" w:ascii="黑体" w:hAnsi="黑体"/>
        </w:rPr>
        <w:t>源强参数</w:t>
      </w:r>
      <w:bookmarkEnd w:id="237"/>
      <w:bookmarkEnd w:id="238"/>
      <w:bookmarkEnd w:id="239"/>
    </w:p>
    <w:p w14:paraId="1931FD11">
      <w:pPr>
        <w:ind w:firstLine="480"/>
      </w:pPr>
      <w:r>
        <w:rPr>
          <w:rFonts w:ascii="宋体" w:hAnsi="宋体"/>
        </w:rPr>
        <w:t>本项目噪声主要来源于</w:t>
      </w:r>
      <w:r>
        <w:rPr>
          <w:rFonts w:hint="eastAsia" w:ascii="宋体" w:hAnsi="宋体"/>
        </w:rPr>
        <w:t>压缩机</w:t>
      </w:r>
      <w:r>
        <w:rPr>
          <w:rFonts w:ascii="宋体" w:hAnsi="宋体"/>
        </w:rPr>
        <w:t>、引风机等设备</w:t>
      </w:r>
      <w:r>
        <w:rPr>
          <w:rFonts w:hint="eastAsia" w:ascii="宋体" w:hAnsi="宋体"/>
        </w:rPr>
        <w:t>，本项目</w:t>
      </w:r>
      <w:r>
        <w:rPr>
          <w:rFonts w:ascii="宋体" w:hAnsi="宋体"/>
        </w:rPr>
        <w:t>主要</w:t>
      </w:r>
      <w:r>
        <w:rPr>
          <w:rFonts w:hint="eastAsia" w:ascii="宋体" w:hAnsi="宋体"/>
        </w:rPr>
        <w:t>设备</w:t>
      </w:r>
      <w:r>
        <w:rPr>
          <w:rFonts w:ascii="宋体" w:hAnsi="宋体"/>
        </w:rPr>
        <w:t>噪声</w:t>
      </w:r>
      <w:r>
        <w:rPr>
          <w:rFonts w:hint="eastAsia" w:ascii="宋体" w:hAnsi="宋体"/>
        </w:rPr>
        <w:t>源强</w:t>
      </w:r>
      <w:r>
        <w:rPr>
          <w:rFonts w:ascii="宋体" w:hAnsi="宋体"/>
        </w:rPr>
        <w:t>及</w:t>
      </w:r>
      <w:r>
        <w:rPr>
          <w:rFonts w:hint="eastAsia" w:ascii="宋体" w:hAnsi="宋体"/>
        </w:rPr>
        <w:t>治理效果</w:t>
      </w:r>
      <w:r>
        <w:rPr>
          <w:rFonts w:ascii="宋体" w:hAnsi="宋体"/>
        </w:rPr>
        <w:t>见表</w:t>
      </w:r>
      <w:r>
        <w:t>3.4.3-1</w:t>
      </w:r>
      <w:r>
        <w:rPr>
          <w:rFonts w:hint="eastAsia" w:ascii="宋体" w:hAnsi="宋体"/>
        </w:rPr>
        <w:t>。</w:t>
      </w:r>
    </w:p>
    <w:p w14:paraId="20A5E579">
      <w:pPr>
        <w:pStyle w:val="4068"/>
      </w:pPr>
      <w:bookmarkStart w:id="240" w:name="_Toc101135874"/>
      <w:bookmarkStart w:id="241" w:name="_Toc100784042"/>
      <w:bookmarkStart w:id="242" w:name="_Toc108662651"/>
      <w:r>
        <w:rPr>
          <w:rFonts w:hint="eastAsia"/>
        </w:rPr>
        <w:t>5.</w:t>
      </w:r>
      <w:r>
        <w:t>3.2</w:t>
      </w:r>
      <w:r>
        <w:rPr>
          <w:rFonts w:hint="eastAsia" w:ascii="黑体" w:hAnsi="黑体"/>
        </w:rPr>
        <w:t>预测模式</w:t>
      </w:r>
      <w:bookmarkEnd w:id="240"/>
      <w:bookmarkEnd w:id="241"/>
      <w:bookmarkEnd w:id="242"/>
    </w:p>
    <w:p w14:paraId="17612109">
      <w:pPr>
        <w:ind w:firstLine="480"/>
        <w:rPr>
          <w:bCs/>
        </w:rPr>
      </w:pPr>
      <w:r>
        <w:rPr>
          <w:rFonts w:ascii="宋体" w:hAnsi="宋体"/>
          <w:bCs/>
        </w:rPr>
        <w:t>根据声环境评价导则的规定，选用预测模式，应用过程中将根据具体情况作必要简化。</w:t>
      </w:r>
    </w:p>
    <w:p w14:paraId="043D1417">
      <w:pPr>
        <w:ind w:firstLine="480"/>
        <w:rPr>
          <w:bCs/>
        </w:rPr>
      </w:pPr>
      <w:r>
        <w:rPr>
          <w:rFonts w:hint="eastAsia" w:ascii="宋体" w:hAnsi="宋体"/>
          <w:bCs/>
        </w:rPr>
        <w:t>（</w:t>
      </w:r>
      <w:r>
        <w:rPr>
          <w:rFonts w:hint="eastAsia"/>
          <w:bCs/>
        </w:rPr>
        <w:t>1</w:t>
      </w:r>
      <w:r>
        <w:rPr>
          <w:rFonts w:hint="eastAsia" w:ascii="宋体" w:hAnsi="宋体"/>
          <w:bCs/>
        </w:rPr>
        <w:t>）</w:t>
      </w:r>
      <w:r>
        <w:rPr>
          <w:rFonts w:ascii="宋体" w:hAnsi="宋体"/>
          <w:bCs/>
        </w:rPr>
        <w:t>室外点声源在预测点的倍频带声压级</w:t>
      </w:r>
    </w:p>
    <w:p w14:paraId="36386436">
      <w:pPr>
        <w:ind w:firstLine="480"/>
      </w:pPr>
      <w:r>
        <w:t>a.</w:t>
      </w:r>
      <w:r>
        <w:rPr>
          <w:rFonts w:ascii="宋体" w:hAnsi="宋体"/>
        </w:rPr>
        <w:t>某个点源在预测点的倍频带声压级</w:t>
      </w:r>
    </w:p>
    <w:p w14:paraId="2C694BC0">
      <w:pPr>
        <w:spacing w:before="60" w:after="60"/>
        <w:ind w:firstLine="480"/>
        <w:jc w:val="center"/>
      </w:pPr>
      <w:r>
        <w:drawing>
          <wp:inline distT="0" distB="0" distL="0" distR="0">
            <wp:extent cx="2105025" cy="285750"/>
            <wp:effectExtent l="0" t="0" r="9525" b="0"/>
            <wp:docPr id="115" name="图片 115" descr="C:\Users\ADMINI~1\AppData\Local\Temp\ksohtml\wps4AD5.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C:\Users\ADMINI~1\AppData\Local\Temp\ksohtml\wps4AD5.tmp.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105025" cy="285750"/>
                    </a:xfrm>
                    <a:prstGeom prst="rect">
                      <a:avLst/>
                    </a:prstGeom>
                    <a:noFill/>
                    <a:ln>
                      <a:noFill/>
                    </a:ln>
                  </pic:spPr>
                </pic:pic>
              </a:graphicData>
            </a:graphic>
          </wp:inline>
        </w:drawing>
      </w:r>
      <w:r>
        <w:t xml:space="preserve"> </w:t>
      </w:r>
    </w:p>
    <w:p w14:paraId="5E8BE050">
      <w:pPr>
        <w:ind w:firstLine="480"/>
        <w:rPr>
          <w:bCs/>
        </w:rPr>
      </w:pPr>
      <w:r>
        <w:rPr>
          <w:rFonts w:ascii="宋体" w:hAnsi="宋体"/>
          <w:bCs/>
        </w:rPr>
        <w:t>式中：</w:t>
      </w:r>
      <w:r>
        <w:rPr>
          <w:bCs/>
        </w:rPr>
        <w:t>L</w:t>
      </w:r>
      <w:r>
        <w:rPr>
          <w:bCs/>
          <w:vertAlign w:val="subscript"/>
        </w:rPr>
        <w:t>oct</w:t>
      </w:r>
      <w:r>
        <w:rPr>
          <w:rFonts w:ascii="宋体" w:hAnsi="宋体"/>
          <w:bCs/>
        </w:rPr>
        <w:t>（</w:t>
      </w:r>
      <w:r>
        <w:rPr>
          <w:bCs/>
        </w:rPr>
        <w:t>r</w:t>
      </w:r>
      <w:r>
        <w:rPr>
          <w:rFonts w:ascii="宋体" w:hAnsi="宋体"/>
          <w:bCs/>
        </w:rPr>
        <w:t>）</w:t>
      </w:r>
      <w:r>
        <w:rPr>
          <w:bCs/>
        </w:rPr>
        <w:t>—</w:t>
      </w:r>
      <w:r>
        <w:rPr>
          <w:rFonts w:ascii="宋体" w:hAnsi="宋体"/>
          <w:bCs/>
        </w:rPr>
        <w:t>点声源在预测点产生的倍频带声压级；</w:t>
      </w:r>
    </w:p>
    <w:p w14:paraId="3729358E">
      <w:pPr>
        <w:ind w:firstLine="480"/>
        <w:rPr>
          <w:bCs/>
        </w:rPr>
      </w:pPr>
      <w:r>
        <w:rPr>
          <w:bCs/>
        </w:rPr>
        <w:t>L</w:t>
      </w:r>
      <w:r>
        <w:rPr>
          <w:bCs/>
          <w:vertAlign w:val="subscript"/>
        </w:rPr>
        <w:t>oct</w:t>
      </w:r>
      <w:r>
        <w:rPr>
          <w:rFonts w:ascii="宋体" w:hAnsi="宋体"/>
          <w:bCs/>
        </w:rPr>
        <w:t>（</w:t>
      </w:r>
      <w:r>
        <w:rPr>
          <w:bCs/>
        </w:rPr>
        <w:t>r</w:t>
      </w:r>
      <w:r>
        <w:rPr>
          <w:bCs/>
          <w:vertAlign w:val="subscript"/>
        </w:rPr>
        <w:t>0</w:t>
      </w:r>
      <w:r>
        <w:rPr>
          <w:rFonts w:ascii="宋体" w:hAnsi="宋体"/>
          <w:bCs/>
        </w:rPr>
        <w:t>）</w:t>
      </w:r>
      <w:r>
        <w:rPr>
          <w:bCs/>
        </w:rPr>
        <w:t>—</w:t>
      </w:r>
      <w:r>
        <w:rPr>
          <w:rFonts w:ascii="宋体" w:hAnsi="宋体"/>
          <w:bCs/>
        </w:rPr>
        <w:t>参考位置</w:t>
      </w:r>
      <w:r>
        <w:rPr>
          <w:bCs/>
        </w:rPr>
        <w:t>r</w:t>
      </w:r>
      <w:r>
        <w:rPr>
          <w:bCs/>
          <w:vertAlign w:val="subscript"/>
        </w:rPr>
        <w:t>0</w:t>
      </w:r>
      <w:r>
        <w:rPr>
          <w:rFonts w:ascii="宋体" w:hAnsi="宋体"/>
          <w:bCs/>
        </w:rPr>
        <w:t>处的倍频带声压级；</w:t>
      </w:r>
    </w:p>
    <w:p w14:paraId="42F84FEB">
      <w:pPr>
        <w:ind w:firstLine="480"/>
        <w:rPr>
          <w:bCs/>
        </w:rPr>
      </w:pPr>
      <w:r>
        <w:rPr>
          <w:bCs/>
        </w:rPr>
        <w:t>r—</w:t>
      </w:r>
      <w:r>
        <w:rPr>
          <w:rFonts w:ascii="宋体" w:hAnsi="宋体"/>
          <w:bCs/>
        </w:rPr>
        <w:t>预测点距声源的距离，</w:t>
      </w:r>
      <w:r>
        <w:rPr>
          <w:bCs/>
        </w:rPr>
        <w:t>m</w:t>
      </w:r>
      <w:r>
        <w:rPr>
          <w:rFonts w:ascii="宋体" w:hAnsi="宋体"/>
          <w:bCs/>
        </w:rPr>
        <w:t>；</w:t>
      </w:r>
    </w:p>
    <w:p w14:paraId="4B1EC136">
      <w:pPr>
        <w:ind w:firstLine="480"/>
        <w:rPr>
          <w:bCs/>
        </w:rPr>
      </w:pPr>
      <w:r>
        <w:rPr>
          <w:bCs/>
        </w:rPr>
        <w:t>r</w:t>
      </w:r>
      <w:r>
        <w:rPr>
          <w:bCs/>
          <w:vertAlign w:val="subscript"/>
        </w:rPr>
        <w:t>0</w:t>
      </w:r>
      <w:r>
        <w:rPr>
          <w:bCs/>
        </w:rPr>
        <w:t>—</w:t>
      </w:r>
      <w:r>
        <w:rPr>
          <w:rFonts w:ascii="宋体" w:hAnsi="宋体"/>
          <w:bCs/>
        </w:rPr>
        <w:t>参考位置距声源的距离，</w:t>
      </w:r>
      <w:r>
        <w:rPr>
          <w:bCs/>
        </w:rPr>
        <w:t>m</w:t>
      </w:r>
      <w:r>
        <w:rPr>
          <w:rFonts w:ascii="宋体" w:hAnsi="宋体"/>
          <w:bCs/>
        </w:rPr>
        <w:t>；</w:t>
      </w:r>
    </w:p>
    <w:p w14:paraId="75E72276">
      <w:pPr>
        <w:ind w:firstLine="480"/>
        <w:rPr>
          <w:bCs/>
        </w:rPr>
      </w:pPr>
      <w:r>
        <w:rPr>
          <w:bCs/>
        </w:rPr>
        <w:t>ΔL</w:t>
      </w:r>
      <w:r>
        <w:rPr>
          <w:bCs/>
          <w:vertAlign w:val="subscript"/>
        </w:rPr>
        <w:t>oct</w:t>
      </w:r>
      <w:r>
        <w:rPr>
          <w:bCs/>
        </w:rPr>
        <w:t>—</w:t>
      </w:r>
      <w:r>
        <w:rPr>
          <w:rFonts w:ascii="宋体" w:hAnsi="宋体"/>
          <w:bCs/>
        </w:rPr>
        <w:t>各种因素引起的衰减量，包括声屏障、空气吸收和地面效应引起的衰减，其计算方式分别为：</w:t>
      </w:r>
    </w:p>
    <w:p w14:paraId="3F21EDA5">
      <w:pPr>
        <w:spacing w:before="60" w:after="60"/>
        <w:ind w:firstLine="480"/>
        <w:jc w:val="center"/>
      </w:pPr>
      <w:r>
        <w:t>A</w:t>
      </w:r>
      <w:r>
        <w:rPr>
          <w:vertAlign w:val="subscript"/>
        </w:rPr>
        <w:t>oct bar</w:t>
      </w:r>
      <w:r>
        <w:t>=</w:t>
      </w:r>
      <w:r>
        <w:drawing>
          <wp:inline distT="0" distB="0" distL="0" distR="0">
            <wp:extent cx="2266950" cy="400050"/>
            <wp:effectExtent l="0" t="0" r="0" b="0"/>
            <wp:docPr id="114" name="图片 114" descr="C:\Users\ADMINI~1\AppData\Local\Temp\ksohtml\wps4AD6.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C:\Users\ADMINI~1\AppData\Local\Temp\ksohtml\wps4AD6.tmp.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266950" cy="400050"/>
                    </a:xfrm>
                    <a:prstGeom prst="rect">
                      <a:avLst/>
                    </a:prstGeom>
                    <a:noFill/>
                    <a:ln>
                      <a:noFill/>
                    </a:ln>
                  </pic:spPr>
                </pic:pic>
              </a:graphicData>
            </a:graphic>
          </wp:inline>
        </w:drawing>
      </w:r>
    </w:p>
    <w:p w14:paraId="13A6B89F">
      <w:pPr>
        <w:spacing w:before="60" w:after="60"/>
        <w:ind w:firstLine="480"/>
      </w:pPr>
      <w:r>
        <w:t>A</w:t>
      </w:r>
      <w:r>
        <w:rPr>
          <w:vertAlign w:val="subscript"/>
        </w:rPr>
        <w:t>oct atm</w:t>
      </w:r>
      <w:r>
        <w:t>=α</w:t>
      </w:r>
      <w:r>
        <w:rPr>
          <w:rFonts w:ascii="宋体" w:hAnsi="宋体"/>
        </w:rPr>
        <w:t>（</w:t>
      </w:r>
      <w:r>
        <w:t>r-r</w:t>
      </w:r>
      <w:r>
        <w:rPr>
          <w:vertAlign w:val="subscript"/>
        </w:rPr>
        <w:t>0</w:t>
      </w:r>
      <w:r>
        <w:rPr>
          <w:rFonts w:ascii="宋体" w:hAnsi="宋体"/>
        </w:rPr>
        <w:t>）</w:t>
      </w:r>
      <w:r>
        <w:t>/100</w:t>
      </w:r>
      <w:r>
        <w:rPr>
          <w:rFonts w:ascii="宋体" w:hAnsi="宋体"/>
        </w:rPr>
        <w:t>；</w:t>
      </w:r>
    </w:p>
    <w:p w14:paraId="7E0571E4">
      <w:pPr>
        <w:spacing w:before="60" w:after="60"/>
        <w:ind w:firstLine="480"/>
      </w:pPr>
      <w:r>
        <w:t>A</w:t>
      </w:r>
      <w:r>
        <w:rPr>
          <w:vertAlign w:val="subscript"/>
        </w:rPr>
        <w:t>exc</w:t>
      </w:r>
      <w:r>
        <w:t>=5lg</w:t>
      </w:r>
      <w:r>
        <w:rPr>
          <w:rFonts w:ascii="宋体" w:hAnsi="宋体"/>
        </w:rPr>
        <w:t>（</w:t>
      </w:r>
      <w:r>
        <w:t>r-r</w:t>
      </w:r>
      <w:r>
        <w:rPr>
          <w:vertAlign w:val="subscript"/>
        </w:rPr>
        <w:t>0</w:t>
      </w:r>
      <w:r>
        <w:rPr>
          <w:rFonts w:ascii="宋体" w:hAnsi="宋体"/>
        </w:rPr>
        <w:t>）；</w:t>
      </w:r>
    </w:p>
    <w:p w14:paraId="31EF38A2">
      <w:pPr>
        <w:ind w:firstLine="480"/>
        <w:rPr>
          <w:bCs/>
        </w:rPr>
      </w:pPr>
      <w:r>
        <w:rPr>
          <w:bCs/>
        </w:rPr>
        <w:t>b.</w:t>
      </w:r>
      <w:r>
        <w:rPr>
          <w:rFonts w:ascii="宋体" w:hAnsi="宋体"/>
          <w:bCs/>
        </w:rPr>
        <w:t>如果已知声源的倍频带声功率级</w:t>
      </w:r>
      <w:r>
        <w:rPr>
          <w:bCs/>
        </w:rPr>
        <w:t>Lwcot</w:t>
      </w:r>
      <w:r>
        <w:rPr>
          <w:rFonts w:ascii="宋体" w:hAnsi="宋体"/>
          <w:bCs/>
        </w:rPr>
        <w:t>，且声源可看作是位于地面上的，则：</w:t>
      </w:r>
    </w:p>
    <w:p w14:paraId="415C5B9E">
      <w:pPr>
        <w:spacing w:before="60" w:after="60"/>
        <w:ind w:firstLine="480"/>
        <w:jc w:val="center"/>
      </w:pPr>
      <w:r>
        <w:t>L</w:t>
      </w:r>
      <w:r>
        <w:rPr>
          <w:vertAlign w:val="subscript"/>
        </w:rPr>
        <w:t>cot</w:t>
      </w:r>
      <w:r>
        <w:t>=L</w:t>
      </w:r>
      <w:r>
        <w:rPr>
          <w:vertAlign w:val="subscript"/>
        </w:rPr>
        <w:t>w cot</w:t>
      </w:r>
      <w:r>
        <w:t>-20lgr</w:t>
      </w:r>
      <w:r>
        <w:rPr>
          <w:vertAlign w:val="subscript"/>
        </w:rPr>
        <w:t>0</w:t>
      </w:r>
      <w:r>
        <w:t>-8</w:t>
      </w:r>
    </w:p>
    <w:p w14:paraId="0F33A228">
      <w:pPr>
        <w:ind w:firstLine="480"/>
        <w:rPr>
          <w:bCs/>
        </w:rPr>
      </w:pPr>
      <w:r>
        <w:rPr>
          <w:bCs/>
        </w:rPr>
        <w:t>c.</w:t>
      </w:r>
      <w:r>
        <w:rPr>
          <w:rFonts w:ascii="宋体" w:hAnsi="宋体"/>
          <w:bCs/>
        </w:rPr>
        <w:t>由各倍频带声压级合成计算出该声源产生的</w:t>
      </w:r>
      <w:r>
        <w:rPr>
          <w:bCs/>
        </w:rPr>
        <w:t>A</w:t>
      </w:r>
      <w:r>
        <w:rPr>
          <w:rFonts w:ascii="宋体" w:hAnsi="宋体"/>
          <w:bCs/>
        </w:rPr>
        <w:t>声级</w:t>
      </w:r>
      <w:r>
        <w:rPr>
          <w:bCs/>
        </w:rPr>
        <w:t>LA</w:t>
      </w:r>
      <w:r>
        <w:rPr>
          <w:rFonts w:ascii="宋体" w:hAnsi="宋体"/>
          <w:bCs/>
        </w:rPr>
        <w:t>：</w:t>
      </w:r>
    </w:p>
    <w:p w14:paraId="4AE07F45">
      <w:pPr>
        <w:spacing w:before="60" w:after="60"/>
        <w:ind w:firstLine="480"/>
        <w:jc w:val="center"/>
      </w:pPr>
      <w:r>
        <w:drawing>
          <wp:inline distT="0" distB="0" distL="0" distR="0">
            <wp:extent cx="1647825" cy="466725"/>
            <wp:effectExtent l="0" t="0" r="9525" b="9525"/>
            <wp:docPr id="113" name="图片 113" descr="C:\Users\ADMINI~1\AppData\Local\Temp\ksohtml\wps4AD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C:\Users\ADMINI~1\AppData\Local\Temp\ksohtml\wps4AD7.tmp.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647825" cy="466725"/>
                    </a:xfrm>
                    <a:prstGeom prst="rect">
                      <a:avLst/>
                    </a:prstGeom>
                    <a:noFill/>
                    <a:ln>
                      <a:noFill/>
                    </a:ln>
                  </pic:spPr>
                </pic:pic>
              </a:graphicData>
            </a:graphic>
          </wp:inline>
        </w:drawing>
      </w:r>
      <w:r>
        <w:t xml:space="preserve"> </w:t>
      </w:r>
    </w:p>
    <w:p w14:paraId="217F5063">
      <w:pPr>
        <w:ind w:firstLine="480"/>
        <w:rPr>
          <w:bCs/>
        </w:rPr>
      </w:pPr>
      <w:r>
        <w:rPr>
          <w:rFonts w:ascii="宋体" w:hAnsi="宋体"/>
          <w:bCs/>
        </w:rPr>
        <w:t>式中</w:t>
      </w:r>
      <w:r>
        <w:rPr>
          <w:bCs/>
        </w:rPr>
        <w:t>ΔL</w:t>
      </w:r>
      <w:r>
        <w:rPr>
          <w:bCs/>
          <w:vertAlign w:val="subscript"/>
        </w:rPr>
        <w:t>i</w:t>
      </w:r>
      <w:r>
        <w:rPr>
          <w:rFonts w:ascii="宋体" w:hAnsi="宋体"/>
          <w:bCs/>
        </w:rPr>
        <w:t>为</w:t>
      </w:r>
      <w:r>
        <w:rPr>
          <w:bCs/>
        </w:rPr>
        <w:t>A</w:t>
      </w:r>
      <w:r>
        <w:rPr>
          <w:rFonts w:ascii="宋体" w:hAnsi="宋体"/>
          <w:bCs/>
        </w:rPr>
        <w:t>计权网络修正值。</w:t>
      </w:r>
    </w:p>
    <w:p w14:paraId="2C3BA308">
      <w:pPr>
        <w:ind w:firstLine="480"/>
        <w:rPr>
          <w:bCs/>
        </w:rPr>
      </w:pPr>
      <w:r>
        <w:rPr>
          <w:bCs/>
        </w:rPr>
        <w:t>d.</w:t>
      </w:r>
      <w:r>
        <w:rPr>
          <w:rFonts w:ascii="宋体" w:hAnsi="宋体"/>
          <w:bCs/>
        </w:rPr>
        <w:t>各声源在预测点产生的声级的合成</w:t>
      </w:r>
    </w:p>
    <w:p w14:paraId="06EA452C">
      <w:pPr>
        <w:spacing w:before="60" w:after="60"/>
        <w:ind w:firstLine="480"/>
        <w:jc w:val="center"/>
      </w:pPr>
      <w:r>
        <w:drawing>
          <wp:inline distT="0" distB="0" distL="0" distR="0">
            <wp:extent cx="1476375" cy="466725"/>
            <wp:effectExtent l="0" t="0" r="9525" b="9525"/>
            <wp:docPr id="112" name="图片 112" descr="C:\Users\ADMINI~1\AppData\Local\Temp\ksohtml\wps4AD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C:\Users\ADMINI~1\AppData\Local\Temp\ksohtml\wps4AD8.tmp.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476375" cy="466725"/>
                    </a:xfrm>
                    <a:prstGeom prst="rect">
                      <a:avLst/>
                    </a:prstGeom>
                    <a:noFill/>
                    <a:ln>
                      <a:noFill/>
                    </a:ln>
                  </pic:spPr>
                </pic:pic>
              </a:graphicData>
            </a:graphic>
          </wp:inline>
        </w:drawing>
      </w:r>
      <w:r>
        <w:t xml:space="preserve"> </w:t>
      </w:r>
    </w:p>
    <w:p w14:paraId="646C6599">
      <w:pPr>
        <w:ind w:firstLine="480"/>
        <w:rPr>
          <w:bCs/>
        </w:rPr>
      </w:pPr>
      <w:r>
        <w:rPr>
          <w:rFonts w:hint="eastAsia" w:ascii="宋体" w:hAnsi="宋体"/>
          <w:bCs/>
        </w:rPr>
        <w:t>（</w:t>
      </w:r>
      <w:r>
        <w:rPr>
          <w:bCs/>
        </w:rPr>
        <w:t>2</w:t>
      </w:r>
      <w:r>
        <w:rPr>
          <w:rFonts w:hint="eastAsia" w:ascii="宋体" w:hAnsi="宋体"/>
          <w:bCs/>
        </w:rPr>
        <w:t>）</w:t>
      </w:r>
      <w:r>
        <w:rPr>
          <w:rFonts w:ascii="宋体" w:hAnsi="宋体"/>
          <w:bCs/>
        </w:rPr>
        <w:t>室内点声源的预测</w:t>
      </w:r>
    </w:p>
    <w:p w14:paraId="2D829CC3">
      <w:pPr>
        <w:ind w:firstLine="480"/>
        <w:rPr>
          <w:bCs/>
        </w:rPr>
      </w:pPr>
      <w:r>
        <w:rPr>
          <w:bCs/>
        </w:rPr>
        <w:t>a.</w:t>
      </w:r>
      <w:r>
        <w:rPr>
          <w:rFonts w:ascii="宋体" w:hAnsi="宋体"/>
          <w:bCs/>
        </w:rPr>
        <w:t>室内靠近围护结构处的倍频带声压级：</w:t>
      </w:r>
    </w:p>
    <w:p w14:paraId="06C4BA30">
      <w:pPr>
        <w:spacing w:before="60" w:after="60"/>
        <w:ind w:firstLine="480"/>
        <w:jc w:val="center"/>
      </w:pPr>
      <w:r>
        <w:drawing>
          <wp:inline distT="0" distB="0" distL="0" distR="0">
            <wp:extent cx="1924050" cy="447675"/>
            <wp:effectExtent l="0" t="0" r="0" b="9525"/>
            <wp:docPr id="111" name="图片 111" descr="C:\Users\ADMINI~1\AppData\Local\Temp\ksohtml\wps4AD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C:\Users\ADMINI~1\AppData\Local\Temp\ksohtml\wps4AD9.tmp.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924050" cy="447675"/>
                    </a:xfrm>
                    <a:prstGeom prst="rect">
                      <a:avLst/>
                    </a:prstGeom>
                    <a:noFill/>
                    <a:ln>
                      <a:noFill/>
                    </a:ln>
                  </pic:spPr>
                </pic:pic>
              </a:graphicData>
            </a:graphic>
          </wp:inline>
        </w:drawing>
      </w:r>
      <w:r>
        <w:t xml:space="preserve"> </w:t>
      </w:r>
    </w:p>
    <w:p w14:paraId="442772A4">
      <w:pPr>
        <w:ind w:firstLine="480"/>
        <w:rPr>
          <w:bCs/>
        </w:rPr>
      </w:pPr>
      <w:r>
        <w:rPr>
          <w:rFonts w:ascii="宋体" w:hAnsi="宋体"/>
          <w:bCs/>
        </w:rPr>
        <w:t>式中：</w:t>
      </w:r>
      <w:r>
        <w:rPr>
          <w:bCs/>
        </w:rPr>
        <w:t>r</w:t>
      </w:r>
      <w:r>
        <w:rPr>
          <w:bCs/>
          <w:vertAlign w:val="subscript"/>
        </w:rPr>
        <w:t>1</w:t>
      </w:r>
      <w:r>
        <w:rPr>
          <w:rFonts w:ascii="宋体" w:hAnsi="宋体"/>
          <w:bCs/>
        </w:rPr>
        <w:t>为室内某源距离围护结构的距离；</w:t>
      </w:r>
      <w:r>
        <w:rPr>
          <w:bCs/>
        </w:rPr>
        <w:t>R</w:t>
      </w:r>
      <w:r>
        <w:rPr>
          <w:rFonts w:ascii="宋体" w:hAnsi="宋体"/>
          <w:bCs/>
        </w:rPr>
        <w:t>为房间常数；</w:t>
      </w:r>
      <w:r>
        <w:rPr>
          <w:bCs/>
        </w:rPr>
        <w:t>Q</w:t>
      </w:r>
      <w:r>
        <w:rPr>
          <w:rFonts w:ascii="宋体" w:hAnsi="宋体"/>
          <w:bCs/>
        </w:rPr>
        <w:t>为方向性因子。</w:t>
      </w:r>
    </w:p>
    <w:p w14:paraId="3865E80D">
      <w:pPr>
        <w:ind w:firstLine="480"/>
        <w:rPr>
          <w:bCs/>
        </w:rPr>
      </w:pPr>
      <w:r>
        <w:rPr>
          <w:bCs/>
        </w:rPr>
        <w:t>b.</w:t>
      </w:r>
      <w:r>
        <w:rPr>
          <w:rFonts w:ascii="宋体" w:hAnsi="宋体"/>
          <w:bCs/>
        </w:rPr>
        <w:t>室内声源在靠近围护结构处产生的总倍频带声压级：</w:t>
      </w:r>
    </w:p>
    <w:p w14:paraId="388418D5">
      <w:pPr>
        <w:spacing w:before="60" w:after="60"/>
        <w:ind w:firstLine="480"/>
        <w:jc w:val="center"/>
      </w:pPr>
      <w:r>
        <w:drawing>
          <wp:inline distT="0" distB="0" distL="0" distR="0">
            <wp:extent cx="1828800" cy="466725"/>
            <wp:effectExtent l="0" t="0" r="0" b="9525"/>
            <wp:docPr id="110" name="图片 110" descr="C:\Users\ADMINI~1\AppData\Local\Temp\ksohtml\wps4AD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C:\Users\ADMINI~1\AppData\Local\Temp\ksohtml\wps4ADA.tmp.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828800" cy="466725"/>
                    </a:xfrm>
                    <a:prstGeom prst="rect">
                      <a:avLst/>
                    </a:prstGeom>
                    <a:noFill/>
                    <a:ln>
                      <a:noFill/>
                    </a:ln>
                  </pic:spPr>
                </pic:pic>
              </a:graphicData>
            </a:graphic>
          </wp:inline>
        </w:drawing>
      </w:r>
      <w:r>
        <w:t xml:space="preserve"> </w:t>
      </w:r>
    </w:p>
    <w:p w14:paraId="3EB9829D">
      <w:pPr>
        <w:ind w:firstLine="480"/>
        <w:rPr>
          <w:bCs/>
        </w:rPr>
      </w:pPr>
      <w:r>
        <w:rPr>
          <w:bCs/>
        </w:rPr>
        <w:t>c.</w:t>
      </w:r>
      <w:r>
        <w:rPr>
          <w:rFonts w:ascii="宋体" w:hAnsi="宋体"/>
          <w:bCs/>
        </w:rPr>
        <w:t>室外靠近围护结构处的总的声压级：</w:t>
      </w:r>
    </w:p>
    <w:p w14:paraId="6DD495B4">
      <w:pPr>
        <w:spacing w:before="60" w:after="60"/>
        <w:ind w:firstLine="480"/>
      </w:pPr>
      <w:r>
        <w:t>L</w:t>
      </w:r>
      <w:r>
        <w:rPr>
          <w:vertAlign w:val="subscript"/>
        </w:rPr>
        <w:t>oct</w:t>
      </w:r>
      <w:r>
        <w:rPr>
          <w:rFonts w:ascii="宋体" w:hAnsi="宋体"/>
          <w:vertAlign w:val="subscript"/>
        </w:rPr>
        <w:t>，</w:t>
      </w:r>
      <w:r>
        <w:rPr>
          <w:vertAlign w:val="subscript"/>
        </w:rPr>
        <w:t>1</w:t>
      </w:r>
      <w:r>
        <w:rPr>
          <w:rFonts w:hint="eastAsia" w:ascii="宋体" w:hAnsi="宋体"/>
        </w:rPr>
        <w:t>（</w:t>
      </w:r>
      <w:r>
        <w:t>T</w:t>
      </w:r>
      <w:r>
        <w:rPr>
          <w:rFonts w:hint="eastAsia" w:ascii="宋体" w:hAnsi="宋体"/>
        </w:rPr>
        <w:t>）</w:t>
      </w:r>
      <w:r>
        <w:t>=L</w:t>
      </w:r>
      <w:r>
        <w:rPr>
          <w:vertAlign w:val="subscript"/>
        </w:rPr>
        <w:t>0ct</w:t>
      </w:r>
      <w:r>
        <w:rPr>
          <w:rFonts w:ascii="宋体" w:hAnsi="宋体"/>
          <w:vertAlign w:val="subscript"/>
        </w:rPr>
        <w:t>，</w:t>
      </w:r>
      <w:r>
        <w:rPr>
          <w:vertAlign w:val="subscript"/>
        </w:rPr>
        <w:t>1</w:t>
      </w:r>
      <w:r>
        <w:rPr>
          <w:rFonts w:hint="eastAsia" w:ascii="宋体" w:hAnsi="宋体"/>
        </w:rPr>
        <w:t>（</w:t>
      </w:r>
      <w:r>
        <w:t>T</w:t>
      </w:r>
      <w:r>
        <w:rPr>
          <w:rFonts w:hint="eastAsia" w:ascii="宋体" w:hAnsi="宋体"/>
        </w:rPr>
        <w:t>）</w:t>
      </w:r>
      <w:r>
        <w:t>-</w:t>
      </w:r>
      <w:r>
        <w:rPr>
          <w:rFonts w:hint="eastAsia" w:ascii="宋体" w:hAnsi="宋体"/>
        </w:rPr>
        <w:t>（</w:t>
      </w:r>
      <w:r>
        <w:t>Tl</w:t>
      </w:r>
      <w:r>
        <w:rPr>
          <w:vertAlign w:val="subscript"/>
        </w:rPr>
        <w:t>oct</w:t>
      </w:r>
      <w:r>
        <w:t>+6</w:t>
      </w:r>
      <w:r>
        <w:rPr>
          <w:rFonts w:hint="eastAsia" w:ascii="宋体" w:hAnsi="宋体"/>
        </w:rPr>
        <w:t>）</w:t>
      </w:r>
    </w:p>
    <w:p w14:paraId="0F7FFDF9">
      <w:pPr>
        <w:ind w:firstLine="480"/>
        <w:rPr>
          <w:bCs/>
        </w:rPr>
      </w:pPr>
      <w:r>
        <w:rPr>
          <w:bCs/>
        </w:rPr>
        <w:t>d.</w:t>
      </w:r>
      <w:r>
        <w:rPr>
          <w:rFonts w:ascii="宋体" w:hAnsi="宋体"/>
          <w:bCs/>
        </w:rPr>
        <w:t>室外声压级换算成等效的室外声源：</w:t>
      </w:r>
    </w:p>
    <w:p w14:paraId="3C3EFC5E">
      <w:pPr>
        <w:spacing w:before="60" w:after="60"/>
        <w:ind w:firstLine="0" w:firstLineChars="0"/>
        <w:jc w:val="center"/>
      </w:pPr>
      <w:r>
        <w:t>L</w:t>
      </w:r>
      <w:r>
        <w:rPr>
          <w:vertAlign w:val="subscript"/>
        </w:rPr>
        <w:t>w oct</w:t>
      </w:r>
      <w:r>
        <w:t>=L</w:t>
      </w:r>
      <w:r>
        <w:rPr>
          <w:vertAlign w:val="subscript"/>
        </w:rPr>
        <w:t>oct</w:t>
      </w:r>
      <w:r>
        <w:rPr>
          <w:rFonts w:ascii="宋体" w:hAnsi="宋体"/>
          <w:vertAlign w:val="subscript"/>
        </w:rPr>
        <w:t>，</w:t>
      </w:r>
      <w:r>
        <w:rPr>
          <w:vertAlign w:val="subscript"/>
        </w:rPr>
        <w:t>2</w:t>
      </w:r>
      <w:r>
        <w:rPr>
          <w:rFonts w:hint="eastAsia" w:ascii="宋体" w:hAnsi="宋体"/>
        </w:rPr>
        <w:t>（</w:t>
      </w:r>
      <w:r>
        <w:t>T</w:t>
      </w:r>
      <w:r>
        <w:rPr>
          <w:rFonts w:hint="eastAsia" w:ascii="宋体" w:hAnsi="宋体"/>
        </w:rPr>
        <w:t>）</w:t>
      </w:r>
      <w:r>
        <w:t>+10lgS</w:t>
      </w:r>
    </w:p>
    <w:p w14:paraId="576483DB">
      <w:pPr>
        <w:ind w:firstLine="480"/>
        <w:rPr>
          <w:bCs/>
        </w:rPr>
      </w:pPr>
      <w:r>
        <w:rPr>
          <w:rFonts w:ascii="宋体" w:hAnsi="宋体"/>
          <w:bCs/>
        </w:rPr>
        <w:t>式中：</w:t>
      </w:r>
      <w:r>
        <w:rPr>
          <w:bCs/>
        </w:rPr>
        <w:t>S</w:t>
      </w:r>
      <w:r>
        <w:rPr>
          <w:rFonts w:ascii="宋体" w:hAnsi="宋体"/>
          <w:bCs/>
        </w:rPr>
        <w:t>为透声面积。</w:t>
      </w:r>
    </w:p>
    <w:p w14:paraId="46233D01">
      <w:pPr>
        <w:ind w:firstLine="480"/>
        <w:rPr>
          <w:bCs/>
        </w:rPr>
      </w:pPr>
      <w:r>
        <w:rPr>
          <w:bCs/>
        </w:rPr>
        <w:t>e.</w:t>
      </w:r>
      <w:r>
        <w:rPr>
          <w:rFonts w:ascii="宋体" w:hAnsi="宋体"/>
          <w:bCs/>
        </w:rPr>
        <w:t>等效室外声源的位置为围护结构的位置，其倍频带声功率级为</w:t>
      </w:r>
      <w:r>
        <w:rPr>
          <w:bCs/>
        </w:rPr>
        <w:t>Lw</w:t>
      </w:r>
      <w:r>
        <w:rPr>
          <w:bCs/>
          <w:vertAlign w:val="subscript"/>
        </w:rPr>
        <w:t>oct</w:t>
      </w:r>
      <w:r>
        <w:rPr>
          <w:rFonts w:ascii="宋体" w:hAnsi="宋体"/>
          <w:bCs/>
        </w:rPr>
        <w:t>，由此按室外声源方法计算等效室外声源在预测点产生的声级。</w:t>
      </w:r>
    </w:p>
    <w:p w14:paraId="50E81E0A">
      <w:pPr>
        <w:ind w:firstLine="480"/>
        <w:rPr>
          <w:bCs/>
        </w:rPr>
      </w:pPr>
      <w:r>
        <w:rPr>
          <w:rFonts w:hint="eastAsia" w:ascii="宋体" w:hAnsi="宋体"/>
          <w:bCs/>
        </w:rPr>
        <w:t>（</w:t>
      </w:r>
      <w:r>
        <w:rPr>
          <w:bCs/>
        </w:rPr>
        <w:t>3</w:t>
      </w:r>
      <w:r>
        <w:rPr>
          <w:rFonts w:hint="eastAsia" w:ascii="宋体" w:hAnsi="宋体"/>
          <w:bCs/>
        </w:rPr>
        <w:t>）</w:t>
      </w:r>
      <w:r>
        <w:rPr>
          <w:rFonts w:ascii="宋体" w:hAnsi="宋体"/>
          <w:bCs/>
        </w:rPr>
        <w:t>声级叠加</w:t>
      </w:r>
    </w:p>
    <w:p w14:paraId="73D534D4">
      <w:pPr>
        <w:spacing w:before="60" w:after="60"/>
        <w:ind w:firstLine="0" w:firstLineChars="0"/>
        <w:jc w:val="center"/>
      </w:pPr>
      <w:r>
        <w:drawing>
          <wp:inline distT="0" distB="0" distL="0" distR="0">
            <wp:extent cx="1476375" cy="504825"/>
            <wp:effectExtent l="0" t="0" r="9525" b="9525"/>
            <wp:docPr id="109" name="图片 109" descr="C:\Users\ADMINI~1\AppData\Local\Temp\ksohtml\wps4AE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C:\Users\ADMINI~1\AppData\Local\Temp\ksohtml\wps4AEA.tmp.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476375" cy="504825"/>
                    </a:xfrm>
                    <a:prstGeom prst="rect">
                      <a:avLst/>
                    </a:prstGeom>
                    <a:noFill/>
                    <a:ln>
                      <a:noFill/>
                    </a:ln>
                  </pic:spPr>
                </pic:pic>
              </a:graphicData>
            </a:graphic>
          </wp:inline>
        </w:drawing>
      </w:r>
      <w:r>
        <w:t xml:space="preserve"> </w:t>
      </w:r>
    </w:p>
    <w:p w14:paraId="5558A8FE">
      <w:pPr>
        <w:pStyle w:val="4068"/>
      </w:pPr>
      <w:bookmarkStart w:id="243" w:name="_Toc100784043"/>
      <w:bookmarkStart w:id="244" w:name="_Toc101135875"/>
      <w:bookmarkStart w:id="245" w:name="_Toc108662652"/>
      <w:r>
        <w:rPr>
          <w:rFonts w:hint="eastAsia"/>
        </w:rPr>
        <w:t>5.</w:t>
      </w:r>
      <w:r>
        <w:t>3.3</w:t>
      </w:r>
      <w:r>
        <w:rPr>
          <w:rFonts w:hint="eastAsia"/>
        </w:rPr>
        <w:t>预测结果</w:t>
      </w:r>
      <w:r>
        <w:t>与分析</w:t>
      </w:r>
      <w:bookmarkEnd w:id="243"/>
      <w:bookmarkEnd w:id="244"/>
      <w:bookmarkEnd w:id="245"/>
    </w:p>
    <w:p w14:paraId="4557FB67">
      <w:pPr>
        <w:ind w:firstLine="480"/>
      </w:pPr>
      <w:r>
        <w:rPr>
          <w:rFonts w:ascii="宋体" w:hAnsi="宋体"/>
        </w:rPr>
        <w:t>应用上述预测模式计算厂界处的噪声排放声级，预测其对声环境的影响，</w:t>
      </w:r>
      <w:r>
        <w:rPr>
          <w:rFonts w:hint="eastAsia" w:ascii="宋体" w:hAnsi="宋体"/>
        </w:rPr>
        <w:t>噪声预测</w:t>
      </w:r>
      <w:r>
        <w:rPr>
          <w:rFonts w:ascii="宋体" w:hAnsi="宋体"/>
        </w:rPr>
        <w:t>结果</w:t>
      </w:r>
      <w:r>
        <w:rPr>
          <w:rFonts w:hint="eastAsia" w:ascii="宋体" w:hAnsi="宋体"/>
        </w:rPr>
        <w:t>见</w:t>
      </w:r>
      <w:r>
        <w:rPr>
          <w:rFonts w:ascii="宋体" w:hAnsi="宋体"/>
        </w:rPr>
        <w:t>表</w:t>
      </w:r>
      <w:r>
        <w:rPr>
          <w:rFonts w:hint="eastAsia"/>
        </w:rPr>
        <w:t>5.</w:t>
      </w:r>
      <w:r>
        <w:t>3.3-2</w:t>
      </w:r>
      <w:r>
        <w:rPr>
          <w:rFonts w:hint="eastAsia" w:ascii="宋体" w:hAnsi="宋体"/>
        </w:rPr>
        <w:t>，</w:t>
      </w:r>
      <w:r>
        <w:rPr>
          <w:rFonts w:ascii="宋体" w:hAnsi="宋体"/>
        </w:rPr>
        <w:t>噪声预测图见图</w:t>
      </w:r>
      <w:r>
        <w:rPr>
          <w:rFonts w:hint="eastAsia"/>
        </w:rPr>
        <w:t>5.</w:t>
      </w:r>
      <w:r>
        <w:t>3.3-1</w:t>
      </w:r>
      <w:r>
        <w:rPr>
          <w:rFonts w:ascii="宋体" w:hAnsi="宋体"/>
        </w:rPr>
        <w:t>。</w:t>
      </w:r>
    </w:p>
    <w:p w14:paraId="59D7419D">
      <w:pPr>
        <w:pStyle w:val="278"/>
        <w:ind w:firstLine="480"/>
        <w:rPr>
          <w:rFonts w:ascii="黑体" w:hAnsi="黑体"/>
        </w:rPr>
        <w:sectPr>
          <w:pgSz w:w="11907" w:h="16840"/>
          <w:pgMar w:top="1440" w:right="1440" w:bottom="1440" w:left="1440" w:header="851" w:footer="992" w:gutter="0"/>
          <w:cols w:space="720" w:num="1"/>
          <w:docGrid w:type="lines" w:linePitch="326" w:charSpace="0"/>
        </w:sectPr>
      </w:pPr>
    </w:p>
    <w:p w14:paraId="5B54842B">
      <w:pPr>
        <w:pStyle w:val="278"/>
        <w:ind w:firstLine="480"/>
      </w:pPr>
      <w:r>
        <w:rPr>
          <w:rFonts w:hint="eastAsia" w:ascii="黑体" w:hAnsi="黑体"/>
        </w:rPr>
        <w:t>表</w:t>
      </w:r>
      <w:r>
        <w:rPr>
          <w:rFonts w:hint="eastAsia"/>
        </w:rPr>
        <w:t>5.</w:t>
      </w:r>
      <w:r>
        <w:t xml:space="preserve">3.3-2  </w:t>
      </w:r>
      <w:r>
        <w:rPr>
          <w:rFonts w:hint="eastAsia" w:ascii="黑体" w:hAnsi="黑体"/>
        </w:rPr>
        <w:t>本项目</w:t>
      </w:r>
      <w:r>
        <w:rPr>
          <w:rFonts w:ascii="黑体" w:hAnsi="黑体"/>
        </w:rPr>
        <w:t>各监测点声环境质量预测结果</w:t>
      </w:r>
      <w:r>
        <w:rPr>
          <w:rFonts w:hint="eastAsia"/>
        </w:rPr>
        <w:t xml:space="preserve">  </w:t>
      </w:r>
      <w:r>
        <w:rPr>
          <w:rFonts w:hint="eastAsia" w:ascii="黑体" w:hAnsi="黑体"/>
        </w:rPr>
        <w:t>单位</w:t>
      </w:r>
      <w:r>
        <w:t>dB</w:t>
      </w:r>
      <w:r>
        <w:rPr>
          <w:rFonts w:hint="eastAsia" w:ascii="黑体" w:hAnsi="黑体"/>
        </w:rPr>
        <w:t>（</w:t>
      </w:r>
      <w:r>
        <w:rPr>
          <w:rFonts w:hint="eastAsia"/>
        </w:rPr>
        <w:t>A</w:t>
      </w:r>
      <w:r>
        <w:rPr>
          <w:rFonts w:hint="eastAsia" w:ascii="黑体" w:hAnsi="黑体"/>
        </w:rPr>
        <w:t>）</w:t>
      </w:r>
    </w:p>
    <w:tbl>
      <w:tblPr>
        <w:tblStyle w:val="6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766"/>
        <w:gridCol w:w="2204"/>
        <w:gridCol w:w="1766"/>
        <w:gridCol w:w="2198"/>
      </w:tblGrid>
      <w:tr w14:paraId="693F5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708" w:type="pct"/>
            <w:vMerge w:val="restart"/>
            <w:tcBorders>
              <w:top w:val="single" w:color="auto" w:sz="12" w:space="0"/>
              <w:left w:val="nil"/>
              <w:bottom w:val="single" w:color="auto" w:sz="4" w:space="0"/>
              <w:right w:val="single" w:color="auto" w:sz="4" w:space="0"/>
            </w:tcBorders>
            <w:vAlign w:val="center"/>
          </w:tcPr>
          <w:p w14:paraId="545F5916">
            <w:pPr>
              <w:pStyle w:val="445"/>
            </w:pPr>
            <w:r>
              <w:rPr>
                <w:rFonts w:hint="eastAsia"/>
              </w:rPr>
              <w:t>测点</w:t>
            </w:r>
          </w:p>
          <w:p w14:paraId="68E9774F">
            <w:pPr>
              <w:pStyle w:val="445"/>
            </w:pPr>
            <w:r>
              <w:rPr>
                <w:rFonts w:hint="eastAsia"/>
              </w:rPr>
              <w:t>序号</w:t>
            </w:r>
          </w:p>
        </w:tc>
        <w:tc>
          <w:tcPr>
            <w:tcW w:w="2147" w:type="pct"/>
            <w:gridSpan w:val="2"/>
            <w:tcBorders>
              <w:top w:val="single" w:color="auto" w:sz="12" w:space="0"/>
              <w:left w:val="single" w:color="auto" w:sz="4" w:space="0"/>
              <w:bottom w:val="single" w:color="auto" w:sz="4" w:space="0"/>
              <w:right w:val="single" w:color="auto" w:sz="4" w:space="0"/>
            </w:tcBorders>
            <w:vAlign w:val="center"/>
          </w:tcPr>
          <w:p w14:paraId="5F92F521">
            <w:pPr>
              <w:pStyle w:val="445"/>
            </w:pPr>
            <w:r>
              <w:rPr>
                <w:rFonts w:hint="eastAsia"/>
              </w:rPr>
              <w:t>昼间</w:t>
            </w:r>
          </w:p>
        </w:tc>
        <w:tc>
          <w:tcPr>
            <w:tcW w:w="2144" w:type="pct"/>
            <w:gridSpan w:val="2"/>
            <w:tcBorders>
              <w:top w:val="single" w:color="auto" w:sz="12" w:space="0"/>
              <w:left w:val="single" w:color="auto" w:sz="4" w:space="0"/>
              <w:bottom w:val="single" w:color="auto" w:sz="4" w:space="0"/>
              <w:right w:val="nil"/>
            </w:tcBorders>
            <w:vAlign w:val="center"/>
          </w:tcPr>
          <w:p w14:paraId="23D2CE41">
            <w:pPr>
              <w:pStyle w:val="445"/>
            </w:pPr>
            <w:r>
              <w:rPr>
                <w:rFonts w:hint="eastAsia"/>
              </w:rPr>
              <w:t>夜间</w:t>
            </w:r>
          </w:p>
        </w:tc>
      </w:tr>
      <w:tr w14:paraId="479A3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3CF5BF40">
            <w:pPr>
              <w:pStyle w:val="445"/>
              <w:rPr>
                <w:szCs w:val="18"/>
              </w:rPr>
            </w:pPr>
          </w:p>
        </w:tc>
        <w:tc>
          <w:tcPr>
            <w:tcW w:w="955" w:type="pct"/>
            <w:tcBorders>
              <w:top w:val="single" w:color="auto" w:sz="4" w:space="0"/>
              <w:left w:val="single" w:color="auto" w:sz="4" w:space="0"/>
              <w:bottom w:val="single" w:color="auto" w:sz="4" w:space="0"/>
              <w:right w:val="single" w:color="auto" w:sz="4" w:space="0"/>
            </w:tcBorders>
            <w:vAlign w:val="center"/>
          </w:tcPr>
          <w:p w14:paraId="3AB6CF98">
            <w:pPr>
              <w:pStyle w:val="445"/>
            </w:pPr>
            <w:r>
              <w:rPr>
                <w:rFonts w:hint="eastAsia"/>
              </w:rPr>
              <w:t>贡献值</w:t>
            </w:r>
          </w:p>
        </w:tc>
        <w:tc>
          <w:tcPr>
            <w:tcW w:w="1192" w:type="pct"/>
            <w:tcBorders>
              <w:top w:val="single" w:color="auto" w:sz="4" w:space="0"/>
              <w:left w:val="single" w:color="auto" w:sz="4" w:space="0"/>
              <w:bottom w:val="single" w:color="auto" w:sz="4" w:space="0"/>
              <w:right w:val="single" w:color="auto" w:sz="4" w:space="0"/>
            </w:tcBorders>
            <w:vAlign w:val="center"/>
          </w:tcPr>
          <w:p w14:paraId="1246CFCA">
            <w:pPr>
              <w:pStyle w:val="445"/>
            </w:pPr>
            <w:r>
              <w:rPr>
                <w:rFonts w:hint="eastAsia"/>
              </w:rPr>
              <w:t>评价结果</w:t>
            </w:r>
          </w:p>
        </w:tc>
        <w:tc>
          <w:tcPr>
            <w:tcW w:w="955" w:type="pct"/>
            <w:tcBorders>
              <w:top w:val="single" w:color="auto" w:sz="4" w:space="0"/>
              <w:left w:val="single" w:color="auto" w:sz="4" w:space="0"/>
              <w:bottom w:val="single" w:color="auto" w:sz="4" w:space="0"/>
              <w:right w:val="single" w:color="auto" w:sz="4" w:space="0"/>
            </w:tcBorders>
            <w:vAlign w:val="center"/>
          </w:tcPr>
          <w:p w14:paraId="419E3C7E">
            <w:pPr>
              <w:pStyle w:val="445"/>
            </w:pPr>
            <w:r>
              <w:rPr>
                <w:rFonts w:hint="eastAsia"/>
              </w:rPr>
              <w:t>贡献值</w:t>
            </w:r>
          </w:p>
        </w:tc>
        <w:tc>
          <w:tcPr>
            <w:tcW w:w="1189" w:type="pct"/>
            <w:tcBorders>
              <w:top w:val="single" w:color="auto" w:sz="4" w:space="0"/>
              <w:left w:val="single" w:color="auto" w:sz="4" w:space="0"/>
              <w:bottom w:val="single" w:color="auto" w:sz="4" w:space="0"/>
              <w:right w:val="nil"/>
            </w:tcBorders>
            <w:vAlign w:val="center"/>
          </w:tcPr>
          <w:p w14:paraId="6E838BE1">
            <w:pPr>
              <w:pStyle w:val="445"/>
            </w:pPr>
            <w:r>
              <w:rPr>
                <w:rFonts w:hint="eastAsia"/>
              </w:rPr>
              <w:t>评价结果</w:t>
            </w:r>
          </w:p>
        </w:tc>
      </w:tr>
      <w:tr w14:paraId="32688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708" w:type="pct"/>
            <w:tcBorders>
              <w:top w:val="single" w:color="auto" w:sz="4" w:space="0"/>
              <w:left w:val="nil"/>
              <w:bottom w:val="single" w:color="auto" w:sz="4" w:space="0"/>
              <w:right w:val="single" w:color="auto" w:sz="4" w:space="0"/>
            </w:tcBorders>
            <w:vAlign w:val="center"/>
          </w:tcPr>
          <w:p w14:paraId="030983FD">
            <w:pPr>
              <w:pStyle w:val="445"/>
            </w:pPr>
            <w:r>
              <w:t>N1</w:t>
            </w:r>
          </w:p>
        </w:tc>
        <w:tc>
          <w:tcPr>
            <w:tcW w:w="955" w:type="pct"/>
            <w:tcBorders>
              <w:top w:val="single" w:color="auto" w:sz="4" w:space="0"/>
              <w:left w:val="single" w:color="auto" w:sz="4" w:space="0"/>
              <w:bottom w:val="single" w:color="auto" w:sz="4" w:space="0"/>
              <w:right w:val="single" w:color="auto" w:sz="4" w:space="0"/>
            </w:tcBorders>
          </w:tcPr>
          <w:p w14:paraId="1F194519">
            <w:pPr>
              <w:pStyle w:val="445"/>
            </w:pPr>
            <w:r>
              <w:rPr>
                <w:rFonts w:hint="eastAsia"/>
              </w:rPr>
              <w:t>50.3</w:t>
            </w:r>
          </w:p>
        </w:tc>
        <w:tc>
          <w:tcPr>
            <w:tcW w:w="1192" w:type="pct"/>
            <w:tcBorders>
              <w:top w:val="single" w:color="auto" w:sz="4" w:space="0"/>
              <w:left w:val="single" w:color="auto" w:sz="4" w:space="0"/>
              <w:bottom w:val="single" w:color="auto" w:sz="4" w:space="0"/>
              <w:right w:val="single" w:color="auto" w:sz="4" w:space="0"/>
            </w:tcBorders>
          </w:tcPr>
          <w:p w14:paraId="277C8ECD">
            <w:pPr>
              <w:pStyle w:val="445"/>
            </w:pPr>
            <w:r>
              <w:rPr>
                <w:rFonts w:hint="eastAsia"/>
              </w:rPr>
              <w:t>达标</w:t>
            </w:r>
          </w:p>
        </w:tc>
        <w:tc>
          <w:tcPr>
            <w:tcW w:w="955" w:type="pct"/>
            <w:tcBorders>
              <w:top w:val="single" w:color="auto" w:sz="4" w:space="0"/>
              <w:left w:val="single" w:color="auto" w:sz="4" w:space="0"/>
              <w:bottom w:val="single" w:color="auto" w:sz="4" w:space="0"/>
              <w:right w:val="single" w:color="auto" w:sz="4" w:space="0"/>
            </w:tcBorders>
            <w:noWrap/>
          </w:tcPr>
          <w:p w14:paraId="707F1A39">
            <w:pPr>
              <w:pStyle w:val="445"/>
            </w:pPr>
            <w:r>
              <w:rPr>
                <w:rFonts w:hint="eastAsia"/>
              </w:rPr>
              <w:t>48.1</w:t>
            </w:r>
          </w:p>
        </w:tc>
        <w:tc>
          <w:tcPr>
            <w:tcW w:w="1189" w:type="pct"/>
            <w:tcBorders>
              <w:top w:val="single" w:color="auto" w:sz="4" w:space="0"/>
              <w:left w:val="single" w:color="auto" w:sz="4" w:space="0"/>
              <w:bottom w:val="single" w:color="auto" w:sz="4" w:space="0"/>
              <w:right w:val="nil"/>
            </w:tcBorders>
          </w:tcPr>
          <w:p w14:paraId="571DEF0C">
            <w:pPr>
              <w:pStyle w:val="445"/>
            </w:pPr>
            <w:r>
              <w:rPr>
                <w:rFonts w:hint="eastAsia"/>
              </w:rPr>
              <w:t>达标</w:t>
            </w:r>
          </w:p>
        </w:tc>
      </w:tr>
      <w:tr w14:paraId="4113A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708" w:type="pct"/>
            <w:tcBorders>
              <w:top w:val="single" w:color="auto" w:sz="4" w:space="0"/>
              <w:left w:val="nil"/>
              <w:bottom w:val="single" w:color="auto" w:sz="4" w:space="0"/>
              <w:right w:val="single" w:color="auto" w:sz="4" w:space="0"/>
            </w:tcBorders>
            <w:vAlign w:val="center"/>
          </w:tcPr>
          <w:p w14:paraId="6E125EC8">
            <w:pPr>
              <w:pStyle w:val="445"/>
            </w:pPr>
            <w:r>
              <w:t>N2</w:t>
            </w:r>
          </w:p>
        </w:tc>
        <w:tc>
          <w:tcPr>
            <w:tcW w:w="955" w:type="pct"/>
            <w:tcBorders>
              <w:top w:val="single" w:color="auto" w:sz="4" w:space="0"/>
              <w:left w:val="single" w:color="auto" w:sz="4" w:space="0"/>
              <w:bottom w:val="single" w:color="auto" w:sz="4" w:space="0"/>
              <w:right w:val="single" w:color="auto" w:sz="4" w:space="0"/>
            </w:tcBorders>
          </w:tcPr>
          <w:p w14:paraId="51CB126B">
            <w:pPr>
              <w:pStyle w:val="445"/>
            </w:pPr>
            <w:r>
              <w:rPr>
                <w:rFonts w:hint="eastAsia"/>
              </w:rPr>
              <w:t>54.7</w:t>
            </w:r>
          </w:p>
        </w:tc>
        <w:tc>
          <w:tcPr>
            <w:tcW w:w="1192" w:type="pct"/>
            <w:tcBorders>
              <w:top w:val="single" w:color="auto" w:sz="4" w:space="0"/>
              <w:left w:val="single" w:color="auto" w:sz="4" w:space="0"/>
              <w:bottom w:val="single" w:color="auto" w:sz="4" w:space="0"/>
              <w:right w:val="single" w:color="auto" w:sz="4" w:space="0"/>
            </w:tcBorders>
          </w:tcPr>
          <w:p w14:paraId="768E8522">
            <w:pPr>
              <w:pStyle w:val="445"/>
            </w:pPr>
            <w:r>
              <w:rPr>
                <w:rFonts w:hint="eastAsia"/>
              </w:rPr>
              <w:t>达标</w:t>
            </w:r>
          </w:p>
        </w:tc>
        <w:tc>
          <w:tcPr>
            <w:tcW w:w="955" w:type="pct"/>
            <w:tcBorders>
              <w:top w:val="single" w:color="auto" w:sz="4" w:space="0"/>
              <w:left w:val="single" w:color="auto" w:sz="4" w:space="0"/>
              <w:bottom w:val="single" w:color="auto" w:sz="4" w:space="0"/>
              <w:right w:val="single" w:color="auto" w:sz="4" w:space="0"/>
            </w:tcBorders>
            <w:noWrap/>
          </w:tcPr>
          <w:p w14:paraId="549669A1">
            <w:pPr>
              <w:pStyle w:val="445"/>
            </w:pPr>
            <w:r>
              <w:rPr>
                <w:rFonts w:hint="eastAsia"/>
              </w:rPr>
              <w:t>53.7</w:t>
            </w:r>
          </w:p>
        </w:tc>
        <w:tc>
          <w:tcPr>
            <w:tcW w:w="1189" w:type="pct"/>
            <w:tcBorders>
              <w:top w:val="single" w:color="auto" w:sz="4" w:space="0"/>
              <w:left w:val="single" w:color="auto" w:sz="4" w:space="0"/>
              <w:bottom w:val="single" w:color="auto" w:sz="4" w:space="0"/>
              <w:right w:val="nil"/>
            </w:tcBorders>
          </w:tcPr>
          <w:p w14:paraId="295F1E21">
            <w:pPr>
              <w:pStyle w:val="445"/>
            </w:pPr>
            <w:r>
              <w:rPr>
                <w:rFonts w:hint="eastAsia"/>
              </w:rPr>
              <w:t>达标</w:t>
            </w:r>
          </w:p>
        </w:tc>
      </w:tr>
      <w:tr w14:paraId="09E05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708" w:type="pct"/>
            <w:tcBorders>
              <w:top w:val="single" w:color="auto" w:sz="4" w:space="0"/>
              <w:left w:val="nil"/>
              <w:bottom w:val="single" w:color="auto" w:sz="4" w:space="0"/>
              <w:right w:val="single" w:color="auto" w:sz="4" w:space="0"/>
            </w:tcBorders>
            <w:vAlign w:val="center"/>
          </w:tcPr>
          <w:p w14:paraId="2AEA8B94">
            <w:pPr>
              <w:pStyle w:val="445"/>
            </w:pPr>
            <w:r>
              <w:t>N3</w:t>
            </w:r>
          </w:p>
        </w:tc>
        <w:tc>
          <w:tcPr>
            <w:tcW w:w="955" w:type="pct"/>
            <w:tcBorders>
              <w:top w:val="single" w:color="auto" w:sz="4" w:space="0"/>
              <w:left w:val="single" w:color="auto" w:sz="4" w:space="0"/>
              <w:bottom w:val="single" w:color="auto" w:sz="4" w:space="0"/>
              <w:right w:val="single" w:color="auto" w:sz="4" w:space="0"/>
            </w:tcBorders>
          </w:tcPr>
          <w:p w14:paraId="02F97500">
            <w:pPr>
              <w:pStyle w:val="445"/>
            </w:pPr>
            <w:r>
              <w:rPr>
                <w:rFonts w:hint="eastAsia"/>
              </w:rPr>
              <w:t>54.3</w:t>
            </w:r>
          </w:p>
        </w:tc>
        <w:tc>
          <w:tcPr>
            <w:tcW w:w="1192" w:type="pct"/>
            <w:tcBorders>
              <w:top w:val="single" w:color="auto" w:sz="4" w:space="0"/>
              <w:left w:val="single" w:color="auto" w:sz="4" w:space="0"/>
              <w:bottom w:val="single" w:color="auto" w:sz="4" w:space="0"/>
              <w:right w:val="single" w:color="auto" w:sz="4" w:space="0"/>
            </w:tcBorders>
          </w:tcPr>
          <w:p w14:paraId="370A385F">
            <w:pPr>
              <w:pStyle w:val="445"/>
            </w:pPr>
            <w:r>
              <w:rPr>
                <w:rFonts w:hint="eastAsia"/>
              </w:rPr>
              <w:t>达标</w:t>
            </w:r>
          </w:p>
        </w:tc>
        <w:tc>
          <w:tcPr>
            <w:tcW w:w="955" w:type="pct"/>
            <w:tcBorders>
              <w:top w:val="single" w:color="auto" w:sz="4" w:space="0"/>
              <w:left w:val="single" w:color="auto" w:sz="4" w:space="0"/>
              <w:bottom w:val="single" w:color="auto" w:sz="4" w:space="0"/>
              <w:right w:val="single" w:color="auto" w:sz="4" w:space="0"/>
            </w:tcBorders>
            <w:noWrap/>
          </w:tcPr>
          <w:p w14:paraId="1E217746">
            <w:pPr>
              <w:pStyle w:val="445"/>
            </w:pPr>
            <w:r>
              <w:rPr>
                <w:rFonts w:hint="eastAsia"/>
              </w:rPr>
              <w:t>53.4</w:t>
            </w:r>
          </w:p>
        </w:tc>
        <w:tc>
          <w:tcPr>
            <w:tcW w:w="1189" w:type="pct"/>
            <w:tcBorders>
              <w:top w:val="single" w:color="auto" w:sz="4" w:space="0"/>
              <w:left w:val="single" w:color="auto" w:sz="4" w:space="0"/>
              <w:bottom w:val="single" w:color="auto" w:sz="4" w:space="0"/>
              <w:right w:val="nil"/>
            </w:tcBorders>
          </w:tcPr>
          <w:p w14:paraId="04E96BFC">
            <w:pPr>
              <w:pStyle w:val="445"/>
            </w:pPr>
            <w:r>
              <w:rPr>
                <w:rFonts w:hint="eastAsia"/>
              </w:rPr>
              <w:t>达标</w:t>
            </w:r>
          </w:p>
        </w:tc>
      </w:tr>
      <w:tr w14:paraId="33BE9C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708" w:type="pct"/>
            <w:tcBorders>
              <w:top w:val="single" w:color="auto" w:sz="4" w:space="0"/>
              <w:left w:val="nil"/>
              <w:bottom w:val="single" w:color="auto" w:sz="12" w:space="0"/>
              <w:right w:val="single" w:color="auto" w:sz="4" w:space="0"/>
            </w:tcBorders>
            <w:vAlign w:val="center"/>
          </w:tcPr>
          <w:p w14:paraId="7E22F7EB">
            <w:pPr>
              <w:pStyle w:val="445"/>
            </w:pPr>
            <w:r>
              <w:t>N4</w:t>
            </w:r>
          </w:p>
        </w:tc>
        <w:tc>
          <w:tcPr>
            <w:tcW w:w="955" w:type="pct"/>
            <w:tcBorders>
              <w:top w:val="single" w:color="auto" w:sz="4" w:space="0"/>
              <w:left w:val="single" w:color="auto" w:sz="4" w:space="0"/>
              <w:bottom w:val="single" w:color="auto" w:sz="12" w:space="0"/>
              <w:right w:val="single" w:color="auto" w:sz="4" w:space="0"/>
            </w:tcBorders>
          </w:tcPr>
          <w:p w14:paraId="1E8DE756">
            <w:pPr>
              <w:pStyle w:val="445"/>
            </w:pPr>
            <w:r>
              <w:rPr>
                <w:rFonts w:hint="eastAsia"/>
              </w:rPr>
              <w:t>51.7</w:t>
            </w:r>
          </w:p>
        </w:tc>
        <w:tc>
          <w:tcPr>
            <w:tcW w:w="1192" w:type="pct"/>
            <w:tcBorders>
              <w:top w:val="single" w:color="auto" w:sz="4" w:space="0"/>
              <w:left w:val="single" w:color="auto" w:sz="4" w:space="0"/>
              <w:bottom w:val="single" w:color="auto" w:sz="12" w:space="0"/>
              <w:right w:val="single" w:color="auto" w:sz="4" w:space="0"/>
            </w:tcBorders>
          </w:tcPr>
          <w:p w14:paraId="44F0968C">
            <w:pPr>
              <w:pStyle w:val="445"/>
            </w:pPr>
            <w:r>
              <w:rPr>
                <w:rFonts w:hint="eastAsia"/>
              </w:rPr>
              <w:t>达标</w:t>
            </w:r>
          </w:p>
        </w:tc>
        <w:tc>
          <w:tcPr>
            <w:tcW w:w="955" w:type="pct"/>
            <w:tcBorders>
              <w:top w:val="single" w:color="auto" w:sz="4" w:space="0"/>
              <w:left w:val="single" w:color="auto" w:sz="4" w:space="0"/>
              <w:bottom w:val="single" w:color="auto" w:sz="12" w:space="0"/>
              <w:right w:val="single" w:color="auto" w:sz="4" w:space="0"/>
            </w:tcBorders>
            <w:noWrap/>
          </w:tcPr>
          <w:p w14:paraId="5CCC5D90">
            <w:pPr>
              <w:pStyle w:val="445"/>
            </w:pPr>
            <w:r>
              <w:rPr>
                <w:rFonts w:hint="eastAsia"/>
              </w:rPr>
              <w:t>49.1</w:t>
            </w:r>
          </w:p>
        </w:tc>
        <w:tc>
          <w:tcPr>
            <w:tcW w:w="1189" w:type="pct"/>
            <w:tcBorders>
              <w:top w:val="single" w:color="auto" w:sz="4" w:space="0"/>
              <w:left w:val="single" w:color="auto" w:sz="4" w:space="0"/>
              <w:bottom w:val="single" w:color="auto" w:sz="12" w:space="0"/>
              <w:right w:val="nil"/>
            </w:tcBorders>
          </w:tcPr>
          <w:p w14:paraId="272E3BF3">
            <w:pPr>
              <w:pStyle w:val="445"/>
            </w:pPr>
            <w:r>
              <w:rPr>
                <w:rFonts w:hint="eastAsia"/>
              </w:rPr>
              <w:t>达标</w:t>
            </w:r>
          </w:p>
        </w:tc>
      </w:tr>
    </w:tbl>
    <w:p w14:paraId="10B86220">
      <w:pPr>
        <w:ind w:firstLine="480"/>
      </w:pPr>
      <w:r>
        <w:rPr>
          <w:rFonts w:ascii="宋体" w:hAnsi="宋体"/>
        </w:rPr>
        <w:t>由噪声影响预测结果可知，本项目运营期对厂界的噪声贡献值均可满足《工业企业厂界环境噪声排放标准》（</w:t>
      </w:r>
      <w:r>
        <w:t>GB12348-2008</w:t>
      </w:r>
      <w:r>
        <w:rPr>
          <w:rFonts w:ascii="宋体" w:hAnsi="宋体"/>
        </w:rPr>
        <w:t>）中</w:t>
      </w:r>
      <w:r>
        <w:t>3</w:t>
      </w:r>
      <w:r>
        <w:rPr>
          <w:rFonts w:ascii="宋体" w:hAnsi="宋体"/>
        </w:rPr>
        <w:t>类标准限值要求，厂界噪声预测值满足《声环境质量标准》（</w:t>
      </w:r>
      <w:r>
        <w:t>GB3096-2008</w:t>
      </w:r>
      <w:r>
        <w:rPr>
          <w:rFonts w:ascii="宋体" w:hAnsi="宋体"/>
        </w:rPr>
        <w:t>）</w:t>
      </w:r>
      <w:r>
        <w:t>3</w:t>
      </w:r>
      <w:r>
        <w:rPr>
          <w:rFonts w:ascii="宋体" w:hAnsi="宋体"/>
        </w:rPr>
        <w:t>类标准。</w:t>
      </w:r>
    </w:p>
    <w:p w14:paraId="0C992518">
      <w:pPr>
        <w:pStyle w:val="4065"/>
      </w:pPr>
      <w:bookmarkStart w:id="246" w:name="_Toc15966"/>
      <w:bookmarkEnd w:id="246"/>
      <w:bookmarkStart w:id="247" w:name="_Toc87977851"/>
      <w:bookmarkStart w:id="248" w:name="_Toc108662653"/>
      <w:r>
        <w:rPr>
          <w:rFonts w:hint="eastAsia"/>
        </w:rPr>
        <w:t>5.4固体废物环境影响分析</w:t>
      </w:r>
      <w:bookmarkEnd w:id="247"/>
      <w:bookmarkEnd w:id="248"/>
    </w:p>
    <w:p w14:paraId="6A30B76C">
      <w:pPr>
        <w:pStyle w:val="4068"/>
      </w:pPr>
      <w:bookmarkStart w:id="249" w:name="_Toc108662654"/>
      <w:bookmarkStart w:id="250" w:name="_Toc100784045"/>
      <w:bookmarkStart w:id="251" w:name="_Toc101135877"/>
      <w:r>
        <w:rPr>
          <w:rFonts w:hint="eastAsia"/>
        </w:rPr>
        <w:t>5.4.1固体废物产生情况</w:t>
      </w:r>
      <w:bookmarkEnd w:id="249"/>
      <w:bookmarkEnd w:id="250"/>
      <w:bookmarkEnd w:id="251"/>
    </w:p>
    <w:p w14:paraId="69F9A2CB">
      <w:pPr>
        <w:ind w:firstLine="480"/>
      </w:pPr>
      <w:r>
        <w:rPr>
          <w:rFonts w:hint="eastAsia"/>
        </w:rPr>
        <w:t>扩建</w:t>
      </w:r>
      <w:r>
        <w:rPr>
          <w:rFonts w:ascii="宋体" w:hAnsi="宋体"/>
        </w:rPr>
        <w:t>项目产生的固体废物主要为废活性炭</w:t>
      </w:r>
      <w:r>
        <w:rPr>
          <w:rFonts w:hint="eastAsia" w:ascii="宋体" w:hAnsi="宋体"/>
        </w:rPr>
        <w:t>、</w:t>
      </w:r>
      <w:r>
        <w:rPr>
          <w:rFonts w:ascii="宋体" w:hAnsi="宋体"/>
        </w:rPr>
        <w:t>生活垃圾</w:t>
      </w:r>
      <w:r>
        <w:rPr>
          <w:rFonts w:hint="eastAsia" w:ascii="宋体" w:hAnsi="宋体"/>
        </w:rPr>
        <w:t>、二氧化硅微粉、精馏残液、实验室</w:t>
      </w:r>
      <w:r>
        <w:rPr>
          <w:rFonts w:ascii="宋体" w:hAnsi="宋体"/>
        </w:rPr>
        <w:t>废物、</w:t>
      </w:r>
      <w:r>
        <w:rPr>
          <w:rFonts w:hint="eastAsia" w:ascii="宋体" w:hAnsi="宋体"/>
        </w:rPr>
        <w:t>废催化剂</w:t>
      </w:r>
      <w:r>
        <w:rPr>
          <w:rFonts w:ascii="宋体" w:hAnsi="宋体"/>
        </w:rPr>
        <w:t>、</w:t>
      </w:r>
      <w:r>
        <w:rPr>
          <w:rFonts w:hint="eastAsia" w:ascii="宋体" w:hAnsi="宋体"/>
        </w:rPr>
        <w:t>污泥</w:t>
      </w:r>
      <w:r>
        <w:rPr>
          <w:rFonts w:ascii="宋体" w:hAnsi="宋体"/>
        </w:rPr>
        <w:t>、</w:t>
      </w:r>
      <w:r>
        <w:rPr>
          <w:rFonts w:hint="eastAsia" w:ascii="宋体" w:hAnsi="宋体"/>
        </w:rPr>
        <w:t>布袋</w:t>
      </w:r>
      <w:r>
        <w:rPr>
          <w:rFonts w:ascii="宋体" w:hAnsi="宋体"/>
        </w:rPr>
        <w:t>收集粉尘、</w:t>
      </w:r>
      <w:r>
        <w:rPr>
          <w:rFonts w:hint="eastAsia" w:ascii="宋体" w:hAnsi="宋体"/>
        </w:rPr>
        <w:t>废</w:t>
      </w:r>
      <w:r>
        <w:rPr>
          <w:rFonts w:ascii="宋体" w:hAnsi="宋体"/>
        </w:rPr>
        <w:t>分子筛、废树脂</w:t>
      </w:r>
      <w:r>
        <w:rPr>
          <w:rFonts w:hint="eastAsia" w:ascii="宋体" w:hAnsi="宋体"/>
        </w:rPr>
        <w:t>、废矿物油</w:t>
      </w:r>
      <w:r>
        <w:rPr>
          <w:rFonts w:ascii="宋体" w:hAnsi="宋体"/>
        </w:rPr>
        <w:t>和</w:t>
      </w:r>
      <w:r>
        <w:rPr>
          <w:rFonts w:hint="eastAsia" w:ascii="宋体" w:hAnsi="宋体"/>
        </w:rPr>
        <w:t>硫酸铵</w:t>
      </w:r>
      <w:r>
        <w:rPr>
          <w:rFonts w:ascii="宋体" w:hAnsi="宋体"/>
        </w:rPr>
        <w:t>。</w:t>
      </w:r>
    </w:p>
    <w:p w14:paraId="28E7298D">
      <w:pPr>
        <w:pStyle w:val="4068"/>
      </w:pPr>
      <w:bookmarkStart w:id="252" w:name="_Toc108662655"/>
      <w:bookmarkStart w:id="253" w:name="_Toc101135878"/>
      <w:bookmarkStart w:id="254" w:name="_Toc100784046"/>
      <w:r>
        <w:rPr>
          <w:rFonts w:hint="eastAsia"/>
        </w:rPr>
        <w:t>5.4.2固体废物处理处置情况</w:t>
      </w:r>
      <w:bookmarkEnd w:id="252"/>
      <w:bookmarkEnd w:id="253"/>
      <w:bookmarkEnd w:id="254"/>
      <w:r>
        <w:rPr>
          <w:rFonts w:hint="eastAsia"/>
        </w:rPr>
        <w:t xml:space="preserve"> </w:t>
      </w:r>
    </w:p>
    <w:p w14:paraId="4731DDF7">
      <w:pPr>
        <w:ind w:firstLine="480"/>
      </w:pPr>
      <w:r>
        <w:rPr>
          <w:rFonts w:hint="eastAsia"/>
        </w:rPr>
        <w:t>扩建</w:t>
      </w:r>
      <w:r>
        <w:rPr>
          <w:rFonts w:hint="eastAsia" w:ascii="宋体" w:hAnsi="宋体"/>
        </w:rPr>
        <w:t>项目</w:t>
      </w:r>
      <w:r>
        <w:rPr>
          <w:rFonts w:ascii="宋体" w:hAnsi="宋体"/>
        </w:rPr>
        <w:t>生产过程中</w:t>
      </w:r>
      <w:r>
        <w:rPr>
          <w:rFonts w:hint="eastAsia" w:ascii="宋体" w:hAnsi="宋体"/>
        </w:rPr>
        <w:t>产生</w:t>
      </w:r>
      <w:r>
        <w:rPr>
          <w:rFonts w:ascii="宋体" w:hAnsi="宋体"/>
        </w:rPr>
        <w:t>的</w:t>
      </w:r>
      <w:r>
        <w:rPr>
          <w:rFonts w:hint="eastAsia" w:ascii="宋体" w:hAnsi="宋体"/>
        </w:rPr>
        <w:t>废活性炭、精馏残液、</w:t>
      </w:r>
      <w:r>
        <w:rPr>
          <w:rFonts w:ascii="宋体" w:hAnsi="宋体"/>
        </w:rPr>
        <w:t>氟化钙</w:t>
      </w:r>
      <w:r>
        <w:rPr>
          <w:rFonts w:hint="eastAsia" w:ascii="宋体" w:hAnsi="宋体"/>
        </w:rPr>
        <w:t>、废矿物油、硫酸铵、</w:t>
      </w:r>
      <w:r>
        <w:rPr>
          <w:rFonts w:ascii="宋体" w:hAnsi="宋体"/>
        </w:rPr>
        <w:t>污泥</w:t>
      </w:r>
      <w:r>
        <w:rPr>
          <w:rFonts w:hint="eastAsia" w:ascii="宋体" w:hAnsi="宋体"/>
        </w:rPr>
        <w:t>及实验室废物属于危险废物，交由有资质单位进行处置，生活垃圾拟由环卫部门清运处理，</w:t>
      </w:r>
      <w:r>
        <w:rPr>
          <w:rFonts w:ascii="宋体" w:hAnsi="宋体"/>
        </w:rPr>
        <w:t>二氧化硅</w:t>
      </w:r>
      <w:r>
        <w:rPr>
          <w:rFonts w:hint="eastAsia" w:ascii="宋体" w:hAnsi="宋体"/>
        </w:rPr>
        <w:t>微粉、和布袋</w:t>
      </w:r>
      <w:r>
        <w:rPr>
          <w:rFonts w:ascii="宋体" w:hAnsi="宋体"/>
        </w:rPr>
        <w:t>收集粉尘外售</w:t>
      </w:r>
      <w:r>
        <w:rPr>
          <w:rFonts w:hint="eastAsia" w:ascii="宋体" w:hAnsi="宋体"/>
        </w:rPr>
        <w:t>，废</w:t>
      </w:r>
      <w:r>
        <w:rPr>
          <w:rFonts w:ascii="宋体" w:hAnsi="宋体"/>
        </w:rPr>
        <w:t>分子筛</w:t>
      </w:r>
      <w:r>
        <w:rPr>
          <w:rFonts w:hint="eastAsia" w:ascii="宋体" w:hAnsi="宋体"/>
        </w:rPr>
        <w:t>、</w:t>
      </w:r>
      <w:r>
        <w:rPr>
          <w:rFonts w:ascii="宋体" w:hAnsi="宋体"/>
        </w:rPr>
        <w:t>废树脂</w:t>
      </w:r>
      <w:r>
        <w:rPr>
          <w:rFonts w:hint="eastAsia" w:ascii="宋体" w:hAnsi="宋体"/>
        </w:rPr>
        <w:t>和</w:t>
      </w:r>
      <w:r>
        <w:rPr>
          <w:rFonts w:ascii="宋体" w:hAnsi="宋体"/>
        </w:rPr>
        <w:t>废催化剂交由厂家回收</w:t>
      </w:r>
      <w:r>
        <w:rPr>
          <w:rFonts w:hint="eastAsia" w:ascii="宋体" w:hAnsi="宋体"/>
        </w:rPr>
        <w:t>。</w:t>
      </w:r>
    </w:p>
    <w:p w14:paraId="5F1D1B1B">
      <w:pPr>
        <w:pStyle w:val="278"/>
        <w:ind w:firstLine="480"/>
      </w:pPr>
      <w:r>
        <w:rPr>
          <w:rFonts w:ascii="黑体" w:hAnsi="黑体"/>
        </w:rPr>
        <w:t>表</w:t>
      </w:r>
      <w:r>
        <w:rPr>
          <w:rFonts w:hint="eastAsia"/>
        </w:rPr>
        <w:t>5</w:t>
      </w:r>
      <w:r>
        <w:t>.</w:t>
      </w:r>
      <w:r>
        <w:rPr>
          <w:rFonts w:hint="eastAsia"/>
        </w:rPr>
        <w:t>4</w:t>
      </w:r>
      <w:r>
        <w:t xml:space="preserve">.2-1  </w:t>
      </w:r>
      <w:r>
        <w:rPr>
          <w:rFonts w:hint="eastAsia"/>
        </w:rPr>
        <w:t>扩建</w:t>
      </w:r>
      <w:r>
        <w:rPr>
          <w:rFonts w:ascii="黑体" w:hAnsi="黑体"/>
        </w:rPr>
        <w:t>项目固废产生</w:t>
      </w:r>
      <w:r>
        <w:rPr>
          <w:rFonts w:hint="eastAsia" w:ascii="黑体" w:hAnsi="黑体"/>
        </w:rPr>
        <w:t>处置</w:t>
      </w:r>
      <w:r>
        <w:rPr>
          <w:rFonts w:ascii="黑体" w:hAnsi="黑体"/>
        </w:rPr>
        <w:t>情况汇总表</w:t>
      </w:r>
    </w:p>
    <w:p w14:paraId="6CA7403E">
      <w:pPr>
        <w:pStyle w:val="278"/>
      </w:pPr>
      <w:bookmarkStart w:id="255" w:name="_Toc101135879"/>
      <w:bookmarkStart w:id="256" w:name="_Toc100784047"/>
      <w:r>
        <w:t>表5.4.2-2  本项目危险废物贮存场所基本情况一览表</w:t>
      </w:r>
    </w:p>
    <w:p w14:paraId="6EC22DF7">
      <w:pPr>
        <w:pStyle w:val="4068"/>
        <w:rPr>
          <w:rFonts w:cs="Times New Roman"/>
        </w:rPr>
      </w:pPr>
      <w:bookmarkStart w:id="257" w:name="_Toc108662656"/>
      <w:r>
        <w:rPr>
          <w:rFonts w:hint="eastAsia"/>
        </w:rPr>
        <w:t>5.4.3固体废物环境影响分析</w:t>
      </w:r>
      <w:bookmarkEnd w:id="255"/>
      <w:bookmarkEnd w:id="256"/>
      <w:bookmarkEnd w:id="257"/>
    </w:p>
    <w:p w14:paraId="2A6A59DD">
      <w:pPr>
        <w:ind w:firstLine="480"/>
      </w:pPr>
      <w:r>
        <w:rPr>
          <w:rFonts w:hint="eastAsia" w:ascii="宋体" w:hAnsi="宋体"/>
        </w:rPr>
        <w:t>固体废物从产生、收集、贮存、转运、处置等各个环节都可能因管理不善而进入环境，因此必须从各个环节进行全方位管理，采取有效的措施防止固废在收集、贮存、运输过程中的散失，并采取有效处置的反感和技术，首先从资源化角度进行综合利用，对于不能利用的部分遵循</w:t>
      </w:r>
      <w:r>
        <w:rPr>
          <w:rFonts w:hint="eastAsia"/>
        </w:rPr>
        <w:t>“无害化”的原则进行有效处置。</w:t>
      </w:r>
    </w:p>
    <w:p w14:paraId="4D0633F3">
      <w:pPr>
        <w:ind w:firstLine="480"/>
      </w:pPr>
      <w:r>
        <w:rPr>
          <w:rFonts w:hint="eastAsia" w:ascii="宋体" w:hAnsi="宋体"/>
        </w:rPr>
        <w:t>（</w:t>
      </w:r>
      <w:r>
        <w:rPr>
          <w:rFonts w:hint="eastAsia"/>
        </w:rPr>
        <w:t>1</w:t>
      </w:r>
      <w:r>
        <w:rPr>
          <w:rFonts w:hint="eastAsia" w:ascii="宋体" w:hAnsi="宋体"/>
        </w:rPr>
        <w:t>）本项目需严格执行《危险废物贮存控制技术标准》（</w:t>
      </w:r>
      <w:r>
        <w:rPr>
          <w:rFonts w:hint="eastAsia"/>
        </w:rPr>
        <w:t>GB18597-2001</w:t>
      </w:r>
      <w:r>
        <w:rPr>
          <w:rFonts w:hint="eastAsia" w:ascii="宋体" w:hAnsi="宋体"/>
        </w:rPr>
        <w:t>）及其修改单和《一般工业固体废物贮存和填埋污染控制标准》（</w:t>
      </w:r>
      <w:r>
        <w:rPr>
          <w:rFonts w:hint="eastAsia"/>
        </w:rPr>
        <w:t>GB18599-2020</w:t>
      </w:r>
      <w:r>
        <w:rPr>
          <w:rFonts w:hint="eastAsia" w:ascii="宋体" w:hAnsi="宋体"/>
        </w:rPr>
        <w:t>）要求，危险废物和一般废物收集后由厂区内叉车分别运送至危险废物暂存库、</w:t>
      </w:r>
      <w:r>
        <w:rPr>
          <w:rFonts w:ascii="宋体" w:hAnsi="宋体"/>
        </w:rPr>
        <w:t>污泥暂存库和固废</w:t>
      </w:r>
      <w:r>
        <w:rPr>
          <w:rFonts w:hint="eastAsia" w:ascii="宋体" w:hAnsi="宋体"/>
        </w:rPr>
        <w:t>库，分类、分区暂存，杜绝混合存放。</w:t>
      </w:r>
    </w:p>
    <w:p w14:paraId="0203C1C1">
      <w:pPr>
        <w:ind w:firstLine="480"/>
      </w:pPr>
      <w:r>
        <w:rPr>
          <w:rFonts w:hint="eastAsia" w:ascii="宋体" w:hAnsi="宋体"/>
        </w:rPr>
        <w:t>（</w:t>
      </w:r>
      <w:r>
        <w:rPr>
          <w:rFonts w:hint="eastAsia"/>
        </w:rPr>
        <w:t>2</w:t>
      </w:r>
      <w:r>
        <w:rPr>
          <w:rFonts w:hint="eastAsia" w:ascii="宋体" w:hAnsi="宋体"/>
        </w:rPr>
        <w:t>）厂区收集的危险废物暂存至危险废物仓库，同时做好危险废物管理台账。危险废物暂存库由专人管理。</w:t>
      </w:r>
    </w:p>
    <w:p w14:paraId="652CBFBC">
      <w:pPr>
        <w:ind w:firstLine="480"/>
      </w:pPr>
      <w:r>
        <w:rPr>
          <w:rFonts w:hint="eastAsia" w:ascii="宋体" w:hAnsi="宋体"/>
        </w:rPr>
        <w:t>综上所述，本项目产生的固体废物通过以上方法处理处置后，不会对周围环境产生名明显不利影响。固体废物处理处置前在厂区内堆放、贮存的场所应按照国际固体废物贮存有关要求设置，在场内存放时要有防水、防渗、防流失的措施，避免对周围环境产生影响</w:t>
      </w:r>
      <w:r>
        <w:rPr>
          <w:rFonts w:ascii="宋体" w:hAnsi="宋体"/>
        </w:rPr>
        <w:t>。</w:t>
      </w:r>
    </w:p>
    <w:p w14:paraId="00C4791A">
      <w:pPr>
        <w:pStyle w:val="4068"/>
      </w:pPr>
      <w:bookmarkStart w:id="258" w:name="_Toc100784048"/>
      <w:bookmarkStart w:id="259" w:name="_Toc108662657"/>
      <w:bookmarkStart w:id="260" w:name="_Toc101135880"/>
      <w:r>
        <w:rPr>
          <w:rFonts w:hint="eastAsia"/>
        </w:rPr>
        <w:t>5.4.4固废运输环境影响分析</w:t>
      </w:r>
      <w:bookmarkEnd w:id="258"/>
      <w:bookmarkEnd w:id="259"/>
      <w:bookmarkEnd w:id="260"/>
    </w:p>
    <w:p w14:paraId="0C6690D9">
      <w:pPr>
        <w:ind w:firstLine="480"/>
      </w:pPr>
      <w:r>
        <w:rPr>
          <w:rFonts w:ascii="宋体" w:hAnsi="宋体"/>
        </w:rPr>
        <w:t>项目危险废物定期用专用运输车辆分类外运至有相关处理资质的处置单位进行处理。危险废物处置公司将委派专人负责，各种废弃物的储存容器都有很好的密封性，安全可靠，不会受到风雨侵蚀，可有效地防止临时存放过程中的二次污染。</w:t>
      </w:r>
    </w:p>
    <w:p w14:paraId="55CF835D">
      <w:pPr>
        <w:ind w:firstLine="480"/>
      </w:pPr>
      <w:r>
        <w:rPr>
          <w:rFonts w:ascii="宋体" w:hAnsi="宋体"/>
        </w:rPr>
        <w:t>根据中华人民共和国国务院令第</w:t>
      </w:r>
      <w:r>
        <w:t>344</w:t>
      </w:r>
      <w:r>
        <w:rPr>
          <w:rFonts w:ascii="宋体" w:hAnsi="宋体"/>
        </w:rPr>
        <w:t>号《危险化学品安全管理条例》的有关规定，在危险废弃物外运至处置单位时必须严格遵守以下要求：</w:t>
      </w:r>
    </w:p>
    <w:p w14:paraId="14EF6469">
      <w:pPr>
        <w:ind w:firstLine="480"/>
      </w:pPr>
      <w:r>
        <w:rPr>
          <w:rFonts w:hint="eastAsia" w:ascii="宋体" w:hAnsi="宋体"/>
        </w:rPr>
        <w:t>（</w:t>
      </w:r>
      <w:r>
        <w:rPr>
          <w:rFonts w:hint="eastAsia"/>
        </w:rPr>
        <w:t>1</w:t>
      </w:r>
      <w:r>
        <w:rPr>
          <w:rFonts w:hint="eastAsia" w:ascii="宋体" w:hAnsi="宋体"/>
        </w:rPr>
        <w:t>）</w:t>
      </w:r>
      <w:r>
        <w:rPr>
          <w:rFonts w:ascii="宋体" w:hAnsi="宋体"/>
        </w:rPr>
        <w:t>做好每次外运处置废弃物的运输登记，按照危险废物转移规定开展网上申报。</w:t>
      </w:r>
    </w:p>
    <w:p w14:paraId="3EEBD53B">
      <w:pPr>
        <w:ind w:firstLine="480"/>
      </w:pPr>
      <w:r>
        <w:rPr>
          <w:rFonts w:hint="eastAsia" w:ascii="宋体" w:hAnsi="宋体"/>
        </w:rPr>
        <w:t>（</w:t>
      </w:r>
      <w:r>
        <w:rPr>
          <w:rFonts w:hint="eastAsia"/>
        </w:rPr>
        <w:t>2</w:t>
      </w:r>
      <w:r>
        <w:rPr>
          <w:rFonts w:hint="eastAsia" w:ascii="宋体" w:hAnsi="宋体"/>
        </w:rPr>
        <w:t>）</w:t>
      </w:r>
      <w:r>
        <w:rPr>
          <w:rFonts w:ascii="宋体" w:hAnsi="宋体"/>
        </w:rPr>
        <w:t>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785FFE0A">
      <w:pPr>
        <w:ind w:firstLine="480"/>
      </w:pPr>
      <w:r>
        <w:rPr>
          <w:rFonts w:hint="eastAsia" w:ascii="宋体" w:hAnsi="宋体"/>
        </w:rPr>
        <w:t>（</w:t>
      </w:r>
      <w:r>
        <w:rPr>
          <w:rFonts w:hint="eastAsia"/>
        </w:rPr>
        <w:t>3</w:t>
      </w:r>
      <w:r>
        <w:rPr>
          <w:rFonts w:hint="eastAsia" w:ascii="宋体" w:hAnsi="宋体"/>
        </w:rPr>
        <w:t>）</w:t>
      </w:r>
      <w:r>
        <w:rPr>
          <w:rFonts w:ascii="宋体" w:hAnsi="宋体"/>
        </w:rPr>
        <w:t>处置单位在运输危险废弃物时必须配备押运人员，并随时处于押运人员的监管之下，不得超装、超载，严格按照所在城市规定的行车时间和行车路线行驶，不得进入危险化学品运输车辆禁止通行的区域。</w:t>
      </w:r>
    </w:p>
    <w:p w14:paraId="15A1BC06">
      <w:pPr>
        <w:ind w:firstLine="480"/>
      </w:pPr>
      <w:r>
        <w:rPr>
          <w:rFonts w:hint="eastAsia" w:ascii="宋体" w:hAnsi="宋体"/>
        </w:rPr>
        <w:t>（</w:t>
      </w:r>
      <w:r>
        <w:rPr>
          <w:rFonts w:hint="eastAsia"/>
        </w:rPr>
        <w:t>4</w:t>
      </w:r>
      <w:r>
        <w:rPr>
          <w:rFonts w:hint="eastAsia" w:ascii="宋体" w:hAnsi="宋体"/>
        </w:rPr>
        <w:t>）</w:t>
      </w:r>
      <w:r>
        <w:rPr>
          <w:rFonts w:ascii="宋体" w:hAnsi="宋体"/>
        </w:rPr>
        <w:t>危险废弃物在运输途中若发生被盗、丢失、流散、泄漏等情况时，公司及押运人员必须立即向当地公安部门报告，并采取一切可能的警示措施。</w:t>
      </w:r>
    </w:p>
    <w:p w14:paraId="78B6E55A">
      <w:pPr>
        <w:ind w:firstLine="480"/>
      </w:pPr>
      <w:r>
        <w:rPr>
          <w:rFonts w:hint="eastAsia" w:ascii="宋体" w:hAnsi="宋体"/>
        </w:rPr>
        <w:t>（</w:t>
      </w:r>
      <w:r>
        <w:rPr>
          <w:rFonts w:hint="eastAsia"/>
        </w:rPr>
        <w:t>5</w:t>
      </w:r>
      <w:r>
        <w:rPr>
          <w:rFonts w:hint="eastAsia" w:ascii="宋体" w:hAnsi="宋体"/>
        </w:rPr>
        <w:t>）</w:t>
      </w:r>
      <w:r>
        <w:rPr>
          <w:rFonts w:ascii="宋体" w:hAnsi="宋体"/>
        </w:rP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1B89B039">
      <w:pPr>
        <w:pStyle w:val="4068"/>
      </w:pPr>
      <w:bookmarkStart w:id="261" w:name="_Toc100784049"/>
      <w:bookmarkStart w:id="262" w:name="_Toc101135881"/>
      <w:bookmarkStart w:id="263" w:name="_Toc108662658"/>
      <w:r>
        <w:rPr>
          <w:rFonts w:hint="eastAsia"/>
        </w:rPr>
        <w:t>5.4.5固体管理对策和建议</w:t>
      </w:r>
      <w:bookmarkEnd w:id="261"/>
      <w:bookmarkEnd w:id="262"/>
      <w:bookmarkEnd w:id="263"/>
    </w:p>
    <w:p w14:paraId="0C3A3E5F">
      <w:pPr>
        <w:ind w:firstLine="480"/>
        <w:rPr>
          <w:szCs w:val="24"/>
        </w:rPr>
      </w:pPr>
      <w:r>
        <w:rPr>
          <w:rFonts w:ascii="宋体" w:hAnsi="宋体"/>
        </w:rPr>
        <w:t>根据《中华人民共和国固体废物污染环境防治法》，固体废物的管理，实行减量化、资源化、无害化管理，全过程管理和分类管理的原则。即对固体废物污染环境的防治，实行减少固体废物的产生量和危害性，充分合理利用和无害化处置固体废物，促进清洁生产和循环经济的发展。全过程的管理是指对固体废物从产生、收集、贮存、运输、利用直到最终处置的全过程实行一体化的管理。</w:t>
      </w:r>
    </w:p>
    <w:p w14:paraId="317776D0">
      <w:pPr>
        <w:ind w:firstLine="480"/>
      </w:pPr>
      <w:r>
        <w:rPr>
          <w:rFonts w:hint="eastAsia" w:ascii="宋体" w:hAnsi="宋体"/>
        </w:rPr>
        <w:t>企业</w:t>
      </w:r>
      <w:r>
        <w:rPr>
          <w:rFonts w:ascii="宋体" w:hAnsi="宋体"/>
        </w:rPr>
        <w:t>在采取处理废弃物的同时，加强对废弃物的统计和管理，特别是对危险废物的管理。为防止废弃物逸散、流失，采取有害废物分类集中存放、专人负责管理等措施，废物的存放和转运处置贮存场所必须按照国家固体废物贮存有关要求设置，外运处置固体废物必须落实具体去向，向环保主管部门申请并办好转移手续，手续完全，统计准确无误。这些废物管理和统计措施可以保证产生的废物分类得到妥善处置，不会产生二次污染，对环境及人体不会造成危害。</w:t>
      </w:r>
    </w:p>
    <w:p w14:paraId="4F15DB29">
      <w:pPr>
        <w:widowControl/>
        <w:adjustRightInd/>
        <w:snapToGrid/>
        <w:ind w:firstLine="0" w:firstLineChars="0"/>
        <w:jc w:val="left"/>
        <w:rPr>
          <w:rFonts w:eastAsia="黑体"/>
          <w:sz w:val="32"/>
          <w:szCs w:val="32"/>
        </w:rPr>
        <w:sectPr>
          <w:pgSz w:w="11907" w:h="16840"/>
          <w:pgMar w:top="1440" w:right="1440" w:bottom="1440" w:left="1440" w:header="851" w:footer="992" w:gutter="0"/>
          <w:cols w:space="720" w:num="1"/>
          <w:docGrid w:type="lines" w:linePitch="326" w:charSpace="0"/>
        </w:sectPr>
      </w:pPr>
    </w:p>
    <w:p w14:paraId="14858652">
      <w:pPr>
        <w:pStyle w:val="4065"/>
      </w:pPr>
      <w:bookmarkStart w:id="264" w:name="_Toc52175550"/>
      <w:bookmarkEnd w:id="264"/>
      <w:bookmarkStart w:id="265" w:name="_Toc52309724"/>
      <w:bookmarkEnd w:id="265"/>
      <w:bookmarkStart w:id="266" w:name="_Toc87977852"/>
      <w:bookmarkStart w:id="267" w:name="_Toc108662659"/>
      <w:r>
        <w:rPr>
          <w:rFonts w:hint="eastAsia"/>
        </w:rPr>
        <w:t>5.5地下水</w:t>
      </w:r>
      <w:bookmarkEnd w:id="266"/>
      <w:r>
        <w:t>环境影响评价</w:t>
      </w:r>
      <w:bookmarkEnd w:id="267"/>
    </w:p>
    <w:p w14:paraId="617EA3C5">
      <w:pPr>
        <w:pStyle w:val="4068"/>
      </w:pPr>
      <w:bookmarkStart w:id="268" w:name="_Toc52175551"/>
      <w:bookmarkEnd w:id="268"/>
      <w:bookmarkStart w:id="269" w:name="_Toc101135883"/>
      <w:bookmarkStart w:id="270" w:name="_Toc100784051"/>
      <w:bookmarkStart w:id="271" w:name="_Toc108662660"/>
      <w:r>
        <w:rPr>
          <w:rFonts w:hint="eastAsia"/>
        </w:rPr>
        <w:t>5.5.1区域</w:t>
      </w:r>
      <w:r>
        <w:t>水文地质条件</w:t>
      </w:r>
      <w:bookmarkEnd w:id="269"/>
      <w:bookmarkEnd w:id="270"/>
      <w:bookmarkEnd w:id="271"/>
    </w:p>
    <w:p w14:paraId="525DAE4F">
      <w:pPr>
        <w:pStyle w:val="349"/>
      </w:pPr>
      <w:r>
        <w:rPr>
          <w:rFonts w:hint="eastAsia"/>
        </w:rPr>
        <w:t>5</w:t>
      </w:r>
      <w:r>
        <w:t>.5.1.1</w:t>
      </w:r>
      <w:r>
        <w:rPr>
          <w:rFonts w:ascii="黑体" w:hAnsi="黑体"/>
        </w:rPr>
        <w:t>地形地貌特征</w:t>
      </w:r>
    </w:p>
    <w:p w14:paraId="6EF4DC32">
      <w:pPr>
        <w:ind w:firstLine="480"/>
        <w:rPr>
          <w:b/>
        </w:rPr>
      </w:pPr>
      <w:r>
        <w:rPr>
          <w:rFonts w:ascii="宋体" w:hAnsi="宋体"/>
        </w:rPr>
        <w:t>蚌埠市地形以平原为主，山丘相对集中，河沟纵横，湖泊散落。淮河以北为平原地区，约占全市面积的</w:t>
      </w:r>
      <w:r>
        <w:t>86%</w:t>
      </w:r>
      <w:r>
        <w:rPr>
          <w:rFonts w:ascii="宋体" w:hAnsi="宋体"/>
        </w:rPr>
        <w:t>。地势呈西北高东南低，西部最高地面高程在涡芡之间西部为</w:t>
      </w:r>
      <w:r>
        <w:t>24</w:t>
      </w:r>
      <w:r>
        <w:rPr>
          <w:rFonts w:ascii="宋体" w:hAnsi="宋体"/>
        </w:rPr>
        <w:t>米，最低地面高程在老潼河附近为</w:t>
      </w:r>
      <w:r>
        <w:t>14</w:t>
      </w:r>
      <w:r>
        <w:rPr>
          <w:rFonts w:ascii="宋体" w:hAnsi="宋体"/>
        </w:rPr>
        <w:t>米，东西高差</w:t>
      </w:r>
      <w:r>
        <w:t>10</w:t>
      </w:r>
      <w:r>
        <w:rPr>
          <w:rFonts w:ascii="宋体" w:hAnsi="宋体"/>
        </w:rPr>
        <w:t>米；北部沱浍之间任桥附近最高地面高程为</w:t>
      </w:r>
      <w:r>
        <w:t>22.0</w:t>
      </w:r>
      <w:r>
        <w:rPr>
          <w:rFonts w:ascii="宋体" w:hAnsi="宋体"/>
        </w:rPr>
        <w:t>米，南部北淝河下游地面高程最低为</w:t>
      </w:r>
      <w:r>
        <w:t>14</w:t>
      </w:r>
      <w:r>
        <w:rPr>
          <w:rFonts w:ascii="宋体" w:hAnsi="宋体"/>
        </w:rPr>
        <w:t>米，南北高差</w:t>
      </w:r>
      <w:r>
        <w:t>8</w:t>
      </w:r>
      <w:r>
        <w:rPr>
          <w:rFonts w:ascii="宋体" w:hAnsi="宋体"/>
        </w:rPr>
        <w:t>米。淮河以南地形为有湖洼间隔的不连续山丘高地，约占全市面积的</w:t>
      </w:r>
      <w:r>
        <w:t>14%</w:t>
      </w:r>
      <w:r>
        <w:rPr>
          <w:rFonts w:ascii="宋体" w:hAnsi="宋体"/>
        </w:rPr>
        <w:t>。蚌埠地处江淮腹地丘陵地区，由西向东的江淮分水岭贯穿该市，形成低缓的鱼背形地势。项目范围内的地形基本为岗冲起伏的丘陵荒地，高程在</w:t>
      </w:r>
      <w:r>
        <w:t>23.06</w:t>
      </w:r>
      <w:r>
        <w:rPr>
          <w:rFonts w:ascii="宋体" w:hAnsi="宋体"/>
        </w:rPr>
        <w:t>米～</w:t>
      </w:r>
      <w:r>
        <w:t>49.54</w:t>
      </w:r>
      <w:r>
        <w:rPr>
          <w:rFonts w:ascii="宋体" w:hAnsi="宋体"/>
        </w:rPr>
        <w:t>米之间，整个地形呈东高西低。</w:t>
      </w:r>
    </w:p>
    <w:p w14:paraId="42B05FA7">
      <w:pPr>
        <w:pStyle w:val="349"/>
      </w:pPr>
      <w:r>
        <w:rPr>
          <w:rFonts w:hint="eastAsia"/>
        </w:rPr>
        <w:t>5</w:t>
      </w:r>
      <w:r>
        <w:t>.5.1.2</w:t>
      </w:r>
      <w:r>
        <w:rPr>
          <w:rFonts w:ascii="黑体" w:hAnsi="黑体"/>
        </w:rPr>
        <w:t>地质概况</w:t>
      </w:r>
    </w:p>
    <w:p w14:paraId="03525C51">
      <w:pPr>
        <w:ind w:firstLine="480"/>
        <w:rPr>
          <w:b/>
        </w:rPr>
      </w:pPr>
      <w:r>
        <w:rPr>
          <w:rFonts w:ascii="宋体" w:hAnsi="宋体"/>
        </w:rPr>
        <w:t>区域地层属于华北地层大区晋冀鲁豫地层区徐淮地层分区淮南地层小区。</w:t>
      </w:r>
      <w:r>
        <w:rPr>
          <w:rFonts w:hint="eastAsia" w:ascii="宋体" w:hAnsi="宋体"/>
        </w:rPr>
        <w:t>主要为上古太界五河群（</w:t>
      </w:r>
      <w:r>
        <w:t>Ar2wh</w:t>
      </w:r>
      <w:r>
        <w:rPr>
          <w:rFonts w:hint="eastAsia" w:ascii="宋体" w:hAnsi="宋体"/>
        </w:rPr>
        <w:t>）、古近系双浮组（</w:t>
      </w:r>
      <w:r>
        <w:t>E1sh</w:t>
      </w:r>
      <w:r>
        <w:rPr>
          <w:rFonts w:hint="eastAsia" w:ascii="宋体" w:hAnsi="宋体"/>
        </w:rPr>
        <w:t>），大部分被第四系覆盖，仅在淮河南侧临淮关东部一带出露</w:t>
      </w:r>
      <w:r>
        <w:rPr>
          <w:rFonts w:ascii="宋体" w:hAnsi="宋体"/>
        </w:rPr>
        <w:t>。区域地层简表见</w:t>
      </w:r>
      <w:r>
        <w:rPr>
          <w:rFonts w:hint="eastAsia" w:ascii="宋体" w:hAnsi="宋体"/>
        </w:rPr>
        <w:t>下表</w:t>
      </w:r>
      <w:r>
        <w:rPr>
          <w:rFonts w:ascii="宋体" w:hAnsi="宋体"/>
        </w:rPr>
        <w:t>。</w:t>
      </w:r>
    </w:p>
    <w:p w14:paraId="09AC5051">
      <w:pPr>
        <w:spacing w:line="500" w:lineRule="exact"/>
        <w:ind w:firstLine="0" w:firstLineChars="0"/>
        <w:jc w:val="center"/>
        <w:rPr>
          <w:rFonts w:eastAsia="黑体"/>
          <w:b/>
        </w:rPr>
      </w:pPr>
      <w:r>
        <w:rPr>
          <w:rFonts w:ascii="黑体" w:hAnsi="黑体" w:eastAsia="黑体"/>
        </w:rPr>
        <w:t>表</w:t>
      </w:r>
      <w:r>
        <w:rPr>
          <w:rFonts w:hint="eastAsia" w:eastAsia="黑体"/>
        </w:rPr>
        <w:t>5.</w:t>
      </w:r>
      <w:r>
        <w:rPr>
          <w:rFonts w:eastAsia="黑体"/>
        </w:rPr>
        <w:t>5</w:t>
      </w:r>
      <w:r>
        <w:rPr>
          <w:rFonts w:hint="eastAsia" w:eastAsia="黑体"/>
        </w:rPr>
        <w:t>.1</w:t>
      </w:r>
      <w:r>
        <w:rPr>
          <w:rFonts w:eastAsia="黑体"/>
        </w:rPr>
        <w:t xml:space="preserve">-1  </w:t>
      </w:r>
      <w:r>
        <w:rPr>
          <w:rFonts w:ascii="黑体" w:hAnsi="黑体" w:eastAsia="黑体"/>
        </w:rPr>
        <w:t>区域地层概况</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436"/>
        <w:gridCol w:w="1006"/>
        <w:gridCol w:w="662"/>
        <w:gridCol w:w="802"/>
        <w:gridCol w:w="930"/>
        <w:gridCol w:w="4971"/>
      </w:tblGrid>
      <w:tr w14:paraId="144DB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36" w:type="pct"/>
            <w:tcBorders>
              <w:top w:val="single" w:color="auto" w:sz="12" w:space="0"/>
              <w:left w:val="nil"/>
              <w:bottom w:val="single" w:color="auto" w:sz="4" w:space="0"/>
              <w:right w:val="single" w:color="auto" w:sz="4" w:space="0"/>
            </w:tcBorders>
            <w:vAlign w:val="center"/>
          </w:tcPr>
          <w:p w14:paraId="3291F272">
            <w:pPr>
              <w:pStyle w:val="445"/>
              <w:rPr>
                <w:rFonts w:cs="Times New Roman"/>
                <w:kern w:val="0"/>
                <w:szCs w:val="20"/>
              </w:rPr>
            </w:pPr>
            <w:r>
              <w:rPr>
                <w:rFonts w:cs="Times New Roman"/>
                <w:kern w:val="0"/>
                <w:szCs w:val="20"/>
              </w:rPr>
              <w:t>界</w:t>
            </w:r>
          </w:p>
        </w:tc>
        <w:tc>
          <w:tcPr>
            <w:tcW w:w="236" w:type="pct"/>
            <w:tcBorders>
              <w:top w:val="single" w:color="auto" w:sz="12" w:space="0"/>
              <w:left w:val="single" w:color="auto" w:sz="4" w:space="0"/>
              <w:bottom w:val="single" w:color="auto" w:sz="4" w:space="0"/>
              <w:right w:val="single" w:color="auto" w:sz="4" w:space="0"/>
            </w:tcBorders>
            <w:vAlign w:val="center"/>
          </w:tcPr>
          <w:p w14:paraId="240EC0AB">
            <w:pPr>
              <w:pStyle w:val="445"/>
              <w:rPr>
                <w:rFonts w:cs="Times New Roman"/>
                <w:kern w:val="0"/>
                <w:szCs w:val="20"/>
              </w:rPr>
            </w:pPr>
            <w:r>
              <w:rPr>
                <w:rFonts w:cs="Times New Roman"/>
                <w:kern w:val="0"/>
                <w:szCs w:val="20"/>
              </w:rPr>
              <w:t>系</w:t>
            </w:r>
          </w:p>
        </w:tc>
        <w:tc>
          <w:tcPr>
            <w:tcW w:w="544" w:type="pct"/>
            <w:tcBorders>
              <w:top w:val="single" w:color="auto" w:sz="12" w:space="0"/>
              <w:left w:val="single" w:color="auto" w:sz="4" w:space="0"/>
              <w:bottom w:val="single" w:color="auto" w:sz="4" w:space="0"/>
              <w:right w:val="single" w:color="auto" w:sz="4" w:space="0"/>
            </w:tcBorders>
            <w:vAlign w:val="center"/>
          </w:tcPr>
          <w:p w14:paraId="650232BA">
            <w:pPr>
              <w:pStyle w:val="445"/>
              <w:rPr>
                <w:rFonts w:cs="Times New Roman"/>
                <w:kern w:val="0"/>
                <w:szCs w:val="20"/>
              </w:rPr>
            </w:pPr>
            <w:r>
              <w:rPr>
                <w:rFonts w:cs="Times New Roman"/>
                <w:kern w:val="0"/>
                <w:szCs w:val="20"/>
              </w:rPr>
              <w:t>统</w:t>
            </w:r>
          </w:p>
        </w:tc>
        <w:tc>
          <w:tcPr>
            <w:tcW w:w="358" w:type="pct"/>
            <w:tcBorders>
              <w:top w:val="single" w:color="auto" w:sz="12" w:space="0"/>
              <w:left w:val="single" w:color="auto" w:sz="4" w:space="0"/>
              <w:bottom w:val="single" w:color="auto" w:sz="4" w:space="0"/>
              <w:right w:val="single" w:color="auto" w:sz="4" w:space="0"/>
            </w:tcBorders>
            <w:vAlign w:val="center"/>
          </w:tcPr>
          <w:p w14:paraId="20610085">
            <w:pPr>
              <w:pStyle w:val="445"/>
              <w:rPr>
                <w:rFonts w:cs="Times New Roman"/>
                <w:kern w:val="0"/>
                <w:szCs w:val="20"/>
              </w:rPr>
            </w:pPr>
            <w:r>
              <w:rPr>
                <w:rFonts w:cs="Times New Roman"/>
                <w:kern w:val="0"/>
                <w:szCs w:val="20"/>
              </w:rPr>
              <w:t>地层名称</w:t>
            </w:r>
          </w:p>
        </w:tc>
        <w:tc>
          <w:tcPr>
            <w:tcW w:w="434" w:type="pct"/>
            <w:tcBorders>
              <w:top w:val="single" w:color="auto" w:sz="12" w:space="0"/>
              <w:left w:val="single" w:color="auto" w:sz="4" w:space="0"/>
              <w:bottom w:val="single" w:color="auto" w:sz="4" w:space="0"/>
              <w:right w:val="single" w:color="auto" w:sz="4" w:space="0"/>
            </w:tcBorders>
            <w:vAlign w:val="center"/>
          </w:tcPr>
          <w:p w14:paraId="445DC289">
            <w:pPr>
              <w:pStyle w:val="445"/>
              <w:rPr>
                <w:rFonts w:cs="Times New Roman"/>
                <w:kern w:val="0"/>
                <w:szCs w:val="20"/>
              </w:rPr>
            </w:pPr>
            <w:r>
              <w:rPr>
                <w:rFonts w:cs="Times New Roman"/>
                <w:kern w:val="0"/>
                <w:szCs w:val="20"/>
              </w:rPr>
              <w:t>代号</w:t>
            </w:r>
          </w:p>
        </w:tc>
        <w:tc>
          <w:tcPr>
            <w:tcW w:w="503" w:type="pct"/>
            <w:tcBorders>
              <w:top w:val="single" w:color="auto" w:sz="12" w:space="0"/>
              <w:left w:val="single" w:color="auto" w:sz="4" w:space="0"/>
              <w:bottom w:val="single" w:color="auto" w:sz="4" w:space="0"/>
              <w:right w:val="single" w:color="auto" w:sz="4" w:space="0"/>
            </w:tcBorders>
            <w:vAlign w:val="center"/>
          </w:tcPr>
          <w:p w14:paraId="5BFCE1E7">
            <w:pPr>
              <w:pStyle w:val="445"/>
              <w:rPr>
                <w:rFonts w:cs="Times New Roman"/>
                <w:kern w:val="0"/>
                <w:szCs w:val="20"/>
              </w:rPr>
            </w:pPr>
            <w:r>
              <w:rPr>
                <w:rFonts w:cs="Times New Roman"/>
                <w:kern w:val="0"/>
                <w:szCs w:val="20"/>
              </w:rPr>
              <w:t>厚度</w:t>
            </w:r>
          </w:p>
          <w:p w14:paraId="0F73367C">
            <w:pPr>
              <w:pStyle w:val="445"/>
              <w:rPr>
                <w:rFonts w:cs="Times New Roman"/>
                <w:kern w:val="0"/>
                <w:szCs w:val="20"/>
              </w:rPr>
            </w:pPr>
            <w:r>
              <w:rPr>
                <w:rFonts w:cs="Times New Roman"/>
                <w:kern w:val="0"/>
                <w:szCs w:val="20"/>
              </w:rPr>
              <w:t>（m）</w:t>
            </w:r>
          </w:p>
        </w:tc>
        <w:tc>
          <w:tcPr>
            <w:tcW w:w="2689" w:type="pct"/>
            <w:tcBorders>
              <w:top w:val="single" w:color="auto" w:sz="12" w:space="0"/>
              <w:left w:val="single" w:color="auto" w:sz="4" w:space="0"/>
              <w:bottom w:val="single" w:color="auto" w:sz="4" w:space="0"/>
              <w:right w:val="nil"/>
            </w:tcBorders>
            <w:vAlign w:val="center"/>
          </w:tcPr>
          <w:p w14:paraId="51FDE52C">
            <w:pPr>
              <w:pStyle w:val="445"/>
              <w:rPr>
                <w:rFonts w:cs="Times New Roman"/>
                <w:kern w:val="0"/>
                <w:szCs w:val="20"/>
              </w:rPr>
            </w:pPr>
            <w:r>
              <w:rPr>
                <w:rFonts w:cs="Times New Roman"/>
                <w:kern w:val="0"/>
                <w:szCs w:val="20"/>
              </w:rPr>
              <w:t>岩性特征</w:t>
            </w:r>
          </w:p>
        </w:tc>
      </w:tr>
      <w:tr w14:paraId="0C6A6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236" w:type="pct"/>
            <w:vMerge w:val="restart"/>
            <w:tcBorders>
              <w:top w:val="single" w:color="auto" w:sz="4" w:space="0"/>
              <w:left w:val="nil"/>
              <w:bottom w:val="single" w:color="auto" w:sz="4" w:space="0"/>
              <w:right w:val="single" w:color="auto" w:sz="4" w:space="0"/>
            </w:tcBorders>
            <w:vAlign w:val="center"/>
          </w:tcPr>
          <w:p w14:paraId="0466080F">
            <w:pPr>
              <w:pStyle w:val="445"/>
              <w:rPr>
                <w:rFonts w:cs="Times New Roman"/>
                <w:kern w:val="0"/>
                <w:szCs w:val="20"/>
              </w:rPr>
            </w:pPr>
            <w:r>
              <w:rPr>
                <w:rFonts w:cs="Times New Roman"/>
                <w:kern w:val="0"/>
                <w:szCs w:val="20"/>
              </w:rPr>
              <w:t>新</w:t>
            </w:r>
          </w:p>
          <w:p w14:paraId="594FC891">
            <w:pPr>
              <w:pStyle w:val="445"/>
              <w:rPr>
                <w:rFonts w:cs="Times New Roman"/>
                <w:kern w:val="0"/>
                <w:szCs w:val="20"/>
              </w:rPr>
            </w:pPr>
            <w:r>
              <w:rPr>
                <w:rFonts w:cs="Times New Roman"/>
                <w:kern w:val="0"/>
                <w:szCs w:val="20"/>
              </w:rPr>
              <w:t>生</w:t>
            </w:r>
          </w:p>
          <w:p w14:paraId="64CE4774">
            <w:pPr>
              <w:pStyle w:val="445"/>
              <w:rPr>
                <w:rFonts w:cs="Times New Roman"/>
                <w:kern w:val="0"/>
                <w:szCs w:val="20"/>
              </w:rPr>
            </w:pPr>
            <w:r>
              <w:rPr>
                <w:rFonts w:cs="Times New Roman"/>
                <w:kern w:val="0"/>
                <w:szCs w:val="20"/>
              </w:rPr>
              <w:t>界</w:t>
            </w:r>
          </w:p>
        </w:tc>
        <w:tc>
          <w:tcPr>
            <w:tcW w:w="236" w:type="pct"/>
            <w:vMerge w:val="restart"/>
            <w:tcBorders>
              <w:top w:val="single" w:color="auto" w:sz="4" w:space="0"/>
              <w:left w:val="single" w:color="auto" w:sz="4" w:space="0"/>
              <w:bottom w:val="single" w:color="auto" w:sz="4" w:space="0"/>
              <w:right w:val="single" w:color="auto" w:sz="4" w:space="0"/>
            </w:tcBorders>
            <w:vAlign w:val="center"/>
          </w:tcPr>
          <w:p w14:paraId="589812BE">
            <w:pPr>
              <w:pStyle w:val="445"/>
              <w:rPr>
                <w:rFonts w:cs="Times New Roman"/>
                <w:kern w:val="0"/>
                <w:szCs w:val="20"/>
              </w:rPr>
            </w:pPr>
            <w:r>
              <w:rPr>
                <w:rFonts w:cs="Times New Roman"/>
                <w:kern w:val="0"/>
                <w:szCs w:val="20"/>
              </w:rPr>
              <w:t>第</w:t>
            </w:r>
          </w:p>
          <w:p w14:paraId="5D13E88D">
            <w:pPr>
              <w:pStyle w:val="445"/>
              <w:rPr>
                <w:rFonts w:cs="Times New Roman"/>
                <w:kern w:val="0"/>
                <w:szCs w:val="20"/>
              </w:rPr>
            </w:pPr>
            <w:r>
              <w:rPr>
                <w:rFonts w:cs="Times New Roman"/>
                <w:kern w:val="0"/>
                <w:szCs w:val="20"/>
              </w:rPr>
              <w:t>四</w:t>
            </w:r>
          </w:p>
          <w:p w14:paraId="5FCD47C8">
            <w:pPr>
              <w:pStyle w:val="445"/>
              <w:rPr>
                <w:rFonts w:cs="Times New Roman"/>
                <w:kern w:val="0"/>
                <w:szCs w:val="20"/>
              </w:rPr>
            </w:pPr>
            <w:r>
              <w:rPr>
                <w:rFonts w:cs="Times New Roman"/>
                <w:kern w:val="0"/>
                <w:szCs w:val="20"/>
              </w:rPr>
              <w:t>系</w:t>
            </w:r>
          </w:p>
        </w:tc>
        <w:tc>
          <w:tcPr>
            <w:tcW w:w="544" w:type="pct"/>
            <w:tcBorders>
              <w:top w:val="single" w:color="auto" w:sz="4" w:space="0"/>
              <w:left w:val="single" w:color="auto" w:sz="4" w:space="0"/>
              <w:bottom w:val="single" w:color="auto" w:sz="4" w:space="0"/>
              <w:right w:val="single" w:color="auto" w:sz="4" w:space="0"/>
            </w:tcBorders>
            <w:vAlign w:val="center"/>
          </w:tcPr>
          <w:p w14:paraId="6147A656">
            <w:pPr>
              <w:pStyle w:val="445"/>
              <w:rPr>
                <w:rFonts w:cs="Times New Roman"/>
                <w:kern w:val="0"/>
                <w:szCs w:val="20"/>
              </w:rPr>
            </w:pPr>
            <w:r>
              <w:rPr>
                <w:rFonts w:cs="Times New Roman"/>
                <w:kern w:val="0"/>
                <w:szCs w:val="20"/>
              </w:rPr>
              <w:t>全新统</w:t>
            </w:r>
          </w:p>
        </w:tc>
        <w:tc>
          <w:tcPr>
            <w:tcW w:w="358" w:type="pct"/>
            <w:tcBorders>
              <w:top w:val="single" w:color="auto" w:sz="4" w:space="0"/>
              <w:left w:val="single" w:color="auto" w:sz="4" w:space="0"/>
              <w:bottom w:val="single" w:color="auto" w:sz="4" w:space="0"/>
              <w:right w:val="single" w:color="auto" w:sz="4" w:space="0"/>
            </w:tcBorders>
            <w:vAlign w:val="center"/>
          </w:tcPr>
          <w:p w14:paraId="14C5138D">
            <w:pPr>
              <w:pStyle w:val="445"/>
              <w:rPr>
                <w:rFonts w:cs="Times New Roman"/>
                <w:kern w:val="0"/>
                <w:szCs w:val="20"/>
              </w:rPr>
            </w:pPr>
            <w:r>
              <w:rPr>
                <w:rFonts w:cs="Times New Roman"/>
                <w:kern w:val="0"/>
                <w:szCs w:val="20"/>
              </w:rPr>
              <w:t>大</w:t>
            </w:r>
          </w:p>
          <w:p w14:paraId="678BC7AF">
            <w:pPr>
              <w:pStyle w:val="445"/>
              <w:rPr>
                <w:rFonts w:cs="Times New Roman"/>
                <w:kern w:val="0"/>
                <w:szCs w:val="20"/>
              </w:rPr>
            </w:pPr>
            <w:r>
              <w:rPr>
                <w:rFonts w:cs="Times New Roman"/>
                <w:kern w:val="0"/>
                <w:szCs w:val="20"/>
              </w:rPr>
              <w:t>墩</w:t>
            </w:r>
          </w:p>
          <w:p w14:paraId="78787F01">
            <w:pPr>
              <w:pStyle w:val="445"/>
              <w:rPr>
                <w:rFonts w:cs="Times New Roman"/>
                <w:kern w:val="0"/>
                <w:szCs w:val="20"/>
              </w:rPr>
            </w:pPr>
            <w:r>
              <w:rPr>
                <w:rFonts w:cs="Times New Roman"/>
                <w:kern w:val="0"/>
                <w:szCs w:val="20"/>
              </w:rPr>
              <w:t>组</w:t>
            </w:r>
          </w:p>
        </w:tc>
        <w:tc>
          <w:tcPr>
            <w:tcW w:w="434" w:type="pct"/>
            <w:tcBorders>
              <w:top w:val="single" w:color="auto" w:sz="4" w:space="0"/>
              <w:left w:val="single" w:color="auto" w:sz="4" w:space="0"/>
              <w:bottom w:val="single" w:color="auto" w:sz="4" w:space="0"/>
              <w:right w:val="single" w:color="auto" w:sz="4" w:space="0"/>
            </w:tcBorders>
            <w:vAlign w:val="center"/>
          </w:tcPr>
          <w:p w14:paraId="41AD41EC">
            <w:pPr>
              <w:pStyle w:val="445"/>
              <w:rPr>
                <w:rFonts w:cs="Times New Roman"/>
                <w:kern w:val="0"/>
                <w:szCs w:val="20"/>
              </w:rPr>
            </w:pPr>
            <w:r>
              <w:rPr>
                <w:rFonts w:cs="Times New Roman"/>
                <w:kern w:val="0"/>
                <w:szCs w:val="20"/>
              </w:rPr>
              <w:t>Q</w:t>
            </w:r>
            <w:r>
              <w:rPr>
                <w:rFonts w:cs="Times New Roman"/>
                <w:kern w:val="0"/>
                <w:szCs w:val="20"/>
                <w:vertAlign w:val="subscript"/>
              </w:rPr>
              <w:t>4</w:t>
            </w:r>
            <w:r>
              <w:rPr>
                <w:rFonts w:cs="Times New Roman"/>
                <w:kern w:val="0"/>
                <w:szCs w:val="20"/>
              </w:rPr>
              <w:t>d</w:t>
            </w:r>
          </w:p>
        </w:tc>
        <w:tc>
          <w:tcPr>
            <w:tcW w:w="503" w:type="pct"/>
            <w:tcBorders>
              <w:top w:val="single" w:color="auto" w:sz="4" w:space="0"/>
              <w:left w:val="single" w:color="auto" w:sz="4" w:space="0"/>
              <w:bottom w:val="single" w:color="auto" w:sz="4" w:space="0"/>
              <w:right w:val="single" w:color="auto" w:sz="4" w:space="0"/>
            </w:tcBorders>
            <w:vAlign w:val="center"/>
          </w:tcPr>
          <w:p w14:paraId="2EC6DE9D">
            <w:pPr>
              <w:pStyle w:val="445"/>
              <w:rPr>
                <w:rFonts w:cs="Times New Roman"/>
                <w:kern w:val="0"/>
                <w:szCs w:val="20"/>
              </w:rPr>
            </w:pPr>
            <w:r>
              <w:rPr>
                <w:rFonts w:hint="eastAsia" w:cs="Times New Roman"/>
                <w:kern w:val="0"/>
                <w:szCs w:val="20"/>
              </w:rPr>
              <w:t>0</w:t>
            </w:r>
            <w:r>
              <w:rPr>
                <w:rFonts w:cs="Times New Roman"/>
                <w:kern w:val="0"/>
                <w:szCs w:val="20"/>
              </w:rPr>
              <w:t>～</w:t>
            </w:r>
            <w:r>
              <w:rPr>
                <w:rFonts w:hint="eastAsia" w:cs="Times New Roman"/>
                <w:kern w:val="0"/>
                <w:szCs w:val="20"/>
              </w:rPr>
              <w:t>8</w:t>
            </w:r>
          </w:p>
        </w:tc>
        <w:tc>
          <w:tcPr>
            <w:tcW w:w="2689" w:type="pct"/>
            <w:tcBorders>
              <w:top w:val="single" w:color="auto" w:sz="4" w:space="0"/>
              <w:left w:val="single" w:color="auto" w:sz="4" w:space="0"/>
              <w:bottom w:val="single" w:color="auto" w:sz="4" w:space="0"/>
              <w:right w:val="nil"/>
            </w:tcBorders>
            <w:vAlign w:val="center"/>
          </w:tcPr>
          <w:p w14:paraId="1E570BBF">
            <w:pPr>
              <w:pStyle w:val="445"/>
              <w:rPr>
                <w:rFonts w:cs="Times New Roman"/>
                <w:kern w:val="0"/>
                <w:szCs w:val="20"/>
              </w:rPr>
            </w:pPr>
            <w:r>
              <w:rPr>
                <w:rFonts w:hint="eastAsia" w:cs="Times New Roman"/>
                <w:kern w:val="0"/>
                <w:szCs w:val="20"/>
              </w:rPr>
              <w:t>出露地表，分布于淮河及其支流的两岸漫滩上，为河流最新泛滥堆积物，宽</w:t>
            </w:r>
            <w:r>
              <w:rPr>
                <w:rFonts w:cs="Times New Roman"/>
                <w:kern w:val="0"/>
                <w:szCs w:val="20"/>
              </w:rPr>
              <w:t>2</w:t>
            </w:r>
            <w:r>
              <w:rPr>
                <w:rFonts w:hint="eastAsia" w:cs="Times New Roman"/>
                <w:kern w:val="0"/>
                <w:szCs w:val="20"/>
              </w:rPr>
              <w:t>～</w:t>
            </w:r>
            <w:r>
              <w:rPr>
                <w:rFonts w:cs="Times New Roman"/>
                <w:kern w:val="0"/>
                <w:szCs w:val="20"/>
              </w:rPr>
              <w:t>10km</w:t>
            </w:r>
            <w:r>
              <w:rPr>
                <w:rFonts w:hint="eastAsia" w:cs="Times New Roman"/>
                <w:kern w:val="0"/>
                <w:szCs w:val="20"/>
              </w:rPr>
              <w:t>，厚度</w:t>
            </w:r>
            <w:r>
              <w:rPr>
                <w:rFonts w:cs="Times New Roman"/>
                <w:kern w:val="0"/>
                <w:szCs w:val="20"/>
              </w:rPr>
              <w:t>0</w:t>
            </w:r>
            <w:r>
              <w:rPr>
                <w:rFonts w:hint="eastAsia" w:cs="Times New Roman"/>
                <w:kern w:val="0"/>
                <w:szCs w:val="20"/>
              </w:rPr>
              <w:t>～</w:t>
            </w:r>
            <w:r>
              <w:rPr>
                <w:rFonts w:cs="Times New Roman"/>
                <w:kern w:val="0"/>
                <w:szCs w:val="20"/>
              </w:rPr>
              <w:t>20m</w:t>
            </w:r>
            <w:r>
              <w:rPr>
                <w:rFonts w:hint="eastAsia" w:cs="Times New Roman"/>
                <w:kern w:val="0"/>
                <w:szCs w:val="20"/>
              </w:rPr>
              <w:t>，岩性为棕黄色、灰黄色、灰色、棕褐色粘土，棕黄色粉质粘土，灰棕色、灰黄色、灰黑色粉质粘土、细砂、粉土。局部地区，顶部有</w:t>
            </w:r>
            <w:r>
              <w:rPr>
                <w:rFonts w:cs="Times New Roman"/>
                <w:kern w:val="0"/>
                <w:szCs w:val="20"/>
              </w:rPr>
              <w:t>1</w:t>
            </w:r>
            <w:r>
              <w:rPr>
                <w:rFonts w:hint="eastAsia" w:cs="Times New Roman"/>
                <w:kern w:val="0"/>
                <w:szCs w:val="20"/>
              </w:rPr>
              <w:t>～</w:t>
            </w:r>
            <w:r>
              <w:rPr>
                <w:rFonts w:cs="Times New Roman"/>
                <w:kern w:val="0"/>
                <w:szCs w:val="20"/>
              </w:rPr>
              <w:t>5m</w:t>
            </w:r>
            <w:r>
              <w:rPr>
                <w:rFonts w:hint="eastAsia" w:cs="Times New Roman"/>
                <w:kern w:val="0"/>
                <w:szCs w:val="20"/>
              </w:rPr>
              <w:t>淤泥质粉质粘土。</w:t>
            </w:r>
          </w:p>
        </w:tc>
      </w:tr>
      <w:tr w14:paraId="4A94C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693D35A4">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3FBB27">
            <w:pPr>
              <w:pStyle w:val="445"/>
              <w:rPr>
                <w:rFonts w:cs="Times New Roman"/>
                <w:kern w:val="0"/>
                <w:szCs w:val="18"/>
              </w:rPr>
            </w:pPr>
          </w:p>
        </w:tc>
        <w:tc>
          <w:tcPr>
            <w:tcW w:w="544" w:type="pct"/>
            <w:vMerge w:val="restart"/>
            <w:tcBorders>
              <w:top w:val="single" w:color="auto" w:sz="4" w:space="0"/>
              <w:left w:val="single" w:color="auto" w:sz="4" w:space="0"/>
              <w:bottom w:val="single" w:color="auto" w:sz="4" w:space="0"/>
              <w:right w:val="single" w:color="auto" w:sz="4" w:space="0"/>
            </w:tcBorders>
            <w:vAlign w:val="center"/>
          </w:tcPr>
          <w:p w14:paraId="63FBBA8E">
            <w:pPr>
              <w:pStyle w:val="445"/>
              <w:rPr>
                <w:rFonts w:cs="Times New Roman"/>
                <w:kern w:val="0"/>
                <w:szCs w:val="20"/>
              </w:rPr>
            </w:pPr>
            <w:r>
              <w:rPr>
                <w:rFonts w:cs="Times New Roman"/>
                <w:kern w:val="0"/>
                <w:szCs w:val="20"/>
              </w:rPr>
              <w:t>上更</w:t>
            </w:r>
          </w:p>
          <w:p w14:paraId="4B30CF4C">
            <w:pPr>
              <w:pStyle w:val="445"/>
              <w:rPr>
                <w:rFonts w:cs="Times New Roman"/>
                <w:kern w:val="0"/>
                <w:szCs w:val="20"/>
              </w:rPr>
            </w:pPr>
            <w:r>
              <w:rPr>
                <w:rFonts w:cs="Times New Roman"/>
                <w:kern w:val="0"/>
                <w:szCs w:val="20"/>
              </w:rPr>
              <w:t>新统</w:t>
            </w:r>
          </w:p>
        </w:tc>
        <w:tc>
          <w:tcPr>
            <w:tcW w:w="358" w:type="pct"/>
            <w:vMerge w:val="restart"/>
            <w:tcBorders>
              <w:top w:val="single" w:color="auto" w:sz="4" w:space="0"/>
              <w:left w:val="single" w:color="auto" w:sz="4" w:space="0"/>
              <w:bottom w:val="single" w:color="auto" w:sz="4" w:space="0"/>
              <w:right w:val="single" w:color="auto" w:sz="4" w:space="0"/>
            </w:tcBorders>
            <w:vAlign w:val="center"/>
          </w:tcPr>
          <w:p w14:paraId="2A8D7E29">
            <w:pPr>
              <w:pStyle w:val="445"/>
              <w:rPr>
                <w:rFonts w:cs="Times New Roman"/>
                <w:kern w:val="0"/>
                <w:szCs w:val="20"/>
              </w:rPr>
            </w:pPr>
            <w:r>
              <w:rPr>
                <w:rFonts w:cs="Times New Roman"/>
                <w:kern w:val="0"/>
                <w:szCs w:val="20"/>
              </w:rPr>
              <w:t>茆</w:t>
            </w:r>
          </w:p>
          <w:p w14:paraId="112DC5C9">
            <w:pPr>
              <w:pStyle w:val="445"/>
              <w:rPr>
                <w:rFonts w:cs="Times New Roman"/>
                <w:kern w:val="0"/>
                <w:szCs w:val="20"/>
              </w:rPr>
            </w:pPr>
            <w:r>
              <w:rPr>
                <w:rFonts w:cs="Times New Roman"/>
                <w:kern w:val="0"/>
                <w:szCs w:val="20"/>
              </w:rPr>
              <w:t>塘</w:t>
            </w:r>
          </w:p>
          <w:p w14:paraId="24097029">
            <w:pPr>
              <w:pStyle w:val="445"/>
              <w:rPr>
                <w:rFonts w:cs="Times New Roman"/>
                <w:kern w:val="0"/>
                <w:szCs w:val="20"/>
              </w:rPr>
            </w:pPr>
            <w:r>
              <w:rPr>
                <w:rFonts w:cs="Times New Roman"/>
                <w:kern w:val="0"/>
                <w:szCs w:val="20"/>
              </w:rPr>
              <w:t>组</w:t>
            </w:r>
          </w:p>
        </w:tc>
        <w:tc>
          <w:tcPr>
            <w:tcW w:w="434" w:type="pct"/>
            <w:vMerge w:val="restart"/>
            <w:tcBorders>
              <w:top w:val="single" w:color="auto" w:sz="4" w:space="0"/>
              <w:left w:val="single" w:color="auto" w:sz="4" w:space="0"/>
              <w:bottom w:val="single" w:color="auto" w:sz="4" w:space="0"/>
              <w:right w:val="single" w:color="auto" w:sz="4" w:space="0"/>
            </w:tcBorders>
            <w:vAlign w:val="center"/>
          </w:tcPr>
          <w:p w14:paraId="19209AF5">
            <w:pPr>
              <w:pStyle w:val="445"/>
              <w:rPr>
                <w:rFonts w:cs="Times New Roman"/>
                <w:kern w:val="0"/>
                <w:szCs w:val="20"/>
              </w:rPr>
            </w:pPr>
            <w:r>
              <w:rPr>
                <w:rFonts w:cs="Times New Roman"/>
                <w:kern w:val="0"/>
                <w:szCs w:val="20"/>
              </w:rPr>
              <w:t>Q</w:t>
            </w:r>
            <w:r>
              <w:rPr>
                <w:rFonts w:cs="Times New Roman"/>
                <w:kern w:val="0"/>
                <w:szCs w:val="20"/>
                <w:vertAlign w:val="subscript"/>
              </w:rPr>
              <w:t>3</w:t>
            </w:r>
            <w:r>
              <w:rPr>
                <w:rFonts w:cs="Times New Roman"/>
                <w:kern w:val="0"/>
                <w:szCs w:val="20"/>
              </w:rPr>
              <w:t>m</w:t>
            </w:r>
          </w:p>
        </w:tc>
        <w:tc>
          <w:tcPr>
            <w:tcW w:w="503" w:type="pct"/>
            <w:tcBorders>
              <w:top w:val="single" w:color="auto" w:sz="4" w:space="0"/>
              <w:left w:val="single" w:color="auto" w:sz="4" w:space="0"/>
              <w:bottom w:val="single" w:color="auto" w:sz="4" w:space="0"/>
              <w:right w:val="single" w:color="auto" w:sz="4" w:space="0"/>
            </w:tcBorders>
            <w:vAlign w:val="center"/>
          </w:tcPr>
          <w:p w14:paraId="12E5561D">
            <w:pPr>
              <w:pStyle w:val="445"/>
              <w:rPr>
                <w:rFonts w:cs="Times New Roman"/>
                <w:kern w:val="0"/>
                <w:szCs w:val="20"/>
              </w:rPr>
            </w:pPr>
            <w:r>
              <w:rPr>
                <w:rFonts w:hint="eastAsia" w:cs="Times New Roman"/>
                <w:kern w:val="0"/>
                <w:szCs w:val="20"/>
              </w:rPr>
              <w:t>20</w:t>
            </w:r>
            <w:r>
              <w:rPr>
                <w:rFonts w:cs="Times New Roman"/>
                <w:kern w:val="0"/>
                <w:szCs w:val="20"/>
              </w:rPr>
              <w:t>～</w:t>
            </w:r>
            <w:r>
              <w:rPr>
                <w:rFonts w:hint="eastAsia" w:cs="Times New Roman"/>
                <w:kern w:val="0"/>
                <w:szCs w:val="20"/>
              </w:rPr>
              <w:t>35</w:t>
            </w:r>
          </w:p>
        </w:tc>
        <w:tc>
          <w:tcPr>
            <w:tcW w:w="2689" w:type="pct"/>
            <w:tcBorders>
              <w:top w:val="single" w:color="auto" w:sz="4" w:space="0"/>
              <w:left w:val="single" w:color="auto" w:sz="4" w:space="0"/>
              <w:bottom w:val="single" w:color="auto" w:sz="4" w:space="0"/>
              <w:right w:val="nil"/>
            </w:tcBorders>
            <w:vAlign w:val="center"/>
          </w:tcPr>
          <w:p w14:paraId="0325575A">
            <w:pPr>
              <w:pStyle w:val="445"/>
              <w:rPr>
                <w:rFonts w:cs="Times New Roman"/>
                <w:kern w:val="0"/>
                <w:szCs w:val="20"/>
              </w:rPr>
            </w:pPr>
            <w:r>
              <w:rPr>
                <w:rFonts w:cs="Times New Roman"/>
                <w:kern w:val="0"/>
                <w:szCs w:val="20"/>
              </w:rPr>
              <w:t>广泛出露，局部隐伏于大墩组以下。岩性以粘土、粉质粘土、粘土质粉砂为主，底部夹粉砂。含有铁锰质结核和钙质结核，柱状节理较发育。</w:t>
            </w:r>
          </w:p>
        </w:tc>
      </w:tr>
      <w:tr w14:paraId="3F5CDC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49F280C5">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742E0C0">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B52820">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D12F90">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1A7C48">
            <w:pPr>
              <w:pStyle w:val="445"/>
              <w:rPr>
                <w:rFonts w:cs="Times New Roman"/>
                <w:kern w:val="0"/>
                <w:szCs w:val="18"/>
              </w:rPr>
            </w:pPr>
          </w:p>
        </w:tc>
        <w:tc>
          <w:tcPr>
            <w:tcW w:w="503" w:type="pct"/>
            <w:tcBorders>
              <w:top w:val="single" w:color="auto" w:sz="4" w:space="0"/>
              <w:left w:val="single" w:color="auto" w:sz="4" w:space="0"/>
              <w:bottom w:val="single" w:color="auto" w:sz="4" w:space="0"/>
              <w:right w:val="single" w:color="auto" w:sz="4" w:space="0"/>
            </w:tcBorders>
            <w:vAlign w:val="center"/>
          </w:tcPr>
          <w:p w14:paraId="3E1EAF3F">
            <w:pPr>
              <w:pStyle w:val="445"/>
              <w:rPr>
                <w:rFonts w:cs="Times New Roman"/>
                <w:kern w:val="0"/>
                <w:szCs w:val="20"/>
              </w:rPr>
            </w:pPr>
            <w:r>
              <w:rPr>
                <w:rFonts w:hint="eastAsia" w:cs="Times New Roman"/>
                <w:kern w:val="0"/>
                <w:szCs w:val="20"/>
              </w:rPr>
              <w:t>8</w:t>
            </w:r>
            <w:r>
              <w:rPr>
                <w:rFonts w:cs="Times New Roman"/>
                <w:kern w:val="0"/>
                <w:szCs w:val="20"/>
              </w:rPr>
              <w:t>～</w:t>
            </w:r>
            <w:r>
              <w:rPr>
                <w:rFonts w:hint="eastAsia" w:cs="Times New Roman"/>
                <w:kern w:val="0"/>
                <w:szCs w:val="20"/>
              </w:rPr>
              <w:t>25</w:t>
            </w:r>
          </w:p>
        </w:tc>
        <w:tc>
          <w:tcPr>
            <w:tcW w:w="2689" w:type="pct"/>
            <w:tcBorders>
              <w:top w:val="single" w:color="auto" w:sz="4" w:space="0"/>
              <w:left w:val="single" w:color="auto" w:sz="4" w:space="0"/>
              <w:bottom w:val="single" w:color="auto" w:sz="4" w:space="0"/>
              <w:right w:val="nil"/>
            </w:tcBorders>
            <w:vAlign w:val="center"/>
          </w:tcPr>
          <w:p w14:paraId="3A35DC9A">
            <w:pPr>
              <w:pStyle w:val="445"/>
              <w:rPr>
                <w:rFonts w:cs="Times New Roman"/>
                <w:kern w:val="0"/>
                <w:szCs w:val="20"/>
              </w:rPr>
            </w:pPr>
            <w:r>
              <w:rPr>
                <w:rFonts w:hint="eastAsia" w:cs="Times New Roman"/>
                <w:kern w:val="0"/>
                <w:szCs w:val="20"/>
              </w:rPr>
              <w:t>在残丘的坡麓地带为棕黄及黄色粉质粘土；在山前平原地带，下部为含砾粉质粘土，上部为灰黄色粉质粘土。普遍含有铁锰质结核。</w:t>
            </w:r>
          </w:p>
        </w:tc>
      </w:tr>
      <w:tr w14:paraId="2AF8F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6877C18D">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492D31">
            <w:pPr>
              <w:pStyle w:val="445"/>
              <w:rPr>
                <w:rFonts w:cs="Times New Roman"/>
                <w:kern w:val="0"/>
                <w:szCs w:val="18"/>
              </w:rPr>
            </w:pPr>
          </w:p>
        </w:tc>
        <w:tc>
          <w:tcPr>
            <w:tcW w:w="544" w:type="pct"/>
            <w:tcBorders>
              <w:top w:val="single" w:color="auto" w:sz="4" w:space="0"/>
              <w:left w:val="single" w:color="auto" w:sz="4" w:space="0"/>
              <w:bottom w:val="single" w:color="auto" w:sz="4" w:space="0"/>
              <w:right w:val="single" w:color="auto" w:sz="4" w:space="0"/>
            </w:tcBorders>
            <w:vAlign w:val="center"/>
          </w:tcPr>
          <w:p w14:paraId="73578B03">
            <w:pPr>
              <w:pStyle w:val="445"/>
              <w:rPr>
                <w:rFonts w:cs="Times New Roman"/>
                <w:kern w:val="0"/>
                <w:szCs w:val="20"/>
              </w:rPr>
            </w:pPr>
            <w:r>
              <w:rPr>
                <w:rFonts w:cs="Times New Roman"/>
                <w:kern w:val="0"/>
                <w:szCs w:val="20"/>
              </w:rPr>
              <w:t>中</w:t>
            </w:r>
          </w:p>
          <w:p w14:paraId="007CE69C">
            <w:pPr>
              <w:pStyle w:val="445"/>
              <w:rPr>
                <w:rFonts w:cs="Times New Roman"/>
                <w:kern w:val="0"/>
                <w:szCs w:val="20"/>
              </w:rPr>
            </w:pPr>
            <w:r>
              <w:rPr>
                <w:rFonts w:cs="Times New Roman"/>
                <w:kern w:val="0"/>
                <w:szCs w:val="20"/>
              </w:rPr>
              <w:t>更</w:t>
            </w:r>
          </w:p>
          <w:p w14:paraId="52A78D2B">
            <w:pPr>
              <w:pStyle w:val="445"/>
              <w:rPr>
                <w:rFonts w:cs="Times New Roman"/>
                <w:kern w:val="0"/>
                <w:szCs w:val="20"/>
              </w:rPr>
            </w:pPr>
            <w:r>
              <w:rPr>
                <w:rFonts w:cs="Times New Roman"/>
                <w:kern w:val="0"/>
                <w:szCs w:val="20"/>
              </w:rPr>
              <w:t>新</w:t>
            </w:r>
          </w:p>
          <w:p w14:paraId="00DF81B1">
            <w:pPr>
              <w:pStyle w:val="445"/>
              <w:rPr>
                <w:rFonts w:cs="Times New Roman"/>
                <w:kern w:val="0"/>
                <w:szCs w:val="20"/>
              </w:rPr>
            </w:pPr>
            <w:r>
              <w:rPr>
                <w:rFonts w:cs="Times New Roman"/>
                <w:kern w:val="0"/>
                <w:szCs w:val="20"/>
              </w:rPr>
              <w:t>统</w:t>
            </w:r>
          </w:p>
        </w:tc>
        <w:tc>
          <w:tcPr>
            <w:tcW w:w="358" w:type="pct"/>
            <w:tcBorders>
              <w:top w:val="single" w:color="auto" w:sz="4" w:space="0"/>
              <w:left w:val="single" w:color="auto" w:sz="4" w:space="0"/>
              <w:bottom w:val="single" w:color="auto" w:sz="4" w:space="0"/>
              <w:right w:val="single" w:color="auto" w:sz="4" w:space="0"/>
            </w:tcBorders>
            <w:vAlign w:val="center"/>
          </w:tcPr>
          <w:p w14:paraId="197F24CA">
            <w:pPr>
              <w:pStyle w:val="445"/>
              <w:rPr>
                <w:rFonts w:cs="Times New Roman"/>
                <w:kern w:val="0"/>
                <w:szCs w:val="20"/>
              </w:rPr>
            </w:pPr>
            <w:r>
              <w:rPr>
                <w:rFonts w:cs="Times New Roman"/>
                <w:kern w:val="0"/>
                <w:szCs w:val="20"/>
              </w:rPr>
              <w:t>潘</w:t>
            </w:r>
          </w:p>
          <w:p w14:paraId="3DB329C8">
            <w:pPr>
              <w:pStyle w:val="445"/>
              <w:rPr>
                <w:rFonts w:cs="Times New Roman"/>
                <w:kern w:val="0"/>
                <w:szCs w:val="20"/>
              </w:rPr>
            </w:pPr>
            <w:r>
              <w:rPr>
                <w:rFonts w:cs="Times New Roman"/>
                <w:kern w:val="0"/>
                <w:szCs w:val="20"/>
              </w:rPr>
              <w:t>集</w:t>
            </w:r>
          </w:p>
          <w:p w14:paraId="1D56BF2E">
            <w:pPr>
              <w:pStyle w:val="445"/>
              <w:rPr>
                <w:rFonts w:cs="Times New Roman"/>
                <w:kern w:val="0"/>
                <w:szCs w:val="20"/>
              </w:rPr>
            </w:pPr>
            <w:r>
              <w:rPr>
                <w:rFonts w:cs="Times New Roman"/>
                <w:kern w:val="0"/>
                <w:szCs w:val="20"/>
              </w:rPr>
              <w:t>组</w:t>
            </w:r>
          </w:p>
        </w:tc>
        <w:tc>
          <w:tcPr>
            <w:tcW w:w="434" w:type="pct"/>
            <w:tcBorders>
              <w:top w:val="single" w:color="auto" w:sz="4" w:space="0"/>
              <w:left w:val="single" w:color="auto" w:sz="4" w:space="0"/>
              <w:bottom w:val="single" w:color="auto" w:sz="4" w:space="0"/>
              <w:right w:val="single" w:color="auto" w:sz="4" w:space="0"/>
            </w:tcBorders>
            <w:vAlign w:val="center"/>
          </w:tcPr>
          <w:p w14:paraId="23F0F784">
            <w:pPr>
              <w:pStyle w:val="445"/>
              <w:rPr>
                <w:rFonts w:cs="Times New Roman"/>
                <w:kern w:val="0"/>
                <w:szCs w:val="20"/>
              </w:rPr>
            </w:pPr>
            <w:r>
              <w:rPr>
                <w:rFonts w:cs="Times New Roman"/>
                <w:kern w:val="0"/>
                <w:szCs w:val="20"/>
              </w:rPr>
              <w:t>Q</w:t>
            </w:r>
            <w:r>
              <w:rPr>
                <w:rFonts w:cs="Times New Roman"/>
                <w:kern w:val="0"/>
                <w:szCs w:val="20"/>
                <w:vertAlign w:val="subscript"/>
              </w:rPr>
              <w:t>2</w:t>
            </w:r>
            <w:r>
              <w:rPr>
                <w:rFonts w:cs="Times New Roman"/>
                <w:kern w:val="0"/>
                <w:szCs w:val="20"/>
              </w:rPr>
              <w:t>p</w:t>
            </w:r>
          </w:p>
        </w:tc>
        <w:tc>
          <w:tcPr>
            <w:tcW w:w="503" w:type="pct"/>
            <w:tcBorders>
              <w:top w:val="single" w:color="auto" w:sz="4" w:space="0"/>
              <w:left w:val="single" w:color="auto" w:sz="4" w:space="0"/>
              <w:bottom w:val="single" w:color="auto" w:sz="4" w:space="0"/>
              <w:right w:val="single" w:color="auto" w:sz="4" w:space="0"/>
            </w:tcBorders>
            <w:vAlign w:val="center"/>
          </w:tcPr>
          <w:p w14:paraId="6E545872">
            <w:pPr>
              <w:pStyle w:val="445"/>
              <w:rPr>
                <w:rFonts w:cs="Times New Roman"/>
                <w:kern w:val="0"/>
                <w:szCs w:val="20"/>
              </w:rPr>
            </w:pPr>
            <w:r>
              <w:rPr>
                <w:rFonts w:hint="eastAsia" w:cs="Times New Roman"/>
                <w:kern w:val="0"/>
                <w:szCs w:val="20"/>
              </w:rPr>
              <w:t>30</w:t>
            </w:r>
            <w:r>
              <w:rPr>
                <w:rFonts w:cs="Times New Roman"/>
                <w:kern w:val="0"/>
                <w:szCs w:val="20"/>
              </w:rPr>
              <w:t>~</w:t>
            </w:r>
            <w:r>
              <w:rPr>
                <w:rFonts w:hint="eastAsia" w:cs="Times New Roman"/>
                <w:kern w:val="0"/>
                <w:szCs w:val="20"/>
              </w:rPr>
              <w:t>60</w:t>
            </w:r>
          </w:p>
        </w:tc>
        <w:tc>
          <w:tcPr>
            <w:tcW w:w="2689" w:type="pct"/>
            <w:tcBorders>
              <w:top w:val="single" w:color="auto" w:sz="4" w:space="0"/>
              <w:left w:val="single" w:color="auto" w:sz="4" w:space="0"/>
              <w:bottom w:val="single" w:color="auto" w:sz="4" w:space="0"/>
              <w:right w:val="nil"/>
            </w:tcBorders>
            <w:vAlign w:val="center"/>
          </w:tcPr>
          <w:p w14:paraId="34D1F0EB">
            <w:pPr>
              <w:pStyle w:val="445"/>
              <w:rPr>
                <w:rFonts w:cs="Times New Roman"/>
                <w:kern w:val="0"/>
                <w:szCs w:val="20"/>
              </w:rPr>
            </w:pPr>
            <w:r>
              <w:rPr>
                <w:rFonts w:hint="eastAsia" w:cs="Times New Roman"/>
                <w:kern w:val="0"/>
                <w:szCs w:val="20"/>
              </w:rPr>
              <w:t>隐伏于上更新统之下。下部为黄灰色、黄绿色粉砂、</w:t>
            </w:r>
          </w:p>
          <w:p w14:paraId="75144999">
            <w:pPr>
              <w:pStyle w:val="445"/>
              <w:rPr>
                <w:rFonts w:cs="Times New Roman"/>
                <w:kern w:val="0"/>
                <w:szCs w:val="20"/>
              </w:rPr>
            </w:pPr>
            <w:r>
              <w:rPr>
                <w:rFonts w:hint="eastAsia" w:cs="Times New Roman"/>
                <w:kern w:val="0"/>
                <w:szCs w:val="20"/>
              </w:rPr>
              <w:t>细砂、粗中砂，结构松散，分选性较好，厚</w:t>
            </w:r>
            <w:r>
              <w:rPr>
                <w:rFonts w:cs="Times New Roman"/>
                <w:kern w:val="0"/>
                <w:szCs w:val="20"/>
              </w:rPr>
              <w:t>20</w:t>
            </w:r>
            <w:r>
              <w:rPr>
                <w:rFonts w:hint="eastAsia" w:cs="Times New Roman"/>
                <w:kern w:val="0"/>
                <w:szCs w:val="20"/>
              </w:rPr>
              <w:t>～</w:t>
            </w:r>
            <w:r>
              <w:rPr>
                <w:rFonts w:cs="Times New Roman"/>
                <w:kern w:val="0"/>
                <w:szCs w:val="20"/>
              </w:rPr>
              <w:t>40m</w:t>
            </w:r>
            <w:r>
              <w:rPr>
                <w:rFonts w:hint="eastAsia" w:cs="Times New Roman"/>
                <w:kern w:val="0"/>
                <w:szCs w:val="20"/>
              </w:rPr>
              <w:t>；</w:t>
            </w:r>
          </w:p>
          <w:p w14:paraId="265877CE">
            <w:pPr>
              <w:pStyle w:val="445"/>
              <w:rPr>
                <w:rFonts w:cs="Times New Roman"/>
                <w:kern w:val="0"/>
                <w:szCs w:val="20"/>
              </w:rPr>
            </w:pPr>
            <w:r>
              <w:rPr>
                <w:rFonts w:hint="eastAsia" w:cs="Times New Roman"/>
                <w:kern w:val="0"/>
                <w:szCs w:val="20"/>
              </w:rPr>
              <w:t>上部为青黄色粉质粘土，结构紧密，含钙质结核和铁锰质结核。</w:t>
            </w:r>
          </w:p>
        </w:tc>
      </w:tr>
      <w:tr w14:paraId="45190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2B6F881C">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C552E4">
            <w:pPr>
              <w:pStyle w:val="445"/>
              <w:rPr>
                <w:rFonts w:cs="Times New Roman"/>
                <w:kern w:val="0"/>
                <w:szCs w:val="18"/>
              </w:rPr>
            </w:pPr>
          </w:p>
        </w:tc>
        <w:tc>
          <w:tcPr>
            <w:tcW w:w="544" w:type="pct"/>
            <w:tcBorders>
              <w:top w:val="single" w:color="auto" w:sz="4" w:space="0"/>
              <w:left w:val="single" w:color="auto" w:sz="4" w:space="0"/>
              <w:bottom w:val="single" w:color="auto" w:sz="4" w:space="0"/>
              <w:right w:val="single" w:color="auto" w:sz="4" w:space="0"/>
            </w:tcBorders>
            <w:vAlign w:val="center"/>
          </w:tcPr>
          <w:p w14:paraId="5D09E1EC">
            <w:pPr>
              <w:pStyle w:val="445"/>
              <w:rPr>
                <w:rFonts w:cs="Times New Roman"/>
                <w:kern w:val="0"/>
                <w:szCs w:val="20"/>
              </w:rPr>
            </w:pPr>
            <w:r>
              <w:rPr>
                <w:rFonts w:hint="eastAsia" w:cs="Times New Roman"/>
                <w:kern w:val="0"/>
                <w:szCs w:val="20"/>
              </w:rPr>
              <w:t>下更新统</w:t>
            </w:r>
          </w:p>
        </w:tc>
        <w:tc>
          <w:tcPr>
            <w:tcW w:w="358" w:type="pct"/>
            <w:tcBorders>
              <w:top w:val="single" w:color="auto" w:sz="4" w:space="0"/>
              <w:left w:val="single" w:color="auto" w:sz="4" w:space="0"/>
              <w:bottom w:val="single" w:color="auto" w:sz="4" w:space="0"/>
              <w:right w:val="single" w:color="auto" w:sz="4" w:space="0"/>
            </w:tcBorders>
            <w:vAlign w:val="center"/>
          </w:tcPr>
          <w:p w14:paraId="5F2D068E">
            <w:pPr>
              <w:pStyle w:val="445"/>
              <w:rPr>
                <w:rFonts w:cs="Times New Roman"/>
                <w:kern w:val="0"/>
                <w:szCs w:val="20"/>
              </w:rPr>
            </w:pPr>
            <w:r>
              <w:rPr>
                <w:rFonts w:hint="eastAsia" w:cs="Times New Roman"/>
                <w:kern w:val="0"/>
                <w:szCs w:val="20"/>
              </w:rPr>
              <w:t>蒙城组</w:t>
            </w:r>
          </w:p>
        </w:tc>
        <w:tc>
          <w:tcPr>
            <w:tcW w:w="434" w:type="pct"/>
            <w:tcBorders>
              <w:top w:val="single" w:color="auto" w:sz="4" w:space="0"/>
              <w:left w:val="single" w:color="auto" w:sz="4" w:space="0"/>
              <w:bottom w:val="single" w:color="auto" w:sz="4" w:space="0"/>
              <w:right w:val="single" w:color="auto" w:sz="4" w:space="0"/>
            </w:tcBorders>
            <w:vAlign w:val="center"/>
          </w:tcPr>
          <w:p w14:paraId="5D615E09">
            <w:pPr>
              <w:pStyle w:val="445"/>
              <w:rPr>
                <w:rFonts w:cs="Times New Roman"/>
                <w:kern w:val="0"/>
                <w:szCs w:val="20"/>
              </w:rPr>
            </w:pPr>
            <w:r>
              <w:rPr>
                <w:rFonts w:hint="eastAsia" w:cs="Times New Roman"/>
                <w:kern w:val="0"/>
                <w:szCs w:val="20"/>
              </w:rPr>
              <w:t>Q</w:t>
            </w:r>
            <w:r>
              <w:rPr>
                <w:rFonts w:hint="eastAsia" w:cs="Times New Roman"/>
                <w:kern w:val="0"/>
                <w:szCs w:val="20"/>
                <w:vertAlign w:val="subscript"/>
              </w:rPr>
              <w:t>1</w:t>
            </w:r>
            <w:r>
              <w:rPr>
                <w:rFonts w:hint="eastAsia" w:cs="Times New Roman"/>
                <w:kern w:val="0"/>
                <w:szCs w:val="20"/>
              </w:rPr>
              <w:t>M</w:t>
            </w:r>
          </w:p>
        </w:tc>
        <w:tc>
          <w:tcPr>
            <w:tcW w:w="503" w:type="pct"/>
            <w:tcBorders>
              <w:top w:val="single" w:color="auto" w:sz="4" w:space="0"/>
              <w:left w:val="single" w:color="auto" w:sz="4" w:space="0"/>
              <w:bottom w:val="single" w:color="auto" w:sz="4" w:space="0"/>
              <w:right w:val="single" w:color="auto" w:sz="4" w:space="0"/>
            </w:tcBorders>
            <w:vAlign w:val="center"/>
          </w:tcPr>
          <w:p w14:paraId="7B61610C">
            <w:pPr>
              <w:pStyle w:val="445"/>
              <w:rPr>
                <w:rFonts w:cs="Times New Roman"/>
                <w:kern w:val="0"/>
                <w:szCs w:val="20"/>
              </w:rPr>
            </w:pPr>
            <w:r>
              <w:rPr>
                <w:rFonts w:hint="eastAsia" w:cs="Times New Roman"/>
                <w:kern w:val="0"/>
                <w:szCs w:val="20"/>
              </w:rPr>
              <w:t>15</w:t>
            </w:r>
            <w:r>
              <w:rPr>
                <w:rFonts w:cs="Times New Roman"/>
                <w:kern w:val="0"/>
                <w:szCs w:val="20"/>
              </w:rPr>
              <w:t>~</w:t>
            </w:r>
            <w:r>
              <w:rPr>
                <w:rFonts w:hint="eastAsia" w:cs="Times New Roman"/>
                <w:kern w:val="0"/>
                <w:szCs w:val="20"/>
              </w:rPr>
              <w:t>35</w:t>
            </w:r>
          </w:p>
        </w:tc>
        <w:tc>
          <w:tcPr>
            <w:tcW w:w="2689" w:type="pct"/>
            <w:tcBorders>
              <w:top w:val="single" w:color="auto" w:sz="4" w:space="0"/>
              <w:left w:val="single" w:color="auto" w:sz="4" w:space="0"/>
              <w:bottom w:val="single" w:color="auto" w:sz="4" w:space="0"/>
              <w:right w:val="nil"/>
            </w:tcBorders>
            <w:vAlign w:val="center"/>
          </w:tcPr>
          <w:p w14:paraId="61D50B22">
            <w:pPr>
              <w:pStyle w:val="445"/>
              <w:rPr>
                <w:rFonts w:cs="Times New Roman"/>
                <w:kern w:val="0"/>
                <w:szCs w:val="20"/>
              </w:rPr>
            </w:pPr>
            <w:r>
              <w:rPr>
                <w:rFonts w:hint="eastAsia" w:cs="Times New Roman"/>
                <w:kern w:val="0"/>
                <w:szCs w:val="20"/>
              </w:rPr>
              <w:t>隐伏于中更新统之下。顶板埋深</w:t>
            </w:r>
            <w:r>
              <w:rPr>
                <w:rFonts w:cs="Times New Roman"/>
                <w:kern w:val="0"/>
                <w:szCs w:val="20"/>
              </w:rPr>
              <w:t>60</w:t>
            </w:r>
            <w:r>
              <w:rPr>
                <w:rFonts w:hint="eastAsia" w:cs="Times New Roman"/>
                <w:kern w:val="0"/>
                <w:szCs w:val="20"/>
              </w:rPr>
              <w:t>～</w:t>
            </w:r>
            <w:r>
              <w:rPr>
                <w:rFonts w:cs="Times New Roman"/>
                <w:kern w:val="0"/>
                <w:szCs w:val="20"/>
              </w:rPr>
              <w:t>120m</w:t>
            </w:r>
            <w:r>
              <w:rPr>
                <w:rFonts w:hint="eastAsia" w:cs="Times New Roman"/>
                <w:kern w:val="0"/>
                <w:szCs w:val="20"/>
              </w:rPr>
              <w:t>。下部为灰黄色的细砂、中砂、含砾中粗砂，厚</w:t>
            </w:r>
            <w:r>
              <w:rPr>
                <w:rFonts w:cs="Times New Roman"/>
                <w:kern w:val="0"/>
                <w:szCs w:val="20"/>
              </w:rPr>
              <w:t>10</w:t>
            </w:r>
            <w:r>
              <w:rPr>
                <w:rFonts w:hint="eastAsia" w:cs="Times New Roman"/>
                <w:kern w:val="0"/>
                <w:szCs w:val="20"/>
              </w:rPr>
              <w:t>～</w:t>
            </w:r>
            <w:r>
              <w:rPr>
                <w:rFonts w:cs="Times New Roman"/>
                <w:kern w:val="0"/>
                <w:szCs w:val="20"/>
              </w:rPr>
              <w:t>28m</w:t>
            </w:r>
            <w:r>
              <w:rPr>
                <w:rFonts w:hint="eastAsia" w:cs="Times New Roman"/>
                <w:kern w:val="0"/>
                <w:szCs w:val="20"/>
              </w:rPr>
              <w:t>，结构松散，分选性较好；上部为青黄色粉质粘土，厚</w:t>
            </w:r>
            <w:r>
              <w:rPr>
                <w:rFonts w:cs="Times New Roman"/>
                <w:kern w:val="0"/>
                <w:szCs w:val="20"/>
              </w:rPr>
              <w:t>5</w:t>
            </w:r>
            <w:r>
              <w:rPr>
                <w:rFonts w:hint="eastAsia" w:cs="Times New Roman"/>
                <w:kern w:val="0"/>
                <w:szCs w:val="20"/>
              </w:rPr>
              <w:t>～</w:t>
            </w:r>
            <w:r>
              <w:rPr>
                <w:rFonts w:cs="Times New Roman"/>
                <w:kern w:val="0"/>
                <w:szCs w:val="20"/>
              </w:rPr>
              <w:t>10m</w:t>
            </w:r>
            <w:r>
              <w:rPr>
                <w:rFonts w:hint="eastAsia" w:cs="Times New Roman"/>
                <w:kern w:val="0"/>
                <w:szCs w:val="20"/>
              </w:rPr>
              <w:t>，层位稳定，结构紧密，含钙质结核和铁锰质结核。顶部有</w:t>
            </w:r>
            <w:r>
              <w:rPr>
                <w:rFonts w:cs="Times New Roman"/>
                <w:kern w:val="0"/>
                <w:szCs w:val="20"/>
              </w:rPr>
              <w:t>0.2</w:t>
            </w:r>
            <w:r>
              <w:rPr>
                <w:rFonts w:hint="eastAsia" w:cs="Times New Roman"/>
                <w:kern w:val="0"/>
                <w:szCs w:val="20"/>
              </w:rPr>
              <w:t>～</w:t>
            </w:r>
            <w:r>
              <w:rPr>
                <w:rFonts w:cs="Times New Roman"/>
                <w:kern w:val="0"/>
                <w:szCs w:val="20"/>
              </w:rPr>
              <w:t>0.5m</w:t>
            </w:r>
            <w:r>
              <w:rPr>
                <w:rFonts w:hint="eastAsia" w:cs="Times New Roman"/>
                <w:kern w:val="0"/>
                <w:szCs w:val="20"/>
              </w:rPr>
              <w:t>铁质风化壳。</w:t>
            </w:r>
          </w:p>
        </w:tc>
      </w:tr>
      <w:tr w14:paraId="4F6F8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6C5F0EA3">
            <w:pPr>
              <w:pStyle w:val="445"/>
              <w:rPr>
                <w:rFonts w:cs="Times New Roman"/>
                <w:kern w:val="0"/>
                <w:szCs w:val="18"/>
              </w:rPr>
            </w:pPr>
          </w:p>
        </w:tc>
        <w:tc>
          <w:tcPr>
            <w:tcW w:w="236" w:type="pct"/>
            <w:tcBorders>
              <w:top w:val="single" w:color="auto" w:sz="4" w:space="0"/>
              <w:left w:val="single" w:color="auto" w:sz="4" w:space="0"/>
              <w:bottom w:val="single" w:color="auto" w:sz="4" w:space="0"/>
              <w:right w:val="single" w:color="auto" w:sz="4" w:space="0"/>
            </w:tcBorders>
            <w:vAlign w:val="center"/>
          </w:tcPr>
          <w:p w14:paraId="15C17FAC">
            <w:pPr>
              <w:pStyle w:val="445"/>
              <w:rPr>
                <w:rFonts w:cs="Times New Roman"/>
                <w:kern w:val="0"/>
                <w:szCs w:val="20"/>
              </w:rPr>
            </w:pPr>
            <w:r>
              <w:rPr>
                <w:rFonts w:hint="eastAsia" w:cs="Times New Roman"/>
                <w:kern w:val="0"/>
                <w:szCs w:val="20"/>
              </w:rPr>
              <w:t>新近系</w:t>
            </w:r>
          </w:p>
        </w:tc>
        <w:tc>
          <w:tcPr>
            <w:tcW w:w="544" w:type="pct"/>
            <w:tcBorders>
              <w:top w:val="single" w:color="auto" w:sz="4" w:space="0"/>
              <w:left w:val="single" w:color="auto" w:sz="4" w:space="0"/>
              <w:bottom w:val="single" w:color="auto" w:sz="4" w:space="0"/>
              <w:right w:val="single" w:color="auto" w:sz="4" w:space="0"/>
            </w:tcBorders>
            <w:vAlign w:val="center"/>
          </w:tcPr>
          <w:p w14:paraId="3B4BB816">
            <w:pPr>
              <w:pStyle w:val="445"/>
              <w:rPr>
                <w:rFonts w:cs="Times New Roman"/>
                <w:kern w:val="0"/>
                <w:szCs w:val="20"/>
              </w:rPr>
            </w:pPr>
            <w:r>
              <w:rPr>
                <w:rFonts w:hint="eastAsia" w:cs="Times New Roman"/>
                <w:kern w:val="0"/>
                <w:szCs w:val="20"/>
              </w:rPr>
              <w:t>上新统</w:t>
            </w:r>
          </w:p>
        </w:tc>
        <w:tc>
          <w:tcPr>
            <w:tcW w:w="358" w:type="pct"/>
            <w:tcBorders>
              <w:top w:val="single" w:color="auto" w:sz="4" w:space="0"/>
              <w:left w:val="single" w:color="auto" w:sz="4" w:space="0"/>
              <w:bottom w:val="single" w:color="auto" w:sz="4" w:space="0"/>
              <w:right w:val="single" w:color="auto" w:sz="4" w:space="0"/>
            </w:tcBorders>
            <w:vAlign w:val="center"/>
          </w:tcPr>
          <w:p w14:paraId="62E1EC39">
            <w:pPr>
              <w:pStyle w:val="445"/>
              <w:rPr>
                <w:rFonts w:cs="Times New Roman"/>
                <w:kern w:val="0"/>
                <w:szCs w:val="20"/>
              </w:rPr>
            </w:pPr>
            <w:r>
              <w:rPr>
                <w:rFonts w:hint="eastAsia" w:cs="Times New Roman"/>
                <w:kern w:val="0"/>
                <w:szCs w:val="20"/>
              </w:rPr>
              <w:t>明化镇组</w:t>
            </w:r>
          </w:p>
        </w:tc>
        <w:tc>
          <w:tcPr>
            <w:tcW w:w="434" w:type="pct"/>
            <w:tcBorders>
              <w:top w:val="single" w:color="auto" w:sz="4" w:space="0"/>
              <w:left w:val="single" w:color="auto" w:sz="4" w:space="0"/>
              <w:bottom w:val="single" w:color="auto" w:sz="4" w:space="0"/>
              <w:right w:val="single" w:color="auto" w:sz="4" w:space="0"/>
            </w:tcBorders>
            <w:vAlign w:val="center"/>
          </w:tcPr>
          <w:p w14:paraId="10302472">
            <w:pPr>
              <w:pStyle w:val="445"/>
              <w:rPr>
                <w:rFonts w:cs="Times New Roman"/>
                <w:kern w:val="0"/>
                <w:szCs w:val="20"/>
              </w:rPr>
            </w:pPr>
            <w:r>
              <w:rPr>
                <w:rFonts w:hint="eastAsia" w:cs="Times New Roman"/>
                <w:kern w:val="0"/>
                <w:szCs w:val="20"/>
              </w:rPr>
              <w:t>N</w:t>
            </w:r>
            <w:r>
              <w:rPr>
                <w:rFonts w:hint="eastAsia" w:cs="Times New Roman"/>
                <w:kern w:val="0"/>
                <w:szCs w:val="20"/>
                <w:vertAlign w:val="subscript"/>
              </w:rPr>
              <w:t>2</w:t>
            </w:r>
            <w:r>
              <w:rPr>
                <w:rFonts w:hint="eastAsia" w:cs="Times New Roman"/>
                <w:kern w:val="0"/>
                <w:szCs w:val="20"/>
              </w:rPr>
              <w:t>M</w:t>
            </w:r>
          </w:p>
        </w:tc>
        <w:tc>
          <w:tcPr>
            <w:tcW w:w="503" w:type="pct"/>
            <w:tcBorders>
              <w:top w:val="single" w:color="auto" w:sz="4" w:space="0"/>
              <w:left w:val="single" w:color="auto" w:sz="4" w:space="0"/>
              <w:bottom w:val="single" w:color="auto" w:sz="4" w:space="0"/>
              <w:right w:val="single" w:color="auto" w:sz="4" w:space="0"/>
            </w:tcBorders>
            <w:vAlign w:val="center"/>
          </w:tcPr>
          <w:p w14:paraId="21F2E5CF">
            <w:pPr>
              <w:pStyle w:val="445"/>
              <w:rPr>
                <w:rFonts w:cs="Times New Roman"/>
                <w:kern w:val="0"/>
                <w:szCs w:val="20"/>
              </w:rPr>
            </w:pPr>
            <w:r>
              <w:rPr>
                <w:rFonts w:hint="eastAsia" w:cs="Times New Roman"/>
                <w:kern w:val="0"/>
                <w:szCs w:val="20"/>
              </w:rPr>
              <w:t>47</w:t>
            </w:r>
            <w:r>
              <w:rPr>
                <w:rFonts w:cs="Times New Roman"/>
                <w:kern w:val="0"/>
                <w:szCs w:val="20"/>
              </w:rPr>
              <w:t>~</w:t>
            </w:r>
            <w:r>
              <w:rPr>
                <w:rFonts w:hint="eastAsia" w:cs="Times New Roman"/>
                <w:kern w:val="0"/>
                <w:szCs w:val="20"/>
              </w:rPr>
              <w:t>70</w:t>
            </w:r>
          </w:p>
        </w:tc>
        <w:tc>
          <w:tcPr>
            <w:tcW w:w="2689" w:type="pct"/>
            <w:tcBorders>
              <w:top w:val="single" w:color="auto" w:sz="4" w:space="0"/>
              <w:left w:val="single" w:color="auto" w:sz="4" w:space="0"/>
              <w:bottom w:val="single" w:color="auto" w:sz="4" w:space="0"/>
              <w:right w:val="nil"/>
            </w:tcBorders>
            <w:vAlign w:val="center"/>
          </w:tcPr>
          <w:p w14:paraId="7E66F91B">
            <w:pPr>
              <w:pStyle w:val="445"/>
              <w:rPr>
                <w:rFonts w:cs="Times New Roman"/>
                <w:kern w:val="0"/>
                <w:szCs w:val="20"/>
              </w:rPr>
            </w:pPr>
            <w:r>
              <w:rPr>
                <w:rFonts w:hint="eastAsia" w:cs="Times New Roman"/>
                <w:kern w:val="0"/>
                <w:szCs w:val="20"/>
              </w:rPr>
              <w:t>隐伏于第四系之下。上部为蓝灰色、灰绿色含砾粘土、粉质粘土，灰绿色厚层含砾细砂、中粗砂等；下部为灰绿色、棕红色含砾泥岩、砂质泥岩、砾质泥岩等。</w:t>
            </w:r>
          </w:p>
        </w:tc>
      </w:tr>
      <w:tr w14:paraId="1B73F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0" w:type="auto"/>
            <w:vMerge w:val="continue"/>
            <w:tcBorders>
              <w:top w:val="single" w:color="auto" w:sz="4" w:space="0"/>
              <w:left w:val="nil"/>
              <w:bottom w:val="single" w:color="auto" w:sz="4" w:space="0"/>
              <w:right w:val="single" w:color="auto" w:sz="4" w:space="0"/>
            </w:tcBorders>
            <w:vAlign w:val="center"/>
          </w:tcPr>
          <w:p w14:paraId="04E2F430">
            <w:pPr>
              <w:pStyle w:val="445"/>
              <w:rPr>
                <w:rFonts w:cs="Times New Roman"/>
                <w:kern w:val="0"/>
                <w:szCs w:val="18"/>
              </w:rPr>
            </w:pPr>
          </w:p>
        </w:tc>
        <w:tc>
          <w:tcPr>
            <w:tcW w:w="236" w:type="pct"/>
            <w:tcBorders>
              <w:top w:val="single" w:color="auto" w:sz="4" w:space="0"/>
              <w:left w:val="single" w:color="auto" w:sz="4" w:space="0"/>
              <w:bottom w:val="single" w:color="auto" w:sz="4" w:space="0"/>
              <w:right w:val="single" w:color="auto" w:sz="4" w:space="0"/>
            </w:tcBorders>
            <w:vAlign w:val="center"/>
          </w:tcPr>
          <w:p w14:paraId="11BE7DC1">
            <w:pPr>
              <w:pStyle w:val="445"/>
              <w:rPr>
                <w:rFonts w:cs="Times New Roman"/>
                <w:kern w:val="0"/>
                <w:szCs w:val="20"/>
              </w:rPr>
            </w:pPr>
            <w:r>
              <w:rPr>
                <w:rFonts w:hint="eastAsia" w:cs="Times New Roman"/>
                <w:kern w:val="0"/>
                <w:szCs w:val="20"/>
              </w:rPr>
              <w:t>古近系</w:t>
            </w:r>
          </w:p>
        </w:tc>
        <w:tc>
          <w:tcPr>
            <w:tcW w:w="544" w:type="pct"/>
            <w:tcBorders>
              <w:top w:val="single" w:color="auto" w:sz="4" w:space="0"/>
              <w:left w:val="single" w:color="auto" w:sz="4" w:space="0"/>
              <w:bottom w:val="single" w:color="auto" w:sz="4" w:space="0"/>
              <w:right w:val="single" w:color="auto" w:sz="4" w:space="0"/>
            </w:tcBorders>
            <w:vAlign w:val="center"/>
          </w:tcPr>
          <w:p w14:paraId="53EAFDF3">
            <w:pPr>
              <w:pStyle w:val="445"/>
              <w:rPr>
                <w:rFonts w:cs="Times New Roman"/>
                <w:kern w:val="0"/>
                <w:szCs w:val="20"/>
              </w:rPr>
            </w:pPr>
            <w:r>
              <w:rPr>
                <w:rFonts w:hint="eastAsia" w:cs="Times New Roman"/>
                <w:kern w:val="0"/>
                <w:szCs w:val="20"/>
              </w:rPr>
              <w:t>古新统</w:t>
            </w:r>
          </w:p>
        </w:tc>
        <w:tc>
          <w:tcPr>
            <w:tcW w:w="358" w:type="pct"/>
            <w:tcBorders>
              <w:top w:val="single" w:color="auto" w:sz="4" w:space="0"/>
              <w:left w:val="single" w:color="auto" w:sz="4" w:space="0"/>
              <w:bottom w:val="single" w:color="auto" w:sz="4" w:space="0"/>
              <w:right w:val="single" w:color="auto" w:sz="4" w:space="0"/>
            </w:tcBorders>
            <w:vAlign w:val="center"/>
          </w:tcPr>
          <w:p w14:paraId="791D2CE3">
            <w:pPr>
              <w:pStyle w:val="445"/>
              <w:rPr>
                <w:rFonts w:cs="Times New Roman"/>
                <w:kern w:val="0"/>
                <w:szCs w:val="20"/>
              </w:rPr>
            </w:pPr>
            <w:r>
              <w:rPr>
                <w:rFonts w:hint="eastAsia" w:cs="Times New Roman"/>
                <w:kern w:val="0"/>
                <w:szCs w:val="20"/>
              </w:rPr>
              <w:t>双浮组</w:t>
            </w:r>
          </w:p>
        </w:tc>
        <w:tc>
          <w:tcPr>
            <w:tcW w:w="434" w:type="pct"/>
            <w:tcBorders>
              <w:top w:val="single" w:color="auto" w:sz="4" w:space="0"/>
              <w:left w:val="single" w:color="auto" w:sz="4" w:space="0"/>
              <w:bottom w:val="single" w:color="auto" w:sz="4" w:space="0"/>
              <w:right w:val="single" w:color="auto" w:sz="4" w:space="0"/>
            </w:tcBorders>
            <w:vAlign w:val="center"/>
          </w:tcPr>
          <w:p w14:paraId="6F5009F5">
            <w:pPr>
              <w:pStyle w:val="445"/>
              <w:rPr>
                <w:rFonts w:cs="Times New Roman"/>
                <w:kern w:val="0"/>
                <w:szCs w:val="20"/>
              </w:rPr>
            </w:pPr>
            <w:r>
              <w:rPr>
                <w:rFonts w:hint="eastAsia" w:cs="Times New Roman"/>
                <w:kern w:val="0"/>
                <w:szCs w:val="20"/>
              </w:rPr>
              <w:t>E</w:t>
            </w:r>
            <w:r>
              <w:rPr>
                <w:rFonts w:hint="eastAsia" w:cs="Times New Roman"/>
                <w:kern w:val="0"/>
                <w:szCs w:val="20"/>
                <w:vertAlign w:val="subscript"/>
              </w:rPr>
              <w:t>1</w:t>
            </w:r>
            <w:r>
              <w:rPr>
                <w:rFonts w:hint="eastAsia" w:cs="Times New Roman"/>
                <w:kern w:val="0"/>
                <w:szCs w:val="20"/>
              </w:rPr>
              <w:t>sh</w:t>
            </w:r>
          </w:p>
        </w:tc>
        <w:tc>
          <w:tcPr>
            <w:tcW w:w="503" w:type="pct"/>
            <w:tcBorders>
              <w:top w:val="single" w:color="auto" w:sz="4" w:space="0"/>
              <w:left w:val="single" w:color="auto" w:sz="4" w:space="0"/>
              <w:bottom w:val="single" w:color="auto" w:sz="4" w:space="0"/>
              <w:right w:val="single" w:color="auto" w:sz="4" w:space="0"/>
            </w:tcBorders>
            <w:vAlign w:val="center"/>
          </w:tcPr>
          <w:p w14:paraId="6C9AE1D4">
            <w:pPr>
              <w:pStyle w:val="445"/>
              <w:rPr>
                <w:rFonts w:cs="Times New Roman"/>
                <w:kern w:val="0"/>
                <w:szCs w:val="20"/>
              </w:rPr>
            </w:pPr>
            <w:r>
              <w:rPr>
                <w:rFonts w:hint="eastAsia" w:cs="Times New Roman"/>
                <w:kern w:val="0"/>
                <w:szCs w:val="20"/>
              </w:rPr>
              <w:t>＞631</w:t>
            </w:r>
          </w:p>
        </w:tc>
        <w:tc>
          <w:tcPr>
            <w:tcW w:w="2689" w:type="pct"/>
            <w:tcBorders>
              <w:top w:val="single" w:color="auto" w:sz="4" w:space="0"/>
              <w:left w:val="single" w:color="auto" w:sz="4" w:space="0"/>
              <w:bottom w:val="single" w:color="auto" w:sz="4" w:space="0"/>
              <w:right w:val="nil"/>
            </w:tcBorders>
            <w:vAlign w:val="center"/>
          </w:tcPr>
          <w:p w14:paraId="0CD67C87">
            <w:pPr>
              <w:pStyle w:val="445"/>
              <w:rPr>
                <w:rFonts w:cs="Times New Roman"/>
                <w:kern w:val="0"/>
                <w:szCs w:val="20"/>
              </w:rPr>
            </w:pPr>
            <w:r>
              <w:rPr>
                <w:rFonts w:hint="eastAsia" w:cs="Times New Roman"/>
                <w:kern w:val="0"/>
                <w:szCs w:val="20"/>
              </w:rPr>
              <w:t>细砂岩与泥岩、粉砂岩互层、底部为砾岩。</w:t>
            </w:r>
          </w:p>
        </w:tc>
      </w:tr>
      <w:tr w14:paraId="18173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236" w:type="pct"/>
            <w:tcBorders>
              <w:top w:val="single" w:color="auto" w:sz="4" w:space="0"/>
              <w:left w:val="nil"/>
              <w:bottom w:val="single" w:color="auto" w:sz="12" w:space="0"/>
              <w:right w:val="single" w:color="auto" w:sz="4" w:space="0"/>
            </w:tcBorders>
            <w:vAlign w:val="center"/>
          </w:tcPr>
          <w:p w14:paraId="4B479306">
            <w:pPr>
              <w:pStyle w:val="445"/>
              <w:rPr>
                <w:rFonts w:cs="Times New Roman"/>
                <w:kern w:val="0"/>
                <w:szCs w:val="20"/>
              </w:rPr>
            </w:pPr>
            <w:r>
              <w:rPr>
                <w:rFonts w:cs="Times New Roman"/>
                <w:kern w:val="0"/>
                <w:szCs w:val="20"/>
              </w:rPr>
              <w:t>上太古界</w:t>
            </w:r>
          </w:p>
        </w:tc>
        <w:tc>
          <w:tcPr>
            <w:tcW w:w="780" w:type="pct"/>
            <w:gridSpan w:val="2"/>
            <w:tcBorders>
              <w:top w:val="single" w:color="auto" w:sz="4" w:space="0"/>
              <w:left w:val="single" w:color="auto" w:sz="4" w:space="0"/>
              <w:bottom w:val="single" w:color="auto" w:sz="12" w:space="0"/>
              <w:right w:val="single" w:color="auto" w:sz="4" w:space="0"/>
            </w:tcBorders>
            <w:vAlign w:val="center"/>
          </w:tcPr>
          <w:p w14:paraId="13E0212D">
            <w:pPr>
              <w:pStyle w:val="445"/>
              <w:rPr>
                <w:rFonts w:cs="Times New Roman"/>
                <w:kern w:val="0"/>
                <w:szCs w:val="20"/>
              </w:rPr>
            </w:pPr>
            <w:r>
              <w:rPr>
                <w:rFonts w:cs="Times New Roman"/>
                <w:kern w:val="0"/>
                <w:szCs w:val="20"/>
              </w:rPr>
              <w:t>五</w:t>
            </w:r>
          </w:p>
          <w:p w14:paraId="18658694">
            <w:pPr>
              <w:pStyle w:val="445"/>
              <w:rPr>
                <w:rFonts w:cs="Times New Roman"/>
                <w:kern w:val="0"/>
                <w:szCs w:val="20"/>
              </w:rPr>
            </w:pPr>
            <w:r>
              <w:rPr>
                <w:rFonts w:cs="Times New Roman"/>
                <w:kern w:val="0"/>
                <w:szCs w:val="20"/>
              </w:rPr>
              <w:t>河</w:t>
            </w:r>
          </w:p>
          <w:p w14:paraId="09E89D55">
            <w:pPr>
              <w:pStyle w:val="445"/>
              <w:rPr>
                <w:rFonts w:cs="Times New Roman"/>
                <w:kern w:val="0"/>
                <w:szCs w:val="20"/>
              </w:rPr>
            </w:pPr>
            <w:r>
              <w:rPr>
                <w:rFonts w:cs="Times New Roman"/>
                <w:kern w:val="0"/>
                <w:szCs w:val="20"/>
              </w:rPr>
              <w:t>群</w:t>
            </w:r>
          </w:p>
        </w:tc>
        <w:tc>
          <w:tcPr>
            <w:tcW w:w="358" w:type="pct"/>
            <w:tcBorders>
              <w:top w:val="single" w:color="auto" w:sz="4" w:space="0"/>
              <w:left w:val="single" w:color="auto" w:sz="4" w:space="0"/>
              <w:bottom w:val="single" w:color="auto" w:sz="12" w:space="0"/>
              <w:right w:val="single" w:color="auto" w:sz="4" w:space="0"/>
            </w:tcBorders>
            <w:vAlign w:val="center"/>
          </w:tcPr>
          <w:p w14:paraId="3BE876E2">
            <w:pPr>
              <w:pStyle w:val="445"/>
              <w:rPr>
                <w:rFonts w:cs="Times New Roman"/>
                <w:kern w:val="0"/>
                <w:szCs w:val="20"/>
              </w:rPr>
            </w:pPr>
            <w:r>
              <w:rPr>
                <w:rFonts w:cs="Times New Roman"/>
                <w:kern w:val="0"/>
                <w:szCs w:val="20"/>
              </w:rPr>
              <w:t>庄子里组</w:t>
            </w:r>
          </w:p>
        </w:tc>
        <w:tc>
          <w:tcPr>
            <w:tcW w:w="434" w:type="pct"/>
            <w:tcBorders>
              <w:top w:val="single" w:color="auto" w:sz="4" w:space="0"/>
              <w:left w:val="single" w:color="auto" w:sz="4" w:space="0"/>
              <w:bottom w:val="single" w:color="auto" w:sz="12" w:space="0"/>
              <w:right w:val="single" w:color="auto" w:sz="4" w:space="0"/>
            </w:tcBorders>
            <w:vAlign w:val="center"/>
          </w:tcPr>
          <w:p w14:paraId="60258DFF">
            <w:pPr>
              <w:pStyle w:val="445"/>
              <w:rPr>
                <w:rFonts w:cs="Times New Roman"/>
                <w:kern w:val="0"/>
                <w:szCs w:val="20"/>
              </w:rPr>
            </w:pPr>
            <w:r>
              <w:rPr>
                <w:rFonts w:cs="Times New Roman"/>
                <w:kern w:val="0"/>
                <w:szCs w:val="20"/>
              </w:rPr>
              <w:t>Ar</w:t>
            </w:r>
            <w:r>
              <w:rPr>
                <w:rFonts w:cs="Times New Roman"/>
                <w:kern w:val="0"/>
                <w:szCs w:val="20"/>
                <w:vertAlign w:val="subscript"/>
              </w:rPr>
              <w:t>2</w:t>
            </w:r>
            <w:r>
              <w:rPr>
                <w:rFonts w:hint="eastAsia" w:cs="Times New Roman"/>
                <w:kern w:val="0"/>
                <w:szCs w:val="20"/>
              </w:rPr>
              <w:t>wh</w:t>
            </w:r>
          </w:p>
        </w:tc>
        <w:tc>
          <w:tcPr>
            <w:tcW w:w="503" w:type="pct"/>
            <w:tcBorders>
              <w:top w:val="single" w:color="auto" w:sz="4" w:space="0"/>
              <w:left w:val="single" w:color="auto" w:sz="4" w:space="0"/>
              <w:bottom w:val="single" w:color="auto" w:sz="12" w:space="0"/>
              <w:right w:val="single" w:color="auto" w:sz="4" w:space="0"/>
            </w:tcBorders>
            <w:vAlign w:val="center"/>
          </w:tcPr>
          <w:p w14:paraId="1BC55DEF">
            <w:pPr>
              <w:pStyle w:val="445"/>
              <w:rPr>
                <w:rFonts w:cs="Times New Roman"/>
                <w:kern w:val="0"/>
                <w:szCs w:val="20"/>
              </w:rPr>
            </w:pPr>
            <w:r>
              <w:rPr>
                <w:rFonts w:hint="eastAsia" w:cs="Times New Roman"/>
                <w:kern w:val="0"/>
                <w:szCs w:val="20"/>
              </w:rPr>
              <w:t>＞1521</w:t>
            </w:r>
          </w:p>
        </w:tc>
        <w:tc>
          <w:tcPr>
            <w:tcW w:w="2689" w:type="pct"/>
            <w:tcBorders>
              <w:top w:val="single" w:color="auto" w:sz="4" w:space="0"/>
              <w:left w:val="single" w:color="auto" w:sz="4" w:space="0"/>
              <w:bottom w:val="single" w:color="auto" w:sz="12" w:space="0"/>
              <w:right w:val="nil"/>
            </w:tcBorders>
            <w:vAlign w:val="center"/>
          </w:tcPr>
          <w:p w14:paraId="7DB15BAF">
            <w:pPr>
              <w:pStyle w:val="445"/>
              <w:rPr>
                <w:rFonts w:cs="Times New Roman"/>
                <w:kern w:val="0"/>
                <w:szCs w:val="20"/>
              </w:rPr>
            </w:pPr>
            <w:r>
              <w:rPr>
                <w:rFonts w:hint="eastAsia" w:cs="Times New Roman"/>
                <w:kern w:val="0"/>
                <w:szCs w:val="20"/>
              </w:rPr>
              <w:t>岩性主要为大理岩、变流纹岩、白云石英片岩及斜长角闪岩，并含黑云斜长片麻岩、黑云二长片麻岩、浅粒岩等变质侵入体。</w:t>
            </w:r>
          </w:p>
        </w:tc>
      </w:tr>
    </w:tbl>
    <w:p w14:paraId="4E5E827D">
      <w:pPr>
        <w:pStyle w:val="349"/>
      </w:pPr>
      <w:r>
        <w:rPr>
          <w:rFonts w:hint="eastAsia"/>
        </w:rPr>
        <w:t>5</w:t>
      </w:r>
      <w:r>
        <w:t>.5.1.3</w:t>
      </w:r>
      <w:r>
        <w:rPr>
          <w:rFonts w:hint="eastAsia" w:ascii="黑体" w:hAnsi="黑体"/>
        </w:rPr>
        <w:t>区域地层</w:t>
      </w:r>
    </w:p>
    <w:p w14:paraId="1AC0CCC7">
      <w:pPr>
        <w:ind w:firstLine="480"/>
        <w:rPr>
          <w:b/>
          <w:bCs/>
        </w:rPr>
      </w:pPr>
      <w:r>
        <w:rPr>
          <w:rFonts w:hint="eastAsia" w:ascii="宋体" w:hAnsi="宋体"/>
          <w:bCs/>
        </w:rPr>
        <w:t>评价区地表出露地层为新生界第四系，松散层包括新近系（</w:t>
      </w:r>
      <w:r>
        <w:rPr>
          <w:bCs/>
        </w:rPr>
        <w:t>N</w:t>
      </w:r>
      <w:r>
        <w:rPr>
          <w:rFonts w:hint="eastAsia" w:ascii="宋体" w:hAnsi="宋体"/>
          <w:bCs/>
        </w:rPr>
        <w:t>）和第四系（</w:t>
      </w:r>
      <w:r>
        <w:rPr>
          <w:bCs/>
        </w:rPr>
        <w:t>Q</w:t>
      </w:r>
      <w:r>
        <w:rPr>
          <w:rFonts w:hint="eastAsia" w:ascii="宋体" w:hAnsi="宋体"/>
          <w:bCs/>
        </w:rPr>
        <w:t>）；其下基岩主要为上太古界五河群（</w:t>
      </w:r>
      <w:r>
        <w:rPr>
          <w:bCs/>
        </w:rPr>
        <w:t>Ar</w:t>
      </w:r>
      <w:r>
        <w:rPr>
          <w:bCs/>
          <w:vertAlign w:val="subscript"/>
        </w:rPr>
        <w:t>2</w:t>
      </w:r>
      <w:r>
        <w:rPr>
          <w:bCs/>
        </w:rPr>
        <w:t>wh</w:t>
      </w:r>
      <w:r>
        <w:rPr>
          <w:rFonts w:hint="eastAsia" w:ascii="宋体" w:hAnsi="宋体"/>
          <w:bCs/>
        </w:rPr>
        <w:t>）。</w:t>
      </w:r>
    </w:p>
    <w:p w14:paraId="717CC030">
      <w:pPr>
        <w:ind w:firstLine="480"/>
        <w:rPr>
          <w:b/>
          <w:bCs/>
        </w:rPr>
      </w:pPr>
      <w:r>
        <w:rPr>
          <w:rFonts w:hint="eastAsia" w:ascii="宋体" w:hAnsi="宋体"/>
          <w:bCs/>
        </w:rPr>
        <w:t>根据区域地质资料，评估区内地层由老到新描述如下：</w:t>
      </w:r>
      <w:r>
        <w:rPr>
          <w:rFonts w:hint="eastAsia"/>
          <w:bCs/>
        </w:rPr>
        <w:t xml:space="preserve"> </w:t>
      </w:r>
    </w:p>
    <w:p w14:paraId="59E5DFBB">
      <w:pPr>
        <w:ind w:firstLine="480"/>
        <w:rPr>
          <w:b/>
          <w:bCs/>
        </w:rPr>
      </w:pPr>
      <w:r>
        <w:rPr>
          <w:rFonts w:hint="eastAsia" w:ascii="宋体" w:hAnsi="宋体"/>
          <w:bCs/>
        </w:rPr>
        <w:t>（</w:t>
      </w:r>
      <w:r>
        <w:rPr>
          <w:bCs/>
        </w:rPr>
        <w:t>1</w:t>
      </w:r>
      <w:r>
        <w:rPr>
          <w:rFonts w:hint="eastAsia" w:ascii="宋体" w:hAnsi="宋体"/>
          <w:bCs/>
        </w:rPr>
        <w:t>）上太古界五河群（</w:t>
      </w:r>
      <w:r>
        <w:rPr>
          <w:bCs/>
        </w:rPr>
        <w:t>Ar</w:t>
      </w:r>
      <w:r>
        <w:rPr>
          <w:bCs/>
          <w:vertAlign w:val="subscript"/>
        </w:rPr>
        <w:t>2</w:t>
      </w:r>
      <w:r>
        <w:rPr>
          <w:bCs/>
        </w:rPr>
        <w:t>wh</w:t>
      </w:r>
      <w:r>
        <w:rPr>
          <w:rFonts w:hint="eastAsia" w:ascii="宋体" w:hAnsi="宋体"/>
          <w:bCs/>
        </w:rPr>
        <w:t>）</w:t>
      </w:r>
    </w:p>
    <w:p w14:paraId="62C4F128">
      <w:pPr>
        <w:ind w:firstLine="480"/>
        <w:rPr>
          <w:b/>
          <w:bCs/>
        </w:rPr>
      </w:pPr>
      <w:r>
        <w:rPr>
          <w:rFonts w:hint="eastAsia" w:ascii="宋体" w:hAnsi="宋体"/>
          <w:bCs/>
        </w:rPr>
        <w:t>分布全区，隐伏于新近系之下，岩性主要为大理岩、变流纹岩、白云石英片岩及斜长角闪岩，并含黑云斜长片麻岩、黑云二长片麻岩、浅粒岩等变质侵入体。厚度大于</w:t>
      </w:r>
      <w:r>
        <w:rPr>
          <w:bCs/>
        </w:rPr>
        <w:t>1521m</w:t>
      </w:r>
      <w:r>
        <w:rPr>
          <w:rFonts w:hint="eastAsia" w:ascii="宋体" w:hAnsi="宋体"/>
          <w:bCs/>
        </w:rPr>
        <w:t>。</w:t>
      </w:r>
    </w:p>
    <w:p w14:paraId="38647EC6">
      <w:pPr>
        <w:ind w:firstLine="480"/>
        <w:rPr>
          <w:b/>
          <w:bCs/>
        </w:rPr>
      </w:pPr>
      <w:r>
        <w:rPr>
          <w:rFonts w:hint="eastAsia" w:ascii="宋体" w:hAnsi="宋体"/>
          <w:bCs/>
        </w:rPr>
        <w:t>（</w:t>
      </w:r>
      <w:r>
        <w:rPr>
          <w:bCs/>
        </w:rPr>
        <w:t>2</w:t>
      </w:r>
      <w:r>
        <w:rPr>
          <w:rFonts w:hint="eastAsia" w:ascii="宋体" w:hAnsi="宋体"/>
          <w:bCs/>
        </w:rPr>
        <w:t>）新生界新近系明化镇组（</w:t>
      </w:r>
      <w:r>
        <w:rPr>
          <w:bCs/>
        </w:rPr>
        <w:t>N</w:t>
      </w:r>
      <w:r>
        <w:rPr>
          <w:bCs/>
          <w:vertAlign w:val="subscript"/>
        </w:rPr>
        <w:t>2</w:t>
      </w:r>
      <w:r>
        <w:rPr>
          <w:bCs/>
        </w:rPr>
        <w:t>M</w:t>
      </w:r>
      <w:r>
        <w:rPr>
          <w:rFonts w:hint="eastAsia" w:ascii="宋体" w:hAnsi="宋体"/>
          <w:bCs/>
        </w:rPr>
        <w:t>）</w:t>
      </w:r>
    </w:p>
    <w:p w14:paraId="02603359">
      <w:pPr>
        <w:ind w:firstLine="480"/>
        <w:rPr>
          <w:b/>
          <w:bCs/>
        </w:rPr>
      </w:pPr>
      <w:r>
        <w:rPr>
          <w:rFonts w:hint="eastAsia" w:ascii="宋体" w:hAnsi="宋体"/>
          <w:bCs/>
        </w:rPr>
        <w:t>分布全区，隐伏于第四系之下，层厚为</w:t>
      </w:r>
      <w:r>
        <w:rPr>
          <w:bCs/>
        </w:rPr>
        <w:t>50</w:t>
      </w:r>
      <w:r>
        <w:rPr>
          <w:rFonts w:hint="eastAsia" w:ascii="宋体" w:hAnsi="宋体"/>
          <w:bCs/>
        </w:rPr>
        <w:t>～</w:t>
      </w:r>
      <w:r>
        <w:rPr>
          <w:bCs/>
        </w:rPr>
        <w:t>60m</w:t>
      </w:r>
      <w:r>
        <w:rPr>
          <w:rFonts w:hint="eastAsia" w:ascii="宋体" w:hAnsi="宋体"/>
          <w:bCs/>
        </w:rPr>
        <w:t>，岩性为绿色、灰白色粉质粘土，灰白、灰黄色泥质微胶结或含泥质中粗砂、含砾中粗砂、砂砾层。</w:t>
      </w:r>
    </w:p>
    <w:p w14:paraId="3F9E8066">
      <w:pPr>
        <w:ind w:firstLine="480"/>
        <w:rPr>
          <w:b/>
          <w:bCs/>
        </w:rPr>
      </w:pPr>
      <w:r>
        <w:rPr>
          <w:rFonts w:hint="eastAsia" w:ascii="宋体" w:hAnsi="宋体"/>
          <w:bCs/>
        </w:rPr>
        <w:t>（</w:t>
      </w:r>
      <w:r>
        <w:rPr>
          <w:bCs/>
        </w:rPr>
        <w:t>3</w:t>
      </w:r>
      <w:r>
        <w:rPr>
          <w:rFonts w:hint="eastAsia" w:ascii="宋体" w:hAnsi="宋体"/>
          <w:bCs/>
        </w:rPr>
        <w:t>）新生界第四系（</w:t>
      </w:r>
      <w:r>
        <w:rPr>
          <w:bCs/>
        </w:rPr>
        <w:t>Q</w:t>
      </w:r>
      <w:r>
        <w:rPr>
          <w:rFonts w:hint="eastAsia" w:ascii="宋体" w:hAnsi="宋体"/>
          <w:bCs/>
        </w:rPr>
        <w:t>）</w:t>
      </w:r>
    </w:p>
    <w:p w14:paraId="3EB0A332">
      <w:pPr>
        <w:ind w:firstLine="480"/>
        <w:rPr>
          <w:b/>
          <w:bCs/>
        </w:rPr>
      </w:pPr>
      <w:r>
        <w:rPr>
          <w:rFonts w:hint="eastAsia" w:ascii="宋体" w:hAnsi="宋体"/>
          <w:bCs/>
        </w:rPr>
        <w:t>本区自下而上分别为下更新统蒙城组（</w:t>
      </w:r>
      <w:r>
        <w:rPr>
          <w:bCs/>
        </w:rPr>
        <w:t>Q</w:t>
      </w:r>
      <w:r>
        <w:rPr>
          <w:bCs/>
          <w:vertAlign w:val="subscript"/>
        </w:rPr>
        <w:t>1</w:t>
      </w:r>
      <w:r>
        <w:rPr>
          <w:bCs/>
        </w:rPr>
        <w:t>M</w:t>
      </w:r>
      <w:r>
        <w:rPr>
          <w:rFonts w:hint="eastAsia" w:ascii="宋体" w:hAnsi="宋体"/>
          <w:bCs/>
        </w:rPr>
        <w:t>）、中更新统潘集组（</w:t>
      </w:r>
      <w:r>
        <w:rPr>
          <w:bCs/>
        </w:rPr>
        <w:t>Q</w:t>
      </w:r>
      <w:r>
        <w:rPr>
          <w:bCs/>
          <w:vertAlign w:val="subscript"/>
        </w:rPr>
        <w:t>2</w:t>
      </w:r>
      <w:r>
        <w:rPr>
          <w:bCs/>
        </w:rPr>
        <w:t>p</w:t>
      </w:r>
      <w:r>
        <w:rPr>
          <w:rFonts w:hint="eastAsia" w:ascii="宋体" w:hAnsi="宋体"/>
          <w:bCs/>
        </w:rPr>
        <w:t>）和上更新统茆塘组（</w:t>
      </w:r>
      <w:r>
        <w:rPr>
          <w:bCs/>
        </w:rPr>
        <w:t>Q</w:t>
      </w:r>
      <w:r>
        <w:rPr>
          <w:bCs/>
          <w:vertAlign w:val="subscript"/>
        </w:rPr>
        <w:t>3</w:t>
      </w:r>
      <w:r>
        <w:rPr>
          <w:bCs/>
        </w:rPr>
        <w:t>m</w:t>
      </w:r>
      <w:r>
        <w:rPr>
          <w:rFonts w:hint="eastAsia" w:ascii="宋体" w:hAnsi="宋体"/>
          <w:bCs/>
        </w:rPr>
        <w:t>）。</w:t>
      </w:r>
    </w:p>
    <w:p w14:paraId="1971935A">
      <w:pPr>
        <w:ind w:firstLine="480"/>
        <w:rPr>
          <w:b/>
          <w:bCs/>
        </w:rPr>
      </w:pPr>
      <w:r>
        <w:rPr>
          <w:rFonts w:hint="eastAsia" w:ascii="宋体" w:hAnsi="宋体"/>
          <w:bCs/>
        </w:rPr>
        <w:t>下更新统蒙城组（</w:t>
      </w:r>
      <w:r>
        <w:rPr>
          <w:bCs/>
        </w:rPr>
        <w:t>Q</w:t>
      </w:r>
      <w:r>
        <w:rPr>
          <w:bCs/>
          <w:vertAlign w:val="subscript"/>
        </w:rPr>
        <w:t>1</w:t>
      </w:r>
      <w:r>
        <w:rPr>
          <w:bCs/>
        </w:rPr>
        <w:t>M</w:t>
      </w:r>
      <w:r>
        <w:rPr>
          <w:rFonts w:hint="eastAsia" w:ascii="宋体" w:hAnsi="宋体"/>
          <w:bCs/>
        </w:rPr>
        <w:t>）：全区广泛分布，隐伏于中更新统之下。厚度为</w:t>
      </w:r>
      <w:r>
        <w:rPr>
          <w:bCs/>
        </w:rPr>
        <w:t>20</w:t>
      </w:r>
      <w:r>
        <w:rPr>
          <w:rFonts w:hint="eastAsia" w:ascii="宋体" w:hAnsi="宋体"/>
          <w:bCs/>
        </w:rPr>
        <w:t>～</w:t>
      </w:r>
      <w:r>
        <w:rPr>
          <w:bCs/>
        </w:rPr>
        <w:t>35m</w:t>
      </w:r>
      <w:r>
        <w:rPr>
          <w:rFonts w:hint="eastAsia" w:ascii="宋体" w:hAnsi="宋体"/>
          <w:bCs/>
        </w:rPr>
        <w:t>，底部为黄棕色粉细砂、细砂、粉砂；上部为浅棕、灰黄色粉质粘土互层，夹薄层粉砂土及粉砂，富含钙质结核和铁锰质结核。</w:t>
      </w:r>
      <w:r>
        <w:rPr>
          <w:rFonts w:hint="eastAsia"/>
          <w:bCs/>
        </w:rPr>
        <w:t xml:space="preserve"> </w:t>
      </w:r>
    </w:p>
    <w:p w14:paraId="352EA389">
      <w:pPr>
        <w:ind w:firstLine="480"/>
        <w:rPr>
          <w:b/>
          <w:bCs/>
        </w:rPr>
      </w:pPr>
      <w:r>
        <w:rPr>
          <w:rFonts w:hint="eastAsia" w:ascii="宋体" w:hAnsi="宋体"/>
          <w:bCs/>
        </w:rPr>
        <w:t>中更新统潘集组（</w:t>
      </w:r>
      <w:r>
        <w:rPr>
          <w:bCs/>
        </w:rPr>
        <w:t>Q</w:t>
      </w:r>
      <w:r>
        <w:rPr>
          <w:bCs/>
          <w:vertAlign w:val="subscript"/>
        </w:rPr>
        <w:t>2</w:t>
      </w:r>
      <w:r>
        <w:rPr>
          <w:bCs/>
        </w:rPr>
        <w:t>p</w:t>
      </w:r>
      <w:r>
        <w:rPr>
          <w:rFonts w:hint="eastAsia" w:ascii="宋体" w:hAnsi="宋体"/>
          <w:bCs/>
        </w:rPr>
        <w:t>）：全区广泛分布，隐伏于上更新统之下，层厚为</w:t>
      </w:r>
      <w:r>
        <w:rPr>
          <w:bCs/>
        </w:rPr>
        <w:t>45</w:t>
      </w:r>
      <w:r>
        <w:rPr>
          <w:rFonts w:hint="eastAsia" w:ascii="宋体" w:hAnsi="宋体"/>
          <w:bCs/>
        </w:rPr>
        <w:t>～</w:t>
      </w:r>
      <w:r>
        <w:rPr>
          <w:bCs/>
        </w:rPr>
        <w:t>60m</w:t>
      </w:r>
      <w:r>
        <w:rPr>
          <w:rFonts w:hint="eastAsia" w:ascii="宋体" w:hAnsi="宋体"/>
          <w:bCs/>
        </w:rPr>
        <w:t>，可分为上下两段：下段为黄灰色、黄绿色粉砂、细砂、粗中砂，结构松散，分选性较好，厚</w:t>
      </w:r>
      <w:r>
        <w:rPr>
          <w:bCs/>
        </w:rPr>
        <w:t>25</w:t>
      </w:r>
      <w:r>
        <w:rPr>
          <w:rFonts w:hint="eastAsia" w:ascii="宋体" w:hAnsi="宋体"/>
          <w:bCs/>
        </w:rPr>
        <w:t>～</w:t>
      </w:r>
      <w:r>
        <w:rPr>
          <w:bCs/>
        </w:rPr>
        <w:t>35m</w:t>
      </w:r>
      <w:r>
        <w:rPr>
          <w:rFonts w:hint="eastAsia" w:ascii="宋体" w:hAnsi="宋体"/>
          <w:bCs/>
        </w:rPr>
        <w:t>；上段为青黄色粘土，结构紧密，含钙质结核和铁锰质结核，厚度为</w:t>
      </w:r>
      <w:r>
        <w:rPr>
          <w:bCs/>
        </w:rPr>
        <w:t>20-30m</w:t>
      </w:r>
      <w:r>
        <w:rPr>
          <w:rFonts w:hint="eastAsia" w:ascii="宋体" w:hAnsi="宋体"/>
          <w:bCs/>
        </w:rPr>
        <w:t>。</w:t>
      </w:r>
    </w:p>
    <w:p w14:paraId="59448F51">
      <w:pPr>
        <w:ind w:firstLine="480"/>
        <w:rPr>
          <w:b/>
          <w:bCs/>
        </w:rPr>
      </w:pPr>
      <w:r>
        <w:rPr>
          <w:rFonts w:hint="eastAsia" w:ascii="宋体" w:hAnsi="宋体"/>
          <w:bCs/>
        </w:rPr>
        <w:t>上更新统茆塘组（</w:t>
      </w:r>
      <w:r>
        <w:rPr>
          <w:bCs/>
        </w:rPr>
        <w:t>Q</w:t>
      </w:r>
      <w:r>
        <w:rPr>
          <w:bCs/>
          <w:vertAlign w:val="subscript"/>
        </w:rPr>
        <w:t>3</w:t>
      </w:r>
      <w:r>
        <w:rPr>
          <w:bCs/>
        </w:rPr>
        <w:t>m</w:t>
      </w:r>
      <w:r>
        <w:rPr>
          <w:rFonts w:hint="eastAsia" w:ascii="宋体" w:hAnsi="宋体"/>
          <w:bCs/>
        </w:rPr>
        <w:t>）：全区出露，厚度为</w:t>
      </w:r>
      <w:r>
        <w:rPr>
          <w:bCs/>
        </w:rPr>
        <w:t>20</w:t>
      </w:r>
      <w:r>
        <w:rPr>
          <w:rFonts w:hint="eastAsia" w:ascii="宋体" w:hAnsi="宋体"/>
          <w:bCs/>
        </w:rPr>
        <w:t>～</w:t>
      </w:r>
      <w:r>
        <w:rPr>
          <w:bCs/>
        </w:rPr>
        <w:t>30m</w:t>
      </w:r>
      <w:r>
        <w:rPr>
          <w:rFonts w:hint="eastAsia" w:ascii="宋体" w:hAnsi="宋体"/>
          <w:bCs/>
        </w:rPr>
        <w:t>，主要为褐黄色、灰褐色粉质粘土、粘土、粉土夹砂、粉细砂</w:t>
      </w:r>
      <w:r>
        <w:rPr>
          <w:bCs/>
        </w:rPr>
        <w:t>-</w:t>
      </w:r>
      <w:r>
        <w:rPr>
          <w:rFonts w:hint="eastAsia" w:ascii="宋体" w:hAnsi="宋体"/>
          <w:bCs/>
        </w:rPr>
        <w:t>中砂，局部地段下部夹少量砾石，普遍含有铁锰质结核和钙质结核，柱状节理较发育。</w:t>
      </w:r>
    </w:p>
    <w:p w14:paraId="363AFA62">
      <w:pPr>
        <w:pStyle w:val="349"/>
      </w:pPr>
      <w:r>
        <w:rPr>
          <w:rFonts w:hint="eastAsia"/>
        </w:rPr>
        <w:t>5</w:t>
      </w:r>
      <w:r>
        <w:t>.5.1.4</w:t>
      </w:r>
      <w:r>
        <w:rPr>
          <w:rFonts w:hint="eastAsia" w:ascii="黑体" w:hAnsi="黑体"/>
        </w:rPr>
        <w:t>区域构造</w:t>
      </w:r>
    </w:p>
    <w:p w14:paraId="0FA440EB">
      <w:pPr>
        <w:ind w:firstLine="480"/>
        <w:rPr>
          <w:b/>
          <w:bCs/>
        </w:rPr>
      </w:pPr>
      <w:r>
        <w:rPr>
          <w:bCs/>
        </w:rPr>
        <w:t>(1)</w:t>
      </w:r>
      <w:r>
        <w:rPr>
          <w:rFonts w:ascii="宋体" w:hAnsi="宋体"/>
          <w:bCs/>
        </w:rPr>
        <w:t>地质构造</w:t>
      </w:r>
    </w:p>
    <w:p w14:paraId="2B5B3D81">
      <w:pPr>
        <w:ind w:firstLine="480"/>
        <w:rPr>
          <w:b/>
          <w:bCs/>
        </w:rPr>
      </w:pPr>
      <w:r>
        <w:rPr>
          <w:rFonts w:ascii="宋体" w:hAnsi="宋体"/>
          <w:bCs/>
        </w:rPr>
        <w:t>评价区在大地构造分区上位于中朝准地台淮河台坳蚌埠台拱。区域褶皱和断裂较发育。</w:t>
      </w:r>
    </w:p>
    <w:p w14:paraId="6653584D">
      <w:pPr>
        <w:ind w:firstLine="480"/>
        <w:rPr>
          <w:b/>
          <w:bCs/>
        </w:rPr>
      </w:pPr>
      <w:r>
        <w:rPr>
          <w:rFonts w:hint="eastAsia" w:ascii="宋体" w:hAnsi="宋体"/>
          <w:bCs/>
        </w:rPr>
        <w:t>①</w:t>
      </w:r>
      <w:r>
        <w:rPr>
          <w:rFonts w:ascii="宋体" w:hAnsi="宋体"/>
          <w:bCs/>
        </w:rPr>
        <w:t>褶皱</w:t>
      </w:r>
    </w:p>
    <w:p w14:paraId="266F6508">
      <w:pPr>
        <w:ind w:firstLine="480"/>
        <w:rPr>
          <w:b/>
          <w:bCs/>
        </w:rPr>
      </w:pPr>
      <w:r>
        <w:rPr>
          <w:rFonts w:ascii="宋体" w:hAnsi="宋体"/>
          <w:bCs/>
        </w:rPr>
        <w:t>区域褶皱构造主要为蚌埠期构造运动形成的蚌埠复背斜。蚌埠复背斜核部为五河杂岩，轴迹为</w:t>
      </w:r>
      <w:r>
        <w:rPr>
          <w:bCs/>
        </w:rPr>
        <w:t>NWW</w:t>
      </w:r>
      <w:r>
        <w:rPr>
          <w:rFonts w:ascii="宋体" w:hAnsi="宋体"/>
          <w:bCs/>
        </w:rPr>
        <w:t>至</w:t>
      </w:r>
      <w:r>
        <w:rPr>
          <w:bCs/>
        </w:rPr>
        <w:t>SEE</w:t>
      </w:r>
      <w:r>
        <w:rPr>
          <w:rFonts w:ascii="宋体" w:hAnsi="宋体"/>
          <w:bCs/>
        </w:rPr>
        <w:t>，走向</w:t>
      </w:r>
      <w:r>
        <w:rPr>
          <w:bCs/>
        </w:rPr>
        <w:t>280º</w:t>
      </w:r>
      <w:r>
        <w:rPr>
          <w:rFonts w:ascii="宋体" w:hAnsi="宋体"/>
          <w:bCs/>
        </w:rPr>
        <w:t>，长约</w:t>
      </w:r>
      <w:r>
        <w:rPr>
          <w:bCs/>
        </w:rPr>
        <w:t>76km</w:t>
      </w:r>
      <w:r>
        <w:rPr>
          <w:rFonts w:ascii="宋体" w:hAnsi="宋体"/>
          <w:bCs/>
        </w:rPr>
        <w:t>，宽为</w:t>
      </w:r>
      <w:r>
        <w:rPr>
          <w:bCs/>
        </w:rPr>
        <w:t>5</w:t>
      </w:r>
      <w:r>
        <w:rPr>
          <w:rFonts w:ascii="宋体" w:hAnsi="宋体"/>
          <w:bCs/>
        </w:rPr>
        <w:t>～</w:t>
      </w:r>
      <w:r>
        <w:rPr>
          <w:bCs/>
        </w:rPr>
        <w:t>10km</w:t>
      </w:r>
      <w:r>
        <w:rPr>
          <w:rFonts w:ascii="宋体" w:hAnsi="宋体"/>
          <w:bCs/>
        </w:rPr>
        <w:t>。它的主要特征是核部向</w:t>
      </w:r>
      <w:r>
        <w:rPr>
          <w:bCs/>
        </w:rPr>
        <w:t>SEE</w:t>
      </w:r>
      <w:r>
        <w:rPr>
          <w:rFonts w:ascii="宋体" w:hAnsi="宋体"/>
          <w:bCs/>
        </w:rPr>
        <w:t>倾伏，倾角南翼陡，北翼缓。</w:t>
      </w:r>
    </w:p>
    <w:p w14:paraId="1A839C54">
      <w:pPr>
        <w:ind w:firstLine="480"/>
        <w:rPr>
          <w:b/>
          <w:bCs/>
        </w:rPr>
      </w:pPr>
      <w:r>
        <w:rPr>
          <w:rFonts w:hint="eastAsia" w:ascii="宋体" w:hAnsi="宋体"/>
          <w:bCs/>
        </w:rPr>
        <w:t>②</w:t>
      </w:r>
      <w:r>
        <w:rPr>
          <w:rFonts w:ascii="宋体" w:hAnsi="宋体"/>
          <w:bCs/>
        </w:rPr>
        <w:t>断裂</w:t>
      </w:r>
    </w:p>
    <w:p w14:paraId="461113BD">
      <w:pPr>
        <w:ind w:firstLine="480"/>
        <w:rPr>
          <w:b/>
          <w:bCs/>
        </w:rPr>
      </w:pPr>
      <w:r>
        <w:rPr>
          <w:rFonts w:ascii="宋体" w:hAnsi="宋体"/>
          <w:bCs/>
        </w:rPr>
        <w:t>区域断裂构造以</w:t>
      </w:r>
      <w:r>
        <w:rPr>
          <w:bCs/>
        </w:rPr>
        <w:t>NNE</w:t>
      </w:r>
      <w:r>
        <w:rPr>
          <w:rFonts w:ascii="宋体" w:hAnsi="宋体"/>
          <w:bCs/>
        </w:rPr>
        <w:t>向最为发育，为压扭性兼有平移特征。</w:t>
      </w:r>
    </w:p>
    <w:p w14:paraId="182F0F9B">
      <w:pPr>
        <w:ind w:firstLine="480"/>
        <w:rPr>
          <w:b/>
          <w:bCs/>
        </w:rPr>
      </w:pPr>
      <w:r>
        <w:rPr>
          <w:rFonts w:ascii="宋体" w:hAnsi="宋体"/>
          <w:bCs/>
        </w:rPr>
        <w:t>评估区附近东侧隐伏有平移断层</w:t>
      </w:r>
      <w:r>
        <w:rPr>
          <w:bCs/>
        </w:rPr>
        <w:t>F2</w:t>
      </w:r>
      <w:r>
        <w:rPr>
          <w:rFonts w:ascii="宋体" w:hAnsi="宋体"/>
          <w:bCs/>
        </w:rPr>
        <w:t>，方向</w:t>
      </w:r>
      <w:r>
        <w:rPr>
          <w:bCs/>
        </w:rPr>
        <w:t>NNE</w:t>
      </w:r>
      <w:r>
        <w:rPr>
          <w:rFonts w:ascii="宋体" w:hAnsi="宋体"/>
          <w:bCs/>
        </w:rPr>
        <w:t>，呈带状分布，破碎带宽</w:t>
      </w:r>
      <w:r>
        <w:rPr>
          <w:bCs/>
        </w:rPr>
        <w:t>10m</w:t>
      </w:r>
      <w:r>
        <w:rPr>
          <w:rFonts w:ascii="宋体" w:hAnsi="宋体"/>
          <w:bCs/>
        </w:rPr>
        <w:t>左右，破碎带岩石多具钾长石化；断裂面波状弯曲，走向</w:t>
      </w:r>
      <w:r>
        <w:rPr>
          <w:bCs/>
        </w:rPr>
        <w:t>12°</w:t>
      </w:r>
      <w:r>
        <w:rPr>
          <w:rFonts w:ascii="宋体" w:hAnsi="宋体"/>
          <w:bCs/>
        </w:rPr>
        <w:t>～</w:t>
      </w:r>
      <w:r>
        <w:rPr>
          <w:bCs/>
        </w:rPr>
        <w:t>15°</w:t>
      </w:r>
      <w:r>
        <w:rPr>
          <w:rFonts w:ascii="宋体" w:hAnsi="宋体"/>
          <w:bCs/>
        </w:rPr>
        <w:t>，倾角陡立，断距</w:t>
      </w:r>
      <w:r>
        <w:rPr>
          <w:bCs/>
        </w:rPr>
        <w:t>20</w:t>
      </w:r>
      <w:r>
        <w:rPr>
          <w:rFonts w:ascii="宋体" w:hAnsi="宋体"/>
          <w:bCs/>
        </w:rPr>
        <w:t>～</w:t>
      </w:r>
      <w:r>
        <w:rPr>
          <w:bCs/>
        </w:rPr>
        <w:t>25m</w:t>
      </w:r>
      <w:r>
        <w:rPr>
          <w:rFonts w:ascii="宋体" w:hAnsi="宋体"/>
          <w:bCs/>
        </w:rPr>
        <w:t>。</w:t>
      </w:r>
    </w:p>
    <w:p w14:paraId="60766DE5">
      <w:pPr>
        <w:ind w:firstLine="480"/>
        <w:rPr>
          <w:b/>
          <w:bCs/>
        </w:rPr>
      </w:pPr>
      <w:r>
        <w:rPr>
          <w:bCs/>
        </w:rPr>
        <w:t>(2)</w:t>
      </w:r>
      <w:r>
        <w:rPr>
          <w:rFonts w:ascii="宋体" w:hAnsi="宋体"/>
          <w:bCs/>
        </w:rPr>
        <w:t>区域地壳稳定性</w:t>
      </w:r>
    </w:p>
    <w:p w14:paraId="3A62DA0F">
      <w:pPr>
        <w:ind w:firstLine="480"/>
        <w:rPr>
          <w:b/>
          <w:bCs/>
        </w:rPr>
      </w:pPr>
      <w:r>
        <w:rPr>
          <w:bCs/>
        </w:rPr>
        <w:t>1)</w:t>
      </w:r>
      <w:r>
        <w:rPr>
          <w:rFonts w:ascii="宋体" w:hAnsi="宋体"/>
          <w:bCs/>
        </w:rPr>
        <w:t>新构造运动</w:t>
      </w:r>
    </w:p>
    <w:p w14:paraId="7D54528E">
      <w:pPr>
        <w:ind w:firstLine="480"/>
        <w:rPr>
          <w:b/>
          <w:bCs/>
        </w:rPr>
      </w:pPr>
      <w:r>
        <w:rPr>
          <w:rFonts w:ascii="宋体" w:hAnsi="宋体"/>
          <w:bCs/>
        </w:rPr>
        <w:t>新构造活动方式表现形式有两种，第三纪末期的构造运动以新断裂为主，第四纪以下降为主及升降相间的振荡运动为特点。</w:t>
      </w:r>
    </w:p>
    <w:p w14:paraId="26EFFB03">
      <w:pPr>
        <w:ind w:firstLine="480"/>
        <w:rPr>
          <w:b/>
          <w:bCs/>
        </w:rPr>
      </w:pPr>
      <w:r>
        <w:rPr>
          <w:rFonts w:hint="eastAsia" w:ascii="宋体" w:hAnsi="宋体"/>
          <w:bCs/>
        </w:rPr>
        <w:t>①</w:t>
      </w:r>
      <w:r>
        <w:rPr>
          <w:rFonts w:ascii="宋体" w:hAnsi="宋体"/>
          <w:bCs/>
        </w:rPr>
        <w:t>新构造断裂的特征</w:t>
      </w:r>
    </w:p>
    <w:p w14:paraId="5F7D6B71">
      <w:pPr>
        <w:ind w:firstLine="480"/>
        <w:rPr>
          <w:b/>
          <w:bCs/>
        </w:rPr>
      </w:pPr>
      <w:r>
        <w:rPr>
          <w:bCs/>
        </w:rPr>
        <w:t>a.</w:t>
      </w:r>
      <w:r>
        <w:rPr>
          <w:rFonts w:ascii="宋体" w:hAnsi="宋体"/>
          <w:bCs/>
        </w:rPr>
        <w:t>方向性。构造格局表明，新构造断裂是由近</w:t>
      </w:r>
      <w:r>
        <w:rPr>
          <w:bCs/>
        </w:rPr>
        <w:t>EW</w:t>
      </w:r>
      <w:r>
        <w:rPr>
          <w:rFonts w:ascii="宋体" w:hAnsi="宋体"/>
          <w:bCs/>
        </w:rPr>
        <w:t>向（区外）和</w:t>
      </w:r>
      <w:r>
        <w:rPr>
          <w:bCs/>
        </w:rPr>
        <w:t>NNE</w:t>
      </w:r>
      <w:r>
        <w:rPr>
          <w:rFonts w:ascii="宋体" w:hAnsi="宋体"/>
          <w:bCs/>
        </w:rPr>
        <w:t>向两组断裂组成的断裂系统，且</w:t>
      </w:r>
      <w:r>
        <w:rPr>
          <w:bCs/>
        </w:rPr>
        <w:t>NNE</w:t>
      </w:r>
      <w:r>
        <w:rPr>
          <w:rFonts w:ascii="宋体" w:hAnsi="宋体"/>
          <w:bCs/>
        </w:rPr>
        <w:t>向断裂切割近</w:t>
      </w:r>
      <w:r>
        <w:rPr>
          <w:bCs/>
        </w:rPr>
        <w:t>EW</w:t>
      </w:r>
      <w:r>
        <w:rPr>
          <w:rFonts w:ascii="宋体" w:hAnsi="宋体"/>
          <w:bCs/>
        </w:rPr>
        <w:t>断裂。</w:t>
      </w:r>
    </w:p>
    <w:p w14:paraId="698FC795">
      <w:pPr>
        <w:ind w:firstLine="480"/>
        <w:rPr>
          <w:b/>
          <w:bCs/>
        </w:rPr>
      </w:pPr>
      <w:r>
        <w:rPr>
          <w:bCs/>
        </w:rPr>
        <w:t>b.</w:t>
      </w:r>
      <w:r>
        <w:rPr>
          <w:rFonts w:ascii="宋体" w:hAnsi="宋体"/>
          <w:bCs/>
        </w:rPr>
        <w:t>力学性质。</w:t>
      </w:r>
      <w:r>
        <w:rPr>
          <w:bCs/>
        </w:rPr>
        <w:t>NNE</w:t>
      </w:r>
      <w:r>
        <w:rPr>
          <w:rFonts w:ascii="宋体" w:hAnsi="宋体"/>
          <w:bCs/>
        </w:rPr>
        <w:t>向断裂表现为张性和压扭性，断裂面多向北西倾斜；而</w:t>
      </w:r>
      <w:r>
        <w:rPr>
          <w:bCs/>
        </w:rPr>
        <w:t>EW</w:t>
      </w:r>
      <w:r>
        <w:rPr>
          <w:rFonts w:ascii="宋体" w:hAnsi="宋体"/>
          <w:bCs/>
        </w:rPr>
        <w:t>向断裂均为压性，断裂面向南倾斜；两者均具高角度特点。</w:t>
      </w:r>
    </w:p>
    <w:p w14:paraId="4BE890CB">
      <w:pPr>
        <w:ind w:firstLine="480"/>
        <w:rPr>
          <w:b/>
          <w:bCs/>
        </w:rPr>
      </w:pPr>
      <w:r>
        <w:rPr>
          <w:bCs/>
        </w:rPr>
        <w:t>c.</w:t>
      </w:r>
      <w:r>
        <w:rPr>
          <w:rFonts w:ascii="宋体" w:hAnsi="宋体"/>
          <w:bCs/>
        </w:rPr>
        <w:t>继承性。两组断裂区外不仅切割了第三系地层，而且也切穿了五河杂岩地层和燕山期岩体；剖面上，五河杂岩地层上下盘落差大于新地层落差，说明在晚第三纪之前断裂即已形成，晚第三纪以来仅是沿老断裂微弱活动而已。</w:t>
      </w:r>
    </w:p>
    <w:p w14:paraId="3407AAA4">
      <w:pPr>
        <w:ind w:firstLine="480"/>
        <w:rPr>
          <w:b/>
          <w:bCs/>
        </w:rPr>
      </w:pPr>
      <w:r>
        <w:rPr>
          <w:rFonts w:hint="eastAsia" w:ascii="宋体" w:hAnsi="宋体"/>
          <w:bCs/>
        </w:rPr>
        <w:t>②</w:t>
      </w:r>
      <w:r>
        <w:rPr>
          <w:rFonts w:ascii="宋体" w:hAnsi="宋体"/>
          <w:bCs/>
        </w:rPr>
        <w:t>下降为主、升降相间的振荡运动</w:t>
      </w:r>
    </w:p>
    <w:p w14:paraId="252A28D3">
      <w:pPr>
        <w:ind w:firstLine="480"/>
        <w:rPr>
          <w:b/>
          <w:bCs/>
        </w:rPr>
      </w:pPr>
      <w:r>
        <w:rPr>
          <w:bCs/>
        </w:rPr>
        <w:t>a.</w:t>
      </w:r>
      <w:r>
        <w:rPr>
          <w:rFonts w:ascii="宋体" w:hAnsi="宋体"/>
          <w:bCs/>
        </w:rPr>
        <w:t>水系展布规律：淮河南岸支流纵比降大，河道狭窄，流速大且急，一般较短；淮河北岸支流纵比降小，流速缓慢，河道宽且长，形成不对称羽毛状。说明区内新构造运动的垂直上升运动南部比北部大。</w:t>
      </w:r>
    </w:p>
    <w:p w14:paraId="5D6CF8EC">
      <w:pPr>
        <w:ind w:firstLine="480"/>
        <w:rPr>
          <w:b/>
          <w:bCs/>
        </w:rPr>
      </w:pPr>
      <w:r>
        <w:rPr>
          <w:bCs/>
        </w:rPr>
        <w:t>b.</w:t>
      </w:r>
      <w:r>
        <w:rPr>
          <w:rFonts w:ascii="宋体" w:hAnsi="宋体"/>
          <w:bCs/>
        </w:rPr>
        <w:t>松散沉积厚度变化：松散沉积厚度除受构造坳陷、隆起控制外，沉积厚度和地貌特征也有不同。淮河以南，有中、上更新统组成的山前斜坡地，以及全新统组成的河漫滩；淮河以北，为一微有起伏的开阔平原，地表绝大部分为上更新统河流相沉积物，仅构成河间平地，厚度约</w:t>
      </w:r>
      <w:r>
        <w:rPr>
          <w:bCs/>
        </w:rPr>
        <w:t>50m</w:t>
      </w:r>
      <w:r>
        <w:rPr>
          <w:rFonts w:ascii="宋体" w:hAnsi="宋体"/>
          <w:bCs/>
        </w:rPr>
        <w:t>左右。新构造运动表现为全新世以前区域以沉积为主，地壳趋于稳定。</w:t>
      </w:r>
    </w:p>
    <w:p w14:paraId="38966082">
      <w:pPr>
        <w:ind w:firstLine="480"/>
        <w:rPr>
          <w:b/>
          <w:bCs/>
        </w:rPr>
      </w:pPr>
      <w:r>
        <w:rPr>
          <w:bCs/>
        </w:rPr>
        <w:t>2)</w:t>
      </w:r>
      <w:r>
        <w:rPr>
          <w:rFonts w:ascii="宋体" w:hAnsi="宋体"/>
          <w:bCs/>
        </w:rPr>
        <w:t>地震</w:t>
      </w:r>
    </w:p>
    <w:p w14:paraId="7C012ED8">
      <w:pPr>
        <w:ind w:firstLine="480"/>
        <w:rPr>
          <w:b/>
          <w:bCs/>
        </w:rPr>
      </w:pPr>
      <w:r>
        <w:rPr>
          <w:rFonts w:ascii="宋体" w:hAnsi="宋体"/>
          <w:bCs/>
        </w:rPr>
        <w:t>从史志记载以来，蚌埠市及邻近地区发生</w:t>
      </w:r>
      <w:r>
        <w:rPr>
          <w:bCs/>
        </w:rPr>
        <w:t>5</w:t>
      </w:r>
      <w:r>
        <w:rPr>
          <w:rFonts w:ascii="宋体" w:hAnsi="宋体"/>
          <w:bCs/>
        </w:rPr>
        <w:t>级以上地震</w:t>
      </w:r>
      <w:r>
        <w:rPr>
          <w:bCs/>
        </w:rPr>
        <w:t>5</w:t>
      </w:r>
      <w:r>
        <w:rPr>
          <w:rFonts w:ascii="宋体" w:hAnsi="宋体"/>
          <w:bCs/>
        </w:rPr>
        <w:t>次。</w:t>
      </w:r>
      <w:r>
        <w:rPr>
          <w:bCs/>
        </w:rPr>
        <w:t>1644</w:t>
      </w:r>
      <w:r>
        <w:rPr>
          <w:rFonts w:ascii="宋体" w:hAnsi="宋体"/>
          <w:bCs/>
        </w:rPr>
        <w:t>年</w:t>
      </w:r>
      <w:r>
        <w:rPr>
          <w:bCs/>
        </w:rPr>
        <w:t>2</w:t>
      </w:r>
      <w:r>
        <w:rPr>
          <w:rFonts w:ascii="宋体" w:hAnsi="宋体"/>
          <w:bCs/>
        </w:rPr>
        <w:t>月</w:t>
      </w:r>
      <w:r>
        <w:rPr>
          <w:bCs/>
        </w:rPr>
        <w:t>3</w:t>
      </w:r>
      <w:r>
        <w:rPr>
          <w:rFonts w:ascii="宋体" w:hAnsi="宋体"/>
          <w:bCs/>
        </w:rPr>
        <w:t>日凤阳与蚌埠交界处发生</w:t>
      </w:r>
      <w:r>
        <w:rPr>
          <w:bCs/>
        </w:rPr>
        <w:t>5.5</w:t>
      </w:r>
      <w:r>
        <w:rPr>
          <w:rFonts w:ascii="宋体" w:hAnsi="宋体"/>
          <w:bCs/>
        </w:rPr>
        <w:t>级地震，震中烈度</w:t>
      </w:r>
      <w:r>
        <w:rPr>
          <w:bCs/>
        </w:rPr>
        <w:t>7</w:t>
      </w:r>
      <w:r>
        <w:rPr>
          <w:rFonts w:ascii="宋体" w:hAnsi="宋体"/>
          <w:bCs/>
        </w:rPr>
        <w:t>度；</w:t>
      </w:r>
      <w:r>
        <w:rPr>
          <w:bCs/>
        </w:rPr>
        <w:t>1829</w:t>
      </w:r>
      <w:r>
        <w:rPr>
          <w:rFonts w:ascii="宋体" w:hAnsi="宋体"/>
          <w:bCs/>
        </w:rPr>
        <w:t>年</w:t>
      </w:r>
      <w:r>
        <w:rPr>
          <w:bCs/>
        </w:rPr>
        <w:t>11</w:t>
      </w:r>
      <w:r>
        <w:rPr>
          <w:rFonts w:ascii="宋体" w:hAnsi="宋体"/>
          <w:bCs/>
        </w:rPr>
        <w:t>月</w:t>
      </w:r>
      <w:r>
        <w:rPr>
          <w:bCs/>
        </w:rPr>
        <w:t>18</w:t>
      </w:r>
      <w:r>
        <w:rPr>
          <w:rFonts w:ascii="宋体" w:hAnsi="宋体"/>
          <w:bCs/>
        </w:rPr>
        <w:t>日五河发生</w:t>
      </w:r>
      <w:r>
        <w:rPr>
          <w:bCs/>
        </w:rPr>
        <w:t>5.5</w:t>
      </w:r>
      <w:r>
        <w:rPr>
          <w:rFonts w:ascii="宋体" w:hAnsi="宋体"/>
          <w:bCs/>
        </w:rPr>
        <w:t>级地震，震中烈度</w:t>
      </w:r>
      <w:r>
        <w:rPr>
          <w:bCs/>
        </w:rPr>
        <w:t>7</w:t>
      </w:r>
      <w:r>
        <w:rPr>
          <w:rFonts w:ascii="宋体" w:hAnsi="宋体"/>
          <w:bCs/>
        </w:rPr>
        <w:t>度；</w:t>
      </w:r>
      <w:r>
        <w:rPr>
          <w:bCs/>
        </w:rPr>
        <w:t>1831</w:t>
      </w:r>
      <w:r>
        <w:rPr>
          <w:rFonts w:ascii="宋体" w:hAnsi="宋体"/>
          <w:bCs/>
        </w:rPr>
        <w:t>年</w:t>
      </w:r>
      <w:r>
        <w:rPr>
          <w:bCs/>
        </w:rPr>
        <w:t>9</w:t>
      </w:r>
      <w:r>
        <w:rPr>
          <w:rFonts w:ascii="宋体" w:hAnsi="宋体"/>
          <w:bCs/>
        </w:rPr>
        <w:t>月</w:t>
      </w:r>
      <w:r>
        <w:rPr>
          <w:bCs/>
        </w:rPr>
        <w:t>28</w:t>
      </w:r>
      <w:r>
        <w:rPr>
          <w:rFonts w:ascii="宋体" w:hAnsi="宋体"/>
          <w:bCs/>
        </w:rPr>
        <w:t>日怀远县平峨山发生</w:t>
      </w:r>
      <w:r>
        <w:rPr>
          <w:bCs/>
        </w:rPr>
        <w:t>6.5</w:t>
      </w:r>
      <w:r>
        <w:rPr>
          <w:rFonts w:ascii="宋体" w:hAnsi="宋体"/>
          <w:bCs/>
        </w:rPr>
        <w:t>级地震，震中烈度</w:t>
      </w:r>
      <w:r>
        <w:rPr>
          <w:bCs/>
        </w:rPr>
        <w:t>8</w:t>
      </w:r>
      <w:r>
        <w:rPr>
          <w:rFonts w:ascii="宋体" w:hAnsi="宋体"/>
          <w:bCs/>
        </w:rPr>
        <w:t>度；</w:t>
      </w:r>
      <w:r>
        <w:rPr>
          <w:bCs/>
        </w:rPr>
        <w:t>1979</w:t>
      </w:r>
      <w:r>
        <w:rPr>
          <w:rFonts w:ascii="宋体" w:hAnsi="宋体"/>
          <w:bCs/>
        </w:rPr>
        <w:t>年</w:t>
      </w:r>
      <w:r>
        <w:rPr>
          <w:bCs/>
        </w:rPr>
        <w:t>3</w:t>
      </w:r>
      <w:r>
        <w:rPr>
          <w:rFonts w:ascii="宋体" w:hAnsi="宋体"/>
          <w:bCs/>
        </w:rPr>
        <w:t>月</w:t>
      </w:r>
      <w:r>
        <w:rPr>
          <w:bCs/>
        </w:rPr>
        <w:t>2</w:t>
      </w:r>
      <w:r>
        <w:rPr>
          <w:rFonts w:ascii="宋体" w:hAnsi="宋体"/>
          <w:bCs/>
        </w:rPr>
        <w:t>日固镇县新马桥发生</w:t>
      </w:r>
      <w:r>
        <w:rPr>
          <w:bCs/>
        </w:rPr>
        <w:t>5</w:t>
      </w:r>
      <w:r>
        <w:rPr>
          <w:rFonts w:ascii="宋体" w:hAnsi="宋体"/>
          <w:bCs/>
        </w:rPr>
        <w:t>级地震，震中烈度</w:t>
      </w:r>
      <w:r>
        <w:rPr>
          <w:bCs/>
        </w:rPr>
        <w:t>6</w:t>
      </w:r>
      <w:r>
        <w:rPr>
          <w:rFonts w:ascii="宋体" w:hAnsi="宋体"/>
          <w:bCs/>
        </w:rPr>
        <w:t>度；</w:t>
      </w:r>
      <w:r>
        <w:rPr>
          <w:bCs/>
        </w:rPr>
        <w:t>2007</w:t>
      </w:r>
      <w:r>
        <w:rPr>
          <w:rFonts w:ascii="宋体" w:hAnsi="宋体"/>
          <w:bCs/>
        </w:rPr>
        <w:t>年</w:t>
      </w:r>
      <w:r>
        <w:rPr>
          <w:bCs/>
        </w:rPr>
        <w:t>7</w:t>
      </w:r>
      <w:r>
        <w:rPr>
          <w:rFonts w:ascii="宋体" w:hAnsi="宋体"/>
          <w:bCs/>
        </w:rPr>
        <w:t>月</w:t>
      </w:r>
      <w:r>
        <w:rPr>
          <w:bCs/>
        </w:rPr>
        <w:t>26</w:t>
      </w:r>
      <w:r>
        <w:rPr>
          <w:rFonts w:ascii="宋体" w:hAnsi="宋体"/>
          <w:bCs/>
        </w:rPr>
        <w:t>日安徽定远发生</w:t>
      </w:r>
      <w:r>
        <w:rPr>
          <w:bCs/>
        </w:rPr>
        <w:t>4.2</w:t>
      </w:r>
      <w:r>
        <w:rPr>
          <w:rFonts w:ascii="宋体" w:hAnsi="宋体"/>
          <w:bCs/>
        </w:rPr>
        <w:t>级地震，震中烈度</w:t>
      </w:r>
      <w:r>
        <w:rPr>
          <w:bCs/>
        </w:rPr>
        <w:t>5</w:t>
      </w:r>
      <w:r>
        <w:rPr>
          <w:rFonts w:ascii="宋体" w:hAnsi="宋体"/>
          <w:bCs/>
        </w:rPr>
        <w:t>度。据</w:t>
      </w:r>
      <w:r>
        <w:rPr>
          <w:bCs/>
        </w:rPr>
        <w:t>1965</w:t>
      </w:r>
      <w:r>
        <w:rPr>
          <w:rFonts w:ascii="宋体" w:hAnsi="宋体"/>
          <w:bCs/>
        </w:rPr>
        <w:t>年～</w:t>
      </w:r>
      <w:r>
        <w:rPr>
          <w:bCs/>
        </w:rPr>
        <w:t>2003</w:t>
      </w:r>
      <w:r>
        <w:rPr>
          <w:rFonts w:ascii="宋体" w:hAnsi="宋体"/>
          <w:bCs/>
        </w:rPr>
        <w:t>年的统计资料，评估区及临近地区小于</w:t>
      </w:r>
      <w:r>
        <w:rPr>
          <w:bCs/>
        </w:rPr>
        <w:t>4</w:t>
      </w:r>
      <w:r>
        <w:rPr>
          <w:rFonts w:ascii="宋体" w:hAnsi="宋体"/>
          <w:bCs/>
        </w:rPr>
        <w:t>级大于</w:t>
      </w:r>
      <w:r>
        <w:rPr>
          <w:bCs/>
        </w:rPr>
        <w:t>3</w:t>
      </w:r>
      <w:r>
        <w:rPr>
          <w:rFonts w:ascii="宋体" w:hAnsi="宋体"/>
          <w:bCs/>
        </w:rPr>
        <w:t>级的地震约</w:t>
      </w:r>
      <w:r>
        <w:rPr>
          <w:bCs/>
        </w:rPr>
        <w:t>22</w:t>
      </w:r>
      <w:r>
        <w:rPr>
          <w:rFonts w:ascii="宋体" w:hAnsi="宋体"/>
          <w:bCs/>
        </w:rPr>
        <w:t>次。</w:t>
      </w:r>
    </w:p>
    <w:p w14:paraId="546F0995">
      <w:pPr>
        <w:ind w:firstLine="480"/>
        <w:rPr>
          <w:b/>
          <w:bCs/>
        </w:rPr>
      </w:pPr>
      <w:r>
        <w:rPr>
          <w:rFonts w:ascii="宋体" w:hAnsi="宋体"/>
          <w:bCs/>
        </w:rPr>
        <w:t>根据《中国地震动参数区划图（</w:t>
      </w:r>
      <w:r>
        <w:rPr>
          <w:bCs/>
        </w:rPr>
        <w:t>GB18306—2001</w:t>
      </w:r>
      <w:r>
        <w:rPr>
          <w:rFonts w:ascii="宋体" w:hAnsi="宋体"/>
          <w:bCs/>
        </w:rPr>
        <w:t>）》，评估区地震基本烈度为</w:t>
      </w:r>
      <w:r>
        <w:rPr>
          <w:bCs/>
        </w:rPr>
        <w:t>7</w:t>
      </w:r>
      <w:r>
        <w:rPr>
          <w:rFonts w:ascii="宋体" w:hAnsi="宋体"/>
          <w:bCs/>
        </w:rPr>
        <w:t>度，设计基本地震加速度值为</w:t>
      </w:r>
      <w:r>
        <w:rPr>
          <w:bCs/>
        </w:rPr>
        <w:t>0.10g</w:t>
      </w:r>
      <w:r>
        <w:rPr>
          <w:rFonts w:ascii="宋体" w:hAnsi="宋体"/>
          <w:bCs/>
        </w:rPr>
        <w:t>。</w:t>
      </w:r>
    </w:p>
    <w:p w14:paraId="42CF6F5F">
      <w:pPr>
        <w:pStyle w:val="278"/>
        <w:ind w:firstLine="480"/>
      </w:pPr>
      <w:r>
        <w:rPr>
          <w:rFonts w:ascii="黑体" w:hAnsi="黑体"/>
        </w:rPr>
        <w:t>表</w:t>
      </w:r>
      <w:r>
        <w:rPr>
          <w:rFonts w:hint="eastAsia"/>
        </w:rPr>
        <w:t>5.</w:t>
      </w:r>
      <w:r>
        <w:t>5</w:t>
      </w:r>
      <w:r>
        <w:rPr>
          <w:rFonts w:hint="eastAsia"/>
        </w:rPr>
        <w:t>.1-2</w:t>
      </w:r>
      <w:r>
        <w:t xml:space="preserve">  </w:t>
      </w:r>
      <w:r>
        <w:rPr>
          <w:rFonts w:ascii="黑体" w:hAnsi="黑体"/>
        </w:rPr>
        <w:t>地震动峰值加速度分区与地震基本烈度对照表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09"/>
        <w:gridCol w:w="820"/>
        <w:gridCol w:w="969"/>
        <w:gridCol w:w="969"/>
        <w:gridCol w:w="969"/>
        <w:gridCol w:w="969"/>
        <w:gridCol w:w="969"/>
        <w:gridCol w:w="969"/>
      </w:tblGrid>
      <w:tr w14:paraId="2D0B8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12" w:type="pct"/>
            <w:tcBorders>
              <w:top w:val="single" w:color="auto" w:sz="12" w:space="0"/>
              <w:left w:val="nil"/>
              <w:bottom w:val="single" w:color="auto" w:sz="4" w:space="0"/>
              <w:right w:val="single" w:color="auto" w:sz="4" w:space="0"/>
            </w:tcBorders>
          </w:tcPr>
          <w:p w14:paraId="2AF06BFA">
            <w:pPr>
              <w:pStyle w:val="445"/>
              <w:rPr>
                <w:rFonts w:cs="Times New Roman"/>
                <w:kern w:val="0"/>
                <w:szCs w:val="20"/>
              </w:rPr>
            </w:pPr>
            <w:r>
              <w:rPr>
                <w:rFonts w:cs="Times New Roman"/>
                <w:kern w:val="0"/>
                <w:szCs w:val="20"/>
              </w:rPr>
              <w:t>地震动峰值加速度（g）</w:t>
            </w:r>
          </w:p>
        </w:tc>
        <w:tc>
          <w:tcPr>
            <w:tcW w:w="444" w:type="pct"/>
            <w:tcBorders>
              <w:top w:val="single" w:color="auto" w:sz="12" w:space="0"/>
              <w:left w:val="single" w:color="auto" w:sz="4" w:space="0"/>
              <w:bottom w:val="single" w:color="auto" w:sz="4" w:space="0"/>
              <w:right w:val="single" w:color="auto" w:sz="4" w:space="0"/>
            </w:tcBorders>
          </w:tcPr>
          <w:p w14:paraId="646B0ED7">
            <w:pPr>
              <w:pStyle w:val="445"/>
              <w:rPr>
                <w:rFonts w:cs="Times New Roman"/>
                <w:kern w:val="0"/>
                <w:szCs w:val="20"/>
              </w:rPr>
            </w:pPr>
            <w:r>
              <w:rPr>
                <w:rFonts w:cs="Times New Roman"/>
                <w:kern w:val="0"/>
                <w:szCs w:val="20"/>
              </w:rPr>
              <w:t>&lt;0.05</w:t>
            </w:r>
          </w:p>
        </w:tc>
        <w:tc>
          <w:tcPr>
            <w:tcW w:w="524" w:type="pct"/>
            <w:tcBorders>
              <w:top w:val="single" w:color="auto" w:sz="12" w:space="0"/>
              <w:left w:val="single" w:color="auto" w:sz="4" w:space="0"/>
              <w:bottom w:val="single" w:color="auto" w:sz="4" w:space="0"/>
              <w:right w:val="single" w:color="auto" w:sz="4" w:space="0"/>
            </w:tcBorders>
          </w:tcPr>
          <w:p w14:paraId="7A2530B5">
            <w:pPr>
              <w:pStyle w:val="445"/>
              <w:rPr>
                <w:rFonts w:cs="Times New Roman"/>
                <w:kern w:val="0"/>
                <w:szCs w:val="20"/>
              </w:rPr>
            </w:pPr>
            <w:r>
              <w:rPr>
                <w:rFonts w:cs="Times New Roman"/>
                <w:kern w:val="0"/>
                <w:szCs w:val="20"/>
              </w:rPr>
              <w:t>0.05</w:t>
            </w:r>
          </w:p>
        </w:tc>
        <w:tc>
          <w:tcPr>
            <w:tcW w:w="524" w:type="pct"/>
            <w:tcBorders>
              <w:top w:val="single" w:color="auto" w:sz="12" w:space="0"/>
              <w:left w:val="single" w:color="auto" w:sz="4" w:space="0"/>
              <w:bottom w:val="single" w:color="auto" w:sz="4" w:space="0"/>
              <w:right w:val="single" w:color="auto" w:sz="4" w:space="0"/>
            </w:tcBorders>
          </w:tcPr>
          <w:p w14:paraId="7FCA9174">
            <w:pPr>
              <w:pStyle w:val="445"/>
              <w:rPr>
                <w:rFonts w:cs="Times New Roman"/>
                <w:kern w:val="0"/>
                <w:szCs w:val="20"/>
              </w:rPr>
            </w:pPr>
            <w:r>
              <w:rPr>
                <w:rFonts w:cs="Times New Roman"/>
                <w:kern w:val="0"/>
                <w:szCs w:val="20"/>
              </w:rPr>
              <w:t>0.1</w:t>
            </w:r>
          </w:p>
        </w:tc>
        <w:tc>
          <w:tcPr>
            <w:tcW w:w="524" w:type="pct"/>
            <w:tcBorders>
              <w:top w:val="single" w:color="auto" w:sz="12" w:space="0"/>
              <w:left w:val="single" w:color="auto" w:sz="4" w:space="0"/>
              <w:bottom w:val="single" w:color="auto" w:sz="4" w:space="0"/>
              <w:right w:val="single" w:color="auto" w:sz="4" w:space="0"/>
            </w:tcBorders>
          </w:tcPr>
          <w:p w14:paraId="193AF92B">
            <w:pPr>
              <w:pStyle w:val="445"/>
              <w:rPr>
                <w:rFonts w:cs="Times New Roman"/>
                <w:kern w:val="0"/>
                <w:szCs w:val="20"/>
              </w:rPr>
            </w:pPr>
            <w:r>
              <w:rPr>
                <w:rFonts w:cs="Times New Roman"/>
                <w:kern w:val="0"/>
                <w:szCs w:val="20"/>
              </w:rPr>
              <w:t>0.15</w:t>
            </w:r>
          </w:p>
        </w:tc>
        <w:tc>
          <w:tcPr>
            <w:tcW w:w="524" w:type="pct"/>
            <w:tcBorders>
              <w:top w:val="single" w:color="auto" w:sz="12" w:space="0"/>
              <w:left w:val="single" w:color="auto" w:sz="4" w:space="0"/>
              <w:bottom w:val="single" w:color="auto" w:sz="4" w:space="0"/>
              <w:right w:val="single" w:color="auto" w:sz="4" w:space="0"/>
            </w:tcBorders>
          </w:tcPr>
          <w:p w14:paraId="06759B00">
            <w:pPr>
              <w:pStyle w:val="445"/>
              <w:rPr>
                <w:rFonts w:cs="Times New Roman"/>
                <w:kern w:val="0"/>
                <w:szCs w:val="20"/>
              </w:rPr>
            </w:pPr>
            <w:r>
              <w:rPr>
                <w:rFonts w:cs="Times New Roman"/>
                <w:kern w:val="0"/>
                <w:szCs w:val="20"/>
              </w:rPr>
              <w:t>0.2</w:t>
            </w:r>
          </w:p>
        </w:tc>
        <w:tc>
          <w:tcPr>
            <w:tcW w:w="524" w:type="pct"/>
            <w:tcBorders>
              <w:top w:val="single" w:color="auto" w:sz="12" w:space="0"/>
              <w:left w:val="single" w:color="auto" w:sz="4" w:space="0"/>
              <w:bottom w:val="single" w:color="auto" w:sz="4" w:space="0"/>
              <w:right w:val="single" w:color="auto" w:sz="4" w:space="0"/>
            </w:tcBorders>
          </w:tcPr>
          <w:p w14:paraId="68C80133">
            <w:pPr>
              <w:pStyle w:val="445"/>
              <w:rPr>
                <w:rFonts w:cs="Times New Roman"/>
                <w:kern w:val="0"/>
                <w:szCs w:val="20"/>
              </w:rPr>
            </w:pPr>
            <w:r>
              <w:rPr>
                <w:rFonts w:cs="Times New Roman"/>
                <w:kern w:val="0"/>
                <w:szCs w:val="20"/>
              </w:rPr>
              <w:t>0.3</w:t>
            </w:r>
          </w:p>
        </w:tc>
        <w:tc>
          <w:tcPr>
            <w:tcW w:w="524" w:type="pct"/>
            <w:tcBorders>
              <w:top w:val="single" w:color="auto" w:sz="12" w:space="0"/>
              <w:left w:val="single" w:color="auto" w:sz="4" w:space="0"/>
              <w:bottom w:val="single" w:color="auto" w:sz="4" w:space="0"/>
              <w:right w:val="nil"/>
            </w:tcBorders>
          </w:tcPr>
          <w:p w14:paraId="5BE2F630">
            <w:pPr>
              <w:pStyle w:val="445"/>
              <w:rPr>
                <w:rFonts w:cs="Times New Roman"/>
                <w:kern w:val="0"/>
                <w:szCs w:val="20"/>
              </w:rPr>
            </w:pPr>
            <w:r>
              <w:rPr>
                <w:rFonts w:cs="Times New Roman"/>
                <w:kern w:val="0"/>
                <w:szCs w:val="20"/>
              </w:rPr>
              <w:t>≥0.4</w:t>
            </w:r>
          </w:p>
        </w:tc>
      </w:tr>
      <w:tr w14:paraId="0314C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12" w:type="pct"/>
            <w:tcBorders>
              <w:top w:val="single" w:color="auto" w:sz="4" w:space="0"/>
              <w:left w:val="nil"/>
              <w:bottom w:val="single" w:color="auto" w:sz="12" w:space="0"/>
              <w:right w:val="single" w:color="auto" w:sz="4" w:space="0"/>
            </w:tcBorders>
          </w:tcPr>
          <w:p w14:paraId="2E81448A">
            <w:pPr>
              <w:pStyle w:val="445"/>
              <w:rPr>
                <w:rFonts w:cs="Times New Roman"/>
                <w:kern w:val="0"/>
                <w:szCs w:val="20"/>
              </w:rPr>
            </w:pPr>
            <w:r>
              <w:rPr>
                <w:rFonts w:cs="Times New Roman"/>
                <w:kern w:val="0"/>
                <w:szCs w:val="20"/>
              </w:rPr>
              <w:t>地震基本烈度值</w:t>
            </w:r>
          </w:p>
        </w:tc>
        <w:tc>
          <w:tcPr>
            <w:tcW w:w="444" w:type="pct"/>
            <w:tcBorders>
              <w:top w:val="single" w:color="auto" w:sz="4" w:space="0"/>
              <w:left w:val="single" w:color="auto" w:sz="4" w:space="0"/>
              <w:bottom w:val="single" w:color="auto" w:sz="12" w:space="0"/>
              <w:right w:val="single" w:color="auto" w:sz="4" w:space="0"/>
            </w:tcBorders>
          </w:tcPr>
          <w:p w14:paraId="302F1D07">
            <w:pPr>
              <w:pStyle w:val="445"/>
              <w:rPr>
                <w:rFonts w:cs="Times New Roman"/>
                <w:kern w:val="0"/>
                <w:szCs w:val="20"/>
              </w:rPr>
            </w:pPr>
            <w:r>
              <w:rPr>
                <w:rFonts w:cs="Times New Roman"/>
                <w:kern w:val="0"/>
                <w:szCs w:val="20"/>
              </w:rPr>
              <w:t>&lt;</w:t>
            </w:r>
            <w:r>
              <w:rPr>
                <w:rFonts w:hint="eastAsia" w:cs="Times New Roman"/>
                <w:kern w:val="0"/>
                <w:szCs w:val="20"/>
              </w:rPr>
              <w:t>Ⅵ</w:t>
            </w:r>
          </w:p>
        </w:tc>
        <w:tc>
          <w:tcPr>
            <w:tcW w:w="524" w:type="pct"/>
            <w:tcBorders>
              <w:top w:val="single" w:color="auto" w:sz="4" w:space="0"/>
              <w:left w:val="single" w:color="auto" w:sz="4" w:space="0"/>
              <w:bottom w:val="single" w:color="auto" w:sz="12" w:space="0"/>
              <w:right w:val="single" w:color="auto" w:sz="4" w:space="0"/>
            </w:tcBorders>
          </w:tcPr>
          <w:p w14:paraId="1A79668B">
            <w:pPr>
              <w:pStyle w:val="445"/>
              <w:rPr>
                <w:rFonts w:cs="Times New Roman"/>
                <w:kern w:val="0"/>
                <w:szCs w:val="20"/>
              </w:rPr>
            </w:pPr>
            <w:r>
              <w:rPr>
                <w:rFonts w:hint="eastAsia" w:cs="Times New Roman"/>
                <w:kern w:val="0"/>
                <w:szCs w:val="20"/>
              </w:rPr>
              <w:t>Ⅵ</w:t>
            </w:r>
          </w:p>
        </w:tc>
        <w:tc>
          <w:tcPr>
            <w:tcW w:w="524" w:type="pct"/>
            <w:tcBorders>
              <w:top w:val="single" w:color="auto" w:sz="4" w:space="0"/>
              <w:left w:val="single" w:color="auto" w:sz="4" w:space="0"/>
              <w:bottom w:val="single" w:color="auto" w:sz="12" w:space="0"/>
              <w:right w:val="single" w:color="auto" w:sz="4" w:space="0"/>
            </w:tcBorders>
          </w:tcPr>
          <w:p w14:paraId="3E5FA389">
            <w:pPr>
              <w:pStyle w:val="445"/>
              <w:rPr>
                <w:rFonts w:cs="Times New Roman"/>
                <w:kern w:val="0"/>
                <w:szCs w:val="20"/>
              </w:rPr>
            </w:pPr>
            <w:r>
              <w:rPr>
                <w:rFonts w:hint="eastAsia" w:cs="Times New Roman"/>
                <w:kern w:val="0"/>
                <w:szCs w:val="20"/>
              </w:rPr>
              <w:t>Ⅶ</w:t>
            </w:r>
          </w:p>
        </w:tc>
        <w:tc>
          <w:tcPr>
            <w:tcW w:w="524" w:type="pct"/>
            <w:tcBorders>
              <w:top w:val="single" w:color="auto" w:sz="4" w:space="0"/>
              <w:left w:val="single" w:color="auto" w:sz="4" w:space="0"/>
              <w:bottom w:val="single" w:color="auto" w:sz="12" w:space="0"/>
              <w:right w:val="single" w:color="auto" w:sz="4" w:space="0"/>
            </w:tcBorders>
          </w:tcPr>
          <w:p w14:paraId="76118BB8">
            <w:pPr>
              <w:pStyle w:val="445"/>
              <w:rPr>
                <w:rFonts w:cs="Times New Roman"/>
                <w:kern w:val="0"/>
                <w:szCs w:val="20"/>
              </w:rPr>
            </w:pPr>
            <w:r>
              <w:rPr>
                <w:rFonts w:hint="eastAsia" w:cs="Times New Roman"/>
                <w:kern w:val="0"/>
                <w:szCs w:val="20"/>
              </w:rPr>
              <w:t>Ⅶ</w:t>
            </w:r>
          </w:p>
        </w:tc>
        <w:tc>
          <w:tcPr>
            <w:tcW w:w="524" w:type="pct"/>
            <w:tcBorders>
              <w:top w:val="single" w:color="auto" w:sz="4" w:space="0"/>
              <w:left w:val="single" w:color="auto" w:sz="4" w:space="0"/>
              <w:bottom w:val="single" w:color="auto" w:sz="12" w:space="0"/>
              <w:right w:val="single" w:color="auto" w:sz="4" w:space="0"/>
            </w:tcBorders>
          </w:tcPr>
          <w:p w14:paraId="1A2A0097">
            <w:pPr>
              <w:pStyle w:val="445"/>
              <w:rPr>
                <w:rFonts w:cs="Times New Roman"/>
                <w:kern w:val="0"/>
                <w:szCs w:val="20"/>
              </w:rPr>
            </w:pPr>
            <w:r>
              <w:rPr>
                <w:rFonts w:hint="eastAsia" w:cs="Times New Roman"/>
                <w:kern w:val="0"/>
                <w:szCs w:val="20"/>
              </w:rPr>
              <w:t>Ⅷ</w:t>
            </w:r>
          </w:p>
        </w:tc>
        <w:tc>
          <w:tcPr>
            <w:tcW w:w="524" w:type="pct"/>
            <w:tcBorders>
              <w:top w:val="single" w:color="auto" w:sz="4" w:space="0"/>
              <w:left w:val="single" w:color="auto" w:sz="4" w:space="0"/>
              <w:bottom w:val="single" w:color="auto" w:sz="12" w:space="0"/>
              <w:right w:val="single" w:color="auto" w:sz="4" w:space="0"/>
            </w:tcBorders>
          </w:tcPr>
          <w:p w14:paraId="58656650">
            <w:pPr>
              <w:pStyle w:val="445"/>
              <w:rPr>
                <w:rFonts w:cs="Times New Roman"/>
                <w:kern w:val="0"/>
                <w:szCs w:val="20"/>
              </w:rPr>
            </w:pPr>
            <w:r>
              <w:rPr>
                <w:rFonts w:hint="eastAsia" w:cs="Times New Roman"/>
                <w:kern w:val="0"/>
                <w:szCs w:val="20"/>
              </w:rPr>
              <w:t>Ⅷ</w:t>
            </w:r>
          </w:p>
        </w:tc>
        <w:tc>
          <w:tcPr>
            <w:tcW w:w="524" w:type="pct"/>
            <w:tcBorders>
              <w:top w:val="single" w:color="auto" w:sz="4" w:space="0"/>
              <w:left w:val="single" w:color="auto" w:sz="4" w:space="0"/>
              <w:bottom w:val="single" w:color="auto" w:sz="12" w:space="0"/>
              <w:right w:val="nil"/>
            </w:tcBorders>
          </w:tcPr>
          <w:p w14:paraId="4512F383">
            <w:pPr>
              <w:pStyle w:val="445"/>
              <w:rPr>
                <w:rFonts w:cs="Times New Roman"/>
                <w:kern w:val="0"/>
                <w:szCs w:val="20"/>
              </w:rPr>
            </w:pPr>
            <w:r>
              <w:rPr>
                <w:rFonts w:cs="Times New Roman"/>
                <w:kern w:val="0"/>
                <w:szCs w:val="20"/>
              </w:rPr>
              <w:t>≥</w:t>
            </w:r>
            <w:r>
              <w:rPr>
                <w:rFonts w:hint="eastAsia" w:cs="Times New Roman"/>
                <w:kern w:val="0"/>
                <w:szCs w:val="20"/>
              </w:rPr>
              <w:t>Ⅸ</w:t>
            </w:r>
          </w:p>
        </w:tc>
      </w:tr>
    </w:tbl>
    <w:p w14:paraId="4FA479EC">
      <w:pPr>
        <w:ind w:firstLine="480"/>
        <w:jc w:val="center"/>
        <w:rPr>
          <w:rFonts w:cs="Times New Roman"/>
        </w:rPr>
      </w:pPr>
      <w:r>
        <w:drawing>
          <wp:inline distT="0" distB="0" distL="0" distR="0">
            <wp:extent cx="4972050" cy="3752850"/>
            <wp:effectExtent l="0" t="0" r="0" b="0"/>
            <wp:docPr id="107" name="图片 107" descr="C:\Users\ADMINI~1\AppData\Local\Temp\ksohtml\wps4AFC.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C:\Users\ADMINI~1\AppData\Local\Temp\ksohtml\wps4AFC.tmp.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4972050" cy="3752850"/>
                    </a:xfrm>
                    <a:prstGeom prst="rect">
                      <a:avLst/>
                    </a:prstGeom>
                    <a:noFill/>
                    <a:ln>
                      <a:noFill/>
                    </a:ln>
                  </pic:spPr>
                </pic:pic>
              </a:graphicData>
            </a:graphic>
          </wp:inline>
        </w:drawing>
      </w:r>
      <w:r>
        <w:t xml:space="preserve"> </w:t>
      </w:r>
    </w:p>
    <w:p w14:paraId="73E643A7">
      <w:pPr>
        <w:spacing w:line="500" w:lineRule="exact"/>
        <w:ind w:firstLine="0" w:firstLineChars="0"/>
        <w:jc w:val="center"/>
        <w:rPr>
          <w:rFonts w:eastAsia="黑体"/>
        </w:rPr>
      </w:pPr>
      <w:r>
        <w:rPr>
          <w:rFonts w:ascii="黑体" w:hAnsi="黑体" w:eastAsia="黑体"/>
        </w:rPr>
        <w:t>图</w:t>
      </w:r>
      <w:r>
        <w:rPr>
          <w:rFonts w:hint="eastAsia" w:eastAsia="黑体"/>
        </w:rPr>
        <w:t>5.5.1-1</w:t>
      </w:r>
      <w:r>
        <w:rPr>
          <w:rFonts w:eastAsia="黑体"/>
        </w:rPr>
        <w:t xml:space="preserve">  </w:t>
      </w:r>
      <w:r>
        <w:rPr>
          <w:rFonts w:ascii="黑体" w:hAnsi="黑体" w:eastAsia="黑体"/>
        </w:rPr>
        <w:t>地震动峰值加速度区划图</w:t>
      </w:r>
    </w:p>
    <w:p w14:paraId="63BE443E">
      <w:pPr>
        <w:pStyle w:val="349"/>
      </w:pPr>
      <w:r>
        <w:rPr>
          <w:rFonts w:hint="eastAsia"/>
        </w:rPr>
        <w:t>5.5.1.5</w:t>
      </w:r>
      <w:r>
        <w:rPr>
          <w:rFonts w:ascii="黑体" w:hAnsi="黑体"/>
        </w:rPr>
        <w:t>岩浆岩</w:t>
      </w:r>
    </w:p>
    <w:p w14:paraId="154CF1FE">
      <w:pPr>
        <w:ind w:firstLine="480"/>
        <w:rPr>
          <w:b/>
          <w:bCs/>
        </w:rPr>
      </w:pPr>
      <w:r>
        <w:rPr>
          <w:rFonts w:ascii="宋体" w:hAnsi="宋体"/>
          <w:bCs/>
        </w:rPr>
        <w:t>区域岩浆岩体主要为燕山期造山运动时侵入的花岗岩。岩性以燕山期二长花岗岩和燕山期钾长花岗岩为主。</w:t>
      </w:r>
    </w:p>
    <w:p w14:paraId="43EC4D3A">
      <w:pPr>
        <w:ind w:firstLine="480"/>
        <w:rPr>
          <w:b/>
          <w:bCs/>
        </w:rPr>
      </w:pPr>
      <w:r>
        <w:rPr>
          <w:rFonts w:ascii="宋体" w:hAnsi="宋体"/>
          <w:bCs/>
        </w:rPr>
        <w:t>燕山期钾长花岗岩主要分布在秦集一带。岩石呈浅灰、灰白色，矿物的粒度一般为</w:t>
      </w:r>
      <w:r>
        <w:rPr>
          <w:bCs/>
        </w:rPr>
        <w:t>2~4mm</w:t>
      </w:r>
      <w:r>
        <w:rPr>
          <w:rFonts w:ascii="宋体" w:hAnsi="宋体"/>
          <w:bCs/>
        </w:rPr>
        <w:t>。主要成分为钾长石</w:t>
      </w:r>
      <w:r>
        <w:rPr>
          <w:bCs/>
        </w:rPr>
        <w:t>45%</w:t>
      </w:r>
      <w:r>
        <w:rPr>
          <w:rFonts w:ascii="宋体" w:hAnsi="宋体"/>
          <w:bCs/>
        </w:rPr>
        <w:t>，更长石</w:t>
      </w:r>
      <w:r>
        <w:rPr>
          <w:bCs/>
        </w:rPr>
        <w:t>15~20</w:t>
      </w:r>
      <w:r>
        <w:rPr>
          <w:rFonts w:ascii="宋体" w:hAnsi="宋体"/>
          <w:bCs/>
        </w:rPr>
        <w:t>％，石英</w:t>
      </w:r>
      <w:r>
        <w:rPr>
          <w:bCs/>
        </w:rPr>
        <w:t>20~30%</w:t>
      </w:r>
      <w:r>
        <w:rPr>
          <w:rFonts w:ascii="宋体" w:hAnsi="宋体"/>
          <w:bCs/>
        </w:rPr>
        <w:t>，黑云母</w:t>
      </w:r>
      <w:r>
        <w:rPr>
          <w:bCs/>
        </w:rPr>
        <w:t>2~3%</w:t>
      </w:r>
      <w:r>
        <w:rPr>
          <w:rFonts w:ascii="宋体" w:hAnsi="宋体"/>
          <w:bCs/>
        </w:rPr>
        <w:t>和少量白云母、角闪石、铁铝榴石、磁铁矿、磷灰石、锆石、绿帘石及榍石等。</w:t>
      </w:r>
    </w:p>
    <w:p w14:paraId="5B5B8D80">
      <w:pPr>
        <w:ind w:firstLine="480"/>
        <w:rPr>
          <w:b/>
          <w:bCs/>
        </w:rPr>
      </w:pPr>
      <w:r>
        <w:rPr>
          <w:rFonts w:ascii="宋体" w:hAnsi="宋体"/>
          <w:bCs/>
        </w:rPr>
        <w:t>燕山期二长花岗岩主要分布在评估区及外围陶山、燕山等地。岩石呈灰白色，不等粒花岗变晶结构。主要由钾长石</w:t>
      </w:r>
      <w:r>
        <w:rPr>
          <w:bCs/>
        </w:rPr>
        <w:t>35~40%</w:t>
      </w:r>
      <w:r>
        <w:rPr>
          <w:rFonts w:ascii="宋体" w:hAnsi="宋体"/>
          <w:bCs/>
        </w:rPr>
        <w:t>，斜长石</w:t>
      </w:r>
      <w:r>
        <w:rPr>
          <w:bCs/>
        </w:rPr>
        <w:t>3~45%</w:t>
      </w:r>
      <w:r>
        <w:rPr>
          <w:rFonts w:ascii="宋体" w:hAnsi="宋体"/>
          <w:bCs/>
        </w:rPr>
        <w:t>、石英</w:t>
      </w:r>
      <w:r>
        <w:rPr>
          <w:bCs/>
        </w:rPr>
        <w:t>20~25%</w:t>
      </w:r>
      <w:r>
        <w:rPr>
          <w:rFonts w:ascii="宋体" w:hAnsi="宋体"/>
          <w:bCs/>
        </w:rPr>
        <w:t>、黑云母、白云母或角闪石及少量磁铁矿、榍石、磷灰石等组成。</w:t>
      </w:r>
    </w:p>
    <w:p w14:paraId="625042C3">
      <w:pPr>
        <w:ind w:firstLine="480"/>
        <w:rPr>
          <w:b/>
          <w:bCs/>
        </w:rPr>
      </w:pPr>
      <w:r>
        <w:rPr>
          <w:rFonts w:ascii="宋体" w:hAnsi="宋体"/>
          <w:bCs/>
        </w:rPr>
        <w:t>根据以往的地质资料，燕山期二长花岗岩表层风化作用强烈，全风化～强风化厚度一般</w:t>
      </w:r>
      <w:r>
        <w:rPr>
          <w:bCs/>
        </w:rPr>
        <w:t>5~10m</w:t>
      </w:r>
      <w:r>
        <w:rPr>
          <w:rFonts w:ascii="宋体" w:hAnsi="宋体"/>
          <w:bCs/>
        </w:rPr>
        <w:t>。裂隙较为发育，但厚度不大</w:t>
      </w:r>
      <w:r>
        <w:rPr>
          <w:rFonts w:hint="eastAsia" w:ascii="宋体" w:hAnsi="宋体"/>
          <w:bCs/>
        </w:rPr>
        <w:t>。</w:t>
      </w:r>
    </w:p>
    <w:p w14:paraId="3C1E15D2">
      <w:pPr>
        <w:pStyle w:val="4068"/>
      </w:pPr>
      <w:bookmarkStart w:id="272" w:name="_Toc52175552"/>
      <w:bookmarkEnd w:id="272"/>
      <w:bookmarkStart w:id="273" w:name="_Toc101135884"/>
      <w:bookmarkStart w:id="274" w:name="_Toc108662661"/>
      <w:bookmarkStart w:id="275" w:name="_Toc100784052"/>
      <w:r>
        <w:rPr>
          <w:rFonts w:hint="eastAsia"/>
        </w:rPr>
        <w:t>5.5.2区域工程地质条件</w:t>
      </w:r>
      <w:bookmarkEnd w:id="273"/>
      <w:bookmarkEnd w:id="274"/>
      <w:bookmarkEnd w:id="275"/>
    </w:p>
    <w:p w14:paraId="6937F11A">
      <w:pPr>
        <w:ind w:firstLine="480"/>
        <w:rPr>
          <w:szCs w:val="24"/>
        </w:rPr>
      </w:pPr>
      <w:r>
        <w:rPr>
          <w:rFonts w:hint="eastAsia" w:ascii="宋体" w:hAnsi="宋体"/>
        </w:rPr>
        <w:t>（</w:t>
      </w:r>
      <w:r>
        <w:rPr>
          <w:rFonts w:hint="eastAsia"/>
        </w:rPr>
        <w:t>1</w:t>
      </w:r>
      <w:r>
        <w:rPr>
          <w:rFonts w:hint="eastAsia" w:ascii="宋体" w:hAnsi="宋体"/>
        </w:rPr>
        <w:t>）岩体</w:t>
      </w:r>
    </w:p>
    <w:p w14:paraId="22296E27">
      <w:pPr>
        <w:ind w:firstLine="480"/>
      </w:pPr>
      <w:r>
        <w:rPr>
          <w:rFonts w:hint="eastAsia" w:ascii="宋体" w:hAnsi="宋体"/>
        </w:rPr>
        <w:t>评价区内岩体隐伏在第四系覆盖层之下，建造类型为变质岩建造，岩性为上太古界五河群（</w:t>
      </w:r>
      <w:r>
        <w:t>Ar</w:t>
      </w:r>
      <w:r>
        <w:rPr>
          <w:vertAlign w:val="subscript"/>
        </w:rPr>
        <w:t>2</w:t>
      </w:r>
      <w:r>
        <w:t>wh</w:t>
      </w:r>
      <w:r>
        <w:rPr>
          <w:rFonts w:hint="eastAsia" w:ascii="宋体" w:hAnsi="宋体"/>
        </w:rPr>
        <w:t>），岩性由变粒岩、片麻岩、变流纹岩等组成，岩石单轴搞压强度为</w:t>
      </w:r>
      <w:r>
        <w:t>74</w:t>
      </w:r>
      <w:r>
        <w:rPr>
          <w:rFonts w:hint="eastAsia" w:ascii="宋体" w:hAnsi="宋体"/>
        </w:rPr>
        <w:t>～</w:t>
      </w:r>
      <w:r>
        <w:t>250MPa</w:t>
      </w:r>
      <w:r>
        <w:rPr>
          <w:rFonts w:hint="eastAsia" w:ascii="宋体" w:hAnsi="宋体"/>
        </w:rPr>
        <w:t>，属坚硬中</w:t>
      </w:r>
      <w:r>
        <w:rPr>
          <w:rFonts w:hint="eastAsia"/>
        </w:rPr>
        <w:t>—厚层状片麻岩、大理岩岩组。</w:t>
      </w:r>
    </w:p>
    <w:p w14:paraId="2A73A3BD">
      <w:pPr>
        <w:ind w:firstLine="480"/>
      </w:pPr>
      <w:r>
        <w:rPr>
          <w:rFonts w:hint="eastAsia" w:ascii="宋体" w:hAnsi="宋体"/>
        </w:rPr>
        <w:t>（</w:t>
      </w:r>
      <w:r>
        <w:rPr>
          <w:rFonts w:hint="eastAsia"/>
        </w:rPr>
        <w:t>2</w:t>
      </w:r>
      <w:r>
        <w:rPr>
          <w:rFonts w:hint="eastAsia" w:ascii="宋体" w:hAnsi="宋体"/>
        </w:rPr>
        <w:t>）土体</w:t>
      </w:r>
    </w:p>
    <w:p w14:paraId="315D4DC5">
      <w:pPr>
        <w:ind w:firstLine="480"/>
      </w:pPr>
      <w:r>
        <w:rPr>
          <w:rFonts w:hint="eastAsia" w:ascii="宋体" w:hAnsi="宋体"/>
        </w:rPr>
        <w:t>根据收集到评价区内及周边钻探资料，评价区自上而下可分为七层：</w:t>
      </w:r>
    </w:p>
    <w:p w14:paraId="637D5CAD">
      <w:pPr>
        <w:ind w:firstLine="480"/>
      </w:pPr>
      <w:r>
        <w:rPr>
          <w:rFonts w:hint="eastAsia" w:ascii="宋体" w:hAnsi="宋体"/>
        </w:rPr>
        <w:t>①粘土</w:t>
      </w:r>
      <w:r>
        <w:t>(Q</w:t>
      </w:r>
      <w:r>
        <w:rPr>
          <w:vertAlign w:val="subscript"/>
        </w:rPr>
        <w:t>3</w:t>
      </w:r>
      <w:r>
        <w:t>m)</w:t>
      </w:r>
      <w:r>
        <w:rPr>
          <w:rFonts w:hint="eastAsia" w:ascii="宋体" w:hAnsi="宋体"/>
        </w:rPr>
        <w:t>：褐黄、黄褐色，硬塑状态，湿，光滑，无摇振反应，含氧化铁、铁锰结核，具铁锰质浸染，杂青灰色团块，干强度高，韧性高。层厚一般为</w:t>
      </w:r>
      <w:r>
        <w:t>3.0</w:t>
      </w:r>
      <w:r>
        <w:rPr>
          <w:rFonts w:hint="eastAsia" w:ascii="宋体" w:hAnsi="宋体"/>
        </w:rPr>
        <w:t>～</w:t>
      </w:r>
      <w:r>
        <w:t>5.80m</w:t>
      </w:r>
      <w:r>
        <w:rPr>
          <w:rFonts w:hint="eastAsia" w:ascii="宋体" w:hAnsi="宋体"/>
        </w:rPr>
        <w:t>，其静力触探比贯入阻力</w:t>
      </w:r>
      <w:r>
        <w:t>Ps</w:t>
      </w:r>
      <w:r>
        <w:rPr>
          <w:rFonts w:hint="eastAsia" w:ascii="宋体" w:hAnsi="宋体"/>
        </w:rPr>
        <w:t>值为</w:t>
      </w:r>
      <w:r>
        <w:t>2.9</w:t>
      </w:r>
      <w:r>
        <w:rPr>
          <w:rFonts w:hint="eastAsia" w:ascii="宋体" w:hAnsi="宋体"/>
        </w:rPr>
        <w:t>～</w:t>
      </w:r>
      <w:r>
        <w:t>3.6MPa</w:t>
      </w:r>
      <w:r>
        <w:rPr>
          <w:rFonts w:hint="eastAsia" w:ascii="宋体" w:hAnsi="宋体"/>
        </w:rPr>
        <w:t>。</w:t>
      </w:r>
      <w:r>
        <w:t>fak=240</w:t>
      </w:r>
      <w:r>
        <w:rPr>
          <w:rFonts w:hint="eastAsia" w:ascii="宋体" w:hAnsi="宋体"/>
        </w:rPr>
        <w:t>～</w:t>
      </w:r>
      <w:r>
        <w:t>280kPa</w:t>
      </w:r>
      <w:r>
        <w:rPr>
          <w:rFonts w:hint="eastAsia" w:ascii="宋体" w:hAnsi="宋体"/>
        </w:rPr>
        <w:t>，</w:t>
      </w:r>
      <w:r>
        <w:t>Es=11.0</w:t>
      </w:r>
      <w:r>
        <w:rPr>
          <w:rFonts w:hint="eastAsia" w:ascii="宋体" w:hAnsi="宋体"/>
        </w:rPr>
        <w:t>～</w:t>
      </w:r>
      <w:r>
        <w:t>14.0MPa</w:t>
      </w:r>
      <w:r>
        <w:rPr>
          <w:rFonts w:hint="eastAsia" w:ascii="宋体" w:hAnsi="宋体"/>
        </w:rPr>
        <w:t>。</w:t>
      </w:r>
    </w:p>
    <w:p w14:paraId="5B593815">
      <w:pPr>
        <w:ind w:firstLine="480"/>
      </w:pPr>
      <w:r>
        <w:rPr>
          <w:rFonts w:hint="eastAsia" w:ascii="宋体" w:hAnsi="宋体"/>
        </w:rPr>
        <w:t>②粉土夹砂</w:t>
      </w:r>
      <w:r>
        <w:t>(Q</w:t>
      </w:r>
      <w:r>
        <w:rPr>
          <w:vertAlign w:val="subscript"/>
        </w:rPr>
        <w:t>3</w:t>
      </w:r>
      <w:r>
        <w:t>m)</w:t>
      </w:r>
      <w:r>
        <w:rPr>
          <w:rFonts w:hint="eastAsia" w:ascii="宋体" w:hAnsi="宋体"/>
        </w:rPr>
        <w:t>：层厚</w:t>
      </w:r>
      <w:r>
        <w:t>7.0</w:t>
      </w:r>
      <w:r>
        <w:rPr>
          <w:rFonts w:hint="eastAsia" w:ascii="宋体" w:hAnsi="宋体"/>
        </w:rPr>
        <w:t>～</w:t>
      </w:r>
      <w:r>
        <w:t>12.6m</w:t>
      </w:r>
      <w:r>
        <w:rPr>
          <w:rFonts w:hint="eastAsia" w:ascii="宋体" w:hAnsi="宋体"/>
        </w:rPr>
        <w:t>。褐灰、灰黄，稍密状态，局部夹薄层粉细砂，很湿，无光泽反应，震动析水，摇振反应迅速，干强度低，韧性低。其标贯试验实测击数</w:t>
      </w:r>
      <w:r>
        <w:t>N</w:t>
      </w:r>
      <w:r>
        <w:rPr>
          <w:rFonts w:hint="eastAsia" w:ascii="宋体" w:hAnsi="宋体"/>
        </w:rPr>
        <w:t>一般值为</w:t>
      </w:r>
      <w:r>
        <w:t>13</w:t>
      </w:r>
      <w:r>
        <w:rPr>
          <w:rFonts w:hint="eastAsia" w:ascii="宋体" w:hAnsi="宋体"/>
        </w:rPr>
        <w:t>～</w:t>
      </w:r>
      <w:r>
        <w:t>17</w:t>
      </w:r>
      <w:r>
        <w:rPr>
          <w:rFonts w:hint="eastAsia" w:ascii="宋体" w:hAnsi="宋体"/>
        </w:rPr>
        <w:t>击／</w:t>
      </w:r>
      <w:r>
        <w:t>30cm</w:t>
      </w:r>
      <w:r>
        <w:rPr>
          <w:rFonts w:hint="eastAsia" w:ascii="宋体" w:hAnsi="宋体"/>
        </w:rPr>
        <w:t>。其静力触探比贯入阻力</w:t>
      </w:r>
      <w:r>
        <w:t>PS</w:t>
      </w:r>
      <w:r>
        <w:rPr>
          <w:rFonts w:hint="eastAsia" w:ascii="宋体" w:hAnsi="宋体"/>
        </w:rPr>
        <w:t>值为</w:t>
      </w:r>
      <w:r>
        <w:t>3.0</w:t>
      </w:r>
      <w:r>
        <w:rPr>
          <w:rFonts w:hint="eastAsia" w:ascii="宋体" w:hAnsi="宋体"/>
        </w:rPr>
        <w:t>～</w:t>
      </w:r>
      <w:r>
        <w:t>5.0MPa</w:t>
      </w:r>
      <w:r>
        <w:rPr>
          <w:rFonts w:hint="eastAsia" w:ascii="宋体" w:hAnsi="宋体"/>
        </w:rPr>
        <w:t>。</w:t>
      </w:r>
      <w:r>
        <w:t>fak=160</w:t>
      </w:r>
      <w:r>
        <w:rPr>
          <w:rFonts w:hint="eastAsia" w:ascii="宋体" w:hAnsi="宋体"/>
        </w:rPr>
        <w:t>～</w:t>
      </w:r>
      <w:r>
        <w:t>190kPa</w:t>
      </w:r>
      <w:r>
        <w:rPr>
          <w:rFonts w:hint="eastAsia" w:ascii="宋体" w:hAnsi="宋体"/>
        </w:rPr>
        <w:t>，</w:t>
      </w:r>
      <w:r>
        <w:t>Es=7.5</w:t>
      </w:r>
      <w:r>
        <w:rPr>
          <w:rFonts w:hint="eastAsia" w:ascii="宋体" w:hAnsi="宋体"/>
        </w:rPr>
        <w:t>～</w:t>
      </w:r>
      <w:r>
        <w:t>9.0MPa</w:t>
      </w:r>
      <w:r>
        <w:rPr>
          <w:rFonts w:hint="eastAsia" w:ascii="宋体" w:hAnsi="宋体"/>
        </w:rPr>
        <w:t>。</w:t>
      </w:r>
    </w:p>
    <w:p w14:paraId="08C9524D">
      <w:pPr>
        <w:ind w:firstLine="480"/>
      </w:pPr>
      <w:r>
        <w:rPr>
          <w:rFonts w:hint="eastAsia" w:ascii="宋体" w:hAnsi="宋体"/>
        </w:rPr>
        <w:t>③粉质粘土夹粉土</w:t>
      </w:r>
      <w:r>
        <w:t>(Q</w:t>
      </w:r>
      <w:r>
        <w:rPr>
          <w:vertAlign w:val="subscript"/>
        </w:rPr>
        <w:t>3</w:t>
      </w:r>
      <w:r>
        <w:t>m)</w:t>
      </w:r>
      <w:r>
        <w:rPr>
          <w:rFonts w:hint="eastAsia" w:ascii="宋体" w:hAnsi="宋体"/>
        </w:rPr>
        <w:t>：层厚一般为</w:t>
      </w:r>
      <w:r>
        <w:t>1.60</w:t>
      </w:r>
      <w:r>
        <w:rPr>
          <w:rFonts w:hint="eastAsia" w:ascii="宋体" w:hAnsi="宋体"/>
        </w:rPr>
        <w:t>～</w:t>
      </w:r>
      <w:r>
        <w:t>8.30m</w:t>
      </w:r>
      <w:r>
        <w:rPr>
          <w:rFonts w:hint="eastAsia" w:ascii="宋体" w:hAnsi="宋体"/>
        </w:rPr>
        <w:t>。灰黄、褐黄色，可塑状态，湿，稍光滑，摇振反应中等，干强度中等，韧性中等，局部夹薄层粉土；其静力触探比贯入阻力</w:t>
      </w:r>
      <w:r>
        <w:t>PS</w:t>
      </w:r>
      <w:r>
        <w:rPr>
          <w:rFonts w:hint="eastAsia" w:ascii="宋体" w:hAnsi="宋体"/>
        </w:rPr>
        <w:t>值为</w:t>
      </w:r>
      <w:r>
        <w:t>2.0</w:t>
      </w:r>
      <w:r>
        <w:rPr>
          <w:rFonts w:hint="eastAsia" w:ascii="宋体" w:hAnsi="宋体"/>
        </w:rPr>
        <w:t>～</w:t>
      </w:r>
      <w:r>
        <w:t>2.4MPa</w:t>
      </w:r>
      <w:r>
        <w:rPr>
          <w:rFonts w:hint="eastAsia" w:ascii="宋体" w:hAnsi="宋体"/>
        </w:rPr>
        <w:t>。</w:t>
      </w:r>
      <w:r>
        <w:t>fak=200</w:t>
      </w:r>
      <w:r>
        <w:rPr>
          <w:rFonts w:hint="eastAsia" w:ascii="宋体" w:hAnsi="宋体"/>
        </w:rPr>
        <w:t>～</w:t>
      </w:r>
      <w:r>
        <w:t>220kPa</w:t>
      </w:r>
      <w:r>
        <w:rPr>
          <w:rFonts w:hint="eastAsia" w:ascii="宋体" w:hAnsi="宋体"/>
        </w:rPr>
        <w:t>，</w:t>
      </w:r>
      <w:r>
        <w:t>Es=7.8</w:t>
      </w:r>
      <w:r>
        <w:rPr>
          <w:rFonts w:hint="eastAsia" w:ascii="宋体" w:hAnsi="宋体"/>
        </w:rPr>
        <w:t>～</w:t>
      </w:r>
      <w:r>
        <w:t>10.0MPa</w:t>
      </w:r>
      <w:r>
        <w:rPr>
          <w:rFonts w:hint="eastAsia" w:ascii="宋体" w:hAnsi="宋体"/>
        </w:rPr>
        <w:t>。</w:t>
      </w:r>
    </w:p>
    <w:p w14:paraId="2E671131">
      <w:pPr>
        <w:ind w:firstLine="480"/>
      </w:pPr>
      <w:r>
        <w:rPr>
          <w:rFonts w:hint="eastAsia" w:ascii="宋体" w:hAnsi="宋体"/>
        </w:rPr>
        <w:t>④粘土</w:t>
      </w:r>
      <w:r>
        <w:t>(Q</w:t>
      </w:r>
      <w:r>
        <w:rPr>
          <w:vertAlign w:val="subscript"/>
        </w:rPr>
        <w:t>3</w:t>
      </w:r>
      <w:r>
        <w:t>m)</w:t>
      </w:r>
      <w:r>
        <w:rPr>
          <w:rFonts w:hint="eastAsia" w:ascii="宋体" w:hAnsi="宋体"/>
        </w:rPr>
        <w:t>：褐黄、黄褐色，硬塑状态，稍湿，光滑，无摇振反应，干强度高，韧性高；含氧化铁、铁锰结核、钙质结核等，夹薄层粉质粘土、粉土。层厚一般为</w:t>
      </w:r>
      <w:r>
        <w:t>2.0</w:t>
      </w:r>
      <w:r>
        <w:rPr>
          <w:rFonts w:hint="eastAsia" w:ascii="宋体" w:hAnsi="宋体"/>
        </w:rPr>
        <w:t>～</w:t>
      </w:r>
      <w:r>
        <w:t>5.0m</w:t>
      </w:r>
      <w:r>
        <w:rPr>
          <w:rFonts w:hint="eastAsia" w:ascii="宋体" w:hAnsi="宋体"/>
        </w:rPr>
        <w:t>。静力触探比贯入阻力</w:t>
      </w:r>
      <w:r>
        <w:t>Ps</w:t>
      </w:r>
      <w:r>
        <w:rPr>
          <w:rFonts w:hint="eastAsia" w:ascii="宋体" w:hAnsi="宋体"/>
        </w:rPr>
        <w:t>值为</w:t>
      </w:r>
      <w:r>
        <w:t>3.3</w:t>
      </w:r>
      <w:r>
        <w:rPr>
          <w:rFonts w:hint="eastAsia" w:ascii="宋体" w:hAnsi="宋体"/>
        </w:rPr>
        <w:t>～</w:t>
      </w:r>
      <w:r>
        <w:t>4.8MPa</w:t>
      </w:r>
      <w:r>
        <w:rPr>
          <w:rFonts w:hint="eastAsia" w:ascii="宋体" w:hAnsi="宋体"/>
        </w:rPr>
        <w:t>，</w:t>
      </w:r>
      <w:r>
        <w:t>fak=270</w:t>
      </w:r>
      <w:r>
        <w:rPr>
          <w:rFonts w:hint="eastAsia" w:ascii="宋体" w:hAnsi="宋体"/>
        </w:rPr>
        <w:t>～</w:t>
      </w:r>
      <w:r>
        <w:t>320kPa</w:t>
      </w:r>
      <w:r>
        <w:rPr>
          <w:rFonts w:hint="eastAsia" w:ascii="宋体" w:hAnsi="宋体"/>
        </w:rPr>
        <w:t>，</w:t>
      </w:r>
      <w:r>
        <w:t>Es=11.0</w:t>
      </w:r>
      <w:r>
        <w:rPr>
          <w:rFonts w:hint="eastAsia" w:ascii="宋体" w:hAnsi="宋体"/>
        </w:rPr>
        <w:t>～</w:t>
      </w:r>
      <w:r>
        <w:t>13.0MPa</w:t>
      </w:r>
      <w:r>
        <w:rPr>
          <w:rFonts w:hint="eastAsia" w:ascii="宋体" w:hAnsi="宋体"/>
        </w:rPr>
        <w:t>。</w:t>
      </w:r>
    </w:p>
    <w:p w14:paraId="430B47A3">
      <w:pPr>
        <w:ind w:firstLine="480"/>
      </w:pPr>
      <w:r>
        <w:rPr>
          <w:rFonts w:hint="eastAsia" w:ascii="宋体" w:hAnsi="宋体"/>
        </w:rPr>
        <w:t>⑤粘土夹砂</w:t>
      </w:r>
      <w:r>
        <w:t>(Q</w:t>
      </w:r>
      <w:r>
        <w:rPr>
          <w:vertAlign w:val="subscript"/>
        </w:rPr>
        <w:t>3</w:t>
      </w:r>
      <w:r>
        <w:t>m)</w:t>
      </w:r>
      <w:r>
        <w:rPr>
          <w:rFonts w:hint="eastAsia" w:ascii="宋体" w:hAnsi="宋体"/>
        </w:rPr>
        <w:t>：层厚</w:t>
      </w:r>
      <w:r>
        <w:t>2.00</w:t>
      </w:r>
      <w:r>
        <w:rPr>
          <w:rFonts w:hint="eastAsia" w:ascii="宋体" w:hAnsi="宋体"/>
        </w:rPr>
        <w:t>～</w:t>
      </w:r>
      <w:r>
        <w:t>4.0m</w:t>
      </w:r>
      <w:r>
        <w:rPr>
          <w:rFonts w:hint="eastAsia" w:ascii="宋体" w:hAnsi="宋体"/>
        </w:rPr>
        <w:t>。褐灰、黄褐色，稍密状态，夹中砂，稍湿，无光泽反应，摇振反应高，干强度低，韧性低。其静力触探比贯入阻力</w:t>
      </w:r>
      <w:r>
        <w:t>PS</w:t>
      </w:r>
      <w:r>
        <w:rPr>
          <w:rFonts w:hint="eastAsia" w:ascii="宋体" w:hAnsi="宋体"/>
        </w:rPr>
        <w:t>值为</w:t>
      </w:r>
      <w:r>
        <w:t>4.0</w:t>
      </w:r>
      <w:r>
        <w:rPr>
          <w:rFonts w:hint="eastAsia" w:ascii="宋体" w:hAnsi="宋体"/>
        </w:rPr>
        <w:t>～</w:t>
      </w:r>
      <w:r>
        <w:t>5.0MPa</w:t>
      </w:r>
      <w:r>
        <w:rPr>
          <w:rFonts w:hint="eastAsia" w:ascii="宋体" w:hAnsi="宋体"/>
        </w:rPr>
        <w:t>。</w:t>
      </w:r>
      <w:r>
        <w:t>fak=170</w:t>
      </w:r>
      <w:r>
        <w:rPr>
          <w:rFonts w:hint="eastAsia" w:ascii="宋体" w:hAnsi="宋体"/>
        </w:rPr>
        <w:t>～</w:t>
      </w:r>
      <w:r>
        <w:t>200kPa</w:t>
      </w:r>
      <w:r>
        <w:rPr>
          <w:rFonts w:hint="eastAsia" w:ascii="宋体" w:hAnsi="宋体"/>
        </w:rPr>
        <w:t>，</w:t>
      </w:r>
      <w:r>
        <w:t>Es =8.0</w:t>
      </w:r>
      <w:r>
        <w:rPr>
          <w:rFonts w:hint="eastAsia" w:ascii="宋体" w:hAnsi="宋体"/>
        </w:rPr>
        <w:t>～</w:t>
      </w:r>
      <w:r>
        <w:t>9.0MPa</w:t>
      </w:r>
      <w:r>
        <w:rPr>
          <w:rFonts w:hint="eastAsia" w:ascii="宋体" w:hAnsi="宋体"/>
        </w:rPr>
        <w:t>。</w:t>
      </w:r>
    </w:p>
    <w:p w14:paraId="22C812F5">
      <w:pPr>
        <w:ind w:firstLine="480"/>
      </w:pPr>
      <w:r>
        <w:rPr>
          <w:rFonts w:hint="eastAsia" w:ascii="宋体" w:hAnsi="宋体"/>
        </w:rPr>
        <w:t>⑥中砂</w:t>
      </w:r>
      <w:r>
        <w:t>(Q</w:t>
      </w:r>
      <w:r>
        <w:rPr>
          <w:vertAlign w:val="subscript"/>
        </w:rPr>
        <w:t>3</w:t>
      </w:r>
      <w:r>
        <w:t>m)</w:t>
      </w:r>
      <w:r>
        <w:rPr>
          <w:rFonts w:hint="eastAsia" w:ascii="宋体" w:hAnsi="宋体"/>
        </w:rPr>
        <w:t>：层厚</w:t>
      </w:r>
      <w:r>
        <w:t>5.0</w:t>
      </w:r>
      <w:r>
        <w:rPr>
          <w:rFonts w:hint="eastAsia" w:ascii="宋体" w:hAnsi="宋体"/>
        </w:rPr>
        <w:t>～</w:t>
      </w:r>
      <w:r>
        <w:t>8.0m</w:t>
      </w:r>
      <w:r>
        <w:rPr>
          <w:rFonts w:hint="eastAsia" w:ascii="宋体" w:hAnsi="宋体"/>
        </w:rPr>
        <w:t>，灰黄，饱和，密实，稍湿，无光泽反应，震动析水，摇振反应迅速，干强度低，韧性低。</w:t>
      </w:r>
      <w:r>
        <w:t>fak=180</w:t>
      </w:r>
      <w:r>
        <w:rPr>
          <w:rFonts w:hint="eastAsia" w:ascii="宋体" w:hAnsi="宋体"/>
        </w:rPr>
        <w:t>～</w:t>
      </w:r>
      <w:r>
        <w:t>200kPa</w:t>
      </w:r>
      <w:r>
        <w:rPr>
          <w:rFonts w:hint="eastAsia" w:ascii="宋体" w:hAnsi="宋体"/>
        </w:rPr>
        <w:t>，</w:t>
      </w:r>
      <w:r>
        <w:t>Es =8.0</w:t>
      </w:r>
      <w:r>
        <w:rPr>
          <w:rFonts w:hint="eastAsia" w:ascii="宋体" w:hAnsi="宋体"/>
        </w:rPr>
        <w:t>～</w:t>
      </w:r>
      <w:r>
        <w:t>10.0MPa</w:t>
      </w:r>
      <w:r>
        <w:rPr>
          <w:rFonts w:hint="eastAsia" w:ascii="宋体" w:hAnsi="宋体"/>
        </w:rPr>
        <w:t>。</w:t>
      </w:r>
    </w:p>
    <w:p w14:paraId="708BF334">
      <w:pPr>
        <w:ind w:firstLine="480"/>
        <w:rPr>
          <w:b/>
        </w:rPr>
      </w:pPr>
      <w:r>
        <w:rPr>
          <w:rFonts w:hint="eastAsia" w:ascii="宋体" w:hAnsi="宋体"/>
        </w:rPr>
        <w:t>⑦粘土</w:t>
      </w:r>
      <w:r>
        <w:t>(Q</w:t>
      </w:r>
      <w:r>
        <w:rPr>
          <w:vertAlign w:val="subscript"/>
        </w:rPr>
        <w:t>2</w:t>
      </w:r>
      <w:r>
        <w:t>p)</w:t>
      </w:r>
      <w:r>
        <w:rPr>
          <w:rFonts w:hint="eastAsia" w:ascii="宋体" w:hAnsi="宋体"/>
        </w:rPr>
        <w:t>：该层未钻穿。层厚一般大于</w:t>
      </w:r>
      <w:r>
        <w:t>8.0m</w:t>
      </w:r>
      <w:r>
        <w:rPr>
          <w:rFonts w:hint="eastAsia" w:ascii="宋体" w:hAnsi="宋体"/>
        </w:rPr>
        <w:t>。褐黄、黄褐色，硬塑状态，稍湿，光滑，无摇振反应，干强度高，韧性高；含氧化铁、铁锰结核、钙质结核等，</w:t>
      </w:r>
      <w:r>
        <w:t>fak=270</w:t>
      </w:r>
      <w:r>
        <w:rPr>
          <w:rFonts w:hint="eastAsia" w:ascii="宋体" w:hAnsi="宋体"/>
        </w:rPr>
        <w:t>～</w:t>
      </w:r>
      <w:r>
        <w:t>300kPa</w:t>
      </w:r>
      <w:r>
        <w:rPr>
          <w:rFonts w:hint="eastAsia" w:ascii="宋体" w:hAnsi="宋体"/>
        </w:rPr>
        <w:t>，</w:t>
      </w:r>
      <w:r>
        <w:t>Es=12.0</w:t>
      </w:r>
      <w:r>
        <w:rPr>
          <w:rFonts w:hint="eastAsia" w:ascii="宋体" w:hAnsi="宋体"/>
        </w:rPr>
        <w:t>～</w:t>
      </w:r>
      <w:r>
        <w:t>14.0MPa</w:t>
      </w:r>
      <w:r>
        <w:rPr>
          <w:rFonts w:hint="eastAsia" w:ascii="宋体" w:hAnsi="宋体"/>
        </w:rPr>
        <w:t>。</w:t>
      </w:r>
    </w:p>
    <w:p w14:paraId="43FE068E">
      <w:pPr>
        <w:pStyle w:val="4068"/>
      </w:pPr>
      <w:bookmarkStart w:id="276" w:name="_Toc52175553"/>
      <w:bookmarkEnd w:id="276"/>
      <w:bookmarkStart w:id="277" w:name="_Toc108662662"/>
      <w:bookmarkStart w:id="278" w:name="_Toc100784053"/>
      <w:bookmarkStart w:id="279" w:name="_Toc101135885"/>
      <w:r>
        <w:rPr>
          <w:rFonts w:hint="eastAsia"/>
        </w:rPr>
        <w:t>5.5.3区域</w:t>
      </w:r>
      <w:r>
        <w:t>水文地质条件概况</w:t>
      </w:r>
      <w:bookmarkEnd w:id="277"/>
      <w:bookmarkEnd w:id="278"/>
      <w:bookmarkEnd w:id="279"/>
    </w:p>
    <w:p w14:paraId="034E4863">
      <w:pPr>
        <w:pStyle w:val="349"/>
      </w:pPr>
      <w:r>
        <w:rPr>
          <w:rFonts w:hint="eastAsia"/>
        </w:rPr>
        <w:t>5</w:t>
      </w:r>
      <w:r>
        <w:t>.5.3.1</w:t>
      </w:r>
      <w:r>
        <w:rPr>
          <w:rFonts w:hint="eastAsia"/>
        </w:rPr>
        <w:t>地下水类型及含水层特征</w:t>
      </w:r>
    </w:p>
    <w:p w14:paraId="6D3BA66C">
      <w:pPr>
        <w:ind w:firstLine="480"/>
        <w:rPr>
          <w:bCs/>
        </w:rPr>
      </w:pPr>
      <w:r>
        <w:rPr>
          <w:rFonts w:hint="eastAsia"/>
          <w:bCs/>
        </w:rPr>
        <w:t>1</w:t>
      </w:r>
      <w:r>
        <w:rPr>
          <w:rFonts w:hint="eastAsia" w:ascii="宋体" w:hAnsi="宋体"/>
          <w:bCs/>
        </w:rPr>
        <w:t>、地下水类型</w:t>
      </w:r>
    </w:p>
    <w:p w14:paraId="246C80BD">
      <w:pPr>
        <w:ind w:firstLine="480"/>
        <w:rPr>
          <w:bCs/>
        </w:rPr>
      </w:pPr>
      <w:r>
        <w:rPr>
          <w:rFonts w:hint="eastAsia" w:ascii="宋体" w:hAnsi="宋体"/>
          <w:bCs/>
        </w:rPr>
        <w:t>根据地下水的赋存条件、含水介质及地层岩性组合特征，评价区区域地下水类型可划分为松散岩类孔隙水和基岩裂隙水，松散岩类孔隙水进一步可划分浅层松散岩类孔隙水和深层松散岩类孔隙水。</w:t>
      </w:r>
    </w:p>
    <w:p w14:paraId="719394AB">
      <w:pPr>
        <w:ind w:firstLine="480"/>
        <w:rPr>
          <w:bCs/>
        </w:rPr>
      </w:pPr>
      <w:r>
        <w:rPr>
          <w:rFonts w:hint="eastAsia" w:ascii="宋体" w:hAnsi="宋体"/>
          <w:bCs/>
        </w:rPr>
        <w:t>（</w:t>
      </w:r>
      <w:r>
        <w:rPr>
          <w:rFonts w:hint="eastAsia"/>
          <w:bCs/>
        </w:rPr>
        <w:t>1</w:t>
      </w:r>
      <w:r>
        <w:rPr>
          <w:rFonts w:hint="eastAsia" w:ascii="宋体" w:hAnsi="宋体"/>
          <w:bCs/>
        </w:rPr>
        <w:t>）</w:t>
      </w:r>
      <w:r>
        <w:rPr>
          <w:rFonts w:ascii="宋体" w:hAnsi="宋体"/>
          <w:bCs/>
        </w:rPr>
        <w:t>松散岩类孔隙水</w:t>
      </w:r>
    </w:p>
    <w:p w14:paraId="45BB654C">
      <w:pPr>
        <w:ind w:firstLine="480"/>
        <w:rPr>
          <w:bCs/>
        </w:rPr>
      </w:pPr>
      <w:r>
        <w:rPr>
          <w:bCs/>
        </w:rPr>
        <w:t>1</w:t>
      </w:r>
      <w:r>
        <w:rPr>
          <w:rFonts w:hint="eastAsia" w:ascii="宋体" w:hAnsi="宋体"/>
          <w:bCs/>
        </w:rPr>
        <w:t>）浅层松散岩类孔隙水</w:t>
      </w:r>
      <w:r>
        <w:rPr>
          <w:rFonts w:hint="eastAsia"/>
          <w:bCs/>
        </w:rPr>
        <w:t xml:space="preserve"> </w:t>
      </w:r>
    </w:p>
    <w:p w14:paraId="4129F425">
      <w:pPr>
        <w:ind w:firstLine="480"/>
        <w:rPr>
          <w:bCs/>
        </w:rPr>
      </w:pPr>
      <w:r>
        <w:rPr>
          <w:rFonts w:hint="eastAsia" w:ascii="宋体" w:hAnsi="宋体"/>
          <w:bCs/>
        </w:rPr>
        <w:t>根据地下水的富水性，将本区划分为水量较丰富、水量中等及水量贫乏的含水岩组。</w:t>
      </w:r>
    </w:p>
    <w:p w14:paraId="0187F9A0">
      <w:pPr>
        <w:ind w:firstLine="480"/>
        <w:rPr>
          <w:bCs/>
        </w:rPr>
      </w:pPr>
      <w:r>
        <w:rPr>
          <w:rFonts w:hint="eastAsia" w:ascii="宋体" w:hAnsi="宋体"/>
          <w:bCs/>
        </w:rPr>
        <w:t>①水量较丰富的（单井涌水量</w:t>
      </w:r>
      <w:r>
        <w:rPr>
          <w:bCs/>
        </w:rPr>
        <w:t>500-1000m</w:t>
      </w:r>
      <w:r>
        <w:rPr>
          <w:bCs/>
          <w:vertAlign w:val="superscript"/>
        </w:rPr>
        <w:t>3</w:t>
      </w:r>
      <w:r>
        <w:rPr>
          <w:bCs/>
        </w:rPr>
        <w:t>/d</w:t>
      </w:r>
      <w:r>
        <w:rPr>
          <w:rFonts w:hint="eastAsia" w:ascii="宋体" w:hAnsi="宋体"/>
          <w:bCs/>
        </w:rPr>
        <w:t>）</w:t>
      </w:r>
    </w:p>
    <w:p w14:paraId="58801BDB">
      <w:pPr>
        <w:ind w:firstLine="480"/>
        <w:rPr>
          <w:bCs/>
        </w:rPr>
      </w:pPr>
      <w:r>
        <w:rPr>
          <w:rFonts w:hint="eastAsia" w:ascii="宋体" w:hAnsi="宋体"/>
          <w:bCs/>
        </w:rPr>
        <w:t>浅层松散岩类孔隙水主要赋存于第四系上更新统的粉</w:t>
      </w:r>
      <w:r>
        <w:rPr>
          <w:bCs/>
        </w:rPr>
        <w:t>-</w:t>
      </w:r>
      <w:r>
        <w:rPr>
          <w:rFonts w:hint="eastAsia" w:ascii="宋体" w:hAnsi="宋体"/>
          <w:bCs/>
        </w:rPr>
        <w:t>中砂、局部粉土夹砂的孔隙中，含水层厚度</w:t>
      </w:r>
      <w:r>
        <w:rPr>
          <w:bCs/>
        </w:rPr>
        <w:t>10.87-15.27m</w:t>
      </w:r>
      <w:r>
        <w:rPr>
          <w:rFonts w:hint="eastAsia" w:ascii="宋体" w:hAnsi="宋体"/>
          <w:bCs/>
        </w:rPr>
        <w:t>，水位埋深</w:t>
      </w:r>
      <w:r>
        <w:rPr>
          <w:bCs/>
        </w:rPr>
        <w:t>0.4-3.0m</w:t>
      </w:r>
      <w:r>
        <w:rPr>
          <w:rFonts w:hint="eastAsia" w:ascii="宋体" w:hAnsi="宋体"/>
          <w:bCs/>
        </w:rPr>
        <w:t>，据钻孔抽水试验资料，单井涌水量为</w:t>
      </w:r>
      <w:r>
        <w:rPr>
          <w:bCs/>
        </w:rPr>
        <w:t>500-1000m</w:t>
      </w:r>
      <w:r>
        <w:rPr>
          <w:bCs/>
          <w:vertAlign w:val="superscript"/>
        </w:rPr>
        <w:t>3</w:t>
      </w:r>
      <w:r>
        <w:rPr>
          <w:bCs/>
        </w:rPr>
        <w:t>/d</w:t>
      </w:r>
      <w:r>
        <w:rPr>
          <w:rFonts w:hint="eastAsia" w:ascii="宋体" w:hAnsi="宋体"/>
          <w:bCs/>
        </w:rPr>
        <w:t>，地下水化学类型以</w:t>
      </w:r>
      <w:r>
        <w:rPr>
          <w:bCs/>
        </w:rPr>
        <w:t>HCO</w:t>
      </w:r>
      <w:r>
        <w:rPr>
          <w:bCs/>
          <w:vertAlign w:val="subscript"/>
        </w:rPr>
        <w:t>3</w:t>
      </w:r>
      <w:r>
        <w:rPr>
          <w:bCs/>
        </w:rPr>
        <w:t>-Ca</w:t>
      </w:r>
      <w:r>
        <w:rPr>
          <w:rFonts w:hint="eastAsia" w:ascii="宋体" w:hAnsi="宋体"/>
          <w:bCs/>
        </w:rPr>
        <w:t>型为主，溶解性总固体小于</w:t>
      </w:r>
      <w:r>
        <w:rPr>
          <w:bCs/>
        </w:rPr>
        <w:t>1.0g/L</w:t>
      </w:r>
      <w:r>
        <w:rPr>
          <w:rFonts w:hint="eastAsia" w:ascii="宋体" w:hAnsi="宋体"/>
          <w:bCs/>
        </w:rPr>
        <w:t>。</w:t>
      </w:r>
    </w:p>
    <w:p w14:paraId="45B98B42">
      <w:pPr>
        <w:ind w:firstLine="480"/>
        <w:rPr>
          <w:bCs/>
        </w:rPr>
      </w:pPr>
      <w:r>
        <w:rPr>
          <w:rFonts w:hint="eastAsia" w:ascii="宋体" w:hAnsi="宋体"/>
          <w:bCs/>
        </w:rPr>
        <w:t>②水量中等的（单井涌水量</w:t>
      </w:r>
      <w:r>
        <w:rPr>
          <w:bCs/>
        </w:rPr>
        <w:t>100-500m</w:t>
      </w:r>
      <w:r>
        <w:rPr>
          <w:bCs/>
          <w:vertAlign w:val="superscript"/>
        </w:rPr>
        <w:t>3</w:t>
      </w:r>
      <w:r>
        <w:rPr>
          <w:bCs/>
        </w:rPr>
        <w:t>/d</w:t>
      </w:r>
      <w:r>
        <w:rPr>
          <w:rFonts w:hint="eastAsia" w:ascii="宋体" w:hAnsi="宋体"/>
          <w:bCs/>
        </w:rPr>
        <w:t>）</w:t>
      </w:r>
    </w:p>
    <w:p w14:paraId="7A203B17">
      <w:pPr>
        <w:ind w:firstLine="480"/>
        <w:rPr>
          <w:bCs/>
        </w:rPr>
      </w:pPr>
      <w:r>
        <w:rPr>
          <w:rFonts w:hint="eastAsia" w:ascii="宋体" w:hAnsi="宋体"/>
          <w:bCs/>
        </w:rPr>
        <w:t>主要沿淮河北岸分布，含水层由第四系全新新统砂砾层组成，厚度</w:t>
      </w:r>
      <w:r>
        <w:rPr>
          <w:bCs/>
        </w:rPr>
        <w:t>6.8-10.29m</w:t>
      </w:r>
      <w:r>
        <w:rPr>
          <w:rFonts w:hint="eastAsia" w:ascii="宋体" w:hAnsi="宋体"/>
          <w:bCs/>
        </w:rPr>
        <w:t>，水位埋深</w:t>
      </w:r>
      <w:r>
        <w:rPr>
          <w:bCs/>
        </w:rPr>
        <w:t>0.9-5.20m</w:t>
      </w:r>
      <w:r>
        <w:rPr>
          <w:rFonts w:hint="eastAsia" w:ascii="宋体" w:hAnsi="宋体"/>
          <w:bCs/>
        </w:rPr>
        <w:t>，据钻孔抽水试验资料，单井涌水量为</w:t>
      </w:r>
      <w:r>
        <w:rPr>
          <w:bCs/>
        </w:rPr>
        <w:t>100-500m</w:t>
      </w:r>
      <w:r>
        <w:rPr>
          <w:bCs/>
          <w:vertAlign w:val="superscript"/>
        </w:rPr>
        <w:t>3</w:t>
      </w:r>
      <w:r>
        <w:rPr>
          <w:bCs/>
        </w:rPr>
        <w:t>/d</w:t>
      </w:r>
      <w:r>
        <w:rPr>
          <w:rFonts w:hint="eastAsia" w:ascii="宋体" w:hAnsi="宋体"/>
          <w:bCs/>
        </w:rPr>
        <w:t>，地下水化学类型以</w:t>
      </w:r>
      <w:r>
        <w:rPr>
          <w:bCs/>
        </w:rPr>
        <w:t>HCO</w:t>
      </w:r>
      <w:r>
        <w:rPr>
          <w:bCs/>
          <w:vertAlign w:val="subscript"/>
        </w:rPr>
        <w:t>3</w:t>
      </w:r>
      <w:r>
        <w:rPr>
          <w:bCs/>
        </w:rPr>
        <w:t>-Ca</w:t>
      </w:r>
      <w:r>
        <w:rPr>
          <w:rFonts w:hint="eastAsia" w:ascii="宋体" w:hAnsi="宋体"/>
          <w:bCs/>
        </w:rPr>
        <w:t>型为主，溶解性总固体小于</w:t>
      </w:r>
      <w:r>
        <w:rPr>
          <w:bCs/>
        </w:rPr>
        <w:t>1.0g/L</w:t>
      </w:r>
      <w:r>
        <w:rPr>
          <w:rFonts w:hint="eastAsia" w:ascii="宋体" w:hAnsi="宋体"/>
          <w:bCs/>
        </w:rPr>
        <w:t>。</w:t>
      </w:r>
    </w:p>
    <w:p w14:paraId="4187D293">
      <w:pPr>
        <w:ind w:firstLine="480"/>
        <w:rPr>
          <w:bCs/>
        </w:rPr>
      </w:pPr>
      <w:r>
        <w:rPr>
          <w:rFonts w:hint="eastAsia" w:ascii="宋体" w:hAnsi="宋体"/>
          <w:bCs/>
        </w:rPr>
        <w:t>③水量贫乏的（单井涌水量</w:t>
      </w:r>
      <w:r>
        <w:rPr>
          <w:bCs/>
        </w:rPr>
        <w:t>&lt;100m</w:t>
      </w:r>
      <w:r>
        <w:rPr>
          <w:bCs/>
          <w:vertAlign w:val="superscript"/>
        </w:rPr>
        <w:t>3</w:t>
      </w:r>
      <w:r>
        <w:rPr>
          <w:bCs/>
        </w:rPr>
        <w:t>/d</w:t>
      </w:r>
      <w:r>
        <w:rPr>
          <w:rFonts w:hint="eastAsia" w:ascii="宋体" w:hAnsi="宋体"/>
          <w:bCs/>
        </w:rPr>
        <w:t>）</w:t>
      </w:r>
    </w:p>
    <w:p w14:paraId="12A61690">
      <w:pPr>
        <w:ind w:firstLine="480"/>
        <w:rPr>
          <w:bCs/>
        </w:rPr>
      </w:pPr>
      <w:r>
        <w:rPr>
          <w:rFonts w:hint="eastAsia" w:ascii="宋体" w:hAnsi="宋体"/>
          <w:bCs/>
        </w:rPr>
        <w:t>分布于评价区东北部，主要由第四系上更新统的粘土、粉土夹砂组成，砂岩沿现代河流两侧成条带状分布，厚度小于</w:t>
      </w:r>
      <w:r>
        <w:rPr>
          <w:bCs/>
        </w:rPr>
        <w:t>5m</w:t>
      </w:r>
      <w:r>
        <w:rPr>
          <w:rFonts w:hint="eastAsia" w:ascii="宋体" w:hAnsi="宋体"/>
          <w:bCs/>
        </w:rPr>
        <w:t>，水位埋深</w:t>
      </w:r>
      <w:r>
        <w:rPr>
          <w:bCs/>
        </w:rPr>
        <w:t>0.4-3.5m</w:t>
      </w:r>
      <w:r>
        <w:rPr>
          <w:rFonts w:hint="eastAsia" w:ascii="宋体" w:hAnsi="宋体"/>
          <w:bCs/>
        </w:rPr>
        <w:t>，据钻孔及民井抽水试验资料，单井涌水量均小于</w:t>
      </w:r>
      <w:r>
        <w:rPr>
          <w:bCs/>
        </w:rPr>
        <w:t>100m</w:t>
      </w:r>
      <w:r>
        <w:rPr>
          <w:bCs/>
          <w:vertAlign w:val="superscript"/>
        </w:rPr>
        <w:t>3</w:t>
      </w:r>
      <w:r>
        <w:rPr>
          <w:bCs/>
        </w:rPr>
        <w:t>/d</w:t>
      </w:r>
      <w:r>
        <w:rPr>
          <w:rFonts w:hint="eastAsia" w:ascii="宋体" w:hAnsi="宋体"/>
          <w:bCs/>
        </w:rPr>
        <w:t>，地下水化学类型为</w:t>
      </w:r>
      <w:r>
        <w:rPr>
          <w:bCs/>
        </w:rPr>
        <w:t>HCO</w:t>
      </w:r>
      <w:r>
        <w:rPr>
          <w:bCs/>
          <w:vertAlign w:val="subscript"/>
        </w:rPr>
        <w:t>3</w:t>
      </w:r>
      <w:r>
        <w:rPr>
          <w:bCs/>
        </w:rPr>
        <w:t>-Ca·Mg</w:t>
      </w:r>
      <w:r>
        <w:rPr>
          <w:rFonts w:hint="eastAsia" w:ascii="宋体" w:hAnsi="宋体"/>
          <w:bCs/>
        </w:rPr>
        <w:t>型或</w:t>
      </w:r>
      <w:r>
        <w:rPr>
          <w:rFonts w:hint="eastAsia"/>
          <w:bCs/>
        </w:rPr>
        <w:t xml:space="preserve"> </w:t>
      </w:r>
      <w:r>
        <w:rPr>
          <w:bCs/>
        </w:rPr>
        <w:t>HCO</w:t>
      </w:r>
      <w:r>
        <w:rPr>
          <w:bCs/>
          <w:vertAlign w:val="subscript"/>
        </w:rPr>
        <w:t>3</w:t>
      </w:r>
      <w:r>
        <w:rPr>
          <w:bCs/>
        </w:rPr>
        <w:t>-Ca•Na</w:t>
      </w:r>
      <w:r>
        <w:rPr>
          <w:rFonts w:hint="eastAsia" w:ascii="宋体" w:hAnsi="宋体"/>
          <w:bCs/>
        </w:rPr>
        <w:t>型，溶解性总固体小于</w:t>
      </w:r>
      <w:r>
        <w:rPr>
          <w:bCs/>
        </w:rPr>
        <w:t>1.0g/L</w:t>
      </w:r>
      <w:r>
        <w:rPr>
          <w:rFonts w:hint="eastAsia" w:ascii="宋体" w:hAnsi="宋体"/>
          <w:bCs/>
        </w:rPr>
        <w:t>。</w:t>
      </w:r>
    </w:p>
    <w:p w14:paraId="08BC5EE5">
      <w:pPr>
        <w:ind w:firstLine="480"/>
        <w:rPr>
          <w:bCs/>
        </w:rPr>
      </w:pPr>
      <w:r>
        <w:rPr>
          <w:rFonts w:ascii="宋体" w:hAnsi="宋体"/>
          <w:bCs/>
        </w:rPr>
        <w:t>含水层组由第四系全新统和上更新统砂性土组成，以粉土和粘质粉土为主。含水层厚度</w:t>
      </w:r>
      <w:r>
        <w:rPr>
          <w:bCs/>
        </w:rPr>
        <w:t>10.0~30.00m</w:t>
      </w:r>
      <w:r>
        <w:rPr>
          <w:rFonts w:ascii="宋体" w:hAnsi="宋体"/>
          <w:bCs/>
        </w:rPr>
        <w:t>，水位埋深</w:t>
      </w:r>
      <w:r>
        <w:rPr>
          <w:bCs/>
        </w:rPr>
        <w:t>2.00~8.00m</w:t>
      </w:r>
      <w:r>
        <w:rPr>
          <w:rFonts w:ascii="宋体" w:hAnsi="宋体"/>
          <w:bCs/>
        </w:rPr>
        <w:t>，水力性质多属上层潜水。水量贫乏，单井涌水量多小于</w:t>
      </w:r>
      <w:r>
        <w:rPr>
          <w:bCs/>
        </w:rPr>
        <w:t>100m</w:t>
      </w:r>
      <w:r>
        <w:rPr>
          <w:bCs/>
          <w:vertAlign w:val="superscript"/>
        </w:rPr>
        <w:t>3</w:t>
      </w:r>
      <w:r>
        <w:rPr>
          <w:bCs/>
        </w:rPr>
        <w:t>/d</w:t>
      </w:r>
      <w:r>
        <w:rPr>
          <w:rFonts w:ascii="宋体" w:hAnsi="宋体"/>
          <w:bCs/>
        </w:rPr>
        <w:t>。水化学类型以</w:t>
      </w:r>
      <w:r>
        <w:rPr>
          <w:bCs/>
        </w:rPr>
        <w:t>HCO</w:t>
      </w:r>
      <w:r>
        <w:rPr>
          <w:bCs/>
          <w:vertAlign w:val="subscript"/>
        </w:rPr>
        <w:t>3</w:t>
      </w:r>
      <w:r>
        <w:rPr>
          <w:bCs/>
        </w:rPr>
        <w:t>--Ca</w:t>
      </w:r>
      <w:r>
        <w:rPr>
          <w:bCs/>
          <w:vertAlign w:val="superscript"/>
        </w:rPr>
        <w:t>2+</w:t>
      </w:r>
      <w:r>
        <w:rPr>
          <w:rFonts w:ascii="宋体" w:hAnsi="宋体"/>
          <w:bCs/>
        </w:rPr>
        <w:t>型为主，溶解性总固体小于</w:t>
      </w:r>
      <w:r>
        <w:rPr>
          <w:bCs/>
        </w:rPr>
        <w:t>1.0g/L</w:t>
      </w:r>
      <w:r>
        <w:rPr>
          <w:rFonts w:ascii="宋体" w:hAnsi="宋体"/>
          <w:bCs/>
        </w:rPr>
        <w:t>，</w:t>
      </w:r>
      <w:r>
        <w:rPr>
          <w:rFonts w:hint="eastAsia"/>
          <w:bCs/>
        </w:rPr>
        <w:t>p</w:t>
      </w:r>
      <w:r>
        <w:rPr>
          <w:bCs/>
        </w:rPr>
        <w:t>H</w:t>
      </w:r>
      <w:r>
        <w:rPr>
          <w:rFonts w:ascii="宋体" w:hAnsi="宋体"/>
          <w:bCs/>
        </w:rPr>
        <w:t>值</w:t>
      </w:r>
      <w:r>
        <w:rPr>
          <w:bCs/>
        </w:rPr>
        <w:t>7.5~8.0</w:t>
      </w:r>
      <w:r>
        <w:rPr>
          <w:rFonts w:ascii="宋体" w:hAnsi="宋体"/>
          <w:bCs/>
        </w:rPr>
        <w:t>。</w:t>
      </w:r>
    </w:p>
    <w:p w14:paraId="3D911CBB">
      <w:pPr>
        <w:ind w:firstLine="480"/>
        <w:rPr>
          <w:bCs/>
        </w:rPr>
      </w:pPr>
      <w:r>
        <w:rPr>
          <w:bCs/>
        </w:rPr>
        <w:t>2</w:t>
      </w:r>
      <w:r>
        <w:rPr>
          <w:rFonts w:hint="eastAsia" w:ascii="宋体" w:hAnsi="宋体"/>
          <w:bCs/>
        </w:rPr>
        <w:t>）深层松散岩类孔隙水</w:t>
      </w:r>
    </w:p>
    <w:p w14:paraId="03080BDA">
      <w:pPr>
        <w:ind w:firstLine="480"/>
        <w:rPr>
          <w:bCs/>
        </w:rPr>
      </w:pPr>
      <w:r>
        <w:rPr>
          <w:rFonts w:hint="eastAsia" w:ascii="宋体" w:hAnsi="宋体"/>
          <w:bCs/>
        </w:rPr>
        <w:t>该类型水由中下更新统含水砂层及新近系含水砂层组成，厚度较大。</w:t>
      </w:r>
    </w:p>
    <w:p w14:paraId="66BB5C78">
      <w:pPr>
        <w:ind w:firstLine="480"/>
        <w:rPr>
          <w:bCs/>
        </w:rPr>
      </w:pPr>
      <w:r>
        <w:rPr>
          <w:rFonts w:hint="eastAsia" w:ascii="宋体" w:hAnsi="宋体"/>
          <w:bCs/>
        </w:rPr>
        <w:t>深层松散岩类孔隙水的富水等级，按单井涌水量可划分为水量丰富的、水量较丰富的和水量中等的三级。现分述如下：</w:t>
      </w:r>
    </w:p>
    <w:p w14:paraId="3CD7633A">
      <w:pPr>
        <w:ind w:firstLine="480"/>
        <w:rPr>
          <w:bCs/>
        </w:rPr>
      </w:pPr>
      <w:r>
        <w:rPr>
          <w:rFonts w:hint="eastAsia" w:ascii="宋体" w:hAnsi="宋体"/>
          <w:bCs/>
        </w:rPr>
        <w:t>①水量丰富的（单井涌水量</w:t>
      </w:r>
      <w:r>
        <w:rPr>
          <w:bCs/>
        </w:rPr>
        <w:t>1000-3000m</w:t>
      </w:r>
      <w:r>
        <w:rPr>
          <w:bCs/>
          <w:vertAlign w:val="superscript"/>
        </w:rPr>
        <w:t>3</w:t>
      </w:r>
      <w:r>
        <w:rPr>
          <w:bCs/>
        </w:rPr>
        <w:t>/d</w:t>
      </w:r>
      <w:r>
        <w:rPr>
          <w:rFonts w:hint="eastAsia" w:ascii="宋体" w:hAnsi="宋体"/>
          <w:bCs/>
        </w:rPr>
        <w:t>）</w:t>
      </w:r>
    </w:p>
    <w:p w14:paraId="2E068DAD">
      <w:pPr>
        <w:ind w:firstLine="480"/>
        <w:rPr>
          <w:bCs/>
        </w:rPr>
      </w:pPr>
      <w:r>
        <w:rPr>
          <w:rFonts w:hint="eastAsia" w:ascii="宋体" w:hAnsi="宋体"/>
          <w:bCs/>
        </w:rPr>
        <w:t>含水层为粉细砂</w:t>
      </w:r>
      <w:r>
        <w:rPr>
          <w:bCs/>
        </w:rPr>
        <w:t>-</w:t>
      </w:r>
      <w:r>
        <w:rPr>
          <w:rFonts w:hint="eastAsia" w:ascii="宋体" w:hAnsi="宋体"/>
          <w:bCs/>
        </w:rPr>
        <w:t>中砂，厚度</w:t>
      </w:r>
      <w:r>
        <w:rPr>
          <w:bCs/>
        </w:rPr>
        <w:t>6-31m</w:t>
      </w:r>
      <w:r>
        <w:rPr>
          <w:rFonts w:hint="eastAsia" w:ascii="宋体" w:hAnsi="宋体"/>
          <w:bCs/>
        </w:rPr>
        <w:t>，水位埋深</w:t>
      </w:r>
      <w:r>
        <w:rPr>
          <w:bCs/>
        </w:rPr>
        <w:t>1-5m</w:t>
      </w:r>
      <w:r>
        <w:rPr>
          <w:rFonts w:hint="eastAsia" w:ascii="宋体" w:hAnsi="宋体"/>
          <w:bCs/>
        </w:rPr>
        <w:t>，据钻孔抽水试验资料，单井涌水量</w:t>
      </w:r>
      <w:r>
        <w:rPr>
          <w:bCs/>
        </w:rPr>
        <w:t>1163.90-2986.28m</w:t>
      </w:r>
      <w:r>
        <w:rPr>
          <w:bCs/>
          <w:vertAlign w:val="superscript"/>
        </w:rPr>
        <w:t>3</w:t>
      </w:r>
      <w:r>
        <w:rPr>
          <w:bCs/>
        </w:rPr>
        <w:t>/d</w:t>
      </w:r>
      <w:r>
        <w:rPr>
          <w:rFonts w:hint="eastAsia" w:ascii="宋体" w:hAnsi="宋体"/>
          <w:bCs/>
        </w:rPr>
        <w:t>，地下水化学类型以</w:t>
      </w:r>
      <w:r>
        <w:rPr>
          <w:bCs/>
        </w:rPr>
        <w:t>HCO</w:t>
      </w:r>
      <w:r>
        <w:rPr>
          <w:bCs/>
          <w:vertAlign w:val="subscript"/>
        </w:rPr>
        <w:t>3</w:t>
      </w:r>
      <w:r>
        <w:rPr>
          <w:bCs/>
        </w:rPr>
        <w:t>-Na</w:t>
      </w:r>
      <w:r>
        <w:rPr>
          <w:rFonts w:hint="eastAsia" w:ascii="宋体" w:hAnsi="宋体"/>
          <w:bCs/>
        </w:rPr>
        <w:t>型为主，溶解性总固体小于</w:t>
      </w:r>
      <w:r>
        <w:rPr>
          <w:bCs/>
        </w:rPr>
        <w:t>1.0g/L</w:t>
      </w:r>
      <w:r>
        <w:rPr>
          <w:rFonts w:hint="eastAsia" w:ascii="宋体" w:hAnsi="宋体"/>
          <w:bCs/>
        </w:rPr>
        <w:t>。</w:t>
      </w:r>
    </w:p>
    <w:p w14:paraId="4C75E503">
      <w:pPr>
        <w:ind w:firstLine="480"/>
        <w:rPr>
          <w:bCs/>
        </w:rPr>
      </w:pPr>
      <w:r>
        <w:rPr>
          <w:rFonts w:hint="eastAsia" w:ascii="宋体" w:hAnsi="宋体"/>
          <w:bCs/>
        </w:rPr>
        <w:t>②水量较丰富的（单井涌水量</w:t>
      </w:r>
      <w:r>
        <w:rPr>
          <w:bCs/>
        </w:rPr>
        <w:t>500-1000m</w:t>
      </w:r>
      <w:r>
        <w:rPr>
          <w:bCs/>
          <w:vertAlign w:val="superscript"/>
        </w:rPr>
        <w:t>3</w:t>
      </w:r>
      <w:r>
        <w:rPr>
          <w:bCs/>
        </w:rPr>
        <w:t>/d</w:t>
      </w:r>
      <w:r>
        <w:rPr>
          <w:rFonts w:hint="eastAsia" w:ascii="宋体" w:hAnsi="宋体"/>
          <w:bCs/>
        </w:rPr>
        <w:t>）</w:t>
      </w:r>
    </w:p>
    <w:p w14:paraId="61DF82A6">
      <w:pPr>
        <w:ind w:firstLine="480"/>
        <w:rPr>
          <w:bCs/>
        </w:rPr>
      </w:pPr>
      <w:r>
        <w:rPr>
          <w:rFonts w:hint="eastAsia" w:ascii="宋体" w:hAnsi="宋体"/>
          <w:bCs/>
        </w:rPr>
        <w:t>含水层为粉细砂、中砂，厚度</w:t>
      </w:r>
      <w:r>
        <w:rPr>
          <w:bCs/>
        </w:rPr>
        <w:t>4.38-29.79m</w:t>
      </w:r>
      <w:r>
        <w:rPr>
          <w:rFonts w:hint="eastAsia" w:ascii="宋体" w:hAnsi="宋体"/>
          <w:bCs/>
        </w:rPr>
        <w:t>，水位埋深</w:t>
      </w:r>
      <w:r>
        <w:rPr>
          <w:bCs/>
        </w:rPr>
        <w:t>0.4-5m</w:t>
      </w:r>
      <w:r>
        <w:rPr>
          <w:rFonts w:hint="eastAsia" w:ascii="宋体" w:hAnsi="宋体"/>
          <w:bCs/>
        </w:rPr>
        <w:t>，据钻孔抽水试验资料，单井涌水量为</w:t>
      </w:r>
      <w:r>
        <w:rPr>
          <w:bCs/>
        </w:rPr>
        <w:t>527.27-983.35m</w:t>
      </w:r>
      <w:r>
        <w:rPr>
          <w:bCs/>
          <w:vertAlign w:val="superscript"/>
        </w:rPr>
        <w:t>3</w:t>
      </w:r>
      <w:r>
        <w:rPr>
          <w:bCs/>
        </w:rPr>
        <w:t>/d</w:t>
      </w:r>
      <w:r>
        <w:rPr>
          <w:rFonts w:hint="eastAsia" w:ascii="宋体" w:hAnsi="宋体"/>
          <w:bCs/>
        </w:rPr>
        <w:t>，地下水化学类型以</w:t>
      </w:r>
      <w:r>
        <w:rPr>
          <w:bCs/>
        </w:rPr>
        <w:t>HCO</w:t>
      </w:r>
      <w:r>
        <w:rPr>
          <w:bCs/>
          <w:vertAlign w:val="subscript"/>
        </w:rPr>
        <w:t>3</w:t>
      </w:r>
      <w:r>
        <w:rPr>
          <w:bCs/>
        </w:rPr>
        <w:t>-Na•Ca</w:t>
      </w:r>
      <w:r>
        <w:rPr>
          <w:rFonts w:hint="eastAsia" w:ascii="宋体" w:hAnsi="宋体"/>
          <w:bCs/>
        </w:rPr>
        <w:t>型为主，溶解性总固体小于</w:t>
      </w:r>
      <w:r>
        <w:rPr>
          <w:bCs/>
        </w:rPr>
        <w:t>1.0g/L</w:t>
      </w:r>
      <w:r>
        <w:rPr>
          <w:rFonts w:hint="eastAsia" w:ascii="宋体" w:hAnsi="宋体"/>
          <w:bCs/>
        </w:rPr>
        <w:t>。</w:t>
      </w:r>
    </w:p>
    <w:p w14:paraId="56A3FCFC">
      <w:pPr>
        <w:ind w:firstLine="480"/>
        <w:rPr>
          <w:bCs/>
        </w:rPr>
      </w:pPr>
      <w:r>
        <w:rPr>
          <w:rFonts w:hint="eastAsia" w:ascii="宋体" w:hAnsi="宋体"/>
          <w:bCs/>
        </w:rPr>
        <w:t>③水量中等的（单井涌水量</w:t>
      </w:r>
      <w:r>
        <w:rPr>
          <w:bCs/>
        </w:rPr>
        <w:t>100-500m</w:t>
      </w:r>
      <w:r>
        <w:rPr>
          <w:bCs/>
          <w:vertAlign w:val="superscript"/>
        </w:rPr>
        <w:t>3</w:t>
      </w:r>
      <w:r>
        <w:rPr>
          <w:bCs/>
        </w:rPr>
        <w:t xml:space="preserve"> /d</w:t>
      </w:r>
      <w:r>
        <w:rPr>
          <w:rFonts w:hint="eastAsia" w:ascii="宋体" w:hAnsi="宋体"/>
          <w:bCs/>
        </w:rPr>
        <w:t>）</w:t>
      </w:r>
    </w:p>
    <w:p w14:paraId="6C2D31DA">
      <w:pPr>
        <w:ind w:firstLine="480"/>
        <w:rPr>
          <w:bCs/>
        </w:rPr>
      </w:pPr>
      <w:r>
        <w:rPr>
          <w:rFonts w:hint="eastAsia" w:ascii="宋体" w:hAnsi="宋体"/>
          <w:bCs/>
        </w:rPr>
        <w:t>含水砂层为粉细砂</w:t>
      </w:r>
      <w:r>
        <w:rPr>
          <w:bCs/>
        </w:rPr>
        <w:t>-</w:t>
      </w:r>
      <w:r>
        <w:rPr>
          <w:rFonts w:hint="eastAsia" w:ascii="宋体" w:hAnsi="宋体"/>
          <w:bCs/>
        </w:rPr>
        <w:t>中砂，厚度</w:t>
      </w:r>
      <w:r>
        <w:rPr>
          <w:bCs/>
        </w:rPr>
        <w:t>6.8-19.36m</w:t>
      </w:r>
      <w:r>
        <w:rPr>
          <w:rFonts w:hint="eastAsia" w:ascii="宋体" w:hAnsi="宋体"/>
          <w:bCs/>
        </w:rPr>
        <w:t>，水位埋深</w:t>
      </w:r>
      <w:r>
        <w:rPr>
          <w:bCs/>
        </w:rPr>
        <w:t>0.18-2.71m</w:t>
      </w:r>
      <w:r>
        <w:rPr>
          <w:rFonts w:hint="eastAsia" w:ascii="宋体" w:hAnsi="宋体"/>
          <w:bCs/>
        </w:rPr>
        <w:t>，据钻孔抽水试验资料，单井涌水量为</w:t>
      </w:r>
      <w:r>
        <w:rPr>
          <w:bCs/>
        </w:rPr>
        <w:t>118.31-428.25m</w:t>
      </w:r>
      <w:r>
        <w:rPr>
          <w:bCs/>
          <w:vertAlign w:val="superscript"/>
        </w:rPr>
        <w:t>3</w:t>
      </w:r>
      <w:r>
        <w:rPr>
          <w:bCs/>
        </w:rPr>
        <w:t>/d</w:t>
      </w:r>
      <w:r>
        <w:rPr>
          <w:rFonts w:hint="eastAsia" w:ascii="宋体" w:hAnsi="宋体"/>
          <w:bCs/>
        </w:rPr>
        <w:t>，地下水化学类型较复杂，为</w:t>
      </w:r>
      <w:r>
        <w:rPr>
          <w:bCs/>
        </w:rPr>
        <w:t>HCO</w:t>
      </w:r>
      <w:r>
        <w:rPr>
          <w:bCs/>
          <w:vertAlign w:val="subscript"/>
        </w:rPr>
        <w:t>3</w:t>
      </w:r>
      <w:r>
        <w:rPr>
          <w:bCs/>
        </w:rPr>
        <w:t>-Ca•Na</w:t>
      </w:r>
      <w:r>
        <w:rPr>
          <w:rFonts w:hint="eastAsia" w:ascii="宋体" w:hAnsi="宋体"/>
          <w:bCs/>
        </w:rPr>
        <w:t>型、</w:t>
      </w:r>
      <w:r>
        <w:rPr>
          <w:bCs/>
        </w:rPr>
        <w:t>HCO</w:t>
      </w:r>
      <w:r>
        <w:rPr>
          <w:bCs/>
          <w:vertAlign w:val="subscript"/>
        </w:rPr>
        <w:t>3</w:t>
      </w:r>
      <w:r>
        <w:rPr>
          <w:bCs/>
        </w:rPr>
        <w:t>-Na</w:t>
      </w:r>
      <w:r>
        <w:rPr>
          <w:rFonts w:hint="eastAsia" w:ascii="宋体" w:hAnsi="宋体"/>
          <w:bCs/>
        </w:rPr>
        <w:t>型或</w:t>
      </w:r>
      <w:r>
        <w:rPr>
          <w:bCs/>
        </w:rPr>
        <w:t>HCO</w:t>
      </w:r>
      <w:r>
        <w:rPr>
          <w:bCs/>
          <w:vertAlign w:val="subscript"/>
        </w:rPr>
        <w:t>3</w:t>
      </w:r>
      <w:r>
        <w:rPr>
          <w:bCs/>
        </w:rPr>
        <w:t>•SO</w:t>
      </w:r>
      <w:r>
        <w:rPr>
          <w:bCs/>
          <w:vertAlign w:val="subscript"/>
        </w:rPr>
        <w:t>4</w:t>
      </w:r>
      <w:r>
        <w:rPr>
          <w:bCs/>
          <w:vertAlign w:val="superscript"/>
        </w:rPr>
        <w:t>2-</w:t>
      </w:r>
      <w:r>
        <w:rPr>
          <w:bCs/>
        </w:rPr>
        <w:t xml:space="preserve">•Cl-Na•Mg </w:t>
      </w:r>
      <w:r>
        <w:rPr>
          <w:rFonts w:hint="eastAsia" w:ascii="宋体" w:hAnsi="宋体"/>
          <w:bCs/>
        </w:rPr>
        <w:t>型，溶解性总固体小于</w:t>
      </w:r>
      <w:r>
        <w:rPr>
          <w:bCs/>
        </w:rPr>
        <w:t>1.0g/L</w:t>
      </w:r>
      <w:r>
        <w:rPr>
          <w:rFonts w:hint="eastAsia" w:ascii="宋体" w:hAnsi="宋体"/>
          <w:bCs/>
        </w:rPr>
        <w:t>。</w:t>
      </w:r>
    </w:p>
    <w:p w14:paraId="1CDE5E06">
      <w:pPr>
        <w:ind w:firstLine="480"/>
        <w:rPr>
          <w:bCs/>
        </w:rPr>
      </w:pPr>
      <w:r>
        <w:rPr>
          <w:rFonts w:hint="eastAsia" w:ascii="宋体" w:hAnsi="宋体"/>
          <w:bCs/>
        </w:rPr>
        <w:t>（</w:t>
      </w:r>
      <w:r>
        <w:rPr>
          <w:rFonts w:hint="eastAsia"/>
          <w:bCs/>
        </w:rPr>
        <w:t>2</w:t>
      </w:r>
      <w:r>
        <w:rPr>
          <w:rFonts w:hint="eastAsia" w:ascii="宋体" w:hAnsi="宋体"/>
          <w:bCs/>
        </w:rPr>
        <w:t>）</w:t>
      </w:r>
      <w:r>
        <w:rPr>
          <w:rFonts w:ascii="宋体" w:hAnsi="宋体"/>
          <w:bCs/>
        </w:rPr>
        <w:t>基岩裂隙水</w:t>
      </w:r>
    </w:p>
    <w:p w14:paraId="19C9E054">
      <w:pPr>
        <w:ind w:firstLine="480"/>
        <w:rPr>
          <w:bCs/>
        </w:rPr>
      </w:pPr>
      <w:r>
        <w:rPr>
          <w:rFonts w:hint="eastAsia" w:ascii="宋体" w:hAnsi="宋体"/>
          <w:bCs/>
        </w:rPr>
        <w:t>主要分布于淮河以南临淮关东部一带，岩性为蚌埠期混合二长花岗岩，呈球状风化，风化层厚度小于</w:t>
      </w:r>
      <w:r>
        <w:rPr>
          <w:bCs/>
        </w:rPr>
        <w:t>10m</w:t>
      </w:r>
      <w:r>
        <w:rPr>
          <w:rFonts w:hint="eastAsia" w:ascii="宋体" w:hAnsi="宋体"/>
          <w:bCs/>
        </w:rPr>
        <w:t>，网格状节理裂隙发育，多被泥质充填，所处地貌部位属丘陵地带，地形较陡峭，不利于地下水储存与富集，单井涌水量小于</w:t>
      </w:r>
      <w:r>
        <w:rPr>
          <w:bCs/>
        </w:rPr>
        <w:t>100m</w:t>
      </w:r>
      <w:r>
        <w:rPr>
          <w:bCs/>
          <w:vertAlign w:val="superscript"/>
        </w:rPr>
        <w:t>3</w:t>
      </w:r>
      <w:r>
        <w:rPr>
          <w:bCs/>
        </w:rPr>
        <w:t>/d</w:t>
      </w:r>
      <w:r>
        <w:rPr>
          <w:rFonts w:hint="eastAsia" w:ascii="宋体" w:hAnsi="宋体"/>
          <w:bCs/>
        </w:rPr>
        <w:t>，径流模数为</w:t>
      </w:r>
      <w:r>
        <w:rPr>
          <w:bCs/>
        </w:rPr>
        <w:t>0.11l/s•km</w:t>
      </w:r>
      <w:r>
        <w:rPr>
          <w:bCs/>
          <w:vertAlign w:val="superscript"/>
        </w:rPr>
        <w:t>2</w:t>
      </w:r>
      <w:r>
        <w:rPr>
          <w:rFonts w:hint="eastAsia" w:ascii="宋体" w:hAnsi="宋体"/>
          <w:bCs/>
        </w:rPr>
        <w:t>。</w:t>
      </w:r>
    </w:p>
    <w:p w14:paraId="70AFA950">
      <w:pPr>
        <w:ind w:firstLine="480"/>
        <w:rPr>
          <w:bCs/>
        </w:rPr>
      </w:pPr>
      <w:r>
        <w:rPr>
          <w:rFonts w:hint="eastAsia" w:ascii="宋体" w:hAnsi="宋体"/>
          <w:bCs/>
        </w:rPr>
        <w:t>区域综合水文地质图见图</w:t>
      </w:r>
      <w:r>
        <w:rPr>
          <w:rFonts w:hint="eastAsia"/>
          <w:bCs/>
        </w:rPr>
        <w:t>5.5.3</w:t>
      </w:r>
      <w:r>
        <w:rPr>
          <w:bCs/>
        </w:rPr>
        <w:t>-1</w:t>
      </w:r>
      <w:r>
        <w:rPr>
          <w:rFonts w:hint="eastAsia" w:ascii="宋体" w:hAnsi="宋体"/>
          <w:bCs/>
        </w:rPr>
        <w:t>。</w:t>
      </w:r>
    </w:p>
    <w:p w14:paraId="1DFF681D">
      <w:pPr>
        <w:spacing w:line="300" w:lineRule="auto"/>
        <w:ind w:firstLine="480"/>
        <w:jc w:val="center"/>
        <w:rPr>
          <w:rFonts w:ascii="Calibri" w:hAnsi="Calibri" w:eastAsia="仿宋_GB2312"/>
          <w:b/>
          <w:bCs/>
          <w:kern w:val="0"/>
        </w:rPr>
      </w:pPr>
      <w:r>
        <w:drawing>
          <wp:inline distT="0" distB="0" distL="0" distR="0">
            <wp:extent cx="4292600" cy="3064510"/>
            <wp:effectExtent l="0" t="0" r="0" b="2540"/>
            <wp:docPr id="106" name="图片 106" descr="C:\Users\ADMINI~1\AppData\Local\Temp\ksohtml\wps4AFD.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C:\Users\ADMINI~1\AppData\Local\Temp\ksohtml\wps4AFD.tmp.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299485" cy="3069882"/>
                    </a:xfrm>
                    <a:prstGeom prst="rect">
                      <a:avLst/>
                    </a:prstGeom>
                    <a:noFill/>
                    <a:ln>
                      <a:noFill/>
                    </a:ln>
                  </pic:spPr>
                </pic:pic>
              </a:graphicData>
            </a:graphic>
          </wp:inline>
        </w:drawing>
      </w:r>
      <w:r>
        <w:rPr>
          <w:rFonts w:ascii="Calibri" w:hAnsi="Calibri" w:eastAsia="仿宋_GB2312"/>
          <w:b/>
          <w:bCs/>
          <w:kern w:val="0"/>
        </w:rPr>
        <w:t xml:space="preserve"> </w:t>
      </w:r>
    </w:p>
    <w:p w14:paraId="6A49D25C">
      <w:pPr>
        <w:spacing w:line="500" w:lineRule="exact"/>
        <w:ind w:firstLine="0" w:firstLineChars="0"/>
        <w:jc w:val="center"/>
        <w:rPr>
          <w:rFonts w:eastAsia="黑体"/>
        </w:rPr>
      </w:pPr>
      <w:r>
        <w:rPr>
          <w:rFonts w:ascii="黑体" w:hAnsi="黑体" w:eastAsia="黑体"/>
        </w:rPr>
        <w:t>图</w:t>
      </w:r>
      <w:r>
        <w:rPr>
          <w:rFonts w:eastAsia="黑体"/>
        </w:rPr>
        <w:t>5.</w:t>
      </w:r>
      <w:r>
        <w:rPr>
          <w:rFonts w:hint="eastAsia" w:eastAsia="黑体"/>
        </w:rPr>
        <w:t>5.3</w:t>
      </w:r>
      <w:r>
        <w:rPr>
          <w:rFonts w:eastAsia="黑体"/>
        </w:rPr>
        <w:t>-</w:t>
      </w:r>
      <w:r>
        <w:rPr>
          <w:rFonts w:hint="eastAsia" w:eastAsia="黑体"/>
        </w:rPr>
        <w:t xml:space="preserve">1  </w:t>
      </w:r>
      <w:r>
        <w:rPr>
          <w:rFonts w:ascii="黑体" w:hAnsi="黑体" w:eastAsia="黑体"/>
        </w:rPr>
        <w:t>区域综合水文地质图</w:t>
      </w:r>
    </w:p>
    <w:p w14:paraId="2D180B9C">
      <w:pPr>
        <w:widowControl/>
        <w:adjustRightInd/>
        <w:snapToGrid/>
        <w:ind w:firstLine="0" w:firstLineChars="0"/>
        <w:jc w:val="left"/>
        <w:sectPr>
          <w:pgSz w:w="11907" w:h="16840"/>
          <w:pgMar w:top="1440" w:right="1440" w:bottom="1440" w:left="1440" w:header="851" w:footer="992" w:gutter="0"/>
          <w:cols w:space="720" w:num="1"/>
          <w:docGrid w:type="lines" w:linePitch="326" w:charSpace="0"/>
        </w:sectPr>
      </w:pPr>
    </w:p>
    <w:p w14:paraId="0E8220A3">
      <w:pPr>
        <w:ind w:firstLine="480"/>
      </w:pPr>
      <w:r>
        <w:rPr>
          <w:rFonts w:hint="eastAsia"/>
        </w:rPr>
        <w:t>2</w:t>
      </w:r>
      <w:r>
        <w:rPr>
          <w:rFonts w:hint="eastAsia" w:ascii="宋体" w:hAnsi="宋体"/>
        </w:rPr>
        <w:t>、含水层分布</w:t>
      </w:r>
    </w:p>
    <w:p w14:paraId="312AD333">
      <w:pPr>
        <w:ind w:firstLine="480"/>
      </w:pPr>
      <w:r>
        <w:rPr>
          <w:rFonts w:hint="eastAsia" w:ascii="宋体" w:hAnsi="宋体"/>
        </w:rPr>
        <w:t>根据地下水的赋存条件、水力性质及地层岩性组合特征，评价区地下水类型可划分为松散层类孔隙水，按含水层的渗透性可进一步划分为一个弱透水层，一个含水层和两个隔水层，具体描述如下：</w:t>
      </w:r>
    </w:p>
    <w:p w14:paraId="52F51807">
      <w:pPr>
        <w:ind w:firstLine="480"/>
      </w:pPr>
      <w:r>
        <w:rPr>
          <w:rFonts w:hint="eastAsia" w:ascii="宋体" w:hAnsi="宋体"/>
        </w:rPr>
        <w:t>（</w:t>
      </w:r>
      <w:r>
        <w:rPr>
          <w:rFonts w:hint="eastAsia"/>
        </w:rPr>
        <w:t>1</w:t>
      </w:r>
      <w:r>
        <w:rPr>
          <w:rFonts w:hint="eastAsia" w:ascii="宋体" w:hAnsi="宋体"/>
        </w:rPr>
        <w:t>）第一弱透水层</w:t>
      </w:r>
    </w:p>
    <w:p w14:paraId="1FA7AFD8">
      <w:pPr>
        <w:ind w:firstLine="480"/>
      </w:pPr>
      <w:r>
        <w:rPr>
          <w:rFonts w:hint="eastAsia" w:ascii="宋体" w:hAnsi="宋体"/>
        </w:rPr>
        <w:t>该层主要由第四系上更新统粘土、粉质粘土、粘土夹砂和薄层粉细砂组成。底板埋深</w:t>
      </w:r>
      <w:r>
        <w:t>15-20.0m</w:t>
      </w:r>
      <w:r>
        <w:rPr>
          <w:rFonts w:hint="eastAsia" w:ascii="宋体" w:hAnsi="宋体"/>
        </w:rPr>
        <w:t>，调查枯水期（</w:t>
      </w:r>
      <w:r>
        <w:t>12</w:t>
      </w:r>
      <w:r>
        <w:rPr>
          <w:rFonts w:hint="eastAsia" w:ascii="宋体" w:hAnsi="宋体"/>
        </w:rPr>
        <w:t>月）水位埋深</w:t>
      </w:r>
      <w:r>
        <w:t>0.40</w:t>
      </w:r>
      <w:r>
        <w:rPr>
          <w:rFonts w:hint="eastAsia" w:ascii="宋体" w:hAnsi="宋体"/>
        </w:rPr>
        <w:t>～</w:t>
      </w:r>
      <w:r>
        <w:t>2.5m</w:t>
      </w:r>
      <w:r>
        <w:rPr>
          <w:rFonts w:hint="eastAsia" w:ascii="宋体" w:hAnsi="宋体"/>
        </w:rPr>
        <w:t>左右，地下水水位年变幅约</w:t>
      </w:r>
      <w:r>
        <w:t>1.00m</w:t>
      </w:r>
      <w:r>
        <w:rPr>
          <w:rFonts w:hint="eastAsia" w:ascii="宋体" w:hAnsi="宋体"/>
        </w:rPr>
        <w:t>，该含水层单井涌水量</w:t>
      </w:r>
      <w:r>
        <w:t>&lt;100m</w:t>
      </w:r>
      <w:r>
        <w:rPr>
          <w:vertAlign w:val="superscript"/>
        </w:rPr>
        <w:t>3</w:t>
      </w:r>
      <w:r>
        <w:rPr>
          <w:rFonts w:hint="eastAsia" w:ascii="宋体" w:hAnsi="宋体"/>
        </w:rPr>
        <w:t>，根据现场取样、室内测试结果，该层平均渗透系数为</w:t>
      </w:r>
      <w:r>
        <w:t>3.82×10</w:t>
      </w:r>
      <w:r>
        <w:rPr>
          <w:vertAlign w:val="superscript"/>
        </w:rPr>
        <w:t>-5</w:t>
      </w:r>
      <w:r>
        <w:t>cm/s</w:t>
      </w:r>
      <w:r>
        <w:rPr>
          <w:rFonts w:hint="eastAsia" w:ascii="宋体" w:hAnsi="宋体"/>
        </w:rPr>
        <w:t>，地下水水力特征为潜水。地下水化学类型为</w:t>
      </w:r>
      <w:r>
        <w:t>HCO</w:t>
      </w:r>
      <w:r>
        <w:rPr>
          <w:vertAlign w:val="subscript"/>
        </w:rPr>
        <w:t>3</w:t>
      </w:r>
      <w:r>
        <w:t xml:space="preserve">-Ca·Mg </w:t>
      </w:r>
      <w:r>
        <w:rPr>
          <w:rFonts w:hint="eastAsia" w:ascii="宋体" w:hAnsi="宋体"/>
        </w:rPr>
        <w:t>型或</w:t>
      </w:r>
      <w:r>
        <w:rPr>
          <w:rFonts w:hint="eastAsia"/>
        </w:rPr>
        <w:t xml:space="preserve"> </w:t>
      </w:r>
      <w:r>
        <w:t>HCO</w:t>
      </w:r>
      <w:r>
        <w:rPr>
          <w:vertAlign w:val="subscript"/>
        </w:rPr>
        <w:t>3</w:t>
      </w:r>
      <w:r>
        <w:t xml:space="preserve">-Ca• Na </w:t>
      </w:r>
      <w:r>
        <w:rPr>
          <w:rFonts w:hint="eastAsia" w:ascii="宋体" w:hAnsi="宋体"/>
        </w:rPr>
        <w:t>型水，溶解性总固体小于</w:t>
      </w:r>
      <w:r>
        <w:t>1.0g/l</w:t>
      </w:r>
      <w:r>
        <w:rPr>
          <w:rFonts w:hint="eastAsia" w:ascii="宋体" w:hAnsi="宋体"/>
        </w:rPr>
        <w:t>。</w:t>
      </w:r>
    </w:p>
    <w:p w14:paraId="7F11A923">
      <w:pPr>
        <w:ind w:firstLine="480"/>
      </w:pPr>
      <w:r>
        <w:rPr>
          <w:rFonts w:hint="eastAsia" w:ascii="宋体" w:hAnsi="宋体"/>
        </w:rPr>
        <w:t>（</w:t>
      </w:r>
      <w:r>
        <w:rPr>
          <w:rFonts w:hint="eastAsia"/>
        </w:rPr>
        <w:t>2</w:t>
      </w:r>
      <w:r>
        <w:rPr>
          <w:rFonts w:hint="eastAsia" w:ascii="宋体" w:hAnsi="宋体"/>
        </w:rPr>
        <w:t>）第一隔水层</w:t>
      </w:r>
    </w:p>
    <w:p w14:paraId="6392A258">
      <w:pPr>
        <w:ind w:firstLine="480"/>
      </w:pPr>
      <w:r>
        <w:rPr>
          <w:rFonts w:hint="eastAsia" w:ascii="宋体" w:hAnsi="宋体"/>
        </w:rPr>
        <w:t>该层主要由上更新统粘土组成，底板埋深在</w:t>
      </w:r>
      <w:r>
        <w:t>20.0</w:t>
      </w:r>
      <w:r>
        <w:rPr>
          <w:rFonts w:hint="eastAsia" w:ascii="宋体" w:hAnsi="宋体"/>
        </w:rPr>
        <w:t>～</w:t>
      </w:r>
      <w:r>
        <w:t>25.0m</w:t>
      </w:r>
      <w:r>
        <w:rPr>
          <w:rFonts w:hint="eastAsia" w:ascii="宋体" w:hAnsi="宋体"/>
        </w:rPr>
        <w:t>之间，厚度一般为</w:t>
      </w:r>
      <w:r>
        <w:t>2.0</w:t>
      </w:r>
      <w:r>
        <w:rPr>
          <w:rFonts w:hint="eastAsia" w:ascii="宋体" w:hAnsi="宋体"/>
        </w:rPr>
        <w:t>～</w:t>
      </w:r>
      <w:r>
        <w:t>5.0m</w:t>
      </w:r>
      <w:r>
        <w:rPr>
          <w:rFonts w:hint="eastAsia" w:ascii="宋体" w:hAnsi="宋体"/>
        </w:rPr>
        <w:t>，根据现场钻探取样、室内测试结果，该层平均渗透系数为</w:t>
      </w:r>
      <w:r>
        <w:t>7.42×10</w:t>
      </w:r>
      <w:r>
        <w:rPr>
          <w:vertAlign w:val="superscript"/>
        </w:rPr>
        <w:t>-6</w:t>
      </w:r>
      <w:r>
        <w:t>cm/s</w:t>
      </w:r>
      <w:r>
        <w:rPr>
          <w:rFonts w:hint="eastAsia" w:ascii="宋体" w:hAnsi="宋体"/>
        </w:rPr>
        <w:t>。</w:t>
      </w:r>
    </w:p>
    <w:p w14:paraId="0B6AE2EA">
      <w:pPr>
        <w:ind w:firstLine="480"/>
      </w:pPr>
      <w:r>
        <w:rPr>
          <w:rFonts w:hint="eastAsia" w:ascii="宋体" w:hAnsi="宋体"/>
        </w:rPr>
        <w:t>（</w:t>
      </w:r>
      <w:r>
        <w:rPr>
          <w:rFonts w:hint="eastAsia"/>
        </w:rPr>
        <w:t>3</w:t>
      </w:r>
      <w:r>
        <w:rPr>
          <w:rFonts w:hint="eastAsia" w:ascii="宋体" w:hAnsi="宋体"/>
        </w:rPr>
        <w:t>）第一含水层</w:t>
      </w:r>
    </w:p>
    <w:p w14:paraId="1E8FCF6D">
      <w:pPr>
        <w:ind w:firstLine="480"/>
      </w:pPr>
      <w:r>
        <w:rPr>
          <w:rFonts w:hint="eastAsia" w:ascii="宋体" w:hAnsi="宋体"/>
        </w:rPr>
        <w:t>该层主要由上更新统粉细砂</w:t>
      </w:r>
      <w:r>
        <w:t>-</w:t>
      </w:r>
      <w:r>
        <w:rPr>
          <w:rFonts w:hint="eastAsia" w:ascii="宋体" w:hAnsi="宋体"/>
        </w:rPr>
        <w:t>中砂、粘土夹砂组成，底板埋深</w:t>
      </w:r>
      <w:r>
        <w:t>&lt;35m</w:t>
      </w:r>
      <w:r>
        <w:rPr>
          <w:rFonts w:hint="eastAsia" w:ascii="宋体" w:hAnsi="宋体"/>
        </w:rPr>
        <w:t>，层厚</w:t>
      </w:r>
      <w:r>
        <w:t>7.5</w:t>
      </w:r>
      <w:r>
        <w:rPr>
          <w:rFonts w:hint="eastAsia" w:ascii="宋体" w:hAnsi="宋体"/>
        </w:rPr>
        <w:t>～</w:t>
      </w:r>
      <w:r>
        <w:t>10.0m</w:t>
      </w:r>
      <w:r>
        <w:rPr>
          <w:rFonts w:hint="eastAsia" w:ascii="宋体" w:hAnsi="宋体"/>
        </w:rPr>
        <w:t>，调查枯水期水位埋深一般</w:t>
      </w:r>
      <w:r>
        <w:t>0.4</w:t>
      </w:r>
      <w:r>
        <w:rPr>
          <w:rFonts w:hint="eastAsia" w:ascii="宋体" w:hAnsi="宋体"/>
        </w:rPr>
        <w:t>～</w:t>
      </w:r>
      <w:r>
        <w:t>3.0m</w:t>
      </w:r>
      <w:r>
        <w:rPr>
          <w:rFonts w:hint="eastAsia" w:ascii="宋体" w:hAnsi="宋体"/>
        </w:rPr>
        <w:t>，丰水期水位埋深</w:t>
      </w:r>
      <w:r>
        <w:t>0.33</w:t>
      </w:r>
      <w:r>
        <w:rPr>
          <w:rFonts w:hint="eastAsia" w:ascii="宋体" w:hAnsi="宋体"/>
        </w:rPr>
        <w:t>～</w:t>
      </w:r>
      <w:r>
        <w:t>2.5m</w:t>
      </w:r>
      <w:r>
        <w:rPr>
          <w:rFonts w:hint="eastAsia" w:ascii="宋体" w:hAnsi="宋体"/>
        </w:rPr>
        <w:t>；根据现场抽水试验，单井涌水量为</w:t>
      </w:r>
      <w:r>
        <w:t>505m</w:t>
      </w:r>
      <w:r>
        <w:rPr>
          <w:vertAlign w:val="superscript"/>
        </w:rPr>
        <w:t>3</w:t>
      </w:r>
      <w:r>
        <w:t>/d</w:t>
      </w:r>
      <w:r>
        <w:rPr>
          <w:rFonts w:hint="eastAsia" w:ascii="宋体" w:hAnsi="宋体"/>
        </w:rPr>
        <w:t>，平均渗透系数为</w:t>
      </w:r>
      <w:r>
        <w:t>2.23×10</w:t>
      </w:r>
      <w:r>
        <w:rPr>
          <w:vertAlign w:val="superscript"/>
        </w:rPr>
        <w:t>-3</w:t>
      </w:r>
      <w:r>
        <w:t>cm/s</w:t>
      </w:r>
      <w:r>
        <w:rPr>
          <w:rFonts w:hint="eastAsia" w:ascii="宋体" w:hAnsi="宋体"/>
        </w:rPr>
        <w:t>，地下水水力特征为承压水，地下水化学类型以</w:t>
      </w:r>
      <w:r>
        <w:t>HCO</w:t>
      </w:r>
      <w:r>
        <w:rPr>
          <w:vertAlign w:val="subscript"/>
        </w:rPr>
        <w:t>3</w:t>
      </w:r>
      <w:r>
        <w:t>-Ca</w:t>
      </w:r>
      <w:r>
        <w:rPr>
          <w:rFonts w:hint="eastAsia" w:ascii="宋体" w:hAnsi="宋体"/>
        </w:rPr>
        <w:t>型为主，溶解性总固体一般小于</w:t>
      </w:r>
      <w:r>
        <w:t>1.0g/l</w:t>
      </w:r>
      <w:r>
        <w:rPr>
          <w:rFonts w:hint="eastAsia" w:ascii="宋体" w:hAnsi="宋体"/>
        </w:rPr>
        <w:t>。</w:t>
      </w:r>
    </w:p>
    <w:p w14:paraId="0E1546B7">
      <w:pPr>
        <w:ind w:firstLine="480"/>
      </w:pPr>
      <w:r>
        <w:rPr>
          <w:rFonts w:hint="eastAsia" w:ascii="宋体" w:hAnsi="宋体"/>
        </w:rPr>
        <w:t>（</w:t>
      </w:r>
      <w:r>
        <w:rPr>
          <w:rFonts w:hint="eastAsia"/>
        </w:rPr>
        <w:t>4</w:t>
      </w:r>
      <w:r>
        <w:rPr>
          <w:rFonts w:hint="eastAsia" w:ascii="宋体" w:hAnsi="宋体"/>
        </w:rPr>
        <w:t>）第二隔水层</w:t>
      </w:r>
    </w:p>
    <w:p w14:paraId="6146A435">
      <w:pPr>
        <w:ind w:firstLine="480"/>
      </w:pPr>
      <w:r>
        <w:rPr>
          <w:rFonts w:hint="eastAsia" w:ascii="宋体" w:hAnsi="宋体"/>
        </w:rPr>
        <w:t>该层主要由中更新统粘土层组成，厚度一般大于</w:t>
      </w:r>
      <w:r>
        <w:t>10m</w:t>
      </w:r>
      <w:r>
        <w:rPr>
          <w:rFonts w:hint="eastAsia" w:ascii="宋体" w:hAnsi="宋体"/>
        </w:rPr>
        <w:t>，根据现场钻探取样、室内测试结果，该层平均渗透系数为</w:t>
      </w:r>
      <w:r>
        <w:t>5.80×10</w:t>
      </w:r>
      <w:r>
        <w:rPr>
          <w:vertAlign w:val="superscript"/>
        </w:rPr>
        <w:t xml:space="preserve">-7 </w:t>
      </w:r>
      <w:r>
        <w:t>cm/s</w:t>
      </w:r>
      <w:r>
        <w:rPr>
          <w:rFonts w:hint="eastAsia" w:ascii="宋体" w:hAnsi="宋体"/>
        </w:rPr>
        <w:t>。</w:t>
      </w:r>
    </w:p>
    <w:p w14:paraId="6E167B43">
      <w:pPr>
        <w:pStyle w:val="349"/>
      </w:pPr>
      <w:r>
        <w:rPr>
          <w:rFonts w:hint="eastAsia"/>
        </w:rPr>
        <w:t>5</w:t>
      </w:r>
      <w:r>
        <w:t>.5.3.2</w:t>
      </w:r>
      <w:r>
        <w:rPr>
          <w:rFonts w:hint="eastAsia"/>
        </w:rPr>
        <w:t>各含水层之间的水力联系</w:t>
      </w:r>
    </w:p>
    <w:p w14:paraId="6F83BCC3">
      <w:pPr>
        <w:ind w:firstLine="480"/>
      </w:pPr>
      <w:r>
        <w:t>1</w:t>
      </w:r>
      <w:r>
        <w:rPr>
          <w:rFonts w:hint="eastAsia" w:ascii="宋体" w:hAnsi="宋体"/>
        </w:rPr>
        <w:t>、第一弱透水层与地表水体</w:t>
      </w:r>
    </w:p>
    <w:p w14:paraId="2BED75C2">
      <w:pPr>
        <w:ind w:firstLine="480"/>
      </w:pPr>
      <w:r>
        <w:rPr>
          <w:rFonts w:hint="eastAsia" w:ascii="宋体" w:hAnsi="宋体"/>
        </w:rPr>
        <w:t>该弱透水层直接与地表水体接触，该层岩性为第四系上更新统粘土、粉细砂和粉土夹砂，具有弱透水性，使得第一弱透水层与上部地表水有一定的水力联系，根据监测，一般情况下，地下水补给地表水体，但在汛期洪峰时，出现地表水补给地下水。</w:t>
      </w:r>
    </w:p>
    <w:p w14:paraId="4FCB6320">
      <w:pPr>
        <w:ind w:firstLine="480"/>
      </w:pPr>
      <w:r>
        <w:t>2</w:t>
      </w:r>
      <w:r>
        <w:rPr>
          <w:rFonts w:hint="eastAsia" w:ascii="宋体" w:hAnsi="宋体"/>
        </w:rPr>
        <w:t>、第一含水层与地表水体和第一弱透水层</w:t>
      </w:r>
    </w:p>
    <w:p w14:paraId="48A69FB0">
      <w:pPr>
        <w:ind w:firstLine="480"/>
        <w:rPr>
          <w:b/>
        </w:rPr>
      </w:pPr>
      <w:r>
        <w:rPr>
          <w:rFonts w:hint="eastAsia" w:ascii="宋体" w:hAnsi="宋体"/>
        </w:rPr>
        <w:t>该含水层上部有第一隔水层存在，岩性为为上更新统的粘土，分布稳定，并且未发育</w:t>
      </w:r>
      <w:r>
        <w:t>“</w:t>
      </w:r>
      <w:r>
        <w:rPr>
          <w:rFonts w:hint="eastAsia" w:ascii="宋体" w:hAnsi="宋体"/>
        </w:rPr>
        <w:t>天窗</w:t>
      </w:r>
      <w:r>
        <w:t>”</w:t>
      </w:r>
      <w:r>
        <w:rPr>
          <w:rFonts w:hint="eastAsia" w:ascii="宋体" w:hAnsi="宋体"/>
        </w:rPr>
        <w:t>，有一定的隔水性能，使得第一含水层与第一弱透水层无水力联系，且区内河流和水塘均未切至第一含水层，使得第一含水层与上部地表水体无水力联系。</w:t>
      </w:r>
    </w:p>
    <w:p w14:paraId="3B48ED58">
      <w:pPr>
        <w:pStyle w:val="349"/>
      </w:pPr>
      <w:r>
        <w:rPr>
          <w:rFonts w:hint="eastAsia"/>
        </w:rPr>
        <w:t>5</w:t>
      </w:r>
      <w:r>
        <w:t>.5.3.3</w:t>
      </w:r>
      <w:r>
        <w:rPr>
          <w:rFonts w:hint="eastAsia"/>
        </w:rPr>
        <w:t>地下水补给、径流、排泄</w:t>
      </w:r>
    </w:p>
    <w:p w14:paraId="77C60A9A">
      <w:pPr>
        <w:ind w:firstLine="480"/>
        <w:rPr>
          <w:b/>
        </w:rPr>
      </w:pPr>
      <w:r>
        <w:t>1</w:t>
      </w:r>
      <w:r>
        <w:rPr>
          <w:rFonts w:hint="eastAsia" w:ascii="宋体" w:hAnsi="宋体"/>
        </w:rPr>
        <w:t>、松散岩类孔隙水</w:t>
      </w:r>
    </w:p>
    <w:p w14:paraId="0391BAA6">
      <w:pPr>
        <w:ind w:firstLine="480"/>
        <w:rPr>
          <w:b/>
        </w:rPr>
      </w:pPr>
      <w:r>
        <w:rPr>
          <w:rFonts w:hint="eastAsia" w:ascii="宋体" w:hAnsi="宋体"/>
        </w:rPr>
        <w:t>浅层松散岩类孔隙水主要补给来源主要为大气降水，其次为灌溉回归及地表水入渗；地下水总体流向为由西北向东南，浅层地下水水力坡度小，地下径流滞缓，主要排泄方式为蒸发，其次为零星的人工开采和局部河段的常年排泄。</w:t>
      </w:r>
    </w:p>
    <w:p w14:paraId="08B219CC">
      <w:pPr>
        <w:ind w:firstLine="480"/>
        <w:rPr>
          <w:b/>
        </w:rPr>
      </w:pPr>
      <w:r>
        <w:rPr>
          <w:rFonts w:hint="eastAsia" w:ascii="宋体" w:hAnsi="宋体"/>
        </w:rPr>
        <w:t>深层松散岩类孔隙水以水平侧向径流补给为主，次为垂向补给，补给量的大小取决于从补给区到排泄区的水头差和含水层的透水性能，地下水总体流向为由西北向东南，地下径流滞缓，主要排泄方式为蒸发，其次为人工开采。</w:t>
      </w:r>
    </w:p>
    <w:p w14:paraId="33945005">
      <w:pPr>
        <w:ind w:firstLine="480"/>
        <w:rPr>
          <w:b/>
        </w:rPr>
      </w:pPr>
      <w:r>
        <w:t>2</w:t>
      </w:r>
      <w:r>
        <w:rPr>
          <w:rFonts w:hint="eastAsia" w:ascii="宋体" w:hAnsi="宋体"/>
        </w:rPr>
        <w:t>、基岩裂隙水</w:t>
      </w:r>
    </w:p>
    <w:p w14:paraId="5BCEB066">
      <w:pPr>
        <w:ind w:firstLine="480"/>
        <w:rPr>
          <w:b/>
        </w:rPr>
      </w:pPr>
      <w:r>
        <w:rPr>
          <w:rFonts w:hint="eastAsia" w:ascii="宋体" w:hAnsi="宋体"/>
        </w:rPr>
        <w:t>在岩石裸露区主要补给来源为大气降水；地下水的径流受地貌条件的控制，其水力坡度与所处地形的坡度和坡向基本一致，同时也受岩石的裂隙的发育程度，充填情况及相互连通性的影响；其主要的排泄方式为蒸发、侧向径流。</w:t>
      </w:r>
    </w:p>
    <w:p w14:paraId="23521811">
      <w:pPr>
        <w:pStyle w:val="349"/>
      </w:pPr>
      <w:r>
        <w:rPr>
          <w:rFonts w:hint="eastAsia"/>
        </w:rPr>
        <w:t>5</w:t>
      </w:r>
      <w:r>
        <w:t>.5.3.4</w:t>
      </w:r>
      <w:r>
        <w:rPr>
          <w:rFonts w:hint="eastAsia"/>
        </w:rPr>
        <w:t>区域地下水与地表水之间水力联系</w:t>
      </w:r>
    </w:p>
    <w:p w14:paraId="1F7203F1">
      <w:pPr>
        <w:ind w:firstLine="480"/>
        <w:rPr>
          <w:b/>
        </w:rPr>
      </w:pPr>
      <w:r>
        <w:t>1</w:t>
      </w:r>
      <w:r>
        <w:rPr>
          <w:rFonts w:hint="eastAsia" w:ascii="宋体" w:hAnsi="宋体"/>
        </w:rPr>
        <w:t>、浅层松散层类孔隙水与地表水体</w:t>
      </w:r>
    </w:p>
    <w:p w14:paraId="740DFE21">
      <w:pPr>
        <w:ind w:firstLine="480"/>
        <w:rPr>
          <w:b/>
        </w:rPr>
      </w:pPr>
      <w:r>
        <w:rPr>
          <w:rFonts w:hint="eastAsia" w:ascii="宋体" w:hAnsi="宋体"/>
        </w:rPr>
        <w:t>浅层松散层类孔隙水与地表水体直接接触，地下水主要赋存在第四系粉细砂</w:t>
      </w:r>
      <w:r>
        <w:t>-</w:t>
      </w:r>
      <w:r>
        <w:rPr>
          <w:rFonts w:hint="eastAsia" w:ascii="宋体" w:hAnsi="宋体"/>
        </w:rPr>
        <w:t>中砂，具有透水性，使得松散层类孔隙水与上部地表水有一定的水力联系，根据监测，一般情况下，地下水补给地表水体，但在汛期洪峰时，出现地表水补给地下水。</w:t>
      </w:r>
    </w:p>
    <w:p w14:paraId="57DB2010">
      <w:pPr>
        <w:ind w:firstLine="480"/>
        <w:rPr>
          <w:b/>
        </w:rPr>
      </w:pPr>
      <w:r>
        <w:t>2</w:t>
      </w:r>
      <w:r>
        <w:rPr>
          <w:rFonts w:hint="eastAsia" w:ascii="宋体" w:hAnsi="宋体"/>
        </w:rPr>
        <w:t>、深层松散层类孔隙水与地表水体</w:t>
      </w:r>
    </w:p>
    <w:p w14:paraId="0C69EB32">
      <w:pPr>
        <w:ind w:firstLine="480"/>
        <w:rPr>
          <w:b/>
        </w:rPr>
      </w:pPr>
      <w:r>
        <w:rPr>
          <w:rFonts w:hint="eastAsia" w:ascii="宋体" w:hAnsi="宋体"/>
        </w:rPr>
        <w:t>深层松散层类孔隙水上覆浅层松散层类孔隙水，浅层松散层类孔隙水岩性主要为第四系粘土、粉土夹砂和粉细砂，具有透水性，使得深层松散层类孔隙水与上部地表水有一定的水力联系，但联系不密切。</w:t>
      </w:r>
    </w:p>
    <w:p w14:paraId="5670876C">
      <w:pPr>
        <w:ind w:firstLine="480"/>
        <w:rPr>
          <w:b/>
        </w:rPr>
      </w:pPr>
      <w:r>
        <w:t>3</w:t>
      </w:r>
      <w:r>
        <w:rPr>
          <w:rFonts w:hint="eastAsia" w:ascii="宋体" w:hAnsi="宋体"/>
        </w:rPr>
        <w:t>、基岩裂隙水与地表水体</w:t>
      </w:r>
    </w:p>
    <w:p w14:paraId="36082528">
      <w:pPr>
        <w:ind w:firstLine="480"/>
        <w:rPr>
          <w:b/>
        </w:rPr>
      </w:pPr>
      <w:r>
        <w:rPr>
          <w:rFonts w:hint="eastAsia" w:ascii="宋体" w:hAnsi="宋体"/>
        </w:rPr>
        <w:t>在岩石裸露区，基岩裂隙水与地表水体直接接触，地下水主要赋存在蚌埠期混合二长花岗岩的节理裂隙中，具有弱透水性，使得基岩裂隙水与上部地表水有一定的水力联系。</w:t>
      </w:r>
    </w:p>
    <w:p w14:paraId="3BE289CD">
      <w:pPr>
        <w:pStyle w:val="349"/>
      </w:pPr>
      <w:r>
        <w:rPr>
          <w:rFonts w:hint="eastAsia"/>
        </w:rPr>
        <w:t>5.5.3.</w:t>
      </w:r>
      <w:r>
        <w:t>5</w:t>
      </w:r>
      <w:r>
        <w:rPr>
          <w:rFonts w:hint="eastAsia"/>
        </w:rPr>
        <w:t>地下水</w:t>
      </w:r>
      <w:r>
        <w:t>开发利用现状</w:t>
      </w:r>
    </w:p>
    <w:p w14:paraId="7CCD592E">
      <w:pPr>
        <w:ind w:firstLine="480"/>
      </w:pPr>
      <w:r>
        <w:rPr>
          <w:rFonts w:hint="eastAsia" w:ascii="宋体" w:hAnsi="宋体"/>
        </w:rPr>
        <w:t>根据《</w:t>
      </w:r>
      <w:r>
        <w:t>2019</w:t>
      </w:r>
      <w:r>
        <w:rPr>
          <w:rFonts w:hint="eastAsia" w:ascii="宋体" w:hAnsi="宋体"/>
        </w:rPr>
        <w:t>年蚌埠市水资源公报》，本项目位于蚌</w:t>
      </w:r>
      <w:r>
        <w:rPr>
          <w:rFonts w:ascii="宋体" w:hAnsi="宋体"/>
        </w:rPr>
        <w:t>洪区间北岸</w:t>
      </w:r>
      <w:r>
        <w:rPr>
          <w:rFonts w:hint="eastAsia" w:ascii="宋体" w:hAnsi="宋体"/>
        </w:rPr>
        <w:t>，其总</w:t>
      </w:r>
      <w:r>
        <w:rPr>
          <w:rFonts w:ascii="宋体" w:hAnsi="宋体"/>
        </w:rPr>
        <w:t>供水量为</w:t>
      </w:r>
      <w:r>
        <w:rPr>
          <w:rFonts w:hint="eastAsia"/>
        </w:rPr>
        <w:t>8.40</w:t>
      </w:r>
      <w:r>
        <w:rPr>
          <w:rFonts w:hint="eastAsia" w:ascii="宋体" w:hAnsi="宋体"/>
        </w:rPr>
        <w:t>亿</w:t>
      </w:r>
      <w:r>
        <w:rPr>
          <w:rFonts w:hint="eastAsia"/>
        </w:rPr>
        <w:t>m</w:t>
      </w:r>
      <w:r>
        <w:rPr>
          <w:rFonts w:hint="eastAsia"/>
          <w:vertAlign w:val="superscript"/>
        </w:rPr>
        <w:t>3</w:t>
      </w:r>
      <w:r>
        <w:rPr>
          <w:rFonts w:hint="eastAsia" w:ascii="宋体" w:hAnsi="宋体"/>
        </w:rPr>
        <w:t>（其中</w:t>
      </w:r>
      <w:r>
        <w:rPr>
          <w:rFonts w:ascii="宋体" w:hAnsi="宋体"/>
        </w:rPr>
        <w:t>地表水源供水量</w:t>
      </w:r>
      <w:r>
        <w:t>6.89</w:t>
      </w:r>
      <w:r>
        <w:rPr>
          <w:rFonts w:hint="eastAsia" w:ascii="宋体" w:hAnsi="宋体"/>
        </w:rPr>
        <w:t>亿</w:t>
      </w:r>
      <w:r>
        <w:rPr>
          <w:rFonts w:hint="eastAsia"/>
        </w:rPr>
        <w:t>m</w:t>
      </w:r>
      <w:r>
        <w:rPr>
          <w:rFonts w:hint="eastAsia"/>
          <w:vertAlign w:val="superscript"/>
        </w:rPr>
        <w:t>3</w:t>
      </w:r>
      <w:r>
        <w:rPr>
          <w:rFonts w:ascii="宋体" w:hAnsi="宋体"/>
        </w:rPr>
        <w:t>、地下水源供水量为</w:t>
      </w:r>
      <w:r>
        <w:rPr>
          <w:rFonts w:hint="eastAsia"/>
        </w:rPr>
        <w:t>1.49</w:t>
      </w:r>
      <w:r>
        <w:rPr>
          <w:rFonts w:hint="eastAsia" w:ascii="宋体" w:hAnsi="宋体"/>
        </w:rPr>
        <w:t>亿</w:t>
      </w:r>
      <w:r>
        <w:rPr>
          <w:rFonts w:hint="eastAsia"/>
        </w:rPr>
        <w:t>m</w:t>
      </w:r>
      <w:r>
        <w:rPr>
          <w:rFonts w:hint="eastAsia"/>
          <w:vertAlign w:val="superscript"/>
        </w:rPr>
        <w:t>3</w:t>
      </w:r>
      <w:r>
        <w:rPr>
          <w:rFonts w:hint="eastAsia" w:ascii="宋体" w:hAnsi="宋体"/>
        </w:rPr>
        <w:t>、其他</w:t>
      </w:r>
      <w:r>
        <w:rPr>
          <w:rFonts w:ascii="宋体" w:hAnsi="宋体"/>
        </w:rPr>
        <w:t>水源供水量为</w:t>
      </w:r>
      <w:r>
        <w:t>0.01</w:t>
      </w:r>
      <w:r>
        <w:rPr>
          <w:rFonts w:hint="eastAsia" w:ascii="宋体" w:hAnsi="宋体"/>
        </w:rPr>
        <w:t>亿</w:t>
      </w:r>
      <w:r>
        <w:rPr>
          <w:rFonts w:hint="eastAsia"/>
        </w:rPr>
        <w:t>m</w:t>
      </w:r>
      <w:r>
        <w:rPr>
          <w:rFonts w:hint="eastAsia"/>
          <w:vertAlign w:val="superscript"/>
        </w:rPr>
        <w:t>3</w:t>
      </w:r>
      <w:r>
        <w:rPr>
          <w:rFonts w:hint="eastAsia" w:ascii="宋体" w:hAnsi="宋体"/>
        </w:rPr>
        <w:t>），总耗水量</w:t>
      </w:r>
      <w:r>
        <w:rPr>
          <w:rFonts w:ascii="宋体" w:hAnsi="宋体"/>
        </w:rPr>
        <w:t>为</w:t>
      </w:r>
      <w:r>
        <w:t>5.57</w:t>
      </w:r>
      <w:r>
        <w:rPr>
          <w:rFonts w:hint="eastAsia" w:ascii="宋体" w:hAnsi="宋体"/>
        </w:rPr>
        <w:t>亿</w:t>
      </w:r>
      <w:r>
        <w:rPr>
          <w:rFonts w:hint="eastAsia"/>
        </w:rPr>
        <w:t>m</w:t>
      </w:r>
      <w:r>
        <w:rPr>
          <w:rFonts w:hint="eastAsia"/>
          <w:vertAlign w:val="superscript"/>
        </w:rPr>
        <w:t>3</w:t>
      </w:r>
      <w:r>
        <w:rPr>
          <w:rFonts w:hint="eastAsia" w:ascii="宋体" w:hAnsi="宋体"/>
        </w:rPr>
        <w:t>（其中农田灌溉</w:t>
      </w:r>
      <w:r>
        <w:t>3.82</w:t>
      </w:r>
      <w:r>
        <w:rPr>
          <w:rFonts w:hint="eastAsia" w:ascii="宋体" w:hAnsi="宋体"/>
        </w:rPr>
        <w:t>亿</w:t>
      </w:r>
      <w:r>
        <w:rPr>
          <w:rFonts w:hint="eastAsia"/>
        </w:rPr>
        <w:t>m</w:t>
      </w:r>
      <w:r>
        <w:rPr>
          <w:rFonts w:hint="eastAsia"/>
          <w:vertAlign w:val="superscript"/>
        </w:rPr>
        <w:t>3</w:t>
      </w:r>
      <w:r>
        <w:rPr>
          <w:rFonts w:ascii="宋体" w:hAnsi="宋体"/>
        </w:rPr>
        <w:t>、</w:t>
      </w:r>
      <w:r>
        <w:rPr>
          <w:rFonts w:hint="eastAsia" w:ascii="宋体" w:hAnsi="宋体"/>
        </w:rPr>
        <w:t>林牧</w:t>
      </w:r>
      <w:r>
        <w:rPr>
          <w:rFonts w:ascii="宋体" w:hAnsi="宋体"/>
        </w:rPr>
        <w:t>渔</w:t>
      </w:r>
      <w:r>
        <w:rPr>
          <w:rFonts w:hint="eastAsia" w:ascii="宋体" w:hAnsi="宋体"/>
        </w:rPr>
        <w:t>畜</w:t>
      </w:r>
      <w:r>
        <w:t>0.74</w:t>
      </w:r>
      <w:r>
        <w:rPr>
          <w:rFonts w:hint="eastAsia" w:ascii="宋体" w:hAnsi="宋体"/>
        </w:rPr>
        <w:t>亿</w:t>
      </w:r>
      <w:r>
        <w:rPr>
          <w:rFonts w:hint="eastAsia"/>
        </w:rPr>
        <w:t>m</w:t>
      </w:r>
      <w:r>
        <w:rPr>
          <w:rFonts w:hint="eastAsia"/>
          <w:vertAlign w:val="superscript"/>
        </w:rPr>
        <w:t>3</w:t>
      </w:r>
      <w:r>
        <w:rPr>
          <w:rFonts w:hint="eastAsia" w:ascii="宋体" w:hAnsi="宋体"/>
        </w:rPr>
        <w:t>、工业</w:t>
      </w:r>
      <w:r>
        <w:t>0.54</w:t>
      </w:r>
      <w:r>
        <w:rPr>
          <w:rFonts w:hint="eastAsia" w:ascii="宋体" w:hAnsi="宋体"/>
        </w:rPr>
        <w:t>亿</w:t>
      </w:r>
      <w:r>
        <w:rPr>
          <w:rFonts w:hint="eastAsia"/>
        </w:rPr>
        <w:t>m</w:t>
      </w:r>
      <w:r>
        <w:rPr>
          <w:rFonts w:hint="eastAsia"/>
          <w:vertAlign w:val="superscript"/>
        </w:rPr>
        <w:t>3</w:t>
      </w:r>
      <w:r>
        <w:rPr>
          <w:rFonts w:hint="eastAsia" w:ascii="宋体" w:hAnsi="宋体"/>
        </w:rPr>
        <w:t>、城镇公用</w:t>
      </w:r>
      <w:r>
        <w:t>0.05</w:t>
      </w:r>
      <w:r>
        <w:rPr>
          <w:rFonts w:hint="eastAsia" w:ascii="宋体" w:hAnsi="宋体"/>
        </w:rPr>
        <w:t>亿</w:t>
      </w:r>
      <w:r>
        <w:rPr>
          <w:rFonts w:hint="eastAsia"/>
        </w:rPr>
        <w:t>m</w:t>
      </w:r>
      <w:r>
        <w:rPr>
          <w:rFonts w:hint="eastAsia"/>
          <w:vertAlign w:val="superscript"/>
        </w:rPr>
        <w:t>3</w:t>
      </w:r>
      <w:r>
        <w:rPr>
          <w:rFonts w:hint="eastAsia" w:ascii="宋体" w:hAnsi="宋体"/>
        </w:rPr>
        <w:t>、居民生活</w:t>
      </w:r>
      <w:r>
        <w:t>0.34</w:t>
      </w:r>
      <w:r>
        <w:rPr>
          <w:rFonts w:hint="eastAsia" w:ascii="宋体" w:hAnsi="宋体"/>
        </w:rPr>
        <w:t>亿</w:t>
      </w:r>
      <w:r>
        <w:rPr>
          <w:rFonts w:hint="eastAsia"/>
        </w:rPr>
        <w:t>m</w:t>
      </w:r>
      <w:r>
        <w:rPr>
          <w:rFonts w:hint="eastAsia"/>
          <w:vertAlign w:val="superscript"/>
        </w:rPr>
        <w:t>3</w:t>
      </w:r>
      <w:r>
        <w:rPr>
          <w:rFonts w:hint="eastAsia" w:ascii="宋体" w:hAnsi="宋体"/>
        </w:rPr>
        <w:t>、生态环境</w:t>
      </w:r>
      <w:r>
        <w:t>0.08</w:t>
      </w:r>
      <w:r>
        <w:rPr>
          <w:rFonts w:hint="eastAsia" w:ascii="宋体" w:hAnsi="宋体"/>
        </w:rPr>
        <w:t>亿</w:t>
      </w:r>
      <w:r>
        <w:rPr>
          <w:rFonts w:hint="eastAsia"/>
        </w:rPr>
        <w:t>m</w:t>
      </w:r>
      <w:r>
        <w:rPr>
          <w:rFonts w:hint="eastAsia"/>
          <w:vertAlign w:val="superscript"/>
        </w:rPr>
        <w:t>3</w:t>
      </w:r>
      <w:r>
        <w:rPr>
          <w:rFonts w:hint="eastAsia" w:ascii="宋体" w:hAnsi="宋体"/>
        </w:rPr>
        <w:t>）。</w:t>
      </w:r>
    </w:p>
    <w:p w14:paraId="3BCD252E">
      <w:pPr>
        <w:ind w:firstLine="480"/>
      </w:pPr>
      <w:r>
        <w:rPr>
          <w:rFonts w:hint="eastAsia" w:ascii="宋体" w:hAnsi="宋体"/>
        </w:rPr>
        <w:t>通过</w:t>
      </w:r>
      <w:r>
        <w:rPr>
          <w:rFonts w:ascii="宋体" w:hAnsi="宋体"/>
        </w:rPr>
        <w:t>现场调查和访问，</w:t>
      </w:r>
      <w:r>
        <w:rPr>
          <w:rFonts w:hint="eastAsia" w:ascii="宋体" w:hAnsi="宋体"/>
        </w:rPr>
        <w:t>评价范围</w:t>
      </w:r>
      <w:r>
        <w:rPr>
          <w:rFonts w:ascii="宋体" w:hAnsi="宋体"/>
        </w:rPr>
        <w:t>内的各企事业单位与周边</w:t>
      </w:r>
      <w:r>
        <w:rPr>
          <w:rFonts w:hint="eastAsia" w:ascii="宋体" w:hAnsi="宋体"/>
        </w:rPr>
        <w:t>居民</w:t>
      </w:r>
      <w:r>
        <w:rPr>
          <w:rFonts w:ascii="宋体" w:hAnsi="宋体"/>
        </w:rPr>
        <w:t>的生产、生活用水均来</w:t>
      </w:r>
      <w:r>
        <w:rPr>
          <w:rFonts w:hint="eastAsia" w:ascii="宋体" w:hAnsi="宋体"/>
        </w:rPr>
        <w:t>自地表水体</w:t>
      </w:r>
      <w:r>
        <w:rPr>
          <w:rFonts w:ascii="宋体" w:hAnsi="宋体"/>
        </w:rPr>
        <w:t>，区域</w:t>
      </w:r>
      <w:r>
        <w:rPr>
          <w:rFonts w:hint="eastAsia" w:ascii="宋体" w:hAnsi="宋体"/>
        </w:rPr>
        <w:t>几乎</w:t>
      </w:r>
      <w:r>
        <w:rPr>
          <w:rFonts w:ascii="宋体" w:hAnsi="宋体"/>
        </w:rPr>
        <w:t>不开采地下水，</w:t>
      </w:r>
      <w:r>
        <w:rPr>
          <w:rFonts w:hint="eastAsia" w:ascii="宋体" w:hAnsi="宋体"/>
        </w:rPr>
        <w:t>仅剩</w:t>
      </w:r>
      <w:r>
        <w:rPr>
          <w:rFonts w:ascii="宋体" w:hAnsi="宋体"/>
        </w:rPr>
        <w:t>部分村庄的民用井</w:t>
      </w:r>
      <w:r>
        <w:rPr>
          <w:rFonts w:hint="eastAsia" w:ascii="宋体" w:hAnsi="宋体"/>
        </w:rPr>
        <w:t>（不具备饮用</w:t>
      </w:r>
      <w:r>
        <w:rPr>
          <w:rFonts w:ascii="宋体" w:hAnsi="宋体"/>
        </w:rPr>
        <w:t>、生活功能</w:t>
      </w:r>
      <w:r>
        <w:rPr>
          <w:rFonts w:hint="eastAsia" w:ascii="宋体" w:hAnsi="宋体"/>
        </w:rPr>
        <w:t>）</w:t>
      </w:r>
      <w:r>
        <w:rPr>
          <w:rFonts w:ascii="宋体" w:hAnsi="宋体"/>
        </w:rPr>
        <w:t>未拆除</w:t>
      </w:r>
      <w:r>
        <w:rPr>
          <w:rFonts w:hint="eastAsia" w:ascii="宋体" w:hAnsi="宋体"/>
        </w:rPr>
        <w:t>。</w:t>
      </w:r>
    </w:p>
    <w:p w14:paraId="481818FF">
      <w:pPr>
        <w:pStyle w:val="4068"/>
      </w:pPr>
      <w:bookmarkStart w:id="280" w:name="_Toc52175554"/>
      <w:bookmarkEnd w:id="280"/>
      <w:bookmarkStart w:id="281" w:name="_Toc108662663"/>
      <w:bookmarkStart w:id="282" w:name="_Toc100784054"/>
      <w:bookmarkStart w:id="283" w:name="_Toc101135886"/>
      <w:r>
        <w:rPr>
          <w:rFonts w:hint="eastAsia"/>
        </w:rPr>
        <w:t>5.5.4</w:t>
      </w:r>
      <w:r>
        <w:t>包气带防污性能分析</w:t>
      </w:r>
      <w:bookmarkEnd w:id="281"/>
      <w:bookmarkEnd w:id="282"/>
      <w:bookmarkEnd w:id="283"/>
    </w:p>
    <w:p w14:paraId="5F83CCD2">
      <w:pPr>
        <w:wordWrap w:val="0"/>
        <w:ind w:firstLine="480"/>
        <w:rPr>
          <w:b/>
          <w:bCs/>
          <w:szCs w:val="24"/>
        </w:rPr>
      </w:pPr>
      <w:r>
        <w:rPr>
          <w:rFonts w:hint="eastAsia" w:ascii="宋体" w:hAnsi="宋体"/>
          <w:bCs/>
        </w:rPr>
        <w:t>包气带防污能力根据园区扩区规划环评勘察资料，项目区含水层主要是由第四系上更新统层杂填土与粉质粘土夹砾与粉土所组成，赋存潜水、局部具有弱承压性质；该套含水层之上，覆盖有第四系上更新统和全新统粉质粘土、粘土层，该套弱透水层构成建设项目场地包气带层。</w:t>
      </w:r>
    </w:p>
    <w:p w14:paraId="5E557A7D">
      <w:pPr>
        <w:wordWrap w:val="0"/>
        <w:ind w:firstLine="480"/>
        <w:rPr>
          <w:b/>
          <w:bCs/>
        </w:rPr>
      </w:pPr>
      <w:r>
        <w:rPr>
          <w:rFonts w:hint="eastAsia" w:ascii="宋体" w:hAnsi="宋体"/>
          <w:bCs/>
        </w:rPr>
        <w:t>建设项目区域位于第四系上更新统和全新统层粉质粘土、粉土，揭露层厚大于</w:t>
      </w:r>
      <w:r>
        <w:rPr>
          <w:rFonts w:hint="eastAsia"/>
          <w:bCs/>
        </w:rPr>
        <w:t>30m</w:t>
      </w:r>
      <w:r>
        <w:rPr>
          <w:rFonts w:hint="eastAsia" w:ascii="宋体" w:hAnsi="宋体"/>
          <w:bCs/>
        </w:rPr>
        <w:t>，场地包气带岩层单层厚度</w:t>
      </w:r>
      <w:r>
        <w:rPr>
          <w:rFonts w:hint="eastAsia"/>
          <w:bCs/>
        </w:rPr>
        <w:t>Mb</w:t>
      </w:r>
      <w:r>
        <w:rPr>
          <w:rFonts w:hint="eastAsia" w:ascii="宋体" w:hAnsi="宋体"/>
          <w:bCs/>
        </w:rPr>
        <w:t>≥</w:t>
      </w:r>
      <w:r>
        <w:rPr>
          <w:rFonts w:hint="eastAsia"/>
          <w:bCs/>
        </w:rPr>
        <w:t>1m</w:t>
      </w:r>
      <w:r>
        <w:rPr>
          <w:rFonts w:hint="eastAsia" w:ascii="宋体" w:hAnsi="宋体"/>
          <w:bCs/>
        </w:rPr>
        <w:t>，且分布连续、稳定；根据场地内的渗水试验结果，该层渗透垂向渗透系数为</w:t>
      </w:r>
      <w:r>
        <w:rPr>
          <w:rFonts w:hint="eastAsia"/>
          <w:bCs/>
        </w:rPr>
        <w:t>2.5</w:t>
      </w:r>
      <w:r>
        <w:rPr>
          <w:rFonts w:hint="eastAsia" w:ascii="宋体" w:hAnsi="宋体"/>
          <w:bCs/>
        </w:rPr>
        <w:t>×</w:t>
      </w:r>
      <w:r>
        <w:rPr>
          <w:rFonts w:hint="eastAsia"/>
          <w:bCs/>
        </w:rPr>
        <w:t>10</w:t>
      </w:r>
      <w:r>
        <w:rPr>
          <w:rFonts w:hint="eastAsia"/>
          <w:bCs/>
          <w:vertAlign w:val="superscript"/>
        </w:rPr>
        <w:t>-5</w:t>
      </w:r>
      <w:r>
        <w:rPr>
          <w:bCs/>
        </w:rPr>
        <w:t>~</w:t>
      </w:r>
      <w:r>
        <w:rPr>
          <w:rFonts w:hint="eastAsia"/>
          <w:bCs/>
        </w:rPr>
        <w:t>3.33</w:t>
      </w:r>
      <w:r>
        <w:rPr>
          <w:rFonts w:hint="eastAsia" w:ascii="宋体" w:hAnsi="宋体"/>
          <w:bCs/>
        </w:rPr>
        <w:t>×</w:t>
      </w:r>
      <w:r>
        <w:rPr>
          <w:rFonts w:hint="eastAsia"/>
          <w:bCs/>
        </w:rPr>
        <w:t>10</w:t>
      </w:r>
      <w:r>
        <w:rPr>
          <w:rFonts w:hint="eastAsia"/>
          <w:bCs/>
          <w:vertAlign w:val="superscript"/>
        </w:rPr>
        <w:t>-5</w:t>
      </w:r>
      <w:r>
        <w:rPr>
          <w:rFonts w:hint="eastAsia"/>
          <w:bCs/>
        </w:rPr>
        <w:t>cm/s</w:t>
      </w:r>
      <w:r>
        <w:rPr>
          <w:rFonts w:hint="eastAsia" w:ascii="宋体" w:hAnsi="宋体"/>
          <w:bCs/>
        </w:rPr>
        <w:t>，即为</w:t>
      </w:r>
      <w:r>
        <w:rPr>
          <w:rFonts w:hint="eastAsia"/>
          <w:bCs/>
        </w:rPr>
        <w:t>10</w:t>
      </w:r>
      <w:r>
        <w:rPr>
          <w:rFonts w:hint="eastAsia"/>
          <w:bCs/>
          <w:vertAlign w:val="superscript"/>
        </w:rPr>
        <w:t>-</w:t>
      </w:r>
      <w:r>
        <w:rPr>
          <w:bCs/>
          <w:vertAlign w:val="superscript"/>
        </w:rPr>
        <w:t>6</w:t>
      </w:r>
      <w:r>
        <w:rPr>
          <w:rFonts w:hint="eastAsia"/>
          <w:bCs/>
        </w:rPr>
        <w:t>cm/s</w:t>
      </w:r>
      <w:r>
        <w:rPr>
          <w:rFonts w:hint="eastAsia" w:ascii="宋体" w:hAnsi="宋体"/>
          <w:bCs/>
        </w:rPr>
        <w:t>≤渗透系数≤</w:t>
      </w:r>
      <w:r>
        <w:rPr>
          <w:rFonts w:hint="eastAsia"/>
          <w:bCs/>
        </w:rPr>
        <w:t>10</w:t>
      </w:r>
      <w:r>
        <w:rPr>
          <w:rFonts w:hint="eastAsia"/>
          <w:bCs/>
          <w:vertAlign w:val="superscript"/>
        </w:rPr>
        <w:t>-4</w:t>
      </w:r>
      <w:r>
        <w:rPr>
          <w:rFonts w:hint="eastAsia"/>
          <w:bCs/>
        </w:rPr>
        <w:t>cm/s</w:t>
      </w:r>
      <w:r>
        <w:rPr>
          <w:rFonts w:hint="eastAsia" w:ascii="宋体" w:hAnsi="宋体"/>
          <w:bCs/>
        </w:rPr>
        <w:t>。</w:t>
      </w:r>
    </w:p>
    <w:p w14:paraId="10490453">
      <w:pPr>
        <w:wordWrap w:val="0"/>
        <w:ind w:firstLine="480"/>
        <w:rPr>
          <w:bCs/>
        </w:rPr>
      </w:pPr>
      <w:r>
        <w:rPr>
          <w:rFonts w:hint="eastAsia" w:ascii="宋体" w:hAnsi="宋体"/>
          <w:bCs/>
        </w:rPr>
        <w:t>因此，确定评价区地下水包气带防污性能分级确定为</w:t>
      </w:r>
      <w:r>
        <w:rPr>
          <w:rFonts w:hint="eastAsia"/>
          <w:bCs/>
        </w:rPr>
        <w:t>“中”。</w:t>
      </w:r>
    </w:p>
    <w:p w14:paraId="5C37A1BE">
      <w:pPr>
        <w:wordWrap w:val="0"/>
        <w:ind w:firstLine="480"/>
        <w:rPr>
          <w:bCs/>
        </w:rPr>
      </w:pPr>
      <w:r>
        <w:rPr>
          <w:bCs/>
        </w:rPr>
        <w:t xml:space="preserve"> </w:t>
      </w:r>
    </w:p>
    <w:p w14:paraId="5D44DBB3">
      <w:pPr>
        <w:widowControl/>
        <w:adjustRightInd/>
        <w:snapToGrid/>
        <w:ind w:firstLine="0" w:firstLineChars="0"/>
        <w:jc w:val="left"/>
        <w:rPr>
          <w:rFonts w:eastAsia="黑体"/>
          <w:sz w:val="28"/>
          <w:szCs w:val="28"/>
        </w:rPr>
        <w:sectPr>
          <w:pgSz w:w="11907" w:h="16840"/>
          <w:pgMar w:top="1440" w:right="1440" w:bottom="1440" w:left="1440" w:header="851" w:footer="992" w:gutter="0"/>
          <w:cols w:space="720" w:num="1"/>
          <w:docGrid w:type="lines" w:linePitch="326" w:charSpace="0"/>
        </w:sectPr>
      </w:pPr>
    </w:p>
    <w:p w14:paraId="35AD4E86">
      <w:pPr>
        <w:pStyle w:val="4068"/>
      </w:pPr>
      <w:bookmarkStart w:id="284" w:name="_Toc52175555"/>
      <w:bookmarkEnd w:id="284"/>
      <w:bookmarkStart w:id="285" w:name="_Toc100784055"/>
      <w:bookmarkStart w:id="286" w:name="_Toc108662664"/>
      <w:bookmarkStart w:id="287" w:name="_Toc101135887"/>
      <w:r>
        <w:rPr>
          <w:rFonts w:hint="eastAsia"/>
        </w:rPr>
        <w:t>5.5.5水文地质概念模型</w:t>
      </w:r>
      <w:bookmarkEnd w:id="285"/>
      <w:bookmarkEnd w:id="286"/>
      <w:bookmarkEnd w:id="287"/>
    </w:p>
    <w:p w14:paraId="54AA451E">
      <w:pPr>
        <w:pStyle w:val="349"/>
      </w:pPr>
      <w:r>
        <w:rPr>
          <w:rFonts w:hint="eastAsia"/>
        </w:rPr>
        <w:t>5</w:t>
      </w:r>
      <w:r>
        <w:t>.5.5.1</w:t>
      </w:r>
      <w:r>
        <w:rPr>
          <w:rFonts w:hint="eastAsia"/>
        </w:rPr>
        <w:t>模拟计算区范围</w:t>
      </w:r>
    </w:p>
    <w:p w14:paraId="232A72F5">
      <w:pPr>
        <w:wordWrap w:val="0"/>
        <w:ind w:firstLine="480"/>
        <w:rPr>
          <w:b/>
          <w:bCs/>
        </w:rPr>
      </w:pPr>
      <w:r>
        <w:rPr>
          <w:rFonts w:ascii="宋体" w:hAnsi="宋体"/>
          <w:bCs/>
        </w:rPr>
        <w:t>水文地质概念模型按照地下水环评导则要求，充分结合水系分布，考虑区域地质、水文地质、环境水文地质条件以及工程对地下水环境影响评价和预测要求确定本次模拟区范围</w:t>
      </w:r>
      <w:r>
        <w:rPr>
          <w:rFonts w:hint="eastAsia" w:ascii="宋体" w:hAnsi="宋体"/>
          <w:bCs/>
        </w:rPr>
        <w:t>，</w:t>
      </w:r>
      <w:r>
        <w:rPr>
          <w:rFonts w:ascii="宋体" w:hAnsi="宋体"/>
          <w:bCs/>
        </w:rPr>
        <w:t>确定模拟区范围如下图所示。</w:t>
      </w:r>
    </w:p>
    <w:p w14:paraId="2E88D96D">
      <w:pPr>
        <w:widowControl/>
        <w:wordWrap w:val="0"/>
        <w:ind w:firstLine="0" w:firstLineChars="0"/>
        <w:jc w:val="center"/>
        <w:rPr>
          <w:b/>
          <w:bCs/>
        </w:rPr>
      </w:pPr>
      <w:r>
        <w:rPr>
          <w:b/>
          <w:bCs/>
        </w:rPr>
        <w:t xml:space="preserve"> </w:t>
      </w:r>
      <w:r>
        <w:drawing>
          <wp:inline distT="0" distB="0" distL="0" distR="0">
            <wp:extent cx="5724525" cy="409575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724525" cy="4095750"/>
                    </a:xfrm>
                    <a:prstGeom prst="rect">
                      <a:avLst/>
                    </a:prstGeom>
                    <a:noFill/>
                    <a:ln>
                      <a:noFill/>
                    </a:ln>
                  </pic:spPr>
                </pic:pic>
              </a:graphicData>
            </a:graphic>
          </wp:inline>
        </w:drawing>
      </w:r>
    </w:p>
    <w:p w14:paraId="5309FBD2">
      <w:pPr>
        <w:pStyle w:val="278"/>
        <w:ind w:firstLine="480"/>
        <w:rPr>
          <w:b/>
        </w:rPr>
      </w:pPr>
      <w:r>
        <w:rPr>
          <w:rFonts w:ascii="黑体" w:hAnsi="黑体"/>
        </w:rPr>
        <w:t>图</w:t>
      </w:r>
      <w:r>
        <w:rPr>
          <w:rFonts w:hint="eastAsia"/>
        </w:rPr>
        <w:t>5.</w:t>
      </w:r>
      <w:r>
        <w:t>5</w:t>
      </w:r>
      <w:r>
        <w:rPr>
          <w:rFonts w:hint="eastAsia"/>
        </w:rPr>
        <w:t>.5</w:t>
      </w:r>
      <w:r>
        <w:t>-</w:t>
      </w:r>
      <w:r>
        <w:rPr>
          <w:rFonts w:hint="eastAsia"/>
        </w:rPr>
        <w:t>1</w:t>
      </w:r>
      <w:r>
        <w:t xml:space="preserve">  </w:t>
      </w:r>
      <w:r>
        <w:rPr>
          <w:rFonts w:ascii="黑体" w:hAnsi="黑体"/>
        </w:rPr>
        <w:t>模拟计算区范围图</w:t>
      </w:r>
    </w:p>
    <w:p w14:paraId="410E7D3B">
      <w:pPr>
        <w:wordWrap w:val="0"/>
        <w:ind w:firstLine="480"/>
        <w:rPr>
          <w:b/>
          <w:bCs/>
        </w:rPr>
      </w:pPr>
      <w:r>
        <w:rPr>
          <w:rFonts w:ascii="宋体" w:hAnsi="宋体"/>
          <w:bCs/>
        </w:rPr>
        <w:t>模拟范围范围</w:t>
      </w:r>
      <w:r>
        <w:rPr>
          <w:rFonts w:hint="eastAsia" w:ascii="宋体" w:hAnsi="宋体"/>
          <w:bCs/>
        </w:rPr>
        <w:t>内南侧为淮河，西侧为三铺大沟，定义为给定水头边界，其他边界</w:t>
      </w:r>
      <w:r>
        <w:rPr>
          <w:rFonts w:ascii="宋体" w:hAnsi="宋体"/>
          <w:bCs/>
        </w:rPr>
        <w:t>均定义为流量边界，边界流量根据达西定律计算得出，评价范围约</w:t>
      </w:r>
      <w:r>
        <w:rPr>
          <w:bCs/>
        </w:rPr>
        <w:t>19.33km</w:t>
      </w:r>
      <w:r>
        <w:rPr>
          <w:bCs/>
          <w:vertAlign w:val="superscript"/>
        </w:rPr>
        <w:t>2</w:t>
      </w:r>
      <w:r>
        <w:rPr>
          <w:rFonts w:ascii="宋体" w:hAnsi="宋体"/>
          <w:bCs/>
        </w:rPr>
        <w:t>。</w:t>
      </w:r>
      <w:r>
        <w:rPr>
          <w:rFonts w:hint="eastAsia" w:ascii="宋体" w:hAnsi="宋体"/>
          <w:bCs/>
        </w:rPr>
        <w:t>模拟区域内地下水流向从西北向东南径流。</w:t>
      </w:r>
    </w:p>
    <w:p w14:paraId="63E72762">
      <w:pPr>
        <w:pStyle w:val="349"/>
      </w:pPr>
      <w:r>
        <w:rPr>
          <w:rFonts w:hint="eastAsia"/>
        </w:rPr>
        <w:t>5</w:t>
      </w:r>
      <w:r>
        <w:t>.5.5.2</w:t>
      </w:r>
      <w:r>
        <w:rPr>
          <w:rFonts w:hint="eastAsia"/>
        </w:rPr>
        <w:t>地下含水系统三维空间分布</w:t>
      </w:r>
    </w:p>
    <w:p w14:paraId="62C1664B">
      <w:pPr>
        <w:wordWrap w:val="0"/>
        <w:ind w:firstLine="480"/>
        <w:rPr>
          <w:b/>
          <w:bCs/>
        </w:rPr>
      </w:pPr>
      <w:r>
        <w:rPr>
          <w:rFonts w:ascii="宋体" w:hAnsi="宋体"/>
          <w:bCs/>
        </w:rPr>
        <w:t>潜水含水层自由水面为模拟区的上边界，通过该边界，潜水与系统外发生垂向水量交换，主要接受大气降水入渗、田间灌溉等补给，同时以蒸发进行排泄。一般情况下，均作为垂向流入流出量边界处理。</w:t>
      </w:r>
    </w:p>
    <w:p w14:paraId="3F0A3EB4">
      <w:pPr>
        <w:autoSpaceDE w:val="0"/>
        <w:autoSpaceDN w:val="0"/>
        <w:ind w:firstLine="480"/>
        <w:jc w:val="left"/>
        <w:rPr>
          <w:b/>
        </w:rPr>
      </w:pPr>
      <w:r>
        <w:rPr>
          <w:rFonts w:ascii="宋体" w:hAnsi="宋体"/>
        </w:rPr>
        <w:t>研究区地下水流动系统为非稳定流，受到降雨、蒸发等影响，结合实际资料，将水文地质模型概化为非均质各向异性非稳定流。</w:t>
      </w:r>
    </w:p>
    <w:p w14:paraId="4318C2E9">
      <w:pPr>
        <w:spacing w:line="240" w:lineRule="auto"/>
        <w:ind w:firstLine="0" w:firstLineChars="0"/>
        <w:jc w:val="center"/>
        <w:rPr>
          <w:color w:val="FF0000"/>
        </w:rPr>
      </w:pPr>
      <w:bookmarkStart w:id="288" w:name="_Toc52175556"/>
      <w:bookmarkEnd w:id="288"/>
      <w:r>
        <w:drawing>
          <wp:inline distT="0" distB="0" distL="0" distR="0">
            <wp:extent cx="5734050" cy="41529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734050" cy="4152900"/>
                    </a:xfrm>
                    <a:prstGeom prst="rect">
                      <a:avLst/>
                    </a:prstGeom>
                    <a:noFill/>
                    <a:ln>
                      <a:noFill/>
                    </a:ln>
                  </pic:spPr>
                </pic:pic>
              </a:graphicData>
            </a:graphic>
          </wp:inline>
        </w:drawing>
      </w:r>
    </w:p>
    <w:p w14:paraId="27FA3F3C">
      <w:pPr>
        <w:pStyle w:val="19"/>
        <w:snapToGrid/>
        <w:spacing w:line="240" w:lineRule="auto"/>
        <w:ind w:firstLine="480"/>
        <w:jc w:val="center"/>
        <w:rPr>
          <w:rFonts w:ascii="Times New Roman" w:hAnsi="Times New Roman"/>
        </w:rPr>
      </w:pPr>
      <w:r>
        <w:rPr>
          <w:rFonts w:ascii="Times New Roman" w:hAnsi="Times New Roman"/>
        </w:rPr>
        <w:t>图5.5.5</w:t>
      </w:r>
      <w:r>
        <w:rPr>
          <w:rFonts w:ascii="Times New Roman" w:hAnsi="Times New Roman"/>
        </w:rPr>
        <w:noBreakHyphen/>
      </w:r>
      <w:r>
        <w:rPr>
          <w:rFonts w:hint="eastAsia" w:ascii="Times New Roman" w:hAnsi="Times New Roman"/>
        </w:rPr>
        <w:t>2  地下水等水位线图</w:t>
      </w:r>
    </w:p>
    <w:p w14:paraId="31166C70">
      <w:pPr>
        <w:pStyle w:val="4068"/>
      </w:pPr>
      <w:bookmarkStart w:id="289" w:name="_Toc108662665"/>
      <w:bookmarkStart w:id="290" w:name="_Toc100784056"/>
      <w:bookmarkStart w:id="291" w:name="_Toc101135888"/>
      <w:r>
        <w:rPr>
          <w:rFonts w:hint="eastAsia"/>
        </w:rPr>
        <w:t>5.5.6</w:t>
      </w:r>
      <w:r>
        <w:rPr>
          <w:rFonts w:ascii="黑体" w:hAnsi="黑体"/>
        </w:rPr>
        <w:t>数值模拟模型</w:t>
      </w:r>
      <w:bookmarkEnd w:id="289"/>
      <w:bookmarkEnd w:id="290"/>
      <w:bookmarkEnd w:id="291"/>
    </w:p>
    <w:p w14:paraId="444AD41D">
      <w:pPr>
        <w:ind w:firstLine="480"/>
        <w:rPr>
          <w:bCs/>
        </w:rPr>
      </w:pPr>
      <w:r>
        <w:rPr>
          <w:rFonts w:ascii="宋体" w:hAnsi="宋体"/>
          <w:bCs/>
        </w:rPr>
        <w:t>刻画潜水中污染物运移需要两个数学模型：地下水流动数学模型和地下水污染物迁移数学模型。对复杂数学模型，采用数值方法求解。</w:t>
      </w:r>
    </w:p>
    <w:p w14:paraId="05B824B2">
      <w:pPr>
        <w:ind w:firstLine="480"/>
        <w:rPr>
          <w:bCs/>
        </w:rPr>
      </w:pPr>
      <w:r>
        <w:rPr>
          <w:rFonts w:ascii="宋体" w:hAnsi="宋体"/>
          <w:bCs/>
        </w:rPr>
        <w:t>（</w:t>
      </w:r>
      <w:r>
        <w:rPr>
          <w:bCs/>
        </w:rPr>
        <w:t>1</w:t>
      </w:r>
      <w:r>
        <w:rPr>
          <w:rFonts w:ascii="宋体" w:hAnsi="宋体"/>
          <w:bCs/>
        </w:rPr>
        <w:t>）地下水流运动数学模型</w:t>
      </w:r>
    </w:p>
    <w:p w14:paraId="04647112">
      <w:pPr>
        <w:ind w:firstLine="480"/>
        <w:rPr>
          <w:bCs/>
        </w:rPr>
      </w:pPr>
      <w:r>
        <w:rPr>
          <w:rFonts w:ascii="宋体" w:hAnsi="宋体"/>
          <w:bCs/>
        </w:rPr>
        <w:t>根据上述水文地质概念模型，评价范围内地下水流运动的数学模型可以表示为非均质、各向异性、空间三维结构、非稳定地下水流系统，其控制方程及定解条件如下：</w:t>
      </w:r>
    </w:p>
    <w:p w14:paraId="1C52800E">
      <w:pPr>
        <w:ind w:firstLine="480"/>
        <w:rPr>
          <w:bCs/>
        </w:rPr>
      </w:pPr>
      <w:r>
        <w:drawing>
          <wp:inline distT="0" distB="0" distL="0" distR="0">
            <wp:extent cx="3514725" cy="1438275"/>
            <wp:effectExtent l="0" t="0" r="9525" b="9525"/>
            <wp:docPr id="100" name="图片 100" descr="C:\Users\ADMINI~1\AppData\Local\Temp\ksohtml\wps4B2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C:\Users\ADMINI~1\AppData\Local\Temp\ksohtml\wps4B22.tmp.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514725" cy="1438275"/>
                    </a:xfrm>
                    <a:prstGeom prst="rect">
                      <a:avLst/>
                    </a:prstGeom>
                    <a:noFill/>
                    <a:ln>
                      <a:noFill/>
                    </a:ln>
                  </pic:spPr>
                </pic:pic>
              </a:graphicData>
            </a:graphic>
          </wp:inline>
        </w:drawing>
      </w:r>
    </w:p>
    <w:p w14:paraId="24075BA0">
      <w:pPr>
        <w:ind w:firstLine="480"/>
        <w:rPr>
          <w:bCs/>
        </w:rPr>
      </w:pPr>
      <w:r>
        <w:rPr>
          <w:rFonts w:ascii="宋体" w:hAnsi="宋体"/>
          <w:bCs/>
        </w:rPr>
        <w:t>式中，</w:t>
      </w:r>
      <w:r>
        <w:drawing>
          <wp:inline distT="0" distB="0" distL="0" distR="0">
            <wp:extent cx="142875" cy="238125"/>
            <wp:effectExtent l="0" t="0" r="9525" b="9525"/>
            <wp:docPr id="99" name="图片 99" descr="C:\Users\ADMINI~1\AppData\Local\Temp\ksohtml\wps4B2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C:\Users\ADMINI~1\AppData\Local\Temp\ksohtml\wps4B23.tmp.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42875" cy="238125"/>
                    </a:xfrm>
                    <a:prstGeom prst="rect">
                      <a:avLst/>
                    </a:prstGeom>
                    <a:noFill/>
                    <a:ln>
                      <a:noFill/>
                    </a:ln>
                  </pic:spPr>
                </pic:pic>
              </a:graphicData>
            </a:graphic>
          </wp:inline>
        </w:drawing>
      </w:r>
      <w:r>
        <w:drawing>
          <wp:inline distT="0" distB="0" distL="0" distR="0">
            <wp:extent cx="114300" cy="190500"/>
            <wp:effectExtent l="0" t="0" r="0" b="0"/>
            <wp:docPr id="98" name="图片 98" descr="C:\Users\ADMINI~1\AppData\Local\Temp\ksohtml\wps4B2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ADMINI~1\AppData\Local\Temp\ksohtml\wps4B24.tm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Pr>
          <w:rFonts w:ascii="宋体" w:hAnsi="宋体"/>
          <w:bCs/>
        </w:rPr>
        <w:t>为模型模拟区；</w:t>
      </w:r>
      <w:r>
        <w:rPr>
          <w:bCs/>
        </w:rPr>
        <w:t>H</w:t>
      </w:r>
      <w:r>
        <w:rPr>
          <w:rFonts w:ascii="宋体" w:hAnsi="宋体"/>
          <w:bCs/>
        </w:rPr>
        <w:t>为含水层的水位</w:t>
      </w:r>
      <w:r>
        <w:rPr>
          <w:bCs/>
        </w:rPr>
        <w:t>(m)</w:t>
      </w:r>
      <w:r>
        <w:rPr>
          <w:rFonts w:ascii="宋体" w:hAnsi="宋体"/>
          <w:bCs/>
        </w:rPr>
        <w:t>；</w:t>
      </w:r>
      <w:r>
        <w:drawing>
          <wp:inline distT="0" distB="0" distL="0" distR="0">
            <wp:extent cx="238125" cy="238125"/>
            <wp:effectExtent l="0" t="0" r="9525" b="9525"/>
            <wp:docPr id="97" name="图片 97" descr="C:\Users\ADMINI~1\AppData\Local\Temp\ksohtml\wps4B25.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C:\Users\ADMINI~1\AppData\Local\Temp\ksohtml\wps4B25.tmp.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38125" cy="238125"/>
                    </a:xfrm>
                    <a:prstGeom prst="rect">
                      <a:avLst/>
                    </a:prstGeom>
                    <a:noFill/>
                    <a:ln>
                      <a:noFill/>
                    </a:ln>
                  </pic:spPr>
                </pic:pic>
              </a:graphicData>
            </a:graphic>
          </wp:inline>
        </w:drawing>
      </w:r>
      <w:r>
        <w:rPr>
          <w:rFonts w:ascii="宋体" w:hAnsi="宋体"/>
          <w:bCs/>
        </w:rPr>
        <w:t>、</w:t>
      </w:r>
      <w:r>
        <w:drawing>
          <wp:inline distT="0" distB="0" distL="0" distR="0">
            <wp:extent cx="238125" cy="238125"/>
            <wp:effectExtent l="0" t="0" r="0" b="9525"/>
            <wp:docPr id="96" name="图片 96" descr="C:\Users\ADMINI~1\AppData\Local\Temp\ksohtml\wps4B26.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C:\Users\ADMINI~1\AppData\Local\Temp\ksohtml\wps4B26.tmp.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38125" cy="238125"/>
                    </a:xfrm>
                    <a:prstGeom prst="rect">
                      <a:avLst/>
                    </a:prstGeom>
                    <a:noFill/>
                    <a:ln>
                      <a:noFill/>
                    </a:ln>
                  </pic:spPr>
                </pic:pic>
              </a:graphicData>
            </a:graphic>
          </wp:inline>
        </w:drawing>
      </w:r>
      <w:r>
        <w:rPr>
          <w:rFonts w:ascii="宋体" w:hAnsi="宋体"/>
          <w:bCs/>
        </w:rPr>
        <w:t>、</w:t>
      </w:r>
      <w:r>
        <w:drawing>
          <wp:inline distT="0" distB="0" distL="0" distR="0">
            <wp:extent cx="219075" cy="238125"/>
            <wp:effectExtent l="0" t="0" r="9525" b="9525"/>
            <wp:docPr id="95" name="图片 95" descr="C:\Users\ADMINI~1\AppData\Local\Temp\ksohtml\wps4B2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Users\ADMINI~1\AppData\Local\Temp\ksohtml\wps4B27.tmp.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19075" cy="238125"/>
                    </a:xfrm>
                    <a:prstGeom prst="rect">
                      <a:avLst/>
                    </a:prstGeom>
                    <a:noFill/>
                    <a:ln>
                      <a:noFill/>
                    </a:ln>
                  </pic:spPr>
                </pic:pic>
              </a:graphicData>
            </a:graphic>
          </wp:inline>
        </w:drawing>
      </w:r>
      <w:r>
        <w:rPr>
          <w:rFonts w:ascii="宋体" w:hAnsi="宋体"/>
          <w:bCs/>
        </w:rPr>
        <w:t>分别为</w:t>
      </w:r>
      <w:r>
        <w:drawing>
          <wp:inline distT="0" distB="0" distL="0" distR="0">
            <wp:extent cx="142875" cy="142875"/>
            <wp:effectExtent l="0" t="0" r="9525" b="9525"/>
            <wp:docPr id="94" name="图片 94" descr="C:\Users\ADMINI~1\AppData\Local\Temp\ksohtml\wps4B3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C:\Users\ADMINI~1\AppData\Local\Temp\ksohtml\wps4B38.tmp.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ascii="宋体" w:hAnsi="宋体"/>
          <w:bCs/>
        </w:rPr>
        <w:t>、</w:t>
      </w:r>
      <w:r>
        <w:drawing>
          <wp:inline distT="0" distB="0" distL="0" distR="0">
            <wp:extent cx="142875" cy="142875"/>
            <wp:effectExtent l="0" t="0" r="9525" b="9525"/>
            <wp:docPr id="93" name="图片 93" descr="C:\Users\ADMINI~1\AppData\Local\Temp\ksohtml\wps4B3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Users\ADMINI~1\AppData\Local\Temp\ksohtml\wps4B39.tmp.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ascii="宋体" w:hAnsi="宋体"/>
          <w:bCs/>
        </w:rPr>
        <w:t>、</w:t>
      </w:r>
      <w:r>
        <w:drawing>
          <wp:inline distT="0" distB="0" distL="0" distR="0">
            <wp:extent cx="142875" cy="142875"/>
            <wp:effectExtent l="0" t="0" r="9525" b="9525"/>
            <wp:docPr id="92" name="图片 92" descr="C:\Users\ADMINI~1\AppData\Local\Temp\ksohtml\wps4B3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I~1\AppData\Local\Temp\ksohtml\wps4B3A.tmp.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ascii="宋体" w:hAnsi="宋体"/>
          <w:bCs/>
        </w:rPr>
        <w:t>方向的渗透系数</w:t>
      </w:r>
      <w:r>
        <w:rPr>
          <w:bCs/>
        </w:rPr>
        <w:t>(m/d)</w:t>
      </w:r>
      <w:r>
        <w:rPr>
          <w:rFonts w:ascii="宋体" w:hAnsi="宋体"/>
          <w:bCs/>
        </w:rPr>
        <w:t>；</w:t>
      </w:r>
      <w:r>
        <w:drawing>
          <wp:inline distT="0" distB="0" distL="0" distR="0">
            <wp:extent cx="171450" cy="238125"/>
            <wp:effectExtent l="0" t="0" r="0" b="9525"/>
            <wp:docPr id="91" name="图片 91" descr="C:\Users\ADMINI~1\AppData\Local\Temp\ksohtml\wps4B3B.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ADMINI~1\AppData\Local\Temp\ksohtml\wps4B3B.tmp.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71450" cy="238125"/>
                    </a:xfrm>
                    <a:prstGeom prst="rect">
                      <a:avLst/>
                    </a:prstGeom>
                    <a:noFill/>
                    <a:ln>
                      <a:noFill/>
                    </a:ln>
                  </pic:spPr>
                </pic:pic>
              </a:graphicData>
            </a:graphic>
          </wp:inline>
        </w:drawing>
      </w:r>
      <w:r>
        <w:drawing>
          <wp:inline distT="0" distB="0" distL="0" distR="0">
            <wp:extent cx="142875" cy="190500"/>
            <wp:effectExtent l="0" t="0" r="9525" b="0"/>
            <wp:docPr id="90" name="图片 90" descr="C:\Users\ADMINI~1\AppData\Local\Temp\ksohtml\wps4B3C.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C:\Users\ADMINI~1\AppData\Local\Temp\ksohtml\wps4B3C.tmp.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Pr>
          <w:rFonts w:ascii="宋体" w:hAnsi="宋体"/>
          <w:bCs/>
        </w:rPr>
        <w:t>为贮水率（</w:t>
      </w:r>
      <w:r>
        <w:rPr>
          <w:bCs/>
        </w:rPr>
        <w:t>1/m</w:t>
      </w:r>
      <w:r>
        <w:rPr>
          <w:rFonts w:ascii="宋体" w:hAnsi="宋体"/>
          <w:bCs/>
        </w:rPr>
        <w:t>）；</w:t>
      </w:r>
      <w:r>
        <w:rPr>
          <w:bCs/>
        </w:rPr>
        <w:t>W</w:t>
      </w:r>
      <w:r>
        <w:rPr>
          <w:rFonts w:ascii="宋体" w:hAnsi="宋体"/>
          <w:bCs/>
        </w:rPr>
        <w:t>为含水层的源汇项</w:t>
      </w:r>
      <w:r>
        <w:rPr>
          <w:bCs/>
        </w:rPr>
        <w:t>(m3/d)</w:t>
      </w:r>
      <w:r>
        <w:rPr>
          <w:rFonts w:ascii="宋体" w:hAnsi="宋体"/>
          <w:bCs/>
        </w:rPr>
        <w:t>；</w:t>
      </w:r>
      <w:r>
        <w:drawing>
          <wp:inline distT="0" distB="0" distL="0" distR="0">
            <wp:extent cx="809625" cy="238125"/>
            <wp:effectExtent l="0" t="0" r="9525" b="9525"/>
            <wp:docPr id="89" name="图片 89" descr="C:\Users\ADMINI~1\AppData\Local\Temp\ksohtml\wps4B3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C:\Users\ADMINI~1\AppData\Local\Temp\ksohtml\wps4B3D.tmp.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809625" cy="238125"/>
                    </a:xfrm>
                    <a:prstGeom prst="rect">
                      <a:avLst/>
                    </a:prstGeom>
                    <a:noFill/>
                    <a:ln>
                      <a:noFill/>
                    </a:ln>
                  </pic:spPr>
                </pic:pic>
              </a:graphicData>
            </a:graphic>
          </wp:inline>
        </w:drawing>
      </w:r>
      <w:r>
        <w:drawing>
          <wp:inline distT="0" distB="0" distL="0" distR="0">
            <wp:extent cx="647700" cy="190500"/>
            <wp:effectExtent l="0" t="0" r="0" b="0"/>
            <wp:docPr id="88" name="图片 88" descr="C:\Users\ADMINI~1\AppData\Local\Temp\ksohtml\wps4B3E.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C:\Users\ADMINI~1\AppData\Local\Temp\ksohtml\wps4B3E.tmp.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Pr>
          <w:rFonts w:ascii="宋体" w:hAnsi="宋体"/>
          <w:bCs/>
        </w:rPr>
        <w:t>为已知水位分布</w:t>
      </w:r>
      <w:r>
        <w:rPr>
          <w:bCs/>
        </w:rPr>
        <w:t>(m)</w:t>
      </w:r>
      <w:r>
        <w:rPr>
          <w:rFonts w:ascii="宋体" w:hAnsi="宋体"/>
          <w:bCs/>
        </w:rPr>
        <w:t>；</w:t>
      </w:r>
      <w:r>
        <w:drawing>
          <wp:inline distT="0" distB="0" distL="0" distR="0">
            <wp:extent cx="142875" cy="238125"/>
            <wp:effectExtent l="0" t="0" r="9525" b="9525"/>
            <wp:docPr id="87" name="图片 87" descr="C:\Users\ADMINI~1\AppData\Local\Temp\ksohtml\wps4B4E.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C:\Users\ADMINI~1\AppData\Local\Temp\ksohtml\wps4B4E.tmp.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142875" cy="238125"/>
                    </a:xfrm>
                    <a:prstGeom prst="rect">
                      <a:avLst/>
                    </a:prstGeom>
                    <a:noFill/>
                    <a:ln>
                      <a:noFill/>
                    </a:ln>
                  </pic:spPr>
                </pic:pic>
              </a:graphicData>
            </a:graphic>
          </wp:inline>
        </w:drawing>
      </w:r>
      <w:r>
        <w:drawing>
          <wp:inline distT="0" distB="0" distL="0" distR="0">
            <wp:extent cx="114300" cy="190500"/>
            <wp:effectExtent l="0" t="0" r="0" b="0"/>
            <wp:docPr id="86" name="图片 86" descr="C:\Users\ADMINI~1\AppData\Local\Temp\ksohtml\wps4B4F.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C:\Users\ADMINI~1\AppData\Local\Temp\ksohtml\wps4B4F.tmp.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Pr>
          <w:rFonts w:ascii="宋体" w:hAnsi="宋体"/>
          <w:bCs/>
        </w:rPr>
        <w:t>为渗流区域的一类边界；</w:t>
      </w:r>
      <w:r>
        <w:drawing>
          <wp:inline distT="0" distB="0" distL="0" distR="0">
            <wp:extent cx="152400" cy="238125"/>
            <wp:effectExtent l="0" t="0" r="0" b="9525"/>
            <wp:docPr id="85" name="图片 85" descr="C:\Users\ADMINI~1\AppData\Local\Temp\ksohtml\wps4B50.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C:\Users\ADMINI~1\AppData\Local\Temp\ksohtml\wps4B50.tmp.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2400" cy="238125"/>
                    </a:xfrm>
                    <a:prstGeom prst="rect">
                      <a:avLst/>
                    </a:prstGeom>
                    <a:noFill/>
                    <a:ln>
                      <a:noFill/>
                    </a:ln>
                  </pic:spPr>
                </pic:pic>
              </a:graphicData>
            </a:graphic>
          </wp:inline>
        </w:drawing>
      </w:r>
      <w:r>
        <w:drawing>
          <wp:inline distT="0" distB="0" distL="0" distR="0">
            <wp:extent cx="123825" cy="190500"/>
            <wp:effectExtent l="0" t="0" r="9525" b="0"/>
            <wp:docPr id="84" name="图片 84" descr="C:\Users\ADMINI~1\AppData\Local\Temp\ksohtml\wps4B5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C:\Users\ADMINI~1\AppData\Local\Temp\ksohtml\wps4B51.tmp.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Pr>
          <w:rFonts w:ascii="宋体" w:hAnsi="宋体"/>
          <w:bCs/>
        </w:rPr>
        <w:t>为渗流区域的二类边界；</w:t>
      </w:r>
      <w:r>
        <w:drawing>
          <wp:inline distT="0" distB="0" distL="0" distR="0">
            <wp:extent cx="142875" cy="142875"/>
            <wp:effectExtent l="0" t="0" r="9525" b="9525"/>
            <wp:docPr id="83" name="图片 83" descr="C:\Users\ADMINI~1\AppData\Local\Temp\ksohtml\wps4B5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C:\Users\ADMINI~1\AppData\Local\Temp\ksohtml\wps4B52.tmp.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ascii="宋体" w:hAnsi="宋体"/>
          <w:bCs/>
        </w:rPr>
        <w:t>为边界</w:t>
      </w:r>
      <w:r>
        <w:drawing>
          <wp:inline distT="0" distB="0" distL="0" distR="0">
            <wp:extent cx="152400" cy="238125"/>
            <wp:effectExtent l="0" t="0" r="0" b="9525"/>
            <wp:docPr id="82" name="图片 82" descr="C:\Users\ADMINI~1\AppData\Local\Temp\ksohtml\wps4B5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C:\Users\ADMINI~1\AppData\Local\Temp\ksohtml\wps4B53.tmp.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2400" cy="238125"/>
                    </a:xfrm>
                    <a:prstGeom prst="rect">
                      <a:avLst/>
                    </a:prstGeom>
                    <a:noFill/>
                    <a:ln>
                      <a:noFill/>
                    </a:ln>
                  </pic:spPr>
                </pic:pic>
              </a:graphicData>
            </a:graphic>
          </wp:inline>
        </w:drawing>
      </w:r>
      <w:r>
        <w:drawing>
          <wp:inline distT="0" distB="0" distL="0" distR="0">
            <wp:extent cx="123825" cy="190500"/>
            <wp:effectExtent l="0" t="0" r="9525" b="0"/>
            <wp:docPr id="81" name="图片 81" descr="C:\Users\ADMINI~1\AppData\Local\Temp\ksohtml\wps4B5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C:\Users\ADMINI~1\AppData\Local\Temp\ksohtml\wps4B54.tmp.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Pr>
          <w:rFonts w:ascii="宋体" w:hAnsi="宋体"/>
          <w:bCs/>
        </w:rPr>
        <w:t>的外法线方向；</w:t>
      </w:r>
      <w:r>
        <w:rPr>
          <w:bCs/>
        </w:rPr>
        <w:t>k</w:t>
      </w:r>
      <w:r>
        <w:rPr>
          <w:rFonts w:ascii="宋体" w:hAnsi="宋体"/>
          <w:bCs/>
        </w:rPr>
        <w:t>为三维空间上的渗透系数张量</w:t>
      </w:r>
      <w:r>
        <w:rPr>
          <w:bCs/>
        </w:rPr>
        <w:t>(m/d)</w:t>
      </w:r>
      <w:r>
        <w:rPr>
          <w:rFonts w:ascii="宋体" w:hAnsi="宋体"/>
          <w:bCs/>
        </w:rPr>
        <w:t>；</w:t>
      </w:r>
      <w:r>
        <w:drawing>
          <wp:inline distT="0" distB="0" distL="0" distR="0">
            <wp:extent cx="866775" cy="238125"/>
            <wp:effectExtent l="0" t="0" r="9525" b="9525"/>
            <wp:docPr id="80" name="图片 80" descr="C:\Users\ADMINI~1\AppData\Local\Temp\ksohtml\wps4B65.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C:\Users\ADMINI~1\AppData\Local\Temp\ksohtml\wps4B65.tmp.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866775" cy="238125"/>
                    </a:xfrm>
                    <a:prstGeom prst="rect">
                      <a:avLst/>
                    </a:prstGeom>
                    <a:noFill/>
                    <a:ln>
                      <a:noFill/>
                    </a:ln>
                  </pic:spPr>
                </pic:pic>
              </a:graphicData>
            </a:graphic>
          </wp:inline>
        </w:drawing>
      </w:r>
      <w:r>
        <w:drawing>
          <wp:inline distT="0" distB="0" distL="0" distR="0">
            <wp:extent cx="695325" cy="190500"/>
            <wp:effectExtent l="0" t="0" r="9525" b="0"/>
            <wp:docPr id="79" name="图片 79" descr="C:\Users\ADMINI~1\AppData\Local\Temp\ksohtml\wps4B6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Users\ADMINI~1\AppData\Local\Temp\ksohtml\wps4B66.tmp.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695325" cy="190500"/>
                    </a:xfrm>
                    <a:prstGeom prst="rect">
                      <a:avLst/>
                    </a:prstGeom>
                    <a:noFill/>
                    <a:ln>
                      <a:noFill/>
                    </a:ln>
                  </pic:spPr>
                </pic:pic>
              </a:graphicData>
            </a:graphic>
          </wp:inline>
        </w:drawing>
      </w:r>
      <w:r>
        <w:rPr>
          <w:rFonts w:ascii="宋体" w:hAnsi="宋体"/>
          <w:bCs/>
        </w:rPr>
        <w:t>为定义为二类边界上已知流量函数，流入为正、流出为负、隔水边界为</w:t>
      </w:r>
      <w:r>
        <w:rPr>
          <w:bCs/>
        </w:rPr>
        <w:t>0</w:t>
      </w:r>
      <w:r>
        <w:rPr>
          <w:rFonts w:ascii="宋体" w:hAnsi="宋体"/>
          <w:bCs/>
        </w:rPr>
        <w:t>。</w:t>
      </w:r>
    </w:p>
    <w:p w14:paraId="4952C7FD">
      <w:pPr>
        <w:ind w:firstLine="480"/>
        <w:rPr>
          <w:bCs/>
        </w:rPr>
      </w:pPr>
      <w:r>
        <w:rPr>
          <w:rFonts w:ascii="宋体" w:hAnsi="宋体"/>
          <w:bCs/>
        </w:rPr>
        <w:t>（</w:t>
      </w:r>
      <w:r>
        <w:rPr>
          <w:bCs/>
        </w:rPr>
        <w:t>2</w:t>
      </w:r>
      <w:r>
        <w:rPr>
          <w:rFonts w:ascii="宋体" w:hAnsi="宋体"/>
          <w:bCs/>
        </w:rPr>
        <w:t>）地下水污染物迁移数学模型</w:t>
      </w:r>
    </w:p>
    <w:p w14:paraId="07CF1DF7">
      <w:pPr>
        <w:ind w:firstLine="480"/>
        <w:rPr>
          <w:bCs/>
        </w:rPr>
      </w:pPr>
      <w:r>
        <w:rPr>
          <w:rFonts w:ascii="宋体" w:hAnsi="宋体"/>
          <w:bCs/>
        </w:rPr>
        <w:t>污染物在地下水中的运移包括对流、弥散以及溶质本身的物理、化学变化等过程，可表示为：</w:t>
      </w:r>
    </w:p>
    <w:p w14:paraId="2FBD332C">
      <w:pPr>
        <w:ind w:firstLine="480"/>
        <w:rPr>
          <w:bCs/>
        </w:rPr>
      </w:pPr>
      <w:r>
        <w:drawing>
          <wp:inline distT="0" distB="0" distL="0" distR="0">
            <wp:extent cx="4181475" cy="1295400"/>
            <wp:effectExtent l="0" t="0" r="9525" b="0"/>
            <wp:docPr id="78" name="图片 78" descr="C:\Users\ADMINI~1\AppData\Local\Temp\ksohtml\wps4B6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ADMINI~1\AppData\Local\Temp\ksohtml\wps4B67.tmp.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4181475" cy="1295400"/>
                    </a:xfrm>
                    <a:prstGeom prst="rect">
                      <a:avLst/>
                    </a:prstGeom>
                    <a:noFill/>
                    <a:ln>
                      <a:noFill/>
                    </a:ln>
                  </pic:spPr>
                </pic:pic>
              </a:graphicData>
            </a:graphic>
          </wp:inline>
        </w:drawing>
      </w:r>
      <w:r>
        <w:rPr>
          <w:bCs/>
        </w:rPr>
        <w:t xml:space="preserve">        </w:t>
      </w:r>
    </w:p>
    <w:p w14:paraId="0860D96F">
      <w:pPr>
        <w:ind w:firstLine="480"/>
        <w:rPr>
          <w:bCs/>
        </w:rPr>
      </w:pPr>
      <w:r>
        <w:rPr>
          <w:rFonts w:ascii="宋体" w:hAnsi="宋体"/>
          <w:bCs/>
        </w:rPr>
        <w:t>式中，</w:t>
      </w:r>
      <w:r>
        <w:rPr>
          <w:bCs/>
        </w:rPr>
        <w:t>R</w:t>
      </w:r>
      <w:r>
        <w:rPr>
          <w:rFonts w:ascii="宋体" w:hAnsi="宋体"/>
          <w:bCs/>
        </w:rPr>
        <w:t>为迟滞系数，无量纲；</w:t>
      </w:r>
      <w:r>
        <w:drawing>
          <wp:inline distT="0" distB="0" distL="0" distR="0">
            <wp:extent cx="190500" cy="238125"/>
            <wp:effectExtent l="0" t="0" r="0" b="9525"/>
            <wp:docPr id="77" name="图片 77" descr="C:\Users\ADMINI~1\AppData\Local\Temp\ksohtml\wps4B6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ADMINI~1\AppData\Local\Temp\ksohtml\wps4B68.tmp.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190500" cy="238125"/>
                    </a:xfrm>
                    <a:prstGeom prst="rect">
                      <a:avLst/>
                    </a:prstGeom>
                    <a:noFill/>
                    <a:ln>
                      <a:noFill/>
                    </a:ln>
                  </pic:spPr>
                </pic:pic>
              </a:graphicData>
            </a:graphic>
          </wp:inline>
        </w:drawing>
      </w:r>
      <w:r>
        <w:drawing>
          <wp:inline distT="0" distB="0" distL="0" distR="0">
            <wp:extent cx="152400" cy="190500"/>
            <wp:effectExtent l="0" t="0" r="0" b="0"/>
            <wp:docPr id="76" name="图片 76" descr="C:\Users\ADMINI~1\AppData\Local\Temp\ksohtml\wps4B69.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C:\Users\ADMINI~1\AppData\Local\Temp\ksohtml\wps4B69.tmp.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152400" cy="190500"/>
                    </a:xfrm>
                    <a:prstGeom prst="rect">
                      <a:avLst/>
                    </a:prstGeom>
                    <a:noFill/>
                    <a:ln>
                      <a:noFill/>
                    </a:ln>
                  </pic:spPr>
                </pic:pic>
              </a:graphicData>
            </a:graphic>
          </wp:inline>
        </w:drawing>
      </w:r>
      <w:r>
        <w:rPr>
          <w:rFonts w:ascii="宋体" w:hAnsi="宋体"/>
          <w:bCs/>
        </w:rPr>
        <w:t>为介质密度（</w:t>
      </w:r>
      <w:r>
        <w:rPr>
          <w:bCs/>
        </w:rPr>
        <w:t>kg/(dm)3</w:t>
      </w:r>
      <w:r>
        <w:rPr>
          <w:rFonts w:ascii="宋体" w:hAnsi="宋体"/>
          <w:bCs/>
        </w:rPr>
        <w:t>）；</w:t>
      </w:r>
      <w:r>
        <w:drawing>
          <wp:inline distT="0" distB="0" distL="0" distR="0">
            <wp:extent cx="114300" cy="238125"/>
            <wp:effectExtent l="0" t="0" r="0" b="9525"/>
            <wp:docPr id="75" name="图片 75" descr="C:\Users\ADMINI~1\AppData\Local\Temp\ksohtml\wps4B7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1\AppData\Local\Temp\ksohtml\wps4B7A.tmp.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114300" cy="238125"/>
                    </a:xfrm>
                    <a:prstGeom prst="rect">
                      <a:avLst/>
                    </a:prstGeom>
                    <a:noFill/>
                    <a:ln>
                      <a:noFill/>
                    </a:ln>
                  </pic:spPr>
                </pic:pic>
              </a:graphicData>
            </a:graphic>
          </wp:inline>
        </w:drawing>
      </w:r>
      <w:r>
        <w:drawing>
          <wp:inline distT="0" distB="0" distL="0" distR="0">
            <wp:extent cx="95250" cy="190500"/>
            <wp:effectExtent l="0" t="0" r="0" b="0"/>
            <wp:docPr id="74" name="图片 74" descr="C:\Users\ADMINI~1\AppData\Local\Temp\ksohtml\wps4B7B.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ADMINI~1\AppData\Local\Temp\ksohtml\wps4B7B.tmp.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95250" cy="190500"/>
                    </a:xfrm>
                    <a:prstGeom prst="rect">
                      <a:avLst/>
                    </a:prstGeom>
                    <a:noFill/>
                    <a:ln>
                      <a:noFill/>
                    </a:ln>
                  </pic:spPr>
                </pic:pic>
              </a:graphicData>
            </a:graphic>
          </wp:inline>
        </w:drawing>
      </w:r>
      <w:r>
        <w:rPr>
          <w:rFonts w:ascii="宋体" w:hAnsi="宋体"/>
          <w:bCs/>
        </w:rPr>
        <w:t>为介质孔隙度，无量纲；</w:t>
      </w:r>
      <w:r>
        <w:rPr>
          <w:bCs/>
        </w:rPr>
        <w:t>c</w:t>
      </w:r>
      <w:r>
        <w:rPr>
          <w:rFonts w:ascii="宋体" w:hAnsi="宋体"/>
          <w:bCs/>
        </w:rPr>
        <w:t>为组分浓度，（</w:t>
      </w:r>
      <w:r>
        <w:rPr>
          <w:bCs/>
        </w:rPr>
        <w:t>g/kg</w:t>
      </w:r>
      <w:r>
        <w:rPr>
          <w:rFonts w:ascii="宋体" w:hAnsi="宋体"/>
          <w:bCs/>
        </w:rPr>
        <w:t>）；</w:t>
      </w:r>
      <w:r>
        <w:drawing>
          <wp:inline distT="0" distB="0" distL="0" distR="0">
            <wp:extent cx="123825" cy="238125"/>
            <wp:effectExtent l="0" t="0" r="9525" b="9525"/>
            <wp:docPr id="73" name="图片 73" descr="C:\Users\ADMINI~1\AppData\Local\Temp\ksohtml\wps4B7C.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Users\ADMINI~1\AppData\Local\Temp\ksohtml\wps4B7C.tmp.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123825" cy="238125"/>
                    </a:xfrm>
                    <a:prstGeom prst="rect">
                      <a:avLst/>
                    </a:prstGeom>
                    <a:noFill/>
                    <a:ln>
                      <a:noFill/>
                    </a:ln>
                  </pic:spPr>
                </pic:pic>
              </a:graphicData>
            </a:graphic>
          </wp:inline>
        </w:drawing>
      </w:r>
      <w:r>
        <w:drawing>
          <wp:inline distT="0" distB="0" distL="0" distR="0">
            <wp:extent cx="104775" cy="190500"/>
            <wp:effectExtent l="0" t="0" r="9525" b="0"/>
            <wp:docPr id="72" name="图片 72" descr="C:\Users\ADMINI~1\AppData\Local\Temp\ksohtml\wps4B7D.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Users\ADMINI~1\AppData\Local\Temp\ksohtml\wps4B7D.tmp.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04775" cy="190500"/>
                    </a:xfrm>
                    <a:prstGeom prst="rect">
                      <a:avLst/>
                    </a:prstGeom>
                    <a:noFill/>
                    <a:ln>
                      <a:noFill/>
                    </a:ln>
                  </pic:spPr>
                </pic:pic>
              </a:graphicData>
            </a:graphic>
          </wp:inline>
        </w:drawing>
      </w:r>
      <w:r>
        <w:rPr>
          <w:rFonts w:ascii="宋体" w:hAnsi="宋体"/>
          <w:bCs/>
        </w:rPr>
        <w:t>为介质骨架吸附的溶质浓度（</w:t>
      </w:r>
      <w:r>
        <w:rPr>
          <w:bCs/>
        </w:rPr>
        <w:t>g/kg</w:t>
      </w:r>
      <w:r>
        <w:rPr>
          <w:rFonts w:ascii="宋体" w:hAnsi="宋体"/>
          <w:bCs/>
        </w:rPr>
        <w:t>）；</w:t>
      </w:r>
      <w:r>
        <w:rPr>
          <w:bCs/>
        </w:rPr>
        <w:t>t</w:t>
      </w:r>
      <w:r>
        <w:rPr>
          <w:rFonts w:ascii="宋体" w:hAnsi="宋体"/>
          <w:bCs/>
        </w:rPr>
        <w:t>为时间（</w:t>
      </w:r>
      <w:r>
        <w:rPr>
          <w:bCs/>
        </w:rPr>
        <w:t>d</w:t>
      </w:r>
      <w:r>
        <w:rPr>
          <w:rFonts w:ascii="宋体" w:hAnsi="宋体"/>
          <w:bCs/>
        </w:rPr>
        <w:t>）；</w:t>
      </w:r>
      <w:r>
        <w:rPr>
          <w:bCs/>
        </w:rPr>
        <w:t>Dij</w:t>
      </w:r>
      <w:r>
        <w:rPr>
          <w:rFonts w:ascii="宋体" w:hAnsi="宋体"/>
          <w:bCs/>
        </w:rPr>
        <w:t>为水动力弥散系数张量（</w:t>
      </w:r>
      <w:r>
        <w:rPr>
          <w:bCs/>
        </w:rPr>
        <w:t>m</w:t>
      </w:r>
      <w:r>
        <w:rPr>
          <w:bCs/>
          <w:vertAlign w:val="superscript"/>
        </w:rPr>
        <w:t>2</w:t>
      </w:r>
      <w:r>
        <w:rPr>
          <w:bCs/>
        </w:rPr>
        <w:t>/d</w:t>
      </w:r>
      <w:r>
        <w:rPr>
          <w:rFonts w:ascii="宋体" w:hAnsi="宋体"/>
          <w:bCs/>
        </w:rPr>
        <w:t>）；</w:t>
      </w:r>
      <w:r>
        <w:rPr>
          <w:bCs/>
        </w:rPr>
        <w:t>Vi</w:t>
      </w:r>
      <w:r>
        <w:rPr>
          <w:rFonts w:ascii="宋体" w:hAnsi="宋体"/>
          <w:bCs/>
        </w:rPr>
        <w:t>为地下水渗流速度张量（</w:t>
      </w:r>
      <w:r>
        <w:rPr>
          <w:bCs/>
        </w:rPr>
        <w:t>m/d</w:t>
      </w:r>
      <w:r>
        <w:rPr>
          <w:rFonts w:ascii="宋体" w:hAnsi="宋体"/>
          <w:bCs/>
        </w:rPr>
        <w:t>）；</w:t>
      </w:r>
      <w:r>
        <w:rPr>
          <w:bCs/>
        </w:rPr>
        <w:t>W</w:t>
      </w:r>
      <w:r>
        <w:rPr>
          <w:rFonts w:ascii="宋体" w:hAnsi="宋体"/>
          <w:bCs/>
        </w:rPr>
        <w:t>为水流的源汇项（</w:t>
      </w:r>
      <w:r>
        <w:rPr>
          <w:bCs/>
        </w:rPr>
        <w:t>1/d</w:t>
      </w:r>
      <w:r>
        <w:rPr>
          <w:rFonts w:ascii="宋体" w:hAnsi="宋体"/>
          <w:bCs/>
        </w:rPr>
        <w:t>）；</w:t>
      </w:r>
      <w:r>
        <w:rPr>
          <w:bCs/>
        </w:rPr>
        <w:t>Cs</w:t>
      </w:r>
      <w:r>
        <w:rPr>
          <w:rFonts w:ascii="宋体" w:hAnsi="宋体"/>
          <w:bCs/>
        </w:rPr>
        <w:t>为组分的浓度（</w:t>
      </w:r>
      <w:r>
        <w:rPr>
          <w:bCs/>
        </w:rPr>
        <w:t>g/L</w:t>
      </w:r>
      <w:r>
        <w:rPr>
          <w:rFonts w:ascii="宋体" w:hAnsi="宋体"/>
          <w:bCs/>
        </w:rPr>
        <w:t>）；</w:t>
      </w:r>
      <w:r>
        <w:drawing>
          <wp:inline distT="0" distB="0" distL="0" distR="0">
            <wp:extent cx="171450" cy="238125"/>
            <wp:effectExtent l="0" t="0" r="0" b="9525"/>
            <wp:docPr id="71" name="图片 71" descr="C:\Users\ADMINI~1\AppData\Local\Temp\ksohtml\wps4B7E.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C:\Users\ADMINI~1\AppData\Local\Temp\ksohtml\wps4B7E.tmp.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171450" cy="238125"/>
                    </a:xfrm>
                    <a:prstGeom prst="rect">
                      <a:avLst/>
                    </a:prstGeom>
                    <a:noFill/>
                    <a:ln>
                      <a:noFill/>
                    </a:ln>
                  </pic:spPr>
                </pic:pic>
              </a:graphicData>
            </a:graphic>
          </wp:inline>
        </w:drawing>
      </w:r>
      <w:r>
        <w:drawing>
          <wp:inline distT="0" distB="0" distL="0" distR="0">
            <wp:extent cx="142875" cy="190500"/>
            <wp:effectExtent l="0" t="0" r="9525" b="0"/>
            <wp:docPr id="70" name="图片 70" descr="C:\Users\ADMINI~1\AppData\Local\Temp\ksohtml\wps4B8E.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C:\Users\ADMINI~1\AppData\Local\Temp\ksohtml\wps4B8E.tmp.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Pr>
          <w:rFonts w:ascii="宋体" w:hAnsi="宋体"/>
          <w:bCs/>
        </w:rPr>
        <w:t>为溶解相一级反应速率（</w:t>
      </w:r>
      <w:r>
        <w:rPr>
          <w:bCs/>
        </w:rPr>
        <w:t>1/d</w:t>
      </w:r>
      <w:r>
        <w:rPr>
          <w:rFonts w:ascii="宋体" w:hAnsi="宋体"/>
          <w:bCs/>
        </w:rPr>
        <w:t>）；</w:t>
      </w:r>
      <w:r>
        <w:drawing>
          <wp:inline distT="0" distB="0" distL="0" distR="0">
            <wp:extent cx="171450" cy="238125"/>
            <wp:effectExtent l="0" t="0" r="0" b="9525"/>
            <wp:docPr id="69" name="图片 69" descr="C:\Users\ADMINI~1\AppData\Local\Temp\ksohtml\wps4B8F.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Users\ADMINI~1\AppData\Local\Temp\ksohtml\wps4B8F.tmp.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71450" cy="238125"/>
                    </a:xfrm>
                    <a:prstGeom prst="rect">
                      <a:avLst/>
                    </a:prstGeom>
                    <a:noFill/>
                    <a:ln>
                      <a:noFill/>
                    </a:ln>
                  </pic:spPr>
                </pic:pic>
              </a:graphicData>
            </a:graphic>
          </wp:inline>
        </w:drawing>
      </w:r>
      <w:r>
        <w:drawing>
          <wp:inline distT="0" distB="0" distL="0" distR="0">
            <wp:extent cx="142875" cy="190500"/>
            <wp:effectExtent l="0" t="0" r="9525" b="0"/>
            <wp:docPr id="68" name="图片 68" descr="C:\Users\ADMINI~1\AppData\Local\Temp\ksohtml\wps4B90.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1\AppData\Local\Temp\ksohtml\wps4B90.tmp.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Pr>
          <w:rFonts w:ascii="宋体" w:hAnsi="宋体"/>
          <w:bCs/>
        </w:rPr>
        <w:t>吸附相反</w:t>
      </w:r>
      <w:r>
        <w:drawing>
          <wp:inline distT="0" distB="0" distL="0" distR="0">
            <wp:extent cx="647700" cy="190500"/>
            <wp:effectExtent l="0" t="0" r="0" b="0"/>
            <wp:docPr id="67" name="图片 67" descr="C:\Users\ADMINI~1\AppData\Local\Temp\ksohtml\wps4B9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1\AppData\Local\Temp\ksohtml\wps4B91.tmp.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Pr>
          <w:rFonts w:ascii="宋体" w:hAnsi="宋体"/>
          <w:bCs/>
        </w:rPr>
        <w:t>应速率（</w:t>
      </w:r>
      <w:r>
        <w:rPr>
          <w:bCs/>
        </w:rPr>
        <w:t>1/d</w:t>
      </w:r>
      <w:r>
        <w:rPr>
          <w:rFonts w:ascii="宋体" w:hAnsi="宋体"/>
          <w:bCs/>
        </w:rPr>
        <w:t>）；</w:t>
      </w:r>
      <w:r>
        <w:drawing>
          <wp:inline distT="0" distB="0" distL="0" distR="0">
            <wp:extent cx="809625" cy="238125"/>
            <wp:effectExtent l="0" t="0" r="9525" b="9525"/>
            <wp:docPr id="66" name="图片 66" descr="C:\Users\ADMINI~1\AppData\Local\Temp\ksohtml\wps4B9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C:\Users\ADMINI~1\AppData\Local\Temp\ksohtml\wps4B92.tmp.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809625" cy="238125"/>
                    </a:xfrm>
                    <a:prstGeom prst="rect">
                      <a:avLst/>
                    </a:prstGeom>
                    <a:noFill/>
                    <a:ln>
                      <a:noFill/>
                    </a:ln>
                  </pic:spPr>
                </pic:pic>
              </a:graphicData>
            </a:graphic>
          </wp:inline>
        </w:drawing>
      </w:r>
      <w:r>
        <w:rPr>
          <w:rFonts w:ascii="宋体" w:hAnsi="宋体"/>
          <w:bCs/>
        </w:rPr>
        <w:t>为已知浓度分布；</w:t>
      </w:r>
      <w:r>
        <w:drawing>
          <wp:inline distT="0" distB="0" distL="0" distR="0">
            <wp:extent cx="142875" cy="238125"/>
            <wp:effectExtent l="0" t="0" r="9525" b="9525"/>
            <wp:docPr id="65" name="图片 65" descr="C:\Users\ADMINI~1\AppData\Local\Temp\ksohtml\wps4B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Users\ADMINI~1\AppData\Local\Temp\ksohtml\wps4BA3.tmp.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42875" cy="238125"/>
                    </a:xfrm>
                    <a:prstGeom prst="rect">
                      <a:avLst/>
                    </a:prstGeom>
                    <a:noFill/>
                    <a:ln>
                      <a:noFill/>
                    </a:ln>
                  </pic:spPr>
                </pic:pic>
              </a:graphicData>
            </a:graphic>
          </wp:inline>
        </w:drawing>
      </w:r>
      <w:r>
        <w:drawing>
          <wp:inline distT="0" distB="0" distL="0" distR="0">
            <wp:extent cx="114300" cy="190500"/>
            <wp:effectExtent l="0" t="0" r="0" b="0"/>
            <wp:docPr id="64" name="图片 64" descr="C:\Users\ADMINI~1\AppData\Local\Temp\ksohtml\wps4BA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ADMINI~1\AppData\Local\Temp\ksohtml\wps4BA4.tm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Pr>
          <w:rFonts w:ascii="宋体" w:hAnsi="宋体"/>
          <w:bCs/>
        </w:rPr>
        <w:t>为模型模拟区；</w:t>
      </w:r>
      <w:r>
        <w:drawing>
          <wp:inline distT="0" distB="0" distL="0" distR="0">
            <wp:extent cx="142875" cy="238125"/>
            <wp:effectExtent l="0" t="0" r="9525" b="9525"/>
            <wp:docPr id="63" name="图片 63" descr="C:\Users\ADMINI~1\AppData\Local\Temp\ksohtml\wps4BA5.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ADMINI~1\AppData\Local\Temp\ksohtml\wps4BA5.tmp.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142875" cy="238125"/>
                    </a:xfrm>
                    <a:prstGeom prst="rect">
                      <a:avLst/>
                    </a:prstGeom>
                    <a:noFill/>
                    <a:ln>
                      <a:noFill/>
                    </a:ln>
                  </pic:spPr>
                </pic:pic>
              </a:graphicData>
            </a:graphic>
          </wp:inline>
        </w:drawing>
      </w:r>
      <w:r>
        <w:drawing>
          <wp:inline distT="0" distB="0" distL="0" distR="0">
            <wp:extent cx="114300" cy="190500"/>
            <wp:effectExtent l="0" t="0" r="0" b="0"/>
            <wp:docPr id="62" name="图片 62" descr="C:\Users\ADMINI~1\AppData\Local\Temp\ksohtml\wps4BA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Users\ADMINI~1\AppData\Local\Temp\ksohtml\wps4BA6.tmp.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Pr>
          <w:rFonts w:ascii="宋体" w:hAnsi="宋体"/>
          <w:bCs/>
        </w:rPr>
        <w:t>为给定浓度边界；</w:t>
      </w:r>
      <w:r>
        <w:drawing>
          <wp:inline distT="0" distB="0" distL="0" distR="0">
            <wp:extent cx="885825" cy="238125"/>
            <wp:effectExtent l="0" t="0" r="9525" b="9525"/>
            <wp:docPr id="61" name="图片 61" descr="C:\Users\ADMINI~1\AppData\Local\Temp\ksohtml\wps4BA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Users\ADMINI~1\AppData\Local\Temp\ksohtml\wps4BA7.tmp.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885825" cy="238125"/>
                    </a:xfrm>
                    <a:prstGeom prst="rect">
                      <a:avLst/>
                    </a:prstGeom>
                    <a:noFill/>
                    <a:ln>
                      <a:noFill/>
                    </a:ln>
                  </pic:spPr>
                </pic:pic>
              </a:graphicData>
            </a:graphic>
          </wp:inline>
        </w:drawing>
      </w:r>
      <w:r>
        <w:drawing>
          <wp:inline distT="0" distB="0" distL="0" distR="0">
            <wp:extent cx="714375" cy="190500"/>
            <wp:effectExtent l="0" t="0" r="9525" b="0"/>
            <wp:docPr id="60" name="图片 60" descr="C:\Users\ADMINI~1\AppData\Local\Temp\ksohtml\wps4BA8.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ADMINI~1\AppData\Local\Temp\ksohtml\wps4BA8.tmp.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714375" cy="190500"/>
                    </a:xfrm>
                    <a:prstGeom prst="rect">
                      <a:avLst/>
                    </a:prstGeom>
                    <a:noFill/>
                    <a:ln>
                      <a:noFill/>
                    </a:ln>
                  </pic:spPr>
                </pic:pic>
              </a:graphicData>
            </a:graphic>
          </wp:inline>
        </w:drawing>
      </w:r>
      <w:r>
        <w:rPr>
          <w:rFonts w:ascii="宋体" w:hAnsi="宋体"/>
          <w:bCs/>
        </w:rPr>
        <w:t>为定浓度边界上的浓度分布；</w:t>
      </w:r>
      <w:r>
        <w:drawing>
          <wp:inline distT="0" distB="0" distL="0" distR="0">
            <wp:extent cx="152400" cy="238125"/>
            <wp:effectExtent l="0" t="0" r="0" b="9525"/>
            <wp:docPr id="59" name="图片 59" descr="C:\Users\ADMINI~1\AppData\Local\Temp\ksohtml\wps4BB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ADMINI~1\AppData\Local\Temp\ksohtml\wps4BB9.tmp.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2400" cy="238125"/>
                    </a:xfrm>
                    <a:prstGeom prst="rect">
                      <a:avLst/>
                    </a:prstGeom>
                    <a:noFill/>
                    <a:ln>
                      <a:noFill/>
                    </a:ln>
                  </pic:spPr>
                </pic:pic>
              </a:graphicData>
            </a:graphic>
          </wp:inline>
        </w:drawing>
      </w:r>
      <w:r>
        <w:drawing>
          <wp:inline distT="0" distB="0" distL="0" distR="0">
            <wp:extent cx="123825" cy="190500"/>
            <wp:effectExtent l="0" t="0" r="9525" b="0"/>
            <wp:docPr id="58" name="图片 58" descr="C:\Users\ADMINI~1\AppData\Local\Temp\ksohtml\wps4BBA.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ADMINI~1\AppData\Local\Temp\ksohtml\wps4BBA.tmp.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Pr>
          <w:rFonts w:ascii="宋体" w:hAnsi="宋体"/>
          <w:bCs/>
        </w:rPr>
        <w:t>为通量边界；</w:t>
      </w:r>
      <w:r>
        <w:drawing>
          <wp:inline distT="0" distB="0" distL="0" distR="0">
            <wp:extent cx="904875" cy="238125"/>
            <wp:effectExtent l="0" t="0" r="9525" b="9525"/>
            <wp:docPr id="57" name="图片 57" descr="C:\Users\ADMINI~1\AppData\Local\Temp\ksohtml\wps4BBB.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C:\Users\ADMINI~1\AppData\Local\Temp\ksohtml\wps4BBB.tmp.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904875" cy="238125"/>
                    </a:xfrm>
                    <a:prstGeom prst="rect">
                      <a:avLst/>
                    </a:prstGeom>
                    <a:noFill/>
                    <a:ln>
                      <a:noFill/>
                    </a:ln>
                  </pic:spPr>
                </pic:pic>
              </a:graphicData>
            </a:graphic>
          </wp:inline>
        </w:drawing>
      </w:r>
      <w:r>
        <w:drawing>
          <wp:inline distT="0" distB="0" distL="0" distR="0">
            <wp:extent cx="723900" cy="190500"/>
            <wp:effectExtent l="0" t="0" r="0" b="0"/>
            <wp:docPr id="56" name="图片 56" descr="C:\Users\ADMINI~1\AppData\Local\Temp\ksohtml\wps4BBC.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ADMINI~1\AppData\Local\Temp\ksohtml\wps4BBC.tmp.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723900" cy="190500"/>
                    </a:xfrm>
                    <a:prstGeom prst="rect">
                      <a:avLst/>
                    </a:prstGeom>
                    <a:noFill/>
                    <a:ln>
                      <a:noFill/>
                    </a:ln>
                  </pic:spPr>
                </pic:pic>
              </a:graphicData>
            </a:graphic>
          </wp:inline>
        </w:drawing>
      </w:r>
      <w:r>
        <w:rPr>
          <w:rFonts w:ascii="宋体" w:hAnsi="宋体"/>
          <w:bCs/>
        </w:rPr>
        <w:t>为边界</w:t>
      </w:r>
      <w:r>
        <w:drawing>
          <wp:inline distT="0" distB="0" distL="0" distR="0">
            <wp:extent cx="152400" cy="238125"/>
            <wp:effectExtent l="0" t="0" r="0" b="9525"/>
            <wp:docPr id="55" name="图片 55" descr="C:\Users\ADMINI~1\AppData\Local\Temp\ksohtml\wps4BB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Users\ADMINI~1\AppData\Local\Temp\ksohtml\wps4BBD.tmp.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2400" cy="238125"/>
                    </a:xfrm>
                    <a:prstGeom prst="rect">
                      <a:avLst/>
                    </a:prstGeom>
                    <a:noFill/>
                    <a:ln>
                      <a:noFill/>
                    </a:ln>
                  </pic:spPr>
                </pic:pic>
              </a:graphicData>
            </a:graphic>
          </wp:inline>
        </w:drawing>
      </w:r>
      <w:r>
        <w:drawing>
          <wp:inline distT="0" distB="0" distL="0" distR="0">
            <wp:extent cx="123825" cy="190500"/>
            <wp:effectExtent l="0" t="0" r="9525" b="0"/>
            <wp:docPr id="54" name="图片 54" descr="C:\Users\ADMINI~1\AppData\Local\Temp\ksohtml\wps4BCD.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Users\ADMINI~1\AppData\Local\Temp\ksohtml\wps4BCD.tmp.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Pr>
          <w:rFonts w:ascii="宋体" w:hAnsi="宋体"/>
          <w:bCs/>
        </w:rPr>
        <w:t>上已知的弥散通量函数。</w:t>
      </w:r>
    </w:p>
    <w:p w14:paraId="06821E84">
      <w:pPr>
        <w:wordWrap w:val="0"/>
        <w:ind w:firstLine="480"/>
        <w:rPr>
          <w:b/>
          <w:bCs/>
        </w:rPr>
      </w:pPr>
      <w:r>
        <w:rPr>
          <w:rFonts w:ascii="宋体" w:hAnsi="宋体"/>
          <w:bCs/>
        </w:rPr>
        <w:t>（</w:t>
      </w:r>
      <w:r>
        <w:rPr>
          <w:bCs/>
        </w:rPr>
        <w:t>3</w:t>
      </w:r>
      <w:r>
        <w:rPr>
          <w:rFonts w:ascii="宋体" w:hAnsi="宋体"/>
          <w:bCs/>
        </w:rPr>
        <w:t>）数学模型求解</w:t>
      </w:r>
    </w:p>
    <w:p w14:paraId="48D9615B">
      <w:pPr>
        <w:wordWrap w:val="0"/>
        <w:ind w:firstLine="480"/>
        <w:rPr>
          <w:b/>
          <w:bCs/>
        </w:rPr>
      </w:pPr>
      <w:r>
        <w:rPr>
          <w:rFonts w:ascii="宋体" w:hAnsi="宋体"/>
          <w:bCs/>
        </w:rPr>
        <w:t>上述数学模型可用不同的数值法来求解。本次模拟计算，采用</w:t>
      </w:r>
      <w:r>
        <w:rPr>
          <w:bCs/>
        </w:rPr>
        <w:t>GMS</w:t>
      </w:r>
      <w:r>
        <w:rPr>
          <w:rFonts w:ascii="宋体" w:hAnsi="宋体"/>
          <w:bCs/>
        </w:rPr>
        <w:t>软件求解，用</w:t>
      </w:r>
      <w:r>
        <w:rPr>
          <w:bCs/>
        </w:rPr>
        <w:t>MODFLOW</w:t>
      </w:r>
      <w:r>
        <w:rPr>
          <w:rFonts w:ascii="宋体" w:hAnsi="宋体"/>
          <w:bCs/>
        </w:rPr>
        <w:t>计算模块求解地下水水流运动数学模型，用</w:t>
      </w:r>
      <w:r>
        <w:rPr>
          <w:bCs/>
        </w:rPr>
        <w:t>MT3DMS</w:t>
      </w:r>
      <w:r>
        <w:rPr>
          <w:rFonts w:ascii="宋体" w:hAnsi="宋体"/>
          <w:bCs/>
        </w:rPr>
        <w:t>模块求解地下水污染物运移数学模型。</w:t>
      </w:r>
    </w:p>
    <w:p w14:paraId="5678AAC3">
      <w:pPr>
        <w:pStyle w:val="4068"/>
      </w:pPr>
      <w:bookmarkStart w:id="292" w:name="_Toc52175557"/>
      <w:bookmarkEnd w:id="292"/>
      <w:bookmarkStart w:id="293" w:name="_Toc100784057"/>
      <w:bookmarkStart w:id="294" w:name="_Toc101135889"/>
      <w:bookmarkStart w:id="295" w:name="_Toc108662666"/>
      <w:r>
        <w:rPr>
          <w:rFonts w:hint="eastAsia"/>
        </w:rPr>
        <w:t>5.5.7</w:t>
      </w:r>
      <w:r>
        <w:rPr>
          <w:rFonts w:hint="eastAsia" w:ascii="黑体" w:hAnsi="黑体"/>
        </w:rPr>
        <w:t>模型参数</w:t>
      </w:r>
      <w:bookmarkEnd w:id="293"/>
      <w:bookmarkEnd w:id="294"/>
      <w:bookmarkEnd w:id="295"/>
    </w:p>
    <w:p w14:paraId="6E3BD859">
      <w:pPr>
        <w:ind w:firstLine="480"/>
        <w:rPr>
          <w:bCs/>
        </w:rPr>
      </w:pPr>
      <w:r>
        <w:rPr>
          <w:rFonts w:ascii="宋体" w:hAnsi="宋体"/>
          <w:bCs/>
        </w:rPr>
        <w:t>（</w:t>
      </w:r>
      <w:r>
        <w:rPr>
          <w:bCs/>
        </w:rPr>
        <w:t>1</w:t>
      </w:r>
      <w:r>
        <w:rPr>
          <w:rFonts w:ascii="宋体" w:hAnsi="宋体"/>
          <w:bCs/>
        </w:rPr>
        <w:t>）渗透系数计算</w:t>
      </w:r>
    </w:p>
    <w:p w14:paraId="08E7C28D">
      <w:pPr>
        <w:ind w:firstLine="480"/>
        <w:rPr>
          <w:bCs/>
        </w:rPr>
      </w:pPr>
      <w:r>
        <w:rPr>
          <w:rFonts w:ascii="宋体" w:hAnsi="宋体"/>
          <w:bCs/>
        </w:rPr>
        <w:t>根据导则附录表</w:t>
      </w:r>
      <w:r>
        <w:rPr>
          <w:bCs/>
        </w:rPr>
        <w:t>B.1</w:t>
      </w:r>
      <w:r>
        <w:rPr>
          <w:rFonts w:ascii="宋体" w:hAnsi="宋体"/>
          <w:bCs/>
        </w:rPr>
        <w:t>，研究区</w:t>
      </w:r>
      <w:r>
        <w:rPr>
          <w:rFonts w:hint="eastAsia" w:ascii="宋体" w:hAnsi="宋体"/>
          <w:bCs/>
        </w:rPr>
        <w:t>第一层以粘土、粉质粘土、粘土夹砂和薄层粉细砂</w:t>
      </w:r>
      <w:r>
        <w:rPr>
          <w:rFonts w:ascii="宋体" w:hAnsi="宋体"/>
          <w:bCs/>
        </w:rPr>
        <w:t>，取值范围设定为</w:t>
      </w:r>
      <w:r>
        <w:rPr>
          <w:rFonts w:hint="eastAsia"/>
          <w:bCs/>
        </w:rPr>
        <w:t>0.5</w:t>
      </w:r>
      <w:r>
        <w:rPr>
          <w:bCs/>
        </w:rPr>
        <w:t>~</w:t>
      </w:r>
      <w:r>
        <w:rPr>
          <w:rFonts w:hint="eastAsia"/>
          <w:bCs/>
        </w:rPr>
        <w:t>1.5</w:t>
      </w:r>
      <w:r>
        <w:rPr>
          <w:bCs/>
        </w:rPr>
        <w:t>m/d</w:t>
      </w:r>
      <w:r>
        <w:rPr>
          <w:rFonts w:ascii="宋体" w:hAnsi="宋体"/>
          <w:bCs/>
        </w:rPr>
        <w:t>，第</w:t>
      </w:r>
      <w:r>
        <w:rPr>
          <w:rFonts w:hint="eastAsia" w:ascii="宋体" w:hAnsi="宋体"/>
          <w:bCs/>
        </w:rPr>
        <w:t>二</w:t>
      </w:r>
      <w:r>
        <w:rPr>
          <w:rFonts w:ascii="宋体" w:hAnsi="宋体"/>
          <w:bCs/>
        </w:rPr>
        <w:t>层</w:t>
      </w:r>
      <w:r>
        <w:rPr>
          <w:rFonts w:hint="eastAsia" w:ascii="宋体" w:hAnsi="宋体"/>
          <w:bCs/>
        </w:rPr>
        <w:t>为粘土</w:t>
      </w:r>
      <w:r>
        <w:rPr>
          <w:rFonts w:ascii="宋体" w:hAnsi="宋体"/>
          <w:bCs/>
        </w:rPr>
        <w:t>，取值范围设定为</w:t>
      </w:r>
      <w:r>
        <w:rPr>
          <w:rFonts w:hint="eastAsia"/>
          <w:bCs/>
        </w:rPr>
        <w:t>0.1</w:t>
      </w:r>
      <w:r>
        <w:rPr>
          <w:bCs/>
        </w:rPr>
        <w:t>~</w:t>
      </w:r>
      <w:r>
        <w:rPr>
          <w:rFonts w:hint="eastAsia"/>
          <w:bCs/>
        </w:rPr>
        <w:t>0.25</w:t>
      </w:r>
      <w:r>
        <w:rPr>
          <w:bCs/>
        </w:rPr>
        <w:t>m/d</w:t>
      </w:r>
      <w:r>
        <w:rPr>
          <w:rFonts w:hint="eastAsia" w:ascii="宋体" w:hAnsi="宋体"/>
          <w:bCs/>
        </w:rPr>
        <w:t>；第三层为粉细砂</w:t>
      </w:r>
      <w:r>
        <w:rPr>
          <w:bCs/>
        </w:rPr>
        <w:t>-</w:t>
      </w:r>
      <w:r>
        <w:rPr>
          <w:rFonts w:hint="eastAsia" w:ascii="宋体" w:hAnsi="宋体"/>
          <w:bCs/>
        </w:rPr>
        <w:t>中砂、粘土夹砂组，</w:t>
      </w:r>
      <w:r>
        <w:rPr>
          <w:rFonts w:ascii="宋体" w:hAnsi="宋体"/>
          <w:bCs/>
        </w:rPr>
        <w:t>取值范围设定为</w:t>
      </w:r>
      <w:r>
        <w:rPr>
          <w:rFonts w:hint="eastAsia"/>
          <w:bCs/>
        </w:rPr>
        <w:t>1</w:t>
      </w:r>
      <w:r>
        <w:rPr>
          <w:bCs/>
        </w:rPr>
        <w:t>~</w:t>
      </w:r>
      <w:r>
        <w:rPr>
          <w:rFonts w:hint="eastAsia"/>
          <w:bCs/>
        </w:rPr>
        <w:t>25</w:t>
      </w:r>
      <w:r>
        <w:rPr>
          <w:bCs/>
        </w:rPr>
        <w:t>m/d</w:t>
      </w:r>
      <w:r>
        <w:rPr>
          <w:rFonts w:hint="eastAsia" w:ascii="宋体" w:hAnsi="宋体"/>
          <w:bCs/>
        </w:rPr>
        <w:t>；第四层为粘土</w:t>
      </w:r>
      <w:r>
        <w:rPr>
          <w:rFonts w:ascii="宋体" w:hAnsi="宋体"/>
          <w:bCs/>
        </w:rPr>
        <w:t>，取值范围设定为</w:t>
      </w:r>
      <w:r>
        <w:rPr>
          <w:rFonts w:hint="eastAsia"/>
          <w:bCs/>
        </w:rPr>
        <w:t>0.1</w:t>
      </w:r>
      <w:r>
        <w:rPr>
          <w:bCs/>
        </w:rPr>
        <w:t>~</w:t>
      </w:r>
      <w:r>
        <w:rPr>
          <w:rFonts w:hint="eastAsia"/>
          <w:bCs/>
        </w:rPr>
        <w:t>0.25</w:t>
      </w:r>
      <w:r>
        <w:rPr>
          <w:bCs/>
        </w:rPr>
        <w:t>m/d</w:t>
      </w:r>
      <w:r>
        <w:rPr>
          <w:rFonts w:ascii="宋体" w:hAnsi="宋体"/>
          <w:bCs/>
        </w:rPr>
        <w:t>。垂向渗透系数与水平渗透系数比值设置为</w:t>
      </w:r>
      <w:r>
        <w:rPr>
          <w:bCs/>
        </w:rPr>
        <w:t>0.</w:t>
      </w:r>
      <w:r>
        <w:rPr>
          <w:rFonts w:hint="eastAsia"/>
          <w:bCs/>
        </w:rPr>
        <w:t>2</w:t>
      </w:r>
      <w:r>
        <w:rPr>
          <w:rFonts w:ascii="宋体" w:hAnsi="宋体"/>
          <w:bCs/>
        </w:rPr>
        <w:t>。</w:t>
      </w:r>
    </w:p>
    <w:p w14:paraId="3E1F4435">
      <w:pPr>
        <w:pStyle w:val="278"/>
        <w:ind w:firstLine="480"/>
      </w:pPr>
      <w:bookmarkStart w:id="296" w:name="_Toc1514_WPSOffice_Level2"/>
      <w:bookmarkEnd w:id="296"/>
      <w:r>
        <w:rPr>
          <w:rFonts w:ascii="黑体" w:hAnsi="黑体"/>
        </w:rPr>
        <w:t>表</w:t>
      </w:r>
      <w:r>
        <w:rPr>
          <w:rFonts w:hint="eastAsia"/>
        </w:rPr>
        <w:t>5</w:t>
      </w:r>
      <w:r>
        <w:t>.</w:t>
      </w:r>
      <w:r>
        <w:rPr>
          <w:rFonts w:hint="eastAsia"/>
        </w:rPr>
        <w:t>5.7</w:t>
      </w:r>
      <w:r>
        <w:t>-</w:t>
      </w:r>
      <w:r>
        <w:rPr>
          <w:rFonts w:hint="eastAsia"/>
        </w:rPr>
        <w:t xml:space="preserve">1 </w:t>
      </w:r>
      <w:r>
        <w:t xml:space="preserve"> </w:t>
      </w:r>
      <w:r>
        <w:rPr>
          <w:rFonts w:ascii="黑体" w:hAnsi="黑体"/>
        </w:rPr>
        <w:t>岩土渗透系数参考值</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5378"/>
      </w:tblGrid>
      <w:tr w14:paraId="7612C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12" w:space="0"/>
              <w:left w:val="nil"/>
              <w:bottom w:val="single" w:color="auto" w:sz="4" w:space="0"/>
              <w:right w:val="single" w:color="auto" w:sz="4" w:space="0"/>
            </w:tcBorders>
          </w:tcPr>
          <w:p w14:paraId="50888CCE">
            <w:pPr>
              <w:pStyle w:val="445"/>
              <w:rPr>
                <w:rFonts w:cs="Times New Roman"/>
                <w:kern w:val="0"/>
                <w:szCs w:val="20"/>
              </w:rPr>
            </w:pPr>
            <w:r>
              <w:rPr>
                <w:rFonts w:cs="Times New Roman"/>
                <w:kern w:val="0"/>
                <w:szCs w:val="20"/>
              </w:rPr>
              <w:t>岩性</w:t>
            </w:r>
          </w:p>
        </w:tc>
        <w:tc>
          <w:tcPr>
            <w:tcW w:w="2909" w:type="pct"/>
            <w:tcBorders>
              <w:top w:val="single" w:color="auto" w:sz="12" w:space="0"/>
              <w:left w:val="single" w:color="auto" w:sz="4" w:space="0"/>
              <w:bottom w:val="single" w:color="auto" w:sz="4" w:space="0"/>
              <w:right w:val="nil"/>
            </w:tcBorders>
          </w:tcPr>
          <w:p w14:paraId="218E95BA">
            <w:pPr>
              <w:pStyle w:val="445"/>
              <w:rPr>
                <w:rFonts w:cs="Times New Roman"/>
                <w:kern w:val="0"/>
                <w:szCs w:val="20"/>
              </w:rPr>
            </w:pPr>
            <w:r>
              <w:rPr>
                <w:rFonts w:cs="Times New Roman"/>
                <w:kern w:val="0"/>
                <w:szCs w:val="20"/>
              </w:rPr>
              <w:t>渗透系数K（m/d）</w:t>
            </w:r>
          </w:p>
        </w:tc>
      </w:tr>
      <w:tr w14:paraId="647BF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4877CC2D">
            <w:pPr>
              <w:pStyle w:val="445"/>
              <w:rPr>
                <w:rFonts w:cs="Times New Roman"/>
                <w:kern w:val="0"/>
                <w:szCs w:val="20"/>
              </w:rPr>
            </w:pPr>
            <w:r>
              <w:rPr>
                <w:rFonts w:cs="Times New Roman"/>
                <w:kern w:val="0"/>
                <w:szCs w:val="20"/>
              </w:rPr>
              <w:t>轻亚黏土</w:t>
            </w:r>
          </w:p>
        </w:tc>
        <w:tc>
          <w:tcPr>
            <w:tcW w:w="2909" w:type="pct"/>
            <w:tcBorders>
              <w:top w:val="single" w:color="auto" w:sz="4" w:space="0"/>
              <w:left w:val="single" w:color="auto" w:sz="4" w:space="0"/>
              <w:bottom w:val="single" w:color="auto" w:sz="4" w:space="0"/>
              <w:right w:val="nil"/>
            </w:tcBorders>
          </w:tcPr>
          <w:p w14:paraId="36E0ADE5">
            <w:pPr>
              <w:pStyle w:val="445"/>
              <w:rPr>
                <w:rFonts w:cs="Times New Roman"/>
                <w:kern w:val="0"/>
                <w:szCs w:val="20"/>
              </w:rPr>
            </w:pPr>
            <w:r>
              <w:rPr>
                <w:rFonts w:cs="Times New Roman"/>
                <w:kern w:val="0"/>
                <w:szCs w:val="20"/>
              </w:rPr>
              <w:t>0.05-0.1</w:t>
            </w:r>
          </w:p>
        </w:tc>
      </w:tr>
      <w:tr w14:paraId="47800E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01FEB7C0">
            <w:pPr>
              <w:pStyle w:val="445"/>
              <w:rPr>
                <w:rFonts w:cs="Times New Roman"/>
                <w:kern w:val="0"/>
                <w:szCs w:val="20"/>
              </w:rPr>
            </w:pPr>
            <w:r>
              <w:rPr>
                <w:rFonts w:cs="Times New Roman"/>
                <w:kern w:val="0"/>
                <w:szCs w:val="20"/>
              </w:rPr>
              <w:t>亚黏土</w:t>
            </w:r>
          </w:p>
        </w:tc>
        <w:tc>
          <w:tcPr>
            <w:tcW w:w="2909" w:type="pct"/>
            <w:tcBorders>
              <w:top w:val="single" w:color="auto" w:sz="4" w:space="0"/>
              <w:left w:val="single" w:color="auto" w:sz="4" w:space="0"/>
              <w:bottom w:val="single" w:color="auto" w:sz="4" w:space="0"/>
              <w:right w:val="nil"/>
            </w:tcBorders>
          </w:tcPr>
          <w:p w14:paraId="23DBEF82">
            <w:pPr>
              <w:pStyle w:val="445"/>
              <w:rPr>
                <w:rFonts w:cs="Times New Roman"/>
                <w:kern w:val="0"/>
                <w:szCs w:val="20"/>
              </w:rPr>
            </w:pPr>
            <w:r>
              <w:rPr>
                <w:rFonts w:cs="Times New Roman"/>
                <w:kern w:val="0"/>
                <w:szCs w:val="20"/>
              </w:rPr>
              <w:t>0.1-0.25</w:t>
            </w:r>
          </w:p>
        </w:tc>
      </w:tr>
      <w:tr w14:paraId="17460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16C8284F">
            <w:pPr>
              <w:pStyle w:val="445"/>
              <w:rPr>
                <w:rFonts w:cs="Times New Roman"/>
                <w:kern w:val="0"/>
                <w:szCs w:val="20"/>
              </w:rPr>
            </w:pPr>
            <w:r>
              <w:rPr>
                <w:rFonts w:cs="Times New Roman"/>
                <w:kern w:val="0"/>
                <w:szCs w:val="20"/>
              </w:rPr>
              <w:t>黄土</w:t>
            </w:r>
          </w:p>
        </w:tc>
        <w:tc>
          <w:tcPr>
            <w:tcW w:w="2909" w:type="pct"/>
            <w:tcBorders>
              <w:top w:val="single" w:color="auto" w:sz="4" w:space="0"/>
              <w:left w:val="single" w:color="auto" w:sz="4" w:space="0"/>
              <w:bottom w:val="single" w:color="auto" w:sz="4" w:space="0"/>
              <w:right w:val="nil"/>
            </w:tcBorders>
          </w:tcPr>
          <w:p w14:paraId="17BF0C42">
            <w:pPr>
              <w:pStyle w:val="445"/>
              <w:rPr>
                <w:rFonts w:cs="Times New Roman"/>
                <w:kern w:val="0"/>
                <w:szCs w:val="20"/>
              </w:rPr>
            </w:pPr>
            <w:r>
              <w:rPr>
                <w:rFonts w:cs="Times New Roman"/>
                <w:kern w:val="0"/>
                <w:szCs w:val="20"/>
              </w:rPr>
              <w:t>0.25-0.5</w:t>
            </w:r>
          </w:p>
        </w:tc>
      </w:tr>
      <w:tr w14:paraId="6C1FC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741D5DD7">
            <w:pPr>
              <w:pStyle w:val="445"/>
              <w:rPr>
                <w:rFonts w:cs="Times New Roman"/>
                <w:kern w:val="0"/>
                <w:szCs w:val="20"/>
              </w:rPr>
            </w:pPr>
            <w:r>
              <w:rPr>
                <w:rFonts w:cs="Times New Roman"/>
                <w:kern w:val="0"/>
                <w:szCs w:val="20"/>
              </w:rPr>
              <w:t>粉土质砂</w:t>
            </w:r>
          </w:p>
        </w:tc>
        <w:tc>
          <w:tcPr>
            <w:tcW w:w="2909" w:type="pct"/>
            <w:tcBorders>
              <w:top w:val="single" w:color="auto" w:sz="4" w:space="0"/>
              <w:left w:val="single" w:color="auto" w:sz="4" w:space="0"/>
              <w:bottom w:val="single" w:color="auto" w:sz="4" w:space="0"/>
              <w:right w:val="nil"/>
            </w:tcBorders>
          </w:tcPr>
          <w:p w14:paraId="25A5FE76">
            <w:pPr>
              <w:pStyle w:val="445"/>
              <w:rPr>
                <w:rFonts w:cs="Times New Roman"/>
                <w:kern w:val="0"/>
                <w:szCs w:val="20"/>
              </w:rPr>
            </w:pPr>
            <w:r>
              <w:rPr>
                <w:rFonts w:cs="Times New Roman"/>
                <w:kern w:val="0"/>
                <w:szCs w:val="20"/>
              </w:rPr>
              <w:t>0.5-1.0</w:t>
            </w:r>
          </w:p>
        </w:tc>
      </w:tr>
      <w:tr w14:paraId="682E81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1AA30EEE">
            <w:pPr>
              <w:pStyle w:val="445"/>
              <w:rPr>
                <w:rFonts w:cs="Times New Roman"/>
                <w:kern w:val="0"/>
                <w:szCs w:val="20"/>
              </w:rPr>
            </w:pPr>
            <w:r>
              <w:rPr>
                <w:rFonts w:cs="Times New Roman"/>
                <w:kern w:val="0"/>
                <w:szCs w:val="20"/>
              </w:rPr>
              <w:t>粉砂</w:t>
            </w:r>
          </w:p>
        </w:tc>
        <w:tc>
          <w:tcPr>
            <w:tcW w:w="2909" w:type="pct"/>
            <w:tcBorders>
              <w:top w:val="single" w:color="auto" w:sz="4" w:space="0"/>
              <w:left w:val="single" w:color="auto" w:sz="4" w:space="0"/>
              <w:bottom w:val="single" w:color="auto" w:sz="4" w:space="0"/>
              <w:right w:val="nil"/>
            </w:tcBorders>
          </w:tcPr>
          <w:p w14:paraId="7C807C53">
            <w:pPr>
              <w:pStyle w:val="445"/>
              <w:rPr>
                <w:rFonts w:cs="Times New Roman"/>
                <w:kern w:val="0"/>
                <w:szCs w:val="20"/>
              </w:rPr>
            </w:pPr>
            <w:r>
              <w:rPr>
                <w:rFonts w:cs="Times New Roman"/>
                <w:kern w:val="0"/>
                <w:szCs w:val="20"/>
              </w:rPr>
              <w:t>1.0-1.5</w:t>
            </w:r>
          </w:p>
        </w:tc>
      </w:tr>
      <w:tr w14:paraId="2CC39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5B261837">
            <w:pPr>
              <w:pStyle w:val="445"/>
              <w:rPr>
                <w:rFonts w:cs="Times New Roman"/>
                <w:kern w:val="0"/>
                <w:szCs w:val="20"/>
              </w:rPr>
            </w:pPr>
            <w:r>
              <w:rPr>
                <w:rFonts w:cs="Times New Roman"/>
                <w:kern w:val="0"/>
                <w:szCs w:val="20"/>
              </w:rPr>
              <w:t>细砂</w:t>
            </w:r>
          </w:p>
        </w:tc>
        <w:tc>
          <w:tcPr>
            <w:tcW w:w="2909" w:type="pct"/>
            <w:tcBorders>
              <w:top w:val="single" w:color="auto" w:sz="4" w:space="0"/>
              <w:left w:val="single" w:color="auto" w:sz="4" w:space="0"/>
              <w:bottom w:val="single" w:color="auto" w:sz="4" w:space="0"/>
              <w:right w:val="nil"/>
            </w:tcBorders>
          </w:tcPr>
          <w:p w14:paraId="5F7BD5BD">
            <w:pPr>
              <w:pStyle w:val="445"/>
              <w:rPr>
                <w:rFonts w:cs="Times New Roman"/>
                <w:kern w:val="0"/>
                <w:szCs w:val="20"/>
              </w:rPr>
            </w:pPr>
            <w:r>
              <w:rPr>
                <w:rFonts w:cs="Times New Roman"/>
                <w:kern w:val="0"/>
                <w:szCs w:val="20"/>
              </w:rPr>
              <w:t>5-10</w:t>
            </w:r>
          </w:p>
        </w:tc>
      </w:tr>
      <w:tr w14:paraId="03E8E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65E1701E">
            <w:pPr>
              <w:pStyle w:val="445"/>
              <w:rPr>
                <w:rFonts w:cs="Times New Roman"/>
                <w:kern w:val="0"/>
                <w:szCs w:val="20"/>
              </w:rPr>
            </w:pPr>
            <w:r>
              <w:rPr>
                <w:rFonts w:cs="Times New Roman"/>
                <w:kern w:val="0"/>
                <w:szCs w:val="20"/>
              </w:rPr>
              <w:t>中砂</w:t>
            </w:r>
          </w:p>
        </w:tc>
        <w:tc>
          <w:tcPr>
            <w:tcW w:w="2909" w:type="pct"/>
            <w:tcBorders>
              <w:top w:val="single" w:color="auto" w:sz="4" w:space="0"/>
              <w:left w:val="single" w:color="auto" w:sz="4" w:space="0"/>
              <w:bottom w:val="single" w:color="auto" w:sz="4" w:space="0"/>
              <w:right w:val="nil"/>
            </w:tcBorders>
          </w:tcPr>
          <w:p w14:paraId="14971AB9">
            <w:pPr>
              <w:pStyle w:val="445"/>
              <w:rPr>
                <w:rFonts w:cs="Times New Roman"/>
                <w:kern w:val="0"/>
                <w:szCs w:val="20"/>
              </w:rPr>
            </w:pPr>
            <w:r>
              <w:rPr>
                <w:rFonts w:cs="Times New Roman"/>
                <w:kern w:val="0"/>
                <w:szCs w:val="20"/>
              </w:rPr>
              <w:t>10-25</w:t>
            </w:r>
          </w:p>
        </w:tc>
      </w:tr>
      <w:tr w14:paraId="19106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19E43808">
            <w:pPr>
              <w:pStyle w:val="445"/>
              <w:rPr>
                <w:rFonts w:cs="Times New Roman"/>
                <w:kern w:val="0"/>
                <w:szCs w:val="20"/>
              </w:rPr>
            </w:pPr>
            <w:r>
              <w:rPr>
                <w:rFonts w:cs="Times New Roman"/>
                <w:kern w:val="0"/>
                <w:szCs w:val="20"/>
              </w:rPr>
              <w:t>粗砂</w:t>
            </w:r>
          </w:p>
        </w:tc>
        <w:tc>
          <w:tcPr>
            <w:tcW w:w="2909" w:type="pct"/>
            <w:tcBorders>
              <w:top w:val="single" w:color="auto" w:sz="4" w:space="0"/>
              <w:left w:val="single" w:color="auto" w:sz="4" w:space="0"/>
              <w:bottom w:val="single" w:color="auto" w:sz="4" w:space="0"/>
              <w:right w:val="nil"/>
            </w:tcBorders>
          </w:tcPr>
          <w:p w14:paraId="63463FF4">
            <w:pPr>
              <w:pStyle w:val="445"/>
              <w:rPr>
                <w:rFonts w:cs="Times New Roman"/>
                <w:kern w:val="0"/>
                <w:szCs w:val="20"/>
              </w:rPr>
            </w:pPr>
            <w:r>
              <w:rPr>
                <w:rFonts w:cs="Times New Roman"/>
                <w:kern w:val="0"/>
                <w:szCs w:val="20"/>
              </w:rPr>
              <w:t>25-50</w:t>
            </w:r>
          </w:p>
        </w:tc>
      </w:tr>
      <w:tr w14:paraId="28385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24EE9186">
            <w:pPr>
              <w:pStyle w:val="445"/>
              <w:rPr>
                <w:rFonts w:cs="Times New Roman"/>
                <w:kern w:val="0"/>
                <w:szCs w:val="20"/>
              </w:rPr>
            </w:pPr>
            <w:r>
              <w:rPr>
                <w:rFonts w:cs="Times New Roman"/>
                <w:kern w:val="0"/>
                <w:szCs w:val="20"/>
              </w:rPr>
              <w:t>砾砂</w:t>
            </w:r>
          </w:p>
        </w:tc>
        <w:tc>
          <w:tcPr>
            <w:tcW w:w="2909" w:type="pct"/>
            <w:tcBorders>
              <w:top w:val="single" w:color="auto" w:sz="4" w:space="0"/>
              <w:left w:val="single" w:color="auto" w:sz="4" w:space="0"/>
              <w:bottom w:val="single" w:color="auto" w:sz="4" w:space="0"/>
              <w:right w:val="nil"/>
            </w:tcBorders>
          </w:tcPr>
          <w:p w14:paraId="6F5197C5">
            <w:pPr>
              <w:pStyle w:val="445"/>
              <w:rPr>
                <w:rFonts w:cs="Times New Roman"/>
                <w:kern w:val="0"/>
                <w:szCs w:val="20"/>
              </w:rPr>
            </w:pPr>
            <w:r>
              <w:rPr>
                <w:rFonts w:cs="Times New Roman"/>
                <w:kern w:val="0"/>
                <w:szCs w:val="20"/>
              </w:rPr>
              <w:t>50-100</w:t>
            </w:r>
          </w:p>
        </w:tc>
      </w:tr>
      <w:tr w14:paraId="373CB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14332AC5">
            <w:pPr>
              <w:pStyle w:val="445"/>
              <w:rPr>
                <w:rFonts w:cs="Times New Roman"/>
                <w:kern w:val="0"/>
                <w:szCs w:val="20"/>
              </w:rPr>
            </w:pPr>
            <w:r>
              <w:rPr>
                <w:rFonts w:cs="Times New Roman"/>
                <w:kern w:val="0"/>
                <w:szCs w:val="20"/>
              </w:rPr>
              <w:t>圆砂</w:t>
            </w:r>
          </w:p>
        </w:tc>
        <w:tc>
          <w:tcPr>
            <w:tcW w:w="2909" w:type="pct"/>
            <w:tcBorders>
              <w:top w:val="single" w:color="auto" w:sz="4" w:space="0"/>
              <w:left w:val="single" w:color="auto" w:sz="4" w:space="0"/>
              <w:bottom w:val="single" w:color="auto" w:sz="4" w:space="0"/>
              <w:right w:val="nil"/>
            </w:tcBorders>
          </w:tcPr>
          <w:p w14:paraId="09FC8310">
            <w:pPr>
              <w:pStyle w:val="445"/>
              <w:rPr>
                <w:rFonts w:cs="Times New Roman"/>
                <w:kern w:val="0"/>
                <w:szCs w:val="20"/>
              </w:rPr>
            </w:pPr>
            <w:r>
              <w:rPr>
                <w:rFonts w:cs="Times New Roman"/>
                <w:kern w:val="0"/>
                <w:szCs w:val="20"/>
              </w:rPr>
              <w:t>75-150</w:t>
            </w:r>
          </w:p>
        </w:tc>
      </w:tr>
      <w:tr w14:paraId="11103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2F8B89D0">
            <w:pPr>
              <w:pStyle w:val="445"/>
              <w:rPr>
                <w:rFonts w:cs="Times New Roman"/>
                <w:kern w:val="0"/>
                <w:szCs w:val="20"/>
              </w:rPr>
            </w:pPr>
            <w:r>
              <w:rPr>
                <w:rFonts w:cs="Times New Roman"/>
                <w:kern w:val="0"/>
                <w:szCs w:val="20"/>
              </w:rPr>
              <w:t>卵石</w:t>
            </w:r>
          </w:p>
        </w:tc>
        <w:tc>
          <w:tcPr>
            <w:tcW w:w="2909" w:type="pct"/>
            <w:tcBorders>
              <w:top w:val="single" w:color="auto" w:sz="4" w:space="0"/>
              <w:left w:val="single" w:color="auto" w:sz="4" w:space="0"/>
              <w:bottom w:val="single" w:color="auto" w:sz="4" w:space="0"/>
              <w:right w:val="nil"/>
            </w:tcBorders>
          </w:tcPr>
          <w:p w14:paraId="1732C084">
            <w:pPr>
              <w:pStyle w:val="445"/>
              <w:rPr>
                <w:rFonts w:cs="Times New Roman"/>
                <w:kern w:val="0"/>
                <w:szCs w:val="20"/>
              </w:rPr>
            </w:pPr>
            <w:r>
              <w:rPr>
                <w:rFonts w:cs="Times New Roman"/>
                <w:kern w:val="0"/>
                <w:szCs w:val="20"/>
              </w:rPr>
              <w:t>100-200</w:t>
            </w:r>
          </w:p>
        </w:tc>
      </w:tr>
      <w:tr w14:paraId="3DABF1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4" w:space="0"/>
              <w:right w:val="single" w:color="auto" w:sz="4" w:space="0"/>
            </w:tcBorders>
          </w:tcPr>
          <w:p w14:paraId="35ADE92E">
            <w:pPr>
              <w:pStyle w:val="445"/>
              <w:rPr>
                <w:rFonts w:cs="Times New Roman"/>
                <w:kern w:val="0"/>
                <w:szCs w:val="20"/>
              </w:rPr>
            </w:pPr>
            <w:r>
              <w:rPr>
                <w:rFonts w:cs="Times New Roman"/>
                <w:kern w:val="0"/>
                <w:szCs w:val="20"/>
              </w:rPr>
              <w:t>块石</w:t>
            </w:r>
          </w:p>
        </w:tc>
        <w:tc>
          <w:tcPr>
            <w:tcW w:w="2909" w:type="pct"/>
            <w:tcBorders>
              <w:top w:val="single" w:color="auto" w:sz="4" w:space="0"/>
              <w:left w:val="single" w:color="auto" w:sz="4" w:space="0"/>
              <w:bottom w:val="single" w:color="auto" w:sz="4" w:space="0"/>
              <w:right w:val="nil"/>
            </w:tcBorders>
          </w:tcPr>
          <w:p w14:paraId="6BD74CD8">
            <w:pPr>
              <w:pStyle w:val="445"/>
              <w:rPr>
                <w:rFonts w:cs="Times New Roman"/>
                <w:kern w:val="0"/>
                <w:szCs w:val="20"/>
              </w:rPr>
            </w:pPr>
            <w:r>
              <w:rPr>
                <w:rFonts w:cs="Times New Roman"/>
                <w:kern w:val="0"/>
                <w:szCs w:val="20"/>
              </w:rPr>
              <w:t>200-500</w:t>
            </w:r>
          </w:p>
        </w:tc>
      </w:tr>
      <w:tr w14:paraId="5A41D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1" w:type="pct"/>
            <w:tcBorders>
              <w:top w:val="single" w:color="auto" w:sz="4" w:space="0"/>
              <w:left w:val="nil"/>
              <w:bottom w:val="single" w:color="auto" w:sz="12" w:space="0"/>
              <w:right w:val="single" w:color="auto" w:sz="4" w:space="0"/>
            </w:tcBorders>
          </w:tcPr>
          <w:p w14:paraId="084C7ACA">
            <w:pPr>
              <w:pStyle w:val="445"/>
              <w:rPr>
                <w:rFonts w:cs="Times New Roman"/>
                <w:kern w:val="0"/>
                <w:szCs w:val="20"/>
              </w:rPr>
            </w:pPr>
            <w:r>
              <w:rPr>
                <w:rFonts w:cs="Times New Roman"/>
                <w:kern w:val="0"/>
                <w:szCs w:val="20"/>
              </w:rPr>
              <w:t>漂石</w:t>
            </w:r>
          </w:p>
        </w:tc>
        <w:tc>
          <w:tcPr>
            <w:tcW w:w="2909" w:type="pct"/>
            <w:tcBorders>
              <w:top w:val="single" w:color="auto" w:sz="4" w:space="0"/>
              <w:left w:val="single" w:color="auto" w:sz="4" w:space="0"/>
              <w:bottom w:val="single" w:color="auto" w:sz="12" w:space="0"/>
              <w:right w:val="nil"/>
            </w:tcBorders>
          </w:tcPr>
          <w:p w14:paraId="790F47C9">
            <w:pPr>
              <w:pStyle w:val="445"/>
              <w:rPr>
                <w:rFonts w:cs="Times New Roman"/>
                <w:kern w:val="0"/>
                <w:szCs w:val="20"/>
              </w:rPr>
            </w:pPr>
            <w:r>
              <w:rPr>
                <w:rFonts w:cs="Times New Roman"/>
                <w:kern w:val="0"/>
                <w:szCs w:val="20"/>
              </w:rPr>
              <w:t>500-1000</w:t>
            </w:r>
          </w:p>
        </w:tc>
      </w:tr>
    </w:tbl>
    <w:p w14:paraId="29F7CA2B">
      <w:pPr>
        <w:wordWrap w:val="0"/>
        <w:ind w:firstLine="480"/>
        <w:rPr>
          <w:rFonts w:cs="Times New Roman"/>
          <w:b/>
          <w:bCs/>
        </w:rPr>
      </w:pPr>
      <w:bookmarkStart w:id="297" w:name="_Toc24452_WPSOffice_Level3"/>
      <w:bookmarkEnd w:id="297"/>
      <w:r>
        <w:rPr>
          <w:rFonts w:ascii="宋体" w:hAnsi="宋体"/>
          <w:bCs/>
        </w:rPr>
        <w:t>（</w:t>
      </w:r>
      <w:r>
        <w:rPr>
          <w:rFonts w:hint="eastAsia"/>
          <w:bCs/>
        </w:rPr>
        <w:t>2</w:t>
      </w:r>
      <w:r>
        <w:rPr>
          <w:rFonts w:ascii="宋体" w:hAnsi="宋体"/>
          <w:bCs/>
        </w:rPr>
        <w:t>）给水度的确定</w:t>
      </w:r>
    </w:p>
    <w:p w14:paraId="22139975">
      <w:pPr>
        <w:wordWrap w:val="0"/>
        <w:ind w:firstLine="480"/>
        <w:rPr>
          <w:bCs/>
        </w:rPr>
      </w:pPr>
      <w:r>
        <w:rPr>
          <w:rFonts w:ascii="宋体" w:hAnsi="宋体"/>
          <w:bCs/>
        </w:rPr>
        <w:t>根据导则附录表</w:t>
      </w:r>
      <w:r>
        <w:rPr>
          <w:bCs/>
        </w:rPr>
        <w:t>B.2</w:t>
      </w:r>
      <w:r>
        <w:rPr>
          <w:rFonts w:ascii="宋体" w:hAnsi="宋体"/>
          <w:bCs/>
        </w:rPr>
        <w:t>，研究区</w:t>
      </w:r>
      <w:r>
        <w:rPr>
          <w:rFonts w:hint="eastAsia" w:ascii="宋体" w:hAnsi="宋体"/>
          <w:bCs/>
        </w:rPr>
        <w:t>第一层以粘土、粉质粘土、粘土夹砂和薄层粉细砂</w:t>
      </w:r>
      <w:r>
        <w:rPr>
          <w:rFonts w:ascii="宋体" w:hAnsi="宋体"/>
          <w:bCs/>
        </w:rPr>
        <w:t>，取值范围设定为</w:t>
      </w:r>
      <w:r>
        <w:rPr>
          <w:rFonts w:hint="eastAsia"/>
          <w:bCs/>
        </w:rPr>
        <w:t>0.03</w:t>
      </w:r>
      <w:r>
        <w:rPr>
          <w:bCs/>
        </w:rPr>
        <w:t>~</w:t>
      </w:r>
      <w:r>
        <w:rPr>
          <w:rFonts w:hint="eastAsia"/>
          <w:bCs/>
        </w:rPr>
        <w:t>0.28</w:t>
      </w:r>
      <w:r>
        <w:rPr>
          <w:rFonts w:ascii="宋体" w:hAnsi="宋体"/>
          <w:bCs/>
        </w:rPr>
        <w:t>，第</w:t>
      </w:r>
      <w:r>
        <w:rPr>
          <w:rFonts w:hint="eastAsia" w:ascii="宋体" w:hAnsi="宋体"/>
          <w:bCs/>
        </w:rPr>
        <w:t>二</w:t>
      </w:r>
      <w:r>
        <w:rPr>
          <w:rFonts w:ascii="宋体" w:hAnsi="宋体"/>
          <w:bCs/>
        </w:rPr>
        <w:t>层</w:t>
      </w:r>
      <w:r>
        <w:rPr>
          <w:rFonts w:hint="eastAsia" w:ascii="宋体" w:hAnsi="宋体"/>
          <w:bCs/>
        </w:rPr>
        <w:t>为粘土</w:t>
      </w:r>
      <w:r>
        <w:rPr>
          <w:rFonts w:ascii="宋体" w:hAnsi="宋体"/>
          <w:bCs/>
        </w:rPr>
        <w:t>，取值范围设定为</w:t>
      </w:r>
      <w:r>
        <w:rPr>
          <w:rFonts w:hint="eastAsia"/>
          <w:bCs/>
        </w:rPr>
        <w:t>0.03</w:t>
      </w:r>
      <w:r>
        <w:rPr>
          <w:bCs/>
        </w:rPr>
        <w:t>~</w:t>
      </w:r>
      <w:r>
        <w:rPr>
          <w:rFonts w:hint="eastAsia"/>
          <w:bCs/>
        </w:rPr>
        <w:t>0.12</w:t>
      </w:r>
      <w:r>
        <w:rPr>
          <w:rFonts w:hint="eastAsia" w:ascii="宋体" w:hAnsi="宋体"/>
          <w:bCs/>
        </w:rPr>
        <w:t>；第三层为粉细砂</w:t>
      </w:r>
      <w:r>
        <w:rPr>
          <w:bCs/>
        </w:rPr>
        <w:t>-</w:t>
      </w:r>
      <w:r>
        <w:rPr>
          <w:rFonts w:hint="eastAsia" w:ascii="宋体" w:hAnsi="宋体"/>
          <w:bCs/>
        </w:rPr>
        <w:t>中砂、粘土夹砂组，</w:t>
      </w:r>
      <w:r>
        <w:rPr>
          <w:rFonts w:ascii="宋体" w:hAnsi="宋体"/>
          <w:bCs/>
        </w:rPr>
        <w:t>取值范围设定为</w:t>
      </w:r>
      <w:r>
        <w:rPr>
          <w:rFonts w:hint="eastAsia"/>
          <w:bCs/>
        </w:rPr>
        <w:t>0.05</w:t>
      </w:r>
      <w:r>
        <w:rPr>
          <w:bCs/>
        </w:rPr>
        <w:t>~</w:t>
      </w:r>
      <w:r>
        <w:rPr>
          <w:rFonts w:hint="eastAsia"/>
          <w:bCs/>
        </w:rPr>
        <w:t>0.32</w:t>
      </w:r>
      <w:r>
        <w:rPr>
          <w:rFonts w:hint="eastAsia" w:ascii="宋体" w:hAnsi="宋体"/>
          <w:bCs/>
        </w:rPr>
        <w:t>；第四层为粘土</w:t>
      </w:r>
      <w:r>
        <w:rPr>
          <w:rFonts w:ascii="宋体" w:hAnsi="宋体"/>
          <w:bCs/>
        </w:rPr>
        <w:t>，取值范围设定为</w:t>
      </w:r>
      <w:r>
        <w:rPr>
          <w:rFonts w:hint="eastAsia"/>
          <w:bCs/>
        </w:rPr>
        <w:t>0.03</w:t>
      </w:r>
      <w:r>
        <w:rPr>
          <w:bCs/>
        </w:rPr>
        <w:t>~</w:t>
      </w:r>
      <w:r>
        <w:rPr>
          <w:rFonts w:hint="eastAsia"/>
          <w:bCs/>
        </w:rPr>
        <w:t>0.12</w:t>
      </w:r>
      <w:r>
        <w:rPr>
          <w:rFonts w:ascii="宋体" w:hAnsi="宋体"/>
          <w:bCs/>
        </w:rPr>
        <w:t>。</w:t>
      </w:r>
    </w:p>
    <w:p w14:paraId="64F2DC11">
      <w:pPr>
        <w:widowControl/>
        <w:adjustRightInd/>
        <w:snapToGrid/>
        <w:ind w:firstLine="0" w:firstLineChars="0"/>
        <w:jc w:val="left"/>
        <w:rPr>
          <w:rFonts w:eastAsia="黑体"/>
        </w:rPr>
        <w:sectPr>
          <w:pgSz w:w="11907" w:h="16840"/>
          <w:pgMar w:top="1440" w:right="1440" w:bottom="1440" w:left="1440" w:header="851" w:footer="992" w:gutter="0"/>
          <w:cols w:space="720" w:num="1"/>
          <w:docGrid w:type="lines" w:linePitch="326" w:charSpace="0"/>
        </w:sectPr>
      </w:pPr>
    </w:p>
    <w:p w14:paraId="53F16BB7">
      <w:pPr>
        <w:pStyle w:val="278"/>
        <w:ind w:firstLine="480"/>
        <w:rPr>
          <w:b/>
        </w:rPr>
      </w:pPr>
      <w:r>
        <w:rPr>
          <w:rFonts w:ascii="黑体" w:hAnsi="黑体"/>
        </w:rPr>
        <w:t>表</w:t>
      </w:r>
      <w:r>
        <w:rPr>
          <w:rFonts w:hint="eastAsia"/>
        </w:rPr>
        <w:t>5</w:t>
      </w:r>
      <w:r>
        <w:t>.5</w:t>
      </w:r>
      <w:r>
        <w:rPr>
          <w:rFonts w:hint="eastAsia"/>
        </w:rPr>
        <w:t>.</w:t>
      </w:r>
      <w:r>
        <w:t>7-</w:t>
      </w:r>
      <w:r>
        <w:rPr>
          <w:rFonts w:hint="eastAsia"/>
        </w:rPr>
        <w:t xml:space="preserve">2  </w:t>
      </w:r>
      <w:r>
        <w:rPr>
          <w:rFonts w:ascii="黑体" w:hAnsi="黑体"/>
        </w:rPr>
        <w:t>松散岩石给水度参考值</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80"/>
        <w:gridCol w:w="3080"/>
        <w:gridCol w:w="3083"/>
      </w:tblGrid>
      <w:tr w14:paraId="44586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FBE28C3">
            <w:pPr>
              <w:pStyle w:val="445"/>
              <w:rPr>
                <w:rFonts w:cs="Times New Roman"/>
                <w:kern w:val="0"/>
                <w:szCs w:val="20"/>
              </w:rPr>
            </w:pPr>
            <w:r>
              <w:rPr>
                <w:rFonts w:cs="Times New Roman"/>
                <w:kern w:val="0"/>
                <w:szCs w:val="20"/>
              </w:rPr>
              <w:t>岩石名称</w:t>
            </w:r>
          </w:p>
        </w:tc>
        <w:tc>
          <w:tcPr>
            <w:tcW w:w="1666" w:type="pct"/>
          </w:tcPr>
          <w:p w14:paraId="6D2EC682">
            <w:pPr>
              <w:pStyle w:val="445"/>
              <w:rPr>
                <w:rFonts w:cs="Times New Roman"/>
                <w:kern w:val="0"/>
                <w:szCs w:val="20"/>
              </w:rPr>
            </w:pPr>
            <w:r>
              <w:rPr>
                <w:rFonts w:cs="Times New Roman"/>
                <w:kern w:val="0"/>
                <w:szCs w:val="20"/>
              </w:rPr>
              <w:t>给水度变化区间</w:t>
            </w:r>
          </w:p>
        </w:tc>
        <w:tc>
          <w:tcPr>
            <w:tcW w:w="1667" w:type="pct"/>
          </w:tcPr>
          <w:p w14:paraId="36826B3A">
            <w:pPr>
              <w:pStyle w:val="445"/>
              <w:rPr>
                <w:rFonts w:cs="Times New Roman"/>
                <w:kern w:val="0"/>
                <w:szCs w:val="20"/>
              </w:rPr>
            </w:pPr>
            <w:r>
              <w:rPr>
                <w:rFonts w:cs="Times New Roman"/>
                <w:kern w:val="0"/>
                <w:szCs w:val="20"/>
              </w:rPr>
              <w:t>平均给水度</w:t>
            </w:r>
          </w:p>
        </w:tc>
      </w:tr>
      <w:tr w14:paraId="007F7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FBE577E">
            <w:pPr>
              <w:pStyle w:val="445"/>
              <w:rPr>
                <w:rFonts w:cs="Times New Roman"/>
                <w:kern w:val="0"/>
                <w:szCs w:val="20"/>
              </w:rPr>
            </w:pPr>
            <w:r>
              <w:rPr>
                <w:rFonts w:cs="Times New Roman"/>
                <w:kern w:val="0"/>
                <w:szCs w:val="20"/>
              </w:rPr>
              <w:t>砾砂</w:t>
            </w:r>
          </w:p>
        </w:tc>
        <w:tc>
          <w:tcPr>
            <w:tcW w:w="1666" w:type="pct"/>
          </w:tcPr>
          <w:p w14:paraId="142F2982">
            <w:pPr>
              <w:pStyle w:val="445"/>
              <w:rPr>
                <w:rFonts w:cs="Times New Roman"/>
                <w:kern w:val="0"/>
                <w:szCs w:val="20"/>
              </w:rPr>
            </w:pPr>
            <w:r>
              <w:rPr>
                <w:rFonts w:cs="Times New Roman"/>
                <w:kern w:val="0"/>
                <w:szCs w:val="20"/>
              </w:rPr>
              <w:t>0.20-0.35</w:t>
            </w:r>
          </w:p>
        </w:tc>
        <w:tc>
          <w:tcPr>
            <w:tcW w:w="1667" w:type="pct"/>
          </w:tcPr>
          <w:p w14:paraId="7058248F">
            <w:pPr>
              <w:pStyle w:val="445"/>
              <w:rPr>
                <w:rFonts w:cs="Times New Roman"/>
                <w:kern w:val="0"/>
                <w:szCs w:val="20"/>
              </w:rPr>
            </w:pPr>
            <w:r>
              <w:rPr>
                <w:rFonts w:cs="Times New Roman"/>
                <w:kern w:val="0"/>
                <w:szCs w:val="20"/>
              </w:rPr>
              <w:t>0.25</w:t>
            </w:r>
          </w:p>
        </w:tc>
      </w:tr>
      <w:tr w14:paraId="4C9CBC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4B6FAAD">
            <w:pPr>
              <w:pStyle w:val="445"/>
              <w:rPr>
                <w:rFonts w:cs="Times New Roman"/>
                <w:kern w:val="0"/>
                <w:szCs w:val="20"/>
              </w:rPr>
            </w:pPr>
            <w:r>
              <w:rPr>
                <w:rFonts w:cs="Times New Roman"/>
                <w:kern w:val="0"/>
                <w:szCs w:val="20"/>
              </w:rPr>
              <w:t>粗砂</w:t>
            </w:r>
          </w:p>
        </w:tc>
        <w:tc>
          <w:tcPr>
            <w:tcW w:w="1666" w:type="pct"/>
          </w:tcPr>
          <w:p w14:paraId="6ABB9B9C">
            <w:pPr>
              <w:pStyle w:val="445"/>
              <w:rPr>
                <w:rFonts w:cs="Times New Roman"/>
                <w:kern w:val="0"/>
                <w:szCs w:val="20"/>
              </w:rPr>
            </w:pPr>
            <w:r>
              <w:rPr>
                <w:rFonts w:cs="Times New Roman"/>
                <w:kern w:val="0"/>
                <w:szCs w:val="20"/>
              </w:rPr>
              <w:t>0.20-0.35</w:t>
            </w:r>
          </w:p>
        </w:tc>
        <w:tc>
          <w:tcPr>
            <w:tcW w:w="1667" w:type="pct"/>
          </w:tcPr>
          <w:p w14:paraId="3A4D9011">
            <w:pPr>
              <w:pStyle w:val="445"/>
              <w:rPr>
                <w:rFonts w:cs="Times New Roman"/>
                <w:kern w:val="0"/>
                <w:szCs w:val="20"/>
              </w:rPr>
            </w:pPr>
            <w:r>
              <w:rPr>
                <w:rFonts w:cs="Times New Roman"/>
                <w:kern w:val="0"/>
                <w:szCs w:val="20"/>
              </w:rPr>
              <w:t>0.26</w:t>
            </w:r>
          </w:p>
        </w:tc>
      </w:tr>
      <w:tr w14:paraId="446EC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40ADD19">
            <w:pPr>
              <w:pStyle w:val="445"/>
              <w:rPr>
                <w:rFonts w:cs="Times New Roman"/>
                <w:kern w:val="0"/>
                <w:szCs w:val="20"/>
              </w:rPr>
            </w:pPr>
            <w:r>
              <w:rPr>
                <w:rFonts w:cs="Times New Roman"/>
                <w:kern w:val="0"/>
                <w:szCs w:val="20"/>
              </w:rPr>
              <w:t>中砂</w:t>
            </w:r>
          </w:p>
        </w:tc>
        <w:tc>
          <w:tcPr>
            <w:tcW w:w="1666" w:type="pct"/>
          </w:tcPr>
          <w:p w14:paraId="1FD0E1D9">
            <w:pPr>
              <w:pStyle w:val="445"/>
              <w:rPr>
                <w:rFonts w:cs="Times New Roman"/>
                <w:kern w:val="0"/>
                <w:szCs w:val="20"/>
              </w:rPr>
            </w:pPr>
            <w:r>
              <w:rPr>
                <w:rFonts w:cs="Times New Roman"/>
                <w:kern w:val="0"/>
                <w:szCs w:val="20"/>
              </w:rPr>
              <w:t>0.15-0.32</w:t>
            </w:r>
          </w:p>
        </w:tc>
        <w:tc>
          <w:tcPr>
            <w:tcW w:w="1667" w:type="pct"/>
          </w:tcPr>
          <w:p w14:paraId="2B750C8A">
            <w:pPr>
              <w:pStyle w:val="445"/>
              <w:rPr>
                <w:rFonts w:cs="Times New Roman"/>
                <w:kern w:val="0"/>
                <w:szCs w:val="20"/>
              </w:rPr>
            </w:pPr>
            <w:r>
              <w:rPr>
                <w:rFonts w:cs="Times New Roman"/>
                <w:kern w:val="0"/>
                <w:szCs w:val="20"/>
              </w:rPr>
              <w:t>0.27</w:t>
            </w:r>
          </w:p>
        </w:tc>
      </w:tr>
      <w:tr w14:paraId="73501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7F9B501">
            <w:pPr>
              <w:pStyle w:val="445"/>
              <w:rPr>
                <w:rFonts w:cs="Times New Roman"/>
                <w:kern w:val="0"/>
                <w:szCs w:val="20"/>
              </w:rPr>
            </w:pPr>
            <w:r>
              <w:rPr>
                <w:rFonts w:cs="Times New Roman"/>
                <w:kern w:val="0"/>
                <w:szCs w:val="20"/>
              </w:rPr>
              <w:t>细砂</w:t>
            </w:r>
          </w:p>
        </w:tc>
        <w:tc>
          <w:tcPr>
            <w:tcW w:w="1666" w:type="pct"/>
          </w:tcPr>
          <w:p w14:paraId="71A1DCFF">
            <w:pPr>
              <w:pStyle w:val="445"/>
              <w:rPr>
                <w:rFonts w:cs="Times New Roman"/>
                <w:kern w:val="0"/>
                <w:szCs w:val="20"/>
              </w:rPr>
            </w:pPr>
            <w:r>
              <w:rPr>
                <w:rFonts w:cs="Times New Roman"/>
                <w:kern w:val="0"/>
                <w:szCs w:val="20"/>
              </w:rPr>
              <w:t>0.10-0.28</w:t>
            </w:r>
          </w:p>
        </w:tc>
        <w:tc>
          <w:tcPr>
            <w:tcW w:w="1667" w:type="pct"/>
          </w:tcPr>
          <w:p w14:paraId="69A82995">
            <w:pPr>
              <w:pStyle w:val="445"/>
              <w:rPr>
                <w:rFonts w:cs="Times New Roman"/>
                <w:kern w:val="0"/>
                <w:szCs w:val="20"/>
              </w:rPr>
            </w:pPr>
            <w:r>
              <w:rPr>
                <w:rFonts w:cs="Times New Roman"/>
                <w:kern w:val="0"/>
                <w:szCs w:val="20"/>
              </w:rPr>
              <w:t>0.21</w:t>
            </w:r>
          </w:p>
        </w:tc>
      </w:tr>
      <w:tr w14:paraId="67507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2BDBCB6">
            <w:pPr>
              <w:pStyle w:val="445"/>
              <w:rPr>
                <w:rFonts w:cs="Times New Roman"/>
                <w:kern w:val="0"/>
                <w:szCs w:val="20"/>
              </w:rPr>
            </w:pPr>
            <w:r>
              <w:rPr>
                <w:rFonts w:cs="Times New Roman"/>
                <w:kern w:val="0"/>
                <w:szCs w:val="20"/>
              </w:rPr>
              <w:t>粉砂</w:t>
            </w:r>
          </w:p>
        </w:tc>
        <w:tc>
          <w:tcPr>
            <w:tcW w:w="1666" w:type="pct"/>
          </w:tcPr>
          <w:p w14:paraId="23FD7DF1">
            <w:pPr>
              <w:pStyle w:val="445"/>
              <w:rPr>
                <w:rFonts w:cs="Times New Roman"/>
                <w:kern w:val="0"/>
                <w:szCs w:val="20"/>
              </w:rPr>
            </w:pPr>
            <w:r>
              <w:rPr>
                <w:rFonts w:cs="Times New Roman"/>
                <w:kern w:val="0"/>
                <w:szCs w:val="20"/>
              </w:rPr>
              <w:t>0.05-0.19</w:t>
            </w:r>
          </w:p>
        </w:tc>
        <w:tc>
          <w:tcPr>
            <w:tcW w:w="1667" w:type="pct"/>
          </w:tcPr>
          <w:p w14:paraId="4ED548A3">
            <w:pPr>
              <w:pStyle w:val="445"/>
              <w:rPr>
                <w:rFonts w:cs="Times New Roman"/>
                <w:kern w:val="0"/>
                <w:szCs w:val="20"/>
              </w:rPr>
            </w:pPr>
            <w:r>
              <w:rPr>
                <w:rFonts w:cs="Times New Roman"/>
                <w:kern w:val="0"/>
                <w:szCs w:val="20"/>
              </w:rPr>
              <w:t>0.18</w:t>
            </w:r>
          </w:p>
        </w:tc>
      </w:tr>
      <w:tr w14:paraId="4D06C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4F1F00D">
            <w:pPr>
              <w:pStyle w:val="445"/>
              <w:rPr>
                <w:rFonts w:cs="Times New Roman"/>
                <w:kern w:val="0"/>
                <w:szCs w:val="20"/>
              </w:rPr>
            </w:pPr>
            <w:r>
              <w:rPr>
                <w:rFonts w:cs="Times New Roman"/>
                <w:kern w:val="0"/>
                <w:szCs w:val="20"/>
              </w:rPr>
              <w:t>亚黏土</w:t>
            </w:r>
          </w:p>
        </w:tc>
        <w:tc>
          <w:tcPr>
            <w:tcW w:w="1666" w:type="pct"/>
          </w:tcPr>
          <w:p w14:paraId="2092ED47">
            <w:pPr>
              <w:pStyle w:val="445"/>
              <w:rPr>
                <w:rFonts w:cs="Times New Roman"/>
                <w:kern w:val="0"/>
                <w:szCs w:val="20"/>
              </w:rPr>
            </w:pPr>
            <w:r>
              <w:rPr>
                <w:rFonts w:cs="Times New Roman"/>
                <w:kern w:val="0"/>
                <w:szCs w:val="20"/>
              </w:rPr>
              <w:t>0.03-0.12</w:t>
            </w:r>
          </w:p>
        </w:tc>
        <w:tc>
          <w:tcPr>
            <w:tcW w:w="1667" w:type="pct"/>
          </w:tcPr>
          <w:p w14:paraId="3FA58C5E">
            <w:pPr>
              <w:pStyle w:val="445"/>
              <w:rPr>
                <w:rFonts w:cs="Times New Roman"/>
                <w:kern w:val="0"/>
                <w:szCs w:val="20"/>
              </w:rPr>
            </w:pPr>
            <w:r>
              <w:rPr>
                <w:rFonts w:cs="Times New Roman"/>
                <w:kern w:val="0"/>
                <w:szCs w:val="20"/>
              </w:rPr>
              <w:t>0.07</w:t>
            </w:r>
          </w:p>
        </w:tc>
      </w:tr>
      <w:tr w14:paraId="29A99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83CC10D">
            <w:pPr>
              <w:pStyle w:val="445"/>
              <w:rPr>
                <w:rFonts w:cs="Times New Roman"/>
                <w:kern w:val="0"/>
                <w:szCs w:val="20"/>
              </w:rPr>
            </w:pPr>
            <w:r>
              <w:rPr>
                <w:rFonts w:cs="Times New Roman"/>
                <w:kern w:val="0"/>
                <w:szCs w:val="20"/>
              </w:rPr>
              <w:t>黏土</w:t>
            </w:r>
          </w:p>
        </w:tc>
        <w:tc>
          <w:tcPr>
            <w:tcW w:w="1666" w:type="pct"/>
          </w:tcPr>
          <w:p w14:paraId="6DC6D0FC">
            <w:pPr>
              <w:pStyle w:val="445"/>
              <w:rPr>
                <w:rFonts w:cs="Times New Roman"/>
                <w:kern w:val="0"/>
                <w:szCs w:val="20"/>
              </w:rPr>
            </w:pPr>
            <w:r>
              <w:rPr>
                <w:rFonts w:cs="Times New Roman"/>
                <w:kern w:val="0"/>
                <w:szCs w:val="20"/>
              </w:rPr>
              <w:t>0.00-0.05</w:t>
            </w:r>
          </w:p>
        </w:tc>
        <w:tc>
          <w:tcPr>
            <w:tcW w:w="1667" w:type="pct"/>
          </w:tcPr>
          <w:p w14:paraId="7F4C3566">
            <w:pPr>
              <w:pStyle w:val="445"/>
              <w:rPr>
                <w:rFonts w:cs="Times New Roman"/>
                <w:kern w:val="0"/>
                <w:szCs w:val="20"/>
              </w:rPr>
            </w:pPr>
            <w:r>
              <w:rPr>
                <w:rFonts w:cs="Times New Roman"/>
                <w:kern w:val="0"/>
                <w:szCs w:val="20"/>
              </w:rPr>
              <w:t>0.02</w:t>
            </w:r>
          </w:p>
        </w:tc>
      </w:tr>
    </w:tbl>
    <w:p w14:paraId="697748B8">
      <w:pPr>
        <w:wordWrap w:val="0"/>
        <w:ind w:firstLine="480"/>
        <w:rPr>
          <w:rFonts w:cs="Times New Roman"/>
          <w:b/>
          <w:bCs/>
        </w:rPr>
      </w:pPr>
      <w:bookmarkStart w:id="298" w:name="_Toc446880040"/>
      <w:bookmarkEnd w:id="298"/>
      <w:bookmarkStart w:id="299" w:name="_Toc26787_WPSOffice_Level3"/>
      <w:r>
        <w:rPr>
          <w:rFonts w:ascii="宋体" w:hAnsi="宋体"/>
          <w:bCs/>
        </w:rPr>
        <w:t>（</w:t>
      </w:r>
      <w:bookmarkEnd w:id="299"/>
      <w:r>
        <w:rPr>
          <w:rFonts w:hint="eastAsia"/>
          <w:bCs/>
        </w:rPr>
        <w:t>3</w:t>
      </w:r>
      <w:r>
        <w:rPr>
          <w:rFonts w:ascii="宋体" w:hAnsi="宋体"/>
          <w:bCs/>
        </w:rPr>
        <w:t>）孔隙度的确定</w:t>
      </w:r>
    </w:p>
    <w:p w14:paraId="202DAFE2">
      <w:pPr>
        <w:ind w:firstLine="480"/>
      </w:pPr>
      <w:r>
        <w:rPr>
          <w:rFonts w:ascii="宋体" w:hAnsi="宋体"/>
        </w:rPr>
        <w:t>岩石和土壤孔隙度的大小与颗粒的排列方式、颗粒大小、分选性、颗粒形状以及胶结程度有关，不同岩性孔隙度大小见下表。研究区</w:t>
      </w:r>
      <w:r>
        <w:rPr>
          <w:rFonts w:hint="eastAsia" w:ascii="宋体" w:hAnsi="宋体"/>
        </w:rPr>
        <w:t>第一层以粘土、粉质粘土、粘土夹砂和薄层粉细砂</w:t>
      </w:r>
      <w:r>
        <w:rPr>
          <w:rFonts w:ascii="宋体" w:hAnsi="宋体"/>
        </w:rPr>
        <w:t>，取值范围设定为</w:t>
      </w:r>
      <w:r>
        <w:rPr>
          <w:rFonts w:hint="eastAsia"/>
        </w:rPr>
        <w:t>34%</w:t>
      </w:r>
      <w:r>
        <w:t>~</w:t>
      </w:r>
      <w:r>
        <w:rPr>
          <w:rFonts w:hint="eastAsia"/>
        </w:rPr>
        <w:t>61%</w:t>
      </w:r>
      <w:r>
        <w:rPr>
          <w:rFonts w:ascii="宋体" w:hAnsi="宋体"/>
        </w:rPr>
        <w:t>，第</w:t>
      </w:r>
      <w:r>
        <w:rPr>
          <w:rFonts w:hint="eastAsia" w:ascii="宋体" w:hAnsi="宋体"/>
        </w:rPr>
        <w:t>二</w:t>
      </w:r>
      <w:r>
        <w:rPr>
          <w:rFonts w:ascii="宋体" w:hAnsi="宋体"/>
        </w:rPr>
        <w:t>层</w:t>
      </w:r>
      <w:r>
        <w:rPr>
          <w:rFonts w:hint="eastAsia" w:ascii="宋体" w:hAnsi="宋体"/>
        </w:rPr>
        <w:t>为粘土</w:t>
      </w:r>
      <w:r>
        <w:rPr>
          <w:rFonts w:ascii="宋体" w:hAnsi="宋体"/>
        </w:rPr>
        <w:t>，取值范围设定为</w:t>
      </w:r>
      <w:r>
        <w:rPr>
          <w:rFonts w:hint="eastAsia"/>
        </w:rPr>
        <w:t>34%</w:t>
      </w:r>
      <w:r>
        <w:t>~</w:t>
      </w:r>
      <w:r>
        <w:rPr>
          <w:rFonts w:hint="eastAsia"/>
        </w:rPr>
        <w:t>60%</w:t>
      </w:r>
      <w:r>
        <w:rPr>
          <w:rFonts w:hint="eastAsia" w:ascii="宋体" w:hAnsi="宋体"/>
        </w:rPr>
        <w:t>；第三层为粉细砂</w:t>
      </w:r>
      <w:r>
        <w:t>-</w:t>
      </w:r>
      <w:r>
        <w:rPr>
          <w:rFonts w:hint="eastAsia" w:ascii="宋体" w:hAnsi="宋体"/>
        </w:rPr>
        <w:t>中砂、粘土夹砂组，</w:t>
      </w:r>
      <w:r>
        <w:rPr>
          <w:rFonts w:ascii="宋体" w:hAnsi="宋体"/>
        </w:rPr>
        <w:t>取值范围设定为</w:t>
      </w:r>
      <w:r>
        <w:rPr>
          <w:rFonts w:hint="eastAsia"/>
        </w:rPr>
        <w:t>31%</w:t>
      </w:r>
      <w:r>
        <w:t>~</w:t>
      </w:r>
      <w:r>
        <w:rPr>
          <w:rFonts w:hint="eastAsia"/>
        </w:rPr>
        <w:t>46%</w:t>
      </w:r>
      <w:r>
        <w:rPr>
          <w:rFonts w:hint="eastAsia" w:ascii="宋体" w:hAnsi="宋体"/>
        </w:rPr>
        <w:t>；第四层为粘土</w:t>
      </w:r>
      <w:r>
        <w:rPr>
          <w:rFonts w:ascii="宋体" w:hAnsi="宋体"/>
        </w:rPr>
        <w:t>，取值范围设定为</w:t>
      </w:r>
      <w:r>
        <w:rPr>
          <w:rFonts w:hint="eastAsia"/>
        </w:rPr>
        <w:t>34%</w:t>
      </w:r>
      <w:r>
        <w:t>~</w:t>
      </w:r>
      <w:r>
        <w:rPr>
          <w:rFonts w:hint="eastAsia"/>
        </w:rPr>
        <w:t>60%</w:t>
      </w:r>
      <w:r>
        <w:rPr>
          <w:rFonts w:ascii="宋体" w:hAnsi="宋体"/>
        </w:rPr>
        <w:t>。</w:t>
      </w:r>
    </w:p>
    <w:p w14:paraId="13C1404E">
      <w:pPr>
        <w:pStyle w:val="278"/>
        <w:ind w:firstLine="480"/>
        <w:rPr>
          <w:b/>
        </w:rPr>
      </w:pPr>
      <w:r>
        <w:rPr>
          <w:rFonts w:ascii="黑体" w:hAnsi="黑体"/>
        </w:rPr>
        <w:t>表</w:t>
      </w:r>
      <w:r>
        <w:rPr>
          <w:rFonts w:hint="eastAsia"/>
        </w:rPr>
        <w:t>5</w:t>
      </w:r>
      <w:r>
        <w:t>.5</w:t>
      </w:r>
      <w:r>
        <w:rPr>
          <w:rFonts w:hint="eastAsia"/>
        </w:rPr>
        <w:t>.</w:t>
      </w:r>
      <w:r>
        <w:t>7-</w:t>
      </w:r>
      <w:r>
        <w:rPr>
          <w:rFonts w:hint="eastAsia"/>
        </w:rPr>
        <w:t xml:space="preserve">3  </w:t>
      </w:r>
      <w:r>
        <w:rPr>
          <w:rFonts w:ascii="黑体" w:hAnsi="黑体"/>
        </w:rPr>
        <w:t>松散岩石孔隙度参考值（据弗里泽，</w:t>
      </w:r>
      <w:r>
        <w:t>1987</w:t>
      </w:r>
      <w:r>
        <w:rPr>
          <w:rFonts w:ascii="黑体" w:hAnsi="黑体"/>
        </w:rP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786"/>
        <w:gridCol w:w="1032"/>
        <w:gridCol w:w="1786"/>
        <w:gridCol w:w="1673"/>
        <w:gridCol w:w="1671"/>
      </w:tblGrid>
      <w:tr w14:paraId="6AB651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12" w:space="0"/>
              <w:left w:val="nil"/>
              <w:bottom w:val="single" w:color="auto" w:sz="4" w:space="0"/>
              <w:right w:val="single" w:color="auto" w:sz="4" w:space="0"/>
            </w:tcBorders>
          </w:tcPr>
          <w:p w14:paraId="77CCA395">
            <w:pPr>
              <w:pStyle w:val="445"/>
              <w:rPr>
                <w:rFonts w:cs="Times New Roman"/>
                <w:kern w:val="0"/>
                <w:szCs w:val="20"/>
              </w:rPr>
            </w:pPr>
            <w:r>
              <w:rPr>
                <w:rFonts w:cs="Times New Roman"/>
                <w:kern w:val="0"/>
                <w:szCs w:val="20"/>
              </w:rPr>
              <w:t>松散岩体</w:t>
            </w:r>
          </w:p>
        </w:tc>
        <w:tc>
          <w:tcPr>
            <w:tcW w:w="966" w:type="pct"/>
            <w:tcBorders>
              <w:top w:val="single" w:color="auto" w:sz="12" w:space="0"/>
              <w:left w:val="single" w:color="auto" w:sz="4" w:space="0"/>
              <w:bottom w:val="single" w:color="auto" w:sz="4" w:space="0"/>
              <w:right w:val="single" w:color="auto" w:sz="4" w:space="0"/>
            </w:tcBorders>
          </w:tcPr>
          <w:p w14:paraId="00AC94A0">
            <w:pPr>
              <w:pStyle w:val="445"/>
              <w:rPr>
                <w:rFonts w:cs="Times New Roman"/>
                <w:kern w:val="0"/>
                <w:szCs w:val="20"/>
              </w:rPr>
            </w:pPr>
            <w:r>
              <w:rPr>
                <w:rFonts w:cs="Times New Roman"/>
                <w:kern w:val="0"/>
                <w:szCs w:val="20"/>
              </w:rPr>
              <w:t>孔隙度（%）</w:t>
            </w:r>
          </w:p>
        </w:tc>
        <w:tc>
          <w:tcPr>
            <w:tcW w:w="558" w:type="pct"/>
            <w:tcBorders>
              <w:top w:val="single" w:color="auto" w:sz="12" w:space="0"/>
              <w:left w:val="single" w:color="auto" w:sz="4" w:space="0"/>
              <w:bottom w:val="single" w:color="auto" w:sz="4" w:space="0"/>
              <w:right w:val="single" w:color="auto" w:sz="4" w:space="0"/>
            </w:tcBorders>
          </w:tcPr>
          <w:p w14:paraId="77CE7D96">
            <w:pPr>
              <w:pStyle w:val="445"/>
              <w:rPr>
                <w:rFonts w:cs="Times New Roman"/>
                <w:kern w:val="0"/>
                <w:szCs w:val="20"/>
              </w:rPr>
            </w:pPr>
            <w:r>
              <w:rPr>
                <w:rFonts w:cs="Times New Roman"/>
                <w:kern w:val="0"/>
                <w:szCs w:val="20"/>
              </w:rPr>
              <w:t>沉积岩</w:t>
            </w:r>
          </w:p>
        </w:tc>
        <w:tc>
          <w:tcPr>
            <w:tcW w:w="966" w:type="pct"/>
            <w:tcBorders>
              <w:top w:val="single" w:color="auto" w:sz="12" w:space="0"/>
              <w:left w:val="single" w:color="auto" w:sz="4" w:space="0"/>
              <w:bottom w:val="single" w:color="auto" w:sz="4" w:space="0"/>
              <w:right w:val="single" w:color="auto" w:sz="4" w:space="0"/>
            </w:tcBorders>
          </w:tcPr>
          <w:p w14:paraId="47B4DDED">
            <w:pPr>
              <w:pStyle w:val="445"/>
              <w:rPr>
                <w:rFonts w:cs="Times New Roman"/>
                <w:kern w:val="0"/>
                <w:szCs w:val="20"/>
              </w:rPr>
            </w:pPr>
            <w:r>
              <w:rPr>
                <w:rFonts w:cs="Times New Roman"/>
                <w:kern w:val="0"/>
                <w:szCs w:val="20"/>
              </w:rPr>
              <w:t>孔隙度（%）</w:t>
            </w:r>
          </w:p>
        </w:tc>
        <w:tc>
          <w:tcPr>
            <w:tcW w:w="905" w:type="pct"/>
            <w:tcBorders>
              <w:top w:val="single" w:color="auto" w:sz="12" w:space="0"/>
              <w:left w:val="single" w:color="auto" w:sz="4" w:space="0"/>
              <w:bottom w:val="single" w:color="auto" w:sz="4" w:space="0"/>
              <w:right w:val="single" w:color="auto" w:sz="4" w:space="0"/>
            </w:tcBorders>
          </w:tcPr>
          <w:p w14:paraId="00B2AAD6">
            <w:pPr>
              <w:pStyle w:val="445"/>
              <w:rPr>
                <w:rFonts w:cs="Times New Roman"/>
                <w:kern w:val="0"/>
                <w:szCs w:val="20"/>
              </w:rPr>
            </w:pPr>
            <w:r>
              <w:rPr>
                <w:rFonts w:cs="Times New Roman"/>
                <w:kern w:val="0"/>
                <w:szCs w:val="20"/>
              </w:rPr>
              <w:t>结晶岩</w:t>
            </w:r>
          </w:p>
        </w:tc>
        <w:tc>
          <w:tcPr>
            <w:tcW w:w="904" w:type="pct"/>
            <w:tcBorders>
              <w:top w:val="single" w:color="auto" w:sz="12" w:space="0"/>
              <w:left w:val="single" w:color="auto" w:sz="4" w:space="0"/>
              <w:bottom w:val="single" w:color="auto" w:sz="4" w:space="0"/>
              <w:right w:val="nil"/>
            </w:tcBorders>
          </w:tcPr>
          <w:p w14:paraId="61509022">
            <w:pPr>
              <w:pStyle w:val="445"/>
              <w:rPr>
                <w:rFonts w:cs="Times New Roman"/>
                <w:kern w:val="0"/>
                <w:szCs w:val="20"/>
              </w:rPr>
            </w:pPr>
            <w:r>
              <w:rPr>
                <w:rFonts w:cs="Times New Roman"/>
                <w:kern w:val="0"/>
                <w:szCs w:val="20"/>
              </w:rPr>
              <w:t>孔隙度（%）</w:t>
            </w:r>
          </w:p>
        </w:tc>
      </w:tr>
      <w:tr w14:paraId="40D4B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4" w:space="0"/>
              <w:right w:val="single" w:color="auto" w:sz="4" w:space="0"/>
            </w:tcBorders>
          </w:tcPr>
          <w:p w14:paraId="6F66544B">
            <w:pPr>
              <w:pStyle w:val="445"/>
              <w:rPr>
                <w:rFonts w:cs="Times New Roman"/>
                <w:kern w:val="0"/>
                <w:szCs w:val="20"/>
              </w:rPr>
            </w:pPr>
            <w:r>
              <w:rPr>
                <w:rFonts w:cs="Times New Roman"/>
                <w:kern w:val="0"/>
                <w:szCs w:val="20"/>
              </w:rPr>
              <w:t>粗砾</w:t>
            </w:r>
          </w:p>
        </w:tc>
        <w:tc>
          <w:tcPr>
            <w:tcW w:w="966" w:type="pct"/>
            <w:tcBorders>
              <w:top w:val="single" w:color="auto" w:sz="4" w:space="0"/>
              <w:left w:val="single" w:color="auto" w:sz="4" w:space="0"/>
              <w:bottom w:val="single" w:color="auto" w:sz="4" w:space="0"/>
              <w:right w:val="single" w:color="auto" w:sz="4" w:space="0"/>
            </w:tcBorders>
          </w:tcPr>
          <w:p w14:paraId="43BCB409">
            <w:pPr>
              <w:pStyle w:val="445"/>
              <w:rPr>
                <w:rFonts w:cs="Times New Roman"/>
                <w:kern w:val="0"/>
                <w:szCs w:val="20"/>
              </w:rPr>
            </w:pPr>
            <w:r>
              <w:rPr>
                <w:rFonts w:cs="Times New Roman"/>
                <w:kern w:val="0"/>
                <w:szCs w:val="20"/>
              </w:rPr>
              <w:t>24-36</w:t>
            </w:r>
          </w:p>
        </w:tc>
        <w:tc>
          <w:tcPr>
            <w:tcW w:w="558" w:type="pct"/>
            <w:tcBorders>
              <w:top w:val="single" w:color="auto" w:sz="4" w:space="0"/>
              <w:left w:val="single" w:color="auto" w:sz="4" w:space="0"/>
              <w:bottom w:val="single" w:color="auto" w:sz="4" w:space="0"/>
              <w:right w:val="single" w:color="auto" w:sz="4" w:space="0"/>
            </w:tcBorders>
          </w:tcPr>
          <w:p w14:paraId="3953A199">
            <w:pPr>
              <w:pStyle w:val="445"/>
              <w:rPr>
                <w:rFonts w:cs="Times New Roman"/>
                <w:kern w:val="0"/>
                <w:szCs w:val="20"/>
              </w:rPr>
            </w:pPr>
            <w:r>
              <w:rPr>
                <w:rFonts w:cs="Times New Roman"/>
                <w:kern w:val="0"/>
                <w:szCs w:val="20"/>
              </w:rPr>
              <w:t>砂岩</w:t>
            </w:r>
          </w:p>
        </w:tc>
        <w:tc>
          <w:tcPr>
            <w:tcW w:w="966" w:type="pct"/>
            <w:tcBorders>
              <w:top w:val="single" w:color="auto" w:sz="4" w:space="0"/>
              <w:left w:val="single" w:color="auto" w:sz="4" w:space="0"/>
              <w:bottom w:val="single" w:color="auto" w:sz="4" w:space="0"/>
              <w:right w:val="single" w:color="auto" w:sz="4" w:space="0"/>
            </w:tcBorders>
          </w:tcPr>
          <w:p w14:paraId="586B4CBD">
            <w:pPr>
              <w:pStyle w:val="445"/>
              <w:rPr>
                <w:rFonts w:cs="Times New Roman"/>
                <w:kern w:val="0"/>
                <w:szCs w:val="20"/>
              </w:rPr>
            </w:pPr>
            <w:r>
              <w:rPr>
                <w:rFonts w:cs="Times New Roman"/>
                <w:kern w:val="0"/>
                <w:szCs w:val="20"/>
              </w:rPr>
              <w:t>5-30</w:t>
            </w:r>
          </w:p>
        </w:tc>
        <w:tc>
          <w:tcPr>
            <w:tcW w:w="905" w:type="pct"/>
            <w:vMerge w:val="restart"/>
            <w:tcBorders>
              <w:top w:val="single" w:color="auto" w:sz="4" w:space="0"/>
              <w:left w:val="single" w:color="auto" w:sz="4" w:space="0"/>
              <w:bottom w:val="single" w:color="auto" w:sz="4" w:space="0"/>
              <w:right w:val="single" w:color="auto" w:sz="4" w:space="0"/>
            </w:tcBorders>
          </w:tcPr>
          <w:p w14:paraId="276BC68E">
            <w:pPr>
              <w:pStyle w:val="445"/>
              <w:rPr>
                <w:rFonts w:cs="Times New Roman"/>
                <w:kern w:val="0"/>
                <w:szCs w:val="20"/>
              </w:rPr>
            </w:pPr>
            <w:r>
              <w:rPr>
                <w:rFonts w:cs="Times New Roman"/>
                <w:kern w:val="0"/>
                <w:szCs w:val="20"/>
              </w:rPr>
              <w:t>裂隙化结晶岩</w:t>
            </w:r>
          </w:p>
        </w:tc>
        <w:tc>
          <w:tcPr>
            <w:tcW w:w="904" w:type="pct"/>
            <w:vMerge w:val="restart"/>
            <w:tcBorders>
              <w:top w:val="single" w:color="auto" w:sz="4" w:space="0"/>
              <w:left w:val="single" w:color="auto" w:sz="4" w:space="0"/>
              <w:bottom w:val="single" w:color="auto" w:sz="4" w:space="0"/>
              <w:right w:val="nil"/>
            </w:tcBorders>
          </w:tcPr>
          <w:p w14:paraId="6CACEB88">
            <w:pPr>
              <w:pStyle w:val="445"/>
              <w:rPr>
                <w:rFonts w:cs="Times New Roman"/>
                <w:kern w:val="0"/>
                <w:szCs w:val="20"/>
              </w:rPr>
            </w:pPr>
            <w:r>
              <w:rPr>
                <w:rFonts w:cs="Times New Roman"/>
                <w:kern w:val="0"/>
                <w:szCs w:val="20"/>
              </w:rPr>
              <w:t>0-10</w:t>
            </w:r>
          </w:p>
        </w:tc>
      </w:tr>
      <w:tr w14:paraId="410D3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4" w:space="0"/>
              <w:right w:val="single" w:color="auto" w:sz="4" w:space="0"/>
            </w:tcBorders>
          </w:tcPr>
          <w:p w14:paraId="3BAC00E7">
            <w:pPr>
              <w:pStyle w:val="445"/>
              <w:rPr>
                <w:rFonts w:cs="Times New Roman"/>
                <w:kern w:val="0"/>
                <w:szCs w:val="20"/>
              </w:rPr>
            </w:pPr>
            <w:r>
              <w:rPr>
                <w:rFonts w:cs="Times New Roman"/>
                <w:kern w:val="0"/>
                <w:szCs w:val="20"/>
              </w:rPr>
              <w:t>细砾</w:t>
            </w:r>
          </w:p>
        </w:tc>
        <w:tc>
          <w:tcPr>
            <w:tcW w:w="966" w:type="pct"/>
            <w:tcBorders>
              <w:top w:val="single" w:color="auto" w:sz="4" w:space="0"/>
              <w:left w:val="single" w:color="auto" w:sz="4" w:space="0"/>
              <w:bottom w:val="single" w:color="auto" w:sz="4" w:space="0"/>
              <w:right w:val="single" w:color="auto" w:sz="4" w:space="0"/>
            </w:tcBorders>
          </w:tcPr>
          <w:p w14:paraId="50AB7F79">
            <w:pPr>
              <w:pStyle w:val="445"/>
              <w:rPr>
                <w:rFonts w:cs="Times New Roman"/>
                <w:kern w:val="0"/>
                <w:szCs w:val="20"/>
              </w:rPr>
            </w:pPr>
            <w:r>
              <w:rPr>
                <w:rFonts w:cs="Times New Roman"/>
                <w:kern w:val="0"/>
                <w:szCs w:val="20"/>
              </w:rPr>
              <w:t>25-38</w:t>
            </w:r>
          </w:p>
        </w:tc>
        <w:tc>
          <w:tcPr>
            <w:tcW w:w="558" w:type="pct"/>
            <w:tcBorders>
              <w:top w:val="single" w:color="auto" w:sz="4" w:space="0"/>
              <w:left w:val="single" w:color="auto" w:sz="4" w:space="0"/>
              <w:bottom w:val="single" w:color="auto" w:sz="4" w:space="0"/>
              <w:right w:val="single" w:color="auto" w:sz="4" w:space="0"/>
            </w:tcBorders>
          </w:tcPr>
          <w:p w14:paraId="5E4631D4">
            <w:pPr>
              <w:pStyle w:val="445"/>
              <w:rPr>
                <w:rFonts w:cs="Times New Roman"/>
                <w:kern w:val="0"/>
                <w:szCs w:val="20"/>
              </w:rPr>
            </w:pPr>
            <w:r>
              <w:rPr>
                <w:rFonts w:cs="Times New Roman"/>
                <w:kern w:val="0"/>
                <w:szCs w:val="20"/>
              </w:rPr>
              <w:t>粉砂岩</w:t>
            </w:r>
          </w:p>
        </w:tc>
        <w:tc>
          <w:tcPr>
            <w:tcW w:w="966" w:type="pct"/>
            <w:tcBorders>
              <w:top w:val="single" w:color="auto" w:sz="4" w:space="0"/>
              <w:left w:val="single" w:color="auto" w:sz="4" w:space="0"/>
              <w:bottom w:val="single" w:color="auto" w:sz="4" w:space="0"/>
              <w:right w:val="single" w:color="auto" w:sz="4" w:space="0"/>
            </w:tcBorders>
          </w:tcPr>
          <w:p w14:paraId="45F268EF">
            <w:pPr>
              <w:pStyle w:val="445"/>
              <w:rPr>
                <w:rFonts w:cs="Times New Roman"/>
                <w:kern w:val="0"/>
                <w:szCs w:val="20"/>
              </w:rPr>
            </w:pPr>
            <w:r>
              <w:rPr>
                <w:rFonts w:cs="Times New Roman"/>
                <w:kern w:val="0"/>
                <w:szCs w:val="20"/>
              </w:rPr>
              <w:t>21-41</w:t>
            </w:r>
          </w:p>
        </w:tc>
        <w:tc>
          <w:tcPr>
            <w:tcW w:w="0" w:type="auto"/>
            <w:vMerge w:val="continue"/>
            <w:tcBorders>
              <w:top w:val="single" w:color="auto" w:sz="4" w:space="0"/>
              <w:left w:val="single" w:color="auto" w:sz="4" w:space="0"/>
              <w:bottom w:val="single" w:color="auto" w:sz="4" w:space="0"/>
              <w:right w:val="single" w:color="auto" w:sz="4" w:space="0"/>
            </w:tcBorders>
          </w:tcPr>
          <w:p w14:paraId="7FB06745">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nil"/>
            </w:tcBorders>
          </w:tcPr>
          <w:p w14:paraId="2D76C917">
            <w:pPr>
              <w:pStyle w:val="445"/>
              <w:rPr>
                <w:rFonts w:cs="Times New Roman"/>
                <w:kern w:val="0"/>
                <w:szCs w:val="18"/>
              </w:rPr>
            </w:pPr>
          </w:p>
        </w:tc>
      </w:tr>
      <w:tr w14:paraId="5DC73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4" w:space="0"/>
              <w:right w:val="single" w:color="auto" w:sz="4" w:space="0"/>
            </w:tcBorders>
          </w:tcPr>
          <w:p w14:paraId="330869D8">
            <w:pPr>
              <w:pStyle w:val="445"/>
              <w:rPr>
                <w:rFonts w:cs="Times New Roman"/>
                <w:kern w:val="0"/>
                <w:szCs w:val="20"/>
              </w:rPr>
            </w:pPr>
            <w:r>
              <w:rPr>
                <w:rFonts w:cs="Times New Roman"/>
                <w:kern w:val="0"/>
                <w:szCs w:val="20"/>
              </w:rPr>
              <w:t>粗砂</w:t>
            </w:r>
          </w:p>
        </w:tc>
        <w:tc>
          <w:tcPr>
            <w:tcW w:w="966" w:type="pct"/>
            <w:tcBorders>
              <w:top w:val="single" w:color="auto" w:sz="4" w:space="0"/>
              <w:left w:val="single" w:color="auto" w:sz="4" w:space="0"/>
              <w:bottom w:val="single" w:color="auto" w:sz="4" w:space="0"/>
              <w:right w:val="single" w:color="auto" w:sz="4" w:space="0"/>
            </w:tcBorders>
          </w:tcPr>
          <w:p w14:paraId="64D1452E">
            <w:pPr>
              <w:pStyle w:val="445"/>
              <w:rPr>
                <w:rFonts w:cs="Times New Roman"/>
                <w:kern w:val="0"/>
                <w:szCs w:val="20"/>
              </w:rPr>
            </w:pPr>
            <w:r>
              <w:rPr>
                <w:rFonts w:cs="Times New Roman"/>
                <w:kern w:val="0"/>
                <w:szCs w:val="20"/>
              </w:rPr>
              <w:t>31-46</w:t>
            </w:r>
          </w:p>
        </w:tc>
        <w:tc>
          <w:tcPr>
            <w:tcW w:w="558" w:type="pct"/>
            <w:tcBorders>
              <w:top w:val="single" w:color="auto" w:sz="4" w:space="0"/>
              <w:left w:val="single" w:color="auto" w:sz="4" w:space="0"/>
              <w:bottom w:val="single" w:color="auto" w:sz="4" w:space="0"/>
              <w:right w:val="single" w:color="auto" w:sz="4" w:space="0"/>
            </w:tcBorders>
          </w:tcPr>
          <w:p w14:paraId="4B57DB03">
            <w:pPr>
              <w:pStyle w:val="445"/>
              <w:rPr>
                <w:rFonts w:cs="Times New Roman"/>
                <w:kern w:val="0"/>
                <w:szCs w:val="20"/>
              </w:rPr>
            </w:pPr>
            <w:r>
              <w:rPr>
                <w:rFonts w:cs="Times New Roman"/>
                <w:kern w:val="0"/>
                <w:szCs w:val="20"/>
              </w:rPr>
              <w:t>石灰岩</w:t>
            </w:r>
          </w:p>
        </w:tc>
        <w:tc>
          <w:tcPr>
            <w:tcW w:w="966" w:type="pct"/>
            <w:tcBorders>
              <w:top w:val="single" w:color="auto" w:sz="4" w:space="0"/>
              <w:left w:val="single" w:color="auto" w:sz="4" w:space="0"/>
              <w:bottom w:val="single" w:color="auto" w:sz="4" w:space="0"/>
              <w:right w:val="single" w:color="auto" w:sz="4" w:space="0"/>
            </w:tcBorders>
          </w:tcPr>
          <w:p w14:paraId="0479F21D">
            <w:pPr>
              <w:pStyle w:val="445"/>
              <w:rPr>
                <w:rFonts w:cs="Times New Roman"/>
                <w:kern w:val="0"/>
                <w:szCs w:val="20"/>
              </w:rPr>
            </w:pPr>
            <w:r>
              <w:rPr>
                <w:rFonts w:cs="Times New Roman"/>
                <w:kern w:val="0"/>
                <w:szCs w:val="20"/>
              </w:rPr>
              <w:t>0-40</w:t>
            </w:r>
          </w:p>
        </w:tc>
        <w:tc>
          <w:tcPr>
            <w:tcW w:w="905" w:type="pct"/>
            <w:tcBorders>
              <w:top w:val="single" w:color="auto" w:sz="4" w:space="0"/>
              <w:left w:val="single" w:color="auto" w:sz="4" w:space="0"/>
              <w:bottom w:val="single" w:color="auto" w:sz="4" w:space="0"/>
              <w:right w:val="single" w:color="auto" w:sz="4" w:space="0"/>
            </w:tcBorders>
          </w:tcPr>
          <w:p w14:paraId="5549E4DA">
            <w:pPr>
              <w:pStyle w:val="445"/>
              <w:rPr>
                <w:rFonts w:cs="Times New Roman"/>
                <w:kern w:val="0"/>
                <w:szCs w:val="20"/>
              </w:rPr>
            </w:pPr>
            <w:r>
              <w:rPr>
                <w:rFonts w:cs="Times New Roman"/>
                <w:kern w:val="0"/>
                <w:szCs w:val="20"/>
              </w:rPr>
              <w:t>致密结晶岩</w:t>
            </w:r>
          </w:p>
        </w:tc>
        <w:tc>
          <w:tcPr>
            <w:tcW w:w="904" w:type="pct"/>
            <w:tcBorders>
              <w:top w:val="single" w:color="auto" w:sz="4" w:space="0"/>
              <w:left w:val="single" w:color="auto" w:sz="4" w:space="0"/>
              <w:bottom w:val="single" w:color="auto" w:sz="4" w:space="0"/>
              <w:right w:val="nil"/>
            </w:tcBorders>
          </w:tcPr>
          <w:p w14:paraId="0EDD6061">
            <w:pPr>
              <w:pStyle w:val="445"/>
              <w:rPr>
                <w:rFonts w:cs="Times New Roman"/>
                <w:kern w:val="0"/>
                <w:szCs w:val="20"/>
              </w:rPr>
            </w:pPr>
            <w:r>
              <w:rPr>
                <w:rFonts w:cs="Times New Roman"/>
                <w:kern w:val="0"/>
                <w:szCs w:val="20"/>
              </w:rPr>
              <w:t>0-5</w:t>
            </w:r>
          </w:p>
        </w:tc>
      </w:tr>
      <w:tr w14:paraId="69105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4" w:space="0"/>
              <w:right w:val="single" w:color="auto" w:sz="4" w:space="0"/>
            </w:tcBorders>
          </w:tcPr>
          <w:p w14:paraId="3E06A33A">
            <w:pPr>
              <w:pStyle w:val="445"/>
              <w:rPr>
                <w:rFonts w:cs="Times New Roman"/>
                <w:kern w:val="0"/>
                <w:szCs w:val="20"/>
              </w:rPr>
            </w:pPr>
            <w:r>
              <w:rPr>
                <w:rFonts w:cs="Times New Roman"/>
                <w:kern w:val="0"/>
                <w:szCs w:val="20"/>
              </w:rPr>
              <w:t>细砂</w:t>
            </w:r>
          </w:p>
        </w:tc>
        <w:tc>
          <w:tcPr>
            <w:tcW w:w="966" w:type="pct"/>
            <w:tcBorders>
              <w:top w:val="single" w:color="auto" w:sz="4" w:space="0"/>
              <w:left w:val="single" w:color="auto" w:sz="4" w:space="0"/>
              <w:bottom w:val="single" w:color="auto" w:sz="4" w:space="0"/>
              <w:right w:val="single" w:color="auto" w:sz="4" w:space="0"/>
            </w:tcBorders>
          </w:tcPr>
          <w:p w14:paraId="1FB0B4A6">
            <w:pPr>
              <w:pStyle w:val="445"/>
              <w:rPr>
                <w:rFonts w:cs="Times New Roman"/>
                <w:kern w:val="0"/>
                <w:szCs w:val="20"/>
              </w:rPr>
            </w:pPr>
            <w:r>
              <w:rPr>
                <w:rFonts w:cs="Times New Roman"/>
                <w:kern w:val="0"/>
                <w:szCs w:val="20"/>
              </w:rPr>
              <w:t>26-53</w:t>
            </w:r>
          </w:p>
        </w:tc>
        <w:tc>
          <w:tcPr>
            <w:tcW w:w="558" w:type="pct"/>
            <w:tcBorders>
              <w:top w:val="single" w:color="auto" w:sz="4" w:space="0"/>
              <w:left w:val="single" w:color="auto" w:sz="4" w:space="0"/>
              <w:bottom w:val="single" w:color="auto" w:sz="4" w:space="0"/>
              <w:right w:val="single" w:color="auto" w:sz="4" w:space="0"/>
            </w:tcBorders>
          </w:tcPr>
          <w:p w14:paraId="590F1035">
            <w:pPr>
              <w:pStyle w:val="445"/>
              <w:rPr>
                <w:rFonts w:cs="Times New Roman"/>
                <w:kern w:val="0"/>
                <w:szCs w:val="20"/>
              </w:rPr>
            </w:pPr>
            <w:r>
              <w:rPr>
                <w:rFonts w:cs="Times New Roman"/>
                <w:kern w:val="0"/>
                <w:szCs w:val="20"/>
              </w:rPr>
              <w:t>岩溶</w:t>
            </w:r>
          </w:p>
        </w:tc>
        <w:tc>
          <w:tcPr>
            <w:tcW w:w="966" w:type="pct"/>
            <w:tcBorders>
              <w:top w:val="single" w:color="auto" w:sz="4" w:space="0"/>
              <w:left w:val="single" w:color="auto" w:sz="4" w:space="0"/>
              <w:bottom w:val="single" w:color="auto" w:sz="4" w:space="0"/>
              <w:right w:val="single" w:color="auto" w:sz="4" w:space="0"/>
            </w:tcBorders>
          </w:tcPr>
          <w:p w14:paraId="31ED9B2B">
            <w:pPr>
              <w:pStyle w:val="445"/>
              <w:rPr>
                <w:rFonts w:cs="Times New Roman"/>
                <w:kern w:val="0"/>
                <w:szCs w:val="20"/>
              </w:rPr>
            </w:pPr>
            <w:r>
              <w:rPr>
                <w:rFonts w:cs="Times New Roman"/>
                <w:kern w:val="0"/>
                <w:szCs w:val="20"/>
              </w:rPr>
              <w:t>0-40</w:t>
            </w:r>
          </w:p>
        </w:tc>
        <w:tc>
          <w:tcPr>
            <w:tcW w:w="905" w:type="pct"/>
            <w:tcBorders>
              <w:top w:val="single" w:color="auto" w:sz="4" w:space="0"/>
              <w:left w:val="single" w:color="auto" w:sz="4" w:space="0"/>
              <w:bottom w:val="single" w:color="auto" w:sz="4" w:space="0"/>
              <w:right w:val="single" w:color="auto" w:sz="4" w:space="0"/>
            </w:tcBorders>
          </w:tcPr>
          <w:p w14:paraId="03669944">
            <w:pPr>
              <w:pStyle w:val="445"/>
              <w:rPr>
                <w:rFonts w:cs="Times New Roman"/>
                <w:kern w:val="0"/>
                <w:szCs w:val="20"/>
              </w:rPr>
            </w:pPr>
            <w:r>
              <w:rPr>
                <w:rFonts w:cs="Times New Roman"/>
                <w:kern w:val="0"/>
                <w:szCs w:val="20"/>
              </w:rPr>
              <w:t>玄武岩</w:t>
            </w:r>
          </w:p>
        </w:tc>
        <w:tc>
          <w:tcPr>
            <w:tcW w:w="904" w:type="pct"/>
            <w:tcBorders>
              <w:top w:val="single" w:color="auto" w:sz="4" w:space="0"/>
              <w:left w:val="single" w:color="auto" w:sz="4" w:space="0"/>
              <w:bottom w:val="single" w:color="auto" w:sz="4" w:space="0"/>
              <w:right w:val="nil"/>
            </w:tcBorders>
          </w:tcPr>
          <w:p w14:paraId="1212749D">
            <w:pPr>
              <w:pStyle w:val="445"/>
              <w:rPr>
                <w:rFonts w:cs="Times New Roman"/>
                <w:kern w:val="0"/>
                <w:szCs w:val="20"/>
              </w:rPr>
            </w:pPr>
            <w:r>
              <w:rPr>
                <w:rFonts w:cs="Times New Roman"/>
                <w:kern w:val="0"/>
                <w:szCs w:val="20"/>
              </w:rPr>
              <w:t>3-35</w:t>
            </w:r>
          </w:p>
        </w:tc>
      </w:tr>
      <w:tr w14:paraId="46C308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4" w:space="0"/>
              <w:right w:val="single" w:color="auto" w:sz="4" w:space="0"/>
            </w:tcBorders>
          </w:tcPr>
          <w:p w14:paraId="32576CA9">
            <w:pPr>
              <w:pStyle w:val="445"/>
              <w:rPr>
                <w:rFonts w:cs="Times New Roman"/>
                <w:kern w:val="0"/>
                <w:szCs w:val="20"/>
              </w:rPr>
            </w:pPr>
            <w:r>
              <w:rPr>
                <w:rFonts w:cs="Times New Roman"/>
                <w:kern w:val="0"/>
                <w:szCs w:val="20"/>
              </w:rPr>
              <w:t>粉砂</w:t>
            </w:r>
          </w:p>
        </w:tc>
        <w:tc>
          <w:tcPr>
            <w:tcW w:w="966" w:type="pct"/>
            <w:tcBorders>
              <w:top w:val="single" w:color="auto" w:sz="4" w:space="0"/>
              <w:left w:val="single" w:color="auto" w:sz="4" w:space="0"/>
              <w:bottom w:val="single" w:color="auto" w:sz="4" w:space="0"/>
              <w:right w:val="single" w:color="auto" w:sz="4" w:space="0"/>
            </w:tcBorders>
          </w:tcPr>
          <w:p w14:paraId="5EF06D21">
            <w:pPr>
              <w:pStyle w:val="445"/>
              <w:rPr>
                <w:rFonts w:cs="Times New Roman"/>
                <w:kern w:val="0"/>
                <w:szCs w:val="20"/>
              </w:rPr>
            </w:pPr>
            <w:r>
              <w:rPr>
                <w:rFonts w:cs="Times New Roman"/>
                <w:kern w:val="0"/>
                <w:szCs w:val="20"/>
              </w:rPr>
              <w:t>34-61</w:t>
            </w:r>
          </w:p>
        </w:tc>
        <w:tc>
          <w:tcPr>
            <w:tcW w:w="558" w:type="pct"/>
            <w:tcBorders>
              <w:top w:val="single" w:color="auto" w:sz="4" w:space="0"/>
              <w:left w:val="single" w:color="auto" w:sz="4" w:space="0"/>
              <w:bottom w:val="single" w:color="auto" w:sz="4" w:space="0"/>
              <w:right w:val="single" w:color="auto" w:sz="4" w:space="0"/>
            </w:tcBorders>
          </w:tcPr>
          <w:p w14:paraId="48976DBE">
            <w:pPr>
              <w:pStyle w:val="445"/>
              <w:rPr>
                <w:rFonts w:cs="Times New Roman"/>
                <w:kern w:val="0"/>
                <w:szCs w:val="20"/>
              </w:rPr>
            </w:pPr>
            <w:r>
              <w:rPr>
                <w:rFonts w:cs="Times New Roman"/>
                <w:kern w:val="0"/>
                <w:szCs w:val="20"/>
              </w:rPr>
              <w:t>页岩</w:t>
            </w:r>
          </w:p>
        </w:tc>
        <w:tc>
          <w:tcPr>
            <w:tcW w:w="966" w:type="pct"/>
            <w:tcBorders>
              <w:top w:val="single" w:color="auto" w:sz="4" w:space="0"/>
              <w:left w:val="single" w:color="auto" w:sz="4" w:space="0"/>
              <w:bottom w:val="single" w:color="auto" w:sz="4" w:space="0"/>
              <w:right w:val="single" w:color="auto" w:sz="4" w:space="0"/>
            </w:tcBorders>
          </w:tcPr>
          <w:p w14:paraId="7459FB4B">
            <w:pPr>
              <w:pStyle w:val="445"/>
              <w:rPr>
                <w:rFonts w:cs="Times New Roman"/>
                <w:kern w:val="0"/>
                <w:szCs w:val="20"/>
              </w:rPr>
            </w:pPr>
            <w:r>
              <w:rPr>
                <w:rFonts w:cs="Times New Roman"/>
                <w:kern w:val="0"/>
                <w:szCs w:val="20"/>
              </w:rPr>
              <w:t>0-10</w:t>
            </w:r>
          </w:p>
        </w:tc>
        <w:tc>
          <w:tcPr>
            <w:tcW w:w="905" w:type="pct"/>
            <w:tcBorders>
              <w:top w:val="single" w:color="auto" w:sz="4" w:space="0"/>
              <w:left w:val="single" w:color="auto" w:sz="4" w:space="0"/>
              <w:bottom w:val="single" w:color="auto" w:sz="4" w:space="0"/>
              <w:right w:val="single" w:color="auto" w:sz="4" w:space="0"/>
            </w:tcBorders>
          </w:tcPr>
          <w:p w14:paraId="3B0A7451">
            <w:pPr>
              <w:pStyle w:val="445"/>
              <w:rPr>
                <w:rFonts w:cs="Times New Roman"/>
                <w:kern w:val="0"/>
                <w:szCs w:val="20"/>
              </w:rPr>
            </w:pPr>
            <w:r>
              <w:rPr>
                <w:rFonts w:cs="Times New Roman"/>
                <w:kern w:val="0"/>
                <w:szCs w:val="20"/>
              </w:rPr>
              <w:t>风化花岗岩</w:t>
            </w:r>
          </w:p>
        </w:tc>
        <w:tc>
          <w:tcPr>
            <w:tcW w:w="904" w:type="pct"/>
            <w:tcBorders>
              <w:top w:val="single" w:color="auto" w:sz="4" w:space="0"/>
              <w:left w:val="single" w:color="auto" w:sz="4" w:space="0"/>
              <w:bottom w:val="single" w:color="auto" w:sz="4" w:space="0"/>
              <w:right w:val="nil"/>
            </w:tcBorders>
          </w:tcPr>
          <w:p w14:paraId="1B1D1BDF">
            <w:pPr>
              <w:pStyle w:val="445"/>
              <w:rPr>
                <w:rFonts w:cs="Times New Roman"/>
                <w:kern w:val="0"/>
                <w:szCs w:val="20"/>
              </w:rPr>
            </w:pPr>
            <w:r>
              <w:rPr>
                <w:rFonts w:cs="Times New Roman"/>
                <w:kern w:val="0"/>
                <w:szCs w:val="20"/>
              </w:rPr>
              <w:t>34-57</w:t>
            </w:r>
          </w:p>
        </w:tc>
      </w:tr>
      <w:tr w14:paraId="01F16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op w:val="single" w:color="auto" w:sz="4" w:space="0"/>
              <w:left w:val="nil"/>
              <w:bottom w:val="single" w:color="auto" w:sz="12" w:space="0"/>
              <w:right w:val="single" w:color="auto" w:sz="4" w:space="0"/>
            </w:tcBorders>
          </w:tcPr>
          <w:p w14:paraId="43311723">
            <w:pPr>
              <w:pStyle w:val="445"/>
              <w:rPr>
                <w:rFonts w:cs="Times New Roman"/>
                <w:kern w:val="0"/>
                <w:szCs w:val="20"/>
              </w:rPr>
            </w:pPr>
            <w:r>
              <w:rPr>
                <w:rFonts w:cs="Times New Roman"/>
                <w:kern w:val="0"/>
                <w:szCs w:val="20"/>
              </w:rPr>
              <w:t>粘土</w:t>
            </w:r>
          </w:p>
        </w:tc>
        <w:tc>
          <w:tcPr>
            <w:tcW w:w="966" w:type="pct"/>
            <w:tcBorders>
              <w:top w:val="single" w:color="auto" w:sz="4" w:space="0"/>
              <w:left w:val="single" w:color="auto" w:sz="4" w:space="0"/>
              <w:bottom w:val="single" w:color="auto" w:sz="12" w:space="0"/>
              <w:right w:val="single" w:color="auto" w:sz="4" w:space="0"/>
            </w:tcBorders>
          </w:tcPr>
          <w:p w14:paraId="4D517354">
            <w:pPr>
              <w:pStyle w:val="445"/>
              <w:rPr>
                <w:rFonts w:cs="Times New Roman"/>
                <w:kern w:val="0"/>
                <w:szCs w:val="20"/>
              </w:rPr>
            </w:pPr>
            <w:r>
              <w:rPr>
                <w:rFonts w:cs="Times New Roman"/>
                <w:kern w:val="0"/>
                <w:szCs w:val="20"/>
              </w:rPr>
              <w:t>34-60</w:t>
            </w:r>
          </w:p>
        </w:tc>
        <w:tc>
          <w:tcPr>
            <w:tcW w:w="558" w:type="pct"/>
            <w:tcBorders>
              <w:top w:val="single" w:color="auto" w:sz="4" w:space="0"/>
              <w:left w:val="single" w:color="auto" w:sz="4" w:space="0"/>
              <w:bottom w:val="single" w:color="auto" w:sz="12" w:space="0"/>
              <w:right w:val="single" w:color="auto" w:sz="4" w:space="0"/>
            </w:tcBorders>
          </w:tcPr>
          <w:p w14:paraId="48C240A5">
            <w:pPr>
              <w:pStyle w:val="445"/>
              <w:rPr>
                <w:rFonts w:cs="Times New Roman"/>
                <w:kern w:val="0"/>
                <w:szCs w:val="20"/>
              </w:rPr>
            </w:pPr>
          </w:p>
        </w:tc>
        <w:tc>
          <w:tcPr>
            <w:tcW w:w="966" w:type="pct"/>
            <w:tcBorders>
              <w:top w:val="single" w:color="auto" w:sz="4" w:space="0"/>
              <w:left w:val="single" w:color="auto" w:sz="4" w:space="0"/>
              <w:bottom w:val="single" w:color="auto" w:sz="12" w:space="0"/>
              <w:right w:val="single" w:color="auto" w:sz="4" w:space="0"/>
            </w:tcBorders>
          </w:tcPr>
          <w:p w14:paraId="5F36DFB1">
            <w:pPr>
              <w:pStyle w:val="445"/>
              <w:rPr>
                <w:rFonts w:cs="Times New Roman"/>
                <w:kern w:val="0"/>
                <w:szCs w:val="20"/>
              </w:rPr>
            </w:pPr>
          </w:p>
        </w:tc>
        <w:tc>
          <w:tcPr>
            <w:tcW w:w="905" w:type="pct"/>
            <w:tcBorders>
              <w:top w:val="single" w:color="auto" w:sz="4" w:space="0"/>
              <w:left w:val="single" w:color="auto" w:sz="4" w:space="0"/>
              <w:bottom w:val="single" w:color="auto" w:sz="12" w:space="0"/>
              <w:right w:val="single" w:color="auto" w:sz="4" w:space="0"/>
            </w:tcBorders>
          </w:tcPr>
          <w:p w14:paraId="57307CC4">
            <w:pPr>
              <w:pStyle w:val="445"/>
              <w:rPr>
                <w:rFonts w:cs="Times New Roman"/>
                <w:kern w:val="0"/>
                <w:szCs w:val="20"/>
              </w:rPr>
            </w:pPr>
            <w:r>
              <w:rPr>
                <w:rFonts w:cs="Times New Roman"/>
                <w:kern w:val="0"/>
                <w:szCs w:val="20"/>
              </w:rPr>
              <w:t>风化辉长岩</w:t>
            </w:r>
          </w:p>
        </w:tc>
        <w:tc>
          <w:tcPr>
            <w:tcW w:w="904" w:type="pct"/>
            <w:tcBorders>
              <w:top w:val="single" w:color="auto" w:sz="4" w:space="0"/>
              <w:left w:val="single" w:color="auto" w:sz="4" w:space="0"/>
              <w:bottom w:val="single" w:color="auto" w:sz="12" w:space="0"/>
              <w:right w:val="nil"/>
            </w:tcBorders>
          </w:tcPr>
          <w:p w14:paraId="7A2F4184">
            <w:pPr>
              <w:pStyle w:val="445"/>
              <w:rPr>
                <w:rFonts w:cs="Times New Roman"/>
                <w:kern w:val="0"/>
                <w:szCs w:val="20"/>
              </w:rPr>
            </w:pPr>
            <w:r>
              <w:rPr>
                <w:rFonts w:cs="Times New Roman"/>
                <w:kern w:val="0"/>
                <w:szCs w:val="20"/>
              </w:rPr>
              <w:t>42-45</w:t>
            </w:r>
          </w:p>
        </w:tc>
      </w:tr>
    </w:tbl>
    <w:p w14:paraId="263270BA">
      <w:pPr>
        <w:wordWrap w:val="0"/>
        <w:ind w:firstLine="480"/>
        <w:rPr>
          <w:rFonts w:cs="Times New Roman"/>
          <w:b/>
          <w:bCs/>
        </w:rPr>
      </w:pPr>
      <w:bookmarkStart w:id="300" w:name="_Toc446880041"/>
      <w:bookmarkEnd w:id="300"/>
      <w:bookmarkStart w:id="301" w:name="_Toc17905_WPSOffice_Level3"/>
      <w:r>
        <w:rPr>
          <w:rFonts w:ascii="宋体" w:hAnsi="宋体"/>
          <w:bCs/>
        </w:rPr>
        <w:t>（</w:t>
      </w:r>
      <w:bookmarkEnd w:id="301"/>
      <w:r>
        <w:rPr>
          <w:rFonts w:hint="eastAsia"/>
          <w:bCs/>
        </w:rPr>
        <w:t>4</w:t>
      </w:r>
      <w:r>
        <w:rPr>
          <w:rFonts w:ascii="宋体" w:hAnsi="宋体"/>
          <w:bCs/>
        </w:rPr>
        <w:t>）弥散系数确定</w:t>
      </w:r>
    </w:p>
    <w:p w14:paraId="781B5328">
      <w:pPr>
        <w:wordWrap w:val="0"/>
        <w:ind w:firstLine="480"/>
        <w:rPr>
          <w:b/>
          <w:bCs/>
        </w:rPr>
      </w:pPr>
      <w:r>
        <w:rPr>
          <w:bCs/>
        </w:rPr>
        <w:t>D.S.Makuch</w:t>
      </w:r>
      <w:r>
        <w:rPr>
          <w:rFonts w:ascii="宋体" w:hAnsi="宋体"/>
          <w:bCs/>
        </w:rPr>
        <w:t>（</w:t>
      </w:r>
      <w:r>
        <w:rPr>
          <w:bCs/>
        </w:rPr>
        <w:t>2005</w:t>
      </w:r>
      <w:r>
        <w:rPr>
          <w:rFonts w:ascii="宋体" w:hAnsi="宋体"/>
          <w:bCs/>
        </w:rPr>
        <w:t>）综合了其他人的研究成果，对不同岩性和不同尺度条件下介质的弥散度大小进行了统计，获得了污染物在不同岩性中迁移的纵向弥散度，并存在尺度效应现象（下图）。根据室内弥散试验以及我们在其它地区的现场试验结果，对本次评价范围潜水含水层弥散度取</w:t>
      </w:r>
      <w:r>
        <w:rPr>
          <w:rFonts w:hint="eastAsia"/>
          <w:bCs/>
        </w:rPr>
        <w:t>2</w:t>
      </w:r>
      <w:r>
        <w:rPr>
          <w:bCs/>
        </w:rPr>
        <w:t>0m</w:t>
      </w:r>
      <w:r>
        <w:rPr>
          <w:rFonts w:ascii="宋体" w:hAnsi="宋体"/>
          <w:bCs/>
        </w:rPr>
        <w:t>。</w:t>
      </w:r>
    </w:p>
    <w:p w14:paraId="4B52103B">
      <w:pPr>
        <w:ind w:firstLine="0" w:firstLineChars="0"/>
        <w:jc w:val="center"/>
        <w:rPr>
          <w:spacing w:val="4"/>
        </w:rPr>
      </w:pPr>
      <w:r>
        <w:drawing>
          <wp:inline distT="0" distB="0" distL="0" distR="0">
            <wp:extent cx="4133850" cy="2943225"/>
            <wp:effectExtent l="0" t="0" r="0" b="9525"/>
            <wp:docPr id="53" name="图片 53" descr="C:\Users\ADMINI~1\AppData\Local\Temp\ksohtml\wps4BCE.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ADMINI~1\AppData\Local\Temp\ksohtml\wps4BCE.tmp.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4133850" cy="2943225"/>
                    </a:xfrm>
                    <a:prstGeom prst="rect">
                      <a:avLst/>
                    </a:prstGeom>
                    <a:noFill/>
                    <a:ln>
                      <a:noFill/>
                    </a:ln>
                  </pic:spPr>
                </pic:pic>
              </a:graphicData>
            </a:graphic>
          </wp:inline>
        </w:drawing>
      </w:r>
      <w:r>
        <w:rPr>
          <w:spacing w:val="4"/>
        </w:rPr>
        <w:t xml:space="preserve"> </w:t>
      </w:r>
    </w:p>
    <w:p w14:paraId="26457416">
      <w:pPr>
        <w:widowControl/>
        <w:ind w:firstLine="360"/>
        <w:jc w:val="center"/>
        <w:rPr>
          <w:sz w:val="18"/>
          <w:szCs w:val="18"/>
        </w:rPr>
      </w:pPr>
      <w:bookmarkStart w:id="302" w:name="_Toc21682_WPSOffice_Level1"/>
      <w:bookmarkEnd w:id="302"/>
      <w:r>
        <w:rPr>
          <w:rFonts w:ascii="宋体" w:hAnsi="宋体"/>
          <w:sz w:val="18"/>
          <w:szCs w:val="18"/>
        </w:rPr>
        <w:t>（注：图中圆圈大小表示可靠性。圆圈越大，表示对应情况的结果可靠度越高）</w:t>
      </w:r>
    </w:p>
    <w:p w14:paraId="518342DD">
      <w:pPr>
        <w:pStyle w:val="278"/>
        <w:ind w:firstLine="496"/>
        <w:rPr>
          <w:bCs/>
          <w:szCs w:val="24"/>
        </w:rPr>
      </w:pPr>
      <w:r>
        <w:rPr>
          <w:rFonts w:ascii="黑体" w:hAnsi="黑体"/>
          <w:bCs/>
          <w:spacing w:val="4"/>
        </w:rPr>
        <w:t>图</w:t>
      </w:r>
      <w:r>
        <w:rPr>
          <w:rFonts w:hint="eastAsia"/>
          <w:bCs/>
          <w:spacing w:val="4"/>
        </w:rPr>
        <w:t>5.5.7</w:t>
      </w:r>
      <w:r>
        <w:rPr>
          <w:bCs/>
          <w:spacing w:val="4"/>
        </w:rPr>
        <w:t>-</w:t>
      </w:r>
      <w:r>
        <w:rPr>
          <w:rFonts w:hint="eastAsia"/>
          <w:bCs/>
          <w:spacing w:val="4"/>
        </w:rPr>
        <w:t xml:space="preserve">1  </w:t>
      </w:r>
      <w:r>
        <w:rPr>
          <w:rFonts w:ascii="黑体" w:hAnsi="黑体"/>
        </w:rPr>
        <w:t>弥散度的尺度效应（</w:t>
      </w:r>
      <w:r>
        <w:t>Gelhar et al., 1992</w:t>
      </w:r>
      <w:r>
        <w:rPr>
          <w:rFonts w:ascii="黑体" w:hAnsi="黑体"/>
        </w:rPr>
        <w:t>）</w:t>
      </w:r>
    </w:p>
    <w:p w14:paraId="33A8EE14">
      <w:pPr>
        <w:pStyle w:val="4068"/>
      </w:pPr>
      <w:bookmarkStart w:id="303" w:name="_Toc52175558"/>
      <w:bookmarkEnd w:id="303"/>
      <w:bookmarkStart w:id="304" w:name="_Toc101135890"/>
      <w:bookmarkStart w:id="305" w:name="_Toc100784058"/>
      <w:bookmarkStart w:id="306" w:name="_Toc108662667"/>
      <w:r>
        <w:rPr>
          <w:rFonts w:hint="eastAsia"/>
        </w:rPr>
        <w:t>5.5.8</w:t>
      </w:r>
      <w:r>
        <w:rPr>
          <w:rFonts w:hint="eastAsia" w:ascii="黑体" w:hAnsi="黑体"/>
        </w:rPr>
        <w:t>模型网格剖分</w:t>
      </w:r>
      <w:bookmarkEnd w:id="304"/>
      <w:bookmarkEnd w:id="305"/>
      <w:bookmarkEnd w:id="306"/>
    </w:p>
    <w:p w14:paraId="72C24E47">
      <w:pPr>
        <w:wordWrap w:val="0"/>
        <w:ind w:firstLine="480"/>
        <w:rPr>
          <w:b/>
          <w:bCs/>
          <w:szCs w:val="24"/>
        </w:rPr>
      </w:pPr>
      <w:r>
        <w:rPr>
          <w:rFonts w:ascii="宋体" w:hAnsi="宋体"/>
          <w:bCs/>
        </w:rPr>
        <w:t>采用</w:t>
      </w:r>
      <w:r>
        <w:rPr>
          <w:bCs/>
        </w:rPr>
        <w:t>GMS</w:t>
      </w:r>
      <w:r>
        <w:rPr>
          <w:rFonts w:ascii="宋体" w:hAnsi="宋体"/>
          <w:bCs/>
        </w:rPr>
        <w:t>软件对数值模型求解，用</w:t>
      </w:r>
      <w:r>
        <w:rPr>
          <w:bCs/>
        </w:rPr>
        <w:t>MODFLOW</w:t>
      </w:r>
      <w:r>
        <w:rPr>
          <w:rFonts w:ascii="宋体" w:hAnsi="宋体"/>
          <w:bCs/>
        </w:rPr>
        <w:t>模块求解地下水流问题时采用有限差分法，需对评价范围进行网格剖分，</w:t>
      </w:r>
      <w:r>
        <w:rPr>
          <w:rFonts w:hint="eastAsia" w:ascii="宋体" w:hAnsi="宋体"/>
          <w:bCs/>
        </w:rPr>
        <w:t>见</w:t>
      </w:r>
      <w:r>
        <w:rPr>
          <w:rFonts w:ascii="宋体" w:hAnsi="宋体"/>
          <w:bCs/>
        </w:rPr>
        <w:t>图</w:t>
      </w:r>
      <w:r>
        <w:rPr>
          <w:rFonts w:hint="eastAsia"/>
          <w:bCs/>
        </w:rPr>
        <w:t>5.5.8</w:t>
      </w:r>
      <w:r>
        <w:rPr>
          <w:bCs/>
        </w:rPr>
        <w:t>-1</w:t>
      </w:r>
      <w:r>
        <w:rPr>
          <w:rFonts w:ascii="宋体" w:hAnsi="宋体"/>
          <w:bCs/>
        </w:rPr>
        <w:t>。为精确模拟溶质运移行为，在</w:t>
      </w:r>
      <w:r>
        <w:rPr>
          <w:rFonts w:hint="eastAsia" w:ascii="宋体" w:hAnsi="宋体"/>
          <w:bCs/>
        </w:rPr>
        <w:t>污水处理</w:t>
      </w:r>
      <w:r>
        <w:rPr>
          <w:rFonts w:hint="eastAsia" w:ascii="宋体" w:hAnsi="宋体"/>
        </w:rPr>
        <w:t>区</w:t>
      </w:r>
      <w:r>
        <w:rPr>
          <w:rFonts w:ascii="宋体" w:hAnsi="宋体"/>
          <w:bCs/>
        </w:rPr>
        <w:t>处加密网格，最小网格空间长度达到</w:t>
      </w:r>
      <w:r>
        <w:rPr>
          <w:rFonts w:hint="eastAsia"/>
          <w:bCs/>
        </w:rPr>
        <w:t>5</w:t>
      </w:r>
      <w:r>
        <w:rPr>
          <w:bCs/>
        </w:rPr>
        <w:t>m</w:t>
      </w:r>
      <w:r>
        <w:rPr>
          <w:rFonts w:ascii="宋体" w:hAnsi="宋体"/>
          <w:bCs/>
        </w:rPr>
        <w:t>。</w:t>
      </w:r>
    </w:p>
    <w:p w14:paraId="2341F1E8">
      <w:pPr>
        <w:ind w:firstLine="0" w:firstLineChars="0"/>
        <w:jc w:val="center"/>
      </w:pPr>
      <w:r>
        <w:drawing>
          <wp:inline distT="0" distB="0" distL="0" distR="0">
            <wp:extent cx="5732145" cy="4030345"/>
            <wp:effectExtent l="0" t="0" r="1905" b="825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5732145" cy="4030414"/>
                    </a:xfrm>
                    <a:prstGeom prst="rect">
                      <a:avLst/>
                    </a:prstGeom>
                    <a:noFill/>
                    <a:ln>
                      <a:noFill/>
                    </a:ln>
                  </pic:spPr>
                </pic:pic>
              </a:graphicData>
            </a:graphic>
          </wp:inline>
        </w:drawing>
      </w:r>
      <w:r>
        <w:t xml:space="preserve"> </w:t>
      </w:r>
    </w:p>
    <w:p w14:paraId="33EA0B5A">
      <w:pPr>
        <w:pStyle w:val="278"/>
        <w:ind w:firstLine="480"/>
      </w:pPr>
      <w:r>
        <w:rPr>
          <w:rFonts w:ascii="黑体" w:hAnsi="黑体"/>
        </w:rPr>
        <w:t>图</w:t>
      </w:r>
      <w:r>
        <w:rPr>
          <w:rFonts w:hint="eastAsia"/>
        </w:rPr>
        <w:t>5</w:t>
      </w:r>
      <w:r>
        <w:t>.5</w:t>
      </w:r>
      <w:r>
        <w:rPr>
          <w:rFonts w:hint="eastAsia"/>
        </w:rPr>
        <w:t>.8-1</w:t>
      </w:r>
      <w:r>
        <w:t xml:space="preserve">  </w:t>
      </w:r>
      <w:r>
        <w:rPr>
          <w:rFonts w:ascii="黑体" w:hAnsi="黑体"/>
        </w:rPr>
        <w:t>模型网格剖分示意图</w:t>
      </w:r>
    </w:p>
    <w:p w14:paraId="34C24CC5">
      <w:pPr>
        <w:spacing w:before="240" w:after="120"/>
        <w:ind w:firstLine="0" w:firstLineChars="0"/>
        <w:jc w:val="left"/>
        <w:outlineLvl w:val="2"/>
        <w:rPr>
          <w:rFonts w:eastAsia="黑体"/>
          <w:sz w:val="28"/>
          <w:szCs w:val="28"/>
        </w:rPr>
      </w:pPr>
      <w:bookmarkStart w:id="307" w:name="_Toc52175559"/>
      <w:bookmarkEnd w:id="307"/>
      <w:bookmarkStart w:id="308" w:name="_Toc101135891"/>
      <w:bookmarkStart w:id="309" w:name="_Toc100784059"/>
      <w:bookmarkStart w:id="310" w:name="_Toc108662668"/>
      <w:r>
        <w:rPr>
          <w:rFonts w:hint="eastAsia" w:eastAsia="黑体"/>
          <w:sz w:val="28"/>
          <w:szCs w:val="28"/>
        </w:rPr>
        <w:t>5.5.9</w:t>
      </w:r>
      <w:r>
        <w:rPr>
          <w:rFonts w:hint="eastAsia" w:ascii="黑体" w:hAnsi="黑体" w:eastAsia="黑体"/>
          <w:sz w:val="28"/>
          <w:szCs w:val="28"/>
        </w:rPr>
        <w:t>模型校正与检验</w:t>
      </w:r>
      <w:bookmarkEnd w:id="308"/>
      <w:bookmarkEnd w:id="309"/>
      <w:bookmarkEnd w:id="310"/>
    </w:p>
    <w:p w14:paraId="1D07E993">
      <w:pPr>
        <w:wordWrap w:val="0"/>
        <w:ind w:firstLine="480"/>
        <w:rPr>
          <w:b/>
          <w:bCs/>
          <w:szCs w:val="24"/>
        </w:rPr>
      </w:pPr>
      <w:r>
        <w:rPr>
          <w:rFonts w:ascii="宋体" w:hAnsi="宋体"/>
          <w:bCs/>
        </w:rPr>
        <w:t>采用</w:t>
      </w:r>
      <w:r>
        <w:rPr>
          <w:bCs/>
        </w:rPr>
        <w:t>GMS</w:t>
      </w:r>
      <w:r>
        <w:rPr>
          <w:rFonts w:ascii="宋体" w:hAnsi="宋体"/>
          <w:bCs/>
        </w:rPr>
        <w:t>中的</w:t>
      </w:r>
      <w:r>
        <w:rPr>
          <w:bCs/>
        </w:rPr>
        <w:t>MODFLOW</w:t>
      </w:r>
      <w:r>
        <w:rPr>
          <w:rFonts w:ascii="宋体" w:hAnsi="宋体"/>
          <w:bCs/>
        </w:rPr>
        <w:t>模块对水流模型进行求解，通过对比流场、水均衡的模拟计算结果和实际（观测）结果对比，对模型进行识别验证。</w:t>
      </w:r>
    </w:p>
    <w:p w14:paraId="5398753B">
      <w:pPr>
        <w:wordWrap w:val="0"/>
        <w:ind w:firstLine="480"/>
        <w:rPr>
          <w:b/>
          <w:bCs/>
        </w:rPr>
      </w:pPr>
      <w:r>
        <w:rPr>
          <w:rFonts w:ascii="宋体" w:hAnsi="宋体"/>
          <w:bCs/>
        </w:rPr>
        <w:t>（</w:t>
      </w:r>
      <w:r>
        <w:rPr>
          <w:bCs/>
        </w:rPr>
        <w:t>1</w:t>
      </w:r>
      <w:r>
        <w:rPr>
          <w:rFonts w:ascii="宋体" w:hAnsi="宋体"/>
          <w:bCs/>
        </w:rPr>
        <w:t>）地下水流场</w:t>
      </w:r>
    </w:p>
    <w:p w14:paraId="1AD6478E">
      <w:pPr>
        <w:wordWrap w:val="0"/>
        <w:ind w:firstLine="480"/>
        <w:rPr>
          <w:b/>
          <w:bCs/>
        </w:rPr>
      </w:pPr>
      <w:r>
        <w:rPr>
          <w:rFonts w:ascii="宋体" w:hAnsi="宋体"/>
          <w:bCs/>
        </w:rPr>
        <w:t>地下水流场是模型识别和校正的关键，同时也是影响污染物迁移分布的决定性因素。将实测水位作为模型初始流场带入模型计算，将模型计算结果与实际观测数据进行比较，从而对模型进行校正检验，计算得到的流场和实际观测流场对比图见下图。评价范围内水位拟合计算差值</w:t>
      </w:r>
      <w:r>
        <w:rPr>
          <w:rFonts w:hint="eastAsia" w:ascii="宋体" w:hAnsi="宋体"/>
          <w:bCs/>
        </w:rPr>
        <w:t>符合要求</w:t>
      </w:r>
      <w:r>
        <w:rPr>
          <w:rFonts w:ascii="宋体" w:hAnsi="宋体"/>
          <w:bCs/>
        </w:rPr>
        <w:t>，模型表现较为可靠。</w:t>
      </w:r>
    </w:p>
    <w:p w14:paraId="2983D460">
      <w:pPr>
        <w:ind w:firstLine="0" w:firstLineChars="0"/>
        <w:jc w:val="center"/>
        <w:rPr>
          <w:bCs/>
        </w:rPr>
      </w:pPr>
      <w:r>
        <w:drawing>
          <wp:inline distT="0" distB="0" distL="0" distR="0">
            <wp:extent cx="5267325" cy="3067050"/>
            <wp:effectExtent l="0" t="0" r="9525" b="0"/>
            <wp:docPr id="51" name="图片 51" descr="C:\Users\ADMINI~1\AppData\Local\Temp\ksohtml\wps4BD0.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ADMINI~1\AppData\Local\Temp\ksohtml\wps4BD0.tmp.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5267325" cy="3067050"/>
                    </a:xfrm>
                    <a:prstGeom prst="rect">
                      <a:avLst/>
                    </a:prstGeom>
                    <a:noFill/>
                    <a:ln>
                      <a:noFill/>
                    </a:ln>
                  </pic:spPr>
                </pic:pic>
              </a:graphicData>
            </a:graphic>
          </wp:inline>
        </w:drawing>
      </w:r>
      <w:r>
        <w:rPr>
          <w:bCs/>
        </w:rPr>
        <w:t xml:space="preserve"> </w:t>
      </w:r>
    </w:p>
    <w:p w14:paraId="41772CC9">
      <w:pPr>
        <w:pStyle w:val="278"/>
        <w:ind w:firstLine="480"/>
      </w:pPr>
      <w:r>
        <w:rPr>
          <w:rFonts w:ascii="黑体" w:hAnsi="黑体"/>
        </w:rPr>
        <w:t>图</w:t>
      </w:r>
      <w:r>
        <w:rPr>
          <w:rFonts w:hint="eastAsia"/>
        </w:rPr>
        <w:t>5</w:t>
      </w:r>
      <w:r>
        <w:t xml:space="preserve">.5.9-1  </w:t>
      </w:r>
      <w:r>
        <w:rPr>
          <w:rFonts w:ascii="黑体" w:hAnsi="黑体"/>
        </w:rPr>
        <w:t>评价范围实测水位与模拟水位对比图</w:t>
      </w:r>
    </w:p>
    <w:p w14:paraId="13FDE08E">
      <w:pPr>
        <w:wordWrap w:val="0"/>
        <w:ind w:firstLine="480"/>
        <w:rPr>
          <w:b/>
          <w:bCs/>
        </w:rPr>
      </w:pPr>
      <w:r>
        <w:rPr>
          <w:rFonts w:ascii="宋体" w:hAnsi="宋体"/>
          <w:bCs/>
        </w:rPr>
        <w:t>（</w:t>
      </w:r>
      <w:r>
        <w:rPr>
          <w:bCs/>
        </w:rPr>
        <w:t>2</w:t>
      </w:r>
      <w:r>
        <w:rPr>
          <w:rFonts w:ascii="宋体" w:hAnsi="宋体"/>
          <w:bCs/>
        </w:rPr>
        <w:t>）水均衡</w:t>
      </w:r>
    </w:p>
    <w:p w14:paraId="0D9C70A5">
      <w:pPr>
        <w:wordWrap w:val="0"/>
        <w:ind w:firstLine="480"/>
        <w:rPr>
          <w:b/>
          <w:bCs/>
        </w:rPr>
      </w:pPr>
      <w:r>
        <w:rPr>
          <w:rFonts w:ascii="宋体" w:hAnsi="宋体"/>
          <w:bCs/>
        </w:rPr>
        <w:t>模拟计算区（评价范围）水均衡结果见下表。</w:t>
      </w:r>
    </w:p>
    <w:p w14:paraId="459A213D">
      <w:pPr>
        <w:pStyle w:val="278"/>
        <w:ind w:firstLine="480"/>
        <w:rPr>
          <w:b/>
        </w:rPr>
      </w:pPr>
      <w:r>
        <w:rPr>
          <w:rFonts w:ascii="黑体" w:hAnsi="黑体"/>
        </w:rPr>
        <w:t>表</w:t>
      </w:r>
      <w:r>
        <w:rPr>
          <w:rFonts w:hint="eastAsia"/>
        </w:rPr>
        <w:t>5.</w:t>
      </w:r>
      <w:r>
        <w:t>5.9-</w:t>
      </w:r>
      <w:r>
        <w:rPr>
          <w:rFonts w:hint="eastAsia"/>
        </w:rPr>
        <w:t>1</w:t>
      </w:r>
      <w:r>
        <w:t xml:space="preserve">  </w:t>
      </w:r>
      <w:r>
        <w:rPr>
          <w:rFonts w:ascii="黑体" w:hAnsi="黑体"/>
        </w:rPr>
        <w:t>模拟计算区水均衡结果（</w:t>
      </w:r>
      <w:r>
        <w:t>m</w:t>
      </w:r>
      <w:r>
        <w:rPr>
          <w:vertAlign w:val="superscript"/>
        </w:rPr>
        <w:t>3</w:t>
      </w:r>
      <w:r>
        <w:t>/d</w:t>
      </w:r>
      <w:r>
        <w:rPr>
          <w:rFonts w:ascii="黑体" w:hAnsi="黑体"/>
        </w:rPr>
        <w:t>）</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738"/>
        <w:gridCol w:w="2919"/>
        <w:gridCol w:w="2586"/>
      </w:tblGrid>
      <w:tr w14:paraId="31E747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22" w:type="pct"/>
            <w:tcBorders>
              <w:top w:val="single" w:color="auto" w:sz="12" w:space="0"/>
              <w:left w:val="nil"/>
              <w:bottom w:val="single" w:color="auto" w:sz="4" w:space="0"/>
              <w:right w:val="single" w:color="auto" w:sz="4" w:space="0"/>
            </w:tcBorders>
          </w:tcPr>
          <w:p w14:paraId="44F9FCF3">
            <w:pPr>
              <w:pStyle w:val="445"/>
              <w:rPr>
                <w:rFonts w:cs="Times New Roman"/>
                <w:kern w:val="0"/>
                <w:szCs w:val="20"/>
              </w:rPr>
            </w:pPr>
            <w:r>
              <w:rPr>
                <w:rFonts w:cs="Times New Roman"/>
                <w:kern w:val="0"/>
                <w:szCs w:val="20"/>
              </w:rPr>
              <w:t>水均衡要素</w:t>
            </w:r>
          </w:p>
        </w:tc>
        <w:tc>
          <w:tcPr>
            <w:tcW w:w="1579" w:type="pct"/>
            <w:tcBorders>
              <w:top w:val="single" w:color="auto" w:sz="12" w:space="0"/>
              <w:left w:val="single" w:color="auto" w:sz="4" w:space="0"/>
              <w:bottom w:val="single" w:color="auto" w:sz="4" w:space="0"/>
              <w:right w:val="single" w:color="auto" w:sz="4" w:space="0"/>
            </w:tcBorders>
          </w:tcPr>
          <w:p w14:paraId="4569BD4F">
            <w:pPr>
              <w:pStyle w:val="445"/>
              <w:rPr>
                <w:rFonts w:cs="Times New Roman"/>
                <w:kern w:val="0"/>
                <w:szCs w:val="20"/>
              </w:rPr>
            </w:pPr>
            <w:r>
              <w:rPr>
                <w:rFonts w:cs="Times New Roman"/>
                <w:kern w:val="0"/>
                <w:szCs w:val="20"/>
              </w:rPr>
              <w:t>源</w:t>
            </w:r>
          </w:p>
        </w:tc>
        <w:tc>
          <w:tcPr>
            <w:tcW w:w="1399" w:type="pct"/>
            <w:tcBorders>
              <w:top w:val="single" w:color="auto" w:sz="12" w:space="0"/>
              <w:left w:val="single" w:color="auto" w:sz="4" w:space="0"/>
              <w:bottom w:val="single" w:color="auto" w:sz="4" w:space="0"/>
              <w:right w:val="nil"/>
            </w:tcBorders>
          </w:tcPr>
          <w:p w14:paraId="04906109">
            <w:pPr>
              <w:pStyle w:val="445"/>
              <w:rPr>
                <w:rFonts w:cs="Times New Roman"/>
                <w:kern w:val="0"/>
                <w:szCs w:val="20"/>
              </w:rPr>
            </w:pPr>
            <w:r>
              <w:rPr>
                <w:rFonts w:cs="Times New Roman"/>
                <w:kern w:val="0"/>
                <w:szCs w:val="20"/>
              </w:rPr>
              <w:t>汇</w:t>
            </w:r>
          </w:p>
        </w:tc>
      </w:tr>
      <w:tr w14:paraId="467E5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22" w:type="pct"/>
            <w:tcBorders>
              <w:top w:val="single" w:color="auto" w:sz="4" w:space="0"/>
              <w:left w:val="nil"/>
              <w:bottom w:val="single" w:color="auto" w:sz="4" w:space="0"/>
              <w:right w:val="single" w:color="auto" w:sz="4" w:space="0"/>
            </w:tcBorders>
          </w:tcPr>
          <w:p w14:paraId="10BD194B">
            <w:pPr>
              <w:pStyle w:val="445"/>
              <w:rPr>
                <w:rFonts w:cs="Times New Roman"/>
                <w:kern w:val="0"/>
                <w:szCs w:val="20"/>
              </w:rPr>
            </w:pPr>
            <w:r>
              <w:rPr>
                <w:rFonts w:cs="Times New Roman"/>
                <w:kern w:val="0"/>
                <w:szCs w:val="20"/>
              </w:rPr>
              <w:t>入渗补给—蒸发量</w:t>
            </w:r>
          </w:p>
        </w:tc>
        <w:tc>
          <w:tcPr>
            <w:tcW w:w="1579" w:type="pct"/>
            <w:tcBorders>
              <w:top w:val="single" w:color="auto" w:sz="4" w:space="0"/>
              <w:left w:val="single" w:color="auto" w:sz="4" w:space="0"/>
              <w:bottom w:val="single" w:color="auto" w:sz="4" w:space="0"/>
              <w:right w:val="single" w:color="auto" w:sz="4" w:space="0"/>
            </w:tcBorders>
          </w:tcPr>
          <w:p w14:paraId="41801F93">
            <w:pPr>
              <w:pStyle w:val="445"/>
              <w:rPr>
                <w:rFonts w:cs="Times New Roman"/>
                <w:kern w:val="0"/>
                <w:szCs w:val="20"/>
              </w:rPr>
            </w:pPr>
            <w:r>
              <w:rPr>
                <w:rFonts w:hint="eastAsia" w:cs="Times New Roman"/>
                <w:kern w:val="0"/>
                <w:szCs w:val="20"/>
              </w:rPr>
              <w:t>1.97</w:t>
            </w:r>
          </w:p>
        </w:tc>
        <w:tc>
          <w:tcPr>
            <w:tcW w:w="1399" w:type="pct"/>
            <w:tcBorders>
              <w:top w:val="single" w:color="auto" w:sz="4" w:space="0"/>
              <w:left w:val="single" w:color="auto" w:sz="4" w:space="0"/>
              <w:bottom w:val="single" w:color="auto" w:sz="4" w:space="0"/>
              <w:right w:val="nil"/>
            </w:tcBorders>
          </w:tcPr>
          <w:p w14:paraId="6B480F42">
            <w:pPr>
              <w:pStyle w:val="445"/>
              <w:rPr>
                <w:rFonts w:cs="Times New Roman"/>
                <w:kern w:val="0"/>
                <w:szCs w:val="20"/>
              </w:rPr>
            </w:pPr>
            <w:r>
              <w:rPr>
                <w:rFonts w:cs="Times New Roman"/>
                <w:kern w:val="0"/>
                <w:szCs w:val="20"/>
              </w:rPr>
              <w:t>0</w:t>
            </w:r>
          </w:p>
        </w:tc>
      </w:tr>
      <w:tr w14:paraId="60AC3C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22" w:type="pct"/>
            <w:tcBorders>
              <w:top w:val="single" w:color="auto" w:sz="4" w:space="0"/>
              <w:left w:val="nil"/>
              <w:bottom w:val="single" w:color="auto" w:sz="4" w:space="0"/>
              <w:right w:val="single" w:color="auto" w:sz="4" w:space="0"/>
            </w:tcBorders>
          </w:tcPr>
          <w:p w14:paraId="7778F651">
            <w:pPr>
              <w:pStyle w:val="445"/>
              <w:rPr>
                <w:rFonts w:cs="Times New Roman"/>
                <w:kern w:val="0"/>
                <w:szCs w:val="20"/>
              </w:rPr>
            </w:pPr>
            <w:r>
              <w:rPr>
                <w:rFonts w:cs="Times New Roman"/>
                <w:kern w:val="0"/>
                <w:szCs w:val="20"/>
              </w:rPr>
              <w:t>侧向补给/排泄量</w:t>
            </w:r>
          </w:p>
        </w:tc>
        <w:tc>
          <w:tcPr>
            <w:tcW w:w="1579" w:type="pct"/>
            <w:tcBorders>
              <w:top w:val="single" w:color="auto" w:sz="4" w:space="0"/>
              <w:left w:val="single" w:color="auto" w:sz="4" w:space="0"/>
              <w:bottom w:val="single" w:color="auto" w:sz="4" w:space="0"/>
              <w:right w:val="single" w:color="auto" w:sz="4" w:space="0"/>
            </w:tcBorders>
          </w:tcPr>
          <w:p w14:paraId="768E67C6">
            <w:pPr>
              <w:pStyle w:val="445"/>
              <w:rPr>
                <w:rFonts w:cs="Times New Roman"/>
                <w:kern w:val="0"/>
                <w:szCs w:val="20"/>
              </w:rPr>
            </w:pPr>
            <w:r>
              <w:rPr>
                <w:rFonts w:hint="eastAsia" w:cs="Times New Roman"/>
                <w:kern w:val="0"/>
                <w:szCs w:val="20"/>
              </w:rPr>
              <w:t>223.13</w:t>
            </w:r>
          </w:p>
        </w:tc>
        <w:tc>
          <w:tcPr>
            <w:tcW w:w="1399" w:type="pct"/>
            <w:tcBorders>
              <w:top w:val="single" w:color="auto" w:sz="4" w:space="0"/>
              <w:left w:val="single" w:color="auto" w:sz="4" w:space="0"/>
              <w:bottom w:val="single" w:color="auto" w:sz="4" w:space="0"/>
              <w:right w:val="nil"/>
            </w:tcBorders>
          </w:tcPr>
          <w:p w14:paraId="50301BED">
            <w:pPr>
              <w:pStyle w:val="445"/>
              <w:rPr>
                <w:rFonts w:cs="Times New Roman"/>
                <w:kern w:val="0"/>
                <w:szCs w:val="20"/>
              </w:rPr>
            </w:pPr>
            <w:r>
              <w:rPr>
                <w:rFonts w:hint="eastAsia" w:cs="Times New Roman"/>
                <w:kern w:val="0"/>
                <w:szCs w:val="20"/>
              </w:rPr>
              <w:t>225.36</w:t>
            </w:r>
          </w:p>
        </w:tc>
      </w:tr>
      <w:tr w14:paraId="662BE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22" w:type="pct"/>
            <w:tcBorders>
              <w:top w:val="single" w:color="auto" w:sz="4" w:space="0"/>
              <w:left w:val="nil"/>
              <w:bottom w:val="single" w:color="auto" w:sz="4" w:space="0"/>
              <w:right w:val="single" w:color="auto" w:sz="4" w:space="0"/>
            </w:tcBorders>
          </w:tcPr>
          <w:p w14:paraId="4AA62971">
            <w:pPr>
              <w:pStyle w:val="445"/>
              <w:rPr>
                <w:rFonts w:cs="Times New Roman"/>
                <w:kern w:val="0"/>
                <w:szCs w:val="20"/>
              </w:rPr>
            </w:pPr>
            <w:r>
              <w:rPr>
                <w:rFonts w:cs="Times New Roman"/>
                <w:kern w:val="0"/>
                <w:szCs w:val="20"/>
              </w:rPr>
              <w:t>总和</w:t>
            </w:r>
          </w:p>
        </w:tc>
        <w:tc>
          <w:tcPr>
            <w:tcW w:w="1579" w:type="pct"/>
            <w:tcBorders>
              <w:top w:val="single" w:color="auto" w:sz="4" w:space="0"/>
              <w:left w:val="single" w:color="auto" w:sz="4" w:space="0"/>
              <w:bottom w:val="single" w:color="auto" w:sz="4" w:space="0"/>
              <w:right w:val="single" w:color="auto" w:sz="4" w:space="0"/>
            </w:tcBorders>
          </w:tcPr>
          <w:p w14:paraId="6390B621">
            <w:pPr>
              <w:pStyle w:val="445"/>
              <w:rPr>
                <w:rFonts w:cs="Times New Roman"/>
                <w:kern w:val="0"/>
                <w:szCs w:val="20"/>
              </w:rPr>
            </w:pPr>
            <w:r>
              <w:rPr>
                <w:rFonts w:hint="eastAsia" w:cs="Times New Roman"/>
                <w:kern w:val="0"/>
                <w:szCs w:val="20"/>
              </w:rPr>
              <w:t>225.1</w:t>
            </w:r>
          </w:p>
        </w:tc>
        <w:tc>
          <w:tcPr>
            <w:tcW w:w="1399" w:type="pct"/>
            <w:tcBorders>
              <w:top w:val="single" w:color="auto" w:sz="4" w:space="0"/>
              <w:left w:val="single" w:color="auto" w:sz="4" w:space="0"/>
              <w:bottom w:val="single" w:color="auto" w:sz="4" w:space="0"/>
              <w:right w:val="nil"/>
            </w:tcBorders>
          </w:tcPr>
          <w:p w14:paraId="41A80746">
            <w:pPr>
              <w:pStyle w:val="445"/>
              <w:rPr>
                <w:rFonts w:cs="Times New Roman"/>
                <w:kern w:val="0"/>
                <w:szCs w:val="20"/>
              </w:rPr>
            </w:pPr>
            <w:r>
              <w:rPr>
                <w:rFonts w:hint="eastAsia" w:cs="Times New Roman"/>
                <w:kern w:val="0"/>
                <w:szCs w:val="20"/>
              </w:rPr>
              <w:t>225.36</w:t>
            </w:r>
          </w:p>
        </w:tc>
      </w:tr>
      <w:tr w14:paraId="7AE920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22" w:type="pct"/>
            <w:tcBorders>
              <w:top w:val="single" w:color="auto" w:sz="4" w:space="0"/>
              <w:left w:val="nil"/>
              <w:bottom w:val="single" w:color="auto" w:sz="12" w:space="0"/>
              <w:right w:val="single" w:color="auto" w:sz="4" w:space="0"/>
            </w:tcBorders>
          </w:tcPr>
          <w:p w14:paraId="3D91375C">
            <w:pPr>
              <w:pStyle w:val="445"/>
              <w:rPr>
                <w:rFonts w:cs="Times New Roman"/>
                <w:kern w:val="0"/>
                <w:szCs w:val="20"/>
              </w:rPr>
            </w:pPr>
            <w:r>
              <w:rPr>
                <w:rFonts w:cs="Times New Roman"/>
                <w:kern w:val="0"/>
                <w:szCs w:val="20"/>
              </w:rPr>
              <w:t>均衡差</w:t>
            </w:r>
          </w:p>
        </w:tc>
        <w:tc>
          <w:tcPr>
            <w:tcW w:w="2978" w:type="pct"/>
            <w:gridSpan w:val="2"/>
            <w:tcBorders>
              <w:top w:val="single" w:color="auto" w:sz="4" w:space="0"/>
              <w:left w:val="single" w:color="auto" w:sz="4" w:space="0"/>
              <w:bottom w:val="single" w:color="auto" w:sz="12" w:space="0"/>
              <w:right w:val="nil"/>
            </w:tcBorders>
          </w:tcPr>
          <w:p w14:paraId="07058C6F">
            <w:pPr>
              <w:pStyle w:val="445"/>
              <w:rPr>
                <w:rFonts w:cs="Times New Roman"/>
                <w:kern w:val="0"/>
                <w:szCs w:val="20"/>
              </w:rPr>
            </w:pPr>
            <w:r>
              <w:rPr>
                <w:rFonts w:hint="eastAsia" w:cs="Times New Roman"/>
                <w:kern w:val="0"/>
                <w:szCs w:val="20"/>
              </w:rPr>
              <w:t>0.026</w:t>
            </w:r>
          </w:p>
        </w:tc>
      </w:tr>
    </w:tbl>
    <w:p w14:paraId="5C9BD480">
      <w:pPr>
        <w:widowControl/>
        <w:ind w:firstLine="480"/>
        <w:rPr>
          <w:rFonts w:cs="Times New Roman"/>
          <w:b/>
          <w:bCs/>
        </w:rPr>
      </w:pPr>
      <w:r>
        <w:rPr>
          <w:rFonts w:ascii="宋体" w:hAnsi="宋体"/>
          <w:bCs/>
        </w:rPr>
        <w:t>对数值模型进行计算求解，通过水均衡观测和模拟计算的流场对比以及观测孔水位拟合情况，对模型进行识别验证，识别后各参数为：第一层渗透系数</w:t>
      </w:r>
      <w:r>
        <w:rPr>
          <w:rFonts w:hint="eastAsia"/>
          <w:bCs/>
        </w:rPr>
        <w:t>1.2</w:t>
      </w:r>
      <w:r>
        <w:rPr>
          <w:bCs/>
        </w:rPr>
        <w:t>m/d</w:t>
      </w:r>
      <w:r>
        <w:rPr>
          <w:rFonts w:ascii="宋体" w:hAnsi="宋体"/>
          <w:bCs/>
        </w:rPr>
        <w:t>；第二层渗透系数</w:t>
      </w:r>
      <w:r>
        <w:rPr>
          <w:rFonts w:hint="eastAsia"/>
          <w:bCs/>
        </w:rPr>
        <w:t>0.15</w:t>
      </w:r>
      <w:r>
        <w:rPr>
          <w:bCs/>
        </w:rPr>
        <w:t>m/d</w:t>
      </w:r>
      <w:r>
        <w:rPr>
          <w:rFonts w:ascii="宋体" w:hAnsi="宋体"/>
          <w:bCs/>
        </w:rPr>
        <w:t>；第</w:t>
      </w:r>
      <w:r>
        <w:rPr>
          <w:rFonts w:hint="eastAsia" w:ascii="宋体" w:hAnsi="宋体"/>
          <w:bCs/>
        </w:rPr>
        <w:t>三</w:t>
      </w:r>
      <w:r>
        <w:rPr>
          <w:rFonts w:ascii="宋体" w:hAnsi="宋体"/>
          <w:bCs/>
        </w:rPr>
        <w:t>层渗透系数</w:t>
      </w:r>
      <w:r>
        <w:rPr>
          <w:rFonts w:hint="eastAsia"/>
          <w:bCs/>
        </w:rPr>
        <w:t>10</w:t>
      </w:r>
      <w:r>
        <w:rPr>
          <w:bCs/>
        </w:rPr>
        <w:t>m/d</w:t>
      </w:r>
      <w:r>
        <w:rPr>
          <w:rFonts w:ascii="宋体" w:hAnsi="宋体"/>
          <w:bCs/>
        </w:rPr>
        <w:t>；第</w:t>
      </w:r>
      <w:r>
        <w:rPr>
          <w:rFonts w:hint="eastAsia" w:ascii="宋体" w:hAnsi="宋体"/>
          <w:bCs/>
        </w:rPr>
        <w:t>四</w:t>
      </w:r>
      <w:r>
        <w:rPr>
          <w:rFonts w:ascii="宋体" w:hAnsi="宋体"/>
          <w:bCs/>
        </w:rPr>
        <w:t>层渗透系数</w:t>
      </w:r>
      <w:r>
        <w:rPr>
          <w:rFonts w:hint="eastAsia"/>
          <w:bCs/>
        </w:rPr>
        <w:t>0.25</w:t>
      </w:r>
      <w:r>
        <w:rPr>
          <w:bCs/>
        </w:rPr>
        <w:t>m/d</w:t>
      </w:r>
      <w:r>
        <w:rPr>
          <w:rFonts w:ascii="宋体" w:hAnsi="宋体"/>
          <w:bCs/>
        </w:rPr>
        <w:t>。</w:t>
      </w:r>
    </w:p>
    <w:p w14:paraId="61341AB9">
      <w:pPr>
        <w:ind w:firstLine="360" w:firstLineChars="150"/>
        <w:rPr>
          <w:b/>
          <w:bCs/>
        </w:rPr>
      </w:pPr>
      <w:r>
        <w:rPr>
          <w:rFonts w:ascii="宋体" w:hAnsi="宋体"/>
          <w:bCs/>
        </w:rPr>
        <w:t>根据对地下水水位及水均衡计算结果的分析，</w:t>
      </w:r>
      <w:r>
        <w:rPr>
          <w:rFonts w:hint="eastAsia" w:ascii="宋体" w:hAnsi="宋体"/>
          <w:bCs/>
        </w:rPr>
        <w:t>模拟区为近似独立的水文地质单元，地下水主要接受大气降雨补给，以蒸发和向下排泄为主，模型与实际情况符合，从一定程度上反应模型计算结果的合理性</w:t>
      </w:r>
      <w:r>
        <w:rPr>
          <w:rFonts w:ascii="宋体" w:hAnsi="宋体"/>
          <w:bCs/>
        </w:rPr>
        <w:t>。</w:t>
      </w:r>
    </w:p>
    <w:p w14:paraId="26F21E73">
      <w:pPr>
        <w:pStyle w:val="4068"/>
      </w:pPr>
      <w:bookmarkStart w:id="311" w:name="_Toc52175560"/>
      <w:bookmarkEnd w:id="311"/>
      <w:bookmarkStart w:id="312" w:name="_Toc101135892"/>
      <w:bookmarkStart w:id="313" w:name="_Toc100784060"/>
      <w:bookmarkStart w:id="314" w:name="_Toc108662669"/>
      <w:r>
        <w:rPr>
          <w:rFonts w:hint="eastAsia"/>
        </w:rPr>
        <w:t>5.5.10地下水环境影响预测评价</w:t>
      </w:r>
      <w:bookmarkEnd w:id="312"/>
      <w:bookmarkEnd w:id="313"/>
      <w:bookmarkEnd w:id="314"/>
    </w:p>
    <w:p w14:paraId="65771BB1">
      <w:pPr>
        <w:snapToGrid/>
        <w:ind w:firstLine="520"/>
        <w:jc w:val="left"/>
        <w:textAlignment w:val="baseline"/>
        <w:rPr>
          <w:spacing w:val="10"/>
        </w:rPr>
      </w:pPr>
      <w:r>
        <w:rPr>
          <w:rFonts w:hint="eastAsia"/>
          <w:spacing w:val="10"/>
        </w:rPr>
        <w:t>本次污染物运移采用GMS界面下的MT3DMS软件进行模拟，本着风险最大化原则，在模拟污染物运移扩散时不考虑吸附作用、化学反应等因素，重点考虑对流弥散作用。</w:t>
      </w:r>
    </w:p>
    <w:p w14:paraId="256E37E9">
      <w:pPr>
        <w:snapToGrid/>
        <w:ind w:firstLine="520"/>
        <w:jc w:val="left"/>
        <w:textAlignment w:val="baseline"/>
        <w:rPr>
          <w:spacing w:val="10"/>
        </w:rPr>
      </w:pPr>
      <w:r>
        <w:rPr>
          <w:rFonts w:hint="eastAsia"/>
          <w:spacing w:val="10"/>
        </w:rPr>
        <w:t>（1）预测时段</w:t>
      </w:r>
    </w:p>
    <w:p w14:paraId="10639A9F">
      <w:pPr>
        <w:snapToGrid/>
        <w:ind w:firstLine="520"/>
        <w:jc w:val="left"/>
        <w:textAlignment w:val="baseline"/>
        <w:rPr>
          <w:spacing w:val="10"/>
        </w:rPr>
      </w:pPr>
      <w:r>
        <w:rPr>
          <w:rFonts w:hint="eastAsia"/>
          <w:spacing w:val="10"/>
        </w:rPr>
        <w:t>本次选取可能产生地下水污染的关键时段，本次共分100d、1000d、3650d、7300d三个时间节点分别进行预测。</w:t>
      </w:r>
    </w:p>
    <w:p w14:paraId="3F271913">
      <w:pPr>
        <w:ind w:firstLine="520"/>
        <w:jc w:val="left"/>
        <w:textAlignment w:val="baseline"/>
        <w:rPr>
          <w:spacing w:val="10"/>
        </w:rPr>
      </w:pPr>
      <w:r>
        <w:rPr>
          <w:rFonts w:hint="eastAsia"/>
          <w:spacing w:val="10"/>
        </w:rPr>
        <w:t>（2）预测方案</w:t>
      </w:r>
    </w:p>
    <w:p w14:paraId="59F9B861">
      <w:pPr>
        <w:ind w:firstLine="520"/>
        <w:jc w:val="left"/>
        <w:textAlignment w:val="baseline"/>
        <w:rPr>
          <w:spacing w:val="10"/>
          <w:szCs w:val="24"/>
        </w:rPr>
      </w:pPr>
      <w:r>
        <w:rPr>
          <w:rFonts w:hint="eastAsia"/>
          <w:spacing w:val="10"/>
          <w:szCs w:val="24"/>
        </w:rPr>
        <w:t>调节池与酸洗废水预处理设施在正常工况下不会发生泄漏，当调节池与酸洗废水预处理设施在非正常工况下，可能会有</w:t>
      </w:r>
      <w:r>
        <w:rPr>
          <w:rFonts w:hint="eastAsia"/>
          <w:color w:val="000000" w:themeColor="text1"/>
          <w:spacing w:val="10"/>
          <w:szCs w:val="24"/>
          <w14:textFill>
            <w14:solidFill>
              <w14:schemeClr w14:val="tx1"/>
            </w14:solidFill>
          </w14:textFill>
        </w:rPr>
        <w:t>部分污染物渗出，并直接进入潜水含水层，从而污染地下水。调节池污染组分主要为</w:t>
      </w:r>
      <w:r>
        <w:rPr>
          <w:color w:val="000000" w:themeColor="text1"/>
          <w:szCs w:val="24"/>
          <w14:textFill>
            <w14:solidFill>
              <w14:schemeClr w14:val="tx1"/>
            </w14:solidFill>
          </w14:textFill>
        </w:rPr>
        <w:t>COD</w:t>
      </w:r>
      <w:r>
        <w:rPr>
          <w:color w:val="000000" w:themeColor="text1"/>
          <w:szCs w:val="24"/>
          <w:vertAlign w:val="subscript"/>
          <w14:textFill>
            <w14:solidFill>
              <w14:schemeClr w14:val="tx1"/>
            </w14:solidFill>
          </w14:textFill>
        </w:rPr>
        <w:t>Mn</w:t>
      </w:r>
      <w:r>
        <w:rPr>
          <w:rFonts w:hint="eastAsia"/>
          <w:color w:val="000000" w:themeColor="text1"/>
          <w:spacing w:val="10"/>
          <w:szCs w:val="24"/>
          <w14:textFill>
            <w14:solidFill>
              <w14:schemeClr w14:val="tx1"/>
            </w14:solidFill>
          </w14:textFill>
        </w:rPr>
        <w:t>、酸洗废水预处理设施污染组分主要为</w:t>
      </w:r>
      <w:r>
        <w:rPr>
          <w:rFonts w:cs="Times New Roman"/>
          <w:color w:val="000000" w:themeColor="text1"/>
          <w:kern w:val="0"/>
          <w:szCs w:val="20"/>
          <w14:textFill>
            <w14:solidFill>
              <w14:schemeClr w14:val="tx1"/>
            </w14:solidFill>
          </w14:textFill>
        </w:rPr>
        <w:t>氟化物</w:t>
      </w:r>
      <w:r>
        <w:rPr>
          <w:rFonts w:hint="eastAsia"/>
          <w:color w:val="000000" w:themeColor="text1"/>
          <w:spacing w:val="10"/>
          <w:szCs w:val="24"/>
          <w14:textFill>
            <w14:solidFill>
              <w14:schemeClr w14:val="tx1"/>
            </w14:solidFill>
          </w14:textFill>
        </w:rPr>
        <w:t>。本着风险最大化原则，本次选取调节池与酸洗废水预处理设施非正常工况下发生泄漏的预测，其污染物排放方式为连续恒定排</w:t>
      </w:r>
      <w:r>
        <w:rPr>
          <w:rFonts w:hint="eastAsia"/>
          <w:spacing w:val="10"/>
          <w:szCs w:val="24"/>
        </w:rPr>
        <w:t>放。</w:t>
      </w:r>
    </w:p>
    <w:p w14:paraId="5C235035">
      <w:pPr>
        <w:wordWrap w:val="0"/>
        <w:ind w:firstLine="520"/>
        <w:jc w:val="left"/>
        <w:textAlignment w:val="baseline"/>
        <w:rPr>
          <w:color w:val="000000" w:themeColor="text1"/>
          <w:spacing w:val="10"/>
          <w14:textFill>
            <w14:solidFill>
              <w14:schemeClr w14:val="tx1"/>
            </w14:solidFill>
          </w14:textFill>
        </w:rPr>
      </w:pPr>
      <w:r>
        <w:rPr>
          <w:rFonts w:hint="eastAsia"/>
          <w:color w:val="000000" w:themeColor="text1"/>
          <w:spacing w:val="10"/>
          <w14:textFill>
            <w14:solidFill>
              <w14:schemeClr w14:val="tx1"/>
            </w14:solidFill>
          </w14:textFill>
        </w:rPr>
        <w:t>根据本项目进水水质，选取</w:t>
      </w:r>
      <w:r>
        <w:rPr>
          <w:color w:val="000000" w:themeColor="text1"/>
          <w:szCs w:val="24"/>
          <w14:textFill>
            <w14:solidFill>
              <w14:schemeClr w14:val="tx1"/>
            </w14:solidFill>
          </w14:textFill>
        </w:rPr>
        <w:t>COD</w:t>
      </w:r>
      <w:r>
        <w:rPr>
          <w:color w:val="000000" w:themeColor="text1"/>
          <w:szCs w:val="24"/>
          <w:vertAlign w:val="subscript"/>
          <w14:textFill>
            <w14:solidFill>
              <w14:schemeClr w14:val="tx1"/>
            </w14:solidFill>
          </w14:textFill>
        </w:rPr>
        <w:t>Mn</w:t>
      </w:r>
      <w:r>
        <w:rPr>
          <w:rFonts w:hint="eastAsia"/>
          <w:color w:val="000000" w:themeColor="text1"/>
          <w:spacing w:val="10"/>
          <w14:textFill>
            <w14:solidFill>
              <w14:schemeClr w14:val="tx1"/>
            </w14:solidFill>
          </w14:textFill>
        </w:rPr>
        <w:t>、</w:t>
      </w:r>
      <w:r>
        <w:rPr>
          <w:rFonts w:cs="Times New Roman"/>
          <w:color w:val="000000" w:themeColor="text1"/>
          <w:kern w:val="0"/>
          <w:szCs w:val="20"/>
          <w14:textFill>
            <w14:solidFill>
              <w14:schemeClr w14:val="tx1"/>
            </w14:solidFill>
          </w14:textFill>
        </w:rPr>
        <w:t>氟化物</w:t>
      </w:r>
      <w:r>
        <w:rPr>
          <w:rFonts w:hint="eastAsia"/>
          <w:color w:val="000000" w:themeColor="text1"/>
          <w:spacing w:val="10"/>
          <w14:textFill>
            <w14:solidFill>
              <w14:schemeClr w14:val="tx1"/>
            </w14:solidFill>
          </w14:textFill>
        </w:rPr>
        <w:t>作为特征因子进行预测。</w:t>
      </w:r>
      <w:r>
        <w:rPr>
          <w:color w:val="000000" w:themeColor="text1"/>
          <w:szCs w:val="24"/>
          <w14:textFill>
            <w14:solidFill>
              <w14:schemeClr w14:val="tx1"/>
            </w14:solidFill>
          </w14:textFill>
        </w:rPr>
        <w:t>根据扬州市环境监测中心站《水质监测中COD</w:t>
      </w:r>
      <w:r>
        <w:rPr>
          <w:color w:val="000000" w:themeColor="text1"/>
          <w:szCs w:val="24"/>
          <w:vertAlign w:val="subscript"/>
          <w14:textFill>
            <w14:solidFill>
              <w14:schemeClr w14:val="tx1"/>
            </w14:solidFill>
          </w14:textFill>
        </w:rPr>
        <w:t>Cr</w:t>
      </w:r>
      <w:r>
        <w:rPr>
          <w:color w:val="000000" w:themeColor="text1"/>
          <w:szCs w:val="24"/>
          <w14:textFill>
            <w14:solidFill>
              <w14:schemeClr w14:val="tx1"/>
            </w14:solidFill>
          </w14:textFill>
        </w:rPr>
        <w:t>、COD</w:t>
      </w:r>
      <w:r>
        <w:rPr>
          <w:color w:val="000000" w:themeColor="text1"/>
          <w:szCs w:val="24"/>
          <w:vertAlign w:val="subscript"/>
          <w14:textFill>
            <w14:solidFill>
              <w14:schemeClr w14:val="tx1"/>
            </w14:solidFill>
          </w14:textFill>
        </w:rPr>
        <w:t>Mn</w:t>
      </w:r>
      <w:r>
        <w:rPr>
          <w:color w:val="000000" w:themeColor="text1"/>
          <w:szCs w:val="24"/>
          <w14:textFill>
            <w14:solidFill>
              <w14:schemeClr w14:val="tx1"/>
            </w14:solidFill>
          </w14:textFill>
        </w:rPr>
        <w:t>、BOD的关系》、常州市环境监测中心站《浅谈水质COD</w:t>
      </w:r>
      <w:r>
        <w:rPr>
          <w:color w:val="000000" w:themeColor="text1"/>
          <w:szCs w:val="24"/>
          <w:vertAlign w:val="subscript"/>
          <w14:textFill>
            <w14:solidFill>
              <w14:schemeClr w14:val="tx1"/>
            </w14:solidFill>
          </w14:textFill>
        </w:rPr>
        <w:t>Cr</w:t>
      </w:r>
      <w:r>
        <w:rPr>
          <w:color w:val="000000" w:themeColor="text1"/>
          <w:szCs w:val="24"/>
          <w14:textFill>
            <w14:solidFill>
              <w14:schemeClr w14:val="tx1"/>
            </w14:solidFill>
          </w14:textFill>
        </w:rPr>
        <w:t>、COD</w:t>
      </w:r>
      <w:r>
        <w:rPr>
          <w:color w:val="000000" w:themeColor="text1"/>
          <w:szCs w:val="24"/>
          <w:vertAlign w:val="subscript"/>
          <w14:textFill>
            <w14:solidFill>
              <w14:schemeClr w14:val="tx1"/>
            </w14:solidFill>
          </w14:textFill>
        </w:rPr>
        <w:t>Mn</w:t>
      </w:r>
      <w:r>
        <w:rPr>
          <w:color w:val="000000" w:themeColor="text1"/>
          <w:szCs w:val="24"/>
          <w14:textFill>
            <w14:solidFill>
              <w14:schemeClr w14:val="tx1"/>
            </w14:solidFill>
          </w14:textFill>
        </w:rPr>
        <w:t>和BOD</w:t>
      </w:r>
      <w:r>
        <w:rPr>
          <w:color w:val="000000" w:themeColor="text1"/>
          <w:szCs w:val="24"/>
          <w:vertAlign w:val="subscript"/>
          <w14:textFill>
            <w14:solidFill>
              <w14:schemeClr w14:val="tx1"/>
            </w14:solidFill>
          </w14:textFill>
        </w:rPr>
        <w:t>5</w:t>
      </w:r>
      <w:r>
        <w:rPr>
          <w:color w:val="000000" w:themeColor="text1"/>
          <w:szCs w:val="24"/>
          <w14:textFill>
            <w14:solidFill>
              <w14:schemeClr w14:val="tx1"/>
            </w14:solidFill>
          </w14:textFill>
        </w:rPr>
        <w:t>三者之间的关系》等文献成果，一般污水水质中高锰酸盐指数一般来说是COD的20%~50%，本次模拟预测按</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0%计，高锰酸盐指数浓度选取为</w:t>
      </w:r>
      <w:r>
        <w:rPr>
          <w:rFonts w:hint="eastAsia"/>
          <w:color w:val="000000" w:themeColor="text1"/>
          <w14:textFill>
            <w14:solidFill>
              <w14:schemeClr w14:val="tx1"/>
            </w14:solidFill>
          </w14:textFill>
        </w:rPr>
        <w:t>1016</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w:t>
      </w:r>
      <w:r>
        <w:rPr>
          <w:rFonts w:hint="eastAsia" w:cs="Times New Roman"/>
          <w:bCs/>
          <w:color w:val="000000" w:themeColor="text1"/>
          <w:kern w:val="0"/>
          <w14:textFill>
            <w14:solidFill>
              <w14:schemeClr w14:val="tx1"/>
            </w14:solidFill>
          </w14:textFill>
        </w:rPr>
        <w:t>C</w:t>
      </w:r>
      <w:r>
        <w:rPr>
          <w:rFonts w:cs="Times New Roman"/>
          <w:bCs/>
          <w:color w:val="000000" w:themeColor="text1"/>
          <w:kern w:val="0"/>
          <w14:textFill>
            <w14:solidFill>
              <w14:schemeClr w14:val="tx1"/>
            </w14:solidFill>
          </w14:textFill>
        </w:rPr>
        <w:t>OD</w:t>
      </w:r>
      <w:r>
        <w:rPr>
          <w:rFonts w:hint="eastAsia" w:cs="Times New Roman"/>
          <w:bCs/>
          <w:color w:val="000000" w:themeColor="text1"/>
          <w:kern w:val="0"/>
          <w:vertAlign w:val="subscript"/>
          <w14:textFill>
            <w14:solidFill>
              <w14:schemeClr w14:val="tx1"/>
            </w14:solidFill>
          </w14:textFill>
        </w:rPr>
        <w:t>Mn</w:t>
      </w:r>
      <w:r>
        <w:rPr>
          <w:rFonts w:hint="eastAsia"/>
          <w:color w:val="000000" w:themeColor="text1"/>
          <w14:textFill>
            <w14:solidFill>
              <w14:schemeClr w14:val="tx1"/>
            </w14:solidFill>
          </w14:textFill>
        </w:rPr>
        <w:t>、</w:t>
      </w:r>
      <w:r>
        <w:rPr>
          <w:rFonts w:cs="Times New Roman"/>
          <w:color w:val="000000" w:themeColor="text1"/>
          <w:kern w:val="0"/>
          <w:szCs w:val="20"/>
          <w14:textFill>
            <w14:solidFill>
              <w14:schemeClr w14:val="tx1"/>
            </w14:solidFill>
          </w14:textFill>
        </w:rPr>
        <w:t>氟化物</w:t>
      </w:r>
      <w:r>
        <w:rPr>
          <w:rFonts w:hint="eastAsia"/>
          <w:color w:val="000000" w:themeColor="text1"/>
          <w14:textFill>
            <w14:solidFill>
              <w14:schemeClr w14:val="tx1"/>
            </w14:solidFill>
          </w14:textFill>
        </w:rPr>
        <w:t>超标范围执行《地下水质量标准》（GB/T14848-2017）III类标准限值，污染物浓度超过上述标准限值的范围即为浓度超标范围，因此</w:t>
      </w:r>
      <w:r>
        <w:rPr>
          <w:rFonts w:hint="eastAsia" w:cs="Times New Roman"/>
          <w:bCs/>
          <w:color w:val="000000" w:themeColor="text1"/>
          <w:kern w:val="0"/>
          <w14:textFill>
            <w14:solidFill>
              <w14:schemeClr w14:val="tx1"/>
            </w14:solidFill>
          </w14:textFill>
        </w:rPr>
        <w:t>C</w:t>
      </w:r>
      <w:r>
        <w:rPr>
          <w:rFonts w:cs="Times New Roman"/>
          <w:bCs/>
          <w:color w:val="000000" w:themeColor="text1"/>
          <w:kern w:val="0"/>
          <w14:textFill>
            <w14:solidFill>
              <w14:schemeClr w14:val="tx1"/>
            </w14:solidFill>
          </w14:textFill>
        </w:rPr>
        <w:t>OD</w:t>
      </w:r>
      <w:r>
        <w:rPr>
          <w:rFonts w:hint="eastAsia" w:cs="Times New Roman"/>
          <w:bCs/>
          <w:color w:val="000000" w:themeColor="text1"/>
          <w:kern w:val="0"/>
          <w:vertAlign w:val="subscript"/>
          <w14:textFill>
            <w14:solidFill>
              <w14:schemeClr w14:val="tx1"/>
            </w14:solidFill>
          </w14:textFill>
        </w:rPr>
        <w:t>Mn</w:t>
      </w:r>
      <w:r>
        <w:rPr>
          <w:rFonts w:hint="eastAsia"/>
          <w:color w:val="000000" w:themeColor="text1"/>
          <w14:textFill>
            <w14:solidFill>
              <w14:schemeClr w14:val="tx1"/>
            </w14:solidFill>
          </w14:textFill>
        </w:rPr>
        <w:t>标准限值为</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mg/L、</w:t>
      </w:r>
      <w:r>
        <w:rPr>
          <w:rFonts w:cs="Times New Roman"/>
          <w:color w:val="000000" w:themeColor="text1"/>
          <w:kern w:val="0"/>
          <w:szCs w:val="20"/>
          <w14:textFill>
            <w14:solidFill>
              <w14:schemeClr w14:val="tx1"/>
            </w14:solidFill>
          </w14:textFill>
        </w:rPr>
        <w:t>氟化物</w:t>
      </w:r>
      <w:r>
        <w:rPr>
          <w:rFonts w:hint="eastAsia"/>
          <w:color w:val="000000" w:themeColor="text1"/>
          <w14:textFill>
            <w14:solidFill>
              <w14:schemeClr w14:val="tx1"/>
            </w14:solidFill>
          </w14:textFill>
        </w:rPr>
        <w:t>标准限值为1.0mg/L。</w:t>
      </w:r>
      <w:r>
        <w:rPr>
          <w:rFonts w:hint="eastAsia"/>
          <w:color w:val="000000" w:themeColor="text1"/>
          <w:spacing w:val="10"/>
          <w14:textFill>
            <w14:solidFill>
              <w14:schemeClr w14:val="tx1"/>
            </w14:solidFill>
          </w14:textFill>
        </w:rPr>
        <w:t>污染物浓度超过上述标准限值的范围即为浓度超标范围。</w:t>
      </w:r>
    </w:p>
    <w:p w14:paraId="51C8DB78">
      <w:pPr>
        <w:wordWrap w:val="0"/>
        <w:ind w:firstLine="520"/>
        <w:rPr>
          <w:spacing w:val="10"/>
        </w:rPr>
      </w:pPr>
      <w:r>
        <w:rPr>
          <w:rFonts w:hint="eastAsia"/>
          <w:spacing w:val="10"/>
        </w:rPr>
        <w:t>非正常工况下，调节池废水泄漏进入地下水，对地下水造成不同程度的污染。非正常工况下的污染源强见表5.5.10-1。</w:t>
      </w:r>
    </w:p>
    <w:p w14:paraId="219858BF">
      <w:pPr>
        <w:pStyle w:val="278"/>
        <w:spacing w:line="240" w:lineRule="auto"/>
        <w:ind w:firstLine="480"/>
      </w:pPr>
      <w:r>
        <w:t>表5.5.10-1 非正常工况下污染源强</w:t>
      </w:r>
    </w:p>
    <w:tbl>
      <w:tblPr>
        <w:tblStyle w:val="64"/>
        <w:tblW w:w="4998" w:type="pct"/>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108" w:type="dxa"/>
          <w:bottom w:w="0" w:type="dxa"/>
          <w:right w:w="108" w:type="dxa"/>
        </w:tblCellMar>
      </w:tblPr>
      <w:tblGrid>
        <w:gridCol w:w="3430"/>
        <w:gridCol w:w="1699"/>
        <w:gridCol w:w="2056"/>
        <w:gridCol w:w="2054"/>
      </w:tblGrid>
      <w:tr w14:paraId="239A1841">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1855" w:type="pct"/>
            <w:shd w:val="clear" w:color="auto" w:fill="auto"/>
            <w:vAlign w:val="center"/>
          </w:tcPr>
          <w:p w14:paraId="6C915C2B">
            <w:pPr>
              <w:pStyle w:val="445"/>
            </w:pPr>
            <w:r>
              <w:t>污染源位置</w:t>
            </w:r>
          </w:p>
        </w:tc>
        <w:tc>
          <w:tcPr>
            <w:tcW w:w="919" w:type="pct"/>
            <w:shd w:val="clear" w:color="auto" w:fill="auto"/>
            <w:vAlign w:val="center"/>
          </w:tcPr>
          <w:p w14:paraId="1F89D416">
            <w:pPr>
              <w:pStyle w:val="445"/>
            </w:pPr>
            <w:r>
              <w:t>预测工况</w:t>
            </w:r>
          </w:p>
        </w:tc>
        <w:tc>
          <w:tcPr>
            <w:tcW w:w="1112" w:type="pct"/>
            <w:shd w:val="clear" w:color="auto" w:fill="auto"/>
            <w:vAlign w:val="center"/>
          </w:tcPr>
          <w:p w14:paraId="059A0A37">
            <w:pPr>
              <w:pStyle w:val="445"/>
              <w:rPr>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C</w:t>
            </w:r>
            <w:r>
              <w:rPr>
                <w:rFonts w:cs="Times New Roman"/>
                <w:bCs/>
                <w:color w:val="000000" w:themeColor="text1"/>
                <w14:textFill>
                  <w14:solidFill>
                    <w14:schemeClr w14:val="tx1"/>
                  </w14:solidFill>
                </w14:textFill>
              </w:rPr>
              <w:t>OD</w:t>
            </w:r>
            <w:r>
              <w:rPr>
                <w:rFonts w:hint="eastAsia" w:cs="Times New Roman"/>
                <w:bCs/>
                <w:color w:val="000000" w:themeColor="text1"/>
                <w:vertAlign w:val="subscript"/>
                <w14:textFill>
                  <w14:solidFill>
                    <w14:schemeClr w14:val="tx1"/>
                  </w14:solidFill>
                </w14:textFill>
              </w:rPr>
              <w:t>Mn</w:t>
            </w:r>
            <w:r>
              <w:rPr>
                <w:color w:val="000000" w:themeColor="text1"/>
                <w14:textFill>
                  <w14:solidFill>
                    <w14:schemeClr w14:val="tx1"/>
                  </w14:solidFill>
                </w14:textFill>
              </w:rPr>
              <w:t>(mg/L)</w:t>
            </w:r>
          </w:p>
        </w:tc>
        <w:tc>
          <w:tcPr>
            <w:tcW w:w="1111" w:type="pct"/>
            <w:shd w:val="clear" w:color="auto" w:fill="auto"/>
            <w:vAlign w:val="center"/>
          </w:tcPr>
          <w:p w14:paraId="018698A1">
            <w:pPr>
              <w:pStyle w:val="445"/>
              <w:rPr>
                <w:color w:val="000000" w:themeColor="text1"/>
                <w14:textFill>
                  <w14:solidFill>
                    <w14:schemeClr w14:val="tx1"/>
                  </w14:solidFill>
                </w14:textFill>
              </w:rPr>
            </w:pPr>
            <w:r>
              <w:rPr>
                <w:rFonts w:cs="Times New Roman"/>
                <w:color w:val="000000" w:themeColor="text1"/>
                <w:szCs w:val="20"/>
                <w14:textFill>
                  <w14:solidFill>
                    <w14:schemeClr w14:val="tx1"/>
                  </w14:solidFill>
                </w14:textFill>
              </w:rPr>
              <w:t>氟化物</w:t>
            </w:r>
            <w:r>
              <w:rPr>
                <w:color w:val="000000" w:themeColor="text1"/>
                <w14:textFill>
                  <w14:solidFill>
                    <w14:schemeClr w14:val="tx1"/>
                  </w14:solidFill>
                </w14:textFill>
              </w:rPr>
              <w:t>(mg/L)</w:t>
            </w:r>
          </w:p>
        </w:tc>
      </w:tr>
      <w:tr w14:paraId="1F8C957A">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jc w:val="center"/>
        </w:trPr>
        <w:tc>
          <w:tcPr>
            <w:tcW w:w="1855" w:type="pct"/>
            <w:shd w:val="clear" w:color="auto" w:fill="auto"/>
            <w:vAlign w:val="center"/>
          </w:tcPr>
          <w:p w14:paraId="69A13F31">
            <w:pPr>
              <w:pStyle w:val="445"/>
            </w:pPr>
            <w:r>
              <w:rPr>
                <w:rFonts w:hint="eastAsia"/>
              </w:rPr>
              <w:t>调节池</w:t>
            </w:r>
          </w:p>
        </w:tc>
        <w:tc>
          <w:tcPr>
            <w:tcW w:w="919" w:type="pct"/>
            <w:shd w:val="clear" w:color="auto" w:fill="auto"/>
            <w:vAlign w:val="center"/>
          </w:tcPr>
          <w:p w14:paraId="6A022E60">
            <w:pPr>
              <w:pStyle w:val="445"/>
            </w:pPr>
            <w:r>
              <w:t>非正常工况</w:t>
            </w:r>
          </w:p>
        </w:tc>
        <w:tc>
          <w:tcPr>
            <w:tcW w:w="1112" w:type="pct"/>
            <w:shd w:val="clear" w:color="auto" w:fill="auto"/>
            <w:vAlign w:val="center"/>
          </w:tcPr>
          <w:p w14:paraId="70BA0CDD">
            <w:pPr>
              <w:pStyle w:val="445"/>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1016</w:t>
            </w:r>
          </w:p>
        </w:tc>
        <w:tc>
          <w:tcPr>
            <w:tcW w:w="1111" w:type="pct"/>
            <w:shd w:val="clear" w:color="auto" w:fill="auto"/>
            <w:vAlign w:val="center"/>
          </w:tcPr>
          <w:p w14:paraId="2C8C5B05">
            <w:pPr>
              <w:pStyle w:val="445"/>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w:t>
            </w:r>
          </w:p>
        </w:tc>
      </w:tr>
      <w:tr w14:paraId="30A2FA61">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jc w:val="center"/>
        </w:trPr>
        <w:tc>
          <w:tcPr>
            <w:tcW w:w="1855" w:type="pct"/>
            <w:shd w:val="clear" w:color="auto" w:fill="auto"/>
            <w:vAlign w:val="center"/>
          </w:tcPr>
          <w:p w14:paraId="6F4F27CF">
            <w:pPr>
              <w:pStyle w:val="445"/>
            </w:pPr>
            <w:r>
              <w:rPr>
                <w:rFonts w:hint="eastAsia"/>
                <w:spacing w:val="10"/>
                <w:szCs w:val="24"/>
              </w:rPr>
              <w:t>酸洗废水预处理设施</w:t>
            </w:r>
          </w:p>
        </w:tc>
        <w:tc>
          <w:tcPr>
            <w:tcW w:w="919" w:type="pct"/>
            <w:shd w:val="clear" w:color="auto" w:fill="auto"/>
            <w:vAlign w:val="center"/>
          </w:tcPr>
          <w:p w14:paraId="4AB71CC5">
            <w:pPr>
              <w:pStyle w:val="445"/>
            </w:pPr>
            <w:r>
              <w:t>非正常工况</w:t>
            </w:r>
          </w:p>
        </w:tc>
        <w:tc>
          <w:tcPr>
            <w:tcW w:w="1112" w:type="pct"/>
            <w:shd w:val="clear" w:color="auto" w:fill="auto"/>
            <w:vAlign w:val="center"/>
          </w:tcPr>
          <w:p w14:paraId="6DD7930C">
            <w:pPr>
              <w:pStyle w:val="445"/>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w:t>
            </w:r>
          </w:p>
        </w:tc>
        <w:tc>
          <w:tcPr>
            <w:tcW w:w="1111" w:type="pct"/>
            <w:shd w:val="clear" w:color="auto" w:fill="auto"/>
            <w:vAlign w:val="center"/>
          </w:tcPr>
          <w:p w14:paraId="02311944">
            <w:pPr>
              <w:pStyle w:val="445"/>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2000</w:t>
            </w:r>
          </w:p>
        </w:tc>
      </w:tr>
    </w:tbl>
    <w:p w14:paraId="0F97E129">
      <w:pPr>
        <w:snapToGrid/>
        <w:ind w:firstLine="520"/>
        <w:jc w:val="left"/>
        <w:textAlignment w:val="baseline"/>
        <w:rPr>
          <w:spacing w:val="10"/>
        </w:rPr>
      </w:pPr>
      <w:r>
        <w:rPr>
          <w:rFonts w:hint="eastAsia"/>
          <w:spacing w:val="10"/>
        </w:rPr>
        <w:t>（3）预测结果及分析</w:t>
      </w:r>
    </w:p>
    <w:p w14:paraId="50A5AC86">
      <w:pPr>
        <w:snapToGrid/>
        <w:ind w:firstLine="520"/>
        <w:jc w:val="left"/>
        <w:textAlignment w:val="baseline"/>
        <w:rPr>
          <w:spacing w:val="10"/>
        </w:rPr>
      </w:pPr>
      <w:r>
        <w:rPr>
          <w:rFonts w:hint="eastAsia"/>
          <w:spacing w:val="10"/>
        </w:rPr>
        <w:t>模拟污染物扩散时，不考虑吸附作用、化学反应等因素，重点考虑了对流和弥散作用。将含水层参数、初始条件和边界条件带入水质模型。利用校正后的水流模型，结合上述情景设置，预测各类污染物在含水层的迁移行为。</w:t>
      </w:r>
    </w:p>
    <w:p w14:paraId="7ED86738">
      <w:pPr>
        <w:snapToGrid/>
        <w:ind w:firstLine="520"/>
        <w:jc w:val="left"/>
        <w:textAlignment w:val="baseline"/>
        <w:rPr>
          <w:spacing w:val="10"/>
        </w:rPr>
      </w:pPr>
      <w:r>
        <w:rPr>
          <w:rFonts w:hint="eastAsia"/>
          <w:spacing w:val="10"/>
        </w:rPr>
        <w:t>在防渗措施发生破裂的情况下，此时废水更容易经包气带进入地下水，设定预测污染源强为未经处理的产生浓度，污染源特征为面源连续污染。非正常工况下，利用所建立的模型，评价预测时间段（7300d）内污染物运移过程。经过模拟计算得到C</w:t>
      </w:r>
      <w:r>
        <w:rPr>
          <w:spacing w:val="10"/>
        </w:rPr>
        <w:t>OD</w:t>
      </w:r>
      <w:r>
        <w:rPr>
          <w:rFonts w:hint="eastAsia"/>
          <w:spacing w:val="10"/>
        </w:rPr>
        <w:t>运移过程分布情况见图</w:t>
      </w:r>
      <w:r>
        <w:rPr>
          <w:spacing w:val="10"/>
        </w:rPr>
        <w:t>5.</w:t>
      </w:r>
      <w:r>
        <w:rPr>
          <w:rFonts w:hint="eastAsia"/>
          <w:spacing w:val="10"/>
        </w:rPr>
        <w:t>5.10-1~图</w:t>
      </w:r>
      <w:r>
        <w:rPr>
          <w:spacing w:val="10"/>
        </w:rPr>
        <w:t>5.</w:t>
      </w:r>
      <w:r>
        <w:rPr>
          <w:rFonts w:hint="eastAsia"/>
          <w:spacing w:val="10"/>
        </w:rPr>
        <w:t>5.10-</w:t>
      </w:r>
      <w:r>
        <w:rPr>
          <w:spacing w:val="10"/>
        </w:rPr>
        <w:t>8</w:t>
      </w:r>
      <w:r>
        <w:rPr>
          <w:rFonts w:hint="eastAsia"/>
          <w:spacing w:val="10"/>
        </w:rPr>
        <w:t>。</w:t>
      </w:r>
    </w:p>
    <w:p w14:paraId="0EA858EF">
      <w:pPr>
        <w:spacing w:line="240" w:lineRule="auto"/>
        <w:ind w:firstLine="0" w:firstLineChars="0"/>
        <w:jc w:val="center"/>
        <w:textAlignment w:val="baseline"/>
        <w:rPr>
          <w:color w:val="000000"/>
          <w:spacing w:val="10"/>
        </w:rPr>
      </w:pPr>
      <w:bookmarkStart w:id="315" w:name="_Ref35442603"/>
      <w:bookmarkStart w:id="316" w:name="_Ref35442594"/>
      <w:r>
        <w:drawing>
          <wp:inline distT="0" distB="0" distL="0" distR="0">
            <wp:extent cx="5732145" cy="7773670"/>
            <wp:effectExtent l="0" t="0" r="1905" b="0"/>
            <wp:docPr id="897" name="图片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图片 89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5732145" cy="7773988"/>
                    </a:xfrm>
                    <a:prstGeom prst="rect">
                      <a:avLst/>
                    </a:prstGeom>
                    <a:noFill/>
                    <a:ln>
                      <a:noFill/>
                    </a:ln>
                  </pic:spPr>
                </pic:pic>
              </a:graphicData>
            </a:graphic>
          </wp:inline>
        </w:drawing>
      </w:r>
    </w:p>
    <w:p w14:paraId="6B687E8C">
      <w:pPr>
        <w:spacing w:line="240" w:lineRule="auto"/>
        <w:ind w:firstLine="0" w:firstLineChars="0"/>
        <w:jc w:val="center"/>
        <w:textAlignment w:val="baseline"/>
        <w:rPr>
          <w:b/>
          <w:bCs/>
          <w:spacing w:val="10"/>
          <w:sz w:val="21"/>
          <w:szCs w:val="21"/>
        </w:rPr>
      </w:pPr>
      <w:r>
        <w:rPr>
          <w:rFonts w:hint="eastAsia" w:eastAsia="黑体"/>
        </w:rPr>
        <w:t>图5.5.10-</w:t>
      </w:r>
      <w:bookmarkEnd w:id="315"/>
      <w:r>
        <w:rPr>
          <w:rFonts w:hint="eastAsia" w:eastAsia="黑体"/>
        </w:rPr>
        <w:t>1  非正常工况下调节池COD100d运移图</w:t>
      </w:r>
      <w:bookmarkEnd w:id="316"/>
    </w:p>
    <w:p w14:paraId="22CBA3C4">
      <w:pPr>
        <w:spacing w:line="240" w:lineRule="auto"/>
        <w:ind w:firstLine="0" w:firstLineChars="0"/>
        <w:jc w:val="center"/>
        <w:rPr>
          <w:color w:val="FF0000"/>
        </w:rPr>
      </w:pPr>
      <w:r>
        <w:drawing>
          <wp:inline distT="0" distB="0" distL="114300" distR="114300">
            <wp:extent cx="5729605" cy="7718425"/>
            <wp:effectExtent l="0" t="0" r="4445" b="15875"/>
            <wp:docPr id="10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0"/>
                    <pic:cNvPicPr>
                      <a:picLocks noChangeAspect="1"/>
                    </pic:cNvPicPr>
                  </pic:nvPicPr>
                  <pic:blipFill>
                    <a:blip r:embed="rId84"/>
                    <a:stretch>
                      <a:fillRect/>
                    </a:stretch>
                  </pic:blipFill>
                  <pic:spPr>
                    <a:xfrm>
                      <a:off x="0" y="0"/>
                      <a:ext cx="5729605" cy="7718425"/>
                    </a:xfrm>
                    <a:prstGeom prst="rect">
                      <a:avLst/>
                    </a:prstGeom>
                    <a:noFill/>
                    <a:ln>
                      <a:noFill/>
                    </a:ln>
                  </pic:spPr>
                </pic:pic>
              </a:graphicData>
            </a:graphic>
          </wp:inline>
        </w:drawing>
      </w:r>
    </w:p>
    <w:p w14:paraId="7956670C">
      <w:pPr>
        <w:ind w:firstLine="0" w:firstLineChars="0"/>
        <w:jc w:val="center"/>
        <w:rPr>
          <w:b/>
          <w:sz w:val="21"/>
        </w:rPr>
      </w:pPr>
      <w:bookmarkStart w:id="317" w:name="_Ref35442605"/>
      <w:r>
        <w:rPr>
          <w:rFonts w:hint="eastAsia" w:eastAsia="黑体"/>
        </w:rPr>
        <w:t>图</w:t>
      </w:r>
      <w:bookmarkEnd w:id="317"/>
      <w:r>
        <w:rPr>
          <w:rFonts w:hint="eastAsia" w:eastAsia="黑体"/>
        </w:rPr>
        <w:t>5.5.10-2  非正常工况下调节池COD 1000d运移图</w:t>
      </w:r>
    </w:p>
    <w:p w14:paraId="02BC3731">
      <w:pPr>
        <w:spacing w:line="240" w:lineRule="auto"/>
        <w:ind w:firstLine="0" w:firstLineChars="0"/>
        <w:jc w:val="center"/>
        <w:rPr>
          <w:color w:val="FF0000"/>
        </w:rPr>
      </w:pPr>
      <w:r>
        <w:drawing>
          <wp:inline distT="0" distB="0" distL="114300" distR="114300">
            <wp:extent cx="5732145" cy="7630795"/>
            <wp:effectExtent l="0" t="0" r="1905" b="8255"/>
            <wp:docPr id="10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1"/>
                    <pic:cNvPicPr>
                      <a:picLocks noChangeAspect="1"/>
                    </pic:cNvPicPr>
                  </pic:nvPicPr>
                  <pic:blipFill>
                    <a:blip r:embed="rId85"/>
                    <a:stretch>
                      <a:fillRect/>
                    </a:stretch>
                  </pic:blipFill>
                  <pic:spPr>
                    <a:xfrm>
                      <a:off x="0" y="0"/>
                      <a:ext cx="5732145" cy="7630795"/>
                    </a:xfrm>
                    <a:prstGeom prst="rect">
                      <a:avLst/>
                    </a:prstGeom>
                    <a:noFill/>
                    <a:ln>
                      <a:noFill/>
                    </a:ln>
                  </pic:spPr>
                </pic:pic>
              </a:graphicData>
            </a:graphic>
          </wp:inline>
        </w:drawing>
      </w:r>
    </w:p>
    <w:p w14:paraId="099E01C9">
      <w:pPr>
        <w:ind w:firstLine="0" w:firstLineChars="0"/>
        <w:jc w:val="center"/>
        <w:rPr>
          <w:rFonts w:eastAsia="黑体"/>
        </w:rPr>
      </w:pPr>
      <w:r>
        <w:rPr>
          <w:rFonts w:hint="eastAsia" w:eastAsia="黑体"/>
        </w:rPr>
        <w:t>图5.5.10-3  非正常工况下调节池COD 3650d运移图</w:t>
      </w:r>
    </w:p>
    <w:p w14:paraId="0DB72B3B">
      <w:pPr>
        <w:spacing w:line="240" w:lineRule="auto"/>
        <w:ind w:firstLine="0" w:firstLineChars="0"/>
        <w:jc w:val="center"/>
        <w:rPr>
          <w:color w:val="FF0000"/>
        </w:rPr>
      </w:pPr>
      <w:r>
        <w:drawing>
          <wp:inline distT="0" distB="0" distL="114300" distR="114300">
            <wp:extent cx="5729605" cy="7599045"/>
            <wp:effectExtent l="0" t="0" r="4445" b="1905"/>
            <wp:docPr id="10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2"/>
                    <pic:cNvPicPr>
                      <a:picLocks noChangeAspect="1"/>
                    </pic:cNvPicPr>
                  </pic:nvPicPr>
                  <pic:blipFill>
                    <a:blip r:embed="rId86"/>
                    <a:stretch>
                      <a:fillRect/>
                    </a:stretch>
                  </pic:blipFill>
                  <pic:spPr>
                    <a:xfrm>
                      <a:off x="0" y="0"/>
                      <a:ext cx="5729605" cy="7599045"/>
                    </a:xfrm>
                    <a:prstGeom prst="rect">
                      <a:avLst/>
                    </a:prstGeom>
                    <a:noFill/>
                    <a:ln>
                      <a:noFill/>
                    </a:ln>
                  </pic:spPr>
                </pic:pic>
              </a:graphicData>
            </a:graphic>
          </wp:inline>
        </w:drawing>
      </w:r>
    </w:p>
    <w:p w14:paraId="47022B2C">
      <w:pPr>
        <w:ind w:firstLine="0" w:firstLineChars="0"/>
        <w:jc w:val="center"/>
        <w:rPr>
          <w:b/>
          <w:color w:val="FF0000"/>
          <w:sz w:val="21"/>
        </w:rPr>
      </w:pPr>
      <w:r>
        <w:rPr>
          <w:rFonts w:hint="eastAsia" w:eastAsia="黑体"/>
        </w:rPr>
        <w:t>图5.5.10-4  非正常工况下调节池COD 7300d运移图</w:t>
      </w:r>
    </w:p>
    <w:p w14:paraId="393F2325">
      <w:pPr>
        <w:snapToGrid/>
        <w:ind w:firstLine="520"/>
        <w:jc w:val="left"/>
        <w:textAlignment w:val="baseline"/>
        <w:rPr>
          <w:spacing w:val="10"/>
        </w:rPr>
        <w:sectPr>
          <w:pgSz w:w="11907" w:h="16840"/>
          <w:pgMar w:top="1440" w:right="1440" w:bottom="1440" w:left="1440" w:header="851" w:footer="992" w:gutter="0"/>
          <w:cols w:space="720" w:num="1"/>
          <w:docGrid w:type="lines" w:linePitch="326" w:charSpace="0"/>
        </w:sectPr>
      </w:pPr>
    </w:p>
    <w:p w14:paraId="463410AB">
      <w:pPr>
        <w:spacing w:line="240" w:lineRule="auto"/>
        <w:ind w:firstLine="0" w:firstLineChars="0"/>
        <w:jc w:val="center"/>
        <w:textAlignment w:val="baseline"/>
        <w:rPr>
          <w:color w:val="000000"/>
          <w:spacing w:val="10"/>
        </w:rPr>
      </w:pPr>
      <w:r>
        <w:drawing>
          <wp:inline distT="0" distB="0" distL="114300" distR="114300">
            <wp:extent cx="5728335" cy="7548245"/>
            <wp:effectExtent l="0" t="0" r="5715" b="14605"/>
            <wp:docPr id="105"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3"/>
                    <pic:cNvPicPr>
                      <a:picLocks noChangeAspect="1"/>
                    </pic:cNvPicPr>
                  </pic:nvPicPr>
                  <pic:blipFill>
                    <a:blip r:embed="rId87"/>
                    <a:stretch>
                      <a:fillRect/>
                    </a:stretch>
                  </pic:blipFill>
                  <pic:spPr>
                    <a:xfrm>
                      <a:off x="0" y="0"/>
                      <a:ext cx="5728335" cy="7548245"/>
                    </a:xfrm>
                    <a:prstGeom prst="rect">
                      <a:avLst/>
                    </a:prstGeom>
                    <a:noFill/>
                    <a:ln>
                      <a:noFill/>
                    </a:ln>
                  </pic:spPr>
                </pic:pic>
              </a:graphicData>
            </a:graphic>
          </wp:inline>
        </w:drawing>
      </w:r>
    </w:p>
    <w:p w14:paraId="56703BDF">
      <w:pPr>
        <w:spacing w:line="240" w:lineRule="auto"/>
        <w:ind w:firstLine="0" w:firstLineChars="0"/>
        <w:jc w:val="center"/>
        <w:textAlignment w:val="baseline"/>
        <w:rPr>
          <w:b/>
          <w:bCs/>
          <w:spacing w:val="10"/>
          <w:sz w:val="21"/>
          <w:szCs w:val="21"/>
        </w:rPr>
      </w:pPr>
      <w:r>
        <w:rPr>
          <w:rFonts w:hint="eastAsia" w:eastAsia="黑体"/>
        </w:rPr>
        <w:t>图5.5.10-5  非正常工况下酸洗废水预处理设施氟化物100d运移图</w:t>
      </w:r>
    </w:p>
    <w:p w14:paraId="2AB5CC5B">
      <w:pPr>
        <w:spacing w:line="240" w:lineRule="auto"/>
        <w:ind w:firstLine="0" w:firstLineChars="0"/>
        <w:jc w:val="center"/>
        <w:rPr>
          <w:color w:val="FF0000"/>
        </w:rPr>
      </w:pPr>
      <w:r>
        <w:drawing>
          <wp:inline distT="0" distB="0" distL="114300" distR="114300">
            <wp:extent cx="5731510" cy="7480935"/>
            <wp:effectExtent l="0" t="0" r="2540" b="5715"/>
            <wp:docPr id="10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54"/>
                    <pic:cNvPicPr>
                      <a:picLocks noChangeAspect="1"/>
                    </pic:cNvPicPr>
                  </pic:nvPicPr>
                  <pic:blipFill>
                    <a:blip r:embed="rId88"/>
                    <a:stretch>
                      <a:fillRect/>
                    </a:stretch>
                  </pic:blipFill>
                  <pic:spPr>
                    <a:xfrm>
                      <a:off x="0" y="0"/>
                      <a:ext cx="5731510" cy="7480935"/>
                    </a:xfrm>
                    <a:prstGeom prst="rect">
                      <a:avLst/>
                    </a:prstGeom>
                    <a:noFill/>
                    <a:ln>
                      <a:noFill/>
                    </a:ln>
                  </pic:spPr>
                </pic:pic>
              </a:graphicData>
            </a:graphic>
          </wp:inline>
        </w:drawing>
      </w:r>
    </w:p>
    <w:p w14:paraId="1B6D7995">
      <w:pPr>
        <w:ind w:firstLine="0" w:firstLineChars="0"/>
        <w:jc w:val="center"/>
        <w:rPr>
          <w:b/>
          <w:sz w:val="21"/>
        </w:rPr>
      </w:pPr>
      <w:r>
        <w:rPr>
          <w:rFonts w:hint="eastAsia" w:eastAsia="黑体"/>
        </w:rPr>
        <w:t>图5.5.10-6  非正常工况下酸洗废水预处理设施氟化物1000d运移图</w:t>
      </w:r>
    </w:p>
    <w:p w14:paraId="51DDF749">
      <w:pPr>
        <w:spacing w:line="240" w:lineRule="auto"/>
        <w:ind w:firstLine="0" w:firstLineChars="0"/>
        <w:jc w:val="center"/>
        <w:rPr>
          <w:color w:val="FF0000"/>
        </w:rPr>
      </w:pPr>
      <w:r>
        <w:drawing>
          <wp:inline distT="0" distB="0" distL="114300" distR="114300">
            <wp:extent cx="5732145" cy="7376160"/>
            <wp:effectExtent l="0" t="0" r="1905" b="15240"/>
            <wp:docPr id="11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5"/>
                    <pic:cNvPicPr>
                      <a:picLocks noChangeAspect="1"/>
                    </pic:cNvPicPr>
                  </pic:nvPicPr>
                  <pic:blipFill>
                    <a:blip r:embed="rId89"/>
                    <a:stretch>
                      <a:fillRect/>
                    </a:stretch>
                  </pic:blipFill>
                  <pic:spPr>
                    <a:xfrm>
                      <a:off x="0" y="0"/>
                      <a:ext cx="5732145" cy="7376160"/>
                    </a:xfrm>
                    <a:prstGeom prst="rect">
                      <a:avLst/>
                    </a:prstGeom>
                    <a:noFill/>
                    <a:ln>
                      <a:noFill/>
                    </a:ln>
                  </pic:spPr>
                </pic:pic>
              </a:graphicData>
            </a:graphic>
          </wp:inline>
        </w:drawing>
      </w:r>
    </w:p>
    <w:p w14:paraId="4B64812A">
      <w:pPr>
        <w:ind w:firstLine="0" w:firstLineChars="0"/>
        <w:jc w:val="center"/>
        <w:rPr>
          <w:rFonts w:eastAsia="黑体"/>
        </w:rPr>
      </w:pPr>
      <w:r>
        <w:rPr>
          <w:rFonts w:hint="eastAsia" w:eastAsia="黑体"/>
        </w:rPr>
        <w:t>图5.5.10-7  非正常工况下酸洗废水预处理设施氟化物3650d运移图</w:t>
      </w:r>
    </w:p>
    <w:p w14:paraId="69BBF355">
      <w:pPr>
        <w:spacing w:line="240" w:lineRule="auto"/>
        <w:ind w:firstLine="0" w:firstLineChars="0"/>
        <w:jc w:val="center"/>
        <w:rPr>
          <w:color w:val="FF0000"/>
        </w:rPr>
      </w:pPr>
      <w:r>
        <w:drawing>
          <wp:inline distT="0" distB="0" distL="114300" distR="114300">
            <wp:extent cx="5727700" cy="7576820"/>
            <wp:effectExtent l="0" t="0" r="6350" b="5080"/>
            <wp:docPr id="12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56"/>
                    <pic:cNvPicPr>
                      <a:picLocks noChangeAspect="1"/>
                    </pic:cNvPicPr>
                  </pic:nvPicPr>
                  <pic:blipFill>
                    <a:blip r:embed="rId90"/>
                    <a:stretch>
                      <a:fillRect/>
                    </a:stretch>
                  </pic:blipFill>
                  <pic:spPr>
                    <a:xfrm>
                      <a:off x="0" y="0"/>
                      <a:ext cx="5727700" cy="7576820"/>
                    </a:xfrm>
                    <a:prstGeom prst="rect">
                      <a:avLst/>
                    </a:prstGeom>
                    <a:noFill/>
                    <a:ln>
                      <a:noFill/>
                    </a:ln>
                  </pic:spPr>
                </pic:pic>
              </a:graphicData>
            </a:graphic>
          </wp:inline>
        </w:drawing>
      </w:r>
    </w:p>
    <w:p w14:paraId="6A73043B">
      <w:pPr>
        <w:ind w:firstLine="0" w:firstLineChars="0"/>
        <w:jc w:val="center"/>
        <w:rPr>
          <w:b/>
          <w:color w:val="FF0000"/>
          <w:sz w:val="21"/>
        </w:rPr>
      </w:pPr>
      <w:r>
        <w:rPr>
          <w:rFonts w:hint="eastAsia" w:eastAsia="黑体"/>
        </w:rPr>
        <w:t>图5.5.10-8  非正常工况下酸洗废水预处理设施氟化物7300d运移图</w:t>
      </w:r>
    </w:p>
    <w:p w14:paraId="6C329B5C">
      <w:pPr>
        <w:snapToGrid/>
        <w:ind w:firstLine="520"/>
        <w:jc w:val="left"/>
        <w:textAlignment w:val="baseline"/>
        <w:rPr>
          <w:rFonts w:eastAsia="黑体"/>
        </w:rPr>
      </w:pPr>
      <w:r>
        <w:rPr>
          <w:rFonts w:hint="eastAsia"/>
          <w:spacing w:val="10"/>
        </w:rPr>
        <w:t>非正常工况下污染物运移特征见</w:t>
      </w:r>
      <w:r>
        <w:rPr>
          <w:spacing w:val="10"/>
        </w:rPr>
        <w:t>表5.5.10-</w:t>
      </w:r>
      <w:r>
        <w:rPr>
          <w:rFonts w:hint="eastAsia"/>
          <w:spacing w:val="10"/>
        </w:rPr>
        <w:t>2。</w:t>
      </w:r>
    </w:p>
    <w:p w14:paraId="19F6EB88">
      <w:pPr>
        <w:spacing w:line="240" w:lineRule="auto"/>
        <w:ind w:firstLine="0" w:firstLineChars="0"/>
        <w:jc w:val="center"/>
        <w:rPr>
          <w:rFonts w:eastAsia="黑体"/>
        </w:rPr>
        <w:sectPr>
          <w:pgSz w:w="11907" w:h="16840"/>
          <w:pgMar w:top="1440" w:right="1440" w:bottom="1440" w:left="1440" w:header="851" w:footer="992" w:gutter="0"/>
          <w:cols w:space="720" w:num="1"/>
          <w:docGrid w:type="lines" w:linePitch="326" w:charSpace="0"/>
        </w:sectPr>
      </w:pPr>
    </w:p>
    <w:p w14:paraId="10BD07B0">
      <w:pPr>
        <w:spacing w:line="240" w:lineRule="auto"/>
        <w:ind w:firstLine="0" w:firstLineChars="0"/>
        <w:jc w:val="center"/>
        <w:rPr>
          <w:rFonts w:eastAsia="黑体"/>
        </w:rPr>
      </w:pPr>
      <w:r>
        <w:rPr>
          <w:rFonts w:eastAsia="黑体"/>
        </w:rPr>
        <w:t>表5.5.10-</w:t>
      </w:r>
      <w:r>
        <w:rPr>
          <w:rFonts w:hint="eastAsia" w:eastAsia="黑体"/>
        </w:rPr>
        <w:t>2 非正常工况下污染物运移特征表</w:t>
      </w:r>
    </w:p>
    <w:tbl>
      <w:tblPr>
        <w:tblStyle w:val="64"/>
        <w:tblW w:w="4996" w:type="pct"/>
        <w:tblInd w:w="0" w:type="dxa"/>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108" w:type="dxa"/>
          <w:bottom w:w="0" w:type="dxa"/>
          <w:right w:w="108" w:type="dxa"/>
        </w:tblCellMar>
      </w:tblPr>
      <w:tblGrid>
        <w:gridCol w:w="1093"/>
        <w:gridCol w:w="992"/>
        <w:gridCol w:w="3407"/>
        <w:gridCol w:w="786"/>
        <w:gridCol w:w="906"/>
        <w:gridCol w:w="1026"/>
        <w:gridCol w:w="1026"/>
      </w:tblGrid>
      <w:tr w14:paraId="1FF67707">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Align w:val="center"/>
          </w:tcPr>
          <w:p w14:paraId="3EDCA35C">
            <w:pPr>
              <w:pStyle w:val="445"/>
            </w:pPr>
            <w:r>
              <w:rPr>
                <w:rFonts w:hint="eastAsia"/>
              </w:rPr>
              <w:t>泄漏点</w:t>
            </w:r>
          </w:p>
        </w:tc>
        <w:tc>
          <w:tcPr>
            <w:tcW w:w="537" w:type="pct"/>
            <w:vAlign w:val="center"/>
          </w:tcPr>
          <w:p w14:paraId="3173D1A5">
            <w:pPr>
              <w:pStyle w:val="445"/>
            </w:pPr>
            <w:r>
              <w:rPr>
                <w:rFonts w:hint="eastAsia"/>
              </w:rPr>
              <w:t>污染物</w:t>
            </w:r>
          </w:p>
        </w:tc>
        <w:tc>
          <w:tcPr>
            <w:tcW w:w="1843" w:type="pct"/>
            <w:vAlign w:val="center"/>
          </w:tcPr>
          <w:p w14:paraId="433E7CE2">
            <w:pPr>
              <w:pStyle w:val="445"/>
            </w:pPr>
            <w:r>
              <w:rPr>
                <w:rFonts w:hint="eastAsia"/>
              </w:rPr>
              <w:t>参数</w:t>
            </w:r>
          </w:p>
        </w:tc>
        <w:tc>
          <w:tcPr>
            <w:tcW w:w="425" w:type="pct"/>
            <w:vAlign w:val="center"/>
          </w:tcPr>
          <w:p w14:paraId="4F49D10D">
            <w:pPr>
              <w:pStyle w:val="445"/>
            </w:pPr>
            <w:r>
              <w:rPr>
                <w:rFonts w:hint="eastAsia"/>
              </w:rPr>
              <w:t>100d</w:t>
            </w:r>
          </w:p>
        </w:tc>
        <w:tc>
          <w:tcPr>
            <w:tcW w:w="490" w:type="pct"/>
            <w:vAlign w:val="center"/>
          </w:tcPr>
          <w:p w14:paraId="5DE5CF97">
            <w:pPr>
              <w:pStyle w:val="445"/>
            </w:pPr>
            <w:r>
              <w:rPr>
                <w:rFonts w:hint="eastAsia"/>
              </w:rPr>
              <w:t>1000d</w:t>
            </w:r>
          </w:p>
        </w:tc>
        <w:tc>
          <w:tcPr>
            <w:tcW w:w="555" w:type="pct"/>
            <w:vAlign w:val="center"/>
          </w:tcPr>
          <w:p w14:paraId="5459B4F6">
            <w:pPr>
              <w:pStyle w:val="445"/>
            </w:pPr>
            <w:r>
              <w:rPr>
                <w:rFonts w:hint="eastAsia"/>
              </w:rPr>
              <w:t>3650d</w:t>
            </w:r>
          </w:p>
        </w:tc>
        <w:tc>
          <w:tcPr>
            <w:tcW w:w="555" w:type="pct"/>
            <w:vAlign w:val="center"/>
          </w:tcPr>
          <w:p w14:paraId="10802ACB">
            <w:pPr>
              <w:pStyle w:val="445"/>
            </w:pPr>
            <w:r>
              <w:rPr>
                <w:rFonts w:hint="eastAsia"/>
              </w:rPr>
              <w:t>7300d</w:t>
            </w:r>
          </w:p>
        </w:tc>
      </w:tr>
      <w:tr w14:paraId="444F42B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restart"/>
            <w:vAlign w:val="center"/>
          </w:tcPr>
          <w:p w14:paraId="4D4113BF">
            <w:pPr>
              <w:pStyle w:val="445"/>
            </w:pPr>
            <w:r>
              <w:rPr>
                <w:rFonts w:hint="eastAsia"/>
              </w:rPr>
              <w:t>调节池</w:t>
            </w:r>
          </w:p>
        </w:tc>
        <w:tc>
          <w:tcPr>
            <w:tcW w:w="537" w:type="pct"/>
            <w:vMerge w:val="restart"/>
            <w:vAlign w:val="center"/>
          </w:tcPr>
          <w:p w14:paraId="549F55CF">
            <w:pPr>
              <w:pStyle w:val="445"/>
            </w:pPr>
            <w:r>
              <w:rPr>
                <w:rFonts w:hint="eastAsia"/>
              </w:rPr>
              <w:t>COD</w:t>
            </w:r>
          </w:p>
        </w:tc>
        <w:tc>
          <w:tcPr>
            <w:tcW w:w="1843" w:type="pct"/>
            <w:vAlign w:val="center"/>
          </w:tcPr>
          <w:p w14:paraId="7FABD4B7">
            <w:pPr>
              <w:pStyle w:val="445"/>
            </w:pPr>
            <w:r>
              <w:rPr>
                <w:rFonts w:hint="eastAsia"/>
              </w:rPr>
              <w:t>中心点浓度（mg/L）</w:t>
            </w:r>
          </w:p>
        </w:tc>
        <w:tc>
          <w:tcPr>
            <w:tcW w:w="425" w:type="pct"/>
            <w:vAlign w:val="center"/>
          </w:tcPr>
          <w:p w14:paraId="7E0C6D9B">
            <w:pPr>
              <w:pStyle w:val="445"/>
            </w:pPr>
            <w:r>
              <w:rPr>
                <w:rFonts w:hint="eastAsia"/>
              </w:rPr>
              <w:t>33.60</w:t>
            </w:r>
          </w:p>
        </w:tc>
        <w:tc>
          <w:tcPr>
            <w:tcW w:w="490" w:type="pct"/>
            <w:vAlign w:val="center"/>
          </w:tcPr>
          <w:p w14:paraId="3DD5E0B3">
            <w:pPr>
              <w:pStyle w:val="445"/>
            </w:pPr>
            <w:r>
              <w:rPr>
                <w:rFonts w:hint="eastAsia"/>
              </w:rPr>
              <w:t>273.39</w:t>
            </w:r>
          </w:p>
        </w:tc>
        <w:tc>
          <w:tcPr>
            <w:tcW w:w="555" w:type="pct"/>
            <w:vAlign w:val="center"/>
          </w:tcPr>
          <w:p w14:paraId="511A0393">
            <w:pPr>
              <w:pStyle w:val="445"/>
            </w:pPr>
            <w:r>
              <w:rPr>
                <w:rFonts w:hint="eastAsia"/>
              </w:rPr>
              <w:t>624.11</w:t>
            </w:r>
          </w:p>
        </w:tc>
        <w:tc>
          <w:tcPr>
            <w:tcW w:w="555" w:type="pct"/>
            <w:vAlign w:val="center"/>
          </w:tcPr>
          <w:p w14:paraId="6E08025B">
            <w:pPr>
              <w:pStyle w:val="445"/>
            </w:pPr>
            <w:r>
              <w:rPr>
                <w:rFonts w:hint="eastAsia"/>
              </w:rPr>
              <w:t>795.83</w:t>
            </w:r>
          </w:p>
        </w:tc>
      </w:tr>
      <w:tr w14:paraId="052AB36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2FC012DF">
            <w:pPr>
              <w:pStyle w:val="445"/>
            </w:pPr>
          </w:p>
        </w:tc>
        <w:tc>
          <w:tcPr>
            <w:tcW w:w="537" w:type="pct"/>
            <w:vMerge w:val="continue"/>
            <w:vAlign w:val="center"/>
          </w:tcPr>
          <w:p w14:paraId="76A0B00D">
            <w:pPr>
              <w:pStyle w:val="445"/>
            </w:pPr>
          </w:p>
        </w:tc>
        <w:tc>
          <w:tcPr>
            <w:tcW w:w="1843" w:type="pct"/>
            <w:vAlign w:val="center"/>
          </w:tcPr>
          <w:p w14:paraId="0D8EE806">
            <w:pPr>
              <w:pStyle w:val="445"/>
            </w:pPr>
            <w:r>
              <w:rPr>
                <w:rFonts w:hint="eastAsia"/>
              </w:rPr>
              <w:t>区域最大背景值（mg/L）</w:t>
            </w:r>
          </w:p>
        </w:tc>
        <w:tc>
          <w:tcPr>
            <w:tcW w:w="425" w:type="pct"/>
            <w:vAlign w:val="center"/>
          </w:tcPr>
          <w:p w14:paraId="3E67E70D">
            <w:pPr>
              <w:pStyle w:val="445"/>
            </w:pPr>
            <w:r>
              <w:rPr>
                <w:rFonts w:hint="eastAsia"/>
              </w:rPr>
              <w:t>1.71</w:t>
            </w:r>
          </w:p>
        </w:tc>
        <w:tc>
          <w:tcPr>
            <w:tcW w:w="490" w:type="pct"/>
            <w:vAlign w:val="center"/>
          </w:tcPr>
          <w:p w14:paraId="3317B265">
            <w:pPr>
              <w:pStyle w:val="445"/>
            </w:pPr>
            <w:r>
              <w:rPr>
                <w:rFonts w:hint="eastAsia"/>
              </w:rPr>
              <w:t>1.71</w:t>
            </w:r>
          </w:p>
        </w:tc>
        <w:tc>
          <w:tcPr>
            <w:tcW w:w="555" w:type="pct"/>
            <w:vAlign w:val="center"/>
          </w:tcPr>
          <w:p w14:paraId="2F2389E9">
            <w:pPr>
              <w:pStyle w:val="445"/>
            </w:pPr>
            <w:r>
              <w:rPr>
                <w:rFonts w:hint="eastAsia"/>
              </w:rPr>
              <w:t>1.71</w:t>
            </w:r>
          </w:p>
        </w:tc>
        <w:tc>
          <w:tcPr>
            <w:tcW w:w="555" w:type="pct"/>
            <w:vAlign w:val="center"/>
          </w:tcPr>
          <w:p w14:paraId="016E727C">
            <w:pPr>
              <w:pStyle w:val="445"/>
            </w:pPr>
            <w:r>
              <w:rPr>
                <w:rFonts w:hint="eastAsia"/>
              </w:rPr>
              <w:t>1.71</w:t>
            </w:r>
          </w:p>
        </w:tc>
      </w:tr>
      <w:tr w14:paraId="6F56C107">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52320ECD">
            <w:pPr>
              <w:pStyle w:val="445"/>
            </w:pPr>
          </w:p>
        </w:tc>
        <w:tc>
          <w:tcPr>
            <w:tcW w:w="537" w:type="pct"/>
            <w:vMerge w:val="continue"/>
            <w:vAlign w:val="center"/>
          </w:tcPr>
          <w:p w14:paraId="656EA844">
            <w:pPr>
              <w:pStyle w:val="445"/>
            </w:pPr>
          </w:p>
        </w:tc>
        <w:tc>
          <w:tcPr>
            <w:tcW w:w="1843" w:type="pct"/>
            <w:vAlign w:val="center"/>
          </w:tcPr>
          <w:p w14:paraId="613A38D4">
            <w:pPr>
              <w:pStyle w:val="445"/>
            </w:pPr>
            <w:r>
              <w:rPr>
                <w:rFonts w:hint="eastAsia"/>
              </w:rPr>
              <w:t>叠加值（mg/L）</w:t>
            </w:r>
          </w:p>
        </w:tc>
        <w:tc>
          <w:tcPr>
            <w:tcW w:w="786" w:type="dxa"/>
            <w:vAlign w:val="center"/>
          </w:tcPr>
          <w:p w14:paraId="11A30E16">
            <w:pPr>
              <w:pStyle w:val="445"/>
            </w:pPr>
            <w:r>
              <w:rPr>
                <w:rFonts w:hint="eastAsia"/>
              </w:rPr>
              <w:t xml:space="preserve">35.31 </w:t>
            </w:r>
          </w:p>
        </w:tc>
        <w:tc>
          <w:tcPr>
            <w:tcW w:w="906" w:type="dxa"/>
            <w:vAlign w:val="center"/>
          </w:tcPr>
          <w:p w14:paraId="37601924">
            <w:pPr>
              <w:pStyle w:val="445"/>
            </w:pPr>
            <w:r>
              <w:rPr>
                <w:rFonts w:hint="eastAsia"/>
              </w:rPr>
              <w:t xml:space="preserve">275.10 </w:t>
            </w:r>
          </w:p>
        </w:tc>
        <w:tc>
          <w:tcPr>
            <w:tcW w:w="1026" w:type="dxa"/>
            <w:vAlign w:val="center"/>
          </w:tcPr>
          <w:p w14:paraId="7CB147ED">
            <w:pPr>
              <w:pStyle w:val="445"/>
            </w:pPr>
            <w:r>
              <w:rPr>
                <w:rFonts w:hint="eastAsia"/>
              </w:rPr>
              <w:t xml:space="preserve">625.82 </w:t>
            </w:r>
          </w:p>
        </w:tc>
        <w:tc>
          <w:tcPr>
            <w:tcW w:w="1026" w:type="dxa"/>
            <w:vAlign w:val="center"/>
          </w:tcPr>
          <w:p w14:paraId="382144BC">
            <w:pPr>
              <w:pStyle w:val="445"/>
            </w:pPr>
            <w:r>
              <w:rPr>
                <w:rFonts w:hint="eastAsia"/>
              </w:rPr>
              <w:t xml:space="preserve">797.54 </w:t>
            </w:r>
          </w:p>
        </w:tc>
      </w:tr>
      <w:tr w14:paraId="58D29FDB">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6E38167C">
            <w:pPr>
              <w:pStyle w:val="445"/>
            </w:pPr>
          </w:p>
        </w:tc>
        <w:tc>
          <w:tcPr>
            <w:tcW w:w="537" w:type="pct"/>
            <w:vMerge w:val="continue"/>
            <w:vAlign w:val="center"/>
          </w:tcPr>
          <w:p w14:paraId="78C39771">
            <w:pPr>
              <w:pStyle w:val="445"/>
            </w:pPr>
          </w:p>
        </w:tc>
        <w:tc>
          <w:tcPr>
            <w:tcW w:w="1843" w:type="pct"/>
            <w:vAlign w:val="center"/>
          </w:tcPr>
          <w:p w14:paraId="0295C8C2">
            <w:pPr>
              <w:pStyle w:val="445"/>
            </w:pPr>
            <w:r>
              <w:rPr>
                <w:rFonts w:hint="eastAsia"/>
              </w:rPr>
              <w:t>超标污染羽最大迁移距离（m）</w:t>
            </w:r>
          </w:p>
        </w:tc>
        <w:tc>
          <w:tcPr>
            <w:tcW w:w="425" w:type="pct"/>
            <w:vAlign w:val="center"/>
          </w:tcPr>
          <w:p w14:paraId="474373F2">
            <w:pPr>
              <w:pStyle w:val="445"/>
            </w:pPr>
            <w:r>
              <w:rPr>
                <w:rFonts w:hint="eastAsia"/>
              </w:rPr>
              <w:t>21.4</w:t>
            </w:r>
          </w:p>
        </w:tc>
        <w:tc>
          <w:tcPr>
            <w:tcW w:w="490" w:type="pct"/>
            <w:vAlign w:val="center"/>
          </w:tcPr>
          <w:p w14:paraId="01C3F0F9">
            <w:pPr>
              <w:pStyle w:val="445"/>
            </w:pPr>
            <w:r>
              <w:rPr>
                <w:rFonts w:hint="eastAsia"/>
              </w:rPr>
              <w:t>44.3</w:t>
            </w:r>
          </w:p>
        </w:tc>
        <w:tc>
          <w:tcPr>
            <w:tcW w:w="555" w:type="pct"/>
            <w:vAlign w:val="center"/>
          </w:tcPr>
          <w:p w14:paraId="550033B5">
            <w:pPr>
              <w:pStyle w:val="445"/>
            </w:pPr>
            <w:r>
              <w:rPr>
                <w:rFonts w:hint="eastAsia"/>
              </w:rPr>
              <w:t>83.6</w:t>
            </w:r>
          </w:p>
        </w:tc>
        <w:tc>
          <w:tcPr>
            <w:tcW w:w="555" w:type="pct"/>
            <w:vAlign w:val="center"/>
          </w:tcPr>
          <w:p w14:paraId="03CC89E4">
            <w:pPr>
              <w:pStyle w:val="445"/>
            </w:pPr>
            <w:r>
              <w:rPr>
                <w:rFonts w:hint="eastAsia"/>
              </w:rPr>
              <w:t>114.7</w:t>
            </w:r>
          </w:p>
        </w:tc>
      </w:tr>
      <w:tr w14:paraId="5BB9FDC7">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234B7EF5">
            <w:pPr>
              <w:pStyle w:val="445"/>
            </w:pPr>
          </w:p>
        </w:tc>
        <w:tc>
          <w:tcPr>
            <w:tcW w:w="537" w:type="pct"/>
            <w:vMerge w:val="continue"/>
            <w:vAlign w:val="center"/>
          </w:tcPr>
          <w:p w14:paraId="22525426">
            <w:pPr>
              <w:pStyle w:val="445"/>
            </w:pPr>
          </w:p>
        </w:tc>
        <w:tc>
          <w:tcPr>
            <w:tcW w:w="1843" w:type="pct"/>
            <w:vAlign w:val="center"/>
          </w:tcPr>
          <w:p w14:paraId="4B72F2CC">
            <w:pPr>
              <w:pStyle w:val="445"/>
            </w:pPr>
            <w:r>
              <w:rPr>
                <w:rFonts w:hint="eastAsia"/>
              </w:rPr>
              <w:t>超标污染羽超出厂界距离（m）</w:t>
            </w:r>
          </w:p>
        </w:tc>
        <w:tc>
          <w:tcPr>
            <w:tcW w:w="425" w:type="pct"/>
            <w:vAlign w:val="center"/>
          </w:tcPr>
          <w:p w14:paraId="13D95068">
            <w:pPr>
              <w:pStyle w:val="445"/>
            </w:pPr>
            <w:r>
              <w:rPr>
                <w:rFonts w:hint="eastAsia"/>
              </w:rPr>
              <w:t>0</w:t>
            </w:r>
          </w:p>
        </w:tc>
        <w:tc>
          <w:tcPr>
            <w:tcW w:w="490" w:type="pct"/>
            <w:vAlign w:val="center"/>
          </w:tcPr>
          <w:p w14:paraId="12EE6686">
            <w:pPr>
              <w:pStyle w:val="445"/>
            </w:pPr>
            <w:r>
              <w:rPr>
                <w:rFonts w:hint="eastAsia"/>
              </w:rPr>
              <w:t>0</w:t>
            </w:r>
          </w:p>
        </w:tc>
        <w:tc>
          <w:tcPr>
            <w:tcW w:w="555" w:type="pct"/>
            <w:vAlign w:val="center"/>
          </w:tcPr>
          <w:p w14:paraId="5EDFD3C2">
            <w:pPr>
              <w:pStyle w:val="445"/>
            </w:pPr>
            <w:r>
              <w:rPr>
                <w:rFonts w:hint="eastAsia"/>
              </w:rPr>
              <w:t>0</w:t>
            </w:r>
          </w:p>
        </w:tc>
        <w:tc>
          <w:tcPr>
            <w:tcW w:w="555" w:type="pct"/>
            <w:vAlign w:val="center"/>
          </w:tcPr>
          <w:p w14:paraId="4BCB9257">
            <w:pPr>
              <w:pStyle w:val="445"/>
            </w:pPr>
            <w:r>
              <w:rPr>
                <w:rFonts w:hint="eastAsia"/>
              </w:rPr>
              <w:t>0</w:t>
            </w:r>
          </w:p>
        </w:tc>
      </w:tr>
      <w:tr w14:paraId="180EF90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restart"/>
            <w:vAlign w:val="center"/>
          </w:tcPr>
          <w:p w14:paraId="0949A3E6">
            <w:pPr>
              <w:pStyle w:val="445"/>
            </w:pPr>
            <w:r>
              <w:rPr>
                <w:rFonts w:hint="eastAsia"/>
                <w:spacing w:val="10"/>
              </w:rPr>
              <w:t>酸洗废水预处理设施</w:t>
            </w:r>
          </w:p>
        </w:tc>
        <w:tc>
          <w:tcPr>
            <w:tcW w:w="537" w:type="pct"/>
            <w:vMerge w:val="restart"/>
            <w:vAlign w:val="center"/>
          </w:tcPr>
          <w:p w14:paraId="6921518B">
            <w:pPr>
              <w:pStyle w:val="445"/>
            </w:pPr>
            <w:r>
              <w:rPr>
                <w:rFonts w:hint="eastAsia"/>
              </w:rPr>
              <w:t>氟化物</w:t>
            </w:r>
          </w:p>
        </w:tc>
        <w:tc>
          <w:tcPr>
            <w:tcW w:w="1843" w:type="pct"/>
            <w:vAlign w:val="center"/>
          </w:tcPr>
          <w:p w14:paraId="3E423B08">
            <w:pPr>
              <w:pStyle w:val="445"/>
            </w:pPr>
            <w:r>
              <w:rPr>
                <w:rFonts w:hint="eastAsia"/>
              </w:rPr>
              <w:t>中心点浓度（mg/L）</w:t>
            </w:r>
          </w:p>
        </w:tc>
        <w:tc>
          <w:tcPr>
            <w:tcW w:w="425" w:type="pct"/>
            <w:vAlign w:val="center"/>
          </w:tcPr>
          <w:p w14:paraId="0DDF6D36">
            <w:pPr>
              <w:pStyle w:val="445"/>
            </w:pPr>
            <w:r>
              <w:rPr>
                <w:rFonts w:hint="eastAsia"/>
              </w:rPr>
              <w:t>65.82</w:t>
            </w:r>
          </w:p>
        </w:tc>
        <w:tc>
          <w:tcPr>
            <w:tcW w:w="490" w:type="pct"/>
            <w:vAlign w:val="center"/>
          </w:tcPr>
          <w:p w14:paraId="4F6D7926">
            <w:pPr>
              <w:pStyle w:val="445"/>
            </w:pPr>
            <w:r>
              <w:rPr>
                <w:rFonts w:hint="eastAsia"/>
              </w:rPr>
              <w:t>508.78</w:t>
            </w:r>
          </w:p>
        </w:tc>
        <w:tc>
          <w:tcPr>
            <w:tcW w:w="555" w:type="pct"/>
            <w:vAlign w:val="center"/>
          </w:tcPr>
          <w:p w14:paraId="35CD7A0D">
            <w:pPr>
              <w:pStyle w:val="445"/>
            </w:pPr>
            <w:r>
              <w:rPr>
                <w:rFonts w:hint="eastAsia"/>
              </w:rPr>
              <w:t>1122.29</w:t>
            </w:r>
          </w:p>
        </w:tc>
        <w:tc>
          <w:tcPr>
            <w:tcW w:w="555" w:type="pct"/>
            <w:vAlign w:val="center"/>
          </w:tcPr>
          <w:p w14:paraId="26D016FF">
            <w:pPr>
              <w:pStyle w:val="445"/>
            </w:pPr>
            <w:r>
              <w:rPr>
                <w:rFonts w:hint="eastAsia"/>
              </w:rPr>
              <w:t>1399.39</w:t>
            </w:r>
          </w:p>
        </w:tc>
      </w:tr>
      <w:tr w14:paraId="5A5B151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117514FC">
            <w:pPr>
              <w:pStyle w:val="445"/>
            </w:pPr>
          </w:p>
        </w:tc>
        <w:tc>
          <w:tcPr>
            <w:tcW w:w="537" w:type="pct"/>
            <w:vMerge w:val="continue"/>
            <w:vAlign w:val="center"/>
          </w:tcPr>
          <w:p w14:paraId="53B2AFEF">
            <w:pPr>
              <w:pStyle w:val="445"/>
            </w:pPr>
          </w:p>
        </w:tc>
        <w:tc>
          <w:tcPr>
            <w:tcW w:w="1843" w:type="pct"/>
            <w:vAlign w:val="center"/>
          </w:tcPr>
          <w:p w14:paraId="091439FF">
            <w:pPr>
              <w:pStyle w:val="445"/>
            </w:pPr>
            <w:r>
              <w:rPr>
                <w:rFonts w:hint="eastAsia"/>
              </w:rPr>
              <w:t>区域最大背景值（mg/L）</w:t>
            </w:r>
          </w:p>
        </w:tc>
        <w:tc>
          <w:tcPr>
            <w:tcW w:w="425" w:type="pct"/>
            <w:vAlign w:val="center"/>
          </w:tcPr>
          <w:p w14:paraId="68019AC4">
            <w:pPr>
              <w:pStyle w:val="445"/>
            </w:pPr>
            <w:r>
              <w:rPr>
                <w:rFonts w:hint="eastAsia"/>
              </w:rPr>
              <w:t>0.18</w:t>
            </w:r>
          </w:p>
        </w:tc>
        <w:tc>
          <w:tcPr>
            <w:tcW w:w="490" w:type="pct"/>
            <w:vAlign w:val="center"/>
          </w:tcPr>
          <w:p w14:paraId="209B34B6">
            <w:pPr>
              <w:pStyle w:val="445"/>
            </w:pPr>
            <w:r>
              <w:rPr>
                <w:rFonts w:hint="eastAsia"/>
              </w:rPr>
              <w:t>0.18</w:t>
            </w:r>
          </w:p>
        </w:tc>
        <w:tc>
          <w:tcPr>
            <w:tcW w:w="555" w:type="pct"/>
            <w:vAlign w:val="center"/>
          </w:tcPr>
          <w:p w14:paraId="7D41E5FB">
            <w:pPr>
              <w:pStyle w:val="445"/>
            </w:pPr>
            <w:r>
              <w:rPr>
                <w:rFonts w:hint="eastAsia"/>
              </w:rPr>
              <w:t>0.18</w:t>
            </w:r>
          </w:p>
        </w:tc>
        <w:tc>
          <w:tcPr>
            <w:tcW w:w="555" w:type="pct"/>
            <w:vAlign w:val="center"/>
          </w:tcPr>
          <w:p w14:paraId="6420D367">
            <w:pPr>
              <w:pStyle w:val="445"/>
            </w:pPr>
            <w:r>
              <w:rPr>
                <w:rFonts w:hint="eastAsia"/>
              </w:rPr>
              <w:t>0.18</w:t>
            </w:r>
          </w:p>
        </w:tc>
      </w:tr>
      <w:tr w14:paraId="1BDB351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73462604">
            <w:pPr>
              <w:pStyle w:val="445"/>
            </w:pPr>
          </w:p>
        </w:tc>
        <w:tc>
          <w:tcPr>
            <w:tcW w:w="537" w:type="pct"/>
            <w:vMerge w:val="continue"/>
            <w:vAlign w:val="center"/>
          </w:tcPr>
          <w:p w14:paraId="652D6CE6">
            <w:pPr>
              <w:pStyle w:val="445"/>
            </w:pPr>
          </w:p>
        </w:tc>
        <w:tc>
          <w:tcPr>
            <w:tcW w:w="1843" w:type="pct"/>
            <w:vAlign w:val="center"/>
          </w:tcPr>
          <w:p w14:paraId="1AB7A0BA">
            <w:pPr>
              <w:pStyle w:val="445"/>
            </w:pPr>
            <w:r>
              <w:rPr>
                <w:rFonts w:hint="eastAsia"/>
              </w:rPr>
              <w:t>叠加值（mg/L）</w:t>
            </w:r>
          </w:p>
        </w:tc>
        <w:tc>
          <w:tcPr>
            <w:tcW w:w="1246" w:type="dxa"/>
            <w:vAlign w:val="center"/>
          </w:tcPr>
          <w:p w14:paraId="119DCC00">
            <w:pPr>
              <w:pStyle w:val="445"/>
            </w:pPr>
            <w:r>
              <w:rPr>
                <w:rFonts w:hint="eastAsia"/>
              </w:rPr>
              <w:t xml:space="preserve">66.00 </w:t>
            </w:r>
          </w:p>
        </w:tc>
        <w:tc>
          <w:tcPr>
            <w:tcW w:w="1356" w:type="dxa"/>
            <w:vAlign w:val="center"/>
          </w:tcPr>
          <w:p w14:paraId="6DA7D9F7">
            <w:pPr>
              <w:pStyle w:val="445"/>
            </w:pPr>
            <w:r>
              <w:rPr>
                <w:rFonts w:hint="eastAsia"/>
              </w:rPr>
              <w:t xml:space="preserve">508.96 </w:t>
            </w:r>
          </w:p>
        </w:tc>
        <w:tc>
          <w:tcPr>
            <w:tcW w:w="1356" w:type="dxa"/>
            <w:vAlign w:val="center"/>
          </w:tcPr>
          <w:p w14:paraId="5B61BAE3">
            <w:pPr>
              <w:pStyle w:val="445"/>
            </w:pPr>
            <w:r>
              <w:rPr>
                <w:rFonts w:hint="eastAsia"/>
              </w:rPr>
              <w:t xml:space="preserve">1122.47 </w:t>
            </w:r>
          </w:p>
        </w:tc>
        <w:tc>
          <w:tcPr>
            <w:tcW w:w="1356" w:type="dxa"/>
            <w:vAlign w:val="center"/>
          </w:tcPr>
          <w:p w14:paraId="4F4B6E81">
            <w:pPr>
              <w:pStyle w:val="445"/>
            </w:pPr>
            <w:r>
              <w:rPr>
                <w:rFonts w:hint="eastAsia"/>
              </w:rPr>
              <w:t xml:space="preserve">1399.57 </w:t>
            </w:r>
          </w:p>
        </w:tc>
      </w:tr>
      <w:tr w14:paraId="3FE14F5A">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439162BD">
            <w:pPr>
              <w:pStyle w:val="445"/>
            </w:pPr>
          </w:p>
        </w:tc>
        <w:tc>
          <w:tcPr>
            <w:tcW w:w="537" w:type="pct"/>
            <w:vMerge w:val="continue"/>
            <w:vAlign w:val="center"/>
          </w:tcPr>
          <w:p w14:paraId="3B85D842">
            <w:pPr>
              <w:pStyle w:val="445"/>
            </w:pPr>
          </w:p>
        </w:tc>
        <w:tc>
          <w:tcPr>
            <w:tcW w:w="1843" w:type="pct"/>
            <w:vAlign w:val="center"/>
          </w:tcPr>
          <w:p w14:paraId="18C62F86">
            <w:pPr>
              <w:pStyle w:val="445"/>
            </w:pPr>
            <w:r>
              <w:rPr>
                <w:rFonts w:hint="eastAsia"/>
              </w:rPr>
              <w:t>超标污染羽最大迁移距离（m）</w:t>
            </w:r>
          </w:p>
        </w:tc>
        <w:tc>
          <w:tcPr>
            <w:tcW w:w="425" w:type="pct"/>
            <w:vAlign w:val="center"/>
          </w:tcPr>
          <w:p w14:paraId="0619EF77">
            <w:pPr>
              <w:pStyle w:val="445"/>
            </w:pPr>
            <w:r>
              <w:rPr>
                <w:rFonts w:hint="eastAsia"/>
              </w:rPr>
              <w:t>3.9</w:t>
            </w:r>
          </w:p>
        </w:tc>
        <w:tc>
          <w:tcPr>
            <w:tcW w:w="490" w:type="pct"/>
            <w:vAlign w:val="center"/>
          </w:tcPr>
          <w:p w14:paraId="2C045C28">
            <w:pPr>
              <w:pStyle w:val="445"/>
            </w:pPr>
            <w:r>
              <w:rPr>
                <w:rFonts w:hint="eastAsia"/>
              </w:rPr>
              <w:t>19.8</w:t>
            </w:r>
          </w:p>
        </w:tc>
        <w:tc>
          <w:tcPr>
            <w:tcW w:w="555" w:type="pct"/>
            <w:vAlign w:val="center"/>
          </w:tcPr>
          <w:p w14:paraId="3E503FA6">
            <w:pPr>
              <w:pStyle w:val="445"/>
            </w:pPr>
            <w:r>
              <w:rPr>
                <w:rFonts w:hint="eastAsia"/>
              </w:rPr>
              <w:t>59.5</w:t>
            </w:r>
          </w:p>
        </w:tc>
        <w:tc>
          <w:tcPr>
            <w:tcW w:w="555" w:type="pct"/>
            <w:vAlign w:val="center"/>
          </w:tcPr>
          <w:p w14:paraId="27A6AA55">
            <w:pPr>
              <w:pStyle w:val="445"/>
            </w:pPr>
            <w:r>
              <w:rPr>
                <w:rFonts w:hint="eastAsia"/>
              </w:rPr>
              <w:t>94.6</w:t>
            </w:r>
          </w:p>
        </w:tc>
      </w:tr>
      <w:tr w14:paraId="783A9B69">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c>
          <w:tcPr>
            <w:tcW w:w="592" w:type="pct"/>
            <w:vMerge w:val="continue"/>
            <w:vAlign w:val="center"/>
          </w:tcPr>
          <w:p w14:paraId="41AE0CAE">
            <w:pPr>
              <w:pStyle w:val="445"/>
            </w:pPr>
          </w:p>
        </w:tc>
        <w:tc>
          <w:tcPr>
            <w:tcW w:w="537" w:type="pct"/>
            <w:vMerge w:val="continue"/>
            <w:vAlign w:val="center"/>
          </w:tcPr>
          <w:p w14:paraId="4D295902">
            <w:pPr>
              <w:pStyle w:val="445"/>
            </w:pPr>
          </w:p>
        </w:tc>
        <w:tc>
          <w:tcPr>
            <w:tcW w:w="1843" w:type="pct"/>
            <w:vAlign w:val="center"/>
          </w:tcPr>
          <w:p w14:paraId="46488DD9">
            <w:pPr>
              <w:pStyle w:val="445"/>
            </w:pPr>
            <w:r>
              <w:rPr>
                <w:rFonts w:hint="eastAsia"/>
              </w:rPr>
              <w:t>超标污染羽超出厂界距离（m）</w:t>
            </w:r>
          </w:p>
        </w:tc>
        <w:tc>
          <w:tcPr>
            <w:tcW w:w="425" w:type="pct"/>
            <w:vAlign w:val="center"/>
          </w:tcPr>
          <w:p w14:paraId="68769BCA">
            <w:pPr>
              <w:pStyle w:val="445"/>
            </w:pPr>
            <w:r>
              <w:rPr>
                <w:rFonts w:hint="eastAsia"/>
              </w:rPr>
              <w:t>0</w:t>
            </w:r>
          </w:p>
        </w:tc>
        <w:tc>
          <w:tcPr>
            <w:tcW w:w="490" w:type="pct"/>
            <w:vAlign w:val="center"/>
          </w:tcPr>
          <w:p w14:paraId="29438C0C">
            <w:pPr>
              <w:pStyle w:val="445"/>
            </w:pPr>
            <w:r>
              <w:rPr>
                <w:rFonts w:hint="eastAsia"/>
              </w:rPr>
              <w:t>0</w:t>
            </w:r>
          </w:p>
        </w:tc>
        <w:tc>
          <w:tcPr>
            <w:tcW w:w="555" w:type="pct"/>
            <w:vAlign w:val="center"/>
          </w:tcPr>
          <w:p w14:paraId="1F605EE9">
            <w:pPr>
              <w:pStyle w:val="445"/>
            </w:pPr>
            <w:r>
              <w:rPr>
                <w:rFonts w:hint="eastAsia"/>
              </w:rPr>
              <w:t>0</w:t>
            </w:r>
          </w:p>
        </w:tc>
        <w:tc>
          <w:tcPr>
            <w:tcW w:w="555" w:type="pct"/>
            <w:vAlign w:val="center"/>
          </w:tcPr>
          <w:p w14:paraId="4F25CD1C">
            <w:pPr>
              <w:pStyle w:val="445"/>
            </w:pPr>
            <w:r>
              <w:rPr>
                <w:rFonts w:hint="eastAsia"/>
              </w:rPr>
              <w:t>0</w:t>
            </w:r>
          </w:p>
        </w:tc>
      </w:tr>
    </w:tbl>
    <w:p w14:paraId="7B690F17">
      <w:pPr>
        <w:spacing w:before="163" w:beforeLines="50"/>
        <w:ind w:firstLine="520"/>
        <w:rPr>
          <w:spacing w:val="10"/>
          <w:szCs w:val="24"/>
        </w:rPr>
      </w:pPr>
      <w:r>
        <w:rPr>
          <w:rFonts w:hint="eastAsia"/>
          <w:spacing w:val="10"/>
          <w:szCs w:val="24"/>
        </w:rPr>
        <w:t>由上表可知：运移7300d后厂区地下水中C</w:t>
      </w:r>
      <w:r>
        <w:rPr>
          <w:spacing w:val="10"/>
          <w:szCs w:val="24"/>
        </w:rPr>
        <w:t>OD</w:t>
      </w:r>
      <w:r>
        <w:rPr>
          <w:rFonts w:hint="eastAsia"/>
          <w:spacing w:val="10"/>
          <w:szCs w:val="24"/>
        </w:rPr>
        <w:t>浓度最大值为</w:t>
      </w:r>
      <w:r>
        <w:rPr>
          <w:rFonts w:hint="eastAsia"/>
          <w:bCs/>
          <w:szCs w:val="24"/>
        </w:rPr>
        <w:t>795.83</w:t>
      </w:r>
      <w:r>
        <w:rPr>
          <w:rFonts w:hint="eastAsia"/>
          <w:spacing w:val="10"/>
          <w:szCs w:val="24"/>
        </w:rPr>
        <w:t>mg/L，叠加背景值后浓度最大值为</w:t>
      </w:r>
      <w:r>
        <w:rPr>
          <w:rFonts w:hint="eastAsia"/>
          <w:bCs/>
          <w:szCs w:val="24"/>
        </w:rPr>
        <w:t xml:space="preserve">797.54 </w:t>
      </w:r>
      <w:r>
        <w:rPr>
          <w:rFonts w:hint="eastAsia"/>
          <w:spacing w:val="10"/>
          <w:szCs w:val="24"/>
        </w:rPr>
        <w:t>mg/L，</w:t>
      </w:r>
      <w:r>
        <w:rPr>
          <w:rFonts w:hint="eastAsia"/>
          <w:bCs/>
          <w:szCs w:val="24"/>
        </w:rPr>
        <w:t>超标污染羽最大迁移距离</w:t>
      </w:r>
      <w:r>
        <w:rPr>
          <w:rFonts w:hint="eastAsia"/>
          <w:spacing w:val="10"/>
          <w:szCs w:val="24"/>
        </w:rPr>
        <w:t>为</w:t>
      </w:r>
      <w:r>
        <w:rPr>
          <w:rFonts w:hint="eastAsia"/>
          <w:bCs/>
          <w:szCs w:val="24"/>
        </w:rPr>
        <w:t>114.7</w:t>
      </w:r>
      <w:r>
        <w:rPr>
          <w:spacing w:val="10"/>
          <w:szCs w:val="24"/>
        </w:rPr>
        <w:t>m</w:t>
      </w:r>
      <w:r>
        <w:rPr>
          <w:rFonts w:hint="eastAsia"/>
          <w:spacing w:val="10"/>
          <w:szCs w:val="24"/>
        </w:rPr>
        <w:t>，</w:t>
      </w:r>
      <w:r>
        <w:rPr>
          <w:rFonts w:hint="eastAsia"/>
          <w:bCs/>
          <w:szCs w:val="24"/>
        </w:rPr>
        <w:t>超标污染羽超出厂界距离0</w:t>
      </w:r>
      <w:r>
        <w:rPr>
          <w:spacing w:val="10"/>
          <w:szCs w:val="24"/>
        </w:rPr>
        <w:t>m</w:t>
      </w:r>
      <w:r>
        <w:rPr>
          <w:rFonts w:hint="eastAsia"/>
          <w:bCs/>
          <w:szCs w:val="24"/>
        </w:rPr>
        <w:t>，</w:t>
      </w:r>
      <w:r>
        <w:rPr>
          <w:rFonts w:hint="eastAsia"/>
          <w:spacing w:val="10"/>
          <w:szCs w:val="24"/>
        </w:rPr>
        <w:t>污染晕主要向东南扩散。</w:t>
      </w:r>
    </w:p>
    <w:p w14:paraId="337F43D8">
      <w:pPr>
        <w:ind w:firstLine="520"/>
        <w:rPr>
          <w:sz w:val="28"/>
        </w:rPr>
      </w:pPr>
      <w:r>
        <w:rPr>
          <w:rFonts w:hint="eastAsia"/>
          <w:spacing w:val="10"/>
          <w:szCs w:val="24"/>
        </w:rPr>
        <w:t>运移7300d后厂区地下水中</w:t>
      </w:r>
      <w:r>
        <w:rPr>
          <w:rFonts w:hint="eastAsia"/>
          <w:bCs/>
          <w:szCs w:val="24"/>
        </w:rPr>
        <w:t>氟化物</w:t>
      </w:r>
      <w:r>
        <w:rPr>
          <w:rFonts w:hint="eastAsia"/>
          <w:spacing w:val="10"/>
          <w:szCs w:val="24"/>
        </w:rPr>
        <w:t>浓度最大值为</w:t>
      </w:r>
      <w:r>
        <w:rPr>
          <w:rFonts w:hint="eastAsia"/>
          <w:bCs/>
          <w:szCs w:val="24"/>
        </w:rPr>
        <w:t>1399.39</w:t>
      </w:r>
      <w:r>
        <w:rPr>
          <w:rFonts w:hint="eastAsia"/>
          <w:spacing w:val="10"/>
          <w:szCs w:val="24"/>
        </w:rPr>
        <w:t>mg/L，叠加背景值后浓度最大值为</w:t>
      </w:r>
      <w:r>
        <w:rPr>
          <w:rFonts w:hint="eastAsia"/>
          <w:bCs/>
          <w:szCs w:val="24"/>
        </w:rPr>
        <w:t>1399.57</w:t>
      </w:r>
      <w:r>
        <w:rPr>
          <w:rFonts w:hint="eastAsia"/>
          <w:spacing w:val="10"/>
          <w:szCs w:val="24"/>
        </w:rPr>
        <w:t>mg/L，</w:t>
      </w:r>
      <w:r>
        <w:rPr>
          <w:rFonts w:hint="eastAsia"/>
          <w:bCs/>
          <w:szCs w:val="24"/>
        </w:rPr>
        <w:t>超标污染羽最大迁移距离</w:t>
      </w:r>
      <w:r>
        <w:rPr>
          <w:rFonts w:hint="eastAsia"/>
          <w:spacing w:val="10"/>
          <w:szCs w:val="24"/>
        </w:rPr>
        <w:t>为</w:t>
      </w:r>
      <w:r>
        <w:rPr>
          <w:rFonts w:hint="eastAsia"/>
          <w:bCs/>
          <w:szCs w:val="24"/>
        </w:rPr>
        <w:t>94.6</w:t>
      </w:r>
      <w:r>
        <w:rPr>
          <w:spacing w:val="10"/>
          <w:szCs w:val="24"/>
        </w:rPr>
        <w:t>m</w:t>
      </w:r>
      <w:r>
        <w:rPr>
          <w:rFonts w:hint="eastAsia"/>
          <w:spacing w:val="10"/>
          <w:szCs w:val="24"/>
        </w:rPr>
        <w:t>，</w:t>
      </w:r>
      <w:r>
        <w:rPr>
          <w:rFonts w:hint="eastAsia"/>
          <w:bCs/>
          <w:szCs w:val="24"/>
        </w:rPr>
        <w:t>超标污染羽超出厂界距离0</w:t>
      </w:r>
      <w:r>
        <w:rPr>
          <w:spacing w:val="10"/>
          <w:szCs w:val="24"/>
        </w:rPr>
        <w:t>m</w:t>
      </w:r>
      <w:r>
        <w:rPr>
          <w:rFonts w:hint="eastAsia"/>
          <w:bCs/>
          <w:szCs w:val="24"/>
        </w:rPr>
        <w:t>，</w:t>
      </w:r>
      <w:r>
        <w:rPr>
          <w:rFonts w:hint="eastAsia"/>
          <w:spacing w:val="10"/>
          <w:szCs w:val="24"/>
        </w:rPr>
        <w:t>污染晕主要向东南扩散。</w:t>
      </w:r>
    </w:p>
    <w:p w14:paraId="0FCB8BCC">
      <w:pPr>
        <w:spacing w:before="240" w:after="120"/>
        <w:ind w:firstLine="0" w:firstLineChars="0"/>
        <w:jc w:val="left"/>
        <w:outlineLvl w:val="2"/>
        <w:rPr>
          <w:rFonts w:eastAsia="黑体"/>
          <w:sz w:val="28"/>
          <w:szCs w:val="28"/>
        </w:rPr>
      </w:pPr>
      <w:bookmarkStart w:id="318" w:name="_Toc52175561"/>
      <w:bookmarkEnd w:id="318"/>
      <w:bookmarkStart w:id="319" w:name="_Toc100784061"/>
      <w:bookmarkStart w:id="320" w:name="_Toc108662670"/>
      <w:bookmarkStart w:id="321" w:name="_Toc101135893"/>
      <w:r>
        <w:rPr>
          <w:rFonts w:hint="eastAsia" w:eastAsia="黑体"/>
          <w:sz w:val="28"/>
          <w:szCs w:val="28"/>
        </w:rPr>
        <w:t>5.5.11</w:t>
      </w:r>
      <w:r>
        <w:rPr>
          <w:rFonts w:hint="eastAsia" w:ascii="黑体" w:hAnsi="黑体" w:eastAsia="黑体"/>
          <w:sz w:val="28"/>
          <w:szCs w:val="28"/>
        </w:rPr>
        <w:t>小结</w:t>
      </w:r>
      <w:bookmarkEnd w:id="319"/>
      <w:bookmarkEnd w:id="320"/>
      <w:bookmarkEnd w:id="321"/>
    </w:p>
    <w:p w14:paraId="741A5F46">
      <w:pPr>
        <w:widowControl/>
        <w:wordWrap w:val="0"/>
        <w:ind w:firstLine="480"/>
        <w:rPr>
          <w:b/>
          <w:bCs/>
          <w:szCs w:val="24"/>
        </w:rPr>
      </w:pPr>
      <w:r>
        <w:rPr>
          <w:rFonts w:ascii="宋体" w:hAnsi="宋体"/>
          <w:bCs/>
        </w:rPr>
        <w:t>根据地下水环评导则要求，预测采用数值模拟模型。通过资料收集和野外勘查获取评价区含水层空间分布特征，根据评价区水文地质条件，确定以潜水含水层为本次的地下水对象，重点模拟了非正常工况下</w:t>
      </w:r>
      <w:r>
        <w:rPr>
          <w:rFonts w:hint="eastAsia" w:ascii="宋体" w:hAnsi="宋体"/>
          <w:bCs/>
        </w:rPr>
        <w:t>污水处理</w:t>
      </w:r>
      <w:r>
        <w:rPr>
          <w:rFonts w:hint="eastAsia" w:ascii="宋体" w:hAnsi="宋体"/>
        </w:rPr>
        <w:t>区</w:t>
      </w:r>
      <w:r>
        <w:rPr>
          <w:bCs/>
        </w:rPr>
        <w:t>7300d</w:t>
      </w:r>
      <w:r>
        <w:rPr>
          <w:rFonts w:ascii="宋体" w:hAnsi="宋体"/>
          <w:bCs/>
        </w:rPr>
        <w:t>内污染物的运移扩散过程。评价结论如下：</w:t>
      </w:r>
    </w:p>
    <w:p w14:paraId="32C5F71E">
      <w:pPr>
        <w:ind w:firstLine="480"/>
        <w:rPr>
          <w:b/>
        </w:rPr>
      </w:pPr>
      <w:r>
        <w:rPr>
          <w:rFonts w:hint="eastAsia" w:ascii="宋体" w:hAnsi="宋体"/>
        </w:rPr>
        <w:t>（</w:t>
      </w:r>
      <w:r>
        <w:rPr>
          <w:rFonts w:hint="eastAsia"/>
        </w:rPr>
        <w:t>1</w:t>
      </w:r>
      <w:r>
        <w:rPr>
          <w:rFonts w:ascii="宋体" w:hAnsi="宋体"/>
        </w:rPr>
        <w:t>）正常工况</w:t>
      </w:r>
      <w:r>
        <w:rPr>
          <w:rFonts w:hint="eastAsia" w:ascii="宋体" w:hAnsi="宋体"/>
        </w:rPr>
        <w:t>下，污染防渗措施有效，不会发生泄漏</w:t>
      </w:r>
      <w:r>
        <w:rPr>
          <w:rFonts w:ascii="宋体" w:hAnsi="宋体"/>
        </w:rPr>
        <w:t>或</w:t>
      </w:r>
      <w:r>
        <w:rPr>
          <w:rFonts w:hint="eastAsia" w:ascii="宋体" w:hAnsi="宋体"/>
        </w:rPr>
        <w:t>污水渗入地下水的情景发生，对区域地下水质不产生影响。而非正常工况下，污染物泄漏会在厂区及周边一定范围内污染地下水，泄漏</w:t>
      </w:r>
      <w:r>
        <w:rPr>
          <w:rFonts w:hint="eastAsia"/>
        </w:rPr>
        <w:t>1</w:t>
      </w:r>
      <w:r>
        <w:rPr>
          <w:rFonts w:hint="eastAsia" w:ascii="宋体" w:hAnsi="宋体"/>
        </w:rPr>
        <w:t>年停止后，污染物随着运移稀释，浓度逐渐降低，但扩散范围逐渐增大，污染物未扩散到厂区界外。</w:t>
      </w:r>
    </w:p>
    <w:p w14:paraId="6FA608F2">
      <w:pPr>
        <w:ind w:firstLine="480"/>
        <w:rPr>
          <w:b/>
        </w:rPr>
      </w:pPr>
      <w:r>
        <w:rPr>
          <w:rFonts w:hint="eastAsia" w:ascii="宋体" w:hAnsi="宋体"/>
        </w:rPr>
        <w:t>（</w:t>
      </w:r>
      <w:r>
        <w:rPr>
          <w:rFonts w:hint="eastAsia"/>
        </w:rPr>
        <w:t>2</w:t>
      </w:r>
      <w:r>
        <w:rPr>
          <w:rFonts w:ascii="宋体" w:hAnsi="宋体"/>
        </w:rPr>
        <w:t>）</w:t>
      </w:r>
      <w:r>
        <w:rPr>
          <w:rFonts w:hint="eastAsia" w:ascii="宋体" w:hAnsi="宋体"/>
        </w:rPr>
        <w:t>非正常工况下，污染物泄漏后主要水平迁移方向为东南侧，和水流方向基本一致，调节池</w:t>
      </w:r>
      <w:r>
        <w:rPr>
          <w:rFonts w:ascii="宋体" w:hAnsi="宋体"/>
        </w:rPr>
        <w:t>和废水池</w:t>
      </w:r>
      <w:r>
        <w:rPr>
          <w:rFonts w:hint="eastAsia" w:ascii="宋体" w:hAnsi="宋体"/>
        </w:rPr>
        <w:t>的污染物泄漏对厂区周围地下水环境会造成一定不利影响，不过仅影响到周边较小范围地下水水质而不会影响到区域大范围地下水水质。</w:t>
      </w:r>
    </w:p>
    <w:p w14:paraId="4FB21DF4">
      <w:pPr>
        <w:ind w:firstLine="480"/>
        <w:rPr>
          <w:b/>
        </w:rPr>
      </w:pPr>
      <w:r>
        <w:rPr>
          <w:rFonts w:hint="eastAsia" w:ascii="宋体" w:hAnsi="宋体"/>
        </w:rPr>
        <w:t>（</w:t>
      </w:r>
      <w:r>
        <w:rPr>
          <w:rFonts w:hint="eastAsia"/>
        </w:rPr>
        <w:t>3</w:t>
      </w:r>
      <w:r>
        <w:rPr>
          <w:rFonts w:ascii="宋体" w:hAnsi="宋体"/>
        </w:rPr>
        <w:t>）</w:t>
      </w:r>
      <w:r>
        <w:rPr>
          <w:rFonts w:hint="eastAsia" w:ascii="宋体" w:hAnsi="宋体"/>
        </w:rPr>
        <w:t>非正常工况下，污染物泄漏</w:t>
      </w:r>
      <w:r>
        <w:rPr>
          <w:rFonts w:hint="eastAsia"/>
        </w:rPr>
        <w:t>1</w:t>
      </w:r>
      <w:r>
        <w:rPr>
          <w:rFonts w:hint="eastAsia" w:ascii="宋体" w:hAnsi="宋体"/>
        </w:rPr>
        <w:t>年被发现，导致地下水中出现污染物超标。在本次模拟事故源强和预测时段条件下，调节池的</w:t>
      </w:r>
      <w:r>
        <w:rPr>
          <w:rFonts w:hint="eastAsia"/>
        </w:rPr>
        <w:t>COD</w:t>
      </w:r>
      <w:r>
        <w:rPr>
          <w:rFonts w:ascii="宋体" w:hAnsi="宋体"/>
        </w:rPr>
        <w:t>不会</w:t>
      </w:r>
      <w:r>
        <w:rPr>
          <w:rFonts w:hint="eastAsia" w:ascii="宋体" w:hAnsi="宋体"/>
        </w:rPr>
        <w:t>导致厂区边界地下水超标。调节池</w:t>
      </w:r>
      <w:r>
        <w:rPr>
          <w:rFonts w:hint="eastAsia"/>
        </w:rPr>
        <w:t>COD</w:t>
      </w:r>
      <w:r>
        <w:rPr>
          <w:rFonts w:hint="eastAsia"/>
          <w:bCs/>
          <w:szCs w:val="24"/>
        </w:rPr>
        <w:t>超标污染羽最大迁移距离</w:t>
      </w:r>
      <w:r>
        <w:rPr>
          <w:rFonts w:hint="eastAsia"/>
          <w:spacing w:val="10"/>
          <w:szCs w:val="24"/>
        </w:rPr>
        <w:t>为</w:t>
      </w:r>
      <w:r>
        <w:rPr>
          <w:rFonts w:hint="eastAsia"/>
          <w:bCs/>
          <w:szCs w:val="24"/>
        </w:rPr>
        <w:t>114.7</w:t>
      </w:r>
      <w:r>
        <w:rPr>
          <w:spacing w:val="10"/>
          <w:szCs w:val="24"/>
        </w:rPr>
        <w:t>m</w:t>
      </w:r>
      <w:r>
        <w:rPr>
          <w:rFonts w:hint="eastAsia"/>
          <w:spacing w:val="10"/>
          <w:szCs w:val="24"/>
        </w:rPr>
        <w:t>，</w:t>
      </w:r>
      <w:r>
        <w:rPr>
          <w:rFonts w:hint="eastAsia"/>
          <w:bCs/>
          <w:szCs w:val="24"/>
        </w:rPr>
        <w:t>超标污染羽超出厂界距离0</w:t>
      </w:r>
      <w:r>
        <w:rPr>
          <w:spacing w:val="10"/>
          <w:szCs w:val="24"/>
        </w:rPr>
        <w:t>m</w:t>
      </w:r>
      <w:r>
        <w:rPr>
          <w:rFonts w:hint="eastAsia"/>
          <w:spacing w:val="10"/>
        </w:rPr>
        <w:t>。</w:t>
      </w:r>
      <w:r>
        <w:rPr>
          <w:rFonts w:hint="eastAsia"/>
          <w:spacing w:val="10"/>
          <w:szCs w:val="24"/>
        </w:rPr>
        <w:t>酸洗废水预处理设施氟化物不会导致厂区边界地下水超标。酸洗废水预处理设施氟化物超标污染羽最大迁移距离为</w:t>
      </w:r>
      <w:r>
        <w:rPr>
          <w:spacing w:val="10"/>
          <w:szCs w:val="24"/>
        </w:rPr>
        <w:t>94.6</w:t>
      </w:r>
      <w:r>
        <w:rPr>
          <w:rFonts w:hint="eastAsia"/>
          <w:spacing w:val="10"/>
          <w:szCs w:val="24"/>
        </w:rPr>
        <w:t>m，</w:t>
      </w:r>
      <w:r>
        <w:rPr>
          <w:rFonts w:hint="eastAsia"/>
          <w:bCs/>
          <w:szCs w:val="24"/>
        </w:rPr>
        <w:t>超标污染羽超出厂界距离0</w:t>
      </w:r>
      <w:r>
        <w:rPr>
          <w:spacing w:val="10"/>
          <w:szCs w:val="24"/>
        </w:rPr>
        <w:t>m</w:t>
      </w:r>
      <w:r>
        <w:rPr>
          <w:rFonts w:hint="eastAsia"/>
          <w:spacing w:val="10"/>
        </w:rPr>
        <w:t>。</w:t>
      </w:r>
      <w:r>
        <w:rPr>
          <w:rFonts w:hint="eastAsia" w:ascii="宋体" w:hAnsi="宋体"/>
        </w:rPr>
        <w:t>企业应做好污水处理区的防渗工作，及时发现并做好防渗措施能较好控制污染物迁移。</w:t>
      </w:r>
    </w:p>
    <w:p w14:paraId="7F340529">
      <w:pPr>
        <w:ind w:firstLine="480"/>
        <w:rPr>
          <w:b/>
        </w:rPr>
      </w:pPr>
      <w:r>
        <w:rPr>
          <w:rFonts w:hint="eastAsia" w:ascii="宋体" w:hAnsi="宋体"/>
        </w:rPr>
        <w:t>（</w:t>
      </w:r>
      <w:r>
        <w:rPr>
          <w:rFonts w:hint="eastAsia"/>
        </w:rPr>
        <w:t>4</w:t>
      </w:r>
      <w:r>
        <w:rPr>
          <w:rFonts w:ascii="宋体" w:hAnsi="宋体"/>
        </w:rPr>
        <w:t>）</w:t>
      </w:r>
      <w:r>
        <w:rPr>
          <w:rFonts w:hint="eastAsia" w:ascii="宋体" w:hAnsi="宋体"/>
        </w:rPr>
        <w:t>污染物浓度随时间变化过程显示，非正常工况下污染物运移速度总体较慢，污染物运移范围不大，且污染物运移过程中不断稀释。污染物运移范围主要是场地水文地质条件决定，模拟区为独立水文地质单位，项目所在地含水层水力坡度相对较小，地下水径流较缓慢，污染物运移扩散范围有限。</w:t>
      </w:r>
    </w:p>
    <w:p w14:paraId="7F90F6AC">
      <w:pPr>
        <w:ind w:firstLine="480"/>
        <w:rPr>
          <w:rFonts w:eastAsia="黑体"/>
          <w:sz w:val="32"/>
          <w:szCs w:val="32"/>
        </w:rPr>
        <w:sectPr>
          <w:pgSz w:w="11907" w:h="16840"/>
          <w:pgMar w:top="1440" w:right="1440" w:bottom="1440" w:left="1440" w:header="851" w:footer="992" w:gutter="0"/>
          <w:cols w:space="720" w:num="1"/>
          <w:docGrid w:type="lines" w:linePitch="326" w:charSpace="0"/>
        </w:sectPr>
      </w:pPr>
      <w:r>
        <w:rPr>
          <w:rFonts w:hint="eastAsia"/>
        </w:rPr>
        <w:t>（5</w:t>
      </w:r>
      <w:r>
        <w:t>）</w:t>
      </w:r>
      <w:r>
        <w:rPr>
          <w:rFonts w:hint="eastAsia"/>
        </w:rPr>
        <w:t>为防止非正常工况的发生，必须严格实施各项地下水防渗措施，提高防渗标准，减小事故发生的概率以及污染物入渗强度；同时结合地下水环境监测措施，一旦事故发生，能及时发现；启动应急响应，分析事故发展趋势，及时切断污染源，并将监测井转化为抽水井，实施水力截获，将污染物控制在较小范围，在采取上述措施后，扩建项目对地下水环境影响可控。</w:t>
      </w:r>
    </w:p>
    <w:p w14:paraId="77541613">
      <w:pPr>
        <w:pStyle w:val="4065"/>
      </w:pPr>
      <w:bookmarkStart w:id="322" w:name="_Toc87977853"/>
      <w:bookmarkEnd w:id="322"/>
      <w:bookmarkStart w:id="323" w:name="_Toc108662671"/>
      <w:r>
        <w:rPr>
          <w:rFonts w:hint="eastAsia"/>
        </w:rPr>
        <w:t>5.6环境风险分析与评价</w:t>
      </w:r>
      <w:bookmarkEnd w:id="323"/>
    </w:p>
    <w:p w14:paraId="46DF6332">
      <w:pPr>
        <w:pStyle w:val="4068"/>
      </w:pPr>
      <w:bookmarkStart w:id="324" w:name="_Toc100784063"/>
      <w:bookmarkStart w:id="325" w:name="_Toc108662672"/>
      <w:bookmarkStart w:id="326" w:name="_Toc101135895"/>
      <w:r>
        <w:rPr>
          <w:rFonts w:hint="eastAsia"/>
          <w:szCs w:val="28"/>
        </w:rPr>
        <w:t>5.6.1</w:t>
      </w:r>
      <w:r>
        <w:t>现有项目风险回顾</w:t>
      </w:r>
      <w:bookmarkEnd w:id="324"/>
      <w:bookmarkEnd w:id="325"/>
      <w:bookmarkEnd w:id="326"/>
      <w:r>
        <w:rPr>
          <w:rFonts w:hint="eastAsia"/>
        </w:rPr>
        <w:t>与同期拟建项目风险分析</w:t>
      </w:r>
    </w:p>
    <w:p w14:paraId="1A4EF62D">
      <w:pPr>
        <w:pStyle w:val="349"/>
      </w:pPr>
      <w:r>
        <w:rPr>
          <w:rFonts w:hint="eastAsia"/>
        </w:rPr>
        <w:t>5.6.1.1</w:t>
      </w:r>
      <w:r>
        <w:t>现有项目风险物质识别</w:t>
      </w:r>
    </w:p>
    <w:p w14:paraId="048F5FB3">
      <w:pPr>
        <w:ind w:firstLine="480"/>
        <w:rPr>
          <w:rFonts w:cs="Times New Roman"/>
          <w:color w:val="000000"/>
        </w:rPr>
      </w:pPr>
      <w:r>
        <w:rPr>
          <w:rFonts w:cs="Times New Roman"/>
          <w:color w:val="000000"/>
        </w:rPr>
        <w:t>（1）原辅材料、产品统计</w:t>
      </w:r>
    </w:p>
    <w:p w14:paraId="0B56FBDF">
      <w:pPr>
        <w:ind w:firstLine="480"/>
        <w:rPr>
          <w:rFonts w:cs="Times New Roman"/>
          <w:color w:val="000000"/>
        </w:rPr>
      </w:pPr>
      <w:r>
        <w:rPr>
          <w:rFonts w:cs="Times New Roman"/>
          <w:color w:val="000000"/>
        </w:rPr>
        <w:t>现有</w:t>
      </w:r>
      <w:r>
        <w:rPr>
          <w:rFonts w:hint="eastAsia" w:cs="Times New Roman"/>
          <w:color w:val="000000"/>
        </w:rPr>
        <w:t>项目</w:t>
      </w:r>
      <w:r>
        <w:rPr>
          <w:rFonts w:cs="Times New Roman"/>
          <w:color w:val="000000"/>
        </w:rPr>
        <w:t>主要原辅材料、产品情况见表5.6.1-1。</w:t>
      </w:r>
    </w:p>
    <w:p w14:paraId="23094313">
      <w:pPr>
        <w:pStyle w:val="278"/>
      </w:pPr>
      <w:r>
        <w:t>表5.6.1-1  现有</w:t>
      </w:r>
      <w:r>
        <w:rPr>
          <w:rFonts w:hint="eastAsia"/>
        </w:rPr>
        <w:t>项目</w:t>
      </w:r>
      <w:r>
        <w:t>主要原辅材料、产品情况一览表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512"/>
        <w:gridCol w:w="1220"/>
        <w:gridCol w:w="948"/>
        <w:gridCol w:w="1311"/>
        <w:gridCol w:w="815"/>
        <w:gridCol w:w="1043"/>
        <w:gridCol w:w="1740"/>
      </w:tblGrid>
      <w:tr w14:paraId="1E725C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355EF80F">
            <w:pPr>
              <w:pStyle w:val="445"/>
              <w:rPr>
                <w:rFonts w:cs="Times New Roman"/>
                <w:kern w:val="0"/>
                <w:szCs w:val="20"/>
              </w:rPr>
            </w:pPr>
            <w:r>
              <w:rPr>
                <w:rFonts w:cs="Times New Roman"/>
                <w:kern w:val="0"/>
                <w:szCs w:val="20"/>
              </w:rPr>
              <w:t>序号</w:t>
            </w:r>
          </w:p>
        </w:tc>
        <w:tc>
          <w:tcPr>
            <w:tcW w:w="818" w:type="pct"/>
            <w:vAlign w:val="center"/>
          </w:tcPr>
          <w:p w14:paraId="175F2E38">
            <w:pPr>
              <w:pStyle w:val="445"/>
              <w:rPr>
                <w:rFonts w:cs="Times New Roman"/>
                <w:kern w:val="0"/>
                <w:szCs w:val="20"/>
              </w:rPr>
            </w:pPr>
            <w:r>
              <w:rPr>
                <w:rFonts w:cs="Times New Roman"/>
                <w:kern w:val="0"/>
                <w:szCs w:val="20"/>
              </w:rPr>
              <w:t>名称</w:t>
            </w:r>
          </w:p>
        </w:tc>
        <w:tc>
          <w:tcPr>
            <w:tcW w:w="660" w:type="pct"/>
            <w:vAlign w:val="center"/>
          </w:tcPr>
          <w:p w14:paraId="397CDADC">
            <w:pPr>
              <w:pStyle w:val="445"/>
              <w:rPr>
                <w:rFonts w:cs="Times New Roman"/>
                <w:kern w:val="0"/>
                <w:szCs w:val="20"/>
              </w:rPr>
            </w:pPr>
            <w:r>
              <w:rPr>
                <w:rFonts w:cs="Times New Roman"/>
                <w:kern w:val="0"/>
                <w:szCs w:val="20"/>
              </w:rPr>
              <w:t>规格</w:t>
            </w:r>
          </w:p>
        </w:tc>
        <w:tc>
          <w:tcPr>
            <w:tcW w:w="513" w:type="pct"/>
            <w:vAlign w:val="center"/>
          </w:tcPr>
          <w:p w14:paraId="05E4EC76">
            <w:pPr>
              <w:pStyle w:val="445"/>
              <w:rPr>
                <w:rFonts w:cs="Times New Roman"/>
                <w:kern w:val="0"/>
                <w:szCs w:val="20"/>
              </w:rPr>
            </w:pPr>
            <w:r>
              <w:rPr>
                <w:rFonts w:cs="Times New Roman"/>
                <w:kern w:val="0"/>
                <w:szCs w:val="20"/>
              </w:rPr>
              <w:t>性状</w:t>
            </w:r>
          </w:p>
        </w:tc>
        <w:tc>
          <w:tcPr>
            <w:tcW w:w="709" w:type="pct"/>
            <w:vAlign w:val="center"/>
          </w:tcPr>
          <w:p w14:paraId="3A5029BC">
            <w:pPr>
              <w:pStyle w:val="445"/>
              <w:rPr>
                <w:rFonts w:cs="Times New Roman"/>
                <w:kern w:val="0"/>
                <w:szCs w:val="20"/>
              </w:rPr>
            </w:pPr>
            <w:r>
              <w:rPr>
                <w:rFonts w:cs="Times New Roman"/>
                <w:kern w:val="0"/>
                <w:szCs w:val="20"/>
              </w:rPr>
              <w:t>年用（产）量（t/a）</w:t>
            </w:r>
          </w:p>
        </w:tc>
        <w:tc>
          <w:tcPr>
            <w:tcW w:w="441" w:type="pct"/>
            <w:vAlign w:val="center"/>
          </w:tcPr>
          <w:p w14:paraId="305DD3FC">
            <w:pPr>
              <w:pStyle w:val="445"/>
              <w:rPr>
                <w:rFonts w:cs="Times New Roman"/>
                <w:kern w:val="0"/>
                <w:szCs w:val="20"/>
              </w:rPr>
            </w:pPr>
            <w:r>
              <w:rPr>
                <w:rFonts w:cs="Times New Roman"/>
                <w:kern w:val="0"/>
                <w:szCs w:val="20"/>
              </w:rPr>
              <w:t>最大储存量（t）</w:t>
            </w:r>
          </w:p>
        </w:tc>
        <w:tc>
          <w:tcPr>
            <w:tcW w:w="564" w:type="pct"/>
            <w:vAlign w:val="center"/>
          </w:tcPr>
          <w:p w14:paraId="1A9A375A">
            <w:pPr>
              <w:pStyle w:val="445"/>
              <w:rPr>
                <w:rFonts w:cs="Times New Roman"/>
                <w:kern w:val="0"/>
                <w:szCs w:val="20"/>
              </w:rPr>
            </w:pPr>
            <w:r>
              <w:rPr>
                <w:rFonts w:cs="Times New Roman"/>
                <w:kern w:val="0"/>
                <w:szCs w:val="20"/>
              </w:rPr>
              <w:t>储存方式</w:t>
            </w:r>
          </w:p>
        </w:tc>
        <w:tc>
          <w:tcPr>
            <w:tcW w:w="941" w:type="pct"/>
            <w:vAlign w:val="center"/>
          </w:tcPr>
          <w:p w14:paraId="294A3224">
            <w:pPr>
              <w:pStyle w:val="445"/>
              <w:rPr>
                <w:rFonts w:cs="Times New Roman"/>
                <w:kern w:val="0"/>
                <w:szCs w:val="20"/>
              </w:rPr>
            </w:pPr>
            <w:r>
              <w:rPr>
                <w:rFonts w:cs="Times New Roman"/>
                <w:kern w:val="0"/>
                <w:szCs w:val="20"/>
              </w:rPr>
              <w:t>储存场所</w:t>
            </w:r>
          </w:p>
        </w:tc>
      </w:tr>
      <w:tr w14:paraId="6E5796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8"/>
            <w:vAlign w:val="center"/>
          </w:tcPr>
          <w:p w14:paraId="24586641">
            <w:pPr>
              <w:pStyle w:val="445"/>
              <w:rPr>
                <w:rFonts w:cs="Times New Roman"/>
                <w:kern w:val="0"/>
                <w:szCs w:val="20"/>
              </w:rPr>
            </w:pPr>
            <w:r>
              <w:rPr>
                <w:rFonts w:cs="Times New Roman"/>
                <w:kern w:val="0"/>
                <w:szCs w:val="20"/>
              </w:rPr>
              <w:t>原料</w:t>
            </w:r>
          </w:p>
        </w:tc>
      </w:tr>
      <w:tr w14:paraId="54B96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312E7EF0">
            <w:pPr>
              <w:pStyle w:val="445"/>
              <w:rPr>
                <w:rFonts w:cs="Times New Roman"/>
                <w:kern w:val="0"/>
                <w:szCs w:val="20"/>
              </w:rPr>
            </w:pPr>
            <w:r>
              <w:rPr>
                <w:rFonts w:cs="Times New Roman"/>
                <w:kern w:val="0"/>
                <w:szCs w:val="20"/>
              </w:rPr>
              <w:t>1</w:t>
            </w:r>
          </w:p>
        </w:tc>
        <w:tc>
          <w:tcPr>
            <w:tcW w:w="818" w:type="pct"/>
            <w:vAlign w:val="center"/>
          </w:tcPr>
          <w:p w14:paraId="5FC88B09">
            <w:pPr>
              <w:pStyle w:val="445"/>
              <w:rPr>
                <w:rFonts w:cs="Times New Roman"/>
                <w:kern w:val="0"/>
                <w:szCs w:val="20"/>
              </w:rPr>
            </w:pPr>
            <w:r>
              <w:rPr>
                <w:rFonts w:cs="Times New Roman"/>
                <w:kern w:val="0"/>
                <w:szCs w:val="20"/>
              </w:rPr>
              <w:t>四氯化钛</w:t>
            </w:r>
          </w:p>
        </w:tc>
        <w:tc>
          <w:tcPr>
            <w:tcW w:w="660" w:type="pct"/>
            <w:vAlign w:val="center"/>
          </w:tcPr>
          <w:p w14:paraId="2B8ACDE9">
            <w:pPr>
              <w:pStyle w:val="445"/>
              <w:rPr>
                <w:rFonts w:cs="Times New Roman"/>
                <w:kern w:val="0"/>
                <w:szCs w:val="20"/>
              </w:rPr>
            </w:pPr>
            <w:r>
              <w:rPr>
                <w:rFonts w:cs="Times New Roman"/>
                <w:kern w:val="0"/>
                <w:szCs w:val="20"/>
              </w:rPr>
              <w:t>99.9%</w:t>
            </w:r>
          </w:p>
        </w:tc>
        <w:tc>
          <w:tcPr>
            <w:tcW w:w="513" w:type="pct"/>
            <w:vAlign w:val="center"/>
          </w:tcPr>
          <w:p w14:paraId="070A1DDE">
            <w:pPr>
              <w:pStyle w:val="445"/>
              <w:rPr>
                <w:rFonts w:cs="Times New Roman"/>
                <w:kern w:val="0"/>
                <w:szCs w:val="20"/>
              </w:rPr>
            </w:pPr>
            <w:r>
              <w:rPr>
                <w:rFonts w:hint="eastAsia" w:cs="Times New Roman"/>
                <w:kern w:val="0"/>
                <w:szCs w:val="20"/>
              </w:rPr>
              <w:t>液</w:t>
            </w:r>
          </w:p>
        </w:tc>
        <w:tc>
          <w:tcPr>
            <w:tcW w:w="709" w:type="pct"/>
            <w:vAlign w:val="center"/>
          </w:tcPr>
          <w:p w14:paraId="2A28864C">
            <w:pPr>
              <w:pStyle w:val="445"/>
              <w:rPr>
                <w:rFonts w:cs="Times New Roman"/>
                <w:kern w:val="0"/>
                <w:sz w:val="24"/>
                <w:szCs w:val="20"/>
              </w:rPr>
            </w:pPr>
            <w:r>
              <w:rPr>
                <w:rFonts w:cs="Times New Roman"/>
                <w:kern w:val="0"/>
                <w:szCs w:val="20"/>
              </w:rPr>
              <w:t>1630</w:t>
            </w:r>
          </w:p>
        </w:tc>
        <w:tc>
          <w:tcPr>
            <w:tcW w:w="441" w:type="pct"/>
            <w:vAlign w:val="center"/>
          </w:tcPr>
          <w:p w14:paraId="6FB4D15F">
            <w:pPr>
              <w:pStyle w:val="445"/>
              <w:rPr>
                <w:rFonts w:cs="Times New Roman"/>
                <w:kern w:val="0"/>
                <w:szCs w:val="20"/>
              </w:rPr>
            </w:pPr>
            <w:r>
              <w:rPr>
                <w:rFonts w:cs="Times New Roman"/>
                <w:kern w:val="0"/>
                <w:szCs w:val="20"/>
              </w:rPr>
              <w:t>60</w:t>
            </w:r>
          </w:p>
        </w:tc>
        <w:tc>
          <w:tcPr>
            <w:tcW w:w="564" w:type="pct"/>
            <w:vAlign w:val="center"/>
          </w:tcPr>
          <w:p w14:paraId="06D11975">
            <w:pPr>
              <w:pStyle w:val="445"/>
              <w:rPr>
                <w:rFonts w:cs="Times New Roman"/>
                <w:kern w:val="0"/>
                <w:szCs w:val="20"/>
              </w:rPr>
            </w:pPr>
            <w:r>
              <w:rPr>
                <w:rFonts w:cs="Times New Roman"/>
                <w:kern w:val="0"/>
                <w:szCs w:val="20"/>
              </w:rPr>
              <w:t>储罐</w:t>
            </w:r>
          </w:p>
        </w:tc>
        <w:tc>
          <w:tcPr>
            <w:tcW w:w="941" w:type="pct"/>
            <w:vMerge w:val="restart"/>
            <w:vAlign w:val="center"/>
          </w:tcPr>
          <w:p w14:paraId="1ECA5F5E">
            <w:pPr>
              <w:pStyle w:val="445"/>
              <w:rPr>
                <w:rFonts w:cs="Times New Roman"/>
                <w:kern w:val="0"/>
                <w:szCs w:val="20"/>
              </w:rPr>
            </w:pPr>
            <w:r>
              <w:rPr>
                <w:rFonts w:hint="eastAsia" w:cs="Times New Roman"/>
                <w:kern w:val="0"/>
                <w:szCs w:val="20"/>
              </w:rPr>
              <w:t>罐区</w:t>
            </w:r>
          </w:p>
        </w:tc>
      </w:tr>
      <w:tr w14:paraId="1AD75D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46BF85E7">
            <w:pPr>
              <w:pStyle w:val="445"/>
              <w:rPr>
                <w:rFonts w:cs="Times New Roman"/>
                <w:kern w:val="0"/>
                <w:szCs w:val="20"/>
              </w:rPr>
            </w:pPr>
            <w:r>
              <w:rPr>
                <w:rFonts w:cs="Times New Roman"/>
                <w:kern w:val="0"/>
                <w:szCs w:val="20"/>
              </w:rPr>
              <w:t>2</w:t>
            </w:r>
          </w:p>
        </w:tc>
        <w:tc>
          <w:tcPr>
            <w:tcW w:w="818" w:type="pct"/>
            <w:vAlign w:val="center"/>
          </w:tcPr>
          <w:p w14:paraId="3C80B953">
            <w:pPr>
              <w:pStyle w:val="445"/>
              <w:rPr>
                <w:rFonts w:cs="Times New Roman"/>
                <w:kern w:val="0"/>
                <w:szCs w:val="20"/>
              </w:rPr>
            </w:pPr>
            <w:r>
              <w:rPr>
                <w:rFonts w:cs="Times New Roman"/>
                <w:kern w:val="0"/>
                <w:szCs w:val="20"/>
              </w:rPr>
              <w:t>氨水</w:t>
            </w:r>
          </w:p>
        </w:tc>
        <w:tc>
          <w:tcPr>
            <w:tcW w:w="660" w:type="pct"/>
            <w:vAlign w:val="center"/>
          </w:tcPr>
          <w:p w14:paraId="315266CA">
            <w:pPr>
              <w:pStyle w:val="445"/>
              <w:rPr>
                <w:rFonts w:cs="Times New Roman"/>
                <w:kern w:val="0"/>
                <w:szCs w:val="20"/>
              </w:rPr>
            </w:pPr>
            <w:r>
              <w:rPr>
                <w:rFonts w:cs="Times New Roman"/>
                <w:kern w:val="0"/>
                <w:szCs w:val="20"/>
              </w:rPr>
              <w:t>20%</w:t>
            </w:r>
          </w:p>
        </w:tc>
        <w:tc>
          <w:tcPr>
            <w:tcW w:w="513" w:type="pct"/>
            <w:vAlign w:val="center"/>
          </w:tcPr>
          <w:p w14:paraId="413E31B8">
            <w:pPr>
              <w:pStyle w:val="445"/>
              <w:rPr>
                <w:rFonts w:cs="Times New Roman"/>
                <w:kern w:val="0"/>
                <w:szCs w:val="20"/>
              </w:rPr>
            </w:pPr>
            <w:r>
              <w:rPr>
                <w:rFonts w:cs="Times New Roman"/>
                <w:kern w:val="0"/>
                <w:szCs w:val="20"/>
              </w:rPr>
              <w:t>液</w:t>
            </w:r>
          </w:p>
        </w:tc>
        <w:tc>
          <w:tcPr>
            <w:tcW w:w="709" w:type="pct"/>
            <w:vAlign w:val="center"/>
          </w:tcPr>
          <w:p w14:paraId="0A062D9F">
            <w:pPr>
              <w:pStyle w:val="445"/>
              <w:rPr>
                <w:rFonts w:cs="Times New Roman"/>
                <w:kern w:val="0"/>
                <w:szCs w:val="20"/>
              </w:rPr>
            </w:pPr>
            <w:r>
              <w:rPr>
                <w:rFonts w:cs="Times New Roman"/>
                <w:kern w:val="0"/>
                <w:szCs w:val="20"/>
              </w:rPr>
              <w:t>3000</w:t>
            </w:r>
          </w:p>
        </w:tc>
        <w:tc>
          <w:tcPr>
            <w:tcW w:w="441" w:type="pct"/>
            <w:vAlign w:val="center"/>
          </w:tcPr>
          <w:p w14:paraId="2A10F512">
            <w:pPr>
              <w:pStyle w:val="445"/>
              <w:rPr>
                <w:rFonts w:cs="Times New Roman"/>
                <w:kern w:val="0"/>
                <w:szCs w:val="20"/>
              </w:rPr>
            </w:pPr>
            <w:r>
              <w:rPr>
                <w:rFonts w:cs="Times New Roman"/>
                <w:kern w:val="0"/>
                <w:szCs w:val="20"/>
              </w:rPr>
              <w:t>18</w:t>
            </w:r>
          </w:p>
        </w:tc>
        <w:tc>
          <w:tcPr>
            <w:tcW w:w="564" w:type="pct"/>
            <w:vAlign w:val="center"/>
          </w:tcPr>
          <w:p w14:paraId="679671E1">
            <w:pPr>
              <w:pStyle w:val="445"/>
              <w:rPr>
                <w:rFonts w:cs="Times New Roman"/>
                <w:kern w:val="0"/>
                <w:szCs w:val="20"/>
              </w:rPr>
            </w:pPr>
            <w:r>
              <w:rPr>
                <w:rFonts w:cs="Times New Roman"/>
                <w:kern w:val="0"/>
                <w:szCs w:val="20"/>
              </w:rPr>
              <w:t>储罐</w:t>
            </w:r>
          </w:p>
        </w:tc>
        <w:tc>
          <w:tcPr>
            <w:tcW w:w="941" w:type="pct"/>
            <w:vMerge w:val="continue"/>
            <w:vAlign w:val="center"/>
          </w:tcPr>
          <w:p w14:paraId="119BA360">
            <w:pPr>
              <w:pStyle w:val="445"/>
              <w:rPr>
                <w:rFonts w:cs="Times New Roman"/>
                <w:kern w:val="0"/>
                <w:szCs w:val="20"/>
              </w:rPr>
            </w:pPr>
          </w:p>
        </w:tc>
      </w:tr>
      <w:tr w14:paraId="38344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75FE6672">
            <w:pPr>
              <w:pStyle w:val="445"/>
              <w:rPr>
                <w:rFonts w:cs="Times New Roman"/>
                <w:kern w:val="0"/>
                <w:szCs w:val="20"/>
              </w:rPr>
            </w:pPr>
            <w:r>
              <w:rPr>
                <w:rFonts w:cs="Times New Roman"/>
                <w:kern w:val="0"/>
                <w:szCs w:val="20"/>
              </w:rPr>
              <w:t>3</w:t>
            </w:r>
          </w:p>
        </w:tc>
        <w:tc>
          <w:tcPr>
            <w:tcW w:w="818" w:type="pct"/>
            <w:vAlign w:val="center"/>
          </w:tcPr>
          <w:p w14:paraId="3BAD25A4">
            <w:pPr>
              <w:pStyle w:val="445"/>
              <w:rPr>
                <w:rFonts w:cs="Times New Roman"/>
                <w:kern w:val="0"/>
                <w:szCs w:val="20"/>
              </w:rPr>
            </w:pPr>
            <w:r>
              <w:rPr>
                <w:rFonts w:cs="Times New Roman"/>
                <w:kern w:val="0"/>
                <w:szCs w:val="20"/>
              </w:rPr>
              <w:t>硫酸</w:t>
            </w:r>
          </w:p>
        </w:tc>
        <w:tc>
          <w:tcPr>
            <w:tcW w:w="660" w:type="pct"/>
            <w:vAlign w:val="center"/>
          </w:tcPr>
          <w:p w14:paraId="7C89D2BA">
            <w:pPr>
              <w:pStyle w:val="445"/>
              <w:rPr>
                <w:rFonts w:cs="Times New Roman"/>
                <w:kern w:val="0"/>
                <w:szCs w:val="20"/>
              </w:rPr>
            </w:pPr>
            <w:r>
              <w:rPr>
                <w:rFonts w:hint="eastAsia" w:cs="Times New Roman"/>
                <w:kern w:val="0"/>
                <w:szCs w:val="20"/>
              </w:rPr>
              <w:t>98</w:t>
            </w:r>
            <w:r>
              <w:rPr>
                <w:rFonts w:cs="Times New Roman"/>
                <w:kern w:val="0"/>
                <w:szCs w:val="20"/>
              </w:rPr>
              <w:t>%</w:t>
            </w:r>
          </w:p>
        </w:tc>
        <w:tc>
          <w:tcPr>
            <w:tcW w:w="513" w:type="pct"/>
            <w:vAlign w:val="center"/>
          </w:tcPr>
          <w:p w14:paraId="4E6614B8">
            <w:pPr>
              <w:pStyle w:val="445"/>
              <w:rPr>
                <w:rFonts w:cs="Times New Roman"/>
                <w:kern w:val="0"/>
                <w:szCs w:val="20"/>
              </w:rPr>
            </w:pPr>
            <w:r>
              <w:rPr>
                <w:rFonts w:hint="eastAsia" w:cs="Times New Roman"/>
                <w:kern w:val="0"/>
                <w:szCs w:val="20"/>
              </w:rPr>
              <w:t>液</w:t>
            </w:r>
          </w:p>
        </w:tc>
        <w:tc>
          <w:tcPr>
            <w:tcW w:w="709" w:type="pct"/>
            <w:vAlign w:val="center"/>
          </w:tcPr>
          <w:p w14:paraId="3D35A718">
            <w:pPr>
              <w:pStyle w:val="445"/>
              <w:rPr>
                <w:rFonts w:cs="Times New Roman"/>
                <w:kern w:val="0"/>
                <w:szCs w:val="20"/>
              </w:rPr>
            </w:pPr>
            <w:r>
              <w:rPr>
                <w:rFonts w:hint="eastAsia" w:cs="Times New Roman"/>
                <w:kern w:val="0"/>
                <w:szCs w:val="20"/>
              </w:rPr>
              <w:t>32</w:t>
            </w:r>
          </w:p>
        </w:tc>
        <w:tc>
          <w:tcPr>
            <w:tcW w:w="441" w:type="pct"/>
            <w:vAlign w:val="center"/>
          </w:tcPr>
          <w:p w14:paraId="4E580BCD">
            <w:pPr>
              <w:pStyle w:val="445"/>
              <w:rPr>
                <w:rFonts w:cs="Times New Roman"/>
                <w:kern w:val="0"/>
                <w:szCs w:val="20"/>
              </w:rPr>
            </w:pPr>
            <w:r>
              <w:rPr>
                <w:rFonts w:hint="eastAsia" w:cs="Times New Roman"/>
                <w:kern w:val="0"/>
                <w:szCs w:val="20"/>
              </w:rPr>
              <w:t>1</w:t>
            </w:r>
          </w:p>
        </w:tc>
        <w:tc>
          <w:tcPr>
            <w:tcW w:w="564" w:type="pct"/>
            <w:vAlign w:val="center"/>
          </w:tcPr>
          <w:p w14:paraId="22C98746">
            <w:pPr>
              <w:pStyle w:val="445"/>
              <w:rPr>
                <w:rFonts w:cs="Times New Roman"/>
                <w:kern w:val="0"/>
                <w:szCs w:val="20"/>
              </w:rPr>
            </w:pPr>
            <w:r>
              <w:rPr>
                <w:rFonts w:cs="Times New Roman"/>
                <w:kern w:val="0"/>
                <w:szCs w:val="20"/>
              </w:rPr>
              <w:t>储罐</w:t>
            </w:r>
          </w:p>
        </w:tc>
        <w:tc>
          <w:tcPr>
            <w:tcW w:w="941" w:type="pct"/>
            <w:vMerge w:val="continue"/>
            <w:vAlign w:val="center"/>
          </w:tcPr>
          <w:p w14:paraId="28574D11">
            <w:pPr>
              <w:pStyle w:val="445"/>
              <w:rPr>
                <w:rFonts w:cs="Times New Roman"/>
                <w:kern w:val="0"/>
                <w:szCs w:val="20"/>
              </w:rPr>
            </w:pPr>
          </w:p>
        </w:tc>
      </w:tr>
      <w:tr w14:paraId="5CBD4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77320E33">
            <w:pPr>
              <w:pStyle w:val="445"/>
              <w:rPr>
                <w:rFonts w:cs="Times New Roman"/>
                <w:kern w:val="0"/>
                <w:szCs w:val="20"/>
              </w:rPr>
            </w:pPr>
            <w:r>
              <w:rPr>
                <w:rFonts w:hint="eastAsia" w:cs="Times New Roman"/>
                <w:kern w:val="0"/>
                <w:szCs w:val="20"/>
              </w:rPr>
              <w:t>4</w:t>
            </w:r>
          </w:p>
        </w:tc>
        <w:tc>
          <w:tcPr>
            <w:tcW w:w="818" w:type="pct"/>
            <w:vAlign w:val="center"/>
          </w:tcPr>
          <w:p w14:paraId="5657C226">
            <w:pPr>
              <w:pStyle w:val="445"/>
              <w:rPr>
                <w:rFonts w:cs="Times New Roman"/>
                <w:kern w:val="0"/>
                <w:szCs w:val="20"/>
              </w:rPr>
            </w:pPr>
            <w:r>
              <w:rPr>
                <w:rFonts w:hint="eastAsia" w:cs="Times New Roman"/>
                <w:kern w:val="0"/>
                <w:szCs w:val="20"/>
              </w:rPr>
              <w:t>氢氧化钡</w:t>
            </w:r>
          </w:p>
        </w:tc>
        <w:tc>
          <w:tcPr>
            <w:tcW w:w="660" w:type="pct"/>
            <w:vAlign w:val="center"/>
          </w:tcPr>
          <w:p w14:paraId="7FBFFCF3">
            <w:pPr>
              <w:pStyle w:val="445"/>
              <w:rPr>
                <w:rFonts w:cs="Times New Roman"/>
                <w:kern w:val="0"/>
                <w:szCs w:val="20"/>
              </w:rPr>
            </w:pPr>
            <w:r>
              <w:rPr>
                <w:rFonts w:hint="eastAsia" w:cs="Times New Roman"/>
                <w:kern w:val="0"/>
                <w:szCs w:val="20"/>
              </w:rPr>
              <w:t>99</w:t>
            </w:r>
            <w:r>
              <w:rPr>
                <w:rFonts w:cs="Times New Roman"/>
                <w:kern w:val="0"/>
                <w:szCs w:val="20"/>
              </w:rPr>
              <w:t>%</w:t>
            </w:r>
          </w:p>
        </w:tc>
        <w:tc>
          <w:tcPr>
            <w:tcW w:w="513" w:type="pct"/>
            <w:vAlign w:val="center"/>
          </w:tcPr>
          <w:p w14:paraId="0357EB9E">
            <w:pPr>
              <w:pStyle w:val="445"/>
              <w:rPr>
                <w:rFonts w:cs="Times New Roman"/>
                <w:kern w:val="0"/>
                <w:szCs w:val="20"/>
              </w:rPr>
            </w:pPr>
            <w:r>
              <w:rPr>
                <w:rFonts w:hint="eastAsia" w:cs="Times New Roman"/>
                <w:kern w:val="0"/>
                <w:szCs w:val="20"/>
              </w:rPr>
              <w:t>固</w:t>
            </w:r>
          </w:p>
        </w:tc>
        <w:tc>
          <w:tcPr>
            <w:tcW w:w="709" w:type="pct"/>
            <w:vAlign w:val="center"/>
          </w:tcPr>
          <w:p w14:paraId="5EF6D142">
            <w:pPr>
              <w:pStyle w:val="445"/>
              <w:rPr>
                <w:rFonts w:cs="Times New Roman"/>
                <w:kern w:val="0"/>
                <w:szCs w:val="20"/>
              </w:rPr>
            </w:pPr>
            <w:r>
              <w:rPr>
                <w:rFonts w:hint="eastAsia" w:cs="Times New Roman"/>
                <w:kern w:val="0"/>
                <w:szCs w:val="20"/>
              </w:rPr>
              <w:t>2730</w:t>
            </w:r>
          </w:p>
        </w:tc>
        <w:tc>
          <w:tcPr>
            <w:tcW w:w="441" w:type="pct"/>
            <w:vAlign w:val="center"/>
          </w:tcPr>
          <w:p w14:paraId="3DC6A80B">
            <w:pPr>
              <w:pStyle w:val="445"/>
              <w:rPr>
                <w:rFonts w:cs="Times New Roman"/>
                <w:kern w:val="0"/>
                <w:szCs w:val="20"/>
              </w:rPr>
            </w:pPr>
            <w:r>
              <w:rPr>
                <w:rFonts w:hint="eastAsia" w:cs="Times New Roman"/>
                <w:kern w:val="0"/>
                <w:szCs w:val="20"/>
              </w:rPr>
              <w:t>/</w:t>
            </w:r>
          </w:p>
        </w:tc>
        <w:tc>
          <w:tcPr>
            <w:tcW w:w="564" w:type="pct"/>
            <w:vAlign w:val="center"/>
          </w:tcPr>
          <w:p w14:paraId="09298A63">
            <w:pPr>
              <w:pStyle w:val="445"/>
              <w:rPr>
                <w:rFonts w:cs="Times New Roman"/>
                <w:kern w:val="0"/>
                <w:szCs w:val="20"/>
              </w:rPr>
            </w:pPr>
            <w:r>
              <w:rPr>
                <w:rFonts w:hint="eastAsia" w:cs="Times New Roman"/>
                <w:kern w:val="0"/>
                <w:szCs w:val="20"/>
              </w:rPr>
              <w:t>袋装</w:t>
            </w:r>
          </w:p>
        </w:tc>
        <w:tc>
          <w:tcPr>
            <w:tcW w:w="941" w:type="pct"/>
            <w:vAlign w:val="center"/>
          </w:tcPr>
          <w:p w14:paraId="19AEAA05">
            <w:pPr>
              <w:pStyle w:val="445"/>
              <w:rPr>
                <w:rFonts w:cs="Times New Roman"/>
                <w:kern w:val="0"/>
                <w:szCs w:val="20"/>
              </w:rPr>
            </w:pPr>
            <w:r>
              <w:rPr>
                <w:rFonts w:hint="eastAsia" w:cs="Times New Roman"/>
                <w:kern w:val="0"/>
                <w:szCs w:val="20"/>
              </w:rPr>
              <w:t>原料</w:t>
            </w:r>
            <w:r>
              <w:rPr>
                <w:rFonts w:cs="Times New Roman"/>
                <w:kern w:val="0"/>
                <w:szCs w:val="20"/>
              </w:rPr>
              <w:t>仓库</w:t>
            </w:r>
          </w:p>
        </w:tc>
      </w:tr>
      <w:tr w14:paraId="392B01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8"/>
            <w:vAlign w:val="center"/>
          </w:tcPr>
          <w:p w14:paraId="531DCC14">
            <w:pPr>
              <w:pStyle w:val="445"/>
              <w:rPr>
                <w:rFonts w:cs="Times New Roman"/>
                <w:kern w:val="0"/>
                <w:szCs w:val="20"/>
              </w:rPr>
            </w:pPr>
            <w:r>
              <w:rPr>
                <w:rFonts w:hint="eastAsia" w:cs="Times New Roman"/>
                <w:kern w:val="0"/>
                <w:szCs w:val="20"/>
              </w:rPr>
              <w:t>副</w:t>
            </w:r>
            <w:r>
              <w:rPr>
                <w:rFonts w:cs="Times New Roman"/>
                <w:kern w:val="0"/>
                <w:szCs w:val="20"/>
              </w:rPr>
              <w:t>产品</w:t>
            </w:r>
          </w:p>
        </w:tc>
      </w:tr>
      <w:tr w14:paraId="7240A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41E42924">
            <w:pPr>
              <w:pStyle w:val="445"/>
              <w:rPr>
                <w:rFonts w:cs="Times New Roman"/>
                <w:kern w:val="0"/>
                <w:szCs w:val="20"/>
              </w:rPr>
            </w:pPr>
            <w:r>
              <w:rPr>
                <w:rFonts w:cs="Times New Roman"/>
                <w:kern w:val="0"/>
                <w:szCs w:val="20"/>
              </w:rPr>
              <w:t>5</w:t>
            </w:r>
          </w:p>
        </w:tc>
        <w:tc>
          <w:tcPr>
            <w:tcW w:w="818" w:type="pct"/>
            <w:vAlign w:val="center"/>
          </w:tcPr>
          <w:p w14:paraId="690B2E08">
            <w:pPr>
              <w:pStyle w:val="445"/>
              <w:rPr>
                <w:rFonts w:cs="Times New Roman"/>
                <w:kern w:val="0"/>
                <w:szCs w:val="20"/>
              </w:rPr>
            </w:pPr>
            <w:r>
              <w:rPr>
                <w:rFonts w:hint="eastAsia" w:cs="Times New Roman"/>
                <w:kern w:val="0"/>
                <w:szCs w:val="20"/>
              </w:rPr>
              <w:t>硫酸铵</w:t>
            </w:r>
          </w:p>
        </w:tc>
        <w:tc>
          <w:tcPr>
            <w:tcW w:w="660" w:type="pct"/>
            <w:vAlign w:val="center"/>
          </w:tcPr>
          <w:p w14:paraId="6CF1CE95">
            <w:pPr>
              <w:pStyle w:val="445"/>
              <w:rPr>
                <w:rFonts w:cs="Times New Roman"/>
                <w:kern w:val="0"/>
                <w:szCs w:val="20"/>
              </w:rPr>
            </w:pPr>
            <w:r>
              <w:rPr>
                <w:rFonts w:cs="Times New Roman"/>
                <w:kern w:val="0"/>
                <w:szCs w:val="20"/>
              </w:rPr>
              <w:t>30%</w:t>
            </w:r>
          </w:p>
        </w:tc>
        <w:tc>
          <w:tcPr>
            <w:tcW w:w="513" w:type="pct"/>
            <w:vAlign w:val="center"/>
          </w:tcPr>
          <w:p w14:paraId="138F16A1">
            <w:pPr>
              <w:pStyle w:val="445"/>
              <w:rPr>
                <w:rFonts w:cs="Times New Roman"/>
                <w:kern w:val="0"/>
                <w:szCs w:val="20"/>
              </w:rPr>
            </w:pPr>
            <w:r>
              <w:rPr>
                <w:rFonts w:cs="Times New Roman"/>
                <w:kern w:val="0"/>
                <w:szCs w:val="20"/>
              </w:rPr>
              <w:t>液</w:t>
            </w:r>
          </w:p>
        </w:tc>
        <w:tc>
          <w:tcPr>
            <w:tcW w:w="709" w:type="pct"/>
            <w:vAlign w:val="center"/>
          </w:tcPr>
          <w:p w14:paraId="7363D290">
            <w:pPr>
              <w:pStyle w:val="445"/>
              <w:rPr>
                <w:rFonts w:cs="Times New Roman"/>
                <w:kern w:val="0"/>
                <w:szCs w:val="20"/>
              </w:rPr>
            </w:pPr>
            <w:r>
              <w:rPr>
                <w:rFonts w:cs="Times New Roman"/>
                <w:kern w:val="0"/>
                <w:szCs w:val="20"/>
              </w:rPr>
              <w:t>294.32</w:t>
            </w:r>
          </w:p>
        </w:tc>
        <w:tc>
          <w:tcPr>
            <w:tcW w:w="441" w:type="pct"/>
            <w:vAlign w:val="center"/>
          </w:tcPr>
          <w:p w14:paraId="5791C15E">
            <w:pPr>
              <w:pStyle w:val="445"/>
              <w:rPr>
                <w:rFonts w:cs="Times New Roman"/>
                <w:kern w:val="0"/>
                <w:szCs w:val="20"/>
              </w:rPr>
            </w:pPr>
            <w:r>
              <w:rPr>
                <w:rFonts w:cs="Times New Roman"/>
                <w:kern w:val="0"/>
                <w:szCs w:val="20"/>
              </w:rPr>
              <w:t>20</w:t>
            </w:r>
          </w:p>
        </w:tc>
        <w:tc>
          <w:tcPr>
            <w:tcW w:w="564" w:type="pct"/>
            <w:vAlign w:val="center"/>
          </w:tcPr>
          <w:p w14:paraId="0DB41216">
            <w:pPr>
              <w:pStyle w:val="445"/>
              <w:rPr>
                <w:rFonts w:cs="Times New Roman"/>
                <w:kern w:val="0"/>
                <w:szCs w:val="20"/>
              </w:rPr>
            </w:pPr>
            <w:r>
              <w:rPr>
                <w:rFonts w:cs="Times New Roman"/>
                <w:kern w:val="0"/>
                <w:szCs w:val="20"/>
              </w:rPr>
              <w:t>储罐</w:t>
            </w:r>
          </w:p>
        </w:tc>
        <w:tc>
          <w:tcPr>
            <w:tcW w:w="941" w:type="pct"/>
            <w:vAlign w:val="center"/>
          </w:tcPr>
          <w:p w14:paraId="50268ECA">
            <w:pPr>
              <w:pStyle w:val="445"/>
              <w:rPr>
                <w:rFonts w:cs="Times New Roman"/>
                <w:kern w:val="0"/>
                <w:szCs w:val="20"/>
              </w:rPr>
            </w:pPr>
            <w:r>
              <w:rPr>
                <w:rFonts w:hint="eastAsia" w:cs="Times New Roman"/>
                <w:kern w:val="0"/>
                <w:szCs w:val="20"/>
              </w:rPr>
              <w:t>罐区</w:t>
            </w:r>
          </w:p>
        </w:tc>
      </w:tr>
      <w:tr w14:paraId="274BD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8"/>
            <w:vAlign w:val="center"/>
          </w:tcPr>
          <w:p w14:paraId="4960F2B5">
            <w:pPr>
              <w:pStyle w:val="445"/>
              <w:rPr>
                <w:rFonts w:cs="Times New Roman"/>
                <w:kern w:val="0"/>
                <w:szCs w:val="20"/>
              </w:rPr>
            </w:pPr>
            <w:r>
              <w:rPr>
                <w:rFonts w:hint="eastAsia" w:cs="Times New Roman"/>
                <w:kern w:val="0"/>
                <w:szCs w:val="20"/>
              </w:rPr>
              <w:t>产品</w:t>
            </w:r>
          </w:p>
        </w:tc>
      </w:tr>
      <w:tr w14:paraId="442C3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4" w:type="pct"/>
            <w:vAlign w:val="center"/>
          </w:tcPr>
          <w:p w14:paraId="0CD16130">
            <w:pPr>
              <w:pStyle w:val="445"/>
              <w:rPr>
                <w:rFonts w:cs="Times New Roman"/>
                <w:kern w:val="0"/>
                <w:szCs w:val="20"/>
              </w:rPr>
            </w:pPr>
            <w:r>
              <w:rPr>
                <w:rFonts w:hint="eastAsia" w:cs="Times New Roman"/>
                <w:kern w:val="0"/>
                <w:szCs w:val="20"/>
              </w:rPr>
              <w:t>6</w:t>
            </w:r>
          </w:p>
        </w:tc>
        <w:tc>
          <w:tcPr>
            <w:tcW w:w="818" w:type="pct"/>
            <w:vAlign w:val="center"/>
          </w:tcPr>
          <w:p w14:paraId="578A16BF">
            <w:pPr>
              <w:pStyle w:val="445"/>
              <w:rPr>
                <w:rFonts w:cs="Times New Roman"/>
                <w:kern w:val="0"/>
                <w:szCs w:val="20"/>
              </w:rPr>
            </w:pPr>
            <w:r>
              <w:rPr>
                <w:rFonts w:hint="eastAsia" w:cs="Times New Roman"/>
                <w:kern w:val="0"/>
                <w:szCs w:val="20"/>
              </w:rPr>
              <w:t>钛酸钡</w:t>
            </w:r>
          </w:p>
        </w:tc>
        <w:tc>
          <w:tcPr>
            <w:tcW w:w="660" w:type="pct"/>
            <w:vAlign w:val="center"/>
          </w:tcPr>
          <w:p w14:paraId="679792F2">
            <w:pPr>
              <w:pStyle w:val="445"/>
              <w:rPr>
                <w:rFonts w:cs="Times New Roman"/>
                <w:kern w:val="0"/>
                <w:szCs w:val="20"/>
              </w:rPr>
            </w:pPr>
            <w:r>
              <w:rPr>
                <w:rFonts w:hint="eastAsia" w:cs="Times New Roman"/>
                <w:kern w:val="0"/>
                <w:szCs w:val="20"/>
              </w:rPr>
              <w:t>99.9</w:t>
            </w:r>
            <w:r>
              <w:rPr>
                <w:rFonts w:cs="Times New Roman"/>
                <w:kern w:val="0"/>
                <w:szCs w:val="20"/>
              </w:rPr>
              <w:t>%</w:t>
            </w:r>
          </w:p>
        </w:tc>
        <w:tc>
          <w:tcPr>
            <w:tcW w:w="513" w:type="pct"/>
            <w:vAlign w:val="center"/>
          </w:tcPr>
          <w:p w14:paraId="3CED4DE4">
            <w:pPr>
              <w:pStyle w:val="445"/>
              <w:rPr>
                <w:rFonts w:cs="Times New Roman"/>
                <w:kern w:val="0"/>
                <w:szCs w:val="20"/>
              </w:rPr>
            </w:pPr>
            <w:r>
              <w:rPr>
                <w:rFonts w:hint="eastAsia" w:cs="Times New Roman"/>
                <w:kern w:val="0"/>
                <w:szCs w:val="20"/>
              </w:rPr>
              <w:t>固</w:t>
            </w:r>
          </w:p>
        </w:tc>
        <w:tc>
          <w:tcPr>
            <w:tcW w:w="709" w:type="pct"/>
            <w:vAlign w:val="center"/>
          </w:tcPr>
          <w:p w14:paraId="76D206F5">
            <w:pPr>
              <w:pStyle w:val="445"/>
              <w:rPr>
                <w:rFonts w:cs="Times New Roman"/>
                <w:kern w:val="0"/>
                <w:szCs w:val="20"/>
              </w:rPr>
            </w:pPr>
            <w:r>
              <w:rPr>
                <w:rFonts w:hint="eastAsia" w:cs="Times New Roman"/>
                <w:kern w:val="0"/>
                <w:szCs w:val="20"/>
              </w:rPr>
              <w:t>2000</w:t>
            </w:r>
          </w:p>
        </w:tc>
        <w:tc>
          <w:tcPr>
            <w:tcW w:w="441" w:type="pct"/>
            <w:vAlign w:val="center"/>
          </w:tcPr>
          <w:p w14:paraId="7261CAC1">
            <w:pPr>
              <w:pStyle w:val="445"/>
              <w:rPr>
                <w:rFonts w:cs="Times New Roman"/>
                <w:kern w:val="0"/>
                <w:szCs w:val="20"/>
              </w:rPr>
            </w:pPr>
            <w:r>
              <w:rPr>
                <w:rFonts w:hint="eastAsia" w:cs="Times New Roman"/>
                <w:kern w:val="0"/>
                <w:szCs w:val="20"/>
              </w:rPr>
              <w:t>/</w:t>
            </w:r>
          </w:p>
        </w:tc>
        <w:tc>
          <w:tcPr>
            <w:tcW w:w="564" w:type="pct"/>
            <w:vAlign w:val="center"/>
          </w:tcPr>
          <w:p w14:paraId="2CAC41BB">
            <w:pPr>
              <w:pStyle w:val="445"/>
              <w:rPr>
                <w:rFonts w:cs="Times New Roman"/>
                <w:kern w:val="0"/>
                <w:szCs w:val="20"/>
              </w:rPr>
            </w:pPr>
            <w:r>
              <w:rPr>
                <w:rFonts w:hint="eastAsia" w:cs="Times New Roman"/>
                <w:kern w:val="0"/>
                <w:szCs w:val="20"/>
              </w:rPr>
              <w:t>袋装</w:t>
            </w:r>
          </w:p>
        </w:tc>
        <w:tc>
          <w:tcPr>
            <w:tcW w:w="941" w:type="pct"/>
            <w:vAlign w:val="center"/>
          </w:tcPr>
          <w:p w14:paraId="676260E6">
            <w:pPr>
              <w:pStyle w:val="445"/>
              <w:rPr>
                <w:rFonts w:cs="Times New Roman"/>
                <w:kern w:val="0"/>
                <w:szCs w:val="20"/>
              </w:rPr>
            </w:pPr>
            <w:r>
              <w:rPr>
                <w:rFonts w:hint="eastAsia" w:cs="Times New Roman"/>
                <w:kern w:val="0"/>
                <w:szCs w:val="20"/>
              </w:rPr>
              <w:t>成品</w:t>
            </w:r>
            <w:r>
              <w:rPr>
                <w:rFonts w:cs="Times New Roman"/>
                <w:kern w:val="0"/>
                <w:szCs w:val="20"/>
              </w:rPr>
              <w:t>仓库</w:t>
            </w:r>
          </w:p>
        </w:tc>
      </w:tr>
    </w:tbl>
    <w:p w14:paraId="5101F423">
      <w:pPr>
        <w:ind w:firstLine="480"/>
        <w:rPr>
          <w:rFonts w:cs="Times New Roman"/>
          <w:color w:val="000000"/>
        </w:rPr>
      </w:pPr>
      <w:r>
        <w:rPr>
          <w:rFonts w:cs="Times New Roman"/>
          <w:color w:val="000000"/>
        </w:rPr>
        <w:t>现有</w:t>
      </w:r>
      <w:r>
        <w:rPr>
          <w:rFonts w:hint="eastAsia" w:cs="Times New Roman"/>
          <w:color w:val="000000"/>
        </w:rPr>
        <w:t>项目</w:t>
      </w:r>
      <w:r>
        <w:rPr>
          <w:rFonts w:cs="Times New Roman"/>
          <w:color w:val="000000"/>
        </w:rPr>
        <w:t>所涉及主要物质的危险性和毒性见表5.6.1-2。</w:t>
      </w:r>
    </w:p>
    <w:p w14:paraId="52FFD1E8">
      <w:pPr>
        <w:pStyle w:val="278"/>
      </w:pPr>
      <w:r>
        <w:t>表5.6.1-2  物质的危险性和毒性</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488"/>
        <w:gridCol w:w="2346"/>
        <w:gridCol w:w="2442"/>
        <w:gridCol w:w="2466"/>
      </w:tblGrid>
      <w:tr w14:paraId="29BA6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2A0A6729">
            <w:pPr>
              <w:pStyle w:val="445"/>
              <w:rPr>
                <w:rFonts w:cs="Times New Roman"/>
                <w:kern w:val="0"/>
                <w:szCs w:val="20"/>
              </w:rPr>
            </w:pPr>
            <w:r>
              <w:rPr>
                <w:rFonts w:cs="Times New Roman"/>
                <w:kern w:val="0"/>
                <w:szCs w:val="20"/>
              </w:rPr>
              <w:t>序号</w:t>
            </w:r>
          </w:p>
        </w:tc>
        <w:tc>
          <w:tcPr>
            <w:tcW w:w="805" w:type="pct"/>
            <w:vAlign w:val="center"/>
          </w:tcPr>
          <w:p w14:paraId="6C245CEC">
            <w:pPr>
              <w:pStyle w:val="445"/>
              <w:rPr>
                <w:rFonts w:cs="Times New Roman"/>
                <w:kern w:val="0"/>
                <w:szCs w:val="20"/>
              </w:rPr>
            </w:pPr>
            <w:r>
              <w:rPr>
                <w:rFonts w:cs="Times New Roman"/>
                <w:kern w:val="0"/>
                <w:szCs w:val="20"/>
              </w:rPr>
              <w:t>名称</w:t>
            </w:r>
          </w:p>
        </w:tc>
        <w:tc>
          <w:tcPr>
            <w:tcW w:w="1269" w:type="pct"/>
            <w:vAlign w:val="center"/>
          </w:tcPr>
          <w:p w14:paraId="4A0DB016">
            <w:pPr>
              <w:pStyle w:val="445"/>
              <w:rPr>
                <w:rFonts w:cs="Times New Roman"/>
                <w:kern w:val="0"/>
                <w:szCs w:val="20"/>
              </w:rPr>
            </w:pPr>
            <w:r>
              <w:rPr>
                <w:rFonts w:cs="Times New Roman"/>
                <w:kern w:val="0"/>
                <w:szCs w:val="20"/>
              </w:rPr>
              <w:t>理化性质</w:t>
            </w:r>
          </w:p>
        </w:tc>
        <w:tc>
          <w:tcPr>
            <w:tcW w:w="1321" w:type="pct"/>
            <w:vAlign w:val="center"/>
          </w:tcPr>
          <w:p w14:paraId="0A291AA1">
            <w:pPr>
              <w:pStyle w:val="445"/>
              <w:rPr>
                <w:rFonts w:cs="Times New Roman"/>
                <w:kern w:val="0"/>
                <w:szCs w:val="20"/>
              </w:rPr>
            </w:pPr>
            <w:r>
              <w:rPr>
                <w:rFonts w:cs="Times New Roman"/>
                <w:kern w:val="0"/>
                <w:szCs w:val="20"/>
              </w:rPr>
              <w:t>燃烧爆炸性</w:t>
            </w:r>
          </w:p>
        </w:tc>
        <w:tc>
          <w:tcPr>
            <w:tcW w:w="1334" w:type="pct"/>
            <w:vAlign w:val="center"/>
          </w:tcPr>
          <w:p w14:paraId="65EF55C6">
            <w:pPr>
              <w:pStyle w:val="445"/>
              <w:rPr>
                <w:rFonts w:cs="Times New Roman"/>
                <w:kern w:val="0"/>
                <w:szCs w:val="20"/>
              </w:rPr>
            </w:pPr>
            <w:r>
              <w:rPr>
                <w:rFonts w:cs="Times New Roman"/>
                <w:kern w:val="0"/>
                <w:szCs w:val="20"/>
              </w:rPr>
              <w:t>毒性毒理</w:t>
            </w:r>
          </w:p>
        </w:tc>
      </w:tr>
      <w:tr w14:paraId="25F22A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6E47A9F1">
            <w:pPr>
              <w:pStyle w:val="445"/>
              <w:rPr>
                <w:rFonts w:cs="Times New Roman"/>
                <w:kern w:val="0"/>
                <w:szCs w:val="20"/>
              </w:rPr>
            </w:pPr>
            <w:r>
              <w:rPr>
                <w:rFonts w:hint="eastAsia" w:cs="Times New Roman"/>
                <w:kern w:val="0"/>
                <w:szCs w:val="20"/>
              </w:rPr>
              <w:t>1</w:t>
            </w:r>
          </w:p>
        </w:tc>
        <w:tc>
          <w:tcPr>
            <w:tcW w:w="805" w:type="pct"/>
            <w:vAlign w:val="center"/>
          </w:tcPr>
          <w:p w14:paraId="33443A92">
            <w:pPr>
              <w:pStyle w:val="445"/>
              <w:rPr>
                <w:rFonts w:cs="Times New Roman"/>
                <w:kern w:val="0"/>
                <w:szCs w:val="20"/>
              </w:rPr>
            </w:pPr>
            <w:r>
              <w:rPr>
                <w:rFonts w:hint="eastAsia" w:cs="Times New Roman"/>
                <w:kern w:val="0"/>
                <w:szCs w:val="20"/>
              </w:rPr>
              <w:t>四氯化钛</w:t>
            </w:r>
          </w:p>
          <w:p w14:paraId="4E4F7F3B">
            <w:pPr>
              <w:pStyle w:val="445"/>
              <w:rPr>
                <w:rFonts w:cs="Times New Roman"/>
                <w:kern w:val="0"/>
                <w:szCs w:val="20"/>
              </w:rPr>
            </w:pPr>
            <w:r>
              <w:rPr>
                <w:rFonts w:hint="eastAsia" w:cs="Times New Roman"/>
                <w:kern w:val="0"/>
                <w:szCs w:val="20"/>
              </w:rPr>
              <w:t>Ti</w:t>
            </w:r>
            <w:r>
              <w:rPr>
                <w:rFonts w:cs="Times New Roman"/>
                <w:kern w:val="0"/>
                <w:szCs w:val="20"/>
              </w:rPr>
              <w:t>Cl</w:t>
            </w:r>
            <w:r>
              <w:rPr>
                <w:rFonts w:cs="Times New Roman"/>
                <w:kern w:val="0"/>
                <w:szCs w:val="20"/>
                <w:vertAlign w:val="subscript"/>
              </w:rPr>
              <w:t>4</w:t>
            </w:r>
          </w:p>
        </w:tc>
        <w:tc>
          <w:tcPr>
            <w:tcW w:w="1269" w:type="pct"/>
            <w:vAlign w:val="center"/>
          </w:tcPr>
          <w:p w14:paraId="5AD0DDDD">
            <w:pPr>
              <w:pStyle w:val="445"/>
              <w:rPr>
                <w:rFonts w:cs="Times New Roman"/>
                <w:kern w:val="0"/>
                <w:szCs w:val="20"/>
              </w:rPr>
            </w:pPr>
            <w:r>
              <w:rPr>
                <w:rFonts w:hint="eastAsia" w:cs="Times New Roman"/>
                <w:kern w:val="0"/>
                <w:szCs w:val="20"/>
              </w:rPr>
              <w:t>分子量</w:t>
            </w:r>
            <w:r>
              <w:rPr>
                <w:rFonts w:cs="Times New Roman"/>
                <w:kern w:val="0"/>
                <w:szCs w:val="20"/>
              </w:rPr>
              <w:t>为</w:t>
            </w:r>
            <w:r>
              <w:rPr>
                <w:rFonts w:hint="eastAsia" w:cs="Times New Roman"/>
                <w:kern w:val="0"/>
                <w:szCs w:val="20"/>
              </w:rPr>
              <w:t>189.68，密度</w:t>
            </w:r>
            <w:r>
              <w:rPr>
                <w:rFonts w:cs="Times New Roman"/>
                <w:kern w:val="0"/>
                <w:szCs w:val="20"/>
              </w:rPr>
              <w:t>为</w:t>
            </w:r>
            <w:r>
              <w:rPr>
                <w:rFonts w:hint="eastAsia" w:cs="Times New Roman"/>
                <w:kern w:val="0"/>
                <w:szCs w:val="20"/>
              </w:rPr>
              <w:t>1.7</w:t>
            </w:r>
            <w:r>
              <w:rPr>
                <w:rFonts w:cs="Times New Roman"/>
                <w:kern w:val="0"/>
                <w:szCs w:val="20"/>
              </w:rPr>
              <w:t>26 g/cm</w:t>
            </w:r>
            <w:r>
              <w:rPr>
                <w:rFonts w:cs="Times New Roman"/>
                <w:kern w:val="0"/>
                <w:szCs w:val="20"/>
                <w:vertAlign w:val="superscript"/>
              </w:rPr>
              <w:t>3</w:t>
            </w:r>
            <w:r>
              <w:rPr>
                <w:rFonts w:cs="Times New Roman"/>
                <w:kern w:val="0"/>
                <w:szCs w:val="20"/>
              </w:rPr>
              <w:t>。</w:t>
            </w:r>
            <w:r>
              <w:rPr>
                <w:rFonts w:hint="eastAsia" w:cs="Times New Roman"/>
                <w:kern w:val="0"/>
                <w:szCs w:val="20"/>
              </w:rPr>
              <w:t>无色或微黄色液体，</w:t>
            </w:r>
            <w:r>
              <w:rPr>
                <w:rFonts w:cs="Times New Roman"/>
                <w:kern w:val="0"/>
                <w:szCs w:val="20"/>
              </w:rPr>
              <w:t>有刺激性酸味。在空气中发烟</w:t>
            </w:r>
            <w:r>
              <w:rPr>
                <w:rFonts w:hint="eastAsia" w:cs="Times New Roman"/>
                <w:kern w:val="0"/>
                <w:szCs w:val="20"/>
              </w:rPr>
              <w:t>。</w:t>
            </w:r>
            <w:r>
              <w:rPr>
                <w:rFonts w:cs="Times New Roman"/>
                <w:kern w:val="0"/>
                <w:szCs w:val="20"/>
              </w:rPr>
              <w:t>溶于冷水、乙醇、稀盐酸</w:t>
            </w:r>
            <w:r>
              <w:rPr>
                <w:rFonts w:hint="eastAsia" w:cs="Times New Roman"/>
                <w:kern w:val="0"/>
                <w:szCs w:val="20"/>
              </w:rPr>
              <w:t>。</w:t>
            </w:r>
          </w:p>
        </w:tc>
        <w:tc>
          <w:tcPr>
            <w:tcW w:w="1321" w:type="pct"/>
            <w:vAlign w:val="center"/>
          </w:tcPr>
          <w:p w14:paraId="19DC428D">
            <w:pPr>
              <w:pStyle w:val="445"/>
              <w:rPr>
                <w:rFonts w:cs="Times New Roman"/>
                <w:kern w:val="0"/>
                <w:szCs w:val="20"/>
              </w:rPr>
            </w:pPr>
            <w:r>
              <w:rPr>
                <w:rFonts w:cs="Times New Roman"/>
                <w:kern w:val="0"/>
                <w:szCs w:val="20"/>
              </w:rPr>
              <w:t>受热或遇水分解放热，放出有毒的腐蚀性烟气</w:t>
            </w:r>
            <w:r>
              <w:rPr>
                <w:rFonts w:hint="eastAsia" w:cs="Times New Roman"/>
                <w:kern w:val="0"/>
                <w:szCs w:val="20"/>
              </w:rPr>
              <w:t>。</w:t>
            </w:r>
          </w:p>
        </w:tc>
        <w:tc>
          <w:tcPr>
            <w:tcW w:w="1334" w:type="pct"/>
            <w:vAlign w:val="center"/>
          </w:tcPr>
          <w:p w14:paraId="31F1D7D7">
            <w:pPr>
              <w:pStyle w:val="445"/>
              <w:rPr>
                <w:rFonts w:cs="Times New Roman"/>
                <w:kern w:val="0"/>
                <w:szCs w:val="20"/>
              </w:rPr>
            </w:pPr>
            <w:r>
              <w:rPr>
                <w:rFonts w:hint="eastAsia" w:cs="Times New Roman"/>
                <w:kern w:val="0"/>
                <w:szCs w:val="20"/>
              </w:rPr>
              <w:t>属高毒类</w:t>
            </w:r>
            <w:r>
              <w:rPr>
                <w:rFonts w:cs="Times New Roman"/>
                <w:kern w:val="0"/>
                <w:szCs w:val="20"/>
              </w:rPr>
              <w:t>。LC</w:t>
            </w:r>
            <w:r>
              <w:rPr>
                <w:rFonts w:cs="Times New Roman"/>
                <w:kern w:val="0"/>
                <w:szCs w:val="20"/>
                <w:vertAlign w:val="subscript"/>
              </w:rPr>
              <w:t>50</w:t>
            </w:r>
            <w:r>
              <w:rPr>
                <w:rFonts w:cs="Times New Roman"/>
                <w:kern w:val="0"/>
                <w:szCs w:val="20"/>
              </w:rPr>
              <w:t>504000mg/m</w:t>
            </w:r>
            <w:r>
              <w:rPr>
                <w:rFonts w:cs="Times New Roman"/>
                <w:kern w:val="0"/>
                <w:szCs w:val="20"/>
                <w:vertAlign w:val="superscript"/>
              </w:rPr>
              <w:t>3</w:t>
            </w:r>
            <w:r>
              <w:rPr>
                <w:rFonts w:hint="eastAsia" w:cs="Times New Roman"/>
                <w:kern w:val="0"/>
                <w:szCs w:val="20"/>
              </w:rPr>
              <w:t>（大鼠</w:t>
            </w:r>
            <w:r>
              <w:rPr>
                <w:rFonts w:cs="Times New Roman"/>
                <w:kern w:val="0"/>
                <w:szCs w:val="20"/>
              </w:rPr>
              <w:t>吸入</w:t>
            </w:r>
            <w:r>
              <w:rPr>
                <w:rFonts w:hint="eastAsia" w:cs="Times New Roman"/>
                <w:kern w:val="0"/>
                <w:szCs w:val="20"/>
              </w:rPr>
              <w:t>）</w:t>
            </w:r>
          </w:p>
        </w:tc>
      </w:tr>
      <w:tr w14:paraId="202C3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6FAC1DBC">
            <w:pPr>
              <w:pStyle w:val="445"/>
              <w:rPr>
                <w:rFonts w:cs="Times New Roman"/>
                <w:kern w:val="0"/>
                <w:szCs w:val="20"/>
              </w:rPr>
            </w:pPr>
            <w:r>
              <w:rPr>
                <w:rFonts w:cs="Times New Roman"/>
                <w:kern w:val="0"/>
                <w:szCs w:val="20"/>
              </w:rPr>
              <w:t>2</w:t>
            </w:r>
          </w:p>
        </w:tc>
        <w:tc>
          <w:tcPr>
            <w:tcW w:w="805" w:type="pct"/>
            <w:vAlign w:val="center"/>
          </w:tcPr>
          <w:p w14:paraId="38FDAC35">
            <w:pPr>
              <w:pStyle w:val="445"/>
              <w:rPr>
                <w:rFonts w:cs="Times New Roman"/>
                <w:kern w:val="0"/>
                <w:szCs w:val="20"/>
              </w:rPr>
            </w:pPr>
            <w:r>
              <w:rPr>
                <w:rFonts w:cs="Times New Roman"/>
                <w:kern w:val="0"/>
                <w:szCs w:val="20"/>
              </w:rPr>
              <w:t>氨水</w:t>
            </w:r>
          </w:p>
          <w:p w14:paraId="76C45148">
            <w:pPr>
              <w:pStyle w:val="445"/>
              <w:rPr>
                <w:rFonts w:cs="Times New Roman"/>
                <w:kern w:val="0"/>
                <w:szCs w:val="20"/>
              </w:rPr>
            </w:pPr>
            <w:r>
              <w:rPr>
                <w:rFonts w:cs="Times New Roman"/>
                <w:kern w:val="0"/>
                <w:szCs w:val="20"/>
              </w:rPr>
              <w:t>NH</w:t>
            </w:r>
            <w:r>
              <w:rPr>
                <w:rFonts w:cs="Times New Roman"/>
                <w:kern w:val="0"/>
                <w:szCs w:val="20"/>
                <w:vertAlign w:val="subscript"/>
              </w:rPr>
              <w:t>4</w:t>
            </w:r>
            <w:r>
              <w:rPr>
                <w:rFonts w:cs="Times New Roman"/>
                <w:kern w:val="0"/>
                <w:szCs w:val="20"/>
              </w:rPr>
              <w:t>OH</w:t>
            </w:r>
          </w:p>
        </w:tc>
        <w:tc>
          <w:tcPr>
            <w:tcW w:w="1269" w:type="pct"/>
            <w:vAlign w:val="center"/>
          </w:tcPr>
          <w:p w14:paraId="646F23CD">
            <w:pPr>
              <w:pStyle w:val="445"/>
              <w:rPr>
                <w:rFonts w:cs="Times New Roman"/>
                <w:kern w:val="0"/>
                <w:szCs w:val="20"/>
              </w:rPr>
            </w:pPr>
            <w:r>
              <w:rPr>
                <w:rFonts w:cs="Times New Roman"/>
                <w:kern w:val="0"/>
                <w:szCs w:val="20"/>
              </w:rPr>
              <w:t>分子量35，密度0.91g/cm</w:t>
            </w:r>
            <w:r>
              <w:rPr>
                <w:rFonts w:cs="Times New Roman"/>
                <w:kern w:val="0"/>
                <w:szCs w:val="20"/>
                <w:vertAlign w:val="superscript"/>
              </w:rPr>
              <w:t>3</w:t>
            </w:r>
            <w:r>
              <w:rPr>
                <w:rFonts w:cs="Times New Roman"/>
                <w:kern w:val="0"/>
                <w:szCs w:val="20"/>
              </w:rPr>
              <w:t>。无色透明液体，有强烈的刺激性臭味。溶于水、醇。</w:t>
            </w:r>
          </w:p>
        </w:tc>
        <w:tc>
          <w:tcPr>
            <w:tcW w:w="1321" w:type="pct"/>
            <w:vAlign w:val="center"/>
          </w:tcPr>
          <w:p w14:paraId="16BD5800">
            <w:pPr>
              <w:pStyle w:val="445"/>
              <w:rPr>
                <w:rFonts w:cs="Times New Roman"/>
                <w:kern w:val="0"/>
                <w:szCs w:val="20"/>
              </w:rPr>
            </w:pPr>
            <w:r>
              <w:rPr>
                <w:rFonts w:cs="Times New Roman"/>
                <w:kern w:val="0"/>
                <w:szCs w:val="20"/>
              </w:rPr>
              <w:t>碱性腐蚀品。易分解放出氨气，温度越高，分解速度越快，可形成爆炸性气氛。</w:t>
            </w:r>
          </w:p>
        </w:tc>
        <w:tc>
          <w:tcPr>
            <w:tcW w:w="1334" w:type="pct"/>
            <w:vAlign w:val="center"/>
          </w:tcPr>
          <w:p w14:paraId="78E5BA62">
            <w:pPr>
              <w:pStyle w:val="445"/>
              <w:rPr>
                <w:rFonts w:cs="Times New Roman"/>
                <w:kern w:val="0"/>
                <w:szCs w:val="20"/>
              </w:rPr>
            </w:pPr>
            <w:r>
              <w:rPr>
                <w:rFonts w:cs="Times New Roman"/>
                <w:kern w:val="0"/>
                <w:szCs w:val="20"/>
              </w:rPr>
              <w:t>低毒类。急性毒性：LD</w:t>
            </w:r>
            <w:r>
              <w:rPr>
                <w:rFonts w:cs="Times New Roman"/>
                <w:kern w:val="0"/>
                <w:szCs w:val="20"/>
                <w:vertAlign w:val="subscript"/>
              </w:rPr>
              <w:t>50</w:t>
            </w:r>
            <w:r>
              <w:rPr>
                <w:rFonts w:cs="Times New Roman"/>
                <w:kern w:val="0"/>
                <w:szCs w:val="20"/>
              </w:rPr>
              <w:t>350mg/kg（大鼠经口）。</w:t>
            </w:r>
          </w:p>
        </w:tc>
      </w:tr>
      <w:tr w14:paraId="22EBD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0C0CFD65">
            <w:pPr>
              <w:pStyle w:val="445"/>
              <w:rPr>
                <w:rFonts w:cs="Times New Roman"/>
                <w:kern w:val="0"/>
                <w:szCs w:val="20"/>
              </w:rPr>
            </w:pPr>
            <w:r>
              <w:rPr>
                <w:rFonts w:cs="Times New Roman"/>
                <w:kern w:val="0"/>
                <w:szCs w:val="20"/>
              </w:rPr>
              <w:t>3</w:t>
            </w:r>
          </w:p>
        </w:tc>
        <w:tc>
          <w:tcPr>
            <w:tcW w:w="805" w:type="pct"/>
            <w:vAlign w:val="center"/>
          </w:tcPr>
          <w:p w14:paraId="6961D352">
            <w:pPr>
              <w:pStyle w:val="445"/>
              <w:rPr>
                <w:rFonts w:cs="Times New Roman"/>
                <w:kern w:val="0"/>
                <w:szCs w:val="20"/>
              </w:rPr>
            </w:pPr>
            <w:r>
              <w:rPr>
                <w:rFonts w:cs="Times New Roman"/>
                <w:kern w:val="0"/>
                <w:szCs w:val="20"/>
              </w:rPr>
              <w:t>硫酸</w:t>
            </w:r>
          </w:p>
          <w:p w14:paraId="68F4E381">
            <w:pPr>
              <w:pStyle w:val="445"/>
              <w:rPr>
                <w:rFonts w:cs="Times New Roman"/>
                <w:kern w:val="0"/>
                <w:szCs w:val="20"/>
              </w:rPr>
            </w:pPr>
            <w:r>
              <w:rPr>
                <w:rFonts w:cs="Times New Roman"/>
                <w:kern w:val="0"/>
                <w:szCs w:val="20"/>
              </w:rPr>
              <w:t>H</w:t>
            </w:r>
            <w:r>
              <w:rPr>
                <w:rFonts w:cs="Times New Roman"/>
                <w:kern w:val="0"/>
                <w:szCs w:val="20"/>
                <w:vertAlign w:val="subscript"/>
              </w:rPr>
              <w:t>2</w:t>
            </w:r>
            <w:r>
              <w:rPr>
                <w:rFonts w:cs="Times New Roman"/>
                <w:kern w:val="0"/>
                <w:szCs w:val="20"/>
              </w:rPr>
              <w:t>SO</w:t>
            </w:r>
            <w:r>
              <w:rPr>
                <w:rFonts w:cs="Times New Roman"/>
                <w:kern w:val="0"/>
                <w:szCs w:val="20"/>
                <w:vertAlign w:val="subscript"/>
              </w:rPr>
              <w:t>4</w:t>
            </w:r>
          </w:p>
        </w:tc>
        <w:tc>
          <w:tcPr>
            <w:tcW w:w="1269" w:type="pct"/>
            <w:vAlign w:val="center"/>
          </w:tcPr>
          <w:p w14:paraId="15C8A93A">
            <w:pPr>
              <w:pStyle w:val="445"/>
              <w:rPr>
                <w:rFonts w:cs="Times New Roman"/>
                <w:kern w:val="0"/>
                <w:szCs w:val="20"/>
              </w:rPr>
            </w:pPr>
            <w:r>
              <w:rPr>
                <w:rFonts w:cs="Times New Roman"/>
                <w:kern w:val="0"/>
                <w:szCs w:val="20"/>
              </w:rPr>
              <w:t>分子量98，密度1.83g/cm</w:t>
            </w:r>
            <w:r>
              <w:rPr>
                <w:rFonts w:cs="Times New Roman"/>
                <w:kern w:val="0"/>
                <w:szCs w:val="20"/>
                <w:vertAlign w:val="superscript"/>
              </w:rPr>
              <w:t>3</w:t>
            </w:r>
            <w:r>
              <w:rPr>
                <w:rFonts w:cs="Times New Roman"/>
                <w:kern w:val="0"/>
                <w:szCs w:val="20"/>
              </w:rPr>
              <w:t>，熔点10.5</w:t>
            </w:r>
            <w:r>
              <w:rPr>
                <w:rFonts w:hint="eastAsia" w:ascii="宋体" w:hAnsi="宋体" w:cs="宋体"/>
                <w:kern w:val="0"/>
                <w:szCs w:val="20"/>
              </w:rPr>
              <w:t>℃</w:t>
            </w:r>
            <w:r>
              <w:rPr>
                <w:rFonts w:cs="Times New Roman"/>
                <w:kern w:val="0"/>
                <w:szCs w:val="20"/>
              </w:rPr>
              <w:t>，沸点330</w:t>
            </w:r>
            <w:r>
              <w:rPr>
                <w:rFonts w:hint="eastAsia" w:ascii="宋体" w:hAnsi="宋体" w:cs="宋体"/>
                <w:kern w:val="0"/>
                <w:szCs w:val="20"/>
              </w:rPr>
              <w:t>℃</w:t>
            </w:r>
            <w:r>
              <w:rPr>
                <w:rFonts w:cs="Times New Roman"/>
                <w:kern w:val="0"/>
                <w:szCs w:val="20"/>
              </w:rPr>
              <w:t>。无色透明油状液体，无臭。与水混溶。</w:t>
            </w:r>
          </w:p>
        </w:tc>
        <w:tc>
          <w:tcPr>
            <w:tcW w:w="1321" w:type="pct"/>
            <w:vAlign w:val="center"/>
          </w:tcPr>
          <w:p w14:paraId="4E10D5FC">
            <w:pPr>
              <w:pStyle w:val="445"/>
              <w:rPr>
                <w:rFonts w:cs="Times New Roman"/>
                <w:kern w:val="0"/>
                <w:szCs w:val="20"/>
              </w:rPr>
            </w:pPr>
            <w:r>
              <w:rPr>
                <w:rFonts w:cs="Times New Roman"/>
                <w:kern w:val="0"/>
                <w:szCs w:val="20"/>
              </w:rPr>
              <w:t>酸性腐蚀品。与易燃物和有机物接触会发生剧烈反应，甚至引起燃烧。能与一些活性金属粉末发生反应，放出氢气。遇水大量放热，可发生沸溅。</w:t>
            </w:r>
          </w:p>
        </w:tc>
        <w:tc>
          <w:tcPr>
            <w:tcW w:w="1334" w:type="pct"/>
            <w:vAlign w:val="center"/>
          </w:tcPr>
          <w:p w14:paraId="76EDFC0F">
            <w:pPr>
              <w:pStyle w:val="445"/>
              <w:rPr>
                <w:rFonts w:cs="Times New Roman"/>
                <w:kern w:val="0"/>
                <w:szCs w:val="20"/>
              </w:rPr>
            </w:pPr>
            <w:r>
              <w:rPr>
                <w:rFonts w:cs="Times New Roman"/>
                <w:kern w:val="0"/>
                <w:szCs w:val="20"/>
              </w:rPr>
              <w:t>属中等毒性。急性毒性：LD</w:t>
            </w:r>
            <w:r>
              <w:rPr>
                <w:rFonts w:cs="Times New Roman"/>
                <w:kern w:val="0"/>
                <w:szCs w:val="20"/>
                <w:vertAlign w:val="subscript"/>
              </w:rPr>
              <w:t>50</w:t>
            </w:r>
            <w:r>
              <w:rPr>
                <w:rFonts w:cs="Times New Roman"/>
                <w:kern w:val="0"/>
                <w:szCs w:val="20"/>
              </w:rPr>
              <w:t>80mg/kg(大鼠经口)；LC</w:t>
            </w:r>
            <w:r>
              <w:rPr>
                <w:rFonts w:cs="Times New Roman"/>
                <w:kern w:val="0"/>
                <w:szCs w:val="20"/>
                <w:vertAlign w:val="subscript"/>
              </w:rPr>
              <w:t>50</w:t>
            </w:r>
            <w:r>
              <w:rPr>
                <w:rFonts w:cs="Times New Roman"/>
                <w:kern w:val="0"/>
                <w:szCs w:val="20"/>
              </w:rPr>
              <w:t>510mg/m</w:t>
            </w:r>
            <w:r>
              <w:rPr>
                <w:rFonts w:cs="Times New Roman"/>
                <w:kern w:val="0"/>
                <w:szCs w:val="20"/>
                <w:vertAlign w:val="superscript"/>
              </w:rPr>
              <w:t>3</w:t>
            </w:r>
            <w:r>
              <w:rPr>
                <w:rFonts w:cs="Times New Roman"/>
                <w:kern w:val="0"/>
                <w:szCs w:val="20"/>
              </w:rPr>
              <w:t>，2小时(大鼠吸入)；320mg/m</w:t>
            </w:r>
            <w:r>
              <w:rPr>
                <w:rFonts w:cs="Times New Roman"/>
                <w:kern w:val="0"/>
                <w:szCs w:val="20"/>
                <w:vertAlign w:val="superscript"/>
              </w:rPr>
              <w:t>3</w:t>
            </w:r>
            <w:r>
              <w:rPr>
                <w:rFonts w:cs="Times New Roman"/>
                <w:kern w:val="0"/>
                <w:szCs w:val="20"/>
              </w:rPr>
              <w:t>，2小时(小鼠吸入)。</w:t>
            </w:r>
          </w:p>
        </w:tc>
      </w:tr>
      <w:tr w14:paraId="1E0200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72E3FC03">
            <w:pPr>
              <w:pStyle w:val="445"/>
              <w:rPr>
                <w:rFonts w:cs="Times New Roman"/>
                <w:kern w:val="0"/>
                <w:szCs w:val="20"/>
              </w:rPr>
            </w:pPr>
            <w:r>
              <w:rPr>
                <w:rFonts w:hint="eastAsia" w:cs="Times New Roman"/>
                <w:kern w:val="0"/>
                <w:szCs w:val="20"/>
              </w:rPr>
              <w:t>4</w:t>
            </w:r>
          </w:p>
        </w:tc>
        <w:tc>
          <w:tcPr>
            <w:tcW w:w="805" w:type="pct"/>
            <w:vAlign w:val="center"/>
          </w:tcPr>
          <w:p w14:paraId="300DBFCA">
            <w:pPr>
              <w:pStyle w:val="445"/>
              <w:rPr>
                <w:rFonts w:cs="Times New Roman"/>
                <w:kern w:val="0"/>
                <w:szCs w:val="20"/>
              </w:rPr>
            </w:pPr>
            <w:r>
              <w:rPr>
                <w:rFonts w:hint="eastAsia" w:cs="Times New Roman"/>
                <w:kern w:val="0"/>
                <w:szCs w:val="20"/>
              </w:rPr>
              <w:t>氢氧化钡</w:t>
            </w:r>
          </w:p>
          <w:p w14:paraId="2F47F793">
            <w:pPr>
              <w:pStyle w:val="445"/>
              <w:rPr>
                <w:rFonts w:cs="Times New Roman"/>
                <w:kern w:val="0"/>
                <w:szCs w:val="20"/>
              </w:rPr>
            </w:pPr>
            <w:r>
              <w:rPr>
                <w:rFonts w:cs="Times New Roman"/>
                <w:kern w:val="0"/>
                <w:szCs w:val="20"/>
                <w:shd w:val="clear" w:color="auto" w:fill="FFFFFF"/>
              </w:rPr>
              <w:t>Ba(OH)</w:t>
            </w:r>
            <w:r>
              <w:rPr>
                <w:rFonts w:ascii="Cambria Math" w:hAnsi="Cambria Math" w:cs="Cambria Math"/>
                <w:kern w:val="0"/>
                <w:szCs w:val="20"/>
                <w:shd w:val="clear" w:color="auto" w:fill="FFFFFF"/>
              </w:rPr>
              <w:t>₂</w:t>
            </w:r>
          </w:p>
        </w:tc>
        <w:tc>
          <w:tcPr>
            <w:tcW w:w="1269" w:type="pct"/>
            <w:vAlign w:val="center"/>
          </w:tcPr>
          <w:p w14:paraId="76F19F3C">
            <w:pPr>
              <w:pStyle w:val="445"/>
              <w:rPr>
                <w:rFonts w:cs="Times New Roman"/>
                <w:kern w:val="0"/>
                <w:szCs w:val="20"/>
              </w:rPr>
            </w:pPr>
            <w:r>
              <w:rPr>
                <w:rFonts w:hint="eastAsia" w:cs="Times New Roman"/>
                <w:kern w:val="0"/>
                <w:szCs w:val="20"/>
              </w:rPr>
              <w:t>分子</w:t>
            </w:r>
            <w:r>
              <w:rPr>
                <w:rFonts w:cs="Times New Roman"/>
                <w:kern w:val="0"/>
                <w:szCs w:val="20"/>
              </w:rPr>
              <w:t>量</w:t>
            </w:r>
            <w:r>
              <w:rPr>
                <w:rFonts w:hint="eastAsia" w:cs="Times New Roman"/>
                <w:kern w:val="0"/>
                <w:szCs w:val="20"/>
              </w:rPr>
              <w:t>171.3417，密度</w:t>
            </w:r>
            <w:r>
              <w:rPr>
                <w:rFonts w:cs="Times New Roman"/>
                <w:kern w:val="0"/>
                <w:szCs w:val="20"/>
              </w:rPr>
              <w:t>为g/cm</w:t>
            </w:r>
            <w:r>
              <w:rPr>
                <w:rFonts w:cs="Times New Roman"/>
                <w:kern w:val="0"/>
                <w:szCs w:val="20"/>
                <w:vertAlign w:val="superscript"/>
              </w:rPr>
              <w:t>3</w:t>
            </w:r>
            <w:r>
              <w:rPr>
                <w:rFonts w:cs="Times New Roman"/>
                <w:kern w:val="0"/>
                <w:szCs w:val="20"/>
              </w:rPr>
              <w:t>，</w:t>
            </w:r>
            <w:r>
              <w:rPr>
                <w:rFonts w:hint="eastAsia" w:cs="Times New Roman"/>
                <w:kern w:val="0"/>
                <w:szCs w:val="20"/>
              </w:rPr>
              <w:t>白色粉末</w:t>
            </w:r>
            <w:r>
              <w:rPr>
                <w:rFonts w:cs="Times New Roman"/>
                <w:kern w:val="0"/>
                <w:szCs w:val="20"/>
              </w:rPr>
              <w:t>，相对密度2.188，熔点78</w:t>
            </w:r>
            <w:r>
              <w:rPr>
                <w:rFonts w:hint="eastAsia" w:ascii="宋体" w:hAnsi="宋体" w:cs="宋体"/>
                <w:kern w:val="0"/>
                <w:szCs w:val="20"/>
              </w:rPr>
              <w:t>℃</w:t>
            </w:r>
            <w:r>
              <w:rPr>
                <w:rFonts w:cs="Times New Roman"/>
                <w:kern w:val="0"/>
                <w:szCs w:val="20"/>
              </w:rPr>
              <w:t>（八水化合物，在纯氢氧化钡的情况下是&gt;408</w:t>
            </w:r>
            <w:r>
              <w:rPr>
                <w:rFonts w:hint="eastAsia" w:ascii="宋体" w:hAnsi="宋体" w:cs="宋体"/>
                <w:kern w:val="0"/>
                <w:szCs w:val="20"/>
              </w:rPr>
              <w:t>℃</w:t>
            </w:r>
            <w:r>
              <w:rPr>
                <w:rFonts w:cs="Times New Roman"/>
                <w:kern w:val="0"/>
                <w:szCs w:val="20"/>
              </w:rPr>
              <w:t>的）</w:t>
            </w:r>
            <w:r>
              <w:rPr>
                <w:rFonts w:hint="eastAsia" w:cs="Times New Roman"/>
                <w:kern w:val="0"/>
                <w:szCs w:val="20"/>
              </w:rPr>
              <w:t>。</w:t>
            </w:r>
          </w:p>
        </w:tc>
        <w:tc>
          <w:tcPr>
            <w:tcW w:w="1321" w:type="pct"/>
            <w:vAlign w:val="center"/>
          </w:tcPr>
          <w:p w14:paraId="2E76C306">
            <w:pPr>
              <w:pStyle w:val="445"/>
              <w:rPr>
                <w:rFonts w:cs="Times New Roman"/>
                <w:kern w:val="0"/>
                <w:szCs w:val="20"/>
              </w:rPr>
            </w:pPr>
            <w:r>
              <w:rPr>
                <w:rFonts w:hint="eastAsia" w:cs="Times New Roman"/>
                <w:kern w:val="0"/>
                <w:szCs w:val="20"/>
              </w:rPr>
              <w:t>/</w:t>
            </w:r>
          </w:p>
        </w:tc>
        <w:tc>
          <w:tcPr>
            <w:tcW w:w="1334" w:type="pct"/>
            <w:vAlign w:val="center"/>
          </w:tcPr>
          <w:p w14:paraId="1D248B55">
            <w:pPr>
              <w:pStyle w:val="445"/>
              <w:rPr>
                <w:rFonts w:cs="Times New Roman"/>
                <w:kern w:val="0"/>
                <w:szCs w:val="20"/>
              </w:rPr>
            </w:pPr>
            <w:r>
              <w:rPr>
                <w:rFonts w:hint="eastAsia" w:cs="Times New Roman"/>
                <w:kern w:val="0"/>
                <w:szCs w:val="20"/>
              </w:rPr>
              <w:t>高毒</w:t>
            </w:r>
            <w:r>
              <w:rPr>
                <w:rFonts w:cs="Times New Roman"/>
                <w:kern w:val="0"/>
                <w:szCs w:val="20"/>
              </w:rPr>
              <w:t>类。</w:t>
            </w:r>
            <w:r>
              <w:rPr>
                <w:rFonts w:hint="eastAsia" w:cs="Times New Roman"/>
                <w:kern w:val="0"/>
                <w:szCs w:val="20"/>
              </w:rPr>
              <w:t>LD</w:t>
            </w:r>
            <w:r>
              <w:rPr>
                <w:rFonts w:cs="Times New Roman"/>
                <w:kern w:val="0"/>
                <w:szCs w:val="20"/>
              </w:rPr>
              <w:t>50=</w:t>
            </w:r>
            <w:r>
              <w:rPr>
                <w:rFonts w:hint="eastAsia" w:cs="Times New Roman"/>
                <w:kern w:val="0"/>
                <w:szCs w:val="20"/>
              </w:rPr>
              <w:t>小鼠</w:t>
            </w:r>
            <w:r>
              <w:rPr>
                <w:rFonts w:cs="Times New Roman"/>
                <w:kern w:val="0"/>
                <w:szCs w:val="20"/>
              </w:rPr>
              <w:t>腹腔</w:t>
            </w:r>
            <w:r>
              <w:rPr>
                <w:rFonts w:hint="eastAsia" w:cs="Times New Roman"/>
                <w:kern w:val="0"/>
                <w:szCs w:val="20"/>
              </w:rPr>
              <w:t>255</w:t>
            </w:r>
            <w:r>
              <w:rPr>
                <w:rFonts w:cs="Times New Roman"/>
                <w:kern w:val="0"/>
                <w:szCs w:val="20"/>
              </w:rPr>
              <w:t>mg/kg</w:t>
            </w:r>
          </w:p>
        </w:tc>
      </w:tr>
    </w:tbl>
    <w:p w14:paraId="502F0669">
      <w:pPr>
        <w:ind w:firstLine="480"/>
        <w:rPr>
          <w:rFonts w:cs="Times New Roman"/>
          <w:color w:val="000000"/>
        </w:rPr>
      </w:pPr>
      <w:r>
        <w:rPr>
          <w:rFonts w:cs="Times New Roman"/>
          <w:color w:val="000000"/>
        </w:rPr>
        <w:t>现有</w:t>
      </w:r>
      <w:r>
        <w:rPr>
          <w:rFonts w:hint="eastAsia" w:cs="Times New Roman"/>
          <w:color w:val="000000"/>
        </w:rPr>
        <w:t>项目</w:t>
      </w:r>
      <w:r>
        <w:rPr>
          <w:rFonts w:cs="Times New Roman"/>
          <w:color w:val="000000"/>
        </w:rPr>
        <w:t>所涉及</w:t>
      </w:r>
      <w:r>
        <w:rPr>
          <w:rFonts w:hint="eastAsia" w:cs="Times New Roman"/>
          <w:color w:val="000000"/>
        </w:rPr>
        <w:t>风险</w:t>
      </w:r>
      <w:r>
        <w:rPr>
          <w:rFonts w:cs="Times New Roman"/>
          <w:color w:val="000000"/>
        </w:rPr>
        <w:t>物质用量见表5.6.1-3。</w:t>
      </w:r>
    </w:p>
    <w:p w14:paraId="3715D01F">
      <w:pPr>
        <w:pStyle w:val="278"/>
      </w:pPr>
      <w:r>
        <w:t>表5.6.1-3  现有</w:t>
      </w:r>
      <w:r>
        <w:rPr>
          <w:rFonts w:hint="eastAsia"/>
        </w:rPr>
        <w:t>项目风险物质</w:t>
      </w:r>
      <w:r>
        <w:t>用量一览表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81"/>
        <w:gridCol w:w="2810"/>
        <w:gridCol w:w="2226"/>
        <w:gridCol w:w="2226"/>
      </w:tblGrid>
      <w:tr w14:paraId="3DF0EB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408C3523">
            <w:pPr>
              <w:pStyle w:val="445"/>
              <w:rPr>
                <w:rFonts w:cs="Times New Roman"/>
                <w:kern w:val="0"/>
                <w:szCs w:val="20"/>
              </w:rPr>
            </w:pPr>
            <w:r>
              <w:rPr>
                <w:rFonts w:cs="Times New Roman"/>
                <w:kern w:val="0"/>
                <w:szCs w:val="20"/>
              </w:rPr>
              <w:t>序号</w:t>
            </w:r>
          </w:p>
        </w:tc>
        <w:tc>
          <w:tcPr>
            <w:tcW w:w="1520" w:type="pct"/>
            <w:vAlign w:val="center"/>
          </w:tcPr>
          <w:p w14:paraId="5DDF43AC">
            <w:pPr>
              <w:pStyle w:val="445"/>
              <w:rPr>
                <w:rFonts w:cs="Times New Roman"/>
                <w:kern w:val="0"/>
                <w:szCs w:val="20"/>
              </w:rPr>
            </w:pPr>
            <w:r>
              <w:rPr>
                <w:rFonts w:cs="Times New Roman"/>
                <w:kern w:val="0"/>
                <w:szCs w:val="20"/>
              </w:rPr>
              <w:t>物质名称</w:t>
            </w:r>
          </w:p>
        </w:tc>
        <w:tc>
          <w:tcPr>
            <w:tcW w:w="1204" w:type="pct"/>
            <w:vAlign w:val="center"/>
          </w:tcPr>
          <w:p w14:paraId="59341405">
            <w:pPr>
              <w:pStyle w:val="445"/>
              <w:rPr>
                <w:rFonts w:cs="Times New Roman"/>
                <w:kern w:val="0"/>
                <w:szCs w:val="20"/>
              </w:rPr>
            </w:pPr>
            <w:r>
              <w:rPr>
                <w:rFonts w:cs="Times New Roman"/>
                <w:kern w:val="0"/>
                <w:szCs w:val="20"/>
              </w:rPr>
              <w:t>年用（产）量（吨）</w:t>
            </w:r>
          </w:p>
        </w:tc>
        <w:tc>
          <w:tcPr>
            <w:tcW w:w="1204" w:type="pct"/>
            <w:vAlign w:val="center"/>
          </w:tcPr>
          <w:p w14:paraId="5DB6A93A">
            <w:pPr>
              <w:pStyle w:val="445"/>
              <w:rPr>
                <w:rFonts w:cs="Times New Roman"/>
                <w:kern w:val="0"/>
                <w:szCs w:val="20"/>
              </w:rPr>
            </w:pPr>
            <w:r>
              <w:rPr>
                <w:rFonts w:hint="eastAsia" w:cs="Times New Roman"/>
                <w:kern w:val="0"/>
                <w:szCs w:val="20"/>
              </w:rPr>
              <w:t>厂区最大</w:t>
            </w:r>
            <w:r>
              <w:rPr>
                <w:rFonts w:cs="Times New Roman"/>
                <w:kern w:val="0"/>
                <w:szCs w:val="20"/>
              </w:rPr>
              <w:t>暂存量（</w:t>
            </w:r>
            <w:r>
              <w:rPr>
                <w:rFonts w:hint="eastAsia" w:cs="Times New Roman"/>
                <w:kern w:val="0"/>
                <w:szCs w:val="20"/>
              </w:rPr>
              <w:t>吨</w:t>
            </w:r>
            <w:r>
              <w:rPr>
                <w:rFonts w:cs="Times New Roman"/>
                <w:kern w:val="0"/>
                <w:szCs w:val="20"/>
              </w:rPr>
              <w:t>）</w:t>
            </w:r>
          </w:p>
        </w:tc>
      </w:tr>
      <w:tr w14:paraId="1A80F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5E7F702A">
            <w:pPr>
              <w:pStyle w:val="445"/>
              <w:rPr>
                <w:rFonts w:cs="Times New Roman"/>
                <w:kern w:val="0"/>
                <w:szCs w:val="20"/>
              </w:rPr>
            </w:pPr>
            <w:r>
              <w:rPr>
                <w:rFonts w:cs="Times New Roman"/>
                <w:kern w:val="0"/>
                <w:szCs w:val="20"/>
              </w:rPr>
              <w:t>1</w:t>
            </w:r>
          </w:p>
        </w:tc>
        <w:tc>
          <w:tcPr>
            <w:tcW w:w="1520" w:type="pct"/>
            <w:vAlign w:val="center"/>
          </w:tcPr>
          <w:p w14:paraId="59FEE5E1">
            <w:pPr>
              <w:pStyle w:val="445"/>
              <w:rPr>
                <w:rFonts w:cs="Times New Roman"/>
                <w:kern w:val="0"/>
                <w:szCs w:val="20"/>
              </w:rPr>
            </w:pPr>
            <w:r>
              <w:rPr>
                <w:rFonts w:cs="Times New Roman"/>
                <w:kern w:val="0"/>
                <w:szCs w:val="20"/>
              </w:rPr>
              <w:t>四氯化钛</w:t>
            </w:r>
          </w:p>
        </w:tc>
        <w:tc>
          <w:tcPr>
            <w:tcW w:w="1204" w:type="pct"/>
            <w:vAlign w:val="center"/>
          </w:tcPr>
          <w:p w14:paraId="22C5D4C9">
            <w:pPr>
              <w:pStyle w:val="445"/>
              <w:rPr>
                <w:rFonts w:cs="Times New Roman"/>
                <w:kern w:val="0"/>
                <w:szCs w:val="20"/>
              </w:rPr>
            </w:pPr>
            <w:r>
              <w:rPr>
                <w:rFonts w:cs="Times New Roman"/>
                <w:kern w:val="0"/>
                <w:szCs w:val="20"/>
              </w:rPr>
              <w:t>1630</w:t>
            </w:r>
          </w:p>
        </w:tc>
        <w:tc>
          <w:tcPr>
            <w:tcW w:w="1204" w:type="pct"/>
            <w:vAlign w:val="center"/>
          </w:tcPr>
          <w:p w14:paraId="2BCE0263">
            <w:pPr>
              <w:pStyle w:val="445"/>
              <w:rPr>
                <w:rFonts w:cs="Times New Roman"/>
                <w:kern w:val="0"/>
                <w:szCs w:val="20"/>
              </w:rPr>
            </w:pPr>
            <w:r>
              <w:rPr>
                <w:rFonts w:cs="Times New Roman"/>
                <w:kern w:val="0"/>
                <w:szCs w:val="20"/>
              </w:rPr>
              <w:t>60</w:t>
            </w:r>
          </w:p>
        </w:tc>
      </w:tr>
      <w:tr w14:paraId="56FF4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61041A82">
            <w:pPr>
              <w:pStyle w:val="445"/>
              <w:rPr>
                <w:rFonts w:cs="Times New Roman"/>
                <w:kern w:val="0"/>
                <w:szCs w:val="20"/>
              </w:rPr>
            </w:pPr>
            <w:r>
              <w:rPr>
                <w:rFonts w:cs="Times New Roman"/>
                <w:kern w:val="0"/>
                <w:szCs w:val="20"/>
              </w:rPr>
              <w:t>2</w:t>
            </w:r>
          </w:p>
        </w:tc>
        <w:tc>
          <w:tcPr>
            <w:tcW w:w="1520" w:type="pct"/>
            <w:vAlign w:val="center"/>
          </w:tcPr>
          <w:p w14:paraId="7579C9C3">
            <w:pPr>
              <w:pStyle w:val="445"/>
              <w:rPr>
                <w:rFonts w:cs="Times New Roman"/>
                <w:kern w:val="0"/>
                <w:szCs w:val="20"/>
              </w:rPr>
            </w:pPr>
            <w:r>
              <w:rPr>
                <w:rFonts w:cs="Times New Roman"/>
                <w:kern w:val="0"/>
                <w:szCs w:val="20"/>
              </w:rPr>
              <w:t>氨水</w:t>
            </w:r>
          </w:p>
        </w:tc>
        <w:tc>
          <w:tcPr>
            <w:tcW w:w="1204" w:type="pct"/>
            <w:vAlign w:val="center"/>
          </w:tcPr>
          <w:p w14:paraId="5C3E2431">
            <w:pPr>
              <w:pStyle w:val="445"/>
              <w:rPr>
                <w:rFonts w:cs="Times New Roman"/>
                <w:kern w:val="0"/>
                <w:szCs w:val="20"/>
              </w:rPr>
            </w:pPr>
            <w:r>
              <w:rPr>
                <w:rFonts w:cs="Times New Roman"/>
                <w:kern w:val="0"/>
                <w:szCs w:val="20"/>
              </w:rPr>
              <w:t>3000</w:t>
            </w:r>
          </w:p>
        </w:tc>
        <w:tc>
          <w:tcPr>
            <w:tcW w:w="1204" w:type="pct"/>
            <w:vAlign w:val="center"/>
          </w:tcPr>
          <w:p w14:paraId="0618476E">
            <w:pPr>
              <w:pStyle w:val="445"/>
              <w:rPr>
                <w:rFonts w:cs="Times New Roman"/>
                <w:kern w:val="0"/>
                <w:szCs w:val="20"/>
              </w:rPr>
            </w:pPr>
            <w:r>
              <w:rPr>
                <w:rFonts w:cs="Times New Roman"/>
                <w:kern w:val="0"/>
                <w:szCs w:val="20"/>
              </w:rPr>
              <w:t>18</w:t>
            </w:r>
          </w:p>
        </w:tc>
      </w:tr>
      <w:tr w14:paraId="6A76F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1AD76DFA">
            <w:pPr>
              <w:pStyle w:val="445"/>
              <w:rPr>
                <w:rFonts w:cs="Times New Roman"/>
                <w:kern w:val="0"/>
                <w:szCs w:val="20"/>
              </w:rPr>
            </w:pPr>
            <w:r>
              <w:rPr>
                <w:rFonts w:cs="Times New Roman"/>
                <w:kern w:val="0"/>
                <w:szCs w:val="20"/>
              </w:rPr>
              <w:t>3</w:t>
            </w:r>
          </w:p>
        </w:tc>
        <w:tc>
          <w:tcPr>
            <w:tcW w:w="1520" w:type="pct"/>
            <w:vAlign w:val="center"/>
          </w:tcPr>
          <w:p w14:paraId="55A2C7A4">
            <w:pPr>
              <w:pStyle w:val="445"/>
              <w:rPr>
                <w:rFonts w:cs="Times New Roman"/>
                <w:kern w:val="0"/>
                <w:szCs w:val="20"/>
              </w:rPr>
            </w:pPr>
            <w:r>
              <w:rPr>
                <w:rFonts w:cs="Times New Roman"/>
                <w:kern w:val="0"/>
                <w:szCs w:val="20"/>
              </w:rPr>
              <w:t>硫酸</w:t>
            </w:r>
          </w:p>
        </w:tc>
        <w:tc>
          <w:tcPr>
            <w:tcW w:w="1204" w:type="pct"/>
            <w:vAlign w:val="center"/>
          </w:tcPr>
          <w:p w14:paraId="60D1C4C7">
            <w:pPr>
              <w:pStyle w:val="445"/>
              <w:rPr>
                <w:rFonts w:cs="Times New Roman"/>
                <w:kern w:val="0"/>
                <w:szCs w:val="20"/>
              </w:rPr>
            </w:pPr>
            <w:r>
              <w:rPr>
                <w:rFonts w:hint="eastAsia" w:cs="Times New Roman"/>
                <w:kern w:val="0"/>
                <w:szCs w:val="20"/>
              </w:rPr>
              <w:t>32</w:t>
            </w:r>
          </w:p>
        </w:tc>
        <w:tc>
          <w:tcPr>
            <w:tcW w:w="1204" w:type="pct"/>
            <w:vAlign w:val="center"/>
          </w:tcPr>
          <w:p w14:paraId="7AC74E5A">
            <w:pPr>
              <w:pStyle w:val="445"/>
              <w:rPr>
                <w:rFonts w:cs="Times New Roman"/>
                <w:kern w:val="0"/>
                <w:szCs w:val="20"/>
              </w:rPr>
            </w:pPr>
            <w:r>
              <w:rPr>
                <w:rFonts w:hint="eastAsia" w:cs="Times New Roman"/>
                <w:kern w:val="0"/>
                <w:szCs w:val="20"/>
              </w:rPr>
              <w:t>1</w:t>
            </w:r>
          </w:p>
        </w:tc>
      </w:tr>
      <w:tr w14:paraId="30984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71DC97D8">
            <w:pPr>
              <w:pStyle w:val="445"/>
              <w:rPr>
                <w:rFonts w:cs="Times New Roman"/>
                <w:kern w:val="0"/>
                <w:szCs w:val="20"/>
              </w:rPr>
            </w:pPr>
            <w:r>
              <w:rPr>
                <w:rFonts w:cs="Times New Roman"/>
                <w:kern w:val="0"/>
                <w:szCs w:val="20"/>
              </w:rPr>
              <w:t>4</w:t>
            </w:r>
          </w:p>
        </w:tc>
        <w:tc>
          <w:tcPr>
            <w:tcW w:w="1520" w:type="pct"/>
            <w:vAlign w:val="center"/>
          </w:tcPr>
          <w:p w14:paraId="36BA1F26">
            <w:pPr>
              <w:pStyle w:val="445"/>
              <w:rPr>
                <w:rFonts w:cs="Times New Roman"/>
                <w:kern w:val="0"/>
                <w:szCs w:val="20"/>
              </w:rPr>
            </w:pPr>
            <w:r>
              <w:rPr>
                <w:rFonts w:hint="eastAsia" w:cs="Times New Roman"/>
                <w:kern w:val="0"/>
                <w:szCs w:val="20"/>
              </w:rPr>
              <w:t>硫酸铵</w:t>
            </w:r>
          </w:p>
        </w:tc>
        <w:tc>
          <w:tcPr>
            <w:tcW w:w="1204" w:type="pct"/>
            <w:vAlign w:val="center"/>
          </w:tcPr>
          <w:p w14:paraId="1D49BB04">
            <w:pPr>
              <w:pStyle w:val="445"/>
              <w:rPr>
                <w:rFonts w:cs="Times New Roman"/>
                <w:kern w:val="0"/>
                <w:szCs w:val="20"/>
              </w:rPr>
            </w:pPr>
            <w:r>
              <w:rPr>
                <w:rFonts w:cs="Times New Roman"/>
                <w:kern w:val="0"/>
                <w:szCs w:val="20"/>
              </w:rPr>
              <w:t>294.32</w:t>
            </w:r>
          </w:p>
        </w:tc>
        <w:tc>
          <w:tcPr>
            <w:tcW w:w="1204" w:type="pct"/>
            <w:vAlign w:val="center"/>
          </w:tcPr>
          <w:p w14:paraId="1FB00EA6">
            <w:pPr>
              <w:pStyle w:val="445"/>
              <w:rPr>
                <w:rFonts w:cs="Times New Roman"/>
                <w:kern w:val="0"/>
                <w:szCs w:val="20"/>
              </w:rPr>
            </w:pPr>
            <w:r>
              <w:rPr>
                <w:rFonts w:cs="Times New Roman"/>
                <w:kern w:val="0"/>
                <w:szCs w:val="20"/>
              </w:rPr>
              <w:t>20</w:t>
            </w:r>
          </w:p>
        </w:tc>
      </w:tr>
    </w:tbl>
    <w:p w14:paraId="50708F6B">
      <w:pPr>
        <w:ind w:firstLine="480"/>
        <w:rPr>
          <w:rFonts w:cs="Times New Roman"/>
          <w:color w:val="000000"/>
        </w:rPr>
      </w:pPr>
      <w:r>
        <w:rPr>
          <w:rFonts w:hint="eastAsia" w:cs="Times New Roman"/>
          <w:color w:val="000000"/>
        </w:rPr>
        <w:t>（2）</w:t>
      </w:r>
      <w:r>
        <w:rPr>
          <w:rFonts w:cs="Times New Roman"/>
          <w:color w:val="000000"/>
        </w:rPr>
        <w:t>易燃易爆、有毒有害物质统计</w:t>
      </w:r>
    </w:p>
    <w:p w14:paraId="093AD3B1">
      <w:pPr>
        <w:ind w:firstLine="480"/>
        <w:rPr>
          <w:rFonts w:cs="Times New Roman"/>
          <w:color w:val="000000"/>
        </w:rPr>
      </w:pPr>
      <w:r>
        <w:rPr>
          <w:rFonts w:cs="Times New Roman"/>
          <w:color w:val="000000"/>
        </w:rPr>
        <w:t>通过对照《建设项目环境风险评价技术导则》（HJ 169-2018）及对产品、主要原辅材料的物性</w:t>
      </w:r>
      <w:r>
        <w:rPr>
          <w:rFonts w:ascii="宋体" w:hAnsi="宋体" w:cs="Times New Roman"/>
          <w:color w:val="000000"/>
        </w:rPr>
        <w:t>(危险性和毒性)</w:t>
      </w:r>
      <w:r>
        <w:rPr>
          <w:rFonts w:cs="Times New Roman"/>
          <w:color w:val="000000"/>
        </w:rPr>
        <w:t>的分析，得出</w:t>
      </w:r>
      <w:r>
        <w:rPr>
          <w:rFonts w:hint="eastAsia" w:cs="Times New Roman"/>
          <w:color w:val="000000"/>
        </w:rPr>
        <w:t>现有</w:t>
      </w:r>
      <w:r>
        <w:rPr>
          <w:rFonts w:cs="Times New Roman"/>
          <w:color w:val="000000"/>
        </w:rPr>
        <w:t>项目涉及到的易燃易爆、有毒有害物质，具体见表5.6.1-4。</w:t>
      </w:r>
    </w:p>
    <w:p w14:paraId="30D7F349">
      <w:pPr>
        <w:ind w:firstLine="480"/>
        <w:jc w:val="center"/>
        <w:rPr>
          <w:rFonts w:eastAsia="黑体" w:cs="Times New Roman"/>
          <w:color w:val="000000"/>
        </w:rPr>
      </w:pPr>
      <w:r>
        <w:rPr>
          <w:rFonts w:eastAsia="黑体" w:cs="Times New Roman"/>
          <w:color w:val="000000"/>
        </w:rPr>
        <w:t>表</w:t>
      </w:r>
      <w:r>
        <w:rPr>
          <w:rFonts w:cs="Times New Roman"/>
          <w:color w:val="000000"/>
        </w:rPr>
        <w:t>5.6.1</w:t>
      </w:r>
      <w:r>
        <w:rPr>
          <w:rFonts w:eastAsia="黑体" w:cs="Times New Roman"/>
          <w:color w:val="000000"/>
        </w:rPr>
        <w:t xml:space="preserve">-4  </w:t>
      </w:r>
      <w:r>
        <w:rPr>
          <w:rFonts w:hint="eastAsia" w:eastAsia="黑体" w:cs="Times New Roman"/>
          <w:color w:val="000000"/>
        </w:rPr>
        <w:t>现有项目</w:t>
      </w:r>
      <w:r>
        <w:rPr>
          <w:rFonts w:eastAsia="黑体" w:cs="Times New Roman"/>
          <w:color w:val="000000"/>
        </w:rPr>
        <w:t>易燃易爆、有毒有害物质一览表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778"/>
        <w:gridCol w:w="6382"/>
      </w:tblGrid>
      <w:tr w14:paraId="38A67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8" w:type="pct"/>
            <w:gridSpan w:val="2"/>
            <w:vAlign w:val="center"/>
          </w:tcPr>
          <w:p w14:paraId="679D0405">
            <w:pPr>
              <w:pStyle w:val="445"/>
              <w:rPr>
                <w:rFonts w:cs="Times New Roman"/>
                <w:kern w:val="0"/>
                <w:szCs w:val="20"/>
              </w:rPr>
            </w:pPr>
            <w:r>
              <w:rPr>
                <w:rFonts w:cs="Times New Roman"/>
                <w:kern w:val="0"/>
                <w:szCs w:val="20"/>
              </w:rPr>
              <w:t>类别</w:t>
            </w:r>
          </w:p>
        </w:tc>
        <w:tc>
          <w:tcPr>
            <w:tcW w:w="3452" w:type="pct"/>
            <w:vAlign w:val="center"/>
          </w:tcPr>
          <w:p w14:paraId="0DB01F1E">
            <w:pPr>
              <w:pStyle w:val="445"/>
              <w:rPr>
                <w:rFonts w:cs="Times New Roman"/>
                <w:kern w:val="0"/>
                <w:szCs w:val="20"/>
              </w:rPr>
            </w:pPr>
            <w:r>
              <w:rPr>
                <w:rFonts w:cs="Times New Roman"/>
                <w:kern w:val="0"/>
                <w:szCs w:val="20"/>
              </w:rPr>
              <w:t>物质</w:t>
            </w:r>
          </w:p>
        </w:tc>
      </w:tr>
      <w:tr w14:paraId="28A2D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6" w:type="pct"/>
            <w:vMerge w:val="restart"/>
            <w:vAlign w:val="center"/>
          </w:tcPr>
          <w:p w14:paraId="6592AE4D">
            <w:pPr>
              <w:pStyle w:val="445"/>
              <w:rPr>
                <w:rFonts w:cs="Times New Roman"/>
                <w:kern w:val="0"/>
                <w:szCs w:val="20"/>
              </w:rPr>
            </w:pPr>
            <w:r>
              <w:rPr>
                <w:rFonts w:cs="Times New Roman"/>
                <w:kern w:val="0"/>
                <w:szCs w:val="20"/>
              </w:rPr>
              <w:t>有毒物质</w:t>
            </w:r>
          </w:p>
        </w:tc>
        <w:tc>
          <w:tcPr>
            <w:tcW w:w="962" w:type="pct"/>
            <w:vAlign w:val="center"/>
          </w:tcPr>
          <w:p w14:paraId="4735BF20">
            <w:pPr>
              <w:pStyle w:val="445"/>
              <w:rPr>
                <w:rFonts w:cs="Times New Roman"/>
                <w:kern w:val="0"/>
                <w:szCs w:val="20"/>
              </w:rPr>
            </w:pPr>
            <w:r>
              <w:rPr>
                <w:rFonts w:hint="eastAsia" w:cs="Times New Roman"/>
                <w:kern w:val="0"/>
                <w:szCs w:val="20"/>
              </w:rPr>
              <w:t>高</w:t>
            </w:r>
            <w:r>
              <w:rPr>
                <w:rFonts w:cs="Times New Roman"/>
                <w:kern w:val="0"/>
                <w:szCs w:val="20"/>
              </w:rPr>
              <w:t>毒</w:t>
            </w:r>
          </w:p>
        </w:tc>
        <w:tc>
          <w:tcPr>
            <w:tcW w:w="3452" w:type="pct"/>
            <w:vAlign w:val="center"/>
          </w:tcPr>
          <w:p w14:paraId="73F211D4">
            <w:pPr>
              <w:pStyle w:val="445"/>
              <w:rPr>
                <w:rFonts w:cs="Times New Roman"/>
                <w:kern w:val="0"/>
                <w:szCs w:val="20"/>
              </w:rPr>
            </w:pPr>
            <w:r>
              <w:rPr>
                <w:rFonts w:hint="eastAsia" w:cs="Times New Roman"/>
                <w:kern w:val="0"/>
                <w:szCs w:val="21"/>
              </w:rPr>
              <w:t>四氯化钛</w:t>
            </w:r>
          </w:p>
        </w:tc>
      </w:tr>
      <w:tr w14:paraId="290D6C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6" w:type="pct"/>
            <w:vMerge w:val="continue"/>
            <w:vAlign w:val="center"/>
          </w:tcPr>
          <w:p w14:paraId="649EA727">
            <w:pPr>
              <w:pStyle w:val="445"/>
              <w:rPr>
                <w:rFonts w:cs="Times New Roman"/>
                <w:kern w:val="0"/>
                <w:szCs w:val="20"/>
              </w:rPr>
            </w:pPr>
          </w:p>
        </w:tc>
        <w:tc>
          <w:tcPr>
            <w:tcW w:w="962" w:type="pct"/>
            <w:vAlign w:val="center"/>
          </w:tcPr>
          <w:p w14:paraId="357F70A4">
            <w:pPr>
              <w:pStyle w:val="445"/>
              <w:rPr>
                <w:rFonts w:cs="Times New Roman"/>
                <w:kern w:val="0"/>
                <w:szCs w:val="20"/>
              </w:rPr>
            </w:pPr>
            <w:r>
              <w:rPr>
                <w:rFonts w:hint="eastAsia" w:cs="Times New Roman"/>
                <w:kern w:val="0"/>
                <w:szCs w:val="20"/>
              </w:rPr>
              <w:t>中等</w:t>
            </w:r>
            <w:r>
              <w:rPr>
                <w:rFonts w:cs="Times New Roman"/>
                <w:kern w:val="0"/>
                <w:szCs w:val="20"/>
              </w:rPr>
              <w:t>毒性</w:t>
            </w:r>
          </w:p>
        </w:tc>
        <w:tc>
          <w:tcPr>
            <w:tcW w:w="3452" w:type="pct"/>
            <w:vAlign w:val="center"/>
          </w:tcPr>
          <w:p w14:paraId="75110583">
            <w:pPr>
              <w:pStyle w:val="445"/>
              <w:rPr>
                <w:rFonts w:cs="Times New Roman"/>
                <w:kern w:val="0"/>
                <w:szCs w:val="21"/>
              </w:rPr>
            </w:pPr>
            <w:r>
              <w:rPr>
                <w:rFonts w:hint="eastAsia" w:cs="Times New Roman"/>
                <w:kern w:val="0"/>
                <w:szCs w:val="21"/>
              </w:rPr>
              <w:t>硫酸</w:t>
            </w:r>
          </w:p>
        </w:tc>
      </w:tr>
      <w:tr w14:paraId="47C22A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6" w:type="pct"/>
            <w:vMerge w:val="continue"/>
            <w:vAlign w:val="center"/>
          </w:tcPr>
          <w:p w14:paraId="0B47C1B8">
            <w:pPr>
              <w:pStyle w:val="445"/>
              <w:rPr>
                <w:rFonts w:cs="Times New Roman"/>
                <w:kern w:val="0"/>
                <w:szCs w:val="20"/>
              </w:rPr>
            </w:pPr>
          </w:p>
        </w:tc>
        <w:tc>
          <w:tcPr>
            <w:tcW w:w="962" w:type="pct"/>
            <w:vAlign w:val="center"/>
          </w:tcPr>
          <w:p w14:paraId="5ADF6724">
            <w:pPr>
              <w:pStyle w:val="445"/>
              <w:rPr>
                <w:rFonts w:cs="Times New Roman"/>
                <w:kern w:val="0"/>
                <w:szCs w:val="20"/>
              </w:rPr>
            </w:pPr>
            <w:r>
              <w:rPr>
                <w:rFonts w:hint="eastAsia" w:cs="Times New Roman"/>
                <w:kern w:val="0"/>
                <w:szCs w:val="20"/>
              </w:rPr>
              <w:t>低毒</w:t>
            </w:r>
          </w:p>
        </w:tc>
        <w:tc>
          <w:tcPr>
            <w:tcW w:w="3452" w:type="pct"/>
            <w:vAlign w:val="center"/>
          </w:tcPr>
          <w:p w14:paraId="4784ABDD">
            <w:pPr>
              <w:pStyle w:val="445"/>
              <w:rPr>
                <w:rFonts w:cs="Times New Roman"/>
                <w:kern w:val="0"/>
                <w:szCs w:val="20"/>
              </w:rPr>
            </w:pPr>
            <w:r>
              <w:rPr>
                <w:rFonts w:hint="eastAsia" w:cs="Times New Roman"/>
                <w:kern w:val="0"/>
                <w:szCs w:val="21"/>
              </w:rPr>
              <w:t>氨水</w:t>
            </w:r>
          </w:p>
        </w:tc>
      </w:tr>
      <w:tr w14:paraId="4A8EC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8" w:type="pct"/>
            <w:gridSpan w:val="2"/>
            <w:vAlign w:val="center"/>
          </w:tcPr>
          <w:p w14:paraId="2FB09420">
            <w:pPr>
              <w:pStyle w:val="445"/>
              <w:rPr>
                <w:rFonts w:cs="Times New Roman"/>
                <w:kern w:val="0"/>
                <w:szCs w:val="20"/>
              </w:rPr>
            </w:pPr>
            <w:r>
              <w:rPr>
                <w:rFonts w:cs="Times New Roman"/>
                <w:kern w:val="0"/>
                <w:szCs w:val="20"/>
              </w:rPr>
              <w:t>腐蚀性物质</w:t>
            </w:r>
          </w:p>
        </w:tc>
        <w:tc>
          <w:tcPr>
            <w:tcW w:w="3452" w:type="pct"/>
            <w:vAlign w:val="center"/>
          </w:tcPr>
          <w:p w14:paraId="242F6DA9">
            <w:pPr>
              <w:pStyle w:val="445"/>
              <w:rPr>
                <w:rFonts w:cs="Times New Roman"/>
                <w:kern w:val="0"/>
                <w:szCs w:val="21"/>
              </w:rPr>
            </w:pPr>
            <w:r>
              <w:rPr>
                <w:rFonts w:hint="eastAsia" w:cs="Times New Roman"/>
                <w:kern w:val="0"/>
                <w:szCs w:val="21"/>
              </w:rPr>
              <w:t>硫酸、</w:t>
            </w:r>
            <w:r>
              <w:rPr>
                <w:rFonts w:cs="Times New Roman"/>
                <w:kern w:val="0"/>
                <w:szCs w:val="21"/>
              </w:rPr>
              <w:t>氨水</w:t>
            </w:r>
          </w:p>
        </w:tc>
      </w:tr>
    </w:tbl>
    <w:p w14:paraId="6AF49EEE">
      <w:pPr>
        <w:ind w:firstLine="360"/>
        <w:rPr>
          <w:rFonts w:cs="Times New Roman"/>
          <w:color w:val="000000"/>
          <w:kern w:val="0"/>
          <w:sz w:val="18"/>
          <w:szCs w:val="18"/>
        </w:rPr>
      </w:pPr>
      <w:r>
        <w:rPr>
          <w:rFonts w:cs="Times New Roman"/>
          <w:color w:val="000000"/>
          <w:kern w:val="0"/>
          <w:sz w:val="18"/>
          <w:szCs w:val="18"/>
        </w:rPr>
        <w:t>注：</w:t>
      </w:r>
      <w:r>
        <w:rPr>
          <w:rFonts w:cs="Times New Roman"/>
          <w:b/>
          <w:color w:val="000000"/>
          <w:kern w:val="0"/>
          <w:sz w:val="18"/>
          <w:szCs w:val="18"/>
        </w:rPr>
        <w:t>*</w:t>
      </w:r>
      <w:r>
        <w:rPr>
          <w:rFonts w:cs="Times New Roman"/>
          <w:color w:val="000000"/>
          <w:kern w:val="0"/>
          <w:sz w:val="18"/>
          <w:szCs w:val="18"/>
        </w:rPr>
        <w:t>是根据《危险货物品名表》（GB12268-2012）中腐蚀性物质确定的。</w:t>
      </w:r>
    </w:p>
    <w:p w14:paraId="45820D84">
      <w:pPr>
        <w:ind w:firstLine="480"/>
        <w:rPr>
          <w:rFonts w:cs="Times New Roman"/>
          <w:color w:val="000000"/>
        </w:rPr>
      </w:pPr>
      <w:r>
        <w:rPr>
          <w:rFonts w:cs="Times New Roman"/>
          <w:color w:val="000000"/>
        </w:rPr>
        <w:t>经与《建设项目环境风险评价技术导则》（HJ 169-2018）对照，现有工程</w:t>
      </w:r>
      <w:r>
        <w:rPr>
          <w:rFonts w:hint="eastAsia" w:cs="Times New Roman"/>
          <w:color w:val="000000"/>
        </w:rPr>
        <w:t>风险</w:t>
      </w:r>
      <w:r>
        <w:rPr>
          <w:rFonts w:cs="Times New Roman"/>
          <w:color w:val="000000"/>
        </w:rPr>
        <w:t>物质临界量对比情况见表5.6.1</w:t>
      </w:r>
      <w:r>
        <w:rPr>
          <w:rFonts w:eastAsia="黑体" w:cs="Times New Roman"/>
          <w:color w:val="000000"/>
        </w:rPr>
        <w:t>-5</w:t>
      </w:r>
      <w:r>
        <w:rPr>
          <w:rFonts w:cs="Times New Roman"/>
          <w:color w:val="000000"/>
        </w:rPr>
        <w:t>。</w:t>
      </w:r>
    </w:p>
    <w:p w14:paraId="38B97AE4">
      <w:pPr>
        <w:spacing w:line="500" w:lineRule="exact"/>
        <w:ind w:firstLine="480"/>
        <w:jc w:val="center"/>
        <w:rPr>
          <w:rFonts w:eastAsia="黑体" w:cs="Times New Roman"/>
          <w:color w:val="000000"/>
        </w:rPr>
      </w:pPr>
    </w:p>
    <w:p w14:paraId="669BA04B">
      <w:pPr>
        <w:spacing w:line="500" w:lineRule="exact"/>
        <w:ind w:firstLine="480"/>
        <w:jc w:val="center"/>
        <w:rPr>
          <w:rFonts w:eastAsia="黑体" w:cs="Times New Roman"/>
          <w:color w:val="000000"/>
        </w:rPr>
      </w:pPr>
      <w:r>
        <w:rPr>
          <w:rFonts w:eastAsia="黑体" w:cs="Times New Roman"/>
          <w:color w:val="000000"/>
        </w:rPr>
        <w:t>表</w:t>
      </w:r>
      <w:r>
        <w:rPr>
          <w:rFonts w:cs="Times New Roman"/>
          <w:color w:val="000000"/>
        </w:rPr>
        <w:t>5.6.1</w:t>
      </w:r>
      <w:r>
        <w:rPr>
          <w:rFonts w:eastAsia="黑体" w:cs="Times New Roman"/>
          <w:color w:val="000000"/>
        </w:rPr>
        <w:t xml:space="preserve">-5  </w:t>
      </w:r>
      <w:r>
        <w:rPr>
          <w:rFonts w:hint="eastAsia" w:eastAsia="黑体" w:cs="Times New Roman"/>
          <w:color w:val="000000"/>
        </w:rPr>
        <w:t>风险物质</w:t>
      </w:r>
      <w:r>
        <w:rPr>
          <w:rFonts w:eastAsia="黑体" w:cs="Times New Roman"/>
          <w:color w:val="000000"/>
        </w:rPr>
        <w:t>临界量（单位：t）</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1947"/>
        <w:gridCol w:w="1215"/>
        <w:gridCol w:w="1375"/>
        <w:gridCol w:w="1235"/>
        <w:gridCol w:w="1335"/>
        <w:gridCol w:w="1532"/>
      </w:tblGrid>
      <w:tr w14:paraId="16F2BE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7" w:type="pct"/>
            <w:vAlign w:val="center"/>
          </w:tcPr>
          <w:p w14:paraId="7B614A30">
            <w:pPr>
              <w:pStyle w:val="445"/>
              <w:rPr>
                <w:rFonts w:cs="Times New Roman"/>
                <w:kern w:val="0"/>
                <w:szCs w:val="20"/>
              </w:rPr>
            </w:pPr>
            <w:r>
              <w:rPr>
                <w:rFonts w:cs="Times New Roman"/>
                <w:kern w:val="0"/>
                <w:szCs w:val="20"/>
              </w:rPr>
              <w:t>序号</w:t>
            </w:r>
          </w:p>
        </w:tc>
        <w:tc>
          <w:tcPr>
            <w:tcW w:w="1053" w:type="pct"/>
            <w:vAlign w:val="center"/>
          </w:tcPr>
          <w:p w14:paraId="5E6817AF">
            <w:pPr>
              <w:pStyle w:val="445"/>
              <w:rPr>
                <w:rFonts w:cs="Times New Roman"/>
                <w:kern w:val="0"/>
                <w:szCs w:val="20"/>
              </w:rPr>
            </w:pPr>
            <w:r>
              <w:rPr>
                <w:rFonts w:cs="Times New Roman"/>
                <w:kern w:val="0"/>
                <w:szCs w:val="20"/>
              </w:rPr>
              <w:t>物质名称</w:t>
            </w:r>
          </w:p>
        </w:tc>
        <w:tc>
          <w:tcPr>
            <w:tcW w:w="657" w:type="pct"/>
            <w:vAlign w:val="center"/>
          </w:tcPr>
          <w:p w14:paraId="5A618557">
            <w:pPr>
              <w:pStyle w:val="445"/>
              <w:rPr>
                <w:rFonts w:cs="Times New Roman"/>
                <w:kern w:val="0"/>
                <w:szCs w:val="20"/>
              </w:rPr>
            </w:pPr>
            <w:r>
              <w:rPr>
                <w:rFonts w:cs="Times New Roman"/>
                <w:kern w:val="0"/>
                <w:szCs w:val="20"/>
              </w:rPr>
              <w:t>CAS号</w:t>
            </w:r>
          </w:p>
        </w:tc>
        <w:tc>
          <w:tcPr>
            <w:tcW w:w="744" w:type="pct"/>
            <w:vAlign w:val="center"/>
          </w:tcPr>
          <w:p w14:paraId="6A45429B">
            <w:pPr>
              <w:pStyle w:val="445"/>
              <w:rPr>
                <w:rFonts w:cs="Times New Roman"/>
                <w:kern w:val="0"/>
                <w:szCs w:val="20"/>
              </w:rPr>
            </w:pPr>
            <w:r>
              <w:rPr>
                <w:rFonts w:hint="eastAsia" w:cs="Times New Roman"/>
                <w:kern w:val="0"/>
                <w:szCs w:val="20"/>
              </w:rPr>
              <w:t>最大</w:t>
            </w:r>
            <w:r>
              <w:rPr>
                <w:rFonts w:cs="Times New Roman"/>
                <w:kern w:val="0"/>
                <w:szCs w:val="20"/>
              </w:rPr>
              <w:t>储存量</w:t>
            </w:r>
            <w:r>
              <w:rPr>
                <w:rFonts w:hint="eastAsia" w:cs="Times New Roman"/>
                <w:kern w:val="0"/>
                <w:szCs w:val="20"/>
              </w:rPr>
              <w:t>q</w:t>
            </w:r>
            <w:r>
              <w:rPr>
                <w:rFonts w:cs="Times New Roman"/>
                <w:kern w:val="0"/>
                <w:szCs w:val="20"/>
              </w:rPr>
              <w:t>n/t</w:t>
            </w:r>
          </w:p>
        </w:tc>
        <w:tc>
          <w:tcPr>
            <w:tcW w:w="668" w:type="pct"/>
            <w:vAlign w:val="center"/>
          </w:tcPr>
          <w:p w14:paraId="7E1912A4">
            <w:pPr>
              <w:pStyle w:val="445"/>
              <w:rPr>
                <w:rFonts w:cs="Times New Roman"/>
                <w:kern w:val="0"/>
                <w:szCs w:val="20"/>
              </w:rPr>
            </w:pPr>
            <w:r>
              <w:rPr>
                <w:rFonts w:hint="eastAsia" w:cs="Times New Roman"/>
                <w:kern w:val="0"/>
                <w:szCs w:val="20"/>
              </w:rPr>
              <w:t>在线量q</w:t>
            </w:r>
            <w:r>
              <w:rPr>
                <w:rFonts w:cs="Times New Roman"/>
                <w:kern w:val="0"/>
                <w:szCs w:val="20"/>
              </w:rPr>
              <w:t>n/t</w:t>
            </w:r>
          </w:p>
        </w:tc>
        <w:tc>
          <w:tcPr>
            <w:tcW w:w="722" w:type="pct"/>
            <w:vAlign w:val="center"/>
          </w:tcPr>
          <w:p w14:paraId="22ED11B8">
            <w:pPr>
              <w:pStyle w:val="445"/>
              <w:rPr>
                <w:rFonts w:cs="Times New Roman"/>
                <w:kern w:val="0"/>
                <w:szCs w:val="20"/>
              </w:rPr>
            </w:pPr>
            <w:r>
              <w:rPr>
                <w:rFonts w:hint="eastAsia" w:cs="Times New Roman"/>
                <w:kern w:val="0"/>
                <w:szCs w:val="20"/>
              </w:rPr>
              <w:t>厂区</w:t>
            </w:r>
            <w:r>
              <w:rPr>
                <w:rFonts w:cs="Times New Roman"/>
                <w:kern w:val="0"/>
                <w:szCs w:val="20"/>
              </w:rPr>
              <w:t>最大存在量</w:t>
            </w:r>
            <w:r>
              <w:rPr>
                <w:rFonts w:hint="eastAsia" w:cs="Times New Roman"/>
                <w:kern w:val="0"/>
                <w:szCs w:val="20"/>
              </w:rPr>
              <w:t>q</w:t>
            </w:r>
            <w:r>
              <w:rPr>
                <w:rFonts w:cs="Times New Roman"/>
                <w:kern w:val="0"/>
                <w:szCs w:val="20"/>
              </w:rPr>
              <w:t>n/t</w:t>
            </w:r>
          </w:p>
        </w:tc>
        <w:tc>
          <w:tcPr>
            <w:tcW w:w="829" w:type="pct"/>
            <w:vAlign w:val="center"/>
          </w:tcPr>
          <w:p w14:paraId="7BCD884C">
            <w:pPr>
              <w:pStyle w:val="445"/>
              <w:rPr>
                <w:rFonts w:cs="Times New Roman"/>
                <w:kern w:val="0"/>
                <w:szCs w:val="20"/>
              </w:rPr>
            </w:pPr>
            <w:r>
              <w:rPr>
                <w:rFonts w:hint="eastAsia" w:cs="Times New Roman"/>
                <w:kern w:val="0"/>
                <w:szCs w:val="20"/>
              </w:rPr>
              <w:t>临界量Q</w:t>
            </w:r>
            <w:r>
              <w:rPr>
                <w:rFonts w:cs="Times New Roman"/>
                <w:kern w:val="0"/>
                <w:szCs w:val="20"/>
              </w:rPr>
              <w:t>n/t</w:t>
            </w:r>
          </w:p>
        </w:tc>
      </w:tr>
      <w:tr w14:paraId="3141D8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7" w:type="pct"/>
            <w:vAlign w:val="center"/>
          </w:tcPr>
          <w:p w14:paraId="797973CA">
            <w:pPr>
              <w:pStyle w:val="445"/>
              <w:rPr>
                <w:rFonts w:cs="Times New Roman"/>
                <w:kern w:val="0"/>
                <w:szCs w:val="20"/>
              </w:rPr>
            </w:pPr>
            <w:r>
              <w:rPr>
                <w:rFonts w:cs="Times New Roman"/>
                <w:kern w:val="0"/>
                <w:szCs w:val="20"/>
              </w:rPr>
              <w:t>1</w:t>
            </w:r>
          </w:p>
        </w:tc>
        <w:tc>
          <w:tcPr>
            <w:tcW w:w="1053" w:type="pct"/>
            <w:vAlign w:val="center"/>
          </w:tcPr>
          <w:p w14:paraId="435C04B8">
            <w:pPr>
              <w:pStyle w:val="445"/>
              <w:rPr>
                <w:rFonts w:cs="Times New Roman"/>
                <w:kern w:val="0"/>
                <w:szCs w:val="21"/>
              </w:rPr>
            </w:pPr>
            <w:r>
              <w:rPr>
                <w:rFonts w:cs="Times New Roman"/>
                <w:kern w:val="0"/>
                <w:szCs w:val="20"/>
              </w:rPr>
              <w:t>四氯化钛</w:t>
            </w:r>
          </w:p>
        </w:tc>
        <w:tc>
          <w:tcPr>
            <w:tcW w:w="657" w:type="pct"/>
            <w:vAlign w:val="center"/>
          </w:tcPr>
          <w:p w14:paraId="3C2DD5E5">
            <w:pPr>
              <w:pStyle w:val="445"/>
              <w:rPr>
                <w:rFonts w:cs="Times New Roman"/>
                <w:kern w:val="0"/>
                <w:szCs w:val="20"/>
              </w:rPr>
            </w:pPr>
            <w:r>
              <w:rPr>
                <w:rFonts w:hint="eastAsia" w:cs="Times New Roman"/>
                <w:kern w:val="0"/>
                <w:szCs w:val="20"/>
              </w:rPr>
              <w:t>7782-</w:t>
            </w:r>
            <w:r>
              <w:rPr>
                <w:rFonts w:cs="Times New Roman"/>
                <w:kern w:val="0"/>
                <w:szCs w:val="20"/>
              </w:rPr>
              <w:t>50-5</w:t>
            </w:r>
          </w:p>
        </w:tc>
        <w:tc>
          <w:tcPr>
            <w:tcW w:w="744" w:type="pct"/>
            <w:vAlign w:val="center"/>
          </w:tcPr>
          <w:p w14:paraId="45737DDE">
            <w:pPr>
              <w:pStyle w:val="445"/>
              <w:rPr>
                <w:rFonts w:cs="Times New Roman"/>
                <w:kern w:val="0"/>
                <w:szCs w:val="20"/>
              </w:rPr>
            </w:pPr>
            <w:r>
              <w:rPr>
                <w:rFonts w:cs="Times New Roman"/>
                <w:kern w:val="0"/>
                <w:szCs w:val="20"/>
              </w:rPr>
              <w:t>60</w:t>
            </w:r>
          </w:p>
        </w:tc>
        <w:tc>
          <w:tcPr>
            <w:tcW w:w="668" w:type="pct"/>
            <w:vAlign w:val="center"/>
          </w:tcPr>
          <w:p w14:paraId="7AB09904">
            <w:pPr>
              <w:pStyle w:val="445"/>
              <w:rPr>
                <w:rFonts w:cs="Times New Roman"/>
                <w:kern w:val="0"/>
                <w:szCs w:val="21"/>
              </w:rPr>
            </w:pPr>
            <w:r>
              <w:rPr>
                <w:rFonts w:cs="Times New Roman"/>
                <w:kern w:val="0"/>
                <w:szCs w:val="21"/>
              </w:rPr>
              <w:t>0.01</w:t>
            </w:r>
          </w:p>
        </w:tc>
        <w:tc>
          <w:tcPr>
            <w:tcW w:w="722" w:type="pct"/>
            <w:vAlign w:val="center"/>
          </w:tcPr>
          <w:p w14:paraId="63EB39D1">
            <w:pPr>
              <w:pStyle w:val="445"/>
              <w:rPr>
                <w:rFonts w:cs="Times New Roman"/>
                <w:kern w:val="0"/>
                <w:szCs w:val="20"/>
              </w:rPr>
            </w:pPr>
            <w:r>
              <w:rPr>
                <w:rFonts w:cs="Times New Roman"/>
                <w:kern w:val="0"/>
                <w:szCs w:val="20"/>
              </w:rPr>
              <w:t>60.01</w:t>
            </w:r>
          </w:p>
        </w:tc>
        <w:tc>
          <w:tcPr>
            <w:tcW w:w="829" w:type="pct"/>
            <w:vAlign w:val="center"/>
          </w:tcPr>
          <w:p w14:paraId="5216016F">
            <w:pPr>
              <w:pStyle w:val="445"/>
              <w:rPr>
                <w:rFonts w:cs="Times New Roman"/>
                <w:kern w:val="0"/>
                <w:szCs w:val="20"/>
              </w:rPr>
            </w:pPr>
            <w:r>
              <w:rPr>
                <w:rFonts w:hint="eastAsia" w:cs="Times New Roman"/>
                <w:kern w:val="0"/>
                <w:szCs w:val="20"/>
              </w:rPr>
              <w:t>1</w:t>
            </w:r>
          </w:p>
        </w:tc>
      </w:tr>
      <w:tr w14:paraId="3205B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7" w:type="pct"/>
            <w:vAlign w:val="center"/>
          </w:tcPr>
          <w:p w14:paraId="461B1318">
            <w:pPr>
              <w:pStyle w:val="445"/>
              <w:rPr>
                <w:rFonts w:cs="Times New Roman"/>
                <w:kern w:val="0"/>
                <w:szCs w:val="20"/>
              </w:rPr>
            </w:pPr>
            <w:r>
              <w:rPr>
                <w:rFonts w:cs="Times New Roman"/>
                <w:kern w:val="0"/>
                <w:szCs w:val="20"/>
              </w:rPr>
              <w:t>2</w:t>
            </w:r>
          </w:p>
        </w:tc>
        <w:tc>
          <w:tcPr>
            <w:tcW w:w="1053" w:type="pct"/>
            <w:vAlign w:val="center"/>
          </w:tcPr>
          <w:p w14:paraId="17B857D6">
            <w:pPr>
              <w:pStyle w:val="445"/>
              <w:rPr>
                <w:rFonts w:cs="Times New Roman"/>
                <w:kern w:val="0"/>
                <w:szCs w:val="21"/>
              </w:rPr>
            </w:pPr>
            <w:r>
              <w:rPr>
                <w:rFonts w:cs="Times New Roman"/>
                <w:kern w:val="0"/>
                <w:szCs w:val="20"/>
              </w:rPr>
              <w:t>氨水</w:t>
            </w:r>
          </w:p>
        </w:tc>
        <w:tc>
          <w:tcPr>
            <w:tcW w:w="657" w:type="pct"/>
            <w:vAlign w:val="center"/>
          </w:tcPr>
          <w:p w14:paraId="160E7799">
            <w:pPr>
              <w:pStyle w:val="445"/>
              <w:rPr>
                <w:rFonts w:cs="Times New Roman"/>
                <w:kern w:val="0"/>
                <w:szCs w:val="20"/>
              </w:rPr>
            </w:pPr>
            <w:r>
              <w:rPr>
                <w:rFonts w:hint="eastAsia" w:cs="Times New Roman"/>
                <w:kern w:val="0"/>
                <w:szCs w:val="20"/>
              </w:rPr>
              <w:t>71-43-2</w:t>
            </w:r>
          </w:p>
        </w:tc>
        <w:tc>
          <w:tcPr>
            <w:tcW w:w="744" w:type="pct"/>
            <w:vAlign w:val="center"/>
          </w:tcPr>
          <w:p w14:paraId="440EEDAA">
            <w:pPr>
              <w:pStyle w:val="445"/>
              <w:rPr>
                <w:rFonts w:cs="Times New Roman"/>
                <w:kern w:val="0"/>
                <w:szCs w:val="20"/>
              </w:rPr>
            </w:pPr>
            <w:r>
              <w:rPr>
                <w:rFonts w:cs="Times New Roman"/>
                <w:kern w:val="0"/>
                <w:szCs w:val="20"/>
              </w:rPr>
              <w:t>18</w:t>
            </w:r>
          </w:p>
        </w:tc>
        <w:tc>
          <w:tcPr>
            <w:tcW w:w="668" w:type="pct"/>
            <w:vAlign w:val="center"/>
          </w:tcPr>
          <w:p w14:paraId="0BC07EBC">
            <w:pPr>
              <w:pStyle w:val="445"/>
              <w:rPr>
                <w:rFonts w:cs="Times New Roman"/>
                <w:kern w:val="0"/>
                <w:szCs w:val="21"/>
              </w:rPr>
            </w:pPr>
            <w:r>
              <w:rPr>
                <w:rFonts w:cs="Times New Roman"/>
                <w:kern w:val="0"/>
                <w:szCs w:val="21"/>
              </w:rPr>
              <w:t>0.01</w:t>
            </w:r>
          </w:p>
        </w:tc>
        <w:tc>
          <w:tcPr>
            <w:tcW w:w="722" w:type="pct"/>
            <w:vAlign w:val="center"/>
          </w:tcPr>
          <w:p w14:paraId="72CA9BF4">
            <w:pPr>
              <w:pStyle w:val="445"/>
              <w:rPr>
                <w:rFonts w:cs="Times New Roman"/>
                <w:kern w:val="0"/>
                <w:szCs w:val="20"/>
              </w:rPr>
            </w:pPr>
            <w:r>
              <w:rPr>
                <w:rFonts w:cs="Times New Roman"/>
                <w:kern w:val="0"/>
                <w:szCs w:val="20"/>
              </w:rPr>
              <w:t>18.01</w:t>
            </w:r>
          </w:p>
        </w:tc>
        <w:tc>
          <w:tcPr>
            <w:tcW w:w="829" w:type="pct"/>
            <w:vAlign w:val="center"/>
          </w:tcPr>
          <w:p w14:paraId="61CDDF8B">
            <w:pPr>
              <w:pStyle w:val="445"/>
              <w:rPr>
                <w:rFonts w:cs="Times New Roman"/>
                <w:kern w:val="0"/>
                <w:szCs w:val="20"/>
              </w:rPr>
            </w:pPr>
            <w:r>
              <w:rPr>
                <w:rFonts w:hint="eastAsia" w:cs="Times New Roman"/>
                <w:kern w:val="0"/>
                <w:szCs w:val="20"/>
              </w:rPr>
              <w:t>10</w:t>
            </w:r>
          </w:p>
        </w:tc>
      </w:tr>
      <w:tr w14:paraId="2A4F68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7" w:type="pct"/>
            <w:vAlign w:val="center"/>
          </w:tcPr>
          <w:p w14:paraId="1FCCFDC7">
            <w:pPr>
              <w:pStyle w:val="445"/>
              <w:rPr>
                <w:rFonts w:cs="Times New Roman"/>
                <w:kern w:val="0"/>
                <w:szCs w:val="20"/>
              </w:rPr>
            </w:pPr>
            <w:r>
              <w:rPr>
                <w:rFonts w:cs="Times New Roman"/>
                <w:kern w:val="0"/>
                <w:szCs w:val="20"/>
              </w:rPr>
              <w:t>3</w:t>
            </w:r>
          </w:p>
        </w:tc>
        <w:tc>
          <w:tcPr>
            <w:tcW w:w="1053" w:type="pct"/>
            <w:vAlign w:val="center"/>
          </w:tcPr>
          <w:p w14:paraId="163083E7">
            <w:pPr>
              <w:pStyle w:val="445"/>
              <w:rPr>
                <w:rFonts w:cs="Times New Roman"/>
                <w:kern w:val="0"/>
                <w:szCs w:val="21"/>
              </w:rPr>
            </w:pPr>
            <w:r>
              <w:rPr>
                <w:rFonts w:cs="Times New Roman"/>
                <w:kern w:val="0"/>
                <w:szCs w:val="20"/>
              </w:rPr>
              <w:t>硫酸</w:t>
            </w:r>
          </w:p>
        </w:tc>
        <w:tc>
          <w:tcPr>
            <w:tcW w:w="657" w:type="pct"/>
            <w:vAlign w:val="center"/>
          </w:tcPr>
          <w:p w14:paraId="5E40E8C4">
            <w:pPr>
              <w:pStyle w:val="445"/>
              <w:rPr>
                <w:rFonts w:cs="Times New Roman"/>
                <w:kern w:val="0"/>
                <w:szCs w:val="20"/>
              </w:rPr>
            </w:pPr>
            <w:r>
              <w:rPr>
                <w:rFonts w:hint="eastAsia" w:cs="Times New Roman"/>
                <w:kern w:val="0"/>
                <w:szCs w:val="20"/>
              </w:rPr>
              <w:t>1310-</w:t>
            </w:r>
            <w:r>
              <w:rPr>
                <w:rFonts w:cs="Times New Roman"/>
                <w:kern w:val="0"/>
                <w:szCs w:val="20"/>
              </w:rPr>
              <w:t>73-2</w:t>
            </w:r>
          </w:p>
        </w:tc>
        <w:tc>
          <w:tcPr>
            <w:tcW w:w="744" w:type="pct"/>
            <w:vAlign w:val="center"/>
          </w:tcPr>
          <w:p w14:paraId="7B2E9BB7">
            <w:pPr>
              <w:pStyle w:val="445"/>
              <w:rPr>
                <w:rFonts w:cs="Times New Roman"/>
                <w:kern w:val="0"/>
                <w:szCs w:val="20"/>
              </w:rPr>
            </w:pPr>
            <w:r>
              <w:rPr>
                <w:rFonts w:hint="eastAsia" w:cs="Times New Roman"/>
                <w:kern w:val="0"/>
                <w:szCs w:val="20"/>
              </w:rPr>
              <w:t>1</w:t>
            </w:r>
          </w:p>
        </w:tc>
        <w:tc>
          <w:tcPr>
            <w:tcW w:w="668" w:type="pct"/>
            <w:vAlign w:val="center"/>
          </w:tcPr>
          <w:p w14:paraId="4618A6A1">
            <w:pPr>
              <w:pStyle w:val="445"/>
              <w:rPr>
                <w:rFonts w:cs="Times New Roman"/>
                <w:kern w:val="0"/>
                <w:szCs w:val="21"/>
              </w:rPr>
            </w:pPr>
            <w:r>
              <w:rPr>
                <w:rFonts w:hint="eastAsia" w:cs="Times New Roman"/>
                <w:kern w:val="0"/>
                <w:szCs w:val="21"/>
              </w:rPr>
              <w:t>0</w:t>
            </w:r>
            <w:r>
              <w:rPr>
                <w:rFonts w:cs="Times New Roman"/>
                <w:kern w:val="0"/>
                <w:szCs w:val="21"/>
              </w:rPr>
              <w:t>.01</w:t>
            </w:r>
          </w:p>
        </w:tc>
        <w:tc>
          <w:tcPr>
            <w:tcW w:w="722" w:type="pct"/>
            <w:vAlign w:val="center"/>
          </w:tcPr>
          <w:p w14:paraId="3ABD3EBD">
            <w:pPr>
              <w:pStyle w:val="445"/>
              <w:rPr>
                <w:rFonts w:cs="Times New Roman"/>
                <w:kern w:val="0"/>
                <w:szCs w:val="20"/>
              </w:rPr>
            </w:pPr>
            <w:r>
              <w:rPr>
                <w:rFonts w:hint="eastAsia" w:cs="Times New Roman"/>
                <w:kern w:val="0"/>
                <w:szCs w:val="20"/>
              </w:rPr>
              <w:t>1</w:t>
            </w:r>
            <w:r>
              <w:rPr>
                <w:rFonts w:cs="Times New Roman"/>
                <w:kern w:val="0"/>
                <w:szCs w:val="20"/>
              </w:rPr>
              <w:t>.01</w:t>
            </w:r>
          </w:p>
        </w:tc>
        <w:tc>
          <w:tcPr>
            <w:tcW w:w="829" w:type="pct"/>
            <w:vAlign w:val="center"/>
          </w:tcPr>
          <w:p w14:paraId="091CA0BF">
            <w:pPr>
              <w:pStyle w:val="445"/>
              <w:rPr>
                <w:rFonts w:cs="Times New Roman"/>
                <w:kern w:val="0"/>
                <w:szCs w:val="20"/>
              </w:rPr>
            </w:pPr>
            <w:r>
              <w:rPr>
                <w:rFonts w:cs="Times New Roman"/>
                <w:kern w:val="0"/>
                <w:szCs w:val="20"/>
              </w:rPr>
              <w:t>5</w:t>
            </w:r>
          </w:p>
        </w:tc>
      </w:tr>
      <w:tr w14:paraId="3E634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7" w:type="pct"/>
            <w:vAlign w:val="center"/>
          </w:tcPr>
          <w:p w14:paraId="43752B49">
            <w:pPr>
              <w:pStyle w:val="445"/>
              <w:rPr>
                <w:rFonts w:cs="Times New Roman"/>
                <w:kern w:val="0"/>
                <w:szCs w:val="20"/>
              </w:rPr>
            </w:pPr>
            <w:r>
              <w:rPr>
                <w:rFonts w:cs="Times New Roman"/>
                <w:kern w:val="0"/>
                <w:szCs w:val="20"/>
              </w:rPr>
              <w:t>4</w:t>
            </w:r>
          </w:p>
        </w:tc>
        <w:tc>
          <w:tcPr>
            <w:tcW w:w="1053" w:type="pct"/>
            <w:vAlign w:val="center"/>
          </w:tcPr>
          <w:p w14:paraId="010A780C">
            <w:pPr>
              <w:pStyle w:val="445"/>
              <w:rPr>
                <w:rFonts w:cs="Times New Roman"/>
                <w:kern w:val="0"/>
                <w:szCs w:val="21"/>
              </w:rPr>
            </w:pPr>
            <w:r>
              <w:rPr>
                <w:rFonts w:hint="eastAsia" w:cs="Times New Roman"/>
                <w:kern w:val="0"/>
                <w:szCs w:val="20"/>
              </w:rPr>
              <w:t>硫酸铵</w:t>
            </w:r>
          </w:p>
        </w:tc>
        <w:tc>
          <w:tcPr>
            <w:tcW w:w="657" w:type="pct"/>
            <w:vAlign w:val="center"/>
          </w:tcPr>
          <w:p w14:paraId="09AC26C0">
            <w:pPr>
              <w:pStyle w:val="445"/>
              <w:rPr>
                <w:rFonts w:cs="Times New Roman"/>
                <w:kern w:val="0"/>
                <w:szCs w:val="20"/>
              </w:rPr>
            </w:pPr>
            <w:r>
              <w:rPr>
                <w:rFonts w:hint="eastAsia" w:cs="Times New Roman"/>
                <w:kern w:val="0"/>
                <w:szCs w:val="20"/>
              </w:rPr>
              <w:t>108-90</w:t>
            </w:r>
            <w:r>
              <w:rPr>
                <w:rFonts w:cs="Times New Roman"/>
                <w:kern w:val="0"/>
                <w:szCs w:val="20"/>
              </w:rPr>
              <w:t>-7</w:t>
            </w:r>
          </w:p>
        </w:tc>
        <w:tc>
          <w:tcPr>
            <w:tcW w:w="744" w:type="pct"/>
            <w:vAlign w:val="center"/>
          </w:tcPr>
          <w:p w14:paraId="2C5744AE">
            <w:pPr>
              <w:pStyle w:val="445"/>
              <w:rPr>
                <w:rFonts w:cs="Times New Roman"/>
                <w:kern w:val="0"/>
                <w:szCs w:val="20"/>
              </w:rPr>
            </w:pPr>
            <w:r>
              <w:rPr>
                <w:rFonts w:cs="Times New Roman"/>
                <w:kern w:val="0"/>
                <w:szCs w:val="20"/>
              </w:rPr>
              <w:t>20</w:t>
            </w:r>
          </w:p>
        </w:tc>
        <w:tc>
          <w:tcPr>
            <w:tcW w:w="668" w:type="pct"/>
            <w:vAlign w:val="center"/>
          </w:tcPr>
          <w:p w14:paraId="2AF29DA4">
            <w:pPr>
              <w:pStyle w:val="445"/>
              <w:rPr>
                <w:rFonts w:cs="Times New Roman"/>
                <w:kern w:val="0"/>
                <w:szCs w:val="21"/>
              </w:rPr>
            </w:pPr>
            <w:r>
              <w:rPr>
                <w:rFonts w:hint="eastAsia" w:cs="Times New Roman"/>
                <w:kern w:val="0"/>
                <w:szCs w:val="21"/>
              </w:rPr>
              <w:t>0.0</w:t>
            </w:r>
            <w:r>
              <w:rPr>
                <w:rFonts w:cs="Times New Roman"/>
                <w:kern w:val="0"/>
                <w:szCs w:val="21"/>
              </w:rPr>
              <w:t>1</w:t>
            </w:r>
          </w:p>
        </w:tc>
        <w:tc>
          <w:tcPr>
            <w:tcW w:w="722" w:type="pct"/>
            <w:vAlign w:val="center"/>
          </w:tcPr>
          <w:p w14:paraId="38967748">
            <w:pPr>
              <w:pStyle w:val="445"/>
              <w:rPr>
                <w:rFonts w:cs="Times New Roman"/>
                <w:kern w:val="0"/>
                <w:szCs w:val="20"/>
              </w:rPr>
            </w:pPr>
            <w:r>
              <w:rPr>
                <w:rFonts w:cs="Times New Roman"/>
                <w:kern w:val="0"/>
                <w:szCs w:val="20"/>
              </w:rPr>
              <w:t>20.01</w:t>
            </w:r>
          </w:p>
        </w:tc>
        <w:tc>
          <w:tcPr>
            <w:tcW w:w="829" w:type="pct"/>
            <w:vAlign w:val="center"/>
          </w:tcPr>
          <w:p w14:paraId="7F6AC70D">
            <w:pPr>
              <w:pStyle w:val="445"/>
              <w:rPr>
                <w:rFonts w:cs="Times New Roman"/>
                <w:kern w:val="0"/>
                <w:szCs w:val="20"/>
              </w:rPr>
            </w:pPr>
            <w:r>
              <w:rPr>
                <w:rFonts w:cs="Times New Roman"/>
                <w:kern w:val="0"/>
                <w:szCs w:val="20"/>
              </w:rPr>
              <w:t>10</w:t>
            </w:r>
          </w:p>
        </w:tc>
      </w:tr>
    </w:tbl>
    <w:p w14:paraId="37D35904">
      <w:pPr>
        <w:pStyle w:val="349"/>
      </w:pPr>
      <w:r>
        <w:t>5.6.1.2现有项目事故风险影响</w:t>
      </w:r>
    </w:p>
    <w:p w14:paraId="1B68CAFB">
      <w:pPr>
        <w:ind w:firstLine="480"/>
      </w:pPr>
      <w:r>
        <w:rPr>
          <w:rFonts w:hint="eastAsia"/>
        </w:rPr>
        <w:t>现有</w:t>
      </w:r>
      <w:r>
        <w:t>项目</w:t>
      </w:r>
      <w:r>
        <w:rPr>
          <w:rFonts w:hint="eastAsia"/>
        </w:rPr>
        <w:t>涉及</w:t>
      </w:r>
      <w:r>
        <w:t>的风险事故有天然气管道的泄漏、火灾及</w:t>
      </w:r>
      <w:r>
        <w:rPr>
          <w:rFonts w:hint="eastAsia"/>
        </w:rPr>
        <w:t>爆炸</w:t>
      </w:r>
      <w:r>
        <w:t>；危险化学品的</w:t>
      </w:r>
      <w:r>
        <w:rPr>
          <w:rFonts w:hint="eastAsia"/>
        </w:rPr>
        <w:t>泄漏</w:t>
      </w:r>
      <w:r>
        <w:t>。</w:t>
      </w:r>
    </w:p>
    <w:p w14:paraId="3571D380">
      <w:pPr>
        <w:ind w:firstLine="480"/>
      </w:pPr>
      <w:r>
        <w:rPr>
          <w:rFonts w:hint="eastAsia"/>
        </w:rPr>
        <w:t>（1）对大气</w:t>
      </w:r>
      <w:r>
        <w:t>环境的影响</w:t>
      </w:r>
    </w:p>
    <w:p w14:paraId="5E3808EA">
      <w:pPr>
        <w:ind w:firstLine="480"/>
      </w:pPr>
      <w:r>
        <w:rPr>
          <w:rFonts w:hint="eastAsia"/>
        </w:rPr>
        <w:t>事故状态下</w:t>
      </w:r>
      <w:r>
        <w:t>，四氯化钛</w:t>
      </w:r>
      <w:r>
        <w:rPr>
          <w:rFonts w:hint="eastAsia"/>
        </w:rPr>
        <w:t>和</w:t>
      </w:r>
      <w:r>
        <w:t>氨气</w:t>
      </w:r>
      <w:r>
        <w:rPr>
          <w:rFonts w:cs="Times New Roman"/>
          <w:bCs/>
          <w:color w:val="000000"/>
        </w:rPr>
        <w:t>对周围环境空气有一定影响，应高度重视，加强管理，避免风险事故的发生</w:t>
      </w:r>
      <w:r>
        <w:rPr>
          <w:rFonts w:hint="eastAsia" w:cs="Times New Roman"/>
          <w:bCs/>
          <w:color w:val="000000"/>
        </w:rPr>
        <w:t>。</w:t>
      </w:r>
      <w:r>
        <w:rPr>
          <w:rFonts w:hint="eastAsia"/>
        </w:rPr>
        <w:t>皮肤直接接触液态四氯化钛可引起不同程度的灼伤。其烟尘对呼吸道粘膜有强烈刺激作用。轻度中毒有喘息性支气管炎，严重者出现呼吸困难、呼吸脉搏加快、体温升高、咳嗽等，可发展成肺水肿；氨</w:t>
      </w:r>
      <w:r>
        <w:t>气</w:t>
      </w:r>
      <w:r>
        <w:rPr>
          <w:rFonts w:hint="eastAsia"/>
        </w:rPr>
        <w:t>能灼伤皮肤、眼睛、呼吸器官的粘膜，人吸入过多，能引起肺肿胀，以至死亡。</w:t>
      </w:r>
    </w:p>
    <w:p w14:paraId="328B4D54">
      <w:pPr>
        <w:ind w:firstLine="480"/>
        <w:rPr>
          <w:rFonts w:cs="Times New Roman"/>
          <w:bCs/>
          <w:color w:val="000000"/>
        </w:rPr>
      </w:pPr>
      <w:r>
        <w:rPr>
          <w:rFonts w:hint="eastAsia"/>
        </w:rPr>
        <w:t>（2）对</w:t>
      </w:r>
      <w:r>
        <w:rPr>
          <w:rFonts w:cs="Times New Roman"/>
          <w:bCs/>
          <w:color w:val="000000"/>
        </w:rPr>
        <w:t>水环境的影响</w:t>
      </w:r>
    </w:p>
    <w:p w14:paraId="0CF9903F">
      <w:pPr>
        <w:ind w:firstLine="480"/>
        <w:rPr>
          <w:rFonts w:cs="Times New Roman"/>
          <w:bCs/>
          <w:color w:val="000000"/>
        </w:rPr>
      </w:pPr>
      <w:r>
        <w:rPr>
          <w:rFonts w:cs="Times New Roman"/>
          <w:bCs/>
          <w:color w:val="000000"/>
        </w:rPr>
        <w:t>生产装置或者储罐发生泄漏或爆炸时，物料将外泻，若泄漏物料未经处理直接进入附近水体，将对附近水体造成很大的污染；若泄漏物料未经处理直接进污水处理厂，将对污水处理厂的生产造成一定的影响</w:t>
      </w:r>
      <w:r>
        <w:rPr>
          <w:rFonts w:hint="eastAsia" w:cs="Times New Roman"/>
          <w:bCs/>
          <w:color w:val="000000"/>
        </w:rPr>
        <w:t>。</w:t>
      </w:r>
    </w:p>
    <w:p w14:paraId="46FAFCB9">
      <w:pPr>
        <w:ind w:firstLine="480"/>
        <w:rPr>
          <w:rFonts w:cs="Times New Roman"/>
          <w:bCs/>
          <w:color w:val="000000"/>
        </w:rPr>
      </w:pPr>
      <w:r>
        <w:rPr>
          <w:rFonts w:hint="eastAsia" w:cs="Times New Roman"/>
          <w:bCs/>
          <w:color w:val="000000"/>
        </w:rPr>
        <w:t>（3）风险</w:t>
      </w:r>
      <w:r>
        <w:rPr>
          <w:rFonts w:cs="Times New Roman"/>
          <w:bCs/>
          <w:color w:val="000000"/>
        </w:rPr>
        <w:t>评价</w:t>
      </w:r>
    </w:p>
    <w:p w14:paraId="58D99BB5">
      <w:pPr>
        <w:ind w:firstLine="480"/>
      </w:pPr>
      <w:r>
        <w:rPr>
          <w:rFonts w:hint="eastAsia"/>
        </w:rPr>
        <w:t>现有</w:t>
      </w:r>
      <w:r>
        <w:t>项目</w:t>
      </w:r>
      <w:r>
        <w:rPr>
          <w:rFonts w:hint="eastAsia"/>
        </w:rPr>
        <w:t>通过</w:t>
      </w:r>
      <w:r>
        <w:t>采取有效的风险防范措施后，</w:t>
      </w:r>
      <w:r>
        <w:rPr>
          <w:rFonts w:hint="eastAsia"/>
        </w:rPr>
        <w:t>现有</w:t>
      </w:r>
      <w:r>
        <w:t>项目</w:t>
      </w:r>
      <w:r>
        <w:rPr>
          <w:rFonts w:hint="eastAsia"/>
        </w:rPr>
        <w:t>环境</w:t>
      </w:r>
      <w:r>
        <w:t>风险</w:t>
      </w:r>
      <w:r>
        <w:rPr>
          <w:rFonts w:hint="eastAsia"/>
        </w:rPr>
        <w:t>可控</w:t>
      </w:r>
      <w:r>
        <w:t>。</w:t>
      </w:r>
    </w:p>
    <w:p w14:paraId="2C06B3FC">
      <w:pPr>
        <w:pStyle w:val="349"/>
      </w:pPr>
      <w:r>
        <w:t>5.6.1.3现有项目风险防范措施及应急预案</w:t>
      </w:r>
    </w:p>
    <w:p w14:paraId="7C3079A7">
      <w:pPr>
        <w:ind w:firstLine="480"/>
        <w:rPr>
          <w:rFonts w:cs="Times New Roman"/>
          <w:color w:val="000000"/>
        </w:rPr>
      </w:pPr>
      <w:r>
        <w:rPr>
          <w:rFonts w:cs="Times New Roman"/>
          <w:color w:val="000000"/>
        </w:rPr>
        <w:t>（1）风险防范措施</w:t>
      </w:r>
    </w:p>
    <w:p w14:paraId="6AB7E34B">
      <w:pPr>
        <w:ind w:firstLine="480"/>
        <w:rPr>
          <w:rFonts w:cs="Times New Roman"/>
          <w:color w:val="000000"/>
        </w:rPr>
      </w:pPr>
      <w:r>
        <w:rPr>
          <w:rFonts w:cs="Times New Roman"/>
          <w:color w:val="000000"/>
        </w:rPr>
        <w:t>现有项目采用的环境风险防范汇总见下表5.6.1</w:t>
      </w:r>
      <w:r>
        <w:rPr>
          <w:rFonts w:eastAsia="黑体" w:cs="Times New Roman"/>
          <w:color w:val="000000"/>
        </w:rPr>
        <w:t>-6</w:t>
      </w:r>
      <w:r>
        <w:rPr>
          <w:rFonts w:cs="Times New Roman"/>
          <w:color w:val="000000"/>
        </w:rPr>
        <w:t>。</w:t>
      </w:r>
    </w:p>
    <w:p w14:paraId="2B97962E">
      <w:pPr>
        <w:pStyle w:val="278"/>
      </w:pPr>
      <w:r>
        <w:t>表5.6.1-6  现有项目环境风险防控措施汇总</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525"/>
        <w:gridCol w:w="7008"/>
      </w:tblGrid>
      <w:tr w14:paraId="23F991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84" w:type="pct"/>
            <w:vAlign w:val="center"/>
          </w:tcPr>
          <w:p w14:paraId="78581AF9">
            <w:pPr>
              <w:pStyle w:val="445"/>
              <w:rPr>
                <w:rFonts w:cs="Times New Roman"/>
                <w:kern w:val="0"/>
                <w:szCs w:val="20"/>
              </w:rPr>
            </w:pPr>
            <w:r>
              <w:rPr>
                <w:rFonts w:cs="Times New Roman"/>
                <w:kern w:val="0"/>
                <w:szCs w:val="20"/>
              </w:rPr>
              <w:t>序号</w:t>
            </w:r>
          </w:p>
        </w:tc>
        <w:tc>
          <w:tcPr>
            <w:tcW w:w="825" w:type="pct"/>
            <w:vAlign w:val="center"/>
          </w:tcPr>
          <w:p w14:paraId="670FCA00">
            <w:pPr>
              <w:pStyle w:val="445"/>
              <w:rPr>
                <w:rFonts w:cs="Times New Roman"/>
                <w:kern w:val="0"/>
                <w:szCs w:val="20"/>
              </w:rPr>
            </w:pPr>
            <w:r>
              <w:rPr>
                <w:rFonts w:cs="Times New Roman"/>
                <w:kern w:val="0"/>
                <w:szCs w:val="20"/>
              </w:rPr>
              <w:t>风险防控与应急措施</w:t>
            </w:r>
          </w:p>
        </w:tc>
        <w:tc>
          <w:tcPr>
            <w:tcW w:w="3791" w:type="pct"/>
            <w:vAlign w:val="center"/>
          </w:tcPr>
          <w:p w14:paraId="63C55277">
            <w:pPr>
              <w:pStyle w:val="445"/>
              <w:rPr>
                <w:rFonts w:cs="Times New Roman"/>
                <w:kern w:val="0"/>
                <w:szCs w:val="20"/>
              </w:rPr>
            </w:pPr>
            <w:r>
              <w:rPr>
                <w:rFonts w:cs="Times New Roman"/>
                <w:kern w:val="0"/>
                <w:szCs w:val="20"/>
              </w:rPr>
              <w:t>现有风险防范措施</w:t>
            </w:r>
          </w:p>
        </w:tc>
      </w:tr>
      <w:tr w14:paraId="2BE8E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84" w:type="pct"/>
            <w:vAlign w:val="center"/>
          </w:tcPr>
          <w:p w14:paraId="3EAB2CCB">
            <w:pPr>
              <w:pStyle w:val="445"/>
              <w:rPr>
                <w:rFonts w:cs="Times New Roman"/>
                <w:kern w:val="0"/>
                <w:szCs w:val="20"/>
              </w:rPr>
            </w:pPr>
            <w:r>
              <w:rPr>
                <w:rFonts w:hint="eastAsia" w:cs="Times New Roman"/>
                <w:kern w:val="0"/>
                <w:szCs w:val="20"/>
              </w:rPr>
              <w:t>1</w:t>
            </w:r>
          </w:p>
        </w:tc>
        <w:tc>
          <w:tcPr>
            <w:tcW w:w="825" w:type="pct"/>
            <w:vAlign w:val="center"/>
          </w:tcPr>
          <w:p w14:paraId="47E23EE3">
            <w:pPr>
              <w:pStyle w:val="445"/>
              <w:rPr>
                <w:rFonts w:cs="Times New Roman"/>
                <w:kern w:val="0"/>
                <w:szCs w:val="20"/>
              </w:rPr>
            </w:pPr>
            <w:r>
              <w:rPr>
                <w:rFonts w:hint="eastAsia" w:cs="Times New Roman"/>
                <w:kern w:val="0"/>
                <w:szCs w:val="20"/>
              </w:rPr>
              <w:t>截流</w:t>
            </w:r>
            <w:r>
              <w:rPr>
                <w:rFonts w:cs="Times New Roman"/>
                <w:kern w:val="0"/>
                <w:szCs w:val="20"/>
              </w:rPr>
              <w:t>措施</w:t>
            </w:r>
          </w:p>
        </w:tc>
        <w:tc>
          <w:tcPr>
            <w:tcW w:w="3791" w:type="pct"/>
            <w:vAlign w:val="center"/>
          </w:tcPr>
          <w:p w14:paraId="4D936DD2">
            <w:pPr>
              <w:pStyle w:val="445"/>
              <w:rPr>
                <w:rFonts w:cs="Times New Roman"/>
                <w:kern w:val="0"/>
                <w:szCs w:val="20"/>
              </w:rPr>
            </w:pPr>
            <w:r>
              <w:rPr>
                <w:rFonts w:cs="Times New Roman"/>
                <w:kern w:val="0"/>
                <w:szCs w:val="20"/>
              </w:rPr>
              <w:t>建设内容及罐区建立事故水池、围堰</w:t>
            </w:r>
            <w:r>
              <w:rPr>
                <w:rFonts w:hint="eastAsia" w:cs="Times New Roman"/>
                <w:kern w:val="0"/>
                <w:szCs w:val="20"/>
              </w:rPr>
              <w:t>和</w:t>
            </w:r>
            <w:r>
              <w:rPr>
                <w:rFonts w:cs="Times New Roman"/>
                <w:kern w:val="0"/>
                <w:szCs w:val="20"/>
              </w:rPr>
              <w:t>截流沟</w:t>
            </w:r>
          </w:p>
        </w:tc>
      </w:tr>
      <w:tr w14:paraId="022B4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84" w:type="pct"/>
            <w:vAlign w:val="center"/>
          </w:tcPr>
          <w:p w14:paraId="52384A7C">
            <w:pPr>
              <w:pStyle w:val="445"/>
              <w:rPr>
                <w:rFonts w:cs="Times New Roman"/>
                <w:kern w:val="0"/>
                <w:szCs w:val="20"/>
              </w:rPr>
            </w:pPr>
            <w:r>
              <w:rPr>
                <w:rFonts w:hint="eastAsia" w:cs="Times New Roman"/>
                <w:kern w:val="0"/>
                <w:szCs w:val="20"/>
              </w:rPr>
              <w:t>2</w:t>
            </w:r>
          </w:p>
        </w:tc>
        <w:tc>
          <w:tcPr>
            <w:tcW w:w="825" w:type="pct"/>
            <w:vAlign w:val="center"/>
          </w:tcPr>
          <w:p w14:paraId="548E4738">
            <w:pPr>
              <w:pStyle w:val="445"/>
              <w:rPr>
                <w:rFonts w:cs="Times New Roman"/>
                <w:kern w:val="0"/>
                <w:szCs w:val="20"/>
              </w:rPr>
            </w:pPr>
            <w:r>
              <w:rPr>
                <w:rFonts w:hint="eastAsia" w:cs="Times New Roman"/>
                <w:kern w:val="0"/>
                <w:szCs w:val="20"/>
              </w:rPr>
              <w:t>监控</w:t>
            </w:r>
            <w:r>
              <w:rPr>
                <w:rFonts w:cs="Times New Roman"/>
                <w:kern w:val="0"/>
                <w:szCs w:val="20"/>
              </w:rPr>
              <w:t>系统</w:t>
            </w:r>
          </w:p>
        </w:tc>
        <w:tc>
          <w:tcPr>
            <w:tcW w:w="3791" w:type="pct"/>
            <w:vAlign w:val="center"/>
          </w:tcPr>
          <w:p w14:paraId="714F16D1">
            <w:pPr>
              <w:pStyle w:val="445"/>
              <w:rPr>
                <w:rFonts w:cs="Times New Roman"/>
                <w:kern w:val="0"/>
                <w:szCs w:val="20"/>
              </w:rPr>
            </w:pPr>
            <w:r>
              <w:rPr>
                <w:rFonts w:hint="eastAsia" w:cs="Times New Roman"/>
                <w:kern w:val="0"/>
                <w:szCs w:val="20"/>
              </w:rPr>
              <w:t>DCS控制</w:t>
            </w:r>
            <w:r>
              <w:rPr>
                <w:rFonts w:cs="Times New Roman"/>
                <w:kern w:val="0"/>
                <w:szCs w:val="20"/>
              </w:rPr>
              <w:t>系统、火灾自动报警系统</w:t>
            </w:r>
            <w:r>
              <w:rPr>
                <w:rFonts w:hint="eastAsia" w:cs="Times New Roman"/>
                <w:kern w:val="0"/>
                <w:szCs w:val="20"/>
              </w:rPr>
              <w:t>及</w:t>
            </w:r>
            <w:r>
              <w:rPr>
                <w:rFonts w:cs="Times New Roman"/>
                <w:kern w:val="0"/>
                <w:szCs w:val="20"/>
              </w:rPr>
              <w:t>灭火系统</w:t>
            </w:r>
          </w:p>
        </w:tc>
      </w:tr>
      <w:tr w14:paraId="6534A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84" w:type="pct"/>
            <w:vAlign w:val="center"/>
          </w:tcPr>
          <w:p w14:paraId="1CA112DB">
            <w:pPr>
              <w:pStyle w:val="445"/>
              <w:rPr>
                <w:rFonts w:cs="Times New Roman"/>
                <w:kern w:val="0"/>
                <w:szCs w:val="20"/>
              </w:rPr>
            </w:pPr>
            <w:r>
              <w:rPr>
                <w:rFonts w:hint="eastAsia" w:cs="Times New Roman"/>
                <w:kern w:val="0"/>
                <w:szCs w:val="20"/>
              </w:rPr>
              <w:t>3</w:t>
            </w:r>
          </w:p>
        </w:tc>
        <w:tc>
          <w:tcPr>
            <w:tcW w:w="825" w:type="pct"/>
            <w:vAlign w:val="center"/>
          </w:tcPr>
          <w:p w14:paraId="6A5D2AAE">
            <w:pPr>
              <w:pStyle w:val="445"/>
              <w:rPr>
                <w:rFonts w:cs="Times New Roman"/>
                <w:kern w:val="0"/>
                <w:szCs w:val="20"/>
              </w:rPr>
            </w:pPr>
            <w:r>
              <w:rPr>
                <w:rFonts w:hint="eastAsia" w:cs="Times New Roman"/>
                <w:kern w:val="0"/>
                <w:szCs w:val="20"/>
              </w:rPr>
              <w:t>应急预案</w:t>
            </w:r>
          </w:p>
        </w:tc>
        <w:tc>
          <w:tcPr>
            <w:tcW w:w="3791" w:type="pct"/>
            <w:vAlign w:val="center"/>
          </w:tcPr>
          <w:p w14:paraId="133B4E39">
            <w:pPr>
              <w:pStyle w:val="445"/>
              <w:rPr>
                <w:rFonts w:cs="Times New Roman"/>
                <w:kern w:val="0"/>
                <w:szCs w:val="20"/>
              </w:rPr>
            </w:pPr>
            <w:r>
              <w:rPr>
                <w:rFonts w:hint="eastAsia" w:cs="Times New Roman"/>
                <w:kern w:val="0"/>
                <w:szCs w:val="20"/>
              </w:rPr>
              <w:t>应急组织</w:t>
            </w:r>
            <w:r>
              <w:rPr>
                <w:rFonts w:cs="Times New Roman"/>
                <w:kern w:val="0"/>
                <w:szCs w:val="20"/>
              </w:rPr>
              <w:t>机构、应急培训和演练、应急监测和应急物资</w:t>
            </w:r>
          </w:p>
        </w:tc>
      </w:tr>
    </w:tbl>
    <w:p w14:paraId="4C4028DA">
      <w:pPr>
        <w:ind w:firstLine="480"/>
      </w:pPr>
      <w:r>
        <w:rPr>
          <w:rFonts w:hint="eastAsia"/>
        </w:rPr>
        <w:t>（2）应急预案</w:t>
      </w:r>
    </w:p>
    <w:p w14:paraId="093A2583">
      <w:pPr>
        <w:ind w:firstLine="480"/>
      </w:pPr>
      <w:r>
        <w:rPr>
          <w:rFonts w:hint="eastAsia"/>
        </w:rPr>
        <w:t>目前</w:t>
      </w:r>
      <w:r>
        <w:t>，</w:t>
      </w:r>
      <w:r>
        <w:rPr>
          <w:rFonts w:hint="eastAsia"/>
        </w:rPr>
        <w:t>安徽</w:t>
      </w:r>
      <w:r>
        <w:t>凯盛根据</w:t>
      </w:r>
      <w:r>
        <w:rPr>
          <w:rFonts w:hint="eastAsia"/>
        </w:rPr>
        <w:t>厂区</w:t>
      </w:r>
      <w:r>
        <w:t>现有情况编制了</w:t>
      </w:r>
      <w:r>
        <w:rPr>
          <w:rFonts w:hint="eastAsia"/>
        </w:rPr>
        <w:t>应急预案</w:t>
      </w:r>
      <w:r>
        <w:t>，具体内容</w:t>
      </w:r>
      <w:r>
        <w:rPr>
          <w:rFonts w:hint="eastAsia"/>
        </w:rPr>
        <w:t>如下</w:t>
      </w:r>
      <w:r>
        <w:t>：</w:t>
      </w:r>
    </w:p>
    <w:p w14:paraId="7F4BE8A6">
      <w:pPr>
        <w:ind w:firstLine="480"/>
        <w:rPr>
          <w:rFonts w:cs="Times New Roman"/>
          <w:color w:val="000000"/>
        </w:rPr>
      </w:pPr>
      <w:r>
        <w:rPr>
          <w:rFonts w:hint="eastAsia" w:cs="Times New Roman"/>
          <w:color w:val="000000"/>
        </w:rPr>
        <w:t>①</w:t>
      </w:r>
      <w:r>
        <w:rPr>
          <w:rFonts w:cs="Times New Roman"/>
          <w:color w:val="000000"/>
        </w:rPr>
        <w:t>厂区已成立了应急指挥部和各应急小组及相应的人员，并明确了各自的职责。</w:t>
      </w:r>
    </w:p>
    <w:p w14:paraId="1E2924EA">
      <w:pPr>
        <w:ind w:firstLine="480"/>
        <w:rPr>
          <w:rFonts w:cs="Times New Roman"/>
          <w:color w:val="000000"/>
        </w:rPr>
      </w:pPr>
      <w:r>
        <w:rPr>
          <w:rFonts w:hint="eastAsia" w:cs="Times New Roman"/>
          <w:color w:val="000000"/>
        </w:rPr>
        <w:t>②</w:t>
      </w:r>
      <w:r>
        <w:rPr>
          <w:rFonts w:cs="Times New Roman"/>
          <w:color w:val="000000"/>
        </w:rPr>
        <w:t>厂区已针对生产装置、储罐区、仓库区等各单元可能发生的风险事故编制了</w:t>
      </w:r>
      <w:r>
        <w:rPr>
          <w:rFonts w:hint="eastAsia" w:cs="Times New Roman"/>
          <w:color w:val="000000"/>
        </w:rPr>
        <w:t>化学品泄漏</w:t>
      </w:r>
      <w:r>
        <w:rPr>
          <w:rFonts w:cs="Times New Roman"/>
          <w:color w:val="000000"/>
        </w:rPr>
        <w:t>、</w:t>
      </w:r>
      <w:r>
        <w:rPr>
          <w:rFonts w:hint="eastAsia" w:cs="Times New Roman"/>
          <w:color w:val="000000"/>
        </w:rPr>
        <w:t>火灾</w:t>
      </w:r>
      <w:r>
        <w:rPr>
          <w:rFonts w:cs="Times New Roman"/>
          <w:color w:val="000000"/>
        </w:rPr>
        <w:t>伴生</w:t>
      </w:r>
      <w:r>
        <w:rPr>
          <w:rFonts w:hint="eastAsia" w:cs="Times New Roman"/>
          <w:color w:val="000000"/>
        </w:rPr>
        <w:t>事件</w:t>
      </w:r>
      <w:r>
        <w:rPr>
          <w:rFonts w:cs="Times New Roman"/>
          <w:color w:val="000000"/>
        </w:rPr>
        <w:t>和废气异常</w:t>
      </w:r>
      <w:r>
        <w:rPr>
          <w:rFonts w:hint="eastAsia" w:cs="Times New Roman"/>
          <w:color w:val="000000"/>
        </w:rPr>
        <w:t>排放</w:t>
      </w:r>
      <w:r>
        <w:rPr>
          <w:rFonts w:cs="Times New Roman"/>
          <w:color w:val="000000"/>
        </w:rPr>
        <w:t>的</w:t>
      </w:r>
      <w:r>
        <w:rPr>
          <w:rFonts w:hint="eastAsia" w:cs="Times New Roman"/>
          <w:color w:val="000000"/>
        </w:rPr>
        <w:t>现场</w:t>
      </w:r>
      <w:r>
        <w:rPr>
          <w:rFonts w:cs="Times New Roman"/>
          <w:color w:val="000000"/>
        </w:rPr>
        <w:t>处置应急预案，明确了各风险事故应采取的风险应急措施。</w:t>
      </w:r>
    </w:p>
    <w:p w14:paraId="2B79DB2F">
      <w:pPr>
        <w:ind w:firstLine="480"/>
        <w:rPr>
          <w:rFonts w:cs="Times New Roman"/>
          <w:color w:val="000000"/>
        </w:rPr>
      </w:pPr>
      <w:r>
        <w:rPr>
          <w:rFonts w:hint="eastAsia" w:cs="Times New Roman"/>
          <w:color w:val="000000"/>
        </w:rPr>
        <w:t>③</w:t>
      </w:r>
      <w:r>
        <w:rPr>
          <w:rFonts w:cs="Times New Roman"/>
          <w:color w:val="000000"/>
        </w:rPr>
        <w:t>厂区各风险源均设置了应急处理指示牌，将危险物质的化学名称、危险性质、泄漏、火灾处理方式等进行公示，以便于在风险事故发生时可进行有效处理。</w:t>
      </w:r>
    </w:p>
    <w:p w14:paraId="7CDA5A0F">
      <w:pPr>
        <w:ind w:firstLine="480"/>
        <w:rPr>
          <w:rFonts w:cs="Times New Roman"/>
          <w:color w:val="000000"/>
        </w:rPr>
      </w:pPr>
      <w:r>
        <w:rPr>
          <w:rFonts w:hint="eastAsia" w:cs="Times New Roman"/>
          <w:color w:val="000000"/>
        </w:rPr>
        <w:t>④</w:t>
      </w:r>
      <w:r>
        <w:rPr>
          <w:rFonts w:cs="Times New Roman"/>
          <w:color w:val="000000"/>
        </w:rPr>
        <w:t>厂区设置了风险救援和保障措施，定期对可能发生的各风险事故、应急处置方案进行了演练。</w:t>
      </w:r>
    </w:p>
    <w:p w14:paraId="5FBDF64C">
      <w:pPr>
        <w:ind w:firstLine="480"/>
        <w:rPr>
          <w:rFonts w:cs="Times New Roman"/>
          <w:color w:val="000000"/>
        </w:rPr>
      </w:pPr>
      <w:r>
        <w:rPr>
          <w:rFonts w:hint="eastAsia" w:cs="Times New Roman"/>
          <w:color w:val="000000"/>
        </w:rPr>
        <w:t>⑤</w:t>
      </w:r>
      <w:r>
        <w:rPr>
          <w:rFonts w:cs="Times New Roman"/>
          <w:color w:val="000000"/>
        </w:rPr>
        <w:t>厂区设置了风险避难点和相应的集合路线，并在各车间墙壁上进行了公示。</w:t>
      </w:r>
    </w:p>
    <w:p w14:paraId="159E9D66">
      <w:pPr>
        <w:ind w:firstLine="480"/>
        <w:rPr>
          <w:rFonts w:cs="Times New Roman"/>
          <w:color w:val="000000"/>
        </w:rPr>
      </w:pPr>
      <w:r>
        <w:rPr>
          <w:rFonts w:hint="eastAsia" w:cs="Times New Roman"/>
          <w:color w:val="000000"/>
        </w:rPr>
        <w:t>⑥</w:t>
      </w:r>
      <w:r>
        <w:rPr>
          <w:rFonts w:cs="Times New Roman"/>
          <w:color w:val="000000"/>
        </w:rPr>
        <w:t>定期安排职工进行风险应急的培训和演练，特别是对风险应急处理、救援等进行了定期的培训。</w:t>
      </w:r>
    </w:p>
    <w:p w14:paraId="2D061BC6">
      <w:pPr>
        <w:pStyle w:val="349"/>
      </w:pPr>
      <w:r>
        <w:rPr>
          <w:rFonts w:hint="eastAsia"/>
        </w:rPr>
        <w:t>5</w:t>
      </w:r>
      <w:r>
        <w:t>.6.1.4</w:t>
      </w:r>
      <w:r>
        <w:rPr>
          <w:rFonts w:hint="eastAsia"/>
        </w:rPr>
        <w:t>同期拟建项目风险分析</w:t>
      </w:r>
    </w:p>
    <w:p w14:paraId="719E2A18">
      <w:pPr>
        <w:ind w:firstLine="480"/>
      </w:pPr>
      <w:r>
        <w:rPr>
          <w:rFonts w:hint="eastAsia"/>
        </w:rPr>
        <w:t>（</w:t>
      </w:r>
      <w:r>
        <w:t>1</w:t>
      </w:r>
      <w:r>
        <w:rPr>
          <w:rFonts w:hint="eastAsia"/>
        </w:rPr>
        <w:t>）同期拟建风险物质识别</w:t>
      </w:r>
    </w:p>
    <w:p w14:paraId="12B061FF">
      <w:pPr>
        <w:pStyle w:val="278"/>
      </w:pPr>
      <w:r>
        <w:rPr>
          <w:rFonts w:hint="eastAsia"/>
        </w:rPr>
        <w:t>表5</w:t>
      </w:r>
      <w:r>
        <w:t xml:space="preserve">.6.1-7 </w:t>
      </w:r>
      <w:r>
        <w:rPr>
          <w:rFonts w:hint="eastAsia"/>
        </w:rPr>
        <w:t>同期拟建项目风险物质识别</w:t>
      </w:r>
    </w:p>
    <w:tbl>
      <w:tblPr>
        <w:tblStyle w:val="64"/>
        <w:tblW w:w="497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1194"/>
        <w:gridCol w:w="2023"/>
        <w:gridCol w:w="1423"/>
        <w:gridCol w:w="806"/>
        <w:gridCol w:w="710"/>
        <w:gridCol w:w="907"/>
        <w:gridCol w:w="1508"/>
      </w:tblGrid>
      <w:tr w14:paraId="7B4B1E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43" w:type="pct"/>
            <w:tcBorders>
              <w:tl2br w:val="nil"/>
              <w:tr2bl w:val="nil"/>
            </w:tcBorders>
            <w:vAlign w:val="center"/>
          </w:tcPr>
          <w:p w14:paraId="23F0695A">
            <w:pPr>
              <w:pStyle w:val="445"/>
            </w:pPr>
            <w:r>
              <w:t>序号</w:t>
            </w:r>
          </w:p>
        </w:tc>
        <w:tc>
          <w:tcPr>
            <w:tcW w:w="649" w:type="pct"/>
            <w:tcBorders>
              <w:tl2br w:val="nil"/>
              <w:tr2bl w:val="nil"/>
            </w:tcBorders>
            <w:vAlign w:val="center"/>
          </w:tcPr>
          <w:p w14:paraId="590660DC">
            <w:pPr>
              <w:pStyle w:val="445"/>
            </w:pPr>
            <w:r>
              <w:t>产品名称</w:t>
            </w:r>
          </w:p>
        </w:tc>
        <w:tc>
          <w:tcPr>
            <w:tcW w:w="1099" w:type="pct"/>
            <w:tcBorders>
              <w:tl2br w:val="nil"/>
              <w:tr2bl w:val="nil"/>
            </w:tcBorders>
            <w:vAlign w:val="center"/>
          </w:tcPr>
          <w:p w14:paraId="64BEB67B">
            <w:pPr>
              <w:pStyle w:val="445"/>
            </w:pPr>
            <w:r>
              <w:t>原料名称</w:t>
            </w:r>
          </w:p>
        </w:tc>
        <w:tc>
          <w:tcPr>
            <w:tcW w:w="773" w:type="pct"/>
            <w:tcBorders>
              <w:tl2br w:val="nil"/>
              <w:tr2bl w:val="nil"/>
            </w:tcBorders>
            <w:vAlign w:val="center"/>
          </w:tcPr>
          <w:p w14:paraId="036B6F5E">
            <w:pPr>
              <w:pStyle w:val="445"/>
            </w:pPr>
            <w:r>
              <w:t>消耗量（t/a）</w:t>
            </w:r>
          </w:p>
        </w:tc>
        <w:tc>
          <w:tcPr>
            <w:tcW w:w="438" w:type="pct"/>
            <w:tcBorders>
              <w:tl2br w:val="nil"/>
              <w:tr2bl w:val="nil"/>
            </w:tcBorders>
            <w:vAlign w:val="center"/>
          </w:tcPr>
          <w:p w14:paraId="4B9C2517">
            <w:pPr>
              <w:pStyle w:val="445"/>
            </w:pPr>
            <w:r>
              <w:t>最大储存量</w:t>
            </w:r>
          </w:p>
        </w:tc>
        <w:tc>
          <w:tcPr>
            <w:tcW w:w="386" w:type="pct"/>
            <w:tcBorders>
              <w:tl2br w:val="nil"/>
              <w:tr2bl w:val="nil"/>
            </w:tcBorders>
            <w:vAlign w:val="center"/>
          </w:tcPr>
          <w:p w14:paraId="4047C92F">
            <w:pPr>
              <w:pStyle w:val="445"/>
            </w:pPr>
            <w:r>
              <w:t>储存位置</w:t>
            </w:r>
          </w:p>
        </w:tc>
        <w:tc>
          <w:tcPr>
            <w:tcW w:w="493" w:type="pct"/>
            <w:tcBorders>
              <w:tl2br w:val="nil"/>
              <w:tr2bl w:val="nil"/>
            </w:tcBorders>
            <w:vAlign w:val="center"/>
          </w:tcPr>
          <w:p w14:paraId="1CFDE425">
            <w:pPr>
              <w:pStyle w:val="445"/>
            </w:pPr>
            <w:r>
              <w:t>包装方式</w:t>
            </w:r>
          </w:p>
        </w:tc>
        <w:tc>
          <w:tcPr>
            <w:tcW w:w="819" w:type="pct"/>
            <w:tcBorders>
              <w:tl2br w:val="nil"/>
              <w:tr2bl w:val="nil"/>
            </w:tcBorders>
            <w:vAlign w:val="center"/>
          </w:tcPr>
          <w:p w14:paraId="532631A3">
            <w:pPr>
              <w:pStyle w:val="445"/>
            </w:pPr>
            <w:r>
              <w:t>来源及运输</w:t>
            </w:r>
          </w:p>
        </w:tc>
      </w:tr>
      <w:tr w14:paraId="5550C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3" w:type="pct"/>
            <w:tcBorders>
              <w:tl2br w:val="nil"/>
              <w:tr2bl w:val="nil"/>
            </w:tcBorders>
            <w:vAlign w:val="center"/>
          </w:tcPr>
          <w:p w14:paraId="0BCB7D90">
            <w:pPr>
              <w:pStyle w:val="445"/>
            </w:pPr>
            <w:bookmarkStart w:id="327" w:name="OLE_LINK2" w:colFirst="3" w:colLast="3"/>
            <w:bookmarkStart w:id="328" w:name="_Hlk296076327"/>
            <w:r>
              <w:t>1</w:t>
            </w:r>
          </w:p>
        </w:tc>
        <w:tc>
          <w:tcPr>
            <w:tcW w:w="649" w:type="pct"/>
            <w:vMerge w:val="restart"/>
            <w:tcBorders>
              <w:tl2br w:val="nil"/>
              <w:tr2bl w:val="nil"/>
            </w:tcBorders>
            <w:vAlign w:val="center"/>
          </w:tcPr>
          <w:p w14:paraId="189CA567">
            <w:pPr>
              <w:pStyle w:val="445"/>
            </w:pPr>
            <w:r>
              <w:t>稀土抛光粉</w:t>
            </w:r>
          </w:p>
        </w:tc>
        <w:tc>
          <w:tcPr>
            <w:tcW w:w="1099" w:type="pct"/>
            <w:tcBorders>
              <w:tl2br w:val="nil"/>
              <w:tr2bl w:val="nil"/>
            </w:tcBorders>
            <w:vAlign w:val="center"/>
          </w:tcPr>
          <w:p w14:paraId="4C821AB6">
            <w:pPr>
              <w:pStyle w:val="445"/>
            </w:pPr>
            <w:r>
              <w:t>碳酸镧铈稀土</w:t>
            </w:r>
          </w:p>
        </w:tc>
        <w:tc>
          <w:tcPr>
            <w:tcW w:w="773" w:type="pct"/>
            <w:tcBorders>
              <w:tl2br w:val="nil"/>
              <w:tr2bl w:val="nil"/>
            </w:tcBorders>
            <w:vAlign w:val="center"/>
          </w:tcPr>
          <w:p w14:paraId="36479E18">
            <w:pPr>
              <w:pStyle w:val="445"/>
            </w:pPr>
            <w:r>
              <w:t>3578.99</w:t>
            </w:r>
          </w:p>
        </w:tc>
        <w:tc>
          <w:tcPr>
            <w:tcW w:w="438" w:type="pct"/>
            <w:tcBorders>
              <w:tl2br w:val="nil"/>
              <w:tr2bl w:val="nil"/>
            </w:tcBorders>
            <w:vAlign w:val="center"/>
          </w:tcPr>
          <w:p w14:paraId="7488E0B9">
            <w:pPr>
              <w:pStyle w:val="445"/>
            </w:pPr>
            <w:r>
              <w:t>50t</w:t>
            </w:r>
          </w:p>
        </w:tc>
        <w:tc>
          <w:tcPr>
            <w:tcW w:w="386" w:type="pct"/>
            <w:tcBorders>
              <w:tl2br w:val="nil"/>
              <w:tr2bl w:val="nil"/>
            </w:tcBorders>
            <w:vAlign w:val="center"/>
          </w:tcPr>
          <w:p w14:paraId="42220986">
            <w:pPr>
              <w:pStyle w:val="445"/>
            </w:pPr>
            <w:r>
              <w:t>原料仓库</w:t>
            </w:r>
          </w:p>
        </w:tc>
        <w:tc>
          <w:tcPr>
            <w:tcW w:w="493" w:type="pct"/>
            <w:tcBorders>
              <w:tl2br w:val="nil"/>
              <w:tr2bl w:val="nil"/>
            </w:tcBorders>
            <w:vAlign w:val="center"/>
          </w:tcPr>
          <w:p w14:paraId="2ED43E4F">
            <w:pPr>
              <w:pStyle w:val="445"/>
            </w:pPr>
            <w:r>
              <w:t>袋装</w:t>
            </w:r>
          </w:p>
        </w:tc>
        <w:tc>
          <w:tcPr>
            <w:tcW w:w="819" w:type="pct"/>
            <w:tcBorders>
              <w:tl2br w:val="nil"/>
              <w:tr2bl w:val="nil"/>
            </w:tcBorders>
            <w:vAlign w:val="center"/>
          </w:tcPr>
          <w:p w14:paraId="1F67345E">
            <w:pPr>
              <w:pStyle w:val="445"/>
            </w:pPr>
            <w:r>
              <w:t>外购，汽车</w:t>
            </w:r>
          </w:p>
        </w:tc>
      </w:tr>
      <w:bookmarkEnd w:id="327"/>
      <w:bookmarkEnd w:id="328"/>
      <w:tr w14:paraId="35709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43" w:type="pct"/>
            <w:tcBorders>
              <w:tl2br w:val="nil"/>
              <w:tr2bl w:val="nil"/>
            </w:tcBorders>
            <w:vAlign w:val="center"/>
          </w:tcPr>
          <w:p w14:paraId="161E4266">
            <w:pPr>
              <w:pStyle w:val="445"/>
            </w:pPr>
            <w:r>
              <w:t>2</w:t>
            </w:r>
          </w:p>
        </w:tc>
        <w:tc>
          <w:tcPr>
            <w:tcW w:w="649" w:type="pct"/>
            <w:vMerge w:val="continue"/>
            <w:tcBorders>
              <w:tl2br w:val="nil"/>
              <w:tr2bl w:val="nil"/>
            </w:tcBorders>
            <w:vAlign w:val="center"/>
          </w:tcPr>
          <w:p w14:paraId="21E6066B">
            <w:pPr>
              <w:pStyle w:val="445"/>
            </w:pPr>
          </w:p>
        </w:tc>
        <w:tc>
          <w:tcPr>
            <w:tcW w:w="1099" w:type="pct"/>
            <w:tcBorders>
              <w:tl2br w:val="nil"/>
              <w:tr2bl w:val="nil"/>
            </w:tcBorders>
            <w:vAlign w:val="center"/>
          </w:tcPr>
          <w:p w14:paraId="1090F5AA">
            <w:pPr>
              <w:pStyle w:val="445"/>
            </w:pPr>
            <w:r>
              <w:t>40%氢氟酸</w:t>
            </w:r>
          </w:p>
        </w:tc>
        <w:tc>
          <w:tcPr>
            <w:tcW w:w="773" w:type="pct"/>
            <w:tcBorders>
              <w:tl2br w:val="nil"/>
              <w:tr2bl w:val="nil"/>
            </w:tcBorders>
            <w:vAlign w:val="center"/>
          </w:tcPr>
          <w:p w14:paraId="242D367A">
            <w:pPr>
              <w:pStyle w:val="445"/>
            </w:pPr>
            <w:r>
              <w:t>350</w:t>
            </w:r>
          </w:p>
        </w:tc>
        <w:tc>
          <w:tcPr>
            <w:tcW w:w="438" w:type="pct"/>
            <w:tcBorders>
              <w:tl2br w:val="nil"/>
              <w:tr2bl w:val="nil"/>
            </w:tcBorders>
            <w:vAlign w:val="center"/>
          </w:tcPr>
          <w:p w14:paraId="758FB73D">
            <w:pPr>
              <w:pStyle w:val="445"/>
            </w:pPr>
            <w:r>
              <w:rPr>
                <w:rFonts w:hint="eastAsia"/>
              </w:rPr>
              <w:t>10</w:t>
            </w:r>
            <w:r>
              <w:t>t</w:t>
            </w:r>
          </w:p>
        </w:tc>
        <w:tc>
          <w:tcPr>
            <w:tcW w:w="879" w:type="pct"/>
            <w:gridSpan w:val="2"/>
            <w:tcBorders>
              <w:tl2br w:val="nil"/>
              <w:tr2bl w:val="nil"/>
            </w:tcBorders>
            <w:vAlign w:val="center"/>
          </w:tcPr>
          <w:p w14:paraId="2575A5F5">
            <w:pPr>
              <w:pStyle w:val="445"/>
            </w:pPr>
            <w:r>
              <w:t>氢氟酸储罐</w:t>
            </w:r>
          </w:p>
        </w:tc>
        <w:tc>
          <w:tcPr>
            <w:tcW w:w="819" w:type="pct"/>
            <w:tcBorders>
              <w:tl2br w:val="nil"/>
              <w:tr2bl w:val="nil"/>
            </w:tcBorders>
            <w:vAlign w:val="center"/>
          </w:tcPr>
          <w:p w14:paraId="2D6C7927">
            <w:pPr>
              <w:pStyle w:val="445"/>
            </w:pPr>
            <w:r>
              <w:t>外购，汽车</w:t>
            </w:r>
          </w:p>
        </w:tc>
      </w:tr>
      <w:tr w14:paraId="3A603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43" w:type="pct"/>
            <w:tcBorders>
              <w:tl2br w:val="nil"/>
              <w:tr2bl w:val="nil"/>
            </w:tcBorders>
            <w:vAlign w:val="center"/>
          </w:tcPr>
          <w:p w14:paraId="3C22FC27">
            <w:pPr>
              <w:pStyle w:val="445"/>
            </w:pPr>
            <w:r>
              <w:t>3</w:t>
            </w:r>
          </w:p>
        </w:tc>
        <w:tc>
          <w:tcPr>
            <w:tcW w:w="649" w:type="pct"/>
            <w:vMerge w:val="continue"/>
            <w:tcBorders>
              <w:tl2br w:val="nil"/>
              <w:tr2bl w:val="nil"/>
            </w:tcBorders>
            <w:vAlign w:val="center"/>
          </w:tcPr>
          <w:p w14:paraId="25302D4D">
            <w:pPr>
              <w:pStyle w:val="445"/>
            </w:pPr>
          </w:p>
        </w:tc>
        <w:tc>
          <w:tcPr>
            <w:tcW w:w="1099" w:type="pct"/>
            <w:tcBorders>
              <w:tl2br w:val="nil"/>
              <w:tr2bl w:val="nil"/>
            </w:tcBorders>
            <w:vAlign w:val="center"/>
          </w:tcPr>
          <w:p w14:paraId="4446A13D">
            <w:pPr>
              <w:pStyle w:val="445"/>
            </w:pPr>
            <w:r>
              <w:t>分散剂（聚丙烯酸钠）</w:t>
            </w:r>
          </w:p>
        </w:tc>
        <w:tc>
          <w:tcPr>
            <w:tcW w:w="773" w:type="pct"/>
            <w:tcBorders>
              <w:tl2br w:val="nil"/>
              <w:tr2bl w:val="nil"/>
            </w:tcBorders>
            <w:vAlign w:val="center"/>
          </w:tcPr>
          <w:p w14:paraId="64A478D3">
            <w:pPr>
              <w:pStyle w:val="445"/>
            </w:pPr>
            <w:r>
              <w:t>20</w:t>
            </w:r>
          </w:p>
        </w:tc>
        <w:tc>
          <w:tcPr>
            <w:tcW w:w="438" w:type="pct"/>
            <w:tcBorders>
              <w:tl2br w:val="nil"/>
              <w:tr2bl w:val="nil"/>
            </w:tcBorders>
            <w:vAlign w:val="center"/>
          </w:tcPr>
          <w:p w14:paraId="14BC246D">
            <w:pPr>
              <w:pStyle w:val="445"/>
            </w:pPr>
            <w:r>
              <w:t>5t</w:t>
            </w:r>
          </w:p>
        </w:tc>
        <w:tc>
          <w:tcPr>
            <w:tcW w:w="386" w:type="pct"/>
            <w:tcBorders>
              <w:tl2br w:val="nil"/>
              <w:tr2bl w:val="nil"/>
            </w:tcBorders>
            <w:vAlign w:val="center"/>
          </w:tcPr>
          <w:p w14:paraId="10CE210C">
            <w:pPr>
              <w:pStyle w:val="445"/>
            </w:pPr>
            <w:r>
              <w:t>原料仓库</w:t>
            </w:r>
          </w:p>
        </w:tc>
        <w:tc>
          <w:tcPr>
            <w:tcW w:w="493" w:type="pct"/>
            <w:tcBorders>
              <w:tl2br w:val="nil"/>
              <w:tr2bl w:val="nil"/>
            </w:tcBorders>
            <w:vAlign w:val="center"/>
          </w:tcPr>
          <w:p w14:paraId="4ED68CB8">
            <w:pPr>
              <w:pStyle w:val="445"/>
            </w:pPr>
            <w:r>
              <w:t>袋装</w:t>
            </w:r>
          </w:p>
        </w:tc>
        <w:tc>
          <w:tcPr>
            <w:tcW w:w="819" w:type="pct"/>
            <w:tcBorders>
              <w:tl2br w:val="nil"/>
              <w:tr2bl w:val="nil"/>
            </w:tcBorders>
            <w:vAlign w:val="center"/>
          </w:tcPr>
          <w:p w14:paraId="17E15400">
            <w:pPr>
              <w:pStyle w:val="445"/>
            </w:pPr>
            <w:r>
              <w:t>外购，汽车</w:t>
            </w:r>
          </w:p>
        </w:tc>
      </w:tr>
      <w:tr w14:paraId="68C9D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tcBorders>
              <w:tl2br w:val="nil"/>
              <w:tr2bl w:val="nil"/>
            </w:tcBorders>
            <w:vAlign w:val="center"/>
          </w:tcPr>
          <w:p w14:paraId="0B8C9EFE">
            <w:pPr>
              <w:pStyle w:val="445"/>
            </w:pPr>
            <w:r>
              <w:t>4</w:t>
            </w:r>
          </w:p>
        </w:tc>
        <w:tc>
          <w:tcPr>
            <w:tcW w:w="649" w:type="pct"/>
            <w:vMerge w:val="restart"/>
            <w:tcBorders>
              <w:tl2br w:val="nil"/>
              <w:tr2bl w:val="nil"/>
            </w:tcBorders>
            <w:vAlign w:val="center"/>
          </w:tcPr>
          <w:p w14:paraId="2CBC2F4C">
            <w:pPr>
              <w:pStyle w:val="445"/>
            </w:pPr>
            <w:r>
              <w:t>纳米氧化铈抛光液、粉</w:t>
            </w:r>
          </w:p>
        </w:tc>
        <w:tc>
          <w:tcPr>
            <w:tcW w:w="1099" w:type="pct"/>
            <w:tcBorders>
              <w:tl2br w:val="nil"/>
              <w:tr2bl w:val="nil"/>
            </w:tcBorders>
            <w:vAlign w:val="center"/>
          </w:tcPr>
          <w:p w14:paraId="4A6F32DA">
            <w:pPr>
              <w:pStyle w:val="445"/>
            </w:pPr>
            <w:r>
              <w:t>碳酸铈</w:t>
            </w:r>
          </w:p>
        </w:tc>
        <w:tc>
          <w:tcPr>
            <w:tcW w:w="773" w:type="pct"/>
            <w:tcBorders>
              <w:tl2br w:val="nil"/>
              <w:tr2bl w:val="nil"/>
            </w:tcBorders>
            <w:vAlign w:val="center"/>
          </w:tcPr>
          <w:p w14:paraId="26FEB089">
            <w:pPr>
              <w:pStyle w:val="445"/>
            </w:pPr>
            <w:r>
              <w:t>1734</w:t>
            </w:r>
          </w:p>
        </w:tc>
        <w:tc>
          <w:tcPr>
            <w:tcW w:w="438" w:type="pct"/>
            <w:tcBorders>
              <w:tl2br w:val="nil"/>
              <w:tr2bl w:val="nil"/>
            </w:tcBorders>
            <w:vAlign w:val="center"/>
          </w:tcPr>
          <w:p w14:paraId="13C73B5C">
            <w:pPr>
              <w:pStyle w:val="445"/>
            </w:pPr>
            <w:r>
              <w:t>50t</w:t>
            </w:r>
          </w:p>
        </w:tc>
        <w:tc>
          <w:tcPr>
            <w:tcW w:w="386" w:type="pct"/>
            <w:tcBorders>
              <w:tl2br w:val="nil"/>
              <w:tr2bl w:val="nil"/>
            </w:tcBorders>
            <w:vAlign w:val="center"/>
          </w:tcPr>
          <w:p w14:paraId="5D3CE5C1">
            <w:pPr>
              <w:pStyle w:val="445"/>
            </w:pPr>
            <w:r>
              <w:t>原料仓库</w:t>
            </w:r>
          </w:p>
        </w:tc>
        <w:tc>
          <w:tcPr>
            <w:tcW w:w="493" w:type="pct"/>
            <w:tcBorders>
              <w:tl2br w:val="nil"/>
              <w:tr2bl w:val="nil"/>
            </w:tcBorders>
            <w:vAlign w:val="center"/>
          </w:tcPr>
          <w:p w14:paraId="0446F2D6">
            <w:pPr>
              <w:pStyle w:val="445"/>
            </w:pPr>
            <w:r>
              <w:t>袋装</w:t>
            </w:r>
          </w:p>
        </w:tc>
        <w:tc>
          <w:tcPr>
            <w:tcW w:w="819" w:type="pct"/>
            <w:tcBorders>
              <w:tl2br w:val="nil"/>
              <w:tr2bl w:val="nil"/>
            </w:tcBorders>
            <w:vAlign w:val="center"/>
          </w:tcPr>
          <w:p w14:paraId="30DEA76D">
            <w:pPr>
              <w:pStyle w:val="445"/>
            </w:pPr>
            <w:r>
              <w:t>外购，汽车</w:t>
            </w:r>
          </w:p>
        </w:tc>
      </w:tr>
      <w:tr w14:paraId="35156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tcBorders>
              <w:tl2br w:val="nil"/>
              <w:tr2bl w:val="nil"/>
            </w:tcBorders>
            <w:vAlign w:val="center"/>
          </w:tcPr>
          <w:p w14:paraId="22357337">
            <w:pPr>
              <w:pStyle w:val="445"/>
            </w:pPr>
            <w:r>
              <w:t>5</w:t>
            </w:r>
          </w:p>
        </w:tc>
        <w:tc>
          <w:tcPr>
            <w:tcW w:w="649" w:type="pct"/>
            <w:vMerge w:val="continue"/>
            <w:tcBorders>
              <w:tl2br w:val="nil"/>
              <w:tr2bl w:val="nil"/>
            </w:tcBorders>
            <w:vAlign w:val="center"/>
          </w:tcPr>
          <w:p w14:paraId="7791D29A">
            <w:pPr>
              <w:pStyle w:val="445"/>
            </w:pPr>
          </w:p>
        </w:tc>
        <w:tc>
          <w:tcPr>
            <w:tcW w:w="1099" w:type="pct"/>
            <w:tcBorders>
              <w:tl2br w:val="nil"/>
              <w:tr2bl w:val="nil"/>
            </w:tcBorders>
            <w:vAlign w:val="center"/>
          </w:tcPr>
          <w:p w14:paraId="3049650B">
            <w:pPr>
              <w:pStyle w:val="445"/>
            </w:pPr>
            <w:r>
              <w:t>助剂（聚丙烯酸钠）</w:t>
            </w:r>
          </w:p>
        </w:tc>
        <w:tc>
          <w:tcPr>
            <w:tcW w:w="773" w:type="pct"/>
            <w:tcBorders>
              <w:tl2br w:val="nil"/>
              <w:tr2bl w:val="nil"/>
            </w:tcBorders>
            <w:vAlign w:val="center"/>
          </w:tcPr>
          <w:p w14:paraId="0AB61DA8">
            <w:pPr>
              <w:pStyle w:val="445"/>
            </w:pPr>
            <w:r>
              <w:t>12.26</w:t>
            </w:r>
          </w:p>
        </w:tc>
        <w:tc>
          <w:tcPr>
            <w:tcW w:w="438" w:type="pct"/>
            <w:tcBorders>
              <w:tl2br w:val="nil"/>
              <w:tr2bl w:val="nil"/>
            </w:tcBorders>
            <w:vAlign w:val="center"/>
          </w:tcPr>
          <w:p w14:paraId="079C7486">
            <w:pPr>
              <w:pStyle w:val="445"/>
            </w:pPr>
            <w:r>
              <w:t>5t</w:t>
            </w:r>
          </w:p>
        </w:tc>
        <w:tc>
          <w:tcPr>
            <w:tcW w:w="386" w:type="pct"/>
            <w:tcBorders>
              <w:tl2br w:val="nil"/>
              <w:tr2bl w:val="nil"/>
            </w:tcBorders>
            <w:vAlign w:val="center"/>
          </w:tcPr>
          <w:p w14:paraId="182EFEE4">
            <w:pPr>
              <w:pStyle w:val="445"/>
            </w:pPr>
            <w:r>
              <w:t>原料仓库</w:t>
            </w:r>
          </w:p>
        </w:tc>
        <w:tc>
          <w:tcPr>
            <w:tcW w:w="493" w:type="pct"/>
            <w:tcBorders>
              <w:tl2br w:val="nil"/>
              <w:tr2bl w:val="nil"/>
            </w:tcBorders>
            <w:vAlign w:val="center"/>
          </w:tcPr>
          <w:p w14:paraId="5DF52BDF">
            <w:pPr>
              <w:pStyle w:val="445"/>
            </w:pPr>
            <w:r>
              <w:t>桶装</w:t>
            </w:r>
          </w:p>
        </w:tc>
        <w:tc>
          <w:tcPr>
            <w:tcW w:w="819" w:type="pct"/>
            <w:tcBorders>
              <w:tl2br w:val="nil"/>
              <w:tr2bl w:val="nil"/>
            </w:tcBorders>
            <w:vAlign w:val="center"/>
          </w:tcPr>
          <w:p w14:paraId="21A0E8F3">
            <w:pPr>
              <w:pStyle w:val="445"/>
            </w:pPr>
            <w:r>
              <w:t>外购，汽车</w:t>
            </w:r>
          </w:p>
        </w:tc>
      </w:tr>
      <w:tr w14:paraId="24E3B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tcBorders>
              <w:tl2br w:val="nil"/>
              <w:tr2bl w:val="nil"/>
            </w:tcBorders>
            <w:vAlign w:val="center"/>
          </w:tcPr>
          <w:p w14:paraId="69469100">
            <w:pPr>
              <w:pStyle w:val="445"/>
            </w:pPr>
            <w:r>
              <w:t>6</w:t>
            </w:r>
          </w:p>
        </w:tc>
        <w:tc>
          <w:tcPr>
            <w:tcW w:w="649" w:type="pct"/>
            <w:tcBorders>
              <w:tl2br w:val="nil"/>
              <w:tr2bl w:val="nil"/>
            </w:tcBorders>
            <w:vAlign w:val="center"/>
          </w:tcPr>
          <w:p w14:paraId="53358D82">
            <w:pPr>
              <w:pStyle w:val="445"/>
            </w:pPr>
            <w:r>
              <w:t>/</w:t>
            </w:r>
          </w:p>
        </w:tc>
        <w:tc>
          <w:tcPr>
            <w:tcW w:w="1099" w:type="pct"/>
            <w:tcBorders>
              <w:tl2br w:val="nil"/>
              <w:tr2bl w:val="nil"/>
            </w:tcBorders>
            <w:vAlign w:val="center"/>
          </w:tcPr>
          <w:p w14:paraId="48828C44">
            <w:pPr>
              <w:pStyle w:val="445"/>
            </w:pPr>
            <w:r>
              <w:t>氢氧化钠（片碱）</w:t>
            </w:r>
          </w:p>
        </w:tc>
        <w:tc>
          <w:tcPr>
            <w:tcW w:w="773" w:type="pct"/>
            <w:tcBorders>
              <w:tl2br w:val="nil"/>
              <w:tr2bl w:val="nil"/>
            </w:tcBorders>
            <w:vAlign w:val="center"/>
          </w:tcPr>
          <w:p w14:paraId="534BF6F3">
            <w:pPr>
              <w:pStyle w:val="445"/>
            </w:pPr>
            <w:r>
              <w:t>4</w:t>
            </w:r>
          </w:p>
        </w:tc>
        <w:tc>
          <w:tcPr>
            <w:tcW w:w="438" w:type="pct"/>
            <w:tcBorders>
              <w:tl2br w:val="nil"/>
              <w:tr2bl w:val="nil"/>
            </w:tcBorders>
            <w:vAlign w:val="center"/>
          </w:tcPr>
          <w:p w14:paraId="244DB7D9">
            <w:pPr>
              <w:pStyle w:val="445"/>
            </w:pPr>
            <w:r>
              <w:t>4t</w:t>
            </w:r>
          </w:p>
        </w:tc>
        <w:tc>
          <w:tcPr>
            <w:tcW w:w="386" w:type="pct"/>
            <w:tcBorders>
              <w:tl2br w:val="nil"/>
              <w:tr2bl w:val="nil"/>
            </w:tcBorders>
            <w:vAlign w:val="center"/>
          </w:tcPr>
          <w:p w14:paraId="5492C511">
            <w:pPr>
              <w:pStyle w:val="445"/>
            </w:pPr>
            <w:r>
              <w:t>仓库</w:t>
            </w:r>
          </w:p>
        </w:tc>
        <w:tc>
          <w:tcPr>
            <w:tcW w:w="493" w:type="pct"/>
            <w:tcBorders>
              <w:tl2br w:val="nil"/>
              <w:tr2bl w:val="nil"/>
            </w:tcBorders>
            <w:vAlign w:val="center"/>
          </w:tcPr>
          <w:p w14:paraId="1D9EF0B9">
            <w:pPr>
              <w:pStyle w:val="445"/>
            </w:pPr>
            <w:r>
              <w:t>袋装</w:t>
            </w:r>
          </w:p>
        </w:tc>
        <w:tc>
          <w:tcPr>
            <w:tcW w:w="819" w:type="pct"/>
            <w:tcBorders>
              <w:tl2br w:val="nil"/>
              <w:tr2bl w:val="nil"/>
            </w:tcBorders>
            <w:vAlign w:val="center"/>
          </w:tcPr>
          <w:p w14:paraId="7585B0FC">
            <w:pPr>
              <w:pStyle w:val="445"/>
            </w:pPr>
            <w:r>
              <w:t>外购</w:t>
            </w:r>
          </w:p>
        </w:tc>
      </w:tr>
      <w:tr w14:paraId="1CCAC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tcBorders>
              <w:tl2br w:val="nil"/>
              <w:tr2bl w:val="nil"/>
            </w:tcBorders>
            <w:vAlign w:val="center"/>
          </w:tcPr>
          <w:p w14:paraId="4E84DDB8">
            <w:pPr>
              <w:pStyle w:val="445"/>
            </w:pPr>
            <w:r>
              <w:t>7</w:t>
            </w:r>
          </w:p>
        </w:tc>
        <w:tc>
          <w:tcPr>
            <w:tcW w:w="649" w:type="pct"/>
            <w:tcBorders>
              <w:tl2br w:val="nil"/>
              <w:tr2bl w:val="nil"/>
            </w:tcBorders>
            <w:vAlign w:val="center"/>
          </w:tcPr>
          <w:p w14:paraId="5A3AC9D6">
            <w:pPr>
              <w:pStyle w:val="445"/>
            </w:pPr>
            <w:r>
              <w:t>/</w:t>
            </w:r>
          </w:p>
        </w:tc>
        <w:tc>
          <w:tcPr>
            <w:tcW w:w="1099" w:type="pct"/>
            <w:tcBorders>
              <w:tl2br w:val="nil"/>
              <w:tr2bl w:val="nil"/>
            </w:tcBorders>
            <w:vAlign w:val="center"/>
          </w:tcPr>
          <w:p w14:paraId="1C5E0976">
            <w:pPr>
              <w:pStyle w:val="445"/>
            </w:pPr>
            <w:r>
              <w:t>氯化钙</w:t>
            </w:r>
          </w:p>
        </w:tc>
        <w:tc>
          <w:tcPr>
            <w:tcW w:w="773" w:type="pct"/>
            <w:tcBorders>
              <w:tl2br w:val="nil"/>
              <w:tr2bl w:val="nil"/>
            </w:tcBorders>
            <w:vAlign w:val="center"/>
          </w:tcPr>
          <w:p w14:paraId="5E9DAADD">
            <w:pPr>
              <w:pStyle w:val="445"/>
            </w:pPr>
            <w:r>
              <w:rPr>
                <w:rFonts w:hint="eastAsia"/>
              </w:rPr>
              <w:t>5.55</w:t>
            </w:r>
          </w:p>
        </w:tc>
        <w:tc>
          <w:tcPr>
            <w:tcW w:w="438" w:type="pct"/>
            <w:tcBorders>
              <w:tl2br w:val="nil"/>
              <w:tr2bl w:val="nil"/>
            </w:tcBorders>
            <w:vAlign w:val="center"/>
          </w:tcPr>
          <w:p w14:paraId="61B0C68F">
            <w:pPr>
              <w:pStyle w:val="445"/>
            </w:pPr>
          </w:p>
        </w:tc>
        <w:tc>
          <w:tcPr>
            <w:tcW w:w="386" w:type="pct"/>
            <w:tcBorders>
              <w:tl2br w:val="nil"/>
              <w:tr2bl w:val="nil"/>
            </w:tcBorders>
            <w:vAlign w:val="center"/>
          </w:tcPr>
          <w:p w14:paraId="55BE59D4">
            <w:pPr>
              <w:pStyle w:val="445"/>
            </w:pPr>
            <w:r>
              <w:t>仓库</w:t>
            </w:r>
          </w:p>
        </w:tc>
        <w:tc>
          <w:tcPr>
            <w:tcW w:w="493" w:type="pct"/>
            <w:tcBorders>
              <w:tl2br w:val="nil"/>
              <w:tr2bl w:val="nil"/>
            </w:tcBorders>
            <w:vAlign w:val="center"/>
          </w:tcPr>
          <w:p w14:paraId="0288F9DA">
            <w:pPr>
              <w:pStyle w:val="445"/>
            </w:pPr>
            <w:r>
              <w:t>袋装</w:t>
            </w:r>
          </w:p>
        </w:tc>
        <w:tc>
          <w:tcPr>
            <w:tcW w:w="819" w:type="pct"/>
            <w:tcBorders>
              <w:tl2br w:val="nil"/>
              <w:tr2bl w:val="nil"/>
            </w:tcBorders>
            <w:vAlign w:val="center"/>
          </w:tcPr>
          <w:p w14:paraId="5BE5DFE2">
            <w:pPr>
              <w:pStyle w:val="445"/>
            </w:pPr>
            <w:r>
              <w:t>外购</w:t>
            </w:r>
          </w:p>
        </w:tc>
      </w:tr>
    </w:tbl>
    <w:p w14:paraId="21EEC5A7">
      <w:pPr>
        <w:pStyle w:val="278"/>
        <w:sectPr>
          <w:pgSz w:w="11907" w:h="16840"/>
          <w:pgMar w:top="1440" w:right="1440" w:bottom="1440" w:left="1440" w:header="851" w:footer="992" w:gutter="0"/>
          <w:cols w:space="720" w:num="1"/>
          <w:docGrid w:type="lines" w:linePitch="326" w:charSpace="0"/>
        </w:sectPr>
      </w:pPr>
    </w:p>
    <w:p w14:paraId="45033A38">
      <w:pPr>
        <w:ind w:firstLine="480"/>
      </w:pPr>
      <w:r>
        <w:rPr>
          <w:rFonts w:hint="eastAsia"/>
        </w:rPr>
        <w:t>（</w:t>
      </w:r>
      <w:r>
        <w:t>2</w:t>
      </w:r>
      <w:r>
        <w:rPr>
          <w:rFonts w:hint="eastAsia"/>
        </w:rPr>
        <w:t>）同期拟建风险物质理化性质及毒性</w:t>
      </w:r>
    </w:p>
    <w:p w14:paraId="04606219">
      <w:pPr>
        <w:pStyle w:val="278"/>
      </w:pPr>
      <w:r>
        <w:rPr>
          <w:rFonts w:hint="eastAsia"/>
        </w:rPr>
        <w:t>表5</w:t>
      </w:r>
      <w:r>
        <w:t xml:space="preserve">.6.1-8 </w:t>
      </w:r>
      <w:r>
        <w:rPr>
          <w:rFonts w:hint="eastAsia"/>
        </w:rPr>
        <w:t>同期拟建项目理化性质及毒性</w:t>
      </w:r>
    </w:p>
    <w:tbl>
      <w:tblPr>
        <w:tblStyle w:val="64"/>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28" w:type="dxa"/>
          <w:left w:w="57" w:type="dxa"/>
          <w:bottom w:w="28" w:type="dxa"/>
          <w:right w:w="57" w:type="dxa"/>
        </w:tblCellMar>
      </w:tblPr>
      <w:tblGrid>
        <w:gridCol w:w="1028"/>
        <w:gridCol w:w="4732"/>
        <w:gridCol w:w="1806"/>
        <w:gridCol w:w="1566"/>
      </w:tblGrid>
      <w:tr w14:paraId="315F98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009FFDCD">
            <w:pPr>
              <w:pStyle w:val="445"/>
            </w:pPr>
            <w:r>
              <w:t>名称</w:t>
            </w:r>
          </w:p>
        </w:tc>
        <w:tc>
          <w:tcPr>
            <w:tcW w:w="2591" w:type="pct"/>
            <w:tcBorders>
              <w:tl2br w:val="nil"/>
              <w:tr2bl w:val="nil"/>
            </w:tcBorders>
            <w:vAlign w:val="center"/>
          </w:tcPr>
          <w:p w14:paraId="14D8551A">
            <w:pPr>
              <w:pStyle w:val="445"/>
            </w:pPr>
            <w:r>
              <w:t>理化性质</w:t>
            </w:r>
          </w:p>
        </w:tc>
        <w:tc>
          <w:tcPr>
            <w:tcW w:w="989" w:type="pct"/>
            <w:tcBorders>
              <w:tl2br w:val="nil"/>
              <w:tr2bl w:val="nil"/>
            </w:tcBorders>
            <w:vAlign w:val="center"/>
          </w:tcPr>
          <w:p w14:paraId="4A457FB1">
            <w:pPr>
              <w:pStyle w:val="445"/>
            </w:pPr>
            <w:r>
              <w:t>危险特性</w:t>
            </w:r>
          </w:p>
        </w:tc>
        <w:tc>
          <w:tcPr>
            <w:tcW w:w="857" w:type="pct"/>
            <w:tcBorders>
              <w:tl2br w:val="nil"/>
              <w:tr2bl w:val="nil"/>
            </w:tcBorders>
            <w:vAlign w:val="center"/>
          </w:tcPr>
          <w:p w14:paraId="674085F3">
            <w:pPr>
              <w:pStyle w:val="445"/>
            </w:pPr>
            <w:r>
              <w:t>毒性</w:t>
            </w:r>
          </w:p>
        </w:tc>
      </w:tr>
      <w:tr w14:paraId="29213D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3B7B0AFA">
            <w:pPr>
              <w:pStyle w:val="445"/>
            </w:pPr>
            <w:r>
              <w:t>碳酸镧铈</w:t>
            </w:r>
          </w:p>
        </w:tc>
        <w:tc>
          <w:tcPr>
            <w:tcW w:w="2591" w:type="pct"/>
            <w:tcBorders>
              <w:tl2br w:val="nil"/>
              <w:tr2bl w:val="nil"/>
            </w:tcBorders>
            <w:vAlign w:val="center"/>
          </w:tcPr>
          <w:p w14:paraId="7A60DFD9">
            <w:pPr>
              <w:pStyle w:val="445"/>
            </w:pPr>
            <w:r>
              <w:t>无色粉末状结晶，易溶于醇，在潮湿空气中易潮解。</w:t>
            </w:r>
          </w:p>
        </w:tc>
        <w:tc>
          <w:tcPr>
            <w:tcW w:w="989" w:type="pct"/>
            <w:tcBorders>
              <w:tl2br w:val="nil"/>
              <w:tr2bl w:val="nil"/>
            </w:tcBorders>
            <w:vAlign w:val="center"/>
          </w:tcPr>
          <w:p w14:paraId="71788F86">
            <w:pPr>
              <w:pStyle w:val="445"/>
            </w:pPr>
            <w:r>
              <w:t>/</w:t>
            </w:r>
          </w:p>
        </w:tc>
        <w:tc>
          <w:tcPr>
            <w:tcW w:w="857" w:type="pct"/>
            <w:tcBorders>
              <w:tl2br w:val="nil"/>
              <w:tr2bl w:val="nil"/>
            </w:tcBorders>
            <w:vAlign w:val="center"/>
          </w:tcPr>
          <w:p w14:paraId="39270616">
            <w:pPr>
              <w:pStyle w:val="445"/>
            </w:pPr>
            <w:r>
              <w:t>/</w:t>
            </w:r>
          </w:p>
        </w:tc>
      </w:tr>
      <w:tr w14:paraId="542F16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7B5289D0">
            <w:pPr>
              <w:pStyle w:val="445"/>
            </w:pPr>
            <w:r>
              <w:t>氢氟酸</w:t>
            </w:r>
          </w:p>
        </w:tc>
        <w:tc>
          <w:tcPr>
            <w:tcW w:w="2591" w:type="pct"/>
            <w:tcBorders>
              <w:tl2br w:val="nil"/>
              <w:tr2bl w:val="nil"/>
            </w:tcBorders>
            <w:vAlign w:val="center"/>
          </w:tcPr>
          <w:p w14:paraId="287DD80A">
            <w:pPr>
              <w:pStyle w:val="445"/>
            </w:pPr>
            <w:r>
              <w:rPr>
                <w:kern w:val="0"/>
                <w:szCs w:val="18"/>
              </w:rPr>
              <w:t>分子量为20.01，无色透明有刺激性臭味的液体，与水混溶，用作分析试剂、高纯氟化物的制备、玻璃蚀刻及电镀表面处理等</w:t>
            </w:r>
          </w:p>
        </w:tc>
        <w:tc>
          <w:tcPr>
            <w:tcW w:w="989" w:type="pct"/>
            <w:tcBorders>
              <w:tl2br w:val="nil"/>
              <w:tr2bl w:val="nil"/>
            </w:tcBorders>
            <w:vAlign w:val="center"/>
          </w:tcPr>
          <w:p w14:paraId="7ED5CBA0">
            <w:pPr>
              <w:pStyle w:val="445"/>
            </w:pPr>
            <w:r>
              <w:t>不燃</w:t>
            </w:r>
          </w:p>
        </w:tc>
        <w:tc>
          <w:tcPr>
            <w:tcW w:w="857" w:type="pct"/>
            <w:tcBorders>
              <w:tl2br w:val="nil"/>
              <w:tr2bl w:val="nil"/>
            </w:tcBorders>
            <w:vAlign w:val="center"/>
          </w:tcPr>
          <w:p w14:paraId="6AF1AAB7">
            <w:pPr>
              <w:pStyle w:val="445"/>
            </w:pPr>
            <w:r>
              <w:t>LC</w:t>
            </w:r>
            <w:r>
              <w:rPr>
                <w:vertAlign w:val="subscript"/>
              </w:rPr>
              <w:t>50</w:t>
            </w:r>
            <w:r>
              <w:t>：1276ppm，1小时(大鼠吸入)</w:t>
            </w:r>
          </w:p>
        </w:tc>
      </w:tr>
      <w:tr w14:paraId="027BB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2D7B6B39">
            <w:pPr>
              <w:pStyle w:val="445"/>
            </w:pPr>
            <w:r>
              <w:t>分散剂（聚丙烯酸钠）</w:t>
            </w:r>
          </w:p>
        </w:tc>
        <w:tc>
          <w:tcPr>
            <w:tcW w:w="2591" w:type="pct"/>
            <w:tcBorders>
              <w:tl2br w:val="nil"/>
              <w:tr2bl w:val="nil"/>
            </w:tcBorders>
            <w:vAlign w:val="center"/>
          </w:tcPr>
          <w:p w14:paraId="72CD4292">
            <w:pPr>
              <w:pStyle w:val="445"/>
            </w:pPr>
            <w:r>
              <w:t>无毒，分子量高，水溶性强，可以引进各种离子基团并调节分子量以得到特定的性能，对许多固体表面和溶解物质有良好的粘附力，能和分散于溶液中的悬浮粒子吸着和架桥，使悬浮粒子絮凝，便于过滤和分离。</w:t>
            </w:r>
          </w:p>
        </w:tc>
        <w:tc>
          <w:tcPr>
            <w:tcW w:w="989" w:type="pct"/>
            <w:tcBorders>
              <w:tl2br w:val="nil"/>
              <w:tr2bl w:val="nil"/>
            </w:tcBorders>
            <w:vAlign w:val="center"/>
          </w:tcPr>
          <w:p w14:paraId="477FC536">
            <w:pPr>
              <w:pStyle w:val="445"/>
            </w:pPr>
            <w:r>
              <w:t>/</w:t>
            </w:r>
          </w:p>
        </w:tc>
        <w:tc>
          <w:tcPr>
            <w:tcW w:w="857" w:type="pct"/>
            <w:tcBorders>
              <w:tl2br w:val="nil"/>
              <w:tr2bl w:val="nil"/>
            </w:tcBorders>
            <w:vAlign w:val="center"/>
          </w:tcPr>
          <w:p w14:paraId="0BBD914C">
            <w:pPr>
              <w:pStyle w:val="445"/>
            </w:pPr>
            <w:r>
              <w:t>无毒</w:t>
            </w:r>
          </w:p>
        </w:tc>
      </w:tr>
      <w:tr w14:paraId="3E9A7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5FB14216">
            <w:pPr>
              <w:pStyle w:val="445"/>
            </w:pPr>
            <w:r>
              <w:t>碳酸铈</w:t>
            </w:r>
          </w:p>
        </w:tc>
        <w:tc>
          <w:tcPr>
            <w:tcW w:w="2591" w:type="pct"/>
            <w:tcBorders>
              <w:tl2br w:val="nil"/>
              <w:tr2bl w:val="nil"/>
            </w:tcBorders>
            <w:vAlign w:val="center"/>
          </w:tcPr>
          <w:p w14:paraId="2E413809">
            <w:pPr>
              <w:pStyle w:val="445"/>
            </w:pPr>
            <w:r>
              <w:t>白色或略带淡黄色结晶粉末，颜色随纯度变化而略有变化，属斜方晶系，难溶于水。</w:t>
            </w:r>
          </w:p>
        </w:tc>
        <w:tc>
          <w:tcPr>
            <w:tcW w:w="989" w:type="pct"/>
            <w:tcBorders>
              <w:tl2br w:val="nil"/>
              <w:tr2bl w:val="nil"/>
            </w:tcBorders>
            <w:vAlign w:val="center"/>
          </w:tcPr>
          <w:p w14:paraId="170F8D49">
            <w:pPr>
              <w:pStyle w:val="445"/>
            </w:pPr>
            <w:r>
              <w:t>/</w:t>
            </w:r>
          </w:p>
        </w:tc>
        <w:tc>
          <w:tcPr>
            <w:tcW w:w="857" w:type="pct"/>
            <w:tcBorders>
              <w:tl2br w:val="nil"/>
              <w:tr2bl w:val="nil"/>
            </w:tcBorders>
            <w:vAlign w:val="center"/>
          </w:tcPr>
          <w:p w14:paraId="4AABDF18">
            <w:pPr>
              <w:pStyle w:val="445"/>
            </w:pPr>
            <w:r>
              <w:t>/</w:t>
            </w:r>
          </w:p>
        </w:tc>
      </w:tr>
      <w:tr w14:paraId="14EAD1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45E1E907">
            <w:pPr>
              <w:pStyle w:val="445"/>
            </w:pPr>
            <w:r>
              <w:t>氢氧化钠</w:t>
            </w:r>
          </w:p>
        </w:tc>
        <w:tc>
          <w:tcPr>
            <w:tcW w:w="2591" w:type="pct"/>
            <w:tcBorders>
              <w:tl2br w:val="nil"/>
              <w:tr2bl w:val="nil"/>
            </w:tcBorders>
            <w:vAlign w:val="center"/>
          </w:tcPr>
          <w:p w14:paraId="06B58A43">
            <w:pPr>
              <w:pStyle w:val="445"/>
            </w:pPr>
            <w:r>
              <w:rPr>
                <w:lang w:val="pt-BR"/>
              </w:rPr>
              <w:t>白色不透明固体，易潮解，熔点318.4℃，沸点1390℃，相对密度（水=1）：2.12，饱和蒸气压：0.13KPa（739℃），易溶于水、乙醇、甘油，不溶于丙酮，主要用于肥皂工业、石油精炼、造纸、人造丝、染色、制革、医药、有机合成等。</w:t>
            </w:r>
          </w:p>
        </w:tc>
        <w:tc>
          <w:tcPr>
            <w:tcW w:w="989" w:type="pct"/>
            <w:tcBorders>
              <w:tl2br w:val="nil"/>
              <w:tr2bl w:val="nil"/>
            </w:tcBorders>
            <w:vAlign w:val="center"/>
          </w:tcPr>
          <w:p w14:paraId="7D85E236">
            <w:pPr>
              <w:pStyle w:val="445"/>
            </w:pPr>
            <w:r>
              <w:rPr>
                <w:kern w:val="0"/>
                <w:szCs w:val="20"/>
              </w:rPr>
              <w:t>腐蚀刺激性</w:t>
            </w:r>
          </w:p>
        </w:tc>
        <w:tc>
          <w:tcPr>
            <w:tcW w:w="857" w:type="pct"/>
            <w:tcBorders>
              <w:tl2br w:val="nil"/>
              <w:tr2bl w:val="nil"/>
            </w:tcBorders>
            <w:vAlign w:val="center"/>
          </w:tcPr>
          <w:p w14:paraId="14442276">
            <w:pPr>
              <w:pStyle w:val="445"/>
            </w:pPr>
            <w:r>
              <w:t>/</w:t>
            </w:r>
          </w:p>
        </w:tc>
      </w:tr>
      <w:tr w14:paraId="4A3F2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0F78A8EA">
            <w:pPr>
              <w:pStyle w:val="445"/>
            </w:pPr>
            <w:r>
              <w:rPr>
                <w:rFonts w:hint="eastAsia"/>
              </w:rPr>
              <w:t>氯化钙</w:t>
            </w:r>
          </w:p>
        </w:tc>
        <w:tc>
          <w:tcPr>
            <w:tcW w:w="2591" w:type="pct"/>
            <w:tcBorders>
              <w:tl2br w:val="nil"/>
              <w:tr2bl w:val="nil"/>
            </w:tcBorders>
            <w:vAlign w:val="center"/>
          </w:tcPr>
          <w:p w14:paraId="22F4DEEB">
            <w:pPr>
              <w:pStyle w:val="445"/>
            </w:pPr>
            <w:r>
              <w:t>白色、硬质碎块或颗粒</w:t>
            </w:r>
            <w:r>
              <w:rPr>
                <w:rFonts w:hint="eastAsia"/>
              </w:rPr>
              <w:t>，分子量110.98，熔点772℃，沸点1600℃，易溶于水</w:t>
            </w:r>
          </w:p>
        </w:tc>
        <w:tc>
          <w:tcPr>
            <w:tcW w:w="989" w:type="pct"/>
            <w:tcBorders>
              <w:tl2br w:val="nil"/>
              <w:tr2bl w:val="nil"/>
            </w:tcBorders>
            <w:vAlign w:val="center"/>
          </w:tcPr>
          <w:p w14:paraId="2718A2E8">
            <w:pPr>
              <w:pStyle w:val="445"/>
              <w:rPr>
                <w:kern w:val="0"/>
                <w:szCs w:val="20"/>
              </w:rPr>
            </w:pPr>
            <w:r>
              <w:rPr>
                <w:kern w:val="0"/>
                <w:szCs w:val="20"/>
              </w:rPr>
              <w:t>粉尘会灼烧、刺激鼻腔、口、喉，还可引起鼻出血和破坏鼻组织；干粉会刺激皮肤，溶液会严重刺激甚至灼伤皮肤</w:t>
            </w:r>
          </w:p>
        </w:tc>
        <w:tc>
          <w:tcPr>
            <w:tcW w:w="857" w:type="pct"/>
            <w:tcBorders>
              <w:tl2br w:val="nil"/>
              <w:tr2bl w:val="nil"/>
            </w:tcBorders>
            <w:vAlign w:val="center"/>
          </w:tcPr>
          <w:p w14:paraId="772E6755">
            <w:pPr>
              <w:pStyle w:val="445"/>
            </w:pPr>
            <w:r>
              <w:rPr>
                <w:rFonts w:hint="eastAsia"/>
              </w:rPr>
              <w:t>/</w:t>
            </w:r>
          </w:p>
        </w:tc>
      </w:tr>
      <w:tr w14:paraId="62894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20" w:hRule="atLeast"/>
          <w:jc w:val="center"/>
        </w:trPr>
        <w:tc>
          <w:tcPr>
            <w:tcW w:w="563" w:type="pct"/>
            <w:tcBorders>
              <w:tl2br w:val="nil"/>
              <w:tr2bl w:val="nil"/>
            </w:tcBorders>
            <w:vAlign w:val="center"/>
          </w:tcPr>
          <w:p w14:paraId="7577D6B4">
            <w:pPr>
              <w:pStyle w:val="445"/>
            </w:pPr>
            <w:r>
              <w:rPr>
                <w:rFonts w:cs="Times New Roman"/>
              </w:rPr>
              <w:t>天然气</w:t>
            </w:r>
          </w:p>
        </w:tc>
        <w:tc>
          <w:tcPr>
            <w:tcW w:w="2591" w:type="pct"/>
            <w:tcBorders>
              <w:tl2br w:val="nil"/>
              <w:tr2bl w:val="nil"/>
            </w:tcBorders>
            <w:vAlign w:val="center"/>
          </w:tcPr>
          <w:p w14:paraId="1174B307">
            <w:pPr>
              <w:pStyle w:val="445"/>
            </w:pPr>
            <w:r>
              <w:rPr>
                <w:rFonts w:cs="Times New Roman"/>
              </w:rPr>
              <w:t>无色，天然气本身无色无味，主要成分是甲烷，比空气轻</w:t>
            </w:r>
          </w:p>
        </w:tc>
        <w:tc>
          <w:tcPr>
            <w:tcW w:w="989" w:type="pct"/>
            <w:tcBorders>
              <w:tl2br w:val="nil"/>
              <w:tr2bl w:val="nil"/>
            </w:tcBorders>
            <w:vAlign w:val="center"/>
          </w:tcPr>
          <w:p w14:paraId="4504BBEE">
            <w:pPr>
              <w:pStyle w:val="445"/>
              <w:rPr>
                <w:kern w:val="0"/>
                <w:szCs w:val="20"/>
              </w:rPr>
            </w:pPr>
            <w:r>
              <w:rPr>
                <w:rFonts w:cs="Times New Roman"/>
              </w:rPr>
              <w:t>易燃易爆，爆炸极限5~14%</w:t>
            </w:r>
          </w:p>
        </w:tc>
        <w:tc>
          <w:tcPr>
            <w:tcW w:w="857" w:type="pct"/>
            <w:tcBorders>
              <w:tl2br w:val="nil"/>
              <w:tr2bl w:val="nil"/>
            </w:tcBorders>
            <w:vAlign w:val="center"/>
          </w:tcPr>
          <w:p w14:paraId="61AA6FA0">
            <w:pPr>
              <w:pStyle w:val="445"/>
            </w:pPr>
            <w:r>
              <w:rPr>
                <w:rFonts w:cs="Times New Roman"/>
              </w:rPr>
              <w:t>/</w:t>
            </w:r>
          </w:p>
        </w:tc>
      </w:tr>
    </w:tbl>
    <w:p w14:paraId="14C9B215">
      <w:pPr>
        <w:ind w:firstLine="480"/>
      </w:pPr>
      <w:r>
        <w:rPr>
          <w:rFonts w:hint="eastAsia"/>
        </w:rPr>
        <w:t>（3）同期拟建项目风险分析及风险防范措施</w:t>
      </w:r>
    </w:p>
    <w:p w14:paraId="47B77C87">
      <w:pPr>
        <w:ind w:firstLine="480"/>
        <w:rPr>
          <w:rFonts w:cs="Times New Roman"/>
        </w:rPr>
      </w:pPr>
      <w:r>
        <w:rPr>
          <w:rFonts w:cs="Times New Roman"/>
        </w:rPr>
        <w:t>在最不利气象条件下，氢氟酸储罐泄漏事故产生的HF在30min达到毒性终点浓度-2最大出现距离为氢氟酸储罐下风向540m（超厂界外500m）；达到毒性终点浓度-1最大出现距离为氢氟酸储罐下风向350m（超厂界外310m）</w:t>
      </w:r>
      <w:r>
        <w:rPr>
          <w:rFonts w:hint="eastAsia" w:cs="Times New Roman"/>
        </w:rPr>
        <w:t>。</w:t>
      </w:r>
    </w:p>
    <w:p w14:paraId="6EFA59D4">
      <w:pPr>
        <w:ind w:firstLine="480"/>
        <w:rPr>
          <w:rFonts w:cs="Times New Roman"/>
        </w:rPr>
      </w:pPr>
      <w:r>
        <w:rPr>
          <w:rFonts w:cs="Times New Roman"/>
        </w:rPr>
        <w:t>建设单位根据事故当天风向，确定可能受影响的环境敏感点，一旦发生事故应及时通知影响范围内保护对象，确保1h内将受影响对象疏散撤离至上风向安全区域。制定应急预案，并与园区/区域应急预案联动，事故状态启动应急监测等工作</w:t>
      </w:r>
      <w:r>
        <w:rPr>
          <w:rFonts w:hint="eastAsia" w:cs="Times New Roman"/>
        </w:rPr>
        <w:t>。</w:t>
      </w:r>
    </w:p>
    <w:p w14:paraId="007FCCCB">
      <w:pPr>
        <w:ind w:firstLine="480"/>
        <w:rPr>
          <w:rFonts w:cs="Times New Roman"/>
        </w:rPr>
      </w:pPr>
      <w:r>
        <w:rPr>
          <w:rFonts w:cs="Times New Roman"/>
        </w:rPr>
        <w:t>建设单位从源头控制、分区防渗、跟踪监测和应急响应方面采取了地下水污染控制措施，可最大程度降低地下水环境风险。</w:t>
      </w:r>
    </w:p>
    <w:p w14:paraId="46C301AC">
      <w:pPr>
        <w:ind w:firstLine="480"/>
      </w:pPr>
      <w:r>
        <w:rPr>
          <w:rFonts w:cs="Times New Roman"/>
        </w:rPr>
        <w:t>综上所述，在有效落实风险防范措施和事故应急预案的前提下，</w:t>
      </w:r>
      <w:r>
        <w:rPr>
          <w:rFonts w:hint="eastAsia" w:cs="Times New Roman"/>
        </w:rPr>
        <w:t>同期拟建</w:t>
      </w:r>
      <w:r>
        <w:rPr>
          <w:rFonts w:cs="Times New Roman"/>
        </w:rPr>
        <w:t>项目环境风险可以防控</w:t>
      </w:r>
      <w:r>
        <w:rPr>
          <w:rFonts w:hint="eastAsia" w:cs="Times New Roman"/>
        </w:rPr>
        <w:t>。</w:t>
      </w:r>
    </w:p>
    <w:p w14:paraId="5AD2B4B3">
      <w:pPr>
        <w:pStyle w:val="349"/>
      </w:pPr>
      <w:r>
        <w:rPr>
          <w:rFonts w:hint="eastAsia"/>
        </w:rPr>
        <w:t>5.6.1.</w:t>
      </w:r>
      <w:r>
        <w:t>5</w:t>
      </w:r>
      <w:r>
        <w:rPr>
          <w:rFonts w:hint="eastAsia"/>
        </w:rPr>
        <w:t>本次</w:t>
      </w:r>
      <w:r>
        <w:t>扩建与现有厂区项目的依托性</w:t>
      </w:r>
    </w:p>
    <w:p w14:paraId="00C39765">
      <w:pPr>
        <w:ind w:firstLine="480"/>
        <w:rPr>
          <w:rFonts w:cs="Times New Roman"/>
          <w:color w:val="000000"/>
        </w:rPr>
      </w:pPr>
      <w:r>
        <w:rPr>
          <w:rFonts w:cs="Times New Roman"/>
          <w:color w:val="000000"/>
        </w:rPr>
        <w:t>（1）组织机构</w:t>
      </w:r>
    </w:p>
    <w:p w14:paraId="59409929">
      <w:pPr>
        <w:ind w:firstLine="480"/>
      </w:pPr>
      <w:r>
        <w:rPr>
          <w:rFonts w:hint="eastAsia"/>
        </w:rPr>
        <w:t>安徽</w:t>
      </w:r>
      <w:r>
        <w:t>凯盛</w:t>
      </w:r>
      <w:r>
        <w:rPr>
          <w:rFonts w:hint="eastAsia"/>
        </w:rPr>
        <w:t>针对现有项目化学品</w:t>
      </w:r>
      <w:r>
        <w:t>泄漏、</w:t>
      </w:r>
      <w:r>
        <w:rPr>
          <w:rFonts w:hint="eastAsia"/>
        </w:rPr>
        <w:t>火灾</w:t>
      </w:r>
      <w:r>
        <w:t>等</w:t>
      </w:r>
      <w:r>
        <w:rPr>
          <w:rFonts w:hint="eastAsia"/>
        </w:rPr>
        <w:t>事故，</w:t>
      </w:r>
      <w:r>
        <w:t>成立了</w:t>
      </w:r>
      <w:r>
        <w:rPr>
          <w:rFonts w:hint="eastAsia"/>
        </w:rPr>
        <w:t>应急</w:t>
      </w:r>
      <w:r>
        <w:t>小组</w:t>
      </w:r>
      <w:r>
        <w:rPr>
          <w:rFonts w:hint="eastAsia"/>
        </w:rPr>
        <w:t>。</w:t>
      </w:r>
      <w:r>
        <w:t>本次扩建后，</w:t>
      </w:r>
      <w:r>
        <w:rPr>
          <w:rFonts w:hint="eastAsia"/>
        </w:rPr>
        <w:t>可</w:t>
      </w:r>
      <w:r>
        <w:t>依托</w:t>
      </w:r>
      <w:r>
        <w:rPr>
          <w:rFonts w:hint="eastAsia"/>
        </w:rPr>
        <w:t>现有</w:t>
      </w:r>
      <w:r>
        <w:t>项目应急小组。</w:t>
      </w:r>
      <w:r>
        <w:rPr>
          <w:rFonts w:hint="eastAsia"/>
        </w:rPr>
        <w:t>具体</w:t>
      </w:r>
      <w:r>
        <w:t>见下表。</w:t>
      </w:r>
    </w:p>
    <w:p w14:paraId="63F9B5BB">
      <w:pPr>
        <w:pStyle w:val="278"/>
      </w:pPr>
      <w:r>
        <w:rPr>
          <w:rFonts w:hint="eastAsia"/>
        </w:rPr>
        <w:t>表5.</w:t>
      </w:r>
      <w:r>
        <w:t xml:space="preserve">6.1-9 </w:t>
      </w:r>
      <w:r>
        <w:rPr>
          <w:rFonts w:hint="eastAsia"/>
        </w:rPr>
        <w:t>现有</w:t>
      </w:r>
      <w:r>
        <w:t>项目应急小组</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97"/>
        <w:gridCol w:w="1762"/>
        <w:gridCol w:w="2913"/>
        <w:gridCol w:w="2671"/>
      </w:tblGrid>
      <w:tr w14:paraId="436FC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Align w:val="center"/>
          </w:tcPr>
          <w:p w14:paraId="19A6E566">
            <w:pPr>
              <w:pStyle w:val="445"/>
              <w:rPr>
                <w:rFonts w:cs="Times New Roman"/>
                <w:kern w:val="0"/>
                <w:szCs w:val="20"/>
              </w:rPr>
            </w:pPr>
            <w:r>
              <w:rPr>
                <w:rFonts w:cs="Times New Roman"/>
                <w:kern w:val="0"/>
                <w:szCs w:val="20"/>
              </w:rPr>
              <w:t>职责单位</w:t>
            </w:r>
          </w:p>
        </w:tc>
        <w:tc>
          <w:tcPr>
            <w:tcW w:w="953" w:type="pct"/>
            <w:vAlign w:val="center"/>
          </w:tcPr>
          <w:p w14:paraId="32BB43A3">
            <w:pPr>
              <w:pStyle w:val="445"/>
              <w:rPr>
                <w:rFonts w:cs="Times New Roman"/>
                <w:kern w:val="0"/>
                <w:szCs w:val="20"/>
              </w:rPr>
            </w:pPr>
            <w:r>
              <w:rPr>
                <w:rFonts w:cs="Times New Roman"/>
                <w:kern w:val="0"/>
                <w:szCs w:val="20"/>
              </w:rPr>
              <w:t>人员姓名</w:t>
            </w:r>
          </w:p>
        </w:tc>
        <w:tc>
          <w:tcPr>
            <w:tcW w:w="1576" w:type="pct"/>
            <w:vAlign w:val="center"/>
          </w:tcPr>
          <w:p w14:paraId="551E85ED">
            <w:pPr>
              <w:pStyle w:val="445"/>
              <w:rPr>
                <w:rFonts w:cs="Times New Roman"/>
                <w:kern w:val="0"/>
                <w:szCs w:val="20"/>
              </w:rPr>
            </w:pPr>
            <w:r>
              <w:rPr>
                <w:rFonts w:cs="Times New Roman"/>
                <w:kern w:val="0"/>
                <w:szCs w:val="20"/>
              </w:rPr>
              <w:t>联系电话</w:t>
            </w:r>
          </w:p>
        </w:tc>
        <w:tc>
          <w:tcPr>
            <w:tcW w:w="1445" w:type="pct"/>
            <w:vAlign w:val="center"/>
          </w:tcPr>
          <w:p w14:paraId="0F04BA67">
            <w:pPr>
              <w:pStyle w:val="445"/>
              <w:rPr>
                <w:rFonts w:cs="Times New Roman"/>
                <w:kern w:val="0"/>
                <w:szCs w:val="20"/>
              </w:rPr>
            </w:pPr>
            <w:r>
              <w:rPr>
                <w:rFonts w:cs="Times New Roman"/>
                <w:kern w:val="0"/>
                <w:szCs w:val="20"/>
              </w:rPr>
              <w:t>职务</w:t>
            </w:r>
          </w:p>
        </w:tc>
      </w:tr>
      <w:tr w14:paraId="53CD0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restart"/>
            <w:vAlign w:val="center"/>
          </w:tcPr>
          <w:p w14:paraId="2381F551">
            <w:pPr>
              <w:pStyle w:val="445"/>
              <w:rPr>
                <w:rFonts w:cs="Times New Roman"/>
                <w:kern w:val="0"/>
                <w:szCs w:val="20"/>
              </w:rPr>
            </w:pPr>
            <w:r>
              <w:rPr>
                <w:rFonts w:hint="eastAsia" w:cs="Times New Roman"/>
                <w:kern w:val="0"/>
                <w:szCs w:val="20"/>
              </w:rPr>
              <w:t>应急指挥部</w:t>
            </w:r>
          </w:p>
        </w:tc>
        <w:tc>
          <w:tcPr>
            <w:tcW w:w="953" w:type="pct"/>
            <w:vAlign w:val="center"/>
          </w:tcPr>
          <w:p w14:paraId="4BACF054">
            <w:pPr>
              <w:pStyle w:val="445"/>
              <w:rPr>
                <w:rFonts w:cs="Times New Roman"/>
                <w:kern w:val="0"/>
                <w:szCs w:val="20"/>
              </w:rPr>
            </w:pPr>
            <w:r>
              <w:rPr>
                <w:rFonts w:hint="eastAsia" w:cs="Times New Roman"/>
                <w:kern w:val="0"/>
                <w:szCs w:val="20"/>
              </w:rPr>
              <w:t>王永和</w:t>
            </w:r>
          </w:p>
        </w:tc>
        <w:tc>
          <w:tcPr>
            <w:tcW w:w="1576" w:type="pct"/>
            <w:vAlign w:val="center"/>
          </w:tcPr>
          <w:p w14:paraId="448CA06E">
            <w:pPr>
              <w:pStyle w:val="445"/>
              <w:rPr>
                <w:rFonts w:cs="Times New Roman"/>
                <w:kern w:val="0"/>
                <w:szCs w:val="20"/>
              </w:rPr>
            </w:pPr>
            <w:r>
              <w:rPr>
                <w:rFonts w:hint="eastAsia" w:cs="Times New Roman"/>
                <w:kern w:val="0"/>
                <w:szCs w:val="20"/>
              </w:rPr>
              <w:t>133</w:t>
            </w:r>
            <w:r>
              <w:rPr>
                <w:rFonts w:cs="Times New Roman"/>
                <w:kern w:val="0"/>
                <w:szCs w:val="20"/>
              </w:rPr>
              <w:t>05527058</w:t>
            </w:r>
          </w:p>
        </w:tc>
        <w:tc>
          <w:tcPr>
            <w:tcW w:w="1445" w:type="pct"/>
            <w:vAlign w:val="center"/>
          </w:tcPr>
          <w:p w14:paraId="61F37499">
            <w:pPr>
              <w:pStyle w:val="445"/>
              <w:rPr>
                <w:rFonts w:cs="Times New Roman"/>
                <w:kern w:val="0"/>
                <w:szCs w:val="20"/>
              </w:rPr>
            </w:pPr>
            <w:r>
              <w:rPr>
                <w:rFonts w:hint="eastAsia" w:cs="Times New Roman"/>
                <w:kern w:val="0"/>
                <w:szCs w:val="20"/>
              </w:rPr>
              <w:t>总指挥</w:t>
            </w:r>
          </w:p>
        </w:tc>
      </w:tr>
      <w:tr w14:paraId="7E2BC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continue"/>
            <w:vAlign w:val="center"/>
          </w:tcPr>
          <w:p w14:paraId="6A87F6BD">
            <w:pPr>
              <w:pStyle w:val="445"/>
              <w:rPr>
                <w:rFonts w:cs="Times New Roman"/>
                <w:kern w:val="0"/>
                <w:szCs w:val="20"/>
              </w:rPr>
            </w:pPr>
          </w:p>
        </w:tc>
        <w:tc>
          <w:tcPr>
            <w:tcW w:w="953" w:type="pct"/>
            <w:vAlign w:val="center"/>
          </w:tcPr>
          <w:p w14:paraId="7D119549">
            <w:pPr>
              <w:pStyle w:val="445"/>
              <w:rPr>
                <w:rFonts w:cs="Times New Roman"/>
                <w:kern w:val="0"/>
                <w:szCs w:val="20"/>
              </w:rPr>
            </w:pPr>
            <w:r>
              <w:rPr>
                <w:rFonts w:hint="eastAsia" w:cs="Times New Roman"/>
                <w:kern w:val="0"/>
                <w:szCs w:val="20"/>
              </w:rPr>
              <w:t>韩晖</w:t>
            </w:r>
          </w:p>
        </w:tc>
        <w:tc>
          <w:tcPr>
            <w:tcW w:w="1576" w:type="pct"/>
            <w:vAlign w:val="center"/>
          </w:tcPr>
          <w:p w14:paraId="26990F8D">
            <w:pPr>
              <w:pStyle w:val="445"/>
              <w:rPr>
                <w:rFonts w:cs="Times New Roman"/>
                <w:kern w:val="0"/>
                <w:szCs w:val="20"/>
              </w:rPr>
            </w:pPr>
            <w:r>
              <w:rPr>
                <w:rFonts w:hint="eastAsia" w:cs="Times New Roman"/>
                <w:kern w:val="0"/>
                <w:szCs w:val="20"/>
              </w:rPr>
              <w:t>1</w:t>
            </w:r>
            <w:r>
              <w:rPr>
                <w:rFonts w:cs="Times New Roman"/>
                <w:kern w:val="0"/>
                <w:szCs w:val="20"/>
              </w:rPr>
              <w:t>3956386350</w:t>
            </w:r>
          </w:p>
        </w:tc>
        <w:tc>
          <w:tcPr>
            <w:tcW w:w="1445" w:type="pct"/>
            <w:vAlign w:val="center"/>
          </w:tcPr>
          <w:p w14:paraId="58F65BC7">
            <w:pPr>
              <w:pStyle w:val="445"/>
              <w:rPr>
                <w:rFonts w:cs="Times New Roman"/>
                <w:kern w:val="0"/>
                <w:szCs w:val="20"/>
              </w:rPr>
            </w:pPr>
            <w:r>
              <w:rPr>
                <w:rFonts w:hint="eastAsia" w:cs="Times New Roman"/>
                <w:kern w:val="0"/>
                <w:szCs w:val="20"/>
              </w:rPr>
              <w:t>副总指挥</w:t>
            </w:r>
          </w:p>
        </w:tc>
      </w:tr>
      <w:tr w14:paraId="3F4979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restart"/>
            <w:vAlign w:val="center"/>
          </w:tcPr>
          <w:p w14:paraId="256F3C16">
            <w:pPr>
              <w:pStyle w:val="445"/>
              <w:rPr>
                <w:rFonts w:cs="Times New Roman"/>
                <w:kern w:val="0"/>
                <w:szCs w:val="20"/>
              </w:rPr>
            </w:pPr>
            <w:r>
              <w:rPr>
                <w:rFonts w:hint="eastAsia" w:cs="Times New Roman"/>
                <w:kern w:val="0"/>
                <w:szCs w:val="20"/>
              </w:rPr>
              <w:t>应急</w:t>
            </w:r>
            <w:r>
              <w:rPr>
                <w:rFonts w:cs="Times New Roman"/>
                <w:kern w:val="0"/>
                <w:szCs w:val="20"/>
              </w:rPr>
              <w:t>抢险组</w:t>
            </w:r>
          </w:p>
        </w:tc>
        <w:tc>
          <w:tcPr>
            <w:tcW w:w="953" w:type="pct"/>
            <w:vAlign w:val="center"/>
          </w:tcPr>
          <w:p w14:paraId="3760E4F2">
            <w:pPr>
              <w:pStyle w:val="445"/>
              <w:rPr>
                <w:rFonts w:cs="Times New Roman"/>
                <w:kern w:val="0"/>
                <w:szCs w:val="20"/>
              </w:rPr>
            </w:pPr>
            <w:r>
              <w:rPr>
                <w:rFonts w:hint="eastAsia" w:cs="Times New Roman"/>
                <w:kern w:val="0"/>
                <w:szCs w:val="20"/>
              </w:rPr>
              <w:t>严</w:t>
            </w:r>
            <w:r>
              <w:rPr>
                <w:rFonts w:cs="Times New Roman"/>
                <w:kern w:val="0"/>
                <w:szCs w:val="20"/>
              </w:rPr>
              <w:t>回</w:t>
            </w:r>
          </w:p>
        </w:tc>
        <w:tc>
          <w:tcPr>
            <w:tcW w:w="1576" w:type="pct"/>
            <w:vAlign w:val="center"/>
          </w:tcPr>
          <w:p w14:paraId="1B3BE04C">
            <w:pPr>
              <w:pStyle w:val="445"/>
              <w:rPr>
                <w:rFonts w:cs="Times New Roman"/>
                <w:kern w:val="0"/>
                <w:szCs w:val="20"/>
              </w:rPr>
            </w:pPr>
            <w:r>
              <w:rPr>
                <w:rFonts w:hint="eastAsia" w:cs="Times New Roman"/>
                <w:kern w:val="0"/>
                <w:szCs w:val="20"/>
              </w:rPr>
              <w:t>1894932</w:t>
            </w:r>
            <w:r>
              <w:rPr>
                <w:rFonts w:cs="Times New Roman"/>
                <w:kern w:val="0"/>
                <w:szCs w:val="20"/>
              </w:rPr>
              <w:t>6379</w:t>
            </w:r>
          </w:p>
        </w:tc>
        <w:tc>
          <w:tcPr>
            <w:tcW w:w="1445" w:type="pct"/>
            <w:vAlign w:val="center"/>
          </w:tcPr>
          <w:p w14:paraId="631888EB">
            <w:pPr>
              <w:pStyle w:val="445"/>
              <w:rPr>
                <w:rFonts w:cs="Times New Roman"/>
                <w:kern w:val="0"/>
                <w:szCs w:val="20"/>
              </w:rPr>
            </w:pPr>
            <w:r>
              <w:rPr>
                <w:rFonts w:hint="eastAsia" w:cs="Times New Roman"/>
                <w:kern w:val="0"/>
                <w:szCs w:val="20"/>
              </w:rPr>
              <w:t>组长</w:t>
            </w:r>
          </w:p>
        </w:tc>
      </w:tr>
      <w:tr w14:paraId="467A1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continue"/>
            <w:vAlign w:val="center"/>
          </w:tcPr>
          <w:p w14:paraId="0F6A6A4E">
            <w:pPr>
              <w:pStyle w:val="445"/>
              <w:rPr>
                <w:rFonts w:cs="Times New Roman"/>
                <w:kern w:val="0"/>
                <w:szCs w:val="20"/>
              </w:rPr>
            </w:pPr>
          </w:p>
        </w:tc>
        <w:tc>
          <w:tcPr>
            <w:tcW w:w="953" w:type="pct"/>
            <w:vAlign w:val="center"/>
          </w:tcPr>
          <w:p w14:paraId="007CFE2B">
            <w:pPr>
              <w:pStyle w:val="445"/>
              <w:rPr>
                <w:rFonts w:cs="Times New Roman"/>
                <w:kern w:val="0"/>
                <w:szCs w:val="20"/>
              </w:rPr>
            </w:pPr>
            <w:r>
              <w:rPr>
                <w:rFonts w:hint="eastAsia" w:cs="Times New Roman"/>
                <w:kern w:val="0"/>
                <w:szCs w:val="20"/>
              </w:rPr>
              <w:t>张士林</w:t>
            </w:r>
          </w:p>
        </w:tc>
        <w:tc>
          <w:tcPr>
            <w:tcW w:w="1576" w:type="pct"/>
            <w:vAlign w:val="center"/>
          </w:tcPr>
          <w:p w14:paraId="562F6434">
            <w:pPr>
              <w:pStyle w:val="445"/>
              <w:rPr>
                <w:rFonts w:cs="Times New Roman"/>
                <w:kern w:val="0"/>
                <w:szCs w:val="20"/>
              </w:rPr>
            </w:pPr>
            <w:r>
              <w:rPr>
                <w:rFonts w:hint="eastAsia" w:cs="Times New Roman"/>
                <w:kern w:val="0"/>
                <w:szCs w:val="20"/>
              </w:rPr>
              <w:t>18755207206</w:t>
            </w:r>
          </w:p>
        </w:tc>
        <w:tc>
          <w:tcPr>
            <w:tcW w:w="1445" w:type="pct"/>
            <w:vAlign w:val="center"/>
          </w:tcPr>
          <w:p w14:paraId="7323FBA6">
            <w:pPr>
              <w:pStyle w:val="445"/>
              <w:rPr>
                <w:rFonts w:cs="Times New Roman"/>
                <w:kern w:val="0"/>
                <w:szCs w:val="20"/>
              </w:rPr>
            </w:pPr>
            <w:r>
              <w:rPr>
                <w:rFonts w:hint="eastAsia" w:cs="Times New Roman"/>
                <w:kern w:val="0"/>
                <w:szCs w:val="20"/>
              </w:rPr>
              <w:t>组员</w:t>
            </w:r>
          </w:p>
        </w:tc>
      </w:tr>
      <w:tr w14:paraId="7E751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restart"/>
            <w:vAlign w:val="center"/>
          </w:tcPr>
          <w:p w14:paraId="2D7AE184">
            <w:pPr>
              <w:pStyle w:val="445"/>
              <w:rPr>
                <w:rFonts w:cs="Times New Roman"/>
                <w:kern w:val="0"/>
                <w:szCs w:val="20"/>
              </w:rPr>
            </w:pPr>
            <w:r>
              <w:rPr>
                <w:rFonts w:hint="eastAsia" w:cs="Times New Roman"/>
                <w:kern w:val="0"/>
                <w:szCs w:val="20"/>
              </w:rPr>
              <w:t>应急环保组</w:t>
            </w:r>
          </w:p>
        </w:tc>
        <w:tc>
          <w:tcPr>
            <w:tcW w:w="953" w:type="pct"/>
            <w:vAlign w:val="center"/>
          </w:tcPr>
          <w:p w14:paraId="5E2A47F0">
            <w:pPr>
              <w:pStyle w:val="445"/>
              <w:rPr>
                <w:rFonts w:cs="Times New Roman"/>
                <w:kern w:val="0"/>
                <w:szCs w:val="20"/>
              </w:rPr>
            </w:pPr>
            <w:r>
              <w:rPr>
                <w:rFonts w:hint="eastAsia" w:cs="Times New Roman"/>
                <w:kern w:val="0"/>
                <w:szCs w:val="20"/>
              </w:rPr>
              <w:t>葛信信</w:t>
            </w:r>
          </w:p>
        </w:tc>
        <w:tc>
          <w:tcPr>
            <w:tcW w:w="1576" w:type="pct"/>
            <w:vAlign w:val="center"/>
          </w:tcPr>
          <w:p w14:paraId="1716AADD">
            <w:pPr>
              <w:pStyle w:val="445"/>
              <w:rPr>
                <w:rFonts w:cs="Times New Roman"/>
                <w:kern w:val="0"/>
                <w:szCs w:val="20"/>
              </w:rPr>
            </w:pPr>
            <w:r>
              <w:rPr>
                <w:rFonts w:hint="eastAsia" w:cs="Times New Roman"/>
                <w:kern w:val="0"/>
                <w:szCs w:val="20"/>
              </w:rPr>
              <w:t>17755207040</w:t>
            </w:r>
          </w:p>
        </w:tc>
        <w:tc>
          <w:tcPr>
            <w:tcW w:w="1445" w:type="pct"/>
            <w:vAlign w:val="center"/>
          </w:tcPr>
          <w:p w14:paraId="5BA5B09B">
            <w:pPr>
              <w:pStyle w:val="445"/>
              <w:rPr>
                <w:rFonts w:cs="Times New Roman"/>
                <w:kern w:val="0"/>
                <w:szCs w:val="20"/>
              </w:rPr>
            </w:pPr>
            <w:r>
              <w:rPr>
                <w:rFonts w:hint="eastAsia" w:cs="Times New Roman"/>
                <w:kern w:val="0"/>
                <w:szCs w:val="20"/>
              </w:rPr>
              <w:t>组长</w:t>
            </w:r>
          </w:p>
        </w:tc>
      </w:tr>
      <w:tr w14:paraId="48504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continue"/>
            <w:vAlign w:val="center"/>
          </w:tcPr>
          <w:p w14:paraId="5E6FEC0D">
            <w:pPr>
              <w:pStyle w:val="445"/>
              <w:rPr>
                <w:rFonts w:cs="Times New Roman"/>
                <w:kern w:val="0"/>
                <w:szCs w:val="20"/>
              </w:rPr>
            </w:pPr>
          </w:p>
        </w:tc>
        <w:tc>
          <w:tcPr>
            <w:tcW w:w="953" w:type="pct"/>
            <w:vAlign w:val="center"/>
          </w:tcPr>
          <w:p w14:paraId="06BF87D1">
            <w:pPr>
              <w:pStyle w:val="445"/>
              <w:rPr>
                <w:rFonts w:cs="Times New Roman"/>
                <w:kern w:val="0"/>
                <w:szCs w:val="20"/>
              </w:rPr>
            </w:pPr>
            <w:r>
              <w:rPr>
                <w:rFonts w:hint="eastAsia" w:cs="Times New Roman"/>
                <w:kern w:val="0"/>
                <w:szCs w:val="20"/>
              </w:rPr>
              <w:t>吕跃刚</w:t>
            </w:r>
          </w:p>
        </w:tc>
        <w:tc>
          <w:tcPr>
            <w:tcW w:w="1576" w:type="pct"/>
            <w:vAlign w:val="center"/>
          </w:tcPr>
          <w:p w14:paraId="7CCA0F46">
            <w:pPr>
              <w:pStyle w:val="445"/>
              <w:rPr>
                <w:rFonts w:cs="Times New Roman"/>
                <w:kern w:val="0"/>
                <w:szCs w:val="20"/>
              </w:rPr>
            </w:pPr>
            <w:r>
              <w:rPr>
                <w:rFonts w:hint="eastAsia" w:cs="Times New Roman"/>
                <w:kern w:val="0"/>
                <w:szCs w:val="20"/>
              </w:rPr>
              <w:t>18755204582</w:t>
            </w:r>
          </w:p>
        </w:tc>
        <w:tc>
          <w:tcPr>
            <w:tcW w:w="1445" w:type="pct"/>
            <w:vAlign w:val="center"/>
          </w:tcPr>
          <w:p w14:paraId="6EB8F307">
            <w:pPr>
              <w:pStyle w:val="445"/>
              <w:rPr>
                <w:rFonts w:cs="Times New Roman"/>
                <w:kern w:val="0"/>
                <w:szCs w:val="20"/>
              </w:rPr>
            </w:pPr>
            <w:r>
              <w:rPr>
                <w:rFonts w:hint="eastAsia" w:cs="Times New Roman"/>
                <w:kern w:val="0"/>
                <w:szCs w:val="20"/>
              </w:rPr>
              <w:t>组员</w:t>
            </w:r>
          </w:p>
        </w:tc>
      </w:tr>
      <w:tr w14:paraId="2707E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restart"/>
            <w:vAlign w:val="center"/>
          </w:tcPr>
          <w:p w14:paraId="0D2F474A">
            <w:pPr>
              <w:pStyle w:val="445"/>
              <w:rPr>
                <w:rFonts w:cs="Times New Roman"/>
                <w:kern w:val="0"/>
                <w:szCs w:val="20"/>
              </w:rPr>
            </w:pPr>
            <w:r>
              <w:rPr>
                <w:rFonts w:hint="eastAsia" w:cs="Times New Roman"/>
                <w:kern w:val="0"/>
                <w:szCs w:val="20"/>
              </w:rPr>
              <w:t>物资保障组</w:t>
            </w:r>
          </w:p>
        </w:tc>
        <w:tc>
          <w:tcPr>
            <w:tcW w:w="953" w:type="pct"/>
            <w:vAlign w:val="center"/>
          </w:tcPr>
          <w:p w14:paraId="69CE895E">
            <w:pPr>
              <w:pStyle w:val="445"/>
              <w:rPr>
                <w:rFonts w:cs="Times New Roman"/>
                <w:kern w:val="0"/>
                <w:szCs w:val="20"/>
              </w:rPr>
            </w:pPr>
            <w:r>
              <w:rPr>
                <w:rFonts w:hint="eastAsia" w:cs="Times New Roman"/>
                <w:kern w:val="0"/>
                <w:szCs w:val="20"/>
              </w:rPr>
              <w:t>胡石磊</w:t>
            </w:r>
          </w:p>
        </w:tc>
        <w:tc>
          <w:tcPr>
            <w:tcW w:w="1576" w:type="pct"/>
            <w:vAlign w:val="center"/>
          </w:tcPr>
          <w:p w14:paraId="3378D0C9">
            <w:pPr>
              <w:pStyle w:val="445"/>
              <w:rPr>
                <w:rFonts w:cs="Times New Roman"/>
                <w:kern w:val="0"/>
                <w:szCs w:val="20"/>
              </w:rPr>
            </w:pPr>
            <w:r>
              <w:rPr>
                <w:rFonts w:hint="eastAsia" w:cs="Times New Roman"/>
                <w:kern w:val="0"/>
                <w:szCs w:val="20"/>
              </w:rPr>
              <w:t>18655289565</w:t>
            </w:r>
          </w:p>
        </w:tc>
        <w:tc>
          <w:tcPr>
            <w:tcW w:w="1445" w:type="pct"/>
            <w:vAlign w:val="center"/>
          </w:tcPr>
          <w:p w14:paraId="3CEE8F9A">
            <w:pPr>
              <w:pStyle w:val="445"/>
              <w:rPr>
                <w:rFonts w:cs="Times New Roman"/>
                <w:kern w:val="0"/>
                <w:szCs w:val="20"/>
              </w:rPr>
            </w:pPr>
            <w:r>
              <w:rPr>
                <w:rFonts w:hint="eastAsia" w:cs="Times New Roman"/>
                <w:kern w:val="0"/>
                <w:szCs w:val="20"/>
              </w:rPr>
              <w:t>组长</w:t>
            </w:r>
          </w:p>
        </w:tc>
      </w:tr>
      <w:tr w14:paraId="0B390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6" w:type="pct"/>
            <w:vMerge w:val="continue"/>
            <w:vAlign w:val="center"/>
          </w:tcPr>
          <w:p w14:paraId="7A758769">
            <w:pPr>
              <w:pStyle w:val="445"/>
              <w:rPr>
                <w:rFonts w:cs="Times New Roman"/>
                <w:kern w:val="0"/>
                <w:szCs w:val="20"/>
              </w:rPr>
            </w:pPr>
          </w:p>
        </w:tc>
        <w:tc>
          <w:tcPr>
            <w:tcW w:w="953" w:type="pct"/>
            <w:vAlign w:val="center"/>
          </w:tcPr>
          <w:p w14:paraId="09D8B6F1">
            <w:pPr>
              <w:pStyle w:val="445"/>
              <w:rPr>
                <w:rFonts w:cs="Times New Roman"/>
                <w:kern w:val="0"/>
                <w:szCs w:val="20"/>
              </w:rPr>
            </w:pPr>
            <w:r>
              <w:rPr>
                <w:rFonts w:hint="eastAsia" w:cs="Times New Roman"/>
                <w:kern w:val="0"/>
                <w:szCs w:val="20"/>
              </w:rPr>
              <w:t>乔</w:t>
            </w:r>
            <w:r>
              <w:rPr>
                <w:rFonts w:cs="Times New Roman"/>
                <w:kern w:val="0"/>
                <w:szCs w:val="20"/>
              </w:rPr>
              <w:t>春义</w:t>
            </w:r>
          </w:p>
        </w:tc>
        <w:tc>
          <w:tcPr>
            <w:tcW w:w="1576" w:type="pct"/>
            <w:vAlign w:val="center"/>
          </w:tcPr>
          <w:p w14:paraId="59EEEF53">
            <w:pPr>
              <w:pStyle w:val="445"/>
              <w:rPr>
                <w:rFonts w:cs="Times New Roman"/>
                <w:kern w:val="0"/>
                <w:szCs w:val="20"/>
              </w:rPr>
            </w:pPr>
            <w:r>
              <w:rPr>
                <w:rFonts w:hint="eastAsia" w:cs="Times New Roman"/>
                <w:kern w:val="0"/>
                <w:szCs w:val="20"/>
              </w:rPr>
              <w:t>18160812833</w:t>
            </w:r>
          </w:p>
        </w:tc>
        <w:tc>
          <w:tcPr>
            <w:tcW w:w="1445" w:type="pct"/>
            <w:vAlign w:val="center"/>
          </w:tcPr>
          <w:p w14:paraId="3E6030B3">
            <w:pPr>
              <w:pStyle w:val="445"/>
              <w:rPr>
                <w:rFonts w:cs="Times New Roman"/>
                <w:kern w:val="0"/>
                <w:szCs w:val="20"/>
              </w:rPr>
            </w:pPr>
            <w:r>
              <w:rPr>
                <w:rFonts w:hint="eastAsia" w:cs="Times New Roman"/>
                <w:kern w:val="0"/>
                <w:szCs w:val="20"/>
              </w:rPr>
              <w:t>组员</w:t>
            </w:r>
          </w:p>
        </w:tc>
      </w:tr>
    </w:tbl>
    <w:p w14:paraId="1BE84E94">
      <w:pPr>
        <w:ind w:firstLine="480"/>
      </w:pPr>
      <w:r>
        <w:rPr>
          <w:rFonts w:hint="eastAsia"/>
        </w:rPr>
        <w:t>（2）应急</w:t>
      </w:r>
      <w:r>
        <w:t>物资</w:t>
      </w:r>
    </w:p>
    <w:p w14:paraId="595AE441">
      <w:pPr>
        <w:ind w:firstLine="480"/>
      </w:pPr>
      <w:r>
        <w:rPr>
          <w:rFonts w:hint="eastAsia"/>
        </w:rPr>
        <w:t>安徽</w:t>
      </w:r>
      <w:r>
        <w:t>凯盛</w:t>
      </w:r>
      <w:r>
        <w:rPr>
          <w:rFonts w:hint="eastAsia"/>
        </w:rPr>
        <w:t>针对现有项目化学品</w:t>
      </w:r>
      <w:r>
        <w:t>泄漏、</w:t>
      </w:r>
      <w:r>
        <w:rPr>
          <w:rFonts w:hint="eastAsia"/>
        </w:rPr>
        <w:t>火灾</w:t>
      </w:r>
      <w:r>
        <w:t>等</w:t>
      </w:r>
      <w:r>
        <w:rPr>
          <w:rFonts w:hint="eastAsia"/>
        </w:rPr>
        <w:t>事故，配备</w:t>
      </w:r>
      <w:r>
        <w:t>了</w:t>
      </w:r>
      <w:r>
        <w:rPr>
          <w:rFonts w:hint="eastAsia"/>
        </w:rPr>
        <w:t>应急物资</w:t>
      </w:r>
      <w:r>
        <w:t>。本次扩建后，</w:t>
      </w:r>
      <w:r>
        <w:rPr>
          <w:rFonts w:hint="eastAsia"/>
        </w:rPr>
        <w:t>可</w:t>
      </w:r>
      <w:r>
        <w:t>依托</w:t>
      </w:r>
      <w:r>
        <w:rPr>
          <w:rFonts w:hint="eastAsia"/>
        </w:rPr>
        <w:t>应急</w:t>
      </w:r>
      <w:r>
        <w:t>物资</w:t>
      </w:r>
      <w:r>
        <w:rPr>
          <w:rFonts w:hint="eastAsia"/>
        </w:rPr>
        <w:t>，</w:t>
      </w:r>
      <w:r>
        <w:t>本次扩建后，</w:t>
      </w:r>
      <w:r>
        <w:rPr>
          <w:rFonts w:cs="Times New Roman"/>
          <w:bCs/>
          <w:color w:val="000000"/>
        </w:rPr>
        <w:t>将在原来物资配备的基础上，增加应急物资数量</w:t>
      </w:r>
      <w:r>
        <w:rPr>
          <w:rFonts w:hint="eastAsia" w:cs="Times New Roman"/>
          <w:bCs/>
          <w:color w:val="000000"/>
        </w:rPr>
        <w:t>。</w:t>
      </w:r>
    </w:p>
    <w:p w14:paraId="622BAF8E">
      <w:pPr>
        <w:pStyle w:val="278"/>
      </w:pPr>
      <w:r>
        <w:rPr>
          <w:rFonts w:hint="eastAsia"/>
        </w:rPr>
        <w:t>表5.6.1-</w:t>
      </w:r>
      <w:r>
        <w:t>10</w:t>
      </w:r>
      <w:r>
        <w:rPr>
          <w:rFonts w:hint="eastAsia"/>
        </w:rPr>
        <w:t xml:space="preserve"> 现有</w:t>
      </w:r>
      <w:r>
        <w:t>项目应急物资一览表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30"/>
        <w:gridCol w:w="1281"/>
        <w:gridCol w:w="4532"/>
      </w:tblGrid>
      <w:tr w14:paraId="3C76E8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3B1002F7">
            <w:pPr>
              <w:pStyle w:val="445"/>
              <w:rPr>
                <w:rFonts w:cs="Times New Roman"/>
                <w:kern w:val="0"/>
                <w:szCs w:val="20"/>
              </w:rPr>
            </w:pPr>
            <w:r>
              <w:rPr>
                <w:rFonts w:hint="eastAsia" w:cs="Times New Roman"/>
                <w:kern w:val="0"/>
                <w:szCs w:val="20"/>
              </w:rPr>
              <w:t>名称</w:t>
            </w:r>
          </w:p>
        </w:tc>
        <w:tc>
          <w:tcPr>
            <w:tcW w:w="693" w:type="pct"/>
            <w:vAlign w:val="center"/>
          </w:tcPr>
          <w:p w14:paraId="704E91DF">
            <w:pPr>
              <w:pStyle w:val="445"/>
              <w:rPr>
                <w:rFonts w:cs="Times New Roman"/>
                <w:kern w:val="0"/>
                <w:szCs w:val="20"/>
              </w:rPr>
            </w:pPr>
            <w:r>
              <w:rPr>
                <w:rFonts w:hint="eastAsia" w:cs="Times New Roman"/>
                <w:kern w:val="0"/>
                <w:szCs w:val="20"/>
              </w:rPr>
              <w:t>数量</w:t>
            </w:r>
          </w:p>
        </w:tc>
        <w:tc>
          <w:tcPr>
            <w:tcW w:w="2451" w:type="pct"/>
            <w:vAlign w:val="center"/>
          </w:tcPr>
          <w:p w14:paraId="113F178B">
            <w:pPr>
              <w:pStyle w:val="445"/>
              <w:rPr>
                <w:rFonts w:cs="Times New Roman"/>
                <w:kern w:val="0"/>
                <w:szCs w:val="20"/>
              </w:rPr>
            </w:pPr>
            <w:r>
              <w:rPr>
                <w:rFonts w:hint="eastAsia" w:cs="Times New Roman"/>
                <w:kern w:val="0"/>
                <w:szCs w:val="20"/>
              </w:rPr>
              <w:t>位置</w:t>
            </w:r>
          </w:p>
        </w:tc>
      </w:tr>
      <w:tr w14:paraId="2D826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482D65B9">
            <w:pPr>
              <w:pStyle w:val="445"/>
              <w:rPr>
                <w:rFonts w:cs="Times New Roman"/>
                <w:kern w:val="0"/>
                <w:szCs w:val="20"/>
              </w:rPr>
            </w:pPr>
            <w:r>
              <w:rPr>
                <w:rFonts w:hint="eastAsia" w:cs="Times New Roman"/>
                <w:kern w:val="0"/>
                <w:szCs w:val="20"/>
              </w:rPr>
              <w:t>50</w:t>
            </w:r>
            <w:r>
              <w:rPr>
                <w:rFonts w:cs="Times New Roman"/>
                <w:kern w:val="0"/>
                <w:szCs w:val="20"/>
              </w:rPr>
              <w:t>L塑料桶</w:t>
            </w:r>
          </w:p>
        </w:tc>
        <w:tc>
          <w:tcPr>
            <w:tcW w:w="693" w:type="pct"/>
            <w:vAlign w:val="center"/>
          </w:tcPr>
          <w:p w14:paraId="10A45788">
            <w:pPr>
              <w:pStyle w:val="445"/>
              <w:rPr>
                <w:rFonts w:cs="Times New Roman"/>
                <w:kern w:val="0"/>
                <w:szCs w:val="20"/>
              </w:rPr>
            </w:pPr>
            <w:r>
              <w:rPr>
                <w:rFonts w:hint="eastAsia" w:cs="Times New Roman"/>
                <w:kern w:val="0"/>
                <w:szCs w:val="20"/>
              </w:rPr>
              <w:t>2个</w:t>
            </w:r>
          </w:p>
        </w:tc>
        <w:tc>
          <w:tcPr>
            <w:tcW w:w="2451" w:type="pct"/>
            <w:vAlign w:val="center"/>
          </w:tcPr>
          <w:p w14:paraId="0BBEB069">
            <w:pPr>
              <w:pStyle w:val="445"/>
              <w:rPr>
                <w:rFonts w:cs="Times New Roman"/>
                <w:kern w:val="0"/>
                <w:szCs w:val="20"/>
              </w:rPr>
            </w:pPr>
            <w:r>
              <w:rPr>
                <w:rFonts w:hint="eastAsia" w:cs="Times New Roman"/>
                <w:kern w:val="0"/>
                <w:szCs w:val="20"/>
              </w:rPr>
              <w:t>生产辅料</w:t>
            </w:r>
            <w:r>
              <w:rPr>
                <w:rFonts w:cs="Times New Roman"/>
                <w:kern w:val="0"/>
                <w:szCs w:val="20"/>
              </w:rPr>
              <w:t>暂存区</w:t>
            </w:r>
          </w:p>
        </w:tc>
      </w:tr>
      <w:tr w14:paraId="387923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5C95639C">
            <w:pPr>
              <w:pStyle w:val="445"/>
              <w:rPr>
                <w:rFonts w:cs="Times New Roman"/>
                <w:kern w:val="0"/>
                <w:szCs w:val="20"/>
              </w:rPr>
            </w:pPr>
            <w:r>
              <w:rPr>
                <w:rFonts w:hint="eastAsia" w:cs="Times New Roman"/>
                <w:kern w:val="0"/>
                <w:szCs w:val="20"/>
              </w:rPr>
              <w:t>20</w:t>
            </w:r>
            <w:r>
              <w:rPr>
                <w:rFonts w:cs="Times New Roman"/>
                <w:kern w:val="0"/>
                <w:szCs w:val="20"/>
              </w:rPr>
              <w:t>cm围堰</w:t>
            </w:r>
          </w:p>
        </w:tc>
        <w:tc>
          <w:tcPr>
            <w:tcW w:w="693" w:type="pct"/>
            <w:vAlign w:val="center"/>
          </w:tcPr>
          <w:p w14:paraId="6A1B3182">
            <w:pPr>
              <w:pStyle w:val="445"/>
              <w:rPr>
                <w:rFonts w:cs="Times New Roman"/>
                <w:kern w:val="0"/>
                <w:szCs w:val="20"/>
              </w:rPr>
            </w:pPr>
            <w:r>
              <w:rPr>
                <w:rFonts w:hint="eastAsia" w:cs="Times New Roman"/>
                <w:kern w:val="0"/>
                <w:szCs w:val="20"/>
              </w:rPr>
              <w:t>2个</w:t>
            </w:r>
          </w:p>
        </w:tc>
        <w:tc>
          <w:tcPr>
            <w:tcW w:w="2451" w:type="pct"/>
            <w:vAlign w:val="center"/>
          </w:tcPr>
          <w:p w14:paraId="30474043">
            <w:pPr>
              <w:pStyle w:val="445"/>
              <w:rPr>
                <w:rFonts w:cs="Times New Roman"/>
                <w:kern w:val="0"/>
                <w:szCs w:val="20"/>
              </w:rPr>
            </w:pPr>
            <w:r>
              <w:rPr>
                <w:rFonts w:hint="eastAsia" w:cs="Times New Roman"/>
                <w:kern w:val="0"/>
                <w:szCs w:val="20"/>
              </w:rPr>
              <w:t>生产辅料</w:t>
            </w:r>
            <w:r>
              <w:rPr>
                <w:rFonts w:cs="Times New Roman"/>
                <w:kern w:val="0"/>
                <w:szCs w:val="20"/>
              </w:rPr>
              <w:t>暂存区</w:t>
            </w:r>
          </w:p>
        </w:tc>
      </w:tr>
      <w:tr w14:paraId="5D80E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0B062377">
            <w:pPr>
              <w:pStyle w:val="445"/>
              <w:rPr>
                <w:rFonts w:cs="Times New Roman"/>
                <w:kern w:val="0"/>
                <w:szCs w:val="20"/>
              </w:rPr>
            </w:pPr>
            <w:r>
              <w:rPr>
                <w:rFonts w:hint="eastAsia" w:cs="Times New Roman"/>
                <w:kern w:val="0"/>
                <w:szCs w:val="20"/>
              </w:rPr>
              <w:t>450</w:t>
            </w:r>
            <w:r>
              <w:rPr>
                <w:rFonts w:cs="Times New Roman"/>
                <w:kern w:val="0"/>
                <w:szCs w:val="20"/>
              </w:rPr>
              <w:t>m</w:t>
            </w:r>
            <w:r>
              <w:rPr>
                <w:rFonts w:cs="Times New Roman"/>
                <w:kern w:val="0"/>
                <w:szCs w:val="20"/>
                <w:vertAlign w:val="superscript"/>
              </w:rPr>
              <w:t>3</w:t>
            </w:r>
            <w:r>
              <w:rPr>
                <w:rFonts w:hint="eastAsia" w:cs="Times New Roman"/>
                <w:kern w:val="0"/>
                <w:szCs w:val="20"/>
              </w:rPr>
              <w:t>事故</w:t>
            </w:r>
            <w:r>
              <w:rPr>
                <w:rFonts w:cs="Times New Roman"/>
                <w:kern w:val="0"/>
                <w:szCs w:val="20"/>
              </w:rPr>
              <w:t>应急池</w:t>
            </w:r>
          </w:p>
        </w:tc>
        <w:tc>
          <w:tcPr>
            <w:tcW w:w="693" w:type="pct"/>
            <w:vAlign w:val="center"/>
          </w:tcPr>
          <w:p w14:paraId="058B53F1">
            <w:pPr>
              <w:pStyle w:val="445"/>
              <w:rPr>
                <w:rFonts w:cs="Times New Roman"/>
                <w:kern w:val="0"/>
                <w:szCs w:val="20"/>
              </w:rPr>
            </w:pPr>
            <w:r>
              <w:rPr>
                <w:rFonts w:hint="eastAsia" w:cs="Times New Roman"/>
                <w:kern w:val="0"/>
                <w:szCs w:val="20"/>
              </w:rPr>
              <w:t>1个</w:t>
            </w:r>
          </w:p>
        </w:tc>
        <w:tc>
          <w:tcPr>
            <w:tcW w:w="2451" w:type="pct"/>
            <w:vAlign w:val="center"/>
          </w:tcPr>
          <w:p w14:paraId="4D1FF182">
            <w:pPr>
              <w:pStyle w:val="445"/>
              <w:rPr>
                <w:rFonts w:cs="Times New Roman"/>
                <w:kern w:val="0"/>
                <w:szCs w:val="20"/>
              </w:rPr>
            </w:pPr>
            <w:r>
              <w:rPr>
                <w:rFonts w:hint="eastAsia" w:cs="Times New Roman"/>
                <w:kern w:val="0"/>
                <w:szCs w:val="20"/>
              </w:rPr>
              <w:t>现有</w:t>
            </w:r>
            <w:r>
              <w:rPr>
                <w:rFonts w:cs="Times New Roman"/>
                <w:kern w:val="0"/>
                <w:szCs w:val="20"/>
              </w:rPr>
              <w:t>厂区南侧</w:t>
            </w:r>
          </w:p>
        </w:tc>
      </w:tr>
      <w:tr w14:paraId="507C0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2B45EAD2">
            <w:pPr>
              <w:pStyle w:val="445"/>
              <w:rPr>
                <w:rFonts w:cs="Times New Roman"/>
                <w:kern w:val="0"/>
                <w:szCs w:val="20"/>
              </w:rPr>
            </w:pPr>
            <w:r>
              <w:rPr>
                <w:rFonts w:hint="eastAsia" w:cs="Times New Roman"/>
                <w:kern w:val="0"/>
                <w:szCs w:val="20"/>
              </w:rPr>
              <w:t>围堰</w:t>
            </w:r>
          </w:p>
        </w:tc>
        <w:tc>
          <w:tcPr>
            <w:tcW w:w="693" w:type="pct"/>
            <w:vAlign w:val="center"/>
          </w:tcPr>
          <w:p w14:paraId="344E5028">
            <w:pPr>
              <w:pStyle w:val="445"/>
              <w:rPr>
                <w:rFonts w:cs="Times New Roman"/>
                <w:kern w:val="0"/>
                <w:szCs w:val="20"/>
              </w:rPr>
            </w:pPr>
            <w:r>
              <w:rPr>
                <w:rFonts w:hint="eastAsia" w:cs="Times New Roman"/>
                <w:kern w:val="0"/>
                <w:szCs w:val="20"/>
              </w:rPr>
              <w:t>2个</w:t>
            </w:r>
          </w:p>
        </w:tc>
        <w:tc>
          <w:tcPr>
            <w:tcW w:w="2451" w:type="pct"/>
            <w:vAlign w:val="center"/>
          </w:tcPr>
          <w:p w14:paraId="3B65EE84">
            <w:pPr>
              <w:pStyle w:val="445"/>
              <w:rPr>
                <w:rFonts w:cs="Times New Roman"/>
                <w:kern w:val="0"/>
                <w:szCs w:val="20"/>
              </w:rPr>
            </w:pPr>
            <w:r>
              <w:rPr>
                <w:rFonts w:hint="eastAsia" w:cs="Times New Roman"/>
                <w:kern w:val="0"/>
                <w:szCs w:val="20"/>
              </w:rPr>
              <w:t>罐区</w:t>
            </w:r>
          </w:p>
        </w:tc>
      </w:tr>
      <w:tr w14:paraId="68289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1D86F1F8">
            <w:pPr>
              <w:pStyle w:val="445"/>
              <w:rPr>
                <w:rFonts w:cs="Times New Roman"/>
                <w:kern w:val="0"/>
                <w:szCs w:val="20"/>
              </w:rPr>
            </w:pPr>
            <w:r>
              <w:rPr>
                <w:rFonts w:hint="eastAsia" w:cs="Times New Roman"/>
                <w:kern w:val="0"/>
                <w:szCs w:val="20"/>
              </w:rPr>
              <w:t>防护服</w:t>
            </w:r>
          </w:p>
        </w:tc>
        <w:tc>
          <w:tcPr>
            <w:tcW w:w="693" w:type="pct"/>
            <w:vAlign w:val="center"/>
          </w:tcPr>
          <w:p w14:paraId="5CFD8B76">
            <w:pPr>
              <w:pStyle w:val="445"/>
              <w:rPr>
                <w:rFonts w:cs="Times New Roman"/>
                <w:kern w:val="0"/>
                <w:szCs w:val="20"/>
              </w:rPr>
            </w:pPr>
            <w:r>
              <w:rPr>
                <w:rFonts w:hint="eastAsia" w:cs="Times New Roman"/>
                <w:kern w:val="0"/>
                <w:szCs w:val="20"/>
              </w:rPr>
              <w:t>40套</w:t>
            </w:r>
          </w:p>
        </w:tc>
        <w:tc>
          <w:tcPr>
            <w:tcW w:w="2451" w:type="pct"/>
            <w:vAlign w:val="center"/>
          </w:tcPr>
          <w:p w14:paraId="05DC1BF1">
            <w:pPr>
              <w:pStyle w:val="445"/>
              <w:rPr>
                <w:rFonts w:cs="Times New Roman"/>
                <w:kern w:val="0"/>
                <w:szCs w:val="20"/>
              </w:rPr>
            </w:pPr>
            <w:r>
              <w:rPr>
                <w:rFonts w:hint="eastAsia" w:cs="Times New Roman"/>
                <w:kern w:val="0"/>
                <w:szCs w:val="20"/>
              </w:rPr>
              <w:t>仓库</w:t>
            </w:r>
          </w:p>
        </w:tc>
      </w:tr>
      <w:tr w14:paraId="09279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21DAD784">
            <w:pPr>
              <w:pStyle w:val="445"/>
              <w:rPr>
                <w:rFonts w:cs="Times New Roman"/>
                <w:kern w:val="0"/>
                <w:szCs w:val="20"/>
              </w:rPr>
            </w:pPr>
            <w:r>
              <w:rPr>
                <w:rFonts w:hint="eastAsia" w:cs="Times New Roman"/>
                <w:kern w:val="0"/>
                <w:szCs w:val="20"/>
              </w:rPr>
              <w:t>防护</w:t>
            </w:r>
            <w:r>
              <w:rPr>
                <w:rFonts w:cs="Times New Roman"/>
                <w:kern w:val="0"/>
                <w:szCs w:val="20"/>
              </w:rPr>
              <w:t>眼镜</w:t>
            </w:r>
          </w:p>
        </w:tc>
        <w:tc>
          <w:tcPr>
            <w:tcW w:w="693" w:type="pct"/>
            <w:vAlign w:val="center"/>
          </w:tcPr>
          <w:p w14:paraId="638A9FCB">
            <w:pPr>
              <w:pStyle w:val="445"/>
              <w:rPr>
                <w:rFonts w:cs="Times New Roman"/>
                <w:kern w:val="0"/>
                <w:szCs w:val="20"/>
              </w:rPr>
            </w:pPr>
            <w:r>
              <w:rPr>
                <w:rFonts w:hint="eastAsia" w:cs="Times New Roman"/>
                <w:kern w:val="0"/>
                <w:szCs w:val="20"/>
              </w:rPr>
              <w:t>20副</w:t>
            </w:r>
          </w:p>
        </w:tc>
        <w:tc>
          <w:tcPr>
            <w:tcW w:w="2451" w:type="pct"/>
            <w:vAlign w:val="center"/>
          </w:tcPr>
          <w:p w14:paraId="58211B77">
            <w:pPr>
              <w:pStyle w:val="445"/>
              <w:rPr>
                <w:rFonts w:cs="Times New Roman"/>
                <w:kern w:val="0"/>
                <w:szCs w:val="20"/>
              </w:rPr>
            </w:pPr>
            <w:r>
              <w:rPr>
                <w:rFonts w:hint="eastAsia" w:cs="Times New Roman"/>
                <w:kern w:val="0"/>
                <w:szCs w:val="20"/>
              </w:rPr>
              <w:t>仓库</w:t>
            </w:r>
          </w:p>
        </w:tc>
      </w:tr>
      <w:tr w14:paraId="5BA7EF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66DCEC4B">
            <w:pPr>
              <w:pStyle w:val="445"/>
              <w:rPr>
                <w:rFonts w:cs="Times New Roman"/>
                <w:kern w:val="0"/>
                <w:szCs w:val="20"/>
              </w:rPr>
            </w:pPr>
            <w:r>
              <w:rPr>
                <w:rFonts w:hint="eastAsia" w:cs="Times New Roman"/>
                <w:kern w:val="0"/>
                <w:szCs w:val="20"/>
              </w:rPr>
              <w:t>视频</w:t>
            </w:r>
            <w:r>
              <w:rPr>
                <w:rFonts w:cs="Times New Roman"/>
                <w:kern w:val="0"/>
                <w:szCs w:val="20"/>
              </w:rPr>
              <w:t>监控器</w:t>
            </w:r>
          </w:p>
        </w:tc>
        <w:tc>
          <w:tcPr>
            <w:tcW w:w="693" w:type="pct"/>
            <w:vAlign w:val="center"/>
          </w:tcPr>
          <w:p w14:paraId="4461E5D1">
            <w:pPr>
              <w:pStyle w:val="445"/>
              <w:rPr>
                <w:rFonts w:cs="Times New Roman"/>
                <w:kern w:val="0"/>
                <w:szCs w:val="20"/>
              </w:rPr>
            </w:pPr>
            <w:r>
              <w:rPr>
                <w:rFonts w:hint="eastAsia" w:cs="Times New Roman"/>
                <w:kern w:val="0"/>
                <w:szCs w:val="20"/>
              </w:rPr>
              <w:t>24个</w:t>
            </w:r>
          </w:p>
        </w:tc>
        <w:tc>
          <w:tcPr>
            <w:tcW w:w="2451" w:type="pct"/>
            <w:vMerge w:val="restart"/>
            <w:vAlign w:val="center"/>
          </w:tcPr>
          <w:p w14:paraId="7ABA6454">
            <w:pPr>
              <w:pStyle w:val="445"/>
              <w:rPr>
                <w:rFonts w:cs="Times New Roman"/>
                <w:kern w:val="0"/>
                <w:szCs w:val="20"/>
              </w:rPr>
            </w:pPr>
            <w:r>
              <w:rPr>
                <w:rFonts w:hint="eastAsia" w:cs="Times New Roman"/>
                <w:kern w:val="0"/>
                <w:szCs w:val="20"/>
              </w:rPr>
              <w:t>现有</w:t>
            </w:r>
            <w:r>
              <w:rPr>
                <w:rFonts w:cs="Times New Roman"/>
                <w:kern w:val="0"/>
                <w:szCs w:val="20"/>
              </w:rPr>
              <w:t>厂区</w:t>
            </w:r>
            <w:r>
              <w:rPr>
                <w:rFonts w:hint="eastAsia" w:cs="Times New Roman"/>
                <w:kern w:val="0"/>
                <w:szCs w:val="20"/>
              </w:rPr>
              <w:t>生产区</w:t>
            </w:r>
            <w:r>
              <w:rPr>
                <w:rFonts w:cs="Times New Roman"/>
                <w:kern w:val="0"/>
                <w:szCs w:val="20"/>
              </w:rPr>
              <w:t>及办公</w:t>
            </w:r>
            <w:r>
              <w:rPr>
                <w:rFonts w:hint="eastAsia" w:cs="Times New Roman"/>
                <w:kern w:val="0"/>
                <w:szCs w:val="20"/>
              </w:rPr>
              <w:t>区</w:t>
            </w:r>
          </w:p>
        </w:tc>
      </w:tr>
      <w:tr w14:paraId="6F63E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3CE07C36">
            <w:pPr>
              <w:pStyle w:val="445"/>
              <w:rPr>
                <w:rFonts w:cs="Times New Roman"/>
                <w:kern w:val="0"/>
                <w:szCs w:val="20"/>
              </w:rPr>
            </w:pPr>
            <w:r>
              <w:rPr>
                <w:rFonts w:hint="eastAsia" w:cs="Times New Roman"/>
                <w:kern w:val="0"/>
                <w:szCs w:val="20"/>
              </w:rPr>
              <w:t>内部</w:t>
            </w:r>
            <w:r>
              <w:rPr>
                <w:rFonts w:cs="Times New Roman"/>
                <w:kern w:val="0"/>
                <w:szCs w:val="20"/>
              </w:rPr>
              <w:t>对讲机</w:t>
            </w:r>
          </w:p>
        </w:tc>
        <w:tc>
          <w:tcPr>
            <w:tcW w:w="693" w:type="pct"/>
            <w:vAlign w:val="center"/>
          </w:tcPr>
          <w:p w14:paraId="0B09FE5C">
            <w:pPr>
              <w:pStyle w:val="445"/>
              <w:rPr>
                <w:rFonts w:cs="Times New Roman"/>
                <w:kern w:val="0"/>
                <w:szCs w:val="20"/>
              </w:rPr>
            </w:pPr>
            <w:r>
              <w:rPr>
                <w:rFonts w:hint="eastAsia" w:cs="Times New Roman"/>
                <w:kern w:val="0"/>
                <w:szCs w:val="20"/>
              </w:rPr>
              <w:t>10部</w:t>
            </w:r>
          </w:p>
        </w:tc>
        <w:tc>
          <w:tcPr>
            <w:tcW w:w="2451" w:type="pct"/>
            <w:vMerge w:val="continue"/>
            <w:vAlign w:val="center"/>
          </w:tcPr>
          <w:p w14:paraId="196FC1A0">
            <w:pPr>
              <w:pStyle w:val="445"/>
              <w:rPr>
                <w:rFonts w:cs="Times New Roman"/>
                <w:kern w:val="0"/>
                <w:szCs w:val="20"/>
              </w:rPr>
            </w:pPr>
          </w:p>
        </w:tc>
      </w:tr>
      <w:tr w14:paraId="37912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0C7DDA87">
            <w:pPr>
              <w:pStyle w:val="445"/>
              <w:rPr>
                <w:rFonts w:cs="Times New Roman"/>
                <w:kern w:val="0"/>
                <w:szCs w:val="20"/>
              </w:rPr>
            </w:pPr>
            <w:r>
              <w:rPr>
                <w:rFonts w:hint="eastAsia" w:cs="Times New Roman"/>
                <w:kern w:val="0"/>
                <w:szCs w:val="20"/>
              </w:rPr>
              <w:t>应急</w:t>
            </w:r>
            <w:r>
              <w:rPr>
                <w:rFonts w:cs="Times New Roman"/>
                <w:kern w:val="0"/>
                <w:szCs w:val="20"/>
              </w:rPr>
              <w:t>照明灯</w:t>
            </w:r>
          </w:p>
        </w:tc>
        <w:tc>
          <w:tcPr>
            <w:tcW w:w="693" w:type="pct"/>
            <w:vAlign w:val="center"/>
          </w:tcPr>
          <w:p w14:paraId="53352E14">
            <w:pPr>
              <w:pStyle w:val="445"/>
              <w:rPr>
                <w:rFonts w:cs="Times New Roman"/>
                <w:kern w:val="0"/>
                <w:szCs w:val="20"/>
              </w:rPr>
            </w:pPr>
            <w:r>
              <w:rPr>
                <w:rFonts w:hint="eastAsia" w:cs="Times New Roman"/>
                <w:kern w:val="0"/>
                <w:szCs w:val="20"/>
              </w:rPr>
              <w:t>22个</w:t>
            </w:r>
          </w:p>
        </w:tc>
        <w:tc>
          <w:tcPr>
            <w:tcW w:w="2451" w:type="pct"/>
            <w:vMerge w:val="continue"/>
            <w:vAlign w:val="center"/>
          </w:tcPr>
          <w:p w14:paraId="3A35A895">
            <w:pPr>
              <w:pStyle w:val="445"/>
              <w:rPr>
                <w:rFonts w:cs="Times New Roman"/>
                <w:kern w:val="0"/>
                <w:szCs w:val="20"/>
              </w:rPr>
            </w:pPr>
          </w:p>
        </w:tc>
      </w:tr>
      <w:tr w14:paraId="77C99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5" w:type="pct"/>
            <w:vAlign w:val="center"/>
          </w:tcPr>
          <w:p w14:paraId="5D342130">
            <w:pPr>
              <w:pStyle w:val="445"/>
              <w:rPr>
                <w:rFonts w:cs="Times New Roman"/>
                <w:kern w:val="0"/>
                <w:szCs w:val="20"/>
              </w:rPr>
            </w:pPr>
            <w:r>
              <w:rPr>
                <w:rFonts w:hint="eastAsia" w:cs="Times New Roman"/>
                <w:kern w:val="0"/>
                <w:szCs w:val="20"/>
              </w:rPr>
              <w:t>应急</w:t>
            </w:r>
            <w:r>
              <w:rPr>
                <w:rFonts w:cs="Times New Roman"/>
                <w:kern w:val="0"/>
                <w:szCs w:val="20"/>
              </w:rPr>
              <w:t>手电筒</w:t>
            </w:r>
          </w:p>
        </w:tc>
        <w:tc>
          <w:tcPr>
            <w:tcW w:w="693" w:type="pct"/>
            <w:vAlign w:val="center"/>
          </w:tcPr>
          <w:p w14:paraId="33EA268C">
            <w:pPr>
              <w:pStyle w:val="445"/>
              <w:rPr>
                <w:rFonts w:cs="Times New Roman"/>
                <w:kern w:val="0"/>
                <w:szCs w:val="20"/>
              </w:rPr>
            </w:pPr>
            <w:r>
              <w:rPr>
                <w:rFonts w:hint="eastAsia" w:cs="Times New Roman"/>
                <w:kern w:val="0"/>
                <w:szCs w:val="20"/>
              </w:rPr>
              <w:t>2个</w:t>
            </w:r>
          </w:p>
        </w:tc>
        <w:tc>
          <w:tcPr>
            <w:tcW w:w="2451" w:type="pct"/>
            <w:vAlign w:val="center"/>
          </w:tcPr>
          <w:p w14:paraId="38D5A938">
            <w:pPr>
              <w:pStyle w:val="445"/>
              <w:rPr>
                <w:rFonts w:cs="Times New Roman"/>
                <w:kern w:val="0"/>
                <w:szCs w:val="20"/>
              </w:rPr>
            </w:pPr>
            <w:r>
              <w:rPr>
                <w:rFonts w:hint="eastAsia" w:cs="Times New Roman"/>
                <w:kern w:val="0"/>
                <w:szCs w:val="20"/>
              </w:rPr>
              <w:t>办公区</w:t>
            </w:r>
          </w:p>
        </w:tc>
      </w:tr>
    </w:tbl>
    <w:p w14:paraId="74379D9F">
      <w:pPr>
        <w:ind w:firstLine="480"/>
        <w:rPr>
          <w:rFonts w:cs="Times New Roman"/>
          <w:color w:val="000000"/>
        </w:rPr>
      </w:pPr>
      <w:r>
        <w:rPr>
          <w:rFonts w:cs="Times New Roman"/>
          <w:color w:val="000000"/>
        </w:rPr>
        <w:t>（3）应急经验</w:t>
      </w:r>
    </w:p>
    <w:p w14:paraId="5163368D">
      <w:pPr>
        <w:ind w:firstLine="480"/>
      </w:pPr>
      <w:r>
        <w:t>现有项目已成立了应急指挥部和各应急小组及相应的人员，并明确了各自的职责。已针对生产装置、储罐区、仓库区等各单元可能发生的风险事故编制了相应的应急预案，明确了各风险事故应采取的风险应急措施，应急经验丰富，可为本次</w:t>
      </w:r>
      <w:r>
        <w:rPr>
          <w:rFonts w:hint="eastAsia"/>
        </w:rPr>
        <w:t>扩建</w:t>
      </w:r>
      <w:r>
        <w:t>项目应急提供参考</w:t>
      </w:r>
      <w:r>
        <w:rPr>
          <w:rFonts w:hint="eastAsia"/>
        </w:rPr>
        <w:t>。</w:t>
      </w:r>
    </w:p>
    <w:p w14:paraId="6FDFBED3">
      <w:pPr>
        <w:spacing w:before="240" w:after="120"/>
        <w:ind w:firstLine="0" w:firstLineChars="0"/>
        <w:jc w:val="left"/>
        <w:outlineLvl w:val="2"/>
        <w:rPr>
          <w:rFonts w:eastAsia="黑体"/>
          <w:sz w:val="28"/>
          <w:szCs w:val="28"/>
        </w:rPr>
      </w:pPr>
      <w:bookmarkStart w:id="329" w:name="_Toc101135896"/>
      <w:bookmarkStart w:id="330" w:name="_Toc100784064"/>
      <w:bookmarkStart w:id="331" w:name="_Toc108662673"/>
      <w:r>
        <w:rPr>
          <w:rFonts w:hint="eastAsia" w:eastAsia="黑体"/>
          <w:sz w:val="28"/>
          <w:szCs w:val="28"/>
        </w:rPr>
        <w:t>5.6.</w:t>
      </w:r>
      <w:r>
        <w:rPr>
          <w:rFonts w:eastAsia="黑体"/>
          <w:sz w:val="28"/>
          <w:szCs w:val="28"/>
        </w:rPr>
        <w:t>2</w:t>
      </w:r>
      <w:r>
        <w:rPr>
          <w:rFonts w:hint="eastAsia" w:ascii="黑体" w:hAnsi="黑体" w:eastAsia="黑体"/>
          <w:sz w:val="28"/>
          <w:szCs w:val="28"/>
        </w:rPr>
        <w:t>风险</w:t>
      </w:r>
      <w:r>
        <w:rPr>
          <w:rFonts w:ascii="黑体" w:hAnsi="黑体" w:eastAsia="黑体"/>
          <w:sz w:val="28"/>
          <w:szCs w:val="28"/>
        </w:rPr>
        <w:t>调查</w:t>
      </w:r>
      <w:bookmarkEnd w:id="329"/>
      <w:bookmarkEnd w:id="330"/>
      <w:bookmarkEnd w:id="331"/>
    </w:p>
    <w:p w14:paraId="75A8A274">
      <w:pPr>
        <w:widowControl/>
        <w:spacing w:before="120" w:after="120"/>
        <w:ind w:firstLine="0" w:firstLineChars="0"/>
        <w:jc w:val="left"/>
        <w:outlineLvl w:val="3"/>
        <w:rPr>
          <w:rFonts w:eastAsia="黑体"/>
          <w:szCs w:val="24"/>
        </w:rPr>
      </w:pPr>
      <w:r>
        <w:rPr>
          <w:rFonts w:hint="eastAsia" w:eastAsia="黑体"/>
        </w:rPr>
        <w:t>5.6.</w:t>
      </w:r>
      <w:r>
        <w:rPr>
          <w:rFonts w:eastAsia="黑体"/>
        </w:rPr>
        <w:t>2</w:t>
      </w:r>
      <w:r>
        <w:rPr>
          <w:rFonts w:hint="eastAsia" w:eastAsia="黑体"/>
        </w:rPr>
        <w:t>.1</w:t>
      </w:r>
      <w:r>
        <w:rPr>
          <w:rFonts w:hint="eastAsia" w:ascii="黑体" w:hAnsi="黑体" w:eastAsia="黑体"/>
        </w:rPr>
        <w:t>风险源</w:t>
      </w:r>
      <w:r>
        <w:rPr>
          <w:rFonts w:ascii="黑体" w:hAnsi="黑体" w:eastAsia="黑体"/>
        </w:rPr>
        <w:t>调查</w:t>
      </w:r>
    </w:p>
    <w:p w14:paraId="616D3B71">
      <w:pPr>
        <w:ind w:firstLine="480"/>
      </w:pPr>
      <w:r>
        <w:rPr>
          <w:rFonts w:ascii="宋体" w:hAnsi="宋体"/>
        </w:rPr>
        <w:t>环境风险因素识别对象包括生产设施、所涉及物质、受影响的环境要素和环境保护目标，其中生产设施风险因素识别包括主要生产装置、贮运系统、公用工程系统、辅助生产设施及环境保护设施等；物质风险因素识别包括主要原材料及辅助材料、燃料、</w:t>
      </w:r>
      <w:r>
        <w:t>“</w:t>
      </w:r>
      <w:r>
        <w:rPr>
          <w:rFonts w:ascii="宋体" w:hAnsi="宋体"/>
        </w:rPr>
        <w:t>三废</w:t>
      </w:r>
      <w:r>
        <w:t>”</w:t>
      </w:r>
      <w:r>
        <w:rPr>
          <w:rFonts w:ascii="宋体" w:hAnsi="宋体"/>
        </w:rPr>
        <w:t>污染物、火灾和爆炸等伴生</w:t>
      </w:r>
      <w:r>
        <w:t>/</w:t>
      </w:r>
      <w:r>
        <w:rPr>
          <w:rFonts w:ascii="宋体" w:hAnsi="宋体"/>
        </w:rPr>
        <w:t>次生的危险物质。</w:t>
      </w:r>
    </w:p>
    <w:p w14:paraId="368E4F45">
      <w:pPr>
        <w:ind w:firstLine="480"/>
      </w:pPr>
      <w:r>
        <w:rPr>
          <w:rFonts w:ascii="宋体" w:hAnsi="宋体"/>
        </w:rPr>
        <w:t>根据本项目生产特点，确定风险识别范围如下：</w:t>
      </w:r>
    </w:p>
    <w:p w14:paraId="0C83CF27">
      <w:pPr>
        <w:ind w:firstLine="480"/>
      </w:pPr>
      <w:r>
        <w:rPr>
          <w:rFonts w:ascii="宋体" w:hAnsi="宋体"/>
        </w:rPr>
        <w:t>生产设施风险识别范围：本项目生产设施产生重大事故的装置主要有回转窑、尾气处理装置</w:t>
      </w:r>
      <w:r>
        <w:rPr>
          <w:rFonts w:hint="eastAsia" w:ascii="宋体" w:hAnsi="宋体"/>
        </w:rPr>
        <w:t>及</w:t>
      </w:r>
      <w:r>
        <w:rPr>
          <w:rFonts w:ascii="宋体" w:hAnsi="宋体"/>
        </w:rPr>
        <w:t>废水处理设施等。</w:t>
      </w:r>
    </w:p>
    <w:p w14:paraId="37AED0C7">
      <w:pPr>
        <w:ind w:firstLine="480"/>
      </w:pPr>
      <w:r>
        <w:rPr>
          <w:rFonts w:ascii="宋体" w:hAnsi="宋体"/>
        </w:rPr>
        <w:t>物质风险识别范围：主要有</w:t>
      </w:r>
      <w:r>
        <w:rPr>
          <w:rFonts w:hint="eastAsia" w:ascii="宋体" w:hAnsi="宋体"/>
        </w:rPr>
        <w:t>甲醇、</w:t>
      </w:r>
      <w:r>
        <w:rPr>
          <w:rFonts w:ascii="宋体" w:hAnsi="宋体"/>
        </w:rPr>
        <w:t>氢氟酸、盐酸、氨水</w:t>
      </w:r>
      <w:r>
        <w:rPr>
          <w:rFonts w:hint="eastAsia" w:ascii="宋体" w:hAnsi="宋体"/>
        </w:rPr>
        <w:t>和</w:t>
      </w:r>
      <w:r>
        <w:rPr>
          <w:rFonts w:ascii="宋体" w:hAnsi="宋体"/>
        </w:rPr>
        <w:t>天然气等。</w:t>
      </w:r>
    </w:p>
    <w:p w14:paraId="488C3251">
      <w:pPr>
        <w:ind w:firstLine="480"/>
      </w:pPr>
      <w:r>
        <w:rPr>
          <w:rFonts w:ascii="宋体" w:hAnsi="宋体"/>
        </w:rPr>
        <w:t>风险类型：危险废物在输送以及储存过程中</w:t>
      </w:r>
      <w:r>
        <w:rPr>
          <w:rFonts w:hint="eastAsia" w:ascii="宋体" w:hAnsi="宋体"/>
        </w:rPr>
        <w:t>吨桶</w:t>
      </w:r>
      <w:r>
        <w:rPr>
          <w:rFonts w:ascii="宋体" w:hAnsi="宋体"/>
        </w:rPr>
        <w:t>或包装废料泄漏或操作不规范导致危险废物大量溢出、散落等泄漏意外情况，将会污染运输线路沿途及厂内大气、水体、土壤、路面，对人体、环境造成危害；操作不慎或其它原因引起桶类包装破裂造成</w:t>
      </w:r>
      <w:r>
        <w:rPr>
          <w:rFonts w:hint="eastAsia" w:ascii="宋体" w:hAnsi="宋体"/>
        </w:rPr>
        <w:t>有机废液</w:t>
      </w:r>
      <w:r>
        <w:rPr>
          <w:rFonts w:ascii="宋体" w:hAnsi="宋体"/>
        </w:rPr>
        <w:t>泄漏；尾气吸收装置操作失误或停车，造成尾气直接排放对周边环境造成危害；废水处理设施</w:t>
      </w:r>
      <w:r>
        <w:rPr>
          <w:rFonts w:hint="eastAsia" w:ascii="宋体" w:hAnsi="宋体"/>
        </w:rPr>
        <w:t>破损</w:t>
      </w:r>
      <w:r>
        <w:rPr>
          <w:rFonts w:ascii="宋体" w:hAnsi="宋体"/>
        </w:rPr>
        <w:t>，未达标废水直接排放至</w:t>
      </w:r>
      <w:r>
        <w:rPr>
          <w:rFonts w:hint="eastAsia" w:ascii="宋体" w:hAnsi="宋体"/>
        </w:rPr>
        <w:t>园区污水厂</w:t>
      </w:r>
      <w:r>
        <w:rPr>
          <w:rFonts w:ascii="宋体" w:hAnsi="宋体"/>
        </w:rPr>
        <w:t>，</w:t>
      </w:r>
      <w:r>
        <w:rPr>
          <w:rFonts w:hint="eastAsia" w:ascii="宋体" w:hAnsi="宋体"/>
        </w:rPr>
        <w:t>对园区</w:t>
      </w:r>
      <w:r>
        <w:rPr>
          <w:rFonts w:ascii="宋体" w:hAnsi="宋体"/>
        </w:rPr>
        <w:t>污水厂造成冲击，</w:t>
      </w:r>
      <w:r>
        <w:rPr>
          <w:rFonts w:hint="eastAsia" w:ascii="宋体" w:hAnsi="宋体"/>
        </w:rPr>
        <w:t>导致</w:t>
      </w:r>
      <w:r>
        <w:rPr>
          <w:rFonts w:ascii="宋体" w:hAnsi="宋体"/>
        </w:rPr>
        <w:t>环境危害。</w:t>
      </w:r>
    </w:p>
    <w:p w14:paraId="457326F7">
      <w:pPr>
        <w:widowControl/>
        <w:spacing w:before="120" w:after="120"/>
        <w:ind w:firstLine="0" w:firstLineChars="0"/>
        <w:jc w:val="left"/>
        <w:outlineLvl w:val="3"/>
        <w:rPr>
          <w:rFonts w:eastAsia="黑体"/>
        </w:rPr>
      </w:pPr>
      <w:r>
        <w:rPr>
          <w:rFonts w:hint="eastAsia" w:eastAsia="黑体"/>
        </w:rPr>
        <w:t>5.6.</w:t>
      </w:r>
      <w:r>
        <w:rPr>
          <w:rFonts w:eastAsia="黑体"/>
        </w:rPr>
        <w:t>2</w:t>
      </w:r>
      <w:r>
        <w:rPr>
          <w:rFonts w:hint="eastAsia" w:eastAsia="黑体"/>
        </w:rPr>
        <w:t>.2</w:t>
      </w:r>
      <w:r>
        <w:rPr>
          <w:rFonts w:hint="eastAsia" w:ascii="黑体" w:hAnsi="黑体" w:eastAsia="黑体"/>
        </w:rPr>
        <w:t>环境</w:t>
      </w:r>
      <w:r>
        <w:rPr>
          <w:rFonts w:ascii="黑体" w:hAnsi="黑体" w:eastAsia="黑体"/>
        </w:rPr>
        <w:t>风险敏感</w:t>
      </w:r>
      <w:r>
        <w:rPr>
          <w:rFonts w:hint="eastAsia" w:ascii="黑体" w:hAnsi="黑体" w:eastAsia="黑体"/>
        </w:rPr>
        <w:t>目标</w:t>
      </w:r>
      <w:r>
        <w:rPr>
          <w:rFonts w:ascii="黑体" w:hAnsi="黑体" w:eastAsia="黑体"/>
        </w:rPr>
        <w:t>调查</w:t>
      </w:r>
    </w:p>
    <w:p w14:paraId="6DAAADE4">
      <w:pPr>
        <w:ind w:firstLine="480"/>
      </w:pPr>
      <w:r>
        <w:rPr>
          <w:rFonts w:hint="eastAsia" w:ascii="宋体" w:hAnsi="宋体"/>
        </w:rPr>
        <w:t>根据《建设项目环境风险评价技术导则</w:t>
      </w:r>
      <w:r>
        <w:rPr>
          <w:rFonts w:ascii="宋体" w:hAnsi="宋体"/>
        </w:rPr>
        <w:t>》</w:t>
      </w:r>
      <w:r>
        <w:t>(HJ169-2018)</w:t>
      </w:r>
      <w:r>
        <w:rPr>
          <w:rFonts w:ascii="宋体" w:hAnsi="宋体"/>
        </w:rPr>
        <w:t>，环境风险评价范围最大为</w:t>
      </w:r>
      <w:r>
        <w:t>5km</w:t>
      </w:r>
      <w:r>
        <w:rPr>
          <w:rFonts w:ascii="宋体" w:hAnsi="宋体"/>
        </w:rPr>
        <w:t>，本次环境风险重点考虑项目装置边界</w:t>
      </w:r>
      <w:r>
        <w:t>5km</w:t>
      </w:r>
      <w:r>
        <w:rPr>
          <w:rFonts w:ascii="宋体" w:hAnsi="宋体"/>
        </w:rPr>
        <w:t>范围内的居民点。</w:t>
      </w:r>
    </w:p>
    <w:p w14:paraId="47DDEDB4">
      <w:pPr>
        <w:ind w:firstLine="480"/>
      </w:pPr>
      <w:r>
        <w:rPr>
          <w:rFonts w:hint="eastAsia" w:ascii="宋体" w:hAnsi="宋体"/>
        </w:rPr>
        <w:t>本项目环境</w:t>
      </w:r>
      <w:r>
        <w:rPr>
          <w:rFonts w:ascii="宋体" w:hAnsi="宋体"/>
        </w:rPr>
        <w:t>风险评价范围内敏感保护</w:t>
      </w:r>
      <w:r>
        <w:rPr>
          <w:rFonts w:hint="eastAsia" w:ascii="宋体" w:hAnsi="宋体"/>
        </w:rPr>
        <w:t>目标见</w:t>
      </w:r>
      <w:r>
        <w:rPr>
          <w:rFonts w:ascii="宋体" w:hAnsi="宋体"/>
        </w:rPr>
        <w:t>表</w:t>
      </w:r>
      <w:r>
        <w:t>5.6.2-1</w:t>
      </w:r>
      <w:r>
        <w:rPr>
          <w:rFonts w:hint="eastAsia" w:ascii="宋体" w:hAnsi="宋体"/>
        </w:rPr>
        <w:t>及</w:t>
      </w:r>
      <w:r>
        <w:rPr>
          <w:rFonts w:ascii="宋体" w:hAnsi="宋体"/>
        </w:rPr>
        <w:t>附图</w:t>
      </w:r>
      <w:r>
        <w:t>2.4.2-1</w:t>
      </w:r>
      <w:r>
        <w:rPr>
          <w:rFonts w:hint="eastAsia" w:ascii="宋体" w:hAnsi="宋体"/>
        </w:rPr>
        <w:t>。</w:t>
      </w:r>
    </w:p>
    <w:p w14:paraId="27F4DF32">
      <w:pPr>
        <w:spacing w:line="500" w:lineRule="exact"/>
        <w:ind w:firstLine="0" w:firstLineChars="0"/>
        <w:jc w:val="center"/>
        <w:rPr>
          <w:rFonts w:eastAsia="黑体"/>
        </w:rPr>
      </w:pPr>
      <w:r>
        <w:rPr>
          <w:rFonts w:hint="eastAsia" w:ascii="黑体" w:hAnsi="黑体" w:eastAsia="黑体"/>
        </w:rPr>
        <w:t>表</w:t>
      </w:r>
      <w:r>
        <w:rPr>
          <w:rFonts w:hint="eastAsia" w:eastAsia="黑体"/>
        </w:rPr>
        <w:t>5.6.</w:t>
      </w:r>
      <w:r>
        <w:rPr>
          <w:rFonts w:eastAsia="黑体"/>
        </w:rPr>
        <w:t xml:space="preserve">2-1  </w:t>
      </w:r>
      <w:r>
        <w:rPr>
          <w:rFonts w:hint="eastAsia" w:ascii="黑体" w:hAnsi="黑体" w:eastAsia="黑体"/>
        </w:rPr>
        <w:t>环境</w:t>
      </w:r>
      <w:r>
        <w:rPr>
          <w:rFonts w:ascii="黑体" w:hAnsi="黑体" w:eastAsia="黑体"/>
        </w:rPr>
        <w:t>风险评价范围及敏感保护目标</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422"/>
        <w:gridCol w:w="2352"/>
        <w:gridCol w:w="814"/>
        <w:gridCol w:w="1004"/>
        <w:gridCol w:w="2271"/>
        <w:gridCol w:w="1577"/>
      </w:tblGrid>
      <w:tr w14:paraId="185AB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6" w:type="pct"/>
            <w:vAlign w:val="center"/>
          </w:tcPr>
          <w:p w14:paraId="78233B9B">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环境</w:t>
            </w:r>
            <w:r>
              <w:rPr>
                <w:rFonts w:ascii="宋体" w:hAnsi="宋体" w:cs="Times New Roman"/>
                <w:kern w:val="0"/>
                <w:sz w:val="18"/>
                <w:szCs w:val="18"/>
              </w:rPr>
              <w:t>要素</w:t>
            </w:r>
          </w:p>
        </w:tc>
        <w:tc>
          <w:tcPr>
            <w:tcW w:w="290" w:type="pct"/>
            <w:vAlign w:val="center"/>
          </w:tcPr>
          <w:p w14:paraId="7AB29D38">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序号</w:t>
            </w:r>
          </w:p>
        </w:tc>
        <w:tc>
          <w:tcPr>
            <w:tcW w:w="1334" w:type="pct"/>
            <w:vAlign w:val="center"/>
          </w:tcPr>
          <w:p w14:paraId="31466D8C">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名称</w:t>
            </w:r>
          </w:p>
        </w:tc>
        <w:tc>
          <w:tcPr>
            <w:tcW w:w="502" w:type="pct"/>
            <w:vAlign w:val="center"/>
          </w:tcPr>
          <w:p w14:paraId="75E5659A">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相对厂址方位</w:t>
            </w:r>
          </w:p>
        </w:tc>
        <w:tc>
          <w:tcPr>
            <w:tcW w:w="605" w:type="pct"/>
            <w:vAlign w:val="center"/>
          </w:tcPr>
          <w:p w14:paraId="7C77CBAA">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相对厂界距离</w:t>
            </w:r>
            <w:r>
              <w:rPr>
                <w:rFonts w:cs="Times New Roman"/>
                <w:kern w:val="0"/>
                <w:sz w:val="18"/>
                <w:szCs w:val="18"/>
              </w:rPr>
              <w:t>/m</w:t>
            </w:r>
          </w:p>
        </w:tc>
        <w:tc>
          <w:tcPr>
            <w:tcW w:w="859" w:type="pct"/>
            <w:vAlign w:val="center"/>
          </w:tcPr>
          <w:p w14:paraId="1ACD2961">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保护</w:t>
            </w:r>
            <w:r>
              <w:rPr>
                <w:rFonts w:ascii="宋体" w:hAnsi="宋体" w:cs="Times New Roman"/>
                <w:kern w:val="0"/>
                <w:sz w:val="18"/>
                <w:szCs w:val="18"/>
              </w:rPr>
              <w:t>对象</w:t>
            </w:r>
          </w:p>
        </w:tc>
        <w:tc>
          <w:tcPr>
            <w:tcW w:w="914" w:type="pct"/>
            <w:vAlign w:val="center"/>
          </w:tcPr>
          <w:p w14:paraId="4BB92203">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保护内容</w:t>
            </w:r>
          </w:p>
        </w:tc>
      </w:tr>
      <w:tr w14:paraId="0C5B0E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6" w:type="pct"/>
            <w:vMerge w:val="restart"/>
            <w:vAlign w:val="center"/>
          </w:tcPr>
          <w:p w14:paraId="6BB6C81E">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大气</w:t>
            </w:r>
            <w:r>
              <w:rPr>
                <w:rFonts w:ascii="宋体" w:hAnsi="宋体" w:cs="Times New Roman"/>
                <w:kern w:val="0"/>
                <w:sz w:val="18"/>
                <w:szCs w:val="18"/>
              </w:rPr>
              <w:t>环境</w:t>
            </w:r>
          </w:p>
        </w:tc>
        <w:tc>
          <w:tcPr>
            <w:tcW w:w="290" w:type="pct"/>
            <w:vAlign w:val="center"/>
          </w:tcPr>
          <w:p w14:paraId="5E281CFC">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p>
        </w:tc>
        <w:tc>
          <w:tcPr>
            <w:tcW w:w="1334" w:type="pct"/>
            <w:vAlign w:val="center"/>
          </w:tcPr>
          <w:p w14:paraId="43ECD394">
            <w:pPr>
              <w:widowControl/>
              <w:spacing w:line="360" w:lineRule="exact"/>
              <w:ind w:firstLine="0" w:firstLineChars="0"/>
              <w:jc w:val="center"/>
              <w:rPr>
                <w:rFonts w:cs="Times New Roman"/>
                <w:kern w:val="0"/>
                <w:sz w:val="18"/>
                <w:szCs w:val="18"/>
              </w:rPr>
            </w:pPr>
            <w:r>
              <w:rPr>
                <w:rFonts w:hint="eastAsia" w:cs="Times New Roman"/>
                <w:kern w:val="0"/>
                <w:sz w:val="18"/>
                <w:szCs w:val="20"/>
              </w:rPr>
              <w:t>沫河口镇</w:t>
            </w:r>
          </w:p>
        </w:tc>
        <w:tc>
          <w:tcPr>
            <w:tcW w:w="502" w:type="pct"/>
            <w:vAlign w:val="center"/>
          </w:tcPr>
          <w:p w14:paraId="6F7D9B0C">
            <w:pPr>
              <w:widowControl/>
              <w:spacing w:line="360" w:lineRule="exact"/>
              <w:ind w:firstLine="0" w:firstLineChars="0"/>
              <w:jc w:val="center"/>
              <w:rPr>
                <w:rFonts w:cs="Times New Roman"/>
                <w:kern w:val="0"/>
                <w:sz w:val="18"/>
                <w:szCs w:val="18"/>
              </w:rPr>
            </w:pPr>
            <w:r>
              <w:rPr>
                <w:rFonts w:cs="Times New Roman"/>
                <w:kern w:val="0"/>
                <w:sz w:val="18"/>
                <w:szCs w:val="20"/>
              </w:rPr>
              <w:t>W</w:t>
            </w:r>
          </w:p>
        </w:tc>
        <w:tc>
          <w:tcPr>
            <w:tcW w:w="605" w:type="pct"/>
            <w:vAlign w:val="center"/>
          </w:tcPr>
          <w:p w14:paraId="40B203BC">
            <w:pPr>
              <w:widowControl/>
              <w:spacing w:line="360" w:lineRule="exact"/>
              <w:ind w:firstLine="0" w:firstLineChars="0"/>
              <w:jc w:val="center"/>
              <w:rPr>
                <w:rFonts w:cs="Times New Roman"/>
                <w:kern w:val="0"/>
                <w:sz w:val="18"/>
                <w:szCs w:val="18"/>
              </w:rPr>
            </w:pPr>
            <w:r>
              <w:rPr>
                <w:rFonts w:hint="eastAsia" w:cs="Times New Roman"/>
                <w:kern w:val="0"/>
                <w:sz w:val="18"/>
                <w:szCs w:val="20"/>
              </w:rPr>
              <w:t>3160</w:t>
            </w:r>
          </w:p>
        </w:tc>
        <w:tc>
          <w:tcPr>
            <w:tcW w:w="859" w:type="pct"/>
            <w:vAlign w:val="center"/>
          </w:tcPr>
          <w:p w14:paraId="08461E30">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0500D794">
            <w:pPr>
              <w:widowControl/>
              <w:spacing w:line="360" w:lineRule="exact"/>
              <w:ind w:firstLine="0" w:firstLineChars="0"/>
              <w:jc w:val="center"/>
              <w:rPr>
                <w:rFonts w:cs="Times New Roman"/>
                <w:kern w:val="0"/>
                <w:sz w:val="18"/>
                <w:szCs w:val="18"/>
              </w:rPr>
            </w:pPr>
            <w:r>
              <w:rPr>
                <w:rFonts w:cs="Times New Roman"/>
                <w:kern w:val="0"/>
                <w:sz w:val="18"/>
                <w:szCs w:val="20"/>
              </w:rPr>
              <w:t>3000人</w:t>
            </w:r>
          </w:p>
        </w:tc>
      </w:tr>
      <w:tr w14:paraId="45A73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C548820">
            <w:pPr>
              <w:widowControl/>
              <w:adjustRightInd/>
              <w:snapToGrid/>
              <w:ind w:firstLine="0" w:firstLineChars="0"/>
              <w:jc w:val="center"/>
              <w:rPr>
                <w:rFonts w:cs="Times New Roman"/>
                <w:kern w:val="0"/>
                <w:sz w:val="18"/>
                <w:szCs w:val="18"/>
              </w:rPr>
            </w:pPr>
          </w:p>
        </w:tc>
        <w:tc>
          <w:tcPr>
            <w:tcW w:w="290" w:type="pct"/>
            <w:vAlign w:val="center"/>
          </w:tcPr>
          <w:p w14:paraId="71F6F46F">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p>
        </w:tc>
        <w:tc>
          <w:tcPr>
            <w:tcW w:w="1334" w:type="pct"/>
            <w:vAlign w:val="center"/>
          </w:tcPr>
          <w:p w14:paraId="2A0C4B19">
            <w:pPr>
              <w:widowControl/>
              <w:spacing w:line="360" w:lineRule="exact"/>
              <w:ind w:firstLine="0" w:firstLineChars="0"/>
              <w:jc w:val="center"/>
              <w:rPr>
                <w:rFonts w:cs="Times New Roman"/>
                <w:kern w:val="0"/>
                <w:sz w:val="18"/>
                <w:szCs w:val="18"/>
              </w:rPr>
            </w:pPr>
            <w:r>
              <w:rPr>
                <w:rFonts w:hint="eastAsia" w:cs="Times New Roman"/>
                <w:kern w:val="0"/>
                <w:sz w:val="18"/>
                <w:szCs w:val="20"/>
              </w:rPr>
              <w:t>大庄口</w:t>
            </w:r>
            <w:r>
              <w:rPr>
                <w:rFonts w:cs="Times New Roman"/>
                <w:kern w:val="0"/>
                <w:sz w:val="18"/>
                <w:szCs w:val="20"/>
              </w:rPr>
              <w:t>村</w:t>
            </w:r>
          </w:p>
        </w:tc>
        <w:tc>
          <w:tcPr>
            <w:tcW w:w="502" w:type="pct"/>
            <w:vAlign w:val="center"/>
          </w:tcPr>
          <w:p w14:paraId="34A9D2D4">
            <w:pPr>
              <w:widowControl/>
              <w:spacing w:line="360" w:lineRule="exact"/>
              <w:ind w:firstLine="0" w:firstLineChars="0"/>
              <w:jc w:val="center"/>
              <w:rPr>
                <w:rFonts w:cs="Times New Roman"/>
                <w:kern w:val="0"/>
                <w:sz w:val="18"/>
                <w:szCs w:val="18"/>
              </w:rPr>
            </w:pPr>
            <w:r>
              <w:rPr>
                <w:rFonts w:cs="Times New Roman"/>
                <w:kern w:val="0"/>
                <w:sz w:val="18"/>
                <w:szCs w:val="20"/>
              </w:rPr>
              <w:t>SE</w:t>
            </w:r>
          </w:p>
        </w:tc>
        <w:tc>
          <w:tcPr>
            <w:tcW w:w="605" w:type="pct"/>
            <w:vAlign w:val="center"/>
          </w:tcPr>
          <w:p w14:paraId="7209D333">
            <w:pPr>
              <w:widowControl/>
              <w:spacing w:line="360" w:lineRule="exact"/>
              <w:ind w:firstLine="0" w:firstLineChars="0"/>
              <w:jc w:val="center"/>
              <w:rPr>
                <w:rFonts w:cs="Times New Roman"/>
                <w:kern w:val="0"/>
                <w:sz w:val="18"/>
                <w:szCs w:val="18"/>
              </w:rPr>
            </w:pPr>
            <w:r>
              <w:rPr>
                <w:rFonts w:hint="eastAsia" w:cs="Times New Roman"/>
                <w:kern w:val="0"/>
                <w:sz w:val="18"/>
                <w:szCs w:val="20"/>
              </w:rPr>
              <w:t>4920</w:t>
            </w:r>
          </w:p>
        </w:tc>
        <w:tc>
          <w:tcPr>
            <w:tcW w:w="859" w:type="pct"/>
            <w:vAlign w:val="center"/>
          </w:tcPr>
          <w:p w14:paraId="7DF8309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356D857F">
            <w:pPr>
              <w:widowControl/>
              <w:spacing w:line="360" w:lineRule="exact"/>
              <w:ind w:firstLine="0" w:firstLineChars="0"/>
              <w:jc w:val="center"/>
              <w:rPr>
                <w:rFonts w:cs="Times New Roman"/>
                <w:kern w:val="0"/>
                <w:sz w:val="18"/>
                <w:szCs w:val="18"/>
              </w:rPr>
            </w:pPr>
            <w:r>
              <w:rPr>
                <w:rFonts w:cs="Times New Roman"/>
                <w:kern w:val="0"/>
                <w:sz w:val="18"/>
                <w:szCs w:val="20"/>
              </w:rPr>
              <w:t>500</w:t>
            </w:r>
            <w:r>
              <w:rPr>
                <w:rFonts w:hint="eastAsia" w:cs="Times New Roman"/>
                <w:kern w:val="0"/>
                <w:sz w:val="18"/>
                <w:szCs w:val="20"/>
              </w:rPr>
              <w:t>人</w:t>
            </w:r>
          </w:p>
        </w:tc>
      </w:tr>
      <w:tr w14:paraId="2C4E01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AB1AE9D">
            <w:pPr>
              <w:widowControl/>
              <w:adjustRightInd/>
              <w:snapToGrid/>
              <w:ind w:firstLine="0" w:firstLineChars="0"/>
              <w:jc w:val="center"/>
              <w:rPr>
                <w:rFonts w:cs="Times New Roman"/>
                <w:kern w:val="0"/>
                <w:sz w:val="18"/>
                <w:szCs w:val="18"/>
              </w:rPr>
            </w:pPr>
          </w:p>
        </w:tc>
        <w:tc>
          <w:tcPr>
            <w:tcW w:w="290" w:type="pct"/>
            <w:vAlign w:val="center"/>
          </w:tcPr>
          <w:p w14:paraId="4D848DE2">
            <w:pPr>
              <w:widowControl/>
              <w:spacing w:line="360" w:lineRule="exact"/>
              <w:ind w:firstLine="0" w:firstLineChars="0"/>
              <w:jc w:val="center"/>
              <w:rPr>
                <w:rFonts w:cs="Times New Roman"/>
                <w:kern w:val="0"/>
                <w:sz w:val="18"/>
                <w:szCs w:val="18"/>
              </w:rPr>
            </w:pPr>
            <w:r>
              <w:rPr>
                <w:rFonts w:hint="eastAsia" w:cs="Times New Roman"/>
                <w:kern w:val="0"/>
                <w:sz w:val="18"/>
                <w:szCs w:val="18"/>
              </w:rPr>
              <w:t>3</w:t>
            </w:r>
          </w:p>
        </w:tc>
        <w:tc>
          <w:tcPr>
            <w:tcW w:w="1334" w:type="pct"/>
            <w:vAlign w:val="center"/>
          </w:tcPr>
          <w:p w14:paraId="7143F090">
            <w:pPr>
              <w:widowControl/>
              <w:spacing w:line="360" w:lineRule="exact"/>
              <w:ind w:firstLine="0" w:firstLineChars="0"/>
              <w:jc w:val="center"/>
              <w:rPr>
                <w:rFonts w:cs="Times New Roman"/>
                <w:kern w:val="0"/>
                <w:sz w:val="18"/>
                <w:szCs w:val="18"/>
              </w:rPr>
            </w:pPr>
            <w:r>
              <w:rPr>
                <w:rFonts w:hint="eastAsia" w:cs="Times New Roman"/>
                <w:kern w:val="0"/>
                <w:sz w:val="18"/>
                <w:szCs w:val="20"/>
              </w:rPr>
              <w:t>小杨家</w:t>
            </w:r>
          </w:p>
        </w:tc>
        <w:tc>
          <w:tcPr>
            <w:tcW w:w="502" w:type="pct"/>
            <w:vAlign w:val="center"/>
          </w:tcPr>
          <w:p w14:paraId="5670BFDE">
            <w:pPr>
              <w:widowControl/>
              <w:spacing w:line="360" w:lineRule="exact"/>
              <w:ind w:firstLine="0" w:firstLineChars="0"/>
              <w:jc w:val="center"/>
              <w:rPr>
                <w:rFonts w:cs="Times New Roman"/>
                <w:kern w:val="0"/>
                <w:sz w:val="18"/>
                <w:szCs w:val="18"/>
              </w:rPr>
            </w:pPr>
            <w:r>
              <w:rPr>
                <w:rFonts w:cs="Times New Roman"/>
                <w:kern w:val="0"/>
                <w:sz w:val="18"/>
                <w:szCs w:val="20"/>
              </w:rPr>
              <w:t>SE</w:t>
            </w:r>
          </w:p>
        </w:tc>
        <w:tc>
          <w:tcPr>
            <w:tcW w:w="605" w:type="pct"/>
            <w:vAlign w:val="center"/>
          </w:tcPr>
          <w:p w14:paraId="3E7D95B8">
            <w:pPr>
              <w:widowControl/>
              <w:spacing w:line="360" w:lineRule="exact"/>
              <w:ind w:firstLine="0" w:firstLineChars="0"/>
              <w:jc w:val="center"/>
              <w:rPr>
                <w:rFonts w:cs="Times New Roman"/>
                <w:kern w:val="0"/>
                <w:sz w:val="18"/>
                <w:szCs w:val="18"/>
              </w:rPr>
            </w:pPr>
            <w:r>
              <w:rPr>
                <w:rFonts w:hint="eastAsia" w:cs="Times New Roman"/>
                <w:kern w:val="0"/>
                <w:sz w:val="18"/>
                <w:szCs w:val="20"/>
              </w:rPr>
              <w:t>4560</w:t>
            </w:r>
          </w:p>
        </w:tc>
        <w:tc>
          <w:tcPr>
            <w:tcW w:w="859" w:type="pct"/>
            <w:vAlign w:val="center"/>
          </w:tcPr>
          <w:p w14:paraId="72E58729">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6A7F2F7F">
            <w:pPr>
              <w:widowControl/>
              <w:spacing w:line="360" w:lineRule="exact"/>
              <w:ind w:firstLine="0" w:firstLineChars="0"/>
              <w:jc w:val="center"/>
              <w:rPr>
                <w:rFonts w:cs="Times New Roman"/>
                <w:kern w:val="0"/>
                <w:sz w:val="18"/>
                <w:szCs w:val="18"/>
              </w:rPr>
            </w:pPr>
            <w:r>
              <w:rPr>
                <w:rFonts w:cs="Times New Roman"/>
                <w:kern w:val="0"/>
                <w:sz w:val="18"/>
                <w:szCs w:val="20"/>
              </w:rPr>
              <w:t>63人</w:t>
            </w:r>
          </w:p>
        </w:tc>
      </w:tr>
      <w:tr w14:paraId="64657B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7AA563F">
            <w:pPr>
              <w:widowControl/>
              <w:adjustRightInd/>
              <w:snapToGrid/>
              <w:ind w:firstLine="0" w:firstLineChars="0"/>
              <w:jc w:val="center"/>
              <w:rPr>
                <w:rFonts w:cs="Times New Roman"/>
                <w:kern w:val="0"/>
                <w:sz w:val="18"/>
                <w:szCs w:val="18"/>
              </w:rPr>
            </w:pPr>
          </w:p>
        </w:tc>
        <w:tc>
          <w:tcPr>
            <w:tcW w:w="290" w:type="pct"/>
            <w:vAlign w:val="center"/>
          </w:tcPr>
          <w:p w14:paraId="6CBB9C5B">
            <w:pPr>
              <w:widowControl/>
              <w:spacing w:line="360" w:lineRule="exact"/>
              <w:ind w:firstLine="0" w:firstLineChars="0"/>
              <w:jc w:val="center"/>
              <w:rPr>
                <w:rFonts w:cs="Times New Roman"/>
                <w:kern w:val="0"/>
                <w:sz w:val="18"/>
                <w:szCs w:val="18"/>
              </w:rPr>
            </w:pPr>
            <w:r>
              <w:rPr>
                <w:rFonts w:hint="eastAsia" w:cs="Times New Roman"/>
                <w:kern w:val="0"/>
                <w:sz w:val="18"/>
                <w:szCs w:val="18"/>
              </w:rPr>
              <w:t>4</w:t>
            </w:r>
          </w:p>
        </w:tc>
        <w:tc>
          <w:tcPr>
            <w:tcW w:w="1334" w:type="pct"/>
            <w:vAlign w:val="center"/>
          </w:tcPr>
          <w:p w14:paraId="746A375B">
            <w:pPr>
              <w:widowControl/>
              <w:spacing w:line="360" w:lineRule="exact"/>
              <w:ind w:firstLine="0" w:firstLineChars="0"/>
              <w:jc w:val="center"/>
              <w:rPr>
                <w:rFonts w:cs="Times New Roman"/>
                <w:kern w:val="0"/>
                <w:sz w:val="18"/>
                <w:szCs w:val="18"/>
              </w:rPr>
            </w:pPr>
            <w:r>
              <w:rPr>
                <w:rFonts w:hint="eastAsia" w:cs="Times New Roman"/>
                <w:kern w:val="0"/>
                <w:sz w:val="18"/>
                <w:szCs w:val="20"/>
              </w:rPr>
              <w:t>李洼</w:t>
            </w:r>
          </w:p>
        </w:tc>
        <w:tc>
          <w:tcPr>
            <w:tcW w:w="502" w:type="pct"/>
            <w:vAlign w:val="center"/>
          </w:tcPr>
          <w:p w14:paraId="29DA9845">
            <w:pPr>
              <w:widowControl/>
              <w:spacing w:line="360" w:lineRule="exact"/>
              <w:ind w:firstLine="0" w:firstLineChars="0"/>
              <w:jc w:val="center"/>
              <w:rPr>
                <w:rFonts w:cs="Times New Roman"/>
                <w:kern w:val="0"/>
                <w:sz w:val="18"/>
                <w:szCs w:val="18"/>
              </w:rPr>
            </w:pPr>
            <w:r>
              <w:rPr>
                <w:rFonts w:cs="Times New Roman"/>
                <w:kern w:val="0"/>
                <w:sz w:val="18"/>
                <w:szCs w:val="20"/>
              </w:rPr>
              <w:t>NW</w:t>
            </w:r>
          </w:p>
        </w:tc>
        <w:tc>
          <w:tcPr>
            <w:tcW w:w="605" w:type="pct"/>
            <w:vAlign w:val="center"/>
          </w:tcPr>
          <w:p w14:paraId="42104C6F">
            <w:pPr>
              <w:widowControl/>
              <w:spacing w:line="360" w:lineRule="exact"/>
              <w:ind w:firstLine="0" w:firstLineChars="0"/>
              <w:jc w:val="center"/>
              <w:rPr>
                <w:rFonts w:cs="Times New Roman"/>
                <w:kern w:val="0"/>
                <w:sz w:val="18"/>
                <w:szCs w:val="18"/>
              </w:rPr>
            </w:pPr>
            <w:r>
              <w:rPr>
                <w:rFonts w:hint="eastAsia" w:cs="Times New Roman"/>
                <w:kern w:val="0"/>
                <w:sz w:val="18"/>
                <w:szCs w:val="20"/>
              </w:rPr>
              <w:t>2</w:t>
            </w:r>
            <w:r>
              <w:rPr>
                <w:rFonts w:cs="Times New Roman"/>
                <w:kern w:val="0"/>
                <w:sz w:val="18"/>
                <w:szCs w:val="20"/>
              </w:rPr>
              <w:t>210</w:t>
            </w:r>
          </w:p>
        </w:tc>
        <w:tc>
          <w:tcPr>
            <w:tcW w:w="859" w:type="pct"/>
            <w:vAlign w:val="center"/>
          </w:tcPr>
          <w:p w14:paraId="06510F1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6EBD0493">
            <w:pPr>
              <w:widowControl/>
              <w:spacing w:line="360" w:lineRule="exact"/>
              <w:ind w:firstLine="0" w:firstLineChars="0"/>
              <w:jc w:val="center"/>
              <w:rPr>
                <w:rFonts w:cs="Times New Roman"/>
                <w:kern w:val="0"/>
                <w:sz w:val="18"/>
                <w:szCs w:val="18"/>
              </w:rPr>
            </w:pPr>
            <w:r>
              <w:rPr>
                <w:rFonts w:cs="Times New Roman"/>
                <w:kern w:val="0"/>
                <w:sz w:val="18"/>
                <w:szCs w:val="20"/>
              </w:rPr>
              <w:t>600</w:t>
            </w:r>
            <w:r>
              <w:rPr>
                <w:rFonts w:hint="eastAsia" w:cs="Times New Roman"/>
                <w:kern w:val="0"/>
                <w:sz w:val="18"/>
                <w:szCs w:val="20"/>
              </w:rPr>
              <w:t>人</w:t>
            </w:r>
          </w:p>
        </w:tc>
      </w:tr>
      <w:tr w14:paraId="45810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42F9BE3">
            <w:pPr>
              <w:widowControl/>
              <w:adjustRightInd/>
              <w:snapToGrid/>
              <w:ind w:firstLine="0" w:firstLineChars="0"/>
              <w:jc w:val="center"/>
              <w:rPr>
                <w:rFonts w:cs="Times New Roman"/>
                <w:kern w:val="0"/>
                <w:sz w:val="18"/>
                <w:szCs w:val="18"/>
              </w:rPr>
            </w:pPr>
          </w:p>
        </w:tc>
        <w:tc>
          <w:tcPr>
            <w:tcW w:w="290" w:type="pct"/>
            <w:vAlign w:val="center"/>
          </w:tcPr>
          <w:p w14:paraId="517C2356">
            <w:pPr>
              <w:widowControl/>
              <w:spacing w:line="360" w:lineRule="exact"/>
              <w:ind w:firstLine="0" w:firstLineChars="0"/>
              <w:jc w:val="center"/>
              <w:rPr>
                <w:rFonts w:cs="Times New Roman"/>
                <w:kern w:val="0"/>
                <w:sz w:val="18"/>
                <w:szCs w:val="18"/>
              </w:rPr>
            </w:pPr>
            <w:r>
              <w:rPr>
                <w:rFonts w:hint="eastAsia" w:cs="Times New Roman"/>
                <w:kern w:val="0"/>
                <w:sz w:val="18"/>
                <w:szCs w:val="18"/>
              </w:rPr>
              <w:t>5</w:t>
            </w:r>
          </w:p>
        </w:tc>
        <w:tc>
          <w:tcPr>
            <w:tcW w:w="1334" w:type="pct"/>
            <w:vAlign w:val="center"/>
          </w:tcPr>
          <w:p w14:paraId="22648C36">
            <w:pPr>
              <w:widowControl/>
              <w:spacing w:line="360" w:lineRule="exact"/>
              <w:ind w:firstLine="0" w:firstLineChars="0"/>
              <w:jc w:val="center"/>
              <w:rPr>
                <w:rFonts w:cs="Times New Roman"/>
                <w:kern w:val="0"/>
                <w:sz w:val="18"/>
                <w:szCs w:val="18"/>
              </w:rPr>
            </w:pPr>
            <w:r>
              <w:rPr>
                <w:rFonts w:hint="eastAsia" w:cs="Times New Roman"/>
                <w:kern w:val="0"/>
                <w:sz w:val="18"/>
                <w:szCs w:val="20"/>
              </w:rPr>
              <w:t>芦</w:t>
            </w:r>
            <w:r>
              <w:rPr>
                <w:rFonts w:cs="Times New Roman"/>
                <w:kern w:val="0"/>
                <w:sz w:val="18"/>
                <w:szCs w:val="20"/>
              </w:rPr>
              <w:t>李</w:t>
            </w:r>
            <w:r>
              <w:rPr>
                <w:rFonts w:hint="eastAsia" w:cs="Times New Roman"/>
                <w:kern w:val="0"/>
                <w:sz w:val="18"/>
                <w:szCs w:val="20"/>
              </w:rPr>
              <w:t>庄</w:t>
            </w:r>
          </w:p>
        </w:tc>
        <w:tc>
          <w:tcPr>
            <w:tcW w:w="502" w:type="pct"/>
            <w:vAlign w:val="center"/>
          </w:tcPr>
          <w:p w14:paraId="0663B1A9">
            <w:pPr>
              <w:widowControl/>
              <w:spacing w:line="360" w:lineRule="exact"/>
              <w:ind w:firstLine="0" w:firstLineChars="0"/>
              <w:jc w:val="center"/>
              <w:rPr>
                <w:rFonts w:cs="Times New Roman"/>
                <w:kern w:val="0"/>
                <w:sz w:val="18"/>
                <w:szCs w:val="18"/>
              </w:rPr>
            </w:pPr>
            <w:r>
              <w:rPr>
                <w:rFonts w:cs="Times New Roman"/>
                <w:kern w:val="0"/>
                <w:sz w:val="18"/>
                <w:szCs w:val="20"/>
              </w:rPr>
              <w:t>N</w:t>
            </w:r>
          </w:p>
        </w:tc>
        <w:tc>
          <w:tcPr>
            <w:tcW w:w="605" w:type="pct"/>
            <w:vAlign w:val="center"/>
          </w:tcPr>
          <w:p w14:paraId="39A36328">
            <w:pPr>
              <w:widowControl/>
              <w:spacing w:line="360" w:lineRule="exact"/>
              <w:ind w:firstLine="0" w:firstLineChars="0"/>
              <w:jc w:val="center"/>
              <w:rPr>
                <w:rFonts w:cs="Times New Roman"/>
                <w:kern w:val="0"/>
                <w:sz w:val="18"/>
                <w:szCs w:val="18"/>
              </w:rPr>
            </w:pPr>
            <w:r>
              <w:rPr>
                <w:rFonts w:hint="eastAsia" w:cs="Times New Roman"/>
                <w:kern w:val="0"/>
                <w:sz w:val="18"/>
                <w:szCs w:val="20"/>
              </w:rPr>
              <w:t>4480</w:t>
            </w:r>
          </w:p>
        </w:tc>
        <w:tc>
          <w:tcPr>
            <w:tcW w:w="859" w:type="pct"/>
            <w:vAlign w:val="center"/>
          </w:tcPr>
          <w:p w14:paraId="4C1FC94D">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A7A6BA8">
            <w:pPr>
              <w:widowControl/>
              <w:spacing w:line="360" w:lineRule="exact"/>
              <w:ind w:firstLine="0" w:firstLineChars="0"/>
              <w:jc w:val="center"/>
              <w:rPr>
                <w:rFonts w:cs="Times New Roman"/>
                <w:kern w:val="0"/>
                <w:sz w:val="18"/>
                <w:szCs w:val="18"/>
              </w:rPr>
            </w:pPr>
            <w:r>
              <w:rPr>
                <w:rFonts w:cs="Times New Roman"/>
                <w:kern w:val="0"/>
                <w:sz w:val="18"/>
                <w:szCs w:val="20"/>
              </w:rPr>
              <w:t>74</w:t>
            </w:r>
            <w:r>
              <w:rPr>
                <w:rFonts w:hint="eastAsia" w:cs="Times New Roman"/>
                <w:kern w:val="0"/>
                <w:sz w:val="18"/>
                <w:szCs w:val="20"/>
              </w:rPr>
              <w:t>人</w:t>
            </w:r>
          </w:p>
        </w:tc>
      </w:tr>
      <w:tr w14:paraId="499E9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0F62009">
            <w:pPr>
              <w:widowControl/>
              <w:adjustRightInd/>
              <w:snapToGrid/>
              <w:ind w:firstLine="0" w:firstLineChars="0"/>
              <w:jc w:val="center"/>
              <w:rPr>
                <w:rFonts w:cs="Times New Roman"/>
                <w:kern w:val="0"/>
                <w:sz w:val="18"/>
                <w:szCs w:val="18"/>
              </w:rPr>
            </w:pPr>
          </w:p>
        </w:tc>
        <w:tc>
          <w:tcPr>
            <w:tcW w:w="290" w:type="pct"/>
            <w:vAlign w:val="center"/>
          </w:tcPr>
          <w:p w14:paraId="7D37AF5D">
            <w:pPr>
              <w:widowControl/>
              <w:spacing w:line="360" w:lineRule="exact"/>
              <w:ind w:firstLine="0" w:firstLineChars="0"/>
              <w:jc w:val="center"/>
              <w:rPr>
                <w:rFonts w:cs="Times New Roman"/>
                <w:kern w:val="0"/>
                <w:sz w:val="18"/>
                <w:szCs w:val="18"/>
              </w:rPr>
            </w:pPr>
            <w:r>
              <w:rPr>
                <w:rFonts w:hint="eastAsia" w:cs="Times New Roman"/>
                <w:kern w:val="0"/>
                <w:sz w:val="18"/>
                <w:szCs w:val="18"/>
              </w:rPr>
              <w:t>6</w:t>
            </w:r>
          </w:p>
        </w:tc>
        <w:tc>
          <w:tcPr>
            <w:tcW w:w="1334" w:type="pct"/>
            <w:vAlign w:val="center"/>
          </w:tcPr>
          <w:p w14:paraId="5C4F8888">
            <w:pPr>
              <w:widowControl/>
              <w:spacing w:line="360" w:lineRule="exact"/>
              <w:ind w:firstLine="0" w:firstLineChars="0"/>
              <w:jc w:val="center"/>
              <w:rPr>
                <w:rFonts w:cs="Times New Roman"/>
                <w:kern w:val="0"/>
                <w:sz w:val="18"/>
                <w:szCs w:val="18"/>
              </w:rPr>
            </w:pPr>
            <w:r>
              <w:rPr>
                <w:rFonts w:hint="eastAsia" w:cs="Times New Roman"/>
                <w:kern w:val="0"/>
                <w:sz w:val="18"/>
                <w:szCs w:val="20"/>
              </w:rPr>
              <w:t>草</w:t>
            </w:r>
            <w:r>
              <w:rPr>
                <w:rFonts w:cs="Times New Roman"/>
                <w:kern w:val="0"/>
                <w:sz w:val="18"/>
                <w:szCs w:val="20"/>
              </w:rPr>
              <w:t>杨家</w:t>
            </w:r>
          </w:p>
        </w:tc>
        <w:tc>
          <w:tcPr>
            <w:tcW w:w="502" w:type="pct"/>
            <w:vAlign w:val="center"/>
          </w:tcPr>
          <w:p w14:paraId="7235B79F">
            <w:pPr>
              <w:widowControl/>
              <w:spacing w:line="360" w:lineRule="exact"/>
              <w:ind w:firstLine="0" w:firstLineChars="0"/>
              <w:jc w:val="center"/>
              <w:rPr>
                <w:rFonts w:cs="Times New Roman"/>
                <w:kern w:val="0"/>
                <w:sz w:val="18"/>
                <w:szCs w:val="18"/>
              </w:rPr>
            </w:pPr>
            <w:r>
              <w:rPr>
                <w:rFonts w:hint="eastAsia" w:cs="Times New Roman"/>
                <w:kern w:val="0"/>
                <w:sz w:val="18"/>
                <w:szCs w:val="20"/>
              </w:rPr>
              <w:t>N</w:t>
            </w:r>
            <w:r>
              <w:rPr>
                <w:rFonts w:cs="Times New Roman"/>
                <w:kern w:val="0"/>
                <w:sz w:val="18"/>
                <w:szCs w:val="20"/>
              </w:rPr>
              <w:t>E</w:t>
            </w:r>
          </w:p>
        </w:tc>
        <w:tc>
          <w:tcPr>
            <w:tcW w:w="605" w:type="pct"/>
            <w:vAlign w:val="center"/>
          </w:tcPr>
          <w:p w14:paraId="11D25663">
            <w:pPr>
              <w:widowControl/>
              <w:spacing w:line="360" w:lineRule="exact"/>
              <w:ind w:firstLine="0" w:firstLineChars="0"/>
              <w:jc w:val="center"/>
              <w:rPr>
                <w:rFonts w:cs="Times New Roman"/>
                <w:kern w:val="0"/>
                <w:sz w:val="18"/>
                <w:szCs w:val="18"/>
              </w:rPr>
            </w:pPr>
            <w:r>
              <w:rPr>
                <w:rFonts w:hint="eastAsia" w:cs="Times New Roman"/>
                <w:kern w:val="0"/>
                <w:sz w:val="18"/>
                <w:szCs w:val="20"/>
              </w:rPr>
              <w:t>382</w:t>
            </w:r>
            <w:r>
              <w:rPr>
                <w:rFonts w:cs="Times New Roman"/>
                <w:kern w:val="0"/>
                <w:sz w:val="18"/>
                <w:szCs w:val="20"/>
              </w:rPr>
              <w:t>0</w:t>
            </w:r>
          </w:p>
        </w:tc>
        <w:tc>
          <w:tcPr>
            <w:tcW w:w="859" w:type="pct"/>
            <w:vAlign w:val="center"/>
          </w:tcPr>
          <w:p w14:paraId="4D48BEC0">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ACA9AB9">
            <w:pPr>
              <w:widowControl/>
              <w:spacing w:line="360" w:lineRule="exact"/>
              <w:ind w:firstLine="0" w:firstLineChars="0"/>
              <w:jc w:val="center"/>
              <w:rPr>
                <w:rFonts w:cs="Times New Roman"/>
                <w:kern w:val="0"/>
                <w:sz w:val="18"/>
                <w:szCs w:val="18"/>
              </w:rPr>
            </w:pPr>
            <w:r>
              <w:rPr>
                <w:rFonts w:cs="Times New Roman"/>
                <w:kern w:val="0"/>
                <w:sz w:val="18"/>
                <w:szCs w:val="20"/>
              </w:rPr>
              <w:t>500</w:t>
            </w:r>
            <w:r>
              <w:rPr>
                <w:rFonts w:hint="eastAsia" w:cs="Times New Roman"/>
                <w:kern w:val="0"/>
                <w:sz w:val="18"/>
                <w:szCs w:val="20"/>
              </w:rPr>
              <w:t>人</w:t>
            </w:r>
          </w:p>
        </w:tc>
      </w:tr>
      <w:tr w14:paraId="5EB0B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3F8115C">
            <w:pPr>
              <w:widowControl/>
              <w:adjustRightInd/>
              <w:snapToGrid/>
              <w:ind w:firstLine="0" w:firstLineChars="0"/>
              <w:jc w:val="center"/>
              <w:rPr>
                <w:rFonts w:cs="Times New Roman"/>
                <w:kern w:val="0"/>
                <w:sz w:val="18"/>
                <w:szCs w:val="18"/>
              </w:rPr>
            </w:pPr>
          </w:p>
        </w:tc>
        <w:tc>
          <w:tcPr>
            <w:tcW w:w="290" w:type="pct"/>
            <w:vAlign w:val="center"/>
          </w:tcPr>
          <w:p w14:paraId="3EBEE205">
            <w:pPr>
              <w:widowControl/>
              <w:spacing w:line="360" w:lineRule="exact"/>
              <w:ind w:firstLine="0" w:firstLineChars="0"/>
              <w:jc w:val="center"/>
              <w:rPr>
                <w:rFonts w:cs="Times New Roman"/>
                <w:kern w:val="0"/>
                <w:sz w:val="18"/>
                <w:szCs w:val="18"/>
              </w:rPr>
            </w:pPr>
            <w:r>
              <w:rPr>
                <w:rFonts w:hint="eastAsia" w:cs="Times New Roman"/>
                <w:kern w:val="0"/>
                <w:sz w:val="18"/>
                <w:szCs w:val="18"/>
              </w:rPr>
              <w:t>7</w:t>
            </w:r>
          </w:p>
        </w:tc>
        <w:tc>
          <w:tcPr>
            <w:tcW w:w="1334" w:type="pct"/>
            <w:vAlign w:val="center"/>
          </w:tcPr>
          <w:p w14:paraId="3BF1AD5D">
            <w:pPr>
              <w:widowControl/>
              <w:spacing w:line="360" w:lineRule="exact"/>
              <w:ind w:firstLine="0" w:firstLineChars="0"/>
              <w:jc w:val="center"/>
              <w:rPr>
                <w:rFonts w:cs="Times New Roman"/>
                <w:kern w:val="0"/>
                <w:sz w:val="18"/>
                <w:szCs w:val="18"/>
              </w:rPr>
            </w:pPr>
            <w:r>
              <w:rPr>
                <w:rFonts w:hint="eastAsia" w:cs="Times New Roman"/>
                <w:kern w:val="0"/>
                <w:sz w:val="18"/>
                <w:szCs w:val="20"/>
              </w:rPr>
              <w:t>邓庙</w:t>
            </w:r>
          </w:p>
        </w:tc>
        <w:tc>
          <w:tcPr>
            <w:tcW w:w="502" w:type="pct"/>
            <w:vAlign w:val="center"/>
          </w:tcPr>
          <w:p w14:paraId="41949091">
            <w:pPr>
              <w:widowControl/>
              <w:spacing w:line="360" w:lineRule="exact"/>
              <w:ind w:firstLine="0" w:firstLineChars="0"/>
              <w:jc w:val="center"/>
              <w:rPr>
                <w:rFonts w:cs="Times New Roman"/>
                <w:kern w:val="0"/>
                <w:sz w:val="18"/>
                <w:szCs w:val="18"/>
              </w:rPr>
            </w:pPr>
            <w:r>
              <w:rPr>
                <w:rFonts w:hint="eastAsia" w:cs="Times New Roman"/>
                <w:kern w:val="0"/>
                <w:sz w:val="18"/>
                <w:szCs w:val="20"/>
              </w:rPr>
              <w:t>N</w:t>
            </w:r>
            <w:r>
              <w:rPr>
                <w:rFonts w:cs="Times New Roman"/>
                <w:kern w:val="0"/>
                <w:sz w:val="18"/>
                <w:szCs w:val="20"/>
              </w:rPr>
              <w:t>W</w:t>
            </w:r>
          </w:p>
        </w:tc>
        <w:tc>
          <w:tcPr>
            <w:tcW w:w="605" w:type="pct"/>
            <w:vAlign w:val="center"/>
          </w:tcPr>
          <w:p w14:paraId="7B7AE4F6">
            <w:pPr>
              <w:widowControl/>
              <w:spacing w:line="360" w:lineRule="exact"/>
              <w:ind w:firstLine="0" w:firstLineChars="0"/>
              <w:jc w:val="center"/>
              <w:rPr>
                <w:rFonts w:cs="Times New Roman"/>
                <w:kern w:val="0"/>
                <w:sz w:val="18"/>
                <w:szCs w:val="18"/>
              </w:rPr>
            </w:pPr>
            <w:r>
              <w:rPr>
                <w:rFonts w:hint="eastAsia" w:cs="Times New Roman"/>
                <w:kern w:val="0"/>
                <w:sz w:val="18"/>
                <w:szCs w:val="20"/>
              </w:rPr>
              <w:t>2610</w:t>
            </w:r>
          </w:p>
        </w:tc>
        <w:tc>
          <w:tcPr>
            <w:tcW w:w="859" w:type="pct"/>
            <w:vAlign w:val="center"/>
          </w:tcPr>
          <w:p w14:paraId="34AEACD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2C29E7DC">
            <w:pPr>
              <w:widowControl/>
              <w:spacing w:line="360" w:lineRule="exact"/>
              <w:ind w:firstLine="0" w:firstLineChars="0"/>
              <w:jc w:val="center"/>
              <w:rPr>
                <w:rFonts w:cs="Times New Roman"/>
                <w:kern w:val="0"/>
                <w:sz w:val="18"/>
                <w:szCs w:val="18"/>
              </w:rPr>
            </w:pPr>
            <w:r>
              <w:rPr>
                <w:rFonts w:hint="eastAsia" w:cs="Times New Roman"/>
                <w:kern w:val="0"/>
                <w:sz w:val="18"/>
                <w:szCs w:val="20"/>
              </w:rPr>
              <w:t>1500人</w:t>
            </w:r>
          </w:p>
        </w:tc>
      </w:tr>
      <w:tr w14:paraId="7885A5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BDF06AE">
            <w:pPr>
              <w:widowControl/>
              <w:adjustRightInd/>
              <w:snapToGrid/>
              <w:ind w:firstLine="0" w:firstLineChars="0"/>
              <w:jc w:val="center"/>
              <w:rPr>
                <w:rFonts w:cs="Times New Roman"/>
                <w:kern w:val="0"/>
                <w:sz w:val="18"/>
                <w:szCs w:val="18"/>
              </w:rPr>
            </w:pPr>
          </w:p>
        </w:tc>
        <w:tc>
          <w:tcPr>
            <w:tcW w:w="290" w:type="pct"/>
            <w:vAlign w:val="center"/>
          </w:tcPr>
          <w:p w14:paraId="761004A5">
            <w:pPr>
              <w:widowControl/>
              <w:spacing w:line="360" w:lineRule="exact"/>
              <w:ind w:firstLine="0" w:firstLineChars="0"/>
              <w:jc w:val="center"/>
              <w:rPr>
                <w:rFonts w:cs="Times New Roman"/>
                <w:kern w:val="0"/>
                <w:sz w:val="18"/>
                <w:szCs w:val="18"/>
              </w:rPr>
            </w:pPr>
            <w:r>
              <w:rPr>
                <w:rFonts w:hint="eastAsia" w:cs="Times New Roman"/>
                <w:kern w:val="0"/>
                <w:sz w:val="18"/>
                <w:szCs w:val="18"/>
              </w:rPr>
              <w:t>8</w:t>
            </w:r>
          </w:p>
        </w:tc>
        <w:tc>
          <w:tcPr>
            <w:tcW w:w="1334" w:type="pct"/>
            <w:vAlign w:val="center"/>
          </w:tcPr>
          <w:p w14:paraId="5F8F1A10">
            <w:pPr>
              <w:widowControl/>
              <w:spacing w:line="360" w:lineRule="exact"/>
              <w:ind w:firstLine="0" w:firstLineChars="0"/>
              <w:jc w:val="center"/>
              <w:rPr>
                <w:rFonts w:cs="Times New Roman"/>
                <w:kern w:val="0"/>
                <w:sz w:val="18"/>
                <w:szCs w:val="18"/>
              </w:rPr>
            </w:pPr>
            <w:r>
              <w:rPr>
                <w:rFonts w:hint="eastAsia" w:cs="Times New Roman"/>
                <w:kern w:val="0"/>
                <w:sz w:val="18"/>
                <w:szCs w:val="20"/>
              </w:rPr>
              <w:t>夏家</w:t>
            </w:r>
            <w:r>
              <w:rPr>
                <w:rFonts w:cs="Times New Roman"/>
                <w:kern w:val="0"/>
                <w:sz w:val="18"/>
                <w:szCs w:val="20"/>
              </w:rPr>
              <w:t>湖</w:t>
            </w:r>
          </w:p>
        </w:tc>
        <w:tc>
          <w:tcPr>
            <w:tcW w:w="502" w:type="pct"/>
            <w:vAlign w:val="center"/>
          </w:tcPr>
          <w:p w14:paraId="0FE7B5DA">
            <w:pPr>
              <w:widowControl/>
              <w:spacing w:line="360" w:lineRule="exact"/>
              <w:ind w:firstLine="0" w:firstLineChars="0"/>
              <w:jc w:val="center"/>
              <w:rPr>
                <w:rFonts w:cs="Times New Roman"/>
                <w:kern w:val="0"/>
                <w:sz w:val="18"/>
                <w:szCs w:val="18"/>
              </w:rPr>
            </w:pPr>
            <w:r>
              <w:rPr>
                <w:rFonts w:cs="Times New Roman"/>
                <w:kern w:val="0"/>
                <w:sz w:val="18"/>
                <w:szCs w:val="20"/>
              </w:rPr>
              <w:t>E</w:t>
            </w:r>
          </w:p>
        </w:tc>
        <w:tc>
          <w:tcPr>
            <w:tcW w:w="605" w:type="pct"/>
            <w:vAlign w:val="center"/>
          </w:tcPr>
          <w:p w14:paraId="47381E19">
            <w:pPr>
              <w:widowControl/>
              <w:spacing w:line="360" w:lineRule="exact"/>
              <w:ind w:firstLine="0" w:firstLineChars="0"/>
              <w:jc w:val="center"/>
              <w:rPr>
                <w:rFonts w:cs="Times New Roman"/>
                <w:kern w:val="0"/>
                <w:sz w:val="18"/>
                <w:szCs w:val="18"/>
              </w:rPr>
            </w:pPr>
            <w:r>
              <w:rPr>
                <w:rFonts w:hint="eastAsia" w:cs="Times New Roman"/>
                <w:kern w:val="0"/>
                <w:sz w:val="18"/>
                <w:szCs w:val="20"/>
              </w:rPr>
              <w:t>3680</w:t>
            </w:r>
          </w:p>
        </w:tc>
        <w:tc>
          <w:tcPr>
            <w:tcW w:w="859" w:type="pct"/>
            <w:vAlign w:val="center"/>
          </w:tcPr>
          <w:p w14:paraId="4EE77DDF">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21D4B738">
            <w:pPr>
              <w:widowControl/>
              <w:spacing w:line="360" w:lineRule="exact"/>
              <w:ind w:firstLine="0" w:firstLineChars="0"/>
              <w:jc w:val="center"/>
              <w:rPr>
                <w:rFonts w:cs="Times New Roman"/>
                <w:kern w:val="0"/>
                <w:sz w:val="18"/>
                <w:szCs w:val="18"/>
              </w:rPr>
            </w:pPr>
            <w:r>
              <w:rPr>
                <w:rFonts w:hint="eastAsia" w:cs="Times New Roman"/>
                <w:kern w:val="0"/>
                <w:sz w:val="18"/>
                <w:szCs w:val="20"/>
              </w:rPr>
              <w:t>1450人</w:t>
            </w:r>
          </w:p>
        </w:tc>
      </w:tr>
      <w:tr w14:paraId="588DDF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A32B35F">
            <w:pPr>
              <w:widowControl/>
              <w:adjustRightInd/>
              <w:snapToGrid/>
              <w:ind w:firstLine="0" w:firstLineChars="0"/>
              <w:jc w:val="center"/>
              <w:rPr>
                <w:rFonts w:cs="Times New Roman"/>
                <w:kern w:val="0"/>
                <w:sz w:val="18"/>
                <w:szCs w:val="18"/>
              </w:rPr>
            </w:pPr>
          </w:p>
        </w:tc>
        <w:tc>
          <w:tcPr>
            <w:tcW w:w="290" w:type="pct"/>
            <w:vAlign w:val="center"/>
          </w:tcPr>
          <w:p w14:paraId="46181A5B">
            <w:pPr>
              <w:widowControl/>
              <w:spacing w:line="360" w:lineRule="exact"/>
              <w:ind w:firstLine="0" w:firstLineChars="0"/>
              <w:jc w:val="center"/>
              <w:rPr>
                <w:rFonts w:cs="Times New Roman"/>
                <w:kern w:val="0"/>
                <w:sz w:val="18"/>
                <w:szCs w:val="18"/>
              </w:rPr>
            </w:pPr>
            <w:r>
              <w:rPr>
                <w:rFonts w:hint="eastAsia" w:cs="Times New Roman"/>
                <w:kern w:val="0"/>
                <w:sz w:val="18"/>
                <w:szCs w:val="18"/>
              </w:rPr>
              <w:t>9</w:t>
            </w:r>
          </w:p>
        </w:tc>
        <w:tc>
          <w:tcPr>
            <w:tcW w:w="1334" w:type="pct"/>
            <w:vAlign w:val="center"/>
          </w:tcPr>
          <w:p w14:paraId="25B7DC8B">
            <w:pPr>
              <w:widowControl/>
              <w:spacing w:line="360" w:lineRule="exact"/>
              <w:ind w:firstLine="0" w:firstLineChars="0"/>
              <w:jc w:val="center"/>
              <w:rPr>
                <w:rFonts w:cs="Times New Roman"/>
                <w:kern w:val="0"/>
                <w:sz w:val="18"/>
                <w:szCs w:val="18"/>
              </w:rPr>
            </w:pPr>
            <w:r>
              <w:rPr>
                <w:rFonts w:hint="eastAsia" w:cs="Times New Roman"/>
                <w:kern w:val="0"/>
                <w:sz w:val="18"/>
                <w:szCs w:val="20"/>
              </w:rPr>
              <w:t>三铺</w:t>
            </w:r>
            <w:r>
              <w:rPr>
                <w:rFonts w:cs="Times New Roman"/>
                <w:kern w:val="0"/>
                <w:sz w:val="18"/>
                <w:szCs w:val="20"/>
              </w:rPr>
              <w:t>村</w:t>
            </w:r>
          </w:p>
        </w:tc>
        <w:tc>
          <w:tcPr>
            <w:tcW w:w="502" w:type="pct"/>
            <w:vAlign w:val="center"/>
          </w:tcPr>
          <w:p w14:paraId="19947EEA">
            <w:pPr>
              <w:widowControl/>
              <w:spacing w:line="360" w:lineRule="exact"/>
              <w:ind w:firstLine="0" w:firstLineChars="0"/>
              <w:jc w:val="center"/>
              <w:rPr>
                <w:rFonts w:cs="Times New Roman"/>
                <w:kern w:val="0"/>
                <w:sz w:val="18"/>
                <w:szCs w:val="18"/>
              </w:rPr>
            </w:pPr>
            <w:r>
              <w:rPr>
                <w:rFonts w:hint="eastAsia" w:cs="Times New Roman"/>
                <w:kern w:val="0"/>
                <w:sz w:val="18"/>
                <w:szCs w:val="20"/>
              </w:rPr>
              <w:t>N</w:t>
            </w:r>
          </w:p>
        </w:tc>
        <w:tc>
          <w:tcPr>
            <w:tcW w:w="605" w:type="pct"/>
            <w:vAlign w:val="center"/>
          </w:tcPr>
          <w:p w14:paraId="70D5963F">
            <w:pPr>
              <w:widowControl/>
              <w:spacing w:line="360" w:lineRule="exact"/>
              <w:ind w:firstLine="0" w:firstLineChars="0"/>
              <w:jc w:val="center"/>
              <w:rPr>
                <w:rFonts w:cs="Times New Roman"/>
                <w:kern w:val="0"/>
                <w:sz w:val="18"/>
                <w:szCs w:val="18"/>
              </w:rPr>
            </w:pPr>
            <w:r>
              <w:rPr>
                <w:rFonts w:cs="Times New Roman"/>
                <w:kern w:val="0"/>
                <w:sz w:val="18"/>
                <w:szCs w:val="20"/>
              </w:rPr>
              <w:t>700</w:t>
            </w:r>
          </w:p>
        </w:tc>
        <w:tc>
          <w:tcPr>
            <w:tcW w:w="859" w:type="pct"/>
            <w:vAlign w:val="center"/>
          </w:tcPr>
          <w:p w14:paraId="4CF1D46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46EC524">
            <w:pPr>
              <w:widowControl/>
              <w:spacing w:line="360" w:lineRule="exact"/>
              <w:ind w:firstLine="0" w:firstLineChars="0"/>
              <w:jc w:val="center"/>
              <w:rPr>
                <w:rFonts w:cs="Times New Roman"/>
                <w:kern w:val="0"/>
                <w:sz w:val="18"/>
                <w:szCs w:val="18"/>
              </w:rPr>
            </w:pPr>
            <w:r>
              <w:rPr>
                <w:rFonts w:hint="eastAsia" w:cs="Times New Roman"/>
                <w:kern w:val="0"/>
                <w:sz w:val="18"/>
                <w:szCs w:val="20"/>
              </w:rPr>
              <w:t>2880人</w:t>
            </w:r>
          </w:p>
        </w:tc>
      </w:tr>
      <w:tr w14:paraId="1D52F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5CCC0E7">
            <w:pPr>
              <w:widowControl/>
              <w:adjustRightInd/>
              <w:snapToGrid/>
              <w:ind w:firstLine="0" w:firstLineChars="0"/>
              <w:jc w:val="center"/>
              <w:rPr>
                <w:rFonts w:cs="Times New Roman"/>
                <w:kern w:val="0"/>
                <w:sz w:val="18"/>
                <w:szCs w:val="18"/>
              </w:rPr>
            </w:pPr>
          </w:p>
        </w:tc>
        <w:tc>
          <w:tcPr>
            <w:tcW w:w="290" w:type="pct"/>
            <w:vAlign w:val="center"/>
          </w:tcPr>
          <w:p w14:paraId="2B11520F">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1334" w:type="pct"/>
            <w:vAlign w:val="center"/>
          </w:tcPr>
          <w:p w14:paraId="5285D1C1">
            <w:pPr>
              <w:widowControl/>
              <w:spacing w:line="360" w:lineRule="exact"/>
              <w:ind w:firstLine="0" w:firstLineChars="0"/>
              <w:jc w:val="center"/>
              <w:rPr>
                <w:rFonts w:cs="Times New Roman"/>
                <w:kern w:val="0"/>
                <w:sz w:val="18"/>
                <w:szCs w:val="18"/>
              </w:rPr>
            </w:pPr>
            <w:r>
              <w:rPr>
                <w:rFonts w:hint="eastAsia" w:cs="Times New Roman"/>
                <w:kern w:val="0"/>
                <w:sz w:val="18"/>
                <w:szCs w:val="20"/>
              </w:rPr>
              <w:t>高王家</w:t>
            </w:r>
          </w:p>
        </w:tc>
        <w:tc>
          <w:tcPr>
            <w:tcW w:w="502" w:type="pct"/>
            <w:vAlign w:val="center"/>
          </w:tcPr>
          <w:p w14:paraId="72CCBDD0">
            <w:pPr>
              <w:widowControl/>
              <w:spacing w:line="360" w:lineRule="exact"/>
              <w:ind w:firstLine="0" w:firstLineChars="0"/>
              <w:jc w:val="center"/>
              <w:rPr>
                <w:rFonts w:cs="Times New Roman"/>
                <w:kern w:val="0"/>
                <w:sz w:val="18"/>
                <w:szCs w:val="18"/>
              </w:rPr>
            </w:pPr>
            <w:r>
              <w:rPr>
                <w:rFonts w:hint="eastAsia" w:cs="Times New Roman"/>
                <w:kern w:val="0"/>
                <w:sz w:val="18"/>
                <w:szCs w:val="20"/>
              </w:rPr>
              <w:t>N</w:t>
            </w:r>
          </w:p>
        </w:tc>
        <w:tc>
          <w:tcPr>
            <w:tcW w:w="605" w:type="pct"/>
            <w:vAlign w:val="center"/>
          </w:tcPr>
          <w:p w14:paraId="339AD990">
            <w:pPr>
              <w:widowControl/>
              <w:spacing w:line="360" w:lineRule="exact"/>
              <w:ind w:firstLine="0" w:firstLineChars="0"/>
              <w:jc w:val="center"/>
              <w:rPr>
                <w:rFonts w:cs="Times New Roman"/>
                <w:kern w:val="0"/>
                <w:sz w:val="18"/>
                <w:szCs w:val="18"/>
              </w:rPr>
            </w:pPr>
            <w:r>
              <w:rPr>
                <w:rFonts w:cs="Times New Roman"/>
                <w:kern w:val="0"/>
                <w:sz w:val="18"/>
                <w:szCs w:val="20"/>
              </w:rPr>
              <w:t>3060</w:t>
            </w:r>
          </w:p>
        </w:tc>
        <w:tc>
          <w:tcPr>
            <w:tcW w:w="859" w:type="pct"/>
            <w:vAlign w:val="center"/>
          </w:tcPr>
          <w:p w14:paraId="56992CAC">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4D53A7A3">
            <w:pPr>
              <w:widowControl/>
              <w:spacing w:line="360" w:lineRule="exact"/>
              <w:ind w:firstLine="0" w:firstLineChars="0"/>
              <w:jc w:val="center"/>
              <w:rPr>
                <w:rFonts w:cs="Times New Roman"/>
                <w:kern w:val="0"/>
                <w:sz w:val="18"/>
                <w:szCs w:val="18"/>
              </w:rPr>
            </w:pPr>
            <w:r>
              <w:rPr>
                <w:rFonts w:hint="eastAsia" w:cs="Times New Roman"/>
                <w:kern w:val="0"/>
                <w:sz w:val="18"/>
                <w:szCs w:val="20"/>
              </w:rPr>
              <w:t>2200人</w:t>
            </w:r>
          </w:p>
        </w:tc>
      </w:tr>
      <w:tr w14:paraId="2C398C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3590689">
            <w:pPr>
              <w:widowControl/>
              <w:adjustRightInd/>
              <w:snapToGrid/>
              <w:ind w:firstLine="0" w:firstLineChars="0"/>
              <w:jc w:val="center"/>
              <w:rPr>
                <w:rFonts w:cs="Times New Roman"/>
                <w:kern w:val="0"/>
                <w:sz w:val="18"/>
                <w:szCs w:val="18"/>
              </w:rPr>
            </w:pPr>
          </w:p>
        </w:tc>
        <w:tc>
          <w:tcPr>
            <w:tcW w:w="290" w:type="pct"/>
            <w:vAlign w:val="center"/>
          </w:tcPr>
          <w:p w14:paraId="595C6FD6">
            <w:pPr>
              <w:widowControl/>
              <w:spacing w:line="360" w:lineRule="exact"/>
              <w:ind w:firstLine="0" w:firstLineChars="0"/>
              <w:jc w:val="center"/>
              <w:rPr>
                <w:rFonts w:cs="Times New Roman"/>
                <w:kern w:val="0"/>
                <w:sz w:val="18"/>
                <w:szCs w:val="18"/>
              </w:rPr>
            </w:pPr>
            <w:r>
              <w:rPr>
                <w:rFonts w:hint="eastAsia" w:cs="Times New Roman"/>
                <w:kern w:val="0"/>
                <w:sz w:val="18"/>
                <w:szCs w:val="18"/>
              </w:rPr>
              <w:t>11</w:t>
            </w:r>
          </w:p>
        </w:tc>
        <w:tc>
          <w:tcPr>
            <w:tcW w:w="1334" w:type="pct"/>
            <w:vAlign w:val="center"/>
          </w:tcPr>
          <w:p w14:paraId="4A3B5C2D">
            <w:pPr>
              <w:widowControl/>
              <w:spacing w:line="360" w:lineRule="exact"/>
              <w:ind w:firstLine="0" w:firstLineChars="0"/>
              <w:jc w:val="center"/>
              <w:rPr>
                <w:rFonts w:cs="Times New Roman"/>
                <w:kern w:val="0"/>
                <w:sz w:val="18"/>
                <w:szCs w:val="18"/>
              </w:rPr>
            </w:pPr>
            <w:r>
              <w:rPr>
                <w:rFonts w:hint="eastAsia" w:cs="Times New Roman"/>
                <w:kern w:val="0"/>
                <w:sz w:val="18"/>
                <w:szCs w:val="20"/>
              </w:rPr>
              <w:t>二铺</w:t>
            </w:r>
          </w:p>
        </w:tc>
        <w:tc>
          <w:tcPr>
            <w:tcW w:w="502" w:type="pct"/>
            <w:vAlign w:val="center"/>
          </w:tcPr>
          <w:p w14:paraId="624C18B7">
            <w:pPr>
              <w:widowControl/>
              <w:spacing w:line="360" w:lineRule="exact"/>
              <w:ind w:firstLine="0" w:firstLineChars="0"/>
              <w:jc w:val="center"/>
              <w:rPr>
                <w:rFonts w:cs="Times New Roman"/>
                <w:kern w:val="0"/>
                <w:sz w:val="18"/>
                <w:szCs w:val="18"/>
              </w:rPr>
            </w:pPr>
            <w:r>
              <w:rPr>
                <w:rFonts w:hint="eastAsia" w:cs="Times New Roman"/>
                <w:kern w:val="0"/>
                <w:sz w:val="18"/>
                <w:szCs w:val="20"/>
              </w:rPr>
              <w:t>SE</w:t>
            </w:r>
          </w:p>
        </w:tc>
        <w:tc>
          <w:tcPr>
            <w:tcW w:w="605" w:type="pct"/>
            <w:vAlign w:val="center"/>
          </w:tcPr>
          <w:p w14:paraId="1C5D13AD">
            <w:pPr>
              <w:pStyle w:val="445"/>
              <w:rPr>
                <w:rFonts w:cs="Times New Roman"/>
                <w:kern w:val="0"/>
                <w:szCs w:val="18"/>
              </w:rPr>
            </w:pPr>
            <w:r>
              <w:rPr>
                <w:rFonts w:hint="eastAsia" w:cs="Times New Roman"/>
                <w:kern w:val="0"/>
                <w:szCs w:val="20"/>
              </w:rPr>
              <w:t>3600</w:t>
            </w:r>
          </w:p>
        </w:tc>
        <w:tc>
          <w:tcPr>
            <w:tcW w:w="859" w:type="pct"/>
            <w:vAlign w:val="center"/>
          </w:tcPr>
          <w:p w14:paraId="39C89C9B">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602CA818">
            <w:pPr>
              <w:widowControl/>
              <w:spacing w:line="360" w:lineRule="exact"/>
              <w:ind w:firstLine="0" w:firstLineChars="0"/>
              <w:jc w:val="center"/>
              <w:rPr>
                <w:rFonts w:cs="Times New Roman"/>
                <w:kern w:val="0"/>
                <w:sz w:val="18"/>
                <w:szCs w:val="18"/>
              </w:rPr>
            </w:pPr>
            <w:r>
              <w:rPr>
                <w:rFonts w:hint="eastAsia" w:cs="Times New Roman"/>
                <w:kern w:val="0"/>
                <w:sz w:val="18"/>
                <w:szCs w:val="20"/>
              </w:rPr>
              <w:t>1800人</w:t>
            </w:r>
          </w:p>
        </w:tc>
      </w:tr>
      <w:tr w14:paraId="16E1A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6E2B1CF">
            <w:pPr>
              <w:widowControl/>
              <w:adjustRightInd/>
              <w:snapToGrid/>
              <w:ind w:firstLine="0" w:firstLineChars="0"/>
              <w:jc w:val="center"/>
              <w:rPr>
                <w:rFonts w:cs="Times New Roman"/>
                <w:kern w:val="0"/>
                <w:sz w:val="18"/>
                <w:szCs w:val="18"/>
              </w:rPr>
            </w:pPr>
          </w:p>
        </w:tc>
        <w:tc>
          <w:tcPr>
            <w:tcW w:w="290" w:type="pct"/>
            <w:vAlign w:val="center"/>
          </w:tcPr>
          <w:p w14:paraId="31CC1B41">
            <w:pPr>
              <w:widowControl/>
              <w:spacing w:line="360" w:lineRule="exact"/>
              <w:ind w:firstLine="0" w:firstLineChars="0"/>
              <w:jc w:val="center"/>
              <w:rPr>
                <w:rFonts w:cs="Times New Roman"/>
                <w:kern w:val="0"/>
                <w:sz w:val="18"/>
                <w:szCs w:val="18"/>
              </w:rPr>
            </w:pPr>
            <w:r>
              <w:rPr>
                <w:rFonts w:hint="eastAsia" w:cs="Times New Roman"/>
                <w:kern w:val="0"/>
                <w:sz w:val="18"/>
                <w:szCs w:val="18"/>
              </w:rPr>
              <w:t>12</w:t>
            </w:r>
          </w:p>
        </w:tc>
        <w:tc>
          <w:tcPr>
            <w:tcW w:w="1334" w:type="pct"/>
            <w:vAlign w:val="center"/>
          </w:tcPr>
          <w:p w14:paraId="7E3E6A45">
            <w:pPr>
              <w:widowControl/>
              <w:spacing w:line="360" w:lineRule="exact"/>
              <w:ind w:firstLine="0" w:firstLineChars="0"/>
              <w:jc w:val="center"/>
              <w:rPr>
                <w:rFonts w:cs="Times New Roman"/>
                <w:kern w:val="0"/>
                <w:sz w:val="18"/>
                <w:szCs w:val="18"/>
              </w:rPr>
            </w:pPr>
            <w:r>
              <w:rPr>
                <w:rFonts w:hint="eastAsia" w:cs="Times New Roman"/>
                <w:kern w:val="0"/>
                <w:sz w:val="18"/>
                <w:szCs w:val="20"/>
              </w:rPr>
              <w:t>后</w:t>
            </w:r>
            <w:r>
              <w:rPr>
                <w:rFonts w:cs="Times New Roman"/>
                <w:kern w:val="0"/>
                <w:sz w:val="18"/>
                <w:szCs w:val="20"/>
              </w:rPr>
              <w:t>沈家</w:t>
            </w:r>
          </w:p>
        </w:tc>
        <w:tc>
          <w:tcPr>
            <w:tcW w:w="502" w:type="pct"/>
            <w:vAlign w:val="center"/>
          </w:tcPr>
          <w:p w14:paraId="3B7FDB38">
            <w:pPr>
              <w:widowControl/>
              <w:spacing w:line="360" w:lineRule="exact"/>
              <w:ind w:firstLine="0" w:firstLineChars="0"/>
              <w:jc w:val="center"/>
              <w:rPr>
                <w:rFonts w:cs="Times New Roman"/>
                <w:kern w:val="0"/>
                <w:sz w:val="18"/>
                <w:szCs w:val="18"/>
              </w:rPr>
            </w:pPr>
            <w:r>
              <w:rPr>
                <w:rFonts w:cs="Times New Roman"/>
                <w:kern w:val="0"/>
                <w:sz w:val="18"/>
                <w:szCs w:val="20"/>
              </w:rPr>
              <w:t>SW</w:t>
            </w:r>
          </w:p>
        </w:tc>
        <w:tc>
          <w:tcPr>
            <w:tcW w:w="605" w:type="pct"/>
            <w:vAlign w:val="center"/>
          </w:tcPr>
          <w:p w14:paraId="3309BA74">
            <w:pPr>
              <w:widowControl/>
              <w:spacing w:line="360" w:lineRule="exact"/>
              <w:ind w:firstLine="0" w:firstLineChars="0"/>
              <w:jc w:val="center"/>
              <w:rPr>
                <w:rFonts w:cs="Times New Roman"/>
                <w:kern w:val="0"/>
                <w:sz w:val="18"/>
                <w:szCs w:val="18"/>
              </w:rPr>
            </w:pPr>
            <w:r>
              <w:rPr>
                <w:rFonts w:hint="eastAsia" w:cs="Times New Roman"/>
                <w:kern w:val="0"/>
                <w:sz w:val="18"/>
                <w:szCs w:val="20"/>
              </w:rPr>
              <w:t>1710</w:t>
            </w:r>
          </w:p>
        </w:tc>
        <w:tc>
          <w:tcPr>
            <w:tcW w:w="859" w:type="pct"/>
            <w:vAlign w:val="center"/>
          </w:tcPr>
          <w:p w14:paraId="1742B615">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54FF11C">
            <w:pPr>
              <w:widowControl/>
              <w:spacing w:line="360" w:lineRule="exact"/>
              <w:ind w:firstLine="0" w:firstLineChars="0"/>
              <w:jc w:val="center"/>
              <w:rPr>
                <w:rFonts w:cs="Times New Roman"/>
                <w:kern w:val="0"/>
                <w:sz w:val="18"/>
                <w:szCs w:val="18"/>
              </w:rPr>
            </w:pPr>
            <w:r>
              <w:rPr>
                <w:rFonts w:cs="Times New Roman"/>
                <w:kern w:val="0"/>
                <w:sz w:val="18"/>
                <w:szCs w:val="20"/>
              </w:rPr>
              <w:t>30</w:t>
            </w:r>
            <w:r>
              <w:rPr>
                <w:rFonts w:hint="eastAsia" w:cs="Times New Roman"/>
                <w:kern w:val="0"/>
                <w:sz w:val="18"/>
                <w:szCs w:val="20"/>
              </w:rPr>
              <w:t>人</w:t>
            </w:r>
          </w:p>
        </w:tc>
      </w:tr>
      <w:tr w14:paraId="40566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93068F8">
            <w:pPr>
              <w:widowControl/>
              <w:adjustRightInd/>
              <w:snapToGrid/>
              <w:ind w:firstLine="0" w:firstLineChars="0"/>
              <w:jc w:val="center"/>
              <w:rPr>
                <w:rFonts w:cs="Times New Roman"/>
                <w:kern w:val="0"/>
                <w:sz w:val="18"/>
                <w:szCs w:val="18"/>
              </w:rPr>
            </w:pPr>
          </w:p>
        </w:tc>
        <w:tc>
          <w:tcPr>
            <w:tcW w:w="290" w:type="pct"/>
            <w:vAlign w:val="center"/>
          </w:tcPr>
          <w:p w14:paraId="0137D6A7">
            <w:pPr>
              <w:widowControl/>
              <w:spacing w:line="360" w:lineRule="exact"/>
              <w:ind w:firstLine="0" w:firstLineChars="0"/>
              <w:jc w:val="center"/>
              <w:rPr>
                <w:rFonts w:cs="Times New Roman"/>
                <w:kern w:val="0"/>
                <w:sz w:val="18"/>
                <w:szCs w:val="18"/>
              </w:rPr>
            </w:pPr>
            <w:r>
              <w:rPr>
                <w:rFonts w:hint="eastAsia" w:cs="Times New Roman"/>
                <w:kern w:val="0"/>
                <w:sz w:val="18"/>
                <w:szCs w:val="18"/>
              </w:rPr>
              <w:t>13</w:t>
            </w:r>
          </w:p>
        </w:tc>
        <w:tc>
          <w:tcPr>
            <w:tcW w:w="1334" w:type="pct"/>
            <w:vAlign w:val="center"/>
          </w:tcPr>
          <w:p w14:paraId="56326F00">
            <w:pPr>
              <w:widowControl/>
              <w:spacing w:line="360" w:lineRule="exact"/>
              <w:ind w:firstLine="0" w:firstLineChars="0"/>
              <w:jc w:val="center"/>
              <w:rPr>
                <w:rFonts w:cs="Times New Roman"/>
                <w:kern w:val="0"/>
                <w:sz w:val="18"/>
                <w:szCs w:val="18"/>
              </w:rPr>
            </w:pPr>
            <w:r>
              <w:rPr>
                <w:rFonts w:hint="eastAsia" w:cs="Times New Roman"/>
                <w:kern w:val="0"/>
                <w:sz w:val="18"/>
                <w:szCs w:val="20"/>
              </w:rPr>
              <w:t>石家</w:t>
            </w:r>
          </w:p>
        </w:tc>
        <w:tc>
          <w:tcPr>
            <w:tcW w:w="502" w:type="pct"/>
            <w:vAlign w:val="center"/>
          </w:tcPr>
          <w:p w14:paraId="67D944E4">
            <w:pPr>
              <w:widowControl/>
              <w:spacing w:line="360" w:lineRule="exact"/>
              <w:ind w:firstLine="0" w:firstLineChars="0"/>
              <w:jc w:val="center"/>
              <w:rPr>
                <w:rFonts w:cs="Times New Roman"/>
                <w:kern w:val="0"/>
                <w:sz w:val="18"/>
                <w:szCs w:val="18"/>
              </w:rPr>
            </w:pPr>
            <w:r>
              <w:rPr>
                <w:rFonts w:hint="eastAsia" w:cs="Times New Roman"/>
                <w:kern w:val="0"/>
                <w:sz w:val="18"/>
                <w:szCs w:val="20"/>
              </w:rPr>
              <w:t>S</w:t>
            </w:r>
          </w:p>
        </w:tc>
        <w:tc>
          <w:tcPr>
            <w:tcW w:w="605" w:type="pct"/>
            <w:vAlign w:val="center"/>
          </w:tcPr>
          <w:p w14:paraId="1534C7BB">
            <w:pPr>
              <w:widowControl/>
              <w:spacing w:line="360" w:lineRule="exact"/>
              <w:ind w:firstLine="0" w:firstLineChars="0"/>
              <w:jc w:val="center"/>
              <w:rPr>
                <w:rFonts w:cs="Times New Roman"/>
                <w:kern w:val="0"/>
                <w:sz w:val="18"/>
                <w:szCs w:val="18"/>
              </w:rPr>
            </w:pPr>
            <w:r>
              <w:rPr>
                <w:rFonts w:hint="eastAsia" w:cs="Times New Roman"/>
                <w:kern w:val="0"/>
                <w:sz w:val="18"/>
                <w:szCs w:val="20"/>
              </w:rPr>
              <w:t>308</w:t>
            </w:r>
            <w:r>
              <w:rPr>
                <w:rFonts w:cs="Times New Roman"/>
                <w:kern w:val="0"/>
                <w:sz w:val="18"/>
                <w:szCs w:val="20"/>
              </w:rPr>
              <w:t>0</w:t>
            </w:r>
          </w:p>
        </w:tc>
        <w:tc>
          <w:tcPr>
            <w:tcW w:w="859" w:type="pct"/>
            <w:vAlign w:val="center"/>
          </w:tcPr>
          <w:p w14:paraId="24DF0FCD">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1C6DEE29">
            <w:pPr>
              <w:widowControl/>
              <w:spacing w:line="360" w:lineRule="exact"/>
              <w:ind w:firstLine="0" w:firstLineChars="0"/>
              <w:jc w:val="center"/>
              <w:rPr>
                <w:rFonts w:cs="Times New Roman"/>
                <w:kern w:val="0"/>
                <w:sz w:val="18"/>
                <w:szCs w:val="18"/>
              </w:rPr>
            </w:pPr>
            <w:r>
              <w:rPr>
                <w:rFonts w:hint="eastAsia" w:cs="Times New Roman"/>
                <w:kern w:val="0"/>
                <w:sz w:val="18"/>
                <w:szCs w:val="20"/>
              </w:rPr>
              <w:t>1800人</w:t>
            </w:r>
          </w:p>
        </w:tc>
      </w:tr>
      <w:tr w14:paraId="31AE9C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DD4F879">
            <w:pPr>
              <w:widowControl/>
              <w:adjustRightInd/>
              <w:snapToGrid/>
              <w:ind w:firstLine="0" w:firstLineChars="0"/>
              <w:jc w:val="center"/>
              <w:rPr>
                <w:rFonts w:cs="Times New Roman"/>
                <w:kern w:val="0"/>
                <w:sz w:val="18"/>
                <w:szCs w:val="18"/>
              </w:rPr>
            </w:pPr>
          </w:p>
        </w:tc>
        <w:tc>
          <w:tcPr>
            <w:tcW w:w="290" w:type="pct"/>
            <w:vAlign w:val="center"/>
          </w:tcPr>
          <w:p w14:paraId="7E4D0781">
            <w:pPr>
              <w:widowControl/>
              <w:spacing w:line="360" w:lineRule="exact"/>
              <w:ind w:firstLine="0" w:firstLineChars="0"/>
              <w:jc w:val="center"/>
              <w:rPr>
                <w:rFonts w:cs="Times New Roman"/>
                <w:kern w:val="0"/>
                <w:sz w:val="18"/>
                <w:szCs w:val="18"/>
              </w:rPr>
            </w:pPr>
            <w:r>
              <w:rPr>
                <w:rFonts w:hint="eastAsia" w:cs="Times New Roman"/>
                <w:kern w:val="0"/>
                <w:sz w:val="18"/>
                <w:szCs w:val="18"/>
              </w:rPr>
              <w:t>14</w:t>
            </w:r>
          </w:p>
        </w:tc>
        <w:tc>
          <w:tcPr>
            <w:tcW w:w="1334" w:type="pct"/>
            <w:vAlign w:val="center"/>
          </w:tcPr>
          <w:p w14:paraId="6C25DFFD">
            <w:pPr>
              <w:widowControl/>
              <w:spacing w:line="360" w:lineRule="exact"/>
              <w:ind w:firstLine="0" w:firstLineChars="0"/>
              <w:jc w:val="center"/>
              <w:rPr>
                <w:rFonts w:cs="Times New Roman"/>
                <w:kern w:val="0"/>
                <w:sz w:val="18"/>
                <w:szCs w:val="18"/>
              </w:rPr>
            </w:pPr>
            <w:r>
              <w:rPr>
                <w:rFonts w:hint="eastAsia" w:cs="Times New Roman"/>
                <w:kern w:val="0"/>
                <w:sz w:val="18"/>
                <w:szCs w:val="20"/>
              </w:rPr>
              <w:t>新划村</w:t>
            </w:r>
          </w:p>
        </w:tc>
        <w:tc>
          <w:tcPr>
            <w:tcW w:w="502" w:type="pct"/>
            <w:vAlign w:val="center"/>
          </w:tcPr>
          <w:p w14:paraId="040EDE21">
            <w:pPr>
              <w:widowControl/>
              <w:spacing w:line="360" w:lineRule="exact"/>
              <w:ind w:firstLine="0" w:firstLineChars="0"/>
              <w:jc w:val="center"/>
              <w:rPr>
                <w:rFonts w:cs="Times New Roman"/>
                <w:kern w:val="0"/>
                <w:sz w:val="18"/>
                <w:szCs w:val="18"/>
              </w:rPr>
            </w:pPr>
            <w:r>
              <w:rPr>
                <w:rFonts w:hint="eastAsia" w:cs="Times New Roman"/>
                <w:kern w:val="0"/>
                <w:sz w:val="18"/>
                <w:szCs w:val="20"/>
              </w:rPr>
              <w:t>SE</w:t>
            </w:r>
          </w:p>
        </w:tc>
        <w:tc>
          <w:tcPr>
            <w:tcW w:w="605" w:type="pct"/>
            <w:vAlign w:val="center"/>
          </w:tcPr>
          <w:p w14:paraId="496C5D26">
            <w:pPr>
              <w:widowControl/>
              <w:spacing w:line="360" w:lineRule="exact"/>
              <w:ind w:firstLine="0" w:firstLineChars="0"/>
              <w:jc w:val="center"/>
              <w:rPr>
                <w:rFonts w:cs="Times New Roman"/>
                <w:kern w:val="0"/>
                <w:sz w:val="18"/>
                <w:szCs w:val="18"/>
              </w:rPr>
            </w:pPr>
            <w:r>
              <w:rPr>
                <w:rFonts w:hint="eastAsia" w:cs="Times New Roman"/>
                <w:kern w:val="0"/>
                <w:sz w:val="18"/>
                <w:szCs w:val="20"/>
              </w:rPr>
              <w:t>4200</w:t>
            </w:r>
          </w:p>
        </w:tc>
        <w:tc>
          <w:tcPr>
            <w:tcW w:w="859" w:type="pct"/>
            <w:vAlign w:val="center"/>
          </w:tcPr>
          <w:p w14:paraId="5D3E4761">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39454681">
            <w:pPr>
              <w:widowControl/>
              <w:spacing w:line="360" w:lineRule="exact"/>
              <w:ind w:firstLine="0" w:firstLineChars="0"/>
              <w:jc w:val="center"/>
              <w:rPr>
                <w:rFonts w:cs="Times New Roman"/>
                <w:kern w:val="0"/>
                <w:sz w:val="18"/>
                <w:szCs w:val="18"/>
              </w:rPr>
            </w:pPr>
            <w:r>
              <w:rPr>
                <w:rFonts w:hint="eastAsia" w:cs="Times New Roman"/>
                <w:kern w:val="0"/>
                <w:sz w:val="18"/>
                <w:szCs w:val="20"/>
              </w:rPr>
              <w:t>1600人</w:t>
            </w:r>
          </w:p>
        </w:tc>
      </w:tr>
      <w:tr w14:paraId="600417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2C156F0">
            <w:pPr>
              <w:widowControl/>
              <w:adjustRightInd/>
              <w:snapToGrid/>
              <w:ind w:firstLine="0" w:firstLineChars="0"/>
              <w:jc w:val="center"/>
              <w:rPr>
                <w:rFonts w:cs="Times New Roman"/>
                <w:kern w:val="0"/>
                <w:sz w:val="18"/>
                <w:szCs w:val="18"/>
              </w:rPr>
            </w:pPr>
          </w:p>
        </w:tc>
        <w:tc>
          <w:tcPr>
            <w:tcW w:w="290" w:type="pct"/>
            <w:vAlign w:val="center"/>
          </w:tcPr>
          <w:p w14:paraId="1E30E418">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5</w:t>
            </w:r>
          </w:p>
        </w:tc>
        <w:tc>
          <w:tcPr>
            <w:tcW w:w="1334" w:type="pct"/>
            <w:vAlign w:val="center"/>
          </w:tcPr>
          <w:p w14:paraId="54AB3B51">
            <w:pPr>
              <w:widowControl/>
              <w:spacing w:line="360" w:lineRule="exact"/>
              <w:ind w:firstLine="0" w:firstLineChars="0"/>
              <w:jc w:val="center"/>
              <w:rPr>
                <w:rFonts w:cs="Times New Roman"/>
                <w:kern w:val="0"/>
                <w:sz w:val="18"/>
                <w:szCs w:val="18"/>
              </w:rPr>
            </w:pPr>
            <w:r>
              <w:rPr>
                <w:rFonts w:hint="eastAsia" w:cs="Times New Roman"/>
                <w:kern w:val="0"/>
                <w:sz w:val="18"/>
                <w:szCs w:val="20"/>
              </w:rPr>
              <w:t>尚家湖</w:t>
            </w:r>
          </w:p>
        </w:tc>
        <w:tc>
          <w:tcPr>
            <w:tcW w:w="502" w:type="pct"/>
            <w:vAlign w:val="center"/>
          </w:tcPr>
          <w:p w14:paraId="480F8105">
            <w:pPr>
              <w:widowControl/>
              <w:spacing w:line="360" w:lineRule="exact"/>
              <w:ind w:firstLine="0" w:firstLineChars="0"/>
              <w:jc w:val="center"/>
              <w:rPr>
                <w:rFonts w:cs="Times New Roman"/>
                <w:kern w:val="0"/>
                <w:sz w:val="18"/>
                <w:szCs w:val="18"/>
              </w:rPr>
            </w:pPr>
            <w:r>
              <w:rPr>
                <w:rFonts w:hint="eastAsia" w:cs="Times New Roman"/>
                <w:kern w:val="0"/>
                <w:sz w:val="18"/>
                <w:szCs w:val="20"/>
              </w:rPr>
              <w:t>NE</w:t>
            </w:r>
          </w:p>
        </w:tc>
        <w:tc>
          <w:tcPr>
            <w:tcW w:w="605" w:type="pct"/>
            <w:vAlign w:val="center"/>
          </w:tcPr>
          <w:p w14:paraId="15D57A8E">
            <w:pPr>
              <w:widowControl/>
              <w:spacing w:line="360" w:lineRule="exact"/>
              <w:ind w:firstLine="0" w:firstLineChars="0"/>
              <w:jc w:val="center"/>
              <w:rPr>
                <w:rFonts w:cs="Times New Roman"/>
                <w:kern w:val="0"/>
                <w:sz w:val="18"/>
                <w:szCs w:val="18"/>
              </w:rPr>
            </w:pPr>
            <w:r>
              <w:rPr>
                <w:rFonts w:hint="eastAsia" w:cs="Times New Roman"/>
                <w:kern w:val="0"/>
                <w:sz w:val="18"/>
                <w:szCs w:val="20"/>
              </w:rPr>
              <w:t>4900</w:t>
            </w:r>
          </w:p>
        </w:tc>
        <w:tc>
          <w:tcPr>
            <w:tcW w:w="859" w:type="pct"/>
            <w:vAlign w:val="center"/>
          </w:tcPr>
          <w:p w14:paraId="39CB55FB">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48AE4118">
            <w:pPr>
              <w:widowControl/>
              <w:spacing w:line="360" w:lineRule="exact"/>
              <w:ind w:firstLine="0" w:firstLineChars="0"/>
              <w:jc w:val="center"/>
              <w:rPr>
                <w:rFonts w:cs="Times New Roman"/>
                <w:kern w:val="0"/>
                <w:sz w:val="18"/>
                <w:szCs w:val="18"/>
              </w:rPr>
            </w:pPr>
            <w:r>
              <w:rPr>
                <w:rFonts w:hint="eastAsia" w:cs="Times New Roman"/>
                <w:kern w:val="0"/>
                <w:sz w:val="18"/>
                <w:szCs w:val="20"/>
              </w:rPr>
              <w:t>1500人</w:t>
            </w:r>
          </w:p>
        </w:tc>
      </w:tr>
      <w:tr w14:paraId="63D0E0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803850B">
            <w:pPr>
              <w:widowControl/>
              <w:adjustRightInd/>
              <w:snapToGrid/>
              <w:ind w:firstLine="0" w:firstLineChars="0"/>
              <w:jc w:val="center"/>
              <w:rPr>
                <w:rFonts w:cs="Times New Roman"/>
                <w:kern w:val="0"/>
                <w:sz w:val="18"/>
                <w:szCs w:val="18"/>
              </w:rPr>
            </w:pPr>
          </w:p>
        </w:tc>
        <w:tc>
          <w:tcPr>
            <w:tcW w:w="290" w:type="pct"/>
            <w:vAlign w:val="center"/>
          </w:tcPr>
          <w:p w14:paraId="5A13C5AB">
            <w:pPr>
              <w:widowControl/>
              <w:spacing w:line="360" w:lineRule="exact"/>
              <w:ind w:firstLine="0" w:firstLineChars="0"/>
              <w:jc w:val="center"/>
              <w:rPr>
                <w:rFonts w:cs="Times New Roman"/>
                <w:kern w:val="0"/>
                <w:sz w:val="18"/>
                <w:szCs w:val="18"/>
              </w:rPr>
            </w:pPr>
            <w:r>
              <w:rPr>
                <w:rFonts w:hint="eastAsia" w:cs="Times New Roman"/>
                <w:kern w:val="0"/>
                <w:sz w:val="18"/>
                <w:szCs w:val="18"/>
              </w:rPr>
              <w:t>16</w:t>
            </w:r>
          </w:p>
        </w:tc>
        <w:tc>
          <w:tcPr>
            <w:tcW w:w="1334" w:type="pct"/>
            <w:vAlign w:val="center"/>
          </w:tcPr>
          <w:p w14:paraId="439326AF">
            <w:pPr>
              <w:widowControl/>
              <w:spacing w:line="360" w:lineRule="exact"/>
              <w:ind w:firstLine="0" w:firstLineChars="0"/>
              <w:jc w:val="center"/>
              <w:rPr>
                <w:rFonts w:cs="Times New Roman"/>
                <w:kern w:val="0"/>
                <w:sz w:val="18"/>
                <w:szCs w:val="18"/>
              </w:rPr>
            </w:pPr>
            <w:r>
              <w:rPr>
                <w:rFonts w:hint="eastAsia" w:cs="Times New Roman"/>
                <w:kern w:val="0"/>
                <w:sz w:val="18"/>
                <w:szCs w:val="20"/>
              </w:rPr>
              <w:t>龙庙村</w:t>
            </w:r>
          </w:p>
        </w:tc>
        <w:tc>
          <w:tcPr>
            <w:tcW w:w="502" w:type="pct"/>
            <w:vAlign w:val="center"/>
          </w:tcPr>
          <w:p w14:paraId="7F3FE12F">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50AED191">
            <w:pPr>
              <w:widowControl/>
              <w:spacing w:line="360" w:lineRule="exact"/>
              <w:ind w:firstLine="0" w:firstLineChars="0"/>
              <w:jc w:val="center"/>
              <w:rPr>
                <w:rFonts w:cs="Times New Roman"/>
                <w:kern w:val="0"/>
                <w:sz w:val="18"/>
                <w:szCs w:val="18"/>
              </w:rPr>
            </w:pPr>
            <w:r>
              <w:rPr>
                <w:rFonts w:hint="eastAsia" w:cs="Times New Roman"/>
                <w:kern w:val="0"/>
                <w:sz w:val="18"/>
                <w:szCs w:val="20"/>
              </w:rPr>
              <w:t>419</w:t>
            </w:r>
            <w:r>
              <w:rPr>
                <w:rFonts w:cs="Times New Roman"/>
                <w:kern w:val="0"/>
                <w:sz w:val="18"/>
                <w:szCs w:val="20"/>
              </w:rPr>
              <w:t>0</w:t>
            </w:r>
          </w:p>
        </w:tc>
        <w:tc>
          <w:tcPr>
            <w:tcW w:w="859" w:type="pct"/>
            <w:vAlign w:val="center"/>
          </w:tcPr>
          <w:p w14:paraId="5DAA8D80">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30361EE">
            <w:pPr>
              <w:widowControl/>
              <w:spacing w:line="360" w:lineRule="exact"/>
              <w:ind w:firstLine="0" w:firstLineChars="0"/>
              <w:jc w:val="center"/>
              <w:rPr>
                <w:rFonts w:cs="Times New Roman"/>
                <w:kern w:val="0"/>
                <w:sz w:val="18"/>
                <w:szCs w:val="18"/>
              </w:rPr>
            </w:pPr>
            <w:r>
              <w:rPr>
                <w:rFonts w:hint="eastAsia" w:cs="Times New Roman"/>
                <w:kern w:val="0"/>
                <w:sz w:val="18"/>
                <w:szCs w:val="20"/>
              </w:rPr>
              <w:t>1050人</w:t>
            </w:r>
          </w:p>
        </w:tc>
      </w:tr>
      <w:tr w14:paraId="2E0A0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F2F03B2">
            <w:pPr>
              <w:widowControl/>
              <w:adjustRightInd/>
              <w:snapToGrid/>
              <w:ind w:firstLine="0" w:firstLineChars="0"/>
              <w:jc w:val="center"/>
              <w:rPr>
                <w:rFonts w:cs="Times New Roman"/>
                <w:kern w:val="0"/>
                <w:sz w:val="18"/>
                <w:szCs w:val="18"/>
              </w:rPr>
            </w:pPr>
          </w:p>
        </w:tc>
        <w:tc>
          <w:tcPr>
            <w:tcW w:w="290" w:type="pct"/>
            <w:vAlign w:val="center"/>
          </w:tcPr>
          <w:p w14:paraId="29ADA260">
            <w:pPr>
              <w:widowControl/>
              <w:spacing w:line="360" w:lineRule="exact"/>
              <w:ind w:firstLine="0" w:firstLineChars="0"/>
              <w:jc w:val="center"/>
              <w:rPr>
                <w:rFonts w:cs="Times New Roman"/>
                <w:kern w:val="0"/>
                <w:sz w:val="18"/>
                <w:szCs w:val="18"/>
              </w:rPr>
            </w:pPr>
            <w:r>
              <w:rPr>
                <w:rFonts w:hint="eastAsia" w:cs="Times New Roman"/>
                <w:kern w:val="0"/>
                <w:sz w:val="18"/>
                <w:szCs w:val="18"/>
              </w:rPr>
              <w:t>17</w:t>
            </w:r>
          </w:p>
        </w:tc>
        <w:tc>
          <w:tcPr>
            <w:tcW w:w="1334" w:type="pct"/>
            <w:vAlign w:val="center"/>
          </w:tcPr>
          <w:p w14:paraId="053B0722">
            <w:pPr>
              <w:widowControl/>
              <w:spacing w:line="360" w:lineRule="exact"/>
              <w:ind w:firstLine="0" w:firstLineChars="0"/>
              <w:jc w:val="center"/>
              <w:rPr>
                <w:rFonts w:cs="Times New Roman"/>
                <w:kern w:val="0"/>
                <w:sz w:val="18"/>
                <w:szCs w:val="18"/>
              </w:rPr>
            </w:pPr>
            <w:r>
              <w:rPr>
                <w:rFonts w:hint="eastAsia" w:cs="Times New Roman"/>
                <w:kern w:val="0"/>
                <w:sz w:val="18"/>
                <w:szCs w:val="20"/>
              </w:rPr>
              <w:t>店子</w:t>
            </w:r>
          </w:p>
        </w:tc>
        <w:tc>
          <w:tcPr>
            <w:tcW w:w="502" w:type="pct"/>
            <w:vAlign w:val="center"/>
          </w:tcPr>
          <w:p w14:paraId="448D570D">
            <w:pPr>
              <w:widowControl/>
              <w:spacing w:line="360" w:lineRule="exact"/>
              <w:ind w:firstLine="0" w:firstLineChars="0"/>
              <w:jc w:val="center"/>
              <w:rPr>
                <w:rFonts w:cs="Times New Roman"/>
                <w:kern w:val="0"/>
                <w:sz w:val="18"/>
                <w:szCs w:val="18"/>
              </w:rPr>
            </w:pPr>
            <w:r>
              <w:rPr>
                <w:rFonts w:hint="eastAsia" w:cs="Times New Roman"/>
                <w:kern w:val="0"/>
                <w:sz w:val="18"/>
                <w:szCs w:val="20"/>
              </w:rPr>
              <w:t>S</w:t>
            </w:r>
            <w:r>
              <w:rPr>
                <w:rFonts w:cs="Times New Roman"/>
                <w:kern w:val="0"/>
                <w:sz w:val="18"/>
                <w:szCs w:val="20"/>
              </w:rPr>
              <w:t>W</w:t>
            </w:r>
          </w:p>
        </w:tc>
        <w:tc>
          <w:tcPr>
            <w:tcW w:w="605" w:type="pct"/>
            <w:vAlign w:val="center"/>
          </w:tcPr>
          <w:p w14:paraId="7D51744C">
            <w:pPr>
              <w:widowControl/>
              <w:spacing w:line="360" w:lineRule="exact"/>
              <w:ind w:firstLine="0" w:firstLineChars="0"/>
              <w:jc w:val="center"/>
              <w:rPr>
                <w:rFonts w:cs="Times New Roman"/>
                <w:kern w:val="0"/>
                <w:sz w:val="18"/>
                <w:szCs w:val="18"/>
              </w:rPr>
            </w:pPr>
            <w:r>
              <w:rPr>
                <w:rFonts w:hint="eastAsia" w:cs="Times New Roman"/>
                <w:kern w:val="0"/>
                <w:sz w:val="18"/>
                <w:szCs w:val="20"/>
              </w:rPr>
              <w:t>3230</w:t>
            </w:r>
          </w:p>
        </w:tc>
        <w:tc>
          <w:tcPr>
            <w:tcW w:w="859" w:type="pct"/>
            <w:vAlign w:val="center"/>
          </w:tcPr>
          <w:p w14:paraId="38E77B00">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23667E5A">
            <w:pPr>
              <w:widowControl/>
              <w:spacing w:line="360" w:lineRule="exact"/>
              <w:ind w:firstLine="0" w:firstLineChars="0"/>
              <w:jc w:val="center"/>
              <w:rPr>
                <w:rFonts w:cs="Times New Roman"/>
                <w:kern w:val="0"/>
                <w:sz w:val="18"/>
                <w:szCs w:val="18"/>
              </w:rPr>
            </w:pPr>
            <w:r>
              <w:rPr>
                <w:rFonts w:hint="eastAsia" w:cs="Times New Roman"/>
                <w:kern w:val="0"/>
                <w:sz w:val="18"/>
                <w:szCs w:val="20"/>
              </w:rPr>
              <w:t>260人</w:t>
            </w:r>
          </w:p>
        </w:tc>
      </w:tr>
      <w:tr w14:paraId="0BFE64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143CFFD">
            <w:pPr>
              <w:widowControl/>
              <w:adjustRightInd/>
              <w:snapToGrid/>
              <w:ind w:firstLine="0" w:firstLineChars="0"/>
              <w:jc w:val="center"/>
              <w:rPr>
                <w:rFonts w:cs="Times New Roman"/>
                <w:kern w:val="0"/>
                <w:sz w:val="18"/>
                <w:szCs w:val="18"/>
              </w:rPr>
            </w:pPr>
          </w:p>
        </w:tc>
        <w:tc>
          <w:tcPr>
            <w:tcW w:w="290" w:type="pct"/>
            <w:vAlign w:val="center"/>
          </w:tcPr>
          <w:p w14:paraId="318F036A">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r>
              <w:rPr>
                <w:rFonts w:cs="Times New Roman"/>
                <w:kern w:val="0"/>
                <w:sz w:val="18"/>
                <w:szCs w:val="18"/>
              </w:rPr>
              <w:t>8</w:t>
            </w:r>
          </w:p>
        </w:tc>
        <w:tc>
          <w:tcPr>
            <w:tcW w:w="1334" w:type="pct"/>
            <w:vAlign w:val="center"/>
          </w:tcPr>
          <w:p w14:paraId="5682BF91">
            <w:pPr>
              <w:widowControl/>
              <w:spacing w:line="360" w:lineRule="exact"/>
              <w:ind w:firstLine="0" w:firstLineChars="0"/>
              <w:jc w:val="center"/>
              <w:rPr>
                <w:rFonts w:cs="Times New Roman"/>
                <w:kern w:val="0"/>
                <w:sz w:val="18"/>
                <w:szCs w:val="18"/>
              </w:rPr>
            </w:pPr>
            <w:r>
              <w:rPr>
                <w:rFonts w:hint="eastAsia" w:cs="Times New Roman"/>
                <w:kern w:val="0"/>
                <w:sz w:val="18"/>
                <w:szCs w:val="20"/>
              </w:rPr>
              <w:t>十里</w:t>
            </w:r>
            <w:r>
              <w:rPr>
                <w:rFonts w:cs="Times New Roman"/>
                <w:kern w:val="0"/>
                <w:sz w:val="18"/>
                <w:szCs w:val="20"/>
              </w:rPr>
              <w:t>程村</w:t>
            </w:r>
          </w:p>
        </w:tc>
        <w:tc>
          <w:tcPr>
            <w:tcW w:w="502" w:type="pct"/>
            <w:vAlign w:val="center"/>
          </w:tcPr>
          <w:p w14:paraId="70FBF125">
            <w:pPr>
              <w:widowControl/>
              <w:spacing w:line="360" w:lineRule="exact"/>
              <w:ind w:firstLine="0" w:firstLineChars="0"/>
              <w:jc w:val="center"/>
              <w:rPr>
                <w:rFonts w:cs="Times New Roman"/>
                <w:kern w:val="0"/>
                <w:sz w:val="18"/>
                <w:szCs w:val="18"/>
              </w:rPr>
            </w:pPr>
            <w:r>
              <w:rPr>
                <w:rFonts w:hint="eastAsia" w:cs="Times New Roman"/>
                <w:kern w:val="0"/>
                <w:sz w:val="18"/>
                <w:szCs w:val="20"/>
              </w:rPr>
              <w:t>S</w:t>
            </w:r>
          </w:p>
        </w:tc>
        <w:tc>
          <w:tcPr>
            <w:tcW w:w="605" w:type="pct"/>
            <w:vAlign w:val="center"/>
          </w:tcPr>
          <w:p w14:paraId="0C5EFF9F">
            <w:pPr>
              <w:widowControl/>
              <w:spacing w:line="360" w:lineRule="exact"/>
              <w:ind w:firstLine="0" w:firstLineChars="0"/>
              <w:jc w:val="center"/>
              <w:rPr>
                <w:rFonts w:cs="Times New Roman"/>
                <w:kern w:val="0"/>
                <w:sz w:val="18"/>
                <w:szCs w:val="18"/>
              </w:rPr>
            </w:pPr>
            <w:r>
              <w:rPr>
                <w:rFonts w:hint="eastAsia" w:cs="Times New Roman"/>
                <w:kern w:val="0"/>
                <w:sz w:val="18"/>
                <w:szCs w:val="20"/>
              </w:rPr>
              <w:t>4680</w:t>
            </w:r>
          </w:p>
        </w:tc>
        <w:tc>
          <w:tcPr>
            <w:tcW w:w="859" w:type="pct"/>
            <w:vAlign w:val="center"/>
          </w:tcPr>
          <w:p w14:paraId="33812EE2">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DF06FCF">
            <w:pPr>
              <w:widowControl/>
              <w:spacing w:line="360" w:lineRule="exact"/>
              <w:ind w:firstLine="0" w:firstLineChars="0"/>
              <w:jc w:val="center"/>
              <w:rPr>
                <w:rFonts w:cs="Times New Roman"/>
                <w:kern w:val="0"/>
                <w:sz w:val="18"/>
                <w:szCs w:val="18"/>
              </w:rPr>
            </w:pPr>
            <w:r>
              <w:rPr>
                <w:rFonts w:hint="eastAsia" w:cs="Times New Roman"/>
                <w:kern w:val="0"/>
                <w:sz w:val="18"/>
                <w:szCs w:val="20"/>
              </w:rPr>
              <w:t>850人</w:t>
            </w:r>
          </w:p>
        </w:tc>
      </w:tr>
      <w:tr w14:paraId="106CC0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9752370">
            <w:pPr>
              <w:widowControl/>
              <w:adjustRightInd/>
              <w:snapToGrid/>
              <w:ind w:firstLine="0" w:firstLineChars="0"/>
              <w:jc w:val="center"/>
              <w:rPr>
                <w:rFonts w:cs="Times New Roman"/>
                <w:kern w:val="0"/>
                <w:sz w:val="18"/>
                <w:szCs w:val="18"/>
              </w:rPr>
            </w:pPr>
          </w:p>
        </w:tc>
        <w:tc>
          <w:tcPr>
            <w:tcW w:w="290" w:type="pct"/>
            <w:vAlign w:val="center"/>
          </w:tcPr>
          <w:p w14:paraId="5DDD5E3F">
            <w:pPr>
              <w:widowControl/>
              <w:spacing w:line="360" w:lineRule="exact"/>
              <w:ind w:firstLine="0" w:firstLineChars="0"/>
              <w:jc w:val="center"/>
              <w:rPr>
                <w:rFonts w:cs="Times New Roman"/>
                <w:kern w:val="0"/>
                <w:sz w:val="18"/>
                <w:szCs w:val="18"/>
              </w:rPr>
            </w:pPr>
            <w:r>
              <w:rPr>
                <w:rFonts w:hint="eastAsia" w:cs="Times New Roman"/>
                <w:kern w:val="0"/>
                <w:sz w:val="18"/>
                <w:szCs w:val="18"/>
              </w:rPr>
              <w:t>19</w:t>
            </w:r>
          </w:p>
        </w:tc>
        <w:tc>
          <w:tcPr>
            <w:tcW w:w="1334" w:type="pct"/>
            <w:vAlign w:val="center"/>
          </w:tcPr>
          <w:p w14:paraId="10757992">
            <w:pPr>
              <w:widowControl/>
              <w:spacing w:line="360" w:lineRule="exact"/>
              <w:ind w:firstLine="0" w:firstLineChars="0"/>
              <w:jc w:val="center"/>
              <w:rPr>
                <w:rFonts w:cs="Times New Roman"/>
                <w:kern w:val="0"/>
                <w:sz w:val="18"/>
                <w:szCs w:val="18"/>
              </w:rPr>
            </w:pPr>
            <w:r>
              <w:rPr>
                <w:rFonts w:hint="eastAsia" w:cs="Times New Roman"/>
                <w:kern w:val="0"/>
                <w:sz w:val="18"/>
                <w:szCs w:val="20"/>
              </w:rPr>
              <w:t>于家村</w:t>
            </w:r>
          </w:p>
        </w:tc>
        <w:tc>
          <w:tcPr>
            <w:tcW w:w="502" w:type="pct"/>
            <w:vAlign w:val="center"/>
          </w:tcPr>
          <w:p w14:paraId="05C591FC">
            <w:pPr>
              <w:widowControl/>
              <w:spacing w:line="360" w:lineRule="exact"/>
              <w:ind w:firstLine="0" w:firstLineChars="0"/>
              <w:jc w:val="center"/>
              <w:rPr>
                <w:rFonts w:cs="Times New Roman"/>
                <w:kern w:val="0"/>
                <w:sz w:val="18"/>
                <w:szCs w:val="18"/>
              </w:rPr>
            </w:pPr>
            <w:r>
              <w:rPr>
                <w:rFonts w:hint="eastAsia" w:cs="Times New Roman"/>
                <w:kern w:val="0"/>
                <w:sz w:val="18"/>
                <w:szCs w:val="20"/>
              </w:rPr>
              <w:t>S</w:t>
            </w:r>
            <w:r>
              <w:rPr>
                <w:rFonts w:cs="Times New Roman"/>
                <w:kern w:val="0"/>
                <w:sz w:val="18"/>
                <w:szCs w:val="20"/>
              </w:rPr>
              <w:t>W</w:t>
            </w:r>
          </w:p>
        </w:tc>
        <w:tc>
          <w:tcPr>
            <w:tcW w:w="605" w:type="pct"/>
            <w:vAlign w:val="center"/>
          </w:tcPr>
          <w:p w14:paraId="077E3004">
            <w:pPr>
              <w:widowControl/>
              <w:spacing w:line="360" w:lineRule="exact"/>
              <w:ind w:firstLine="0" w:firstLineChars="0"/>
              <w:jc w:val="center"/>
              <w:rPr>
                <w:rFonts w:cs="Times New Roman"/>
                <w:kern w:val="0"/>
                <w:sz w:val="18"/>
                <w:szCs w:val="18"/>
              </w:rPr>
            </w:pPr>
            <w:r>
              <w:rPr>
                <w:rFonts w:hint="eastAsia" w:cs="Times New Roman"/>
                <w:kern w:val="0"/>
                <w:sz w:val="18"/>
                <w:szCs w:val="20"/>
              </w:rPr>
              <w:t>3120</w:t>
            </w:r>
          </w:p>
        </w:tc>
        <w:tc>
          <w:tcPr>
            <w:tcW w:w="859" w:type="pct"/>
            <w:vAlign w:val="center"/>
          </w:tcPr>
          <w:p w14:paraId="0F04B72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42F37217">
            <w:pPr>
              <w:widowControl/>
              <w:spacing w:line="360" w:lineRule="exact"/>
              <w:ind w:firstLine="0" w:firstLineChars="0"/>
              <w:jc w:val="center"/>
              <w:rPr>
                <w:rFonts w:cs="Times New Roman"/>
                <w:kern w:val="0"/>
                <w:sz w:val="18"/>
                <w:szCs w:val="18"/>
              </w:rPr>
            </w:pPr>
            <w:r>
              <w:rPr>
                <w:rFonts w:hint="eastAsia" w:cs="Times New Roman"/>
                <w:kern w:val="0"/>
                <w:sz w:val="18"/>
                <w:szCs w:val="20"/>
              </w:rPr>
              <w:t>2000人</w:t>
            </w:r>
          </w:p>
        </w:tc>
      </w:tr>
      <w:tr w14:paraId="09C8EC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714BCA3">
            <w:pPr>
              <w:widowControl/>
              <w:adjustRightInd/>
              <w:snapToGrid/>
              <w:ind w:firstLine="0" w:firstLineChars="0"/>
              <w:jc w:val="center"/>
              <w:rPr>
                <w:rFonts w:cs="Times New Roman"/>
                <w:kern w:val="0"/>
                <w:sz w:val="18"/>
                <w:szCs w:val="18"/>
              </w:rPr>
            </w:pPr>
          </w:p>
        </w:tc>
        <w:tc>
          <w:tcPr>
            <w:tcW w:w="290" w:type="pct"/>
            <w:vAlign w:val="center"/>
          </w:tcPr>
          <w:p w14:paraId="31958797">
            <w:pPr>
              <w:widowControl/>
              <w:spacing w:line="360" w:lineRule="exact"/>
              <w:ind w:firstLine="0" w:firstLineChars="0"/>
              <w:jc w:val="center"/>
              <w:rPr>
                <w:rFonts w:cs="Times New Roman"/>
                <w:kern w:val="0"/>
                <w:sz w:val="18"/>
                <w:szCs w:val="18"/>
              </w:rPr>
            </w:pPr>
            <w:r>
              <w:rPr>
                <w:rFonts w:hint="eastAsia" w:cs="Times New Roman"/>
                <w:kern w:val="0"/>
                <w:sz w:val="18"/>
                <w:szCs w:val="18"/>
              </w:rPr>
              <w:t>20</w:t>
            </w:r>
          </w:p>
        </w:tc>
        <w:tc>
          <w:tcPr>
            <w:tcW w:w="1334" w:type="pct"/>
            <w:vAlign w:val="center"/>
          </w:tcPr>
          <w:p w14:paraId="507F858B">
            <w:pPr>
              <w:widowControl/>
              <w:spacing w:line="360" w:lineRule="exact"/>
              <w:ind w:firstLine="0" w:firstLineChars="0"/>
              <w:jc w:val="center"/>
              <w:rPr>
                <w:rFonts w:cs="Times New Roman"/>
                <w:kern w:val="0"/>
                <w:sz w:val="18"/>
                <w:szCs w:val="18"/>
              </w:rPr>
            </w:pPr>
            <w:r>
              <w:rPr>
                <w:rFonts w:hint="eastAsia" w:cs="Times New Roman"/>
                <w:kern w:val="0"/>
                <w:sz w:val="18"/>
                <w:szCs w:val="20"/>
              </w:rPr>
              <w:t>顾台</w:t>
            </w:r>
            <w:r>
              <w:rPr>
                <w:rFonts w:cs="Times New Roman"/>
                <w:kern w:val="0"/>
                <w:sz w:val="18"/>
                <w:szCs w:val="20"/>
              </w:rPr>
              <w:t>村</w:t>
            </w:r>
          </w:p>
        </w:tc>
        <w:tc>
          <w:tcPr>
            <w:tcW w:w="502" w:type="pct"/>
            <w:vAlign w:val="center"/>
          </w:tcPr>
          <w:p w14:paraId="47330F98">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0CEA1BDB">
            <w:pPr>
              <w:widowControl/>
              <w:spacing w:line="360" w:lineRule="exact"/>
              <w:ind w:firstLine="0" w:firstLineChars="0"/>
              <w:jc w:val="center"/>
              <w:rPr>
                <w:rFonts w:cs="Times New Roman"/>
                <w:kern w:val="0"/>
                <w:sz w:val="18"/>
                <w:szCs w:val="18"/>
              </w:rPr>
            </w:pPr>
            <w:r>
              <w:rPr>
                <w:rFonts w:hint="eastAsia" w:cs="Times New Roman"/>
                <w:kern w:val="0"/>
                <w:sz w:val="18"/>
                <w:szCs w:val="20"/>
              </w:rPr>
              <w:t>484</w:t>
            </w:r>
            <w:r>
              <w:rPr>
                <w:rFonts w:cs="Times New Roman"/>
                <w:kern w:val="0"/>
                <w:sz w:val="18"/>
                <w:szCs w:val="20"/>
              </w:rPr>
              <w:t>0</w:t>
            </w:r>
          </w:p>
        </w:tc>
        <w:tc>
          <w:tcPr>
            <w:tcW w:w="859" w:type="pct"/>
            <w:vAlign w:val="center"/>
          </w:tcPr>
          <w:p w14:paraId="0C3B47AD">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9396447">
            <w:pPr>
              <w:widowControl/>
              <w:spacing w:line="360" w:lineRule="exact"/>
              <w:ind w:firstLine="0" w:firstLineChars="0"/>
              <w:jc w:val="center"/>
              <w:rPr>
                <w:rFonts w:cs="Times New Roman"/>
                <w:kern w:val="0"/>
                <w:sz w:val="18"/>
                <w:szCs w:val="18"/>
              </w:rPr>
            </w:pPr>
            <w:r>
              <w:rPr>
                <w:rFonts w:cs="Times New Roman"/>
                <w:kern w:val="0"/>
                <w:sz w:val="18"/>
                <w:szCs w:val="20"/>
              </w:rPr>
              <w:t>1400</w:t>
            </w:r>
            <w:r>
              <w:rPr>
                <w:rFonts w:hint="eastAsia" w:cs="Times New Roman"/>
                <w:kern w:val="0"/>
                <w:sz w:val="18"/>
                <w:szCs w:val="20"/>
              </w:rPr>
              <w:t>人</w:t>
            </w:r>
          </w:p>
        </w:tc>
      </w:tr>
      <w:tr w14:paraId="59621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C383651">
            <w:pPr>
              <w:widowControl/>
              <w:adjustRightInd/>
              <w:snapToGrid/>
              <w:ind w:firstLine="0" w:firstLineChars="0"/>
              <w:jc w:val="center"/>
              <w:rPr>
                <w:rFonts w:cs="Times New Roman"/>
                <w:kern w:val="0"/>
                <w:sz w:val="18"/>
                <w:szCs w:val="18"/>
              </w:rPr>
            </w:pPr>
          </w:p>
        </w:tc>
        <w:tc>
          <w:tcPr>
            <w:tcW w:w="290" w:type="pct"/>
            <w:vAlign w:val="center"/>
          </w:tcPr>
          <w:p w14:paraId="1388B92A">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r>
              <w:rPr>
                <w:rFonts w:cs="Times New Roman"/>
                <w:kern w:val="0"/>
                <w:sz w:val="18"/>
                <w:szCs w:val="18"/>
              </w:rPr>
              <w:t>1</w:t>
            </w:r>
          </w:p>
        </w:tc>
        <w:tc>
          <w:tcPr>
            <w:tcW w:w="1334" w:type="pct"/>
            <w:vAlign w:val="center"/>
          </w:tcPr>
          <w:p w14:paraId="7F343DEC">
            <w:pPr>
              <w:widowControl/>
              <w:spacing w:line="360" w:lineRule="exact"/>
              <w:ind w:firstLine="0" w:firstLineChars="0"/>
              <w:jc w:val="center"/>
              <w:rPr>
                <w:rFonts w:cs="Times New Roman"/>
                <w:kern w:val="0"/>
                <w:sz w:val="18"/>
                <w:szCs w:val="18"/>
              </w:rPr>
            </w:pPr>
            <w:r>
              <w:rPr>
                <w:rFonts w:hint="eastAsia" w:cs="Times New Roman"/>
                <w:kern w:val="0"/>
                <w:sz w:val="18"/>
                <w:szCs w:val="20"/>
              </w:rPr>
              <w:t>陈巷</w:t>
            </w:r>
          </w:p>
        </w:tc>
        <w:tc>
          <w:tcPr>
            <w:tcW w:w="502" w:type="pct"/>
            <w:vAlign w:val="center"/>
          </w:tcPr>
          <w:p w14:paraId="12387362">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1AAF38C4">
            <w:pPr>
              <w:widowControl/>
              <w:spacing w:line="360" w:lineRule="exact"/>
              <w:ind w:firstLine="0" w:firstLineChars="0"/>
              <w:jc w:val="center"/>
              <w:rPr>
                <w:rFonts w:cs="Times New Roman"/>
                <w:kern w:val="0"/>
                <w:sz w:val="18"/>
                <w:szCs w:val="18"/>
              </w:rPr>
            </w:pPr>
            <w:r>
              <w:rPr>
                <w:rFonts w:hint="eastAsia" w:cs="Times New Roman"/>
                <w:kern w:val="0"/>
                <w:sz w:val="18"/>
                <w:szCs w:val="20"/>
              </w:rPr>
              <w:t>2570</w:t>
            </w:r>
          </w:p>
        </w:tc>
        <w:tc>
          <w:tcPr>
            <w:tcW w:w="859" w:type="pct"/>
            <w:vAlign w:val="center"/>
          </w:tcPr>
          <w:p w14:paraId="4F217997">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2426D25">
            <w:pPr>
              <w:widowControl/>
              <w:spacing w:line="360" w:lineRule="exact"/>
              <w:ind w:firstLine="0" w:firstLineChars="0"/>
              <w:jc w:val="center"/>
              <w:rPr>
                <w:rFonts w:cs="Times New Roman"/>
                <w:kern w:val="0"/>
                <w:sz w:val="18"/>
                <w:szCs w:val="18"/>
              </w:rPr>
            </w:pPr>
            <w:r>
              <w:rPr>
                <w:rFonts w:hint="eastAsia" w:cs="Times New Roman"/>
                <w:kern w:val="0"/>
                <w:sz w:val="18"/>
                <w:szCs w:val="20"/>
              </w:rPr>
              <w:t>1850人</w:t>
            </w:r>
          </w:p>
        </w:tc>
      </w:tr>
      <w:tr w14:paraId="3BD566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2E8995A">
            <w:pPr>
              <w:widowControl/>
              <w:adjustRightInd/>
              <w:snapToGrid/>
              <w:ind w:firstLine="0" w:firstLineChars="0"/>
              <w:jc w:val="center"/>
              <w:rPr>
                <w:rFonts w:cs="Times New Roman"/>
                <w:kern w:val="0"/>
                <w:sz w:val="18"/>
                <w:szCs w:val="18"/>
              </w:rPr>
            </w:pPr>
          </w:p>
        </w:tc>
        <w:tc>
          <w:tcPr>
            <w:tcW w:w="290" w:type="pct"/>
            <w:vAlign w:val="center"/>
          </w:tcPr>
          <w:p w14:paraId="504FD32F">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r>
              <w:rPr>
                <w:rFonts w:cs="Times New Roman"/>
                <w:kern w:val="0"/>
                <w:sz w:val="18"/>
                <w:szCs w:val="18"/>
              </w:rPr>
              <w:t>2</w:t>
            </w:r>
          </w:p>
        </w:tc>
        <w:tc>
          <w:tcPr>
            <w:tcW w:w="1334" w:type="pct"/>
            <w:vAlign w:val="center"/>
          </w:tcPr>
          <w:p w14:paraId="21658279">
            <w:pPr>
              <w:widowControl/>
              <w:spacing w:line="360" w:lineRule="exact"/>
              <w:ind w:firstLine="0" w:firstLineChars="0"/>
              <w:jc w:val="center"/>
              <w:rPr>
                <w:rFonts w:cs="Times New Roman"/>
                <w:kern w:val="0"/>
                <w:sz w:val="18"/>
                <w:szCs w:val="18"/>
              </w:rPr>
            </w:pPr>
            <w:r>
              <w:rPr>
                <w:rFonts w:hint="eastAsia" w:cs="Times New Roman"/>
                <w:kern w:val="0"/>
                <w:sz w:val="18"/>
                <w:szCs w:val="20"/>
              </w:rPr>
              <w:t>汤</w:t>
            </w:r>
            <w:r>
              <w:rPr>
                <w:rFonts w:cs="Times New Roman"/>
                <w:kern w:val="0"/>
                <w:sz w:val="18"/>
                <w:szCs w:val="20"/>
              </w:rPr>
              <w:t>陈村</w:t>
            </w:r>
          </w:p>
        </w:tc>
        <w:tc>
          <w:tcPr>
            <w:tcW w:w="502" w:type="pct"/>
            <w:vAlign w:val="center"/>
          </w:tcPr>
          <w:p w14:paraId="4E4B31F9">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35C90B61">
            <w:pPr>
              <w:widowControl/>
              <w:spacing w:line="360" w:lineRule="exact"/>
              <w:ind w:firstLine="0" w:firstLineChars="0"/>
              <w:jc w:val="center"/>
              <w:rPr>
                <w:rFonts w:cs="Times New Roman"/>
                <w:kern w:val="0"/>
                <w:sz w:val="18"/>
                <w:szCs w:val="18"/>
              </w:rPr>
            </w:pPr>
            <w:r>
              <w:rPr>
                <w:rFonts w:hint="eastAsia" w:cs="Times New Roman"/>
                <w:kern w:val="0"/>
                <w:sz w:val="18"/>
                <w:szCs w:val="20"/>
              </w:rPr>
              <w:t>2440</w:t>
            </w:r>
          </w:p>
        </w:tc>
        <w:tc>
          <w:tcPr>
            <w:tcW w:w="859" w:type="pct"/>
            <w:vAlign w:val="center"/>
          </w:tcPr>
          <w:p w14:paraId="7CC64D9E">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E9CAE3E">
            <w:pPr>
              <w:widowControl/>
              <w:spacing w:line="360" w:lineRule="exact"/>
              <w:ind w:firstLine="0" w:firstLineChars="0"/>
              <w:jc w:val="center"/>
              <w:rPr>
                <w:rFonts w:cs="Times New Roman"/>
                <w:kern w:val="0"/>
                <w:sz w:val="18"/>
                <w:szCs w:val="18"/>
              </w:rPr>
            </w:pPr>
            <w:r>
              <w:rPr>
                <w:rFonts w:hint="eastAsia" w:cs="Times New Roman"/>
                <w:kern w:val="0"/>
                <w:sz w:val="18"/>
                <w:szCs w:val="20"/>
              </w:rPr>
              <w:t>2100人</w:t>
            </w:r>
          </w:p>
        </w:tc>
      </w:tr>
      <w:tr w14:paraId="2B957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4CA1E83">
            <w:pPr>
              <w:widowControl/>
              <w:adjustRightInd/>
              <w:snapToGrid/>
              <w:ind w:firstLine="0" w:firstLineChars="0"/>
              <w:jc w:val="center"/>
              <w:rPr>
                <w:rFonts w:cs="Times New Roman"/>
                <w:kern w:val="0"/>
                <w:sz w:val="18"/>
                <w:szCs w:val="18"/>
              </w:rPr>
            </w:pPr>
          </w:p>
        </w:tc>
        <w:tc>
          <w:tcPr>
            <w:tcW w:w="290" w:type="pct"/>
            <w:vAlign w:val="center"/>
          </w:tcPr>
          <w:p w14:paraId="59012B2E">
            <w:pPr>
              <w:widowControl/>
              <w:spacing w:line="360" w:lineRule="exact"/>
              <w:ind w:firstLine="0" w:firstLineChars="0"/>
              <w:jc w:val="center"/>
              <w:rPr>
                <w:rFonts w:cs="Times New Roman"/>
                <w:kern w:val="0"/>
                <w:sz w:val="18"/>
                <w:szCs w:val="18"/>
              </w:rPr>
            </w:pPr>
            <w:r>
              <w:rPr>
                <w:rFonts w:hint="eastAsia" w:cs="Times New Roman"/>
                <w:kern w:val="0"/>
                <w:sz w:val="18"/>
                <w:szCs w:val="18"/>
              </w:rPr>
              <w:t>23</w:t>
            </w:r>
          </w:p>
        </w:tc>
        <w:tc>
          <w:tcPr>
            <w:tcW w:w="1334" w:type="pct"/>
            <w:vAlign w:val="center"/>
          </w:tcPr>
          <w:p w14:paraId="1CE26844">
            <w:pPr>
              <w:widowControl/>
              <w:spacing w:line="360" w:lineRule="exact"/>
              <w:ind w:firstLine="0" w:firstLineChars="0"/>
              <w:jc w:val="center"/>
              <w:rPr>
                <w:rFonts w:cs="Times New Roman"/>
                <w:kern w:val="0"/>
                <w:sz w:val="18"/>
                <w:szCs w:val="18"/>
              </w:rPr>
            </w:pPr>
            <w:r>
              <w:rPr>
                <w:rFonts w:hint="eastAsia" w:cs="Times New Roman"/>
                <w:kern w:val="0"/>
                <w:sz w:val="18"/>
                <w:szCs w:val="20"/>
              </w:rPr>
              <w:t>申</w:t>
            </w:r>
            <w:r>
              <w:rPr>
                <w:rFonts w:cs="Times New Roman"/>
                <w:kern w:val="0"/>
                <w:sz w:val="18"/>
                <w:szCs w:val="20"/>
              </w:rPr>
              <w:t>台</w:t>
            </w:r>
            <w:r>
              <w:rPr>
                <w:rFonts w:hint="eastAsia" w:cs="Times New Roman"/>
                <w:kern w:val="0"/>
                <w:sz w:val="18"/>
                <w:szCs w:val="20"/>
              </w:rPr>
              <w:t>村</w:t>
            </w:r>
          </w:p>
        </w:tc>
        <w:tc>
          <w:tcPr>
            <w:tcW w:w="502" w:type="pct"/>
            <w:vAlign w:val="center"/>
          </w:tcPr>
          <w:p w14:paraId="34C6C967">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49293FF2">
            <w:pPr>
              <w:widowControl/>
              <w:spacing w:line="360" w:lineRule="exact"/>
              <w:ind w:firstLine="0" w:firstLineChars="0"/>
              <w:jc w:val="center"/>
              <w:rPr>
                <w:rFonts w:cs="Times New Roman"/>
                <w:kern w:val="0"/>
                <w:sz w:val="18"/>
                <w:szCs w:val="18"/>
              </w:rPr>
            </w:pPr>
            <w:r>
              <w:rPr>
                <w:rFonts w:hint="eastAsia" w:cs="Times New Roman"/>
                <w:kern w:val="0"/>
                <w:sz w:val="18"/>
                <w:szCs w:val="20"/>
              </w:rPr>
              <w:t>4500</w:t>
            </w:r>
          </w:p>
        </w:tc>
        <w:tc>
          <w:tcPr>
            <w:tcW w:w="859" w:type="pct"/>
            <w:vAlign w:val="center"/>
          </w:tcPr>
          <w:p w14:paraId="4E870459">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2CBEB794">
            <w:pPr>
              <w:widowControl/>
              <w:spacing w:line="360" w:lineRule="exact"/>
              <w:ind w:firstLine="0" w:firstLineChars="0"/>
              <w:jc w:val="center"/>
              <w:rPr>
                <w:rFonts w:cs="Times New Roman"/>
                <w:kern w:val="0"/>
                <w:sz w:val="18"/>
                <w:szCs w:val="18"/>
              </w:rPr>
            </w:pPr>
            <w:r>
              <w:rPr>
                <w:rFonts w:hint="eastAsia" w:cs="Times New Roman"/>
                <w:kern w:val="0"/>
                <w:sz w:val="18"/>
                <w:szCs w:val="20"/>
              </w:rPr>
              <w:t>1860人</w:t>
            </w:r>
          </w:p>
        </w:tc>
      </w:tr>
      <w:tr w14:paraId="7AF27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0C9111B">
            <w:pPr>
              <w:widowControl/>
              <w:adjustRightInd/>
              <w:snapToGrid/>
              <w:ind w:firstLine="0" w:firstLineChars="0"/>
              <w:jc w:val="center"/>
              <w:rPr>
                <w:rFonts w:cs="Times New Roman"/>
                <w:kern w:val="0"/>
                <w:sz w:val="18"/>
                <w:szCs w:val="18"/>
              </w:rPr>
            </w:pPr>
          </w:p>
        </w:tc>
        <w:tc>
          <w:tcPr>
            <w:tcW w:w="290" w:type="pct"/>
            <w:vAlign w:val="center"/>
          </w:tcPr>
          <w:p w14:paraId="5CA1F4F9">
            <w:pPr>
              <w:widowControl/>
              <w:spacing w:line="360" w:lineRule="exact"/>
              <w:ind w:firstLine="0" w:firstLineChars="0"/>
              <w:jc w:val="center"/>
              <w:rPr>
                <w:rFonts w:cs="Times New Roman"/>
                <w:kern w:val="0"/>
                <w:sz w:val="18"/>
                <w:szCs w:val="18"/>
              </w:rPr>
            </w:pPr>
            <w:r>
              <w:rPr>
                <w:rFonts w:hint="eastAsia" w:cs="Times New Roman"/>
                <w:kern w:val="0"/>
                <w:sz w:val="18"/>
                <w:szCs w:val="18"/>
              </w:rPr>
              <w:t>24</w:t>
            </w:r>
          </w:p>
        </w:tc>
        <w:tc>
          <w:tcPr>
            <w:tcW w:w="1334" w:type="pct"/>
            <w:vAlign w:val="center"/>
          </w:tcPr>
          <w:p w14:paraId="4C3FEF30">
            <w:pPr>
              <w:widowControl/>
              <w:spacing w:line="360" w:lineRule="exact"/>
              <w:ind w:firstLine="0" w:firstLineChars="0"/>
              <w:jc w:val="center"/>
              <w:rPr>
                <w:rFonts w:cs="Times New Roman"/>
                <w:kern w:val="0"/>
                <w:sz w:val="18"/>
                <w:szCs w:val="18"/>
              </w:rPr>
            </w:pPr>
            <w:r>
              <w:rPr>
                <w:rFonts w:hint="eastAsia" w:cs="Times New Roman"/>
                <w:kern w:val="0"/>
                <w:sz w:val="18"/>
                <w:szCs w:val="20"/>
              </w:rPr>
              <w:t>孙台子</w:t>
            </w:r>
          </w:p>
        </w:tc>
        <w:tc>
          <w:tcPr>
            <w:tcW w:w="502" w:type="pct"/>
            <w:vAlign w:val="center"/>
          </w:tcPr>
          <w:p w14:paraId="4BC7F282">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50AF388C">
            <w:pPr>
              <w:widowControl/>
              <w:spacing w:line="360" w:lineRule="exact"/>
              <w:ind w:firstLine="0" w:firstLineChars="0"/>
              <w:jc w:val="center"/>
              <w:rPr>
                <w:rFonts w:cs="Times New Roman"/>
                <w:kern w:val="0"/>
                <w:sz w:val="18"/>
                <w:szCs w:val="18"/>
              </w:rPr>
            </w:pPr>
            <w:r>
              <w:rPr>
                <w:rFonts w:hint="eastAsia" w:cs="Times New Roman"/>
                <w:kern w:val="0"/>
                <w:sz w:val="18"/>
                <w:szCs w:val="20"/>
              </w:rPr>
              <w:t>4680</w:t>
            </w:r>
          </w:p>
        </w:tc>
        <w:tc>
          <w:tcPr>
            <w:tcW w:w="859" w:type="pct"/>
            <w:vAlign w:val="center"/>
          </w:tcPr>
          <w:p w14:paraId="6D192C19">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9BDA1BB">
            <w:pPr>
              <w:widowControl/>
              <w:spacing w:line="360" w:lineRule="exact"/>
              <w:ind w:firstLine="0" w:firstLineChars="0"/>
              <w:jc w:val="center"/>
              <w:rPr>
                <w:rFonts w:cs="Times New Roman"/>
                <w:kern w:val="0"/>
                <w:sz w:val="18"/>
                <w:szCs w:val="18"/>
              </w:rPr>
            </w:pPr>
            <w:r>
              <w:rPr>
                <w:rFonts w:hint="eastAsia" w:cs="Times New Roman"/>
                <w:kern w:val="0"/>
                <w:sz w:val="18"/>
                <w:szCs w:val="20"/>
              </w:rPr>
              <w:t>1260人</w:t>
            </w:r>
          </w:p>
        </w:tc>
      </w:tr>
      <w:tr w14:paraId="3DEFF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3C3314A">
            <w:pPr>
              <w:widowControl/>
              <w:adjustRightInd/>
              <w:snapToGrid/>
              <w:ind w:firstLine="0" w:firstLineChars="0"/>
              <w:jc w:val="center"/>
              <w:rPr>
                <w:rFonts w:cs="Times New Roman"/>
                <w:kern w:val="0"/>
                <w:sz w:val="18"/>
                <w:szCs w:val="18"/>
              </w:rPr>
            </w:pPr>
          </w:p>
        </w:tc>
        <w:tc>
          <w:tcPr>
            <w:tcW w:w="290" w:type="pct"/>
            <w:vAlign w:val="center"/>
          </w:tcPr>
          <w:p w14:paraId="3246CA9C">
            <w:pPr>
              <w:widowControl/>
              <w:spacing w:line="360" w:lineRule="exact"/>
              <w:ind w:firstLine="0" w:firstLineChars="0"/>
              <w:jc w:val="center"/>
              <w:rPr>
                <w:rFonts w:cs="Times New Roman"/>
                <w:kern w:val="0"/>
                <w:sz w:val="18"/>
                <w:szCs w:val="18"/>
              </w:rPr>
            </w:pPr>
            <w:r>
              <w:rPr>
                <w:rFonts w:hint="eastAsia" w:cs="Times New Roman"/>
                <w:kern w:val="0"/>
                <w:sz w:val="18"/>
                <w:szCs w:val="18"/>
              </w:rPr>
              <w:t>25</w:t>
            </w:r>
          </w:p>
        </w:tc>
        <w:tc>
          <w:tcPr>
            <w:tcW w:w="1334" w:type="pct"/>
            <w:vAlign w:val="center"/>
          </w:tcPr>
          <w:p w14:paraId="60D79DA2">
            <w:pPr>
              <w:widowControl/>
              <w:spacing w:line="360" w:lineRule="exact"/>
              <w:ind w:firstLine="0" w:firstLineChars="0"/>
              <w:jc w:val="center"/>
              <w:rPr>
                <w:rFonts w:cs="Times New Roman"/>
                <w:kern w:val="0"/>
                <w:sz w:val="18"/>
                <w:szCs w:val="18"/>
              </w:rPr>
            </w:pPr>
            <w:r>
              <w:rPr>
                <w:rFonts w:hint="eastAsia" w:cs="Times New Roman"/>
                <w:kern w:val="0"/>
                <w:sz w:val="18"/>
                <w:szCs w:val="20"/>
              </w:rPr>
              <w:t>柳东村</w:t>
            </w:r>
          </w:p>
        </w:tc>
        <w:tc>
          <w:tcPr>
            <w:tcW w:w="502" w:type="pct"/>
            <w:vAlign w:val="center"/>
          </w:tcPr>
          <w:p w14:paraId="4AC73D52">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58885B17">
            <w:pPr>
              <w:widowControl/>
              <w:spacing w:line="360" w:lineRule="exact"/>
              <w:ind w:firstLine="0" w:firstLineChars="0"/>
              <w:jc w:val="center"/>
              <w:rPr>
                <w:rFonts w:cs="Times New Roman"/>
                <w:kern w:val="0"/>
                <w:sz w:val="18"/>
                <w:szCs w:val="18"/>
              </w:rPr>
            </w:pPr>
            <w:r>
              <w:rPr>
                <w:rFonts w:hint="eastAsia" w:cs="Times New Roman"/>
                <w:kern w:val="0"/>
                <w:sz w:val="18"/>
                <w:szCs w:val="20"/>
              </w:rPr>
              <w:t>4840</w:t>
            </w:r>
          </w:p>
        </w:tc>
        <w:tc>
          <w:tcPr>
            <w:tcW w:w="859" w:type="pct"/>
            <w:vAlign w:val="center"/>
          </w:tcPr>
          <w:p w14:paraId="021B5534">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6DA0692E">
            <w:pPr>
              <w:widowControl/>
              <w:spacing w:line="360" w:lineRule="exact"/>
              <w:ind w:firstLine="0" w:firstLineChars="0"/>
              <w:jc w:val="center"/>
              <w:rPr>
                <w:rFonts w:cs="Times New Roman"/>
                <w:kern w:val="0"/>
                <w:sz w:val="18"/>
                <w:szCs w:val="18"/>
              </w:rPr>
            </w:pPr>
            <w:r>
              <w:rPr>
                <w:rFonts w:hint="eastAsia" w:cs="Times New Roman"/>
                <w:kern w:val="0"/>
                <w:sz w:val="18"/>
                <w:szCs w:val="20"/>
              </w:rPr>
              <w:t>800人</w:t>
            </w:r>
          </w:p>
        </w:tc>
      </w:tr>
      <w:tr w14:paraId="5F7D8E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A521A5C">
            <w:pPr>
              <w:widowControl/>
              <w:adjustRightInd/>
              <w:snapToGrid/>
              <w:ind w:firstLine="0" w:firstLineChars="0"/>
              <w:jc w:val="center"/>
              <w:rPr>
                <w:rFonts w:cs="Times New Roman"/>
                <w:kern w:val="0"/>
                <w:sz w:val="18"/>
                <w:szCs w:val="18"/>
              </w:rPr>
            </w:pPr>
          </w:p>
        </w:tc>
        <w:tc>
          <w:tcPr>
            <w:tcW w:w="290" w:type="pct"/>
            <w:vAlign w:val="center"/>
          </w:tcPr>
          <w:p w14:paraId="7ACA0B4B">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r>
              <w:rPr>
                <w:rFonts w:cs="Times New Roman"/>
                <w:kern w:val="0"/>
                <w:sz w:val="18"/>
                <w:szCs w:val="18"/>
              </w:rPr>
              <w:t>6</w:t>
            </w:r>
          </w:p>
        </w:tc>
        <w:tc>
          <w:tcPr>
            <w:tcW w:w="1334" w:type="pct"/>
            <w:vAlign w:val="center"/>
          </w:tcPr>
          <w:p w14:paraId="34202E37">
            <w:pPr>
              <w:widowControl/>
              <w:spacing w:line="360" w:lineRule="exact"/>
              <w:ind w:firstLine="0" w:firstLineChars="0"/>
              <w:jc w:val="center"/>
              <w:rPr>
                <w:rFonts w:cs="Times New Roman"/>
                <w:kern w:val="0"/>
                <w:sz w:val="18"/>
                <w:szCs w:val="18"/>
              </w:rPr>
            </w:pPr>
            <w:r>
              <w:rPr>
                <w:rFonts w:hint="eastAsia" w:cs="Times New Roman"/>
                <w:kern w:val="0"/>
                <w:sz w:val="18"/>
                <w:szCs w:val="20"/>
              </w:rPr>
              <w:t>柳西村</w:t>
            </w:r>
          </w:p>
        </w:tc>
        <w:tc>
          <w:tcPr>
            <w:tcW w:w="502" w:type="pct"/>
            <w:vAlign w:val="center"/>
          </w:tcPr>
          <w:p w14:paraId="5199B218">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105232D1">
            <w:pPr>
              <w:widowControl/>
              <w:spacing w:line="360" w:lineRule="exact"/>
              <w:ind w:firstLine="0" w:firstLineChars="0"/>
              <w:jc w:val="center"/>
              <w:rPr>
                <w:rFonts w:cs="Times New Roman"/>
                <w:kern w:val="0"/>
                <w:sz w:val="18"/>
                <w:szCs w:val="18"/>
              </w:rPr>
            </w:pPr>
            <w:r>
              <w:rPr>
                <w:rFonts w:hint="eastAsia" w:cs="Times New Roman"/>
                <w:kern w:val="0"/>
                <w:sz w:val="18"/>
                <w:szCs w:val="20"/>
              </w:rPr>
              <w:t>4980</w:t>
            </w:r>
          </w:p>
        </w:tc>
        <w:tc>
          <w:tcPr>
            <w:tcW w:w="859" w:type="pct"/>
            <w:vAlign w:val="center"/>
          </w:tcPr>
          <w:p w14:paraId="3C742536">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4EC465AD">
            <w:pPr>
              <w:widowControl/>
              <w:spacing w:line="360" w:lineRule="exact"/>
              <w:ind w:firstLine="0" w:firstLineChars="0"/>
              <w:jc w:val="center"/>
              <w:rPr>
                <w:rFonts w:cs="Times New Roman"/>
                <w:kern w:val="0"/>
                <w:sz w:val="18"/>
                <w:szCs w:val="18"/>
              </w:rPr>
            </w:pPr>
            <w:r>
              <w:rPr>
                <w:rFonts w:hint="eastAsia" w:cs="Times New Roman"/>
                <w:kern w:val="0"/>
                <w:sz w:val="18"/>
                <w:szCs w:val="20"/>
              </w:rPr>
              <w:t>900人</w:t>
            </w:r>
          </w:p>
        </w:tc>
      </w:tr>
      <w:tr w14:paraId="33315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ED50508">
            <w:pPr>
              <w:widowControl/>
              <w:adjustRightInd/>
              <w:snapToGrid/>
              <w:ind w:firstLine="0" w:firstLineChars="0"/>
              <w:jc w:val="center"/>
              <w:rPr>
                <w:rFonts w:cs="Times New Roman"/>
                <w:kern w:val="0"/>
                <w:sz w:val="18"/>
                <w:szCs w:val="18"/>
              </w:rPr>
            </w:pPr>
          </w:p>
        </w:tc>
        <w:tc>
          <w:tcPr>
            <w:tcW w:w="290" w:type="pct"/>
            <w:vAlign w:val="center"/>
          </w:tcPr>
          <w:p w14:paraId="7D2F089A">
            <w:pPr>
              <w:widowControl/>
              <w:spacing w:line="360" w:lineRule="exact"/>
              <w:ind w:firstLine="0" w:firstLineChars="0"/>
              <w:jc w:val="center"/>
              <w:rPr>
                <w:rFonts w:cs="Times New Roman"/>
                <w:kern w:val="0"/>
                <w:sz w:val="18"/>
                <w:szCs w:val="18"/>
              </w:rPr>
            </w:pPr>
            <w:r>
              <w:rPr>
                <w:rFonts w:hint="eastAsia" w:cs="Times New Roman"/>
                <w:kern w:val="0"/>
                <w:sz w:val="18"/>
                <w:szCs w:val="18"/>
              </w:rPr>
              <w:t>27</w:t>
            </w:r>
          </w:p>
        </w:tc>
        <w:tc>
          <w:tcPr>
            <w:tcW w:w="1334" w:type="pct"/>
            <w:vAlign w:val="center"/>
          </w:tcPr>
          <w:p w14:paraId="1069F02A">
            <w:pPr>
              <w:widowControl/>
              <w:spacing w:line="360" w:lineRule="exact"/>
              <w:ind w:firstLine="0" w:firstLineChars="0"/>
              <w:jc w:val="center"/>
              <w:rPr>
                <w:rFonts w:cs="Times New Roman"/>
                <w:kern w:val="0"/>
                <w:sz w:val="18"/>
                <w:szCs w:val="18"/>
              </w:rPr>
            </w:pPr>
            <w:r>
              <w:rPr>
                <w:rFonts w:hint="eastAsia" w:cs="Times New Roman"/>
                <w:kern w:val="0"/>
                <w:sz w:val="18"/>
                <w:szCs w:val="20"/>
              </w:rPr>
              <w:t>小</w:t>
            </w:r>
            <w:r>
              <w:rPr>
                <w:rFonts w:cs="Times New Roman"/>
                <w:kern w:val="0"/>
                <w:sz w:val="18"/>
                <w:szCs w:val="20"/>
              </w:rPr>
              <w:t>柏家</w:t>
            </w:r>
          </w:p>
        </w:tc>
        <w:tc>
          <w:tcPr>
            <w:tcW w:w="502" w:type="pct"/>
            <w:vAlign w:val="center"/>
          </w:tcPr>
          <w:p w14:paraId="4B2F243E">
            <w:pPr>
              <w:widowControl/>
              <w:spacing w:line="360" w:lineRule="exact"/>
              <w:ind w:firstLine="0" w:firstLineChars="0"/>
              <w:jc w:val="center"/>
              <w:rPr>
                <w:rFonts w:cs="Times New Roman"/>
                <w:kern w:val="0"/>
                <w:sz w:val="18"/>
                <w:szCs w:val="18"/>
              </w:rPr>
            </w:pPr>
            <w:r>
              <w:rPr>
                <w:rFonts w:cs="Times New Roman"/>
                <w:kern w:val="0"/>
                <w:sz w:val="18"/>
                <w:szCs w:val="20"/>
              </w:rPr>
              <w:t>NE</w:t>
            </w:r>
          </w:p>
        </w:tc>
        <w:tc>
          <w:tcPr>
            <w:tcW w:w="605" w:type="pct"/>
            <w:vAlign w:val="center"/>
          </w:tcPr>
          <w:p w14:paraId="6A8E4612">
            <w:pPr>
              <w:widowControl/>
              <w:spacing w:line="360" w:lineRule="exact"/>
              <w:ind w:firstLine="0" w:firstLineChars="0"/>
              <w:jc w:val="center"/>
              <w:rPr>
                <w:rFonts w:cs="Times New Roman"/>
                <w:kern w:val="0"/>
                <w:sz w:val="18"/>
                <w:szCs w:val="18"/>
              </w:rPr>
            </w:pPr>
            <w:r>
              <w:rPr>
                <w:rFonts w:hint="eastAsia" w:cs="Times New Roman"/>
                <w:kern w:val="0"/>
                <w:sz w:val="18"/>
                <w:szCs w:val="20"/>
              </w:rPr>
              <w:t>3</w:t>
            </w:r>
            <w:r>
              <w:rPr>
                <w:rFonts w:cs="Times New Roman"/>
                <w:kern w:val="0"/>
                <w:sz w:val="18"/>
                <w:szCs w:val="20"/>
              </w:rPr>
              <w:t>630</w:t>
            </w:r>
          </w:p>
        </w:tc>
        <w:tc>
          <w:tcPr>
            <w:tcW w:w="859" w:type="pct"/>
            <w:vAlign w:val="center"/>
          </w:tcPr>
          <w:p w14:paraId="6F2321C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31D428E3">
            <w:pPr>
              <w:widowControl/>
              <w:spacing w:line="360" w:lineRule="exact"/>
              <w:ind w:firstLine="0" w:firstLineChars="0"/>
              <w:jc w:val="center"/>
              <w:rPr>
                <w:rFonts w:cs="Times New Roman"/>
                <w:kern w:val="0"/>
                <w:sz w:val="18"/>
                <w:szCs w:val="18"/>
              </w:rPr>
            </w:pPr>
            <w:r>
              <w:rPr>
                <w:rFonts w:cs="Times New Roman"/>
                <w:kern w:val="0"/>
                <w:sz w:val="18"/>
                <w:szCs w:val="20"/>
              </w:rPr>
              <w:t>168</w:t>
            </w:r>
            <w:r>
              <w:rPr>
                <w:rFonts w:hint="eastAsia" w:cs="Times New Roman"/>
                <w:kern w:val="0"/>
                <w:sz w:val="18"/>
                <w:szCs w:val="20"/>
              </w:rPr>
              <w:t>人</w:t>
            </w:r>
          </w:p>
        </w:tc>
      </w:tr>
      <w:tr w14:paraId="19D43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637B227">
            <w:pPr>
              <w:widowControl/>
              <w:adjustRightInd/>
              <w:snapToGrid/>
              <w:ind w:firstLine="0" w:firstLineChars="0"/>
              <w:jc w:val="center"/>
              <w:rPr>
                <w:rFonts w:cs="Times New Roman"/>
                <w:kern w:val="0"/>
                <w:sz w:val="18"/>
                <w:szCs w:val="18"/>
              </w:rPr>
            </w:pPr>
          </w:p>
        </w:tc>
        <w:tc>
          <w:tcPr>
            <w:tcW w:w="290" w:type="pct"/>
            <w:vAlign w:val="center"/>
          </w:tcPr>
          <w:p w14:paraId="21BA42FC">
            <w:pPr>
              <w:widowControl/>
              <w:spacing w:line="360" w:lineRule="exact"/>
              <w:ind w:firstLine="0" w:firstLineChars="0"/>
              <w:jc w:val="center"/>
              <w:rPr>
                <w:rFonts w:cs="Times New Roman"/>
                <w:kern w:val="0"/>
                <w:sz w:val="18"/>
                <w:szCs w:val="18"/>
              </w:rPr>
            </w:pPr>
            <w:r>
              <w:rPr>
                <w:rFonts w:hint="eastAsia" w:cs="Times New Roman"/>
                <w:kern w:val="0"/>
                <w:sz w:val="18"/>
                <w:szCs w:val="18"/>
              </w:rPr>
              <w:t>28</w:t>
            </w:r>
          </w:p>
        </w:tc>
        <w:tc>
          <w:tcPr>
            <w:tcW w:w="1334" w:type="pct"/>
            <w:vAlign w:val="center"/>
          </w:tcPr>
          <w:p w14:paraId="01A87599">
            <w:pPr>
              <w:widowControl/>
              <w:spacing w:line="360" w:lineRule="exact"/>
              <w:ind w:firstLine="0" w:firstLineChars="0"/>
              <w:jc w:val="center"/>
              <w:rPr>
                <w:rFonts w:cs="Times New Roman"/>
                <w:kern w:val="0"/>
                <w:sz w:val="18"/>
                <w:szCs w:val="18"/>
              </w:rPr>
            </w:pPr>
            <w:r>
              <w:rPr>
                <w:rFonts w:hint="eastAsia" w:cs="Times New Roman"/>
                <w:kern w:val="0"/>
                <w:sz w:val="18"/>
                <w:szCs w:val="20"/>
              </w:rPr>
              <w:t>大柏村</w:t>
            </w:r>
          </w:p>
        </w:tc>
        <w:tc>
          <w:tcPr>
            <w:tcW w:w="502" w:type="pct"/>
            <w:vAlign w:val="center"/>
          </w:tcPr>
          <w:p w14:paraId="36B41CF7">
            <w:pPr>
              <w:widowControl/>
              <w:spacing w:line="360" w:lineRule="exact"/>
              <w:ind w:firstLine="0" w:firstLineChars="0"/>
              <w:jc w:val="center"/>
              <w:rPr>
                <w:rFonts w:cs="Times New Roman"/>
                <w:kern w:val="0"/>
                <w:sz w:val="18"/>
                <w:szCs w:val="18"/>
              </w:rPr>
            </w:pPr>
            <w:r>
              <w:rPr>
                <w:rFonts w:cs="Times New Roman"/>
                <w:kern w:val="0"/>
                <w:sz w:val="18"/>
                <w:szCs w:val="20"/>
              </w:rPr>
              <w:t>NE</w:t>
            </w:r>
          </w:p>
        </w:tc>
        <w:tc>
          <w:tcPr>
            <w:tcW w:w="605" w:type="pct"/>
            <w:vAlign w:val="center"/>
          </w:tcPr>
          <w:p w14:paraId="36C7F3EB">
            <w:pPr>
              <w:widowControl/>
              <w:spacing w:line="360" w:lineRule="exact"/>
              <w:ind w:firstLine="0" w:firstLineChars="0"/>
              <w:jc w:val="center"/>
              <w:rPr>
                <w:rFonts w:cs="Times New Roman"/>
                <w:kern w:val="0"/>
                <w:sz w:val="18"/>
                <w:szCs w:val="18"/>
              </w:rPr>
            </w:pPr>
            <w:r>
              <w:rPr>
                <w:rFonts w:hint="eastAsia" w:cs="Times New Roman"/>
                <w:kern w:val="0"/>
                <w:sz w:val="18"/>
                <w:szCs w:val="20"/>
              </w:rPr>
              <w:t>3670</w:t>
            </w:r>
          </w:p>
        </w:tc>
        <w:tc>
          <w:tcPr>
            <w:tcW w:w="859" w:type="pct"/>
            <w:vAlign w:val="center"/>
          </w:tcPr>
          <w:p w14:paraId="2FE5488D">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0A1D1C52">
            <w:pPr>
              <w:widowControl/>
              <w:spacing w:line="360" w:lineRule="exact"/>
              <w:ind w:firstLine="0" w:firstLineChars="0"/>
              <w:jc w:val="center"/>
              <w:rPr>
                <w:rFonts w:cs="Times New Roman"/>
                <w:kern w:val="0"/>
                <w:sz w:val="18"/>
                <w:szCs w:val="18"/>
              </w:rPr>
            </w:pPr>
            <w:r>
              <w:rPr>
                <w:rFonts w:cs="Times New Roman"/>
                <w:kern w:val="0"/>
                <w:sz w:val="18"/>
                <w:szCs w:val="20"/>
              </w:rPr>
              <w:t>130</w:t>
            </w:r>
            <w:r>
              <w:rPr>
                <w:rFonts w:hint="eastAsia" w:cs="Times New Roman"/>
                <w:kern w:val="0"/>
                <w:sz w:val="18"/>
                <w:szCs w:val="20"/>
              </w:rPr>
              <w:t>人</w:t>
            </w:r>
          </w:p>
        </w:tc>
      </w:tr>
      <w:tr w14:paraId="3E609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DC6AA46">
            <w:pPr>
              <w:widowControl/>
              <w:adjustRightInd/>
              <w:snapToGrid/>
              <w:ind w:firstLine="0" w:firstLineChars="0"/>
              <w:jc w:val="center"/>
              <w:rPr>
                <w:rFonts w:cs="Times New Roman"/>
                <w:kern w:val="0"/>
                <w:sz w:val="18"/>
                <w:szCs w:val="18"/>
              </w:rPr>
            </w:pPr>
          </w:p>
        </w:tc>
        <w:tc>
          <w:tcPr>
            <w:tcW w:w="290" w:type="pct"/>
            <w:vAlign w:val="center"/>
          </w:tcPr>
          <w:p w14:paraId="497F38AA">
            <w:pPr>
              <w:widowControl/>
              <w:spacing w:line="360" w:lineRule="exact"/>
              <w:ind w:firstLine="0" w:firstLineChars="0"/>
              <w:jc w:val="center"/>
              <w:rPr>
                <w:rFonts w:cs="Times New Roman"/>
                <w:kern w:val="0"/>
                <w:sz w:val="18"/>
                <w:szCs w:val="18"/>
              </w:rPr>
            </w:pPr>
            <w:r>
              <w:rPr>
                <w:rFonts w:hint="eastAsia" w:cs="Times New Roman"/>
                <w:kern w:val="0"/>
                <w:sz w:val="18"/>
                <w:szCs w:val="18"/>
              </w:rPr>
              <w:t>29</w:t>
            </w:r>
          </w:p>
        </w:tc>
        <w:tc>
          <w:tcPr>
            <w:tcW w:w="1334" w:type="pct"/>
            <w:vAlign w:val="center"/>
          </w:tcPr>
          <w:p w14:paraId="30ADA7B4">
            <w:pPr>
              <w:widowControl/>
              <w:spacing w:line="360" w:lineRule="exact"/>
              <w:ind w:firstLine="0" w:firstLineChars="0"/>
              <w:jc w:val="center"/>
              <w:rPr>
                <w:rFonts w:cs="Times New Roman"/>
                <w:kern w:val="0"/>
                <w:sz w:val="18"/>
                <w:szCs w:val="18"/>
              </w:rPr>
            </w:pPr>
            <w:r>
              <w:rPr>
                <w:rFonts w:hint="eastAsia" w:cs="Times New Roman"/>
                <w:kern w:val="0"/>
                <w:sz w:val="18"/>
                <w:szCs w:val="20"/>
              </w:rPr>
              <w:t>丽豪佳园</w:t>
            </w:r>
          </w:p>
        </w:tc>
        <w:tc>
          <w:tcPr>
            <w:tcW w:w="502" w:type="pct"/>
            <w:vAlign w:val="center"/>
          </w:tcPr>
          <w:p w14:paraId="110764FB">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63B9BAB0">
            <w:pPr>
              <w:widowControl/>
              <w:spacing w:line="360" w:lineRule="exact"/>
              <w:ind w:firstLine="0" w:firstLineChars="0"/>
              <w:jc w:val="center"/>
              <w:rPr>
                <w:rFonts w:cs="Times New Roman"/>
                <w:kern w:val="0"/>
                <w:sz w:val="18"/>
                <w:szCs w:val="18"/>
              </w:rPr>
            </w:pPr>
            <w:r>
              <w:rPr>
                <w:rFonts w:hint="eastAsia" w:cs="Times New Roman"/>
                <w:kern w:val="0"/>
                <w:sz w:val="18"/>
                <w:szCs w:val="20"/>
              </w:rPr>
              <w:t>249</w:t>
            </w:r>
            <w:r>
              <w:rPr>
                <w:rFonts w:cs="Times New Roman"/>
                <w:kern w:val="0"/>
                <w:sz w:val="18"/>
                <w:szCs w:val="20"/>
              </w:rPr>
              <w:t>0</w:t>
            </w:r>
          </w:p>
        </w:tc>
        <w:tc>
          <w:tcPr>
            <w:tcW w:w="859" w:type="pct"/>
            <w:vAlign w:val="center"/>
          </w:tcPr>
          <w:p w14:paraId="673BD30B">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D1C366B">
            <w:pPr>
              <w:widowControl/>
              <w:spacing w:line="360" w:lineRule="exact"/>
              <w:ind w:firstLine="0" w:firstLineChars="0"/>
              <w:jc w:val="center"/>
              <w:rPr>
                <w:rFonts w:cs="Times New Roman"/>
                <w:kern w:val="0"/>
                <w:sz w:val="18"/>
                <w:szCs w:val="18"/>
              </w:rPr>
            </w:pPr>
            <w:r>
              <w:rPr>
                <w:rFonts w:hint="eastAsia" w:cs="Times New Roman"/>
                <w:kern w:val="0"/>
                <w:sz w:val="18"/>
                <w:szCs w:val="20"/>
              </w:rPr>
              <w:t>1000人</w:t>
            </w:r>
          </w:p>
        </w:tc>
      </w:tr>
      <w:tr w14:paraId="2CF4A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A7B124F">
            <w:pPr>
              <w:widowControl/>
              <w:adjustRightInd/>
              <w:snapToGrid/>
              <w:ind w:firstLine="0" w:firstLineChars="0"/>
              <w:jc w:val="center"/>
              <w:rPr>
                <w:rFonts w:cs="Times New Roman"/>
                <w:kern w:val="0"/>
                <w:sz w:val="18"/>
                <w:szCs w:val="18"/>
              </w:rPr>
            </w:pPr>
          </w:p>
        </w:tc>
        <w:tc>
          <w:tcPr>
            <w:tcW w:w="290" w:type="pct"/>
            <w:vAlign w:val="center"/>
          </w:tcPr>
          <w:p w14:paraId="7E7A17B1">
            <w:pPr>
              <w:widowControl/>
              <w:spacing w:line="360" w:lineRule="exact"/>
              <w:ind w:firstLine="0" w:firstLineChars="0"/>
              <w:jc w:val="center"/>
              <w:rPr>
                <w:rFonts w:cs="Times New Roman"/>
                <w:kern w:val="0"/>
                <w:sz w:val="18"/>
                <w:szCs w:val="18"/>
              </w:rPr>
            </w:pPr>
            <w:r>
              <w:rPr>
                <w:rFonts w:hint="eastAsia" w:cs="Times New Roman"/>
                <w:kern w:val="0"/>
                <w:sz w:val="18"/>
                <w:szCs w:val="18"/>
              </w:rPr>
              <w:t>30</w:t>
            </w:r>
          </w:p>
        </w:tc>
        <w:tc>
          <w:tcPr>
            <w:tcW w:w="1334" w:type="pct"/>
            <w:vAlign w:val="center"/>
          </w:tcPr>
          <w:p w14:paraId="2CEBEDF1">
            <w:pPr>
              <w:widowControl/>
              <w:spacing w:line="360" w:lineRule="exact"/>
              <w:ind w:firstLine="0" w:firstLineChars="0"/>
              <w:jc w:val="center"/>
              <w:rPr>
                <w:rFonts w:cs="Times New Roman"/>
                <w:kern w:val="0"/>
                <w:sz w:val="18"/>
                <w:szCs w:val="18"/>
              </w:rPr>
            </w:pPr>
            <w:r>
              <w:rPr>
                <w:rFonts w:hint="eastAsia" w:cs="Times New Roman"/>
                <w:kern w:val="0"/>
                <w:sz w:val="18"/>
                <w:szCs w:val="20"/>
              </w:rPr>
              <w:t>小</w:t>
            </w:r>
            <w:r>
              <w:rPr>
                <w:rFonts w:cs="Times New Roman"/>
                <w:kern w:val="0"/>
                <w:sz w:val="18"/>
                <w:szCs w:val="20"/>
              </w:rPr>
              <w:t>朱家</w:t>
            </w:r>
          </w:p>
        </w:tc>
        <w:tc>
          <w:tcPr>
            <w:tcW w:w="502" w:type="pct"/>
            <w:vAlign w:val="center"/>
          </w:tcPr>
          <w:p w14:paraId="72140E24">
            <w:pPr>
              <w:widowControl/>
              <w:spacing w:line="360" w:lineRule="exact"/>
              <w:ind w:firstLine="0" w:firstLineChars="0"/>
              <w:jc w:val="center"/>
              <w:rPr>
                <w:rFonts w:cs="Times New Roman"/>
                <w:kern w:val="0"/>
                <w:sz w:val="18"/>
                <w:szCs w:val="18"/>
              </w:rPr>
            </w:pPr>
            <w:r>
              <w:rPr>
                <w:rFonts w:hint="eastAsia" w:cs="Times New Roman"/>
                <w:kern w:val="0"/>
                <w:sz w:val="18"/>
                <w:szCs w:val="20"/>
              </w:rPr>
              <w:t>SW</w:t>
            </w:r>
          </w:p>
        </w:tc>
        <w:tc>
          <w:tcPr>
            <w:tcW w:w="605" w:type="pct"/>
            <w:vAlign w:val="center"/>
          </w:tcPr>
          <w:p w14:paraId="066F61E2">
            <w:pPr>
              <w:widowControl/>
              <w:spacing w:line="360" w:lineRule="exact"/>
              <w:ind w:firstLine="0" w:firstLineChars="0"/>
              <w:jc w:val="center"/>
              <w:rPr>
                <w:rFonts w:cs="Times New Roman"/>
                <w:kern w:val="0"/>
                <w:sz w:val="18"/>
                <w:szCs w:val="18"/>
              </w:rPr>
            </w:pPr>
            <w:r>
              <w:rPr>
                <w:rFonts w:hint="eastAsia" w:cs="Times New Roman"/>
                <w:kern w:val="0"/>
                <w:sz w:val="18"/>
                <w:szCs w:val="20"/>
              </w:rPr>
              <w:t>253</w:t>
            </w:r>
            <w:r>
              <w:rPr>
                <w:rFonts w:cs="Times New Roman"/>
                <w:kern w:val="0"/>
                <w:sz w:val="18"/>
                <w:szCs w:val="20"/>
              </w:rPr>
              <w:t>0</w:t>
            </w:r>
          </w:p>
        </w:tc>
        <w:tc>
          <w:tcPr>
            <w:tcW w:w="859" w:type="pct"/>
            <w:vAlign w:val="center"/>
          </w:tcPr>
          <w:p w14:paraId="7A0AD6AB">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0CDA4779">
            <w:pPr>
              <w:widowControl/>
              <w:spacing w:line="360" w:lineRule="exact"/>
              <w:ind w:firstLine="0" w:firstLineChars="0"/>
              <w:jc w:val="center"/>
              <w:rPr>
                <w:rFonts w:cs="Times New Roman"/>
                <w:kern w:val="0"/>
                <w:sz w:val="18"/>
                <w:szCs w:val="18"/>
              </w:rPr>
            </w:pPr>
            <w:r>
              <w:rPr>
                <w:rFonts w:hint="eastAsia" w:cs="Times New Roman"/>
                <w:kern w:val="0"/>
                <w:sz w:val="18"/>
                <w:szCs w:val="20"/>
              </w:rPr>
              <w:t>109人</w:t>
            </w:r>
          </w:p>
        </w:tc>
      </w:tr>
      <w:tr w14:paraId="5B6EB9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1FA7A22">
            <w:pPr>
              <w:widowControl/>
              <w:adjustRightInd/>
              <w:snapToGrid/>
              <w:ind w:firstLine="0" w:firstLineChars="0"/>
              <w:jc w:val="center"/>
              <w:rPr>
                <w:rFonts w:cs="Times New Roman"/>
                <w:kern w:val="0"/>
                <w:sz w:val="18"/>
                <w:szCs w:val="18"/>
              </w:rPr>
            </w:pPr>
          </w:p>
        </w:tc>
        <w:tc>
          <w:tcPr>
            <w:tcW w:w="290" w:type="pct"/>
            <w:vAlign w:val="center"/>
          </w:tcPr>
          <w:p w14:paraId="412C3129">
            <w:pPr>
              <w:widowControl/>
              <w:spacing w:line="360" w:lineRule="exact"/>
              <w:ind w:firstLine="0" w:firstLineChars="0"/>
              <w:jc w:val="center"/>
              <w:rPr>
                <w:rFonts w:cs="Times New Roman"/>
                <w:kern w:val="0"/>
                <w:sz w:val="18"/>
                <w:szCs w:val="18"/>
              </w:rPr>
            </w:pPr>
            <w:r>
              <w:rPr>
                <w:rFonts w:hint="eastAsia" w:cs="Times New Roman"/>
                <w:kern w:val="0"/>
                <w:sz w:val="18"/>
                <w:szCs w:val="18"/>
              </w:rPr>
              <w:t>31</w:t>
            </w:r>
          </w:p>
        </w:tc>
        <w:tc>
          <w:tcPr>
            <w:tcW w:w="1334" w:type="pct"/>
            <w:vAlign w:val="center"/>
          </w:tcPr>
          <w:p w14:paraId="5766BE52">
            <w:pPr>
              <w:widowControl/>
              <w:spacing w:line="360" w:lineRule="exact"/>
              <w:ind w:firstLine="0" w:firstLineChars="0"/>
              <w:jc w:val="center"/>
              <w:rPr>
                <w:rFonts w:cs="Times New Roman"/>
                <w:kern w:val="0"/>
                <w:sz w:val="18"/>
                <w:szCs w:val="18"/>
              </w:rPr>
            </w:pPr>
            <w:r>
              <w:rPr>
                <w:rFonts w:hint="eastAsia" w:cs="Times New Roman"/>
                <w:kern w:val="0"/>
                <w:sz w:val="18"/>
                <w:szCs w:val="20"/>
              </w:rPr>
              <w:t>团结村</w:t>
            </w:r>
          </w:p>
        </w:tc>
        <w:tc>
          <w:tcPr>
            <w:tcW w:w="502" w:type="pct"/>
            <w:vAlign w:val="center"/>
          </w:tcPr>
          <w:p w14:paraId="1BA0341F">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6BFC450D">
            <w:pPr>
              <w:widowControl/>
              <w:spacing w:line="360" w:lineRule="exact"/>
              <w:ind w:firstLine="0" w:firstLineChars="0"/>
              <w:jc w:val="center"/>
              <w:rPr>
                <w:rFonts w:cs="Times New Roman"/>
                <w:kern w:val="0"/>
                <w:sz w:val="18"/>
                <w:szCs w:val="18"/>
              </w:rPr>
            </w:pPr>
            <w:r>
              <w:rPr>
                <w:rFonts w:cs="Times New Roman"/>
                <w:kern w:val="0"/>
                <w:sz w:val="18"/>
                <w:szCs w:val="20"/>
              </w:rPr>
              <w:t>2990</w:t>
            </w:r>
          </w:p>
        </w:tc>
        <w:tc>
          <w:tcPr>
            <w:tcW w:w="859" w:type="pct"/>
            <w:vAlign w:val="center"/>
          </w:tcPr>
          <w:p w14:paraId="47F201FA">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2A42B035">
            <w:pPr>
              <w:widowControl/>
              <w:spacing w:line="360" w:lineRule="exact"/>
              <w:ind w:firstLine="0" w:firstLineChars="0"/>
              <w:jc w:val="center"/>
              <w:rPr>
                <w:rFonts w:cs="Times New Roman"/>
                <w:kern w:val="0"/>
                <w:sz w:val="18"/>
                <w:szCs w:val="18"/>
              </w:rPr>
            </w:pPr>
            <w:r>
              <w:rPr>
                <w:rFonts w:hint="eastAsia" w:cs="Times New Roman"/>
                <w:kern w:val="0"/>
                <w:sz w:val="18"/>
                <w:szCs w:val="20"/>
              </w:rPr>
              <w:t>400人</w:t>
            </w:r>
          </w:p>
        </w:tc>
      </w:tr>
      <w:tr w14:paraId="00FDA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1D5BBD9">
            <w:pPr>
              <w:widowControl/>
              <w:adjustRightInd/>
              <w:snapToGrid/>
              <w:ind w:firstLine="0" w:firstLineChars="0"/>
              <w:jc w:val="center"/>
              <w:rPr>
                <w:rFonts w:cs="Times New Roman"/>
                <w:kern w:val="0"/>
                <w:sz w:val="18"/>
                <w:szCs w:val="18"/>
              </w:rPr>
            </w:pPr>
          </w:p>
        </w:tc>
        <w:tc>
          <w:tcPr>
            <w:tcW w:w="290" w:type="pct"/>
            <w:vAlign w:val="center"/>
          </w:tcPr>
          <w:p w14:paraId="3F944ECC">
            <w:pPr>
              <w:widowControl/>
              <w:spacing w:line="360" w:lineRule="exact"/>
              <w:ind w:firstLine="0" w:firstLineChars="0"/>
              <w:jc w:val="center"/>
              <w:rPr>
                <w:rFonts w:cs="Times New Roman"/>
                <w:kern w:val="0"/>
                <w:sz w:val="18"/>
                <w:szCs w:val="18"/>
              </w:rPr>
            </w:pPr>
            <w:r>
              <w:rPr>
                <w:rFonts w:hint="eastAsia" w:cs="Times New Roman"/>
                <w:kern w:val="0"/>
                <w:sz w:val="18"/>
                <w:szCs w:val="18"/>
              </w:rPr>
              <w:t>32</w:t>
            </w:r>
          </w:p>
        </w:tc>
        <w:tc>
          <w:tcPr>
            <w:tcW w:w="1334" w:type="pct"/>
            <w:vAlign w:val="center"/>
          </w:tcPr>
          <w:p w14:paraId="379FAF38">
            <w:pPr>
              <w:widowControl/>
              <w:spacing w:line="360" w:lineRule="exact"/>
              <w:ind w:firstLine="0" w:firstLineChars="0"/>
              <w:jc w:val="center"/>
              <w:rPr>
                <w:rFonts w:cs="Times New Roman"/>
                <w:kern w:val="0"/>
                <w:sz w:val="18"/>
                <w:szCs w:val="18"/>
              </w:rPr>
            </w:pPr>
            <w:r>
              <w:rPr>
                <w:rFonts w:hint="eastAsia" w:cs="Times New Roman"/>
                <w:kern w:val="0"/>
                <w:sz w:val="18"/>
                <w:szCs w:val="20"/>
              </w:rPr>
              <w:t>小王家</w:t>
            </w:r>
          </w:p>
        </w:tc>
        <w:tc>
          <w:tcPr>
            <w:tcW w:w="502" w:type="pct"/>
            <w:vAlign w:val="center"/>
          </w:tcPr>
          <w:p w14:paraId="0411B949">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36FDD300">
            <w:pPr>
              <w:widowControl/>
              <w:spacing w:line="360" w:lineRule="exact"/>
              <w:ind w:firstLine="0" w:firstLineChars="0"/>
              <w:jc w:val="center"/>
              <w:rPr>
                <w:rFonts w:cs="Times New Roman"/>
                <w:kern w:val="0"/>
                <w:sz w:val="18"/>
                <w:szCs w:val="18"/>
              </w:rPr>
            </w:pPr>
            <w:r>
              <w:rPr>
                <w:rFonts w:hint="eastAsia" w:cs="Times New Roman"/>
                <w:kern w:val="0"/>
                <w:sz w:val="18"/>
                <w:szCs w:val="20"/>
              </w:rPr>
              <w:t>3840</w:t>
            </w:r>
          </w:p>
        </w:tc>
        <w:tc>
          <w:tcPr>
            <w:tcW w:w="859" w:type="pct"/>
            <w:vAlign w:val="center"/>
          </w:tcPr>
          <w:p w14:paraId="42948AA8">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79818D6">
            <w:pPr>
              <w:widowControl/>
              <w:spacing w:line="360" w:lineRule="exact"/>
              <w:ind w:firstLine="0" w:firstLineChars="0"/>
              <w:jc w:val="center"/>
              <w:rPr>
                <w:rFonts w:cs="Times New Roman"/>
                <w:kern w:val="0"/>
                <w:sz w:val="18"/>
                <w:szCs w:val="18"/>
              </w:rPr>
            </w:pPr>
            <w:r>
              <w:rPr>
                <w:rFonts w:hint="eastAsia" w:cs="Times New Roman"/>
                <w:kern w:val="0"/>
                <w:sz w:val="18"/>
                <w:szCs w:val="20"/>
              </w:rPr>
              <w:t>300人</w:t>
            </w:r>
          </w:p>
        </w:tc>
      </w:tr>
      <w:tr w14:paraId="4E684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CFDC25D">
            <w:pPr>
              <w:widowControl/>
              <w:adjustRightInd/>
              <w:snapToGrid/>
              <w:ind w:firstLine="0" w:firstLineChars="0"/>
              <w:jc w:val="center"/>
              <w:rPr>
                <w:rFonts w:cs="Times New Roman"/>
                <w:kern w:val="0"/>
                <w:sz w:val="18"/>
                <w:szCs w:val="18"/>
              </w:rPr>
            </w:pPr>
          </w:p>
        </w:tc>
        <w:tc>
          <w:tcPr>
            <w:tcW w:w="290" w:type="pct"/>
            <w:vAlign w:val="center"/>
          </w:tcPr>
          <w:p w14:paraId="4E163490">
            <w:pPr>
              <w:widowControl/>
              <w:spacing w:line="360" w:lineRule="exact"/>
              <w:ind w:firstLine="0" w:firstLineChars="0"/>
              <w:jc w:val="center"/>
              <w:rPr>
                <w:rFonts w:cs="Times New Roman"/>
                <w:kern w:val="0"/>
                <w:sz w:val="18"/>
                <w:szCs w:val="18"/>
              </w:rPr>
            </w:pPr>
            <w:r>
              <w:rPr>
                <w:rFonts w:hint="eastAsia" w:cs="Times New Roman"/>
                <w:kern w:val="0"/>
                <w:sz w:val="18"/>
                <w:szCs w:val="18"/>
              </w:rPr>
              <w:t>33</w:t>
            </w:r>
          </w:p>
        </w:tc>
        <w:tc>
          <w:tcPr>
            <w:tcW w:w="1334" w:type="pct"/>
            <w:vAlign w:val="center"/>
          </w:tcPr>
          <w:p w14:paraId="44EB684B">
            <w:pPr>
              <w:widowControl/>
              <w:spacing w:line="360" w:lineRule="exact"/>
              <w:ind w:firstLine="0" w:firstLineChars="0"/>
              <w:jc w:val="center"/>
              <w:rPr>
                <w:rFonts w:cs="Times New Roman"/>
                <w:kern w:val="0"/>
                <w:sz w:val="18"/>
                <w:szCs w:val="18"/>
              </w:rPr>
            </w:pPr>
            <w:r>
              <w:rPr>
                <w:rFonts w:hint="eastAsia" w:cs="Times New Roman"/>
                <w:kern w:val="0"/>
                <w:sz w:val="18"/>
                <w:szCs w:val="20"/>
              </w:rPr>
              <w:t>牛洼</w:t>
            </w:r>
          </w:p>
        </w:tc>
        <w:tc>
          <w:tcPr>
            <w:tcW w:w="502" w:type="pct"/>
            <w:vAlign w:val="center"/>
          </w:tcPr>
          <w:p w14:paraId="160CDDAA">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06A08320">
            <w:pPr>
              <w:widowControl/>
              <w:spacing w:line="360" w:lineRule="exact"/>
              <w:ind w:firstLine="0" w:firstLineChars="0"/>
              <w:jc w:val="center"/>
              <w:rPr>
                <w:rFonts w:cs="Times New Roman"/>
                <w:kern w:val="0"/>
                <w:sz w:val="18"/>
                <w:szCs w:val="18"/>
              </w:rPr>
            </w:pPr>
            <w:r>
              <w:rPr>
                <w:rFonts w:hint="eastAsia" w:cs="Times New Roman"/>
                <w:kern w:val="0"/>
                <w:sz w:val="18"/>
                <w:szCs w:val="20"/>
              </w:rPr>
              <w:t>4500</w:t>
            </w:r>
          </w:p>
        </w:tc>
        <w:tc>
          <w:tcPr>
            <w:tcW w:w="859" w:type="pct"/>
            <w:vAlign w:val="center"/>
          </w:tcPr>
          <w:p w14:paraId="56D31739">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B2ED32D">
            <w:pPr>
              <w:widowControl/>
              <w:spacing w:line="360" w:lineRule="exact"/>
              <w:ind w:firstLine="0" w:firstLineChars="0"/>
              <w:jc w:val="center"/>
              <w:rPr>
                <w:rFonts w:cs="Times New Roman"/>
                <w:kern w:val="0"/>
                <w:sz w:val="18"/>
                <w:szCs w:val="18"/>
              </w:rPr>
            </w:pPr>
            <w:r>
              <w:rPr>
                <w:rFonts w:hint="eastAsia" w:cs="Times New Roman"/>
                <w:kern w:val="0"/>
                <w:sz w:val="18"/>
                <w:szCs w:val="20"/>
              </w:rPr>
              <w:t>600人</w:t>
            </w:r>
          </w:p>
        </w:tc>
      </w:tr>
      <w:tr w14:paraId="58A44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277AD27">
            <w:pPr>
              <w:widowControl/>
              <w:adjustRightInd/>
              <w:snapToGrid/>
              <w:ind w:firstLine="0" w:firstLineChars="0"/>
              <w:jc w:val="center"/>
              <w:rPr>
                <w:rFonts w:cs="Times New Roman"/>
                <w:kern w:val="0"/>
                <w:sz w:val="18"/>
                <w:szCs w:val="18"/>
              </w:rPr>
            </w:pPr>
          </w:p>
        </w:tc>
        <w:tc>
          <w:tcPr>
            <w:tcW w:w="290" w:type="pct"/>
            <w:vAlign w:val="center"/>
          </w:tcPr>
          <w:p w14:paraId="143A6E76">
            <w:pPr>
              <w:widowControl/>
              <w:spacing w:line="360" w:lineRule="exact"/>
              <w:ind w:firstLine="0" w:firstLineChars="0"/>
              <w:jc w:val="center"/>
              <w:rPr>
                <w:rFonts w:cs="Times New Roman"/>
                <w:kern w:val="0"/>
                <w:sz w:val="18"/>
                <w:szCs w:val="18"/>
              </w:rPr>
            </w:pPr>
            <w:r>
              <w:rPr>
                <w:rFonts w:hint="eastAsia" w:cs="Times New Roman"/>
                <w:kern w:val="0"/>
                <w:sz w:val="18"/>
                <w:szCs w:val="18"/>
              </w:rPr>
              <w:t>34</w:t>
            </w:r>
          </w:p>
        </w:tc>
        <w:tc>
          <w:tcPr>
            <w:tcW w:w="1334" w:type="pct"/>
            <w:vAlign w:val="center"/>
          </w:tcPr>
          <w:p w14:paraId="20AC6EAC">
            <w:pPr>
              <w:widowControl/>
              <w:spacing w:line="360" w:lineRule="exact"/>
              <w:ind w:firstLine="0" w:firstLineChars="0"/>
              <w:jc w:val="center"/>
              <w:rPr>
                <w:rFonts w:cs="Times New Roman"/>
                <w:kern w:val="0"/>
                <w:sz w:val="18"/>
                <w:szCs w:val="18"/>
              </w:rPr>
            </w:pPr>
            <w:r>
              <w:rPr>
                <w:rFonts w:hint="eastAsia" w:cs="Times New Roman"/>
                <w:kern w:val="0"/>
                <w:sz w:val="18"/>
                <w:szCs w:val="20"/>
              </w:rPr>
              <w:t>邢家</w:t>
            </w:r>
          </w:p>
        </w:tc>
        <w:tc>
          <w:tcPr>
            <w:tcW w:w="502" w:type="pct"/>
            <w:vAlign w:val="center"/>
          </w:tcPr>
          <w:p w14:paraId="121E931B">
            <w:pPr>
              <w:widowControl/>
              <w:spacing w:line="360" w:lineRule="exact"/>
              <w:ind w:firstLine="0" w:firstLineChars="0"/>
              <w:jc w:val="center"/>
              <w:rPr>
                <w:rFonts w:cs="Times New Roman"/>
                <w:kern w:val="0"/>
                <w:sz w:val="18"/>
                <w:szCs w:val="18"/>
              </w:rPr>
            </w:pPr>
            <w:r>
              <w:rPr>
                <w:rFonts w:hint="eastAsia" w:cs="Times New Roman"/>
                <w:kern w:val="0"/>
                <w:sz w:val="18"/>
                <w:szCs w:val="20"/>
              </w:rPr>
              <w:t>NE</w:t>
            </w:r>
          </w:p>
        </w:tc>
        <w:tc>
          <w:tcPr>
            <w:tcW w:w="605" w:type="pct"/>
            <w:vAlign w:val="center"/>
          </w:tcPr>
          <w:p w14:paraId="39FE2563">
            <w:pPr>
              <w:widowControl/>
              <w:spacing w:line="360" w:lineRule="exact"/>
              <w:ind w:firstLine="0" w:firstLineChars="0"/>
              <w:jc w:val="center"/>
              <w:rPr>
                <w:rFonts w:cs="Times New Roman"/>
                <w:kern w:val="0"/>
                <w:sz w:val="18"/>
                <w:szCs w:val="18"/>
              </w:rPr>
            </w:pPr>
            <w:r>
              <w:rPr>
                <w:rFonts w:hint="eastAsia" w:cs="Times New Roman"/>
                <w:kern w:val="0"/>
                <w:sz w:val="18"/>
                <w:szCs w:val="20"/>
              </w:rPr>
              <w:t>4</w:t>
            </w:r>
            <w:r>
              <w:rPr>
                <w:rFonts w:cs="Times New Roman"/>
                <w:kern w:val="0"/>
                <w:sz w:val="18"/>
                <w:szCs w:val="20"/>
              </w:rPr>
              <w:t>030</w:t>
            </w:r>
          </w:p>
        </w:tc>
        <w:tc>
          <w:tcPr>
            <w:tcW w:w="859" w:type="pct"/>
            <w:vAlign w:val="center"/>
          </w:tcPr>
          <w:p w14:paraId="65ED11BE">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2CE8A80">
            <w:pPr>
              <w:widowControl/>
              <w:spacing w:line="360" w:lineRule="exact"/>
              <w:ind w:firstLine="0" w:firstLineChars="0"/>
              <w:jc w:val="center"/>
              <w:rPr>
                <w:rFonts w:cs="Times New Roman"/>
                <w:kern w:val="0"/>
                <w:sz w:val="18"/>
                <w:szCs w:val="18"/>
              </w:rPr>
            </w:pPr>
            <w:r>
              <w:rPr>
                <w:rFonts w:hint="eastAsia" w:cs="Times New Roman"/>
                <w:kern w:val="0"/>
                <w:sz w:val="18"/>
                <w:szCs w:val="20"/>
              </w:rPr>
              <w:t>500人</w:t>
            </w:r>
          </w:p>
        </w:tc>
      </w:tr>
      <w:tr w14:paraId="36086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04ED6DE">
            <w:pPr>
              <w:widowControl/>
              <w:adjustRightInd/>
              <w:snapToGrid/>
              <w:ind w:firstLine="0" w:firstLineChars="0"/>
              <w:jc w:val="center"/>
              <w:rPr>
                <w:rFonts w:cs="Times New Roman"/>
                <w:kern w:val="0"/>
                <w:sz w:val="18"/>
                <w:szCs w:val="18"/>
              </w:rPr>
            </w:pPr>
          </w:p>
        </w:tc>
        <w:tc>
          <w:tcPr>
            <w:tcW w:w="290" w:type="pct"/>
            <w:vAlign w:val="center"/>
          </w:tcPr>
          <w:p w14:paraId="5B95DFB5">
            <w:pPr>
              <w:widowControl/>
              <w:spacing w:line="360" w:lineRule="exact"/>
              <w:ind w:firstLine="0" w:firstLineChars="0"/>
              <w:jc w:val="center"/>
              <w:rPr>
                <w:rFonts w:cs="Times New Roman"/>
                <w:kern w:val="0"/>
                <w:sz w:val="18"/>
                <w:szCs w:val="18"/>
              </w:rPr>
            </w:pPr>
            <w:r>
              <w:rPr>
                <w:rFonts w:hint="eastAsia" w:cs="Times New Roman"/>
                <w:kern w:val="0"/>
                <w:sz w:val="18"/>
                <w:szCs w:val="18"/>
              </w:rPr>
              <w:t>35</w:t>
            </w:r>
          </w:p>
        </w:tc>
        <w:tc>
          <w:tcPr>
            <w:tcW w:w="1334" w:type="pct"/>
            <w:vAlign w:val="center"/>
          </w:tcPr>
          <w:p w14:paraId="1FB41386">
            <w:pPr>
              <w:widowControl/>
              <w:spacing w:line="360" w:lineRule="exact"/>
              <w:ind w:firstLine="0" w:firstLineChars="0"/>
              <w:jc w:val="center"/>
              <w:rPr>
                <w:rFonts w:cs="Times New Roman"/>
                <w:kern w:val="0"/>
                <w:sz w:val="18"/>
                <w:szCs w:val="18"/>
              </w:rPr>
            </w:pPr>
            <w:r>
              <w:rPr>
                <w:rFonts w:hint="eastAsia" w:cs="Times New Roman"/>
                <w:kern w:val="0"/>
                <w:sz w:val="18"/>
                <w:szCs w:val="20"/>
              </w:rPr>
              <w:t>汪邢村</w:t>
            </w:r>
          </w:p>
        </w:tc>
        <w:tc>
          <w:tcPr>
            <w:tcW w:w="502" w:type="pct"/>
            <w:vAlign w:val="center"/>
          </w:tcPr>
          <w:p w14:paraId="5A5DBD51">
            <w:pPr>
              <w:widowControl/>
              <w:spacing w:line="360" w:lineRule="exact"/>
              <w:ind w:firstLine="0" w:firstLineChars="0"/>
              <w:jc w:val="center"/>
              <w:rPr>
                <w:rFonts w:cs="Times New Roman"/>
                <w:kern w:val="0"/>
                <w:sz w:val="18"/>
                <w:szCs w:val="18"/>
              </w:rPr>
            </w:pPr>
            <w:r>
              <w:rPr>
                <w:rFonts w:hint="eastAsia" w:cs="Times New Roman"/>
                <w:kern w:val="0"/>
                <w:sz w:val="18"/>
                <w:szCs w:val="20"/>
              </w:rPr>
              <w:t>NE</w:t>
            </w:r>
          </w:p>
        </w:tc>
        <w:tc>
          <w:tcPr>
            <w:tcW w:w="605" w:type="pct"/>
            <w:vAlign w:val="center"/>
          </w:tcPr>
          <w:p w14:paraId="5934AAC2">
            <w:pPr>
              <w:widowControl/>
              <w:spacing w:line="360" w:lineRule="exact"/>
              <w:ind w:firstLine="0" w:firstLineChars="0"/>
              <w:jc w:val="center"/>
              <w:rPr>
                <w:rFonts w:cs="Times New Roman"/>
                <w:kern w:val="0"/>
                <w:sz w:val="18"/>
                <w:szCs w:val="18"/>
              </w:rPr>
            </w:pPr>
            <w:r>
              <w:rPr>
                <w:rFonts w:hint="eastAsia" w:cs="Times New Roman"/>
                <w:kern w:val="0"/>
                <w:sz w:val="18"/>
                <w:szCs w:val="20"/>
              </w:rPr>
              <w:t>4</w:t>
            </w:r>
            <w:r>
              <w:rPr>
                <w:rFonts w:cs="Times New Roman"/>
                <w:kern w:val="0"/>
                <w:sz w:val="18"/>
                <w:szCs w:val="20"/>
              </w:rPr>
              <w:t>240</w:t>
            </w:r>
          </w:p>
        </w:tc>
        <w:tc>
          <w:tcPr>
            <w:tcW w:w="859" w:type="pct"/>
            <w:vAlign w:val="center"/>
          </w:tcPr>
          <w:p w14:paraId="5487C89D">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8281DB3">
            <w:pPr>
              <w:widowControl/>
              <w:spacing w:line="360" w:lineRule="exact"/>
              <w:ind w:firstLine="0" w:firstLineChars="0"/>
              <w:jc w:val="center"/>
              <w:rPr>
                <w:rFonts w:cs="Times New Roman"/>
                <w:kern w:val="0"/>
                <w:sz w:val="18"/>
                <w:szCs w:val="18"/>
              </w:rPr>
            </w:pPr>
            <w:r>
              <w:rPr>
                <w:rFonts w:hint="eastAsia" w:cs="Times New Roman"/>
                <w:kern w:val="0"/>
                <w:sz w:val="18"/>
                <w:szCs w:val="20"/>
              </w:rPr>
              <w:t>800人</w:t>
            </w:r>
          </w:p>
        </w:tc>
      </w:tr>
      <w:tr w14:paraId="0A0C3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B67E25A">
            <w:pPr>
              <w:widowControl/>
              <w:adjustRightInd/>
              <w:snapToGrid/>
              <w:ind w:firstLine="0" w:firstLineChars="0"/>
              <w:jc w:val="center"/>
              <w:rPr>
                <w:rFonts w:cs="Times New Roman"/>
                <w:kern w:val="0"/>
                <w:sz w:val="18"/>
                <w:szCs w:val="18"/>
              </w:rPr>
            </w:pPr>
          </w:p>
        </w:tc>
        <w:tc>
          <w:tcPr>
            <w:tcW w:w="290" w:type="pct"/>
            <w:vAlign w:val="center"/>
          </w:tcPr>
          <w:p w14:paraId="5B638058">
            <w:pPr>
              <w:widowControl/>
              <w:spacing w:line="360" w:lineRule="exact"/>
              <w:ind w:firstLine="0" w:firstLineChars="0"/>
              <w:jc w:val="center"/>
              <w:rPr>
                <w:rFonts w:cs="Times New Roman"/>
                <w:kern w:val="0"/>
                <w:sz w:val="18"/>
                <w:szCs w:val="18"/>
              </w:rPr>
            </w:pPr>
            <w:r>
              <w:rPr>
                <w:rFonts w:hint="eastAsia" w:cs="Times New Roman"/>
                <w:kern w:val="0"/>
                <w:sz w:val="18"/>
                <w:szCs w:val="18"/>
              </w:rPr>
              <w:t>36</w:t>
            </w:r>
          </w:p>
        </w:tc>
        <w:tc>
          <w:tcPr>
            <w:tcW w:w="1334" w:type="pct"/>
            <w:vAlign w:val="center"/>
          </w:tcPr>
          <w:p w14:paraId="133F8E4E">
            <w:pPr>
              <w:widowControl/>
              <w:spacing w:line="360" w:lineRule="exact"/>
              <w:ind w:firstLine="0" w:firstLineChars="0"/>
              <w:jc w:val="center"/>
              <w:rPr>
                <w:rFonts w:cs="Times New Roman"/>
                <w:kern w:val="0"/>
                <w:sz w:val="18"/>
                <w:szCs w:val="18"/>
              </w:rPr>
            </w:pPr>
            <w:r>
              <w:rPr>
                <w:rFonts w:hint="eastAsia" w:cs="Times New Roman"/>
                <w:kern w:val="0"/>
                <w:sz w:val="18"/>
                <w:szCs w:val="20"/>
              </w:rPr>
              <w:t>前刘</w:t>
            </w:r>
          </w:p>
        </w:tc>
        <w:tc>
          <w:tcPr>
            <w:tcW w:w="502" w:type="pct"/>
            <w:vAlign w:val="center"/>
          </w:tcPr>
          <w:p w14:paraId="0843141D">
            <w:pPr>
              <w:widowControl/>
              <w:spacing w:line="360" w:lineRule="exact"/>
              <w:ind w:firstLine="0" w:firstLineChars="0"/>
              <w:jc w:val="center"/>
              <w:rPr>
                <w:rFonts w:cs="Times New Roman"/>
                <w:kern w:val="0"/>
                <w:sz w:val="18"/>
                <w:szCs w:val="18"/>
              </w:rPr>
            </w:pPr>
            <w:r>
              <w:rPr>
                <w:rFonts w:hint="eastAsia" w:cs="Times New Roman"/>
                <w:kern w:val="0"/>
                <w:sz w:val="18"/>
                <w:szCs w:val="20"/>
              </w:rPr>
              <w:t>NE</w:t>
            </w:r>
          </w:p>
        </w:tc>
        <w:tc>
          <w:tcPr>
            <w:tcW w:w="605" w:type="pct"/>
            <w:vAlign w:val="center"/>
          </w:tcPr>
          <w:p w14:paraId="106764D8">
            <w:pPr>
              <w:widowControl/>
              <w:spacing w:line="360" w:lineRule="exact"/>
              <w:ind w:firstLine="0" w:firstLineChars="0"/>
              <w:jc w:val="center"/>
              <w:rPr>
                <w:rFonts w:cs="Times New Roman"/>
                <w:kern w:val="0"/>
                <w:sz w:val="18"/>
                <w:szCs w:val="18"/>
              </w:rPr>
            </w:pPr>
            <w:r>
              <w:rPr>
                <w:rFonts w:cs="Times New Roman"/>
                <w:kern w:val="0"/>
                <w:sz w:val="18"/>
                <w:szCs w:val="20"/>
              </w:rPr>
              <w:t>4630</w:t>
            </w:r>
          </w:p>
        </w:tc>
        <w:tc>
          <w:tcPr>
            <w:tcW w:w="859" w:type="pct"/>
            <w:vAlign w:val="center"/>
          </w:tcPr>
          <w:p w14:paraId="699470CF">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EB893D5">
            <w:pPr>
              <w:widowControl/>
              <w:spacing w:line="360" w:lineRule="exact"/>
              <w:ind w:firstLine="0" w:firstLineChars="0"/>
              <w:jc w:val="center"/>
              <w:rPr>
                <w:rFonts w:cs="Times New Roman"/>
                <w:kern w:val="0"/>
                <w:sz w:val="18"/>
                <w:szCs w:val="18"/>
              </w:rPr>
            </w:pPr>
            <w:r>
              <w:rPr>
                <w:rFonts w:hint="eastAsia" w:cs="Times New Roman"/>
                <w:kern w:val="0"/>
                <w:sz w:val="18"/>
                <w:szCs w:val="20"/>
              </w:rPr>
              <w:t>300人</w:t>
            </w:r>
          </w:p>
        </w:tc>
      </w:tr>
      <w:tr w14:paraId="572A9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267B6E1">
            <w:pPr>
              <w:widowControl/>
              <w:adjustRightInd/>
              <w:snapToGrid/>
              <w:ind w:firstLine="0" w:firstLineChars="0"/>
              <w:jc w:val="center"/>
              <w:rPr>
                <w:rFonts w:cs="Times New Roman"/>
                <w:kern w:val="0"/>
                <w:sz w:val="18"/>
                <w:szCs w:val="18"/>
              </w:rPr>
            </w:pPr>
          </w:p>
        </w:tc>
        <w:tc>
          <w:tcPr>
            <w:tcW w:w="290" w:type="pct"/>
            <w:vAlign w:val="center"/>
          </w:tcPr>
          <w:p w14:paraId="2FDFA384">
            <w:pPr>
              <w:widowControl/>
              <w:spacing w:line="360" w:lineRule="exact"/>
              <w:ind w:firstLine="0" w:firstLineChars="0"/>
              <w:jc w:val="center"/>
              <w:rPr>
                <w:rFonts w:cs="Times New Roman"/>
                <w:kern w:val="0"/>
                <w:sz w:val="18"/>
                <w:szCs w:val="18"/>
              </w:rPr>
            </w:pPr>
            <w:r>
              <w:rPr>
                <w:rFonts w:hint="eastAsia" w:cs="Times New Roman"/>
                <w:kern w:val="0"/>
                <w:sz w:val="18"/>
                <w:szCs w:val="18"/>
              </w:rPr>
              <w:t>37</w:t>
            </w:r>
          </w:p>
        </w:tc>
        <w:tc>
          <w:tcPr>
            <w:tcW w:w="1334" w:type="pct"/>
            <w:vAlign w:val="center"/>
          </w:tcPr>
          <w:p w14:paraId="3190C743">
            <w:pPr>
              <w:widowControl/>
              <w:spacing w:line="360" w:lineRule="exact"/>
              <w:ind w:firstLine="0" w:firstLineChars="0"/>
              <w:jc w:val="center"/>
              <w:rPr>
                <w:rFonts w:cs="Times New Roman"/>
                <w:kern w:val="0"/>
                <w:sz w:val="18"/>
                <w:szCs w:val="18"/>
              </w:rPr>
            </w:pPr>
            <w:r>
              <w:rPr>
                <w:rFonts w:hint="eastAsia" w:cs="Times New Roman"/>
                <w:kern w:val="0"/>
                <w:sz w:val="18"/>
                <w:szCs w:val="20"/>
              </w:rPr>
              <w:t>邓郭</w:t>
            </w:r>
          </w:p>
        </w:tc>
        <w:tc>
          <w:tcPr>
            <w:tcW w:w="502" w:type="pct"/>
            <w:vAlign w:val="center"/>
          </w:tcPr>
          <w:p w14:paraId="1A3913AF">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1AB4D8D9">
            <w:pPr>
              <w:widowControl/>
              <w:spacing w:line="360" w:lineRule="exact"/>
              <w:ind w:firstLine="0" w:firstLineChars="0"/>
              <w:jc w:val="center"/>
              <w:rPr>
                <w:rFonts w:cs="Times New Roman"/>
                <w:kern w:val="0"/>
                <w:sz w:val="18"/>
                <w:szCs w:val="18"/>
              </w:rPr>
            </w:pPr>
            <w:r>
              <w:rPr>
                <w:rFonts w:hint="eastAsia" w:cs="Times New Roman"/>
                <w:kern w:val="0"/>
                <w:sz w:val="18"/>
                <w:szCs w:val="20"/>
              </w:rPr>
              <w:t>40</w:t>
            </w:r>
            <w:r>
              <w:rPr>
                <w:rFonts w:cs="Times New Roman"/>
                <w:kern w:val="0"/>
                <w:sz w:val="18"/>
                <w:szCs w:val="20"/>
              </w:rPr>
              <w:t>7</w:t>
            </w:r>
            <w:r>
              <w:rPr>
                <w:rFonts w:hint="eastAsia" w:cs="Times New Roman"/>
                <w:kern w:val="0"/>
                <w:sz w:val="18"/>
                <w:szCs w:val="20"/>
              </w:rPr>
              <w:t>0</w:t>
            </w:r>
          </w:p>
        </w:tc>
        <w:tc>
          <w:tcPr>
            <w:tcW w:w="859" w:type="pct"/>
            <w:vAlign w:val="center"/>
          </w:tcPr>
          <w:p w14:paraId="26EFC01F">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6AA1D15">
            <w:pPr>
              <w:widowControl/>
              <w:spacing w:line="360" w:lineRule="exact"/>
              <w:ind w:firstLine="0" w:firstLineChars="0"/>
              <w:jc w:val="center"/>
              <w:rPr>
                <w:rFonts w:cs="Times New Roman"/>
                <w:kern w:val="0"/>
                <w:sz w:val="18"/>
                <w:szCs w:val="18"/>
              </w:rPr>
            </w:pPr>
            <w:r>
              <w:rPr>
                <w:rFonts w:hint="eastAsia" w:cs="Times New Roman"/>
                <w:kern w:val="0"/>
                <w:sz w:val="18"/>
                <w:szCs w:val="20"/>
              </w:rPr>
              <w:t>600人</w:t>
            </w:r>
          </w:p>
        </w:tc>
      </w:tr>
      <w:tr w14:paraId="5087F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79C7FEE">
            <w:pPr>
              <w:widowControl/>
              <w:adjustRightInd/>
              <w:snapToGrid/>
              <w:ind w:firstLine="0" w:firstLineChars="0"/>
              <w:jc w:val="center"/>
              <w:rPr>
                <w:rFonts w:cs="Times New Roman"/>
                <w:kern w:val="0"/>
                <w:sz w:val="18"/>
                <w:szCs w:val="18"/>
              </w:rPr>
            </w:pPr>
          </w:p>
        </w:tc>
        <w:tc>
          <w:tcPr>
            <w:tcW w:w="290" w:type="pct"/>
            <w:vAlign w:val="center"/>
          </w:tcPr>
          <w:p w14:paraId="69E48B0D">
            <w:pPr>
              <w:widowControl/>
              <w:spacing w:line="360" w:lineRule="exact"/>
              <w:ind w:firstLine="0" w:firstLineChars="0"/>
              <w:jc w:val="center"/>
              <w:rPr>
                <w:rFonts w:cs="Times New Roman"/>
                <w:kern w:val="0"/>
                <w:sz w:val="18"/>
                <w:szCs w:val="18"/>
              </w:rPr>
            </w:pPr>
            <w:r>
              <w:rPr>
                <w:rFonts w:hint="eastAsia" w:cs="Times New Roman"/>
                <w:kern w:val="0"/>
                <w:sz w:val="18"/>
                <w:szCs w:val="18"/>
              </w:rPr>
              <w:t>38</w:t>
            </w:r>
          </w:p>
        </w:tc>
        <w:tc>
          <w:tcPr>
            <w:tcW w:w="1334" w:type="pct"/>
            <w:vAlign w:val="center"/>
          </w:tcPr>
          <w:p w14:paraId="7FB75766">
            <w:pPr>
              <w:widowControl/>
              <w:spacing w:line="360" w:lineRule="exact"/>
              <w:ind w:firstLine="0" w:firstLineChars="0"/>
              <w:jc w:val="center"/>
              <w:rPr>
                <w:rFonts w:cs="Times New Roman"/>
                <w:kern w:val="0"/>
                <w:sz w:val="18"/>
                <w:szCs w:val="18"/>
              </w:rPr>
            </w:pPr>
            <w:r>
              <w:rPr>
                <w:rFonts w:hint="eastAsia" w:cs="Times New Roman"/>
                <w:kern w:val="0"/>
                <w:sz w:val="18"/>
                <w:szCs w:val="20"/>
              </w:rPr>
              <w:t>李圩子</w:t>
            </w:r>
          </w:p>
        </w:tc>
        <w:tc>
          <w:tcPr>
            <w:tcW w:w="502" w:type="pct"/>
            <w:vAlign w:val="center"/>
          </w:tcPr>
          <w:p w14:paraId="37A0D08D">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2F6D8BAA">
            <w:pPr>
              <w:widowControl/>
              <w:spacing w:line="360" w:lineRule="exact"/>
              <w:ind w:firstLine="0" w:firstLineChars="0"/>
              <w:jc w:val="center"/>
              <w:rPr>
                <w:rFonts w:cs="Times New Roman"/>
                <w:kern w:val="0"/>
                <w:sz w:val="18"/>
                <w:szCs w:val="18"/>
              </w:rPr>
            </w:pPr>
            <w:r>
              <w:rPr>
                <w:rFonts w:hint="eastAsia" w:cs="Times New Roman"/>
                <w:kern w:val="0"/>
                <w:sz w:val="18"/>
                <w:szCs w:val="20"/>
              </w:rPr>
              <w:t>3</w:t>
            </w:r>
            <w:r>
              <w:rPr>
                <w:rFonts w:cs="Times New Roman"/>
                <w:kern w:val="0"/>
                <w:sz w:val="18"/>
                <w:szCs w:val="20"/>
              </w:rPr>
              <w:t>330</w:t>
            </w:r>
          </w:p>
        </w:tc>
        <w:tc>
          <w:tcPr>
            <w:tcW w:w="859" w:type="pct"/>
            <w:vAlign w:val="center"/>
          </w:tcPr>
          <w:p w14:paraId="1893B574">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75A4DB8F">
            <w:pPr>
              <w:widowControl/>
              <w:spacing w:line="360" w:lineRule="exact"/>
              <w:ind w:firstLine="0" w:firstLineChars="0"/>
              <w:jc w:val="center"/>
              <w:rPr>
                <w:rFonts w:cs="Times New Roman"/>
                <w:kern w:val="0"/>
                <w:sz w:val="18"/>
                <w:szCs w:val="18"/>
              </w:rPr>
            </w:pPr>
            <w:r>
              <w:rPr>
                <w:rFonts w:hint="eastAsia" w:cs="Times New Roman"/>
                <w:kern w:val="0"/>
                <w:sz w:val="18"/>
                <w:szCs w:val="20"/>
              </w:rPr>
              <w:t>400人</w:t>
            </w:r>
          </w:p>
        </w:tc>
      </w:tr>
      <w:tr w14:paraId="09441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ABD01B7">
            <w:pPr>
              <w:widowControl/>
              <w:adjustRightInd/>
              <w:snapToGrid/>
              <w:ind w:firstLine="0" w:firstLineChars="0"/>
              <w:jc w:val="center"/>
              <w:rPr>
                <w:rFonts w:cs="Times New Roman"/>
                <w:kern w:val="0"/>
                <w:sz w:val="18"/>
                <w:szCs w:val="18"/>
              </w:rPr>
            </w:pPr>
          </w:p>
        </w:tc>
        <w:tc>
          <w:tcPr>
            <w:tcW w:w="290" w:type="pct"/>
            <w:vAlign w:val="center"/>
          </w:tcPr>
          <w:p w14:paraId="0FF78A12">
            <w:pPr>
              <w:widowControl/>
              <w:spacing w:line="360" w:lineRule="exact"/>
              <w:ind w:firstLine="0" w:firstLineChars="0"/>
              <w:jc w:val="center"/>
              <w:rPr>
                <w:rFonts w:cs="Times New Roman"/>
                <w:kern w:val="0"/>
                <w:sz w:val="18"/>
                <w:szCs w:val="18"/>
              </w:rPr>
            </w:pPr>
            <w:r>
              <w:rPr>
                <w:rFonts w:hint="eastAsia" w:cs="Times New Roman"/>
                <w:kern w:val="0"/>
                <w:sz w:val="18"/>
                <w:szCs w:val="18"/>
              </w:rPr>
              <w:t>39</w:t>
            </w:r>
          </w:p>
        </w:tc>
        <w:tc>
          <w:tcPr>
            <w:tcW w:w="1334" w:type="pct"/>
            <w:vAlign w:val="center"/>
          </w:tcPr>
          <w:p w14:paraId="26789E0C">
            <w:pPr>
              <w:widowControl/>
              <w:spacing w:line="360" w:lineRule="exact"/>
              <w:ind w:firstLine="0" w:firstLineChars="0"/>
              <w:jc w:val="center"/>
              <w:rPr>
                <w:rFonts w:cs="Times New Roman"/>
                <w:kern w:val="0"/>
                <w:sz w:val="18"/>
                <w:szCs w:val="18"/>
              </w:rPr>
            </w:pPr>
            <w:r>
              <w:rPr>
                <w:rFonts w:hint="eastAsia" w:cs="Times New Roman"/>
                <w:kern w:val="0"/>
                <w:sz w:val="18"/>
                <w:szCs w:val="20"/>
              </w:rPr>
              <w:t>任桥</w:t>
            </w:r>
          </w:p>
        </w:tc>
        <w:tc>
          <w:tcPr>
            <w:tcW w:w="502" w:type="pct"/>
            <w:vAlign w:val="center"/>
          </w:tcPr>
          <w:p w14:paraId="7C53ED1A">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3ABBE7DF">
            <w:pPr>
              <w:widowControl/>
              <w:spacing w:line="360" w:lineRule="exact"/>
              <w:ind w:firstLine="0" w:firstLineChars="0"/>
              <w:jc w:val="center"/>
              <w:rPr>
                <w:rFonts w:cs="Times New Roman"/>
                <w:kern w:val="0"/>
                <w:sz w:val="18"/>
                <w:szCs w:val="18"/>
              </w:rPr>
            </w:pPr>
            <w:r>
              <w:rPr>
                <w:rFonts w:cs="Times New Roman"/>
                <w:kern w:val="0"/>
                <w:sz w:val="18"/>
                <w:szCs w:val="20"/>
              </w:rPr>
              <w:t>3830</w:t>
            </w:r>
          </w:p>
        </w:tc>
        <w:tc>
          <w:tcPr>
            <w:tcW w:w="859" w:type="pct"/>
            <w:vAlign w:val="center"/>
          </w:tcPr>
          <w:p w14:paraId="55BB1F5E">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06AF2C53">
            <w:pPr>
              <w:widowControl/>
              <w:spacing w:line="360" w:lineRule="exact"/>
              <w:ind w:firstLine="0" w:firstLineChars="0"/>
              <w:jc w:val="center"/>
              <w:rPr>
                <w:rFonts w:cs="Times New Roman"/>
                <w:kern w:val="0"/>
                <w:sz w:val="18"/>
                <w:szCs w:val="18"/>
              </w:rPr>
            </w:pPr>
            <w:r>
              <w:rPr>
                <w:rFonts w:hint="eastAsia" w:cs="Times New Roman"/>
                <w:kern w:val="0"/>
                <w:sz w:val="18"/>
                <w:szCs w:val="20"/>
              </w:rPr>
              <w:t>350人</w:t>
            </w:r>
          </w:p>
        </w:tc>
      </w:tr>
      <w:tr w14:paraId="44283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3508E41">
            <w:pPr>
              <w:widowControl/>
              <w:adjustRightInd/>
              <w:snapToGrid/>
              <w:ind w:firstLine="0" w:firstLineChars="0"/>
              <w:jc w:val="center"/>
              <w:rPr>
                <w:rFonts w:cs="Times New Roman"/>
                <w:kern w:val="0"/>
                <w:sz w:val="18"/>
                <w:szCs w:val="18"/>
              </w:rPr>
            </w:pPr>
          </w:p>
        </w:tc>
        <w:tc>
          <w:tcPr>
            <w:tcW w:w="290" w:type="pct"/>
            <w:vAlign w:val="center"/>
          </w:tcPr>
          <w:p w14:paraId="146E0080">
            <w:pPr>
              <w:widowControl/>
              <w:spacing w:line="360" w:lineRule="exact"/>
              <w:ind w:firstLine="0" w:firstLineChars="0"/>
              <w:jc w:val="center"/>
              <w:rPr>
                <w:rFonts w:cs="Times New Roman"/>
                <w:kern w:val="0"/>
                <w:sz w:val="18"/>
                <w:szCs w:val="18"/>
              </w:rPr>
            </w:pPr>
            <w:r>
              <w:rPr>
                <w:rFonts w:hint="eastAsia" w:cs="Times New Roman"/>
                <w:kern w:val="0"/>
                <w:sz w:val="18"/>
                <w:szCs w:val="18"/>
              </w:rPr>
              <w:t>40</w:t>
            </w:r>
          </w:p>
        </w:tc>
        <w:tc>
          <w:tcPr>
            <w:tcW w:w="1334" w:type="pct"/>
            <w:vAlign w:val="center"/>
          </w:tcPr>
          <w:p w14:paraId="5B15DA68">
            <w:pPr>
              <w:widowControl/>
              <w:spacing w:line="360" w:lineRule="exact"/>
              <w:ind w:firstLine="0" w:firstLineChars="0"/>
              <w:jc w:val="center"/>
              <w:rPr>
                <w:rFonts w:cs="Times New Roman"/>
                <w:kern w:val="0"/>
                <w:sz w:val="18"/>
                <w:szCs w:val="18"/>
              </w:rPr>
            </w:pPr>
            <w:r>
              <w:rPr>
                <w:rFonts w:hint="eastAsia" w:cs="Times New Roman"/>
                <w:kern w:val="0"/>
                <w:sz w:val="18"/>
                <w:szCs w:val="20"/>
              </w:rPr>
              <w:t>邓家</w:t>
            </w:r>
          </w:p>
        </w:tc>
        <w:tc>
          <w:tcPr>
            <w:tcW w:w="502" w:type="pct"/>
            <w:vAlign w:val="center"/>
          </w:tcPr>
          <w:p w14:paraId="7068B28D">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7B96C534">
            <w:pPr>
              <w:widowControl/>
              <w:spacing w:line="360" w:lineRule="exact"/>
              <w:ind w:firstLine="0" w:firstLineChars="0"/>
              <w:jc w:val="center"/>
              <w:rPr>
                <w:rFonts w:cs="Times New Roman"/>
                <w:kern w:val="0"/>
                <w:sz w:val="18"/>
                <w:szCs w:val="18"/>
              </w:rPr>
            </w:pPr>
            <w:r>
              <w:rPr>
                <w:rFonts w:hint="eastAsia" w:cs="Times New Roman"/>
                <w:kern w:val="0"/>
                <w:sz w:val="18"/>
                <w:szCs w:val="20"/>
              </w:rPr>
              <w:t>4</w:t>
            </w:r>
            <w:r>
              <w:rPr>
                <w:rFonts w:cs="Times New Roman"/>
                <w:kern w:val="0"/>
                <w:sz w:val="18"/>
                <w:szCs w:val="20"/>
              </w:rPr>
              <w:t>940</w:t>
            </w:r>
          </w:p>
        </w:tc>
        <w:tc>
          <w:tcPr>
            <w:tcW w:w="859" w:type="pct"/>
            <w:vAlign w:val="center"/>
          </w:tcPr>
          <w:p w14:paraId="62185100">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9E8699B">
            <w:pPr>
              <w:widowControl/>
              <w:spacing w:line="360" w:lineRule="exact"/>
              <w:ind w:firstLine="0" w:firstLineChars="0"/>
              <w:jc w:val="center"/>
              <w:rPr>
                <w:rFonts w:cs="Times New Roman"/>
                <w:kern w:val="0"/>
                <w:sz w:val="18"/>
                <w:szCs w:val="18"/>
              </w:rPr>
            </w:pPr>
            <w:r>
              <w:rPr>
                <w:rFonts w:hint="eastAsia" w:cs="Times New Roman"/>
                <w:kern w:val="0"/>
                <w:sz w:val="18"/>
                <w:szCs w:val="20"/>
              </w:rPr>
              <w:t>300人</w:t>
            </w:r>
          </w:p>
        </w:tc>
      </w:tr>
      <w:tr w14:paraId="04606F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689D3F3">
            <w:pPr>
              <w:widowControl/>
              <w:adjustRightInd/>
              <w:snapToGrid/>
              <w:ind w:firstLine="0" w:firstLineChars="0"/>
              <w:jc w:val="center"/>
              <w:rPr>
                <w:rFonts w:cs="Times New Roman"/>
                <w:kern w:val="0"/>
                <w:sz w:val="18"/>
                <w:szCs w:val="18"/>
              </w:rPr>
            </w:pPr>
          </w:p>
        </w:tc>
        <w:tc>
          <w:tcPr>
            <w:tcW w:w="290" w:type="pct"/>
            <w:vAlign w:val="center"/>
          </w:tcPr>
          <w:p w14:paraId="0094F3E3">
            <w:pPr>
              <w:widowControl/>
              <w:spacing w:line="360" w:lineRule="exact"/>
              <w:ind w:firstLine="0" w:firstLineChars="0"/>
              <w:jc w:val="center"/>
              <w:rPr>
                <w:rFonts w:cs="Times New Roman"/>
                <w:kern w:val="0"/>
                <w:sz w:val="18"/>
                <w:szCs w:val="18"/>
              </w:rPr>
            </w:pPr>
            <w:r>
              <w:rPr>
                <w:rFonts w:hint="eastAsia" w:cs="Times New Roman"/>
                <w:kern w:val="0"/>
                <w:sz w:val="18"/>
                <w:szCs w:val="18"/>
              </w:rPr>
              <w:t>4</w:t>
            </w:r>
            <w:r>
              <w:rPr>
                <w:rFonts w:cs="Times New Roman"/>
                <w:kern w:val="0"/>
                <w:sz w:val="18"/>
                <w:szCs w:val="18"/>
              </w:rPr>
              <w:t>1</w:t>
            </w:r>
          </w:p>
        </w:tc>
        <w:tc>
          <w:tcPr>
            <w:tcW w:w="1334" w:type="pct"/>
            <w:vAlign w:val="center"/>
          </w:tcPr>
          <w:p w14:paraId="6D5D0070">
            <w:pPr>
              <w:widowControl/>
              <w:spacing w:line="360" w:lineRule="exact"/>
              <w:ind w:firstLine="0" w:firstLineChars="0"/>
              <w:jc w:val="center"/>
              <w:rPr>
                <w:rFonts w:cs="Times New Roman"/>
                <w:kern w:val="0"/>
                <w:sz w:val="18"/>
                <w:szCs w:val="18"/>
              </w:rPr>
            </w:pPr>
            <w:r>
              <w:rPr>
                <w:rFonts w:hint="eastAsia" w:cs="Times New Roman"/>
                <w:kern w:val="0"/>
                <w:sz w:val="18"/>
                <w:szCs w:val="20"/>
              </w:rPr>
              <w:t>东马</w:t>
            </w:r>
          </w:p>
        </w:tc>
        <w:tc>
          <w:tcPr>
            <w:tcW w:w="502" w:type="pct"/>
            <w:vAlign w:val="center"/>
          </w:tcPr>
          <w:p w14:paraId="23E6B2A4">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645FF672">
            <w:pPr>
              <w:widowControl/>
              <w:spacing w:line="360" w:lineRule="exact"/>
              <w:ind w:firstLine="0" w:firstLineChars="0"/>
              <w:jc w:val="center"/>
              <w:rPr>
                <w:rFonts w:cs="Times New Roman"/>
                <w:kern w:val="0"/>
                <w:sz w:val="18"/>
                <w:szCs w:val="18"/>
              </w:rPr>
            </w:pPr>
            <w:r>
              <w:rPr>
                <w:rFonts w:hint="eastAsia" w:cs="Times New Roman"/>
                <w:kern w:val="0"/>
                <w:sz w:val="18"/>
                <w:szCs w:val="20"/>
              </w:rPr>
              <w:t>4960</w:t>
            </w:r>
          </w:p>
        </w:tc>
        <w:tc>
          <w:tcPr>
            <w:tcW w:w="859" w:type="pct"/>
            <w:vAlign w:val="center"/>
          </w:tcPr>
          <w:p w14:paraId="507E6E72">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1D5FEEFF">
            <w:pPr>
              <w:widowControl/>
              <w:spacing w:line="360" w:lineRule="exact"/>
              <w:ind w:firstLine="0" w:firstLineChars="0"/>
              <w:jc w:val="center"/>
              <w:rPr>
                <w:rFonts w:cs="Times New Roman"/>
                <w:kern w:val="0"/>
                <w:sz w:val="18"/>
                <w:szCs w:val="18"/>
              </w:rPr>
            </w:pPr>
            <w:r>
              <w:rPr>
                <w:rFonts w:hint="eastAsia" w:cs="Times New Roman"/>
                <w:kern w:val="0"/>
                <w:sz w:val="18"/>
                <w:szCs w:val="20"/>
              </w:rPr>
              <w:t>450人</w:t>
            </w:r>
          </w:p>
        </w:tc>
      </w:tr>
      <w:tr w14:paraId="0076A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2A14FB3">
            <w:pPr>
              <w:widowControl/>
              <w:adjustRightInd/>
              <w:snapToGrid/>
              <w:ind w:firstLine="0" w:firstLineChars="0"/>
              <w:jc w:val="center"/>
              <w:rPr>
                <w:rFonts w:cs="Times New Roman"/>
                <w:kern w:val="0"/>
                <w:sz w:val="18"/>
                <w:szCs w:val="18"/>
              </w:rPr>
            </w:pPr>
          </w:p>
        </w:tc>
        <w:tc>
          <w:tcPr>
            <w:tcW w:w="290" w:type="pct"/>
            <w:vAlign w:val="center"/>
          </w:tcPr>
          <w:p w14:paraId="017B383C">
            <w:pPr>
              <w:widowControl/>
              <w:spacing w:line="360" w:lineRule="exact"/>
              <w:ind w:firstLine="0" w:firstLineChars="0"/>
              <w:jc w:val="center"/>
              <w:rPr>
                <w:rFonts w:cs="Times New Roman"/>
                <w:kern w:val="0"/>
                <w:sz w:val="18"/>
                <w:szCs w:val="18"/>
              </w:rPr>
            </w:pPr>
            <w:r>
              <w:rPr>
                <w:rFonts w:hint="eastAsia" w:cs="Times New Roman"/>
                <w:kern w:val="0"/>
                <w:sz w:val="18"/>
                <w:szCs w:val="18"/>
              </w:rPr>
              <w:t>4</w:t>
            </w:r>
            <w:r>
              <w:rPr>
                <w:rFonts w:cs="Times New Roman"/>
                <w:kern w:val="0"/>
                <w:sz w:val="18"/>
                <w:szCs w:val="18"/>
              </w:rPr>
              <w:t>2</w:t>
            </w:r>
          </w:p>
        </w:tc>
        <w:tc>
          <w:tcPr>
            <w:tcW w:w="1334" w:type="pct"/>
            <w:vAlign w:val="center"/>
          </w:tcPr>
          <w:p w14:paraId="6F28FDBC">
            <w:pPr>
              <w:widowControl/>
              <w:spacing w:line="360" w:lineRule="exact"/>
              <w:ind w:firstLine="0" w:firstLineChars="0"/>
              <w:jc w:val="center"/>
              <w:rPr>
                <w:rFonts w:cs="Times New Roman"/>
                <w:kern w:val="0"/>
                <w:sz w:val="18"/>
                <w:szCs w:val="18"/>
              </w:rPr>
            </w:pPr>
            <w:r>
              <w:rPr>
                <w:rFonts w:hint="eastAsia" w:cs="Times New Roman"/>
                <w:kern w:val="0"/>
                <w:sz w:val="18"/>
                <w:szCs w:val="20"/>
              </w:rPr>
              <w:t>堌堆</w:t>
            </w:r>
          </w:p>
        </w:tc>
        <w:tc>
          <w:tcPr>
            <w:tcW w:w="502" w:type="pct"/>
            <w:vAlign w:val="center"/>
          </w:tcPr>
          <w:p w14:paraId="129AFF05">
            <w:pPr>
              <w:widowControl/>
              <w:spacing w:line="360" w:lineRule="exact"/>
              <w:ind w:firstLine="0" w:firstLineChars="0"/>
              <w:jc w:val="center"/>
              <w:rPr>
                <w:rFonts w:cs="Times New Roman"/>
                <w:kern w:val="0"/>
                <w:sz w:val="18"/>
                <w:szCs w:val="18"/>
              </w:rPr>
            </w:pPr>
            <w:r>
              <w:rPr>
                <w:rFonts w:hint="eastAsia" w:cs="Times New Roman"/>
                <w:kern w:val="0"/>
                <w:sz w:val="18"/>
                <w:szCs w:val="20"/>
              </w:rPr>
              <w:t>NW</w:t>
            </w:r>
          </w:p>
        </w:tc>
        <w:tc>
          <w:tcPr>
            <w:tcW w:w="605" w:type="pct"/>
            <w:vAlign w:val="center"/>
          </w:tcPr>
          <w:p w14:paraId="5F360E7F">
            <w:pPr>
              <w:widowControl/>
              <w:spacing w:line="360" w:lineRule="exact"/>
              <w:ind w:firstLine="0" w:firstLineChars="0"/>
              <w:jc w:val="center"/>
              <w:rPr>
                <w:rFonts w:cs="Times New Roman"/>
                <w:kern w:val="0"/>
                <w:sz w:val="18"/>
                <w:szCs w:val="18"/>
              </w:rPr>
            </w:pPr>
            <w:r>
              <w:rPr>
                <w:rFonts w:hint="eastAsia" w:cs="Times New Roman"/>
                <w:kern w:val="0"/>
                <w:sz w:val="18"/>
                <w:szCs w:val="20"/>
              </w:rPr>
              <w:t>4680</w:t>
            </w:r>
          </w:p>
        </w:tc>
        <w:tc>
          <w:tcPr>
            <w:tcW w:w="859" w:type="pct"/>
            <w:vAlign w:val="center"/>
          </w:tcPr>
          <w:p w14:paraId="37D71A5E">
            <w:pPr>
              <w:widowControl/>
              <w:spacing w:line="360" w:lineRule="exact"/>
              <w:ind w:firstLine="0" w:firstLineChars="0"/>
              <w:jc w:val="center"/>
              <w:rPr>
                <w:rFonts w:cs="Times New Roman"/>
                <w:kern w:val="0"/>
                <w:sz w:val="18"/>
                <w:szCs w:val="18"/>
              </w:rPr>
            </w:pPr>
            <w:r>
              <w:rPr>
                <w:rFonts w:hint="eastAsia" w:cs="Times New Roman"/>
                <w:kern w:val="0"/>
                <w:sz w:val="18"/>
                <w:szCs w:val="20"/>
              </w:rPr>
              <w:t>居民</w:t>
            </w:r>
          </w:p>
        </w:tc>
        <w:tc>
          <w:tcPr>
            <w:tcW w:w="914" w:type="pct"/>
            <w:vAlign w:val="center"/>
          </w:tcPr>
          <w:p w14:paraId="521B6821">
            <w:pPr>
              <w:widowControl/>
              <w:spacing w:line="360" w:lineRule="exact"/>
              <w:ind w:firstLine="0" w:firstLineChars="0"/>
              <w:jc w:val="center"/>
              <w:rPr>
                <w:rFonts w:cs="Times New Roman"/>
                <w:kern w:val="0"/>
                <w:sz w:val="18"/>
                <w:szCs w:val="18"/>
              </w:rPr>
            </w:pPr>
            <w:r>
              <w:rPr>
                <w:rFonts w:hint="eastAsia" w:cs="Times New Roman"/>
                <w:kern w:val="0"/>
                <w:sz w:val="18"/>
                <w:szCs w:val="20"/>
              </w:rPr>
              <w:t>200人</w:t>
            </w:r>
          </w:p>
        </w:tc>
      </w:tr>
      <w:tr w14:paraId="46540F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3FD308D">
            <w:pPr>
              <w:widowControl/>
              <w:adjustRightInd/>
              <w:snapToGrid/>
              <w:ind w:firstLine="0" w:firstLineChars="0"/>
              <w:jc w:val="center"/>
              <w:rPr>
                <w:rFonts w:cs="Times New Roman"/>
                <w:kern w:val="0"/>
                <w:sz w:val="18"/>
                <w:szCs w:val="18"/>
              </w:rPr>
            </w:pPr>
          </w:p>
        </w:tc>
        <w:tc>
          <w:tcPr>
            <w:tcW w:w="290" w:type="pct"/>
            <w:vAlign w:val="center"/>
          </w:tcPr>
          <w:p w14:paraId="033C7E2C">
            <w:pPr>
              <w:widowControl/>
              <w:spacing w:line="360" w:lineRule="exact"/>
              <w:ind w:firstLine="0" w:firstLineChars="0"/>
              <w:jc w:val="center"/>
              <w:rPr>
                <w:rFonts w:cs="Times New Roman"/>
                <w:kern w:val="0"/>
                <w:sz w:val="18"/>
                <w:szCs w:val="18"/>
              </w:rPr>
            </w:pPr>
            <w:r>
              <w:rPr>
                <w:rFonts w:hint="eastAsia" w:cs="Times New Roman"/>
                <w:kern w:val="0"/>
                <w:sz w:val="18"/>
                <w:szCs w:val="18"/>
              </w:rPr>
              <w:t>4</w:t>
            </w:r>
            <w:r>
              <w:rPr>
                <w:rFonts w:cs="Times New Roman"/>
                <w:kern w:val="0"/>
                <w:sz w:val="18"/>
                <w:szCs w:val="18"/>
              </w:rPr>
              <w:t>3</w:t>
            </w:r>
          </w:p>
        </w:tc>
        <w:tc>
          <w:tcPr>
            <w:tcW w:w="1334" w:type="pct"/>
            <w:vAlign w:val="center"/>
          </w:tcPr>
          <w:p w14:paraId="42C120F8">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安徽</w:t>
            </w:r>
            <w:r>
              <w:rPr>
                <w:rFonts w:ascii="宋体" w:hAnsi="宋体" w:cs="Times New Roman"/>
                <w:kern w:val="0"/>
                <w:sz w:val="18"/>
                <w:szCs w:val="18"/>
              </w:rPr>
              <w:t>八一化工股份有限公司</w:t>
            </w:r>
          </w:p>
        </w:tc>
        <w:tc>
          <w:tcPr>
            <w:tcW w:w="502" w:type="pct"/>
            <w:vAlign w:val="center"/>
          </w:tcPr>
          <w:p w14:paraId="061AB2C6">
            <w:pPr>
              <w:widowControl/>
              <w:spacing w:line="360" w:lineRule="exact"/>
              <w:ind w:firstLine="0" w:firstLineChars="0"/>
              <w:jc w:val="center"/>
              <w:rPr>
                <w:rFonts w:cs="Times New Roman"/>
                <w:kern w:val="0"/>
                <w:sz w:val="18"/>
                <w:szCs w:val="18"/>
              </w:rPr>
            </w:pPr>
            <w:r>
              <w:rPr>
                <w:rFonts w:cs="Times New Roman"/>
                <w:kern w:val="0"/>
                <w:sz w:val="18"/>
                <w:szCs w:val="18"/>
              </w:rPr>
              <w:t>S</w:t>
            </w:r>
          </w:p>
        </w:tc>
        <w:tc>
          <w:tcPr>
            <w:tcW w:w="605" w:type="pct"/>
            <w:vAlign w:val="center"/>
          </w:tcPr>
          <w:p w14:paraId="494916E4">
            <w:pPr>
              <w:widowControl/>
              <w:spacing w:line="360" w:lineRule="exact"/>
              <w:ind w:firstLine="0" w:firstLineChars="0"/>
              <w:jc w:val="center"/>
              <w:rPr>
                <w:rFonts w:cs="Times New Roman"/>
                <w:kern w:val="0"/>
                <w:sz w:val="18"/>
                <w:szCs w:val="18"/>
              </w:rPr>
            </w:pPr>
            <w:r>
              <w:rPr>
                <w:rFonts w:cs="Times New Roman"/>
                <w:kern w:val="0"/>
                <w:sz w:val="18"/>
                <w:szCs w:val="18"/>
              </w:rPr>
              <w:t>10</w:t>
            </w:r>
          </w:p>
        </w:tc>
        <w:tc>
          <w:tcPr>
            <w:tcW w:w="859" w:type="pct"/>
            <w:vAlign w:val="center"/>
          </w:tcPr>
          <w:p w14:paraId="1400152D">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职工</w:t>
            </w:r>
          </w:p>
        </w:tc>
        <w:tc>
          <w:tcPr>
            <w:tcW w:w="914" w:type="pct"/>
            <w:vAlign w:val="center"/>
          </w:tcPr>
          <w:p w14:paraId="62392BD9">
            <w:pPr>
              <w:widowControl/>
              <w:spacing w:line="360" w:lineRule="exact"/>
              <w:ind w:firstLine="0" w:firstLineChars="0"/>
              <w:jc w:val="center"/>
              <w:rPr>
                <w:rFonts w:cs="Times New Roman"/>
                <w:kern w:val="0"/>
                <w:sz w:val="18"/>
                <w:szCs w:val="18"/>
              </w:rPr>
            </w:pPr>
            <w:r>
              <w:rPr>
                <w:rFonts w:cs="Times New Roman"/>
                <w:kern w:val="0"/>
                <w:sz w:val="18"/>
                <w:szCs w:val="18"/>
              </w:rPr>
              <w:t>1800</w:t>
            </w:r>
            <w:r>
              <w:rPr>
                <w:rFonts w:hint="eastAsia" w:ascii="宋体" w:hAnsi="宋体" w:cs="Times New Roman"/>
                <w:kern w:val="0"/>
                <w:sz w:val="18"/>
                <w:szCs w:val="18"/>
              </w:rPr>
              <w:t>人</w:t>
            </w:r>
          </w:p>
        </w:tc>
      </w:tr>
      <w:tr w14:paraId="62E18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AD97EDE">
            <w:pPr>
              <w:widowControl/>
              <w:adjustRightInd/>
              <w:snapToGrid/>
              <w:ind w:firstLine="0" w:firstLineChars="0"/>
              <w:jc w:val="center"/>
              <w:rPr>
                <w:rFonts w:cs="Times New Roman"/>
                <w:kern w:val="0"/>
                <w:sz w:val="18"/>
                <w:szCs w:val="18"/>
              </w:rPr>
            </w:pPr>
          </w:p>
        </w:tc>
        <w:tc>
          <w:tcPr>
            <w:tcW w:w="290" w:type="pct"/>
            <w:vAlign w:val="center"/>
          </w:tcPr>
          <w:p w14:paraId="04E50EC0">
            <w:pPr>
              <w:widowControl/>
              <w:spacing w:line="360" w:lineRule="exact"/>
              <w:ind w:firstLine="0" w:firstLineChars="0"/>
              <w:jc w:val="center"/>
              <w:rPr>
                <w:rFonts w:cs="Times New Roman"/>
                <w:kern w:val="0"/>
                <w:sz w:val="18"/>
                <w:szCs w:val="18"/>
              </w:rPr>
            </w:pPr>
            <w:r>
              <w:rPr>
                <w:rFonts w:hint="eastAsia" w:cs="Times New Roman"/>
                <w:kern w:val="0"/>
                <w:sz w:val="18"/>
                <w:szCs w:val="18"/>
              </w:rPr>
              <w:t>44</w:t>
            </w:r>
          </w:p>
        </w:tc>
        <w:tc>
          <w:tcPr>
            <w:tcW w:w="1334" w:type="pct"/>
            <w:vAlign w:val="center"/>
          </w:tcPr>
          <w:p w14:paraId="62739837">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安徽</w:t>
            </w:r>
            <w:r>
              <w:rPr>
                <w:rFonts w:ascii="宋体" w:hAnsi="宋体" w:cs="Times New Roman"/>
                <w:kern w:val="0"/>
                <w:sz w:val="18"/>
                <w:szCs w:val="18"/>
              </w:rPr>
              <w:t>朗润新材料科技股份有限公司</w:t>
            </w:r>
          </w:p>
        </w:tc>
        <w:tc>
          <w:tcPr>
            <w:tcW w:w="502" w:type="pct"/>
            <w:vAlign w:val="center"/>
          </w:tcPr>
          <w:p w14:paraId="07A3663A">
            <w:pPr>
              <w:widowControl/>
              <w:spacing w:line="360" w:lineRule="exact"/>
              <w:ind w:firstLine="0" w:firstLineChars="0"/>
              <w:jc w:val="center"/>
              <w:rPr>
                <w:rFonts w:cs="Times New Roman"/>
                <w:kern w:val="0"/>
                <w:sz w:val="18"/>
                <w:szCs w:val="18"/>
              </w:rPr>
            </w:pPr>
            <w:r>
              <w:rPr>
                <w:rFonts w:hint="eastAsia" w:cs="Times New Roman"/>
                <w:kern w:val="0"/>
                <w:sz w:val="18"/>
                <w:szCs w:val="18"/>
              </w:rPr>
              <w:t>N</w:t>
            </w:r>
          </w:p>
        </w:tc>
        <w:tc>
          <w:tcPr>
            <w:tcW w:w="605" w:type="pct"/>
            <w:vAlign w:val="center"/>
          </w:tcPr>
          <w:p w14:paraId="2295764B">
            <w:pPr>
              <w:widowControl/>
              <w:spacing w:line="360" w:lineRule="exact"/>
              <w:ind w:firstLine="0" w:firstLineChars="0"/>
              <w:jc w:val="center"/>
              <w:rPr>
                <w:rFonts w:cs="Times New Roman"/>
                <w:kern w:val="0"/>
                <w:sz w:val="18"/>
                <w:szCs w:val="18"/>
              </w:rPr>
            </w:pPr>
            <w:r>
              <w:rPr>
                <w:rFonts w:cs="Times New Roman"/>
                <w:kern w:val="0"/>
                <w:sz w:val="18"/>
                <w:szCs w:val="18"/>
              </w:rPr>
              <w:t>20</w:t>
            </w:r>
          </w:p>
        </w:tc>
        <w:tc>
          <w:tcPr>
            <w:tcW w:w="859" w:type="pct"/>
            <w:vAlign w:val="center"/>
          </w:tcPr>
          <w:p w14:paraId="5AE7F010">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职工</w:t>
            </w:r>
          </w:p>
        </w:tc>
        <w:tc>
          <w:tcPr>
            <w:tcW w:w="914" w:type="pct"/>
            <w:vAlign w:val="center"/>
          </w:tcPr>
          <w:p w14:paraId="0EF18755">
            <w:pPr>
              <w:widowControl/>
              <w:spacing w:line="360" w:lineRule="exact"/>
              <w:ind w:firstLine="0" w:firstLineChars="0"/>
              <w:jc w:val="center"/>
              <w:rPr>
                <w:rFonts w:cs="Times New Roman"/>
                <w:kern w:val="0"/>
                <w:sz w:val="18"/>
                <w:szCs w:val="18"/>
              </w:rPr>
            </w:pPr>
            <w:r>
              <w:rPr>
                <w:rFonts w:hint="eastAsia" w:cs="Times New Roman"/>
                <w:kern w:val="0"/>
                <w:sz w:val="18"/>
                <w:szCs w:val="18"/>
              </w:rPr>
              <w:t>19人</w:t>
            </w:r>
          </w:p>
        </w:tc>
      </w:tr>
      <w:tr w14:paraId="35487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8ABEE4C">
            <w:pPr>
              <w:widowControl/>
              <w:adjustRightInd/>
              <w:snapToGrid/>
              <w:ind w:firstLine="0" w:firstLineChars="0"/>
              <w:jc w:val="center"/>
              <w:rPr>
                <w:rFonts w:cs="Times New Roman"/>
                <w:kern w:val="0"/>
                <w:sz w:val="18"/>
                <w:szCs w:val="18"/>
              </w:rPr>
            </w:pPr>
          </w:p>
        </w:tc>
        <w:tc>
          <w:tcPr>
            <w:tcW w:w="290" w:type="pct"/>
            <w:vAlign w:val="center"/>
          </w:tcPr>
          <w:p w14:paraId="06E1A750">
            <w:pPr>
              <w:widowControl/>
              <w:spacing w:line="360" w:lineRule="exact"/>
              <w:ind w:firstLine="0" w:firstLineChars="0"/>
              <w:jc w:val="center"/>
              <w:rPr>
                <w:rFonts w:cs="Times New Roman"/>
                <w:kern w:val="0"/>
                <w:sz w:val="18"/>
                <w:szCs w:val="18"/>
              </w:rPr>
            </w:pPr>
            <w:r>
              <w:rPr>
                <w:rFonts w:hint="eastAsia" w:cs="Times New Roman"/>
                <w:kern w:val="0"/>
                <w:sz w:val="18"/>
                <w:szCs w:val="18"/>
              </w:rPr>
              <w:t>45</w:t>
            </w:r>
          </w:p>
        </w:tc>
        <w:tc>
          <w:tcPr>
            <w:tcW w:w="1334" w:type="pct"/>
            <w:vAlign w:val="center"/>
          </w:tcPr>
          <w:p w14:paraId="19DC6967">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蚌埠</w:t>
            </w:r>
            <w:r>
              <w:rPr>
                <w:rFonts w:ascii="宋体" w:hAnsi="宋体" w:cs="Times New Roman"/>
                <w:kern w:val="0"/>
                <w:sz w:val="18"/>
                <w:szCs w:val="18"/>
              </w:rPr>
              <w:t>圣丹生物化工有限公司</w:t>
            </w:r>
          </w:p>
        </w:tc>
        <w:tc>
          <w:tcPr>
            <w:tcW w:w="502" w:type="pct"/>
            <w:vAlign w:val="center"/>
          </w:tcPr>
          <w:p w14:paraId="37C456E1">
            <w:pPr>
              <w:widowControl/>
              <w:spacing w:line="360" w:lineRule="exact"/>
              <w:ind w:firstLine="0" w:firstLineChars="0"/>
              <w:jc w:val="center"/>
              <w:rPr>
                <w:rFonts w:cs="Times New Roman"/>
                <w:kern w:val="0"/>
                <w:sz w:val="18"/>
                <w:szCs w:val="18"/>
              </w:rPr>
            </w:pPr>
            <w:r>
              <w:rPr>
                <w:rFonts w:cs="Times New Roman"/>
                <w:kern w:val="0"/>
                <w:sz w:val="18"/>
                <w:szCs w:val="18"/>
              </w:rPr>
              <w:t>E</w:t>
            </w:r>
          </w:p>
        </w:tc>
        <w:tc>
          <w:tcPr>
            <w:tcW w:w="605" w:type="pct"/>
            <w:vAlign w:val="center"/>
          </w:tcPr>
          <w:p w14:paraId="0245D401">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859" w:type="pct"/>
            <w:vAlign w:val="center"/>
          </w:tcPr>
          <w:p w14:paraId="4BE2CACF">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职工</w:t>
            </w:r>
          </w:p>
        </w:tc>
        <w:tc>
          <w:tcPr>
            <w:tcW w:w="914" w:type="pct"/>
            <w:vAlign w:val="center"/>
          </w:tcPr>
          <w:p w14:paraId="568B33A1">
            <w:pPr>
              <w:widowControl/>
              <w:spacing w:line="360" w:lineRule="exact"/>
              <w:ind w:firstLine="0" w:firstLineChars="0"/>
              <w:jc w:val="center"/>
              <w:rPr>
                <w:rFonts w:cs="Times New Roman"/>
                <w:kern w:val="0"/>
                <w:sz w:val="18"/>
                <w:szCs w:val="18"/>
              </w:rPr>
            </w:pPr>
            <w:r>
              <w:rPr>
                <w:rFonts w:hint="eastAsia" w:cs="Times New Roman"/>
                <w:kern w:val="0"/>
                <w:sz w:val="18"/>
                <w:szCs w:val="18"/>
              </w:rPr>
              <w:t>45人</w:t>
            </w:r>
          </w:p>
        </w:tc>
      </w:tr>
      <w:tr w14:paraId="084AF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F2305A1">
            <w:pPr>
              <w:widowControl/>
              <w:adjustRightInd/>
              <w:snapToGrid/>
              <w:ind w:firstLine="0" w:firstLineChars="0"/>
              <w:jc w:val="center"/>
              <w:rPr>
                <w:rFonts w:cs="Times New Roman"/>
                <w:kern w:val="0"/>
                <w:sz w:val="18"/>
                <w:szCs w:val="18"/>
              </w:rPr>
            </w:pPr>
          </w:p>
        </w:tc>
        <w:tc>
          <w:tcPr>
            <w:tcW w:w="290" w:type="pct"/>
            <w:vAlign w:val="center"/>
          </w:tcPr>
          <w:p w14:paraId="7D9BF68F">
            <w:pPr>
              <w:widowControl/>
              <w:spacing w:line="360" w:lineRule="exact"/>
              <w:ind w:firstLine="0" w:firstLineChars="0"/>
              <w:jc w:val="center"/>
              <w:rPr>
                <w:rFonts w:cs="Times New Roman"/>
                <w:kern w:val="0"/>
                <w:sz w:val="18"/>
                <w:szCs w:val="18"/>
              </w:rPr>
            </w:pPr>
            <w:r>
              <w:rPr>
                <w:rFonts w:hint="eastAsia" w:cs="Times New Roman"/>
                <w:kern w:val="0"/>
                <w:sz w:val="18"/>
                <w:szCs w:val="18"/>
              </w:rPr>
              <w:t>46</w:t>
            </w:r>
          </w:p>
        </w:tc>
        <w:tc>
          <w:tcPr>
            <w:tcW w:w="1334" w:type="pct"/>
            <w:vAlign w:val="center"/>
          </w:tcPr>
          <w:p w14:paraId="634EBC91">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蚌埠市</w:t>
            </w:r>
            <w:r>
              <w:rPr>
                <w:rFonts w:ascii="宋体" w:hAnsi="宋体" w:cs="Times New Roman"/>
                <w:kern w:val="0"/>
                <w:sz w:val="18"/>
                <w:szCs w:val="18"/>
              </w:rPr>
              <w:t>圣光化工有限公司</w:t>
            </w:r>
          </w:p>
        </w:tc>
        <w:tc>
          <w:tcPr>
            <w:tcW w:w="502" w:type="pct"/>
            <w:vAlign w:val="center"/>
          </w:tcPr>
          <w:p w14:paraId="5EA4E0D0">
            <w:pPr>
              <w:widowControl/>
              <w:spacing w:line="360" w:lineRule="exact"/>
              <w:ind w:firstLine="0" w:firstLineChars="0"/>
              <w:jc w:val="center"/>
              <w:rPr>
                <w:rFonts w:cs="Times New Roman"/>
                <w:kern w:val="0"/>
                <w:sz w:val="18"/>
                <w:szCs w:val="18"/>
              </w:rPr>
            </w:pPr>
            <w:r>
              <w:rPr>
                <w:rFonts w:hint="eastAsia" w:cs="Times New Roman"/>
                <w:kern w:val="0"/>
                <w:sz w:val="18"/>
                <w:szCs w:val="18"/>
              </w:rPr>
              <w:t>W</w:t>
            </w:r>
          </w:p>
        </w:tc>
        <w:tc>
          <w:tcPr>
            <w:tcW w:w="605" w:type="pct"/>
            <w:vAlign w:val="center"/>
          </w:tcPr>
          <w:p w14:paraId="7651791B">
            <w:pPr>
              <w:widowControl/>
              <w:spacing w:line="360" w:lineRule="exact"/>
              <w:ind w:firstLine="0" w:firstLineChars="0"/>
              <w:jc w:val="center"/>
              <w:rPr>
                <w:rFonts w:cs="Times New Roman"/>
                <w:kern w:val="0"/>
                <w:sz w:val="18"/>
                <w:szCs w:val="18"/>
              </w:rPr>
            </w:pPr>
            <w:r>
              <w:rPr>
                <w:rFonts w:hint="eastAsia" w:cs="Times New Roman"/>
                <w:kern w:val="0"/>
                <w:sz w:val="18"/>
                <w:szCs w:val="18"/>
              </w:rPr>
              <w:t>10</w:t>
            </w:r>
          </w:p>
        </w:tc>
        <w:tc>
          <w:tcPr>
            <w:tcW w:w="859" w:type="pct"/>
            <w:vAlign w:val="center"/>
          </w:tcPr>
          <w:p w14:paraId="2E9FF014">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职工</w:t>
            </w:r>
          </w:p>
        </w:tc>
        <w:tc>
          <w:tcPr>
            <w:tcW w:w="914" w:type="pct"/>
            <w:vAlign w:val="center"/>
          </w:tcPr>
          <w:p w14:paraId="48C9FF10">
            <w:pPr>
              <w:widowControl/>
              <w:spacing w:line="360" w:lineRule="exact"/>
              <w:ind w:firstLine="0" w:firstLineChars="0"/>
              <w:jc w:val="center"/>
              <w:rPr>
                <w:rFonts w:cs="Times New Roman"/>
                <w:kern w:val="0"/>
                <w:sz w:val="18"/>
                <w:szCs w:val="18"/>
              </w:rPr>
            </w:pPr>
            <w:r>
              <w:rPr>
                <w:rFonts w:hint="eastAsia" w:cs="Times New Roman"/>
                <w:kern w:val="0"/>
                <w:sz w:val="18"/>
                <w:szCs w:val="18"/>
              </w:rPr>
              <w:t>15人</w:t>
            </w:r>
          </w:p>
        </w:tc>
      </w:tr>
      <w:tr w14:paraId="5AEEE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A306C6D">
            <w:pPr>
              <w:widowControl/>
              <w:adjustRightInd/>
              <w:snapToGrid/>
              <w:ind w:firstLine="0" w:firstLineChars="0"/>
              <w:jc w:val="center"/>
              <w:rPr>
                <w:rFonts w:cs="Times New Roman"/>
                <w:kern w:val="0"/>
                <w:sz w:val="18"/>
                <w:szCs w:val="18"/>
              </w:rPr>
            </w:pPr>
          </w:p>
        </w:tc>
        <w:tc>
          <w:tcPr>
            <w:tcW w:w="3590" w:type="pct"/>
            <w:gridSpan w:val="5"/>
            <w:vAlign w:val="center"/>
          </w:tcPr>
          <w:p w14:paraId="2EBC9CD1">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厂址周边</w:t>
            </w:r>
            <w:r>
              <w:rPr>
                <w:rFonts w:cs="Times New Roman"/>
                <w:kern w:val="0"/>
                <w:sz w:val="18"/>
                <w:szCs w:val="18"/>
              </w:rPr>
              <w:t>500m</w:t>
            </w:r>
            <w:r>
              <w:rPr>
                <w:rFonts w:ascii="宋体" w:hAnsi="宋体" w:cs="Times New Roman"/>
                <w:kern w:val="0"/>
                <w:sz w:val="18"/>
                <w:szCs w:val="18"/>
              </w:rPr>
              <w:t>范围内敏感点人口数小计</w:t>
            </w:r>
          </w:p>
        </w:tc>
        <w:tc>
          <w:tcPr>
            <w:tcW w:w="914" w:type="pct"/>
            <w:vAlign w:val="center"/>
          </w:tcPr>
          <w:p w14:paraId="14D8C449">
            <w:pPr>
              <w:widowControl/>
              <w:spacing w:line="360" w:lineRule="exact"/>
              <w:ind w:firstLine="0" w:firstLineChars="0"/>
              <w:jc w:val="center"/>
              <w:rPr>
                <w:rFonts w:cs="Times New Roman"/>
                <w:kern w:val="0"/>
                <w:sz w:val="18"/>
                <w:szCs w:val="18"/>
              </w:rPr>
            </w:pPr>
            <w:r>
              <w:rPr>
                <w:rFonts w:cs="Times New Roman"/>
                <w:kern w:val="0"/>
                <w:sz w:val="18"/>
                <w:szCs w:val="18"/>
              </w:rPr>
              <w:t>1879</w:t>
            </w:r>
          </w:p>
        </w:tc>
      </w:tr>
      <w:tr w14:paraId="4BEBB1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B1A1E32">
            <w:pPr>
              <w:widowControl/>
              <w:adjustRightInd/>
              <w:snapToGrid/>
              <w:ind w:firstLine="0" w:firstLineChars="0"/>
              <w:jc w:val="center"/>
              <w:rPr>
                <w:rFonts w:cs="Times New Roman"/>
                <w:kern w:val="0"/>
                <w:sz w:val="18"/>
                <w:szCs w:val="18"/>
              </w:rPr>
            </w:pPr>
          </w:p>
        </w:tc>
        <w:tc>
          <w:tcPr>
            <w:tcW w:w="3590" w:type="pct"/>
            <w:gridSpan w:val="5"/>
            <w:vAlign w:val="center"/>
          </w:tcPr>
          <w:p w14:paraId="54051DB5">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厂址周边</w:t>
            </w:r>
            <w:r>
              <w:rPr>
                <w:rFonts w:cs="Times New Roman"/>
                <w:kern w:val="0"/>
                <w:sz w:val="18"/>
                <w:szCs w:val="18"/>
              </w:rPr>
              <w:t>5km</w:t>
            </w:r>
            <w:r>
              <w:rPr>
                <w:rFonts w:ascii="宋体" w:hAnsi="宋体" w:cs="Times New Roman"/>
                <w:kern w:val="0"/>
                <w:sz w:val="18"/>
                <w:szCs w:val="18"/>
              </w:rPr>
              <w:t>范围内敏感点人口数小计</w:t>
            </w:r>
          </w:p>
        </w:tc>
        <w:tc>
          <w:tcPr>
            <w:tcW w:w="914" w:type="pct"/>
            <w:vAlign w:val="center"/>
          </w:tcPr>
          <w:p w14:paraId="635195C6">
            <w:pPr>
              <w:widowControl/>
              <w:spacing w:line="360" w:lineRule="exact"/>
              <w:ind w:firstLine="0" w:firstLineChars="0"/>
              <w:jc w:val="center"/>
              <w:rPr>
                <w:rFonts w:cs="Times New Roman"/>
                <w:kern w:val="0"/>
                <w:sz w:val="18"/>
                <w:szCs w:val="18"/>
              </w:rPr>
            </w:pPr>
            <w:r>
              <w:rPr>
                <w:rFonts w:cs="Times New Roman"/>
                <w:kern w:val="0"/>
                <w:sz w:val="18"/>
                <w:szCs w:val="18"/>
              </w:rPr>
              <w:t>42308</w:t>
            </w:r>
          </w:p>
        </w:tc>
      </w:tr>
      <w:tr w14:paraId="6D4C6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C10323B">
            <w:pPr>
              <w:widowControl/>
              <w:adjustRightInd/>
              <w:snapToGrid/>
              <w:ind w:firstLine="0" w:firstLineChars="0"/>
              <w:jc w:val="center"/>
              <w:rPr>
                <w:rFonts w:cs="Times New Roman"/>
                <w:kern w:val="0"/>
                <w:sz w:val="18"/>
                <w:szCs w:val="18"/>
              </w:rPr>
            </w:pPr>
          </w:p>
        </w:tc>
        <w:tc>
          <w:tcPr>
            <w:tcW w:w="3590" w:type="pct"/>
            <w:gridSpan w:val="5"/>
            <w:vAlign w:val="center"/>
          </w:tcPr>
          <w:p w14:paraId="0463BC7B">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大气环境敏感程度</w:t>
            </w:r>
            <w:r>
              <w:rPr>
                <w:rFonts w:cs="Times New Roman"/>
                <w:kern w:val="0"/>
                <w:sz w:val="18"/>
                <w:szCs w:val="18"/>
              </w:rPr>
              <w:t>E</w:t>
            </w:r>
            <w:r>
              <w:rPr>
                <w:rFonts w:ascii="宋体" w:hAnsi="宋体" w:cs="Times New Roman"/>
                <w:kern w:val="0"/>
                <w:sz w:val="18"/>
                <w:szCs w:val="18"/>
              </w:rPr>
              <w:t>值</w:t>
            </w:r>
          </w:p>
        </w:tc>
        <w:tc>
          <w:tcPr>
            <w:tcW w:w="914" w:type="pct"/>
            <w:vAlign w:val="center"/>
          </w:tcPr>
          <w:p w14:paraId="01427342">
            <w:pPr>
              <w:widowControl/>
              <w:spacing w:line="360" w:lineRule="exact"/>
              <w:ind w:firstLine="0" w:firstLineChars="0"/>
              <w:jc w:val="center"/>
              <w:rPr>
                <w:rFonts w:cs="Times New Roman"/>
                <w:kern w:val="0"/>
                <w:sz w:val="18"/>
                <w:szCs w:val="18"/>
              </w:rPr>
            </w:pPr>
            <w:r>
              <w:rPr>
                <w:rFonts w:cs="Times New Roman"/>
                <w:kern w:val="0"/>
                <w:sz w:val="18"/>
                <w:szCs w:val="18"/>
              </w:rPr>
              <w:t>E1</w:t>
            </w:r>
          </w:p>
        </w:tc>
      </w:tr>
      <w:tr w14:paraId="57F97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6" w:type="pct"/>
            <w:vMerge w:val="restart"/>
            <w:vAlign w:val="center"/>
          </w:tcPr>
          <w:p w14:paraId="269C70A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地表水</w:t>
            </w:r>
          </w:p>
        </w:tc>
        <w:tc>
          <w:tcPr>
            <w:tcW w:w="4504" w:type="pct"/>
            <w:gridSpan w:val="6"/>
            <w:vAlign w:val="center"/>
          </w:tcPr>
          <w:p w14:paraId="5A99C3CD">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受纳水体</w:t>
            </w:r>
          </w:p>
        </w:tc>
      </w:tr>
      <w:tr w14:paraId="446C1E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96BEFA8">
            <w:pPr>
              <w:widowControl/>
              <w:adjustRightInd/>
              <w:snapToGrid/>
              <w:ind w:firstLine="0" w:firstLineChars="0"/>
              <w:jc w:val="center"/>
              <w:rPr>
                <w:rFonts w:cs="Times New Roman"/>
                <w:kern w:val="0"/>
                <w:sz w:val="18"/>
                <w:szCs w:val="18"/>
              </w:rPr>
            </w:pPr>
          </w:p>
        </w:tc>
        <w:tc>
          <w:tcPr>
            <w:tcW w:w="2126" w:type="pct"/>
            <w:gridSpan w:val="3"/>
            <w:vAlign w:val="center"/>
          </w:tcPr>
          <w:p w14:paraId="5CD5B42E">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受纳水体名称</w:t>
            </w:r>
          </w:p>
        </w:tc>
        <w:tc>
          <w:tcPr>
            <w:tcW w:w="1464" w:type="pct"/>
            <w:gridSpan w:val="2"/>
            <w:vAlign w:val="center"/>
          </w:tcPr>
          <w:p w14:paraId="0D6E32BD">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排放点水域环境功能</w:t>
            </w:r>
          </w:p>
        </w:tc>
        <w:tc>
          <w:tcPr>
            <w:tcW w:w="914" w:type="pct"/>
            <w:vAlign w:val="center"/>
          </w:tcPr>
          <w:p w14:paraId="579D30F6">
            <w:pPr>
              <w:widowControl/>
              <w:spacing w:line="360" w:lineRule="exact"/>
              <w:ind w:firstLine="0" w:firstLineChars="0"/>
              <w:jc w:val="center"/>
              <w:rPr>
                <w:rFonts w:cs="Times New Roman"/>
                <w:kern w:val="0"/>
                <w:sz w:val="18"/>
                <w:szCs w:val="18"/>
              </w:rPr>
            </w:pPr>
            <w:r>
              <w:rPr>
                <w:rFonts w:cs="Times New Roman"/>
                <w:kern w:val="0"/>
                <w:sz w:val="18"/>
                <w:szCs w:val="18"/>
              </w:rPr>
              <w:t>24h</w:t>
            </w:r>
            <w:r>
              <w:rPr>
                <w:rFonts w:ascii="宋体" w:hAnsi="宋体" w:cs="Times New Roman"/>
                <w:kern w:val="0"/>
                <w:sz w:val="18"/>
                <w:szCs w:val="18"/>
              </w:rPr>
              <w:t>流经范围</w:t>
            </w:r>
            <w:r>
              <w:rPr>
                <w:rFonts w:cs="Times New Roman"/>
                <w:kern w:val="0"/>
                <w:sz w:val="18"/>
                <w:szCs w:val="18"/>
              </w:rPr>
              <w:t>km</w:t>
            </w:r>
          </w:p>
        </w:tc>
      </w:tr>
      <w:tr w14:paraId="24CEE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2ECBC28">
            <w:pPr>
              <w:widowControl/>
              <w:adjustRightInd/>
              <w:snapToGrid/>
              <w:ind w:firstLine="0" w:firstLineChars="0"/>
              <w:jc w:val="center"/>
              <w:rPr>
                <w:rFonts w:cs="Times New Roman"/>
                <w:kern w:val="0"/>
                <w:sz w:val="18"/>
                <w:szCs w:val="18"/>
              </w:rPr>
            </w:pPr>
          </w:p>
        </w:tc>
        <w:tc>
          <w:tcPr>
            <w:tcW w:w="2126" w:type="pct"/>
            <w:gridSpan w:val="3"/>
            <w:vAlign w:val="center"/>
          </w:tcPr>
          <w:p w14:paraId="4EFAF683">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沫冲引河</w:t>
            </w:r>
          </w:p>
        </w:tc>
        <w:tc>
          <w:tcPr>
            <w:tcW w:w="1464" w:type="pct"/>
            <w:gridSpan w:val="2"/>
            <w:vAlign w:val="center"/>
          </w:tcPr>
          <w:p w14:paraId="0CCFF156">
            <w:pPr>
              <w:widowControl/>
              <w:spacing w:line="360" w:lineRule="exact"/>
              <w:ind w:firstLine="0" w:firstLineChars="0"/>
              <w:jc w:val="center"/>
              <w:rPr>
                <w:rFonts w:cs="Times New Roman"/>
                <w:kern w:val="0"/>
                <w:sz w:val="18"/>
                <w:szCs w:val="18"/>
              </w:rPr>
            </w:pPr>
            <w:r>
              <w:rPr>
                <w:rFonts w:cs="Times New Roman"/>
                <w:kern w:val="0"/>
                <w:sz w:val="18"/>
                <w:szCs w:val="18"/>
              </w:rPr>
              <w:t>/</w:t>
            </w:r>
          </w:p>
        </w:tc>
        <w:tc>
          <w:tcPr>
            <w:tcW w:w="914" w:type="pct"/>
            <w:vAlign w:val="center"/>
          </w:tcPr>
          <w:p w14:paraId="206A3062">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其他</w:t>
            </w:r>
          </w:p>
        </w:tc>
      </w:tr>
      <w:tr w14:paraId="3E88AD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04D57DE">
            <w:pPr>
              <w:widowControl/>
              <w:adjustRightInd/>
              <w:snapToGrid/>
              <w:ind w:firstLine="0" w:firstLineChars="0"/>
              <w:jc w:val="center"/>
              <w:rPr>
                <w:rFonts w:cs="Times New Roman"/>
                <w:kern w:val="0"/>
                <w:sz w:val="18"/>
                <w:szCs w:val="18"/>
              </w:rPr>
            </w:pPr>
          </w:p>
        </w:tc>
        <w:tc>
          <w:tcPr>
            <w:tcW w:w="4504" w:type="pct"/>
            <w:gridSpan w:val="6"/>
            <w:vAlign w:val="center"/>
          </w:tcPr>
          <w:p w14:paraId="2230A077">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内陆水体排放点下游</w:t>
            </w:r>
            <w:r>
              <w:rPr>
                <w:rFonts w:cs="Times New Roman"/>
                <w:kern w:val="0"/>
                <w:sz w:val="18"/>
                <w:szCs w:val="18"/>
              </w:rPr>
              <w:t>10km</w:t>
            </w:r>
            <w:r>
              <w:rPr>
                <w:rFonts w:ascii="宋体" w:hAnsi="宋体" w:cs="Times New Roman"/>
                <w:kern w:val="0"/>
                <w:sz w:val="18"/>
                <w:szCs w:val="18"/>
              </w:rPr>
              <w:t>范围内敏感目标</w:t>
            </w:r>
          </w:p>
        </w:tc>
      </w:tr>
      <w:tr w14:paraId="09ABD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C6C518A">
            <w:pPr>
              <w:widowControl/>
              <w:adjustRightInd/>
              <w:snapToGrid/>
              <w:ind w:firstLine="0" w:firstLineChars="0"/>
              <w:jc w:val="center"/>
              <w:rPr>
                <w:rFonts w:cs="Times New Roman"/>
                <w:kern w:val="0"/>
                <w:sz w:val="18"/>
                <w:szCs w:val="18"/>
              </w:rPr>
            </w:pPr>
          </w:p>
        </w:tc>
        <w:tc>
          <w:tcPr>
            <w:tcW w:w="2126" w:type="pct"/>
            <w:gridSpan w:val="3"/>
            <w:vAlign w:val="center"/>
          </w:tcPr>
          <w:p w14:paraId="0280DF52">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敏感目标名称</w:t>
            </w:r>
          </w:p>
        </w:tc>
        <w:tc>
          <w:tcPr>
            <w:tcW w:w="605" w:type="pct"/>
            <w:vAlign w:val="center"/>
          </w:tcPr>
          <w:p w14:paraId="25040B82">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环境敏感特征</w:t>
            </w:r>
          </w:p>
        </w:tc>
        <w:tc>
          <w:tcPr>
            <w:tcW w:w="859" w:type="pct"/>
            <w:vAlign w:val="center"/>
          </w:tcPr>
          <w:p w14:paraId="273A2EFB">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水质目标</w:t>
            </w:r>
          </w:p>
        </w:tc>
        <w:tc>
          <w:tcPr>
            <w:tcW w:w="914" w:type="pct"/>
            <w:vAlign w:val="center"/>
          </w:tcPr>
          <w:p w14:paraId="7E2918DD">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与排放点距离</w:t>
            </w:r>
            <w:r>
              <w:rPr>
                <w:rFonts w:cs="Times New Roman"/>
                <w:kern w:val="0"/>
                <w:sz w:val="18"/>
                <w:szCs w:val="18"/>
              </w:rPr>
              <w:t>m</w:t>
            </w:r>
          </w:p>
        </w:tc>
      </w:tr>
      <w:tr w14:paraId="4A2347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0" w:type="auto"/>
            <w:vMerge w:val="continue"/>
            <w:vAlign w:val="center"/>
          </w:tcPr>
          <w:p w14:paraId="1FE31013">
            <w:pPr>
              <w:widowControl/>
              <w:adjustRightInd/>
              <w:snapToGrid/>
              <w:ind w:firstLine="0" w:firstLineChars="0"/>
              <w:jc w:val="center"/>
              <w:rPr>
                <w:rFonts w:cs="Times New Roman"/>
                <w:kern w:val="0"/>
                <w:sz w:val="18"/>
                <w:szCs w:val="18"/>
              </w:rPr>
            </w:pPr>
          </w:p>
        </w:tc>
        <w:tc>
          <w:tcPr>
            <w:tcW w:w="2126" w:type="pct"/>
            <w:gridSpan w:val="3"/>
            <w:vAlign w:val="center"/>
          </w:tcPr>
          <w:p w14:paraId="64EC660B">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无</w:t>
            </w:r>
          </w:p>
        </w:tc>
        <w:tc>
          <w:tcPr>
            <w:tcW w:w="605" w:type="pct"/>
            <w:vAlign w:val="center"/>
          </w:tcPr>
          <w:p w14:paraId="5C13963A">
            <w:pPr>
              <w:widowControl/>
              <w:spacing w:line="360" w:lineRule="exact"/>
              <w:ind w:firstLine="0" w:firstLineChars="0"/>
              <w:jc w:val="center"/>
              <w:rPr>
                <w:rFonts w:cs="Times New Roman"/>
                <w:kern w:val="0"/>
                <w:sz w:val="18"/>
                <w:szCs w:val="18"/>
              </w:rPr>
            </w:pPr>
            <w:r>
              <w:rPr>
                <w:rFonts w:cs="Times New Roman"/>
                <w:kern w:val="0"/>
                <w:sz w:val="18"/>
                <w:szCs w:val="18"/>
              </w:rPr>
              <w:t>/</w:t>
            </w:r>
          </w:p>
        </w:tc>
        <w:tc>
          <w:tcPr>
            <w:tcW w:w="859" w:type="pct"/>
            <w:vAlign w:val="center"/>
          </w:tcPr>
          <w:p w14:paraId="76770DED">
            <w:pPr>
              <w:widowControl/>
              <w:spacing w:line="360" w:lineRule="exact"/>
              <w:ind w:firstLine="0" w:firstLineChars="0"/>
              <w:jc w:val="center"/>
              <w:rPr>
                <w:rFonts w:cs="Times New Roman"/>
                <w:kern w:val="0"/>
                <w:sz w:val="18"/>
                <w:szCs w:val="18"/>
              </w:rPr>
            </w:pPr>
            <w:r>
              <w:rPr>
                <w:rFonts w:cs="Times New Roman"/>
                <w:kern w:val="0"/>
                <w:sz w:val="18"/>
                <w:szCs w:val="18"/>
              </w:rPr>
              <w:t>/</w:t>
            </w:r>
          </w:p>
        </w:tc>
        <w:tc>
          <w:tcPr>
            <w:tcW w:w="914" w:type="pct"/>
            <w:vAlign w:val="center"/>
          </w:tcPr>
          <w:p w14:paraId="505E3BA7">
            <w:pPr>
              <w:widowControl/>
              <w:spacing w:line="360" w:lineRule="exact"/>
              <w:ind w:firstLine="0" w:firstLineChars="0"/>
              <w:jc w:val="center"/>
              <w:rPr>
                <w:rFonts w:cs="Times New Roman"/>
                <w:kern w:val="0"/>
                <w:sz w:val="18"/>
                <w:szCs w:val="18"/>
              </w:rPr>
            </w:pPr>
            <w:r>
              <w:rPr>
                <w:rFonts w:cs="Times New Roman"/>
                <w:kern w:val="0"/>
                <w:sz w:val="18"/>
                <w:szCs w:val="18"/>
              </w:rPr>
              <w:t>/</w:t>
            </w:r>
          </w:p>
        </w:tc>
      </w:tr>
      <w:tr w14:paraId="7ECC58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0" w:type="auto"/>
            <w:vMerge w:val="continue"/>
            <w:vAlign w:val="center"/>
          </w:tcPr>
          <w:p w14:paraId="467D4D9B">
            <w:pPr>
              <w:widowControl/>
              <w:adjustRightInd/>
              <w:snapToGrid/>
              <w:ind w:firstLine="0" w:firstLineChars="0"/>
              <w:jc w:val="center"/>
              <w:rPr>
                <w:rFonts w:cs="Times New Roman"/>
                <w:kern w:val="0"/>
                <w:sz w:val="18"/>
                <w:szCs w:val="18"/>
              </w:rPr>
            </w:pPr>
          </w:p>
        </w:tc>
        <w:tc>
          <w:tcPr>
            <w:tcW w:w="3590" w:type="pct"/>
            <w:gridSpan w:val="5"/>
            <w:vAlign w:val="center"/>
          </w:tcPr>
          <w:p w14:paraId="50171B88">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地表水</w:t>
            </w:r>
            <w:r>
              <w:rPr>
                <w:rFonts w:ascii="宋体" w:hAnsi="宋体" w:cs="Times New Roman"/>
                <w:kern w:val="0"/>
                <w:sz w:val="18"/>
                <w:szCs w:val="18"/>
              </w:rPr>
              <w:t>环境敏感程度</w:t>
            </w:r>
            <w:r>
              <w:rPr>
                <w:rFonts w:cs="Times New Roman"/>
                <w:kern w:val="0"/>
                <w:sz w:val="18"/>
                <w:szCs w:val="18"/>
              </w:rPr>
              <w:t>E</w:t>
            </w:r>
            <w:r>
              <w:rPr>
                <w:rFonts w:hint="eastAsia" w:ascii="宋体" w:hAnsi="宋体" w:cs="Times New Roman"/>
                <w:kern w:val="0"/>
                <w:sz w:val="18"/>
                <w:szCs w:val="18"/>
              </w:rPr>
              <w:t>值</w:t>
            </w:r>
          </w:p>
        </w:tc>
        <w:tc>
          <w:tcPr>
            <w:tcW w:w="914" w:type="pct"/>
            <w:vAlign w:val="center"/>
          </w:tcPr>
          <w:p w14:paraId="218823A6">
            <w:pPr>
              <w:widowControl/>
              <w:spacing w:line="360" w:lineRule="exact"/>
              <w:ind w:firstLine="0" w:firstLineChars="0"/>
              <w:jc w:val="center"/>
              <w:rPr>
                <w:rFonts w:cs="Times New Roman"/>
                <w:kern w:val="0"/>
                <w:sz w:val="18"/>
                <w:szCs w:val="18"/>
              </w:rPr>
            </w:pPr>
            <w:r>
              <w:rPr>
                <w:rFonts w:hint="eastAsia" w:cs="Times New Roman"/>
                <w:kern w:val="0"/>
                <w:sz w:val="18"/>
                <w:szCs w:val="18"/>
              </w:rPr>
              <w:t>E</w:t>
            </w:r>
            <w:r>
              <w:rPr>
                <w:rFonts w:cs="Times New Roman"/>
                <w:kern w:val="0"/>
                <w:sz w:val="18"/>
                <w:szCs w:val="18"/>
              </w:rPr>
              <w:t>3</w:t>
            </w:r>
          </w:p>
        </w:tc>
      </w:tr>
      <w:tr w14:paraId="328EF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6" w:type="pct"/>
            <w:vMerge w:val="restart"/>
            <w:vAlign w:val="center"/>
          </w:tcPr>
          <w:p w14:paraId="00745447">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地下水</w:t>
            </w:r>
          </w:p>
        </w:tc>
        <w:tc>
          <w:tcPr>
            <w:tcW w:w="1624" w:type="pct"/>
            <w:gridSpan w:val="2"/>
            <w:vAlign w:val="center"/>
          </w:tcPr>
          <w:p w14:paraId="09D1DB92">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环境敏感区名称</w:t>
            </w:r>
          </w:p>
        </w:tc>
        <w:tc>
          <w:tcPr>
            <w:tcW w:w="502" w:type="pct"/>
            <w:vAlign w:val="center"/>
          </w:tcPr>
          <w:p w14:paraId="52E13739">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环境敏感特征</w:t>
            </w:r>
          </w:p>
        </w:tc>
        <w:tc>
          <w:tcPr>
            <w:tcW w:w="605" w:type="pct"/>
            <w:vAlign w:val="center"/>
          </w:tcPr>
          <w:p w14:paraId="25105A1E">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水质目标</w:t>
            </w:r>
          </w:p>
        </w:tc>
        <w:tc>
          <w:tcPr>
            <w:tcW w:w="859" w:type="pct"/>
            <w:vAlign w:val="center"/>
          </w:tcPr>
          <w:p w14:paraId="7F5DE8F1">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包气带防污性能</w:t>
            </w:r>
          </w:p>
        </w:tc>
        <w:tc>
          <w:tcPr>
            <w:tcW w:w="914" w:type="pct"/>
            <w:vAlign w:val="center"/>
          </w:tcPr>
          <w:p w14:paraId="50BE60A8">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与下游厂界距离</w:t>
            </w:r>
            <w:r>
              <w:rPr>
                <w:rFonts w:cs="Times New Roman"/>
                <w:kern w:val="0"/>
                <w:sz w:val="18"/>
                <w:szCs w:val="18"/>
              </w:rPr>
              <w:t>m</w:t>
            </w:r>
          </w:p>
        </w:tc>
      </w:tr>
      <w:tr w14:paraId="6D1F3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1BFADB7">
            <w:pPr>
              <w:widowControl/>
              <w:adjustRightInd/>
              <w:snapToGrid/>
              <w:ind w:firstLine="0" w:firstLineChars="0"/>
              <w:jc w:val="center"/>
              <w:rPr>
                <w:rFonts w:cs="Times New Roman"/>
                <w:kern w:val="0"/>
                <w:sz w:val="18"/>
                <w:szCs w:val="18"/>
              </w:rPr>
            </w:pPr>
          </w:p>
        </w:tc>
        <w:tc>
          <w:tcPr>
            <w:tcW w:w="1624" w:type="pct"/>
            <w:gridSpan w:val="2"/>
            <w:vAlign w:val="center"/>
          </w:tcPr>
          <w:p w14:paraId="21781C79">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区域地下水</w:t>
            </w:r>
          </w:p>
        </w:tc>
        <w:tc>
          <w:tcPr>
            <w:tcW w:w="502" w:type="pct"/>
            <w:vAlign w:val="center"/>
          </w:tcPr>
          <w:p w14:paraId="17E92361">
            <w:pPr>
              <w:widowControl/>
              <w:spacing w:line="360" w:lineRule="exact"/>
              <w:ind w:firstLine="0" w:firstLineChars="0"/>
              <w:jc w:val="center"/>
              <w:rPr>
                <w:rFonts w:cs="Times New Roman"/>
                <w:kern w:val="0"/>
                <w:sz w:val="18"/>
                <w:szCs w:val="18"/>
              </w:rPr>
            </w:pPr>
            <w:r>
              <w:rPr>
                <w:rFonts w:cs="Times New Roman"/>
                <w:kern w:val="0"/>
                <w:sz w:val="18"/>
                <w:szCs w:val="18"/>
              </w:rPr>
              <w:t>/</w:t>
            </w:r>
          </w:p>
        </w:tc>
        <w:tc>
          <w:tcPr>
            <w:tcW w:w="605" w:type="pct"/>
            <w:vAlign w:val="center"/>
          </w:tcPr>
          <w:p w14:paraId="65FEF669">
            <w:pPr>
              <w:widowControl/>
              <w:spacing w:line="360" w:lineRule="exact"/>
              <w:ind w:firstLine="0" w:firstLineChars="0"/>
              <w:jc w:val="center"/>
              <w:rPr>
                <w:rFonts w:cs="Times New Roman"/>
                <w:kern w:val="0"/>
                <w:sz w:val="18"/>
                <w:szCs w:val="18"/>
              </w:rPr>
            </w:pPr>
            <w:r>
              <w:rPr>
                <w:rFonts w:cs="Times New Roman"/>
                <w:kern w:val="0"/>
                <w:sz w:val="18"/>
                <w:szCs w:val="18"/>
              </w:rPr>
              <w:t>/</w:t>
            </w:r>
          </w:p>
        </w:tc>
        <w:tc>
          <w:tcPr>
            <w:tcW w:w="859" w:type="pct"/>
            <w:vAlign w:val="center"/>
          </w:tcPr>
          <w:p w14:paraId="01400080">
            <w:pPr>
              <w:widowControl/>
              <w:spacing w:line="360" w:lineRule="exact"/>
              <w:ind w:firstLine="0" w:firstLineChars="0"/>
              <w:jc w:val="center"/>
              <w:rPr>
                <w:rFonts w:cs="Times New Roman"/>
                <w:kern w:val="0"/>
                <w:sz w:val="18"/>
                <w:szCs w:val="18"/>
              </w:rPr>
            </w:pPr>
            <w:r>
              <w:rPr>
                <w:rFonts w:cs="Times New Roman"/>
                <w:kern w:val="0"/>
                <w:sz w:val="18"/>
                <w:szCs w:val="18"/>
              </w:rPr>
              <w:t>1×10-6cm/s&lt;K≤1×10-4cm/s</w:t>
            </w:r>
          </w:p>
        </w:tc>
        <w:tc>
          <w:tcPr>
            <w:tcW w:w="914" w:type="pct"/>
            <w:vAlign w:val="center"/>
          </w:tcPr>
          <w:p w14:paraId="0F5FE6A0">
            <w:pPr>
              <w:widowControl/>
              <w:spacing w:line="360" w:lineRule="exact"/>
              <w:ind w:firstLine="0" w:firstLineChars="0"/>
              <w:jc w:val="center"/>
              <w:rPr>
                <w:rFonts w:cs="Times New Roman"/>
                <w:kern w:val="0"/>
                <w:sz w:val="18"/>
                <w:szCs w:val="18"/>
              </w:rPr>
            </w:pPr>
            <w:r>
              <w:rPr>
                <w:rFonts w:cs="Times New Roman"/>
                <w:kern w:val="0"/>
                <w:sz w:val="18"/>
                <w:szCs w:val="18"/>
              </w:rPr>
              <w:t>/</w:t>
            </w:r>
          </w:p>
        </w:tc>
      </w:tr>
      <w:tr w14:paraId="7D6FA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2863CE2">
            <w:pPr>
              <w:widowControl/>
              <w:adjustRightInd/>
              <w:snapToGrid/>
              <w:ind w:firstLine="0" w:firstLineChars="0"/>
              <w:jc w:val="center"/>
              <w:rPr>
                <w:rFonts w:cs="Times New Roman"/>
                <w:kern w:val="0"/>
                <w:sz w:val="18"/>
                <w:szCs w:val="18"/>
              </w:rPr>
            </w:pPr>
          </w:p>
        </w:tc>
        <w:tc>
          <w:tcPr>
            <w:tcW w:w="3590" w:type="pct"/>
            <w:gridSpan w:val="5"/>
            <w:vAlign w:val="center"/>
          </w:tcPr>
          <w:p w14:paraId="52DA9E51">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地下水环境敏感程度</w:t>
            </w:r>
            <w:r>
              <w:rPr>
                <w:rFonts w:hint="eastAsia" w:cs="Times New Roman"/>
                <w:kern w:val="0"/>
                <w:sz w:val="18"/>
                <w:szCs w:val="18"/>
              </w:rPr>
              <w:t>E</w:t>
            </w:r>
            <w:r>
              <w:rPr>
                <w:rFonts w:hint="eastAsia" w:ascii="宋体" w:hAnsi="宋体" w:cs="Times New Roman"/>
                <w:kern w:val="0"/>
                <w:sz w:val="18"/>
                <w:szCs w:val="18"/>
              </w:rPr>
              <w:t>值</w:t>
            </w:r>
          </w:p>
        </w:tc>
        <w:tc>
          <w:tcPr>
            <w:tcW w:w="914" w:type="pct"/>
            <w:vAlign w:val="center"/>
          </w:tcPr>
          <w:p w14:paraId="27F858B4">
            <w:pPr>
              <w:widowControl/>
              <w:spacing w:line="360" w:lineRule="exact"/>
              <w:ind w:firstLine="0" w:firstLineChars="0"/>
              <w:jc w:val="center"/>
              <w:rPr>
                <w:rFonts w:cs="Times New Roman"/>
                <w:kern w:val="0"/>
                <w:sz w:val="18"/>
                <w:szCs w:val="18"/>
              </w:rPr>
            </w:pPr>
            <w:r>
              <w:rPr>
                <w:rFonts w:hint="eastAsia" w:cs="Times New Roman"/>
                <w:kern w:val="0"/>
                <w:sz w:val="18"/>
                <w:szCs w:val="18"/>
              </w:rPr>
              <w:t>E</w:t>
            </w:r>
            <w:r>
              <w:rPr>
                <w:rFonts w:cs="Times New Roman"/>
                <w:kern w:val="0"/>
                <w:sz w:val="18"/>
                <w:szCs w:val="18"/>
              </w:rPr>
              <w:t>3</w:t>
            </w:r>
          </w:p>
        </w:tc>
      </w:tr>
    </w:tbl>
    <w:p w14:paraId="7650A672">
      <w:pPr>
        <w:spacing w:before="240" w:after="120"/>
        <w:ind w:firstLine="0" w:firstLineChars="0"/>
        <w:jc w:val="left"/>
        <w:outlineLvl w:val="2"/>
        <w:rPr>
          <w:rFonts w:ascii="黑体" w:hAnsi="黑体" w:eastAsia="黑体"/>
          <w:sz w:val="28"/>
          <w:szCs w:val="28"/>
        </w:rPr>
      </w:pPr>
      <w:bookmarkStart w:id="332" w:name="_Toc100784065"/>
      <w:bookmarkStart w:id="333" w:name="_Toc101135897"/>
      <w:bookmarkStart w:id="334" w:name="_Toc108662674"/>
      <w:r>
        <w:rPr>
          <w:rFonts w:hint="eastAsia" w:eastAsia="黑体"/>
          <w:sz w:val="28"/>
          <w:szCs w:val="28"/>
        </w:rPr>
        <w:t>5</w:t>
      </w:r>
      <w:r>
        <w:rPr>
          <w:rFonts w:eastAsia="黑体"/>
          <w:sz w:val="28"/>
          <w:szCs w:val="28"/>
        </w:rPr>
        <w:t>.6.3</w:t>
      </w:r>
      <w:r>
        <w:rPr>
          <w:rFonts w:hint="eastAsia" w:ascii="黑体" w:hAnsi="黑体" w:eastAsia="黑体"/>
          <w:sz w:val="28"/>
          <w:szCs w:val="28"/>
        </w:rPr>
        <w:t>风险识别</w:t>
      </w:r>
      <w:bookmarkEnd w:id="332"/>
      <w:bookmarkEnd w:id="333"/>
      <w:bookmarkEnd w:id="334"/>
    </w:p>
    <w:p w14:paraId="5D5A1CBE">
      <w:pPr>
        <w:ind w:firstLine="480"/>
      </w:pPr>
      <w:r>
        <w:t>根据</w:t>
      </w:r>
      <w:r>
        <w:rPr>
          <w:rFonts w:hint="eastAsia"/>
          <w:lang w:val="zh-CN"/>
        </w:rPr>
        <w:t>《建设项目环境风险评价技术导则》</w:t>
      </w:r>
      <w:r>
        <w:t>（HJ169-2018），风险识别内容主要包括物质危险性识别、生产系统危险性识别和危险物质向环境转移的途径识别。</w:t>
      </w:r>
    </w:p>
    <w:p w14:paraId="650D8501">
      <w:pPr>
        <w:ind w:firstLine="480"/>
      </w:pPr>
      <w:r>
        <w:t>（1）物质危险性识别：包括主要原辅材料、燃料、中间产品、副产品、最终产品、污染物、火灾和爆炸伴生/次生物等。</w:t>
      </w:r>
    </w:p>
    <w:p w14:paraId="52B46B5A">
      <w:pPr>
        <w:ind w:firstLine="480"/>
      </w:pPr>
      <w:r>
        <w:t>（2）生产系统危险性识别：包括主要生产装置、储运设施、公用工程和辅助生产设施，以及环境保护设施。</w:t>
      </w:r>
    </w:p>
    <w:p w14:paraId="3008C888">
      <w:pPr>
        <w:ind w:firstLine="480"/>
      </w:pPr>
      <w:r>
        <w:t>（3）危险物质向环境转移的途径识别：包括分析危险物质特性及可能的环境风险类型，识别危险物质影响环境的途径，分析可能影响的环境敏感目标</w:t>
      </w:r>
      <w:r>
        <w:rPr>
          <w:rFonts w:hint="eastAsia"/>
        </w:rPr>
        <w:t>。</w:t>
      </w:r>
    </w:p>
    <w:p w14:paraId="0F0E699D">
      <w:pPr>
        <w:widowControl/>
        <w:spacing w:before="120" w:after="120"/>
        <w:ind w:firstLine="0" w:firstLineChars="0"/>
        <w:jc w:val="left"/>
        <w:outlineLvl w:val="3"/>
        <w:rPr>
          <w:rFonts w:ascii="黑体" w:hAnsi="黑体" w:eastAsia="黑体"/>
        </w:rPr>
      </w:pPr>
      <w:r>
        <w:rPr>
          <w:rFonts w:eastAsia="黑体"/>
        </w:rPr>
        <w:t>5.6.3.1</w:t>
      </w:r>
      <w:r>
        <w:rPr>
          <w:rFonts w:ascii="黑体" w:hAnsi="黑体" w:eastAsia="黑体"/>
        </w:rPr>
        <w:t>物质危险性识别</w:t>
      </w:r>
    </w:p>
    <w:p w14:paraId="71591998">
      <w:pPr>
        <w:ind w:firstLine="480"/>
      </w:pPr>
      <w:r>
        <w:rPr>
          <w:rFonts w:cs="Times New Roman"/>
        </w:rPr>
        <w:t>根据（HJ169-2018）附录B识别处本项目主要危险物质为</w:t>
      </w:r>
      <w:r>
        <w:rPr>
          <w:rFonts w:hint="eastAsia" w:cs="Times New Roman"/>
        </w:rPr>
        <w:t>甲醇</w:t>
      </w:r>
      <w:r>
        <w:rPr>
          <w:rFonts w:cs="Times New Roman"/>
        </w:rPr>
        <w:t>、氢氟酸、盐酸、</w:t>
      </w:r>
      <w:r>
        <w:rPr>
          <w:rFonts w:hint="eastAsia" w:cs="Times New Roman"/>
        </w:rPr>
        <w:t>氯化氢</w:t>
      </w:r>
      <w:r>
        <w:rPr>
          <w:rFonts w:cs="Times New Roman"/>
        </w:rPr>
        <w:t>、</w:t>
      </w:r>
      <w:r>
        <w:rPr>
          <w:rFonts w:hint="eastAsia" w:cs="Times New Roman"/>
        </w:rPr>
        <w:t>氨水、硫酸</w:t>
      </w:r>
      <w:r>
        <w:rPr>
          <w:rFonts w:cs="Times New Roman"/>
        </w:rPr>
        <w:t>、</w:t>
      </w:r>
      <w:r>
        <w:rPr>
          <w:rFonts w:hint="eastAsia"/>
        </w:rPr>
        <w:t>烯丙基缩水甘油醚和</w:t>
      </w:r>
      <w:r>
        <w:t>异丙醇等</w:t>
      </w:r>
      <w:r>
        <w:rPr>
          <w:rFonts w:hint="eastAsia" w:cs="Times New Roman"/>
        </w:rPr>
        <w:t>。</w:t>
      </w:r>
      <w:r>
        <w:rPr>
          <w:rFonts w:cs="Times New Roman"/>
        </w:rPr>
        <w:t>具体理化性质见下表</w:t>
      </w:r>
      <w:r>
        <w:t>5.6.3-1</w:t>
      </w:r>
      <w:r>
        <w:rPr>
          <w:rFonts w:hint="eastAsia" w:ascii="宋体" w:hAnsi="宋体"/>
        </w:rPr>
        <w:t>。</w:t>
      </w:r>
    </w:p>
    <w:p w14:paraId="645A3986">
      <w:pPr>
        <w:pStyle w:val="278"/>
      </w:pPr>
      <w:r>
        <w:rPr>
          <w:rFonts w:hint="eastAsia"/>
        </w:rPr>
        <w:t>表</w:t>
      </w:r>
      <w:r>
        <w:t xml:space="preserve">5.6.3-1  </w:t>
      </w:r>
      <w:r>
        <w:rPr>
          <w:rFonts w:hint="eastAsia"/>
        </w:rPr>
        <w:t>主要原辅材料</w:t>
      </w:r>
      <w:r>
        <w:t>、产物理化性质、毒性毒理</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488"/>
        <w:gridCol w:w="2346"/>
        <w:gridCol w:w="2442"/>
        <w:gridCol w:w="2466"/>
      </w:tblGrid>
      <w:tr w14:paraId="3B76A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51065932">
            <w:pPr>
              <w:pStyle w:val="445"/>
              <w:rPr>
                <w:rFonts w:cs="Times New Roman"/>
                <w:kern w:val="0"/>
                <w:szCs w:val="20"/>
              </w:rPr>
            </w:pPr>
            <w:r>
              <w:rPr>
                <w:rFonts w:cs="Times New Roman"/>
                <w:kern w:val="0"/>
                <w:szCs w:val="20"/>
              </w:rPr>
              <w:t>序号</w:t>
            </w:r>
          </w:p>
        </w:tc>
        <w:tc>
          <w:tcPr>
            <w:tcW w:w="805" w:type="pct"/>
            <w:vAlign w:val="center"/>
          </w:tcPr>
          <w:p w14:paraId="7B98AD26">
            <w:pPr>
              <w:pStyle w:val="445"/>
              <w:rPr>
                <w:rFonts w:cs="Times New Roman"/>
                <w:kern w:val="0"/>
                <w:szCs w:val="20"/>
              </w:rPr>
            </w:pPr>
            <w:r>
              <w:rPr>
                <w:rFonts w:cs="Times New Roman"/>
                <w:kern w:val="0"/>
                <w:szCs w:val="20"/>
              </w:rPr>
              <w:t>名称</w:t>
            </w:r>
          </w:p>
        </w:tc>
        <w:tc>
          <w:tcPr>
            <w:tcW w:w="1269" w:type="pct"/>
            <w:vAlign w:val="center"/>
          </w:tcPr>
          <w:p w14:paraId="2B3790C7">
            <w:pPr>
              <w:pStyle w:val="445"/>
              <w:rPr>
                <w:rFonts w:cs="Times New Roman"/>
                <w:kern w:val="0"/>
                <w:szCs w:val="20"/>
              </w:rPr>
            </w:pPr>
            <w:r>
              <w:rPr>
                <w:rFonts w:cs="Times New Roman"/>
                <w:kern w:val="0"/>
                <w:szCs w:val="20"/>
              </w:rPr>
              <w:t>理化性质</w:t>
            </w:r>
          </w:p>
        </w:tc>
        <w:tc>
          <w:tcPr>
            <w:tcW w:w="1321" w:type="pct"/>
            <w:vAlign w:val="center"/>
          </w:tcPr>
          <w:p w14:paraId="0DB9F372">
            <w:pPr>
              <w:pStyle w:val="445"/>
              <w:rPr>
                <w:rFonts w:cs="Times New Roman"/>
                <w:kern w:val="0"/>
                <w:szCs w:val="20"/>
              </w:rPr>
            </w:pPr>
            <w:r>
              <w:rPr>
                <w:rFonts w:cs="Times New Roman"/>
                <w:kern w:val="0"/>
                <w:szCs w:val="20"/>
              </w:rPr>
              <w:t>燃烧爆炸性</w:t>
            </w:r>
          </w:p>
        </w:tc>
        <w:tc>
          <w:tcPr>
            <w:tcW w:w="1334" w:type="pct"/>
            <w:vAlign w:val="center"/>
          </w:tcPr>
          <w:p w14:paraId="31BD0507">
            <w:pPr>
              <w:pStyle w:val="445"/>
              <w:rPr>
                <w:rFonts w:cs="Times New Roman"/>
                <w:kern w:val="0"/>
                <w:szCs w:val="20"/>
              </w:rPr>
            </w:pPr>
            <w:r>
              <w:rPr>
                <w:rFonts w:cs="Times New Roman"/>
                <w:kern w:val="0"/>
                <w:szCs w:val="20"/>
              </w:rPr>
              <w:t>毒性毒理</w:t>
            </w:r>
          </w:p>
        </w:tc>
      </w:tr>
      <w:tr w14:paraId="179E5A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513B60BE">
            <w:pPr>
              <w:pStyle w:val="445"/>
              <w:rPr>
                <w:rFonts w:cs="Times New Roman"/>
                <w:kern w:val="0"/>
                <w:szCs w:val="20"/>
              </w:rPr>
            </w:pPr>
            <w:r>
              <w:rPr>
                <w:rFonts w:cs="Times New Roman"/>
                <w:kern w:val="0"/>
                <w:szCs w:val="20"/>
              </w:rPr>
              <w:t>1</w:t>
            </w:r>
          </w:p>
        </w:tc>
        <w:tc>
          <w:tcPr>
            <w:tcW w:w="805" w:type="pct"/>
            <w:vAlign w:val="center"/>
          </w:tcPr>
          <w:p w14:paraId="6DFB3DA6">
            <w:pPr>
              <w:pStyle w:val="445"/>
              <w:rPr>
                <w:rFonts w:cs="Times New Roman"/>
                <w:kern w:val="0"/>
                <w:szCs w:val="20"/>
              </w:rPr>
            </w:pPr>
            <w:r>
              <w:rPr>
                <w:rFonts w:cs="Times New Roman"/>
                <w:kern w:val="0"/>
                <w:szCs w:val="20"/>
              </w:rPr>
              <w:t>氨水</w:t>
            </w:r>
          </w:p>
          <w:p w14:paraId="5A790755">
            <w:pPr>
              <w:pStyle w:val="445"/>
              <w:rPr>
                <w:rFonts w:cs="Times New Roman"/>
                <w:kern w:val="0"/>
                <w:szCs w:val="20"/>
              </w:rPr>
            </w:pPr>
            <w:r>
              <w:rPr>
                <w:rFonts w:cs="Times New Roman"/>
                <w:kern w:val="0"/>
                <w:szCs w:val="20"/>
              </w:rPr>
              <w:t>NH</w:t>
            </w:r>
            <w:r>
              <w:rPr>
                <w:rFonts w:cs="Times New Roman"/>
                <w:kern w:val="0"/>
                <w:szCs w:val="20"/>
                <w:vertAlign w:val="subscript"/>
              </w:rPr>
              <w:t>4</w:t>
            </w:r>
            <w:r>
              <w:rPr>
                <w:rFonts w:cs="Times New Roman"/>
                <w:kern w:val="0"/>
                <w:szCs w:val="20"/>
              </w:rPr>
              <w:t>OH</w:t>
            </w:r>
          </w:p>
        </w:tc>
        <w:tc>
          <w:tcPr>
            <w:tcW w:w="1269" w:type="pct"/>
            <w:vAlign w:val="center"/>
          </w:tcPr>
          <w:p w14:paraId="701B35CC">
            <w:pPr>
              <w:pStyle w:val="445"/>
              <w:rPr>
                <w:rFonts w:cs="Times New Roman"/>
                <w:kern w:val="0"/>
                <w:szCs w:val="20"/>
              </w:rPr>
            </w:pPr>
            <w:r>
              <w:rPr>
                <w:rFonts w:cs="Times New Roman"/>
                <w:kern w:val="0"/>
                <w:szCs w:val="20"/>
              </w:rPr>
              <w:t>分子量35，密度0.91g/cm</w:t>
            </w:r>
            <w:r>
              <w:rPr>
                <w:rFonts w:cs="Times New Roman"/>
                <w:kern w:val="0"/>
                <w:szCs w:val="20"/>
                <w:vertAlign w:val="superscript"/>
              </w:rPr>
              <w:t>3</w:t>
            </w:r>
            <w:r>
              <w:rPr>
                <w:rFonts w:cs="Times New Roman"/>
                <w:kern w:val="0"/>
                <w:szCs w:val="20"/>
              </w:rPr>
              <w:t>。无色透明液体，有强烈的刺激性臭味。溶于水、醇。</w:t>
            </w:r>
          </w:p>
        </w:tc>
        <w:tc>
          <w:tcPr>
            <w:tcW w:w="1321" w:type="pct"/>
            <w:vAlign w:val="center"/>
          </w:tcPr>
          <w:p w14:paraId="5EEBBEDB">
            <w:pPr>
              <w:pStyle w:val="445"/>
              <w:rPr>
                <w:rFonts w:cs="Times New Roman"/>
                <w:kern w:val="0"/>
                <w:szCs w:val="20"/>
              </w:rPr>
            </w:pPr>
            <w:r>
              <w:rPr>
                <w:rFonts w:cs="Times New Roman"/>
                <w:kern w:val="0"/>
                <w:szCs w:val="20"/>
              </w:rPr>
              <w:t>碱性腐蚀品。易分解放出氨气，温度越高，分解速度越快，可形成爆炸性气氛。</w:t>
            </w:r>
          </w:p>
        </w:tc>
        <w:tc>
          <w:tcPr>
            <w:tcW w:w="1334" w:type="pct"/>
            <w:vAlign w:val="center"/>
          </w:tcPr>
          <w:p w14:paraId="1505B931">
            <w:pPr>
              <w:pStyle w:val="445"/>
              <w:rPr>
                <w:rFonts w:cs="Times New Roman"/>
                <w:kern w:val="0"/>
                <w:szCs w:val="20"/>
              </w:rPr>
            </w:pPr>
            <w:r>
              <w:rPr>
                <w:rFonts w:cs="Times New Roman"/>
                <w:kern w:val="0"/>
                <w:szCs w:val="20"/>
              </w:rPr>
              <w:t>低毒类。急性毒性：LD</w:t>
            </w:r>
            <w:r>
              <w:rPr>
                <w:rFonts w:cs="Times New Roman"/>
                <w:kern w:val="0"/>
                <w:szCs w:val="20"/>
                <w:vertAlign w:val="subscript"/>
              </w:rPr>
              <w:t>50</w:t>
            </w:r>
            <w:r>
              <w:rPr>
                <w:rFonts w:cs="Times New Roman"/>
                <w:kern w:val="0"/>
                <w:szCs w:val="20"/>
              </w:rPr>
              <w:t>350mg/kg（大鼠经口）。</w:t>
            </w:r>
          </w:p>
        </w:tc>
      </w:tr>
      <w:tr w14:paraId="5C847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30FA2897">
            <w:pPr>
              <w:pStyle w:val="445"/>
              <w:rPr>
                <w:rFonts w:cs="Times New Roman"/>
                <w:kern w:val="0"/>
                <w:szCs w:val="20"/>
              </w:rPr>
            </w:pPr>
            <w:r>
              <w:rPr>
                <w:rFonts w:cs="Times New Roman"/>
                <w:kern w:val="0"/>
                <w:szCs w:val="20"/>
              </w:rPr>
              <w:t>2</w:t>
            </w:r>
          </w:p>
        </w:tc>
        <w:tc>
          <w:tcPr>
            <w:tcW w:w="805" w:type="pct"/>
            <w:vAlign w:val="center"/>
          </w:tcPr>
          <w:p w14:paraId="07F3F7AF">
            <w:pPr>
              <w:pStyle w:val="445"/>
              <w:rPr>
                <w:rFonts w:cs="Times New Roman"/>
                <w:kern w:val="0"/>
                <w:szCs w:val="20"/>
              </w:rPr>
            </w:pPr>
            <w:r>
              <w:rPr>
                <w:rFonts w:cs="Times New Roman"/>
                <w:kern w:val="0"/>
                <w:szCs w:val="18"/>
              </w:rPr>
              <w:t>三甲氧基硅烷C</w:t>
            </w:r>
            <w:r>
              <w:rPr>
                <w:rFonts w:cs="Times New Roman"/>
                <w:kern w:val="0"/>
                <w:szCs w:val="18"/>
                <w:vertAlign w:val="subscript"/>
              </w:rPr>
              <w:t>3</w:t>
            </w:r>
            <w:r>
              <w:rPr>
                <w:rFonts w:cs="Times New Roman"/>
                <w:kern w:val="0"/>
                <w:szCs w:val="18"/>
              </w:rPr>
              <w:t>H</w:t>
            </w:r>
            <w:r>
              <w:rPr>
                <w:rFonts w:cs="Times New Roman"/>
                <w:kern w:val="0"/>
                <w:szCs w:val="18"/>
                <w:vertAlign w:val="subscript"/>
              </w:rPr>
              <w:t>9</w:t>
            </w:r>
            <w:r>
              <w:rPr>
                <w:rFonts w:cs="Times New Roman"/>
                <w:kern w:val="0"/>
                <w:szCs w:val="18"/>
              </w:rPr>
              <w:t>O</w:t>
            </w:r>
            <w:r>
              <w:rPr>
                <w:rFonts w:cs="Times New Roman"/>
                <w:kern w:val="0"/>
                <w:szCs w:val="18"/>
                <w:vertAlign w:val="subscript"/>
              </w:rPr>
              <w:t>3</w:t>
            </w:r>
            <w:r>
              <w:rPr>
                <w:rFonts w:cs="Times New Roman"/>
                <w:kern w:val="0"/>
                <w:szCs w:val="18"/>
              </w:rPr>
              <w:t>Si</w:t>
            </w:r>
          </w:p>
        </w:tc>
        <w:tc>
          <w:tcPr>
            <w:tcW w:w="1269" w:type="pct"/>
            <w:vAlign w:val="center"/>
          </w:tcPr>
          <w:p w14:paraId="3571AB59">
            <w:pPr>
              <w:pStyle w:val="445"/>
              <w:rPr>
                <w:rFonts w:cs="Times New Roman"/>
                <w:kern w:val="0"/>
                <w:szCs w:val="20"/>
              </w:rPr>
            </w:pPr>
            <w:r>
              <w:rPr>
                <w:rFonts w:cs="Times New Roman"/>
                <w:kern w:val="0"/>
                <w:szCs w:val="18"/>
              </w:rPr>
              <w:t>分子量122.2，熔点-115</w:t>
            </w:r>
            <w:r>
              <w:rPr>
                <w:rFonts w:hint="eastAsia" w:ascii="宋体" w:hAnsi="宋体" w:cs="宋体"/>
                <w:kern w:val="0"/>
                <w:szCs w:val="18"/>
              </w:rPr>
              <w:t>℃</w:t>
            </w:r>
            <w:r>
              <w:rPr>
                <w:rFonts w:cs="Times New Roman"/>
                <w:kern w:val="0"/>
                <w:szCs w:val="18"/>
              </w:rPr>
              <w:t>，沸点81°C。溶于乙醇、乙醚，微溶于甲苯，不溶于水。遇水分解成具有黏性的二氧化硅。</w:t>
            </w:r>
          </w:p>
        </w:tc>
        <w:tc>
          <w:tcPr>
            <w:tcW w:w="1321" w:type="pct"/>
            <w:vAlign w:val="center"/>
          </w:tcPr>
          <w:p w14:paraId="64C746B4">
            <w:pPr>
              <w:pStyle w:val="445"/>
              <w:rPr>
                <w:rFonts w:cs="Times New Roman"/>
                <w:kern w:val="0"/>
                <w:szCs w:val="20"/>
              </w:rPr>
            </w:pPr>
            <w:r>
              <w:rPr>
                <w:rFonts w:cs="Times New Roman"/>
                <w:kern w:val="0"/>
                <w:szCs w:val="18"/>
              </w:rPr>
              <w:t>可燃。有毒，对呼吸道和眼睛有较强的刺激性。</w:t>
            </w:r>
          </w:p>
        </w:tc>
        <w:tc>
          <w:tcPr>
            <w:tcW w:w="1334" w:type="pct"/>
            <w:vAlign w:val="center"/>
          </w:tcPr>
          <w:p w14:paraId="4BF04B45">
            <w:pPr>
              <w:pStyle w:val="445"/>
              <w:rPr>
                <w:rFonts w:cs="Times New Roman"/>
                <w:kern w:val="0"/>
                <w:szCs w:val="20"/>
              </w:rPr>
            </w:pPr>
            <w:r>
              <w:rPr>
                <w:rFonts w:cs="Times New Roman"/>
                <w:kern w:val="0"/>
                <w:szCs w:val="18"/>
              </w:rPr>
              <w:t>LD</w:t>
            </w:r>
            <w:r>
              <w:rPr>
                <w:rFonts w:cs="Times New Roman"/>
                <w:kern w:val="0"/>
                <w:szCs w:val="18"/>
                <w:vertAlign w:val="subscript"/>
              </w:rPr>
              <w:t>50</w:t>
            </w:r>
            <w:r>
              <w:rPr>
                <w:rFonts w:cs="Times New Roman"/>
                <w:kern w:val="0"/>
                <w:szCs w:val="18"/>
              </w:rPr>
              <w:t>：15700 mg/kg(大鼠经口) LC50：无资料</w:t>
            </w:r>
          </w:p>
        </w:tc>
      </w:tr>
      <w:tr w14:paraId="7A50D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6080C08C">
            <w:pPr>
              <w:pStyle w:val="445"/>
              <w:rPr>
                <w:rFonts w:cs="Times New Roman"/>
                <w:kern w:val="0"/>
                <w:szCs w:val="20"/>
              </w:rPr>
            </w:pPr>
            <w:r>
              <w:rPr>
                <w:rFonts w:cs="Times New Roman"/>
                <w:kern w:val="0"/>
                <w:szCs w:val="20"/>
              </w:rPr>
              <w:t>3</w:t>
            </w:r>
          </w:p>
        </w:tc>
        <w:tc>
          <w:tcPr>
            <w:tcW w:w="805" w:type="pct"/>
            <w:vAlign w:val="center"/>
          </w:tcPr>
          <w:p w14:paraId="466794EC">
            <w:pPr>
              <w:pStyle w:val="445"/>
              <w:rPr>
                <w:rFonts w:cs="Times New Roman"/>
                <w:kern w:val="0"/>
                <w:szCs w:val="20"/>
              </w:rPr>
            </w:pPr>
            <w:r>
              <w:rPr>
                <w:rFonts w:hint="eastAsia" w:cs="Times New Roman"/>
                <w:kern w:val="0"/>
                <w:szCs w:val="20"/>
              </w:rPr>
              <w:t>氢氟酸</w:t>
            </w:r>
          </w:p>
          <w:p w14:paraId="0EC90851">
            <w:pPr>
              <w:pStyle w:val="445"/>
              <w:rPr>
                <w:rFonts w:cs="Times New Roman"/>
                <w:kern w:val="0"/>
                <w:szCs w:val="20"/>
              </w:rPr>
            </w:pPr>
            <w:r>
              <w:rPr>
                <w:rFonts w:hint="eastAsia" w:cs="Times New Roman"/>
                <w:kern w:val="0"/>
                <w:szCs w:val="20"/>
              </w:rPr>
              <w:t>HF</w:t>
            </w:r>
          </w:p>
        </w:tc>
        <w:tc>
          <w:tcPr>
            <w:tcW w:w="1269" w:type="pct"/>
            <w:vAlign w:val="center"/>
          </w:tcPr>
          <w:p w14:paraId="5150B217">
            <w:pPr>
              <w:pStyle w:val="445"/>
              <w:rPr>
                <w:rFonts w:cs="Times New Roman"/>
                <w:kern w:val="0"/>
                <w:szCs w:val="20"/>
              </w:rPr>
            </w:pPr>
            <w:r>
              <w:rPr>
                <w:rFonts w:hint="eastAsia" w:cs="Times New Roman"/>
                <w:kern w:val="0"/>
                <w:szCs w:val="18"/>
              </w:rPr>
              <w:t>分子量</w:t>
            </w:r>
            <w:r>
              <w:rPr>
                <w:rFonts w:cs="Times New Roman"/>
                <w:kern w:val="0"/>
                <w:szCs w:val="18"/>
              </w:rPr>
              <w:t>为</w:t>
            </w:r>
            <w:r>
              <w:rPr>
                <w:rFonts w:hint="eastAsia" w:cs="Times New Roman"/>
                <w:kern w:val="0"/>
                <w:szCs w:val="18"/>
              </w:rPr>
              <w:t>20.01，</w:t>
            </w:r>
            <w:r>
              <w:rPr>
                <w:rFonts w:cs="Times New Roman"/>
                <w:kern w:val="0"/>
                <w:szCs w:val="18"/>
              </w:rPr>
              <w:t>无色透明有刺激性臭味的液体，与水混溶，用</w:t>
            </w:r>
            <w:r>
              <w:rPr>
                <w:rFonts w:hint="eastAsia" w:cs="Times New Roman"/>
                <w:kern w:val="0"/>
                <w:szCs w:val="18"/>
              </w:rPr>
              <w:t>作</w:t>
            </w:r>
            <w:r>
              <w:rPr>
                <w:rFonts w:cs="Times New Roman"/>
                <w:kern w:val="0"/>
                <w:szCs w:val="18"/>
              </w:rPr>
              <w:t>分析试剂、高纯氟化物的制备、玻璃蚀刻及电镀表面处理等</w:t>
            </w:r>
          </w:p>
        </w:tc>
        <w:tc>
          <w:tcPr>
            <w:tcW w:w="1321" w:type="pct"/>
            <w:vAlign w:val="center"/>
          </w:tcPr>
          <w:p w14:paraId="1FCCEBB5">
            <w:pPr>
              <w:pStyle w:val="445"/>
              <w:rPr>
                <w:rFonts w:cs="Times New Roman"/>
                <w:kern w:val="0"/>
                <w:szCs w:val="20"/>
              </w:rPr>
            </w:pPr>
            <w:r>
              <w:rPr>
                <w:rFonts w:hint="eastAsia" w:cs="Times New Roman"/>
                <w:kern w:val="0"/>
                <w:szCs w:val="18"/>
              </w:rPr>
              <w:t>不燃</w:t>
            </w:r>
            <w:r>
              <w:rPr>
                <w:rFonts w:cs="Times New Roman"/>
                <w:kern w:val="0"/>
                <w:szCs w:val="18"/>
              </w:rPr>
              <w:t>，具有强</w:t>
            </w:r>
            <w:r>
              <w:rPr>
                <w:rFonts w:hint="eastAsia" w:cs="Times New Roman"/>
                <w:kern w:val="0"/>
                <w:szCs w:val="18"/>
              </w:rPr>
              <w:t>腐蚀性</w:t>
            </w:r>
            <w:r>
              <w:rPr>
                <w:rFonts w:cs="Times New Roman"/>
                <w:kern w:val="0"/>
                <w:szCs w:val="18"/>
              </w:rPr>
              <w:t>、强刺激性</w:t>
            </w:r>
          </w:p>
        </w:tc>
        <w:tc>
          <w:tcPr>
            <w:tcW w:w="1334" w:type="pct"/>
            <w:vAlign w:val="center"/>
          </w:tcPr>
          <w:p w14:paraId="137B3FF2">
            <w:pPr>
              <w:pStyle w:val="445"/>
              <w:rPr>
                <w:rFonts w:cs="Times New Roman"/>
                <w:kern w:val="0"/>
                <w:szCs w:val="20"/>
              </w:rPr>
            </w:pPr>
            <w:r>
              <w:rPr>
                <w:rFonts w:hint="eastAsia" w:cs="Times New Roman"/>
                <w:kern w:val="0"/>
                <w:szCs w:val="18"/>
              </w:rPr>
              <w:t>大鼠</w:t>
            </w:r>
            <w:r>
              <w:rPr>
                <w:rFonts w:cs="Times New Roman"/>
                <w:kern w:val="0"/>
                <w:szCs w:val="18"/>
              </w:rPr>
              <w:t>吸入LD</w:t>
            </w:r>
            <w:r>
              <w:rPr>
                <w:rFonts w:cs="Times New Roman"/>
                <w:kern w:val="44"/>
                <w:szCs w:val="20"/>
                <w:vertAlign w:val="subscript"/>
              </w:rPr>
              <w:t>50</w:t>
            </w:r>
            <w:r>
              <w:rPr>
                <w:rFonts w:cs="Times New Roman"/>
                <w:kern w:val="44"/>
                <w:szCs w:val="20"/>
              </w:rPr>
              <w:t>：1044mg/</w:t>
            </w:r>
            <w:r>
              <w:rPr>
                <w:rFonts w:cs="Times New Roman"/>
                <w:kern w:val="0"/>
                <w:szCs w:val="20"/>
              </w:rPr>
              <w:t>m</w:t>
            </w:r>
            <w:r>
              <w:rPr>
                <w:rFonts w:cs="Times New Roman"/>
                <w:kern w:val="0"/>
                <w:szCs w:val="20"/>
                <w:vertAlign w:val="superscript"/>
              </w:rPr>
              <w:t>3</w:t>
            </w:r>
          </w:p>
        </w:tc>
      </w:tr>
      <w:tr w14:paraId="2D6B08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0AFF3E31">
            <w:pPr>
              <w:pStyle w:val="445"/>
              <w:rPr>
                <w:rFonts w:cs="Times New Roman"/>
                <w:kern w:val="0"/>
                <w:szCs w:val="20"/>
              </w:rPr>
            </w:pPr>
            <w:r>
              <w:rPr>
                <w:rFonts w:cs="Times New Roman"/>
                <w:kern w:val="0"/>
                <w:szCs w:val="20"/>
              </w:rPr>
              <w:t>4</w:t>
            </w:r>
          </w:p>
        </w:tc>
        <w:tc>
          <w:tcPr>
            <w:tcW w:w="805" w:type="pct"/>
            <w:vAlign w:val="center"/>
          </w:tcPr>
          <w:p w14:paraId="7D01A3DB">
            <w:pPr>
              <w:pStyle w:val="445"/>
              <w:rPr>
                <w:rFonts w:cs="Times New Roman"/>
                <w:kern w:val="0"/>
                <w:szCs w:val="20"/>
              </w:rPr>
            </w:pPr>
            <w:r>
              <w:rPr>
                <w:rFonts w:cs="Times New Roman"/>
                <w:kern w:val="0"/>
                <w:szCs w:val="20"/>
              </w:rPr>
              <w:t>氯化氢</w:t>
            </w:r>
            <w:r>
              <w:rPr>
                <w:rFonts w:hint="eastAsia" w:cs="Times New Roman"/>
                <w:kern w:val="0"/>
                <w:szCs w:val="20"/>
              </w:rPr>
              <w:t>/盐酸</w:t>
            </w:r>
          </w:p>
          <w:p w14:paraId="42F80264">
            <w:pPr>
              <w:pStyle w:val="445"/>
              <w:rPr>
                <w:rFonts w:cs="Times New Roman"/>
                <w:kern w:val="0"/>
                <w:szCs w:val="20"/>
              </w:rPr>
            </w:pPr>
            <w:r>
              <w:rPr>
                <w:rFonts w:cs="Times New Roman"/>
                <w:kern w:val="0"/>
                <w:szCs w:val="20"/>
              </w:rPr>
              <w:t>HCI</w:t>
            </w:r>
          </w:p>
        </w:tc>
        <w:tc>
          <w:tcPr>
            <w:tcW w:w="1269" w:type="pct"/>
            <w:vAlign w:val="center"/>
          </w:tcPr>
          <w:p w14:paraId="3F809DA8">
            <w:pPr>
              <w:pStyle w:val="445"/>
              <w:rPr>
                <w:rFonts w:cs="Times New Roman"/>
                <w:kern w:val="0"/>
                <w:szCs w:val="20"/>
              </w:rPr>
            </w:pPr>
            <w:r>
              <w:rPr>
                <w:rFonts w:cs="Times New Roman"/>
                <w:kern w:val="0"/>
                <w:szCs w:val="18"/>
              </w:rPr>
              <w:t>分子量：36.46，密度1.19g/cm</w:t>
            </w:r>
            <w:r>
              <w:rPr>
                <w:rFonts w:cs="Times New Roman"/>
                <w:kern w:val="0"/>
                <w:szCs w:val="18"/>
                <w:vertAlign w:val="superscript"/>
              </w:rPr>
              <w:t>3</w:t>
            </w:r>
            <w:r>
              <w:rPr>
                <w:rFonts w:cs="Times New Roman"/>
                <w:kern w:val="0"/>
                <w:szCs w:val="18"/>
              </w:rPr>
              <w:t>，熔点－114.2</w:t>
            </w:r>
            <w:r>
              <w:rPr>
                <w:rFonts w:hint="eastAsia" w:ascii="宋体" w:hAnsi="宋体" w:cs="宋体"/>
                <w:kern w:val="0"/>
                <w:szCs w:val="18"/>
              </w:rPr>
              <w:t>℃</w:t>
            </w:r>
            <w:r>
              <w:rPr>
                <w:rFonts w:cs="Times New Roman"/>
                <w:kern w:val="0"/>
                <w:szCs w:val="18"/>
              </w:rPr>
              <w:t>，沸点－85.0</w:t>
            </w:r>
            <w:r>
              <w:rPr>
                <w:rFonts w:hint="eastAsia" w:ascii="宋体" w:hAnsi="宋体" w:cs="宋体"/>
                <w:kern w:val="0"/>
                <w:szCs w:val="18"/>
              </w:rPr>
              <w:t>℃</w:t>
            </w:r>
            <w:r>
              <w:rPr>
                <w:rFonts w:cs="Times New Roman"/>
                <w:kern w:val="0"/>
                <w:szCs w:val="18"/>
              </w:rPr>
              <w:t>。无色有刺激性气味的气体。易溶于水。</w:t>
            </w:r>
          </w:p>
        </w:tc>
        <w:tc>
          <w:tcPr>
            <w:tcW w:w="1321" w:type="pct"/>
            <w:vAlign w:val="center"/>
          </w:tcPr>
          <w:p w14:paraId="442CFC04">
            <w:pPr>
              <w:pStyle w:val="445"/>
              <w:rPr>
                <w:rFonts w:cs="Times New Roman"/>
                <w:kern w:val="0"/>
                <w:szCs w:val="20"/>
              </w:rPr>
            </w:pPr>
            <w:r>
              <w:rPr>
                <w:rFonts w:cs="Times New Roman"/>
                <w:kern w:val="0"/>
                <w:szCs w:val="18"/>
              </w:rPr>
              <w:t>不燃。无水氯化氢无腐蚀性，但遇水有强腐蚀性。能与一些活性金属粉末发生反应，放出氢气。遇氰化物能产生剧毒的氰化氢气体。</w:t>
            </w:r>
          </w:p>
        </w:tc>
        <w:tc>
          <w:tcPr>
            <w:tcW w:w="1334" w:type="pct"/>
            <w:vAlign w:val="center"/>
          </w:tcPr>
          <w:p w14:paraId="0CCCF1F5">
            <w:pPr>
              <w:pStyle w:val="445"/>
              <w:rPr>
                <w:rFonts w:cs="Times New Roman"/>
                <w:kern w:val="0"/>
                <w:szCs w:val="20"/>
              </w:rPr>
            </w:pPr>
            <w:r>
              <w:rPr>
                <w:rFonts w:cs="Times New Roman"/>
                <w:kern w:val="0"/>
                <w:szCs w:val="18"/>
              </w:rPr>
              <w:t>急性毒性：LD</w:t>
            </w:r>
            <w:r>
              <w:rPr>
                <w:rFonts w:cs="Times New Roman"/>
                <w:kern w:val="0"/>
                <w:szCs w:val="18"/>
                <w:vertAlign w:val="subscript"/>
              </w:rPr>
              <w:t>50</w:t>
            </w:r>
            <w:r>
              <w:rPr>
                <w:rFonts w:cs="Times New Roman"/>
                <w:kern w:val="0"/>
                <w:szCs w:val="18"/>
              </w:rPr>
              <w:t xml:space="preserve">                LC</w:t>
            </w:r>
            <w:r>
              <w:rPr>
                <w:rFonts w:cs="Times New Roman"/>
                <w:kern w:val="0"/>
                <w:szCs w:val="18"/>
                <w:vertAlign w:val="subscript"/>
              </w:rPr>
              <w:t>50</w:t>
            </w:r>
            <w:r>
              <w:rPr>
                <w:rFonts w:cs="Times New Roman"/>
                <w:kern w:val="0"/>
                <w:szCs w:val="18"/>
              </w:rPr>
              <w:t xml:space="preserve">  4600mg/m</w:t>
            </w:r>
            <w:r>
              <w:rPr>
                <w:rFonts w:cs="Times New Roman"/>
                <w:kern w:val="0"/>
                <w:szCs w:val="18"/>
                <w:vertAlign w:val="superscript"/>
              </w:rPr>
              <w:t>3</w:t>
            </w:r>
            <w:r>
              <w:rPr>
                <w:rFonts w:cs="Times New Roman"/>
                <w:kern w:val="0"/>
                <w:szCs w:val="18"/>
              </w:rPr>
              <w:t>，1小时（大鼠吸入）</w:t>
            </w:r>
          </w:p>
        </w:tc>
      </w:tr>
      <w:tr w14:paraId="651E6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7E42BD38">
            <w:pPr>
              <w:pStyle w:val="445"/>
              <w:rPr>
                <w:rFonts w:cs="Times New Roman"/>
                <w:kern w:val="0"/>
                <w:szCs w:val="20"/>
              </w:rPr>
            </w:pPr>
            <w:r>
              <w:rPr>
                <w:rFonts w:cs="Times New Roman"/>
                <w:kern w:val="0"/>
                <w:szCs w:val="20"/>
              </w:rPr>
              <w:t>5</w:t>
            </w:r>
          </w:p>
        </w:tc>
        <w:tc>
          <w:tcPr>
            <w:tcW w:w="805" w:type="pct"/>
            <w:vAlign w:val="center"/>
          </w:tcPr>
          <w:p w14:paraId="61620BF9">
            <w:pPr>
              <w:pStyle w:val="445"/>
              <w:rPr>
                <w:rFonts w:cs="Times New Roman"/>
                <w:kern w:val="0"/>
                <w:szCs w:val="20"/>
              </w:rPr>
            </w:pPr>
            <w:r>
              <w:rPr>
                <w:rFonts w:cs="Times New Roman"/>
                <w:kern w:val="0"/>
                <w:szCs w:val="20"/>
              </w:rPr>
              <w:t>硫酸</w:t>
            </w:r>
          </w:p>
          <w:p w14:paraId="09722867">
            <w:pPr>
              <w:pStyle w:val="445"/>
              <w:rPr>
                <w:rFonts w:cs="Times New Roman"/>
                <w:kern w:val="0"/>
                <w:szCs w:val="20"/>
              </w:rPr>
            </w:pPr>
            <w:r>
              <w:rPr>
                <w:rFonts w:cs="Times New Roman"/>
                <w:kern w:val="0"/>
                <w:szCs w:val="20"/>
              </w:rPr>
              <w:t>H</w:t>
            </w:r>
            <w:r>
              <w:rPr>
                <w:rFonts w:cs="Times New Roman"/>
                <w:kern w:val="0"/>
                <w:szCs w:val="20"/>
                <w:vertAlign w:val="subscript"/>
              </w:rPr>
              <w:t>2</w:t>
            </w:r>
            <w:r>
              <w:rPr>
                <w:rFonts w:cs="Times New Roman"/>
                <w:kern w:val="0"/>
                <w:szCs w:val="20"/>
              </w:rPr>
              <w:t>SO</w:t>
            </w:r>
            <w:r>
              <w:rPr>
                <w:rFonts w:cs="Times New Roman"/>
                <w:kern w:val="0"/>
                <w:szCs w:val="20"/>
                <w:vertAlign w:val="subscript"/>
              </w:rPr>
              <w:t>4</w:t>
            </w:r>
          </w:p>
        </w:tc>
        <w:tc>
          <w:tcPr>
            <w:tcW w:w="1269" w:type="pct"/>
            <w:vAlign w:val="center"/>
          </w:tcPr>
          <w:p w14:paraId="7B849BD4">
            <w:pPr>
              <w:pStyle w:val="445"/>
              <w:rPr>
                <w:rFonts w:cs="Times New Roman"/>
                <w:kern w:val="0"/>
                <w:szCs w:val="20"/>
              </w:rPr>
            </w:pPr>
            <w:r>
              <w:rPr>
                <w:rFonts w:cs="Times New Roman"/>
                <w:kern w:val="0"/>
                <w:szCs w:val="20"/>
              </w:rPr>
              <w:t>分子量98，密度1.83g/cm</w:t>
            </w:r>
            <w:r>
              <w:rPr>
                <w:rFonts w:cs="Times New Roman"/>
                <w:kern w:val="0"/>
                <w:szCs w:val="20"/>
                <w:vertAlign w:val="superscript"/>
              </w:rPr>
              <w:t>3</w:t>
            </w:r>
            <w:r>
              <w:rPr>
                <w:rFonts w:cs="Times New Roman"/>
                <w:kern w:val="0"/>
                <w:szCs w:val="20"/>
              </w:rPr>
              <w:t>，熔点10.5</w:t>
            </w:r>
            <w:r>
              <w:rPr>
                <w:rFonts w:hint="eastAsia" w:ascii="宋体" w:hAnsi="宋体" w:cs="宋体"/>
                <w:kern w:val="0"/>
                <w:szCs w:val="20"/>
              </w:rPr>
              <w:t>℃</w:t>
            </w:r>
            <w:r>
              <w:rPr>
                <w:rFonts w:cs="Times New Roman"/>
                <w:kern w:val="0"/>
                <w:szCs w:val="20"/>
              </w:rPr>
              <w:t>，沸点330</w:t>
            </w:r>
            <w:r>
              <w:rPr>
                <w:rFonts w:hint="eastAsia" w:ascii="宋体" w:hAnsi="宋体" w:cs="宋体"/>
                <w:kern w:val="0"/>
                <w:szCs w:val="20"/>
              </w:rPr>
              <w:t>℃</w:t>
            </w:r>
            <w:r>
              <w:rPr>
                <w:rFonts w:cs="Times New Roman"/>
                <w:kern w:val="0"/>
                <w:szCs w:val="20"/>
              </w:rPr>
              <w:t>。无色透明油状液体，无臭。与水混溶。</w:t>
            </w:r>
          </w:p>
        </w:tc>
        <w:tc>
          <w:tcPr>
            <w:tcW w:w="1321" w:type="pct"/>
            <w:vAlign w:val="center"/>
          </w:tcPr>
          <w:p w14:paraId="295B1EDC">
            <w:pPr>
              <w:pStyle w:val="445"/>
              <w:rPr>
                <w:rFonts w:cs="Times New Roman"/>
                <w:kern w:val="0"/>
                <w:szCs w:val="20"/>
              </w:rPr>
            </w:pPr>
            <w:r>
              <w:rPr>
                <w:rFonts w:cs="Times New Roman"/>
                <w:kern w:val="0"/>
                <w:szCs w:val="20"/>
              </w:rPr>
              <w:t>酸性腐蚀品。与易燃物和有机物接触会发生剧烈反应，甚至引起燃烧。能与一些活性金属粉末发生反应，放出氢气。遇水大量放热，可发生沸溅。</w:t>
            </w:r>
          </w:p>
        </w:tc>
        <w:tc>
          <w:tcPr>
            <w:tcW w:w="1334" w:type="pct"/>
            <w:vAlign w:val="center"/>
          </w:tcPr>
          <w:p w14:paraId="27BBA7BA">
            <w:pPr>
              <w:pStyle w:val="445"/>
              <w:rPr>
                <w:rFonts w:cs="Times New Roman"/>
                <w:kern w:val="0"/>
                <w:szCs w:val="20"/>
              </w:rPr>
            </w:pPr>
            <w:r>
              <w:rPr>
                <w:rFonts w:cs="Times New Roman"/>
                <w:kern w:val="0"/>
                <w:szCs w:val="20"/>
              </w:rPr>
              <w:t>属中等毒性。急性毒性：LD</w:t>
            </w:r>
            <w:r>
              <w:rPr>
                <w:rFonts w:cs="Times New Roman"/>
                <w:kern w:val="0"/>
                <w:szCs w:val="20"/>
                <w:vertAlign w:val="subscript"/>
              </w:rPr>
              <w:t>50</w:t>
            </w:r>
            <w:r>
              <w:rPr>
                <w:rFonts w:cs="Times New Roman"/>
                <w:kern w:val="0"/>
                <w:szCs w:val="20"/>
              </w:rPr>
              <w:t>80mg/kg(大鼠经口)；LC</w:t>
            </w:r>
            <w:r>
              <w:rPr>
                <w:rFonts w:cs="Times New Roman"/>
                <w:kern w:val="0"/>
                <w:szCs w:val="20"/>
                <w:vertAlign w:val="subscript"/>
              </w:rPr>
              <w:t>50</w:t>
            </w:r>
            <w:r>
              <w:rPr>
                <w:rFonts w:cs="Times New Roman"/>
                <w:kern w:val="0"/>
                <w:szCs w:val="20"/>
              </w:rPr>
              <w:t>510mg/m</w:t>
            </w:r>
            <w:r>
              <w:rPr>
                <w:rFonts w:cs="Times New Roman"/>
                <w:kern w:val="0"/>
                <w:szCs w:val="20"/>
                <w:vertAlign w:val="superscript"/>
              </w:rPr>
              <w:t>3</w:t>
            </w:r>
            <w:r>
              <w:rPr>
                <w:rFonts w:cs="Times New Roman"/>
                <w:kern w:val="0"/>
                <w:szCs w:val="20"/>
              </w:rPr>
              <w:t>，2小时(大鼠吸入)；320mg/m</w:t>
            </w:r>
            <w:r>
              <w:rPr>
                <w:rFonts w:cs="Times New Roman"/>
                <w:kern w:val="0"/>
                <w:szCs w:val="20"/>
                <w:vertAlign w:val="superscript"/>
              </w:rPr>
              <w:t>3</w:t>
            </w:r>
            <w:r>
              <w:rPr>
                <w:rFonts w:cs="Times New Roman"/>
                <w:kern w:val="0"/>
                <w:szCs w:val="20"/>
              </w:rPr>
              <w:t>，2小时(小鼠吸入)。</w:t>
            </w:r>
          </w:p>
        </w:tc>
      </w:tr>
      <w:tr w14:paraId="7048C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59834760">
            <w:pPr>
              <w:pStyle w:val="445"/>
              <w:rPr>
                <w:rFonts w:cs="Times New Roman"/>
                <w:kern w:val="0"/>
                <w:szCs w:val="20"/>
              </w:rPr>
            </w:pPr>
            <w:r>
              <w:rPr>
                <w:rFonts w:cs="Times New Roman"/>
                <w:kern w:val="0"/>
                <w:szCs w:val="20"/>
              </w:rPr>
              <w:t>6</w:t>
            </w:r>
          </w:p>
        </w:tc>
        <w:tc>
          <w:tcPr>
            <w:tcW w:w="805" w:type="pct"/>
            <w:vAlign w:val="center"/>
          </w:tcPr>
          <w:p w14:paraId="1C561F05">
            <w:pPr>
              <w:pStyle w:val="445"/>
              <w:rPr>
                <w:rFonts w:cs="Times New Roman"/>
                <w:kern w:val="0"/>
                <w:szCs w:val="20"/>
              </w:rPr>
            </w:pPr>
            <w:r>
              <w:rPr>
                <w:rFonts w:cs="Times New Roman"/>
                <w:kern w:val="0"/>
                <w:szCs w:val="20"/>
              </w:rPr>
              <w:t>甲醇</w:t>
            </w:r>
          </w:p>
          <w:p w14:paraId="2EF0C0EF">
            <w:pPr>
              <w:pStyle w:val="445"/>
              <w:rPr>
                <w:rFonts w:cs="Times New Roman"/>
                <w:kern w:val="0"/>
                <w:szCs w:val="20"/>
              </w:rPr>
            </w:pPr>
            <w:r>
              <w:rPr>
                <w:rFonts w:cs="Times New Roman"/>
                <w:kern w:val="0"/>
                <w:szCs w:val="20"/>
              </w:rPr>
              <w:t>CH</w:t>
            </w:r>
            <w:r>
              <w:rPr>
                <w:rFonts w:cs="Times New Roman"/>
                <w:kern w:val="0"/>
                <w:szCs w:val="20"/>
                <w:vertAlign w:val="subscript"/>
              </w:rPr>
              <w:t>3</w:t>
            </w:r>
            <w:r>
              <w:rPr>
                <w:rFonts w:cs="Times New Roman"/>
                <w:kern w:val="0"/>
                <w:szCs w:val="20"/>
              </w:rPr>
              <w:t>OH</w:t>
            </w:r>
          </w:p>
        </w:tc>
        <w:tc>
          <w:tcPr>
            <w:tcW w:w="1269" w:type="pct"/>
            <w:vAlign w:val="center"/>
          </w:tcPr>
          <w:p w14:paraId="65265A8D">
            <w:pPr>
              <w:pStyle w:val="445"/>
              <w:rPr>
                <w:rFonts w:cs="Times New Roman"/>
                <w:kern w:val="0"/>
                <w:szCs w:val="20"/>
              </w:rPr>
            </w:pPr>
            <w:r>
              <w:rPr>
                <w:rFonts w:cs="Times New Roman"/>
                <w:kern w:val="0"/>
                <w:szCs w:val="20"/>
              </w:rPr>
              <w:t>分子量32，无色澄清液体，有刺激性气味，溶于水，可混溶于醇、醚等多数有机溶剂。熔点-97</w:t>
            </w:r>
            <w:r>
              <w:rPr>
                <w:rFonts w:hint="eastAsia" w:ascii="宋体" w:hAnsi="宋体" w:cs="宋体"/>
                <w:kern w:val="0"/>
                <w:szCs w:val="20"/>
              </w:rPr>
              <w:t>℃</w:t>
            </w:r>
            <w:r>
              <w:rPr>
                <w:rFonts w:cs="Times New Roman"/>
                <w:kern w:val="0"/>
                <w:szCs w:val="20"/>
              </w:rPr>
              <w:t>，沸点64.7</w:t>
            </w:r>
            <w:r>
              <w:rPr>
                <w:rFonts w:hint="eastAsia" w:ascii="宋体" w:hAnsi="宋体" w:cs="宋体"/>
                <w:kern w:val="0"/>
                <w:szCs w:val="20"/>
              </w:rPr>
              <w:t>℃</w:t>
            </w:r>
            <w:r>
              <w:rPr>
                <w:rFonts w:cs="Times New Roman"/>
                <w:kern w:val="0"/>
                <w:szCs w:val="20"/>
              </w:rPr>
              <w:t>，密度0.792 g/cm</w:t>
            </w:r>
            <w:r>
              <w:rPr>
                <w:rFonts w:cs="Times New Roman"/>
                <w:kern w:val="0"/>
                <w:szCs w:val="20"/>
                <w:vertAlign w:val="superscript"/>
              </w:rPr>
              <w:t>3</w:t>
            </w:r>
          </w:p>
        </w:tc>
        <w:tc>
          <w:tcPr>
            <w:tcW w:w="1321" w:type="pct"/>
            <w:vAlign w:val="center"/>
          </w:tcPr>
          <w:p w14:paraId="0B6CC93D">
            <w:pPr>
              <w:pStyle w:val="445"/>
              <w:rPr>
                <w:rFonts w:cs="Times New Roman"/>
                <w:kern w:val="0"/>
                <w:szCs w:val="20"/>
              </w:rPr>
            </w:pPr>
            <w:r>
              <w:rPr>
                <w:rFonts w:cs="Times New Roman"/>
                <w:kern w:val="0"/>
                <w:szCs w:val="20"/>
              </w:rPr>
              <w:t>易燃，其蒸气与空气可形成爆炸性混合物。遇明火、高热能引起燃烧爆炸。与氧化剂接触发生化学反应或引起燃烧。</w:t>
            </w:r>
          </w:p>
        </w:tc>
        <w:tc>
          <w:tcPr>
            <w:tcW w:w="1334" w:type="pct"/>
            <w:vAlign w:val="center"/>
          </w:tcPr>
          <w:p w14:paraId="6770DFDB">
            <w:pPr>
              <w:pStyle w:val="445"/>
              <w:rPr>
                <w:rFonts w:cs="Times New Roman"/>
                <w:kern w:val="0"/>
                <w:szCs w:val="20"/>
              </w:rPr>
            </w:pPr>
            <w:r>
              <w:rPr>
                <w:rFonts w:cs="Times New Roman"/>
                <w:kern w:val="0"/>
                <w:szCs w:val="20"/>
              </w:rPr>
              <w:t>急性毒性：LD</w:t>
            </w:r>
            <w:r>
              <w:rPr>
                <w:rFonts w:cs="Times New Roman"/>
                <w:kern w:val="0"/>
                <w:szCs w:val="20"/>
                <w:vertAlign w:val="subscript"/>
              </w:rPr>
              <w:t>50</w:t>
            </w:r>
            <w:r>
              <w:rPr>
                <w:rFonts w:cs="Times New Roman"/>
                <w:kern w:val="0"/>
                <w:szCs w:val="20"/>
              </w:rPr>
              <w:t>5628mg/kg(大鼠经口)；15800mg/kg(兔经皮)；LC</w:t>
            </w:r>
            <w:r>
              <w:rPr>
                <w:rFonts w:cs="Times New Roman"/>
                <w:kern w:val="0"/>
                <w:szCs w:val="20"/>
                <w:vertAlign w:val="subscript"/>
              </w:rPr>
              <w:t>50</w:t>
            </w:r>
            <w:r>
              <w:rPr>
                <w:rFonts w:cs="Times New Roman"/>
                <w:kern w:val="0"/>
                <w:szCs w:val="20"/>
              </w:rPr>
              <w:t>82776mg/kg，4小时(大鼠吸入)。</w:t>
            </w:r>
          </w:p>
        </w:tc>
      </w:tr>
      <w:tr w14:paraId="3F74A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32C6E927">
            <w:pPr>
              <w:pStyle w:val="445"/>
              <w:rPr>
                <w:rFonts w:cs="Times New Roman"/>
                <w:kern w:val="0"/>
                <w:szCs w:val="20"/>
              </w:rPr>
            </w:pPr>
            <w:r>
              <w:rPr>
                <w:rFonts w:cs="Times New Roman"/>
                <w:kern w:val="0"/>
                <w:szCs w:val="20"/>
              </w:rPr>
              <w:t>7</w:t>
            </w:r>
          </w:p>
        </w:tc>
        <w:tc>
          <w:tcPr>
            <w:tcW w:w="805" w:type="pct"/>
            <w:vAlign w:val="center"/>
          </w:tcPr>
          <w:p w14:paraId="13EB5B81">
            <w:pPr>
              <w:pStyle w:val="445"/>
              <w:rPr>
                <w:rFonts w:cs="Times New Roman"/>
                <w:kern w:val="0"/>
                <w:szCs w:val="20"/>
              </w:rPr>
            </w:pPr>
            <w:r>
              <w:rPr>
                <w:rFonts w:cs="Times New Roman"/>
                <w:kern w:val="0"/>
                <w:szCs w:val="20"/>
              </w:rPr>
              <w:t>四甲氧基硅烷</w:t>
            </w:r>
          </w:p>
          <w:p w14:paraId="472231A4">
            <w:pPr>
              <w:pStyle w:val="445"/>
              <w:rPr>
                <w:rFonts w:cs="Times New Roman"/>
                <w:kern w:val="0"/>
                <w:szCs w:val="20"/>
              </w:rPr>
            </w:pPr>
            <w:r>
              <w:rPr>
                <w:rFonts w:cs="Times New Roman"/>
                <w:kern w:val="0"/>
                <w:szCs w:val="20"/>
              </w:rPr>
              <w:t>C</w:t>
            </w:r>
            <w:r>
              <w:rPr>
                <w:rFonts w:cs="Times New Roman"/>
                <w:kern w:val="0"/>
                <w:szCs w:val="20"/>
                <w:vertAlign w:val="subscript"/>
              </w:rPr>
              <w:t>4</w:t>
            </w:r>
            <w:r>
              <w:rPr>
                <w:rFonts w:cs="Times New Roman"/>
                <w:kern w:val="0"/>
                <w:szCs w:val="20"/>
              </w:rPr>
              <w:t>H</w:t>
            </w:r>
            <w:r>
              <w:rPr>
                <w:rFonts w:cs="Times New Roman"/>
                <w:kern w:val="0"/>
                <w:szCs w:val="20"/>
                <w:vertAlign w:val="subscript"/>
              </w:rPr>
              <w:t>12</w:t>
            </w:r>
            <w:r>
              <w:rPr>
                <w:rFonts w:cs="Times New Roman"/>
                <w:kern w:val="0"/>
                <w:szCs w:val="20"/>
              </w:rPr>
              <w:t>O</w:t>
            </w:r>
            <w:r>
              <w:rPr>
                <w:rFonts w:cs="Times New Roman"/>
                <w:kern w:val="0"/>
                <w:szCs w:val="20"/>
                <w:vertAlign w:val="subscript"/>
              </w:rPr>
              <w:t>4</w:t>
            </w:r>
            <w:r>
              <w:rPr>
                <w:rFonts w:cs="Times New Roman"/>
                <w:kern w:val="0"/>
                <w:szCs w:val="20"/>
              </w:rPr>
              <w:t>Si</w:t>
            </w:r>
          </w:p>
        </w:tc>
        <w:tc>
          <w:tcPr>
            <w:tcW w:w="1269" w:type="pct"/>
            <w:vAlign w:val="center"/>
          </w:tcPr>
          <w:p w14:paraId="05D728E3">
            <w:pPr>
              <w:pStyle w:val="445"/>
              <w:rPr>
                <w:rFonts w:cs="Times New Roman"/>
                <w:kern w:val="0"/>
                <w:szCs w:val="20"/>
              </w:rPr>
            </w:pPr>
            <w:r>
              <w:rPr>
                <w:rFonts w:cs="Times New Roman"/>
                <w:kern w:val="0"/>
                <w:szCs w:val="18"/>
              </w:rPr>
              <w:t>分子量152.22，熔点-2</w:t>
            </w:r>
            <w:r>
              <w:rPr>
                <w:rFonts w:hint="eastAsia" w:ascii="宋体" w:hAnsi="宋体" w:cs="宋体"/>
                <w:kern w:val="0"/>
                <w:szCs w:val="18"/>
              </w:rPr>
              <w:t>℃</w:t>
            </w:r>
            <w:r>
              <w:rPr>
                <w:rFonts w:cs="Times New Roman"/>
                <w:kern w:val="0"/>
                <w:szCs w:val="18"/>
              </w:rPr>
              <w:t>，沸点：121~122</w:t>
            </w:r>
            <w:r>
              <w:rPr>
                <w:rFonts w:hint="eastAsia" w:ascii="宋体" w:hAnsi="宋体" w:cs="宋体"/>
                <w:kern w:val="0"/>
                <w:szCs w:val="18"/>
              </w:rPr>
              <w:t>℃</w:t>
            </w:r>
            <w:r>
              <w:rPr>
                <w:rFonts w:cs="Times New Roman"/>
                <w:kern w:val="0"/>
                <w:szCs w:val="18"/>
              </w:rPr>
              <w:t>。无色透明液体，有特殊气味，有水份存在时不稳定，在空气中逐渐分解出氧化硅，与有机溶剂任意比混溶，不溶于水。</w:t>
            </w:r>
          </w:p>
        </w:tc>
        <w:tc>
          <w:tcPr>
            <w:tcW w:w="1321" w:type="pct"/>
            <w:vAlign w:val="center"/>
          </w:tcPr>
          <w:p w14:paraId="2A484ACF">
            <w:pPr>
              <w:pStyle w:val="445"/>
              <w:rPr>
                <w:rFonts w:cs="Times New Roman"/>
                <w:kern w:val="0"/>
                <w:szCs w:val="20"/>
              </w:rPr>
            </w:pPr>
            <w:r>
              <w:rPr>
                <w:rFonts w:cs="Times New Roman"/>
                <w:kern w:val="0"/>
                <w:szCs w:val="18"/>
              </w:rPr>
              <w:t>易燃，遇高热、明火及强氧化剂易引起燃烧。加热分解产生毒性气体。与强氧化剂接触可发生化学反应。遇低级醇和水起化学反应而分解。</w:t>
            </w:r>
          </w:p>
        </w:tc>
        <w:tc>
          <w:tcPr>
            <w:tcW w:w="1334" w:type="pct"/>
            <w:vAlign w:val="center"/>
          </w:tcPr>
          <w:p w14:paraId="326A9F79">
            <w:pPr>
              <w:pStyle w:val="445"/>
              <w:rPr>
                <w:rFonts w:cs="Times New Roman"/>
                <w:kern w:val="0"/>
                <w:szCs w:val="20"/>
              </w:rPr>
            </w:pPr>
            <w:r>
              <w:rPr>
                <w:rFonts w:cs="Times New Roman"/>
                <w:kern w:val="0"/>
                <w:szCs w:val="18"/>
              </w:rPr>
              <w:t>LD</w:t>
            </w:r>
            <w:r>
              <w:rPr>
                <w:rFonts w:cs="Times New Roman"/>
                <w:kern w:val="0"/>
                <w:szCs w:val="18"/>
                <w:vertAlign w:val="subscript"/>
              </w:rPr>
              <w:t xml:space="preserve">50 </w:t>
            </w:r>
            <w:r>
              <w:rPr>
                <w:rFonts w:cs="Times New Roman"/>
                <w:kern w:val="0"/>
                <w:szCs w:val="18"/>
              </w:rPr>
              <w:t>100mg/kg（大鼠腹膜腔） LD</w:t>
            </w:r>
            <w:r>
              <w:rPr>
                <w:rFonts w:cs="Times New Roman"/>
                <w:kern w:val="0"/>
                <w:szCs w:val="18"/>
                <w:vertAlign w:val="subscript"/>
              </w:rPr>
              <w:t xml:space="preserve">50 </w:t>
            </w:r>
            <w:r>
              <w:rPr>
                <w:rFonts w:cs="Times New Roman"/>
                <w:kern w:val="0"/>
                <w:szCs w:val="18"/>
              </w:rPr>
              <w:t>17540mg/kg（兔经皮）</w:t>
            </w:r>
          </w:p>
        </w:tc>
      </w:tr>
      <w:tr w14:paraId="31D57B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796730B5">
            <w:pPr>
              <w:pStyle w:val="445"/>
              <w:rPr>
                <w:rFonts w:cs="Times New Roman"/>
                <w:kern w:val="0"/>
                <w:szCs w:val="20"/>
              </w:rPr>
            </w:pPr>
            <w:r>
              <w:rPr>
                <w:rFonts w:hint="eastAsia" w:cs="Times New Roman"/>
                <w:kern w:val="0"/>
                <w:szCs w:val="20"/>
              </w:rPr>
              <w:t>8</w:t>
            </w:r>
          </w:p>
        </w:tc>
        <w:tc>
          <w:tcPr>
            <w:tcW w:w="805" w:type="pct"/>
            <w:vAlign w:val="center"/>
          </w:tcPr>
          <w:p w14:paraId="06C475F6">
            <w:pPr>
              <w:pStyle w:val="445"/>
              <w:rPr>
                <w:rFonts w:cs="Times New Roman"/>
                <w:kern w:val="0"/>
                <w:szCs w:val="20"/>
              </w:rPr>
            </w:pPr>
            <w:r>
              <w:rPr>
                <w:rFonts w:cs="Times New Roman"/>
                <w:kern w:val="0"/>
                <w:szCs w:val="18"/>
              </w:rPr>
              <w:t>甲基三甲氧基硅烷C</w:t>
            </w:r>
            <w:r>
              <w:rPr>
                <w:rFonts w:cs="Times New Roman"/>
                <w:kern w:val="0"/>
                <w:szCs w:val="18"/>
                <w:vertAlign w:val="subscript"/>
              </w:rPr>
              <w:t>4</w:t>
            </w:r>
            <w:r>
              <w:rPr>
                <w:rFonts w:cs="Times New Roman"/>
                <w:kern w:val="0"/>
                <w:szCs w:val="18"/>
              </w:rPr>
              <w:t>H</w:t>
            </w:r>
            <w:r>
              <w:rPr>
                <w:rFonts w:cs="Times New Roman"/>
                <w:kern w:val="0"/>
                <w:szCs w:val="18"/>
                <w:vertAlign w:val="subscript"/>
              </w:rPr>
              <w:t>12</w:t>
            </w:r>
            <w:r>
              <w:rPr>
                <w:rFonts w:cs="Times New Roman"/>
                <w:kern w:val="0"/>
                <w:szCs w:val="18"/>
              </w:rPr>
              <w:t>O</w:t>
            </w:r>
            <w:r>
              <w:rPr>
                <w:rFonts w:cs="Times New Roman"/>
                <w:kern w:val="0"/>
                <w:szCs w:val="18"/>
                <w:vertAlign w:val="subscript"/>
              </w:rPr>
              <w:t>3</w:t>
            </w:r>
            <w:r>
              <w:rPr>
                <w:rFonts w:cs="Times New Roman"/>
                <w:kern w:val="0"/>
                <w:szCs w:val="18"/>
              </w:rPr>
              <w:t>Si</w:t>
            </w:r>
          </w:p>
        </w:tc>
        <w:tc>
          <w:tcPr>
            <w:tcW w:w="1269" w:type="pct"/>
            <w:vAlign w:val="center"/>
          </w:tcPr>
          <w:p w14:paraId="39EE088D">
            <w:pPr>
              <w:pStyle w:val="445"/>
              <w:rPr>
                <w:rFonts w:cs="Times New Roman"/>
                <w:kern w:val="0"/>
                <w:szCs w:val="18"/>
              </w:rPr>
            </w:pPr>
            <w:r>
              <w:rPr>
                <w:rFonts w:cs="Times New Roman"/>
                <w:kern w:val="0"/>
                <w:szCs w:val="18"/>
              </w:rPr>
              <w:t>分子量136.22，密度0.9g/cm</w:t>
            </w:r>
            <w:r>
              <w:rPr>
                <w:rFonts w:cs="Times New Roman"/>
                <w:kern w:val="0"/>
                <w:szCs w:val="18"/>
                <w:vertAlign w:val="superscript"/>
              </w:rPr>
              <w:t>3</w:t>
            </w:r>
            <w:r>
              <w:rPr>
                <w:rFonts w:cs="Times New Roman"/>
                <w:kern w:val="0"/>
                <w:szCs w:val="18"/>
              </w:rPr>
              <w:t>，沸点102</w:t>
            </w:r>
            <w:r>
              <w:rPr>
                <w:rFonts w:hint="eastAsia" w:ascii="宋体" w:hAnsi="宋体" w:cs="宋体"/>
                <w:kern w:val="0"/>
                <w:szCs w:val="18"/>
              </w:rPr>
              <w:t>℃</w:t>
            </w:r>
            <w:r>
              <w:rPr>
                <w:rFonts w:cs="Times New Roman"/>
                <w:kern w:val="0"/>
                <w:szCs w:val="18"/>
              </w:rPr>
              <w:t>。无色透明液体，易吸湿。溶于甲醇、乙醇、丙酮、苯等有机溶剂中，遇水会水解交联，并产生甲醇。</w:t>
            </w:r>
          </w:p>
        </w:tc>
        <w:tc>
          <w:tcPr>
            <w:tcW w:w="1321" w:type="pct"/>
            <w:vAlign w:val="center"/>
          </w:tcPr>
          <w:p w14:paraId="7BCAED2C">
            <w:pPr>
              <w:pStyle w:val="445"/>
              <w:rPr>
                <w:rFonts w:cs="Times New Roman"/>
                <w:kern w:val="0"/>
                <w:szCs w:val="18"/>
              </w:rPr>
            </w:pPr>
            <w:r>
              <w:rPr>
                <w:rFonts w:cs="Times New Roman"/>
                <w:kern w:val="0"/>
                <w:szCs w:val="18"/>
              </w:rPr>
              <w:t>高度易燃</w:t>
            </w:r>
          </w:p>
        </w:tc>
        <w:tc>
          <w:tcPr>
            <w:tcW w:w="1334" w:type="pct"/>
            <w:vAlign w:val="center"/>
          </w:tcPr>
          <w:p w14:paraId="32F9BD07">
            <w:pPr>
              <w:pStyle w:val="445"/>
              <w:rPr>
                <w:rFonts w:cs="Times New Roman"/>
                <w:kern w:val="0"/>
                <w:szCs w:val="18"/>
              </w:rPr>
            </w:pPr>
            <w:r>
              <w:rPr>
                <w:rFonts w:cs="Times New Roman"/>
                <w:kern w:val="0"/>
                <w:szCs w:val="18"/>
              </w:rPr>
              <w:t>/</w:t>
            </w:r>
          </w:p>
        </w:tc>
      </w:tr>
      <w:tr w14:paraId="2CDB0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65F95628">
            <w:pPr>
              <w:pStyle w:val="445"/>
              <w:rPr>
                <w:rFonts w:cs="Times New Roman"/>
                <w:kern w:val="0"/>
                <w:szCs w:val="20"/>
              </w:rPr>
            </w:pPr>
            <w:r>
              <w:rPr>
                <w:rFonts w:hint="eastAsia" w:cs="Times New Roman"/>
                <w:kern w:val="0"/>
                <w:szCs w:val="20"/>
              </w:rPr>
              <w:t>9</w:t>
            </w:r>
          </w:p>
        </w:tc>
        <w:tc>
          <w:tcPr>
            <w:tcW w:w="805" w:type="pct"/>
            <w:vAlign w:val="center"/>
          </w:tcPr>
          <w:p w14:paraId="296B1B78">
            <w:pPr>
              <w:pStyle w:val="445"/>
              <w:rPr>
                <w:rFonts w:cs="Times New Roman"/>
                <w:kern w:val="0"/>
                <w:szCs w:val="20"/>
              </w:rPr>
            </w:pPr>
            <w:r>
              <w:rPr>
                <w:rFonts w:hint="eastAsia" w:cs="Times New Roman"/>
                <w:kern w:val="0"/>
                <w:szCs w:val="20"/>
              </w:rPr>
              <w:t>烯丙基缩水甘油醚</w:t>
            </w:r>
            <w:r>
              <w:rPr>
                <w:rFonts w:cs="Times New Roman"/>
                <w:kern w:val="0"/>
                <w:szCs w:val="18"/>
              </w:rPr>
              <w:t>C</w:t>
            </w:r>
            <w:r>
              <w:rPr>
                <w:rFonts w:cs="Times New Roman"/>
                <w:kern w:val="0"/>
                <w:szCs w:val="18"/>
                <w:vertAlign w:val="subscript"/>
              </w:rPr>
              <w:t>6</w:t>
            </w:r>
            <w:r>
              <w:rPr>
                <w:rFonts w:cs="Times New Roman"/>
                <w:kern w:val="0"/>
                <w:szCs w:val="18"/>
              </w:rPr>
              <w:t>H</w:t>
            </w:r>
            <w:r>
              <w:rPr>
                <w:rFonts w:cs="Times New Roman"/>
                <w:kern w:val="0"/>
                <w:szCs w:val="18"/>
                <w:vertAlign w:val="subscript"/>
              </w:rPr>
              <w:t>10</w:t>
            </w:r>
            <w:r>
              <w:rPr>
                <w:rFonts w:cs="Times New Roman"/>
                <w:kern w:val="0"/>
                <w:szCs w:val="18"/>
              </w:rPr>
              <w:t>O</w:t>
            </w:r>
            <w:r>
              <w:rPr>
                <w:rFonts w:cs="Times New Roman"/>
                <w:kern w:val="0"/>
                <w:szCs w:val="18"/>
                <w:vertAlign w:val="subscript"/>
              </w:rPr>
              <w:t>2</w:t>
            </w:r>
          </w:p>
        </w:tc>
        <w:tc>
          <w:tcPr>
            <w:tcW w:w="1269" w:type="pct"/>
            <w:vAlign w:val="center"/>
          </w:tcPr>
          <w:p w14:paraId="0D098365">
            <w:pPr>
              <w:pStyle w:val="445"/>
              <w:rPr>
                <w:rFonts w:cs="Times New Roman"/>
                <w:kern w:val="0"/>
                <w:szCs w:val="18"/>
              </w:rPr>
            </w:pPr>
            <w:r>
              <w:rPr>
                <w:rFonts w:hint="eastAsia" w:cs="Times New Roman"/>
                <w:kern w:val="0"/>
                <w:szCs w:val="18"/>
              </w:rPr>
              <w:t>分子量114.14，</w:t>
            </w:r>
            <w:r>
              <w:rPr>
                <w:rFonts w:cs="Times New Roman"/>
                <w:kern w:val="0"/>
                <w:szCs w:val="18"/>
              </w:rPr>
              <w:t>密度</w:t>
            </w:r>
            <w:r>
              <w:rPr>
                <w:rFonts w:hint="eastAsia" w:cs="Times New Roman"/>
                <w:kern w:val="0"/>
                <w:szCs w:val="18"/>
              </w:rPr>
              <w:t>0.962</w:t>
            </w:r>
            <w:r>
              <w:rPr>
                <w:rFonts w:cs="Times New Roman"/>
                <w:kern w:val="0"/>
                <w:szCs w:val="18"/>
              </w:rPr>
              <w:t xml:space="preserve"> g/cm</w:t>
            </w:r>
            <w:r>
              <w:rPr>
                <w:rFonts w:cs="Times New Roman"/>
                <w:kern w:val="0"/>
                <w:szCs w:val="18"/>
                <w:vertAlign w:val="superscript"/>
              </w:rPr>
              <w:t>3</w:t>
            </w:r>
            <w:r>
              <w:rPr>
                <w:rFonts w:cs="Times New Roman"/>
                <w:kern w:val="0"/>
                <w:szCs w:val="18"/>
              </w:rPr>
              <w:t>，</w:t>
            </w:r>
            <w:r>
              <w:rPr>
                <w:rFonts w:hint="eastAsia" w:cs="Times New Roman"/>
                <w:kern w:val="0"/>
                <w:szCs w:val="18"/>
              </w:rPr>
              <w:t>沸点154</w:t>
            </w:r>
            <w:r>
              <w:rPr>
                <w:rFonts w:hint="eastAsia" w:ascii="宋体" w:hAnsi="宋体" w:cs="宋体"/>
                <w:kern w:val="0"/>
                <w:szCs w:val="18"/>
              </w:rPr>
              <w:t>℃</w:t>
            </w:r>
            <w:r>
              <w:rPr>
                <w:rFonts w:cs="Times New Roman"/>
                <w:kern w:val="0"/>
                <w:szCs w:val="18"/>
              </w:rPr>
              <w:t>。</w:t>
            </w:r>
            <w:r>
              <w:rPr>
                <w:rFonts w:hint="eastAsia" w:cs="Times New Roman"/>
                <w:kern w:val="0"/>
                <w:szCs w:val="18"/>
              </w:rPr>
              <w:t>无色</w:t>
            </w:r>
            <w:r>
              <w:rPr>
                <w:rFonts w:cs="Times New Roman"/>
                <w:kern w:val="0"/>
                <w:szCs w:val="18"/>
              </w:rPr>
              <w:t>透明</w:t>
            </w:r>
            <w:r>
              <w:rPr>
                <w:rFonts w:hint="eastAsia" w:cs="Times New Roman"/>
                <w:kern w:val="0"/>
                <w:szCs w:val="18"/>
              </w:rPr>
              <w:t>，</w:t>
            </w:r>
            <w:r>
              <w:rPr>
                <w:rFonts w:cs="Times New Roman"/>
                <w:kern w:val="0"/>
                <w:szCs w:val="18"/>
              </w:rPr>
              <w:t>有特殊的臭味，</w:t>
            </w:r>
            <w:r>
              <w:rPr>
                <w:rFonts w:hint="eastAsia" w:cs="Times New Roman"/>
                <w:kern w:val="0"/>
                <w:szCs w:val="18"/>
              </w:rPr>
              <w:t>溶于水</w:t>
            </w:r>
            <w:r>
              <w:rPr>
                <w:rFonts w:cs="Times New Roman"/>
                <w:kern w:val="0"/>
                <w:szCs w:val="18"/>
              </w:rPr>
              <w:t>、溶于丙酮、苯、四氯化碳和</w:t>
            </w:r>
            <w:r>
              <w:rPr>
                <w:rFonts w:hint="eastAsia" w:cs="Times New Roman"/>
                <w:kern w:val="0"/>
                <w:szCs w:val="18"/>
              </w:rPr>
              <w:t>醇</w:t>
            </w:r>
            <w:r>
              <w:rPr>
                <w:rFonts w:cs="Times New Roman"/>
                <w:kern w:val="0"/>
                <w:szCs w:val="18"/>
              </w:rPr>
              <w:t>。</w:t>
            </w:r>
          </w:p>
        </w:tc>
        <w:tc>
          <w:tcPr>
            <w:tcW w:w="1321" w:type="pct"/>
            <w:vAlign w:val="center"/>
          </w:tcPr>
          <w:p w14:paraId="41026107">
            <w:pPr>
              <w:pStyle w:val="445"/>
              <w:rPr>
                <w:rFonts w:cs="Times New Roman"/>
                <w:kern w:val="0"/>
                <w:szCs w:val="18"/>
              </w:rPr>
            </w:pPr>
            <w:r>
              <w:rPr>
                <w:rFonts w:hint="eastAsia" w:cs="Times New Roman"/>
                <w:kern w:val="0"/>
                <w:szCs w:val="18"/>
              </w:rPr>
              <w:t>高毒且易燃。</w:t>
            </w:r>
          </w:p>
        </w:tc>
        <w:tc>
          <w:tcPr>
            <w:tcW w:w="1334" w:type="pct"/>
            <w:vAlign w:val="center"/>
          </w:tcPr>
          <w:p w14:paraId="1351313F">
            <w:pPr>
              <w:pStyle w:val="445"/>
              <w:rPr>
                <w:rFonts w:cs="Times New Roman"/>
                <w:kern w:val="0"/>
                <w:szCs w:val="18"/>
              </w:rPr>
            </w:pPr>
            <w:r>
              <w:rPr>
                <w:rFonts w:hint="eastAsia" w:cs="Times New Roman"/>
                <w:kern w:val="0"/>
                <w:szCs w:val="18"/>
              </w:rPr>
              <w:t>急性毒性：大鼠经口LD</w:t>
            </w:r>
            <w:r>
              <w:rPr>
                <w:rFonts w:cs="Times New Roman"/>
                <w:kern w:val="0"/>
                <w:szCs w:val="18"/>
                <w:vertAlign w:val="subscript"/>
              </w:rPr>
              <w:t>50</w:t>
            </w:r>
            <w:r>
              <w:rPr>
                <w:rFonts w:hint="eastAsia" w:cs="Times New Roman"/>
                <w:kern w:val="0"/>
                <w:szCs w:val="18"/>
              </w:rPr>
              <w:t>：920mg/kg；兔径皮LD</w:t>
            </w:r>
            <w:r>
              <w:rPr>
                <w:rFonts w:cs="Times New Roman"/>
                <w:kern w:val="0"/>
                <w:szCs w:val="18"/>
                <w:vertAlign w:val="subscript"/>
              </w:rPr>
              <w:t>50</w:t>
            </w:r>
            <w:r>
              <w:rPr>
                <w:rFonts w:hint="eastAsia" w:cs="Times New Roman"/>
                <w:kern w:val="0"/>
                <w:szCs w:val="18"/>
              </w:rPr>
              <w:t>：2550mg/kg；大鼠吸入LC</w:t>
            </w:r>
            <w:r>
              <w:rPr>
                <w:rFonts w:cs="Times New Roman"/>
                <w:kern w:val="0"/>
                <w:szCs w:val="18"/>
                <w:vertAlign w:val="subscript"/>
              </w:rPr>
              <w:t>50</w:t>
            </w:r>
            <w:r>
              <w:rPr>
                <w:rFonts w:hint="eastAsia" w:cs="Times New Roman"/>
                <w:kern w:val="0"/>
                <w:szCs w:val="18"/>
              </w:rPr>
              <w:t>：860ppm/4h</w:t>
            </w:r>
          </w:p>
        </w:tc>
      </w:tr>
      <w:tr w14:paraId="144B8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1" w:type="pct"/>
            <w:vAlign w:val="center"/>
          </w:tcPr>
          <w:p w14:paraId="68A93497">
            <w:pPr>
              <w:pStyle w:val="445"/>
              <w:rPr>
                <w:rFonts w:cs="Times New Roman"/>
                <w:kern w:val="0"/>
                <w:szCs w:val="20"/>
              </w:rPr>
            </w:pPr>
            <w:r>
              <w:rPr>
                <w:rFonts w:hint="eastAsia" w:cs="Times New Roman"/>
                <w:kern w:val="0"/>
                <w:szCs w:val="20"/>
              </w:rPr>
              <w:t>10</w:t>
            </w:r>
          </w:p>
        </w:tc>
        <w:tc>
          <w:tcPr>
            <w:tcW w:w="805" w:type="pct"/>
            <w:vAlign w:val="center"/>
          </w:tcPr>
          <w:p w14:paraId="3E537207">
            <w:pPr>
              <w:pStyle w:val="445"/>
              <w:rPr>
                <w:rFonts w:cs="Times New Roman"/>
                <w:kern w:val="0"/>
                <w:szCs w:val="20"/>
              </w:rPr>
            </w:pPr>
            <w:r>
              <w:rPr>
                <w:rFonts w:hint="eastAsia" w:cs="Times New Roman"/>
                <w:kern w:val="0"/>
                <w:szCs w:val="20"/>
              </w:rPr>
              <w:t>异丙醇</w:t>
            </w:r>
          </w:p>
          <w:p w14:paraId="224A42F9">
            <w:pPr>
              <w:pStyle w:val="445"/>
              <w:rPr>
                <w:rFonts w:cs="Times New Roman"/>
                <w:kern w:val="0"/>
                <w:szCs w:val="20"/>
              </w:rPr>
            </w:pPr>
            <w:r>
              <w:rPr>
                <w:rFonts w:cs="Times New Roman"/>
                <w:kern w:val="0"/>
                <w:szCs w:val="20"/>
              </w:rPr>
              <w:t>C</w:t>
            </w:r>
            <w:r>
              <w:rPr>
                <w:rFonts w:cs="Times New Roman"/>
                <w:kern w:val="0"/>
                <w:szCs w:val="20"/>
                <w:vertAlign w:val="subscript"/>
              </w:rPr>
              <w:t>3</w:t>
            </w:r>
            <w:r>
              <w:rPr>
                <w:rFonts w:cs="Times New Roman"/>
                <w:kern w:val="0"/>
                <w:szCs w:val="20"/>
              </w:rPr>
              <w:t>H</w:t>
            </w:r>
            <w:r>
              <w:rPr>
                <w:rFonts w:cs="Times New Roman"/>
                <w:kern w:val="0"/>
                <w:szCs w:val="20"/>
                <w:vertAlign w:val="subscript"/>
              </w:rPr>
              <w:t>8</w:t>
            </w:r>
            <w:r>
              <w:rPr>
                <w:rFonts w:cs="Times New Roman"/>
                <w:kern w:val="0"/>
                <w:szCs w:val="20"/>
              </w:rPr>
              <w:t>O</w:t>
            </w:r>
          </w:p>
        </w:tc>
        <w:tc>
          <w:tcPr>
            <w:tcW w:w="1269" w:type="pct"/>
            <w:vAlign w:val="center"/>
          </w:tcPr>
          <w:p w14:paraId="15F8086D">
            <w:pPr>
              <w:pStyle w:val="445"/>
              <w:rPr>
                <w:rFonts w:cs="Times New Roman"/>
                <w:kern w:val="0"/>
                <w:szCs w:val="20"/>
              </w:rPr>
            </w:pPr>
            <w:r>
              <w:rPr>
                <w:rFonts w:hint="eastAsia" w:cs="Times New Roman"/>
                <w:kern w:val="0"/>
                <w:szCs w:val="20"/>
              </w:rPr>
              <w:t>熔点-88.5℃</w:t>
            </w:r>
            <w:r>
              <w:rPr>
                <w:rFonts w:cs="Times New Roman"/>
                <w:kern w:val="0"/>
                <w:szCs w:val="20"/>
              </w:rPr>
              <w:t>，沸点</w:t>
            </w:r>
            <w:r>
              <w:rPr>
                <w:rFonts w:hint="eastAsia" w:cs="Times New Roman"/>
                <w:kern w:val="0"/>
                <w:szCs w:val="20"/>
              </w:rPr>
              <w:t>82.45℃</w:t>
            </w:r>
            <w:r>
              <w:rPr>
                <w:rFonts w:cs="Times New Roman"/>
                <w:kern w:val="0"/>
                <w:szCs w:val="20"/>
              </w:rPr>
              <w:t>，</w:t>
            </w:r>
            <w:r>
              <w:rPr>
                <w:rFonts w:hint="eastAsia" w:cs="Times New Roman"/>
                <w:kern w:val="0"/>
                <w:szCs w:val="20"/>
              </w:rPr>
              <w:t>无色透明液体，有似乙醇和丙酮混合</w:t>
            </w:r>
          </w:p>
          <w:p w14:paraId="6767F963">
            <w:pPr>
              <w:pStyle w:val="445"/>
              <w:rPr>
                <w:rFonts w:cs="Times New Roman"/>
                <w:kern w:val="0"/>
                <w:szCs w:val="18"/>
              </w:rPr>
            </w:pPr>
            <w:r>
              <w:rPr>
                <w:rFonts w:hint="eastAsia" w:cs="Times New Roman"/>
                <w:kern w:val="0"/>
                <w:szCs w:val="20"/>
              </w:rPr>
              <w:t>物的气味，能与醇、醚、氯仿和水混溶。</w:t>
            </w:r>
          </w:p>
        </w:tc>
        <w:tc>
          <w:tcPr>
            <w:tcW w:w="1321" w:type="pct"/>
            <w:vAlign w:val="center"/>
          </w:tcPr>
          <w:p w14:paraId="1AD74939">
            <w:pPr>
              <w:pStyle w:val="445"/>
              <w:rPr>
                <w:rFonts w:cs="Times New Roman"/>
                <w:kern w:val="0"/>
                <w:szCs w:val="18"/>
              </w:rPr>
            </w:pPr>
            <w:r>
              <w:rPr>
                <w:rFonts w:hint="eastAsia" w:cs="Times New Roman"/>
                <w:kern w:val="0"/>
                <w:szCs w:val="20"/>
              </w:rPr>
              <w:t>/</w:t>
            </w:r>
          </w:p>
        </w:tc>
        <w:tc>
          <w:tcPr>
            <w:tcW w:w="1334" w:type="pct"/>
            <w:vAlign w:val="center"/>
          </w:tcPr>
          <w:p w14:paraId="5020C5A8">
            <w:pPr>
              <w:pStyle w:val="445"/>
              <w:rPr>
                <w:rFonts w:cs="Times New Roman"/>
                <w:kern w:val="0"/>
                <w:szCs w:val="18"/>
              </w:rPr>
            </w:pPr>
            <w:r>
              <w:rPr>
                <w:rFonts w:cs="Times New Roman"/>
                <w:kern w:val="44"/>
                <w:szCs w:val="20"/>
              </w:rPr>
              <w:t>大鼠经口LD</w:t>
            </w:r>
            <w:r>
              <w:rPr>
                <w:rFonts w:cs="Times New Roman"/>
                <w:kern w:val="44"/>
                <w:szCs w:val="20"/>
                <w:vertAlign w:val="subscript"/>
              </w:rPr>
              <w:t>50</w:t>
            </w:r>
            <w:r>
              <w:rPr>
                <w:rFonts w:cs="Times New Roman"/>
                <w:kern w:val="44"/>
                <w:szCs w:val="20"/>
              </w:rPr>
              <w:t>：5840mg/kg；</w:t>
            </w:r>
            <w:r>
              <w:rPr>
                <w:rFonts w:hint="eastAsia" w:cs="Times New Roman"/>
                <w:kern w:val="44"/>
                <w:szCs w:val="20"/>
              </w:rPr>
              <w:t>小鼠口服</w:t>
            </w:r>
            <w:r>
              <w:rPr>
                <w:rFonts w:cs="Times New Roman"/>
                <w:kern w:val="44"/>
                <w:szCs w:val="20"/>
              </w:rPr>
              <w:t>LC</w:t>
            </w:r>
            <w:r>
              <w:rPr>
                <w:rFonts w:cs="Times New Roman"/>
                <w:kern w:val="44"/>
                <w:szCs w:val="20"/>
                <w:vertAlign w:val="subscript"/>
              </w:rPr>
              <w:t>50</w:t>
            </w:r>
            <w:r>
              <w:rPr>
                <w:rFonts w:hint="eastAsia" w:cs="Times New Roman"/>
                <w:kern w:val="44"/>
                <w:szCs w:val="20"/>
              </w:rPr>
              <w:t>：</w:t>
            </w:r>
            <w:r>
              <w:rPr>
                <w:rFonts w:cs="Times New Roman"/>
                <w:kern w:val="44"/>
                <w:szCs w:val="20"/>
              </w:rPr>
              <w:t>3600mg/</w:t>
            </w:r>
            <w:r>
              <w:rPr>
                <w:rFonts w:cs="Times New Roman"/>
                <w:kern w:val="0"/>
                <w:szCs w:val="20"/>
              </w:rPr>
              <w:t>m</w:t>
            </w:r>
            <w:r>
              <w:rPr>
                <w:rFonts w:cs="Times New Roman"/>
                <w:kern w:val="0"/>
                <w:szCs w:val="20"/>
                <w:vertAlign w:val="superscript"/>
              </w:rPr>
              <w:t>3</w:t>
            </w:r>
          </w:p>
        </w:tc>
      </w:tr>
    </w:tbl>
    <w:p w14:paraId="1B8AFD4D">
      <w:pPr>
        <w:widowControl/>
        <w:spacing w:before="120" w:after="120"/>
        <w:ind w:firstLine="0" w:firstLineChars="0"/>
        <w:jc w:val="left"/>
        <w:outlineLvl w:val="3"/>
        <w:rPr>
          <w:rFonts w:eastAsia="黑体"/>
        </w:rPr>
      </w:pPr>
      <w:r>
        <w:rPr>
          <w:rFonts w:eastAsia="黑体"/>
        </w:rPr>
        <w:t>5.6.3</w:t>
      </w:r>
      <w:r>
        <w:rPr>
          <w:rFonts w:hint="eastAsia" w:eastAsia="黑体"/>
        </w:rPr>
        <w:t>.</w:t>
      </w:r>
      <w:r>
        <w:rPr>
          <w:rFonts w:eastAsia="黑体"/>
        </w:rPr>
        <w:t>2</w:t>
      </w:r>
      <w:r>
        <w:rPr>
          <w:rFonts w:hint="eastAsia" w:ascii="黑体" w:hAnsi="黑体" w:eastAsia="黑体"/>
        </w:rPr>
        <w:t>生产及公辅环保设施环境风险识别</w:t>
      </w:r>
    </w:p>
    <w:p w14:paraId="3E2440AD">
      <w:pPr>
        <w:ind w:firstLine="480"/>
      </w:pPr>
      <w:r>
        <w:rPr>
          <w:rFonts w:hint="eastAsia" w:ascii="宋体" w:hAnsi="宋体"/>
        </w:rPr>
        <w:t>（</w:t>
      </w:r>
      <w:r>
        <w:rPr>
          <w:rFonts w:hint="eastAsia"/>
        </w:rPr>
        <w:t>1</w:t>
      </w:r>
      <w:r>
        <w:rPr>
          <w:rFonts w:hint="eastAsia" w:ascii="宋体" w:hAnsi="宋体"/>
        </w:rPr>
        <w:t>）生产装置区</w:t>
      </w:r>
    </w:p>
    <w:p w14:paraId="0FD20531">
      <w:pPr>
        <w:ind w:firstLine="480"/>
      </w:pPr>
      <w:r>
        <w:rPr>
          <w:rFonts w:cs="Times New Roman"/>
        </w:rPr>
        <w:t>依据物质的危险、有害特性分析，本</w:t>
      </w:r>
      <w:r>
        <w:rPr>
          <w:rFonts w:hint="eastAsia" w:cs="Times New Roman"/>
        </w:rPr>
        <w:t>项目</w:t>
      </w:r>
      <w:r>
        <w:rPr>
          <w:rFonts w:cs="Times New Roman"/>
        </w:rPr>
        <w:t>生产过程及生产过程中涉及厂内物料</w:t>
      </w:r>
      <w:r>
        <w:rPr>
          <w:rFonts w:hint="eastAsia" w:cs="Times New Roman"/>
        </w:rPr>
        <w:t>储存</w:t>
      </w:r>
      <w:r>
        <w:rPr>
          <w:rFonts w:cs="Times New Roman"/>
        </w:rPr>
        <w:t>运输及其它用电设备等存在火灾、爆炸、腐蚀、中毒、窒息等危险有害性</w:t>
      </w:r>
      <w:r>
        <w:rPr>
          <w:rFonts w:ascii="宋体" w:hAnsi="宋体"/>
        </w:rPr>
        <w:t>。</w:t>
      </w:r>
    </w:p>
    <w:p w14:paraId="071DE233">
      <w:pPr>
        <w:ind w:firstLine="480"/>
      </w:pPr>
      <w:r>
        <w:rPr>
          <w:rFonts w:ascii="宋体" w:hAnsi="宋体"/>
        </w:rPr>
        <w:t>生产过程中各单元的主要危险、有害性分析详见表</w:t>
      </w:r>
      <w:r>
        <w:t>5.6.3-2</w:t>
      </w:r>
      <w:r>
        <w:rPr>
          <w:rFonts w:ascii="宋体" w:hAnsi="宋体"/>
        </w:rPr>
        <w:t>。厂区危险单元分布图见</w:t>
      </w:r>
      <w:r>
        <w:rPr>
          <w:rFonts w:hint="eastAsia" w:ascii="宋体" w:hAnsi="宋体"/>
        </w:rPr>
        <w:t>附图</w:t>
      </w:r>
      <w:r>
        <w:t>5.6.3-1</w:t>
      </w:r>
      <w:r>
        <w:rPr>
          <w:rFonts w:hint="eastAsia" w:ascii="宋体" w:hAnsi="宋体"/>
        </w:rPr>
        <w:t>。</w:t>
      </w:r>
    </w:p>
    <w:p w14:paraId="207B7740">
      <w:pPr>
        <w:spacing w:line="500" w:lineRule="exact"/>
        <w:ind w:firstLine="0" w:firstLineChars="0"/>
        <w:jc w:val="center"/>
        <w:rPr>
          <w:rFonts w:eastAsia="黑体"/>
        </w:rPr>
      </w:pPr>
      <w:r>
        <w:rPr>
          <w:rFonts w:hint="eastAsia" w:ascii="黑体" w:hAnsi="黑体" w:eastAsia="黑体"/>
        </w:rPr>
        <w:t>表</w:t>
      </w:r>
      <w:r>
        <w:rPr>
          <w:rFonts w:eastAsia="黑体"/>
        </w:rPr>
        <w:t xml:space="preserve">5.6.3-2  </w:t>
      </w:r>
      <w:r>
        <w:rPr>
          <w:rFonts w:hint="eastAsia" w:ascii="黑体" w:hAnsi="黑体" w:eastAsia="黑体"/>
        </w:rPr>
        <w:t>生产过程</w:t>
      </w:r>
      <w:r>
        <w:rPr>
          <w:rFonts w:ascii="黑体" w:hAnsi="黑体" w:eastAsia="黑体"/>
        </w:rPr>
        <w:t>环境风险识别表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15"/>
        <w:gridCol w:w="921"/>
        <w:gridCol w:w="1322"/>
        <w:gridCol w:w="1584"/>
        <w:gridCol w:w="1440"/>
        <w:gridCol w:w="1880"/>
        <w:gridCol w:w="1581"/>
      </w:tblGrid>
      <w:tr w14:paraId="6E9E24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9" w:type="pct"/>
            <w:vAlign w:val="center"/>
          </w:tcPr>
          <w:p w14:paraId="3B9A98FC">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序号</w:t>
            </w:r>
          </w:p>
        </w:tc>
        <w:tc>
          <w:tcPr>
            <w:tcW w:w="498" w:type="pct"/>
            <w:vAlign w:val="center"/>
          </w:tcPr>
          <w:p w14:paraId="34EBC10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危险单元</w:t>
            </w:r>
          </w:p>
        </w:tc>
        <w:tc>
          <w:tcPr>
            <w:tcW w:w="715" w:type="pct"/>
            <w:vAlign w:val="center"/>
          </w:tcPr>
          <w:p w14:paraId="53582BD0">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风险源</w:t>
            </w:r>
          </w:p>
        </w:tc>
        <w:tc>
          <w:tcPr>
            <w:tcW w:w="857" w:type="pct"/>
            <w:vAlign w:val="center"/>
          </w:tcPr>
          <w:p w14:paraId="7895AC57">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主要</w:t>
            </w:r>
            <w:r>
              <w:rPr>
                <w:rFonts w:hint="eastAsia" w:ascii="宋体" w:hAnsi="宋体" w:cs="Times New Roman"/>
                <w:kern w:val="0"/>
                <w:sz w:val="18"/>
                <w:szCs w:val="18"/>
              </w:rPr>
              <w:t>危险</w:t>
            </w:r>
            <w:r>
              <w:rPr>
                <w:rFonts w:ascii="宋体" w:hAnsi="宋体" w:cs="Times New Roman"/>
                <w:kern w:val="0"/>
                <w:sz w:val="18"/>
                <w:szCs w:val="18"/>
              </w:rPr>
              <w:t>物质</w:t>
            </w:r>
          </w:p>
        </w:tc>
        <w:tc>
          <w:tcPr>
            <w:tcW w:w="779" w:type="pct"/>
            <w:vAlign w:val="center"/>
          </w:tcPr>
          <w:p w14:paraId="2101876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环境风险类型</w:t>
            </w:r>
          </w:p>
        </w:tc>
        <w:tc>
          <w:tcPr>
            <w:tcW w:w="1017" w:type="pct"/>
            <w:vAlign w:val="center"/>
          </w:tcPr>
          <w:p w14:paraId="52B38528">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环境</w:t>
            </w:r>
            <w:r>
              <w:rPr>
                <w:rFonts w:ascii="宋体" w:hAnsi="宋体" w:cs="Times New Roman"/>
                <w:kern w:val="0"/>
                <w:sz w:val="18"/>
                <w:szCs w:val="18"/>
              </w:rPr>
              <w:t>影响途径</w:t>
            </w:r>
          </w:p>
        </w:tc>
        <w:tc>
          <w:tcPr>
            <w:tcW w:w="855" w:type="pct"/>
            <w:vAlign w:val="center"/>
          </w:tcPr>
          <w:p w14:paraId="4C081F1B">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可能</w:t>
            </w:r>
            <w:r>
              <w:rPr>
                <w:rFonts w:ascii="宋体" w:hAnsi="宋体" w:cs="Times New Roman"/>
                <w:kern w:val="0"/>
                <w:sz w:val="18"/>
                <w:szCs w:val="18"/>
              </w:rPr>
              <w:t>受影响的环境敏感目标</w:t>
            </w:r>
          </w:p>
        </w:tc>
      </w:tr>
      <w:tr w14:paraId="78A13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9" w:type="pct"/>
            <w:vAlign w:val="center"/>
          </w:tcPr>
          <w:p w14:paraId="43FA8071">
            <w:pPr>
              <w:widowControl/>
              <w:spacing w:line="360" w:lineRule="exact"/>
              <w:ind w:firstLine="0" w:firstLineChars="0"/>
              <w:jc w:val="center"/>
              <w:rPr>
                <w:rFonts w:cs="Times New Roman"/>
                <w:kern w:val="0"/>
                <w:sz w:val="18"/>
                <w:szCs w:val="18"/>
              </w:rPr>
            </w:pPr>
            <w:r>
              <w:rPr>
                <w:rFonts w:cs="Times New Roman"/>
                <w:kern w:val="0"/>
                <w:sz w:val="18"/>
                <w:szCs w:val="18"/>
              </w:rPr>
              <w:t>1</w:t>
            </w:r>
          </w:p>
        </w:tc>
        <w:tc>
          <w:tcPr>
            <w:tcW w:w="498" w:type="pct"/>
            <w:vAlign w:val="center"/>
          </w:tcPr>
          <w:p w14:paraId="7C1E56AC">
            <w:pPr>
              <w:widowControl/>
              <w:spacing w:line="360" w:lineRule="exact"/>
              <w:ind w:firstLine="0" w:firstLineChars="0"/>
              <w:jc w:val="center"/>
              <w:rPr>
                <w:rFonts w:cs="Times New Roman"/>
                <w:kern w:val="0"/>
                <w:sz w:val="18"/>
                <w:szCs w:val="18"/>
              </w:rPr>
            </w:pPr>
            <w:r>
              <w:rPr>
                <w:rFonts w:hint="eastAsia" w:cs="Times New Roman"/>
                <w:kern w:val="0"/>
                <w:sz w:val="18"/>
                <w:szCs w:val="18"/>
              </w:rPr>
              <w:t>合成精馏</w:t>
            </w:r>
            <w:r>
              <w:rPr>
                <w:rFonts w:cs="Times New Roman"/>
                <w:kern w:val="0"/>
                <w:sz w:val="18"/>
                <w:szCs w:val="18"/>
              </w:rPr>
              <w:t>偶联剂车间</w:t>
            </w:r>
          </w:p>
        </w:tc>
        <w:tc>
          <w:tcPr>
            <w:tcW w:w="715" w:type="pct"/>
            <w:vAlign w:val="center"/>
          </w:tcPr>
          <w:p w14:paraId="32F00CB5">
            <w:pPr>
              <w:widowControl/>
              <w:spacing w:line="360" w:lineRule="exact"/>
              <w:ind w:firstLine="0" w:firstLineChars="0"/>
              <w:jc w:val="center"/>
              <w:rPr>
                <w:rFonts w:cs="Times New Roman"/>
                <w:kern w:val="0"/>
                <w:sz w:val="18"/>
                <w:szCs w:val="18"/>
              </w:rPr>
            </w:pPr>
            <w:r>
              <w:rPr>
                <w:rFonts w:hint="eastAsia" w:cs="Times New Roman"/>
                <w:kern w:val="0"/>
                <w:sz w:val="18"/>
                <w:szCs w:val="18"/>
              </w:rPr>
              <w:t>流化床反应器、</w:t>
            </w:r>
            <w:r>
              <w:rPr>
                <w:rFonts w:cs="Times New Roman"/>
                <w:kern w:val="0"/>
                <w:sz w:val="18"/>
                <w:szCs w:val="18"/>
              </w:rPr>
              <w:t>精馏塔</w:t>
            </w:r>
          </w:p>
        </w:tc>
        <w:tc>
          <w:tcPr>
            <w:tcW w:w="857" w:type="pct"/>
            <w:vAlign w:val="center"/>
          </w:tcPr>
          <w:p w14:paraId="3E2437EC">
            <w:pPr>
              <w:widowControl/>
              <w:spacing w:line="360" w:lineRule="exact"/>
              <w:ind w:firstLine="0" w:firstLineChars="0"/>
              <w:jc w:val="center"/>
              <w:rPr>
                <w:rFonts w:cs="Times New Roman"/>
                <w:kern w:val="0"/>
                <w:sz w:val="18"/>
                <w:szCs w:val="18"/>
              </w:rPr>
            </w:pPr>
            <w:r>
              <w:rPr>
                <w:rFonts w:hint="eastAsia" w:cs="Times New Roman"/>
                <w:kern w:val="0"/>
                <w:sz w:val="18"/>
                <w:szCs w:val="18"/>
              </w:rPr>
              <w:t>甲醇</w:t>
            </w:r>
            <w:r>
              <w:rPr>
                <w:rFonts w:hint="eastAsia" w:ascii="宋体" w:hAnsi="宋体" w:cs="Times New Roman"/>
                <w:kern w:val="0"/>
                <w:sz w:val="18"/>
                <w:szCs w:val="18"/>
              </w:rPr>
              <w:t>等有机物</w:t>
            </w:r>
          </w:p>
        </w:tc>
        <w:tc>
          <w:tcPr>
            <w:tcW w:w="779" w:type="pct"/>
            <w:vAlign w:val="center"/>
          </w:tcPr>
          <w:p w14:paraId="0E822D1B">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泄漏、火灾</w:t>
            </w:r>
          </w:p>
        </w:tc>
        <w:tc>
          <w:tcPr>
            <w:tcW w:w="1017" w:type="pct"/>
            <w:vMerge w:val="restart"/>
            <w:vAlign w:val="center"/>
          </w:tcPr>
          <w:p w14:paraId="33092C84">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大气</w:t>
            </w:r>
            <w:r>
              <w:rPr>
                <w:rFonts w:ascii="宋体" w:hAnsi="宋体" w:cs="Times New Roman"/>
                <w:kern w:val="0"/>
                <w:sz w:val="18"/>
                <w:szCs w:val="18"/>
              </w:rPr>
              <w:t>污染</w:t>
            </w:r>
            <w:r>
              <w:rPr>
                <w:rFonts w:hint="eastAsia" w:ascii="宋体" w:hAnsi="宋体" w:cs="Times New Roman"/>
                <w:kern w:val="0"/>
                <w:sz w:val="18"/>
                <w:szCs w:val="18"/>
              </w:rPr>
              <w:t>排放造成</w:t>
            </w:r>
            <w:r>
              <w:rPr>
                <w:rFonts w:ascii="宋体" w:hAnsi="宋体" w:cs="Times New Roman"/>
                <w:kern w:val="0"/>
                <w:sz w:val="18"/>
                <w:szCs w:val="18"/>
              </w:rPr>
              <w:t>中毒等</w:t>
            </w:r>
          </w:p>
        </w:tc>
        <w:tc>
          <w:tcPr>
            <w:tcW w:w="855" w:type="pct"/>
            <w:vMerge w:val="restart"/>
            <w:vAlign w:val="center"/>
          </w:tcPr>
          <w:p w14:paraId="01FD9747">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周边</w:t>
            </w:r>
            <w:r>
              <w:rPr>
                <w:rFonts w:hint="eastAsia" w:cs="Times New Roman"/>
                <w:kern w:val="0"/>
                <w:sz w:val="18"/>
                <w:szCs w:val="18"/>
              </w:rPr>
              <w:t>5km</w:t>
            </w:r>
            <w:r>
              <w:rPr>
                <w:rFonts w:hint="eastAsia" w:ascii="宋体" w:hAnsi="宋体" w:cs="Times New Roman"/>
                <w:kern w:val="0"/>
                <w:sz w:val="18"/>
                <w:szCs w:val="18"/>
              </w:rPr>
              <w:t>大气环境</w:t>
            </w:r>
          </w:p>
        </w:tc>
      </w:tr>
      <w:tr w14:paraId="0A779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9" w:type="pct"/>
            <w:vAlign w:val="center"/>
          </w:tcPr>
          <w:p w14:paraId="4BB5B989">
            <w:pPr>
              <w:widowControl/>
              <w:spacing w:line="360" w:lineRule="exact"/>
              <w:ind w:firstLine="0" w:firstLineChars="0"/>
              <w:jc w:val="center"/>
              <w:rPr>
                <w:rFonts w:cs="Times New Roman"/>
                <w:kern w:val="0"/>
                <w:sz w:val="18"/>
                <w:szCs w:val="18"/>
              </w:rPr>
            </w:pPr>
            <w:r>
              <w:rPr>
                <w:rFonts w:hint="eastAsia" w:cs="Times New Roman"/>
                <w:kern w:val="0"/>
                <w:sz w:val="18"/>
                <w:szCs w:val="18"/>
              </w:rPr>
              <w:t>2</w:t>
            </w:r>
          </w:p>
        </w:tc>
        <w:tc>
          <w:tcPr>
            <w:tcW w:w="498" w:type="pct"/>
            <w:vAlign w:val="center"/>
          </w:tcPr>
          <w:p w14:paraId="159B87DA">
            <w:pPr>
              <w:widowControl/>
              <w:spacing w:line="360" w:lineRule="exact"/>
              <w:ind w:firstLine="0" w:firstLineChars="0"/>
              <w:jc w:val="center"/>
              <w:rPr>
                <w:rFonts w:cs="Times New Roman"/>
                <w:kern w:val="0"/>
                <w:sz w:val="18"/>
                <w:szCs w:val="18"/>
              </w:rPr>
            </w:pPr>
            <w:r>
              <w:rPr>
                <w:rFonts w:hint="eastAsia" w:cs="Times New Roman"/>
                <w:kern w:val="0"/>
                <w:sz w:val="18"/>
                <w:szCs w:val="18"/>
              </w:rPr>
              <w:t>水解</w:t>
            </w:r>
            <w:r>
              <w:rPr>
                <w:rFonts w:cs="Times New Roman"/>
                <w:kern w:val="0"/>
                <w:sz w:val="18"/>
                <w:szCs w:val="18"/>
              </w:rPr>
              <w:t>车间</w:t>
            </w:r>
          </w:p>
        </w:tc>
        <w:tc>
          <w:tcPr>
            <w:tcW w:w="715" w:type="pct"/>
            <w:vAlign w:val="center"/>
          </w:tcPr>
          <w:p w14:paraId="0AB769D3">
            <w:pPr>
              <w:widowControl/>
              <w:spacing w:line="360" w:lineRule="exact"/>
              <w:ind w:firstLine="0" w:firstLineChars="0"/>
              <w:jc w:val="center"/>
              <w:rPr>
                <w:rFonts w:cs="Times New Roman"/>
                <w:kern w:val="0"/>
                <w:sz w:val="18"/>
                <w:szCs w:val="18"/>
              </w:rPr>
            </w:pPr>
            <w:r>
              <w:rPr>
                <w:rFonts w:hint="eastAsia" w:cs="Times New Roman"/>
                <w:kern w:val="0"/>
                <w:sz w:val="18"/>
                <w:szCs w:val="18"/>
              </w:rPr>
              <w:t>水解釜、精馏塔</w:t>
            </w:r>
          </w:p>
        </w:tc>
        <w:tc>
          <w:tcPr>
            <w:tcW w:w="857" w:type="pct"/>
            <w:vAlign w:val="center"/>
          </w:tcPr>
          <w:p w14:paraId="39637CE6">
            <w:pPr>
              <w:widowControl/>
              <w:spacing w:line="360" w:lineRule="exact"/>
              <w:ind w:firstLine="0" w:firstLineChars="0"/>
              <w:jc w:val="center"/>
              <w:rPr>
                <w:rFonts w:cs="Times New Roman"/>
                <w:kern w:val="0"/>
                <w:sz w:val="18"/>
                <w:szCs w:val="18"/>
              </w:rPr>
            </w:pPr>
            <w:r>
              <w:rPr>
                <w:rFonts w:hint="eastAsia" w:cs="Times New Roman"/>
                <w:kern w:val="0"/>
                <w:sz w:val="18"/>
                <w:szCs w:val="18"/>
              </w:rPr>
              <w:t>甲醇</w:t>
            </w:r>
            <w:r>
              <w:rPr>
                <w:rFonts w:cs="Times New Roman"/>
                <w:kern w:val="0"/>
                <w:sz w:val="18"/>
                <w:szCs w:val="18"/>
              </w:rPr>
              <w:t>、氨气</w:t>
            </w:r>
          </w:p>
        </w:tc>
        <w:tc>
          <w:tcPr>
            <w:tcW w:w="779" w:type="pct"/>
            <w:vAlign w:val="center"/>
          </w:tcPr>
          <w:p w14:paraId="38BB54B4">
            <w:pPr>
              <w:widowControl/>
              <w:spacing w:line="360" w:lineRule="exact"/>
              <w:ind w:firstLine="0" w:firstLineChars="0"/>
              <w:jc w:val="center"/>
              <w:rPr>
                <w:rFonts w:ascii="宋体" w:hAnsi="宋体" w:cs="Times New Roman"/>
                <w:kern w:val="0"/>
                <w:sz w:val="18"/>
                <w:szCs w:val="18"/>
              </w:rPr>
            </w:pPr>
            <w:r>
              <w:rPr>
                <w:rFonts w:hint="eastAsia" w:ascii="宋体" w:hAnsi="宋体" w:cs="Times New Roman"/>
                <w:kern w:val="0"/>
                <w:sz w:val="18"/>
                <w:szCs w:val="18"/>
              </w:rPr>
              <w:t>泄漏、火灾</w:t>
            </w:r>
          </w:p>
        </w:tc>
        <w:tc>
          <w:tcPr>
            <w:tcW w:w="1017" w:type="pct"/>
            <w:vMerge w:val="continue"/>
            <w:vAlign w:val="center"/>
          </w:tcPr>
          <w:p w14:paraId="05AD4C5E">
            <w:pPr>
              <w:widowControl/>
              <w:spacing w:line="360" w:lineRule="exact"/>
              <w:ind w:firstLine="0" w:firstLineChars="0"/>
              <w:jc w:val="center"/>
              <w:rPr>
                <w:rFonts w:ascii="宋体" w:hAnsi="宋体" w:cs="Times New Roman"/>
                <w:kern w:val="0"/>
                <w:sz w:val="18"/>
                <w:szCs w:val="18"/>
              </w:rPr>
            </w:pPr>
          </w:p>
        </w:tc>
        <w:tc>
          <w:tcPr>
            <w:tcW w:w="855" w:type="pct"/>
            <w:vMerge w:val="continue"/>
            <w:vAlign w:val="center"/>
          </w:tcPr>
          <w:p w14:paraId="645776DB">
            <w:pPr>
              <w:widowControl/>
              <w:spacing w:line="360" w:lineRule="exact"/>
              <w:ind w:firstLine="0" w:firstLineChars="0"/>
              <w:jc w:val="center"/>
              <w:rPr>
                <w:rFonts w:ascii="宋体" w:hAnsi="宋体" w:cs="Times New Roman"/>
                <w:kern w:val="0"/>
                <w:sz w:val="18"/>
                <w:szCs w:val="18"/>
              </w:rPr>
            </w:pPr>
          </w:p>
        </w:tc>
      </w:tr>
    </w:tbl>
    <w:p w14:paraId="346180F5">
      <w:pPr>
        <w:ind w:firstLine="480"/>
        <w:rPr>
          <w:rFonts w:cs="Times New Roman"/>
          <w:szCs w:val="24"/>
        </w:rPr>
      </w:pPr>
      <w:r>
        <w:rPr>
          <w:rFonts w:hint="eastAsia" w:ascii="宋体" w:hAnsi="宋体"/>
        </w:rPr>
        <w:t>（</w:t>
      </w:r>
      <w:r>
        <w:rPr>
          <w:rFonts w:hint="eastAsia"/>
        </w:rPr>
        <w:t>2</w:t>
      </w:r>
      <w:r>
        <w:rPr>
          <w:rFonts w:hint="eastAsia" w:ascii="宋体" w:hAnsi="宋体"/>
        </w:rPr>
        <w:t>）储运设施</w:t>
      </w:r>
    </w:p>
    <w:p w14:paraId="1B9CF9C4">
      <w:pPr>
        <w:ind w:firstLine="480"/>
      </w:pPr>
      <w:r>
        <w:rPr>
          <w:rFonts w:ascii="宋体" w:hAnsi="宋体"/>
        </w:rPr>
        <w:t>本项目设有罐区</w:t>
      </w:r>
      <w:r>
        <w:rPr>
          <w:rFonts w:hint="eastAsia" w:ascii="宋体" w:hAnsi="宋体"/>
        </w:rPr>
        <w:t>和</w:t>
      </w:r>
      <w:r>
        <w:rPr>
          <w:rFonts w:ascii="宋体" w:hAnsi="宋体"/>
        </w:rPr>
        <w:t>仓库。储存的物料多为易燃易爆、有毒物质，物料泄漏后可能会造成人员中毒事故，若遇明火还会进一步发生火灾爆炸事故次生环境污染。</w:t>
      </w:r>
    </w:p>
    <w:p w14:paraId="7026A7F8">
      <w:pPr>
        <w:ind w:firstLine="480"/>
      </w:pPr>
      <w:r>
        <w:rPr>
          <w:rFonts w:ascii="宋体" w:hAnsi="宋体"/>
        </w:rPr>
        <w:t>经分析储运设施可能发生的潜在突发环境事件类型见</w:t>
      </w:r>
      <w:r>
        <w:rPr>
          <w:rFonts w:hint="eastAsia" w:ascii="宋体" w:hAnsi="宋体"/>
        </w:rPr>
        <w:t>表</w:t>
      </w:r>
      <w:r>
        <w:t>5.6.3-3</w:t>
      </w:r>
      <w:r>
        <w:rPr>
          <w:rFonts w:ascii="宋体" w:hAnsi="宋体"/>
        </w:rPr>
        <w:t>。</w:t>
      </w:r>
    </w:p>
    <w:p w14:paraId="1606D825">
      <w:pPr>
        <w:spacing w:line="500" w:lineRule="exact"/>
        <w:ind w:firstLine="0" w:firstLineChars="0"/>
        <w:jc w:val="center"/>
        <w:rPr>
          <w:rFonts w:eastAsia="黑体"/>
        </w:rPr>
      </w:pPr>
      <w:r>
        <w:rPr>
          <w:rFonts w:hint="eastAsia" w:ascii="黑体" w:hAnsi="黑体" w:eastAsia="黑体"/>
        </w:rPr>
        <w:t>表</w:t>
      </w:r>
      <w:r>
        <w:rPr>
          <w:rFonts w:eastAsia="黑体"/>
        </w:rPr>
        <w:t>5</w:t>
      </w:r>
      <w:r>
        <w:rPr>
          <w:rFonts w:hint="eastAsia" w:eastAsia="黑体"/>
        </w:rPr>
        <w:t>.</w:t>
      </w:r>
      <w:r>
        <w:rPr>
          <w:rFonts w:eastAsia="黑体"/>
        </w:rPr>
        <w:t xml:space="preserve">6.3-3  </w:t>
      </w:r>
      <w:r>
        <w:rPr>
          <w:rFonts w:hint="eastAsia" w:ascii="黑体" w:hAnsi="黑体" w:eastAsia="黑体"/>
        </w:rPr>
        <w:t>储运设施</w:t>
      </w:r>
      <w:r>
        <w:rPr>
          <w:rFonts w:ascii="黑体" w:hAnsi="黑体" w:eastAsia="黑体"/>
        </w:rPr>
        <w:t>环境风险识别表</w:t>
      </w:r>
    </w:p>
    <w:tbl>
      <w:tblPr>
        <w:tblStyle w:val="64"/>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428"/>
        <w:gridCol w:w="1027"/>
        <w:gridCol w:w="1052"/>
        <w:gridCol w:w="1978"/>
        <w:gridCol w:w="1056"/>
        <w:gridCol w:w="1845"/>
        <w:gridCol w:w="1685"/>
      </w:tblGrid>
      <w:tr w14:paraId="5094D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428" w:type="dxa"/>
            <w:tcBorders>
              <w:top w:val="single" w:color="auto" w:sz="12" w:space="0"/>
              <w:left w:val="nil"/>
              <w:bottom w:val="single" w:color="auto" w:sz="4" w:space="0"/>
              <w:right w:val="single" w:color="auto" w:sz="4" w:space="0"/>
            </w:tcBorders>
            <w:vAlign w:val="center"/>
          </w:tcPr>
          <w:p w14:paraId="1F9ED172">
            <w:pPr>
              <w:widowControl/>
              <w:spacing w:line="360" w:lineRule="exact"/>
              <w:ind w:firstLine="0" w:firstLineChars="0"/>
              <w:jc w:val="center"/>
              <w:rPr>
                <w:sz w:val="18"/>
                <w:szCs w:val="18"/>
              </w:rPr>
            </w:pPr>
            <w:r>
              <w:rPr>
                <w:rFonts w:ascii="宋体" w:hAnsi="宋体"/>
                <w:sz w:val="18"/>
                <w:szCs w:val="18"/>
              </w:rPr>
              <w:t>序号</w:t>
            </w:r>
          </w:p>
        </w:tc>
        <w:tc>
          <w:tcPr>
            <w:tcW w:w="1027" w:type="dxa"/>
            <w:tcBorders>
              <w:top w:val="single" w:color="auto" w:sz="12" w:space="0"/>
              <w:left w:val="single" w:color="auto" w:sz="4" w:space="0"/>
              <w:bottom w:val="single" w:color="auto" w:sz="4" w:space="0"/>
              <w:right w:val="single" w:color="auto" w:sz="4" w:space="0"/>
            </w:tcBorders>
            <w:vAlign w:val="center"/>
          </w:tcPr>
          <w:p w14:paraId="2AD5B943">
            <w:pPr>
              <w:widowControl/>
              <w:spacing w:line="360" w:lineRule="exact"/>
              <w:ind w:firstLine="0" w:firstLineChars="0"/>
              <w:jc w:val="center"/>
              <w:rPr>
                <w:sz w:val="18"/>
                <w:szCs w:val="18"/>
              </w:rPr>
            </w:pPr>
            <w:r>
              <w:rPr>
                <w:rFonts w:ascii="宋体" w:hAnsi="宋体"/>
                <w:sz w:val="18"/>
                <w:szCs w:val="18"/>
              </w:rPr>
              <w:t>危险单元</w:t>
            </w:r>
          </w:p>
        </w:tc>
        <w:tc>
          <w:tcPr>
            <w:tcW w:w="1052" w:type="dxa"/>
            <w:tcBorders>
              <w:top w:val="single" w:color="auto" w:sz="12" w:space="0"/>
              <w:left w:val="single" w:color="auto" w:sz="4" w:space="0"/>
              <w:bottom w:val="single" w:color="auto" w:sz="4" w:space="0"/>
              <w:right w:val="single" w:color="auto" w:sz="4" w:space="0"/>
            </w:tcBorders>
            <w:vAlign w:val="center"/>
          </w:tcPr>
          <w:p w14:paraId="643117AE">
            <w:pPr>
              <w:widowControl/>
              <w:spacing w:line="360" w:lineRule="exact"/>
              <w:ind w:firstLine="0" w:firstLineChars="0"/>
              <w:jc w:val="center"/>
              <w:rPr>
                <w:sz w:val="18"/>
                <w:szCs w:val="18"/>
              </w:rPr>
            </w:pPr>
            <w:r>
              <w:rPr>
                <w:rFonts w:ascii="宋体" w:hAnsi="宋体"/>
                <w:sz w:val="18"/>
                <w:szCs w:val="18"/>
              </w:rPr>
              <w:t>风险源</w:t>
            </w:r>
          </w:p>
        </w:tc>
        <w:tc>
          <w:tcPr>
            <w:tcW w:w="1978" w:type="dxa"/>
            <w:tcBorders>
              <w:top w:val="single" w:color="auto" w:sz="12" w:space="0"/>
              <w:left w:val="single" w:color="auto" w:sz="4" w:space="0"/>
              <w:bottom w:val="single" w:color="auto" w:sz="4" w:space="0"/>
              <w:right w:val="single" w:color="auto" w:sz="4" w:space="0"/>
            </w:tcBorders>
            <w:vAlign w:val="center"/>
          </w:tcPr>
          <w:p w14:paraId="4A664DF8">
            <w:pPr>
              <w:widowControl/>
              <w:spacing w:line="360" w:lineRule="exact"/>
              <w:ind w:firstLine="0" w:firstLineChars="0"/>
              <w:jc w:val="center"/>
              <w:rPr>
                <w:sz w:val="18"/>
                <w:szCs w:val="18"/>
              </w:rPr>
            </w:pPr>
            <w:r>
              <w:rPr>
                <w:rFonts w:ascii="宋体" w:hAnsi="宋体"/>
                <w:sz w:val="18"/>
                <w:szCs w:val="18"/>
              </w:rPr>
              <w:t>主要危险物质</w:t>
            </w:r>
          </w:p>
        </w:tc>
        <w:tc>
          <w:tcPr>
            <w:tcW w:w="1056" w:type="dxa"/>
            <w:tcBorders>
              <w:top w:val="single" w:color="auto" w:sz="12" w:space="0"/>
              <w:left w:val="single" w:color="auto" w:sz="4" w:space="0"/>
              <w:bottom w:val="single" w:color="auto" w:sz="4" w:space="0"/>
              <w:right w:val="single" w:color="auto" w:sz="4" w:space="0"/>
            </w:tcBorders>
            <w:vAlign w:val="center"/>
          </w:tcPr>
          <w:p w14:paraId="51CA022D">
            <w:pPr>
              <w:widowControl/>
              <w:spacing w:line="360" w:lineRule="exact"/>
              <w:ind w:firstLine="0" w:firstLineChars="0"/>
              <w:jc w:val="center"/>
              <w:rPr>
                <w:sz w:val="18"/>
                <w:szCs w:val="18"/>
              </w:rPr>
            </w:pPr>
            <w:r>
              <w:rPr>
                <w:rFonts w:ascii="宋体" w:hAnsi="宋体"/>
                <w:sz w:val="18"/>
                <w:szCs w:val="18"/>
              </w:rPr>
              <w:t>环境风险类型</w:t>
            </w:r>
          </w:p>
        </w:tc>
        <w:tc>
          <w:tcPr>
            <w:tcW w:w="1845" w:type="dxa"/>
            <w:tcBorders>
              <w:top w:val="single" w:color="auto" w:sz="12" w:space="0"/>
              <w:left w:val="single" w:color="auto" w:sz="4" w:space="0"/>
              <w:bottom w:val="single" w:color="auto" w:sz="4" w:space="0"/>
              <w:right w:val="single" w:color="auto" w:sz="4" w:space="0"/>
            </w:tcBorders>
            <w:vAlign w:val="center"/>
          </w:tcPr>
          <w:p w14:paraId="4DC26571">
            <w:pPr>
              <w:widowControl/>
              <w:spacing w:line="360" w:lineRule="exact"/>
              <w:ind w:firstLine="0" w:firstLineChars="0"/>
              <w:jc w:val="center"/>
              <w:rPr>
                <w:sz w:val="18"/>
                <w:szCs w:val="18"/>
              </w:rPr>
            </w:pPr>
            <w:r>
              <w:rPr>
                <w:rFonts w:ascii="宋体" w:hAnsi="宋体"/>
                <w:sz w:val="18"/>
                <w:szCs w:val="18"/>
              </w:rPr>
              <w:t>环境影响途径</w:t>
            </w:r>
          </w:p>
        </w:tc>
        <w:tc>
          <w:tcPr>
            <w:tcW w:w="1685" w:type="dxa"/>
            <w:tcBorders>
              <w:top w:val="single" w:color="auto" w:sz="12" w:space="0"/>
              <w:left w:val="single" w:color="auto" w:sz="4" w:space="0"/>
              <w:bottom w:val="single" w:color="auto" w:sz="4" w:space="0"/>
              <w:right w:val="nil"/>
            </w:tcBorders>
            <w:vAlign w:val="center"/>
          </w:tcPr>
          <w:p w14:paraId="35BA8BE0">
            <w:pPr>
              <w:widowControl/>
              <w:spacing w:line="360" w:lineRule="exact"/>
              <w:ind w:firstLine="0" w:firstLineChars="0"/>
              <w:jc w:val="center"/>
              <w:rPr>
                <w:sz w:val="18"/>
                <w:szCs w:val="18"/>
              </w:rPr>
            </w:pPr>
            <w:r>
              <w:rPr>
                <w:rFonts w:ascii="宋体" w:hAnsi="宋体"/>
                <w:sz w:val="18"/>
                <w:szCs w:val="18"/>
              </w:rPr>
              <w:t>可能受影响的环境敏感目标</w:t>
            </w:r>
          </w:p>
        </w:tc>
      </w:tr>
      <w:tr w14:paraId="08AB9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428" w:type="dxa"/>
            <w:tcBorders>
              <w:top w:val="single" w:color="auto" w:sz="4" w:space="0"/>
              <w:left w:val="nil"/>
              <w:bottom w:val="single" w:color="auto" w:sz="4" w:space="0"/>
              <w:right w:val="single" w:color="auto" w:sz="4" w:space="0"/>
            </w:tcBorders>
            <w:vAlign w:val="center"/>
          </w:tcPr>
          <w:p w14:paraId="785ADAA5">
            <w:pPr>
              <w:widowControl/>
              <w:spacing w:line="360" w:lineRule="exact"/>
              <w:ind w:firstLine="0" w:firstLineChars="0"/>
              <w:jc w:val="center"/>
              <w:rPr>
                <w:sz w:val="18"/>
                <w:szCs w:val="18"/>
              </w:rPr>
            </w:pPr>
            <w:r>
              <w:rPr>
                <w:sz w:val="18"/>
                <w:szCs w:val="18"/>
              </w:rPr>
              <w:t>1</w:t>
            </w:r>
          </w:p>
        </w:tc>
        <w:tc>
          <w:tcPr>
            <w:tcW w:w="1027" w:type="dxa"/>
            <w:tcBorders>
              <w:top w:val="single" w:color="auto" w:sz="4" w:space="0"/>
              <w:left w:val="single" w:color="auto" w:sz="4" w:space="0"/>
              <w:bottom w:val="single" w:color="auto" w:sz="4" w:space="0"/>
              <w:right w:val="single" w:color="auto" w:sz="4" w:space="0"/>
            </w:tcBorders>
            <w:vAlign w:val="center"/>
          </w:tcPr>
          <w:p w14:paraId="5082EDB7">
            <w:pPr>
              <w:widowControl/>
              <w:spacing w:line="360" w:lineRule="exact"/>
              <w:ind w:firstLine="0" w:firstLineChars="0"/>
              <w:jc w:val="center"/>
              <w:rPr>
                <w:sz w:val="18"/>
                <w:szCs w:val="18"/>
              </w:rPr>
            </w:pPr>
            <w:r>
              <w:rPr>
                <w:rFonts w:ascii="宋体" w:hAnsi="宋体"/>
                <w:sz w:val="18"/>
                <w:szCs w:val="18"/>
              </w:rPr>
              <w:t>储罐</w:t>
            </w:r>
          </w:p>
        </w:tc>
        <w:tc>
          <w:tcPr>
            <w:tcW w:w="1052" w:type="dxa"/>
            <w:tcBorders>
              <w:top w:val="single" w:color="auto" w:sz="4" w:space="0"/>
              <w:left w:val="single" w:color="auto" w:sz="4" w:space="0"/>
              <w:bottom w:val="single" w:color="auto" w:sz="4" w:space="0"/>
              <w:right w:val="single" w:color="auto" w:sz="4" w:space="0"/>
            </w:tcBorders>
            <w:vAlign w:val="center"/>
          </w:tcPr>
          <w:p w14:paraId="49E67666">
            <w:pPr>
              <w:widowControl/>
              <w:spacing w:line="360" w:lineRule="exact"/>
              <w:ind w:firstLine="0" w:firstLineChars="0"/>
              <w:jc w:val="center"/>
              <w:rPr>
                <w:sz w:val="18"/>
                <w:szCs w:val="18"/>
              </w:rPr>
            </w:pPr>
            <w:r>
              <w:rPr>
                <w:rFonts w:ascii="宋体" w:hAnsi="宋体"/>
                <w:sz w:val="18"/>
                <w:szCs w:val="18"/>
              </w:rPr>
              <w:t>储罐</w:t>
            </w:r>
          </w:p>
        </w:tc>
        <w:tc>
          <w:tcPr>
            <w:tcW w:w="1978" w:type="dxa"/>
            <w:tcBorders>
              <w:top w:val="single" w:color="auto" w:sz="4" w:space="0"/>
              <w:left w:val="single" w:color="auto" w:sz="4" w:space="0"/>
              <w:bottom w:val="single" w:color="auto" w:sz="4" w:space="0"/>
              <w:right w:val="single" w:color="auto" w:sz="4" w:space="0"/>
            </w:tcBorders>
            <w:vAlign w:val="center"/>
          </w:tcPr>
          <w:p w14:paraId="2958F6A1">
            <w:pPr>
              <w:widowControl/>
              <w:spacing w:line="360" w:lineRule="exact"/>
              <w:ind w:firstLine="0" w:firstLineChars="0"/>
              <w:jc w:val="center"/>
              <w:rPr>
                <w:sz w:val="18"/>
                <w:szCs w:val="18"/>
              </w:rPr>
            </w:pPr>
            <w:r>
              <w:rPr>
                <w:rFonts w:hint="eastAsia" w:ascii="宋体" w:hAnsi="宋体"/>
                <w:sz w:val="18"/>
                <w:szCs w:val="18"/>
              </w:rPr>
              <w:t>甲醇、</w:t>
            </w:r>
            <w:r>
              <w:rPr>
                <w:rFonts w:ascii="宋体" w:hAnsi="宋体"/>
                <w:sz w:val="18"/>
                <w:szCs w:val="18"/>
              </w:rPr>
              <w:t>盐酸、氢氟酸</w:t>
            </w:r>
            <w:r>
              <w:rPr>
                <w:rFonts w:hint="eastAsia" w:ascii="宋体" w:hAnsi="宋体"/>
                <w:sz w:val="18"/>
                <w:szCs w:val="18"/>
              </w:rPr>
              <w:t>、</w:t>
            </w:r>
            <w:r>
              <w:rPr>
                <w:rFonts w:ascii="宋体" w:hAnsi="宋体"/>
                <w:sz w:val="18"/>
                <w:szCs w:val="18"/>
              </w:rPr>
              <w:t>氨水</w:t>
            </w:r>
            <w:r>
              <w:rPr>
                <w:rFonts w:hint="eastAsia" w:ascii="宋体" w:hAnsi="宋体"/>
                <w:sz w:val="18"/>
                <w:szCs w:val="18"/>
              </w:rPr>
              <w:t>等</w:t>
            </w:r>
          </w:p>
        </w:tc>
        <w:tc>
          <w:tcPr>
            <w:tcW w:w="1056" w:type="dxa"/>
            <w:vMerge w:val="restart"/>
            <w:tcBorders>
              <w:top w:val="single" w:color="auto" w:sz="4" w:space="0"/>
              <w:left w:val="single" w:color="auto" w:sz="4" w:space="0"/>
              <w:bottom w:val="single" w:color="auto" w:sz="4" w:space="0"/>
              <w:right w:val="single" w:color="auto" w:sz="4" w:space="0"/>
            </w:tcBorders>
            <w:vAlign w:val="center"/>
          </w:tcPr>
          <w:p w14:paraId="54FA5494">
            <w:pPr>
              <w:widowControl/>
              <w:spacing w:line="360" w:lineRule="exact"/>
              <w:ind w:firstLine="0" w:firstLineChars="0"/>
              <w:jc w:val="center"/>
              <w:rPr>
                <w:sz w:val="18"/>
                <w:szCs w:val="18"/>
              </w:rPr>
            </w:pPr>
            <w:r>
              <w:rPr>
                <w:rFonts w:ascii="宋体" w:hAnsi="宋体"/>
                <w:sz w:val="18"/>
                <w:szCs w:val="18"/>
              </w:rPr>
              <w:t>泄漏</w:t>
            </w:r>
            <w:r>
              <w:rPr>
                <w:sz w:val="18"/>
                <w:szCs w:val="18"/>
              </w:rPr>
              <w:t>/</w:t>
            </w:r>
            <w:r>
              <w:rPr>
                <w:rFonts w:ascii="宋体" w:hAnsi="宋体"/>
                <w:sz w:val="18"/>
                <w:szCs w:val="18"/>
              </w:rPr>
              <w:t>火灾爆炸引发的次生</w:t>
            </w:r>
            <w:r>
              <w:rPr>
                <w:sz w:val="18"/>
                <w:szCs w:val="18"/>
              </w:rPr>
              <w:t>/</w:t>
            </w:r>
            <w:r>
              <w:rPr>
                <w:rFonts w:ascii="宋体" w:hAnsi="宋体"/>
                <w:sz w:val="18"/>
                <w:szCs w:val="18"/>
              </w:rPr>
              <w:t>伴生污染物排放</w:t>
            </w:r>
          </w:p>
        </w:tc>
        <w:tc>
          <w:tcPr>
            <w:tcW w:w="1845" w:type="dxa"/>
            <w:vMerge w:val="restart"/>
            <w:tcBorders>
              <w:top w:val="single" w:color="auto" w:sz="4" w:space="0"/>
              <w:left w:val="single" w:color="auto" w:sz="4" w:space="0"/>
              <w:bottom w:val="single" w:color="auto" w:sz="4" w:space="0"/>
              <w:right w:val="single" w:color="auto" w:sz="4" w:space="0"/>
            </w:tcBorders>
            <w:vAlign w:val="center"/>
          </w:tcPr>
          <w:p w14:paraId="228BA6A8">
            <w:pPr>
              <w:widowControl/>
              <w:spacing w:line="360" w:lineRule="exact"/>
              <w:ind w:firstLine="0" w:firstLineChars="0"/>
              <w:jc w:val="center"/>
              <w:rPr>
                <w:sz w:val="18"/>
                <w:szCs w:val="18"/>
              </w:rPr>
            </w:pPr>
            <w:r>
              <w:rPr>
                <w:rFonts w:ascii="宋体" w:hAnsi="宋体"/>
                <w:sz w:val="18"/>
                <w:szCs w:val="18"/>
              </w:rPr>
              <w:t>大气污染或废液进入雨水管网造成水体污染以及泄漏造成的土壤及地下水污染</w:t>
            </w:r>
          </w:p>
        </w:tc>
        <w:tc>
          <w:tcPr>
            <w:tcW w:w="1685" w:type="dxa"/>
            <w:vMerge w:val="restart"/>
            <w:tcBorders>
              <w:top w:val="single" w:color="auto" w:sz="4" w:space="0"/>
              <w:left w:val="single" w:color="auto" w:sz="4" w:space="0"/>
              <w:bottom w:val="single" w:color="auto" w:sz="4" w:space="0"/>
              <w:right w:val="nil"/>
            </w:tcBorders>
            <w:vAlign w:val="center"/>
          </w:tcPr>
          <w:p w14:paraId="62853C4B">
            <w:pPr>
              <w:widowControl/>
              <w:spacing w:line="360" w:lineRule="exact"/>
              <w:ind w:firstLine="0" w:firstLineChars="0"/>
              <w:jc w:val="center"/>
              <w:rPr>
                <w:b/>
                <w:sz w:val="18"/>
                <w:szCs w:val="18"/>
              </w:rPr>
            </w:pPr>
            <w:r>
              <w:rPr>
                <w:rFonts w:ascii="宋体" w:hAnsi="宋体"/>
                <w:b/>
                <w:sz w:val="18"/>
                <w:szCs w:val="18"/>
              </w:rPr>
              <w:t>火灾爆炸事故：</w:t>
            </w:r>
          </w:p>
          <w:p w14:paraId="2C66EB1B">
            <w:pPr>
              <w:widowControl/>
              <w:spacing w:line="360" w:lineRule="exact"/>
              <w:ind w:firstLine="0" w:firstLineChars="0"/>
              <w:jc w:val="center"/>
              <w:rPr>
                <w:sz w:val="18"/>
                <w:szCs w:val="18"/>
              </w:rPr>
            </w:pPr>
            <w:r>
              <w:rPr>
                <w:rFonts w:ascii="宋体" w:hAnsi="宋体"/>
                <w:sz w:val="18"/>
                <w:szCs w:val="18"/>
              </w:rPr>
              <w:t>产生的次生</w:t>
            </w:r>
            <w:r>
              <w:rPr>
                <w:sz w:val="18"/>
                <w:szCs w:val="18"/>
              </w:rPr>
              <w:t>/</w:t>
            </w:r>
            <w:r>
              <w:rPr>
                <w:rFonts w:ascii="宋体" w:hAnsi="宋体"/>
                <w:sz w:val="18"/>
                <w:szCs w:val="18"/>
              </w:rPr>
              <w:t>伴生污染物质可能影响厂内职工及下风向大气环境敏感目标</w:t>
            </w:r>
          </w:p>
          <w:p w14:paraId="035626D5">
            <w:pPr>
              <w:widowControl/>
              <w:spacing w:line="360" w:lineRule="exact"/>
              <w:ind w:firstLine="0" w:firstLineChars="0"/>
              <w:jc w:val="center"/>
              <w:rPr>
                <w:b/>
                <w:sz w:val="18"/>
                <w:szCs w:val="18"/>
              </w:rPr>
            </w:pPr>
            <w:r>
              <w:rPr>
                <w:rFonts w:ascii="宋体" w:hAnsi="宋体"/>
                <w:b/>
                <w:sz w:val="18"/>
                <w:szCs w:val="18"/>
              </w:rPr>
              <w:t>泄漏事故：</w:t>
            </w:r>
          </w:p>
          <w:p w14:paraId="1B1C5973">
            <w:pPr>
              <w:widowControl/>
              <w:spacing w:line="360" w:lineRule="exact"/>
              <w:ind w:firstLine="0" w:firstLineChars="0"/>
              <w:jc w:val="center"/>
              <w:rPr>
                <w:sz w:val="18"/>
                <w:szCs w:val="18"/>
              </w:rPr>
            </w:pPr>
            <w:r>
              <w:rPr>
                <w:rFonts w:ascii="宋体" w:hAnsi="宋体"/>
                <w:sz w:val="18"/>
                <w:szCs w:val="18"/>
              </w:rPr>
              <w:t>可能影响厂内土壤</w:t>
            </w:r>
          </w:p>
          <w:p w14:paraId="29A060BA">
            <w:pPr>
              <w:widowControl/>
              <w:spacing w:line="360" w:lineRule="exact"/>
              <w:ind w:firstLine="0" w:firstLineChars="0"/>
              <w:jc w:val="center"/>
              <w:rPr>
                <w:sz w:val="18"/>
                <w:szCs w:val="18"/>
              </w:rPr>
            </w:pPr>
            <w:r>
              <w:rPr>
                <w:rFonts w:ascii="宋体" w:hAnsi="宋体"/>
                <w:sz w:val="18"/>
                <w:szCs w:val="18"/>
              </w:rPr>
              <w:t>废液进入雨水管网可能造成水体污染</w:t>
            </w:r>
          </w:p>
        </w:tc>
      </w:tr>
      <w:tr w14:paraId="6AFB2E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428" w:type="dxa"/>
            <w:tcBorders>
              <w:top w:val="single" w:color="auto" w:sz="4" w:space="0"/>
              <w:left w:val="nil"/>
              <w:bottom w:val="single" w:color="auto" w:sz="4" w:space="0"/>
              <w:right w:val="single" w:color="auto" w:sz="4" w:space="0"/>
            </w:tcBorders>
            <w:vAlign w:val="center"/>
          </w:tcPr>
          <w:p w14:paraId="39124F5D">
            <w:pPr>
              <w:widowControl/>
              <w:spacing w:line="360" w:lineRule="exact"/>
              <w:ind w:firstLine="0" w:firstLineChars="0"/>
              <w:jc w:val="center"/>
              <w:rPr>
                <w:sz w:val="18"/>
                <w:szCs w:val="18"/>
              </w:rPr>
            </w:pPr>
            <w:r>
              <w:rPr>
                <w:rFonts w:hint="eastAsia"/>
                <w:sz w:val="18"/>
                <w:szCs w:val="18"/>
              </w:rPr>
              <w:t>2</w:t>
            </w:r>
          </w:p>
        </w:tc>
        <w:tc>
          <w:tcPr>
            <w:tcW w:w="1027" w:type="dxa"/>
            <w:tcBorders>
              <w:top w:val="single" w:color="auto" w:sz="4" w:space="0"/>
              <w:left w:val="single" w:color="auto" w:sz="4" w:space="0"/>
              <w:bottom w:val="single" w:color="auto" w:sz="4" w:space="0"/>
              <w:right w:val="single" w:color="auto" w:sz="4" w:space="0"/>
            </w:tcBorders>
            <w:vAlign w:val="center"/>
          </w:tcPr>
          <w:p w14:paraId="0E7B65ED">
            <w:pPr>
              <w:widowControl/>
              <w:spacing w:line="360" w:lineRule="exact"/>
              <w:ind w:firstLine="0" w:firstLineChars="0"/>
              <w:jc w:val="center"/>
              <w:rPr>
                <w:sz w:val="18"/>
                <w:szCs w:val="18"/>
              </w:rPr>
            </w:pPr>
            <w:r>
              <w:rPr>
                <w:rFonts w:hint="eastAsia" w:ascii="宋体" w:hAnsi="宋体"/>
                <w:sz w:val="18"/>
                <w:szCs w:val="18"/>
              </w:rPr>
              <w:t>危废库</w:t>
            </w:r>
          </w:p>
        </w:tc>
        <w:tc>
          <w:tcPr>
            <w:tcW w:w="1052" w:type="dxa"/>
            <w:tcBorders>
              <w:top w:val="single" w:color="auto" w:sz="4" w:space="0"/>
              <w:left w:val="single" w:color="auto" w:sz="4" w:space="0"/>
              <w:bottom w:val="single" w:color="auto" w:sz="4" w:space="0"/>
              <w:right w:val="single" w:color="auto" w:sz="4" w:space="0"/>
            </w:tcBorders>
            <w:vAlign w:val="center"/>
          </w:tcPr>
          <w:p w14:paraId="2F01DEFC">
            <w:pPr>
              <w:widowControl/>
              <w:spacing w:line="360" w:lineRule="exact"/>
              <w:ind w:firstLine="0" w:firstLineChars="0"/>
              <w:jc w:val="center"/>
              <w:rPr>
                <w:sz w:val="18"/>
                <w:szCs w:val="18"/>
              </w:rPr>
            </w:pPr>
            <w:r>
              <w:rPr>
                <w:rFonts w:hint="eastAsia" w:ascii="宋体" w:hAnsi="宋体"/>
                <w:sz w:val="18"/>
                <w:szCs w:val="18"/>
              </w:rPr>
              <w:t>危险废物</w:t>
            </w:r>
          </w:p>
        </w:tc>
        <w:tc>
          <w:tcPr>
            <w:tcW w:w="1978" w:type="dxa"/>
            <w:tcBorders>
              <w:top w:val="single" w:color="auto" w:sz="4" w:space="0"/>
              <w:left w:val="single" w:color="auto" w:sz="4" w:space="0"/>
              <w:bottom w:val="single" w:color="auto" w:sz="4" w:space="0"/>
              <w:right w:val="single" w:color="auto" w:sz="4" w:space="0"/>
            </w:tcBorders>
            <w:vAlign w:val="center"/>
          </w:tcPr>
          <w:p w14:paraId="75D431A0">
            <w:pPr>
              <w:widowControl/>
              <w:spacing w:line="360" w:lineRule="exact"/>
              <w:ind w:firstLine="0" w:firstLineChars="0"/>
              <w:jc w:val="center"/>
              <w:rPr>
                <w:sz w:val="18"/>
                <w:szCs w:val="18"/>
              </w:rPr>
            </w:pPr>
            <w:r>
              <w:rPr>
                <w:rFonts w:hint="eastAsia" w:ascii="宋体" w:hAnsi="宋体"/>
                <w:sz w:val="18"/>
                <w:szCs w:val="18"/>
              </w:rPr>
              <w:t>精馏残渣、</w:t>
            </w:r>
            <w:r>
              <w:rPr>
                <w:rFonts w:ascii="宋体" w:hAnsi="宋体"/>
                <w:sz w:val="18"/>
                <w:szCs w:val="18"/>
              </w:rPr>
              <w:t>废催化剂</w:t>
            </w:r>
            <w:r>
              <w:rPr>
                <w:rFonts w:hint="eastAsia" w:ascii="宋体" w:hAnsi="宋体"/>
                <w:sz w:val="18"/>
                <w:szCs w:val="18"/>
              </w:rPr>
              <w:t>、</w:t>
            </w:r>
            <w:r>
              <w:rPr>
                <w:rFonts w:ascii="宋体" w:hAnsi="宋体"/>
                <w:sz w:val="18"/>
                <w:szCs w:val="18"/>
              </w:rPr>
              <w:t>实验室废物</w:t>
            </w:r>
            <w:r>
              <w:rPr>
                <w:rFonts w:hint="eastAsia" w:ascii="宋体" w:hAnsi="宋体"/>
                <w:sz w:val="18"/>
                <w:szCs w:val="18"/>
              </w:rPr>
              <w:t>等</w:t>
            </w:r>
          </w:p>
        </w:tc>
        <w:tc>
          <w:tcPr>
            <w:tcW w:w="1056" w:type="dxa"/>
            <w:vMerge w:val="continue"/>
            <w:tcBorders>
              <w:top w:val="single" w:color="auto" w:sz="4" w:space="0"/>
              <w:left w:val="single" w:color="auto" w:sz="4" w:space="0"/>
              <w:bottom w:val="single" w:color="auto" w:sz="4" w:space="0"/>
              <w:right w:val="single" w:color="auto" w:sz="4" w:space="0"/>
            </w:tcBorders>
            <w:vAlign w:val="center"/>
          </w:tcPr>
          <w:p w14:paraId="6880BD49">
            <w:pPr>
              <w:widowControl/>
              <w:adjustRightInd/>
              <w:snapToGrid/>
              <w:ind w:firstLine="0" w:firstLineChars="0"/>
              <w:jc w:val="left"/>
              <w:rPr>
                <w:sz w:val="18"/>
                <w:szCs w:val="18"/>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2DEA8498">
            <w:pPr>
              <w:widowControl/>
              <w:adjustRightInd/>
              <w:snapToGrid/>
              <w:ind w:firstLine="0" w:firstLineChars="0"/>
              <w:jc w:val="left"/>
              <w:rPr>
                <w:sz w:val="18"/>
                <w:szCs w:val="18"/>
              </w:rPr>
            </w:pPr>
          </w:p>
        </w:tc>
        <w:tc>
          <w:tcPr>
            <w:tcW w:w="1685" w:type="dxa"/>
            <w:vMerge w:val="continue"/>
            <w:tcBorders>
              <w:top w:val="single" w:color="auto" w:sz="4" w:space="0"/>
              <w:left w:val="single" w:color="auto" w:sz="4" w:space="0"/>
              <w:bottom w:val="single" w:color="auto" w:sz="4" w:space="0"/>
              <w:right w:val="nil"/>
            </w:tcBorders>
            <w:vAlign w:val="center"/>
          </w:tcPr>
          <w:p w14:paraId="18ED845A">
            <w:pPr>
              <w:widowControl/>
              <w:adjustRightInd/>
              <w:snapToGrid/>
              <w:ind w:firstLine="0" w:firstLineChars="0"/>
              <w:jc w:val="left"/>
              <w:rPr>
                <w:sz w:val="18"/>
                <w:szCs w:val="18"/>
              </w:rPr>
            </w:pPr>
          </w:p>
        </w:tc>
      </w:tr>
    </w:tbl>
    <w:p w14:paraId="44DF7C77">
      <w:pPr>
        <w:ind w:firstLine="480"/>
        <w:rPr>
          <w:rFonts w:cs="Times New Roman"/>
          <w:szCs w:val="24"/>
        </w:rPr>
      </w:pPr>
      <w:r>
        <w:rPr>
          <w:rFonts w:hint="eastAsia" w:ascii="宋体" w:hAnsi="宋体"/>
        </w:rPr>
        <w:t>（</w:t>
      </w:r>
      <w:r>
        <w:rPr>
          <w:rFonts w:hint="eastAsia"/>
        </w:rPr>
        <w:t>3</w:t>
      </w:r>
      <w:r>
        <w:rPr>
          <w:rFonts w:hint="eastAsia" w:ascii="宋体" w:hAnsi="宋体"/>
        </w:rPr>
        <w:t>）环保工程</w:t>
      </w:r>
    </w:p>
    <w:p w14:paraId="4CB6C15D">
      <w:pPr>
        <w:ind w:firstLine="480"/>
      </w:pPr>
      <w:r>
        <w:rPr>
          <w:rFonts w:hint="eastAsia" w:ascii="宋体" w:hAnsi="宋体"/>
        </w:rPr>
        <w:t>环保</w:t>
      </w:r>
      <w:r>
        <w:rPr>
          <w:rFonts w:ascii="宋体" w:hAnsi="宋体"/>
        </w:rPr>
        <w:t>工程若发生故障，</w:t>
      </w:r>
      <w:r>
        <w:rPr>
          <w:rFonts w:hint="eastAsia" w:ascii="宋体" w:hAnsi="宋体"/>
        </w:rPr>
        <w:t>可能</w:t>
      </w:r>
      <w:r>
        <w:rPr>
          <w:rFonts w:ascii="宋体" w:hAnsi="宋体"/>
        </w:rPr>
        <w:t>会造成污染物质未经处理直接排放</w:t>
      </w:r>
      <w:r>
        <w:rPr>
          <w:rFonts w:hint="eastAsia" w:ascii="宋体" w:hAnsi="宋体"/>
        </w:rPr>
        <w:t>。</w:t>
      </w:r>
      <w:r>
        <w:rPr>
          <w:rFonts w:ascii="宋体" w:hAnsi="宋体"/>
        </w:rPr>
        <w:t>本项目废气通过</w:t>
      </w:r>
      <w:r>
        <w:t>5</w:t>
      </w:r>
      <w:r>
        <w:rPr>
          <w:rFonts w:hint="eastAsia" w:ascii="宋体" w:hAnsi="宋体"/>
        </w:rPr>
        <w:t>处</w:t>
      </w:r>
      <w:r>
        <w:rPr>
          <w:rFonts w:ascii="宋体" w:hAnsi="宋体"/>
        </w:rPr>
        <w:t>废气处理系统排放，有火灾、泄漏中毒的潜在风险。</w:t>
      </w:r>
      <w:r>
        <w:rPr>
          <w:rFonts w:hint="eastAsia" w:ascii="宋体" w:hAnsi="宋体"/>
        </w:rPr>
        <w:t>本</w:t>
      </w:r>
      <w:r>
        <w:rPr>
          <w:rFonts w:ascii="宋体" w:hAnsi="宋体"/>
        </w:rPr>
        <w:t>项目污水处理</w:t>
      </w:r>
      <w:r>
        <w:rPr>
          <w:rFonts w:hint="eastAsia" w:ascii="宋体" w:hAnsi="宋体"/>
        </w:rPr>
        <w:t>站</w:t>
      </w:r>
      <w:r>
        <w:rPr>
          <w:rFonts w:ascii="宋体" w:hAnsi="宋体"/>
        </w:rPr>
        <w:t>，有</w:t>
      </w:r>
      <w:r>
        <w:rPr>
          <w:rFonts w:hint="eastAsia" w:ascii="宋体" w:hAnsi="宋体"/>
        </w:rPr>
        <w:t>泄漏中毒、</w:t>
      </w:r>
      <w:r>
        <w:rPr>
          <w:rFonts w:ascii="宋体" w:hAnsi="宋体"/>
        </w:rPr>
        <w:t>污染</w:t>
      </w:r>
      <w:r>
        <w:rPr>
          <w:rFonts w:hint="eastAsia" w:ascii="宋体" w:hAnsi="宋体"/>
        </w:rPr>
        <w:t>地表水体</w:t>
      </w:r>
      <w:r>
        <w:rPr>
          <w:rFonts w:ascii="宋体" w:hAnsi="宋体"/>
        </w:rPr>
        <w:t>、地下水体的潜在</w:t>
      </w:r>
      <w:r>
        <w:rPr>
          <w:rFonts w:hint="eastAsia" w:ascii="宋体" w:hAnsi="宋体"/>
        </w:rPr>
        <w:t>风险</w:t>
      </w:r>
      <w:r>
        <w:rPr>
          <w:rFonts w:ascii="宋体" w:hAnsi="宋体"/>
        </w:rPr>
        <w:t>。</w:t>
      </w:r>
    </w:p>
    <w:p w14:paraId="14F276D3">
      <w:pPr>
        <w:spacing w:line="500" w:lineRule="exact"/>
        <w:ind w:firstLine="0" w:firstLineChars="0"/>
        <w:jc w:val="center"/>
        <w:rPr>
          <w:rFonts w:eastAsia="黑体"/>
        </w:rPr>
      </w:pPr>
      <w:r>
        <w:rPr>
          <w:rFonts w:hint="eastAsia" w:ascii="黑体" w:hAnsi="黑体" w:eastAsia="黑体"/>
        </w:rPr>
        <w:t>表</w:t>
      </w:r>
      <w:r>
        <w:rPr>
          <w:rFonts w:eastAsia="黑体"/>
        </w:rPr>
        <w:t xml:space="preserve">5.6.3-4  </w:t>
      </w:r>
      <w:r>
        <w:rPr>
          <w:rFonts w:hint="eastAsia" w:ascii="黑体" w:hAnsi="黑体" w:eastAsia="黑体"/>
        </w:rPr>
        <w:t>环保</w:t>
      </w:r>
      <w:r>
        <w:rPr>
          <w:rFonts w:ascii="黑体" w:hAnsi="黑体" w:eastAsia="黑体"/>
        </w:rPr>
        <w:t>工程环境</w:t>
      </w:r>
      <w:r>
        <w:rPr>
          <w:rFonts w:hint="eastAsia" w:ascii="黑体" w:hAnsi="黑体" w:eastAsia="黑体"/>
        </w:rPr>
        <w:t>风险识别</w:t>
      </w:r>
      <w:r>
        <w:rPr>
          <w:rFonts w:ascii="黑体" w:hAnsi="黑体" w:eastAsia="黑体"/>
        </w:rPr>
        <w:t>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623"/>
        <w:gridCol w:w="4274"/>
        <w:gridCol w:w="1100"/>
        <w:gridCol w:w="1255"/>
        <w:gridCol w:w="1405"/>
      </w:tblGrid>
      <w:tr w14:paraId="3FCF74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34C543FC">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序号</w:t>
            </w:r>
          </w:p>
        </w:tc>
        <w:tc>
          <w:tcPr>
            <w:tcW w:w="337" w:type="pct"/>
            <w:vAlign w:val="center"/>
          </w:tcPr>
          <w:p w14:paraId="0ECDF164">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危险单元</w:t>
            </w:r>
          </w:p>
        </w:tc>
        <w:tc>
          <w:tcPr>
            <w:tcW w:w="2312" w:type="pct"/>
            <w:vAlign w:val="center"/>
          </w:tcPr>
          <w:p w14:paraId="0DB250D0">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风险源</w:t>
            </w:r>
          </w:p>
        </w:tc>
        <w:tc>
          <w:tcPr>
            <w:tcW w:w="595" w:type="pct"/>
            <w:vAlign w:val="center"/>
          </w:tcPr>
          <w:p w14:paraId="0CD2F9FB">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环境</w:t>
            </w:r>
            <w:r>
              <w:rPr>
                <w:rFonts w:hint="eastAsia" w:ascii="宋体" w:hAnsi="宋体" w:cs="Times New Roman"/>
                <w:kern w:val="0"/>
                <w:sz w:val="18"/>
                <w:szCs w:val="18"/>
              </w:rPr>
              <w:t>风险</w:t>
            </w:r>
            <w:r>
              <w:rPr>
                <w:rFonts w:ascii="宋体" w:hAnsi="宋体" w:cs="Times New Roman"/>
                <w:kern w:val="0"/>
                <w:sz w:val="18"/>
                <w:szCs w:val="18"/>
              </w:rPr>
              <w:t>类型</w:t>
            </w:r>
          </w:p>
        </w:tc>
        <w:tc>
          <w:tcPr>
            <w:tcW w:w="679" w:type="pct"/>
            <w:vAlign w:val="center"/>
          </w:tcPr>
          <w:p w14:paraId="14CCD16D">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环境</w:t>
            </w:r>
            <w:r>
              <w:rPr>
                <w:rFonts w:ascii="宋体" w:hAnsi="宋体" w:cs="Times New Roman"/>
                <w:kern w:val="0"/>
                <w:sz w:val="18"/>
                <w:szCs w:val="18"/>
              </w:rPr>
              <w:t>影响途径</w:t>
            </w:r>
          </w:p>
        </w:tc>
        <w:tc>
          <w:tcPr>
            <w:tcW w:w="760" w:type="pct"/>
            <w:vAlign w:val="center"/>
          </w:tcPr>
          <w:p w14:paraId="108B01C4">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可能</w:t>
            </w:r>
            <w:r>
              <w:rPr>
                <w:rFonts w:ascii="宋体" w:hAnsi="宋体" w:cs="Times New Roman"/>
                <w:kern w:val="0"/>
                <w:sz w:val="18"/>
                <w:szCs w:val="18"/>
              </w:rPr>
              <w:t>受影响的环境敏感目标</w:t>
            </w:r>
          </w:p>
        </w:tc>
      </w:tr>
      <w:tr w14:paraId="4A98A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14B14FBD">
            <w:pPr>
              <w:widowControl/>
              <w:spacing w:line="360" w:lineRule="exact"/>
              <w:ind w:firstLine="0" w:firstLineChars="0"/>
              <w:jc w:val="center"/>
              <w:rPr>
                <w:rFonts w:cs="Times New Roman"/>
                <w:kern w:val="0"/>
                <w:sz w:val="18"/>
                <w:szCs w:val="18"/>
              </w:rPr>
            </w:pPr>
            <w:r>
              <w:rPr>
                <w:rFonts w:hint="eastAsia" w:cs="Times New Roman"/>
                <w:kern w:val="0"/>
                <w:sz w:val="18"/>
                <w:szCs w:val="18"/>
              </w:rPr>
              <w:t>1</w:t>
            </w:r>
          </w:p>
        </w:tc>
        <w:tc>
          <w:tcPr>
            <w:tcW w:w="337" w:type="pct"/>
            <w:vAlign w:val="center"/>
          </w:tcPr>
          <w:p w14:paraId="714CC19A">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尾气处理</w:t>
            </w:r>
          </w:p>
        </w:tc>
        <w:tc>
          <w:tcPr>
            <w:tcW w:w="2312" w:type="pct"/>
            <w:vAlign w:val="center"/>
          </w:tcPr>
          <w:p w14:paraId="28AC16C6">
            <w:pPr>
              <w:widowControl/>
              <w:spacing w:line="360" w:lineRule="exact"/>
              <w:ind w:firstLine="0" w:firstLineChars="0"/>
              <w:jc w:val="center"/>
              <w:rPr>
                <w:rFonts w:cs="Times New Roman"/>
                <w:kern w:val="0"/>
                <w:sz w:val="18"/>
                <w:szCs w:val="18"/>
              </w:rPr>
            </w:pPr>
            <w:r>
              <w:rPr>
                <w:rFonts w:hint="eastAsia" w:cs="Times New Roman"/>
                <w:kern w:val="0"/>
                <w:sz w:val="18"/>
                <w:szCs w:val="18"/>
              </w:rPr>
              <w:t>有机废气</w:t>
            </w:r>
            <w:r>
              <w:rPr>
                <w:rFonts w:cs="Times New Roman"/>
                <w:kern w:val="0"/>
                <w:sz w:val="18"/>
                <w:szCs w:val="18"/>
              </w:rPr>
              <w:t>处理设施</w:t>
            </w:r>
            <w:r>
              <w:rPr>
                <w:rFonts w:hint="eastAsia" w:cs="Times New Roman"/>
                <w:kern w:val="0"/>
                <w:sz w:val="18"/>
                <w:szCs w:val="18"/>
              </w:rPr>
              <w:t>“两级深冷+一级碱洗+一级活性炭吸附”、“ 两级深冷+一级活性炭吸附”；</w:t>
            </w:r>
            <w:r>
              <w:rPr>
                <w:rFonts w:cs="Times New Roman"/>
                <w:kern w:val="0"/>
                <w:sz w:val="18"/>
                <w:szCs w:val="18"/>
              </w:rPr>
              <w:t>粉尘处理设施</w:t>
            </w:r>
            <w:r>
              <w:rPr>
                <w:rFonts w:hint="eastAsia" w:cs="Times New Roman"/>
                <w:kern w:val="0"/>
                <w:sz w:val="18"/>
                <w:szCs w:val="18"/>
              </w:rPr>
              <w:t>“放空过滤器+一级碱洗”、“布袋除尘+一级水洗”和“布袋除尘”；</w:t>
            </w:r>
            <w:r>
              <w:rPr>
                <w:rFonts w:cs="Times New Roman"/>
                <w:kern w:val="0"/>
                <w:sz w:val="18"/>
                <w:szCs w:val="18"/>
              </w:rPr>
              <w:t>含氨废气处理设施</w:t>
            </w:r>
            <w:r>
              <w:rPr>
                <w:rFonts w:hint="eastAsia" w:cs="Times New Roman"/>
                <w:kern w:val="0"/>
                <w:sz w:val="18"/>
                <w:szCs w:val="18"/>
              </w:rPr>
              <w:t>“一级水洗+一级酸洗”；</w:t>
            </w:r>
            <w:r>
              <w:rPr>
                <w:rFonts w:cs="Times New Roman"/>
                <w:kern w:val="0"/>
                <w:sz w:val="18"/>
                <w:szCs w:val="18"/>
              </w:rPr>
              <w:t>酸性废气处理设施</w:t>
            </w:r>
            <w:r>
              <w:rPr>
                <w:rFonts w:hint="eastAsia" w:cs="Times New Roman"/>
                <w:kern w:val="0"/>
                <w:sz w:val="18"/>
                <w:szCs w:val="18"/>
              </w:rPr>
              <w:t>“一级水洗+一级碱洗”</w:t>
            </w:r>
          </w:p>
        </w:tc>
        <w:tc>
          <w:tcPr>
            <w:tcW w:w="595" w:type="pct"/>
            <w:vMerge w:val="restart"/>
            <w:vAlign w:val="center"/>
          </w:tcPr>
          <w:p w14:paraId="6CF27E1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发生故障，可能会造成污染物质未经处理直接排放</w:t>
            </w:r>
          </w:p>
        </w:tc>
        <w:tc>
          <w:tcPr>
            <w:tcW w:w="679" w:type="pct"/>
            <w:vAlign w:val="center"/>
          </w:tcPr>
          <w:p w14:paraId="2DDB781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下风向大气</w:t>
            </w:r>
            <w:r>
              <w:rPr>
                <w:rFonts w:ascii="宋体" w:hAnsi="宋体" w:cs="Times New Roman"/>
                <w:kern w:val="0"/>
                <w:sz w:val="18"/>
                <w:szCs w:val="18"/>
              </w:rPr>
              <w:t>环境污染</w:t>
            </w:r>
          </w:p>
        </w:tc>
        <w:tc>
          <w:tcPr>
            <w:tcW w:w="760" w:type="pct"/>
            <w:vAlign w:val="center"/>
          </w:tcPr>
          <w:p w14:paraId="579A040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产生</w:t>
            </w:r>
            <w:r>
              <w:rPr>
                <w:rFonts w:ascii="宋体" w:hAnsi="宋体" w:cs="Times New Roman"/>
                <w:kern w:val="0"/>
                <w:sz w:val="18"/>
                <w:szCs w:val="18"/>
              </w:rPr>
              <w:t>的</w:t>
            </w:r>
            <w:r>
              <w:rPr>
                <w:rFonts w:hint="eastAsia" w:ascii="宋体" w:hAnsi="宋体" w:cs="Times New Roman"/>
                <w:kern w:val="0"/>
                <w:sz w:val="18"/>
                <w:szCs w:val="18"/>
              </w:rPr>
              <w:t>次生</w:t>
            </w:r>
            <w:r>
              <w:rPr>
                <w:rFonts w:hint="eastAsia" w:cs="Times New Roman"/>
                <w:kern w:val="0"/>
                <w:sz w:val="18"/>
                <w:szCs w:val="18"/>
              </w:rPr>
              <w:t>/</w:t>
            </w:r>
            <w:r>
              <w:rPr>
                <w:rFonts w:hint="eastAsia" w:ascii="宋体" w:hAnsi="宋体" w:cs="Times New Roman"/>
                <w:kern w:val="0"/>
                <w:sz w:val="18"/>
                <w:szCs w:val="18"/>
              </w:rPr>
              <w:t>伴生</w:t>
            </w:r>
            <w:r>
              <w:rPr>
                <w:rFonts w:ascii="宋体" w:hAnsi="宋体" w:cs="Times New Roman"/>
                <w:kern w:val="0"/>
                <w:sz w:val="18"/>
                <w:szCs w:val="18"/>
              </w:rPr>
              <w:t>污染物质可能影响</w:t>
            </w:r>
            <w:r>
              <w:rPr>
                <w:rFonts w:hint="eastAsia" w:ascii="宋体" w:hAnsi="宋体" w:cs="Times New Roman"/>
                <w:kern w:val="0"/>
                <w:sz w:val="18"/>
                <w:szCs w:val="18"/>
              </w:rPr>
              <w:t>厂内</w:t>
            </w:r>
            <w:r>
              <w:rPr>
                <w:rFonts w:ascii="宋体" w:hAnsi="宋体" w:cs="Times New Roman"/>
                <w:kern w:val="0"/>
                <w:sz w:val="18"/>
                <w:szCs w:val="18"/>
              </w:rPr>
              <w:t>职工及下风向大气环境敏感目标</w:t>
            </w:r>
          </w:p>
        </w:tc>
      </w:tr>
      <w:tr w14:paraId="5EDF77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6FA159E6">
            <w:pPr>
              <w:widowControl/>
              <w:spacing w:line="360" w:lineRule="exact"/>
              <w:ind w:firstLine="0" w:firstLineChars="0"/>
              <w:jc w:val="center"/>
              <w:rPr>
                <w:rFonts w:cs="Times New Roman"/>
                <w:kern w:val="0"/>
                <w:sz w:val="18"/>
                <w:szCs w:val="18"/>
              </w:rPr>
            </w:pPr>
            <w:r>
              <w:rPr>
                <w:rFonts w:cs="Times New Roman"/>
                <w:kern w:val="0"/>
                <w:sz w:val="18"/>
                <w:szCs w:val="18"/>
              </w:rPr>
              <w:t>2</w:t>
            </w:r>
          </w:p>
        </w:tc>
        <w:tc>
          <w:tcPr>
            <w:tcW w:w="337" w:type="pct"/>
            <w:vAlign w:val="center"/>
          </w:tcPr>
          <w:p w14:paraId="1C02C3C5">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废水处理</w:t>
            </w:r>
          </w:p>
        </w:tc>
        <w:tc>
          <w:tcPr>
            <w:tcW w:w="2312" w:type="pct"/>
            <w:vAlign w:val="center"/>
          </w:tcPr>
          <w:p w14:paraId="311D0FBE">
            <w:pPr>
              <w:widowControl/>
              <w:spacing w:line="360" w:lineRule="exact"/>
              <w:ind w:firstLine="0" w:firstLineChars="0"/>
              <w:jc w:val="center"/>
              <w:rPr>
                <w:rFonts w:cs="Times New Roman"/>
                <w:kern w:val="0"/>
                <w:sz w:val="18"/>
                <w:szCs w:val="18"/>
              </w:rPr>
            </w:pPr>
            <w:r>
              <w:rPr>
                <w:rFonts w:hint="eastAsia" w:cs="Times New Roman"/>
                <w:kern w:val="0"/>
                <w:sz w:val="18"/>
                <w:szCs w:val="18"/>
              </w:rPr>
              <w:t>酸洗</w:t>
            </w:r>
            <w:r>
              <w:rPr>
                <w:rFonts w:cs="Times New Roman"/>
                <w:kern w:val="0"/>
                <w:sz w:val="18"/>
                <w:szCs w:val="18"/>
              </w:rPr>
              <w:t>废水</w:t>
            </w:r>
            <w:r>
              <w:rPr>
                <w:rFonts w:hint="eastAsia" w:cs="Times New Roman"/>
                <w:kern w:val="0"/>
                <w:sz w:val="18"/>
                <w:szCs w:val="18"/>
              </w:rPr>
              <w:t>预处理设施“中和+沉淀+深度除氟+斜管沉淀”；</w:t>
            </w:r>
            <w:r>
              <w:rPr>
                <w:rFonts w:cs="Times New Roman"/>
                <w:kern w:val="0"/>
                <w:sz w:val="18"/>
                <w:szCs w:val="18"/>
              </w:rPr>
              <w:t>精选废水预处理</w:t>
            </w:r>
            <w:r>
              <w:rPr>
                <w:rFonts w:hint="eastAsia" w:cs="Times New Roman"/>
                <w:kern w:val="0"/>
                <w:sz w:val="18"/>
                <w:szCs w:val="18"/>
              </w:rPr>
              <w:t>设施“中和+斜管沉淀+砂滤+生物脱氮”；污水处理站“调节池+混凝沉淀+水解酸化+MBR”</w:t>
            </w:r>
          </w:p>
        </w:tc>
        <w:tc>
          <w:tcPr>
            <w:tcW w:w="0" w:type="auto"/>
            <w:vMerge w:val="continue"/>
            <w:vAlign w:val="center"/>
          </w:tcPr>
          <w:p w14:paraId="42F1C82F">
            <w:pPr>
              <w:widowControl/>
              <w:adjustRightInd/>
              <w:snapToGrid/>
              <w:ind w:firstLine="0" w:firstLineChars="0"/>
              <w:jc w:val="center"/>
              <w:rPr>
                <w:rFonts w:cs="Times New Roman"/>
                <w:kern w:val="0"/>
                <w:sz w:val="18"/>
                <w:szCs w:val="18"/>
              </w:rPr>
            </w:pPr>
          </w:p>
        </w:tc>
        <w:tc>
          <w:tcPr>
            <w:tcW w:w="679" w:type="pct"/>
            <w:vAlign w:val="center"/>
          </w:tcPr>
          <w:p w14:paraId="50999CF2">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水体</w:t>
            </w:r>
            <w:r>
              <w:rPr>
                <w:rFonts w:ascii="宋体" w:hAnsi="宋体" w:cs="Times New Roman"/>
                <w:kern w:val="0"/>
                <w:sz w:val="18"/>
                <w:szCs w:val="18"/>
              </w:rPr>
              <w:t>超标进入</w:t>
            </w:r>
            <w:r>
              <w:rPr>
                <w:rFonts w:hint="eastAsia" w:ascii="宋体" w:hAnsi="宋体" w:cs="Times New Roman"/>
                <w:kern w:val="0"/>
                <w:sz w:val="18"/>
                <w:szCs w:val="18"/>
              </w:rPr>
              <w:t>沫河口污水处理厂；废水</w:t>
            </w:r>
            <w:r>
              <w:rPr>
                <w:rFonts w:ascii="宋体" w:hAnsi="宋体" w:cs="Times New Roman"/>
                <w:kern w:val="0"/>
                <w:sz w:val="18"/>
                <w:szCs w:val="18"/>
              </w:rPr>
              <w:t>下渗至</w:t>
            </w:r>
            <w:r>
              <w:rPr>
                <w:rFonts w:hint="eastAsia" w:ascii="宋体" w:hAnsi="宋体" w:cs="Times New Roman"/>
                <w:kern w:val="0"/>
                <w:sz w:val="18"/>
                <w:szCs w:val="18"/>
              </w:rPr>
              <w:t>土壤</w:t>
            </w:r>
          </w:p>
        </w:tc>
        <w:tc>
          <w:tcPr>
            <w:tcW w:w="760" w:type="pct"/>
            <w:vAlign w:val="center"/>
          </w:tcPr>
          <w:p w14:paraId="3026E301">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沫河口污水处理厂及</w:t>
            </w:r>
            <w:r>
              <w:rPr>
                <w:rFonts w:ascii="宋体" w:hAnsi="宋体" w:cs="Times New Roman"/>
                <w:kern w:val="0"/>
                <w:sz w:val="18"/>
                <w:szCs w:val="18"/>
              </w:rPr>
              <w:t>排放口下游水体</w:t>
            </w:r>
            <w:r>
              <w:rPr>
                <w:rFonts w:hint="eastAsia" w:ascii="宋体" w:hAnsi="宋体" w:cs="Times New Roman"/>
                <w:kern w:val="0"/>
                <w:sz w:val="18"/>
                <w:szCs w:val="18"/>
              </w:rPr>
              <w:t>；废水</w:t>
            </w:r>
            <w:r>
              <w:rPr>
                <w:rFonts w:ascii="宋体" w:hAnsi="宋体" w:cs="Times New Roman"/>
                <w:kern w:val="0"/>
                <w:sz w:val="18"/>
                <w:szCs w:val="18"/>
              </w:rPr>
              <w:t>下渗扩散厂区及周边地下水和</w:t>
            </w:r>
            <w:r>
              <w:rPr>
                <w:rFonts w:hint="eastAsia" w:ascii="宋体" w:hAnsi="宋体" w:cs="Times New Roman"/>
                <w:kern w:val="0"/>
                <w:sz w:val="18"/>
                <w:szCs w:val="18"/>
              </w:rPr>
              <w:t>土壤</w:t>
            </w:r>
          </w:p>
        </w:tc>
      </w:tr>
    </w:tbl>
    <w:p w14:paraId="3DECD790">
      <w:pPr>
        <w:spacing w:before="240" w:after="120"/>
        <w:ind w:firstLine="0" w:firstLineChars="0"/>
        <w:jc w:val="left"/>
        <w:outlineLvl w:val="2"/>
        <w:rPr>
          <w:rFonts w:eastAsia="黑体" w:cs="Times New Roman"/>
          <w:sz w:val="28"/>
          <w:szCs w:val="28"/>
        </w:rPr>
      </w:pPr>
      <w:bookmarkStart w:id="335" w:name="_Toc100784066"/>
      <w:bookmarkStart w:id="336" w:name="_Toc101135898"/>
      <w:bookmarkStart w:id="337" w:name="_Toc108662675"/>
      <w:r>
        <w:rPr>
          <w:rFonts w:hint="eastAsia" w:eastAsia="黑体"/>
          <w:sz w:val="28"/>
          <w:szCs w:val="28"/>
        </w:rPr>
        <w:t>5.6.</w:t>
      </w:r>
      <w:r>
        <w:rPr>
          <w:rFonts w:eastAsia="黑体"/>
          <w:sz w:val="28"/>
          <w:szCs w:val="28"/>
        </w:rPr>
        <w:t>4</w:t>
      </w:r>
      <w:r>
        <w:rPr>
          <w:rFonts w:ascii="黑体" w:hAnsi="黑体" w:eastAsia="黑体"/>
          <w:sz w:val="28"/>
          <w:szCs w:val="28"/>
        </w:rPr>
        <w:t>环境风险</w:t>
      </w:r>
      <w:r>
        <w:rPr>
          <w:rFonts w:hint="eastAsia" w:ascii="黑体" w:hAnsi="黑体" w:eastAsia="黑体"/>
          <w:sz w:val="28"/>
          <w:szCs w:val="28"/>
        </w:rPr>
        <w:t>事故情景</w:t>
      </w:r>
      <w:r>
        <w:rPr>
          <w:rFonts w:ascii="黑体" w:hAnsi="黑体" w:eastAsia="黑体"/>
          <w:sz w:val="28"/>
          <w:szCs w:val="28"/>
        </w:rPr>
        <w:t>设定</w:t>
      </w:r>
      <w:bookmarkEnd w:id="335"/>
      <w:bookmarkEnd w:id="336"/>
      <w:bookmarkEnd w:id="337"/>
    </w:p>
    <w:p w14:paraId="11E57E1D">
      <w:pPr>
        <w:ind w:firstLine="480"/>
      </w:pPr>
      <w:r>
        <w:t>根据《建设项目环境风险评价技术导则》(HJ169-2018)，本项目环境风险事故设定的原则如下：</w:t>
      </w:r>
    </w:p>
    <w:p w14:paraId="2C23E0A0">
      <w:pPr>
        <w:ind w:firstLine="480"/>
      </w:pPr>
      <w:r>
        <w:rPr>
          <w:rFonts w:hint="eastAsia"/>
        </w:rPr>
        <w:t>（1）</w:t>
      </w:r>
      <w:r>
        <w:t>同一种危险物质可能涉及泄漏，以及火灾、爆炸等引发的伴生/次生污染物排放等多种环境风险类型，其风险事故情形设定应全面考虑。同一物质对不同环境要素均产生的影响的，风险事故情形分别进行设定。</w:t>
      </w:r>
    </w:p>
    <w:p w14:paraId="776D158A">
      <w:pPr>
        <w:ind w:firstLine="480"/>
      </w:pPr>
      <w:r>
        <w:rPr>
          <w:rFonts w:hint="eastAsia"/>
        </w:rPr>
        <w:t>（2）</w:t>
      </w:r>
      <w:r>
        <w:t>对于火灾、爆炸事故，将事故中未完全燃烧的危险物质在高温下迅速挥发至大气，以及燃烧过程中产生的伴生/次生污染物对环境的影响作为风险事故情形设定的内容。</w:t>
      </w:r>
    </w:p>
    <w:p w14:paraId="2EE050E9">
      <w:pPr>
        <w:ind w:firstLine="480"/>
      </w:pPr>
      <w:r>
        <w:rPr>
          <w:rFonts w:hint="eastAsia"/>
        </w:rPr>
        <w:t>（3）</w:t>
      </w:r>
      <w:r>
        <w:t>设定的风险事故情形发生可的能性应处于合理的区间，并与经济技术发展水平相适应。根据导则，将发生概率小于10</w:t>
      </w:r>
      <w:r>
        <w:rPr>
          <w:vertAlign w:val="superscript"/>
        </w:rPr>
        <w:t>-6</w:t>
      </w:r>
      <w:r>
        <w:t>/年的事件认定为极小概率事件，作为代表性事故情形中最大可信事故设定的参考值。</w:t>
      </w:r>
    </w:p>
    <w:p w14:paraId="6E8CC532">
      <w:pPr>
        <w:ind w:firstLine="480"/>
      </w:pPr>
      <w:r>
        <w:rPr>
          <w:rFonts w:hint="eastAsia"/>
        </w:rPr>
        <w:t>（4）</w:t>
      </w:r>
      <w:r>
        <w:t>由于事故触发因素具有不确定性，因此本项目事故情形的设定并不能包含全部可能的环境风险，事故情形的设定建立在环境风险识别基础上，通过对代表性事故情形的分析力求为风险管理提供科学依据。</w:t>
      </w:r>
    </w:p>
    <w:p w14:paraId="10032EB8">
      <w:pPr>
        <w:ind w:firstLine="480"/>
        <w:rPr>
          <w:bCs/>
        </w:rPr>
      </w:pPr>
      <w:r>
        <w:rPr>
          <w:rFonts w:hint="eastAsia"/>
        </w:rPr>
        <w:t>（5）</w:t>
      </w:r>
      <w:r>
        <w:t>环境风险评价主要针对项目发生突发性污染事故后通过污染物迁移所造成的区域外环境影响进行评价，大气风险评价范围主要包括厂界外污染影响区域，地下水风险评价范围主要包括厂界内地下水及厂界外地下水环境敏感点；安全评价着眼于设备安全性事故后暴露范围内的人员与财产损失，通常设备燃爆安全性事故的范围限于厂界内。因此，本次环境风险评价主要为项目发生突发性污染事故后影响环境的区域，不包括单纯因火灾和爆炸引起的厂界内外人员伤亡</w:t>
      </w:r>
      <w:r>
        <w:rPr>
          <w:rFonts w:hint="eastAsia" w:ascii="宋体" w:hAnsi="宋体"/>
          <w:bCs/>
        </w:rPr>
        <w:t>。</w:t>
      </w:r>
    </w:p>
    <w:p w14:paraId="2EBE9290">
      <w:pPr>
        <w:spacing w:before="240" w:after="120"/>
        <w:ind w:firstLine="0" w:firstLineChars="0"/>
        <w:jc w:val="left"/>
        <w:outlineLvl w:val="2"/>
        <w:rPr>
          <w:rFonts w:eastAsia="黑体"/>
          <w:sz w:val="28"/>
          <w:szCs w:val="28"/>
        </w:rPr>
      </w:pPr>
      <w:bookmarkStart w:id="338" w:name="_Toc100784067"/>
      <w:bookmarkStart w:id="339" w:name="_Toc108662676"/>
      <w:bookmarkStart w:id="340" w:name="_Toc101135899"/>
      <w:r>
        <w:rPr>
          <w:rFonts w:hint="eastAsia" w:eastAsia="黑体"/>
          <w:sz w:val="28"/>
          <w:szCs w:val="28"/>
        </w:rPr>
        <w:t>5.6.</w:t>
      </w:r>
      <w:r>
        <w:rPr>
          <w:rFonts w:eastAsia="黑体"/>
          <w:sz w:val="28"/>
          <w:szCs w:val="28"/>
        </w:rPr>
        <w:t>5</w:t>
      </w:r>
      <w:r>
        <w:rPr>
          <w:rFonts w:hint="eastAsia" w:ascii="黑体" w:hAnsi="黑体" w:eastAsia="黑体"/>
          <w:sz w:val="28"/>
          <w:szCs w:val="28"/>
        </w:rPr>
        <w:t>最大可信事故</w:t>
      </w:r>
      <w:r>
        <w:rPr>
          <w:rFonts w:ascii="黑体" w:hAnsi="黑体" w:eastAsia="黑体"/>
          <w:sz w:val="28"/>
          <w:szCs w:val="28"/>
        </w:rPr>
        <w:t>概率分析</w:t>
      </w:r>
      <w:bookmarkEnd w:id="338"/>
      <w:bookmarkEnd w:id="339"/>
      <w:bookmarkEnd w:id="340"/>
    </w:p>
    <w:p w14:paraId="60096531">
      <w:pPr>
        <w:ind w:firstLine="480"/>
        <w:rPr>
          <w:szCs w:val="24"/>
        </w:rPr>
      </w:pPr>
      <w:r>
        <w:rPr>
          <w:rFonts w:ascii="宋体" w:hAnsi="宋体"/>
        </w:rPr>
        <w:t>根据《</w:t>
      </w:r>
      <w:r>
        <w:rPr>
          <w:rFonts w:hint="eastAsia" w:ascii="宋体" w:hAnsi="宋体"/>
        </w:rPr>
        <w:t>建设项目</w:t>
      </w:r>
      <w:r>
        <w:rPr>
          <w:rFonts w:ascii="宋体" w:hAnsi="宋体"/>
        </w:rPr>
        <w:t>环境风险评价技术导则》（</w:t>
      </w:r>
      <w:r>
        <w:rPr>
          <w:rFonts w:hint="eastAsia"/>
        </w:rPr>
        <w:t>HJ 169-2018</w:t>
      </w:r>
      <w:r>
        <w:rPr>
          <w:rFonts w:ascii="宋体" w:hAnsi="宋体"/>
        </w:rPr>
        <w:t>）中</w:t>
      </w:r>
      <w:r>
        <w:rPr>
          <w:rFonts w:hint="eastAsia" w:ascii="宋体" w:hAnsi="宋体"/>
        </w:rPr>
        <w:t>附录</w:t>
      </w:r>
      <w:r>
        <w:rPr>
          <w:rFonts w:hint="eastAsia"/>
        </w:rPr>
        <w:t>E</w:t>
      </w:r>
      <w:r>
        <w:rPr>
          <w:rFonts w:hint="eastAsia" w:ascii="宋体" w:hAnsi="宋体"/>
        </w:rPr>
        <w:t>中</w:t>
      </w:r>
      <w:r>
        <w:rPr>
          <w:rFonts w:ascii="宋体" w:hAnsi="宋体"/>
        </w:rPr>
        <w:t>表</w:t>
      </w:r>
      <w:r>
        <w:rPr>
          <w:rFonts w:hint="eastAsia"/>
        </w:rPr>
        <w:t>E.1</w:t>
      </w:r>
      <w:r>
        <w:rPr>
          <w:rFonts w:hint="eastAsia" w:ascii="宋体" w:hAnsi="宋体"/>
        </w:rPr>
        <w:t>泄漏</w:t>
      </w:r>
      <w:r>
        <w:rPr>
          <w:rFonts w:ascii="宋体" w:hAnsi="宋体"/>
        </w:rPr>
        <w:t>频率</w:t>
      </w:r>
      <w:r>
        <w:rPr>
          <w:rFonts w:hint="eastAsia" w:ascii="宋体" w:hAnsi="宋体"/>
        </w:rPr>
        <w:t>表及根据《石油和化工装备事故分析与预防（第三版）》（化学工业出版社</w:t>
      </w:r>
      <w:r>
        <w:rPr>
          <w:rFonts w:hint="eastAsia"/>
        </w:rPr>
        <w:t>(2011)</w:t>
      </w:r>
      <w:r>
        <w:rPr>
          <w:rFonts w:hint="eastAsia" w:ascii="宋体" w:hAnsi="宋体"/>
        </w:rPr>
        <w:t>）中统计的</w:t>
      </w:r>
      <w:r>
        <w:rPr>
          <w:rFonts w:hint="eastAsia"/>
        </w:rPr>
        <w:t>1989</w:t>
      </w:r>
      <w:r>
        <w:rPr>
          <w:rFonts w:hint="eastAsia" w:ascii="宋体" w:hAnsi="宋体"/>
        </w:rPr>
        <w:t>年～</w:t>
      </w:r>
      <w:r>
        <w:rPr>
          <w:rFonts w:hint="eastAsia"/>
        </w:rPr>
        <w:t>2008</w:t>
      </w:r>
      <w:r>
        <w:rPr>
          <w:rFonts w:hint="eastAsia" w:ascii="宋体" w:hAnsi="宋体"/>
        </w:rPr>
        <w:t>年</w:t>
      </w:r>
      <w:r>
        <w:rPr>
          <w:rFonts w:hint="eastAsia"/>
        </w:rPr>
        <w:t>20</w:t>
      </w:r>
      <w:r>
        <w:rPr>
          <w:rFonts w:hint="eastAsia" w:ascii="宋体" w:hAnsi="宋体"/>
        </w:rPr>
        <w:t>年间全国化工行业事故发生情况的相关资料</w:t>
      </w:r>
      <w:r>
        <w:rPr>
          <w:rFonts w:ascii="宋体" w:hAnsi="宋体"/>
        </w:rPr>
        <w:t>显示</w:t>
      </w:r>
      <w:r>
        <w:rPr>
          <w:rFonts w:hint="eastAsia" w:ascii="宋体" w:hAnsi="宋体"/>
        </w:rPr>
        <w:t>本项目</w:t>
      </w:r>
      <w:r>
        <w:rPr>
          <w:rFonts w:ascii="宋体" w:hAnsi="宋体"/>
        </w:rPr>
        <w:t>的各类事故发生概率</w:t>
      </w:r>
      <w:r>
        <w:t>Pa</w:t>
      </w:r>
      <w:r>
        <w:rPr>
          <w:rFonts w:ascii="宋体" w:hAnsi="宋体"/>
        </w:rPr>
        <w:t>分布情况，见</w:t>
      </w:r>
      <w:r>
        <w:rPr>
          <w:rFonts w:hint="eastAsia" w:ascii="宋体" w:hAnsi="宋体"/>
        </w:rPr>
        <w:t>表</w:t>
      </w:r>
      <w:r>
        <w:t>5.6.5-1</w:t>
      </w:r>
      <w:r>
        <w:rPr>
          <w:rFonts w:ascii="宋体" w:hAnsi="宋体"/>
        </w:rPr>
        <w:t>。</w:t>
      </w:r>
    </w:p>
    <w:p w14:paraId="637C028F">
      <w:pPr>
        <w:pStyle w:val="278"/>
      </w:pPr>
      <w:r>
        <w:rPr>
          <w:rFonts w:hint="eastAsia"/>
        </w:rPr>
        <w:t>表</w:t>
      </w:r>
      <w:r>
        <w:t>5.6.5-1  事故发生概率Pa取值表（单位：次/年）</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4"/>
        <w:gridCol w:w="2331"/>
        <w:gridCol w:w="2411"/>
        <w:gridCol w:w="2407"/>
      </w:tblGrid>
      <w:tr w14:paraId="1B208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3" w:type="pct"/>
            <w:tcBorders>
              <w:top w:val="single" w:color="auto" w:sz="12" w:space="0"/>
              <w:left w:val="nil"/>
              <w:bottom w:val="single" w:color="auto" w:sz="4" w:space="0"/>
              <w:right w:val="single" w:color="auto" w:sz="4" w:space="0"/>
            </w:tcBorders>
          </w:tcPr>
          <w:p w14:paraId="277B0829">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设备名称</w:t>
            </w:r>
          </w:p>
        </w:tc>
        <w:tc>
          <w:tcPr>
            <w:tcW w:w="1261" w:type="pct"/>
            <w:tcBorders>
              <w:top w:val="single" w:color="auto" w:sz="12" w:space="0"/>
              <w:left w:val="single" w:color="auto" w:sz="4" w:space="0"/>
              <w:bottom w:val="single" w:color="auto" w:sz="4" w:space="0"/>
              <w:right w:val="single" w:color="auto" w:sz="4" w:space="0"/>
            </w:tcBorders>
          </w:tcPr>
          <w:p w14:paraId="35F4C910">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生产装置</w:t>
            </w:r>
            <w:r>
              <w:rPr>
                <w:rFonts w:ascii="宋体" w:hAnsi="宋体" w:cs="Times New Roman"/>
                <w:kern w:val="0"/>
                <w:sz w:val="18"/>
                <w:szCs w:val="18"/>
              </w:rPr>
              <w:t>事故</w:t>
            </w:r>
            <w:r>
              <w:rPr>
                <w:rFonts w:hint="eastAsia" w:cs="Times New Roman"/>
                <w:kern w:val="0"/>
                <w:sz w:val="18"/>
                <w:szCs w:val="18"/>
              </w:rPr>
              <w:t>*</w:t>
            </w:r>
          </w:p>
        </w:tc>
        <w:tc>
          <w:tcPr>
            <w:tcW w:w="1304" w:type="pct"/>
            <w:tcBorders>
              <w:top w:val="single" w:color="auto" w:sz="12" w:space="0"/>
              <w:left w:val="single" w:color="auto" w:sz="4" w:space="0"/>
              <w:bottom w:val="single" w:color="auto" w:sz="4" w:space="0"/>
              <w:right w:val="single" w:color="auto" w:sz="4" w:space="0"/>
            </w:tcBorders>
          </w:tcPr>
          <w:p w14:paraId="0AD23F2F">
            <w:pPr>
              <w:widowControl/>
              <w:spacing w:line="360" w:lineRule="exact"/>
              <w:ind w:firstLine="0" w:firstLineChars="0"/>
              <w:jc w:val="center"/>
              <w:rPr>
                <w:rFonts w:cs="Times New Roman"/>
                <w:kern w:val="0"/>
                <w:sz w:val="18"/>
                <w:szCs w:val="18"/>
              </w:rPr>
            </w:pPr>
            <w:r>
              <w:rPr>
                <w:rFonts w:hint="eastAsia" w:ascii="宋体" w:hAnsi="宋体" w:cs="Times New Roman"/>
                <w:kern w:val="0"/>
                <w:sz w:val="18"/>
                <w:szCs w:val="18"/>
              </w:rPr>
              <w:t>储罐、</w:t>
            </w:r>
            <w:r>
              <w:rPr>
                <w:rFonts w:ascii="宋体" w:hAnsi="宋体" w:cs="Times New Roman"/>
                <w:kern w:val="0"/>
                <w:sz w:val="18"/>
                <w:szCs w:val="18"/>
              </w:rPr>
              <w:t>仓库</w:t>
            </w:r>
            <w:r>
              <w:rPr>
                <w:rFonts w:hint="eastAsia" w:ascii="宋体" w:hAnsi="宋体" w:cs="Times New Roman"/>
                <w:kern w:val="0"/>
                <w:sz w:val="18"/>
                <w:szCs w:val="18"/>
              </w:rPr>
              <w:t>液体</w:t>
            </w:r>
            <w:r>
              <w:rPr>
                <w:rFonts w:ascii="宋体" w:hAnsi="宋体" w:cs="Times New Roman"/>
                <w:kern w:val="0"/>
                <w:sz w:val="18"/>
                <w:szCs w:val="18"/>
              </w:rPr>
              <w:t>泄漏</w:t>
            </w:r>
          </w:p>
        </w:tc>
        <w:tc>
          <w:tcPr>
            <w:tcW w:w="1302" w:type="pct"/>
            <w:tcBorders>
              <w:top w:val="single" w:color="auto" w:sz="12" w:space="0"/>
              <w:left w:val="single" w:color="auto" w:sz="4" w:space="0"/>
              <w:bottom w:val="single" w:color="auto" w:sz="4" w:space="0"/>
              <w:right w:val="nil"/>
            </w:tcBorders>
          </w:tcPr>
          <w:p w14:paraId="3ECEB5C8">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管道</w:t>
            </w:r>
            <w:r>
              <w:rPr>
                <w:rFonts w:hint="eastAsia" w:ascii="宋体" w:hAnsi="宋体" w:cs="Times New Roman"/>
                <w:kern w:val="0"/>
                <w:sz w:val="18"/>
                <w:szCs w:val="18"/>
              </w:rPr>
              <w:t>泄漏</w:t>
            </w:r>
          </w:p>
        </w:tc>
      </w:tr>
      <w:tr w14:paraId="4B6708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3" w:type="pct"/>
            <w:tcBorders>
              <w:top w:val="single" w:color="auto" w:sz="4" w:space="0"/>
              <w:left w:val="nil"/>
              <w:bottom w:val="single" w:color="auto" w:sz="12" w:space="0"/>
              <w:right w:val="single" w:color="auto" w:sz="4" w:space="0"/>
            </w:tcBorders>
          </w:tcPr>
          <w:p w14:paraId="4ACD2C0F">
            <w:pPr>
              <w:widowControl/>
              <w:spacing w:line="360" w:lineRule="exact"/>
              <w:ind w:firstLine="0" w:firstLineChars="0"/>
              <w:jc w:val="center"/>
              <w:rPr>
                <w:rFonts w:cs="Times New Roman"/>
                <w:kern w:val="0"/>
                <w:sz w:val="18"/>
                <w:szCs w:val="18"/>
              </w:rPr>
            </w:pPr>
            <w:r>
              <w:rPr>
                <w:rFonts w:ascii="宋体" w:hAnsi="宋体" w:cs="Times New Roman"/>
                <w:kern w:val="0"/>
                <w:sz w:val="18"/>
                <w:szCs w:val="18"/>
              </w:rPr>
              <w:t>事故频率</w:t>
            </w:r>
          </w:p>
        </w:tc>
        <w:tc>
          <w:tcPr>
            <w:tcW w:w="1261" w:type="pct"/>
            <w:tcBorders>
              <w:top w:val="single" w:color="auto" w:sz="4" w:space="0"/>
              <w:left w:val="single" w:color="auto" w:sz="4" w:space="0"/>
              <w:bottom w:val="single" w:color="auto" w:sz="12" w:space="0"/>
              <w:right w:val="single" w:color="auto" w:sz="4" w:space="0"/>
            </w:tcBorders>
          </w:tcPr>
          <w:p w14:paraId="3C20221A">
            <w:pPr>
              <w:widowControl/>
              <w:spacing w:line="360" w:lineRule="exact"/>
              <w:ind w:firstLine="0" w:firstLineChars="0"/>
              <w:jc w:val="center"/>
              <w:rPr>
                <w:rFonts w:cs="Times New Roman"/>
                <w:kern w:val="0"/>
                <w:sz w:val="18"/>
                <w:szCs w:val="18"/>
              </w:rPr>
            </w:pPr>
            <w:r>
              <w:rPr>
                <w:rFonts w:cs="Times New Roman"/>
                <w:kern w:val="0"/>
                <w:sz w:val="18"/>
                <w:szCs w:val="18"/>
              </w:rPr>
              <w:t>1.08×10</w:t>
            </w:r>
            <w:r>
              <w:rPr>
                <w:rFonts w:cs="Times New Roman"/>
                <w:kern w:val="0"/>
                <w:sz w:val="18"/>
                <w:szCs w:val="18"/>
                <w:vertAlign w:val="superscript"/>
              </w:rPr>
              <w:t>-5</w:t>
            </w:r>
          </w:p>
        </w:tc>
        <w:tc>
          <w:tcPr>
            <w:tcW w:w="1304" w:type="pct"/>
            <w:tcBorders>
              <w:top w:val="single" w:color="auto" w:sz="4" w:space="0"/>
              <w:left w:val="single" w:color="auto" w:sz="4" w:space="0"/>
              <w:bottom w:val="single" w:color="auto" w:sz="12" w:space="0"/>
              <w:right w:val="single" w:color="auto" w:sz="4" w:space="0"/>
            </w:tcBorders>
          </w:tcPr>
          <w:p w14:paraId="37C91371">
            <w:pPr>
              <w:widowControl/>
              <w:spacing w:line="360" w:lineRule="exact"/>
              <w:ind w:firstLine="0" w:firstLineChars="0"/>
              <w:jc w:val="center"/>
              <w:rPr>
                <w:rFonts w:cs="Times New Roman"/>
                <w:kern w:val="0"/>
                <w:sz w:val="18"/>
                <w:szCs w:val="18"/>
              </w:rPr>
            </w:pPr>
            <w:r>
              <w:rPr>
                <w:rFonts w:hint="eastAsia" w:cs="Times New Roman"/>
                <w:kern w:val="0"/>
                <w:sz w:val="18"/>
                <w:szCs w:val="18"/>
              </w:rPr>
              <w:t>1.00</w:t>
            </w:r>
            <w:r>
              <w:rPr>
                <w:rFonts w:hint="eastAsia" w:ascii="宋体" w:hAnsi="宋体" w:cs="Times New Roman"/>
                <w:kern w:val="0"/>
                <w:sz w:val="18"/>
                <w:szCs w:val="18"/>
              </w:rPr>
              <w:t>×</w:t>
            </w:r>
            <w:r>
              <w:rPr>
                <w:rFonts w:hint="eastAsia" w:cs="Times New Roman"/>
                <w:kern w:val="0"/>
                <w:sz w:val="18"/>
                <w:szCs w:val="18"/>
              </w:rPr>
              <w:t>10</w:t>
            </w:r>
            <w:r>
              <w:rPr>
                <w:rFonts w:hint="eastAsia" w:cs="Times New Roman"/>
                <w:kern w:val="0"/>
                <w:sz w:val="18"/>
                <w:szCs w:val="18"/>
                <w:vertAlign w:val="superscript"/>
              </w:rPr>
              <w:t>-4</w:t>
            </w:r>
          </w:p>
        </w:tc>
        <w:tc>
          <w:tcPr>
            <w:tcW w:w="1302" w:type="pct"/>
            <w:tcBorders>
              <w:top w:val="single" w:color="auto" w:sz="4" w:space="0"/>
              <w:left w:val="single" w:color="auto" w:sz="4" w:space="0"/>
              <w:bottom w:val="single" w:color="auto" w:sz="12" w:space="0"/>
              <w:right w:val="nil"/>
            </w:tcBorders>
          </w:tcPr>
          <w:p w14:paraId="37FBA148">
            <w:pPr>
              <w:widowControl/>
              <w:spacing w:line="360" w:lineRule="exact"/>
              <w:ind w:firstLine="0" w:firstLineChars="0"/>
              <w:jc w:val="center"/>
              <w:rPr>
                <w:rFonts w:cs="Times New Roman"/>
                <w:kern w:val="0"/>
                <w:sz w:val="18"/>
                <w:szCs w:val="18"/>
              </w:rPr>
            </w:pPr>
            <w:r>
              <w:rPr>
                <w:rFonts w:cs="Times New Roman"/>
                <w:kern w:val="0"/>
                <w:sz w:val="18"/>
                <w:szCs w:val="18"/>
              </w:rPr>
              <w:t>2.00×10</w:t>
            </w:r>
            <w:r>
              <w:rPr>
                <w:rFonts w:cs="Times New Roman"/>
                <w:kern w:val="0"/>
                <w:sz w:val="18"/>
                <w:szCs w:val="18"/>
                <w:vertAlign w:val="superscript"/>
              </w:rPr>
              <w:t>-6</w:t>
            </w:r>
          </w:p>
        </w:tc>
      </w:tr>
    </w:tbl>
    <w:p w14:paraId="4AC65236">
      <w:pPr>
        <w:ind w:firstLine="0" w:firstLineChars="0"/>
        <w:rPr>
          <w:rFonts w:cs="Times New Roman"/>
          <w:sz w:val="18"/>
          <w:szCs w:val="18"/>
        </w:rPr>
      </w:pPr>
      <w:r>
        <w:rPr>
          <w:rFonts w:hint="eastAsia" w:ascii="宋体" w:hAnsi="宋体"/>
          <w:b/>
          <w:sz w:val="18"/>
          <w:szCs w:val="18"/>
        </w:rPr>
        <w:t>备注</w:t>
      </w:r>
      <w:r>
        <w:rPr>
          <w:rFonts w:ascii="宋体" w:hAnsi="宋体"/>
          <w:b/>
          <w:sz w:val="18"/>
          <w:szCs w:val="18"/>
        </w:rPr>
        <w:t>：</w:t>
      </w:r>
      <w:r>
        <w:rPr>
          <w:rFonts w:hint="eastAsia"/>
          <w:b/>
          <w:sz w:val="18"/>
          <w:szCs w:val="18"/>
        </w:rPr>
        <w:t>*</w:t>
      </w:r>
      <w:r>
        <w:rPr>
          <w:rFonts w:hint="eastAsia" w:ascii="宋体" w:hAnsi="宋体"/>
          <w:b/>
          <w:sz w:val="18"/>
          <w:szCs w:val="18"/>
        </w:rPr>
        <w:t>来源于《石油和化工装备事故分析与预防（第三版）》（化学工业出版社</w:t>
      </w:r>
      <w:r>
        <w:rPr>
          <w:rFonts w:hint="eastAsia"/>
          <w:b/>
          <w:sz w:val="18"/>
          <w:szCs w:val="18"/>
        </w:rPr>
        <w:t>(2011)</w:t>
      </w:r>
      <w:r>
        <w:rPr>
          <w:rFonts w:hint="eastAsia" w:ascii="宋体" w:hAnsi="宋体"/>
          <w:b/>
          <w:sz w:val="18"/>
          <w:szCs w:val="18"/>
        </w:rPr>
        <w:t>）中</w:t>
      </w:r>
      <w:r>
        <w:rPr>
          <w:rFonts w:ascii="宋体" w:hAnsi="宋体"/>
          <w:b/>
          <w:sz w:val="18"/>
          <w:szCs w:val="18"/>
        </w:rPr>
        <w:t>反应釜的事故频率</w:t>
      </w:r>
      <w:r>
        <w:rPr>
          <w:rFonts w:hint="eastAsia" w:ascii="宋体" w:hAnsi="宋体"/>
          <w:sz w:val="18"/>
          <w:szCs w:val="18"/>
        </w:rPr>
        <w:t>。</w:t>
      </w:r>
    </w:p>
    <w:p w14:paraId="354CB384">
      <w:pPr>
        <w:ind w:firstLine="480"/>
        <w:rPr>
          <w:szCs w:val="24"/>
        </w:rPr>
      </w:pPr>
      <w:r>
        <w:rPr>
          <w:rFonts w:ascii="宋体" w:hAnsi="宋体"/>
        </w:rPr>
        <w:t>从事故发生概率上看，管道泄漏（泄漏孔径为</w:t>
      </w:r>
      <w:r>
        <w:t>10%</w:t>
      </w:r>
      <w:r>
        <w:rPr>
          <w:rFonts w:ascii="宋体" w:hAnsi="宋体"/>
        </w:rPr>
        <w:t>孔径）事故概率＜</w:t>
      </w:r>
      <w:r>
        <w:t>10</w:t>
      </w:r>
      <w:r>
        <w:rPr>
          <w:vertAlign w:val="superscript"/>
        </w:rPr>
        <w:t>-6</w:t>
      </w:r>
      <w:r>
        <w:t>/</w:t>
      </w:r>
      <w:r>
        <w:rPr>
          <w:rFonts w:ascii="宋体" w:hAnsi="宋体"/>
        </w:rPr>
        <w:t>年，是极小概率事件，根据项目的特点，确定本项目的最大可信事故为：</w:t>
      </w:r>
      <w:r>
        <w:rPr>
          <w:rFonts w:hint="eastAsia"/>
        </w:rPr>
        <w:t>①</w:t>
      </w:r>
      <w:r>
        <w:rPr>
          <w:rFonts w:hint="eastAsia"/>
          <w:color w:val="000000"/>
        </w:rPr>
        <w:t>甲醇储罐</w:t>
      </w:r>
      <w:r>
        <w:rPr>
          <w:rFonts w:hint="eastAsia"/>
        </w:rPr>
        <w:t>泄漏火灾次生事故；②氯化氢</w:t>
      </w:r>
      <w:r>
        <w:t>钢瓶</w:t>
      </w:r>
      <w:r>
        <w:rPr>
          <w:rFonts w:hint="eastAsia"/>
        </w:rPr>
        <w:t>泄漏事故；③氢氟酸储罐泄漏事故</w:t>
      </w:r>
      <w:r>
        <w:rPr>
          <w:lang w:val="zh-CN"/>
        </w:rPr>
        <w:t>④污水处理调节池破损</w:t>
      </w:r>
      <w:r>
        <w:rPr>
          <w:rFonts w:hint="eastAsia"/>
          <w:lang w:val="zh-CN"/>
        </w:rPr>
        <w:t>污染</w:t>
      </w:r>
      <w:r>
        <w:rPr>
          <w:rFonts w:hint="eastAsia"/>
        </w:rPr>
        <w:t>地下水事故</w:t>
      </w:r>
      <w:r>
        <w:rPr>
          <w:rFonts w:ascii="宋体" w:hAnsi="宋体"/>
        </w:rPr>
        <w:t>。</w:t>
      </w:r>
    </w:p>
    <w:p w14:paraId="5A8F96E2">
      <w:pPr>
        <w:pStyle w:val="4068"/>
      </w:pPr>
      <w:bookmarkStart w:id="341" w:name="_Toc100784068"/>
      <w:bookmarkStart w:id="342" w:name="_Toc101135900"/>
      <w:bookmarkStart w:id="343" w:name="_Toc108662677"/>
      <w:r>
        <w:rPr>
          <w:rFonts w:hint="eastAsia"/>
        </w:rPr>
        <w:t>5.6.</w:t>
      </w:r>
      <w:r>
        <w:t>6环境风险</w:t>
      </w:r>
      <w:r>
        <w:rPr>
          <w:rFonts w:hint="eastAsia"/>
        </w:rPr>
        <w:t>源项分析</w:t>
      </w:r>
      <w:bookmarkEnd w:id="341"/>
      <w:bookmarkEnd w:id="342"/>
      <w:bookmarkEnd w:id="343"/>
    </w:p>
    <w:p w14:paraId="3C9DD45C">
      <w:pPr>
        <w:pStyle w:val="349"/>
        <w:rPr>
          <w:lang w:val="zh-CN"/>
        </w:rPr>
      </w:pPr>
      <w:r>
        <w:rPr>
          <w:rFonts w:hint="eastAsia"/>
        </w:rPr>
        <w:t>5.6.</w:t>
      </w:r>
      <w:r>
        <w:t>6</w:t>
      </w:r>
      <w:r>
        <w:rPr>
          <w:rFonts w:hint="eastAsia"/>
        </w:rPr>
        <w:t>.1</w:t>
      </w:r>
      <w:r>
        <w:rPr>
          <w:rFonts w:hint="eastAsia"/>
          <w:lang w:val="zh-CN"/>
        </w:rPr>
        <w:t>甲醇储罐泄漏</w:t>
      </w:r>
      <w:r>
        <w:rPr>
          <w:rFonts w:hint="eastAsia"/>
        </w:rPr>
        <w:t>火灾次生事故</w:t>
      </w:r>
      <w:r>
        <w:rPr>
          <w:rFonts w:hint="eastAsia"/>
          <w:lang w:val="zh-CN"/>
        </w:rPr>
        <w:t>源项分析</w:t>
      </w:r>
    </w:p>
    <w:p w14:paraId="6FFA04E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（1）液体泄漏量</w:t>
      </w:r>
    </w:p>
    <w:p w14:paraId="659B8F5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根据《建设项目环境风险评价技术导则》（</w:t>
      </w:r>
      <w:r>
        <w:rPr>
          <w:color w:val="000000" w:themeColor="text1"/>
          <w14:textFill>
            <w14:solidFill>
              <w14:schemeClr w14:val="tx1"/>
            </w14:solidFill>
          </w14:textFill>
        </w:rPr>
        <w:t>HJ169</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18</w:t>
      </w:r>
      <w:r>
        <w:rPr>
          <w:rFonts w:hint="eastAsia"/>
          <w:color w:val="000000" w:themeColor="text1"/>
          <w14:textFill>
            <w14:solidFill>
              <w14:schemeClr w14:val="tx1"/>
            </w14:solidFill>
          </w14:textFill>
        </w:rPr>
        <w:t>），甲醇储罐泄漏采用附录F中液体泄漏计算模式：</w:t>
      </w:r>
    </w:p>
    <w:p w14:paraId="1BD648FC">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液体</w:t>
      </w:r>
      <w:r>
        <w:rPr>
          <w:color w:val="000000" w:themeColor="text1"/>
          <w14:textFill>
            <w14:solidFill>
              <w14:schemeClr w14:val="tx1"/>
            </w14:solidFill>
          </w14:textFill>
        </w:rPr>
        <w:t>泄漏速率Q</w:t>
      </w:r>
      <w:r>
        <w:rPr>
          <w:color w:val="000000" w:themeColor="text1"/>
          <w:vertAlign w:val="subscript"/>
          <w14:textFill>
            <w14:solidFill>
              <w14:schemeClr w14:val="tx1"/>
            </w14:solidFill>
          </w14:textFill>
        </w:rPr>
        <w:t>L</w:t>
      </w:r>
      <w:r>
        <w:rPr>
          <w:rFonts w:hint="eastAsia"/>
          <w:color w:val="000000" w:themeColor="text1"/>
          <w14:textFill>
            <w14:solidFill>
              <w14:schemeClr w14:val="tx1"/>
            </w14:solidFill>
          </w14:textFill>
        </w:rPr>
        <w:t>用</w:t>
      </w:r>
      <w:r>
        <w:rPr>
          <w:color w:val="000000" w:themeColor="text1"/>
          <w14:textFill>
            <w14:solidFill>
              <w14:schemeClr w14:val="tx1"/>
            </w14:solidFill>
          </w14:textFill>
        </w:rPr>
        <w:t>伯努利方程计算（</w:t>
      </w:r>
      <w:r>
        <w:rPr>
          <w:rFonts w:hint="eastAsia"/>
          <w:color w:val="000000" w:themeColor="text1"/>
          <w14:textFill>
            <w14:solidFill>
              <w14:schemeClr w14:val="tx1"/>
            </w14:solidFill>
          </w14:textFill>
        </w:rPr>
        <w:t>限制条件</w:t>
      </w:r>
      <w:r>
        <w:rPr>
          <w:color w:val="000000" w:themeColor="text1"/>
          <w14:textFill>
            <w14:solidFill>
              <w14:schemeClr w14:val="tx1"/>
            </w14:solidFill>
          </w14:textFill>
        </w:rPr>
        <w:t>为液体在喷口内</w:t>
      </w:r>
      <w:r>
        <w:rPr>
          <w:rFonts w:hint="eastAsia"/>
          <w:color w:val="000000" w:themeColor="text1"/>
          <w14:textFill>
            <w14:solidFill>
              <w14:schemeClr w14:val="tx1"/>
            </w14:solidFill>
          </w14:textFill>
        </w:rPr>
        <w:t>不</w:t>
      </w:r>
      <w:r>
        <w:rPr>
          <w:color w:val="000000" w:themeColor="text1"/>
          <w14:textFill>
            <w14:solidFill>
              <w14:schemeClr w14:val="tx1"/>
            </w14:solidFill>
          </w14:textFill>
        </w:rPr>
        <w:t>应有急骤喷发）</w:t>
      </w:r>
      <w:r>
        <w:rPr>
          <w:rFonts w:hint="eastAsia"/>
          <w:color w:val="000000" w:themeColor="text1"/>
          <w14:textFill>
            <w14:solidFill>
              <w14:schemeClr w14:val="tx1"/>
            </w14:solidFill>
          </w14:textFill>
        </w:rPr>
        <w:t>：</w:t>
      </w:r>
    </w:p>
    <w:p w14:paraId="06BA9942">
      <w:pPr>
        <w:ind w:firstLine="2880" w:firstLineChars="1200"/>
        <w:jc w:val="left"/>
      </w:pPr>
      <w:r>
        <w:rPr>
          <w:position w:val="-30"/>
        </w:rPr>
        <w:object>
          <v:shape id="_x0000_i1025" o:spt="75" type="#_x0000_t75" style="height:36pt;width:144pt;" o:ole="t" filled="f" o:preferrelative="t" stroked="f" coordsize="21600,21600">
            <v:path/>
            <v:fill on="f" focussize="0,0"/>
            <v:stroke on="f" joinstyle="miter"/>
            <v:imagedata r:id="rId92" o:title=""/>
            <o:lock v:ext="edit" aspectratio="t"/>
            <w10:wrap type="none"/>
            <w10:anchorlock/>
          </v:shape>
          <o:OLEObject Type="Embed" ProgID="Equation.3" ShapeID="_x0000_i1025" DrawAspect="Content" ObjectID="_1468075725" r:id="rId91">
            <o:LockedField>false</o:LockedField>
          </o:OLEObject>
        </w:object>
      </w:r>
    </w:p>
    <w:p w14:paraId="3F9624CF">
      <w:pPr>
        <w:ind w:firstLine="480"/>
      </w:pPr>
      <w:r>
        <w:t>式中：Q</w:t>
      </w:r>
      <w:r>
        <w:rPr>
          <w:vertAlign w:val="subscript"/>
        </w:rPr>
        <w:t>L</w:t>
      </w:r>
      <w:r>
        <w:t>—</w:t>
      </w:r>
      <w:r>
        <w:rPr>
          <w:rFonts w:hint="eastAsia"/>
        </w:rPr>
        <w:t>液体</w:t>
      </w:r>
      <w:r>
        <w:t>泄漏速率，kg/s；</w:t>
      </w:r>
    </w:p>
    <w:p w14:paraId="7E0EFD00">
      <w:pPr>
        <w:ind w:firstLine="1200" w:firstLineChars="500"/>
      </w:pPr>
      <w:r>
        <w:t>P—容器内介质压力，Pa；</w:t>
      </w:r>
    </w:p>
    <w:p w14:paraId="200CE71B">
      <w:pPr>
        <w:ind w:firstLine="1200" w:firstLineChars="500"/>
      </w:pPr>
      <w:r>
        <w:t>P</w:t>
      </w:r>
      <w:r>
        <w:rPr>
          <w:vertAlign w:val="subscript"/>
        </w:rPr>
        <w:t>0</w:t>
      </w:r>
      <w:r>
        <w:t>—环境压力，Pa；</w:t>
      </w:r>
    </w:p>
    <w:p w14:paraId="2A0AC543">
      <w:pPr>
        <w:ind w:firstLine="1200" w:firstLineChars="500"/>
      </w:pPr>
      <w:r>
        <w:t>ρ—液体密度，kg/m</w:t>
      </w:r>
      <w:r>
        <w:rPr>
          <w:vertAlign w:val="superscript"/>
        </w:rPr>
        <w:t>3</w:t>
      </w:r>
      <w:r>
        <w:t>；</w:t>
      </w:r>
    </w:p>
    <w:p w14:paraId="7A3E55A1">
      <w:pPr>
        <w:ind w:firstLine="1200" w:firstLineChars="500"/>
      </w:pPr>
      <w:r>
        <w:t>g—重力加速度</w:t>
      </w:r>
      <w:r>
        <w:rPr>
          <w:rFonts w:hint="eastAsia"/>
        </w:rPr>
        <w:t>，9.81</w:t>
      </w:r>
      <w:r>
        <w:t>m/s</w:t>
      </w:r>
      <w:r>
        <w:rPr>
          <w:vertAlign w:val="superscript"/>
        </w:rPr>
        <w:t>2</w:t>
      </w:r>
      <w:r>
        <w:t>；</w:t>
      </w:r>
    </w:p>
    <w:p w14:paraId="44680DD4">
      <w:pPr>
        <w:ind w:firstLine="1200" w:firstLineChars="500"/>
      </w:pPr>
      <w:r>
        <w:t>h—裂口之上液面高度，m</w:t>
      </w:r>
      <w:r>
        <w:rPr>
          <w:rFonts w:hint="eastAsia"/>
        </w:rPr>
        <w:t>；</w:t>
      </w:r>
    </w:p>
    <w:p w14:paraId="66E76018">
      <w:pPr>
        <w:ind w:firstLine="1200" w:firstLineChars="500"/>
      </w:pPr>
      <w:r>
        <w:t>Cd—</w:t>
      </w:r>
      <w:r>
        <w:rPr>
          <w:rFonts w:hint="eastAsia"/>
        </w:rPr>
        <w:t>液体泄漏</w:t>
      </w:r>
      <w:r>
        <w:t>系数；</w:t>
      </w:r>
    </w:p>
    <w:p w14:paraId="555E7001">
      <w:pPr>
        <w:ind w:firstLine="1200" w:firstLineChars="500"/>
      </w:pPr>
      <w:r>
        <w:t>A—裂口面积，m</w:t>
      </w:r>
      <w:r>
        <w:rPr>
          <w:vertAlign w:val="superscript"/>
        </w:rPr>
        <w:t>2</w:t>
      </w:r>
      <w:r>
        <w:t>；</w:t>
      </w:r>
    </w:p>
    <w:p w14:paraId="1953871B">
      <w:pPr>
        <w:ind w:firstLine="480"/>
        <w:rPr>
          <w:color w:val="000000"/>
        </w:rPr>
      </w:pPr>
      <w:r>
        <w:rPr>
          <w:rFonts w:hint="eastAsia" w:cs="Times New Roman"/>
          <w:szCs w:val="24"/>
        </w:rPr>
        <w:t>甲醇储罐泄漏点在储罐侧面，</w:t>
      </w:r>
      <w:r>
        <w:rPr>
          <w:rFonts w:cs="Times New Roman"/>
          <w:szCs w:val="24"/>
        </w:rPr>
        <w:t>泄漏</w:t>
      </w:r>
      <w:r>
        <w:rPr>
          <w:rFonts w:hint="eastAsia" w:cs="Times New Roman"/>
          <w:szCs w:val="24"/>
        </w:rPr>
        <w:t>面积等效于</w:t>
      </w:r>
      <w:r>
        <w:rPr>
          <w:rFonts w:cs="Times New Roman"/>
          <w:szCs w:val="24"/>
        </w:rPr>
        <w:t>1cm</w:t>
      </w:r>
      <w:r>
        <w:rPr>
          <w:rFonts w:cs="Times New Roman"/>
          <w:szCs w:val="24"/>
          <w:vertAlign w:val="superscript"/>
        </w:rPr>
        <w:t>2</w:t>
      </w:r>
      <w:r>
        <w:rPr>
          <w:rFonts w:hint="eastAsia" w:cs="Times New Roman"/>
          <w:szCs w:val="24"/>
        </w:rPr>
        <w:t>的圆，容器内介质压力</w:t>
      </w:r>
      <w:r>
        <w:rPr>
          <w:rFonts w:cs="Times New Roman"/>
          <w:szCs w:val="24"/>
        </w:rPr>
        <w:t>0.15Mpa</w:t>
      </w:r>
      <w:r>
        <w:rPr>
          <w:rFonts w:hint="eastAsia" w:cs="Times New Roman"/>
          <w:szCs w:val="24"/>
        </w:rPr>
        <w:t>，环境压力定为1</w:t>
      </w:r>
      <w:r>
        <w:rPr>
          <w:rFonts w:cs="Times New Roman"/>
          <w:szCs w:val="24"/>
        </w:rPr>
        <w:t>01325</w:t>
      </w:r>
      <w:r>
        <w:rPr>
          <w:rFonts w:hint="eastAsia" w:cs="Times New Roman"/>
          <w:szCs w:val="24"/>
        </w:rPr>
        <w:t>pa，甲醇密度以</w:t>
      </w:r>
      <w:r>
        <w:rPr>
          <w:rFonts w:cs="Times New Roman"/>
          <w:szCs w:val="24"/>
        </w:rPr>
        <w:t>786.5992</w:t>
      </w:r>
      <w:r>
        <w:rPr>
          <w:rFonts w:hint="eastAsia" w:cs="Times New Roman"/>
          <w:szCs w:val="24"/>
        </w:rPr>
        <w:t>kg</w:t>
      </w:r>
      <w:r>
        <w:rPr>
          <w:rFonts w:cs="Times New Roman"/>
          <w:szCs w:val="24"/>
        </w:rPr>
        <w:t>/m</w:t>
      </w:r>
      <w:r>
        <w:rPr>
          <w:rFonts w:cs="Times New Roman"/>
          <w:szCs w:val="24"/>
          <w:vertAlign w:val="superscript"/>
        </w:rPr>
        <w:t>3</w:t>
      </w:r>
      <w:r>
        <w:rPr>
          <w:rFonts w:hint="eastAsia" w:cs="Times New Roman"/>
          <w:szCs w:val="24"/>
        </w:rPr>
        <w:t>计，裂口之上液位高度以</w:t>
      </w:r>
      <w:r>
        <w:rPr>
          <w:rFonts w:cs="Times New Roman"/>
          <w:szCs w:val="24"/>
        </w:rPr>
        <w:t>3m</w:t>
      </w:r>
      <w:r>
        <w:rPr>
          <w:rFonts w:hint="eastAsia" w:cs="Times New Roman"/>
          <w:szCs w:val="24"/>
        </w:rPr>
        <w:t>计，Cd选取0</w:t>
      </w:r>
      <w:r>
        <w:rPr>
          <w:rFonts w:cs="Times New Roman"/>
          <w:szCs w:val="24"/>
        </w:rPr>
        <w:t>.65</w:t>
      </w:r>
      <w:r>
        <w:rPr>
          <w:rFonts w:hint="eastAsia" w:cs="Times New Roman"/>
          <w:szCs w:val="24"/>
        </w:rPr>
        <w:t>（甲醇雷诺数Re＞1</w:t>
      </w:r>
      <w:r>
        <w:rPr>
          <w:rFonts w:cs="Times New Roman"/>
          <w:szCs w:val="24"/>
        </w:rPr>
        <w:t>00</w:t>
      </w:r>
      <w:r>
        <w:rPr>
          <w:rFonts w:hint="eastAsia" w:cs="Times New Roman"/>
          <w:szCs w:val="24"/>
        </w:rPr>
        <w:t>）。则计算出甲醇泄漏速率为Q</w:t>
      </w:r>
      <w:r>
        <w:rPr>
          <w:rFonts w:cs="Times New Roman"/>
          <w:szCs w:val="24"/>
          <w:vertAlign w:val="subscript"/>
        </w:rPr>
        <w:t>L</w:t>
      </w:r>
      <w:r>
        <w:rPr>
          <w:rFonts w:hint="eastAsia" w:cs="Times New Roman"/>
          <w:szCs w:val="24"/>
        </w:rPr>
        <w:t>为</w:t>
      </w:r>
      <w:r>
        <w:rPr>
          <w:rFonts w:cs="Times New Roman"/>
          <w:szCs w:val="24"/>
        </w:rPr>
        <w:t>0.659</w:t>
      </w:r>
      <w:r>
        <w:rPr>
          <w:rFonts w:hint="eastAsia" w:cs="Times New Roman"/>
          <w:szCs w:val="24"/>
        </w:rPr>
        <w:t>kg</w:t>
      </w:r>
      <w:r>
        <w:rPr>
          <w:rFonts w:cs="Times New Roman"/>
          <w:szCs w:val="24"/>
        </w:rPr>
        <w:t>/s</w:t>
      </w:r>
      <w:r>
        <w:rPr>
          <w:rFonts w:hint="eastAsia" w:cs="Times New Roman"/>
          <w:szCs w:val="24"/>
        </w:rPr>
        <w:t>，</w:t>
      </w:r>
      <w:r>
        <w:rPr>
          <w:rFonts w:cs="Times New Roman"/>
          <w:szCs w:val="24"/>
        </w:rPr>
        <w:t>泄漏</w:t>
      </w:r>
      <w:r>
        <w:rPr>
          <w:rFonts w:hint="eastAsia" w:cs="Times New Roman"/>
          <w:szCs w:val="24"/>
        </w:rPr>
        <w:t>时间设定</w:t>
      </w:r>
      <w:r>
        <w:rPr>
          <w:rFonts w:cs="Times New Roman"/>
          <w:szCs w:val="24"/>
        </w:rPr>
        <w:t>为10min</w:t>
      </w:r>
      <w:r>
        <w:rPr>
          <w:rFonts w:hint="eastAsia" w:cs="Times New Roman"/>
          <w:szCs w:val="24"/>
        </w:rPr>
        <w:t>，则甲醇</w:t>
      </w:r>
      <w:r>
        <w:rPr>
          <w:rFonts w:cs="Times New Roman"/>
          <w:szCs w:val="24"/>
        </w:rPr>
        <w:t>泄漏量为0.3954t</w:t>
      </w:r>
      <w:r>
        <w:rPr>
          <w:rFonts w:hint="eastAsia" w:cs="Times New Roman"/>
          <w:szCs w:val="24"/>
        </w:rPr>
        <w:t>。</w:t>
      </w:r>
    </w:p>
    <w:p w14:paraId="1102B832">
      <w:pPr>
        <w:ind w:firstLine="480"/>
      </w:pPr>
      <w:r>
        <w:rPr>
          <w:rFonts w:hint="eastAsia"/>
        </w:rPr>
        <w:t>（2）液体泄漏</w:t>
      </w:r>
      <w:r>
        <w:t>火灾次生</w:t>
      </w:r>
      <w:r>
        <w:rPr>
          <w:rFonts w:hint="eastAsia"/>
        </w:rPr>
        <w:t>源强</w:t>
      </w:r>
    </w:p>
    <w:p w14:paraId="592B36CE">
      <w:pPr>
        <w:ind w:firstLine="480"/>
        <w:rPr>
          <w:rFonts w:cs="Times New Roman"/>
          <w:szCs w:val="24"/>
        </w:rPr>
      </w:pPr>
      <w:r>
        <w:rPr>
          <w:rFonts w:hint="eastAsia"/>
        </w:rPr>
        <w:t>依据《建设项目环境风险评价技术导则》（</w:t>
      </w:r>
      <w:r>
        <w:t>HJ169</w:t>
      </w:r>
      <w:r>
        <w:rPr>
          <w:rFonts w:hint="eastAsia"/>
        </w:rPr>
        <w:t>-20</w:t>
      </w:r>
      <w:r>
        <w:t>18</w:t>
      </w:r>
      <w:r>
        <w:rPr>
          <w:rFonts w:hint="eastAsia"/>
        </w:rPr>
        <w:t>）附录F.</w:t>
      </w:r>
      <w:r>
        <w:t>3</w:t>
      </w:r>
      <w:r>
        <w:rPr>
          <w:rFonts w:hint="eastAsia"/>
        </w:rPr>
        <w:t>，</w:t>
      </w:r>
      <w:r>
        <w:rPr>
          <w:rFonts w:hint="eastAsia" w:cs="Times New Roman"/>
          <w:szCs w:val="24"/>
        </w:rPr>
        <w:t>火灾伴生</w:t>
      </w:r>
      <w:r>
        <w:rPr>
          <w:rFonts w:cs="Times New Roman"/>
          <w:szCs w:val="24"/>
        </w:rPr>
        <w:t>/</w:t>
      </w:r>
      <w:r>
        <w:rPr>
          <w:rFonts w:hint="eastAsia" w:cs="Times New Roman"/>
          <w:szCs w:val="24"/>
        </w:rPr>
        <w:t>次生</w:t>
      </w:r>
      <w:r>
        <w:rPr>
          <w:rFonts w:cs="Times New Roman"/>
          <w:szCs w:val="24"/>
        </w:rPr>
        <w:t>CO</w:t>
      </w:r>
      <w:r>
        <w:rPr>
          <w:rFonts w:hint="eastAsia" w:cs="Times New Roman"/>
          <w:szCs w:val="24"/>
        </w:rPr>
        <w:t>产生量以公式</w:t>
      </w:r>
      <w:r>
        <w:rPr>
          <w:rFonts w:cs="Times New Roman"/>
          <w:szCs w:val="24"/>
        </w:rPr>
        <w:t>2</w:t>
      </w:r>
      <w:r>
        <w:rPr>
          <w:rFonts w:hint="eastAsia" w:cs="Times New Roman"/>
          <w:szCs w:val="24"/>
        </w:rPr>
        <w:t>计算：</w:t>
      </w:r>
    </w:p>
    <w:p w14:paraId="69E2521A">
      <w:pPr>
        <w:ind w:firstLine="0" w:firstLineChars="0"/>
        <w:jc w:val="center"/>
        <w:rPr>
          <w:rFonts w:cs="Times New Roman"/>
          <w:szCs w:val="24"/>
        </w:rPr>
      </w:pPr>
      <w:r>
        <w:rPr>
          <w:rFonts w:cs="Times New Roman"/>
          <w:szCs w:val="24"/>
        </w:rPr>
        <w:t>G</w:t>
      </w:r>
      <w:r>
        <w:rPr>
          <w:rFonts w:hint="eastAsia" w:cs="Times New Roman"/>
          <w:szCs w:val="24"/>
          <w:vertAlign w:val="subscript"/>
        </w:rPr>
        <w:t>一氧化碳</w:t>
      </w:r>
      <w:r>
        <w:rPr>
          <w:rFonts w:cs="Times New Roman"/>
          <w:szCs w:val="24"/>
        </w:rPr>
        <w:t xml:space="preserve">=2330qCQ                 </w:t>
      </w:r>
      <w:r>
        <w:rPr>
          <w:rFonts w:hint="eastAsia" w:cs="Times New Roman"/>
          <w:szCs w:val="24"/>
        </w:rPr>
        <w:t>公式</w:t>
      </w:r>
      <w:r>
        <w:rPr>
          <w:rFonts w:cs="Times New Roman"/>
          <w:szCs w:val="24"/>
        </w:rPr>
        <w:t>2</w:t>
      </w:r>
    </w:p>
    <w:p w14:paraId="2A74A469">
      <w:pPr>
        <w:ind w:firstLine="480"/>
      </w:pPr>
      <w:r>
        <w:rPr>
          <w:rFonts w:hint="eastAsia"/>
        </w:rPr>
        <w:t>式中：</w:t>
      </w:r>
      <w:r>
        <w:t>G</w:t>
      </w:r>
      <w:r>
        <w:rPr>
          <w:rFonts w:hint="eastAsia"/>
          <w:vertAlign w:val="subscript"/>
        </w:rPr>
        <w:t>一氧化碳</w:t>
      </w:r>
      <w:r>
        <w:t>——</w:t>
      </w:r>
      <w:r>
        <w:rPr>
          <w:rFonts w:hint="eastAsia"/>
        </w:rPr>
        <w:t>一氧化碳的产生量，kg</w:t>
      </w:r>
      <w:r>
        <w:t>/s</w:t>
      </w:r>
      <w:r>
        <w:rPr>
          <w:rFonts w:hint="eastAsia"/>
        </w:rPr>
        <w:t>；</w:t>
      </w:r>
    </w:p>
    <w:p w14:paraId="57D41860">
      <w:pPr>
        <w:ind w:firstLine="1200" w:firstLineChars="500"/>
      </w:pPr>
      <w:r>
        <w:t>C——</w:t>
      </w:r>
      <w:r>
        <w:rPr>
          <w:rFonts w:hint="eastAsia"/>
        </w:rPr>
        <w:t>物质中碳的含量，%；</w:t>
      </w:r>
    </w:p>
    <w:p w14:paraId="7EB7F89B">
      <w:pPr>
        <w:ind w:firstLine="1200" w:firstLineChars="500"/>
      </w:pPr>
      <w:r>
        <w:t>q——</w:t>
      </w:r>
      <w:r>
        <w:rPr>
          <w:rFonts w:hint="eastAsia"/>
        </w:rPr>
        <w:t>化学不完全燃烧值，取</w:t>
      </w:r>
      <w:r>
        <w:t>1.5</w:t>
      </w:r>
      <w:r>
        <w:rPr>
          <w:rFonts w:hint="eastAsia"/>
        </w:rPr>
        <w:t>%</w:t>
      </w:r>
      <w:r>
        <w:t>~6.0%</w:t>
      </w:r>
      <w:r>
        <w:rPr>
          <w:rFonts w:hint="eastAsia"/>
        </w:rPr>
        <w:t>；</w:t>
      </w:r>
    </w:p>
    <w:p w14:paraId="72C95B6D">
      <w:pPr>
        <w:ind w:firstLine="1200" w:firstLineChars="500"/>
      </w:pPr>
      <w:r>
        <w:rPr>
          <w:rFonts w:hint="eastAsia"/>
        </w:rPr>
        <w:t>Q</w:t>
      </w:r>
      <w:r>
        <w:t>——</w:t>
      </w:r>
      <w:r>
        <w:rPr>
          <w:rFonts w:hint="eastAsia"/>
        </w:rPr>
        <w:t>参与燃烧的物质量，t</w:t>
      </w:r>
      <w:r>
        <w:t>/s</w:t>
      </w:r>
      <w:r>
        <w:rPr>
          <w:rFonts w:hint="eastAsia"/>
        </w:rPr>
        <w:t>。</w:t>
      </w:r>
    </w:p>
    <w:p w14:paraId="23176C6E">
      <w:pPr>
        <w:ind w:firstLine="480"/>
      </w:pPr>
      <w:r>
        <w:rPr>
          <w:rFonts w:cs="Times New Roman"/>
        </w:rPr>
        <w:t>甲醇碳量为37.5%，化学不完全燃烧值取4.0%</w:t>
      </w:r>
      <w:r>
        <w:rPr>
          <w:rFonts w:hint="eastAsia" w:cs="Times New Roman"/>
        </w:rPr>
        <w:t>，根据</w:t>
      </w:r>
      <w:r>
        <w:rPr>
          <w:rFonts w:cs="Times New Roman"/>
        </w:rPr>
        <w:t>计算可得G</w:t>
      </w:r>
      <w:r>
        <w:rPr>
          <w:rFonts w:hint="eastAsia"/>
          <w:vertAlign w:val="subscript"/>
        </w:rPr>
        <w:t>一氧化碳</w:t>
      </w:r>
      <w:r>
        <w:rPr>
          <w:rFonts w:hint="eastAsia"/>
        </w:rPr>
        <w:t>=</w:t>
      </w:r>
      <w:r>
        <w:t>0.023</w:t>
      </w:r>
      <w:r>
        <w:rPr>
          <w:rFonts w:hint="eastAsia"/>
        </w:rPr>
        <w:t xml:space="preserve"> kg</w:t>
      </w:r>
      <w:r>
        <w:t>/s</w:t>
      </w:r>
      <w:r>
        <w:rPr>
          <w:rFonts w:hint="eastAsia"/>
        </w:rPr>
        <w:t>。</w:t>
      </w:r>
    </w:p>
    <w:p w14:paraId="64341540">
      <w:pPr>
        <w:ind w:firstLine="480"/>
        <w:rPr>
          <w:szCs w:val="24"/>
        </w:rPr>
      </w:pPr>
      <w:r>
        <w:rPr>
          <w:rFonts w:hint="eastAsia"/>
        </w:rPr>
        <w:t>根据污染物气体性质，采用理查德森数判断，确定</w:t>
      </w:r>
      <w:r>
        <w:rPr>
          <w:szCs w:val="24"/>
        </w:rPr>
        <w:t>CO</w:t>
      </w:r>
      <w:r>
        <w:rPr>
          <w:rFonts w:hint="eastAsia"/>
          <w:szCs w:val="24"/>
        </w:rPr>
        <w:t>计算用A</w:t>
      </w:r>
      <w:r>
        <w:rPr>
          <w:szCs w:val="24"/>
        </w:rPr>
        <w:t>FTOX</w:t>
      </w:r>
      <w:r>
        <w:rPr>
          <w:rFonts w:hint="eastAsia"/>
          <w:szCs w:val="24"/>
        </w:rPr>
        <w:t>模型。</w:t>
      </w:r>
    </w:p>
    <w:p w14:paraId="3D2016F6">
      <w:pPr>
        <w:pStyle w:val="278"/>
      </w:pPr>
      <w:r>
        <w:rPr>
          <w:rFonts w:hint="eastAsia"/>
        </w:rPr>
        <w:t>表5.6.</w:t>
      </w:r>
      <w:r>
        <w:t>6-1</w:t>
      </w:r>
      <w:r>
        <w:rPr>
          <w:rFonts w:hint="eastAsia"/>
        </w:rPr>
        <w:t xml:space="preserve"> </w:t>
      </w:r>
      <w:r>
        <w:t xml:space="preserve"> </w:t>
      </w:r>
      <w:r>
        <w:rPr>
          <w:rFonts w:hint="eastAsia"/>
        </w:rPr>
        <w:t>有毒有害物质终点浓度</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48"/>
        <w:gridCol w:w="3475"/>
        <w:gridCol w:w="3720"/>
      </w:tblGrid>
      <w:tr w14:paraId="14010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tcPr>
          <w:p w14:paraId="131DA5A0">
            <w:pPr>
              <w:widowControl/>
              <w:spacing w:line="360" w:lineRule="exact"/>
              <w:ind w:firstLine="0" w:firstLineChars="0"/>
              <w:jc w:val="center"/>
              <w:rPr>
                <w:rFonts w:cs="Times New Roman"/>
                <w:kern w:val="0"/>
                <w:sz w:val="18"/>
                <w:szCs w:val="20"/>
              </w:rPr>
            </w:pPr>
            <w:r>
              <w:rPr>
                <w:rFonts w:hint="eastAsia" w:cs="Times New Roman"/>
                <w:kern w:val="0"/>
                <w:sz w:val="18"/>
                <w:szCs w:val="20"/>
              </w:rPr>
              <w:t>物质名称</w:t>
            </w:r>
          </w:p>
        </w:tc>
        <w:tc>
          <w:tcPr>
            <w:tcW w:w="1880" w:type="pct"/>
          </w:tcPr>
          <w:p w14:paraId="73679ED3">
            <w:pPr>
              <w:widowControl/>
              <w:spacing w:line="360" w:lineRule="exact"/>
              <w:ind w:firstLine="0" w:firstLineChars="0"/>
              <w:jc w:val="center"/>
              <w:rPr>
                <w:rFonts w:cs="Times New Roman"/>
                <w:kern w:val="0"/>
                <w:sz w:val="18"/>
                <w:szCs w:val="20"/>
              </w:rPr>
            </w:pPr>
            <w:r>
              <w:rPr>
                <w:rFonts w:hint="eastAsia" w:cs="Times New Roman"/>
                <w:kern w:val="0"/>
                <w:sz w:val="18"/>
                <w:szCs w:val="20"/>
              </w:rPr>
              <w:t>毒性终点浓度-</w:t>
            </w:r>
            <w:r>
              <w:rPr>
                <w:rFonts w:cs="Times New Roman"/>
                <w:kern w:val="0"/>
                <w:sz w:val="18"/>
                <w:szCs w:val="20"/>
              </w:rPr>
              <w:t>1</w:t>
            </w:r>
            <w:r>
              <w:rPr>
                <w:rFonts w:hint="eastAsia" w:cs="Times New Roman"/>
                <w:kern w:val="0"/>
                <w:sz w:val="18"/>
                <w:szCs w:val="20"/>
              </w:rPr>
              <w:t>（m</w:t>
            </w:r>
            <w:r>
              <w:rPr>
                <w:rFonts w:cs="Times New Roman"/>
                <w:kern w:val="0"/>
                <w:sz w:val="18"/>
                <w:szCs w:val="20"/>
              </w:rPr>
              <w:t>g/m</w:t>
            </w:r>
            <w:r>
              <w:rPr>
                <w:rFonts w:cs="Times New Roman"/>
                <w:kern w:val="0"/>
                <w:sz w:val="18"/>
                <w:szCs w:val="20"/>
                <w:vertAlign w:val="superscript"/>
              </w:rPr>
              <w:t>3</w:t>
            </w:r>
            <w:r>
              <w:rPr>
                <w:rFonts w:hint="eastAsia" w:cs="Times New Roman"/>
                <w:kern w:val="0"/>
                <w:sz w:val="18"/>
                <w:szCs w:val="20"/>
              </w:rPr>
              <w:t>）</w:t>
            </w:r>
          </w:p>
        </w:tc>
        <w:tc>
          <w:tcPr>
            <w:tcW w:w="2012" w:type="pct"/>
          </w:tcPr>
          <w:p w14:paraId="6944EB3A">
            <w:pPr>
              <w:widowControl/>
              <w:spacing w:line="360" w:lineRule="exact"/>
              <w:ind w:firstLine="0" w:firstLineChars="0"/>
              <w:jc w:val="center"/>
              <w:rPr>
                <w:rFonts w:cs="Times New Roman"/>
                <w:kern w:val="0"/>
                <w:sz w:val="18"/>
                <w:szCs w:val="20"/>
              </w:rPr>
            </w:pPr>
            <w:r>
              <w:rPr>
                <w:rFonts w:hint="eastAsia" w:cs="Times New Roman"/>
                <w:kern w:val="0"/>
                <w:sz w:val="18"/>
                <w:szCs w:val="20"/>
              </w:rPr>
              <w:t>毒性终点浓度-</w:t>
            </w:r>
            <w:r>
              <w:rPr>
                <w:rFonts w:cs="Times New Roman"/>
                <w:kern w:val="0"/>
                <w:sz w:val="18"/>
                <w:szCs w:val="20"/>
              </w:rPr>
              <w:t>2</w:t>
            </w:r>
            <w:r>
              <w:rPr>
                <w:rFonts w:hint="eastAsia" w:cs="Times New Roman"/>
                <w:kern w:val="0"/>
                <w:sz w:val="18"/>
                <w:szCs w:val="20"/>
              </w:rPr>
              <w:t>（m</w:t>
            </w:r>
            <w:r>
              <w:rPr>
                <w:rFonts w:cs="Times New Roman"/>
                <w:kern w:val="0"/>
                <w:sz w:val="18"/>
                <w:szCs w:val="20"/>
              </w:rPr>
              <w:t>g/m</w:t>
            </w:r>
            <w:r>
              <w:rPr>
                <w:rFonts w:cs="Times New Roman"/>
                <w:kern w:val="0"/>
                <w:sz w:val="18"/>
                <w:szCs w:val="20"/>
                <w:vertAlign w:val="superscript"/>
              </w:rPr>
              <w:t>3</w:t>
            </w:r>
            <w:r>
              <w:rPr>
                <w:rFonts w:hint="eastAsia" w:cs="Times New Roman"/>
                <w:kern w:val="0"/>
                <w:sz w:val="18"/>
                <w:szCs w:val="20"/>
              </w:rPr>
              <w:t>）</w:t>
            </w:r>
          </w:p>
        </w:tc>
      </w:tr>
      <w:tr w14:paraId="37AFB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tcPr>
          <w:p w14:paraId="05F17517">
            <w:pPr>
              <w:widowControl/>
              <w:spacing w:line="360" w:lineRule="exact"/>
              <w:ind w:firstLine="0" w:firstLineChars="0"/>
              <w:jc w:val="center"/>
              <w:rPr>
                <w:rFonts w:cs="Times New Roman"/>
                <w:kern w:val="0"/>
                <w:sz w:val="18"/>
                <w:szCs w:val="20"/>
              </w:rPr>
            </w:pPr>
            <w:r>
              <w:rPr>
                <w:rFonts w:cs="Times New Roman"/>
                <w:kern w:val="0"/>
                <w:sz w:val="18"/>
                <w:szCs w:val="20"/>
              </w:rPr>
              <w:t>CO</w:t>
            </w:r>
          </w:p>
        </w:tc>
        <w:tc>
          <w:tcPr>
            <w:tcW w:w="1880" w:type="pct"/>
          </w:tcPr>
          <w:p w14:paraId="1B25B06D">
            <w:pPr>
              <w:widowControl/>
              <w:spacing w:line="360" w:lineRule="exact"/>
              <w:ind w:firstLine="0" w:firstLineChars="0"/>
              <w:jc w:val="center"/>
              <w:rPr>
                <w:rFonts w:cs="Times New Roman"/>
                <w:kern w:val="0"/>
                <w:sz w:val="18"/>
                <w:szCs w:val="20"/>
              </w:rPr>
            </w:pPr>
            <w:r>
              <w:rPr>
                <w:rFonts w:hint="eastAsia" w:cs="Times New Roman"/>
                <w:kern w:val="0"/>
                <w:sz w:val="18"/>
                <w:szCs w:val="20"/>
              </w:rPr>
              <w:t>3</w:t>
            </w:r>
            <w:r>
              <w:rPr>
                <w:rFonts w:cs="Times New Roman"/>
                <w:kern w:val="0"/>
                <w:sz w:val="18"/>
                <w:szCs w:val="20"/>
              </w:rPr>
              <w:t>80</w:t>
            </w:r>
          </w:p>
        </w:tc>
        <w:tc>
          <w:tcPr>
            <w:tcW w:w="2012" w:type="pct"/>
          </w:tcPr>
          <w:p w14:paraId="0FEDFA80">
            <w:pPr>
              <w:widowControl/>
              <w:spacing w:line="360" w:lineRule="exact"/>
              <w:ind w:firstLine="0" w:firstLineChars="0"/>
              <w:jc w:val="center"/>
              <w:rPr>
                <w:rFonts w:cs="Times New Roman"/>
                <w:kern w:val="0"/>
                <w:sz w:val="18"/>
                <w:szCs w:val="20"/>
              </w:rPr>
            </w:pPr>
            <w:r>
              <w:rPr>
                <w:rFonts w:hint="eastAsia" w:cs="Times New Roman"/>
                <w:kern w:val="0"/>
                <w:sz w:val="18"/>
                <w:szCs w:val="20"/>
              </w:rPr>
              <w:t>9</w:t>
            </w:r>
            <w:r>
              <w:rPr>
                <w:rFonts w:cs="Times New Roman"/>
                <w:kern w:val="0"/>
                <w:sz w:val="18"/>
                <w:szCs w:val="20"/>
              </w:rPr>
              <w:t>5</w:t>
            </w:r>
          </w:p>
        </w:tc>
      </w:tr>
    </w:tbl>
    <w:p w14:paraId="09A042EC">
      <w:pPr>
        <w:pStyle w:val="349"/>
      </w:pPr>
      <w:r>
        <w:rPr>
          <w:rFonts w:hint="eastAsia"/>
        </w:rPr>
        <w:t>5.6.6.2氯化氢钢瓶</w:t>
      </w:r>
      <w:r>
        <w:t>泄漏事故</w:t>
      </w:r>
    </w:p>
    <w:p w14:paraId="7297CFC3">
      <w:pPr>
        <w:spacing w:line="500" w:lineRule="exact"/>
        <w:ind w:firstLine="480"/>
        <w:rPr>
          <w:rFonts w:cs="Times New Roman"/>
          <w:szCs w:val="24"/>
        </w:rPr>
      </w:pPr>
      <w:r>
        <w:rPr>
          <w:rFonts w:hint="eastAsia" w:cs="Times New Roman"/>
          <w:szCs w:val="24"/>
        </w:rPr>
        <w:t>氯化氢泄漏气体速率计算公式，具体如下：</w:t>
      </w:r>
    </w:p>
    <w:p w14:paraId="56843CE5">
      <w:pPr>
        <w:spacing w:line="500" w:lineRule="exact"/>
        <w:ind w:firstLine="480"/>
        <w:rPr>
          <w:rFonts w:cs="Times New Roman"/>
          <w:szCs w:val="24"/>
        </w:rPr>
      </w:pPr>
      <w:r>
        <w:rPr>
          <w:rFonts w:hint="eastAsia" w:cs="Times New Roman"/>
          <w:szCs w:val="24"/>
        </w:rPr>
        <w:t>当气体流速在音速范围（临界流）：</w:t>
      </w:r>
    </w:p>
    <w:p w14:paraId="2A210485">
      <w:pPr>
        <w:spacing w:line="300" w:lineRule="auto"/>
        <w:ind w:firstLine="480"/>
        <w:jc w:val="left"/>
        <w:rPr>
          <w:rFonts w:cs="宋体"/>
          <w:szCs w:val="24"/>
        </w:rPr>
      </w:pPr>
      <w:r>
        <w:rPr>
          <w:rFonts w:cs="Times New Roman"/>
          <w:szCs w:val="24"/>
        </w:rPr>
        <w:pict>
          <v:shape id="Picture 25" o:spid="_x0000_s1071" o:spt="75" type="#_x0000_t75" style="position:absolute;left:0pt;margin-left:170pt;margin-top:5.5pt;height:41pt;width:82pt;z-index:251661312;mso-width-relative:page;mso-height-relative:page;" o:ole="t" filled="f" o:preferrelative="t" stroked="f" coordsize="21600,21600">
            <v:path/>
            <v:fill on="f" focussize="0,0"/>
            <v:stroke on="f" joinstyle="miter"/>
            <v:imagedata r:id="rId94" o:title=""/>
            <o:lock v:ext="edit" aspectratio="t"/>
          </v:shape>
          <o:OLEObject Type="Embed" ProgID="Equation.3" ShapeID="Picture 25" DrawAspect="Content" ObjectID="_1468075726" r:id="rId93">
            <o:LockedField>false</o:LockedField>
          </o:OLEObject>
        </w:pict>
      </w:r>
    </w:p>
    <w:p w14:paraId="4FB7284C">
      <w:pPr>
        <w:autoSpaceDE w:val="0"/>
        <w:autoSpaceDN w:val="0"/>
        <w:spacing w:line="300" w:lineRule="auto"/>
        <w:ind w:firstLine="480"/>
        <w:jc w:val="left"/>
        <w:rPr>
          <w:rFonts w:cs="Times New Roman"/>
          <w:szCs w:val="24"/>
        </w:rPr>
      </w:pPr>
    </w:p>
    <w:p w14:paraId="4091DE7A">
      <w:pPr>
        <w:autoSpaceDE w:val="0"/>
        <w:autoSpaceDN w:val="0"/>
        <w:spacing w:line="300" w:lineRule="auto"/>
        <w:ind w:firstLine="480"/>
        <w:jc w:val="left"/>
        <w:rPr>
          <w:rFonts w:cs="Times New Roman"/>
          <w:szCs w:val="24"/>
        </w:rPr>
      </w:pPr>
      <w:r>
        <w:rPr>
          <w:rFonts w:cs="Times New Roman"/>
          <w:szCs w:val="24"/>
        </w:rPr>
        <w:t xml:space="preserve">                                                              </w:t>
      </w:r>
    </w:p>
    <w:p w14:paraId="3710B341">
      <w:pPr>
        <w:spacing w:line="500" w:lineRule="exact"/>
        <w:ind w:firstLine="480"/>
        <w:rPr>
          <w:rFonts w:cs="Times New Roman"/>
          <w:szCs w:val="24"/>
        </w:rPr>
      </w:pPr>
      <w:r>
        <w:rPr>
          <w:rFonts w:hint="eastAsia" w:cs="Times New Roman"/>
          <w:szCs w:val="24"/>
        </w:rPr>
        <w:t>当气体流速在亚音速范围</w:t>
      </w:r>
      <w:r>
        <w:rPr>
          <w:rFonts w:cs="Times New Roman"/>
          <w:szCs w:val="24"/>
        </w:rPr>
        <w:t>(</w:t>
      </w:r>
      <w:r>
        <w:rPr>
          <w:rFonts w:hint="eastAsia" w:cs="Times New Roman"/>
          <w:szCs w:val="24"/>
        </w:rPr>
        <w:t>次临界流</w:t>
      </w:r>
      <w:r>
        <w:rPr>
          <w:rFonts w:cs="Times New Roman"/>
          <w:szCs w:val="24"/>
        </w:rPr>
        <w:t>)</w:t>
      </w:r>
      <w:r>
        <w:rPr>
          <w:rFonts w:hint="eastAsia" w:cs="Times New Roman"/>
          <w:szCs w:val="24"/>
        </w:rPr>
        <w:t>：</w:t>
      </w:r>
    </w:p>
    <w:p w14:paraId="16B9A2A7">
      <w:pPr>
        <w:autoSpaceDE w:val="0"/>
        <w:autoSpaceDN w:val="0"/>
        <w:spacing w:line="300" w:lineRule="auto"/>
        <w:ind w:firstLine="480"/>
        <w:jc w:val="left"/>
        <w:rPr>
          <w:rFonts w:cs="Times New Roman"/>
          <w:szCs w:val="24"/>
        </w:rPr>
      </w:pPr>
      <w:r>
        <w:rPr>
          <w:rFonts w:cs="Times New Roman"/>
          <w:szCs w:val="24"/>
        </w:rPr>
        <w:pict>
          <v:shape id="Picture 26" o:spid="_x0000_s1072" o:spt="75" type="#_x0000_t75" style="position:absolute;left:0pt;margin-left:174pt;margin-top:1pt;height:41pt;width:78pt;z-index:251662336;mso-width-relative:page;mso-height-relative:page;" o:ole="t" filled="f" o:preferrelative="t" stroked="f" coordsize="21600,21600">
            <v:path/>
            <v:fill on="f" focussize="0,0"/>
            <v:stroke on="f" joinstyle="miter"/>
            <v:imagedata r:id="rId96" o:title=""/>
            <o:lock v:ext="edit" aspectratio="t"/>
          </v:shape>
          <o:OLEObject Type="Embed" ProgID="Equation.3" ShapeID="Picture 26" DrawAspect="Content" ObjectID="_1468075727" r:id="rId95">
            <o:LockedField>false</o:LockedField>
          </o:OLEObject>
        </w:pict>
      </w:r>
    </w:p>
    <w:p w14:paraId="6AA19291">
      <w:pPr>
        <w:spacing w:line="500" w:lineRule="exact"/>
        <w:ind w:firstLine="480"/>
        <w:rPr>
          <w:rFonts w:cs="Times New Roman"/>
          <w:szCs w:val="24"/>
        </w:rPr>
      </w:pPr>
      <w:r>
        <w:rPr>
          <w:rFonts w:cs="Times New Roman"/>
          <w:szCs w:val="24"/>
        </w:rPr>
        <w:pict>
          <v:shape id="Picture 27" o:spid="_x0000_s1073" o:spt="75" type="#_x0000_t75" style="position:absolute;left:0pt;margin-left:0pt;margin-top:0pt;height:17pt;width:9pt;mso-wrap-distance-bottom:0pt;mso-wrap-distance-top:0pt;z-index:251663360;mso-width-relative:page;mso-height-relative:page;" o:ole="t" filled="f" o:preferrelative="t" stroked="f" coordsize="21600,21600" o:allowincell="f">
            <v:path/>
            <v:fill on="f" focussize="0,0"/>
            <v:stroke on="f" joinstyle="miter"/>
            <v:imagedata r:id="rId98" o:title=""/>
            <o:lock v:ext="edit" aspectratio="t"/>
            <w10:wrap type="topAndBottom"/>
          </v:shape>
          <o:OLEObject Type="Embed" ProgID="Equation.3" ShapeID="Picture 27" DrawAspect="Content" ObjectID="_1468075728" r:id="rId97">
            <o:LockedField>false</o:LockedField>
          </o:OLEObject>
        </w:pict>
      </w:r>
      <w:r>
        <w:rPr>
          <w:rFonts w:hint="eastAsia" w:cs="Times New Roman"/>
          <w:szCs w:val="24"/>
        </w:rPr>
        <w:t>式中：</w:t>
      </w:r>
      <w:r>
        <w:rPr>
          <w:rFonts w:cs="Times New Roman"/>
          <w:szCs w:val="24"/>
        </w:rPr>
        <w:t>P</w:t>
      </w:r>
      <w:r>
        <w:rPr>
          <w:rFonts w:cs="Times New Roman"/>
          <w:szCs w:val="24"/>
          <w:vertAlign w:val="subscript"/>
        </w:rPr>
        <w:t>0</w:t>
      </w:r>
      <w:r>
        <w:rPr>
          <w:rFonts w:hint="eastAsia" w:cs="Times New Roman"/>
          <w:szCs w:val="24"/>
        </w:rPr>
        <w:t>—环境压力，</w:t>
      </w:r>
      <w:r>
        <w:rPr>
          <w:rFonts w:cs="Times New Roman"/>
          <w:szCs w:val="24"/>
        </w:rPr>
        <w:t>Pa</w:t>
      </w:r>
      <w:r>
        <w:rPr>
          <w:rFonts w:hint="eastAsia" w:cs="Times New Roman"/>
          <w:szCs w:val="24"/>
        </w:rPr>
        <w:t>；</w:t>
      </w:r>
    </w:p>
    <w:p w14:paraId="5380C3D4">
      <w:pPr>
        <w:spacing w:line="500" w:lineRule="exact"/>
        <w:ind w:firstLine="480"/>
        <w:rPr>
          <w:rFonts w:cs="Times New Roman"/>
          <w:szCs w:val="24"/>
        </w:rPr>
      </w:pPr>
      <w:r>
        <w:rPr>
          <w:rFonts w:cs="Times New Roman"/>
          <w:szCs w:val="24"/>
        </w:rPr>
        <w:t xml:space="preserve">      </w:t>
      </w:r>
      <w:r>
        <w:rPr>
          <w:rFonts w:hint="eastAsia" w:cs="Times New Roman"/>
          <w:szCs w:val="24"/>
        </w:rPr>
        <w:t>γ—气体的绝热指数（热容比），即定压热容</w:t>
      </w:r>
      <w:r>
        <w:rPr>
          <w:rFonts w:cs="Times New Roman"/>
          <w:szCs w:val="24"/>
        </w:rPr>
        <w:t>Cp</w:t>
      </w:r>
      <w:r>
        <w:rPr>
          <w:rFonts w:hint="eastAsia" w:cs="Times New Roman"/>
          <w:szCs w:val="24"/>
        </w:rPr>
        <w:t>与定容热容</w:t>
      </w:r>
      <w:r>
        <w:rPr>
          <w:rFonts w:cs="Times New Roman"/>
          <w:szCs w:val="24"/>
        </w:rPr>
        <w:t>C</w:t>
      </w:r>
      <w:r>
        <w:rPr>
          <w:rFonts w:cs="Times New Roman"/>
          <w:szCs w:val="24"/>
          <w:vertAlign w:val="subscript"/>
        </w:rPr>
        <w:t>V</w:t>
      </w:r>
      <w:r>
        <w:rPr>
          <w:rFonts w:hint="eastAsia" w:cs="Times New Roman"/>
          <w:szCs w:val="24"/>
        </w:rPr>
        <w:t>之比。</w:t>
      </w:r>
    </w:p>
    <w:p w14:paraId="0DE57F39">
      <w:pPr>
        <w:spacing w:line="500" w:lineRule="exact"/>
        <w:ind w:firstLine="480"/>
        <w:rPr>
          <w:rFonts w:cs="Times New Roman"/>
          <w:szCs w:val="24"/>
        </w:rPr>
      </w:pPr>
      <w:r>
        <w:rPr>
          <w:rFonts w:hint="eastAsia" w:cs="Times New Roman"/>
          <w:szCs w:val="24"/>
        </w:rPr>
        <w:t>假定气体的特性是理想气体，气体泄漏速度</w:t>
      </w:r>
      <w:r>
        <w:rPr>
          <w:rFonts w:cs="Times New Roman"/>
          <w:szCs w:val="24"/>
        </w:rPr>
        <w:t>Q</w:t>
      </w:r>
      <w:r>
        <w:rPr>
          <w:rFonts w:cs="Times New Roman"/>
          <w:szCs w:val="24"/>
          <w:vertAlign w:val="subscript"/>
        </w:rPr>
        <w:t>G</w:t>
      </w:r>
      <w:r>
        <w:rPr>
          <w:rFonts w:hint="eastAsia" w:cs="Times New Roman"/>
          <w:szCs w:val="24"/>
        </w:rPr>
        <w:t>按下式计算：</w:t>
      </w:r>
    </w:p>
    <w:p w14:paraId="384E7411">
      <w:pPr>
        <w:autoSpaceDE w:val="0"/>
        <w:autoSpaceDN w:val="0"/>
        <w:spacing w:line="300" w:lineRule="auto"/>
        <w:ind w:firstLine="480"/>
        <w:jc w:val="left"/>
        <w:rPr>
          <w:rFonts w:cs="Times New Roman"/>
          <w:szCs w:val="24"/>
        </w:rPr>
      </w:pPr>
      <w:r>
        <w:rPr>
          <w:rFonts w:cs="Times New Roman"/>
          <w:szCs w:val="24"/>
        </w:rPr>
        <w:pict>
          <v:shape id="Picture 28" o:spid="_x0000_s1074" o:spt="75" type="#_x0000_t75" style="position:absolute;left:0pt;margin-left:126.75pt;margin-top:1.4pt;height:47pt;width:153pt;z-index:251664384;mso-width-relative:page;mso-height-relative:page;" o:ole="t" filled="f" o:preferrelative="t" stroked="f" coordsize="21600,21600">
            <v:path/>
            <v:fill on="f" focussize="0,0"/>
            <v:stroke on="f" joinstyle="miter"/>
            <v:imagedata r:id="rId100" o:title=""/>
            <o:lock v:ext="edit" aspectratio="t"/>
          </v:shape>
          <o:OLEObject Type="Embed" ProgID="Equation.3" ShapeID="Picture 28" DrawAspect="Content" ObjectID="_1468075729" r:id="rId99">
            <o:LockedField>false</o:LockedField>
          </o:OLEObject>
        </w:pict>
      </w:r>
      <w:r>
        <w:rPr>
          <w:rFonts w:cs="Times New Roman"/>
          <w:szCs w:val="24"/>
        </w:rPr>
        <w:t xml:space="preserve">                                                              </w:t>
      </w:r>
    </w:p>
    <w:p w14:paraId="34C77928">
      <w:pPr>
        <w:autoSpaceDE w:val="0"/>
        <w:autoSpaceDN w:val="0"/>
        <w:spacing w:line="300" w:lineRule="auto"/>
        <w:ind w:firstLine="480"/>
        <w:jc w:val="left"/>
        <w:rPr>
          <w:rFonts w:cs="Times New Roman"/>
          <w:szCs w:val="24"/>
        </w:rPr>
      </w:pPr>
    </w:p>
    <w:p w14:paraId="637FCA39">
      <w:pPr>
        <w:autoSpaceDE w:val="0"/>
        <w:autoSpaceDN w:val="0"/>
        <w:spacing w:line="300" w:lineRule="auto"/>
        <w:ind w:firstLine="480"/>
        <w:jc w:val="left"/>
        <w:rPr>
          <w:rFonts w:cs="Times New Roman"/>
          <w:szCs w:val="24"/>
        </w:rPr>
      </w:pPr>
    </w:p>
    <w:p w14:paraId="387DCC9E">
      <w:pPr>
        <w:spacing w:line="500" w:lineRule="exact"/>
        <w:ind w:firstLine="480"/>
        <w:rPr>
          <w:rFonts w:cs="Times New Roman"/>
          <w:szCs w:val="24"/>
        </w:rPr>
      </w:pPr>
      <w:r>
        <w:rPr>
          <w:rFonts w:hint="eastAsia" w:cs="Times New Roman"/>
          <w:szCs w:val="24"/>
        </w:rPr>
        <w:t>式中：</w:t>
      </w:r>
      <w:r>
        <w:rPr>
          <w:rFonts w:cs="Times New Roman"/>
          <w:szCs w:val="24"/>
        </w:rPr>
        <w:t>Q</w:t>
      </w:r>
      <w:r>
        <w:rPr>
          <w:rFonts w:cs="Times New Roman"/>
          <w:szCs w:val="24"/>
          <w:vertAlign w:val="subscript"/>
        </w:rPr>
        <w:t>G</w:t>
      </w:r>
      <w:r>
        <w:rPr>
          <w:rFonts w:hint="eastAsia" w:cs="Times New Roman"/>
          <w:szCs w:val="24"/>
        </w:rPr>
        <w:t>—气体泄漏速度，</w:t>
      </w:r>
      <w:r>
        <w:rPr>
          <w:rFonts w:cs="Times New Roman"/>
          <w:szCs w:val="24"/>
        </w:rPr>
        <w:t>kg/s</w:t>
      </w:r>
      <w:r>
        <w:rPr>
          <w:rFonts w:hint="eastAsia" w:cs="Times New Roman"/>
          <w:szCs w:val="24"/>
        </w:rPr>
        <w:t>；</w:t>
      </w:r>
    </w:p>
    <w:p w14:paraId="4D1F900E">
      <w:pPr>
        <w:spacing w:line="500" w:lineRule="exact"/>
        <w:ind w:firstLine="480"/>
        <w:rPr>
          <w:rFonts w:cs="Times New Roman"/>
          <w:szCs w:val="24"/>
        </w:rPr>
      </w:pPr>
      <w:r>
        <w:rPr>
          <w:rFonts w:cs="Times New Roman"/>
          <w:szCs w:val="24"/>
        </w:rPr>
        <w:t xml:space="preserve">      P</w:t>
      </w:r>
      <w:r>
        <w:rPr>
          <w:rFonts w:hint="eastAsia" w:cs="Times New Roman"/>
          <w:szCs w:val="24"/>
        </w:rPr>
        <w:t>—容器压力，</w:t>
      </w:r>
      <w:r>
        <w:rPr>
          <w:rFonts w:cs="Times New Roman"/>
          <w:szCs w:val="24"/>
        </w:rPr>
        <w:t>Pa</w:t>
      </w:r>
      <w:r>
        <w:rPr>
          <w:rFonts w:hint="eastAsia" w:cs="Times New Roman"/>
          <w:szCs w:val="24"/>
        </w:rPr>
        <w:t>；</w:t>
      </w:r>
    </w:p>
    <w:p w14:paraId="4EE64DF0">
      <w:pPr>
        <w:spacing w:line="500" w:lineRule="exact"/>
        <w:ind w:firstLine="480"/>
        <w:rPr>
          <w:rFonts w:cs="Times New Roman"/>
          <w:szCs w:val="24"/>
        </w:rPr>
      </w:pPr>
      <w:r>
        <w:rPr>
          <w:rFonts w:cs="Times New Roman"/>
          <w:szCs w:val="24"/>
        </w:rPr>
        <w:t xml:space="preserve">      C</w:t>
      </w:r>
      <w:r>
        <w:rPr>
          <w:rFonts w:cs="Times New Roman"/>
          <w:szCs w:val="24"/>
          <w:vertAlign w:val="subscript"/>
        </w:rPr>
        <w:t>d</w:t>
      </w:r>
      <w:r>
        <w:rPr>
          <w:rFonts w:hint="eastAsia" w:cs="Times New Roman"/>
          <w:szCs w:val="24"/>
        </w:rPr>
        <w:t>—气体泄漏系数；</w:t>
      </w:r>
    </w:p>
    <w:p w14:paraId="7448DCC1">
      <w:pPr>
        <w:spacing w:line="500" w:lineRule="exact"/>
        <w:ind w:firstLine="480"/>
        <w:rPr>
          <w:rFonts w:cs="Times New Roman"/>
          <w:szCs w:val="24"/>
        </w:rPr>
      </w:pPr>
      <w:r>
        <w:rPr>
          <w:rFonts w:hint="eastAsia" w:cs="Times New Roman"/>
          <w:szCs w:val="24"/>
        </w:rPr>
        <w:t xml:space="preserve">      当裂口形状位圆形时取</w:t>
      </w:r>
      <w:r>
        <w:rPr>
          <w:rFonts w:cs="Times New Roman"/>
          <w:szCs w:val="24"/>
        </w:rPr>
        <w:t>1.00</w:t>
      </w:r>
      <w:r>
        <w:rPr>
          <w:rFonts w:hint="eastAsia" w:cs="Times New Roman"/>
          <w:szCs w:val="24"/>
        </w:rPr>
        <w:t>，三角形时取</w:t>
      </w:r>
      <w:r>
        <w:rPr>
          <w:rFonts w:cs="Times New Roman"/>
          <w:szCs w:val="24"/>
        </w:rPr>
        <w:t>0.95</w:t>
      </w:r>
      <w:r>
        <w:rPr>
          <w:rFonts w:hint="eastAsia" w:cs="Times New Roman"/>
          <w:szCs w:val="24"/>
        </w:rPr>
        <w:t>，长方形时取</w:t>
      </w:r>
      <w:r>
        <w:rPr>
          <w:rFonts w:cs="Times New Roman"/>
          <w:szCs w:val="24"/>
        </w:rPr>
        <w:t>0.90</w:t>
      </w:r>
      <w:r>
        <w:rPr>
          <w:rFonts w:hint="eastAsia" w:cs="Times New Roman"/>
          <w:szCs w:val="24"/>
        </w:rPr>
        <w:t>；</w:t>
      </w:r>
    </w:p>
    <w:p w14:paraId="2A49DFE3">
      <w:pPr>
        <w:spacing w:line="500" w:lineRule="exact"/>
        <w:ind w:firstLine="480"/>
        <w:rPr>
          <w:rFonts w:cs="Times New Roman"/>
          <w:szCs w:val="24"/>
        </w:rPr>
      </w:pPr>
      <w:r>
        <w:rPr>
          <w:rFonts w:cs="Times New Roman"/>
          <w:szCs w:val="24"/>
        </w:rPr>
        <w:t xml:space="preserve">      A</w:t>
      </w:r>
      <w:r>
        <w:rPr>
          <w:rFonts w:hint="eastAsia" w:cs="Times New Roman"/>
          <w:szCs w:val="24"/>
        </w:rPr>
        <w:t>—裂口面积，</w:t>
      </w:r>
      <w:r>
        <w:rPr>
          <w:rFonts w:cs="Times New Roman"/>
          <w:szCs w:val="24"/>
        </w:rPr>
        <w:t>m</w:t>
      </w:r>
      <w:r>
        <w:rPr>
          <w:rFonts w:cs="Times New Roman"/>
          <w:szCs w:val="24"/>
          <w:vertAlign w:val="superscript"/>
        </w:rPr>
        <w:t>2</w:t>
      </w:r>
      <w:r>
        <w:rPr>
          <w:rFonts w:hint="eastAsia" w:cs="Times New Roman"/>
          <w:szCs w:val="24"/>
        </w:rPr>
        <w:t>；</w:t>
      </w:r>
    </w:p>
    <w:p w14:paraId="6F1EC008">
      <w:pPr>
        <w:spacing w:line="500" w:lineRule="exact"/>
        <w:ind w:firstLine="480"/>
        <w:rPr>
          <w:rFonts w:cs="Times New Roman"/>
          <w:szCs w:val="24"/>
        </w:rPr>
      </w:pPr>
      <w:r>
        <w:rPr>
          <w:rFonts w:cs="Times New Roman"/>
          <w:szCs w:val="24"/>
        </w:rPr>
        <w:t xml:space="preserve">      M</w:t>
      </w:r>
      <w:r>
        <w:rPr>
          <w:rFonts w:hint="eastAsia" w:cs="Times New Roman"/>
          <w:szCs w:val="24"/>
        </w:rPr>
        <w:t>—分子量；</w:t>
      </w:r>
    </w:p>
    <w:p w14:paraId="09B9F86F">
      <w:pPr>
        <w:spacing w:line="500" w:lineRule="exact"/>
        <w:ind w:firstLine="480"/>
        <w:rPr>
          <w:rFonts w:cs="Times New Roman"/>
          <w:szCs w:val="24"/>
        </w:rPr>
      </w:pPr>
      <w:r>
        <w:rPr>
          <w:rFonts w:cs="Times New Roman"/>
          <w:szCs w:val="24"/>
        </w:rPr>
        <w:t xml:space="preserve">      R</w:t>
      </w:r>
      <w:r>
        <w:rPr>
          <w:rFonts w:hint="eastAsia" w:cs="Times New Roman"/>
          <w:szCs w:val="24"/>
        </w:rPr>
        <w:t>—气体常数，</w:t>
      </w:r>
      <w:r>
        <w:rPr>
          <w:rFonts w:cs="Times New Roman"/>
          <w:szCs w:val="24"/>
        </w:rPr>
        <w:t>J/(mol·k)</w:t>
      </w:r>
      <w:r>
        <w:rPr>
          <w:rFonts w:hint="eastAsia" w:cs="Times New Roman"/>
          <w:szCs w:val="24"/>
        </w:rPr>
        <w:t>；</w:t>
      </w:r>
    </w:p>
    <w:p w14:paraId="3E7C61D0">
      <w:pPr>
        <w:spacing w:line="500" w:lineRule="exact"/>
        <w:ind w:firstLine="480"/>
        <w:rPr>
          <w:rFonts w:cs="Times New Roman"/>
          <w:szCs w:val="24"/>
        </w:rPr>
      </w:pPr>
      <w:r>
        <w:rPr>
          <w:rFonts w:cs="Times New Roman"/>
          <w:szCs w:val="24"/>
        </w:rPr>
        <w:t xml:space="preserve">      T</w:t>
      </w:r>
      <w:r>
        <w:rPr>
          <w:rFonts w:cs="Times New Roman"/>
          <w:szCs w:val="24"/>
          <w:vertAlign w:val="subscript"/>
        </w:rPr>
        <w:t>G</w:t>
      </w:r>
      <w:r>
        <w:rPr>
          <w:rFonts w:hint="eastAsia" w:cs="Times New Roman"/>
          <w:szCs w:val="24"/>
        </w:rPr>
        <w:t>—气体温度，</w:t>
      </w:r>
      <w:r>
        <w:rPr>
          <w:rFonts w:cs="Times New Roman"/>
          <w:szCs w:val="24"/>
        </w:rPr>
        <w:t>K</w:t>
      </w:r>
      <w:r>
        <w:rPr>
          <w:rFonts w:hint="eastAsia" w:cs="Times New Roman"/>
          <w:szCs w:val="24"/>
        </w:rPr>
        <w:t>；</w:t>
      </w:r>
    </w:p>
    <w:p w14:paraId="44C137D6">
      <w:pPr>
        <w:spacing w:line="500" w:lineRule="exact"/>
        <w:ind w:firstLine="480"/>
        <w:rPr>
          <w:rFonts w:cs="Times New Roman"/>
          <w:szCs w:val="24"/>
        </w:rPr>
      </w:pPr>
      <w:r>
        <w:rPr>
          <w:rFonts w:cs="Times New Roman"/>
          <w:szCs w:val="24"/>
        </w:rPr>
        <w:t xml:space="preserve">      Y-</w:t>
      </w:r>
      <w:r>
        <w:rPr>
          <w:rFonts w:hint="eastAsia" w:cs="Times New Roman"/>
          <w:szCs w:val="24"/>
        </w:rPr>
        <w:t>流出系数，对于临界流</w:t>
      </w:r>
      <w:r>
        <w:rPr>
          <w:rFonts w:cs="Times New Roman"/>
          <w:szCs w:val="24"/>
        </w:rPr>
        <w:t>Y=1.0</w:t>
      </w:r>
      <w:r>
        <w:rPr>
          <w:rFonts w:hint="eastAsia" w:cs="Times New Roman"/>
          <w:szCs w:val="24"/>
        </w:rPr>
        <w:t>对于次临界流按下式计算：</w:t>
      </w:r>
    </w:p>
    <w:p w14:paraId="4387ED53">
      <w:pPr>
        <w:autoSpaceDE w:val="0"/>
        <w:autoSpaceDN w:val="0"/>
        <w:spacing w:line="300" w:lineRule="auto"/>
        <w:ind w:firstLine="480"/>
        <w:jc w:val="left"/>
        <w:rPr>
          <w:rFonts w:cs="Times New Roman"/>
          <w:szCs w:val="24"/>
        </w:rPr>
      </w:pPr>
      <w:r>
        <w:rPr>
          <w:rFonts w:cs="Times New Roman"/>
          <w:szCs w:val="24"/>
        </w:rPr>
        <w:pict>
          <v:shape id="Picture 29" o:spid="_x0000_s1075" o:spt="75" type="#_x0000_t75" style="position:absolute;left:0pt;margin-left:75.75pt;margin-top:4.65pt;height:59pt;width:272pt;z-index:251665408;mso-width-relative:page;mso-height-relative:page;" o:ole="t" filled="f" o:preferrelative="t" stroked="f" coordsize="21600,21600">
            <v:path/>
            <v:fill on="f" focussize="0,0"/>
            <v:stroke on="f" joinstyle="miter"/>
            <v:imagedata r:id="rId102" o:title=""/>
            <o:lock v:ext="edit" aspectratio="t"/>
          </v:shape>
          <o:OLEObject Type="Embed" ProgID="Equation.3" ShapeID="Picture 29" DrawAspect="Content" ObjectID="_1468075730" r:id="rId101">
            <o:LockedField>false</o:LockedField>
          </o:OLEObject>
        </w:pict>
      </w:r>
      <w:r>
        <w:rPr>
          <w:rFonts w:cs="Times New Roman"/>
          <w:szCs w:val="24"/>
        </w:rPr>
        <w:t xml:space="preserve">                                                              </w:t>
      </w:r>
    </w:p>
    <w:p w14:paraId="50A86829">
      <w:pPr>
        <w:autoSpaceDE w:val="0"/>
        <w:autoSpaceDN w:val="0"/>
        <w:spacing w:line="300" w:lineRule="auto"/>
        <w:ind w:firstLine="480"/>
        <w:jc w:val="left"/>
        <w:rPr>
          <w:rFonts w:cs="宋体"/>
          <w:szCs w:val="24"/>
        </w:rPr>
      </w:pPr>
    </w:p>
    <w:p w14:paraId="1D5ABC7F">
      <w:pPr>
        <w:autoSpaceDE w:val="0"/>
        <w:autoSpaceDN w:val="0"/>
        <w:spacing w:line="500" w:lineRule="exact"/>
        <w:ind w:firstLine="480"/>
        <w:jc w:val="left"/>
        <w:rPr>
          <w:rFonts w:cs="Times New Roman"/>
          <w:szCs w:val="24"/>
        </w:rPr>
      </w:pPr>
    </w:p>
    <w:p w14:paraId="07F1251E">
      <w:pPr>
        <w:autoSpaceDE w:val="0"/>
        <w:autoSpaceDN w:val="0"/>
        <w:spacing w:line="500" w:lineRule="exact"/>
        <w:ind w:firstLine="480"/>
        <w:jc w:val="left"/>
        <w:rPr>
          <w:rFonts w:cs="宋体"/>
          <w:szCs w:val="24"/>
        </w:rPr>
      </w:pPr>
      <w:r>
        <w:rPr>
          <w:rFonts w:hint="eastAsia" w:cs="Times New Roman"/>
          <w:szCs w:val="24"/>
        </w:rPr>
        <w:t>对于泄漏主要考虑装置管道接口断裂。具体源强见表</w:t>
      </w:r>
      <w:r>
        <w:rPr>
          <w:rFonts w:cs="Times New Roman"/>
          <w:szCs w:val="24"/>
        </w:rPr>
        <w:t>7</w:t>
      </w:r>
      <w:r>
        <w:rPr>
          <w:rFonts w:hint="eastAsia" w:cs="Times New Roman"/>
          <w:szCs w:val="24"/>
        </w:rPr>
        <w:t>.</w:t>
      </w:r>
      <w:r>
        <w:rPr>
          <w:rFonts w:cs="Times New Roman"/>
          <w:szCs w:val="24"/>
        </w:rPr>
        <w:t>2</w:t>
      </w:r>
      <w:r>
        <w:rPr>
          <w:rFonts w:hint="eastAsia" w:cs="Times New Roman"/>
          <w:szCs w:val="24"/>
        </w:rPr>
        <w:t>-</w:t>
      </w:r>
      <w:r>
        <w:rPr>
          <w:rFonts w:cs="Times New Roman"/>
          <w:szCs w:val="24"/>
        </w:rPr>
        <w:t>1</w:t>
      </w:r>
      <w:r>
        <w:rPr>
          <w:rFonts w:hint="eastAsia" w:cs="Times New Roman"/>
          <w:szCs w:val="24"/>
        </w:rPr>
        <w:t>。由计算结果可知，氯化氢泄漏气体流速在音速范围</w:t>
      </w:r>
      <w:r>
        <w:rPr>
          <w:rFonts w:cs="Times New Roman"/>
          <w:szCs w:val="24"/>
        </w:rPr>
        <w:t>(</w:t>
      </w:r>
      <w:r>
        <w:rPr>
          <w:rFonts w:hint="eastAsia" w:cs="Times New Roman"/>
          <w:szCs w:val="24"/>
        </w:rPr>
        <w:t>临界流</w:t>
      </w:r>
      <w:r>
        <w:rPr>
          <w:rFonts w:cs="Times New Roman"/>
          <w:szCs w:val="24"/>
        </w:rPr>
        <w:t>)</w:t>
      </w:r>
      <w:r>
        <w:rPr>
          <w:rFonts w:hint="eastAsia" w:cs="Times New Roman"/>
          <w:szCs w:val="24"/>
        </w:rPr>
        <w:t>，</w:t>
      </w:r>
      <w:r>
        <w:rPr>
          <w:rFonts w:cs="Times New Roman"/>
          <w:szCs w:val="24"/>
        </w:rPr>
        <w:t>Y=1.0</w:t>
      </w:r>
      <w:r>
        <w:rPr>
          <w:rFonts w:hint="eastAsia" w:cs="Times New Roman"/>
          <w:szCs w:val="24"/>
        </w:rPr>
        <w:t>。</w:t>
      </w:r>
    </w:p>
    <w:p w14:paraId="49299EF4">
      <w:pPr>
        <w:pStyle w:val="278"/>
      </w:pPr>
      <w:r>
        <w:rPr>
          <w:rFonts w:hint="eastAsia"/>
        </w:rPr>
        <w:t>表</w:t>
      </w:r>
      <w:r>
        <w:t>5.6.6-2</w:t>
      </w:r>
      <w:r>
        <w:rPr>
          <w:rFonts w:hint="eastAsia"/>
        </w:rPr>
        <w:t xml:space="preserve">  氯化氢</w:t>
      </w:r>
      <w:r>
        <w:t>钢瓶泄漏</w:t>
      </w:r>
      <w:r>
        <w:rPr>
          <w:rFonts w:hint="eastAsia"/>
        </w:rPr>
        <w:t>源强分析</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3723"/>
        <w:gridCol w:w="3823"/>
      </w:tblGrid>
      <w:tr w14:paraId="30FCA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5CC3D32D">
            <w:pPr>
              <w:pStyle w:val="445"/>
              <w:rPr>
                <w:rFonts w:cs="Times New Roman"/>
                <w:kern w:val="0"/>
                <w:szCs w:val="20"/>
              </w:rPr>
            </w:pPr>
            <w:r>
              <w:rPr>
                <w:rFonts w:hint="eastAsia" w:cs="Times New Roman"/>
                <w:kern w:val="0"/>
                <w:szCs w:val="20"/>
              </w:rPr>
              <w:t>序号</w:t>
            </w:r>
          </w:p>
        </w:tc>
        <w:tc>
          <w:tcPr>
            <w:tcW w:w="2014" w:type="pct"/>
            <w:vAlign w:val="center"/>
          </w:tcPr>
          <w:p w14:paraId="5F894BB3">
            <w:pPr>
              <w:pStyle w:val="445"/>
              <w:rPr>
                <w:rFonts w:cs="Times New Roman"/>
                <w:kern w:val="0"/>
                <w:szCs w:val="20"/>
              </w:rPr>
            </w:pPr>
            <w:r>
              <w:rPr>
                <w:rFonts w:hint="eastAsia" w:cs="Times New Roman"/>
                <w:kern w:val="0"/>
                <w:szCs w:val="20"/>
              </w:rPr>
              <w:t>事故工况与源强参数</w:t>
            </w:r>
          </w:p>
        </w:tc>
        <w:tc>
          <w:tcPr>
            <w:tcW w:w="2068" w:type="pct"/>
            <w:vAlign w:val="center"/>
          </w:tcPr>
          <w:p w14:paraId="3129F083">
            <w:pPr>
              <w:pStyle w:val="445"/>
              <w:rPr>
                <w:rFonts w:cs="Times New Roman"/>
                <w:kern w:val="0"/>
                <w:szCs w:val="20"/>
              </w:rPr>
            </w:pPr>
            <w:r>
              <w:rPr>
                <w:rFonts w:hint="eastAsia" w:cs="Times New Roman"/>
                <w:kern w:val="0"/>
                <w:szCs w:val="20"/>
              </w:rPr>
              <w:t>氯化氢</w:t>
            </w:r>
          </w:p>
        </w:tc>
      </w:tr>
      <w:tr w14:paraId="620A8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68914966">
            <w:pPr>
              <w:pStyle w:val="445"/>
              <w:rPr>
                <w:rFonts w:cs="Times New Roman"/>
                <w:kern w:val="0"/>
                <w:szCs w:val="20"/>
              </w:rPr>
            </w:pPr>
            <w:r>
              <w:rPr>
                <w:rFonts w:cs="Times New Roman"/>
                <w:kern w:val="0"/>
                <w:szCs w:val="20"/>
              </w:rPr>
              <w:t>1</w:t>
            </w:r>
          </w:p>
        </w:tc>
        <w:tc>
          <w:tcPr>
            <w:tcW w:w="2014" w:type="pct"/>
            <w:vAlign w:val="center"/>
          </w:tcPr>
          <w:p w14:paraId="28B9B382">
            <w:pPr>
              <w:pStyle w:val="445"/>
              <w:rPr>
                <w:rFonts w:cs="Times New Roman"/>
                <w:kern w:val="0"/>
                <w:szCs w:val="20"/>
              </w:rPr>
            </w:pPr>
            <w:r>
              <w:rPr>
                <w:rFonts w:hint="eastAsia" w:cs="Times New Roman"/>
                <w:kern w:val="0"/>
                <w:szCs w:val="20"/>
              </w:rPr>
              <w:t>事故类型</w:t>
            </w:r>
          </w:p>
        </w:tc>
        <w:tc>
          <w:tcPr>
            <w:tcW w:w="2068" w:type="pct"/>
            <w:vAlign w:val="center"/>
          </w:tcPr>
          <w:p w14:paraId="772859D1">
            <w:pPr>
              <w:pStyle w:val="445"/>
              <w:rPr>
                <w:rFonts w:cs="Times New Roman"/>
                <w:kern w:val="0"/>
                <w:szCs w:val="20"/>
              </w:rPr>
            </w:pPr>
            <w:r>
              <w:rPr>
                <w:rFonts w:hint="eastAsia" w:cs="Times New Roman"/>
                <w:kern w:val="0"/>
                <w:szCs w:val="20"/>
              </w:rPr>
              <w:t>钢瓶泄漏</w:t>
            </w:r>
          </w:p>
        </w:tc>
      </w:tr>
      <w:tr w14:paraId="39E7D5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49EBFA80">
            <w:pPr>
              <w:pStyle w:val="445"/>
              <w:rPr>
                <w:rFonts w:cs="Times New Roman"/>
                <w:kern w:val="0"/>
                <w:szCs w:val="20"/>
              </w:rPr>
            </w:pPr>
            <w:r>
              <w:rPr>
                <w:rFonts w:cs="Times New Roman"/>
                <w:kern w:val="0"/>
                <w:szCs w:val="20"/>
              </w:rPr>
              <w:t>2</w:t>
            </w:r>
          </w:p>
        </w:tc>
        <w:tc>
          <w:tcPr>
            <w:tcW w:w="2014" w:type="pct"/>
            <w:vAlign w:val="center"/>
          </w:tcPr>
          <w:p w14:paraId="7CF5E9D9">
            <w:pPr>
              <w:pStyle w:val="445"/>
              <w:rPr>
                <w:rFonts w:cs="Times New Roman"/>
                <w:kern w:val="0"/>
                <w:szCs w:val="20"/>
              </w:rPr>
            </w:pPr>
            <w:r>
              <w:rPr>
                <w:rFonts w:hint="eastAsia" w:cs="Times New Roman"/>
                <w:kern w:val="0"/>
                <w:szCs w:val="20"/>
              </w:rPr>
              <w:t>环境压力</w:t>
            </w:r>
            <w:r>
              <w:rPr>
                <w:rFonts w:cs="Times New Roman"/>
                <w:kern w:val="0"/>
                <w:szCs w:val="20"/>
              </w:rPr>
              <w:t>Pa</w:t>
            </w:r>
          </w:p>
        </w:tc>
        <w:tc>
          <w:tcPr>
            <w:tcW w:w="2068" w:type="pct"/>
            <w:vAlign w:val="center"/>
          </w:tcPr>
          <w:p w14:paraId="01191283">
            <w:pPr>
              <w:pStyle w:val="445"/>
              <w:rPr>
                <w:rFonts w:cs="Times New Roman"/>
                <w:kern w:val="0"/>
                <w:szCs w:val="20"/>
              </w:rPr>
            </w:pPr>
            <w:r>
              <w:rPr>
                <w:rFonts w:cs="Times New Roman"/>
                <w:kern w:val="0"/>
                <w:szCs w:val="20"/>
              </w:rPr>
              <w:t>101325</w:t>
            </w:r>
          </w:p>
        </w:tc>
      </w:tr>
      <w:tr w14:paraId="58EC8B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0DFB3126">
            <w:pPr>
              <w:pStyle w:val="445"/>
              <w:rPr>
                <w:rFonts w:cs="Times New Roman"/>
                <w:kern w:val="0"/>
                <w:szCs w:val="20"/>
              </w:rPr>
            </w:pPr>
            <w:r>
              <w:rPr>
                <w:rFonts w:cs="Times New Roman"/>
                <w:kern w:val="0"/>
                <w:szCs w:val="20"/>
              </w:rPr>
              <w:t>3</w:t>
            </w:r>
          </w:p>
        </w:tc>
        <w:tc>
          <w:tcPr>
            <w:tcW w:w="2014" w:type="pct"/>
            <w:vAlign w:val="center"/>
          </w:tcPr>
          <w:p w14:paraId="78992B75">
            <w:pPr>
              <w:pStyle w:val="445"/>
              <w:rPr>
                <w:rFonts w:cs="Times New Roman"/>
                <w:kern w:val="0"/>
                <w:szCs w:val="20"/>
              </w:rPr>
            </w:pPr>
            <w:r>
              <w:rPr>
                <w:rFonts w:hint="eastAsia" w:cs="Times New Roman"/>
                <w:kern w:val="0"/>
                <w:szCs w:val="20"/>
              </w:rPr>
              <w:t>容器压力</w:t>
            </w:r>
            <w:r>
              <w:rPr>
                <w:rFonts w:cs="Times New Roman"/>
                <w:kern w:val="0"/>
                <w:szCs w:val="20"/>
              </w:rPr>
              <w:t>Pa</w:t>
            </w:r>
          </w:p>
        </w:tc>
        <w:tc>
          <w:tcPr>
            <w:tcW w:w="2068" w:type="pct"/>
            <w:vAlign w:val="center"/>
          </w:tcPr>
          <w:p w14:paraId="27253199">
            <w:pPr>
              <w:pStyle w:val="445"/>
              <w:rPr>
                <w:rFonts w:cs="Times New Roman"/>
                <w:kern w:val="0"/>
                <w:szCs w:val="20"/>
              </w:rPr>
            </w:pPr>
            <w:r>
              <w:rPr>
                <w:rFonts w:cs="Times New Roman"/>
                <w:kern w:val="0"/>
                <w:szCs w:val="20"/>
              </w:rPr>
              <w:t>5000000</w:t>
            </w:r>
          </w:p>
        </w:tc>
      </w:tr>
      <w:tr w14:paraId="314BF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05ADD46E">
            <w:pPr>
              <w:pStyle w:val="445"/>
              <w:rPr>
                <w:rFonts w:cs="Times New Roman"/>
                <w:kern w:val="0"/>
                <w:szCs w:val="20"/>
              </w:rPr>
            </w:pPr>
            <w:r>
              <w:rPr>
                <w:rFonts w:cs="Times New Roman"/>
                <w:kern w:val="0"/>
                <w:szCs w:val="20"/>
              </w:rPr>
              <w:t>4</w:t>
            </w:r>
          </w:p>
        </w:tc>
        <w:tc>
          <w:tcPr>
            <w:tcW w:w="2014" w:type="pct"/>
            <w:vAlign w:val="center"/>
          </w:tcPr>
          <w:p w14:paraId="78BB2ECA">
            <w:pPr>
              <w:pStyle w:val="445"/>
              <w:rPr>
                <w:rFonts w:cs="Times New Roman"/>
                <w:kern w:val="0"/>
                <w:szCs w:val="20"/>
              </w:rPr>
            </w:pPr>
            <w:r>
              <w:rPr>
                <w:rFonts w:hint="eastAsia" w:cs="Times New Roman"/>
                <w:kern w:val="0"/>
                <w:szCs w:val="20"/>
              </w:rPr>
              <w:t>气体温度</w:t>
            </w:r>
            <w:r>
              <w:rPr>
                <w:rFonts w:cs="Times New Roman"/>
                <w:kern w:val="0"/>
                <w:szCs w:val="20"/>
              </w:rPr>
              <w:t>(</w:t>
            </w:r>
            <w:r>
              <w:rPr>
                <w:rFonts w:hint="eastAsia" w:ascii="宋体" w:hAnsi="宋体" w:cs="Times New Roman"/>
                <w:kern w:val="0"/>
                <w:szCs w:val="20"/>
              </w:rPr>
              <w:t>K</w:t>
            </w:r>
            <w:r>
              <w:rPr>
                <w:rFonts w:cs="Times New Roman"/>
                <w:kern w:val="0"/>
                <w:szCs w:val="20"/>
              </w:rPr>
              <w:t>)</w:t>
            </w:r>
          </w:p>
        </w:tc>
        <w:tc>
          <w:tcPr>
            <w:tcW w:w="2068" w:type="pct"/>
            <w:vAlign w:val="center"/>
          </w:tcPr>
          <w:p w14:paraId="3FFEE961">
            <w:pPr>
              <w:pStyle w:val="445"/>
              <w:rPr>
                <w:rFonts w:cs="Times New Roman"/>
                <w:kern w:val="0"/>
                <w:szCs w:val="20"/>
              </w:rPr>
            </w:pPr>
            <w:r>
              <w:rPr>
                <w:rFonts w:cs="Times New Roman"/>
                <w:kern w:val="0"/>
                <w:szCs w:val="20"/>
              </w:rPr>
              <w:t>298.15</w:t>
            </w:r>
          </w:p>
        </w:tc>
      </w:tr>
      <w:tr w14:paraId="3A0F8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4AD95037">
            <w:pPr>
              <w:pStyle w:val="445"/>
              <w:rPr>
                <w:rFonts w:cs="Times New Roman"/>
                <w:kern w:val="0"/>
                <w:szCs w:val="20"/>
              </w:rPr>
            </w:pPr>
            <w:r>
              <w:rPr>
                <w:rFonts w:cs="Times New Roman"/>
                <w:kern w:val="0"/>
                <w:szCs w:val="20"/>
              </w:rPr>
              <w:t>5</w:t>
            </w:r>
          </w:p>
        </w:tc>
        <w:tc>
          <w:tcPr>
            <w:tcW w:w="2014" w:type="pct"/>
            <w:vAlign w:val="center"/>
          </w:tcPr>
          <w:p w14:paraId="0DE73443">
            <w:pPr>
              <w:pStyle w:val="445"/>
              <w:rPr>
                <w:rFonts w:cs="Times New Roman"/>
                <w:kern w:val="0"/>
                <w:szCs w:val="20"/>
              </w:rPr>
            </w:pPr>
            <w:r>
              <w:rPr>
                <w:rFonts w:hint="eastAsia" w:cs="Times New Roman"/>
                <w:kern w:val="0"/>
                <w:szCs w:val="20"/>
              </w:rPr>
              <w:t>气体泄漏系数</w:t>
            </w:r>
          </w:p>
        </w:tc>
        <w:tc>
          <w:tcPr>
            <w:tcW w:w="2068" w:type="pct"/>
            <w:vAlign w:val="center"/>
          </w:tcPr>
          <w:p w14:paraId="79CC9F7D">
            <w:pPr>
              <w:pStyle w:val="445"/>
              <w:rPr>
                <w:rFonts w:cs="Times New Roman"/>
                <w:kern w:val="0"/>
                <w:szCs w:val="20"/>
              </w:rPr>
            </w:pPr>
            <w:r>
              <w:rPr>
                <w:rFonts w:cs="Times New Roman"/>
                <w:kern w:val="0"/>
                <w:szCs w:val="20"/>
              </w:rPr>
              <w:t>1.00</w:t>
            </w:r>
            <w:r>
              <w:rPr>
                <w:rFonts w:hint="eastAsia" w:cs="Times New Roman"/>
                <w:kern w:val="0"/>
                <w:szCs w:val="20"/>
              </w:rPr>
              <w:t>（圆形裂口）</w:t>
            </w:r>
          </w:p>
        </w:tc>
      </w:tr>
      <w:tr w14:paraId="329B8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005F1471">
            <w:pPr>
              <w:pStyle w:val="445"/>
              <w:rPr>
                <w:rFonts w:cs="Times New Roman"/>
                <w:kern w:val="0"/>
                <w:szCs w:val="20"/>
              </w:rPr>
            </w:pPr>
            <w:r>
              <w:rPr>
                <w:rFonts w:cs="Times New Roman"/>
                <w:kern w:val="0"/>
                <w:szCs w:val="20"/>
              </w:rPr>
              <w:t>6</w:t>
            </w:r>
          </w:p>
        </w:tc>
        <w:tc>
          <w:tcPr>
            <w:tcW w:w="2014" w:type="pct"/>
            <w:vAlign w:val="center"/>
          </w:tcPr>
          <w:p w14:paraId="5A9FD644">
            <w:pPr>
              <w:pStyle w:val="445"/>
              <w:rPr>
                <w:rFonts w:cs="Times New Roman"/>
                <w:kern w:val="0"/>
                <w:szCs w:val="20"/>
              </w:rPr>
            </w:pPr>
            <w:r>
              <w:rPr>
                <w:rFonts w:hint="eastAsia" w:cs="Times New Roman"/>
                <w:kern w:val="0"/>
                <w:szCs w:val="20"/>
              </w:rPr>
              <w:t>裂口面积（</w:t>
            </w:r>
            <w:r>
              <w:rPr>
                <w:rFonts w:cs="Times New Roman"/>
                <w:kern w:val="0"/>
                <w:szCs w:val="20"/>
              </w:rPr>
              <w:t>m</w:t>
            </w:r>
            <w:r>
              <w:rPr>
                <w:rFonts w:cs="Times New Roman"/>
                <w:kern w:val="0"/>
                <w:szCs w:val="20"/>
                <w:vertAlign w:val="superscript"/>
              </w:rPr>
              <w:t>2</w:t>
            </w:r>
            <w:r>
              <w:rPr>
                <w:rFonts w:hint="eastAsia" w:cs="Times New Roman"/>
                <w:kern w:val="0"/>
                <w:szCs w:val="20"/>
              </w:rPr>
              <w:t>）</w:t>
            </w:r>
          </w:p>
        </w:tc>
        <w:tc>
          <w:tcPr>
            <w:tcW w:w="2068" w:type="pct"/>
            <w:vAlign w:val="center"/>
          </w:tcPr>
          <w:p w14:paraId="40EBD6C8">
            <w:pPr>
              <w:pStyle w:val="445"/>
              <w:rPr>
                <w:rFonts w:cs="Times New Roman"/>
                <w:kern w:val="0"/>
                <w:szCs w:val="20"/>
              </w:rPr>
            </w:pPr>
            <w:r>
              <w:rPr>
                <w:rFonts w:cs="Times New Roman"/>
                <w:kern w:val="0"/>
                <w:szCs w:val="20"/>
              </w:rPr>
              <w:t>7.85×10</w:t>
            </w:r>
            <w:r>
              <w:rPr>
                <w:rFonts w:cs="Times New Roman"/>
                <w:kern w:val="0"/>
                <w:szCs w:val="20"/>
                <w:vertAlign w:val="superscript"/>
              </w:rPr>
              <w:t>-6</w:t>
            </w:r>
          </w:p>
        </w:tc>
      </w:tr>
      <w:tr w14:paraId="6CEBE0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13231F69">
            <w:pPr>
              <w:pStyle w:val="445"/>
              <w:rPr>
                <w:rFonts w:cs="Times New Roman"/>
                <w:kern w:val="0"/>
                <w:szCs w:val="20"/>
              </w:rPr>
            </w:pPr>
            <w:r>
              <w:rPr>
                <w:rFonts w:cs="Times New Roman"/>
                <w:kern w:val="0"/>
                <w:szCs w:val="20"/>
              </w:rPr>
              <w:t>7</w:t>
            </w:r>
          </w:p>
        </w:tc>
        <w:tc>
          <w:tcPr>
            <w:tcW w:w="2014" w:type="pct"/>
            <w:vAlign w:val="center"/>
          </w:tcPr>
          <w:p w14:paraId="4578AFD9">
            <w:pPr>
              <w:pStyle w:val="445"/>
              <w:rPr>
                <w:rFonts w:cs="Times New Roman"/>
                <w:kern w:val="0"/>
                <w:szCs w:val="20"/>
              </w:rPr>
            </w:pPr>
            <w:r>
              <w:rPr>
                <w:rFonts w:hint="eastAsia" w:cs="Times New Roman"/>
                <w:kern w:val="0"/>
                <w:szCs w:val="20"/>
              </w:rPr>
              <w:t>分子量</w:t>
            </w:r>
          </w:p>
        </w:tc>
        <w:tc>
          <w:tcPr>
            <w:tcW w:w="2068" w:type="pct"/>
            <w:vAlign w:val="center"/>
          </w:tcPr>
          <w:p w14:paraId="41FEF438">
            <w:pPr>
              <w:pStyle w:val="445"/>
              <w:rPr>
                <w:rFonts w:cs="Times New Roman"/>
                <w:kern w:val="0"/>
                <w:szCs w:val="20"/>
              </w:rPr>
            </w:pPr>
            <w:r>
              <w:rPr>
                <w:rFonts w:cs="Times New Roman"/>
                <w:kern w:val="0"/>
                <w:szCs w:val="20"/>
              </w:rPr>
              <w:t>36.46</w:t>
            </w:r>
          </w:p>
        </w:tc>
      </w:tr>
      <w:tr w14:paraId="2A9F4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301A5934">
            <w:pPr>
              <w:pStyle w:val="445"/>
              <w:rPr>
                <w:rFonts w:cs="Times New Roman"/>
                <w:kern w:val="0"/>
                <w:szCs w:val="20"/>
              </w:rPr>
            </w:pPr>
            <w:r>
              <w:rPr>
                <w:rFonts w:cs="Times New Roman"/>
                <w:kern w:val="0"/>
                <w:szCs w:val="20"/>
              </w:rPr>
              <w:t>8</w:t>
            </w:r>
          </w:p>
        </w:tc>
        <w:tc>
          <w:tcPr>
            <w:tcW w:w="2014" w:type="pct"/>
            <w:vAlign w:val="center"/>
          </w:tcPr>
          <w:p w14:paraId="7DDCFAED">
            <w:pPr>
              <w:pStyle w:val="445"/>
              <w:rPr>
                <w:rFonts w:cs="Times New Roman"/>
                <w:kern w:val="0"/>
                <w:szCs w:val="20"/>
              </w:rPr>
            </w:pPr>
            <w:r>
              <w:rPr>
                <w:rFonts w:hint="eastAsia" w:cs="Times New Roman"/>
                <w:kern w:val="0"/>
                <w:szCs w:val="20"/>
              </w:rPr>
              <w:t>气体常数</w:t>
            </w:r>
          </w:p>
        </w:tc>
        <w:tc>
          <w:tcPr>
            <w:tcW w:w="2068" w:type="pct"/>
            <w:vAlign w:val="center"/>
          </w:tcPr>
          <w:p w14:paraId="21934A8A">
            <w:pPr>
              <w:pStyle w:val="445"/>
              <w:rPr>
                <w:rFonts w:cs="Times New Roman"/>
                <w:kern w:val="0"/>
                <w:szCs w:val="20"/>
              </w:rPr>
            </w:pPr>
            <w:r>
              <w:rPr>
                <w:rFonts w:cs="Times New Roman"/>
                <w:kern w:val="0"/>
                <w:szCs w:val="20"/>
              </w:rPr>
              <w:t>8.314</w:t>
            </w:r>
          </w:p>
        </w:tc>
      </w:tr>
      <w:tr w14:paraId="0B478F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0061D6C9">
            <w:pPr>
              <w:pStyle w:val="445"/>
              <w:rPr>
                <w:rFonts w:cs="Times New Roman"/>
                <w:kern w:val="0"/>
                <w:szCs w:val="20"/>
              </w:rPr>
            </w:pPr>
            <w:r>
              <w:rPr>
                <w:rFonts w:hint="eastAsia" w:cs="Times New Roman"/>
                <w:kern w:val="0"/>
                <w:szCs w:val="20"/>
              </w:rPr>
              <w:t>9</w:t>
            </w:r>
          </w:p>
        </w:tc>
        <w:tc>
          <w:tcPr>
            <w:tcW w:w="2014" w:type="pct"/>
            <w:vAlign w:val="center"/>
          </w:tcPr>
          <w:p w14:paraId="4479887A">
            <w:pPr>
              <w:pStyle w:val="445"/>
              <w:rPr>
                <w:rFonts w:cs="Times New Roman"/>
                <w:kern w:val="0"/>
                <w:szCs w:val="20"/>
              </w:rPr>
            </w:pPr>
            <w:r>
              <w:rPr>
                <w:rFonts w:hint="eastAsia" w:cs="Times New Roman"/>
                <w:kern w:val="0"/>
                <w:szCs w:val="20"/>
              </w:rPr>
              <w:t>泄漏</w:t>
            </w:r>
            <w:r>
              <w:rPr>
                <w:rFonts w:cs="Times New Roman"/>
                <w:kern w:val="0"/>
                <w:szCs w:val="20"/>
              </w:rPr>
              <w:t>出</w:t>
            </w:r>
            <w:r>
              <w:rPr>
                <w:rFonts w:hint="eastAsia" w:cs="Times New Roman"/>
                <w:kern w:val="0"/>
                <w:szCs w:val="20"/>
              </w:rPr>
              <w:t>口</w:t>
            </w:r>
            <w:r>
              <w:rPr>
                <w:rFonts w:cs="Times New Roman"/>
                <w:kern w:val="0"/>
                <w:szCs w:val="20"/>
              </w:rPr>
              <w:t>气体温</w:t>
            </w:r>
            <w:r>
              <w:rPr>
                <w:rFonts w:hint="eastAsia" w:cs="Times New Roman"/>
                <w:kern w:val="0"/>
                <w:szCs w:val="20"/>
              </w:rPr>
              <w:t>度</w:t>
            </w:r>
            <w:r>
              <w:rPr>
                <w:rFonts w:cs="Times New Roman"/>
                <w:kern w:val="0"/>
                <w:szCs w:val="20"/>
              </w:rPr>
              <w:t>(</w:t>
            </w:r>
            <w:r>
              <w:rPr>
                <w:rFonts w:hint="eastAsia" w:ascii="宋体" w:hAnsi="宋体" w:cs="Times New Roman"/>
                <w:kern w:val="0"/>
                <w:szCs w:val="20"/>
              </w:rPr>
              <w:t>℃</w:t>
            </w:r>
            <w:r>
              <w:rPr>
                <w:rFonts w:cs="Times New Roman"/>
                <w:kern w:val="0"/>
                <w:szCs w:val="20"/>
              </w:rPr>
              <w:t>)</w:t>
            </w:r>
          </w:p>
        </w:tc>
        <w:tc>
          <w:tcPr>
            <w:tcW w:w="2068" w:type="pct"/>
            <w:vAlign w:val="center"/>
          </w:tcPr>
          <w:p w14:paraId="057597A7">
            <w:pPr>
              <w:pStyle w:val="445"/>
              <w:rPr>
                <w:rFonts w:cs="Times New Roman"/>
                <w:kern w:val="0"/>
                <w:szCs w:val="20"/>
              </w:rPr>
            </w:pPr>
            <w:r>
              <w:rPr>
                <w:rFonts w:hint="eastAsia" w:cs="Times New Roman"/>
                <w:kern w:val="0"/>
                <w:szCs w:val="20"/>
              </w:rPr>
              <w:t>-</w:t>
            </w:r>
            <w:r>
              <w:rPr>
                <w:rFonts w:cs="Times New Roman"/>
                <w:kern w:val="0"/>
                <w:szCs w:val="20"/>
              </w:rPr>
              <w:t>42.41</w:t>
            </w:r>
          </w:p>
        </w:tc>
      </w:tr>
      <w:tr w14:paraId="5C0B3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18" w:type="pct"/>
            <w:vAlign w:val="center"/>
          </w:tcPr>
          <w:p w14:paraId="7068B367">
            <w:pPr>
              <w:pStyle w:val="445"/>
              <w:rPr>
                <w:rFonts w:cs="Times New Roman"/>
                <w:kern w:val="0"/>
                <w:szCs w:val="20"/>
              </w:rPr>
            </w:pPr>
            <w:r>
              <w:rPr>
                <w:rFonts w:cs="Times New Roman"/>
                <w:kern w:val="0"/>
                <w:szCs w:val="20"/>
              </w:rPr>
              <w:t>10</w:t>
            </w:r>
          </w:p>
        </w:tc>
        <w:tc>
          <w:tcPr>
            <w:tcW w:w="2014" w:type="pct"/>
            <w:vAlign w:val="center"/>
          </w:tcPr>
          <w:p w14:paraId="7BB757F9">
            <w:pPr>
              <w:pStyle w:val="445"/>
              <w:rPr>
                <w:rFonts w:cs="Times New Roman"/>
                <w:kern w:val="0"/>
                <w:szCs w:val="20"/>
              </w:rPr>
            </w:pPr>
            <w:r>
              <w:rPr>
                <w:rFonts w:hint="eastAsia" w:cs="Times New Roman"/>
                <w:kern w:val="0"/>
                <w:szCs w:val="20"/>
              </w:rPr>
              <w:t>气体泄漏速率（</w:t>
            </w:r>
            <w:r>
              <w:rPr>
                <w:rFonts w:cs="Times New Roman"/>
                <w:kern w:val="0"/>
                <w:szCs w:val="20"/>
              </w:rPr>
              <w:t>kg/s</w:t>
            </w:r>
            <w:r>
              <w:rPr>
                <w:rFonts w:hint="eastAsia" w:cs="Times New Roman"/>
                <w:kern w:val="0"/>
                <w:szCs w:val="20"/>
              </w:rPr>
              <w:t>）</w:t>
            </w:r>
          </w:p>
        </w:tc>
        <w:tc>
          <w:tcPr>
            <w:tcW w:w="2068" w:type="pct"/>
            <w:vAlign w:val="center"/>
          </w:tcPr>
          <w:p w14:paraId="43B6EF68">
            <w:pPr>
              <w:pStyle w:val="445"/>
              <w:rPr>
                <w:rFonts w:cs="Times New Roman"/>
                <w:kern w:val="0"/>
                <w:szCs w:val="20"/>
              </w:rPr>
            </w:pPr>
            <w:r>
              <w:rPr>
                <w:rFonts w:cs="Times New Roman"/>
                <w:kern w:val="0"/>
                <w:szCs w:val="20"/>
              </w:rPr>
              <w:t>0.106</w:t>
            </w:r>
          </w:p>
        </w:tc>
      </w:tr>
    </w:tbl>
    <w:p w14:paraId="27528661">
      <w:pPr>
        <w:pStyle w:val="278"/>
      </w:pPr>
      <w:r>
        <w:rPr>
          <w:rFonts w:hint="eastAsia"/>
        </w:rPr>
        <w:t>表5.6.</w:t>
      </w:r>
      <w:r>
        <w:t xml:space="preserve">6-3 </w:t>
      </w:r>
      <w:r>
        <w:rPr>
          <w:rFonts w:hint="eastAsia"/>
        </w:rPr>
        <w:t>有毒有害物质终点浓度</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48"/>
        <w:gridCol w:w="3475"/>
        <w:gridCol w:w="3720"/>
      </w:tblGrid>
      <w:tr w14:paraId="30F135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3FA070A">
            <w:pPr>
              <w:pStyle w:val="445"/>
              <w:rPr>
                <w:rFonts w:cs="Times New Roman"/>
                <w:kern w:val="0"/>
                <w:szCs w:val="20"/>
              </w:rPr>
            </w:pPr>
            <w:r>
              <w:rPr>
                <w:rFonts w:hint="eastAsia" w:cs="Times New Roman"/>
                <w:kern w:val="0"/>
                <w:szCs w:val="20"/>
              </w:rPr>
              <w:t>物质名称</w:t>
            </w:r>
          </w:p>
        </w:tc>
        <w:tc>
          <w:tcPr>
            <w:tcW w:w="1880" w:type="pct"/>
            <w:vAlign w:val="center"/>
          </w:tcPr>
          <w:p w14:paraId="49ECCF44">
            <w:pPr>
              <w:pStyle w:val="445"/>
              <w:rPr>
                <w:rFonts w:cs="Times New Roman"/>
                <w:kern w:val="0"/>
                <w:szCs w:val="20"/>
              </w:rPr>
            </w:pPr>
            <w:r>
              <w:rPr>
                <w:rFonts w:hint="eastAsia" w:cs="Times New Roman"/>
                <w:kern w:val="0"/>
                <w:szCs w:val="20"/>
              </w:rPr>
              <w:t>毒性终点浓度-</w:t>
            </w:r>
            <w:r>
              <w:rPr>
                <w:rFonts w:cs="Times New Roman"/>
                <w:kern w:val="0"/>
                <w:szCs w:val="20"/>
              </w:rPr>
              <w:t>1</w:t>
            </w:r>
            <w:r>
              <w:rPr>
                <w:rFonts w:hint="eastAsia" w:cs="Times New Roman"/>
                <w:kern w:val="0"/>
                <w:szCs w:val="20"/>
              </w:rPr>
              <w:t>（m</w:t>
            </w:r>
            <w:r>
              <w:rPr>
                <w:rFonts w:cs="Times New Roman"/>
                <w:kern w:val="0"/>
                <w:szCs w:val="20"/>
              </w:rPr>
              <w:t>g/m</w:t>
            </w:r>
            <w:r>
              <w:rPr>
                <w:rFonts w:cs="Times New Roman"/>
                <w:kern w:val="0"/>
                <w:szCs w:val="20"/>
                <w:vertAlign w:val="superscript"/>
              </w:rPr>
              <w:t>3</w:t>
            </w:r>
            <w:r>
              <w:rPr>
                <w:rFonts w:hint="eastAsia" w:cs="Times New Roman"/>
                <w:kern w:val="0"/>
                <w:szCs w:val="20"/>
              </w:rPr>
              <w:t>）</w:t>
            </w:r>
          </w:p>
        </w:tc>
        <w:tc>
          <w:tcPr>
            <w:tcW w:w="2012" w:type="pct"/>
            <w:vAlign w:val="center"/>
          </w:tcPr>
          <w:p w14:paraId="1CD84C3B">
            <w:pPr>
              <w:pStyle w:val="445"/>
              <w:rPr>
                <w:rFonts w:cs="Times New Roman"/>
                <w:kern w:val="0"/>
                <w:szCs w:val="20"/>
              </w:rPr>
            </w:pPr>
            <w:r>
              <w:rPr>
                <w:rFonts w:hint="eastAsia" w:cs="Times New Roman"/>
                <w:kern w:val="0"/>
                <w:szCs w:val="20"/>
              </w:rPr>
              <w:t>毒性终点浓度-</w:t>
            </w:r>
            <w:r>
              <w:rPr>
                <w:rFonts w:cs="Times New Roman"/>
                <w:kern w:val="0"/>
                <w:szCs w:val="20"/>
              </w:rPr>
              <w:t>2</w:t>
            </w:r>
            <w:r>
              <w:rPr>
                <w:rFonts w:hint="eastAsia" w:cs="Times New Roman"/>
                <w:kern w:val="0"/>
                <w:szCs w:val="20"/>
              </w:rPr>
              <w:t>（m</w:t>
            </w:r>
            <w:r>
              <w:rPr>
                <w:rFonts w:cs="Times New Roman"/>
                <w:kern w:val="0"/>
                <w:szCs w:val="20"/>
              </w:rPr>
              <w:t>g/m</w:t>
            </w:r>
            <w:r>
              <w:rPr>
                <w:rFonts w:cs="Times New Roman"/>
                <w:kern w:val="0"/>
                <w:szCs w:val="20"/>
                <w:vertAlign w:val="superscript"/>
              </w:rPr>
              <w:t>3</w:t>
            </w:r>
            <w:r>
              <w:rPr>
                <w:rFonts w:hint="eastAsia" w:cs="Times New Roman"/>
                <w:kern w:val="0"/>
                <w:szCs w:val="20"/>
              </w:rPr>
              <w:t>）</w:t>
            </w:r>
          </w:p>
        </w:tc>
      </w:tr>
      <w:tr w14:paraId="6C843C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0AA9095">
            <w:pPr>
              <w:pStyle w:val="445"/>
              <w:rPr>
                <w:rFonts w:cs="Times New Roman"/>
                <w:kern w:val="0"/>
                <w:szCs w:val="20"/>
              </w:rPr>
            </w:pPr>
            <w:r>
              <w:rPr>
                <w:rFonts w:hint="eastAsia" w:cs="Times New Roman"/>
                <w:kern w:val="0"/>
                <w:szCs w:val="20"/>
              </w:rPr>
              <w:t>氯化氢</w:t>
            </w:r>
          </w:p>
        </w:tc>
        <w:tc>
          <w:tcPr>
            <w:tcW w:w="1880" w:type="pct"/>
            <w:vAlign w:val="center"/>
          </w:tcPr>
          <w:p w14:paraId="1A796F0F">
            <w:pPr>
              <w:pStyle w:val="445"/>
              <w:rPr>
                <w:rFonts w:cs="Times New Roman"/>
                <w:kern w:val="0"/>
                <w:szCs w:val="20"/>
              </w:rPr>
            </w:pPr>
            <w:r>
              <w:rPr>
                <w:rFonts w:cs="Times New Roman"/>
                <w:kern w:val="0"/>
                <w:szCs w:val="20"/>
              </w:rPr>
              <w:t>150</w:t>
            </w:r>
          </w:p>
        </w:tc>
        <w:tc>
          <w:tcPr>
            <w:tcW w:w="2012" w:type="pct"/>
            <w:vAlign w:val="center"/>
          </w:tcPr>
          <w:p w14:paraId="3FA65E80">
            <w:pPr>
              <w:pStyle w:val="445"/>
              <w:rPr>
                <w:rFonts w:cs="Times New Roman"/>
                <w:kern w:val="0"/>
                <w:szCs w:val="20"/>
              </w:rPr>
            </w:pPr>
            <w:r>
              <w:rPr>
                <w:rFonts w:cs="Times New Roman"/>
                <w:kern w:val="0"/>
                <w:szCs w:val="20"/>
              </w:rPr>
              <w:t>33</w:t>
            </w:r>
          </w:p>
        </w:tc>
      </w:tr>
    </w:tbl>
    <w:p w14:paraId="72B928C6">
      <w:pPr>
        <w:pStyle w:val="349"/>
      </w:pPr>
      <w:r>
        <w:rPr>
          <w:rFonts w:hint="eastAsia"/>
          <w:lang w:val="zh-CN"/>
        </w:rPr>
        <w:t>5</w:t>
      </w:r>
      <w:r>
        <w:rPr>
          <w:lang w:val="zh-CN"/>
        </w:rPr>
        <w:t>.6.6.3</w:t>
      </w:r>
      <w:r>
        <w:rPr>
          <w:rFonts w:hint="eastAsia"/>
        </w:rPr>
        <w:t>氢氟酸储罐泄漏事故</w:t>
      </w:r>
    </w:p>
    <w:p w14:paraId="7075B941">
      <w:pPr>
        <w:ind w:firstLine="480"/>
        <w:rPr>
          <w:rFonts w:cs="Times New Roman"/>
        </w:rPr>
      </w:pPr>
      <w:r>
        <w:rPr>
          <w:rFonts w:cs="Times New Roman"/>
        </w:rPr>
        <w:t>（1）液体泄漏公式</w:t>
      </w:r>
    </w:p>
    <w:p w14:paraId="6F50EC85">
      <w:pPr>
        <w:ind w:firstLine="480"/>
        <w:rPr>
          <w:rFonts w:cs="Times New Roman"/>
        </w:rPr>
      </w:pPr>
      <w:r>
        <w:rPr>
          <w:rFonts w:cs="Times New Roman"/>
        </w:rPr>
        <w:t>液体泄漏速率Q</w:t>
      </w:r>
      <w:r>
        <w:rPr>
          <w:rFonts w:cs="Times New Roman"/>
          <w:vertAlign w:val="subscript"/>
        </w:rPr>
        <w:t>L</w:t>
      </w:r>
      <w:r>
        <w:rPr>
          <w:rFonts w:cs="Times New Roman"/>
        </w:rPr>
        <w:t>采用伯努利方程（限制条件为液体在喷口不应有急骤蒸发）</w:t>
      </w:r>
    </w:p>
    <w:p w14:paraId="0E8E988A">
      <w:pPr>
        <w:ind w:firstLine="480"/>
        <w:jc w:val="center"/>
        <w:rPr>
          <w:rFonts w:cs="Times New Roman"/>
        </w:rPr>
      </w:pPr>
      <w:r>
        <w:rPr>
          <w:rFonts w:cs="Times New Roman"/>
        </w:rPr>
        <w:object>
          <v:shape id="_x0000_i1026" o:spt="75" type="#_x0000_t75" style="height:54pt;width:204pt;" o:ole="t" filled="f" o:preferrelative="t" stroked="f" coordsize="21600,21600">
            <v:path/>
            <v:fill on="f" focussize="0,0"/>
            <v:stroke on="f" joinstyle="miter"/>
            <v:imagedata r:id="rId104" o:title=""/>
            <o:lock v:ext="edit" aspectratio="t"/>
            <w10:wrap type="none"/>
            <w10:anchorlock/>
          </v:shape>
          <o:OLEObject Type="Embed" ProgID="Equation.3" ShapeID="_x0000_i1026" DrawAspect="Content" ObjectID="_1468075731" r:id="rId103">
            <o:LockedField>false</o:LockedField>
          </o:OLEObject>
        </w:object>
      </w:r>
    </w:p>
    <w:p w14:paraId="0F7EA11B">
      <w:pPr>
        <w:ind w:firstLine="480"/>
        <w:rPr>
          <w:rFonts w:cs="Times New Roman"/>
        </w:rPr>
      </w:pPr>
      <w:r>
        <w:rPr>
          <w:rFonts w:cs="Times New Roman"/>
        </w:rPr>
        <w:t>式中，Q</w:t>
      </w:r>
      <w:r>
        <w:rPr>
          <w:rFonts w:cs="Times New Roman"/>
          <w:vertAlign w:val="subscript"/>
        </w:rPr>
        <w:t>L</w:t>
      </w:r>
      <w:r>
        <w:rPr>
          <w:rFonts w:cs="Times New Roman"/>
        </w:rPr>
        <w:t>—液体泄漏速率，kg/s；</w:t>
      </w:r>
    </w:p>
    <w:p w14:paraId="07F73A6A">
      <w:pPr>
        <w:ind w:firstLine="1200" w:firstLineChars="500"/>
        <w:rPr>
          <w:rFonts w:cs="Times New Roman"/>
        </w:rPr>
      </w:pPr>
      <w:r>
        <w:rPr>
          <w:rFonts w:cs="Times New Roman"/>
        </w:rPr>
        <w:t>Ar—裂口面积，m</w:t>
      </w:r>
      <w:r>
        <w:rPr>
          <w:rFonts w:cs="Times New Roman"/>
          <w:vertAlign w:val="superscript"/>
        </w:rPr>
        <w:t>2</w:t>
      </w:r>
      <w:r>
        <w:rPr>
          <w:rFonts w:cs="Times New Roman"/>
        </w:rPr>
        <w:t>；</w:t>
      </w:r>
    </w:p>
    <w:p w14:paraId="3288B16D">
      <w:pPr>
        <w:ind w:firstLine="1200" w:firstLineChars="500"/>
        <w:rPr>
          <w:rFonts w:cs="Times New Roman"/>
        </w:rPr>
      </w:pPr>
      <w:r>
        <w:rPr>
          <w:rFonts w:cs="Times New Roman"/>
        </w:rPr>
        <w:t>Cd—液体泄漏系数，C</w:t>
      </w:r>
      <w:r>
        <w:rPr>
          <w:rFonts w:cs="Times New Roman"/>
          <w:vertAlign w:val="subscript"/>
        </w:rPr>
        <w:t>d</w:t>
      </w:r>
      <w:r>
        <w:rPr>
          <w:rFonts w:cs="Times New Roman"/>
        </w:rPr>
        <w:t>取值0.65。</w:t>
      </w:r>
    </w:p>
    <w:p w14:paraId="410B6FED">
      <w:pPr>
        <w:ind w:firstLine="1200" w:firstLineChars="500"/>
        <w:rPr>
          <w:rFonts w:cs="Times New Roman"/>
        </w:rPr>
      </w:pPr>
      <w:r>
        <w:rPr>
          <w:rFonts w:cs="Times New Roman"/>
        </w:rPr>
        <w:t>P</w:t>
      </w:r>
      <w:r>
        <w:rPr>
          <w:rFonts w:cs="Times New Roman"/>
          <w:vertAlign w:val="subscript"/>
        </w:rPr>
        <w:t>1</w:t>
      </w:r>
      <w:r>
        <w:rPr>
          <w:rFonts w:cs="Times New Roman"/>
        </w:rPr>
        <w:t>—容器内介质压力，Pa；</w:t>
      </w:r>
    </w:p>
    <w:p w14:paraId="6ED19BF4">
      <w:pPr>
        <w:ind w:firstLine="1200" w:firstLineChars="500"/>
        <w:rPr>
          <w:rFonts w:cs="Times New Roman"/>
        </w:rPr>
      </w:pPr>
      <w:r>
        <w:rPr>
          <w:rFonts w:cs="Times New Roman"/>
        </w:rPr>
        <w:t xml:space="preserve">Pa—环境压力，Pa； </w:t>
      </w:r>
    </w:p>
    <w:p w14:paraId="7A58DD11">
      <w:pPr>
        <w:ind w:firstLine="1200" w:firstLineChars="500"/>
        <w:rPr>
          <w:rFonts w:cs="Times New Roman"/>
        </w:rPr>
      </w:pPr>
      <w:r>
        <w:rPr>
          <w:rFonts w:cs="Times New Roman"/>
        </w:rPr>
        <w:t>ρ—泄漏液体密度，kg/m</w:t>
      </w:r>
      <w:r>
        <w:rPr>
          <w:rFonts w:cs="Times New Roman"/>
          <w:vertAlign w:val="superscript"/>
        </w:rPr>
        <w:t>3</w:t>
      </w:r>
      <w:r>
        <w:rPr>
          <w:rFonts w:cs="Times New Roman"/>
        </w:rPr>
        <w:t xml:space="preserve">； </w:t>
      </w:r>
    </w:p>
    <w:p w14:paraId="3E25D813">
      <w:pPr>
        <w:ind w:firstLine="1200" w:firstLineChars="500"/>
        <w:rPr>
          <w:rFonts w:cs="Times New Roman"/>
        </w:rPr>
      </w:pPr>
      <w:r>
        <w:rPr>
          <w:rFonts w:cs="Times New Roman"/>
        </w:rPr>
        <w:t>h—裂口之上液体高度，m。</w:t>
      </w:r>
    </w:p>
    <w:p w14:paraId="153DD671">
      <w:pPr>
        <w:ind w:firstLine="480"/>
        <w:rPr>
          <w:rFonts w:cs="Times New Roman"/>
        </w:rPr>
      </w:pPr>
      <w:r>
        <w:rPr>
          <w:rFonts w:cs="Times New Roman"/>
        </w:rPr>
        <w:t>（2）泄漏液体蒸发量计算</w:t>
      </w:r>
    </w:p>
    <w:p w14:paraId="00586EB1">
      <w:pPr>
        <w:ind w:firstLine="480"/>
        <w:rPr>
          <w:rFonts w:cs="Times New Roman"/>
        </w:rPr>
      </w:pPr>
      <w:r>
        <w:rPr>
          <w:rFonts w:cs="Times New Roman"/>
        </w:rPr>
        <w:t>通常泄漏后液体的挥发按其机理可有闪蒸蒸发、热量蒸发和质量蒸发三种，其挥发总量为这三种蒸发之和。</w:t>
      </w:r>
    </w:p>
    <w:p w14:paraId="5B9B3445">
      <w:pPr>
        <w:ind w:firstLine="480"/>
        <w:rPr>
          <w:rFonts w:cs="Times New Roman"/>
        </w:rPr>
      </w:pPr>
      <w:r>
        <w:t>①</w:t>
      </w:r>
      <w:r>
        <w:rPr>
          <w:rFonts w:cs="Times New Roman"/>
        </w:rPr>
        <w:t xml:space="preserve"> 闪蒸蒸发估算</w:t>
      </w:r>
    </w:p>
    <w:p w14:paraId="6C312F34">
      <w:pPr>
        <w:ind w:firstLine="480"/>
        <w:rPr>
          <w:rFonts w:cs="Times New Roman"/>
        </w:rPr>
      </w:pPr>
      <w:r>
        <w:rPr>
          <w:rFonts w:cs="Times New Roman"/>
        </w:rPr>
        <w:t>当液体的沸点低于储存温度，液体流过裂口时会发生闪蒸。其闪蒸系数用下式计算：</w:t>
      </w:r>
    </w:p>
    <w:p w14:paraId="35ECDAF2">
      <w:pPr>
        <w:ind w:firstLine="480"/>
        <w:jc w:val="center"/>
        <w:rPr>
          <w:rFonts w:cs="Times New Roman"/>
        </w:rPr>
      </w:pPr>
      <w:r>
        <w:rPr>
          <w:rFonts w:cs="Times New Roman"/>
        </w:rPr>
        <w:object>
          <v:shape id="_x0000_i1027" o:spt="75" type="#_x0000_t75" style="height:36pt;width:78pt;" o:ole="t" filled="f" o:preferrelative="t" stroked="f" coordsize="21600,21600">
            <v:path/>
            <v:fill on="f" focussize="0,0"/>
            <v:stroke on="f" joinstyle="miter"/>
            <v:imagedata r:id="rId106" o:title=""/>
            <o:lock v:ext="edit" aspectratio="t"/>
            <w10:wrap type="none"/>
            <w10:anchorlock/>
          </v:shape>
          <o:OLEObject Type="Embed" ProgID="Equation.3" ShapeID="_x0000_i1027" DrawAspect="Content" ObjectID="_1468075732" r:id="rId105">
            <o:LockedField>false</o:LockedField>
          </o:OLEObject>
        </w:object>
      </w:r>
    </w:p>
    <w:p w14:paraId="5A9855E5">
      <w:pPr>
        <w:ind w:firstLine="480"/>
        <w:rPr>
          <w:rFonts w:cs="Times New Roman"/>
        </w:rPr>
      </w:pPr>
      <w:r>
        <w:rPr>
          <w:rFonts w:cs="Times New Roman"/>
        </w:rPr>
        <w:t>过热液体闪蒸蒸发速率按下式计算：</w:t>
      </w:r>
    </w:p>
    <w:p w14:paraId="2124262F">
      <w:pPr>
        <w:ind w:firstLine="480"/>
        <w:jc w:val="center"/>
        <w:rPr>
          <w:rFonts w:cs="Times New Roman"/>
        </w:rPr>
      </w:pPr>
      <w:r>
        <w:rPr>
          <w:rFonts w:cs="Times New Roman"/>
        </w:rPr>
        <w:t>Q</w:t>
      </w:r>
      <w:r>
        <w:rPr>
          <w:rFonts w:cs="Times New Roman"/>
          <w:vertAlign w:val="subscript"/>
        </w:rPr>
        <w:t>1</w:t>
      </w:r>
      <w:r>
        <w:rPr>
          <w:rFonts w:cs="Times New Roman"/>
        </w:rPr>
        <w:t>=Q</w:t>
      </w:r>
      <w:r>
        <w:rPr>
          <w:rFonts w:cs="Times New Roman"/>
          <w:vertAlign w:val="subscript"/>
        </w:rPr>
        <w:t>L</w:t>
      </w:r>
      <w:r>
        <w:rPr>
          <w:rFonts w:cs="Times New Roman"/>
        </w:rPr>
        <w:t>×Q</w:t>
      </w:r>
    </w:p>
    <w:p w14:paraId="02D99373">
      <w:pPr>
        <w:ind w:firstLine="480"/>
        <w:rPr>
          <w:rFonts w:cs="Times New Roman"/>
        </w:rPr>
      </w:pPr>
      <w:r>
        <w:rPr>
          <w:rFonts w:cs="Times New Roman"/>
        </w:rPr>
        <w:t>式中：F—泄漏液体的闪蒸比例；</w:t>
      </w:r>
    </w:p>
    <w:p w14:paraId="6FFA42FE">
      <w:pPr>
        <w:ind w:firstLine="1200" w:firstLineChars="500"/>
        <w:rPr>
          <w:rFonts w:cs="Times New Roman"/>
        </w:rPr>
      </w:pPr>
      <w:r>
        <w:rPr>
          <w:rFonts w:cs="Times New Roman"/>
        </w:rPr>
        <w:t>C</w:t>
      </w:r>
      <w:r>
        <w:rPr>
          <w:rFonts w:cs="Times New Roman"/>
          <w:vertAlign w:val="subscript"/>
        </w:rPr>
        <w:t>p</w:t>
      </w:r>
      <w:r>
        <w:rPr>
          <w:rFonts w:cs="Times New Roman"/>
        </w:rPr>
        <w:t>—泄漏液体的定压比热容，J/(kg•K)；</w:t>
      </w:r>
    </w:p>
    <w:p w14:paraId="6EE90E86">
      <w:pPr>
        <w:ind w:firstLine="1200" w:firstLineChars="500"/>
        <w:rPr>
          <w:rFonts w:cs="Times New Roman"/>
        </w:rPr>
      </w:pPr>
      <w:r>
        <w:rPr>
          <w:rFonts w:cs="Times New Roman"/>
        </w:rPr>
        <w:t>T</w:t>
      </w:r>
      <w:r>
        <w:rPr>
          <w:rFonts w:cs="Times New Roman"/>
          <w:vertAlign w:val="subscript"/>
        </w:rPr>
        <w:t>L</w:t>
      </w:r>
      <w:r>
        <w:rPr>
          <w:rFonts w:cs="Times New Roman"/>
        </w:rPr>
        <w:t>—储存温度，K；</w:t>
      </w:r>
    </w:p>
    <w:p w14:paraId="7DDF0C02">
      <w:pPr>
        <w:ind w:firstLine="1200" w:firstLineChars="500"/>
        <w:rPr>
          <w:rFonts w:cs="Times New Roman"/>
        </w:rPr>
      </w:pPr>
      <w:r>
        <w:rPr>
          <w:rFonts w:cs="Times New Roman"/>
        </w:rPr>
        <w:t>T</w:t>
      </w:r>
      <w:r>
        <w:rPr>
          <w:rFonts w:cs="Times New Roman"/>
          <w:vertAlign w:val="subscript"/>
        </w:rPr>
        <w:t>b</w:t>
      </w:r>
      <w:r>
        <w:rPr>
          <w:rFonts w:cs="Times New Roman"/>
        </w:rPr>
        <w:t>—泄漏液体的沸点，K；</w:t>
      </w:r>
    </w:p>
    <w:p w14:paraId="70DCA721">
      <w:pPr>
        <w:ind w:firstLine="1200" w:firstLineChars="500"/>
        <w:rPr>
          <w:rFonts w:cs="Times New Roman"/>
        </w:rPr>
      </w:pPr>
      <w:r>
        <w:rPr>
          <w:rFonts w:cs="Times New Roman"/>
        </w:rPr>
        <w:t>H—泄漏液体的蒸发热，J/kg；</w:t>
      </w:r>
    </w:p>
    <w:p w14:paraId="5C04874F">
      <w:pPr>
        <w:ind w:firstLine="1200" w:firstLineChars="500"/>
        <w:rPr>
          <w:rFonts w:cs="Times New Roman"/>
        </w:rPr>
      </w:pPr>
      <w:r>
        <w:rPr>
          <w:rFonts w:cs="Times New Roman"/>
        </w:rPr>
        <w:t>Q</w:t>
      </w:r>
      <w:r>
        <w:rPr>
          <w:rFonts w:cs="Times New Roman"/>
          <w:vertAlign w:val="subscript"/>
        </w:rPr>
        <w:t>1</w:t>
      </w:r>
      <w:r>
        <w:rPr>
          <w:rFonts w:cs="Times New Roman"/>
        </w:rPr>
        <w:t>—过热液体闪蒸蒸发速率，kg/s；</w:t>
      </w:r>
    </w:p>
    <w:p w14:paraId="34C7D850">
      <w:pPr>
        <w:ind w:firstLine="1200" w:firstLineChars="500"/>
        <w:rPr>
          <w:rFonts w:cs="Times New Roman"/>
        </w:rPr>
      </w:pPr>
      <w:r>
        <w:rPr>
          <w:rFonts w:cs="Times New Roman"/>
        </w:rPr>
        <w:t>Q</w:t>
      </w:r>
      <w:r>
        <w:rPr>
          <w:rFonts w:cs="Times New Roman"/>
          <w:vertAlign w:val="subscript"/>
        </w:rPr>
        <w:t>L</w:t>
      </w:r>
      <w:r>
        <w:rPr>
          <w:rFonts w:cs="Times New Roman"/>
        </w:rPr>
        <w:t>—物质泄漏速率，kg/s。</w:t>
      </w:r>
    </w:p>
    <w:p w14:paraId="71C23D24">
      <w:pPr>
        <w:ind w:firstLine="480"/>
        <w:rPr>
          <w:rFonts w:cs="Times New Roman"/>
        </w:rPr>
      </w:pPr>
      <w:r>
        <w:t>②</w:t>
      </w:r>
      <w:r>
        <w:rPr>
          <w:rFonts w:cs="Times New Roman"/>
        </w:rPr>
        <w:t xml:space="preserve"> 热量蒸发估算</w:t>
      </w:r>
    </w:p>
    <w:p w14:paraId="43B0843D">
      <w:pPr>
        <w:ind w:firstLine="480"/>
        <w:rPr>
          <w:rFonts w:cs="Times New Roman"/>
        </w:rPr>
      </w:pPr>
      <w:r>
        <w:rPr>
          <w:rFonts w:cs="Times New Roman"/>
        </w:rPr>
        <w:t>当液体闪蒸不完全，有一部分液体在地面形成液池，并吸收地面热量而气化，其蒸发速度按下式计算，并应考虑对流传热系数。</w:t>
      </w:r>
    </w:p>
    <w:p w14:paraId="65CE033B">
      <w:pPr>
        <w:ind w:firstLine="480"/>
        <w:jc w:val="center"/>
        <w:rPr>
          <w:rFonts w:cs="Times New Roman"/>
        </w:rPr>
      </w:pPr>
      <w:r>
        <w:rPr>
          <w:rFonts w:cs="Times New Roman"/>
        </w:rPr>
        <w:object>
          <v:shape id="_x0000_i1028" o:spt="75" type="#_x0000_t75" style="height:42pt;width:120pt;" o:ole="t" filled="f" o:preferrelative="t" stroked="f" coordsize="21600,21600">
            <v:path/>
            <v:fill on="f" focussize="0,0"/>
            <v:stroke on="f" joinstyle="miter"/>
            <v:imagedata r:id="rId108" o:title=""/>
            <o:lock v:ext="edit" aspectratio="t"/>
            <w10:wrap type="none"/>
            <w10:anchorlock/>
          </v:shape>
          <o:OLEObject Type="Embed" ProgID="Equation.3" ShapeID="_x0000_i1028" DrawAspect="Content" ObjectID="_1468075733" r:id="rId107">
            <o:LockedField>false</o:LockedField>
          </o:OLEObject>
        </w:object>
      </w:r>
    </w:p>
    <w:p w14:paraId="2B5EDDEE">
      <w:pPr>
        <w:ind w:firstLine="480"/>
        <w:rPr>
          <w:rFonts w:cs="Times New Roman"/>
        </w:rPr>
      </w:pPr>
      <w:r>
        <w:rPr>
          <w:rFonts w:cs="Times New Roman"/>
        </w:rPr>
        <w:t>式中：Q</w:t>
      </w:r>
      <w:r>
        <w:rPr>
          <w:rFonts w:cs="Times New Roman"/>
          <w:vertAlign w:val="subscript"/>
        </w:rPr>
        <w:t>2</w:t>
      </w:r>
      <w:r>
        <w:rPr>
          <w:rFonts w:cs="Times New Roman"/>
        </w:rPr>
        <w:t>—热量蒸发速度，kg/s；</w:t>
      </w:r>
    </w:p>
    <w:p w14:paraId="7174B1B9">
      <w:pPr>
        <w:ind w:firstLine="480"/>
        <w:rPr>
          <w:rFonts w:cs="Times New Roman"/>
        </w:rPr>
      </w:pPr>
      <w:r>
        <w:rPr>
          <w:rFonts w:cs="Times New Roman"/>
        </w:rPr>
        <w:t xml:space="preserve">      T</w:t>
      </w:r>
      <w:r>
        <w:rPr>
          <w:rFonts w:cs="Times New Roman"/>
          <w:vertAlign w:val="subscript"/>
        </w:rPr>
        <w:t>0</w:t>
      </w:r>
      <w:r>
        <w:rPr>
          <w:rFonts w:cs="Times New Roman"/>
        </w:rPr>
        <w:t>—环境温度，K；</w:t>
      </w:r>
    </w:p>
    <w:p w14:paraId="24D3043D">
      <w:pPr>
        <w:ind w:firstLine="480"/>
        <w:rPr>
          <w:rFonts w:cs="Times New Roman"/>
        </w:rPr>
      </w:pPr>
      <w:r>
        <w:rPr>
          <w:rFonts w:cs="Times New Roman"/>
        </w:rPr>
        <w:t xml:space="preserve">      T</w:t>
      </w:r>
      <w:r>
        <w:rPr>
          <w:rFonts w:cs="Times New Roman"/>
          <w:vertAlign w:val="subscript"/>
        </w:rPr>
        <w:t>b</w:t>
      </w:r>
      <w:r>
        <w:rPr>
          <w:rFonts w:cs="Times New Roman"/>
        </w:rPr>
        <w:t>—泄漏液体沸点温度，K；</w:t>
      </w:r>
    </w:p>
    <w:p w14:paraId="4E565FB7">
      <w:pPr>
        <w:ind w:firstLine="480"/>
        <w:rPr>
          <w:rFonts w:cs="Times New Roman"/>
        </w:rPr>
      </w:pPr>
      <w:r>
        <w:rPr>
          <w:rFonts w:cs="Times New Roman"/>
        </w:rPr>
        <w:t xml:space="preserve">      S—液池面积，m</w:t>
      </w:r>
      <w:r>
        <w:rPr>
          <w:rFonts w:cs="Times New Roman"/>
          <w:vertAlign w:val="superscript"/>
        </w:rPr>
        <w:t>2</w:t>
      </w:r>
      <w:r>
        <w:rPr>
          <w:rFonts w:cs="Times New Roman"/>
        </w:rPr>
        <w:t>；</w:t>
      </w:r>
    </w:p>
    <w:p w14:paraId="62A2DB3A">
      <w:pPr>
        <w:ind w:firstLine="480"/>
        <w:rPr>
          <w:rFonts w:cs="Times New Roman"/>
        </w:rPr>
      </w:pPr>
      <w:r>
        <w:rPr>
          <w:rFonts w:cs="Times New Roman"/>
        </w:rPr>
        <w:t xml:space="preserve">      H—液体气化热，J/kg；</w:t>
      </w:r>
    </w:p>
    <w:p w14:paraId="1CC1218E">
      <w:pPr>
        <w:ind w:firstLine="480"/>
        <w:rPr>
          <w:rFonts w:cs="Times New Roman"/>
        </w:rPr>
      </w:pPr>
      <w:r>
        <w:rPr>
          <w:rFonts w:cs="Times New Roman"/>
        </w:rPr>
        <w:t xml:space="preserve">      λ—表面热导系数，W/（m•k）；</w:t>
      </w:r>
    </w:p>
    <w:p w14:paraId="38310420">
      <w:pPr>
        <w:ind w:firstLine="480"/>
        <w:rPr>
          <w:rFonts w:cs="Times New Roman"/>
        </w:rPr>
      </w:pPr>
      <w:r>
        <w:rPr>
          <w:rFonts w:cs="Times New Roman"/>
        </w:rPr>
        <w:t xml:space="preserve">      α—表面热扩散系数，m</w:t>
      </w:r>
      <w:r>
        <w:rPr>
          <w:rFonts w:cs="Times New Roman"/>
          <w:vertAlign w:val="superscript"/>
        </w:rPr>
        <w:t>2</w:t>
      </w:r>
      <w:r>
        <w:rPr>
          <w:rFonts w:cs="Times New Roman"/>
        </w:rPr>
        <w:t>/s；</w:t>
      </w:r>
    </w:p>
    <w:p w14:paraId="4B781AAA">
      <w:pPr>
        <w:ind w:firstLine="480"/>
        <w:rPr>
          <w:rFonts w:cs="Times New Roman"/>
        </w:rPr>
      </w:pPr>
      <w:r>
        <w:rPr>
          <w:rFonts w:cs="Times New Roman"/>
        </w:rPr>
        <w:t xml:space="preserve">       t—蒸发时间，s。</w:t>
      </w:r>
    </w:p>
    <w:p w14:paraId="2711D67B">
      <w:pPr>
        <w:ind w:firstLine="480"/>
        <w:rPr>
          <w:rFonts w:cs="Times New Roman"/>
        </w:rPr>
      </w:pPr>
      <w:r>
        <w:t>③</w:t>
      </w:r>
      <w:r>
        <w:rPr>
          <w:rFonts w:cs="Times New Roman"/>
        </w:rPr>
        <w:t xml:space="preserve"> 质量蒸发估算</w:t>
      </w:r>
    </w:p>
    <w:p w14:paraId="725DEA46">
      <w:pPr>
        <w:ind w:firstLine="480"/>
        <w:rPr>
          <w:rFonts w:cs="Times New Roman"/>
        </w:rPr>
      </w:pPr>
      <w:r>
        <w:rPr>
          <w:rFonts w:cs="Times New Roman"/>
        </w:rPr>
        <w:t>当热量蒸发结束后，转由液池表面气流运动使液体蒸发，称之为质量蒸发。其蒸发速率按下式计算。</w:t>
      </w:r>
    </w:p>
    <w:p w14:paraId="17F1651C">
      <w:pPr>
        <w:ind w:firstLine="480"/>
        <w:jc w:val="center"/>
        <w:rPr>
          <w:rFonts w:cs="Times New Roman"/>
        </w:rPr>
      </w:pPr>
      <w:r>
        <w:rPr>
          <w:rFonts w:cs="Times New Roman"/>
          <w:position w:val="-12"/>
        </w:rPr>
        <w:object>
          <v:shape id="_x0000_i1029" o:spt="75" type="#_x0000_t75" style="height:24pt;width:300pt;" o:ole="t" filled="f" o:preferrelative="t" stroked="f" coordsize="21600,21600">
            <v:path/>
            <v:fill on="f" focussize="0,0"/>
            <v:stroke on="f" joinstyle="miter"/>
            <v:imagedata r:id="rId110" o:title=""/>
            <o:lock v:ext="edit" aspectratio="t"/>
            <w10:wrap type="none"/>
            <w10:anchorlock/>
          </v:shape>
          <o:OLEObject Type="Embed" ProgID="Equation.3" ShapeID="_x0000_i1029" DrawAspect="Content" ObjectID="_1468075734" r:id="rId109">
            <o:LockedField>false</o:LockedField>
          </o:OLEObject>
        </w:object>
      </w:r>
    </w:p>
    <w:p w14:paraId="22C0A962">
      <w:pPr>
        <w:ind w:firstLine="480"/>
        <w:rPr>
          <w:rFonts w:cs="Times New Roman"/>
        </w:rPr>
      </w:pPr>
      <w:r>
        <w:rPr>
          <w:rFonts w:cs="Times New Roman"/>
        </w:rPr>
        <w:t>式中：Q—质量蒸发速率，kg/s；</w:t>
      </w:r>
    </w:p>
    <w:p w14:paraId="542ECFA5">
      <w:pPr>
        <w:ind w:firstLine="480"/>
        <w:rPr>
          <w:rFonts w:cs="Times New Roman"/>
        </w:rPr>
      </w:pPr>
      <w:r>
        <w:rPr>
          <w:rFonts w:cs="Times New Roman"/>
        </w:rPr>
        <w:t xml:space="preserve">      P—液体表面蒸气压，Pa；</w:t>
      </w:r>
    </w:p>
    <w:p w14:paraId="22E0CBE1">
      <w:pPr>
        <w:ind w:firstLine="480"/>
        <w:rPr>
          <w:rFonts w:cs="Times New Roman"/>
        </w:rPr>
      </w:pPr>
      <w:r>
        <w:rPr>
          <w:rFonts w:cs="Times New Roman"/>
        </w:rPr>
        <w:t xml:space="preserve">      M —物质的摩尔质量，kg/mol；</w:t>
      </w:r>
    </w:p>
    <w:p w14:paraId="24FA2F89">
      <w:pPr>
        <w:ind w:firstLine="480"/>
        <w:rPr>
          <w:rFonts w:cs="Times New Roman"/>
        </w:rPr>
      </w:pPr>
      <w:r>
        <w:rPr>
          <w:rFonts w:cs="Times New Roman"/>
        </w:rPr>
        <w:t xml:space="preserve">      R—气体常数，J/(mol数，)；</w:t>
      </w:r>
    </w:p>
    <w:p w14:paraId="2CFE6879">
      <w:pPr>
        <w:ind w:firstLine="480"/>
        <w:rPr>
          <w:rFonts w:cs="Times New Roman"/>
        </w:rPr>
      </w:pPr>
      <w:r>
        <w:rPr>
          <w:rFonts w:cs="Times New Roman"/>
        </w:rPr>
        <w:t xml:space="preserve">      T —环境温度，K；</w:t>
      </w:r>
    </w:p>
    <w:p w14:paraId="36FAAB4C">
      <w:pPr>
        <w:ind w:firstLine="1200" w:firstLineChars="500"/>
        <w:rPr>
          <w:rFonts w:cs="Times New Roman"/>
        </w:rPr>
      </w:pPr>
      <w:r>
        <w:rPr>
          <w:rFonts w:cs="Times New Roman"/>
        </w:rPr>
        <w:t>μ—风速，m/s；</w:t>
      </w:r>
    </w:p>
    <w:p w14:paraId="498A4512">
      <w:pPr>
        <w:ind w:firstLine="1200" w:firstLineChars="500"/>
        <w:rPr>
          <w:rFonts w:cs="Times New Roman"/>
        </w:rPr>
      </w:pPr>
      <w:r>
        <w:rPr>
          <w:rFonts w:cs="Times New Roman"/>
        </w:rPr>
        <w:t>r s液池半径，m，以围堰最大等效半径为液池半径；</w:t>
      </w:r>
    </w:p>
    <w:p w14:paraId="5888A1CC">
      <w:pPr>
        <w:ind w:firstLine="1200" w:firstLineChars="500"/>
        <w:rPr>
          <w:rFonts w:cs="Times New Roman"/>
        </w:rPr>
      </w:pPr>
      <w:r>
        <w:rPr>
          <w:rFonts w:cs="Times New Roman"/>
        </w:rPr>
        <w:t>a，n—大气稳定系数。</w:t>
      </w:r>
    </w:p>
    <w:p w14:paraId="34E91B75">
      <w:pPr>
        <w:ind w:firstLine="480"/>
        <w:rPr>
          <w:rFonts w:cs="Times New Roman"/>
        </w:rPr>
      </w:pPr>
      <w:r>
        <w:t>④</w:t>
      </w:r>
      <w:r>
        <w:rPr>
          <w:rFonts w:cs="Times New Roman"/>
        </w:rPr>
        <w:t xml:space="preserve"> 液体蒸发总量计算</w:t>
      </w:r>
    </w:p>
    <w:p w14:paraId="6DCF1F5C">
      <w:pPr>
        <w:ind w:firstLine="480"/>
        <w:rPr>
          <w:rFonts w:cs="Times New Roman"/>
        </w:rPr>
      </w:pPr>
      <w:r>
        <w:rPr>
          <w:rFonts w:cs="Times New Roman"/>
        </w:rPr>
        <w:t>液体蒸发总量按下式计算。</w:t>
      </w:r>
    </w:p>
    <w:p w14:paraId="3DF2EDAE">
      <w:pPr>
        <w:ind w:firstLine="1200" w:firstLineChars="500"/>
        <w:jc w:val="center"/>
        <w:rPr>
          <w:rFonts w:cs="Times New Roman"/>
        </w:rPr>
      </w:pPr>
      <w:r>
        <w:rPr>
          <w:rFonts w:cs="Times New Roman"/>
        </w:rPr>
        <w:t>Wp=Q</w:t>
      </w:r>
      <w:r>
        <w:rPr>
          <w:rFonts w:cs="Times New Roman"/>
          <w:vertAlign w:val="subscript"/>
        </w:rPr>
        <w:t>1</w:t>
      </w:r>
      <w:r>
        <w:rPr>
          <w:rFonts w:cs="Times New Roman"/>
        </w:rPr>
        <w:t>t</w:t>
      </w:r>
      <w:r>
        <w:rPr>
          <w:rFonts w:cs="Times New Roman"/>
          <w:vertAlign w:val="subscript"/>
        </w:rPr>
        <w:t>1</w:t>
      </w:r>
      <w:r>
        <w:rPr>
          <w:rFonts w:cs="Times New Roman"/>
        </w:rPr>
        <w:t>+Q</w:t>
      </w:r>
      <w:r>
        <w:rPr>
          <w:rFonts w:cs="Times New Roman"/>
          <w:vertAlign w:val="subscript"/>
        </w:rPr>
        <w:t>2</w:t>
      </w:r>
      <w:r>
        <w:rPr>
          <w:rFonts w:cs="Times New Roman"/>
        </w:rPr>
        <w:t>t</w:t>
      </w:r>
      <w:r>
        <w:rPr>
          <w:rFonts w:cs="Times New Roman"/>
          <w:vertAlign w:val="subscript"/>
        </w:rPr>
        <w:t>2</w:t>
      </w:r>
      <w:r>
        <w:rPr>
          <w:rFonts w:cs="Times New Roman"/>
        </w:rPr>
        <w:t>+Q</w:t>
      </w:r>
      <w:r>
        <w:rPr>
          <w:rFonts w:cs="Times New Roman"/>
          <w:vertAlign w:val="subscript"/>
        </w:rPr>
        <w:t>3</w:t>
      </w:r>
      <w:r>
        <w:rPr>
          <w:rFonts w:cs="Times New Roman"/>
        </w:rPr>
        <w:t>t</w:t>
      </w:r>
      <w:r>
        <w:rPr>
          <w:rFonts w:cs="Times New Roman"/>
          <w:vertAlign w:val="subscript"/>
        </w:rPr>
        <w:t>3</w:t>
      </w:r>
    </w:p>
    <w:p w14:paraId="2B94FD5C">
      <w:pPr>
        <w:ind w:firstLine="480"/>
        <w:rPr>
          <w:rFonts w:cs="Times New Roman"/>
        </w:rPr>
      </w:pPr>
      <w:r>
        <w:rPr>
          <w:rFonts w:cs="Times New Roman"/>
        </w:rPr>
        <w:t>式中：Wp—液体蒸发总量，kg；</w:t>
      </w:r>
    </w:p>
    <w:p w14:paraId="0DC88166">
      <w:pPr>
        <w:ind w:firstLine="480"/>
        <w:rPr>
          <w:rFonts w:cs="Times New Roman"/>
        </w:rPr>
      </w:pPr>
      <w:r>
        <w:rPr>
          <w:rFonts w:cs="Times New Roman"/>
        </w:rPr>
        <w:t xml:space="preserve">      Q</w:t>
      </w:r>
      <w:r>
        <w:rPr>
          <w:rFonts w:cs="Times New Roman"/>
          <w:vertAlign w:val="subscript"/>
        </w:rPr>
        <w:t>1</w:t>
      </w:r>
      <w:r>
        <w:rPr>
          <w:rFonts w:cs="Times New Roman"/>
        </w:rPr>
        <w:t>—闪蒸液体蒸发速率，kg/s；</w:t>
      </w:r>
    </w:p>
    <w:p w14:paraId="6018EAC3">
      <w:pPr>
        <w:ind w:firstLine="1200" w:firstLineChars="500"/>
        <w:rPr>
          <w:rFonts w:eastAsia="黑体" w:cs="Times New Roman"/>
        </w:rPr>
      </w:pPr>
      <w:r>
        <w:rPr>
          <w:rFonts w:cs="Times New Roman"/>
        </w:rPr>
        <w:t>Q</w:t>
      </w:r>
      <w:r>
        <w:rPr>
          <w:rFonts w:cs="Times New Roman"/>
          <w:vertAlign w:val="subscript"/>
        </w:rPr>
        <w:t>2</w:t>
      </w:r>
      <w:r>
        <w:rPr>
          <w:rFonts w:cs="Times New Roman"/>
        </w:rPr>
        <w:t>—热量蒸发速率，kg/s；</w:t>
      </w:r>
    </w:p>
    <w:p w14:paraId="36F32A56">
      <w:pPr>
        <w:ind w:firstLine="1200" w:firstLineChars="500"/>
        <w:rPr>
          <w:rFonts w:eastAsia="黑体" w:cs="Times New Roman"/>
        </w:rPr>
      </w:pPr>
      <w:r>
        <w:rPr>
          <w:rFonts w:cs="Times New Roman"/>
        </w:rPr>
        <w:t>Q</w:t>
      </w:r>
      <w:r>
        <w:rPr>
          <w:rFonts w:cs="Times New Roman"/>
          <w:vertAlign w:val="subscript"/>
        </w:rPr>
        <w:t>3</w:t>
      </w:r>
      <w:r>
        <w:rPr>
          <w:rFonts w:cs="Times New Roman"/>
        </w:rPr>
        <w:t>—质量蒸发速率，kg/s；</w:t>
      </w:r>
    </w:p>
    <w:p w14:paraId="29ABE382">
      <w:pPr>
        <w:ind w:firstLine="1200" w:firstLineChars="500"/>
        <w:rPr>
          <w:rFonts w:cs="Times New Roman"/>
        </w:rPr>
      </w:pPr>
      <w:r>
        <w:rPr>
          <w:rFonts w:cs="Times New Roman"/>
        </w:rPr>
        <w:t>t</w:t>
      </w:r>
      <w:r>
        <w:rPr>
          <w:rFonts w:cs="Times New Roman"/>
          <w:vertAlign w:val="subscript"/>
        </w:rPr>
        <w:t>1</w:t>
      </w:r>
      <w:r>
        <w:rPr>
          <w:rFonts w:cs="Times New Roman"/>
        </w:rPr>
        <w:t>—闪蒸蒸发时间，s；</w:t>
      </w:r>
    </w:p>
    <w:p w14:paraId="4243C9E5">
      <w:pPr>
        <w:ind w:firstLine="1200" w:firstLineChars="500"/>
        <w:rPr>
          <w:rFonts w:eastAsia="黑体" w:cs="Times New Roman"/>
        </w:rPr>
      </w:pPr>
      <w:r>
        <w:rPr>
          <w:rFonts w:cs="Times New Roman"/>
        </w:rPr>
        <w:t>t</w:t>
      </w:r>
      <w:r>
        <w:rPr>
          <w:rFonts w:cs="Times New Roman"/>
          <w:vertAlign w:val="subscript"/>
        </w:rPr>
        <w:t>2</w:t>
      </w:r>
      <w:r>
        <w:rPr>
          <w:rFonts w:cs="Times New Roman"/>
        </w:rPr>
        <w:t>—热量蒸发时间，s；</w:t>
      </w:r>
    </w:p>
    <w:p w14:paraId="3DA51D99">
      <w:pPr>
        <w:ind w:firstLine="1200" w:firstLineChars="500"/>
        <w:rPr>
          <w:rFonts w:cs="Times New Roman"/>
        </w:rPr>
      </w:pPr>
      <w:r>
        <w:rPr>
          <w:rFonts w:cs="Times New Roman"/>
        </w:rPr>
        <w:t>t</w:t>
      </w:r>
      <w:r>
        <w:rPr>
          <w:rFonts w:cs="Times New Roman"/>
          <w:vertAlign w:val="subscript"/>
        </w:rPr>
        <w:t>3</w:t>
      </w:r>
      <w:r>
        <w:rPr>
          <w:rFonts w:cs="Times New Roman"/>
        </w:rPr>
        <w:t>—从液体泄漏到全部清理完毕的时间，s；</w:t>
      </w:r>
    </w:p>
    <w:p w14:paraId="026D5465">
      <w:pPr>
        <w:ind w:firstLine="480"/>
        <w:rPr>
          <w:rFonts w:cs="Times New Roman"/>
        </w:rPr>
      </w:pPr>
      <w:r>
        <w:rPr>
          <w:rFonts w:cs="Times New Roman"/>
        </w:rPr>
        <w:t>采用液体泄漏模型计算，当</w:t>
      </w:r>
      <w:r>
        <w:rPr>
          <w:rFonts w:hint="eastAsia" w:cs="Times New Roman"/>
        </w:rPr>
        <w:t>氢氟酸</w:t>
      </w:r>
      <w:r>
        <w:rPr>
          <w:rFonts w:cs="Times New Roman"/>
        </w:rPr>
        <w:t>储罐或连接系统破裂时，氢氟酸泄漏速率为</w:t>
      </w:r>
      <w:r>
        <w:t>0.033k</w:t>
      </w:r>
      <w:r>
        <w:rPr>
          <w:rFonts w:cs="Times New Roman"/>
        </w:rPr>
        <w:t>g/s。</w:t>
      </w:r>
    </w:p>
    <w:p w14:paraId="374B6A0E">
      <w:pPr>
        <w:ind w:firstLine="480"/>
        <w:rPr>
          <w:rFonts w:cs="Times New Roman"/>
        </w:rPr>
      </w:pPr>
      <w:r>
        <w:rPr>
          <w:rFonts w:hint="eastAsia" w:cs="Times New Roman"/>
        </w:rPr>
        <w:t>5</w:t>
      </w:r>
      <w:r>
        <w:rPr>
          <w:rFonts w:cs="Times New Roman"/>
        </w:rPr>
        <w:t>0</w:t>
      </w:r>
      <w:r>
        <w:rPr>
          <w:rFonts w:hint="eastAsia" w:cs="Times New Roman"/>
        </w:rPr>
        <w:t>%</w:t>
      </w:r>
      <w:r>
        <w:rPr>
          <w:rFonts w:cs="Times New Roman"/>
        </w:rPr>
        <w:t>氢氟酸常温储存，其沸点为105℃高于储罐储存温度，当泄漏事故发生后不会发生闪蒸蒸发；根据2001~2020年20年</w:t>
      </w:r>
      <w:r>
        <w:rPr>
          <w:rFonts w:hint="eastAsia" w:cs="Times New Roman"/>
        </w:rPr>
        <w:t>蚌埠</w:t>
      </w:r>
      <w:r>
        <w:rPr>
          <w:rFonts w:cs="Times New Roman"/>
        </w:rPr>
        <w:t>气象统计数据，极端最高气温为40.5℃，低于</w:t>
      </w:r>
      <w:r>
        <w:rPr>
          <w:rFonts w:hint="eastAsia" w:cs="Times New Roman"/>
        </w:rPr>
        <w:t>5</w:t>
      </w:r>
      <w:r>
        <w:rPr>
          <w:rFonts w:cs="Times New Roman"/>
        </w:rPr>
        <w:t>0</w:t>
      </w:r>
      <w:r>
        <w:rPr>
          <w:rFonts w:hint="eastAsia" w:cs="Times New Roman"/>
        </w:rPr>
        <w:t>%</w:t>
      </w:r>
      <w:r>
        <w:rPr>
          <w:rFonts w:cs="Times New Roman"/>
        </w:rPr>
        <w:t>氢氟酸常压下沸点，泄漏后亦不会发生热量蒸发，所以，泄露后的质量蒸发量即为总蒸发量。</w:t>
      </w:r>
    </w:p>
    <w:p w14:paraId="633059E0">
      <w:pPr>
        <w:ind w:firstLine="480"/>
        <w:rPr>
          <w:rFonts w:cs="Times New Roman"/>
        </w:rPr>
      </w:pPr>
      <w:r>
        <w:rPr>
          <w:rFonts w:hint="eastAsia" w:cs="Times New Roman"/>
        </w:rPr>
        <w:t>5</w:t>
      </w:r>
      <w:r>
        <w:rPr>
          <w:rFonts w:cs="Times New Roman"/>
        </w:rPr>
        <w:t>0</w:t>
      </w:r>
      <w:r>
        <w:rPr>
          <w:rFonts w:hint="eastAsia" w:cs="Times New Roman"/>
        </w:rPr>
        <w:t>%</w:t>
      </w:r>
      <w:r>
        <w:rPr>
          <w:rFonts w:cs="Times New Roman"/>
        </w:rPr>
        <w:t>氢氟酸泄漏形成液池面积25m</w:t>
      </w:r>
      <w:r>
        <w:rPr>
          <w:rFonts w:cs="Times New Roman"/>
          <w:vertAlign w:val="superscript"/>
        </w:rPr>
        <w:t>2</w:t>
      </w:r>
      <w:r>
        <w:rPr>
          <w:rFonts w:cs="Times New Roman"/>
        </w:rPr>
        <w:t>，等效液池半径为5m，氢氟酸泄漏蒸发时间设定为10mim，根据质量蒸发公式计算，大气稳定度D和F情况下氢氟酸质量蒸发速率分别为0.028kg/s和0.03kg/s，蒸发量分别为16.8kg和18kg。</w:t>
      </w:r>
    </w:p>
    <w:p w14:paraId="50F4DF75">
      <w:pPr>
        <w:ind w:firstLine="480"/>
        <w:rPr>
          <w:rFonts w:cs="Times New Roman"/>
        </w:rPr>
      </w:pPr>
      <w:r>
        <w:rPr>
          <w:rFonts w:cs="Times New Roman"/>
        </w:rPr>
        <w:t>根据设计方案，</w:t>
      </w:r>
      <w:r>
        <w:rPr>
          <w:rFonts w:hint="eastAsia" w:cs="Times New Roman"/>
        </w:rPr>
        <w:t>5</w:t>
      </w:r>
      <w:r>
        <w:rPr>
          <w:rFonts w:cs="Times New Roman"/>
        </w:rPr>
        <w:t>0</w:t>
      </w:r>
      <w:r>
        <w:rPr>
          <w:rFonts w:hint="eastAsia" w:cs="Times New Roman"/>
        </w:rPr>
        <w:t>%</w:t>
      </w:r>
      <w:r>
        <w:rPr>
          <w:rFonts w:cs="Times New Roman"/>
        </w:rPr>
        <w:t>氢氟酸泄漏源强计算参数选取见表5.6.6-4。</w:t>
      </w:r>
    </w:p>
    <w:p w14:paraId="5D2D79B9">
      <w:pPr>
        <w:ind w:firstLine="480"/>
        <w:jc w:val="center"/>
        <w:rPr>
          <w:rFonts w:eastAsia="黑体" w:cs="Times New Roman"/>
        </w:rPr>
      </w:pPr>
      <w:r>
        <w:rPr>
          <w:rFonts w:eastAsia="黑体" w:cs="Times New Roman"/>
        </w:rPr>
        <w:t>表5.6.6-4  氢氟酸泄漏源强计算参数选取一览表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0"/>
        <w:gridCol w:w="629"/>
        <w:gridCol w:w="806"/>
        <w:gridCol w:w="670"/>
        <w:gridCol w:w="671"/>
        <w:gridCol w:w="828"/>
        <w:gridCol w:w="671"/>
        <w:gridCol w:w="666"/>
        <w:gridCol w:w="679"/>
        <w:gridCol w:w="833"/>
        <w:gridCol w:w="647"/>
        <w:gridCol w:w="632"/>
        <w:gridCol w:w="595"/>
        <w:gridCol w:w="498"/>
      </w:tblGrid>
      <w:tr w14:paraId="1D469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Align w:val="center"/>
          </w:tcPr>
          <w:p w14:paraId="34A38F77">
            <w:pPr>
              <w:pStyle w:val="445"/>
              <w:rPr>
                <w:rFonts w:cs="Times New Roman"/>
                <w:kern w:val="0"/>
                <w:szCs w:val="20"/>
              </w:rPr>
            </w:pPr>
          </w:p>
        </w:tc>
        <w:tc>
          <w:tcPr>
            <w:tcW w:w="1949" w:type="pct"/>
            <w:gridSpan w:val="5"/>
            <w:vAlign w:val="center"/>
          </w:tcPr>
          <w:p w14:paraId="01C3993B">
            <w:pPr>
              <w:pStyle w:val="445"/>
              <w:rPr>
                <w:rFonts w:cs="Times New Roman"/>
                <w:kern w:val="0"/>
                <w:szCs w:val="20"/>
              </w:rPr>
            </w:pPr>
            <w:r>
              <w:rPr>
                <w:rFonts w:cs="Times New Roman"/>
                <w:kern w:val="0"/>
                <w:szCs w:val="20"/>
              </w:rPr>
              <w:t>泄漏物质参数</w:t>
            </w:r>
          </w:p>
        </w:tc>
        <w:tc>
          <w:tcPr>
            <w:tcW w:w="1891" w:type="pct"/>
            <w:gridSpan w:val="5"/>
            <w:vAlign w:val="center"/>
          </w:tcPr>
          <w:p w14:paraId="47DA2D79">
            <w:pPr>
              <w:pStyle w:val="445"/>
              <w:rPr>
                <w:rFonts w:cs="Times New Roman"/>
                <w:kern w:val="0"/>
                <w:szCs w:val="20"/>
              </w:rPr>
            </w:pPr>
            <w:r>
              <w:rPr>
                <w:rFonts w:cs="Times New Roman"/>
                <w:kern w:val="0"/>
                <w:szCs w:val="20"/>
              </w:rPr>
              <w:t>储存参数</w:t>
            </w:r>
          </w:p>
        </w:tc>
        <w:tc>
          <w:tcPr>
            <w:tcW w:w="933" w:type="pct"/>
            <w:gridSpan w:val="3"/>
            <w:vAlign w:val="center"/>
          </w:tcPr>
          <w:p w14:paraId="180F47EA">
            <w:pPr>
              <w:pStyle w:val="445"/>
              <w:rPr>
                <w:rFonts w:cs="Times New Roman"/>
                <w:kern w:val="0"/>
                <w:szCs w:val="20"/>
              </w:rPr>
            </w:pPr>
            <w:r>
              <w:rPr>
                <w:rFonts w:cs="Times New Roman"/>
                <w:kern w:val="0"/>
                <w:szCs w:val="20"/>
              </w:rPr>
              <w:t>环境参数</w:t>
            </w:r>
          </w:p>
        </w:tc>
      </w:tr>
      <w:tr w14:paraId="13AF7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Align w:val="center"/>
          </w:tcPr>
          <w:p w14:paraId="37D01026">
            <w:pPr>
              <w:pStyle w:val="445"/>
              <w:rPr>
                <w:rFonts w:cs="Times New Roman"/>
                <w:kern w:val="0"/>
                <w:szCs w:val="20"/>
              </w:rPr>
            </w:pPr>
            <w:r>
              <w:rPr>
                <w:rFonts w:cs="Times New Roman"/>
                <w:kern w:val="0"/>
                <w:szCs w:val="20"/>
              </w:rPr>
              <w:t>序号</w:t>
            </w:r>
          </w:p>
        </w:tc>
        <w:tc>
          <w:tcPr>
            <w:tcW w:w="340" w:type="pct"/>
            <w:vAlign w:val="center"/>
          </w:tcPr>
          <w:p w14:paraId="44085D24">
            <w:pPr>
              <w:pStyle w:val="445"/>
              <w:rPr>
                <w:rFonts w:cs="Times New Roman"/>
                <w:kern w:val="0"/>
                <w:szCs w:val="20"/>
              </w:rPr>
            </w:pPr>
            <w:r>
              <w:rPr>
                <w:rFonts w:cs="Times New Roman"/>
                <w:kern w:val="0"/>
                <w:szCs w:val="20"/>
              </w:rPr>
              <w:t>物质名称</w:t>
            </w:r>
          </w:p>
        </w:tc>
        <w:tc>
          <w:tcPr>
            <w:tcW w:w="436" w:type="pct"/>
            <w:vAlign w:val="center"/>
          </w:tcPr>
          <w:p w14:paraId="0FEA1808">
            <w:pPr>
              <w:pStyle w:val="445"/>
              <w:rPr>
                <w:rFonts w:cs="Times New Roman"/>
                <w:kern w:val="0"/>
                <w:szCs w:val="20"/>
              </w:rPr>
            </w:pPr>
            <w:r>
              <w:rPr>
                <w:rFonts w:cs="Times New Roman"/>
                <w:kern w:val="0"/>
                <w:szCs w:val="20"/>
              </w:rPr>
              <w:t>摩尔</w:t>
            </w:r>
          </w:p>
          <w:p w14:paraId="22A8983D">
            <w:pPr>
              <w:pStyle w:val="445"/>
              <w:rPr>
                <w:rFonts w:cs="Times New Roman"/>
                <w:kern w:val="0"/>
                <w:szCs w:val="20"/>
              </w:rPr>
            </w:pPr>
            <w:r>
              <w:rPr>
                <w:rFonts w:cs="Times New Roman"/>
                <w:kern w:val="0"/>
                <w:szCs w:val="20"/>
              </w:rPr>
              <w:t>质量kg/mol</w:t>
            </w:r>
          </w:p>
        </w:tc>
        <w:tc>
          <w:tcPr>
            <w:tcW w:w="362" w:type="pct"/>
            <w:vAlign w:val="center"/>
          </w:tcPr>
          <w:p w14:paraId="38E531E1">
            <w:pPr>
              <w:pStyle w:val="445"/>
              <w:rPr>
                <w:rFonts w:cs="Times New Roman"/>
                <w:kern w:val="0"/>
                <w:szCs w:val="20"/>
              </w:rPr>
            </w:pPr>
            <w:r>
              <w:rPr>
                <w:rFonts w:cs="Times New Roman"/>
                <w:kern w:val="0"/>
                <w:szCs w:val="20"/>
              </w:rPr>
              <w:t>密度kg/m</w:t>
            </w:r>
            <w:r>
              <w:rPr>
                <w:rFonts w:cs="Times New Roman"/>
                <w:kern w:val="0"/>
                <w:szCs w:val="20"/>
                <w:vertAlign w:val="superscript"/>
              </w:rPr>
              <w:t>3</w:t>
            </w:r>
          </w:p>
        </w:tc>
        <w:tc>
          <w:tcPr>
            <w:tcW w:w="363" w:type="pct"/>
            <w:vAlign w:val="center"/>
          </w:tcPr>
          <w:p w14:paraId="4BB756C9">
            <w:pPr>
              <w:pStyle w:val="445"/>
              <w:rPr>
                <w:rFonts w:cs="Times New Roman"/>
                <w:kern w:val="0"/>
                <w:szCs w:val="20"/>
              </w:rPr>
            </w:pPr>
            <w:r>
              <w:rPr>
                <w:rFonts w:cs="Times New Roman"/>
                <w:kern w:val="0"/>
                <w:szCs w:val="20"/>
              </w:rPr>
              <w:t>表面蒸气压Pa</w:t>
            </w:r>
          </w:p>
        </w:tc>
        <w:tc>
          <w:tcPr>
            <w:tcW w:w="448" w:type="pct"/>
            <w:vAlign w:val="center"/>
          </w:tcPr>
          <w:p w14:paraId="538932E3">
            <w:pPr>
              <w:pStyle w:val="445"/>
              <w:rPr>
                <w:rFonts w:cs="Times New Roman"/>
                <w:kern w:val="0"/>
                <w:szCs w:val="20"/>
              </w:rPr>
            </w:pPr>
            <w:r>
              <w:rPr>
                <w:rFonts w:cs="Times New Roman"/>
                <w:kern w:val="0"/>
                <w:szCs w:val="20"/>
              </w:rPr>
              <w:t>气体</w:t>
            </w:r>
          </w:p>
          <w:p w14:paraId="51720E72">
            <w:pPr>
              <w:pStyle w:val="445"/>
              <w:rPr>
                <w:rFonts w:cs="Times New Roman"/>
                <w:kern w:val="0"/>
                <w:szCs w:val="20"/>
              </w:rPr>
            </w:pPr>
            <w:r>
              <w:rPr>
                <w:rFonts w:cs="Times New Roman"/>
                <w:kern w:val="0"/>
                <w:szCs w:val="20"/>
              </w:rPr>
              <w:t>常数J/(mol•k)</w:t>
            </w:r>
          </w:p>
        </w:tc>
        <w:tc>
          <w:tcPr>
            <w:tcW w:w="363" w:type="pct"/>
            <w:vAlign w:val="center"/>
          </w:tcPr>
          <w:p w14:paraId="1FA11F68">
            <w:pPr>
              <w:pStyle w:val="445"/>
              <w:rPr>
                <w:rFonts w:cs="Times New Roman"/>
                <w:kern w:val="0"/>
                <w:szCs w:val="20"/>
              </w:rPr>
            </w:pPr>
            <w:r>
              <w:rPr>
                <w:rFonts w:cs="Times New Roman"/>
                <w:kern w:val="0"/>
                <w:szCs w:val="20"/>
              </w:rPr>
              <w:t>容器压力Pa</w:t>
            </w:r>
          </w:p>
        </w:tc>
        <w:tc>
          <w:tcPr>
            <w:tcW w:w="360" w:type="pct"/>
            <w:vAlign w:val="center"/>
          </w:tcPr>
          <w:p w14:paraId="033E9328">
            <w:pPr>
              <w:pStyle w:val="445"/>
              <w:rPr>
                <w:rFonts w:cs="Times New Roman"/>
                <w:kern w:val="0"/>
                <w:szCs w:val="20"/>
              </w:rPr>
            </w:pPr>
            <w:r>
              <w:rPr>
                <w:rFonts w:cs="Times New Roman"/>
                <w:kern w:val="0"/>
                <w:szCs w:val="20"/>
              </w:rPr>
              <w:t>泄漏系数Cd</w:t>
            </w:r>
          </w:p>
        </w:tc>
        <w:tc>
          <w:tcPr>
            <w:tcW w:w="367" w:type="pct"/>
            <w:vAlign w:val="center"/>
          </w:tcPr>
          <w:p w14:paraId="12A005C1">
            <w:pPr>
              <w:pStyle w:val="445"/>
              <w:rPr>
                <w:rFonts w:cs="Times New Roman"/>
                <w:kern w:val="0"/>
                <w:szCs w:val="20"/>
              </w:rPr>
            </w:pPr>
            <w:r>
              <w:rPr>
                <w:rFonts w:cs="Times New Roman"/>
                <w:kern w:val="0"/>
                <w:szCs w:val="20"/>
              </w:rPr>
              <w:t>液池半径m</w:t>
            </w:r>
          </w:p>
        </w:tc>
        <w:tc>
          <w:tcPr>
            <w:tcW w:w="451" w:type="pct"/>
            <w:vAlign w:val="center"/>
          </w:tcPr>
          <w:p w14:paraId="200974A4">
            <w:pPr>
              <w:pStyle w:val="445"/>
              <w:rPr>
                <w:rFonts w:cs="Times New Roman"/>
                <w:kern w:val="0"/>
                <w:szCs w:val="20"/>
              </w:rPr>
            </w:pPr>
            <w:r>
              <w:rPr>
                <w:rFonts w:cs="Times New Roman"/>
                <w:kern w:val="0"/>
                <w:szCs w:val="20"/>
              </w:rPr>
              <w:t>裂口面积m</w:t>
            </w:r>
            <w:r>
              <w:rPr>
                <w:rFonts w:cs="Times New Roman"/>
                <w:kern w:val="0"/>
                <w:szCs w:val="20"/>
                <w:vertAlign w:val="superscript"/>
              </w:rPr>
              <w:t>2</w:t>
            </w:r>
          </w:p>
        </w:tc>
        <w:tc>
          <w:tcPr>
            <w:tcW w:w="350" w:type="pct"/>
            <w:vAlign w:val="center"/>
          </w:tcPr>
          <w:p w14:paraId="25CC728C">
            <w:pPr>
              <w:pStyle w:val="445"/>
              <w:rPr>
                <w:rFonts w:cs="Times New Roman"/>
                <w:kern w:val="0"/>
                <w:szCs w:val="20"/>
              </w:rPr>
            </w:pPr>
            <w:r>
              <w:rPr>
                <w:rFonts w:cs="Times New Roman"/>
                <w:kern w:val="0"/>
                <w:szCs w:val="20"/>
              </w:rPr>
              <w:t>裂口之上液位高度m</w:t>
            </w:r>
          </w:p>
        </w:tc>
        <w:tc>
          <w:tcPr>
            <w:tcW w:w="342" w:type="pct"/>
            <w:vAlign w:val="center"/>
          </w:tcPr>
          <w:p w14:paraId="2F533CD4">
            <w:pPr>
              <w:pStyle w:val="445"/>
              <w:rPr>
                <w:rFonts w:cs="Times New Roman"/>
                <w:kern w:val="0"/>
                <w:szCs w:val="20"/>
              </w:rPr>
            </w:pPr>
            <w:r>
              <w:rPr>
                <w:rFonts w:cs="Times New Roman"/>
                <w:kern w:val="0"/>
                <w:szCs w:val="20"/>
              </w:rPr>
              <w:t>环境</w:t>
            </w:r>
          </w:p>
          <w:p w14:paraId="27514DEF">
            <w:pPr>
              <w:pStyle w:val="445"/>
              <w:rPr>
                <w:rFonts w:cs="Times New Roman"/>
                <w:kern w:val="0"/>
                <w:szCs w:val="20"/>
              </w:rPr>
            </w:pPr>
            <w:r>
              <w:rPr>
                <w:rFonts w:cs="Times New Roman"/>
                <w:kern w:val="0"/>
                <w:szCs w:val="20"/>
              </w:rPr>
              <w:t>压力Pa</w:t>
            </w:r>
          </w:p>
        </w:tc>
        <w:tc>
          <w:tcPr>
            <w:tcW w:w="322" w:type="pct"/>
            <w:vAlign w:val="center"/>
          </w:tcPr>
          <w:p w14:paraId="75279726">
            <w:pPr>
              <w:pStyle w:val="445"/>
              <w:rPr>
                <w:rFonts w:cs="Times New Roman"/>
                <w:kern w:val="0"/>
                <w:szCs w:val="20"/>
              </w:rPr>
            </w:pPr>
            <w:r>
              <w:rPr>
                <w:rFonts w:cs="Times New Roman"/>
                <w:kern w:val="0"/>
                <w:szCs w:val="20"/>
              </w:rPr>
              <w:t>风速m/s</w:t>
            </w:r>
          </w:p>
        </w:tc>
        <w:tc>
          <w:tcPr>
            <w:tcW w:w="270" w:type="pct"/>
            <w:vAlign w:val="center"/>
          </w:tcPr>
          <w:p w14:paraId="0ADE7808">
            <w:pPr>
              <w:pStyle w:val="445"/>
              <w:rPr>
                <w:rFonts w:cs="Times New Roman"/>
                <w:kern w:val="0"/>
                <w:szCs w:val="20"/>
              </w:rPr>
            </w:pPr>
            <w:r>
              <w:rPr>
                <w:rFonts w:cs="Times New Roman"/>
                <w:kern w:val="0"/>
                <w:szCs w:val="20"/>
              </w:rPr>
              <w:t>环境温度℃</w:t>
            </w:r>
          </w:p>
        </w:tc>
      </w:tr>
      <w:tr w14:paraId="252F3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Align w:val="center"/>
          </w:tcPr>
          <w:p w14:paraId="4E28CBEE">
            <w:pPr>
              <w:pStyle w:val="445"/>
              <w:rPr>
                <w:rFonts w:cs="Times New Roman"/>
                <w:kern w:val="0"/>
                <w:szCs w:val="20"/>
              </w:rPr>
            </w:pPr>
            <w:r>
              <w:rPr>
                <w:rFonts w:cs="Times New Roman"/>
                <w:kern w:val="0"/>
                <w:szCs w:val="20"/>
              </w:rPr>
              <w:t>1</w:t>
            </w:r>
          </w:p>
        </w:tc>
        <w:tc>
          <w:tcPr>
            <w:tcW w:w="340" w:type="pct"/>
            <w:vAlign w:val="center"/>
          </w:tcPr>
          <w:p w14:paraId="0E243DC2">
            <w:pPr>
              <w:pStyle w:val="445"/>
              <w:rPr>
                <w:rFonts w:cs="Times New Roman"/>
                <w:kern w:val="0"/>
                <w:szCs w:val="20"/>
              </w:rPr>
            </w:pPr>
            <w:r>
              <w:rPr>
                <w:rFonts w:hint="eastAsia" w:cs="Times New Roman"/>
                <w:kern w:val="0"/>
                <w:szCs w:val="20"/>
              </w:rPr>
              <w:t>5</w:t>
            </w:r>
            <w:r>
              <w:rPr>
                <w:rFonts w:cs="Times New Roman"/>
                <w:kern w:val="0"/>
                <w:szCs w:val="20"/>
              </w:rPr>
              <w:t>0</w:t>
            </w:r>
            <w:r>
              <w:rPr>
                <w:rFonts w:hint="eastAsia" w:cs="Times New Roman"/>
                <w:kern w:val="0"/>
                <w:szCs w:val="20"/>
              </w:rPr>
              <w:t>%</w:t>
            </w:r>
            <w:r>
              <w:rPr>
                <w:rFonts w:cs="Times New Roman"/>
                <w:kern w:val="0"/>
                <w:szCs w:val="20"/>
              </w:rPr>
              <w:t>氢氟酸</w:t>
            </w:r>
          </w:p>
        </w:tc>
        <w:tc>
          <w:tcPr>
            <w:tcW w:w="436" w:type="pct"/>
            <w:vAlign w:val="center"/>
          </w:tcPr>
          <w:p w14:paraId="1F61FC38">
            <w:pPr>
              <w:pStyle w:val="445"/>
              <w:rPr>
                <w:rFonts w:cs="Times New Roman"/>
                <w:kern w:val="0"/>
                <w:szCs w:val="20"/>
              </w:rPr>
            </w:pPr>
            <w:r>
              <w:rPr>
                <w:rFonts w:cs="Times New Roman"/>
                <w:kern w:val="0"/>
                <w:szCs w:val="20"/>
              </w:rPr>
              <w:t>0.170</w:t>
            </w:r>
          </w:p>
        </w:tc>
        <w:tc>
          <w:tcPr>
            <w:tcW w:w="362" w:type="pct"/>
            <w:vAlign w:val="center"/>
          </w:tcPr>
          <w:p w14:paraId="0D15A16D">
            <w:pPr>
              <w:pStyle w:val="445"/>
              <w:rPr>
                <w:rFonts w:cs="Times New Roman"/>
                <w:kern w:val="0"/>
                <w:szCs w:val="20"/>
              </w:rPr>
            </w:pPr>
            <w:r>
              <w:rPr>
                <w:rFonts w:cs="Times New Roman"/>
                <w:kern w:val="0"/>
                <w:szCs w:val="20"/>
              </w:rPr>
              <w:t>1157</w:t>
            </w:r>
          </w:p>
        </w:tc>
        <w:tc>
          <w:tcPr>
            <w:tcW w:w="363" w:type="pct"/>
            <w:vAlign w:val="center"/>
          </w:tcPr>
          <w:p w14:paraId="11DE851A">
            <w:pPr>
              <w:pStyle w:val="445"/>
              <w:rPr>
                <w:rFonts w:cs="Times New Roman"/>
                <w:kern w:val="0"/>
                <w:szCs w:val="20"/>
              </w:rPr>
            </w:pPr>
            <w:r>
              <w:rPr>
                <w:rFonts w:cs="Times New Roman"/>
                <w:kern w:val="0"/>
                <w:szCs w:val="20"/>
              </w:rPr>
              <w:t>55990</w:t>
            </w:r>
          </w:p>
        </w:tc>
        <w:tc>
          <w:tcPr>
            <w:tcW w:w="448" w:type="pct"/>
            <w:vAlign w:val="center"/>
          </w:tcPr>
          <w:p w14:paraId="20A4FA42">
            <w:pPr>
              <w:pStyle w:val="445"/>
              <w:rPr>
                <w:rFonts w:cs="Times New Roman"/>
                <w:kern w:val="0"/>
                <w:szCs w:val="20"/>
              </w:rPr>
            </w:pPr>
            <w:r>
              <w:rPr>
                <w:rFonts w:cs="Times New Roman"/>
                <w:kern w:val="0"/>
                <w:szCs w:val="20"/>
              </w:rPr>
              <w:t>8.314</w:t>
            </w:r>
          </w:p>
        </w:tc>
        <w:tc>
          <w:tcPr>
            <w:tcW w:w="363" w:type="pct"/>
            <w:vAlign w:val="center"/>
          </w:tcPr>
          <w:p w14:paraId="74217836">
            <w:pPr>
              <w:pStyle w:val="445"/>
              <w:rPr>
                <w:rFonts w:cs="Times New Roman"/>
                <w:kern w:val="0"/>
                <w:szCs w:val="20"/>
              </w:rPr>
            </w:pPr>
            <w:r>
              <w:rPr>
                <w:rFonts w:cs="Times New Roman"/>
                <w:kern w:val="0"/>
                <w:szCs w:val="20"/>
              </w:rPr>
              <w:t>101325</w:t>
            </w:r>
          </w:p>
        </w:tc>
        <w:tc>
          <w:tcPr>
            <w:tcW w:w="360" w:type="pct"/>
            <w:vAlign w:val="center"/>
          </w:tcPr>
          <w:p w14:paraId="430D9F56">
            <w:pPr>
              <w:pStyle w:val="445"/>
              <w:rPr>
                <w:rFonts w:cs="Times New Roman"/>
                <w:kern w:val="0"/>
                <w:szCs w:val="20"/>
              </w:rPr>
            </w:pPr>
            <w:r>
              <w:rPr>
                <w:rFonts w:cs="Times New Roman"/>
                <w:kern w:val="0"/>
                <w:szCs w:val="20"/>
              </w:rPr>
              <w:t>0.65</w:t>
            </w:r>
          </w:p>
        </w:tc>
        <w:tc>
          <w:tcPr>
            <w:tcW w:w="367" w:type="pct"/>
            <w:vAlign w:val="center"/>
          </w:tcPr>
          <w:p w14:paraId="7CA6797C">
            <w:pPr>
              <w:pStyle w:val="445"/>
              <w:rPr>
                <w:rFonts w:cs="Times New Roman"/>
                <w:kern w:val="0"/>
                <w:szCs w:val="20"/>
              </w:rPr>
            </w:pPr>
            <w:r>
              <w:rPr>
                <w:rFonts w:cs="Times New Roman"/>
                <w:kern w:val="0"/>
                <w:szCs w:val="20"/>
              </w:rPr>
              <w:t>17.4</w:t>
            </w:r>
          </w:p>
        </w:tc>
        <w:tc>
          <w:tcPr>
            <w:tcW w:w="451" w:type="pct"/>
            <w:vAlign w:val="center"/>
          </w:tcPr>
          <w:p w14:paraId="198F82AF">
            <w:pPr>
              <w:pStyle w:val="445"/>
              <w:rPr>
                <w:rFonts w:cs="Times New Roman"/>
                <w:kern w:val="0"/>
                <w:szCs w:val="20"/>
              </w:rPr>
            </w:pPr>
            <w:r>
              <w:rPr>
                <w:rFonts w:cs="Times New Roman"/>
                <w:kern w:val="0"/>
                <w:szCs w:val="20"/>
              </w:rPr>
              <w:t>0.0001</w:t>
            </w:r>
          </w:p>
        </w:tc>
        <w:tc>
          <w:tcPr>
            <w:tcW w:w="350" w:type="pct"/>
            <w:vAlign w:val="center"/>
          </w:tcPr>
          <w:p w14:paraId="31953823">
            <w:pPr>
              <w:pStyle w:val="445"/>
              <w:rPr>
                <w:rFonts w:cs="Times New Roman"/>
                <w:kern w:val="0"/>
                <w:szCs w:val="20"/>
              </w:rPr>
            </w:pPr>
            <w:r>
              <w:rPr>
                <w:rFonts w:cs="Times New Roman"/>
                <w:kern w:val="0"/>
                <w:szCs w:val="20"/>
              </w:rPr>
              <w:t>1.0</w:t>
            </w:r>
          </w:p>
        </w:tc>
        <w:tc>
          <w:tcPr>
            <w:tcW w:w="342" w:type="pct"/>
            <w:vAlign w:val="center"/>
          </w:tcPr>
          <w:p w14:paraId="449751E9">
            <w:pPr>
              <w:pStyle w:val="445"/>
              <w:rPr>
                <w:rFonts w:cs="Times New Roman"/>
                <w:kern w:val="0"/>
                <w:szCs w:val="20"/>
              </w:rPr>
            </w:pPr>
            <w:r>
              <w:rPr>
                <w:rFonts w:cs="Times New Roman"/>
                <w:kern w:val="0"/>
                <w:szCs w:val="20"/>
              </w:rPr>
              <w:t>101325</w:t>
            </w:r>
          </w:p>
        </w:tc>
        <w:tc>
          <w:tcPr>
            <w:tcW w:w="322" w:type="pct"/>
            <w:vAlign w:val="center"/>
          </w:tcPr>
          <w:p w14:paraId="7C2E1E26">
            <w:pPr>
              <w:pStyle w:val="445"/>
              <w:rPr>
                <w:rFonts w:cs="Times New Roman"/>
                <w:kern w:val="0"/>
                <w:szCs w:val="20"/>
              </w:rPr>
            </w:pPr>
            <w:r>
              <w:rPr>
                <w:rFonts w:cs="Times New Roman"/>
                <w:kern w:val="0"/>
                <w:szCs w:val="20"/>
              </w:rPr>
              <w:t>1.5</w:t>
            </w:r>
          </w:p>
        </w:tc>
        <w:tc>
          <w:tcPr>
            <w:tcW w:w="270" w:type="pct"/>
            <w:vAlign w:val="center"/>
          </w:tcPr>
          <w:p w14:paraId="10479517">
            <w:pPr>
              <w:pStyle w:val="445"/>
              <w:rPr>
                <w:rFonts w:cs="Times New Roman"/>
                <w:kern w:val="0"/>
                <w:szCs w:val="20"/>
              </w:rPr>
            </w:pPr>
            <w:r>
              <w:rPr>
                <w:rFonts w:cs="Times New Roman"/>
                <w:kern w:val="0"/>
                <w:szCs w:val="20"/>
              </w:rPr>
              <w:t>25</w:t>
            </w:r>
          </w:p>
        </w:tc>
      </w:tr>
    </w:tbl>
    <w:p w14:paraId="6814158E">
      <w:pPr>
        <w:pStyle w:val="278"/>
      </w:pPr>
      <w:r>
        <w:rPr>
          <w:rFonts w:hint="eastAsia"/>
        </w:rPr>
        <w:t>表5.6.</w:t>
      </w:r>
      <w:r>
        <w:t xml:space="preserve">6-5 </w:t>
      </w:r>
      <w:r>
        <w:rPr>
          <w:rFonts w:hint="eastAsia"/>
        </w:rPr>
        <w:t>有毒有害物质终点浓度</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48"/>
        <w:gridCol w:w="3475"/>
        <w:gridCol w:w="3720"/>
      </w:tblGrid>
      <w:tr w14:paraId="33391C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58BD2E8">
            <w:pPr>
              <w:pStyle w:val="445"/>
              <w:rPr>
                <w:rFonts w:cs="Times New Roman"/>
                <w:kern w:val="0"/>
                <w:szCs w:val="20"/>
              </w:rPr>
            </w:pPr>
            <w:r>
              <w:rPr>
                <w:rFonts w:hint="eastAsia" w:cs="Times New Roman"/>
                <w:kern w:val="0"/>
                <w:szCs w:val="20"/>
              </w:rPr>
              <w:t>物质名称</w:t>
            </w:r>
          </w:p>
        </w:tc>
        <w:tc>
          <w:tcPr>
            <w:tcW w:w="1880" w:type="pct"/>
            <w:vAlign w:val="center"/>
          </w:tcPr>
          <w:p w14:paraId="402704D1">
            <w:pPr>
              <w:pStyle w:val="445"/>
              <w:rPr>
                <w:rFonts w:cs="Times New Roman"/>
                <w:kern w:val="0"/>
                <w:szCs w:val="20"/>
              </w:rPr>
            </w:pPr>
            <w:r>
              <w:rPr>
                <w:rFonts w:hint="eastAsia" w:cs="Times New Roman"/>
                <w:kern w:val="0"/>
                <w:szCs w:val="20"/>
              </w:rPr>
              <w:t>毒性终点浓度-</w:t>
            </w:r>
            <w:r>
              <w:rPr>
                <w:rFonts w:cs="Times New Roman"/>
                <w:kern w:val="0"/>
                <w:szCs w:val="20"/>
              </w:rPr>
              <w:t>1</w:t>
            </w:r>
            <w:r>
              <w:rPr>
                <w:rFonts w:hint="eastAsia" w:cs="Times New Roman"/>
                <w:kern w:val="0"/>
                <w:szCs w:val="20"/>
              </w:rPr>
              <w:t>（m</w:t>
            </w:r>
            <w:r>
              <w:rPr>
                <w:rFonts w:cs="Times New Roman"/>
                <w:kern w:val="0"/>
                <w:szCs w:val="20"/>
              </w:rPr>
              <w:t>g/m</w:t>
            </w:r>
            <w:r>
              <w:rPr>
                <w:rFonts w:cs="Times New Roman"/>
                <w:kern w:val="0"/>
                <w:szCs w:val="20"/>
                <w:vertAlign w:val="superscript"/>
              </w:rPr>
              <w:t>3</w:t>
            </w:r>
            <w:r>
              <w:rPr>
                <w:rFonts w:hint="eastAsia" w:cs="Times New Roman"/>
                <w:kern w:val="0"/>
                <w:szCs w:val="20"/>
              </w:rPr>
              <w:t>）</w:t>
            </w:r>
          </w:p>
        </w:tc>
        <w:tc>
          <w:tcPr>
            <w:tcW w:w="2012" w:type="pct"/>
            <w:vAlign w:val="center"/>
          </w:tcPr>
          <w:p w14:paraId="33F0AD67">
            <w:pPr>
              <w:pStyle w:val="445"/>
              <w:rPr>
                <w:rFonts w:cs="Times New Roman"/>
                <w:kern w:val="0"/>
                <w:szCs w:val="20"/>
              </w:rPr>
            </w:pPr>
            <w:r>
              <w:rPr>
                <w:rFonts w:hint="eastAsia" w:cs="Times New Roman"/>
                <w:kern w:val="0"/>
                <w:szCs w:val="20"/>
              </w:rPr>
              <w:t>毒性终点浓度-</w:t>
            </w:r>
            <w:r>
              <w:rPr>
                <w:rFonts w:cs="Times New Roman"/>
                <w:kern w:val="0"/>
                <w:szCs w:val="20"/>
              </w:rPr>
              <w:t>2</w:t>
            </w:r>
            <w:r>
              <w:rPr>
                <w:rFonts w:hint="eastAsia" w:cs="Times New Roman"/>
                <w:kern w:val="0"/>
                <w:szCs w:val="20"/>
              </w:rPr>
              <w:t>（m</w:t>
            </w:r>
            <w:r>
              <w:rPr>
                <w:rFonts w:cs="Times New Roman"/>
                <w:kern w:val="0"/>
                <w:szCs w:val="20"/>
              </w:rPr>
              <w:t>g/m</w:t>
            </w:r>
            <w:r>
              <w:rPr>
                <w:rFonts w:cs="Times New Roman"/>
                <w:kern w:val="0"/>
                <w:szCs w:val="20"/>
                <w:vertAlign w:val="superscript"/>
              </w:rPr>
              <w:t>3</w:t>
            </w:r>
            <w:r>
              <w:rPr>
                <w:rFonts w:hint="eastAsia" w:cs="Times New Roman"/>
                <w:kern w:val="0"/>
                <w:szCs w:val="20"/>
              </w:rPr>
              <w:t>）</w:t>
            </w:r>
          </w:p>
        </w:tc>
      </w:tr>
      <w:tr w14:paraId="7C5F5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100F9DE">
            <w:pPr>
              <w:pStyle w:val="445"/>
              <w:rPr>
                <w:rFonts w:cs="Times New Roman"/>
                <w:kern w:val="0"/>
                <w:szCs w:val="20"/>
              </w:rPr>
            </w:pPr>
            <w:r>
              <w:rPr>
                <w:rFonts w:hint="eastAsia" w:cs="Times New Roman"/>
                <w:kern w:val="0"/>
                <w:szCs w:val="20"/>
              </w:rPr>
              <w:t>氟化氢</w:t>
            </w:r>
          </w:p>
        </w:tc>
        <w:tc>
          <w:tcPr>
            <w:tcW w:w="1880" w:type="pct"/>
            <w:vAlign w:val="center"/>
          </w:tcPr>
          <w:p w14:paraId="0D7E7F56">
            <w:pPr>
              <w:pStyle w:val="445"/>
              <w:rPr>
                <w:rFonts w:cs="Times New Roman"/>
                <w:kern w:val="0"/>
                <w:szCs w:val="20"/>
              </w:rPr>
            </w:pPr>
            <w:r>
              <w:rPr>
                <w:rFonts w:cs="Times New Roman"/>
                <w:kern w:val="0"/>
                <w:szCs w:val="20"/>
              </w:rPr>
              <w:t>36</w:t>
            </w:r>
          </w:p>
        </w:tc>
        <w:tc>
          <w:tcPr>
            <w:tcW w:w="2012" w:type="pct"/>
            <w:vAlign w:val="center"/>
          </w:tcPr>
          <w:p w14:paraId="48E7B6DF">
            <w:pPr>
              <w:pStyle w:val="445"/>
              <w:rPr>
                <w:rFonts w:cs="Times New Roman"/>
                <w:kern w:val="0"/>
                <w:szCs w:val="20"/>
              </w:rPr>
            </w:pPr>
            <w:r>
              <w:rPr>
                <w:rFonts w:cs="Times New Roman"/>
                <w:kern w:val="0"/>
                <w:szCs w:val="20"/>
              </w:rPr>
              <w:t>20</w:t>
            </w:r>
          </w:p>
        </w:tc>
      </w:tr>
    </w:tbl>
    <w:p w14:paraId="0C5C7D29">
      <w:pPr>
        <w:pStyle w:val="349"/>
        <w:rPr>
          <w:lang w:val="zh-CN"/>
        </w:rPr>
      </w:pPr>
      <w:r>
        <w:rPr>
          <w:lang w:val="zh-CN"/>
        </w:rPr>
        <w:t>5.6.6.4污水处理调节池破损</w:t>
      </w:r>
      <w:r>
        <w:rPr>
          <w:rFonts w:hint="eastAsia"/>
          <w:lang w:val="zh-CN"/>
        </w:rPr>
        <w:t>污染地下水事故</w:t>
      </w:r>
    </w:p>
    <w:p w14:paraId="533A38FA">
      <w:pPr>
        <w:ind w:firstLine="480"/>
      </w:pPr>
      <w:r>
        <w:rPr>
          <w:rFonts w:hint="eastAsia"/>
        </w:rPr>
        <w:t>当污水站调节池发生破损时，未经处理的废水中会下渗</w:t>
      </w:r>
      <w:r>
        <w:t>至厂区地下</w:t>
      </w:r>
      <w:r>
        <w:rPr>
          <w:rFonts w:hint="eastAsia"/>
        </w:rPr>
        <w:t>，会长期污染土壤并进入地下水</w:t>
      </w:r>
      <w:r>
        <w:t>。</w:t>
      </w:r>
      <w:r>
        <w:rPr>
          <w:rFonts w:hint="eastAsia"/>
        </w:rPr>
        <w:t>废水对地下水的源强及影响分析见报告5</w:t>
      </w:r>
      <w:r>
        <w:t>.5</w:t>
      </w:r>
      <w:r>
        <w:rPr>
          <w:rFonts w:hint="eastAsia"/>
        </w:rPr>
        <w:t>章节（地下水影响评价章节）。</w:t>
      </w:r>
    </w:p>
    <w:p w14:paraId="6C3408B5">
      <w:pPr>
        <w:spacing w:before="240" w:after="120"/>
        <w:ind w:firstLine="0" w:firstLineChars="0"/>
        <w:jc w:val="left"/>
        <w:outlineLvl w:val="2"/>
        <w:rPr>
          <w:rFonts w:eastAsia="黑体"/>
          <w:sz w:val="28"/>
          <w:szCs w:val="28"/>
        </w:rPr>
      </w:pPr>
      <w:bookmarkStart w:id="344" w:name="_Toc101135901"/>
      <w:bookmarkStart w:id="345" w:name="_Toc108662678"/>
      <w:bookmarkStart w:id="346" w:name="_Toc100784069"/>
      <w:r>
        <w:rPr>
          <w:rFonts w:hint="eastAsia" w:eastAsia="黑体"/>
          <w:sz w:val="28"/>
          <w:szCs w:val="28"/>
        </w:rPr>
        <w:t>5.6.7风险</w:t>
      </w:r>
      <w:r>
        <w:rPr>
          <w:rFonts w:eastAsia="黑体"/>
          <w:sz w:val="28"/>
          <w:szCs w:val="28"/>
        </w:rPr>
        <w:t>预测</w:t>
      </w:r>
      <w:r>
        <w:rPr>
          <w:rFonts w:hint="eastAsia" w:eastAsia="黑体"/>
          <w:sz w:val="28"/>
          <w:szCs w:val="28"/>
        </w:rPr>
        <w:t>与</w:t>
      </w:r>
      <w:r>
        <w:rPr>
          <w:rFonts w:eastAsia="黑体"/>
          <w:sz w:val="28"/>
          <w:szCs w:val="28"/>
        </w:rPr>
        <w:t>分析</w:t>
      </w:r>
      <w:bookmarkEnd w:id="344"/>
      <w:bookmarkEnd w:id="345"/>
      <w:bookmarkEnd w:id="346"/>
    </w:p>
    <w:p w14:paraId="7EF93CB4">
      <w:pPr>
        <w:ind w:firstLine="480"/>
      </w:pPr>
      <w:r>
        <w:t>本项目风险评价等级为</w:t>
      </w:r>
      <w:r>
        <w:rPr>
          <w:rFonts w:hint="eastAsia"/>
        </w:rPr>
        <w:t>一</w:t>
      </w:r>
      <w:r>
        <w:t>级，根据导则要求，</w:t>
      </w:r>
      <w:r>
        <w:rPr>
          <w:rFonts w:hint="eastAsia"/>
        </w:rPr>
        <w:t>一</w:t>
      </w:r>
      <w:r>
        <w:t>级评价需选取最不利气象条件</w:t>
      </w:r>
      <w:r>
        <w:rPr>
          <w:rFonts w:hint="eastAsia"/>
        </w:rPr>
        <w:t>和</w:t>
      </w:r>
      <w:r>
        <w:t>最常见气象</w:t>
      </w:r>
      <w:r>
        <w:rPr>
          <w:rFonts w:hint="eastAsia"/>
        </w:rPr>
        <w:t>条件</w:t>
      </w:r>
      <w:r>
        <w:t>，选择适用的数值方法进行分析预测，给出风险事故情形下危险物质释放可能造成的大气环境影响范围与程度。</w:t>
      </w:r>
    </w:p>
    <w:p w14:paraId="3A9AB5C9">
      <w:pPr>
        <w:ind w:firstLine="480"/>
        <w:rPr>
          <w:rFonts w:cs="Times New Roman"/>
        </w:rPr>
      </w:pPr>
      <w:r>
        <w:rPr>
          <w:rFonts w:cs="Times New Roman"/>
        </w:rPr>
        <w:t>最不利气象条件</w:t>
      </w:r>
      <w:r>
        <w:rPr>
          <w:rFonts w:hint="eastAsia" w:cs="Times New Roman"/>
        </w:rPr>
        <w:t>为：F稳定度、风速</w:t>
      </w:r>
      <w:r>
        <w:rPr>
          <w:rFonts w:cs="Times New Roman"/>
        </w:rPr>
        <w:t>1.5m/s、</w:t>
      </w:r>
      <w:r>
        <w:rPr>
          <w:rFonts w:hint="eastAsia" w:cs="Times New Roman"/>
        </w:rPr>
        <w:t>温度2</w:t>
      </w:r>
      <w:r>
        <w:rPr>
          <w:rFonts w:cs="Times New Roman"/>
        </w:rPr>
        <w:t>5</w:t>
      </w:r>
      <w:r>
        <w:rPr>
          <w:rFonts w:hint="eastAsia" w:ascii="宋体" w:hAnsi="宋体" w:cs="宋体"/>
          <w:lang w:eastAsia="ja-JP"/>
        </w:rPr>
        <w:t>℃</w:t>
      </w:r>
      <w:r>
        <w:rPr>
          <w:rFonts w:hint="eastAsia" w:cs="Times New Roman"/>
        </w:rPr>
        <w:t>、</w:t>
      </w:r>
      <w:r>
        <w:rPr>
          <w:rFonts w:cs="Times New Roman"/>
        </w:rPr>
        <w:t>相对湿度</w:t>
      </w:r>
      <w:r>
        <w:rPr>
          <w:rFonts w:hint="eastAsia" w:cs="Times New Roman"/>
        </w:rPr>
        <w:t>5</w:t>
      </w:r>
      <w:r>
        <w:rPr>
          <w:rFonts w:cs="Times New Roman"/>
        </w:rPr>
        <w:t>0%</w:t>
      </w:r>
      <w:r>
        <w:rPr>
          <w:rFonts w:hint="eastAsia" w:cs="Times New Roman"/>
        </w:rPr>
        <w:t>；</w:t>
      </w:r>
    </w:p>
    <w:p w14:paraId="7DC0CEEE">
      <w:pPr>
        <w:ind w:firstLine="480"/>
        <w:rPr>
          <w:rFonts w:cs="Times New Roman"/>
        </w:rPr>
      </w:pPr>
      <w:r>
        <w:rPr>
          <w:rFonts w:hint="eastAsia" w:cs="Times New Roman"/>
        </w:rPr>
        <w:t>最常见</w:t>
      </w:r>
      <w:r>
        <w:rPr>
          <w:rFonts w:cs="Times New Roman"/>
        </w:rPr>
        <w:t>气象条件为：D稳定度、风速</w:t>
      </w:r>
      <w:r>
        <w:rPr>
          <w:rFonts w:hint="eastAsia" w:cs="Times New Roman"/>
        </w:rPr>
        <w:t>2.45</w:t>
      </w:r>
      <w:r>
        <w:rPr>
          <w:rFonts w:cs="Times New Roman"/>
        </w:rPr>
        <w:t xml:space="preserve"> m/s、</w:t>
      </w:r>
      <w:r>
        <w:rPr>
          <w:rFonts w:hint="eastAsia" w:cs="Times New Roman"/>
        </w:rPr>
        <w:t>温度</w:t>
      </w:r>
      <w:r>
        <w:rPr>
          <w:rFonts w:cs="Times New Roman"/>
        </w:rPr>
        <w:t>16.38</w:t>
      </w:r>
      <w:r>
        <w:rPr>
          <w:rFonts w:hint="eastAsia" w:ascii="宋体" w:hAnsi="宋体" w:cs="宋体"/>
          <w:lang w:eastAsia="ja-JP"/>
        </w:rPr>
        <w:t>℃</w:t>
      </w:r>
      <w:r>
        <w:rPr>
          <w:rFonts w:hint="eastAsia" w:cs="Times New Roman"/>
        </w:rPr>
        <w:t>、</w:t>
      </w:r>
      <w:r>
        <w:rPr>
          <w:rFonts w:cs="Times New Roman"/>
        </w:rPr>
        <w:t>相对湿度</w:t>
      </w:r>
      <w:r>
        <w:rPr>
          <w:rFonts w:hint="eastAsia" w:cs="Times New Roman"/>
        </w:rPr>
        <w:t>5</w:t>
      </w:r>
      <w:r>
        <w:rPr>
          <w:rFonts w:cs="Times New Roman"/>
        </w:rPr>
        <w:t>0%</w:t>
      </w:r>
      <w:r>
        <w:rPr>
          <w:rFonts w:hint="eastAsia" w:cs="Times New Roman"/>
        </w:rPr>
        <w:t>。</w:t>
      </w:r>
    </w:p>
    <w:p w14:paraId="00C75D78">
      <w:pPr>
        <w:pStyle w:val="349"/>
      </w:pPr>
      <w:r>
        <w:rPr>
          <w:rFonts w:hint="eastAsia"/>
        </w:rPr>
        <w:t>5.6.7.1</w:t>
      </w:r>
      <w:r>
        <w:rPr>
          <w:rFonts w:hint="eastAsia"/>
          <w:lang w:val="zh-CN"/>
        </w:rPr>
        <w:t>甲醇储罐泄漏</w:t>
      </w:r>
      <w:r>
        <w:rPr>
          <w:rFonts w:hint="eastAsia"/>
        </w:rPr>
        <w:t>火灾次生事故污染</w:t>
      </w:r>
      <w:r>
        <w:t>影响</w:t>
      </w:r>
    </w:p>
    <w:p w14:paraId="7C4D8F20">
      <w:pPr>
        <w:ind w:firstLine="480"/>
      </w:pPr>
      <w:r>
        <w:rPr>
          <w:rFonts w:hint="eastAsia"/>
        </w:rPr>
        <w:t>根据污染物气体性质，采用理查德森数判断，确定CO计算用</w:t>
      </w:r>
      <w:r>
        <w:rPr>
          <w:rFonts w:cs="Times New Roman"/>
          <w:szCs w:val="24"/>
        </w:rPr>
        <w:t>AFTOX</w:t>
      </w:r>
      <w:r>
        <w:rPr>
          <w:rFonts w:hint="eastAsia"/>
        </w:rPr>
        <w:t>模型。</w:t>
      </w:r>
    </w:p>
    <w:p w14:paraId="4678BAEE">
      <w:pPr>
        <w:ind w:firstLine="480"/>
        <w:rPr>
          <w:lang w:val="zh-CN"/>
        </w:rPr>
      </w:pPr>
      <w:r>
        <w:rPr>
          <w:rFonts w:hint="eastAsia"/>
        </w:rPr>
        <w:t>利用多烟团模式计算最常见</w:t>
      </w:r>
      <w:r>
        <w:t>气象</w:t>
      </w:r>
      <w:r>
        <w:rPr>
          <w:rFonts w:hint="eastAsia"/>
        </w:rPr>
        <w:t>条件</w:t>
      </w:r>
      <w:r>
        <w:t>下和</w:t>
      </w:r>
      <w:r>
        <w:rPr>
          <w:rFonts w:hint="eastAsia"/>
        </w:rPr>
        <w:t>最不利气象条件下，甲醇储罐</w:t>
      </w:r>
      <w:r>
        <w:t>泄漏</w:t>
      </w:r>
      <w:r>
        <w:rPr>
          <w:rFonts w:hint="eastAsia" w:cs="Times New Roman"/>
        </w:rPr>
        <w:t>火灾事故次生污染物</w:t>
      </w:r>
      <w:r>
        <w:rPr>
          <w:rFonts w:hint="eastAsia"/>
        </w:rPr>
        <w:t>从泄漏开始</w:t>
      </w:r>
      <w:r>
        <w:t>30min</w:t>
      </w:r>
      <w:r>
        <w:rPr>
          <w:rFonts w:hint="eastAsia"/>
        </w:rPr>
        <w:t>的影响范围及最大落地浓度，本次预测时刻为</w:t>
      </w:r>
      <w:r>
        <w:t>5min</w:t>
      </w:r>
      <w:r>
        <w:rPr>
          <w:rFonts w:hint="eastAsia"/>
        </w:rPr>
        <w:t>、</w:t>
      </w:r>
      <w:r>
        <w:t>30min</w:t>
      </w:r>
      <w:r>
        <w:rPr>
          <w:rFonts w:hint="eastAsia"/>
        </w:rPr>
        <w:t>。预测事故排放污染物最常见</w:t>
      </w:r>
      <w:r>
        <w:t>气象</w:t>
      </w:r>
      <w:r>
        <w:rPr>
          <w:rFonts w:hint="eastAsia"/>
        </w:rPr>
        <w:t>条件</w:t>
      </w:r>
      <w:r>
        <w:t>下和</w:t>
      </w:r>
      <w:r>
        <w:rPr>
          <w:rFonts w:hint="eastAsia"/>
        </w:rPr>
        <w:t>最不利气象条件下的最大浓度值见表</w:t>
      </w:r>
      <w:r>
        <w:t>5.6.7-1</w:t>
      </w:r>
      <w:r>
        <w:rPr>
          <w:rFonts w:hint="eastAsia"/>
        </w:rPr>
        <w:t>。</w:t>
      </w:r>
    </w:p>
    <w:p w14:paraId="20A8237D">
      <w:pPr>
        <w:spacing w:line="500" w:lineRule="exact"/>
        <w:ind w:firstLine="0" w:firstLineChars="0"/>
        <w:jc w:val="center"/>
        <w:rPr>
          <w:rFonts w:eastAsia="黑体"/>
        </w:rPr>
      </w:pPr>
      <w:r>
        <w:rPr>
          <w:rFonts w:hint="eastAsia" w:eastAsia="黑体"/>
        </w:rPr>
        <w:t>表5.6.</w:t>
      </w:r>
      <w:r>
        <w:rPr>
          <w:rFonts w:eastAsia="黑体"/>
        </w:rPr>
        <w:t xml:space="preserve">7-1  </w:t>
      </w:r>
      <w:r>
        <w:rPr>
          <w:rFonts w:hint="eastAsia" w:eastAsia="黑体"/>
        </w:rPr>
        <w:t>D稳定度</w:t>
      </w:r>
      <w:r>
        <w:rPr>
          <w:rFonts w:eastAsia="黑体"/>
        </w:rPr>
        <w:t>和F稳定度</w:t>
      </w:r>
      <w:r>
        <w:rPr>
          <w:rFonts w:hint="eastAsia" w:eastAsia="黑体"/>
        </w:rPr>
        <w:t>下CO</w:t>
      </w:r>
      <w:r>
        <w:rPr>
          <w:rFonts w:eastAsia="黑体"/>
        </w:rPr>
        <w:t>最大</w:t>
      </w:r>
      <w:r>
        <w:rPr>
          <w:rFonts w:hint="eastAsia" w:eastAsia="黑体"/>
        </w:rPr>
        <w:t>高峰</w:t>
      </w:r>
      <w:r>
        <w:rPr>
          <w:rFonts w:eastAsia="黑体"/>
        </w:rPr>
        <w:t>浓度</w:t>
      </w:r>
      <w:r>
        <w:rPr>
          <w:rFonts w:hint="eastAsia" w:eastAsia="黑体"/>
        </w:rPr>
        <w:t xml:space="preserve">  单位</w:t>
      </w:r>
      <w:r>
        <w:rPr>
          <w:rFonts w:eastAsia="黑体"/>
        </w:rPr>
        <w:t>：</w:t>
      </w:r>
      <w:r>
        <w:rPr>
          <w:rFonts w:hint="eastAsia" w:eastAsia="黑体"/>
        </w:rPr>
        <w:t>mg/m</w:t>
      </w:r>
      <w:r>
        <w:rPr>
          <w:rFonts w:hint="eastAsia" w:eastAsia="黑体"/>
          <w:vertAlign w:val="superscript"/>
        </w:rPr>
        <w:t>3</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3888"/>
        <w:gridCol w:w="3888"/>
      </w:tblGrid>
      <w:tr w14:paraId="0CCFF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Merge w:val="restart"/>
            <w:vAlign w:val="center"/>
          </w:tcPr>
          <w:p w14:paraId="6D6642E1">
            <w:pPr>
              <w:pStyle w:val="445"/>
              <w:rPr>
                <w:rFonts w:cs="Times New Roman"/>
                <w:kern w:val="0"/>
                <w:szCs w:val="20"/>
              </w:rPr>
            </w:pPr>
            <w:r>
              <w:rPr>
                <w:rFonts w:hint="eastAsia" w:cs="Times New Roman"/>
                <w:kern w:val="0"/>
                <w:szCs w:val="20"/>
              </w:rPr>
              <w:t>距离</w:t>
            </w:r>
          </w:p>
        </w:tc>
        <w:tc>
          <w:tcPr>
            <w:tcW w:w="4206" w:type="pct"/>
            <w:gridSpan w:val="2"/>
            <w:vAlign w:val="center"/>
          </w:tcPr>
          <w:p w14:paraId="0720B517">
            <w:pPr>
              <w:pStyle w:val="445"/>
              <w:rPr>
                <w:rFonts w:cs="Times New Roman"/>
                <w:kern w:val="0"/>
                <w:szCs w:val="20"/>
              </w:rPr>
            </w:pPr>
            <w:r>
              <w:rPr>
                <w:rFonts w:hint="eastAsia" w:cs="Times New Roman"/>
                <w:kern w:val="0"/>
                <w:szCs w:val="20"/>
              </w:rPr>
              <w:t>CO</w:t>
            </w:r>
          </w:p>
        </w:tc>
      </w:tr>
      <w:tr w14:paraId="03837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Merge w:val="continue"/>
            <w:vAlign w:val="center"/>
          </w:tcPr>
          <w:p w14:paraId="213E6F61">
            <w:pPr>
              <w:pStyle w:val="445"/>
              <w:rPr>
                <w:rFonts w:cs="Times New Roman"/>
                <w:kern w:val="0"/>
                <w:szCs w:val="20"/>
              </w:rPr>
            </w:pPr>
          </w:p>
        </w:tc>
        <w:tc>
          <w:tcPr>
            <w:tcW w:w="2103" w:type="pct"/>
            <w:vAlign w:val="center"/>
          </w:tcPr>
          <w:p w14:paraId="73438FB6">
            <w:pPr>
              <w:pStyle w:val="445"/>
              <w:rPr>
                <w:rFonts w:cs="Times New Roman"/>
                <w:kern w:val="0"/>
                <w:szCs w:val="20"/>
              </w:rPr>
            </w:pPr>
            <w:r>
              <w:rPr>
                <w:rFonts w:hint="eastAsia" w:cs="Times New Roman"/>
                <w:kern w:val="0"/>
                <w:szCs w:val="20"/>
              </w:rPr>
              <w:t>最常见</w:t>
            </w:r>
            <w:r>
              <w:rPr>
                <w:rFonts w:cs="Times New Roman"/>
                <w:kern w:val="0"/>
                <w:szCs w:val="20"/>
              </w:rPr>
              <w:t>气象条件D</w:t>
            </w:r>
          </w:p>
        </w:tc>
        <w:tc>
          <w:tcPr>
            <w:tcW w:w="2103" w:type="pct"/>
            <w:vAlign w:val="center"/>
          </w:tcPr>
          <w:p w14:paraId="01ED3128">
            <w:pPr>
              <w:pStyle w:val="445"/>
              <w:rPr>
                <w:rFonts w:cs="Times New Roman"/>
                <w:kern w:val="0"/>
                <w:szCs w:val="20"/>
              </w:rPr>
            </w:pPr>
            <w:r>
              <w:rPr>
                <w:rFonts w:hint="eastAsia" w:cs="Times New Roman"/>
                <w:kern w:val="0"/>
                <w:szCs w:val="20"/>
              </w:rPr>
              <w:t>最不利气象条件F</w:t>
            </w:r>
          </w:p>
        </w:tc>
      </w:tr>
      <w:tr w14:paraId="0E2C8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6A0C1EA">
            <w:pPr>
              <w:pStyle w:val="445"/>
              <w:rPr>
                <w:rFonts w:cs="Times New Roman"/>
                <w:kern w:val="0"/>
                <w:szCs w:val="20"/>
              </w:rPr>
            </w:pPr>
            <w:r>
              <w:rPr>
                <w:rFonts w:hint="eastAsia" w:cs="Times New Roman"/>
                <w:kern w:val="0"/>
                <w:szCs w:val="20"/>
              </w:rPr>
              <w:t>10</w:t>
            </w:r>
          </w:p>
        </w:tc>
        <w:tc>
          <w:tcPr>
            <w:tcW w:w="2103" w:type="pct"/>
          </w:tcPr>
          <w:p w14:paraId="403C2EE0">
            <w:pPr>
              <w:pStyle w:val="445"/>
              <w:rPr>
                <w:rFonts w:cs="Times New Roman"/>
                <w:kern w:val="0"/>
                <w:szCs w:val="20"/>
              </w:rPr>
            </w:pPr>
            <w:r>
              <w:rPr>
                <w:rFonts w:cs="Times New Roman"/>
                <w:kern w:val="0"/>
                <w:szCs w:val="20"/>
              </w:rPr>
              <w:t>0.00E+00</w:t>
            </w:r>
          </w:p>
        </w:tc>
        <w:tc>
          <w:tcPr>
            <w:tcW w:w="2103" w:type="pct"/>
            <w:vAlign w:val="center"/>
          </w:tcPr>
          <w:p w14:paraId="5FDF221D">
            <w:pPr>
              <w:pStyle w:val="445"/>
              <w:rPr>
                <w:rFonts w:cs="Times New Roman"/>
                <w:kern w:val="0"/>
                <w:szCs w:val="20"/>
              </w:rPr>
            </w:pPr>
            <w:r>
              <w:rPr>
                <w:rFonts w:cs="Times New Roman"/>
                <w:kern w:val="0"/>
                <w:szCs w:val="20"/>
              </w:rPr>
              <w:t>0.00E+00</w:t>
            </w:r>
          </w:p>
        </w:tc>
      </w:tr>
      <w:tr w14:paraId="6A7F3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DE132BE">
            <w:pPr>
              <w:pStyle w:val="445"/>
              <w:rPr>
                <w:rFonts w:cs="Times New Roman"/>
                <w:kern w:val="0"/>
                <w:szCs w:val="20"/>
              </w:rPr>
            </w:pPr>
            <w:r>
              <w:rPr>
                <w:rFonts w:cs="Times New Roman"/>
                <w:kern w:val="0"/>
                <w:szCs w:val="20"/>
              </w:rPr>
              <w:t>20</w:t>
            </w:r>
          </w:p>
        </w:tc>
        <w:tc>
          <w:tcPr>
            <w:tcW w:w="2103" w:type="pct"/>
          </w:tcPr>
          <w:p w14:paraId="23649C1C">
            <w:pPr>
              <w:pStyle w:val="445"/>
              <w:rPr>
                <w:rFonts w:cs="Times New Roman"/>
                <w:kern w:val="0"/>
                <w:szCs w:val="20"/>
              </w:rPr>
            </w:pPr>
            <w:r>
              <w:rPr>
                <w:rFonts w:cs="Times New Roman"/>
                <w:kern w:val="0"/>
                <w:szCs w:val="20"/>
              </w:rPr>
              <w:t>0.00E+00</w:t>
            </w:r>
          </w:p>
        </w:tc>
        <w:tc>
          <w:tcPr>
            <w:tcW w:w="2103" w:type="pct"/>
            <w:vAlign w:val="center"/>
          </w:tcPr>
          <w:p w14:paraId="65C5A607">
            <w:pPr>
              <w:pStyle w:val="445"/>
              <w:rPr>
                <w:rFonts w:cs="Times New Roman"/>
                <w:kern w:val="0"/>
                <w:szCs w:val="20"/>
              </w:rPr>
            </w:pPr>
            <w:r>
              <w:rPr>
                <w:rFonts w:cs="Times New Roman"/>
                <w:kern w:val="0"/>
                <w:szCs w:val="20"/>
              </w:rPr>
              <w:t>0.00E+00</w:t>
            </w:r>
          </w:p>
        </w:tc>
      </w:tr>
      <w:tr w14:paraId="3DB4C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E25F879">
            <w:pPr>
              <w:pStyle w:val="445"/>
              <w:rPr>
                <w:rFonts w:cs="Times New Roman"/>
                <w:kern w:val="0"/>
                <w:szCs w:val="20"/>
              </w:rPr>
            </w:pPr>
            <w:r>
              <w:rPr>
                <w:rFonts w:cs="Times New Roman"/>
                <w:kern w:val="0"/>
                <w:szCs w:val="20"/>
              </w:rPr>
              <w:t>30</w:t>
            </w:r>
          </w:p>
        </w:tc>
        <w:tc>
          <w:tcPr>
            <w:tcW w:w="2103" w:type="pct"/>
          </w:tcPr>
          <w:p w14:paraId="01B9FB00">
            <w:pPr>
              <w:pStyle w:val="445"/>
              <w:rPr>
                <w:rFonts w:cs="Times New Roman"/>
                <w:kern w:val="0"/>
                <w:szCs w:val="20"/>
              </w:rPr>
            </w:pPr>
            <w:r>
              <w:rPr>
                <w:rFonts w:cs="Times New Roman"/>
                <w:kern w:val="0"/>
                <w:szCs w:val="20"/>
              </w:rPr>
              <w:t>0.00E+00</w:t>
            </w:r>
          </w:p>
        </w:tc>
        <w:tc>
          <w:tcPr>
            <w:tcW w:w="2103" w:type="pct"/>
            <w:vAlign w:val="center"/>
          </w:tcPr>
          <w:p w14:paraId="56DED596">
            <w:pPr>
              <w:pStyle w:val="445"/>
              <w:rPr>
                <w:rFonts w:cs="Times New Roman"/>
                <w:kern w:val="0"/>
                <w:szCs w:val="20"/>
              </w:rPr>
            </w:pPr>
            <w:r>
              <w:rPr>
                <w:rFonts w:cs="Times New Roman"/>
                <w:kern w:val="0"/>
                <w:szCs w:val="20"/>
              </w:rPr>
              <w:t>0.00E+00</w:t>
            </w:r>
          </w:p>
        </w:tc>
      </w:tr>
      <w:tr w14:paraId="30C07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BBF6278">
            <w:pPr>
              <w:pStyle w:val="445"/>
              <w:rPr>
                <w:rFonts w:cs="Times New Roman"/>
                <w:kern w:val="0"/>
                <w:szCs w:val="20"/>
              </w:rPr>
            </w:pPr>
            <w:r>
              <w:rPr>
                <w:rFonts w:cs="Times New Roman"/>
                <w:kern w:val="0"/>
                <w:szCs w:val="20"/>
              </w:rPr>
              <w:t>40</w:t>
            </w:r>
          </w:p>
        </w:tc>
        <w:tc>
          <w:tcPr>
            <w:tcW w:w="2103" w:type="pct"/>
          </w:tcPr>
          <w:p w14:paraId="58318D67">
            <w:pPr>
              <w:pStyle w:val="445"/>
              <w:rPr>
                <w:rFonts w:cs="Times New Roman"/>
                <w:kern w:val="0"/>
                <w:szCs w:val="20"/>
              </w:rPr>
            </w:pPr>
            <w:r>
              <w:rPr>
                <w:rFonts w:cs="Times New Roman"/>
                <w:kern w:val="0"/>
                <w:szCs w:val="20"/>
              </w:rPr>
              <w:t>0.00E+00</w:t>
            </w:r>
          </w:p>
        </w:tc>
        <w:tc>
          <w:tcPr>
            <w:tcW w:w="2103" w:type="pct"/>
            <w:vAlign w:val="center"/>
          </w:tcPr>
          <w:p w14:paraId="000A9345">
            <w:pPr>
              <w:pStyle w:val="445"/>
              <w:rPr>
                <w:rFonts w:cs="Times New Roman"/>
                <w:kern w:val="0"/>
                <w:szCs w:val="20"/>
              </w:rPr>
            </w:pPr>
            <w:r>
              <w:rPr>
                <w:rFonts w:cs="Times New Roman"/>
                <w:kern w:val="0"/>
                <w:szCs w:val="20"/>
              </w:rPr>
              <w:t>0.00E+00</w:t>
            </w:r>
          </w:p>
        </w:tc>
      </w:tr>
      <w:tr w14:paraId="02579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1ED71E0">
            <w:pPr>
              <w:pStyle w:val="445"/>
              <w:rPr>
                <w:rFonts w:cs="Times New Roman"/>
                <w:kern w:val="0"/>
                <w:szCs w:val="20"/>
              </w:rPr>
            </w:pPr>
            <w:r>
              <w:rPr>
                <w:rFonts w:cs="Times New Roman"/>
                <w:kern w:val="0"/>
                <w:szCs w:val="20"/>
              </w:rPr>
              <w:t>50</w:t>
            </w:r>
          </w:p>
        </w:tc>
        <w:tc>
          <w:tcPr>
            <w:tcW w:w="2103" w:type="pct"/>
          </w:tcPr>
          <w:p w14:paraId="6D36828D">
            <w:pPr>
              <w:pStyle w:val="445"/>
              <w:rPr>
                <w:rFonts w:cs="Times New Roman"/>
                <w:kern w:val="0"/>
                <w:szCs w:val="20"/>
              </w:rPr>
            </w:pPr>
            <w:r>
              <w:rPr>
                <w:rFonts w:cs="Times New Roman"/>
                <w:kern w:val="0"/>
                <w:szCs w:val="20"/>
              </w:rPr>
              <w:t>0.00E+00</w:t>
            </w:r>
          </w:p>
        </w:tc>
        <w:tc>
          <w:tcPr>
            <w:tcW w:w="2103" w:type="pct"/>
            <w:vAlign w:val="center"/>
          </w:tcPr>
          <w:p w14:paraId="5F3B55CE">
            <w:pPr>
              <w:pStyle w:val="445"/>
              <w:rPr>
                <w:rFonts w:cs="Times New Roman"/>
                <w:kern w:val="0"/>
                <w:szCs w:val="20"/>
              </w:rPr>
            </w:pPr>
            <w:r>
              <w:rPr>
                <w:rFonts w:cs="Times New Roman"/>
                <w:kern w:val="0"/>
                <w:szCs w:val="20"/>
              </w:rPr>
              <w:t>0.00E+00</w:t>
            </w:r>
          </w:p>
        </w:tc>
      </w:tr>
      <w:tr w14:paraId="3D068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6A0C8A7">
            <w:pPr>
              <w:pStyle w:val="445"/>
              <w:rPr>
                <w:rFonts w:cs="Times New Roman"/>
                <w:kern w:val="0"/>
                <w:szCs w:val="20"/>
              </w:rPr>
            </w:pPr>
            <w:r>
              <w:rPr>
                <w:rFonts w:hint="eastAsia" w:cs="Times New Roman"/>
                <w:kern w:val="0"/>
                <w:szCs w:val="20"/>
              </w:rPr>
              <w:t>60</w:t>
            </w:r>
          </w:p>
        </w:tc>
        <w:tc>
          <w:tcPr>
            <w:tcW w:w="2103" w:type="pct"/>
          </w:tcPr>
          <w:p w14:paraId="113EAD87">
            <w:pPr>
              <w:pStyle w:val="445"/>
              <w:rPr>
                <w:rFonts w:cs="Times New Roman"/>
                <w:kern w:val="0"/>
                <w:szCs w:val="20"/>
              </w:rPr>
            </w:pPr>
            <w:r>
              <w:rPr>
                <w:rFonts w:cs="Times New Roman"/>
                <w:kern w:val="0"/>
                <w:szCs w:val="20"/>
              </w:rPr>
              <w:t>0.00E+00</w:t>
            </w:r>
          </w:p>
        </w:tc>
        <w:tc>
          <w:tcPr>
            <w:tcW w:w="2103" w:type="pct"/>
            <w:vAlign w:val="center"/>
          </w:tcPr>
          <w:p w14:paraId="2C93CC04">
            <w:pPr>
              <w:pStyle w:val="445"/>
              <w:rPr>
                <w:rFonts w:cs="Times New Roman"/>
                <w:kern w:val="0"/>
                <w:szCs w:val="20"/>
              </w:rPr>
            </w:pPr>
            <w:r>
              <w:rPr>
                <w:rFonts w:cs="Times New Roman"/>
                <w:kern w:val="0"/>
                <w:szCs w:val="20"/>
              </w:rPr>
              <w:t>0.00E+00</w:t>
            </w:r>
          </w:p>
        </w:tc>
      </w:tr>
      <w:tr w14:paraId="020F0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DE536BD">
            <w:pPr>
              <w:pStyle w:val="445"/>
              <w:rPr>
                <w:rFonts w:cs="Times New Roman"/>
                <w:kern w:val="0"/>
                <w:szCs w:val="20"/>
              </w:rPr>
            </w:pPr>
            <w:r>
              <w:rPr>
                <w:rFonts w:hint="eastAsia" w:cs="Times New Roman"/>
                <w:kern w:val="0"/>
                <w:szCs w:val="20"/>
              </w:rPr>
              <w:t>7</w:t>
            </w:r>
            <w:r>
              <w:rPr>
                <w:rFonts w:cs="Times New Roman"/>
                <w:kern w:val="0"/>
                <w:szCs w:val="20"/>
              </w:rPr>
              <w:t>0</w:t>
            </w:r>
          </w:p>
        </w:tc>
        <w:tc>
          <w:tcPr>
            <w:tcW w:w="2103" w:type="pct"/>
          </w:tcPr>
          <w:p w14:paraId="1D71D55E">
            <w:pPr>
              <w:pStyle w:val="445"/>
              <w:rPr>
                <w:rFonts w:cs="Times New Roman"/>
                <w:kern w:val="0"/>
                <w:szCs w:val="20"/>
              </w:rPr>
            </w:pPr>
            <w:r>
              <w:rPr>
                <w:rFonts w:cs="Times New Roman"/>
                <w:kern w:val="0"/>
                <w:szCs w:val="20"/>
              </w:rPr>
              <w:t>0.00E+00</w:t>
            </w:r>
          </w:p>
        </w:tc>
        <w:tc>
          <w:tcPr>
            <w:tcW w:w="2103" w:type="pct"/>
            <w:vAlign w:val="center"/>
          </w:tcPr>
          <w:p w14:paraId="33132F6C">
            <w:pPr>
              <w:pStyle w:val="445"/>
              <w:rPr>
                <w:rFonts w:cs="Times New Roman"/>
                <w:kern w:val="0"/>
                <w:szCs w:val="20"/>
              </w:rPr>
            </w:pPr>
            <w:r>
              <w:rPr>
                <w:rFonts w:cs="Times New Roman"/>
                <w:kern w:val="0"/>
                <w:szCs w:val="20"/>
              </w:rPr>
              <w:t>0.00E+00</w:t>
            </w:r>
          </w:p>
        </w:tc>
      </w:tr>
      <w:tr w14:paraId="6F2B1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5539D81">
            <w:pPr>
              <w:pStyle w:val="445"/>
              <w:rPr>
                <w:rFonts w:cs="Times New Roman"/>
                <w:kern w:val="0"/>
                <w:szCs w:val="20"/>
              </w:rPr>
            </w:pPr>
            <w:r>
              <w:rPr>
                <w:rFonts w:hint="eastAsia" w:cs="Times New Roman"/>
                <w:kern w:val="0"/>
                <w:szCs w:val="20"/>
              </w:rPr>
              <w:t>80</w:t>
            </w:r>
          </w:p>
        </w:tc>
        <w:tc>
          <w:tcPr>
            <w:tcW w:w="2103" w:type="pct"/>
          </w:tcPr>
          <w:p w14:paraId="43CE1DB4">
            <w:pPr>
              <w:pStyle w:val="445"/>
              <w:rPr>
                <w:rFonts w:cs="Times New Roman"/>
                <w:kern w:val="0"/>
                <w:szCs w:val="20"/>
              </w:rPr>
            </w:pPr>
            <w:r>
              <w:rPr>
                <w:rFonts w:cs="Times New Roman"/>
                <w:kern w:val="0"/>
                <w:szCs w:val="20"/>
              </w:rPr>
              <w:t>0.00E+00</w:t>
            </w:r>
          </w:p>
        </w:tc>
        <w:tc>
          <w:tcPr>
            <w:tcW w:w="2103" w:type="pct"/>
            <w:vAlign w:val="center"/>
          </w:tcPr>
          <w:p w14:paraId="555669F1">
            <w:pPr>
              <w:pStyle w:val="445"/>
              <w:rPr>
                <w:rFonts w:cs="Times New Roman"/>
                <w:kern w:val="0"/>
                <w:szCs w:val="20"/>
              </w:rPr>
            </w:pPr>
            <w:r>
              <w:rPr>
                <w:rFonts w:cs="Times New Roman"/>
                <w:kern w:val="0"/>
                <w:szCs w:val="20"/>
              </w:rPr>
              <w:t>0.00E+00</w:t>
            </w:r>
          </w:p>
        </w:tc>
      </w:tr>
      <w:tr w14:paraId="363E7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4153830">
            <w:pPr>
              <w:pStyle w:val="445"/>
              <w:rPr>
                <w:rFonts w:cs="Times New Roman"/>
                <w:kern w:val="0"/>
                <w:szCs w:val="20"/>
              </w:rPr>
            </w:pPr>
            <w:r>
              <w:rPr>
                <w:rFonts w:hint="eastAsia" w:cs="Times New Roman"/>
                <w:kern w:val="0"/>
                <w:szCs w:val="20"/>
              </w:rPr>
              <w:t>90</w:t>
            </w:r>
          </w:p>
        </w:tc>
        <w:tc>
          <w:tcPr>
            <w:tcW w:w="2103" w:type="pct"/>
          </w:tcPr>
          <w:p w14:paraId="1D1975DC">
            <w:pPr>
              <w:pStyle w:val="445"/>
              <w:rPr>
                <w:rFonts w:cs="Times New Roman"/>
                <w:kern w:val="0"/>
                <w:szCs w:val="20"/>
              </w:rPr>
            </w:pPr>
            <w:r>
              <w:rPr>
                <w:rFonts w:cs="Times New Roman"/>
                <w:kern w:val="0"/>
                <w:szCs w:val="20"/>
              </w:rPr>
              <w:t>0.00E+00</w:t>
            </w:r>
          </w:p>
        </w:tc>
        <w:tc>
          <w:tcPr>
            <w:tcW w:w="2103" w:type="pct"/>
            <w:vAlign w:val="center"/>
          </w:tcPr>
          <w:p w14:paraId="74CB4C64">
            <w:pPr>
              <w:pStyle w:val="445"/>
              <w:rPr>
                <w:rFonts w:cs="Times New Roman"/>
                <w:kern w:val="0"/>
                <w:szCs w:val="20"/>
              </w:rPr>
            </w:pPr>
            <w:r>
              <w:rPr>
                <w:rFonts w:cs="Times New Roman"/>
                <w:kern w:val="0"/>
                <w:szCs w:val="20"/>
              </w:rPr>
              <w:t>0.00E+00</w:t>
            </w:r>
          </w:p>
        </w:tc>
      </w:tr>
      <w:tr w14:paraId="0B40E0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6AE565A">
            <w:pPr>
              <w:pStyle w:val="445"/>
              <w:rPr>
                <w:rFonts w:cs="Times New Roman"/>
                <w:kern w:val="0"/>
                <w:szCs w:val="20"/>
              </w:rPr>
            </w:pPr>
            <w:r>
              <w:rPr>
                <w:rFonts w:cs="Times New Roman"/>
                <w:kern w:val="0"/>
                <w:szCs w:val="20"/>
              </w:rPr>
              <w:t>100</w:t>
            </w:r>
          </w:p>
        </w:tc>
        <w:tc>
          <w:tcPr>
            <w:tcW w:w="2103" w:type="pct"/>
          </w:tcPr>
          <w:p w14:paraId="3933700C">
            <w:pPr>
              <w:pStyle w:val="445"/>
              <w:rPr>
                <w:rFonts w:cs="Times New Roman"/>
                <w:kern w:val="0"/>
                <w:szCs w:val="20"/>
              </w:rPr>
            </w:pPr>
            <w:r>
              <w:rPr>
                <w:rFonts w:cs="Times New Roman"/>
                <w:kern w:val="0"/>
                <w:szCs w:val="20"/>
              </w:rPr>
              <w:t>0.00E+00</w:t>
            </w:r>
          </w:p>
        </w:tc>
        <w:tc>
          <w:tcPr>
            <w:tcW w:w="2103" w:type="pct"/>
            <w:vAlign w:val="center"/>
          </w:tcPr>
          <w:p w14:paraId="055E3C6D">
            <w:pPr>
              <w:pStyle w:val="445"/>
              <w:rPr>
                <w:rFonts w:cs="Times New Roman"/>
                <w:kern w:val="0"/>
                <w:szCs w:val="20"/>
              </w:rPr>
            </w:pPr>
            <w:r>
              <w:rPr>
                <w:rFonts w:cs="Times New Roman"/>
                <w:kern w:val="0"/>
                <w:szCs w:val="20"/>
              </w:rPr>
              <w:t>0.00E+00</w:t>
            </w:r>
          </w:p>
        </w:tc>
      </w:tr>
      <w:tr w14:paraId="5D3F4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2F89787">
            <w:pPr>
              <w:pStyle w:val="445"/>
              <w:rPr>
                <w:rFonts w:cs="Times New Roman"/>
                <w:kern w:val="0"/>
                <w:szCs w:val="20"/>
              </w:rPr>
            </w:pPr>
            <w:r>
              <w:rPr>
                <w:rFonts w:cs="Times New Roman"/>
                <w:kern w:val="0"/>
                <w:szCs w:val="20"/>
              </w:rPr>
              <w:t>200</w:t>
            </w:r>
          </w:p>
        </w:tc>
        <w:tc>
          <w:tcPr>
            <w:tcW w:w="2103" w:type="pct"/>
          </w:tcPr>
          <w:p w14:paraId="25D9FCD9">
            <w:pPr>
              <w:pStyle w:val="445"/>
              <w:rPr>
                <w:rFonts w:cs="Times New Roman"/>
                <w:kern w:val="0"/>
                <w:szCs w:val="20"/>
              </w:rPr>
            </w:pPr>
            <w:r>
              <w:rPr>
                <w:rFonts w:cs="Times New Roman"/>
                <w:kern w:val="0"/>
                <w:szCs w:val="20"/>
              </w:rPr>
              <w:t>3.12E-10</w:t>
            </w:r>
          </w:p>
        </w:tc>
        <w:tc>
          <w:tcPr>
            <w:tcW w:w="2103" w:type="pct"/>
          </w:tcPr>
          <w:p w14:paraId="36C5CC67">
            <w:pPr>
              <w:pStyle w:val="445"/>
              <w:rPr>
                <w:rFonts w:cs="Times New Roman"/>
                <w:kern w:val="0"/>
                <w:szCs w:val="20"/>
              </w:rPr>
            </w:pPr>
            <w:r>
              <w:rPr>
                <w:rFonts w:cs="Times New Roman"/>
                <w:kern w:val="0"/>
                <w:szCs w:val="20"/>
              </w:rPr>
              <w:t>1.30E-41</w:t>
            </w:r>
          </w:p>
        </w:tc>
      </w:tr>
      <w:tr w14:paraId="5672F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0AFAE17">
            <w:pPr>
              <w:pStyle w:val="445"/>
              <w:rPr>
                <w:rFonts w:cs="Times New Roman"/>
                <w:kern w:val="0"/>
                <w:szCs w:val="20"/>
              </w:rPr>
            </w:pPr>
            <w:r>
              <w:rPr>
                <w:rFonts w:cs="Times New Roman"/>
                <w:kern w:val="0"/>
                <w:szCs w:val="20"/>
              </w:rPr>
              <w:t>300</w:t>
            </w:r>
          </w:p>
        </w:tc>
        <w:tc>
          <w:tcPr>
            <w:tcW w:w="2103" w:type="pct"/>
          </w:tcPr>
          <w:p w14:paraId="4EB69F0B">
            <w:pPr>
              <w:pStyle w:val="445"/>
              <w:rPr>
                <w:rFonts w:cs="Times New Roman"/>
                <w:kern w:val="0"/>
                <w:szCs w:val="20"/>
              </w:rPr>
            </w:pPr>
            <w:r>
              <w:rPr>
                <w:rFonts w:cs="Times New Roman"/>
                <w:kern w:val="0"/>
                <w:szCs w:val="20"/>
              </w:rPr>
              <w:t>1.54E-04</w:t>
            </w:r>
          </w:p>
        </w:tc>
        <w:tc>
          <w:tcPr>
            <w:tcW w:w="2103" w:type="pct"/>
          </w:tcPr>
          <w:p w14:paraId="4F00380B">
            <w:pPr>
              <w:pStyle w:val="445"/>
              <w:rPr>
                <w:rFonts w:cs="Times New Roman"/>
                <w:kern w:val="0"/>
                <w:szCs w:val="20"/>
              </w:rPr>
            </w:pPr>
            <w:r>
              <w:rPr>
                <w:rFonts w:cs="Times New Roman"/>
                <w:kern w:val="0"/>
                <w:szCs w:val="20"/>
              </w:rPr>
              <w:t>2.27E-18</w:t>
            </w:r>
          </w:p>
        </w:tc>
      </w:tr>
      <w:tr w14:paraId="3B9D5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26F74A5">
            <w:pPr>
              <w:pStyle w:val="445"/>
              <w:rPr>
                <w:rFonts w:cs="Times New Roman"/>
                <w:kern w:val="0"/>
                <w:szCs w:val="20"/>
              </w:rPr>
            </w:pPr>
            <w:r>
              <w:rPr>
                <w:rFonts w:cs="Times New Roman"/>
                <w:kern w:val="0"/>
                <w:szCs w:val="20"/>
              </w:rPr>
              <w:t>400</w:t>
            </w:r>
          </w:p>
        </w:tc>
        <w:tc>
          <w:tcPr>
            <w:tcW w:w="2103" w:type="pct"/>
          </w:tcPr>
          <w:p w14:paraId="58DA9C95">
            <w:pPr>
              <w:pStyle w:val="445"/>
              <w:rPr>
                <w:rFonts w:cs="Times New Roman"/>
                <w:kern w:val="0"/>
                <w:szCs w:val="20"/>
              </w:rPr>
            </w:pPr>
            <w:r>
              <w:rPr>
                <w:rFonts w:cs="Times New Roman"/>
                <w:kern w:val="0"/>
                <w:szCs w:val="20"/>
              </w:rPr>
              <w:t>1.11E-02</w:t>
            </w:r>
          </w:p>
        </w:tc>
        <w:tc>
          <w:tcPr>
            <w:tcW w:w="2103" w:type="pct"/>
          </w:tcPr>
          <w:p w14:paraId="55B5D446">
            <w:pPr>
              <w:pStyle w:val="445"/>
              <w:rPr>
                <w:rFonts w:cs="Times New Roman"/>
                <w:kern w:val="0"/>
                <w:szCs w:val="20"/>
              </w:rPr>
            </w:pPr>
            <w:r>
              <w:rPr>
                <w:rFonts w:cs="Times New Roman"/>
                <w:kern w:val="0"/>
                <w:szCs w:val="20"/>
              </w:rPr>
              <w:t>2.34E-10</w:t>
            </w:r>
          </w:p>
        </w:tc>
      </w:tr>
      <w:tr w14:paraId="62FD02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EA958E8">
            <w:pPr>
              <w:pStyle w:val="445"/>
              <w:rPr>
                <w:rFonts w:cs="Times New Roman"/>
                <w:kern w:val="0"/>
                <w:szCs w:val="20"/>
              </w:rPr>
            </w:pPr>
            <w:r>
              <w:rPr>
                <w:rFonts w:hint="eastAsia" w:cs="Times New Roman"/>
                <w:kern w:val="0"/>
                <w:szCs w:val="20"/>
              </w:rPr>
              <w:t>500</w:t>
            </w:r>
          </w:p>
        </w:tc>
        <w:tc>
          <w:tcPr>
            <w:tcW w:w="2103" w:type="pct"/>
          </w:tcPr>
          <w:p w14:paraId="61C46E08">
            <w:pPr>
              <w:pStyle w:val="445"/>
              <w:rPr>
                <w:rFonts w:cs="Times New Roman"/>
                <w:kern w:val="0"/>
                <w:szCs w:val="20"/>
              </w:rPr>
            </w:pPr>
            <w:r>
              <w:rPr>
                <w:rFonts w:cs="Times New Roman"/>
                <w:kern w:val="0"/>
                <w:szCs w:val="20"/>
              </w:rPr>
              <w:t>6.96E-02</w:t>
            </w:r>
          </w:p>
        </w:tc>
        <w:tc>
          <w:tcPr>
            <w:tcW w:w="2103" w:type="pct"/>
          </w:tcPr>
          <w:p w14:paraId="47BE1A1F">
            <w:pPr>
              <w:pStyle w:val="445"/>
              <w:rPr>
                <w:rFonts w:cs="Times New Roman"/>
                <w:kern w:val="0"/>
                <w:szCs w:val="20"/>
              </w:rPr>
            </w:pPr>
            <w:r>
              <w:rPr>
                <w:rFonts w:cs="Times New Roman"/>
                <w:kern w:val="0"/>
                <w:szCs w:val="20"/>
              </w:rPr>
              <w:t>1.17E-06</w:t>
            </w:r>
          </w:p>
        </w:tc>
      </w:tr>
      <w:tr w14:paraId="6BBC4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F5DC5BA">
            <w:pPr>
              <w:pStyle w:val="445"/>
              <w:rPr>
                <w:rFonts w:cs="Times New Roman"/>
                <w:kern w:val="0"/>
                <w:szCs w:val="20"/>
              </w:rPr>
            </w:pPr>
            <w:r>
              <w:rPr>
                <w:rFonts w:hint="eastAsia" w:cs="Times New Roman"/>
                <w:kern w:val="0"/>
                <w:szCs w:val="20"/>
              </w:rPr>
              <w:t>600</w:t>
            </w:r>
          </w:p>
        </w:tc>
        <w:tc>
          <w:tcPr>
            <w:tcW w:w="2103" w:type="pct"/>
          </w:tcPr>
          <w:p w14:paraId="6B774097">
            <w:pPr>
              <w:pStyle w:val="445"/>
              <w:rPr>
                <w:rFonts w:cs="Times New Roman"/>
                <w:kern w:val="0"/>
                <w:szCs w:val="20"/>
              </w:rPr>
            </w:pPr>
            <w:r>
              <w:rPr>
                <w:rFonts w:cs="Times New Roman"/>
                <w:kern w:val="0"/>
                <w:szCs w:val="20"/>
              </w:rPr>
              <w:t>1.73E-01</w:t>
            </w:r>
          </w:p>
        </w:tc>
        <w:tc>
          <w:tcPr>
            <w:tcW w:w="2103" w:type="pct"/>
          </w:tcPr>
          <w:p w14:paraId="58F5E0C2">
            <w:pPr>
              <w:pStyle w:val="445"/>
              <w:rPr>
                <w:rFonts w:cs="Times New Roman"/>
                <w:kern w:val="0"/>
                <w:szCs w:val="20"/>
              </w:rPr>
            </w:pPr>
            <w:r>
              <w:rPr>
                <w:rFonts w:cs="Times New Roman"/>
                <w:kern w:val="0"/>
                <w:szCs w:val="20"/>
              </w:rPr>
              <w:t>1.17E-04</w:t>
            </w:r>
          </w:p>
        </w:tc>
      </w:tr>
      <w:tr w14:paraId="530AF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2248CF6">
            <w:pPr>
              <w:pStyle w:val="445"/>
              <w:rPr>
                <w:rFonts w:cs="Times New Roman"/>
                <w:kern w:val="0"/>
                <w:szCs w:val="20"/>
              </w:rPr>
            </w:pPr>
            <w:r>
              <w:rPr>
                <w:rFonts w:hint="eastAsia" w:cs="Times New Roman"/>
                <w:kern w:val="0"/>
                <w:szCs w:val="20"/>
              </w:rPr>
              <w:t>700</w:t>
            </w:r>
          </w:p>
        </w:tc>
        <w:tc>
          <w:tcPr>
            <w:tcW w:w="2103" w:type="pct"/>
          </w:tcPr>
          <w:p w14:paraId="3F40821F">
            <w:pPr>
              <w:pStyle w:val="445"/>
              <w:rPr>
                <w:rFonts w:cs="Times New Roman"/>
                <w:kern w:val="0"/>
                <w:szCs w:val="20"/>
              </w:rPr>
            </w:pPr>
            <w:r>
              <w:rPr>
                <w:rFonts w:cs="Times New Roman"/>
                <w:kern w:val="0"/>
                <w:szCs w:val="20"/>
              </w:rPr>
              <w:t>2.80E-01</w:t>
            </w:r>
          </w:p>
        </w:tc>
        <w:tc>
          <w:tcPr>
            <w:tcW w:w="2103" w:type="pct"/>
          </w:tcPr>
          <w:p w14:paraId="28CCC76A">
            <w:pPr>
              <w:pStyle w:val="445"/>
              <w:rPr>
                <w:rFonts w:cs="Times New Roman"/>
                <w:kern w:val="0"/>
                <w:szCs w:val="20"/>
              </w:rPr>
            </w:pPr>
            <w:r>
              <w:rPr>
                <w:rFonts w:cs="Times New Roman"/>
                <w:kern w:val="0"/>
                <w:szCs w:val="20"/>
              </w:rPr>
              <w:t>1.84E-03</w:t>
            </w:r>
          </w:p>
        </w:tc>
      </w:tr>
      <w:tr w14:paraId="68CA5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6291567">
            <w:pPr>
              <w:pStyle w:val="445"/>
              <w:rPr>
                <w:rFonts w:cs="Times New Roman"/>
                <w:kern w:val="0"/>
                <w:szCs w:val="20"/>
              </w:rPr>
            </w:pPr>
            <w:r>
              <w:rPr>
                <w:rFonts w:hint="eastAsia" w:cs="Times New Roman"/>
                <w:kern w:val="0"/>
                <w:szCs w:val="20"/>
              </w:rPr>
              <w:t>800</w:t>
            </w:r>
          </w:p>
        </w:tc>
        <w:tc>
          <w:tcPr>
            <w:tcW w:w="2103" w:type="pct"/>
          </w:tcPr>
          <w:p w14:paraId="5126FFD6">
            <w:pPr>
              <w:pStyle w:val="445"/>
              <w:rPr>
                <w:rFonts w:cs="Times New Roman"/>
                <w:kern w:val="0"/>
                <w:szCs w:val="20"/>
              </w:rPr>
            </w:pPr>
            <w:r>
              <w:rPr>
                <w:rFonts w:cs="Times New Roman"/>
                <w:kern w:val="0"/>
                <w:szCs w:val="20"/>
              </w:rPr>
              <w:t>3.63E-01</w:t>
            </w:r>
          </w:p>
        </w:tc>
        <w:tc>
          <w:tcPr>
            <w:tcW w:w="2103" w:type="pct"/>
          </w:tcPr>
          <w:p w14:paraId="60319267">
            <w:pPr>
              <w:pStyle w:val="445"/>
              <w:rPr>
                <w:rFonts w:cs="Times New Roman"/>
                <w:kern w:val="0"/>
                <w:szCs w:val="20"/>
              </w:rPr>
            </w:pPr>
            <w:r>
              <w:rPr>
                <w:rFonts w:cs="Times New Roman"/>
                <w:kern w:val="0"/>
                <w:szCs w:val="20"/>
              </w:rPr>
              <w:t>1.08E-02</w:t>
            </w:r>
          </w:p>
        </w:tc>
      </w:tr>
      <w:tr w14:paraId="7A97B5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5339949">
            <w:pPr>
              <w:pStyle w:val="445"/>
              <w:rPr>
                <w:rFonts w:cs="Times New Roman"/>
                <w:kern w:val="0"/>
                <w:szCs w:val="20"/>
              </w:rPr>
            </w:pPr>
            <w:r>
              <w:rPr>
                <w:rFonts w:hint="eastAsia" w:cs="Times New Roman"/>
                <w:kern w:val="0"/>
                <w:szCs w:val="20"/>
              </w:rPr>
              <w:t>900</w:t>
            </w:r>
          </w:p>
        </w:tc>
        <w:tc>
          <w:tcPr>
            <w:tcW w:w="2103" w:type="pct"/>
          </w:tcPr>
          <w:p w14:paraId="178C66DB">
            <w:pPr>
              <w:pStyle w:val="445"/>
              <w:rPr>
                <w:rFonts w:cs="Times New Roman"/>
                <w:kern w:val="0"/>
                <w:szCs w:val="20"/>
              </w:rPr>
            </w:pPr>
            <w:r>
              <w:rPr>
                <w:rFonts w:cs="Times New Roman"/>
                <w:kern w:val="0"/>
                <w:szCs w:val="20"/>
              </w:rPr>
              <w:t>4.17E-01</w:t>
            </w:r>
          </w:p>
        </w:tc>
        <w:tc>
          <w:tcPr>
            <w:tcW w:w="2103" w:type="pct"/>
          </w:tcPr>
          <w:p w14:paraId="0052912A">
            <w:pPr>
              <w:pStyle w:val="445"/>
              <w:rPr>
                <w:rFonts w:cs="Times New Roman"/>
                <w:kern w:val="0"/>
                <w:szCs w:val="20"/>
              </w:rPr>
            </w:pPr>
            <w:r>
              <w:rPr>
                <w:rFonts w:cs="Times New Roman"/>
                <w:kern w:val="0"/>
                <w:szCs w:val="20"/>
              </w:rPr>
              <w:t>3.54E-02</w:t>
            </w:r>
          </w:p>
        </w:tc>
      </w:tr>
      <w:tr w14:paraId="29B992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90E4CAD">
            <w:pPr>
              <w:pStyle w:val="445"/>
              <w:rPr>
                <w:rFonts w:cs="Times New Roman"/>
                <w:kern w:val="0"/>
                <w:szCs w:val="20"/>
              </w:rPr>
            </w:pPr>
            <w:r>
              <w:rPr>
                <w:rFonts w:hint="eastAsia" w:cs="Times New Roman"/>
                <w:kern w:val="0"/>
                <w:szCs w:val="20"/>
              </w:rPr>
              <w:t>1000</w:t>
            </w:r>
          </w:p>
        </w:tc>
        <w:tc>
          <w:tcPr>
            <w:tcW w:w="2103" w:type="pct"/>
          </w:tcPr>
          <w:p w14:paraId="24A05C18">
            <w:pPr>
              <w:pStyle w:val="445"/>
              <w:rPr>
                <w:rFonts w:cs="Times New Roman"/>
                <w:kern w:val="0"/>
                <w:szCs w:val="20"/>
              </w:rPr>
            </w:pPr>
            <w:r>
              <w:rPr>
                <w:rFonts w:cs="Times New Roman"/>
                <w:kern w:val="0"/>
                <w:szCs w:val="20"/>
              </w:rPr>
              <w:t>4.45E-01</w:t>
            </w:r>
          </w:p>
        </w:tc>
        <w:tc>
          <w:tcPr>
            <w:tcW w:w="2103" w:type="pct"/>
          </w:tcPr>
          <w:p w14:paraId="36F9D6FE">
            <w:pPr>
              <w:pStyle w:val="445"/>
              <w:rPr>
                <w:rFonts w:cs="Times New Roman"/>
                <w:kern w:val="0"/>
                <w:szCs w:val="20"/>
              </w:rPr>
            </w:pPr>
            <w:r>
              <w:rPr>
                <w:rFonts w:cs="Times New Roman"/>
                <w:kern w:val="0"/>
                <w:szCs w:val="20"/>
              </w:rPr>
              <w:t>8.12E-02</w:t>
            </w:r>
          </w:p>
        </w:tc>
      </w:tr>
      <w:tr w14:paraId="45F99D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4F3D1732">
            <w:pPr>
              <w:pStyle w:val="445"/>
              <w:rPr>
                <w:rFonts w:cs="Times New Roman"/>
                <w:kern w:val="0"/>
                <w:szCs w:val="20"/>
              </w:rPr>
            </w:pPr>
            <w:r>
              <w:rPr>
                <w:rFonts w:hint="eastAsia" w:cs="Times New Roman"/>
                <w:kern w:val="0"/>
                <w:szCs w:val="20"/>
              </w:rPr>
              <w:t>1100</w:t>
            </w:r>
          </w:p>
        </w:tc>
        <w:tc>
          <w:tcPr>
            <w:tcW w:w="2103" w:type="pct"/>
          </w:tcPr>
          <w:p w14:paraId="75AFA7E9">
            <w:pPr>
              <w:pStyle w:val="445"/>
              <w:rPr>
                <w:rFonts w:cs="Times New Roman"/>
                <w:kern w:val="0"/>
                <w:szCs w:val="20"/>
              </w:rPr>
            </w:pPr>
            <w:r>
              <w:rPr>
                <w:rFonts w:cs="Times New Roman"/>
                <w:kern w:val="0"/>
                <w:szCs w:val="20"/>
              </w:rPr>
              <w:t>4.54E-01</w:t>
            </w:r>
          </w:p>
        </w:tc>
        <w:tc>
          <w:tcPr>
            <w:tcW w:w="2103" w:type="pct"/>
          </w:tcPr>
          <w:p w14:paraId="6EC9922C">
            <w:pPr>
              <w:pStyle w:val="445"/>
              <w:rPr>
                <w:rFonts w:cs="Times New Roman"/>
                <w:kern w:val="0"/>
                <w:szCs w:val="20"/>
              </w:rPr>
            </w:pPr>
            <w:r>
              <w:rPr>
                <w:rFonts w:cs="Times New Roman"/>
                <w:kern w:val="0"/>
                <w:szCs w:val="20"/>
              </w:rPr>
              <w:t>1.47E-01</w:t>
            </w:r>
          </w:p>
        </w:tc>
      </w:tr>
      <w:tr w14:paraId="1F803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42EE46E">
            <w:pPr>
              <w:pStyle w:val="445"/>
              <w:rPr>
                <w:rFonts w:cs="Times New Roman"/>
                <w:kern w:val="0"/>
                <w:szCs w:val="20"/>
              </w:rPr>
            </w:pPr>
            <w:r>
              <w:rPr>
                <w:rFonts w:hint="eastAsia" w:cs="Times New Roman"/>
                <w:kern w:val="0"/>
                <w:szCs w:val="20"/>
              </w:rPr>
              <w:t>1200</w:t>
            </w:r>
          </w:p>
        </w:tc>
        <w:tc>
          <w:tcPr>
            <w:tcW w:w="2103" w:type="pct"/>
          </w:tcPr>
          <w:p w14:paraId="65FE0A8E">
            <w:pPr>
              <w:pStyle w:val="445"/>
              <w:rPr>
                <w:rFonts w:cs="Times New Roman"/>
                <w:kern w:val="0"/>
                <w:szCs w:val="20"/>
              </w:rPr>
            </w:pPr>
            <w:r>
              <w:rPr>
                <w:rFonts w:cs="Times New Roman"/>
                <w:kern w:val="0"/>
                <w:szCs w:val="20"/>
              </w:rPr>
              <w:t>4.55E-01</w:t>
            </w:r>
          </w:p>
        </w:tc>
        <w:tc>
          <w:tcPr>
            <w:tcW w:w="2103" w:type="pct"/>
          </w:tcPr>
          <w:p w14:paraId="5DE7C512">
            <w:pPr>
              <w:pStyle w:val="445"/>
              <w:rPr>
                <w:rFonts w:cs="Times New Roman"/>
                <w:kern w:val="0"/>
                <w:szCs w:val="20"/>
              </w:rPr>
            </w:pPr>
            <w:r>
              <w:rPr>
                <w:rFonts w:cs="Times New Roman"/>
                <w:kern w:val="0"/>
                <w:szCs w:val="20"/>
              </w:rPr>
              <w:t>2.28E-01</w:t>
            </w:r>
          </w:p>
        </w:tc>
      </w:tr>
      <w:tr w14:paraId="3A4FA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574900E">
            <w:pPr>
              <w:pStyle w:val="445"/>
              <w:rPr>
                <w:rFonts w:cs="Times New Roman"/>
                <w:kern w:val="0"/>
                <w:szCs w:val="20"/>
              </w:rPr>
            </w:pPr>
            <w:r>
              <w:rPr>
                <w:rFonts w:hint="eastAsia" w:cs="Times New Roman"/>
                <w:kern w:val="0"/>
                <w:szCs w:val="20"/>
              </w:rPr>
              <w:t>1300</w:t>
            </w:r>
          </w:p>
        </w:tc>
        <w:tc>
          <w:tcPr>
            <w:tcW w:w="2103" w:type="pct"/>
          </w:tcPr>
          <w:p w14:paraId="33C71931">
            <w:pPr>
              <w:pStyle w:val="445"/>
              <w:rPr>
                <w:rFonts w:cs="Times New Roman"/>
                <w:kern w:val="0"/>
                <w:szCs w:val="20"/>
              </w:rPr>
            </w:pPr>
            <w:r>
              <w:rPr>
                <w:rFonts w:cs="Times New Roman"/>
                <w:kern w:val="0"/>
                <w:szCs w:val="20"/>
              </w:rPr>
              <w:t>4.53E-01</w:t>
            </w:r>
          </w:p>
        </w:tc>
        <w:tc>
          <w:tcPr>
            <w:tcW w:w="2103" w:type="pct"/>
          </w:tcPr>
          <w:p w14:paraId="781E37CD">
            <w:pPr>
              <w:pStyle w:val="445"/>
              <w:rPr>
                <w:rFonts w:cs="Times New Roman"/>
                <w:kern w:val="0"/>
                <w:szCs w:val="20"/>
              </w:rPr>
            </w:pPr>
            <w:r>
              <w:rPr>
                <w:rFonts w:cs="Times New Roman"/>
                <w:kern w:val="0"/>
                <w:szCs w:val="20"/>
              </w:rPr>
              <w:t>3.16E-01</w:t>
            </w:r>
          </w:p>
        </w:tc>
      </w:tr>
      <w:tr w14:paraId="75A40B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DA7314A">
            <w:pPr>
              <w:pStyle w:val="445"/>
              <w:rPr>
                <w:rFonts w:cs="Times New Roman"/>
                <w:kern w:val="0"/>
                <w:szCs w:val="20"/>
              </w:rPr>
            </w:pPr>
            <w:r>
              <w:rPr>
                <w:rFonts w:hint="eastAsia" w:cs="Times New Roman"/>
                <w:kern w:val="0"/>
                <w:szCs w:val="20"/>
              </w:rPr>
              <w:t>1400</w:t>
            </w:r>
          </w:p>
        </w:tc>
        <w:tc>
          <w:tcPr>
            <w:tcW w:w="2103" w:type="pct"/>
          </w:tcPr>
          <w:p w14:paraId="321AB4A8">
            <w:pPr>
              <w:pStyle w:val="445"/>
              <w:rPr>
                <w:rFonts w:cs="Times New Roman"/>
                <w:kern w:val="0"/>
                <w:szCs w:val="20"/>
              </w:rPr>
            </w:pPr>
            <w:r>
              <w:rPr>
                <w:rFonts w:cs="Times New Roman"/>
                <w:kern w:val="0"/>
                <w:szCs w:val="20"/>
              </w:rPr>
              <w:t>4.44E-01</w:t>
            </w:r>
          </w:p>
        </w:tc>
        <w:tc>
          <w:tcPr>
            <w:tcW w:w="2103" w:type="pct"/>
          </w:tcPr>
          <w:p w14:paraId="45916387">
            <w:pPr>
              <w:pStyle w:val="445"/>
              <w:rPr>
                <w:rFonts w:cs="Times New Roman"/>
                <w:kern w:val="0"/>
                <w:szCs w:val="20"/>
              </w:rPr>
            </w:pPr>
            <w:r>
              <w:rPr>
                <w:rFonts w:cs="Times New Roman"/>
                <w:kern w:val="0"/>
                <w:szCs w:val="20"/>
              </w:rPr>
              <w:t>4.03E-01</w:t>
            </w:r>
          </w:p>
        </w:tc>
      </w:tr>
      <w:tr w14:paraId="092A7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1548FAE">
            <w:pPr>
              <w:pStyle w:val="445"/>
              <w:rPr>
                <w:rFonts w:cs="Times New Roman"/>
                <w:kern w:val="0"/>
                <w:szCs w:val="20"/>
              </w:rPr>
            </w:pPr>
            <w:r>
              <w:rPr>
                <w:rFonts w:hint="eastAsia" w:cs="Times New Roman"/>
                <w:kern w:val="0"/>
                <w:szCs w:val="20"/>
              </w:rPr>
              <w:t>1500</w:t>
            </w:r>
          </w:p>
        </w:tc>
        <w:tc>
          <w:tcPr>
            <w:tcW w:w="2103" w:type="pct"/>
          </w:tcPr>
          <w:p w14:paraId="1418D62A">
            <w:pPr>
              <w:pStyle w:val="445"/>
              <w:rPr>
                <w:rFonts w:cs="Times New Roman"/>
                <w:kern w:val="0"/>
                <w:szCs w:val="20"/>
              </w:rPr>
            </w:pPr>
            <w:r>
              <w:rPr>
                <w:rFonts w:cs="Times New Roman"/>
                <w:kern w:val="0"/>
                <w:szCs w:val="20"/>
              </w:rPr>
              <w:t>4.32E-01</w:t>
            </w:r>
          </w:p>
        </w:tc>
        <w:tc>
          <w:tcPr>
            <w:tcW w:w="2103" w:type="pct"/>
          </w:tcPr>
          <w:p w14:paraId="17DCB578">
            <w:pPr>
              <w:pStyle w:val="445"/>
              <w:rPr>
                <w:rFonts w:cs="Times New Roman"/>
                <w:kern w:val="0"/>
                <w:szCs w:val="20"/>
              </w:rPr>
            </w:pPr>
            <w:r>
              <w:rPr>
                <w:rFonts w:cs="Times New Roman"/>
                <w:kern w:val="0"/>
                <w:szCs w:val="20"/>
              </w:rPr>
              <w:t>4.90E-01</w:t>
            </w:r>
          </w:p>
        </w:tc>
      </w:tr>
      <w:tr w14:paraId="24596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D116917">
            <w:pPr>
              <w:pStyle w:val="445"/>
              <w:rPr>
                <w:rFonts w:cs="Times New Roman"/>
                <w:kern w:val="0"/>
                <w:szCs w:val="20"/>
              </w:rPr>
            </w:pPr>
            <w:r>
              <w:rPr>
                <w:rFonts w:hint="eastAsia" w:cs="Times New Roman"/>
                <w:kern w:val="0"/>
                <w:szCs w:val="20"/>
              </w:rPr>
              <w:t>1600</w:t>
            </w:r>
          </w:p>
        </w:tc>
        <w:tc>
          <w:tcPr>
            <w:tcW w:w="2103" w:type="pct"/>
          </w:tcPr>
          <w:p w14:paraId="5FF9679A">
            <w:pPr>
              <w:pStyle w:val="445"/>
              <w:rPr>
                <w:rFonts w:cs="Times New Roman"/>
                <w:kern w:val="0"/>
                <w:szCs w:val="20"/>
              </w:rPr>
            </w:pPr>
            <w:r>
              <w:rPr>
                <w:rFonts w:cs="Times New Roman"/>
                <w:kern w:val="0"/>
                <w:szCs w:val="20"/>
              </w:rPr>
              <w:t>4.17E-01</w:t>
            </w:r>
          </w:p>
        </w:tc>
        <w:tc>
          <w:tcPr>
            <w:tcW w:w="2103" w:type="pct"/>
          </w:tcPr>
          <w:p w14:paraId="7E086D63">
            <w:pPr>
              <w:pStyle w:val="445"/>
              <w:rPr>
                <w:rFonts w:cs="Times New Roman"/>
                <w:kern w:val="0"/>
                <w:szCs w:val="20"/>
              </w:rPr>
            </w:pPr>
            <w:r>
              <w:rPr>
                <w:rFonts w:cs="Times New Roman"/>
                <w:kern w:val="0"/>
                <w:szCs w:val="20"/>
              </w:rPr>
              <w:t>5.77E-01</w:t>
            </w:r>
          </w:p>
        </w:tc>
      </w:tr>
      <w:tr w14:paraId="570DF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48967B3">
            <w:pPr>
              <w:pStyle w:val="445"/>
              <w:rPr>
                <w:rFonts w:cs="Times New Roman"/>
                <w:kern w:val="0"/>
                <w:szCs w:val="20"/>
              </w:rPr>
            </w:pPr>
            <w:r>
              <w:rPr>
                <w:rFonts w:hint="eastAsia" w:cs="Times New Roman"/>
                <w:kern w:val="0"/>
                <w:szCs w:val="20"/>
              </w:rPr>
              <w:t>1700</w:t>
            </w:r>
          </w:p>
        </w:tc>
        <w:tc>
          <w:tcPr>
            <w:tcW w:w="2103" w:type="pct"/>
          </w:tcPr>
          <w:p w14:paraId="765C0728">
            <w:pPr>
              <w:pStyle w:val="445"/>
              <w:rPr>
                <w:rFonts w:cs="Times New Roman"/>
                <w:kern w:val="0"/>
                <w:szCs w:val="20"/>
              </w:rPr>
            </w:pPr>
            <w:r>
              <w:rPr>
                <w:rFonts w:cs="Times New Roman"/>
                <w:kern w:val="0"/>
                <w:szCs w:val="20"/>
              </w:rPr>
              <w:t>4.01E-01</w:t>
            </w:r>
          </w:p>
        </w:tc>
        <w:tc>
          <w:tcPr>
            <w:tcW w:w="2103" w:type="pct"/>
          </w:tcPr>
          <w:p w14:paraId="438B6E29">
            <w:pPr>
              <w:pStyle w:val="445"/>
              <w:rPr>
                <w:rFonts w:cs="Times New Roman"/>
                <w:kern w:val="0"/>
                <w:szCs w:val="20"/>
              </w:rPr>
            </w:pPr>
            <w:r>
              <w:rPr>
                <w:rFonts w:cs="Times New Roman"/>
                <w:kern w:val="0"/>
                <w:szCs w:val="20"/>
              </w:rPr>
              <w:t>6.56E-01</w:t>
            </w:r>
          </w:p>
        </w:tc>
      </w:tr>
      <w:tr w14:paraId="2C1931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4D222597">
            <w:pPr>
              <w:pStyle w:val="445"/>
              <w:rPr>
                <w:rFonts w:cs="Times New Roman"/>
                <w:kern w:val="0"/>
                <w:szCs w:val="20"/>
              </w:rPr>
            </w:pPr>
            <w:r>
              <w:rPr>
                <w:rFonts w:hint="eastAsia" w:cs="Times New Roman"/>
                <w:kern w:val="0"/>
                <w:szCs w:val="20"/>
              </w:rPr>
              <w:t>1800</w:t>
            </w:r>
          </w:p>
        </w:tc>
        <w:tc>
          <w:tcPr>
            <w:tcW w:w="2103" w:type="pct"/>
          </w:tcPr>
          <w:p w14:paraId="3208EB8C">
            <w:pPr>
              <w:pStyle w:val="445"/>
              <w:rPr>
                <w:rFonts w:cs="Times New Roman"/>
                <w:kern w:val="0"/>
                <w:szCs w:val="20"/>
              </w:rPr>
            </w:pPr>
            <w:r>
              <w:rPr>
                <w:rFonts w:cs="Times New Roman"/>
                <w:kern w:val="0"/>
                <w:szCs w:val="20"/>
              </w:rPr>
              <w:t>3.85E-01</w:t>
            </w:r>
          </w:p>
        </w:tc>
        <w:tc>
          <w:tcPr>
            <w:tcW w:w="2103" w:type="pct"/>
          </w:tcPr>
          <w:p w14:paraId="1B411D99">
            <w:pPr>
              <w:pStyle w:val="445"/>
              <w:rPr>
                <w:rFonts w:cs="Times New Roman"/>
                <w:kern w:val="0"/>
                <w:szCs w:val="20"/>
              </w:rPr>
            </w:pPr>
            <w:r>
              <w:rPr>
                <w:rFonts w:cs="Times New Roman"/>
                <w:kern w:val="0"/>
                <w:szCs w:val="20"/>
              </w:rPr>
              <w:t>7.25E-01</w:t>
            </w:r>
          </w:p>
        </w:tc>
      </w:tr>
      <w:tr w14:paraId="23832C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D9A45AB">
            <w:pPr>
              <w:pStyle w:val="445"/>
              <w:rPr>
                <w:rFonts w:cs="Times New Roman"/>
                <w:kern w:val="0"/>
                <w:szCs w:val="20"/>
              </w:rPr>
            </w:pPr>
            <w:r>
              <w:rPr>
                <w:rFonts w:hint="eastAsia" w:cs="Times New Roman"/>
                <w:kern w:val="0"/>
                <w:szCs w:val="20"/>
              </w:rPr>
              <w:t>1900</w:t>
            </w:r>
          </w:p>
        </w:tc>
        <w:tc>
          <w:tcPr>
            <w:tcW w:w="2103" w:type="pct"/>
          </w:tcPr>
          <w:p w14:paraId="026FAA49">
            <w:pPr>
              <w:pStyle w:val="445"/>
              <w:rPr>
                <w:rFonts w:cs="Times New Roman"/>
                <w:kern w:val="0"/>
                <w:szCs w:val="20"/>
              </w:rPr>
            </w:pPr>
            <w:r>
              <w:rPr>
                <w:rFonts w:cs="Times New Roman"/>
                <w:kern w:val="0"/>
                <w:szCs w:val="20"/>
              </w:rPr>
              <w:t>3.69E-01</w:t>
            </w:r>
          </w:p>
        </w:tc>
        <w:tc>
          <w:tcPr>
            <w:tcW w:w="2103" w:type="pct"/>
          </w:tcPr>
          <w:p w14:paraId="10E45AFC">
            <w:pPr>
              <w:pStyle w:val="445"/>
              <w:rPr>
                <w:rFonts w:cs="Times New Roman"/>
                <w:kern w:val="0"/>
                <w:szCs w:val="20"/>
              </w:rPr>
            </w:pPr>
            <w:r>
              <w:rPr>
                <w:rFonts w:cs="Times New Roman"/>
                <w:kern w:val="0"/>
                <w:szCs w:val="20"/>
              </w:rPr>
              <w:t>7.84E-01</w:t>
            </w:r>
          </w:p>
        </w:tc>
      </w:tr>
      <w:tr w14:paraId="2FD36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A482E29">
            <w:pPr>
              <w:pStyle w:val="445"/>
              <w:rPr>
                <w:rFonts w:cs="Times New Roman"/>
                <w:kern w:val="0"/>
                <w:szCs w:val="20"/>
              </w:rPr>
            </w:pPr>
            <w:r>
              <w:rPr>
                <w:rFonts w:hint="eastAsia" w:cs="Times New Roman"/>
                <w:kern w:val="0"/>
                <w:szCs w:val="20"/>
              </w:rPr>
              <w:t>2000</w:t>
            </w:r>
          </w:p>
        </w:tc>
        <w:tc>
          <w:tcPr>
            <w:tcW w:w="2103" w:type="pct"/>
          </w:tcPr>
          <w:p w14:paraId="3E1FDC12">
            <w:pPr>
              <w:pStyle w:val="445"/>
              <w:rPr>
                <w:rFonts w:cs="Times New Roman"/>
                <w:kern w:val="0"/>
                <w:szCs w:val="20"/>
              </w:rPr>
            </w:pPr>
            <w:r>
              <w:rPr>
                <w:rFonts w:cs="Times New Roman"/>
                <w:kern w:val="0"/>
                <w:szCs w:val="20"/>
              </w:rPr>
              <w:t>3.53E-01</w:t>
            </w:r>
          </w:p>
        </w:tc>
        <w:tc>
          <w:tcPr>
            <w:tcW w:w="2103" w:type="pct"/>
          </w:tcPr>
          <w:p w14:paraId="674A7E12">
            <w:pPr>
              <w:pStyle w:val="445"/>
              <w:rPr>
                <w:rFonts w:cs="Times New Roman"/>
                <w:kern w:val="0"/>
                <w:szCs w:val="20"/>
              </w:rPr>
            </w:pPr>
            <w:r>
              <w:rPr>
                <w:rFonts w:cs="Times New Roman"/>
                <w:kern w:val="0"/>
                <w:szCs w:val="20"/>
              </w:rPr>
              <w:t>8.34E-01</w:t>
            </w:r>
          </w:p>
        </w:tc>
      </w:tr>
      <w:tr w14:paraId="1EFE7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C731DB9">
            <w:pPr>
              <w:pStyle w:val="445"/>
              <w:rPr>
                <w:rFonts w:cs="Times New Roman"/>
                <w:kern w:val="0"/>
                <w:szCs w:val="20"/>
              </w:rPr>
            </w:pPr>
            <w:r>
              <w:rPr>
                <w:rFonts w:hint="eastAsia" w:cs="Times New Roman"/>
                <w:kern w:val="0"/>
                <w:szCs w:val="20"/>
              </w:rPr>
              <w:t>2100</w:t>
            </w:r>
          </w:p>
        </w:tc>
        <w:tc>
          <w:tcPr>
            <w:tcW w:w="2103" w:type="pct"/>
          </w:tcPr>
          <w:p w14:paraId="47482CE8">
            <w:pPr>
              <w:pStyle w:val="445"/>
              <w:rPr>
                <w:rFonts w:cs="Times New Roman"/>
                <w:kern w:val="0"/>
                <w:szCs w:val="20"/>
              </w:rPr>
            </w:pPr>
            <w:r>
              <w:rPr>
                <w:rFonts w:cs="Times New Roman"/>
                <w:kern w:val="0"/>
                <w:szCs w:val="20"/>
              </w:rPr>
              <w:t>3.37E-01</w:t>
            </w:r>
          </w:p>
        </w:tc>
        <w:tc>
          <w:tcPr>
            <w:tcW w:w="2103" w:type="pct"/>
          </w:tcPr>
          <w:p w14:paraId="36EF8CEF">
            <w:pPr>
              <w:pStyle w:val="445"/>
              <w:rPr>
                <w:rFonts w:cs="Times New Roman"/>
                <w:kern w:val="0"/>
                <w:szCs w:val="20"/>
              </w:rPr>
            </w:pPr>
            <w:r>
              <w:rPr>
                <w:rFonts w:cs="Times New Roman"/>
                <w:kern w:val="0"/>
                <w:szCs w:val="20"/>
              </w:rPr>
              <w:t>8.74E-01</w:t>
            </w:r>
          </w:p>
        </w:tc>
      </w:tr>
      <w:tr w14:paraId="08206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475A575">
            <w:pPr>
              <w:pStyle w:val="445"/>
              <w:rPr>
                <w:rFonts w:cs="Times New Roman"/>
                <w:kern w:val="0"/>
                <w:szCs w:val="20"/>
              </w:rPr>
            </w:pPr>
            <w:r>
              <w:rPr>
                <w:rFonts w:hint="eastAsia" w:cs="Times New Roman"/>
                <w:kern w:val="0"/>
                <w:szCs w:val="20"/>
              </w:rPr>
              <w:t>2200</w:t>
            </w:r>
          </w:p>
        </w:tc>
        <w:tc>
          <w:tcPr>
            <w:tcW w:w="2103" w:type="pct"/>
          </w:tcPr>
          <w:p w14:paraId="50595285">
            <w:pPr>
              <w:pStyle w:val="445"/>
              <w:rPr>
                <w:rFonts w:cs="Times New Roman"/>
                <w:kern w:val="0"/>
                <w:szCs w:val="20"/>
              </w:rPr>
            </w:pPr>
            <w:r>
              <w:rPr>
                <w:rFonts w:cs="Times New Roman"/>
                <w:kern w:val="0"/>
                <w:szCs w:val="20"/>
              </w:rPr>
              <w:t>3.23E-01</w:t>
            </w:r>
          </w:p>
        </w:tc>
        <w:tc>
          <w:tcPr>
            <w:tcW w:w="2103" w:type="pct"/>
          </w:tcPr>
          <w:p w14:paraId="0DBF8A11">
            <w:pPr>
              <w:pStyle w:val="445"/>
              <w:rPr>
                <w:rFonts w:cs="Times New Roman"/>
                <w:kern w:val="0"/>
                <w:szCs w:val="20"/>
              </w:rPr>
            </w:pPr>
            <w:r>
              <w:rPr>
                <w:rFonts w:cs="Times New Roman"/>
                <w:kern w:val="0"/>
                <w:szCs w:val="20"/>
              </w:rPr>
              <w:t>9.07E-01</w:t>
            </w:r>
          </w:p>
        </w:tc>
      </w:tr>
      <w:tr w14:paraId="3B176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E492A16">
            <w:pPr>
              <w:pStyle w:val="445"/>
              <w:rPr>
                <w:rFonts w:cs="Times New Roman"/>
                <w:kern w:val="0"/>
                <w:szCs w:val="20"/>
              </w:rPr>
            </w:pPr>
            <w:r>
              <w:rPr>
                <w:rFonts w:hint="eastAsia" w:cs="Times New Roman"/>
                <w:kern w:val="0"/>
                <w:szCs w:val="20"/>
              </w:rPr>
              <w:t>2</w:t>
            </w:r>
            <w:r>
              <w:rPr>
                <w:rFonts w:cs="Times New Roman"/>
                <w:kern w:val="0"/>
                <w:szCs w:val="20"/>
              </w:rPr>
              <w:t>300</w:t>
            </w:r>
          </w:p>
        </w:tc>
        <w:tc>
          <w:tcPr>
            <w:tcW w:w="2103" w:type="pct"/>
          </w:tcPr>
          <w:p w14:paraId="37E0807C">
            <w:pPr>
              <w:pStyle w:val="445"/>
              <w:rPr>
                <w:rFonts w:cs="Times New Roman"/>
                <w:kern w:val="0"/>
                <w:szCs w:val="20"/>
              </w:rPr>
            </w:pPr>
            <w:r>
              <w:rPr>
                <w:rFonts w:cs="Times New Roman"/>
                <w:kern w:val="0"/>
                <w:szCs w:val="20"/>
              </w:rPr>
              <w:t>3.09E-01</w:t>
            </w:r>
          </w:p>
        </w:tc>
        <w:tc>
          <w:tcPr>
            <w:tcW w:w="2103" w:type="pct"/>
          </w:tcPr>
          <w:p w14:paraId="3AADDD81">
            <w:pPr>
              <w:pStyle w:val="445"/>
              <w:rPr>
                <w:rFonts w:cs="Times New Roman"/>
                <w:kern w:val="0"/>
                <w:szCs w:val="20"/>
              </w:rPr>
            </w:pPr>
            <w:r>
              <w:rPr>
                <w:rFonts w:cs="Times New Roman"/>
                <w:kern w:val="0"/>
                <w:szCs w:val="20"/>
              </w:rPr>
              <w:t>9.32E-01</w:t>
            </w:r>
          </w:p>
        </w:tc>
      </w:tr>
      <w:tr w14:paraId="506E2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C4FBD79">
            <w:pPr>
              <w:pStyle w:val="445"/>
              <w:rPr>
                <w:rFonts w:cs="Times New Roman"/>
                <w:kern w:val="0"/>
                <w:szCs w:val="20"/>
              </w:rPr>
            </w:pPr>
            <w:r>
              <w:rPr>
                <w:rFonts w:hint="eastAsia" w:cs="Times New Roman"/>
                <w:kern w:val="0"/>
                <w:szCs w:val="20"/>
              </w:rPr>
              <w:t>2400</w:t>
            </w:r>
          </w:p>
        </w:tc>
        <w:tc>
          <w:tcPr>
            <w:tcW w:w="2103" w:type="pct"/>
          </w:tcPr>
          <w:p w14:paraId="6A248EFD">
            <w:pPr>
              <w:pStyle w:val="445"/>
              <w:rPr>
                <w:rFonts w:cs="Times New Roman"/>
                <w:kern w:val="0"/>
                <w:szCs w:val="20"/>
              </w:rPr>
            </w:pPr>
            <w:r>
              <w:rPr>
                <w:rFonts w:cs="Times New Roman"/>
                <w:kern w:val="0"/>
                <w:szCs w:val="20"/>
              </w:rPr>
              <w:t>2.95E-01</w:t>
            </w:r>
          </w:p>
        </w:tc>
        <w:tc>
          <w:tcPr>
            <w:tcW w:w="2103" w:type="pct"/>
          </w:tcPr>
          <w:p w14:paraId="178E7D6B">
            <w:pPr>
              <w:pStyle w:val="445"/>
              <w:rPr>
                <w:rFonts w:cs="Times New Roman"/>
                <w:kern w:val="0"/>
                <w:szCs w:val="20"/>
              </w:rPr>
            </w:pPr>
            <w:r>
              <w:rPr>
                <w:rFonts w:cs="Times New Roman"/>
                <w:kern w:val="0"/>
                <w:szCs w:val="20"/>
              </w:rPr>
              <w:t>9.50E-01</w:t>
            </w:r>
          </w:p>
        </w:tc>
      </w:tr>
      <w:tr w14:paraId="14B273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E08A895">
            <w:pPr>
              <w:pStyle w:val="445"/>
              <w:rPr>
                <w:rFonts w:cs="Times New Roman"/>
                <w:kern w:val="0"/>
                <w:szCs w:val="20"/>
              </w:rPr>
            </w:pPr>
            <w:r>
              <w:rPr>
                <w:rFonts w:hint="eastAsia" w:cs="Times New Roman"/>
                <w:kern w:val="0"/>
                <w:szCs w:val="20"/>
              </w:rPr>
              <w:t>2500</w:t>
            </w:r>
          </w:p>
        </w:tc>
        <w:tc>
          <w:tcPr>
            <w:tcW w:w="2103" w:type="pct"/>
          </w:tcPr>
          <w:p w14:paraId="1D381CDF">
            <w:pPr>
              <w:pStyle w:val="445"/>
              <w:rPr>
                <w:rFonts w:cs="Times New Roman"/>
                <w:kern w:val="0"/>
                <w:szCs w:val="20"/>
              </w:rPr>
            </w:pPr>
            <w:r>
              <w:rPr>
                <w:rFonts w:cs="Times New Roman"/>
                <w:kern w:val="0"/>
                <w:szCs w:val="20"/>
              </w:rPr>
              <w:t>2.82E-01</w:t>
            </w:r>
          </w:p>
        </w:tc>
        <w:tc>
          <w:tcPr>
            <w:tcW w:w="2103" w:type="pct"/>
          </w:tcPr>
          <w:p w14:paraId="0CB84818">
            <w:pPr>
              <w:pStyle w:val="445"/>
              <w:rPr>
                <w:rFonts w:cs="Times New Roman"/>
                <w:kern w:val="0"/>
                <w:szCs w:val="20"/>
              </w:rPr>
            </w:pPr>
            <w:r>
              <w:rPr>
                <w:rFonts w:cs="Times New Roman"/>
                <w:kern w:val="0"/>
                <w:szCs w:val="20"/>
              </w:rPr>
              <w:t>9.62E-01</w:t>
            </w:r>
          </w:p>
        </w:tc>
      </w:tr>
      <w:tr w14:paraId="4BDA5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CFB1585">
            <w:pPr>
              <w:pStyle w:val="445"/>
              <w:rPr>
                <w:rFonts w:cs="Times New Roman"/>
                <w:kern w:val="0"/>
                <w:szCs w:val="20"/>
              </w:rPr>
            </w:pPr>
            <w:r>
              <w:rPr>
                <w:rFonts w:hint="eastAsia" w:cs="Times New Roman"/>
                <w:kern w:val="0"/>
                <w:szCs w:val="20"/>
              </w:rPr>
              <w:t>3000</w:t>
            </w:r>
          </w:p>
        </w:tc>
        <w:tc>
          <w:tcPr>
            <w:tcW w:w="2103" w:type="pct"/>
          </w:tcPr>
          <w:p w14:paraId="6775518D">
            <w:pPr>
              <w:pStyle w:val="445"/>
              <w:rPr>
                <w:rFonts w:cs="Times New Roman"/>
                <w:kern w:val="0"/>
                <w:szCs w:val="20"/>
              </w:rPr>
            </w:pPr>
            <w:r>
              <w:rPr>
                <w:rFonts w:cs="Times New Roman"/>
                <w:kern w:val="0"/>
                <w:szCs w:val="20"/>
              </w:rPr>
              <w:t>2.29E-01</w:t>
            </w:r>
          </w:p>
        </w:tc>
        <w:tc>
          <w:tcPr>
            <w:tcW w:w="2103" w:type="pct"/>
          </w:tcPr>
          <w:p w14:paraId="1AC67DF1">
            <w:pPr>
              <w:pStyle w:val="445"/>
              <w:rPr>
                <w:rFonts w:cs="Times New Roman"/>
                <w:kern w:val="0"/>
                <w:szCs w:val="20"/>
              </w:rPr>
            </w:pPr>
            <w:r>
              <w:rPr>
                <w:rFonts w:cs="Times New Roman"/>
                <w:kern w:val="0"/>
                <w:szCs w:val="20"/>
              </w:rPr>
              <w:t>7.81E-04</w:t>
            </w:r>
          </w:p>
        </w:tc>
      </w:tr>
      <w:tr w14:paraId="3AFA5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2B0D983">
            <w:pPr>
              <w:pStyle w:val="445"/>
              <w:rPr>
                <w:rFonts w:cs="Times New Roman"/>
                <w:kern w:val="0"/>
                <w:szCs w:val="20"/>
              </w:rPr>
            </w:pPr>
            <w:r>
              <w:rPr>
                <w:rFonts w:hint="eastAsia" w:cs="Times New Roman"/>
                <w:kern w:val="0"/>
                <w:szCs w:val="20"/>
              </w:rPr>
              <w:t>3500</w:t>
            </w:r>
          </w:p>
        </w:tc>
        <w:tc>
          <w:tcPr>
            <w:tcW w:w="2103" w:type="pct"/>
          </w:tcPr>
          <w:p w14:paraId="25953F1F">
            <w:pPr>
              <w:pStyle w:val="445"/>
              <w:rPr>
                <w:rFonts w:cs="Times New Roman"/>
                <w:kern w:val="0"/>
                <w:szCs w:val="20"/>
              </w:rPr>
            </w:pPr>
            <w:r>
              <w:rPr>
                <w:rFonts w:cs="Times New Roman"/>
                <w:kern w:val="0"/>
                <w:szCs w:val="20"/>
              </w:rPr>
              <w:t>1.89E-01</w:t>
            </w:r>
          </w:p>
        </w:tc>
        <w:tc>
          <w:tcPr>
            <w:tcW w:w="2103" w:type="pct"/>
          </w:tcPr>
          <w:p w14:paraId="69A35B81">
            <w:pPr>
              <w:pStyle w:val="445"/>
              <w:rPr>
                <w:rFonts w:cs="Times New Roman"/>
                <w:kern w:val="0"/>
                <w:szCs w:val="20"/>
              </w:rPr>
            </w:pPr>
            <w:r>
              <w:rPr>
                <w:rFonts w:cs="Times New Roman"/>
                <w:kern w:val="0"/>
                <w:szCs w:val="20"/>
              </w:rPr>
              <w:t>1.71E-15</w:t>
            </w:r>
          </w:p>
        </w:tc>
      </w:tr>
      <w:tr w14:paraId="0A2DDF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1BB5EE9">
            <w:pPr>
              <w:pStyle w:val="445"/>
              <w:rPr>
                <w:rFonts w:cs="Times New Roman"/>
                <w:kern w:val="0"/>
                <w:szCs w:val="20"/>
              </w:rPr>
            </w:pPr>
            <w:r>
              <w:rPr>
                <w:rFonts w:hint="eastAsia" w:cs="Times New Roman"/>
                <w:kern w:val="0"/>
                <w:szCs w:val="20"/>
              </w:rPr>
              <w:t>4000</w:t>
            </w:r>
          </w:p>
        </w:tc>
        <w:tc>
          <w:tcPr>
            <w:tcW w:w="2103" w:type="pct"/>
          </w:tcPr>
          <w:p w14:paraId="7C34E443">
            <w:pPr>
              <w:pStyle w:val="445"/>
              <w:rPr>
                <w:rFonts w:cs="Times New Roman"/>
                <w:kern w:val="0"/>
                <w:szCs w:val="20"/>
              </w:rPr>
            </w:pPr>
            <w:r>
              <w:rPr>
                <w:rFonts w:cs="Times New Roman"/>
                <w:kern w:val="0"/>
                <w:szCs w:val="20"/>
              </w:rPr>
              <w:t>1.55E-01</w:t>
            </w:r>
          </w:p>
        </w:tc>
        <w:tc>
          <w:tcPr>
            <w:tcW w:w="2103" w:type="pct"/>
          </w:tcPr>
          <w:p w14:paraId="1425D375">
            <w:pPr>
              <w:pStyle w:val="445"/>
              <w:rPr>
                <w:rFonts w:cs="Times New Roman"/>
                <w:kern w:val="0"/>
                <w:szCs w:val="20"/>
              </w:rPr>
            </w:pPr>
            <w:r>
              <w:rPr>
                <w:rFonts w:cs="Times New Roman"/>
                <w:kern w:val="0"/>
                <w:szCs w:val="20"/>
              </w:rPr>
              <w:t>3.85E-30</w:t>
            </w:r>
          </w:p>
        </w:tc>
      </w:tr>
      <w:tr w14:paraId="0CD53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CDF8F11">
            <w:pPr>
              <w:pStyle w:val="445"/>
              <w:rPr>
                <w:rFonts w:cs="Times New Roman"/>
                <w:kern w:val="0"/>
                <w:szCs w:val="20"/>
              </w:rPr>
            </w:pPr>
            <w:r>
              <w:rPr>
                <w:rFonts w:hint="eastAsia" w:cs="Times New Roman"/>
                <w:kern w:val="0"/>
                <w:szCs w:val="20"/>
              </w:rPr>
              <w:t>4500</w:t>
            </w:r>
          </w:p>
        </w:tc>
        <w:tc>
          <w:tcPr>
            <w:tcW w:w="2103" w:type="pct"/>
          </w:tcPr>
          <w:p w14:paraId="47803832">
            <w:pPr>
              <w:pStyle w:val="445"/>
              <w:rPr>
                <w:rFonts w:cs="Times New Roman"/>
                <w:kern w:val="0"/>
                <w:szCs w:val="20"/>
              </w:rPr>
            </w:pPr>
            <w:r>
              <w:rPr>
                <w:rFonts w:cs="Times New Roman"/>
                <w:kern w:val="0"/>
                <w:szCs w:val="20"/>
              </w:rPr>
              <w:t>5.46E-02</w:t>
            </w:r>
          </w:p>
        </w:tc>
        <w:tc>
          <w:tcPr>
            <w:tcW w:w="2103" w:type="pct"/>
          </w:tcPr>
          <w:p w14:paraId="1CF8B8C6">
            <w:pPr>
              <w:pStyle w:val="445"/>
              <w:rPr>
                <w:rFonts w:cs="Times New Roman"/>
                <w:kern w:val="0"/>
                <w:szCs w:val="20"/>
              </w:rPr>
            </w:pPr>
            <w:r>
              <w:rPr>
                <w:rFonts w:cs="Times New Roman"/>
                <w:kern w:val="0"/>
                <w:szCs w:val="20"/>
              </w:rPr>
              <w:t>0.00E+00</w:t>
            </w:r>
          </w:p>
        </w:tc>
      </w:tr>
      <w:tr w14:paraId="494515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AF4DFDD">
            <w:pPr>
              <w:pStyle w:val="445"/>
              <w:rPr>
                <w:rFonts w:cs="Times New Roman"/>
                <w:kern w:val="0"/>
                <w:szCs w:val="20"/>
              </w:rPr>
            </w:pPr>
            <w:r>
              <w:rPr>
                <w:rFonts w:hint="eastAsia" w:cs="Times New Roman"/>
                <w:kern w:val="0"/>
                <w:szCs w:val="20"/>
              </w:rPr>
              <w:t>5000</w:t>
            </w:r>
          </w:p>
        </w:tc>
        <w:tc>
          <w:tcPr>
            <w:tcW w:w="2103" w:type="pct"/>
          </w:tcPr>
          <w:p w14:paraId="4F3D1B58">
            <w:pPr>
              <w:pStyle w:val="445"/>
              <w:rPr>
                <w:rFonts w:cs="Times New Roman"/>
                <w:kern w:val="0"/>
                <w:szCs w:val="20"/>
              </w:rPr>
            </w:pPr>
            <w:r>
              <w:rPr>
                <w:rFonts w:cs="Times New Roman"/>
                <w:kern w:val="0"/>
                <w:szCs w:val="20"/>
              </w:rPr>
              <w:t>2.52E-03</w:t>
            </w:r>
          </w:p>
        </w:tc>
        <w:tc>
          <w:tcPr>
            <w:tcW w:w="2103" w:type="pct"/>
          </w:tcPr>
          <w:p w14:paraId="764ED4C2">
            <w:pPr>
              <w:pStyle w:val="445"/>
              <w:rPr>
                <w:rFonts w:cs="Times New Roman"/>
                <w:kern w:val="0"/>
                <w:szCs w:val="20"/>
              </w:rPr>
            </w:pPr>
            <w:r>
              <w:rPr>
                <w:rFonts w:cs="Times New Roman"/>
                <w:kern w:val="0"/>
                <w:szCs w:val="20"/>
              </w:rPr>
              <w:t>0.00E+00</w:t>
            </w:r>
          </w:p>
        </w:tc>
      </w:tr>
    </w:tbl>
    <w:p w14:paraId="74F98152">
      <w:pPr>
        <w:spacing w:line="500" w:lineRule="exact"/>
        <w:ind w:firstLine="0" w:firstLineChars="0"/>
        <w:jc w:val="center"/>
        <w:rPr>
          <w:rFonts w:eastAsia="黑体"/>
        </w:rPr>
      </w:pPr>
      <w:r>
        <w:rPr>
          <w:rFonts w:hint="eastAsia" w:eastAsia="黑体"/>
        </w:rPr>
        <w:t>表5.6.</w:t>
      </w:r>
      <w:r>
        <w:rPr>
          <w:rFonts w:eastAsia="黑体"/>
        </w:rPr>
        <w:t>7-2  CO</w:t>
      </w:r>
      <w:r>
        <w:rPr>
          <w:rFonts w:hint="eastAsia" w:eastAsia="黑体"/>
          <w:lang w:val="zh-CN"/>
        </w:rPr>
        <w:t>各阈值的廓线对应的位置</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78"/>
        <w:gridCol w:w="1239"/>
        <w:gridCol w:w="961"/>
        <w:gridCol w:w="963"/>
        <w:gridCol w:w="1192"/>
        <w:gridCol w:w="1548"/>
      </w:tblGrid>
      <w:tr w14:paraId="0446D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Align w:val="center"/>
          </w:tcPr>
          <w:p w14:paraId="22E30FC4">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预测气象条件</w:t>
            </w:r>
          </w:p>
        </w:tc>
        <w:tc>
          <w:tcPr>
            <w:tcW w:w="1070" w:type="pct"/>
            <w:vAlign w:val="center"/>
          </w:tcPr>
          <w:p w14:paraId="7BE0981C">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指标</w:t>
            </w:r>
          </w:p>
        </w:tc>
        <w:tc>
          <w:tcPr>
            <w:tcW w:w="670" w:type="pct"/>
            <w:vAlign w:val="center"/>
          </w:tcPr>
          <w:p w14:paraId="72385611">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浓度值（</w:t>
            </w:r>
            <w:r>
              <w:rPr>
                <w:rFonts w:cs="Times New Roman"/>
                <w:kern w:val="0"/>
                <w:sz w:val="18"/>
                <w:szCs w:val="20"/>
              </w:rPr>
              <w:t>mg/m</w:t>
            </w:r>
            <w:r>
              <w:rPr>
                <w:rFonts w:cs="Times New Roman"/>
                <w:kern w:val="0"/>
                <w:sz w:val="18"/>
                <w:szCs w:val="20"/>
                <w:vertAlign w:val="superscript"/>
              </w:rPr>
              <w:t>3</w:t>
            </w:r>
            <w:r>
              <w:rPr>
                <w:rFonts w:cs="Times New Roman"/>
                <w:kern w:val="0"/>
                <w:sz w:val="18"/>
                <w:szCs w:val="20"/>
                <w:lang w:val="en-GB"/>
              </w:rPr>
              <w:t>）</w:t>
            </w:r>
          </w:p>
        </w:tc>
        <w:tc>
          <w:tcPr>
            <w:tcW w:w="520" w:type="pct"/>
            <w:vAlign w:val="center"/>
          </w:tcPr>
          <w:p w14:paraId="764AB997">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起点</w:t>
            </w:r>
            <w:r>
              <w:rPr>
                <w:rFonts w:cs="Times New Roman"/>
                <w:kern w:val="0"/>
                <w:sz w:val="18"/>
                <w:szCs w:val="20"/>
                <w:lang w:val="zh-CN"/>
              </w:rPr>
              <w:t>(m)</w:t>
            </w:r>
          </w:p>
        </w:tc>
        <w:tc>
          <w:tcPr>
            <w:tcW w:w="521" w:type="pct"/>
            <w:vAlign w:val="center"/>
          </w:tcPr>
          <w:p w14:paraId="2BBED9F5">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终点</w:t>
            </w:r>
            <w:r>
              <w:rPr>
                <w:rFonts w:cs="Times New Roman"/>
                <w:kern w:val="0"/>
                <w:sz w:val="18"/>
                <w:szCs w:val="20"/>
                <w:lang w:val="zh-CN"/>
              </w:rPr>
              <w:t>(m)</w:t>
            </w:r>
          </w:p>
        </w:tc>
        <w:tc>
          <w:tcPr>
            <w:tcW w:w="645" w:type="pct"/>
            <w:vAlign w:val="center"/>
          </w:tcPr>
          <w:p w14:paraId="53BC4878">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w:t>
            </w:r>
            <w:r>
              <w:rPr>
                <w:rFonts w:cs="Times New Roman"/>
                <w:kern w:val="0"/>
                <w:sz w:val="18"/>
                <w:szCs w:val="20"/>
                <w:lang w:val="zh-CN"/>
              </w:rPr>
              <w:t>(m)</w:t>
            </w:r>
          </w:p>
        </w:tc>
        <w:tc>
          <w:tcPr>
            <w:tcW w:w="837" w:type="pct"/>
            <w:vAlign w:val="center"/>
          </w:tcPr>
          <w:p w14:paraId="793513D5">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最大半宽对应</w:t>
            </w:r>
            <w:r>
              <w:rPr>
                <w:rFonts w:cs="Times New Roman"/>
                <w:kern w:val="0"/>
                <w:sz w:val="18"/>
                <w:szCs w:val="20"/>
                <w:lang w:val="zh-CN"/>
              </w:rPr>
              <w:t>X(m)</w:t>
            </w:r>
          </w:p>
        </w:tc>
      </w:tr>
      <w:tr w14:paraId="2FFF2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vAlign w:val="center"/>
          </w:tcPr>
          <w:p w14:paraId="2C992969">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rPr>
              <w:t>最常见</w:t>
            </w:r>
            <w:r>
              <w:rPr>
                <w:rFonts w:cs="Times New Roman"/>
                <w:kern w:val="0"/>
                <w:sz w:val="18"/>
                <w:szCs w:val="20"/>
              </w:rPr>
              <w:t>气象</w:t>
            </w:r>
            <w:r>
              <w:rPr>
                <w:rFonts w:hint="eastAsia" w:cs="Times New Roman"/>
                <w:kern w:val="0"/>
                <w:sz w:val="18"/>
                <w:szCs w:val="20"/>
              </w:rPr>
              <w:t>条件D</w:t>
            </w:r>
          </w:p>
        </w:tc>
        <w:tc>
          <w:tcPr>
            <w:tcW w:w="1070" w:type="pct"/>
            <w:vAlign w:val="center"/>
          </w:tcPr>
          <w:p w14:paraId="0AD67345">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vAlign w:val="center"/>
          </w:tcPr>
          <w:p w14:paraId="6010D48A">
            <w:pPr>
              <w:widowControl/>
              <w:spacing w:line="360" w:lineRule="exact"/>
              <w:ind w:firstLine="0" w:firstLineChars="0"/>
              <w:jc w:val="center"/>
              <w:rPr>
                <w:rFonts w:cs="Times New Roman"/>
                <w:kern w:val="0"/>
                <w:sz w:val="18"/>
                <w:szCs w:val="20"/>
              </w:rPr>
            </w:pPr>
            <w:r>
              <w:rPr>
                <w:rFonts w:cs="Times New Roman"/>
                <w:kern w:val="0"/>
                <w:sz w:val="18"/>
                <w:szCs w:val="20"/>
              </w:rPr>
              <w:t>95</w:t>
            </w:r>
          </w:p>
        </w:tc>
        <w:tc>
          <w:tcPr>
            <w:tcW w:w="520" w:type="pct"/>
            <w:vAlign w:val="center"/>
          </w:tcPr>
          <w:p w14:paraId="00B68E00">
            <w:pPr>
              <w:widowControl/>
              <w:spacing w:line="360" w:lineRule="exact"/>
              <w:ind w:firstLine="0" w:firstLineChars="0"/>
              <w:jc w:val="center"/>
              <w:rPr>
                <w:rFonts w:cs="Times New Roman"/>
                <w:kern w:val="0"/>
                <w:sz w:val="18"/>
                <w:szCs w:val="20"/>
              </w:rPr>
            </w:pPr>
            <w:r>
              <w:rPr>
                <w:rFonts w:hint="eastAsia" w:cs="Times New Roman"/>
                <w:kern w:val="0"/>
                <w:sz w:val="18"/>
                <w:szCs w:val="20"/>
              </w:rPr>
              <w:t>80</w:t>
            </w:r>
          </w:p>
        </w:tc>
        <w:tc>
          <w:tcPr>
            <w:tcW w:w="521" w:type="pct"/>
            <w:vAlign w:val="center"/>
          </w:tcPr>
          <w:p w14:paraId="76723DA2">
            <w:pPr>
              <w:widowControl/>
              <w:spacing w:line="360" w:lineRule="exact"/>
              <w:ind w:firstLine="0" w:firstLineChars="0"/>
              <w:jc w:val="center"/>
              <w:rPr>
                <w:rFonts w:cs="Times New Roman"/>
                <w:kern w:val="0"/>
                <w:sz w:val="18"/>
                <w:szCs w:val="20"/>
              </w:rPr>
            </w:pPr>
            <w:r>
              <w:rPr>
                <w:rFonts w:hint="eastAsia" w:cs="Times New Roman"/>
                <w:kern w:val="0"/>
                <w:sz w:val="18"/>
                <w:szCs w:val="20"/>
              </w:rPr>
              <w:t>80</w:t>
            </w:r>
          </w:p>
        </w:tc>
        <w:tc>
          <w:tcPr>
            <w:tcW w:w="645" w:type="pct"/>
            <w:vAlign w:val="center"/>
          </w:tcPr>
          <w:p w14:paraId="17B3736E">
            <w:pPr>
              <w:widowControl/>
              <w:spacing w:line="360" w:lineRule="exact"/>
              <w:ind w:firstLine="0" w:firstLineChars="0"/>
              <w:jc w:val="center"/>
              <w:rPr>
                <w:rFonts w:cs="Times New Roman"/>
                <w:kern w:val="0"/>
                <w:sz w:val="18"/>
                <w:szCs w:val="20"/>
              </w:rPr>
            </w:pPr>
            <w:r>
              <w:rPr>
                <w:rFonts w:hint="eastAsia" w:cs="Times New Roman"/>
                <w:kern w:val="0"/>
                <w:sz w:val="18"/>
                <w:szCs w:val="20"/>
              </w:rPr>
              <w:t>4</w:t>
            </w:r>
          </w:p>
        </w:tc>
        <w:tc>
          <w:tcPr>
            <w:tcW w:w="837" w:type="pct"/>
            <w:vAlign w:val="center"/>
          </w:tcPr>
          <w:p w14:paraId="5A60007A">
            <w:pPr>
              <w:widowControl/>
              <w:spacing w:line="360" w:lineRule="exact"/>
              <w:ind w:firstLine="0" w:firstLineChars="0"/>
              <w:jc w:val="center"/>
              <w:rPr>
                <w:rFonts w:cs="Times New Roman"/>
                <w:kern w:val="0"/>
                <w:sz w:val="18"/>
                <w:szCs w:val="20"/>
              </w:rPr>
            </w:pPr>
            <w:r>
              <w:rPr>
                <w:rFonts w:hint="eastAsia" w:cs="Times New Roman"/>
                <w:kern w:val="0"/>
                <w:sz w:val="18"/>
                <w:szCs w:val="20"/>
              </w:rPr>
              <w:t>80</w:t>
            </w:r>
          </w:p>
        </w:tc>
      </w:tr>
      <w:tr w14:paraId="279A2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vAlign w:val="center"/>
          </w:tcPr>
          <w:p w14:paraId="6A892828">
            <w:pPr>
              <w:widowControl/>
              <w:spacing w:line="360" w:lineRule="exact"/>
              <w:ind w:firstLine="0" w:firstLineChars="0"/>
              <w:jc w:val="center"/>
              <w:rPr>
                <w:rFonts w:cs="Times New Roman"/>
                <w:kern w:val="0"/>
                <w:sz w:val="18"/>
                <w:szCs w:val="20"/>
                <w:lang w:val="en-GB"/>
              </w:rPr>
            </w:pPr>
          </w:p>
        </w:tc>
        <w:tc>
          <w:tcPr>
            <w:tcW w:w="1070" w:type="pct"/>
            <w:vAlign w:val="center"/>
          </w:tcPr>
          <w:p w14:paraId="2AD686F6">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vAlign w:val="center"/>
          </w:tcPr>
          <w:p w14:paraId="03044B96">
            <w:pPr>
              <w:widowControl/>
              <w:spacing w:line="360" w:lineRule="exact"/>
              <w:ind w:firstLine="0" w:firstLineChars="0"/>
              <w:jc w:val="center"/>
              <w:rPr>
                <w:rFonts w:cs="Times New Roman"/>
                <w:kern w:val="0"/>
                <w:sz w:val="18"/>
                <w:szCs w:val="20"/>
              </w:rPr>
            </w:pPr>
            <w:r>
              <w:rPr>
                <w:rFonts w:cs="Times New Roman"/>
                <w:kern w:val="0"/>
                <w:sz w:val="18"/>
                <w:szCs w:val="20"/>
              </w:rPr>
              <w:t>380</w:t>
            </w:r>
          </w:p>
        </w:tc>
        <w:tc>
          <w:tcPr>
            <w:tcW w:w="2523" w:type="pct"/>
            <w:gridSpan w:val="4"/>
            <w:vAlign w:val="center"/>
          </w:tcPr>
          <w:p w14:paraId="3D560211">
            <w:pPr>
              <w:pStyle w:val="445"/>
              <w:rPr>
                <w:rFonts w:cs="Times New Roman"/>
                <w:kern w:val="0"/>
                <w:szCs w:val="20"/>
                <w:lang w:val="zh-CN"/>
              </w:rPr>
            </w:pPr>
            <w:r>
              <w:rPr>
                <w:rFonts w:hint="eastAsia" w:cs="Times New Roman"/>
                <w:kern w:val="0"/>
                <w:szCs w:val="20"/>
                <w:lang w:val="zh-CN"/>
              </w:rPr>
              <w:t>此阈值及以上，无对应位置，因计算浓度均小于此阈值</w:t>
            </w:r>
          </w:p>
        </w:tc>
      </w:tr>
      <w:tr w14:paraId="1FB1D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vAlign w:val="center"/>
          </w:tcPr>
          <w:p w14:paraId="60D073D8">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en-GB"/>
              </w:rPr>
              <w:t>最不利气象条件</w:t>
            </w:r>
            <w:r>
              <w:rPr>
                <w:rFonts w:cs="Times New Roman"/>
                <w:kern w:val="0"/>
                <w:sz w:val="18"/>
                <w:szCs w:val="20"/>
                <w:lang w:val="en-GB"/>
              </w:rPr>
              <w:t>F</w:t>
            </w:r>
          </w:p>
        </w:tc>
        <w:tc>
          <w:tcPr>
            <w:tcW w:w="1070" w:type="pct"/>
            <w:vAlign w:val="center"/>
          </w:tcPr>
          <w:p w14:paraId="37F91856">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vAlign w:val="center"/>
          </w:tcPr>
          <w:p w14:paraId="6A27602D">
            <w:pPr>
              <w:widowControl/>
              <w:spacing w:line="360" w:lineRule="exact"/>
              <w:ind w:firstLine="0" w:firstLineChars="0"/>
              <w:jc w:val="center"/>
              <w:rPr>
                <w:rFonts w:cs="Times New Roman"/>
                <w:kern w:val="0"/>
                <w:sz w:val="18"/>
                <w:szCs w:val="20"/>
              </w:rPr>
            </w:pPr>
            <w:r>
              <w:rPr>
                <w:rFonts w:cs="Times New Roman"/>
                <w:kern w:val="0"/>
                <w:sz w:val="18"/>
                <w:szCs w:val="20"/>
              </w:rPr>
              <w:t>95</w:t>
            </w:r>
          </w:p>
        </w:tc>
        <w:tc>
          <w:tcPr>
            <w:tcW w:w="520" w:type="pct"/>
            <w:vAlign w:val="center"/>
          </w:tcPr>
          <w:p w14:paraId="03A17C63">
            <w:pPr>
              <w:widowControl/>
              <w:spacing w:line="360" w:lineRule="exact"/>
              <w:ind w:firstLine="0" w:firstLineChars="0"/>
              <w:jc w:val="center"/>
              <w:rPr>
                <w:rFonts w:cs="Times New Roman"/>
                <w:kern w:val="0"/>
                <w:sz w:val="18"/>
                <w:szCs w:val="20"/>
              </w:rPr>
            </w:pPr>
            <w:r>
              <w:rPr>
                <w:rFonts w:hint="eastAsia" w:cs="Times New Roman"/>
                <w:kern w:val="0"/>
                <w:sz w:val="18"/>
                <w:szCs w:val="20"/>
              </w:rPr>
              <w:t>20</w:t>
            </w:r>
          </w:p>
        </w:tc>
        <w:tc>
          <w:tcPr>
            <w:tcW w:w="521" w:type="pct"/>
            <w:vAlign w:val="center"/>
          </w:tcPr>
          <w:p w14:paraId="652D93DD">
            <w:pPr>
              <w:widowControl/>
              <w:spacing w:line="360" w:lineRule="exact"/>
              <w:ind w:firstLine="0" w:firstLineChars="0"/>
              <w:jc w:val="center"/>
              <w:rPr>
                <w:rFonts w:cs="Times New Roman"/>
                <w:kern w:val="0"/>
                <w:sz w:val="18"/>
                <w:szCs w:val="20"/>
              </w:rPr>
            </w:pPr>
            <w:r>
              <w:rPr>
                <w:rFonts w:hint="eastAsia" w:cs="Times New Roman"/>
                <w:kern w:val="0"/>
                <w:sz w:val="18"/>
                <w:szCs w:val="20"/>
              </w:rPr>
              <w:t>190</w:t>
            </w:r>
          </w:p>
        </w:tc>
        <w:tc>
          <w:tcPr>
            <w:tcW w:w="645" w:type="pct"/>
            <w:vAlign w:val="center"/>
          </w:tcPr>
          <w:p w14:paraId="208E8471">
            <w:pPr>
              <w:widowControl/>
              <w:spacing w:line="360" w:lineRule="exact"/>
              <w:ind w:firstLine="0" w:firstLineChars="0"/>
              <w:jc w:val="center"/>
              <w:rPr>
                <w:rFonts w:cs="Times New Roman"/>
                <w:kern w:val="0"/>
                <w:sz w:val="18"/>
                <w:szCs w:val="20"/>
              </w:rPr>
            </w:pPr>
            <w:r>
              <w:rPr>
                <w:rFonts w:hint="eastAsia" w:cs="Times New Roman"/>
                <w:kern w:val="0"/>
                <w:sz w:val="18"/>
                <w:szCs w:val="20"/>
              </w:rPr>
              <w:t>4</w:t>
            </w:r>
          </w:p>
        </w:tc>
        <w:tc>
          <w:tcPr>
            <w:tcW w:w="837" w:type="pct"/>
            <w:vAlign w:val="center"/>
          </w:tcPr>
          <w:p w14:paraId="167B9FE5">
            <w:pPr>
              <w:widowControl/>
              <w:spacing w:line="360" w:lineRule="exact"/>
              <w:ind w:firstLine="0" w:firstLineChars="0"/>
              <w:jc w:val="center"/>
              <w:rPr>
                <w:rFonts w:cs="Times New Roman"/>
                <w:kern w:val="0"/>
                <w:sz w:val="18"/>
                <w:szCs w:val="20"/>
              </w:rPr>
            </w:pPr>
            <w:r>
              <w:rPr>
                <w:rFonts w:hint="eastAsia" w:cs="Times New Roman"/>
                <w:kern w:val="0"/>
                <w:sz w:val="18"/>
                <w:szCs w:val="20"/>
              </w:rPr>
              <w:t>20</w:t>
            </w:r>
          </w:p>
        </w:tc>
      </w:tr>
      <w:tr w14:paraId="7836D4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vAlign w:val="center"/>
          </w:tcPr>
          <w:p w14:paraId="051A1C35">
            <w:pPr>
              <w:widowControl/>
              <w:spacing w:line="360" w:lineRule="exact"/>
              <w:ind w:firstLine="0" w:firstLineChars="0"/>
              <w:jc w:val="center"/>
              <w:rPr>
                <w:rFonts w:cs="Times New Roman"/>
                <w:kern w:val="0"/>
                <w:sz w:val="18"/>
                <w:szCs w:val="20"/>
                <w:lang w:val="en-GB"/>
              </w:rPr>
            </w:pPr>
          </w:p>
        </w:tc>
        <w:tc>
          <w:tcPr>
            <w:tcW w:w="1070" w:type="pct"/>
            <w:vAlign w:val="center"/>
          </w:tcPr>
          <w:p w14:paraId="55B8CD95">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vAlign w:val="center"/>
          </w:tcPr>
          <w:p w14:paraId="2DB3AD0A">
            <w:pPr>
              <w:widowControl/>
              <w:spacing w:line="360" w:lineRule="exact"/>
              <w:ind w:firstLine="0" w:firstLineChars="0"/>
              <w:jc w:val="center"/>
              <w:rPr>
                <w:rFonts w:cs="Times New Roman"/>
                <w:kern w:val="0"/>
                <w:sz w:val="18"/>
                <w:szCs w:val="20"/>
              </w:rPr>
            </w:pPr>
            <w:r>
              <w:rPr>
                <w:rFonts w:cs="Times New Roman"/>
                <w:kern w:val="0"/>
                <w:sz w:val="18"/>
                <w:szCs w:val="20"/>
              </w:rPr>
              <w:t>380</w:t>
            </w:r>
          </w:p>
        </w:tc>
        <w:tc>
          <w:tcPr>
            <w:tcW w:w="520" w:type="pct"/>
            <w:vAlign w:val="center"/>
          </w:tcPr>
          <w:p w14:paraId="61021F4A">
            <w:pPr>
              <w:widowControl/>
              <w:spacing w:line="360" w:lineRule="exact"/>
              <w:ind w:firstLine="0" w:firstLineChars="0"/>
              <w:jc w:val="center"/>
              <w:rPr>
                <w:rFonts w:cs="Times New Roman"/>
                <w:kern w:val="0"/>
                <w:sz w:val="18"/>
                <w:szCs w:val="20"/>
              </w:rPr>
            </w:pPr>
            <w:r>
              <w:rPr>
                <w:rFonts w:hint="eastAsia" w:cs="Times New Roman"/>
                <w:kern w:val="0"/>
                <w:sz w:val="18"/>
                <w:szCs w:val="20"/>
              </w:rPr>
              <w:t>60</w:t>
            </w:r>
          </w:p>
        </w:tc>
        <w:tc>
          <w:tcPr>
            <w:tcW w:w="521" w:type="pct"/>
            <w:vAlign w:val="center"/>
          </w:tcPr>
          <w:p w14:paraId="29773EBD">
            <w:pPr>
              <w:widowControl/>
              <w:spacing w:line="360" w:lineRule="exact"/>
              <w:ind w:firstLine="0" w:firstLineChars="0"/>
              <w:jc w:val="center"/>
              <w:rPr>
                <w:rFonts w:cs="Times New Roman"/>
                <w:kern w:val="0"/>
                <w:sz w:val="18"/>
                <w:szCs w:val="20"/>
              </w:rPr>
            </w:pPr>
            <w:r>
              <w:rPr>
                <w:rFonts w:hint="eastAsia" w:cs="Times New Roman"/>
                <w:kern w:val="0"/>
                <w:sz w:val="18"/>
                <w:szCs w:val="20"/>
              </w:rPr>
              <w:t>60</w:t>
            </w:r>
          </w:p>
        </w:tc>
        <w:tc>
          <w:tcPr>
            <w:tcW w:w="645" w:type="pct"/>
            <w:vAlign w:val="center"/>
          </w:tcPr>
          <w:p w14:paraId="5EAE9EDE">
            <w:pPr>
              <w:widowControl/>
              <w:spacing w:line="360" w:lineRule="exact"/>
              <w:ind w:firstLine="0" w:firstLineChars="0"/>
              <w:jc w:val="center"/>
              <w:rPr>
                <w:rFonts w:cs="Times New Roman"/>
                <w:kern w:val="0"/>
                <w:sz w:val="18"/>
                <w:szCs w:val="20"/>
              </w:rPr>
            </w:pPr>
            <w:r>
              <w:rPr>
                <w:rFonts w:hint="eastAsia" w:cs="Times New Roman"/>
                <w:kern w:val="0"/>
                <w:sz w:val="18"/>
                <w:szCs w:val="20"/>
              </w:rPr>
              <w:t>0</w:t>
            </w:r>
          </w:p>
        </w:tc>
        <w:tc>
          <w:tcPr>
            <w:tcW w:w="837" w:type="pct"/>
            <w:vAlign w:val="center"/>
          </w:tcPr>
          <w:p w14:paraId="6C118C0E">
            <w:pPr>
              <w:widowControl/>
              <w:spacing w:line="360" w:lineRule="exact"/>
              <w:ind w:firstLine="0" w:firstLineChars="0"/>
              <w:jc w:val="center"/>
              <w:rPr>
                <w:rFonts w:cs="Times New Roman"/>
                <w:kern w:val="0"/>
                <w:sz w:val="18"/>
                <w:szCs w:val="20"/>
              </w:rPr>
            </w:pPr>
            <w:r>
              <w:rPr>
                <w:rFonts w:hint="eastAsia" w:cs="Times New Roman"/>
                <w:kern w:val="0"/>
                <w:sz w:val="18"/>
                <w:szCs w:val="20"/>
              </w:rPr>
              <w:t>60</w:t>
            </w:r>
          </w:p>
        </w:tc>
      </w:tr>
    </w:tbl>
    <w:p w14:paraId="0D2792F2">
      <w:pPr>
        <w:ind w:firstLine="480"/>
        <w:sectPr>
          <w:pgSz w:w="11907" w:h="16840"/>
          <w:pgMar w:top="1440" w:right="1440" w:bottom="1440" w:left="1440" w:header="851" w:footer="992" w:gutter="0"/>
          <w:cols w:space="720" w:num="1"/>
          <w:docGrid w:type="lines" w:linePitch="326" w:charSpace="0"/>
        </w:sectPr>
      </w:pPr>
    </w:p>
    <w:p w14:paraId="1D486C34">
      <w:pPr>
        <w:ind w:firstLine="0" w:firstLineChars="0"/>
        <w:jc w:val="center"/>
      </w:pPr>
      <w:r>
        <w:drawing>
          <wp:inline distT="0" distB="0" distL="0" distR="0">
            <wp:extent cx="4838065" cy="3949065"/>
            <wp:effectExtent l="0" t="0" r="635" b="0"/>
            <wp:docPr id="50" name="图片 50" descr="C:\Users\ADMINI~1\AppData\Local\Temp\164993885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ADMINI~1\AppData\Local\Temp\1649938856(1).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4838400" cy="3949200"/>
                    </a:xfrm>
                    <a:prstGeom prst="rect">
                      <a:avLst/>
                    </a:prstGeom>
                    <a:noFill/>
                    <a:ln>
                      <a:noFill/>
                    </a:ln>
                  </pic:spPr>
                </pic:pic>
              </a:graphicData>
            </a:graphic>
          </wp:inline>
        </w:drawing>
      </w:r>
    </w:p>
    <w:p w14:paraId="4A1CA91B">
      <w:pPr>
        <w:spacing w:line="500" w:lineRule="exact"/>
        <w:ind w:firstLine="0" w:firstLineChars="0"/>
        <w:jc w:val="center"/>
        <w:rPr>
          <w:rFonts w:eastAsia="黑体"/>
        </w:rPr>
      </w:pPr>
      <w:r>
        <w:rPr>
          <w:rFonts w:hint="eastAsia" w:eastAsia="黑体"/>
        </w:rPr>
        <w:t>图5.6.</w:t>
      </w:r>
      <w:r>
        <w:rPr>
          <w:rFonts w:eastAsia="黑体"/>
        </w:rPr>
        <w:t>7-1  D</w:t>
      </w:r>
      <w:r>
        <w:rPr>
          <w:rFonts w:hint="eastAsia" w:eastAsia="黑体"/>
        </w:rPr>
        <w:t>稳定度</w:t>
      </w:r>
      <w:r>
        <w:rPr>
          <w:rFonts w:eastAsia="黑体"/>
        </w:rPr>
        <w:t>CO最大</w:t>
      </w:r>
      <w:r>
        <w:rPr>
          <w:rFonts w:hint="eastAsia" w:eastAsia="黑体"/>
        </w:rPr>
        <w:t>影响区域</w:t>
      </w:r>
      <w:r>
        <w:rPr>
          <w:rFonts w:eastAsia="黑体"/>
        </w:rPr>
        <w:t>图</w:t>
      </w:r>
    </w:p>
    <w:p w14:paraId="220C19BE">
      <w:pPr>
        <w:ind w:firstLine="0" w:firstLineChars="0"/>
        <w:jc w:val="center"/>
      </w:pPr>
      <w:r>
        <w:drawing>
          <wp:inline distT="0" distB="0" distL="0" distR="0">
            <wp:extent cx="4838065" cy="3949065"/>
            <wp:effectExtent l="0" t="0" r="635" b="0"/>
            <wp:docPr id="52" name="图片 52" descr="C:\Users\ADMINI~1\AppData\Local\Temp\16499389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ADMINI~1\AppData\Local\Temp\1649938934(1).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4838400" cy="3949200"/>
                    </a:xfrm>
                    <a:prstGeom prst="rect">
                      <a:avLst/>
                    </a:prstGeom>
                    <a:noFill/>
                    <a:ln>
                      <a:noFill/>
                    </a:ln>
                  </pic:spPr>
                </pic:pic>
              </a:graphicData>
            </a:graphic>
          </wp:inline>
        </w:drawing>
      </w:r>
    </w:p>
    <w:p w14:paraId="45444206">
      <w:pPr>
        <w:spacing w:line="500" w:lineRule="exact"/>
        <w:ind w:firstLine="0" w:firstLineChars="0"/>
        <w:jc w:val="center"/>
        <w:rPr>
          <w:rFonts w:eastAsia="黑体"/>
        </w:rPr>
      </w:pPr>
      <w:r>
        <w:rPr>
          <w:rFonts w:hint="eastAsia" w:eastAsia="黑体"/>
        </w:rPr>
        <w:t>图5.6.</w:t>
      </w:r>
      <w:r>
        <w:rPr>
          <w:rFonts w:eastAsia="黑体"/>
        </w:rPr>
        <w:t>7-2  F</w:t>
      </w:r>
      <w:r>
        <w:rPr>
          <w:rFonts w:hint="eastAsia" w:eastAsia="黑体"/>
        </w:rPr>
        <w:t>稳定度</w:t>
      </w:r>
      <w:r>
        <w:rPr>
          <w:rFonts w:eastAsia="黑体"/>
        </w:rPr>
        <w:t>CO最大</w:t>
      </w:r>
      <w:r>
        <w:rPr>
          <w:rFonts w:hint="eastAsia" w:eastAsia="黑体"/>
        </w:rPr>
        <w:t>影响区域</w:t>
      </w:r>
      <w:r>
        <w:rPr>
          <w:rFonts w:eastAsia="黑体"/>
        </w:rPr>
        <w:t>图</w:t>
      </w:r>
    </w:p>
    <w:p w14:paraId="2FD6D141">
      <w:pPr>
        <w:ind w:firstLine="480"/>
      </w:pPr>
      <w:r>
        <w:rPr>
          <w:rFonts w:hint="eastAsia"/>
        </w:rPr>
        <w:t>由表5.6.</w:t>
      </w:r>
      <w:r>
        <w:t>7-2</w:t>
      </w:r>
      <w:r>
        <w:rPr>
          <w:rFonts w:hint="eastAsia"/>
        </w:rPr>
        <w:t>及</w:t>
      </w:r>
      <w:r>
        <w:t>图</w:t>
      </w:r>
      <w:r>
        <w:rPr>
          <w:rFonts w:hint="eastAsia"/>
        </w:rPr>
        <w:t>5.6.</w:t>
      </w:r>
      <w:r>
        <w:t>7-1~2</w:t>
      </w:r>
      <w:r>
        <w:rPr>
          <w:rFonts w:hint="eastAsia"/>
        </w:rPr>
        <w:t>可知：</w:t>
      </w:r>
    </w:p>
    <w:p w14:paraId="5F2681C1">
      <w:pPr>
        <w:ind w:firstLine="480"/>
      </w:pPr>
      <w:r>
        <w:rPr>
          <w:rFonts w:hint="eastAsia" w:cs="Times New Roman"/>
        </w:rPr>
        <w:t>在</w:t>
      </w:r>
      <w:r>
        <w:rPr>
          <w:rFonts w:cs="Times New Roman"/>
        </w:rPr>
        <w:t>D稳定度下，</w:t>
      </w:r>
      <w:r>
        <w:rPr>
          <w:rFonts w:hint="eastAsia"/>
        </w:rPr>
        <w:t>甲醇储罐</w:t>
      </w:r>
      <w:r>
        <w:t>泄漏火灾</w:t>
      </w:r>
      <w:r>
        <w:rPr>
          <w:rFonts w:hint="eastAsia"/>
        </w:rPr>
        <w:t>次生</w:t>
      </w:r>
      <w:r>
        <w:t>事故</w:t>
      </w:r>
      <w:r>
        <w:rPr>
          <w:rFonts w:hint="eastAsia" w:cs="Times New Roman"/>
        </w:rPr>
        <w:t>产生</w:t>
      </w:r>
      <w:r>
        <w:rPr>
          <w:rFonts w:cs="Times New Roman"/>
        </w:rPr>
        <w:t>的</w:t>
      </w:r>
      <w:r>
        <w:rPr>
          <w:rFonts w:hint="eastAsia" w:cs="Times New Roman"/>
        </w:rPr>
        <w:t>一氧化碳</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甲醇储罐</w:t>
      </w:r>
      <w:r>
        <w:rPr>
          <w:rFonts w:cs="Times New Roman"/>
        </w:rPr>
        <w:t>下风向80m</w:t>
      </w:r>
      <w:r>
        <w:rPr>
          <w:rFonts w:hint="eastAsia" w:cs="Times New Roman"/>
        </w:rPr>
        <w:t>（超</w:t>
      </w:r>
      <w:r>
        <w:rPr>
          <w:rFonts w:cs="Times New Roman"/>
        </w:rPr>
        <w:t>厂界</w:t>
      </w:r>
      <w:r>
        <w:rPr>
          <w:rFonts w:hint="eastAsia" w:cs="Times New Roman"/>
        </w:rPr>
        <w:t>外</w:t>
      </w:r>
      <w:r>
        <w:rPr>
          <w:rFonts w:cs="Times New Roman"/>
        </w:rPr>
        <w:t>6</w:t>
      </w:r>
      <w:r>
        <w:rPr>
          <w:rFonts w:hint="eastAsia" w:cs="Times New Roman"/>
        </w:rPr>
        <w:t>0</w:t>
      </w:r>
      <w:r>
        <w:rPr>
          <w:rFonts w:cs="Times New Roman"/>
        </w:rPr>
        <w:t>m</w:t>
      </w:r>
      <w:r>
        <w:rPr>
          <w:rFonts w:hint="eastAsia" w:cs="Times New Roman"/>
        </w:rPr>
        <w:t>）；最大浓度</w:t>
      </w:r>
      <w:r>
        <w:rPr>
          <w:rFonts w:cs="Times New Roman"/>
        </w:rPr>
        <w:t>未超过</w:t>
      </w:r>
      <w:r>
        <w:rPr>
          <w:rFonts w:hint="eastAsia" w:cs="Times New Roman"/>
        </w:rPr>
        <w:t>毒性终点</w:t>
      </w:r>
      <w:r>
        <w:rPr>
          <w:rFonts w:cs="Times New Roman"/>
        </w:rPr>
        <w:t>浓度-1</w:t>
      </w:r>
      <w:r>
        <w:rPr>
          <w:rFonts w:hint="eastAsia" w:cs="Times New Roman"/>
        </w:rPr>
        <w:t>，</w:t>
      </w:r>
      <w:r>
        <w:rPr>
          <w:rFonts w:cs="Times New Roman"/>
        </w:rPr>
        <w:t>无对应位置</w:t>
      </w:r>
      <w:r>
        <w:rPr>
          <w:rFonts w:hint="eastAsia"/>
        </w:rPr>
        <w:t>。</w:t>
      </w:r>
    </w:p>
    <w:p w14:paraId="02918FA9">
      <w:pPr>
        <w:ind w:firstLine="480"/>
      </w:pPr>
      <w:r>
        <w:rPr>
          <w:rFonts w:hint="eastAsia" w:cs="Times New Roman"/>
        </w:rPr>
        <w:t>在</w:t>
      </w:r>
      <w:r>
        <w:rPr>
          <w:rFonts w:cs="Times New Roman"/>
        </w:rPr>
        <w:t>F稳定度下，</w:t>
      </w:r>
      <w:r>
        <w:rPr>
          <w:rFonts w:hint="eastAsia"/>
        </w:rPr>
        <w:t>甲醇储罐</w:t>
      </w:r>
      <w:r>
        <w:t>泄漏火灾</w:t>
      </w:r>
      <w:r>
        <w:rPr>
          <w:rFonts w:hint="eastAsia"/>
        </w:rPr>
        <w:t>次生</w:t>
      </w:r>
      <w:r>
        <w:t>事故</w:t>
      </w:r>
      <w:r>
        <w:rPr>
          <w:rFonts w:hint="eastAsia" w:cs="Times New Roman"/>
        </w:rPr>
        <w:t>产生</w:t>
      </w:r>
      <w:r>
        <w:rPr>
          <w:rFonts w:cs="Times New Roman"/>
        </w:rPr>
        <w:t>的</w:t>
      </w:r>
      <w:r>
        <w:rPr>
          <w:rFonts w:hint="eastAsia" w:cs="Times New Roman"/>
        </w:rPr>
        <w:t>一氧化碳</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甲醇储罐</w:t>
      </w:r>
      <w:r>
        <w:rPr>
          <w:rFonts w:cs="Times New Roman"/>
        </w:rPr>
        <w:t>下风向190m</w:t>
      </w:r>
      <w:r>
        <w:rPr>
          <w:rFonts w:hint="eastAsia" w:cs="Times New Roman"/>
        </w:rPr>
        <w:t>（超</w:t>
      </w:r>
      <w:r>
        <w:rPr>
          <w:rFonts w:cs="Times New Roman"/>
        </w:rPr>
        <w:t>厂界</w:t>
      </w:r>
      <w:r>
        <w:rPr>
          <w:rFonts w:hint="eastAsia" w:cs="Times New Roman"/>
        </w:rPr>
        <w:t>外</w:t>
      </w:r>
      <w:r>
        <w:rPr>
          <w:rFonts w:cs="Times New Roman"/>
        </w:rPr>
        <w:t>17</w:t>
      </w:r>
      <w:r>
        <w:rPr>
          <w:rFonts w:hint="eastAsia" w:cs="Times New Roman"/>
        </w:rPr>
        <w:t>0</w:t>
      </w:r>
      <w:r>
        <w:rPr>
          <w:rFonts w:cs="Times New Roman"/>
        </w:rPr>
        <w:t>m</w:t>
      </w:r>
      <w:r>
        <w:rPr>
          <w:rFonts w:hint="eastAsia" w:cs="Times New Roman"/>
        </w:rPr>
        <w:t>）；</w:t>
      </w:r>
      <w:r>
        <w:rPr>
          <w:rFonts w:hint="eastAsia"/>
        </w:rPr>
        <w:t>达到</w:t>
      </w:r>
      <w:r>
        <w:t>毒性终点浓度</w:t>
      </w:r>
      <w:r>
        <w:rPr>
          <w:rFonts w:hint="eastAsia"/>
        </w:rPr>
        <w:t>-</w:t>
      </w:r>
      <w:r>
        <w:t>1</w:t>
      </w:r>
      <w:r>
        <w:rPr>
          <w:rFonts w:hint="eastAsia"/>
        </w:rPr>
        <w:t>最大出现距离为甲醇储罐</w:t>
      </w:r>
      <w:r>
        <w:t>下风向60m（</w:t>
      </w:r>
      <w:r>
        <w:rPr>
          <w:rFonts w:hint="eastAsia"/>
        </w:rPr>
        <w:t>超厂界外</w:t>
      </w:r>
      <w:r>
        <w:t>4</w:t>
      </w:r>
      <w:r>
        <w:rPr>
          <w:rFonts w:hint="eastAsia"/>
        </w:rPr>
        <w:t>0</w:t>
      </w:r>
      <w:r>
        <w:t>m）</w:t>
      </w:r>
      <w:r>
        <w:rPr>
          <w:rFonts w:hint="eastAsia"/>
        </w:rPr>
        <w:t>。</w:t>
      </w:r>
    </w:p>
    <w:p w14:paraId="17F45ECE">
      <w:pPr>
        <w:pStyle w:val="349"/>
      </w:pPr>
      <w:r>
        <w:rPr>
          <w:rFonts w:hint="eastAsia"/>
        </w:rPr>
        <w:t>5.6.7.2氯化氢钢瓶</w:t>
      </w:r>
      <w:r>
        <w:t>泄漏</w:t>
      </w:r>
      <w:r>
        <w:rPr>
          <w:rFonts w:hint="eastAsia"/>
        </w:rPr>
        <w:t>事故</w:t>
      </w:r>
      <w:r>
        <w:t>污染影响</w:t>
      </w:r>
    </w:p>
    <w:p w14:paraId="25A5BF98">
      <w:pPr>
        <w:ind w:firstLine="480"/>
      </w:pPr>
      <w:r>
        <w:rPr>
          <w:rFonts w:hint="eastAsia"/>
        </w:rPr>
        <w:t>根据污染物气体性质，采用理查德森数判断，确定氯化氢计算用</w:t>
      </w:r>
      <w:r>
        <w:rPr>
          <w:rFonts w:hint="eastAsia" w:cs="Times New Roman"/>
          <w:szCs w:val="24"/>
        </w:rPr>
        <w:t>S</w:t>
      </w:r>
      <w:r>
        <w:rPr>
          <w:rFonts w:cs="Times New Roman"/>
          <w:szCs w:val="24"/>
        </w:rPr>
        <w:t>LAB</w:t>
      </w:r>
      <w:r>
        <w:rPr>
          <w:rFonts w:hint="eastAsia"/>
        </w:rPr>
        <w:t>模型。</w:t>
      </w:r>
    </w:p>
    <w:p w14:paraId="62B3F718">
      <w:pPr>
        <w:ind w:firstLine="480"/>
        <w:rPr>
          <w:lang w:val="zh-CN"/>
        </w:rPr>
      </w:pPr>
      <w:r>
        <w:rPr>
          <w:rFonts w:hint="eastAsia"/>
        </w:rPr>
        <w:t>利用多烟团模式计算最常见</w:t>
      </w:r>
      <w:r>
        <w:t>气象</w:t>
      </w:r>
      <w:r>
        <w:rPr>
          <w:rFonts w:hint="eastAsia"/>
        </w:rPr>
        <w:t>条件</w:t>
      </w:r>
      <w:r>
        <w:t>下和</w:t>
      </w:r>
      <w:r>
        <w:rPr>
          <w:rFonts w:hint="eastAsia"/>
        </w:rPr>
        <w:t>最不利气象条件下，氯化氢钢瓶泄漏产生氯化氢从泄漏开始</w:t>
      </w:r>
      <w:r>
        <w:t>30min</w:t>
      </w:r>
      <w:r>
        <w:rPr>
          <w:rFonts w:hint="eastAsia"/>
        </w:rPr>
        <w:t>的影响范围及最大落地浓度，本次预测时刻为</w:t>
      </w:r>
      <w:r>
        <w:t>5min</w:t>
      </w:r>
      <w:r>
        <w:rPr>
          <w:rFonts w:hint="eastAsia"/>
        </w:rPr>
        <w:t>、</w:t>
      </w:r>
      <w:r>
        <w:t>30min</w:t>
      </w:r>
      <w:r>
        <w:rPr>
          <w:rFonts w:hint="eastAsia"/>
        </w:rPr>
        <w:t>。预测事故排放污染物最常见</w:t>
      </w:r>
      <w:r>
        <w:t>气象</w:t>
      </w:r>
      <w:r>
        <w:rPr>
          <w:rFonts w:hint="eastAsia"/>
        </w:rPr>
        <w:t>条件</w:t>
      </w:r>
      <w:r>
        <w:t>下和</w:t>
      </w:r>
      <w:r>
        <w:rPr>
          <w:rFonts w:hint="eastAsia"/>
        </w:rPr>
        <w:t>最不利气象条件下的最大浓度值见表</w:t>
      </w:r>
      <w:r>
        <w:t>5.6.7-3</w:t>
      </w:r>
      <w:r>
        <w:rPr>
          <w:rFonts w:hint="eastAsia"/>
        </w:rPr>
        <w:t>。</w:t>
      </w:r>
    </w:p>
    <w:p w14:paraId="2D1B3B7F">
      <w:pPr>
        <w:spacing w:line="500" w:lineRule="exact"/>
        <w:ind w:firstLine="0" w:firstLineChars="0"/>
        <w:jc w:val="center"/>
        <w:rPr>
          <w:rFonts w:eastAsia="黑体"/>
        </w:rPr>
      </w:pPr>
      <w:r>
        <w:rPr>
          <w:rFonts w:hint="eastAsia" w:eastAsia="黑体"/>
        </w:rPr>
        <w:t>表5.6.</w:t>
      </w:r>
      <w:r>
        <w:rPr>
          <w:rFonts w:eastAsia="黑体"/>
        </w:rPr>
        <w:t xml:space="preserve">7-3  </w:t>
      </w:r>
      <w:r>
        <w:rPr>
          <w:rFonts w:hint="eastAsia" w:eastAsia="黑体"/>
        </w:rPr>
        <w:t>D稳定度</w:t>
      </w:r>
      <w:r>
        <w:rPr>
          <w:rFonts w:eastAsia="黑体"/>
        </w:rPr>
        <w:t>和F稳定度</w:t>
      </w:r>
      <w:r>
        <w:rPr>
          <w:rFonts w:hint="eastAsia" w:eastAsia="黑体"/>
        </w:rPr>
        <w:t>下氯化氢</w:t>
      </w:r>
      <w:r>
        <w:rPr>
          <w:rFonts w:eastAsia="黑体"/>
        </w:rPr>
        <w:t>最大</w:t>
      </w:r>
      <w:r>
        <w:rPr>
          <w:rFonts w:hint="eastAsia" w:eastAsia="黑体"/>
        </w:rPr>
        <w:t>高峰</w:t>
      </w:r>
      <w:r>
        <w:rPr>
          <w:rFonts w:eastAsia="黑体"/>
        </w:rPr>
        <w:t>浓度</w:t>
      </w:r>
      <w:r>
        <w:rPr>
          <w:rFonts w:hint="eastAsia" w:eastAsia="黑体"/>
        </w:rPr>
        <w:t xml:space="preserve">  单位</w:t>
      </w:r>
      <w:r>
        <w:rPr>
          <w:rFonts w:eastAsia="黑体"/>
        </w:rPr>
        <w:t>：</w:t>
      </w:r>
      <w:r>
        <w:rPr>
          <w:rFonts w:hint="eastAsia" w:eastAsia="黑体"/>
        </w:rPr>
        <w:t>mg/m</w:t>
      </w:r>
      <w:r>
        <w:rPr>
          <w:rFonts w:hint="eastAsia" w:eastAsia="黑体"/>
          <w:vertAlign w:val="superscript"/>
        </w:rPr>
        <w:t>3</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3888"/>
        <w:gridCol w:w="3888"/>
      </w:tblGrid>
      <w:tr w14:paraId="199C1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Merge w:val="restart"/>
            <w:vAlign w:val="center"/>
          </w:tcPr>
          <w:p w14:paraId="08C64092">
            <w:pPr>
              <w:pStyle w:val="445"/>
              <w:rPr>
                <w:rFonts w:cs="Times New Roman"/>
                <w:kern w:val="0"/>
                <w:szCs w:val="20"/>
              </w:rPr>
            </w:pPr>
            <w:r>
              <w:rPr>
                <w:rFonts w:hint="eastAsia" w:cs="Times New Roman"/>
                <w:kern w:val="0"/>
                <w:szCs w:val="20"/>
              </w:rPr>
              <w:t>距离</w:t>
            </w:r>
          </w:p>
        </w:tc>
        <w:tc>
          <w:tcPr>
            <w:tcW w:w="4206" w:type="pct"/>
            <w:gridSpan w:val="2"/>
            <w:vAlign w:val="center"/>
          </w:tcPr>
          <w:p w14:paraId="38A7D4D1">
            <w:pPr>
              <w:pStyle w:val="445"/>
              <w:rPr>
                <w:rFonts w:cs="Times New Roman"/>
                <w:kern w:val="0"/>
                <w:szCs w:val="20"/>
              </w:rPr>
            </w:pPr>
            <w:r>
              <w:rPr>
                <w:rFonts w:hint="eastAsia" w:cs="Times New Roman"/>
                <w:kern w:val="0"/>
                <w:szCs w:val="20"/>
              </w:rPr>
              <w:t>氯化氢</w:t>
            </w:r>
          </w:p>
        </w:tc>
      </w:tr>
      <w:tr w14:paraId="281DA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Merge w:val="continue"/>
            <w:vAlign w:val="center"/>
          </w:tcPr>
          <w:p w14:paraId="15158414">
            <w:pPr>
              <w:pStyle w:val="445"/>
              <w:rPr>
                <w:rFonts w:cs="Times New Roman"/>
                <w:kern w:val="0"/>
                <w:szCs w:val="20"/>
              </w:rPr>
            </w:pPr>
          </w:p>
        </w:tc>
        <w:tc>
          <w:tcPr>
            <w:tcW w:w="2103" w:type="pct"/>
            <w:vAlign w:val="center"/>
          </w:tcPr>
          <w:p w14:paraId="7578C2FD">
            <w:pPr>
              <w:pStyle w:val="445"/>
              <w:rPr>
                <w:rFonts w:cs="Times New Roman"/>
                <w:kern w:val="0"/>
                <w:szCs w:val="20"/>
              </w:rPr>
            </w:pPr>
            <w:r>
              <w:rPr>
                <w:rFonts w:hint="eastAsia" w:cs="Times New Roman"/>
                <w:kern w:val="0"/>
                <w:szCs w:val="20"/>
              </w:rPr>
              <w:t>最常见</w:t>
            </w:r>
            <w:r>
              <w:rPr>
                <w:rFonts w:cs="Times New Roman"/>
                <w:kern w:val="0"/>
                <w:szCs w:val="20"/>
              </w:rPr>
              <w:t>气象条件D</w:t>
            </w:r>
          </w:p>
        </w:tc>
        <w:tc>
          <w:tcPr>
            <w:tcW w:w="2103" w:type="pct"/>
            <w:vAlign w:val="center"/>
          </w:tcPr>
          <w:p w14:paraId="34DD47F1">
            <w:pPr>
              <w:pStyle w:val="445"/>
              <w:rPr>
                <w:rFonts w:cs="Times New Roman"/>
                <w:kern w:val="0"/>
                <w:szCs w:val="20"/>
              </w:rPr>
            </w:pPr>
            <w:r>
              <w:rPr>
                <w:rFonts w:hint="eastAsia" w:cs="Times New Roman"/>
                <w:kern w:val="0"/>
                <w:szCs w:val="20"/>
              </w:rPr>
              <w:t>最不利气象条件F</w:t>
            </w:r>
          </w:p>
        </w:tc>
      </w:tr>
      <w:tr w14:paraId="7CFB8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5CBE9A1">
            <w:pPr>
              <w:pStyle w:val="445"/>
              <w:rPr>
                <w:rFonts w:cs="Times New Roman"/>
                <w:kern w:val="0"/>
                <w:szCs w:val="20"/>
              </w:rPr>
            </w:pPr>
            <w:r>
              <w:rPr>
                <w:rFonts w:hint="eastAsia" w:cs="Times New Roman"/>
                <w:kern w:val="0"/>
                <w:szCs w:val="20"/>
              </w:rPr>
              <w:t>10</w:t>
            </w:r>
          </w:p>
        </w:tc>
        <w:tc>
          <w:tcPr>
            <w:tcW w:w="2103" w:type="pct"/>
          </w:tcPr>
          <w:p w14:paraId="4ACE75D1">
            <w:pPr>
              <w:pStyle w:val="445"/>
              <w:rPr>
                <w:rFonts w:cs="Times New Roman"/>
                <w:kern w:val="0"/>
                <w:szCs w:val="20"/>
              </w:rPr>
            </w:pPr>
            <w:r>
              <w:rPr>
                <w:rFonts w:cs="Times New Roman"/>
                <w:kern w:val="0"/>
                <w:szCs w:val="20"/>
              </w:rPr>
              <w:t>0.00E+00</w:t>
            </w:r>
          </w:p>
        </w:tc>
        <w:tc>
          <w:tcPr>
            <w:tcW w:w="2103" w:type="pct"/>
          </w:tcPr>
          <w:p w14:paraId="6D8AB2D5">
            <w:pPr>
              <w:pStyle w:val="445"/>
              <w:rPr>
                <w:rFonts w:cs="Times New Roman"/>
                <w:kern w:val="0"/>
                <w:szCs w:val="20"/>
              </w:rPr>
            </w:pPr>
            <w:r>
              <w:rPr>
                <w:rFonts w:cs="Times New Roman"/>
                <w:kern w:val="0"/>
                <w:szCs w:val="20"/>
              </w:rPr>
              <w:t>0.00E+00</w:t>
            </w:r>
          </w:p>
        </w:tc>
      </w:tr>
      <w:tr w14:paraId="28C3B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7C667FB">
            <w:pPr>
              <w:pStyle w:val="445"/>
              <w:rPr>
                <w:rFonts w:cs="Times New Roman"/>
                <w:kern w:val="0"/>
                <w:szCs w:val="20"/>
              </w:rPr>
            </w:pPr>
            <w:r>
              <w:rPr>
                <w:rFonts w:cs="Times New Roman"/>
                <w:kern w:val="0"/>
                <w:szCs w:val="20"/>
              </w:rPr>
              <w:t>20</w:t>
            </w:r>
          </w:p>
        </w:tc>
        <w:tc>
          <w:tcPr>
            <w:tcW w:w="2103" w:type="pct"/>
          </w:tcPr>
          <w:p w14:paraId="718FFBCC">
            <w:pPr>
              <w:pStyle w:val="445"/>
              <w:rPr>
                <w:rFonts w:cs="Times New Roman"/>
                <w:kern w:val="0"/>
                <w:szCs w:val="20"/>
              </w:rPr>
            </w:pPr>
            <w:r>
              <w:rPr>
                <w:rFonts w:cs="Times New Roman"/>
                <w:kern w:val="0"/>
                <w:szCs w:val="20"/>
              </w:rPr>
              <w:t>0.00E+00</w:t>
            </w:r>
          </w:p>
        </w:tc>
        <w:tc>
          <w:tcPr>
            <w:tcW w:w="2103" w:type="pct"/>
          </w:tcPr>
          <w:p w14:paraId="3BBBA55D">
            <w:pPr>
              <w:pStyle w:val="445"/>
              <w:rPr>
                <w:rFonts w:cs="Times New Roman"/>
                <w:kern w:val="0"/>
                <w:szCs w:val="20"/>
              </w:rPr>
            </w:pPr>
            <w:r>
              <w:rPr>
                <w:rFonts w:cs="Times New Roman"/>
                <w:kern w:val="0"/>
                <w:szCs w:val="20"/>
              </w:rPr>
              <w:t>0.00E+00</w:t>
            </w:r>
          </w:p>
        </w:tc>
      </w:tr>
      <w:tr w14:paraId="50C9B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814DB35">
            <w:pPr>
              <w:pStyle w:val="445"/>
              <w:rPr>
                <w:rFonts w:cs="Times New Roman"/>
                <w:kern w:val="0"/>
                <w:szCs w:val="20"/>
              </w:rPr>
            </w:pPr>
            <w:r>
              <w:rPr>
                <w:rFonts w:cs="Times New Roman"/>
                <w:kern w:val="0"/>
                <w:szCs w:val="20"/>
              </w:rPr>
              <w:t>30</w:t>
            </w:r>
          </w:p>
        </w:tc>
        <w:tc>
          <w:tcPr>
            <w:tcW w:w="2103" w:type="pct"/>
          </w:tcPr>
          <w:p w14:paraId="532A7A50">
            <w:pPr>
              <w:pStyle w:val="445"/>
              <w:rPr>
                <w:rFonts w:cs="Times New Roman"/>
                <w:kern w:val="0"/>
                <w:szCs w:val="20"/>
              </w:rPr>
            </w:pPr>
            <w:r>
              <w:rPr>
                <w:rFonts w:cs="Times New Roman"/>
                <w:kern w:val="0"/>
                <w:szCs w:val="20"/>
              </w:rPr>
              <w:t>0.00E+00</w:t>
            </w:r>
          </w:p>
        </w:tc>
        <w:tc>
          <w:tcPr>
            <w:tcW w:w="2103" w:type="pct"/>
          </w:tcPr>
          <w:p w14:paraId="1FA324DC">
            <w:pPr>
              <w:pStyle w:val="445"/>
              <w:rPr>
                <w:rFonts w:cs="Times New Roman"/>
                <w:kern w:val="0"/>
                <w:szCs w:val="20"/>
              </w:rPr>
            </w:pPr>
            <w:r>
              <w:rPr>
                <w:rFonts w:cs="Times New Roman"/>
                <w:kern w:val="0"/>
                <w:szCs w:val="20"/>
              </w:rPr>
              <w:t>0.00E+00</w:t>
            </w:r>
          </w:p>
        </w:tc>
      </w:tr>
      <w:tr w14:paraId="27E259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6A0DF26">
            <w:pPr>
              <w:pStyle w:val="445"/>
              <w:rPr>
                <w:rFonts w:cs="Times New Roman"/>
                <w:kern w:val="0"/>
                <w:szCs w:val="20"/>
              </w:rPr>
            </w:pPr>
            <w:r>
              <w:rPr>
                <w:rFonts w:cs="Times New Roman"/>
                <w:kern w:val="0"/>
                <w:szCs w:val="20"/>
              </w:rPr>
              <w:t>40</w:t>
            </w:r>
          </w:p>
        </w:tc>
        <w:tc>
          <w:tcPr>
            <w:tcW w:w="2103" w:type="pct"/>
          </w:tcPr>
          <w:p w14:paraId="449D952A">
            <w:pPr>
              <w:pStyle w:val="445"/>
              <w:rPr>
                <w:rFonts w:cs="Times New Roman"/>
                <w:kern w:val="0"/>
                <w:szCs w:val="20"/>
              </w:rPr>
            </w:pPr>
            <w:r>
              <w:rPr>
                <w:rFonts w:cs="Times New Roman"/>
                <w:kern w:val="0"/>
                <w:szCs w:val="20"/>
              </w:rPr>
              <w:t>0.00E+00</w:t>
            </w:r>
          </w:p>
        </w:tc>
        <w:tc>
          <w:tcPr>
            <w:tcW w:w="2103" w:type="pct"/>
          </w:tcPr>
          <w:p w14:paraId="6C70365C">
            <w:pPr>
              <w:pStyle w:val="445"/>
              <w:rPr>
                <w:rFonts w:cs="Times New Roman"/>
                <w:kern w:val="0"/>
                <w:szCs w:val="20"/>
              </w:rPr>
            </w:pPr>
            <w:r>
              <w:rPr>
                <w:rFonts w:cs="Times New Roman"/>
                <w:kern w:val="0"/>
                <w:szCs w:val="20"/>
              </w:rPr>
              <w:t>0.00E+00</w:t>
            </w:r>
          </w:p>
        </w:tc>
      </w:tr>
      <w:tr w14:paraId="4EE25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1A02E77">
            <w:pPr>
              <w:pStyle w:val="445"/>
              <w:rPr>
                <w:rFonts w:cs="Times New Roman"/>
                <w:kern w:val="0"/>
                <w:szCs w:val="20"/>
              </w:rPr>
            </w:pPr>
            <w:r>
              <w:rPr>
                <w:rFonts w:cs="Times New Roman"/>
                <w:kern w:val="0"/>
                <w:szCs w:val="20"/>
              </w:rPr>
              <w:t>50</w:t>
            </w:r>
          </w:p>
        </w:tc>
        <w:tc>
          <w:tcPr>
            <w:tcW w:w="2103" w:type="pct"/>
          </w:tcPr>
          <w:p w14:paraId="69235781">
            <w:pPr>
              <w:pStyle w:val="445"/>
              <w:rPr>
                <w:rFonts w:cs="Times New Roman"/>
                <w:kern w:val="0"/>
                <w:szCs w:val="20"/>
              </w:rPr>
            </w:pPr>
            <w:r>
              <w:rPr>
                <w:rFonts w:cs="Times New Roman"/>
                <w:kern w:val="0"/>
                <w:szCs w:val="20"/>
              </w:rPr>
              <w:t>0.00E+00</w:t>
            </w:r>
          </w:p>
        </w:tc>
        <w:tc>
          <w:tcPr>
            <w:tcW w:w="2103" w:type="pct"/>
          </w:tcPr>
          <w:p w14:paraId="0BE0EC9F">
            <w:pPr>
              <w:pStyle w:val="445"/>
              <w:rPr>
                <w:rFonts w:cs="Times New Roman"/>
                <w:kern w:val="0"/>
                <w:szCs w:val="20"/>
              </w:rPr>
            </w:pPr>
            <w:r>
              <w:rPr>
                <w:rFonts w:cs="Times New Roman"/>
                <w:kern w:val="0"/>
                <w:szCs w:val="20"/>
              </w:rPr>
              <w:t>0.00E+00</w:t>
            </w:r>
          </w:p>
        </w:tc>
      </w:tr>
      <w:tr w14:paraId="0714A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BB59040">
            <w:pPr>
              <w:pStyle w:val="445"/>
              <w:rPr>
                <w:rFonts w:cs="Times New Roman"/>
                <w:kern w:val="0"/>
                <w:szCs w:val="20"/>
              </w:rPr>
            </w:pPr>
            <w:r>
              <w:rPr>
                <w:rFonts w:hint="eastAsia" w:cs="Times New Roman"/>
                <w:kern w:val="0"/>
                <w:szCs w:val="20"/>
              </w:rPr>
              <w:t>60</w:t>
            </w:r>
          </w:p>
        </w:tc>
        <w:tc>
          <w:tcPr>
            <w:tcW w:w="2103" w:type="pct"/>
          </w:tcPr>
          <w:p w14:paraId="5F6BCA9A">
            <w:pPr>
              <w:pStyle w:val="445"/>
              <w:rPr>
                <w:rFonts w:cs="Times New Roman"/>
                <w:kern w:val="0"/>
                <w:szCs w:val="20"/>
              </w:rPr>
            </w:pPr>
            <w:r>
              <w:rPr>
                <w:rFonts w:cs="Times New Roman"/>
                <w:kern w:val="0"/>
                <w:szCs w:val="20"/>
              </w:rPr>
              <w:t>0.00E+00</w:t>
            </w:r>
          </w:p>
        </w:tc>
        <w:tc>
          <w:tcPr>
            <w:tcW w:w="2103" w:type="pct"/>
          </w:tcPr>
          <w:p w14:paraId="4548709A">
            <w:pPr>
              <w:pStyle w:val="445"/>
              <w:rPr>
                <w:rFonts w:cs="Times New Roman"/>
                <w:kern w:val="0"/>
                <w:szCs w:val="20"/>
              </w:rPr>
            </w:pPr>
            <w:r>
              <w:rPr>
                <w:rFonts w:cs="Times New Roman"/>
                <w:kern w:val="0"/>
                <w:szCs w:val="20"/>
              </w:rPr>
              <w:t>0.00E+00</w:t>
            </w:r>
          </w:p>
        </w:tc>
      </w:tr>
      <w:tr w14:paraId="3E79E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EF2C2CD">
            <w:pPr>
              <w:pStyle w:val="445"/>
              <w:rPr>
                <w:rFonts w:cs="Times New Roman"/>
                <w:kern w:val="0"/>
                <w:szCs w:val="20"/>
              </w:rPr>
            </w:pPr>
            <w:r>
              <w:rPr>
                <w:rFonts w:hint="eastAsia" w:cs="Times New Roman"/>
                <w:kern w:val="0"/>
                <w:szCs w:val="20"/>
              </w:rPr>
              <w:t>7</w:t>
            </w:r>
            <w:r>
              <w:rPr>
                <w:rFonts w:cs="Times New Roman"/>
                <w:kern w:val="0"/>
                <w:szCs w:val="20"/>
              </w:rPr>
              <w:t>0</w:t>
            </w:r>
          </w:p>
        </w:tc>
        <w:tc>
          <w:tcPr>
            <w:tcW w:w="2103" w:type="pct"/>
          </w:tcPr>
          <w:p w14:paraId="02280B57">
            <w:pPr>
              <w:pStyle w:val="445"/>
              <w:rPr>
                <w:rFonts w:cs="Times New Roman"/>
                <w:kern w:val="0"/>
                <w:szCs w:val="20"/>
              </w:rPr>
            </w:pPr>
            <w:r>
              <w:rPr>
                <w:rFonts w:cs="Times New Roman"/>
                <w:kern w:val="0"/>
                <w:szCs w:val="20"/>
              </w:rPr>
              <w:t>0.00E+00</w:t>
            </w:r>
          </w:p>
        </w:tc>
        <w:tc>
          <w:tcPr>
            <w:tcW w:w="2103" w:type="pct"/>
          </w:tcPr>
          <w:p w14:paraId="5547CC6A">
            <w:pPr>
              <w:pStyle w:val="445"/>
              <w:rPr>
                <w:rFonts w:cs="Times New Roman"/>
                <w:kern w:val="0"/>
                <w:szCs w:val="20"/>
              </w:rPr>
            </w:pPr>
            <w:r>
              <w:rPr>
                <w:rFonts w:cs="Times New Roman"/>
                <w:kern w:val="0"/>
                <w:szCs w:val="20"/>
              </w:rPr>
              <w:t>8.07E-12</w:t>
            </w:r>
          </w:p>
        </w:tc>
      </w:tr>
      <w:tr w14:paraId="45C3A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5A3FD87">
            <w:pPr>
              <w:pStyle w:val="445"/>
              <w:rPr>
                <w:rFonts w:cs="Times New Roman"/>
                <w:kern w:val="0"/>
                <w:szCs w:val="20"/>
              </w:rPr>
            </w:pPr>
            <w:r>
              <w:rPr>
                <w:rFonts w:hint="eastAsia" w:cs="Times New Roman"/>
                <w:kern w:val="0"/>
                <w:szCs w:val="20"/>
              </w:rPr>
              <w:t>80</w:t>
            </w:r>
          </w:p>
        </w:tc>
        <w:tc>
          <w:tcPr>
            <w:tcW w:w="2103" w:type="pct"/>
          </w:tcPr>
          <w:p w14:paraId="5F421482">
            <w:pPr>
              <w:pStyle w:val="445"/>
              <w:rPr>
                <w:rFonts w:cs="Times New Roman"/>
                <w:kern w:val="0"/>
                <w:szCs w:val="20"/>
              </w:rPr>
            </w:pPr>
            <w:r>
              <w:rPr>
                <w:rFonts w:cs="Times New Roman"/>
                <w:kern w:val="0"/>
                <w:szCs w:val="20"/>
              </w:rPr>
              <w:t>0.00E+00</w:t>
            </w:r>
          </w:p>
        </w:tc>
        <w:tc>
          <w:tcPr>
            <w:tcW w:w="2103" w:type="pct"/>
          </w:tcPr>
          <w:p w14:paraId="0519B1B9">
            <w:pPr>
              <w:pStyle w:val="445"/>
              <w:rPr>
                <w:rFonts w:cs="Times New Roman"/>
                <w:kern w:val="0"/>
                <w:szCs w:val="20"/>
              </w:rPr>
            </w:pPr>
            <w:r>
              <w:rPr>
                <w:rFonts w:cs="Times New Roman"/>
                <w:kern w:val="0"/>
                <w:szCs w:val="20"/>
              </w:rPr>
              <w:t>5.24E-09</w:t>
            </w:r>
          </w:p>
        </w:tc>
      </w:tr>
      <w:tr w14:paraId="48740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E1C5E3F">
            <w:pPr>
              <w:pStyle w:val="445"/>
              <w:rPr>
                <w:rFonts w:cs="Times New Roman"/>
                <w:kern w:val="0"/>
                <w:szCs w:val="20"/>
              </w:rPr>
            </w:pPr>
            <w:r>
              <w:rPr>
                <w:rFonts w:hint="eastAsia" w:cs="Times New Roman"/>
                <w:kern w:val="0"/>
                <w:szCs w:val="20"/>
              </w:rPr>
              <w:t>90</w:t>
            </w:r>
          </w:p>
        </w:tc>
        <w:tc>
          <w:tcPr>
            <w:tcW w:w="2103" w:type="pct"/>
          </w:tcPr>
          <w:p w14:paraId="215893A5">
            <w:pPr>
              <w:pStyle w:val="445"/>
              <w:rPr>
                <w:rFonts w:cs="Times New Roman"/>
                <w:kern w:val="0"/>
                <w:szCs w:val="20"/>
              </w:rPr>
            </w:pPr>
            <w:r>
              <w:rPr>
                <w:rFonts w:cs="Times New Roman"/>
                <w:kern w:val="0"/>
                <w:szCs w:val="20"/>
              </w:rPr>
              <w:t>0.00E+00</w:t>
            </w:r>
          </w:p>
        </w:tc>
        <w:tc>
          <w:tcPr>
            <w:tcW w:w="2103" w:type="pct"/>
          </w:tcPr>
          <w:p w14:paraId="5E24E50D">
            <w:pPr>
              <w:pStyle w:val="445"/>
              <w:rPr>
                <w:rFonts w:cs="Times New Roman"/>
                <w:kern w:val="0"/>
                <w:szCs w:val="20"/>
              </w:rPr>
            </w:pPr>
            <w:r>
              <w:rPr>
                <w:rFonts w:cs="Times New Roman"/>
                <w:kern w:val="0"/>
                <w:szCs w:val="20"/>
              </w:rPr>
              <w:t>3.52E-07</w:t>
            </w:r>
          </w:p>
        </w:tc>
      </w:tr>
      <w:tr w14:paraId="65DB35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577279D">
            <w:pPr>
              <w:pStyle w:val="445"/>
              <w:rPr>
                <w:rFonts w:cs="Times New Roman"/>
                <w:kern w:val="0"/>
                <w:szCs w:val="20"/>
              </w:rPr>
            </w:pPr>
            <w:r>
              <w:rPr>
                <w:rFonts w:cs="Times New Roman"/>
                <w:kern w:val="0"/>
                <w:szCs w:val="20"/>
              </w:rPr>
              <w:t>100</w:t>
            </w:r>
          </w:p>
        </w:tc>
        <w:tc>
          <w:tcPr>
            <w:tcW w:w="2103" w:type="pct"/>
          </w:tcPr>
          <w:p w14:paraId="673786B4">
            <w:pPr>
              <w:pStyle w:val="445"/>
              <w:rPr>
                <w:rFonts w:cs="Times New Roman"/>
                <w:kern w:val="0"/>
                <w:szCs w:val="20"/>
              </w:rPr>
            </w:pPr>
            <w:r>
              <w:rPr>
                <w:rFonts w:cs="Times New Roman"/>
                <w:kern w:val="0"/>
                <w:szCs w:val="20"/>
              </w:rPr>
              <w:t>0.00E+00</w:t>
            </w:r>
          </w:p>
        </w:tc>
        <w:tc>
          <w:tcPr>
            <w:tcW w:w="2103" w:type="pct"/>
          </w:tcPr>
          <w:p w14:paraId="58378AF8">
            <w:pPr>
              <w:pStyle w:val="445"/>
              <w:rPr>
                <w:rFonts w:cs="Times New Roman"/>
                <w:kern w:val="0"/>
                <w:szCs w:val="20"/>
              </w:rPr>
            </w:pPr>
            <w:r>
              <w:rPr>
                <w:rFonts w:cs="Times New Roman"/>
                <w:kern w:val="0"/>
                <w:szCs w:val="20"/>
              </w:rPr>
              <w:t>6.81E-06</w:t>
            </w:r>
          </w:p>
        </w:tc>
      </w:tr>
      <w:tr w14:paraId="60ADE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59858FC">
            <w:pPr>
              <w:pStyle w:val="445"/>
              <w:rPr>
                <w:rFonts w:cs="Times New Roman"/>
                <w:kern w:val="0"/>
                <w:szCs w:val="20"/>
              </w:rPr>
            </w:pPr>
            <w:r>
              <w:rPr>
                <w:rFonts w:cs="Times New Roman"/>
                <w:kern w:val="0"/>
                <w:szCs w:val="20"/>
              </w:rPr>
              <w:t>200</w:t>
            </w:r>
          </w:p>
        </w:tc>
        <w:tc>
          <w:tcPr>
            <w:tcW w:w="2103" w:type="pct"/>
          </w:tcPr>
          <w:p w14:paraId="609A941C">
            <w:pPr>
              <w:pStyle w:val="445"/>
              <w:rPr>
                <w:rFonts w:cs="Times New Roman"/>
                <w:kern w:val="0"/>
                <w:szCs w:val="20"/>
              </w:rPr>
            </w:pPr>
            <w:r>
              <w:rPr>
                <w:rFonts w:cs="Times New Roman"/>
                <w:kern w:val="0"/>
                <w:szCs w:val="20"/>
              </w:rPr>
              <w:t>3.76E-04</w:t>
            </w:r>
          </w:p>
        </w:tc>
        <w:tc>
          <w:tcPr>
            <w:tcW w:w="2103" w:type="pct"/>
          </w:tcPr>
          <w:p w14:paraId="2530EAD6">
            <w:pPr>
              <w:pStyle w:val="445"/>
              <w:rPr>
                <w:rFonts w:cs="Times New Roman"/>
                <w:kern w:val="0"/>
                <w:szCs w:val="20"/>
              </w:rPr>
            </w:pPr>
            <w:r>
              <w:rPr>
                <w:rFonts w:cs="Times New Roman"/>
                <w:kern w:val="0"/>
                <w:szCs w:val="20"/>
              </w:rPr>
              <w:t>2.37E-01</w:t>
            </w:r>
          </w:p>
        </w:tc>
      </w:tr>
      <w:tr w14:paraId="085A4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A6F2B17">
            <w:pPr>
              <w:pStyle w:val="445"/>
              <w:rPr>
                <w:rFonts w:cs="Times New Roman"/>
                <w:kern w:val="0"/>
                <w:szCs w:val="20"/>
              </w:rPr>
            </w:pPr>
            <w:r>
              <w:rPr>
                <w:rFonts w:cs="Times New Roman"/>
                <w:kern w:val="0"/>
                <w:szCs w:val="20"/>
              </w:rPr>
              <w:t>300</w:t>
            </w:r>
          </w:p>
        </w:tc>
        <w:tc>
          <w:tcPr>
            <w:tcW w:w="2103" w:type="pct"/>
          </w:tcPr>
          <w:p w14:paraId="65D4CC3F">
            <w:pPr>
              <w:pStyle w:val="445"/>
              <w:rPr>
                <w:rFonts w:cs="Times New Roman"/>
                <w:kern w:val="0"/>
                <w:szCs w:val="20"/>
              </w:rPr>
            </w:pPr>
            <w:r>
              <w:rPr>
                <w:rFonts w:cs="Times New Roman"/>
                <w:kern w:val="0"/>
                <w:szCs w:val="20"/>
              </w:rPr>
              <w:t>9.35E-02</w:t>
            </w:r>
          </w:p>
        </w:tc>
        <w:tc>
          <w:tcPr>
            <w:tcW w:w="2103" w:type="pct"/>
          </w:tcPr>
          <w:p w14:paraId="2FAC8440">
            <w:pPr>
              <w:pStyle w:val="445"/>
              <w:rPr>
                <w:rFonts w:cs="Times New Roman"/>
                <w:kern w:val="0"/>
                <w:szCs w:val="20"/>
              </w:rPr>
            </w:pPr>
            <w:r>
              <w:rPr>
                <w:rFonts w:cs="Times New Roman"/>
                <w:kern w:val="0"/>
                <w:szCs w:val="20"/>
              </w:rPr>
              <w:t>5.52E+00</w:t>
            </w:r>
          </w:p>
        </w:tc>
      </w:tr>
      <w:tr w14:paraId="1536A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B2D7FD6">
            <w:pPr>
              <w:pStyle w:val="445"/>
              <w:rPr>
                <w:rFonts w:cs="Times New Roman"/>
                <w:kern w:val="0"/>
                <w:szCs w:val="20"/>
              </w:rPr>
            </w:pPr>
            <w:r>
              <w:rPr>
                <w:rFonts w:cs="Times New Roman"/>
                <w:kern w:val="0"/>
                <w:szCs w:val="20"/>
              </w:rPr>
              <w:t>400</w:t>
            </w:r>
          </w:p>
        </w:tc>
        <w:tc>
          <w:tcPr>
            <w:tcW w:w="2103" w:type="pct"/>
          </w:tcPr>
          <w:p w14:paraId="6B8DFD1F">
            <w:pPr>
              <w:pStyle w:val="445"/>
              <w:rPr>
                <w:rFonts w:cs="Times New Roman"/>
                <w:kern w:val="0"/>
                <w:szCs w:val="20"/>
              </w:rPr>
            </w:pPr>
            <w:r>
              <w:rPr>
                <w:rFonts w:cs="Times New Roman"/>
                <w:kern w:val="0"/>
                <w:szCs w:val="20"/>
              </w:rPr>
              <w:t>6.26E-01</w:t>
            </w:r>
          </w:p>
        </w:tc>
        <w:tc>
          <w:tcPr>
            <w:tcW w:w="2103" w:type="pct"/>
          </w:tcPr>
          <w:p w14:paraId="413479EF">
            <w:pPr>
              <w:pStyle w:val="445"/>
              <w:rPr>
                <w:rFonts w:cs="Times New Roman"/>
                <w:kern w:val="0"/>
                <w:szCs w:val="20"/>
              </w:rPr>
            </w:pPr>
            <w:r>
              <w:rPr>
                <w:rFonts w:cs="Times New Roman"/>
                <w:kern w:val="0"/>
                <w:szCs w:val="20"/>
              </w:rPr>
              <w:t>1.50E+01</w:t>
            </w:r>
          </w:p>
        </w:tc>
      </w:tr>
      <w:tr w14:paraId="68B55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BB4CD22">
            <w:pPr>
              <w:pStyle w:val="445"/>
              <w:rPr>
                <w:rFonts w:cs="Times New Roman"/>
                <w:kern w:val="0"/>
                <w:szCs w:val="20"/>
              </w:rPr>
            </w:pPr>
            <w:r>
              <w:rPr>
                <w:rFonts w:hint="eastAsia" w:cs="Times New Roman"/>
                <w:kern w:val="0"/>
                <w:szCs w:val="20"/>
              </w:rPr>
              <w:t>500</w:t>
            </w:r>
          </w:p>
        </w:tc>
        <w:tc>
          <w:tcPr>
            <w:tcW w:w="2103" w:type="pct"/>
          </w:tcPr>
          <w:p w14:paraId="122E8E43">
            <w:pPr>
              <w:pStyle w:val="445"/>
              <w:rPr>
                <w:rFonts w:cs="Times New Roman"/>
                <w:kern w:val="0"/>
                <w:szCs w:val="20"/>
              </w:rPr>
            </w:pPr>
            <w:r>
              <w:rPr>
                <w:rFonts w:cs="Times New Roman"/>
                <w:kern w:val="0"/>
                <w:szCs w:val="20"/>
              </w:rPr>
              <w:t>1.38E+00</w:t>
            </w:r>
          </w:p>
        </w:tc>
        <w:tc>
          <w:tcPr>
            <w:tcW w:w="2103" w:type="pct"/>
          </w:tcPr>
          <w:p w14:paraId="1F144C06">
            <w:pPr>
              <w:pStyle w:val="445"/>
              <w:rPr>
                <w:rFonts w:cs="Times New Roman"/>
                <w:kern w:val="0"/>
                <w:szCs w:val="20"/>
              </w:rPr>
            </w:pPr>
            <w:r>
              <w:rPr>
                <w:rFonts w:cs="Times New Roman"/>
                <w:kern w:val="0"/>
                <w:szCs w:val="20"/>
              </w:rPr>
              <w:t>2.89E+01</w:t>
            </w:r>
          </w:p>
        </w:tc>
      </w:tr>
      <w:tr w14:paraId="303DD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FFFA459">
            <w:pPr>
              <w:pStyle w:val="445"/>
              <w:rPr>
                <w:rFonts w:cs="Times New Roman"/>
                <w:kern w:val="0"/>
                <w:szCs w:val="20"/>
              </w:rPr>
            </w:pPr>
            <w:r>
              <w:rPr>
                <w:rFonts w:hint="eastAsia" w:cs="Times New Roman"/>
                <w:kern w:val="0"/>
                <w:szCs w:val="20"/>
              </w:rPr>
              <w:t>600</w:t>
            </w:r>
          </w:p>
        </w:tc>
        <w:tc>
          <w:tcPr>
            <w:tcW w:w="2103" w:type="pct"/>
          </w:tcPr>
          <w:p w14:paraId="5D509198">
            <w:pPr>
              <w:pStyle w:val="445"/>
              <w:rPr>
                <w:rFonts w:cs="Times New Roman"/>
                <w:kern w:val="0"/>
                <w:szCs w:val="20"/>
              </w:rPr>
            </w:pPr>
            <w:r>
              <w:rPr>
                <w:rFonts w:cs="Times New Roman"/>
                <w:kern w:val="0"/>
                <w:szCs w:val="20"/>
              </w:rPr>
              <w:t>1.94E+00</w:t>
            </w:r>
          </w:p>
        </w:tc>
        <w:tc>
          <w:tcPr>
            <w:tcW w:w="2103" w:type="pct"/>
          </w:tcPr>
          <w:p w14:paraId="76EE54F3">
            <w:pPr>
              <w:pStyle w:val="445"/>
              <w:rPr>
                <w:rFonts w:cs="Times New Roman"/>
                <w:kern w:val="0"/>
                <w:szCs w:val="20"/>
              </w:rPr>
            </w:pPr>
            <w:r>
              <w:rPr>
                <w:rFonts w:cs="Times New Roman"/>
                <w:kern w:val="0"/>
                <w:szCs w:val="20"/>
              </w:rPr>
              <w:t>3.44E+01</w:t>
            </w:r>
          </w:p>
        </w:tc>
      </w:tr>
      <w:tr w14:paraId="61D7E8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00FF7BE">
            <w:pPr>
              <w:pStyle w:val="445"/>
              <w:rPr>
                <w:rFonts w:cs="Times New Roman"/>
                <w:kern w:val="0"/>
                <w:szCs w:val="20"/>
              </w:rPr>
            </w:pPr>
            <w:r>
              <w:rPr>
                <w:rFonts w:hint="eastAsia" w:cs="Times New Roman"/>
                <w:kern w:val="0"/>
                <w:szCs w:val="20"/>
              </w:rPr>
              <w:t>700</w:t>
            </w:r>
          </w:p>
        </w:tc>
        <w:tc>
          <w:tcPr>
            <w:tcW w:w="2103" w:type="pct"/>
          </w:tcPr>
          <w:p w14:paraId="0FA00C4B">
            <w:pPr>
              <w:pStyle w:val="445"/>
              <w:rPr>
                <w:rFonts w:cs="Times New Roman"/>
                <w:kern w:val="0"/>
                <w:szCs w:val="20"/>
              </w:rPr>
            </w:pPr>
            <w:r>
              <w:rPr>
                <w:rFonts w:cs="Times New Roman"/>
                <w:kern w:val="0"/>
                <w:szCs w:val="20"/>
              </w:rPr>
              <w:t>6.68E+00</w:t>
            </w:r>
          </w:p>
        </w:tc>
        <w:tc>
          <w:tcPr>
            <w:tcW w:w="2103" w:type="pct"/>
          </w:tcPr>
          <w:p w14:paraId="0A044BAD">
            <w:pPr>
              <w:pStyle w:val="445"/>
              <w:rPr>
                <w:rFonts w:cs="Times New Roman"/>
                <w:kern w:val="0"/>
                <w:szCs w:val="20"/>
              </w:rPr>
            </w:pPr>
            <w:r>
              <w:rPr>
                <w:rFonts w:cs="Times New Roman"/>
                <w:kern w:val="0"/>
                <w:szCs w:val="20"/>
              </w:rPr>
              <w:t>3.95E+01</w:t>
            </w:r>
          </w:p>
        </w:tc>
      </w:tr>
      <w:tr w14:paraId="74D52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30694A9">
            <w:pPr>
              <w:pStyle w:val="445"/>
              <w:rPr>
                <w:rFonts w:cs="Times New Roman"/>
                <w:kern w:val="0"/>
                <w:szCs w:val="20"/>
              </w:rPr>
            </w:pPr>
            <w:r>
              <w:rPr>
                <w:rFonts w:hint="eastAsia" w:cs="Times New Roman"/>
                <w:kern w:val="0"/>
                <w:szCs w:val="20"/>
              </w:rPr>
              <w:t>800</w:t>
            </w:r>
          </w:p>
        </w:tc>
        <w:tc>
          <w:tcPr>
            <w:tcW w:w="2103" w:type="pct"/>
          </w:tcPr>
          <w:p w14:paraId="1E81E061">
            <w:pPr>
              <w:pStyle w:val="445"/>
              <w:rPr>
                <w:rFonts w:cs="Times New Roman"/>
                <w:kern w:val="0"/>
                <w:szCs w:val="20"/>
              </w:rPr>
            </w:pPr>
            <w:r>
              <w:rPr>
                <w:rFonts w:cs="Times New Roman"/>
                <w:kern w:val="0"/>
                <w:szCs w:val="20"/>
              </w:rPr>
              <w:t>6.44E+00</w:t>
            </w:r>
          </w:p>
        </w:tc>
        <w:tc>
          <w:tcPr>
            <w:tcW w:w="2103" w:type="pct"/>
          </w:tcPr>
          <w:p w14:paraId="77899990">
            <w:pPr>
              <w:pStyle w:val="445"/>
              <w:rPr>
                <w:rFonts w:cs="Times New Roman"/>
                <w:kern w:val="0"/>
                <w:szCs w:val="20"/>
              </w:rPr>
            </w:pPr>
            <w:r>
              <w:rPr>
                <w:rFonts w:cs="Times New Roman"/>
                <w:kern w:val="0"/>
                <w:szCs w:val="20"/>
              </w:rPr>
              <w:t>4.59E+01</w:t>
            </w:r>
          </w:p>
        </w:tc>
      </w:tr>
      <w:tr w14:paraId="1FB9D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18F5427">
            <w:pPr>
              <w:pStyle w:val="445"/>
              <w:rPr>
                <w:rFonts w:cs="Times New Roman"/>
                <w:kern w:val="0"/>
                <w:szCs w:val="20"/>
              </w:rPr>
            </w:pPr>
            <w:r>
              <w:rPr>
                <w:rFonts w:hint="eastAsia" w:cs="Times New Roman"/>
                <w:kern w:val="0"/>
                <w:szCs w:val="20"/>
              </w:rPr>
              <w:t>900</w:t>
            </w:r>
          </w:p>
        </w:tc>
        <w:tc>
          <w:tcPr>
            <w:tcW w:w="2103" w:type="pct"/>
          </w:tcPr>
          <w:p w14:paraId="629C1ABB">
            <w:pPr>
              <w:pStyle w:val="445"/>
              <w:rPr>
                <w:rFonts w:cs="Times New Roman"/>
                <w:kern w:val="0"/>
                <w:szCs w:val="20"/>
              </w:rPr>
            </w:pPr>
            <w:r>
              <w:rPr>
                <w:rFonts w:cs="Times New Roman"/>
                <w:kern w:val="0"/>
                <w:szCs w:val="20"/>
              </w:rPr>
              <w:t>5.12E+00</w:t>
            </w:r>
          </w:p>
        </w:tc>
        <w:tc>
          <w:tcPr>
            <w:tcW w:w="2103" w:type="pct"/>
          </w:tcPr>
          <w:p w14:paraId="19BA6B7A">
            <w:pPr>
              <w:pStyle w:val="445"/>
              <w:rPr>
                <w:rFonts w:cs="Times New Roman"/>
                <w:kern w:val="0"/>
                <w:szCs w:val="20"/>
              </w:rPr>
            </w:pPr>
            <w:r>
              <w:rPr>
                <w:rFonts w:cs="Times New Roman"/>
                <w:kern w:val="0"/>
                <w:szCs w:val="20"/>
              </w:rPr>
              <w:t>4.30E+01</w:t>
            </w:r>
          </w:p>
        </w:tc>
      </w:tr>
      <w:tr w14:paraId="5E7EB6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88FCFD5">
            <w:pPr>
              <w:pStyle w:val="445"/>
              <w:rPr>
                <w:rFonts w:cs="Times New Roman"/>
                <w:kern w:val="0"/>
                <w:szCs w:val="20"/>
              </w:rPr>
            </w:pPr>
            <w:r>
              <w:rPr>
                <w:rFonts w:hint="eastAsia" w:cs="Times New Roman"/>
                <w:kern w:val="0"/>
                <w:szCs w:val="20"/>
              </w:rPr>
              <w:t>1000</w:t>
            </w:r>
          </w:p>
        </w:tc>
        <w:tc>
          <w:tcPr>
            <w:tcW w:w="2103" w:type="pct"/>
          </w:tcPr>
          <w:p w14:paraId="0024FA05">
            <w:pPr>
              <w:pStyle w:val="445"/>
              <w:rPr>
                <w:rFonts w:cs="Times New Roman"/>
                <w:kern w:val="0"/>
                <w:szCs w:val="20"/>
              </w:rPr>
            </w:pPr>
            <w:r>
              <w:rPr>
                <w:rFonts w:cs="Times New Roman"/>
                <w:kern w:val="0"/>
                <w:szCs w:val="20"/>
              </w:rPr>
              <w:t>4.20E+00</w:t>
            </w:r>
          </w:p>
        </w:tc>
        <w:tc>
          <w:tcPr>
            <w:tcW w:w="2103" w:type="pct"/>
          </w:tcPr>
          <w:p w14:paraId="25984AEA">
            <w:pPr>
              <w:pStyle w:val="445"/>
              <w:rPr>
                <w:rFonts w:cs="Times New Roman"/>
                <w:kern w:val="0"/>
                <w:szCs w:val="20"/>
              </w:rPr>
            </w:pPr>
            <w:r>
              <w:rPr>
                <w:rFonts w:cs="Times New Roman"/>
                <w:kern w:val="0"/>
                <w:szCs w:val="20"/>
              </w:rPr>
              <w:t>4.05E+01</w:t>
            </w:r>
          </w:p>
        </w:tc>
      </w:tr>
      <w:tr w14:paraId="5162F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E2167F2">
            <w:pPr>
              <w:pStyle w:val="445"/>
              <w:rPr>
                <w:rFonts w:cs="Times New Roman"/>
                <w:kern w:val="0"/>
                <w:szCs w:val="20"/>
              </w:rPr>
            </w:pPr>
            <w:r>
              <w:rPr>
                <w:rFonts w:hint="eastAsia" w:cs="Times New Roman"/>
                <w:kern w:val="0"/>
                <w:szCs w:val="20"/>
              </w:rPr>
              <w:t>1100</w:t>
            </w:r>
          </w:p>
        </w:tc>
        <w:tc>
          <w:tcPr>
            <w:tcW w:w="2103" w:type="pct"/>
          </w:tcPr>
          <w:p w14:paraId="229D9472">
            <w:pPr>
              <w:pStyle w:val="445"/>
              <w:rPr>
                <w:rFonts w:cs="Times New Roman"/>
                <w:kern w:val="0"/>
                <w:szCs w:val="20"/>
              </w:rPr>
            </w:pPr>
            <w:r>
              <w:rPr>
                <w:rFonts w:cs="Times New Roman"/>
                <w:kern w:val="0"/>
                <w:szCs w:val="20"/>
              </w:rPr>
              <w:t>3.50E+00</w:t>
            </w:r>
          </w:p>
        </w:tc>
        <w:tc>
          <w:tcPr>
            <w:tcW w:w="2103" w:type="pct"/>
          </w:tcPr>
          <w:p w14:paraId="1254919D">
            <w:pPr>
              <w:pStyle w:val="445"/>
              <w:rPr>
                <w:rFonts w:cs="Times New Roman"/>
                <w:kern w:val="0"/>
                <w:szCs w:val="20"/>
              </w:rPr>
            </w:pPr>
            <w:r>
              <w:rPr>
                <w:rFonts w:cs="Times New Roman"/>
                <w:kern w:val="0"/>
                <w:szCs w:val="20"/>
              </w:rPr>
              <w:t>4.23E+01</w:t>
            </w:r>
          </w:p>
        </w:tc>
      </w:tr>
      <w:tr w14:paraId="653C4B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BAB8F00">
            <w:pPr>
              <w:pStyle w:val="445"/>
              <w:rPr>
                <w:rFonts w:cs="Times New Roman"/>
                <w:kern w:val="0"/>
                <w:szCs w:val="20"/>
              </w:rPr>
            </w:pPr>
            <w:r>
              <w:rPr>
                <w:rFonts w:hint="eastAsia" w:cs="Times New Roman"/>
                <w:kern w:val="0"/>
                <w:szCs w:val="20"/>
              </w:rPr>
              <w:t>1200</w:t>
            </w:r>
          </w:p>
        </w:tc>
        <w:tc>
          <w:tcPr>
            <w:tcW w:w="2103" w:type="pct"/>
          </w:tcPr>
          <w:p w14:paraId="5F99D8D3">
            <w:pPr>
              <w:pStyle w:val="445"/>
              <w:rPr>
                <w:rFonts w:cs="Times New Roman"/>
                <w:kern w:val="0"/>
                <w:szCs w:val="20"/>
              </w:rPr>
            </w:pPr>
            <w:r>
              <w:rPr>
                <w:rFonts w:cs="Times New Roman"/>
                <w:kern w:val="0"/>
                <w:szCs w:val="20"/>
              </w:rPr>
              <w:t>2.98E+00</w:t>
            </w:r>
          </w:p>
        </w:tc>
        <w:tc>
          <w:tcPr>
            <w:tcW w:w="2103" w:type="pct"/>
          </w:tcPr>
          <w:p w14:paraId="2C201116">
            <w:pPr>
              <w:pStyle w:val="445"/>
              <w:rPr>
                <w:rFonts w:cs="Times New Roman"/>
                <w:kern w:val="0"/>
                <w:szCs w:val="20"/>
              </w:rPr>
            </w:pPr>
            <w:r>
              <w:rPr>
                <w:rFonts w:cs="Times New Roman"/>
                <w:kern w:val="0"/>
                <w:szCs w:val="20"/>
              </w:rPr>
              <w:t>3.93E+01</w:t>
            </w:r>
          </w:p>
        </w:tc>
      </w:tr>
      <w:tr w14:paraId="24F1D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51D543E">
            <w:pPr>
              <w:pStyle w:val="445"/>
              <w:rPr>
                <w:rFonts w:cs="Times New Roman"/>
                <w:kern w:val="0"/>
                <w:szCs w:val="20"/>
              </w:rPr>
            </w:pPr>
            <w:r>
              <w:rPr>
                <w:rFonts w:hint="eastAsia" w:cs="Times New Roman"/>
                <w:kern w:val="0"/>
                <w:szCs w:val="20"/>
              </w:rPr>
              <w:t>1300</w:t>
            </w:r>
          </w:p>
        </w:tc>
        <w:tc>
          <w:tcPr>
            <w:tcW w:w="2103" w:type="pct"/>
          </w:tcPr>
          <w:p w14:paraId="6135A643">
            <w:pPr>
              <w:pStyle w:val="445"/>
              <w:rPr>
                <w:rFonts w:cs="Times New Roman"/>
                <w:kern w:val="0"/>
                <w:szCs w:val="20"/>
              </w:rPr>
            </w:pPr>
            <w:r>
              <w:rPr>
                <w:rFonts w:cs="Times New Roman"/>
                <w:kern w:val="0"/>
                <w:szCs w:val="20"/>
              </w:rPr>
              <w:t>2.56E+00</w:t>
            </w:r>
          </w:p>
        </w:tc>
        <w:tc>
          <w:tcPr>
            <w:tcW w:w="2103" w:type="pct"/>
          </w:tcPr>
          <w:p w14:paraId="62384D14">
            <w:pPr>
              <w:pStyle w:val="445"/>
              <w:rPr>
                <w:rFonts w:cs="Times New Roman"/>
                <w:kern w:val="0"/>
                <w:szCs w:val="20"/>
              </w:rPr>
            </w:pPr>
            <w:r>
              <w:rPr>
                <w:rFonts w:cs="Times New Roman"/>
                <w:kern w:val="0"/>
                <w:szCs w:val="20"/>
              </w:rPr>
              <w:t>3.30E+01</w:t>
            </w:r>
          </w:p>
        </w:tc>
      </w:tr>
      <w:tr w14:paraId="60EAE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C1067BD">
            <w:pPr>
              <w:pStyle w:val="445"/>
              <w:rPr>
                <w:rFonts w:cs="Times New Roman"/>
                <w:kern w:val="0"/>
                <w:szCs w:val="20"/>
              </w:rPr>
            </w:pPr>
            <w:r>
              <w:rPr>
                <w:rFonts w:hint="eastAsia" w:cs="Times New Roman"/>
                <w:kern w:val="0"/>
                <w:szCs w:val="20"/>
              </w:rPr>
              <w:t>1400</w:t>
            </w:r>
          </w:p>
        </w:tc>
        <w:tc>
          <w:tcPr>
            <w:tcW w:w="2103" w:type="pct"/>
          </w:tcPr>
          <w:p w14:paraId="4C689F4B">
            <w:pPr>
              <w:pStyle w:val="445"/>
              <w:rPr>
                <w:rFonts w:cs="Times New Roman"/>
                <w:kern w:val="0"/>
                <w:szCs w:val="20"/>
              </w:rPr>
            </w:pPr>
            <w:r>
              <w:rPr>
                <w:rFonts w:cs="Times New Roman"/>
                <w:kern w:val="0"/>
                <w:szCs w:val="20"/>
              </w:rPr>
              <w:t>2.22E+00</w:t>
            </w:r>
          </w:p>
        </w:tc>
        <w:tc>
          <w:tcPr>
            <w:tcW w:w="2103" w:type="pct"/>
          </w:tcPr>
          <w:p w14:paraId="64B3CDCC">
            <w:pPr>
              <w:pStyle w:val="445"/>
              <w:rPr>
                <w:rFonts w:cs="Times New Roman"/>
                <w:kern w:val="0"/>
                <w:szCs w:val="20"/>
              </w:rPr>
            </w:pPr>
            <w:r>
              <w:rPr>
                <w:rFonts w:cs="Times New Roman"/>
                <w:kern w:val="0"/>
                <w:szCs w:val="20"/>
              </w:rPr>
              <w:t>3.08E+01</w:t>
            </w:r>
          </w:p>
        </w:tc>
      </w:tr>
      <w:tr w14:paraId="1B762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E5B3014">
            <w:pPr>
              <w:pStyle w:val="445"/>
              <w:rPr>
                <w:rFonts w:cs="Times New Roman"/>
                <w:kern w:val="0"/>
                <w:szCs w:val="20"/>
              </w:rPr>
            </w:pPr>
            <w:r>
              <w:rPr>
                <w:rFonts w:hint="eastAsia" w:cs="Times New Roman"/>
                <w:kern w:val="0"/>
                <w:szCs w:val="20"/>
              </w:rPr>
              <w:t>1500</w:t>
            </w:r>
          </w:p>
        </w:tc>
        <w:tc>
          <w:tcPr>
            <w:tcW w:w="2103" w:type="pct"/>
          </w:tcPr>
          <w:p w14:paraId="7B504CC6">
            <w:pPr>
              <w:pStyle w:val="445"/>
              <w:rPr>
                <w:rFonts w:cs="Times New Roman"/>
                <w:kern w:val="0"/>
                <w:szCs w:val="20"/>
              </w:rPr>
            </w:pPr>
            <w:r>
              <w:rPr>
                <w:rFonts w:cs="Times New Roman"/>
                <w:kern w:val="0"/>
                <w:szCs w:val="20"/>
              </w:rPr>
              <w:t>1.96E+00</w:t>
            </w:r>
          </w:p>
        </w:tc>
        <w:tc>
          <w:tcPr>
            <w:tcW w:w="2103" w:type="pct"/>
          </w:tcPr>
          <w:p w14:paraId="529E3C25">
            <w:pPr>
              <w:pStyle w:val="445"/>
              <w:rPr>
                <w:rFonts w:cs="Times New Roman"/>
                <w:kern w:val="0"/>
                <w:szCs w:val="20"/>
              </w:rPr>
            </w:pPr>
            <w:r>
              <w:rPr>
                <w:rFonts w:cs="Times New Roman"/>
                <w:kern w:val="0"/>
                <w:szCs w:val="20"/>
              </w:rPr>
              <w:t>2.71E+01</w:t>
            </w:r>
          </w:p>
        </w:tc>
      </w:tr>
      <w:tr w14:paraId="06B0B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EBAFAF0">
            <w:pPr>
              <w:pStyle w:val="445"/>
              <w:rPr>
                <w:rFonts w:cs="Times New Roman"/>
                <w:kern w:val="0"/>
                <w:szCs w:val="20"/>
              </w:rPr>
            </w:pPr>
            <w:r>
              <w:rPr>
                <w:rFonts w:hint="eastAsia" w:cs="Times New Roman"/>
                <w:kern w:val="0"/>
                <w:szCs w:val="20"/>
              </w:rPr>
              <w:t>1600</w:t>
            </w:r>
          </w:p>
        </w:tc>
        <w:tc>
          <w:tcPr>
            <w:tcW w:w="2103" w:type="pct"/>
          </w:tcPr>
          <w:p w14:paraId="06397DB7">
            <w:pPr>
              <w:pStyle w:val="445"/>
              <w:rPr>
                <w:rFonts w:cs="Times New Roman"/>
                <w:kern w:val="0"/>
                <w:szCs w:val="20"/>
              </w:rPr>
            </w:pPr>
            <w:r>
              <w:rPr>
                <w:rFonts w:cs="Times New Roman"/>
                <w:kern w:val="0"/>
                <w:szCs w:val="20"/>
              </w:rPr>
              <w:t>1.73E+00</w:t>
            </w:r>
          </w:p>
        </w:tc>
        <w:tc>
          <w:tcPr>
            <w:tcW w:w="2103" w:type="pct"/>
          </w:tcPr>
          <w:p w14:paraId="6698959E">
            <w:pPr>
              <w:pStyle w:val="445"/>
              <w:rPr>
                <w:rFonts w:cs="Times New Roman"/>
                <w:kern w:val="0"/>
                <w:szCs w:val="20"/>
              </w:rPr>
            </w:pPr>
            <w:r>
              <w:rPr>
                <w:rFonts w:cs="Times New Roman"/>
                <w:kern w:val="0"/>
                <w:szCs w:val="20"/>
              </w:rPr>
              <w:t>2.41E+01</w:t>
            </w:r>
          </w:p>
        </w:tc>
      </w:tr>
      <w:tr w14:paraId="742ED7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44FBDDC2">
            <w:pPr>
              <w:pStyle w:val="445"/>
              <w:rPr>
                <w:rFonts w:cs="Times New Roman"/>
                <w:kern w:val="0"/>
                <w:szCs w:val="20"/>
              </w:rPr>
            </w:pPr>
            <w:r>
              <w:rPr>
                <w:rFonts w:hint="eastAsia" w:cs="Times New Roman"/>
                <w:kern w:val="0"/>
                <w:szCs w:val="20"/>
              </w:rPr>
              <w:t>1700</w:t>
            </w:r>
          </w:p>
        </w:tc>
        <w:tc>
          <w:tcPr>
            <w:tcW w:w="2103" w:type="pct"/>
          </w:tcPr>
          <w:p w14:paraId="0D7742A8">
            <w:pPr>
              <w:pStyle w:val="445"/>
              <w:rPr>
                <w:rFonts w:cs="Times New Roman"/>
                <w:kern w:val="0"/>
                <w:szCs w:val="20"/>
              </w:rPr>
            </w:pPr>
            <w:r>
              <w:rPr>
                <w:rFonts w:cs="Times New Roman"/>
                <w:kern w:val="0"/>
                <w:szCs w:val="20"/>
              </w:rPr>
              <w:t>1.55E+00</w:t>
            </w:r>
          </w:p>
        </w:tc>
        <w:tc>
          <w:tcPr>
            <w:tcW w:w="2103" w:type="pct"/>
          </w:tcPr>
          <w:p w14:paraId="3344DF14">
            <w:pPr>
              <w:pStyle w:val="445"/>
              <w:rPr>
                <w:rFonts w:cs="Times New Roman"/>
                <w:kern w:val="0"/>
                <w:szCs w:val="20"/>
              </w:rPr>
            </w:pPr>
            <w:r>
              <w:rPr>
                <w:rFonts w:cs="Times New Roman"/>
                <w:kern w:val="0"/>
                <w:szCs w:val="20"/>
              </w:rPr>
              <w:t>2.14E+01</w:t>
            </w:r>
          </w:p>
        </w:tc>
      </w:tr>
      <w:tr w14:paraId="07D87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43FB5246">
            <w:pPr>
              <w:pStyle w:val="445"/>
              <w:rPr>
                <w:rFonts w:cs="Times New Roman"/>
                <w:kern w:val="0"/>
                <w:szCs w:val="20"/>
              </w:rPr>
            </w:pPr>
            <w:r>
              <w:rPr>
                <w:rFonts w:hint="eastAsia" w:cs="Times New Roman"/>
                <w:kern w:val="0"/>
                <w:szCs w:val="20"/>
              </w:rPr>
              <w:t>1800</w:t>
            </w:r>
          </w:p>
        </w:tc>
        <w:tc>
          <w:tcPr>
            <w:tcW w:w="2103" w:type="pct"/>
          </w:tcPr>
          <w:p w14:paraId="1B902CA9">
            <w:pPr>
              <w:pStyle w:val="445"/>
              <w:rPr>
                <w:rFonts w:cs="Times New Roman"/>
                <w:kern w:val="0"/>
                <w:szCs w:val="20"/>
              </w:rPr>
            </w:pPr>
            <w:r>
              <w:rPr>
                <w:rFonts w:cs="Times New Roman"/>
                <w:kern w:val="0"/>
                <w:szCs w:val="20"/>
              </w:rPr>
              <w:t>1.40E+00</w:t>
            </w:r>
          </w:p>
        </w:tc>
        <w:tc>
          <w:tcPr>
            <w:tcW w:w="2103" w:type="pct"/>
          </w:tcPr>
          <w:p w14:paraId="050E1216">
            <w:pPr>
              <w:pStyle w:val="445"/>
              <w:rPr>
                <w:rFonts w:cs="Times New Roman"/>
                <w:kern w:val="0"/>
                <w:szCs w:val="20"/>
              </w:rPr>
            </w:pPr>
            <w:r>
              <w:rPr>
                <w:rFonts w:cs="Times New Roman"/>
                <w:kern w:val="0"/>
                <w:szCs w:val="20"/>
              </w:rPr>
              <w:t>1.86E+01</w:t>
            </w:r>
          </w:p>
        </w:tc>
      </w:tr>
      <w:tr w14:paraId="51196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72A68C5">
            <w:pPr>
              <w:pStyle w:val="445"/>
              <w:rPr>
                <w:rFonts w:cs="Times New Roman"/>
                <w:kern w:val="0"/>
                <w:szCs w:val="20"/>
              </w:rPr>
            </w:pPr>
            <w:r>
              <w:rPr>
                <w:rFonts w:hint="eastAsia" w:cs="Times New Roman"/>
                <w:kern w:val="0"/>
                <w:szCs w:val="20"/>
              </w:rPr>
              <w:t>1900</w:t>
            </w:r>
          </w:p>
        </w:tc>
        <w:tc>
          <w:tcPr>
            <w:tcW w:w="2103" w:type="pct"/>
          </w:tcPr>
          <w:p w14:paraId="51021B1E">
            <w:pPr>
              <w:pStyle w:val="445"/>
              <w:rPr>
                <w:rFonts w:cs="Times New Roman"/>
                <w:kern w:val="0"/>
                <w:szCs w:val="20"/>
              </w:rPr>
            </w:pPr>
            <w:r>
              <w:rPr>
                <w:rFonts w:cs="Times New Roman"/>
                <w:kern w:val="0"/>
                <w:szCs w:val="20"/>
              </w:rPr>
              <w:t>1.26E+00</w:t>
            </w:r>
          </w:p>
        </w:tc>
        <w:tc>
          <w:tcPr>
            <w:tcW w:w="2103" w:type="pct"/>
          </w:tcPr>
          <w:p w14:paraId="58D727A9">
            <w:pPr>
              <w:pStyle w:val="445"/>
              <w:rPr>
                <w:rFonts w:cs="Times New Roman"/>
                <w:kern w:val="0"/>
                <w:szCs w:val="20"/>
              </w:rPr>
            </w:pPr>
            <w:r>
              <w:rPr>
                <w:rFonts w:cs="Times New Roman"/>
                <w:kern w:val="0"/>
                <w:szCs w:val="20"/>
              </w:rPr>
              <w:t>1.34E+01</w:t>
            </w:r>
          </w:p>
        </w:tc>
      </w:tr>
      <w:tr w14:paraId="54CA48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7D5DF60">
            <w:pPr>
              <w:pStyle w:val="445"/>
              <w:rPr>
                <w:rFonts w:cs="Times New Roman"/>
                <w:kern w:val="0"/>
                <w:szCs w:val="20"/>
              </w:rPr>
            </w:pPr>
            <w:r>
              <w:rPr>
                <w:rFonts w:hint="eastAsia" w:cs="Times New Roman"/>
                <w:kern w:val="0"/>
                <w:szCs w:val="20"/>
              </w:rPr>
              <w:t>2000</w:t>
            </w:r>
          </w:p>
        </w:tc>
        <w:tc>
          <w:tcPr>
            <w:tcW w:w="2103" w:type="pct"/>
          </w:tcPr>
          <w:p w14:paraId="42E75A17">
            <w:pPr>
              <w:pStyle w:val="445"/>
              <w:rPr>
                <w:rFonts w:cs="Times New Roman"/>
                <w:kern w:val="0"/>
                <w:szCs w:val="20"/>
              </w:rPr>
            </w:pPr>
            <w:r>
              <w:rPr>
                <w:rFonts w:cs="Times New Roman"/>
                <w:kern w:val="0"/>
                <w:szCs w:val="20"/>
              </w:rPr>
              <w:t>1.15E+00</w:t>
            </w:r>
          </w:p>
        </w:tc>
        <w:tc>
          <w:tcPr>
            <w:tcW w:w="2103" w:type="pct"/>
          </w:tcPr>
          <w:p w14:paraId="4077F3A1">
            <w:pPr>
              <w:pStyle w:val="445"/>
              <w:rPr>
                <w:rFonts w:cs="Times New Roman"/>
                <w:kern w:val="0"/>
                <w:szCs w:val="20"/>
              </w:rPr>
            </w:pPr>
            <w:r>
              <w:rPr>
                <w:rFonts w:cs="Times New Roman"/>
                <w:kern w:val="0"/>
                <w:szCs w:val="20"/>
              </w:rPr>
              <w:t>9.07E+00</w:t>
            </w:r>
          </w:p>
        </w:tc>
      </w:tr>
      <w:tr w14:paraId="42CB0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F3BB98C">
            <w:pPr>
              <w:pStyle w:val="445"/>
              <w:rPr>
                <w:rFonts w:cs="Times New Roman"/>
                <w:kern w:val="0"/>
                <w:szCs w:val="20"/>
              </w:rPr>
            </w:pPr>
            <w:r>
              <w:rPr>
                <w:rFonts w:hint="eastAsia" w:cs="Times New Roman"/>
                <w:kern w:val="0"/>
                <w:szCs w:val="20"/>
              </w:rPr>
              <w:t>2100</w:t>
            </w:r>
          </w:p>
        </w:tc>
        <w:tc>
          <w:tcPr>
            <w:tcW w:w="2103" w:type="pct"/>
          </w:tcPr>
          <w:p w14:paraId="614A15FC">
            <w:pPr>
              <w:pStyle w:val="445"/>
              <w:rPr>
                <w:rFonts w:cs="Times New Roman"/>
                <w:kern w:val="0"/>
                <w:szCs w:val="20"/>
              </w:rPr>
            </w:pPr>
            <w:r>
              <w:rPr>
                <w:rFonts w:cs="Times New Roman"/>
                <w:kern w:val="0"/>
                <w:szCs w:val="20"/>
              </w:rPr>
              <w:t>1.05E+00</w:t>
            </w:r>
          </w:p>
        </w:tc>
        <w:tc>
          <w:tcPr>
            <w:tcW w:w="2103" w:type="pct"/>
          </w:tcPr>
          <w:p w14:paraId="723A5490">
            <w:pPr>
              <w:pStyle w:val="445"/>
              <w:rPr>
                <w:rFonts w:cs="Times New Roman"/>
                <w:kern w:val="0"/>
                <w:szCs w:val="20"/>
              </w:rPr>
            </w:pPr>
            <w:r>
              <w:rPr>
                <w:rFonts w:cs="Times New Roman"/>
                <w:kern w:val="0"/>
                <w:szCs w:val="20"/>
              </w:rPr>
              <w:t>5.71E+00</w:t>
            </w:r>
          </w:p>
        </w:tc>
      </w:tr>
      <w:tr w14:paraId="2A387E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1E60F65">
            <w:pPr>
              <w:pStyle w:val="445"/>
              <w:rPr>
                <w:rFonts w:cs="Times New Roman"/>
                <w:kern w:val="0"/>
                <w:szCs w:val="20"/>
              </w:rPr>
            </w:pPr>
            <w:r>
              <w:rPr>
                <w:rFonts w:hint="eastAsia" w:cs="Times New Roman"/>
                <w:kern w:val="0"/>
                <w:szCs w:val="20"/>
              </w:rPr>
              <w:t>2200</w:t>
            </w:r>
          </w:p>
        </w:tc>
        <w:tc>
          <w:tcPr>
            <w:tcW w:w="2103" w:type="pct"/>
          </w:tcPr>
          <w:p w14:paraId="71E9474B">
            <w:pPr>
              <w:pStyle w:val="445"/>
              <w:rPr>
                <w:rFonts w:cs="Times New Roman"/>
                <w:kern w:val="0"/>
                <w:szCs w:val="20"/>
              </w:rPr>
            </w:pPr>
            <w:r>
              <w:rPr>
                <w:rFonts w:cs="Times New Roman"/>
                <w:kern w:val="0"/>
                <w:szCs w:val="20"/>
              </w:rPr>
              <w:t>9.67E-01</w:t>
            </w:r>
          </w:p>
        </w:tc>
        <w:tc>
          <w:tcPr>
            <w:tcW w:w="2103" w:type="pct"/>
          </w:tcPr>
          <w:p w14:paraId="1D60EB88">
            <w:pPr>
              <w:pStyle w:val="445"/>
              <w:rPr>
                <w:rFonts w:cs="Times New Roman"/>
                <w:kern w:val="0"/>
                <w:szCs w:val="20"/>
              </w:rPr>
            </w:pPr>
            <w:r>
              <w:rPr>
                <w:rFonts w:cs="Times New Roman"/>
                <w:kern w:val="0"/>
                <w:szCs w:val="20"/>
              </w:rPr>
              <w:t>3.35E+00</w:t>
            </w:r>
          </w:p>
        </w:tc>
      </w:tr>
      <w:tr w14:paraId="0C409F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5454E4AB">
            <w:pPr>
              <w:pStyle w:val="445"/>
              <w:rPr>
                <w:rFonts w:cs="Times New Roman"/>
                <w:kern w:val="0"/>
                <w:szCs w:val="20"/>
              </w:rPr>
            </w:pPr>
            <w:r>
              <w:rPr>
                <w:rFonts w:hint="eastAsia" w:cs="Times New Roman"/>
                <w:kern w:val="0"/>
                <w:szCs w:val="20"/>
              </w:rPr>
              <w:t>2</w:t>
            </w:r>
            <w:r>
              <w:rPr>
                <w:rFonts w:cs="Times New Roman"/>
                <w:kern w:val="0"/>
                <w:szCs w:val="20"/>
              </w:rPr>
              <w:t>300</w:t>
            </w:r>
          </w:p>
        </w:tc>
        <w:tc>
          <w:tcPr>
            <w:tcW w:w="2103" w:type="pct"/>
          </w:tcPr>
          <w:p w14:paraId="57D54C03">
            <w:pPr>
              <w:pStyle w:val="445"/>
              <w:rPr>
                <w:rFonts w:cs="Times New Roman"/>
                <w:kern w:val="0"/>
                <w:szCs w:val="20"/>
              </w:rPr>
            </w:pPr>
            <w:r>
              <w:rPr>
                <w:rFonts w:cs="Times New Roman"/>
                <w:kern w:val="0"/>
                <w:szCs w:val="20"/>
              </w:rPr>
              <w:t>8.89E-01</w:t>
            </w:r>
          </w:p>
        </w:tc>
        <w:tc>
          <w:tcPr>
            <w:tcW w:w="2103" w:type="pct"/>
          </w:tcPr>
          <w:p w14:paraId="2CD1EB67">
            <w:pPr>
              <w:pStyle w:val="445"/>
              <w:rPr>
                <w:rFonts w:cs="Times New Roman"/>
                <w:kern w:val="0"/>
                <w:szCs w:val="20"/>
              </w:rPr>
            </w:pPr>
            <w:r>
              <w:rPr>
                <w:rFonts w:cs="Times New Roman"/>
                <w:kern w:val="0"/>
                <w:szCs w:val="20"/>
              </w:rPr>
              <w:t>1.83E+00</w:t>
            </w:r>
          </w:p>
        </w:tc>
      </w:tr>
      <w:tr w14:paraId="17B20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641CC23">
            <w:pPr>
              <w:pStyle w:val="445"/>
              <w:rPr>
                <w:rFonts w:cs="Times New Roman"/>
                <w:kern w:val="0"/>
                <w:szCs w:val="20"/>
              </w:rPr>
            </w:pPr>
            <w:r>
              <w:rPr>
                <w:rFonts w:hint="eastAsia" w:cs="Times New Roman"/>
                <w:kern w:val="0"/>
                <w:szCs w:val="20"/>
              </w:rPr>
              <w:t>2400</w:t>
            </w:r>
          </w:p>
        </w:tc>
        <w:tc>
          <w:tcPr>
            <w:tcW w:w="2103" w:type="pct"/>
          </w:tcPr>
          <w:p w14:paraId="45410EF1">
            <w:pPr>
              <w:pStyle w:val="445"/>
              <w:rPr>
                <w:rFonts w:cs="Times New Roman"/>
                <w:kern w:val="0"/>
                <w:szCs w:val="20"/>
              </w:rPr>
            </w:pPr>
            <w:r>
              <w:rPr>
                <w:rFonts w:cs="Times New Roman"/>
                <w:kern w:val="0"/>
                <w:szCs w:val="20"/>
              </w:rPr>
              <w:t>8.22E-01</w:t>
            </w:r>
          </w:p>
        </w:tc>
        <w:tc>
          <w:tcPr>
            <w:tcW w:w="2103" w:type="pct"/>
          </w:tcPr>
          <w:p w14:paraId="6BE6FE2D">
            <w:pPr>
              <w:pStyle w:val="445"/>
              <w:rPr>
                <w:rFonts w:cs="Times New Roman"/>
                <w:kern w:val="0"/>
                <w:szCs w:val="20"/>
              </w:rPr>
            </w:pPr>
            <w:r>
              <w:rPr>
                <w:rFonts w:cs="Times New Roman"/>
                <w:kern w:val="0"/>
                <w:szCs w:val="20"/>
              </w:rPr>
              <w:t>9.37E-01</w:t>
            </w:r>
          </w:p>
        </w:tc>
      </w:tr>
      <w:tr w14:paraId="08460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2E6ECA9">
            <w:pPr>
              <w:pStyle w:val="445"/>
              <w:rPr>
                <w:rFonts w:cs="Times New Roman"/>
                <w:kern w:val="0"/>
                <w:szCs w:val="20"/>
              </w:rPr>
            </w:pPr>
            <w:r>
              <w:rPr>
                <w:rFonts w:hint="eastAsia" w:cs="Times New Roman"/>
                <w:kern w:val="0"/>
                <w:szCs w:val="20"/>
              </w:rPr>
              <w:t>2500</w:t>
            </w:r>
          </w:p>
        </w:tc>
        <w:tc>
          <w:tcPr>
            <w:tcW w:w="2103" w:type="pct"/>
          </w:tcPr>
          <w:p w14:paraId="1011E544">
            <w:pPr>
              <w:pStyle w:val="445"/>
              <w:rPr>
                <w:rFonts w:cs="Times New Roman"/>
                <w:kern w:val="0"/>
                <w:szCs w:val="20"/>
              </w:rPr>
            </w:pPr>
            <w:r>
              <w:rPr>
                <w:rFonts w:cs="Times New Roman"/>
                <w:kern w:val="0"/>
                <w:szCs w:val="20"/>
              </w:rPr>
              <w:t>7.62E-01</w:t>
            </w:r>
          </w:p>
        </w:tc>
        <w:tc>
          <w:tcPr>
            <w:tcW w:w="2103" w:type="pct"/>
          </w:tcPr>
          <w:p w14:paraId="19951B53">
            <w:pPr>
              <w:pStyle w:val="445"/>
              <w:rPr>
                <w:rFonts w:cs="Times New Roman"/>
                <w:kern w:val="0"/>
                <w:szCs w:val="20"/>
              </w:rPr>
            </w:pPr>
            <w:r>
              <w:rPr>
                <w:rFonts w:cs="Times New Roman"/>
                <w:kern w:val="0"/>
                <w:szCs w:val="20"/>
              </w:rPr>
              <w:t>0.00E+00</w:t>
            </w:r>
          </w:p>
        </w:tc>
      </w:tr>
      <w:tr w14:paraId="4BF3D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2650F08">
            <w:pPr>
              <w:pStyle w:val="445"/>
              <w:rPr>
                <w:rFonts w:cs="Times New Roman"/>
                <w:kern w:val="0"/>
                <w:szCs w:val="20"/>
              </w:rPr>
            </w:pPr>
            <w:r>
              <w:rPr>
                <w:rFonts w:hint="eastAsia" w:cs="Times New Roman"/>
                <w:kern w:val="0"/>
                <w:szCs w:val="20"/>
              </w:rPr>
              <w:t>3000</w:t>
            </w:r>
          </w:p>
        </w:tc>
        <w:tc>
          <w:tcPr>
            <w:tcW w:w="2103" w:type="pct"/>
          </w:tcPr>
          <w:p w14:paraId="79FE461F">
            <w:pPr>
              <w:pStyle w:val="445"/>
              <w:rPr>
                <w:rFonts w:cs="Times New Roman"/>
                <w:kern w:val="0"/>
                <w:szCs w:val="20"/>
              </w:rPr>
            </w:pPr>
            <w:r>
              <w:rPr>
                <w:rFonts w:cs="Times New Roman"/>
                <w:kern w:val="0"/>
                <w:szCs w:val="20"/>
              </w:rPr>
              <w:t>5.46E-01</w:t>
            </w:r>
          </w:p>
        </w:tc>
        <w:tc>
          <w:tcPr>
            <w:tcW w:w="2103" w:type="pct"/>
            <w:vAlign w:val="center"/>
          </w:tcPr>
          <w:p w14:paraId="2AD51784">
            <w:pPr>
              <w:pStyle w:val="445"/>
              <w:rPr>
                <w:rFonts w:cs="Times New Roman"/>
                <w:kern w:val="0"/>
                <w:szCs w:val="20"/>
              </w:rPr>
            </w:pPr>
            <w:r>
              <w:rPr>
                <w:rFonts w:cs="Times New Roman"/>
                <w:kern w:val="0"/>
                <w:szCs w:val="20"/>
              </w:rPr>
              <w:t>0.00E+00</w:t>
            </w:r>
          </w:p>
        </w:tc>
      </w:tr>
      <w:tr w14:paraId="2940C1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65957EB3">
            <w:pPr>
              <w:pStyle w:val="445"/>
              <w:rPr>
                <w:rFonts w:cs="Times New Roman"/>
                <w:kern w:val="0"/>
                <w:szCs w:val="20"/>
              </w:rPr>
            </w:pPr>
            <w:r>
              <w:rPr>
                <w:rFonts w:hint="eastAsia" w:cs="Times New Roman"/>
                <w:kern w:val="0"/>
                <w:szCs w:val="20"/>
              </w:rPr>
              <w:t>3500</w:t>
            </w:r>
          </w:p>
        </w:tc>
        <w:tc>
          <w:tcPr>
            <w:tcW w:w="2103" w:type="pct"/>
          </w:tcPr>
          <w:p w14:paraId="332A7C4F">
            <w:pPr>
              <w:pStyle w:val="445"/>
              <w:rPr>
                <w:rFonts w:cs="Times New Roman"/>
                <w:kern w:val="0"/>
                <w:szCs w:val="20"/>
              </w:rPr>
            </w:pPr>
            <w:r>
              <w:rPr>
                <w:rFonts w:cs="Times New Roman"/>
                <w:kern w:val="0"/>
                <w:szCs w:val="20"/>
              </w:rPr>
              <w:t>4.13E-01</w:t>
            </w:r>
          </w:p>
        </w:tc>
        <w:tc>
          <w:tcPr>
            <w:tcW w:w="2103" w:type="pct"/>
            <w:vAlign w:val="center"/>
          </w:tcPr>
          <w:p w14:paraId="7FEFB006">
            <w:pPr>
              <w:pStyle w:val="445"/>
              <w:rPr>
                <w:rFonts w:cs="Times New Roman"/>
                <w:kern w:val="0"/>
                <w:szCs w:val="20"/>
              </w:rPr>
            </w:pPr>
            <w:r>
              <w:rPr>
                <w:rFonts w:cs="Times New Roman"/>
                <w:kern w:val="0"/>
                <w:szCs w:val="20"/>
              </w:rPr>
              <w:t>0.00E+00</w:t>
            </w:r>
          </w:p>
        </w:tc>
      </w:tr>
      <w:tr w14:paraId="55258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4486390">
            <w:pPr>
              <w:pStyle w:val="445"/>
              <w:rPr>
                <w:rFonts w:cs="Times New Roman"/>
                <w:kern w:val="0"/>
                <w:szCs w:val="20"/>
              </w:rPr>
            </w:pPr>
            <w:r>
              <w:rPr>
                <w:rFonts w:hint="eastAsia" w:cs="Times New Roman"/>
                <w:kern w:val="0"/>
                <w:szCs w:val="20"/>
              </w:rPr>
              <w:t>4000</w:t>
            </w:r>
          </w:p>
        </w:tc>
        <w:tc>
          <w:tcPr>
            <w:tcW w:w="2103" w:type="pct"/>
          </w:tcPr>
          <w:p w14:paraId="5820484E">
            <w:pPr>
              <w:pStyle w:val="445"/>
              <w:rPr>
                <w:rFonts w:cs="Times New Roman"/>
                <w:kern w:val="0"/>
                <w:szCs w:val="20"/>
              </w:rPr>
            </w:pPr>
            <w:r>
              <w:rPr>
                <w:rFonts w:cs="Times New Roman"/>
                <w:kern w:val="0"/>
                <w:szCs w:val="20"/>
              </w:rPr>
              <w:t>3.25E-01</w:t>
            </w:r>
          </w:p>
        </w:tc>
        <w:tc>
          <w:tcPr>
            <w:tcW w:w="2103" w:type="pct"/>
            <w:vAlign w:val="center"/>
          </w:tcPr>
          <w:p w14:paraId="6982ACA1">
            <w:pPr>
              <w:pStyle w:val="445"/>
              <w:rPr>
                <w:rFonts w:cs="Times New Roman"/>
                <w:kern w:val="0"/>
                <w:szCs w:val="20"/>
              </w:rPr>
            </w:pPr>
            <w:r>
              <w:rPr>
                <w:rFonts w:cs="Times New Roman"/>
                <w:kern w:val="0"/>
                <w:szCs w:val="20"/>
              </w:rPr>
              <w:t>0.00E+00</w:t>
            </w:r>
          </w:p>
        </w:tc>
      </w:tr>
      <w:tr w14:paraId="203A9D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B360F4D">
            <w:pPr>
              <w:pStyle w:val="445"/>
              <w:rPr>
                <w:rFonts w:cs="Times New Roman"/>
                <w:kern w:val="0"/>
                <w:szCs w:val="20"/>
              </w:rPr>
            </w:pPr>
            <w:r>
              <w:rPr>
                <w:rFonts w:hint="eastAsia" w:cs="Times New Roman"/>
                <w:kern w:val="0"/>
                <w:szCs w:val="20"/>
              </w:rPr>
              <w:t>4500</w:t>
            </w:r>
          </w:p>
        </w:tc>
        <w:tc>
          <w:tcPr>
            <w:tcW w:w="2103" w:type="pct"/>
          </w:tcPr>
          <w:p w14:paraId="03F5AF7A">
            <w:pPr>
              <w:pStyle w:val="445"/>
              <w:rPr>
                <w:rFonts w:cs="Times New Roman"/>
                <w:kern w:val="0"/>
                <w:szCs w:val="20"/>
              </w:rPr>
            </w:pPr>
            <w:r>
              <w:rPr>
                <w:rFonts w:cs="Times New Roman"/>
                <w:kern w:val="0"/>
                <w:szCs w:val="20"/>
              </w:rPr>
              <w:t>2.61E-01</w:t>
            </w:r>
          </w:p>
        </w:tc>
        <w:tc>
          <w:tcPr>
            <w:tcW w:w="2103" w:type="pct"/>
            <w:vAlign w:val="center"/>
          </w:tcPr>
          <w:p w14:paraId="03599F22">
            <w:pPr>
              <w:pStyle w:val="445"/>
              <w:rPr>
                <w:rFonts w:cs="Times New Roman"/>
                <w:kern w:val="0"/>
                <w:szCs w:val="20"/>
              </w:rPr>
            </w:pPr>
            <w:r>
              <w:rPr>
                <w:rFonts w:cs="Times New Roman"/>
                <w:kern w:val="0"/>
                <w:szCs w:val="20"/>
              </w:rPr>
              <w:t>0.00E+00</w:t>
            </w:r>
          </w:p>
        </w:tc>
      </w:tr>
      <w:tr w14:paraId="3DDFF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3BC7337">
            <w:pPr>
              <w:pStyle w:val="445"/>
              <w:rPr>
                <w:rFonts w:cs="Times New Roman"/>
                <w:kern w:val="0"/>
                <w:szCs w:val="20"/>
              </w:rPr>
            </w:pPr>
            <w:r>
              <w:rPr>
                <w:rFonts w:hint="eastAsia" w:cs="Times New Roman"/>
                <w:kern w:val="0"/>
                <w:szCs w:val="20"/>
              </w:rPr>
              <w:t>5000</w:t>
            </w:r>
          </w:p>
        </w:tc>
        <w:tc>
          <w:tcPr>
            <w:tcW w:w="2103" w:type="pct"/>
          </w:tcPr>
          <w:p w14:paraId="6F9CB1C9">
            <w:pPr>
              <w:pStyle w:val="445"/>
              <w:rPr>
                <w:rFonts w:cs="Times New Roman"/>
                <w:kern w:val="0"/>
                <w:szCs w:val="20"/>
              </w:rPr>
            </w:pPr>
            <w:r>
              <w:rPr>
                <w:rFonts w:cs="Times New Roman"/>
                <w:kern w:val="0"/>
                <w:szCs w:val="20"/>
              </w:rPr>
              <w:t>2.15E-01</w:t>
            </w:r>
          </w:p>
        </w:tc>
        <w:tc>
          <w:tcPr>
            <w:tcW w:w="2103" w:type="pct"/>
            <w:vAlign w:val="center"/>
          </w:tcPr>
          <w:p w14:paraId="695D5DAF">
            <w:pPr>
              <w:pStyle w:val="445"/>
              <w:rPr>
                <w:rFonts w:cs="Times New Roman"/>
                <w:kern w:val="0"/>
                <w:szCs w:val="20"/>
              </w:rPr>
            </w:pPr>
            <w:r>
              <w:rPr>
                <w:rFonts w:cs="Times New Roman"/>
                <w:kern w:val="0"/>
                <w:szCs w:val="20"/>
              </w:rPr>
              <w:t>0.00E+00</w:t>
            </w:r>
          </w:p>
        </w:tc>
      </w:tr>
    </w:tbl>
    <w:p w14:paraId="0A5FA0D3">
      <w:pPr>
        <w:spacing w:line="500" w:lineRule="exact"/>
        <w:ind w:firstLine="0" w:firstLineChars="0"/>
        <w:jc w:val="center"/>
        <w:rPr>
          <w:rFonts w:eastAsia="黑体"/>
        </w:rPr>
      </w:pPr>
      <w:r>
        <w:rPr>
          <w:rFonts w:hint="eastAsia" w:eastAsia="黑体"/>
        </w:rPr>
        <w:t>表5.6.</w:t>
      </w:r>
      <w:r>
        <w:rPr>
          <w:rFonts w:eastAsia="黑体"/>
        </w:rPr>
        <w:t xml:space="preserve">7-4  </w:t>
      </w:r>
      <w:r>
        <w:rPr>
          <w:rFonts w:hint="eastAsia" w:eastAsia="黑体"/>
        </w:rPr>
        <w:t>氯化氢</w:t>
      </w:r>
      <w:r>
        <w:rPr>
          <w:rFonts w:hint="eastAsia" w:eastAsia="黑体"/>
          <w:lang w:val="zh-CN"/>
        </w:rPr>
        <w:t>各阈值的廓线对应的位置</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78"/>
        <w:gridCol w:w="1239"/>
        <w:gridCol w:w="961"/>
        <w:gridCol w:w="963"/>
        <w:gridCol w:w="1192"/>
        <w:gridCol w:w="1548"/>
      </w:tblGrid>
      <w:tr w14:paraId="35F84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tcPr>
          <w:p w14:paraId="11A98769">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预测气象条件</w:t>
            </w:r>
          </w:p>
        </w:tc>
        <w:tc>
          <w:tcPr>
            <w:tcW w:w="1070" w:type="pct"/>
          </w:tcPr>
          <w:p w14:paraId="2FBC88EF">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指标</w:t>
            </w:r>
          </w:p>
        </w:tc>
        <w:tc>
          <w:tcPr>
            <w:tcW w:w="670" w:type="pct"/>
          </w:tcPr>
          <w:p w14:paraId="6EDDFEBB">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浓度值（</w:t>
            </w:r>
            <w:r>
              <w:rPr>
                <w:rFonts w:cs="Times New Roman"/>
                <w:kern w:val="0"/>
                <w:sz w:val="18"/>
                <w:szCs w:val="20"/>
              </w:rPr>
              <w:t>mg/m</w:t>
            </w:r>
            <w:r>
              <w:rPr>
                <w:rFonts w:cs="Times New Roman"/>
                <w:kern w:val="0"/>
                <w:sz w:val="18"/>
                <w:szCs w:val="20"/>
                <w:vertAlign w:val="superscript"/>
              </w:rPr>
              <w:t>3</w:t>
            </w:r>
            <w:r>
              <w:rPr>
                <w:rFonts w:cs="Times New Roman"/>
                <w:kern w:val="0"/>
                <w:sz w:val="18"/>
                <w:szCs w:val="20"/>
                <w:lang w:val="en-GB"/>
              </w:rPr>
              <w:t>）</w:t>
            </w:r>
          </w:p>
        </w:tc>
        <w:tc>
          <w:tcPr>
            <w:tcW w:w="520" w:type="pct"/>
          </w:tcPr>
          <w:p w14:paraId="558237D4">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起点</w:t>
            </w:r>
            <w:r>
              <w:rPr>
                <w:rFonts w:cs="Times New Roman"/>
                <w:kern w:val="0"/>
                <w:sz w:val="18"/>
                <w:szCs w:val="20"/>
                <w:lang w:val="zh-CN"/>
              </w:rPr>
              <w:t>(m)</w:t>
            </w:r>
          </w:p>
        </w:tc>
        <w:tc>
          <w:tcPr>
            <w:tcW w:w="521" w:type="pct"/>
          </w:tcPr>
          <w:p w14:paraId="7FA4AF6E">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终点</w:t>
            </w:r>
            <w:r>
              <w:rPr>
                <w:rFonts w:cs="Times New Roman"/>
                <w:kern w:val="0"/>
                <w:sz w:val="18"/>
                <w:szCs w:val="20"/>
                <w:lang w:val="zh-CN"/>
              </w:rPr>
              <w:t>(m)</w:t>
            </w:r>
          </w:p>
        </w:tc>
        <w:tc>
          <w:tcPr>
            <w:tcW w:w="645" w:type="pct"/>
          </w:tcPr>
          <w:p w14:paraId="6BEB12FB">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w:t>
            </w:r>
            <w:r>
              <w:rPr>
                <w:rFonts w:cs="Times New Roman"/>
                <w:kern w:val="0"/>
                <w:sz w:val="18"/>
                <w:szCs w:val="20"/>
                <w:lang w:val="zh-CN"/>
              </w:rPr>
              <w:t>(m)</w:t>
            </w:r>
          </w:p>
        </w:tc>
        <w:tc>
          <w:tcPr>
            <w:tcW w:w="837" w:type="pct"/>
          </w:tcPr>
          <w:p w14:paraId="3444297C">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最大半宽对应</w:t>
            </w:r>
            <w:r>
              <w:rPr>
                <w:rFonts w:cs="Times New Roman"/>
                <w:kern w:val="0"/>
                <w:sz w:val="18"/>
                <w:szCs w:val="20"/>
                <w:lang w:val="zh-CN"/>
              </w:rPr>
              <w:t>X(m)</w:t>
            </w:r>
          </w:p>
        </w:tc>
      </w:tr>
      <w:tr w14:paraId="75B09B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tcPr>
          <w:p w14:paraId="11FF056B">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rPr>
              <w:t>最常见</w:t>
            </w:r>
            <w:r>
              <w:rPr>
                <w:rFonts w:cs="Times New Roman"/>
                <w:kern w:val="0"/>
                <w:sz w:val="18"/>
                <w:szCs w:val="20"/>
              </w:rPr>
              <w:t>气象</w:t>
            </w:r>
            <w:r>
              <w:rPr>
                <w:rFonts w:hint="eastAsia" w:cs="Times New Roman"/>
                <w:kern w:val="0"/>
                <w:sz w:val="18"/>
                <w:szCs w:val="20"/>
              </w:rPr>
              <w:t>条件D</w:t>
            </w:r>
          </w:p>
        </w:tc>
        <w:tc>
          <w:tcPr>
            <w:tcW w:w="1070" w:type="pct"/>
          </w:tcPr>
          <w:p w14:paraId="7F7F8819">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tcPr>
          <w:p w14:paraId="5A952A0E">
            <w:pPr>
              <w:widowControl/>
              <w:spacing w:line="360" w:lineRule="exact"/>
              <w:ind w:firstLine="0" w:firstLineChars="0"/>
              <w:jc w:val="center"/>
              <w:rPr>
                <w:rFonts w:cs="Times New Roman"/>
                <w:kern w:val="0"/>
                <w:sz w:val="18"/>
                <w:szCs w:val="20"/>
              </w:rPr>
            </w:pPr>
            <w:r>
              <w:rPr>
                <w:rFonts w:cs="Times New Roman"/>
                <w:kern w:val="0"/>
                <w:sz w:val="18"/>
                <w:szCs w:val="20"/>
              </w:rPr>
              <w:t>33</w:t>
            </w:r>
          </w:p>
        </w:tc>
        <w:tc>
          <w:tcPr>
            <w:tcW w:w="520" w:type="pct"/>
          </w:tcPr>
          <w:p w14:paraId="277B4868">
            <w:pPr>
              <w:widowControl/>
              <w:spacing w:line="360" w:lineRule="exact"/>
              <w:ind w:firstLine="0" w:firstLineChars="0"/>
              <w:jc w:val="center"/>
              <w:rPr>
                <w:rFonts w:cs="Times New Roman"/>
                <w:kern w:val="0"/>
                <w:sz w:val="18"/>
                <w:szCs w:val="20"/>
              </w:rPr>
            </w:pPr>
            <w:r>
              <w:rPr>
                <w:rFonts w:hint="eastAsia" w:cs="Times New Roman"/>
                <w:kern w:val="0"/>
                <w:sz w:val="18"/>
                <w:szCs w:val="20"/>
              </w:rPr>
              <w:t>10</w:t>
            </w:r>
          </w:p>
        </w:tc>
        <w:tc>
          <w:tcPr>
            <w:tcW w:w="521" w:type="pct"/>
          </w:tcPr>
          <w:p w14:paraId="3F959825">
            <w:pPr>
              <w:widowControl/>
              <w:spacing w:line="360" w:lineRule="exact"/>
              <w:ind w:firstLine="0" w:firstLineChars="0"/>
              <w:jc w:val="center"/>
              <w:rPr>
                <w:rFonts w:cs="Times New Roman"/>
                <w:kern w:val="0"/>
                <w:sz w:val="18"/>
                <w:szCs w:val="20"/>
              </w:rPr>
            </w:pPr>
            <w:r>
              <w:rPr>
                <w:rFonts w:hint="eastAsia" w:cs="Times New Roman"/>
                <w:kern w:val="0"/>
                <w:sz w:val="18"/>
                <w:szCs w:val="20"/>
              </w:rPr>
              <w:t>330</w:t>
            </w:r>
          </w:p>
        </w:tc>
        <w:tc>
          <w:tcPr>
            <w:tcW w:w="645" w:type="pct"/>
          </w:tcPr>
          <w:p w14:paraId="68FA9F87">
            <w:pPr>
              <w:widowControl/>
              <w:spacing w:line="360" w:lineRule="exact"/>
              <w:ind w:firstLine="0" w:firstLineChars="0"/>
              <w:jc w:val="center"/>
              <w:rPr>
                <w:rFonts w:cs="Times New Roman"/>
                <w:kern w:val="0"/>
                <w:sz w:val="18"/>
                <w:szCs w:val="20"/>
              </w:rPr>
            </w:pPr>
            <w:r>
              <w:rPr>
                <w:rFonts w:hint="eastAsia" w:cs="Times New Roman"/>
                <w:kern w:val="0"/>
                <w:sz w:val="18"/>
                <w:szCs w:val="20"/>
              </w:rPr>
              <w:t>20</w:t>
            </w:r>
          </w:p>
        </w:tc>
        <w:tc>
          <w:tcPr>
            <w:tcW w:w="837" w:type="pct"/>
          </w:tcPr>
          <w:p w14:paraId="71C6E0F2">
            <w:pPr>
              <w:widowControl/>
              <w:spacing w:line="360" w:lineRule="exact"/>
              <w:ind w:firstLine="0" w:firstLineChars="0"/>
              <w:jc w:val="center"/>
              <w:rPr>
                <w:rFonts w:cs="Times New Roman"/>
                <w:kern w:val="0"/>
                <w:sz w:val="18"/>
                <w:szCs w:val="20"/>
              </w:rPr>
            </w:pPr>
            <w:r>
              <w:rPr>
                <w:rFonts w:hint="eastAsia" w:cs="Times New Roman"/>
                <w:kern w:val="0"/>
                <w:sz w:val="18"/>
                <w:szCs w:val="20"/>
              </w:rPr>
              <w:t>160</w:t>
            </w:r>
          </w:p>
        </w:tc>
      </w:tr>
      <w:tr w14:paraId="4ED17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tcPr>
          <w:p w14:paraId="133BF42B">
            <w:pPr>
              <w:widowControl/>
              <w:spacing w:line="360" w:lineRule="exact"/>
              <w:ind w:firstLine="0" w:firstLineChars="0"/>
              <w:jc w:val="center"/>
              <w:rPr>
                <w:rFonts w:cs="Times New Roman"/>
                <w:kern w:val="0"/>
                <w:sz w:val="18"/>
                <w:szCs w:val="20"/>
                <w:lang w:val="en-GB"/>
              </w:rPr>
            </w:pPr>
          </w:p>
        </w:tc>
        <w:tc>
          <w:tcPr>
            <w:tcW w:w="1070" w:type="pct"/>
          </w:tcPr>
          <w:p w14:paraId="7E12CB7E">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tcPr>
          <w:p w14:paraId="3215919E">
            <w:pPr>
              <w:widowControl/>
              <w:spacing w:line="360" w:lineRule="exact"/>
              <w:ind w:firstLine="0" w:firstLineChars="0"/>
              <w:jc w:val="center"/>
              <w:rPr>
                <w:rFonts w:cs="Times New Roman"/>
                <w:kern w:val="0"/>
                <w:sz w:val="18"/>
                <w:szCs w:val="20"/>
              </w:rPr>
            </w:pPr>
            <w:r>
              <w:rPr>
                <w:rFonts w:cs="Times New Roman"/>
                <w:kern w:val="0"/>
                <w:sz w:val="18"/>
                <w:szCs w:val="20"/>
              </w:rPr>
              <w:t>150</w:t>
            </w:r>
          </w:p>
        </w:tc>
        <w:tc>
          <w:tcPr>
            <w:tcW w:w="520" w:type="pct"/>
          </w:tcPr>
          <w:p w14:paraId="33BCD043">
            <w:pPr>
              <w:pStyle w:val="445"/>
              <w:rPr>
                <w:rFonts w:cs="Times New Roman"/>
                <w:kern w:val="0"/>
                <w:szCs w:val="20"/>
                <w:lang w:val="zh-CN"/>
              </w:rPr>
            </w:pPr>
            <w:r>
              <w:rPr>
                <w:rFonts w:hint="eastAsia" w:cs="Times New Roman"/>
                <w:kern w:val="0"/>
                <w:szCs w:val="20"/>
                <w:lang w:val="zh-CN"/>
              </w:rPr>
              <w:t>10</w:t>
            </w:r>
          </w:p>
        </w:tc>
        <w:tc>
          <w:tcPr>
            <w:tcW w:w="521" w:type="pct"/>
          </w:tcPr>
          <w:p w14:paraId="6D8E7B12">
            <w:pPr>
              <w:pStyle w:val="445"/>
              <w:rPr>
                <w:rFonts w:cs="Times New Roman"/>
                <w:kern w:val="0"/>
                <w:szCs w:val="20"/>
                <w:lang w:val="zh-CN"/>
              </w:rPr>
            </w:pPr>
            <w:r>
              <w:rPr>
                <w:rFonts w:hint="eastAsia" w:cs="Times New Roman"/>
                <w:kern w:val="0"/>
                <w:szCs w:val="20"/>
                <w:lang w:val="zh-CN"/>
              </w:rPr>
              <w:t>140</w:t>
            </w:r>
          </w:p>
        </w:tc>
        <w:tc>
          <w:tcPr>
            <w:tcW w:w="645" w:type="pct"/>
          </w:tcPr>
          <w:p w14:paraId="0E144E7D">
            <w:pPr>
              <w:pStyle w:val="445"/>
              <w:rPr>
                <w:rFonts w:cs="Times New Roman"/>
                <w:kern w:val="0"/>
                <w:szCs w:val="20"/>
                <w:lang w:val="zh-CN"/>
              </w:rPr>
            </w:pPr>
            <w:r>
              <w:rPr>
                <w:rFonts w:hint="eastAsia" w:cs="Times New Roman"/>
                <w:kern w:val="0"/>
                <w:szCs w:val="20"/>
                <w:lang w:val="zh-CN"/>
              </w:rPr>
              <w:t>8</w:t>
            </w:r>
          </w:p>
        </w:tc>
        <w:tc>
          <w:tcPr>
            <w:tcW w:w="837" w:type="pct"/>
          </w:tcPr>
          <w:p w14:paraId="00802328">
            <w:pPr>
              <w:pStyle w:val="445"/>
              <w:rPr>
                <w:rFonts w:cs="Times New Roman"/>
                <w:kern w:val="0"/>
                <w:szCs w:val="20"/>
                <w:lang w:val="zh-CN"/>
              </w:rPr>
            </w:pPr>
            <w:r>
              <w:rPr>
                <w:rFonts w:hint="eastAsia" w:cs="Times New Roman"/>
                <w:kern w:val="0"/>
                <w:szCs w:val="20"/>
                <w:lang w:val="zh-CN"/>
              </w:rPr>
              <w:t>60</w:t>
            </w:r>
          </w:p>
        </w:tc>
      </w:tr>
      <w:tr w14:paraId="2CC2A9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tcPr>
          <w:p w14:paraId="54DB4AB3">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en-GB"/>
              </w:rPr>
              <w:t>最不利气象条件</w:t>
            </w:r>
            <w:r>
              <w:rPr>
                <w:rFonts w:cs="Times New Roman"/>
                <w:kern w:val="0"/>
                <w:sz w:val="18"/>
                <w:szCs w:val="20"/>
                <w:lang w:val="en-GB"/>
              </w:rPr>
              <w:t>F</w:t>
            </w:r>
          </w:p>
        </w:tc>
        <w:tc>
          <w:tcPr>
            <w:tcW w:w="1070" w:type="pct"/>
          </w:tcPr>
          <w:p w14:paraId="7BCD8606">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tcPr>
          <w:p w14:paraId="169B7B95">
            <w:pPr>
              <w:widowControl/>
              <w:spacing w:line="360" w:lineRule="exact"/>
              <w:ind w:firstLine="0" w:firstLineChars="0"/>
              <w:jc w:val="center"/>
              <w:rPr>
                <w:rFonts w:cs="Times New Roman"/>
                <w:kern w:val="0"/>
                <w:sz w:val="18"/>
                <w:szCs w:val="20"/>
              </w:rPr>
            </w:pPr>
            <w:r>
              <w:rPr>
                <w:rFonts w:cs="Times New Roman"/>
                <w:kern w:val="0"/>
                <w:sz w:val="18"/>
                <w:szCs w:val="20"/>
              </w:rPr>
              <w:t>33</w:t>
            </w:r>
          </w:p>
        </w:tc>
        <w:tc>
          <w:tcPr>
            <w:tcW w:w="520" w:type="pct"/>
          </w:tcPr>
          <w:p w14:paraId="65E0D014">
            <w:pPr>
              <w:widowControl/>
              <w:spacing w:line="360" w:lineRule="exact"/>
              <w:ind w:firstLine="0" w:firstLineChars="0"/>
              <w:jc w:val="center"/>
              <w:rPr>
                <w:rFonts w:cs="Times New Roman"/>
                <w:kern w:val="0"/>
                <w:sz w:val="18"/>
                <w:szCs w:val="20"/>
              </w:rPr>
            </w:pPr>
            <w:r>
              <w:rPr>
                <w:rFonts w:hint="eastAsia" w:cs="Times New Roman"/>
                <w:kern w:val="0"/>
                <w:sz w:val="18"/>
                <w:szCs w:val="20"/>
              </w:rPr>
              <w:t>20</w:t>
            </w:r>
          </w:p>
        </w:tc>
        <w:tc>
          <w:tcPr>
            <w:tcW w:w="521" w:type="pct"/>
          </w:tcPr>
          <w:p w14:paraId="7C9B7E02">
            <w:pPr>
              <w:widowControl/>
              <w:spacing w:line="360" w:lineRule="exact"/>
              <w:ind w:firstLine="0" w:firstLineChars="0"/>
              <w:jc w:val="center"/>
              <w:rPr>
                <w:rFonts w:cs="Times New Roman"/>
                <w:kern w:val="0"/>
                <w:sz w:val="18"/>
                <w:szCs w:val="20"/>
              </w:rPr>
            </w:pPr>
            <w:r>
              <w:rPr>
                <w:rFonts w:hint="eastAsia" w:cs="Times New Roman"/>
                <w:kern w:val="0"/>
                <w:sz w:val="18"/>
                <w:szCs w:val="20"/>
              </w:rPr>
              <w:t>1320</w:t>
            </w:r>
          </w:p>
        </w:tc>
        <w:tc>
          <w:tcPr>
            <w:tcW w:w="645" w:type="pct"/>
          </w:tcPr>
          <w:p w14:paraId="743DFE65">
            <w:pPr>
              <w:widowControl/>
              <w:spacing w:line="360" w:lineRule="exact"/>
              <w:ind w:firstLine="0" w:firstLineChars="0"/>
              <w:jc w:val="center"/>
              <w:rPr>
                <w:rFonts w:cs="Times New Roman"/>
                <w:kern w:val="0"/>
                <w:sz w:val="18"/>
                <w:szCs w:val="20"/>
              </w:rPr>
            </w:pPr>
            <w:r>
              <w:rPr>
                <w:rFonts w:hint="eastAsia" w:cs="Times New Roman"/>
                <w:kern w:val="0"/>
                <w:sz w:val="18"/>
                <w:szCs w:val="20"/>
              </w:rPr>
              <w:t>88</w:t>
            </w:r>
          </w:p>
        </w:tc>
        <w:tc>
          <w:tcPr>
            <w:tcW w:w="837" w:type="pct"/>
          </w:tcPr>
          <w:p w14:paraId="095569A6">
            <w:pPr>
              <w:widowControl/>
              <w:spacing w:line="360" w:lineRule="exact"/>
              <w:ind w:firstLine="0" w:firstLineChars="0"/>
              <w:jc w:val="center"/>
              <w:rPr>
                <w:rFonts w:cs="Times New Roman"/>
                <w:kern w:val="0"/>
                <w:sz w:val="18"/>
                <w:szCs w:val="20"/>
              </w:rPr>
            </w:pPr>
            <w:r>
              <w:rPr>
                <w:rFonts w:hint="eastAsia" w:cs="Times New Roman"/>
                <w:kern w:val="0"/>
                <w:sz w:val="18"/>
                <w:szCs w:val="20"/>
              </w:rPr>
              <w:t>860</w:t>
            </w:r>
          </w:p>
        </w:tc>
      </w:tr>
      <w:tr w14:paraId="29E61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tcPr>
          <w:p w14:paraId="42F2FC74">
            <w:pPr>
              <w:widowControl/>
              <w:spacing w:line="360" w:lineRule="exact"/>
              <w:ind w:firstLine="0" w:firstLineChars="0"/>
              <w:jc w:val="center"/>
              <w:rPr>
                <w:rFonts w:cs="Times New Roman"/>
                <w:kern w:val="0"/>
                <w:sz w:val="18"/>
                <w:szCs w:val="20"/>
                <w:lang w:val="en-GB"/>
              </w:rPr>
            </w:pPr>
          </w:p>
        </w:tc>
        <w:tc>
          <w:tcPr>
            <w:tcW w:w="1070" w:type="pct"/>
          </w:tcPr>
          <w:p w14:paraId="7ECBBBFD">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tcPr>
          <w:p w14:paraId="68F7CE8C">
            <w:pPr>
              <w:widowControl/>
              <w:spacing w:line="360" w:lineRule="exact"/>
              <w:ind w:firstLine="0" w:firstLineChars="0"/>
              <w:jc w:val="center"/>
              <w:rPr>
                <w:rFonts w:cs="Times New Roman"/>
                <w:kern w:val="0"/>
                <w:sz w:val="18"/>
                <w:szCs w:val="20"/>
              </w:rPr>
            </w:pPr>
            <w:r>
              <w:rPr>
                <w:rFonts w:cs="Times New Roman"/>
                <w:kern w:val="0"/>
                <w:sz w:val="18"/>
                <w:szCs w:val="20"/>
              </w:rPr>
              <w:t>150</w:t>
            </w:r>
          </w:p>
        </w:tc>
        <w:tc>
          <w:tcPr>
            <w:tcW w:w="520" w:type="pct"/>
          </w:tcPr>
          <w:p w14:paraId="05BBB198">
            <w:pPr>
              <w:widowControl/>
              <w:spacing w:line="360" w:lineRule="exact"/>
              <w:ind w:firstLine="0" w:firstLineChars="0"/>
              <w:jc w:val="center"/>
              <w:rPr>
                <w:rFonts w:cs="Times New Roman"/>
                <w:kern w:val="0"/>
                <w:sz w:val="18"/>
                <w:szCs w:val="20"/>
              </w:rPr>
            </w:pPr>
            <w:r>
              <w:rPr>
                <w:rFonts w:hint="eastAsia" w:cs="Times New Roman"/>
                <w:kern w:val="0"/>
                <w:sz w:val="18"/>
                <w:szCs w:val="20"/>
              </w:rPr>
              <w:t>3</w:t>
            </w:r>
            <w:r>
              <w:rPr>
                <w:rFonts w:cs="Times New Roman"/>
                <w:kern w:val="0"/>
                <w:sz w:val="18"/>
                <w:szCs w:val="20"/>
              </w:rPr>
              <w:t>0</w:t>
            </w:r>
          </w:p>
        </w:tc>
        <w:tc>
          <w:tcPr>
            <w:tcW w:w="521" w:type="pct"/>
          </w:tcPr>
          <w:p w14:paraId="0C98DACE">
            <w:pPr>
              <w:widowControl/>
              <w:spacing w:line="360" w:lineRule="exact"/>
              <w:ind w:firstLine="0" w:firstLineChars="0"/>
              <w:jc w:val="center"/>
              <w:rPr>
                <w:rFonts w:cs="Times New Roman"/>
                <w:kern w:val="0"/>
                <w:sz w:val="18"/>
                <w:szCs w:val="20"/>
              </w:rPr>
            </w:pPr>
            <w:r>
              <w:rPr>
                <w:rFonts w:hint="eastAsia" w:cs="Times New Roman"/>
                <w:kern w:val="0"/>
                <w:sz w:val="18"/>
                <w:szCs w:val="20"/>
              </w:rPr>
              <w:t>528</w:t>
            </w:r>
          </w:p>
        </w:tc>
        <w:tc>
          <w:tcPr>
            <w:tcW w:w="645" w:type="pct"/>
          </w:tcPr>
          <w:p w14:paraId="5F0EC85B">
            <w:pPr>
              <w:widowControl/>
              <w:spacing w:line="360" w:lineRule="exact"/>
              <w:ind w:firstLine="0" w:firstLineChars="0"/>
              <w:jc w:val="center"/>
              <w:rPr>
                <w:rFonts w:cs="Times New Roman"/>
                <w:kern w:val="0"/>
                <w:sz w:val="18"/>
                <w:szCs w:val="20"/>
              </w:rPr>
            </w:pPr>
            <w:r>
              <w:rPr>
                <w:rFonts w:hint="eastAsia" w:cs="Times New Roman"/>
                <w:kern w:val="0"/>
                <w:sz w:val="18"/>
                <w:szCs w:val="20"/>
              </w:rPr>
              <w:t>44</w:t>
            </w:r>
          </w:p>
        </w:tc>
        <w:tc>
          <w:tcPr>
            <w:tcW w:w="837" w:type="pct"/>
          </w:tcPr>
          <w:p w14:paraId="55293BC0">
            <w:pPr>
              <w:widowControl/>
              <w:spacing w:line="360" w:lineRule="exact"/>
              <w:ind w:firstLine="0" w:firstLineChars="0"/>
              <w:jc w:val="center"/>
              <w:rPr>
                <w:rFonts w:cs="Times New Roman"/>
                <w:kern w:val="0"/>
                <w:sz w:val="18"/>
                <w:szCs w:val="20"/>
              </w:rPr>
            </w:pPr>
            <w:r>
              <w:rPr>
                <w:rFonts w:hint="eastAsia" w:cs="Times New Roman"/>
                <w:kern w:val="0"/>
                <w:sz w:val="18"/>
                <w:szCs w:val="20"/>
              </w:rPr>
              <w:t>410</w:t>
            </w:r>
          </w:p>
        </w:tc>
      </w:tr>
    </w:tbl>
    <w:p w14:paraId="7ADE7C1C">
      <w:pPr>
        <w:ind w:firstLine="480"/>
      </w:pPr>
    </w:p>
    <w:p w14:paraId="444C31F0">
      <w:pPr>
        <w:ind w:firstLine="0" w:firstLineChars="0"/>
        <w:jc w:val="center"/>
      </w:pPr>
      <w:r>
        <w:drawing>
          <wp:inline distT="0" distB="0" distL="0" distR="0">
            <wp:extent cx="4838065" cy="3949065"/>
            <wp:effectExtent l="0" t="0" r="635"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图片 739"/>
                    <pic:cNvPicPr>
                      <a:picLocks noChangeAspect="1"/>
                    </pic:cNvPicPr>
                  </pic:nvPicPr>
                  <pic:blipFill>
                    <a:blip r:embed="rId113"/>
                    <a:stretch>
                      <a:fillRect/>
                    </a:stretch>
                  </pic:blipFill>
                  <pic:spPr>
                    <a:xfrm>
                      <a:off x="0" y="0"/>
                      <a:ext cx="4838400" cy="3949200"/>
                    </a:xfrm>
                    <a:prstGeom prst="rect">
                      <a:avLst/>
                    </a:prstGeom>
                  </pic:spPr>
                </pic:pic>
              </a:graphicData>
            </a:graphic>
          </wp:inline>
        </w:drawing>
      </w:r>
    </w:p>
    <w:p w14:paraId="3A249017">
      <w:pPr>
        <w:spacing w:line="500" w:lineRule="exact"/>
        <w:ind w:firstLine="0" w:firstLineChars="0"/>
        <w:jc w:val="center"/>
        <w:rPr>
          <w:rFonts w:eastAsia="黑体"/>
        </w:rPr>
      </w:pPr>
      <w:r>
        <w:rPr>
          <w:rFonts w:hint="eastAsia" w:eastAsia="黑体"/>
        </w:rPr>
        <w:t>图5.6.</w:t>
      </w:r>
      <w:r>
        <w:rPr>
          <w:rFonts w:eastAsia="黑体"/>
        </w:rPr>
        <w:t>7-3  D</w:t>
      </w:r>
      <w:r>
        <w:rPr>
          <w:rFonts w:hint="eastAsia" w:eastAsia="黑体"/>
        </w:rPr>
        <w:t>稳定度氯化氢</w:t>
      </w:r>
      <w:r>
        <w:rPr>
          <w:rFonts w:eastAsia="黑体"/>
        </w:rPr>
        <w:t>最大</w:t>
      </w:r>
      <w:r>
        <w:rPr>
          <w:rFonts w:hint="eastAsia" w:eastAsia="黑体"/>
        </w:rPr>
        <w:t>影响区域</w:t>
      </w:r>
      <w:r>
        <w:rPr>
          <w:rFonts w:eastAsia="黑体"/>
        </w:rPr>
        <w:t>图</w:t>
      </w:r>
    </w:p>
    <w:p w14:paraId="27B89C45">
      <w:pPr>
        <w:ind w:firstLine="0" w:firstLineChars="0"/>
        <w:jc w:val="center"/>
      </w:pPr>
      <w:r>
        <w:drawing>
          <wp:inline distT="0" distB="0" distL="0" distR="0">
            <wp:extent cx="4838065" cy="3949065"/>
            <wp:effectExtent l="0" t="0" r="635"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图片 738"/>
                    <pic:cNvPicPr>
                      <a:picLocks noChangeAspect="1"/>
                    </pic:cNvPicPr>
                  </pic:nvPicPr>
                  <pic:blipFill>
                    <a:blip r:embed="rId114"/>
                    <a:stretch>
                      <a:fillRect/>
                    </a:stretch>
                  </pic:blipFill>
                  <pic:spPr>
                    <a:xfrm>
                      <a:off x="0" y="0"/>
                      <a:ext cx="4838400" cy="3949200"/>
                    </a:xfrm>
                    <a:prstGeom prst="rect">
                      <a:avLst/>
                    </a:prstGeom>
                  </pic:spPr>
                </pic:pic>
              </a:graphicData>
            </a:graphic>
          </wp:inline>
        </w:drawing>
      </w:r>
    </w:p>
    <w:p w14:paraId="704FDBB4">
      <w:pPr>
        <w:spacing w:line="500" w:lineRule="exact"/>
        <w:ind w:firstLine="0" w:firstLineChars="0"/>
        <w:jc w:val="center"/>
        <w:rPr>
          <w:rFonts w:eastAsia="黑体"/>
        </w:rPr>
      </w:pPr>
      <w:r>
        <w:rPr>
          <w:rFonts w:hint="eastAsia" w:eastAsia="黑体"/>
        </w:rPr>
        <w:t>图5.6.</w:t>
      </w:r>
      <w:r>
        <w:rPr>
          <w:rFonts w:eastAsia="黑体"/>
        </w:rPr>
        <w:t>7-4  F</w:t>
      </w:r>
      <w:r>
        <w:rPr>
          <w:rFonts w:hint="eastAsia" w:eastAsia="黑体"/>
        </w:rPr>
        <w:t>稳定度氯化氢</w:t>
      </w:r>
      <w:r>
        <w:rPr>
          <w:rFonts w:eastAsia="黑体"/>
        </w:rPr>
        <w:t>最大</w:t>
      </w:r>
      <w:r>
        <w:rPr>
          <w:rFonts w:hint="eastAsia" w:eastAsia="黑体"/>
        </w:rPr>
        <w:t>影响区域</w:t>
      </w:r>
      <w:r>
        <w:rPr>
          <w:rFonts w:eastAsia="黑体"/>
        </w:rPr>
        <w:t>图</w:t>
      </w:r>
    </w:p>
    <w:p w14:paraId="42AC8406">
      <w:pPr>
        <w:ind w:firstLine="480"/>
      </w:pPr>
      <w:r>
        <w:rPr>
          <w:rFonts w:hint="eastAsia"/>
        </w:rPr>
        <w:t>由表5.6.</w:t>
      </w:r>
      <w:r>
        <w:t>7-4</w:t>
      </w:r>
      <w:r>
        <w:rPr>
          <w:rFonts w:hint="eastAsia"/>
        </w:rPr>
        <w:t>及</w:t>
      </w:r>
      <w:r>
        <w:t>图</w:t>
      </w:r>
      <w:r>
        <w:rPr>
          <w:rFonts w:hint="eastAsia"/>
        </w:rPr>
        <w:t>5.6.</w:t>
      </w:r>
      <w:r>
        <w:t>7-3~4</w:t>
      </w:r>
      <w:r>
        <w:rPr>
          <w:rFonts w:hint="eastAsia"/>
        </w:rPr>
        <w:t>可知：</w:t>
      </w:r>
    </w:p>
    <w:p w14:paraId="6F51A8ED">
      <w:pPr>
        <w:ind w:firstLine="480"/>
      </w:pPr>
      <w:r>
        <w:rPr>
          <w:rFonts w:hint="eastAsia" w:cs="Times New Roman"/>
        </w:rPr>
        <w:t>在</w:t>
      </w:r>
      <w:r>
        <w:rPr>
          <w:rFonts w:cs="Times New Roman"/>
        </w:rPr>
        <w:t>D稳定度下，</w:t>
      </w:r>
      <w:r>
        <w:rPr>
          <w:rFonts w:hint="eastAsia"/>
        </w:rPr>
        <w:t>氯化氢钢瓶</w:t>
      </w:r>
      <w:r>
        <w:t>泄漏事故</w:t>
      </w:r>
      <w:r>
        <w:rPr>
          <w:rFonts w:hint="eastAsia" w:cs="Times New Roman"/>
        </w:rPr>
        <w:t>产生</w:t>
      </w:r>
      <w:r>
        <w:rPr>
          <w:rFonts w:cs="Times New Roman"/>
        </w:rPr>
        <w:t>的</w:t>
      </w:r>
      <w:r>
        <w:rPr>
          <w:rFonts w:hint="eastAsia" w:cs="Times New Roman"/>
        </w:rPr>
        <w:t>氯化氢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氯化氢钢瓶</w:t>
      </w:r>
      <w:r>
        <w:rPr>
          <w:rFonts w:cs="Times New Roman"/>
        </w:rPr>
        <w:t>下风向330m</w:t>
      </w:r>
      <w:r>
        <w:rPr>
          <w:rFonts w:hint="eastAsia" w:cs="Times New Roman"/>
        </w:rPr>
        <w:t>（超</w:t>
      </w:r>
      <w:r>
        <w:rPr>
          <w:rFonts w:cs="Times New Roman"/>
        </w:rPr>
        <w:t>厂界</w:t>
      </w:r>
      <w:r>
        <w:rPr>
          <w:rFonts w:hint="eastAsia" w:cs="Times New Roman"/>
        </w:rPr>
        <w:t>外</w:t>
      </w:r>
      <w:r>
        <w:rPr>
          <w:rFonts w:cs="Times New Roman"/>
        </w:rPr>
        <w:t>290m</w:t>
      </w:r>
      <w:r>
        <w:rPr>
          <w:rFonts w:hint="eastAsia" w:cs="Times New Roman"/>
        </w:rPr>
        <w:t>）；</w:t>
      </w:r>
      <w:r>
        <w:rPr>
          <w:rFonts w:hint="eastAsia"/>
        </w:rPr>
        <w:t>达到</w:t>
      </w:r>
      <w:r>
        <w:t>毒性终点浓度</w:t>
      </w:r>
      <w:r>
        <w:rPr>
          <w:rFonts w:hint="eastAsia"/>
        </w:rPr>
        <w:t>-</w:t>
      </w:r>
      <w:r>
        <w:t>1</w:t>
      </w:r>
      <w:r>
        <w:rPr>
          <w:rFonts w:hint="eastAsia"/>
        </w:rPr>
        <w:t>最大出现距离为氯化氢钢瓶</w:t>
      </w:r>
      <w:r>
        <w:t>下风向140m（</w:t>
      </w:r>
      <w:r>
        <w:rPr>
          <w:rFonts w:hint="eastAsia"/>
        </w:rPr>
        <w:t>超厂界外</w:t>
      </w:r>
      <w:r>
        <w:t>100m）</w:t>
      </w:r>
      <w:r>
        <w:rPr>
          <w:rFonts w:hint="eastAsia"/>
        </w:rPr>
        <w:t>。</w:t>
      </w:r>
    </w:p>
    <w:p w14:paraId="2ACA88A1">
      <w:pPr>
        <w:ind w:firstLine="480"/>
      </w:pPr>
      <w:r>
        <w:rPr>
          <w:rFonts w:hint="eastAsia" w:cs="Times New Roman"/>
        </w:rPr>
        <w:t>在</w:t>
      </w:r>
      <w:r>
        <w:rPr>
          <w:rFonts w:cs="Times New Roman"/>
        </w:rPr>
        <w:t>F稳定度下，</w:t>
      </w:r>
      <w:r>
        <w:rPr>
          <w:rFonts w:hint="eastAsia"/>
        </w:rPr>
        <w:t>氯化氢钢瓶</w:t>
      </w:r>
      <w:r>
        <w:t>泄漏事故</w:t>
      </w:r>
      <w:r>
        <w:rPr>
          <w:rFonts w:hint="eastAsia" w:cs="Times New Roman"/>
        </w:rPr>
        <w:t>产生</w:t>
      </w:r>
      <w:r>
        <w:rPr>
          <w:rFonts w:cs="Times New Roman"/>
        </w:rPr>
        <w:t>的</w:t>
      </w:r>
      <w:r>
        <w:rPr>
          <w:rFonts w:hint="eastAsia" w:cs="Times New Roman"/>
        </w:rPr>
        <w:t>氯化氢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氯化氢钢瓶</w:t>
      </w:r>
      <w:r>
        <w:rPr>
          <w:rFonts w:cs="Times New Roman"/>
        </w:rPr>
        <w:t>下风向1320m</w:t>
      </w:r>
      <w:r>
        <w:rPr>
          <w:rFonts w:hint="eastAsia" w:cs="Times New Roman"/>
        </w:rPr>
        <w:t>（超</w:t>
      </w:r>
      <w:r>
        <w:rPr>
          <w:rFonts w:cs="Times New Roman"/>
        </w:rPr>
        <w:t>厂界</w:t>
      </w:r>
      <w:r>
        <w:rPr>
          <w:rFonts w:hint="eastAsia" w:cs="Times New Roman"/>
        </w:rPr>
        <w:t>外</w:t>
      </w:r>
      <w:r>
        <w:rPr>
          <w:rFonts w:cs="Times New Roman"/>
        </w:rPr>
        <w:t>1280m</w:t>
      </w:r>
      <w:r>
        <w:rPr>
          <w:rFonts w:hint="eastAsia" w:cs="Times New Roman"/>
        </w:rPr>
        <w:t>）；</w:t>
      </w:r>
      <w:r>
        <w:rPr>
          <w:rFonts w:hint="eastAsia"/>
        </w:rPr>
        <w:t>达到</w:t>
      </w:r>
      <w:r>
        <w:t>毒性终点浓度</w:t>
      </w:r>
      <w:r>
        <w:rPr>
          <w:rFonts w:hint="eastAsia"/>
        </w:rPr>
        <w:t>-</w:t>
      </w:r>
      <w:r>
        <w:t>1</w:t>
      </w:r>
      <w:r>
        <w:rPr>
          <w:rFonts w:hint="eastAsia"/>
        </w:rPr>
        <w:t>最大出现距离为氯化氢钢瓶</w:t>
      </w:r>
      <w:r>
        <w:t>下风向528m（</w:t>
      </w:r>
      <w:r>
        <w:rPr>
          <w:rFonts w:hint="eastAsia"/>
        </w:rPr>
        <w:t>超厂界外</w:t>
      </w:r>
      <w:r>
        <w:t>488m）</w:t>
      </w:r>
      <w:r>
        <w:rPr>
          <w:rFonts w:hint="eastAsia"/>
        </w:rPr>
        <w:t>。</w:t>
      </w:r>
    </w:p>
    <w:p w14:paraId="1F29BA10">
      <w:pPr>
        <w:pStyle w:val="349"/>
        <w:rPr>
          <w:lang w:val="zh-CN"/>
        </w:rPr>
      </w:pPr>
      <w:r>
        <w:rPr>
          <w:rFonts w:hint="eastAsia"/>
          <w:lang w:val="zh-CN"/>
        </w:rPr>
        <w:t>5</w:t>
      </w:r>
      <w:r>
        <w:rPr>
          <w:lang w:val="zh-CN"/>
        </w:rPr>
        <w:t>.6.7.3</w:t>
      </w:r>
      <w:r>
        <w:rPr>
          <w:rFonts w:hint="eastAsia"/>
          <w:lang w:val="zh-CN"/>
        </w:rPr>
        <w:t>氢氟酸储罐泄漏事故污染影响</w:t>
      </w:r>
    </w:p>
    <w:p w14:paraId="6EE40895">
      <w:pPr>
        <w:ind w:firstLine="480"/>
      </w:pPr>
      <w:r>
        <w:rPr>
          <w:rFonts w:hint="eastAsia"/>
        </w:rPr>
        <w:t>根据污染物气体性质，采用理查德森数判断，确定氟化氢计算用</w:t>
      </w:r>
      <w:r>
        <w:rPr>
          <w:rFonts w:hint="eastAsia" w:cs="Times New Roman"/>
          <w:szCs w:val="24"/>
        </w:rPr>
        <w:t>S</w:t>
      </w:r>
      <w:r>
        <w:rPr>
          <w:rFonts w:cs="Times New Roman"/>
          <w:szCs w:val="24"/>
        </w:rPr>
        <w:t>LAB</w:t>
      </w:r>
      <w:r>
        <w:rPr>
          <w:rFonts w:hint="eastAsia"/>
        </w:rPr>
        <w:t>模型。</w:t>
      </w:r>
    </w:p>
    <w:p w14:paraId="3D2A39EF">
      <w:pPr>
        <w:ind w:firstLine="480"/>
        <w:rPr>
          <w:lang w:val="zh-CN"/>
        </w:rPr>
      </w:pPr>
      <w:r>
        <w:rPr>
          <w:rFonts w:hint="eastAsia"/>
        </w:rPr>
        <w:t>利用多烟团模式计算最常见</w:t>
      </w:r>
      <w:r>
        <w:t>气象</w:t>
      </w:r>
      <w:r>
        <w:rPr>
          <w:rFonts w:hint="eastAsia"/>
        </w:rPr>
        <w:t>条件</w:t>
      </w:r>
      <w:r>
        <w:t>下和</w:t>
      </w:r>
      <w:r>
        <w:rPr>
          <w:rFonts w:hint="eastAsia"/>
        </w:rPr>
        <w:t>最不利气象条件下，氢氟酸储罐泄漏产生氟化氢从泄漏开始</w:t>
      </w:r>
      <w:r>
        <w:t>30min</w:t>
      </w:r>
      <w:r>
        <w:rPr>
          <w:rFonts w:hint="eastAsia"/>
        </w:rPr>
        <w:t>的影响范围及最大落地浓度，本次预测时刻为</w:t>
      </w:r>
      <w:r>
        <w:t>5min</w:t>
      </w:r>
      <w:r>
        <w:rPr>
          <w:rFonts w:hint="eastAsia"/>
        </w:rPr>
        <w:t>、</w:t>
      </w:r>
      <w:r>
        <w:t>30min</w:t>
      </w:r>
      <w:r>
        <w:rPr>
          <w:rFonts w:hint="eastAsia"/>
        </w:rPr>
        <w:t>。预测事故排放污染物最常见</w:t>
      </w:r>
      <w:r>
        <w:t>气象</w:t>
      </w:r>
      <w:r>
        <w:rPr>
          <w:rFonts w:hint="eastAsia"/>
        </w:rPr>
        <w:t>条件</w:t>
      </w:r>
      <w:r>
        <w:t>下和</w:t>
      </w:r>
      <w:r>
        <w:rPr>
          <w:rFonts w:hint="eastAsia"/>
        </w:rPr>
        <w:t>最不利气象条件下的最大浓度值见表</w:t>
      </w:r>
      <w:r>
        <w:t>5.6.7-3</w:t>
      </w:r>
      <w:r>
        <w:rPr>
          <w:rFonts w:hint="eastAsia"/>
        </w:rPr>
        <w:t>。</w:t>
      </w:r>
    </w:p>
    <w:p w14:paraId="17FD5EC4">
      <w:pPr>
        <w:spacing w:line="500" w:lineRule="exact"/>
        <w:ind w:firstLine="0" w:firstLineChars="0"/>
        <w:jc w:val="center"/>
        <w:rPr>
          <w:rFonts w:eastAsia="黑体"/>
        </w:rPr>
      </w:pPr>
      <w:r>
        <w:rPr>
          <w:rFonts w:hint="eastAsia" w:eastAsia="黑体"/>
        </w:rPr>
        <w:t>表5.6.</w:t>
      </w:r>
      <w:r>
        <w:rPr>
          <w:rFonts w:eastAsia="黑体"/>
        </w:rPr>
        <w:t xml:space="preserve">7-5  </w:t>
      </w:r>
      <w:r>
        <w:rPr>
          <w:rFonts w:hint="eastAsia" w:eastAsia="黑体"/>
        </w:rPr>
        <w:t>D稳定度</w:t>
      </w:r>
      <w:r>
        <w:rPr>
          <w:rFonts w:eastAsia="黑体"/>
        </w:rPr>
        <w:t>和F稳定度</w:t>
      </w:r>
      <w:r>
        <w:rPr>
          <w:rFonts w:hint="eastAsia" w:eastAsia="黑体"/>
        </w:rPr>
        <w:t>下氟化氢</w:t>
      </w:r>
      <w:r>
        <w:rPr>
          <w:rFonts w:eastAsia="黑体"/>
        </w:rPr>
        <w:t>最大</w:t>
      </w:r>
      <w:r>
        <w:rPr>
          <w:rFonts w:hint="eastAsia" w:eastAsia="黑体"/>
        </w:rPr>
        <w:t>高峰</w:t>
      </w:r>
      <w:r>
        <w:rPr>
          <w:rFonts w:eastAsia="黑体"/>
        </w:rPr>
        <w:t>浓度</w:t>
      </w:r>
      <w:r>
        <w:rPr>
          <w:rFonts w:hint="eastAsia" w:eastAsia="黑体"/>
        </w:rPr>
        <w:t xml:space="preserve">  单位</w:t>
      </w:r>
      <w:r>
        <w:rPr>
          <w:rFonts w:eastAsia="黑体"/>
        </w:rPr>
        <w:t>：</w:t>
      </w:r>
      <w:r>
        <w:rPr>
          <w:rFonts w:hint="eastAsia" w:eastAsia="黑体"/>
        </w:rPr>
        <w:t>mg/m</w:t>
      </w:r>
      <w:r>
        <w:rPr>
          <w:rFonts w:hint="eastAsia" w:eastAsia="黑体"/>
          <w:vertAlign w:val="superscript"/>
        </w:rPr>
        <w:t>3</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3888"/>
        <w:gridCol w:w="3889"/>
      </w:tblGrid>
      <w:tr w14:paraId="6A6727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Merge w:val="restart"/>
            <w:vAlign w:val="center"/>
          </w:tcPr>
          <w:p w14:paraId="6E294FFB">
            <w:pPr>
              <w:pStyle w:val="445"/>
              <w:rPr>
                <w:rFonts w:cs="Times New Roman"/>
                <w:kern w:val="0"/>
                <w:szCs w:val="20"/>
              </w:rPr>
            </w:pPr>
            <w:r>
              <w:rPr>
                <w:rFonts w:hint="eastAsia" w:cs="Times New Roman"/>
                <w:kern w:val="0"/>
                <w:szCs w:val="20"/>
              </w:rPr>
              <w:t>距离</w:t>
            </w:r>
          </w:p>
        </w:tc>
        <w:tc>
          <w:tcPr>
            <w:tcW w:w="4207" w:type="pct"/>
            <w:gridSpan w:val="2"/>
            <w:vAlign w:val="center"/>
          </w:tcPr>
          <w:p w14:paraId="41EE34AA">
            <w:pPr>
              <w:pStyle w:val="445"/>
              <w:rPr>
                <w:rFonts w:cs="Times New Roman"/>
                <w:kern w:val="0"/>
                <w:szCs w:val="20"/>
              </w:rPr>
            </w:pPr>
            <w:r>
              <w:rPr>
                <w:rFonts w:hint="eastAsia" w:cs="Times New Roman"/>
                <w:kern w:val="0"/>
                <w:szCs w:val="20"/>
              </w:rPr>
              <w:t>氟化氢</w:t>
            </w:r>
          </w:p>
        </w:tc>
      </w:tr>
      <w:tr w14:paraId="13233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Merge w:val="continue"/>
            <w:vAlign w:val="center"/>
          </w:tcPr>
          <w:p w14:paraId="126595EF">
            <w:pPr>
              <w:pStyle w:val="445"/>
              <w:rPr>
                <w:rFonts w:cs="Times New Roman"/>
                <w:kern w:val="0"/>
                <w:szCs w:val="20"/>
              </w:rPr>
            </w:pPr>
          </w:p>
        </w:tc>
        <w:tc>
          <w:tcPr>
            <w:tcW w:w="2103" w:type="pct"/>
            <w:vAlign w:val="center"/>
          </w:tcPr>
          <w:p w14:paraId="5E35A466">
            <w:pPr>
              <w:pStyle w:val="445"/>
              <w:rPr>
                <w:rFonts w:cs="Times New Roman"/>
                <w:kern w:val="0"/>
                <w:szCs w:val="20"/>
              </w:rPr>
            </w:pPr>
            <w:r>
              <w:rPr>
                <w:rFonts w:hint="eastAsia" w:cs="Times New Roman"/>
                <w:kern w:val="0"/>
                <w:szCs w:val="20"/>
              </w:rPr>
              <w:t>最常见</w:t>
            </w:r>
            <w:r>
              <w:rPr>
                <w:rFonts w:cs="Times New Roman"/>
                <w:kern w:val="0"/>
                <w:szCs w:val="20"/>
              </w:rPr>
              <w:t>气象条件D</w:t>
            </w:r>
          </w:p>
        </w:tc>
        <w:tc>
          <w:tcPr>
            <w:tcW w:w="2104" w:type="pct"/>
            <w:vAlign w:val="center"/>
          </w:tcPr>
          <w:p w14:paraId="4AF0CE32">
            <w:pPr>
              <w:pStyle w:val="445"/>
              <w:rPr>
                <w:rFonts w:cs="Times New Roman"/>
                <w:kern w:val="0"/>
                <w:szCs w:val="20"/>
              </w:rPr>
            </w:pPr>
            <w:r>
              <w:rPr>
                <w:rFonts w:hint="eastAsia" w:cs="Times New Roman"/>
                <w:kern w:val="0"/>
                <w:szCs w:val="20"/>
              </w:rPr>
              <w:t>最不利气象条件F</w:t>
            </w:r>
          </w:p>
        </w:tc>
      </w:tr>
      <w:tr w14:paraId="6D66B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940DBAC">
            <w:pPr>
              <w:pStyle w:val="445"/>
              <w:rPr>
                <w:rFonts w:cs="Times New Roman"/>
                <w:kern w:val="0"/>
                <w:szCs w:val="20"/>
              </w:rPr>
            </w:pPr>
            <w:r>
              <w:rPr>
                <w:rFonts w:hint="eastAsia" w:cs="Times New Roman"/>
                <w:kern w:val="0"/>
                <w:szCs w:val="20"/>
              </w:rPr>
              <w:t>10</w:t>
            </w:r>
          </w:p>
        </w:tc>
        <w:tc>
          <w:tcPr>
            <w:tcW w:w="2103" w:type="pct"/>
            <w:vAlign w:val="center"/>
          </w:tcPr>
          <w:p w14:paraId="58382522">
            <w:pPr>
              <w:pStyle w:val="445"/>
              <w:rPr>
                <w:rFonts w:cs="Times New Roman"/>
                <w:kern w:val="0"/>
                <w:szCs w:val="20"/>
              </w:rPr>
            </w:pPr>
            <w:r>
              <w:rPr>
                <w:rFonts w:hint="eastAsia" w:cs="Times New Roman"/>
                <w:kern w:val="0"/>
                <w:szCs w:val="20"/>
              </w:rPr>
              <w:t>2.39E+02</w:t>
            </w:r>
          </w:p>
        </w:tc>
        <w:tc>
          <w:tcPr>
            <w:tcW w:w="2104" w:type="pct"/>
          </w:tcPr>
          <w:p w14:paraId="7CF56669">
            <w:pPr>
              <w:pStyle w:val="445"/>
              <w:rPr>
                <w:rFonts w:cs="Times New Roman"/>
                <w:kern w:val="0"/>
                <w:szCs w:val="20"/>
              </w:rPr>
            </w:pPr>
            <w:r>
              <w:rPr>
                <w:rFonts w:cs="Times New Roman"/>
                <w:kern w:val="0"/>
                <w:szCs w:val="20"/>
              </w:rPr>
              <w:t>2.57E+02</w:t>
            </w:r>
          </w:p>
        </w:tc>
      </w:tr>
      <w:tr w14:paraId="386EB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191D64B9">
            <w:pPr>
              <w:pStyle w:val="445"/>
              <w:rPr>
                <w:rFonts w:cs="Times New Roman"/>
                <w:kern w:val="0"/>
                <w:szCs w:val="20"/>
              </w:rPr>
            </w:pPr>
            <w:r>
              <w:rPr>
                <w:rFonts w:cs="Times New Roman"/>
                <w:kern w:val="0"/>
                <w:szCs w:val="20"/>
              </w:rPr>
              <w:t>20</w:t>
            </w:r>
          </w:p>
        </w:tc>
        <w:tc>
          <w:tcPr>
            <w:tcW w:w="2103" w:type="pct"/>
            <w:vAlign w:val="center"/>
          </w:tcPr>
          <w:p w14:paraId="17ADCC39">
            <w:pPr>
              <w:pStyle w:val="445"/>
              <w:rPr>
                <w:rFonts w:cs="Times New Roman"/>
                <w:kern w:val="0"/>
                <w:szCs w:val="20"/>
              </w:rPr>
            </w:pPr>
            <w:r>
              <w:rPr>
                <w:rFonts w:hint="eastAsia" w:cs="Times New Roman"/>
                <w:kern w:val="0"/>
                <w:szCs w:val="20"/>
              </w:rPr>
              <w:t>1.95E+02</w:t>
            </w:r>
          </w:p>
        </w:tc>
        <w:tc>
          <w:tcPr>
            <w:tcW w:w="2104" w:type="pct"/>
          </w:tcPr>
          <w:p w14:paraId="01807756">
            <w:pPr>
              <w:pStyle w:val="445"/>
              <w:rPr>
                <w:rFonts w:cs="Times New Roman"/>
                <w:kern w:val="0"/>
                <w:szCs w:val="20"/>
              </w:rPr>
            </w:pPr>
            <w:r>
              <w:rPr>
                <w:rFonts w:cs="Times New Roman"/>
                <w:kern w:val="0"/>
                <w:szCs w:val="20"/>
              </w:rPr>
              <w:t>1.86E+02</w:t>
            </w:r>
          </w:p>
        </w:tc>
      </w:tr>
      <w:tr w14:paraId="29D4E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0B3FF640">
            <w:pPr>
              <w:pStyle w:val="445"/>
              <w:rPr>
                <w:rFonts w:cs="Times New Roman"/>
                <w:kern w:val="0"/>
                <w:szCs w:val="20"/>
              </w:rPr>
            </w:pPr>
            <w:r>
              <w:rPr>
                <w:rFonts w:cs="Times New Roman"/>
                <w:kern w:val="0"/>
                <w:szCs w:val="20"/>
              </w:rPr>
              <w:t>30</w:t>
            </w:r>
          </w:p>
        </w:tc>
        <w:tc>
          <w:tcPr>
            <w:tcW w:w="2103" w:type="pct"/>
            <w:vAlign w:val="center"/>
          </w:tcPr>
          <w:p w14:paraId="2FD6A0DC">
            <w:pPr>
              <w:pStyle w:val="445"/>
              <w:rPr>
                <w:rFonts w:cs="Times New Roman"/>
                <w:kern w:val="0"/>
                <w:szCs w:val="20"/>
              </w:rPr>
            </w:pPr>
            <w:r>
              <w:rPr>
                <w:rFonts w:hint="eastAsia" w:cs="Times New Roman"/>
                <w:kern w:val="0"/>
                <w:szCs w:val="20"/>
              </w:rPr>
              <w:t>1.61E+02</w:t>
            </w:r>
          </w:p>
        </w:tc>
        <w:tc>
          <w:tcPr>
            <w:tcW w:w="2104" w:type="pct"/>
          </w:tcPr>
          <w:p w14:paraId="57E5E6D2">
            <w:pPr>
              <w:pStyle w:val="445"/>
              <w:rPr>
                <w:rFonts w:cs="Times New Roman"/>
                <w:kern w:val="0"/>
                <w:szCs w:val="20"/>
              </w:rPr>
            </w:pPr>
            <w:r>
              <w:rPr>
                <w:rFonts w:cs="Times New Roman"/>
                <w:kern w:val="0"/>
                <w:szCs w:val="20"/>
              </w:rPr>
              <w:t>1.42E+02</w:t>
            </w:r>
          </w:p>
        </w:tc>
      </w:tr>
      <w:tr w14:paraId="25FFD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830F1F1">
            <w:pPr>
              <w:pStyle w:val="445"/>
              <w:rPr>
                <w:rFonts w:cs="Times New Roman"/>
                <w:kern w:val="0"/>
                <w:szCs w:val="20"/>
              </w:rPr>
            </w:pPr>
            <w:r>
              <w:rPr>
                <w:rFonts w:cs="Times New Roman"/>
                <w:kern w:val="0"/>
                <w:szCs w:val="20"/>
              </w:rPr>
              <w:t>40</w:t>
            </w:r>
          </w:p>
        </w:tc>
        <w:tc>
          <w:tcPr>
            <w:tcW w:w="2103" w:type="pct"/>
            <w:vAlign w:val="center"/>
          </w:tcPr>
          <w:p w14:paraId="38BE8ECE">
            <w:pPr>
              <w:pStyle w:val="445"/>
              <w:rPr>
                <w:rFonts w:cs="Times New Roman"/>
                <w:kern w:val="0"/>
                <w:szCs w:val="20"/>
              </w:rPr>
            </w:pPr>
            <w:r>
              <w:rPr>
                <w:rFonts w:hint="eastAsia" w:cs="Times New Roman"/>
                <w:kern w:val="0"/>
                <w:szCs w:val="20"/>
              </w:rPr>
              <w:t>1.35E+02</w:t>
            </w:r>
          </w:p>
        </w:tc>
        <w:tc>
          <w:tcPr>
            <w:tcW w:w="2104" w:type="pct"/>
          </w:tcPr>
          <w:p w14:paraId="01795007">
            <w:pPr>
              <w:pStyle w:val="445"/>
              <w:rPr>
                <w:rFonts w:cs="Times New Roman"/>
                <w:kern w:val="0"/>
                <w:szCs w:val="20"/>
              </w:rPr>
            </w:pPr>
            <w:r>
              <w:rPr>
                <w:rFonts w:cs="Times New Roman"/>
                <w:kern w:val="0"/>
                <w:szCs w:val="20"/>
              </w:rPr>
              <w:t>1.13E+02</w:t>
            </w:r>
          </w:p>
        </w:tc>
      </w:tr>
      <w:tr w14:paraId="6D6E9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22F7DBD">
            <w:pPr>
              <w:pStyle w:val="445"/>
              <w:rPr>
                <w:rFonts w:cs="Times New Roman"/>
                <w:kern w:val="0"/>
                <w:szCs w:val="20"/>
              </w:rPr>
            </w:pPr>
            <w:r>
              <w:rPr>
                <w:rFonts w:cs="Times New Roman"/>
                <w:kern w:val="0"/>
                <w:szCs w:val="20"/>
              </w:rPr>
              <w:t>50</w:t>
            </w:r>
          </w:p>
        </w:tc>
        <w:tc>
          <w:tcPr>
            <w:tcW w:w="2103" w:type="pct"/>
            <w:vAlign w:val="center"/>
          </w:tcPr>
          <w:p w14:paraId="52F79C21">
            <w:pPr>
              <w:pStyle w:val="445"/>
              <w:rPr>
                <w:rFonts w:cs="Times New Roman"/>
                <w:kern w:val="0"/>
                <w:szCs w:val="20"/>
              </w:rPr>
            </w:pPr>
            <w:r>
              <w:rPr>
                <w:rFonts w:hint="eastAsia" w:cs="Times New Roman"/>
                <w:kern w:val="0"/>
                <w:szCs w:val="20"/>
              </w:rPr>
              <w:t>1.14E+02</w:t>
            </w:r>
          </w:p>
        </w:tc>
        <w:tc>
          <w:tcPr>
            <w:tcW w:w="2104" w:type="pct"/>
          </w:tcPr>
          <w:p w14:paraId="002D85B1">
            <w:pPr>
              <w:pStyle w:val="445"/>
              <w:rPr>
                <w:rFonts w:cs="Times New Roman"/>
                <w:kern w:val="0"/>
                <w:szCs w:val="20"/>
              </w:rPr>
            </w:pPr>
            <w:r>
              <w:rPr>
                <w:rFonts w:cs="Times New Roman"/>
                <w:kern w:val="0"/>
                <w:szCs w:val="20"/>
              </w:rPr>
              <w:t>9.17E+01</w:t>
            </w:r>
          </w:p>
        </w:tc>
      </w:tr>
      <w:tr w14:paraId="38415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70DAC1A">
            <w:pPr>
              <w:pStyle w:val="445"/>
              <w:rPr>
                <w:rFonts w:cs="Times New Roman"/>
                <w:kern w:val="0"/>
                <w:szCs w:val="20"/>
              </w:rPr>
            </w:pPr>
            <w:r>
              <w:rPr>
                <w:rFonts w:hint="eastAsia" w:cs="Times New Roman"/>
                <w:kern w:val="0"/>
                <w:szCs w:val="20"/>
              </w:rPr>
              <w:t>60</w:t>
            </w:r>
          </w:p>
        </w:tc>
        <w:tc>
          <w:tcPr>
            <w:tcW w:w="2103" w:type="pct"/>
            <w:vAlign w:val="center"/>
          </w:tcPr>
          <w:p w14:paraId="729036A3">
            <w:pPr>
              <w:pStyle w:val="445"/>
              <w:rPr>
                <w:rFonts w:cs="Times New Roman"/>
                <w:kern w:val="0"/>
                <w:szCs w:val="20"/>
              </w:rPr>
            </w:pPr>
            <w:r>
              <w:rPr>
                <w:rFonts w:hint="eastAsia" w:cs="Times New Roman"/>
                <w:kern w:val="0"/>
                <w:szCs w:val="20"/>
              </w:rPr>
              <w:t>9.77E+01</w:t>
            </w:r>
          </w:p>
        </w:tc>
        <w:tc>
          <w:tcPr>
            <w:tcW w:w="2104" w:type="pct"/>
          </w:tcPr>
          <w:p w14:paraId="218CF936">
            <w:pPr>
              <w:pStyle w:val="445"/>
              <w:rPr>
                <w:rFonts w:cs="Times New Roman"/>
                <w:kern w:val="0"/>
                <w:szCs w:val="20"/>
              </w:rPr>
            </w:pPr>
            <w:r>
              <w:rPr>
                <w:rFonts w:cs="Times New Roman"/>
                <w:kern w:val="0"/>
                <w:szCs w:val="20"/>
              </w:rPr>
              <w:t>7.64E+01</w:t>
            </w:r>
          </w:p>
        </w:tc>
      </w:tr>
      <w:tr w14:paraId="35FA98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3DFEFF74">
            <w:pPr>
              <w:pStyle w:val="445"/>
              <w:rPr>
                <w:rFonts w:cs="Times New Roman"/>
                <w:kern w:val="0"/>
                <w:szCs w:val="20"/>
              </w:rPr>
            </w:pPr>
            <w:r>
              <w:rPr>
                <w:rFonts w:hint="eastAsia" w:cs="Times New Roman"/>
                <w:kern w:val="0"/>
                <w:szCs w:val="20"/>
              </w:rPr>
              <w:t>7</w:t>
            </w:r>
            <w:r>
              <w:rPr>
                <w:rFonts w:cs="Times New Roman"/>
                <w:kern w:val="0"/>
                <w:szCs w:val="20"/>
              </w:rPr>
              <w:t>0</w:t>
            </w:r>
          </w:p>
        </w:tc>
        <w:tc>
          <w:tcPr>
            <w:tcW w:w="2103" w:type="pct"/>
            <w:vAlign w:val="center"/>
          </w:tcPr>
          <w:p w14:paraId="7A9AEB6A">
            <w:pPr>
              <w:pStyle w:val="445"/>
              <w:rPr>
                <w:rFonts w:cs="Times New Roman"/>
                <w:kern w:val="0"/>
                <w:szCs w:val="20"/>
              </w:rPr>
            </w:pPr>
            <w:r>
              <w:rPr>
                <w:rFonts w:hint="eastAsia" w:cs="Times New Roman"/>
                <w:kern w:val="0"/>
                <w:szCs w:val="20"/>
              </w:rPr>
              <w:t>8.43E+01</w:t>
            </w:r>
          </w:p>
        </w:tc>
        <w:tc>
          <w:tcPr>
            <w:tcW w:w="2104" w:type="pct"/>
          </w:tcPr>
          <w:p w14:paraId="24463F64">
            <w:pPr>
              <w:pStyle w:val="445"/>
              <w:rPr>
                <w:rFonts w:cs="Times New Roman"/>
                <w:kern w:val="0"/>
                <w:szCs w:val="20"/>
              </w:rPr>
            </w:pPr>
            <w:r>
              <w:rPr>
                <w:rFonts w:cs="Times New Roman"/>
                <w:kern w:val="0"/>
                <w:szCs w:val="20"/>
              </w:rPr>
              <w:t>6.49E+01</w:t>
            </w:r>
          </w:p>
        </w:tc>
      </w:tr>
      <w:tr w14:paraId="25FA5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9C4B029">
            <w:pPr>
              <w:pStyle w:val="445"/>
              <w:rPr>
                <w:rFonts w:cs="Times New Roman"/>
                <w:kern w:val="0"/>
                <w:szCs w:val="20"/>
              </w:rPr>
            </w:pPr>
            <w:r>
              <w:rPr>
                <w:rFonts w:hint="eastAsia" w:cs="Times New Roman"/>
                <w:kern w:val="0"/>
                <w:szCs w:val="20"/>
              </w:rPr>
              <w:t>80</w:t>
            </w:r>
          </w:p>
        </w:tc>
        <w:tc>
          <w:tcPr>
            <w:tcW w:w="2103" w:type="pct"/>
            <w:vAlign w:val="center"/>
          </w:tcPr>
          <w:p w14:paraId="39A6FDDF">
            <w:pPr>
              <w:pStyle w:val="445"/>
              <w:rPr>
                <w:rFonts w:cs="Times New Roman"/>
                <w:kern w:val="0"/>
                <w:szCs w:val="20"/>
              </w:rPr>
            </w:pPr>
            <w:r>
              <w:rPr>
                <w:rFonts w:hint="eastAsia" w:cs="Times New Roman"/>
                <w:kern w:val="0"/>
                <w:szCs w:val="20"/>
              </w:rPr>
              <w:t>7.36E+01</w:t>
            </w:r>
          </w:p>
        </w:tc>
        <w:tc>
          <w:tcPr>
            <w:tcW w:w="2104" w:type="pct"/>
          </w:tcPr>
          <w:p w14:paraId="566619D8">
            <w:pPr>
              <w:pStyle w:val="445"/>
              <w:rPr>
                <w:rFonts w:cs="Times New Roman"/>
                <w:kern w:val="0"/>
                <w:szCs w:val="20"/>
              </w:rPr>
            </w:pPr>
            <w:r>
              <w:rPr>
                <w:rFonts w:cs="Times New Roman"/>
                <w:kern w:val="0"/>
                <w:szCs w:val="20"/>
              </w:rPr>
              <w:t>5.61E+01</w:t>
            </w:r>
          </w:p>
        </w:tc>
      </w:tr>
      <w:tr w14:paraId="6524B7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101E0E3C">
            <w:pPr>
              <w:pStyle w:val="445"/>
              <w:rPr>
                <w:rFonts w:cs="Times New Roman"/>
                <w:kern w:val="0"/>
                <w:szCs w:val="20"/>
              </w:rPr>
            </w:pPr>
            <w:r>
              <w:rPr>
                <w:rFonts w:hint="eastAsia" w:cs="Times New Roman"/>
                <w:kern w:val="0"/>
                <w:szCs w:val="20"/>
              </w:rPr>
              <w:t>90</w:t>
            </w:r>
          </w:p>
        </w:tc>
        <w:tc>
          <w:tcPr>
            <w:tcW w:w="2103" w:type="pct"/>
            <w:vAlign w:val="center"/>
          </w:tcPr>
          <w:p w14:paraId="6C14CAB8">
            <w:pPr>
              <w:pStyle w:val="445"/>
              <w:rPr>
                <w:rFonts w:cs="Times New Roman"/>
                <w:kern w:val="0"/>
                <w:szCs w:val="20"/>
              </w:rPr>
            </w:pPr>
            <w:r>
              <w:rPr>
                <w:rFonts w:hint="eastAsia" w:cs="Times New Roman"/>
                <w:kern w:val="0"/>
                <w:szCs w:val="20"/>
              </w:rPr>
              <w:t>6.49E+01</w:t>
            </w:r>
          </w:p>
        </w:tc>
        <w:tc>
          <w:tcPr>
            <w:tcW w:w="2104" w:type="pct"/>
          </w:tcPr>
          <w:p w14:paraId="74B1D426">
            <w:pPr>
              <w:pStyle w:val="445"/>
              <w:rPr>
                <w:rFonts w:cs="Times New Roman"/>
                <w:kern w:val="0"/>
                <w:szCs w:val="20"/>
              </w:rPr>
            </w:pPr>
            <w:r>
              <w:rPr>
                <w:rFonts w:cs="Times New Roman"/>
                <w:kern w:val="0"/>
                <w:szCs w:val="20"/>
              </w:rPr>
              <w:t>2.57E+02</w:t>
            </w:r>
          </w:p>
        </w:tc>
      </w:tr>
      <w:tr w14:paraId="0C283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CAC395E">
            <w:pPr>
              <w:pStyle w:val="445"/>
              <w:rPr>
                <w:rFonts w:cs="Times New Roman"/>
                <w:kern w:val="0"/>
                <w:szCs w:val="20"/>
              </w:rPr>
            </w:pPr>
            <w:r>
              <w:rPr>
                <w:rFonts w:cs="Times New Roman"/>
                <w:kern w:val="0"/>
                <w:szCs w:val="20"/>
              </w:rPr>
              <w:t>100</w:t>
            </w:r>
          </w:p>
        </w:tc>
        <w:tc>
          <w:tcPr>
            <w:tcW w:w="2103" w:type="pct"/>
            <w:vAlign w:val="center"/>
          </w:tcPr>
          <w:p w14:paraId="0621BBB2">
            <w:pPr>
              <w:pStyle w:val="445"/>
              <w:rPr>
                <w:rFonts w:cs="Times New Roman"/>
                <w:kern w:val="0"/>
                <w:szCs w:val="20"/>
              </w:rPr>
            </w:pPr>
            <w:r>
              <w:rPr>
                <w:rFonts w:hint="eastAsia" w:cs="Times New Roman"/>
                <w:kern w:val="0"/>
                <w:szCs w:val="20"/>
              </w:rPr>
              <w:t>5.78E+01</w:t>
            </w:r>
          </w:p>
        </w:tc>
        <w:tc>
          <w:tcPr>
            <w:tcW w:w="2104" w:type="pct"/>
          </w:tcPr>
          <w:p w14:paraId="572A4865">
            <w:pPr>
              <w:pStyle w:val="445"/>
              <w:rPr>
                <w:rFonts w:cs="Times New Roman"/>
                <w:kern w:val="0"/>
                <w:szCs w:val="20"/>
              </w:rPr>
            </w:pPr>
            <w:r>
              <w:rPr>
                <w:rFonts w:cs="Times New Roman"/>
                <w:kern w:val="0"/>
                <w:szCs w:val="20"/>
              </w:rPr>
              <w:t>1.86E+02</w:t>
            </w:r>
          </w:p>
        </w:tc>
      </w:tr>
      <w:tr w14:paraId="1C2FE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7D9509FA">
            <w:pPr>
              <w:pStyle w:val="445"/>
              <w:rPr>
                <w:rFonts w:cs="Times New Roman"/>
                <w:kern w:val="0"/>
                <w:szCs w:val="20"/>
              </w:rPr>
            </w:pPr>
            <w:r>
              <w:rPr>
                <w:rFonts w:cs="Times New Roman"/>
                <w:kern w:val="0"/>
                <w:szCs w:val="20"/>
              </w:rPr>
              <w:t>200</w:t>
            </w:r>
          </w:p>
        </w:tc>
        <w:tc>
          <w:tcPr>
            <w:tcW w:w="2103" w:type="pct"/>
          </w:tcPr>
          <w:p w14:paraId="59ACB50E">
            <w:pPr>
              <w:pStyle w:val="445"/>
              <w:rPr>
                <w:rFonts w:cs="Times New Roman"/>
                <w:kern w:val="0"/>
                <w:szCs w:val="20"/>
              </w:rPr>
            </w:pPr>
            <w:r>
              <w:rPr>
                <w:rFonts w:cs="Times New Roman"/>
                <w:kern w:val="0"/>
                <w:szCs w:val="20"/>
              </w:rPr>
              <w:t>5.78E+01</w:t>
            </w:r>
          </w:p>
        </w:tc>
        <w:tc>
          <w:tcPr>
            <w:tcW w:w="2104" w:type="pct"/>
            <w:vAlign w:val="center"/>
          </w:tcPr>
          <w:p w14:paraId="51AAB007">
            <w:pPr>
              <w:pStyle w:val="445"/>
              <w:rPr>
                <w:rFonts w:cs="Times New Roman"/>
                <w:kern w:val="0"/>
                <w:szCs w:val="20"/>
              </w:rPr>
            </w:pPr>
            <w:r>
              <w:rPr>
                <w:rFonts w:hint="eastAsia" w:cs="Times New Roman"/>
                <w:kern w:val="0"/>
                <w:szCs w:val="20"/>
              </w:rPr>
              <w:t>2.03E+01</w:t>
            </w:r>
          </w:p>
        </w:tc>
      </w:tr>
      <w:tr w14:paraId="17D6F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743748A3">
            <w:pPr>
              <w:pStyle w:val="445"/>
              <w:rPr>
                <w:rFonts w:cs="Times New Roman"/>
                <w:kern w:val="0"/>
                <w:szCs w:val="20"/>
              </w:rPr>
            </w:pPr>
            <w:r>
              <w:rPr>
                <w:rFonts w:cs="Times New Roman"/>
                <w:kern w:val="0"/>
                <w:szCs w:val="20"/>
              </w:rPr>
              <w:t>300</w:t>
            </w:r>
          </w:p>
        </w:tc>
        <w:tc>
          <w:tcPr>
            <w:tcW w:w="2103" w:type="pct"/>
          </w:tcPr>
          <w:p w14:paraId="07EA9CB0">
            <w:pPr>
              <w:pStyle w:val="445"/>
              <w:rPr>
                <w:rFonts w:cs="Times New Roman"/>
                <w:kern w:val="0"/>
                <w:szCs w:val="20"/>
              </w:rPr>
            </w:pPr>
            <w:r>
              <w:rPr>
                <w:rFonts w:cs="Times New Roman"/>
                <w:kern w:val="0"/>
                <w:szCs w:val="20"/>
              </w:rPr>
              <w:t>2.31E+01</w:t>
            </w:r>
          </w:p>
        </w:tc>
        <w:tc>
          <w:tcPr>
            <w:tcW w:w="2104" w:type="pct"/>
            <w:vAlign w:val="center"/>
          </w:tcPr>
          <w:p w14:paraId="4E89CEFF">
            <w:pPr>
              <w:pStyle w:val="445"/>
              <w:rPr>
                <w:rFonts w:cs="Times New Roman"/>
                <w:kern w:val="0"/>
                <w:szCs w:val="20"/>
              </w:rPr>
            </w:pPr>
            <w:r>
              <w:rPr>
                <w:rFonts w:hint="eastAsia" w:cs="Times New Roman"/>
                <w:kern w:val="0"/>
                <w:szCs w:val="20"/>
              </w:rPr>
              <w:t>1.33E+01</w:t>
            </w:r>
          </w:p>
        </w:tc>
      </w:tr>
      <w:tr w14:paraId="12965E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2D99225C">
            <w:pPr>
              <w:pStyle w:val="445"/>
              <w:rPr>
                <w:rFonts w:cs="Times New Roman"/>
                <w:kern w:val="0"/>
                <w:szCs w:val="20"/>
              </w:rPr>
            </w:pPr>
            <w:r>
              <w:rPr>
                <w:rFonts w:cs="Times New Roman"/>
                <w:kern w:val="0"/>
                <w:szCs w:val="20"/>
              </w:rPr>
              <w:t>400</w:t>
            </w:r>
          </w:p>
        </w:tc>
        <w:tc>
          <w:tcPr>
            <w:tcW w:w="2103" w:type="pct"/>
          </w:tcPr>
          <w:p w14:paraId="66C7F2D8">
            <w:pPr>
              <w:pStyle w:val="445"/>
              <w:rPr>
                <w:rFonts w:cs="Times New Roman"/>
                <w:kern w:val="0"/>
                <w:szCs w:val="20"/>
              </w:rPr>
            </w:pPr>
            <w:r>
              <w:rPr>
                <w:rFonts w:cs="Times New Roman"/>
                <w:kern w:val="0"/>
                <w:szCs w:val="20"/>
              </w:rPr>
              <w:t>1.26E+01</w:t>
            </w:r>
          </w:p>
        </w:tc>
        <w:tc>
          <w:tcPr>
            <w:tcW w:w="2104" w:type="pct"/>
            <w:vAlign w:val="center"/>
          </w:tcPr>
          <w:p w14:paraId="1FBC36FE">
            <w:pPr>
              <w:pStyle w:val="445"/>
              <w:rPr>
                <w:rFonts w:cs="Times New Roman"/>
                <w:kern w:val="0"/>
                <w:szCs w:val="20"/>
              </w:rPr>
            </w:pPr>
            <w:r>
              <w:rPr>
                <w:rFonts w:hint="eastAsia" w:cs="Times New Roman"/>
                <w:kern w:val="0"/>
                <w:szCs w:val="20"/>
              </w:rPr>
              <w:t>1.04E+01</w:t>
            </w:r>
          </w:p>
        </w:tc>
      </w:tr>
      <w:tr w14:paraId="56ABD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2DBAF9BA">
            <w:pPr>
              <w:pStyle w:val="445"/>
              <w:rPr>
                <w:rFonts w:cs="Times New Roman"/>
                <w:kern w:val="0"/>
                <w:szCs w:val="20"/>
              </w:rPr>
            </w:pPr>
            <w:r>
              <w:rPr>
                <w:rFonts w:hint="eastAsia" w:cs="Times New Roman"/>
                <w:kern w:val="0"/>
                <w:szCs w:val="20"/>
              </w:rPr>
              <w:t>500</w:t>
            </w:r>
          </w:p>
        </w:tc>
        <w:tc>
          <w:tcPr>
            <w:tcW w:w="2103" w:type="pct"/>
          </w:tcPr>
          <w:p w14:paraId="790B171A">
            <w:pPr>
              <w:pStyle w:val="445"/>
              <w:rPr>
                <w:rFonts w:cs="Times New Roman"/>
                <w:kern w:val="0"/>
                <w:szCs w:val="20"/>
              </w:rPr>
            </w:pPr>
            <w:r>
              <w:rPr>
                <w:rFonts w:cs="Times New Roman"/>
                <w:kern w:val="0"/>
                <w:szCs w:val="20"/>
              </w:rPr>
              <w:t>7.92E+00</w:t>
            </w:r>
          </w:p>
        </w:tc>
        <w:tc>
          <w:tcPr>
            <w:tcW w:w="2104" w:type="pct"/>
            <w:vAlign w:val="center"/>
          </w:tcPr>
          <w:p w14:paraId="39824C0A">
            <w:pPr>
              <w:pStyle w:val="445"/>
              <w:rPr>
                <w:rFonts w:cs="Times New Roman"/>
                <w:kern w:val="0"/>
                <w:szCs w:val="20"/>
              </w:rPr>
            </w:pPr>
            <w:r>
              <w:rPr>
                <w:rFonts w:hint="eastAsia" w:cs="Times New Roman"/>
                <w:kern w:val="0"/>
                <w:szCs w:val="20"/>
              </w:rPr>
              <w:t>7.06E+00</w:t>
            </w:r>
          </w:p>
        </w:tc>
      </w:tr>
      <w:tr w14:paraId="5C984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1A7F9C77">
            <w:pPr>
              <w:pStyle w:val="445"/>
              <w:rPr>
                <w:rFonts w:cs="Times New Roman"/>
                <w:kern w:val="0"/>
                <w:szCs w:val="20"/>
              </w:rPr>
            </w:pPr>
            <w:r>
              <w:rPr>
                <w:rFonts w:hint="eastAsia" w:cs="Times New Roman"/>
                <w:kern w:val="0"/>
                <w:szCs w:val="20"/>
              </w:rPr>
              <w:t>600</w:t>
            </w:r>
          </w:p>
        </w:tc>
        <w:tc>
          <w:tcPr>
            <w:tcW w:w="2103" w:type="pct"/>
          </w:tcPr>
          <w:p w14:paraId="2CA2378E">
            <w:pPr>
              <w:pStyle w:val="445"/>
              <w:rPr>
                <w:rFonts w:cs="Times New Roman"/>
                <w:kern w:val="0"/>
                <w:szCs w:val="20"/>
              </w:rPr>
            </w:pPr>
            <w:r>
              <w:rPr>
                <w:rFonts w:cs="Times New Roman"/>
                <w:kern w:val="0"/>
                <w:szCs w:val="20"/>
              </w:rPr>
              <w:t>5.47E+00</w:t>
            </w:r>
          </w:p>
        </w:tc>
        <w:tc>
          <w:tcPr>
            <w:tcW w:w="2104" w:type="pct"/>
            <w:vAlign w:val="center"/>
          </w:tcPr>
          <w:p w14:paraId="663A1082">
            <w:pPr>
              <w:pStyle w:val="445"/>
              <w:rPr>
                <w:rFonts w:cs="Times New Roman"/>
                <w:kern w:val="0"/>
                <w:szCs w:val="20"/>
              </w:rPr>
            </w:pPr>
            <w:r>
              <w:rPr>
                <w:rFonts w:hint="eastAsia" w:cs="Times New Roman"/>
                <w:kern w:val="0"/>
                <w:szCs w:val="20"/>
              </w:rPr>
              <w:t>5.45E+00</w:t>
            </w:r>
          </w:p>
        </w:tc>
      </w:tr>
      <w:tr w14:paraId="359AC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590892D7">
            <w:pPr>
              <w:pStyle w:val="445"/>
              <w:rPr>
                <w:rFonts w:cs="Times New Roman"/>
                <w:kern w:val="0"/>
                <w:szCs w:val="20"/>
              </w:rPr>
            </w:pPr>
            <w:r>
              <w:rPr>
                <w:rFonts w:hint="eastAsia" w:cs="Times New Roman"/>
                <w:kern w:val="0"/>
                <w:szCs w:val="20"/>
              </w:rPr>
              <w:t>700</w:t>
            </w:r>
          </w:p>
        </w:tc>
        <w:tc>
          <w:tcPr>
            <w:tcW w:w="2103" w:type="pct"/>
          </w:tcPr>
          <w:p w14:paraId="38F6217D">
            <w:pPr>
              <w:pStyle w:val="445"/>
              <w:rPr>
                <w:rFonts w:cs="Times New Roman"/>
                <w:kern w:val="0"/>
                <w:szCs w:val="20"/>
              </w:rPr>
            </w:pPr>
            <w:r>
              <w:rPr>
                <w:rFonts w:cs="Times New Roman"/>
                <w:kern w:val="0"/>
                <w:szCs w:val="20"/>
              </w:rPr>
              <w:t>4.01E+00</w:t>
            </w:r>
          </w:p>
        </w:tc>
        <w:tc>
          <w:tcPr>
            <w:tcW w:w="2104" w:type="pct"/>
            <w:vAlign w:val="center"/>
          </w:tcPr>
          <w:p w14:paraId="556F9B04">
            <w:pPr>
              <w:pStyle w:val="445"/>
              <w:rPr>
                <w:rFonts w:cs="Times New Roman"/>
                <w:kern w:val="0"/>
                <w:szCs w:val="20"/>
              </w:rPr>
            </w:pPr>
            <w:r>
              <w:rPr>
                <w:rFonts w:hint="eastAsia" w:cs="Times New Roman"/>
                <w:kern w:val="0"/>
                <w:szCs w:val="20"/>
              </w:rPr>
              <w:t>4.35E+00</w:t>
            </w:r>
          </w:p>
        </w:tc>
      </w:tr>
      <w:tr w14:paraId="2349EE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0D560656">
            <w:pPr>
              <w:pStyle w:val="445"/>
              <w:rPr>
                <w:rFonts w:cs="Times New Roman"/>
                <w:kern w:val="0"/>
                <w:szCs w:val="20"/>
              </w:rPr>
            </w:pPr>
            <w:r>
              <w:rPr>
                <w:rFonts w:hint="eastAsia" w:cs="Times New Roman"/>
                <w:kern w:val="0"/>
                <w:szCs w:val="20"/>
              </w:rPr>
              <w:t>800</w:t>
            </w:r>
          </w:p>
        </w:tc>
        <w:tc>
          <w:tcPr>
            <w:tcW w:w="2103" w:type="pct"/>
          </w:tcPr>
          <w:p w14:paraId="383DBE93">
            <w:pPr>
              <w:pStyle w:val="445"/>
              <w:rPr>
                <w:rFonts w:cs="Times New Roman"/>
                <w:kern w:val="0"/>
                <w:szCs w:val="20"/>
              </w:rPr>
            </w:pPr>
            <w:r>
              <w:rPr>
                <w:rFonts w:cs="Times New Roman"/>
                <w:kern w:val="0"/>
                <w:szCs w:val="20"/>
              </w:rPr>
              <w:t>3.06E+00</w:t>
            </w:r>
          </w:p>
        </w:tc>
        <w:tc>
          <w:tcPr>
            <w:tcW w:w="2104" w:type="pct"/>
            <w:vAlign w:val="center"/>
          </w:tcPr>
          <w:p w14:paraId="33C4E31F">
            <w:pPr>
              <w:pStyle w:val="445"/>
              <w:rPr>
                <w:rFonts w:cs="Times New Roman"/>
                <w:kern w:val="0"/>
                <w:szCs w:val="20"/>
              </w:rPr>
            </w:pPr>
            <w:r>
              <w:rPr>
                <w:rFonts w:hint="eastAsia" w:cs="Times New Roman"/>
                <w:kern w:val="0"/>
                <w:szCs w:val="20"/>
              </w:rPr>
              <w:t>3.51E+00</w:t>
            </w:r>
          </w:p>
        </w:tc>
      </w:tr>
      <w:tr w14:paraId="40A33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6482291">
            <w:pPr>
              <w:pStyle w:val="445"/>
              <w:rPr>
                <w:rFonts w:cs="Times New Roman"/>
                <w:kern w:val="0"/>
                <w:szCs w:val="20"/>
              </w:rPr>
            </w:pPr>
            <w:r>
              <w:rPr>
                <w:rFonts w:hint="eastAsia" w:cs="Times New Roman"/>
                <w:kern w:val="0"/>
                <w:szCs w:val="20"/>
              </w:rPr>
              <w:t>900</w:t>
            </w:r>
          </w:p>
        </w:tc>
        <w:tc>
          <w:tcPr>
            <w:tcW w:w="2103" w:type="pct"/>
          </w:tcPr>
          <w:p w14:paraId="7862F4A8">
            <w:pPr>
              <w:pStyle w:val="445"/>
              <w:rPr>
                <w:rFonts w:cs="Times New Roman"/>
                <w:kern w:val="0"/>
                <w:szCs w:val="20"/>
              </w:rPr>
            </w:pPr>
            <w:r>
              <w:rPr>
                <w:rFonts w:cs="Times New Roman"/>
                <w:kern w:val="0"/>
                <w:szCs w:val="20"/>
              </w:rPr>
              <w:t>2.32E+00</w:t>
            </w:r>
          </w:p>
        </w:tc>
        <w:tc>
          <w:tcPr>
            <w:tcW w:w="2104" w:type="pct"/>
            <w:vAlign w:val="center"/>
          </w:tcPr>
          <w:p w14:paraId="0750C506">
            <w:pPr>
              <w:pStyle w:val="445"/>
              <w:rPr>
                <w:rFonts w:cs="Times New Roman"/>
                <w:kern w:val="0"/>
                <w:szCs w:val="20"/>
              </w:rPr>
            </w:pPr>
            <w:r>
              <w:rPr>
                <w:rFonts w:hint="eastAsia" w:cs="Times New Roman"/>
                <w:kern w:val="0"/>
                <w:szCs w:val="20"/>
              </w:rPr>
              <w:t>2.89E+00</w:t>
            </w:r>
          </w:p>
        </w:tc>
      </w:tr>
      <w:tr w14:paraId="56811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FB0B4CE">
            <w:pPr>
              <w:pStyle w:val="445"/>
              <w:rPr>
                <w:rFonts w:cs="Times New Roman"/>
                <w:kern w:val="0"/>
                <w:szCs w:val="20"/>
              </w:rPr>
            </w:pPr>
            <w:r>
              <w:rPr>
                <w:rFonts w:hint="eastAsia" w:cs="Times New Roman"/>
                <w:kern w:val="0"/>
                <w:szCs w:val="20"/>
              </w:rPr>
              <w:t>1000</w:t>
            </w:r>
          </w:p>
        </w:tc>
        <w:tc>
          <w:tcPr>
            <w:tcW w:w="2103" w:type="pct"/>
          </w:tcPr>
          <w:p w14:paraId="491520B9">
            <w:pPr>
              <w:pStyle w:val="445"/>
              <w:rPr>
                <w:rFonts w:cs="Times New Roman"/>
                <w:kern w:val="0"/>
                <w:szCs w:val="20"/>
              </w:rPr>
            </w:pPr>
            <w:r>
              <w:rPr>
                <w:rFonts w:cs="Times New Roman"/>
                <w:kern w:val="0"/>
                <w:szCs w:val="20"/>
              </w:rPr>
              <w:t>1.82E+00</w:t>
            </w:r>
          </w:p>
        </w:tc>
        <w:tc>
          <w:tcPr>
            <w:tcW w:w="2104" w:type="pct"/>
            <w:vAlign w:val="center"/>
          </w:tcPr>
          <w:p w14:paraId="4A952389">
            <w:pPr>
              <w:pStyle w:val="445"/>
              <w:rPr>
                <w:rFonts w:cs="Times New Roman"/>
                <w:kern w:val="0"/>
                <w:szCs w:val="20"/>
              </w:rPr>
            </w:pPr>
            <w:r>
              <w:rPr>
                <w:rFonts w:hint="eastAsia" w:cs="Times New Roman"/>
                <w:kern w:val="0"/>
                <w:szCs w:val="20"/>
              </w:rPr>
              <w:t>2.42E+00</w:t>
            </w:r>
          </w:p>
        </w:tc>
      </w:tr>
      <w:tr w14:paraId="2E70E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32ADDDEE">
            <w:pPr>
              <w:pStyle w:val="445"/>
              <w:rPr>
                <w:rFonts w:cs="Times New Roman"/>
                <w:kern w:val="0"/>
                <w:szCs w:val="20"/>
              </w:rPr>
            </w:pPr>
            <w:r>
              <w:rPr>
                <w:rFonts w:hint="eastAsia" w:cs="Times New Roman"/>
                <w:kern w:val="0"/>
                <w:szCs w:val="20"/>
              </w:rPr>
              <w:t>1100</w:t>
            </w:r>
          </w:p>
        </w:tc>
        <w:tc>
          <w:tcPr>
            <w:tcW w:w="2103" w:type="pct"/>
          </w:tcPr>
          <w:p w14:paraId="5327C0DC">
            <w:pPr>
              <w:pStyle w:val="445"/>
              <w:rPr>
                <w:rFonts w:cs="Times New Roman"/>
                <w:kern w:val="0"/>
                <w:szCs w:val="20"/>
              </w:rPr>
            </w:pPr>
            <w:r>
              <w:rPr>
                <w:rFonts w:cs="Times New Roman"/>
                <w:kern w:val="0"/>
                <w:szCs w:val="20"/>
              </w:rPr>
              <w:t>1.50E+00</w:t>
            </w:r>
          </w:p>
        </w:tc>
        <w:tc>
          <w:tcPr>
            <w:tcW w:w="2104" w:type="pct"/>
            <w:vAlign w:val="center"/>
          </w:tcPr>
          <w:p w14:paraId="371EAA1D">
            <w:pPr>
              <w:pStyle w:val="445"/>
              <w:rPr>
                <w:rFonts w:cs="Times New Roman"/>
                <w:kern w:val="0"/>
                <w:szCs w:val="20"/>
              </w:rPr>
            </w:pPr>
            <w:r>
              <w:rPr>
                <w:rFonts w:hint="eastAsia" w:cs="Times New Roman"/>
                <w:kern w:val="0"/>
                <w:szCs w:val="20"/>
              </w:rPr>
              <w:t>2.05E+00</w:t>
            </w:r>
          </w:p>
        </w:tc>
      </w:tr>
      <w:tr w14:paraId="57110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3D536472">
            <w:pPr>
              <w:pStyle w:val="445"/>
              <w:rPr>
                <w:rFonts w:cs="Times New Roman"/>
                <w:kern w:val="0"/>
                <w:szCs w:val="20"/>
              </w:rPr>
            </w:pPr>
            <w:r>
              <w:rPr>
                <w:rFonts w:hint="eastAsia" w:cs="Times New Roman"/>
                <w:kern w:val="0"/>
                <w:szCs w:val="20"/>
              </w:rPr>
              <w:t>1200</w:t>
            </w:r>
          </w:p>
        </w:tc>
        <w:tc>
          <w:tcPr>
            <w:tcW w:w="2103" w:type="pct"/>
          </w:tcPr>
          <w:p w14:paraId="43413E4F">
            <w:pPr>
              <w:pStyle w:val="445"/>
              <w:rPr>
                <w:rFonts w:cs="Times New Roman"/>
                <w:kern w:val="0"/>
                <w:szCs w:val="20"/>
              </w:rPr>
            </w:pPr>
            <w:r>
              <w:rPr>
                <w:rFonts w:cs="Times New Roman"/>
                <w:kern w:val="0"/>
                <w:szCs w:val="20"/>
              </w:rPr>
              <w:t>1.25E+00</w:t>
            </w:r>
          </w:p>
        </w:tc>
        <w:tc>
          <w:tcPr>
            <w:tcW w:w="2104" w:type="pct"/>
            <w:vAlign w:val="center"/>
          </w:tcPr>
          <w:p w14:paraId="39002ED2">
            <w:pPr>
              <w:pStyle w:val="445"/>
              <w:rPr>
                <w:rFonts w:cs="Times New Roman"/>
                <w:kern w:val="0"/>
                <w:szCs w:val="20"/>
              </w:rPr>
            </w:pPr>
            <w:r>
              <w:rPr>
                <w:rFonts w:hint="eastAsia" w:cs="Times New Roman"/>
                <w:kern w:val="0"/>
                <w:szCs w:val="20"/>
              </w:rPr>
              <w:t>1.76E+00</w:t>
            </w:r>
          </w:p>
        </w:tc>
      </w:tr>
      <w:tr w14:paraId="4542DF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3E4A67D">
            <w:pPr>
              <w:pStyle w:val="445"/>
              <w:rPr>
                <w:rFonts w:cs="Times New Roman"/>
                <w:kern w:val="0"/>
                <w:szCs w:val="20"/>
              </w:rPr>
            </w:pPr>
            <w:r>
              <w:rPr>
                <w:rFonts w:hint="eastAsia" w:cs="Times New Roman"/>
                <w:kern w:val="0"/>
                <w:szCs w:val="20"/>
              </w:rPr>
              <w:t>1300</w:t>
            </w:r>
          </w:p>
        </w:tc>
        <w:tc>
          <w:tcPr>
            <w:tcW w:w="2103" w:type="pct"/>
          </w:tcPr>
          <w:p w14:paraId="35D3D769">
            <w:pPr>
              <w:pStyle w:val="445"/>
              <w:rPr>
                <w:rFonts w:cs="Times New Roman"/>
                <w:kern w:val="0"/>
                <w:szCs w:val="20"/>
              </w:rPr>
            </w:pPr>
            <w:r>
              <w:rPr>
                <w:rFonts w:cs="Times New Roman"/>
                <w:kern w:val="0"/>
                <w:szCs w:val="20"/>
              </w:rPr>
              <w:t>1.06E+00</w:t>
            </w:r>
          </w:p>
        </w:tc>
        <w:tc>
          <w:tcPr>
            <w:tcW w:w="2104" w:type="pct"/>
            <w:vAlign w:val="center"/>
          </w:tcPr>
          <w:p w14:paraId="1AFBB45C">
            <w:pPr>
              <w:pStyle w:val="445"/>
              <w:rPr>
                <w:rFonts w:cs="Times New Roman"/>
                <w:kern w:val="0"/>
                <w:szCs w:val="20"/>
              </w:rPr>
            </w:pPr>
            <w:r>
              <w:rPr>
                <w:rFonts w:hint="eastAsia" w:cs="Times New Roman"/>
                <w:kern w:val="0"/>
                <w:szCs w:val="20"/>
              </w:rPr>
              <w:t>1.53E+00</w:t>
            </w:r>
          </w:p>
        </w:tc>
      </w:tr>
      <w:tr w14:paraId="2F99A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31812BD0">
            <w:pPr>
              <w:pStyle w:val="445"/>
              <w:rPr>
                <w:rFonts w:cs="Times New Roman"/>
                <w:kern w:val="0"/>
                <w:szCs w:val="20"/>
              </w:rPr>
            </w:pPr>
            <w:r>
              <w:rPr>
                <w:rFonts w:hint="eastAsia" w:cs="Times New Roman"/>
                <w:kern w:val="0"/>
                <w:szCs w:val="20"/>
              </w:rPr>
              <w:t>1400</w:t>
            </w:r>
          </w:p>
        </w:tc>
        <w:tc>
          <w:tcPr>
            <w:tcW w:w="2103" w:type="pct"/>
          </w:tcPr>
          <w:p w14:paraId="437AA9A6">
            <w:pPr>
              <w:pStyle w:val="445"/>
              <w:rPr>
                <w:rFonts w:cs="Times New Roman"/>
                <w:kern w:val="0"/>
                <w:szCs w:val="20"/>
              </w:rPr>
            </w:pPr>
            <w:r>
              <w:rPr>
                <w:rFonts w:cs="Times New Roman"/>
                <w:kern w:val="0"/>
                <w:szCs w:val="20"/>
              </w:rPr>
              <w:t>9.13E-01</w:t>
            </w:r>
          </w:p>
        </w:tc>
        <w:tc>
          <w:tcPr>
            <w:tcW w:w="2104" w:type="pct"/>
            <w:vAlign w:val="center"/>
          </w:tcPr>
          <w:p w14:paraId="53CB0C09">
            <w:pPr>
              <w:pStyle w:val="445"/>
              <w:rPr>
                <w:rFonts w:cs="Times New Roman"/>
                <w:kern w:val="0"/>
                <w:szCs w:val="20"/>
              </w:rPr>
            </w:pPr>
            <w:r>
              <w:rPr>
                <w:rFonts w:hint="eastAsia" w:cs="Times New Roman"/>
                <w:kern w:val="0"/>
                <w:szCs w:val="20"/>
              </w:rPr>
              <w:t>1.34E+00</w:t>
            </w:r>
          </w:p>
        </w:tc>
      </w:tr>
      <w:tr w14:paraId="0D905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33C5D7CE">
            <w:pPr>
              <w:pStyle w:val="445"/>
              <w:rPr>
                <w:rFonts w:cs="Times New Roman"/>
                <w:kern w:val="0"/>
                <w:szCs w:val="20"/>
              </w:rPr>
            </w:pPr>
            <w:r>
              <w:rPr>
                <w:rFonts w:hint="eastAsia" w:cs="Times New Roman"/>
                <w:kern w:val="0"/>
                <w:szCs w:val="20"/>
              </w:rPr>
              <w:t>1500</w:t>
            </w:r>
          </w:p>
        </w:tc>
        <w:tc>
          <w:tcPr>
            <w:tcW w:w="2103" w:type="pct"/>
          </w:tcPr>
          <w:p w14:paraId="47F4DB9E">
            <w:pPr>
              <w:pStyle w:val="445"/>
              <w:rPr>
                <w:rFonts w:cs="Times New Roman"/>
                <w:kern w:val="0"/>
                <w:szCs w:val="20"/>
              </w:rPr>
            </w:pPr>
            <w:r>
              <w:rPr>
                <w:rFonts w:cs="Times New Roman"/>
                <w:kern w:val="0"/>
                <w:szCs w:val="20"/>
              </w:rPr>
              <w:t>7.92E-01</w:t>
            </w:r>
          </w:p>
        </w:tc>
        <w:tc>
          <w:tcPr>
            <w:tcW w:w="2104" w:type="pct"/>
            <w:vAlign w:val="center"/>
          </w:tcPr>
          <w:p w14:paraId="179A17D0">
            <w:pPr>
              <w:pStyle w:val="445"/>
              <w:rPr>
                <w:rFonts w:cs="Times New Roman"/>
                <w:kern w:val="0"/>
                <w:szCs w:val="20"/>
              </w:rPr>
            </w:pPr>
            <w:r>
              <w:rPr>
                <w:rFonts w:hint="eastAsia" w:cs="Times New Roman"/>
                <w:kern w:val="0"/>
                <w:szCs w:val="20"/>
              </w:rPr>
              <w:t>1.18E+00</w:t>
            </w:r>
          </w:p>
        </w:tc>
      </w:tr>
      <w:tr w14:paraId="6A33B4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7484BB78">
            <w:pPr>
              <w:pStyle w:val="445"/>
              <w:rPr>
                <w:rFonts w:cs="Times New Roman"/>
                <w:kern w:val="0"/>
                <w:szCs w:val="20"/>
              </w:rPr>
            </w:pPr>
            <w:r>
              <w:rPr>
                <w:rFonts w:hint="eastAsia" w:cs="Times New Roman"/>
                <w:kern w:val="0"/>
                <w:szCs w:val="20"/>
              </w:rPr>
              <w:t>1600</w:t>
            </w:r>
          </w:p>
        </w:tc>
        <w:tc>
          <w:tcPr>
            <w:tcW w:w="2103" w:type="pct"/>
          </w:tcPr>
          <w:p w14:paraId="2318E70D">
            <w:pPr>
              <w:pStyle w:val="445"/>
              <w:rPr>
                <w:rFonts w:cs="Times New Roman"/>
                <w:kern w:val="0"/>
                <w:szCs w:val="20"/>
              </w:rPr>
            </w:pPr>
            <w:r>
              <w:rPr>
                <w:rFonts w:cs="Times New Roman"/>
                <w:kern w:val="0"/>
                <w:szCs w:val="20"/>
              </w:rPr>
              <w:t>6.97E-01</w:t>
            </w:r>
          </w:p>
        </w:tc>
        <w:tc>
          <w:tcPr>
            <w:tcW w:w="2104" w:type="pct"/>
            <w:vAlign w:val="center"/>
          </w:tcPr>
          <w:p w14:paraId="0D64AC53">
            <w:pPr>
              <w:pStyle w:val="445"/>
              <w:rPr>
                <w:rFonts w:cs="Times New Roman"/>
                <w:kern w:val="0"/>
                <w:szCs w:val="20"/>
              </w:rPr>
            </w:pPr>
            <w:r>
              <w:rPr>
                <w:rFonts w:hint="eastAsia" w:cs="Times New Roman"/>
                <w:kern w:val="0"/>
                <w:szCs w:val="20"/>
              </w:rPr>
              <w:t>1.05E+00</w:t>
            </w:r>
          </w:p>
        </w:tc>
      </w:tr>
      <w:tr w14:paraId="225C71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5C9BF156">
            <w:pPr>
              <w:pStyle w:val="445"/>
              <w:rPr>
                <w:rFonts w:cs="Times New Roman"/>
                <w:kern w:val="0"/>
                <w:szCs w:val="20"/>
              </w:rPr>
            </w:pPr>
            <w:r>
              <w:rPr>
                <w:rFonts w:hint="eastAsia" w:cs="Times New Roman"/>
                <w:kern w:val="0"/>
                <w:szCs w:val="20"/>
              </w:rPr>
              <w:t>1700</w:t>
            </w:r>
          </w:p>
        </w:tc>
        <w:tc>
          <w:tcPr>
            <w:tcW w:w="2103" w:type="pct"/>
          </w:tcPr>
          <w:p w14:paraId="658652FF">
            <w:pPr>
              <w:pStyle w:val="445"/>
              <w:rPr>
                <w:rFonts w:cs="Times New Roman"/>
                <w:kern w:val="0"/>
                <w:szCs w:val="20"/>
              </w:rPr>
            </w:pPr>
            <w:r>
              <w:rPr>
                <w:rFonts w:cs="Times New Roman"/>
                <w:kern w:val="0"/>
                <w:szCs w:val="20"/>
              </w:rPr>
              <w:t>6.20E-01</w:t>
            </w:r>
          </w:p>
        </w:tc>
        <w:tc>
          <w:tcPr>
            <w:tcW w:w="2104" w:type="pct"/>
            <w:vAlign w:val="center"/>
          </w:tcPr>
          <w:p w14:paraId="6D2AE9E9">
            <w:pPr>
              <w:pStyle w:val="445"/>
              <w:rPr>
                <w:rFonts w:cs="Times New Roman"/>
                <w:kern w:val="0"/>
                <w:szCs w:val="20"/>
              </w:rPr>
            </w:pPr>
            <w:r>
              <w:rPr>
                <w:rFonts w:hint="eastAsia" w:cs="Times New Roman"/>
                <w:kern w:val="0"/>
                <w:szCs w:val="20"/>
              </w:rPr>
              <w:t>9.41E-01</w:t>
            </w:r>
          </w:p>
        </w:tc>
      </w:tr>
      <w:tr w14:paraId="21AFA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F755E24">
            <w:pPr>
              <w:pStyle w:val="445"/>
              <w:rPr>
                <w:rFonts w:cs="Times New Roman"/>
                <w:kern w:val="0"/>
                <w:szCs w:val="20"/>
              </w:rPr>
            </w:pPr>
            <w:r>
              <w:rPr>
                <w:rFonts w:hint="eastAsia" w:cs="Times New Roman"/>
                <w:kern w:val="0"/>
                <w:szCs w:val="20"/>
              </w:rPr>
              <w:t>1800</w:t>
            </w:r>
          </w:p>
        </w:tc>
        <w:tc>
          <w:tcPr>
            <w:tcW w:w="2103" w:type="pct"/>
          </w:tcPr>
          <w:p w14:paraId="64A959C0">
            <w:pPr>
              <w:pStyle w:val="445"/>
              <w:rPr>
                <w:rFonts w:cs="Times New Roman"/>
                <w:kern w:val="0"/>
                <w:szCs w:val="20"/>
              </w:rPr>
            </w:pPr>
            <w:r>
              <w:rPr>
                <w:rFonts w:cs="Times New Roman"/>
                <w:kern w:val="0"/>
                <w:szCs w:val="20"/>
              </w:rPr>
              <w:t>5.52E-01</w:t>
            </w:r>
          </w:p>
        </w:tc>
        <w:tc>
          <w:tcPr>
            <w:tcW w:w="2104" w:type="pct"/>
            <w:vAlign w:val="center"/>
          </w:tcPr>
          <w:p w14:paraId="4FE51050">
            <w:pPr>
              <w:pStyle w:val="445"/>
              <w:rPr>
                <w:rFonts w:cs="Times New Roman"/>
                <w:kern w:val="0"/>
                <w:szCs w:val="20"/>
              </w:rPr>
            </w:pPr>
            <w:r>
              <w:rPr>
                <w:rFonts w:hint="eastAsia" w:cs="Times New Roman"/>
                <w:kern w:val="0"/>
                <w:szCs w:val="20"/>
              </w:rPr>
              <w:t>8.44E-01</w:t>
            </w:r>
          </w:p>
        </w:tc>
      </w:tr>
      <w:tr w14:paraId="315FFC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A9A1DFA">
            <w:pPr>
              <w:pStyle w:val="445"/>
              <w:rPr>
                <w:rFonts w:cs="Times New Roman"/>
                <w:kern w:val="0"/>
                <w:szCs w:val="20"/>
              </w:rPr>
            </w:pPr>
            <w:r>
              <w:rPr>
                <w:rFonts w:hint="eastAsia" w:cs="Times New Roman"/>
                <w:kern w:val="0"/>
                <w:szCs w:val="20"/>
              </w:rPr>
              <w:t>1900</w:t>
            </w:r>
          </w:p>
        </w:tc>
        <w:tc>
          <w:tcPr>
            <w:tcW w:w="2103" w:type="pct"/>
          </w:tcPr>
          <w:p w14:paraId="357CE593">
            <w:pPr>
              <w:pStyle w:val="445"/>
              <w:rPr>
                <w:rFonts w:cs="Times New Roman"/>
                <w:kern w:val="0"/>
                <w:szCs w:val="20"/>
              </w:rPr>
            </w:pPr>
            <w:r>
              <w:rPr>
                <w:rFonts w:cs="Times New Roman"/>
                <w:kern w:val="0"/>
                <w:szCs w:val="20"/>
              </w:rPr>
              <w:t>4.96E-01</w:t>
            </w:r>
          </w:p>
        </w:tc>
        <w:tc>
          <w:tcPr>
            <w:tcW w:w="2104" w:type="pct"/>
            <w:vAlign w:val="center"/>
          </w:tcPr>
          <w:p w14:paraId="13800582">
            <w:pPr>
              <w:pStyle w:val="445"/>
              <w:rPr>
                <w:rFonts w:cs="Times New Roman"/>
                <w:kern w:val="0"/>
                <w:szCs w:val="20"/>
              </w:rPr>
            </w:pPr>
            <w:r>
              <w:rPr>
                <w:rFonts w:hint="eastAsia" w:cs="Times New Roman"/>
                <w:kern w:val="0"/>
                <w:szCs w:val="20"/>
              </w:rPr>
              <w:t>7.63E-01</w:t>
            </w:r>
          </w:p>
        </w:tc>
      </w:tr>
      <w:tr w14:paraId="088DF2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A5A5424">
            <w:pPr>
              <w:pStyle w:val="445"/>
              <w:rPr>
                <w:rFonts w:cs="Times New Roman"/>
                <w:kern w:val="0"/>
                <w:szCs w:val="20"/>
              </w:rPr>
            </w:pPr>
            <w:r>
              <w:rPr>
                <w:rFonts w:hint="eastAsia" w:cs="Times New Roman"/>
                <w:kern w:val="0"/>
                <w:szCs w:val="20"/>
              </w:rPr>
              <w:t>2000</w:t>
            </w:r>
          </w:p>
        </w:tc>
        <w:tc>
          <w:tcPr>
            <w:tcW w:w="2103" w:type="pct"/>
          </w:tcPr>
          <w:p w14:paraId="065AC458">
            <w:pPr>
              <w:pStyle w:val="445"/>
              <w:rPr>
                <w:rFonts w:cs="Times New Roman"/>
                <w:kern w:val="0"/>
                <w:szCs w:val="20"/>
              </w:rPr>
            </w:pPr>
            <w:r>
              <w:rPr>
                <w:rFonts w:cs="Times New Roman"/>
                <w:kern w:val="0"/>
                <w:szCs w:val="20"/>
              </w:rPr>
              <w:t>4.50E-01</w:t>
            </w:r>
          </w:p>
        </w:tc>
        <w:tc>
          <w:tcPr>
            <w:tcW w:w="2104" w:type="pct"/>
            <w:vAlign w:val="center"/>
          </w:tcPr>
          <w:p w14:paraId="632B2095">
            <w:pPr>
              <w:pStyle w:val="445"/>
              <w:rPr>
                <w:rFonts w:cs="Times New Roman"/>
                <w:kern w:val="0"/>
                <w:szCs w:val="20"/>
              </w:rPr>
            </w:pPr>
            <w:r>
              <w:rPr>
                <w:rFonts w:hint="eastAsia" w:cs="Times New Roman"/>
                <w:kern w:val="0"/>
                <w:szCs w:val="20"/>
              </w:rPr>
              <w:t>6.95E-01</w:t>
            </w:r>
          </w:p>
        </w:tc>
      </w:tr>
      <w:tr w14:paraId="33B04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895960B">
            <w:pPr>
              <w:pStyle w:val="445"/>
              <w:rPr>
                <w:rFonts w:cs="Times New Roman"/>
                <w:kern w:val="0"/>
                <w:szCs w:val="20"/>
              </w:rPr>
            </w:pPr>
            <w:r>
              <w:rPr>
                <w:rFonts w:hint="eastAsia" w:cs="Times New Roman"/>
                <w:kern w:val="0"/>
                <w:szCs w:val="20"/>
              </w:rPr>
              <w:t>2100</w:t>
            </w:r>
          </w:p>
        </w:tc>
        <w:tc>
          <w:tcPr>
            <w:tcW w:w="2103" w:type="pct"/>
          </w:tcPr>
          <w:p w14:paraId="2DA9F991">
            <w:pPr>
              <w:pStyle w:val="445"/>
              <w:rPr>
                <w:rFonts w:cs="Times New Roman"/>
                <w:kern w:val="0"/>
                <w:szCs w:val="20"/>
              </w:rPr>
            </w:pPr>
            <w:r>
              <w:rPr>
                <w:rFonts w:cs="Times New Roman"/>
                <w:kern w:val="0"/>
                <w:szCs w:val="20"/>
              </w:rPr>
              <w:t>4.09E-01</w:t>
            </w:r>
          </w:p>
        </w:tc>
        <w:tc>
          <w:tcPr>
            <w:tcW w:w="2104" w:type="pct"/>
            <w:vAlign w:val="center"/>
          </w:tcPr>
          <w:p w14:paraId="6CD7F3C8">
            <w:pPr>
              <w:pStyle w:val="445"/>
              <w:rPr>
                <w:rFonts w:cs="Times New Roman"/>
                <w:kern w:val="0"/>
                <w:szCs w:val="20"/>
              </w:rPr>
            </w:pPr>
            <w:r>
              <w:rPr>
                <w:rFonts w:hint="eastAsia" w:cs="Times New Roman"/>
                <w:kern w:val="0"/>
                <w:szCs w:val="20"/>
              </w:rPr>
              <w:t>6.35E-01</w:t>
            </w:r>
          </w:p>
        </w:tc>
      </w:tr>
      <w:tr w14:paraId="4039E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0C32853A">
            <w:pPr>
              <w:pStyle w:val="445"/>
              <w:rPr>
                <w:rFonts w:cs="Times New Roman"/>
                <w:kern w:val="0"/>
                <w:szCs w:val="20"/>
              </w:rPr>
            </w:pPr>
            <w:r>
              <w:rPr>
                <w:rFonts w:hint="eastAsia" w:cs="Times New Roman"/>
                <w:kern w:val="0"/>
                <w:szCs w:val="20"/>
              </w:rPr>
              <w:t>2200</w:t>
            </w:r>
          </w:p>
        </w:tc>
        <w:tc>
          <w:tcPr>
            <w:tcW w:w="2103" w:type="pct"/>
          </w:tcPr>
          <w:p w14:paraId="092DB061">
            <w:pPr>
              <w:pStyle w:val="445"/>
              <w:rPr>
                <w:rFonts w:cs="Times New Roman"/>
                <w:kern w:val="0"/>
                <w:szCs w:val="20"/>
              </w:rPr>
            </w:pPr>
            <w:r>
              <w:rPr>
                <w:rFonts w:cs="Times New Roman"/>
                <w:kern w:val="0"/>
                <w:szCs w:val="20"/>
              </w:rPr>
              <w:t>3.73E-01</w:t>
            </w:r>
          </w:p>
        </w:tc>
        <w:tc>
          <w:tcPr>
            <w:tcW w:w="2104" w:type="pct"/>
            <w:vAlign w:val="center"/>
          </w:tcPr>
          <w:p w14:paraId="38D43675">
            <w:pPr>
              <w:pStyle w:val="445"/>
              <w:rPr>
                <w:rFonts w:cs="Times New Roman"/>
                <w:kern w:val="0"/>
                <w:szCs w:val="20"/>
              </w:rPr>
            </w:pPr>
            <w:r>
              <w:rPr>
                <w:rFonts w:hint="eastAsia" w:cs="Times New Roman"/>
                <w:kern w:val="0"/>
                <w:szCs w:val="20"/>
              </w:rPr>
              <w:t>5.80E-01</w:t>
            </w:r>
          </w:p>
        </w:tc>
      </w:tr>
      <w:tr w14:paraId="69EFB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08B98959">
            <w:pPr>
              <w:pStyle w:val="445"/>
              <w:rPr>
                <w:rFonts w:cs="Times New Roman"/>
                <w:kern w:val="0"/>
                <w:szCs w:val="20"/>
              </w:rPr>
            </w:pPr>
            <w:r>
              <w:rPr>
                <w:rFonts w:hint="eastAsia" w:cs="Times New Roman"/>
                <w:kern w:val="0"/>
                <w:szCs w:val="20"/>
              </w:rPr>
              <w:t>2</w:t>
            </w:r>
            <w:r>
              <w:rPr>
                <w:rFonts w:cs="Times New Roman"/>
                <w:kern w:val="0"/>
                <w:szCs w:val="20"/>
              </w:rPr>
              <w:t>300</w:t>
            </w:r>
          </w:p>
        </w:tc>
        <w:tc>
          <w:tcPr>
            <w:tcW w:w="2103" w:type="pct"/>
          </w:tcPr>
          <w:p w14:paraId="50D6CD89">
            <w:pPr>
              <w:pStyle w:val="445"/>
              <w:rPr>
                <w:rFonts w:cs="Times New Roman"/>
                <w:kern w:val="0"/>
                <w:szCs w:val="20"/>
              </w:rPr>
            </w:pPr>
            <w:r>
              <w:rPr>
                <w:rFonts w:cs="Times New Roman"/>
                <w:kern w:val="0"/>
                <w:szCs w:val="20"/>
              </w:rPr>
              <w:t>3.41E-01</w:t>
            </w:r>
          </w:p>
        </w:tc>
        <w:tc>
          <w:tcPr>
            <w:tcW w:w="2104" w:type="pct"/>
            <w:vAlign w:val="center"/>
          </w:tcPr>
          <w:p w14:paraId="5B97CF11">
            <w:pPr>
              <w:pStyle w:val="445"/>
              <w:rPr>
                <w:rFonts w:cs="Times New Roman"/>
                <w:kern w:val="0"/>
                <w:szCs w:val="20"/>
              </w:rPr>
            </w:pPr>
            <w:r>
              <w:rPr>
                <w:rFonts w:hint="eastAsia" w:cs="Times New Roman"/>
                <w:kern w:val="0"/>
                <w:szCs w:val="20"/>
              </w:rPr>
              <w:t>5.33E-01</w:t>
            </w:r>
          </w:p>
        </w:tc>
      </w:tr>
      <w:tr w14:paraId="51FFA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2C7CAA33">
            <w:pPr>
              <w:pStyle w:val="445"/>
              <w:rPr>
                <w:rFonts w:cs="Times New Roman"/>
                <w:kern w:val="0"/>
                <w:szCs w:val="20"/>
              </w:rPr>
            </w:pPr>
            <w:r>
              <w:rPr>
                <w:rFonts w:hint="eastAsia" w:cs="Times New Roman"/>
                <w:kern w:val="0"/>
                <w:szCs w:val="20"/>
              </w:rPr>
              <w:t>2400</w:t>
            </w:r>
          </w:p>
        </w:tc>
        <w:tc>
          <w:tcPr>
            <w:tcW w:w="2103" w:type="pct"/>
          </w:tcPr>
          <w:p w14:paraId="459A216C">
            <w:pPr>
              <w:pStyle w:val="445"/>
              <w:rPr>
                <w:rFonts w:cs="Times New Roman"/>
                <w:kern w:val="0"/>
                <w:szCs w:val="20"/>
              </w:rPr>
            </w:pPr>
            <w:r>
              <w:rPr>
                <w:rFonts w:cs="Times New Roman"/>
                <w:kern w:val="0"/>
                <w:szCs w:val="20"/>
              </w:rPr>
              <w:t>3.15E-01</w:t>
            </w:r>
          </w:p>
        </w:tc>
        <w:tc>
          <w:tcPr>
            <w:tcW w:w="2104" w:type="pct"/>
            <w:vAlign w:val="center"/>
          </w:tcPr>
          <w:p w14:paraId="4500FD3B">
            <w:pPr>
              <w:pStyle w:val="445"/>
              <w:rPr>
                <w:rFonts w:cs="Times New Roman"/>
                <w:kern w:val="0"/>
                <w:szCs w:val="20"/>
              </w:rPr>
            </w:pPr>
            <w:r>
              <w:rPr>
                <w:rFonts w:hint="eastAsia" w:cs="Times New Roman"/>
                <w:kern w:val="0"/>
                <w:szCs w:val="20"/>
              </w:rPr>
              <w:t>4.91E-01</w:t>
            </w:r>
          </w:p>
        </w:tc>
      </w:tr>
      <w:tr w14:paraId="148BB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57D689B1">
            <w:pPr>
              <w:pStyle w:val="445"/>
              <w:rPr>
                <w:rFonts w:cs="Times New Roman"/>
                <w:kern w:val="0"/>
                <w:szCs w:val="20"/>
              </w:rPr>
            </w:pPr>
            <w:r>
              <w:rPr>
                <w:rFonts w:hint="eastAsia" w:cs="Times New Roman"/>
                <w:kern w:val="0"/>
                <w:szCs w:val="20"/>
              </w:rPr>
              <w:t>2500</w:t>
            </w:r>
          </w:p>
        </w:tc>
        <w:tc>
          <w:tcPr>
            <w:tcW w:w="2103" w:type="pct"/>
          </w:tcPr>
          <w:p w14:paraId="5C6D3A0B">
            <w:pPr>
              <w:pStyle w:val="445"/>
              <w:rPr>
                <w:rFonts w:cs="Times New Roman"/>
                <w:kern w:val="0"/>
                <w:szCs w:val="20"/>
              </w:rPr>
            </w:pPr>
            <w:r>
              <w:rPr>
                <w:rFonts w:cs="Times New Roman"/>
                <w:kern w:val="0"/>
                <w:szCs w:val="20"/>
              </w:rPr>
              <w:t>2.92E-01</w:t>
            </w:r>
          </w:p>
        </w:tc>
        <w:tc>
          <w:tcPr>
            <w:tcW w:w="2104" w:type="pct"/>
            <w:vAlign w:val="center"/>
          </w:tcPr>
          <w:p w14:paraId="6558A3AB">
            <w:pPr>
              <w:pStyle w:val="445"/>
              <w:rPr>
                <w:rFonts w:cs="Times New Roman"/>
                <w:kern w:val="0"/>
                <w:szCs w:val="20"/>
              </w:rPr>
            </w:pPr>
            <w:r>
              <w:rPr>
                <w:rFonts w:hint="eastAsia" w:cs="Times New Roman"/>
                <w:kern w:val="0"/>
                <w:szCs w:val="20"/>
              </w:rPr>
              <w:t>4.56E-01</w:t>
            </w:r>
          </w:p>
        </w:tc>
      </w:tr>
      <w:tr w14:paraId="7FFA5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E2A7DE0">
            <w:pPr>
              <w:pStyle w:val="445"/>
              <w:rPr>
                <w:rFonts w:cs="Times New Roman"/>
                <w:kern w:val="0"/>
                <w:szCs w:val="20"/>
              </w:rPr>
            </w:pPr>
            <w:r>
              <w:rPr>
                <w:rFonts w:hint="eastAsia" w:cs="Times New Roman"/>
                <w:kern w:val="0"/>
                <w:szCs w:val="20"/>
              </w:rPr>
              <w:t>3000</w:t>
            </w:r>
          </w:p>
        </w:tc>
        <w:tc>
          <w:tcPr>
            <w:tcW w:w="2103" w:type="pct"/>
            <w:vAlign w:val="center"/>
          </w:tcPr>
          <w:p w14:paraId="4F2BD50A">
            <w:pPr>
              <w:pStyle w:val="445"/>
              <w:rPr>
                <w:rFonts w:cs="Times New Roman"/>
                <w:kern w:val="0"/>
                <w:szCs w:val="20"/>
              </w:rPr>
            </w:pPr>
            <w:r>
              <w:rPr>
                <w:rFonts w:hint="eastAsia" w:cs="Times New Roman"/>
                <w:kern w:val="0"/>
                <w:szCs w:val="20"/>
              </w:rPr>
              <w:t>1.93E-01</w:t>
            </w:r>
          </w:p>
        </w:tc>
        <w:tc>
          <w:tcPr>
            <w:tcW w:w="2104" w:type="pct"/>
            <w:vAlign w:val="center"/>
          </w:tcPr>
          <w:p w14:paraId="5F98B23A">
            <w:pPr>
              <w:pStyle w:val="445"/>
              <w:rPr>
                <w:rFonts w:cs="Times New Roman"/>
                <w:kern w:val="0"/>
                <w:szCs w:val="20"/>
              </w:rPr>
            </w:pPr>
            <w:r>
              <w:rPr>
                <w:rFonts w:hint="eastAsia" w:cs="Times New Roman"/>
                <w:kern w:val="0"/>
                <w:szCs w:val="20"/>
              </w:rPr>
              <w:t>3.20E-01</w:t>
            </w:r>
          </w:p>
        </w:tc>
      </w:tr>
      <w:tr w14:paraId="50451D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16FCAE8">
            <w:pPr>
              <w:pStyle w:val="445"/>
              <w:rPr>
                <w:rFonts w:cs="Times New Roman"/>
                <w:kern w:val="0"/>
                <w:szCs w:val="20"/>
              </w:rPr>
            </w:pPr>
            <w:r>
              <w:rPr>
                <w:rFonts w:hint="eastAsia" w:cs="Times New Roman"/>
                <w:kern w:val="0"/>
                <w:szCs w:val="20"/>
              </w:rPr>
              <w:t>3500</w:t>
            </w:r>
          </w:p>
        </w:tc>
        <w:tc>
          <w:tcPr>
            <w:tcW w:w="2103" w:type="pct"/>
            <w:vAlign w:val="center"/>
          </w:tcPr>
          <w:p w14:paraId="78C7F1BB">
            <w:pPr>
              <w:pStyle w:val="445"/>
              <w:rPr>
                <w:rFonts w:cs="Times New Roman"/>
                <w:kern w:val="0"/>
                <w:szCs w:val="20"/>
              </w:rPr>
            </w:pPr>
            <w:r>
              <w:rPr>
                <w:rFonts w:hint="eastAsia" w:cs="Times New Roman"/>
                <w:kern w:val="0"/>
                <w:szCs w:val="20"/>
              </w:rPr>
              <w:t>1.45E-01</w:t>
            </w:r>
          </w:p>
        </w:tc>
        <w:tc>
          <w:tcPr>
            <w:tcW w:w="2104" w:type="pct"/>
            <w:vAlign w:val="center"/>
          </w:tcPr>
          <w:p w14:paraId="29918FC4">
            <w:pPr>
              <w:pStyle w:val="445"/>
              <w:rPr>
                <w:rFonts w:cs="Times New Roman"/>
                <w:kern w:val="0"/>
                <w:szCs w:val="20"/>
              </w:rPr>
            </w:pPr>
            <w:r>
              <w:rPr>
                <w:rFonts w:hint="eastAsia" w:cs="Times New Roman"/>
                <w:kern w:val="0"/>
                <w:szCs w:val="20"/>
              </w:rPr>
              <w:t>3.28E-02</w:t>
            </w:r>
          </w:p>
        </w:tc>
      </w:tr>
      <w:tr w14:paraId="7940CC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06840D05">
            <w:pPr>
              <w:pStyle w:val="445"/>
              <w:rPr>
                <w:rFonts w:cs="Times New Roman"/>
                <w:kern w:val="0"/>
                <w:szCs w:val="20"/>
              </w:rPr>
            </w:pPr>
            <w:r>
              <w:rPr>
                <w:rFonts w:hint="eastAsia" w:cs="Times New Roman"/>
                <w:kern w:val="0"/>
                <w:szCs w:val="20"/>
              </w:rPr>
              <w:t>4000</w:t>
            </w:r>
          </w:p>
        </w:tc>
        <w:tc>
          <w:tcPr>
            <w:tcW w:w="2103" w:type="pct"/>
            <w:vAlign w:val="center"/>
          </w:tcPr>
          <w:p w14:paraId="12F42DF2">
            <w:pPr>
              <w:pStyle w:val="445"/>
              <w:rPr>
                <w:rFonts w:cs="Times New Roman"/>
                <w:kern w:val="0"/>
                <w:szCs w:val="20"/>
              </w:rPr>
            </w:pPr>
            <w:r>
              <w:rPr>
                <w:rFonts w:hint="eastAsia" w:cs="Times New Roman"/>
                <w:kern w:val="0"/>
                <w:szCs w:val="20"/>
              </w:rPr>
              <w:t>1.14E-01</w:t>
            </w:r>
          </w:p>
        </w:tc>
        <w:tc>
          <w:tcPr>
            <w:tcW w:w="2104" w:type="pct"/>
            <w:vAlign w:val="center"/>
          </w:tcPr>
          <w:p w14:paraId="3C934813">
            <w:pPr>
              <w:pStyle w:val="445"/>
              <w:rPr>
                <w:rFonts w:cs="Times New Roman"/>
                <w:kern w:val="0"/>
                <w:szCs w:val="20"/>
              </w:rPr>
            </w:pPr>
            <w:r>
              <w:rPr>
                <w:rFonts w:hint="eastAsia" w:cs="Times New Roman"/>
                <w:kern w:val="0"/>
                <w:szCs w:val="20"/>
              </w:rPr>
              <w:t>0.00E+00</w:t>
            </w:r>
          </w:p>
        </w:tc>
      </w:tr>
      <w:tr w14:paraId="20F4A2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45EC9587">
            <w:pPr>
              <w:pStyle w:val="445"/>
              <w:rPr>
                <w:rFonts w:cs="Times New Roman"/>
                <w:kern w:val="0"/>
                <w:szCs w:val="20"/>
              </w:rPr>
            </w:pPr>
            <w:r>
              <w:rPr>
                <w:rFonts w:hint="eastAsia" w:cs="Times New Roman"/>
                <w:kern w:val="0"/>
                <w:szCs w:val="20"/>
              </w:rPr>
              <w:t>4500</w:t>
            </w:r>
          </w:p>
        </w:tc>
        <w:tc>
          <w:tcPr>
            <w:tcW w:w="2103" w:type="pct"/>
            <w:vAlign w:val="center"/>
          </w:tcPr>
          <w:p w14:paraId="20312733">
            <w:pPr>
              <w:pStyle w:val="445"/>
              <w:rPr>
                <w:rFonts w:cs="Times New Roman"/>
                <w:kern w:val="0"/>
                <w:szCs w:val="20"/>
              </w:rPr>
            </w:pPr>
            <w:r>
              <w:rPr>
                <w:rFonts w:hint="eastAsia" w:cs="Times New Roman"/>
                <w:kern w:val="0"/>
                <w:szCs w:val="20"/>
              </w:rPr>
              <w:t>9.14E-02</w:t>
            </w:r>
          </w:p>
        </w:tc>
        <w:tc>
          <w:tcPr>
            <w:tcW w:w="2104" w:type="pct"/>
            <w:vAlign w:val="center"/>
          </w:tcPr>
          <w:p w14:paraId="18B98A20">
            <w:pPr>
              <w:pStyle w:val="445"/>
              <w:rPr>
                <w:rFonts w:cs="Times New Roman"/>
                <w:kern w:val="0"/>
                <w:szCs w:val="20"/>
              </w:rPr>
            </w:pPr>
            <w:r>
              <w:rPr>
                <w:rFonts w:hint="eastAsia" w:cs="Times New Roman"/>
                <w:kern w:val="0"/>
                <w:szCs w:val="20"/>
              </w:rPr>
              <w:t>0.00E+00</w:t>
            </w:r>
          </w:p>
        </w:tc>
      </w:tr>
      <w:tr w14:paraId="26EFC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3" w:type="pct"/>
            <w:vAlign w:val="center"/>
          </w:tcPr>
          <w:p w14:paraId="64147145">
            <w:pPr>
              <w:pStyle w:val="445"/>
              <w:rPr>
                <w:rFonts w:cs="Times New Roman"/>
                <w:kern w:val="0"/>
                <w:szCs w:val="20"/>
              </w:rPr>
            </w:pPr>
            <w:r>
              <w:rPr>
                <w:rFonts w:hint="eastAsia" w:cs="Times New Roman"/>
                <w:kern w:val="0"/>
                <w:szCs w:val="20"/>
              </w:rPr>
              <w:t>5000</w:t>
            </w:r>
          </w:p>
        </w:tc>
        <w:tc>
          <w:tcPr>
            <w:tcW w:w="2103" w:type="pct"/>
            <w:vAlign w:val="center"/>
          </w:tcPr>
          <w:p w14:paraId="7F4A55E1">
            <w:pPr>
              <w:pStyle w:val="445"/>
              <w:rPr>
                <w:rFonts w:cs="Times New Roman"/>
                <w:kern w:val="0"/>
                <w:szCs w:val="20"/>
              </w:rPr>
            </w:pPr>
            <w:r>
              <w:rPr>
                <w:rFonts w:hint="eastAsia" w:cs="Times New Roman"/>
                <w:kern w:val="0"/>
                <w:szCs w:val="20"/>
              </w:rPr>
              <w:t>7.47E-02</w:t>
            </w:r>
          </w:p>
        </w:tc>
        <w:tc>
          <w:tcPr>
            <w:tcW w:w="2104" w:type="pct"/>
            <w:vAlign w:val="center"/>
          </w:tcPr>
          <w:p w14:paraId="61CD9591">
            <w:pPr>
              <w:pStyle w:val="445"/>
              <w:rPr>
                <w:rFonts w:cs="Times New Roman"/>
                <w:kern w:val="0"/>
                <w:szCs w:val="20"/>
              </w:rPr>
            </w:pPr>
            <w:r>
              <w:rPr>
                <w:rFonts w:hint="eastAsia" w:cs="Times New Roman"/>
                <w:kern w:val="0"/>
                <w:szCs w:val="20"/>
              </w:rPr>
              <w:t>0.00E+00</w:t>
            </w:r>
          </w:p>
        </w:tc>
      </w:tr>
    </w:tbl>
    <w:p w14:paraId="589FB1C2">
      <w:pPr>
        <w:spacing w:line="500" w:lineRule="exact"/>
        <w:ind w:firstLine="0" w:firstLineChars="0"/>
        <w:jc w:val="center"/>
        <w:rPr>
          <w:rFonts w:eastAsia="黑体"/>
        </w:rPr>
      </w:pPr>
      <w:r>
        <w:rPr>
          <w:rFonts w:hint="eastAsia" w:eastAsia="黑体"/>
        </w:rPr>
        <w:t>表5.6.</w:t>
      </w:r>
      <w:r>
        <w:rPr>
          <w:rFonts w:eastAsia="黑体"/>
        </w:rPr>
        <w:t xml:space="preserve">7-6  </w:t>
      </w:r>
      <w:r>
        <w:rPr>
          <w:rFonts w:hint="eastAsia" w:eastAsia="黑体"/>
        </w:rPr>
        <w:t>氟化氢</w:t>
      </w:r>
      <w:r>
        <w:rPr>
          <w:rFonts w:hint="eastAsia" w:eastAsia="黑体"/>
          <w:lang w:val="zh-CN"/>
        </w:rPr>
        <w:t>各阈值的廓线对应的位置</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78"/>
        <w:gridCol w:w="1239"/>
        <w:gridCol w:w="961"/>
        <w:gridCol w:w="963"/>
        <w:gridCol w:w="1192"/>
        <w:gridCol w:w="1548"/>
      </w:tblGrid>
      <w:tr w14:paraId="120D7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Align w:val="center"/>
          </w:tcPr>
          <w:p w14:paraId="01733AF8">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预测气象条件</w:t>
            </w:r>
          </w:p>
        </w:tc>
        <w:tc>
          <w:tcPr>
            <w:tcW w:w="1070" w:type="pct"/>
            <w:vAlign w:val="center"/>
          </w:tcPr>
          <w:p w14:paraId="3CA9E741">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指标</w:t>
            </w:r>
          </w:p>
        </w:tc>
        <w:tc>
          <w:tcPr>
            <w:tcW w:w="670" w:type="pct"/>
            <w:vAlign w:val="center"/>
          </w:tcPr>
          <w:p w14:paraId="5D197411">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浓度值（</w:t>
            </w:r>
            <w:r>
              <w:rPr>
                <w:rFonts w:cs="Times New Roman"/>
                <w:kern w:val="0"/>
                <w:sz w:val="18"/>
                <w:szCs w:val="20"/>
              </w:rPr>
              <w:t>mg/m</w:t>
            </w:r>
            <w:r>
              <w:rPr>
                <w:rFonts w:cs="Times New Roman"/>
                <w:kern w:val="0"/>
                <w:sz w:val="18"/>
                <w:szCs w:val="20"/>
                <w:vertAlign w:val="superscript"/>
              </w:rPr>
              <w:t>3</w:t>
            </w:r>
            <w:r>
              <w:rPr>
                <w:rFonts w:cs="Times New Roman"/>
                <w:kern w:val="0"/>
                <w:sz w:val="18"/>
                <w:szCs w:val="20"/>
                <w:lang w:val="en-GB"/>
              </w:rPr>
              <w:t>）</w:t>
            </w:r>
          </w:p>
        </w:tc>
        <w:tc>
          <w:tcPr>
            <w:tcW w:w="520" w:type="pct"/>
            <w:vAlign w:val="center"/>
          </w:tcPr>
          <w:p w14:paraId="3486921C">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起点</w:t>
            </w:r>
            <w:r>
              <w:rPr>
                <w:rFonts w:cs="Times New Roman"/>
                <w:kern w:val="0"/>
                <w:sz w:val="18"/>
                <w:szCs w:val="20"/>
                <w:lang w:val="zh-CN"/>
              </w:rPr>
              <w:t>(m)</w:t>
            </w:r>
          </w:p>
        </w:tc>
        <w:tc>
          <w:tcPr>
            <w:tcW w:w="521" w:type="pct"/>
            <w:vAlign w:val="center"/>
          </w:tcPr>
          <w:p w14:paraId="299FFF29">
            <w:pPr>
              <w:widowControl/>
              <w:spacing w:line="360" w:lineRule="exact"/>
              <w:ind w:firstLine="0" w:firstLineChars="0"/>
              <w:jc w:val="center"/>
              <w:rPr>
                <w:rFonts w:cs="Times New Roman"/>
                <w:kern w:val="0"/>
                <w:sz w:val="18"/>
                <w:szCs w:val="20"/>
                <w:lang w:val="en-GB"/>
              </w:rPr>
            </w:pPr>
            <w:r>
              <w:rPr>
                <w:rFonts w:cs="Times New Roman"/>
                <w:kern w:val="0"/>
                <w:sz w:val="18"/>
                <w:szCs w:val="20"/>
                <w:lang w:val="zh-CN"/>
              </w:rPr>
              <w:t>X</w:t>
            </w:r>
            <w:r>
              <w:rPr>
                <w:rFonts w:hint="eastAsia" w:cs="Times New Roman"/>
                <w:kern w:val="0"/>
                <w:sz w:val="18"/>
                <w:szCs w:val="20"/>
                <w:lang w:val="zh-CN"/>
              </w:rPr>
              <w:t>终点</w:t>
            </w:r>
            <w:r>
              <w:rPr>
                <w:rFonts w:cs="Times New Roman"/>
                <w:kern w:val="0"/>
                <w:sz w:val="18"/>
                <w:szCs w:val="20"/>
                <w:lang w:val="zh-CN"/>
              </w:rPr>
              <w:t>(m)</w:t>
            </w:r>
          </w:p>
        </w:tc>
        <w:tc>
          <w:tcPr>
            <w:tcW w:w="645" w:type="pct"/>
            <w:vAlign w:val="center"/>
          </w:tcPr>
          <w:p w14:paraId="7A0C8A34">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w:t>
            </w:r>
            <w:r>
              <w:rPr>
                <w:rFonts w:cs="Times New Roman"/>
                <w:kern w:val="0"/>
                <w:sz w:val="18"/>
                <w:szCs w:val="20"/>
                <w:lang w:val="zh-CN"/>
              </w:rPr>
              <w:t>(m)</w:t>
            </w:r>
          </w:p>
        </w:tc>
        <w:tc>
          <w:tcPr>
            <w:tcW w:w="837" w:type="pct"/>
            <w:vAlign w:val="center"/>
          </w:tcPr>
          <w:p w14:paraId="4E1EE394">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zh-CN"/>
              </w:rPr>
              <w:t>最大半宽对应</w:t>
            </w:r>
            <w:r>
              <w:rPr>
                <w:rFonts w:cs="Times New Roman"/>
                <w:kern w:val="0"/>
                <w:sz w:val="18"/>
                <w:szCs w:val="20"/>
                <w:lang w:val="zh-CN"/>
              </w:rPr>
              <w:t>X(m)</w:t>
            </w:r>
          </w:p>
        </w:tc>
      </w:tr>
      <w:tr w14:paraId="43483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vAlign w:val="center"/>
          </w:tcPr>
          <w:p w14:paraId="2920E49B">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rPr>
              <w:t>最常见</w:t>
            </w:r>
            <w:r>
              <w:rPr>
                <w:rFonts w:cs="Times New Roman"/>
                <w:kern w:val="0"/>
                <w:sz w:val="18"/>
                <w:szCs w:val="20"/>
              </w:rPr>
              <w:t>气象</w:t>
            </w:r>
            <w:r>
              <w:rPr>
                <w:rFonts w:hint="eastAsia" w:cs="Times New Roman"/>
                <w:kern w:val="0"/>
                <w:sz w:val="18"/>
                <w:szCs w:val="20"/>
              </w:rPr>
              <w:t>条件D</w:t>
            </w:r>
          </w:p>
        </w:tc>
        <w:tc>
          <w:tcPr>
            <w:tcW w:w="1070" w:type="pct"/>
            <w:vAlign w:val="center"/>
          </w:tcPr>
          <w:p w14:paraId="6DEED351">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vAlign w:val="center"/>
          </w:tcPr>
          <w:p w14:paraId="7E2DAF6D">
            <w:pPr>
              <w:widowControl/>
              <w:spacing w:line="360" w:lineRule="exact"/>
              <w:ind w:firstLine="0" w:firstLineChars="0"/>
              <w:jc w:val="center"/>
              <w:rPr>
                <w:rFonts w:cs="Times New Roman"/>
                <w:kern w:val="0"/>
                <w:sz w:val="18"/>
                <w:szCs w:val="20"/>
              </w:rPr>
            </w:pPr>
            <w:r>
              <w:rPr>
                <w:rFonts w:cs="Times New Roman"/>
                <w:kern w:val="0"/>
                <w:sz w:val="18"/>
                <w:szCs w:val="20"/>
              </w:rPr>
              <w:t>20</w:t>
            </w:r>
          </w:p>
        </w:tc>
        <w:tc>
          <w:tcPr>
            <w:tcW w:w="520" w:type="pct"/>
            <w:vAlign w:val="center"/>
          </w:tcPr>
          <w:p w14:paraId="39AFE31B">
            <w:pPr>
              <w:widowControl/>
              <w:spacing w:line="360" w:lineRule="exact"/>
              <w:ind w:firstLine="0" w:firstLineChars="0"/>
              <w:jc w:val="center"/>
              <w:rPr>
                <w:rFonts w:cs="Times New Roman"/>
                <w:kern w:val="0"/>
                <w:sz w:val="18"/>
                <w:szCs w:val="20"/>
              </w:rPr>
            </w:pPr>
            <w:r>
              <w:rPr>
                <w:rFonts w:hint="eastAsia" w:cs="Times New Roman"/>
                <w:kern w:val="0"/>
                <w:sz w:val="18"/>
                <w:szCs w:val="20"/>
              </w:rPr>
              <w:t>10</w:t>
            </w:r>
          </w:p>
        </w:tc>
        <w:tc>
          <w:tcPr>
            <w:tcW w:w="521" w:type="pct"/>
            <w:vAlign w:val="center"/>
          </w:tcPr>
          <w:p w14:paraId="2BA85C0D">
            <w:pPr>
              <w:widowControl/>
              <w:spacing w:line="360" w:lineRule="exact"/>
              <w:ind w:firstLine="0" w:firstLineChars="0"/>
              <w:jc w:val="center"/>
              <w:rPr>
                <w:rFonts w:cs="Times New Roman"/>
                <w:kern w:val="0"/>
                <w:sz w:val="18"/>
                <w:szCs w:val="20"/>
              </w:rPr>
            </w:pPr>
            <w:r>
              <w:rPr>
                <w:rFonts w:cs="Times New Roman"/>
                <w:kern w:val="0"/>
                <w:sz w:val="18"/>
                <w:szCs w:val="20"/>
              </w:rPr>
              <w:t>240</w:t>
            </w:r>
          </w:p>
        </w:tc>
        <w:tc>
          <w:tcPr>
            <w:tcW w:w="645" w:type="pct"/>
            <w:vAlign w:val="center"/>
          </w:tcPr>
          <w:p w14:paraId="74E01F02">
            <w:pPr>
              <w:widowControl/>
              <w:spacing w:line="360" w:lineRule="exact"/>
              <w:ind w:firstLine="0" w:firstLineChars="0"/>
              <w:jc w:val="center"/>
              <w:rPr>
                <w:rFonts w:cs="Times New Roman"/>
                <w:kern w:val="0"/>
                <w:sz w:val="18"/>
                <w:szCs w:val="20"/>
              </w:rPr>
            </w:pPr>
            <w:r>
              <w:rPr>
                <w:rFonts w:cs="Times New Roman"/>
                <w:kern w:val="0"/>
                <w:sz w:val="18"/>
                <w:szCs w:val="20"/>
              </w:rPr>
              <w:t>14</w:t>
            </w:r>
          </w:p>
        </w:tc>
        <w:tc>
          <w:tcPr>
            <w:tcW w:w="837" w:type="pct"/>
            <w:vAlign w:val="center"/>
          </w:tcPr>
          <w:p w14:paraId="55128A15">
            <w:pPr>
              <w:widowControl/>
              <w:spacing w:line="360" w:lineRule="exact"/>
              <w:ind w:firstLine="0" w:firstLineChars="0"/>
              <w:jc w:val="center"/>
              <w:rPr>
                <w:rFonts w:cs="Times New Roman"/>
                <w:kern w:val="0"/>
                <w:sz w:val="18"/>
                <w:szCs w:val="20"/>
              </w:rPr>
            </w:pPr>
            <w:r>
              <w:rPr>
                <w:rFonts w:hint="eastAsia" w:cs="Times New Roman"/>
                <w:kern w:val="0"/>
                <w:sz w:val="18"/>
                <w:szCs w:val="20"/>
              </w:rPr>
              <w:t>1</w:t>
            </w:r>
            <w:r>
              <w:rPr>
                <w:rFonts w:cs="Times New Roman"/>
                <w:kern w:val="0"/>
                <w:sz w:val="18"/>
                <w:szCs w:val="20"/>
              </w:rPr>
              <w:t>10</w:t>
            </w:r>
          </w:p>
        </w:tc>
      </w:tr>
      <w:tr w14:paraId="08C28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vAlign w:val="center"/>
          </w:tcPr>
          <w:p w14:paraId="44CAE124">
            <w:pPr>
              <w:widowControl/>
              <w:spacing w:line="360" w:lineRule="exact"/>
              <w:ind w:firstLine="0" w:firstLineChars="0"/>
              <w:jc w:val="center"/>
              <w:rPr>
                <w:rFonts w:cs="Times New Roman"/>
                <w:kern w:val="0"/>
                <w:sz w:val="18"/>
                <w:szCs w:val="20"/>
                <w:lang w:val="en-GB"/>
              </w:rPr>
            </w:pPr>
          </w:p>
        </w:tc>
        <w:tc>
          <w:tcPr>
            <w:tcW w:w="1070" w:type="pct"/>
            <w:vAlign w:val="center"/>
          </w:tcPr>
          <w:p w14:paraId="362BF553">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vAlign w:val="center"/>
          </w:tcPr>
          <w:p w14:paraId="4F6F436C">
            <w:pPr>
              <w:widowControl/>
              <w:spacing w:line="360" w:lineRule="exact"/>
              <w:ind w:firstLine="0" w:firstLineChars="0"/>
              <w:jc w:val="center"/>
              <w:rPr>
                <w:rFonts w:cs="Times New Roman"/>
                <w:kern w:val="0"/>
                <w:sz w:val="18"/>
                <w:szCs w:val="20"/>
              </w:rPr>
            </w:pPr>
            <w:r>
              <w:rPr>
                <w:rFonts w:cs="Times New Roman"/>
                <w:kern w:val="0"/>
                <w:sz w:val="18"/>
                <w:szCs w:val="20"/>
              </w:rPr>
              <w:t>36</w:t>
            </w:r>
          </w:p>
        </w:tc>
        <w:tc>
          <w:tcPr>
            <w:tcW w:w="520" w:type="pct"/>
            <w:vAlign w:val="center"/>
          </w:tcPr>
          <w:p w14:paraId="7A7A7101">
            <w:pPr>
              <w:pStyle w:val="445"/>
              <w:rPr>
                <w:rFonts w:cs="Times New Roman"/>
                <w:kern w:val="0"/>
                <w:szCs w:val="20"/>
                <w:lang w:val="zh-CN"/>
              </w:rPr>
            </w:pPr>
            <w:r>
              <w:rPr>
                <w:rFonts w:hint="eastAsia" w:cs="Times New Roman"/>
                <w:kern w:val="0"/>
                <w:szCs w:val="20"/>
                <w:lang w:val="zh-CN"/>
              </w:rPr>
              <w:t>10</w:t>
            </w:r>
          </w:p>
        </w:tc>
        <w:tc>
          <w:tcPr>
            <w:tcW w:w="521" w:type="pct"/>
            <w:vAlign w:val="center"/>
          </w:tcPr>
          <w:p w14:paraId="464E2D59">
            <w:pPr>
              <w:pStyle w:val="445"/>
              <w:rPr>
                <w:rFonts w:cs="Times New Roman"/>
                <w:kern w:val="0"/>
                <w:szCs w:val="20"/>
                <w:lang w:val="zh-CN"/>
              </w:rPr>
            </w:pPr>
            <w:r>
              <w:rPr>
                <w:rFonts w:hint="eastAsia" w:cs="Times New Roman"/>
                <w:kern w:val="0"/>
                <w:szCs w:val="20"/>
                <w:lang w:val="zh-CN"/>
              </w:rPr>
              <w:t>1</w:t>
            </w:r>
            <w:r>
              <w:rPr>
                <w:rFonts w:cs="Times New Roman"/>
                <w:kern w:val="0"/>
                <w:szCs w:val="20"/>
                <w:lang w:val="zh-CN"/>
              </w:rPr>
              <w:t>60</w:t>
            </w:r>
          </w:p>
        </w:tc>
        <w:tc>
          <w:tcPr>
            <w:tcW w:w="645" w:type="pct"/>
            <w:vAlign w:val="center"/>
          </w:tcPr>
          <w:p w14:paraId="402E7E15">
            <w:pPr>
              <w:pStyle w:val="445"/>
              <w:rPr>
                <w:rFonts w:cs="Times New Roman"/>
                <w:kern w:val="0"/>
                <w:szCs w:val="20"/>
                <w:lang w:val="zh-CN"/>
              </w:rPr>
            </w:pPr>
            <w:r>
              <w:rPr>
                <w:rFonts w:cs="Times New Roman"/>
                <w:kern w:val="0"/>
                <w:szCs w:val="20"/>
                <w:lang w:val="zh-CN"/>
              </w:rPr>
              <w:t>10</w:t>
            </w:r>
          </w:p>
        </w:tc>
        <w:tc>
          <w:tcPr>
            <w:tcW w:w="837" w:type="pct"/>
            <w:vAlign w:val="center"/>
          </w:tcPr>
          <w:p w14:paraId="52A7C1CC">
            <w:pPr>
              <w:pStyle w:val="445"/>
              <w:rPr>
                <w:rFonts w:cs="Times New Roman"/>
                <w:kern w:val="0"/>
                <w:szCs w:val="20"/>
                <w:lang w:val="zh-CN"/>
              </w:rPr>
            </w:pPr>
            <w:r>
              <w:rPr>
                <w:rFonts w:hint="eastAsia" w:cs="Times New Roman"/>
                <w:kern w:val="0"/>
                <w:szCs w:val="20"/>
                <w:lang w:val="zh-CN"/>
              </w:rPr>
              <w:t>60</w:t>
            </w:r>
          </w:p>
        </w:tc>
      </w:tr>
      <w:tr w14:paraId="451643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restart"/>
            <w:vAlign w:val="center"/>
          </w:tcPr>
          <w:p w14:paraId="2965EB74">
            <w:pPr>
              <w:widowControl/>
              <w:spacing w:line="360" w:lineRule="exact"/>
              <w:ind w:firstLine="0" w:firstLineChars="0"/>
              <w:jc w:val="center"/>
              <w:rPr>
                <w:rFonts w:cs="Times New Roman"/>
                <w:kern w:val="0"/>
                <w:sz w:val="18"/>
                <w:szCs w:val="20"/>
                <w:lang w:val="en-GB"/>
              </w:rPr>
            </w:pPr>
            <w:r>
              <w:rPr>
                <w:rFonts w:hint="eastAsia" w:cs="Times New Roman"/>
                <w:kern w:val="0"/>
                <w:sz w:val="18"/>
                <w:szCs w:val="20"/>
                <w:lang w:val="en-GB"/>
              </w:rPr>
              <w:t>最不利气象条件</w:t>
            </w:r>
            <w:r>
              <w:rPr>
                <w:rFonts w:cs="Times New Roman"/>
                <w:kern w:val="0"/>
                <w:sz w:val="18"/>
                <w:szCs w:val="20"/>
                <w:lang w:val="en-GB"/>
              </w:rPr>
              <w:t>F</w:t>
            </w:r>
          </w:p>
        </w:tc>
        <w:tc>
          <w:tcPr>
            <w:tcW w:w="1070" w:type="pct"/>
            <w:vAlign w:val="center"/>
          </w:tcPr>
          <w:p w14:paraId="46067D02">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大气毒性终点浓度-2</w:t>
            </w:r>
          </w:p>
        </w:tc>
        <w:tc>
          <w:tcPr>
            <w:tcW w:w="670" w:type="pct"/>
            <w:vAlign w:val="center"/>
          </w:tcPr>
          <w:p w14:paraId="01F69497">
            <w:pPr>
              <w:widowControl/>
              <w:spacing w:line="360" w:lineRule="exact"/>
              <w:ind w:firstLine="0" w:firstLineChars="0"/>
              <w:jc w:val="center"/>
              <w:rPr>
                <w:rFonts w:cs="Times New Roman"/>
                <w:kern w:val="0"/>
                <w:sz w:val="18"/>
                <w:szCs w:val="20"/>
              </w:rPr>
            </w:pPr>
            <w:r>
              <w:rPr>
                <w:rFonts w:cs="Times New Roman"/>
                <w:kern w:val="0"/>
                <w:sz w:val="18"/>
                <w:szCs w:val="20"/>
              </w:rPr>
              <w:t>20</w:t>
            </w:r>
          </w:p>
        </w:tc>
        <w:tc>
          <w:tcPr>
            <w:tcW w:w="520" w:type="pct"/>
            <w:vAlign w:val="center"/>
          </w:tcPr>
          <w:p w14:paraId="6BAF16AE">
            <w:pPr>
              <w:pStyle w:val="445"/>
              <w:rPr>
                <w:rFonts w:cs="Times New Roman"/>
                <w:kern w:val="0"/>
                <w:szCs w:val="20"/>
              </w:rPr>
            </w:pPr>
            <w:r>
              <w:rPr>
                <w:rFonts w:hint="eastAsia" w:cs="Times New Roman"/>
                <w:kern w:val="0"/>
                <w:szCs w:val="20"/>
              </w:rPr>
              <w:t>10</w:t>
            </w:r>
          </w:p>
        </w:tc>
        <w:tc>
          <w:tcPr>
            <w:tcW w:w="521" w:type="pct"/>
            <w:vAlign w:val="center"/>
          </w:tcPr>
          <w:p w14:paraId="37060966">
            <w:pPr>
              <w:widowControl/>
              <w:spacing w:line="360" w:lineRule="exact"/>
              <w:ind w:firstLine="0" w:firstLineChars="0"/>
              <w:jc w:val="center"/>
              <w:rPr>
                <w:rFonts w:cs="Times New Roman"/>
                <w:kern w:val="0"/>
                <w:sz w:val="18"/>
                <w:szCs w:val="20"/>
              </w:rPr>
            </w:pPr>
            <w:r>
              <w:rPr>
                <w:rFonts w:hint="eastAsia" w:cs="Times New Roman"/>
                <w:kern w:val="0"/>
                <w:sz w:val="18"/>
                <w:szCs w:val="20"/>
              </w:rPr>
              <w:t>2</w:t>
            </w:r>
            <w:r>
              <w:rPr>
                <w:rFonts w:cs="Times New Roman"/>
                <w:kern w:val="0"/>
                <w:sz w:val="18"/>
                <w:szCs w:val="20"/>
              </w:rPr>
              <w:t>60</w:t>
            </w:r>
          </w:p>
        </w:tc>
        <w:tc>
          <w:tcPr>
            <w:tcW w:w="645" w:type="pct"/>
            <w:vAlign w:val="center"/>
          </w:tcPr>
          <w:p w14:paraId="7DA36618">
            <w:pPr>
              <w:widowControl/>
              <w:spacing w:line="360" w:lineRule="exact"/>
              <w:ind w:firstLine="0" w:firstLineChars="0"/>
              <w:jc w:val="center"/>
              <w:rPr>
                <w:rFonts w:cs="Times New Roman"/>
                <w:kern w:val="0"/>
                <w:sz w:val="18"/>
                <w:szCs w:val="20"/>
              </w:rPr>
            </w:pPr>
            <w:r>
              <w:rPr>
                <w:rFonts w:cs="Times New Roman"/>
                <w:kern w:val="0"/>
                <w:sz w:val="18"/>
                <w:szCs w:val="20"/>
              </w:rPr>
              <w:t>16</w:t>
            </w:r>
          </w:p>
        </w:tc>
        <w:tc>
          <w:tcPr>
            <w:tcW w:w="837" w:type="pct"/>
            <w:vAlign w:val="center"/>
          </w:tcPr>
          <w:p w14:paraId="009090F9">
            <w:pPr>
              <w:widowControl/>
              <w:spacing w:line="360" w:lineRule="exact"/>
              <w:ind w:firstLine="0" w:firstLineChars="0"/>
              <w:jc w:val="center"/>
              <w:rPr>
                <w:rFonts w:cs="Times New Roman"/>
                <w:kern w:val="0"/>
                <w:sz w:val="18"/>
                <w:szCs w:val="20"/>
              </w:rPr>
            </w:pPr>
            <w:r>
              <w:rPr>
                <w:rFonts w:cs="Times New Roman"/>
                <w:kern w:val="0"/>
                <w:sz w:val="18"/>
                <w:szCs w:val="20"/>
              </w:rPr>
              <w:t>160</w:t>
            </w:r>
          </w:p>
        </w:tc>
      </w:tr>
      <w:tr w14:paraId="6971D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7" w:type="pct"/>
            <w:vMerge w:val="continue"/>
            <w:vAlign w:val="center"/>
          </w:tcPr>
          <w:p w14:paraId="022665F4">
            <w:pPr>
              <w:widowControl/>
              <w:spacing w:line="360" w:lineRule="exact"/>
              <w:ind w:firstLine="0" w:firstLineChars="0"/>
              <w:jc w:val="center"/>
              <w:rPr>
                <w:rFonts w:cs="Times New Roman"/>
                <w:kern w:val="0"/>
                <w:sz w:val="18"/>
                <w:szCs w:val="20"/>
                <w:lang w:val="en-GB"/>
              </w:rPr>
            </w:pPr>
          </w:p>
        </w:tc>
        <w:tc>
          <w:tcPr>
            <w:tcW w:w="1070" w:type="pct"/>
            <w:vAlign w:val="center"/>
          </w:tcPr>
          <w:p w14:paraId="1621F20C">
            <w:pPr>
              <w:widowControl/>
              <w:spacing w:line="360" w:lineRule="exact"/>
              <w:ind w:firstLine="0" w:firstLineChars="0"/>
              <w:jc w:val="center"/>
              <w:rPr>
                <w:rFonts w:cs="Times New Roman"/>
                <w:kern w:val="0"/>
                <w:sz w:val="18"/>
                <w:szCs w:val="20"/>
                <w:lang w:val="en-GB"/>
              </w:rPr>
            </w:pPr>
            <w:r>
              <w:rPr>
                <w:rFonts w:cs="Times New Roman"/>
                <w:kern w:val="0"/>
                <w:sz w:val="18"/>
                <w:szCs w:val="20"/>
                <w:lang w:val="en-GB"/>
              </w:rPr>
              <w:t>大气毒性终点浓度-1</w:t>
            </w:r>
          </w:p>
        </w:tc>
        <w:tc>
          <w:tcPr>
            <w:tcW w:w="670" w:type="pct"/>
            <w:vAlign w:val="center"/>
          </w:tcPr>
          <w:p w14:paraId="2F4F76E0">
            <w:pPr>
              <w:widowControl/>
              <w:spacing w:line="360" w:lineRule="exact"/>
              <w:ind w:firstLine="0" w:firstLineChars="0"/>
              <w:jc w:val="center"/>
              <w:rPr>
                <w:rFonts w:cs="Times New Roman"/>
                <w:kern w:val="0"/>
                <w:sz w:val="18"/>
                <w:szCs w:val="20"/>
              </w:rPr>
            </w:pPr>
            <w:r>
              <w:rPr>
                <w:rFonts w:cs="Times New Roman"/>
                <w:kern w:val="0"/>
                <w:sz w:val="18"/>
                <w:szCs w:val="20"/>
              </w:rPr>
              <w:t>36</w:t>
            </w:r>
          </w:p>
        </w:tc>
        <w:tc>
          <w:tcPr>
            <w:tcW w:w="520" w:type="pct"/>
            <w:vAlign w:val="center"/>
          </w:tcPr>
          <w:p w14:paraId="169048EB">
            <w:pPr>
              <w:pStyle w:val="445"/>
              <w:rPr>
                <w:rFonts w:cs="Times New Roman"/>
                <w:kern w:val="0"/>
                <w:szCs w:val="20"/>
              </w:rPr>
            </w:pPr>
            <w:r>
              <w:rPr>
                <w:rFonts w:hint="eastAsia" w:cs="Times New Roman"/>
                <w:kern w:val="0"/>
                <w:szCs w:val="20"/>
                <w:lang w:val="zh-CN"/>
              </w:rPr>
              <w:t>10</w:t>
            </w:r>
          </w:p>
        </w:tc>
        <w:tc>
          <w:tcPr>
            <w:tcW w:w="521" w:type="pct"/>
            <w:vAlign w:val="center"/>
          </w:tcPr>
          <w:p w14:paraId="384A152C">
            <w:pPr>
              <w:widowControl/>
              <w:spacing w:line="360" w:lineRule="exact"/>
              <w:ind w:firstLine="0" w:firstLineChars="0"/>
              <w:jc w:val="center"/>
              <w:rPr>
                <w:rFonts w:cs="Times New Roman"/>
                <w:kern w:val="0"/>
                <w:sz w:val="18"/>
                <w:szCs w:val="20"/>
              </w:rPr>
            </w:pPr>
            <w:r>
              <w:rPr>
                <w:rFonts w:cs="Times New Roman"/>
                <w:kern w:val="0"/>
                <w:sz w:val="18"/>
                <w:szCs w:val="20"/>
              </w:rPr>
              <w:t>180</w:t>
            </w:r>
          </w:p>
        </w:tc>
        <w:tc>
          <w:tcPr>
            <w:tcW w:w="645" w:type="pct"/>
            <w:vAlign w:val="center"/>
          </w:tcPr>
          <w:p w14:paraId="0D1AFC80">
            <w:pPr>
              <w:widowControl/>
              <w:spacing w:line="360" w:lineRule="exact"/>
              <w:ind w:firstLine="0" w:firstLineChars="0"/>
              <w:jc w:val="center"/>
              <w:rPr>
                <w:rFonts w:cs="Times New Roman"/>
                <w:kern w:val="0"/>
                <w:sz w:val="18"/>
                <w:szCs w:val="20"/>
              </w:rPr>
            </w:pPr>
            <w:r>
              <w:rPr>
                <w:rFonts w:cs="Times New Roman"/>
                <w:kern w:val="0"/>
                <w:sz w:val="18"/>
                <w:szCs w:val="20"/>
              </w:rPr>
              <w:t>12</w:t>
            </w:r>
          </w:p>
        </w:tc>
        <w:tc>
          <w:tcPr>
            <w:tcW w:w="837" w:type="pct"/>
            <w:vAlign w:val="center"/>
          </w:tcPr>
          <w:p w14:paraId="5F5560DD">
            <w:pPr>
              <w:widowControl/>
              <w:spacing w:line="360" w:lineRule="exact"/>
              <w:ind w:firstLine="0" w:firstLineChars="0"/>
              <w:jc w:val="center"/>
              <w:rPr>
                <w:rFonts w:cs="Times New Roman"/>
                <w:kern w:val="0"/>
                <w:sz w:val="18"/>
                <w:szCs w:val="20"/>
              </w:rPr>
            </w:pPr>
            <w:r>
              <w:rPr>
                <w:rFonts w:cs="Times New Roman"/>
                <w:kern w:val="0"/>
                <w:sz w:val="18"/>
                <w:szCs w:val="20"/>
              </w:rPr>
              <w:t>110</w:t>
            </w:r>
          </w:p>
        </w:tc>
      </w:tr>
    </w:tbl>
    <w:p w14:paraId="4F7D154C">
      <w:pPr>
        <w:ind w:firstLine="480"/>
      </w:pPr>
    </w:p>
    <w:p w14:paraId="0CA6DE01">
      <w:pPr>
        <w:ind w:firstLine="0" w:firstLineChars="0"/>
        <w:jc w:val="center"/>
      </w:pPr>
      <w:r>
        <w:drawing>
          <wp:inline distT="0" distB="0" distL="0" distR="0">
            <wp:extent cx="4838065" cy="3949065"/>
            <wp:effectExtent l="0" t="0" r="635" b="0"/>
            <wp:docPr id="28" name="图片 28" descr="C:\Users\ADMINI~1\AppData\Local\Temp\WeChat Files\de0b98c6a389af4b5b529500d455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1\AppData\Local\Temp\WeChat Files\de0b98c6a389af4b5b529500d455413.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4838400" cy="3949200"/>
                    </a:xfrm>
                    <a:prstGeom prst="rect">
                      <a:avLst/>
                    </a:prstGeom>
                    <a:noFill/>
                    <a:ln>
                      <a:noFill/>
                    </a:ln>
                  </pic:spPr>
                </pic:pic>
              </a:graphicData>
            </a:graphic>
          </wp:inline>
        </w:drawing>
      </w:r>
    </w:p>
    <w:p w14:paraId="789F7439">
      <w:pPr>
        <w:spacing w:line="500" w:lineRule="exact"/>
        <w:ind w:firstLine="0" w:firstLineChars="0"/>
        <w:jc w:val="center"/>
        <w:rPr>
          <w:rFonts w:eastAsia="黑体"/>
        </w:rPr>
      </w:pPr>
      <w:r>
        <w:rPr>
          <w:rFonts w:hint="eastAsia" w:eastAsia="黑体"/>
        </w:rPr>
        <w:t>图5.6.</w:t>
      </w:r>
      <w:r>
        <w:rPr>
          <w:rFonts w:eastAsia="黑体"/>
        </w:rPr>
        <w:t>7-5  D</w:t>
      </w:r>
      <w:r>
        <w:rPr>
          <w:rFonts w:hint="eastAsia" w:eastAsia="黑体"/>
        </w:rPr>
        <w:t>稳定度氟化氢</w:t>
      </w:r>
      <w:r>
        <w:rPr>
          <w:rFonts w:eastAsia="黑体"/>
        </w:rPr>
        <w:t>最大</w:t>
      </w:r>
      <w:r>
        <w:rPr>
          <w:rFonts w:hint="eastAsia" w:eastAsia="黑体"/>
        </w:rPr>
        <w:t>影响区域</w:t>
      </w:r>
      <w:r>
        <w:rPr>
          <w:rFonts w:eastAsia="黑体"/>
        </w:rPr>
        <w:t>图</w:t>
      </w:r>
    </w:p>
    <w:p w14:paraId="183AA0D3">
      <w:pPr>
        <w:ind w:firstLine="0" w:firstLineChars="0"/>
        <w:jc w:val="center"/>
      </w:pPr>
      <w:r>
        <w:drawing>
          <wp:inline distT="0" distB="0" distL="0" distR="0">
            <wp:extent cx="4838065" cy="3949065"/>
            <wp:effectExtent l="0" t="0" r="635" b="0"/>
            <wp:docPr id="896" name="图片 896" descr="C:\Users\ADMINI~1\AppData\Local\Temp\WeChat Files\772fd8a92e0b0b4e7fe723537b79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图片 896" descr="C:\Users\ADMINI~1\AppData\Local\Temp\WeChat Files\772fd8a92e0b0b4e7fe723537b79525.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4838400" cy="3949200"/>
                    </a:xfrm>
                    <a:prstGeom prst="rect">
                      <a:avLst/>
                    </a:prstGeom>
                    <a:noFill/>
                    <a:ln>
                      <a:noFill/>
                    </a:ln>
                  </pic:spPr>
                </pic:pic>
              </a:graphicData>
            </a:graphic>
          </wp:inline>
        </w:drawing>
      </w:r>
    </w:p>
    <w:p w14:paraId="1C388AB5">
      <w:pPr>
        <w:spacing w:line="500" w:lineRule="exact"/>
        <w:ind w:firstLine="0" w:firstLineChars="0"/>
        <w:jc w:val="center"/>
        <w:rPr>
          <w:rFonts w:eastAsia="黑体"/>
        </w:rPr>
      </w:pPr>
      <w:r>
        <w:rPr>
          <w:rFonts w:hint="eastAsia" w:eastAsia="黑体"/>
        </w:rPr>
        <w:t>图5.6.</w:t>
      </w:r>
      <w:r>
        <w:rPr>
          <w:rFonts w:eastAsia="黑体"/>
        </w:rPr>
        <w:t>7-6  F</w:t>
      </w:r>
      <w:r>
        <w:rPr>
          <w:rFonts w:hint="eastAsia" w:eastAsia="黑体"/>
        </w:rPr>
        <w:t>稳定度氟化氢</w:t>
      </w:r>
      <w:r>
        <w:rPr>
          <w:rFonts w:eastAsia="黑体"/>
        </w:rPr>
        <w:t>最大</w:t>
      </w:r>
      <w:r>
        <w:rPr>
          <w:rFonts w:hint="eastAsia" w:eastAsia="黑体"/>
        </w:rPr>
        <w:t>影响区域</w:t>
      </w:r>
      <w:r>
        <w:rPr>
          <w:rFonts w:eastAsia="黑体"/>
        </w:rPr>
        <w:t>图</w:t>
      </w:r>
    </w:p>
    <w:p w14:paraId="5D65C6D0">
      <w:pPr>
        <w:ind w:firstLine="480"/>
      </w:pPr>
      <w:r>
        <w:rPr>
          <w:rFonts w:hint="eastAsia"/>
        </w:rPr>
        <w:t>由表5.6.</w:t>
      </w:r>
      <w:r>
        <w:t>7-6</w:t>
      </w:r>
      <w:r>
        <w:rPr>
          <w:rFonts w:hint="eastAsia"/>
        </w:rPr>
        <w:t>及</w:t>
      </w:r>
      <w:r>
        <w:t>图</w:t>
      </w:r>
      <w:r>
        <w:rPr>
          <w:rFonts w:hint="eastAsia"/>
        </w:rPr>
        <w:t>5.6.</w:t>
      </w:r>
      <w:r>
        <w:t>7-5~6</w:t>
      </w:r>
      <w:r>
        <w:rPr>
          <w:rFonts w:hint="eastAsia"/>
        </w:rPr>
        <w:t>可知：</w:t>
      </w:r>
    </w:p>
    <w:p w14:paraId="24890546">
      <w:pPr>
        <w:ind w:firstLine="480"/>
      </w:pPr>
      <w:r>
        <w:rPr>
          <w:rFonts w:hint="eastAsia" w:cs="Times New Roman"/>
        </w:rPr>
        <w:t>在</w:t>
      </w:r>
      <w:r>
        <w:rPr>
          <w:rFonts w:cs="Times New Roman"/>
        </w:rPr>
        <w:t>D稳定度下，</w:t>
      </w:r>
      <w:r>
        <w:rPr>
          <w:rFonts w:hint="eastAsia" w:cs="Times New Roman"/>
        </w:rPr>
        <w:t>氢氟酸储罐</w:t>
      </w:r>
      <w:r>
        <w:t>泄漏事故</w:t>
      </w:r>
      <w:r>
        <w:rPr>
          <w:rFonts w:hint="eastAsia" w:cs="Times New Roman"/>
        </w:rPr>
        <w:t>产生</w:t>
      </w:r>
      <w:r>
        <w:rPr>
          <w:rFonts w:cs="Times New Roman"/>
        </w:rPr>
        <w:t>的</w:t>
      </w:r>
      <w:r>
        <w:rPr>
          <w:rFonts w:hint="eastAsia" w:cs="Times New Roman"/>
        </w:rPr>
        <w:t>氟化氢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最大出现距离为氢氟酸储罐</w:t>
      </w:r>
      <w:r>
        <w:rPr>
          <w:rFonts w:cs="Times New Roman"/>
        </w:rPr>
        <w:t>下风向240m</w:t>
      </w:r>
      <w:r>
        <w:rPr>
          <w:rFonts w:hint="eastAsia" w:cs="Times New Roman"/>
        </w:rPr>
        <w:t>（超</w:t>
      </w:r>
      <w:r>
        <w:rPr>
          <w:rFonts w:cs="Times New Roman"/>
        </w:rPr>
        <w:t>厂界</w:t>
      </w:r>
      <w:r>
        <w:rPr>
          <w:rFonts w:hint="eastAsia" w:cs="Times New Roman"/>
        </w:rPr>
        <w:t>外</w:t>
      </w:r>
      <w:r>
        <w:rPr>
          <w:rFonts w:cs="Times New Roman"/>
        </w:rPr>
        <w:t>140m</w:t>
      </w:r>
      <w:r>
        <w:rPr>
          <w:rFonts w:hint="eastAsia" w:cs="Times New Roman"/>
        </w:rPr>
        <w:t>）；</w:t>
      </w:r>
      <w:r>
        <w:rPr>
          <w:rFonts w:hint="eastAsia"/>
        </w:rPr>
        <w:t>达到</w:t>
      </w:r>
      <w:r>
        <w:t>毒性终点浓度</w:t>
      </w:r>
      <w:r>
        <w:rPr>
          <w:rFonts w:hint="eastAsia"/>
        </w:rPr>
        <w:t>-</w:t>
      </w:r>
      <w:r>
        <w:t>1</w:t>
      </w:r>
      <w:r>
        <w:rPr>
          <w:rFonts w:hint="eastAsia"/>
        </w:rPr>
        <w:t>最大出现距离为</w:t>
      </w:r>
      <w:r>
        <w:rPr>
          <w:rFonts w:hint="eastAsia" w:cs="Times New Roman"/>
        </w:rPr>
        <w:t>氢氟酸储罐</w:t>
      </w:r>
      <w:r>
        <w:t>下风向160m（</w:t>
      </w:r>
      <w:r>
        <w:rPr>
          <w:rFonts w:hint="eastAsia"/>
        </w:rPr>
        <w:t>超厂界外</w:t>
      </w:r>
      <w:r>
        <w:t>60m）</w:t>
      </w:r>
      <w:r>
        <w:rPr>
          <w:rFonts w:hint="eastAsia"/>
        </w:rPr>
        <w:t>。</w:t>
      </w:r>
    </w:p>
    <w:p w14:paraId="379C24BF">
      <w:pPr>
        <w:ind w:firstLine="480"/>
      </w:pPr>
      <w:r>
        <w:rPr>
          <w:rFonts w:hint="eastAsia" w:cs="Times New Roman"/>
        </w:rPr>
        <w:t>在</w:t>
      </w:r>
      <w:r>
        <w:rPr>
          <w:rFonts w:cs="Times New Roman"/>
        </w:rPr>
        <w:t>F稳定度下，</w:t>
      </w:r>
      <w:r>
        <w:rPr>
          <w:rFonts w:hint="eastAsia" w:cs="Times New Roman"/>
        </w:rPr>
        <w:t>氢氟酸储罐</w:t>
      </w:r>
      <w:r>
        <w:t>泄漏事故</w:t>
      </w:r>
      <w:r>
        <w:rPr>
          <w:rFonts w:hint="eastAsia" w:cs="Times New Roman"/>
        </w:rPr>
        <w:t>产生</w:t>
      </w:r>
      <w:r>
        <w:rPr>
          <w:rFonts w:cs="Times New Roman"/>
        </w:rPr>
        <w:t>的</w:t>
      </w:r>
      <w:r>
        <w:rPr>
          <w:rFonts w:hint="eastAsia" w:cs="Times New Roman"/>
        </w:rPr>
        <w:t>氟化氢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最大出现距离为氢氟酸储罐</w:t>
      </w:r>
      <w:r>
        <w:rPr>
          <w:rFonts w:cs="Times New Roman"/>
        </w:rPr>
        <w:t>下风向260m</w:t>
      </w:r>
      <w:r>
        <w:rPr>
          <w:rFonts w:hint="eastAsia" w:cs="Times New Roman"/>
        </w:rPr>
        <w:t>（超</w:t>
      </w:r>
      <w:r>
        <w:rPr>
          <w:rFonts w:cs="Times New Roman"/>
        </w:rPr>
        <w:t>厂界</w:t>
      </w:r>
      <w:r>
        <w:rPr>
          <w:rFonts w:hint="eastAsia" w:cs="Times New Roman"/>
        </w:rPr>
        <w:t>外</w:t>
      </w:r>
      <w:r>
        <w:rPr>
          <w:rFonts w:cs="Times New Roman"/>
        </w:rPr>
        <w:t>160m</w:t>
      </w:r>
      <w:r>
        <w:rPr>
          <w:rFonts w:hint="eastAsia" w:cs="Times New Roman"/>
        </w:rPr>
        <w:t>）；</w:t>
      </w:r>
      <w:r>
        <w:rPr>
          <w:rFonts w:hint="eastAsia"/>
        </w:rPr>
        <w:t>达到</w:t>
      </w:r>
      <w:r>
        <w:t>毒性终点浓度</w:t>
      </w:r>
      <w:r>
        <w:rPr>
          <w:rFonts w:hint="eastAsia"/>
        </w:rPr>
        <w:t>-</w:t>
      </w:r>
      <w:r>
        <w:t>1</w:t>
      </w:r>
      <w:r>
        <w:rPr>
          <w:rFonts w:hint="eastAsia"/>
        </w:rPr>
        <w:t>最大出现距离为</w:t>
      </w:r>
      <w:r>
        <w:rPr>
          <w:rFonts w:hint="eastAsia" w:cs="Times New Roman"/>
        </w:rPr>
        <w:t>氢氟酸储罐</w:t>
      </w:r>
      <w:r>
        <w:t>下风向180m（</w:t>
      </w:r>
      <w:r>
        <w:rPr>
          <w:rFonts w:hint="eastAsia"/>
        </w:rPr>
        <w:t>超厂界外</w:t>
      </w:r>
      <w:r>
        <w:t>80m）</w:t>
      </w:r>
      <w:r>
        <w:rPr>
          <w:rFonts w:hint="eastAsia"/>
        </w:rPr>
        <w:t>。</w:t>
      </w:r>
    </w:p>
    <w:p w14:paraId="054D0169">
      <w:pPr>
        <w:pStyle w:val="349"/>
        <w:rPr>
          <w:lang w:val="zh-CN"/>
        </w:rPr>
      </w:pPr>
      <w:r>
        <w:rPr>
          <w:lang w:val="zh-CN"/>
        </w:rPr>
        <w:t>5.6.7.4污水处理调节池破损</w:t>
      </w:r>
      <w:r>
        <w:rPr>
          <w:rFonts w:hint="eastAsia"/>
          <w:lang w:val="zh-CN"/>
        </w:rPr>
        <w:t>污染地下水事故污染</w:t>
      </w:r>
      <w:r>
        <w:rPr>
          <w:lang w:val="zh-CN"/>
        </w:rPr>
        <w:t>影响</w:t>
      </w:r>
    </w:p>
    <w:p w14:paraId="64072437">
      <w:pPr>
        <w:ind w:firstLine="480"/>
      </w:pPr>
      <w:r>
        <w:rPr>
          <w:rFonts w:hint="eastAsia"/>
        </w:rPr>
        <w:t>根据</w:t>
      </w:r>
      <w:r>
        <w:t>5.5</w:t>
      </w:r>
      <w:r>
        <w:rPr>
          <w:rFonts w:hint="eastAsia"/>
        </w:rPr>
        <w:t>章节预测结果可知，</w:t>
      </w:r>
      <w:r>
        <w:rPr>
          <w:rFonts w:hint="eastAsia" w:ascii="宋体" w:hAnsi="宋体"/>
        </w:rPr>
        <w:t>非正常工况下，污染物泄漏</w:t>
      </w:r>
      <w:r>
        <w:rPr>
          <w:rFonts w:hint="eastAsia"/>
        </w:rPr>
        <w:t>1</w:t>
      </w:r>
      <w:r>
        <w:rPr>
          <w:rFonts w:hint="eastAsia" w:ascii="宋体" w:hAnsi="宋体"/>
        </w:rPr>
        <w:t>年被发现，导致地下水中出现污染物超标。在本次模拟事故源强和预测时段条件下，调节池的</w:t>
      </w:r>
      <w:r>
        <w:rPr>
          <w:rFonts w:hint="eastAsia"/>
        </w:rPr>
        <w:t>COD</w:t>
      </w:r>
      <w:r>
        <w:rPr>
          <w:rFonts w:ascii="宋体" w:hAnsi="宋体"/>
        </w:rPr>
        <w:t>不会</w:t>
      </w:r>
      <w:r>
        <w:rPr>
          <w:rFonts w:hint="eastAsia" w:ascii="宋体" w:hAnsi="宋体"/>
        </w:rPr>
        <w:t>导致厂区边界地下水超标。调节池</w:t>
      </w:r>
      <w:r>
        <w:rPr>
          <w:rFonts w:hint="eastAsia"/>
        </w:rPr>
        <w:t>COD</w:t>
      </w:r>
      <w:r>
        <w:rPr>
          <w:rFonts w:hint="eastAsia"/>
          <w:bCs/>
          <w:szCs w:val="24"/>
        </w:rPr>
        <w:t>超标污染羽最大迁移距离</w:t>
      </w:r>
      <w:r>
        <w:rPr>
          <w:rFonts w:hint="eastAsia"/>
          <w:spacing w:val="10"/>
          <w:szCs w:val="24"/>
        </w:rPr>
        <w:t>为</w:t>
      </w:r>
      <w:r>
        <w:rPr>
          <w:bCs/>
          <w:szCs w:val="24"/>
        </w:rPr>
        <w:t>114.7</w:t>
      </w:r>
      <w:r>
        <w:rPr>
          <w:spacing w:val="10"/>
          <w:szCs w:val="24"/>
        </w:rPr>
        <w:t>m</w:t>
      </w:r>
      <w:r>
        <w:rPr>
          <w:rFonts w:hint="eastAsia"/>
          <w:spacing w:val="10"/>
          <w:szCs w:val="24"/>
        </w:rPr>
        <w:t>，</w:t>
      </w:r>
      <w:r>
        <w:rPr>
          <w:rFonts w:hint="eastAsia"/>
          <w:bCs/>
          <w:szCs w:val="24"/>
        </w:rPr>
        <w:t>超标污染羽超出厂界距离0</w:t>
      </w:r>
      <w:r>
        <w:rPr>
          <w:spacing w:val="10"/>
          <w:szCs w:val="24"/>
        </w:rPr>
        <w:t>m</w:t>
      </w:r>
      <w:r>
        <w:rPr>
          <w:rFonts w:hint="eastAsia"/>
        </w:rPr>
        <w:t>。</w:t>
      </w:r>
      <w:r>
        <w:t>影响范围仍然在园区范围内，不会对周围的环境保护目标及</w:t>
      </w:r>
      <w:r>
        <w:rPr>
          <w:rFonts w:hint="eastAsia"/>
        </w:rPr>
        <w:t>沫冲引河</w:t>
      </w:r>
      <w:r>
        <w:t>造成影响</w:t>
      </w:r>
      <w:r>
        <w:rPr>
          <w:rFonts w:hint="eastAsia"/>
        </w:rPr>
        <w:t>。</w:t>
      </w:r>
      <w:r>
        <w:rPr>
          <w:rFonts w:hint="eastAsia" w:ascii="宋体" w:hAnsi="宋体"/>
        </w:rPr>
        <w:t>企业应做好污水处理区的防渗工作，及时发现并做好防渗措施能较好控制污染物迁移。</w:t>
      </w:r>
    </w:p>
    <w:p w14:paraId="490105B9">
      <w:pPr>
        <w:spacing w:before="240" w:after="120"/>
        <w:ind w:firstLine="0" w:firstLineChars="0"/>
        <w:jc w:val="left"/>
        <w:outlineLvl w:val="2"/>
        <w:rPr>
          <w:rFonts w:eastAsia="黑体"/>
          <w:sz w:val="28"/>
          <w:szCs w:val="28"/>
        </w:rPr>
      </w:pPr>
      <w:bookmarkStart w:id="347" w:name="_Toc100784070"/>
      <w:bookmarkStart w:id="348" w:name="_Toc101135902"/>
      <w:bookmarkStart w:id="349" w:name="_Toc108662679"/>
      <w:r>
        <w:rPr>
          <w:rFonts w:hint="eastAsia" w:eastAsia="黑体"/>
          <w:sz w:val="28"/>
          <w:szCs w:val="28"/>
        </w:rPr>
        <w:t>5.6.</w:t>
      </w:r>
      <w:r>
        <w:rPr>
          <w:rFonts w:eastAsia="黑体"/>
          <w:sz w:val="28"/>
          <w:szCs w:val="28"/>
        </w:rPr>
        <w:t>8</w:t>
      </w:r>
      <w:r>
        <w:rPr>
          <w:rFonts w:hint="eastAsia" w:ascii="黑体" w:hAnsi="黑体" w:eastAsia="黑体"/>
          <w:sz w:val="28"/>
          <w:szCs w:val="28"/>
        </w:rPr>
        <w:t>环境风险评价结论</w:t>
      </w:r>
      <w:bookmarkEnd w:id="347"/>
      <w:bookmarkEnd w:id="348"/>
      <w:bookmarkEnd w:id="349"/>
    </w:p>
    <w:p w14:paraId="47455CEE">
      <w:pPr>
        <w:ind w:firstLine="480"/>
        <w:rPr>
          <w:szCs w:val="24"/>
        </w:rPr>
      </w:pPr>
      <w:r>
        <w:rPr>
          <w:rFonts w:ascii="宋体" w:hAnsi="宋体"/>
        </w:rPr>
        <w:t>（</w:t>
      </w:r>
      <w:r>
        <w:t>1</w:t>
      </w:r>
      <w:r>
        <w:rPr>
          <w:rFonts w:ascii="宋体" w:hAnsi="宋体"/>
        </w:rPr>
        <w:t>）项目建成后危险物质包括</w:t>
      </w:r>
      <w:r>
        <w:rPr>
          <w:rFonts w:hint="eastAsia" w:ascii="宋体" w:hAnsi="宋体"/>
        </w:rPr>
        <w:t>甲醇、</w:t>
      </w:r>
      <w:r>
        <w:rPr>
          <w:rFonts w:ascii="宋体" w:hAnsi="宋体"/>
        </w:rPr>
        <w:t>氨水</w:t>
      </w:r>
      <w:r>
        <w:rPr>
          <w:rFonts w:hint="eastAsia" w:ascii="宋体" w:hAnsi="宋体"/>
        </w:rPr>
        <w:t>、</w:t>
      </w:r>
      <w:r>
        <w:rPr>
          <w:rFonts w:ascii="宋体" w:hAnsi="宋体"/>
        </w:rPr>
        <w:t>氯化氢、盐酸</w:t>
      </w:r>
      <w:r>
        <w:rPr>
          <w:rFonts w:hint="eastAsia" w:ascii="宋体" w:hAnsi="宋体"/>
        </w:rPr>
        <w:t>和</w:t>
      </w:r>
      <w:r>
        <w:rPr>
          <w:rFonts w:ascii="宋体" w:hAnsi="宋体"/>
        </w:rPr>
        <w:t>氢氟酸等。</w:t>
      </w:r>
      <w:r>
        <w:rPr>
          <w:rFonts w:hint="eastAsia" w:ascii="宋体" w:hAnsi="宋体"/>
        </w:rPr>
        <w:t>构成危险单元</w:t>
      </w:r>
      <w:r>
        <w:rPr>
          <w:rFonts w:ascii="宋体" w:hAnsi="宋体"/>
        </w:rPr>
        <w:t>的</w:t>
      </w:r>
      <w:r>
        <w:rPr>
          <w:rFonts w:hint="eastAsia" w:ascii="宋体" w:hAnsi="宋体"/>
        </w:rPr>
        <w:t>生产设施</w:t>
      </w:r>
      <w:r>
        <w:rPr>
          <w:rFonts w:ascii="宋体" w:hAnsi="宋体"/>
        </w:rPr>
        <w:t>包括尾气处理装置</w:t>
      </w:r>
      <w:r>
        <w:rPr>
          <w:rFonts w:hint="eastAsia" w:ascii="宋体" w:hAnsi="宋体"/>
        </w:rPr>
        <w:t>及</w:t>
      </w:r>
      <w:r>
        <w:rPr>
          <w:rFonts w:ascii="宋体" w:hAnsi="宋体"/>
        </w:rPr>
        <w:t>废水处理设施等。</w:t>
      </w:r>
    </w:p>
    <w:p w14:paraId="4B0ADE51">
      <w:pPr>
        <w:ind w:firstLine="480"/>
      </w:pPr>
      <w:r>
        <w:rPr>
          <w:rFonts w:ascii="宋体" w:hAnsi="宋体"/>
        </w:rPr>
        <w:t>（</w:t>
      </w:r>
      <w:r>
        <w:t>2</w:t>
      </w:r>
      <w:r>
        <w:rPr>
          <w:rFonts w:ascii="宋体" w:hAnsi="宋体"/>
        </w:rPr>
        <w:t>）本次评价风险事故类型</w:t>
      </w:r>
      <w:r>
        <w:rPr>
          <w:rFonts w:hint="eastAsia" w:ascii="宋体" w:hAnsi="宋体"/>
        </w:rPr>
        <w:t>为</w:t>
      </w:r>
      <w:r>
        <w:rPr>
          <w:rFonts w:hint="eastAsia"/>
        </w:rPr>
        <w:t>①</w:t>
      </w:r>
      <w:r>
        <w:rPr>
          <w:rFonts w:hint="eastAsia"/>
          <w:color w:val="000000"/>
        </w:rPr>
        <w:t>甲醇储罐</w:t>
      </w:r>
      <w:r>
        <w:rPr>
          <w:rFonts w:hint="eastAsia"/>
        </w:rPr>
        <w:t>泄漏火灾次生事故；②氯化氢</w:t>
      </w:r>
      <w:r>
        <w:t>钢瓶</w:t>
      </w:r>
      <w:r>
        <w:rPr>
          <w:rFonts w:hint="eastAsia"/>
        </w:rPr>
        <w:t>泄漏事故；③</w:t>
      </w:r>
      <w:r>
        <w:rPr>
          <w:lang w:val="zh-CN"/>
        </w:rPr>
        <w:t>污水处理调节池破损</w:t>
      </w:r>
      <w:r>
        <w:rPr>
          <w:rFonts w:hint="eastAsia"/>
          <w:lang w:val="zh-CN"/>
        </w:rPr>
        <w:t>污染</w:t>
      </w:r>
      <w:r>
        <w:rPr>
          <w:rFonts w:hint="eastAsia"/>
        </w:rPr>
        <w:t>地下水事故。</w:t>
      </w:r>
    </w:p>
    <w:p w14:paraId="7D82CC55">
      <w:pPr>
        <w:ind w:firstLine="480"/>
      </w:pPr>
      <w:r>
        <w:rPr>
          <w:rFonts w:ascii="宋体" w:hAnsi="宋体"/>
        </w:rPr>
        <w:t>（</w:t>
      </w:r>
      <w:r>
        <w:t>3</w:t>
      </w:r>
      <w:r>
        <w:rPr>
          <w:rFonts w:ascii="宋体" w:hAnsi="宋体"/>
        </w:rPr>
        <w:t>）</w:t>
      </w:r>
      <w:r>
        <w:t>预测结果表明</w:t>
      </w:r>
      <w:r>
        <w:rPr>
          <w:rFonts w:hint="eastAsia"/>
        </w:rPr>
        <w:t>：</w:t>
      </w:r>
    </w:p>
    <w:p w14:paraId="153BD296">
      <w:pPr>
        <w:ind w:firstLine="480"/>
      </w:pPr>
      <w:r>
        <w:rPr>
          <w:rFonts w:hint="eastAsia" w:cs="Times New Roman"/>
        </w:rPr>
        <w:t>在</w:t>
      </w:r>
      <w:r>
        <w:rPr>
          <w:rFonts w:cs="Times New Roman"/>
        </w:rPr>
        <w:t>F稳定度下，</w:t>
      </w:r>
      <w:r>
        <w:rPr>
          <w:rFonts w:hint="eastAsia"/>
        </w:rPr>
        <w:t>氯化氢钢瓶</w:t>
      </w:r>
      <w:r>
        <w:t>泄漏事故</w:t>
      </w:r>
      <w:r>
        <w:rPr>
          <w:rFonts w:hint="eastAsia" w:cs="Times New Roman"/>
        </w:rPr>
        <w:t>产生</w:t>
      </w:r>
      <w:r>
        <w:rPr>
          <w:rFonts w:cs="Times New Roman"/>
        </w:rPr>
        <w:t>的</w:t>
      </w:r>
      <w:r>
        <w:rPr>
          <w:rFonts w:hint="eastAsia" w:cs="Times New Roman"/>
        </w:rPr>
        <w:t>氯化氢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氯化氢钢瓶</w:t>
      </w:r>
      <w:r>
        <w:rPr>
          <w:rFonts w:cs="Times New Roman"/>
        </w:rPr>
        <w:t>下风向1320m</w:t>
      </w:r>
      <w:r>
        <w:rPr>
          <w:rFonts w:hint="eastAsia" w:cs="Times New Roman"/>
        </w:rPr>
        <w:t>（超</w:t>
      </w:r>
      <w:r>
        <w:rPr>
          <w:rFonts w:cs="Times New Roman"/>
        </w:rPr>
        <w:t>厂界</w:t>
      </w:r>
      <w:r>
        <w:rPr>
          <w:rFonts w:hint="eastAsia" w:cs="Times New Roman"/>
        </w:rPr>
        <w:t>外</w:t>
      </w:r>
      <w:r>
        <w:rPr>
          <w:rFonts w:cs="Times New Roman"/>
        </w:rPr>
        <w:t>1280m</w:t>
      </w:r>
      <w:r>
        <w:rPr>
          <w:rFonts w:hint="eastAsia" w:cs="Times New Roman"/>
        </w:rPr>
        <w:t>）；</w:t>
      </w:r>
      <w:r>
        <w:rPr>
          <w:rFonts w:hint="eastAsia"/>
        </w:rPr>
        <w:t>达到</w:t>
      </w:r>
      <w:r>
        <w:t>毒性终点浓度</w:t>
      </w:r>
      <w:r>
        <w:rPr>
          <w:rFonts w:hint="eastAsia"/>
        </w:rPr>
        <w:t>-</w:t>
      </w:r>
      <w:r>
        <w:t>1</w:t>
      </w:r>
      <w:r>
        <w:rPr>
          <w:rFonts w:hint="eastAsia"/>
        </w:rPr>
        <w:t>最大出现距离为氯化氢钢瓶</w:t>
      </w:r>
      <w:r>
        <w:t>下风向528m（</w:t>
      </w:r>
      <w:r>
        <w:rPr>
          <w:rFonts w:hint="eastAsia"/>
        </w:rPr>
        <w:t>超厂界外</w:t>
      </w:r>
      <w:r>
        <w:t>488m）</w:t>
      </w:r>
      <w:r>
        <w:rPr>
          <w:rFonts w:hint="eastAsia"/>
        </w:rPr>
        <w:t>。</w:t>
      </w:r>
    </w:p>
    <w:p w14:paraId="3D43CC92">
      <w:pPr>
        <w:ind w:firstLine="480"/>
      </w:pPr>
      <w:r>
        <w:rPr>
          <w:rFonts w:ascii="宋体" w:hAnsi="宋体"/>
        </w:rPr>
        <w:t>评价要求建设单位根据事故当天风向，确定可能受影响的环境敏感点，一旦发生事故应及时通知影响范围内保护对象，确保</w:t>
      </w:r>
      <w:r>
        <w:t>1h</w:t>
      </w:r>
      <w:r>
        <w:rPr>
          <w:rFonts w:ascii="宋体" w:hAnsi="宋体"/>
        </w:rPr>
        <w:t>内将受影响对象疏散撤离至上风向安全区域。制定应急预案，并与园区</w:t>
      </w:r>
      <w:r>
        <w:t>/</w:t>
      </w:r>
      <w:r>
        <w:rPr>
          <w:rFonts w:ascii="宋体" w:hAnsi="宋体"/>
        </w:rPr>
        <w:t>区域应急预案联动，事故状态启动应急监测等工作。</w:t>
      </w:r>
    </w:p>
    <w:p w14:paraId="6D0BE483">
      <w:pPr>
        <w:ind w:firstLine="480"/>
      </w:pPr>
      <w:r>
        <w:rPr>
          <w:rFonts w:ascii="宋体" w:hAnsi="宋体"/>
        </w:rPr>
        <w:t>（</w:t>
      </w:r>
      <w:r>
        <w:t>4</w:t>
      </w:r>
      <w:r>
        <w:rPr>
          <w:rFonts w:ascii="宋体" w:hAnsi="宋体"/>
        </w:rPr>
        <w:t>）</w:t>
      </w:r>
      <w:r>
        <w:rPr>
          <w:rFonts w:hint="eastAsia" w:ascii="宋体" w:hAnsi="宋体"/>
        </w:rPr>
        <w:t>在企业采取有效的截流、控制措施后，事故废水排入沫冲引河的可能性很小。但如有事故废水及消防尾水进入沫冲引河，企业同时会采取有效的防护措施，及时控制事故，因此，进入沫冲引河的事故废水量很小且短暂，对沫冲引河及下游三铺大沟、淮河的影响在可接受范围内</w:t>
      </w:r>
      <w:r>
        <w:rPr>
          <w:rFonts w:ascii="宋体" w:hAnsi="宋体"/>
        </w:rPr>
        <w:t>。</w:t>
      </w:r>
    </w:p>
    <w:p w14:paraId="7C4A6FDF">
      <w:pPr>
        <w:ind w:firstLine="480"/>
      </w:pPr>
      <w:r>
        <w:rPr>
          <w:rFonts w:ascii="宋体" w:hAnsi="宋体"/>
        </w:rPr>
        <w:t>（</w:t>
      </w:r>
      <w:r>
        <w:t>5</w:t>
      </w:r>
      <w:r>
        <w:rPr>
          <w:rFonts w:ascii="宋体" w:hAnsi="宋体"/>
        </w:rPr>
        <w:t>）建设单位从源头控制、分区防渗、跟踪监测和应急响应方面采取了地下水污染控制措施，可最大程度降低地下水环境风险。</w:t>
      </w:r>
    </w:p>
    <w:p w14:paraId="4EB2A8A2">
      <w:pPr>
        <w:ind w:firstLine="480"/>
      </w:pPr>
      <w:r>
        <w:rPr>
          <w:rFonts w:ascii="宋体" w:hAnsi="宋体"/>
        </w:rPr>
        <w:t>（</w:t>
      </w:r>
      <w:r>
        <w:t>6</w:t>
      </w:r>
      <w:r>
        <w:rPr>
          <w:rFonts w:ascii="宋体" w:hAnsi="宋体"/>
        </w:rPr>
        <w:t>）由于事故触发因素不确定性，本项目事故情形设定并不能包含全部环境风险，事故情形设定建立在风险识别基础上，通过对代表性事故分析力求为风险管理提供科学依据。</w:t>
      </w:r>
    </w:p>
    <w:p w14:paraId="36FC3AF9">
      <w:pPr>
        <w:ind w:firstLine="480"/>
      </w:pPr>
      <w:r>
        <w:rPr>
          <w:rFonts w:ascii="宋体" w:hAnsi="宋体"/>
        </w:rPr>
        <w:t>综上所述，本评价认为，在有效落实风险防范措施和事故应急预案的前提下，项目环境风险可以防控。</w:t>
      </w:r>
    </w:p>
    <w:p w14:paraId="056F406C">
      <w:pPr>
        <w:ind w:firstLine="480"/>
      </w:pPr>
      <w:r>
        <w:rPr>
          <w:rFonts w:hint="eastAsia" w:ascii="宋体" w:hAnsi="宋体"/>
        </w:rPr>
        <w:t>本项目事故源项及事故后果见表</w:t>
      </w:r>
      <w:r>
        <w:t>5.6.8-1</w:t>
      </w:r>
      <w:r>
        <w:rPr>
          <w:rFonts w:hint="eastAsia" w:ascii="宋体" w:hAnsi="宋体"/>
        </w:rPr>
        <w:t>。</w:t>
      </w:r>
    </w:p>
    <w:p w14:paraId="75D01AE2">
      <w:pPr>
        <w:spacing w:line="500" w:lineRule="exact"/>
        <w:ind w:firstLine="0" w:firstLineChars="0"/>
        <w:jc w:val="center"/>
        <w:rPr>
          <w:rFonts w:eastAsia="黑体"/>
        </w:rPr>
      </w:pPr>
      <w:r>
        <w:rPr>
          <w:rFonts w:hint="eastAsia" w:eastAsia="黑体"/>
        </w:rPr>
        <w:t>表</w:t>
      </w:r>
      <w:r>
        <w:rPr>
          <w:rFonts w:eastAsia="黑体"/>
        </w:rPr>
        <w:t>5.6.8-1  事故源项及事故后果基本信息表</w:t>
      </w:r>
      <w:r>
        <w:rPr>
          <w:rFonts w:hint="eastAsia" w:eastAsia="黑体"/>
        </w:rPr>
        <w:t>（1）</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1163"/>
        <w:gridCol w:w="2179"/>
        <w:gridCol w:w="1163"/>
        <w:gridCol w:w="871"/>
        <w:gridCol w:w="795"/>
        <w:gridCol w:w="318"/>
        <w:gridCol w:w="1165"/>
      </w:tblGrid>
      <w:tr w14:paraId="4B0C6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5627AC5E">
            <w:pPr>
              <w:widowControl/>
              <w:spacing w:line="360" w:lineRule="exact"/>
              <w:ind w:firstLine="0" w:firstLineChars="0"/>
              <w:jc w:val="center"/>
              <w:rPr>
                <w:rFonts w:eastAsia="Times New Roman" w:cs="Times New Roman"/>
                <w:kern w:val="0"/>
                <w:sz w:val="18"/>
                <w:szCs w:val="20"/>
                <w:vertAlign w:val="superscript"/>
              </w:rPr>
            </w:pPr>
            <w:r>
              <w:rPr>
                <w:rFonts w:cs="Times New Roman"/>
                <w:kern w:val="0"/>
                <w:sz w:val="18"/>
                <w:szCs w:val="20"/>
              </w:rPr>
              <w:t>风险事故情形分析</w:t>
            </w:r>
            <w:r>
              <w:rPr>
                <w:rFonts w:cs="Times New Roman"/>
                <w:spacing w:val="-46"/>
                <w:kern w:val="0"/>
                <w:sz w:val="18"/>
                <w:szCs w:val="20"/>
              </w:rPr>
              <w:t xml:space="preserve"> </w:t>
            </w:r>
            <w:r>
              <w:rPr>
                <w:rFonts w:hint="eastAsia" w:cs="Times New Roman"/>
                <w:spacing w:val="-46"/>
                <w:kern w:val="0"/>
                <w:sz w:val="18"/>
                <w:szCs w:val="20"/>
                <w:vertAlign w:val="superscript"/>
              </w:rPr>
              <w:t>a</w:t>
            </w:r>
          </w:p>
        </w:tc>
      </w:tr>
      <w:tr w14:paraId="7E77E1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36C2B8A5">
            <w:pPr>
              <w:widowControl/>
              <w:spacing w:line="360" w:lineRule="exact"/>
              <w:ind w:firstLine="0" w:firstLineChars="0"/>
              <w:jc w:val="center"/>
              <w:rPr>
                <w:rFonts w:cs="Times New Roman"/>
                <w:kern w:val="0"/>
                <w:sz w:val="18"/>
                <w:szCs w:val="20"/>
              </w:rPr>
            </w:pPr>
            <w:r>
              <w:rPr>
                <w:rFonts w:cs="Times New Roman"/>
                <w:kern w:val="0"/>
                <w:sz w:val="18"/>
                <w:szCs w:val="20"/>
              </w:rPr>
              <w:t>代表性风险</w:t>
            </w:r>
          </w:p>
          <w:p w14:paraId="673253E0">
            <w:pPr>
              <w:widowControl/>
              <w:spacing w:line="360" w:lineRule="exact"/>
              <w:ind w:firstLine="0" w:firstLineChars="0"/>
              <w:jc w:val="center"/>
              <w:rPr>
                <w:rFonts w:cs="Times New Roman"/>
                <w:kern w:val="0"/>
                <w:sz w:val="18"/>
                <w:szCs w:val="20"/>
              </w:rPr>
            </w:pPr>
            <w:r>
              <w:rPr>
                <w:rFonts w:cs="Times New Roman"/>
                <w:kern w:val="0"/>
                <w:sz w:val="18"/>
                <w:szCs w:val="20"/>
              </w:rPr>
              <w:t>事故情形描述</w:t>
            </w:r>
          </w:p>
        </w:tc>
        <w:tc>
          <w:tcPr>
            <w:tcW w:w="4140" w:type="pct"/>
            <w:gridSpan w:val="7"/>
            <w:vAlign w:val="center"/>
          </w:tcPr>
          <w:p w14:paraId="10C8B296">
            <w:pPr>
              <w:widowControl/>
              <w:spacing w:line="360" w:lineRule="exact"/>
              <w:ind w:firstLine="0" w:firstLineChars="0"/>
              <w:jc w:val="center"/>
              <w:rPr>
                <w:rFonts w:cs="Times New Roman"/>
                <w:kern w:val="0"/>
                <w:sz w:val="18"/>
                <w:szCs w:val="20"/>
              </w:rPr>
            </w:pPr>
            <w:r>
              <w:rPr>
                <w:rFonts w:hint="eastAsia" w:cs="Times New Roman"/>
                <w:kern w:val="0"/>
                <w:sz w:val="18"/>
                <w:szCs w:val="20"/>
              </w:rPr>
              <w:t>甲醇</w:t>
            </w:r>
            <w:r>
              <w:rPr>
                <w:rFonts w:cs="Times New Roman"/>
                <w:kern w:val="0"/>
                <w:sz w:val="18"/>
                <w:szCs w:val="20"/>
              </w:rPr>
              <w:t>储罐泄漏火灾</w:t>
            </w:r>
            <w:r>
              <w:rPr>
                <w:rFonts w:hint="eastAsia" w:cs="Times New Roman"/>
                <w:kern w:val="0"/>
                <w:sz w:val="18"/>
                <w:szCs w:val="20"/>
              </w:rPr>
              <w:t>次生</w:t>
            </w:r>
            <w:r>
              <w:rPr>
                <w:rFonts w:cs="Times New Roman"/>
                <w:kern w:val="0"/>
                <w:sz w:val="18"/>
                <w:szCs w:val="20"/>
              </w:rPr>
              <w:t>事故</w:t>
            </w:r>
          </w:p>
        </w:tc>
      </w:tr>
      <w:tr w14:paraId="40B61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581DA5D3">
            <w:pPr>
              <w:widowControl/>
              <w:spacing w:line="360" w:lineRule="exact"/>
              <w:ind w:firstLine="0" w:firstLineChars="0"/>
              <w:jc w:val="center"/>
              <w:rPr>
                <w:rFonts w:cs="Times New Roman"/>
                <w:kern w:val="0"/>
                <w:sz w:val="18"/>
                <w:szCs w:val="20"/>
              </w:rPr>
            </w:pPr>
            <w:r>
              <w:rPr>
                <w:rFonts w:cs="Times New Roman"/>
                <w:kern w:val="0"/>
                <w:sz w:val="18"/>
                <w:szCs w:val="20"/>
              </w:rPr>
              <w:t>环境风险类型</w:t>
            </w:r>
          </w:p>
        </w:tc>
        <w:tc>
          <w:tcPr>
            <w:tcW w:w="4140" w:type="pct"/>
            <w:gridSpan w:val="7"/>
            <w:vAlign w:val="center"/>
          </w:tcPr>
          <w:p w14:paraId="046F6659">
            <w:pPr>
              <w:widowControl/>
              <w:spacing w:line="360" w:lineRule="exact"/>
              <w:ind w:firstLine="0" w:firstLineChars="0"/>
              <w:jc w:val="center"/>
              <w:rPr>
                <w:rFonts w:cs="Times New Roman"/>
                <w:kern w:val="0"/>
                <w:sz w:val="18"/>
                <w:szCs w:val="20"/>
              </w:rPr>
            </w:pPr>
            <w:r>
              <w:rPr>
                <w:rFonts w:hint="eastAsia" w:cs="Times New Roman"/>
                <w:kern w:val="0"/>
                <w:sz w:val="18"/>
                <w:szCs w:val="20"/>
              </w:rPr>
              <w:t>火灾、爆炸引发伴生</w:t>
            </w:r>
            <w:r>
              <w:rPr>
                <w:rFonts w:cs="Times New Roman"/>
                <w:kern w:val="0"/>
                <w:sz w:val="18"/>
                <w:szCs w:val="20"/>
              </w:rPr>
              <w:t>/</w:t>
            </w:r>
            <w:r>
              <w:rPr>
                <w:rFonts w:hint="eastAsia" w:cs="Times New Roman"/>
                <w:kern w:val="0"/>
                <w:sz w:val="18"/>
                <w:szCs w:val="20"/>
              </w:rPr>
              <w:t>次生污染物排放</w:t>
            </w:r>
          </w:p>
        </w:tc>
      </w:tr>
      <w:tr w14:paraId="28AEB9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25A50766">
            <w:pPr>
              <w:widowControl/>
              <w:spacing w:line="360" w:lineRule="exact"/>
              <w:ind w:firstLine="0" w:firstLineChars="0"/>
              <w:jc w:val="center"/>
              <w:rPr>
                <w:rFonts w:cs="Times New Roman"/>
                <w:kern w:val="0"/>
                <w:sz w:val="18"/>
                <w:szCs w:val="20"/>
              </w:rPr>
            </w:pPr>
            <w:r>
              <w:rPr>
                <w:rFonts w:cs="Times New Roman"/>
                <w:kern w:val="0"/>
                <w:sz w:val="18"/>
                <w:szCs w:val="20"/>
              </w:rPr>
              <w:t>泄漏设备类型</w:t>
            </w:r>
          </w:p>
        </w:tc>
        <w:tc>
          <w:tcPr>
            <w:tcW w:w="629" w:type="pct"/>
            <w:vAlign w:val="center"/>
          </w:tcPr>
          <w:p w14:paraId="4719928B">
            <w:pPr>
              <w:widowControl/>
              <w:spacing w:line="360" w:lineRule="exact"/>
              <w:ind w:firstLine="0" w:firstLineChars="0"/>
              <w:jc w:val="center"/>
              <w:rPr>
                <w:rFonts w:cs="Times New Roman"/>
                <w:kern w:val="0"/>
                <w:sz w:val="18"/>
                <w:szCs w:val="20"/>
              </w:rPr>
            </w:pPr>
            <w:r>
              <w:rPr>
                <w:rFonts w:hint="eastAsia" w:cs="Times New Roman"/>
                <w:kern w:val="0"/>
                <w:sz w:val="18"/>
                <w:szCs w:val="20"/>
              </w:rPr>
              <w:t>储罐</w:t>
            </w:r>
          </w:p>
        </w:tc>
        <w:tc>
          <w:tcPr>
            <w:tcW w:w="1179" w:type="pct"/>
            <w:vAlign w:val="center"/>
          </w:tcPr>
          <w:p w14:paraId="3B17CB11">
            <w:pPr>
              <w:widowControl/>
              <w:spacing w:line="360" w:lineRule="exact"/>
              <w:ind w:firstLine="0" w:firstLineChars="0"/>
              <w:jc w:val="center"/>
              <w:rPr>
                <w:rFonts w:cs="Times New Roman"/>
                <w:kern w:val="0"/>
                <w:sz w:val="18"/>
                <w:szCs w:val="20"/>
              </w:rPr>
            </w:pPr>
            <w:r>
              <w:rPr>
                <w:rFonts w:cs="Times New Roman"/>
                <w:kern w:val="0"/>
                <w:sz w:val="18"/>
                <w:szCs w:val="20"/>
              </w:rPr>
              <w:t>操作温度</w:t>
            </w:r>
            <w:r>
              <w:rPr>
                <w:rFonts w:eastAsia="Times New Roman" w:cs="Times New Roman"/>
                <w:kern w:val="0"/>
                <w:sz w:val="18"/>
                <w:szCs w:val="20"/>
              </w:rPr>
              <w:t>/</w:t>
            </w:r>
            <w:r>
              <w:rPr>
                <w:rFonts w:hint="eastAsia" w:ascii="宋体" w:hAnsi="宋体" w:cs="宋体"/>
                <w:kern w:val="0"/>
                <w:sz w:val="18"/>
                <w:szCs w:val="20"/>
              </w:rPr>
              <w:t>℃</w:t>
            </w:r>
          </w:p>
        </w:tc>
        <w:tc>
          <w:tcPr>
            <w:tcW w:w="629" w:type="pct"/>
            <w:vAlign w:val="center"/>
          </w:tcPr>
          <w:p w14:paraId="1AD62C96">
            <w:pPr>
              <w:widowControl/>
              <w:spacing w:line="360" w:lineRule="exact"/>
              <w:ind w:firstLine="0" w:firstLineChars="0"/>
              <w:jc w:val="center"/>
              <w:rPr>
                <w:rFonts w:cs="Times New Roman"/>
                <w:kern w:val="0"/>
                <w:sz w:val="18"/>
                <w:szCs w:val="20"/>
              </w:rPr>
            </w:pPr>
            <w:r>
              <w:rPr>
                <w:rFonts w:hint="eastAsia" w:cs="Times New Roman"/>
                <w:kern w:val="0"/>
                <w:sz w:val="18"/>
                <w:szCs w:val="20"/>
              </w:rPr>
              <w:t>常温</w:t>
            </w:r>
          </w:p>
        </w:tc>
        <w:tc>
          <w:tcPr>
            <w:tcW w:w="1073" w:type="pct"/>
            <w:gridSpan w:val="3"/>
            <w:vAlign w:val="center"/>
          </w:tcPr>
          <w:p w14:paraId="25792F11">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操作压力</w:t>
            </w:r>
            <w:r>
              <w:rPr>
                <w:rFonts w:eastAsia="Times New Roman" w:cs="Times New Roman"/>
                <w:kern w:val="0"/>
                <w:sz w:val="18"/>
                <w:szCs w:val="20"/>
              </w:rPr>
              <w:t>/MPa</w:t>
            </w:r>
          </w:p>
        </w:tc>
        <w:tc>
          <w:tcPr>
            <w:tcW w:w="629" w:type="pct"/>
            <w:vAlign w:val="center"/>
          </w:tcPr>
          <w:p w14:paraId="350F57F9">
            <w:pPr>
              <w:widowControl/>
              <w:spacing w:line="360" w:lineRule="exact"/>
              <w:ind w:firstLine="0" w:firstLineChars="0"/>
              <w:jc w:val="center"/>
              <w:rPr>
                <w:rFonts w:cs="Times New Roman"/>
                <w:kern w:val="0"/>
                <w:sz w:val="18"/>
                <w:szCs w:val="20"/>
              </w:rPr>
            </w:pPr>
            <w:r>
              <w:rPr>
                <w:rFonts w:hint="eastAsia" w:cs="Times New Roman"/>
                <w:kern w:val="0"/>
                <w:sz w:val="18"/>
                <w:szCs w:val="20"/>
              </w:rPr>
              <w:t>0.15</w:t>
            </w:r>
          </w:p>
        </w:tc>
      </w:tr>
      <w:tr w14:paraId="5B126D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52021B3B">
            <w:pPr>
              <w:widowControl/>
              <w:spacing w:line="360" w:lineRule="exact"/>
              <w:ind w:firstLine="0" w:firstLineChars="0"/>
              <w:jc w:val="center"/>
              <w:rPr>
                <w:rFonts w:cs="Times New Roman"/>
                <w:kern w:val="0"/>
                <w:sz w:val="18"/>
                <w:szCs w:val="20"/>
              </w:rPr>
            </w:pPr>
            <w:r>
              <w:rPr>
                <w:rFonts w:cs="Times New Roman"/>
                <w:kern w:val="0"/>
                <w:sz w:val="18"/>
                <w:szCs w:val="20"/>
              </w:rPr>
              <w:t>泄漏危险物质</w:t>
            </w:r>
          </w:p>
        </w:tc>
        <w:tc>
          <w:tcPr>
            <w:tcW w:w="629" w:type="pct"/>
            <w:vAlign w:val="center"/>
          </w:tcPr>
          <w:p w14:paraId="4313B53D">
            <w:pPr>
              <w:widowControl/>
              <w:spacing w:line="360" w:lineRule="exact"/>
              <w:ind w:firstLine="0" w:firstLineChars="0"/>
              <w:jc w:val="center"/>
              <w:rPr>
                <w:rFonts w:cs="Times New Roman"/>
                <w:kern w:val="0"/>
                <w:sz w:val="18"/>
                <w:szCs w:val="20"/>
              </w:rPr>
            </w:pPr>
            <w:r>
              <w:rPr>
                <w:rFonts w:cs="Times New Roman"/>
                <w:kern w:val="0"/>
                <w:sz w:val="18"/>
                <w:szCs w:val="20"/>
              </w:rPr>
              <w:t>CO</w:t>
            </w:r>
          </w:p>
        </w:tc>
        <w:tc>
          <w:tcPr>
            <w:tcW w:w="1179" w:type="pct"/>
            <w:vAlign w:val="center"/>
          </w:tcPr>
          <w:p w14:paraId="661CABF7">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最大存在量</w:t>
            </w:r>
            <w:r>
              <w:rPr>
                <w:rFonts w:eastAsia="Times New Roman" w:cs="Times New Roman"/>
                <w:kern w:val="0"/>
                <w:sz w:val="18"/>
                <w:szCs w:val="20"/>
              </w:rPr>
              <w:t>/kg</w:t>
            </w:r>
          </w:p>
        </w:tc>
        <w:tc>
          <w:tcPr>
            <w:tcW w:w="629" w:type="pct"/>
            <w:vAlign w:val="center"/>
          </w:tcPr>
          <w:p w14:paraId="74FE1585">
            <w:pPr>
              <w:widowControl/>
              <w:spacing w:line="360" w:lineRule="exact"/>
              <w:ind w:firstLine="0" w:firstLineChars="0"/>
              <w:jc w:val="center"/>
              <w:rPr>
                <w:rFonts w:cs="Times New Roman"/>
                <w:kern w:val="0"/>
                <w:sz w:val="18"/>
                <w:szCs w:val="20"/>
              </w:rPr>
            </w:pPr>
            <w:r>
              <w:rPr>
                <w:rFonts w:cs="Times New Roman"/>
                <w:kern w:val="0"/>
                <w:sz w:val="18"/>
                <w:szCs w:val="20"/>
              </w:rPr>
              <w:t>/</w:t>
            </w:r>
          </w:p>
        </w:tc>
        <w:tc>
          <w:tcPr>
            <w:tcW w:w="1073" w:type="pct"/>
            <w:gridSpan w:val="3"/>
            <w:vAlign w:val="center"/>
          </w:tcPr>
          <w:p w14:paraId="528C73A5">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泄漏孔径</w:t>
            </w:r>
            <w:r>
              <w:rPr>
                <w:rFonts w:eastAsia="Times New Roman" w:cs="Times New Roman"/>
                <w:spacing w:val="-1"/>
                <w:kern w:val="0"/>
                <w:sz w:val="18"/>
                <w:szCs w:val="20"/>
              </w:rPr>
              <w:t>/mm</w:t>
            </w:r>
          </w:p>
        </w:tc>
        <w:tc>
          <w:tcPr>
            <w:tcW w:w="629" w:type="pct"/>
            <w:vAlign w:val="center"/>
          </w:tcPr>
          <w:p w14:paraId="713D632B">
            <w:pPr>
              <w:widowControl/>
              <w:spacing w:line="360" w:lineRule="exact"/>
              <w:ind w:firstLine="0" w:firstLineChars="0"/>
              <w:jc w:val="center"/>
              <w:rPr>
                <w:rFonts w:cs="Times New Roman"/>
                <w:kern w:val="0"/>
                <w:sz w:val="18"/>
                <w:szCs w:val="20"/>
              </w:rPr>
            </w:pPr>
            <w:r>
              <w:rPr>
                <w:rFonts w:cs="Times New Roman"/>
                <w:kern w:val="0"/>
                <w:sz w:val="18"/>
                <w:szCs w:val="20"/>
              </w:rPr>
              <w:t>5.6</w:t>
            </w:r>
          </w:p>
        </w:tc>
      </w:tr>
      <w:tr w14:paraId="0118B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6D0CCFCF">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泄漏速率</w:t>
            </w:r>
            <w:r>
              <w:rPr>
                <w:rFonts w:eastAsia="Times New Roman" w:cs="Times New Roman"/>
                <w:kern w:val="0"/>
                <w:sz w:val="18"/>
                <w:szCs w:val="20"/>
              </w:rPr>
              <w:t>/(kg/s)</w:t>
            </w:r>
          </w:p>
        </w:tc>
        <w:tc>
          <w:tcPr>
            <w:tcW w:w="629" w:type="pct"/>
            <w:vAlign w:val="center"/>
          </w:tcPr>
          <w:p w14:paraId="02DCF13E">
            <w:pPr>
              <w:widowControl/>
              <w:spacing w:line="360" w:lineRule="exact"/>
              <w:ind w:firstLine="0" w:firstLineChars="0"/>
              <w:jc w:val="center"/>
              <w:rPr>
                <w:rFonts w:cs="Times New Roman"/>
                <w:kern w:val="0"/>
                <w:sz w:val="18"/>
                <w:szCs w:val="20"/>
              </w:rPr>
            </w:pPr>
            <w:r>
              <w:rPr>
                <w:rFonts w:cs="Times New Roman"/>
                <w:kern w:val="0"/>
                <w:sz w:val="18"/>
                <w:szCs w:val="20"/>
              </w:rPr>
              <w:t>0.023</w:t>
            </w:r>
          </w:p>
        </w:tc>
        <w:tc>
          <w:tcPr>
            <w:tcW w:w="1179" w:type="pct"/>
            <w:vAlign w:val="center"/>
          </w:tcPr>
          <w:p w14:paraId="711F85D4">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泄漏时间</w:t>
            </w:r>
            <w:r>
              <w:rPr>
                <w:rFonts w:eastAsia="Times New Roman" w:cs="Times New Roman"/>
                <w:spacing w:val="-1"/>
                <w:kern w:val="0"/>
                <w:sz w:val="18"/>
                <w:szCs w:val="20"/>
              </w:rPr>
              <w:t>/min</w:t>
            </w:r>
          </w:p>
        </w:tc>
        <w:tc>
          <w:tcPr>
            <w:tcW w:w="629" w:type="pct"/>
            <w:vAlign w:val="center"/>
          </w:tcPr>
          <w:p w14:paraId="615DF999">
            <w:pPr>
              <w:widowControl/>
              <w:spacing w:line="360" w:lineRule="exact"/>
              <w:ind w:firstLine="0" w:firstLineChars="0"/>
              <w:jc w:val="center"/>
              <w:rPr>
                <w:rFonts w:cs="Times New Roman"/>
                <w:kern w:val="0"/>
                <w:sz w:val="18"/>
                <w:szCs w:val="20"/>
              </w:rPr>
            </w:pPr>
            <w:r>
              <w:rPr>
                <w:rFonts w:hint="eastAsia" w:cs="Times New Roman"/>
                <w:kern w:val="0"/>
                <w:sz w:val="18"/>
                <w:szCs w:val="20"/>
              </w:rPr>
              <w:t>1</w:t>
            </w:r>
            <w:r>
              <w:rPr>
                <w:rFonts w:cs="Times New Roman"/>
                <w:kern w:val="0"/>
                <w:sz w:val="18"/>
                <w:szCs w:val="20"/>
              </w:rPr>
              <w:t>0</w:t>
            </w:r>
          </w:p>
        </w:tc>
        <w:tc>
          <w:tcPr>
            <w:tcW w:w="1073" w:type="pct"/>
            <w:gridSpan w:val="3"/>
            <w:vAlign w:val="center"/>
          </w:tcPr>
          <w:p w14:paraId="6D3D3C6B">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泄漏量</w:t>
            </w:r>
            <w:r>
              <w:rPr>
                <w:rFonts w:eastAsia="Times New Roman" w:cs="Times New Roman"/>
                <w:kern w:val="0"/>
                <w:sz w:val="18"/>
                <w:szCs w:val="20"/>
              </w:rPr>
              <w:t>/kg</w:t>
            </w:r>
          </w:p>
        </w:tc>
        <w:tc>
          <w:tcPr>
            <w:tcW w:w="629" w:type="pct"/>
            <w:vAlign w:val="center"/>
          </w:tcPr>
          <w:p w14:paraId="6143CCE8">
            <w:pPr>
              <w:widowControl/>
              <w:spacing w:line="360" w:lineRule="exact"/>
              <w:ind w:firstLine="0" w:firstLineChars="0"/>
              <w:jc w:val="center"/>
              <w:rPr>
                <w:rFonts w:cs="Times New Roman"/>
                <w:kern w:val="0"/>
                <w:sz w:val="18"/>
                <w:szCs w:val="20"/>
              </w:rPr>
            </w:pPr>
            <w:r>
              <w:rPr>
                <w:rFonts w:cs="Times New Roman"/>
                <w:kern w:val="0"/>
                <w:sz w:val="18"/>
                <w:szCs w:val="20"/>
              </w:rPr>
              <w:t>13.8</w:t>
            </w:r>
          </w:p>
        </w:tc>
      </w:tr>
      <w:tr w14:paraId="0B831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2C9D8974">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泄漏高度</w:t>
            </w:r>
            <w:r>
              <w:rPr>
                <w:rFonts w:eastAsia="Times New Roman" w:cs="Times New Roman"/>
                <w:kern w:val="0"/>
                <w:sz w:val="18"/>
                <w:szCs w:val="20"/>
              </w:rPr>
              <w:t>/m</w:t>
            </w:r>
          </w:p>
        </w:tc>
        <w:tc>
          <w:tcPr>
            <w:tcW w:w="629" w:type="pct"/>
            <w:vAlign w:val="center"/>
          </w:tcPr>
          <w:p w14:paraId="32AEEAA7">
            <w:pPr>
              <w:widowControl/>
              <w:spacing w:line="360" w:lineRule="exact"/>
              <w:ind w:firstLine="0" w:firstLineChars="0"/>
              <w:jc w:val="center"/>
              <w:rPr>
                <w:rFonts w:cs="Times New Roman"/>
                <w:kern w:val="0"/>
                <w:sz w:val="18"/>
                <w:szCs w:val="20"/>
              </w:rPr>
            </w:pPr>
            <w:r>
              <w:rPr>
                <w:rFonts w:cs="Times New Roman"/>
                <w:kern w:val="0"/>
                <w:sz w:val="18"/>
                <w:szCs w:val="20"/>
              </w:rPr>
              <w:t>0.1</w:t>
            </w:r>
          </w:p>
        </w:tc>
        <w:tc>
          <w:tcPr>
            <w:tcW w:w="1179" w:type="pct"/>
            <w:vAlign w:val="center"/>
          </w:tcPr>
          <w:p w14:paraId="7B6CE0E5">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泄漏液体蒸发量</w:t>
            </w:r>
            <w:r>
              <w:rPr>
                <w:rFonts w:eastAsia="Times New Roman" w:cs="Times New Roman"/>
                <w:kern w:val="0"/>
                <w:sz w:val="18"/>
                <w:szCs w:val="20"/>
              </w:rPr>
              <w:t>/kg</w:t>
            </w:r>
          </w:p>
        </w:tc>
        <w:tc>
          <w:tcPr>
            <w:tcW w:w="629" w:type="pct"/>
            <w:vAlign w:val="center"/>
          </w:tcPr>
          <w:p w14:paraId="1AFC99AE">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1073" w:type="pct"/>
            <w:gridSpan w:val="3"/>
            <w:vAlign w:val="center"/>
          </w:tcPr>
          <w:p w14:paraId="67A07A68">
            <w:pPr>
              <w:widowControl/>
              <w:spacing w:line="360" w:lineRule="exact"/>
              <w:ind w:firstLine="0" w:firstLineChars="0"/>
              <w:jc w:val="center"/>
              <w:rPr>
                <w:rFonts w:cs="Times New Roman"/>
                <w:kern w:val="0"/>
                <w:sz w:val="18"/>
                <w:szCs w:val="20"/>
              </w:rPr>
            </w:pPr>
            <w:r>
              <w:rPr>
                <w:rFonts w:cs="Times New Roman"/>
                <w:kern w:val="0"/>
                <w:sz w:val="18"/>
                <w:szCs w:val="20"/>
              </w:rPr>
              <w:t>泄漏频率</w:t>
            </w:r>
          </w:p>
        </w:tc>
        <w:tc>
          <w:tcPr>
            <w:tcW w:w="629" w:type="pct"/>
            <w:vAlign w:val="center"/>
          </w:tcPr>
          <w:p w14:paraId="1284CB97">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2ABBE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3E38F92C">
            <w:pPr>
              <w:widowControl/>
              <w:spacing w:line="360" w:lineRule="exact"/>
              <w:ind w:firstLine="0" w:firstLineChars="0"/>
              <w:jc w:val="center"/>
              <w:rPr>
                <w:rFonts w:cs="Times New Roman"/>
                <w:kern w:val="0"/>
                <w:sz w:val="18"/>
                <w:szCs w:val="20"/>
              </w:rPr>
            </w:pPr>
            <w:r>
              <w:rPr>
                <w:rFonts w:cs="Times New Roman"/>
                <w:kern w:val="0"/>
                <w:sz w:val="18"/>
                <w:szCs w:val="20"/>
              </w:rPr>
              <w:t>事故后果预测</w:t>
            </w:r>
          </w:p>
        </w:tc>
      </w:tr>
      <w:tr w14:paraId="507114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058D3E96">
            <w:pPr>
              <w:widowControl/>
              <w:spacing w:line="360" w:lineRule="exact"/>
              <w:ind w:firstLine="0" w:firstLineChars="0"/>
              <w:jc w:val="center"/>
              <w:rPr>
                <w:rFonts w:cs="Times New Roman"/>
                <w:kern w:val="0"/>
                <w:sz w:val="18"/>
                <w:szCs w:val="20"/>
              </w:rPr>
            </w:pPr>
            <w:r>
              <w:rPr>
                <w:rFonts w:cs="Times New Roman"/>
                <w:kern w:val="0"/>
                <w:sz w:val="18"/>
                <w:szCs w:val="20"/>
              </w:rPr>
              <w:t>大气</w:t>
            </w:r>
          </w:p>
        </w:tc>
        <w:tc>
          <w:tcPr>
            <w:tcW w:w="629" w:type="pct"/>
            <w:vAlign w:val="center"/>
          </w:tcPr>
          <w:p w14:paraId="16A6BBC3">
            <w:pPr>
              <w:widowControl/>
              <w:spacing w:line="360" w:lineRule="exact"/>
              <w:ind w:firstLine="0" w:firstLineChars="0"/>
              <w:jc w:val="center"/>
              <w:rPr>
                <w:rFonts w:cs="Times New Roman"/>
                <w:kern w:val="0"/>
                <w:sz w:val="18"/>
                <w:szCs w:val="20"/>
              </w:rPr>
            </w:pPr>
            <w:r>
              <w:rPr>
                <w:rFonts w:cs="Times New Roman"/>
                <w:kern w:val="0"/>
                <w:sz w:val="18"/>
                <w:szCs w:val="20"/>
              </w:rPr>
              <w:t>危险</w:t>
            </w:r>
          </w:p>
          <w:p w14:paraId="157DF552">
            <w:pPr>
              <w:widowControl/>
              <w:spacing w:line="360" w:lineRule="exact"/>
              <w:ind w:firstLine="0" w:firstLineChars="0"/>
              <w:jc w:val="center"/>
              <w:rPr>
                <w:rFonts w:cs="Times New Roman"/>
                <w:kern w:val="0"/>
                <w:sz w:val="18"/>
                <w:szCs w:val="20"/>
              </w:rPr>
            </w:pPr>
            <w:r>
              <w:rPr>
                <w:rFonts w:cs="Times New Roman"/>
                <w:kern w:val="0"/>
                <w:sz w:val="18"/>
                <w:szCs w:val="20"/>
              </w:rPr>
              <w:t>物质</w:t>
            </w:r>
          </w:p>
        </w:tc>
        <w:tc>
          <w:tcPr>
            <w:tcW w:w="3511" w:type="pct"/>
            <w:gridSpan w:val="6"/>
            <w:vAlign w:val="center"/>
          </w:tcPr>
          <w:p w14:paraId="1C38F739">
            <w:pPr>
              <w:widowControl/>
              <w:spacing w:line="360" w:lineRule="exact"/>
              <w:ind w:firstLine="0" w:firstLineChars="0"/>
              <w:jc w:val="center"/>
              <w:rPr>
                <w:rFonts w:cs="Times New Roman"/>
                <w:kern w:val="0"/>
                <w:sz w:val="18"/>
                <w:szCs w:val="20"/>
              </w:rPr>
            </w:pPr>
            <w:r>
              <w:rPr>
                <w:rFonts w:cs="Times New Roman"/>
                <w:kern w:val="0"/>
                <w:sz w:val="18"/>
                <w:szCs w:val="20"/>
              </w:rPr>
              <w:t>大气环境影响</w:t>
            </w:r>
          </w:p>
        </w:tc>
      </w:tr>
      <w:tr w14:paraId="700EE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D2D828B">
            <w:pPr>
              <w:widowControl/>
              <w:spacing w:line="360" w:lineRule="exact"/>
              <w:ind w:firstLine="0" w:firstLineChars="0"/>
              <w:jc w:val="center"/>
              <w:rPr>
                <w:rFonts w:cs="Times New Roman"/>
                <w:kern w:val="0"/>
                <w:sz w:val="18"/>
                <w:szCs w:val="20"/>
              </w:rPr>
            </w:pPr>
          </w:p>
        </w:tc>
        <w:tc>
          <w:tcPr>
            <w:tcW w:w="629" w:type="pct"/>
            <w:vMerge w:val="restart"/>
            <w:vAlign w:val="center"/>
          </w:tcPr>
          <w:p w14:paraId="749A2B86">
            <w:pPr>
              <w:widowControl/>
              <w:spacing w:line="360" w:lineRule="exact"/>
              <w:ind w:firstLine="0" w:firstLineChars="0"/>
              <w:jc w:val="center"/>
              <w:rPr>
                <w:rFonts w:cs="Times New Roman"/>
                <w:kern w:val="0"/>
                <w:sz w:val="18"/>
                <w:szCs w:val="20"/>
              </w:rPr>
            </w:pPr>
            <w:r>
              <w:rPr>
                <w:rFonts w:cs="Times New Roman"/>
                <w:kern w:val="0"/>
                <w:sz w:val="18"/>
                <w:szCs w:val="20"/>
              </w:rPr>
              <w:t>CO</w:t>
            </w:r>
          </w:p>
        </w:tc>
        <w:tc>
          <w:tcPr>
            <w:tcW w:w="1179" w:type="pct"/>
            <w:vAlign w:val="center"/>
          </w:tcPr>
          <w:p w14:paraId="5984B8D3">
            <w:pPr>
              <w:widowControl/>
              <w:spacing w:line="360" w:lineRule="exact"/>
              <w:ind w:firstLine="0" w:firstLineChars="0"/>
              <w:jc w:val="center"/>
              <w:rPr>
                <w:rFonts w:cs="Times New Roman"/>
                <w:kern w:val="0"/>
                <w:sz w:val="18"/>
                <w:szCs w:val="20"/>
              </w:rPr>
            </w:pPr>
            <w:r>
              <w:rPr>
                <w:rFonts w:cs="Times New Roman"/>
                <w:kern w:val="0"/>
                <w:sz w:val="18"/>
                <w:szCs w:val="20"/>
              </w:rPr>
              <w:t>指标</w:t>
            </w:r>
          </w:p>
        </w:tc>
        <w:tc>
          <w:tcPr>
            <w:tcW w:w="629" w:type="pct"/>
            <w:vAlign w:val="center"/>
          </w:tcPr>
          <w:p w14:paraId="53B36E50">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浓度值</w:t>
            </w:r>
            <w:r>
              <w:rPr>
                <w:rFonts w:eastAsia="Times New Roman" w:cs="Times New Roman"/>
                <w:spacing w:val="-1"/>
                <w:kern w:val="0"/>
                <w:sz w:val="18"/>
                <w:szCs w:val="20"/>
              </w:rPr>
              <w:t>/(mg/m</w:t>
            </w:r>
            <w:r>
              <w:rPr>
                <w:rFonts w:cs="Times New Roman"/>
                <w:kern w:val="0"/>
                <w:sz w:val="18"/>
                <w:szCs w:val="20"/>
                <w:vertAlign w:val="superscript"/>
              </w:rPr>
              <w:t>3</w:t>
            </w:r>
            <w:r>
              <w:rPr>
                <w:rFonts w:eastAsia="Times New Roman" w:cs="Times New Roman"/>
                <w:spacing w:val="-1"/>
                <w:kern w:val="0"/>
                <w:sz w:val="18"/>
                <w:szCs w:val="20"/>
              </w:rPr>
              <w:t>)</w:t>
            </w:r>
          </w:p>
        </w:tc>
        <w:tc>
          <w:tcPr>
            <w:tcW w:w="901" w:type="pct"/>
            <w:gridSpan w:val="2"/>
            <w:vAlign w:val="center"/>
          </w:tcPr>
          <w:p w14:paraId="259BCFFA">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最远影响距离</w:t>
            </w:r>
            <w:r>
              <w:rPr>
                <w:rFonts w:eastAsia="Times New Roman" w:cs="Times New Roman"/>
                <w:kern w:val="0"/>
                <w:sz w:val="18"/>
                <w:szCs w:val="20"/>
              </w:rPr>
              <w:t>/m</w:t>
            </w:r>
          </w:p>
        </w:tc>
        <w:tc>
          <w:tcPr>
            <w:tcW w:w="801" w:type="pct"/>
            <w:gridSpan w:val="2"/>
            <w:vAlign w:val="center"/>
          </w:tcPr>
          <w:p w14:paraId="65866649">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到达时间</w:t>
            </w:r>
            <w:r>
              <w:rPr>
                <w:rFonts w:eastAsia="Times New Roman" w:cs="Times New Roman"/>
                <w:spacing w:val="-1"/>
                <w:kern w:val="0"/>
                <w:sz w:val="18"/>
                <w:szCs w:val="20"/>
              </w:rPr>
              <w:t>/min</w:t>
            </w:r>
          </w:p>
        </w:tc>
      </w:tr>
      <w:tr w14:paraId="5DD68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07EA8C6E">
            <w:pPr>
              <w:widowControl/>
              <w:spacing w:line="360" w:lineRule="exact"/>
              <w:ind w:firstLine="0" w:firstLineChars="0"/>
              <w:jc w:val="center"/>
              <w:rPr>
                <w:rFonts w:cs="Times New Roman"/>
                <w:kern w:val="0"/>
                <w:sz w:val="18"/>
                <w:szCs w:val="20"/>
              </w:rPr>
            </w:pPr>
          </w:p>
        </w:tc>
        <w:tc>
          <w:tcPr>
            <w:tcW w:w="629" w:type="pct"/>
            <w:vMerge w:val="continue"/>
            <w:vAlign w:val="center"/>
          </w:tcPr>
          <w:p w14:paraId="4C1A067E">
            <w:pPr>
              <w:widowControl/>
              <w:spacing w:line="360" w:lineRule="exact"/>
              <w:ind w:firstLine="0" w:firstLineChars="0"/>
              <w:jc w:val="center"/>
              <w:rPr>
                <w:rFonts w:cs="Times New Roman"/>
                <w:kern w:val="0"/>
                <w:sz w:val="18"/>
                <w:szCs w:val="20"/>
              </w:rPr>
            </w:pPr>
          </w:p>
        </w:tc>
        <w:tc>
          <w:tcPr>
            <w:tcW w:w="1179" w:type="pct"/>
            <w:vAlign w:val="center"/>
          </w:tcPr>
          <w:p w14:paraId="1D77E1E6">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大气毒性终点浓度</w:t>
            </w:r>
            <w:r>
              <w:rPr>
                <w:rFonts w:eastAsia="Times New Roman" w:cs="Times New Roman"/>
                <w:kern w:val="0"/>
                <w:sz w:val="18"/>
                <w:szCs w:val="20"/>
              </w:rPr>
              <w:t>-1</w:t>
            </w:r>
          </w:p>
        </w:tc>
        <w:tc>
          <w:tcPr>
            <w:tcW w:w="629" w:type="pct"/>
            <w:vAlign w:val="center"/>
          </w:tcPr>
          <w:p w14:paraId="7F424767">
            <w:pPr>
              <w:widowControl/>
              <w:spacing w:line="360" w:lineRule="exact"/>
              <w:ind w:firstLine="0" w:firstLineChars="0"/>
              <w:jc w:val="center"/>
              <w:rPr>
                <w:rFonts w:cs="Times New Roman"/>
                <w:kern w:val="0"/>
                <w:sz w:val="18"/>
                <w:szCs w:val="20"/>
              </w:rPr>
            </w:pPr>
            <w:r>
              <w:rPr>
                <w:rFonts w:hint="eastAsia" w:cs="Times New Roman"/>
                <w:kern w:val="0"/>
                <w:sz w:val="18"/>
                <w:szCs w:val="20"/>
              </w:rPr>
              <w:t>3</w:t>
            </w:r>
            <w:r>
              <w:rPr>
                <w:rFonts w:cs="Times New Roman"/>
                <w:kern w:val="0"/>
                <w:sz w:val="18"/>
                <w:szCs w:val="20"/>
              </w:rPr>
              <w:t>80</w:t>
            </w:r>
          </w:p>
        </w:tc>
        <w:tc>
          <w:tcPr>
            <w:tcW w:w="901" w:type="pct"/>
            <w:gridSpan w:val="2"/>
            <w:vAlign w:val="center"/>
          </w:tcPr>
          <w:p w14:paraId="7DA18BF0">
            <w:pPr>
              <w:widowControl/>
              <w:spacing w:line="360" w:lineRule="exact"/>
              <w:ind w:firstLine="0" w:firstLineChars="0"/>
              <w:jc w:val="center"/>
              <w:rPr>
                <w:rFonts w:cs="Times New Roman"/>
                <w:kern w:val="0"/>
                <w:sz w:val="18"/>
                <w:szCs w:val="20"/>
              </w:rPr>
            </w:pPr>
            <w:r>
              <w:rPr>
                <w:rFonts w:hint="eastAsia" w:cs="Times New Roman"/>
                <w:kern w:val="0"/>
                <w:sz w:val="18"/>
                <w:szCs w:val="20"/>
              </w:rPr>
              <w:t>60</w:t>
            </w:r>
          </w:p>
        </w:tc>
        <w:tc>
          <w:tcPr>
            <w:tcW w:w="801" w:type="pct"/>
            <w:gridSpan w:val="2"/>
            <w:vAlign w:val="center"/>
          </w:tcPr>
          <w:p w14:paraId="39827BDC">
            <w:pPr>
              <w:widowControl/>
              <w:spacing w:line="360" w:lineRule="exact"/>
              <w:ind w:firstLine="0" w:firstLineChars="0"/>
              <w:jc w:val="center"/>
              <w:rPr>
                <w:rFonts w:cs="Times New Roman"/>
                <w:kern w:val="0"/>
                <w:sz w:val="18"/>
                <w:szCs w:val="20"/>
              </w:rPr>
            </w:pPr>
          </w:p>
        </w:tc>
      </w:tr>
      <w:tr w14:paraId="45298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095B8769">
            <w:pPr>
              <w:widowControl/>
              <w:spacing w:line="360" w:lineRule="exact"/>
              <w:ind w:firstLine="0" w:firstLineChars="0"/>
              <w:jc w:val="center"/>
              <w:rPr>
                <w:rFonts w:cs="Times New Roman"/>
                <w:kern w:val="0"/>
                <w:sz w:val="18"/>
                <w:szCs w:val="20"/>
              </w:rPr>
            </w:pPr>
          </w:p>
        </w:tc>
        <w:tc>
          <w:tcPr>
            <w:tcW w:w="629" w:type="pct"/>
            <w:vMerge w:val="continue"/>
            <w:vAlign w:val="center"/>
          </w:tcPr>
          <w:p w14:paraId="17668A5C">
            <w:pPr>
              <w:widowControl/>
              <w:spacing w:line="360" w:lineRule="exact"/>
              <w:ind w:firstLine="0" w:firstLineChars="0"/>
              <w:jc w:val="center"/>
              <w:rPr>
                <w:rFonts w:cs="Times New Roman"/>
                <w:kern w:val="0"/>
                <w:sz w:val="18"/>
                <w:szCs w:val="20"/>
              </w:rPr>
            </w:pPr>
          </w:p>
        </w:tc>
        <w:tc>
          <w:tcPr>
            <w:tcW w:w="1179" w:type="pct"/>
            <w:vAlign w:val="center"/>
          </w:tcPr>
          <w:p w14:paraId="53D69C46">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大气毒性终点浓度</w:t>
            </w:r>
            <w:r>
              <w:rPr>
                <w:rFonts w:eastAsia="Times New Roman" w:cs="Times New Roman"/>
                <w:kern w:val="0"/>
                <w:sz w:val="18"/>
                <w:szCs w:val="20"/>
              </w:rPr>
              <w:t>-2</w:t>
            </w:r>
          </w:p>
        </w:tc>
        <w:tc>
          <w:tcPr>
            <w:tcW w:w="629" w:type="pct"/>
            <w:vAlign w:val="center"/>
          </w:tcPr>
          <w:p w14:paraId="14A0A34A">
            <w:pPr>
              <w:widowControl/>
              <w:spacing w:line="360" w:lineRule="exact"/>
              <w:ind w:firstLine="0" w:firstLineChars="0"/>
              <w:jc w:val="center"/>
              <w:rPr>
                <w:rFonts w:cs="Times New Roman"/>
                <w:kern w:val="0"/>
                <w:sz w:val="18"/>
                <w:szCs w:val="20"/>
              </w:rPr>
            </w:pPr>
            <w:r>
              <w:rPr>
                <w:rFonts w:hint="eastAsia" w:cs="Times New Roman"/>
                <w:kern w:val="0"/>
                <w:sz w:val="18"/>
                <w:szCs w:val="20"/>
              </w:rPr>
              <w:t>9</w:t>
            </w:r>
            <w:r>
              <w:rPr>
                <w:rFonts w:cs="Times New Roman"/>
                <w:kern w:val="0"/>
                <w:sz w:val="18"/>
                <w:szCs w:val="20"/>
              </w:rPr>
              <w:t>5</w:t>
            </w:r>
          </w:p>
        </w:tc>
        <w:tc>
          <w:tcPr>
            <w:tcW w:w="901" w:type="pct"/>
            <w:gridSpan w:val="2"/>
            <w:vAlign w:val="center"/>
          </w:tcPr>
          <w:p w14:paraId="6442E04C">
            <w:pPr>
              <w:widowControl/>
              <w:spacing w:line="360" w:lineRule="exact"/>
              <w:ind w:firstLine="0" w:firstLineChars="0"/>
              <w:jc w:val="center"/>
              <w:rPr>
                <w:rFonts w:cs="Times New Roman"/>
                <w:kern w:val="0"/>
                <w:sz w:val="18"/>
                <w:szCs w:val="20"/>
              </w:rPr>
            </w:pPr>
            <w:r>
              <w:rPr>
                <w:rFonts w:hint="eastAsia" w:cs="Times New Roman"/>
                <w:kern w:val="0"/>
                <w:sz w:val="18"/>
                <w:szCs w:val="20"/>
              </w:rPr>
              <w:t>190</w:t>
            </w:r>
          </w:p>
        </w:tc>
        <w:tc>
          <w:tcPr>
            <w:tcW w:w="801" w:type="pct"/>
            <w:gridSpan w:val="2"/>
            <w:vAlign w:val="center"/>
          </w:tcPr>
          <w:p w14:paraId="74A3A623">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000672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653E0EA2">
            <w:pPr>
              <w:widowControl/>
              <w:spacing w:line="360" w:lineRule="exact"/>
              <w:ind w:firstLine="0" w:firstLineChars="0"/>
              <w:jc w:val="center"/>
              <w:rPr>
                <w:rFonts w:cs="Times New Roman"/>
                <w:kern w:val="0"/>
                <w:sz w:val="18"/>
                <w:szCs w:val="20"/>
              </w:rPr>
            </w:pPr>
          </w:p>
        </w:tc>
        <w:tc>
          <w:tcPr>
            <w:tcW w:w="629" w:type="pct"/>
            <w:vMerge w:val="continue"/>
            <w:vAlign w:val="center"/>
          </w:tcPr>
          <w:p w14:paraId="18C43E1C">
            <w:pPr>
              <w:widowControl/>
              <w:spacing w:line="360" w:lineRule="exact"/>
              <w:ind w:firstLine="0" w:firstLineChars="0"/>
              <w:jc w:val="center"/>
              <w:rPr>
                <w:rFonts w:cs="Times New Roman"/>
                <w:kern w:val="0"/>
                <w:sz w:val="18"/>
                <w:szCs w:val="20"/>
              </w:rPr>
            </w:pPr>
          </w:p>
        </w:tc>
        <w:tc>
          <w:tcPr>
            <w:tcW w:w="1179" w:type="pct"/>
            <w:vAlign w:val="center"/>
          </w:tcPr>
          <w:p w14:paraId="3B8F892C">
            <w:pPr>
              <w:widowControl/>
              <w:spacing w:line="360" w:lineRule="exact"/>
              <w:ind w:firstLine="0" w:firstLineChars="0"/>
              <w:jc w:val="center"/>
              <w:rPr>
                <w:rFonts w:cs="Times New Roman"/>
                <w:kern w:val="0"/>
                <w:sz w:val="18"/>
                <w:szCs w:val="20"/>
              </w:rPr>
            </w:pPr>
            <w:r>
              <w:rPr>
                <w:rFonts w:cs="Times New Roman"/>
                <w:kern w:val="0"/>
                <w:sz w:val="18"/>
                <w:szCs w:val="20"/>
              </w:rPr>
              <w:t>敏感目标名称</w:t>
            </w:r>
          </w:p>
        </w:tc>
        <w:tc>
          <w:tcPr>
            <w:tcW w:w="629" w:type="pct"/>
            <w:vAlign w:val="center"/>
          </w:tcPr>
          <w:p w14:paraId="0C8E1E07">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超标时间</w:t>
            </w:r>
            <w:r>
              <w:rPr>
                <w:rFonts w:eastAsia="Times New Roman" w:cs="Times New Roman"/>
                <w:spacing w:val="-1"/>
                <w:kern w:val="0"/>
                <w:sz w:val="18"/>
                <w:szCs w:val="20"/>
              </w:rPr>
              <w:t>/min</w:t>
            </w:r>
          </w:p>
        </w:tc>
        <w:tc>
          <w:tcPr>
            <w:tcW w:w="901" w:type="pct"/>
            <w:gridSpan w:val="2"/>
            <w:vAlign w:val="center"/>
          </w:tcPr>
          <w:p w14:paraId="43229922">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超标持续时间</w:t>
            </w:r>
            <w:r>
              <w:rPr>
                <w:rFonts w:eastAsia="Times New Roman" w:cs="Times New Roman"/>
                <w:spacing w:val="-1"/>
                <w:kern w:val="0"/>
                <w:sz w:val="18"/>
                <w:szCs w:val="20"/>
              </w:rPr>
              <w:t>/min</w:t>
            </w:r>
          </w:p>
        </w:tc>
        <w:tc>
          <w:tcPr>
            <w:tcW w:w="801" w:type="pct"/>
            <w:gridSpan w:val="2"/>
            <w:vAlign w:val="center"/>
          </w:tcPr>
          <w:p w14:paraId="215975BC">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最大浓度</w:t>
            </w:r>
            <w:r>
              <w:rPr>
                <w:rFonts w:eastAsia="Times New Roman" w:cs="Times New Roman"/>
                <w:spacing w:val="-1"/>
                <w:kern w:val="0"/>
                <w:sz w:val="18"/>
                <w:szCs w:val="20"/>
              </w:rPr>
              <w:t>/(mg/m</w:t>
            </w:r>
            <w:r>
              <w:rPr>
                <w:rFonts w:cs="Times New Roman"/>
                <w:kern w:val="0"/>
                <w:sz w:val="18"/>
                <w:szCs w:val="20"/>
                <w:vertAlign w:val="superscript"/>
              </w:rPr>
              <w:t>3</w:t>
            </w:r>
            <w:r>
              <w:rPr>
                <w:rFonts w:eastAsia="Times New Roman" w:cs="Times New Roman"/>
                <w:spacing w:val="-1"/>
                <w:kern w:val="0"/>
                <w:sz w:val="18"/>
                <w:szCs w:val="20"/>
              </w:rPr>
              <w:t>)</w:t>
            </w:r>
          </w:p>
        </w:tc>
      </w:tr>
      <w:tr w14:paraId="67A3E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2677ED3">
            <w:pPr>
              <w:widowControl/>
              <w:spacing w:line="360" w:lineRule="exact"/>
              <w:ind w:firstLine="0" w:firstLineChars="0"/>
              <w:jc w:val="center"/>
              <w:rPr>
                <w:rFonts w:cs="Times New Roman"/>
                <w:kern w:val="0"/>
                <w:sz w:val="18"/>
                <w:szCs w:val="20"/>
              </w:rPr>
            </w:pPr>
          </w:p>
        </w:tc>
        <w:tc>
          <w:tcPr>
            <w:tcW w:w="629" w:type="pct"/>
            <w:vMerge w:val="continue"/>
            <w:vAlign w:val="center"/>
          </w:tcPr>
          <w:p w14:paraId="27792851">
            <w:pPr>
              <w:widowControl/>
              <w:spacing w:line="360" w:lineRule="exact"/>
              <w:ind w:firstLine="0" w:firstLineChars="0"/>
              <w:jc w:val="center"/>
              <w:rPr>
                <w:rFonts w:cs="Times New Roman"/>
                <w:kern w:val="0"/>
                <w:sz w:val="18"/>
                <w:szCs w:val="20"/>
              </w:rPr>
            </w:pPr>
          </w:p>
        </w:tc>
        <w:tc>
          <w:tcPr>
            <w:tcW w:w="1179" w:type="pct"/>
            <w:vAlign w:val="center"/>
          </w:tcPr>
          <w:p w14:paraId="6E0C6D61">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6DCD1494">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901" w:type="pct"/>
            <w:gridSpan w:val="2"/>
            <w:vAlign w:val="center"/>
          </w:tcPr>
          <w:p w14:paraId="6F9B52CC">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801" w:type="pct"/>
            <w:gridSpan w:val="2"/>
            <w:vAlign w:val="center"/>
          </w:tcPr>
          <w:p w14:paraId="34C43EA4">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77DE1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16EF2ADB">
            <w:pPr>
              <w:widowControl/>
              <w:spacing w:line="360" w:lineRule="exact"/>
              <w:ind w:firstLine="0" w:firstLineChars="0"/>
              <w:jc w:val="center"/>
              <w:rPr>
                <w:rFonts w:cs="Times New Roman"/>
                <w:kern w:val="0"/>
                <w:sz w:val="18"/>
                <w:szCs w:val="20"/>
              </w:rPr>
            </w:pPr>
            <w:r>
              <w:rPr>
                <w:rFonts w:cs="Times New Roman"/>
                <w:kern w:val="0"/>
                <w:sz w:val="18"/>
                <w:szCs w:val="20"/>
              </w:rPr>
              <w:t>地表水</w:t>
            </w:r>
          </w:p>
        </w:tc>
        <w:tc>
          <w:tcPr>
            <w:tcW w:w="629" w:type="pct"/>
            <w:vAlign w:val="center"/>
          </w:tcPr>
          <w:p w14:paraId="704BE2C1">
            <w:pPr>
              <w:widowControl/>
              <w:spacing w:line="360" w:lineRule="exact"/>
              <w:ind w:firstLine="0" w:firstLineChars="0"/>
              <w:jc w:val="center"/>
              <w:rPr>
                <w:rFonts w:cs="Times New Roman"/>
                <w:kern w:val="0"/>
                <w:sz w:val="18"/>
                <w:szCs w:val="20"/>
              </w:rPr>
            </w:pPr>
            <w:r>
              <w:rPr>
                <w:rFonts w:cs="Times New Roman"/>
                <w:kern w:val="0"/>
                <w:sz w:val="18"/>
                <w:szCs w:val="20"/>
              </w:rPr>
              <w:t>危险</w:t>
            </w:r>
          </w:p>
          <w:p w14:paraId="2A470618">
            <w:pPr>
              <w:widowControl/>
              <w:spacing w:line="360" w:lineRule="exact"/>
              <w:ind w:firstLine="0" w:firstLineChars="0"/>
              <w:jc w:val="center"/>
              <w:rPr>
                <w:rFonts w:cs="Times New Roman"/>
                <w:kern w:val="0"/>
                <w:sz w:val="18"/>
                <w:szCs w:val="20"/>
              </w:rPr>
            </w:pPr>
            <w:r>
              <w:rPr>
                <w:rFonts w:cs="Times New Roman"/>
                <w:kern w:val="0"/>
                <w:sz w:val="18"/>
                <w:szCs w:val="20"/>
              </w:rPr>
              <w:t>物质</w:t>
            </w:r>
          </w:p>
        </w:tc>
        <w:tc>
          <w:tcPr>
            <w:tcW w:w="3511" w:type="pct"/>
            <w:gridSpan w:val="6"/>
            <w:vAlign w:val="center"/>
          </w:tcPr>
          <w:p w14:paraId="01C1837D">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地表水环境影响</w:t>
            </w:r>
            <w:r>
              <w:rPr>
                <w:rFonts w:hint="eastAsia" w:cs="Times New Roman"/>
                <w:kern w:val="0"/>
                <w:sz w:val="18"/>
                <w:szCs w:val="20"/>
                <w:vertAlign w:val="superscript"/>
              </w:rPr>
              <w:t>b</w:t>
            </w:r>
          </w:p>
        </w:tc>
      </w:tr>
      <w:tr w14:paraId="1CFEA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D5DB294">
            <w:pPr>
              <w:widowControl/>
              <w:spacing w:line="360" w:lineRule="exact"/>
              <w:ind w:firstLine="0" w:firstLineChars="0"/>
              <w:jc w:val="center"/>
              <w:rPr>
                <w:rFonts w:cs="Times New Roman"/>
                <w:kern w:val="0"/>
                <w:sz w:val="18"/>
                <w:szCs w:val="20"/>
              </w:rPr>
            </w:pPr>
          </w:p>
        </w:tc>
        <w:tc>
          <w:tcPr>
            <w:tcW w:w="629" w:type="pct"/>
            <w:vMerge w:val="restart"/>
            <w:vAlign w:val="center"/>
          </w:tcPr>
          <w:p w14:paraId="2E989EB9">
            <w:pPr>
              <w:widowControl/>
              <w:spacing w:line="360" w:lineRule="exact"/>
              <w:ind w:firstLine="0" w:firstLineChars="0"/>
              <w:jc w:val="center"/>
              <w:rPr>
                <w:rFonts w:cs="Times New Roman"/>
                <w:kern w:val="0"/>
                <w:sz w:val="18"/>
                <w:szCs w:val="20"/>
              </w:rPr>
            </w:pPr>
            <w:r>
              <w:rPr>
                <w:rFonts w:cs="Times New Roman"/>
                <w:kern w:val="0"/>
                <w:sz w:val="18"/>
                <w:szCs w:val="20"/>
              </w:rPr>
              <w:t>/</w:t>
            </w:r>
          </w:p>
        </w:tc>
        <w:tc>
          <w:tcPr>
            <w:tcW w:w="1179" w:type="pct"/>
            <w:vAlign w:val="center"/>
          </w:tcPr>
          <w:p w14:paraId="300DF992">
            <w:pPr>
              <w:widowControl/>
              <w:spacing w:line="360" w:lineRule="exact"/>
              <w:ind w:firstLine="0" w:firstLineChars="0"/>
              <w:jc w:val="center"/>
              <w:rPr>
                <w:rFonts w:cs="Times New Roman"/>
                <w:kern w:val="0"/>
                <w:sz w:val="18"/>
                <w:szCs w:val="20"/>
              </w:rPr>
            </w:pPr>
            <w:r>
              <w:rPr>
                <w:rFonts w:cs="Times New Roman"/>
                <w:kern w:val="0"/>
                <w:sz w:val="18"/>
                <w:szCs w:val="20"/>
              </w:rPr>
              <w:t>受纳水体名称</w:t>
            </w:r>
          </w:p>
        </w:tc>
        <w:tc>
          <w:tcPr>
            <w:tcW w:w="1100" w:type="pct"/>
            <w:gridSpan w:val="2"/>
            <w:vAlign w:val="center"/>
          </w:tcPr>
          <w:p w14:paraId="232C3221">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最远超标距离</w:t>
            </w:r>
            <w:r>
              <w:rPr>
                <w:rFonts w:eastAsia="Times New Roman" w:cs="Times New Roman"/>
                <w:kern w:val="0"/>
                <w:sz w:val="18"/>
                <w:szCs w:val="20"/>
              </w:rPr>
              <w:t>/m</w:t>
            </w:r>
          </w:p>
        </w:tc>
        <w:tc>
          <w:tcPr>
            <w:tcW w:w="1231" w:type="pct"/>
            <w:gridSpan w:val="3"/>
            <w:vAlign w:val="center"/>
          </w:tcPr>
          <w:p w14:paraId="718BD887">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最远超标距离到达时间</w:t>
            </w:r>
            <w:r>
              <w:rPr>
                <w:rFonts w:eastAsia="Times New Roman" w:cs="Times New Roman"/>
                <w:kern w:val="0"/>
                <w:sz w:val="18"/>
                <w:szCs w:val="20"/>
              </w:rPr>
              <w:t>/h</w:t>
            </w:r>
          </w:p>
        </w:tc>
      </w:tr>
      <w:tr w14:paraId="635B49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0D65926">
            <w:pPr>
              <w:widowControl/>
              <w:spacing w:line="360" w:lineRule="exact"/>
              <w:ind w:firstLine="0" w:firstLineChars="0"/>
              <w:jc w:val="center"/>
              <w:rPr>
                <w:rFonts w:cs="Times New Roman"/>
                <w:kern w:val="0"/>
                <w:sz w:val="18"/>
                <w:szCs w:val="20"/>
              </w:rPr>
            </w:pPr>
          </w:p>
        </w:tc>
        <w:tc>
          <w:tcPr>
            <w:tcW w:w="629" w:type="pct"/>
            <w:vMerge w:val="continue"/>
            <w:vAlign w:val="center"/>
          </w:tcPr>
          <w:p w14:paraId="6A270954">
            <w:pPr>
              <w:widowControl/>
              <w:spacing w:line="360" w:lineRule="exact"/>
              <w:ind w:firstLine="0" w:firstLineChars="0"/>
              <w:jc w:val="center"/>
              <w:rPr>
                <w:rFonts w:cs="Times New Roman"/>
                <w:kern w:val="0"/>
                <w:sz w:val="18"/>
                <w:szCs w:val="20"/>
              </w:rPr>
            </w:pPr>
          </w:p>
        </w:tc>
        <w:tc>
          <w:tcPr>
            <w:tcW w:w="1179" w:type="pct"/>
            <w:vAlign w:val="center"/>
          </w:tcPr>
          <w:p w14:paraId="769DC589">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1100" w:type="pct"/>
            <w:gridSpan w:val="2"/>
            <w:vAlign w:val="center"/>
          </w:tcPr>
          <w:p w14:paraId="1DB019CC">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1231" w:type="pct"/>
            <w:gridSpan w:val="3"/>
            <w:vAlign w:val="center"/>
          </w:tcPr>
          <w:p w14:paraId="07DA78DC">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01AD8D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402F867A">
            <w:pPr>
              <w:widowControl/>
              <w:spacing w:line="360" w:lineRule="exact"/>
              <w:ind w:firstLine="0" w:firstLineChars="0"/>
              <w:jc w:val="center"/>
              <w:rPr>
                <w:rFonts w:cs="Times New Roman"/>
                <w:kern w:val="0"/>
                <w:sz w:val="18"/>
                <w:szCs w:val="20"/>
              </w:rPr>
            </w:pPr>
          </w:p>
        </w:tc>
        <w:tc>
          <w:tcPr>
            <w:tcW w:w="629" w:type="pct"/>
            <w:vMerge w:val="continue"/>
            <w:vAlign w:val="center"/>
          </w:tcPr>
          <w:p w14:paraId="7A46C272">
            <w:pPr>
              <w:widowControl/>
              <w:spacing w:line="360" w:lineRule="exact"/>
              <w:ind w:firstLine="0" w:firstLineChars="0"/>
              <w:jc w:val="center"/>
              <w:rPr>
                <w:rFonts w:cs="Times New Roman"/>
                <w:kern w:val="0"/>
                <w:sz w:val="18"/>
                <w:szCs w:val="20"/>
              </w:rPr>
            </w:pPr>
          </w:p>
        </w:tc>
        <w:tc>
          <w:tcPr>
            <w:tcW w:w="1179" w:type="pct"/>
            <w:vAlign w:val="center"/>
          </w:tcPr>
          <w:p w14:paraId="079E7E3D">
            <w:pPr>
              <w:widowControl/>
              <w:spacing w:line="360" w:lineRule="exact"/>
              <w:ind w:firstLine="0" w:firstLineChars="0"/>
              <w:jc w:val="center"/>
              <w:rPr>
                <w:rFonts w:cs="Times New Roman"/>
                <w:kern w:val="0"/>
                <w:sz w:val="18"/>
                <w:szCs w:val="20"/>
              </w:rPr>
            </w:pPr>
            <w:r>
              <w:rPr>
                <w:rFonts w:cs="Times New Roman"/>
                <w:kern w:val="0"/>
                <w:sz w:val="18"/>
                <w:szCs w:val="20"/>
              </w:rPr>
              <w:t>敏感目标名称</w:t>
            </w:r>
          </w:p>
        </w:tc>
        <w:tc>
          <w:tcPr>
            <w:tcW w:w="629" w:type="pct"/>
            <w:vAlign w:val="center"/>
          </w:tcPr>
          <w:p w14:paraId="665D9026">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到达时间</w:t>
            </w:r>
            <w:r>
              <w:rPr>
                <w:rFonts w:eastAsia="Times New Roman" w:cs="Times New Roman"/>
                <w:kern w:val="0"/>
                <w:sz w:val="18"/>
                <w:szCs w:val="20"/>
              </w:rPr>
              <w:t>/h</w:t>
            </w:r>
          </w:p>
        </w:tc>
        <w:tc>
          <w:tcPr>
            <w:tcW w:w="471" w:type="pct"/>
            <w:vAlign w:val="center"/>
          </w:tcPr>
          <w:p w14:paraId="2E6FDF2B">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超标时间</w:t>
            </w:r>
            <w:r>
              <w:rPr>
                <w:rFonts w:eastAsia="Times New Roman" w:cs="Times New Roman"/>
                <w:kern w:val="0"/>
                <w:sz w:val="18"/>
                <w:szCs w:val="20"/>
              </w:rPr>
              <w:t>/h</w:t>
            </w:r>
          </w:p>
        </w:tc>
        <w:tc>
          <w:tcPr>
            <w:tcW w:w="602" w:type="pct"/>
            <w:gridSpan w:val="2"/>
            <w:vAlign w:val="center"/>
          </w:tcPr>
          <w:p w14:paraId="14D1348A">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超标持续 时间</w:t>
            </w:r>
            <w:r>
              <w:rPr>
                <w:rFonts w:eastAsia="Times New Roman" w:cs="Times New Roman"/>
                <w:kern w:val="0"/>
                <w:sz w:val="18"/>
                <w:szCs w:val="20"/>
              </w:rPr>
              <w:t>/h</w:t>
            </w:r>
          </w:p>
        </w:tc>
        <w:tc>
          <w:tcPr>
            <w:tcW w:w="629" w:type="pct"/>
            <w:vAlign w:val="center"/>
          </w:tcPr>
          <w:p w14:paraId="38D94349">
            <w:pPr>
              <w:widowControl/>
              <w:spacing w:line="360" w:lineRule="exact"/>
              <w:ind w:firstLine="0" w:firstLineChars="0"/>
              <w:jc w:val="center"/>
              <w:rPr>
                <w:rFonts w:cs="Times New Roman"/>
                <w:kern w:val="0"/>
                <w:sz w:val="18"/>
                <w:szCs w:val="20"/>
              </w:rPr>
            </w:pPr>
            <w:r>
              <w:rPr>
                <w:rFonts w:cs="Times New Roman"/>
                <w:kern w:val="0"/>
                <w:sz w:val="18"/>
                <w:szCs w:val="20"/>
              </w:rPr>
              <w:t>最大浓度</w:t>
            </w:r>
          </w:p>
          <w:p w14:paraId="01F7275B">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/(mg/L)</w:t>
            </w:r>
          </w:p>
        </w:tc>
      </w:tr>
      <w:tr w14:paraId="41405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A23C15C">
            <w:pPr>
              <w:widowControl/>
              <w:spacing w:line="360" w:lineRule="exact"/>
              <w:ind w:firstLine="0" w:firstLineChars="0"/>
              <w:jc w:val="center"/>
              <w:rPr>
                <w:rFonts w:cs="Times New Roman"/>
                <w:kern w:val="0"/>
                <w:sz w:val="18"/>
                <w:szCs w:val="20"/>
              </w:rPr>
            </w:pPr>
          </w:p>
        </w:tc>
        <w:tc>
          <w:tcPr>
            <w:tcW w:w="629" w:type="pct"/>
            <w:vMerge w:val="continue"/>
            <w:vAlign w:val="center"/>
          </w:tcPr>
          <w:p w14:paraId="48BDE99E">
            <w:pPr>
              <w:widowControl/>
              <w:spacing w:line="360" w:lineRule="exact"/>
              <w:ind w:firstLine="0" w:firstLineChars="0"/>
              <w:jc w:val="center"/>
              <w:rPr>
                <w:rFonts w:cs="Times New Roman"/>
                <w:kern w:val="0"/>
                <w:sz w:val="18"/>
                <w:szCs w:val="20"/>
              </w:rPr>
            </w:pPr>
          </w:p>
        </w:tc>
        <w:tc>
          <w:tcPr>
            <w:tcW w:w="1179" w:type="pct"/>
            <w:vAlign w:val="center"/>
          </w:tcPr>
          <w:p w14:paraId="38B826B2">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0BB13B68">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471" w:type="pct"/>
            <w:vAlign w:val="center"/>
          </w:tcPr>
          <w:p w14:paraId="2940B5DC">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02" w:type="pct"/>
            <w:gridSpan w:val="2"/>
            <w:vAlign w:val="center"/>
          </w:tcPr>
          <w:p w14:paraId="328D91CA">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7C1EB631">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7C8B9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5D725EC5">
            <w:pPr>
              <w:widowControl/>
              <w:spacing w:line="360" w:lineRule="exact"/>
              <w:ind w:firstLine="0" w:firstLineChars="0"/>
              <w:jc w:val="center"/>
              <w:rPr>
                <w:rFonts w:cs="Times New Roman"/>
                <w:kern w:val="0"/>
                <w:sz w:val="18"/>
                <w:szCs w:val="20"/>
              </w:rPr>
            </w:pPr>
            <w:r>
              <w:rPr>
                <w:rFonts w:cs="Times New Roman"/>
                <w:kern w:val="0"/>
                <w:sz w:val="18"/>
                <w:szCs w:val="20"/>
              </w:rPr>
              <w:t>地下水</w:t>
            </w:r>
          </w:p>
        </w:tc>
        <w:tc>
          <w:tcPr>
            <w:tcW w:w="629" w:type="pct"/>
            <w:vAlign w:val="center"/>
          </w:tcPr>
          <w:p w14:paraId="07AAA51B">
            <w:pPr>
              <w:widowControl/>
              <w:spacing w:line="360" w:lineRule="exact"/>
              <w:ind w:firstLine="0" w:firstLineChars="0"/>
              <w:jc w:val="center"/>
              <w:rPr>
                <w:rFonts w:cs="Times New Roman"/>
                <w:kern w:val="0"/>
                <w:sz w:val="18"/>
                <w:szCs w:val="20"/>
              </w:rPr>
            </w:pPr>
            <w:r>
              <w:rPr>
                <w:rFonts w:cs="Times New Roman"/>
                <w:kern w:val="0"/>
                <w:sz w:val="18"/>
                <w:szCs w:val="20"/>
              </w:rPr>
              <w:t>危险</w:t>
            </w:r>
          </w:p>
          <w:p w14:paraId="388CA1C0">
            <w:pPr>
              <w:widowControl/>
              <w:spacing w:line="360" w:lineRule="exact"/>
              <w:ind w:firstLine="0" w:firstLineChars="0"/>
              <w:jc w:val="center"/>
              <w:rPr>
                <w:rFonts w:cs="Times New Roman"/>
                <w:kern w:val="0"/>
                <w:sz w:val="18"/>
                <w:szCs w:val="20"/>
              </w:rPr>
            </w:pPr>
            <w:r>
              <w:rPr>
                <w:rFonts w:cs="Times New Roman"/>
                <w:kern w:val="0"/>
                <w:sz w:val="18"/>
                <w:szCs w:val="20"/>
              </w:rPr>
              <w:t>物质</w:t>
            </w:r>
          </w:p>
        </w:tc>
        <w:tc>
          <w:tcPr>
            <w:tcW w:w="3511" w:type="pct"/>
            <w:gridSpan w:val="6"/>
            <w:vAlign w:val="center"/>
          </w:tcPr>
          <w:p w14:paraId="06260B49">
            <w:pPr>
              <w:widowControl/>
              <w:spacing w:line="360" w:lineRule="exact"/>
              <w:ind w:firstLine="0" w:firstLineChars="0"/>
              <w:jc w:val="center"/>
              <w:rPr>
                <w:rFonts w:cs="Times New Roman"/>
                <w:kern w:val="0"/>
                <w:sz w:val="18"/>
                <w:szCs w:val="20"/>
              </w:rPr>
            </w:pPr>
            <w:r>
              <w:rPr>
                <w:rFonts w:cs="Times New Roman"/>
                <w:kern w:val="0"/>
                <w:sz w:val="18"/>
                <w:szCs w:val="20"/>
              </w:rPr>
              <w:t>地下水环境影响</w:t>
            </w:r>
          </w:p>
        </w:tc>
      </w:tr>
      <w:tr w14:paraId="451C65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2FBEDB1">
            <w:pPr>
              <w:widowControl/>
              <w:spacing w:line="360" w:lineRule="exact"/>
              <w:ind w:firstLine="0" w:firstLineChars="0"/>
              <w:jc w:val="center"/>
              <w:rPr>
                <w:rFonts w:cs="Times New Roman"/>
                <w:kern w:val="0"/>
                <w:sz w:val="18"/>
                <w:szCs w:val="20"/>
              </w:rPr>
            </w:pPr>
          </w:p>
        </w:tc>
        <w:tc>
          <w:tcPr>
            <w:tcW w:w="629" w:type="pct"/>
            <w:vMerge w:val="restart"/>
            <w:vAlign w:val="center"/>
          </w:tcPr>
          <w:p w14:paraId="65DA63DC">
            <w:pPr>
              <w:widowControl/>
              <w:spacing w:line="360" w:lineRule="exact"/>
              <w:ind w:firstLine="0" w:firstLineChars="0"/>
              <w:jc w:val="center"/>
              <w:rPr>
                <w:rFonts w:cs="Times New Roman"/>
                <w:kern w:val="0"/>
                <w:sz w:val="18"/>
                <w:szCs w:val="20"/>
              </w:rPr>
            </w:pPr>
            <w:r>
              <w:rPr>
                <w:rFonts w:cs="Times New Roman"/>
                <w:kern w:val="0"/>
                <w:sz w:val="18"/>
                <w:szCs w:val="20"/>
              </w:rPr>
              <w:t>/</w:t>
            </w:r>
          </w:p>
        </w:tc>
        <w:tc>
          <w:tcPr>
            <w:tcW w:w="1179" w:type="pct"/>
            <w:vAlign w:val="center"/>
          </w:tcPr>
          <w:p w14:paraId="0635D07B">
            <w:pPr>
              <w:widowControl/>
              <w:spacing w:line="360" w:lineRule="exact"/>
              <w:ind w:firstLine="0" w:firstLineChars="0"/>
              <w:jc w:val="center"/>
              <w:rPr>
                <w:rFonts w:cs="Times New Roman"/>
                <w:kern w:val="0"/>
                <w:sz w:val="18"/>
                <w:szCs w:val="20"/>
              </w:rPr>
            </w:pPr>
            <w:r>
              <w:rPr>
                <w:rFonts w:cs="Times New Roman"/>
                <w:kern w:val="0"/>
                <w:sz w:val="18"/>
                <w:szCs w:val="20"/>
              </w:rPr>
              <w:t>厂区边界</w:t>
            </w:r>
          </w:p>
        </w:tc>
        <w:tc>
          <w:tcPr>
            <w:tcW w:w="629" w:type="pct"/>
            <w:vAlign w:val="center"/>
          </w:tcPr>
          <w:p w14:paraId="598BC531">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到达时间</w:t>
            </w:r>
            <w:r>
              <w:rPr>
                <w:rFonts w:eastAsia="Times New Roman" w:cs="Times New Roman"/>
                <w:kern w:val="0"/>
                <w:sz w:val="18"/>
                <w:szCs w:val="20"/>
              </w:rPr>
              <w:t>/d</w:t>
            </w:r>
          </w:p>
        </w:tc>
        <w:tc>
          <w:tcPr>
            <w:tcW w:w="471" w:type="pct"/>
            <w:vAlign w:val="center"/>
          </w:tcPr>
          <w:p w14:paraId="6218BFB7">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超标时间</w:t>
            </w:r>
            <w:r>
              <w:rPr>
                <w:rFonts w:eastAsia="Times New Roman" w:cs="Times New Roman"/>
                <w:kern w:val="0"/>
                <w:sz w:val="18"/>
                <w:szCs w:val="20"/>
              </w:rPr>
              <w:t>/d</w:t>
            </w:r>
          </w:p>
        </w:tc>
        <w:tc>
          <w:tcPr>
            <w:tcW w:w="602" w:type="pct"/>
            <w:gridSpan w:val="2"/>
            <w:vAlign w:val="center"/>
          </w:tcPr>
          <w:p w14:paraId="6A7FC44B">
            <w:pPr>
              <w:widowControl/>
              <w:spacing w:line="360" w:lineRule="exact"/>
              <w:ind w:firstLine="0" w:firstLineChars="0"/>
              <w:jc w:val="center"/>
              <w:rPr>
                <w:rFonts w:cs="Times New Roman"/>
                <w:kern w:val="0"/>
                <w:sz w:val="18"/>
                <w:szCs w:val="20"/>
              </w:rPr>
            </w:pPr>
            <w:r>
              <w:rPr>
                <w:rFonts w:cs="Times New Roman"/>
                <w:kern w:val="0"/>
                <w:sz w:val="18"/>
                <w:szCs w:val="20"/>
              </w:rPr>
              <w:t>超标持续</w:t>
            </w:r>
          </w:p>
          <w:p w14:paraId="429A51E7">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时间</w:t>
            </w:r>
            <w:r>
              <w:rPr>
                <w:rFonts w:eastAsia="Times New Roman" w:cs="Times New Roman"/>
                <w:kern w:val="0"/>
                <w:sz w:val="18"/>
                <w:szCs w:val="20"/>
              </w:rPr>
              <w:t>/d</w:t>
            </w:r>
          </w:p>
        </w:tc>
        <w:tc>
          <w:tcPr>
            <w:tcW w:w="629" w:type="pct"/>
            <w:vAlign w:val="center"/>
          </w:tcPr>
          <w:p w14:paraId="3544F0E5">
            <w:pPr>
              <w:widowControl/>
              <w:spacing w:line="360" w:lineRule="exact"/>
              <w:ind w:firstLine="0" w:firstLineChars="0"/>
              <w:jc w:val="center"/>
              <w:rPr>
                <w:rFonts w:cs="Times New Roman"/>
                <w:kern w:val="0"/>
                <w:sz w:val="18"/>
                <w:szCs w:val="20"/>
              </w:rPr>
            </w:pPr>
            <w:r>
              <w:rPr>
                <w:rFonts w:cs="Times New Roman"/>
                <w:kern w:val="0"/>
                <w:sz w:val="18"/>
                <w:szCs w:val="20"/>
              </w:rPr>
              <w:t>最大浓度</w:t>
            </w:r>
          </w:p>
          <w:p w14:paraId="30DA6333">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/(mg/L)</w:t>
            </w:r>
          </w:p>
        </w:tc>
      </w:tr>
      <w:tr w14:paraId="331DDA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6D6E043C">
            <w:pPr>
              <w:widowControl/>
              <w:spacing w:line="360" w:lineRule="exact"/>
              <w:ind w:firstLine="0" w:firstLineChars="0"/>
              <w:jc w:val="center"/>
              <w:rPr>
                <w:rFonts w:cs="Times New Roman"/>
                <w:kern w:val="0"/>
                <w:sz w:val="18"/>
                <w:szCs w:val="20"/>
              </w:rPr>
            </w:pPr>
          </w:p>
        </w:tc>
        <w:tc>
          <w:tcPr>
            <w:tcW w:w="629" w:type="pct"/>
            <w:vMerge w:val="continue"/>
            <w:vAlign w:val="center"/>
          </w:tcPr>
          <w:p w14:paraId="30A568DC">
            <w:pPr>
              <w:widowControl/>
              <w:spacing w:line="360" w:lineRule="exact"/>
              <w:ind w:firstLine="0" w:firstLineChars="0"/>
              <w:jc w:val="center"/>
              <w:rPr>
                <w:rFonts w:cs="Times New Roman"/>
                <w:kern w:val="0"/>
                <w:sz w:val="18"/>
                <w:szCs w:val="20"/>
              </w:rPr>
            </w:pPr>
          </w:p>
        </w:tc>
        <w:tc>
          <w:tcPr>
            <w:tcW w:w="1179" w:type="pct"/>
            <w:vAlign w:val="center"/>
          </w:tcPr>
          <w:p w14:paraId="54B48B86">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2D597816">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471" w:type="pct"/>
            <w:vAlign w:val="center"/>
          </w:tcPr>
          <w:p w14:paraId="5C60A6C0">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02" w:type="pct"/>
            <w:gridSpan w:val="2"/>
            <w:vAlign w:val="center"/>
          </w:tcPr>
          <w:p w14:paraId="02EA0DE3">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682373C9">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r w14:paraId="1D18C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B4CF5F2">
            <w:pPr>
              <w:widowControl/>
              <w:spacing w:line="360" w:lineRule="exact"/>
              <w:ind w:firstLine="0" w:firstLineChars="0"/>
              <w:jc w:val="center"/>
              <w:rPr>
                <w:rFonts w:cs="Times New Roman"/>
                <w:kern w:val="0"/>
                <w:sz w:val="18"/>
                <w:szCs w:val="20"/>
              </w:rPr>
            </w:pPr>
          </w:p>
        </w:tc>
        <w:tc>
          <w:tcPr>
            <w:tcW w:w="629" w:type="pct"/>
            <w:vMerge w:val="continue"/>
            <w:vAlign w:val="center"/>
          </w:tcPr>
          <w:p w14:paraId="7284184E">
            <w:pPr>
              <w:widowControl/>
              <w:spacing w:line="360" w:lineRule="exact"/>
              <w:ind w:firstLine="0" w:firstLineChars="0"/>
              <w:jc w:val="center"/>
              <w:rPr>
                <w:rFonts w:cs="Times New Roman"/>
                <w:kern w:val="0"/>
                <w:sz w:val="18"/>
                <w:szCs w:val="20"/>
              </w:rPr>
            </w:pPr>
          </w:p>
        </w:tc>
        <w:tc>
          <w:tcPr>
            <w:tcW w:w="1179" w:type="pct"/>
            <w:vAlign w:val="center"/>
          </w:tcPr>
          <w:p w14:paraId="50A56EE8">
            <w:pPr>
              <w:widowControl/>
              <w:spacing w:line="360" w:lineRule="exact"/>
              <w:ind w:firstLine="0" w:firstLineChars="0"/>
              <w:jc w:val="center"/>
              <w:rPr>
                <w:rFonts w:cs="Times New Roman"/>
                <w:kern w:val="0"/>
                <w:sz w:val="18"/>
                <w:szCs w:val="20"/>
              </w:rPr>
            </w:pPr>
            <w:r>
              <w:rPr>
                <w:rFonts w:cs="Times New Roman"/>
                <w:kern w:val="0"/>
                <w:sz w:val="18"/>
                <w:szCs w:val="20"/>
              </w:rPr>
              <w:t>敏感目标名称</w:t>
            </w:r>
          </w:p>
        </w:tc>
        <w:tc>
          <w:tcPr>
            <w:tcW w:w="629" w:type="pct"/>
            <w:vAlign w:val="center"/>
          </w:tcPr>
          <w:p w14:paraId="759C9CCF">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到达时间</w:t>
            </w:r>
            <w:r>
              <w:rPr>
                <w:rFonts w:eastAsia="Times New Roman" w:cs="Times New Roman"/>
                <w:kern w:val="0"/>
                <w:sz w:val="18"/>
                <w:szCs w:val="20"/>
              </w:rPr>
              <w:t>/d</w:t>
            </w:r>
          </w:p>
        </w:tc>
        <w:tc>
          <w:tcPr>
            <w:tcW w:w="471" w:type="pct"/>
            <w:vAlign w:val="center"/>
          </w:tcPr>
          <w:p w14:paraId="1438ABEF">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超标时间</w:t>
            </w:r>
            <w:r>
              <w:rPr>
                <w:rFonts w:eastAsia="Times New Roman" w:cs="Times New Roman"/>
                <w:kern w:val="0"/>
                <w:sz w:val="18"/>
                <w:szCs w:val="20"/>
              </w:rPr>
              <w:t>/d</w:t>
            </w:r>
          </w:p>
        </w:tc>
        <w:tc>
          <w:tcPr>
            <w:tcW w:w="602" w:type="pct"/>
            <w:gridSpan w:val="2"/>
            <w:vAlign w:val="center"/>
          </w:tcPr>
          <w:p w14:paraId="5D28B7AE">
            <w:pPr>
              <w:widowControl/>
              <w:spacing w:line="360" w:lineRule="exact"/>
              <w:ind w:firstLine="0" w:firstLineChars="0"/>
              <w:jc w:val="center"/>
              <w:rPr>
                <w:rFonts w:eastAsia="Times New Roman" w:cs="Times New Roman"/>
                <w:kern w:val="0"/>
                <w:sz w:val="18"/>
                <w:szCs w:val="20"/>
              </w:rPr>
            </w:pPr>
            <w:r>
              <w:rPr>
                <w:rFonts w:cs="Times New Roman"/>
                <w:kern w:val="0"/>
                <w:sz w:val="18"/>
                <w:szCs w:val="20"/>
              </w:rPr>
              <w:t>超标持续 时间</w:t>
            </w:r>
            <w:r>
              <w:rPr>
                <w:rFonts w:eastAsia="Times New Roman" w:cs="Times New Roman"/>
                <w:kern w:val="0"/>
                <w:sz w:val="18"/>
                <w:szCs w:val="20"/>
              </w:rPr>
              <w:t>/d</w:t>
            </w:r>
          </w:p>
        </w:tc>
        <w:tc>
          <w:tcPr>
            <w:tcW w:w="629" w:type="pct"/>
            <w:vAlign w:val="center"/>
          </w:tcPr>
          <w:p w14:paraId="7E1B6F77">
            <w:pPr>
              <w:widowControl/>
              <w:spacing w:line="360" w:lineRule="exact"/>
              <w:ind w:firstLine="0" w:firstLineChars="0"/>
              <w:jc w:val="center"/>
              <w:rPr>
                <w:rFonts w:cs="Times New Roman"/>
                <w:kern w:val="0"/>
                <w:sz w:val="18"/>
                <w:szCs w:val="20"/>
              </w:rPr>
            </w:pPr>
            <w:r>
              <w:rPr>
                <w:rFonts w:cs="Times New Roman"/>
                <w:kern w:val="0"/>
                <w:sz w:val="18"/>
                <w:szCs w:val="20"/>
              </w:rPr>
              <w:t>最大浓度</w:t>
            </w:r>
          </w:p>
          <w:p w14:paraId="7D901F96">
            <w:pPr>
              <w:widowControl/>
              <w:spacing w:line="360" w:lineRule="exact"/>
              <w:ind w:firstLine="0" w:firstLineChars="0"/>
              <w:jc w:val="center"/>
              <w:rPr>
                <w:rFonts w:eastAsia="Times New Roman" w:cs="Times New Roman"/>
                <w:kern w:val="0"/>
                <w:sz w:val="18"/>
                <w:szCs w:val="20"/>
              </w:rPr>
            </w:pPr>
            <w:r>
              <w:rPr>
                <w:rFonts w:cs="Times New Roman"/>
                <w:spacing w:val="-1"/>
                <w:kern w:val="0"/>
                <w:sz w:val="18"/>
                <w:szCs w:val="20"/>
              </w:rPr>
              <w:t>/(mg/L)</w:t>
            </w:r>
          </w:p>
        </w:tc>
      </w:tr>
      <w:tr w14:paraId="38A54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5B3D4FDF">
            <w:pPr>
              <w:widowControl/>
              <w:spacing w:line="360" w:lineRule="exact"/>
              <w:ind w:firstLine="0" w:firstLineChars="0"/>
              <w:jc w:val="center"/>
              <w:rPr>
                <w:rFonts w:cs="Times New Roman"/>
                <w:kern w:val="0"/>
                <w:sz w:val="18"/>
                <w:szCs w:val="20"/>
              </w:rPr>
            </w:pPr>
          </w:p>
        </w:tc>
        <w:tc>
          <w:tcPr>
            <w:tcW w:w="629" w:type="pct"/>
            <w:vMerge w:val="continue"/>
            <w:vAlign w:val="center"/>
          </w:tcPr>
          <w:p w14:paraId="5A2E0F9A">
            <w:pPr>
              <w:widowControl/>
              <w:spacing w:line="360" w:lineRule="exact"/>
              <w:ind w:firstLine="0" w:firstLineChars="0"/>
              <w:jc w:val="center"/>
              <w:rPr>
                <w:rFonts w:cs="Times New Roman"/>
                <w:kern w:val="0"/>
                <w:sz w:val="18"/>
                <w:szCs w:val="20"/>
              </w:rPr>
            </w:pPr>
          </w:p>
        </w:tc>
        <w:tc>
          <w:tcPr>
            <w:tcW w:w="1179" w:type="pct"/>
            <w:vAlign w:val="center"/>
          </w:tcPr>
          <w:p w14:paraId="34196EDF">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4EBF3861">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471" w:type="pct"/>
            <w:vAlign w:val="center"/>
          </w:tcPr>
          <w:p w14:paraId="18E2B323">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02" w:type="pct"/>
            <w:gridSpan w:val="2"/>
            <w:vAlign w:val="center"/>
          </w:tcPr>
          <w:p w14:paraId="4BFF0DA5">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629" w:type="pct"/>
            <w:vAlign w:val="center"/>
          </w:tcPr>
          <w:p w14:paraId="12BB5B2B">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r>
    </w:tbl>
    <w:p w14:paraId="695E7AA9">
      <w:pPr>
        <w:spacing w:line="500" w:lineRule="exact"/>
        <w:ind w:firstLine="0" w:firstLineChars="0"/>
        <w:jc w:val="center"/>
        <w:rPr>
          <w:rFonts w:eastAsia="黑体"/>
        </w:rPr>
      </w:pPr>
      <w:r>
        <w:rPr>
          <w:rFonts w:hint="eastAsia" w:eastAsia="黑体"/>
        </w:rPr>
        <w:t>表</w:t>
      </w:r>
      <w:r>
        <w:rPr>
          <w:rFonts w:eastAsia="黑体"/>
        </w:rPr>
        <w:t>5.6.8-2  事故源项及事故后果基本信息表</w:t>
      </w:r>
      <w:r>
        <w:rPr>
          <w:rFonts w:hint="eastAsia" w:eastAsia="黑体"/>
        </w:rPr>
        <w:t>（</w:t>
      </w:r>
      <w:r>
        <w:rPr>
          <w:rFonts w:eastAsia="黑体"/>
        </w:rPr>
        <w:t>2</w:t>
      </w:r>
      <w:r>
        <w:rPr>
          <w:rFonts w:hint="eastAsia" w:eastAsia="黑体"/>
        </w:rPr>
        <w:t>）</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1163"/>
        <w:gridCol w:w="2179"/>
        <w:gridCol w:w="1163"/>
        <w:gridCol w:w="871"/>
        <w:gridCol w:w="795"/>
        <w:gridCol w:w="318"/>
        <w:gridCol w:w="1165"/>
      </w:tblGrid>
      <w:tr w14:paraId="29C9E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6894A6A5">
            <w:pPr>
              <w:pStyle w:val="445"/>
              <w:rPr>
                <w:rFonts w:eastAsia="Times New Roman" w:cs="Times New Roman"/>
                <w:kern w:val="0"/>
                <w:szCs w:val="20"/>
                <w:vertAlign w:val="superscript"/>
              </w:rPr>
            </w:pPr>
            <w:r>
              <w:rPr>
                <w:rFonts w:cs="Times New Roman"/>
                <w:kern w:val="0"/>
                <w:szCs w:val="20"/>
              </w:rPr>
              <w:t>风险事故情形分析</w:t>
            </w:r>
            <w:r>
              <w:rPr>
                <w:rFonts w:cs="Times New Roman"/>
                <w:spacing w:val="-46"/>
                <w:kern w:val="0"/>
                <w:szCs w:val="20"/>
              </w:rPr>
              <w:t xml:space="preserve"> </w:t>
            </w:r>
            <w:r>
              <w:rPr>
                <w:rFonts w:hint="eastAsia" w:cs="Times New Roman"/>
                <w:spacing w:val="-46"/>
                <w:kern w:val="0"/>
                <w:szCs w:val="20"/>
                <w:vertAlign w:val="superscript"/>
              </w:rPr>
              <w:t>a</w:t>
            </w:r>
          </w:p>
        </w:tc>
      </w:tr>
      <w:tr w14:paraId="352B48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42CD5179">
            <w:pPr>
              <w:pStyle w:val="445"/>
              <w:rPr>
                <w:rFonts w:cs="Times New Roman"/>
                <w:kern w:val="0"/>
                <w:szCs w:val="20"/>
              </w:rPr>
            </w:pPr>
            <w:r>
              <w:rPr>
                <w:rFonts w:cs="Times New Roman"/>
                <w:kern w:val="0"/>
                <w:szCs w:val="20"/>
              </w:rPr>
              <w:t>代表性风险</w:t>
            </w:r>
          </w:p>
          <w:p w14:paraId="59BB626D">
            <w:pPr>
              <w:pStyle w:val="445"/>
              <w:rPr>
                <w:rFonts w:cs="Times New Roman"/>
                <w:kern w:val="0"/>
                <w:szCs w:val="20"/>
              </w:rPr>
            </w:pPr>
            <w:r>
              <w:rPr>
                <w:rFonts w:cs="Times New Roman"/>
                <w:kern w:val="0"/>
                <w:szCs w:val="20"/>
              </w:rPr>
              <w:t>事故情形描述</w:t>
            </w:r>
          </w:p>
        </w:tc>
        <w:tc>
          <w:tcPr>
            <w:tcW w:w="4140" w:type="pct"/>
            <w:gridSpan w:val="7"/>
            <w:vAlign w:val="center"/>
          </w:tcPr>
          <w:p w14:paraId="04BBD6C7">
            <w:pPr>
              <w:pStyle w:val="445"/>
              <w:rPr>
                <w:rFonts w:cs="Times New Roman"/>
                <w:kern w:val="0"/>
                <w:szCs w:val="20"/>
              </w:rPr>
            </w:pPr>
            <w:r>
              <w:rPr>
                <w:rFonts w:hint="eastAsia" w:cs="Times New Roman"/>
                <w:kern w:val="0"/>
                <w:szCs w:val="20"/>
              </w:rPr>
              <w:t>氯化氢钢瓶泄漏事故</w:t>
            </w:r>
          </w:p>
        </w:tc>
      </w:tr>
      <w:tr w14:paraId="0D859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58830659">
            <w:pPr>
              <w:pStyle w:val="445"/>
              <w:rPr>
                <w:rFonts w:cs="Times New Roman"/>
                <w:kern w:val="0"/>
                <w:szCs w:val="20"/>
              </w:rPr>
            </w:pPr>
            <w:r>
              <w:rPr>
                <w:rFonts w:cs="Times New Roman"/>
                <w:kern w:val="0"/>
                <w:szCs w:val="20"/>
              </w:rPr>
              <w:t>环境风险类型</w:t>
            </w:r>
          </w:p>
        </w:tc>
        <w:tc>
          <w:tcPr>
            <w:tcW w:w="4140" w:type="pct"/>
            <w:gridSpan w:val="7"/>
            <w:vAlign w:val="center"/>
          </w:tcPr>
          <w:p w14:paraId="35976EE2">
            <w:pPr>
              <w:pStyle w:val="445"/>
              <w:rPr>
                <w:rFonts w:cs="Times New Roman"/>
                <w:kern w:val="0"/>
                <w:szCs w:val="20"/>
              </w:rPr>
            </w:pPr>
            <w:r>
              <w:rPr>
                <w:rFonts w:hint="eastAsia" w:cs="Times New Roman"/>
                <w:kern w:val="0"/>
                <w:szCs w:val="20"/>
              </w:rPr>
              <w:t>危险</w:t>
            </w:r>
            <w:r>
              <w:rPr>
                <w:rFonts w:cs="Times New Roman"/>
                <w:kern w:val="0"/>
                <w:szCs w:val="20"/>
              </w:rPr>
              <w:t>物质</w:t>
            </w:r>
            <w:r>
              <w:rPr>
                <w:rFonts w:hint="eastAsia" w:cs="Times New Roman"/>
                <w:kern w:val="0"/>
                <w:szCs w:val="20"/>
              </w:rPr>
              <w:t>泄漏</w:t>
            </w:r>
          </w:p>
        </w:tc>
      </w:tr>
      <w:tr w14:paraId="23EA4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585E370A">
            <w:pPr>
              <w:pStyle w:val="445"/>
              <w:rPr>
                <w:rFonts w:cs="Times New Roman"/>
                <w:kern w:val="0"/>
                <w:szCs w:val="20"/>
              </w:rPr>
            </w:pPr>
            <w:r>
              <w:rPr>
                <w:rFonts w:cs="Times New Roman"/>
                <w:kern w:val="0"/>
                <w:szCs w:val="20"/>
              </w:rPr>
              <w:t>泄漏设备类型</w:t>
            </w:r>
          </w:p>
        </w:tc>
        <w:tc>
          <w:tcPr>
            <w:tcW w:w="629" w:type="pct"/>
            <w:vAlign w:val="center"/>
          </w:tcPr>
          <w:p w14:paraId="31724FAD">
            <w:pPr>
              <w:pStyle w:val="445"/>
              <w:rPr>
                <w:rFonts w:cs="Times New Roman"/>
                <w:kern w:val="0"/>
                <w:szCs w:val="20"/>
              </w:rPr>
            </w:pPr>
            <w:r>
              <w:rPr>
                <w:rFonts w:hint="eastAsia" w:cs="Times New Roman"/>
                <w:kern w:val="0"/>
                <w:szCs w:val="20"/>
              </w:rPr>
              <w:t>钢瓶</w:t>
            </w:r>
          </w:p>
        </w:tc>
        <w:tc>
          <w:tcPr>
            <w:tcW w:w="1179" w:type="pct"/>
            <w:vAlign w:val="center"/>
          </w:tcPr>
          <w:p w14:paraId="09677FE9">
            <w:pPr>
              <w:pStyle w:val="445"/>
              <w:rPr>
                <w:rFonts w:cs="Times New Roman"/>
                <w:kern w:val="0"/>
                <w:szCs w:val="20"/>
              </w:rPr>
            </w:pPr>
            <w:r>
              <w:rPr>
                <w:rFonts w:cs="Times New Roman"/>
                <w:kern w:val="0"/>
                <w:szCs w:val="20"/>
              </w:rPr>
              <w:t>操作温度</w:t>
            </w:r>
            <w:r>
              <w:rPr>
                <w:rFonts w:eastAsia="Times New Roman" w:cs="Times New Roman"/>
                <w:kern w:val="0"/>
                <w:szCs w:val="20"/>
              </w:rPr>
              <w:t>/</w:t>
            </w:r>
            <w:r>
              <w:rPr>
                <w:rFonts w:hint="eastAsia" w:ascii="宋体" w:hAnsi="宋体" w:cs="宋体"/>
                <w:kern w:val="0"/>
                <w:szCs w:val="20"/>
              </w:rPr>
              <w:t>℃</w:t>
            </w:r>
          </w:p>
        </w:tc>
        <w:tc>
          <w:tcPr>
            <w:tcW w:w="629" w:type="pct"/>
            <w:vAlign w:val="center"/>
          </w:tcPr>
          <w:p w14:paraId="62A2BBE0">
            <w:pPr>
              <w:pStyle w:val="445"/>
              <w:rPr>
                <w:rFonts w:cs="Times New Roman"/>
                <w:kern w:val="0"/>
                <w:szCs w:val="20"/>
              </w:rPr>
            </w:pPr>
            <w:r>
              <w:rPr>
                <w:rFonts w:hint="eastAsia" w:cs="Times New Roman"/>
                <w:kern w:val="0"/>
                <w:szCs w:val="20"/>
              </w:rPr>
              <w:t>常温</w:t>
            </w:r>
          </w:p>
        </w:tc>
        <w:tc>
          <w:tcPr>
            <w:tcW w:w="1073" w:type="pct"/>
            <w:gridSpan w:val="3"/>
            <w:vAlign w:val="center"/>
          </w:tcPr>
          <w:p w14:paraId="180E5CFD">
            <w:pPr>
              <w:pStyle w:val="445"/>
              <w:rPr>
                <w:rFonts w:eastAsia="Times New Roman" w:cs="Times New Roman"/>
                <w:kern w:val="0"/>
                <w:szCs w:val="20"/>
              </w:rPr>
            </w:pPr>
            <w:r>
              <w:rPr>
                <w:rFonts w:cs="Times New Roman"/>
                <w:kern w:val="0"/>
                <w:szCs w:val="20"/>
              </w:rPr>
              <w:t>操作压力</w:t>
            </w:r>
            <w:r>
              <w:rPr>
                <w:rFonts w:eastAsia="Times New Roman" w:cs="Times New Roman"/>
                <w:kern w:val="0"/>
                <w:szCs w:val="20"/>
              </w:rPr>
              <w:t>/MPa</w:t>
            </w:r>
          </w:p>
        </w:tc>
        <w:tc>
          <w:tcPr>
            <w:tcW w:w="630" w:type="pct"/>
            <w:vAlign w:val="center"/>
          </w:tcPr>
          <w:p w14:paraId="7A121CDD">
            <w:pPr>
              <w:pStyle w:val="445"/>
              <w:rPr>
                <w:rFonts w:cs="Times New Roman"/>
                <w:kern w:val="0"/>
                <w:szCs w:val="20"/>
              </w:rPr>
            </w:pPr>
            <w:r>
              <w:rPr>
                <w:rFonts w:cs="Times New Roman"/>
                <w:kern w:val="0"/>
                <w:szCs w:val="20"/>
              </w:rPr>
              <w:t>5</w:t>
            </w:r>
          </w:p>
        </w:tc>
      </w:tr>
      <w:tr w14:paraId="0D283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6E4C8E53">
            <w:pPr>
              <w:pStyle w:val="445"/>
              <w:rPr>
                <w:rFonts w:cs="Times New Roman"/>
                <w:kern w:val="0"/>
                <w:szCs w:val="20"/>
              </w:rPr>
            </w:pPr>
            <w:r>
              <w:rPr>
                <w:rFonts w:cs="Times New Roman"/>
                <w:kern w:val="0"/>
                <w:szCs w:val="20"/>
              </w:rPr>
              <w:t>泄漏危险物质</w:t>
            </w:r>
          </w:p>
        </w:tc>
        <w:tc>
          <w:tcPr>
            <w:tcW w:w="629" w:type="pct"/>
            <w:vAlign w:val="center"/>
          </w:tcPr>
          <w:p w14:paraId="489C5D64">
            <w:pPr>
              <w:pStyle w:val="445"/>
              <w:rPr>
                <w:rFonts w:cs="Times New Roman"/>
                <w:kern w:val="0"/>
                <w:szCs w:val="20"/>
              </w:rPr>
            </w:pPr>
            <w:r>
              <w:rPr>
                <w:rFonts w:hint="eastAsia" w:cs="Times New Roman"/>
                <w:kern w:val="0"/>
                <w:szCs w:val="20"/>
              </w:rPr>
              <w:t>氯化氢</w:t>
            </w:r>
          </w:p>
        </w:tc>
        <w:tc>
          <w:tcPr>
            <w:tcW w:w="1179" w:type="pct"/>
            <w:vAlign w:val="center"/>
          </w:tcPr>
          <w:p w14:paraId="31B7AD7B">
            <w:pPr>
              <w:pStyle w:val="445"/>
              <w:rPr>
                <w:rFonts w:eastAsia="Times New Roman" w:cs="Times New Roman"/>
                <w:kern w:val="0"/>
                <w:szCs w:val="20"/>
              </w:rPr>
            </w:pPr>
            <w:r>
              <w:rPr>
                <w:rFonts w:cs="Times New Roman"/>
                <w:kern w:val="0"/>
                <w:szCs w:val="20"/>
              </w:rPr>
              <w:t>最大存在量</w:t>
            </w:r>
            <w:r>
              <w:rPr>
                <w:rFonts w:eastAsia="Times New Roman" w:cs="Times New Roman"/>
                <w:kern w:val="0"/>
                <w:szCs w:val="20"/>
              </w:rPr>
              <w:t>/kg</w:t>
            </w:r>
          </w:p>
        </w:tc>
        <w:tc>
          <w:tcPr>
            <w:tcW w:w="629" w:type="pct"/>
            <w:vAlign w:val="center"/>
          </w:tcPr>
          <w:p w14:paraId="6E870D97">
            <w:pPr>
              <w:pStyle w:val="445"/>
              <w:rPr>
                <w:rFonts w:cs="Times New Roman"/>
                <w:kern w:val="0"/>
                <w:szCs w:val="20"/>
              </w:rPr>
            </w:pPr>
            <w:r>
              <w:rPr>
                <w:rFonts w:cs="Times New Roman"/>
                <w:kern w:val="0"/>
                <w:szCs w:val="20"/>
              </w:rPr>
              <w:t>/</w:t>
            </w:r>
          </w:p>
        </w:tc>
        <w:tc>
          <w:tcPr>
            <w:tcW w:w="1073" w:type="pct"/>
            <w:gridSpan w:val="3"/>
            <w:vAlign w:val="center"/>
          </w:tcPr>
          <w:p w14:paraId="4E2145C0">
            <w:pPr>
              <w:pStyle w:val="445"/>
              <w:rPr>
                <w:rFonts w:eastAsia="Times New Roman" w:cs="Times New Roman"/>
                <w:kern w:val="0"/>
                <w:szCs w:val="20"/>
              </w:rPr>
            </w:pPr>
            <w:r>
              <w:rPr>
                <w:rFonts w:cs="Times New Roman"/>
                <w:spacing w:val="-1"/>
                <w:kern w:val="0"/>
                <w:szCs w:val="20"/>
              </w:rPr>
              <w:t>泄漏孔径</w:t>
            </w:r>
            <w:r>
              <w:rPr>
                <w:rFonts w:eastAsia="Times New Roman" w:cs="Times New Roman"/>
                <w:spacing w:val="-1"/>
                <w:kern w:val="0"/>
                <w:szCs w:val="20"/>
              </w:rPr>
              <w:t>/mm</w:t>
            </w:r>
          </w:p>
        </w:tc>
        <w:tc>
          <w:tcPr>
            <w:tcW w:w="630" w:type="pct"/>
            <w:vAlign w:val="center"/>
          </w:tcPr>
          <w:p w14:paraId="6D7DC62A">
            <w:pPr>
              <w:pStyle w:val="445"/>
              <w:rPr>
                <w:rFonts w:cs="Times New Roman"/>
                <w:kern w:val="0"/>
                <w:szCs w:val="20"/>
              </w:rPr>
            </w:pPr>
            <w:r>
              <w:rPr>
                <w:rFonts w:cs="Times New Roman"/>
                <w:kern w:val="0"/>
                <w:szCs w:val="20"/>
              </w:rPr>
              <w:t>5.6</w:t>
            </w:r>
          </w:p>
        </w:tc>
      </w:tr>
      <w:tr w14:paraId="514A1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5BC3CF18">
            <w:pPr>
              <w:pStyle w:val="445"/>
              <w:rPr>
                <w:rFonts w:eastAsia="Times New Roman" w:cs="Times New Roman"/>
                <w:kern w:val="0"/>
                <w:szCs w:val="20"/>
              </w:rPr>
            </w:pPr>
            <w:r>
              <w:rPr>
                <w:rFonts w:cs="Times New Roman"/>
                <w:kern w:val="0"/>
                <w:szCs w:val="20"/>
              </w:rPr>
              <w:t>泄漏速率</w:t>
            </w:r>
            <w:r>
              <w:rPr>
                <w:rFonts w:eastAsia="Times New Roman" w:cs="Times New Roman"/>
                <w:kern w:val="0"/>
                <w:szCs w:val="20"/>
              </w:rPr>
              <w:t>/(kg/s)</w:t>
            </w:r>
          </w:p>
        </w:tc>
        <w:tc>
          <w:tcPr>
            <w:tcW w:w="629" w:type="pct"/>
            <w:vAlign w:val="center"/>
          </w:tcPr>
          <w:p w14:paraId="6DDD5906">
            <w:pPr>
              <w:pStyle w:val="445"/>
              <w:rPr>
                <w:rFonts w:cs="Times New Roman"/>
                <w:kern w:val="0"/>
                <w:szCs w:val="20"/>
              </w:rPr>
            </w:pPr>
            <w:r>
              <w:rPr>
                <w:rFonts w:cs="Times New Roman"/>
                <w:kern w:val="0"/>
                <w:szCs w:val="20"/>
              </w:rPr>
              <w:t>0.106</w:t>
            </w:r>
          </w:p>
        </w:tc>
        <w:tc>
          <w:tcPr>
            <w:tcW w:w="1179" w:type="pct"/>
            <w:vAlign w:val="center"/>
          </w:tcPr>
          <w:p w14:paraId="5FAD3A42">
            <w:pPr>
              <w:pStyle w:val="445"/>
              <w:rPr>
                <w:rFonts w:eastAsia="Times New Roman" w:cs="Times New Roman"/>
                <w:kern w:val="0"/>
                <w:szCs w:val="20"/>
              </w:rPr>
            </w:pPr>
            <w:r>
              <w:rPr>
                <w:rFonts w:cs="Times New Roman"/>
                <w:spacing w:val="-1"/>
                <w:kern w:val="0"/>
                <w:szCs w:val="20"/>
              </w:rPr>
              <w:t>泄漏时间</w:t>
            </w:r>
            <w:r>
              <w:rPr>
                <w:rFonts w:eastAsia="Times New Roman" w:cs="Times New Roman"/>
                <w:spacing w:val="-1"/>
                <w:kern w:val="0"/>
                <w:szCs w:val="20"/>
              </w:rPr>
              <w:t>/min</w:t>
            </w:r>
          </w:p>
        </w:tc>
        <w:tc>
          <w:tcPr>
            <w:tcW w:w="629" w:type="pct"/>
            <w:vAlign w:val="center"/>
          </w:tcPr>
          <w:p w14:paraId="13A0E94B">
            <w:pPr>
              <w:pStyle w:val="445"/>
              <w:rPr>
                <w:rFonts w:cs="Times New Roman"/>
                <w:kern w:val="0"/>
                <w:szCs w:val="20"/>
              </w:rPr>
            </w:pPr>
            <w:r>
              <w:rPr>
                <w:rFonts w:hint="eastAsia" w:cs="Times New Roman"/>
                <w:kern w:val="0"/>
                <w:szCs w:val="20"/>
              </w:rPr>
              <w:t>1</w:t>
            </w:r>
            <w:r>
              <w:rPr>
                <w:rFonts w:cs="Times New Roman"/>
                <w:kern w:val="0"/>
                <w:szCs w:val="20"/>
              </w:rPr>
              <w:t>0</w:t>
            </w:r>
          </w:p>
        </w:tc>
        <w:tc>
          <w:tcPr>
            <w:tcW w:w="1073" w:type="pct"/>
            <w:gridSpan w:val="3"/>
            <w:vAlign w:val="center"/>
          </w:tcPr>
          <w:p w14:paraId="1F22AAA1">
            <w:pPr>
              <w:pStyle w:val="445"/>
              <w:rPr>
                <w:rFonts w:eastAsia="Times New Roman" w:cs="Times New Roman"/>
                <w:kern w:val="0"/>
                <w:szCs w:val="20"/>
              </w:rPr>
            </w:pPr>
            <w:r>
              <w:rPr>
                <w:rFonts w:cs="Times New Roman"/>
                <w:kern w:val="0"/>
                <w:szCs w:val="20"/>
              </w:rPr>
              <w:t>泄漏量</w:t>
            </w:r>
            <w:r>
              <w:rPr>
                <w:rFonts w:eastAsia="Times New Roman" w:cs="Times New Roman"/>
                <w:kern w:val="0"/>
                <w:szCs w:val="20"/>
              </w:rPr>
              <w:t>/kg</w:t>
            </w:r>
          </w:p>
        </w:tc>
        <w:tc>
          <w:tcPr>
            <w:tcW w:w="630" w:type="pct"/>
            <w:vAlign w:val="center"/>
          </w:tcPr>
          <w:p w14:paraId="0FF8A7CD">
            <w:pPr>
              <w:pStyle w:val="445"/>
              <w:rPr>
                <w:rFonts w:cs="Times New Roman"/>
                <w:kern w:val="0"/>
                <w:szCs w:val="20"/>
              </w:rPr>
            </w:pPr>
            <w:r>
              <w:rPr>
                <w:rFonts w:cs="Times New Roman"/>
                <w:kern w:val="0"/>
                <w:szCs w:val="20"/>
              </w:rPr>
              <w:t>63.6</w:t>
            </w:r>
          </w:p>
        </w:tc>
      </w:tr>
      <w:tr w14:paraId="6A262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227918CA">
            <w:pPr>
              <w:pStyle w:val="445"/>
              <w:rPr>
                <w:rFonts w:eastAsia="Times New Roman" w:cs="Times New Roman"/>
                <w:kern w:val="0"/>
                <w:szCs w:val="20"/>
              </w:rPr>
            </w:pPr>
            <w:r>
              <w:rPr>
                <w:rFonts w:cs="Times New Roman"/>
                <w:kern w:val="0"/>
                <w:szCs w:val="20"/>
              </w:rPr>
              <w:t>泄漏高度</w:t>
            </w:r>
            <w:r>
              <w:rPr>
                <w:rFonts w:eastAsia="Times New Roman" w:cs="Times New Roman"/>
                <w:kern w:val="0"/>
                <w:szCs w:val="20"/>
              </w:rPr>
              <w:t>/m</w:t>
            </w:r>
          </w:p>
        </w:tc>
        <w:tc>
          <w:tcPr>
            <w:tcW w:w="629" w:type="pct"/>
            <w:vAlign w:val="center"/>
          </w:tcPr>
          <w:p w14:paraId="1AB8B1AF">
            <w:pPr>
              <w:pStyle w:val="445"/>
              <w:rPr>
                <w:rFonts w:cs="Times New Roman"/>
                <w:kern w:val="0"/>
                <w:szCs w:val="20"/>
              </w:rPr>
            </w:pPr>
            <w:r>
              <w:rPr>
                <w:rFonts w:cs="Times New Roman"/>
                <w:kern w:val="0"/>
                <w:szCs w:val="20"/>
              </w:rPr>
              <w:t>0.1</w:t>
            </w:r>
          </w:p>
        </w:tc>
        <w:tc>
          <w:tcPr>
            <w:tcW w:w="1179" w:type="pct"/>
            <w:vAlign w:val="center"/>
          </w:tcPr>
          <w:p w14:paraId="3A85582C">
            <w:pPr>
              <w:pStyle w:val="445"/>
              <w:rPr>
                <w:rFonts w:eastAsia="Times New Roman" w:cs="Times New Roman"/>
                <w:kern w:val="0"/>
                <w:szCs w:val="20"/>
              </w:rPr>
            </w:pPr>
            <w:r>
              <w:rPr>
                <w:rFonts w:cs="Times New Roman"/>
                <w:kern w:val="0"/>
                <w:szCs w:val="20"/>
              </w:rPr>
              <w:t>泄漏液体蒸发量</w:t>
            </w:r>
            <w:r>
              <w:rPr>
                <w:rFonts w:eastAsia="Times New Roman" w:cs="Times New Roman"/>
                <w:kern w:val="0"/>
                <w:szCs w:val="20"/>
              </w:rPr>
              <w:t>/kg</w:t>
            </w:r>
          </w:p>
        </w:tc>
        <w:tc>
          <w:tcPr>
            <w:tcW w:w="629" w:type="pct"/>
            <w:vAlign w:val="center"/>
          </w:tcPr>
          <w:p w14:paraId="28946268">
            <w:pPr>
              <w:pStyle w:val="445"/>
              <w:rPr>
                <w:rFonts w:cs="Times New Roman"/>
                <w:kern w:val="0"/>
                <w:szCs w:val="20"/>
              </w:rPr>
            </w:pPr>
            <w:r>
              <w:rPr>
                <w:rFonts w:hint="eastAsia" w:cs="Times New Roman"/>
                <w:kern w:val="0"/>
                <w:szCs w:val="20"/>
              </w:rPr>
              <w:t>/</w:t>
            </w:r>
          </w:p>
        </w:tc>
        <w:tc>
          <w:tcPr>
            <w:tcW w:w="1073" w:type="pct"/>
            <w:gridSpan w:val="3"/>
            <w:vAlign w:val="center"/>
          </w:tcPr>
          <w:p w14:paraId="5F900220">
            <w:pPr>
              <w:pStyle w:val="445"/>
              <w:rPr>
                <w:rFonts w:cs="Times New Roman"/>
                <w:kern w:val="0"/>
                <w:szCs w:val="20"/>
              </w:rPr>
            </w:pPr>
            <w:r>
              <w:rPr>
                <w:rFonts w:cs="Times New Roman"/>
                <w:kern w:val="0"/>
                <w:szCs w:val="20"/>
              </w:rPr>
              <w:t>泄漏频率</w:t>
            </w:r>
          </w:p>
        </w:tc>
        <w:tc>
          <w:tcPr>
            <w:tcW w:w="630" w:type="pct"/>
            <w:vAlign w:val="center"/>
          </w:tcPr>
          <w:p w14:paraId="32AE775E">
            <w:pPr>
              <w:pStyle w:val="445"/>
              <w:rPr>
                <w:rFonts w:cs="Times New Roman"/>
                <w:kern w:val="0"/>
                <w:szCs w:val="20"/>
              </w:rPr>
            </w:pPr>
            <w:r>
              <w:rPr>
                <w:rFonts w:hint="eastAsia" w:cs="Times New Roman"/>
                <w:kern w:val="0"/>
                <w:szCs w:val="20"/>
              </w:rPr>
              <w:t>/</w:t>
            </w:r>
          </w:p>
        </w:tc>
      </w:tr>
      <w:tr w14:paraId="6D570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53BF4F6E">
            <w:pPr>
              <w:pStyle w:val="445"/>
              <w:rPr>
                <w:rFonts w:cs="Times New Roman"/>
                <w:kern w:val="0"/>
                <w:szCs w:val="20"/>
              </w:rPr>
            </w:pPr>
            <w:r>
              <w:rPr>
                <w:rFonts w:cs="Times New Roman"/>
                <w:kern w:val="0"/>
                <w:szCs w:val="20"/>
              </w:rPr>
              <w:t>事故后果预测</w:t>
            </w:r>
          </w:p>
        </w:tc>
      </w:tr>
      <w:tr w14:paraId="69FB3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3DE57E8F">
            <w:pPr>
              <w:pStyle w:val="445"/>
              <w:rPr>
                <w:rFonts w:cs="Times New Roman"/>
                <w:kern w:val="0"/>
                <w:szCs w:val="20"/>
              </w:rPr>
            </w:pPr>
            <w:r>
              <w:rPr>
                <w:rFonts w:cs="Times New Roman"/>
                <w:kern w:val="0"/>
                <w:szCs w:val="20"/>
              </w:rPr>
              <w:t>大气</w:t>
            </w:r>
          </w:p>
        </w:tc>
        <w:tc>
          <w:tcPr>
            <w:tcW w:w="629" w:type="pct"/>
            <w:vAlign w:val="center"/>
          </w:tcPr>
          <w:p w14:paraId="2835197B">
            <w:pPr>
              <w:pStyle w:val="445"/>
              <w:rPr>
                <w:rFonts w:cs="Times New Roman"/>
                <w:kern w:val="0"/>
                <w:szCs w:val="20"/>
              </w:rPr>
            </w:pPr>
            <w:r>
              <w:rPr>
                <w:rFonts w:cs="Times New Roman"/>
                <w:kern w:val="0"/>
                <w:szCs w:val="20"/>
              </w:rPr>
              <w:t>危险</w:t>
            </w:r>
          </w:p>
          <w:p w14:paraId="181F3BE2">
            <w:pPr>
              <w:pStyle w:val="445"/>
              <w:rPr>
                <w:rFonts w:cs="Times New Roman"/>
                <w:kern w:val="0"/>
                <w:szCs w:val="20"/>
              </w:rPr>
            </w:pPr>
            <w:r>
              <w:rPr>
                <w:rFonts w:cs="Times New Roman"/>
                <w:kern w:val="0"/>
                <w:szCs w:val="20"/>
              </w:rPr>
              <w:t>物质</w:t>
            </w:r>
          </w:p>
        </w:tc>
        <w:tc>
          <w:tcPr>
            <w:tcW w:w="3511" w:type="pct"/>
            <w:gridSpan w:val="6"/>
            <w:vAlign w:val="center"/>
          </w:tcPr>
          <w:p w14:paraId="0149096C">
            <w:pPr>
              <w:pStyle w:val="445"/>
              <w:rPr>
                <w:rFonts w:cs="Times New Roman"/>
                <w:kern w:val="0"/>
                <w:szCs w:val="20"/>
              </w:rPr>
            </w:pPr>
            <w:r>
              <w:rPr>
                <w:rFonts w:cs="Times New Roman"/>
                <w:kern w:val="0"/>
                <w:szCs w:val="20"/>
              </w:rPr>
              <w:t>大气环境影响</w:t>
            </w:r>
          </w:p>
        </w:tc>
      </w:tr>
      <w:tr w14:paraId="272E9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6474142D">
            <w:pPr>
              <w:pStyle w:val="445"/>
              <w:rPr>
                <w:rFonts w:cs="Times New Roman"/>
                <w:kern w:val="0"/>
                <w:szCs w:val="20"/>
              </w:rPr>
            </w:pPr>
          </w:p>
        </w:tc>
        <w:tc>
          <w:tcPr>
            <w:tcW w:w="629" w:type="pct"/>
            <w:vMerge w:val="restart"/>
            <w:vAlign w:val="center"/>
          </w:tcPr>
          <w:p w14:paraId="58846548">
            <w:pPr>
              <w:pStyle w:val="445"/>
              <w:rPr>
                <w:rFonts w:cs="Times New Roman"/>
                <w:kern w:val="0"/>
                <w:szCs w:val="20"/>
              </w:rPr>
            </w:pPr>
            <w:r>
              <w:rPr>
                <w:rFonts w:hint="eastAsia" w:cs="Times New Roman"/>
                <w:kern w:val="0"/>
                <w:szCs w:val="20"/>
              </w:rPr>
              <w:t>氯化氢</w:t>
            </w:r>
          </w:p>
        </w:tc>
        <w:tc>
          <w:tcPr>
            <w:tcW w:w="1179" w:type="pct"/>
            <w:vAlign w:val="center"/>
          </w:tcPr>
          <w:p w14:paraId="6A2E4E40">
            <w:pPr>
              <w:pStyle w:val="445"/>
              <w:rPr>
                <w:rFonts w:cs="Times New Roman"/>
                <w:kern w:val="0"/>
                <w:szCs w:val="20"/>
              </w:rPr>
            </w:pPr>
            <w:r>
              <w:rPr>
                <w:rFonts w:cs="Times New Roman"/>
                <w:kern w:val="0"/>
                <w:szCs w:val="20"/>
              </w:rPr>
              <w:t>指标</w:t>
            </w:r>
          </w:p>
        </w:tc>
        <w:tc>
          <w:tcPr>
            <w:tcW w:w="629" w:type="pct"/>
            <w:vAlign w:val="center"/>
          </w:tcPr>
          <w:p w14:paraId="0D7CD7F4">
            <w:pPr>
              <w:pStyle w:val="445"/>
              <w:rPr>
                <w:rFonts w:eastAsia="Times New Roman" w:cs="Times New Roman"/>
                <w:kern w:val="0"/>
                <w:szCs w:val="20"/>
              </w:rPr>
            </w:pPr>
            <w:r>
              <w:rPr>
                <w:rFonts w:cs="Times New Roman"/>
                <w:spacing w:val="-1"/>
                <w:kern w:val="0"/>
                <w:szCs w:val="20"/>
              </w:rPr>
              <w:t>浓度值</w:t>
            </w:r>
            <w:r>
              <w:rPr>
                <w:rFonts w:eastAsia="Times New Roman" w:cs="Times New Roman"/>
                <w:spacing w:val="-1"/>
                <w:kern w:val="0"/>
                <w:szCs w:val="20"/>
              </w:rPr>
              <w:t>/(mg/m</w:t>
            </w:r>
            <w:r>
              <w:rPr>
                <w:rFonts w:cs="Times New Roman"/>
                <w:kern w:val="0"/>
                <w:szCs w:val="20"/>
                <w:vertAlign w:val="superscript"/>
              </w:rPr>
              <w:t>3</w:t>
            </w:r>
            <w:r>
              <w:rPr>
                <w:rFonts w:eastAsia="Times New Roman" w:cs="Times New Roman"/>
                <w:spacing w:val="-1"/>
                <w:kern w:val="0"/>
                <w:szCs w:val="20"/>
              </w:rPr>
              <w:t>)</w:t>
            </w:r>
          </w:p>
        </w:tc>
        <w:tc>
          <w:tcPr>
            <w:tcW w:w="901" w:type="pct"/>
            <w:gridSpan w:val="2"/>
            <w:vAlign w:val="center"/>
          </w:tcPr>
          <w:p w14:paraId="097551EF">
            <w:pPr>
              <w:pStyle w:val="445"/>
              <w:rPr>
                <w:rFonts w:eastAsia="Times New Roman" w:cs="Times New Roman"/>
                <w:kern w:val="0"/>
                <w:szCs w:val="20"/>
              </w:rPr>
            </w:pPr>
            <w:r>
              <w:rPr>
                <w:rFonts w:cs="Times New Roman"/>
                <w:kern w:val="0"/>
                <w:szCs w:val="20"/>
              </w:rPr>
              <w:t>最远影响距离</w:t>
            </w:r>
            <w:r>
              <w:rPr>
                <w:rFonts w:eastAsia="Times New Roman" w:cs="Times New Roman"/>
                <w:kern w:val="0"/>
                <w:szCs w:val="20"/>
              </w:rPr>
              <w:t>/m</w:t>
            </w:r>
          </w:p>
        </w:tc>
        <w:tc>
          <w:tcPr>
            <w:tcW w:w="802" w:type="pct"/>
            <w:gridSpan w:val="2"/>
            <w:vAlign w:val="center"/>
          </w:tcPr>
          <w:p w14:paraId="74D4EA54">
            <w:pPr>
              <w:pStyle w:val="445"/>
              <w:rPr>
                <w:rFonts w:eastAsia="Times New Roman" w:cs="Times New Roman"/>
                <w:kern w:val="0"/>
                <w:szCs w:val="20"/>
              </w:rPr>
            </w:pPr>
            <w:r>
              <w:rPr>
                <w:rFonts w:cs="Times New Roman"/>
                <w:spacing w:val="-1"/>
                <w:kern w:val="0"/>
                <w:szCs w:val="20"/>
              </w:rPr>
              <w:t>到达时间</w:t>
            </w:r>
            <w:r>
              <w:rPr>
                <w:rFonts w:eastAsia="Times New Roman" w:cs="Times New Roman"/>
                <w:spacing w:val="-1"/>
                <w:kern w:val="0"/>
                <w:szCs w:val="20"/>
              </w:rPr>
              <w:t>/min</w:t>
            </w:r>
          </w:p>
        </w:tc>
      </w:tr>
      <w:tr w14:paraId="1473E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410A6393">
            <w:pPr>
              <w:pStyle w:val="445"/>
              <w:rPr>
                <w:rFonts w:cs="Times New Roman"/>
                <w:kern w:val="0"/>
                <w:szCs w:val="20"/>
              </w:rPr>
            </w:pPr>
          </w:p>
        </w:tc>
        <w:tc>
          <w:tcPr>
            <w:tcW w:w="629" w:type="pct"/>
            <w:vMerge w:val="continue"/>
            <w:vAlign w:val="center"/>
          </w:tcPr>
          <w:p w14:paraId="469AD71E">
            <w:pPr>
              <w:pStyle w:val="445"/>
              <w:rPr>
                <w:rFonts w:cs="Times New Roman"/>
                <w:kern w:val="0"/>
                <w:szCs w:val="20"/>
              </w:rPr>
            </w:pPr>
          </w:p>
        </w:tc>
        <w:tc>
          <w:tcPr>
            <w:tcW w:w="1179" w:type="pct"/>
            <w:vAlign w:val="center"/>
          </w:tcPr>
          <w:p w14:paraId="3D3B7623">
            <w:pPr>
              <w:pStyle w:val="445"/>
              <w:rPr>
                <w:rFonts w:eastAsia="Times New Roman" w:cs="Times New Roman"/>
                <w:kern w:val="0"/>
                <w:szCs w:val="20"/>
              </w:rPr>
            </w:pPr>
            <w:r>
              <w:rPr>
                <w:rFonts w:cs="Times New Roman"/>
                <w:kern w:val="0"/>
                <w:szCs w:val="20"/>
              </w:rPr>
              <w:t>大气毒性终点浓度</w:t>
            </w:r>
            <w:r>
              <w:rPr>
                <w:rFonts w:eastAsia="Times New Roman" w:cs="Times New Roman"/>
                <w:kern w:val="0"/>
                <w:szCs w:val="20"/>
              </w:rPr>
              <w:t>-1</w:t>
            </w:r>
          </w:p>
        </w:tc>
        <w:tc>
          <w:tcPr>
            <w:tcW w:w="629" w:type="pct"/>
            <w:vAlign w:val="center"/>
          </w:tcPr>
          <w:p w14:paraId="21C531C6">
            <w:pPr>
              <w:pStyle w:val="445"/>
              <w:rPr>
                <w:rFonts w:cs="Times New Roman"/>
                <w:kern w:val="0"/>
                <w:szCs w:val="20"/>
              </w:rPr>
            </w:pPr>
            <w:r>
              <w:rPr>
                <w:rFonts w:cs="Times New Roman"/>
                <w:kern w:val="0"/>
                <w:szCs w:val="20"/>
              </w:rPr>
              <w:t>150</w:t>
            </w:r>
          </w:p>
        </w:tc>
        <w:tc>
          <w:tcPr>
            <w:tcW w:w="901" w:type="pct"/>
            <w:gridSpan w:val="2"/>
            <w:vAlign w:val="center"/>
          </w:tcPr>
          <w:p w14:paraId="6BA9C2CE">
            <w:pPr>
              <w:pStyle w:val="445"/>
              <w:rPr>
                <w:rFonts w:cs="Times New Roman"/>
                <w:kern w:val="0"/>
                <w:szCs w:val="20"/>
              </w:rPr>
            </w:pPr>
            <w:r>
              <w:rPr>
                <w:rFonts w:hint="eastAsia" w:cs="Times New Roman"/>
                <w:kern w:val="0"/>
                <w:szCs w:val="20"/>
              </w:rPr>
              <w:t>528</w:t>
            </w:r>
          </w:p>
        </w:tc>
        <w:tc>
          <w:tcPr>
            <w:tcW w:w="802" w:type="pct"/>
            <w:gridSpan w:val="2"/>
            <w:vAlign w:val="center"/>
          </w:tcPr>
          <w:p w14:paraId="6AA343FB">
            <w:pPr>
              <w:pStyle w:val="445"/>
              <w:rPr>
                <w:rFonts w:cs="Times New Roman"/>
                <w:kern w:val="0"/>
                <w:szCs w:val="20"/>
              </w:rPr>
            </w:pPr>
            <w:r>
              <w:rPr>
                <w:rFonts w:hint="eastAsia" w:cs="Times New Roman"/>
                <w:kern w:val="0"/>
                <w:szCs w:val="20"/>
              </w:rPr>
              <w:t>/</w:t>
            </w:r>
          </w:p>
        </w:tc>
      </w:tr>
      <w:tr w14:paraId="59B89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3E035C31">
            <w:pPr>
              <w:pStyle w:val="445"/>
              <w:rPr>
                <w:rFonts w:cs="Times New Roman"/>
                <w:kern w:val="0"/>
                <w:szCs w:val="20"/>
              </w:rPr>
            </w:pPr>
          </w:p>
        </w:tc>
        <w:tc>
          <w:tcPr>
            <w:tcW w:w="629" w:type="pct"/>
            <w:vMerge w:val="continue"/>
            <w:vAlign w:val="center"/>
          </w:tcPr>
          <w:p w14:paraId="21F4939A">
            <w:pPr>
              <w:pStyle w:val="445"/>
              <w:rPr>
                <w:rFonts w:cs="Times New Roman"/>
                <w:kern w:val="0"/>
                <w:szCs w:val="20"/>
              </w:rPr>
            </w:pPr>
          </w:p>
        </w:tc>
        <w:tc>
          <w:tcPr>
            <w:tcW w:w="1179" w:type="pct"/>
            <w:vAlign w:val="center"/>
          </w:tcPr>
          <w:p w14:paraId="3ECF3F94">
            <w:pPr>
              <w:pStyle w:val="445"/>
              <w:rPr>
                <w:rFonts w:eastAsia="Times New Roman" w:cs="Times New Roman"/>
                <w:kern w:val="0"/>
                <w:szCs w:val="20"/>
              </w:rPr>
            </w:pPr>
            <w:r>
              <w:rPr>
                <w:rFonts w:cs="Times New Roman"/>
                <w:kern w:val="0"/>
                <w:szCs w:val="20"/>
              </w:rPr>
              <w:t>大气毒性终点浓度</w:t>
            </w:r>
            <w:r>
              <w:rPr>
                <w:rFonts w:eastAsia="Times New Roman" w:cs="Times New Roman"/>
                <w:kern w:val="0"/>
                <w:szCs w:val="20"/>
              </w:rPr>
              <w:t>-2</w:t>
            </w:r>
          </w:p>
        </w:tc>
        <w:tc>
          <w:tcPr>
            <w:tcW w:w="629" w:type="pct"/>
            <w:vAlign w:val="center"/>
          </w:tcPr>
          <w:p w14:paraId="7F5674A1">
            <w:pPr>
              <w:pStyle w:val="445"/>
              <w:rPr>
                <w:rFonts w:cs="Times New Roman"/>
                <w:kern w:val="0"/>
                <w:szCs w:val="20"/>
              </w:rPr>
            </w:pPr>
            <w:r>
              <w:rPr>
                <w:rFonts w:cs="Times New Roman"/>
                <w:kern w:val="0"/>
                <w:szCs w:val="20"/>
              </w:rPr>
              <w:t>33</w:t>
            </w:r>
          </w:p>
        </w:tc>
        <w:tc>
          <w:tcPr>
            <w:tcW w:w="901" w:type="pct"/>
            <w:gridSpan w:val="2"/>
            <w:vAlign w:val="center"/>
          </w:tcPr>
          <w:p w14:paraId="54875072">
            <w:pPr>
              <w:pStyle w:val="445"/>
              <w:rPr>
                <w:rFonts w:cs="Times New Roman"/>
                <w:kern w:val="0"/>
                <w:szCs w:val="20"/>
              </w:rPr>
            </w:pPr>
            <w:r>
              <w:rPr>
                <w:rFonts w:hint="eastAsia" w:cs="Times New Roman"/>
                <w:kern w:val="0"/>
                <w:szCs w:val="20"/>
              </w:rPr>
              <w:t>1320</w:t>
            </w:r>
          </w:p>
        </w:tc>
        <w:tc>
          <w:tcPr>
            <w:tcW w:w="802" w:type="pct"/>
            <w:gridSpan w:val="2"/>
            <w:vAlign w:val="center"/>
          </w:tcPr>
          <w:p w14:paraId="6625F86F">
            <w:pPr>
              <w:pStyle w:val="445"/>
              <w:rPr>
                <w:rFonts w:cs="Times New Roman"/>
                <w:kern w:val="0"/>
                <w:szCs w:val="20"/>
              </w:rPr>
            </w:pPr>
            <w:r>
              <w:rPr>
                <w:rFonts w:hint="eastAsia" w:cs="Times New Roman"/>
                <w:kern w:val="0"/>
                <w:szCs w:val="20"/>
              </w:rPr>
              <w:t>/</w:t>
            </w:r>
          </w:p>
        </w:tc>
      </w:tr>
      <w:tr w14:paraId="2EE27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A944FDC">
            <w:pPr>
              <w:pStyle w:val="445"/>
              <w:rPr>
                <w:rFonts w:cs="Times New Roman"/>
                <w:kern w:val="0"/>
                <w:szCs w:val="20"/>
              </w:rPr>
            </w:pPr>
          </w:p>
        </w:tc>
        <w:tc>
          <w:tcPr>
            <w:tcW w:w="629" w:type="pct"/>
            <w:vMerge w:val="continue"/>
            <w:vAlign w:val="center"/>
          </w:tcPr>
          <w:p w14:paraId="46C87D6B">
            <w:pPr>
              <w:pStyle w:val="445"/>
              <w:rPr>
                <w:rFonts w:cs="Times New Roman"/>
                <w:kern w:val="0"/>
                <w:szCs w:val="20"/>
              </w:rPr>
            </w:pPr>
          </w:p>
        </w:tc>
        <w:tc>
          <w:tcPr>
            <w:tcW w:w="1179" w:type="pct"/>
            <w:vAlign w:val="center"/>
          </w:tcPr>
          <w:p w14:paraId="14804B30">
            <w:pPr>
              <w:pStyle w:val="445"/>
              <w:rPr>
                <w:rFonts w:cs="Times New Roman"/>
                <w:kern w:val="0"/>
                <w:szCs w:val="20"/>
              </w:rPr>
            </w:pPr>
            <w:r>
              <w:rPr>
                <w:rFonts w:cs="Times New Roman"/>
                <w:kern w:val="0"/>
                <w:szCs w:val="20"/>
              </w:rPr>
              <w:t>敏感目标名称</w:t>
            </w:r>
          </w:p>
        </w:tc>
        <w:tc>
          <w:tcPr>
            <w:tcW w:w="629" w:type="pct"/>
            <w:vAlign w:val="center"/>
          </w:tcPr>
          <w:p w14:paraId="18D137B2">
            <w:pPr>
              <w:pStyle w:val="445"/>
              <w:rPr>
                <w:rFonts w:eastAsia="Times New Roman" w:cs="Times New Roman"/>
                <w:kern w:val="0"/>
                <w:szCs w:val="20"/>
              </w:rPr>
            </w:pPr>
            <w:r>
              <w:rPr>
                <w:rFonts w:cs="Times New Roman"/>
                <w:spacing w:val="-1"/>
                <w:kern w:val="0"/>
                <w:szCs w:val="20"/>
              </w:rPr>
              <w:t>超标时间</w:t>
            </w:r>
            <w:r>
              <w:rPr>
                <w:rFonts w:eastAsia="Times New Roman" w:cs="Times New Roman"/>
                <w:spacing w:val="-1"/>
                <w:kern w:val="0"/>
                <w:szCs w:val="20"/>
              </w:rPr>
              <w:t>/min</w:t>
            </w:r>
          </w:p>
        </w:tc>
        <w:tc>
          <w:tcPr>
            <w:tcW w:w="901" w:type="pct"/>
            <w:gridSpan w:val="2"/>
            <w:vAlign w:val="center"/>
          </w:tcPr>
          <w:p w14:paraId="2D52778A">
            <w:pPr>
              <w:pStyle w:val="445"/>
              <w:rPr>
                <w:rFonts w:eastAsia="Times New Roman" w:cs="Times New Roman"/>
                <w:kern w:val="0"/>
                <w:szCs w:val="20"/>
              </w:rPr>
            </w:pPr>
            <w:r>
              <w:rPr>
                <w:rFonts w:cs="Times New Roman"/>
                <w:spacing w:val="-1"/>
                <w:kern w:val="0"/>
                <w:szCs w:val="20"/>
              </w:rPr>
              <w:t>超标持续时间</w:t>
            </w:r>
            <w:r>
              <w:rPr>
                <w:rFonts w:eastAsia="Times New Roman" w:cs="Times New Roman"/>
                <w:spacing w:val="-1"/>
                <w:kern w:val="0"/>
                <w:szCs w:val="20"/>
              </w:rPr>
              <w:t>/min</w:t>
            </w:r>
          </w:p>
        </w:tc>
        <w:tc>
          <w:tcPr>
            <w:tcW w:w="802" w:type="pct"/>
            <w:gridSpan w:val="2"/>
            <w:vAlign w:val="center"/>
          </w:tcPr>
          <w:p w14:paraId="4FC0B4BC">
            <w:pPr>
              <w:pStyle w:val="445"/>
              <w:rPr>
                <w:rFonts w:eastAsia="Times New Roman" w:cs="Times New Roman"/>
                <w:kern w:val="0"/>
                <w:szCs w:val="20"/>
              </w:rPr>
            </w:pPr>
            <w:r>
              <w:rPr>
                <w:rFonts w:cs="Times New Roman"/>
                <w:spacing w:val="-1"/>
                <w:kern w:val="0"/>
                <w:szCs w:val="20"/>
              </w:rPr>
              <w:t>最大浓度</w:t>
            </w:r>
            <w:r>
              <w:rPr>
                <w:rFonts w:eastAsia="Times New Roman" w:cs="Times New Roman"/>
                <w:spacing w:val="-1"/>
                <w:kern w:val="0"/>
                <w:szCs w:val="20"/>
              </w:rPr>
              <w:t>/(mg/m</w:t>
            </w:r>
            <w:r>
              <w:rPr>
                <w:rFonts w:cs="Times New Roman"/>
                <w:kern w:val="0"/>
                <w:szCs w:val="20"/>
                <w:vertAlign w:val="superscript"/>
              </w:rPr>
              <w:t>3</w:t>
            </w:r>
            <w:r>
              <w:rPr>
                <w:rFonts w:eastAsia="Times New Roman" w:cs="Times New Roman"/>
                <w:spacing w:val="-1"/>
                <w:kern w:val="0"/>
                <w:szCs w:val="20"/>
              </w:rPr>
              <w:t>)</w:t>
            </w:r>
          </w:p>
        </w:tc>
      </w:tr>
      <w:tr w14:paraId="1565E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40A3E027">
            <w:pPr>
              <w:pStyle w:val="445"/>
              <w:rPr>
                <w:rFonts w:cs="Times New Roman"/>
                <w:kern w:val="0"/>
                <w:szCs w:val="20"/>
              </w:rPr>
            </w:pPr>
          </w:p>
        </w:tc>
        <w:tc>
          <w:tcPr>
            <w:tcW w:w="629" w:type="pct"/>
            <w:vMerge w:val="continue"/>
            <w:vAlign w:val="center"/>
          </w:tcPr>
          <w:p w14:paraId="69DB0BF0">
            <w:pPr>
              <w:pStyle w:val="445"/>
              <w:rPr>
                <w:rFonts w:cs="Times New Roman"/>
                <w:kern w:val="0"/>
                <w:szCs w:val="20"/>
              </w:rPr>
            </w:pPr>
          </w:p>
        </w:tc>
        <w:tc>
          <w:tcPr>
            <w:tcW w:w="1179" w:type="pct"/>
            <w:vAlign w:val="center"/>
          </w:tcPr>
          <w:p w14:paraId="1365D2E0">
            <w:pPr>
              <w:pStyle w:val="445"/>
              <w:rPr>
                <w:rFonts w:cs="Times New Roman"/>
                <w:kern w:val="0"/>
                <w:szCs w:val="20"/>
              </w:rPr>
            </w:pPr>
            <w:r>
              <w:rPr>
                <w:rFonts w:hint="eastAsia" w:cs="Times New Roman"/>
                <w:kern w:val="0"/>
                <w:szCs w:val="20"/>
              </w:rPr>
              <w:t>/</w:t>
            </w:r>
          </w:p>
        </w:tc>
        <w:tc>
          <w:tcPr>
            <w:tcW w:w="629" w:type="pct"/>
            <w:vAlign w:val="center"/>
          </w:tcPr>
          <w:p w14:paraId="4457A94D">
            <w:pPr>
              <w:pStyle w:val="445"/>
              <w:rPr>
                <w:rFonts w:cs="Times New Roman"/>
                <w:kern w:val="0"/>
                <w:szCs w:val="20"/>
              </w:rPr>
            </w:pPr>
            <w:r>
              <w:rPr>
                <w:rFonts w:hint="eastAsia" w:cs="Times New Roman"/>
                <w:kern w:val="0"/>
                <w:szCs w:val="20"/>
              </w:rPr>
              <w:t>/</w:t>
            </w:r>
          </w:p>
        </w:tc>
        <w:tc>
          <w:tcPr>
            <w:tcW w:w="901" w:type="pct"/>
            <w:gridSpan w:val="2"/>
            <w:vAlign w:val="center"/>
          </w:tcPr>
          <w:p w14:paraId="7206C536">
            <w:pPr>
              <w:pStyle w:val="445"/>
              <w:rPr>
                <w:rFonts w:cs="Times New Roman"/>
                <w:kern w:val="0"/>
                <w:szCs w:val="20"/>
              </w:rPr>
            </w:pPr>
            <w:r>
              <w:rPr>
                <w:rFonts w:hint="eastAsia" w:cs="Times New Roman"/>
                <w:kern w:val="0"/>
                <w:szCs w:val="20"/>
              </w:rPr>
              <w:t>/</w:t>
            </w:r>
          </w:p>
        </w:tc>
        <w:tc>
          <w:tcPr>
            <w:tcW w:w="802" w:type="pct"/>
            <w:gridSpan w:val="2"/>
            <w:vAlign w:val="center"/>
          </w:tcPr>
          <w:p w14:paraId="08C8AB72">
            <w:pPr>
              <w:pStyle w:val="445"/>
              <w:rPr>
                <w:rFonts w:cs="Times New Roman"/>
                <w:kern w:val="0"/>
                <w:szCs w:val="20"/>
              </w:rPr>
            </w:pPr>
            <w:r>
              <w:rPr>
                <w:rFonts w:hint="eastAsia" w:cs="Times New Roman"/>
                <w:kern w:val="0"/>
                <w:szCs w:val="20"/>
              </w:rPr>
              <w:t>/</w:t>
            </w:r>
          </w:p>
        </w:tc>
      </w:tr>
      <w:tr w14:paraId="05C56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02585DAD">
            <w:pPr>
              <w:pStyle w:val="445"/>
              <w:rPr>
                <w:rFonts w:cs="Times New Roman"/>
                <w:kern w:val="0"/>
                <w:szCs w:val="20"/>
              </w:rPr>
            </w:pPr>
            <w:r>
              <w:rPr>
                <w:rFonts w:cs="Times New Roman"/>
                <w:kern w:val="0"/>
                <w:szCs w:val="20"/>
              </w:rPr>
              <w:t>地表水</w:t>
            </w:r>
          </w:p>
        </w:tc>
        <w:tc>
          <w:tcPr>
            <w:tcW w:w="629" w:type="pct"/>
            <w:vAlign w:val="center"/>
          </w:tcPr>
          <w:p w14:paraId="130E6295">
            <w:pPr>
              <w:pStyle w:val="445"/>
              <w:rPr>
                <w:rFonts w:cs="Times New Roman"/>
                <w:kern w:val="0"/>
                <w:szCs w:val="20"/>
              </w:rPr>
            </w:pPr>
            <w:r>
              <w:rPr>
                <w:rFonts w:cs="Times New Roman"/>
                <w:kern w:val="0"/>
                <w:szCs w:val="20"/>
              </w:rPr>
              <w:t>危险</w:t>
            </w:r>
          </w:p>
          <w:p w14:paraId="29E8B278">
            <w:pPr>
              <w:pStyle w:val="445"/>
              <w:rPr>
                <w:rFonts w:cs="Times New Roman"/>
                <w:kern w:val="0"/>
                <w:szCs w:val="20"/>
              </w:rPr>
            </w:pPr>
            <w:r>
              <w:rPr>
                <w:rFonts w:cs="Times New Roman"/>
                <w:kern w:val="0"/>
                <w:szCs w:val="20"/>
              </w:rPr>
              <w:t>物质</w:t>
            </w:r>
          </w:p>
        </w:tc>
        <w:tc>
          <w:tcPr>
            <w:tcW w:w="3511" w:type="pct"/>
            <w:gridSpan w:val="6"/>
            <w:vAlign w:val="center"/>
          </w:tcPr>
          <w:p w14:paraId="5F1362E2">
            <w:pPr>
              <w:pStyle w:val="445"/>
              <w:rPr>
                <w:rFonts w:eastAsia="Times New Roman" w:cs="Times New Roman"/>
                <w:kern w:val="0"/>
                <w:szCs w:val="20"/>
              </w:rPr>
            </w:pPr>
            <w:r>
              <w:rPr>
                <w:rFonts w:cs="Times New Roman"/>
                <w:kern w:val="0"/>
                <w:szCs w:val="20"/>
              </w:rPr>
              <w:t>地表水环境影响</w:t>
            </w:r>
            <w:r>
              <w:rPr>
                <w:rFonts w:hint="eastAsia" w:cs="Times New Roman"/>
                <w:kern w:val="0"/>
                <w:szCs w:val="20"/>
                <w:vertAlign w:val="superscript"/>
              </w:rPr>
              <w:t>b</w:t>
            </w:r>
          </w:p>
        </w:tc>
      </w:tr>
      <w:tr w14:paraId="5B1DD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013DF5B0">
            <w:pPr>
              <w:pStyle w:val="445"/>
              <w:rPr>
                <w:rFonts w:cs="Times New Roman"/>
                <w:kern w:val="0"/>
                <w:szCs w:val="20"/>
              </w:rPr>
            </w:pPr>
          </w:p>
        </w:tc>
        <w:tc>
          <w:tcPr>
            <w:tcW w:w="629" w:type="pct"/>
            <w:vMerge w:val="restart"/>
            <w:vAlign w:val="center"/>
          </w:tcPr>
          <w:p w14:paraId="41071384">
            <w:pPr>
              <w:pStyle w:val="445"/>
              <w:rPr>
                <w:rFonts w:cs="Times New Roman"/>
                <w:kern w:val="0"/>
                <w:szCs w:val="20"/>
              </w:rPr>
            </w:pPr>
            <w:r>
              <w:rPr>
                <w:rFonts w:cs="Times New Roman"/>
                <w:kern w:val="0"/>
                <w:szCs w:val="20"/>
              </w:rPr>
              <w:t>/</w:t>
            </w:r>
          </w:p>
        </w:tc>
        <w:tc>
          <w:tcPr>
            <w:tcW w:w="1179" w:type="pct"/>
            <w:vAlign w:val="center"/>
          </w:tcPr>
          <w:p w14:paraId="478479BC">
            <w:pPr>
              <w:pStyle w:val="445"/>
              <w:rPr>
                <w:rFonts w:cs="Times New Roman"/>
                <w:kern w:val="0"/>
                <w:szCs w:val="20"/>
              </w:rPr>
            </w:pPr>
            <w:r>
              <w:rPr>
                <w:rFonts w:cs="Times New Roman"/>
                <w:kern w:val="0"/>
                <w:szCs w:val="20"/>
              </w:rPr>
              <w:t>受纳水体名称</w:t>
            </w:r>
          </w:p>
        </w:tc>
        <w:tc>
          <w:tcPr>
            <w:tcW w:w="1100" w:type="pct"/>
            <w:gridSpan w:val="2"/>
            <w:vAlign w:val="center"/>
          </w:tcPr>
          <w:p w14:paraId="403EEAE0">
            <w:pPr>
              <w:pStyle w:val="445"/>
              <w:rPr>
                <w:rFonts w:eastAsia="Times New Roman" w:cs="Times New Roman"/>
                <w:kern w:val="0"/>
                <w:szCs w:val="20"/>
              </w:rPr>
            </w:pPr>
            <w:r>
              <w:rPr>
                <w:rFonts w:cs="Times New Roman"/>
                <w:kern w:val="0"/>
                <w:szCs w:val="20"/>
              </w:rPr>
              <w:t>最远超标距离</w:t>
            </w:r>
            <w:r>
              <w:rPr>
                <w:rFonts w:eastAsia="Times New Roman" w:cs="Times New Roman"/>
                <w:kern w:val="0"/>
                <w:szCs w:val="20"/>
              </w:rPr>
              <w:t>/m</w:t>
            </w:r>
          </w:p>
        </w:tc>
        <w:tc>
          <w:tcPr>
            <w:tcW w:w="1232" w:type="pct"/>
            <w:gridSpan w:val="3"/>
            <w:vAlign w:val="center"/>
          </w:tcPr>
          <w:p w14:paraId="48C57B73">
            <w:pPr>
              <w:pStyle w:val="445"/>
              <w:rPr>
                <w:rFonts w:eastAsia="Times New Roman" w:cs="Times New Roman"/>
                <w:kern w:val="0"/>
                <w:szCs w:val="20"/>
              </w:rPr>
            </w:pPr>
            <w:r>
              <w:rPr>
                <w:rFonts w:cs="Times New Roman"/>
                <w:kern w:val="0"/>
                <w:szCs w:val="20"/>
              </w:rPr>
              <w:t>最远超标距离到达时间</w:t>
            </w:r>
            <w:r>
              <w:rPr>
                <w:rFonts w:eastAsia="Times New Roman" w:cs="Times New Roman"/>
                <w:kern w:val="0"/>
                <w:szCs w:val="20"/>
              </w:rPr>
              <w:t>/h</w:t>
            </w:r>
          </w:p>
        </w:tc>
      </w:tr>
      <w:tr w14:paraId="5EF87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21C47F49">
            <w:pPr>
              <w:pStyle w:val="445"/>
              <w:rPr>
                <w:rFonts w:cs="Times New Roman"/>
                <w:kern w:val="0"/>
                <w:szCs w:val="20"/>
              </w:rPr>
            </w:pPr>
          </w:p>
        </w:tc>
        <w:tc>
          <w:tcPr>
            <w:tcW w:w="629" w:type="pct"/>
            <w:vMerge w:val="continue"/>
            <w:vAlign w:val="center"/>
          </w:tcPr>
          <w:p w14:paraId="0A53DC34">
            <w:pPr>
              <w:pStyle w:val="445"/>
              <w:rPr>
                <w:rFonts w:cs="Times New Roman"/>
                <w:kern w:val="0"/>
                <w:szCs w:val="20"/>
              </w:rPr>
            </w:pPr>
          </w:p>
        </w:tc>
        <w:tc>
          <w:tcPr>
            <w:tcW w:w="1179" w:type="pct"/>
            <w:vAlign w:val="center"/>
          </w:tcPr>
          <w:p w14:paraId="4E3371B5">
            <w:pPr>
              <w:pStyle w:val="445"/>
              <w:rPr>
                <w:rFonts w:cs="Times New Roman"/>
                <w:kern w:val="0"/>
                <w:szCs w:val="20"/>
              </w:rPr>
            </w:pPr>
            <w:r>
              <w:rPr>
                <w:rFonts w:hint="eastAsia" w:cs="Times New Roman"/>
                <w:kern w:val="0"/>
                <w:szCs w:val="20"/>
              </w:rPr>
              <w:t>/</w:t>
            </w:r>
          </w:p>
        </w:tc>
        <w:tc>
          <w:tcPr>
            <w:tcW w:w="1100" w:type="pct"/>
            <w:gridSpan w:val="2"/>
            <w:vAlign w:val="center"/>
          </w:tcPr>
          <w:p w14:paraId="269E1D26">
            <w:pPr>
              <w:pStyle w:val="445"/>
              <w:rPr>
                <w:rFonts w:cs="Times New Roman"/>
                <w:kern w:val="0"/>
                <w:szCs w:val="20"/>
              </w:rPr>
            </w:pPr>
            <w:r>
              <w:rPr>
                <w:rFonts w:hint="eastAsia" w:cs="Times New Roman"/>
                <w:kern w:val="0"/>
                <w:szCs w:val="20"/>
              </w:rPr>
              <w:t>/</w:t>
            </w:r>
          </w:p>
        </w:tc>
        <w:tc>
          <w:tcPr>
            <w:tcW w:w="1232" w:type="pct"/>
            <w:gridSpan w:val="3"/>
            <w:vAlign w:val="center"/>
          </w:tcPr>
          <w:p w14:paraId="1AD0FFF7">
            <w:pPr>
              <w:pStyle w:val="445"/>
              <w:rPr>
                <w:rFonts w:cs="Times New Roman"/>
                <w:kern w:val="0"/>
                <w:szCs w:val="20"/>
              </w:rPr>
            </w:pPr>
            <w:r>
              <w:rPr>
                <w:rFonts w:hint="eastAsia" w:cs="Times New Roman"/>
                <w:kern w:val="0"/>
                <w:szCs w:val="20"/>
              </w:rPr>
              <w:t>/</w:t>
            </w:r>
          </w:p>
        </w:tc>
      </w:tr>
      <w:tr w14:paraId="44996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C6C6999">
            <w:pPr>
              <w:pStyle w:val="445"/>
              <w:rPr>
                <w:rFonts w:cs="Times New Roman"/>
                <w:kern w:val="0"/>
                <w:szCs w:val="20"/>
              </w:rPr>
            </w:pPr>
          </w:p>
        </w:tc>
        <w:tc>
          <w:tcPr>
            <w:tcW w:w="629" w:type="pct"/>
            <w:vMerge w:val="continue"/>
            <w:vAlign w:val="center"/>
          </w:tcPr>
          <w:p w14:paraId="661C12DB">
            <w:pPr>
              <w:pStyle w:val="445"/>
              <w:rPr>
                <w:rFonts w:cs="Times New Roman"/>
                <w:kern w:val="0"/>
                <w:szCs w:val="20"/>
              </w:rPr>
            </w:pPr>
          </w:p>
        </w:tc>
        <w:tc>
          <w:tcPr>
            <w:tcW w:w="1179" w:type="pct"/>
            <w:vAlign w:val="center"/>
          </w:tcPr>
          <w:p w14:paraId="5E0C5A8F">
            <w:pPr>
              <w:pStyle w:val="445"/>
              <w:rPr>
                <w:rFonts w:cs="Times New Roman"/>
                <w:kern w:val="0"/>
                <w:szCs w:val="20"/>
              </w:rPr>
            </w:pPr>
            <w:r>
              <w:rPr>
                <w:rFonts w:cs="Times New Roman"/>
                <w:kern w:val="0"/>
                <w:szCs w:val="20"/>
              </w:rPr>
              <w:t>敏感目标名称</w:t>
            </w:r>
          </w:p>
        </w:tc>
        <w:tc>
          <w:tcPr>
            <w:tcW w:w="629" w:type="pct"/>
            <w:vAlign w:val="center"/>
          </w:tcPr>
          <w:p w14:paraId="1AFB1B95">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/h</w:t>
            </w:r>
          </w:p>
        </w:tc>
        <w:tc>
          <w:tcPr>
            <w:tcW w:w="471" w:type="pct"/>
            <w:vAlign w:val="center"/>
          </w:tcPr>
          <w:p w14:paraId="2E5DF1BB">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/h</w:t>
            </w:r>
          </w:p>
        </w:tc>
        <w:tc>
          <w:tcPr>
            <w:tcW w:w="602" w:type="pct"/>
            <w:gridSpan w:val="2"/>
            <w:vAlign w:val="center"/>
          </w:tcPr>
          <w:p w14:paraId="650F5B2A">
            <w:pPr>
              <w:pStyle w:val="445"/>
              <w:rPr>
                <w:rFonts w:eastAsia="Times New Roman" w:cs="Times New Roman"/>
                <w:kern w:val="0"/>
                <w:szCs w:val="20"/>
              </w:rPr>
            </w:pPr>
            <w:r>
              <w:rPr>
                <w:rFonts w:cs="Times New Roman"/>
                <w:kern w:val="0"/>
                <w:szCs w:val="20"/>
              </w:rPr>
              <w:t>超标持续 时间</w:t>
            </w:r>
            <w:r>
              <w:rPr>
                <w:rFonts w:eastAsia="Times New Roman" w:cs="Times New Roman"/>
                <w:kern w:val="0"/>
                <w:szCs w:val="20"/>
              </w:rPr>
              <w:t>/h</w:t>
            </w:r>
          </w:p>
        </w:tc>
        <w:tc>
          <w:tcPr>
            <w:tcW w:w="630" w:type="pct"/>
            <w:vAlign w:val="center"/>
          </w:tcPr>
          <w:p w14:paraId="192937FF">
            <w:pPr>
              <w:pStyle w:val="445"/>
              <w:rPr>
                <w:rFonts w:cs="Times New Roman"/>
                <w:kern w:val="0"/>
                <w:szCs w:val="20"/>
              </w:rPr>
            </w:pPr>
            <w:r>
              <w:rPr>
                <w:rFonts w:cs="Times New Roman"/>
                <w:kern w:val="0"/>
                <w:szCs w:val="20"/>
              </w:rPr>
              <w:t>最大浓度</w:t>
            </w:r>
          </w:p>
          <w:p w14:paraId="5D55EE07">
            <w:pPr>
              <w:pStyle w:val="445"/>
              <w:rPr>
                <w:rFonts w:eastAsia="Times New Roman" w:cs="Times New Roman"/>
                <w:kern w:val="0"/>
                <w:szCs w:val="20"/>
              </w:rPr>
            </w:pPr>
            <w:r>
              <w:rPr>
                <w:rFonts w:cs="Times New Roman"/>
                <w:spacing w:val="-1"/>
                <w:kern w:val="0"/>
                <w:szCs w:val="20"/>
              </w:rPr>
              <w:t>/(mg/L)</w:t>
            </w:r>
          </w:p>
        </w:tc>
      </w:tr>
      <w:tr w14:paraId="1C880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4CCA12A2">
            <w:pPr>
              <w:pStyle w:val="445"/>
              <w:rPr>
                <w:rFonts w:cs="Times New Roman"/>
                <w:kern w:val="0"/>
                <w:szCs w:val="20"/>
              </w:rPr>
            </w:pPr>
          </w:p>
        </w:tc>
        <w:tc>
          <w:tcPr>
            <w:tcW w:w="629" w:type="pct"/>
            <w:vMerge w:val="continue"/>
            <w:vAlign w:val="center"/>
          </w:tcPr>
          <w:p w14:paraId="7F39A54B">
            <w:pPr>
              <w:pStyle w:val="445"/>
              <w:rPr>
                <w:rFonts w:cs="Times New Roman"/>
                <w:kern w:val="0"/>
                <w:szCs w:val="20"/>
              </w:rPr>
            </w:pPr>
          </w:p>
        </w:tc>
        <w:tc>
          <w:tcPr>
            <w:tcW w:w="1179" w:type="pct"/>
            <w:vAlign w:val="center"/>
          </w:tcPr>
          <w:p w14:paraId="61872348">
            <w:pPr>
              <w:pStyle w:val="445"/>
              <w:rPr>
                <w:rFonts w:cs="Times New Roman"/>
                <w:kern w:val="0"/>
                <w:szCs w:val="20"/>
              </w:rPr>
            </w:pPr>
            <w:r>
              <w:rPr>
                <w:rFonts w:hint="eastAsia" w:cs="Times New Roman"/>
                <w:kern w:val="0"/>
                <w:szCs w:val="20"/>
              </w:rPr>
              <w:t>/</w:t>
            </w:r>
          </w:p>
        </w:tc>
        <w:tc>
          <w:tcPr>
            <w:tcW w:w="629" w:type="pct"/>
            <w:vAlign w:val="center"/>
          </w:tcPr>
          <w:p w14:paraId="186176DF">
            <w:pPr>
              <w:pStyle w:val="445"/>
              <w:rPr>
                <w:rFonts w:cs="Times New Roman"/>
                <w:kern w:val="0"/>
                <w:szCs w:val="20"/>
              </w:rPr>
            </w:pPr>
            <w:r>
              <w:rPr>
                <w:rFonts w:hint="eastAsia" w:cs="Times New Roman"/>
                <w:kern w:val="0"/>
                <w:szCs w:val="20"/>
              </w:rPr>
              <w:t>/</w:t>
            </w:r>
          </w:p>
        </w:tc>
        <w:tc>
          <w:tcPr>
            <w:tcW w:w="471" w:type="pct"/>
            <w:vAlign w:val="center"/>
          </w:tcPr>
          <w:p w14:paraId="6E1A0A32">
            <w:pPr>
              <w:pStyle w:val="445"/>
              <w:rPr>
                <w:rFonts w:cs="Times New Roman"/>
                <w:kern w:val="0"/>
                <w:szCs w:val="20"/>
              </w:rPr>
            </w:pPr>
            <w:r>
              <w:rPr>
                <w:rFonts w:hint="eastAsia" w:cs="Times New Roman"/>
                <w:kern w:val="0"/>
                <w:szCs w:val="20"/>
              </w:rPr>
              <w:t>/</w:t>
            </w:r>
          </w:p>
        </w:tc>
        <w:tc>
          <w:tcPr>
            <w:tcW w:w="602" w:type="pct"/>
            <w:gridSpan w:val="2"/>
            <w:vAlign w:val="center"/>
          </w:tcPr>
          <w:p w14:paraId="7806216A">
            <w:pPr>
              <w:pStyle w:val="445"/>
              <w:rPr>
                <w:rFonts w:cs="Times New Roman"/>
                <w:kern w:val="0"/>
                <w:szCs w:val="20"/>
              </w:rPr>
            </w:pPr>
            <w:r>
              <w:rPr>
                <w:rFonts w:hint="eastAsia" w:cs="Times New Roman"/>
                <w:kern w:val="0"/>
                <w:szCs w:val="20"/>
              </w:rPr>
              <w:t>/</w:t>
            </w:r>
          </w:p>
        </w:tc>
        <w:tc>
          <w:tcPr>
            <w:tcW w:w="630" w:type="pct"/>
            <w:vAlign w:val="center"/>
          </w:tcPr>
          <w:p w14:paraId="1E3CC616">
            <w:pPr>
              <w:pStyle w:val="445"/>
              <w:rPr>
                <w:rFonts w:cs="Times New Roman"/>
                <w:kern w:val="0"/>
                <w:szCs w:val="20"/>
              </w:rPr>
            </w:pPr>
            <w:r>
              <w:rPr>
                <w:rFonts w:hint="eastAsia" w:cs="Times New Roman"/>
                <w:kern w:val="0"/>
                <w:szCs w:val="20"/>
              </w:rPr>
              <w:t>/</w:t>
            </w:r>
          </w:p>
        </w:tc>
      </w:tr>
      <w:tr w14:paraId="31CA0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2984FA0A">
            <w:pPr>
              <w:pStyle w:val="445"/>
              <w:rPr>
                <w:rFonts w:cs="Times New Roman"/>
                <w:kern w:val="0"/>
                <w:szCs w:val="20"/>
              </w:rPr>
            </w:pPr>
            <w:r>
              <w:rPr>
                <w:rFonts w:cs="Times New Roman"/>
                <w:kern w:val="0"/>
                <w:szCs w:val="20"/>
              </w:rPr>
              <w:t>地下水</w:t>
            </w:r>
          </w:p>
        </w:tc>
        <w:tc>
          <w:tcPr>
            <w:tcW w:w="629" w:type="pct"/>
            <w:vAlign w:val="center"/>
          </w:tcPr>
          <w:p w14:paraId="6D790EB2">
            <w:pPr>
              <w:pStyle w:val="445"/>
              <w:rPr>
                <w:rFonts w:cs="Times New Roman"/>
                <w:kern w:val="0"/>
                <w:szCs w:val="20"/>
              </w:rPr>
            </w:pPr>
            <w:r>
              <w:rPr>
                <w:rFonts w:cs="Times New Roman"/>
                <w:kern w:val="0"/>
                <w:szCs w:val="20"/>
              </w:rPr>
              <w:t>危险</w:t>
            </w:r>
          </w:p>
          <w:p w14:paraId="5835C44A">
            <w:pPr>
              <w:pStyle w:val="445"/>
              <w:rPr>
                <w:rFonts w:cs="Times New Roman"/>
                <w:kern w:val="0"/>
                <w:szCs w:val="20"/>
              </w:rPr>
            </w:pPr>
            <w:r>
              <w:rPr>
                <w:rFonts w:cs="Times New Roman"/>
                <w:kern w:val="0"/>
                <w:szCs w:val="20"/>
              </w:rPr>
              <w:t>物质</w:t>
            </w:r>
          </w:p>
        </w:tc>
        <w:tc>
          <w:tcPr>
            <w:tcW w:w="3511" w:type="pct"/>
            <w:gridSpan w:val="6"/>
            <w:vAlign w:val="center"/>
          </w:tcPr>
          <w:p w14:paraId="21B82E04">
            <w:pPr>
              <w:pStyle w:val="445"/>
              <w:rPr>
                <w:rFonts w:cs="Times New Roman"/>
                <w:kern w:val="0"/>
                <w:szCs w:val="20"/>
              </w:rPr>
            </w:pPr>
            <w:r>
              <w:rPr>
                <w:rFonts w:cs="Times New Roman"/>
                <w:kern w:val="0"/>
                <w:szCs w:val="20"/>
              </w:rPr>
              <w:t>地下水环境影响</w:t>
            </w:r>
          </w:p>
        </w:tc>
      </w:tr>
      <w:tr w14:paraId="41807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2FA84192">
            <w:pPr>
              <w:pStyle w:val="445"/>
              <w:rPr>
                <w:rFonts w:cs="Times New Roman"/>
                <w:kern w:val="0"/>
                <w:szCs w:val="20"/>
              </w:rPr>
            </w:pPr>
          </w:p>
        </w:tc>
        <w:tc>
          <w:tcPr>
            <w:tcW w:w="629" w:type="pct"/>
            <w:vMerge w:val="restart"/>
            <w:vAlign w:val="center"/>
          </w:tcPr>
          <w:p w14:paraId="64E8545B">
            <w:pPr>
              <w:pStyle w:val="445"/>
              <w:rPr>
                <w:rFonts w:cs="Times New Roman"/>
                <w:kern w:val="0"/>
                <w:szCs w:val="20"/>
              </w:rPr>
            </w:pPr>
            <w:r>
              <w:rPr>
                <w:rFonts w:cs="Times New Roman"/>
                <w:kern w:val="0"/>
                <w:szCs w:val="20"/>
              </w:rPr>
              <w:t>/</w:t>
            </w:r>
          </w:p>
        </w:tc>
        <w:tc>
          <w:tcPr>
            <w:tcW w:w="1179" w:type="pct"/>
            <w:vAlign w:val="center"/>
          </w:tcPr>
          <w:p w14:paraId="3FF90A7D">
            <w:pPr>
              <w:pStyle w:val="445"/>
              <w:rPr>
                <w:rFonts w:cs="Times New Roman"/>
                <w:kern w:val="0"/>
                <w:szCs w:val="20"/>
              </w:rPr>
            </w:pPr>
            <w:r>
              <w:rPr>
                <w:rFonts w:cs="Times New Roman"/>
                <w:kern w:val="0"/>
                <w:szCs w:val="20"/>
              </w:rPr>
              <w:t>厂区边界</w:t>
            </w:r>
          </w:p>
        </w:tc>
        <w:tc>
          <w:tcPr>
            <w:tcW w:w="629" w:type="pct"/>
            <w:vAlign w:val="center"/>
          </w:tcPr>
          <w:p w14:paraId="501438AC">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/d</w:t>
            </w:r>
          </w:p>
        </w:tc>
        <w:tc>
          <w:tcPr>
            <w:tcW w:w="471" w:type="pct"/>
            <w:vAlign w:val="center"/>
          </w:tcPr>
          <w:p w14:paraId="32CF0177">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/d</w:t>
            </w:r>
          </w:p>
        </w:tc>
        <w:tc>
          <w:tcPr>
            <w:tcW w:w="602" w:type="pct"/>
            <w:gridSpan w:val="2"/>
            <w:vAlign w:val="center"/>
          </w:tcPr>
          <w:p w14:paraId="4A780A0C">
            <w:pPr>
              <w:pStyle w:val="445"/>
              <w:rPr>
                <w:rFonts w:cs="Times New Roman"/>
                <w:kern w:val="0"/>
                <w:szCs w:val="20"/>
              </w:rPr>
            </w:pPr>
            <w:r>
              <w:rPr>
                <w:rFonts w:cs="Times New Roman"/>
                <w:kern w:val="0"/>
                <w:szCs w:val="20"/>
              </w:rPr>
              <w:t>超标持续</w:t>
            </w:r>
          </w:p>
          <w:p w14:paraId="7A2643B3">
            <w:pPr>
              <w:pStyle w:val="445"/>
              <w:rPr>
                <w:rFonts w:eastAsia="Times New Roman" w:cs="Times New Roman"/>
                <w:kern w:val="0"/>
                <w:szCs w:val="20"/>
              </w:rPr>
            </w:pPr>
            <w:r>
              <w:rPr>
                <w:rFonts w:cs="Times New Roman"/>
                <w:kern w:val="0"/>
                <w:szCs w:val="20"/>
              </w:rPr>
              <w:t>时间</w:t>
            </w:r>
            <w:r>
              <w:rPr>
                <w:rFonts w:eastAsia="Times New Roman" w:cs="Times New Roman"/>
                <w:kern w:val="0"/>
                <w:szCs w:val="20"/>
              </w:rPr>
              <w:t>/d</w:t>
            </w:r>
          </w:p>
        </w:tc>
        <w:tc>
          <w:tcPr>
            <w:tcW w:w="630" w:type="pct"/>
            <w:vAlign w:val="center"/>
          </w:tcPr>
          <w:p w14:paraId="290025F6">
            <w:pPr>
              <w:pStyle w:val="445"/>
              <w:rPr>
                <w:rFonts w:cs="Times New Roman"/>
                <w:kern w:val="0"/>
                <w:szCs w:val="20"/>
              </w:rPr>
            </w:pPr>
            <w:r>
              <w:rPr>
                <w:rFonts w:cs="Times New Roman"/>
                <w:kern w:val="0"/>
                <w:szCs w:val="20"/>
              </w:rPr>
              <w:t>最大浓度</w:t>
            </w:r>
          </w:p>
          <w:p w14:paraId="05BD12A1">
            <w:pPr>
              <w:pStyle w:val="445"/>
              <w:rPr>
                <w:rFonts w:eastAsia="Times New Roman" w:cs="Times New Roman"/>
                <w:kern w:val="0"/>
                <w:szCs w:val="20"/>
              </w:rPr>
            </w:pPr>
            <w:r>
              <w:rPr>
                <w:rFonts w:cs="Times New Roman"/>
                <w:spacing w:val="-1"/>
                <w:kern w:val="0"/>
                <w:szCs w:val="20"/>
              </w:rPr>
              <w:t>/(mg/L)</w:t>
            </w:r>
          </w:p>
        </w:tc>
      </w:tr>
      <w:tr w14:paraId="1161CF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75C1EF9">
            <w:pPr>
              <w:pStyle w:val="445"/>
              <w:rPr>
                <w:rFonts w:cs="Times New Roman"/>
                <w:kern w:val="0"/>
                <w:szCs w:val="20"/>
              </w:rPr>
            </w:pPr>
          </w:p>
        </w:tc>
        <w:tc>
          <w:tcPr>
            <w:tcW w:w="629" w:type="pct"/>
            <w:vMerge w:val="continue"/>
            <w:vAlign w:val="center"/>
          </w:tcPr>
          <w:p w14:paraId="241D323E">
            <w:pPr>
              <w:pStyle w:val="445"/>
              <w:rPr>
                <w:rFonts w:cs="Times New Roman"/>
                <w:kern w:val="0"/>
                <w:szCs w:val="20"/>
              </w:rPr>
            </w:pPr>
          </w:p>
        </w:tc>
        <w:tc>
          <w:tcPr>
            <w:tcW w:w="1179" w:type="pct"/>
            <w:vAlign w:val="center"/>
          </w:tcPr>
          <w:p w14:paraId="0F1D2AB3">
            <w:pPr>
              <w:pStyle w:val="445"/>
              <w:rPr>
                <w:rFonts w:cs="Times New Roman"/>
                <w:kern w:val="0"/>
                <w:szCs w:val="20"/>
              </w:rPr>
            </w:pPr>
            <w:r>
              <w:rPr>
                <w:rFonts w:hint="eastAsia" w:cs="Times New Roman"/>
                <w:kern w:val="0"/>
                <w:szCs w:val="20"/>
              </w:rPr>
              <w:t>/</w:t>
            </w:r>
          </w:p>
        </w:tc>
        <w:tc>
          <w:tcPr>
            <w:tcW w:w="629" w:type="pct"/>
            <w:vAlign w:val="center"/>
          </w:tcPr>
          <w:p w14:paraId="6CFBD504">
            <w:pPr>
              <w:pStyle w:val="445"/>
              <w:rPr>
                <w:rFonts w:cs="Times New Roman"/>
                <w:kern w:val="0"/>
                <w:szCs w:val="20"/>
              </w:rPr>
            </w:pPr>
            <w:r>
              <w:rPr>
                <w:rFonts w:hint="eastAsia" w:cs="Times New Roman"/>
                <w:kern w:val="0"/>
                <w:szCs w:val="20"/>
              </w:rPr>
              <w:t>/</w:t>
            </w:r>
          </w:p>
        </w:tc>
        <w:tc>
          <w:tcPr>
            <w:tcW w:w="471" w:type="pct"/>
            <w:vAlign w:val="center"/>
          </w:tcPr>
          <w:p w14:paraId="1427D8F1">
            <w:pPr>
              <w:pStyle w:val="445"/>
              <w:rPr>
                <w:rFonts w:cs="Times New Roman"/>
                <w:kern w:val="0"/>
                <w:szCs w:val="20"/>
              </w:rPr>
            </w:pPr>
            <w:r>
              <w:rPr>
                <w:rFonts w:hint="eastAsia" w:cs="Times New Roman"/>
                <w:kern w:val="0"/>
                <w:szCs w:val="20"/>
              </w:rPr>
              <w:t>/</w:t>
            </w:r>
          </w:p>
        </w:tc>
        <w:tc>
          <w:tcPr>
            <w:tcW w:w="602" w:type="pct"/>
            <w:gridSpan w:val="2"/>
            <w:vAlign w:val="center"/>
          </w:tcPr>
          <w:p w14:paraId="57BA4AF9">
            <w:pPr>
              <w:pStyle w:val="445"/>
              <w:rPr>
                <w:rFonts w:cs="Times New Roman"/>
                <w:kern w:val="0"/>
                <w:szCs w:val="20"/>
              </w:rPr>
            </w:pPr>
            <w:r>
              <w:rPr>
                <w:rFonts w:hint="eastAsia" w:cs="Times New Roman"/>
                <w:kern w:val="0"/>
                <w:szCs w:val="20"/>
              </w:rPr>
              <w:t>/</w:t>
            </w:r>
          </w:p>
        </w:tc>
        <w:tc>
          <w:tcPr>
            <w:tcW w:w="630" w:type="pct"/>
            <w:vAlign w:val="center"/>
          </w:tcPr>
          <w:p w14:paraId="20DB1FDB">
            <w:pPr>
              <w:pStyle w:val="445"/>
              <w:rPr>
                <w:rFonts w:cs="Times New Roman"/>
                <w:kern w:val="0"/>
                <w:szCs w:val="20"/>
              </w:rPr>
            </w:pPr>
            <w:r>
              <w:rPr>
                <w:rFonts w:hint="eastAsia" w:cs="Times New Roman"/>
                <w:kern w:val="0"/>
                <w:szCs w:val="20"/>
              </w:rPr>
              <w:t>/</w:t>
            </w:r>
          </w:p>
        </w:tc>
      </w:tr>
      <w:tr w14:paraId="56B60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0634602">
            <w:pPr>
              <w:pStyle w:val="445"/>
              <w:rPr>
                <w:rFonts w:cs="Times New Roman"/>
                <w:kern w:val="0"/>
                <w:szCs w:val="20"/>
              </w:rPr>
            </w:pPr>
          </w:p>
        </w:tc>
        <w:tc>
          <w:tcPr>
            <w:tcW w:w="629" w:type="pct"/>
            <w:vMerge w:val="continue"/>
            <w:vAlign w:val="center"/>
          </w:tcPr>
          <w:p w14:paraId="2B819E02">
            <w:pPr>
              <w:pStyle w:val="445"/>
              <w:rPr>
                <w:rFonts w:cs="Times New Roman"/>
                <w:kern w:val="0"/>
                <w:szCs w:val="20"/>
              </w:rPr>
            </w:pPr>
          </w:p>
        </w:tc>
        <w:tc>
          <w:tcPr>
            <w:tcW w:w="1179" w:type="pct"/>
            <w:vAlign w:val="center"/>
          </w:tcPr>
          <w:p w14:paraId="26978021">
            <w:pPr>
              <w:pStyle w:val="445"/>
              <w:rPr>
                <w:rFonts w:cs="Times New Roman"/>
                <w:kern w:val="0"/>
                <w:szCs w:val="20"/>
              </w:rPr>
            </w:pPr>
            <w:r>
              <w:rPr>
                <w:rFonts w:cs="Times New Roman"/>
                <w:kern w:val="0"/>
                <w:szCs w:val="20"/>
              </w:rPr>
              <w:t>敏感目标名称</w:t>
            </w:r>
          </w:p>
        </w:tc>
        <w:tc>
          <w:tcPr>
            <w:tcW w:w="629" w:type="pct"/>
            <w:vAlign w:val="center"/>
          </w:tcPr>
          <w:p w14:paraId="1D1B3DD1">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/d</w:t>
            </w:r>
          </w:p>
        </w:tc>
        <w:tc>
          <w:tcPr>
            <w:tcW w:w="471" w:type="pct"/>
            <w:vAlign w:val="center"/>
          </w:tcPr>
          <w:p w14:paraId="391F4DDF">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/d</w:t>
            </w:r>
          </w:p>
        </w:tc>
        <w:tc>
          <w:tcPr>
            <w:tcW w:w="602" w:type="pct"/>
            <w:gridSpan w:val="2"/>
            <w:vAlign w:val="center"/>
          </w:tcPr>
          <w:p w14:paraId="00FB40C7">
            <w:pPr>
              <w:pStyle w:val="445"/>
              <w:rPr>
                <w:rFonts w:eastAsia="Times New Roman" w:cs="Times New Roman"/>
                <w:kern w:val="0"/>
                <w:szCs w:val="20"/>
              </w:rPr>
            </w:pPr>
            <w:r>
              <w:rPr>
                <w:rFonts w:cs="Times New Roman"/>
                <w:kern w:val="0"/>
                <w:szCs w:val="20"/>
              </w:rPr>
              <w:t>超标持续 时间</w:t>
            </w:r>
            <w:r>
              <w:rPr>
                <w:rFonts w:eastAsia="Times New Roman" w:cs="Times New Roman"/>
                <w:kern w:val="0"/>
                <w:szCs w:val="20"/>
              </w:rPr>
              <w:t>/d</w:t>
            </w:r>
          </w:p>
        </w:tc>
        <w:tc>
          <w:tcPr>
            <w:tcW w:w="630" w:type="pct"/>
            <w:vAlign w:val="center"/>
          </w:tcPr>
          <w:p w14:paraId="41F0C0D3">
            <w:pPr>
              <w:pStyle w:val="445"/>
              <w:rPr>
                <w:rFonts w:cs="Times New Roman"/>
                <w:kern w:val="0"/>
                <w:szCs w:val="20"/>
              </w:rPr>
            </w:pPr>
            <w:r>
              <w:rPr>
                <w:rFonts w:cs="Times New Roman"/>
                <w:kern w:val="0"/>
                <w:szCs w:val="20"/>
              </w:rPr>
              <w:t>最大浓度</w:t>
            </w:r>
          </w:p>
          <w:p w14:paraId="4C2230C6">
            <w:pPr>
              <w:pStyle w:val="445"/>
              <w:rPr>
                <w:rFonts w:eastAsia="Times New Roman" w:cs="Times New Roman"/>
                <w:kern w:val="0"/>
                <w:szCs w:val="20"/>
              </w:rPr>
            </w:pPr>
            <w:r>
              <w:rPr>
                <w:rFonts w:cs="Times New Roman"/>
                <w:spacing w:val="-1"/>
                <w:kern w:val="0"/>
                <w:szCs w:val="20"/>
              </w:rPr>
              <w:t>/(mg/L)</w:t>
            </w:r>
          </w:p>
        </w:tc>
      </w:tr>
      <w:tr w14:paraId="285EC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FCD1F48">
            <w:pPr>
              <w:pStyle w:val="445"/>
              <w:rPr>
                <w:rFonts w:cs="Times New Roman"/>
                <w:kern w:val="0"/>
                <w:szCs w:val="20"/>
              </w:rPr>
            </w:pPr>
          </w:p>
        </w:tc>
        <w:tc>
          <w:tcPr>
            <w:tcW w:w="629" w:type="pct"/>
            <w:vMerge w:val="continue"/>
            <w:vAlign w:val="center"/>
          </w:tcPr>
          <w:p w14:paraId="1B35CA73">
            <w:pPr>
              <w:pStyle w:val="445"/>
              <w:rPr>
                <w:rFonts w:cs="Times New Roman"/>
                <w:kern w:val="0"/>
                <w:szCs w:val="20"/>
              </w:rPr>
            </w:pPr>
          </w:p>
        </w:tc>
        <w:tc>
          <w:tcPr>
            <w:tcW w:w="1179" w:type="pct"/>
            <w:vAlign w:val="center"/>
          </w:tcPr>
          <w:p w14:paraId="79A46794">
            <w:pPr>
              <w:pStyle w:val="445"/>
              <w:rPr>
                <w:rFonts w:cs="Times New Roman"/>
                <w:kern w:val="0"/>
                <w:szCs w:val="20"/>
              </w:rPr>
            </w:pPr>
            <w:r>
              <w:rPr>
                <w:rFonts w:hint="eastAsia" w:cs="Times New Roman"/>
                <w:kern w:val="0"/>
                <w:szCs w:val="20"/>
              </w:rPr>
              <w:t>/</w:t>
            </w:r>
          </w:p>
        </w:tc>
        <w:tc>
          <w:tcPr>
            <w:tcW w:w="629" w:type="pct"/>
            <w:vAlign w:val="center"/>
          </w:tcPr>
          <w:p w14:paraId="332695BF">
            <w:pPr>
              <w:pStyle w:val="445"/>
              <w:rPr>
                <w:rFonts w:cs="Times New Roman"/>
                <w:kern w:val="0"/>
                <w:szCs w:val="20"/>
              </w:rPr>
            </w:pPr>
            <w:r>
              <w:rPr>
                <w:rFonts w:hint="eastAsia" w:cs="Times New Roman"/>
                <w:kern w:val="0"/>
                <w:szCs w:val="20"/>
              </w:rPr>
              <w:t>/</w:t>
            </w:r>
          </w:p>
        </w:tc>
        <w:tc>
          <w:tcPr>
            <w:tcW w:w="471" w:type="pct"/>
            <w:vAlign w:val="center"/>
          </w:tcPr>
          <w:p w14:paraId="6A4B9953">
            <w:pPr>
              <w:pStyle w:val="445"/>
              <w:rPr>
                <w:rFonts w:cs="Times New Roman"/>
                <w:kern w:val="0"/>
                <w:szCs w:val="20"/>
              </w:rPr>
            </w:pPr>
            <w:r>
              <w:rPr>
                <w:rFonts w:hint="eastAsia" w:cs="Times New Roman"/>
                <w:kern w:val="0"/>
                <w:szCs w:val="20"/>
              </w:rPr>
              <w:t>/</w:t>
            </w:r>
          </w:p>
        </w:tc>
        <w:tc>
          <w:tcPr>
            <w:tcW w:w="602" w:type="pct"/>
            <w:gridSpan w:val="2"/>
            <w:vAlign w:val="center"/>
          </w:tcPr>
          <w:p w14:paraId="7145F64B">
            <w:pPr>
              <w:pStyle w:val="445"/>
              <w:rPr>
                <w:rFonts w:cs="Times New Roman"/>
                <w:kern w:val="0"/>
                <w:szCs w:val="20"/>
              </w:rPr>
            </w:pPr>
            <w:r>
              <w:rPr>
                <w:rFonts w:hint="eastAsia" w:cs="Times New Roman"/>
                <w:kern w:val="0"/>
                <w:szCs w:val="20"/>
              </w:rPr>
              <w:t>/</w:t>
            </w:r>
          </w:p>
        </w:tc>
        <w:tc>
          <w:tcPr>
            <w:tcW w:w="630" w:type="pct"/>
            <w:vAlign w:val="center"/>
          </w:tcPr>
          <w:p w14:paraId="24067FBA">
            <w:pPr>
              <w:pStyle w:val="445"/>
              <w:rPr>
                <w:rFonts w:cs="Times New Roman"/>
                <w:kern w:val="0"/>
                <w:szCs w:val="20"/>
              </w:rPr>
            </w:pPr>
            <w:r>
              <w:rPr>
                <w:rFonts w:hint="eastAsia" w:cs="Times New Roman"/>
                <w:kern w:val="0"/>
                <w:szCs w:val="20"/>
              </w:rPr>
              <w:t>/</w:t>
            </w:r>
          </w:p>
        </w:tc>
      </w:tr>
    </w:tbl>
    <w:p w14:paraId="01964D53">
      <w:pPr>
        <w:spacing w:line="500" w:lineRule="exact"/>
        <w:ind w:firstLine="0" w:firstLineChars="0"/>
        <w:jc w:val="center"/>
        <w:rPr>
          <w:rFonts w:eastAsia="黑体"/>
        </w:rPr>
      </w:pPr>
      <w:r>
        <w:rPr>
          <w:rFonts w:hint="eastAsia" w:eastAsia="黑体"/>
        </w:rPr>
        <w:t>表</w:t>
      </w:r>
      <w:r>
        <w:rPr>
          <w:rFonts w:eastAsia="黑体"/>
        </w:rPr>
        <w:t>5.6.8-3  事故源项及事故后果基本信息表</w:t>
      </w:r>
      <w:r>
        <w:rPr>
          <w:rFonts w:hint="eastAsia" w:eastAsia="黑体"/>
        </w:rPr>
        <w:t>（</w:t>
      </w:r>
      <w:r>
        <w:rPr>
          <w:rFonts w:eastAsia="黑体"/>
        </w:rPr>
        <w:t>3</w:t>
      </w:r>
      <w:r>
        <w:rPr>
          <w:rFonts w:hint="eastAsia" w:eastAsia="黑体"/>
        </w:rPr>
        <w:t>）</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1163"/>
        <w:gridCol w:w="2179"/>
        <w:gridCol w:w="1163"/>
        <w:gridCol w:w="871"/>
        <w:gridCol w:w="795"/>
        <w:gridCol w:w="318"/>
        <w:gridCol w:w="1165"/>
      </w:tblGrid>
      <w:tr w14:paraId="55D00F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7E211282">
            <w:pPr>
              <w:pStyle w:val="445"/>
              <w:rPr>
                <w:rFonts w:eastAsia="Times New Roman" w:cs="Times New Roman"/>
                <w:kern w:val="0"/>
                <w:szCs w:val="20"/>
                <w:vertAlign w:val="superscript"/>
              </w:rPr>
            </w:pPr>
            <w:r>
              <w:rPr>
                <w:rFonts w:cs="Times New Roman"/>
                <w:kern w:val="0"/>
                <w:szCs w:val="20"/>
              </w:rPr>
              <w:t>风险事故情形分析</w:t>
            </w:r>
            <w:r>
              <w:rPr>
                <w:rFonts w:cs="Times New Roman"/>
                <w:spacing w:val="-46"/>
                <w:kern w:val="0"/>
                <w:szCs w:val="20"/>
              </w:rPr>
              <w:t xml:space="preserve"> </w:t>
            </w:r>
            <w:r>
              <w:rPr>
                <w:rFonts w:hint="eastAsia" w:cs="Times New Roman"/>
                <w:spacing w:val="-46"/>
                <w:kern w:val="0"/>
                <w:szCs w:val="20"/>
                <w:vertAlign w:val="superscript"/>
              </w:rPr>
              <w:t>a</w:t>
            </w:r>
          </w:p>
        </w:tc>
      </w:tr>
      <w:tr w14:paraId="1ABEF9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29F418A9">
            <w:pPr>
              <w:pStyle w:val="445"/>
              <w:rPr>
                <w:rFonts w:cs="Times New Roman"/>
                <w:kern w:val="0"/>
                <w:szCs w:val="20"/>
              </w:rPr>
            </w:pPr>
            <w:r>
              <w:rPr>
                <w:rFonts w:cs="Times New Roman"/>
                <w:kern w:val="0"/>
                <w:szCs w:val="20"/>
              </w:rPr>
              <w:t>代表性风险</w:t>
            </w:r>
          </w:p>
          <w:p w14:paraId="1462D354">
            <w:pPr>
              <w:pStyle w:val="445"/>
              <w:rPr>
                <w:rFonts w:cs="Times New Roman"/>
                <w:kern w:val="0"/>
                <w:szCs w:val="20"/>
              </w:rPr>
            </w:pPr>
            <w:r>
              <w:rPr>
                <w:rFonts w:cs="Times New Roman"/>
                <w:kern w:val="0"/>
                <w:szCs w:val="20"/>
              </w:rPr>
              <w:t>事故情形描述</w:t>
            </w:r>
          </w:p>
        </w:tc>
        <w:tc>
          <w:tcPr>
            <w:tcW w:w="4140" w:type="pct"/>
            <w:gridSpan w:val="7"/>
            <w:vAlign w:val="center"/>
          </w:tcPr>
          <w:p w14:paraId="2E51FF61">
            <w:pPr>
              <w:pStyle w:val="445"/>
              <w:rPr>
                <w:rFonts w:cs="Times New Roman"/>
                <w:kern w:val="0"/>
                <w:szCs w:val="20"/>
              </w:rPr>
            </w:pPr>
            <w:r>
              <w:rPr>
                <w:rFonts w:hint="eastAsia" w:cs="Times New Roman"/>
                <w:kern w:val="0"/>
                <w:szCs w:val="20"/>
              </w:rPr>
              <w:t>氢氟酸泄漏事故</w:t>
            </w:r>
          </w:p>
        </w:tc>
      </w:tr>
      <w:tr w14:paraId="5091C6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2B67B550">
            <w:pPr>
              <w:pStyle w:val="445"/>
              <w:rPr>
                <w:rFonts w:cs="Times New Roman"/>
                <w:kern w:val="0"/>
                <w:szCs w:val="20"/>
              </w:rPr>
            </w:pPr>
            <w:r>
              <w:rPr>
                <w:rFonts w:cs="Times New Roman"/>
                <w:kern w:val="0"/>
                <w:szCs w:val="20"/>
              </w:rPr>
              <w:t>环境风险类型</w:t>
            </w:r>
          </w:p>
        </w:tc>
        <w:tc>
          <w:tcPr>
            <w:tcW w:w="4140" w:type="pct"/>
            <w:gridSpan w:val="7"/>
            <w:vAlign w:val="center"/>
          </w:tcPr>
          <w:p w14:paraId="44A3877E">
            <w:pPr>
              <w:pStyle w:val="445"/>
              <w:rPr>
                <w:rFonts w:cs="Times New Roman"/>
                <w:kern w:val="0"/>
                <w:szCs w:val="20"/>
              </w:rPr>
            </w:pPr>
            <w:r>
              <w:rPr>
                <w:rFonts w:hint="eastAsia" w:cs="Times New Roman"/>
                <w:kern w:val="0"/>
                <w:szCs w:val="20"/>
              </w:rPr>
              <w:t>危险</w:t>
            </w:r>
            <w:r>
              <w:rPr>
                <w:rFonts w:cs="Times New Roman"/>
                <w:kern w:val="0"/>
                <w:szCs w:val="20"/>
              </w:rPr>
              <w:t>物质</w:t>
            </w:r>
            <w:r>
              <w:rPr>
                <w:rFonts w:hint="eastAsia" w:cs="Times New Roman"/>
                <w:kern w:val="0"/>
                <w:szCs w:val="20"/>
              </w:rPr>
              <w:t>泄漏</w:t>
            </w:r>
          </w:p>
        </w:tc>
      </w:tr>
      <w:tr w14:paraId="11EEB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0388C632">
            <w:pPr>
              <w:pStyle w:val="445"/>
              <w:rPr>
                <w:rFonts w:cs="Times New Roman"/>
                <w:kern w:val="0"/>
                <w:szCs w:val="20"/>
              </w:rPr>
            </w:pPr>
            <w:r>
              <w:rPr>
                <w:rFonts w:cs="Times New Roman"/>
                <w:kern w:val="0"/>
                <w:szCs w:val="20"/>
              </w:rPr>
              <w:t>泄漏设备类型</w:t>
            </w:r>
          </w:p>
        </w:tc>
        <w:tc>
          <w:tcPr>
            <w:tcW w:w="629" w:type="pct"/>
            <w:vAlign w:val="center"/>
          </w:tcPr>
          <w:p w14:paraId="31280EB5">
            <w:pPr>
              <w:pStyle w:val="445"/>
              <w:rPr>
                <w:rFonts w:cs="Times New Roman"/>
                <w:kern w:val="0"/>
                <w:szCs w:val="20"/>
              </w:rPr>
            </w:pPr>
            <w:r>
              <w:rPr>
                <w:rFonts w:hint="eastAsia" w:cs="Times New Roman"/>
                <w:kern w:val="0"/>
                <w:szCs w:val="20"/>
              </w:rPr>
              <w:t>储罐</w:t>
            </w:r>
          </w:p>
        </w:tc>
        <w:tc>
          <w:tcPr>
            <w:tcW w:w="1179" w:type="pct"/>
            <w:vAlign w:val="center"/>
          </w:tcPr>
          <w:p w14:paraId="68C9057A">
            <w:pPr>
              <w:pStyle w:val="445"/>
              <w:rPr>
                <w:rFonts w:cs="Times New Roman"/>
                <w:kern w:val="0"/>
                <w:szCs w:val="20"/>
              </w:rPr>
            </w:pPr>
            <w:r>
              <w:rPr>
                <w:rFonts w:cs="Times New Roman"/>
                <w:kern w:val="0"/>
                <w:szCs w:val="20"/>
              </w:rPr>
              <w:t>操作温度</w:t>
            </w:r>
            <w:r>
              <w:rPr>
                <w:rFonts w:eastAsia="Times New Roman" w:cs="Times New Roman"/>
                <w:kern w:val="0"/>
                <w:szCs w:val="20"/>
              </w:rPr>
              <w:t>/</w:t>
            </w:r>
            <w:r>
              <w:rPr>
                <w:rFonts w:hint="eastAsia" w:ascii="宋体" w:hAnsi="宋体" w:cs="宋体"/>
                <w:kern w:val="0"/>
                <w:szCs w:val="20"/>
              </w:rPr>
              <w:t>℃</w:t>
            </w:r>
          </w:p>
        </w:tc>
        <w:tc>
          <w:tcPr>
            <w:tcW w:w="629" w:type="pct"/>
            <w:vAlign w:val="center"/>
          </w:tcPr>
          <w:p w14:paraId="02E3FD5B">
            <w:pPr>
              <w:pStyle w:val="445"/>
              <w:rPr>
                <w:rFonts w:cs="Times New Roman"/>
                <w:kern w:val="0"/>
                <w:szCs w:val="20"/>
              </w:rPr>
            </w:pPr>
            <w:r>
              <w:rPr>
                <w:rFonts w:hint="eastAsia" w:cs="Times New Roman"/>
                <w:kern w:val="0"/>
                <w:szCs w:val="20"/>
              </w:rPr>
              <w:t>常温</w:t>
            </w:r>
          </w:p>
        </w:tc>
        <w:tc>
          <w:tcPr>
            <w:tcW w:w="1073" w:type="pct"/>
            <w:gridSpan w:val="3"/>
            <w:vAlign w:val="center"/>
          </w:tcPr>
          <w:p w14:paraId="7F7B2BF9">
            <w:pPr>
              <w:pStyle w:val="445"/>
              <w:rPr>
                <w:rFonts w:eastAsia="Times New Roman" w:cs="Times New Roman"/>
                <w:kern w:val="0"/>
                <w:szCs w:val="20"/>
              </w:rPr>
            </w:pPr>
            <w:r>
              <w:rPr>
                <w:rFonts w:cs="Times New Roman"/>
                <w:kern w:val="0"/>
                <w:szCs w:val="20"/>
              </w:rPr>
              <w:t>操作压力</w:t>
            </w:r>
            <w:r>
              <w:rPr>
                <w:rFonts w:eastAsia="Times New Roman" w:cs="Times New Roman"/>
                <w:kern w:val="0"/>
                <w:szCs w:val="20"/>
              </w:rPr>
              <w:t>/MPa</w:t>
            </w:r>
          </w:p>
        </w:tc>
        <w:tc>
          <w:tcPr>
            <w:tcW w:w="629" w:type="pct"/>
            <w:vAlign w:val="center"/>
          </w:tcPr>
          <w:p w14:paraId="3352FE33">
            <w:pPr>
              <w:pStyle w:val="445"/>
              <w:rPr>
                <w:rFonts w:cs="Times New Roman"/>
                <w:kern w:val="0"/>
                <w:szCs w:val="20"/>
              </w:rPr>
            </w:pPr>
            <w:r>
              <w:rPr>
                <w:rFonts w:hint="eastAsia" w:cs="Times New Roman"/>
                <w:kern w:val="0"/>
                <w:szCs w:val="20"/>
              </w:rPr>
              <w:t>常压</w:t>
            </w:r>
          </w:p>
        </w:tc>
      </w:tr>
      <w:tr w14:paraId="74156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0DC834A7">
            <w:pPr>
              <w:pStyle w:val="445"/>
              <w:rPr>
                <w:rFonts w:cs="Times New Roman"/>
                <w:kern w:val="0"/>
                <w:szCs w:val="20"/>
              </w:rPr>
            </w:pPr>
            <w:r>
              <w:rPr>
                <w:rFonts w:cs="Times New Roman"/>
                <w:kern w:val="0"/>
                <w:szCs w:val="20"/>
              </w:rPr>
              <w:t>泄漏危险物质</w:t>
            </w:r>
          </w:p>
        </w:tc>
        <w:tc>
          <w:tcPr>
            <w:tcW w:w="629" w:type="pct"/>
            <w:vAlign w:val="center"/>
          </w:tcPr>
          <w:p w14:paraId="5498B5AC">
            <w:pPr>
              <w:pStyle w:val="445"/>
              <w:rPr>
                <w:rFonts w:cs="Times New Roman"/>
                <w:kern w:val="0"/>
                <w:szCs w:val="20"/>
              </w:rPr>
            </w:pPr>
            <w:r>
              <w:rPr>
                <w:rFonts w:hint="eastAsia" w:cs="Times New Roman"/>
                <w:kern w:val="0"/>
                <w:szCs w:val="20"/>
              </w:rPr>
              <w:t>氟化氢</w:t>
            </w:r>
          </w:p>
        </w:tc>
        <w:tc>
          <w:tcPr>
            <w:tcW w:w="1179" w:type="pct"/>
            <w:vAlign w:val="center"/>
          </w:tcPr>
          <w:p w14:paraId="017E5A82">
            <w:pPr>
              <w:pStyle w:val="445"/>
              <w:rPr>
                <w:rFonts w:eastAsia="Times New Roman" w:cs="Times New Roman"/>
                <w:kern w:val="0"/>
                <w:szCs w:val="20"/>
              </w:rPr>
            </w:pPr>
            <w:r>
              <w:rPr>
                <w:rFonts w:cs="Times New Roman"/>
                <w:kern w:val="0"/>
                <w:szCs w:val="20"/>
              </w:rPr>
              <w:t>最大存在量</w:t>
            </w:r>
            <w:r>
              <w:rPr>
                <w:rFonts w:eastAsia="Times New Roman" w:cs="Times New Roman"/>
                <w:kern w:val="0"/>
                <w:szCs w:val="20"/>
              </w:rPr>
              <w:t>/kg</w:t>
            </w:r>
          </w:p>
        </w:tc>
        <w:tc>
          <w:tcPr>
            <w:tcW w:w="629" w:type="pct"/>
            <w:vAlign w:val="center"/>
          </w:tcPr>
          <w:p w14:paraId="6762EA97">
            <w:pPr>
              <w:pStyle w:val="445"/>
              <w:rPr>
                <w:rFonts w:cs="Times New Roman"/>
                <w:kern w:val="0"/>
                <w:szCs w:val="20"/>
              </w:rPr>
            </w:pPr>
            <w:r>
              <w:rPr>
                <w:rFonts w:cs="Times New Roman"/>
                <w:kern w:val="0"/>
                <w:szCs w:val="20"/>
              </w:rPr>
              <w:t>/</w:t>
            </w:r>
          </w:p>
        </w:tc>
        <w:tc>
          <w:tcPr>
            <w:tcW w:w="1073" w:type="pct"/>
            <w:gridSpan w:val="3"/>
            <w:vAlign w:val="center"/>
          </w:tcPr>
          <w:p w14:paraId="58CE99FE">
            <w:pPr>
              <w:pStyle w:val="445"/>
              <w:rPr>
                <w:rFonts w:eastAsia="Times New Roman" w:cs="Times New Roman"/>
                <w:kern w:val="0"/>
                <w:szCs w:val="20"/>
              </w:rPr>
            </w:pPr>
            <w:r>
              <w:rPr>
                <w:rFonts w:cs="Times New Roman"/>
                <w:spacing w:val="-1"/>
                <w:kern w:val="0"/>
                <w:szCs w:val="20"/>
              </w:rPr>
              <w:t>泄漏孔径</w:t>
            </w:r>
            <w:r>
              <w:rPr>
                <w:rFonts w:eastAsia="Times New Roman" w:cs="Times New Roman"/>
                <w:spacing w:val="-1"/>
                <w:kern w:val="0"/>
                <w:szCs w:val="20"/>
              </w:rPr>
              <w:t>/mm</w:t>
            </w:r>
          </w:p>
        </w:tc>
        <w:tc>
          <w:tcPr>
            <w:tcW w:w="629" w:type="pct"/>
            <w:vAlign w:val="center"/>
          </w:tcPr>
          <w:p w14:paraId="08F6833D">
            <w:pPr>
              <w:pStyle w:val="445"/>
              <w:rPr>
                <w:rFonts w:cs="Times New Roman"/>
                <w:kern w:val="0"/>
                <w:szCs w:val="20"/>
              </w:rPr>
            </w:pPr>
            <w:r>
              <w:rPr>
                <w:rFonts w:cs="Times New Roman"/>
                <w:kern w:val="0"/>
                <w:szCs w:val="20"/>
              </w:rPr>
              <w:t>5.6</w:t>
            </w:r>
          </w:p>
        </w:tc>
      </w:tr>
      <w:tr w14:paraId="064E73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73FA83A1">
            <w:pPr>
              <w:pStyle w:val="445"/>
              <w:rPr>
                <w:rFonts w:eastAsia="Times New Roman" w:cs="Times New Roman"/>
                <w:kern w:val="0"/>
                <w:szCs w:val="20"/>
              </w:rPr>
            </w:pPr>
            <w:r>
              <w:rPr>
                <w:rFonts w:cs="Times New Roman"/>
                <w:kern w:val="0"/>
                <w:szCs w:val="20"/>
              </w:rPr>
              <w:t>泄漏速率</w:t>
            </w:r>
            <w:r>
              <w:rPr>
                <w:rFonts w:eastAsia="Times New Roman" w:cs="Times New Roman"/>
                <w:kern w:val="0"/>
                <w:szCs w:val="20"/>
              </w:rPr>
              <w:t>/(kg/s)</w:t>
            </w:r>
          </w:p>
        </w:tc>
        <w:tc>
          <w:tcPr>
            <w:tcW w:w="629" w:type="pct"/>
            <w:vAlign w:val="center"/>
          </w:tcPr>
          <w:p w14:paraId="6C989A51">
            <w:pPr>
              <w:pStyle w:val="445"/>
              <w:rPr>
                <w:rFonts w:cs="Times New Roman"/>
                <w:kern w:val="0"/>
                <w:szCs w:val="20"/>
              </w:rPr>
            </w:pPr>
            <w:r>
              <w:rPr>
                <w:rFonts w:cs="Times New Roman"/>
                <w:kern w:val="0"/>
                <w:szCs w:val="20"/>
              </w:rPr>
              <w:t>0.033</w:t>
            </w:r>
          </w:p>
        </w:tc>
        <w:tc>
          <w:tcPr>
            <w:tcW w:w="1179" w:type="pct"/>
            <w:vAlign w:val="center"/>
          </w:tcPr>
          <w:p w14:paraId="356505BF">
            <w:pPr>
              <w:pStyle w:val="445"/>
              <w:rPr>
                <w:rFonts w:eastAsia="Times New Roman" w:cs="Times New Roman"/>
                <w:kern w:val="0"/>
                <w:szCs w:val="20"/>
              </w:rPr>
            </w:pPr>
            <w:r>
              <w:rPr>
                <w:rFonts w:cs="Times New Roman"/>
                <w:spacing w:val="-1"/>
                <w:kern w:val="0"/>
                <w:szCs w:val="20"/>
              </w:rPr>
              <w:t>泄漏时间</w:t>
            </w:r>
            <w:r>
              <w:rPr>
                <w:rFonts w:eastAsia="Times New Roman" w:cs="Times New Roman"/>
                <w:spacing w:val="-1"/>
                <w:kern w:val="0"/>
                <w:szCs w:val="20"/>
              </w:rPr>
              <w:t>/min</w:t>
            </w:r>
          </w:p>
        </w:tc>
        <w:tc>
          <w:tcPr>
            <w:tcW w:w="629" w:type="pct"/>
            <w:vAlign w:val="center"/>
          </w:tcPr>
          <w:p w14:paraId="7F9A2EA6">
            <w:pPr>
              <w:pStyle w:val="445"/>
              <w:rPr>
                <w:rFonts w:cs="Times New Roman"/>
                <w:kern w:val="0"/>
                <w:szCs w:val="20"/>
              </w:rPr>
            </w:pPr>
            <w:r>
              <w:rPr>
                <w:rFonts w:hint="eastAsia" w:cs="Times New Roman"/>
                <w:kern w:val="0"/>
                <w:szCs w:val="20"/>
              </w:rPr>
              <w:t>1</w:t>
            </w:r>
            <w:r>
              <w:rPr>
                <w:rFonts w:cs="Times New Roman"/>
                <w:kern w:val="0"/>
                <w:szCs w:val="20"/>
              </w:rPr>
              <w:t>0</w:t>
            </w:r>
          </w:p>
        </w:tc>
        <w:tc>
          <w:tcPr>
            <w:tcW w:w="1073" w:type="pct"/>
            <w:gridSpan w:val="3"/>
            <w:vAlign w:val="center"/>
          </w:tcPr>
          <w:p w14:paraId="58FC9455">
            <w:pPr>
              <w:pStyle w:val="445"/>
              <w:rPr>
                <w:rFonts w:eastAsia="Times New Roman" w:cs="Times New Roman"/>
                <w:kern w:val="0"/>
                <w:szCs w:val="20"/>
              </w:rPr>
            </w:pPr>
            <w:r>
              <w:rPr>
                <w:rFonts w:cs="Times New Roman"/>
                <w:kern w:val="0"/>
                <w:szCs w:val="20"/>
              </w:rPr>
              <w:t>泄漏量</w:t>
            </w:r>
            <w:r>
              <w:rPr>
                <w:rFonts w:eastAsia="Times New Roman" w:cs="Times New Roman"/>
                <w:kern w:val="0"/>
                <w:szCs w:val="20"/>
              </w:rPr>
              <w:t>/kg</w:t>
            </w:r>
          </w:p>
        </w:tc>
        <w:tc>
          <w:tcPr>
            <w:tcW w:w="629" w:type="pct"/>
            <w:vAlign w:val="center"/>
          </w:tcPr>
          <w:p w14:paraId="6CD36ECC">
            <w:pPr>
              <w:pStyle w:val="445"/>
              <w:rPr>
                <w:rFonts w:cs="Times New Roman"/>
                <w:kern w:val="0"/>
                <w:szCs w:val="20"/>
              </w:rPr>
            </w:pPr>
            <w:r>
              <w:rPr>
                <w:rFonts w:cs="Times New Roman"/>
                <w:kern w:val="0"/>
                <w:szCs w:val="20"/>
              </w:rPr>
              <w:t>19.8</w:t>
            </w:r>
          </w:p>
        </w:tc>
      </w:tr>
      <w:tr w14:paraId="003074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Align w:val="center"/>
          </w:tcPr>
          <w:p w14:paraId="0ABF7A32">
            <w:pPr>
              <w:pStyle w:val="445"/>
              <w:rPr>
                <w:rFonts w:eastAsia="Times New Roman" w:cs="Times New Roman"/>
                <w:kern w:val="0"/>
                <w:szCs w:val="20"/>
              </w:rPr>
            </w:pPr>
            <w:r>
              <w:rPr>
                <w:rFonts w:cs="Times New Roman"/>
                <w:kern w:val="0"/>
                <w:szCs w:val="20"/>
              </w:rPr>
              <w:t>泄漏高度</w:t>
            </w:r>
            <w:r>
              <w:rPr>
                <w:rFonts w:eastAsia="Times New Roman" w:cs="Times New Roman"/>
                <w:kern w:val="0"/>
                <w:szCs w:val="20"/>
              </w:rPr>
              <w:t>/m</w:t>
            </w:r>
          </w:p>
        </w:tc>
        <w:tc>
          <w:tcPr>
            <w:tcW w:w="629" w:type="pct"/>
            <w:vAlign w:val="center"/>
          </w:tcPr>
          <w:p w14:paraId="6EBF7746">
            <w:pPr>
              <w:pStyle w:val="445"/>
              <w:rPr>
                <w:rFonts w:cs="Times New Roman"/>
                <w:kern w:val="0"/>
                <w:szCs w:val="20"/>
              </w:rPr>
            </w:pPr>
            <w:r>
              <w:rPr>
                <w:rFonts w:cs="Times New Roman"/>
                <w:kern w:val="0"/>
                <w:szCs w:val="20"/>
              </w:rPr>
              <w:t>1</w:t>
            </w:r>
          </w:p>
        </w:tc>
        <w:tc>
          <w:tcPr>
            <w:tcW w:w="1179" w:type="pct"/>
            <w:vAlign w:val="center"/>
          </w:tcPr>
          <w:p w14:paraId="424FB197">
            <w:pPr>
              <w:pStyle w:val="445"/>
              <w:rPr>
                <w:rFonts w:eastAsia="Times New Roman" w:cs="Times New Roman"/>
                <w:kern w:val="0"/>
                <w:szCs w:val="20"/>
              </w:rPr>
            </w:pPr>
            <w:r>
              <w:rPr>
                <w:rFonts w:cs="Times New Roman"/>
                <w:kern w:val="0"/>
                <w:szCs w:val="20"/>
              </w:rPr>
              <w:t>泄漏液体蒸发量</w:t>
            </w:r>
            <w:r>
              <w:rPr>
                <w:rFonts w:eastAsia="Times New Roman" w:cs="Times New Roman"/>
                <w:kern w:val="0"/>
                <w:szCs w:val="20"/>
              </w:rPr>
              <w:t>/kg</w:t>
            </w:r>
          </w:p>
        </w:tc>
        <w:tc>
          <w:tcPr>
            <w:tcW w:w="629" w:type="pct"/>
            <w:vAlign w:val="center"/>
          </w:tcPr>
          <w:p w14:paraId="7B247DDD">
            <w:pPr>
              <w:pStyle w:val="445"/>
              <w:rPr>
                <w:rFonts w:cs="Times New Roman"/>
                <w:kern w:val="0"/>
                <w:szCs w:val="20"/>
              </w:rPr>
            </w:pPr>
            <w:r>
              <w:rPr>
                <w:rFonts w:cs="Times New Roman"/>
                <w:kern w:val="0"/>
                <w:szCs w:val="20"/>
              </w:rPr>
              <w:t>0.028</w:t>
            </w:r>
          </w:p>
          <w:p w14:paraId="065CBCC2">
            <w:pPr>
              <w:pStyle w:val="445"/>
              <w:rPr>
                <w:rFonts w:cs="Times New Roman"/>
                <w:kern w:val="0"/>
                <w:szCs w:val="20"/>
              </w:rPr>
            </w:pPr>
            <w:r>
              <w:rPr>
                <w:rFonts w:cs="Times New Roman"/>
                <w:kern w:val="0"/>
                <w:szCs w:val="20"/>
              </w:rPr>
              <w:t>0.03</w:t>
            </w:r>
          </w:p>
        </w:tc>
        <w:tc>
          <w:tcPr>
            <w:tcW w:w="1073" w:type="pct"/>
            <w:gridSpan w:val="3"/>
            <w:vAlign w:val="center"/>
          </w:tcPr>
          <w:p w14:paraId="2EC21C38">
            <w:pPr>
              <w:pStyle w:val="445"/>
              <w:rPr>
                <w:rFonts w:cs="Times New Roman"/>
                <w:kern w:val="0"/>
                <w:szCs w:val="20"/>
              </w:rPr>
            </w:pPr>
            <w:r>
              <w:rPr>
                <w:rFonts w:cs="Times New Roman"/>
                <w:kern w:val="0"/>
                <w:szCs w:val="20"/>
              </w:rPr>
              <w:t>泄漏频率</w:t>
            </w:r>
          </w:p>
        </w:tc>
        <w:tc>
          <w:tcPr>
            <w:tcW w:w="629" w:type="pct"/>
            <w:vAlign w:val="center"/>
          </w:tcPr>
          <w:p w14:paraId="67C15D98">
            <w:pPr>
              <w:pStyle w:val="445"/>
              <w:rPr>
                <w:rFonts w:cs="Times New Roman"/>
                <w:kern w:val="0"/>
                <w:szCs w:val="20"/>
              </w:rPr>
            </w:pPr>
            <w:r>
              <w:rPr>
                <w:rFonts w:hint="eastAsia" w:cs="Times New Roman"/>
                <w:kern w:val="0"/>
                <w:szCs w:val="20"/>
              </w:rPr>
              <w:t>/</w:t>
            </w:r>
          </w:p>
        </w:tc>
      </w:tr>
      <w:tr w14:paraId="069164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5DF12125">
            <w:pPr>
              <w:pStyle w:val="445"/>
              <w:rPr>
                <w:rFonts w:cs="Times New Roman"/>
                <w:kern w:val="0"/>
                <w:szCs w:val="20"/>
              </w:rPr>
            </w:pPr>
            <w:r>
              <w:rPr>
                <w:rFonts w:cs="Times New Roman"/>
                <w:kern w:val="0"/>
                <w:szCs w:val="20"/>
              </w:rPr>
              <w:t>事故后果预测</w:t>
            </w:r>
          </w:p>
        </w:tc>
      </w:tr>
      <w:tr w14:paraId="7747E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12C7A078">
            <w:pPr>
              <w:pStyle w:val="445"/>
              <w:rPr>
                <w:rFonts w:cs="Times New Roman"/>
                <w:kern w:val="0"/>
                <w:szCs w:val="20"/>
              </w:rPr>
            </w:pPr>
            <w:r>
              <w:rPr>
                <w:rFonts w:cs="Times New Roman"/>
                <w:kern w:val="0"/>
                <w:szCs w:val="20"/>
              </w:rPr>
              <w:t>大气</w:t>
            </w:r>
          </w:p>
        </w:tc>
        <w:tc>
          <w:tcPr>
            <w:tcW w:w="629" w:type="pct"/>
            <w:vAlign w:val="center"/>
          </w:tcPr>
          <w:p w14:paraId="0F63C568">
            <w:pPr>
              <w:pStyle w:val="445"/>
              <w:rPr>
                <w:rFonts w:cs="Times New Roman"/>
                <w:kern w:val="0"/>
                <w:szCs w:val="20"/>
              </w:rPr>
            </w:pPr>
            <w:r>
              <w:rPr>
                <w:rFonts w:cs="Times New Roman"/>
                <w:kern w:val="0"/>
                <w:szCs w:val="20"/>
              </w:rPr>
              <w:t>危险</w:t>
            </w:r>
          </w:p>
          <w:p w14:paraId="0198E7E6">
            <w:pPr>
              <w:pStyle w:val="445"/>
              <w:rPr>
                <w:rFonts w:cs="Times New Roman"/>
                <w:kern w:val="0"/>
                <w:szCs w:val="20"/>
              </w:rPr>
            </w:pPr>
            <w:r>
              <w:rPr>
                <w:rFonts w:cs="Times New Roman"/>
                <w:kern w:val="0"/>
                <w:szCs w:val="20"/>
              </w:rPr>
              <w:t>物质</w:t>
            </w:r>
          </w:p>
        </w:tc>
        <w:tc>
          <w:tcPr>
            <w:tcW w:w="3511" w:type="pct"/>
            <w:gridSpan w:val="6"/>
            <w:vAlign w:val="center"/>
          </w:tcPr>
          <w:p w14:paraId="6205101C">
            <w:pPr>
              <w:pStyle w:val="445"/>
              <w:rPr>
                <w:rFonts w:cs="Times New Roman"/>
                <w:kern w:val="0"/>
                <w:szCs w:val="20"/>
              </w:rPr>
            </w:pPr>
            <w:r>
              <w:rPr>
                <w:rFonts w:cs="Times New Roman"/>
                <w:kern w:val="0"/>
                <w:szCs w:val="20"/>
              </w:rPr>
              <w:t>大气环境影响</w:t>
            </w:r>
          </w:p>
        </w:tc>
      </w:tr>
      <w:tr w14:paraId="51BE8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D541F42">
            <w:pPr>
              <w:pStyle w:val="445"/>
              <w:rPr>
                <w:rFonts w:cs="Times New Roman"/>
                <w:kern w:val="0"/>
                <w:szCs w:val="20"/>
              </w:rPr>
            </w:pPr>
          </w:p>
        </w:tc>
        <w:tc>
          <w:tcPr>
            <w:tcW w:w="629" w:type="pct"/>
            <w:vMerge w:val="restart"/>
            <w:vAlign w:val="center"/>
          </w:tcPr>
          <w:p w14:paraId="3F3FF607">
            <w:pPr>
              <w:pStyle w:val="445"/>
              <w:rPr>
                <w:rFonts w:cs="Times New Roman"/>
                <w:kern w:val="0"/>
                <w:szCs w:val="20"/>
              </w:rPr>
            </w:pPr>
            <w:r>
              <w:rPr>
                <w:rFonts w:hint="eastAsia" w:cs="Times New Roman"/>
                <w:kern w:val="0"/>
                <w:szCs w:val="20"/>
              </w:rPr>
              <w:t>氟化氢</w:t>
            </w:r>
          </w:p>
        </w:tc>
        <w:tc>
          <w:tcPr>
            <w:tcW w:w="1179" w:type="pct"/>
            <w:vAlign w:val="center"/>
          </w:tcPr>
          <w:p w14:paraId="13CE3639">
            <w:pPr>
              <w:pStyle w:val="445"/>
              <w:rPr>
                <w:rFonts w:cs="Times New Roman"/>
                <w:kern w:val="0"/>
                <w:szCs w:val="20"/>
              </w:rPr>
            </w:pPr>
            <w:r>
              <w:rPr>
                <w:rFonts w:cs="Times New Roman"/>
                <w:kern w:val="0"/>
                <w:szCs w:val="20"/>
              </w:rPr>
              <w:t>指标</w:t>
            </w:r>
          </w:p>
        </w:tc>
        <w:tc>
          <w:tcPr>
            <w:tcW w:w="629" w:type="pct"/>
            <w:vAlign w:val="center"/>
          </w:tcPr>
          <w:p w14:paraId="6902EDB7">
            <w:pPr>
              <w:pStyle w:val="445"/>
              <w:rPr>
                <w:rFonts w:eastAsia="Times New Roman" w:cs="Times New Roman"/>
                <w:kern w:val="0"/>
                <w:szCs w:val="20"/>
              </w:rPr>
            </w:pPr>
            <w:r>
              <w:rPr>
                <w:rFonts w:cs="Times New Roman"/>
                <w:spacing w:val="-1"/>
                <w:kern w:val="0"/>
                <w:szCs w:val="20"/>
              </w:rPr>
              <w:t>浓度值</w:t>
            </w:r>
            <w:r>
              <w:rPr>
                <w:rFonts w:eastAsia="Times New Roman" w:cs="Times New Roman"/>
                <w:spacing w:val="-1"/>
                <w:kern w:val="0"/>
                <w:szCs w:val="20"/>
              </w:rPr>
              <w:t>/(mg/m</w:t>
            </w:r>
            <w:r>
              <w:rPr>
                <w:rFonts w:cs="Times New Roman"/>
                <w:kern w:val="0"/>
                <w:szCs w:val="20"/>
                <w:vertAlign w:val="superscript"/>
              </w:rPr>
              <w:t>3</w:t>
            </w:r>
            <w:r>
              <w:rPr>
                <w:rFonts w:eastAsia="Times New Roman" w:cs="Times New Roman"/>
                <w:spacing w:val="-1"/>
                <w:kern w:val="0"/>
                <w:szCs w:val="20"/>
              </w:rPr>
              <w:t>)</w:t>
            </w:r>
          </w:p>
        </w:tc>
        <w:tc>
          <w:tcPr>
            <w:tcW w:w="901" w:type="pct"/>
            <w:gridSpan w:val="2"/>
            <w:vAlign w:val="center"/>
          </w:tcPr>
          <w:p w14:paraId="30666A7C">
            <w:pPr>
              <w:pStyle w:val="445"/>
              <w:rPr>
                <w:rFonts w:eastAsia="Times New Roman" w:cs="Times New Roman"/>
                <w:kern w:val="0"/>
                <w:szCs w:val="20"/>
              </w:rPr>
            </w:pPr>
            <w:r>
              <w:rPr>
                <w:rFonts w:cs="Times New Roman"/>
                <w:kern w:val="0"/>
                <w:szCs w:val="20"/>
              </w:rPr>
              <w:t>最远影响距离</w:t>
            </w:r>
            <w:r>
              <w:rPr>
                <w:rFonts w:eastAsia="Times New Roman" w:cs="Times New Roman"/>
                <w:kern w:val="0"/>
                <w:szCs w:val="20"/>
              </w:rPr>
              <w:t>/m</w:t>
            </w:r>
          </w:p>
        </w:tc>
        <w:tc>
          <w:tcPr>
            <w:tcW w:w="801" w:type="pct"/>
            <w:gridSpan w:val="2"/>
            <w:vAlign w:val="center"/>
          </w:tcPr>
          <w:p w14:paraId="640FEB31">
            <w:pPr>
              <w:pStyle w:val="445"/>
              <w:rPr>
                <w:rFonts w:eastAsia="Times New Roman" w:cs="Times New Roman"/>
                <w:kern w:val="0"/>
                <w:szCs w:val="20"/>
              </w:rPr>
            </w:pPr>
            <w:r>
              <w:rPr>
                <w:rFonts w:cs="Times New Roman"/>
                <w:spacing w:val="-1"/>
                <w:kern w:val="0"/>
                <w:szCs w:val="20"/>
              </w:rPr>
              <w:t>到达时间</w:t>
            </w:r>
            <w:r>
              <w:rPr>
                <w:rFonts w:eastAsia="Times New Roman" w:cs="Times New Roman"/>
                <w:spacing w:val="-1"/>
                <w:kern w:val="0"/>
                <w:szCs w:val="20"/>
              </w:rPr>
              <w:t>/min</w:t>
            </w:r>
          </w:p>
        </w:tc>
      </w:tr>
      <w:tr w14:paraId="52F3E2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6A5D66B">
            <w:pPr>
              <w:pStyle w:val="445"/>
              <w:rPr>
                <w:rFonts w:cs="Times New Roman"/>
                <w:kern w:val="0"/>
                <w:szCs w:val="20"/>
              </w:rPr>
            </w:pPr>
          </w:p>
        </w:tc>
        <w:tc>
          <w:tcPr>
            <w:tcW w:w="629" w:type="pct"/>
            <w:vMerge w:val="continue"/>
            <w:vAlign w:val="center"/>
          </w:tcPr>
          <w:p w14:paraId="731F789F">
            <w:pPr>
              <w:pStyle w:val="445"/>
              <w:rPr>
                <w:rFonts w:cs="Times New Roman"/>
                <w:kern w:val="0"/>
                <w:szCs w:val="20"/>
              </w:rPr>
            </w:pPr>
          </w:p>
        </w:tc>
        <w:tc>
          <w:tcPr>
            <w:tcW w:w="1179" w:type="pct"/>
            <w:vAlign w:val="center"/>
          </w:tcPr>
          <w:p w14:paraId="19635CFB">
            <w:pPr>
              <w:pStyle w:val="445"/>
              <w:rPr>
                <w:rFonts w:eastAsia="Times New Roman" w:cs="Times New Roman"/>
                <w:kern w:val="0"/>
                <w:szCs w:val="20"/>
              </w:rPr>
            </w:pPr>
            <w:r>
              <w:rPr>
                <w:rFonts w:cs="Times New Roman"/>
                <w:kern w:val="0"/>
                <w:szCs w:val="20"/>
              </w:rPr>
              <w:t>大气毒性终点浓度</w:t>
            </w:r>
            <w:r>
              <w:rPr>
                <w:rFonts w:eastAsia="Times New Roman" w:cs="Times New Roman"/>
                <w:kern w:val="0"/>
                <w:szCs w:val="20"/>
              </w:rPr>
              <w:t>-1</w:t>
            </w:r>
          </w:p>
        </w:tc>
        <w:tc>
          <w:tcPr>
            <w:tcW w:w="629" w:type="pct"/>
            <w:vAlign w:val="center"/>
          </w:tcPr>
          <w:p w14:paraId="13F2CE58">
            <w:pPr>
              <w:pStyle w:val="445"/>
              <w:rPr>
                <w:rFonts w:cs="Times New Roman"/>
                <w:kern w:val="0"/>
                <w:szCs w:val="20"/>
              </w:rPr>
            </w:pPr>
            <w:r>
              <w:rPr>
                <w:rFonts w:cs="Times New Roman"/>
                <w:kern w:val="0"/>
                <w:szCs w:val="20"/>
              </w:rPr>
              <w:t>36</w:t>
            </w:r>
          </w:p>
        </w:tc>
        <w:tc>
          <w:tcPr>
            <w:tcW w:w="901" w:type="pct"/>
            <w:gridSpan w:val="2"/>
            <w:vAlign w:val="center"/>
          </w:tcPr>
          <w:p w14:paraId="64E2D28B">
            <w:pPr>
              <w:pStyle w:val="445"/>
              <w:rPr>
                <w:rFonts w:cs="Times New Roman"/>
                <w:kern w:val="0"/>
                <w:szCs w:val="20"/>
              </w:rPr>
            </w:pPr>
            <w:r>
              <w:rPr>
                <w:rFonts w:cs="Times New Roman"/>
                <w:kern w:val="0"/>
                <w:szCs w:val="20"/>
              </w:rPr>
              <w:t>180</w:t>
            </w:r>
          </w:p>
        </w:tc>
        <w:tc>
          <w:tcPr>
            <w:tcW w:w="801" w:type="pct"/>
            <w:gridSpan w:val="2"/>
            <w:vAlign w:val="center"/>
          </w:tcPr>
          <w:p w14:paraId="6CB410C2">
            <w:pPr>
              <w:pStyle w:val="445"/>
              <w:rPr>
                <w:rFonts w:cs="Times New Roman"/>
                <w:kern w:val="0"/>
                <w:szCs w:val="20"/>
              </w:rPr>
            </w:pPr>
            <w:r>
              <w:rPr>
                <w:rFonts w:hint="eastAsia" w:cs="Times New Roman"/>
                <w:kern w:val="0"/>
                <w:szCs w:val="20"/>
              </w:rPr>
              <w:t>/</w:t>
            </w:r>
          </w:p>
        </w:tc>
      </w:tr>
      <w:tr w14:paraId="69CC6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14EDEC0">
            <w:pPr>
              <w:pStyle w:val="445"/>
              <w:rPr>
                <w:rFonts w:cs="Times New Roman"/>
                <w:kern w:val="0"/>
                <w:szCs w:val="20"/>
              </w:rPr>
            </w:pPr>
          </w:p>
        </w:tc>
        <w:tc>
          <w:tcPr>
            <w:tcW w:w="629" w:type="pct"/>
            <w:vMerge w:val="continue"/>
            <w:vAlign w:val="center"/>
          </w:tcPr>
          <w:p w14:paraId="79C46761">
            <w:pPr>
              <w:pStyle w:val="445"/>
              <w:rPr>
                <w:rFonts w:cs="Times New Roman"/>
                <w:kern w:val="0"/>
                <w:szCs w:val="20"/>
              </w:rPr>
            </w:pPr>
          </w:p>
        </w:tc>
        <w:tc>
          <w:tcPr>
            <w:tcW w:w="1179" w:type="pct"/>
            <w:vAlign w:val="center"/>
          </w:tcPr>
          <w:p w14:paraId="7EBEE959">
            <w:pPr>
              <w:pStyle w:val="445"/>
              <w:rPr>
                <w:rFonts w:eastAsia="Times New Roman" w:cs="Times New Roman"/>
                <w:kern w:val="0"/>
                <w:szCs w:val="20"/>
              </w:rPr>
            </w:pPr>
            <w:r>
              <w:rPr>
                <w:rFonts w:cs="Times New Roman"/>
                <w:kern w:val="0"/>
                <w:szCs w:val="20"/>
              </w:rPr>
              <w:t>大气毒性终点浓度</w:t>
            </w:r>
            <w:r>
              <w:rPr>
                <w:rFonts w:eastAsia="Times New Roman" w:cs="Times New Roman"/>
                <w:kern w:val="0"/>
                <w:szCs w:val="20"/>
              </w:rPr>
              <w:t>-2</w:t>
            </w:r>
          </w:p>
        </w:tc>
        <w:tc>
          <w:tcPr>
            <w:tcW w:w="629" w:type="pct"/>
            <w:vAlign w:val="center"/>
          </w:tcPr>
          <w:p w14:paraId="7D0AF7EF">
            <w:pPr>
              <w:pStyle w:val="445"/>
              <w:rPr>
                <w:rFonts w:cs="Times New Roman"/>
                <w:kern w:val="0"/>
                <w:szCs w:val="20"/>
              </w:rPr>
            </w:pPr>
            <w:r>
              <w:rPr>
                <w:rFonts w:cs="Times New Roman"/>
                <w:kern w:val="0"/>
                <w:szCs w:val="20"/>
              </w:rPr>
              <w:t>20</w:t>
            </w:r>
          </w:p>
        </w:tc>
        <w:tc>
          <w:tcPr>
            <w:tcW w:w="901" w:type="pct"/>
            <w:gridSpan w:val="2"/>
            <w:vAlign w:val="center"/>
          </w:tcPr>
          <w:p w14:paraId="28D68EBA">
            <w:pPr>
              <w:pStyle w:val="445"/>
              <w:rPr>
                <w:rFonts w:cs="Times New Roman"/>
                <w:kern w:val="0"/>
                <w:szCs w:val="20"/>
              </w:rPr>
            </w:pPr>
            <w:r>
              <w:rPr>
                <w:rFonts w:cs="Times New Roman"/>
                <w:kern w:val="0"/>
                <w:szCs w:val="20"/>
              </w:rPr>
              <w:t>260</w:t>
            </w:r>
          </w:p>
        </w:tc>
        <w:tc>
          <w:tcPr>
            <w:tcW w:w="801" w:type="pct"/>
            <w:gridSpan w:val="2"/>
            <w:vAlign w:val="center"/>
          </w:tcPr>
          <w:p w14:paraId="4A2E35A2">
            <w:pPr>
              <w:pStyle w:val="445"/>
              <w:rPr>
                <w:rFonts w:cs="Times New Roman"/>
                <w:kern w:val="0"/>
                <w:szCs w:val="20"/>
              </w:rPr>
            </w:pPr>
            <w:r>
              <w:rPr>
                <w:rFonts w:hint="eastAsia" w:cs="Times New Roman"/>
                <w:kern w:val="0"/>
                <w:szCs w:val="20"/>
              </w:rPr>
              <w:t>/</w:t>
            </w:r>
          </w:p>
        </w:tc>
      </w:tr>
      <w:tr w14:paraId="3DD78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628A20ED">
            <w:pPr>
              <w:pStyle w:val="445"/>
              <w:rPr>
                <w:rFonts w:cs="Times New Roman"/>
                <w:kern w:val="0"/>
                <w:szCs w:val="20"/>
              </w:rPr>
            </w:pPr>
          </w:p>
        </w:tc>
        <w:tc>
          <w:tcPr>
            <w:tcW w:w="629" w:type="pct"/>
            <w:vMerge w:val="continue"/>
            <w:vAlign w:val="center"/>
          </w:tcPr>
          <w:p w14:paraId="681E0AE6">
            <w:pPr>
              <w:pStyle w:val="445"/>
              <w:rPr>
                <w:rFonts w:cs="Times New Roman"/>
                <w:kern w:val="0"/>
                <w:szCs w:val="20"/>
              </w:rPr>
            </w:pPr>
          </w:p>
        </w:tc>
        <w:tc>
          <w:tcPr>
            <w:tcW w:w="1179" w:type="pct"/>
            <w:vAlign w:val="center"/>
          </w:tcPr>
          <w:p w14:paraId="6394FB7C">
            <w:pPr>
              <w:pStyle w:val="445"/>
              <w:rPr>
                <w:rFonts w:cs="Times New Roman"/>
                <w:kern w:val="0"/>
                <w:szCs w:val="20"/>
              </w:rPr>
            </w:pPr>
            <w:r>
              <w:rPr>
                <w:rFonts w:cs="Times New Roman"/>
                <w:kern w:val="0"/>
                <w:szCs w:val="20"/>
              </w:rPr>
              <w:t>敏感目标名称</w:t>
            </w:r>
          </w:p>
        </w:tc>
        <w:tc>
          <w:tcPr>
            <w:tcW w:w="629" w:type="pct"/>
            <w:vAlign w:val="center"/>
          </w:tcPr>
          <w:p w14:paraId="6580AD65">
            <w:pPr>
              <w:pStyle w:val="445"/>
              <w:rPr>
                <w:rFonts w:eastAsia="Times New Roman" w:cs="Times New Roman"/>
                <w:kern w:val="0"/>
                <w:szCs w:val="20"/>
              </w:rPr>
            </w:pPr>
            <w:r>
              <w:rPr>
                <w:rFonts w:cs="Times New Roman"/>
                <w:spacing w:val="-1"/>
                <w:kern w:val="0"/>
                <w:szCs w:val="20"/>
              </w:rPr>
              <w:t>超标时间</w:t>
            </w:r>
            <w:r>
              <w:rPr>
                <w:rFonts w:eastAsia="Times New Roman" w:cs="Times New Roman"/>
                <w:spacing w:val="-1"/>
                <w:kern w:val="0"/>
                <w:szCs w:val="20"/>
              </w:rPr>
              <w:t>/min</w:t>
            </w:r>
          </w:p>
        </w:tc>
        <w:tc>
          <w:tcPr>
            <w:tcW w:w="901" w:type="pct"/>
            <w:gridSpan w:val="2"/>
            <w:vAlign w:val="center"/>
          </w:tcPr>
          <w:p w14:paraId="1488E45F">
            <w:pPr>
              <w:pStyle w:val="445"/>
              <w:rPr>
                <w:rFonts w:eastAsia="Times New Roman" w:cs="Times New Roman"/>
                <w:kern w:val="0"/>
                <w:szCs w:val="20"/>
              </w:rPr>
            </w:pPr>
            <w:r>
              <w:rPr>
                <w:rFonts w:cs="Times New Roman"/>
                <w:spacing w:val="-1"/>
                <w:kern w:val="0"/>
                <w:szCs w:val="20"/>
              </w:rPr>
              <w:t>超标持续时间</w:t>
            </w:r>
            <w:r>
              <w:rPr>
                <w:rFonts w:eastAsia="Times New Roman" w:cs="Times New Roman"/>
                <w:spacing w:val="-1"/>
                <w:kern w:val="0"/>
                <w:szCs w:val="20"/>
              </w:rPr>
              <w:t>/min</w:t>
            </w:r>
          </w:p>
        </w:tc>
        <w:tc>
          <w:tcPr>
            <w:tcW w:w="801" w:type="pct"/>
            <w:gridSpan w:val="2"/>
            <w:vAlign w:val="center"/>
          </w:tcPr>
          <w:p w14:paraId="62ADBA78">
            <w:pPr>
              <w:pStyle w:val="445"/>
              <w:rPr>
                <w:rFonts w:eastAsia="Times New Roman" w:cs="Times New Roman"/>
                <w:kern w:val="0"/>
                <w:szCs w:val="20"/>
              </w:rPr>
            </w:pPr>
            <w:r>
              <w:rPr>
                <w:rFonts w:cs="Times New Roman"/>
                <w:spacing w:val="-1"/>
                <w:kern w:val="0"/>
                <w:szCs w:val="20"/>
              </w:rPr>
              <w:t>最大浓度</w:t>
            </w:r>
            <w:r>
              <w:rPr>
                <w:rFonts w:eastAsia="Times New Roman" w:cs="Times New Roman"/>
                <w:spacing w:val="-1"/>
                <w:kern w:val="0"/>
                <w:szCs w:val="20"/>
              </w:rPr>
              <w:t>/(mg/m</w:t>
            </w:r>
            <w:r>
              <w:rPr>
                <w:rFonts w:cs="Times New Roman"/>
                <w:kern w:val="0"/>
                <w:szCs w:val="20"/>
                <w:vertAlign w:val="superscript"/>
              </w:rPr>
              <w:t>3</w:t>
            </w:r>
            <w:r>
              <w:rPr>
                <w:rFonts w:eastAsia="Times New Roman" w:cs="Times New Roman"/>
                <w:spacing w:val="-1"/>
                <w:kern w:val="0"/>
                <w:szCs w:val="20"/>
              </w:rPr>
              <w:t>)</w:t>
            </w:r>
          </w:p>
        </w:tc>
      </w:tr>
      <w:tr w14:paraId="4A8F7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0FC9AF68">
            <w:pPr>
              <w:pStyle w:val="445"/>
              <w:rPr>
                <w:rFonts w:cs="Times New Roman"/>
                <w:kern w:val="0"/>
                <w:szCs w:val="20"/>
              </w:rPr>
            </w:pPr>
          </w:p>
        </w:tc>
        <w:tc>
          <w:tcPr>
            <w:tcW w:w="629" w:type="pct"/>
            <w:vMerge w:val="continue"/>
            <w:vAlign w:val="center"/>
          </w:tcPr>
          <w:p w14:paraId="475AEDCA">
            <w:pPr>
              <w:pStyle w:val="445"/>
              <w:rPr>
                <w:rFonts w:cs="Times New Roman"/>
                <w:kern w:val="0"/>
                <w:szCs w:val="20"/>
              </w:rPr>
            </w:pPr>
          </w:p>
        </w:tc>
        <w:tc>
          <w:tcPr>
            <w:tcW w:w="1179" w:type="pct"/>
            <w:vAlign w:val="center"/>
          </w:tcPr>
          <w:p w14:paraId="06614364">
            <w:pPr>
              <w:pStyle w:val="445"/>
              <w:rPr>
                <w:rFonts w:cs="Times New Roman"/>
                <w:kern w:val="0"/>
                <w:szCs w:val="20"/>
              </w:rPr>
            </w:pPr>
            <w:r>
              <w:rPr>
                <w:rFonts w:hint="eastAsia" w:cs="Times New Roman"/>
                <w:kern w:val="0"/>
                <w:szCs w:val="20"/>
              </w:rPr>
              <w:t>/</w:t>
            </w:r>
          </w:p>
        </w:tc>
        <w:tc>
          <w:tcPr>
            <w:tcW w:w="629" w:type="pct"/>
            <w:vAlign w:val="center"/>
          </w:tcPr>
          <w:p w14:paraId="5C63011C">
            <w:pPr>
              <w:pStyle w:val="445"/>
              <w:rPr>
                <w:rFonts w:cs="Times New Roman"/>
                <w:kern w:val="0"/>
                <w:szCs w:val="20"/>
              </w:rPr>
            </w:pPr>
            <w:r>
              <w:rPr>
                <w:rFonts w:hint="eastAsia" w:cs="Times New Roman"/>
                <w:kern w:val="0"/>
                <w:szCs w:val="20"/>
              </w:rPr>
              <w:t>/</w:t>
            </w:r>
          </w:p>
        </w:tc>
        <w:tc>
          <w:tcPr>
            <w:tcW w:w="901" w:type="pct"/>
            <w:gridSpan w:val="2"/>
            <w:vAlign w:val="center"/>
          </w:tcPr>
          <w:p w14:paraId="5D2E6856">
            <w:pPr>
              <w:pStyle w:val="445"/>
              <w:rPr>
                <w:rFonts w:cs="Times New Roman"/>
                <w:kern w:val="0"/>
                <w:szCs w:val="20"/>
              </w:rPr>
            </w:pPr>
            <w:r>
              <w:rPr>
                <w:rFonts w:hint="eastAsia" w:cs="Times New Roman"/>
                <w:kern w:val="0"/>
                <w:szCs w:val="20"/>
              </w:rPr>
              <w:t>/</w:t>
            </w:r>
          </w:p>
        </w:tc>
        <w:tc>
          <w:tcPr>
            <w:tcW w:w="801" w:type="pct"/>
            <w:gridSpan w:val="2"/>
            <w:vAlign w:val="center"/>
          </w:tcPr>
          <w:p w14:paraId="58658AED">
            <w:pPr>
              <w:pStyle w:val="445"/>
              <w:rPr>
                <w:rFonts w:cs="Times New Roman"/>
                <w:kern w:val="0"/>
                <w:szCs w:val="20"/>
              </w:rPr>
            </w:pPr>
            <w:r>
              <w:rPr>
                <w:rFonts w:hint="eastAsia" w:cs="Times New Roman"/>
                <w:kern w:val="0"/>
                <w:szCs w:val="20"/>
              </w:rPr>
              <w:t>/</w:t>
            </w:r>
          </w:p>
        </w:tc>
      </w:tr>
      <w:tr w14:paraId="06A67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7DE9CED5">
            <w:pPr>
              <w:pStyle w:val="445"/>
              <w:rPr>
                <w:rFonts w:cs="Times New Roman"/>
                <w:kern w:val="0"/>
                <w:szCs w:val="20"/>
              </w:rPr>
            </w:pPr>
            <w:r>
              <w:rPr>
                <w:rFonts w:cs="Times New Roman"/>
                <w:kern w:val="0"/>
                <w:szCs w:val="20"/>
              </w:rPr>
              <w:t>地表水</w:t>
            </w:r>
          </w:p>
        </w:tc>
        <w:tc>
          <w:tcPr>
            <w:tcW w:w="629" w:type="pct"/>
            <w:vAlign w:val="center"/>
          </w:tcPr>
          <w:p w14:paraId="0DB0ACD4">
            <w:pPr>
              <w:pStyle w:val="445"/>
              <w:rPr>
                <w:rFonts w:cs="Times New Roman"/>
                <w:kern w:val="0"/>
                <w:szCs w:val="20"/>
              </w:rPr>
            </w:pPr>
            <w:r>
              <w:rPr>
                <w:rFonts w:cs="Times New Roman"/>
                <w:kern w:val="0"/>
                <w:szCs w:val="20"/>
              </w:rPr>
              <w:t>危险</w:t>
            </w:r>
          </w:p>
          <w:p w14:paraId="4DE306C6">
            <w:pPr>
              <w:pStyle w:val="445"/>
              <w:rPr>
                <w:rFonts w:cs="Times New Roman"/>
                <w:kern w:val="0"/>
                <w:szCs w:val="20"/>
              </w:rPr>
            </w:pPr>
            <w:r>
              <w:rPr>
                <w:rFonts w:cs="Times New Roman"/>
                <w:kern w:val="0"/>
                <w:szCs w:val="20"/>
              </w:rPr>
              <w:t>物质</w:t>
            </w:r>
          </w:p>
        </w:tc>
        <w:tc>
          <w:tcPr>
            <w:tcW w:w="3511" w:type="pct"/>
            <w:gridSpan w:val="6"/>
            <w:vAlign w:val="center"/>
          </w:tcPr>
          <w:p w14:paraId="1987B7E4">
            <w:pPr>
              <w:pStyle w:val="445"/>
              <w:rPr>
                <w:rFonts w:eastAsia="Times New Roman" w:cs="Times New Roman"/>
                <w:kern w:val="0"/>
                <w:szCs w:val="20"/>
              </w:rPr>
            </w:pPr>
            <w:r>
              <w:rPr>
                <w:rFonts w:cs="Times New Roman"/>
                <w:kern w:val="0"/>
                <w:szCs w:val="20"/>
              </w:rPr>
              <w:t>地表水环境影响</w:t>
            </w:r>
            <w:r>
              <w:rPr>
                <w:rFonts w:hint="eastAsia" w:cs="Times New Roman"/>
                <w:kern w:val="0"/>
                <w:szCs w:val="20"/>
                <w:vertAlign w:val="superscript"/>
              </w:rPr>
              <w:t>b</w:t>
            </w:r>
          </w:p>
        </w:tc>
      </w:tr>
      <w:tr w14:paraId="3EF6B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3B34E389">
            <w:pPr>
              <w:pStyle w:val="445"/>
              <w:rPr>
                <w:rFonts w:cs="Times New Roman"/>
                <w:kern w:val="0"/>
                <w:szCs w:val="20"/>
              </w:rPr>
            </w:pPr>
          </w:p>
        </w:tc>
        <w:tc>
          <w:tcPr>
            <w:tcW w:w="629" w:type="pct"/>
            <w:vMerge w:val="restart"/>
            <w:vAlign w:val="center"/>
          </w:tcPr>
          <w:p w14:paraId="7709E199">
            <w:pPr>
              <w:pStyle w:val="445"/>
              <w:rPr>
                <w:rFonts w:cs="Times New Roman"/>
                <w:kern w:val="0"/>
                <w:szCs w:val="20"/>
              </w:rPr>
            </w:pPr>
            <w:r>
              <w:rPr>
                <w:rFonts w:cs="Times New Roman"/>
                <w:kern w:val="0"/>
                <w:szCs w:val="20"/>
              </w:rPr>
              <w:t>/</w:t>
            </w:r>
          </w:p>
        </w:tc>
        <w:tc>
          <w:tcPr>
            <w:tcW w:w="1179" w:type="pct"/>
            <w:vAlign w:val="center"/>
          </w:tcPr>
          <w:p w14:paraId="51209AD3">
            <w:pPr>
              <w:pStyle w:val="445"/>
              <w:rPr>
                <w:rFonts w:cs="Times New Roman"/>
                <w:kern w:val="0"/>
                <w:szCs w:val="20"/>
              </w:rPr>
            </w:pPr>
            <w:r>
              <w:rPr>
                <w:rFonts w:cs="Times New Roman"/>
                <w:kern w:val="0"/>
                <w:szCs w:val="20"/>
              </w:rPr>
              <w:t>受纳水体名称</w:t>
            </w:r>
          </w:p>
        </w:tc>
        <w:tc>
          <w:tcPr>
            <w:tcW w:w="1100" w:type="pct"/>
            <w:gridSpan w:val="2"/>
            <w:vAlign w:val="center"/>
          </w:tcPr>
          <w:p w14:paraId="6AE06E63">
            <w:pPr>
              <w:pStyle w:val="445"/>
              <w:rPr>
                <w:rFonts w:eastAsia="Times New Roman" w:cs="Times New Roman"/>
                <w:kern w:val="0"/>
                <w:szCs w:val="20"/>
              </w:rPr>
            </w:pPr>
            <w:r>
              <w:rPr>
                <w:rFonts w:cs="Times New Roman"/>
                <w:kern w:val="0"/>
                <w:szCs w:val="20"/>
              </w:rPr>
              <w:t>最远超标距离</w:t>
            </w:r>
            <w:r>
              <w:rPr>
                <w:rFonts w:eastAsia="Times New Roman" w:cs="Times New Roman"/>
                <w:kern w:val="0"/>
                <w:szCs w:val="20"/>
              </w:rPr>
              <w:t>/m</w:t>
            </w:r>
          </w:p>
        </w:tc>
        <w:tc>
          <w:tcPr>
            <w:tcW w:w="1231" w:type="pct"/>
            <w:gridSpan w:val="3"/>
            <w:vAlign w:val="center"/>
          </w:tcPr>
          <w:p w14:paraId="3EF7AEB9">
            <w:pPr>
              <w:pStyle w:val="445"/>
              <w:rPr>
                <w:rFonts w:eastAsia="Times New Roman" w:cs="Times New Roman"/>
                <w:kern w:val="0"/>
                <w:szCs w:val="20"/>
              </w:rPr>
            </w:pPr>
            <w:r>
              <w:rPr>
                <w:rFonts w:cs="Times New Roman"/>
                <w:kern w:val="0"/>
                <w:szCs w:val="20"/>
              </w:rPr>
              <w:t>最远超标距离到达时间</w:t>
            </w:r>
            <w:r>
              <w:rPr>
                <w:rFonts w:eastAsia="Times New Roman" w:cs="Times New Roman"/>
                <w:kern w:val="0"/>
                <w:szCs w:val="20"/>
              </w:rPr>
              <w:t>/h</w:t>
            </w:r>
          </w:p>
        </w:tc>
      </w:tr>
      <w:tr w14:paraId="2FDE3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921CA59">
            <w:pPr>
              <w:pStyle w:val="445"/>
              <w:rPr>
                <w:rFonts w:cs="Times New Roman"/>
                <w:kern w:val="0"/>
                <w:szCs w:val="20"/>
              </w:rPr>
            </w:pPr>
          </w:p>
        </w:tc>
        <w:tc>
          <w:tcPr>
            <w:tcW w:w="629" w:type="pct"/>
            <w:vMerge w:val="continue"/>
            <w:vAlign w:val="center"/>
          </w:tcPr>
          <w:p w14:paraId="405C8489">
            <w:pPr>
              <w:pStyle w:val="445"/>
              <w:rPr>
                <w:rFonts w:cs="Times New Roman"/>
                <w:kern w:val="0"/>
                <w:szCs w:val="20"/>
              </w:rPr>
            </w:pPr>
          </w:p>
        </w:tc>
        <w:tc>
          <w:tcPr>
            <w:tcW w:w="1179" w:type="pct"/>
            <w:vAlign w:val="center"/>
          </w:tcPr>
          <w:p w14:paraId="38554B32">
            <w:pPr>
              <w:pStyle w:val="445"/>
              <w:rPr>
                <w:rFonts w:cs="Times New Roman"/>
                <w:kern w:val="0"/>
                <w:szCs w:val="20"/>
              </w:rPr>
            </w:pPr>
            <w:r>
              <w:rPr>
                <w:rFonts w:hint="eastAsia" w:cs="Times New Roman"/>
                <w:kern w:val="0"/>
                <w:szCs w:val="20"/>
              </w:rPr>
              <w:t>/</w:t>
            </w:r>
          </w:p>
        </w:tc>
        <w:tc>
          <w:tcPr>
            <w:tcW w:w="1100" w:type="pct"/>
            <w:gridSpan w:val="2"/>
            <w:vAlign w:val="center"/>
          </w:tcPr>
          <w:p w14:paraId="3B328552">
            <w:pPr>
              <w:pStyle w:val="445"/>
              <w:rPr>
                <w:rFonts w:cs="Times New Roman"/>
                <w:kern w:val="0"/>
                <w:szCs w:val="20"/>
              </w:rPr>
            </w:pPr>
            <w:r>
              <w:rPr>
                <w:rFonts w:hint="eastAsia" w:cs="Times New Roman"/>
                <w:kern w:val="0"/>
                <w:szCs w:val="20"/>
              </w:rPr>
              <w:t>/</w:t>
            </w:r>
          </w:p>
        </w:tc>
        <w:tc>
          <w:tcPr>
            <w:tcW w:w="1231" w:type="pct"/>
            <w:gridSpan w:val="3"/>
            <w:vAlign w:val="center"/>
          </w:tcPr>
          <w:p w14:paraId="1C31718F">
            <w:pPr>
              <w:pStyle w:val="445"/>
              <w:rPr>
                <w:rFonts w:cs="Times New Roman"/>
                <w:kern w:val="0"/>
                <w:szCs w:val="20"/>
              </w:rPr>
            </w:pPr>
            <w:r>
              <w:rPr>
                <w:rFonts w:hint="eastAsia" w:cs="Times New Roman"/>
                <w:kern w:val="0"/>
                <w:szCs w:val="20"/>
              </w:rPr>
              <w:t>/</w:t>
            </w:r>
          </w:p>
        </w:tc>
      </w:tr>
      <w:tr w14:paraId="76562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B9C06C3">
            <w:pPr>
              <w:pStyle w:val="445"/>
              <w:rPr>
                <w:rFonts w:cs="Times New Roman"/>
                <w:kern w:val="0"/>
                <w:szCs w:val="20"/>
              </w:rPr>
            </w:pPr>
          </w:p>
        </w:tc>
        <w:tc>
          <w:tcPr>
            <w:tcW w:w="629" w:type="pct"/>
            <w:vMerge w:val="continue"/>
            <w:vAlign w:val="center"/>
          </w:tcPr>
          <w:p w14:paraId="2BBC726F">
            <w:pPr>
              <w:pStyle w:val="445"/>
              <w:rPr>
                <w:rFonts w:cs="Times New Roman"/>
                <w:kern w:val="0"/>
                <w:szCs w:val="20"/>
              </w:rPr>
            </w:pPr>
          </w:p>
        </w:tc>
        <w:tc>
          <w:tcPr>
            <w:tcW w:w="1179" w:type="pct"/>
            <w:vAlign w:val="center"/>
          </w:tcPr>
          <w:p w14:paraId="777ECF15">
            <w:pPr>
              <w:pStyle w:val="445"/>
              <w:rPr>
                <w:rFonts w:cs="Times New Roman"/>
                <w:kern w:val="0"/>
                <w:szCs w:val="20"/>
              </w:rPr>
            </w:pPr>
            <w:r>
              <w:rPr>
                <w:rFonts w:cs="Times New Roman"/>
                <w:kern w:val="0"/>
                <w:szCs w:val="20"/>
              </w:rPr>
              <w:t>敏感目标名称</w:t>
            </w:r>
          </w:p>
        </w:tc>
        <w:tc>
          <w:tcPr>
            <w:tcW w:w="629" w:type="pct"/>
            <w:vAlign w:val="center"/>
          </w:tcPr>
          <w:p w14:paraId="56DB52C3">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/h</w:t>
            </w:r>
          </w:p>
        </w:tc>
        <w:tc>
          <w:tcPr>
            <w:tcW w:w="471" w:type="pct"/>
            <w:vAlign w:val="center"/>
          </w:tcPr>
          <w:p w14:paraId="3702DFAD">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/h</w:t>
            </w:r>
          </w:p>
        </w:tc>
        <w:tc>
          <w:tcPr>
            <w:tcW w:w="602" w:type="pct"/>
            <w:gridSpan w:val="2"/>
            <w:vAlign w:val="center"/>
          </w:tcPr>
          <w:p w14:paraId="044BCBB7">
            <w:pPr>
              <w:pStyle w:val="445"/>
              <w:rPr>
                <w:rFonts w:eastAsia="Times New Roman" w:cs="Times New Roman"/>
                <w:kern w:val="0"/>
                <w:szCs w:val="20"/>
              </w:rPr>
            </w:pPr>
            <w:r>
              <w:rPr>
                <w:rFonts w:cs="Times New Roman"/>
                <w:kern w:val="0"/>
                <w:szCs w:val="20"/>
              </w:rPr>
              <w:t>超标持续 时间</w:t>
            </w:r>
            <w:r>
              <w:rPr>
                <w:rFonts w:eastAsia="Times New Roman" w:cs="Times New Roman"/>
                <w:kern w:val="0"/>
                <w:szCs w:val="20"/>
              </w:rPr>
              <w:t>/h</w:t>
            </w:r>
          </w:p>
        </w:tc>
        <w:tc>
          <w:tcPr>
            <w:tcW w:w="629" w:type="pct"/>
            <w:vAlign w:val="center"/>
          </w:tcPr>
          <w:p w14:paraId="6AD2D31E">
            <w:pPr>
              <w:pStyle w:val="445"/>
              <w:rPr>
                <w:rFonts w:cs="Times New Roman"/>
                <w:kern w:val="0"/>
                <w:szCs w:val="20"/>
              </w:rPr>
            </w:pPr>
            <w:r>
              <w:rPr>
                <w:rFonts w:cs="Times New Roman"/>
                <w:kern w:val="0"/>
                <w:szCs w:val="20"/>
              </w:rPr>
              <w:t>最大浓度</w:t>
            </w:r>
          </w:p>
          <w:p w14:paraId="34FA031C">
            <w:pPr>
              <w:pStyle w:val="445"/>
              <w:rPr>
                <w:rFonts w:eastAsia="Times New Roman" w:cs="Times New Roman"/>
                <w:kern w:val="0"/>
                <w:szCs w:val="20"/>
              </w:rPr>
            </w:pPr>
            <w:r>
              <w:rPr>
                <w:rFonts w:cs="Times New Roman"/>
                <w:spacing w:val="-1"/>
                <w:kern w:val="0"/>
                <w:szCs w:val="20"/>
              </w:rPr>
              <w:t>/(mg/L)</w:t>
            </w:r>
          </w:p>
        </w:tc>
      </w:tr>
      <w:tr w14:paraId="1FB3D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61507E59">
            <w:pPr>
              <w:pStyle w:val="445"/>
              <w:rPr>
                <w:rFonts w:cs="Times New Roman"/>
                <w:kern w:val="0"/>
                <w:szCs w:val="20"/>
              </w:rPr>
            </w:pPr>
          </w:p>
        </w:tc>
        <w:tc>
          <w:tcPr>
            <w:tcW w:w="629" w:type="pct"/>
            <w:vMerge w:val="continue"/>
            <w:vAlign w:val="center"/>
          </w:tcPr>
          <w:p w14:paraId="680BFB90">
            <w:pPr>
              <w:pStyle w:val="445"/>
              <w:rPr>
                <w:rFonts w:cs="Times New Roman"/>
                <w:kern w:val="0"/>
                <w:szCs w:val="20"/>
              </w:rPr>
            </w:pPr>
          </w:p>
        </w:tc>
        <w:tc>
          <w:tcPr>
            <w:tcW w:w="1179" w:type="pct"/>
            <w:vAlign w:val="center"/>
          </w:tcPr>
          <w:p w14:paraId="2EBEBE59">
            <w:pPr>
              <w:pStyle w:val="445"/>
              <w:rPr>
                <w:rFonts w:cs="Times New Roman"/>
                <w:kern w:val="0"/>
                <w:szCs w:val="20"/>
              </w:rPr>
            </w:pPr>
            <w:r>
              <w:rPr>
                <w:rFonts w:hint="eastAsia" w:cs="Times New Roman"/>
                <w:kern w:val="0"/>
                <w:szCs w:val="20"/>
              </w:rPr>
              <w:t>/</w:t>
            </w:r>
          </w:p>
        </w:tc>
        <w:tc>
          <w:tcPr>
            <w:tcW w:w="629" w:type="pct"/>
            <w:vAlign w:val="center"/>
          </w:tcPr>
          <w:p w14:paraId="6699198C">
            <w:pPr>
              <w:pStyle w:val="445"/>
              <w:rPr>
                <w:rFonts w:cs="Times New Roman"/>
                <w:kern w:val="0"/>
                <w:szCs w:val="20"/>
              </w:rPr>
            </w:pPr>
            <w:r>
              <w:rPr>
                <w:rFonts w:hint="eastAsia" w:cs="Times New Roman"/>
                <w:kern w:val="0"/>
                <w:szCs w:val="20"/>
              </w:rPr>
              <w:t>/</w:t>
            </w:r>
          </w:p>
        </w:tc>
        <w:tc>
          <w:tcPr>
            <w:tcW w:w="471" w:type="pct"/>
            <w:vAlign w:val="center"/>
          </w:tcPr>
          <w:p w14:paraId="1A75F910">
            <w:pPr>
              <w:pStyle w:val="445"/>
              <w:rPr>
                <w:rFonts w:cs="Times New Roman"/>
                <w:kern w:val="0"/>
                <w:szCs w:val="20"/>
              </w:rPr>
            </w:pPr>
            <w:r>
              <w:rPr>
                <w:rFonts w:hint="eastAsia" w:cs="Times New Roman"/>
                <w:kern w:val="0"/>
                <w:szCs w:val="20"/>
              </w:rPr>
              <w:t>/</w:t>
            </w:r>
          </w:p>
        </w:tc>
        <w:tc>
          <w:tcPr>
            <w:tcW w:w="602" w:type="pct"/>
            <w:gridSpan w:val="2"/>
            <w:vAlign w:val="center"/>
          </w:tcPr>
          <w:p w14:paraId="3AE08F30">
            <w:pPr>
              <w:pStyle w:val="445"/>
              <w:rPr>
                <w:rFonts w:cs="Times New Roman"/>
                <w:kern w:val="0"/>
                <w:szCs w:val="20"/>
              </w:rPr>
            </w:pPr>
            <w:r>
              <w:rPr>
                <w:rFonts w:hint="eastAsia" w:cs="Times New Roman"/>
                <w:kern w:val="0"/>
                <w:szCs w:val="20"/>
              </w:rPr>
              <w:t>/</w:t>
            </w:r>
          </w:p>
        </w:tc>
        <w:tc>
          <w:tcPr>
            <w:tcW w:w="629" w:type="pct"/>
            <w:vAlign w:val="center"/>
          </w:tcPr>
          <w:p w14:paraId="53E1FD00">
            <w:pPr>
              <w:pStyle w:val="445"/>
              <w:rPr>
                <w:rFonts w:cs="Times New Roman"/>
                <w:kern w:val="0"/>
                <w:szCs w:val="20"/>
              </w:rPr>
            </w:pPr>
            <w:r>
              <w:rPr>
                <w:rFonts w:hint="eastAsia" w:cs="Times New Roman"/>
                <w:kern w:val="0"/>
                <w:szCs w:val="20"/>
              </w:rPr>
              <w:t>/</w:t>
            </w:r>
          </w:p>
        </w:tc>
      </w:tr>
      <w:tr w14:paraId="7E00C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restart"/>
            <w:vAlign w:val="center"/>
          </w:tcPr>
          <w:p w14:paraId="524B957A">
            <w:pPr>
              <w:pStyle w:val="445"/>
              <w:rPr>
                <w:rFonts w:cs="Times New Roman"/>
                <w:kern w:val="0"/>
                <w:szCs w:val="20"/>
              </w:rPr>
            </w:pPr>
            <w:r>
              <w:rPr>
                <w:rFonts w:cs="Times New Roman"/>
                <w:kern w:val="0"/>
                <w:szCs w:val="20"/>
              </w:rPr>
              <w:t>地下水</w:t>
            </w:r>
          </w:p>
        </w:tc>
        <w:tc>
          <w:tcPr>
            <w:tcW w:w="629" w:type="pct"/>
            <w:vAlign w:val="center"/>
          </w:tcPr>
          <w:p w14:paraId="38B2578A">
            <w:pPr>
              <w:pStyle w:val="445"/>
              <w:rPr>
                <w:rFonts w:cs="Times New Roman"/>
                <w:kern w:val="0"/>
                <w:szCs w:val="20"/>
              </w:rPr>
            </w:pPr>
            <w:r>
              <w:rPr>
                <w:rFonts w:cs="Times New Roman"/>
                <w:kern w:val="0"/>
                <w:szCs w:val="20"/>
              </w:rPr>
              <w:t>危险</w:t>
            </w:r>
          </w:p>
          <w:p w14:paraId="2CD52A64">
            <w:pPr>
              <w:pStyle w:val="445"/>
              <w:rPr>
                <w:rFonts w:cs="Times New Roman"/>
                <w:kern w:val="0"/>
                <w:szCs w:val="20"/>
              </w:rPr>
            </w:pPr>
            <w:r>
              <w:rPr>
                <w:rFonts w:cs="Times New Roman"/>
                <w:kern w:val="0"/>
                <w:szCs w:val="20"/>
              </w:rPr>
              <w:t>物质</w:t>
            </w:r>
          </w:p>
        </w:tc>
        <w:tc>
          <w:tcPr>
            <w:tcW w:w="3511" w:type="pct"/>
            <w:gridSpan w:val="6"/>
            <w:vAlign w:val="center"/>
          </w:tcPr>
          <w:p w14:paraId="08C80F54">
            <w:pPr>
              <w:pStyle w:val="445"/>
              <w:rPr>
                <w:rFonts w:cs="Times New Roman"/>
                <w:kern w:val="0"/>
                <w:szCs w:val="20"/>
              </w:rPr>
            </w:pPr>
            <w:r>
              <w:rPr>
                <w:rFonts w:cs="Times New Roman"/>
                <w:kern w:val="0"/>
                <w:szCs w:val="20"/>
              </w:rPr>
              <w:t>地下水环境影响</w:t>
            </w:r>
          </w:p>
        </w:tc>
      </w:tr>
      <w:tr w14:paraId="21E62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7F677689">
            <w:pPr>
              <w:pStyle w:val="445"/>
              <w:rPr>
                <w:rFonts w:cs="Times New Roman"/>
                <w:kern w:val="0"/>
                <w:szCs w:val="20"/>
              </w:rPr>
            </w:pPr>
          </w:p>
        </w:tc>
        <w:tc>
          <w:tcPr>
            <w:tcW w:w="629" w:type="pct"/>
            <w:vMerge w:val="restart"/>
            <w:vAlign w:val="center"/>
          </w:tcPr>
          <w:p w14:paraId="3F3B5497">
            <w:pPr>
              <w:pStyle w:val="445"/>
              <w:rPr>
                <w:rFonts w:cs="Times New Roman"/>
                <w:kern w:val="0"/>
                <w:szCs w:val="20"/>
              </w:rPr>
            </w:pPr>
            <w:r>
              <w:rPr>
                <w:rFonts w:cs="Times New Roman"/>
                <w:kern w:val="0"/>
                <w:szCs w:val="20"/>
              </w:rPr>
              <w:t>/</w:t>
            </w:r>
          </w:p>
        </w:tc>
        <w:tc>
          <w:tcPr>
            <w:tcW w:w="1179" w:type="pct"/>
            <w:vAlign w:val="center"/>
          </w:tcPr>
          <w:p w14:paraId="6228F135">
            <w:pPr>
              <w:pStyle w:val="445"/>
              <w:rPr>
                <w:rFonts w:cs="Times New Roman"/>
                <w:kern w:val="0"/>
                <w:szCs w:val="20"/>
              </w:rPr>
            </w:pPr>
            <w:r>
              <w:rPr>
                <w:rFonts w:cs="Times New Roman"/>
                <w:kern w:val="0"/>
                <w:szCs w:val="20"/>
              </w:rPr>
              <w:t>厂区边界</w:t>
            </w:r>
          </w:p>
        </w:tc>
        <w:tc>
          <w:tcPr>
            <w:tcW w:w="629" w:type="pct"/>
            <w:vAlign w:val="center"/>
          </w:tcPr>
          <w:p w14:paraId="57BA5B9D">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/d</w:t>
            </w:r>
          </w:p>
        </w:tc>
        <w:tc>
          <w:tcPr>
            <w:tcW w:w="471" w:type="pct"/>
            <w:vAlign w:val="center"/>
          </w:tcPr>
          <w:p w14:paraId="23597C50">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/d</w:t>
            </w:r>
          </w:p>
        </w:tc>
        <w:tc>
          <w:tcPr>
            <w:tcW w:w="602" w:type="pct"/>
            <w:gridSpan w:val="2"/>
            <w:vAlign w:val="center"/>
          </w:tcPr>
          <w:p w14:paraId="3B02E094">
            <w:pPr>
              <w:pStyle w:val="445"/>
              <w:rPr>
                <w:rFonts w:cs="Times New Roman"/>
                <w:kern w:val="0"/>
                <w:szCs w:val="20"/>
              </w:rPr>
            </w:pPr>
            <w:r>
              <w:rPr>
                <w:rFonts w:cs="Times New Roman"/>
                <w:kern w:val="0"/>
                <w:szCs w:val="20"/>
              </w:rPr>
              <w:t>超标持续</w:t>
            </w:r>
          </w:p>
          <w:p w14:paraId="786E6D99">
            <w:pPr>
              <w:pStyle w:val="445"/>
              <w:rPr>
                <w:rFonts w:eastAsia="Times New Roman" w:cs="Times New Roman"/>
                <w:kern w:val="0"/>
                <w:szCs w:val="20"/>
              </w:rPr>
            </w:pPr>
            <w:r>
              <w:rPr>
                <w:rFonts w:cs="Times New Roman"/>
                <w:kern w:val="0"/>
                <w:szCs w:val="20"/>
              </w:rPr>
              <w:t>时间</w:t>
            </w:r>
            <w:r>
              <w:rPr>
                <w:rFonts w:eastAsia="Times New Roman" w:cs="Times New Roman"/>
                <w:kern w:val="0"/>
                <w:szCs w:val="20"/>
              </w:rPr>
              <w:t>/d</w:t>
            </w:r>
          </w:p>
        </w:tc>
        <w:tc>
          <w:tcPr>
            <w:tcW w:w="629" w:type="pct"/>
            <w:vAlign w:val="center"/>
          </w:tcPr>
          <w:p w14:paraId="3F6F6CA2">
            <w:pPr>
              <w:pStyle w:val="445"/>
              <w:rPr>
                <w:rFonts w:cs="Times New Roman"/>
                <w:kern w:val="0"/>
                <w:szCs w:val="20"/>
              </w:rPr>
            </w:pPr>
            <w:r>
              <w:rPr>
                <w:rFonts w:cs="Times New Roman"/>
                <w:kern w:val="0"/>
                <w:szCs w:val="20"/>
              </w:rPr>
              <w:t>最大浓度</w:t>
            </w:r>
          </w:p>
          <w:p w14:paraId="30A76BFA">
            <w:pPr>
              <w:pStyle w:val="445"/>
              <w:rPr>
                <w:rFonts w:eastAsia="Times New Roman" w:cs="Times New Roman"/>
                <w:kern w:val="0"/>
                <w:szCs w:val="20"/>
              </w:rPr>
            </w:pPr>
            <w:r>
              <w:rPr>
                <w:rFonts w:cs="Times New Roman"/>
                <w:spacing w:val="-1"/>
                <w:kern w:val="0"/>
                <w:szCs w:val="20"/>
              </w:rPr>
              <w:t>/(mg/L)</w:t>
            </w:r>
          </w:p>
        </w:tc>
      </w:tr>
      <w:tr w14:paraId="4040A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15D6628B">
            <w:pPr>
              <w:pStyle w:val="445"/>
              <w:rPr>
                <w:rFonts w:cs="Times New Roman"/>
                <w:kern w:val="0"/>
                <w:szCs w:val="20"/>
              </w:rPr>
            </w:pPr>
          </w:p>
        </w:tc>
        <w:tc>
          <w:tcPr>
            <w:tcW w:w="629" w:type="pct"/>
            <w:vMerge w:val="continue"/>
            <w:vAlign w:val="center"/>
          </w:tcPr>
          <w:p w14:paraId="5C8F3C6C">
            <w:pPr>
              <w:pStyle w:val="445"/>
              <w:rPr>
                <w:rFonts w:cs="Times New Roman"/>
                <w:kern w:val="0"/>
                <w:szCs w:val="20"/>
              </w:rPr>
            </w:pPr>
          </w:p>
        </w:tc>
        <w:tc>
          <w:tcPr>
            <w:tcW w:w="1179" w:type="pct"/>
            <w:vAlign w:val="center"/>
          </w:tcPr>
          <w:p w14:paraId="7E0DD179">
            <w:pPr>
              <w:pStyle w:val="445"/>
              <w:rPr>
                <w:rFonts w:cs="Times New Roman"/>
                <w:kern w:val="0"/>
                <w:szCs w:val="20"/>
              </w:rPr>
            </w:pPr>
            <w:r>
              <w:rPr>
                <w:rFonts w:hint="eastAsia" w:cs="Times New Roman"/>
                <w:kern w:val="0"/>
                <w:szCs w:val="20"/>
              </w:rPr>
              <w:t>/</w:t>
            </w:r>
          </w:p>
        </w:tc>
        <w:tc>
          <w:tcPr>
            <w:tcW w:w="629" w:type="pct"/>
            <w:vAlign w:val="center"/>
          </w:tcPr>
          <w:p w14:paraId="732A11C7">
            <w:pPr>
              <w:pStyle w:val="445"/>
              <w:rPr>
                <w:rFonts w:cs="Times New Roman"/>
                <w:kern w:val="0"/>
                <w:szCs w:val="20"/>
              </w:rPr>
            </w:pPr>
            <w:r>
              <w:rPr>
                <w:rFonts w:hint="eastAsia" w:cs="Times New Roman"/>
                <w:kern w:val="0"/>
                <w:szCs w:val="20"/>
              </w:rPr>
              <w:t>/</w:t>
            </w:r>
          </w:p>
        </w:tc>
        <w:tc>
          <w:tcPr>
            <w:tcW w:w="471" w:type="pct"/>
            <w:vAlign w:val="center"/>
          </w:tcPr>
          <w:p w14:paraId="2FF90531">
            <w:pPr>
              <w:pStyle w:val="445"/>
              <w:rPr>
                <w:rFonts w:cs="Times New Roman"/>
                <w:kern w:val="0"/>
                <w:szCs w:val="20"/>
              </w:rPr>
            </w:pPr>
            <w:r>
              <w:rPr>
                <w:rFonts w:hint="eastAsia" w:cs="Times New Roman"/>
                <w:kern w:val="0"/>
                <w:szCs w:val="20"/>
              </w:rPr>
              <w:t>/</w:t>
            </w:r>
          </w:p>
        </w:tc>
        <w:tc>
          <w:tcPr>
            <w:tcW w:w="602" w:type="pct"/>
            <w:gridSpan w:val="2"/>
            <w:vAlign w:val="center"/>
          </w:tcPr>
          <w:p w14:paraId="7F48F30D">
            <w:pPr>
              <w:pStyle w:val="445"/>
              <w:rPr>
                <w:rFonts w:cs="Times New Roman"/>
                <w:kern w:val="0"/>
                <w:szCs w:val="20"/>
              </w:rPr>
            </w:pPr>
            <w:r>
              <w:rPr>
                <w:rFonts w:hint="eastAsia" w:cs="Times New Roman"/>
                <w:kern w:val="0"/>
                <w:szCs w:val="20"/>
              </w:rPr>
              <w:t>/</w:t>
            </w:r>
          </w:p>
        </w:tc>
        <w:tc>
          <w:tcPr>
            <w:tcW w:w="629" w:type="pct"/>
            <w:vAlign w:val="center"/>
          </w:tcPr>
          <w:p w14:paraId="2CA13A27">
            <w:pPr>
              <w:pStyle w:val="445"/>
              <w:rPr>
                <w:rFonts w:cs="Times New Roman"/>
                <w:kern w:val="0"/>
                <w:szCs w:val="20"/>
              </w:rPr>
            </w:pPr>
            <w:r>
              <w:rPr>
                <w:rFonts w:hint="eastAsia" w:cs="Times New Roman"/>
                <w:kern w:val="0"/>
                <w:szCs w:val="20"/>
              </w:rPr>
              <w:t>/</w:t>
            </w:r>
          </w:p>
        </w:tc>
      </w:tr>
      <w:tr w14:paraId="24F753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0BDAFE5F">
            <w:pPr>
              <w:pStyle w:val="445"/>
              <w:rPr>
                <w:rFonts w:cs="Times New Roman"/>
                <w:kern w:val="0"/>
                <w:szCs w:val="20"/>
              </w:rPr>
            </w:pPr>
          </w:p>
        </w:tc>
        <w:tc>
          <w:tcPr>
            <w:tcW w:w="629" w:type="pct"/>
            <w:vMerge w:val="continue"/>
            <w:vAlign w:val="center"/>
          </w:tcPr>
          <w:p w14:paraId="6B5D499E">
            <w:pPr>
              <w:pStyle w:val="445"/>
              <w:rPr>
                <w:rFonts w:cs="Times New Roman"/>
                <w:kern w:val="0"/>
                <w:szCs w:val="20"/>
              </w:rPr>
            </w:pPr>
          </w:p>
        </w:tc>
        <w:tc>
          <w:tcPr>
            <w:tcW w:w="1179" w:type="pct"/>
            <w:vAlign w:val="center"/>
          </w:tcPr>
          <w:p w14:paraId="74DE1AB2">
            <w:pPr>
              <w:pStyle w:val="445"/>
              <w:rPr>
                <w:rFonts w:cs="Times New Roman"/>
                <w:kern w:val="0"/>
                <w:szCs w:val="20"/>
              </w:rPr>
            </w:pPr>
            <w:r>
              <w:rPr>
                <w:rFonts w:cs="Times New Roman"/>
                <w:kern w:val="0"/>
                <w:szCs w:val="20"/>
              </w:rPr>
              <w:t>敏感目标名称</w:t>
            </w:r>
          </w:p>
        </w:tc>
        <w:tc>
          <w:tcPr>
            <w:tcW w:w="629" w:type="pct"/>
            <w:vAlign w:val="center"/>
          </w:tcPr>
          <w:p w14:paraId="07B318E0">
            <w:pPr>
              <w:pStyle w:val="445"/>
              <w:rPr>
                <w:rFonts w:eastAsia="Times New Roman" w:cs="Times New Roman"/>
                <w:kern w:val="0"/>
                <w:szCs w:val="20"/>
              </w:rPr>
            </w:pPr>
            <w:r>
              <w:rPr>
                <w:rFonts w:cs="Times New Roman"/>
                <w:kern w:val="0"/>
                <w:szCs w:val="20"/>
              </w:rPr>
              <w:t>到达时间</w:t>
            </w:r>
            <w:r>
              <w:rPr>
                <w:rFonts w:eastAsia="Times New Roman" w:cs="Times New Roman"/>
                <w:kern w:val="0"/>
                <w:szCs w:val="20"/>
              </w:rPr>
              <w:t>/d</w:t>
            </w:r>
          </w:p>
        </w:tc>
        <w:tc>
          <w:tcPr>
            <w:tcW w:w="471" w:type="pct"/>
            <w:vAlign w:val="center"/>
          </w:tcPr>
          <w:p w14:paraId="7CCE06BD">
            <w:pPr>
              <w:pStyle w:val="445"/>
              <w:rPr>
                <w:rFonts w:eastAsia="Times New Roman" w:cs="Times New Roman"/>
                <w:kern w:val="0"/>
                <w:szCs w:val="20"/>
              </w:rPr>
            </w:pPr>
            <w:r>
              <w:rPr>
                <w:rFonts w:cs="Times New Roman"/>
                <w:kern w:val="0"/>
                <w:szCs w:val="20"/>
              </w:rPr>
              <w:t>超标时间</w:t>
            </w:r>
            <w:r>
              <w:rPr>
                <w:rFonts w:eastAsia="Times New Roman" w:cs="Times New Roman"/>
                <w:kern w:val="0"/>
                <w:szCs w:val="20"/>
              </w:rPr>
              <w:t>/d</w:t>
            </w:r>
          </w:p>
        </w:tc>
        <w:tc>
          <w:tcPr>
            <w:tcW w:w="602" w:type="pct"/>
            <w:gridSpan w:val="2"/>
            <w:vAlign w:val="center"/>
          </w:tcPr>
          <w:p w14:paraId="06E577CD">
            <w:pPr>
              <w:pStyle w:val="445"/>
              <w:rPr>
                <w:rFonts w:eastAsia="Times New Roman" w:cs="Times New Roman"/>
                <w:kern w:val="0"/>
                <w:szCs w:val="20"/>
              </w:rPr>
            </w:pPr>
            <w:r>
              <w:rPr>
                <w:rFonts w:cs="Times New Roman"/>
                <w:kern w:val="0"/>
                <w:szCs w:val="20"/>
              </w:rPr>
              <w:t>超标持续 时间</w:t>
            </w:r>
            <w:r>
              <w:rPr>
                <w:rFonts w:eastAsia="Times New Roman" w:cs="Times New Roman"/>
                <w:kern w:val="0"/>
                <w:szCs w:val="20"/>
              </w:rPr>
              <w:t>/d</w:t>
            </w:r>
          </w:p>
        </w:tc>
        <w:tc>
          <w:tcPr>
            <w:tcW w:w="629" w:type="pct"/>
            <w:vAlign w:val="center"/>
          </w:tcPr>
          <w:p w14:paraId="2C319FC2">
            <w:pPr>
              <w:pStyle w:val="445"/>
              <w:rPr>
                <w:rFonts w:cs="Times New Roman"/>
                <w:kern w:val="0"/>
                <w:szCs w:val="20"/>
              </w:rPr>
            </w:pPr>
            <w:r>
              <w:rPr>
                <w:rFonts w:cs="Times New Roman"/>
                <w:kern w:val="0"/>
                <w:szCs w:val="20"/>
              </w:rPr>
              <w:t>最大浓度</w:t>
            </w:r>
          </w:p>
          <w:p w14:paraId="06CA965E">
            <w:pPr>
              <w:pStyle w:val="445"/>
              <w:rPr>
                <w:rFonts w:eastAsia="Times New Roman" w:cs="Times New Roman"/>
                <w:kern w:val="0"/>
                <w:szCs w:val="20"/>
              </w:rPr>
            </w:pPr>
            <w:r>
              <w:rPr>
                <w:rFonts w:cs="Times New Roman"/>
                <w:spacing w:val="-1"/>
                <w:kern w:val="0"/>
                <w:szCs w:val="20"/>
              </w:rPr>
              <w:t>/(mg/L)</w:t>
            </w:r>
          </w:p>
        </w:tc>
      </w:tr>
      <w:tr w14:paraId="40800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0" w:type="pct"/>
            <w:vMerge w:val="continue"/>
            <w:vAlign w:val="center"/>
          </w:tcPr>
          <w:p w14:paraId="3F3E42E2">
            <w:pPr>
              <w:pStyle w:val="445"/>
              <w:rPr>
                <w:rFonts w:cs="Times New Roman"/>
                <w:kern w:val="0"/>
                <w:szCs w:val="20"/>
              </w:rPr>
            </w:pPr>
          </w:p>
        </w:tc>
        <w:tc>
          <w:tcPr>
            <w:tcW w:w="629" w:type="pct"/>
            <w:vMerge w:val="continue"/>
            <w:vAlign w:val="center"/>
          </w:tcPr>
          <w:p w14:paraId="52989CA9">
            <w:pPr>
              <w:pStyle w:val="445"/>
              <w:rPr>
                <w:rFonts w:cs="Times New Roman"/>
                <w:kern w:val="0"/>
                <w:szCs w:val="20"/>
              </w:rPr>
            </w:pPr>
          </w:p>
        </w:tc>
        <w:tc>
          <w:tcPr>
            <w:tcW w:w="1179" w:type="pct"/>
            <w:vAlign w:val="center"/>
          </w:tcPr>
          <w:p w14:paraId="43BEE0F4">
            <w:pPr>
              <w:pStyle w:val="445"/>
              <w:rPr>
                <w:rFonts w:cs="Times New Roman"/>
                <w:kern w:val="0"/>
                <w:szCs w:val="20"/>
              </w:rPr>
            </w:pPr>
            <w:r>
              <w:rPr>
                <w:rFonts w:hint="eastAsia" w:cs="Times New Roman"/>
                <w:kern w:val="0"/>
                <w:szCs w:val="20"/>
              </w:rPr>
              <w:t>/</w:t>
            </w:r>
          </w:p>
        </w:tc>
        <w:tc>
          <w:tcPr>
            <w:tcW w:w="629" w:type="pct"/>
            <w:vAlign w:val="center"/>
          </w:tcPr>
          <w:p w14:paraId="0CC8B727">
            <w:pPr>
              <w:pStyle w:val="445"/>
              <w:rPr>
                <w:rFonts w:cs="Times New Roman"/>
                <w:kern w:val="0"/>
                <w:szCs w:val="20"/>
              </w:rPr>
            </w:pPr>
            <w:r>
              <w:rPr>
                <w:rFonts w:hint="eastAsia" w:cs="Times New Roman"/>
                <w:kern w:val="0"/>
                <w:szCs w:val="20"/>
              </w:rPr>
              <w:t>/</w:t>
            </w:r>
          </w:p>
        </w:tc>
        <w:tc>
          <w:tcPr>
            <w:tcW w:w="471" w:type="pct"/>
            <w:vAlign w:val="center"/>
          </w:tcPr>
          <w:p w14:paraId="0B2703BA">
            <w:pPr>
              <w:pStyle w:val="445"/>
              <w:rPr>
                <w:rFonts w:cs="Times New Roman"/>
                <w:kern w:val="0"/>
                <w:szCs w:val="20"/>
              </w:rPr>
            </w:pPr>
            <w:r>
              <w:rPr>
                <w:rFonts w:hint="eastAsia" w:cs="Times New Roman"/>
                <w:kern w:val="0"/>
                <w:szCs w:val="20"/>
              </w:rPr>
              <w:t>/</w:t>
            </w:r>
          </w:p>
        </w:tc>
        <w:tc>
          <w:tcPr>
            <w:tcW w:w="602" w:type="pct"/>
            <w:gridSpan w:val="2"/>
            <w:vAlign w:val="center"/>
          </w:tcPr>
          <w:p w14:paraId="72C69EA7">
            <w:pPr>
              <w:pStyle w:val="445"/>
              <w:rPr>
                <w:rFonts w:cs="Times New Roman"/>
                <w:kern w:val="0"/>
                <w:szCs w:val="20"/>
              </w:rPr>
            </w:pPr>
            <w:r>
              <w:rPr>
                <w:rFonts w:hint="eastAsia" w:cs="Times New Roman"/>
                <w:kern w:val="0"/>
                <w:szCs w:val="20"/>
              </w:rPr>
              <w:t>/</w:t>
            </w:r>
          </w:p>
        </w:tc>
        <w:tc>
          <w:tcPr>
            <w:tcW w:w="629" w:type="pct"/>
            <w:vAlign w:val="center"/>
          </w:tcPr>
          <w:p w14:paraId="48C173B0">
            <w:pPr>
              <w:pStyle w:val="445"/>
              <w:rPr>
                <w:rFonts w:cs="Times New Roman"/>
                <w:kern w:val="0"/>
                <w:szCs w:val="20"/>
              </w:rPr>
            </w:pPr>
            <w:r>
              <w:rPr>
                <w:rFonts w:hint="eastAsia" w:cs="Times New Roman"/>
                <w:kern w:val="0"/>
                <w:szCs w:val="20"/>
              </w:rPr>
              <w:t>/</w:t>
            </w:r>
          </w:p>
        </w:tc>
      </w:tr>
    </w:tbl>
    <w:p w14:paraId="57D3557E">
      <w:pPr>
        <w:ind w:firstLine="480"/>
      </w:pPr>
      <w:r>
        <w:rPr>
          <w:rFonts w:hint="eastAsia"/>
        </w:rPr>
        <w:t>本项目环境风险评价自查表见表</w:t>
      </w:r>
      <w:r>
        <w:t>5.6.8-4。</w:t>
      </w:r>
    </w:p>
    <w:p w14:paraId="61839BB6">
      <w:pPr>
        <w:tabs>
          <w:tab w:val="left" w:pos="2565"/>
          <w:tab w:val="center" w:pos="4513"/>
        </w:tabs>
        <w:spacing w:line="500" w:lineRule="exact"/>
        <w:ind w:firstLine="0" w:firstLineChars="0"/>
        <w:jc w:val="left"/>
        <w:rPr>
          <w:rFonts w:eastAsia="黑体"/>
        </w:rPr>
      </w:pPr>
      <w:r>
        <w:rPr>
          <w:rFonts w:eastAsia="黑体"/>
        </w:rPr>
        <w:tab/>
      </w:r>
      <w:r>
        <w:rPr>
          <w:rFonts w:eastAsia="黑体"/>
        </w:rPr>
        <w:tab/>
      </w:r>
      <w:r>
        <w:rPr>
          <w:rFonts w:hint="eastAsia" w:eastAsia="黑体"/>
        </w:rPr>
        <w:t>表</w:t>
      </w:r>
      <w:r>
        <w:rPr>
          <w:rFonts w:eastAsia="黑体"/>
        </w:rPr>
        <w:t xml:space="preserve">5.6.8-4  </w:t>
      </w:r>
      <w:r>
        <w:rPr>
          <w:rFonts w:hint="eastAsia" w:eastAsia="黑体"/>
        </w:rPr>
        <w:t>环境风险评价自查表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482"/>
        <w:gridCol w:w="998"/>
        <w:gridCol w:w="410"/>
        <w:gridCol w:w="211"/>
        <w:gridCol w:w="199"/>
        <w:gridCol w:w="332"/>
        <w:gridCol w:w="346"/>
        <w:gridCol w:w="275"/>
        <w:gridCol w:w="268"/>
        <w:gridCol w:w="263"/>
        <w:gridCol w:w="409"/>
        <w:gridCol w:w="32"/>
        <w:gridCol w:w="531"/>
        <w:gridCol w:w="178"/>
        <w:gridCol w:w="353"/>
        <w:gridCol w:w="122"/>
        <w:gridCol w:w="319"/>
        <w:gridCol w:w="201"/>
        <w:gridCol w:w="240"/>
        <w:gridCol w:w="39"/>
        <w:gridCol w:w="460"/>
        <w:gridCol w:w="681"/>
      </w:tblGrid>
      <w:tr w14:paraId="59ED3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Align w:val="center"/>
          </w:tcPr>
          <w:p w14:paraId="10F98643">
            <w:pPr>
              <w:widowControl/>
              <w:spacing w:line="360" w:lineRule="exact"/>
              <w:ind w:firstLine="0" w:firstLineChars="0"/>
              <w:jc w:val="center"/>
              <w:rPr>
                <w:rFonts w:cs="Times New Roman"/>
                <w:kern w:val="0"/>
                <w:sz w:val="18"/>
                <w:szCs w:val="20"/>
              </w:rPr>
            </w:pPr>
            <w:r>
              <w:rPr>
                <w:rFonts w:cs="Times New Roman"/>
                <w:kern w:val="0"/>
                <w:sz w:val="18"/>
                <w:szCs w:val="20"/>
              </w:rPr>
              <w:t>工作内容</w:t>
            </w:r>
          </w:p>
        </w:tc>
        <w:tc>
          <w:tcPr>
            <w:tcW w:w="3670" w:type="pct"/>
            <w:gridSpan w:val="21"/>
            <w:vAlign w:val="center"/>
          </w:tcPr>
          <w:p w14:paraId="4FA07674">
            <w:pPr>
              <w:widowControl/>
              <w:spacing w:line="360" w:lineRule="exact"/>
              <w:ind w:firstLine="0" w:firstLineChars="0"/>
              <w:jc w:val="center"/>
              <w:rPr>
                <w:rFonts w:cs="Times New Roman"/>
                <w:kern w:val="0"/>
                <w:sz w:val="18"/>
                <w:szCs w:val="20"/>
              </w:rPr>
            </w:pPr>
            <w:r>
              <w:rPr>
                <w:rFonts w:hint="eastAsia" w:cs="Times New Roman"/>
                <w:kern w:val="0"/>
                <w:sz w:val="18"/>
                <w:szCs w:val="20"/>
              </w:rPr>
              <w:t>完成</w:t>
            </w:r>
            <w:r>
              <w:rPr>
                <w:rFonts w:cs="Times New Roman"/>
                <w:kern w:val="0"/>
                <w:sz w:val="18"/>
                <w:szCs w:val="20"/>
              </w:rPr>
              <w:t>情况</w:t>
            </w:r>
          </w:p>
        </w:tc>
      </w:tr>
      <w:tr w14:paraId="6CD86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restart"/>
            <w:vAlign w:val="center"/>
          </w:tcPr>
          <w:p w14:paraId="7B603D71">
            <w:pPr>
              <w:widowControl/>
              <w:spacing w:line="360" w:lineRule="exact"/>
              <w:ind w:firstLine="0" w:firstLineChars="0"/>
              <w:jc w:val="center"/>
              <w:rPr>
                <w:rFonts w:cs="Times New Roman"/>
                <w:kern w:val="0"/>
                <w:sz w:val="18"/>
                <w:szCs w:val="20"/>
              </w:rPr>
            </w:pPr>
            <w:r>
              <w:rPr>
                <w:rFonts w:hint="eastAsia" w:cs="Times New Roman"/>
                <w:kern w:val="0"/>
                <w:sz w:val="18"/>
                <w:szCs w:val="20"/>
              </w:rPr>
              <w:t>风</w:t>
            </w:r>
          </w:p>
          <w:p w14:paraId="36221B7A">
            <w:pPr>
              <w:widowControl/>
              <w:spacing w:line="360" w:lineRule="exact"/>
              <w:ind w:firstLine="0" w:firstLineChars="0"/>
              <w:jc w:val="center"/>
              <w:rPr>
                <w:rFonts w:cs="Times New Roman"/>
                <w:kern w:val="0"/>
                <w:sz w:val="18"/>
                <w:szCs w:val="20"/>
              </w:rPr>
            </w:pPr>
            <w:r>
              <w:rPr>
                <w:rFonts w:hint="eastAsia" w:cs="Times New Roman"/>
                <w:kern w:val="0"/>
                <w:sz w:val="18"/>
                <w:szCs w:val="20"/>
              </w:rPr>
              <w:t>险</w:t>
            </w:r>
          </w:p>
          <w:p w14:paraId="5584E1DF">
            <w:pPr>
              <w:widowControl/>
              <w:spacing w:line="360" w:lineRule="exact"/>
              <w:ind w:firstLine="0" w:firstLineChars="0"/>
              <w:jc w:val="center"/>
              <w:rPr>
                <w:rFonts w:cs="Times New Roman"/>
                <w:kern w:val="0"/>
                <w:sz w:val="18"/>
                <w:szCs w:val="20"/>
              </w:rPr>
            </w:pPr>
            <w:r>
              <w:rPr>
                <w:rFonts w:cs="Times New Roman"/>
                <w:kern w:val="0"/>
                <w:sz w:val="18"/>
                <w:szCs w:val="20"/>
              </w:rPr>
              <w:t>调</w:t>
            </w:r>
          </w:p>
          <w:p w14:paraId="65DA1DF2">
            <w:pPr>
              <w:widowControl/>
              <w:spacing w:line="360" w:lineRule="exact"/>
              <w:ind w:firstLine="0" w:firstLineChars="0"/>
              <w:jc w:val="center"/>
              <w:rPr>
                <w:rFonts w:cs="Times New Roman"/>
                <w:kern w:val="0"/>
                <w:sz w:val="18"/>
                <w:szCs w:val="20"/>
              </w:rPr>
            </w:pPr>
            <w:r>
              <w:rPr>
                <w:rFonts w:cs="Times New Roman"/>
                <w:kern w:val="0"/>
                <w:sz w:val="18"/>
                <w:szCs w:val="20"/>
              </w:rPr>
              <w:t>查</w:t>
            </w:r>
          </w:p>
        </w:tc>
        <w:tc>
          <w:tcPr>
            <w:tcW w:w="824" w:type="pct"/>
            <w:vMerge w:val="restart"/>
            <w:vAlign w:val="center"/>
          </w:tcPr>
          <w:p w14:paraId="7BBBC95E">
            <w:pPr>
              <w:widowControl/>
              <w:spacing w:line="360" w:lineRule="exact"/>
              <w:ind w:firstLine="0" w:firstLineChars="0"/>
              <w:jc w:val="center"/>
              <w:rPr>
                <w:rFonts w:cs="Times New Roman"/>
                <w:kern w:val="0"/>
                <w:sz w:val="18"/>
                <w:szCs w:val="20"/>
              </w:rPr>
            </w:pPr>
            <w:r>
              <w:rPr>
                <w:rFonts w:hint="eastAsia" w:cs="Times New Roman"/>
                <w:kern w:val="0"/>
                <w:sz w:val="18"/>
                <w:szCs w:val="20"/>
              </w:rPr>
              <w:t>危险</w:t>
            </w:r>
            <w:r>
              <w:rPr>
                <w:rFonts w:cs="Times New Roman"/>
                <w:kern w:val="0"/>
                <w:sz w:val="18"/>
                <w:szCs w:val="20"/>
              </w:rPr>
              <w:t>物质</w:t>
            </w:r>
          </w:p>
        </w:tc>
        <w:tc>
          <w:tcPr>
            <w:tcW w:w="562" w:type="pct"/>
            <w:vAlign w:val="center"/>
          </w:tcPr>
          <w:p w14:paraId="6E291009">
            <w:pPr>
              <w:widowControl/>
              <w:spacing w:line="360" w:lineRule="exact"/>
              <w:ind w:firstLine="0" w:firstLineChars="0"/>
              <w:jc w:val="center"/>
              <w:rPr>
                <w:rFonts w:cs="Times New Roman"/>
                <w:kern w:val="0"/>
                <w:sz w:val="18"/>
                <w:szCs w:val="20"/>
              </w:rPr>
            </w:pPr>
            <w:r>
              <w:rPr>
                <w:rFonts w:cs="Times New Roman"/>
                <w:kern w:val="0"/>
                <w:sz w:val="18"/>
                <w:szCs w:val="20"/>
              </w:rPr>
              <w:t>名称</w:t>
            </w:r>
          </w:p>
        </w:tc>
        <w:tc>
          <w:tcPr>
            <w:tcW w:w="259" w:type="pct"/>
            <w:gridSpan w:val="2"/>
            <w:vAlign w:val="center"/>
          </w:tcPr>
          <w:p w14:paraId="5B384793">
            <w:pPr>
              <w:widowControl/>
              <w:spacing w:line="360" w:lineRule="exact"/>
              <w:ind w:firstLine="0" w:firstLineChars="0"/>
              <w:jc w:val="center"/>
              <w:rPr>
                <w:rFonts w:cs="Times New Roman"/>
                <w:kern w:val="0"/>
                <w:sz w:val="18"/>
                <w:szCs w:val="20"/>
              </w:rPr>
            </w:pPr>
            <w:r>
              <w:rPr>
                <w:rFonts w:hint="eastAsia" w:cs="Times New Roman"/>
                <w:kern w:val="0"/>
                <w:sz w:val="18"/>
                <w:szCs w:val="20"/>
              </w:rPr>
              <w:t>甲醇</w:t>
            </w:r>
          </w:p>
        </w:tc>
        <w:tc>
          <w:tcPr>
            <w:tcW w:w="259" w:type="pct"/>
            <w:gridSpan w:val="2"/>
            <w:vAlign w:val="center"/>
          </w:tcPr>
          <w:p w14:paraId="191EBA8F">
            <w:pPr>
              <w:widowControl/>
              <w:spacing w:line="360" w:lineRule="exact"/>
              <w:ind w:firstLine="0" w:firstLineChars="0"/>
              <w:jc w:val="center"/>
              <w:rPr>
                <w:rFonts w:cs="Times New Roman"/>
                <w:kern w:val="0"/>
                <w:sz w:val="18"/>
                <w:szCs w:val="20"/>
              </w:rPr>
            </w:pPr>
            <w:r>
              <w:rPr>
                <w:rFonts w:hint="eastAsia" w:cs="Times New Roman"/>
                <w:kern w:val="0"/>
                <w:sz w:val="18"/>
                <w:szCs w:val="20"/>
              </w:rPr>
              <w:t>氨水</w:t>
            </w:r>
          </w:p>
        </w:tc>
        <w:tc>
          <w:tcPr>
            <w:tcW w:w="260" w:type="pct"/>
            <w:gridSpan w:val="2"/>
            <w:vAlign w:val="center"/>
          </w:tcPr>
          <w:p w14:paraId="4BEA031F">
            <w:pPr>
              <w:widowControl/>
              <w:spacing w:line="360" w:lineRule="exact"/>
              <w:ind w:firstLine="0" w:firstLineChars="0"/>
              <w:jc w:val="center"/>
              <w:rPr>
                <w:rFonts w:cs="Times New Roman"/>
                <w:kern w:val="0"/>
                <w:sz w:val="18"/>
                <w:szCs w:val="20"/>
              </w:rPr>
            </w:pPr>
            <w:r>
              <w:rPr>
                <w:rFonts w:hint="eastAsia" w:cs="Times New Roman"/>
                <w:kern w:val="0"/>
                <w:sz w:val="18"/>
                <w:szCs w:val="20"/>
              </w:rPr>
              <w:t>盐酸</w:t>
            </w:r>
          </w:p>
        </w:tc>
        <w:tc>
          <w:tcPr>
            <w:tcW w:w="258" w:type="pct"/>
            <w:gridSpan w:val="2"/>
            <w:vAlign w:val="center"/>
          </w:tcPr>
          <w:p w14:paraId="2642B02F">
            <w:pPr>
              <w:widowControl/>
              <w:spacing w:line="360" w:lineRule="exact"/>
              <w:ind w:firstLine="0" w:firstLineChars="0"/>
              <w:jc w:val="center"/>
              <w:rPr>
                <w:rFonts w:cs="Times New Roman"/>
                <w:kern w:val="0"/>
                <w:sz w:val="18"/>
                <w:szCs w:val="20"/>
              </w:rPr>
            </w:pPr>
            <w:r>
              <w:rPr>
                <w:rFonts w:hint="eastAsia" w:cs="Times New Roman"/>
                <w:kern w:val="0"/>
                <w:sz w:val="18"/>
                <w:szCs w:val="20"/>
              </w:rPr>
              <w:t>氢氟酸</w:t>
            </w:r>
          </w:p>
        </w:tc>
        <w:tc>
          <w:tcPr>
            <w:tcW w:w="258" w:type="pct"/>
            <w:gridSpan w:val="2"/>
            <w:vAlign w:val="center"/>
          </w:tcPr>
          <w:p w14:paraId="676DD3A3">
            <w:pPr>
              <w:widowControl/>
              <w:spacing w:line="360" w:lineRule="exact"/>
              <w:ind w:firstLine="0" w:firstLineChars="0"/>
              <w:jc w:val="center"/>
              <w:rPr>
                <w:rFonts w:cs="Times New Roman"/>
                <w:kern w:val="0"/>
                <w:sz w:val="18"/>
                <w:szCs w:val="20"/>
              </w:rPr>
            </w:pPr>
            <w:r>
              <w:rPr>
                <w:rFonts w:hint="eastAsia" w:cs="Times New Roman"/>
                <w:kern w:val="0"/>
                <w:sz w:val="18"/>
                <w:szCs w:val="20"/>
              </w:rPr>
              <w:t>天然气</w:t>
            </w:r>
          </w:p>
        </w:tc>
        <w:tc>
          <w:tcPr>
            <w:tcW w:w="259" w:type="pct"/>
            <w:vAlign w:val="center"/>
          </w:tcPr>
          <w:p w14:paraId="278C3A59">
            <w:pPr>
              <w:widowControl/>
              <w:spacing w:line="360" w:lineRule="exact"/>
              <w:ind w:firstLine="0" w:firstLineChars="0"/>
              <w:jc w:val="center"/>
              <w:rPr>
                <w:rFonts w:cs="Times New Roman"/>
                <w:kern w:val="0"/>
                <w:sz w:val="18"/>
                <w:szCs w:val="20"/>
              </w:rPr>
            </w:pPr>
            <w:r>
              <w:rPr>
                <w:rFonts w:hint="eastAsia" w:cs="Times New Roman"/>
                <w:kern w:val="0"/>
                <w:sz w:val="18"/>
                <w:szCs w:val="20"/>
              </w:rPr>
              <w:t>硫酸</w:t>
            </w:r>
          </w:p>
        </w:tc>
        <w:tc>
          <w:tcPr>
            <w:tcW w:w="260" w:type="pct"/>
            <w:gridSpan w:val="2"/>
            <w:vAlign w:val="center"/>
          </w:tcPr>
          <w:p w14:paraId="297EFE23">
            <w:pPr>
              <w:widowControl/>
              <w:spacing w:line="360" w:lineRule="exact"/>
              <w:ind w:firstLine="0" w:firstLineChars="0"/>
              <w:jc w:val="center"/>
              <w:rPr>
                <w:rFonts w:cs="Times New Roman"/>
                <w:kern w:val="0"/>
                <w:sz w:val="18"/>
                <w:szCs w:val="20"/>
              </w:rPr>
            </w:pPr>
            <w:r>
              <w:rPr>
                <w:rFonts w:hint="eastAsia" w:cs="Times New Roman"/>
                <w:kern w:val="0"/>
                <w:sz w:val="18"/>
                <w:szCs w:val="20"/>
              </w:rPr>
              <w:t>硫酸铵</w:t>
            </w:r>
          </w:p>
        </w:tc>
        <w:tc>
          <w:tcPr>
            <w:tcW w:w="260" w:type="pct"/>
            <w:gridSpan w:val="2"/>
            <w:vAlign w:val="center"/>
          </w:tcPr>
          <w:p w14:paraId="07E84322">
            <w:pPr>
              <w:widowControl/>
              <w:spacing w:line="360" w:lineRule="exact"/>
              <w:ind w:firstLine="0" w:firstLineChars="0"/>
              <w:jc w:val="center"/>
              <w:rPr>
                <w:rFonts w:cs="Times New Roman"/>
                <w:kern w:val="0"/>
                <w:sz w:val="18"/>
                <w:szCs w:val="20"/>
              </w:rPr>
            </w:pPr>
            <w:r>
              <w:rPr>
                <w:rFonts w:hint="eastAsia" w:cs="Times New Roman"/>
                <w:kern w:val="0"/>
                <w:sz w:val="18"/>
                <w:szCs w:val="20"/>
              </w:rPr>
              <w:t>异丙醇</w:t>
            </w:r>
          </w:p>
        </w:tc>
        <w:tc>
          <w:tcPr>
            <w:tcW w:w="262" w:type="pct"/>
            <w:gridSpan w:val="2"/>
            <w:vAlign w:val="center"/>
          </w:tcPr>
          <w:p w14:paraId="49A738BB">
            <w:pPr>
              <w:widowControl/>
              <w:spacing w:line="360" w:lineRule="exact"/>
              <w:ind w:firstLine="0" w:firstLineChars="0"/>
              <w:jc w:val="center"/>
              <w:rPr>
                <w:rFonts w:cs="Times New Roman"/>
                <w:kern w:val="0"/>
                <w:sz w:val="18"/>
                <w:szCs w:val="20"/>
              </w:rPr>
            </w:pPr>
            <w:r>
              <w:rPr>
                <w:rFonts w:hint="eastAsia" w:cs="Times New Roman"/>
                <w:kern w:val="0"/>
                <w:sz w:val="18"/>
                <w:szCs w:val="20"/>
              </w:rPr>
              <w:t>氯化氢</w:t>
            </w:r>
          </w:p>
        </w:tc>
        <w:tc>
          <w:tcPr>
            <w:tcW w:w="382" w:type="pct"/>
            <w:gridSpan w:val="2"/>
            <w:vAlign w:val="center"/>
          </w:tcPr>
          <w:p w14:paraId="2F3833F4">
            <w:pPr>
              <w:widowControl/>
              <w:spacing w:line="360" w:lineRule="exact"/>
              <w:ind w:firstLine="0" w:firstLineChars="0"/>
              <w:jc w:val="center"/>
              <w:rPr>
                <w:rFonts w:cs="Times New Roman"/>
                <w:kern w:val="0"/>
                <w:sz w:val="18"/>
                <w:szCs w:val="20"/>
              </w:rPr>
            </w:pPr>
            <w:r>
              <w:rPr>
                <w:rFonts w:hint="eastAsia" w:cs="Times New Roman"/>
                <w:kern w:val="0"/>
                <w:sz w:val="18"/>
                <w:szCs w:val="20"/>
              </w:rPr>
              <w:t>油类</w:t>
            </w:r>
            <w:r>
              <w:rPr>
                <w:rFonts w:cs="Times New Roman"/>
                <w:kern w:val="0"/>
                <w:sz w:val="18"/>
                <w:szCs w:val="20"/>
              </w:rPr>
              <w:t>物质</w:t>
            </w:r>
          </w:p>
        </w:tc>
        <w:tc>
          <w:tcPr>
            <w:tcW w:w="391" w:type="pct"/>
            <w:vAlign w:val="center"/>
          </w:tcPr>
          <w:p w14:paraId="1A2DDF33">
            <w:pPr>
              <w:widowControl/>
              <w:spacing w:line="360" w:lineRule="exact"/>
              <w:ind w:firstLine="0" w:firstLineChars="0"/>
              <w:jc w:val="center"/>
              <w:rPr>
                <w:rFonts w:cs="Times New Roman"/>
                <w:kern w:val="0"/>
                <w:sz w:val="18"/>
                <w:szCs w:val="20"/>
              </w:rPr>
            </w:pPr>
            <w:r>
              <w:rPr>
                <w:rFonts w:hint="eastAsia" w:cs="Times New Roman"/>
                <w:kern w:val="0"/>
                <w:sz w:val="18"/>
                <w:szCs w:val="20"/>
              </w:rPr>
              <w:t>烯丙基缩水甘油醚</w:t>
            </w:r>
          </w:p>
        </w:tc>
      </w:tr>
      <w:tr w14:paraId="473F3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45D70820">
            <w:pPr>
              <w:widowControl/>
              <w:spacing w:line="360" w:lineRule="exact"/>
              <w:ind w:firstLine="0" w:firstLineChars="0"/>
              <w:jc w:val="center"/>
              <w:rPr>
                <w:rFonts w:cs="Times New Roman"/>
                <w:kern w:val="0"/>
                <w:sz w:val="18"/>
                <w:szCs w:val="20"/>
              </w:rPr>
            </w:pPr>
          </w:p>
        </w:tc>
        <w:tc>
          <w:tcPr>
            <w:tcW w:w="824" w:type="pct"/>
            <w:vMerge w:val="continue"/>
            <w:vAlign w:val="center"/>
          </w:tcPr>
          <w:p w14:paraId="655F999A">
            <w:pPr>
              <w:widowControl/>
              <w:spacing w:line="360" w:lineRule="exact"/>
              <w:ind w:firstLine="0" w:firstLineChars="0"/>
              <w:jc w:val="center"/>
              <w:rPr>
                <w:rFonts w:cs="Times New Roman"/>
                <w:kern w:val="0"/>
                <w:sz w:val="18"/>
                <w:szCs w:val="20"/>
              </w:rPr>
            </w:pPr>
          </w:p>
        </w:tc>
        <w:tc>
          <w:tcPr>
            <w:tcW w:w="562" w:type="pct"/>
            <w:vAlign w:val="center"/>
          </w:tcPr>
          <w:p w14:paraId="1F948AF4">
            <w:pPr>
              <w:widowControl/>
              <w:spacing w:line="360" w:lineRule="exact"/>
              <w:ind w:firstLine="0" w:firstLineChars="0"/>
              <w:jc w:val="center"/>
              <w:rPr>
                <w:rFonts w:cs="Times New Roman"/>
                <w:kern w:val="0"/>
                <w:sz w:val="18"/>
                <w:szCs w:val="20"/>
              </w:rPr>
            </w:pPr>
            <w:r>
              <w:rPr>
                <w:rFonts w:cs="Times New Roman"/>
                <w:kern w:val="0"/>
                <w:sz w:val="18"/>
                <w:szCs w:val="20"/>
              </w:rPr>
              <w:t>存在总量</w:t>
            </w:r>
            <w:r>
              <w:rPr>
                <w:rFonts w:hint="eastAsia" w:cs="Times New Roman"/>
                <w:kern w:val="0"/>
                <w:sz w:val="18"/>
                <w:szCs w:val="20"/>
              </w:rPr>
              <w:t>/t</w:t>
            </w:r>
          </w:p>
        </w:tc>
        <w:tc>
          <w:tcPr>
            <w:tcW w:w="259" w:type="pct"/>
            <w:gridSpan w:val="2"/>
            <w:vAlign w:val="center"/>
          </w:tcPr>
          <w:p w14:paraId="6F6DC0AF">
            <w:pPr>
              <w:widowControl/>
              <w:spacing w:line="360" w:lineRule="exact"/>
              <w:ind w:firstLine="0" w:firstLineChars="0"/>
              <w:jc w:val="center"/>
              <w:rPr>
                <w:rFonts w:cs="Times New Roman"/>
                <w:kern w:val="0"/>
                <w:sz w:val="18"/>
                <w:szCs w:val="20"/>
              </w:rPr>
            </w:pPr>
            <w:r>
              <w:rPr>
                <w:rFonts w:hint="eastAsia" w:cs="Times New Roman"/>
                <w:kern w:val="0"/>
                <w:sz w:val="18"/>
                <w:szCs w:val="20"/>
              </w:rPr>
              <w:t>444.6</w:t>
            </w:r>
          </w:p>
        </w:tc>
        <w:tc>
          <w:tcPr>
            <w:tcW w:w="259" w:type="pct"/>
            <w:gridSpan w:val="2"/>
            <w:vAlign w:val="center"/>
          </w:tcPr>
          <w:p w14:paraId="6085F0DC">
            <w:pPr>
              <w:widowControl/>
              <w:spacing w:line="360" w:lineRule="exact"/>
              <w:ind w:firstLine="0" w:firstLineChars="0"/>
              <w:jc w:val="center"/>
              <w:rPr>
                <w:rFonts w:cs="Times New Roman"/>
                <w:kern w:val="0"/>
                <w:sz w:val="18"/>
                <w:szCs w:val="20"/>
              </w:rPr>
            </w:pPr>
            <w:r>
              <w:rPr>
                <w:rFonts w:cs="Times New Roman"/>
                <w:kern w:val="0"/>
                <w:sz w:val="18"/>
                <w:szCs w:val="20"/>
              </w:rPr>
              <w:t>13.2</w:t>
            </w:r>
          </w:p>
        </w:tc>
        <w:tc>
          <w:tcPr>
            <w:tcW w:w="260" w:type="pct"/>
            <w:gridSpan w:val="2"/>
            <w:vAlign w:val="center"/>
          </w:tcPr>
          <w:p w14:paraId="3AEFB7C6">
            <w:pPr>
              <w:widowControl/>
              <w:spacing w:line="360" w:lineRule="exact"/>
              <w:ind w:firstLine="0" w:firstLineChars="0"/>
              <w:jc w:val="center"/>
              <w:rPr>
                <w:rFonts w:cs="Times New Roman"/>
                <w:kern w:val="0"/>
                <w:sz w:val="18"/>
                <w:szCs w:val="20"/>
              </w:rPr>
            </w:pPr>
            <w:r>
              <w:rPr>
                <w:rFonts w:cs="Times New Roman"/>
                <w:kern w:val="0"/>
                <w:sz w:val="18"/>
                <w:szCs w:val="20"/>
              </w:rPr>
              <w:t>10.56</w:t>
            </w:r>
          </w:p>
        </w:tc>
        <w:tc>
          <w:tcPr>
            <w:tcW w:w="258" w:type="pct"/>
            <w:gridSpan w:val="2"/>
            <w:vAlign w:val="center"/>
          </w:tcPr>
          <w:p w14:paraId="3FDD668C">
            <w:pPr>
              <w:widowControl/>
              <w:spacing w:line="360" w:lineRule="exact"/>
              <w:ind w:firstLine="0" w:firstLineChars="0"/>
              <w:jc w:val="center"/>
              <w:rPr>
                <w:rFonts w:cs="Times New Roman"/>
                <w:kern w:val="0"/>
                <w:sz w:val="18"/>
                <w:szCs w:val="20"/>
              </w:rPr>
            </w:pPr>
            <w:r>
              <w:rPr>
                <w:rFonts w:cs="Times New Roman"/>
                <w:kern w:val="0"/>
                <w:sz w:val="18"/>
                <w:szCs w:val="20"/>
              </w:rPr>
              <w:t>19.2</w:t>
            </w:r>
          </w:p>
        </w:tc>
        <w:tc>
          <w:tcPr>
            <w:tcW w:w="258" w:type="pct"/>
            <w:gridSpan w:val="2"/>
            <w:vAlign w:val="center"/>
          </w:tcPr>
          <w:p w14:paraId="2BB3E10D">
            <w:pPr>
              <w:widowControl/>
              <w:spacing w:line="360" w:lineRule="exact"/>
              <w:ind w:firstLine="0" w:firstLineChars="0"/>
              <w:jc w:val="center"/>
              <w:rPr>
                <w:rFonts w:cs="Times New Roman"/>
                <w:kern w:val="0"/>
                <w:sz w:val="18"/>
                <w:szCs w:val="20"/>
              </w:rPr>
            </w:pPr>
            <w:r>
              <w:rPr>
                <w:rFonts w:cs="Times New Roman"/>
                <w:kern w:val="0"/>
                <w:sz w:val="18"/>
                <w:szCs w:val="20"/>
              </w:rPr>
              <w:t>0.2</w:t>
            </w:r>
          </w:p>
        </w:tc>
        <w:tc>
          <w:tcPr>
            <w:tcW w:w="259" w:type="pct"/>
            <w:vAlign w:val="center"/>
          </w:tcPr>
          <w:p w14:paraId="114DA705">
            <w:pPr>
              <w:widowControl/>
              <w:spacing w:line="360" w:lineRule="exact"/>
              <w:ind w:firstLine="0" w:firstLineChars="0"/>
              <w:jc w:val="center"/>
              <w:rPr>
                <w:rFonts w:cs="Times New Roman"/>
                <w:kern w:val="0"/>
                <w:sz w:val="18"/>
                <w:szCs w:val="20"/>
              </w:rPr>
            </w:pPr>
            <w:r>
              <w:rPr>
                <w:rFonts w:hint="eastAsia" w:cs="Times New Roman"/>
                <w:kern w:val="0"/>
                <w:sz w:val="18"/>
                <w:szCs w:val="20"/>
              </w:rPr>
              <w:t>14.</w:t>
            </w:r>
            <w:r>
              <w:rPr>
                <w:rFonts w:cs="Times New Roman"/>
                <w:kern w:val="0"/>
                <w:sz w:val="18"/>
                <w:szCs w:val="20"/>
              </w:rPr>
              <w:t>6</w:t>
            </w:r>
          </w:p>
        </w:tc>
        <w:tc>
          <w:tcPr>
            <w:tcW w:w="260" w:type="pct"/>
            <w:gridSpan w:val="2"/>
            <w:vAlign w:val="center"/>
          </w:tcPr>
          <w:p w14:paraId="7A035E23">
            <w:pPr>
              <w:widowControl/>
              <w:spacing w:line="360" w:lineRule="exact"/>
              <w:ind w:firstLine="0" w:firstLineChars="0"/>
              <w:jc w:val="center"/>
              <w:rPr>
                <w:rFonts w:cs="Times New Roman"/>
                <w:kern w:val="0"/>
                <w:sz w:val="18"/>
                <w:szCs w:val="20"/>
              </w:rPr>
            </w:pPr>
            <w:r>
              <w:rPr>
                <w:rFonts w:hint="eastAsia" w:cs="Times New Roman"/>
                <w:kern w:val="0"/>
                <w:sz w:val="18"/>
                <w:szCs w:val="20"/>
              </w:rPr>
              <w:t>3</w:t>
            </w:r>
            <w:r>
              <w:rPr>
                <w:rFonts w:cs="Times New Roman"/>
                <w:kern w:val="0"/>
                <w:sz w:val="18"/>
                <w:szCs w:val="20"/>
              </w:rPr>
              <w:t>3.6</w:t>
            </w:r>
          </w:p>
        </w:tc>
        <w:tc>
          <w:tcPr>
            <w:tcW w:w="260" w:type="pct"/>
            <w:gridSpan w:val="2"/>
            <w:vAlign w:val="center"/>
          </w:tcPr>
          <w:p w14:paraId="6E3F51BC">
            <w:pPr>
              <w:widowControl/>
              <w:spacing w:line="360" w:lineRule="exact"/>
              <w:ind w:firstLine="0" w:firstLineChars="0"/>
              <w:jc w:val="center"/>
              <w:rPr>
                <w:rFonts w:cs="Times New Roman"/>
                <w:kern w:val="0"/>
                <w:sz w:val="18"/>
                <w:szCs w:val="20"/>
              </w:rPr>
            </w:pPr>
            <w:r>
              <w:rPr>
                <w:rFonts w:hint="eastAsia" w:cs="Times New Roman"/>
                <w:kern w:val="0"/>
                <w:sz w:val="18"/>
                <w:szCs w:val="20"/>
              </w:rPr>
              <w:t>0.1</w:t>
            </w:r>
          </w:p>
        </w:tc>
        <w:tc>
          <w:tcPr>
            <w:tcW w:w="261" w:type="pct"/>
            <w:gridSpan w:val="2"/>
            <w:vAlign w:val="center"/>
          </w:tcPr>
          <w:p w14:paraId="6B0D21E3">
            <w:pPr>
              <w:widowControl/>
              <w:spacing w:line="360" w:lineRule="exact"/>
              <w:ind w:firstLine="0" w:firstLineChars="0"/>
              <w:jc w:val="center"/>
              <w:rPr>
                <w:rFonts w:cs="Times New Roman"/>
                <w:kern w:val="0"/>
                <w:sz w:val="18"/>
                <w:szCs w:val="20"/>
              </w:rPr>
            </w:pPr>
            <w:r>
              <w:rPr>
                <w:rFonts w:hint="eastAsia" w:cs="Times New Roman"/>
                <w:kern w:val="0"/>
                <w:sz w:val="18"/>
                <w:szCs w:val="20"/>
              </w:rPr>
              <w:t>1</w:t>
            </w:r>
            <w:r>
              <w:rPr>
                <w:rFonts w:cs="Times New Roman"/>
                <w:kern w:val="0"/>
                <w:sz w:val="18"/>
                <w:szCs w:val="20"/>
              </w:rPr>
              <w:t>.1</w:t>
            </w:r>
          </w:p>
        </w:tc>
        <w:tc>
          <w:tcPr>
            <w:tcW w:w="382" w:type="pct"/>
            <w:gridSpan w:val="2"/>
            <w:vAlign w:val="center"/>
          </w:tcPr>
          <w:p w14:paraId="71D9EEB5">
            <w:pPr>
              <w:widowControl/>
              <w:spacing w:line="360" w:lineRule="exact"/>
              <w:ind w:firstLine="0" w:firstLineChars="0"/>
              <w:jc w:val="center"/>
              <w:rPr>
                <w:rFonts w:cs="Times New Roman"/>
                <w:kern w:val="0"/>
                <w:sz w:val="18"/>
                <w:szCs w:val="20"/>
              </w:rPr>
            </w:pPr>
            <w:r>
              <w:rPr>
                <w:rFonts w:hint="eastAsia" w:cs="Times New Roman"/>
                <w:kern w:val="0"/>
                <w:sz w:val="18"/>
                <w:szCs w:val="20"/>
              </w:rPr>
              <w:t>61</w:t>
            </w:r>
          </w:p>
        </w:tc>
        <w:tc>
          <w:tcPr>
            <w:tcW w:w="391" w:type="pct"/>
            <w:vAlign w:val="center"/>
          </w:tcPr>
          <w:p w14:paraId="50A78FA9">
            <w:pPr>
              <w:widowControl/>
              <w:spacing w:line="360" w:lineRule="exact"/>
              <w:ind w:firstLine="0" w:firstLineChars="0"/>
              <w:jc w:val="center"/>
              <w:rPr>
                <w:rFonts w:cs="Times New Roman"/>
                <w:kern w:val="0"/>
                <w:sz w:val="18"/>
                <w:szCs w:val="20"/>
              </w:rPr>
            </w:pPr>
            <w:r>
              <w:rPr>
                <w:rFonts w:cs="Times New Roman"/>
                <w:kern w:val="0"/>
                <w:sz w:val="18"/>
                <w:szCs w:val="20"/>
              </w:rPr>
              <w:t>60.2</w:t>
            </w:r>
          </w:p>
        </w:tc>
      </w:tr>
      <w:tr w14:paraId="4068F7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5ED24C4A">
            <w:pPr>
              <w:widowControl/>
              <w:spacing w:line="360" w:lineRule="exact"/>
              <w:ind w:firstLine="0" w:firstLineChars="0"/>
              <w:jc w:val="center"/>
              <w:rPr>
                <w:rFonts w:cs="Times New Roman"/>
                <w:kern w:val="0"/>
                <w:sz w:val="18"/>
                <w:szCs w:val="20"/>
              </w:rPr>
            </w:pPr>
          </w:p>
        </w:tc>
        <w:tc>
          <w:tcPr>
            <w:tcW w:w="824" w:type="pct"/>
            <w:vMerge w:val="restart"/>
            <w:vAlign w:val="center"/>
          </w:tcPr>
          <w:p w14:paraId="44C5AA3E">
            <w:pPr>
              <w:widowControl/>
              <w:spacing w:line="360" w:lineRule="exact"/>
              <w:ind w:firstLine="0" w:firstLineChars="0"/>
              <w:jc w:val="center"/>
              <w:rPr>
                <w:rFonts w:cs="Times New Roman"/>
                <w:kern w:val="0"/>
                <w:sz w:val="18"/>
                <w:szCs w:val="20"/>
              </w:rPr>
            </w:pPr>
            <w:r>
              <w:rPr>
                <w:rFonts w:cs="Times New Roman"/>
                <w:kern w:val="0"/>
                <w:sz w:val="18"/>
                <w:szCs w:val="20"/>
              </w:rPr>
              <w:t>环境敏感性</w:t>
            </w:r>
          </w:p>
        </w:tc>
        <w:tc>
          <w:tcPr>
            <w:tcW w:w="562" w:type="pct"/>
            <w:vMerge w:val="restart"/>
            <w:vAlign w:val="center"/>
          </w:tcPr>
          <w:p w14:paraId="6E20F3EC">
            <w:pPr>
              <w:widowControl/>
              <w:spacing w:line="360" w:lineRule="exact"/>
              <w:ind w:firstLine="0" w:firstLineChars="0"/>
              <w:jc w:val="center"/>
              <w:rPr>
                <w:rFonts w:cs="Times New Roman"/>
                <w:kern w:val="0"/>
                <w:sz w:val="18"/>
                <w:szCs w:val="20"/>
              </w:rPr>
            </w:pPr>
            <w:r>
              <w:rPr>
                <w:rFonts w:cs="Times New Roman"/>
                <w:kern w:val="0"/>
                <w:sz w:val="18"/>
                <w:szCs w:val="20"/>
              </w:rPr>
              <w:t>大气</w:t>
            </w:r>
          </w:p>
        </w:tc>
        <w:tc>
          <w:tcPr>
            <w:tcW w:w="1553" w:type="pct"/>
            <w:gridSpan w:val="11"/>
            <w:vAlign w:val="center"/>
          </w:tcPr>
          <w:p w14:paraId="013A980E">
            <w:pPr>
              <w:widowControl/>
              <w:spacing w:line="360" w:lineRule="exact"/>
              <w:ind w:firstLine="0" w:firstLineChars="0"/>
              <w:jc w:val="center"/>
              <w:rPr>
                <w:rFonts w:cs="Times New Roman"/>
                <w:kern w:val="0"/>
                <w:sz w:val="18"/>
                <w:szCs w:val="20"/>
              </w:rPr>
            </w:pPr>
            <w:r>
              <w:rPr>
                <w:rFonts w:hint="eastAsia" w:cs="Times New Roman"/>
                <w:kern w:val="0"/>
                <w:sz w:val="18"/>
                <w:szCs w:val="20"/>
              </w:rPr>
              <w:t>500m范围内人口数</w:t>
            </w:r>
            <w:r>
              <w:rPr>
                <w:rFonts w:cs="Times New Roman"/>
                <w:kern w:val="0"/>
                <w:sz w:val="18"/>
                <w:szCs w:val="20"/>
              </w:rPr>
              <w:t>1864</w:t>
            </w:r>
            <w:r>
              <w:rPr>
                <w:rFonts w:hint="eastAsia" w:cs="Times New Roman"/>
                <w:kern w:val="0"/>
                <w:sz w:val="18"/>
                <w:szCs w:val="20"/>
              </w:rPr>
              <w:t>人</w:t>
            </w:r>
          </w:p>
        </w:tc>
        <w:tc>
          <w:tcPr>
            <w:tcW w:w="1555" w:type="pct"/>
            <w:gridSpan w:val="9"/>
            <w:vAlign w:val="center"/>
          </w:tcPr>
          <w:p w14:paraId="3FE7F32E">
            <w:pPr>
              <w:widowControl/>
              <w:spacing w:line="360" w:lineRule="exact"/>
              <w:ind w:firstLine="0" w:firstLineChars="0"/>
              <w:jc w:val="center"/>
              <w:rPr>
                <w:rFonts w:cs="Times New Roman"/>
                <w:kern w:val="0"/>
                <w:sz w:val="18"/>
                <w:szCs w:val="20"/>
              </w:rPr>
            </w:pPr>
            <w:r>
              <w:rPr>
                <w:rFonts w:hint="eastAsia" w:cs="Times New Roman"/>
                <w:kern w:val="0"/>
                <w:sz w:val="18"/>
                <w:szCs w:val="20"/>
              </w:rPr>
              <w:t>5km范围内人口数</w:t>
            </w:r>
            <w:r>
              <w:rPr>
                <w:rFonts w:cs="Times New Roman"/>
                <w:kern w:val="0"/>
                <w:sz w:val="18"/>
                <w:szCs w:val="20"/>
              </w:rPr>
              <w:t>42298</w:t>
            </w:r>
            <w:r>
              <w:rPr>
                <w:rFonts w:hint="eastAsia" w:cs="Times New Roman"/>
                <w:kern w:val="0"/>
                <w:sz w:val="18"/>
                <w:szCs w:val="20"/>
              </w:rPr>
              <w:t>人</w:t>
            </w:r>
          </w:p>
        </w:tc>
      </w:tr>
      <w:tr w14:paraId="484A4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15FE86C5">
            <w:pPr>
              <w:widowControl/>
              <w:spacing w:line="360" w:lineRule="exact"/>
              <w:ind w:firstLine="0" w:firstLineChars="0"/>
              <w:jc w:val="center"/>
              <w:rPr>
                <w:rFonts w:cs="Times New Roman"/>
                <w:kern w:val="0"/>
                <w:sz w:val="18"/>
                <w:szCs w:val="20"/>
              </w:rPr>
            </w:pPr>
          </w:p>
        </w:tc>
        <w:tc>
          <w:tcPr>
            <w:tcW w:w="824" w:type="pct"/>
            <w:vMerge w:val="continue"/>
            <w:vAlign w:val="center"/>
          </w:tcPr>
          <w:p w14:paraId="6084EF95">
            <w:pPr>
              <w:widowControl/>
              <w:spacing w:line="360" w:lineRule="exact"/>
              <w:ind w:firstLine="0" w:firstLineChars="0"/>
              <w:jc w:val="center"/>
              <w:rPr>
                <w:rFonts w:cs="Times New Roman"/>
                <w:kern w:val="0"/>
                <w:sz w:val="18"/>
                <w:szCs w:val="20"/>
              </w:rPr>
            </w:pPr>
          </w:p>
        </w:tc>
        <w:tc>
          <w:tcPr>
            <w:tcW w:w="562" w:type="pct"/>
            <w:vMerge w:val="continue"/>
            <w:vAlign w:val="center"/>
          </w:tcPr>
          <w:p w14:paraId="66E813EC">
            <w:pPr>
              <w:widowControl/>
              <w:spacing w:line="360" w:lineRule="exact"/>
              <w:ind w:firstLine="0" w:firstLineChars="0"/>
              <w:jc w:val="center"/>
              <w:rPr>
                <w:rFonts w:cs="Times New Roman"/>
                <w:kern w:val="0"/>
                <w:sz w:val="18"/>
                <w:szCs w:val="20"/>
              </w:rPr>
            </w:pPr>
          </w:p>
        </w:tc>
        <w:tc>
          <w:tcPr>
            <w:tcW w:w="2335" w:type="pct"/>
            <w:gridSpan w:val="17"/>
            <w:vAlign w:val="center"/>
          </w:tcPr>
          <w:p w14:paraId="70513B0B">
            <w:pPr>
              <w:widowControl/>
              <w:spacing w:line="360" w:lineRule="exact"/>
              <w:ind w:firstLine="0" w:firstLineChars="0"/>
              <w:jc w:val="center"/>
              <w:rPr>
                <w:rFonts w:cs="Times New Roman"/>
                <w:kern w:val="0"/>
                <w:sz w:val="18"/>
                <w:szCs w:val="20"/>
              </w:rPr>
            </w:pPr>
            <w:r>
              <w:rPr>
                <w:rFonts w:hint="eastAsia" w:cs="Times New Roman"/>
                <w:kern w:val="0"/>
                <w:sz w:val="18"/>
                <w:szCs w:val="20"/>
              </w:rPr>
              <w:t>每公里管段周边200m范围内人口数（最大）</w:t>
            </w:r>
          </w:p>
        </w:tc>
        <w:tc>
          <w:tcPr>
            <w:tcW w:w="773" w:type="pct"/>
            <w:gridSpan w:val="3"/>
            <w:vAlign w:val="center"/>
          </w:tcPr>
          <w:p w14:paraId="77530DED">
            <w:pPr>
              <w:widowControl/>
              <w:spacing w:line="360" w:lineRule="exact"/>
              <w:ind w:firstLine="0" w:firstLineChars="0"/>
              <w:jc w:val="center"/>
              <w:rPr>
                <w:rFonts w:cs="Times New Roman"/>
                <w:kern w:val="0"/>
                <w:sz w:val="18"/>
                <w:szCs w:val="20"/>
              </w:rPr>
            </w:pPr>
            <w:r>
              <w:rPr>
                <w:rFonts w:hint="eastAsia" w:cs="Times New Roman"/>
                <w:kern w:val="0"/>
                <w:sz w:val="18"/>
                <w:szCs w:val="20"/>
              </w:rPr>
              <w:t>人</w:t>
            </w:r>
          </w:p>
        </w:tc>
      </w:tr>
      <w:tr w14:paraId="563DB4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641B7956">
            <w:pPr>
              <w:widowControl/>
              <w:spacing w:line="360" w:lineRule="exact"/>
              <w:ind w:firstLine="0" w:firstLineChars="0"/>
              <w:jc w:val="center"/>
              <w:rPr>
                <w:rFonts w:cs="Times New Roman"/>
                <w:kern w:val="0"/>
                <w:sz w:val="18"/>
                <w:szCs w:val="20"/>
              </w:rPr>
            </w:pPr>
          </w:p>
        </w:tc>
        <w:tc>
          <w:tcPr>
            <w:tcW w:w="824" w:type="pct"/>
            <w:vMerge w:val="continue"/>
            <w:vAlign w:val="center"/>
          </w:tcPr>
          <w:p w14:paraId="0D0ACD95">
            <w:pPr>
              <w:widowControl/>
              <w:spacing w:line="360" w:lineRule="exact"/>
              <w:ind w:firstLine="0" w:firstLineChars="0"/>
              <w:jc w:val="center"/>
              <w:rPr>
                <w:rFonts w:cs="Times New Roman"/>
                <w:kern w:val="0"/>
                <w:sz w:val="18"/>
                <w:szCs w:val="20"/>
              </w:rPr>
            </w:pPr>
          </w:p>
        </w:tc>
        <w:tc>
          <w:tcPr>
            <w:tcW w:w="562" w:type="pct"/>
            <w:vMerge w:val="restart"/>
            <w:vAlign w:val="center"/>
          </w:tcPr>
          <w:p w14:paraId="727D91D6">
            <w:pPr>
              <w:widowControl/>
              <w:spacing w:line="360" w:lineRule="exact"/>
              <w:ind w:firstLine="0" w:firstLineChars="0"/>
              <w:jc w:val="center"/>
              <w:rPr>
                <w:rFonts w:cs="Times New Roman"/>
                <w:kern w:val="0"/>
                <w:sz w:val="18"/>
                <w:szCs w:val="20"/>
              </w:rPr>
            </w:pPr>
            <w:r>
              <w:rPr>
                <w:rFonts w:cs="Times New Roman"/>
                <w:kern w:val="0"/>
                <w:sz w:val="18"/>
                <w:szCs w:val="20"/>
              </w:rPr>
              <w:t>地表水</w:t>
            </w:r>
          </w:p>
        </w:tc>
        <w:tc>
          <w:tcPr>
            <w:tcW w:w="778" w:type="pct"/>
            <w:gridSpan w:val="6"/>
            <w:vAlign w:val="center"/>
          </w:tcPr>
          <w:p w14:paraId="5650AE3C">
            <w:pPr>
              <w:widowControl/>
              <w:spacing w:line="360" w:lineRule="exact"/>
              <w:ind w:firstLine="0" w:firstLineChars="0"/>
              <w:jc w:val="center"/>
              <w:rPr>
                <w:rFonts w:cs="Times New Roman"/>
                <w:kern w:val="0"/>
                <w:sz w:val="18"/>
                <w:szCs w:val="20"/>
              </w:rPr>
            </w:pPr>
            <w:r>
              <w:rPr>
                <w:rFonts w:hint="eastAsia" w:cs="Times New Roman"/>
                <w:kern w:val="0"/>
                <w:sz w:val="18"/>
                <w:szCs w:val="20"/>
              </w:rPr>
              <w:t>地表水功能敏感性</w:t>
            </w:r>
          </w:p>
        </w:tc>
        <w:tc>
          <w:tcPr>
            <w:tcW w:w="775" w:type="pct"/>
            <w:gridSpan w:val="5"/>
            <w:vAlign w:val="center"/>
          </w:tcPr>
          <w:p w14:paraId="7039186C">
            <w:pPr>
              <w:widowControl/>
              <w:spacing w:line="360" w:lineRule="exact"/>
              <w:ind w:firstLine="0" w:firstLineChars="0"/>
              <w:jc w:val="center"/>
              <w:rPr>
                <w:rFonts w:cs="Times New Roman"/>
                <w:kern w:val="0"/>
                <w:sz w:val="18"/>
                <w:szCs w:val="20"/>
              </w:rPr>
            </w:pPr>
            <w:r>
              <w:rPr>
                <w:rFonts w:hint="eastAsia" w:cs="Times New Roman"/>
                <w:kern w:val="0"/>
                <w:sz w:val="18"/>
                <w:szCs w:val="20"/>
              </w:rPr>
              <w:t>F1 □</w:t>
            </w:r>
          </w:p>
        </w:tc>
        <w:tc>
          <w:tcPr>
            <w:tcW w:w="782" w:type="pct"/>
            <w:gridSpan w:val="6"/>
            <w:vAlign w:val="center"/>
          </w:tcPr>
          <w:p w14:paraId="596AE543">
            <w:pPr>
              <w:widowControl/>
              <w:spacing w:line="360" w:lineRule="exact"/>
              <w:ind w:firstLine="0" w:firstLineChars="0"/>
              <w:jc w:val="center"/>
              <w:rPr>
                <w:rFonts w:cs="Times New Roman"/>
                <w:kern w:val="0"/>
                <w:sz w:val="18"/>
                <w:szCs w:val="20"/>
              </w:rPr>
            </w:pPr>
            <w:r>
              <w:rPr>
                <w:rFonts w:hint="eastAsia" w:cs="Times New Roman"/>
                <w:kern w:val="0"/>
                <w:sz w:val="18"/>
                <w:szCs w:val="20"/>
              </w:rPr>
              <w:t>F2 □</w:t>
            </w:r>
          </w:p>
        </w:tc>
        <w:tc>
          <w:tcPr>
            <w:tcW w:w="773" w:type="pct"/>
            <w:gridSpan w:val="3"/>
            <w:vAlign w:val="center"/>
          </w:tcPr>
          <w:p w14:paraId="74EA2942">
            <w:pPr>
              <w:widowControl/>
              <w:spacing w:line="360" w:lineRule="exact"/>
              <w:ind w:firstLine="0" w:firstLineChars="0"/>
              <w:jc w:val="center"/>
              <w:rPr>
                <w:rFonts w:cs="Times New Roman"/>
                <w:kern w:val="0"/>
                <w:sz w:val="18"/>
                <w:szCs w:val="20"/>
              </w:rPr>
            </w:pPr>
            <w:r>
              <w:rPr>
                <w:rFonts w:hint="eastAsia" w:cs="Times New Roman"/>
                <w:kern w:val="0"/>
                <w:sz w:val="18"/>
                <w:szCs w:val="20"/>
              </w:rPr>
              <w:t>F3 √</w:t>
            </w:r>
          </w:p>
        </w:tc>
      </w:tr>
      <w:tr w14:paraId="6AB16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184AFED7">
            <w:pPr>
              <w:widowControl/>
              <w:spacing w:line="360" w:lineRule="exact"/>
              <w:ind w:firstLine="0" w:firstLineChars="0"/>
              <w:jc w:val="center"/>
              <w:rPr>
                <w:rFonts w:cs="Times New Roman"/>
                <w:kern w:val="0"/>
                <w:sz w:val="18"/>
                <w:szCs w:val="20"/>
              </w:rPr>
            </w:pPr>
          </w:p>
        </w:tc>
        <w:tc>
          <w:tcPr>
            <w:tcW w:w="824" w:type="pct"/>
            <w:vMerge w:val="continue"/>
            <w:vAlign w:val="center"/>
          </w:tcPr>
          <w:p w14:paraId="101F4B96">
            <w:pPr>
              <w:widowControl/>
              <w:spacing w:line="360" w:lineRule="exact"/>
              <w:ind w:firstLine="0" w:firstLineChars="0"/>
              <w:jc w:val="center"/>
              <w:rPr>
                <w:rFonts w:cs="Times New Roman"/>
                <w:kern w:val="0"/>
                <w:sz w:val="18"/>
                <w:szCs w:val="20"/>
              </w:rPr>
            </w:pPr>
          </w:p>
        </w:tc>
        <w:tc>
          <w:tcPr>
            <w:tcW w:w="562" w:type="pct"/>
            <w:vMerge w:val="continue"/>
            <w:vAlign w:val="center"/>
          </w:tcPr>
          <w:p w14:paraId="1BA365ED">
            <w:pPr>
              <w:widowControl/>
              <w:spacing w:line="360" w:lineRule="exact"/>
              <w:ind w:firstLine="0" w:firstLineChars="0"/>
              <w:jc w:val="center"/>
              <w:rPr>
                <w:rFonts w:cs="Times New Roman"/>
                <w:kern w:val="0"/>
                <w:sz w:val="18"/>
                <w:szCs w:val="20"/>
              </w:rPr>
            </w:pPr>
          </w:p>
        </w:tc>
        <w:tc>
          <w:tcPr>
            <w:tcW w:w="778" w:type="pct"/>
            <w:gridSpan w:val="6"/>
            <w:vAlign w:val="center"/>
          </w:tcPr>
          <w:p w14:paraId="668A03EC">
            <w:pPr>
              <w:widowControl/>
              <w:spacing w:line="360" w:lineRule="exact"/>
              <w:ind w:firstLine="0" w:firstLineChars="0"/>
              <w:jc w:val="center"/>
              <w:rPr>
                <w:rFonts w:cs="Times New Roman"/>
                <w:kern w:val="0"/>
                <w:sz w:val="18"/>
                <w:szCs w:val="20"/>
              </w:rPr>
            </w:pPr>
            <w:r>
              <w:rPr>
                <w:rFonts w:hint="eastAsia" w:cs="Times New Roman"/>
                <w:kern w:val="0"/>
                <w:sz w:val="18"/>
                <w:szCs w:val="20"/>
              </w:rPr>
              <w:t>环境敏感目标分级</w:t>
            </w:r>
          </w:p>
        </w:tc>
        <w:tc>
          <w:tcPr>
            <w:tcW w:w="775" w:type="pct"/>
            <w:gridSpan w:val="5"/>
            <w:vAlign w:val="center"/>
          </w:tcPr>
          <w:p w14:paraId="57C551DE">
            <w:pPr>
              <w:widowControl/>
              <w:spacing w:line="360" w:lineRule="exact"/>
              <w:ind w:firstLine="0" w:firstLineChars="0"/>
              <w:jc w:val="center"/>
              <w:rPr>
                <w:rFonts w:cs="Times New Roman"/>
                <w:kern w:val="0"/>
                <w:sz w:val="18"/>
                <w:szCs w:val="20"/>
              </w:rPr>
            </w:pPr>
            <w:r>
              <w:rPr>
                <w:rFonts w:hint="eastAsia" w:cs="Times New Roman"/>
                <w:kern w:val="0"/>
                <w:sz w:val="18"/>
                <w:szCs w:val="20"/>
              </w:rPr>
              <w:t>S1 □</w:t>
            </w:r>
          </w:p>
        </w:tc>
        <w:tc>
          <w:tcPr>
            <w:tcW w:w="782" w:type="pct"/>
            <w:gridSpan w:val="6"/>
            <w:vAlign w:val="center"/>
          </w:tcPr>
          <w:p w14:paraId="47E2A962">
            <w:pPr>
              <w:widowControl/>
              <w:spacing w:line="360" w:lineRule="exact"/>
              <w:ind w:firstLine="0" w:firstLineChars="0"/>
              <w:jc w:val="center"/>
              <w:rPr>
                <w:rFonts w:cs="Times New Roman"/>
                <w:kern w:val="0"/>
                <w:sz w:val="18"/>
                <w:szCs w:val="20"/>
              </w:rPr>
            </w:pPr>
            <w:r>
              <w:rPr>
                <w:rFonts w:hint="eastAsia" w:cs="Times New Roman"/>
                <w:kern w:val="0"/>
                <w:sz w:val="18"/>
                <w:szCs w:val="20"/>
              </w:rPr>
              <w:t>S2 □</w:t>
            </w:r>
          </w:p>
        </w:tc>
        <w:tc>
          <w:tcPr>
            <w:tcW w:w="773" w:type="pct"/>
            <w:gridSpan w:val="3"/>
            <w:vAlign w:val="center"/>
          </w:tcPr>
          <w:p w14:paraId="5D88F87B">
            <w:pPr>
              <w:widowControl/>
              <w:spacing w:line="360" w:lineRule="exact"/>
              <w:ind w:firstLine="0" w:firstLineChars="0"/>
              <w:jc w:val="center"/>
              <w:rPr>
                <w:rFonts w:cs="Times New Roman"/>
                <w:kern w:val="0"/>
                <w:sz w:val="18"/>
                <w:szCs w:val="20"/>
              </w:rPr>
            </w:pPr>
            <w:r>
              <w:rPr>
                <w:rFonts w:hint="eastAsia" w:cs="Times New Roman"/>
                <w:kern w:val="0"/>
                <w:sz w:val="18"/>
                <w:szCs w:val="20"/>
              </w:rPr>
              <w:t>S3 √</w:t>
            </w:r>
          </w:p>
        </w:tc>
      </w:tr>
      <w:tr w14:paraId="2935E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328B9DF2">
            <w:pPr>
              <w:widowControl/>
              <w:spacing w:line="360" w:lineRule="exact"/>
              <w:ind w:firstLine="0" w:firstLineChars="0"/>
              <w:jc w:val="center"/>
              <w:rPr>
                <w:rFonts w:cs="Times New Roman"/>
                <w:kern w:val="0"/>
                <w:sz w:val="18"/>
                <w:szCs w:val="20"/>
              </w:rPr>
            </w:pPr>
          </w:p>
        </w:tc>
        <w:tc>
          <w:tcPr>
            <w:tcW w:w="824" w:type="pct"/>
            <w:vMerge w:val="continue"/>
            <w:vAlign w:val="center"/>
          </w:tcPr>
          <w:p w14:paraId="313726FB">
            <w:pPr>
              <w:widowControl/>
              <w:spacing w:line="360" w:lineRule="exact"/>
              <w:ind w:firstLine="0" w:firstLineChars="0"/>
              <w:jc w:val="center"/>
              <w:rPr>
                <w:rFonts w:cs="Times New Roman"/>
                <w:kern w:val="0"/>
                <w:sz w:val="18"/>
                <w:szCs w:val="20"/>
              </w:rPr>
            </w:pPr>
          </w:p>
        </w:tc>
        <w:tc>
          <w:tcPr>
            <w:tcW w:w="562" w:type="pct"/>
            <w:vMerge w:val="restart"/>
            <w:vAlign w:val="center"/>
          </w:tcPr>
          <w:p w14:paraId="2BDF2B66">
            <w:pPr>
              <w:widowControl/>
              <w:spacing w:line="360" w:lineRule="exact"/>
              <w:ind w:firstLine="0" w:firstLineChars="0"/>
              <w:jc w:val="center"/>
              <w:rPr>
                <w:rFonts w:cs="Times New Roman"/>
                <w:kern w:val="0"/>
                <w:sz w:val="18"/>
                <w:szCs w:val="20"/>
              </w:rPr>
            </w:pPr>
            <w:r>
              <w:rPr>
                <w:rFonts w:cs="Times New Roman"/>
                <w:kern w:val="0"/>
                <w:sz w:val="18"/>
                <w:szCs w:val="20"/>
              </w:rPr>
              <w:t>地下水</w:t>
            </w:r>
          </w:p>
        </w:tc>
        <w:tc>
          <w:tcPr>
            <w:tcW w:w="778" w:type="pct"/>
            <w:gridSpan w:val="6"/>
            <w:vAlign w:val="center"/>
          </w:tcPr>
          <w:p w14:paraId="2B90B515">
            <w:pPr>
              <w:widowControl/>
              <w:spacing w:line="360" w:lineRule="exact"/>
              <w:ind w:firstLine="0" w:firstLineChars="0"/>
              <w:jc w:val="center"/>
              <w:rPr>
                <w:rFonts w:cs="Times New Roman"/>
                <w:kern w:val="0"/>
                <w:sz w:val="18"/>
                <w:szCs w:val="20"/>
              </w:rPr>
            </w:pPr>
            <w:r>
              <w:rPr>
                <w:rFonts w:hint="eastAsia" w:cs="Times New Roman"/>
                <w:kern w:val="0"/>
                <w:sz w:val="18"/>
                <w:szCs w:val="20"/>
              </w:rPr>
              <w:t>地下水功能敏感性</w:t>
            </w:r>
          </w:p>
        </w:tc>
        <w:tc>
          <w:tcPr>
            <w:tcW w:w="775" w:type="pct"/>
            <w:gridSpan w:val="5"/>
            <w:vAlign w:val="center"/>
          </w:tcPr>
          <w:p w14:paraId="697FB5FA">
            <w:pPr>
              <w:widowControl/>
              <w:spacing w:line="360" w:lineRule="exact"/>
              <w:ind w:firstLine="0" w:firstLineChars="0"/>
              <w:jc w:val="center"/>
              <w:rPr>
                <w:rFonts w:cs="Times New Roman"/>
                <w:kern w:val="0"/>
                <w:sz w:val="18"/>
                <w:szCs w:val="20"/>
              </w:rPr>
            </w:pPr>
            <w:r>
              <w:rPr>
                <w:rFonts w:hint="eastAsia" w:cs="Times New Roman"/>
                <w:kern w:val="0"/>
                <w:sz w:val="18"/>
                <w:szCs w:val="20"/>
              </w:rPr>
              <w:t>G1 □</w:t>
            </w:r>
          </w:p>
        </w:tc>
        <w:tc>
          <w:tcPr>
            <w:tcW w:w="782" w:type="pct"/>
            <w:gridSpan w:val="6"/>
            <w:vAlign w:val="center"/>
          </w:tcPr>
          <w:p w14:paraId="63751F5F">
            <w:pPr>
              <w:widowControl/>
              <w:spacing w:line="360" w:lineRule="exact"/>
              <w:ind w:firstLine="0" w:firstLineChars="0"/>
              <w:jc w:val="center"/>
              <w:rPr>
                <w:rFonts w:cs="Times New Roman"/>
                <w:kern w:val="0"/>
                <w:sz w:val="18"/>
                <w:szCs w:val="20"/>
              </w:rPr>
            </w:pPr>
            <w:r>
              <w:rPr>
                <w:rFonts w:hint="eastAsia" w:cs="Times New Roman"/>
                <w:kern w:val="0"/>
                <w:sz w:val="18"/>
                <w:szCs w:val="20"/>
              </w:rPr>
              <w:t>G2 □</w:t>
            </w:r>
          </w:p>
        </w:tc>
        <w:tc>
          <w:tcPr>
            <w:tcW w:w="773" w:type="pct"/>
            <w:gridSpan w:val="3"/>
            <w:vAlign w:val="center"/>
          </w:tcPr>
          <w:p w14:paraId="1F415A67">
            <w:pPr>
              <w:widowControl/>
              <w:spacing w:line="360" w:lineRule="exact"/>
              <w:ind w:firstLine="0" w:firstLineChars="0"/>
              <w:jc w:val="center"/>
              <w:rPr>
                <w:rFonts w:cs="Times New Roman"/>
                <w:kern w:val="0"/>
                <w:sz w:val="18"/>
                <w:szCs w:val="20"/>
              </w:rPr>
            </w:pPr>
            <w:r>
              <w:rPr>
                <w:rFonts w:hint="eastAsia" w:cs="Times New Roman"/>
                <w:kern w:val="0"/>
                <w:sz w:val="18"/>
                <w:szCs w:val="20"/>
              </w:rPr>
              <w:t>G3 √</w:t>
            </w:r>
          </w:p>
        </w:tc>
      </w:tr>
      <w:tr w14:paraId="18779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131AF103">
            <w:pPr>
              <w:widowControl/>
              <w:spacing w:line="360" w:lineRule="exact"/>
              <w:ind w:firstLine="0" w:firstLineChars="0"/>
              <w:jc w:val="center"/>
              <w:rPr>
                <w:rFonts w:cs="Times New Roman"/>
                <w:kern w:val="0"/>
                <w:sz w:val="18"/>
                <w:szCs w:val="20"/>
              </w:rPr>
            </w:pPr>
          </w:p>
        </w:tc>
        <w:tc>
          <w:tcPr>
            <w:tcW w:w="824" w:type="pct"/>
            <w:vMerge w:val="continue"/>
            <w:vAlign w:val="center"/>
          </w:tcPr>
          <w:p w14:paraId="0B9CAD33">
            <w:pPr>
              <w:widowControl/>
              <w:spacing w:line="360" w:lineRule="exact"/>
              <w:ind w:firstLine="0" w:firstLineChars="0"/>
              <w:jc w:val="center"/>
              <w:rPr>
                <w:rFonts w:cs="Times New Roman"/>
                <w:kern w:val="0"/>
                <w:sz w:val="18"/>
                <w:szCs w:val="20"/>
              </w:rPr>
            </w:pPr>
          </w:p>
        </w:tc>
        <w:tc>
          <w:tcPr>
            <w:tcW w:w="562" w:type="pct"/>
            <w:vMerge w:val="continue"/>
            <w:vAlign w:val="center"/>
          </w:tcPr>
          <w:p w14:paraId="14AD3E58">
            <w:pPr>
              <w:widowControl/>
              <w:spacing w:line="360" w:lineRule="exact"/>
              <w:ind w:firstLine="0" w:firstLineChars="0"/>
              <w:jc w:val="center"/>
              <w:rPr>
                <w:rFonts w:cs="Times New Roman"/>
                <w:kern w:val="0"/>
                <w:sz w:val="18"/>
                <w:szCs w:val="20"/>
              </w:rPr>
            </w:pPr>
          </w:p>
        </w:tc>
        <w:tc>
          <w:tcPr>
            <w:tcW w:w="778" w:type="pct"/>
            <w:gridSpan w:val="6"/>
            <w:vAlign w:val="center"/>
          </w:tcPr>
          <w:p w14:paraId="553D6E04">
            <w:pPr>
              <w:widowControl/>
              <w:spacing w:line="360" w:lineRule="exact"/>
              <w:ind w:firstLine="0" w:firstLineChars="0"/>
              <w:jc w:val="center"/>
              <w:rPr>
                <w:rFonts w:cs="Times New Roman"/>
                <w:kern w:val="0"/>
                <w:sz w:val="18"/>
                <w:szCs w:val="20"/>
              </w:rPr>
            </w:pPr>
            <w:r>
              <w:rPr>
                <w:rFonts w:hint="eastAsia" w:cs="Times New Roman"/>
                <w:kern w:val="0"/>
                <w:sz w:val="18"/>
                <w:szCs w:val="20"/>
              </w:rPr>
              <w:t>包气带防污性能</w:t>
            </w:r>
          </w:p>
        </w:tc>
        <w:tc>
          <w:tcPr>
            <w:tcW w:w="775" w:type="pct"/>
            <w:gridSpan w:val="5"/>
            <w:vAlign w:val="center"/>
          </w:tcPr>
          <w:p w14:paraId="30B26433">
            <w:pPr>
              <w:widowControl/>
              <w:spacing w:line="360" w:lineRule="exact"/>
              <w:ind w:firstLine="0" w:firstLineChars="0"/>
              <w:jc w:val="center"/>
              <w:rPr>
                <w:rFonts w:cs="Times New Roman"/>
                <w:kern w:val="0"/>
                <w:sz w:val="18"/>
                <w:szCs w:val="20"/>
              </w:rPr>
            </w:pPr>
            <w:r>
              <w:rPr>
                <w:rFonts w:hint="eastAsia" w:cs="Times New Roman"/>
                <w:kern w:val="0"/>
                <w:sz w:val="18"/>
                <w:szCs w:val="20"/>
              </w:rPr>
              <w:t>D1 □</w:t>
            </w:r>
          </w:p>
        </w:tc>
        <w:tc>
          <w:tcPr>
            <w:tcW w:w="782" w:type="pct"/>
            <w:gridSpan w:val="6"/>
            <w:vAlign w:val="center"/>
          </w:tcPr>
          <w:p w14:paraId="46BABCB6">
            <w:pPr>
              <w:widowControl/>
              <w:spacing w:line="360" w:lineRule="exact"/>
              <w:ind w:firstLine="0" w:firstLineChars="0"/>
              <w:jc w:val="center"/>
              <w:rPr>
                <w:rFonts w:cs="Times New Roman"/>
                <w:kern w:val="0"/>
                <w:sz w:val="18"/>
                <w:szCs w:val="20"/>
              </w:rPr>
            </w:pPr>
            <w:r>
              <w:rPr>
                <w:rFonts w:hint="eastAsia" w:cs="Times New Roman"/>
                <w:kern w:val="0"/>
                <w:sz w:val="18"/>
                <w:szCs w:val="20"/>
              </w:rPr>
              <w:t>D2 √</w:t>
            </w:r>
          </w:p>
        </w:tc>
        <w:tc>
          <w:tcPr>
            <w:tcW w:w="773" w:type="pct"/>
            <w:gridSpan w:val="3"/>
            <w:vAlign w:val="center"/>
          </w:tcPr>
          <w:p w14:paraId="04E67733">
            <w:pPr>
              <w:widowControl/>
              <w:spacing w:line="360" w:lineRule="exact"/>
              <w:ind w:firstLine="0" w:firstLineChars="0"/>
              <w:jc w:val="center"/>
              <w:rPr>
                <w:rFonts w:cs="Times New Roman"/>
                <w:kern w:val="0"/>
                <w:sz w:val="18"/>
                <w:szCs w:val="20"/>
              </w:rPr>
            </w:pPr>
            <w:r>
              <w:rPr>
                <w:rFonts w:hint="eastAsia" w:cs="Times New Roman"/>
                <w:kern w:val="0"/>
                <w:sz w:val="18"/>
                <w:szCs w:val="20"/>
              </w:rPr>
              <w:t>D3 □</w:t>
            </w:r>
          </w:p>
        </w:tc>
      </w:tr>
      <w:tr w14:paraId="003972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restart"/>
            <w:vAlign w:val="center"/>
          </w:tcPr>
          <w:p w14:paraId="3E803CD6">
            <w:pPr>
              <w:widowControl/>
              <w:spacing w:line="360" w:lineRule="exact"/>
              <w:ind w:firstLine="0" w:firstLineChars="0"/>
              <w:jc w:val="center"/>
              <w:rPr>
                <w:rFonts w:cs="Times New Roman"/>
                <w:kern w:val="0"/>
                <w:sz w:val="18"/>
                <w:szCs w:val="20"/>
              </w:rPr>
            </w:pPr>
            <w:r>
              <w:rPr>
                <w:rFonts w:hint="eastAsia" w:cs="Times New Roman"/>
                <w:kern w:val="0"/>
                <w:sz w:val="18"/>
                <w:szCs w:val="20"/>
              </w:rPr>
              <w:t>物质及工艺系统</w:t>
            </w:r>
          </w:p>
          <w:p w14:paraId="58AABDCD">
            <w:pPr>
              <w:widowControl/>
              <w:spacing w:line="360" w:lineRule="exact"/>
              <w:ind w:firstLine="0" w:firstLineChars="0"/>
              <w:jc w:val="center"/>
              <w:rPr>
                <w:rFonts w:cs="Times New Roman"/>
                <w:kern w:val="0"/>
                <w:sz w:val="18"/>
                <w:szCs w:val="20"/>
              </w:rPr>
            </w:pPr>
            <w:r>
              <w:rPr>
                <w:rFonts w:hint="eastAsia" w:cs="Times New Roman"/>
                <w:kern w:val="0"/>
                <w:sz w:val="18"/>
                <w:szCs w:val="20"/>
              </w:rPr>
              <w:t>危险性</w:t>
            </w:r>
          </w:p>
        </w:tc>
        <w:tc>
          <w:tcPr>
            <w:tcW w:w="562" w:type="pct"/>
            <w:vAlign w:val="center"/>
          </w:tcPr>
          <w:p w14:paraId="29403612">
            <w:pPr>
              <w:widowControl/>
              <w:spacing w:line="360" w:lineRule="exact"/>
              <w:ind w:firstLine="0" w:firstLineChars="0"/>
              <w:jc w:val="center"/>
              <w:rPr>
                <w:rFonts w:cs="Times New Roman"/>
                <w:kern w:val="0"/>
                <w:sz w:val="18"/>
                <w:szCs w:val="20"/>
              </w:rPr>
            </w:pPr>
            <w:r>
              <w:rPr>
                <w:rFonts w:hint="eastAsia" w:cs="Times New Roman"/>
                <w:kern w:val="0"/>
                <w:sz w:val="18"/>
                <w:szCs w:val="20"/>
              </w:rPr>
              <w:t>Q值</w:t>
            </w:r>
          </w:p>
        </w:tc>
        <w:tc>
          <w:tcPr>
            <w:tcW w:w="778" w:type="pct"/>
            <w:gridSpan w:val="6"/>
            <w:vAlign w:val="center"/>
          </w:tcPr>
          <w:p w14:paraId="1F6706CA">
            <w:pPr>
              <w:widowControl/>
              <w:spacing w:line="360" w:lineRule="exact"/>
              <w:ind w:firstLine="0" w:firstLineChars="0"/>
              <w:jc w:val="center"/>
              <w:rPr>
                <w:rFonts w:cs="Times New Roman"/>
                <w:kern w:val="0"/>
                <w:sz w:val="18"/>
                <w:szCs w:val="20"/>
              </w:rPr>
            </w:pPr>
            <w:r>
              <w:rPr>
                <w:rFonts w:hint="eastAsia" w:cs="Times New Roman"/>
                <w:kern w:val="0"/>
                <w:sz w:val="18"/>
                <w:szCs w:val="20"/>
              </w:rPr>
              <w:t>Q＜1 □</w:t>
            </w:r>
          </w:p>
        </w:tc>
        <w:tc>
          <w:tcPr>
            <w:tcW w:w="775" w:type="pct"/>
            <w:gridSpan w:val="5"/>
            <w:vAlign w:val="center"/>
          </w:tcPr>
          <w:p w14:paraId="4E7C3A57">
            <w:pPr>
              <w:widowControl/>
              <w:spacing w:line="360" w:lineRule="exact"/>
              <w:ind w:firstLine="0" w:firstLineChars="0"/>
              <w:jc w:val="center"/>
              <w:rPr>
                <w:rFonts w:cs="Times New Roman"/>
                <w:kern w:val="0"/>
                <w:sz w:val="18"/>
                <w:szCs w:val="20"/>
              </w:rPr>
            </w:pPr>
            <w:r>
              <w:rPr>
                <w:rFonts w:hint="eastAsia" w:cs="Times New Roman"/>
                <w:kern w:val="0"/>
                <w:sz w:val="18"/>
                <w:szCs w:val="20"/>
              </w:rPr>
              <w:t>1≤Q＜10</w:t>
            </w:r>
          </w:p>
          <w:p w14:paraId="0ED6F5F9">
            <w:pPr>
              <w:widowControl/>
              <w:spacing w:line="360" w:lineRule="exact"/>
              <w:ind w:firstLine="0" w:firstLineChars="0"/>
              <w:jc w:val="center"/>
              <w:rPr>
                <w:rFonts w:cs="Times New Roman"/>
                <w:kern w:val="0"/>
                <w:sz w:val="18"/>
                <w:szCs w:val="20"/>
              </w:rPr>
            </w:pPr>
            <w:r>
              <w:rPr>
                <w:rFonts w:hint="eastAsia" w:cs="Times New Roman"/>
                <w:kern w:val="0"/>
                <w:sz w:val="18"/>
                <w:szCs w:val="20"/>
              </w:rPr>
              <w:t>□</w:t>
            </w:r>
          </w:p>
        </w:tc>
        <w:tc>
          <w:tcPr>
            <w:tcW w:w="782" w:type="pct"/>
            <w:gridSpan w:val="6"/>
            <w:vAlign w:val="center"/>
          </w:tcPr>
          <w:p w14:paraId="0DCB529F">
            <w:pPr>
              <w:widowControl/>
              <w:spacing w:line="360" w:lineRule="exact"/>
              <w:ind w:firstLine="0" w:firstLineChars="0"/>
              <w:jc w:val="center"/>
              <w:rPr>
                <w:rFonts w:cs="Times New Roman"/>
                <w:kern w:val="0"/>
                <w:sz w:val="18"/>
                <w:szCs w:val="20"/>
              </w:rPr>
            </w:pPr>
            <w:r>
              <w:rPr>
                <w:rFonts w:hint="eastAsia" w:cs="Times New Roman"/>
                <w:kern w:val="0"/>
                <w:sz w:val="18"/>
                <w:szCs w:val="20"/>
              </w:rPr>
              <w:t>10≤Q＜100 √</w:t>
            </w:r>
          </w:p>
        </w:tc>
        <w:tc>
          <w:tcPr>
            <w:tcW w:w="773" w:type="pct"/>
            <w:gridSpan w:val="3"/>
            <w:vAlign w:val="center"/>
          </w:tcPr>
          <w:p w14:paraId="4C2D483F">
            <w:pPr>
              <w:widowControl/>
              <w:spacing w:line="360" w:lineRule="exact"/>
              <w:ind w:firstLine="0" w:firstLineChars="0"/>
              <w:jc w:val="center"/>
              <w:rPr>
                <w:rFonts w:cs="Times New Roman"/>
                <w:kern w:val="0"/>
                <w:sz w:val="18"/>
                <w:szCs w:val="20"/>
              </w:rPr>
            </w:pPr>
            <w:r>
              <w:rPr>
                <w:rFonts w:hint="eastAsia" w:cs="Times New Roman"/>
                <w:kern w:val="0"/>
                <w:sz w:val="18"/>
                <w:szCs w:val="20"/>
              </w:rPr>
              <w:t>Q＞100 □</w:t>
            </w:r>
          </w:p>
        </w:tc>
      </w:tr>
      <w:tr w14:paraId="04001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continue"/>
            <w:vAlign w:val="center"/>
          </w:tcPr>
          <w:p w14:paraId="36E4BBE4">
            <w:pPr>
              <w:widowControl/>
              <w:spacing w:line="360" w:lineRule="exact"/>
              <w:ind w:firstLine="0" w:firstLineChars="0"/>
              <w:jc w:val="center"/>
              <w:rPr>
                <w:rFonts w:cs="Times New Roman"/>
                <w:kern w:val="0"/>
                <w:sz w:val="18"/>
                <w:szCs w:val="20"/>
              </w:rPr>
            </w:pPr>
          </w:p>
        </w:tc>
        <w:tc>
          <w:tcPr>
            <w:tcW w:w="562" w:type="pct"/>
            <w:vAlign w:val="center"/>
          </w:tcPr>
          <w:p w14:paraId="0008E177">
            <w:pPr>
              <w:widowControl/>
              <w:spacing w:line="360" w:lineRule="exact"/>
              <w:ind w:firstLine="0" w:firstLineChars="0"/>
              <w:jc w:val="center"/>
              <w:rPr>
                <w:rFonts w:cs="Times New Roman"/>
                <w:kern w:val="0"/>
                <w:sz w:val="18"/>
                <w:szCs w:val="20"/>
              </w:rPr>
            </w:pPr>
            <w:r>
              <w:rPr>
                <w:rFonts w:hint="eastAsia" w:cs="Times New Roman"/>
                <w:kern w:val="0"/>
                <w:sz w:val="18"/>
                <w:szCs w:val="20"/>
              </w:rPr>
              <w:t>M值</w:t>
            </w:r>
          </w:p>
        </w:tc>
        <w:tc>
          <w:tcPr>
            <w:tcW w:w="778" w:type="pct"/>
            <w:gridSpan w:val="6"/>
            <w:vAlign w:val="center"/>
          </w:tcPr>
          <w:p w14:paraId="6FBE469A">
            <w:pPr>
              <w:widowControl/>
              <w:spacing w:line="360" w:lineRule="exact"/>
              <w:ind w:firstLine="0" w:firstLineChars="0"/>
              <w:jc w:val="center"/>
              <w:rPr>
                <w:rFonts w:cs="Times New Roman"/>
                <w:kern w:val="0"/>
                <w:sz w:val="18"/>
                <w:szCs w:val="20"/>
              </w:rPr>
            </w:pPr>
            <w:r>
              <w:rPr>
                <w:rFonts w:hint="eastAsia" w:cs="Times New Roman"/>
                <w:kern w:val="0"/>
                <w:sz w:val="18"/>
                <w:szCs w:val="20"/>
              </w:rPr>
              <w:t>M1 □</w:t>
            </w:r>
          </w:p>
        </w:tc>
        <w:tc>
          <w:tcPr>
            <w:tcW w:w="775" w:type="pct"/>
            <w:gridSpan w:val="5"/>
            <w:vAlign w:val="center"/>
          </w:tcPr>
          <w:p w14:paraId="71A780DF">
            <w:pPr>
              <w:widowControl/>
              <w:spacing w:line="360" w:lineRule="exact"/>
              <w:ind w:firstLine="0" w:firstLineChars="0"/>
              <w:jc w:val="center"/>
              <w:rPr>
                <w:rFonts w:cs="Times New Roman"/>
                <w:kern w:val="0"/>
                <w:sz w:val="18"/>
                <w:szCs w:val="20"/>
              </w:rPr>
            </w:pPr>
            <w:r>
              <w:rPr>
                <w:rFonts w:hint="eastAsia" w:cs="Times New Roman"/>
                <w:kern w:val="0"/>
                <w:sz w:val="18"/>
                <w:szCs w:val="20"/>
              </w:rPr>
              <w:t>M2 √</w:t>
            </w:r>
          </w:p>
        </w:tc>
        <w:tc>
          <w:tcPr>
            <w:tcW w:w="782" w:type="pct"/>
            <w:gridSpan w:val="6"/>
            <w:vAlign w:val="center"/>
          </w:tcPr>
          <w:p w14:paraId="4207ED76">
            <w:pPr>
              <w:widowControl/>
              <w:spacing w:line="360" w:lineRule="exact"/>
              <w:ind w:firstLine="0" w:firstLineChars="0"/>
              <w:jc w:val="center"/>
              <w:rPr>
                <w:rFonts w:cs="Times New Roman"/>
                <w:kern w:val="0"/>
                <w:sz w:val="18"/>
                <w:szCs w:val="20"/>
              </w:rPr>
            </w:pPr>
            <w:r>
              <w:rPr>
                <w:rFonts w:hint="eastAsia" w:cs="Times New Roman"/>
                <w:kern w:val="0"/>
                <w:sz w:val="18"/>
                <w:szCs w:val="20"/>
              </w:rPr>
              <w:t>M3 □</w:t>
            </w:r>
          </w:p>
        </w:tc>
        <w:tc>
          <w:tcPr>
            <w:tcW w:w="773" w:type="pct"/>
            <w:gridSpan w:val="3"/>
            <w:vAlign w:val="center"/>
          </w:tcPr>
          <w:p w14:paraId="452DAAD9">
            <w:pPr>
              <w:widowControl/>
              <w:spacing w:line="360" w:lineRule="exact"/>
              <w:ind w:firstLine="0" w:firstLineChars="0"/>
              <w:jc w:val="center"/>
              <w:rPr>
                <w:rFonts w:cs="Times New Roman"/>
                <w:kern w:val="0"/>
                <w:sz w:val="18"/>
                <w:szCs w:val="20"/>
              </w:rPr>
            </w:pPr>
            <w:r>
              <w:rPr>
                <w:rFonts w:hint="eastAsia" w:cs="Times New Roman"/>
                <w:kern w:val="0"/>
                <w:sz w:val="18"/>
                <w:szCs w:val="20"/>
              </w:rPr>
              <w:t>M4</w:t>
            </w:r>
            <w:r>
              <w:rPr>
                <w:rFonts w:cs="Times New Roman"/>
                <w:kern w:val="0"/>
                <w:sz w:val="18"/>
                <w:szCs w:val="20"/>
              </w:rPr>
              <w:t xml:space="preserve"> </w:t>
            </w:r>
            <w:r>
              <w:rPr>
                <w:rFonts w:hint="eastAsia" w:cs="Times New Roman"/>
                <w:kern w:val="0"/>
                <w:sz w:val="18"/>
                <w:szCs w:val="20"/>
              </w:rPr>
              <w:t>□</w:t>
            </w:r>
          </w:p>
        </w:tc>
      </w:tr>
      <w:tr w14:paraId="2F60B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continue"/>
            <w:vAlign w:val="center"/>
          </w:tcPr>
          <w:p w14:paraId="13A49BA7">
            <w:pPr>
              <w:widowControl/>
              <w:spacing w:line="360" w:lineRule="exact"/>
              <w:ind w:firstLine="0" w:firstLineChars="0"/>
              <w:jc w:val="center"/>
              <w:rPr>
                <w:rFonts w:cs="Times New Roman"/>
                <w:kern w:val="0"/>
                <w:sz w:val="18"/>
                <w:szCs w:val="20"/>
              </w:rPr>
            </w:pPr>
          </w:p>
        </w:tc>
        <w:tc>
          <w:tcPr>
            <w:tcW w:w="562" w:type="pct"/>
            <w:vAlign w:val="center"/>
          </w:tcPr>
          <w:p w14:paraId="2CF404E0">
            <w:pPr>
              <w:widowControl/>
              <w:spacing w:line="360" w:lineRule="exact"/>
              <w:ind w:firstLine="0" w:firstLineChars="0"/>
              <w:jc w:val="center"/>
              <w:rPr>
                <w:rFonts w:cs="Times New Roman"/>
                <w:kern w:val="0"/>
                <w:sz w:val="18"/>
                <w:szCs w:val="20"/>
              </w:rPr>
            </w:pPr>
            <w:r>
              <w:rPr>
                <w:rFonts w:hint="eastAsia" w:cs="Times New Roman"/>
                <w:kern w:val="0"/>
                <w:sz w:val="18"/>
                <w:szCs w:val="20"/>
              </w:rPr>
              <w:t>P值</w:t>
            </w:r>
          </w:p>
        </w:tc>
        <w:tc>
          <w:tcPr>
            <w:tcW w:w="778" w:type="pct"/>
            <w:gridSpan w:val="6"/>
            <w:vAlign w:val="center"/>
          </w:tcPr>
          <w:p w14:paraId="286BC97D">
            <w:pPr>
              <w:widowControl/>
              <w:spacing w:line="360" w:lineRule="exact"/>
              <w:ind w:firstLine="0" w:firstLineChars="0"/>
              <w:jc w:val="center"/>
              <w:rPr>
                <w:rFonts w:cs="Times New Roman"/>
                <w:kern w:val="0"/>
                <w:sz w:val="18"/>
                <w:szCs w:val="20"/>
              </w:rPr>
            </w:pPr>
            <w:r>
              <w:rPr>
                <w:rFonts w:hint="eastAsia" w:cs="Times New Roman"/>
                <w:kern w:val="0"/>
                <w:sz w:val="18"/>
                <w:szCs w:val="20"/>
              </w:rPr>
              <w:t>P1 □</w:t>
            </w:r>
          </w:p>
        </w:tc>
        <w:tc>
          <w:tcPr>
            <w:tcW w:w="775" w:type="pct"/>
            <w:gridSpan w:val="5"/>
            <w:vAlign w:val="center"/>
          </w:tcPr>
          <w:p w14:paraId="4A1D7828">
            <w:pPr>
              <w:widowControl/>
              <w:spacing w:line="360" w:lineRule="exact"/>
              <w:ind w:firstLine="0" w:firstLineChars="0"/>
              <w:jc w:val="center"/>
              <w:rPr>
                <w:rFonts w:cs="Times New Roman"/>
                <w:kern w:val="0"/>
                <w:sz w:val="18"/>
                <w:szCs w:val="20"/>
              </w:rPr>
            </w:pPr>
            <w:r>
              <w:rPr>
                <w:rFonts w:hint="eastAsia" w:cs="Times New Roman"/>
                <w:kern w:val="0"/>
                <w:sz w:val="18"/>
                <w:szCs w:val="20"/>
              </w:rPr>
              <w:t>P2 √</w:t>
            </w:r>
          </w:p>
        </w:tc>
        <w:tc>
          <w:tcPr>
            <w:tcW w:w="782" w:type="pct"/>
            <w:gridSpan w:val="6"/>
            <w:vAlign w:val="center"/>
          </w:tcPr>
          <w:p w14:paraId="679775C3">
            <w:pPr>
              <w:widowControl/>
              <w:spacing w:line="360" w:lineRule="exact"/>
              <w:ind w:firstLine="0" w:firstLineChars="0"/>
              <w:jc w:val="center"/>
              <w:rPr>
                <w:rFonts w:cs="Times New Roman"/>
                <w:kern w:val="0"/>
                <w:sz w:val="18"/>
                <w:szCs w:val="20"/>
              </w:rPr>
            </w:pPr>
            <w:r>
              <w:rPr>
                <w:rFonts w:hint="eastAsia" w:cs="Times New Roman"/>
                <w:kern w:val="0"/>
                <w:sz w:val="18"/>
                <w:szCs w:val="20"/>
              </w:rPr>
              <w:t>P3 □</w:t>
            </w:r>
          </w:p>
        </w:tc>
        <w:tc>
          <w:tcPr>
            <w:tcW w:w="773" w:type="pct"/>
            <w:gridSpan w:val="3"/>
            <w:vAlign w:val="center"/>
          </w:tcPr>
          <w:p w14:paraId="388DB4DF">
            <w:pPr>
              <w:widowControl/>
              <w:spacing w:line="360" w:lineRule="exact"/>
              <w:ind w:firstLine="0" w:firstLineChars="0"/>
              <w:jc w:val="center"/>
              <w:rPr>
                <w:rFonts w:cs="Times New Roman"/>
                <w:kern w:val="0"/>
                <w:sz w:val="18"/>
                <w:szCs w:val="20"/>
              </w:rPr>
            </w:pPr>
            <w:r>
              <w:rPr>
                <w:rFonts w:hint="eastAsia" w:cs="Times New Roman"/>
                <w:kern w:val="0"/>
                <w:sz w:val="18"/>
                <w:szCs w:val="20"/>
              </w:rPr>
              <w:t>P4 □</w:t>
            </w:r>
          </w:p>
        </w:tc>
      </w:tr>
      <w:tr w14:paraId="05EF1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restart"/>
            <w:vAlign w:val="center"/>
          </w:tcPr>
          <w:p w14:paraId="2BB0340E">
            <w:pPr>
              <w:widowControl/>
              <w:spacing w:line="360" w:lineRule="exact"/>
              <w:ind w:firstLine="0" w:firstLineChars="0"/>
              <w:jc w:val="center"/>
              <w:rPr>
                <w:rFonts w:cs="Times New Roman"/>
                <w:kern w:val="0"/>
                <w:sz w:val="18"/>
                <w:szCs w:val="20"/>
              </w:rPr>
            </w:pPr>
            <w:r>
              <w:rPr>
                <w:rFonts w:hint="eastAsia" w:cs="Times New Roman"/>
                <w:kern w:val="0"/>
                <w:sz w:val="18"/>
                <w:szCs w:val="20"/>
              </w:rPr>
              <w:t>环境敏感</w:t>
            </w:r>
          </w:p>
          <w:p w14:paraId="21C9D7D4">
            <w:pPr>
              <w:widowControl/>
              <w:spacing w:line="360" w:lineRule="exact"/>
              <w:ind w:firstLine="0" w:firstLineChars="0"/>
              <w:jc w:val="center"/>
              <w:rPr>
                <w:rFonts w:cs="Times New Roman"/>
                <w:kern w:val="0"/>
                <w:sz w:val="18"/>
                <w:szCs w:val="20"/>
              </w:rPr>
            </w:pPr>
            <w:r>
              <w:rPr>
                <w:rFonts w:hint="eastAsia" w:cs="Times New Roman"/>
                <w:kern w:val="0"/>
                <w:sz w:val="18"/>
                <w:szCs w:val="20"/>
              </w:rPr>
              <w:t>程度</w:t>
            </w:r>
          </w:p>
        </w:tc>
        <w:tc>
          <w:tcPr>
            <w:tcW w:w="562" w:type="pct"/>
            <w:vAlign w:val="center"/>
          </w:tcPr>
          <w:p w14:paraId="57699237">
            <w:pPr>
              <w:widowControl/>
              <w:spacing w:line="360" w:lineRule="exact"/>
              <w:ind w:firstLine="0" w:firstLineChars="0"/>
              <w:jc w:val="center"/>
              <w:rPr>
                <w:rFonts w:cs="Times New Roman"/>
                <w:kern w:val="0"/>
                <w:sz w:val="18"/>
                <w:szCs w:val="20"/>
              </w:rPr>
            </w:pPr>
            <w:r>
              <w:rPr>
                <w:rFonts w:hint="eastAsia" w:cs="Times New Roman"/>
                <w:kern w:val="0"/>
                <w:sz w:val="18"/>
                <w:szCs w:val="20"/>
              </w:rPr>
              <w:t>大气</w:t>
            </w:r>
          </w:p>
        </w:tc>
        <w:tc>
          <w:tcPr>
            <w:tcW w:w="1036" w:type="pct"/>
            <w:gridSpan w:val="8"/>
            <w:vAlign w:val="center"/>
          </w:tcPr>
          <w:p w14:paraId="081B3CA6">
            <w:pPr>
              <w:widowControl/>
              <w:spacing w:line="360" w:lineRule="exact"/>
              <w:ind w:firstLine="0" w:firstLineChars="0"/>
              <w:jc w:val="center"/>
              <w:rPr>
                <w:rFonts w:cs="Times New Roman"/>
                <w:kern w:val="0"/>
                <w:sz w:val="18"/>
                <w:szCs w:val="20"/>
              </w:rPr>
            </w:pPr>
            <w:r>
              <w:rPr>
                <w:rFonts w:hint="eastAsia" w:cs="Times New Roman"/>
                <w:kern w:val="0"/>
                <w:sz w:val="18"/>
                <w:szCs w:val="20"/>
              </w:rPr>
              <w:t>E1 √</w:t>
            </w:r>
          </w:p>
        </w:tc>
        <w:tc>
          <w:tcPr>
            <w:tcW w:w="1036" w:type="pct"/>
            <w:gridSpan w:val="7"/>
            <w:vAlign w:val="center"/>
          </w:tcPr>
          <w:p w14:paraId="17F258AA">
            <w:pPr>
              <w:widowControl/>
              <w:spacing w:line="360" w:lineRule="exact"/>
              <w:ind w:firstLine="0" w:firstLineChars="0"/>
              <w:jc w:val="center"/>
              <w:rPr>
                <w:rFonts w:cs="Times New Roman"/>
                <w:kern w:val="0"/>
                <w:sz w:val="18"/>
                <w:szCs w:val="20"/>
              </w:rPr>
            </w:pPr>
            <w:r>
              <w:rPr>
                <w:rFonts w:hint="eastAsia" w:cs="Times New Roman"/>
                <w:kern w:val="0"/>
                <w:sz w:val="18"/>
                <w:szCs w:val="20"/>
              </w:rPr>
              <w:t>E2 □</w:t>
            </w:r>
          </w:p>
        </w:tc>
        <w:tc>
          <w:tcPr>
            <w:tcW w:w="1035" w:type="pct"/>
            <w:gridSpan w:val="5"/>
            <w:vAlign w:val="center"/>
          </w:tcPr>
          <w:p w14:paraId="4740399D">
            <w:pPr>
              <w:widowControl/>
              <w:spacing w:line="360" w:lineRule="exact"/>
              <w:ind w:firstLine="0" w:firstLineChars="0"/>
              <w:jc w:val="center"/>
              <w:rPr>
                <w:rFonts w:cs="Times New Roman"/>
                <w:kern w:val="0"/>
                <w:sz w:val="18"/>
                <w:szCs w:val="20"/>
              </w:rPr>
            </w:pPr>
            <w:r>
              <w:rPr>
                <w:rFonts w:hint="eastAsia" w:cs="Times New Roman"/>
                <w:kern w:val="0"/>
                <w:sz w:val="18"/>
                <w:szCs w:val="20"/>
              </w:rPr>
              <w:t>E3 □</w:t>
            </w:r>
          </w:p>
        </w:tc>
      </w:tr>
      <w:tr w14:paraId="78587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continue"/>
            <w:vAlign w:val="center"/>
          </w:tcPr>
          <w:p w14:paraId="4143973E">
            <w:pPr>
              <w:widowControl/>
              <w:spacing w:line="360" w:lineRule="exact"/>
              <w:ind w:firstLine="0" w:firstLineChars="0"/>
              <w:jc w:val="center"/>
              <w:rPr>
                <w:rFonts w:cs="Times New Roman"/>
                <w:kern w:val="0"/>
                <w:sz w:val="18"/>
                <w:szCs w:val="20"/>
              </w:rPr>
            </w:pPr>
          </w:p>
        </w:tc>
        <w:tc>
          <w:tcPr>
            <w:tcW w:w="562" w:type="pct"/>
            <w:vAlign w:val="center"/>
          </w:tcPr>
          <w:p w14:paraId="590E0CEC">
            <w:pPr>
              <w:widowControl/>
              <w:spacing w:line="360" w:lineRule="exact"/>
              <w:ind w:firstLine="0" w:firstLineChars="0"/>
              <w:jc w:val="center"/>
              <w:rPr>
                <w:rFonts w:cs="Times New Roman"/>
                <w:kern w:val="0"/>
                <w:sz w:val="18"/>
                <w:szCs w:val="20"/>
              </w:rPr>
            </w:pPr>
            <w:r>
              <w:rPr>
                <w:rFonts w:hint="eastAsia" w:cs="Times New Roman"/>
                <w:kern w:val="0"/>
                <w:sz w:val="18"/>
                <w:szCs w:val="20"/>
              </w:rPr>
              <w:t>地表水</w:t>
            </w:r>
          </w:p>
        </w:tc>
        <w:tc>
          <w:tcPr>
            <w:tcW w:w="1036" w:type="pct"/>
            <w:gridSpan w:val="8"/>
            <w:vAlign w:val="center"/>
          </w:tcPr>
          <w:p w14:paraId="0B12AD0D">
            <w:pPr>
              <w:widowControl/>
              <w:spacing w:line="360" w:lineRule="exact"/>
              <w:ind w:firstLine="0" w:firstLineChars="0"/>
              <w:jc w:val="center"/>
              <w:rPr>
                <w:rFonts w:cs="Times New Roman"/>
                <w:kern w:val="0"/>
                <w:sz w:val="18"/>
                <w:szCs w:val="20"/>
              </w:rPr>
            </w:pPr>
            <w:r>
              <w:rPr>
                <w:rFonts w:hint="eastAsia" w:cs="Times New Roman"/>
                <w:kern w:val="0"/>
                <w:sz w:val="18"/>
                <w:szCs w:val="20"/>
              </w:rPr>
              <w:t>E1 □</w:t>
            </w:r>
          </w:p>
        </w:tc>
        <w:tc>
          <w:tcPr>
            <w:tcW w:w="1036" w:type="pct"/>
            <w:gridSpan w:val="7"/>
            <w:vAlign w:val="center"/>
          </w:tcPr>
          <w:p w14:paraId="6685941A">
            <w:pPr>
              <w:widowControl/>
              <w:spacing w:line="360" w:lineRule="exact"/>
              <w:ind w:firstLine="0" w:firstLineChars="0"/>
              <w:jc w:val="center"/>
              <w:rPr>
                <w:rFonts w:cs="Times New Roman"/>
                <w:kern w:val="0"/>
                <w:sz w:val="18"/>
                <w:szCs w:val="20"/>
              </w:rPr>
            </w:pPr>
            <w:r>
              <w:rPr>
                <w:rFonts w:hint="eastAsia" w:cs="Times New Roman"/>
                <w:kern w:val="0"/>
                <w:sz w:val="18"/>
                <w:szCs w:val="20"/>
              </w:rPr>
              <w:t>E2 □</w:t>
            </w:r>
          </w:p>
        </w:tc>
        <w:tc>
          <w:tcPr>
            <w:tcW w:w="1035" w:type="pct"/>
            <w:gridSpan w:val="5"/>
            <w:vAlign w:val="center"/>
          </w:tcPr>
          <w:p w14:paraId="2D8F951E">
            <w:pPr>
              <w:widowControl/>
              <w:spacing w:line="360" w:lineRule="exact"/>
              <w:ind w:firstLine="0" w:firstLineChars="0"/>
              <w:jc w:val="center"/>
              <w:rPr>
                <w:rFonts w:cs="Times New Roman"/>
                <w:kern w:val="0"/>
                <w:sz w:val="18"/>
                <w:szCs w:val="20"/>
              </w:rPr>
            </w:pPr>
            <w:r>
              <w:rPr>
                <w:rFonts w:hint="eastAsia" w:cs="Times New Roman"/>
                <w:kern w:val="0"/>
                <w:sz w:val="18"/>
                <w:szCs w:val="20"/>
              </w:rPr>
              <w:t>E3 √</w:t>
            </w:r>
          </w:p>
        </w:tc>
      </w:tr>
      <w:tr w14:paraId="08396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Merge w:val="continue"/>
            <w:vAlign w:val="center"/>
          </w:tcPr>
          <w:p w14:paraId="755CF82A">
            <w:pPr>
              <w:widowControl/>
              <w:spacing w:line="360" w:lineRule="exact"/>
              <w:ind w:firstLine="0" w:firstLineChars="0"/>
              <w:jc w:val="center"/>
              <w:rPr>
                <w:rFonts w:cs="Times New Roman"/>
                <w:kern w:val="0"/>
                <w:sz w:val="18"/>
                <w:szCs w:val="20"/>
              </w:rPr>
            </w:pPr>
          </w:p>
        </w:tc>
        <w:tc>
          <w:tcPr>
            <w:tcW w:w="562" w:type="pct"/>
            <w:vAlign w:val="center"/>
          </w:tcPr>
          <w:p w14:paraId="0AA9645D">
            <w:pPr>
              <w:widowControl/>
              <w:spacing w:line="360" w:lineRule="exact"/>
              <w:ind w:firstLine="0" w:firstLineChars="0"/>
              <w:jc w:val="center"/>
              <w:rPr>
                <w:rFonts w:cs="Times New Roman"/>
                <w:kern w:val="0"/>
                <w:sz w:val="18"/>
                <w:szCs w:val="20"/>
              </w:rPr>
            </w:pPr>
            <w:r>
              <w:rPr>
                <w:rFonts w:hint="eastAsia" w:cs="Times New Roman"/>
                <w:kern w:val="0"/>
                <w:sz w:val="18"/>
                <w:szCs w:val="20"/>
              </w:rPr>
              <w:t>地下水</w:t>
            </w:r>
          </w:p>
        </w:tc>
        <w:tc>
          <w:tcPr>
            <w:tcW w:w="1036" w:type="pct"/>
            <w:gridSpan w:val="8"/>
            <w:vAlign w:val="center"/>
          </w:tcPr>
          <w:p w14:paraId="1F7BF610">
            <w:pPr>
              <w:widowControl/>
              <w:spacing w:line="360" w:lineRule="exact"/>
              <w:ind w:firstLine="0" w:firstLineChars="0"/>
              <w:jc w:val="center"/>
              <w:rPr>
                <w:rFonts w:cs="Times New Roman"/>
                <w:kern w:val="0"/>
                <w:sz w:val="18"/>
                <w:szCs w:val="20"/>
              </w:rPr>
            </w:pPr>
            <w:r>
              <w:rPr>
                <w:rFonts w:hint="eastAsia" w:cs="Times New Roman"/>
                <w:kern w:val="0"/>
                <w:sz w:val="18"/>
                <w:szCs w:val="20"/>
              </w:rPr>
              <w:t>E1 □</w:t>
            </w:r>
          </w:p>
        </w:tc>
        <w:tc>
          <w:tcPr>
            <w:tcW w:w="1036" w:type="pct"/>
            <w:gridSpan w:val="7"/>
            <w:vAlign w:val="center"/>
          </w:tcPr>
          <w:p w14:paraId="719B9914">
            <w:pPr>
              <w:widowControl/>
              <w:spacing w:line="360" w:lineRule="exact"/>
              <w:ind w:firstLine="0" w:firstLineChars="0"/>
              <w:jc w:val="center"/>
              <w:rPr>
                <w:rFonts w:cs="Times New Roman"/>
                <w:kern w:val="0"/>
                <w:sz w:val="18"/>
                <w:szCs w:val="20"/>
              </w:rPr>
            </w:pPr>
            <w:r>
              <w:rPr>
                <w:rFonts w:hint="eastAsia" w:cs="Times New Roman"/>
                <w:kern w:val="0"/>
                <w:sz w:val="18"/>
                <w:szCs w:val="20"/>
              </w:rPr>
              <w:t>E2 □</w:t>
            </w:r>
          </w:p>
        </w:tc>
        <w:tc>
          <w:tcPr>
            <w:tcW w:w="1035" w:type="pct"/>
            <w:gridSpan w:val="5"/>
            <w:vAlign w:val="center"/>
          </w:tcPr>
          <w:p w14:paraId="794C893A">
            <w:pPr>
              <w:widowControl/>
              <w:spacing w:line="360" w:lineRule="exact"/>
              <w:ind w:firstLine="0" w:firstLineChars="0"/>
              <w:jc w:val="center"/>
              <w:rPr>
                <w:rFonts w:cs="Times New Roman"/>
                <w:kern w:val="0"/>
                <w:sz w:val="18"/>
                <w:szCs w:val="20"/>
              </w:rPr>
            </w:pPr>
            <w:r>
              <w:rPr>
                <w:rFonts w:hint="eastAsia" w:cs="Times New Roman"/>
                <w:kern w:val="0"/>
                <w:sz w:val="18"/>
                <w:szCs w:val="20"/>
              </w:rPr>
              <w:t>E3 √</w:t>
            </w:r>
          </w:p>
        </w:tc>
      </w:tr>
      <w:tr w14:paraId="3474D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Align w:val="center"/>
          </w:tcPr>
          <w:p w14:paraId="1CDA8B71">
            <w:pPr>
              <w:widowControl/>
              <w:spacing w:line="360" w:lineRule="exact"/>
              <w:ind w:firstLine="0" w:firstLineChars="0"/>
              <w:jc w:val="center"/>
              <w:rPr>
                <w:rFonts w:cs="Times New Roman"/>
                <w:kern w:val="0"/>
                <w:sz w:val="18"/>
                <w:szCs w:val="20"/>
              </w:rPr>
            </w:pPr>
            <w:r>
              <w:rPr>
                <w:rFonts w:hint="eastAsia" w:cs="Times New Roman"/>
                <w:kern w:val="0"/>
                <w:sz w:val="18"/>
                <w:szCs w:val="20"/>
              </w:rPr>
              <w:t>环境风险</w:t>
            </w:r>
          </w:p>
          <w:p w14:paraId="07242D4B">
            <w:pPr>
              <w:widowControl/>
              <w:spacing w:line="360" w:lineRule="exact"/>
              <w:ind w:firstLine="0" w:firstLineChars="0"/>
              <w:jc w:val="center"/>
              <w:rPr>
                <w:rFonts w:cs="Times New Roman"/>
                <w:kern w:val="0"/>
                <w:sz w:val="18"/>
                <w:szCs w:val="20"/>
              </w:rPr>
            </w:pPr>
            <w:r>
              <w:rPr>
                <w:rFonts w:hint="eastAsia" w:cs="Times New Roman"/>
                <w:kern w:val="0"/>
                <w:sz w:val="18"/>
                <w:szCs w:val="20"/>
              </w:rPr>
              <w:t>潜势</w:t>
            </w:r>
          </w:p>
        </w:tc>
        <w:tc>
          <w:tcPr>
            <w:tcW w:w="733" w:type="pct"/>
            <w:gridSpan w:val="2"/>
            <w:vAlign w:val="center"/>
          </w:tcPr>
          <w:p w14:paraId="11EA556A">
            <w:pPr>
              <w:widowControl/>
              <w:spacing w:line="360" w:lineRule="exact"/>
              <w:ind w:firstLine="0" w:firstLineChars="0"/>
              <w:jc w:val="center"/>
              <w:rPr>
                <w:rFonts w:cs="Times New Roman"/>
                <w:kern w:val="0"/>
                <w:sz w:val="18"/>
                <w:szCs w:val="20"/>
              </w:rPr>
            </w:pPr>
            <w:r>
              <w:rPr>
                <w:rFonts w:hint="eastAsia" w:cs="Times New Roman"/>
                <w:kern w:val="0"/>
                <w:sz w:val="18"/>
                <w:szCs w:val="20"/>
              </w:rPr>
              <w:t>Ⅳ+ □</w:t>
            </w:r>
          </w:p>
        </w:tc>
        <w:tc>
          <w:tcPr>
            <w:tcW w:w="737" w:type="pct"/>
            <w:gridSpan w:val="6"/>
            <w:vAlign w:val="center"/>
          </w:tcPr>
          <w:p w14:paraId="65DB7BB4">
            <w:pPr>
              <w:widowControl/>
              <w:spacing w:line="360" w:lineRule="exact"/>
              <w:ind w:firstLine="0" w:firstLineChars="0"/>
              <w:jc w:val="center"/>
              <w:rPr>
                <w:rFonts w:cs="Times New Roman"/>
                <w:kern w:val="0"/>
                <w:sz w:val="18"/>
                <w:szCs w:val="20"/>
              </w:rPr>
            </w:pPr>
            <w:r>
              <w:rPr>
                <w:rFonts w:hint="eastAsia" w:cs="Times New Roman"/>
                <w:kern w:val="0"/>
                <w:sz w:val="18"/>
                <w:szCs w:val="20"/>
              </w:rPr>
              <w:t>Ⅳ√</w:t>
            </w:r>
          </w:p>
        </w:tc>
        <w:tc>
          <w:tcPr>
            <w:tcW w:w="732" w:type="pct"/>
            <w:gridSpan w:val="5"/>
            <w:vAlign w:val="center"/>
          </w:tcPr>
          <w:p w14:paraId="30258B13">
            <w:pPr>
              <w:widowControl/>
              <w:spacing w:line="360" w:lineRule="exact"/>
              <w:ind w:firstLine="0" w:firstLineChars="0"/>
              <w:jc w:val="center"/>
              <w:rPr>
                <w:rFonts w:cs="Times New Roman"/>
                <w:kern w:val="0"/>
                <w:sz w:val="18"/>
                <w:szCs w:val="20"/>
              </w:rPr>
            </w:pPr>
            <w:r>
              <w:rPr>
                <w:rFonts w:hint="eastAsia" w:cs="Times New Roman"/>
                <w:kern w:val="0"/>
                <w:sz w:val="18"/>
                <w:szCs w:val="20"/>
              </w:rPr>
              <w:t>Ⅲ□</w:t>
            </w:r>
          </w:p>
        </w:tc>
        <w:tc>
          <w:tcPr>
            <w:tcW w:w="733" w:type="pct"/>
            <w:gridSpan w:val="6"/>
            <w:vAlign w:val="center"/>
          </w:tcPr>
          <w:p w14:paraId="2B5513D9">
            <w:pPr>
              <w:widowControl/>
              <w:spacing w:line="360" w:lineRule="exact"/>
              <w:ind w:firstLine="0" w:firstLineChars="0"/>
              <w:jc w:val="center"/>
              <w:rPr>
                <w:rFonts w:cs="Times New Roman"/>
                <w:kern w:val="0"/>
                <w:sz w:val="18"/>
                <w:szCs w:val="20"/>
              </w:rPr>
            </w:pPr>
            <w:r>
              <w:rPr>
                <w:rFonts w:hint="eastAsia" w:cs="Times New Roman"/>
                <w:kern w:val="0"/>
                <w:sz w:val="18"/>
                <w:szCs w:val="20"/>
              </w:rPr>
              <w:t>Ⅱ □</w:t>
            </w:r>
          </w:p>
        </w:tc>
        <w:tc>
          <w:tcPr>
            <w:tcW w:w="735" w:type="pct"/>
            <w:gridSpan w:val="2"/>
            <w:vAlign w:val="center"/>
          </w:tcPr>
          <w:p w14:paraId="79E72B4B">
            <w:pPr>
              <w:widowControl/>
              <w:spacing w:line="360" w:lineRule="exact"/>
              <w:ind w:firstLine="0" w:firstLineChars="0"/>
              <w:jc w:val="center"/>
              <w:rPr>
                <w:rFonts w:cs="Times New Roman"/>
                <w:kern w:val="0"/>
                <w:sz w:val="18"/>
                <w:szCs w:val="20"/>
              </w:rPr>
            </w:pPr>
            <w:r>
              <w:rPr>
                <w:rFonts w:hint="eastAsia" w:cs="Times New Roman"/>
                <w:kern w:val="0"/>
                <w:sz w:val="18"/>
                <w:szCs w:val="20"/>
              </w:rPr>
              <w:t>I □</w:t>
            </w:r>
          </w:p>
        </w:tc>
      </w:tr>
      <w:tr w14:paraId="5DBD0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Align w:val="center"/>
          </w:tcPr>
          <w:p w14:paraId="015CA390">
            <w:pPr>
              <w:widowControl/>
              <w:spacing w:line="360" w:lineRule="exact"/>
              <w:ind w:firstLine="0" w:firstLineChars="0"/>
              <w:jc w:val="center"/>
              <w:rPr>
                <w:rFonts w:cs="Times New Roman"/>
                <w:kern w:val="0"/>
                <w:sz w:val="18"/>
                <w:szCs w:val="20"/>
              </w:rPr>
            </w:pPr>
            <w:r>
              <w:rPr>
                <w:rFonts w:hint="eastAsia" w:cs="Times New Roman"/>
                <w:kern w:val="0"/>
                <w:sz w:val="18"/>
                <w:szCs w:val="20"/>
              </w:rPr>
              <w:t>评价等级</w:t>
            </w:r>
          </w:p>
        </w:tc>
        <w:tc>
          <w:tcPr>
            <w:tcW w:w="918" w:type="pct"/>
            <w:gridSpan w:val="4"/>
            <w:vAlign w:val="center"/>
          </w:tcPr>
          <w:p w14:paraId="59FB7053">
            <w:pPr>
              <w:widowControl/>
              <w:spacing w:line="360" w:lineRule="exact"/>
              <w:ind w:firstLine="0" w:firstLineChars="0"/>
              <w:jc w:val="center"/>
              <w:rPr>
                <w:rFonts w:cs="Times New Roman"/>
                <w:kern w:val="0"/>
                <w:sz w:val="18"/>
                <w:szCs w:val="20"/>
              </w:rPr>
            </w:pPr>
            <w:r>
              <w:rPr>
                <w:rFonts w:hint="eastAsia" w:cs="Times New Roman"/>
                <w:kern w:val="0"/>
                <w:sz w:val="18"/>
                <w:szCs w:val="20"/>
              </w:rPr>
              <w:t>一级√</w:t>
            </w:r>
          </w:p>
        </w:tc>
        <w:tc>
          <w:tcPr>
            <w:tcW w:w="919" w:type="pct"/>
            <w:gridSpan w:val="6"/>
            <w:vAlign w:val="center"/>
          </w:tcPr>
          <w:p w14:paraId="1E111605">
            <w:pPr>
              <w:widowControl/>
              <w:spacing w:line="360" w:lineRule="exact"/>
              <w:ind w:firstLine="0" w:firstLineChars="0"/>
              <w:jc w:val="center"/>
              <w:rPr>
                <w:rFonts w:cs="Times New Roman"/>
                <w:kern w:val="0"/>
                <w:sz w:val="18"/>
                <w:szCs w:val="20"/>
              </w:rPr>
            </w:pPr>
            <w:r>
              <w:rPr>
                <w:rFonts w:hint="eastAsia" w:cs="Times New Roman"/>
                <w:kern w:val="0"/>
                <w:sz w:val="18"/>
                <w:szCs w:val="20"/>
              </w:rPr>
              <w:t>二级□</w:t>
            </w:r>
          </w:p>
        </w:tc>
        <w:tc>
          <w:tcPr>
            <w:tcW w:w="917" w:type="pct"/>
            <w:gridSpan w:val="7"/>
            <w:vAlign w:val="center"/>
          </w:tcPr>
          <w:p w14:paraId="1086720B">
            <w:pPr>
              <w:widowControl/>
              <w:spacing w:line="360" w:lineRule="exact"/>
              <w:ind w:firstLine="0" w:firstLineChars="0"/>
              <w:jc w:val="center"/>
              <w:rPr>
                <w:rFonts w:cs="Times New Roman"/>
                <w:kern w:val="0"/>
                <w:sz w:val="18"/>
                <w:szCs w:val="20"/>
              </w:rPr>
            </w:pPr>
            <w:r>
              <w:rPr>
                <w:rFonts w:hint="eastAsia" w:cs="Times New Roman"/>
                <w:kern w:val="0"/>
                <w:sz w:val="18"/>
                <w:szCs w:val="20"/>
              </w:rPr>
              <w:t>三级 □</w:t>
            </w:r>
          </w:p>
        </w:tc>
        <w:tc>
          <w:tcPr>
            <w:tcW w:w="916" w:type="pct"/>
            <w:gridSpan w:val="4"/>
            <w:vAlign w:val="center"/>
          </w:tcPr>
          <w:p w14:paraId="10D1DAA1">
            <w:pPr>
              <w:widowControl/>
              <w:spacing w:line="360" w:lineRule="exact"/>
              <w:ind w:firstLine="0" w:firstLineChars="0"/>
              <w:jc w:val="center"/>
              <w:rPr>
                <w:rFonts w:cs="Times New Roman"/>
                <w:kern w:val="0"/>
                <w:sz w:val="18"/>
                <w:szCs w:val="20"/>
              </w:rPr>
            </w:pPr>
            <w:r>
              <w:rPr>
                <w:rFonts w:hint="eastAsia" w:cs="Times New Roman"/>
                <w:kern w:val="0"/>
                <w:sz w:val="18"/>
                <w:szCs w:val="20"/>
              </w:rPr>
              <w:t>简单分析 □</w:t>
            </w:r>
          </w:p>
        </w:tc>
      </w:tr>
      <w:tr w14:paraId="076841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restart"/>
            <w:vAlign w:val="center"/>
          </w:tcPr>
          <w:p w14:paraId="371C2C18">
            <w:pPr>
              <w:widowControl/>
              <w:spacing w:line="360" w:lineRule="exact"/>
              <w:ind w:firstLine="0" w:firstLineChars="0"/>
              <w:jc w:val="center"/>
              <w:rPr>
                <w:rFonts w:cs="Times New Roman"/>
                <w:kern w:val="0"/>
                <w:sz w:val="18"/>
                <w:szCs w:val="20"/>
              </w:rPr>
            </w:pPr>
            <w:r>
              <w:rPr>
                <w:rFonts w:hint="eastAsia" w:cs="Times New Roman"/>
                <w:kern w:val="0"/>
                <w:sz w:val="18"/>
                <w:szCs w:val="20"/>
              </w:rPr>
              <w:t>风</w:t>
            </w:r>
          </w:p>
          <w:p w14:paraId="4ED4639E">
            <w:pPr>
              <w:widowControl/>
              <w:spacing w:line="360" w:lineRule="exact"/>
              <w:ind w:firstLine="0" w:firstLineChars="0"/>
              <w:jc w:val="center"/>
              <w:rPr>
                <w:rFonts w:cs="Times New Roman"/>
                <w:kern w:val="0"/>
                <w:sz w:val="18"/>
                <w:szCs w:val="20"/>
              </w:rPr>
            </w:pPr>
            <w:r>
              <w:rPr>
                <w:rFonts w:hint="eastAsia" w:cs="Times New Roman"/>
                <w:kern w:val="0"/>
                <w:sz w:val="18"/>
                <w:szCs w:val="20"/>
              </w:rPr>
              <w:t>险</w:t>
            </w:r>
          </w:p>
          <w:p w14:paraId="44FE8881">
            <w:pPr>
              <w:widowControl/>
              <w:spacing w:line="360" w:lineRule="exact"/>
              <w:ind w:firstLine="0" w:firstLineChars="0"/>
              <w:jc w:val="center"/>
              <w:rPr>
                <w:rFonts w:cs="Times New Roman"/>
                <w:kern w:val="0"/>
                <w:sz w:val="18"/>
                <w:szCs w:val="20"/>
              </w:rPr>
            </w:pPr>
            <w:r>
              <w:rPr>
                <w:rFonts w:hint="eastAsia" w:cs="Times New Roman"/>
                <w:kern w:val="0"/>
                <w:sz w:val="18"/>
                <w:szCs w:val="20"/>
              </w:rPr>
              <w:t>识</w:t>
            </w:r>
          </w:p>
          <w:p w14:paraId="73C78A1D">
            <w:pPr>
              <w:widowControl/>
              <w:spacing w:line="360" w:lineRule="exact"/>
              <w:ind w:firstLine="0" w:firstLineChars="0"/>
              <w:jc w:val="center"/>
              <w:rPr>
                <w:rFonts w:cs="Times New Roman"/>
                <w:kern w:val="0"/>
                <w:sz w:val="18"/>
                <w:szCs w:val="20"/>
              </w:rPr>
            </w:pPr>
            <w:r>
              <w:rPr>
                <w:rFonts w:hint="eastAsia" w:cs="Times New Roman"/>
                <w:kern w:val="0"/>
                <w:sz w:val="18"/>
                <w:szCs w:val="20"/>
              </w:rPr>
              <w:t>别</w:t>
            </w:r>
          </w:p>
        </w:tc>
        <w:tc>
          <w:tcPr>
            <w:tcW w:w="824" w:type="pct"/>
            <w:vAlign w:val="center"/>
          </w:tcPr>
          <w:p w14:paraId="490A5ECA">
            <w:pPr>
              <w:widowControl/>
              <w:spacing w:line="360" w:lineRule="exact"/>
              <w:ind w:firstLine="0" w:firstLineChars="0"/>
              <w:jc w:val="center"/>
              <w:rPr>
                <w:rFonts w:cs="Times New Roman"/>
                <w:kern w:val="0"/>
                <w:sz w:val="18"/>
                <w:szCs w:val="20"/>
              </w:rPr>
            </w:pPr>
            <w:r>
              <w:rPr>
                <w:rFonts w:hint="eastAsia" w:cs="Times New Roman"/>
                <w:kern w:val="0"/>
                <w:sz w:val="18"/>
                <w:szCs w:val="20"/>
              </w:rPr>
              <w:t>物质危险性</w:t>
            </w:r>
          </w:p>
        </w:tc>
        <w:tc>
          <w:tcPr>
            <w:tcW w:w="1837" w:type="pct"/>
            <w:gridSpan w:val="10"/>
            <w:vAlign w:val="center"/>
          </w:tcPr>
          <w:p w14:paraId="2DE346B9">
            <w:pPr>
              <w:widowControl/>
              <w:spacing w:line="360" w:lineRule="exact"/>
              <w:ind w:firstLine="0" w:firstLineChars="0"/>
              <w:jc w:val="center"/>
              <w:rPr>
                <w:rFonts w:cs="Times New Roman"/>
                <w:kern w:val="0"/>
                <w:sz w:val="18"/>
                <w:szCs w:val="20"/>
              </w:rPr>
            </w:pPr>
            <w:r>
              <w:rPr>
                <w:rFonts w:hint="eastAsia" w:cs="Times New Roman"/>
                <w:kern w:val="0"/>
                <w:sz w:val="18"/>
                <w:szCs w:val="20"/>
              </w:rPr>
              <w:t>有毒有害√</w:t>
            </w:r>
          </w:p>
        </w:tc>
        <w:tc>
          <w:tcPr>
            <w:tcW w:w="1833" w:type="pct"/>
            <w:gridSpan w:val="11"/>
            <w:vAlign w:val="center"/>
          </w:tcPr>
          <w:p w14:paraId="031CEACC">
            <w:pPr>
              <w:widowControl/>
              <w:spacing w:line="360" w:lineRule="exact"/>
              <w:ind w:firstLine="0" w:firstLineChars="0"/>
              <w:jc w:val="center"/>
              <w:rPr>
                <w:rFonts w:cs="Times New Roman"/>
                <w:kern w:val="0"/>
                <w:sz w:val="18"/>
                <w:szCs w:val="20"/>
              </w:rPr>
            </w:pPr>
            <w:r>
              <w:rPr>
                <w:rFonts w:hint="eastAsia" w:cs="Times New Roman"/>
                <w:kern w:val="0"/>
                <w:sz w:val="18"/>
                <w:szCs w:val="20"/>
              </w:rPr>
              <w:t>易燃易爆√</w:t>
            </w:r>
          </w:p>
        </w:tc>
      </w:tr>
      <w:tr w14:paraId="0C45E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45A361C5">
            <w:pPr>
              <w:widowControl/>
              <w:spacing w:line="360" w:lineRule="exact"/>
              <w:ind w:firstLine="0" w:firstLineChars="0"/>
              <w:jc w:val="center"/>
              <w:rPr>
                <w:rFonts w:cs="Times New Roman"/>
                <w:kern w:val="0"/>
                <w:sz w:val="18"/>
                <w:szCs w:val="20"/>
              </w:rPr>
            </w:pPr>
          </w:p>
        </w:tc>
        <w:tc>
          <w:tcPr>
            <w:tcW w:w="824" w:type="pct"/>
            <w:vAlign w:val="center"/>
          </w:tcPr>
          <w:p w14:paraId="27EAAB9C">
            <w:pPr>
              <w:widowControl/>
              <w:spacing w:line="360" w:lineRule="exact"/>
              <w:ind w:firstLine="0" w:firstLineChars="0"/>
              <w:jc w:val="center"/>
              <w:rPr>
                <w:rFonts w:cs="Times New Roman"/>
                <w:kern w:val="0"/>
                <w:sz w:val="18"/>
                <w:szCs w:val="20"/>
              </w:rPr>
            </w:pPr>
            <w:r>
              <w:rPr>
                <w:rFonts w:hint="eastAsia" w:cs="Times New Roman"/>
                <w:kern w:val="0"/>
                <w:sz w:val="18"/>
                <w:szCs w:val="20"/>
              </w:rPr>
              <w:t>环境风险</w:t>
            </w:r>
          </w:p>
          <w:p w14:paraId="70C63D2F">
            <w:pPr>
              <w:widowControl/>
              <w:spacing w:line="360" w:lineRule="exact"/>
              <w:ind w:firstLine="0" w:firstLineChars="0"/>
              <w:jc w:val="center"/>
              <w:rPr>
                <w:rFonts w:cs="Times New Roman"/>
                <w:kern w:val="0"/>
                <w:sz w:val="18"/>
                <w:szCs w:val="20"/>
              </w:rPr>
            </w:pPr>
            <w:r>
              <w:rPr>
                <w:rFonts w:hint="eastAsia" w:cs="Times New Roman"/>
                <w:kern w:val="0"/>
                <w:sz w:val="18"/>
                <w:szCs w:val="20"/>
              </w:rPr>
              <w:t>类型</w:t>
            </w:r>
          </w:p>
        </w:tc>
        <w:tc>
          <w:tcPr>
            <w:tcW w:w="1837" w:type="pct"/>
            <w:gridSpan w:val="10"/>
            <w:vAlign w:val="center"/>
          </w:tcPr>
          <w:p w14:paraId="00263927">
            <w:pPr>
              <w:widowControl/>
              <w:spacing w:line="360" w:lineRule="exact"/>
              <w:ind w:firstLine="0" w:firstLineChars="0"/>
              <w:jc w:val="center"/>
              <w:rPr>
                <w:rFonts w:cs="Times New Roman"/>
                <w:kern w:val="0"/>
                <w:sz w:val="18"/>
                <w:szCs w:val="20"/>
              </w:rPr>
            </w:pPr>
            <w:r>
              <w:rPr>
                <w:rFonts w:hint="eastAsia" w:cs="Times New Roman"/>
                <w:kern w:val="0"/>
                <w:sz w:val="18"/>
                <w:szCs w:val="20"/>
              </w:rPr>
              <w:t>泄漏√</w:t>
            </w:r>
          </w:p>
        </w:tc>
        <w:tc>
          <w:tcPr>
            <w:tcW w:w="1833" w:type="pct"/>
            <w:gridSpan w:val="11"/>
            <w:vAlign w:val="center"/>
          </w:tcPr>
          <w:p w14:paraId="556B310F">
            <w:pPr>
              <w:widowControl/>
              <w:spacing w:line="360" w:lineRule="exact"/>
              <w:ind w:firstLine="0" w:firstLineChars="0"/>
              <w:jc w:val="center"/>
              <w:rPr>
                <w:rFonts w:cs="Times New Roman"/>
                <w:kern w:val="0"/>
                <w:sz w:val="18"/>
                <w:szCs w:val="20"/>
              </w:rPr>
            </w:pPr>
            <w:r>
              <w:rPr>
                <w:rFonts w:hint="eastAsia" w:cs="Times New Roman"/>
                <w:kern w:val="0"/>
                <w:sz w:val="18"/>
                <w:szCs w:val="20"/>
              </w:rPr>
              <w:t>火灾、爆炸引发伴生/次生污染物排放√</w:t>
            </w:r>
          </w:p>
        </w:tc>
      </w:tr>
      <w:tr w14:paraId="04251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70A9248D">
            <w:pPr>
              <w:widowControl/>
              <w:spacing w:line="360" w:lineRule="exact"/>
              <w:ind w:firstLine="0" w:firstLineChars="0"/>
              <w:jc w:val="center"/>
              <w:rPr>
                <w:rFonts w:cs="Times New Roman"/>
                <w:kern w:val="0"/>
                <w:sz w:val="18"/>
                <w:szCs w:val="20"/>
              </w:rPr>
            </w:pPr>
          </w:p>
        </w:tc>
        <w:tc>
          <w:tcPr>
            <w:tcW w:w="824" w:type="pct"/>
            <w:vAlign w:val="center"/>
          </w:tcPr>
          <w:p w14:paraId="23EC23D2">
            <w:pPr>
              <w:widowControl/>
              <w:spacing w:line="360" w:lineRule="exact"/>
              <w:ind w:firstLine="0" w:firstLineChars="0"/>
              <w:jc w:val="center"/>
              <w:rPr>
                <w:rFonts w:cs="Times New Roman"/>
                <w:kern w:val="0"/>
                <w:sz w:val="18"/>
                <w:szCs w:val="20"/>
              </w:rPr>
            </w:pPr>
            <w:r>
              <w:rPr>
                <w:rFonts w:hint="eastAsia" w:cs="Times New Roman"/>
                <w:kern w:val="0"/>
                <w:sz w:val="18"/>
                <w:szCs w:val="20"/>
              </w:rPr>
              <w:t>影响途径</w:t>
            </w:r>
          </w:p>
        </w:tc>
        <w:tc>
          <w:tcPr>
            <w:tcW w:w="1225" w:type="pct"/>
            <w:gridSpan w:val="6"/>
            <w:vAlign w:val="center"/>
          </w:tcPr>
          <w:p w14:paraId="3526E6A9">
            <w:pPr>
              <w:widowControl/>
              <w:spacing w:line="360" w:lineRule="exact"/>
              <w:ind w:firstLine="0" w:firstLineChars="0"/>
              <w:jc w:val="center"/>
              <w:rPr>
                <w:rFonts w:cs="Times New Roman"/>
                <w:kern w:val="0"/>
                <w:sz w:val="18"/>
                <w:szCs w:val="20"/>
              </w:rPr>
            </w:pPr>
            <w:r>
              <w:rPr>
                <w:rFonts w:hint="eastAsia" w:cs="Times New Roman"/>
                <w:kern w:val="0"/>
                <w:sz w:val="18"/>
                <w:szCs w:val="20"/>
              </w:rPr>
              <w:t>大气√</w:t>
            </w:r>
          </w:p>
        </w:tc>
        <w:tc>
          <w:tcPr>
            <w:tcW w:w="1222" w:type="pct"/>
            <w:gridSpan w:val="9"/>
            <w:vAlign w:val="center"/>
          </w:tcPr>
          <w:p w14:paraId="306BC427">
            <w:pPr>
              <w:widowControl/>
              <w:spacing w:line="360" w:lineRule="exact"/>
              <w:ind w:firstLine="0" w:firstLineChars="0"/>
              <w:jc w:val="center"/>
              <w:rPr>
                <w:rFonts w:cs="Times New Roman"/>
                <w:kern w:val="0"/>
                <w:sz w:val="18"/>
                <w:szCs w:val="20"/>
              </w:rPr>
            </w:pPr>
            <w:r>
              <w:rPr>
                <w:rFonts w:hint="eastAsia" w:cs="Times New Roman"/>
                <w:kern w:val="0"/>
                <w:sz w:val="18"/>
                <w:szCs w:val="20"/>
              </w:rPr>
              <w:t>地表水□</w:t>
            </w:r>
          </w:p>
        </w:tc>
        <w:tc>
          <w:tcPr>
            <w:tcW w:w="1223" w:type="pct"/>
            <w:gridSpan w:val="6"/>
            <w:vAlign w:val="center"/>
          </w:tcPr>
          <w:p w14:paraId="3150CF15">
            <w:pPr>
              <w:widowControl/>
              <w:spacing w:line="360" w:lineRule="exact"/>
              <w:ind w:firstLine="0" w:firstLineChars="0"/>
              <w:jc w:val="center"/>
              <w:rPr>
                <w:rFonts w:cs="Times New Roman"/>
                <w:kern w:val="0"/>
                <w:sz w:val="18"/>
                <w:szCs w:val="20"/>
              </w:rPr>
            </w:pPr>
            <w:r>
              <w:rPr>
                <w:rFonts w:hint="eastAsia" w:cs="Times New Roman"/>
                <w:kern w:val="0"/>
                <w:sz w:val="18"/>
                <w:szCs w:val="20"/>
              </w:rPr>
              <w:t>地下水√</w:t>
            </w:r>
          </w:p>
        </w:tc>
      </w:tr>
      <w:tr w14:paraId="76D0F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Align w:val="center"/>
          </w:tcPr>
          <w:p w14:paraId="1D7C0BE7">
            <w:pPr>
              <w:widowControl/>
              <w:spacing w:line="360" w:lineRule="exact"/>
              <w:ind w:firstLine="0" w:firstLineChars="0"/>
              <w:jc w:val="center"/>
              <w:rPr>
                <w:rFonts w:cs="Times New Roman"/>
                <w:kern w:val="0"/>
                <w:sz w:val="18"/>
                <w:szCs w:val="20"/>
              </w:rPr>
            </w:pPr>
            <w:r>
              <w:rPr>
                <w:rFonts w:hint="eastAsia" w:cs="Times New Roman"/>
                <w:kern w:val="0"/>
                <w:sz w:val="18"/>
                <w:szCs w:val="20"/>
              </w:rPr>
              <w:t>事故情形分析</w:t>
            </w:r>
          </w:p>
        </w:tc>
        <w:tc>
          <w:tcPr>
            <w:tcW w:w="918" w:type="pct"/>
            <w:gridSpan w:val="4"/>
            <w:vAlign w:val="center"/>
          </w:tcPr>
          <w:p w14:paraId="3AE16B98">
            <w:pPr>
              <w:widowControl/>
              <w:spacing w:line="360" w:lineRule="exact"/>
              <w:ind w:firstLine="0" w:firstLineChars="0"/>
              <w:jc w:val="center"/>
              <w:rPr>
                <w:rFonts w:cs="Times New Roman"/>
                <w:kern w:val="0"/>
                <w:sz w:val="18"/>
                <w:szCs w:val="20"/>
              </w:rPr>
            </w:pPr>
            <w:r>
              <w:rPr>
                <w:rFonts w:hint="eastAsia" w:cs="Times New Roman"/>
                <w:kern w:val="0"/>
                <w:sz w:val="18"/>
                <w:szCs w:val="20"/>
              </w:rPr>
              <w:t>源强设定方法</w:t>
            </w:r>
          </w:p>
        </w:tc>
        <w:tc>
          <w:tcPr>
            <w:tcW w:w="919" w:type="pct"/>
            <w:gridSpan w:val="6"/>
            <w:vAlign w:val="center"/>
          </w:tcPr>
          <w:p w14:paraId="74E9756A">
            <w:pPr>
              <w:widowControl/>
              <w:spacing w:line="360" w:lineRule="exact"/>
              <w:ind w:firstLine="0" w:firstLineChars="0"/>
              <w:jc w:val="center"/>
              <w:rPr>
                <w:rFonts w:cs="Times New Roman"/>
                <w:kern w:val="0"/>
                <w:sz w:val="18"/>
                <w:szCs w:val="20"/>
              </w:rPr>
            </w:pPr>
            <w:r>
              <w:rPr>
                <w:rFonts w:hint="eastAsia" w:cs="Times New Roman"/>
                <w:kern w:val="0"/>
                <w:sz w:val="18"/>
                <w:szCs w:val="20"/>
              </w:rPr>
              <w:t>计算法 □</w:t>
            </w:r>
          </w:p>
        </w:tc>
        <w:tc>
          <w:tcPr>
            <w:tcW w:w="917" w:type="pct"/>
            <w:gridSpan w:val="7"/>
            <w:vAlign w:val="center"/>
          </w:tcPr>
          <w:p w14:paraId="3B4A637C">
            <w:pPr>
              <w:widowControl/>
              <w:spacing w:line="360" w:lineRule="exact"/>
              <w:ind w:firstLine="0" w:firstLineChars="0"/>
              <w:jc w:val="center"/>
              <w:rPr>
                <w:rFonts w:cs="Times New Roman"/>
                <w:kern w:val="0"/>
                <w:sz w:val="18"/>
                <w:szCs w:val="20"/>
              </w:rPr>
            </w:pPr>
            <w:r>
              <w:rPr>
                <w:rFonts w:hint="eastAsia" w:cs="Times New Roman"/>
                <w:kern w:val="0"/>
                <w:sz w:val="18"/>
                <w:szCs w:val="20"/>
              </w:rPr>
              <w:t>经验估算法 □</w:t>
            </w:r>
          </w:p>
        </w:tc>
        <w:tc>
          <w:tcPr>
            <w:tcW w:w="916" w:type="pct"/>
            <w:gridSpan w:val="4"/>
            <w:vAlign w:val="center"/>
          </w:tcPr>
          <w:p w14:paraId="2FD76F2E">
            <w:pPr>
              <w:widowControl/>
              <w:spacing w:line="360" w:lineRule="exact"/>
              <w:ind w:firstLine="0" w:firstLineChars="0"/>
              <w:jc w:val="center"/>
              <w:rPr>
                <w:rFonts w:cs="Times New Roman"/>
                <w:kern w:val="0"/>
                <w:sz w:val="18"/>
                <w:szCs w:val="20"/>
              </w:rPr>
            </w:pPr>
            <w:r>
              <w:rPr>
                <w:rFonts w:hint="eastAsia" w:cs="Times New Roman"/>
                <w:kern w:val="0"/>
                <w:sz w:val="18"/>
                <w:szCs w:val="20"/>
              </w:rPr>
              <w:t xml:space="preserve">其他估算法 </w:t>
            </w:r>
            <w:r>
              <w:rPr>
                <w:rFonts w:cs="Times New Roman"/>
                <w:kern w:val="0"/>
                <w:sz w:val="18"/>
                <w:szCs w:val="20"/>
              </w:rPr>
              <w:t></w:t>
            </w:r>
          </w:p>
        </w:tc>
      </w:tr>
      <w:tr w14:paraId="4D537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restart"/>
            <w:vAlign w:val="center"/>
          </w:tcPr>
          <w:p w14:paraId="49A46D8C">
            <w:pPr>
              <w:widowControl/>
              <w:spacing w:line="360" w:lineRule="exact"/>
              <w:ind w:firstLine="0" w:firstLineChars="0"/>
              <w:jc w:val="center"/>
              <w:rPr>
                <w:rFonts w:cs="Times New Roman"/>
                <w:kern w:val="0"/>
                <w:sz w:val="18"/>
                <w:szCs w:val="20"/>
              </w:rPr>
            </w:pPr>
            <w:r>
              <w:rPr>
                <w:rFonts w:cs="Times New Roman"/>
                <w:kern w:val="0"/>
                <w:sz w:val="18"/>
                <w:szCs w:val="20"/>
              </w:rPr>
              <w:t>风险</w:t>
            </w:r>
          </w:p>
          <w:p w14:paraId="440B6A40">
            <w:pPr>
              <w:widowControl/>
              <w:spacing w:line="360" w:lineRule="exact"/>
              <w:ind w:firstLine="0" w:firstLineChars="0"/>
              <w:jc w:val="center"/>
              <w:rPr>
                <w:rFonts w:cs="Times New Roman"/>
                <w:kern w:val="0"/>
                <w:sz w:val="18"/>
                <w:szCs w:val="20"/>
              </w:rPr>
            </w:pPr>
            <w:r>
              <w:rPr>
                <w:rFonts w:cs="Times New Roman"/>
                <w:kern w:val="0"/>
                <w:sz w:val="18"/>
                <w:szCs w:val="20"/>
              </w:rPr>
              <w:t>预测</w:t>
            </w:r>
          </w:p>
          <w:p w14:paraId="04F803A7">
            <w:pPr>
              <w:widowControl/>
              <w:spacing w:line="360" w:lineRule="exact"/>
              <w:ind w:firstLine="0" w:firstLineChars="0"/>
              <w:jc w:val="center"/>
              <w:rPr>
                <w:rFonts w:cs="Times New Roman"/>
                <w:kern w:val="0"/>
                <w:sz w:val="18"/>
                <w:szCs w:val="20"/>
              </w:rPr>
            </w:pPr>
            <w:r>
              <w:rPr>
                <w:rFonts w:cs="Times New Roman"/>
                <w:kern w:val="0"/>
                <w:sz w:val="18"/>
                <w:szCs w:val="20"/>
              </w:rPr>
              <w:t>与</w:t>
            </w:r>
          </w:p>
          <w:p w14:paraId="39B0CE72">
            <w:pPr>
              <w:widowControl/>
              <w:spacing w:line="360" w:lineRule="exact"/>
              <w:ind w:firstLine="0" w:firstLineChars="0"/>
              <w:jc w:val="center"/>
              <w:rPr>
                <w:rFonts w:cs="Times New Roman"/>
                <w:kern w:val="0"/>
                <w:sz w:val="18"/>
                <w:szCs w:val="20"/>
              </w:rPr>
            </w:pPr>
            <w:r>
              <w:rPr>
                <w:rFonts w:cs="Times New Roman"/>
                <w:kern w:val="0"/>
                <w:sz w:val="18"/>
                <w:szCs w:val="20"/>
              </w:rPr>
              <w:t>评价</w:t>
            </w:r>
          </w:p>
        </w:tc>
        <w:tc>
          <w:tcPr>
            <w:tcW w:w="824" w:type="pct"/>
            <w:vMerge w:val="restart"/>
            <w:vAlign w:val="center"/>
          </w:tcPr>
          <w:p w14:paraId="4EECCEC5">
            <w:pPr>
              <w:widowControl/>
              <w:spacing w:line="360" w:lineRule="exact"/>
              <w:ind w:firstLine="0" w:firstLineChars="0"/>
              <w:jc w:val="center"/>
              <w:rPr>
                <w:rFonts w:cs="Times New Roman"/>
                <w:kern w:val="0"/>
                <w:sz w:val="18"/>
                <w:szCs w:val="20"/>
              </w:rPr>
            </w:pPr>
            <w:r>
              <w:rPr>
                <w:rFonts w:cs="Times New Roman"/>
                <w:kern w:val="0"/>
                <w:sz w:val="18"/>
                <w:szCs w:val="20"/>
              </w:rPr>
              <w:t>大气</w:t>
            </w:r>
          </w:p>
        </w:tc>
        <w:tc>
          <w:tcPr>
            <w:tcW w:w="918" w:type="pct"/>
            <w:gridSpan w:val="4"/>
            <w:vAlign w:val="center"/>
          </w:tcPr>
          <w:p w14:paraId="6DC52FDC">
            <w:pPr>
              <w:widowControl/>
              <w:spacing w:line="360" w:lineRule="exact"/>
              <w:ind w:firstLine="0" w:firstLineChars="0"/>
              <w:jc w:val="center"/>
              <w:rPr>
                <w:rFonts w:cs="Times New Roman"/>
                <w:kern w:val="0"/>
                <w:sz w:val="18"/>
                <w:szCs w:val="20"/>
              </w:rPr>
            </w:pPr>
            <w:r>
              <w:rPr>
                <w:rFonts w:hint="eastAsia" w:cs="Times New Roman"/>
                <w:kern w:val="0"/>
                <w:sz w:val="18"/>
                <w:szCs w:val="20"/>
              </w:rPr>
              <w:t>预测模型</w:t>
            </w:r>
          </w:p>
        </w:tc>
        <w:tc>
          <w:tcPr>
            <w:tcW w:w="919" w:type="pct"/>
            <w:gridSpan w:val="6"/>
            <w:vAlign w:val="center"/>
          </w:tcPr>
          <w:p w14:paraId="40C9F206">
            <w:pPr>
              <w:widowControl/>
              <w:spacing w:line="360" w:lineRule="exact"/>
              <w:ind w:firstLine="0" w:firstLineChars="0"/>
              <w:jc w:val="center"/>
              <w:rPr>
                <w:rFonts w:cs="Times New Roman"/>
                <w:kern w:val="0"/>
                <w:sz w:val="18"/>
                <w:szCs w:val="20"/>
              </w:rPr>
            </w:pPr>
            <w:r>
              <w:rPr>
                <w:rFonts w:hint="eastAsia" w:cs="Times New Roman"/>
                <w:kern w:val="0"/>
                <w:sz w:val="18"/>
                <w:szCs w:val="20"/>
              </w:rPr>
              <w:t>SLAB √</w:t>
            </w:r>
          </w:p>
        </w:tc>
        <w:tc>
          <w:tcPr>
            <w:tcW w:w="917" w:type="pct"/>
            <w:gridSpan w:val="7"/>
            <w:vAlign w:val="center"/>
          </w:tcPr>
          <w:p w14:paraId="1E56A7A0">
            <w:pPr>
              <w:widowControl/>
              <w:spacing w:line="360" w:lineRule="exact"/>
              <w:ind w:firstLine="0" w:firstLineChars="0"/>
              <w:jc w:val="center"/>
              <w:rPr>
                <w:rFonts w:cs="Times New Roman"/>
                <w:kern w:val="0"/>
                <w:sz w:val="18"/>
                <w:szCs w:val="20"/>
              </w:rPr>
            </w:pPr>
            <w:r>
              <w:rPr>
                <w:rFonts w:hint="eastAsia" w:cs="Times New Roman"/>
                <w:kern w:val="0"/>
                <w:sz w:val="18"/>
                <w:szCs w:val="20"/>
              </w:rPr>
              <w:t>AFTOX √</w:t>
            </w:r>
          </w:p>
        </w:tc>
        <w:tc>
          <w:tcPr>
            <w:tcW w:w="916" w:type="pct"/>
            <w:gridSpan w:val="4"/>
            <w:vAlign w:val="center"/>
          </w:tcPr>
          <w:p w14:paraId="7D6957A0">
            <w:pPr>
              <w:widowControl/>
              <w:spacing w:line="360" w:lineRule="exact"/>
              <w:ind w:firstLine="0" w:firstLineChars="0"/>
              <w:jc w:val="center"/>
              <w:rPr>
                <w:rFonts w:cs="Times New Roman"/>
                <w:kern w:val="0"/>
                <w:sz w:val="18"/>
                <w:szCs w:val="20"/>
              </w:rPr>
            </w:pPr>
            <w:r>
              <w:rPr>
                <w:rFonts w:hint="eastAsia" w:cs="Times New Roman"/>
                <w:kern w:val="0"/>
                <w:sz w:val="18"/>
                <w:szCs w:val="20"/>
              </w:rPr>
              <w:t>其他 □</w:t>
            </w:r>
          </w:p>
        </w:tc>
      </w:tr>
      <w:tr w14:paraId="09AEE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17476F49">
            <w:pPr>
              <w:widowControl/>
              <w:spacing w:line="360" w:lineRule="exact"/>
              <w:ind w:firstLine="0" w:firstLineChars="0"/>
              <w:jc w:val="center"/>
              <w:rPr>
                <w:rFonts w:cs="Times New Roman"/>
                <w:kern w:val="0"/>
                <w:sz w:val="18"/>
                <w:szCs w:val="20"/>
              </w:rPr>
            </w:pPr>
          </w:p>
        </w:tc>
        <w:tc>
          <w:tcPr>
            <w:tcW w:w="824" w:type="pct"/>
            <w:vMerge w:val="continue"/>
            <w:vAlign w:val="center"/>
          </w:tcPr>
          <w:p w14:paraId="2A8513D8">
            <w:pPr>
              <w:widowControl/>
              <w:spacing w:line="360" w:lineRule="exact"/>
              <w:ind w:firstLine="0" w:firstLineChars="0"/>
              <w:jc w:val="center"/>
              <w:rPr>
                <w:rFonts w:cs="Times New Roman"/>
                <w:kern w:val="0"/>
                <w:sz w:val="18"/>
                <w:szCs w:val="20"/>
              </w:rPr>
            </w:pPr>
          </w:p>
        </w:tc>
        <w:tc>
          <w:tcPr>
            <w:tcW w:w="918" w:type="pct"/>
            <w:gridSpan w:val="4"/>
            <w:vMerge w:val="restart"/>
            <w:vAlign w:val="center"/>
          </w:tcPr>
          <w:p w14:paraId="4E571484">
            <w:pPr>
              <w:widowControl/>
              <w:spacing w:line="360" w:lineRule="exact"/>
              <w:ind w:firstLine="0" w:firstLineChars="0"/>
              <w:jc w:val="center"/>
              <w:rPr>
                <w:rFonts w:cs="Times New Roman"/>
                <w:kern w:val="0"/>
                <w:sz w:val="18"/>
                <w:szCs w:val="20"/>
              </w:rPr>
            </w:pPr>
            <w:r>
              <w:rPr>
                <w:rFonts w:cs="Times New Roman"/>
                <w:kern w:val="0"/>
                <w:sz w:val="18"/>
                <w:szCs w:val="20"/>
              </w:rPr>
              <w:t>预测结果</w:t>
            </w:r>
          </w:p>
        </w:tc>
        <w:tc>
          <w:tcPr>
            <w:tcW w:w="2752" w:type="pct"/>
            <w:gridSpan w:val="17"/>
            <w:vAlign w:val="center"/>
          </w:tcPr>
          <w:p w14:paraId="7DBAFDFE">
            <w:pPr>
              <w:widowControl/>
              <w:spacing w:line="360" w:lineRule="exact"/>
              <w:ind w:firstLine="0" w:firstLineChars="0"/>
              <w:jc w:val="center"/>
              <w:rPr>
                <w:rFonts w:cs="Times New Roman"/>
                <w:kern w:val="0"/>
                <w:sz w:val="18"/>
                <w:szCs w:val="20"/>
              </w:rPr>
            </w:pPr>
            <w:r>
              <w:rPr>
                <w:rFonts w:hint="eastAsia" w:cs="Times New Roman"/>
                <w:kern w:val="0"/>
                <w:sz w:val="18"/>
                <w:szCs w:val="20"/>
              </w:rPr>
              <w:t>大气毒性终点浓度-1 最大影响范围</w:t>
            </w:r>
            <w:r>
              <w:rPr>
                <w:rFonts w:cs="Times New Roman"/>
                <w:kern w:val="0"/>
                <w:sz w:val="18"/>
                <w:szCs w:val="20"/>
              </w:rPr>
              <w:t>528</w:t>
            </w:r>
            <w:r>
              <w:rPr>
                <w:rFonts w:hint="eastAsia" w:cs="Times New Roman"/>
                <w:kern w:val="0"/>
                <w:sz w:val="18"/>
                <w:szCs w:val="20"/>
              </w:rPr>
              <w:t>m</w:t>
            </w:r>
          </w:p>
        </w:tc>
      </w:tr>
      <w:tr w14:paraId="460EB2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15867306">
            <w:pPr>
              <w:widowControl/>
              <w:spacing w:line="360" w:lineRule="exact"/>
              <w:ind w:firstLine="0" w:firstLineChars="0"/>
              <w:jc w:val="center"/>
              <w:rPr>
                <w:rFonts w:cs="Times New Roman"/>
                <w:kern w:val="0"/>
                <w:sz w:val="18"/>
                <w:szCs w:val="20"/>
              </w:rPr>
            </w:pPr>
          </w:p>
        </w:tc>
        <w:tc>
          <w:tcPr>
            <w:tcW w:w="824" w:type="pct"/>
            <w:vMerge w:val="continue"/>
            <w:vAlign w:val="center"/>
          </w:tcPr>
          <w:p w14:paraId="61F761ED">
            <w:pPr>
              <w:widowControl/>
              <w:spacing w:line="360" w:lineRule="exact"/>
              <w:ind w:firstLine="0" w:firstLineChars="0"/>
              <w:jc w:val="center"/>
              <w:rPr>
                <w:rFonts w:cs="Times New Roman"/>
                <w:kern w:val="0"/>
                <w:sz w:val="18"/>
                <w:szCs w:val="20"/>
              </w:rPr>
            </w:pPr>
          </w:p>
        </w:tc>
        <w:tc>
          <w:tcPr>
            <w:tcW w:w="918" w:type="pct"/>
            <w:gridSpan w:val="4"/>
            <w:vMerge w:val="continue"/>
            <w:vAlign w:val="center"/>
          </w:tcPr>
          <w:p w14:paraId="6A74BC81">
            <w:pPr>
              <w:widowControl/>
              <w:spacing w:line="360" w:lineRule="exact"/>
              <w:ind w:firstLine="0" w:firstLineChars="0"/>
              <w:jc w:val="center"/>
              <w:rPr>
                <w:rFonts w:cs="Times New Roman"/>
                <w:kern w:val="0"/>
                <w:sz w:val="18"/>
                <w:szCs w:val="20"/>
              </w:rPr>
            </w:pPr>
          </w:p>
        </w:tc>
        <w:tc>
          <w:tcPr>
            <w:tcW w:w="2752" w:type="pct"/>
            <w:gridSpan w:val="17"/>
            <w:vAlign w:val="center"/>
          </w:tcPr>
          <w:p w14:paraId="1B7080ED">
            <w:pPr>
              <w:widowControl/>
              <w:spacing w:line="360" w:lineRule="exact"/>
              <w:ind w:firstLine="0" w:firstLineChars="0"/>
              <w:jc w:val="center"/>
              <w:rPr>
                <w:rFonts w:cs="Times New Roman"/>
                <w:kern w:val="0"/>
                <w:sz w:val="18"/>
                <w:szCs w:val="20"/>
              </w:rPr>
            </w:pPr>
            <w:r>
              <w:rPr>
                <w:rFonts w:hint="eastAsia" w:cs="Times New Roman"/>
                <w:kern w:val="0"/>
                <w:sz w:val="18"/>
                <w:szCs w:val="20"/>
              </w:rPr>
              <w:t>大气毒性终点浓度-2 最大影响范围</w:t>
            </w:r>
            <w:r>
              <w:rPr>
                <w:rFonts w:cs="Times New Roman"/>
                <w:kern w:val="0"/>
                <w:sz w:val="18"/>
                <w:szCs w:val="20"/>
              </w:rPr>
              <w:t>1320</w:t>
            </w:r>
            <w:r>
              <w:rPr>
                <w:rFonts w:hint="eastAsia" w:cs="Times New Roman"/>
                <w:kern w:val="0"/>
                <w:sz w:val="18"/>
                <w:szCs w:val="20"/>
              </w:rPr>
              <w:t>m</w:t>
            </w:r>
          </w:p>
        </w:tc>
      </w:tr>
      <w:tr w14:paraId="72196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3CDC1D21">
            <w:pPr>
              <w:widowControl/>
              <w:spacing w:line="360" w:lineRule="exact"/>
              <w:ind w:firstLine="0" w:firstLineChars="0"/>
              <w:jc w:val="center"/>
              <w:rPr>
                <w:rFonts w:cs="Times New Roman"/>
                <w:kern w:val="0"/>
                <w:sz w:val="18"/>
                <w:szCs w:val="20"/>
              </w:rPr>
            </w:pPr>
          </w:p>
        </w:tc>
        <w:tc>
          <w:tcPr>
            <w:tcW w:w="824" w:type="pct"/>
            <w:vAlign w:val="center"/>
          </w:tcPr>
          <w:p w14:paraId="635641F2">
            <w:pPr>
              <w:widowControl/>
              <w:spacing w:line="360" w:lineRule="exact"/>
              <w:ind w:firstLine="0" w:firstLineChars="0"/>
              <w:jc w:val="center"/>
              <w:rPr>
                <w:rFonts w:cs="Times New Roman"/>
                <w:kern w:val="0"/>
                <w:sz w:val="18"/>
                <w:szCs w:val="20"/>
              </w:rPr>
            </w:pPr>
            <w:r>
              <w:rPr>
                <w:rFonts w:cs="Times New Roman"/>
                <w:kern w:val="0"/>
                <w:sz w:val="18"/>
                <w:szCs w:val="20"/>
              </w:rPr>
              <w:t>地表水</w:t>
            </w:r>
          </w:p>
        </w:tc>
        <w:tc>
          <w:tcPr>
            <w:tcW w:w="3670" w:type="pct"/>
            <w:gridSpan w:val="21"/>
            <w:vAlign w:val="center"/>
          </w:tcPr>
          <w:p w14:paraId="7F2CBB46">
            <w:pPr>
              <w:widowControl/>
              <w:spacing w:line="360" w:lineRule="exact"/>
              <w:ind w:firstLine="0" w:firstLineChars="0"/>
              <w:jc w:val="center"/>
              <w:rPr>
                <w:rFonts w:cs="Times New Roman"/>
                <w:kern w:val="0"/>
                <w:sz w:val="18"/>
                <w:szCs w:val="20"/>
              </w:rPr>
            </w:pPr>
            <w:r>
              <w:rPr>
                <w:rFonts w:hint="eastAsia" w:cs="Times New Roman"/>
                <w:kern w:val="0"/>
                <w:sz w:val="18"/>
                <w:szCs w:val="20"/>
              </w:rPr>
              <w:t>最近环境敏感目标      ，到达时间      h</w:t>
            </w:r>
          </w:p>
        </w:tc>
      </w:tr>
      <w:tr w14:paraId="4F772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54BF90B8">
            <w:pPr>
              <w:widowControl/>
              <w:spacing w:line="360" w:lineRule="exact"/>
              <w:ind w:firstLine="0" w:firstLineChars="0"/>
              <w:jc w:val="center"/>
              <w:rPr>
                <w:rFonts w:cs="Times New Roman"/>
                <w:kern w:val="0"/>
                <w:sz w:val="18"/>
                <w:szCs w:val="20"/>
              </w:rPr>
            </w:pPr>
          </w:p>
        </w:tc>
        <w:tc>
          <w:tcPr>
            <w:tcW w:w="824" w:type="pct"/>
            <w:vMerge w:val="restart"/>
            <w:vAlign w:val="center"/>
          </w:tcPr>
          <w:p w14:paraId="541FBABC">
            <w:pPr>
              <w:widowControl/>
              <w:spacing w:line="360" w:lineRule="exact"/>
              <w:ind w:firstLine="0" w:firstLineChars="0"/>
              <w:jc w:val="center"/>
              <w:rPr>
                <w:rFonts w:cs="Times New Roman"/>
                <w:kern w:val="0"/>
                <w:sz w:val="18"/>
                <w:szCs w:val="20"/>
              </w:rPr>
            </w:pPr>
            <w:r>
              <w:rPr>
                <w:rFonts w:cs="Times New Roman"/>
                <w:kern w:val="0"/>
                <w:sz w:val="18"/>
                <w:szCs w:val="20"/>
              </w:rPr>
              <w:t>地下水</w:t>
            </w:r>
          </w:p>
        </w:tc>
        <w:tc>
          <w:tcPr>
            <w:tcW w:w="3670" w:type="pct"/>
            <w:gridSpan w:val="21"/>
            <w:vAlign w:val="center"/>
          </w:tcPr>
          <w:p w14:paraId="604B9A9B">
            <w:pPr>
              <w:widowControl/>
              <w:spacing w:line="360" w:lineRule="exact"/>
              <w:ind w:firstLine="0" w:firstLineChars="0"/>
              <w:jc w:val="center"/>
              <w:rPr>
                <w:rFonts w:cs="Times New Roman"/>
                <w:kern w:val="0"/>
                <w:sz w:val="18"/>
                <w:szCs w:val="20"/>
              </w:rPr>
            </w:pPr>
            <w:r>
              <w:rPr>
                <w:rFonts w:hint="eastAsia" w:cs="Times New Roman"/>
                <w:kern w:val="0"/>
                <w:sz w:val="18"/>
                <w:szCs w:val="20"/>
              </w:rPr>
              <w:t>下游厂区边界到达时间      d</w:t>
            </w:r>
          </w:p>
        </w:tc>
      </w:tr>
      <w:tr w14:paraId="270A2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6" w:type="pct"/>
            <w:vMerge w:val="continue"/>
            <w:vAlign w:val="center"/>
          </w:tcPr>
          <w:p w14:paraId="28B17DBF">
            <w:pPr>
              <w:widowControl/>
              <w:spacing w:line="360" w:lineRule="exact"/>
              <w:ind w:firstLine="0" w:firstLineChars="0"/>
              <w:jc w:val="center"/>
              <w:rPr>
                <w:rFonts w:cs="Times New Roman"/>
                <w:kern w:val="0"/>
                <w:sz w:val="18"/>
                <w:szCs w:val="20"/>
              </w:rPr>
            </w:pPr>
          </w:p>
        </w:tc>
        <w:tc>
          <w:tcPr>
            <w:tcW w:w="824" w:type="pct"/>
            <w:vMerge w:val="continue"/>
            <w:vAlign w:val="center"/>
          </w:tcPr>
          <w:p w14:paraId="3C31E2FA">
            <w:pPr>
              <w:widowControl/>
              <w:spacing w:line="360" w:lineRule="exact"/>
              <w:ind w:firstLine="0" w:firstLineChars="0"/>
              <w:jc w:val="center"/>
              <w:rPr>
                <w:rFonts w:cs="Times New Roman"/>
                <w:kern w:val="0"/>
                <w:sz w:val="18"/>
                <w:szCs w:val="20"/>
              </w:rPr>
            </w:pPr>
          </w:p>
        </w:tc>
        <w:tc>
          <w:tcPr>
            <w:tcW w:w="3670" w:type="pct"/>
            <w:gridSpan w:val="21"/>
            <w:vAlign w:val="center"/>
          </w:tcPr>
          <w:p w14:paraId="60DD5B72">
            <w:pPr>
              <w:widowControl/>
              <w:spacing w:line="360" w:lineRule="exact"/>
              <w:ind w:firstLine="0" w:firstLineChars="0"/>
              <w:jc w:val="center"/>
              <w:rPr>
                <w:rFonts w:cs="Times New Roman"/>
                <w:kern w:val="0"/>
                <w:sz w:val="18"/>
                <w:szCs w:val="20"/>
              </w:rPr>
            </w:pPr>
            <w:r>
              <w:rPr>
                <w:rFonts w:hint="eastAsia" w:cs="Times New Roman"/>
                <w:kern w:val="0"/>
                <w:sz w:val="18"/>
                <w:szCs w:val="20"/>
              </w:rPr>
              <w:t>最近环境敏感目标      ，到达时间      d</w:t>
            </w:r>
          </w:p>
        </w:tc>
      </w:tr>
      <w:tr w14:paraId="2372C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0" w:type="pct"/>
            <w:gridSpan w:val="2"/>
            <w:vAlign w:val="center"/>
          </w:tcPr>
          <w:p w14:paraId="4AAD18C3">
            <w:pPr>
              <w:widowControl/>
              <w:spacing w:line="360" w:lineRule="exact"/>
              <w:ind w:firstLine="0" w:firstLineChars="0"/>
              <w:jc w:val="center"/>
              <w:rPr>
                <w:rFonts w:cs="Times New Roman"/>
                <w:kern w:val="0"/>
                <w:sz w:val="18"/>
                <w:szCs w:val="20"/>
              </w:rPr>
            </w:pPr>
            <w:r>
              <w:rPr>
                <w:rFonts w:cs="Times New Roman"/>
                <w:kern w:val="0"/>
                <w:sz w:val="18"/>
                <w:szCs w:val="20"/>
              </w:rPr>
              <w:t>重点风险防范</w:t>
            </w:r>
          </w:p>
          <w:p w14:paraId="6D9BBFBD">
            <w:pPr>
              <w:widowControl/>
              <w:spacing w:line="360" w:lineRule="exact"/>
              <w:ind w:firstLine="0" w:firstLineChars="0"/>
              <w:jc w:val="center"/>
              <w:rPr>
                <w:rFonts w:cs="Times New Roman"/>
                <w:kern w:val="0"/>
                <w:sz w:val="18"/>
                <w:szCs w:val="20"/>
              </w:rPr>
            </w:pPr>
            <w:r>
              <w:rPr>
                <w:rFonts w:cs="Times New Roman"/>
                <w:kern w:val="0"/>
                <w:sz w:val="18"/>
                <w:szCs w:val="20"/>
              </w:rPr>
              <w:t>措施</w:t>
            </w:r>
          </w:p>
        </w:tc>
        <w:tc>
          <w:tcPr>
            <w:tcW w:w="3670" w:type="pct"/>
            <w:gridSpan w:val="21"/>
            <w:vAlign w:val="center"/>
          </w:tcPr>
          <w:p w14:paraId="0B1799C5">
            <w:pPr>
              <w:widowControl/>
              <w:spacing w:line="360" w:lineRule="exact"/>
              <w:ind w:firstLine="0" w:firstLineChars="0"/>
              <w:jc w:val="center"/>
              <w:rPr>
                <w:rFonts w:cs="Times New Roman"/>
                <w:kern w:val="0"/>
                <w:sz w:val="18"/>
                <w:szCs w:val="20"/>
              </w:rPr>
            </w:pPr>
            <w:r>
              <w:rPr>
                <w:rFonts w:cs="Times New Roman"/>
                <w:kern w:val="0"/>
                <w:sz w:val="18"/>
                <w:szCs w:val="20"/>
              </w:rPr>
              <w:t>监控系统及应急监测管理，</w:t>
            </w:r>
            <w:r>
              <w:rPr>
                <w:rFonts w:hint="eastAsia" w:cs="Times New Roman"/>
                <w:kern w:val="0"/>
                <w:sz w:val="18"/>
                <w:szCs w:val="20"/>
              </w:rPr>
              <w:t>编制环境风险应急预案</w:t>
            </w:r>
          </w:p>
        </w:tc>
      </w:tr>
      <w:tr w14:paraId="65603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330" w:type="pct"/>
            <w:gridSpan w:val="2"/>
            <w:vAlign w:val="center"/>
          </w:tcPr>
          <w:p w14:paraId="04746366">
            <w:pPr>
              <w:widowControl/>
              <w:spacing w:line="360" w:lineRule="exact"/>
              <w:ind w:firstLine="0" w:firstLineChars="0"/>
              <w:jc w:val="center"/>
              <w:rPr>
                <w:rFonts w:cs="Times New Roman"/>
                <w:kern w:val="0"/>
                <w:sz w:val="18"/>
                <w:szCs w:val="20"/>
              </w:rPr>
            </w:pPr>
            <w:r>
              <w:rPr>
                <w:rFonts w:hint="eastAsia" w:cs="Times New Roman"/>
                <w:kern w:val="0"/>
                <w:sz w:val="18"/>
                <w:szCs w:val="20"/>
              </w:rPr>
              <w:t>评价结论与建议</w:t>
            </w:r>
          </w:p>
        </w:tc>
        <w:tc>
          <w:tcPr>
            <w:tcW w:w="3670" w:type="pct"/>
            <w:gridSpan w:val="21"/>
            <w:vAlign w:val="center"/>
          </w:tcPr>
          <w:p w14:paraId="0015F4E2">
            <w:pPr>
              <w:widowControl/>
              <w:spacing w:line="360" w:lineRule="exact"/>
              <w:ind w:firstLine="0" w:firstLineChars="0"/>
              <w:jc w:val="center"/>
              <w:rPr>
                <w:rFonts w:cs="Times New Roman"/>
                <w:kern w:val="0"/>
                <w:sz w:val="18"/>
                <w:szCs w:val="20"/>
              </w:rPr>
            </w:pPr>
            <w:r>
              <w:rPr>
                <w:rFonts w:hint="eastAsia" w:cs="Times New Roman"/>
                <w:kern w:val="0"/>
                <w:sz w:val="18"/>
                <w:szCs w:val="20"/>
              </w:rPr>
              <w:t>建设项目环境风险可防控，同时建议采取报告书中提及的环境风险防范措施及应急预案</w:t>
            </w:r>
          </w:p>
        </w:tc>
      </w:tr>
      <w:tr w14:paraId="5152E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23"/>
            <w:vAlign w:val="center"/>
          </w:tcPr>
          <w:p w14:paraId="37479CB0">
            <w:pPr>
              <w:widowControl/>
              <w:spacing w:line="360" w:lineRule="exact"/>
              <w:ind w:firstLine="0" w:firstLineChars="0"/>
              <w:jc w:val="center"/>
              <w:rPr>
                <w:rFonts w:cs="Times New Roman"/>
                <w:kern w:val="0"/>
                <w:sz w:val="18"/>
                <w:szCs w:val="20"/>
              </w:rPr>
            </w:pPr>
            <w:r>
              <w:rPr>
                <w:rFonts w:hint="eastAsia" w:cs="Times New Roman"/>
                <w:kern w:val="0"/>
                <w:sz w:val="18"/>
                <w:szCs w:val="20"/>
              </w:rPr>
              <w:t>注：“□”为勾选项，“</w:t>
            </w:r>
            <w:r>
              <w:rPr>
                <w:rFonts w:cs="Times New Roman"/>
                <w:kern w:val="0"/>
                <w:sz w:val="18"/>
                <w:szCs w:val="20"/>
              </w:rPr>
              <w:t xml:space="preserve">  </w:t>
            </w:r>
            <w:r>
              <w:rPr>
                <w:rFonts w:hint="eastAsia" w:cs="Times New Roman"/>
                <w:kern w:val="0"/>
                <w:sz w:val="18"/>
                <w:szCs w:val="20"/>
              </w:rPr>
              <w:t>”为填写项。</w:t>
            </w:r>
          </w:p>
        </w:tc>
      </w:tr>
    </w:tbl>
    <w:p w14:paraId="239070F6">
      <w:pPr>
        <w:widowControl/>
        <w:adjustRightInd/>
        <w:snapToGrid/>
        <w:ind w:firstLine="0" w:firstLineChars="0"/>
        <w:jc w:val="left"/>
        <w:rPr>
          <w:rFonts w:eastAsia="黑体"/>
          <w:sz w:val="32"/>
          <w:szCs w:val="32"/>
        </w:rPr>
        <w:sectPr>
          <w:pgSz w:w="11907" w:h="16840"/>
          <w:pgMar w:top="1440" w:right="1440" w:bottom="1440" w:left="1440" w:header="851" w:footer="992" w:gutter="0"/>
          <w:cols w:space="720" w:num="1"/>
          <w:docGrid w:type="lines" w:linePitch="326" w:charSpace="0"/>
        </w:sectPr>
      </w:pPr>
    </w:p>
    <w:p w14:paraId="774A4E1A">
      <w:pPr>
        <w:pStyle w:val="4065"/>
      </w:pPr>
      <w:bookmarkStart w:id="350" w:name="_Toc87977854"/>
      <w:bookmarkEnd w:id="350"/>
      <w:bookmarkStart w:id="351" w:name="_Toc108662680"/>
      <w:r>
        <w:rPr>
          <w:rFonts w:hint="eastAsia"/>
        </w:rPr>
        <w:t>5</w:t>
      </w:r>
      <w:r>
        <w:t>.7</w:t>
      </w:r>
      <w:r>
        <w:rPr>
          <w:rFonts w:hint="eastAsia"/>
        </w:rPr>
        <w:t>土壤影响分析</w:t>
      </w:r>
      <w:bookmarkEnd w:id="351"/>
    </w:p>
    <w:p w14:paraId="78A3393F">
      <w:pPr>
        <w:pStyle w:val="4068"/>
      </w:pPr>
      <w:bookmarkStart w:id="352" w:name="_Toc108662681"/>
      <w:bookmarkStart w:id="353" w:name="_Toc101135904"/>
      <w:bookmarkStart w:id="354" w:name="_Toc100784072"/>
      <w:r>
        <w:rPr>
          <w:rFonts w:hint="eastAsia"/>
        </w:rPr>
        <w:t>5</w:t>
      </w:r>
      <w:r>
        <w:t>.7.1</w:t>
      </w:r>
      <w:r>
        <w:rPr>
          <w:rFonts w:hint="eastAsia"/>
        </w:rPr>
        <w:t>土壤污染途径识别</w:t>
      </w:r>
      <w:bookmarkEnd w:id="352"/>
      <w:bookmarkEnd w:id="353"/>
      <w:bookmarkEnd w:id="354"/>
    </w:p>
    <w:p w14:paraId="28D82531">
      <w:pPr>
        <w:ind w:firstLine="480"/>
      </w:pPr>
      <w:r>
        <w:rPr>
          <w:rFonts w:hint="eastAsia" w:ascii="宋体" w:hAnsi="宋体"/>
        </w:rPr>
        <w:t>（</w:t>
      </w:r>
      <w:r>
        <w:rPr>
          <w:rFonts w:hint="eastAsia"/>
        </w:rPr>
        <w:t>1</w:t>
      </w:r>
      <w:r>
        <w:rPr>
          <w:rFonts w:hint="eastAsia" w:ascii="宋体" w:hAnsi="宋体"/>
        </w:rPr>
        <w:t>）项目类型</w:t>
      </w:r>
    </w:p>
    <w:p w14:paraId="071793A8">
      <w:pPr>
        <w:ind w:firstLine="480"/>
      </w:pPr>
      <w:r>
        <w:rPr>
          <w:rFonts w:hint="eastAsia" w:ascii="宋体" w:hAnsi="宋体"/>
        </w:rPr>
        <w:t>根据《环境影响评价技术导则</w:t>
      </w:r>
      <w:r>
        <w:rPr>
          <w:rFonts w:hint="eastAsia"/>
        </w:rPr>
        <w:t xml:space="preserve"> 土壤环境（试行）》（H</w:t>
      </w:r>
      <w:r>
        <w:rPr>
          <w:rFonts w:cs="Times New Roman"/>
        </w:rPr>
        <w:t>J964-20198）附表A.1，本项目属于“制造业 石油化工 化学原料和化学制品制造”，项目类别为</w:t>
      </w:r>
      <w:r>
        <w:rPr>
          <w:rFonts w:hint="eastAsia" w:ascii="宋体" w:hAnsi="宋体"/>
        </w:rPr>
        <w:t>Ⅰ</w:t>
      </w:r>
      <w:r>
        <w:rPr>
          <w:rFonts w:cs="Times New Roman"/>
        </w:rPr>
        <w:t>类。</w:t>
      </w:r>
    </w:p>
    <w:p w14:paraId="2E88591E">
      <w:pPr>
        <w:ind w:firstLine="480"/>
      </w:pPr>
      <w:r>
        <w:rPr>
          <w:rFonts w:hint="eastAsia" w:ascii="宋体" w:hAnsi="宋体"/>
        </w:rPr>
        <w:t>（</w:t>
      </w:r>
      <w:r>
        <w:rPr>
          <w:rFonts w:hint="eastAsia"/>
        </w:rPr>
        <w:t>2</w:t>
      </w:r>
      <w:r>
        <w:rPr>
          <w:rFonts w:hint="eastAsia" w:ascii="宋体" w:hAnsi="宋体"/>
        </w:rPr>
        <w:t>）项目影响类型及途径</w:t>
      </w:r>
    </w:p>
    <w:p w14:paraId="654BE82D">
      <w:pPr>
        <w:ind w:firstLine="480"/>
      </w:pPr>
      <w:r>
        <w:rPr>
          <w:rFonts w:hint="eastAsia"/>
        </w:rPr>
        <w:t>项目生产过程中</w:t>
      </w:r>
      <w:r>
        <w:t>会产生</w:t>
      </w:r>
      <w:r>
        <w:rPr>
          <w:rFonts w:hint="eastAsia"/>
        </w:rPr>
        <w:t>工艺</w:t>
      </w:r>
      <w:r>
        <w:t>废气</w:t>
      </w:r>
      <w:r>
        <w:rPr>
          <w:rFonts w:hint="eastAsia"/>
        </w:rPr>
        <w:t>等</w:t>
      </w:r>
      <w:r>
        <w:t>，主要成分</w:t>
      </w:r>
      <w:r>
        <w:rPr>
          <w:rFonts w:hint="eastAsia"/>
        </w:rPr>
        <w:t>甲醇、</w:t>
      </w:r>
      <w:r>
        <w:t>氯化氢</w:t>
      </w:r>
      <w:r>
        <w:rPr>
          <w:rFonts w:hint="eastAsia"/>
        </w:rPr>
        <w:t>、</w:t>
      </w:r>
      <w:r>
        <w:t>氟化氢</w:t>
      </w:r>
      <w:r>
        <w:rPr>
          <w:rFonts w:hint="eastAsia"/>
        </w:rPr>
        <w:t>等，排放</w:t>
      </w:r>
      <w:r>
        <w:t>的废气可因重力沉降或降水的作用迁移至水和土壤中</w:t>
      </w:r>
      <w:r>
        <w:rPr>
          <w:rFonts w:hint="eastAsia"/>
        </w:rPr>
        <w:t>，</w:t>
      </w:r>
      <w:r>
        <w:t>对土壤环境产生一定的影响</w:t>
      </w:r>
      <w:r>
        <w:rPr>
          <w:rFonts w:hint="eastAsia"/>
        </w:rPr>
        <w:t>。</w:t>
      </w:r>
    </w:p>
    <w:p w14:paraId="18450B5F">
      <w:pPr>
        <w:ind w:firstLine="480"/>
      </w:pPr>
      <w:r>
        <w:rPr>
          <w:rFonts w:hint="eastAsia"/>
        </w:rPr>
        <w:t>项目</w:t>
      </w:r>
      <w:r>
        <w:t>生产过程</w:t>
      </w:r>
      <w:r>
        <w:rPr>
          <w:rFonts w:hint="eastAsia"/>
        </w:rPr>
        <w:t>中</w:t>
      </w:r>
      <w:r>
        <w:t>产生的</w:t>
      </w:r>
      <w:r>
        <w:rPr>
          <w:rFonts w:hint="eastAsia"/>
        </w:rPr>
        <w:t>各类废水</w:t>
      </w:r>
      <w:r>
        <w:t>经预处理</w:t>
      </w:r>
      <w:r>
        <w:rPr>
          <w:rFonts w:hint="eastAsia"/>
        </w:rPr>
        <w:t>和</w:t>
      </w:r>
      <w:r>
        <w:t>污水处理站处理达标后经总排口排往</w:t>
      </w:r>
      <w:r>
        <w:rPr>
          <w:rFonts w:hint="eastAsia"/>
        </w:rPr>
        <w:t>沫河口污水处理厂</w:t>
      </w:r>
      <w:r>
        <w:t>集中处理</w:t>
      </w:r>
      <w:r>
        <w:rPr>
          <w:rFonts w:hint="eastAsia"/>
        </w:rPr>
        <w:t>；</w:t>
      </w:r>
      <w:r>
        <w:t>厂区污水处理站和污水收集及运送管线等均做好防渗措施，正常工况下不会由于废水排放导致地下水污染</w:t>
      </w:r>
      <w:r>
        <w:rPr>
          <w:rFonts w:hint="eastAsia"/>
        </w:rPr>
        <w:t>。当</w:t>
      </w:r>
      <w:r>
        <w:t>污水收集池发生泄漏或溢出，污水渗入地下造成</w:t>
      </w:r>
      <w:r>
        <w:rPr>
          <w:rFonts w:hint="eastAsia"/>
        </w:rPr>
        <w:t>土壤</w:t>
      </w:r>
      <w:r>
        <w:t>污染；污水收集管线发生泄漏，污水渗入地下造成</w:t>
      </w:r>
      <w:r>
        <w:rPr>
          <w:rFonts w:hint="eastAsia"/>
        </w:rPr>
        <w:t>土壤</w:t>
      </w:r>
      <w:r>
        <w:t>污染；生产车间装置发生泄漏造成地下水污染；仓库、危险废物存放库管理不善或发生泄漏，污染物质</w:t>
      </w:r>
      <w:r>
        <w:rPr>
          <w:rFonts w:hint="eastAsia"/>
        </w:rPr>
        <w:t>垂直入渗</w:t>
      </w:r>
      <w:r>
        <w:t>进入地下造成</w:t>
      </w:r>
      <w:r>
        <w:rPr>
          <w:rFonts w:hint="eastAsia"/>
        </w:rPr>
        <w:t>土壤</w:t>
      </w:r>
      <w:r>
        <w:t>污染等</w:t>
      </w:r>
      <w:r>
        <w:rPr>
          <w:rFonts w:hint="eastAsia" w:ascii="宋体" w:hAnsi="宋体"/>
        </w:rPr>
        <w:t>综上，本项目土壤影响类型见表</w:t>
      </w:r>
      <w:r>
        <w:rPr>
          <w:rFonts w:hint="eastAsia"/>
        </w:rPr>
        <w:t>5.7.1-1</w:t>
      </w:r>
      <w:r>
        <w:rPr>
          <w:rFonts w:hint="eastAsia" w:ascii="宋体" w:hAnsi="宋体"/>
        </w:rPr>
        <w:t>。</w:t>
      </w:r>
    </w:p>
    <w:p w14:paraId="2BD2083D">
      <w:pPr>
        <w:pStyle w:val="278"/>
        <w:ind w:firstLine="480"/>
      </w:pPr>
      <w:r>
        <w:rPr>
          <w:rFonts w:hint="eastAsia" w:ascii="黑体" w:hAnsi="黑体"/>
        </w:rPr>
        <w:t>表</w:t>
      </w:r>
      <w:r>
        <w:rPr>
          <w:rFonts w:hint="eastAsia"/>
        </w:rPr>
        <w:t>5</w:t>
      </w:r>
      <w:r>
        <w:t>.7.1</w:t>
      </w:r>
      <w:r>
        <w:rPr>
          <w:rFonts w:hint="eastAsia"/>
        </w:rPr>
        <w:t>-</w:t>
      </w:r>
      <w:r>
        <w:t xml:space="preserve">1  </w:t>
      </w:r>
      <w:r>
        <w:rPr>
          <w:rFonts w:hint="eastAsia" w:ascii="黑体" w:hAnsi="黑体"/>
        </w:rPr>
        <w:t>建设项目土壤环境影响类型与影响途径表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5"/>
        <w:gridCol w:w="1272"/>
        <w:gridCol w:w="1272"/>
        <w:gridCol w:w="1272"/>
        <w:gridCol w:w="782"/>
        <w:gridCol w:w="782"/>
        <w:gridCol w:w="782"/>
        <w:gridCol w:w="782"/>
        <w:gridCol w:w="784"/>
      </w:tblGrid>
      <w:tr w14:paraId="2DBBB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0" w:type="pct"/>
            <w:vMerge w:val="restart"/>
            <w:tcBorders>
              <w:top w:val="single" w:color="auto" w:sz="12" w:space="0"/>
              <w:left w:val="nil"/>
              <w:bottom w:val="single" w:color="auto" w:sz="4" w:space="0"/>
              <w:right w:val="single" w:color="auto" w:sz="4" w:space="0"/>
            </w:tcBorders>
            <w:vAlign w:val="center"/>
          </w:tcPr>
          <w:p w14:paraId="3392E600">
            <w:pPr>
              <w:pStyle w:val="445"/>
              <w:rPr>
                <w:rFonts w:cs="Times New Roman"/>
                <w:kern w:val="0"/>
                <w:szCs w:val="20"/>
              </w:rPr>
            </w:pPr>
            <w:r>
              <w:rPr>
                <w:rFonts w:hint="eastAsia" w:cs="Times New Roman"/>
                <w:kern w:val="0"/>
                <w:szCs w:val="20"/>
              </w:rPr>
              <w:t>不同时段</w:t>
            </w:r>
          </w:p>
        </w:tc>
        <w:tc>
          <w:tcPr>
            <w:tcW w:w="2487" w:type="pct"/>
            <w:gridSpan w:val="4"/>
            <w:tcBorders>
              <w:top w:val="single" w:color="auto" w:sz="12" w:space="0"/>
              <w:left w:val="single" w:color="auto" w:sz="4" w:space="0"/>
              <w:bottom w:val="single" w:color="auto" w:sz="4" w:space="0"/>
              <w:right w:val="single" w:color="auto" w:sz="4" w:space="0"/>
            </w:tcBorders>
            <w:vAlign w:val="center"/>
          </w:tcPr>
          <w:p w14:paraId="258E5FAC">
            <w:pPr>
              <w:pStyle w:val="445"/>
              <w:rPr>
                <w:rFonts w:cs="Times New Roman"/>
                <w:kern w:val="0"/>
                <w:szCs w:val="20"/>
              </w:rPr>
            </w:pPr>
            <w:r>
              <w:rPr>
                <w:rFonts w:hint="eastAsia" w:cs="Times New Roman"/>
                <w:kern w:val="0"/>
                <w:szCs w:val="20"/>
              </w:rPr>
              <w:t>污染影响型</w:t>
            </w:r>
          </w:p>
        </w:tc>
        <w:tc>
          <w:tcPr>
            <w:tcW w:w="1693" w:type="pct"/>
            <w:gridSpan w:val="4"/>
            <w:tcBorders>
              <w:top w:val="single" w:color="auto" w:sz="12" w:space="0"/>
              <w:left w:val="single" w:color="auto" w:sz="4" w:space="0"/>
              <w:bottom w:val="single" w:color="auto" w:sz="4" w:space="0"/>
              <w:right w:val="nil"/>
            </w:tcBorders>
            <w:vAlign w:val="center"/>
          </w:tcPr>
          <w:p w14:paraId="61F922DF">
            <w:pPr>
              <w:pStyle w:val="445"/>
              <w:rPr>
                <w:rFonts w:cs="Times New Roman"/>
                <w:kern w:val="0"/>
                <w:szCs w:val="20"/>
              </w:rPr>
            </w:pPr>
            <w:r>
              <w:rPr>
                <w:rFonts w:hint="eastAsia" w:cs="Times New Roman"/>
                <w:kern w:val="0"/>
                <w:szCs w:val="20"/>
              </w:rPr>
              <w:t>生态影响型</w:t>
            </w:r>
          </w:p>
        </w:tc>
      </w:tr>
      <w:tr w14:paraId="76B1E9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12" w:space="0"/>
              <w:left w:val="nil"/>
              <w:bottom w:val="single" w:color="auto" w:sz="4" w:space="0"/>
              <w:right w:val="single" w:color="auto" w:sz="4" w:space="0"/>
            </w:tcBorders>
            <w:vAlign w:val="center"/>
          </w:tcPr>
          <w:p w14:paraId="15CC14B3">
            <w:pPr>
              <w:pStyle w:val="445"/>
              <w:rPr>
                <w:rFonts w:ascii="Calibri" w:hAnsi="Calibri" w:cs="Times New Roman"/>
                <w:kern w:val="0"/>
                <w:szCs w:val="18"/>
              </w:rPr>
            </w:pPr>
          </w:p>
        </w:tc>
        <w:tc>
          <w:tcPr>
            <w:tcW w:w="688" w:type="pct"/>
            <w:tcBorders>
              <w:top w:val="single" w:color="auto" w:sz="4" w:space="0"/>
              <w:left w:val="single" w:color="auto" w:sz="4" w:space="0"/>
              <w:bottom w:val="single" w:color="auto" w:sz="4" w:space="0"/>
              <w:right w:val="single" w:color="auto" w:sz="4" w:space="0"/>
            </w:tcBorders>
            <w:vAlign w:val="center"/>
          </w:tcPr>
          <w:p w14:paraId="5142E301">
            <w:pPr>
              <w:pStyle w:val="445"/>
              <w:rPr>
                <w:rFonts w:cs="Times New Roman"/>
                <w:kern w:val="0"/>
                <w:szCs w:val="20"/>
              </w:rPr>
            </w:pPr>
            <w:r>
              <w:rPr>
                <w:rFonts w:hint="eastAsia" w:cs="Times New Roman"/>
                <w:kern w:val="0"/>
                <w:szCs w:val="20"/>
              </w:rPr>
              <w:t>大气沉降</w:t>
            </w:r>
          </w:p>
        </w:tc>
        <w:tc>
          <w:tcPr>
            <w:tcW w:w="688" w:type="pct"/>
            <w:tcBorders>
              <w:top w:val="single" w:color="auto" w:sz="4" w:space="0"/>
              <w:left w:val="single" w:color="auto" w:sz="4" w:space="0"/>
              <w:bottom w:val="single" w:color="auto" w:sz="4" w:space="0"/>
              <w:right w:val="single" w:color="auto" w:sz="4" w:space="0"/>
            </w:tcBorders>
            <w:vAlign w:val="center"/>
          </w:tcPr>
          <w:p w14:paraId="0E0B7E40">
            <w:pPr>
              <w:pStyle w:val="445"/>
              <w:rPr>
                <w:rFonts w:cs="Times New Roman"/>
                <w:kern w:val="0"/>
                <w:szCs w:val="20"/>
              </w:rPr>
            </w:pPr>
            <w:r>
              <w:rPr>
                <w:rFonts w:hint="eastAsia" w:cs="Times New Roman"/>
                <w:kern w:val="0"/>
                <w:szCs w:val="20"/>
              </w:rPr>
              <w:t>地面漫流</w:t>
            </w:r>
          </w:p>
        </w:tc>
        <w:tc>
          <w:tcPr>
            <w:tcW w:w="688" w:type="pct"/>
            <w:tcBorders>
              <w:top w:val="single" w:color="auto" w:sz="4" w:space="0"/>
              <w:left w:val="single" w:color="auto" w:sz="4" w:space="0"/>
              <w:bottom w:val="single" w:color="auto" w:sz="4" w:space="0"/>
              <w:right w:val="single" w:color="auto" w:sz="4" w:space="0"/>
            </w:tcBorders>
            <w:vAlign w:val="center"/>
          </w:tcPr>
          <w:p w14:paraId="69F70B67">
            <w:pPr>
              <w:pStyle w:val="445"/>
              <w:rPr>
                <w:rFonts w:cs="Times New Roman"/>
                <w:kern w:val="0"/>
                <w:szCs w:val="20"/>
              </w:rPr>
            </w:pPr>
            <w:r>
              <w:rPr>
                <w:rFonts w:hint="eastAsia" w:cs="Times New Roman"/>
                <w:kern w:val="0"/>
                <w:szCs w:val="20"/>
              </w:rPr>
              <w:t>垂直入渗</w:t>
            </w:r>
          </w:p>
        </w:tc>
        <w:tc>
          <w:tcPr>
            <w:tcW w:w="423" w:type="pct"/>
            <w:tcBorders>
              <w:top w:val="single" w:color="auto" w:sz="4" w:space="0"/>
              <w:left w:val="single" w:color="auto" w:sz="4" w:space="0"/>
              <w:bottom w:val="single" w:color="auto" w:sz="4" w:space="0"/>
              <w:right w:val="single" w:color="auto" w:sz="4" w:space="0"/>
            </w:tcBorders>
            <w:vAlign w:val="center"/>
          </w:tcPr>
          <w:p w14:paraId="457D6A6D">
            <w:pPr>
              <w:pStyle w:val="445"/>
              <w:rPr>
                <w:rFonts w:cs="Times New Roman"/>
                <w:kern w:val="0"/>
                <w:szCs w:val="20"/>
              </w:rPr>
            </w:pPr>
            <w:r>
              <w:rPr>
                <w:rFonts w:hint="eastAsia" w:cs="Times New Roman"/>
                <w:kern w:val="0"/>
                <w:szCs w:val="20"/>
              </w:rPr>
              <w:t>其他</w:t>
            </w:r>
          </w:p>
        </w:tc>
        <w:tc>
          <w:tcPr>
            <w:tcW w:w="423" w:type="pct"/>
            <w:tcBorders>
              <w:top w:val="single" w:color="auto" w:sz="4" w:space="0"/>
              <w:left w:val="single" w:color="auto" w:sz="4" w:space="0"/>
              <w:bottom w:val="single" w:color="auto" w:sz="4" w:space="0"/>
              <w:right w:val="single" w:color="auto" w:sz="4" w:space="0"/>
            </w:tcBorders>
            <w:vAlign w:val="center"/>
          </w:tcPr>
          <w:p w14:paraId="7768A2AC">
            <w:pPr>
              <w:pStyle w:val="445"/>
              <w:rPr>
                <w:rFonts w:cs="Times New Roman"/>
                <w:kern w:val="0"/>
                <w:szCs w:val="20"/>
              </w:rPr>
            </w:pPr>
            <w:r>
              <w:rPr>
                <w:rFonts w:hint="eastAsia" w:cs="Times New Roman"/>
                <w:kern w:val="0"/>
                <w:szCs w:val="20"/>
              </w:rPr>
              <w:t>盐化</w:t>
            </w:r>
          </w:p>
        </w:tc>
        <w:tc>
          <w:tcPr>
            <w:tcW w:w="423" w:type="pct"/>
            <w:tcBorders>
              <w:top w:val="single" w:color="auto" w:sz="4" w:space="0"/>
              <w:left w:val="single" w:color="auto" w:sz="4" w:space="0"/>
              <w:bottom w:val="single" w:color="auto" w:sz="4" w:space="0"/>
              <w:right w:val="single" w:color="auto" w:sz="4" w:space="0"/>
            </w:tcBorders>
            <w:vAlign w:val="center"/>
          </w:tcPr>
          <w:p w14:paraId="0435A0D7">
            <w:pPr>
              <w:pStyle w:val="445"/>
              <w:rPr>
                <w:rFonts w:cs="Times New Roman"/>
                <w:kern w:val="0"/>
                <w:szCs w:val="20"/>
              </w:rPr>
            </w:pPr>
            <w:r>
              <w:rPr>
                <w:rFonts w:hint="eastAsia" w:cs="Times New Roman"/>
                <w:kern w:val="0"/>
                <w:szCs w:val="20"/>
              </w:rPr>
              <w:t>碱化</w:t>
            </w:r>
          </w:p>
        </w:tc>
        <w:tc>
          <w:tcPr>
            <w:tcW w:w="423" w:type="pct"/>
            <w:tcBorders>
              <w:top w:val="single" w:color="auto" w:sz="4" w:space="0"/>
              <w:left w:val="single" w:color="auto" w:sz="4" w:space="0"/>
              <w:bottom w:val="single" w:color="auto" w:sz="4" w:space="0"/>
              <w:right w:val="single" w:color="auto" w:sz="4" w:space="0"/>
            </w:tcBorders>
            <w:vAlign w:val="center"/>
          </w:tcPr>
          <w:p w14:paraId="1868116E">
            <w:pPr>
              <w:pStyle w:val="445"/>
              <w:rPr>
                <w:rFonts w:cs="Times New Roman"/>
                <w:kern w:val="0"/>
                <w:szCs w:val="20"/>
              </w:rPr>
            </w:pPr>
            <w:r>
              <w:rPr>
                <w:rFonts w:hint="eastAsia" w:cs="Times New Roman"/>
                <w:kern w:val="0"/>
                <w:szCs w:val="20"/>
              </w:rPr>
              <w:t>酸化</w:t>
            </w:r>
          </w:p>
        </w:tc>
        <w:tc>
          <w:tcPr>
            <w:tcW w:w="424" w:type="pct"/>
            <w:tcBorders>
              <w:top w:val="single" w:color="auto" w:sz="4" w:space="0"/>
              <w:left w:val="single" w:color="auto" w:sz="4" w:space="0"/>
              <w:bottom w:val="single" w:color="auto" w:sz="4" w:space="0"/>
              <w:right w:val="nil"/>
            </w:tcBorders>
            <w:vAlign w:val="center"/>
          </w:tcPr>
          <w:p w14:paraId="6B715AB6">
            <w:pPr>
              <w:pStyle w:val="445"/>
              <w:rPr>
                <w:rFonts w:cs="Times New Roman"/>
                <w:kern w:val="0"/>
                <w:szCs w:val="20"/>
              </w:rPr>
            </w:pPr>
            <w:r>
              <w:rPr>
                <w:rFonts w:hint="eastAsia" w:cs="Times New Roman"/>
                <w:kern w:val="0"/>
                <w:szCs w:val="20"/>
              </w:rPr>
              <w:t>其他</w:t>
            </w:r>
          </w:p>
        </w:tc>
      </w:tr>
      <w:tr w14:paraId="252603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0" w:type="pct"/>
            <w:tcBorders>
              <w:top w:val="single" w:color="auto" w:sz="4" w:space="0"/>
              <w:left w:val="nil"/>
              <w:bottom w:val="single" w:color="auto" w:sz="4" w:space="0"/>
              <w:right w:val="single" w:color="auto" w:sz="4" w:space="0"/>
            </w:tcBorders>
            <w:vAlign w:val="center"/>
          </w:tcPr>
          <w:p w14:paraId="22514D67">
            <w:pPr>
              <w:pStyle w:val="445"/>
              <w:rPr>
                <w:rFonts w:cs="Times New Roman"/>
                <w:kern w:val="0"/>
                <w:szCs w:val="20"/>
              </w:rPr>
            </w:pPr>
            <w:r>
              <w:rPr>
                <w:rFonts w:hint="eastAsia" w:cs="Times New Roman"/>
                <w:kern w:val="0"/>
                <w:szCs w:val="20"/>
              </w:rPr>
              <w:t>建设期</w:t>
            </w:r>
          </w:p>
        </w:tc>
        <w:tc>
          <w:tcPr>
            <w:tcW w:w="688" w:type="pct"/>
            <w:tcBorders>
              <w:top w:val="single" w:color="auto" w:sz="4" w:space="0"/>
              <w:left w:val="single" w:color="auto" w:sz="4" w:space="0"/>
              <w:bottom w:val="single" w:color="auto" w:sz="4" w:space="0"/>
              <w:right w:val="single" w:color="auto" w:sz="4" w:space="0"/>
            </w:tcBorders>
            <w:vAlign w:val="center"/>
          </w:tcPr>
          <w:p w14:paraId="24133512">
            <w:pPr>
              <w:pStyle w:val="445"/>
              <w:rPr>
                <w:rFonts w:cs="Times New Roman"/>
                <w:kern w:val="0"/>
                <w:szCs w:val="20"/>
              </w:rPr>
            </w:pPr>
          </w:p>
        </w:tc>
        <w:tc>
          <w:tcPr>
            <w:tcW w:w="688" w:type="pct"/>
            <w:tcBorders>
              <w:top w:val="single" w:color="auto" w:sz="4" w:space="0"/>
              <w:left w:val="single" w:color="auto" w:sz="4" w:space="0"/>
              <w:bottom w:val="single" w:color="auto" w:sz="4" w:space="0"/>
              <w:right w:val="single" w:color="auto" w:sz="4" w:space="0"/>
            </w:tcBorders>
            <w:vAlign w:val="center"/>
          </w:tcPr>
          <w:p w14:paraId="0FE7C66A">
            <w:pPr>
              <w:pStyle w:val="445"/>
              <w:rPr>
                <w:rFonts w:cs="Times New Roman"/>
                <w:kern w:val="0"/>
                <w:szCs w:val="20"/>
              </w:rPr>
            </w:pPr>
          </w:p>
        </w:tc>
        <w:tc>
          <w:tcPr>
            <w:tcW w:w="688" w:type="pct"/>
            <w:tcBorders>
              <w:top w:val="single" w:color="auto" w:sz="4" w:space="0"/>
              <w:left w:val="single" w:color="auto" w:sz="4" w:space="0"/>
              <w:bottom w:val="single" w:color="auto" w:sz="4" w:space="0"/>
              <w:right w:val="single" w:color="auto" w:sz="4" w:space="0"/>
            </w:tcBorders>
            <w:vAlign w:val="center"/>
          </w:tcPr>
          <w:p w14:paraId="49B37FF0">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063FF335">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5E61E3A3">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6C66C492">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3D900582">
            <w:pPr>
              <w:pStyle w:val="445"/>
              <w:rPr>
                <w:rFonts w:cs="Times New Roman"/>
                <w:kern w:val="0"/>
                <w:szCs w:val="20"/>
              </w:rPr>
            </w:pPr>
          </w:p>
        </w:tc>
        <w:tc>
          <w:tcPr>
            <w:tcW w:w="424" w:type="pct"/>
            <w:tcBorders>
              <w:top w:val="single" w:color="auto" w:sz="4" w:space="0"/>
              <w:left w:val="single" w:color="auto" w:sz="4" w:space="0"/>
              <w:bottom w:val="single" w:color="auto" w:sz="4" w:space="0"/>
              <w:right w:val="nil"/>
            </w:tcBorders>
            <w:vAlign w:val="center"/>
          </w:tcPr>
          <w:p w14:paraId="5930186D">
            <w:pPr>
              <w:pStyle w:val="445"/>
              <w:rPr>
                <w:rFonts w:cs="Times New Roman"/>
                <w:kern w:val="0"/>
                <w:szCs w:val="20"/>
              </w:rPr>
            </w:pPr>
          </w:p>
        </w:tc>
      </w:tr>
      <w:tr w14:paraId="20B36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0" w:type="pct"/>
            <w:tcBorders>
              <w:top w:val="single" w:color="auto" w:sz="4" w:space="0"/>
              <w:left w:val="nil"/>
              <w:bottom w:val="single" w:color="auto" w:sz="4" w:space="0"/>
              <w:right w:val="single" w:color="auto" w:sz="4" w:space="0"/>
            </w:tcBorders>
            <w:vAlign w:val="center"/>
          </w:tcPr>
          <w:p w14:paraId="3E5CB51F">
            <w:pPr>
              <w:pStyle w:val="445"/>
              <w:rPr>
                <w:rFonts w:cs="Times New Roman"/>
                <w:kern w:val="0"/>
                <w:szCs w:val="20"/>
              </w:rPr>
            </w:pPr>
            <w:r>
              <w:rPr>
                <w:rFonts w:hint="eastAsia" w:cs="Times New Roman"/>
                <w:kern w:val="0"/>
                <w:szCs w:val="20"/>
              </w:rPr>
              <w:t>运营期</w:t>
            </w:r>
          </w:p>
        </w:tc>
        <w:tc>
          <w:tcPr>
            <w:tcW w:w="688" w:type="pct"/>
            <w:tcBorders>
              <w:top w:val="single" w:color="auto" w:sz="4" w:space="0"/>
              <w:left w:val="single" w:color="auto" w:sz="4" w:space="0"/>
              <w:bottom w:val="single" w:color="auto" w:sz="4" w:space="0"/>
              <w:right w:val="single" w:color="auto" w:sz="4" w:space="0"/>
            </w:tcBorders>
            <w:vAlign w:val="center"/>
          </w:tcPr>
          <w:p w14:paraId="059D3D08">
            <w:pPr>
              <w:pStyle w:val="445"/>
              <w:rPr>
                <w:rFonts w:cs="Times New Roman"/>
                <w:kern w:val="0"/>
                <w:szCs w:val="20"/>
              </w:rPr>
            </w:pPr>
            <w:r>
              <w:rPr>
                <w:rFonts w:hint="eastAsia" w:cs="Times New Roman"/>
                <w:kern w:val="0"/>
                <w:szCs w:val="20"/>
              </w:rPr>
              <w:t>√</w:t>
            </w:r>
          </w:p>
        </w:tc>
        <w:tc>
          <w:tcPr>
            <w:tcW w:w="688" w:type="pct"/>
            <w:tcBorders>
              <w:top w:val="single" w:color="auto" w:sz="4" w:space="0"/>
              <w:left w:val="single" w:color="auto" w:sz="4" w:space="0"/>
              <w:bottom w:val="single" w:color="auto" w:sz="4" w:space="0"/>
              <w:right w:val="single" w:color="auto" w:sz="4" w:space="0"/>
            </w:tcBorders>
            <w:vAlign w:val="center"/>
          </w:tcPr>
          <w:p w14:paraId="7C3B1C6B">
            <w:pPr>
              <w:pStyle w:val="445"/>
              <w:rPr>
                <w:rFonts w:cs="Times New Roman"/>
                <w:kern w:val="0"/>
                <w:szCs w:val="20"/>
              </w:rPr>
            </w:pPr>
          </w:p>
        </w:tc>
        <w:tc>
          <w:tcPr>
            <w:tcW w:w="688" w:type="pct"/>
            <w:tcBorders>
              <w:top w:val="single" w:color="auto" w:sz="4" w:space="0"/>
              <w:left w:val="single" w:color="auto" w:sz="4" w:space="0"/>
              <w:bottom w:val="single" w:color="auto" w:sz="4" w:space="0"/>
              <w:right w:val="single" w:color="auto" w:sz="4" w:space="0"/>
            </w:tcBorders>
            <w:vAlign w:val="center"/>
          </w:tcPr>
          <w:p w14:paraId="02BE1DC6">
            <w:pPr>
              <w:pStyle w:val="445"/>
              <w:rPr>
                <w:rFonts w:cs="Times New Roman"/>
                <w:kern w:val="0"/>
                <w:szCs w:val="20"/>
              </w:rPr>
            </w:pPr>
            <w:r>
              <w:rPr>
                <w:rFonts w:hint="eastAsia" w:cs="Times New Roman"/>
                <w:kern w:val="0"/>
                <w:szCs w:val="20"/>
              </w:rPr>
              <w:t>√</w:t>
            </w:r>
          </w:p>
        </w:tc>
        <w:tc>
          <w:tcPr>
            <w:tcW w:w="423" w:type="pct"/>
            <w:tcBorders>
              <w:top w:val="single" w:color="auto" w:sz="4" w:space="0"/>
              <w:left w:val="single" w:color="auto" w:sz="4" w:space="0"/>
              <w:bottom w:val="single" w:color="auto" w:sz="4" w:space="0"/>
              <w:right w:val="single" w:color="auto" w:sz="4" w:space="0"/>
            </w:tcBorders>
            <w:vAlign w:val="center"/>
          </w:tcPr>
          <w:p w14:paraId="5288F3CB">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6AFD9BCC">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1E4EC4EB">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4EE51CC0">
            <w:pPr>
              <w:pStyle w:val="445"/>
              <w:rPr>
                <w:rFonts w:cs="Times New Roman"/>
                <w:kern w:val="0"/>
                <w:szCs w:val="20"/>
              </w:rPr>
            </w:pPr>
          </w:p>
        </w:tc>
        <w:tc>
          <w:tcPr>
            <w:tcW w:w="424" w:type="pct"/>
            <w:tcBorders>
              <w:top w:val="single" w:color="auto" w:sz="4" w:space="0"/>
              <w:left w:val="single" w:color="auto" w:sz="4" w:space="0"/>
              <w:bottom w:val="single" w:color="auto" w:sz="4" w:space="0"/>
              <w:right w:val="nil"/>
            </w:tcBorders>
            <w:vAlign w:val="center"/>
          </w:tcPr>
          <w:p w14:paraId="468CC020">
            <w:pPr>
              <w:pStyle w:val="445"/>
              <w:rPr>
                <w:rFonts w:cs="Times New Roman"/>
                <w:kern w:val="0"/>
                <w:szCs w:val="20"/>
              </w:rPr>
            </w:pPr>
          </w:p>
        </w:tc>
      </w:tr>
      <w:tr w14:paraId="14157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0" w:type="pct"/>
            <w:tcBorders>
              <w:top w:val="single" w:color="auto" w:sz="4" w:space="0"/>
              <w:left w:val="nil"/>
              <w:bottom w:val="single" w:color="auto" w:sz="4" w:space="0"/>
              <w:right w:val="single" w:color="auto" w:sz="4" w:space="0"/>
            </w:tcBorders>
            <w:vAlign w:val="center"/>
          </w:tcPr>
          <w:p w14:paraId="1D42982A">
            <w:pPr>
              <w:pStyle w:val="445"/>
              <w:rPr>
                <w:rFonts w:cs="Times New Roman"/>
                <w:kern w:val="0"/>
                <w:szCs w:val="20"/>
              </w:rPr>
            </w:pPr>
            <w:r>
              <w:rPr>
                <w:rFonts w:hint="eastAsia" w:cs="Times New Roman"/>
                <w:kern w:val="0"/>
                <w:szCs w:val="20"/>
              </w:rPr>
              <w:t>服务期满后</w:t>
            </w:r>
          </w:p>
        </w:tc>
        <w:tc>
          <w:tcPr>
            <w:tcW w:w="688" w:type="pct"/>
            <w:tcBorders>
              <w:top w:val="single" w:color="auto" w:sz="4" w:space="0"/>
              <w:left w:val="single" w:color="auto" w:sz="4" w:space="0"/>
              <w:bottom w:val="single" w:color="auto" w:sz="4" w:space="0"/>
              <w:right w:val="single" w:color="auto" w:sz="4" w:space="0"/>
            </w:tcBorders>
            <w:vAlign w:val="center"/>
          </w:tcPr>
          <w:p w14:paraId="1ED43E87">
            <w:pPr>
              <w:pStyle w:val="445"/>
              <w:rPr>
                <w:rFonts w:cs="Times New Roman"/>
                <w:kern w:val="0"/>
                <w:szCs w:val="20"/>
              </w:rPr>
            </w:pPr>
          </w:p>
        </w:tc>
        <w:tc>
          <w:tcPr>
            <w:tcW w:w="688" w:type="pct"/>
            <w:tcBorders>
              <w:top w:val="single" w:color="auto" w:sz="4" w:space="0"/>
              <w:left w:val="single" w:color="auto" w:sz="4" w:space="0"/>
              <w:bottom w:val="single" w:color="auto" w:sz="4" w:space="0"/>
              <w:right w:val="single" w:color="auto" w:sz="4" w:space="0"/>
            </w:tcBorders>
            <w:vAlign w:val="center"/>
          </w:tcPr>
          <w:p w14:paraId="4F6F8E85">
            <w:pPr>
              <w:pStyle w:val="445"/>
              <w:rPr>
                <w:rFonts w:cs="Times New Roman"/>
                <w:kern w:val="0"/>
                <w:szCs w:val="20"/>
              </w:rPr>
            </w:pPr>
          </w:p>
        </w:tc>
        <w:tc>
          <w:tcPr>
            <w:tcW w:w="688" w:type="pct"/>
            <w:tcBorders>
              <w:top w:val="single" w:color="auto" w:sz="4" w:space="0"/>
              <w:left w:val="single" w:color="auto" w:sz="4" w:space="0"/>
              <w:bottom w:val="single" w:color="auto" w:sz="4" w:space="0"/>
              <w:right w:val="single" w:color="auto" w:sz="4" w:space="0"/>
            </w:tcBorders>
            <w:vAlign w:val="center"/>
          </w:tcPr>
          <w:p w14:paraId="05BB571E">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7F09C25B">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3472208F">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1957DF66">
            <w:pPr>
              <w:pStyle w:val="445"/>
              <w:rPr>
                <w:rFonts w:cs="Times New Roman"/>
                <w:kern w:val="0"/>
                <w:szCs w:val="20"/>
              </w:rPr>
            </w:pPr>
          </w:p>
        </w:tc>
        <w:tc>
          <w:tcPr>
            <w:tcW w:w="423" w:type="pct"/>
            <w:tcBorders>
              <w:top w:val="single" w:color="auto" w:sz="4" w:space="0"/>
              <w:left w:val="single" w:color="auto" w:sz="4" w:space="0"/>
              <w:bottom w:val="single" w:color="auto" w:sz="4" w:space="0"/>
              <w:right w:val="single" w:color="auto" w:sz="4" w:space="0"/>
            </w:tcBorders>
            <w:vAlign w:val="center"/>
          </w:tcPr>
          <w:p w14:paraId="5B22108A">
            <w:pPr>
              <w:pStyle w:val="445"/>
              <w:rPr>
                <w:rFonts w:cs="Times New Roman"/>
                <w:kern w:val="0"/>
                <w:szCs w:val="20"/>
              </w:rPr>
            </w:pPr>
          </w:p>
        </w:tc>
        <w:tc>
          <w:tcPr>
            <w:tcW w:w="424" w:type="pct"/>
            <w:tcBorders>
              <w:top w:val="single" w:color="auto" w:sz="4" w:space="0"/>
              <w:left w:val="single" w:color="auto" w:sz="4" w:space="0"/>
              <w:bottom w:val="single" w:color="auto" w:sz="4" w:space="0"/>
              <w:right w:val="nil"/>
            </w:tcBorders>
            <w:vAlign w:val="center"/>
          </w:tcPr>
          <w:p w14:paraId="44E158B9">
            <w:pPr>
              <w:pStyle w:val="445"/>
              <w:rPr>
                <w:rFonts w:cs="Times New Roman"/>
                <w:kern w:val="0"/>
                <w:szCs w:val="20"/>
              </w:rPr>
            </w:pPr>
          </w:p>
        </w:tc>
      </w:tr>
      <w:tr w14:paraId="0A849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tcBorders>
              <w:top w:val="single" w:color="auto" w:sz="4" w:space="0"/>
              <w:left w:val="nil"/>
              <w:bottom w:val="single" w:color="auto" w:sz="12" w:space="0"/>
              <w:right w:val="nil"/>
            </w:tcBorders>
            <w:vAlign w:val="center"/>
          </w:tcPr>
          <w:p w14:paraId="173C974A">
            <w:pPr>
              <w:pStyle w:val="445"/>
              <w:rPr>
                <w:rFonts w:cs="Times New Roman"/>
                <w:kern w:val="0"/>
                <w:szCs w:val="20"/>
              </w:rPr>
            </w:pPr>
            <w:r>
              <w:rPr>
                <w:rFonts w:hint="eastAsia" w:cs="Times New Roman"/>
                <w:kern w:val="0"/>
                <w:szCs w:val="20"/>
              </w:rPr>
              <w:t>注：在可能产生的土壤环境影响类型处打“√”，列表未涵盖的可自行设计。</w:t>
            </w:r>
          </w:p>
        </w:tc>
      </w:tr>
    </w:tbl>
    <w:p w14:paraId="1C9AB9AD">
      <w:pPr>
        <w:ind w:firstLine="480"/>
      </w:pPr>
      <w:r>
        <w:rPr>
          <w:rFonts w:hint="eastAsia" w:ascii="宋体" w:hAnsi="宋体"/>
        </w:rPr>
        <w:t>由上表可知，本项目土壤环境影响途径主要为运营期大气沉降</w:t>
      </w:r>
      <w:r>
        <w:rPr>
          <w:rFonts w:ascii="宋体" w:hAnsi="宋体"/>
        </w:rPr>
        <w:t>和</w:t>
      </w:r>
      <w:r>
        <w:rPr>
          <w:rFonts w:hint="eastAsia" w:ascii="宋体" w:hAnsi="宋体"/>
        </w:rPr>
        <w:t>垂直入渗污染。因此项目土壤环境影响类型为</w:t>
      </w:r>
      <w:r>
        <w:rPr>
          <w:rFonts w:hint="eastAsia"/>
        </w:rPr>
        <w:t>“污染影响型”，应分别开展评价工作。</w:t>
      </w:r>
    </w:p>
    <w:p w14:paraId="0CD5B682">
      <w:pPr>
        <w:ind w:firstLine="480"/>
        <w:rPr>
          <w:lang w:val="zh-CN"/>
        </w:rPr>
      </w:pPr>
      <w:r>
        <w:rPr>
          <w:rFonts w:hint="eastAsia"/>
          <w:lang w:val="zh-CN"/>
        </w:rPr>
        <w:t>（3）</w:t>
      </w:r>
      <w:r>
        <w:rPr>
          <w:rFonts w:hint="eastAsia"/>
        </w:rPr>
        <w:t>影响源及影响因子</w:t>
      </w:r>
    </w:p>
    <w:p w14:paraId="7DC7408F">
      <w:pPr>
        <w:ind w:firstLine="480"/>
        <w:rPr>
          <w:rFonts w:cs="Times New Roman"/>
        </w:rPr>
        <w:sectPr>
          <w:pgSz w:w="11907" w:h="16840"/>
          <w:pgMar w:top="1440" w:right="1440" w:bottom="1440" w:left="1440" w:header="851" w:footer="992" w:gutter="0"/>
          <w:cols w:space="425" w:num="1"/>
          <w:docGrid w:type="lines" w:linePitch="326" w:charSpace="0"/>
        </w:sectPr>
      </w:pPr>
      <w:r>
        <w:rPr>
          <w:rFonts w:hint="eastAsia" w:cs="Times New Roman"/>
        </w:rPr>
        <w:t>项目土壤环境影响源及影响因子识别结果见表5</w:t>
      </w:r>
      <w:r>
        <w:rPr>
          <w:rFonts w:cs="Times New Roman"/>
        </w:rPr>
        <w:t>.7.1</w:t>
      </w:r>
      <w:r>
        <w:rPr>
          <w:rFonts w:hint="eastAsia" w:cs="Times New Roman"/>
        </w:rPr>
        <w:t>-</w:t>
      </w:r>
      <w:r>
        <w:rPr>
          <w:rFonts w:cs="Times New Roman"/>
        </w:rPr>
        <w:t>2</w:t>
      </w:r>
      <w:r>
        <w:rPr>
          <w:rFonts w:hint="eastAsia" w:cs="Times New Roman"/>
        </w:rPr>
        <w:t>。</w:t>
      </w:r>
    </w:p>
    <w:p w14:paraId="6004BC03">
      <w:pPr>
        <w:pStyle w:val="278"/>
      </w:pPr>
      <w:r>
        <w:rPr>
          <w:rFonts w:hint="eastAsia"/>
        </w:rPr>
        <w:t>表5</w:t>
      </w:r>
      <w:r>
        <w:t>.7.1</w:t>
      </w:r>
      <w:r>
        <w:rPr>
          <w:rFonts w:hint="eastAsia"/>
        </w:rPr>
        <w:t>-</w:t>
      </w:r>
      <w:r>
        <w:t xml:space="preserve">2   </w:t>
      </w:r>
      <w:r>
        <w:rPr>
          <w:rFonts w:hint="eastAsia"/>
        </w:rPr>
        <w:t>污染影响型土壤环境影响源及影响因子识别表</w:t>
      </w:r>
    </w:p>
    <w:tbl>
      <w:tblPr>
        <w:tblStyle w:val="65"/>
        <w:tblW w:w="484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678"/>
        <w:gridCol w:w="1370"/>
        <w:gridCol w:w="1614"/>
        <w:gridCol w:w="1492"/>
        <w:gridCol w:w="1493"/>
      </w:tblGrid>
      <w:tr w14:paraId="3CE47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30ADA7EA">
            <w:pPr>
              <w:pStyle w:val="445"/>
              <w:rPr>
                <w:rFonts w:cs="Times New Roman"/>
                <w:kern w:val="0"/>
                <w:szCs w:val="20"/>
              </w:rPr>
            </w:pPr>
            <w:r>
              <w:rPr>
                <w:rFonts w:hint="eastAsia" w:cs="Times New Roman"/>
                <w:kern w:val="0"/>
                <w:szCs w:val="20"/>
              </w:rPr>
              <w:t>污染源</w:t>
            </w:r>
          </w:p>
        </w:tc>
        <w:tc>
          <w:tcPr>
            <w:tcW w:w="1637" w:type="dxa"/>
            <w:vAlign w:val="center"/>
          </w:tcPr>
          <w:p w14:paraId="110F9A45">
            <w:pPr>
              <w:pStyle w:val="445"/>
              <w:rPr>
                <w:rFonts w:cs="Times New Roman"/>
                <w:kern w:val="0"/>
                <w:szCs w:val="20"/>
              </w:rPr>
            </w:pPr>
            <w:r>
              <w:rPr>
                <w:rFonts w:hint="eastAsia" w:cs="Times New Roman"/>
                <w:kern w:val="0"/>
                <w:szCs w:val="20"/>
              </w:rPr>
              <w:t>工艺流程/节点</w:t>
            </w:r>
          </w:p>
        </w:tc>
        <w:tc>
          <w:tcPr>
            <w:tcW w:w="1336" w:type="dxa"/>
            <w:vAlign w:val="center"/>
          </w:tcPr>
          <w:p w14:paraId="1E9E0FE0">
            <w:pPr>
              <w:pStyle w:val="445"/>
              <w:rPr>
                <w:rFonts w:cs="Times New Roman"/>
                <w:kern w:val="0"/>
                <w:szCs w:val="20"/>
              </w:rPr>
            </w:pPr>
            <w:r>
              <w:rPr>
                <w:rFonts w:hint="eastAsia" w:cs="Times New Roman"/>
                <w:kern w:val="0"/>
                <w:szCs w:val="20"/>
              </w:rPr>
              <w:t>污染途径</w:t>
            </w:r>
          </w:p>
        </w:tc>
        <w:tc>
          <w:tcPr>
            <w:tcW w:w="1574" w:type="dxa"/>
            <w:vAlign w:val="center"/>
          </w:tcPr>
          <w:p w14:paraId="30D3D0CE">
            <w:pPr>
              <w:pStyle w:val="445"/>
              <w:rPr>
                <w:rFonts w:cs="Times New Roman"/>
                <w:kern w:val="0"/>
                <w:szCs w:val="20"/>
              </w:rPr>
            </w:pPr>
            <w:r>
              <w:rPr>
                <w:rFonts w:hint="eastAsia" w:cs="Times New Roman"/>
                <w:kern w:val="0"/>
                <w:szCs w:val="20"/>
              </w:rPr>
              <w:t>全部污染指标</w:t>
            </w:r>
          </w:p>
        </w:tc>
        <w:tc>
          <w:tcPr>
            <w:tcW w:w="1455" w:type="dxa"/>
            <w:vAlign w:val="center"/>
          </w:tcPr>
          <w:p w14:paraId="48FE2CCD">
            <w:pPr>
              <w:pStyle w:val="445"/>
              <w:rPr>
                <w:rFonts w:cs="Times New Roman"/>
                <w:kern w:val="0"/>
                <w:szCs w:val="20"/>
              </w:rPr>
            </w:pPr>
            <w:r>
              <w:rPr>
                <w:rFonts w:hint="eastAsia" w:cs="Times New Roman"/>
                <w:kern w:val="0"/>
                <w:szCs w:val="20"/>
              </w:rPr>
              <w:t>特征因子</w:t>
            </w:r>
          </w:p>
        </w:tc>
        <w:tc>
          <w:tcPr>
            <w:tcW w:w="1456" w:type="dxa"/>
            <w:vAlign w:val="center"/>
          </w:tcPr>
          <w:p w14:paraId="5A0996A1">
            <w:pPr>
              <w:pStyle w:val="445"/>
              <w:rPr>
                <w:rFonts w:cs="Times New Roman"/>
                <w:kern w:val="0"/>
                <w:szCs w:val="20"/>
              </w:rPr>
            </w:pPr>
            <w:r>
              <w:rPr>
                <w:rFonts w:hint="eastAsia" w:cs="Times New Roman"/>
                <w:kern w:val="0"/>
                <w:szCs w:val="20"/>
              </w:rPr>
              <w:t>备注</w:t>
            </w:r>
          </w:p>
        </w:tc>
      </w:tr>
      <w:tr w14:paraId="58386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239E438D">
            <w:pPr>
              <w:pStyle w:val="445"/>
              <w:rPr>
                <w:rFonts w:cs="Times New Roman"/>
                <w:kern w:val="0"/>
                <w:szCs w:val="20"/>
              </w:rPr>
            </w:pPr>
            <w:r>
              <w:rPr>
                <w:rFonts w:hint="eastAsia" w:cs="Times New Roman"/>
                <w:kern w:val="0"/>
                <w:szCs w:val="20"/>
              </w:rPr>
              <w:t>废气排放</w:t>
            </w:r>
          </w:p>
        </w:tc>
        <w:tc>
          <w:tcPr>
            <w:tcW w:w="1637" w:type="dxa"/>
            <w:vAlign w:val="center"/>
          </w:tcPr>
          <w:p w14:paraId="099249AC">
            <w:pPr>
              <w:pStyle w:val="445"/>
              <w:rPr>
                <w:rFonts w:cs="Times New Roman"/>
                <w:kern w:val="0"/>
                <w:szCs w:val="20"/>
              </w:rPr>
            </w:pPr>
            <w:r>
              <w:rPr>
                <w:rFonts w:hint="eastAsia" w:cs="Times New Roman"/>
                <w:kern w:val="0"/>
                <w:szCs w:val="20"/>
              </w:rPr>
              <w:t>生产过程</w:t>
            </w:r>
          </w:p>
        </w:tc>
        <w:tc>
          <w:tcPr>
            <w:tcW w:w="1336" w:type="dxa"/>
            <w:vAlign w:val="center"/>
          </w:tcPr>
          <w:p w14:paraId="4C210FF8">
            <w:pPr>
              <w:pStyle w:val="445"/>
              <w:rPr>
                <w:rFonts w:cs="Times New Roman"/>
                <w:kern w:val="0"/>
                <w:szCs w:val="20"/>
              </w:rPr>
            </w:pPr>
            <w:r>
              <w:rPr>
                <w:rFonts w:hint="eastAsia" w:cs="Times New Roman"/>
                <w:kern w:val="0"/>
                <w:szCs w:val="20"/>
              </w:rPr>
              <w:t>大气沉降</w:t>
            </w:r>
          </w:p>
        </w:tc>
        <w:tc>
          <w:tcPr>
            <w:tcW w:w="1574" w:type="dxa"/>
            <w:vAlign w:val="center"/>
          </w:tcPr>
          <w:p w14:paraId="2B6E77AF">
            <w:pPr>
              <w:pStyle w:val="445"/>
              <w:rPr>
                <w:rFonts w:cs="Times New Roman"/>
                <w:kern w:val="0"/>
                <w:szCs w:val="20"/>
              </w:rPr>
            </w:pPr>
            <w:r>
              <w:rPr>
                <w:rFonts w:hint="eastAsia" w:cs="Times New Roman"/>
                <w:kern w:val="0"/>
                <w:szCs w:val="20"/>
              </w:rPr>
              <w:t>有机废气、</w:t>
            </w:r>
            <w:r>
              <w:rPr>
                <w:rFonts w:cs="Times New Roman"/>
                <w:kern w:val="0"/>
                <w:szCs w:val="20"/>
              </w:rPr>
              <w:t>酸性废气</w:t>
            </w:r>
          </w:p>
        </w:tc>
        <w:tc>
          <w:tcPr>
            <w:tcW w:w="1455" w:type="dxa"/>
            <w:vAlign w:val="center"/>
          </w:tcPr>
          <w:p w14:paraId="47F23F34">
            <w:pPr>
              <w:pStyle w:val="445"/>
              <w:rPr>
                <w:rFonts w:cs="Times New Roman"/>
                <w:kern w:val="0"/>
                <w:szCs w:val="20"/>
              </w:rPr>
            </w:pPr>
            <w:r>
              <w:rPr>
                <w:rFonts w:hint="eastAsia" w:cs="Times New Roman"/>
                <w:kern w:val="0"/>
                <w:szCs w:val="20"/>
              </w:rPr>
              <w:t>氟化物</w:t>
            </w:r>
          </w:p>
        </w:tc>
        <w:tc>
          <w:tcPr>
            <w:tcW w:w="1456" w:type="dxa"/>
            <w:vAlign w:val="center"/>
          </w:tcPr>
          <w:p w14:paraId="336F846F">
            <w:pPr>
              <w:pStyle w:val="445"/>
              <w:rPr>
                <w:rFonts w:cs="Times New Roman"/>
                <w:kern w:val="0"/>
                <w:szCs w:val="20"/>
              </w:rPr>
            </w:pPr>
            <w:r>
              <w:rPr>
                <w:rFonts w:hint="eastAsia" w:cs="Times New Roman"/>
                <w:kern w:val="0"/>
                <w:szCs w:val="20"/>
              </w:rPr>
              <w:t>正常工况</w:t>
            </w:r>
          </w:p>
        </w:tc>
      </w:tr>
      <w:tr w14:paraId="06C06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0705FA83">
            <w:pPr>
              <w:pStyle w:val="445"/>
              <w:rPr>
                <w:rFonts w:cs="Times New Roman"/>
                <w:kern w:val="0"/>
                <w:szCs w:val="20"/>
              </w:rPr>
            </w:pPr>
            <w:r>
              <w:rPr>
                <w:rFonts w:hint="eastAsia" w:cs="Times New Roman"/>
                <w:kern w:val="0"/>
                <w:szCs w:val="20"/>
              </w:rPr>
              <w:t>废水收集池</w:t>
            </w:r>
          </w:p>
        </w:tc>
        <w:tc>
          <w:tcPr>
            <w:tcW w:w="1637" w:type="dxa"/>
            <w:vAlign w:val="center"/>
          </w:tcPr>
          <w:p w14:paraId="0B683156">
            <w:pPr>
              <w:pStyle w:val="445"/>
              <w:rPr>
                <w:rFonts w:cs="Times New Roman"/>
                <w:kern w:val="0"/>
                <w:szCs w:val="20"/>
              </w:rPr>
            </w:pPr>
            <w:r>
              <w:rPr>
                <w:rFonts w:hint="eastAsia" w:cs="Times New Roman"/>
                <w:kern w:val="0"/>
                <w:szCs w:val="20"/>
              </w:rPr>
              <w:t>污水处理</w:t>
            </w:r>
          </w:p>
        </w:tc>
        <w:tc>
          <w:tcPr>
            <w:tcW w:w="1336" w:type="dxa"/>
            <w:vAlign w:val="center"/>
          </w:tcPr>
          <w:p w14:paraId="37395721">
            <w:pPr>
              <w:pStyle w:val="445"/>
              <w:rPr>
                <w:rFonts w:cs="Times New Roman"/>
                <w:kern w:val="0"/>
                <w:szCs w:val="20"/>
              </w:rPr>
            </w:pPr>
            <w:r>
              <w:rPr>
                <w:rFonts w:hint="eastAsia" w:cs="Times New Roman"/>
                <w:kern w:val="0"/>
                <w:szCs w:val="20"/>
              </w:rPr>
              <w:t>垂直入渗</w:t>
            </w:r>
          </w:p>
        </w:tc>
        <w:tc>
          <w:tcPr>
            <w:tcW w:w="1574" w:type="dxa"/>
            <w:vAlign w:val="center"/>
          </w:tcPr>
          <w:p w14:paraId="2DD0713E">
            <w:pPr>
              <w:pStyle w:val="445"/>
              <w:rPr>
                <w:rFonts w:cs="Times New Roman"/>
                <w:kern w:val="0"/>
                <w:szCs w:val="20"/>
              </w:rPr>
            </w:pPr>
            <w:r>
              <w:rPr>
                <w:rFonts w:hint="eastAsia" w:cs="Times New Roman"/>
                <w:kern w:val="0"/>
                <w:szCs w:val="20"/>
              </w:rPr>
              <w:t>C</w:t>
            </w:r>
            <w:r>
              <w:rPr>
                <w:rFonts w:cs="Times New Roman"/>
                <w:kern w:val="0"/>
                <w:szCs w:val="20"/>
              </w:rPr>
              <w:t>O</w:t>
            </w:r>
            <w:r>
              <w:rPr>
                <w:rFonts w:hint="eastAsia" w:cs="Times New Roman"/>
                <w:kern w:val="0"/>
                <w:szCs w:val="20"/>
              </w:rPr>
              <w:t>D、</w:t>
            </w:r>
            <w:r>
              <w:rPr>
                <w:rFonts w:cs="Times New Roman"/>
                <w:kern w:val="0"/>
                <w:szCs w:val="20"/>
              </w:rPr>
              <w:t>氨氮、</w:t>
            </w:r>
            <w:r>
              <w:rPr>
                <w:rFonts w:hint="eastAsia" w:cs="Times New Roman"/>
                <w:kern w:val="0"/>
                <w:szCs w:val="20"/>
              </w:rPr>
              <w:t>SS</w:t>
            </w:r>
            <w:r>
              <w:rPr>
                <w:rFonts w:cs="Times New Roman"/>
                <w:kern w:val="0"/>
                <w:szCs w:val="20"/>
              </w:rPr>
              <w:t>、盐分</w:t>
            </w:r>
            <w:r>
              <w:rPr>
                <w:rFonts w:hint="eastAsia" w:cs="Times New Roman"/>
                <w:kern w:val="0"/>
                <w:szCs w:val="20"/>
              </w:rPr>
              <w:t>、</w:t>
            </w:r>
            <w:r>
              <w:rPr>
                <w:rFonts w:cs="Times New Roman"/>
                <w:kern w:val="0"/>
                <w:szCs w:val="20"/>
              </w:rPr>
              <w:t>氟化物</w:t>
            </w:r>
          </w:p>
        </w:tc>
        <w:tc>
          <w:tcPr>
            <w:tcW w:w="1455" w:type="dxa"/>
            <w:vAlign w:val="center"/>
          </w:tcPr>
          <w:p w14:paraId="309532B6">
            <w:pPr>
              <w:pStyle w:val="445"/>
              <w:rPr>
                <w:rFonts w:cs="Times New Roman"/>
                <w:kern w:val="0"/>
                <w:szCs w:val="20"/>
              </w:rPr>
            </w:pPr>
            <w:r>
              <w:rPr>
                <w:rFonts w:hint="eastAsia" w:cs="Times New Roman"/>
                <w:kern w:val="0"/>
                <w:szCs w:val="20"/>
              </w:rPr>
              <w:t>COD</w:t>
            </w:r>
          </w:p>
        </w:tc>
        <w:tc>
          <w:tcPr>
            <w:tcW w:w="1456" w:type="dxa"/>
            <w:vAlign w:val="center"/>
          </w:tcPr>
          <w:p w14:paraId="66C74C21">
            <w:pPr>
              <w:pStyle w:val="445"/>
              <w:rPr>
                <w:rFonts w:cs="Times New Roman"/>
                <w:kern w:val="0"/>
                <w:szCs w:val="20"/>
              </w:rPr>
            </w:pPr>
            <w:r>
              <w:rPr>
                <w:rFonts w:hint="eastAsia" w:cs="Times New Roman"/>
                <w:kern w:val="0"/>
                <w:szCs w:val="20"/>
              </w:rPr>
              <w:t>事故工况</w:t>
            </w:r>
          </w:p>
        </w:tc>
      </w:tr>
    </w:tbl>
    <w:p w14:paraId="76D1DF96">
      <w:pPr>
        <w:pStyle w:val="4068"/>
      </w:pPr>
      <w:bookmarkStart w:id="355" w:name="_Toc101135905"/>
      <w:bookmarkStart w:id="356" w:name="_Toc108662682"/>
      <w:bookmarkStart w:id="357" w:name="_Toc100784073"/>
      <w:r>
        <w:rPr>
          <w:rFonts w:hint="eastAsia"/>
        </w:rPr>
        <w:t>5.7.2</w:t>
      </w:r>
      <w:r>
        <w:rPr>
          <w:rFonts w:hint="eastAsia" w:ascii="黑体" w:hAnsi="黑体"/>
        </w:rPr>
        <w:t>土壤</w:t>
      </w:r>
      <w:r>
        <w:rPr>
          <w:rFonts w:ascii="黑体" w:hAnsi="黑体"/>
        </w:rPr>
        <w:t>现状</w:t>
      </w:r>
      <w:r>
        <w:rPr>
          <w:rFonts w:hint="eastAsia" w:ascii="黑体" w:hAnsi="黑体"/>
        </w:rPr>
        <w:t>调查</w:t>
      </w:r>
      <w:bookmarkEnd w:id="355"/>
      <w:bookmarkEnd w:id="356"/>
      <w:bookmarkEnd w:id="357"/>
    </w:p>
    <w:p w14:paraId="1203F639">
      <w:pPr>
        <w:pStyle w:val="27"/>
        <w:spacing w:line="360" w:lineRule="auto"/>
        <w:ind w:firstLine="480"/>
        <w:rPr>
          <w:color w:val="000000" w:themeColor="text1"/>
          <w14:textFill>
            <w14:solidFill>
              <w14:schemeClr w14:val="tx1"/>
            </w14:solidFill>
          </w14:textFill>
        </w:rPr>
      </w:pPr>
      <w:r>
        <w:rPr>
          <w:color w:val="000000" w:themeColor="text1"/>
          <w:lang w:val="zh-CN"/>
          <w14:textFill>
            <w14:solidFill>
              <w14:schemeClr w14:val="tx1"/>
            </w14:solidFill>
          </w14:textFill>
        </w:rPr>
        <w:t>根据调查，评价范围内分布的土壤类型主要为潮土。评价区土壤类型分布图见图</w:t>
      </w:r>
      <w:r>
        <w:rPr>
          <w:rFonts w:ascii="Times New Roman" w:hAnsi="Times New Roman"/>
          <w:color w:val="000000" w:themeColor="text1"/>
          <w14:textFill>
            <w14:solidFill>
              <w14:schemeClr w14:val="tx1"/>
            </w14:solidFill>
          </w14:textFill>
        </w:rPr>
        <w:t>5.7.2-1</w:t>
      </w:r>
      <w:r>
        <w:rPr>
          <w:rFonts w:hint="eastAsia"/>
          <w:color w:val="000000" w:themeColor="text1"/>
          <w:lang w:val="zh-CN"/>
          <w14:textFill>
            <w14:solidFill>
              <w14:schemeClr w14:val="tx1"/>
            </w14:solidFill>
          </w14:textFill>
        </w:rPr>
        <w:t>。</w:t>
      </w:r>
    </w:p>
    <w:p w14:paraId="3D09A9A2">
      <w:pPr>
        <w:pStyle w:val="27"/>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3160395</wp:posOffset>
                </wp:positionH>
                <wp:positionV relativeFrom="paragraph">
                  <wp:posOffset>1076325</wp:posOffset>
                </wp:positionV>
                <wp:extent cx="910590" cy="391795"/>
                <wp:effectExtent l="247015" t="4445" r="23495" b="422910"/>
                <wp:wrapNone/>
                <wp:docPr id="29" name="自选图形 27"/>
                <wp:cNvGraphicFramePr/>
                <a:graphic xmlns:a="http://schemas.openxmlformats.org/drawingml/2006/main">
                  <a:graphicData uri="http://schemas.microsoft.com/office/word/2010/wordprocessingShape">
                    <wps:wsp>
                      <wps:cNvSpPr/>
                      <wps:spPr>
                        <a:xfrm>
                          <a:off x="0" y="0"/>
                          <a:ext cx="910590" cy="391795"/>
                        </a:xfrm>
                        <a:prstGeom prst="wedgeRectCallout">
                          <a:avLst>
                            <a:gd name="adj1" fmla="val -73921"/>
                            <a:gd name="adj2" fmla="val 150972"/>
                          </a:avLst>
                        </a:prstGeom>
                        <a:noFill/>
                        <a:ln w="9525" cap="flat" cmpd="sng">
                          <a:solidFill>
                            <a:srgbClr val="FF0000"/>
                          </a:solidFill>
                          <a:prstDash val="solid"/>
                          <a:miter/>
                          <a:headEnd type="none" w="med" len="med"/>
                          <a:tailEnd type="none" w="med" len="med"/>
                        </a:ln>
                      </wps:spPr>
                      <wps:txbx>
                        <w:txbxContent>
                          <w:p w14:paraId="1D5CF3DC">
                            <w:pPr>
                              <w:ind w:firstLine="0" w:firstLineChars="0"/>
                              <w:rPr>
                                <w:color w:val="FF0000"/>
                                <w:sz w:val="28"/>
                              </w:rPr>
                            </w:pPr>
                            <w:r>
                              <w:rPr>
                                <w:rFonts w:hint="eastAsia"/>
                                <w:color w:val="FF0000"/>
                                <w:sz w:val="28"/>
                              </w:rPr>
                              <w:t>调查范围</w:t>
                            </w:r>
                          </w:p>
                        </w:txbxContent>
                      </wps:txbx>
                      <wps:bodyPr upright="1"/>
                    </wps:wsp>
                  </a:graphicData>
                </a:graphic>
              </wp:anchor>
            </w:drawing>
          </mc:Choice>
          <mc:Fallback>
            <w:pict>
              <v:shape id="自选图形 27" o:spid="_x0000_s1026" o:spt="61" type="#_x0000_t61" style="position:absolute;left:0pt;margin-left:248.85pt;margin-top:84.75pt;height:30.85pt;width:71.7pt;z-index:251659264;mso-width-relative:page;mso-height-relative:page;" filled="f" stroked="t" coordsize="21600,21600" o:gfxdata="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Cpr+rZAAAACwEAAA8AAAAAAAAAAQAgAAAAIgAAAGRycy9kb3du&#10;cmV2LnhtbFBLAQIUABQAAAAIAIdO4kC2PRdzNwIAAGYEAAAOAAAAAAAAAAEAIAAAACgBAABkcnMv&#10;ZTJvRG9jLnhtbFBLBQYAAAAABgAGAFkBAADRBQAAAAA=&#10;" adj="-5167,43410">
                <v:fill on="f" focussize="0,0"/>
                <v:stroke color="#FF0000" joinstyle="miter"/>
                <v:imagedata o:title=""/>
                <o:lock v:ext="edit" aspectratio="f"/>
                <v:textbox>
                  <w:txbxContent>
                    <w:p w14:paraId="1D5CF3DC">
                      <w:pPr>
                        <w:ind w:firstLine="0" w:firstLineChars="0"/>
                        <w:rPr>
                          <w:color w:val="FF0000"/>
                          <w:sz w:val="28"/>
                        </w:rPr>
                      </w:pPr>
                      <w:r>
                        <w:rPr>
                          <w:rFonts w:hint="eastAsia"/>
                          <w:color w:val="FF0000"/>
                          <w:sz w:val="28"/>
                        </w:rPr>
                        <w:t>调查范围</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2826385</wp:posOffset>
                </wp:positionH>
                <wp:positionV relativeFrom="paragraph">
                  <wp:posOffset>1889760</wp:posOffset>
                </wp:positionV>
                <wp:extent cx="95250" cy="75565"/>
                <wp:effectExtent l="4445" t="4445" r="14605" b="8890"/>
                <wp:wrapNone/>
                <wp:docPr id="30" name="矩形 30"/>
                <wp:cNvGraphicFramePr/>
                <a:graphic xmlns:a="http://schemas.openxmlformats.org/drawingml/2006/main">
                  <a:graphicData uri="http://schemas.microsoft.com/office/word/2010/wordprocessingShape">
                    <wps:wsp>
                      <wps:cNvSpPr/>
                      <wps:spPr>
                        <a:xfrm>
                          <a:off x="4044315" y="4248150"/>
                          <a:ext cx="95250" cy="75565"/>
                        </a:xfrm>
                        <a:prstGeom prst="rect">
                          <a:avLst/>
                        </a:prstGeom>
                        <a:noFill/>
                        <a:ln w="6350" cmpd="sng">
                          <a:solidFill>
                            <a:srgbClr val="FF00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55pt;margin-top:148.8pt;height:5.95pt;width:7.5pt;z-index:251660288;v-text-anchor:middle;mso-width-relative:page;mso-height-relative:page;" filled="f" stroked="t" coordsize="21600,21600" o:gfxdata="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GkBRP2wAAAAsBAAAPAAAAAAAAAAEAIAAAACIAAABk&#10;cnMvZG93bnJldi54bWxQSwECFAAUAAAACACHTuJAxkPC0HUCAADVBAAADgAAAAAAAAABACAAAAAq&#10;AQAAZHJzL2Uyb0RvYy54bWxQSwUGAAAAAAYABgBZAQAAEQYAAAAA&#10;">
                <v:fill on="f" focussize="0,0"/>
                <v:stroke weight="0.5pt" color="#FF0000 [3204]" miterlimit="8" joinstyle="miter"/>
                <v:imagedata o:title=""/>
                <o:lock v:ext="edit" aspectratio="f"/>
              </v:rect>
            </w:pict>
          </mc:Fallback>
        </mc:AlternateContent>
      </w:r>
      <w:r>
        <w:drawing>
          <wp:inline distT="0" distB="0" distL="114300" distR="114300">
            <wp:extent cx="5758815" cy="3329940"/>
            <wp:effectExtent l="0" t="0" r="6985" b="10160"/>
            <wp:docPr id="4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7"/>
                    <pic:cNvPicPr>
                      <a:picLocks noChangeAspect="1"/>
                    </pic:cNvPicPr>
                  </pic:nvPicPr>
                  <pic:blipFill>
                    <a:blip r:embed="rId117"/>
                    <a:stretch>
                      <a:fillRect/>
                    </a:stretch>
                  </pic:blipFill>
                  <pic:spPr>
                    <a:xfrm>
                      <a:off x="0" y="0"/>
                      <a:ext cx="5758815" cy="3329940"/>
                    </a:xfrm>
                    <a:prstGeom prst="rect">
                      <a:avLst/>
                    </a:prstGeom>
                    <a:noFill/>
                    <a:ln>
                      <a:noFill/>
                    </a:ln>
                  </pic:spPr>
                </pic:pic>
              </a:graphicData>
            </a:graphic>
          </wp:inline>
        </w:drawing>
      </w:r>
    </w:p>
    <w:p w14:paraId="36BD8188">
      <w:pPr>
        <w:ind w:firstLine="0" w:firstLineChars="0"/>
        <w:jc w:val="center"/>
        <w:rPr>
          <w:rFonts w:eastAsia="黑体"/>
          <w:color w:val="000000" w:themeColor="text1"/>
          <w:lang w:val="zh-CN"/>
          <w14:textFill>
            <w14:solidFill>
              <w14:schemeClr w14:val="tx1"/>
            </w14:solidFill>
          </w14:textFill>
        </w:rPr>
      </w:pPr>
      <w:r>
        <w:rPr>
          <w:rFonts w:hint="eastAsia" w:eastAsia="黑体"/>
          <w:color w:val="000000" w:themeColor="text1"/>
          <w:lang w:val="zh-CN"/>
          <w14:textFill>
            <w14:solidFill>
              <w14:schemeClr w14:val="tx1"/>
            </w14:solidFill>
          </w14:textFill>
        </w:rPr>
        <w:t>图</w:t>
      </w:r>
      <w:r>
        <w:rPr>
          <w:rFonts w:eastAsia="黑体"/>
          <w:color w:val="000000" w:themeColor="text1"/>
          <w14:textFill>
            <w14:solidFill>
              <w14:schemeClr w14:val="tx1"/>
            </w14:solidFill>
          </w14:textFill>
        </w:rPr>
        <w:t xml:space="preserve">5.7.2-1  </w:t>
      </w:r>
      <w:r>
        <w:rPr>
          <w:rFonts w:eastAsia="黑体"/>
          <w:color w:val="000000" w:themeColor="text1"/>
          <w:lang w:val="zh-CN"/>
          <w14:textFill>
            <w14:solidFill>
              <w14:schemeClr w14:val="tx1"/>
            </w14:solidFill>
          </w14:textFill>
        </w:rPr>
        <w:t>土壤调查范围土壤类型图</w:t>
      </w:r>
    </w:p>
    <w:p w14:paraId="35A871AD">
      <w:pPr>
        <w:pStyle w:val="4068"/>
      </w:pPr>
      <w:r>
        <w:fldChar w:fldCharType="begin"/>
      </w:r>
      <w:r>
        <w:instrText xml:space="preserve"> HYPERLINK \l "_Toc371587820" </w:instrText>
      </w:r>
      <w:r>
        <w:fldChar w:fldCharType="separate"/>
      </w:r>
      <w:bookmarkStart w:id="358" w:name="_Toc100784074"/>
      <w:bookmarkStart w:id="359" w:name="_Toc108662683"/>
      <w:bookmarkStart w:id="360" w:name="_Toc101135906"/>
      <w:r>
        <w:rPr>
          <w:rStyle w:val="115"/>
          <w:color w:val="auto"/>
          <w:u w:val="none"/>
        </w:rPr>
        <w:t>5.7</w:t>
      </w:r>
      <w:r>
        <w:rPr>
          <w:rStyle w:val="115"/>
          <w:rFonts w:hint="eastAsia"/>
          <w:color w:val="auto"/>
          <w:u w:val="none"/>
        </w:rPr>
        <w:t>.</w:t>
      </w:r>
      <w:r>
        <w:rPr>
          <w:rStyle w:val="115"/>
          <w:color w:val="auto"/>
          <w:u w:val="none"/>
        </w:rPr>
        <w:t>3</w:t>
      </w:r>
      <w:r>
        <w:rPr>
          <w:rStyle w:val="115"/>
          <w:rFonts w:hint="eastAsia" w:ascii="黑体" w:hAnsi="黑体"/>
          <w:color w:val="auto"/>
          <w:u w:val="none"/>
        </w:rPr>
        <w:t>垂直入渗对</w:t>
      </w:r>
      <w:r>
        <w:rPr>
          <w:rStyle w:val="115"/>
          <w:rFonts w:ascii="黑体" w:hAnsi="黑体"/>
          <w:color w:val="auto"/>
          <w:u w:val="none"/>
        </w:rPr>
        <w:t>土壤</w:t>
      </w:r>
      <w:r>
        <w:rPr>
          <w:rStyle w:val="115"/>
          <w:rFonts w:hint="eastAsia" w:ascii="黑体" w:hAnsi="黑体"/>
          <w:color w:val="auto"/>
          <w:u w:val="none"/>
        </w:rPr>
        <w:t>环境的</w:t>
      </w:r>
      <w:r>
        <w:rPr>
          <w:rStyle w:val="115"/>
          <w:rFonts w:ascii="黑体" w:hAnsi="黑体"/>
          <w:color w:val="auto"/>
          <w:u w:val="none"/>
        </w:rPr>
        <w:t>影响分析</w:t>
      </w:r>
      <w:bookmarkEnd w:id="358"/>
      <w:bookmarkEnd w:id="359"/>
      <w:bookmarkEnd w:id="360"/>
      <w:r>
        <w:rPr>
          <w:rStyle w:val="115"/>
          <w:rFonts w:ascii="黑体" w:hAnsi="黑体"/>
          <w:color w:val="auto"/>
          <w:u w:val="none"/>
        </w:rPr>
        <w:fldChar w:fldCharType="end"/>
      </w:r>
    </w:p>
    <w:p w14:paraId="1A1DDA95">
      <w:pPr>
        <w:pStyle w:val="349"/>
      </w:pPr>
      <w:r>
        <w:t>5.7.3.1</w:t>
      </w:r>
      <w:r>
        <w:rPr>
          <w:rFonts w:hint="eastAsia" w:ascii="黑体" w:hAnsi="黑体"/>
        </w:rPr>
        <w:t>预测模型</w:t>
      </w:r>
    </w:p>
    <w:p w14:paraId="06574CB7">
      <w:pPr>
        <w:ind w:firstLine="480"/>
      </w:pPr>
      <w:r>
        <w:rPr>
          <w:rFonts w:hint="eastAsia" w:ascii="宋体" w:hAnsi="宋体"/>
        </w:rPr>
        <w:t>本项目土壤环境影响预测采用导则推荐的一维非饱和溶质运移模型，具体公式如下：</w:t>
      </w:r>
    </w:p>
    <w:p w14:paraId="5E26C000">
      <w:pPr>
        <w:ind w:firstLine="480"/>
      </w:pPr>
      <w:r>
        <w:rPr>
          <w:rFonts w:hint="eastAsia" w:ascii="宋体" w:hAnsi="宋体"/>
        </w:rPr>
        <w:t>（</w:t>
      </w:r>
      <w:r>
        <w:rPr>
          <w:rFonts w:hint="eastAsia"/>
        </w:rPr>
        <w:t>1</w:t>
      </w:r>
      <w:r>
        <w:rPr>
          <w:rFonts w:hint="eastAsia" w:ascii="宋体" w:hAnsi="宋体"/>
        </w:rPr>
        <w:t>）一维非饱和溶质垂向运移控制方程：</w:t>
      </w:r>
    </w:p>
    <w:p w14:paraId="0FA0B0B2">
      <w:pPr>
        <w:ind w:firstLine="480"/>
        <w:jc w:val="center"/>
      </w:pPr>
      <w:r>
        <w:drawing>
          <wp:inline distT="0" distB="0" distL="0" distR="0">
            <wp:extent cx="2247900" cy="571500"/>
            <wp:effectExtent l="0" t="0" r="0" b="0"/>
            <wp:docPr id="120" name="图片 120" descr="C:\Users\ADMINI~1\AppData\Local\Temp\ksohtml\wps15D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C:\Users\ADMINI~1\AppData\Local\Temp\ksohtml\wps15D4.tmp.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a:xfrm>
                      <a:off x="0" y="0"/>
                      <a:ext cx="2247900" cy="571500"/>
                    </a:xfrm>
                    <a:prstGeom prst="rect">
                      <a:avLst/>
                    </a:prstGeom>
                    <a:noFill/>
                    <a:ln>
                      <a:noFill/>
                    </a:ln>
                  </pic:spPr>
                </pic:pic>
              </a:graphicData>
            </a:graphic>
          </wp:inline>
        </w:drawing>
      </w:r>
      <w:r>
        <w:t xml:space="preserve"> </w:t>
      </w:r>
    </w:p>
    <w:p w14:paraId="22A75756">
      <w:pPr>
        <w:ind w:firstLine="480"/>
      </w:pPr>
      <w:r>
        <w:rPr>
          <w:rFonts w:hint="eastAsia" w:ascii="宋体" w:hAnsi="宋体"/>
        </w:rPr>
        <w:t>式中：</w:t>
      </w:r>
      <w:r>
        <w:t>c</w:t>
      </w:r>
      <w:r>
        <w:rPr>
          <w:rFonts w:hint="eastAsia" w:ascii="宋体" w:hAnsi="宋体"/>
        </w:rPr>
        <w:t>—污染物介质中的浓度，</w:t>
      </w:r>
      <w:r>
        <w:rPr>
          <w:rFonts w:hint="eastAsia"/>
        </w:rPr>
        <w:t>mg/L</w:t>
      </w:r>
      <w:r>
        <w:rPr>
          <w:rFonts w:hint="eastAsia" w:ascii="宋体" w:hAnsi="宋体"/>
        </w:rPr>
        <w:t>；</w:t>
      </w:r>
    </w:p>
    <w:p w14:paraId="08CE3A57">
      <w:pPr>
        <w:ind w:firstLine="1200" w:firstLineChars="500"/>
      </w:pPr>
      <w:r>
        <w:rPr>
          <w:rFonts w:hint="eastAsia"/>
        </w:rPr>
        <w:t>D</w:t>
      </w:r>
      <w:r>
        <w:rPr>
          <w:rFonts w:hint="eastAsia" w:ascii="宋体" w:hAnsi="宋体"/>
        </w:rPr>
        <w:t>—弥散系数，</w:t>
      </w:r>
      <w:r>
        <w:rPr>
          <w:rFonts w:hint="eastAsia"/>
        </w:rPr>
        <w:t>m</w:t>
      </w:r>
      <w:r>
        <w:rPr>
          <w:rFonts w:hint="eastAsia"/>
          <w:vertAlign w:val="superscript"/>
        </w:rPr>
        <w:t>2</w:t>
      </w:r>
      <w:r>
        <w:rPr>
          <w:rFonts w:hint="eastAsia"/>
        </w:rPr>
        <w:t>/d</w:t>
      </w:r>
      <w:r>
        <w:rPr>
          <w:rFonts w:hint="eastAsia" w:ascii="宋体" w:hAnsi="宋体"/>
        </w:rPr>
        <w:t>；</w:t>
      </w:r>
    </w:p>
    <w:p w14:paraId="6AA0C2A4">
      <w:pPr>
        <w:ind w:firstLine="1200" w:firstLineChars="500"/>
      </w:pPr>
      <w:r>
        <w:t>q</w:t>
      </w:r>
      <w:r>
        <w:rPr>
          <w:rFonts w:hint="eastAsia" w:ascii="宋体" w:hAnsi="宋体"/>
        </w:rPr>
        <w:t>—渗流速度，</w:t>
      </w:r>
      <w:r>
        <w:rPr>
          <w:rFonts w:hint="eastAsia"/>
        </w:rPr>
        <w:t>m/d</w:t>
      </w:r>
      <w:r>
        <w:rPr>
          <w:rFonts w:hint="eastAsia" w:ascii="宋体" w:hAnsi="宋体"/>
        </w:rPr>
        <w:t>；</w:t>
      </w:r>
    </w:p>
    <w:p w14:paraId="3457FFC5">
      <w:pPr>
        <w:ind w:firstLine="1200" w:firstLineChars="500"/>
      </w:pPr>
      <w:r>
        <w:rPr>
          <w:rFonts w:hint="eastAsia"/>
        </w:rPr>
        <w:t>z</w:t>
      </w:r>
      <w:r>
        <w:rPr>
          <w:rFonts w:hint="eastAsia" w:ascii="宋体" w:hAnsi="宋体"/>
        </w:rPr>
        <w:t>—沿轴的距离，</w:t>
      </w:r>
      <w:r>
        <w:rPr>
          <w:rFonts w:hint="eastAsia"/>
        </w:rPr>
        <w:t>m</w:t>
      </w:r>
      <w:r>
        <w:rPr>
          <w:rFonts w:hint="eastAsia" w:ascii="宋体" w:hAnsi="宋体"/>
        </w:rPr>
        <w:t>；</w:t>
      </w:r>
    </w:p>
    <w:p w14:paraId="2EFBFB83">
      <w:pPr>
        <w:ind w:firstLine="1200" w:firstLineChars="500"/>
      </w:pPr>
      <w:r>
        <w:rPr>
          <w:rFonts w:hint="eastAsia"/>
        </w:rPr>
        <w:t>t</w:t>
      </w:r>
      <w:r>
        <w:rPr>
          <w:rFonts w:hint="eastAsia" w:ascii="宋体" w:hAnsi="宋体"/>
        </w:rPr>
        <w:t>—时间变量，</w:t>
      </w:r>
      <w:r>
        <w:rPr>
          <w:rFonts w:hint="eastAsia"/>
        </w:rPr>
        <w:t>d</w:t>
      </w:r>
      <w:r>
        <w:rPr>
          <w:rFonts w:hint="eastAsia" w:ascii="宋体" w:hAnsi="宋体"/>
        </w:rPr>
        <w:t>；</w:t>
      </w:r>
    </w:p>
    <w:p w14:paraId="13ECAD5B">
      <w:pPr>
        <w:ind w:firstLine="1200" w:firstLineChars="500"/>
      </w:pPr>
      <w:r>
        <w:t>θ</w:t>
      </w:r>
      <w:r>
        <w:rPr>
          <w:rFonts w:hint="eastAsia" w:ascii="宋体" w:hAnsi="宋体"/>
        </w:rPr>
        <w:t>—土壤含水率，</w:t>
      </w:r>
      <w:r>
        <w:rPr>
          <w:rFonts w:hint="eastAsia"/>
        </w:rPr>
        <w:t>%</w:t>
      </w:r>
      <w:r>
        <w:rPr>
          <w:rFonts w:hint="eastAsia" w:ascii="宋体" w:hAnsi="宋体"/>
        </w:rPr>
        <w:t>。</w:t>
      </w:r>
    </w:p>
    <w:p w14:paraId="79C32A96">
      <w:pPr>
        <w:ind w:firstLine="480"/>
      </w:pPr>
      <w:r>
        <w:rPr>
          <w:rFonts w:hint="eastAsia" w:ascii="宋体" w:hAnsi="宋体"/>
        </w:rPr>
        <w:t>（</w:t>
      </w:r>
      <w:r>
        <w:rPr>
          <w:rFonts w:hint="eastAsia"/>
        </w:rPr>
        <w:t>2</w:t>
      </w:r>
      <w:r>
        <w:rPr>
          <w:rFonts w:hint="eastAsia" w:ascii="宋体" w:hAnsi="宋体"/>
        </w:rPr>
        <w:t>）初始</w:t>
      </w:r>
      <w:r>
        <w:rPr>
          <w:rFonts w:ascii="宋体" w:hAnsi="宋体"/>
        </w:rPr>
        <w:t>条件</w:t>
      </w:r>
    </w:p>
    <w:p w14:paraId="4F45B4FA">
      <w:pPr>
        <w:ind w:firstLine="480"/>
      </w:pPr>
      <w:r>
        <w:rPr>
          <w:rFonts w:hint="eastAsia" w:ascii="宋体" w:hAnsi="宋体"/>
        </w:rPr>
        <w:t>第一类</w:t>
      </w:r>
      <w:r>
        <w:rPr>
          <w:rFonts w:hint="eastAsia"/>
        </w:rPr>
        <w:t>Dirichlet</w:t>
      </w:r>
      <w:r>
        <w:rPr>
          <w:rFonts w:hint="eastAsia" w:ascii="宋体" w:hAnsi="宋体"/>
        </w:rPr>
        <w:t>边界条件：</w:t>
      </w:r>
    </w:p>
    <w:p w14:paraId="403CB7A8">
      <w:pPr>
        <w:ind w:firstLine="480"/>
      </w:pPr>
      <w:r>
        <w:rPr>
          <w:rFonts w:hint="eastAsia" w:ascii="宋体" w:hAnsi="宋体"/>
        </w:rPr>
        <w:t>①连续点源</w:t>
      </w:r>
      <w:r>
        <w:rPr>
          <w:rFonts w:ascii="宋体" w:hAnsi="宋体"/>
        </w:rPr>
        <w:t>：</w:t>
      </w:r>
    </w:p>
    <w:p w14:paraId="745E83E4">
      <w:pPr>
        <w:ind w:firstLine="480"/>
        <w:jc w:val="center"/>
      </w:pPr>
      <w:r>
        <w:drawing>
          <wp:inline distT="0" distB="0" distL="0" distR="0">
            <wp:extent cx="2552700" cy="333375"/>
            <wp:effectExtent l="0" t="0" r="0" b="9525"/>
            <wp:docPr id="119" name="图片 119" descr="C:\Users\ADMINI~1\AppData\Local\Temp\ksohtml\wps15E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C:\Users\ADMINI~1\AppData\Local\Temp\ksohtml\wps15E5.tmp.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a:xfrm>
                      <a:off x="0" y="0"/>
                      <a:ext cx="2552700" cy="333375"/>
                    </a:xfrm>
                    <a:prstGeom prst="rect">
                      <a:avLst/>
                    </a:prstGeom>
                    <a:noFill/>
                    <a:ln>
                      <a:noFill/>
                    </a:ln>
                  </pic:spPr>
                </pic:pic>
              </a:graphicData>
            </a:graphic>
          </wp:inline>
        </w:drawing>
      </w:r>
      <w:r>
        <w:t xml:space="preserve"> </w:t>
      </w:r>
    </w:p>
    <w:p w14:paraId="68F6B631">
      <w:pPr>
        <w:ind w:firstLine="480"/>
      </w:pPr>
      <w:r>
        <w:rPr>
          <w:rFonts w:hint="eastAsia" w:ascii="宋体" w:hAnsi="宋体"/>
        </w:rPr>
        <w:t>②非连续点源</w:t>
      </w:r>
    </w:p>
    <w:p w14:paraId="5BB85316">
      <w:pPr>
        <w:ind w:firstLine="480"/>
        <w:jc w:val="center"/>
      </w:pPr>
      <w:r>
        <w:drawing>
          <wp:inline distT="0" distB="0" distL="0" distR="0">
            <wp:extent cx="2314575" cy="495300"/>
            <wp:effectExtent l="0" t="0" r="9525" b="0"/>
            <wp:docPr id="118" name="图片 118" descr="C:\Users\ADMINI~1\AppData\Local\Temp\ksohtml\wps15E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C:\Users\ADMINI~1\AppData\Local\Temp\ksohtml\wps15E6.tmp.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a:xfrm>
                      <a:off x="0" y="0"/>
                      <a:ext cx="2314575" cy="495300"/>
                    </a:xfrm>
                    <a:prstGeom prst="rect">
                      <a:avLst/>
                    </a:prstGeom>
                    <a:noFill/>
                    <a:ln>
                      <a:noFill/>
                    </a:ln>
                  </pic:spPr>
                </pic:pic>
              </a:graphicData>
            </a:graphic>
          </wp:inline>
        </w:drawing>
      </w:r>
      <w:r>
        <w:t xml:space="preserve"> </w:t>
      </w:r>
    </w:p>
    <w:p w14:paraId="4958524D">
      <w:pPr>
        <w:ind w:firstLine="480"/>
      </w:pPr>
      <w:r>
        <w:rPr>
          <w:rFonts w:hint="eastAsia" w:ascii="宋体" w:hAnsi="宋体"/>
        </w:rPr>
        <w:t>第二类</w:t>
      </w:r>
      <w:r>
        <w:rPr>
          <w:rFonts w:hint="eastAsia"/>
        </w:rPr>
        <w:t>Neumann</w:t>
      </w:r>
      <w:r>
        <w:rPr>
          <w:rFonts w:hint="eastAsia" w:ascii="宋体" w:hAnsi="宋体"/>
        </w:rPr>
        <w:t>零梯度</w:t>
      </w:r>
      <w:r>
        <w:rPr>
          <w:rFonts w:ascii="宋体" w:hAnsi="宋体"/>
        </w:rPr>
        <w:t>边界条件：</w:t>
      </w:r>
    </w:p>
    <w:p w14:paraId="5C5A2F9C">
      <w:pPr>
        <w:ind w:firstLine="480"/>
        <w:jc w:val="center"/>
      </w:pPr>
      <w:r>
        <w:drawing>
          <wp:inline distT="0" distB="0" distL="0" distR="0">
            <wp:extent cx="2286000" cy="409575"/>
            <wp:effectExtent l="0" t="0" r="0" b="9525"/>
            <wp:docPr id="117" name="图片 117" descr="C:\Users\ADMINI~1\AppData\Local\Temp\ksohtml\wps15F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C:\Users\ADMINI~1\AppData\Local\Temp\ksohtml\wps15F6.tmp.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a:xfrm>
                      <a:off x="0" y="0"/>
                      <a:ext cx="2286000" cy="409575"/>
                    </a:xfrm>
                    <a:prstGeom prst="rect">
                      <a:avLst/>
                    </a:prstGeom>
                    <a:noFill/>
                    <a:ln>
                      <a:noFill/>
                    </a:ln>
                  </pic:spPr>
                </pic:pic>
              </a:graphicData>
            </a:graphic>
          </wp:inline>
        </w:drawing>
      </w:r>
      <w:r>
        <w:t xml:space="preserve"> </w:t>
      </w:r>
    </w:p>
    <w:p w14:paraId="0AE15322">
      <w:pPr>
        <w:pStyle w:val="349"/>
      </w:pPr>
      <w:r>
        <w:t>5.7.3.2</w:t>
      </w:r>
      <w:r>
        <w:rPr>
          <w:rFonts w:hint="eastAsia" w:ascii="黑体" w:hAnsi="黑体"/>
        </w:rPr>
        <w:t>预测方案</w:t>
      </w:r>
    </w:p>
    <w:p w14:paraId="68F0ABC4">
      <w:pPr>
        <w:ind w:firstLine="480"/>
        <w:rPr>
          <w:lang w:val="zh-CN"/>
        </w:rPr>
      </w:pPr>
      <w:r>
        <w:rPr>
          <w:rFonts w:hint="eastAsia"/>
        </w:rPr>
        <w:t>预测情景：正常工况下，土壤和地下水防渗措施完好，不会对土壤造成不利影响。假设以</w:t>
      </w:r>
      <w:r>
        <w:t>废水</w:t>
      </w:r>
      <w:r>
        <w:rPr>
          <w:rFonts w:hint="eastAsia"/>
        </w:rPr>
        <w:t>收集池防渗破损，生产</w:t>
      </w:r>
      <w:r>
        <w:t>废水</w:t>
      </w:r>
      <w:r>
        <w:rPr>
          <w:rFonts w:hint="eastAsia"/>
        </w:rPr>
        <w:t>污染土壤为例进行土壤环境影响预测，概化为</w:t>
      </w:r>
      <w:r>
        <w:rPr>
          <w:rFonts w:hint="eastAsia"/>
          <w:b/>
          <w:bCs/>
        </w:rPr>
        <w:t>连续点源情景</w:t>
      </w:r>
      <w:r>
        <w:rPr>
          <w:rFonts w:hint="eastAsia"/>
        </w:rPr>
        <w:t>。</w:t>
      </w:r>
    </w:p>
    <w:p w14:paraId="73FA7C61">
      <w:pPr>
        <w:ind w:firstLine="480"/>
        <w:rPr>
          <w:lang w:val="zh-CN"/>
        </w:rPr>
      </w:pPr>
      <w:r>
        <w:rPr>
          <w:rFonts w:hint="eastAsia"/>
        </w:rPr>
        <w:t>预测因子：选</w:t>
      </w:r>
      <w:r>
        <w:rPr>
          <w:rFonts w:hint="eastAsia"/>
          <w:color w:val="000000" w:themeColor="text1"/>
          <w14:textFill>
            <w14:solidFill>
              <w14:schemeClr w14:val="tx1"/>
            </w14:solidFill>
          </w14:textFill>
        </w:rPr>
        <w:t>取COD</w:t>
      </w:r>
      <w:r>
        <w:t>作为特征因子</w:t>
      </w:r>
      <w:r>
        <w:rPr>
          <w:rFonts w:hint="eastAsia"/>
        </w:rPr>
        <w:t>。</w:t>
      </w:r>
    </w:p>
    <w:p w14:paraId="7E5FA2C7">
      <w:pPr>
        <w:ind w:firstLine="480"/>
        <w:sectPr>
          <w:pgSz w:w="11907" w:h="16840"/>
          <w:pgMar w:top="1440" w:right="1440" w:bottom="1440" w:left="1440" w:header="851" w:footer="992" w:gutter="0"/>
          <w:cols w:space="720" w:num="1"/>
          <w:docGrid w:type="lines" w:linePitch="326" w:charSpace="0"/>
        </w:sectPr>
      </w:pPr>
      <w:r>
        <w:rPr>
          <w:rFonts w:hint="eastAsia"/>
        </w:rPr>
        <w:t>预测参数选取：弥散系数D取值为</w:t>
      </w:r>
      <w:r>
        <w:t>0.324</w:t>
      </w:r>
      <w:r>
        <w:rPr>
          <w:rFonts w:hint="eastAsia"/>
        </w:rPr>
        <w:t>m</w:t>
      </w:r>
      <w:r>
        <w:rPr>
          <w:rFonts w:hint="eastAsia"/>
          <w:vertAlign w:val="superscript"/>
        </w:rPr>
        <w:t>2</w:t>
      </w:r>
      <w:r>
        <w:rPr>
          <w:rFonts w:hint="eastAsia"/>
        </w:rPr>
        <w:t>/d；渗流速率q为</w:t>
      </w:r>
      <w:r>
        <w:t>0.029</w:t>
      </w:r>
      <w:r>
        <w:rPr>
          <w:rFonts w:hint="eastAsia"/>
        </w:rPr>
        <w:t>m/d，土壤含水率根据工勘报告取为26.4%。</w:t>
      </w:r>
    </w:p>
    <w:p w14:paraId="2771E857">
      <w:pPr>
        <w:ind w:firstLine="480"/>
        <w:rPr>
          <w:lang w:val="zh-CN"/>
        </w:rPr>
      </w:pPr>
      <w:r>
        <w:rPr>
          <w:lang w:val="zh-CN"/>
        </w:rPr>
        <w:t>土壤预测</w:t>
      </w:r>
      <w:r>
        <w:rPr>
          <w:rFonts w:hint="eastAsia"/>
          <w:lang w:val="zh-CN"/>
        </w:rPr>
        <w:t>结果</w:t>
      </w:r>
      <w:r>
        <w:rPr>
          <w:lang w:val="zh-CN"/>
        </w:rPr>
        <w:t>如下表：</w:t>
      </w:r>
    </w:p>
    <w:p w14:paraId="57EB1F9B">
      <w:pPr>
        <w:pStyle w:val="278"/>
        <w:rPr>
          <w:lang w:val="zh-CN"/>
        </w:rPr>
      </w:pPr>
      <w:r>
        <w:rPr>
          <w:rFonts w:hint="eastAsia"/>
          <w:lang w:val="zh-CN"/>
        </w:rPr>
        <w:t>表5.7.</w:t>
      </w:r>
      <w:r>
        <w:rPr>
          <w:lang w:val="zh-CN"/>
        </w:rPr>
        <w:t xml:space="preserve">3-1  </w:t>
      </w:r>
      <w:r>
        <w:rPr>
          <w:rFonts w:hint="eastAsia"/>
          <w:lang w:val="zh-CN"/>
        </w:rPr>
        <w:t>土壤</w:t>
      </w:r>
      <w:r>
        <w:rPr>
          <w:lang w:val="zh-CN"/>
        </w:rPr>
        <w:t>环境影响预测结果</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157"/>
        <w:gridCol w:w="1157"/>
        <w:gridCol w:w="1304"/>
        <w:gridCol w:w="1304"/>
        <w:gridCol w:w="1304"/>
        <w:gridCol w:w="1304"/>
        <w:gridCol w:w="1304"/>
        <w:gridCol w:w="1304"/>
        <w:gridCol w:w="1299"/>
      </w:tblGrid>
      <w:tr w14:paraId="5EDBA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2285A84">
            <w:pPr>
              <w:pStyle w:val="445"/>
              <w:rPr>
                <w:rFonts w:cs="Times New Roman"/>
                <w:kern w:val="0"/>
                <w:szCs w:val="20"/>
              </w:rPr>
            </w:pPr>
            <w:r>
              <w:rPr>
                <w:rFonts w:hint="eastAsia" w:cs="Times New Roman"/>
                <w:kern w:val="0"/>
                <w:szCs w:val="20"/>
              </w:rPr>
              <w:t>Z(m)\C(mg/L)/t(d)</w:t>
            </w:r>
          </w:p>
        </w:tc>
        <w:tc>
          <w:tcPr>
            <w:tcW w:w="408" w:type="pct"/>
            <w:noWrap/>
            <w:vAlign w:val="center"/>
          </w:tcPr>
          <w:p w14:paraId="112578A9">
            <w:pPr>
              <w:pStyle w:val="445"/>
              <w:rPr>
                <w:rFonts w:cs="Times New Roman"/>
                <w:kern w:val="0"/>
                <w:szCs w:val="20"/>
              </w:rPr>
            </w:pPr>
            <w:r>
              <w:rPr>
                <w:rFonts w:hint="eastAsia" w:cs="Times New Roman"/>
                <w:kern w:val="0"/>
                <w:szCs w:val="20"/>
              </w:rPr>
              <w:t>1</w:t>
            </w:r>
          </w:p>
        </w:tc>
        <w:tc>
          <w:tcPr>
            <w:tcW w:w="408" w:type="pct"/>
            <w:vAlign w:val="center"/>
          </w:tcPr>
          <w:p w14:paraId="6592A4DD">
            <w:pPr>
              <w:pStyle w:val="445"/>
              <w:rPr>
                <w:rFonts w:cs="Times New Roman"/>
                <w:kern w:val="0"/>
                <w:szCs w:val="20"/>
              </w:rPr>
            </w:pPr>
            <w:r>
              <w:rPr>
                <w:rFonts w:hint="eastAsia" w:cs="Times New Roman"/>
                <w:kern w:val="0"/>
                <w:szCs w:val="20"/>
              </w:rPr>
              <w:t>10</w:t>
            </w:r>
          </w:p>
        </w:tc>
        <w:tc>
          <w:tcPr>
            <w:tcW w:w="460" w:type="pct"/>
            <w:vAlign w:val="center"/>
          </w:tcPr>
          <w:p w14:paraId="45CB9856">
            <w:pPr>
              <w:pStyle w:val="445"/>
              <w:rPr>
                <w:rFonts w:cs="Times New Roman"/>
                <w:kern w:val="0"/>
                <w:szCs w:val="20"/>
              </w:rPr>
            </w:pPr>
            <w:r>
              <w:rPr>
                <w:rFonts w:hint="eastAsia" w:cs="Times New Roman"/>
                <w:kern w:val="0"/>
                <w:szCs w:val="20"/>
              </w:rPr>
              <w:t>100</w:t>
            </w:r>
          </w:p>
        </w:tc>
        <w:tc>
          <w:tcPr>
            <w:tcW w:w="460" w:type="pct"/>
            <w:noWrap/>
            <w:vAlign w:val="center"/>
          </w:tcPr>
          <w:p w14:paraId="2EA00438">
            <w:pPr>
              <w:pStyle w:val="445"/>
              <w:rPr>
                <w:rFonts w:cs="Times New Roman"/>
                <w:kern w:val="0"/>
                <w:szCs w:val="20"/>
              </w:rPr>
            </w:pPr>
            <w:r>
              <w:rPr>
                <w:rFonts w:hint="eastAsia" w:cs="Times New Roman"/>
                <w:kern w:val="0"/>
                <w:szCs w:val="20"/>
              </w:rPr>
              <w:t>150</w:t>
            </w:r>
          </w:p>
        </w:tc>
        <w:tc>
          <w:tcPr>
            <w:tcW w:w="460" w:type="pct"/>
            <w:vAlign w:val="center"/>
          </w:tcPr>
          <w:p w14:paraId="4BCE9E2D">
            <w:pPr>
              <w:pStyle w:val="445"/>
              <w:rPr>
                <w:rFonts w:cs="Times New Roman"/>
                <w:kern w:val="0"/>
                <w:szCs w:val="20"/>
              </w:rPr>
            </w:pPr>
            <w:r>
              <w:rPr>
                <w:rFonts w:hint="eastAsia" w:cs="Times New Roman"/>
                <w:kern w:val="0"/>
                <w:szCs w:val="20"/>
              </w:rPr>
              <w:t>200</w:t>
            </w:r>
          </w:p>
        </w:tc>
        <w:tc>
          <w:tcPr>
            <w:tcW w:w="460" w:type="pct"/>
            <w:vAlign w:val="center"/>
          </w:tcPr>
          <w:p w14:paraId="50970946">
            <w:pPr>
              <w:pStyle w:val="445"/>
              <w:rPr>
                <w:rFonts w:cs="Times New Roman"/>
                <w:kern w:val="0"/>
                <w:szCs w:val="21"/>
              </w:rPr>
            </w:pPr>
            <w:r>
              <w:rPr>
                <w:rFonts w:cs="Times New Roman"/>
                <w:kern w:val="0"/>
                <w:szCs w:val="21"/>
              </w:rPr>
              <w:t>300</w:t>
            </w:r>
          </w:p>
        </w:tc>
        <w:tc>
          <w:tcPr>
            <w:tcW w:w="460" w:type="pct"/>
            <w:vAlign w:val="center"/>
          </w:tcPr>
          <w:p w14:paraId="4D4BB5F8">
            <w:pPr>
              <w:pStyle w:val="445"/>
              <w:rPr>
                <w:rFonts w:cs="Times New Roman"/>
                <w:kern w:val="0"/>
                <w:szCs w:val="21"/>
              </w:rPr>
            </w:pPr>
            <w:r>
              <w:rPr>
                <w:rFonts w:cs="Times New Roman"/>
                <w:kern w:val="0"/>
                <w:szCs w:val="21"/>
              </w:rPr>
              <w:t>365</w:t>
            </w:r>
          </w:p>
        </w:tc>
        <w:tc>
          <w:tcPr>
            <w:tcW w:w="460" w:type="pct"/>
            <w:noWrap/>
            <w:vAlign w:val="center"/>
          </w:tcPr>
          <w:p w14:paraId="6C90C861">
            <w:pPr>
              <w:pStyle w:val="445"/>
              <w:rPr>
                <w:rFonts w:cs="Times New Roman"/>
                <w:bCs/>
                <w:kern w:val="0"/>
                <w:szCs w:val="20"/>
              </w:rPr>
            </w:pPr>
            <w:r>
              <w:rPr>
                <w:rFonts w:hint="eastAsia" w:cs="Times New Roman"/>
                <w:bCs/>
                <w:kern w:val="0"/>
                <w:szCs w:val="20"/>
              </w:rPr>
              <w:t>1000</w:t>
            </w:r>
          </w:p>
        </w:tc>
        <w:tc>
          <w:tcPr>
            <w:tcW w:w="458" w:type="pct"/>
            <w:noWrap/>
            <w:vAlign w:val="center"/>
          </w:tcPr>
          <w:p w14:paraId="0964108D">
            <w:pPr>
              <w:pStyle w:val="445"/>
              <w:rPr>
                <w:rFonts w:cs="Times New Roman"/>
                <w:kern w:val="0"/>
                <w:szCs w:val="20"/>
              </w:rPr>
            </w:pPr>
            <w:r>
              <w:rPr>
                <w:rFonts w:hint="eastAsia" w:cs="Times New Roman"/>
                <w:kern w:val="0"/>
                <w:szCs w:val="20"/>
              </w:rPr>
              <w:t>3650</w:t>
            </w:r>
          </w:p>
        </w:tc>
      </w:tr>
      <w:tr w14:paraId="41A9C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B8F3599">
            <w:pPr>
              <w:pStyle w:val="445"/>
              <w:rPr>
                <w:rFonts w:cs="Times New Roman"/>
                <w:kern w:val="0"/>
                <w:szCs w:val="20"/>
              </w:rPr>
            </w:pPr>
            <w:r>
              <w:rPr>
                <w:rFonts w:hint="eastAsia" w:cs="Times New Roman"/>
                <w:kern w:val="0"/>
                <w:szCs w:val="20"/>
              </w:rPr>
              <w:t>0.1</w:t>
            </w:r>
          </w:p>
        </w:tc>
        <w:tc>
          <w:tcPr>
            <w:tcW w:w="408" w:type="pct"/>
            <w:noWrap/>
            <w:vAlign w:val="center"/>
          </w:tcPr>
          <w:p w14:paraId="3007F1CB">
            <w:pPr>
              <w:pStyle w:val="445"/>
              <w:rPr>
                <w:rFonts w:cs="Times New Roman"/>
                <w:kern w:val="0"/>
                <w:szCs w:val="20"/>
              </w:rPr>
            </w:pPr>
            <w:r>
              <w:rPr>
                <w:rFonts w:hint="eastAsia" w:cs="Times New Roman"/>
                <w:kern w:val="0"/>
                <w:szCs w:val="20"/>
              </w:rPr>
              <w:t xml:space="preserve">254.20 </w:t>
            </w:r>
          </w:p>
        </w:tc>
        <w:tc>
          <w:tcPr>
            <w:tcW w:w="408" w:type="pct"/>
            <w:noWrap/>
            <w:vAlign w:val="center"/>
          </w:tcPr>
          <w:p w14:paraId="3BD3CFF7">
            <w:pPr>
              <w:pStyle w:val="445"/>
              <w:rPr>
                <w:rFonts w:cs="Times New Roman"/>
                <w:kern w:val="0"/>
                <w:szCs w:val="20"/>
              </w:rPr>
            </w:pPr>
            <w:r>
              <w:rPr>
                <w:rFonts w:hint="eastAsia" w:cs="Times New Roman"/>
                <w:kern w:val="0"/>
                <w:szCs w:val="20"/>
              </w:rPr>
              <w:t xml:space="preserve">598.04 </w:t>
            </w:r>
          </w:p>
        </w:tc>
        <w:tc>
          <w:tcPr>
            <w:tcW w:w="460" w:type="pct"/>
            <w:noWrap/>
            <w:vAlign w:val="center"/>
          </w:tcPr>
          <w:p w14:paraId="47DDFAB1">
            <w:pPr>
              <w:pStyle w:val="445"/>
              <w:rPr>
                <w:rFonts w:cs="Times New Roman"/>
                <w:kern w:val="0"/>
                <w:szCs w:val="20"/>
              </w:rPr>
            </w:pPr>
            <w:r>
              <w:rPr>
                <w:rFonts w:hint="eastAsia" w:cs="Times New Roman"/>
                <w:kern w:val="0"/>
                <w:szCs w:val="20"/>
              </w:rPr>
              <w:t xml:space="preserve">1758.78 </w:t>
            </w:r>
          </w:p>
        </w:tc>
        <w:tc>
          <w:tcPr>
            <w:tcW w:w="460" w:type="pct"/>
            <w:noWrap/>
            <w:vAlign w:val="center"/>
          </w:tcPr>
          <w:p w14:paraId="29E7287A">
            <w:pPr>
              <w:pStyle w:val="445"/>
              <w:rPr>
                <w:rFonts w:cs="Times New Roman"/>
                <w:kern w:val="0"/>
                <w:szCs w:val="20"/>
              </w:rPr>
            </w:pPr>
            <w:r>
              <w:rPr>
                <w:rFonts w:hint="eastAsia" w:cs="Times New Roman"/>
                <w:kern w:val="0"/>
                <w:szCs w:val="20"/>
              </w:rPr>
              <w:t xml:space="preserve">1902.80 </w:t>
            </w:r>
          </w:p>
        </w:tc>
        <w:tc>
          <w:tcPr>
            <w:tcW w:w="460" w:type="pct"/>
            <w:noWrap/>
            <w:vAlign w:val="center"/>
          </w:tcPr>
          <w:p w14:paraId="2408916F">
            <w:pPr>
              <w:pStyle w:val="445"/>
              <w:rPr>
                <w:rFonts w:cs="Times New Roman"/>
                <w:kern w:val="0"/>
                <w:szCs w:val="20"/>
              </w:rPr>
            </w:pPr>
            <w:r>
              <w:rPr>
                <w:rFonts w:hint="eastAsia" w:cs="Times New Roman"/>
                <w:kern w:val="0"/>
                <w:szCs w:val="20"/>
              </w:rPr>
              <w:t xml:space="preserve">1965.75 </w:t>
            </w:r>
          </w:p>
        </w:tc>
        <w:tc>
          <w:tcPr>
            <w:tcW w:w="460" w:type="pct"/>
            <w:noWrap/>
            <w:vAlign w:val="center"/>
          </w:tcPr>
          <w:p w14:paraId="77C0233E">
            <w:pPr>
              <w:pStyle w:val="445"/>
              <w:rPr>
                <w:rFonts w:cs="Times New Roman"/>
                <w:kern w:val="0"/>
                <w:szCs w:val="20"/>
              </w:rPr>
            </w:pPr>
            <w:r>
              <w:rPr>
                <w:rFonts w:hint="eastAsia" w:cs="Times New Roman"/>
                <w:kern w:val="0"/>
                <w:szCs w:val="20"/>
              </w:rPr>
              <w:t xml:space="preserve">2011.85 </w:t>
            </w:r>
          </w:p>
        </w:tc>
        <w:tc>
          <w:tcPr>
            <w:tcW w:w="460" w:type="pct"/>
            <w:noWrap/>
            <w:vAlign w:val="center"/>
          </w:tcPr>
          <w:p w14:paraId="2114EC26">
            <w:pPr>
              <w:pStyle w:val="445"/>
              <w:rPr>
                <w:rFonts w:cs="Times New Roman"/>
                <w:kern w:val="0"/>
                <w:szCs w:val="20"/>
              </w:rPr>
            </w:pPr>
            <w:r>
              <w:rPr>
                <w:rFonts w:hint="eastAsia" w:cs="Times New Roman"/>
                <w:kern w:val="0"/>
                <w:szCs w:val="20"/>
              </w:rPr>
              <w:t xml:space="preserve">2022.13 </w:t>
            </w:r>
          </w:p>
        </w:tc>
        <w:tc>
          <w:tcPr>
            <w:tcW w:w="460" w:type="pct"/>
            <w:noWrap/>
            <w:vAlign w:val="center"/>
          </w:tcPr>
          <w:p w14:paraId="3AB43390">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2E2AF946">
            <w:pPr>
              <w:pStyle w:val="445"/>
              <w:rPr>
                <w:rFonts w:cs="Times New Roman"/>
                <w:kern w:val="0"/>
                <w:szCs w:val="20"/>
              </w:rPr>
            </w:pPr>
            <w:r>
              <w:rPr>
                <w:rFonts w:hint="eastAsia" w:cs="Times New Roman"/>
                <w:kern w:val="0"/>
                <w:szCs w:val="20"/>
              </w:rPr>
              <w:t xml:space="preserve">2031.95 </w:t>
            </w:r>
          </w:p>
        </w:tc>
      </w:tr>
      <w:tr w14:paraId="2C5A4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8C6937C">
            <w:pPr>
              <w:pStyle w:val="445"/>
              <w:rPr>
                <w:rFonts w:cs="Times New Roman"/>
                <w:kern w:val="0"/>
                <w:szCs w:val="20"/>
              </w:rPr>
            </w:pPr>
            <w:r>
              <w:rPr>
                <w:rFonts w:hint="eastAsia" w:cs="Times New Roman"/>
                <w:kern w:val="0"/>
                <w:szCs w:val="20"/>
              </w:rPr>
              <w:t>0.2</w:t>
            </w:r>
          </w:p>
        </w:tc>
        <w:tc>
          <w:tcPr>
            <w:tcW w:w="408" w:type="pct"/>
            <w:noWrap/>
            <w:vAlign w:val="center"/>
          </w:tcPr>
          <w:p w14:paraId="6514B883">
            <w:pPr>
              <w:pStyle w:val="445"/>
              <w:rPr>
                <w:rFonts w:cs="Times New Roman"/>
                <w:bCs/>
                <w:kern w:val="0"/>
                <w:szCs w:val="20"/>
              </w:rPr>
            </w:pPr>
            <w:r>
              <w:rPr>
                <w:rFonts w:hint="eastAsia" w:cs="Times New Roman"/>
                <w:b/>
                <w:bCs/>
                <w:kern w:val="0"/>
                <w:szCs w:val="20"/>
              </w:rPr>
              <w:t xml:space="preserve">245.11 </w:t>
            </w:r>
          </w:p>
        </w:tc>
        <w:tc>
          <w:tcPr>
            <w:tcW w:w="408" w:type="pct"/>
            <w:noWrap/>
            <w:vAlign w:val="center"/>
          </w:tcPr>
          <w:p w14:paraId="66F769D5">
            <w:pPr>
              <w:pStyle w:val="445"/>
              <w:rPr>
                <w:rFonts w:cs="Times New Roman"/>
                <w:kern w:val="0"/>
                <w:szCs w:val="20"/>
              </w:rPr>
            </w:pPr>
            <w:r>
              <w:rPr>
                <w:rFonts w:hint="eastAsia" w:cs="Times New Roman"/>
                <w:kern w:val="0"/>
                <w:szCs w:val="20"/>
              </w:rPr>
              <w:t xml:space="preserve">577.61 </w:t>
            </w:r>
          </w:p>
        </w:tc>
        <w:tc>
          <w:tcPr>
            <w:tcW w:w="460" w:type="pct"/>
            <w:noWrap/>
            <w:vAlign w:val="center"/>
          </w:tcPr>
          <w:p w14:paraId="3CA3EDF7">
            <w:pPr>
              <w:pStyle w:val="445"/>
              <w:rPr>
                <w:rFonts w:cs="Times New Roman"/>
                <w:kern w:val="0"/>
                <w:szCs w:val="20"/>
              </w:rPr>
            </w:pPr>
            <w:r>
              <w:rPr>
                <w:rFonts w:hint="eastAsia" w:cs="Times New Roman"/>
                <w:kern w:val="0"/>
                <w:szCs w:val="20"/>
              </w:rPr>
              <w:t xml:space="preserve">1752.06 </w:t>
            </w:r>
          </w:p>
        </w:tc>
        <w:tc>
          <w:tcPr>
            <w:tcW w:w="460" w:type="pct"/>
            <w:noWrap/>
            <w:vAlign w:val="center"/>
          </w:tcPr>
          <w:p w14:paraId="77ECF18C">
            <w:pPr>
              <w:pStyle w:val="445"/>
              <w:rPr>
                <w:rFonts w:cs="Times New Roman"/>
                <w:kern w:val="0"/>
                <w:szCs w:val="20"/>
              </w:rPr>
            </w:pPr>
            <w:r>
              <w:rPr>
                <w:rFonts w:hint="eastAsia" w:cs="Times New Roman"/>
                <w:kern w:val="0"/>
                <w:szCs w:val="20"/>
              </w:rPr>
              <w:t xml:space="preserve">1899.77 </w:t>
            </w:r>
          </w:p>
        </w:tc>
        <w:tc>
          <w:tcPr>
            <w:tcW w:w="460" w:type="pct"/>
            <w:noWrap/>
            <w:vAlign w:val="center"/>
          </w:tcPr>
          <w:p w14:paraId="57FB7960">
            <w:pPr>
              <w:pStyle w:val="445"/>
              <w:rPr>
                <w:rFonts w:cs="Times New Roman"/>
                <w:kern w:val="0"/>
                <w:szCs w:val="20"/>
              </w:rPr>
            </w:pPr>
            <w:r>
              <w:rPr>
                <w:rFonts w:hint="eastAsia" w:cs="Times New Roman"/>
                <w:kern w:val="0"/>
                <w:szCs w:val="20"/>
              </w:rPr>
              <w:t xml:space="preserve">1964.28 </w:t>
            </w:r>
          </w:p>
        </w:tc>
        <w:tc>
          <w:tcPr>
            <w:tcW w:w="460" w:type="pct"/>
            <w:noWrap/>
            <w:vAlign w:val="center"/>
          </w:tcPr>
          <w:p w14:paraId="656C38E8">
            <w:pPr>
              <w:pStyle w:val="445"/>
              <w:rPr>
                <w:rFonts w:cs="Times New Roman"/>
                <w:kern w:val="0"/>
                <w:szCs w:val="20"/>
              </w:rPr>
            </w:pPr>
            <w:r>
              <w:rPr>
                <w:rFonts w:hint="eastAsia" w:cs="Times New Roman"/>
                <w:kern w:val="0"/>
                <w:szCs w:val="20"/>
              </w:rPr>
              <w:t xml:space="preserve">2011.44 </w:t>
            </w:r>
          </w:p>
        </w:tc>
        <w:tc>
          <w:tcPr>
            <w:tcW w:w="460" w:type="pct"/>
            <w:noWrap/>
            <w:vAlign w:val="center"/>
          </w:tcPr>
          <w:p w14:paraId="03CFFEBE">
            <w:pPr>
              <w:pStyle w:val="445"/>
              <w:rPr>
                <w:rFonts w:cs="Times New Roman"/>
                <w:kern w:val="0"/>
                <w:szCs w:val="20"/>
              </w:rPr>
            </w:pPr>
            <w:r>
              <w:rPr>
                <w:rFonts w:hint="eastAsia" w:cs="Times New Roman"/>
                <w:kern w:val="0"/>
                <w:szCs w:val="20"/>
              </w:rPr>
              <w:t xml:space="preserve">2021.93 </w:t>
            </w:r>
          </w:p>
        </w:tc>
        <w:tc>
          <w:tcPr>
            <w:tcW w:w="460" w:type="pct"/>
            <w:noWrap/>
            <w:vAlign w:val="center"/>
          </w:tcPr>
          <w:p w14:paraId="5D6C660F">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22943FA4">
            <w:pPr>
              <w:pStyle w:val="445"/>
              <w:rPr>
                <w:rFonts w:cs="Times New Roman"/>
                <w:kern w:val="0"/>
                <w:szCs w:val="20"/>
              </w:rPr>
            </w:pPr>
            <w:r>
              <w:rPr>
                <w:rFonts w:hint="eastAsia" w:cs="Times New Roman"/>
                <w:kern w:val="0"/>
                <w:szCs w:val="20"/>
              </w:rPr>
              <w:t xml:space="preserve">2031.95 </w:t>
            </w:r>
          </w:p>
        </w:tc>
      </w:tr>
      <w:tr w14:paraId="243F7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1EC37671">
            <w:pPr>
              <w:pStyle w:val="445"/>
              <w:rPr>
                <w:rFonts w:cs="Times New Roman"/>
                <w:kern w:val="0"/>
                <w:szCs w:val="20"/>
              </w:rPr>
            </w:pPr>
            <w:r>
              <w:rPr>
                <w:rFonts w:hint="eastAsia" w:cs="Times New Roman"/>
                <w:kern w:val="0"/>
                <w:szCs w:val="20"/>
              </w:rPr>
              <w:t>0.3</w:t>
            </w:r>
          </w:p>
        </w:tc>
        <w:tc>
          <w:tcPr>
            <w:tcW w:w="408" w:type="pct"/>
            <w:noWrap/>
            <w:vAlign w:val="center"/>
          </w:tcPr>
          <w:p w14:paraId="4BA3A1F2">
            <w:pPr>
              <w:pStyle w:val="445"/>
              <w:rPr>
                <w:rFonts w:cs="Times New Roman"/>
                <w:kern w:val="0"/>
                <w:szCs w:val="20"/>
              </w:rPr>
            </w:pPr>
            <w:r>
              <w:rPr>
                <w:rFonts w:hint="eastAsia" w:cs="Times New Roman"/>
                <w:kern w:val="0"/>
                <w:szCs w:val="20"/>
              </w:rPr>
              <w:t xml:space="preserve">236.88 </w:t>
            </w:r>
          </w:p>
        </w:tc>
        <w:tc>
          <w:tcPr>
            <w:tcW w:w="408" w:type="pct"/>
            <w:noWrap/>
            <w:vAlign w:val="center"/>
          </w:tcPr>
          <w:p w14:paraId="5F889309">
            <w:pPr>
              <w:pStyle w:val="445"/>
              <w:rPr>
                <w:rFonts w:cs="Times New Roman"/>
                <w:kern w:val="0"/>
                <w:szCs w:val="20"/>
              </w:rPr>
            </w:pPr>
            <w:r>
              <w:rPr>
                <w:rFonts w:hint="eastAsia" w:cs="Times New Roman"/>
                <w:kern w:val="0"/>
                <w:szCs w:val="20"/>
              </w:rPr>
              <w:t xml:space="preserve">558.16 </w:t>
            </w:r>
          </w:p>
        </w:tc>
        <w:tc>
          <w:tcPr>
            <w:tcW w:w="460" w:type="pct"/>
            <w:noWrap/>
            <w:vAlign w:val="center"/>
          </w:tcPr>
          <w:p w14:paraId="157D9D1C">
            <w:pPr>
              <w:pStyle w:val="445"/>
              <w:rPr>
                <w:rFonts w:cs="Times New Roman"/>
                <w:kern w:val="0"/>
                <w:szCs w:val="20"/>
              </w:rPr>
            </w:pPr>
            <w:r>
              <w:rPr>
                <w:rFonts w:hint="eastAsia" w:cs="Times New Roman"/>
                <w:kern w:val="0"/>
                <w:szCs w:val="20"/>
              </w:rPr>
              <w:t xml:space="preserve">1745.22 </w:t>
            </w:r>
          </w:p>
        </w:tc>
        <w:tc>
          <w:tcPr>
            <w:tcW w:w="460" w:type="pct"/>
            <w:noWrap/>
            <w:vAlign w:val="center"/>
          </w:tcPr>
          <w:p w14:paraId="0F00F0AD">
            <w:pPr>
              <w:pStyle w:val="445"/>
              <w:rPr>
                <w:rFonts w:cs="Times New Roman"/>
                <w:kern w:val="0"/>
                <w:szCs w:val="20"/>
              </w:rPr>
            </w:pPr>
            <w:r>
              <w:rPr>
                <w:rFonts w:hint="eastAsia" w:cs="Times New Roman"/>
                <w:kern w:val="0"/>
                <w:szCs w:val="20"/>
              </w:rPr>
              <w:t xml:space="preserve">1896.68 </w:t>
            </w:r>
          </w:p>
        </w:tc>
        <w:tc>
          <w:tcPr>
            <w:tcW w:w="460" w:type="pct"/>
            <w:noWrap/>
            <w:vAlign w:val="center"/>
          </w:tcPr>
          <w:p w14:paraId="321DC47C">
            <w:pPr>
              <w:pStyle w:val="445"/>
              <w:rPr>
                <w:rFonts w:cs="Times New Roman"/>
                <w:kern w:val="0"/>
                <w:szCs w:val="20"/>
              </w:rPr>
            </w:pPr>
            <w:r>
              <w:rPr>
                <w:rFonts w:hint="eastAsia" w:cs="Times New Roman"/>
                <w:kern w:val="0"/>
                <w:szCs w:val="20"/>
              </w:rPr>
              <w:t xml:space="preserve">1962.79 </w:t>
            </w:r>
          </w:p>
        </w:tc>
        <w:tc>
          <w:tcPr>
            <w:tcW w:w="460" w:type="pct"/>
            <w:noWrap/>
            <w:vAlign w:val="center"/>
          </w:tcPr>
          <w:p w14:paraId="3B07A642">
            <w:pPr>
              <w:pStyle w:val="445"/>
              <w:rPr>
                <w:rFonts w:cs="Times New Roman"/>
                <w:kern w:val="0"/>
                <w:szCs w:val="20"/>
              </w:rPr>
            </w:pPr>
            <w:r>
              <w:rPr>
                <w:rFonts w:hint="eastAsia" w:cs="Times New Roman"/>
                <w:kern w:val="0"/>
                <w:szCs w:val="20"/>
              </w:rPr>
              <w:t xml:space="preserve">2011.03 </w:t>
            </w:r>
          </w:p>
        </w:tc>
        <w:tc>
          <w:tcPr>
            <w:tcW w:w="460" w:type="pct"/>
            <w:noWrap/>
            <w:vAlign w:val="center"/>
          </w:tcPr>
          <w:p w14:paraId="2F820A51">
            <w:pPr>
              <w:pStyle w:val="445"/>
              <w:rPr>
                <w:rFonts w:cs="Times New Roman"/>
                <w:kern w:val="0"/>
                <w:szCs w:val="20"/>
              </w:rPr>
            </w:pPr>
            <w:r>
              <w:rPr>
                <w:rFonts w:hint="eastAsia" w:cs="Times New Roman"/>
                <w:kern w:val="0"/>
                <w:szCs w:val="20"/>
              </w:rPr>
              <w:t xml:space="preserve">2021.74 </w:t>
            </w:r>
          </w:p>
        </w:tc>
        <w:tc>
          <w:tcPr>
            <w:tcW w:w="460" w:type="pct"/>
            <w:noWrap/>
            <w:vAlign w:val="center"/>
          </w:tcPr>
          <w:p w14:paraId="2AD2A530">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6E17DB28">
            <w:pPr>
              <w:pStyle w:val="445"/>
              <w:rPr>
                <w:rFonts w:cs="Times New Roman"/>
                <w:kern w:val="0"/>
                <w:szCs w:val="20"/>
              </w:rPr>
            </w:pPr>
            <w:r>
              <w:rPr>
                <w:rFonts w:hint="eastAsia" w:cs="Times New Roman"/>
                <w:kern w:val="0"/>
                <w:szCs w:val="20"/>
              </w:rPr>
              <w:t xml:space="preserve">2031.95 </w:t>
            </w:r>
          </w:p>
        </w:tc>
      </w:tr>
      <w:tr w14:paraId="6F57C3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325037F3">
            <w:pPr>
              <w:pStyle w:val="445"/>
              <w:rPr>
                <w:rFonts w:cs="Times New Roman"/>
                <w:kern w:val="0"/>
                <w:szCs w:val="20"/>
              </w:rPr>
            </w:pPr>
            <w:r>
              <w:rPr>
                <w:rFonts w:hint="eastAsia" w:cs="Times New Roman"/>
                <w:kern w:val="0"/>
                <w:szCs w:val="20"/>
              </w:rPr>
              <w:t>0.4</w:t>
            </w:r>
          </w:p>
        </w:tc>
        <w:tc>
          <w:tcPr>
            <w:tcW w:w="408" w:type="pct"/>
            <w:noWrap/>
            <w:vAlign w:val="center"/>
          </w:tcPr>
          <w:p w14:paraId="4A7F275D">
            <w:pPr>
              <w:pStyle w:val="445"/>
              <w:rPr>
                <w:rFonts w:cs="Times New Roman"/>
                <w:kern w:val="0"/>
                <w:szCs w:val="20"/>
              </w:rPr>
            </w:pPr>
            <w:r>
              <w:rPr>
                <w:rFonts w:hint="eastAsia" w:cs="Times New Roman"/>
                <w:kern w:val="0"/>
                <w:szCs w:val="20"/>
              </w:rPr>
              <w:t xml:space="preserve">228.66 </w:t>
            </w:r>
          </w:p>
        </w:tc>
        <w:tc>
          <w:tcPr>
            <w:tcW w:w="408" w:type="pct"/>
            <w:noWrap/>
            <w:vAlign w:val="center"/>
          </w:tcPr>
          <w:p w14:paraId="0B15FC92">
            <w:pPr>
              <w:pStyle w:val="445"/>
              <w:rPr>
                <w:rFonts w:cs="Times New Roman"/>
                <w:bCs/>
                <w:kern w:val="0"/>
                <w:szCs w:val="20"/>
              </w:rPr>
            </w:pPr>
            <w:r>
              <w:rPr>
                <w:rFonts w:hint="eastAsia" w:cs="Times New Roman"/>
                <w:b/>
                <w:bCs/>
                <w:kern w:val="0"/>
                <w:szCs w:val="20"/>
              </w:rPr>
              <w:t xml:space="preserve">539.63 </w:t>
            </w:r>
          </w:p>
        </w:tc>
        <w:tc>
          <w:tcPr>
            <w:tcW w:w="460" w:type="pct"/>
            <w:noWrap/>
            <w:vAlign w:val="center"/>
          </w:tcPr>
          <w:p w14:paraId="65872216">
            <w:pPr>
              <w:pStyle w:val="445"/>
              <w:rPr>
                <w:rFonts w:cs="Times New Roman"/>
                <w:kern w:val="0"/>
                <w:szCs w:val="20"/>
              </w:rPr>
            </w:pPr>
            <w:r>
              <w:rPr>
                <w:rFonts w:hint="eastAsia" w:cs="Times New Roman"/>
                <w:kern w:val="0"/>
                <w:szCs w:val="20"/>
              </w:rPr>
              <w:t xml:space="preserve">1738.27 </w:t>
            </w:r>
          </w:p>
        </w:tc>
        <w:tc>
          <w:tcPr>
            <w:tcW w:w="460" w:type="pct"/>
            <w:noWrap/>
            <w:vAlign w:val="center"/>
          </w:tcPr>
          <w:p w14:paraId="0C3396EA">
            <w:pPr>
              <w:pStyle w:val="445"/>
              <w:rPr>
                <w:rFonts w:cs="Times New Roman"/>
                <w:kern w:val="0"/>
                <w:szCs w:val="20"/>
              </w:rPr>
            </w:pPr>
            <w:r>
              <w:rPr>
                <w:rFonts w:hint="eastAsia" w:cs="Times New Roman"/>
                <w:kern w:val="0"/>
                <w:szCs w:val="20"/>
              </w:rPr>
              <w:t xml:space="preserve">1893.53 </w:t>
            </w:r>
          </w:p>
        </w:tc>
        <w:tc>
          <w:tcPr>
            <w:tcW w:w="460" w:type="pct"/>
            <w:noWrap/>
            <w:vAlign w:val="center"/>
          </w:tcPr>
          <w:p w14:paraId="32313838">
            <w:pPr>
              <w:pStyle w:val="445"/>
              <w:rPr>
                <w:rFonts w:cs="Times New Roman"/>
                <w:kern w:val="0"/>
                <w:szCs w:val="20"/>
              </w:rPr>
            </w:pPr>
            <w:r>
              <w:rPr>
                <w:rFonts w:hint="eastAsia" w:cs="Times New Roman"/>
                <w:kern w:val="0"/>
                <w:szCs w:val="20"/>
              </w:rPr>
              <w:t xml:space="preserve">1961.26 </w:t>
            </w:r>
          </w:p>
        </w:tc>
        <w:tc>
          <w:tcPr>
            <w:tcW w:w="460" w:type="pct"/>
            <w:noWrap/>
            <w:vAlign w:val="center"/>
          </w:tcPr>
          <w:p w14:paraId="25469270">
            <w:pPr>
              <w:pStyle w:val="445"/>
              <w:rPr>
                <w:rFonts w:cs="Times New Roman"/>
                <w:kern w:val="0"/>
                <w:szCs w:val="20"/>
              </w:rPr>
            </w:pPr>
            <w:r>
              <w:rPr>
                <w:rFonts w:hint="eastAsia" w:cs="Times New Roman"/>
                <w:kern w:val="0"/>
                <w:szCs w:val="20"/>
              </w:rPr>
              <w:t xml:space="preserve">2010.60 </w:t>
            </w:r>
          </w:p>
        </w:tc>
        <w:tc>
          <w:tcPr>
            <w:tcW w:w="460" w:type="pct"/>
            <w:noWrap/>
            <w:vAlign w:val="center"/>
          </w:tcPr>
          <w:p w14:paraId="1F6CA137">
            <w:pPr>
              <w:pStyle w:val="445"/>
              <w:rPr>
                <w:rFonts w:cs="Times New Roman"/>
                <w:kern w:val="0"/>
                <w:szCs w:val="20"/>
              </w:rPr>
            </w:pPr>
            <w:r>
              <w:rPr>
                <w:rFonts w:hint="eastAsia" w:cs="Times New Roman"/>
                <w:kern w:val="0"/>
                <w:szCs w:val="20"/>
              </w:rPr>
              <w:t xml:space="preserve">2021.54 </w:t>
            </w:r>
          </w:p>
        </w:tc>
        <w:tc>
          <w:tcPr>
            <w:tcW w:w="460" w:type="pct"/>
            <w:noWrap/>
            <w:vAlign w:val="center"/>
          </w:tcPr>
          <w:p w14:paraId="25717C3F">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0DB83862">
            <w:pPr>
              <w:pStyle w:val="445"/>
              <w:rPr>
                <w:rFonts w:cs="Times New Roman"/>
                <w:kern w:val="0"/>
                <w:szCs w:val="20"/>
              </w:rPr>
            </w:pPr>
            <w:r>
              <w:rPr>
                <w:rFonts w:hint="eastAsia" w:cs="Times New Roman"/>
                <w:kern w:val="0"/>
                <w:szCs w:val="20"/>
              </w:rPr>
              <w:t xml:space="preserve">2031.95 </w:t>
            </w:r>
          </w:p>
        </w:tc>
      </w:tr>
      <w:tr w14:paraId="04ECCF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14F87133">
            <w:pPr>
              <w:pStyle w:val="445"/>
              <w:rPr>
                <w:rFonts w:cs="Times New Roman"/>
                <w:kern w:val="0"/>
                <w:szCs w:val="20"/>
              </w:rPr>
            </w:pPr>
            <w:r>
              <w:rPr>
                <w:rFonts w:hint="eastAsia" w:cs="Times New Roman"/>
                <w:kern w:val="0"/>
                <w:szCs w:val="20"/>
              </w:rPr>
              <w:t>0.5</w:t>
            </w:r>
          </w:p>
        </w:tc>
        <w:tc>
          <w:tcPr>
            <w:tcW w:w="408" w:type="pct"/>
            <w:noWrap/>
            <w:vAlign w:val="center"/>
          </w:tcPr>
          <w:p w14:paraId="1A1B5B1D">
            <w:pPr>
              <w:pStyle w:val="445"/>
              <w:rPr>
                <w:rFonts w:cs="Times New Roman"/>
                <w:kern w:val="0"/>
                <w:szCs w:val="20"/>
              </w:rPr>
            </w:pPr>
            <w:r>
              <w:rPr>
                <w:rFonts w:hint="eastAsia" w:cs="Times New Roman"/>
                <w:kern w:val="0"/>
                <w:szCs w:val="20"/>
              </w:rPr>
              <w:t xml:space="preserve">219.75 </w:t>
            </w:r>
          </w:p>
        </w:tc>
        <w:tc>
          <w:tcPr>
            <w:tcW w:w="408" w:type="pct"/>
            <w:noWrap/>
            <w:vAlign w:val="center"/>
          </w:tcPr>
          <w:p w14:paraId="26833A1C">
            <w:pPr>
              <w:pStyle w:val="445"/>
              <w:rPr>
                <w:rFonts w:cs="Times New Roman"/>
                <w:kern w:val="0"/>
                <w:szCs w:val="20"/>
              </w:rPr>
            </w:pPr>
            <w:r>
              <w:rPr>
                <w:rFonts w:hint="eastAsia" w:cs="Times New Roman"/>
                <w:kern w:val="0"/>
                <w:szCs w:val="20"/>
              </w:rPr>
              <w:t xml:space="preserve">521.99 </w:t>
            </w:r>
          </w:p>
        </w:tc>
        <w:tc>
          <w:tcPr>
            <w:tcW w:w="460" w:type="pct"/>
            <w:noWrap/>
            <w:vAlign w:val="center"/>
          </w:tcPr>
          <w:p w14:paraId="1358FE18">
            <w:pPr>
              <w:pStyle w:val="445"/>
              <w:rPr>
                <w:rFonts w:cs="Times New Roman"/>
                <w:kern w:val="0"/>
                <w:szCs w:val="20"/>
              </w:rPr>
            </w:pPr>
            <w:r>
              <w:rPr>
                <w:rFonts w:hint="eastAsia" w:cs="Times New Roman"/>
                <w:kern w:val="0"/>
                <w:szCs w:val="20"/>
              </w:rPr>
              <w:t xml:space="preserve">1731.21 </w:t>
            </w:r>
          </w:p>
        </w:tc>
        <w:tc>
          <w:tcPr>
            <w:tcW w:w="460" w:type="pct"/>
            <w:noWrap/>
            <w:vAlign w:val="center"/>
          </w:tcPr>
          <w:p w14:paraId="5818A1DA">
            <w:pPr>
              <w:pStyle w:val="445"/>
              <w:rPr>
                <w:rFonts w:cs="Times New Roman"/>
                <w:kern w:val="0"/>
                <w:szCs w:val="20"/>
              </w:rPr>
            </w:pPr>
            <w:r>
              <w:rPr>
                <w:rFonts w:hint="eastAsia" w:cs="Times New Roman"/>
                <w:kern w:val="0"/>
                <w:szCs w:val="20"/>
              </w:rPr>
              <w:t xml:space="preserve">1890.33 </w:t>
            </w:r>
          </w:p>
        </w:tc>
        <w:tc>
          <w:tcPr>
            <w:tcW w:w="460" w:type="pct"/>
            <w:noWrap/>
            <w:vAlign w:val="center"/>
          </w:tcPr>
          <w:p w14:paraId="44061ECF">
            <w:pPr>
              <w:pStyle w:val="445"/>
              <w:rPr>
                <w:rFonts w:cs="Times New Roman"/>
                <w:kern w:val="0"/>
                <w:szCs w:val="20"/>
              </w:rPr>
            </w:pPr>
            <w:r>
              <w:rPr>
                <w:rFonts w:hint="eastAsia" w:cs="Times New Roman"/>
                <w:kern w:val="0"/>
                <w:szCs w:val="20"/>
              </w:rPr>
              <w:t xml:space="preserve">1959.71 </w:t>
            </w:r>
          </w:p>
        </w:tc>
        <w:tc>
          <w:tcPr>
            <w:tcW w:w="460" w:type="pct"/>
            <w:noWrap/>
            <w:vAlign w:val="center"/>
          </w:tcPr>
          <w:p w14:paraId="39D8B348">
            <w:pPr>
              <w:pStyle w:val="445"/>
              <w:rPr>
                <w:rFonts w:cs="Times New Roman"/>
                <w:kern w:val="0"/>
                <w:szCs w:val="20"/>
              </w:rPr>
            </w:pPr>
            <w:r>
              <w:rPr>
                <w:rFonts w:hint="eastAsia" w:cs="Times New Roman"/>
                <w:kern w:val="0"/>
                <w:szCs w:val="20"/>
              </w:rPr>
              <w:t xml:space="preserve">2010.17 </w:t>
            </w:r>
          </w:p>
        </w:tc>
        <w:tc>
          <w:tcPr>
            <w:tcW w:w="460" w:type="pct"/>
            <w:noWrap/>
            <w:vAlign w:val="center"/>
          </w:tcPr>
          <w:p w14:paraId="4962A0F4">
            <w:pPr>
              <w:pStyle w:val="445"/>
              <w:rPr>
                <w:rFonts w:cs="Times New Roman"/>
                <w:kern w:val="0"/>
                <w:szCs w:val="20"/>
              </w:rPr>
            </w:pPr>
            <w:r>
              <w:rPr>
                <w:rFonts w:hint="eastAsia" w:cs="Times New Roman"/>
                <w:kern w:val="0"/>
                <w:szCs w:val="20"/>
              </w:rPr>
              <w:t xml:space="preserve">2021.34 </w:t>
            </w:r>
          </w:p>
        </w:tc>
        <w:tc>
          <w:tcPr>
            <w:tcW w:w="460" w:type="pct"/>
            <w:noWrap/>
            <w:vAlign w:val="center"/>
          </w:tcPr>
          <w:p w14:paraId="67C59BA3">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22F0A4BE">
            <w:pPr>
              <w:pStyle w:val="445"/>
              <w:rPr>
                <w:rFonts w:cs="Times New Roman"/>
                <w:kern w:val="0"/>
                <w:szCs w:val="20"/>
              </w:rPr>
            </w:pPr>
            <w:r>
              <w:rPr>
                <w:rFonts w:hint="eastAsia" w:cs="Times New Roman"/>
                <w:kern w:val="0"/>
                <w:szCs w:val="20"/>
              </w:rPr>
              <w:t xml:space="preserve">2031.95 </w:t>
            </w:r>
          </w:p>
        </w:tc>
      </w:tr>
      <w:tr w14:paraId="05301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0BDDC671">
            <w:pPr>
              <w:pStyle w:val="445"/>
              <w:rPr>
                <w:rFonts w:cs="Times New Roman"/>
                <w:kern w:val="0"/>
                <w:szCs w:val="20"/>
              </w:rPr>
            </w:pPr>
            <w:r>
              <w:rPr>
                <w:rFonts w:hint="eastAsia" w:cs="Times New Roman"/>
                <w:kern w:val="0"/>
                <w:szCs w:val="20"/>
              </w:rPr>
              <w:t>0.6</w:t>
            </w:r>
          </w:p>
        </w:tc>
        <w:tc>
          <w:tcPr>
            <w:tcW w:w="408" w:type="pct"/>
            <w:noWrap/>
            <w:vAlign w:val="center"/>
          </w:tcPr>
          <w:p w14:paraId="5612819D">
            <w:pPr>
              <w:pStyle w:val="445"/>
              <w:rPr>
                <w:rFonts w:cs="Times New Roman"/>
                <w:kern w:val="0"/>
                <w:szCs w:val="20"/>
              </w:rPr>
            </w:pPr>
            <w:r>
              <w:rPr>
                <w:rFonts w:hint="eastAsia" w:cs="Times New Roman"/>
                <w:kern w:val="0"/>
                <w:szCs w:val="20"/>
              </w:rPr>
              <w:t xml:space="preserve">209.58 </w:t>
            </w:r>
          </w:p>
        </w:tc>
        <w:tc>
          <w:tcPr>
            <w:tcW w:w="408" w:type="pct"/>
            <w:noWrap/>
            <w:vAlign w:val="center"/>
          </w:tcPr>
          <w:p w14:paraId="1F035674">
            <w:pPr>
              <w:pStyle w:val="445"/>
              <w:rPr>
                <w:rFonts w:cs="Times New Roman"/>
                <w:kern w:val="0"/>
                <w:szCs w:val="20"/>
              </w:rPr>
            </w:pPr>
            <w:r>
              <w:rPr>
                <w:rFonts w:hint="eastAsia" w:cs="Times New Roman"/>
                <w:kern w:val="0"/>
                <w:szCs w:val="20"/>
              </w:rPr>
              <w:t xml:space="preserve">505.20 </w:t>
            </w:r>
          </w:p>
        </w:tc>
        <w:tc>
          <w:tcPr>
            <w:tcW w:w="460" w:type="pct"/>
            <w:noWrap/>
            <w:vAlign w:val="center"/>
          </w:tcPr>
          <w:p w14:paraId="5E1861A0">
            <w:pPr>
              <w:pStyle w:val="445"/>
              <w:rPr>
                <w:rFonts w:cs="Times New Roman"/>
                <w:kern w:val="0"/>
                <w:szCs w:val="20"/>
              </w:rPr>
            </w:pPr>
            <w:r>
              <w:rPr>
                <w:rFonts w:hint="eastAsia" w:cs="Times New Roman"/>
                <w:kern w:val="0"/>
                <w:szCs w:val="20"/>
              </w:rPr>
              <w:t xml:space="preserve">1724.05 </w:t>
            </w:r>
          </w:p>
        </w:tc>
        <w:tc>
          <w:tcPr>
            <w:tcW w:w="460" w:type="pct"/>
            <w:noWrap/>
            <w:vAlign w:val="center"/>
          </w:tcPr>
          <w:p w14:paraId="68662DE2">
            <w:pPr>
              <w:pStyle w:val="445"/>
              <w:rPr>
                <w:rFonts w:cs="Times New Roman"/>
                <w:kern w:val="0"/>
                <w:szCs w:val="20"/>
              </w:rPr>
            </w:pPr>
            <w:r>
              <w:rPr>
                <w:rFonts w:hint="eastAsia" w:cs="Times New Roman"/>
                <w:kern w:val="0"/>
                <w:szCs w:val="20"/>
              </w:rPr>
              <w:t xml:space="preserve">1887.06 </w:t>
            </w:r>
          </w:p>
        </w:tc>
        <w:tc>
          <w:tcPr>
            <w:tcW w:w="460" w:type="pct"/>
            <w:noWrap/>
            <w:vAlign w:val="center"/>
          </w:tcPr>
          <w:p w14:paraId="32FB337C">
            <w:pPr>
              <w:pStyle w:val="445"/>
              <w:rPr>
                <w:rFonts w:cs="Times New Roman"/>
                <w:kern w:val="0"/>
                <w:szCs w:val="20"/>
              </w:rPr>
            </w:pPr>
            <w:r>
              <w:rPr>
                <w:rFonts w:hint="eastAsia" w:cs="Times New Roman"/>
                <w:kern w:val="0"/>
                <w:szCs w:val="20"/>
              </w:rPr>
              <w:t xml:space="preserve">1958.13 </w:t>
            </w:r>
          </w:p>
        </w:tc>
        <w:tc>
          <w:tcPr>
            <w:tcW w:w="460" w:type="pct"/>
            <w:noWrap/>
            <w:vAlign w:val="center"/>
          </w:tcPr>
          <w:p w14:paraId="69F2E39A">
            <w:pPr>
              <w:pStyle w:val="445"/>
              <w:rPr>
                <w:rFonts w:cs="Times New Roman"/>
                <w:kern w:val="0"/>
                <w:szCs w:val="20"/>
              </w:rPr>
            </w:pPr>
            <w:r>
              <w:rPr>
                <w:rFonts w:hint="eastAsia" w:cs="Times New Roman"/>
                <w:kern w:val="0"/>
                <w:szCs w:val="20"/>
              </w:rPr>
              <w:t xml:space="preserve">2009.73 </w:t>
            </w:r>
          </w:p>
        </w:tc>
        <w:tc>
          <w:tcPr>
            <w:tcW w:w="460" w:type="pct"/>
            <w:noWrap/>
            <w:vAlign w:val="center"/>
          </w:tcPr>
          <w:p w14:paraId="261276B2">
            <w:pPr>
              <w:pStyle w:val="445"/>
              <w:rPr>
                <w:rFonts w:cs="Times New Roman"/>
                <w:kern w:val="0"/>
                <w:szCs w:val="20"/>
              </w:rPr>
            </w:pPr>
            <w:r>
              <w:rPr>
                <w:rFonts w:hint="eastAsia" w:cs="Times New Roman"/>
                <w:kern w:val="0"/>
                <w:szCs w:val="20"/>
              </w:rPr>
              <w:t xml:space="preserve">2021.13 </w:t>
            </w:r>
          </w:p>
        </w:tc>
        <w:tc>
          <w:tcPr>
            <w:tcW w:w="460" w:type="pct"/>
            <w:noWrap/>
            <w:vAlign w:val="center"/>
          </w:tcPr>
          <w:p w14:paraId="2D6045C9">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6161EF8F">
            <w:pPr>
              <w:pStyle w:val="445"/>
              <w:rPr>
                <w:rFonts w:cs="Times New Roman"/>
                <w:kern w:val="0"/>
                <w:szCs w:val="20"/>
              </w:rPr>
            </w:pPr>
            <w:r>
              <w:rPr>
                <w:rFonts w:hint="eastAsia" w:cs="Times New Roman"/>
                <w:kern w:val="0"/>
                <w:szCs w:val="20"/>
              </w:rPr>
              <w:t xml:space="preserve">2031.95 </w:t>
            </w:r>
          </w:p>
        </w:tc>
      </w:tr>
      <w:tr w14:paraId="3A0C2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1AE86FD">
            <w:pPr>
              <w:pStyle w:val="445"/>
              <w:rPr>
                <w:rFonts w:cs="Times New Roman"/>
                <w:kern w:val="0"/>
                <w:szCs w:val="20"/>
              </w:rPr>
            </w:pPr>
            <w:r>
              <w:rPr>
                <w:rFonts w:hint="eastAsia" w:cs="Times New Roman"/>
                <w:kern w:val="0"/>
                <w:szCs w:val="20"/>
              </w:rPr>
              <w:t>0.7</w:t>
            </w:r>
          </w:p>
        </w:tc>
        <w:tc>
          <w:tcPr>
            <w:tcW w:w="408" w:type="pct"/>
            <w:noWrap/>
            <w:vAlign w:val="center"/>
          </w:tcPr>
          <w:p w14:paraId="3F7D55BA">
            <w:pPr>
              <w:pStyle w:val="445"/>
              <w:rPr>
                <w:rFonts w:cs="Times New Roman"/>
                <w:kern w:val="0"/>
                <w:szCs w:val="20"/>
              </w:rPr>
            </w:pPr>
            <w:r>
              <w:rPr>
                <w:rFonts w:hint="eastAsia" w:cs="Times New Roman"/>
                <w:kern w:val="0"/>
                <w:szCs w:val="20"/>
              </w:rPr>
              <w:t xml:space="preserve">197.80 </w:t>
            </w:r>
          </w:p>
        </w:tc>
        <w:tc>
          <w:tcPr>
            <w:tcW w:w="408" w:type="pct"/>
            <w:noWrap/>
            <w:vAlign w:val="center"/>
          </w:tcPr>
          <w:p w14:paraId="464E94CA">
            <w:pPr>
              <w:pStyle w:val="445"/>
              <w:rPr>
                <w:rFonts w:cs="Times New Roman"/>
                <w:kern w:val="0"/>
                <w:szCs w:val="20"/>
              </w:rPr>
            </w:pPr>
            <w:r>
              <w:rPr>
                <w:rFonts w:hint="eastAsia" w:cs="Times New Roman"/>
                <w:kern w:val="0"/>
                <w:szCs w:val="20"/>
              </w:rPr>
              <w:t xml:space="preserve">489.20 </w:t>
            </w:r>
          </w:p>
        </w:tc>
        <w:tc>
          <w:tcPr>
            <w:tcW w:w="460" w:type="pct"/>
            <w:noWrap/>
            <w:vAlign w:val="center"/>
          </w:tcPr>
          <w:p w14:paraId="4FAEE984">
            <w:pPr>
              <w:pStyle w:val="445"/>
              <w:rPr>
                <w:rFonts w:cs="Times New Roman"/>
                <w:kern w:val="0"/>
                <w:szCs w:val="20"/>
              </w:rPr>
            </w:pPr>
            <w:r>
              <w:rPr>
                <w:rFonts w:hint="eastAsia" w:cs="Times New Roman"/>
                <w:kern w:val="0"/>
                <w:szCs w:val="20"/>
              </w:rPr>
              <w:t xml:space="preserve">1716.77 </w:t>
            </w:r>
          </w:p>
        </w:tc>
        <w:tc>
          <w:tcPr>
            <w:tcW w:w="460" w:type="pct"/>
            <w:noWrap/>
            <w:vAlign w:val="center"/>
          </w:tcPr>
          <w:p w14:paraId="04414885">
            <w:pPr>
              <w:pStyle w:val="445"/>
              <w:rPr>
                <w:rFonts w:cs="Times New Roman"/>
                <w:kern w:val="0"/>
                <w:szCs w:val="20"/>
              </w:rPr>
            </w:pPr>
            <w:r>
              <w:rPr>
                <w:rFonts w:hint="eastAsia" w:cs="Times New Roman"/>
                <w:kern w:val="0"/>
                <w:szCs w:val="20"/>
              </w:rPr>
              <w:t xml:space="preserve">1883.74 </w:t>
            </w:r>
          </w:p>
        </w:tc>
        <w:tc>
          <w:tcPr>
            <w:tcW w:w="460" w:type="pct"/>
            <w:noWrap/>
            <w:vAlign w:val="center"/>
          </w:tcPr>
          <w:p w14:paraId="5787C871">
            <w:pPr>
              <w:pStyle w:val="445"/>
              <w:rPr>
                <w:rFonts w:cs="Times New Roman"/>
                <w:kern w:val="0"/>
                <w:szCs w:val="20"/>
              </w:rPr>
            </w:pPr>
            <w:r>
              <w:rPr>
                <w:rFonts w:hint="eastAsia" w:cs="Times New Roman"/>
                <w:kern w:val="0"/>
                <w:szCs w:val="20"/>
              </w:rPr>
              <w:t xml:space="preserve">1956.51 </w:t>
            </w:r>
          </w:p>
        </w:tc>
        <w:tc>
          <w:tcPr>
            <w:tcW w:w="460" w:type="pct"/>
            <w:noWrap/>
            <w:vAlign w:val="center"/>
          </w:tcPr>
          <w:p w14:paraId="0F2184C0">
            <w:pPr>
              <w:pStyle w:val="445"/>
              <w:rPr>
                <w:rFonts w:cs="Times New Roman"/>
                <w:kern w:val="0"/>
                <w:szCs w:val="20"/>
              </w:rPr>
            </w:pPr>
            <w:r>
              <w:rPr>
                <w:rFonts w:hint="eastAsia" w:cs="Times New Roman"/>
                <w:kern w:val="0"/>
                <w:szCs w:val="20"/>
              </w:rPr>
              <w:t xml:space="preserve">2009.28 </w:t>
            </w:r>
          </w:p>
        </w:tc>
        <w:tc>
          <w:tcPr>
            <w:tcW w:w="460" w:type="pct"/>
            <w:noWrap/>
            <w:vAlign w:val="center"/>
          </w:tcPr>
          <w:p w14:paraId="13EE6A3B">
            <w:pPr>
              <w:pStyle w:val="445"/>
              <w:rPr>
                <w:rFonts w:cs="Times New Roman"/>
                <w:kern w:val="0"/>
                <w:szCs w:val="20"/>
              </w:rPr>
            </w:pPr>
            <w:r>
              <w:rPr>
                <w:rFonts w:hint="eastAsia" w:cs="Times New Roman"/>
                <w:kern w:val="0"/>
                <w:szCs w:val="20"/>
              </w:rPr>
              <w:t xml:space="preserve">2020.92 </w:t>
            </w:r>
          </w:p>
        </w:tc>
        <w:tc>
          <w:tcPr>
            <w:tcW w:w="460" w:type="pct"/>
            <w:noWrap/>
            <w:vAlign w:val="center"/>
          </w:tcPr>
          <w:p w14:paraId="3C6E20EA">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67F195C9">
            <w:pPr>
              <w:pStyle w:val="445"/>
              <w:rPr>
                <w:rFonts w:cs="Times New Roman"/>
                <w:kern w:val="0"/>
                <w:szCs w:val="20"/>
              </w:rPr>
            </w:pPr>
            <w:r>
              <w:rPr>
                <w:rFonts w:hint="eastAsia" w:cs="Times New Roman"/>
                <w:kern w:val="0"/>
                <w:szCs w:val="20"/>
              </w:rPr>
              <w:t xml:space="preserve">2031.95 </w:t>
            </w:r>
          </w:p>
        </w:tc>
      </w:tr>
      <w:tr w14:paraId="52685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F0C2A49">
            <w:pPr>
              <w:pStyle w:val="445"/>
              <w:rPr>
                <w:rFonts w:cs="Times New Roman"/>
                <w:kern w:val="0"/>
                <w:szCs w:val="20"/>
              </w:rPr>
            </w:pPr>
            <w:r>
              <w:rPr>
                <w:rFonts w:hint="eastAsia" w:cs="Times New Roman"/>
                <w:kern w:val="0"/>
                <w:szCs w:val="20"/>
              </w:rPr>
              <w:t>0.8</w:t>
            </w:r>
          </w:p>
        </w:tc>
        <w:tc>
          <w:tcPr>
            <w:tcW w:w="408" w:type="pct"/>
            <w:noWrap/>
            <w:vAlign w:val="center"/>
          </w:tcPr>
          <w:p w14:paraId="10BF3772">
            <w:pPr>
              <w:pStyle w:val="445"/>
              <w:rPr>
                <w:rFonts w:cs="Times New Roman"/>
                <w:kern w:val="0"/>
                <w:szCs w:val="20"/>
              </w:rPr>
            </w:pPr>
            <w:r>
              <w:rPr>
                <w:rFonts w:hint="eastAsia" w:cs="Times New Roman"/>
                <w:kern w:val="0"/>
                <w:szCs w:val="20"/>
              </w:rPr>
              <w:t xml:space="preserve">184.26 </w:t>
            </w:r>
          </w:p>
        </w:tc>
        <w:tc>
          <w:tcPr>
            <w:tcW w:w="408" w:type="pct"/>
            <w:noWrap/>
            <w:vAlign w:val="center"/>
          </w:tcPr>
          <w:p w14:paraId="12BECCE2">
            <w:pPr>
              <w:pStyle w:val="445"/>
              <w:rPr>
                <w:rFonts w:cs="Times New Roman"/>
                <w:kern w:val="0"/>
                <w:szCs w:val="20"/>
              </w:rPr>
            </w:pPr>
            <w:r>
              <w:rPr>
                <w:rFonts w:hint="eastAsia" w:cs="Times New Roman"/>
                <w:kern w:val="0"/>
                <w:szCs w:val="20"/>
              </w:rPr>
              <w:t xml:space="preserve">473.96 </w:t>
            </w:r>
          </w:p>
        </w:tc>
        <w:tc>
          <w:tcPr>
            <w:tcW w:w="460" w:type="pct"/>
            <w:noWrap/>
            <w:vAlign w:val="center"/>
          </w:tcPr>
          <w:p w14:paraId="3CC6C3FB">
            <w:pPr>
              <w:pStyle w:val="445"/>
              <w:rPr>
                <w:rFonts w:cs="Times New Roman"/>
                <w:kern w:val="0"/>
                <w:szCs w:val="20"/>
              </w:rPr>
            </w:pPr>
            <w:r>
              <w:rPr>
                <w:rFonts w:hint="eastAsia" w:cs="Times New Roman"/>
                <w:kern w:val="0"/>
                <w:szCs w:val="20"/>
              </w:rPr>
              <w:t xml:space="preserve">1709.38 </w:t>
            </w:r>
          </w:p>
        </w:tc>
        <w:tc>
          <w:tcPr>
            <w:tcW w:w="460" w:type="pct"/>
            <w:noWrap/>
            <w:vAlign w:val="center"/>
          </w:tcPr>
          <w:p w14:paraId="305951C5">
            <w:pPr>
              <w:pStyle w:val="445"/>
              <w:rPr>
                <w:rFonts w:cs="Times New Roman"/>
                <w:kern w:val="0"/>
                <w:szCs w:val="20"/>
              </w:rPr>
            </w:pPr>
            <w:r>
              <w:rPr>
                <w:rFonts w:hint="eastAsia" w:cs="Times New Roman"/>
                <w:kern w:val="0"/>
                <w:szCs w:val="20"/>
              </w:rPr>
              <w:t xml:space="preserve">1880.35 </w:t>
            </w:r>
          </w:p>
        </w:tc>
        <w:tc>
          <w:tcPr>
            <w:tcW w:w="460" w:type="pct"/>
            <w:noWrap/>
            <w:vAlign w:val="center"/>
          </w:tcPr>
          <w:p w14:paraId="6DA2C762">
            <w:pPr>
              <w:pStyle w:val="445"/>
              <w:rPr>
                <w:rFonts w:cs="Times New Roman"/>
                <w:kern w:val="0"/>
                <w:szCs w:val="20"/>
              </w:rPr>
            </w:pPr>
            <w:r>
              <w:rPr>
                <w:rFonts w:hint="eastAsia" w:cs="Times New Roman"/>
                <w:kern w:val="0"/>
                <w:szCs w:val="20"/>
              </w:rPr>
              <w:t xml:space="preserve">1954.87 </w:t>
            </w:r>
          </w:p>
        </w:tc>
        <w:tc>
          <w:tcPr>
            <w:tcW w:w="460" w:type="pct"/>
            <w:noWrap/>
            <w:vAlign w:val="center"/>
          </w:tcPr>
          <w:p w14:paraId="18C7EC1F">
            <w:pPr>
              <w:pStyle w:val="445"/>
              <w:rPr>
                <w:rFonts w:cs="Times New Roman"/>
                <w:kern w:val="0"/>
                <w:szCs w:val="20"/>
              </w:rPr>
            </w:pPr>
            <w:r>
              <w:rPr>
                <w:rFonts w:hint="eastAsia" w:cs="Times New Roman"/>
                <w:kern w:val="0"/>
                <w:szCs w:val="20"/>
              </w:rPr>
              <w:t xml:space="preserve">2008.83 </w:t>
            </w:r>
          </w:p>
        </w:tc>
        <w:tc>
          <w:tcPr>
            <w:tcW w:w="460" w:type="pct"/>
            <w:noWrap/>
            <w:vAlign w:val="center"/>
          </w:tcPr>
          <w:p w14:paraId="48BA1BEE">
            <w:pPr>
              <w:pStyle w:val="445"/>
              <w:rPr>
                <w:rFonts w:cs="Times New Roman"/>
                <w:kern w:val="0"/>
                <w:szCs w:val="20"/>
              </w:rPr>
            </w:pPr>
            <w:r>
              <w:rPr>
                <w:rFonts w:hint="eastAsia" w:cs="Times New Roman"/>
                <w:kern w:val="0"/>
                <w:szCs w:val="20"/>
              </w:rPr>
              <w:t xml:space="preserve">2020.70 </w:t>
            </w:r>
          </w:p>
        </w:tc>
        <w:tc>
          <w:tcPr>
            <w:tcW w:w="460" w:type="pct"/>
            <w:noWrap/>
            <w:vAlign w:val="center"/>
          </w:tcPr>
          <w:p w14:paraId="26CE5BEB">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55A913C5">
            <w:pPr>
              <w:pStyle w:val="445"/>
              <w:rPr>
                <w:rFonts w:cs="Times New Roman"/>
                <w:kern w:val="0"/>
                <w:szCs w:val="20"/>
              </w:rPr>
            </w:pPr>
            <w:r>
              <w:rPr>
                <w:rFonts w:hint="eastAsia" w:cs="Times New Roman"/>
                <w:kern w:val="0"/>
                <w:szCs w:val="20"/>
              </w:rPr>
              <w:t xml:space="preserve">2031.95 </w:t>
            </w:r>
          </w:p>
        </w:tc>
      </w:tr>
      <w:tr w14:paraId="3F40D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09080B6D">
            <w:pPr>
              <w:pStyle w:val="445"/>
              <w:rPr>
                <w:rFonts w:cs="Times New Roman"/>
                <w:kern w:val="0"/>
                <w:szCs w:val="20"/>
              </w:rPr>
            </w:pPr>
            <w:r>
              <w:rPr>
                <w:rFonts w:hint="eastAsia" w:cs="Times New Roman"/>
                <w:kern w:val="0"/>
                <w:szCs w:val="20"/>
              </w:rPr>
              <w:t>0.9</w:t>
            </w:r>
          </w:p>
        </w:tc>
        <w:tc>
          <w:tcPr>
            <w:tcW w:w="408" w:type="pct"/>
            <w:noWrap/>
            <w:vAlign w:val="center"/>
          </w:tcPr>
          <w:p w14:paraId="14AB0B00">
            <w:pPr>
              <w:pStyle w:val="445"/>
              <w:rPr>
                <w:rFonts w:cs="Times New Roman"/>
                <w:kern w:val="0"/>
                <w:szCs w:val="20"/>
              </w:rPr>
            </w:pPr>
            <w:r>
              <w:rPr>
                <w:rFonts w:hint="eastAsia" w:cs="Times New Roman"/>
                <w:kern w:val="0"/>
                <w:szCs w:val="20"/>
              </w:rPr>
              <w:t xml:space="preserve">169.05 </w:t>
            </w:r>
          </w:p>
        </w:tc>
        <w:tc>
          <w:tcPr>
            <w:tcW w:w="408" w:type="pct"/>
            <w:noWrap/>
            <w:vAlign w:val="center"/>
          </w:tcPr>
          <w:p w14:paraId="00D1AD89">
            <w:pPr>
              <w:pStyle w:val="445"/>
              <w:rPr>
                <w:rFonts w:cs="Times New Roman"/>
                <w:kern w:val="0"/>
                <w:szCs w:val="20"/>
              </w:rPr>
            </w:pPr>
            <w:r>
              <w:rPr>
                <w:rFonts w:hint="eastAsia" w:cs="Times New Roman"/>
                <w:kern w:val="0"/>
                <w:szCs w:val="20"/>
              </w:rPr>
              <w:t xml:space="preserve">459.43 </w:t>
            </w:r>
          </w:p>
        </w:tc>
        <w:tc>
          <w:tcPr>
            <w:tcW w:w="460" w:type="pct"/>
            <w:noWrap/>
            <w:vAlign w:val="center"/>
          </w:tcPr>
          <w:p w14:paraId="06FB0C88">
            <w:pPr>
              <w:pStyle w:val="445"/>
              <w:rPr>
                <w:rFonts w:cs="Times New Roman"/>
                <w:bCs/>
                <w:kern w:val="0"/>
                <w:szCs w:val="20"/>
              </w:rPr>
            </w:pPr>
            <w:r>
              <w:rPr>
                <w:rFonts w:hint="eastAsia" w:cs="Times New Roman"/>
                <w:b/>
                <w:bCs/>
                <w:kern w:val="0"/>
                <w:szCs w:val="20"/>
              </w:rPr>
              <w:t xml:space="preserve">1701.88 </w:t>
            </w:r>
          </w:p>
        </w:tc>
        <w:tc>
          <w:tcPr>
            <w:tcW w:w="460" w:type="pct"/>
            <w:noWrap/>
            <w:vAlign w:val="center"/>
          </w:tcPr>
          <w:p w14:paraId="681C73E1">
            <w:pPr>
              <w:pStyle w:val="445"/>
              <w:rPr>
                <w:rFonts w:cs="Times New Roman"/>
                <w:kern w:val="0"/>
                <w:szCs w:val="20"/>
              </w:rPr>
            </w:pPr>
            <w:r>
              <w:rPr>
                <w:rFonts w:hint="eastAsia" w:cs="Times New Roman"/>
                <w:kern w:val="0"/>
                <w:szCs w:val="20"/>
              </w:rPr>
              <w:t xml:space="preserve">1876.91 </w:t>
            </w:r>
          </w:p>
        </w:tc>
        <w:tc>
          <w:tcPr>
            <w:tcW w:w="460" w:type="pct"/>
            <w:noWrap/>
            <w:vAlign w:val="center"/>
          </w:tcPr>
          <w:p w14:paraId="2696661B">
            <w:pPr>
              <w:pStyle w:val="445"/>
              <w:rPr>
                <w:rFonts w:cs="Times New Roman"/>
                <w:kern w:val="0"/>
                <w:szCs w:val="20"/>
              </w:rPr>
            </w:pPr>
            <w:r>
              <w:rPr>
                <w:rFonts w:hint="eastAsia" w:cs="Times New Roman"/>
                <w:kern w:val="0"/>
                <w:szCs w:val="20"/>
              </w:rPr>
              <w:t xml:space="preserve">1953.20 </w:t>
            </w:r>
          </w:p>
        </w:tc>
        <w:tc>
          <w:tcPr>
            <w:tcW w:w="460" w:type="pct"/>
            <w:noWrap/>
            <w:vAlign w:val="center"/>
          </w:tcPr>
          <w:p w14:paraId="72D7D00E">
            <w:pPr>
              <w:pStyle w:val="445"/>
              <w:rPr>
                <w:rFonts w:cs="Times New Roman"/>
                <w:kern w:val="0"/>
                <w:szCs w:val="20"/>
              </w:rPr>
            </w:pPr>
            <w:r>
              <w:rPr>
                <w:rFonts w:hint="eastAsia" w:cs="Times New Roman"/>
                <w:kern w:val="0"/>
                <w:szCs w:val="20"/>
              </w:rPr>
              <w:t xml:space="preserve">2008.36 </w:t>
            </w:r>
          </w:p>
        </w:tc>
        <w:tc>
          <w:tcPr>
            <w:tcW w:w="460" w:type="pct"/>
            <w:noWrap/>
            <w:vAlign w:val="center"/>
          </w:tcPr>
          <w:p w14:paraId="5C559668">
            <w:pPr>
              <w:pStyle w:val="445"/>
              <w:rPr>
                <w:rFonts w:cs="Times New Roman"/>
                <w:kern w:val="0"/>
                <w:szCs w:val="20"/>
              </w:rPr>
            </w:pPr>
            <w:r>
              <w:rPr>
                <w:rFonts w:hint="eastAsia" w:cs="Times New Roman"/>
                <w:kern w:val="0"/>
                <w:szCs w:val="20"/>
              </w:rPr>
              <w:t xml:space="preserve">2020.49 </w:t>
            </w:r>
          </w:p>
        </w:tc>
        <w:tc>
          <w:tcPr>
            <w:tcW w:w="460" w:type="pct"/>
            <w:noWrap/>
            <w:vAlign w:val="center"/>
          </w:tcPr>
          <w:p w14:paraId="5A77EE38">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45FABD66">
            <w:pPr>
              <w:pStyle w:val="445"/>
              <w:rPr>
                <w:rFonts w:cs="Times New Roman"/>
                <w:kern w:val="0"/>
                <w:szCs w:val="20"/>
              </w:rPr>
            </w:pPr>
            <w:r>
              <w:rPr>
                <w:rFonts w:hint="eastAsia" w:cs="Times New Roman"/>
                <w:kern w:val="0"/>
                <w:szCs w:val="20"/>
              </w:rPr>
              <w:t xml:space="preserve">2031.95 </w:t>
            </w:r>
          </w:p>
        </w:tc>
      </w:tr>
      <w:tr w14:paraId="5E07E9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34989954">
            <w:pPr>
              <w:pStyle w:val="445"/>
              <w:rPr>
                <w:rFonts w:cs="Times New Roman"/>
                <w:kern w:val="0"/>
                <w:szCs w:val="20"/>
              </w:rPr>
            </w:pPr>
            <w:r>
              <w:rPr>
                <w:rFonts w:hint="eastAsia" w:cs="Times New Roman"/>
                <w:kern w:val="0"/>
                <w:szCs w:val="20"/>
              </w:rPr>
              <w:t>1</w:t>
            </w:r>
          </w:p>
        </w:tc>
        <w:tc>
          <w:tcPr>
            <w:tcW w:w="408" w:type="pct"/>
            <w:noWrap/>
            <w:vAlign w:val="center"/>
          </w:tcPr>
          <w:p w14:paraId="5D3F0175">
            <w:pPr>
              <w:pStyle w:val="445"/>
              <w:rPr>
                <w:rFonts w:cs="Times New Roman"/>
                <w:kern w:val="0"/>
                <w:szCs w:val="20"/>
              </w:rPr>
            </w:pPr>
            <w:r>
              <w:rPr>
                <w:rFonts w:hint="eastAsia" w:cs="Times New Roman"/>
                <w:kern w:val="0"/>
                <w:szCs w:val="20"/>
              </w:rPr>
              <w:t xml:space="preserve">152.48 </w:t>
            </w:r>
          </w:p>
        </w:tc>
        <w:tc>
          <w:tcPr>
            <w:tcW w:w="408" w:type="pct"/>
            <w:noWrap/>
            <w:vAlign w:val="center"/>
          </w:tcPr>
          <w:p w14:paraId="5527CC74">
            <w:pPr>
              <w:pStyle w:val="445"/>
              <w:rPr>
                <w:rFonts w:cs="Times New Roman"/>
                <w:kern w:val="0"/>
                <w:szCs w:val="20"/>
              </w:rPr>
            </w:pPr>
            <w:r>
              <w:rPr>
                <w:rFonts w:hint="eastAsia" w:cs="Times New Roman"/>
                <w:kern w:val="0"/>
                <w:szCs w:val="20"/>
              </w:rPr>
              <w:t xml:space="preserve">445.57 </w:t>
            </w:r>
          </w:p>
        </w:tc>
        <w:tc>
          <w:tcPr>
            <w:tcW w:w="460" w:type="pct"/>
            <w:noWrap/>
            <w:vAlign w:val="center"/>
          </w:tcPr>
          <w:p w14:paraId="72DB6E01">
            <w:pPr>
              <w:pStyle w:val="445"/>
              <w:rPr>
                <w:rFonts w:cs="Times New Roman"/>
                <w:kern w:val="0"/>
                <w:szCs w:val="20"/>
              </w:rPr>
            </w:pPr>
            <w:r>
              <w:rPr>
                <w:rFonts w:hint="eastAsia" w:cs="Times New Roman"/>
                <w:kern w:val="0"/>
                <w:szCs w:val="20"/>
              </w:rPr>
              <w:t xml:space="preserve">1694.28 </w:t>
            </w:r>
          </w:p>
        </w:tc>
        <w:tc>
          <w:tcPr>
            <w:tcW w:w="460" w:type="pct"/>
            <w:noWrap/>
            <w:vAlign w:val="center"/>
          </w:tcPr>
          <w:p w14:paraId="671823D5">
            <w:pPr>
              <w:pStyle w:val="445"/>
              <w:rPr>
                <w:rFonts w:cs="Times New Roman"/>
                <w:kern w:val="0"/>
                <w:szCs w:val="20"/>
              </w:rPr>
            </w:pPr>
            <w:r>
              <w:rPr>
                <w:rFonts w:hint="eastAsia" w:cs="Times New Roman"/>
                <w:kern w:val="0"/>
                <w:szCs w:val="20"/>
              </w:rPr>
              <w:t xml:space="preserve">1873.40 </w:t>
            </w:r>
          </w:p>
        </w:tc>
        <w:tc>
          <w:tcPr>
            <w:tcW w:w="460" w:type="pct"/>
            <w:noWrap/>
            <w:vAlign w:val="center"/>
          </w:tcPr>
          <w:p w14:paraId="24238BCE">
            <w:pPr>
              <w:pStyle w:val="445"/>
              <w:rPr>
                <w:rFonts w:cs="Times New Roman"/>
                <w:kern w:val="0"/>
                <w:szCs w:val="20"/>
              </w:rPr>
            </w:pPr>
            <w:r>
              <w:rPr>
                <w:rFonts w:hint="eastAsia" w:cs="Times New Roman"/>
                <w:kern w:val="0"/>
                <w:szCs w:val="20"/>
              </w:rPr>
              <w:t xml:space="preserve">1951.50 </w:t>
            </w:r>
          </w:p>
        </w:tc>
        <w:tc>
          <w:tcPr>
            <w:tcW w:w="460" w:type="pct"/>
            <w:noWrap/>
            <w:vAlign w:val="center"/>
          </w:tcPr>
          <w:p w14:paraId="02B7271F">
            <w:pPr>
              <w:pStyle w:val="445"/>
              <w:rPr>
                <w:rFonts w:cs="Times New Roman"/>
                <w:kern w:val="0"/>
                <w:szCs w:val="20"/>
              </w:rPr>
            </w:pPr>
            <w:r>
              <w:rPr>
                <w:rFonts w:hint="eastAsia" w:cs="Times New Roman"/>
                <w:kern w:val="0"/>
                <w:szCs w:val="20"/>
              </w:rPr>
              <w:t xml:space="preserve">2007.89 </w:t>
            </w:r>
          </w:p>
        </w:tc>
        <w:tc>
          <w:tcPr>
            <w:tcW w:w="460" w:type="pct"/>
            <w:noWrap/>
            <w:vAlign w:val="center"/>
          </w:tcPr>
          <w:p w14:paraId="4764761A">
            <w:pPr>
              <w:pStyle w:val="445"/>
              <w:rPr>
                <w:rFonts w:cs="Times New Roman"/>
                <w:kern w:val="0"/>
                <w:szCs w:val="20"/>
              </w:rPr>
            </w:pPr>
            <w:r>
              <w:rPr>
                <w:rFonts w:hint="eastAsia" w:cs="Times New Roman"/>
                <w:kern w:val="0"/>
                <w:szCs w:val="20"/>
              </w:rPr>
              <w:t xml:space="preserve">2020.26 </w:t>
            </w:r>
          </w:p>
        </w:tc>
        <w:tc>
          <w:tcPr>
            <w:tcW w:w="460" w:type="pct"/>
            <w:noWrap/>
            <w:vAlign w:val="center"/>
          </w:tcPr>
          <w:p w14:paraId="741392DE">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2DF6542C">
            <w:pPr>
              <w:pStyle w:val="445"/>
              <w:rPr>
                <w:rFonts w:cs="Times New Roman"/>
                <w:kern w:val="0"/>
                <w:szCs w:val="20"/>
              </w:rPr>
            </w:pPr>
            <w:r>
              <w:rPr>
                <w:rFonts w:hint="eastAsia" w:cs="Times New Roman"/>
                <w:kern w:val="0"/>
                <w:szCs w:val="20"/>
              </w:rPr>
              <w:t xml:space="preserve">2031.95 </w:t>
            </w:r>
          </w:p>
        </w:tc>
      </w:tr>
      <w:tr w14:paraId="3B1AE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0A28604">
            <w:pPr>
              <w:pStyle w:val="445"/>
              <w:rPr>
                <w:rFonts w:cs="Times New Roman"/>
                <w:kern w:val="0"/>
                <w:szCs w:val="20"/>
              </w:rPr>
            </w:pPr>
            <w:r>
              <w:rPr>
                <w:rFonts w:hint="eastAsia" w:cs="Times New Roman"/>
                <w:kern w:val="0"/>
                <w:szCs w:val="20"/>
              </w:rPr>
              <w:t>1.5</w:t>
            </w:r>
          </w:p>
        </w:tc>
        <w:tc>
          <w:tcPr>
            <w:tcW w:w="408" w:type="pct"/>
            <w:noWrap/>
            <w:vAlign w:val="center"/>
          </w:tcPr>
          <w:p w14:paraId="25FC280A">
            <w:pPr>
              <w:pStyle w:val="445"/>
              <w:rPr>
                <w:rFonts w:cs="Times New Roman"/>
                <w:kern w:val="0"/>
                <w:szCs w:val="20"/>
              </w:rPr>
            </w:pPr>
            <w:r>
              <w:rPr>
                <w:rFonts w:hint="eastAsia" w:cs="Times New Roman"/>
                <w:kern w:val="0"/>
                <w:szCs w:val="20"/>
              </w:rPr>
              <w:t xml:space="preserve">67.72 </w:t>
            </w:r>
          </w:p>
        </w:tc>
        <w:tc>
          <w:tcPr>
            <w:tcW w:w="408" w:type="pct"/>
            <w:noWrap/>
            <w:vAlign w:val="center"/>
          </w:tcPr>
          <w:p w14:paraId="5598C05A">
            <w:pPr>
              <w:pStyle w:val="445"/>
              <w:rPr>
                <w:rFonts w:cs="Times New Roman"/>
                <w:kern w:val="0"/>
                <w:szCs w:val="20"/>
              </w:rPr>
            </w:pPr>
            <w:r>
              <w:rPr>
                <w:rFonts w:hint="eastAsia" w:cs="Times New Roman"/>
                <w:kern w:val="0"/>
                <w:szCs w:val="20"/>
              </w:rPr>
              <w:t xml:space="preserve">384.62 </w:t>
            </w:r>
          </w:p>
        </w:tc>
        <w:tc>
          <w:tcPr>
            <w:tcW w:w="460" w:type="pct"/>
            <w:noWrap/>
            <w:vAlign w:val="center"/>
          </w:tcPr>
          <w:p w14:paraId="601829CA">
            <w:pPr>
              <w:pStyle w:val="445"/>
              <w:rPr>
                <w:rFonts w:cs="Times New Roman"/>
                <w:kern w:val="0"/>
                <w:szCs w:val="20"/>
              </w:rPr>
            </w:pPr>
            <w:r>
              <w:rPr>
                <w:rFonts w:hint="eastAsia" w:cs="Times New Roman"/>
                <w:kern w:val="0"/>
                <w:szCs w:val="20"/>
              </w:rPr>
              <w:t xml:space="preserve">1654.65 </w:t>
            </w:r>
          </w:p>
        </w:tc>
        <w:tc>
          <w:tcPr>
            <w:tcW w:w="460" w:type="pct"/>
            <w:noWrap/>
            <w:vAlign w:val="center"/>
          </w:tcPr>
          <w:p w14:paraId="1A081635">
            <w:pPr>
              <w:pStyle w:val="445"/>
              <w:rPr>
                <w:rFonts w:cs="Times New Roman"/>
                <w:bCs/>
                <w:kern w:val="0"/>
                <w:szCs w:val="20"/>
              </w:rPr>
            </w:pPr>
            <w:r>
              <w:rPr>
                <w:rFonts w:hint="eastAsia" w:cs="Times New Roman"/>
                <w:b/>
                <w:bCs/>
                <w:kern w:val="0"/>
                <w:szCs w:val="20"/>
              </w:rPr>
              <w:t xml:space="preserve">1854.92 </w:t>
            </w:r>
          </w:p>
        </w:tc>
        <w:tc>
          <w:tcPr>
            <w:tcW w:w="460" w:type="pct"/>
            <w:noWrap/>
            <w:vAlign w:val="center"/>
          </w:tcPr>
          <w:p w14:paraId="4348B157">
            <w:pPr>
              <w:pStyle w:val="445"/>
              <w:rPr>
                <w:rFonts w:cs="Times New Roman"/>
                <w:kern w:val="0"/>
                <w:szCs w:val="20"/>
              </w:rPr>
            </w:pPr>
            <w:r>
              <w:rPr>
                <w:rFonts w:hint="eastAsia" w:cs="Times New Roman"/>
                <w:kern w:val="0"/>
                <w:szCs w:val="20"/>
              </w:rPr>
              <w:t xml:space="preserve">1942.50 </w:t>
            </w:r>
          </w:p>
        </w:tc>
        <w:tc>
          <w:tcPr>
            <w:tcW w:w="460" w:type="pct"/>
            <w:noWrap/>
            <w:vAlign w:val="center"/>
          </w:tcPr>
          <w:p w14:paraId="56C83863">
            <w:pPr>
              <w:pStyle w:val="445"/>
              <w:rPr>
                <w:rFonts w:cs="Times New Roman"/>
                <w:kern w:val="0"/>
                <w:szCs w:val="20"/>
              </w:rPr>
            </w:pPr>
            <w:r>
              <w:rPr>
                <w:rFonts w:hint="eastAsia" w:cs="Times New Roman"/>
                <w:kern w:val="0"/>
                <w:szCs w:val="20"/>
              </w:rPr>
              <w:t xml:space="preserve">2005.40 </w:t>
            </w:r>
          </w:p>
        </w:tc>
        <w:tc>
          <w:tcPr>
            <w:tcW w:w="460" w:type="pct"/>
            <w:noWrap/>
            <w:vAlign w:val="center"/>
          </w:tcPr>
          <w:p w14:paraId="5A280960">
            <w:pPr>
              <w:pStyle w:val="445"/>
              <w:rPr>
                <w:rFonts w:cs="Times New Roman"/>
                <w:kern w:val="0"/>
                <w:szCs w:val="20"/>
              </w:rPr>
            </w:pPr>
            <w:r>
              <w:rPr>
                <w:rFonts w:hint="eastAsia" w:cs="Times New Roman"/>
                <w:kern w:val="0"/>
                <w:szCs w:val="20"/>
              </w:rPr>
              <w:t xml:space="preserve">2019.10 </w:t>
            </w:r>
          </w:p>
        </w:tc>
        <w:tc>
          <w:tcPr>
            <w:tcW w:w="460" w:type="pct"/>
            <w:noWrap/>
            <w:vAlign w:val="center"/>
          </w:tcPr>
          <w:p w14:paraId="4CFC98CB">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117E7353">
            <w:pPr>
              <w:pStyle w:val="445"/>
              <w:rPr>
                <w:rFonts w:cs="Times New Roman"/>
                <w:kern w:val="0"/>
                <w:szCs w:val="20"/>
              </w:rPr>
            </w:pPr>
            <w:r>
              <w:rPr>
                <w:rFonts w:hint="eastAsia" w:cs="Times New Roman"/>
                <w:kern w:val="0"/>
                <w:szCs w:val="20"/>
              </w:rPr>
              <w:t xml:space="preserve">2031.95 </w:t>
            </w:r>
          </w:p>
        </w:tc>
      </w:tr>
      <w:tr w14:paraId="76A94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12183AA1">
            <w:pPr>
              <w:pStyle w:val="445"/>
              <w:rPr>
                <w:rFonts w:cs="Times New Roman"/>
                <w:kern w:val="0"/>
                <w:szCs w:val="20"/>
              </w:rPr>
            </w:pPr>
            <w:r>
              <w:rPr>
                <w:rFonts w:hint="eastAsia" w:cs="Times New Roman"/>
                <w:kern w:val="0"/>
                <w:szCs w:val="20"/>
              </w:rPr>
              <w:t>2</w:t>
            </w:r>
          </w:p>
        </w:tc>
        <w:tc>
          <w:tcPr>
            <w:tcW w:w="408" w:type="pct"/>
            <w:noWrap/>
            <w:vAlign w:val="center"/>
          </w:tcPr>
          <w:p w14:paraId="468DF3C0">
            <w:pPr>
              <w:pStyle w:val="445"/>
              <w:rPr>
                <w:rFonts w:cs="Times New Roman"/>
                <w:kern w:val="0"/>
                <w:szCs w:val="20"/>
              </w:rPr>
            </w:pPr>
            <w:r>
              <w:rPr>
                <w:rFonts w:hint="eastAsia" w:cs="Times New Roman"/>
                <w:kern w:val="0"/>
                <w:szCs w:val="20"/>
              </w:rPr>
              <w:t xml:space="preserve">17.95 </w:t>
            </w:r>
          </w:p>
        </w:tc>
        <w:tc>
          <w:tcPr>
            <w:tcW w:w="408" w:type="pct"/>
            <w:noWrap/>
            <w:vAlign w:val="center"/>
          </w:tcPr>
          <w:p w14:paraId="4ECCEE9B">
            <w:pPr>
              <w:pStyle w:val="445"/>
              <w:rPr>
                <w:rFonts w:cs="Times New Roman"/>
                <w:kern w:val="0"/>
                <w:szCs w:val="20"/>
              </w:rPr>
            </w:pPr>
            <w:r>
              <w:rPr>
                <w:rFonts w:hint="eastAsia" w:cs="Times New Roman"/>
                <w:kern w:val="0"/>
                <w:szCs w:val="20"/>
              </w:rPr>
              <w:t xml:space="preserve">333.86 </w:t>
            </w:r>
          </w:p>
        </w:tc>
        <w:tc>
          <w:tcPr>
            <w:tcW w:w="460" w:type="pct"/>
            <w:noWrap/>
            <w:vAlign w:val="center"/>
          </w:tcPr>
          <w:p w14:paraId="26EA92B1">
            <w:pPr>
              <w:pStyle w:val="445"/>
              <w:rPr>
                <w:rFonts w:cs="Times New Roman"/>
                <w:kern w:val="0"/>
                <w:szCs w:val="20"/>
              </w:rPr>
            </w:pPr>
            <w:r>
              <w:rPr>
                <w:rFonts w:hint="eastAsia" w:cs="Times New Roman"/>
                <w:kern w:val="0"/>
                <w:szCs w:val="20"/>
              </w:rPr>
              <w:t xml:space="preserve">1612.44 </w:t>
            </w:r>
          </w:p>
        </w:tc>
        <w:tc>
          <w:tcPr>
            <w:tcW w:w="460" w:type="pct"/>
            <w:noWrap/>
            <w:vAlign w:val="center"/>
          </w:tcPr>
          <w:p w14:paraId="100A56BD">
            <w:pPr>
              <w:pStyle w:val="445"/>
              <w:rPr>
                <w:rFonts w:cs="Times New Roman"/>
                <w:kern w:val="0"/>
                <w:szCs w:val="20"/>
              </w:rPr>
            </w:pPr>
            <w:r>
              <w:rPr>
                <w:rFonts w:hint="eastAsia" w:cs="Times New Roman"/>
                <w:kern w:val="0"/>
                <w:szCs w:val="20"/>
              </w:rPr>
              <w:t xml:space="preserve">1834.81 </w:t>
            </w:r>
          </w:p>
        </w:tc>
        <w:tc>
          <w:tcPr>
            <w:tcW w:w="460" w:type="pct"/>
            <w:noWrap/>
            <w:vAlign w:val="center"/>
          </w:tcPr>
          <w:p w14:paraId="77AE3A3E">
            <w:pPr>
              <w:pStyle w:val="445"/>
              <w:rPr>
                <w:rFonts w:cs="Times New Roman"/>
                <w:bCs/>
                <w:kern w:val="0"/>
                <w:szCs w:val="20"/>
              </w:rPr>
            </w:pPr>
            <w:r>
              <w:rPr>
                <w:rFonts w:hint="eastAsia" w:cs="Times New Roman"/>
                <w:b/>
                <w:bCs/>
                <w:kern w:val="0"/>
                <w:szCs w:val="20"/>
              </w:rPr>
              <w:t xml:space="preserve">1932.66 </w:t>
            </w:r>
          </w:p>
        </w:tc>
        <w:tc>
          <w:tcPr>
            <w:tcW w:w="460" w:type="pct"/>
            <w:noWrap/>
            <w:vAlign w:val="center"/>
          </w:tcPr>
          <w:p w14:paraId="71FD5574">
            <w:pPr>
              <w:pStyle w:val="445"/>
              <w:rPr>
                <w:rFonts w:cs="Times New Roman"/>
                <w:kern w:val="0"/>
                <w:szCs w:val="20"/>
              </w:rPr>
            </w:pPr>
            <w:r>
              <w:rPr>
                <w:rFonts w:hint="eastAsia" w:cs="Times New Roman"/>
                <w:kern w:val="0"/>
                <w:szCs w:val="20"/>
              </w:rPr>
              <w:t xml:space="preserve">2002.69 </w:t>
            </w:r>
          </w:p>
        </w:tc>
        <w:tc>
          <w:tcPr>
            <w:tcW w:w="460" w:type="pct"/>
            <w:noWrap/>
            <w:vAlign w:val="center"/>
          </w:tcPr>
          <w:p w14:paraId="1EC449F0">
            <w:pPr>
              <w:pStyle w:val="445"/>
              <w:rPr>
                <w:rFonts w:cs="Times New Roman"/>
                <w:kern w:val="0"/>
                <w:szCs w:val="20"/>
              </w:rPr>
            </w:pPr>
            <w:r>
              <w:rPr>
                <w:rFonts w:hint="eastAsia" w:cs="Times New Roman"/>
                <w:kern w:val="0"/>
                <w:szCs w:val="20"/>
              </w:rPr>
              <w:t xml:space="preserve">2017.82 </w:t>
            </w:r>
          </w:p>
        </w:tc>
        <w:tc>
          <w:tcPr>
            <w:tcW w:w="460" w:type="pct"/>
            <w:noWrap/>
            <w:vAlign w:val="center"/>
          </w:tcPr>
          <w:p w14:paraId="6B554D55">
            <w:pPr>
              <w:pStyle w:val="445"/>
              <w:rPr>
                <w:rFonts w:cs="Times New Roman"/>
                <w:kern w:val="0"/>
                <w:szCs w:val="20"/>
              </w:rPr>
            </w:pPr>
            <w:r>
              <w:rPr>
                <w:rFonts w:hint="eastAsia" w:cs="Times New Roman"/>
                <w:kern w:val="0"/>
                <w:szCs w:val="20"/>
              </w:rPr>
              <w:t xml:space="preserve">2031.93 </w:t>
            </w:r>
          </w:p>
        </w:tc>
        <w:tc>
          <w:tcPr>
            <w:tcW w:w="458" w:type="pct"/>
            <w:noWrap/>
            <w:vAlign w:val="center"/>
          </w:tcPr>
          <w:p w14:paraId="4284AB37">
            <w:pPr>
              <w:pStyle w:val="445"/>
              <w:rPr>
                <w:rFonts w:cs="Times New Roman"/>
                <w:kern w:val="0"/>
                <w:szCs w:val="20"/>
              </w:rPr>
            </w:pPr>
            <w:r>
              <w:rPr>
                <w:rFonts w:hint="eastAsia" w:cs="Times New Roman"/>
                <w:kern w:val="0"/>
                <w:szCs w:val="20"/>
              </w:rPr>
              <w:t xml:space="preserve">2031.95 </w:t>
            </w:r>
          </w:p>
        </w:tc>
      </w:tr>
      <w:tr w14:paraId="4A61E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5743C9F5">
            <w:pPr>
              <w:pStyle w:val="445"/>
              <w:rPr>
                <w:rFonts w:cs="Times New Roman"/>
                <w:kern w:val="0"/>
                <w:szCs w:val="20"/>
              </w:rPr>
            </w:pPr>
            <w:r>
              <w:rPr>
                <w:rFonts w:hint="eastAsia" w:cs="Times New Roman"/>
                <w:kern w:val="0"/>
                <w:szCs w:val="20"/>
              </w:rPr>
              <w:t>2.5</w:t>
            </w:r>
          </w:p>
        </w:tc>
        <w:tc>
          <w:tcPr>
            <w:tcW w:w="408" w:type="pct"/>
            <w:noWrap/>
            <w:vAlign w:val="center"/>
          </w:tcPr>
          <w:p w14:paraId="5EA7988A">
            <w:pPr>
              <w:pStyle w:val="445"/>
              <w:rPr>
                <w:rFonts w:cs="Times New Roman"/>
                <w:kern w:val="0"/>
                <w:szCs w:val="20"/>
              </w:rPr>
            </w:pPr>
            <w:r>
              <w:rPr>
                <w:rFonts w:hint="eastAsia" w:cs="Times New Roman"/>
                <w:kern w:val="0"/>
                <w:szCs w:val="20"/>
              </w:rPr>
              <w:t xml:space="preserve">3.00 </w:t>
            </w:r>
          </w:p>
        </w:tc>
        <w:tc>
          <w:tcPr>
            <w:tcW w:w="408" w:type="pct"/>
            <w:noWrap/>
            <w:vAlign w:val="center"/>
          </w:tcPr>
          <w:p w14:paraId="5E93CC7C">
            <w:pPr>
              <w:pStyle w:val="445"/>
              <w:rPr>
                <w:rFonts w:cs="Times New Roman"/>
                <w:kern w:val="0"/>
                <w:szCs w:val="20"/>
              </w:rPr>
            </w:pPr>
            <w:r>
              <w:rPr>
                <w:rFonts w:hint="eastAsia" w:cs="Times New Roman"/>
                <w:kern w:val="0"/>
                <w:szCs w:val="20"/>
              </w:rPr>
              <w:t xml:space="preserve">289.00 </w:t>
            </w:r>
          </w:p>
        </w:tc>
        <w:tc>
          <w:tcPr>
            <w:tcW w:w="460" w:type="pct"/>
            <w:noWrap/>
            <w:vAlign w:val="center"/>
          </w:tcPr>
          <w:p w14:paraId="67188F88">
            <w:pPr>
              <w:pStyle w:val="445"/>
              <w:rPr>
                <w:rFonts w:cs="Times New Roman"/>
                <w:kern w:val="0"/>
                <w:szCs w:val="20"/>
              </w:rPr>
            </w:pPr>
            <w:r>
              <w:rPr>
                <w:rFonts w:hint="eastAsia" w:cs="Times New Roman"/>
                <w:kern w:val="0"/>
                <w:szCs w:val="20"/>
              </w:rPr>
              <w:t xml:space="preserve">1567.83 </w:t>
            </w:r>
          </w:p>
        </w:tc>
        <w:tc>
          <w:tcPr>
            <w:tcW w:w="460" w:type="pct"/>
            <w:noWrap/>
            <w:vAlign w:val="center"/>
          </w:tcPr>
          <w:p w14:paraId="3447301F">
            <w:pPr>
              <w:pStyle w:val="445"/>
              <w:rPr>
                <w:rFonts w:cs="Times New Roman"/>
                <w:kern w:val="0"/>
                <w:szCs w:val="20"/>
              </w:rPr>
            </w:pPr>
            <w:r>
              <w:rPr>
                <w:rFonts w:hint="eastAsia" w:cs="Times New Roman"/>
                <w:kern w:val="0"/>
                <w:szCs w:val="20"/>
              </w:rPr>
              <w:t xml:space="preserve">1813.04 </w:t>
            </w:r>
          </w:p>
        </w:tc>
        <w:tc>
          <w:tcPr>
            <w:tcW w:w="460" w:type="pct"/>
            <w:noWrap/>
            <w:vAlign w:val="center"/>
          </w:tcPr>
          <w:p w14:paraId="2A0DD554">
            <w:pPr>
              <w:pStyle w:val="445"/>
              <w:rPr>
                <w:rFonts w:cs="Times New Roman"/>
                <w:kern w:val="0"/>
                <w:szCs w:val="20"/>
              </w:rPr>
            </w:pPr>
            <w:r>
              <w:rPr>
                <w:rFonts w:hint="eastAsia" w:cs="Times New Roman"/>
                <w:kern w:val="0"/>
                <w:szCs w:val="20"/>
              </w:rPr>
              <w:t xml:space="preserve">1921.93 </w:t>
            </w:r>
          </w:p>
        </w:tc>
        <w:tc>
          <w:tcPr>
            <w:tcW w:w="460" w:type="pct"/>
            <w:noWrap/>
            <w:vAlign w:val="center"/>
          </w:tcPr>
          <w:p w14:paraId="6FBDB69A">
            <w:pPr>
              <w:pStyle w:val="445"/>
              <w:rPr>
                <w:rFonts w:cs="Times New Roman"/>
                <w:kern w:val="0"/>
                <w:szCs w:val="20"/>
              </w:rPr>
            </w:pPr>
            <w:r>
              <w:rPr>
                <w:rFonts w:hint="eastAsia" w:cs="Times New Roman"/>
                <w:kern w:val="0"/>
                <w:szCs w:val="20"/>
              </w:rPr>
              <w:t xml:space="preserve">1999.73 </w:t>
            </w:r>
          </w:p>
        </w:tc>
        <w:tc>
          <w:tcPr>
            <w:tcW w:w="460" w:type="pct"/>
            <w:noWrap/>
            <w:vAlign w:val="center"/>
          </w:tcPr>
          <w:p w14:paraId="5C132FE6">
            <w:pPr>
              <w:pStyle w:val="445"/>
              <w:rPr>
                <w:rFonts w:cs="Times New Roman"/>
                <w:kern w:val="0"/>
                <w:szCs w:val="20"/>
              </w:rPr>
            </w:pPr>
            <w:r>
              <w:rPr>
                <w:rFonts w:hint="eastAsia" w:cs="Times New Roman"/>
                <w:kern w:val="0"/>
                <w:szCs w:val="20"/>
              </w:rPr>
              <w:t xml:space="preserve">2016.44 </w:t>
            </w:r>
          </w:p>
        </w:tc>
        <w:tc>
          <w:tcPr>
            <w:tcW w:w="460" w:type="pct"/>
            <w:noWrap/>
            <w:vAlign w:val="center"/>
          </w:tcPr>
          <w:p w14:paraId="6721716E">
            <w:pPr>
              <w:pStyle w:val="445"/>
              <w:rPr>
                <w:rFonts w:cs="Times New Roman"/>
                <w:kern w:val="0"/>
                <w:szCs w:val="20"/>
              </w:rPr>
            </w:pPr>
            <w:r>
              <w:rPr>
                <w:rFonts w:hint="eastAsia" w:cs="Times New Roman"/>
                <w:kern w:val="0"/>
                <w:szCs w:val="20"/>
              </w:rPr>
              <w:t xml:space="preserve">2031.92 </w:t>
            </w:r>
          </w:p>
        </w:tc>
        <w:tc>
          <w:tcPr>
            <w:tcW w:w="458" w:type="pct"/>
            <w:noWrap/>
            <w:vAlign w:val="center"/>
          </w:tcPr>
          <w:p w14:paraId="090971DD">
            <w:pPr>
              <w:pStyle w:val="445"/>
              <w:rPr>
                <w:rFonts w:cs="Times New Roman"/>
                <w:kern w:val="0"/>
                <w:szCs w:val="20"/>
              </w:rPr>
            </w:pPr>
            <w:r>
              <w:rPr>
                <w:rFonts w:hint="eastAsia" w:cs="Times New Roman"/>
                <w:kern w:val="0"/>
                <w:szCs w:val="20"/>
              </w:rPr>
              <w:t xml:space="preserve">2031.95 </w:t>
            </w:r>
          </w:p>
        </w:tc>
      </w:tr>
      <w:tr w14:paraId="0DF98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9609CDB">
            <w:pPr>
              <w:pStyle w:val="445"/>
              <w:rPr>
                <w:rFonts w:cs="Times New Roman"/>
                <w:kern w:val="0"/>
                <w:szCs w:val="20"/>
              </w:rPr>
            </w:pPr>
            <w:r>
              <w:rPr>
                <w:rFonts w:hint="eastAsia" w:cs="Times New Roman"/>
                <w:kern w:val="0"/>
                <w:szCs w:val="20"/>
              </w:rPr>
              <w:t>3</w:t>
            </w:r>
          </w:p>
        </w:tc>
        <w:tc>
          <w:tcPr>
            <w:tcW w:w="408" w:type="pct"/>
            <w:noWrap/>
            <w:vAlign w:val="center"/>
          </w:tcPr>
          <w:p w14:paraId="7A6E4A5B">
            <w:pPr>
              <w:pStyle w:val="445"/>
              <w:rPr>
                <w:rFonts w:cs="Times New Roman"/>
                <w:kern w:val="0"/>
                <w:szCs w:val="20"/>
              </w:rPr>
            </w:pPr>
            <w:r>
              <w:rPr>
                <w:rFonts w:hint="eastAsia" w:cs="Times New Roman"/>
                <w:kern w:val="0"/>
                <w:szCs w:val="20"/>
              </w:rPr>
              <w:t xml:space="preserve">0.33 </w:t>
            </w:r>
          </w:p>
        </w:tc>
        <w:tc>
          <w:tcPr>
            <w:tcW w:w="408" w:type="pct"/>
            <w:noWrap/>
            <w:vAlign w:val="center"/>
          </w:tcPr>
          <w:p w14:paraId="74278C3A">
            <w:pPr>
              <w:pStyle w:val="445"/>
              <w:rPr>
                <w:rFonts w:cs="Times New Roman"/>
                <w:kern w:val="0"/>
                <w:szCs w:val="20"/>
              </w:rPr>
            </w:pPr>
            <w:r>
              <w:rPr>
                <w:rFonts w:hint="eastAsia" w:cs="Times New Roman"/>
                <w:kern w:val="0"/>
                <w:szCs w:val="20"/>
              </w:rPr>
              <w:t xml:space="preserve">247.12 </w:t>
            </w:r>
          </w:p>
        </w:tc>
        <w:tc>
          <w:tcPr>
            <w:tcW w:w="460" w:type="pct"/>
            <w:noWrap/>
            <w:vAlign w:val="center"/>
          </w:tcPr>
          <w:p w14:paraId="2C3B80FC">
            <w:pPr>
              <w:pStyle w:val="445"/>
              <w:rPr>
                <w:rFonts w:cs="Times New Roman"/>
                <w:kern w:val="0"/>
                <w:szCs w:val="20"/>
              </w:rPr>
            </w:pPr>
            <w:r>
              <w:rPr>
                <w:rFonts w:hint="eastAsia" w:cs="Times New Roman"/>
                <w:kern w:val="0"/>
                <w:szCs w:val="20"/>
              </w:rPr>
              <w:t xml:space="preserve">1521.02 </w:t>
            </w:r>
          </w:p>
        </w:tc>
        <w:tc>
          <w:tcPr>
            <w:tcW w:w="460" w:type="pct"/>
            <w:noWrap/>
            <w:vAlign w:val="center"/>
          </w:tcPr>
          <w:p w14:paraId="01D01D64">
            <w:pPr>
              <w:pStyle w:val="445"/>
              <w:rPr>
                <w:rFonts w:cs="Times New Roman"/>
                <w:kern w:val="0"/>
                <w:szCs w:val="20"/>
              </w:rPr>
            </w:pPr>
            <w:r>
              <w:rPr>
                <w:rFonts w:hint="eastAsia" w:cs="Times New Roman"/>
                <w:kern w:val="0"/>
                <w:szCs w:val="20"/>
              </w:rPr>
              <w:t xml:space="preserve">1789.54 </w:t>
            </w:r>
          </w:p>
        </w:tc>
        <w:tc>
          <w:tcPr>
            <w:tcW w:w="460" w:type="pct"/>
            <w:noWrap/>
            <w:vAlign w:val="center"/>
          </w:tcPr>
          <w:p w14:paraId="280430A3">
            <w:pPr>
              <w:pStyle w:val="445"/>
              <w:rPr>
                <w:rFonts w:cs="Times New Roman"/>
                <w:kern w:val="0"/>
                <w:szCs w:val="20"/>
              </w:rPr>
            </w:pPr>
            <w:r>
              <w:rPr>
                <w:rFonts w:hint="eastAsia" w:cs="Times New Roman"/>
                <w:kern w:val="0"/>
                <w:szCs w:val="20"/>
              </w:rPr>
              <w:t xml:space="preserve">1910.26 </w:t>
            </w:r>
          </w:p>
        </w:tc>
        <w:tc>
          <w:tcPr>
            <w:tcW w:w="460" w:type="pct"/>
            <w:noWrap/>
            <w:vAlign w:val="center"/>
          </w:tcPr>
          <w:p w14:paraId="43CAB69B">
            <w:pPr>
              <w:pStyle w:val="445"/>
              <w:rPr>
                <w:rFonts w:cs="Times New Roman"/>
                <w:kern w:val="0"/>
                <w:szCs w:val="20"/>
              </w:rPr>
            </w:pPr>
            <w:r>
              <w:rPr>
                <w:rFonts w:hint="eastAsia" w:cs="Times New Roman"/>
                <w:kern w:val="0"/>
                <w:szCs w:val="20"/>
              </w:rPr>
              <w:t xml:space="preserve">1996.50 </w:t>
            </w:r>
          </w:p>
        </w:tc>
        <w:tc>
          <w:tcPr>
            <w:tcW w:w="460" w:type="pct"/>
            <w:noWrap/>
            <w:vAlign w:val="center"/>
          </w:tcPr>
          <w:p w14:paraId="52CC3D89">
            <w:pPr>
              <w:pStyle w:val="445"/>
              <w:rPr>
                <w:rFonts w:cs="Times New Roman"/>
                <w:kern w:val="0"/>
                <w:szCs w:val="20"/>
              </w:rPr>
            </w:pPr>
            <w:r>
              <w:rPr>
                <w:rFonts w:hint="eastAsia" w:cs="Times New Roman"/>
                <w:kern w:val="0"/>
                <w:szCs w:val="20"/>
              </w:rPr>
              <w:t xml:space="preserve">2014.93 </w:t>
            </w:r>
          </w:p>
        </w:tc>
        <w:tc>
          <w:tcPr>
            <w:tcW w:w="460" w:type="pct"/>
            <w:noWrap/>
            <w:vAlign w:val="center"/>
          </w:tcPr>
          <w:p w14:paraId="006199D3">
            <w:pPr>
              <w:pStyle w:val="445"/>
              <w:rPr>
                <w:rFonts w:cs="Times New Roman"/>
                <w:kern w:val="0"/>
                <w:szCs w:val="20"/>
              </w:rPr>
            </w:pPr>
            <w:r>
              <w:rPr>
                <w:rFonts w:hint="eastAsia" w:cs="Times New Roman"/>
                <w:kern w:val="0"/>
                <w:szCs w:val="20"/>
              </w:rPr>
              <w:t xml:space="preserve">2031.92 </w:t>
            </w:r>
          </w:p>
        </w:tc>
        <w:tc>
          <w:tcPr>
            <w:tcW w:w="458" w:type="pct"/>
            <w:noWrap/>
            <w:vAlign w:val="center"/>
          </w:tcPr>
          <w:p w14:paraId="3B56DA17">
            <w:pPr>
              <w:pStyle w:val="445"/>
              <w:rPr>
                <w:rFonts w:cs="Times New Roman"/>
                <w:kern w:val="0"/>
                <w:szCs w:val="20"/>
              </w:rPr>
            </w:pPr>
            <w:r>
              <w:rPr>
                <w:rFonts w:hint="eastAsia" w:cs="Times New Roman"/>
                <w:kern w:val="0"/>
                <w:szCs w:val="20"/>
              </w:rPr>
              <w:t xml:space="preserve">2031.95 </w:t>
            </w:r>
          </w:p>
        </w:tc>
      </w:tr>
      <w:tr w14:paraId="3EC93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38767832">
            <w:pPr>
              <w:pStyle w:val="445"/>
              <w:rPr>
                <w:rFonts w:cs="Times New Roman"/>
                <w:kern w:val="0"/>
                <w:szCs w:val="20"/>
              </w:rPr>
            </w:pPr>
            <w:r>
              <w:rPr>
                <w:rFonts w:hint="eastAsia" w:cs="Times New Roman"/>
                <w:kern w:val="0"/>
                <w:szCs w:val="20"/>
              </w:rPr>
              <w:t>3.5</w:t>
            </w:r>
          </w:p>
        </w:tc>
        <w:tc>
          <w:tcPr>
            <w:tcW w:w="408" w:type="pct"/>
            <w:noWrap/>
            <w:vAlign w:val="center"/>
          </w:tcPr>
          <w:p w14:paraId="33EDEB22">
            <w:pPr>
              <w:pStyle w:val="445"/>
              <w:rPr>
                <w:rFonts w:cs="Times New Roman"/>
                <w:kern w:val="0"/>
                <w:szCs w:val="20"/>
              </w:rPr>
            </w:pPr>
            <w:r>
              <w:rPr>
                <w:rFonts w:hint="eastAsia" w:cs="Times New Roman"/>
                <w:kern w:val="0"/>
                <w:szCs w:val="20"/>
              </w:rPr>
              <w:t xml:space="preserve">0.03 </w:t>
            </w:r>
          </w:p>
        </w:tc>
        <w:tc>
          <w:tcPr>
            <w:tcW w:w="408" w:type="pct"/>
            <w:noWrap/>
            <w:vAlign w:val="center"/>
          </w:tcPr>
          <w:p w14:paraId="49625071">
            <w:pPr>
              <w:pStyle w:val="445"/>
              <w:rPr>
                <w:rFonts w:cs="Times New Roman"/>
                <w:kern w:val="0"/>
                <w:szCs w:val="20"/>
              </w:rPr>
            </w:pPr>
            <w:r>
              <w:rPr>
                <w:rFonts w:hint="eastAsia" w:cs="Times New Roman"/>
                <w:kern w:val="0"/>
                <w:szCs w:val="20"/>
              </w:rPr>
              <w:t xml:space="preserve">206.75 </w:t>
            </w:r>
          </w:p>
        </w:tc>
        <w:tc>
          <w:tcPr>
            <w:tcW w:w="460" w:type="pct"/>
            <w:noWrap/>
            <w:vAlign w:val="center"/>
          </w:tcPr>
          <w:p w14:paraId="5BB4D7C4">
            <w:pPr>
              <w:pStyle w:val="445"/>
              <w:rPr>
                <w:rFonts w:cs="Times New Roman"/>
                <w:kern w:val="0"/>
                <w:szCs w:val="20"/>
              </w:rPr>
            </w:pPr>
            <w:r>
              <w:rPr>
                <w:rFonts w:hint="eastAsia" w:cs="Times New Roman"/>
                <w:kern w:val="0"/>
                <w:szCs w:val="20"/>
              </w:rPr>
              <w:t xml:space="preserve">1472.27 </w:t>
            </w:r>
          </w:p>
        </w:tc>
        <w:tc>
          <w:tcPr>
            <w:tcW w:w="460" w:type="pct"/>
            <w:noWrap/>
            <w:vAlign w:val="center"/>
          </w:tcPr>
          <w:p w14:paraId="43C65671">
            <w:pPr>
              <w:pStyle w:val="445"/>
              <w:rPr>
                <w:rFonts w:cs="Times New Roman"/>
                <w:kern w:val="0"/>
                <w:szCs w:val="20"/>
              </w:rPr>
            </w:pPr>
            <w:r>
              <w:rPr>
                <w:rFonts w:hint="eastAsia" w:cs="Times New Roman"/>
                <w:kern w:val="0"/>
                <w:szCs w:val="20"/>
              </w:rPr>
              <w:t xml:space="preserve">1764.30 </w:t>
            </w:r>
          </w:p>
        </w:tc>
        <w:tc>
          <w:tcPr>
            <w:tcW w:w="460" w:type="pct"/>
            <w:noWrap/>
            <w:vAlign w:val="center"/>
          </w:tcPr>
          <w:p w14:paraId="2AEEF788">
            <w:pPr>
              <w:pStyle w:val="445"/>
              <w:rPr>
                <w:rFonts w:cs="Times New Roman"/>
                <w:kern w:val="0"/>
                <w:szCs w:val="20"/>
              </w:rPr>
            </w:pPr>
            <w:r>
              <w:rPr>
                <w:rFonts w:hint="eastAsia" w:cs="Times New Roman"/>
                <w:kern w:val="0"/>
                <w:szCs w:val="20"/>
              </w:rPr>
              <w:t xml:space="preserve">1897.60 </w:t>
            </w:r>
          </w:p>
        </w:tc>
        <w:tc>
          <w:tcPr>
            <w:tcW w:w="460" w:type="pct"/>
            <w:noWrap/>
            <w:vAlign w:val="center"/>
          </w:tcPr>
          <w:p w14:paraId="2C9AE503">
            <w:pPr>
              <w:pStyle w:val="445"/>
              <w:rPr>
                <w:rFonts w:cs="Times New Roman"/>
                <w:kern w:val="0"/>
                <w:szCs w:val="20"/>
              </w:rPr>
            </w:pPr>
            <w:r>
              <w:rPr>
                <w:rFonts w:hint="eastAsia" w:cs="Times New Roman"/>
                <w:kern w:val="0"/>
                <w:szCs w:val="20"/>
              </w:rPr>
              <w:t xml:space="preserve">1992.99 </w:t>
            </w:r>
          </w:p>
        </w:tc>
        <w:tc>
          <w:tcPr>
            <w:tcW w:w="460" w:type="pct"/>
            <w:noWrap/>
            <w:vAlign w:val="center"/>
          </w:tcPr>
          <w:p w14:paraId="4D507E4E">
            <w:pPr>
              <w:pStyle w:val="445"/>
              <w:rPr>
                <w:rFonts w:cs="Times New Roman"/>
                <w:kern w:val="0"/>
                <w:szCs w:val="20"/>
              </w:rPr>
            </w:pPr>
            <w:r>
              <w:rPr>
                <w:rFonts w:hint="eastAsia" w:cs="Times New Roman"/>
                <w:kern w:val="0"/>
                <w:szCs w:val="20"/>
              </w:rPr>
              <w:t xml:space="preserve">2013.29 </w:t>
            </w:r>
          </w:p>
        </w:tc>
        <w:tc>
          <w:tcPr>
            <w:tcW w:w="460" w:type="pct"/>
            <w:noWrap/>
            <w:vAlign w:val="center"/>
          </w:tcPr>
          <w:p w14:paraId="240A447D">
            <w:pPr>
              <w:pStyle w:val="445"/>
              <w:rPr>
                <w:rFonts w:cs="Times New Roman"/>
                <w:kern w:val="0"/>
                <w:szCs w:val="20"/>
              </w:rPr>
            </w:pPr>
            <w:r>
              <w:rPr>
                <w:rFonts w:hint="eastAsia" w:cs="Times New Roman"/>
                <w:kern w:val="0"/>
                <w:szCs w:val="20"/>
              </w:rPr>
              <w:t xml:space="preserve">2031.92 </w:t>
            </w:r>
          </w:p>
        </w:tc>
        <w:tc>
          <w:tcPr>
            <w:tcW w:w="458" w:type="pct"/>
            <w:noWrap/>
            <w:vAlign w:val="center"/>
          </w:tcPr>
          <w:p w14:paraId="38F23432">
            <w:pPr>
              <w:pStyle w:val="445"/>
              <w:rPr>
                <w:rFonts w:cs="Times New Roman"/>
                <w:kern w:val="0"/>
                <w:szCs w:val="20"/>
              </w:rPr>
            </w:pPr>
            <w:r>
              <w:rPr>
                <w:rFonts w:hint="eastAsia" w:cs="Times New Roman"/>
                <w:kern w:val="0"/>
                <w:szCs w:val="20"/>
              </w:rPr>
              <w:t xml:space="preserve">2031.95 </w:t>
            </w:r>
          </w:p>
        </w:tc>
      </w:tr>
      <w:tr w14:paraId="7A921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479A14D9">
            <w:pPr>
              <w:pStyle w:val="445"/>
              <w:rPr>
                <w:rFonts w:cs="Times New Roman"/>
                <w:kern w:val="0"/>
                <w:szCs w:val="20"/>
              </w:rPr>
            </w:pPr>
            <w:r>
              <w:rPr>
                <w:rFonts w:hint="eastAsia" w:cs="Times New Roman"/>
                <w:kern w:val="0"/>
                <w:szCs w:val="20"/>
              </w:rPr>
              <w:t>4</w:t>
            </w:r>
          </w:p>
        </w:tc>
        <w:tc>
          <w:tcPr>
            <w:tcW w:w="408" w:type="pct"/>
            <w:noWrap/>
            <w:vAlign w:val="center"/>
          </w:tcPr>
          <w:p w14:paraId="7D1EA0DF">
            <w:pPr>
              <w:pStyle w:val="445"/>
              <w:rPr>
                <w:rFonts w:cs="Times New Roman"/>
                <w:kern w:val="0"/>
                <w:szCs w:val="20"/>
              </w:rPr>
            </w:pPr>
            <w:r>
              <w:rPr>
                <w:rFonts w:hint="eastAsia" w:cs="Times New Roman"/>
                <w:kern w:val="0"/>
                <w:szCs w:val="20"/>
              </w:rPr>
              <w:t xml:space="preserve">0.00 </w:t>
            </w:r>
          </w:p>
        </w:tc>
        <w:tc>
          <w:tcPr>
            <w:tcW w:w="408" w:type="pct"/>
            <w:noWrap/>
            <w:vAlign w:val="center"/>
          </w:tcPr>
          <w:p w14:paraId="1B0E7543">
            <w:pPr>
              <w:pStyle w:val="445"/>
              <w:rPr>
                <w:rFonts w:cs="Times New Roman"/>
                <w:kern w:val="0"/>
                <w:szCs w:val="20"/>
              </w:rPr>
            </w:pPr>
            <w:r>
              <w:rPr>
                <w:rFonts w:hint="eastAsia" w:cs="Times New Roman"/>
                <w:kern w:val="0"/>
                <w:szCs w:val="20"/>
              </w:rPr>
              <w:t xml:space="preserve">167.82 </w:t>
            </w:r>
          </w:p>
        </w:tc>
        <w:tc>
          <w:tcPr>
            <w:tcW w:w="460" w:type="pct"/>
            <w:noWrap/>
            <w:vAlign w:val="center"/>
          </w:tcPr>
          <w:p w14:paraId="14B554B3">
            <w:pPr>
              <w:pStyle w:val="445"/>
              <w:rPr>
                <w:rFonts w:cs="Times New Roman"/>
                <w:kern w:val="0"/>
                <w:szCs w:val="20"/>
              </w:rPr>
            </w:pPr>
            <w:r>
              <w:rPr>
                <w:rFonts w:hint="eastAsia" w:cs="Times New Roman"/>
                <w:kern w:val="0"/>
                <w:szCs w:val="20"/>
              </w:rPr>
              <w:t xml:space="preserve">1421.87 </w:t>
            </w:r>
          </w:p>
        </w:tc>
        <w:tc>
          <w:tcPr>
            <w:tcW w:w="460" w:type="pct"/>
            <w:noWrap/>
            <w:vAlign w:val="center"/>
          </w:tcPr>
          <w:p w14:paraId="0B7F03D7">
            <w:pPr>
              <w:pStyle w:val="445"/>
              <w:rPr>
                <w:rFonts w:cs="Times New Roman"/>
                <w:kern w:val="0"/>
                <w:szCs w:val="20"/>
              </w:rPr>
            </w:pPr>
            <w:r>
              <w:rPr>
                <w:rFonts w:hint="eastAsia" w:cs="Times New Roman"/>
                <w:kern w:val="0"/>
                <w:szCs w:val="20"/>
              </w:rPr>
              <w:t xml:space="preserve">1737.30 </w:t>
            </w:r>
          </w:p>
        </w:tc>
        <w:tc>
          <w:tcPr>
            <w:tcW w:w="460" w:type="pct"/>
            <w:noWrap/>
            <w:vAlign w:val="center"/>
          </w:tcPr>
          <w:p w14:paraId="22C2F40C">
            <w:pPr>
              <w:pStyle w:val="445"/>
              <w:rPr>
                <w:rFonts w:cs="Times New Roman"/>
                <w:kern w:val="0"/>
                <w:szCs w:val="20"/>
              </w:rPr>
            </w:pPr>
            <w:r>
              <w:rPr>
                <w:rFonts w:hint="eastAsia" w:cs="Times New Roman"/>
                <w:kern w:val="0"/>
                <w:szCs w:val="20"/>
              </w:rPr>
              <w:t xml:space="preserve">1883.89 </w:t>
            </w:r>
          </w:p>
        </w:tc>
        <w:tc>
          <w:tcPr>
            <w:tcW w:w="460" w:type="pct"/>
            <w:noWrap/>
            <w:vAlign w:val="center"/>
          </w:tcPr>
          <w:p w14:paraId="2C1938E4">
            <w:pPr>
              <w:pStyle w:val="445"/>
              <w:rPr>
                <w:rFonts w:cs="Times New Roman"/>
                <w:bCs/>
                <w:kern w:val="0"/>
                <w:szCs w:val="20"/>
              </w:rPr>
            </w:pPr>
            <w:r>
              <w:rPr>
                <w:rFonts w:hint="eastAsia" w:cs="Times New Roman"/>
                <w:b/>
                <w:bCs/>
                <w:kern w:val="0"/>
                <w:szCs w:val="20"/>
              </w:rPr>
              <w:t xml:space="preserve">1989.18 </w:t>
            </w:r>
          </w:p>
        </w:tc>
        <w:tc>
          <w:tcPr>
            <w:tcW w:w="460" w:type="pct"/>
            <w:noWrap/>
            <w:vAlign w:val="center"/>
          </w:tcPr>
          <w:p w14:paraId="5EA85612">
            <w:pPr>
              <w:pStyle w:val="445"/>
              <w:rPr>
                <w:rFonts w:cs="Times New Roman"/>
                <w:kern w:val="0"/>
                <w:szCs w:val="20"/>
              </w:rPr>
            </w:pPr>
            <w:r>
              <w:rPr>
                <w:rFonts w:hint="eastAsia" w:cs="Times New Roman"/>
                <w:kern w:val="0"/>
                <w:szCs w:val="20"/>
              </w:rPr>
              <w:t xml:space="preserve">2011.52 </w:t>
            </w:r>
          </w:p>
        </w:tc>
        <w:tc>
          <w:tcPr>
            <w:tcW w:w="460" w:type="pct"/>
            <w:noWrap/>
            <w:vAlign w:val="center"/>
          </w:tcPr>
          <w:p w14:paraId="7AFAE92C">
            <w:pPr>
              <w:pStyle w:val="445"/>
              <w:rPr>
                <w:rFonts w:cs="Times New Roman"/>
                <w:kern w:val="0"/>
                <w:szCs w:val="20"/>
              </w:rPr>
            </w:pPr>
            <w:r>
              <w:rPr>
                <w:rFonts w:hint="eastAsia" w:cs="Times New Roman"/>
                <w:kern w:val="0"/>
                <w:szCs w:val="20"/>
              </w:rPr>
              <w:t xml:space="preserve">2031.92 </w:t>
            </w:r>
          </w:p>
        </w:tc>
        <w:tc>
          <w:tcPr>
            <w:tcW w:w="458" w:type="pct"/>
            <w:noWrap/>
            <w:vAlign w:val="center"/>
          </w:tcPr>
          <w:p w14:paraId="06D027C3">
            <w:pPr>
              <w:pStyle w:val="445"/>
              <w:rPr>
                <w:rFonts w:cs="Times New Roman"/>
                <w:kern w:val="0"/>
                <w:szCs w:val="20"/>
              </w:rPr>
            </w:pPr>
            <w:r>
              <w:rPr>
                <w:rFonts w:hint="eastAsia" w:cs="Times New Roman"/>
                <w:kern w:val="0"/>
                <w:szCs w:val="20"/>
              </w:rPr>
              <w:t xml:space="preserve">2031.95 </w:t>
            </w:r>
          </w:p>
        </w:tc>
      </w:tr>
      <w:tr w14:paraId="2A379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50A99AB4">
            <w:pPr>
              <w:pStyle w:val="445"/>
              <w:rPr>
                <w:rFonts w:cs="Times New Roman"/>
                <w:kern w:val="0"/>
                <w:szCs w:val="20"/>
              </w:rPr>
            </w:pPr>
            <w:r>
              <w:rPr>
                <w:rFonts w:hint="eastAsia" w:cs="Times New Roman"/>
                <w:kern w:val="0"/>
                <w:szCs w:val="20"/>
              </w:rPr>
              <w:t>4.5</w:t>
            </w:r>
          </w:p>
        </w:tc>
        <w:tc>
          <w:tcPr>
            <w:tcW w:w="408" w:type="pct"/>
            <w:noWrap/>
            <w:vAlign w:val="center"/>
          </w:tcPr>
          <w:p w14:paraId="15A0BD71">
            <w:pPr>
              <w:pStyle w:val="445"/>
              <w:rPr>
                <w:rFonts w:cs="Times New Roman"/>
                <w:kern w:val="0"/>
                <w:szCs w:val="20"/>
              </w:rPr>
            </w:pPr>
            <w:r>
              <w:rPr>
                <w:rFonts w:hint="eastAsia" w:cs="Times New Roman"/>
                <w:kern w:val="0"/>
                <w:szCs w:val="20"/>
              </w:rPr>
              <w:t xml:space="preserve">0.00 </w:t>
            </w:r>
          </w:p>
        </w:tc>
        <w:tc>
          <w:tcPr>
            <w:tcW w:w="408" w:type="pct"/>
            <w:noWrap/>
            <w:vAlign w:val="center"/>
          </w:tcPr>
          <w:p w14:paraId="5290478E">
            <w:pPr>
              <w:pStyle w:val="445"/>
              <w:rPr>
                <w:rFonts w:cs="Times New Roman"/>
                <w:kern w:val="0"/>
                <w:szCs w:val="20"/>
              </w:rPr>
            </w:pPr>
            <w:r>
              <w:rPr>
                <w:rFonts w:hint="eastAsia" w:cs="Times New Roman"/>
                <w:kern w:val="0"/>
                <w:szCs w:val="20"/>
              </w:rPr>
              <w:t xml:space="preserve">131.23 </w:t>
            </w:r>
          </w:p>
        </w:tc>
        <w:tc>
          <w:tcPr>
            <w:tcW w:w="460" w:type="pct"/>
            <w:noWrap/>
            <w:vAlign w:val="center"/>
          </w:tcPr>
          <w:p w14:paraId="0415F293">
            <w:pPr>
              <w:pStyle w:val="445"/>
              <w:rPr>
                <w:rFonts w:cs="Times New Roman"/>
                <w:kern w:val="0"/>
                <w:szCs w:val="20"/>
              </w:rPr>
            </w:pPr>
            <w:r>
              <w:rPr>
                <w:rFonts w:hint="eastAsia" w:cs="Times New Roman"/>
                <w:kern w:val="0"/>
                <w:szCs w:val="20"/>
              </w:rPr>
              <w:t xml:space="preserve">1370.14 </w:t>
            </w:r>
          </w:p>
        </w:tc>
        <w:tc>
          <w:tcPr>
            <w:tcW w:w="460" w:type="pct"/>
            <w:noWrap/>
            <w:vAlign w:val="center"/>
          </w:tcPr>
          <w:p w14:paraId="590798AA">
            <w:pPr>
              <w:pStyle w:val="445"/>
              <w:rPr>
                <w:rFonts w:cs="Times New Roman"/>
                <w:kern w:val="0"/>
                <w:szCs w:val="20"/>
              </w:rPr>
            </w:pPr>
            <w:r>
              <w:rPr>
                <w:rFonts w:hint="eastAsia" w:cs="Times New Roman"/>
                <w:kern w:val="0"/>
                <w:szCs w:val="20"/>
              </w:rPr>
              <w:t xml:space="preserve">1708.55 </w:t>
            </w:r>
          </w:p>
        </w:tc>
        <w:tc>
          <w:tcPr>
            <w:tcW w:w="460" w:type="pct"/>
            <w:noWrap/>
            <w:vAlign w:val="center"/>
          </w:tcPr>
          <w:p w14:paraId="1378927E">
            <w:pPr>
              <w:pStyle w:val="445"/>
              <w:rPr>
                <w:rFonts w:cs="Times New Roman"/>
                <w:kern w:val="0"/>
                <w:szCs w:val="20"/>
              </w:rPr>
            </w:pPr>
            <w:r>
              <w:rPr>
                <w:rFonts w:hint="eastAsia" w:cs="Times New Roman"/>
                <w:kern w:val="0"/>
                <w:szCs w:val="20"/>
              </w:rPr>
              <w:t xml:space="preserve">1869.09 </w:t>
            </w:r>
          </w:p>
        </w:tc>
        <w:tc>
          <w:tcPr>
            <w:tcW w:w="460" w:type="pct"/>
            <w:noWrap/>
            <w:vAlign w:val="center"/>
          </w:tcPr>
          <w:p w14:paraId="1398B25C">
            <w:pPr>
              <w:pStyle w:val="445"/>
              <w:rPr>
                <w:rFonts w:cs="Times New Roman"/>
                <w:kern w:val="0"/>
                <w:szCs w:val="20"/>
              </w:rPr>
            </w:pPr>
            <w:r>
              <w:rPr>
                <w:rFonts w:hint="eastAsia" w:cs="Times New Roman"/>
                <w:kern w:val="0"/>
                <w:szCs w:val="20"/>
              </w:rPr>
              <w:t xml:space="preserve">1985.04 </w:t>
            </w:r>
          </w:p>
        </w:tc>
        <w:tc>
          <w:tcPr>
            <w:tcW w:w="460" w:type="pct"/>
            <w:noWrap/>
            <w:vAlign w:val="center"/>
          </w:tcPr>
          <w:p w14:paraId="63FF2AF1">
            <w:pPr>
              <w:pStyle w:val="445"/>
              <w:rPr>
                <w:rFonts w:cs="Times New Roman"/>
                <w:kern w:val="0"/>
                <w:szCs w:val="20"/>
              </w:rPr>
            </w:pPr>
            <w:r>
              <w:rPr>
                <w:rFonts w:hint="eastAsia" w:cs="Times New Roman"/>
                <w:kern w:val="0"/>
                <w:szCs w:val="20"/>
              </w:rPr>
              <w:t xml:space="preserve">2009.59 </w:t>
            </w:r>
          </w:p>
        </w:tc>
        <w:tc>
          <w:tcPr>
            <w:tcW w:w="460" w:type="pct"/>
            <w:noWrap/>
            <w:vAlign w:val="center"/>
          </w:tcPr>
          <w:p w14:paraId="4F1F503E">
            <w:pPr>
              <w:pStyle w:val="445"/>
              <w:rPr>
                <w:rFonts w:cs="Times New Roman"/>
                <w:kern w:val="0"/>
                <w:szCs w:val="20"/>
              </w:rPr>
            </w:pPr>
            <w:r>
              <w:rPr>
                <w:rFonts w:hint="eastAsia" w:cs="Times New Roman"/>
                <w:kern w:val="0"/>
                <w:szCs w:val="20"/>
              </w:rPr>
              <w:t xml:space="preserve">2031.91 </w:t>
            </w:r>
          </w:p>
        </w:tc>
        <w:tc>
          <w:tcPr>
            <w:tcW w:w="458" w:type="pct"/>
            <w:noWrap/>
            <w:vAlign w:val="center"/>
          </w:tcPr>
          <w:p w14:paraId="7F563B8D">
            <w:pPr>
              <w:pStyle w:val="445"/>
              <w:rPr>
                <w:rFonts w:cs="Times New Roman"/>
                <w:kern w:val="0"/>
                <w:szCs w:val="20"/>
              </w:rPr>
            </w:pPr>
            <w:r>
              <w:rPr>
                <w:rFonts w:hint="eastAsia" w:cs="Times New Roman"/>
                <w:kern w:val="0"/>
                <w:szCs w:val="20"/>
              </w:rPr>
              <w:t xml:space="preserve">2031.95 </w:t>
            </w:r>
          </w:p>
        </w:tc>
      </w:tr>
      <w:tr w14:paraId="6AFCA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31F7088C">
            <w:pPr>
              <w:pStyle w:val="445"/>
              <w:rPr>
                <w:rFonts w:cs="Times New Roman"/>
                <w:kern w:val="0"/>
                <w:szCs w:val="20"/>
              </w:rPr>
            </w:pPr>
            <w:r>
              <w:rPr>
                <w:rFonts w:hint="eastAsia" w:cs="Times New Roman"/>
                <w:kern w:val="0"/>
                <w:szCs w:val="20"/>
              </w:rPr>
              <w:t>5</w:t>
            </w:r>
          </w:p>
        </w:tc>
        <w:tc>
          <w:tcPr>
            <w:tcW w:w="408" w:type="pct"/>
            <w:noWrap/>
            <w:vAlign w:val="center"/>
          </w:tcPr>
          <w:p w14:paraId="6D0FBC9F">
            <w:pPr>
              <w:pStyle w:val="445"/>
              <w:rPr>
                <w:rFonts w:cs="Times New Roman"/>
                <w:kern w:val="0"/>
                <w:szCs w:val="20"/>
              </w:rPr>
            </w:pPr>
            <w:r>
              <w:rPr>
                <w:rFonts w:hint="eastAsia" w:cs="Times New Roman"/>
                <w:kern w:val="0"/>
                <w:szCs w:val="20"/>
              </w:rPr>
              <w:t xml:space="preserve">0.00 </w:t>
            </w:r>
          </w:p>
        </w:tc>
        <w:tc>
          <w:tcPr>
            <w:tcW w:w="408" w:type="pct"/>
            <w:noWrap/>
            <w:vAlign w:val="center"/>
          </w:tcPr>
          <w:p w14:paraId="0FC410D5">
            <w:pPr>
              <w:pStyle w:val="445"/>
              <w:rPr>
                <w:rFonts w:cs="Times New Roman"/>
                <w:kern w:val="0"/>
                <w:szCs w:val="20"/>
              </w:rPr>
            </w:pPr>
            <w:r>
              <w:rPr>
                <w:rFonts w:hint="eastAsia" w:cs="Times New Roman"/>
                <w:kern w:val="0"/>
                <w:szCs w:val="20"/>
              </w:rPr>
              <w:t xml:space="preserve">98.37 </w:t>
            </w:r>
          </w:p>
        </w:tc>
        <w:tc>
          <w:tcPr>
            <w:tcW w:w="460" w:type="pct"/>
            <w:noWrap/>
            <w:vAlign w:val="center"/>
          </w:tcPr>
          <w:p w14:paraId="6FC67299">
            <w:pPr>
              <w:pStyle w:val="445"/>
              <w:rPr>
                <w:rFonts w:cs="Times New Roman"/>
                <w:kern w:val="0"/>
                <w:szCs w:val="20"/>
              </w:rPr>
            </w:pPr>
            <w:r>
              <w:rPr>
                <w:rFonts w:hint="eastAsia" w:cs="Times New Roman"/>
                <w:kern w:val="0"/>
                <w:szCs w:val="20"/>
              </w:rPr>
              <w:t xml:space="preserve">1317.43 </w:t>
            </w:r>
          </w:p>
        </w:tc>
        <w:tc>
          <w:tcPr>
            <w:tcW w:w="460" w:type="pct"/>
            <w:noWrap/>
            <w:vAlign w:val="center"/>
          </w:tcPr>
          <w:p w14:paraId="2B2752C4">
            <w:pPr>
              <w:pStyle w:val="445"/>
              <w:rPr>
                <w:rFonts w:cs="Times New Roman"/>
                <w:kern w:val="0"/>
                <w:szCs w:val="20"/>
              </w:rPr>
            </w:pPr>
            <w:r>
              <w:rPr>
                <w:rFonts w:hint="eastAsia" w:cs="Times New Roman"/>
                <w:kern w:val="0"/>
                <w:szCs w:val="20"/>
              </w:rPr>
              <w:t xml:space="preserve">1678.06 </w:t>
            </w:r>
          </w:p>
        </w:tc>
        <w:tc>
          <w:tcPr>
            <w:tcW w:w="460" w:type="pct"/>
            <w:noWrap/>
            <w:vAlign w:val="center"/>
          </w:tcPr>
          <w:p w14:paraId="1E9EF45C">
            <w:pPr>
              <w:pStyle w:val="445"/>
              <w:rPr>
                <w:rFonts w:cs="Times New Roman"/>
                <w:kern w:val="0"/>
                <w:szCs w:val="20"/>
              </w:rPr>
            </w:pPr>
            <w:r>
              <w:rPr>
                <w:rFonts w:hint="eastAsia" w:cs="Times New Roman"/>
                <w:kern w:val="0"/>
                <w:szCs w:val="20"/>
              </w:rPr>
              <w:t xml:space="preserve">1853.16 </w:t>
            </w:r>
          </w:p>
        </w:tc>
        <w:tc>
          <w:tcPr>
            <w:tcW w:w="460" w:type="pct"/>
            <w:noWrap/>
            <w:vAlign w:val="center"/>
          </w:tcPr>
          <w:p w14:paraId="53112804">
            <w:pPr>
              <w:pStyle w:val="445"/>
              <w:rPr>
                <w:rFonts w:cs="Times New Roman"/>
                <w:kern w:val="0"/>
                <w:szCs w:val="20"/>
              </w:rPr>
            </w:pPr>
            <w:r>
              <w:rPr>
                <w:rFonts w:hint="eastAsia" w:cs="Times New Roman"/>
                <w:kern w:val="0"/>
                <w:szCs w:val="20"/>
              </w:rPr>
              <w:t xml:space="preserve">1980.56 </w:t>
            </w:r>
          </w:p>
        </w:tc>
        <w:tc>
          <w:tcPr>
            <w:tcW w:w="460" w:type="pct"/>
            <w:noWrap/>
            <w:vAlign w:val="center"/>
          </w:tcPr>
          <w:p w14:paraId="5438FCF1">
            <w:pPr>
              <w:pStyle w:val="445"/>
              <w:rPr>
                <w:rFonts w:cs="Times New Roman"/>
                <w:kern w:val="0"/>
                <w:szCs w:val="20"/>
              </w:rPr>
            </w:pPr>
            <w:r>
              <w:rPr>
                <w:rFonts w:hint="eastAsia" w:cs="Times New Roman"/>
                <w:kern w:val="0"/>
                <w:szCs w:val="20"/>
              </w:rPr>
              <w:t xml:space="preserve">2007.50 </w:t>
            </w:r>
          </w:p>
        </w:tc>
        <w:tc>
          <w:tcPr>
            <w:tcW w:w="460" w:type="pct"/>
            <w:noWrap/>
            <w:vAlign w:val="center"/>
          </w:tcPr>
          <w:p w14:paraId="294C7B13">
            <w:pPr>
              <w:pStyle w:val="445"/>
              <w:rPr>
                <w:rFonts w:cs="Times New Roman"/>
                <w:kern w:val="0"/>
                <w:szCs w:val="20"/>
              </w:rPr>
            </w:pPr>
            <w:r>
              <w:rPr>
                <w:rFonts w:hint="eastAsia" w:cs="Times New Roman"/>
                <w:kern w:val="0"/>
                <w:szCs w:val="20"/>
              </w:rPr>
              <w:t xml:space="preserve">2031.91 </w:t>
            </w:r>
          </w:p>
        </w:tc>
        <w:tc>
          <w:tcPr>
            <w:tcW w:w="458" w:type="pct"/>
            <w:noWrap/>
            <w:vAlign w:val="center"/>
          </w:tcPr>
          <w:p w14:paraId="761A535A">
            <w:pPr>
              <w:pStyle w:val="445"/>
              <w:rPr>
                <w:rFonts w:cs="Times New Roman"/>
                <w:kern w:val="0"/>
                <w:szCs w:val="20"/>
              </w:rPr>
            </w:pPr>
            <w:r>
              <w:rPr>
                <w:rFonts w:hint="eastAsia" w:cs="Times New Roman"/>
                <w:kern w:val="0"/>
                <w:szCs w:val="20"/>
              </w:rPr>
              <w:t xml:space="preserve">2031.95 </w:t>
            </w:r>
          </w:p>
        </w:tc>
      </w:tr>
      <w:tr w14:paraId="2830B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8A72631">
            <w:pPr>
              <w:pStyle w:val="445"/>
              <w:rPr>
                <w:rFonts w:cs="Times New Roman"/>
                <w:kern w:val="0"/>
                <w:szCs w:val="20"/>
              </w:rPr>
            </w:pPr>
            <w:r>
              <w:rPr>
                <w:rFonts w:hint="eastAsia" w:cs="Times New Roman"/>
                <w:kern w:val="0"/>
                <w:szCs w:val="20"/>
              </w:rPr>
              <w:t>5.5</w:t>
            </w:r>
          </w:p>
        </w:tc>
        <w:tc>
          <w:tcPr>
            <w:tcW w:w="408" w:type="pct"/>
            <w:noWrap/>
            <w:vAlign w:val="center"/>
          </w:tcPr>
          <w:p w14:paraId="3F712D32">
            <w:pPr>
              <w:pStyle w:val="445"/>
              <w:rPr>
                <w:rFonts w:cs="Times New Roman"/>
                <w:kern w:val="0"/>
                <w:szCs w:val="20"/>
              </w:rPr>
            </w:pPr>
            <w:r>
              <w:rPr>
                <w:rFonts w:hint="eastAsia" w:cs="Times New Roman"/>
                <w:kern w:val="0"/>
                <w:szCs w:val="20"/>
              </w:rPr>
              <w:t xml:space="preserve">0.00 </w:t>
            </w:r>
          </w:p>
        </w:tc>
        <w:tc>
          <w:tcPr>
            <w:tcW w:w="408" w:type="pct"/>
            <w:noWrap/>
            <w:vAlign w:val="center"/>
          </w:tcPr>
          <w:p w14:paraId="73DFB9B1">
            <w:pPr>
              <w:pStyle w:val="445"/>
              <w:rPr>
                <w:rFonts w:cs="Times New Roman"/>
                <w:kern w:val="0"/>
                <w:szCs w:val="20"/>
              </w:rPr>
            </w:pPr>
            <w:r>
              <w:rPr>
                <w:rFonts w:hint="eastAsia" w:cs="Times New Roman"/>
                <w:kern w:val="0"/>
                <w:szCs w:val="20"/>
              </w:rPr>
              <w:t xml:space="preserve">70.46 </w:t>
            </w:r>
          </w:p>
        </w:tc>
        <w:tc>
          <w:tcPr>
            <w:tcW w:w="460" w:type="pct"/>
            <w:noWrap/>
            <w:vAlign w:val="center"/>
          </w:tcPr>
          <w:p w14:paraId="68E3B608">
            <w:pPr>
              <w:pStyle w:val="445"/>
              <w:rPr>
                <w:rFonts w:cs="Times New Roman"/>
                <w:kern w:val="0"/>
                <w:szCs w:val="20"/>
              </w:rPr>
            </w:pPr>
            <w:r>
              <w:rPr>
                <w:rFonts w:hint="eastAsia" w:cs="Times New Roman"/>
                <w:kern w:val="0"/>
                <w:szCs w:val="20"/>
              </w:rPr>
              <w:t xml:space="preserve">1264.09 </w:t>
            </w:r>
          </w:p>
        </w:tc>
        <w:tc>
          <w:tcPr>
            <w:tcW w:w="460" w:type="pct"/>
            <w:noWrap/>
            <w:vAlign w:val="center"/>
          </w:tcPr>
          <w:p w14:paraId="02CB3F21">
            <w:pPr>
              <w:pStyle w:val="445"/>
              <w:rPr>
                <w:rFonts w:cs="Times New Roman"/>
                <w:kern w:val="0"/>
                <w:szCs w:val="20"/>
              </w:rPr>
            </w:pPr>
            <w:r>
              <w:rPr>
                <w:rFonts w:hint="eastAsia" w:cs="Times New Roman"/>
                <w:kern w:val="0"/>
                <w:szCs w:val="20"/>
              </w:rPr>
              <w:t xml:space="preserve">1645.89 </w:t>
            </w:r>
          </w:p>
        </w:tc>
        <w:tc>
          <w:tcPr>
            <w:tcW w:w="460" w:type="pct"/>
            <w:noWrap/>
            <w:vAlign w:val="center"/>
          </w:tcPr>
          <w:p w14:paraId="4A418FE2">
            <w:pPr>
              <w:pStyle w:val="445"/>
              <w:rPr>
                <w:rFonts w:cs="Times New Roman"/>
                <w:kern w:val="0"/>
                <w:szCs w:val="20"/>
              </w:rPr>
            </w:pPr>
            <w:r>
              <w:rPr>
                <w:rFonts w:hint="eastAsia" w:cs="Times New Roman"/>
                <w:kern w:val="0"/>
                <w:szCs w:val="20"/>
              </w:rPr>
              <w:t xml:space="preserve">1836.05 </w:t>
            </w:r>
          </w:p>
        </w:tc>
        <w:tc>
          <w:tcPr>
            <w:tcW w:w="460" w:type="pct"/>
            <w:noWrap/>
            <w:vAlign w:val="center"/>
          </w:tcPr>
          <w:p w14:paraId="5039A21A">
            <w:pPr>
              <w:pStyle w:val="445"/>
              <w:rPr>
                <w:rFonts w:cs="Times New Roman"/>
                <w:kern w:val="0"/>
                <w:szCs w:val="20"/>
              </w:rPr>
            </w:pPr>
            <w:r>
              <w:rPr>
                <w:rFonts w:hint="eastAsia" w:cs="Times New Roman"/>
                <w:kern w:val="0"/>
                <w:szCs w:val="20"/>
              </w:rPr>
              <w:t xml:space="preserve">1975.70 </w:t>
            </w:r>
          </w:p>
        </w:tc>
        <w:tc>
          <w:tcPr>
            <w:tcW w:w="460" w:type="pct"/>
            <w:noWrap/>
            <w:vAlign w:val="center"/>
          </w:tcPr>
          <w:p w14:paraId="4E0C977C">
            <w:pPr>
              <w:pStyle w:val="445"/>
              <w:rPr>
                <w:rFonts w:cs="Times New Roman"/>
                <w:kern w:val="0"/>
                <w:szCs w:val="20"/>
              </w:rPr>
            </w:pPr>
            <w:r>
              <w:rPr>
                <w:rFonts w:hint="eastAsia" w:cs="Times New Roman"/>
                <w:kern w:val="0"/>
                <w:szCs w:val="20"/>
              </w:rPr>
              <w:t xml:space="preserve">2005.23 </w:t>
            </w:r>
          </w:p>
        </w:tc>
        <w:tc>
          <w:tcPr>
            <w:tcW w:w="460" w:type="pct"/>
            <w:noWrap/>
            <w:vAlign w:val="center"/>
          </w:tcPr>
          <w:p w14:paraId="541C5A4B">
            <w:pPr>
              <w:pStyle w:val="445"/>
              <w:rPr>
                <w:rFonts w:cs="Times New Roman"/>
                <w:kern w:val="0"/>
                <w:szCs w:val="20"/>
              </w:rPr>
            </w:pPr>
            <w:r>
              <w:rPr>
                <w:rFonts w:hint="eastAsia" w:cs="Times New Roman"/>
                <w:kern w:val="0"/>
                <w:szCs w:val="20"/>
              </w:rPr>
              <w:t xml:space="preserve">2031.91 </w:t>
            </w:r>
          </w:p>
        </w:tc>
        <w:tc>
          <w:tcPr>
            <w:tcW w:w="458" w:type="pct"/>
            <w:noWrap/>
            <w:vAlign w:val="center"/>
          </w:tcPr>
          <w:p w14:paraId="5EC0DED0">
            <w:pPr>
              <w:pStyle w:val="445"/>
              <w:rPr>
                <w:rFonts w:cs="Times New Roman"/>
                <w:kern w:val="0"/>
                <w:szCs w:val="20"/>
              </w:rPr>
            </w:pPr>
            <w:r>
              <w:rPr>
                <w:rFonts w:hint="eastAsia" w:cs="Times New Roman"/>
                <w:kern w:val="0"/>
                <w:szCs w:val="20"/>
              </w:rPr>
              <w:t xml:space="preserve">2031.95 </w:t>
            </w:r>
          </w:p>
        </w:tc>
      </w:tr>
      <w:tr w14:paraId="0A636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0D5A170">
            <w:pPr>
              <w:pStyle w:val="445"/>
              <w:rPr>
                <w:rFonts w:cs="Times New Roman"/>
                <w:kern w:val="0"/>
                <w:szCs w:val="20"/>
              </w:rPr>
            </w:pPr>
            <w:r>
              <w:rPr>
                <w:rFonts w:hint="eastAsia" w:cs="Times New Roman"/>
                <w:kern w:val="0"/>
                <w:szCs w:val="20"/>
              </w:rPr>
              <w:t>6</w:t>
            </w:r>
          </w:p>
        </w:tc>
        <w:tc>
          <w:tcPr>
            <w:tcW w:w="408" w:type="pct"/>
            <w:noWrap/>
            <w:vAlign w:val="center"/>
          </w:tcPr>
          <w:p w14:paraId="4E9F33D5">
            <w:pPr>
              <w:pStyle w:val="445"/>
              <w:rPr>
                <w:rFonts w:cs="Times New Roman"/>
                <w:kern w:val="0"/>
                <w:szCs w:val="20"/>
              </w:rPr>
            </w:pPr>
            <w:r>
              <w:rPr>
                <w:rFonts w:hint="eastAsia" w:cs="Times New Roman"/>
                <w:kern w:val="0"/>
                <w:szCs w:val="20"/>
              </w:rPr>
              <w:t xml:space="preserve">0.00 </w:t>
            </w:r>
          </w:p>
        </w:tc>
        <w:tc>
          <w:tcPr>
            <w:tcW w:w="408" w:type="pct"/>
            <w:noWrap/>
            <w:vAlign w:val="center"/>
          </w:tcPr>
          <w:p w14:paraId="4C944CD1">
            <w:pPr>
              <w:pStyle w:val="445"/>
              <w:rPr>
                <w:rFonts w:cs="Times New Roman"/>
                <w:kern w:val="0"/>
                <w:szCs w:val="20"/>
              </w:rPr>
            </w:pPr>
            <w:r>
              <w:rPr>
                <w:rFonts w:hint="eastAsia" w:cs="Times New Roman"/>
                <w:kern w:val="0"/>
                <w:szCs w:val="20"/>
              </w:rPr>
              <w:t xml:space="preserve">48.15 </w:t>
            </w:r>
          </w:p>
        </w:tc>
        <w:tc>
          <w:tcPr>
            <w:tcW w:w="460" w:type="pct"/>
            <w:noWrap/>
            <w:vAlign w:val="center"/>
          </w:tcPr>
          <w:p w14:paraId="7053D0FA">
            <w:pPr>
              <w:pStyle w:val="445"/>
              <w:rPr>
                <w:rFonts w:cs="Times New Roman"/>
                <w:kern w:val="0"/>
                <w:szCs w:val="20"/>
              </w:rPr>
            </w:pPr>
            <w:r>
              <w:rPr>
                <w:rFonts w:hint="eastAsia" w:cs="Times New Roman"/>
                <w:kern w:val="0"/>
                <w:szCs w:val="20"/>
              </w:rPr>
              <w:t xml:space="preserve">1210.46 </w:t>
            </w:r>
          </w:p>
        </w:tc>
        <w:tc>
          <w:tcPr>
            <w:tcW w:w="460" w:type="pct"/>
            <w:noWrap/>
            <w:vAlign w:val="center"/>
          </w:tcPr>
          <w:p w14:paraId="5A850BF7">
            <w:pPr>
              <w:pStyle w:val="445"/>
              <w:rPr>
                <w:rFonts w:cs="Times New Roman"/>
                <w:kern w:val="0"/>
                <w:szCs w:val="20"/>
              </w:rPr>
            </w:pPr>
            <w:r>
              <w:rPr>
                <w:rFonts w:hint="eastAsia" w:cs="Times New Roman"/>
                <w:kern w:val="0"/>
                <w:szCs w:val="20"/>
              </w:rPr>
              <w:t xml:space="preserve">1612.08 </w:t>
            </w:r>
          </w:p>
        </w:tc>
        <w:tc>
          <w:tcPr>
            <w:tcW w:w="460" w:type="pct"/>
            <w:noWrap/>
            <w:vAlign w:val="center"/>
          </w:tcPr>
          <w:p w14:paraId="3D28FA64">
            <w:pPr>
              <w:pStyle w:val="445"/>
              <w:rPr>
                <w:rFonts w:cs="Times New Roman"/>
                <w:kern w:val="0"/>
                <w:szCs w:val="20"/>
              </w:rPr>
            </w:pPr>
            <w:r>
              <w:rPr>
                <w:rFonts w:hint="eastAsia" w:cs="Times New Roman"/>
                <w:kern w:val="0"/>
                <w:szCs w:val="20"/>
              </w:rPr>
              <w:t xml:space="preserve">1817.74 </w:t>
            </w:r>
          </w:p>
        </w:tc>
        <w:tc>
          <w:tcPr>
            <w:tcW w:w="460" w:type="pct"/>
            <w:noWrap/>
            <w:vAlign w:val="center"/>
          </w:tcPr>
          <w:p w14:paraId="681AAB3D">
            <w:pPr>
              <w:pStyle w:val="445"/>
              <w:rPr>
                <w:rFonts w:cs="Times New Roman"/>
                <w:kern w:val="0"/>
                <w:szCs w:val="20"/>
              </w:rPr>
            </w:pPr>
            <w:r>
              <w:rPr>
                <w:rFonts w:hint="eastAsia" w:cs="Times New Roman"/>
                <w:kern w:val="0"/>
                <w:szCs w:val="20"/>
              </w:rPr>
              <w:t xml:space="preserve">1970.45 </w:t>
            </w:r>
          </w:p>
        </w:tc>
        <w:tc>
          <w:tcPr>
            <w:tcW w:w="460" w:type="pct"/>
            <w:noWrap/>
            <w:vAlign w:val="center"/>
          </w:tcPr>
          <w:p w14:paraId="622825FD">
            <w:pPr>
              <w:pStyle w:val="445"/>
              <w:rPr>
                <w:rFonts w:cs="Times New Roman"/>
                <w:bCs/>
                <w:kern w:val="0"/>
                <w:szCs w:val="20"/>
              </w:rPr>
            </w:pPr>
            <w:r>
              <w:rPr>
                <w:rFonts w:hint="eastAsia" w:cs="Times New Roman"/>
                <w:b/>
                <w:bCs/>
                <w:kern w:val="0"/>
                <w:szCs w:val="20"/>
              </w:rPr>
              <w:t xml:space="preserve">2002.78 </w:t>
            </w:r>
          </w:p>
        </w:tc>
        <w:tc>
          <w:tcPr>
            <w:tcW w:w="460" w:type="pct"/>
            <w:noWrap/>
            <w:vAlign w:val="center"/>
          </w:tcPr>
          <w:p w14:paraId="39464B27">
            <w:pPr>
              <w:pStyle w:val="445"/>
              <w:rPr>
                <w:rFonts w:cs="Times New Roman"/>
                <w:kern w:val="0"/>
                <w:szCs w:val="20"/>
              </w:rPr>
            </w:pPr>
            <w:r>
              <w:rPr>
                <w:rFonts w:hint="eastAsia" w:cs="Times New Roman"/>
                <w:kern w:val="0"/>
                <w:szCs w:val="20"/>
              </w:rPr>
              <w:t xml:space="preserve">2031.90 </w:t>
            </w:r>
          </w:p>
        </w:tc>
        <w:tc>
          <w:tcPr>
            <w:tcW w:w="458" w:type="pct"/>
            <w:noWrap/>
            <w:vAlign w:val="center"/>
          </w:tcPr>
          <w:p w14:paraId="58BDF4C1">
            <w:pPr>
              <w:pStyle w:val="445"/>
              <w:rPr>
                <w:rFonts w:cs="Times New Roman"/>
                <w:kern w:val="0"/>
                <w:szCs w:val="20"/>
              </w:rPr>
            </w:pPr>
            <w:r>
              <w:rPr>
                <w:rFonts w:hint="eastAsia" w:cs="Times New Roman"/>
                <w:kern w:val="0"/>
                <w:szCs w:val="20"/>
              </w:rPr>
              <w:t xml:space="preserve">2031.95 </w:t>
            </w:r>
          </w:p>
        </w:tc>
      </w:tr>
      <w:tr w14:paraId="7CAC6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223EFFB">
            <w:pPr>
              <w:pStyle w:val="445"/>
              <w:rPr>
                <w:rFonts w:cs="Times New Roman"/>
                <w:kern w:val="0"/>
                <w:szCs w:val="20"/>
              </w:rPr>
            </w:pPr>
            <w:r>
              <w:rPr>
                <w:rFonts w:hint="eastAsia" w:cs="Times New Roman"/>
                <w:kern w:val="0"/>
                <w:szCs w:val="20"/>
              </w:rPr>
              <w:t>6</w:t>
            </w:r>
          </w:p>
        </w:tc>
        <w:tc>
          <w:tcPr>
            <w:tcW w:w="408" w:type="pct"/>
            <w:noWrap/>
            <w:vAlign w:val="center"/>
          </w:tcPr>
          <w:p w14:paraId="57BA2AC7">
            <w:pPr>
              <w:pStyle w:val="445"/>
              <w:rPr>
                <w:rFonts w:cs="Times New Roman"/>
                <w:kern w:val="0"/>
                <w:szCs w:val="20"/>
              </w:rPr>
            </w:pPr>
            <w:r>
              <w:rPr>
                <w:rFonts w:hint="eastAsia" w:cs="Times New Roman"/>
                <w:kern w:val="0"/>
                <w:szCs w:val="20"/>
              </w:rPr>
              <w:t xml:space="preserve">0.00 </w:t>
            </w:r>
          </w:p>
        </w:tc>
        <w:tc>
          <w:tcPr>
            <w:tcW w:w="408" w:type="pct"/>
            <w:noWrap/>
            <w:vAlign w:val="center"/>
          </w:tcPr>
          <w:p w14:paraId="1C07EFC8">
            <w:pPr>
              <w:pStyle w:val="445"/>
              <w:rPr>
                <w:rFonts w:cs="Times New Roman"/>
                <w:kern w:val="0"/>
                <w:szCs w:val="20"/>
              </w:rPr>
            </w:pPr>
            <w:r>
              <w:rPr>
                <w:rFonts w:hint="eastAsia" w:cs="Times New Roman"/>
                <w:kern w:val="0"/>
                <w:szCs w:val="20"/>
              </w:rPr>
              <w:t xml:space="preserve">31.40 </w:t>
            </w:r>
          </w:p>
        </w:tc>
        <w:tc>
          <w:tcPr>
            <w:tcW w:w="460" w:type="pct"/>
            <w:noWrap/>
            <w:vAlign w:val="center"/>
          </w:tcPr>
          <w:p w14:paraId="77869D2D">
            <w:pPr>
              <w:pStyle w:val="445"/>
              <w:rPr>
                <w:rFonts w:cs="Times New Roman"/>
                <w:kern w:val="0"/>
                <w:szCs w:val="20"/>
              </w:rPr>
            </w:pPr>
            <w:r>
              <w:rPr>
                <w:rFonts w:hint="eastAsia" w:cs="Times New Roman"/>
                <w:kern w:val="0"/>
                <w:szCs w:val="20"/>
              </w:rPr>
              <w:t xml:space="preserve">1156.89 </w:t>
            </w:r>
          </w:p>
        </w:tc>
        <w:tc>
          <w:tcPr>
            <w:tcW w:w="460" w:type="pct"/>
            <w:noWrap/>
            <w:vAlign w:val="center"/>
          </w:tcPr>
          <w:p w14:paraId="0248B92B">
            <w:pPr>
              <w:pStyle w:val="445"/>
              <w:rPr>
                <w:rFonts w:cs="Times New Roman"/>
                <w:kern w:val="0"/>
                <w:szCs w:val="20"/>
              </w:rPr>
            </w:pPr>
            <w:r>
              <w:rPr>
                <w:rFonts w:hint="eastAsia" w:cs="Times New Roman"/>
                <w:kern w:val="0"/>
                <w:szCs w:val="20"/>
              </w:rPr>
              <w:t xml:space="preserve">1576.73 </w:t>
            </w:r>
          </w:p>
        </w:tc>
        <w:tc>
          <w:tcPr>
            <w:tcW w:w="460" w:type="pct"/>
            <w:noWrap/>
            <w:vAlign w:val="center"/>
          </w:tcPr>
          <w:p w14:paraId="3AF456CD">
            <w:pPr>
              <w:pStyle w:val="445"/>
              <w:rPr>
                <w:rFonts w:cs="Times New Roman"/>
                <w:kern w:val="0"/>
                <w:szCs w:val="20"/>
              </w:rPr>
            </w:pPr>
            <w:r>
              <w:rPr>
                <w:rFonts w:hint="eastAsia" w:cs="Times New Roman"/>
                <w:kern w:val="0"/>
                <w:szCs w:val="20"/>
              </w:rPr>
              <w:t xml:space="preserve">1798.19 </w:t>
            </w:r>
          </w:p>
        </w:tc>
        <w:tc>
          <w:tcPr>
            <w:tcW w:w="460" w:type="pct"/>
            <w:noWrap/>
            <w:vAlign w:val="center"/>
          </w:tcPr>
          <w:p w14:paraId="4AB2C872">
            <w:pPr>
              <w:pStyle w:val="445"/>
              <w:rPr>
                <w:rFonts w:cs="Times New Roman"/>
                <w:kern w:val="0"/>
                <w:szCs w:val="20"/>
              </w:rPr>
            </w:pPr>
            <w:r>
              <w:rPr>
                <w:rFonts w:hint="eastAsia" w:cs="Times New Roman"/>
                <w:kern w:val="0"/>
                <w:szCs w:val="20"/>
              </w:rPr>
              <w:t xml:space="preserve">1964.79 </w:t>
            </w:r>
          </w:p>
        </w:tc>
        <w:tc>
          <w:tcPr>
            <w:tcW w:w="460" w:type="pct"/>
            <w:noWrap/>
            <w:vAlign w:val="center"/>
          </w:tcPr>
          <w:p w14:paraId="47C0A351">
            <w:pPr>
              <w:pStyle w:val="445"/>
              <w:rPr>
                <w:rFonts w:cs="Times New Roman"/>
                <w:kern w:val="0"/>
                <w:szCs w:val="20"/>
              </w:rPr>
            </w:pPr>
            <w:r>
              <w:rPr>
                <w:rFonts w:hint="eastAsia" w:cs="Times New Roman"/>
                <w:kern w:val="0"/>
                <w:szCs w:val="20"/>
              </w:rPr>
              <w:t xml:space="preserve">2000.14 </w:t>
            </w:r>
          </w:p>
        </w:tc>
        <w:tc>
          <w:tcPr>
            <w:tcW w:w="460" w:type="pct"/>
            <w:noWrap/>
            <w:vAlign w:val="center"/>
          </w:tcPr>
          <w:p w14:paraId="44463577">
            <w:pPr>
              <w:pStyle w:val="445"/>
              <w:rPr>
                <w:rFonts w:cs="Times New Roman"/>
                <w:kern w:val="0"/>
                <w:szCs w:val="20"/>
              </w:rPr>
            </w:pPr>
            <w:r>
              <w:rPr>
                <w:rFonts w:hint="eastAsia" w:cs="Times New Roman"/>
                <w:kern w:val="0"/>
                <w:szCs w:val="20"/>
              </w:rPr>
              <w:t xml:space="preserve">2031.90 </w:t>
            </w:r>
          </w:p>
        </w:tc>
        <w:tc>
          <w:tcPr>
            <w:tcW w:w="458" w:type="pct"/>
            <w:noWrap/>
            <w:vAlign w:val="center"/>
          </w:tcPr>
          <w:p w14:paraId="547DE44E">
            <w:pPr>
              <w:pStyle w:val="445"/>
              <w:rPr>
                <w:rFonts w:cs="Times New Roman"/>
                <w:kern w:val="0"/>
                <w:szCs w:val="20"/>
              </w:rPr>
            </w:pPr>
            <w:r>
              <w:rPr>
                <w:rFonts w:hint="eastAsia" w:cs="Times New Roman"/>
                <w:kern w:val="0"/>
                <w:szCs w:val="20"/>
              </w:rPr>
              <w:t xml:space="preserve">2031.95 </w:t>
            </w:r>
          </w:p>
        </w:tc>
      </w:tr>
      <w:tr w14:paraId="10BFB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7D32642B">
            <w:pPr>
              <w:pStyle w:val="445"/>
              <w:rPr>
                <w:rFonts w:cs="Times New Roman"/>
                <w:kern w:val="0"/>
                <w:szCs w:val="20"/>
              </w:rPr>
            </w:pPr>
            <w:r>
              <w:rPr>
                <w:rFonts w:hint="eastAsia" w:cs="Times New Roman"/>
                <w:kern w:val="0"/>
                <w:szCs w:val="20"/>
              </w:rPr>
              <w:t>7</w:t>
            </w:r>
          </w:p>
        </w:tc>
        <w:tc>
          <w:tcPr>
            <w:tcW w:w="408" w:type="pct"/>
            <w:noWrap/>
            <w:vAlign w:val="center"/>
          </w:tcPr>
          <w:p w14:paraId="1139CC1F">
            <w:pPr>
              <w:pStyle w:val="445"/>
              <w:rPr>
                <w:rFonts w:cs="Times New Roman"/>
                <w:kern w:val="0"/>
                <w:szCs w:val="20"/>
              </w:rPr>
            </w:pPr>
            <w:r>
              <w:rPr>
                <w:rFonts w:hint="eastAsia" w:cs="Times New Roman"/>
                <w:kern w:val="0"/>
                <w:szCs w:val="20"/>
              </w:rPr>
              <w:t xml:space="preserve">0.00 </w:t>
            </w:r>
          </w:p>
        </w:tc>
        <w:tc>
          <w:tcPr>
            <w:tcW w:w="408" w:type="pct"/>
            <w:noWrap/>
            <w:vAlign w:val="center"/>
          </w:tcPr>
          <w:p w14:paraId="71587688">
            <w:pPr>
              <w:pStyle w:val="445"/>
              <w:rPr>
                <w:rFonts w:cs="Times New Roman"/>
                <w:kern w:val="0"/>
                <w:szCs w:val="20"/>
              </w:rPr>
            </w:pPr>
            <w:r>
              <w:rPr>
                <w:rFonts w:hint="eastAsia" w:cs="Times New Roman"/>
                <w:kern w:val="0"/>
                <w:szCs w:val="20"/>
              </w:rPr>
              <w:t xml:space="preserve">19.56 </w:t>
            </w:r>
          </w:p>
        </w:tc>
        <w:tc>
          <w:tcPr>
            <w:tcW w:w="460" w:type="pct"/>
            <w:noWrap/>
            <w:vAlign w:val="center"/>
          </w:tcPr>
          <w:p w14:paraId="69C8453A">
            <w:pPr>
              <w:pStyle w:val="445"/>
              <w:rPr>
                <w:rFonts w:cs="Times New Roman"/>
                <w:kern w:val="0"/>
                <w:szCs w:val="20"/>
              </w:rPr>
            </w:pPr>
            <w:r>
              <w:rPr>
                <w:rFonts w:hint="eastAsia" w:cs="Times New Roman"/>
                <w:kern w:val="0"/>
                <w:szCs w:val="20"/>
              </w:rPr>
              <w:t xml:space="preserve">1103.70 </w:t>
            </w:r>
          </w:p>
        </w:tc>
        <w:tc>
          <w:tcPr>
            <w:tcW w:w="460" w:type="pct"/>
            <w:noWrap/>
            <w:vAlign w:val="center"/>
          </w:tcPr>
          <w:p w14:paraId="4314ABCB">
            <w:pPr>
              <w:pStyle w:val="445"/>
              <w:rPr>
                <w:rFonts w:cs="Times New Roman"/>
                <w:kern w:val="0"/>
                <w:szCs w:val="20"/>
              </w:rPr>
            </w:pPr>
            <w:r>
              <w:rPr>
                <w:rFonts w:hint="eastAsia" w:cs="Times New Roman"/>
                <w:kern w:val="0"/>
                <w:szCs w:val="20"/>
              </w:rPr>
              <w:t xml:space="preserve">1539.94 </w:t>
            </w:r>
          </w:p>
        </w:tc>
        <w:tc>
          <w:tcPr>
            <w:tcW w:w="460" w:type="pct"/>
            <w:noWrap/>
            <w:vAlign w:val="center"/>
          </w:tcPr>
          <w:p w14:paraId="0B0F6FE7">
            <w:pPr>
              <w:pStyle w:val="445"/>
              <w:rPr>
                <w:rFonts w:cs="Times New Roman"/>
                <w:kern w:val="0"/>
                <w:szCs w:val="20"/>
              </w:rPr>
            </w:pPr>
            <w:r>
              <w:rPr>
                <w:rFonts w:hint="eastAsia" w:cs="Times New Roman"/>
                <w:kern w:val="0"/>
                <w:szCs w:val="20"/>
              </w:rPr>
              <w:t xml:space="preserve">1777.38 </w:t>
            </w:r>
          </w:p>
        </w:tc>
        <w:tc>
          <w:tcPr>
            <w:tcW w:w="460" w:type="pct"/>
            <w:noWrap/>
            <w:vAlign w:val="center"/>
          </w:tcPr>
          <w:p w14:paraId="6A44ACA2">
            <w:pPr>
              <w:pStyle w:val="445"/>
              <w:rPr>
                <w:rFonts w:cs="Times New Roman"/>
                <w:kern w:val="0"/>
                <w:szCs w:val="20"/>
              </w:rPr>
            </w:pPr>
            <w:r>
              <w:rPr>
                <w:rFonts w:hint="eastAsia" w:cs="Times New Roman"/>
                <w:kern w:val="0"/>
                <w:szCs w:val="20"/>
              </w:rPr>
              <w:t xml:space="preserve">1958.67 </w:t>
            </w:r>
          </w:p>
        </w:tc>
        <w:tc>
          <w:tcPr>
            <w:tcW w:w="460" w:type="pct"/>
            <w:noWrap/>
            <w:vAlign w:val="center"/>
          </w:tcPr>
          <w:p w14:paraId="679FBA23">
            <w:pPr>
              <w:pStyle w:val="445"/>
              <w:rPr>
                <w:rFonts w:cs="Times New Roman"/>
                <w:kern w:val="0"/>
                <w:szCs w:val="20"/>
              </w:rPr>
            </w:pPr>
            <w:r>
              <w:rPr>
                <w:rFonts w:hint="eastAsia" w:cs="Times New Roman"/>
                <w:kern w:val="0"/>
                <w:szCs w:val="20"/>
              </w:rPr>
              <w:t xml:space="preserve">1997.28 </w:t>
            </w:r>
          </w:p>
        </w:tc>
        <w:tc>
          <w:tcPr>
            <w:tcW w:w="460" w:type="pct"/>
            <w:noWrap/>
            <w:vAlign w:val="center"/>
          </w:tcPr>
          <w:p w14:paraId="75B4B125">
            <w:pPr>
              <w:pStyle w:val="445"/>
              <w:rPr>
                <w:rFonts w:cs="Times New Roman"/>
                <w:kern w:val="0"/>
                <w:szCs w:val="20"/>
              </w:rPr>
            </w:pPr>
            <w:r>
              <w:rPr>
                <w:rFonts w:hint="eastAsia" w:cs="Times New Roman"/>
                <w:kern w:val="0"/>
                <w:szCs w:val="20"/>
              </w:rPr>
              <w:t xml:space="preserve">2031.90 </w:t>
            </w:r>
          </w:p>
        </w:tc>
        <w:tc>
          <w:tcPr>
            <w:tcW w:w="458" w:type="pct"/>
            <w:noWrap/>
            <w:vAlign w:val="center"/>
          </w:tcPr>
          <w:p w14:paraId="2FFCCFE1">
            <w:pPr>
              <w:pStyle w:val="445"/>
              <w:rPr>
                <w:rFonts w:cs="Times New Roman"/>
                <w:kern w:val="0"/>
                <w:szCs w:val="20"/>
              </w:rPr>
            </w:pPr>
            <w:r>
              <w:rPr>
                <w:rFonts w:hint="eastAsia" w:cs="Times New Roman"/>
                <w:kern w:val="0"/>
                <w:szCs w:val="20"/>
              </w:rPr>
              <w:t xml:space="preserve">2031.95 </w:t>
            </w:r>
          </w:p>
        </w:tc>
      </w:tr>
      <w:tr w14:paraId="352601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53ED1F6">
            <w:pPr>
              <w:pStyle w:val="445"/>
              <w:rPr>
                <w:rFonts w:cs="Times New Roman"/>
                <w:kern w:val="0"/>
                <w:szCs w:val="20"/>
              </w:rPr>
            </w:pPr>
            <w:r>
              <w:rPr>
                <w:rFonts w:hint="eastAsia" w:cs="Times New Roman"/>
                <w:kern w:val="0"/>
                <w:szCs w:val="20"/>
              </w:rPr>
              <w:t>7.5</w:t>
            </w:r>
          </w:p>
        </w:tc>
        <w:tc>
          <w:tcPr>
            <w:tcW w:w="408" w:type="pct"/>
            <w:noWrap/>
            <w:vAlign w:val="center"/>
          </w:tcPr>
          <w:p w14:paraId="76098AE1">
            <w:pPr>
              <w:pStyle w:val="445"/>
              <w:rPr>
                <w:rFonts w:cs="Times New Roman"/>
                <w:kern w:val="0"/>
                <w:szCs w:val="20"/>
              </w:rPr>
            </w:pPr>
            <w:r>
              <w:rPr>
                <w:rFonts w:hint="eastAsia" w:cs="Times New Roman"/>
                <w:kern w:val="0"/>
                <w:szCs w:val="20"/>
              </w:rPr>
              <w:t xml:space="preserve">0.00 </w:t>
            </w:r>
          </w:p>
        </w:tc>
        <w:tc>
          <w:tcPr>
            <w:tcW w:w="408" w:type="pct"/>
            <w:noWrap/>
            <w:vAlign w:val="center"/>
          </w:tcPr>
          <w:p w14:paraId="6721C2A3">
            <w:pPr>
              <w:pStyle w:val="445"/>
              <w:rPr>
                <w:rFonts w:cs="Times New Roman"/>
                <w:kern w:val="0"/>
                <w:szCs w:val="20"/>
              </w:rPr>
            </w:pPr>
            <w:r>
              <w:rPr>
                <w:rFonts w:hint="eastAsia" w:cs="Times New Roman"/>
                <w:kern w:val="0"/>
                <w:szCs w:val="20"/>
              </w:rPr>
              <w:t xml:space="preserve">11.66 </w:t>
            </w:r>
          </w:p>
        </w:tc>
        <w:tc>
          <w:tcPr>
            <w:tcW w:w="460" w:type="pct"/>
            <w:noWrap/>
            <w:vAlign w:val="center"/>
          </w:tcPr>
          <w:p w14:paraId="1534CC72">
            <w:pPr>
              <w:pStyle w:val="445"/>
              <w:rPr>
                <w:rFonts w:cs="Times New Roman"/>
                <w:kern w:val="0"/>
                <w:szCs w:val="20"/>
              </w:rPr>
            </w:pPr>
            <w:r>
              <w:rPr>
                <w:rFonts w:hint="eastAsia" w:cs="Times New Roman"/>
                <w:kern w:val="0"/>
                <w:szCs w:val="20"/>
              </w:rPr>
              <w:t xml:space="preserve">1051.18 </w:t>
            </w:r>
          </w:p>
        </w:tc>
        <w:tc>
          <w:tcPr>
            <w:tcW w:w="460" w:type="pct"/>
            <w:noWrap/>
            <w:vAlign w:val="center"/>
          </w:tcPr>
          <w:p w14:paraId="2593F41A">
            <w:pPr>
              <w:pStyle w:val="445"/>
              <w:rPr>
                <w:rFonts w:cs="Times New Roman"/>
                <w:kern w:val="0"/>
                <w:szCs w:val="20"/>
              </w:rPr>
            </w:pPr>
            <w:r>
              <w:rPr>
                <w:rFonts w:hint="eastAsia" w:cs="Times New Roman"/>
                <w:kern w:val="0"/>
                <w:szCs w:val="20"/>
              </w:rPr>
              <w:t xml:space="preserve">1501.81 </w:t>
            </w:r>
          </w:p>
        </w:tc>
        <w:tc>
          <w:tcPr>
            <w:tcW w:w="460" w:type="pct"/>
            <w:noWrap/>
            <w:vAlign w:val="center"/>
          </w:tcPr>
          <w:p w14:paraId="3808563F">
            <w:pPr>
              <w:pStyle w:val="445"/>
              <w:rPr>
                <w:rFonts w:cs="Times New Roman"/>
                <w:kern w:val="0"/>
                <w:szCs w:val="20"/>
              </w:rPr>
            </w:pPr>
            <w:r>
              <w:rPr>
                <w:rFonts w:hint="eastAsia" w:cs="Times New Roman"/>
                <w:kern w:val="0"/>
                <w:szCs w:val="20"/>
              </w:rPr>
              <w:t xml:space="preserve">1755.30 </w:t>
            </w:r>
          </w:p>
        </w:tc>
        <w:tc>
          <w:tcPr>
            <w:tcW w:w="460" w:type="pct"/>
            <w:noWrap/>
            <w:vAlign w:val="center"/>
          </w:tcPr>
          <w:p w14:paraId="32E18FB2">
            <w:pPr>
              <w:pStyle w:val="445"/>
              <w:rPr>
                <w:rFonts w:cs="Times New Roman"/>
                <w:kern w:val="0"/>
                <w:szCs w:val="20"/>
              </w:rPr>
            </w:pPr>
            <w:r>
              <w:rPr>
                <w:rFonts w:hint="eastAsia" w:cs="Times New Roman"/>
                <w:kern w:val="0"/>
                <w:szCs w:val="20"/>
              </w:rPr>
              <w:t xml:space="preserve">1952.09 </w:t>
            </w:r>
          </w:p>
        </w:tc>
        <w:tc>
          <w:tcPr>
            <w:tcW w:w="460" w:type="pct"/>
            <w:noWrap/>
            <w:vAlign w:val="center"/>
          </w:tcPr>
          <w:p w14:paraId="12526D38">
            <w:pPr>
              <w:pStyle w:val="445"/>
              <w:rPr>
                <w:rFonts w:cs="Times New Roman"/>
                <w:kern w:val="0"/>
                <w:szCs w:val="20"/>
              </w:rPr>
            </w:pPr>
            <w:r>
              <w:rPr>
                <w:rFonts w:hint="eastAsia" w:cs="Times New Roman"/>
                <w:kern w:val="0"/>
                <w:szCs w:val="20"/>
              </w:rPr>
              <w:t xml:space="preserve">1994.19 </w:t>
            </w:r>
          </w:p>
        </w:tc>
        <w:tc>
          <w:tcPr>
            <w:tcW w:w="460" w:type="pct"/>
            <w:noWrap/>
            <w:vAlign w:val="center"/>
          </w:tcPr>
          <w:p w14:paraId="7F34B0BE">
            <w:pPr>
              <w:pStyle w:val="445"/>
              <w:rPr>
                <w:rFonts w:cs="Times New Roman"/>
                <w:kern w:val="0"/>
                <w:szCs w:val="20"/>
              </w:rPr>
            </w:pPr>
            <w:r>
              <w:rPr>
                <w:rFonts w:hint="eastAsia" w:cs="Times New Roman"/>
                <w:kern w:val="0"/>
                <w:szCs w:val="20"/>
              </w:rPr>
              <w:t xml:space="preserve">2031.89 </w:t>
            </w:r>
          </w:p>
        </w:tc>
        <w:tc>
          <w:tcPr>
            <w:tcW w:w="458" w:type="pct"/>
            <w:noWrap/>
            <w:vAlign w:val="center"/>
          </w:tcPr>
          <w:p w14:paraId="236D5A18">
            <w:pPr>
              <w:pStyle w:val="445"/>
              <w:rPr>
                <w:rFonts w:cs="Times New Roman"/>
                <w:kern w:val="0"/>
                <w:szCs w:val="20"/>
              </w:rPr>
            </w:pPr>
            <w:r>
              <w:rPr>
                <w:rFonts w:hint="eastAsia" w:cs="Times New Roman"/>
                <w:kern w:val="0"/>
                <w:szCs w:val="20"/>
              </w:rPr>
              <w:t xml:space="preserve">2031.95 </w:t>
            </w:r>
          </w:p>
        </w:tc>
      </w:tr>
      <w:tr w14:paraId="6DFD8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0E254F5F">
            <w:pPr>
              <w:pStyle w:val="445"/>
              <w:rPr>
                <w:rFonts w:cs="Times New Roman"/>
                <w:kern w:val="0"/>
                <w:szCs w:val="20"/>
              </w:rPr>
            </w:pPr>
            <w:r>
              <w:rPr>
                <w:rFonts w:hint="eastAsia" w:cs="Times New Roman"/>
                <w:kern w:val="0"/>
                <w:szCs w:val="20"/>
              </w:rPr>
              <w:t>8</w:t>
            </w:r>
          </w:p>
        </w:tc>
        <w:tc>
          <w:tcPr>
            <w:tcW w:w="408" w:type="pct"/>
            <w:noWrap/>
            <w:vAlign w:val="center"/>
          </w:tcPr>
          <w:p w14:paraId="4862BAAA">
            <w:pPr>
              <w:pStyle w:val="445"/>
              <w:rPr>
                <w:rFonts w:cs="Times New Roman"/>
                <w:kern w:val="0"/>
                <w:szCs w:val="20"/>
              </w:rPr>
            </w:pPr>
            <w:r>
              <w:rPr>
                <w:rFonts w:hint="eastAsia" w:cs="Times New Roman"/>
                <w:kern w:val="0"/>
                <w:szCs w:val="20"/>
              </w:rPr>
              <w:t xml:space="preserve">0.00 </w:t>
            </w:r>
          </w:p>
        </w:tc>
        <w:tc>
          <w:tcPr>
            <w:tcW w:w="408" w:type="pct"/>
            <w:noWrap/>
            <w:vAlign w:val="center"/>
          </w:tcPr>
          <w:p w14:paraId="0E9FECB8">
            <w:pPr>
              <w:pStyle w:val="445"/>
              <w:rPr>
                <w:rFonts w:cs="Times New Roman"/>
                <w:kern w:val="0"/>
                <w:szCs w:val="20"/>
              </w:rPr>
            </w:pPr>
            <w:r>
              <w:rPr>
                <w:rFonts w:hint="eastAsia" w:cs="Times New Roman"/>
                <w:kern w:val="0"/>
                <w:szCs w:val="20"/>
              </w:rPr>
              <w:t xml:space="preserve">6.66 </w:t>
            </w:r>
          </w:p>
        </w:tc>
        <w:tc>
          <w:tcPr>
            <w:tcW w:w="460" w:type="pct"/>
            <w:noWrap/>
            <w:vAlign w:val="center"/>
          </w:tcPr>
          <w:p w14:paraId="284903F8">
            <w:pPr>
              <w:pStyle w:val="445"/>
              <w:rPr>
                <w:rFonts w:cs="Times New Roman"/>
                <w:kern w:val="0"/>
                <w:szCs w:val="20"/>
              </w:rPr>
            </w:pPr>
            <w:r>
              <w:rPr>
                <w:rFonts w:hint="eastAsia" w:cs="Times New Roman"/>
                <w:kern w:val="0"/>
                <w:szCs w:val="20"/>
              </w:rPr>
              <w:t xml:space="preserve">999.60 </w:t>
            </w:r>
          </w:p>
        </w:tc>
        <w:tc>
          <w:tcPr>
            <w:tcW w:w="460" w:type="pct"/>
            <w:noWrap/>
            <w:vAlign w:val="center"/>
          </w:tcPr>
          <w:p w14:paraId="142A129E">
            <w:pPr>
              <w:pStyle w:val="445"/>
              <w:rPr>
                <w:rFonts w:cs="Times New Roman"/>
                <w:kern w:val="0"/>
                <w:szCs w:val="20"/>
              </w:rPr>
            </w:pPr>
            <w:r>
              <w:rPr>
                <w:rFonts w:hint="eastAsia" w:cs="Times New Roman"/>
                <w:kern w:val="0"/>
                <w:szCs w:val="20"/>
              </w:rPr>
              <w:t xml:space="preserve">1462.49 </w:t>
            </w:r>
          </w:p>
        </w:tc>
        <w:tc>
          <w:tcPr>
            <w:tcW w:w="460" w:type="pct"/>
            <w:noWrap/>
            <w:vAlign w:val="center"/>
          </w:tcPr>
          <w:p w14:paraId="2D1902DA">
            <w:pPr>
              <w:pStyle w:val="445"/>
              <w:rPr>
                <w:rFonts w:cs="Times New Roman"/>
                <w:kern w:val="0"/>
                <w:szCs w:val="20"/>
              </w:rPr>
            </w:pPr>
            <w:r>
              <w:rPr>
                <w:rFonts w:hint="eastAsia" w:cs="Times New Roman"/>
                <w:kern w:val="0"/>
                <w:szCs w:val="20"/>
              </w:rPr>
              <w:t xml:space="preserve">1731.94 </w:t>
            </w:r>
          </w:p>
        </w:tc>
        <w:tc>
          <w:tcPr>
            <w:tcW w:w="460" w:type="pct"/>
            <w:noWrap/>
            <w:vAlign w:val="center"/>
          </w:tcPr>
          <w:p w14:paraId="338F3BAA">
            <w:pPr>
              <w:pStyle w:val="445"/>
              <w:rPr>
                <w:rFonts w:cs="Times New Roman"/>
                <w:kern w:val="0"/>
                <w:szCs w:val="20"/>
              </w:rPr>
            </w:pPr>
            <w:r>
              <w:rPr>
                <w:rFonts w:hint="eastAsia" w:cs="Times New Roman"/>
                <w:kern w:val="0"/>
                <w:szCs w:val="20"/>
              </w:rPr>
              <w:t xml:space="preserve">1945.02 </w:t>
            </w:r>
          </w:p>
        </w:tc>
        <w:tc>
          <w:tcPr>
            <w:tcW w:w="460" w:type="pct"/>
            <w:noWrap/>
            <w:vAlign w:val="center"/>
          </w:tcPr>
          <w:p w14:paraId="18F0B3C4">
            <w:pPr>
              <w:pStyle w:val="445"/>
              <w:rPr>
                <w:rFonts w:cs="Times New Roman"/>
                <w:kern w:val="0"/>
                <w:szCs w:val="20"/>
              </w:rPr>
            </w:pPr>
            <w:r>
              <w:rPr>
                <w:rFonts w:hint="eastAsia" w:cs="Times New Roman"/>
                <w:kern w:val="0"/>
                <w:szCs w:val="20"/>
              </w:rPr>
              <w:t xml:space="preserve">1990.87 </w:t>
            </w:r>
          </w:p>
        </w:tc>
        <w:tc>
          <w:tcPr>
            <w:tcW w:w="460" w:type="pct"/>
            <w:noWrap/>
            <w:vAlign w:val="center"/>
          </w:tcPr>
          <w:p w14:paraId="652D12DC">
            <w:pPr>
              <w:pStyle w:val="445"/>
              <w:rPr>
                <w:rFonts w:cs="Times New Roman"/>
                <w:bCs/>
                <w:kern w:val="0"/>
                <w:szCs w:val="20"/>
              </w:rPr>
            </w:pPr>
            <w:r>
              <w:rPr>
                <w:rFonts w:hint="eastAsia" w:cs="Times New Roman"/>
                <w:b/>
                <w:bCs/>
                <w:kern w:val="0"/>
                <w:szCs w:val="20"/>
              </w:rPr>
              <w:t xml:space="preserve">2031.89 </w:t>
            </w:r>
          </w:p>
        </w:tc>
        <w:tc>
          <w:tcPr>
            <w:tcW w:w="458" w:type="pct"/>
            <w:noWrap/>
            <w:vAlign w:val="center"/>
          </w:tcPr>
          <w:p w14:paraId="0D3965A8">
            <w:pPr>
              <w:pStyle w:val="445"/>
              <w:rPr>
                <w:rFonts w:cs="Times New Roman"/>
                <w:kern w:val="0"/>
                <w:szCs w:val="20"/>
              </w:rPr>
            </w:pPr>
            <w:r>
              <w:rPr>
                <w:rFonts w:hint="eastAsia" w:cs="Times New Roman"/>
                <w:kern w:val="0"/>
                <w:szCs w:val="20"/>
              </w:rPr>
              <w:t xml:space="preserve">2031.95 </w:t>
            </w:r>
          </w:p>
        </w:tc>
      </w:tr>
      <w:tr w14:paraId="17134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3268298C">
            <w:pPr>
              <w:pStyle w:val="445"/>
              <w:rPr>
                <w:rFonts w:cs="Times New Roman"/>
                <w:kern w:val="0"/>
                <w:szCs w:val="20"/>
              </w:rPr>
            </w:pPr>
            <w:r>
              <w:rPr>
                <w:rFonts w:hint="eastAsia" w:cs="Times New Roman"/>
                <w:kern w:val="0"/>
                <w:szCs w:val="20"/>
              </w:rPr>
              <w:t>8.5</w:t>
            </w:r>
          </w:p>
        </w:tc>
        <w:tc>
          <w:tcPr>
            <w:tcW w:w="408" w:type="pct"/>
            <w:noWrap/>
            <w:vAlign w:val="center"/>
          </w:tcPr>
          <w:p w14:paraId="610EB93F">
            <w:pPr>
              <w:pStyle w:val="445"/>
              <w:rPr>
                <w:rFonts w:cs="Times New Roman"/>
                <w:kern w:val="0"/>
                <w:szCs w:val="20"/>
              </w:rPr>
            </w:pPr>
            <w:r>
              <w:rPr>
                <w:rFonts w:hint="eastAsia" w:cs="Times New Roman"/>
                <w:kern w:val="0"/>
                <w:szCs w:val="20"/>
              </w:rPr>
              <w:t xml:space="preserve">0.00 </w:t>
            </w:r>
          </w:p>
        </w:tc>
        <w:tc>
          <w:tcPr>
            <w:tcW w:w="408" w:type="pct"/>
            <w:noWrap/>
            <w:vAlign w:val="center"/>
          </w:tcPr>
          <w:p w14:paraId="0CE59A7B">
            <w:pPr>
              <w:pStyle w:val="445"/>
              <w:rPr>
                <w:rFonts w:cs="Times New Roman"/>
                <w:kern w:val="0"/>
                <w:szCs w:val="20"/>
              </w:rPr>
            </w:pPr>
            <w:r>
              <w:rPr>
                <w:rFonts w:hint="eastAsia" w:cs="Times New Roman"/>
                <w:kern w:val="0"/>
                <w:szCs w:val="20"/>
              </w:rPr>
              <w:t xml:space="preserve">3.65 </w:t>
            </w:r>
          </w:p>
        </w:tc>
        <w:tc>
          <w:tcPr>
            <w:tcW w:w="460" w:type="pct"/>
            <w:noWrap/>
            <w:vAlign w:val="center"/>
          </w:tcPr>
          <w:p w14:paraId="5F640612">
            <w:pPr>
              <w:pStyle w:val="445"/>
              <w:rPr>
                <w:rFonts w:cs="Times New Roman"/>
                <w:kern w:val="0"/>
                <w:szCs w:val="20"/>
              </w:rPr>
            </w:pPr>
            <w:r>
              <w:rPr>
                <w:rFonts w:hint="eastAsia" w:cs="Times New Roman"/>
                <w:kern w:val="0"/>
                <w:szCs w:val="20"/>
              </w:rPr>
              <w:t xml:space="preserve">949.19 </w:t>
            </w:r>
          </w:p>
        </w:tc>
        <w:tc>
          <w:tcPr>
            <w:tcW w:w="460" w:type="pct"/>
            <w:noWrap/>
            <w:vAlign w:val="center"/>
          </w:tcPr>
          <w:p w14:paraId="1B49D2E2">
            <w:pPr>
              <w:pStyle w:val="445"/>
              <w:rPr>
                <w:rFonts w:cs="Times New Roman"/>
                <w:kern w:val="0"/>
                <w:szCs w:val="20"/>
              </w:rPr>
            </w:pPr>
            <w:r>
              <w:rPr>
                <w:rFonts w:hint="eastAsia" w:cs="Times New Roman"/>
                <w:kern w:val="0"/>
                <w:szCs w:val="20"/>
              </w:rPr>
              <w:t xml:space="preserve">1422.13 </w:t>
            </w:r>
          </w:p>
        </w:tc>
        <w:tc>
          <w:tcPr>
            <w:tcW w:w="460" w:type="pct"/>
            <w:noWrap/>
            <w:vAlign w:val="center"/>
          </w:tcPr>
          <w:p w14:paraId="7A2BE29E">
            <w:pPr>
              <w:pStyle w:val="445"/>
              <w:rPr>
                <w:rFonts w:cs="Times New Roman"/>
                <w:kern w:val="0"/>
                <w:szCs w:val="20"/>
              </w:rPr>
            </w:pPr>
            <w:r>
              <w:rPr>
                <w:rFonts w:hint="eastAsia" w:cs="Times New Roman"/>
                <w:kern w:val="0"/>
                <w:szCs w:val="20"/>
              </w:rPr>
              <w:t xml:space="preserve">1707.31 </w:t>
            </w:r>
          </w:p>
        </w:tc>
        <w:tc>
          <w:tcPr>
            <w:tcW w:w="460" w:type="pct"/>
            <w:noWrap/>
            <w:vAlign w:val="center"/>
          </w:tcPr>
          <w:p w14:paraId="00A1C249">
            <w:pPr>
              <w:pStyle w:val="445"/>
              <w:rPr>
                <w:rFonts w:cs="Times New Roman"/>
                <w:kern w:val="0"/>
                <w:szCs w:val="20"/>
              </w:rPr>
            </w:pPr>
            <w:r>
              <w:rPr>
                <w:rFonts w:hint="eastAsia" w:cs="Times New Roman"/>
                <w:kern w:val="0"/>
                <w:szCs w:val="20"/>
              </w:rPr>
              <w:t xml:space="preserve">1937.42 </w:t>
            </w:r>
          </w:p>
        </w:tc>
        <w:tc>
          <w:tcPr>
            <w:tcW w:w="460" w:type="pct"/>
            <w:noWrap/>
            <w:vAlign w:val="center"/>
          </w:tcPr>
          <w:p w14:paraId="58A719CC">
            <w:pPr>
              <w:pStyle w:val="445"/>
              <w:rPr>
                <w:rFonts w:cs="Times New Roman"/>
                <w:kern w:val="0"/>
                <w:szCs w:val="20"/>
              </w:rPr>
            </w:pPr>
            <w:r>
              <w:rPr>
                <w:rFonts w:hint="eastAsia" w:cs="Times New Roman"/>
                <w:kern w:val="0"/>
                <w:szCs w:val="20"/>
              </w:rPr>
              <w:t xml:space="preserve">1987.29 </w:t>
            </w:r>
          </w:p>
        </w:tc>
        <w:tc>
          <w:tcPr>
            <w:tcW w:w="460" w:type="pct"/>
            <w:noWrap/>
            <w:vAlign w:val="center"/>
          </w:tcPr>
          <w:p w14:paraId="1D95988E">
            <w:pPr>
              <w:pStyle w:val="445"/>
              <w:rPr>
                <w:rFonts w:cs="Times New Roman"/>
                <w:kern w:val="0"/>
                <w:szCs w:val="20"/>
              </w:rPr>
            </w:pPr>
            <w:r>
              <w:rPr>
                <w:rFonts w:hint="eastAsia" w:cs="Times New Roman"/>
                <w:kern w:val="0"/>
                <w:szCs w:val="20"/>
              </w:rPr>
              <w:t xml:space="preserve">2031.88 </w:t>
            </w:r>
          </w:p>
        </w:tc>
        <w:tc>
          <w:tcPr>
            <w:tcW w:w="458" w:type="pct"/>
            <w:noWrap/>
            <w:vAlign w:val="center"/>
          </w:tcPr>
          <w:p w14:paraId="0F0A3EAE">
            <w:pPr>
              <w:pStyle w:val="445"/>
              <w:rPr>
                <w:rFonts w:cs="Times New Roman"/>
                <w:kern w:val="0"/>
                <w:szCs w:val="20"/>
              </w:rPr>
            </w:pPr>
            <w:r>
              <w:rPr>
                <w:rFonts w:hint="eastAsia" w:cs="Times New Roman"/>
                <w:kern w:val="0"/>
                <w:szCs w:val="20"/>
              </w:rPr>
              <w:t xml:space="preserve">2031.95 </w:t>
            </w:r>
          </w:p>
        </w:tc>
      </w:tr>
      <w:tr w14:paraId="30C80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5A1B917D">
            <w:pPr>
              <w:pStyle w:val="445"/>
              <w:rPr>
                <w:rFonts w:cs="Times New Roman"/>
                <w:kern w:val="0"/>
                <w:szCs w:val="20"/>
              </w:rPr>
            </w:pPr>
            <w:r>
              <w:rPr>
                <w:rFonts w:hint="eastAsia" w:cs="Times New Roman"/>
                <w:kern w:val="0"/>
                <w:szCs w:val="20"/>
              </w:rPr>
              <w:t>9</w:t>
            </w:r>
          </w:p>
        </w:tc>
        <w:tc>
          <w:tcPr>
            <w:tcW w:w="408" w:type="pct"/>
            <w:noWrap/>
            <w:vAlign w:val="center"/>
          </w:tcPr>
          <w:p w14:paraId="6EA94A57">
            <w:pPr>
              <w:pStyle w:val="445"/>
              <w:rPr>
                <w:rFonts w:cs="Times New Roman"/>
                <w:kern w:val="0"/>
                <w:szCs w:val="20"/>
              </w:rPr>
            </w:pPr>
            <w:r>
              <w:rPr>
                <w:rFonts w:hint="eastAsia" w:cs="Times New Roman"/>
                <w:kern w:val="0"/>
                <w:szCs w:val="20"/>
              </w:rPr>
              <w:t xml:space="preserve">0.00 </w:t>
            </w:r>
          </w:p>
        </w:tc>
        <w:tc>
          <w:tcPr>
            <w:tcW w:w="408" w:type="pct"/>
            <w:noWrap/>
            <w:vAlign w:val="center"/>
          </w:tcPr>
          <w:p w14:paraId="6F95D4F4">
            <w:pPr>
              <w:pStyle w:val="445"/>
              <w:rPr>
                <w:rFonts w:cs="Times New Roman"/>
                <w:kern w:val="0"/>
                <w:szCs w:val="20"/>
              </w:rPr>
            </w:pPr>
            <w:r>
              <w:rPr>
                <w:rFonts w:hint="eastAsia" w:cs="Times New Roman"/>
                <w:kern w:val="0"/>
                <w:szCs w:val="20"/>
              </w:rPr>
              <w:t xml:space="preserve">1.93 </w:t>
            </w:r>
          </w:p>
        </w:tc>
        <w:tc>
          <w:tcPr>
            <w:tcW w:w="460" w:type="pct"/>
            <w:noWrap/>
            <w:vAlign w:val="center"/>
          </w:tcPr>
          <w:p w14:paraId="62177D77">
            <w:pPr>
              <w:pStyle w:val="445"/>
              <w:rPr>
                <w:rFonts w:cs="Times New Roman"/>
                <w:kern w:val="0"/>
                <w:szCs w:val="20"/>
              </w:rPr>
            </w:pPr>
            <w:r>
              <w:rPr>
                <w:rFonts w:hint="eastAsia" w:cs="Times New Roman"/>
                <w:kern w:val="0"/>
                <w:szCs w:val="20"/>
              </w:rPr>
              <w:t xml:space="preserve">900.13 </w:t>
            </w:r>
          </w:p>
        </w:tc>
        <w:tc>
          <w:tcPr>
            <w:tcW w:w="460" w:type="pct"/>
            <w:noWrap/>
            <w:vAlign w:val="center"/>
          </w:tcPr>
          <w:p w14:paraId="3A351C91">
            <w:pPr>
              <w:pStyle w:val="445"/>
              <w:rPr>
                <w:rFonts w:cs="Times New Roman"/>
                <w:kern w:val="0"/>
                <w:szCs w:val="20"/>
              </w:rPr>
            </w:pPr>
            <w:r>
              <w:rPr>
                <w:rFonts w:hint="eastAsia" w:cs="Times New Roman"/>
                <w:kern w:val="0"/>
                <w:szCs w:val="20"/>
              </w:rPr>
              <w:t xml:space="preserve">1380.88 </w:t>
            </w:r>
          </w:p>
        </w:tc>
        <w:tc>
          <w:tcPr>
            <w:tcW w:w="460" w:type="pct"/>
            <w:noWrap/>
            <w:vAlign w:val="center"/>
          </w:tcPr>
          <w:p w14:paraId="2295B474">
            <w:pPr>
              <w:pStyle w:val="445"/>
              <w:rPr>
                <w:rFonts w:cs="Times New Roman"/>
                <w:kern w:val="0"/>
                <w:szCs w:val="20"/>
              </w:rPr>
            </w:pPr>
            <w:r>
              <w:rPr>
                <w:rFonts w:hint="eastAsia" w:cs="Times New Roman"/>
                <w:kern w:val="0"/>
                <w:szCs w:val="20"/>
              </w:rPr>
              <w:t xml:space="preserve">1681.43 </w:t>
            </w:r>
          </w:p>
        </w:tc>
        <w:tc>
          <w:tcPr>
            <w:tcW w:w="460" w:type="pct"/>
            <w:noWrap/>
            <w:vAlign w:val="center"/>
          </w:tcPr>
          <w:p w14:paraId="64388E72">
            <w:pPr>
              <w:pStyle w:val="445"/>
              <w:rPr>
                <w:rFonts w:cs="Times New Roman"/>
                <w:kern w:val="0"/>
                <w:szCs w:val="20"/>
              </w:rPr>
            </w:pPr>
            <w:r>
              <w:rPr>
                <w:rFonts w:hint="eastAsia" w:cs="Times New Roman"/>
                <w:kern w:val="0"/>
                <w:szCs w:val="20"/>
              </w:rPr>
              <w:t xml:space="preserve">1929.27 </w:t>
            </w:r>
          </w:p>
        </w:tc>
        <w:tc>
          <w:tcPr>
            <w:tcW w:w="460" w:type="pct"/>
            <w:noWrap/>
            <w:vAlign w:val="center"/>
          </w:tcPr>
          <w:p w14:paraId="68BD901E">
            <w:pPr>
              <w:pStyle w:val="445"/>
              <w:rPr>
                <w:rFonts w:cs="Times New Roman"/>
                <w:kern w:val="0"/>
                <w:szCs w:val="20"/>
              </w:rPr>
            </w:pPr>
            <w:r>
              <w:rPr>
                <w:rFonts w:hint="eastAsia" w:cs="Times New Roman"/>
                <w:kern w:val="0"/>
                <w:szCs w:val="20"/>
              </w:rPr>
              <w:t xml:space="preserve">1983.45 </w:t>
            </w:r>
          </w:p>
        </w:tc>
        <w:tc>
          <w:tcPr>
            <w:tcW w:w="460" w:type="pct"/>
            <w:noWrap/>
            <w:vAlign w:val="center"/>
          </w:tcPr>
          <w:p w14:paraId="4B4EAD88">
            <w:pPr>
              <w:pStyle w:val="445"/>
              <w:rPr>
                <w:rFonts w:cs="Times New Roman"/>
                <w:kern w:val="0"/>
                <w:szCs w:val="20"/>
              </w:rPr>
            </w:pPr>
            <w:r>
              <w:rPr>
                <w:rFonts w:hint="eastAsia" w:cs="Times New Roman"/>
                <w:kern w:val="0"/>
                <w:szCs w:val="20"/>
              </w:rPr>
              <w:t xml:space="preserve">2031.87 </w:t>
            </w:r>
          </w:p>
        </w:tc>
        <w:tc>
          <w:tcPr>
            <w:tcW w:w="458" w:type="pct"/>
            <w:noWrap/>
            <w:vAlign w:val="center"/>
          </w:tcPr>
          <w:p w14:paraId="2464240F">
            <w:pPr>
              <w:pStyle w:val="445"/>
              <w:rPr>
                <w:rFonts w:cs="Times New Roman"/>
                <w:kern w:val="0"/>
                <w:szCs w:val="20"/>
              </w:rPr>
            </w:pPr>
            <w:r>
              <w:rPr>
                <w:rFonts w:hint="eastAsia" w:cs="Times New Roman"/>
                <w:kern w:val="0"/>
                <w:szCs w:val="20"/>
              </w:rPr>
              <w:t xml:space="preserve">2031.95 </w:t>
            </w:r>
          </w:p>
        </w:tc>
      </w:tr>
      <w:tr w14:paraId="2F2EAC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05653C46">
            <w:pPr>
              <w:pStyle w:val="445"/>
              <w:rPr>
                <w:rFonts w:cs="Times New Roman"/>
                <w:kern w:val="0"/>
                <w:szCs w:val="20"/>
              </w:rPr>
            </w:pPr>
            <w:r>
              <w:rPr>
                <w:rFonts w:hint="eastAsia" w:cs="Times New Roman"/>
                <w:kern w:val="0"/>
                <w:szCs w:val="20"/>
              </w:rPr>
              <w:t>9.5</w:t>
            </w:r>
          </w:p>
        </w:tc>
        <w:tc>
          <w:tcPr>
            <w:tcW w:w="408" w:type="pct"/>
            <w:noWrap/>
            <w:vAlign w:val="center"/>
          </w:tcPr>
          <w:p w14:paraId="17C5F39E">
            <w:pPr>
              <w:pStyle w:val="445"/>
              <w:rPr>
                <w:rFonts w:cs="Times New Roman"/>
                <w:kern w:val="0"/>
                <w:szCs w:val="20"/>
              </w:rPr>
            </w:pPr>
            <w:r>
              <w:rPr>
                <w:rFonts w:hint="eastAsia" w:cs="Times New Roman"/>
                <w:kern w:val="0"/>
                <w:szCs w:val="20"/>
              </w:rPr>
              <w:t xml:space="preserve">0.00 </w:t>
            </w:r>
          </w:p>
        </w:tc>
        <w:tc>
          <w:tcPr>
            <w:tcW w:w="408" w:type="pct"/>
            <w:noWrap/>
            <w:vAlign w:val="center"/>
          </w:tcPr>
          <w:p w14:paraId="201FB1FE">
            <w:pPr>
              <w:pStyle w:val="445"/>
              <w:rPr>
                <w:rFonts w:cs="Times New Roman"/>
                <w:kern w:val="0"/>
                <w:szCs w:val="20"/>
              </w:rPr>
            </w:pPr>
            <w:r>
              <w:rPr>
                <w:rFonts w:hint="eastAsia" w:cs="Times New Roman"/>
                <w:kern w:val="0"/>
                <w:szCs w:val="20"/>
              </w:rPr>
              <w:t xml:space="preserve">0.98 </w:t>
            </w:r>
          </w:p>
        </w:tc>
        <w:tc>
          <w:tcPr>
            <w:tcW w:w="460" w:type="pct"/>
            <w:noWrap/>
            <w:vAlign w:val="center"/>
          </w:tcPr>
          <w:p w14:paraId="7AFC1C96">
            <w:pPr>
              <w:pStyle w:val="445"/>
              <w:rPr>
                <w:rFonts w:cs="Times New Roman"/>
                <w:kern w:val="0"/>
                <w:szCs w:val="20"/>
              </w:rPr>
            </w:pPr>
            <w:r>
              <w:rPr>
                <w:rFonts w:hint="eastAsia" w:cs="Times New Roman"/>
                <w:kern w:val="0"/>
                <w:szCs w:val="20"/>
              </w:rPr>
              <w:t xml:space="preserve">852.58 </w:t>
            </w:r>
          </w:p>
        </w:tc>
        <w:tc>
          <w:tcPr>
            <w:tcW w:w="460" w:type="pct"/>
            <w:noWrap/>
            <w:vAlign w:val="center"/>
          </w:tcPr>
          <w:p w14:paraId="34E192FD">
            <w:pPr>
              <w:pStyle w:val="445"/>
              <w:rPr>
                <w:rFonts w:cs="Times New Roman"/>
                <w:kern w:val="0"/>
                <w:szCs w:val="20"/>
              </w:rPr>
            </w:pPr>
            <w:r>
              <w:rPr>
                <w:rFonts w:hint="eastAsia" w:cs="Times New Roman"/>
                <w:kern w:val="0"/>
                <w:szCs w:val="20"/>
              </w:rPr>
              <w:t xml:space="preserve">1338.91 </w:t>
            </w:r>
          </w:p>
        </w:tc>
        <w:tc>
          <w:tcPr>
            <w:tcW w:w="460" w:type="pct"/>
            <w:noWrap/>
            <w:vAlign w:val="center"/>
          </w:tcPr>
          <w:p w14:paraId="4CD0CE59">
            <w:pPr>
              <w:pStyle w:val="445"/>
              <w:rPr>
                <w:rFonts w:cs="Times New Roman"/>
                <w:kern w:val="0"/>
                <w:szCs w:val="20"/>
              </w:rPr>
            </w:pPr>
            <w:r>
              <w:rPr>
                <w:rFonts w:hint="eastAsia" w:cs="Times New Roman"/>
                <w:kern w:val="0"/>
                <w:szCs w:val="20"/>
              </w:rPr>
              <w:t xml:space="preserve">1654.31 </w:t>
            </w:r>
          </w:p>
        </w:tc>
        <w:tc>
          <w:tcPr>
            <w:tcW w:w="460" w:type="pct"/>
            <w:noWrap/>
            <w:vAlign w:val="center"/>
          </w:tcPr>
          <w:p w14:paraId="01890F64">
            <w:pPr>
              <w:pStyle w:val="445"/>
              <w:rPr>
                <w:rFonts w:cs="Times New Roman"/>
                <w:kern w:val="0"/>
                <w:szCs w:val="20"/>
              </w:rPr>
            </w:pPr>
            <w:r>
              <w:rPr>
                <w:rFonts w:hint="eastAsia" w:cs="Times New Roman"/>
                <w:kern w:val="0"/>
                <w:szCs w:val="20"/>
              </w:rPr>
              <w:t xml:space="preserve">1920.55 </w:t>
            </w:r>
          </w:p>
        </w:tc>
        <w:tc>
          <w:tcPr>
            <w:tcW w:w="460" w:type="pct"/>
            <w:noWrap/>
            <w:vAlign w:val="center"/>
          </w:tcPr>
          <w:p w14:paraId="022027C1">
            <w:pPr>
              <w:pStyle w:val="445"/>
              <w:rPr>
                <w:rFonts w:cs="Times New Roman"/>
                <w:kern w:val="0"/>
                <w:szCs w:val="20"/>
              </w:rPr>
            </w:pPr>
            <w:r>
              <w:rPr>
                <w:rFonts w:hint="eastAsia" w:cs="Times New Roman"/>
                <w:kern w:val="0"/>
                <w:szCs w:val="20"/>
              </w:rPr>
              <w:t xml:space="preserve">1979.31 </w:t>
            </w:r>
          </w:p>
        </w:tc>
        <w:tc>
          <w:tcPr>
            <w:tcW w:w="460" w:type="pct"/>
            <w:noWrap/>
            <w:vAlign w:val="center"/>
          </w:tcPr>
          <w:p w14:paraId="26A1C1FA">
            <w:pPr>
              <w:pStyle w:val="445"/>
              <w:rPr>
                <w:rFonts w:cs="Times New Roman"/>
                <w:kern w:val="0"/>
                <w:szCs w:val="20"/>
              </w:rPr>
            </w:pPr>
            <w:r>
              <w:rPr>
                <w:rFonts w:hint="eastAsia" w:cs="Times New Roman"/>
                <w:kern w:val="0"/>
                <w:szCs w:val="20"/>
              </w:rPr>
              <w:t xml:space="preserve">2031.87 </w:t>
            </w:r>
          </w:p>
        </w:tc>
        <w:tc>
          <w:tcPr>
            <w:tcW w:w="458" w:type="pct"/>
            <w:noWrap/>
            <w:vAlign w:val="center"/>
          </w:tcPr>
          <w:p w14:paraId="269B4EE7">
            <w:pPr>
              <w:pStyle w:val="445"/>
              <w:rPr>
                <w:rFonts w:cs="Times New Roman"/>
                <w:kern w:val="0"/>
                <w:szCs w:val="20"/>
              </w:rPr>
            </w:pPr>
            <w:r>
              <w:rPr>
                <w:rFonts w:hint="eastAsia" w:cs="Times New Roman"/>
                <w:kern w:val="0"/>
                <w:szCs w:val="20"/>
              </w:rPr>
              <w:t xml:space="preserve">2031.95 </w:t>
            </w:r>
          </w:p>
        </w:tc>
      </w:tr>
      <w:tr w14:paraId="04705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2C8F2727">
            <w:pPr>
              <w:pStyle w:val="445"/>
              <w:rPr>
                <w:rFonts w:cs="Times New Roman"/>
                <w:kern w:val="0"/>
                <w:szCs w:val="20"/>
              </w:rPr>
            </w:pPr>
            <w:r>
              <w:rPr>
                <w:rFonts w:hint="eastAsia" w:cs="Times New Roman"/>
                <w:kern w:val="0"/>
                <w:szCs w:val="20"/>
              </w:rPr>
              <w:t>10</w:t>
            </w:r>
          </w:p>
        </w:tc>
        <w:tc>
          <w:tcPr>
            <w:tcW w:w="408" w:type="pct"/>
            <w:noWrap/>
            <w:vAlign w:val="center"/>
          </w:tcPr>
          <w:p w14:paraId="0ADDD03C">
            <w:pPr>
              <w:pStyle w:val="445"/>
              <w:rPr>
                <w:rFonts w:cs="Times New Roman"/>
                <w:kern w:val="0"/>
                <w:szCs w:val="20"/>
              </w:rPr>
            </w:pPr>
            <w:r>
              <w:rPr>
                <w:rFonts w:hint="eastAsia" w:cs="Times New Roman"/>
                <w:kern w:val="0"/>
                <w:szCs w:val="20"/>
              </w:rPr>
              <w:t xml:space="preserve">0.00 </w:t>
            </w:r>
          </w:p>
        </w:tc>
        <w:tc>
          <w:tcPr>
            <w:tcW w:w="408" w:type="pct"/>
            <w:noWrap/>
            <w:vAlign w:val="center"/>
          </w:tcPr>
          <w:p w14:paraId="7A8A4D72">
            <w:pPr>
              <w:pStyle w:val="445"/>
              <w:rPr>
                <w:rFonts w:cs="Times New Roman"/>
                <w:kern w:val="0"/>
                <w:szCs w:val="20"/>
              </w:rPr>
            </w:pPr>
            <w:r>
              <w:rPr>
                <w:rFonts w:hint="eastAsia" w:cs="Times New Roman"/>
                <w:kern w:val="0"/>
                <w:szCs w:val="20"/>
              </w:rPr>
              <w:t xml:space="preserve">0.48 </w:t>
            </w:r>
          </w:p>
        </w:tc>
        <w:tc>
          <w:tcPr>
            <w:tcW w:w="460" w:type="pct"/>
            <w:noWrap/>
            <w:vAlign w:val="center"/>
          </w:tcPr>
          <w:p w14:paraId="26CA0717">
            <w:pPr>
              <w:pStyle w:val="445"/>
              <w:rPr>
                <w:rFonts w:cs="Times New Roman"/>
                <w:kern w:val="0"/>
                <w:szCs w:val="20"/>
              </w:rPr>
            </w:pPr>
            <w:r>
              <w:rPr>
                <w:rFonts w:hint="eastAsia" w:cs="Times New Roman"/>
                <w:kern w:val="0"/>
                <w:szCs w:val="20"/>
              </w:rPr>
              <w:t xml:space="preserve">806.65 </w:t>
            </w:r>
          </w:p>
        </w:tc>
        <w:tc>
          <w:tcPr>
            <w:tcW w:w="460" w:type="pct"/>
            <w:noWrap/>
            <w:vAlign w:val="center"/>
          </w:tcPr>
          <w:p w14:paraId="2F7EB22E">
            <w:pPr>
              <w:pStyle w:val="445"/>
              <w:rPr>
                <w:rFonts w:cs="Times New Roman"/>
                <w:kern w:val="0"/>
                <w:szCs w:val="20"/>
              </w:rPr>
            </w:pPr>
            <w:r>
              <w:rPr>
                <w:rFonts w:hint="eastAsia" w:cs="Times New Roman"/>
                <w:kern w:val="0"/>
                <w:szCs w:val="20"/>
              </w:rPr>
              <w:t xml:space="preserve">1296.39 </w:t>
            </w:r>
          </w:p>
        </w:tc>
        <w:tc>
          <w:tcPr>
            <w:tcW w:w="460" w:type="pct"/>
            <w:noWrap/>
            <w:vAlign w:val="center"/>
          </w:tcPr>
          <w:p w14:paraId="2A866AB9">
            <w:pPr>
              <w:pStyle w:val="445"/>
              <w:rPr>
                <w:rFonts w:cs="Times New Roman"/>
                <w:kern w:val="0"/>
                <w:szCs w:val="20"/>
              </w:rPr>
            </w:pPr>
            <w:r>
              <w:rPr>
                <w:rFonts w:hint="eastAsia" w:cs="Times New Roman"/>
                <w:kern w:val="0"/>
                <w:szCs w:val="20"/>
              </w:rPr>
              <w:t xml:space="preserve">1625.99 </w:t>
            </w:r>
          </w:p>
        </w:tc>
        <w:tc>
          <w:tcPr>
            <w:tcW w:w="460" w:type="pct"/>
            <w:noWrap/>
            <w:vAlign w:val="center"/>
          </w:tcPr>
          <w:p w14:paraId="01B91726">
            <w:pPr>
              <w:pStyle w:val="445"/>
              <w:rPr>
                <w:rFonts w:cs="Times New Roman"/>
                <w:kern w:val="0"/>
                <w:szCs w:val="20"/>
              </w:rPr>
            </w:pPr>
            <w:r>
              <w:rPr>
                <w:rFonts w:hint="eastAsia" w:cs="Times New Roman"/>
                <w:kern w:val="0"/>
                <w:szCs w:val="20"/>
              </w:rPr>
              <w:t xml:space="preserve">1911.22 </w:t>
            </w:r>
          </w:p>
        </w:tc>
        <w:tc>
          <w:tcPr>
            <w:tcW w:w="460" w:type="pct"/>
            <w:noWrap/>
            <w:vAlign w:val="center"/>
          </w:tcPr>
          <w:p w14:paraId="34B9BB69">
            <w:pPr>
              <w:pStyle w:val="445"/>
              <w:rPr>
                <w:rFonts w:cs="Times New Roman"/>
                <w:kern w:val="0"/>
                <w:szCs w:val="20"/>
              </w:rPr>
            </w:pPr>
            <w:r>
              <w:rPr>
                <w:rFonts w:hint="eastAsia" w:cs="Times New Roman"/>
                <w:kern w:val="0"/>
                <w:szCs w:val="20"/>
              </w:rPr>
              <w:t xml:space="preserve">1974.87 </w:t>
            </w:r>
          </w:p>
        </w:tc>
        <w:tc>
          <w:tcPr>
            <w:tcW w:w="460" w:type="pct"/>
            <w:noWrap/>
            <w:vAlign w:val="center"/>
          </w:tcPr>
          <w:p w14:paraId="5457843C">
            <w:pPr>
              <w:pStyle w:val="445"/>
              <w:rPr>
                <w:rFonts w:cs="Times New Roman"/>
                <w:kern w:val="0"/>
                <w:szCs w:val="20"/>
              </w:rPr>
            </w:pPr>
            <w:r>
              <w:rPr>
                <w:rFonts w:hint="eastAsia" w:cs="Times New Roman"/>
                <w:kern w:val="0"/>
                <w:szCs w:val="20"/>
              </w:rPr>
              <w:t xml:space="preserve">2031.86 </w:t>
            </w:r>
          </w:p>
        </w:tc>
        <w:tc>
          <w:tcPr>
            <w:tcW w:w="458" w:type="pct"/>
            <w:noWrap/>
            <w:vAlign w:val="center"/>
          </w:tcPr>
          <w:p w14:paraId="3C78E184">
            <w:pPr>
              <w:pStyle w:val="445"/>
              <w:rPr>
                <w:rFonts w:cs="Times New Roman"/>
                <w:bCs/>
                <w:kern w:val="0"/>
                <w:szCs w:val="20"/>
              </w:rPr>
            </w:pPr>
            <w:r>
              <w:rPr>
                <w:rFonts w:hint="eastAsia" w:cs="Times New Roman"/>
                <w:b/>
                <w:bCs/>
                <w:kern w:val="0"/>
                <w:szCs w:val="20"/>
              </w:rPr>
              <w:t xml:space="preserve">2031.95 </w:t>
            </w:r>
          </w:p>
        </w:tc>
      </w:tr>
      <w:tr w14:paraId="3F59A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64F18EED">
            <w:pPr>
              <w:pStyle w:val="445"/>
              <w:rPr>
                <w:rFonts w:cs="Times New Roman"/>
                <w:kern w:val="0"/>
                <w:szCs w:val="20"/>
              </w:rPr>
            </w:pPr>
            <w:r>
              <w:rPr>
                <w:rFonts w:hint="eastAsia" w:cs="Times New Roman"/>
                <w:kern w:val="0"/>
                <w:szCs w:val="20"/>
              </w:rPr>
              <w:t>12</w:t>
            </w:r>
          </w:p>
        </w:tc>
        <w:tc>
          <w:tcPr>
            <w:tcW w:w="408" w:type="pct"/>
            <w:noWrap/>
            <w:vAlign w:val="center"/>
          </w:tcPr>
          <w:p w14:paraId="220508FE">
            <w:pPr>
              <w:pStyle w:val="445"/>
              <w:rPr>
                <w:rFonts w:cs="Times New Roman"/>
                <w:kern w:val="0"/>
                <w:szCs w:val="20"/>
              </w:rPr>
            </w:pPr>
            <w:r>
              <w:rPr>
                <w:rFonts w:hint="eastAsia" w:cs="Times New Roman"/>
                <w:kern w:val="0"/>
                <w:szCs w:val="20"/>
              </w:rPr>
              <w:t xml:space="preserve">0.00 </w:t>
            </w:r>
          </w:p>
        </w:tc>
        <w:tc>
          <w:tcPr>
            <w:tcW w:w="408" w:type="pct"/>
            <w:noWrap/>
            <w:vAlign w:val="center"/>
          </w:tcPr>
          <w:p w14:paraId="3636CB85">
            <w:pPr>
              <w:pStyle w:val="445"/>
              <w:rPr>
                <w:rFonts w:cs="Times New Roman"/>
                <w:kern w:val="0"/>
                <w:szCs w:val="20"/>
              </w:rPr>
            </w:pPr>
            <w:r>
              <w:rPr>
                <w:rFonts w:hint="eastAsia" w:cs="Times New Roman"/>
                <w:kern w:val="0"/>
                <w:szCs w:val="20"/>
              </w:rPr>
              <w:t xml:space="preserve">0.02 </w:t>
            </w:r>
          </w:p>
        </w:tc>
        <w:tc>
          <w:tcPr>
            <w:tcW w:w="460" w:type="pct"/>
            <w:noWrap/>
            <w:vAlign w:val="center"/>
          </w:tcPr>
          <w:p w14:paraId="6F2A7F96">
            <w:pPr>
              <w:pStyle w:val="445"/>
              <w:rPr>
                <w:rFonts w:cs="Times New Roman"/>
                <w:kern w:val="0"/>
                <w:szCs w:val="20"/>
              </w:rPr>
            </w:pPr>
            <w:r>
              <w:rPr>
                <w:rFonts w:hint="eastAsia" w:cs="Times New Roman"/>
                <w:kern w:val="0"/>
                <w:szCs w:val="20"/>
              </w:rPr>
              <w:t xml:space="preserve">640.15 </w:t>
            </w:r>
          </w:p>
        </w:tc>
        <w:tc>
          <w:tcPr>
            <w:tcW w:w="460" w:type="pct"/>
            <w:noWrap/>
            <w:vAlign w:val="center"/>
          </w:tcPr>
          <w:p w14:paraId="4C6D8844">
            <w:pPr>
              <w:pStyle w:val="445"/>
              <w:rPr>
                <w:rFonts w:cs="Times New Roman"/>
                <w:kern w:val="0"/>
                <w:szCs w:val="20"/>
              </w:rPr>
            </w:pPr>
            <w:r>
              <w:rPr>
                <w:rFonts w:hint="eastAsia" w:cs="Times New Roman"/>
                <w:kern w:val="0"/>
                <w:szCs w:val="20"/>
              </w:rPr>
              <w:t xml:space="preserve">1124.29 </w:t>
            </w:r>
          </w:p>
        </w:tc>
        <w:tc>
          <w:tcPr>
            <w:tcW w:w="460" w:type="pct"/>
            <w:noWrap/>
            <w:vAlign w:val="center"/>
          </w:tcPr>
          <w:p w14:paraId="21116C66">
            <w:pPr>
              <w:pStyle w:val="445"/>
              <w:rPr>
                <w:rFonts w:cs="Times New Roman"/>
                <w:kern w:val="0"/>
                <w:szCs w:val="20"/>
              </w:rPr>
            </w:pPr>
            <w:r>
              <w:rPr>
                <w:rFonts w:hint="eastAsia" w:cs="Times New Roman"/>
                <w:kern w:val="0"/>
                <w:szCs w:val="20"/>
              </w:rPr>
              <w:t xml:space="preserve">1501.74 </w:t>
            </w:r>
          </w:p>
        </w:tc>
        <w:tc>
          <w:tcPr>
            <w:tcW w:w="460" w:type="pct"/>
            <w:noWrap/>
            <w:vAlign w:val="center"/>
          </w:tcPr>
          <w:p w14:paraId="34785AC6">
            <w:pPr>
              <w:pStyle w:val="445"/>
              <w:rPr>
                <w:rFonts w:cs="Times New Roman"/>
                <w:kern w:val="0"/>
                <w:szCs w:val="20"/>
              </w:rPr>
            </w:pPr>
            <w:r>
              <w:rPr>
                <w:rFonts w:hint="eastAsia" w:cs="Times New Roman"/>
                <w:kern w:val="0"/>
                <w:szCs w:val="20"/>
              </w:rPr>
              <w:t xml:space="preserve">1867.39 </w:t>
            </w:r>
          </w:p>
        </w:tc>
        <w:tc>
          <w:tcPr>
            <w:tcW w:w="460" w:type="pct"/>
            <w:noWrap/>
            <w:vAlign w:val="center"/>
          </w:tcPr>
          <w:p w14:paraId="083F2FFB">
            <w:pPr>
              <w:pStyle w:val="445"/>
              <w:rPr>
                <w:rFonts w:cs="Times New Roman"/>
                <w:kern w:val="0"/>
                <w:szCs w:val="20"/>
              </w:rPr>
            </w:pPr>
            <w:r>
              <w:rPr>
                <w:rFonts w:hint="eastAsia" w:cs="Times New Roman"/>
                <w:kern w:val="0"/>
                <w:szCs w:val="20"/>
              </w:rPr>
              <w:t xml:space="preserve">1953.73 </w:t>
            </w:r>
          </w:p>
        </w:tc>
        <w:tc>
          <w:tcPr>
            <w:tcW w:w="460" w:type="pct"/>
            <w:noWrap/>
            <w:vAlign w:val="center"/>
          </w:tcPr>
          <w:p w14:paraId="7B205FAF">
            <w:pPr>
              <w:pStyle w:val="445"/>
              <w:rPr>
                <w:rFonts w:cs="Times New Roman"/>
                <w:kern w:val="0"/>
                <w:szCs w:val="20"/>
              </w:rPr>
            </w:pPr>
            <w:r>
              <w:rPr>
                <w:rFonts w:hint="eastAsia" w:cs="Times New Roman"/>
                <w:kern w:val="0"/>
                <w:szCs w:val="20"/>
              </w:rPr>
              <w:t xml:space="preserve">2031.83 </w:t>
            </w:r>
          </w:p>
        </w:tc>
        <w:tc>
          <w:tcPr>
            <w:tcW w:w="458" w:type="pct"/>
            <w:noWrap/>
            <w:vAlign w:val="center"/>
          </w:tcPr>
          <w:p w14:paraId="2403C2EC">
            <w:pPr>
              <w:pStyle w:val="445"/>
              <w:rPr>
                <w:rFonts w:cs="Times New Roman"/>
                <w:kern w:val="0"/>
                <w:szCs w:val="20"/>
              </w:rPr>
            </w:pPr>
            <w:r>
              <w:rPr>
                <w:rFonts w:hint="eastAsia" w:cs="Times New Roman"/>
                <w:kern w:val="0"/>
                <w:szCs w:val="20"/>
              </w:rPr>
              <w:t xml:space="preserve">2031.95 </w:t>
            </w:r>
          </w:p>
        </w:tc>
      </w:tr>
      <w:tr w14:paraId="64F21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6" w:type="pct"/>
            <w:noWrap/>
            <w:vAlign w:val="center"/>
          </w:tcPr>
          <w:p w14:paraId="6D2C7B06">
            <w:pPr>
              <w:pStyle w:val="445"/>
              <w:rPr>
                <w:rFonts w:cs="Times New Roman"/>
                <w:kern w:val="0"/>
                <w:szCs w:val="20"/>
              </w:rPr>
            </w:pPr>
            <w:r>
              <w:rPr>
                <w:rFonts w:hint="eastAsia" w:cs="Times New Roman"/>
                <w:kern w:val="0"/>
                <w:szCs w:val="20"/>
              </w:rPr>
              <w:t>15</w:t>
            </w:r>
          </w:p>
        </w:tc>
        <w:tc>
          <w:tcPr>
            <w:tcW w:w="408" w:type="pct"/>
            <w:noWrap/>
            <w:vAlign w:val="center"/>
          </w:tcPr>
          <w:p w14:paraId="5E787E01">
            <w:pPr>
              <w:pStyle w:val="445"/>
              <w:rPr>
                <w:rFonts w:cs="Times New Roman"/>
                <w:kern w:val="0"/>
                <w:szCs w:val="20"/>
              </w:rPr>
            </w:pPr>
            <w:r>
              <w:rPr>
                <w:rFonts w:hint="eastAsia" w:cs="Times New Roman"/>
                <w:kern w:val="0"/>
                <w:szCs w:val="20"/>
              </w:rPr>
              <w:t xml:space="preserve">0.00 </w:t>
            </w:r>
          </w:p>
        </w:tc>
        <w:tc>
          <w:tcPr>
            <w:tcW w:w="408" w:type="pct"/>
            <w:noWrap/>
            <w:vAlign w:val="center"/>
          </w:tcPr>
          <w:p w14:paraId="4F86CAB3">
            <w:pPr>
              <w:pStyle w:val="445"/>
              <w:rPr>
                <w:rFonts w:cs="Times New Roman"/>
                <w:kern w:val="0"/>
                <w:szCs w:val="20"/>
              </w:rPr>
            </w:pPr>
            <w:r>
              <w:rPr>
                <w:rFonts w:hint="eastAsia" w:cs="Times New Roman"/>
                <w:kern w:val="0"/>
                <w:szCs w:val="20"/>
              </w:rPr>
              <w:t xml:space="preserve">0.00 </w:t>
            </w:r>
          </w:p>
        </w:tc>
        <w:tc>
          <w:tcPr>
            <w:tcW w:w="460" w:type="pct"/>
            <w:noWrap/>
            <w:vAlign w:val="center"/>
          </w:tcPr>
          <w:p w14:paraId="011B02CF">
            <w:pPr>
              <w:pStyle w:val="445"/>
              <w:rPr>
                <w:rFonts w:cs="Times New Roman"/>
                <w:kern w:val="0"/>
                <w:szCs w:val="20"/>
              </w:rPr>
            </w:pPr>
            <w:r>
              <w:rPr>
                <w:rFonts w:hint="eastAsia" w:cs="Times New Roman"/>
                <w:kern w:val="0"/>
                <w:szCs w:val="20"/>
              </w:rPr>
              <w:t xml:space="preserve">440.07 </w:t>
            </w:r>
          </w:p>
        </w:tc>
        <w:tc>
          <w:tcPr>
            <w:tcW w:w="460" w:type="pct"/>
            <w:noWrap/>
            <w:vAlign w:val="center"/>
          </w:tcPr>
          <w:p w14:paraId="04476125">
            <w:pPr>
              <w:pStyle w:val="445"/>
              <w:rPr>
                <w:rFonts w:cs="Times New Roman"/>
                <w:kern w:val="0"/>
                <w:szCs w:val="20"/>
              </w:rPr>
            </w:pPr>
            <w:r>
              <w:rPr>
                <w:rFonts w:hint="eastAsia" w:cs="Times New Roman"/>
                <w:kern w:val="0"/>
                <w:szCs w:val="20"/>
              </w:rPr>
              <w:t xml:space="preserve">876.93 </w:t>
            </w:r>
          </w:p>
        </w:tc>
        <w:tc>
          <w:tcPr>
            <w:tcW w:w="460" w:type="pct"/>
            <w:noWrap/>
            <w:vAlign w:val="center"/>
          </w:tcPr>
          <w:p w14:paraId="416686C8">
            <w:pPr>
              <w:pStyle w:val="445"/>
              <w:rPr>
                <w:rFonts w:cs="Times New Roman"/>
                <w:kern w:val="0"/>
                <w:szCs w:val="20"/>
              </w:rPr>
            </w:pPr>
            <w:r>
              <w:rPr>
                <w:rFonts w:hint="eastAsia" w:cs="Times New Roman"/>
                <w:kern w:val="0"/>
                <w:szCs w:val="20"/>
              </w:rPr>
              <w:t xml:space="preserve">1290.95 </w:t>
            </w:r>
          </w:p>
        </w:tc>
        <w:tc>
          <w:tcPr>
            <w:tcW w:w="460" w:type="pct"/>
            <w:noWrap/>
            <w:vAlign w:val="center"/>
          </w:tcPr>
          <w:p w14:paraId="154D90CA">
            <w:pPr>
              <w:pStyle w:val="445"/>
              <w:rPr>
                <w:rFonts w:cs="Times New Roman"/>
                <w:kern w:val="0"/>
                <w:szCs w:val="20"/>
              </w:rPr>
            </w:pPr>
            <w:r>
              <w:rPr>
                <w:rFonts w:hint="eastAsia" w:cs="Times New Roman"/>
                <w:kern w:val="0"/>
                <w:szCs w:val="20"/>
              </w:rPr>
              <w:t xml:space="preserve">1779.66 </w:t>
            </w:r>
          </w:p>
        </w:tc>
        <w:tc>
          <w:tcPr>
            <w:tcW w:w="460" w:type="pct"/>
            <w:noWrap/>
            <w:vAlign w:val="center"/>
          </w:tcPr>
          <w:p w14:paraId="5BB85FB6">
            <w:pPr>
              <w:pStyle w:val="445"/>
              <w:rPr>
                <w:rFonts w:cs="Times New Roman"/>
                <w:kern w:val="0"/>
                <w:szCs w:val="20"/>
              </w:rPr>
            </w:pPr>
            <w:r>
              <w:rPr>
                <w:rFonts w:hint="eastAsia" w:cs="Times New Roman"/>
                <w:kern w:val="0"/>
                <w:szCs w:val="20"/>
              </w:rPr>
              <w:t xml:space="preserve">1909.82 </w:t>
            </w:r>
          </w:p>
        </w:tc>
        <w:tc>
          <w:tcPr>
            <w:tcW w:w="460" w:type="pct"/>
            <w:noWrap/>
            <w:vAlign w:val="center"/>
          </w:tcPr>
          <w:p w14:paraId="4B3CAA26">
            <w:pPr>
              <w:pStyle w:val="445"/>
              <w:rPr>
                <w:rFonts w:cs="Times New Roman"/>
                <w:kern w:val="0"/>
                <w:szCs w:val="20"/>
              </w:rPr>
            </w:pPr>
            <w:r>
              <w:rPr>
                <w:rFonts w:hint="eastAsia" w:cs="Times New Roman"/>
                <w:kern w:val="0"/>
                <w:szCs w:val="20"/>
              </w:rPr>
              <w:t xml:space="preserve">2031.75 </w:t>
            </w:r>
          </w:p>
        </w:tc>
        <w:tc>
          <w:tcPr>
            <w:tcW w:w="458" w:type="pct"/>
            <w:noWrap/>
            <w:vAlign w:val="center"/>
          </w:tcPr>
          <w:p w14:paraId="71585642">
            <w:pPr>
              <w:pStyle w:val="445"/>
              <w:rPr>
                <w:rFonts w:cs="Times New Roman"/>
                <w:kern w:val="0"/>
                <w:szCs w:val="20"/>
              </w:rPr>
            </w:pPr>
            <w:r>
              <w:rPr>
                <w:rFonts w:hint="eastAsia" w:cs="Times New Roman"/>
                <w:kern w:val="0"/>
                <w:szCs w:val="20"/>
              </w:rPr>
              <w:t xml:space="preserve">2031.95 </w:t>
            </w:r>
          </w:p>
        </w:tc>
      </w:tr>
    </w:tbl>
    <w:p w14:paraId="3559A59F">
      <w:pPr>
        <w:ind w:firstLine="480"/>
        <w:sectPr>
          <w:pgSz w:w="16840" w:h="11907" w:orient="landscape"/>
          <w:pgMar w:top="1440" w:right="1440" w:bottom="1440" w:left="1440" w:header="851" w:footer="992" w:gutter="0"/>
          <w:cols w:space="425" w:num="1"/>
          <w:docGrid w:type="lines" w:linePitch="326" w:charSpace="0"/>
        </w:sectPr>
      </w:pPr>
      <w:r>
        <w:tab/>
      </w:r>
      <w:r>
        <w:rPr>
          <w:rFonts w:hint="eastAsia"/>
        </w:rPr>
        <w:t>本次</w:t>
      </w:r>
      <w:r>
        <w:t>预测指标</w:t>
      </w:r>
      <w:r>
        <w:rPr>
          <w:rFonts w:hint="eastAsia"/>
        </w:rPr>
        <w:t>中</w:t>
      </w:r>
      <w:r>
        <w:t>COD</w:t>
      </w:r>
      <w:r>
        <w:rPr>
          <w:rFonts w:hint="eastAsia"/>
        </w:rPr>
        <w:t>由于在《土壤环境质量</w:t>
      </w:r>
      <w:r>
        <w:t xml:space="preserve"> 建设用地土壤污染风险管控标准（试行）》（GB36600-2018）</w:t>
      </w:r>
      <w:r>
        <w:rPr>
          <w:rFonts w:hint="eastAsia"/>
        </w:rPr>
        <w:t>无相应</w:t>
      </w:r>
      <w:r>
        <w:t>限值，故从地下水角度</w:t>
      </w:r>
      <w:r>
        <w:rPr>
          <w:rFonts w:hint="eastAsia"/>
        </w:rPr>
        <w:t>的</w:t>
      </w:r>
      <w:r>
        <w:t>污染角度</w:t>
      </w:r>
      <w:r>
        <w:rPr>
          <w:rFonts w:hint="eastAsia"/>
        </w:rPr>
        <w:t>设置污染</w:t>
      </w:r>
      <w:r>
        <w:t>晕外围</w:t>
      </w:r>
      <w:r>
        <w:rPr>
          <w:rFonts w:hint="eastAsia"/>
        </w:rPr>
        <w:t>浓度</w:t>
      </w:r>
      <w:r>
        <w:t>为</w:t>
      </w:r>
      <w:r>
        <w:rPr>
          <w:rFonts w:hint="eastAsia"/>
        </w:rPr>
        <w:t>3</w:t>
      </w:r>
      <w:r>
        <w:t>mg/L</w:t>
      </w:r>
      <w:r>
        <w:rPr>
          <w:rFonts w:ascii="宋体" w:hAnsi="宋体"/>
        </w:rPr>
        <w:t>(</w:t>
      </w:r>
      <w:r>
        <w:rPr>
          <w:rFonts w:hint="eastAsia" w:ascii="宋体" w:hAnsi="宋体"/>
        </w:rPr>
        <w:t>地下水</w:t>
      </w:r>
      <w:r>
        <w:rPr>
          <w:rFonts w:ascii="宋体" w:hAnsi="宋体"/>
        </w:rPr>
        <w:t>环境质量标准</w:t>
      </w:r>
      <w:r>
        <w:rPr>
          <w:rFonts w:hint="eastAsia" w:ascii="宋体" w:hAnsi="宋体"/>
        </w:rPr>
        <w:t>Ⅲ类水标准</w:t>
      </w:r>
      <w:r>
        <w:rPr>
          <w:rFonts w:ascii="宋体" w:hAnsi="宋体"/>
        </w:rPr>
        <w:t>)</w:t>
      </w:r>
      <w:r>
        <w:rPr>
          <w:rFonts w:hint="eastAsia"/>
        </w:rPr>
        <w:t>。</w:t>
      </w:r>
      <w:r>
        <w:t>由上表可知，废水</w:t>
      </w:r>
      <w:r>
        <w:rPr>
          <w:rFonts w:hint="eastAsia"/>
        </w:rPr>
        <w:t>收集池泄漏</w:t>
      </w:r>
      <w:r>
        <w:t>1d时</w:t>
      </w:r>
      <w:r>
        <w:rPr>
          <w:rFonts w:hint="eastAsia"/>
        </w:rPr>
        <w:t>，</w:t>
      </w:r>
      <w:r>
        <w:t>可影响到2.5m内的土壤</w:t>
      </w:r>
      <w:r>
        <w:rPr>
          <w:rFonts w:hint="eastAsia"/>
        </w:rPr>
        <w:t>；</w:t>
      </w:r>
      <w:r>
        <w:t>泄漏</w:t>
      </w:r>
      <w:r>
        <w:rPr>
          <w:rFonts w:hint="eastAsia"/>
        </w:rPr>
        <w:t>10</w:t>
      </w:r>
      <w:r>
        <w:t>d时</w:t>
      </w:r>
      <w:r>
        <w:rPr>
          <w:rFonts w:hint="eastAsia"/>
        </w:rPr>
        <w:t>，可影响到</w:t>
      </w:r>
      <w:r>
        <w:t>9m内的土壤；</w:t>
      </w:r>
      <w:r>
        <w:rPr>
          <w:rFonts w:hint="eastAsia"/>
        </w:rPr>
        <w:t>泄漏3650</w:t>
      </w:r>
      <w:r>
        <w:t>d时，</w:t>
      </w:r>
      <w:r>
        <w:rPr>
          <w:rFonts w:hint="eastAsia"/>
        </w:rPr>
        <w:t>土壤</w:t>
      </w:r>
      <w:r>
        <w:t>层全被</w:t>
      </w:r>
      <w:r>
        <w:rPr>
          <w:rFonts w:hint="eastAsia"/>
        </w:rPr>
        <w:t>污染，及时修复，</w:t>
      </w:r>
      <w:r>
        <w:t>可保证</w:t>
      </w:r>
      <w:r>
        <w:rPr>
          <w:rFonts w:hint="eastAsia"/>
        </w:rPr>
        <w:t>废水</w:t>
      </w:r>
      <w:r>
        <w:t>对厂区内土壤环境的影响可控</w:t>
      </w:r>
      <w:r>
        <w:rPr>
          <w:rFonts w:hint="eastAsia"/>
        </w:rPr>
        <w:t>。</w:t>
      </w:r>
    </w:p>
    <w:p w14:paraId="1BD9ACBC">
      <w:pPr>
        <w:pStyle w:val="4068"/>
      </w:pPr>
      <w:bookmarkStart w:id="361" w:name="_Toc108662684"/>
      <w:bookmarkStart w:id="362" w:name="_Toc100784075"/>
      <w:bookmarkStart w:id="363" w:name="_Toc101135907"/>
      <w:r>
        <w:t>5.7.4</w:t>
      </w:r>
      <w:r>
        <w:rPr>
          <w:rFonts w:hint="eastAsia"/>
        </w:rPr>
        <w:t>大气沉降</w:t>
      </w:r>
      <w:r>
        <w:t>对土壤</w:t>
      </w:r>
      <w:r>
        <w:rPr>
          <w:rFonts w:hint="eastAsia"/>
        </w:rPr>
        <w:t>的累积影响预测</w:t>
      </w:r>
      <w:bookmarkEnd w:id="361"/>
      <w:bookmarkEnd w:id="362"/>
      <w:bookmarkEnd w:id="363"/>
    </w:p>
    <w:p w14:paraId="3EEDE5A8">
      <w:pPr>
        <w:ind w:firstLine="480"/>
      </w:pPr>
      <w:r>
        <w:t>本项目排放的</w:t>
      </w:r>
      <w:r>
        <w:rPr>
          <w:rFonts w:hint="eastAsia"/>
        </w:rPr>
        <w:t>有机废气、</w:t>
      </w:r>
      <w:r>
        <w:t>酸性废气</w:t>
      </w:r>
      <w:r>
        <w:rPr>
          <w:rFonts w:hint="eastAsia"/>
        </w:rPr>
        <w:t>、</w:t>
      </w:r>
      <w:r>
        <w:t>含氨废气和粉尘在环境中的迁移转化主要由</w:t>
      </w:r>
      <w:r>
        <w:rPr>
          <w:rFonts w:hint="eastAsia"/>
        </w:rPr>
        <w:t>合成</w:t>
      </w:r>
      <w:r>
        <w:t>反应、</w:t>
      </w:r>
      <w:r>
        <w:rPr>
          <w:rFonts w:hint="eastAsia"/>
        </w:rPr>
        <w:t>水解、</w:t>
      </w:r>
      <w:r>
        <w:t>蒸馏、精馏和冷凝等</w:t>
      </w:r>
      <w:r>
        <w:rPr>
          <w:rFonts w:hint="eastAsia"/>
        </w:rPr>
        <w:t>物理</w:t>
      </w:r>
      <w:r>
        <w:t>、化学反应决定。排放的</w:t>
      </w:r>
      <w:r>
        <w:rPr>
          <w:rFonts w:hint="eastAsia"/>
        </w:rPr>
        <w:t>甲醇、氯化氢</w:t>
      </w:r>
      <w:r>
        <w:t>和氟化氢</w:t>
      </w:r>
      <w:r>
        <w:rPr>
          <w:rFonts w:hint="eastAsia"/>
        </w:rPr>
        <w:t>等</w:t>
      </w:r>
      <w:r>
        <w:t>可因重力沉降或降水的作用迁移至水和土壤中，颗粒的大小对沉降有明显影响。同时土壤的类型、孔隙率、含水率等均对</w:t>
      </w:r>
      <w:r>
        <w:rPr>
          <w:rFonts w:hint="eastAsia"/>
        </w:rPr>
        <w:t>污染物</w:t>
      </w:r>
      <w:r>
        <w:t>的迁移转化有很大的影响。</w:t>
      </w:r>
    </w:p>
    <w:p w14:paraId="0B923DE1">
      <w:pPr>
        <w:ind w:firstLine="480"/>
      </w:pPr>
      <w:r>
        <w:rPr>
          <w:rFonts w:hint="eastAsia"/>
        </w:rPr>
        <w:t>由于</w:t>
      </w:r>
      <w:r>
        <w:t>本项目排放的大气污染物</w:t>
      </w:r>
      <w:r>
        <w:rPr>
          <w:rFonts w:hint="eastAsia"/>
        </w:rPr>
        <w:t>（</w:t>
      </w:r>
      <w:r>
        <w:t>SO</w:t>
      </w:r>
      <w:r>
        <w:rPr>
          <w:vertAlign w:val="subscript"/>
        </w:rPr>
        <w:t>2</w:t>
      </w:r>
      <w:r>
        <w:t>、</w:t>
      </w:r>
      <w:r>
        <w:rPr>
          <w:rFonts w:hint="eastAsia"/>
        </w:rPr>
        <w:t>NO</w:t>
      </w:r>
      <w:r>
        <w:rPr>
          <w:vertAlign w:val="subscript"/>
        </w:rPr>
        <w:t>x</w:t>
      </w:r>
      <w:r>
        <w:rPr>
          <w:rFonts w:hint="eastAsia"/>
        </w:rPr>
        <w:t>、</w:t>
      </w:r>
      <w:r>
        <w:t>PM</w:t>
      </w:r>
      <w:r>
        <w:rPr>
          <w:vertAlign w:val="subscript"/>
        </w:rPr>
        <w:t>10</w:t>
      </w:r>
      <w:r>
        <w:t>、</w:t>
      </w:r>
      <w:r>
        <w:rPr>
          <w:rFonts w:hint="eastAsia"/>
        </w:rPr>
        <w:t>P</w:t>
      </w:r>
      <w:r>
        <w:t>M</w:t>
      </w:r>
      <w:r>
        <w:rPr>
          <w:vertAlign w:val="subscript"/>
        </w:rPr>
        <w:t>2.5</w:t>
      </w:r>
      <w:r>
        <w:rPr>
          <w:rFonts w:hint="eastAsia"/>
        </w:rPr>
        <w:t>、甲醇、H</w:t>
      </w:r>
      <w:r>
        <w:t>F、HCl、NH</w:t>
      </w:r>
      <w:r>
        <w:rPr>
          <w:vertAlign w:val="subscript"/>
        </w:rPr>
        <w:t>3</w:t>
      </w:r>
      <w:r>
        <w:rPr>
          <w:rFonts w:hint="eastAsia"/>
        </w:rPr>
        <w:t>、V</w:t>
      </w:r>
      <w:r>
        <w:t>OCs</w:t>
      </w:r>
      <w:r>
        <w:rPr>
          <w:rFonts w:hint="eastAsia"/>
        </w:rPr>
        <w:t>）在《土壤环境质量</w:t>
      </w:r>
      <w:r>
        <w:t xml:space="preserve"> 建设用地土壤污染风险管控标准（试行）》（GB36600-2018）</w:t>
      </w:r>
      <w:r>
        <w:rPr>
          <w:rFonts w:hint="eastAsia"/>
        </w:rPr>
        <w:t>无相应</w:t>
      </w:r>
      <w:r>
        <w:t>限值</w:t>
      </w:r>
      <w:r>
        <w:rPr>
          <w:rFonts w:hint="eastAsia"/>
        </w:rPr>
        <w:t>。因此</w:t>
      </w:r>
      <w:r>
        <w:t>本项目</w:t>
      </w:r>
      <w:r>
        <w:rPr>
          <w:rFonts w:hint="eastAsia"/>
        </w:rPr>
        <w:t>对照</w:t>
      </w:r>
      <w:r>
        <w:rPr>
          <w:rFonts w:hint="eastAsia" w:ascii="宋体" w:hAnsi="宋体"/>
        </w:rPr>
        <w:t>《环境影响评价技术导则</w:t>
      </w:r>
      <w:r>
        <w:t xml:space="preserve"> </w:t>
      </w:r>
      <w:r>
        <w:rPr>
          <w:rFonts w:hint="eastAsia" w:ascii="宋体" w:hAnsi="宋体"/>
        </w:rPr>
        <w:t>土壤环境（试行）》（</w:t>
      </w:r>
      <w:r>
        <w:t>HJ964-2018</w:t>
      </w:r>
      <w:r>
        <w:rPr>
          <w:rFonts w:hint="eastAsia" w:ascii="宋体" w:hAnsi="宋体"/>
        </w:rPr>
        <w:t>）中涉及</w:t>
      </w:r>
      <w:r>
        <w:rPr>
          <w:rFonts w:ascii="宋体" w:hAnsi="宋体"/>
        </w:rPr>
        <w:t>大气沉降</w:t>
      </w:r>
      <w:r>
        <w:rPr>
          <w:rFonts w:hint="eastAsia" w:ascii="宋体" w:hAnsi="宋体"/>
        </w:rPr>
        <w:t>影响土壤</w:t>
      </w:r>
      <w:r>
        <w:rPr>
          <w:rFonts w:ascii="宋体" w:hAnsi="宋体"/>
        </w:rPr>
        <w:t>环境预测</w:t>
      </w:r>
      <w:r>
        <w:rPr>
          <w:rFonts w:hint="eastAsia" w:ascii="宋体" w:hAnsi="宋体"/>
        </w:rPr>
        <w:t>，</w:t>
      </w:r>
      <w:r>
        <w:rPr>
          <w:rFonts w:ascii="宋体" w:hAnsi="宋体"/>
        </w:rPr>
        <w:t>可参照</w:t>
      </w:r>
      <w:r>
        <w:rPr>
          <w:rFonts w:hint="eastAsia" w:ascii="宋体" w:hAnsi="宋体"/>
        </w:rPr>
        <w:t>《环境影响评价技术导则 大气环境》（</w:t>
      </w:r>
      <w:r>
        <w:t>HJ2.2-2018</w:t>
      </w:r>
      <w:r>
        <w:rPr>
          <w:rFonts w:hint="eastAsia" w:ascii="宋体" w:hAnsi="宋体"/>
        </w:rPr>
        <w:t>）相关</w:t>
      </w:r>
      <w:r>
        <w:rPr>
          <w:rFonts w:ascii="宋体" w:hAnsi="宋体"/>
        </w:rPr>
        <w:t>技术给出</w:t>
      </w:r>
      <w:r>
        <w:rPr>
          <w:rFonts w:hint="eastAsia" w:ascii="宋体" w:hAnsi="宋体"/>
        </w:rPr>
        <w:t>。由</w:t>
      </w:r>
      <w:r>
        <w:rPr>
          <w:rFonts w:cs="Times New Roman"/>
        </w:rPr>
        <w:t>5.1章节可知，本项目各大气污染物短期浓度和长期浓度贡献值占标率均小于1，即达标；本项目各大气污染物短期浓度和长期浓度叠加现状浓度、区域同期拟建、在建项目污染源的环境影响后，各大气污染物短期浓度和长期浓度贡献值占标率均小于1，即达标。</w:t>
      </w:r>
      <w:r>
        <w:rPr>
          <w:rFonts w:hint="eastAsia" w:cs="Times New Roman"/>
        </w:rPr>
        <w:t>建设</w:t>
      </w:r>
      <w:r>
        <w:rPr>
          <w:rFonts w:cs="Times New Roman"/>
        </w:rPr>
        <w:t>单位将按照</w:t>
      </w:r>
      <w:r>
        <w:rPr>
          <w:rFonts w:hint="eastAsia" w:ascii="宋体" w:hAnsi="宋体"/>
        </w:rPr>
        <w:t>《环境影响评价技术导则</w:t>
      </w:r>
      <w:r>
        <w:t xml:space="preserve"> </w:t>
      </w:r>
      <w:r>
        <w:rPr>
          <w:rFonts w:hint="eastAsia" w:ascii="宋体" w:hAnsi="宋体"/>
        </w:rPr>
        <w:t>土壤环境（试行）》（</w:t>
      </w:r>
      <w:r>
        <w:t>HJ964-2018</w:t>
      </w:r>
      <w:r>
        <w:rPr>
          <w:rFonts w:hint="eastAsia" w:ascii="宋体" w:hAnsi="宋体"/>
        </w:rPr>
        <w:t>）中</w:t>
      </w:r>
      <w:r>
        <w:rPr>
          <w:rFonts w:ascii="宋体" w:hAnsi="宋体"/>
        </w:rPr>
        <w:t>要求，</w:t>
      </w:r>
      <w:r>
        <w:rPr>
          <w:rFonts w:hint="eastAsia" w:ascii="宋体" w:hAnsi="宋体"/>
        </w:rPr>
        <w:t>采取绿化</w:t>
      </w:r>
      <w:r>
        <w:rPr>
          <w:rFonts w:ascii="宋体" w:hAnsi="宋体"/>
        </w:rPr>
        <w:t>措施，种植具有较强吸附能力的植物，</w:t>
      </w:r>
      <w:r>
        <w:rPr>
          <w:rFonts w:hint="eastAsia" w:ascii="宋体" w:hAnsi="宋体"/>
        </w:rPr>
        <w:t>在</w:t>
      </w:r>
      <w:r>
        <w:rPr>
          <w:rFonts w:ascii="宋体" w:hAnsi="宋体"/>
        </w:rPr>
        <w:t>落实</w:t>
      </w:r>
      <w:r>
        <w:rPr>
          <w:rFonts w:hint="eastAsia" w:ascii="宋体" w:hAnsi="宋体"/>
        </w:rPr>
        <w:t>绿化</w:t>
      </w:r>
      <w:r>
        <w:rPr>
          <w:rFonts w:ascii="宋体" w:hAnsi="宋体"/>
        </w:rPr>
        <w:t>措施后，本项目</w:t>
      </w:r>
      <w:r>
        <w:rPr>
          <w:rFonts w:hint="eastAsia" w:ascii="宋体" w:hAnsi="宋体"/>
        </w:rPr>
        <w:t>各</w:t>
      </w:r>
      <w:r>
        <w:rPr>
          <w:rFonts w:ascii="宋体" w:hAnsi="宋体"/>
        </w:rPr>
        <w:t>大气污染物</w:t>
      </w:r>
      <w:r>
        <w:rPr>
          <w:rFonts w:hint="eastAsia" w:ascii="宋体" w:hAnsi="宋体"/>
        </w:rPr>
        <w:t>沉降</w:t>
      </w:r>
      <w:r>
        <w:rPr>
          <w:rFonts w:ascii="宋体" w:hAnsi="宋体"/>
        </w:rPr>
        <w:t>后</w:t>
      </w:r>
      <w:r>
        <w:rPr>
          <w:rFonts w:hint="eastAsia"/>
        </w:rPr>
        <w:t>对周边环境影响较小。</w:t>
      </w:r>
    </w:p>
    <w:p w14:paraId="1E9A3D08">
      <w:pPr>
        <w:widowControl/>
        <w:adjustRightInd/>
        <w:snapToGrid/>
        <w:ind w:firstLine="0" w:firstLineChars="0"/>
        <w:jc w:val="left"/>
        <w:rPr>
          <w:rFonts w:eastAsia="黑体"/>
        </w:rPr>
      </w:pPr>
    </w:p>
    <w:p w14:paraId="2E047E55">
      <w:pPr>
        <w:widowControl/>
        <w:adjustRightInd/>
        <w:snapToGrid/>
        <w:ind w:firstLine="0" w:firstLineChars="0"/>
        <w:jc w:val="left"/>
        <w:rPr>
          <w:rFonts w:eastAsia="黑体"/>
        </w:rPr>
        <w:sectPr>
          <w:pgSz w:w="11907" w:h="16840"/>
          <w:pgMar w:top="1440" w:right="1440" w:bottom="1440" w:left="1440" w:header="851" w:footer="992" w:gutter="0"/>
          <w:cols w:space="720" w:num="1"/>
          <w:docGrid w:type="lines" w:linePitch="326" w:charSpace="0"/>
        </w:sectPr>
      </w:pPr>
    </w:p>
    <w:p w14:paraId="525E142A">
      <w:pPr>
        <w:pStyle w:val="4068"/>
      </w:pPr>
      <w:bookmarkStart w:id="364" w:name="_Toc108662685"/>
      <w:bookmarkStart w:id="365" w:name="_Toc100784076"/>
      <w:bookmarkStart w:id="366" w:name="_Toc101135908"/>
      <w:r>
        <w:t>5.7.5土壤</w:t>
      </w:r>
      <w:r>
        <w:rPr>
          <w:rFonts w:hint="eastAsia"/>
        </w:rPr>
        <w:t>环境影响评价自查表</w:t>
      </w:r>
      <w:bookmarkEnd w:id="364"/>
      <w:bookmarkEnd w:id="365"/>
      <w:bookmarkEnd w:id="366"/>
    </w:p>
    <w:p w14:paraId="7E386679">
      <w:pPr>
        <w:pStyle w:val="278"/>
        <w:ind w:firstLine="480"/>
      </w:pPr>
      <w:r>
        <w:t>5.7.5</w:t>
      </w:r>
      <w:r>
        <w:rPr>
          <w:rFonts w:hint="eastAsia"/>
        </w:rPr>
        <w:t>-1</w:t>
      </w:r>
      <w:r>
        <w:t xml:space="preserve">  </w:t>
      </w:r>
      <w:r>
        <w:rPr>
          <w:rFonts w:ascii="黑体" w:hAnsi="黑体"/>
        </w:rPr>
        <w:t>土壤环境影响评价自查表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1669"/>
        <w:gridCol w:w="1059"/>
        <w:gridCol w:w="1268"/>
        <w:gridCol w:w="1270"/>
        <w:gridCol w:w="421"/>
        <w:gridCol w:w="1981"/>
        <w:gridCol w:w="1149"/>
      </w:tblGrid>
      <w:tr w14:paraId="6C942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133" w:type="pct"/>
            <w:gridSpan w:val="2"/>
            <w:tcBorders>
              <w:top w:val="single" w:color="auto" w:sz="12" w:space="0"/>
              <w:left w:val="nil"/>
              <w:bottom w:val="single" w:color="auto" w:sz="4" w:space="0"/>
              <w:right w:val="single" w:color="auto" w:sz="4" w:space="0"/>
            </w:tcBorders>
            <w:vAlign w:val="center"/>
          </w:tcPr>
          <w:p w14:paraId="54C01A48">
            <w:pPr>
              <w:pStyle w:val="445"/>
              <w:rPr>
                <w:rFonts w:cs="Times New Roman"/>
                <w:kern w:val="0"/>
                <w:szCs w:val="20"/>
              </w:rPr>
            </w:pPr>
            <w:r>
              <w:rPr>
                <w:rFonts w:hint="eastAsia" w:cs="Times New Roman"/>
                <w:kern w:val="0"/>
                <w:szCs w:val="20"/>
              </w:rPr>
              <w:t>工作内容</w:t>
            </w:r>
          </w:p>
        </w:tc>
        <w:tc>
          <w:tcPr>
            <w:tcW w:w="3246" w:type="pct"/>
            <w:gridSpan w:val="5"/>
            <w:tcBorders>
              <w:top w:val="single" w:color="auto" w:sz="12" w:space="0"/>
              <w:left w:val="single" w:color="auto" w:sz="4" w:space="0"/>
              <w:bottom w:val="single" w:color="auto" w:sz="4" w:space="0"/>
              <w:right w:val="single" w:color="auto" w:sz="4" w:space="0"/>
            </w:tcBorders>
            <w:vAlign w:val="center"/>
          </w:tcPr>
          <w:p w14:paraId="68BD0C67">
            <w:pPr>
              <w:pStyle w:val="445"/>
              <w:rPr>
                <w:rFonts w:cs="Times New Roman"/>
                <w:kern w:val="0"/>
                <w:szCs w:val="20"/>
              </w:rPr>
            </w:pPr>
            <w:r>
              <w:rPr>
                <w:rFonts w:hint="eastAsia" w:cs="Times New Roman"/>
                <w:kern w:val="0"/>
                <w:szCs w:val="20"/>
              </w:rPr>
              <w:t>完成情况</w:t>
            </w:r>
          </w:p>
        </w:tc>
        <w:tc>
          <w:tcPr>
            <w:tcW w:w="621" w:type="pct"/>
            <w:tcBorders>
              <w:top w:val="single" w:color="auto" w:sz="12" w:space="0"/>
              <w:left w:val="single" w:color="auto" w:sz="4" w:space="0"/>
              <w:bottom w:val="single" w:color="auto" w:sz="4" w:space="0"/>
              <w:right w:val="nil"/>
            </w:tcBorders>
            <w:vAlign w:val="center"/>
          </w:tcPr>
          <w:p w14:paraId="3791B9DD">
            <w:pPr>
              <w:pStyle w:val="445"/>
              <w:rPr>
                <w:rFonts w:cs="Times New Roman"/>
                <w:kern w:val="0"/>
                <w:szCs w:val="20"/>
              </w:rPr>
            </w:pPr>
            <w:r>
              <w:rPr>
                <w:rFonts w:hint="eastAsia" w:cs="Times New Roman"/>
                <w:kern w:val="0"/>
                <w:szCs w:val="20"/>
              </w:rPr>
              <w:t>备注</w:t>
            </w:r>
          </w:p>
        </w:tc>
      </w:tr>
      <w:tr w14:paraId="19E63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Merge w:val="restart"/>
            <w:tcBorders>
              <w:top w:val="single" w:color="auto" w:sz="4" w:space="0"/>
              <w:left w:val="nil"/>
              <w:bottom w:val="single" w:color="auto" w:sz="4" w:space="0"/>
              <w:right w:val="single" w:color="auto" w:sz="4" w:space="0"/>
            </w:tcBorders>
            <w:vAlign w:val="center"/>
          </w:tcPr>
          <w:p w14:paraId="0A12C7A1">
            <w:pPr>
              <w:pStyle w:val="445"/>
              <w:rPr>
                <w:rFonts w:cs="Times New Roman"/>
                <w:kern w:val="0"/>
                <w:szCs w:val="20"/>
              </w:rPr>
            </w:pPr>
            <w:r>
              <w:rPr>
                <w:rFonts w:hint="eastAsia" w:cs="Times New Roman"/>
                <w:kern w:val="0"/>
                <w:szCs w:val="20"/>
              </w:rPr>
              <w:t>影响</w:t>
            </w:r>
            <w:r>
              <w:rPr>
                <w:rFonts w:cs="Times New Roman"/>
                <w:kern w:val="0"/>
                <w:szCs w:val="20"/>
              </w:rPr>
              <w:t xml:space="preserve"> </w:t>
            </w:r>
            <w:r>
              <w:rPr>
                <w:rFonts w:hint="eastAsia" w:cs="Times New Roman"/>
                <w:kern w:val="0"/>
                <w:szCs w:val="20"/>
              </w:rPr>
              <w:t>识别</w:t>
            </w:r>
          </w:p>
        </w:tc>
        <w:tc>
          <w:tcPr>
            <w:tcW w:w="903" w:type="pct"/>
            <w:tcBorders>
              <w:top w:val="single" w:color="auto" w:sz="4" w:space="0"/>
              <w:left w:val="single" w:color="auto" w:sz="4" w:space="0"/>
              <w:bottom w:val="single" w:color="auto" w:sz="4" w:space="0"/>
              <w:right w:val="single" w:color="auto" w:sz="4" w:space="0"/>
            </w:tcBorders>
            <w:vAlign w:val="center"/>
          </w:tcPr>
          <w:p w14:paraId="0D812DA7">
            <w:pPr>
              <w:pStyle w:val="445"/>
              <w:rPr>
                <w:rFonts w:cs="Times New Roman"/>
                <w:kern w:val="0"/>
                <w:szCs w:val="20"/>
              </w:rPr>
            </w:pPr>
            <w:r>
              <w:rPr>
                <w:rFonts w:hint="eastAsia" w:cs="Times New Roman"/>
                <w:kern w:val="0"/>
                <w:szCs w:val="20"/>
              </w:rPr>
              <w:t>影响类型</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2FC1220E">
            <w:pPr>
              <w:pStyle w:val="445"/>
              <w:rPr>
                <w:rFonts w:cs="Times New Roman"/>
                <w:kern w:val="0"/>
                <w:szCs w:val="20"/>
              </w:rPr>
            </w:pPr>
            <w:r>
              <w:rPr>
                <w:rFonts w:hint="eastAsia" w:cs="Times New Roman"/>
                <w:kern w:val="0"/>
                <w:szCs w:val="20"/>
              </w:rPr>
              <w:t>污染影响型</w:t>
            </w:r>
            <w:r>
              <w:rPr>
                <w:rFonts w:cs="Times New Roman"/>
                <w:kern w:val="0"/>
                <w:szCs w:val="20"/>
              </w:rPr>
              <w:t>√</w:t>
            </w:r>
            <w:r>
              <w:rPr>
                <w:rFonts w:hint="eastAsia" w:cs="Times New Roman"/>
                <w:kern w:val="0"/>
                <w:szCs w:val="20"/>
              </w:rPr>
              <w:t>；生态影响型□；两种兼有□</w:t>
            </w:r>
          </w:p>
        </w:tc>
        <w:tc>
          <w:tcPr>
            <w:tcW w:w="621" w:type="pct"/>
            <w:tcBorders>
              <w:top w:val="single" w:color="auto" w:sz="4" w:space="0"/>
              <w:left w:val="single" w:color="auto" w:sz="4" w:space="0"/>
              <w:bottom w:val="single" w:color="auto" w:sz="4" w:space="0"/>
              <w:right w:val="nil"/>
            </w:tcBorders>
            <w:vAlign w:val="center"/>
          </w:tcPr>
          <w:p w14:paraId="1F444A61">
            <w:pPr>
              <w:pStyle w:val="445"/>
              <w:rPr>
                <w:rFonts w:cs="Times New Roman"/>
                <w:kern w:val="0"/>
                <w:szCs w:val="20"/>
              </w:rPr>
            </w:pPr>
          </w:p>
        </w:tc>
      </w:tr>
      <w:tr w14:paraId="71B2A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2FB8DBAD">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61D03D55">
            <w:pPr>
              <w:pStyle w:val="445"/>
              <w:rPr>
                <w:rFonts w:cs="Times New Roman"/>
                <w:kern w:val="0"/>
                <w:szCs w:val="20"/>
              </w:rPr>
            </w:pPr>
            <w:r>
              <w:rPr>
                <w:rFonts w:hint="eastAsia" w:cs="Times New Roman"/>
                <w:kern w:val="0"/>
                <w:szCs w:val="20"/>
              </w:rPr>
              <w:t>土地利用类型</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0CCDDCA5">
            <w:pPr>
              <w:pStyle w:val="445"/>
              <w:rPr>
                <w:rFonts w:cs="Times New Roman"/>
                <w:kern w:val="0"/>
                <w:szCs w:val="20"/>
              </w:rPr>
            </w:pPr>
            <w:r>
              <w:rPr>
                <w:rFonts w:hint="eastAsia" w:cs="Times New Roman"/>
                <w:kern w:val="0"/>
                <w:szCs w:val="20"/>
              </w:rPr>
              <w:t>建设用地</w:t>
            </w:r>
            <w:r>
              <w:rPr>
                <w:rFonts w:cs="Times New Roman"/>
                <w:kern w:val="0"/>
                <w:szCs w:val="20"/>
              </w:rPr>
              <w:t>√</w:t>
            </w:r>
            <w:r>
              <w:rPr>
                <w:rFonts w:hint="eastAsia" w:cs="Times New Roman"/>
                <w:kern w:val="0"/>
                <w:szCs w:val="20"/>
              </w:rPr>
              <w:t>；农用地□；未利用地□</w:t>
            </w:r>
          </w:p>
        </w:tc>
        <w:tc>
          <w:tcPr>
            <w:tcW w:w="621" w:type="pct"/>
            <w:tcBorders>
              <w:top w:val="single" w:color="auto" w:sz="4" w:space="0"/>
              <w:left w:val="single" w:color="auto" w:sz="4" w:space="0"/>
              <w:bottom w:val="single" w:color="auto" w:sz="4" w:space="0"/>
              <w:right w:val="nil"/>
            </w:tcBorders>
            <w:vAlign w:val="center"/>
          </w:tcPr>
          <w:p w14:paraId="50965598">
            <w:pPr>
              <w:pStyle w:val="445"/>
              <w:rPr>
                <w:rFonts w:cs="Times New Roman"/>
                <w:kern w:val="0"/>
                <w:szCs w:val="20"/>
              </w:rPr>
            </w:pPr>
            <w:r>
              <w:rPr>
                <w:rFonts w:hint="eastAsia" w:cs="Times New Roman"/>
                <w:kern w:val="0"/>
                <w:szCs w:val="20"/>
              </w:rPr>
              <w:t>土地利用</w:t>
            </w:r>
          </w:p>
          <w:p w14:paraId="325E9624">
            <w:pPr>
              <w:pStyle w:val="445"/>
              <w:rPr>
                <w:rFonts w:cs="Times New Roman"/>
                <w:kern w:val="0"/>
                <w:szCs w:val="20"/>
              </w:rPr>
            </w:pPr>
            <w:r>
              <w:rPr>
                <w:rFonts w:hint="eastAsia" w:cs="Times New Roman"/>
                <w:kern w:val="0"/>
                <w:szCs w:val="20"/>
              </w:rPr>
              <w:t>类型图</w:t>
            </w:r>
          </w:p>
        </w:tc>
      </w:tr>
      <w:tr w14:paraId="31D0E6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DF59859">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01E27450">
            <w:pPr>
              <w:pStyle w:val="445"/>
              <w:rPr>
                <w:rFonts w:cs="Times New Roman"/>
                <w:kern w:val="0"/>
                <w:szCs w:val="20"/>
              </w:rPr>
            </w:pPr>
            <w:r>
              <w:rPr>
                <w:rFonts w:hint="eastAsia" w:cs="Times New Roman"/>
                <w:kern w:val="0"/>
                <w:szCs w:val="20"/>
              </w:rPr>
              <w:t>占地规模</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794DCC7">
            <w:pPr>
              <w:pStyle w:val="445"/>
              <w:rPr>
                <w:rFonts w:cs="Times New Roman"/>
                <w:kern w:val="0"/>
                <w:szCs w:val="20"/>
              </w:rPr>
            </w:pPr>
            <w:r>
              <w:rPr>
                <w:rFonts w:hint="eastAsia" w:cs="Times New Roman"/>
                <w:kern w:val="0"/>
                <w:szCs w:val="20"/>
              </w:rPr>
              <w:t>（</w:t>
            </w:r>
            <w:r>
              <w:rPr>
                <w:rFonts w:cs="Times New Roman"/>
                <w:kern w:val="0"/>
                <w:szCs w:val="20"/>
              </w:rPr>
              <w:t>6.38</w:t>
            </w:r>
            <w:r>
              <w:rPr>
                <w:rFonts w:hint="eastAsia" w:cs="Times New Roman"/>
                <w:kern w:val="0"/>
                <w:szCs w:val="20"/>
              </w:rPr>
              <w:t>）</w:t>
            </w:r>
            <w:r>
              <w:rPr>
                <w:rFonts w:cs="Times New Roman"/>
                <w:kern w:val="0"/>
                <w:szCs w:val="20"/>
              </w:rPr>
              <w:t>hm</w:t>
            </w:r>
            <w:r>
              <w:rPr>
                <w:rFonts w:cs="Times New Roman"/>
                <w:kern w:val="0"/>
                <w:szCs w:val="20"/>
                <w:vertAlign w:val="superscript"/>
              </w:rPr>
              <w:t>2</w:t>
            </w:r>
          </w:p>
        </w:tc>
        <w:tc>
          <w:tcPr>
            <w:tcW w:w="621" w:type="pct"/>
            <w:tcBorders>
              <w:top w:val="single" w:color="auto" w:sz="4" w:space="0"/>
              <w:left w:val="single" w:color="auto" w:sz="4" w:space="0"/>
              <w:bottom w:val="single" w:color="auto" w:sz="4" w:space="0"/>
              <w:right w:val="nil"/>
            </w:tcBorders>
            <w:vAlign w:val="center"/>
          </w:tcPr>
          <w:p w14:paraId="54E6B595">
            <w:pPr>
              <w:pStyle w:val="445"/>
              <w:rPr>
                <w:rFonts w:cs="Times New Roman"/>
                <w:kern w:val="0"/>
                <w:szCs w:val="20"/>
              </w:rPr>
            </w:pPr>
          </w:p>
        </w:tc>
      </w:tr>
      <w:tr w14:paraId="391D9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61C20E6">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7026E062">
            <w:pPr>
              <w:pStyle w:val="445"/>
              <w:rPr>
                <w:rFonts w:cs="Times New Roman"/>
                <w:kern w:val="0"/>
                <w:szCs w:val="20"/>
              </w:rPr>
            </w:pPr>
            <w:r>
              <w:rPr>
                <w:rFonts w:hint="eastAsia" w:cs="Times New Roman"/>
                <w:kern w:val="0"/>
                <w:szCs w:val="20"/>
              </w:rPr>
              <w:t>敏感目标信息</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1E7AFEB9">
            <w:pPr>
              <w:pStyle w:val="445"/>
              <w:rPr>
                <w:rFonts w:cs="Times New Roman"/>
                <w:kern w:val="0"/>
                <w:szCs w:val="20"/>
              </w:rPr>
            </w:pPr>
            <w:r>
              <w:rPr>
                <w:rFonts w:hint="eastAsia" w:cs="Times New Roman"/>
                <w:kern w:val="0"/>
                <w:szCs w:val="20"/>
              </w:rPr>
              <w:t>具体见表2.4.2-1</w:t>
            </w:r>
          </w:p>
        </w:tc>
        <w:tc>
          <w:tcPr>
            <w:tcW w:w="621" w:type="pct"/>
            <w:tcBorders>
              <w:top w:val="single" w:color="auto" w:sz="4" w:space="0"/>
              <w:left w:val="single" w:color="auto" w:sz="4" w:space="0"/>
              <w:bottom w:val="single" w:color="auto" w:sz="4" w:space="0"/>
              <w:right w:val="nil"/>
            </w:tcBorders>
            <w:vAlign w:val="center"/>
          </w:tcPr>
          <w:p w14:paraId="6F8AC111">
            <w:pPr>
              <w:pStyle w:val="445"/>
              <w:rPr>
                <w:rFonts w:cs="Times New Roman"/>
                <w:kern w:val="0"/>
                <w:szCs w:val="20"/>
              </w:rPr>
            </w:pPr>
          </w:p>
        </w:tc>
      </w:tr>
      <w:tr w14:paraId="67497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006766F">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52FA57B1">
            <w:pPr>
              <w:pStyle w:val="445"/>
              <w:rPr>
                <w:rFonts w:cs="Times New Roman"/>
                <w:kern w:val="0"/>
                <w:szCs w:val="20"/>
              </w:rPr>
            </w:pPr>
            <w:r>
              <w:rPr>
                <w:rFonts w:hint="eastAsia" w:cs="Times New Roman"/>
                <w:kern w:val="0"/>
                <w:szCs w:val="20"/>
              </w:rPr>
              <w:t>影响途径</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902F332">
            <w:pPr>
              <w:pStyle w:val="445"/>
              <w:rPr>
                <w:rFonts w:cs="Times New Roman"/>
                <w:kern w:val="0"/>
                <w:szCs w:val="20"/>
              </w:rPr>
            </w:pPr>
            <w:r>
              <w:rPr>
                <w:rFonts w:hint="eastAsia" w:cs="Times New Roman"/>
                <w:kern w:val="0"/>
                <w:szCs w:val="20"/>
              </w:rPr>
              <w:t>大气沉降</w:t>
            </w:r>
            <w:r>
              <w:rPr>
                <w:rFonts w:cs="Times New Roman"/>
                <w:kern w:val="0"/>
                <w:szCs w:val="20"/>
              </w:rPr>
              <w:t>√</w:t>
            </w:r>
            <w:r>
              <w:rPr>
                <w:rFonts w:hint="eastAsia" w:cs="Times New Roman"/>
                <w:kern w:val="0"/>
                <w:szCs w:val="20"/>
              </w:rPr>
              <w:t>；地面漫流□；垂直入渗</w:t>
            </w:r>
            <w:r>
              <w:rPr>
                <w:rFonts w:cs="Times New Roman"/>
                <w:kern w:val="0"/>
                <w:szCs w:val="20"/>
              </w:rPr>
              <w:t>√</w:t>
            </w:r>
            <w:r>
              <w:rPr>
                <w:rFonts w:hint="eastAsia" w:cs="Times New Roman"/>
                <w:kern w:val="0"/>
                <w:szCs w:val="20"/>
              </w:rPr>
              <w:t>；地下水位□；其他（</w:t>
            </w:r>
            <w:r>
              <w:rPr>
                <w:rFonts w:cs="Times New Roman"/>
                <w:kern w:val="0"/>
                <w:szCs w:val="20"/>
              </w:rPr>
              <w:t xml:space="preserve">        </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3138B376">
            <w:pPr>
              <w:pStyle w:val="445"/>
              <w:rPr>
                <w:rFonts w:cs="Times New Roman"/>
                <w:kern w:val="0"/>
                <w:szCs w:val="20"/>
              </w:rPr>
            </w:pPr>
          </w:p>
        </w:tc>
      </w:tr>
      <w:tr w14:paraId="24314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8830DD0">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26B5A5FA">
            <w:pPr>
              <w:pStyle w:val="445"/>
              <w:rPr>
                <w:rFonts w:cs="Times New Roman"/>
                <w:kern w:val="0"/>
                <w:szCs w:val="20"/>
              </w:rPr>
            </w:pPr>
            <w:r>
              <w:rPr>
                <w:rFonts w:hint="eastAsia" w:cs="Times New Roman"/>
                <w:kern w:val="0"/>
                <w:szCs w:val="20"/>
              </w:rPr>
              <w:t>全部污染物</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21AD3141">
            <w:pPr>
              <w:pStyle w:val="445"/>
              <w:rPr>
                <w:rFonts w:cs="Times New Roman"/>
                <w:color w:val="FF0000"/>
                <w:kern w:val="0"/>
                <w:szCs w:val="20"/>
                <w:highlight w:val="yellow"/>
              </w:rPr>
            </w:pPr>
          </w:p>
        </w:tc>
        <w:tc>
          <w:tcPr>
            <w:tcW w:w="621" w:type="pct"/>
            <w:tcBorders>
              <w:top w:val="single" w:color="auto" w:sz="4" w:space="0"/>
              <w:left w:val="single" w:color="auto" w:sz="4" w:space="0"/>
              <w:bottom w:val="single" w:color="auto" w:sz="4" w:space="0"/>
              <w:right w:val="nil"/>
            </w:tcBorders>
            <w:vAlign w:val="center"/>
          </w:tcPr>
          <w:p w14:paraId="0C473E64">
            <w:pPr>
              <w:pStyle w:val="445"/>
              <w:rPr>
                <w:rFonts w:cs="Times New Roman"/>
                <w:kern w:val="0"/>
                <w:szCs w:val="20"/>
              </w:rPr>
            </w:pPr>
          </w:p>
        </w:tc>
      </w:tr>
      <w:tr w14:paraId="4380C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1DDEF80">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0A39AADD">
            <w:pPr>
              <w:pStyle w:val="445"/>
              <w:rPr>
                <w:rFonts w:cs="Times New Roman"/>
                <w:kern w:val="0"/>
                <w:szCs w:val="20"/>
              </w:rPr>
            </w:pPr>
            <w:r>
              <w:rPr>
                <w:rFonts w:hint="eastAsia" w:cs="Times New Roman"/>
                <w:kern w:val="0"/>
                <w:szCs w:val="20"/>
              </w:rPr>
              <w:t>特征因子</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15C9DF3">
            <w:pPr>
              <w:pStyle w:val="445"/>
              <w:rPr>
                <w:rFonts w:cs="Times New Roman"/>
                <w:color w:val="FF0000"/>
                <w:kern w:val="0"/>
                <w:szCs w:val="20"/>
                <w:highlight w:val="yellow"/>
              </w:rPr>
            </w:pPr>
          </w:p>
        </w:tc>
        <w:tc>
          <w:tcPr>
            <w:tcW w:w="621" w:type="pct"/>
            <w:tcBorders>
              <w:top w:val="single" w:color="auto" w:sz="4" w:space="0"/>
              <w:left w:val="single" w:color="auto" w:sz="4" w:space="0"/>
              <w:bottom w:val="single" w:color="auto" w:sz="4" w:space="0"/>
              <w:right w:val="nil"/>
            </w:tcBorders>
            <w:vAlign w:val="center"/>
          </w:tcPr>
          <w:p w14:paraId="39245FED">
            <w:pPr>
              <w:pStyle w:val="445"/>
              <w:rPr>
                <w:rFonts w:cs="Times New Roman"/>
                <w:kern w:val="0"/>
                <w:szCs w:val="20"/>
              </w:rPr>
            </w:pPr>
          </w:p>
        </w:tc>
      </w:tr>
      <w:tr w14:paraId="33154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EB011FC">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03AED016">
            <w:pPr>
              <w:pStyle w:val="445"/>
              <w:rPr>
                <w:rFonts w:cs="Times New Roman"/>
                <w:kern w:val="0"/>
                <w:szCs w:val="20"/>
              </w:rPr>
            </w:pPr>
            <w:r>
              <w:rPr>
                <w:rFonts w:hint="eastAsia" w:cs="Times New Roman"/>
                <w:kern w:val="0"/>
                <w:szCs w:val="20"/>
              </w:rPr>
              <w:t>所属土壤环境影响</w:t>
            </w:r>
          </w:p>
          <w:p w14:paraId="64717FCE">
            <w:pPr>
              <w:pStyle w:val="445"/>
              <w:rPr>
                <w:rFonts w:cs="Times New Roman"/>
                <w:kern w:val="0"/>
                <w:szCs w:val="20"/>
              </w:rPr>
            </w:pPr>
            <w:r>
              <w:rPr>
                <w:rFonts w:hint="eastAsia" w:cs="Times New Roman"/>
                <w:kern w:val="0"/>
                <w:szCs w:val="20"/>
              </w:rPr>
              <w:t>评价项目类别</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7140FB4B">
            <w:pPr>
              <w:pStyle w:val="445"/>
              <w:rPr>
                <w:rFonts w:cs="Times New Roman"/>
                <w:kern w:val="0"/>
                <w:szCs w:val="20"/>
              </w:rPr>
            </w:pPr>
            <w:r>
              <w:rPr>
                <w:rFonts w:hint="eastAsia" w:cs="Times New Roman"/>
                <w:kern w:val="0"/>
                <w:szCs w:val="20"/>
              </w:rPr>
              <w:t>Ⅰ类</w:t>
            </w:r>
            <w:r>
              <w:rPr>
                <w:rFonts w:cs="Times New Roman"/>
                <w:kern w:val="0"/>
                <w:szCs w:val="20"/>
              </w:rPr>
              <w:t>R</w:t>
            </w:r>
            <w:r>
              <w:rPr>
                <w:rFonts w:hint="eastAsia" w:cs="Times New Roman"/>
                <w:kern w:val="0"/>
                <w:szCs w:val="20"/>
              </w:rPr>
              <w:t>；Ⅱ类□；Ⅲ类□；Ⅳ类□</w:t>
            </w:r>
          </w:p>
        </w:tc>
        <w:tc>
          <w:tcPr>
            <w:tcW w:w="621" w:type="pct"/>
            <w:tcBorders>
              <w:top w:val="single" w:color="auto" w:sz="4" w:space="0"/>
              <w:left w:val="single" w:color="auto" w:sz="4" w:space="0"/>
              <w:bottom w:val="single" w:color="auto" w:sz="4" w:space="0"/>
              <w:right w:val="nil"/>
            </w:tcBorders>
            <w:vAlign w:val="center"/>
          </w:tcPr>
          <w:p w14:paraId="64F556F1">
            <w:pPr>
              <w:pStyle w:val="445"/>
              <w:rPr>
                <w:rFonts w:cs="Times New Roman"/>
                <w:kern w:val="0"/>
                <w:szCs w:val="20"/>
              </w:rPr>
            </w:pPr>
          </w:p>
        </w:tc>
      </w:tr>
      <w:tr w14:paraId="6F63A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373E38C">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1FED47A8">
            <w:pPr>
              <w:pStyle w:val="445"/>
              <w:rPr>
                <w:rFonts w:cs="Times New Roman"/>
                <w:kern w:val="0"/>
                <w:szCs w:val="20"/>
              </w:rPr>
            </w:pPr>
            <w:r>
              <w:rPr>
                <w:rFonts w:hint="eastAsia" w:cs="Times New Roman"/>
                <w:kern w:val="0"/>
                <w:szCs w:val="20"/>
              </w:rPr>
              <w:t>敏感程度</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CE2AAAE">
            <w:pPr>
              <w:pStyle w:val="445"/>
              <w:rPr>
                <w:rFonts w:cs="Times New Roman"/>
                <w:kern w:val="0"/>
                <w:szCs w:val="20"/>
              </w:rPr>
            </w:pPr>
            <w:r>
              <w:rPr>
                <w:rFonts w:hint="eastAsia" w:cs="Times New Roman"/>
                <w:kern w:val="0"/>
                <w:szCs w:val="20"/>
              </w:rPr>
              <w:t>敏感</w:t>
            </w:r>
            <w:r>
              <w:rPr>
                <w:rFonts w:cs="Times New Roman"/>
                <w:kern w:val="0"/>
                <w:szCs w:val="20"/>
              </w:rPr>
              <w:t>√</w:t>
            </w:r>
            <w:r>
              <w:rPr>
                <w:rFonts w:hint="eastAsia" w:cs="Times New Roman"/>
                <w:kern w:val="0"/>
                <w:szCs w:val="20"/>
              </w:rPr>
              <w:t>；较敏感</w:t>
            </w:r>
            <w:r>
              <w:rPr>
                <w:rFonts w:cs="Times New Roman"/>
                <w:kern w:val="0"/>
                <w:szCs w:val="20"/>
              </w:rPr>
              <w:t>□</w:t>
            </w:r>
            <w:r>
              <w:rPr>
                <w:rFonts w:hint="eastAsia" w:cs="Times New Roman"/>
                <w:kern w:val="0"/>
                <w:szCs w:val="20"/>
              </w:rPr>
              <w:t>；不敏感</w:t>
            </w:r>
            <w:r>
              <w:rPr>
                <w:rFonts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4EBACD52">
            <w:pPr>
              <w:pStyle w:val="445"/>
              <w:rPr>
                <w:rFonts w:cs="Times New Roman"/>
                <w:kern w:val="0"/>
                <w:szCs w:val="20"/>
              </w:rPr>
            </w:pPr>
          </w:p>
        </w:tc>
      </w:tr>
      <w:tr w14:paraId="4522D1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pct"/>
            <w:gridSpan w:val="2"/>
            <w:tcBorders>
              <w:top w:val="single" w:color="auto" w:sz="4" w:space="0"/>
              <w:left w:val="nil"/>
              <w:bottom w:val="single" w:color="auto" w:sz="4" w:space="0"/>
              <w:right w:val="single" w:color="auto" w:sz="4" w:space="0"/>
            </w:tcBorders>
            <w:vAlign w:val="center"/>
          </w:tcPr>
          <w:p w14:paraId="5C7992C7">
            <w:pPr>
              <w:pStyle w:val="445"/>
              <w:rPr>
                <w:rFonts w:cs="Times New Roman"/>
                <w:kern w:val="0"/>
                <w:szCs w:val="20"/>
              </w:rPr>
            </w:pPr>
            <w:r>
              <w:rPr>
                <w:rFonts w:hint="eastAsia" w:cs="Times New Roman"/>
                <w:kern w:val="0"/>
                <w:szCs w:val="20"/>
              </w:rPr>
              <w:t>评价工作等级</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3F00CAD0">
            <w:pPr>
              <w:pStyle w:val="445"/>
              <w:rPr>
                <w:rFonts w:cs="Times New Roman"/>
                <w:kern w:val="0"/>
                <w:szCs w:val="20"/>
              </w:rPr>
            </w:pPr>
            <w:r>
              <w:rPr>
                <w:rFonts w:hint="eastAsia" w:cs="Times New Roman"/>
                <w:kern w:val="0"/>
                <w:szCs w:val="20"/>
              </w:rPr>
              <w:t>一级</w:t>
            </w:r>
            <w:r>
              <w:rPr>
                <w:rFonts w:cs="Times New Roman"/>
                <w:kern w:val="0"/>
                <w:szCs w:val="20"/>
              </w:rPr>
              <w:t>√</w:t>
            </w:r>
            <w:r>
              <w:rPr>
                <w:rFonts w:hint="eastAsia" w:cs="Times New Roman"/>
                <w:kern w:val="0"/>
                <w:szCs w:val="20"/>
              </w:rPr>
              <w:t>；二级□；三级□</w:t>
            </w:r>
          </w:p>
        </w:tc>
        <w:tc>
          <w:tcPr>
            <w:tcW w:w="621" w:type="pct"/>
            <w:tcBorders>
              <w:top w:val="single" w:color="auto" w:sz="4" w:space="0"/>
              <w:left w:val="single" w:color="auto" w:sz="4" w:space="0"/>
              <w:bottom w:val="single" w:color="auto" w:sz="4" w:space="0"/>
              <w:right w:val="nil"/>
            </w:tcBorders>
            <w:vAlign w:val="center"/>
          </w:tcPr>
          <w:p w14:paraId="1C716455">
            <w:pPr>
              <w:pStyle w:val="445"/>
              <w:rPr>
                <w:rFonts w:cs="Times New Roman"/>
                <w:kern w:val="0"/>
                <w:szCs w:val="20"/>
              </w:rPr>
            </w:pPr>
          </w:p>
        </w:tc>
      </w:tr>
      <w:tr w14:paraId="2D1A0A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Merge w:val="restart"/>
            <w:tcBorders>
              <w:top w:val="single" w:color="auto" w:sz="4" w:space="0"/>
              <w:left w:val="nil"/>
              <w:bottom w:val="single" w:color="auto" w:sz="4" w:space="0"/>
              <w:right w:val="single" w:color="auto" w:sz="4" w:space="0"/>
            </w:tcBorders>
            <w:vAlign w:val="center"/>
          </w:tcPr>
          <w:p w14:paraId="63C7D23A">
            <w:pPr>
              <w:pStyle w:val="445"/>
              <w:rPr>
                <w:rFonts w:cs="Times New Roman"/>
                <w:kern w:val="0"/>
                <w:szCs w:val="20"/>
              </w:rPr>
            </w:pPr>
            <w:r>
              <w:rPr>
                <w:rFonts w:hint="eastAsia" w:cs="Times New Roman"/>
                <w:kern w:val="0"/>
                <w:szCs w:val="20"/>
              </w:rPr>
              <w:t>现状</w:t>
            </w:r>
            <w:r>
              <w:rPr>
                <w:rFonts w:cs="Times New Roman"/>
                <w:kern w:val="0"/>
                <w:szCs w:val="20"/>
              </w:rPr>
              <w:t xml:space="preserve"> </w:t>
            </w:r>
            <w:r>
              <w:rPr>
                <w:rFonts w:hint="eastAsia" w:cs="Times New Roman"/>
                <w:kern w:val="0"/>
                <w:szCs w:val="20"/>
              </w:rPr>
              <w:t>调查</w:t>
            </w:r>
            <w:r>
              <w:rPr>
                <w:rFonts w:cs="Times New Roman"/>
                <w:kern w:val="0"/>
                <w:szCs w:val="20"/>
              </w:rPr>
              <w:t xml:space="preserve"> </w:t>
            </w:r>
            <w:r>
              <w:rPr>
                <w:rFonts w:hint="eastAsia" w:cs="Times New Roman"/>
                <w:kern w:val="0"/>
                <w:szCs w:val="20"/>
              </w:rPr>
              <w:t>内容</w:t>
            </w:r>
          </w:p>
        </w:tc>
        <w:tc>
          <w:tcPr>
            <w:tcW w:w="903" w:type="pct"/>
            <w:tcBorders>
              <w:top w:val="single" w:color="auto" w:sz="4" w:space="0"/>
              <w:left w:val="single" w:color="auto" w:sz="4" w:space="0"/>
              <w:bottom w:val="single" w:color="auto" w:sz="4" w:space="0"/>
              <w:right w:val="single" w:color="auto" w:sz="4" w:space="0"/>
            </w:tcBorders>
            <w:vAlign w:val="center"/>
          </w:tcPr>
          <w:p w14:paraId="03D8E04D">
            <w:pPr>
              <w:pStyle w:val="445"/>
              <w:rPr>
                <w:rFonts w:cs="Times New Roman"/>
                <w:kern w:val="0"/>
                <w:szCs w:val="20"/>
              </w:rPr>
            </w:pPr>
            <w:r>
              <w:rPr>
                <w:rFonts w:hint="eastAsia" w:cs="Times New Roman"/>
                <w:kern w:val="0"/>
                <w:szCs w:val="20"/>
              </w:rPr>
              <w:t>资料收集</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3221ACA9">
            <w:pPr>
              <w:pStyle w:val="445"/>
              <w:rPr>
                <w:rFonts w:cs="Times New Roman"/>
                <w:kern w:val="0"/>
                <w:szCs w:val="20"/>
              </w:rPr>
            </w:pPr>
            <w:r>
              <w:rPr>
                <w:rFonts w:cs="Times New Roman"/>
                <w:kern w:val="0"/>
                <w:szCs w:val="20"/>
              </w:rPr>
              <w:t>a</w:t>
            </w:r>
            <w:r>
              <w:rPr>
                <w:rFonts w:hint="eastAsia" w:cs="Times New Roman"/>
                <w:kern w:val="0"/>
                <w:szCs w:val="20"/>
              </w:rPr>
              <w:t>）□；</w:t>
            </w:r>
            <w:r>
              <w:rPr>
                <w:rFonts w:cs="Times New Roman"/>
                <w:kern w:val="0"/>
                <w:szCs w:val="20"/>
              </w:rPr>
              <w:t>b</w:t>
            </w:r>
            <w:r>
              <w:rPr>
                <w:rFonts w:hint="eastAsia" w:cs="Times New Roman"/>
                <w:kern w:val="0"/>
                <w:szCs w:val="20"/>
              </w:rPr>
              <w:t>）</w:t>
            </w:r>
            <w:r>
              <w:rPr>
                <w:rFonts w:cs="Times New Roman"/>
                <w:kern w:val="0"/>
                <w:szCs w:val="20"/>
              </w:rPr>
              <w:t>√</w:t>
            </w:r>
            <w:r>
              <w:rPr>
                <w:rFonts w:hint="eastAsia" w:cs="Times New Roman"/>
                <w:kern w:val="0"/>
                <w:szCs w:val="20"/>
              </w:rPr>
              <w:t>；</w:t>
            </w:r>
            <w:r>
              <w:rPr>
                <w:rFonts w:cs="Times New Roman"/>
                <w:kern w:val="0"/>
                <w:szCs w:val="20"/>
              </w:rPr>
              <w:t>c</w:t>
            </w:r>
            <w:r>
              <w:rPr>
                <w:rFonts w:hint="eastAsia" w:cs="Times New Roman"/>
                <w:kern w:val="0"/>
                <w:szCs w:val="20"/>
              </w:rPr>
              <w:t>）□；</w:t>
            </w:r>
            <w:r>
              <w:rPr>
                <w:rFonts w:cs="Times New Roman"/>
                <w:kern w:val="0"/>
                <w:szCs w:val="20"/>
              </w:rPr>
              <w:t>d</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50E99C32">
            <w:pPr>
              <w:pStyle w:val="445"/>
              <w:rPr>
                <w:rFonts w:cs="Times New Roman"/>
                <w:kern w:val="0"/>
                <w:szCs w:val="20"/>
              </w:rPr>
            </w:pPr>
          </w:p>
        </w:tc>
      </w:tr>
      <w:tr w14:paraId="0036B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B23C002">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0589E67F">
            <w:pPr>
              <w:pStyle w:val="445"/>
              <w:rPr>
                <w:rFonts w:cs="Times New Roman"/>
                <w:kern w:val="0"/>
                <w:szCs w:val="20"/>
              </w:rPr>
            </w:pPr>
            <w:r>
              <w:rPr>
                <w:rFonts w:hint="eastAsia" w:cs="Times New Roman"/>
                <w:kern w:val="0"/>
                <w:szCs w:val="20"/>
              </w:rPr>
              <w:t>理化特性</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165C3A7B">
            <w:pPr>
              <w:pStyle w:val="445"/>
              <w:rPr>
                <w:rFonts w:cs="Times New Roman"/>
                <w:kern w:val="0"/>
                <w:szCs w:val="20"/>
              </w:rPr>
            </w:pPr>
          </w:p>
        </w:tc>
        <w:tc>
          <w:tcPr>
            <w:tcW w:w="621" w:type="pct"/>
            <w:tcBorders>
              <w:top w:val="single" w:color="auto" w:sz="4" w:space="0"/>
              <w:left w:val="single" w:color="auto" w:sz="4" w:space="0"/>
              <w:bottom w:val="single" w:color="auto" w:sz="4" w:space="0"/>
              <w:right w:val="nil"/>
            </w:tcBorders>
            <w:vAlign w:val="center"/>
          </w:tcPr>
          <w:p w14:paraId="6B3C37D4">
            <w:pPr>
              <w:pStyle w:val="445"/>
              <w:rPr>
                <w:rFonts w:cs="Times New Roman"/>
                <w:kern w:val="0"/>
                <w:szCs w:val="20"/>
              </w:rPr>
            </w:pPr>
            <w:r>
              <w:rPr>
                <w:rFonts w:hint="eastAsia" w:cs="Times New Roman"/>
                <w:kern w:val="0"/>
                <w:szCs w:val="20"/>
              </w:rPr>
              <w:t>同附录</w:t>
            </w:r>
            <w:r>
              <w:rPr>
                <w:rFonts w:cs="Times New Roman"/>
                <w:kern w:val="0"/>
                <w:szCs w:val="20"/>
              </w:rPr>
              <w:t>C</w:t>
            </w:r>
          </w:p>
        </w:tc>
      </w:tr>
      <w:tr w14:paraId="6DB694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DAD0AC8">
            <w:pPr>
              <w:pStyle w:val="445"/>
              <w:rPr>
                <w:rFonts w:cs="Times New Roman"/>
                <w:kern w:val="0"/>
                <w:szCs w:val="18"/>
              </w:rPr>
            </w:pPr>
          </w:p>
        </w:tc>
        <w:tc>
          <w:tcPr>
            <w:tcW w:w="903" w:type="pct"/>
            <w:vMerge w:val="restart"/>
            <w:tcBorders>
              <w:top w:val="single" w:color="auto" w:sz="4" w:space="0"/>
              <w:left w:val="single" w:color="auto" w:sz="4" w:space="0"/>
              <w:bottom w:val="single" w:color="auto" w:sz="4" w:space="0"/>
              <w:right w:val="single" w:color="auto" w:sz="4" w:space="0"/>
            </w:tcBorders>
            <w:vAlign w:val="center"/>
          </w:tcPr>
          <w:p w14:paraId="02838236">
            <w:pPr>
              <w:pStyle w:val="445"/>
              <w:rPr>
                <w:rFonts w:cs="Times New Roman"/>
                <w:kern w:val="0"/>
                <w:szCs w:val="20"/>
              </w:rPr>
            </w:pPr>
            <w:r>
              <w:rPr>
                <w:rFonts w:hint="eastAsia" w:cs="Times New Roman"/>
                <w:kern w:val="0"/>
                <w:szCs w:val="20"/>
              </w:rPr>
              <w:t>现状监测点位</w:t>
            </w:r>
          </w:p>
        </w:tc>
        <w:tc>
          <w:tcPr>
            <w:tcW w:w="573" w:type="pct"/>
            <w:tcBorders>
              <w:top w:val="single" w:color="auto" w:sz="4" w:space="0"/>
              <w:left w:val="single" w:color="auto" w:sz="4" w:space="0"/>
              <w:bottom w:val="single" w:color="auto" w:sz="4" w:space="0"/>
              <w:right w:val="single" w:color="auto" w:sz="4" w:space="0"/>
            </w:tcBorders>
            <w:vAlign w:val="center"/>
          </w:tcPr>
          <w:p w14:paraId="0A271488">
            <w:pPr>
              <w:pStyle w:val="445"/>
              <w:rPr>
                <w:rFonts w:cs="Times New Roman"/>
                <w:kern w:val="0"/>
                <w:szCs w:val="20"/>
              </w:rPr>
            </w:pPr>
          </w:p>
        </w:tc>
        <w:tc>
          <w:tcPr>
            <w:tcW w:w="686" w:type="pct"/>
            <w:tcBorders>
              <w:top w:val="single" w:color="auto" w:sz="4" w:space="0"/>
              <w:left w:val="single" w:color="auto" w:sz="4" w:space="0"/>
              <w:bottom w:val="single" w:color="auto" w:sz="4" w:space="0"/>
              <w:right w:val="single" w:color="auto" w:sz="4" w:space="0"/>
            </w:tcBorders>
            <w:vAlign w:val="center"/>
          </w:tcPr>
          <w:p w14:paraId="184B60C1">
            <w:pPr>
              <w:pStyle w:val="445"/>
              <w:rPr>
                <w:rFonts w:cs="Times New Roman"/>
                <w:kern w:val="0"/>
                <w:szCs w:val="20"/>
              </w:rPr>
            </w:pPr>
            <w:r>
              <w:rPr>
                <w:rFonts w:hint="eastAsia" w:cs="Times New Roman"/>
                <w:kern w:val="0"/>
                <w:szCs w:val="20"/>
              </w:rPr>
              <w:t>占地范围内</w:t>
            </w:r>
          </w:p>
        </w:tc>
        <w:tc>
          <w:tcPr>
            <w:tcW w:w="687" w:type="pct"/>
            <w:tcBorders>
              <w:top w:val="single" w:color="auto" w:sz="4" w:space="0"/>
              <w:left w:val="single" w:color="auto" w:sz="4" w:space="0"/>
              <w:bottom w:val="single" w:color="auto" w:sz="4" w:space="0"/>
              <w:right w:val="single" w:color="auto" w:sz="4" w:space="0"/>
            </w:tcBorders>
            <w:vAlign w:val="center"/>
          </w:tcPr>
          <w:p w14:paraId="1ECB9131">
            <w:pPr>
              <w:pStyle w:val="445"/>
              <w:rPr>
                <w:rFonts w:cs="Times New Roman"/>
                <w:kern w:val="0"/>
                <w:szCs w:val="20"/>
              </w:rPr>
            </w:pPr>
            <w:r>
              <w:rPr>
                <w:rFonts w:hint="eastAsia" w:cs="Times New Roman"/>
                <w:kern w:val="0"/>
                <w:szCs w:val="20"/>
              </w:rPr>
              <w:t>占地范围外</w:t>
            </w:r>
          </w:p>
        </w:tc>
        <w:tc>
          <w:tcPr>
            <w:tcW w:w="1300" w:type="pct"/>
            <w:gridSpan w:val="2"/>
            <w:tcBorders>
              <w:top w:val="single" w:color="auto" w:sz="4" w:space="0"/>
              <w:left w:val="single" w:color="auto" w:sz="4" w:space="0"/>
              <w:bottom w:val="single" w:color="auto" w:sz="4" w:space="0"/>
              <w:right w:val="single" w:color="auto" w:sz="4" w:space="0"/>
            </w:tcBorders>
            <w:vAlign w:val="center"/>
          </w:tcPr>
          <w:p w14:paraId="028DBB2A">
            <w:pPr>
              <w:pStyle w:val="445"/>
              <w:rPr>
                <w:rFonts w:cs="Times New Roman"/>
                <w:kern w:val="0"/>
                <w:szCs w:val="20"/>
              </w:rPr>
            </w:pPr>
            <w:r>
              <w:rPr>
                <w:rFonts w:hint="eastAsia" w:cs="Times New Roman"/>
                <w:kern w:val="0"/>
                <w:szCs w:val="20"/>
              </w:rPr>
              <w:t>深度</w:t>
            </w:r>
          </w:p>
        </w:tc>
        <w:tc>
          <w:tcPr>
            <w:tcW w:w="621" w:type="pct"/>
            <w:vMerge w:val="restart"/>
            <w:tcBorders>
              <w:top w:val="single" w:color="auto" w:sz="4" w:space="0"/>
              <w:left w:val="single" w:color="auto" w:sz="4" w:space="0"/>
              <w:bottom w:val="single" w:color="auto" w:sz="4" w:space="0"/>
              <w:right w:val="nil"/>
            </w:tcBorders>
            <w:vAlign w:val="center"/>
          </w:tcPr>
          <w:p w14:paraId="1251F87D">
            <w:pPr>
              <w:pStyle w:val="445"/>
              <w:rPr>
                <w:rFonts w:cs="Times New Roman"/>
                <w:kern w:val="0"/>
                <w:szCs w:val="20"/>
              </w:rPr>
            </w:pPr>
          </w:p>
        </w:tc>
      </w:tr>
      <w:tr w14:paraId="4066E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06873CD">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2F2DB5">
            <w:pPr>
              <w:pStyle w:val="445"/>
              <w:rPr>
                <w:rFonts w:cs="Times New Roman"/>
                <w:kern w:val="0"/>
                <w:szCs w:val="18"/>
              </w:rPr>
            </w:pPr>
          </w:p>
        </w:tc>
        <w:tc>
          <w:tcPr>
            <w:tcW w:w="573" w:type="pct"/>
            <w:tcBorders>
              <w:top w:val="single" w:color="auto" w:sz="4" w:space="0"/>
              <w:left w:val="single" w:color="auto" w:sz="4" w:space="0"/>
              <w:bottom w:val="single" w:color="auto" w:sz="4" w:space="0"/>
              <w:right w:val="single" w:color="auto" w:sz="4" w:space="0"/>
            </w:tcBorders>
            <w:vAlign w:val="center"/>
          </w:tcPr>
          <w:p w14:paraId="36F92F01">
            <w:pPr>
              <w:pStyle w:val="445"/>
              <w:rPr>
                <w:rFonts w:cs="Times New Roman"/>
                <w:kern w:val="0"/>
                <w:szCs w:val="20"/>
              </w:rPr>
            </w:pPr>
            <w:r>
              <w:rPr>
                <w:rFonts w:hint="eastAsia" w:cs="Times New Roman"/>
                <w:kern w:val="0"/>
                <w:szCs w:val="20"/>
              </w:rPr>
              <w:t>表层样点数</w:t>
            </w:r>
          </w:p>
        </w:tc>
        <w:tc>
          <w:tcPr>
            <w:tcW w:w="686" w:type="pct"/>
            <w:tcBorders>
              <w:top w:val="single" w:color="auto" w:sz="4" w:space="0"/>
              <w:left w:val="single" w:color="auto" w:sz="4" w:space="0"/>
              <w:bottom w:val="single" w:color="auto" w:sz="4" w:space="0"/>
              <w:right w:val="single" w:color="auto" w:sz="4" w:space="0"/>
            </w:tcBorders>
            <w:vAlign w:val="center"/>
          </w:tcPr>
          <w:p w14:paraId="108D0053">
            <w:pPr>
              <w:pStyle w:val="445"/>
              <w:rPr>
                <w:rFonts w:cs="Times New Roman"/>
                <w:kern w:val="0"/>
                <w:szCs w:val="20"/>
              </w:rPr>
            </w:pPr>
            <w:r>
              <w:rPr>
                <w:rFonts w:cs="Times New Roman"/>
                <w:kern w:val="0"/>
                <w:szCs w:val="20"/>
              </w:rPr>
              <w:t>2</w:t>
            </w:r>
          </w:p>
        </w:tc>
        <w:tc>
          <w:tcPr>
            <w:tcW w:w="687" w:type="pct"/>
            <w:tcBorders>
              <w:top w:val="single" w:color="auto" w:sz="4" w:space="0"/>
              <w:left w:val="single" w:color="auto" w:sz="4" w:space="0"/>
              <w:bottom w:val="single" w:color="auto" w:sz="4" w:space="0"/>
              <w:right w:val="single" w:color="auto" w:sz="4" w:space="0"/>
            </w:tcBorders>
            <w:vAlign w:val="center"/>
          </w:tcPr>
          <w:p w14:paraId="0C522428">
            <w:pPr>
              <w:pStyle w:val="445"/>
              <w:rPr>
                <w:rFonts w:cs="Times New Roman"/>
                <w:kern w:val="0"/>
                <w:szCs w:val="20"/>
              </w:rPr>
            </w:pPr>
            <w:r>
              <w:rPr>
                <w:rFonts w:hint="eastAsia" w:cs="Times New Roman"/>
                <w:kern w:val="0"/>
                <w:szCs w:val="20"/>
              </w:rPr>
              <w:t>4</w:t>
            </w:r>
          </w:p>
        </w:tc>
        <w:tc>
          <w:tcPr>
            <w:tcW w:w="1300" w:type="pct"/>
            <w:gridSpan w:val="2"/>
            <w:vMerge w:val="restart"/>
            <w:tcBorders>
              <w:top w:val="single" w:color="auto" w:sz="4" w:space="0"/>
              <w:left w:val="single" w:color="auto" w:sz="4" w:space="0"/>
              <w:bottom w:val="single" w:color="auto" w:sz="4" w:space="0"/>
              <w:right w:val="single" w:color="auto" w:sz="4" w:space="0"/>
            </w:tcBorders>
            <w:vAlign w:val="center"/>
          </w:tcPr>
          <w:p w14:paraId="4641C841">
            <w:pPr>
              <w:pStyle w:val="445"/>
              <w:rPr>
                <w:rFonts w:cs="Times New Roman"/>
                <w:kern w:val="0"/>
                <w:szCs w:val="20"/>
              </w:rPr>
            </w:pPr>
            <w:r>
              <w:rPr>
                <w:rFonts w:hint="eastAsia" w:cs="Times New Roman"/>
                <w:kern w:val="0"/>
                <w:szCs w:val="20"/>
              </w:rPr>
              <w:t>表层样应在0-0.2m取样，柱状样应分别在0-0.5m、0.5-1.5m、1.5-3m，3m各取一个样</w:t>
            </w:r>
          </w:p>
        </w:tc>
        <w:tc>
          <w:tcPr>
            <w:tcW w:w="0" w:type="auto"/>
            <w:vMerge w:val="continue"/>
            <w:tcBorders>
              <w:top w:val="single" w:color="auto" w:sz="4" w:space="0"/>
              <w:left w:val="single" w:color="auto" w:sz="4" w:space="0"/>
              <w:bottom w:val="single" w:color="auto" w:sz="4" w:space="0"/>
              <w:right w:val="nil"/>
            </w:tcBorders>
            <w:vAlign w:val="center"/>
          </w:tcPr>
          <w:p w14:paraId="64AC4884">
            <w:pPr>
              <w:pStyle w:val="445"/>
              <w:rPr>
                <w:rFonts w:cs="Times New Roman"/>
                <w:kern w:val="0"/>
                <w:szCs w:val="18"/>
              </w:rPr>
            </w:pPr>
          </w:p>
        </w:tc>
      </w:tr>
      <w:tr w14:paraId="33C5D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6BF0FB9">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CB0167">
            <w:pPr>
              <w:pStyle w:val="445"/>
              <w:rPr>
                <w:rFonts w:cs="Times New Roman"/>
                <w:kern w:val="0"/>
                <w:szCs w:val="18"/>
              </w:rPr>
            </w:pPr>
          </w:p>
        </w:tc>
        <w:tc>
          <w:tcPr>
            <w:tcW w:w="573" w:type="pct"/>
            <w:tcBorders>
              <w:top w:val="single" w:color="auto" w:sz="4" w:space="0"/>
              <w:left w:val="single" w:color="auto" w:sz="4" w:space="0"/>
              <w:bottom w:val="single" w:color="auto" w:sz="4" w:space="0"/>
              <w:right w:val="single" w:color="auto" w:sz="4" w:space="0"/>
            </w:tcBorders>
            <w:vAlign w:val="center"/>
          </w:tcPr>
          <w:p w14:paraId="4901940D">
            <w:pPr>
              <w:pStyle w:val="445"/>
              <w:rPr>
                <w:rFonts w:cs="Times New Roman"/>
                <w:kern w:val="0"/>
                <w:szCs w:val="20"/>
              </w:rPr>
            </w:pPr>
            <w:r>
              <w:rPr>
                <w:rFonts w:hint="eastAsia" w:cs="Times New Roman"/>
                <w:kern w:val="0"/>
                <w:szCs w:val="20"/>
              </w:rPr>
              <w:t>柱状样点数</w:t>
            </w:r>
          </w:p>
        </w:tc>
        <w:tc>
          <w:tcPr>
            <w:tcW w:w="686" w:type="pct"/>
            <w:tcBorders>
              <w:top w:val="single" w:color="auto" w:sz="4" w:space="0"/>
              <w:left w:val="single" w:color="auto" w:sz="4" w:space="0"/>
              <w:bottom w:val="single" w:color="auto" w:sz="4" w:space="0"/>
              <w:right w:val="single" w:color="auto" w:sz="4" w:space="0"/>
            </w:tcBorders>
            <w:vAlign w:val="center"/>
          </w:tcPr>
          <w:p w14:paraId="5C998313">
            <w:pPr>
              <w:pStyle w:val="445"/>
              <w:rPr>
                <w:rFonts w:cs="Times New Roman"/>
                <w:kern w:val="0"/>
                <w:szCs w:val="20"/>
              </w:rPr>
            </w:pPr>
            <w:r>
              <w:rPr>
                <w:rFonts w:cs="Times New Roman"/>
                <w:kern w:val="0"/>
                <w:szCs w:val="20"/>
              </w:rPr>
              <w:t>5</w:t>
            </w:r>
          </w:p>
        </w:tc>
        <w:tc>
          <w:tcPr>
            <w:tcW w:w="687" w:type="pct"/>
            <w:tcBorders>
              <w:top w:val="single" w:color="auto" w:sz="4" w:space="0"/>
              <w:left w:val="single" w:color="auto" w:sz="4" w:space="0"/>
              <w:bottom w:val="single" w:color="auto" w:sz="4" w:space="0"/>
              <w:right w:val="single" w:color="auto" w:sz="4" w:space="0"/>
            </w:tcBorders>
            <w:vAlign w:val="center"/>
          </w:tcPr>
          <w:p w14:paraId="08464D44">
            <w:pPr>
              <w:pStyle w:val="445"/>
              <w:rPr>
                <w:rFonts w:cs="Times New Roman"/>
                <w:kern w:val="0"/>
                <w:szCs w:val="20"/>
              </w:rPr>
            </w:pPr>
            <w:r>
              <w:rPr>
                <w:rFonts w:hint="eastAsia" w:cs="Times New Roman"/>
                <w:kern w:val="0"/>
                <w:szCs w:val="20"/>
              </w:rPr>
              <w:t>/</w:t>
            </w:r>
          </w:p>
        </w:tc>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C0EE99F">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nil"/>
            </w:tcBorders>
            <w:vAlign w:val="center"/>
          </w:tcPr>
          <w:p w14:paraId="332529EA">
            <w:pPr>
              <w:pStyle w:val="445"/>
              <w:rPr>
                <w:rFonts w:cs="Times New Roman"/>
                <w:kern w:val="0"/>
                <w:szCs w:val="18"/>
              </w:rPr>
            </w:pPr>
          </w:p>
        </w:tc>
      </w:tr>
      <w:tr w14:paraId="0E93A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7A97F28">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4C800A81">
            <w:pPr>
              <w:pStyle w:val="445"/>
              <w:rPr>
                <w:rFonts w:cs="Times New Roman"/>
                <w:kern w:val="0"/>
                <w:szCs w:val="20"/>
              </w:rPr>
            </w:pPr>
            <w:r>
              <w:rPr>
                <w:rFonts w:hint="eastAsia" w:cs="Times New Roman"/>
                <w:kern w:val="0"/>
                <w:szCs w:val="20"/>
              </w:rPr>
              <w:t>现状监测因子</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71FE30F">
            <w:pPr>
              <w:pStyle w:val="445"/>
              <w:rPr>
                <w:rFonts w:cs="Times New Roman"/>
                <w:kern w:val="0"/>
                <w:szCs w:val="20"/>
              </w:rPr>
            </w:pPr>
            <w:r>
              <w:rPr>
                <w:rFonts w:hint="eastAsia" w:cs="Times New Roman"/>
                <w:kern w:val="0"/>
                <w:szCs w:val="20"/>
              </w:rPr>
              <w:t>具体见表4.2.5-1</w:t>
            </w:r>
          </w:p>
        </w:tc>
        <w:tc>
          <w:tcPr>
            <w:tcW w:w="621" w:type="pct"/>
            <w:tcBorders>
              <w:top w:val="single" w:color="auto" w:sz="4" w:space="0"/>
              <w:left w:val="single" w:color="auto" w:sz="4" w:space="0"/>
              <w:bottom w:val="single" w:color="auto" w:sz="4" w:space="0"/>
              <w:right w:val="nil"/>
            </w:tcBorders>
            <w:vAlign w:val="center"/>
          </w:tcPr>
          <w:p w14:paraId="4D569B61">
            <w:pPr>
              <w:pStyle w:val="445"/>
              <w:rPr>
                <w:rFonts w:cs="Times New Roman"/>
                <w:kern w:val="0"/>
                <w:szCs w:val="20"/>
              </w:rPr>
            </w:pPr>
          </w:p>
        </w:tc>
      </w:tr>
      <w:tr w14:paraId="24F45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Merge w:val="restart"/>
            <w:tcBorders>
              <w:top w:val="single" w:color="auto" w:sz="4" w:space="0"/>
              <w:left w:val="nil"/>
              <w:bottom w:val="single" w:color="auto" w:sz="4" w:space="0"/>
              <w:right w:val="single" w:color="auto" w:sz="4" w:space="0"/>
            </w:tcBorders>
            <w:vAlign w:val="center"/>
          </w:tcPr>
          <w:p w14:paraId="513DB0CB">
            <w:pPr>
              <w:pStyle w:val="445"/>
              <w:rPr>
                <w:rFonts w:cs="Times New Roman"/>
                <w:kern w:val="0"/>
                <w:szCs w:val="20"/>
              </w:rPr>
            </w:pPr>
            <w:r>
              <w:rPr>
                <w:rFonts w:hint="eastAsia" w:cs="Times New Roman"/>
                <w:kern w:val="0"/>
                <w:szCs w:val="20"/>
              </w:rPr>
              <w:t>现状</w:t>
            </w:r>
            <w:r>
              <w:rPr>
                <w:rFonts w:cs="Times New Roman"/>
                <w:kern w:val="0"/>
                <w:szCs w:val="20"/>
              </w:rPr>
              <w:t xml:space="preserve"> </w:t>
            </w:r>
            <w:r>
              <w:rPr>
                <w:rFonts w:hint="eastAsia" w:cs="Times New Roman"/>
                <w:kern w:val="0"/>
                <w:szCs w:val="20"/>
              </w:rPr>
              <w:t>评价</w:t>
            </w:r>
          </w:p>
        </w:tc>
        <w:tc>
          <w:tcPr>
            <w:tcW w:w="903" w:type="pct"/>
            <w:tcBorders>
              <w:top w:val="single" w:color="auto" w:sz="4" w:space="0"/>
              <w:left w:val="single" w:color="auto" w:sz="4" w:space="0"/>
              <w:bottom w:val="single" w:color="auto" w:sz="4" w:space="0"/>
              <w:right w:val="single" w:color="auto" w:sz="4" w:space="0"/>
            </w:tcBorders>
            <w:vAlign w:val="center"/>
          </w:tcPr>
          <w:p w14:paraId="46B43B0E">
            <w:pPr>
              <w:pStyle w:val="445"/>
              <w:rPr>
                <w:rFonts w:cs="Times New Roman"/>
                <w:kern w:val="0"/>
                <w:szCs w:val="20"/>
              </w:rPr>
            </w:pPr>
            <w:r>
              <w:rPr>
                <w:rFonts w:hint="eastAsia" w:cs="Times New Roman"/>
                <w:kern w:val="0"/>
                <w:szCs w:val="20"/>
              </w:rPr>
              <w:t>评价因子</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0B4A63BA">
            <w:pPr>
              <w:pStyle w:val="445"/>
              <w:rPr>
                <w:rFonts w:cs="Times New Roman"/>
                <w:kern w:val="0"/>
                <w:szCs w:val="20"/>
              </w:rPr>
            </w:pPr>
            <w:r>
              <w:rPr>
                <w:rFonts w:hint="eastAsia" w:cs="Times New Roman"/>
                <w:kern w:val="0"/>
                <w:szCs w:val="20"/>
              </w:rPr>
              <w:t>具体见表4.2.5-1</w:t>
            </w:r>
          </w:p>
        </w:tc>
        <w:tc>
          <w:tcPr>
            <w:tcW w:w="621" w:type="pct"/>
            <w:tcBorders>
              <w:top w:val="single" w:color="auto" w:sz="4" w:space="0"/>
              <w:left w:val="single" w:color="auto" w:sz="4" w:space="0"/>
              <w:bottom w:val="single" w:color="auto" w:sz="4" w:space="0"/>
              <w:right w:val="nil"/>
            </w:tcBorders>
            <w:vAlign w:val="center"/>
          </w:tcPr>
          <w:p w14:paraId="3FE08FAA">
            <w:pPr>
              <w:pStyle w:val="445"/>
              <w:rPr>
                <w:rFonts w:cs="Times New Roman"/>
                <w:kern w:val="0"/>
                <w:szCs w:val="20"/>
              </w:rPr>
            </w:pPr>
          </w:p>
        </w:tc>
      </w:tr>
      <w:tr w14:paraId="303A8F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CA0D218">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50A8CD0B">
            <w:pPr>
              <w:pStyle w:val="445"/>
              <w:rPr>
                <w:rFonts w:cs="Times New Roman"/>
                <w:kern w:val="0"/>
                <w:szCs w:val="20"/>
              </w:rPr>
            </w:pPr>
            <w:r>
              <w:rPr>
                <w:rFonts w:hint="eastAsia" w:cs="Times New Roman"/>
                <w:kern w:val="0"/>
                <w:szCs w:val="20"/>
              </w:rPr>
              <w:t>评价标准</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76CEEF2B">
            <w:pPr>
              <w:pStyle w:val="445"/>
              <w:rPr>
                <w:rFonts w:cs="Times New Roman"/>
                <w:kern w:val="0"/>
                <w:szCs w:val="20"/>
              </w:rPr>
            </w:pPr>
            <w:r>
              <w:rPr>
                <w:rFonts w:cs="Times New Roman"/>
                <w:kern w:val="0"/>
                <w:szCs w:val="20"/>
              </w:rPr>
              <w:t>GB 15618√</w:t>
            </w:r>
            <w:r>
              <w:rPr>
                <w:rFonts w:hint="eastAsia" w:cs="Times New Roman"/>
                <w:kern w:val="0"/>
                <w:szCs w:val="20"/>
              </w:rPr>
              <w:t>；</w:t>
            </w:r>
            <w:r>
              <w:rPr>
                <w:rFonts w:cs="Times New Roman"/>
                <w:kern w:val="0"/>
                <w:szCs w:val="20"/>
              </w:rPr>
              <w:t>GB 36600√</w:t>
            </w:r>
            <w:r>
              <w:rPr>
                <w:rFonts w:hint="eastAsia" w:cs="Times New Roman"/>
                <w:kern w:val="0"/>
                <w:szCs w:val="20"/>
              </w:rPr>
              <w:t>；表</w:t>
            </w:r>
            <w:r>
              <w:rPr>
                <w:rFonts w:cs="Times New Roman"/>
                <w:kern w:val="0"/>
                <w:szCs w:val="20"/>
              </w:rPr>
              <w:t xml:space="preserve"> D.1</w:t>
            </w:r>
            <w:r>
              <w:rPr>
                <w:rFonts w:hint="eastAsia" w:cs="Times New Roman"/>
                <w:kern w:val="0"/>
                <w:szCs w:val="20"/>
              </w:rPr>
              <w:t>□；表</w:t>
            </w:r>
            <w:r>
              <w:rPr>
                <w:rFonts w:cs="Times New Roman"/>
                <w:kern w:val="0"/>
                <w:szCs w:val="20"/>
              </w:rPr>
              <w:t xml:space="preserve"> D.2</w:t>
            </w:r>
            <w:r>
              <w:rPr>
                <w:rFonts w:hint="eastAsia" w:cs="Times New Roman"/>
                <w:kern w:val="0"/>
                <w:szCs w:val="20"/>
              </w:rPr>
              <w:t>□；其他（</w:t>
            </w:r>
            <w:r>
              <w:rPr>
                <w:rFonts w:cs="Times New Roman"/>
                <w:kern w:val="0"/>
                <w:szCs w:val="20"/>
              </w:rPr>
              <w:t xml:space="preserve">        </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7BBA2C18">
            <w:pPr>
              <w:pStyle w:val="445"/>
              <w:rPr>
                <w:rFonts w:cs="Times New Roman"/>
                <w:kern w:val="0"/>
                <w:szCs w:val="20"/>
              </w:rPr>
            </w:pPr>
          </w:p>
        </w:tc>
      </w:tr>
      <w:tr w14:paraId="24D59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18FBD91">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12685293">
            <w:pPr>
              <w:pStyle w:val="445"/>
              <w:rPr>
                <w:rFonts w:cs="Times New Roman"/>
                <w:kern w:val="0"/>
                <w:szCs w:val="20"/>
              </w:rPr>
            </w:pPr>
            <w:r>
              <w:rPr>
                <w:rFonts w:hint="eastAsia" w:cs="Times New Roman"/>
                <w:kern w:val="0"/>
                <w:szCs w:val="20"/>
              </w:rPr>
              <w:t>现状评价结论</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47347E49">
            <w:pPr>
              <w:pStyle w:val="445"/>
              <w:rPr>
                <w:rFonts w:cs="Times New Roman"/>
                <w:kern w:val="0"/>
                <w:szCs w:val="20"/>
              </w:rPr>
            </w:pPr>
            <w:r>
              <w:rPr>
                <w:rFonts w:cs="Times New Roman"/>
                <w:kern w:val="0"/>
                <w:szCs w:val="20"/>
              </w:rPr>
              <w:t>土壤监测点所有监测项目均符合相关标准要求</w:t>
            </w:r>
          </w:p>
        </w:tc>
        <w:tc>
          <w:tcPr>
            <w:tcW w:w="621" w:type="pct"/>
            <w:tcBorders>
              <w:top w:val="single" w:color="auto" w:sz="4" w:space="0"/>
              <w:left w:val="single" w:color="auto" w:sz="4" w:space="0"/>
              <w:bottom w:val="single" w:color="auto" w:sz="4" w:space="0"/>
              <w:right w:val="nil"/>
            </w:tcBorders>
            <w:vAlign w:val="center"/>
          </w:tcPr>
          <w:p w14:paraId="43DD88CA">
            <w:pPr>
              <w:pStyle w:val="445"/>
              <w:rPr>
                <w:rFonts w:cs="Times New Roman"/>
                <w:kern w:val="0"/>
                <w:szCs w:val="20"/>
              </w:rPr>
            </w:pPr>
          </w:p>
        </w:tc>
      </w:tr>
      <w:tr w14:paraId="125D11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Merge w:val="restart"/>
            <w:tcBorders>
              <w:top w:val="single" w:color="auto" w:sz="4" w:space="0"/>
              <w:left w:val="nil"/>
              <w:bottom w:val="single" w:color="auto" w:sz="4" w:space="0"/>
              <w:right w:val="single" w:color="auto" w:sz="4" w:space="0"/>
            </w:tcBorders>
            <w:vAlign w:val="center"/>
          </w:tcPr>
          <w:p w14:paraId="313B0A27">
            <w:pPr>
              <w:pStyle w:val="445"/>
              <w:rPr>
                <w:rFonts w:cs="Times New Roman"/>
                <w:kern w:val="0"/>
                <w:szCs w:val="20"/>
              </w:rPr>
            </w:pPr>
            <w:r>
              <w:rPr>
                <w:rFonts w:hint="eastAsia" w:cs="Times New Roman"/>
                <w:kern w:val="0"/>
                <w:szCs w:val="20"/>
              </w:rPr>
              <w:t>影响</w:t>
            </w:r>
            <w:r>
              <w:rPr>
                <w:rFonts w:cs="Times New Roman"/>
                <w:kern w:val="0"/>
                <w:szCs w:val="20"/>
              </w:rPr>
              <w:t xml:space="preserve"> </w:t>
            </w:r>
            <w:r>
              <w:rPr>
                <w:rFonts w:hint="eastAsia" w:cs="Times New Roman"/>
                <w:kern w:val="0"/>
                <w:szCs w:val="20"/>
              </w:rPr>
              <w:t>预测</w:t>
            </w:r>
          </w:p>
        </w:tc>
        <w:tc>
          <w:tcPr>
            <w:tcW w:w="903" w:type="pct"/>
            <w:tcBorders>
              <w:top w:val="single" w:color="auto" w:sz="4" w:space="0"/>
              <w:left w:val="single" w:color="auto" w:sz="4" w:space="0"/>
              <w:bottom w:val="single" w:color="auto" w:sz="4" w:space="0"/>
              <w:right w:val="single" w:color="auto" w:sz="4" w:space="0"/>
            </w:tcBorders>
            <w:vAlign w:val="center"/>
          </w:tcPr>
          <w:p w14:paraId="410148EB">
            <w:pPr>
              <w:pStyle w:val="445"/>
              <w:rPr>
                <w:rFonts w:cs="Times New Roman"/>
                <w:kern w:val="0"/>
                <w:szCs w:val="20"/>
              </w:rPr>
            </w:pPr>
            <w:r>
              <w:rPr>
                <w:rFonts w:hint="eastAsia" w:cs="Times New Roman"/>
                <w:kern w:val="0"/>
                <w:szCs w:val="20"/>
              </w:rPr>
              <w:t>预测因子</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9573589">
            <w:pPr>
              <w:pStyle w:val="445"/>
              <w:rPr>
                <w:rFonts w:cs="Times New Roman"/>
                <w:kern w:val="0"/>
                <w:szCs w:val="20"/>
              </w:rPr>
            </w:pPr>
          </w:p>
        </w:tc>
        <w:tc>
          <w:tcPr>
            <w:tcW w:w="621" w:type="pct"/>
            <w:tcBorders>
              <w:top w:val="single" w:color="auto" w:sz="4" w:space="0"/>
              <w:left w:val="single" w:color="auto" w:sz="4" w:space="0"/>
              <w:bottom w:val="single" w:color="auto" w:sz="4" w:space="0"/>
              <w:right w:val="nil"/>
            </w:tcBorders>
            <w:vAlign w:val="center"/>
          </w:tcPr>
          <w:p w14:paraId="51ADC4A0">
            <w:pPr>
              <w:pStyle w:val="445"/>
              <w:rPr>
                <w:rFonts w:cs="Times New Roman"/>
                <w:kern w:val="0"/>
                <w:szCs w:val="20"/>
              </w:rPr>
            </w:pPr>
          </w:p>
        </w:tc>
      </w:tr>
      <w:tr w14:paraId="4BBF6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77A2FB9">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458584B4">
            <w:pPr>
              <w:pStyle w:val="445"/>
              <w:rPr>
                <w:rFonts w:cs="Times New Roman"/>
                <w:kern w:val="0"/>
                <w:szCs w:val="20"/>
              </w:rPr>
            </w:pPr>
            <w:r>
              <w:rPr>
                <w:rFonts w:hint="eastAsia" w:cs="Times New Roman"/>
                <w:kern w:val="0"/>
                <w:szCs w:val="20"/>
              </w:rPr>
              <w:t>预测方法</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2E40C595">
            <w:pPr>
              <w:pStyle w:val="445"/>
              <w:rPr>
                <w:rFonts w:cs="Times New Roman"/>
                <w:kern w:val="0"/>
                <w:szCs w:val="20"/>
              </w:rPr>
            </w:pPr>
            <w:r>
              <w:rPr>
                <w:rFonts w:hint="eastAsia" w:cs="Times New Roman"/>
                <w:kern w:val="0"/>
                <w:szCs w:val="20"/>
              </w:rPr>
              <w:t>附录</w:t>
            </w:r>
            <w:r>
              <w:rPr>
                <w:rFonts w:cs="Times New Roman"/>
                <w:kern w:val="0"/>
                <w:szCs w:val="20"/>
              </w:rPr>
              <w:t xml:space="preserve"> E√</w:t>
            </w:r>
            <w:r>
              <w:rPr>
                <w:rFonts w:hint="eastAsia" w:cs="Times New Roman"/>
                <w:kern w:val="0"/>
                <w:szCs w:val="20"/>
              </w:rPr>
              <w:t>；附录</w:t>
            </w:r>
            <w:r>
              <w:rPr>
                <w:rFonts w:cs="Times New Roman"/>
                <w:kern w:val="0"/>
                <w:szCs w:val="20"/>
              </w:rPr>
              <w:t xml:space="preserve"> F</w:t>
            </w:r>
            <w:r>
              <w:rPr>
                <w:rFonts w:hint="eastAsia" w:cs="Times New Roman"/>
                <w:kern w:val="0"/>
                <w:szCs w:val="20"/>
              </w:rPr>
              <w:t>□；其他（</w:t>
            </w:r>
            <w:r>
              <w:rPr>
                <w:rFonts w:cs="Times New Roman"/>
                <w:kern w:val="0"/>
                <w:szCs w:val="20"/>
              </w:rPr>
              <w:t xml:space="preserve">        </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05E8B6F4">
            <w:pPr>
              <w:pStyle w:val="445"/>
              <w:rPr>
                <w:rFonts w:cs="Times New Roman"/>
                <w:kern w:val="0"/>
                <w:szCs w:val="20"/>
              </w:rPr>
            </w:pPr>
          </w:p>
        </w:tc>
      </w:tr>
      <w:tr w14:paraId="7D6BF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A29534C">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6E6D30BF">
            <w:pPr>
              <w:pStyle w:val="445"/>
              <w:rPr>
                <w:rFonts w:cs="Times New Roman"/>
                <w:kern w:val="0"/>
                <w:szCs w:val="20"/>
              </w:rPr>
            </w:pPr>
            <w:r>
              <w:rPr>
                <w:rFonts w:hint="eastAsia" w:cs="Times New Roman"/>
                <w:kern w:val="0"/>
                <w:szCs w:val="20"/>
              </w:rPr>
              <w:t>预测分析内容</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6DF3FAAE">
            <w:pPr>
              <w:pStyle w:val="445"/>
              <w:rPr>
                <w:rFonts w:cs="Times New Roman"/>
                <w:kern w:val="0"/>
                <w:szCs w:val="20"/>
              </w:rPr>
            </w:pPr>
            <w:r>
              <w:rPr>
                <w:rFonts w:hint="eastAsia" w:cs="Times New Roman"/>
                <w:kern w:val="0"/>
                <w:szCs w:val="20"/>
              </w:rPr>
              <w:t>影响范围（较小）</w:t>
            </w:r>
          </w:p>
          <w:p w14:paraId="43E4E99C">
            <w:pPr>
              <w:pStyle w:val="445"/>
              <w:rPr>
                <w:rFonts w:cs="Times New Roman"/>
                <w:kern w:val="0"/>
                <w:szCs w:val="20"/>
              </w:rPr>
            </w:pPr>
            <w:r>
              <w:rPr>
                <w:rFonts w:hint="eastAsia" w:cs="Times New Roman"/>
                <w:kern w:val="0"/>
                <w:szCs w:val="20"/>
              </w:rPr>
              <w:t>影响程度（较小）</w:t>
            </w:r>
          </w:p>
        </w:tc>
        <w:tc>
          <w:tcPr>
            <w:tcW w:w="621" w:type="pct"/>
            <w:tcBorders>
              <w:top w:val="single" w:color="auto" w:sz="4" w:space="0"/>
              <w:left w:val="single" w:color="auto" w:sz="4" w:space="0"/>
              <w:bottom w:val="single" w:color="auto" w:sz="4" w:space="0"/>
              <w:right w:val="nil"/>
            </w:tcBorders>
            <w:vAlign w:val="center"/>
          </w:tcPr>
          <w:p w14:paraId="3FE2DE03">
            <w:pPr>
              <w:pStyle w:val="445"/>
              <w:rPr>
                <w:rFonts w:cs="Times New Roman"/>
                <w:kern w:val="0"/>
                <w:szCs w:val="20"/>
              </w:rPr>
            </w:pPr>
          </w:p>
        </w:tc>
      </w:tr>
      <w:tr w14:paraId="006D4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32367BEB">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6F3CAD2D">
            <w:pPr>
              <w:pStyle w:val="445"/>
              <w:rPr>
                <w:rFonts w:cs="Times New Roman"/>
                <w:kern w:val="0"/>
                <w:szCs w:val="20"/>
              </w:rPr>
            </w:pPr>
            <w:r>
              <w:rPr>
                <w:rFonts w:hint="eastAsia" w:cs="Times New Roman"/>
                <w:kern w:val="0"/>
                <w:szCs w:val="20"/>
              </w:rPr>
              <w:t>预测结论</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05CC8A24">
            <w:pPr>
              <w:pStyle w:val="445"/>
              <w:rPr>
                <w:rFonts w:cs="Times New Roman"/>
                <w:kern w:val="0"/>
                <w:szCs w:val="20"/>
              </w:rPr>
            </w:pPr>
            <w:r>
              <w:rPr>
                <w:rFonts w:hint="eastAsia" w:cs="Times New Roman"/>
                <w:kern w:val="0"/>
                <w:szCs w:val="20"/>
              </w:rPr>
              <w:t>达标结论：</w:t>
            </w:r>
            <w:r>
              <w:rPr>
                <w:rFonts w:cs="Times New Roman"/>
                <w:kern w:val="0"/>
                <w:szCs w:val="20"/>
              </w:rPr>
              <w:t>a</w:t>
            </w:r>
            <w:r>
              <w:rPr>
                <w:rFonts w:hint="eastAsia" w:cs="Times New Roman"/>
                <w:kern w:val="0"/>
                <w:szCs w:val="20"/>
              </w:rPr>
              <w:t>）</w:t>
            </w:r>
            <w:r>
              <w:rPr>
                <w:rFonts w:cs="Times New Roman"/>
                <w:kern w:val="0"/>
                <w:szCs w:val="20"/>
              </w:rPr>
              <w:t>√</w:t>
            </w:r>
            <w:r>
              <w:rPr>
                <w:rFonts w:hint="eastAsia" w:cs="Times New Roman"/>
                <w:kern w:val="0"/>
                <w:szCs w:val="20"/>
              </w:rPr>
              <w:t>；</w:t>
            </w:r>
            <w:r>
              <w:rPr>
                <w:rFonts w:cs="Times New Roman"/>
                <w:kern w:val="0"/>
                <w:szCs w:val="20"/>
              </w:rPr>
              <w:t>b</w:t>
            </w:r>
            <w:r>
              <w:rPr>
                <w:rFonts w:hint="eastAsia" w:cs="Times New Roman"/>
                <w:kern w:val="0"/>
                <w:szCs w:val="20"/>
              </w:rPr>
              <w:t>）□；</w:t>
            </w:r>
            <w:r>
              <w:rPr>
                <w:rFonts w:cs="Times New Roman"/>
                <w:kern w:val="0"/>
                <w:szCs w:val="20"/>
              </w:rPr>
              <w:t>c</w:t>
            </w:r>
            <w:r>
              <w:rPr>
                <w:rFonts w:hint="eastAsia" w:cs="Times New Roman"/>
                <w:kern w:val="0"/>
                <w:szCs w:val="20"/>
              </w:rPr>
              <w:t>）□</w:t>
            </w:r>
          </w:p>
          <w:p w14:paraId="12DC450C">
            <w:pPr>
              <w:pStyle w:val="445"/>
              <w:rPr>
                <w:rFonts w:cs="Times New Roman"/>
                <w:kern w:val="0"/>
                <w:szCs w:val="20"/>
              </w:rPr>
            </w:pPr>
            <w:r>
              <w:rPr>
                <w:rFonts w:hint="eastAsia" w:cs="Times New Roman"/>
                <w:kern w:val="0"/>
                <w:szCs w:val="20"/>
              </w:rPr>
              <w:t>不达标结论：</w:t>
            </w:r>
            <w:r>
              <w:rPr>
                <w:rFonts w:cs="Times New Roman"/>
                <w:kern w:val="0"/>
                <w:szCs w:val="20"/>
              </w:rPr>
              <w:t>a</w:t>
            </w:r>
            <w:r>
              <w:rPr>
                <w:rFonts w:hint="eastAsia" w:cs="Times New Roman"/>
                <w:kern w:val="0"/>
                <w:szCs w:val="20"/>
              </w:rPr>
              <w:t>）□；</w:t>
            </w:r>
            <w:r>
              <w:rPr>
                <w:rFonts w:cs="Times New Roman"/>
                <w:kern w:val="0"/>
                <w:szCs w:val="20"/>
              </w:rPr>
              <w:t>b</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27519927">
            <w:pPr>
              <w:pStyle w:val="445"/>
              <w:rPr>
                <w:rFonts w:cs="Times New Roman"/>
                <w:kern w:val="0"/>
                <w:szCs w:val="20"/>
              </w:rPr>
            </w:pPr>
          </w:p>
        </w:tc>
      </w:tr>
      <w:tr w14:paraId="32477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Merge w:val="restart"/>
            <w:tcBorders>
              <w:top w:val="single" w:color="auto" w:sz="4" w:space="0"/>
              <w:left w:val="nil"/>
              <w:bottom w:val="single" w:color="auto" w:sz="4" w:space="0"/>
              <w:right w:val="single" w:color="auto" w:sz="4" w:space="0"/>
            </w:tcBorders>
            <w:vAlign w:val="center"/>
          </w:tcPr>
          <w:p w14:paraId="7AFF2CC2">
            <w:pPr>
              <w:pStyle w:val="445"/>
              <w:rPr>
                <w:rFonts w:cs="Times New Roman"/>
                <w:kern w:val="0"/>
                <w:szCs w:val="20"/>
              </w:rPr>
            </w:pPr>
            <w:r>
              <w:rPr>
                <w:rFonts w:hint="eastAsia" w:cs="Times New Roman"/>
                <w:kern w:val="0"/>
                <w:szCs w:val="20"/>
              </w:rPr>
              <w:t>防治</w:t>
            </w:r>
            <w:r>
              <w:rPr>
                <w:rFonts w:cs="Times New Roman"/>
                <w:kern w:val="0"/>
                <w:szCs w:val="20"/>
              </w:rPr>
              <w:t xml:space="preserve"> </w:t>
            </w:r>
            <w:r>
              <w:rPr>
                <w:rFonts w:hint="eastAsia" w:cs="Times New Roman"/>
                <w:kern w:val="0"/>
                <w:szCs w:val="20"/>
              </w:rPr>
              <w:t>措施</w:t>
            </w:r>
          </w:p>
        </w:tc>
        <w:tc>
          <w:tcPr>
            <w:tcW w:w="903" w:type="pct"/>
            <w:tcBorders>
              <w:top w:val="single" w:color="auto" w:sz="4" w:space="0"/>
              <w:left w:val="single" w:color="auto" w:sz="4" w:space="0"/>
              <w:bottom w:val="single" w:color="auto" w:sz="4" w:space="0"/>
              <w:right w:val="single" w:color="auto" w:sz="4" w:space="0"/>
            </w:tcBorders>
            <w:vAlign w:val="center"/>
          </w:tcPr>
          <w:p w14:paraId="2A65064A">
            <w:pPr>
              <w:pStyle w:val="445"/>
              <w:rPr>
                <w:rFonts w:cs="Times New Roman"/>
                <w:kern w:val="0"/>
                <w:szCs w:val="20"/>
              </w:rPr>
            </w:pPr>
            <w:r>
              <w:rPr>
                <w:rFonts w:hint="eastAsia" w:cs="Times New Roman"/>
                <w:kern w:val="0"/>
                <w:szCs w:val="20"/>
              </w:rPr>
              <w:t>防控措施</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00AF14FC">
            <w:pPr>
              <w:pStyle w:val="445"/>
              <w:rPr>
                <w:rFonts w:cs="Times New Roman"/>
                <w:kern w:val="0"/>
                <w:szCs w:val="20"/>
              </w:rPr>
            </w:pPr>
            <w:r>
              <w:rPr>
                <w:rFonts w:hint="eastAsia" w:cs="Times New Roman"/>
                <w:kern w:val="0"/>
                <w:szCs w:val="20"/>
              </w:rPr>
              <w:t>土壤环境质量现状保障</w:t>
            </w:r>
            <w:r>
              <w:rPr>
                <w:rFonts w:cs="Times New Roman"/>
                <w:kern w:val="0"/>
                <w:szCs w:val="20"/>
              </w:rPr>
              <w:t>√</w:t>
            </w:r>
            <w:r>
              <w:rPr>
                <w:rFonts w:hint="eastAsia" w:cs="Times New Roman"/>
                <w:kern w:val="0"/>
                <w:szCs w:val="20"/>
              </w:rPr>
              <w:t>；源头控制</w:t>
            </w:r>
            <w:r>
              <w:rPr>
                <w:rFonts w:cs="Times New Roman"/>
                <w:kern w:val="0"/>
                <w:szCs w:val="20"/>
              </w:rPr>
              <w:t>√</w:t>
            </w:r>
            <w:r>
              <w:rPr>
                <w:rFonts w:hint="eastAsia" w:cs="Times New Roman"/>
                <w:kern w:val="0"/>
                <w:szCs w:val="20"/>
              </w:rPr>
              <w:t>；过程防控</w:t>
            </w:r>
            <w:r>
              <w:rPr>
                <w:rFonts w:cs="Times New Roman"/>
                <w:kern w:val="0"/>
                <w:szCs w:val="20"/>
              </w:rPr>
              <w:t>√</w:t>
            </w:r>
            <w:r>
              <w:rPr>
                <w:rFonts w:hint="eastAsia" w:cs="Times New Roman"/>
                <w:kern w:val="0"/>
                <w:szCs w:val="20"/>
              </w:rPr>
              <w:t>；其他（</w:t>
            </w:r>
            <w:r>
              <w:rPr>
                <w:rFonts w:cs="Times New Roman"/>
                <w:kern w:val="0"/>
                <w:szCs w:val="20"/>
              </w:rPr>
              <w:t xml:space="preserve">        </w:t>
            </w:r>
            <w:r>
              <w:rPr>
                <w:rFonts w:hint="eastAsia" w:cs="Times New Roman"/>
                <w:kern w:val="0"/>
                <w:szCs w:val="20"/>
              </w:rPr>
              <w:t>）</w:t>
            </w:r>
          </w:p>
        </w:tc>
        <w:tc>
          <w:tcPr>
            <w:tcW w:w="621" w:type="pct"/>
            <w:tcBorders>
              <w:top w:val="single" w:color="auto" w:sz="4" w:space="0"/>
              <w:left w:val="single" w:color="auto" w:sz="4" w:space="0"/>
              <w:bottom w:val="single" w:color="auto" w:sz="4" w:space="0"/>
              <w:right w:val="nil"/>
            </w:tcBorders>
            <w:vAlign w:val="center"/>
          </w:tcPr>
          <w:p w14:paraId="57C4C1B1">
            <w:pPr>
              <w:pStyle w:val="445"/>
              <w:rPr>
                <w:rFonts w:cs="Times New Roman"/>
                <w:kern w:val="0"/>
                <w:szCs w:val="20"/>
              </w:rPr>
            </w:pPr>
          </w:p>
        </w:tc>
      </w:tr>
      <w:tr w14:paraId="729BD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7B53AE51">
            <w:pPr>
              <w:pStyle w:val="445"/>
              <w:rPr>
                <w:rFonts w:cs="Times New Roman"/>
                <w:kern w:val="0"/>
                <w:szCs w:val="18"/>
              </w:rPr>
            </w:pPr>
          </w:p>
        </w:tc>
        <w:tc>
          <w:tcPr>
            <w:tcW w:w="903" w:type="pct"/>
            <w:vMerge w:val="restart"/>
            <w:tcBorders>
              <w:top w:val="single" w:color="auto" w:sz="4" w:space="0"/>
              <w:left w:val="single" w:color="auto" w:sz="4" w:space="0"/>
              <w:bottom w:val="single" w:color="auto" w:sz="4" w:space="0"/>
              <w:right w:val="single" w:color="auto" w:sz="4" w:space="0"/>
            </w:tcBorders>
            <w:vAlign w:val="center"/>
          </w:tcPr>
          <w:p w14:paraId="545340FA">
            <w:pPr>
              <w:pStyle w:val="445"/>
              <w:rPr>
                <w:rFonts w:cs="Times New Roman"/>
                <w:kern w:val="0"/>
                <w:szCs w:val="20"/>
              </w:rPr>
            </w:pPr>
            <w:r>
              <w:rPr>
                <w:rFonts w:hint="eastAsia" w:cs="Times New Roman"/>
                <w:kern w:val="0"/>
                <w:szCs w:val="20"/>
              </w:rPr>
              <w:t>跟踪监测</w:t>
            </w:r>
          </w:p>
        </w:tc>
        <w:tc>
          <w:tcPr>
            <w:tcW w:w="1259" w:type="pct"/>
            <w:gridSpan w:val="2"/>
            <w:tcBorders>
              <w:top w:val="single" w:color="auto" w:sz="4" w:space="0"/>
              <w:left w:val="single" w:color="auto" w:sz="4" w:space="0"/>
              <w:bottom w:val="single" w:color="auto" w:sz="4" w:space="0"/>
              <w:right w:val="single" w:color="auto" w:sz="4" w:space="0"/>
            </w:tcBorders>
            <w:vAlign w:val="center"/>
          </w:tcPr>
          <w:p w14:paraId="18F091DC">
            <w:pPr>
              <w:pStyle w:val="445"/>
              <w:rPr>
                <w:rFonts w:cs="Times New Roman"/>
                <w:kern w:val="0"/>
                <w:szCs w:val="20"/>
              </w:rPr>
            </w:pPr>
            <w:r>
              <w:rPr>
                <w:rFonts w:hint="eastAsia" w:cs="Times New Roman"/>
                <w:kern w:val="0"/>
                <w:szCs w:val="20"/>
              </w:rPr>
              <w:t>监测点数</w:t>
            </w:r>
          </w:p>
        </w:tc>
        <w:tc>
          <w:tcPr>
            <w:tcW w:w="915" w:type="pct"/>
            <w:gridSpan w:val="2"/>
            <w:tcBorders>
              <w:top w:val="single" w:color="auto" w:sz="4" w:space="0"/>
              <w:left w:val="single" w:color="auto" w:sz="4" w:space="0"/>
              <w:bottom w:val="single" w:color="auto" w:sz="4" w:space="0"/>
              <w:right w:val="single" w:color="auto" w:sz="4" w:space="0"/>
            </w:tcBorders>
            <w:vAlign w:val="center"/>
          </w:tcPr>
          <w:p w14:paraId="601872FF">
            <w:pPr>
              <w:pStyle w:val="445"/>
              <w:rPr>
                <w:rFonts w:cs="Times New Roman"/>
                <w:kern w:val="0"/>
                <w:szCs w:val="20"/>
              </w:rPr>
            </w:pPr>
            <w:r>
              <w:rPr>
                <w:rFonts w:hint="eastAsia" w:cs="Times New Roman"/>
                <w:kern w:val="0"/>
                <w:szCs w:val="20"/>
              </w:rPr>
              <w:t>监测指标</w:t>
            </w:r>
          </w:p>
        </w:tc>
        <w:tc>
          <w:tcPr>
            <w:tcW w:w="1072" w:type="pct"/>
            <w:tcBorders>
              <w:top w:val="single" w:color="auto" w:sz="4" w:space="0"/>
              <w:left w:val="single" w:color="auto" w:sz="4" w:space="0"/>
              <w:bottom w:val="single" w:color="auto" w:sz="4" w:space="0"/>
              <w:right w:val="single" w:color="auto" w:sz="4" w:space="0"/>
            </w:tcBorders>
            <w:vAlign w:val="center"/>
          </w:tcPr>
          <w:p w14:paraId="250084D1">
            <w:pPr>
              <w:pStyle w:val="445"/>
              <w:rPr>
                <w:rFonts w:cs="Times New Roman"/>
                <w:kern w:val="0"/>
                <w:szCs w:val="20"/>
              </w:rPr>
            </w:pPr>
            <w:r>
              <w:rPr>
                <w:rFonts w:hint="eastAsia" w:cs="Times New Roman"/>
                <w:kern w:val="0"/>
                <w:szCs w:val="20"/>
              </w:rPr>
              <w:t>监测频次</w:t>
            </w:r>
          </w:p>
        </w:tc>
        <w:tc>
          <w:tcPr>
            <w:tcW w:w="621" w:type="pct"/>
            <w:vMerge w:val="restart"/>
            <w:tcBorders>
              <w:top w:val="single" w:color="auto" w:sz="4" w:space="0"/>
              <w:left w:val="single" w:color="auto" w:sz="4" w:space="0"/>
              <w:bottom w:val="single" w:color="auto" w:sz="4" w:space="0"/>
              <w:right w:val="nil"/>
            </w:tcBorders>
            <w:vAlign w:val="center"/>
          </w:tcPr>
          <w:p w14:paraId="1FF41A26">
            <w:pPr>
              <w:pStyle w:val="445"/>
              <w:rPr>
                <w:rFonts w:cs="Times New Roman"/>
                <w:kern w:val="0"/>
                <w:szCs w:val="20"/>
              </w:rPr>
            </w:pPr>
          </w:p>
        </w:tc>
      </w:tr>
      <w:tr w14:paraId="36195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60902BF7">
            <w:pPr>
              <w:pStyle w:val="445"/>
              <w:rPr>
                <w:rFonts w:cs="Times New Roman"/>
                <w:kern w:val="0"/>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5F37B60">
            <w:pPr>
              <w:pStyle w:val="445"/>
              <w:rPr>
                <w:rFonts w:cs="Times New Roman"/>
                <w:kern w:val="0"/>
                <w:szCs w:val="18"/>
              </w:rPr>
            </w:pPr>
          </w:p>
        </w:tc>
        <w:tc>
          <w:tcPr>
            <w:tcW w:w="1259" w:type="pct"/>
            <w:gridSpan w:val="2"/>
            <w:tcBorders>
              <w:top w:val="single" w:color="auto" w:sz="4" w:space="0"/>
              <w:left w:val="single" w:color="auto" w:sz="4" w:space="0"/>
              <w:bottom w:val="single" w:color="auto" w:sz="4" w:space="0"/>
              <w:right w:val="single" w:color="auto" w:sz="4" w:space="0"/>
            </w:tcBorders>
            <w:vAlign w:val="center"/>
          </w:tcPr>
          <w:p w14:paraId="38D0C0C8">
            <w:pPr>
              <w:pStyle w:val="445"/>
              <w:rPr>
                <w:rFonts w:cs="Times New Roman"/>
                <w:kern w:val="0"/>
                <w:szCs w:val="20"/>
              </w:rPr>
            </w:pPr>
            <w:r>
              <w:rPr>
                <w:rFonts w:cs="Times New Roman"/>
                <w:kern w:val="0"/>
                <w:szCs w:val="20"/>
              </w:rPr>
              <w:t>3</w:t>
            </w:r>
          </w:p>
        </w:tc>
        <w:tc>
          <w:tcPr>
            <w:tcW w:w="915" w:type="pct"/>
            <w:gridSpan w:val="2"/>
            <w:tcBorders>
              <w:top w:val="single" w:color="auto" w:sz="4" w:space="0"/>
              <w:left w:val="single" w:color="auto" w:sz="4" w:space="0"/>
              <w:bottom w:val="single" w:color="auto" w:sz="4" w:space="0"/>
              <w:right w:val="single" w:color="auto" w:sz="4" w:space="0"/>
            </w:tcBorders>
            <w:vAlign w:val="center"/>
          </w:tcPr>
          <w:p w14:paraId="3B808742">
            <w:pPr>
              <w:pStyle w:val="445"/>
              <w:rPr>
                <w:rFonts w:cs="Times New Roman"/>
                <w:kern w:val="0"/>
                <w:szCs w:val="20"/>
              </w:rPr>
            </w:pPr>
            <w:r>
              <w:rPr>
                <w:rFonts w:hint="eastAsia" w:cs="Times New Roman"/>
                <w:kern w:val="0"/>
                <w:szCs w:val="20"/>
              </w:rPr>
              <w:t>具体见表</w:t>
            </w:r>
            <w:r>
              <w:rPr>
                <w:rFonts w:cs="Times New Roman"/>
                <w:kern w:val="0"/>
                <w:szCs w:val="20"/>
              </w:rPr>
              <w:t>6</w:t>
            </w:r>
            <w:r>
              <w:rPr>
                <w:rFonts w:hint="eastAsia" w:cs="Times New Roman"/>
                <w:kern w:val="0"/>
                <w:szCs w:val="20"/>
              </w:rPr>
              <w:t>.6.3-1</w:t>
            </w:r>
          </w:p>
        </w:tc>
        <w:tc>
          <w:tcPr>
            <w:tcW w:w="1072" w:type="pct"/>
            <w:tcBorders>
              <w:top w:val="single" w:color="auto" w:sz="4" w:space="0"/>
              <w:left w:val="single" w:color="auto" w:sz="4" w:space="0"/>
              <w:bottom w:val="single" w:color="auto" w:sz="4" w:space="0"/>
              <w:right w:val="single" w:color="auto" w:sz="4" w:space="0"/>
            </w:tcBorders>
            <w:vAlign w:val="center"/>
          </w:tcPr>
          <w:p w14:paraId="4CD1B735">
            <w:pPr>
              <w:pStyle w:val="445"/>
              <w:rPr>
                <w:rFonts w:cs="Times New Roman"/>
                <w:kern w:val="0"/>
                <w:szCs w:val="20"/>
              </w:rPr>
            </w:pPr>
            <w:r>
              <w:rPr>
                <w:rFonts w:cs="Times New Roman"/>
                <w:kern w:val="0"/>
                <w:szCs w:val="20"/>
              </w:rPr>
              <w:t>1</w:t>
            </w:r>
            <w:r>
              <w:rPr>
                <w:rFonts w:hint="eastAsia" w:cs="Times New Roman"/>
                <w:kern w:val="0"/>
                <w:szCs w:val="20"/>
              </w:rPr>
              <w:t>年一次</w:t>
            </w:r>
          </w:p>
        </w:tc>
        <w:tc>
          <w:tcPr>
            <w:tcW w:w="0" w:type="auto"/>
            <w:vMerge w:val="continue"/>
            <w:tcBorders>
              <w:top w:val="single" w:color="auto" w:sz="4" w:space="0"/>
              <w:left w:val="single" w:color="auto" w:sz="4" w:space="0"/>
              <w:bottom w:val="single" w:color="auto" w:sz="4" w:space="0"/>
              <w:right w:val="nil"/>
            </w:tcBorders>
            <w:vAlign w:val="center"/>
          </w:tcPr>
          <w:p w14:paraId="246E49FE">
            <w:pPr>
              <w:pStyle w:val="445"/>
              <w:rPr>
                <w:rFonts w:cs="Times New Roman"/>
                <w:kern w:val="0"/>
                <w:szCs w:val="18"/>
              </w:rPr>
            </w:pPr>
          </w:p>
        </w:tc>
      </w:tr>
      <w:tr w14:paraId="5E3A6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045ED009">
            <w:pPr>
              <w:pStyle w:val="445"/>
              <w:rPr>
                <w:rFonts w:cs="Times New Roman"/>
                <w:kern w:val="0"/>
                <w:szCs w:val="18"/>
              </w:rPr>
            </w:pPr>
          </w:p>
        </w:tc>
        <w:tc>
          <w:tcPr>
            <w:tcW w:w="903" w:type="pct"/>
            <w:tcBorders>
              <w:top w:val="single" w:color="auto" w:sz="4" w:space="0"/>
              <w:left w:val="single" w:color="auto" w:sz="4" w:space="0"/>
              <w:bottom w:val="single" w:color="auto" w:sz="4" w:space="0"/>
              <w:right w:val="single" w:color="auto" w:sz="4" w:space="0"/>
            </w:tcBorders>
            <w:vAlign w:val="center"/>
          </w:tcPr>
          <w:p w14:paraId="445FA49D">
            <w:pPr>
              <w:pStyle w:val="445"/>
              <w:rPr>
                <w:rFonts w:cs="Times New Roman"/>
                <w:kern w:val="0"/>
                <w:szCs w:val="20"/>
              </w:rPr>
            </w:pPr>
            <w:r>
              <w:rPr>
                <w:rFonts w:hint="eastAsia" w:cs="Times New Roman"/>
                <w:kern w:val="0"/>
                <w:szCs w:val="20"/>
              </w:rPr>
              <w:t>信息公开指标</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243AEF7B">
            <w:pPr>
              <w:pStyle w:val="445"/>
              <w:rPr>
                <w:rFonts w:cs="Times New Roman"/>
                <w:kern w:val="0"/>
                <w:szCs w:val="20"/>
              </w:rPr>
            </w:pPr>
          </w:p>
        </w:tc>
        <w:tc>
          <w:tcPr>
            <w:tcW w:w="621" w:type="pct"/>
            <w:tcBorders>
              <w:top w:val="single" w:color="auto" w:sz="4" w:space="0"/>
              <w:left w:val="single" w:color="auto" w:sz="4" w:space="0"/>
              <w:bottom w:val="single" w:color="auto" w:sz="4" w:space="0"/>
              <w:right w:val="nil"/>
            </w:tcBorders>
            <w:vAlign w:val="center"/>
          </w:tcPr>
          <w:p w14:paraId="0402105D">
            <w:pPr>
              <w:pStyle w:val="445"/>
              <w:rPr>
                <w:rFonts w:cs="Times New Roman"/>
                <w:kern w:val="0"/>
                <w:szCs w:val="20"/>
              </w:rPr>
            </w:pPr>
          </w:p>
        </w:tc>
      </w:tr>
      <w:tr w14:paraId="3714F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pct"/>
            <w:gridSpan w:val="2"/>
            <w:tcBorders>
              <w:top w:val="single" w:color="auto" w:sz="4" w:space="0"/>
              <w:left w:val="nil"/>
              <w:bottom w:val="single" w:color="auto" w:sz="4" w:space="0"/>
              <w:right w:val="single" w:color="auto" w:sz="4" w:space="0"/>
            </w:tcBorders>
            <w:vAlign w:val="center"/>
          </w:tcPr>
          <w:p w14:paraId="01CC7561">
            <w:pPr>
              <w:pStyle w:val="445"/>
              <w:rPr>
                <w:rFonts w:cs="Times New Roman"/>
                <w:kern w:val="0"/>
                <w:szCs w:val="20"/>
              </w:rPr>
            </w:pPr>
            <w:r>
              <w:rPr>
                <w:rFonts w:hint="eastAsia" w:cs="Times New Roman"/>
                <w:kern w:val="0"/>
                <w:szCs w:val="20"/>
              </w:rPr>
              <w:t>评价结论</w:t>
            </w:r>
          </w:p>
        </w:tc>
        <w:tc>
          <w:tcPr>
            <w:tcW w:w="3246" w:type="pct"/>
            <w:gridSpan w:val="5"/>
            <w:tcBorders>
              <w:top w:val="single" w:color="auto" w:sz="4" w:space="0"/>
              <w:left w:val="single" w:color="auto" w:sz="4" w:space="0"/>
              <w:bottom w:val="single" w:color="auto" w:sz="4" w:space="0"/>
              <w:right w:val="single" w:color="auto" w:sz="4" w:space="0"/>
            </w:tcBorders>
            <w:vAlign w:val="center"/>
          </w:tcPr>
          <w:p w14:paraId="1BBFC702">
            <w:pPr>
              <w:pStyle w:val="445"/>
              <w:rPr>
                <w:rFonts w:cs="Times New Roman"/>
                <w:kern w:val="0"/>
                <w:szCs w:val="20"/>
              </w:rPr>
            </w:pPr>
          </w:p>
        </w:tc>
        <w:tc>
          <w:tcPr>
            <w:tcW w:w="621" w:type="pct"/>
            <w:tcBorders>
              <w:top w:val="single" w:color="auto" w:sz="4" w:space="0"/>
              <w:left w:val="single" w:color="auto" w:sz="4" w:space="0"/>
              <w:bottom w:val="single" w:color="auto" w:sz="4" w:space="0"/>
              <w:right w:val="nil"/>
            </w:tcBorders>
            <w:vAlign w:val="center"/>
          </w:tcPr>
          <w:p w14:paraId="2742571F">
            <w:pPr>
              <w:pStyle w:val="445"/>
              <w:rPr>
                <w:rFonts w:cs="Times New Roman"/>
                <w:kern w:val="0"/>
                <w:szCs w:val="20"/>
              </w:rPr>
            </w:pPr>
          </w:p>
        </w:tc>
      </w:tr>
      <w:tr w14:paraId="4C9F9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nil"/>
              <w:bottom w:val="single" w:color="auto" w:sz="12" w:space="0"/>
              <w:right w:val="nil"/>
            </w:tcBorders>
            <w:vAlign w:val="center"/>
          </w:tcPr>
          <w:p w14:paraId="3B61399D">
            <w:pPr>
              <w:pStyle w:val="445"/>
              <w:rPr>
                <w:rFonts w:cs="Times New Roman"/>
                <w:kern w:val="0"/>
                <w:szCs w:val="20"/>
              </w:rPr>
            </w:pPr>
            <w:r>
              <w:rPr>
                <w:rFonts w:hint="eastAsia" w:cs="Times New Roman"/>
                <w:kern w:val="0"/>
                <w:szCs w:val="20"/>
              </w:rPr>
              <w:t>注</w:t>
            </w:r>
            <w:r>
              <w:rPr>
                <w:rFonts w:cs="Times New Roman"/>
                <w:kern w:val="0"/>
                <w:szCs w:val="20"/>
              </w:rPr>
              <w:t xml:space="preserve"> 1</w:t>
            </w:r>
            <w:r>
              <w:rPr>
                <w:rFonts w:hint="eastAsia" w:cs="Times New Roman"/>
                <w:kern w:val="0"/>
                <w:szCs w:val="20"/>
              </w:rPr>
              <w:t>：“□”为勾选项，可</w:t>
            </w:r>
            <w:r>
              <w:rPr>
                <w:rFonts w:cs="Times New Roman"/>
                <w:kern w:val="0"/>
                <w:szCs w:val="20"/>
              </w:rPr>
              <w:t>√</w:t>
            </w:r>
            <w:r>
              <w:rPr>
                <w:rFonts w:hint="eastAsia" w:cs="Times New Roman"/>
                <w:kern w:val="0"/>
                <w:szCs w:val="20"/>
              </w:rPr>
              <w:t>；“（</w:t>
            </w:r>
            <w:r>
              <w:rPr>
                <w:rFonts w:cs="Times New Roman"/>
                <w:kern w:val="0"/>
                <w:szCs w:val="20"/>
              </w:rPr>
              <w:t xml:space="preserve">  </w:t>
            </w:r>
            <w:r>
              <w:rPr>
                <w:rFonts w:hint="eastAsia" w:cs="Times New Roman"/>
                <w:kern w:val="0"/>
                <w:szCs w:val="20"/>
              </w:rPr>
              <w:t>）”为内容填写项；“备注”为其他补充内容。</w:t>
            </w:r>
          </w:p>
          <w:p w14:paraId="1BEC204B">
            <w:pPr>
              <w:pStyle w:val="445"/>
              <w:rPr>
                <w:rFonts w:cs="Times New Roman"/>
                <w:kern w:val="0"/>
                <w:szCs w:val="20"/>
              </w:rPr>
            </w:pPr>
            <w:r>
              <w:rPr>
                <w:rFonts w:hint="eastAsia" w:cs="Times New Roman"/>
                <w:kern w:val="0"/>
                <w:szCs w:val="20"/>
              </w:rPr>
              <w:t>注</w:t>
            </w:r>
            <w:r>
              <w:rPr>
                <w:rFonts w:cs="Times New Roman"/>
                <w:kern w:val="0"/>
                <w:szCs w:val="20"/>
              </w:rPr>
              <w:t xml:space="preserve"> 2</w:t>
            </w:r>
            <w:r>
              <w:rPr>
                <w:rFonts w:hint="eastAsia" w:cs="Times New Roman"/>
                <w:kern w:val="0"/>
                <w:szCs w:val="20"/>
              </w:rPr>
              <w:t>：需要分别开展土壤环境影响评级工作的，分别填写自查表。</w:t>
            </w:r>
          </w:p>
        </w:tc>
      </w:tr>
    </w:tbl>
    <w:p w14:paraId="3F7CFFAA">
      <w:pPr>
        <w:pStyle w:val="4065"/>
      </w:pPr>
      <w:bookmarkStart w:id="367" w:name="_Toc31791"/>
      <w:bookmarkEnd w:id="367"/>
      <w:bookmarkStart w:id="368" w:name="_Toc479340226"/>
      <w:bookmarkEnd w:id="368"/>
      <w:bookmarkStart w:id="369" w:name="_Toc476667594"/>
      <w:bookmarkEnd w:id="369"/>
      <w:bookmarkStart w:id="370" w:name="_Toc108662686"/>
      <w:r>
        <w:rPr>
          <w:rFonts w:hint="eastAsia"/>
        </w:rPr>
        <w:t>5</w:t>
      </w:r>
      <w:r>
        <w:t>.8施工期环境影响分析</w:t>
      </w:r>
      <w:bookmarkEnd w:id="370"/>
    </w:p>
    <w:p w14:paraId="24F03529">
      <w:pPr>
        <w:spacing w:before="240" w:after="120"/>
        <w:ind w:firstLine="0" w:firstLineChars="0"/>
        <w:jc w:val="left"/>
        <w:outlineLvl w:val="2"/>
        <w:rPr>
          <w:rFonts w:eastAsia="黑体"/>
          <w:sz w:val="28"/>
          <w:szCs w:val="28"/>
        </w:rPr>
      </w:pPr>
      <w:bookmarkStart w:id="371" w:name="_Toc108662687"/>
      <w:bookmarkStart w:id="372" w:name="_Toc101135910"/>
      <w:bookmarkStart w:id="373" w:name="_Toc100784078"/>
      <w:r>
        <w:rPr>
          <w:rFonts w:eastAsia="黑体"/>
          <w:sz w:val="28"/>
          <w:szCs w:val="28"/>
        </w:rPr>
        <w:t>5.8.1</w:t>
      </w:r>
      <w:r>
        <w:rPr>
          <w:rFonts w:ascii="黑体" w:hAnsi="黑体" w:eastAsia="黑体"/>
          <w:sz w:val="28"/>
          <w:szCs w:val="28"/>
        </w:rPr>
        <w:t>施工期大气环境影响分析</w:t>
      </w:r>
      <w:bookmarkEnd w:id="371"/>
      <w:bookmarkEnd w:id="372"/>
      <w:bookmarkEnd w:id="373"/>
    </w:p>
    <w:p w14:paraId="2E343ADD">
      <w:pPr>
        <w:ind w:firstLine="482"/>
        <w:rPr>
          <w:b/>
          <w:szCs w:val="24"/>
        </w:rPr>
      </w:pPr>
      <w:r>
        <w:rPr>
          <w:rFonts w:ascii="宋体" w:hAnsi="宋体"/>
          <w:b/>
        </w:rPr>
        <w:t>（</w:t>
      </w:r>
      <w:r>
        <w:rPr>
          <w:b/>
        </w:rPr>
        <w:t>1</w:t>
      </w:r>
      <w:r>
        <w:rPr>
          <w:rFonts w:ascii="宋体" w:hAnsi="宋体"/>
          <w:b/>
        </w:rPr>
        <w:t>）车辆尾气</w:t>
      </w:r>
    </w:p>
    <w:p w14:paraId="24C30960">
      <w:pPr>
        <w:ind w:firstLine="480"/>
      </w:pPr>
      <w:r>
        <w:rPr>
          <w:rFonts w:ascii="宋体" w:hAnsi="宋体"/>
        </w:rPr>
        <w:t>施工过程中废气主要来源于施工机械驱动设备（如柴油机等）和运输及施工车辆所排放的废气，排放的主要污染物为</w:t>
      </w:r>
      <w:r>
        <w:t>NO</w:t>
      </w:r>
      <w:r>
        <w:rPr>
          <w:vertAlign w:val="subscript"/>
        </w:rPr>
        <w:t>2</w:t>
      </w:r>
      <w:r>
        <w:rPr>
          <w:rFonts w:ascii="宋体" w:hAnsi="宋体"/>
        </w:rPr>
        <w:t>、</w:t>
      </w:r>
      <w:r>
        <w:t>CO</w:t>
      </w:r>
      <w:r>
        <w:rPr>
          <w:rFonts w:ascii="宋体" w:hAnsi="宋体"/>
        </w:rPr>
        <w:t>、烃类物等。</w:t>
      </w:r>
    </w:p>
    <w:p w14:paraId="694B8097">
      <w:pPr>
        <w:ind w:firstLine="482"/>
        <w:rPr>
          <w:b/>
        </w:rPr>
      </w:pPr>
      <w:r>
        <w:rPr>
          <w:rFonts w:ascii="宋体" w:hAnsi="宋体"/>
          <w:b/>
        </w:rPr>
        <w:t>（</w:t>
      </w:r>
      <w:r>
        <w:rPr>
          <w:b/>
        </w:rPr>
        <w:t>2</w:t>
      </w:r>
      <w:r>
        <w:rPr>
          <w:rFonts w:ascii="宋体" w:hAnsi="宋体"/>
          <w:b/>
        </w:rPr>
        <w:t>）粉尘和扬尘</w:t>
      </w:r>
    </w:p>
    <w:p w14:paraId="1090FD18">
      <w:pPr>
        <w:ind w:firstLine="480"/>
      </w:pPr>
      <w:r>
        <w:rPr>
          <w:rFonts w:ascii="宋体" w:hAnsi="宋体"/>
        </w:rPr>
        <w:t>在建设过程中，粉尘污染主要来源于：</w:t>
      </w:r>
    </w:p>
    <w:p w14:paraId="254A4C33">
      <w:pPr>
        <w:ind w:firstLine="480"/>
      </w:pPr>
      <w:r>
        <w:rPr>
          <w:rFonts w:hint="eastAsia" w:ascii="宋体" w:hAnsi="宋体"/>
        </w:rPr>
        <w:t>①</w:t>
      </w:r>
      <w:r>
        <w:rPr>
          <w:rFonts w:ascii="宋体" w:hAnsi="宋体"/>
        </w:rPr>
        <w:t>管道施工中的土方运输产生的粉尘；</w:t>
      </w:r>
    </w:p>
    <w:p w14:paraId="2E5A0922">
      <w:pPr>
        <w:ind w:firstLine="480"/>
      </w:pPr>
      <w:r>
        <w:rPr>
          <w:rFonts w:hint="eastAsia" w:ascii="宋体" w:hAnsi="宋体"/>
        </w:rPr>
        <w:t>②</w:t>
      </w:r>
      <w:r>
        <w:rPr>
          <w:rFonts w:ascii="宋体" w:hAnsi="宋体"/>
        </w:rPr>
        <w:t>建筑材料如水泥、白灰、砂子以及土方等在其装卸、运输、堆放等过程中，因风力作用而产生的扬尘污染；</w:t>
      </w:r>
    </w:p>
    <w:p w14:paraId="4F1D3791">
      <w:pPr>
        <w:ind w:firstLine="480"/>
      </w:pPr>
      <w:r>
        <w:rPr>
          <w:rFonts w:hint="eastAsia" w:ascii="宋体" w:hAnsi="宋体"/>
        </w:rPr>
        <w:t>③</w:t>
      </w:r>
      <w:r>
        <w:rPr>
          <w:rFonts w:ascii="宋体" w:hAnsi="宋体"/>
        </w:rPr>
        <w:t>搅拌车辆及运输车辆往来造成地面扬尘；</w:t>
      </w:r>
    </w:p>
    <w:p w14:paraId="2EE983D4">
      <w:pPr>
        <w:ind w:firstLine="480"/>
      </w:pPr>
      <w:r>
        <w:rPr>
          <w:rFonts w:hint="eastAsia" w:ascii="宋体" w:hAnsi="宋体"/>
        </w:rPr>
        <w:t>④</w:t>
      </w:r>
      <w:r>
        <w:rPr>
          <w:rFonts w:ascii="宋体" w:hAnsi="宋体"/>
        </w:rPr>
        <w:t>施工垃圾及清运过程中产生扬尘。</w:t>
      </w:r>
    </w:p>
    <w:p w14:paraId="4F7320CD">
      <w:pPr>
        <w:ind w:firstLine="480"/>
      </w:pPr>
      <w:r>
        <w:rPr>
          <w:rFonts w:ascii="宋体" w:hAnsi="宋体"/>
        </w:rPr>
        <w:t>上述施工过程中产生的废气、粉尘及扬尘将会造成周围大气环境污染，其中又以粉尘的危害较为严重。</w:t>
      </w:r>
    </w:p>
    <w:p w14:paraId="0EBE2893">
      <w:pPr>
        <w:ind w:firstLine="480"/>
      </w:pPr>
      <w:r>
        <w:rPr>
          <w:rFonts w:ascii="宋体" w:hAnsi="宋体"/>
        </w:rPr>
        <w:t>施工期间产生的粉尘（扬尘）污染主要取决于施工作业方式、材料的堆放及风力因素，其中受风力因素的影响最大。随着风速的增大，施工扬尘产生的污染程度和超标范围也将随之增强和扩大。</w:t>
      </w:r>
    </w:p>
    <w:p w14:paraId="3027498C">
      <w:pPr>
        <w:ind w:firstLine="480"/>
      </w:pPr>
      <w:r>
        <w:rPr>
          <w:rFonts w:hint="eastAsia" w:ascii="宋体" w:hAnsi="宋体"/>
        </w:rPr>
        <w:t>结合《安徽省建筑工程施工和预拌混凝土生产扬尘污染防治标准（试行）》等文件要求，建筑工程施工现场扬尘污染防治应做到施工范围全覆盖。</w:t>
      </w:r>
    </w:p>
    <w:p w14:paraId="6E3D57E6">
      <w:pPr>
        <w:ind w:firstLine="480"/>
      </w:pPr>
      <w:r>
        <w:rPr>
          <w:rFonts w:hint="eastAsia" w:ascii="宋体" w:hAnsi="宋体"/>
        </w:rPr>
        <w:t>工地周边围挡、物料堆放覆盖、路面硬化、土方开挖湿法作业、出入车辆清洗、渣土车辆密闭运输</w:t>
      </w:r>
      <w:r>
        <w:rPr>
          <w:rFonts w:hint="eastAsia"/>
        </w:rPr>
        <w:t>“六个百分之百”。具体防治对策和措施如下：</w:t>
      </w:r>
    </w:p>
    <w:p w14:paraId="4261FCCE">
      <w:pPr>
        <w:ind w:firstLine="480"/>
      </w:pPr>
      <w:r>
        <w:rPr>
          <w:rFonts w:hint="eastAsia" w:ascii="宋体" w:hAnsi="宋体"/>
        </w:rPr>
        <w:t>（</w:t>
      </w:r>
      <w:r>
        <w:t>1</w:t>
      </w:r>
      <w:r>
        <w:rPr>
          <w:rFonts w:hint="eastAsia" w:ascii="宋体" w:hAnsi="宋体"/>
        </w:rPr>
        <w:t>）防治扬尘污染的费用应当列入工程建设成本。建设单位在招标文件中应当要求投标人在投标文件中，制定施工现场扬尘污染防治措施，并列入技术标评标内容。中标人与建设单位签订的合同中应当包括招标文件中的施工现场扬尘污染防治措施，并明确扬尘污染防治责任。</w:t>
      </w:r>
    </w:p>
    <w:p w14:paraId="442C3431">
      <w:pPr>
        <w:ind w:firstLine="480"/>
      </w:pPr>
      <w:r>
        <w:rPr>
          <w:rFonts w:hint="eastAsia" w:ascii="宋体" w:hAnsi="宋体"/>
        </w:rPr>
        <w:t>（</w:t>
      </w:r>
      <w:r>
        <w:t>2</w:t>
      </w:r>
      <w:r>
        <w:rPr>
          <w:rFonts w:hint="eastAsia" w:ascii="宋体" w:hAnsi="宋体"/>
        </w:rPr>
        <w:t>）施工现场应实行封闭围挡，围挡底边应当设置防溢基础，不得有泥浆外漏；围挡应安全可靠；围挡高度不应低于</w:t>
      </w:r>
      <w:r>
        <w:t>1.8m</w:t>
      </w:r>
      <w:r>
        <w:rPr>
          <w:rFonts w:hint="eastAsia" w:ascii="宋体" w:hAnsi="宋体"/>
        </w:rPr>
        <w:t>；围挡上部宜设置朝向场内区域的喷雾装置，每组间隔不宜大于</w:t>
      </w:r>
      <w:r>
        <w:t>4m</w:t>
      </w:r>
      <w:r>
        <w:rPr>
          <w:rFonts w:hint="eastAsia" w:ascii="宋体" w:hAnsi="宋体"/>
        </w:rPr>
        <w:t>；围挡立面应保持干净、整洁，宜定时清理；围挡应保证施工作业人员和周边行人的安全，且牢固、美观、环保、无破损。</w:t>
      </w:r>
    </w:p>
    <w:p w14:paraId="6EDB0EF8">
      <w:pPr>
        <w:ind w:firstLine="480"/>
      </w:pPr>
      <w:r>
        <w:rPr>
          <w:rFonts w:hint="eastAsia" w:ascii="宋体" w:hAnsi="宋体"/>
        </w:rPr>
        <w:t>（</w:t>
      </w:r>
      <w:r>
        <w:t>3</w:t>
      </w:r>
      <w:r>
        <w:rPr>
          <w:rFonts w:hint="eastAsia" w:ascii="宋体" w:hAnsi="宋体"/>
        </w:rPr>
        <w:t>）施工现场临时设施、临时道路的设置应科学合理，并应符合安全、消防、节能、环保等有关规定。施工区、材料加工及存放区应与办公区、生活区划分清楚，并应采取相应的隔离措施；施工现场出入口、主要道路必须采用硬化处理措施，尽量做到</w:t>
      </w:r>
      <w:r>
        <w:rPr>
          <w:rFonts w:hint="eastAsia"/>
        </w:rPr>
        <w:t>“永临结合”。宜设置循环通道或贯通的施工道路，其宽度和承载力应满足车辆通行和消防要求</w:t>
      </w:r>
      <w:r>
        <w:t>:</w:t>
      </w:r>
      <w:r>
        <w:rPr>
          <w:rFonts w:hint="eastAsia" w:ascii="宋体" w:hAnsi="宋体"/>
        </w:rPr>
        <w:t>沿施工道路两侧宜通长布设标准化的道路喷淋系统；施工现场辅助临时道路、加工区、施工用材料堆放场、临时停车场地等应采取铺砌块</w:t>
      </w:r>
      <w:r>
        <w:t>(</w:t>
      </w:r>
      <w:r>
        <w:rPr>
          <w:rFonts w:hint="eastAsia" w:ascii="宋体" w:hAnsi="宋体"/>
        </w:rPr>
        <w:t>砖</w:t>
      </w:r>
      <w:r>
        <w:t>)</w:t>
      </w:r>
      <w:r>
        <w:rPr>
          <w:rFonts w:hint="eastAsia" w:ascii="宋体" w:hAnsi="宋体"/>
        </w:rPr>
        <w:t>、焦渣、碎石铺装等固化措施；生活区、办公区地面应进行硬化或绿化，优先使用能重复利用的预制砖、铺砌块等材料；长期存在的废弃物堆场，应当设置高于废弃物堆的围墙、防尘网或者在废弃物堆场表面植被绿化；施工场区内裸露场地和堆放的土方必须采用防尘网覆盖、绿化或固化等扬尘污染防治措施；施工现场地表水和地下管沟应排水畅通，场地无积水。严禁将污水直接排入雨水管网，污水宜沉淀后重复使用；建设单位负责对待建场地裸露地面应进行覆盖，超过三个月的，应当进行临时绿化或者透水铺装。</w:t>
      </w:r>
    </w:p>
    <w:p w14:paraId="64DA31C2">
      <w:pPr>
        <w:ind w:firstLine="480"/>
      </w:pPr>
      <w:r>
        <w:rPr>
          <w:rFonts w:hint="eastAsia" w:ascii="宋体" w:hAnsi="宋体"/>
        </w:rPr>
        <w:t>（</w:t>
      </w:r>
      <w:r>
        <w:t>4</w:t>
      </w:r>
      <w:r>
        <w:rPr>
          <w:rFonts w:hint="eastAsia" w:ascii="宋体" w:hAnsi="宋体"/>
        </w:rPr>
        <w:t>）施工现场出入口大门内侧场内主道路应按有关规定固定设置车辆自动冲洗设施，包括冲洗平台、冲洗设备、排水沟、沉淀池等。特殊情况及拆除工程施工现场，可采用满足现场冲洗要求的移动式冲洗设备；车辆冲洗应有专人负责并填写台账。确保车辆外部、底盘、轮胎处不得粘有污物和泥土，施工工地大门外车辆出口路面上不应有明显的泥印和泥浆水，以及砂石、灰土等易扬尘材料；车辆冲洗宜采用循环用水，设置分级沉淀池，沉淀池应做防渗处理，污水不得直接排入市政管网，沉淀池、排水沟中积存的污泥应定期清理；洗装置应从工程开工之日起设置，并保留至工程竣工，对损坏的设备要及时进行维修，保证正常使用。</w:t>
      </w:r>
    </w:p>
    <w:p w14:paraId="21B3CE73">
      <w:pPr>
        <w:ind w:firstLine="480"/>
      </w:pPr>
      <w:r>
        <w:rPr>
          <w:rFonts w:hint="eastAsia" w:ascii="宋体" w:hAnsi="宋体"/>
        </w:rPr>
        <w:t>（</w:t>
      </w:r>
      <w:r>
        <w:t>5</w:t>
      </w:r>
      <w:r>
        <w:rPr>
          <w:rFonts w:hint="eastAsia" w:ascii="宋体" w:hAnsi="宋体"/>
        </w:rPr>
        <w:t>）砂石等散体材料应设置围挡，集中、分类堆放，并采取防尘网覆盖或其他防尘措施；水泥、粉煤灰、灰土等易产生扬尘的细预粒建筑材料应进行密闭存放或设置围挡进行封闭、覆盖，使用过程中应采取有效抑尘措施；现场搅拌机、砂浆罐必须设置防尘降噪棚，棚体需封闭，棚内应采取有效摔尘措施；严禁在施工现场国档外堆放建筑材料和建筑垃圾；场内装卸、搬运易扬尘材科应遮盖、封闭或洒水；施工现场土方堆放时，应采取覆盖防尘网、绿化等防尘措施，并定时洒水，还应做到土方堆放高度不宜超过相邻围挡、使用土方时禁止将所有遮盖的防尘网全部打开、雨季时应采取措施防止随雨水冲刷进入水体或市政雨水管道。</w:t>
      </w:r>
    </w:p>
    <w:p w14:paraId="0A03C5A2">
      <w:pPr>
        <w:ind w:firstLine="480"/>
      </w:pPr>
      <w:r>
        <w:rPr>
          <w:rFonts w:hint="eastAsia" w:ascii="宋体" w:hAnsi="宋体"/>
        </w:rPr>
        <w:t>（</w:t>
      </w:r>
      <w:r>
        <w:t>6</w:t>
      </w:r>
      <w:r>
        <w:rPr>
          <w:rFonts w:hint="eastAsia" w:ascii="宋体" w:hAnsi="宋体"/>
        </w:rPr>
        <w:t>）建筑垃圾处置实行减量化、资源化、无害化和</w:t>
      </w:r>
      <w:r>
        <w:rPr>
          <w:rFonts w:hint="eastAsia"/>
        </w:rPr>
        <w:t>“谁产生、谁处置”的原则；施工单位应当合理利用资源，防止浪费，减少渣与建筑垃圾的产出量；施工现场建筑垃圾应集中、分类堆放，严密遮盖，必要时建立密闭式垃圾站；楼层内清理施工垃圾，应采取先酒水降尘后清扫的作业方法，并使用密闭式专用垃圾通道</w:t>
      </w:r>
      <w:r>
        <w:t>(</w:t>
      </w:r>
      <w:r>
        <w:rPr>
          <w:rFonts w:hint="eastAsia" w:ascii="宋体" w:hAnsi="宋体"/>
        </w:rPr>
        <w:t>管道</w:t>
      </w:r>
      <w:r>
        <w:t>)</w:t>
      </w:r>
      <w:r>
        <w:rPr>
          <w:rFonts w:hint="eastAsia" w:ascii="宋体" w:hAnsi="宋体"/>
        </w:rPr>
        <w:t>或袋装清运；施工现场内严禁随意丢弃和焚烧各类废弃物，严禁高空抛洒建筑垃圾；施工工程中产生的弃土、弃料及其他建筑垃圾，应及时清运。若在工地内堆置超过</w:t>
      </w:r>
      <w:r>
        <w:t>48</w:t>
      </w:r>
      <w:r>
        <w:rPr>
          <w:rFonts w:hint="eastAsia" w:ascii="宋体" w:hAnsi="宋体"/>
        </w:rPr>
        <w:t>小时的，则应在施工工地内设置临时堆放场，并采取下列措施：</w:t>
      </w:r>
    </w:p>
    <w:p w14:paraId="4DC17FA3">
      <w:pPr>
        <w:ind w:firstLine="480"/>
      </w:pPr>
      <w:r>
        <w:rPr>
          <w:rFonts w:hint="eastAsia" w:ascii="宋体" w:hAnsi="宋体" w:cs="宋体"/>
          <w:lang w:eastAsia="ja-JP"/>
        </w:rPr>
        <w:t>①</w:t>
      </w:r>
      <w:r>
        <w:rPr>
          <w:rFonts w:hint="eastAsia" w:ascii="宋体" w:hAnsi="宋体"/>
        </w:rPr>
        <w:t>覆盖防尘布、防尘网</w:t>
      </w:r>
    </w:p>
    <w:p w14:paraId="134A7B5E">
      <w:pPr>
        <w:ind w:firstLine="480"/>
      </w:pPr>
      <w:r>
        <w:rPr>
          <w:rFonts w:hint="eastAsia" w:ascii="宋体" w:hAnsi="宋体" w:cs="宋体"/>
          <w:lang w:eastAsia="ja-JP"/>
        </w:rPr>
        <w:t>②</w:t>
      </w:r>
      <w:r>
        <w:rPr>
          <w:rFonts w:hint="eastAsia" w:ascii="宋体" w:hAnsi="宋体"/>
        </w:rPr>
        <w:t>定期喷洒抑尘剂</w:t>
      </w:r>
    </w:p>
    <w:p w14:paraId="2B6B6EE3">
      <w:pPr>
        <w:ind w:firstLine="480"/>
      </w:pPr>
      <w:r>
        <w:rPr>
          <w:rFonts w:hint="eastAsia" w:ascii="宋体" w:hAnsi="宋体" w:cs="宋体"/>
          <w:lang w:eastAsia="ja-JP"/>
        </w:rPr>
        <w:t>③</w:t>
      </w:r>
      <w:r>
        <w:rPr>
          <w:rFonts w:hint="eastAsia" w:ascii="宋体" w:hAnsi="宋体"/>
        </w:rPr>
        <w:t>定期洒水压尘</w:t>
      </w:r>
    </w:p>
    <w:p w14:paraId="5389B49C">
      <w:pPr>
        <w:ind w:firstLine="480"/>
      </w:pPr>
      <w:r>
        <w:rPr>
          <w:rFonts w:hint="eastAsia" w:ascii="宋体" w:hAnsi="宋体" w:cs="宋体"/>
          <w:lang w:eastAsia="ja-JP"/>
        </w:rPr>
        <w:t>④</w:t>
      </w:r>
      <w:r>
        <w:rPr>
          <w:rFonts w:hint="eastAsia" w:ascii="宋体" w:hAnsi="宋体"/>
        </w:rPr>
        <w:t>其他有效的防尘措施</w:t>
      </w:r>
    </w:p>
    <w:p w14:paraId="64E29CB6">
      <w:pPr>
        <w:ind w:firstLine="480"/>
      </w:pPr>
      <w:r>
        <w:rPr>
          <w:rFonts w:hint="eastAsia" w:ascii="宋体" w:hAnsi="宋体"/>
        </w:rPr>
        <w:t>建筑垃圾和土方运输车辆运输中必须采取密闭措施，切实达到无外露、无遗撒、无高尖、无扬尘的要求，按规定的时间、地点、线路运输和装卸；外运泥浆应使用具有吸排性能的密封罐车。</w:t>
      </w:r>
    </w:p>
    <w:p w14:paraId="64A2DC5D">
      <w:pPr>
        <w:spacing w:before="240" w:after="120"/>
        <w:ind w:firstLine="0" w:firstLineChars="0"/>
        <w:jc w:val="left"/>
        <w:outlineLvl w:val="2"/>
        <w:rPr>
          <w:rFonts w:eastAsia="黑体"/>
          <w:sz w:val="28"/>
          <w:szCs w:val="28"/>
        </w:rPr>
      </w:pPr>
      <w:bookmarkStart w:id="374" w:name="_Toc100784079"/>
      <w:bookmarkStart w:id="375" w:name="_Toc108662688"/>
      <w:bookmarkStart w:id="376" w:name="_Toc101135911"/>
      <w:r>
        <w:rPr>
          <w:rFonts w:eastAsia="黑体"/>
          <w:sz w:val="28"/>
          <w:szCs w:val="28"/>
        </w:rPr>
        <w:t>5</w:t>
      </w:r>
      <w:r>
        <w:rPr>
          <w:rFonts w:hint="eastAsia" w:eastAsia="黑体"/>
          <w:sz w:val="28"/>
          <w:szCs w:val="28"/>
        </w:rPr>
        <w:t>.</w:t>
      </w:r>
      <w:r>
        <w:rPr>
          <w:rFonts w:eastAsia="黑体"/>
          <w:sz w:val="28"/>
          <w:szCs w:val="28"/>
        </w:rPr>
        <w:t>8.2</w:t>
      </w:r>
      <w:r>
        <w:rPr>
          <w:rFonts w:ascii="黑体" w:hAnsi="黑体" w:eastAsia="黑体"/>
          <w:sz w:val="28"/>
          <w:szCs w:val="28"/>
        </w:rPr>
        <w:t>施工期噪声环境影响分析</w:t>
      </w:r>
      <w:bookmarkEnd w:id="374"/>
      <w:bookmarkEnd w:id="375"/>
      <w:bookmarkEnd w:id="376"/>
    </w:p>
    <w:p w14:paraId="56ECCB5A">
      <w:pPr>
        <w:ind w:firstLine="480"/>
        <w:rPr>
          <w:szCs w:val="24"/>
        </w:rPr>
      </w:pPr>
      <w:r>
        <w:rPr>
          <w:rFonts w:hint="eastAsia" w:ascii="宋体" w:hAnsi="宋体"/>
        </w:rPr>
        <w:t>本</w:t>
      </w:r>
      <w:r>
        <w:rPr>
          <w:rFonts w:ascii="宋体" w:hAnsi="宋体"/>
        </w:rPr>
        <w:t>项目建设施工期间，各项施工活动，物料运输将不可避免地产生废气、粉尘、废水、噪声和固体废物，并对周围环境产生污染影响，其中以施工噪声和粉尘污染影响较为突出。</w:t>
      </w:r>
    </w:p>
    <w:p w14:paraId="5542274B">
      <w:pPr>
        <w:ind w:firstLine="480"/>
      </w:pPr>
      <w:r>
        <w:rPr>
          <w:rFonts w:ascii="宋体" w:hAnsi="宋体"/>
        </w:rPr>
        <w:t>施工期间，运输车辆和各种施工机械如挖掘机、搅拌机都是主要的噪声源，根据有关资料，这些机械、设备运行时的噪声值如表</w:t>
      </w:r>
      <w:r>
        <w:t>5.8.2-1</w:t>
      </w:r>
      <w:r>
        <w:rPr>
          <w:rFonts w:ascii="宋体" w:hAnsi="宋体"/>
        </w:rPr>
        <w:t>。</w:t>
      </w:r>
    </w:p>
    <w:p w14:paraId="65EA3BCA">
      <w:pPr>
        <w:spacing w:line="500" w:lineRule="exact"/>
        <w:ind w:firstLine="0" w:firstLineChars="0"/>
        <w:jc w:val="center"/>
        <w:rPr>
          <w:rFonts w:eastAsia="黑体"/>
        </w:rPr>
      </w:pPr>
      <w:r>
        <w:rPr>
          <w:rFonts w:ascii="黑体" w:hAnsi="黑体" w:eastAsia="黑体"/>
        </w:rPr>
        <w:t>表</w:t>
      </w:r>
      <w:r>
        <w:rPr>
          <w:rFonts w:eastAsia="黑体"/>
        </w:rPr>
        <w:t xml:space="preserve">5.8.2-1  </w:t>
      </w:r>
      <w:r>
        <w:rPr>
          <w:rFonts w:ascii="黑体" w:hAnsi="黑体" w:eastAsia="黑体"/>
        </w:rPr>
        <w:t>施工机械设备噪声值</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91"/>
        <w:gridCol w:w="2651"/>
        <w:gridCol w:w="4700"/>
      </w:tblGrid>
      <w:tr w14:paraId="46247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12" w:space="0"/>
              <w:left w:val="nil"/>
              <w:bottom w:val="single" w:color="auto" w:sz="4" w:space="0"/>
              <w:right w:val="single" w:color="auto" w:sz="4" w:space="0"/>
            </w:tcBorders>
          </w:tcPr>
          <w:p w14:paraId="6604A287">
            <w:pPr>
              <w:pStyle w:val="445"/>
              <w:rPr>
                <w:rFonts w:cs="Times New Roman"/>
                <w:kern w:val="0"/>
                <w:szCs w:val="20"/>
              </w:rPr>
            </w:pPr>
            <w:r>
              <w:rPr>
                <w:rFonts w:cs="Times New Roman"/>
                <w:kern w:val="0"/>
                <w:szCs w:val="20"/>
              </w:rPr>
              <w:t>序号</w:t>
            </w:r>
          </w:p>
        </w:tc>
        <w:tc>
          <w:tcPr>
            <w:tcW w:w="1434" w:type="pct"/>
            <w:tcBorders>
              <w:top w:val="single" w:color="auto" w:sz="12" w:space="0"/>
              <w:left w:val="single" w:color="auto" w:sz="4" w:space="0"/>
              <w:bottom w:val="single" w:color="auto" w:sz="4" w:space="0"/>
              <w:right w:val="single" w:color="auto" w:sz="4" w:space="0"/>
            </w:tcBorders>
          </w:tcPr>
          <w:p w14:paraId="5ADBEF55">
            <w:pPr>
              <w:pStyle w:val="445"/>
              <w:rPr>
                <w:rFonts w:cs="Times New Roman"/>
                <w:kern w:val="0"/>
                <w:szCs w:val="20"/>
              </w:rPr>
            </w:pPr>
            <w:r>
              <w:rPr>
                <w:rFonts w:cs="Times New Roman"/>
                <w:kern w:val="0"/>
                <w:szCs w:val="20"/>
              </w:rPr>
              <w:t>设备名称</w:t>
            </w:r>
          </w:p>
        </w:tc>
        <w:tc>
          <w:tcPr>
            <w:tcW w:w="2543" w:type="pct"/>
            <w:tcBorders>
              <w:top w:val="single" w:color="auto" w:sz="12" w:space="0"/>
              <w:left w:val="single" w:color="auto" w:sz="4" w:space="0"/>
              <w:bottom w:val="single" w:color="auto" w:sz="4" w:space="0"/>
              <w:right w:val="nil"/>
            </w:tcBorders>
          </w:tcPr>
          <w:p w14:paraId="427964FF">
            <w:pPr>
              <w:pStyle w:val="445"/>
              <w:rPr>
                <w:rFonts w:cs="Times New Roman"/>
                <w:kern w:val="0"/>
                <w:szCs w:val="20"/>
              </w:rPr>
            </w:pPr>
            <w:r>
              <w:rPr>
                <w:rFonts w:cs="Times New Roman"/>
                <w:kern w:val="0"/>
                <w:szCs w:val="20"/>
              </w:rPr>
              <w:t>距源10m处A声级dB(A)</w:t>
            </w:r>
          </w:p>
        </w:tc>
      </w:tr>
      <w:tr w14:paraId="534E5D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4" w:space="0"/>
              <w:left w:val="nil"/>
              <w:bottom w:val="single" w:color="auto" w:sz="4" w:space="0"/>
              <w:right w:val="single" w:color="auto" w:sz="4" w:space="0"/>
            </w:tcBorders>
          </w:tcPr>
          <w:p w14:paraId="7F29573A">
            <w:pPr>
              <w:pStyle w:val="445"/>
              <w:rPr>
                <w:rFonts w:cs="Times New Roman"/>
                <w:kern w:val="0"/>
                <w:szCs w:val="20"/>
              </w:rPr>
            </w:pPr>
            <w:r>
              <w:rPr>
                <w:rFonts w:cs="Times New Roman"/>
                <w:kern w:val="0"/>
                <w:szCs w:val="20"/>
              </w:rPr>
              <w:t>1</w:t>
            </w:r>
          </w:p>
        </w:tc>
        <w:tc>
          <w:tcPr>
            <w:tcW w:w="1434" w:type="pct"/>
            <w:tcBorders>
              <w:top w:val="single" w:color="auto" w:sz="4" w:space="0"/>
              <w:left w:val="single" w:color="auto" w:sz="4" w:space="0"/>
              <w:bottom w:val="single" w:color="auto" w:sz="4" w:space="0"/>
              <w:right w:val="single" w:color="auto" w:sz="4" w:space="0"/>
            </w:tcBorders>
          </w:tcPr>
          <w:p w14:paraId="70044F6B">
            <w:pPr>
              <w:pStyle w:val="445"/>
              <w:rPr>
                <w:rFonts w:cs="Times New Roman"/>
                <w:kern w:val="0"/>
                <w:szCs w:val="20"/>
              </w:rPr>
            </w:pPr>
            <w:r>
              <w:rPr>
                <w:rFonts w:cs="Times New Roman"/>
                <w:kern w:val="0"/>
                <w:szCs w:val="20"/>
              </w:rPr>
              <w:t>搅拌机</w:t>
            </w:r>
          </w:p>
        </w:tc>
        <w:tc>
          <w:tcPr>
            <w:tcW w:w="2543" w:type="pct"/>
            <w:tcBorders>
              <w:top w:val="single" w:color="auto" w:sz="4" w:space="0"/>
              <w:left w:val="single" w:color="auto" w:sz="4" w:space="0"/>
              <w:bottom w:val="single" w:color="auto" w:sz="4" w:space="0"/>
              <w:right w:val="nil"/>
            </w:tcBorders>
          </w:tcPr>
          <w:p w14:paraId="7067A5BE">
            <w:pPr>
              <w:pStyle w:val="445"/>
              <w:rPr>
                <w:rFonts w:cs="Times New Roman"/>
                <w:kern w:val="0"/>
                <w:szCs w:val="20"/>
              </w:rPr>
            </w:pPr>
            <w:r>
              <w:rPr>
                <w:rFonts w:cs="Times New Roman"/>
                <w:kern w:val="0"/>
                <w:szCs w:val="20"/>
              </w:rPr>
              <w:t>84</w:t>
            </w:r>
          </w:p>
        </w:tc>
      </w:tr>
      <w:tr w14:paraId="06505A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4" w:space="0"/>
              <w:left w:val="nil"/>
              <w:bottom w:val="single" w:color="auto" w:sz="4" w:space="0"/>
              <w:right w:val="single" w:color="auto" w:sz="4" w:space="0"/>
            </w:tcBorders>
          </w:tcPr>
          <w:p w14:paraId="0059DB53">
            <w:pPr>
              <w:pStyle w:val="445"/>
              <w:rPr>
                <w:rFonts w:cs="Times New Roman"/>
                <w:kern w:val="0"/>
                <w:szCs w:val="20"/>
              </w:rPr>
            </w:pPr>
            <w:r>
              <w:rPr>
                <w:rFonts w:cs="Times New Roman"/>
                <w:kern w:val="0"/>
                <w:szCs w:val="20"/>
              </w:rPr>
              <w:t>2</w:t>
            </w:r>
          </w:p>
        </w:tc>
        <w:tc>
          <w:tcPr>
            <w:tcW w:w="1434" w:type="pct"/>
            <w:tcBorders>
              <w:top w:val="single" w:color="auto" w:sz="4" w:space="0"/>
              <w:left w:val="single" w:color="auto" w:sz="4" w:space="0"/>
              <w:bottom w:val="single" w:color="auto" w:sz="4" w:space="0"/>
              <w:right w:val="single" w:color="auto" w:sz="4" w:space="0"/>
            </w:tcBorders>
          </w:tcPr>
          <w:p w14:paraId="123FAD50">
            <w:pPr>
              <w:pStyle w:val="445"/>
              <w:rPr>
                <w:rFonts w:cs="Times New Roman"/>
                <w:kern w:val="0"/>
                <w:szCs w:val="20"/>
              </w:rPr>
            </w:pPr>
            <w:r>
              <w:rPr>
                <w:rFonts w:cs="Times New Roman"/>
                <w:kern w:val="0"/>
                <w:szCs w:val="20"/>
              </w:rPr>
              <w:t>夯土机</w:t>
            </w:r>
          </w:p>
        </w:tc>
        <w:tc>
          <w:tcPr>
            <w:tcW w:w="2543" w:type="pct"/>
            <w:tcBorders>
              <w:top w:val="single" w:color="auto" w:sz="4" w:space="0"/>
              <w:left w:val="single" w:color="auto" w:sz="4" w:space="0"/>
              <w:bottom w:val="single" w:color="auto" w:sz="4" w:space="0"/>
              <w:right w:val="nil"/>
            </w:tcBorders>
          </w:tcPr>
          <w:p w14:paraId="2FE88558">
            <w:pPr>
              <w:pStyle w:val="445"/>
              <w:rPr>
                <w:rFonts w:cs="Times New Roman"/>
                <w:kern w:val="0"/>
                <w:szCs w:val="20"/>
              </w:rPr>
            </w:pPr>
            <w:r>
              <w:rPr>
                <w:rFonts w:cs="Times New Roman"/>
                <w:kern w:val="0"/>
                <w:szCs w:val="20"/>
              </w:rPr>
              <w:t>83</w:t>
            </w:r>
          </w:p>
        </w:tc>
      </w:tr>
      <w:tr w14:paraId="03DE6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4" w:space="0"/>
              <w:left w:val="nil"/>
              <w:bottom w:val="single" w:color="auto" w:sz="4" w:space="0"/>
              <w:right w:val="single" w:color="auto" w:sz="4" w:space="0"/>
            </w:tcBorders>
          </w:tcPr>
          <w:p w14:paraId="53A97191">
            <w:pPr>
              <w:pStyle w:val="445"/>
              <w:rPr>
                <w:rFonts w:cs="Times New Roman"/>
                <w:kern w:val="0"/>
                <w:szCs w:val="20"/>
              </w:rPr>
            </w:pPr>
            <w:r>
              <w:rPr>
                <w:rFonts w:cs="Times New Roman"/>
                <w:kern w:val="0"/>
                <w:szCs w:val="20"/>
              </w:rPr>
              <w:t>3</w:t>
            </w:r>
          </w:p>
        </w:tc>
        <w:tc>
          <w:tcPr>
            <w:tcW w:w="1434" w:type="pct"/>
            <w:tcBorders>
              <w:top w:val="single" w:color="auto" w:sz="4" w:space="0"/>
              <w:left w:val="single" w:color="auto" w:sz="4" w:space="0"/>
              <w:bottom w:val="single" w:color="auto" w:sz="4" w:space="0"/>
              <w:right w:val="single" w:color="auto" w:sz="4" w:space="0"/>
            </w:tcBorders>
          </w:tcPr>
          <w:p w14:paraId="2676B872">
            <w:pPr>
              <w:pStyle w:val="445"/>
              <w:rPr>
                <w:rFonts w:cs="Times New Roman"/>
                <w:kern w:val="0"/>
                <w:szCs w:val="20"/>
              </w:rPr>
            </w:pPr>
            <w:r>
              <w:rPr>
                <w:rFonts w:cs="Times New Roman"/>
                <w:kern w:val="0"/>
                <w:szCs w:val="20"/>
              </w:rPr>
              <w:t>起重机</w:t>
            </w:r>
          </w:p>
        </w:tc>
        <w:tc>
          <w:tcPr>
            <w:tcW w:w="2543" w:type="pct"/>
            <w:tcBorders>
              <w:top w:val="single" w:color="auto" w:sz="4" w:space="0"/>
              <w:left w:val="single" w:color="auto" w:sz="4" w:space="0"/>
              <w:bottom w:val="single" w:color="auto" w:sz="4" w:space="0"/>
              <w:right w:val="nil"/>
            </w:tcBorders>
          </w:tcPr>
          <w:p w14:paraId="338EAF0D">
            <w:pPr>
              <w:pStyle w:val="445"/>
              <w:rPr>
                <w:rFonts w:cs="Times New Roman"/>
                <w:kern w:val="0"/>
                <w:szCs w:val="20"/>
              </w:rPr>
            </w:pPr>
            <w:r>
              <w:rPr>
                <w:rFonts w:cs="Times New Roman"/>
                <w:kern w:val="0"/>
                <w:szCs w:val="20"/>
              </w:rPr>
              <w:t>82</w:t>
            </w:r>
          </w:p>
        </w:tc>
      </w:tr>
      <w:tr w14:paraId="0905B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4" w:space="0"/>
              <w:left w:val="nil"/>
              <w:bottom w:val="single" w:color="auto" w:sz="4" w:space="0"/>
              <w:right w:val="single" w:color="auto" w:sz="4" w:space="0"/>
            </w:tcBorders>
          </w:tcPr>
          <w:p w14:paraId="05B1613B">
            <w:pPr>
              <w:pStyle w:val="445"/>
              <w:rPr>
                <w:rFonts w:cs="Times New Roman"/>
                <w:kern w:val="0"/>
                <w:szCs w:val="20"/>
              </w:rPr>
            </w:pPr>
            <w:r>
              <w:rPr>
                <w:rFonts w:cs="Times New Roman"/>
                <w:kern w:val="0"/>
                <w:szCs w:val="20"/>
              </w:rPr>
              <w:t>4</w:t>
            </w:r>
          </w:p>
        </w:tc>
        <w:tc>
          <w:tcPr>
            <w:tcW w:w="1434" w:type="pct"/>
            <w:tcBorders>
              <w:top w:val="single" w:color="auto" w:sz="4" w:space="0"/>
              <w:left w:val="single" w:color="auto" w:sz="4" w:space="0"/>
              <w:bottom w:val="single" w:color="auto" w:sz="4" w:space="0"/>
              <w:right w:val="single" w:color="auto" w:sz="4" w:space="0"/>
            </w:tcBorders>
          </w:tcPr>
          <w:p w14:paraId="00EBB661">
            <w:pPr>
              <w:pStyle w:val="445"/>
              <w:rPr>
                <w:rFonts w:cs="Times New Roman"/>
                <w:kern w:val="0"/>
                <w:szCs w:val="20"/>
              </w:rPr>
            </w:pPr>
            <w:r>
              <w:rPr>
                <w:rFonts w:cs="Times New Roman"/>
                <w:kern w:val="0"/>
                <w:szCs w:val="20"/>
              </w:rPr>
              <w:t>卡车</w:t>
            </w:r>
          </w:p>
        </w:tc>
        <w:tc>
          <w:tcPr>
            <w:tcW w:w="2543" w:type="pct"/>
            <w:tcBorders>
              <w:top w:val="single" w:color="auto" w:sz="4" w:space="0"/>
              <w:left w:val="single" w:color="auto" w:sz="4" w:space="0"/>
              <w:bottom w:val="single" w:color="auto" w:sz="4" w:space="0"/>
              <w:right w:val="nil"/>
            </w:tcBorders>
          </w:tcPr>
          <w:p w14:paraId="6DC06593">
            <w:pPr>
              <w:pStyle w:val="445"/>
              <w:rPr>
                <w:rFonts w:cs="Times New Roman"/>
                <w:kern w:val="0"/>
                <w:szCs w:val="20"/>
              </w:rPr>
            </w:pPr>
            <w:r>
              <w:rPr>
                <w:rFonts w:cs="Times New Roman"/>
                <w:kern w:val="0"/>
                <w:szCs w:val="20"/>
              </w:rPr>
              <w:t>85</w:t>
            </w:r>
          </w:p>
        </w:tc>
      </w:tr>
      <w:tr w14:paraId="5B90C9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op w:val="single" w:color="auto" w:sz="4" w:space="0"/>
              <w:left w:val="nil"/>
              <w:bottom w:val="single" w:color="auto" w:sz="12" w:space="0"/>
              <w:right w:val="single" w:color="auto" w:sz="4" w:space="0"/>
            </w:tcBorders>
          </w:tcPr>
          <w:p w14:paraId="3C3FE751">
            <w:pPr>
              <w:pStyle w:val="445"/>
              <w:rPr>
                <w:rFonts w:cs="Times New Roman"/>
                <w:kern w:val="0"/>
                <w:szCs w:val="20"/>
              </w:rPr>
            </w:pPr>
            <w:r>
              <w:rPr>
                <w:rFonts w:cs="Times New Roman"/>
                <w:kern w:val="0"/>
                <w:szCs w:val="20"/>
              </w:rPr>
              <w:t>5</w:t>
            </w:r>
          </w:p>
        </w:tc>
        <w:tc>
          <w:tcPr>
            <w:tcW w:w="1434" w:type="pct"/>
            <w:tcBorders>
              <w:top w:val="single" w:color="auto" w:sz="4" w:space="0"/>
              <w:left w:val="single" w:color="auto" w:sz="4" w:space="0"/>
              <w:bottom w:val="single" w:color="auto" w:sz="12" w:space="0"/>
              <w:right w:val="single" w:color="auto" w:sz="4" w:space="0"/>
            </w:tcBorders>
          </w:tcPr>
          <w:p w14:paraId="7A99F287">
            <w:pPr>
              <w:pStyle w:val="445"/>
              <w:rPr>
                <w:rFonts w:cs="Times New Roman"/>
                <w:kern w:val="0"/>
                <w:szCs w:val="20"/>
              </w:rPr>
            </w:pPr>
            <w:r>
              <w:rPr>
                <w:rFonts w:cs="Times New Roman"/>
                <w:kern w:val="0"/>
                <w:szCs w:val="20"/>
              </w:rPr>
              <w:t>电锯</w:t>
            </w:r>
          </w:p>
        </w:tc>
        <w:tc>
          <w:tcPr>
            <w:tcW w:w="2543" w:type="pct"/>
            <w:tcBorders>
              <w:top w:val="single" w:color="auto" w:sz="4" w:space="0"/>
              <w:left w:val="single" w:color="auto" w:sz="4" w:space="0"/>
              <w:bottom w:val="single" w:color="auto" w:sz="12" w:space="0"/>
              <w:right w:val="nil"/>
            </w:tcBorders>
          </w:tcPr>
          <w:p w14:paraId="7EFA18A7">
            <w:pPr>
              <w:pStyle w:val="445"/>
              <w:rPr>
                <w:rFonts w:cs="Times New Roman"/>
                <w:kern w:val="0"/>
                <w:szCs w:val="20"/>
              </w:rPr>
            </w:pPr>
            <w:r>
              <w:rPr>
                <w:rFonts w:cs="Times New Roman"/>
                <w:kern w:val="0"/>
                <w:szCs w:val="20"/>
              </w:rPr>
              <w:t>84</w:t>
            </w:r>
          </w:p>
        </w:tc>
      </w:tr>
    </w:tbl>
    <w:p w14:paraId="5C89B0A7">
      <w:pPr>
        <w:ind w:firstLine="480"/>
        <w:rPr>
          <w:rFonts w:cs="Times New Roman"/>
        </w:rPr>
      </w:pPr>
      <w:r>
        <w:rPr>
          <w:rFonts w:ascii="宋体" w:hAnsi="宋体"/>
        </w:rPr>
        <w:t>在施工过程中，这些施工机械又往往是同时作业，噪声源辐射量的相互叠加，声级值将更高，辐射范围也更大。</w:t>
      </w:r>
    </w:p>
    <w:p w14:paraId="294AD587">
      <w:pPr>
        <w:ind w:firstLine="480"/>
      </w:pPr>
      <w:r>
        <w:rPr>
          <w:rFonts w:ascii="宋体" w:hAnsi="宋体"/>
        </w:rPr>
        <w:t>施工噪声对周边声环境的影响，采用《建筑施工场界环境噪声排放标准》</w:t>
      </w:r>
      <w:r>
        <w:t>(GB12523-2011)</w:t>
      </w:r>
      <w:r>
        <w:rPr>
          <w:rFonts w:ascii="宋体" w:hAnsi="宋体"/>
        </w:rPr>
        <w:t>进行评价。</w:t>
      </w:r>
    </w:p>
    <w:p w14:paraId="36EE743C">
      <w:pPr>
        <w:ind w:firstLine="480"/>
      </w:pPr>
      <w:r>
        <w:rPr>
          <w:rFonts w:ascii="宋体" w:hAnsi="宋体"/>
        </w:rPr>
        <w:t>施工机械噪声主要属中低频噪声，预测其影响时可只考虑其扩散衰减，预测模型可选用：</w:t>
      </w:r>
    </w:p>
    <w:p w14:paraId="74EDF39E">
      <w:pPr>
        <w:ind w:firstLine="0" w:firstLineChars="0"/>
        <w:jc w:val="center"/>
      </w:pPr>
      <w:r>
        <w:drawing>
          <wp:inline distT="0" distB="0" distL="0" distR="0">
            <wp:extent cx="1371600" cy="266700"/>
            <wp:effectExtent l="0" t="0" r="0" b="0"/>
            <wp:docPr id="133" name="图片 133" descr="C:\Users\ADMINI~1\AppData\Local\Temp\ksohtml\wps593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C:\Users\ADMINI~1\AppData\Local\Temp\ksohtml\wps5933.tmp.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a:xfrm>
                      <a:off x="0" y="0"/>
                      <a:ext cx="1371600" cy="266700"/>
                    </a:xfrm>
                    <a:prstGeom prst="rect">
                      <a:avLst/>
                    </a:prstGeom>
                    <a:noFill/>
                    <a:ln>
                      <a:noFill/>
                    </a:ln>
                  </pic:spPr>
                </pic:pic>
              </a:graphicData>
            </a:graphic>
          </wp:inline>
        </w:drawing>
      </w:r>
      <w:r>
        <w:t xml:space="preserve"> </w:t>
      </w:r>
    </w:p>
    <w:p w14:paraId="67A7DBB9">
      <w:pPr>
        <w:ind w:firstLine="480"/>
      </w:pPr>
      <w:r>
        <w:rPr>
          <w:rFonts w:ascii="宋体" w:hAnsi="宋体"/>
        </w:rPr>
        <w:t>式中：</w:t>
      </w:r>
      <w:r>
        <w:rPr>
          <w:i/>
        </w:rPr>
        <w:t>L</w:t>
      </w:r>
      <w:r>
        <w:rPr>
          <w:vertAlign w:val="subscript"/>
        </w:rPr>
        <w:t>1</w:t>
      </w:r>
      <w:r>
        <w:rPr>
          <w:rFonts w:ascii="宋体" w:hAnsi="宋体"/>
        </w:rPr>
        <w:t>、</w:t>
      </w:r>
      <w:r>
        <w:rPr>
          <w:i/>
        </w:rPr>
        <w:t>L</w:t>
      </w:r>
      <w:r>
        <w:rPr>
          <w:vertAlign w:val="subscript"/>
        </w:rPr>
        <w:t>2</w:t>
      </w:r>
      <w:r>
        <w:rPr>
          <w:rFonts w:ascii="宋体" w:hAnsi="宋体"/>
        </w:rPr>
        <w:t>分别为距声源</w:t>
      </w:r>
      <w:r>
        <w:t>r</w:t>
      </w:r>
      <w:r>
        <w:rPr>
          <w:vertAlign w:val="subscript"/>
        </w:rPr>
        <w:t>1</w:t>
      </w:r>
      <w:r>
        <w:rPr>
          <w:rFonts w:ascii="宋体" w:hAnsi="宋体"/>
        </w:rPr>
        <w:t>、</w:t>
      </w:r>
      <w:r>
        <w:t>r</w:t>
      </w:r>
      <w:r>
        <w:rPr>
          <w:vertAlign w:val="subscript"/>
        </w:rPr>
        <w:t>2</w:t>
      </w:r>
      <w:r>
        <w:rPr>
          <w:rFonts w:ascii="宋体" w:hAnsi="宋体"/>
        </w:rPr>
        <w:t>处的等效声级值</w:t>
      </w:r>
      <w:r>
        <w:t>[dB(A)]</w:t>
      </w:r>
      <w:r>
        <w:rPr>
          <w:rFonts w:ascii="宋体" w:hAnsi="宋体"/>
        </w:rPr>
        <w:t>；</w:t>
      </w:r>
    </w:p>
    <w:p w14:paraId="2DA534A1">
      <w:pPr>
        <w:ind w:firstLine="480"/>
      </w:pPr>
      <w:r>
        <w:t>r</w:t>
      </w:r>
      <w:r>
        <w:rPr>
          <w:vertAlign w:val="subscript"/>
        </w:rPr>
        <w:t>1</w:t>
      </w:r>
      <w:r>
        <w:rPr>
          <w:rFonts w:ascii="宋体" w:hAnsi="宋体"/>
        </w:rPr>
        <w:t>、</w:t>
      </w:r>
      <w:r>
        <w:t>r</w:t>
      </w:r>
      <w:r>
        <w:rPr>
          <w:vertAlign w:val="subscript"/>
        </w:rPr>
        <w:t>2</w:t>
      </w:r>
      <w:r>
        <w:rPr>
          <w:rFonts w:ascii="宋体" w:hAnsi="宋体"/>
        </w:rPr>
        <w:t>为接受点距声源的距离（</w:t>
      </w:r>
      <w:r>
        <w:t>m</w:t>
      </w:r>
      <w:r>
        <w:rPr>
          <w:rFonts w:ascii="宋体" w:hAnsi="宋体"/>
        </w:rPr>
        <w:t>）。</w:t>
      </w:r>
    </w:p>
    <w:p w14:paraId="35E0D7F6">
      <w:pPr>
        <w:ind w:firstLine="0" w:firstLineChars="0"/>
        <w:jc w:val="center"/>
      </w:pPr>
      <w:r>
        <w:drawing>
          <wp:inline distT="0" distB="0" distL="0" distR="0">
            <wp:extent cx="1638300" cy="266700"/>
            <wp:effectExtent l="0" t="0" r="0" b="0"/>
            <wp:docPr id="132" name="图片 132" descr="C:\Users\ADMINI~1\AppData\Local\Temp\ksohtml\wps5934.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C:\Users\ADMINI~1\AppData\Local\Temp\ksohtml\wps5934.tmp.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1638300" cy="266700"/>
                    </a:xfrm>
                    <a:prstGeom prst="rect">
                      <a:avLst/>
                    </a:prstGeom>
                    <a:noFill/>
                    <a:ln>
                      <a:noFill/>
                    </a:ln>
                  </pic:spPr>
                </pic:pic>
              </a:graphicData>
            </a:graphic>
          </wp:inline>
        </w:drawing>
      </w:r>
      <w:r>
        <w:t xml:space="preserve"> </w:t>
      </w:r>
    </w:p>
    <w:p w14:paraId="0DC9B92F">
      <w:pPr>
        <w:ind w:firstLine="480"/>
      </w:pPr>
      <w:r>
        <w:rPr>
          <w:rFonts w:ascii="宋体" w:hAnsi="宋体"/>
        </w:rPr>
        <w:t>由上式可计算出噪声值随距离衰减情况（表</w:t>
      </w:r>
      <w:r>
        <w:t>5.9.2-2</w:t>
      </w:r>
      <w:r>
        <w:rPr>
          <w:rFonts w:ascii="宋体" w:hAnsi="宋体"/>
        </w:rPr>
        <w:t>）。</w:t>
      </w:r>
    </w:p>
    <w:p w14:paraId="0ED1F820">
      <w:pPr>
        <w:pStyle w:val="278"/>
        <w:ind w:firstLine="480"/>
      </w:pPr>
      <w:r>
        <w:rPr>
          <w:rFonts w:ascii="黑体" w:hAnsi="黑体"/>
        </w:rPr>
        <w:t>表</w:t>
      </w:r>
      <w:r>
        <w:t xml:space="preserve">5.8.2-2  </w:t>
      </w:r>
      <w:r>
        <w:rPr>
          <w:rFonts w:ascii="黑体" w:hAnsi="黑体"/>
        </w:rPr>
        <w:t>噪声值随距离的衰减情况</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36"/>
        <w:gridCol w:w="1072"/>
        <w:gridCol w:w="1072"/>
        <w:gridCol w:w="1072"/>
        <w:gridCol w:w="1072"/>
        <w:gridCol w:w="1072"/>
        <w:gridCol w:w="1074"/>
        <w:gridCol w:w="1072"/>
      </w:tblGrid>
      <w:tr w14:paraId="246F91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pct"/>
            <w:tcBorders>
              <w:top w:val="single" w:color="auto" w:sz="12" w:space="0"/>
              <w:left w:val="nil"/>
              <w:bottom w:val="single" w:color="auto" w:sz="4" w:space="0"/>
              <w:right w:val="single" w:color="auto" w:sz="4" w:space="0"/>
            </w:tcBorders>
          </w:tcPr>
          <w:p w14:paraId="28289202">
            <w:pPr>
              <w:pStyle w:val="445"/>
              <w:rPr>
                <w:rFonts w:cs="Times New Roman"/>
                <w:kern w:val="0"/>
                <w:szCs w:val="20"/>
              </w:rPr>
            </w:pPr>
            <w:r>
              <w:rPr>
                <w:rFonts w:cs="Times New Roman"/>
                <w:kern w:val="0"/>
                <w:szCs w:val="20"/>
              </w:rPr>
              <w:t>距离（m）</w:t>
            </w:r>
          </w:p>
        </w:tc>
        <w:tc>
          <w:tcPr>
            <w:tcW w:w="580" w:type="pct"/>
            <w:tcBorders>
              <w:top w:val="single" w:color="auto" w:sz="12" w:space="0"/>
              <w:left w:val="single" w:color="auto" w:sz="4" w:space="0"/>
              <w:bottom w:val="single" w:color="auto" w:sz="4" w:space="0"/>
              <w:right w:val="single" w:color="auto" w:sz="4" w:space="0"/>
            </w:tcBorders>
          </w:tcPr>
          <w:p w14:paraId="37761AEA">
            <w:pPr>
              <w:pStyle w:val="445"/>
              <w:rPr>
                <w:rFonts w:cs="Times New Roman"/>
                <w:kern w:val="0"/>
                <w:szCs w:val="20"/>
              </w:rPr>
            </w:pPr>
            <w:r>
              <w:rPr>
                <w:rFonts w:cs="Times New Roman"/>
                <w:kern w:val="0"/>
                <w:szCs w:val="20"/>
              </w:rPr>
              <w:t>10</w:t>
            </w:r>
          </w:p>
        </w:tc>
        <w:tc>
          <w:tcPr>
            <w:tcW w:w="580" w:type="pct"/>
            <w:tcBorders>
              <w:top w:val="single" w:color="auto" w:sz="12" w:space="0"/>
              <w:left w:val="single" w:color="auto" w:sz="4" w:space="0"/>
              <w:bottom w:val="single" w:color="auto" w:sz="4" w:space="0"/>
              <w:right w:val="single" w:color="auto" w:sz="4" w:space="0"/>
            </w:tcBorders>
          </w:tcPr>
          <w:p w14:paraId="48F341B9">
            <w:pPr>
              <w:pStyle w:val="445"/>
              <w:rPr>
                <w:rFonts w:cs="Times New Roman"/>
                <w:kern w:val="0"/>
                <w:szCs w:val="20"/>
              </w:rPr>
            </w:pPr>
            <w:r>
              <w:rPr>
                <w:rFonts w:cs="Times New Roman"/>
                <w:kern w:val="0"/>
                <w:szCs w:val="20"/>
              </w:rPr>
              <w:t>50</w:t>
            </w:r>
          </w:p>
        </w:tc>
        <w:tc>
          <w:tcPr>
            <w:tcW w:w="580" w:type="pct"/>
            <w:tcBorders>
              <w:top w:val="single" w:color="auto" w:sz="12" w:space="0"/>
              <w:left w:val="single" w:color="auto" w:sz="4" w:space="0"/>
              <w:bottom w:val="single" w:color="auto" w:sz="4" w:space="0"/>
              <w:right w:val="single" w:color="auto" w:sz="4" w:space="0"/>
            </w:tcBorders>
          </w:tcPr>
          <w:p w14:paraId="372D3152">
            <w:pPr>
              <w:pStyle w:val="445"/>
              <w:rPr>
                <w:rFonts w:cs="Times New Roman"/>
                <w:kern w:val="0"/>
                <w:szCs w:val="20"/>
              </w:rPr>
            </w:pPr>
            <w:r>
              <w:rPr>
                <w:rFonts w:cs="Times New Roman"/>
                <w:kern w:val="0"/>
                <w:szCs w:val="20"/>
              </w:rPr>
              <w:t>100</w:t>
            </w:r>
          </w:p>
        </w:tc>
        <w:tc>
          <w:tcPr>
            <w:tcW w:w="580" w:type="pct"/>
            <w:tcBorders>
              <w:top w:val="single" w:color="auto" w:sz="12" w:space="0"/>
              <w:left w:val="single" w:color="auto" w:sz="4" w:space="0"/>
              <w:bottom w:val="single" w:color="auto" w:sz="4" w:space="0"/>
              <w:right w:val="single" w:color="auto" w:sz="4" w:space="0"/>
            </w:tcBorders>
          </w:tcPr>
          <w:p w14:paraId="5BC9EBD5">
            <w:pPr>
              <w:pStyle w:val="445"/>
              <w:rPr>
                <w:rFonts w:cs="Times New Roman"/>
                <w:kern w:val="0"/>
                <w:szCs w:val="20"/>
              </w:rPr>
            </w:pPr>
            <w:r>
              <w:rPr>
                <w:rFonts w:cs="Times New Roman"/>
                <w:kern w:val="0"/>
                <w:szCs w:val="20"/>
              </w:rPr>
              <w:t>150</w:t>
            </w:r>
          </w:p>
        </w:tc>
        <w:tc>
          <w:tcPr>
            <w:tcW w:w="580" w:type="pct"/>
            <w:tcBorders>
              <w:top w:val="single" w:color="auto" w:sz="12" w:space="0"/>
              <w:left w:val="single" w:color="auto" w:sz="4" w:space="0"/>
              <w:bottom w:val="single" w:color="auto" w:sz="4" w:space="0"/>
              <w:right w:val="single" w:color="auto" w:sz="4" w:space="0"/>
            </w:tcBorders>
          </w:tcPr>
          <w:p w14:paraId="6C692A6F">
            <w:pPr>
              <w:pStyle w:val="445"/>
              <w:rPr>
                <w:rFonts w:cs="Times New Roman"/>
                <w:kern w:val="0"/>
                <w:szCs w:val="20"/>
              </w:rPr>
            </w:pPr>
            <w:r>
              <w:rPr>
                <w:rFonts w:cs="Times New Roman"/>
                <w:kern w:val="0"/>
                <w:szCs w:val="20"/>
              </w:rPr>
              <w:t>200</w:t>
            </w:r>
          </w:p>
        </w:tc>
        <w:tc>
          <w:tcPr>
            <w:tcW w:w="581" w:type="pct"/>
            <w:tcBorders>
              <w:top w:val="single" w:color="auto" w:sz="12" w:space="0"/>
              <w:left w:val="single" w:color="auto" w:sz="4" w:space="0"/>
              <w:bottom w:val="single" w:color="auto" w:sz="4" w:space="0"/>
              <w:right w:val="single" w:color="auto" w:sz="4" w:space="0"/>
            </w:tcBorders>
          </w:tcPr>
          <w:p w14:paraId="198DDF49">
            <w:pPr>
              <w:pStyle w:val="445"/>
              <w:rPr>
                <w:rFonts w:cs="Times New Roman"/>
                <w:kern w:val="0"/>
                <w:szCs w:val="20"/>
              </w:rPr>
            </w:pPr>
            <w:r>
              <w:rPr>
                <w:rFonts w:cs="Times New Roman"/>
                <w:kern w:val="0"/>
                <w:szCs w:val="20"/>
              </w:rPr>
              <w:t>250</w:t>
            </w:r>
          </w:p>
        </w:tc>
        <w:tc>
          <w:tcPr>
            <w:tcW w:w="580" w:type="pct"/>
            <w:tcBorders>
              <w:top w:val="single" w:color="auto" w:sz="12" w:space="0"/>
              <w:left w:val="single" w:color="auto" w:sz="4" w:space="0"/>
              <w:bottom w:val="single" w:color="auto" w:sz="4" w:space="0"/>
              <w:right w:val="nil"/>
            </w:tcBorders>
          </w:tcPr>
          <w:p w14:paraId="72BBA9D7">
            <w:pPr>
              <w:pStyle w:val="445"/>
              <w:rPr>
                <w:rFonts w:cs="Times New Roman"/>
                <w:kern w:val="0"/>
                <w:szCs w:val="20"/>
              </w:rPr>
            </w:pPr>
            <w:r>
              <w:rPr>
                <w:rFonts w:cs="Times New Roman"/>
                <w:kern w:val="0"/>
                <w:szCs w:val="20"/>
              </w:rPr>
              <w:t>300</w:t>
            </w:r>
          </w:p>
        </w:tc>
      </w:tr>
      <w:tr w14:paraId="4D260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pct"/>
            <w:tcBorders>
              <w:top w:val="single" w:color="auto" w:sz="4" w:space="0"/>
              <w:left w:val="nil"/>
              <w:bottom w:val="single" w:color="auto" w:sz="12" w:space="0"/>
              <w:right w:val="single" w:color="auto" w:sz="4" w:space="0"/>
            </w:tcBorders>
          </w:tcPr>
          <w:p w14:paraId="6729A5EF">
            <w:pPr>
              <w:pStyle w:val="445"/>
              <w:rPr>
                <w:rFonts w:cs="Times New Roman"/>
                <w:kern w:val="0"/>
                <w:szCs w:val="20"/>
              </w:rPr>
            </w:pPr>
            <w:r>
              <w:rPr>
                <w:rFonts w:cs="Times New Roman"/>
                <w:kern w:val="0"/>
                <w:szCs w:val="20"/>
              </w:rPr>
              <w:drawing>
                <wp:inline distT="0" distB="0" distL="0" distR="0">
                  <wp:extent cx="266700" cy="190500"/>
                  <wp:effectExtent l="0" t="0" r="0" b="0"/>
                  <wp:docPr id="131" name="图片 131" descr="C:\Users\ADMINI~1\AppData\Local\Temp\ksohtml\wps5945.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C:\Users\ADMINI~1\AppData\Local\Temp\ksohtml\wps5945.tmp.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266700" cy="190500"/>
                          </a:xfrm>
                          <a:prstGeom prst="rect">
                            <a:avLst/>
                          </a:prstGeom>
                          <a:noFill/>
                          <a:ln>
                            <a:noFill/>
                          </a:ln>
                        </pic:spPr>
                      </pic:pic>
                    </a:graphicData>
                  </a:graphic>
                </wp:inline>
              </w:drawing>
            </w:r>
            <w:r>
              <w:rPr>
                <w:rFonts w:cs="Times New Roman"/>
                <w:kern w:val="0"/>
                <w:szCs w:val="20"/>
              </w:rPr>
              <w:t>[dB(A)]</w:t>
            </w:r>
          </w:p>
        </w:tc>
        <w:tc>
          <w:tcPr>
            <w:tcW w:w="580" w:type="pct"/>
            <w:tcBorders>
              <w:top w:val="single" w:color="auto" w:sz="4" w:space="0"/>
              <w:left w:val="single" w:color="auto" w:sz="4" w:space="0"/>
              <w:bottom w:val="single" w:color="auto" w:sz="12" w:space="0"/>
              <w:right w:val="single" w:color="auto" w:sz="4" w:space="0"/>
            </w:tcBorders>
          </w:tcPr>
          <w:p w14:paraId="43CF9E49">
            <w:pPr>
              <w:pStyle w:val="445"/>
              <w:rPr>
                <w:rFonts w:cs="Times New Roman"/>
                <w:kern w:val="0"/>
                <w:szCs w:val="20"/>
              </w:rPr>
            </w:pPr>
            <w:r>
              <w:rPr>
                <w:rFonts w:cs="Times New Roman"/>
                <w:kern w:val="0"/>
                <w:szCs w:val="20"/>
              </w:rPr>
              <w:t>20</w:t>
            </w:r>
          </w:p>
        </w:tc>
        <w:tc>
          <w:tcPr>
            <w:tcW w:w="580" w:type="pct"/>
            <w:tcBorders>
              <w:top w:val="single" w:color="auto" w:sz="4" w:space="0"/>
              <w:left w:val="single" w:color="auto" w:sz="4" w:space="0"/>
              <w:bottom w:val="single" w:color="auto" w:sz="12" w:space="0"/>
              <w:right w:val="single" w:color="auto" w:sz="4" w:space="0"/>
            </w:tcBorders>
          </w:tcPr>
          <w:p w14:paraId="0EF835E8">
            <w:pPr>
              <w:pStyle w:val="445"/>
              <w:rPr>
                <w:rFonts w:cs="Times New Roman"/>
                <w:kern w:val="0"/>
                <w:szCs w:val="20"/>
              </w:rPr>
            </w:pPr>
            <w:r>
              <w:rPr>
                <w:rFonts w:cs="Times New Roman"/>
                <w:kern w:val="0"/>
                <w:szCs w:val="20"/>
              </w:rPr>
              <w:t>34</w:t>
            </w:r>
          </w:p>
        </w:tc>
        <w:tc>
          <w:tcPr>
            <w:tcW w:w="580" w:type="pct"/>
            <w:tcBorders>
              <w:top w:val="single" w:color="auto" w:sz="4" w:space="0"/>
              <w:left w:val="single" w:color="auto" w:sz="4" w:space="0"/>
              <w:bottom w:val="single" w:color="auto" w:sz="12" w:space="0"/>
              <w:right w:val="single" w:color="auto" w:sz="4" w:space="0"/>
            </w:tcBorders>
          </w:tcPr>
          <w:p w14:paraId="6338C186">
            <w:pPr>
              <w:pStyle w:val="445"/>
              <w:rPr>
                <w:rFonts w:cs="Times New Roman"/>
                <w:kern w:val="0"/>
                <w:szCs w:val="20"/>
              </w:rPr>
            </w:pPr>
            <w:r>
              <w:rPr>
                <w:rFonts w:cs="Times New Roman"/>
                <w:kern w:val="0"/>
                <w:szCs w:val="20"/>
              </w:rPr>
              <w:t>40</w:t>
            </w:r>
          </w:p>
        </w:tc>
        <w:tc>
          <w:tcPr>
            <w:tcW w:w="580" w:type="pct"/>
            <w:tcBorders>
              <w:top w:val="single" w:color="auto" w:sz="4" w:space="0"/>
              <w:left w:val="single" w:color="auto" w:sz="4" w:space="0"/>
              <w:bottom w:val="single" w:color="auto" w:sz="12" w:space="0"/>
              <w:right w:val="single" w:color="auto" w:sz="4" w:space="0"/>
            </w:tcBorders>
          </w:tcPr>
          <w:p w14:paraId="13650D05">
            <w:pPr>
              <w:pStyle w:val="445"/>
              <w:rPr>
                <w:rFonts w:cs="Times New Roman"/>
                <w:kern w:val="0"/>
                <w:szCs w:val="20"/>
              </w:rPr>
            </w:pPr>
            <w:r>
              <w:rPr>
                <w:rFonts w:cs="Times New Roman"/>
                <w:kern w:val="0"/>
                <w:szCs w:val="20"/>
              </w:rPr>
              <w:t>43</w:t>
            </w:r>
          </w:p>
        </w:tc>
        <w:tc>
          <w:tcPr>
            <w:tcW w:w="580" w:type="pct"/>
            <w:tcBorders>
              <w:top w:val="single" w:color="auto" w:sz="4" w:space="0"/>
              <w:left w:val="single" w:color="auto" w:sz="4" w:space="0"/>
              <w:bottom w:val="single" w:color="auto" w:sz="12" w:space="0"/>
              <w:right w:val="single" w:color="auto" w:sz="4" w:space="0"/>
            </w:tcBorders>
          </w:tcPr>
          <w:p w14:paraId="26B13C67">
            <w:pPr>
              <w:pStyle w:val="445"/>
              <w:rPr>
                <w:rFonts w:cs="Times New Roman"/>
                <w:kern w:val="0"/>
                <w:szCs w:val="20"/>
              </w:rPr>
            </w:pPr>
            <w:r>
              <w:rPr>
                <w:rFonts w:cs="Times New Roman"/>
                <w:kern w:val="0"/>
                <w:szCs w:val="20"/>
              </w:rPr>
              <w:t>46</w:t>
            </w:r>
          </w:p>
        </w:tc>
        <w:tc>
          <w:tcPr>
            <w:tcW w:w="581" w:type="pct"/>
            <w:tcBorders>
              <w:top w:val="single" w:color="auto" w:sz="4" w:space="0"/>
              <w:left w:val="single" w:color="auto" w:sz="4" w:space="0"/>
              <w:bottom w:val="single" w:color="auto" w:sz="12" w:space="0"/>
              <w:right w:val="single" w:color="auto" w:sz="4" w:space="0"/>
            </w:tcBorders>
          </w:tcPr>
          <w:p w14:paraId="78670F1C">
            <w:pPr>
              <w:pStyle w:val="445"/>
              <w:rPr>
                <w:rFonts w:cs="Times New Roman"/>
                <w:kern w:val="0"/>
                <w:szCs w:val="20"/>
              </w:rPr>
            </w:pPr>
            <w:r>
              <w:rPr>
                <w:rFonts w:cs="Times New Roman"/>
                <w:kern w:val="0"/>
                <w:szCs w:val="20"/>
              </w:rPr>
              <w:t>48</w:t>
            </w:r>
          </w:p>
        </w:tc>
        <w:tc>
          <w:tcPr>
            <w:tcW w:w="580" w:type="pct"/>
            <w:tcBorders>
              <w:top w:val="single" w:color="auto" w:sz="4" w:space="0"/>
              <w:left w:val="single" w:color="auto" w:sz="4" w:space="0"/>
              <w:bottom w:val="single" w:color="auto" w:sz="12" w:space="0"/>
              <w:right w:val="nil"/>
            </w:tcBorders>
          </w:tcPr>
          <w:p w14:paraId="24BBA141">
            <w:pPr>
              <w:pStyle w:val="445"/>
              <w:rPr>
                <w:rFonts w:cs="Times New Roman"/>
                <w:kern w:val="0"/>
                <w:szCs w:val="20"/>
              </w:rPr>
            </w:pPr>
            <w:r>
              <w:rPr>
                <w:rFonts w:cs="Times New Roman"/>
                <w:kern w:val="0"/>
                <w:szCs w:val="20"/>
              </w:rPr>
              <w:t>49</w:t>
            </w:r>
          </w:p>
        </w:tc>
      </w:tr>
    </w:tbl>
    <w:p w14:paraId="47C08543">
      <w:pPr>
        <w:ind w:firstLine="480"/>
        <w:rPr>
          <w:rFonts w:cs="Times New Roman"/>
        </w:rPr>
      </w:pPr>
      <w:r>
        <w:rPr>
          <w:rFonts w:ascii="宋体" w:hAnsi="宋体"/>
        </w:rPr>
        <w:t>如按施工机械噪声最高的混凝土搅拌机计算，作业噪声随距离衰减后，有同距离接受的声级值如表</w:t>
      </w:r>
      <w:r>
        <w:t>5.8.2-3</w:t>
      </w:r>
      <w:r>
        <w:rPr>
          <w:rFonts w:ascii="宋体" w:hAnsi="宋体"/>
        </w:rPr>
        <w:t>。</w:t>
      </w:r>
    </w:p>
    <w:p w14:paraId="3FC53B53">
      <w:pPr>
        <w:pStyle w:val="278"/>
        <w:ind w:firstLine="480"/>
      </w:pPr>
      <w:r>
        <w:rPr>
          <w:rFonts w:ascii="黑体" w:hAnsi="黑体"/>
        </w:rPr>
        <w:t>表</w:t>
      </w:r>
      <w:r>
        <w:t xml:space="preserve">5.8.2-3  </w:t>
      </w:r>
      <w:r>
        <w:rPr>
          <w:rFonts w:ascii="黑体" w:hAnsi="黑体"/>
        </w:rPr>
        <w:t>施工设备噪声对不同距离接受点的影响值</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1775"/>
        <w:gridCol w:w="819"/>
        <w:gridCol w:w="819"/>
        <w:gridCol w:w="819"/>
        <w:gridCol w:w="821"/>
        <w:gridCol w:w="819"/>
        <w:gridCol w:w="819"/>
        <w:gridCol w:w="819"/>
      </w:tblGrid>
      <w:tr w14:paraId="39C627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7" w:type="pct"/>
            <w:tcBorders>
              <w:top w:val="single" w:color="auto" w:sz="12" w:space="0"/>
              <w:left w:val="nil"/>
              <w:bottom w:val="single" w:color="auto" w:sz="4" w:space="0"/>
              <w:right w:val="single" w:color="auto" w:sz="4" w:space="0"/>
            </w:tcBorders>
          </w:tcPr>
          <w:p w14:paraId="0C81ACC8">
            <w:pPr>
              <w:pStyle w:val="445"/>
              <w:rPr>
                <w:rFonts w:cs="Times New Roman"/>
                <w:kern w:val="0"/>
                <w:szCs w:val="20"/>
              </w:rPr>
            </w:pPr>
            <w:r>
              <w:rPr>
                <w:rFonts w:cs="Times New Roman"/>
                <w:kern w:val="0"/>
                <w:szCs w:val="20"/>
              </w:rPr>
              <w:t>噪声源</w:t>
            </w:r>
          </w:p>
        </w:tc>
        <w:tc>
          <w:tcPr>
            <w:tcW w:w="960" w:type="pct"/>
            <w:tcBorders>
              <w:top w:val="single" w:color="auto" w:sz="12" w:space="0"/>
              <w:left w:val="single" w:color="auto" w:sz="4" w:space="0"/>
              <w:bottom w:val="single" w:color="auto" w:sz="4" w:space="0"/>
              <w:right w:val="single" w:color="auto" w:sz="4" w:space="0"/>
            </w:tcBorders>
          </w:tcPr>
          <w:p w14:paraId="65CE2F06">
            <w:pPr>
              <w:pStyle w:val="445"/>
              <w:rPr>
                <w:rFonts w:cs="Times New Roman"/>
                <w:kern w:val="0"/>
                <w:szCs w:val="20"/>
              </w:rPr>
            </w:pPr>
            <w:r>
              <w:rPr>
                <w:rFonts w:cs="Times New Roman"/>
                <w:kern w:val="0"/>
                <w:szCs w:val="20"/>
              </w:rPr>
              <w:t>距离（m）</w:t>
            </w:r>
          </w:p>
        </w:tc>
        <w:tc>
          <w:tcPr>
            <w:tcW w:w="443" w:type="pct"/>
            <w:tcBorders>
              <w:top w:val="single" w:color="auto" w:sz="12" w:space="0"/>
              <w:left w:val="single" w:color="auto" w:sz="4" w:space="0"/>
              <w:bottom w:val="single" w:color="auto" w:sz="4" w:space="0"/>
              <w:right w:val="single" w:color="auto" w:sz="4" w:space="0"/>
            </w:tcBorders>
          </w:tcPr>
          <w:p w14:paraId="31EEE620">
            <w:pPr>
              <w:pStyle w:val="445"/>
              <w:rPr>
                <w:rFonts w:cs="Times New Roman"/>
                <w:kern w:val="0"/>
                <w:szCs w:val="20"/>
              </w:rPr>
            </w:pPr>
            <w:r>
              <w:rPr>
                <w:rFonts w:cs="Times New Roman"/>
                <w:kern w:val="0"/>
                <w:szCs w:val="20"/>
              </w:rPr>
              <w:t>10</w:t>
            </w:r>
          </w:p>
        </w:tc>
        <w:tc>
          <w:tcPr>
            <w:tcW w:w="443" w:type="pct"/>
            <w:tcBorders>
              <w:top w:val="single" w:color="auto" w:sz="12" w:space="0"/>
              <w:left w:val="single" w:color="auto" w:sz="4" w:space="0"/>
              <w:bottom w:val="single" w:color="auto" w:sz="4" w:space="0"/>
              <w:right w:val="single" w:color="auto" w:sz="4" w:space="0"/>
            </w:tcBorders>
          </w:tcPr>
          <w:p w14:paraId="34FF3783">
            <w:pPr>
              <w:pStyle w:val="445"/>
              <w:rPr>
                <w:rFonts w:cs="Times New Roman"/>
                <w:kern w:val="0"/>
                <w:szCs w:val="20"/>
              </w:rPr>
            </w:pPr>
            <w:r>
              <w:rPr>
                <w:rFonts w:cs="Times New Roman"/>
                <w:kern w:val="0"/>
                <w:szCs w:val="20"/>
              </w:rPr>
              <w:t>20</w:t>
            </w:r>
          </w:p>
        </w:tc>
        <w:tc>
          <w:tcPr>
            <w:tcW w:w="443" w:type="pct"/>
            <w:tcBorders>
              <w:top w:val="single" w:color="auto" w:sz="12" w:space="0"/>
              <w:left w:val="single" w:color="auto" w:sz="4" w:space="0"/>
              <w:bottom w:val="single" w:color="auto" w:sz="4" w:space="0"/>
              <w:right w:val="single" w:color="auto" w:sz="4" w:space="0"/>
            </w:tcBorders>
          </w:tcPr>
          <w:p w14:paraId="3E0166EB">
            <w:pPr>
              <w:pStyle w:val="445"/>
              <w:rPr>
                <w:rFonts w:cs="Times New Roman"/>
                <w:kern w:val="0"/>
                <w:szCs w:val="20"/>
              </w:rPr>
            </w:pPr>
            <w:r>
              <w:rPr>
                <w:rFonts w:cs="Times New Roman"/>
                <w:kern w:val="0"/>
                <w:szCs w:val="20"/>
              </w:rPr>
              <w:t>100</w:t>
            </w:r>
          </w:p>
        </w:tc>
        <w:tc>
          <w:tcPr>
            <w:tcW w:w="444" w:type="pct"/>
            <w:tcBorders>
              <w:top w:val="single" w:color="auto" w:sz="12" w:space="0"/>
              <w:left w:val="single" w:color="auto" w:sz="4" w:space="0"/>
              <w:bottom w:val="single" w:color="auto" w:sz="4" w:space="0"/>
              <w:right w:val="single" w:color="auto" w:sz="4" w:space="0"/>
            </w:tcBorders>
          </w:tcPr>
          <w:p w14:paraId="56D62667">
            <w:pPr>
              <w:pStyle w:val="445"/>
              <w:rPr>
                <w:rFonts w:cs="Times New Roman"/>
                <w:kern w:val="0"/>
                <w:szCs w:val="20"/>
              </w:rPr>
            </w:pPr>
            <w:r>
              <w:rPr>
                <w:rFonts w:cs="Times New Roman"/>
                <w:kern w:val="0"/>
                <w:szCs w:val="20"/>
              </w:rPr>
              <w:t>150</w:t>
            </w:r>
          </w:p>
        </w:tc>
        <w:tc>
          <w:tcPr>
            <w:tcW w:w="443" w:type="pct"/>
            <w:tcBorders>
              <w:top w:val="single" w:color="auto" w:sz="12" w:space="0"/>
              <w:left w:val="single" w:color="auto" w:sz="4" w:space="0"/>
              <w:bottom w:val="single" w:color="auto" w:sz="4" w:space="0"/>
              <w:right w:val="single" w:color="auto" w:sz="4" w:space="0"/>
            </w:tcBorders>
          </w:tcPr>
          <w:p w14:paraId="708C1FDF">
            <w:pPr>
              <w:pStyle w:val="445"/>
              <w:rPr>
                <w:rFonts w:cs="Times New Roman"/>
                <w:kern w:val="0"/>
                <w:szCs w:val="20"/>
              </w:rPr>
            </w:pPr>
            <w:r>
              <w:rPr>
                <w:rFonts w:cs="Times New Roman"/>
                <w:kern w:val="0"/>
                <w:szCs w:val="20"/>
              </w:rPr>
              <w:t>200</w:t>
            </w:r>
          </w:p>
        </w:tc>
        <w:tc>
          <w:tcPr>
            <w:tcW w:w="443" w:type="pct"/>
            <w:tcBorders>
              <w:top w:val="single" w:color="auto" w:sz="12" w:space="0"/>
              <w:left w:val="single" w:color="auto" w:sz="4" w:space="0"/>
              <w:bottom w:val="single" w:color="auto" w:sz="4" w:space="0"/>
              <w:right w:val="single" w:color="auto" w:sz="4" w:space="0"/>
            </w:tcBorders>
          </w:tcPr>
          <w:p w14:paraId="4AAFA1C7">
            <w:pPr>
              <w:pStyle w:val="445"/>
              <w:rPr>
                <w:rFonts w:cs="Times New Roman"/>
                <w:kern w:val="0"/>
                <w:szCs w:val="20"/>
              </w:rPr>
            </w:pPr>
            <w:r>
              <w:rPr>
                <w:rFonts w:cs="Times New Roman"/>
                <w:kern w:val="0"/>
                <w:szCs w:val="20"/>
              </w:rPr>
              <w:t>250</w:t>
            </w:r>
          </w:p>
        </w:tc>
        <w:tc>
          <w:tcPr>
            <w:tcW w:w="443" w:type="pct"/>
            <w:tcBorders>
              <w:top w:val="single" w:color="auto" w:sz="12" w:space="0"/>
              <w:left w:val="single" w:color="auto" w:sz="4" w:space="0"/>
              <w:bottom w:val="single" w:color="auto" w:sz="4" w:space="0"/>
              <w:right w:val="nil"/>
            </w:tcBorders>
          </w:tcPr>
          <w:p w14:paraId="4EDE1B32">
            <w:pPr>
              <w:pStyle w:val="445"/>
              <w:rPr>
                <w:rFonts w:cs="Times New Roman"/>
                <w:kern w:val="0"/>
                <w:szCs w:val="20"/>
              </w:rPr>
            </w:pPr>
            <w:r>
              <w:rPr>
                <w:rFonts w:cs="Times New Roman"/>
                <w:kern w:val="0"/>
                <w:szCs w:val="20"/>
              </w:rPr>
              <w:t>300</w:t>
            </w:r>
          </w:p>
        </w:tc>
      </w:tr>
      <w:tr w14:paraId="4B12F7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7" w:type="pct"/>
            <w:tcBorders>
              <w:top w:val="single" w:color="auto" w:sz="4" w:space="0"/>
              <w:left w:val="nil"/>
              <w:bottom w:val="single" w:color="auto" w:sz="12" w:space="0"/>
              <w:right w:val="single" w:color="auto" w:sz="4" w:space="0"/>
            </w:tcBorders>
          </w:tcPr>
          <w:p w14:paraId="01D602E9">
            <w:pPr>
              <w:pStyle w:val="445"/>
              <w:rPr>
                <w:rFonts w:cs="Times New Roman"/>
                <w:kern w:val="0"/>
                <w:szCs w:val="20"/>
              </w:rPr>
            </w:pPr>
            <w:r>
              <w:rPr>
                <w:rFonts w:cs="Times New Roman"/>
                <w:kern w:val="0"/>
                <w:szCs w:val="20"/>
              </w:rPr>
              <w:t>混凝土搅拌机</w:t>
            </w:r>
          </w:p>
        </w:tc>
        <w:tc>
          <w:tcPr>
            <w:tcW w:w="960" w:type="pct"/>
            <w:tcBorders>
              <w:top w:val="single" w:color="auto" w:sz="4" w:space="0"/>
              <w:left w:val="single" w:color="auto" w:sz="4" w:space="0"/>
              <w:bottom w:val="single" w:color="auto" w:sz="12" w:space="0"/>
              <w:right w:val="single" w:color="auto" w:sz="4" w:space="0"/>
            </w:tcBorders>
          </w:tcPr>
          <w:p w14:paraId="0A3A538E">
            <w:pPr>
              <w:pStyle w:val="445"/>
              <w:rPr>
                <w:rFonts w:cs="Times New Roman"/>
                <w:kern w:val="0"/>
                <w:szCs w:val="20"/>
              </w:rPr>
            </w:pPr>
            <w:r>
              <w:rPr>
                <w:rFonts w:cs="Times New Roman"/>
                <w:kern w:val="0"/>
                <w:szCs w:val="20"/>
              </w:rPr>
              <w:t>声级值[dB(A)]</w:t>
            </w:r>
          </w:p>
        </w:tc>
        <w:tc>
          <w:tcPr>
            <w:tcW w:w="443" w:type="pct"/>
            <w:tcBorders>
              <w:top w:val="single" w:color="auto" w:sz="4" w:space="0"/>
              <w:left w:val="single" w:color="auto" w:sz="4" w:space="0"/>
              <w:bottom w:val="single" w:color="auto" w:sz="12" w:space="0"/>
              <w:right w:val="single" w:color="auto" w:sz="4" w:space="0"/>
            </w:tcBorders>
          </w:tcPr>
          <w:p w14:paraId="7AA416D2">
            <w:pPr>
              <w:pStyle w:val="445"/>
              <w:rPr>
                <w:rFonts w:cs="Times New Roman"/>
                <w:kern w:val="0"/>
                <w:szCs w:val="20"/>
              </w:rPr>
            </w:pPr>
            <w:r>
              <w:rPr>
                <w:rFonts w:cs="Times New Roman"/>
                <w:kern w:val="0"/>
                <w:szCs w:val="20"/>
              </w:rPr>
              <w:t>84</w:t>
            </w:r>
          </w:p>
        </w:tc>
        <w:tc>
          <w:tcPr>
            <w:tcW w:w="443" w:type="pct"/>
            <w:tcBorders>
              <w:top w:val="single" w:color="auto" w:sz="4" w:space="0"/>
              <w:left w:val="single" w:color="auto" w:sz="4" w:space="0"/>
              <w:bottom w:val="single" w:color="auto" w:sz="12" w:space="0"/>
              <w:right w:val="single" w:color="auto" w:sz="4" w:space="0"/>
            </w:tcBorders>
          </w:tcPr>
          <w:p w14:paraId="040C7BE1">
            <w:pPr>
              <w:pStyle w:val="445"/>
              <w:rPr>
                <w:rFonts w:cs="Times New Roman"/>
                <w:kern w:val="0"/>
                <w:szCs w:val="20"/>
              </w:rPr>
            </w:pPr>
            <w:r>
              <w:rPr>
                <w:rFonts w:cs="Times New Roman"/>
                <w:kern w:val="0"/>
                <w:szCs w:val="20"/>
              </w:rPr>
              <w:t>70</w:t>
            </w:r>
          </w:p>
        </w:tc>
        <w:tc>
          <w:tcPr>
            <w:tcW w:w="443" w:type="pct"/>
            <w:tcBorders>
              <w:top w:val="single" w:color="auto" w:sz="4" w:space="0"/>
              <w:left w:val="single" w:color="auto" w:sz="4" w:space="0"/>
              <w:bottom w:val="single" w:color="auto" w:sz="12" w:space="0"/>
              <w:right w:val="single" w:color="auto" w:sz="4" w:space="0"/>
            </w:tcBorders>
          </w:tcPr>
          <w:p w14:paraId="6DF92C32">
            <w:pPr>
              <w:pStyle w:val="445"/>
              <w:rPr>
                <w:rFonts w:cs="Times New Roman"/>
                <w:kern w:val="0"/>
                <w:szCs w:val="20"/>
              </w:rPr>
            </w:pPr>
            <w:r>
              <w:rPr>
                <w:rFonts w:cs="Times New Roman"/>
                <w:kern w:val="0"/>
                <w:szCs w:val="20"/>
              </w:rPr>
              <w:t>64</w:t>
            </w:r>
          </w:p>
        </w:tc>
        <w:tc>
          <w:tcPr>
            <w:tcW w:w="444" w:type="pct"/>
            <w:tcBorders>
              <w:top w:val="single" w:color="auto" w:sz="4" w:space="0"/>
              <w:left w:val="single" w:color="auto" w:sz="4" w:space="0"/>
              <w:bottom w:val="single" w:color="auto" w:sz="12" w:space="0"/>
              <w:right w:val="single" w:color="auto" w:sz="4" w:space="0"/>
            </w:tcBorders>
          </w:tcPr>
          <w:p w14:paraId="0B21629E">
            <w:pPr>
              <w:pStyle w:val="445"/>
              <w:rPr>
                <w:rFonts w:cs="Times New Roman"/>
                <w:kern w:val="0"/>
                <w:szCs w:val="20"/>
              </w:rPr>
            </w:pPr>
            <w:r>
              <w:rPr>
                <w:rFonts w:cs="Times New Roman"/>
                <w:kern w:val="0"/>
                <w:szCs w:val="20"/>
              </w:rPr>
              <w:t>61</w:t>
            </w:r>
          </w:p>
        </w:tc>
        <w:tc>
          <w:tcPr>
            <w:tcW w:w="443" w:type="pct"/>
            <w:tcBorders>
              <w:top w:val="single" w:color="auto" w:sz="4" w:space="0"/>
              <w:left w:val="single" w:color="auto" w:sz="4" w:space="0"/>
              <w:bottom w:val="single" w:color="auto" w:sz="12" w:space="0"/>
              <w:right w:val="single" w:color="auto" w:sz="4" w:space="0"/>
            </w:tcBorders>
          </w:tcPr>
          <w:p w14:paraId="1AD102F8">
            <w:pPr>
              <w:pStyle w:val="445"/>
              <w:rPr>
                <w:rFonts w:cs="Times New Roman"/>
                <w:kern w:val="0"/>
                <w:szCs w:val="20"/>
              </w:rPr>
            </w:pPr>
            <w:r>
              <w:rPr>
                <w:rFonts w:cs="Times New Roman"/>
                <w:kern w:val="0"/>
                <w:szCs w:val="20"/>
              </w:rPr>
              <w:t>58</w:t>
            </w:r>
          </w:p>
        </w:tc>
        <w:tc>
          <w:tcPr>
            <w:tcW w:w="443" w:type="pct"/>
            <w:tcBorders>
              <w:top w:val="single" w:color="auto" w:sz="4" w:space="0"/>
              <w:left w:val="single" w:color="auto" w:sz="4" w:space="0"/>
              <w:bottom w:val="single" w:color="auto" w:sz="12" w:space="0"/>
              <w:right w:val="single" w:color="auto" w:sz="4" w:space="0"/>
            </w:tcBorders>
          </w:tcPr>
          <w:p w14:paraId="5F6BA714">
            <w:pPr>
              <w:pStyle w:val="445"/>
              <w:rPr>
                <w:rFonts w:cs="Times New Roman"/>
                <w:kern w:val="0"/>
                <w:szCs w:val="20"/>
              </w:rPr>
            </w:pPr>
            <w:r>
              <w:rPr>
                <w:rFonts w:cs="Times New Roman"/>
                <w:kern w:val="0"/>
                <w:szCs w:val="20"/>
              </w:rPr>
              <w:t>56</w:t>
            </w:r>
          </w:p>
        </w:tc>
        <w:tc>
          <w:tcPr>
            <w:tcW w:w="443" w:type="pct"/>
            <w:tcBorders>
              <w:top w:val="single" w:color="auto" w:sz="4" w:space="0"/>
              <w:left w:val="single" w:color="auto" w:sz="4" w:space="0"/>
              <w:bottom w:val="single" w:color="auto" w:sz="12" w:space="0"/>
              <w:right w:val="nil"/>
            </w:tcBorders>
          </w:tcPr>
          <w:p w14:paraId="3FF592F1">
            <w:pPr>
              <w:pStyle w:val="445"/>
              <w:rPr>
                <w:rFonts w:cs="Times New Roman"/>
                <w:kern w:val="0"/>
                <w:szCs w:val="20"/>
              </w:rPr>
            </w:pPr>
            <w:r>
              <w:rPr>
                <w:rFonts w:cs="Times New Roman"/>
                <w:kern w:val="0"/>
                <w:szCs w:val="20"/>
              </w:rPr>
              <w:t>55</w:t>
            </w:r>
          </w:p>
        </w:tc>
      </w:tr>
    </w:tbl>
    <w:p w14:paraId="31BC1B6D">
      <w:pPr>
        <w:ind w:firstLine="480"/>
        <w:rPr>
          <w:rFonts w:cs="Times New Roman"/>
        </w:rPr>
      </w:pPr>
      <w:r>
        <w:rPr>
          <w:rFonts w:ascii="宋体" w:hAnsi="宋体"/>
        </w:rPr>
        <w:t>根据</w:t>
      </w:r>
      <w:r>
        <w:t>5.9.2-3</w:t>
      </w:r>
      <w:r>
        <w:rPr>
          <w:rFonts w:ascii="宋体" w:hAnsi="宋体"/>
        </w:rPr>
        <w:t>可见，白天施工时，有混凝土搅拌作业，噪声超标范围达</w:t>
      </w:r>
      <w:r>
        <w:t>100</w:t>
      </w:r>
      <w:r>
        <w:rPr>
          <w:rFonts w:ascii="宋体" w:hAnsi="宋体"/>
        </w:rPr>
        <w:t>米。</w:t>
      </w:r>
    </w:p>
    <w:p w14:paraId="1874F047">
      <w:pPr>
        <w:ind w:firstLine="480"/>
      </w:pPr>
      <w:r>
        <w:rPr>
          <w:rFonts w:ascii="宋体" w:hAnsi="宋体"/>
        </w:rPr>
        <w:t>本工程应在施工场界处重点做好施工围挡，减轻施工噪声向周边居民区的辐射；同时应避免夜间施工，如因特殊情况必须夜间施工，施工单位应按规定及时办理相关手续，并做好相应的防护措施。由于施工期是暂时的，随着施工的结束，施工噪声的影响也将消失。因此，本工程施工在采用低噪声机械、设置施工围挡和合理安排夜间施工时段等措施的前提下，对项目所在地声环境质量的影响较小。</w:t>
      </w:r>
    </w:p>
    <w:p w14:paraId="593298CD">
      <w:pPr>
        <w:spacing w:before="240" w:after="120"/>
        <w:ind w:firstLine="0" w:firstLineChars="0"/>
        <w:jc w:val="left"/>
        <w:outlineLvl w:val="2"/>
        <w:rPr>
          <w:rFonts w:eastAsia="黑体"/>
          <w:sz w:val="28"/>
          <w:szCs w:val="28"/>
        </w:rPr>
      </w:pPr>
      <w:bookmarkStart w:id="377" w:name="_Toc100784080"/>
      <w:bookmarkStart w:id="378" w:name="_Toc108662689"/>
      <w:bookmarkStart w:id="379" w:name="_Toc101135912"/>
      <w:r>
        <w:rPr>
          <w:rFonts w:eastAsia="黑体"/>
          <w:sz w:val="28"/>
          <w:szCs w:val="28"/>
        </w:rPr>
        <w:t>5</w:t>
      </w:r>
      <w:r>
        <w:rPr>
          <w:rFonts w:hint="eastAsia" w:eastAsia="黑体"/>
          <w:sz w:val="28"/>
          <w:szCs w:val="28"/>
        </w:rPr>
        <w:t>.</w:t>
      </w:r>
      <w:r>
        <w:rPr>
          <w:rFonts w:eastAsia="黑体"/>
          <w:sz w:val="28"/>
          <w:szCs w:val="28"/>
        </w:rPr>
        <w:t>8.3</w:t>
      </w:r>
      <w:r>
        <w:rPr>
          <w:rFonts w:ascii="黑体" w:hAnsi="黑体" w:eastAsia="黑体"/>
          <w:sz w:val="28"/>
          <w:szCs w:val="28"/>
        </w:rPr>
        <w:t>施工期废水环境影响分析</w:t>
      </w:r>
      <w:bookmarkEnd w:id="377"/>
      <w:bookmarkEnd w:id="378"/>
      <w:bookmarkEnd w:id="379"/>
    </w:p>
    <w:p w14:paraId="051CD57B">
      <w:pPr>
        <w:ind w:firstLine="482"/>
        <w:rPr>
          <w:b/>
          <w:szCs w:val="24"/>
        </w:rPr>
      </w:pPr>
      <w:r>
        <w:rPr>
          <w:rFonts w:ascii="宋体" w:hAnsi="宋体"/>
          <w:b/>
        </w:rPr>
        <w:t>（</w:t>
      </w:r>
      <w:r>
        <w:rPr>
          <w:b/>
        </w:rPr>
        <w:t>1</w:t>
      </w:r>
      <w:r>
        <w:rPr>
          <w:rFonts w:ascii="宋体" w:hAnsi="宋体"/>
          <w:b/>
        </w:rPr>
        <w:t>）</w:t>
      </w:r>
      <w:r>
        <w:rPr>
          <w:rFonts w:hint="eastAsia" w:ascii="宋体" w:hAnsi="宋体"/>
          <w:b/>
        </w:rPr>
        <w:t>施工生产</w:t>
      </w:r>
      <w:r>
        <w:rPr>
          <w:rFonts w:ascii="宋体" w:hAnsi="宋体"/>
          <w:b/>
        </w:rPr>
        <w:t>废水</w:t>
      </w:r>
    </w:p>
    <w:p w14:paraId="3E367D77">
      <w:pPr>
        <w:ind w:firstLine="480"/>
      </w:pPr>
      <w:r>
        <w:rPr>
          <w:rFonts w:ascii="宋体" w:hAnsi="宋体"/>
        </w:rPr>
        <w:t>各种施工机械设备运转的冷却水及洗涤用水和施工现场清洗、建材清洗、混凝土养护、设备水压试验等产生的废水，这部分废水含有一定量的油污和泥砂</w:t>
      </w:r>
      <w:r>
        <w:rPr>
          <w:rFonts w:hint="eastAsia" w:ascii="宋体" w:hAnsi="宋体"/>
        </w:rPr>
        <w:t>，</w:t>
      </w:r>
      <w:r>
        <w:rPr>
          <w:rFonts w:ascii="宋体" w:hAnsi="宋体"/>
        </w:rPr>
        <w:t>依托</w:t>
      </w:r>
      <w:r>
        <w:rPr>
          <w:rFonts w:hint="eastAsia" w:ascii="宋体" w:hAnsi="宋体"/>
        </w:rPr>
        <w:t>施工场地</w:t>
      </w:r>
      <w:r>
        <w:rPr>
          <w:rFonts w:ascii="宋体" w:hAnsi="宋体"/>
        </w:rPr>
        <w:t>隔油池</w:t>
      </w:r>
      <w:r>
        <w:rPr>
          <w:rFonts w:hint="eastAsia" w:ascii="宋体" w:hAnsi="宋体"/>
        </w:rPr>
        <w:t>、</w:t>
      </w:r>
      <w:r>
        <w:rPr>
          <w:rFonts w:ascii="宋体" w:hAnsi="宋体"/>
        </w:rPr>
        <w:t>沉淀池回用于</w:t>
      </w:r>
      <w:r>
        <w:rPr>
          <w:rFonts w:hint="eastAsia" w:ascii="宋体" w:hAnsi="宋体"/>
        </w:rPr>
        <w:t>场地</w:t>
      </w:r>
      <w:r>
        <w:rPr>
          <w:rFonts w:ascii="宋体" w:hAnsi="宋体"/>
        </w:rPr>
        <w:t>喷淋除尘。</w:t>
      </w:r>
    </w:p>
    <w:p w14:paraId="4B781765">
      <w:pPr>
        <w:ind w:firstLine="482"/>
        <w:rPr>
          <w:b/>
        </w:rPr>
      </w:pPr>
      <w:r>
        <w:rPr>
          <w:rFonts w:ascii="宋体" w:hAnsi="宋体"/>
          <w:b/>
        </w:rPr>
        <w:t>（</w:t>
      </w:r>
      <w:r>
        <w:rPr>
          <w:b/>
        </w:rPr>
        <w:t>2</w:t>
      </w:r>
      <w:r>
        <w:rPr>
          <w:rFonts w:ascii="宋体" w:hAnsi="宋体"/>
          <w:b/>
        </w:rPr>
        <w:t>）生活污水</w:t>
      </w:r>
    </w:p>
    <w:p w14:paraId="59265D60">
      <w:pPr>
        <w:ind w:firstLine="480"/>
      </w:pPr>
      <w:r>
        <w:rPr>
          <w:rFonts w:ascii="宋体" w:hAnsi="宋体"/>
        </w:rPr>
        <w:t>施工期</w:t>
      </w:r>
      <w:r>
        <w:rPr>
          <w:rFonts w:hint="eastAsia" w:ascii="宋体" w:hAnsi="宋体"/>
        </w:rPr>
        <w:t>员工</w:t>
      </w:r>
      <w:r>
        <w:rPr>
          <w:rFonts w:ascii="宋体" w:hAnsi="宋体"/>
        </w:rPr>
        <w:t>集中，施工队伍的生活活动产生一定量的生活污水，包括食堂用水、洗涤废水和冲厕水。生活污水含有大量细菌和病原体。上述废污水水量不大，</w:t>
      </w:r>
      <w:r>
        <w:rPr>
          <w:rFonts w:hint="eastAsia" w:ascii="宋体" w:hAnsi="宋体"/>
        </w:rPr>
        <w:t>施工</w:t>
      </w:r>
      <w:r>
        <w:rPr>
          <w:rFonts w:ascii="宋体" w:hAnsi="宋体"/>
        </w:rPr>
        <w:t>人员的</w:t>
      </w:r>
      <w:r>
        <w:rPr>
          <w:rFonts w:hint="eastAsia" w:ascii="宋体" w:hAnsi="宋体"/>
        </w:rPr>
        <w:t>生活污水经</w:t>
      </w:r>
      <w:r>
        <w:rPr>
          <w:rFonts w:ascii="宋体" w:hAnsi="宋体"/>
        </w:rPr>
        <w:t>收集后接管园区污水管网。</w:t>
      </w:r>
    </w:p>
    <w:p w14:paraId="2FD903FE">
      <w:pPr>
        <w:spacing w:before="240" w:after="120"/>
        <w:ind w:firstLine="0" w:firstLineChars="0"/>
        <w:jc w:val="left"/>
        <w:outlineLvl w:val="2"/>
        <w:rPr>
          <w:rFonts w:eastAsia="黑体"/>
          <w:sz w:val="28"/>
          <w:szCs w:val="28"/>
        </w:rPr>
      </w:pPr>
      <w:bookmarkStart w:id="380" w:name="_Toc100784081"/>
      <w:bookmarkStart w:id="381" w:name="_Toc101135913"/>
      <w:bookmarkStart w:id="382" w:name="_Toc108662690"/>
      <w:r>
        <w:rPr>
          <w:rFonts w:eastAsia="黑体"/>
          <w:sz w:val="28"/>
          <w:szCs w:val="28"/>
        </w:rPr>
        <w:t>5</w:t>
      </w:r>
      <w:r>
        <w:rPr>
          <w:rFonts w:hint="eastAsia" w:eastAsia="黑体"/>
          <w:sz w:val="28"/>
          <w:szCs w:val="28"/>
        </w:rPr>
        <w:t>.</w:t>
      </w:r>
      <w:r>
        <w:rPr>
          <w:rFonts w:eastAsia="黑体"/>
          <w:sz w:val="28"/>
          <w:szCs w:val="28"/>
        </w:rPr>
        <w:t>8.4</w:t>
      </w:r>
      <w:r>
        <w:rPr>
          <w:rFonts w:ascii="黑体" w:hAnsi="黑体" w:eastAsia="黑体"/>
          <w:sz w:val="28"/>
          <w:szCs w:val="28"/>
        </w:rPr>
        <w:t>施工期固体废弃物环境影响分析</w:t>
      </w:r>
      <w:bookmarkEnd w:id="380"/>
      <w:bookmarkEnd w:id="381"/>
      <w:bookmarkEnd w:id="382"/>
    </w:p>
    <w:p w14:paraId="337AF221">
      <w:pPr>
        <w:ind w:firstLine="480"/>
        <w:rPr>
          <w:szCs w:val="24"/>
        </w:rPr>
      </w:pPr>
      <w:r>
        <w:rPr>
          <w:rFonts w:ascii="宋体" w:hAnsi="宋体"/>
        </w:rPr>
        <w:t>施工垃圾主要来自施工所产生的建筑垃圾和施工队伍的生活垃圾。</w:t>
      </w:r>
    </w:p>
    <w:p w14:paraId="0EA7A113">
      <w:pPr>
        <w:ind w:firstLine="480"/>
      </w:pPr>
      <w:r>
        <w:rPr>
          <w:rFonts w:ascii="宋体" w:hAnsi="宋体"/>
        </w:rPr>
        <w:t>施工期间将涉及到土地开挖、管道敷设、材料运输、基础工程</w:t>
      </w:r>
      <w:r>
        <w:rPr>
          <w:rFonts w:hint="eastAsia" w:ascii="宋体" w:hAnsi="宋体"/>
        </w:rPr>
        <w:t>等</w:t>
      </w:r>
      <w:r>
        <w:rPr>
          <w:rFonts w:ascii="宋体" w:hAnsi="宋体"/>
        </w:rPr>
        <w:t>工程，在此期间将有一定数量的废弃建筑材料如砂石、石灰、混凝土、废砖、土石方等。因施工历时较长，前后必然要有大量的施工人员工作和生活在施工现场，其日常生活将产生一定数量的生活垃圾。</w:t>
      </w:r>
    </w:p>
    <w:p w14:paraId="4FDB1B83">
      <w:pPr>
        <w:ind w:firstLine="480"/>
      </w:pPr>
      <w:r>
        <w:rPr>
          <w:rFonts w:ascii="宋体" w:hAnsi="宋体"/>
        </w:rPr>
        <w:t>对施工现场要及时进行清理，建筑垃圾要及时清运、加以利用，防止其因长期堆放而产生扬尘。施工过程中产生的生活垃圾如不及时进行清运处理，则会腐烂变质，滋生蚊虫苍蝇，产生恶臭，传染疾病，从而对周围环境和作业人员健康带来不利影响。所以建设期间对生活垃圾要进行专门收集，交由环卫部门定期将之送往较近的垃圾场进行合理处置，严禁乱堆乱扔，防止产生二次污染。</w:t>
      </w:r>
    </w:p>
    <w:p w14:paraId="23BB409E">
      <w:pPr>
        <w:spacing w:before="240" w:after="120"/>
        <w:ind w:firstLine="0" w:firstLineChars="0"/>
        <w:jc w:val="left"/>
        <w:outlineLvl w:val="2"/>
        <w:rPr>
          <w:rFonts w:eastAsia="黑体"/>
          <w:sz w:val="28"/>
          <w:szCs w:val="28"/>
        </w:rPr>
      </w:pPr>
      <w:bookmarkStart w:id="383" w:name="_Toc108662691"/>
      <w:bookmarkStart w:id="384" w:name="_Toc101135914"/>
      <w:bookmarkStart w:id="385" w:name="_Toc100784082"/>
      <w:r>
        <w:rPr>
          <w:rFonts w:eastAsia="黑体"/>
          <w:sz w:val="28"/>
          <w:szCs w:val="28"/>
        </w:rPr>
        <w:t>5</w:t>
      </w:r>
      <w:r>
        <w:rPr>
          <w:rFonts w:hint="eastAsia" w:eastAsia="黑体"/>
          <w:sz w:val="28"/>
          <w:szCs w:val="28"/>
        </w:rPr>
        <w:t>.</w:t>
      </w:r>
      <w:r>
        <w:rPr>
          <w:rFonts w:eastAsia="黑体"/>
          <w:sz w:val="28"/>
          <w:szCs w:val="28"/>
        </w:rPr>
        <w:t>8.5</w:t>
      </w:r>
      <w:r>
        <w:rPr>
          <w:rFonts w:ascii="黑体" w:hAnsi="黑体" w:eastAsia="黑体"/>
          <w:sz w:val="28"/>
          <w:szCs w:val="28"/>
        </w:rPr>
        <w:t>施工期注意事项</w:t>
      </w:r>
      <w:bookmarkEnd w:id="383"/>
      <w:bookmarkEnd w:id="384"/>
      <w:bookmarkEnd w:id="385"/>
    </w:p>
    <w:p w14:paraId="61AAA093">
      <w:pPr>
        <w:ind w:firstLine="480"/>
        <w:rPr>
          <w:szCs w:val="24"/>
        </w:rPr>
      </w:pPr>
      <w:r>
        <w:rPr>
          <w:rFonts w:hint="eastAsia" w:ascii="宋体" w:hAnsi="宋体"/>
        </w:rPr>
        <w:t>本项目</w:t>
      </w:r>
      <w:r>
        <w:rPr>
          <w:rFonts w:ascii="宋体" w:hAnsi="宋体"/>
        </w:rPr>
        <w:t>在施工过程中应采取以下措施：</w:t>
      </w:r>
    </w:p>
    <w:p w14:paraId="69DF0390">
      <w:pPr>
        <w:ind w:firstLine="480"/>
      </w:pPr>
      <w:r>
        <w:rPr>
          <w:rFonts w:ascii="宋体" w:hAnsi="宋体"/>
        </w:rPr>
        <w:t>严格按照设计单位提供的施工方案和施工规范进行施工。</w:t>
      </w:r>
    </w:p>
    <w:p w14:paraId="2B989530">
      <w:pPr>
        <w:ind w:firstLine="480"/>
      </w:pPr>
      <w:r>
        <w:rPr>
          <w:rFonts w:ascii="宋体" w:hAnsi="宋体"/>
        </w:rPr>
        <w:t>施工过程中，严禁将施工弃土、建筑垃圾等倾倒至河流或周围的空地中。</w:t>
      </w:r>
    </w:p>
    <w:p w14:paraId="17A01F2B">
      <w:pPr>
        <w:ind w:firstLine="480"/>
        <w:rPr>
          <w:rFonts w:ascii="宋体" w:hAnsi="宋体"/>
        </w:rPr>
      </w:pPr>
      <w:r>
        <w:rPr>
          <w:rFonts w:ascii="宋体" w:hAnsi="宋体"/>
        </w:rPr>
        <w:t>加强施工场地的现场管理，车辆出施工场地应清洗，特别是轮胎应冲洗，防止土石方的跑冒滴漏，防止施工垃圾污染厂区内的道路、厂区等。</w:t>
      </w:r>
    </w:p>
    <w:p w14:paraId="0A9BB68E">
      <w:pPr>
        <w:pStyle w:val="4064"/>
        <w:sectPr>
          <w:pgSz w:w="11906" w:h="16838"/>
          <w:pgMar w:top="1440" w:right="1440" w:bottom="1440" w:left="1440" w:header="720" w:footer="720" w:gutter="0"/>
          <w:cols w:space="720" w:num="1"/>
          <w:docGrid w:linePitch="326" w:charSpace="0"/>
        </w:sectPr>
      </w:pPr>
    </w:p>
    <w:p w14:paraId="6F578D72">
      <w:pPr>
        <w:pStyle w:val="4064"/>
      </w:pPr>
      <w:bookmarkStart w:id="386" w:name="_Toc108662692"/>
      <w:r>
        <w:t>6</w:t>
      </w:r>
      <w:r>
        <w:rPr>
          <w:rFonts w:hint="eastAsia"/>
        </w:rPr>
        <w:t>、污染</w:t>
      </w:r>
      <w:r>
        <w:t>防治措施</w:t>
      </w:r>
      <w:r>
        <w:rPr>
          <w:rFonts w:hint="eastAsia"/>
        </w:rPr>
        <w:t>评述</w:t>
      </w:r>
      <w:bookmarkEnd w:id="386"/>
    </w:p>
    <w:p w14:paraId="0CDA3DC3">
      <w:pPr>
        <w:pStyle w:val="4065"/>
      </w:pPr>
      <w:bookmarkStart w:id="387" w:name="_Toc108662693"/>
      <w:r>
        <w:rPr>
          <w:rFonts w:hint="eastAsia"/>
        </w:rPr>
        <w:t>6.1废气</w:t>
      </w:r>
      <w:r>
        <w:t>污染</w:t>
      </w:r>
      <w:r>
        <w:rPr>
          <w:rFonts w:hint="eastAsia"/>
        </w:rPr>
        <w:t>防治措施</w:t>
      </w:r>
      <w:r>
        <w:t>评述</w:t>
      </w:r>
      <w:bookmarkEnd w:id="387"/>
    </w:p>
    <w:p w14:paraId="2B801252">
      <w:pPr>
        <w:ind w:firstLine="480"/>
      </w:pPr>
      <w:r>
        <w:rPr>
          <w:rFonts w:hint="eastAsia" w:ascii="宋体" w:hAnsi="宋体"/>
        </w:rPr>
        <w:t>根据工程</w:t>
      </w:r>
      <w:r>
        <w:rPr>
          <w:rFonts w:ascii="宋体" w:hAnsi="宋体"/>
        </w:rPr>
        <w:t>分析，</w:t>
      </w:r>
      <w:r>
        <w:rPr>
          <w:rFonts w:hint="eastAsia"/>
        </w:rPr>
        <w:t>扩建</w:t>
      </w:r>
      <w:r>
        <w:rPr>
          <w:rFonts w:hint="eastAsia" w:ascii="宋体" w:hAnsi="宋体"/>
        </w:rPr>
        <w:t>工程</w:t>
      </w:r>
      <w:r>
        <w:rPr>
          <w:rFonts w:ascii="宋体" w:hAnsi="宋体"/>
        </w:rPr>
        <w:t>废气主要为</w:t>
      </w:r>
      <w:r>
        <w:rPr>
          <w:rFonts w:hint="eastAsia" w:ascii="宋体" w:hAnsi="宋体"/>
        </w:rPr>
        <w:t>工艺</w:t>
      </w:r>
      <w:r>
        <w:rPr>
          <w:rFonts w:ascii="宋体" w:hAnsi="宋体"/>
        </w:rPr>
        <w:t>废气</w:t>
      </w:r>
      <w:r>
        <w:rPr>
          <w:rFonts w:hint="eastAsia" w:ascii="宋体" w:hAnsi="宋体"/>
        </w:rPr>
        <w:t>、</w:t>
      </w:r>
      <w:r>
        <w:rPr>
          <w:rFonts w:ascii="宋体" w:hAnsi="宋体"/>
        </w:rPr>
        <w:t>罐区废气</w:t>
      </w:r>
      <w:r>
        <w:t>；无组织</w:t>
      </w:r>
      <w:r>
        <w:rPr>
          <w:rFonts w:hint="eastAsia"/>
        </w:rPr>
        <w:t>废气</w:t>
      </w:r>
      <w:r>
        <w:t>主要为</w:t>
      </w:r>
      <w:r>
        <w:rPr>
          <w:rFonts w:hint="eastAsia"/>
        </w:rPr>
        <w:t>生产车间</w:t>
      </w:r>
      <w:r>
        <w:t>废气</w:t>
      </w:r>
      <w:r>
        <w:rPr>
          <w:rFonts w:ascii="宋体" w:hAnsi="宋体"/>
        </w:rPr>
        <w:t>。</w:t>
      </w:r>
    </w:p>
    <w:p w14:paraId="27549F43">
      <w:pPr>
        <w:pStyle w:val="4068"/>
      </w:pPr>
      <w:bookmarkStart w:id="388" w:name="_Toc101135917"/>
      <w:bookmarkStart w:id="389" w:name="_Toc100784085"/>
      <w:bookmarkStart w:id="390" w:name="_Toc108662694"/>
      <w:r>
        <w:rPr>
          <w:rFonts w:hint="eastAsia"/>
        </w:rPr>
        <w:t>6.1.1废气有组织污染防治措施评述</w:t>
      </w:r>
      <w:bookmarkEnd w:id="388"/>
      <w:bookmarkEnd w:id="389"/>
      <w:bookmarkEnd w:id="390"/>
    </w:p>
    <w:p w14:paraId="746E8C34">
      <w:pPr>
        <w:pStyle w:val="349"/>
      </w:pPr>
      <w:r>
        <w:t>6</w:t>
      </w:r>
      <w:r>
        <w:rPr>
          <w:rFonts w:hint="eastAsia"/>
        </w:rPr>
        <w:t>.</w:t>
      </w:r>
      <w:r>
        <w:t>1</w:t>
      </w:r>
      <w:r>
        <w:rPr>
          <w:rFonts w:hint="eastAsia"/>
        </w:rPr>
        <w:t>.1.1废气的</w:t>
      </w:r>
      <w:r>
        <w:t>收集</w:t>
      </w:r>
      <w:r>
        <w:rPr>
          <w:rFonts w:hint="eastAsia"/>
        </w:rPr>
        <w:t>处理</w:t>
      </w:r>
      <w:r>
        <w:t>系统</w:t>
      </w:r>
    </w:p>
    <w:p w14:paraId="50058FF0">
      <w:pPr>
        <w:ind w:firstLine="480"/>
        <w:rPr>
          <w:rFonts w:ascii="宋体" w:hAnsi="宋体"/>
        </w:rPr>
      </w:pPr>
      <w:r>
        <w:rPr>
          <w:rFonts w:hint="eastAsia"/>
        </w:rPr>
        <w:t>本项目有组织废气</w:t>
      </w:r>
      <w:r>
        <w:t>污染物为</w:t>
      </w:r>
      <w:r>
        <w:rPr>
          <w:rFonts w:hint="eastAsia"/>
        </w:rPr>
        <w:t>颗粒物</w:t>
      </w:r>
      <w:r>
        <w:t>、甲醇、</w:t>
      </w:r>
      <w:r>
        <w:rPr>
          <w:rFonts w:hint="eastAsia"/>
          <w:color w:val="000000"/>
          <w:szCs w:val="18"/>
        </w:rPr>
        <w:t>四甲氧基硅烷、三甲氧基硅烷</w:t>
      </w:r>
      <w:r>
        <w:rPr>
          <w:rFonts w:hint="eastAsia"/>
        </w:rPr>
        <w:t>、</w:t>
      </w:r>
      <w:r>
        <w:rPr>
          <w:rFonts w:hint="eastAsia"/>
          <w:color w:val="000000"/>
          <w:szCs w:val="18"/>
        </w:rPr>
        <w:t>甲基三甲氧基硅烷、</w:t>
      </w:r>
      <w:r>
        <w:rPr>
          <w:rFonts w:hint="eastAsia"/>
        </w:rPr>
        <w:t>烯丙基缩水甘油醚、氨</w:t>
      </w:r>
      <w:r>
        <w:t>、</w:t>
      </w:r>
      <w:r>
        <w:rPr>
          <w:rFonts w:hint="eastAsia"/>
        </w:rPr>
        <w:t>VOCs、乙炔</w:t>
      </w:r>
      <w:r>
        <w:rPr>
          <w:rFonts w:ascii="宋体" w:hAnsi="宋体"/>
        </w:rPr>
        <w:t>。</w:t>
      </w:r>
    </w:p>
    <w:p w14:paraId="4BB887D1">
      <w:pPr>
        <w:ind w:firstLine="480"/>
      </w:pPr>
      <w:r>
        <w:rPr>
          <w:rFonts w:hint="eastAsia" w:ascii="宋体" w:hAnsi="宋体"/>
        </w:rPr>
        <w:t>本项目</w:t>
      </w:r>
      <w:r>
        <w:rPr>
          <w:rFonts w:ascii="宋体" w:hAnsi="宋体"/>
        </w:rPr>
        <w:t>无组织废气污染物为</w:t>
      </w:r>
      <w:r>
        <w:rPr>
          <w:rFonts w:hint="eastAsia"/>
        </w:rPr>
        <w:t>颗粒物</w:t>
      </w:r>
      <w:r>
        <w:t>、甲醇、</w:t>
      </w:r>
      <w:r>
        <w:rPr>
          <w:rFonts w:hint="eastAsia"/>
          <w:color w:val="000000"/>
          <w:szCs w:val="18"/>
        </w:rPr>
        <w:t>四甲氧基硅烷、三甲氧基硅烷</w:t>
      </w:r>
      <w:r>
        <w:rPr>
          <w:rFonts w:hint="eastAsia"/>
        </w:rPr>
        <w:t>、</w:t>
      </w:r>
      <w:r>
        <w:rPr>
          <w:rFonts w:hint="eastAsia"/>
          <w:color w:val="000000"/>
          <w:szCs w:val="18"/>
        </w:rPr>
        <w:t>甲基三甲氧基硅烷、乙炔、硫化氢、</w:t>
      </w:r>
      <w:r>
        <w:rPr>
          <w:rFonts w:hint="eastAsia"/>
        </w:rPr>
        <w:t>VOCs。</w:t>
      </w:r>
    </w:p>
    <w:p w14:paraId="4678D081">
      <w:pPr>
        <w:ind w:firstLine="480"/>
        <w:rPr>
          <w:rFonts w:cs="Times New Roman"/>
          <w:szCs w:val="24"/>
        </w:rPr>
      </w:pPr>
      <w:r>
        <w:rPr>
          <w:rFonts w:hint="eastAsia" w:cs="Times New Roman"/>
          <w:szCs w:val="24"/>
        </w:rPr>
        <w:t>本项目</w:t>
      </w:r>
      <w:r>
        <w:rPr>
          <w:rFonts w:cs="Times New Roman"/>
          <w:szCs w:val="24"/>
        </w:rPr>
        <w:t>有组织废气收集处理情况见表</w:t>
      </w:r>
      <w:r>
        <w:rPr>
          <w:rFonts w:hint="eastAsia" w:cs="Times New Roman"/>
          <w:szCs w:val="24"/>
        </w:rPr>
        <w:t>6.1.1</w:t>
      </w:r>
      <w:r>
        <w:rPr>
          <w:rFonts w:cs="Times New Roman"/>
          <w:szCs w:val="24"/>
        </w:rPr>
        <w:t>-1</w:t>
      </w:r>
      <w:r>
        <w:rPr>
          <w:rFonts w:hint="eastAsia" w:cs="Times New Roman"/>
          <w:szCs w:val="24"/>
        </w:rPr>
        <w:t>。</w:t>
      </w:r>
    </w:p>
    <w:p w14:paraId="23E3C539">
      <w:pPr>
        <w:pStyle w:val="278"/>
        <w:rPr>
          <w:rFonts w:cs="Times New Roman"/>
          <w:szCs w:val="24"/>
        </w:rPr>
      </w:pPr>
      <w:r>
        <w:rPr>
          <w:rFonts w:hint="eastAsia"/>
        </w:rPr>
        <w:t>表6.1.1</w:t>
      </w:r>
      <w:r>
        <w:t xml:space="preserve">-1  </w:t>
      </w:r>
      <w:r>
        <w:rPr>
          <w:rFonts w:hint="eastAsia"/>
        </w:rPr>
        <w:t>有组织</w:t>
      </w:r>
      <w:r>
        <w:t>废气的收集系统一览表</w:t>
      </w:r>
    </w:p>
    <w:p w14:paraId="360E3DEB">
      <w:pPr>
        <w:ind w:firstLine="0" w:firstLineChars="0"/>
      </w:pPr>
    </w:p>
    <w:p w14:paraId="0956324B">
      <w:pPr>
        <w:pStyle w:val="278"/>
      </w:pPr>
      <w:r>
        <w:rPr>
          <w:rFonts w:hint="eastAsia"/>
        </w:rPr>
        <w:t>图6.1.1</w:t>
      </w:r>
      <w:r>
        <w:t xml:space="preserve">-1 </w:t>
      </w:r>
      <w:r>
        <w:rPr>
          <w:rFonts w:hint="eastAsia"/>
        </w:rPr>
        <w:t>本项目</w:t>
      </w:r>
      <w:r>
        <w:t>废气</w:t>
      </w:r>
      <w:r>
        <w:rPr>
          <w:rFonts w:hint="eastAsia"/>
        </w:rPr>
        <w:t>收集</w:t>
      </w:r>
      <w:r>
        <w:t>处理工艺</w:t>
      </w:r>
      <w:r>
        <w:rPr>
          <w:rFonts w:hint="eastAsia"/>
        </w:rPr>
        <w:t>示意</w:t>
      </w:r>
      <w:r>
        <w:t>图</w:t>
      </w:r>
    </w:p>
    <w:p w14:paraId="70A11824">
      <w:pPr>
        <w:pStyle w:val="349"/>
      </w:pPr>
      <w:r>
        <w:rPr>
          <w:rFonts w:hint="eastAsia"/>
        </w:rPr>
        <w:t>6.1.1.</w:t>
      </w:r>
      <w:r>
        <w:t>2</w:t>
      </w:r>
      <w:r>
        <w:rPr>
          <w:rFonts w:hint="eastAsia"/>
        </w:rPr>
        <w:t>废气处理方案及</w:t>
      </w:r>
      <w:r>
        <w:t>达标可行性分析</w:t>
      </w:r>
    </w:p>
    <w:p w14:paraId="04AB64E7">
      <w:pPr>
        <w:ind w:firstLine="480"/>
      </w:pPr>
      <w:r>
        <w:rPr>
          <w:rFonts w:hint="eastAsia"/>
        </w:rPr>
        <w:t>（1）</w:t>
      </w:r>
      <w:r>
        <w:t>有机废气</w:t>
      </w:r>
      <w:r>
        <w:rPr>
          <w:rFonts w:hint="eastAsia"/>
        </w:rPr>
        <w:t>处理方案</w:t>
      </w:r>
    </w:p>
    <w:p w14:paraId="3E4AA83E">
      <w:pPr>
        <w:ind w:firstLine="480"/>
      </w:pPr>
      <w:r>
        <w:t>通过查阅文献及结合化工废气治理工程实践可知，</w:t>
      </w:r>
      <w:r>
        <w:rPr>
          <w:rFonts w:hint="eastAsia"/>
        </w:rPr>
        <w:t>对有机</w:t>
      </w:r>
      <w:r>
        <w:t>废气的处理方法主要有冷凝法、</w:t>
      </w:r>
      <w:r>
        <w:rPr>
          <w:rFonts w:hint="eastAsia"/>
        </w:rPr>
        <w:t>吸收法、</w:t>
      </w:r>
      <w:r>
        <w:t>吸附法和焚烧法等。</w:t>
      </w:r>
    </w:p>
    <w:p w14:paraId="51252073">
      <w:pPr>
        <w:ind w:firstLine="480"/>
      </w:pPr>
      <w:r>
        <w:t>1</w:t>
      </w:r>
      <w:r>
        <w:rPr>
          <w:rFonts w:hint="eastAsia"/>
        </w:rPr>
        <w:t>）冷凝法</w:t>
      </w:r>
    </w:p>
    <w:p w14:paraId="185AB206">
      <w:pPr>
        <w:ind w:firstLine="480"/>
      </w:pPr>
      <w:r>
        <w:rPr>
          <w:rFonts w:hint="eastAsia"/>
        </w:rPr>
        <w:t>主要是利用物质在不同温度下具有不同饱和蒸汽压这一物理性质，采用降低系统温度或提高系统压力的方法，使处于蒸汽状态的污染物冷凝并从废气中分离出来的过程。</w:t>
      </w:r>
    </w:p>
    <w:p w14:paraId="6A6C4647">
      <w:pPr>
        <w:ind w:firstLine="480"/>
      </w:pPr>
      <w:r>
        <w:t>2</w:t>
      </w:r>
      <w:r>
        <w:rPr>
          <w:rFonts w:hint="eastAsia"/>
        </w:rPr>
        <w:t>）吸收法</w:t>
      </w:r>
    </w:p>
    <w:p w14:paraId="56D0F12D">
      <w:pPr>
        <w:ind w:firstLine="480"/>
      </w:pPr>
      <w:r>
        <w:rPr>
          <w:rFonts w:hint="eastAsia"/>
        </w:rPr>
        <w:t>吸收净化法是化工废气治理方法中一种重要的、常用的方法，它是利用废气中各混合组分在选定的吸收剂中溶解度不同，或者其中某一种或多种组分与吸收剂中活性组分发生化学反应，达到将有害物从废气中分离出来，净化废气的目的一种方法。</w:t>
      </w:r>
    </w:p>
    <w:p w14:paraId="28C12DF4">
      <w:pPr>
        <w:ind w:firstLine="480"/>
      </w:pPr>
      <w:r>
        <w:rPr>
          <w:rFonts w:hint="eastAsia"/>
        </w:rPr>
        <w:t>吸收过程可分为物理吸收和化学吸收两种。物理吸收的主要分离原理是气态污染物在吸收剂中的不同溶解能力。而化学吸收的主要分离原理是气态污染物与吸收剂中活性组分的选择性反应能力。</w:t>
      </w:r>
    </w:p>
    <w:p w14:paraId="160CC4FB">
      <w:pPr>
        <w:ind w:firstLine="480"/>
      </w:pPr>
      <w:r>
        <w:t>3</w:t>
      </w:r>
      <w:r>
        <w:rPr>
          <w:rFonts w:hint="eastAsia"/>
        </w:rPr>
        <w:t>）直接燃烧法</w:t>
      </w:r>
    </w:p>
    <w:p w14:paraId="02ED94C6">
      <w:pPr>
        <w:ind w:firstLine="480"/>
      </w:pPr>
      <w:r>
        <w:rPr>
          <w:rFonts w:hint="eastAsia"/>
        </w:rPr>
        <w:t>直接燃烧法亦称为热氧化法、热力燃烧法。本法的特点：工艺简单、设备投资小；适用高浓度废气治理；对于自身不能燃烧的中低浓度尾气，通常需助燃剂或加热。温度在760~850℃时，其转化率为90%~95%。要达到95%~99%时，一般温度控制在850~1100℃之间。</w:t>
      </w:r>
    </w:p>
    <w:p w14:paraId="6F711D42">
      <w:pPr>
        <w:ind w:firstLine="480"/>
      </w:pPr>
      <w:r>
        <w:t>4</w:t>
      </w:r>
      <w:r>
        <w:rPr>
          <w:rFonts w:hint="eastAsia"/>
        </w:rPr>
        <w:t>）催化燃烧法</w:t>
      </w:r>
    </w:p>
    <w:p w14:paraId="617C690F">
      <w:pPr>
        <w:ind w:firstLine="480"/>
      </w:pPr>
      <w:r>
        <w:rPr>
          <w:rFonts w:hint="eastAsia"/>
        </w:rPr>
        <w:t>催化燃烧法是把废气加热到200～300℃经过催化床催化燃烧转化成无害无臭的二氧化碳和水，达到净化目的。该法适用于高温、中高浓度的有机废气治理。该法是治理有机废气的有效方法之一，但对于低浓度、大风量的有机废气治理仍存在投资大、运行成本高的缺点。</w:t>
      </w:r>
    </w:p>
    <w:p w14:paraId="7CD74D92">
      <w:pPr>
        <w:ind w:firstLine="480"/>
      </w:pPr>
      <w:r>
        <w:t>5</w:t>
      </w:r>
      <w:r>
        <w:rPr>
          <w:rFonts w:hint="eastAsia"/>
        </w:rPr>
        <w:t>）吸附法</w:t>
      </w:r>
    </w:p>
    <w:p w14:paraId="0F2378D3">
      <w:pPr>
        <w:ind w:firstLine="480"/>
      </w:pPr>
      <w:r>
        <w:rPr>
          <w:rFonts w:hint="eastAsia"/>
        </w:rPr>
        <w:t>有机废气通过活性炭的吸附，可达到90%的净化率，设备简单、投资小。例如，对于三苯废气，活性炭达到饱和时吸附量约35%，应用于净化设备可取20～25%的吸附量，即每吨活性炭可吸附200～250kg的“三苯”气体。由于系统不能对吸附饱和的活性炭进行再生，要求经常更换活性炭以保证净化效果，导致装卸、运输等过程中造成二次污染，并且经常更换的活性炭需要量很大，材料损耗大，运行费用相当高。</w:t>
      </w:r>
    </w:p>
    <w:p w14:paraId="05F3293D">
      <w:pPr>
        <w:ind w:firstLine="480"/>
      </w:pPr>
      <w:r>
        <w:t>6</w:t>
      </w:r>
      <w:r>
        <w:rPr>
          <w:rFonts w:hint="eastAsia"/>
        </w:rPr>
        <w:t>）蓄热式氧化炉（RTO）</w:t>
      </w:r>
    </w:p>
    <w:p w14:paraId="5C81A9E7">
      <w:pPr>
        <w:ind w:firstLine="480"/>
        <w:rPr>
          <w:rFonts w:cs="Times New Roman"/>
        </w:rPr>
      </w:pPr>
      <w:r>
        <w:rPr>
          <w:rFonts w:cs="Times New Roman"/>
        </w:rPr>
        <w:t>蓄热式氧化炉（RTO）技术是一种工艺简单、占地面积小、运行费用低的低浓度有机废气处理系统，该设备主要采用了先进的热交换设计技术和新型陶瓷蓄热材料，其独特设计的高效先进换热系统保证了燃烧热量的有效回收，在大流量低浓度有机废气净化领域具有很大的优势。系统工作时首先把有机废气加热到800</w:t>
      </w:r>
      <w:r>
        <w:rPr>
          <w:rFonts w:hint="eastAsia"/>
        </w:rPr>
        <w:t>℃</w:t>
      </w:r>
      <w:r>
        <w:rPr>
          <w:rFonts w:cs="Times New Roman"/>
        </w:rPr>
        <w:t>以上，使废气中的VOC在氧化室氧化分解成CO</w:t>
      </w:r>
      <w:r>
        <w:rPr>
          <w:rFonts w:cs="Times New Roman"/>
          <w:vertAlign w:val="subscript"/>
        </w:rPr>
        <w:t>2</w:t>
      </w:r>
      <w:r>
        <w:rPr>
          <w:rFonts w:cs="Times New Roman"/>
        </w:rPr>
        <w:t>和H</w:t>
      </w:r>
      <w:r>
        <w:rPr>
          <w:rFonts w:cs="Times New Roman"/>
          <w:vertAlign w:val="subscript"/>
        </w:rPr>
        <w:t>2</w:t>
      </w:r>
      <w:r>
        <w:rPr>
          <w:rFonts w:cs="Times New Roman"/>
        </w:rPr>
        <w:t>O。氧化产生的高温气体流经特制的陶瓷蓄热体，使陶瓷体升温而“蓄热”，此“蓄热”用于预热后续进入的有机废气，从而节省使废气升温的燃料消耗。RTO炉主要有多床式和旋转式两大类，多床式RTO炉又分为两床式和三床式两种，由于两床式RTO炉工作过程中，部分残留在系统和管路中的废气未净化完全便进行排放，从而影响了总体净化效率，两床式净化效率通常为95%，三床式通常可达99%。</w:t>
      </w:r>
    </w:p>
    <w:p w14:paraId="4892DAC9">
      <w:pPr>
        <w:ind w:firstLine="480"/>
        <w:rPr>
          <w:rFonts w:cs="Times New Roman"/>
        </w:rPr>
      </w:pPr>
      <w:r>
        <w:rPr>
          <w:rFonts w:hint="eastAsia" w:cs="Times New Roman"/>
        </w:rPr>
        <w:t>本项目</w:t>
      </w:r>
      <w:r>
        <w:rPr>
          <w:rFonts w:cs="Times New Roman"/>
        </w:rPr>
        <w:t>有机废气</w:t>
      </w:r>
      <w:r>
        <w:rPr>
          <w:rFonts w:hint="eastAsia" w:cs="Times New Roman"/>
        </w:rPr>
        <w:t>采用</w:t>
      </w:r>
      <w:r>
        <w:rPr>
          <w:rFonts w:hint="eastAsia" w:asciiTheme="minorEastAsia" w:hAnsiTheme="minorEastAsia" w:eastAsiaTheme="minorEastAsia"/>
        </w:rPr>
        <w:t>“两级深冷</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碱洗</w:t>
      </w:r>
      <w:r>
        <w:rPr>
          <w:rFonts w:hint="eastAsia"/>
          <w:szCs w:val="18"/>
        </w:rPr>
        <w:t>+一级活性炭吸附</w:t>
      </w:r>
      <w:r>
        <w:rPr>
          <w:rFonts w:hint="eastAsia" w:asciiTheme="minorEastAsia" w:hAnsiTheme="minorEastAsia" w:eastAsiaTheme="minorEastAsia"/>
        </w:rPr>
        <w:t>”组合和</w:t>
      </w:r>
      <w:r>
        <w:rPr>
          <w:rFonts w:asciiTheme="minorEastAsia" w:hAnsiTheme="minorEastAsia" w:eastAsiaTheme="minorEastAsia"/>
        </w:rPr>
        <w:t>“</w:t>
      </w:r>
      <w:r>
        <w:rPr>
          <w:rFonts w:hint="eastAsia" w:asciiTheme="minorEastAsia" w:hAnsiTheme="minorEastAsia" w:eastAsiaTheme="minorEastAsia"/>
        </w:rPr>
        <w:t>两级深冷</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活性</w:t>
      </w:r>
      <w:r>
        <w:rPr>
          <w:rFonts w:hint="eastAsia" w:asciiTheme="minorEastAsia" w:hAnsiTheme="minorEastAsia" w:eastAsiaTheme="minorEastAsia"/>
        </w:rPr>
        <w:t>炭</w:t>
      </w:r>
      <w:r>
        <w:rPr>
          <w:rFonts w:asciiTheme="minorEastAsia" w:hAnsiTheme="minorEastAsia" w:eastAsiaTheme="minorEastAsia"/>
        </w:rPr>
        <w:t>吸附”</w:t>
      </w:r>
      <w:r>
        <w:rPr>
          <w:rFonts w:hint="eastAsia" w:asciiTheme="minorEastAsia" w:hAnsiTheme="minorEastAsia" w:eastAsiaTheme="minorEastAsia"/>
        </w:rPr>
        <w:t>组合</w:t>
      </w:r>
      <w:r>
        <w:rPr>
          <w:rFonts w:asciiTheme="minorEastAsia" w:hAnsiTheme="minorEastAsia" w:eastAsiaTheme="minorEastAsia"/>
        </w:rPr>
        <w:t>处理</w:t>
      </w:r>
      <w:r>
        <w:rPr>
          <w:rFonts w:hint="eastAsia" w:asciiTheme="minorEastAsia" w:hAnsiTheme="minorEastAsia" w:eastAsiaTheme="minorEastAsia"/>
        </w:rPr>
        <w:t>技术</w:t>
      </w:r>
      <w:r>
        <w:rPr>
          <w:rFonts w:asciiTheme="minorEastAsia" w:hAnsiTheme="minorEastAsia" w:eastAsiaTheme="minorEastAsia"/>
        </w:rPr>
        <w:t>，</w:t>
      </w:r>
      <w:r>
        <w:rPr>
          <w:rFonts w:hint="eastAsia" w:asciiTheme="minorEastAsia" w:hAnsiTheme="minorEastAsia" w:eastAsiaTheme="minorEastAsia"/>
        </w:rPr>
        <w:t>对照</w:t>
      </w:r>
      <w:r>
        <w:rPr>
          <w:rFonts w:hint="eastAsia" w:ascii="宋体" w:hAnsi="宋体"/>
        </w:rPr>
        <w:t>《排污许可证申请与核发技术规范 石化工业》</w:t>
      </w:r>
      <w:r>
        <w:rPr>
          <w:rFonts w:cs="Times New Roman"/>
        </w:rPr>
        <w:t>（HJ853-2017）</w:t>
      </w:r>
      <w:r>
        <w:rPr>
          <w:rFonts w:hint="eastAsia" w:cs="Times New Roman"/>
        </w:rPr>
        <w:t>中</w:t>
      </w:r>
      <w:r>
        <w:rPr>
          <w:rFonts w:cs="Times New Roman"/>
        </w:rPr>
        <w:t>附录A.1中</w:t>
      </w:r>
      <w:r>
        <w:rPr>
          <w:rFonts w:hint="eastAsia" w:cs="Times New Roman"/>
        </w:rPr>
        <w:t>废气治理</w:t>
      </w:r>
      <w:r>
        <w:rPr>
          <w:rFonts w:cs="Times New Roman"/>
        </w:rPr>
        <w:t>可行技术</w:t>
      </w:r>
      <w:r>
        <w:rPr>
          <w:rFonts w:hint="eastAsia" w:cs="Times New Roman"/>
        </w:rPr>
        <w:t>表</w:t>
      </w:r>
      <w:r>
        <w:rPr>
          <w:rFonts w:cs="Times New Roman"/>
        </w:rPr>
        <w:t>，</w:t>
      </w:r>
      <w:r>
        <w:rPr>
          <w:rFonts w:hint="eastAsia" w:cs="Times New Roman"/>
        </w:rPr>
        <w:t>本项目</w:t>
      </w:r>
      <w:r>
        <w:rPr>
          <w:rFonts w:cs="Times New Roman"/>
        </w:rPr>
        <w:t>有机废气治理技术</w:t>
      </w:r>
      <w:r>
        <w:rPr>
          <w:rFonts w:hint="eastAsia" w:cs="Times New Roman"/>
        </w:rPr>
        <w:t>属于</w:t>
      </w:r>
      <w:r>
        <w:rPr>
          <w:rFonts w:cs="Times New Roman"/>
        </w:rPr>
        <w:t>可行技术。</w:t>
      </w:r>
    </w:p>
    <w:p w14:paraId="2255F869">
      <w:pPr>
        <w:ind w:firstLine="480"/>
        <w:rPr>
          <w:szCs w:val="24"/>
        </w:rPr>
      </w:pPr>
      <w:r>
        <w:rPr>
          <w:rFonts w:hint="eastAsia" w:cs="Times New Roman"/>
        </w:rPr>
        <w:t>类比同类项目</w:t>
      </w:r>
      <w:r>
        <w:rPr>
          <w:rFonts w:cs="Times New Roman"/>
        </w:rPr>
        <w:t>，有机废气</w:t>
      </w:r>
      <w:r>
        <w:rPr>
          <w:rFonts w:hint="eastAsia" w:cs="Times New Roman"/>
        </w:rPr>
        <w:t>经</w:t>
      </w:r>
      <w:r>
        <w:rPr>
          <w:rFonts w:hint="eastAsia" w:asciiTheme="minorEastAsia" w:hAnsiTheme="minorEastAsia" w:eastAsiaTheme="minorEastAsia"/>
        </w:rPr>
        <w:t>“两级深冷</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碱洗</w:t>
      </w:r>
      <w:r>
        <w:rPr>
          <w:rFonts w:hint="eastAsia"/>
          <w:szCs w:val="18"/>
        </w:rPr>
        <w:t>+一级活性炭吸附</w:t>
      </w:r>
      <w:r>
        <w:rPr>
          <w:rFonts w:hint="eastAsia" w:asciiTheme="minorEastAsia" w:hAnsiTheme="minorEastAsia" w:eastAsiaTheme="minorEastAsia"/>
        </w:rPr>
        <w:t>”组合和</w:t>
      </w:r>
      <w:r>
        <w:rPr>
          <w:rFonts w:asciiTheme="minorEastAsia" w:hAnsiTheme="minorEastAsia" w:eastAsiaTheme="minorEastAsia"/>
        </w:rPr>
        <w:t>“</w:t>
      </w:r>
      <w:r>
        <w:rPr>
          <w:rFonts w:hint="eastAsia" w:asciiTheme="minorEastAsia" w:hAnsiTheme="minorEastAsia" w:eastAsiaTheme="minorEastAsia"/>
        </w:rPr>
        <w:t>两级深冷</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活性</w:t>
      </w:r>
      <w:r>
        <w:rPr>
          <w:rFonts w:hint="eastAsia" w:asciiTheme="minorEastAsia" w:hAnsiTheme="minorEastAsia" w:eastAsiaTheme="minorEastAsia"/>
        </w:rPr>
        <w:t>炭</w:t>
      </w:r>
      <w:r>
        <w:rPr>
          <w:rFonts w:asciiTheme="minorEastAsia" w:hAnsiTheme="minorEastAsia" w:eastAsiaTheme="minorEastAsia"/>
        </w:rPr>
        <w:t>吸附”</w:t>
      </w:r>
      <w:r>
        <w:rPr>
          <w:rFonts w:hint="eastAsia" w:asciiTheme="minorEastAsia" w:hAnsiTheme="minorEastAsia" w:eastAsiaTheme="minorEastAsia"/>
        </w:rPr>
        <w:t>组合处理</w:t>
      </w:r>
      <w:r>
        <w:rPr>
          <w:rFonts w:asciiTheme="minorEastAsia" w:hAnsiTheme="minorEastAsia" w:eastAsiaTheme="minorEastAsia"/>
        </w:rPr>
        <w:t>，</w:t>
      </w:r>
      <w:r>
        <w:rPr>
          <w:rFonts w:hint="eastAsia" w:cs="Times New Roman"/>
        </w:rPr>
        <w:t>；</w:t>
      </w:r>
      <w:r>
        <w:rPr>
          <w:rFonts w:hint="eastAsia"/>
        </w:rPr>
        <w:t>有机废气中各类污染物排放速率、排放浓度均可以满足</w:t>
      </w:r>
      <w:r>
        <w:rPr>
          <w:rFonts w:hint="eastAsia" w:ascii="宋体" w:hAnsi="宋体"/>
        </w:rPr>
        <w:t>《大气污染物综合排放标准》（</w:t>
      </w:r>
      <w:r>
        <w:rPr>
          <w:rFonts w:hint="eastAsia"/>
        </w:rPr>
        <w:t>G</w:t>
      </w:r>
      <w:r>
        <w:t>B16297-1996</w:t>
      </w:r>
      <w:r>
        <w:rPr>
          <w:rFonts w:hint="eastAsia" w:ascii="宋体" w:hAnsi="宋体"/>
        </w:rPr>
        <w:t>）</w:t>
      </w:r>
      <w:r>
        <w:rPr>
          <w:rFonts w:hint="eastAsia"/>
          <w:szCs w:val="24"/>
        </w:rPr>
        <w:t>规定的排放限值。</w:t>
      </w:r>
    </w:p>
    <w:p w14:paraId="467AD131">
      <w:pPr>
        <w:ind w:firstLine="480"/>
      </w:pPr>
      <w:r>
        <w:rPr>
          <w:rFonts w:hint="eastAsia"/>
        </w:rPr>
        <w:t>（</w:t>
      </w:r>
      <w:r>
        <w:t>2</w:t>
      </w:r>
      <w:r>
        <w:rPr>
          <w:rFonts w:hint="eastAsia"/>
        </w:rPr>
        <w:t>）含氨</w:t>
      </w:r>
      <w:r>
        <w:t>废气</w:t>
      </w:r>
      <w:r>
        <w:rPr>
          <w:rFonts w:hint="eastAsia"/>
        </w:rPr>
        <w:t>处理方案</w:t>
      </w:r>
    </w:p>
    <w:p w14:paraId="1601051B">
      <w:pPr>
        <w:ind w:firstLine="480"/>
      </w:pPr>
      <w:r>
        <w:t>通过查阅文献</w:t>
      </w:r>
      <w:r>
        <w:rPr>
          <w:rFonts w:hint="eastAsia"/>
        </w:rPr>
        <w:t>，对</w:t>
      </w:r>
      <w:r>
        <w:t>含氨废气</w:t>
      </w:r>
      <w:r>
        <w:rPr>
          <w:rFonts w:hint="eastAsia"/>
        </w:rPr>
        <w:t>的</w:t>
      </w:r>
      <w:r>
        <w:t>处理，国内</w:t>
      </w:r>
      <w:r>
        <w:rPr>
          <w:rFonts w:hint="eastAsia"/>
        </w:rPr>
        <w:t>现有</w:t>
      </w:r>
      <w:r>
        <w:t>主要技术为</w:t>
      </w:r>
      <w:r>
        <w:rPr>
          <w:rFonts w:hint="eastAsia"/>
        </w:rPr>
        <w:t>吸收法和催化</w:t>
      </w:r>
      <w:r>
        <w:t>分解</w:t>
      </w:r>
      <w:r>
        <w:rPr>
          <w:rFonts w:hint="eastAsia"/>
        </w:rPr>
        <w:t>等</w:t>
      </w:r>
      <w:r>
        <w:t>。</w:t>
      </w:r>
    </w:p>
    <w:p w14:paraId="4D40917F">
      <w:pPr>
        <w:ind w:firstLine="480"/>
      </w:pPr>
      <w:r>
        <w:rPr>
          <w:rFonts w:hint="eastAsia"/>
        </w:rPr>
        <w:t>1）吸收法</w:t>
      </w:r>
    </w:p>
    <w:p w14:paraId="33A92C6A">
      <w:pPr>
        <w:ind w:firstLine="480"/>
      </w:pPr>
      <w:r>
        <w:t>氨</w:t>
      </w:r>
      <w:r>
        <w:rPr>
          <w:rFonts w:hint="eastAsia"/>
        </w:rPr>
        <w:t>气极易溶于水，常温常压下1体积水可溶解700倍体积氨，可</w:t>
      </w:r>
      <w:r>
        <w:t>通过水洗对</w:t>
      </w:r>
      <w:r>
        <w:rPr>
          <w:rFonts w:hint="eastAsia"/>
        </w:rPr>
        <w:t>含氨</w:t>
      </w:r>
      <w:r>
        <w:t>废气进行吸收处理。</w:t>
      </w:r>
    </w:p>
    <w:p w14:paraId="073BE4FC">
      <w:pPr>
        <w:ind w:firstLine="480"/>
      </w:pPr>
      <w:r>
        <w:rPr>
          <w:rFonts w:hint="eastAsia"/>
        </w:rPr>
        <w:t>2）</w:t>
      </w:r>
      <w:r>
        <w:t>催化分解</w:t>
      </w:r>
    </w:p>
    <w:p w14:paraId="4FAA787D">
      <w:pPr>
        <w:ind w:firstLine="480"/>
      </w:pPr>
      <w:r>
        <w:rPr>
          <w:rFonts w:hint="eastAsia"/>
        </w:rPr>
        <w:t>氨</w:t>
      </w:r>
      <w:r>
        <w:t>催化分解技术是在催化剂的作用下将氨彻底分解为N和H，是有效脱除氨和减去环境污染的可行方法。</w:t>
      </w:r>
    </w:p>
    <w:p w14:paraId="3AA197E0">
      <w:pPr>
        <w:ind w:firstLine="480"/>
        <w:rPr>
          <w:rFonts w:cs="Times New Roman"/>
        </w:rPr>
      </w:pPr>
      <w:r>
        <w:rPr>
          <w:rFonts w:hint="eastAsia" w:ascii="宋体" w:hAnsi="宋体"/>
        </w:rPr>
        <w:t>本项目含氨</w:t>
      </w:r>
      <w:r>
        <w:rPr>
          <w:rFonts w:ascii="宋体" w:hAnsi="宋体"/>
        </w:rPr>
        <w:t>废气采用</w:t>
      </w:r>
      <w:r>
        <w:rPr>
          <w:rFonts w:asciiTheme="minorEastAsia" w:hAnsiTheme="minorEastAsia" w:eastAsiaTheme="minorEastAsia"/>
        </w:rPr>
        <w:t>“</w:t>
      </w:r>
      <w:r>
        <w:rPr>
          <w:rFonts w:hint="eastAsia" w:asciiTheme="minorEastAsia" w:hAnsiTheme="minorEastAsia" w:eastAsiaTheme="minorEastAsia"/>
        </w:rPr>
        <w:t>一级水洗</w:t>
      </w:r>
      <w:r>
        <w:rPr>
          <w:rFonts w:asciiTheme="minorEastAsia" w:hAnsiTheme="minorEastAsia" w:eastAsiaTheme="minorEastAsia"/>
        </w:rPr>
        <w:t>+</w:t>
      </w:r>
      <w:r>
        <w:rPr>
          <w:rFonts w:hint="eastAsia" w:asciiTheme="minorEastAsia" w:hAnsiTheme="minorEastAsia" w:eastAsiaTheme="minorEastAsia"/>
        </w:rPr>
        <w:t>一级酸</w:t>
      </w:r>
      <w:r>
        <w:rPr>
          <w:rFonts w:asciiTheme="minorEastAsia" w:hAnsiTheme="minorEastAsia" w:eastAsiaTheme="minorEastAsia"/>
        </w:rPr>
        <w:t>洗”</w:t>
      </w:r>
      <w:r>
        <w:rPr>
          <w:rFonts w:hint="eastAsia" w:asciiTheme="minorEastAsia" w:hAnsiTheme="minorEastAsia" w:eastAsiaTheme="minorEastAsia"/>
        </w:rPr>
        <w:t>组合处理</w:t>
      </w:r>
      <w:r>
        <w:rPr>
          <w:rFonts w:asciiTheme="minorEastAsia" w:hAnsiTheme="minorEastAsia" w:eastAsiaTheme="minorEastAsia"/>
        </w:rPr>
        <w:t>工艺，</w:t>
      </w:r>
      <w:r>
        <w:rPr>
          <w:rFonts w:hint="eastAsia" w:asciiTheme="minorEastAsia" w:hAnsiTheme="minorEastAsia" w:eastAsiaTheme="minorEastAsia"/>
        </w:rPr>
        <w:t>对照</w:t>
      </w:r>
      <w:r>
        <w:rPr>
          <w:rFonts w:hint="eastAsia" w:ascii="宋体" w:hAnsi="宋体"/>
        </w:rPr>
        <w:t>《排污许可证申请与核发技术规范 无机</w:t>
      </w:r>
      <w:r>
        <w:rPr>
          <w:rFonts w:ascii="宋体" w:hAnsi="宋体"/>
        </w:rPr>
        <w:t>化学</w:t>
      </w:r>
      <w:r>
        <w:rPr>
          <w:rFonts w:hint="eastAsia" w:ascii="宋体" w:hAnsi="宋体"/>
        </w:rPr>
        <w:t>工业》</w:t>
      </w:r>
      <w:r>
        <w:rPr>
          <w:rFonts w:cs="Times New Roman"/>
        </w:rPr>
        <w:t>（HJ1035-2019）</w:t>
      </w:r>
      <w:r>
        <w:rPr>
          <w:rFonts w:hint="eastAsia" w:cs="Times New Roman"/>
        </w:rPr>
        <w:t>中中</w:t>
      </w:r>
      <w:r>
        <w:rPr>
          <w:rFonts w:cs="Times New Roman"/>
        </w:rPr>
        <w:t>附录A.1中</w:t>
      </w:r>
      <w:r>
        <w:rPr>
          <w:rFonts w:hint="eastAsia" w:cs="Times New Roman"/>
        </w:rPr>
        <w:t>废气治理</w:t>
      </w:r>
      <w:r>
        <w:rPr>
          <w:rFonts w:cs="Times New Roman"/>
        </w:rPr>
        <w:t>可行技术</w:t>
      </w:r>
      <w:r>
        <w:rPr>
          <w:rFonts w:hint="eastAsia" w:cs="Times New Roman"/>
        </w:rPr>
        <w:t>表</w:t>
      </w:r>
      <w:r>
        <w:rPr>
          <w:rFonts w:cs="Times New Roman"/>
        </w:rPr>
        <w:t>，</w:t>
      </w:r>
      <w:r>
        <w:rPr>
          <w:rFonts w:hint="eastAsia" w:cs="Times New Roman"/>
        </w:rPr>
        <w:t>本项目含氨</w:t>
      </w:r>
      <w:r>
        <w:rPr>
          <w:rFonts w:cs="Times New Roman"/>
        </w:rPr>
        <w:t>废气治理技术</w:t>
      </w:r>
      <w:r>
        <w:rPr>
          <w:rFonts w:hint="eastAsia" w:cs="Times New Roman"/>
        </w:rPr>
        <w:t>属于</w:t>
      </w:r>
      <w:r>
        <w:rPr>
          <w:rFonts w:cs="Times New Roman"/>
        </w:rPr>
        <w:t>可行技术。</w:t>
      </w:r>
    </w:p>
    <w:p w14:paraId="644C355A">
      <w:pPr>
        <w:ind w:firstLine="480"/>
        <w:rPr>
          <w:szCs w:val="24"/>
        </w:rPr>
      </w:pPr>
      <w:r>
        <w:rPr>
          <w:rFonts w:hint="eastAsia" w:cs="Times New Roman"/>
        </w:rPr>
        <w:t>类比同类项目</w:t>
      </w:r>
      <w:r>
        <w:rPr>
          <w:rFonts w:cs="Times New Roman"/>
        </w:rPr>
        <w:t>，</w:t>
      </w:r>
      <w:r>
        <w:rPr>
          <w:rFonts w:hint="eastAsia" w:cs="Times New Roman"/>
        </w:rPr>
        <w:t>含氨</w:t>
      </w:r>
      <w:r>
        <w:rPr>
          <w:rFonts w:cs="Times New Roman"/>
        </w:rPr>
        <w:t>废气</w:t>
      </w:r>
      <w:r>
        <w:rPr>
          <w:rFonts w:hint="eastAsia" w:cs="Times New Roman"/>
        </w:rPr>
        <w:t>经</w:t>
      </w:r>
      <w:r>
        <w:rPr>
          <w:rFonts w:asciiTheme="minorEastAsia" w:hAnsiTheme="minorEastAsia" w:eastAsiaTheme="minorEastAsia"/>
        </w:rPr>
        <w:t>“</w:t>
      </w:r>
      <w:r>
        <w:rPr>
          <w:rFonts w:hint="eastAsia" w:asciiTheme="minorEastAsia" w:hAnsiTheme="minorEastAsia" w:eastAsiaTheme="minorEastAsia"/>
        </w:rPr>
        <w:t>一级水洗</w:t>
      </w:r>
      <w:r>
        <w:rPr>
          <w:rFonts w:asciiTheme="minorEastAsia" w:hAnsiTheme="minorEastAsia" w:eastAsiaTheme="minorEastAsia"/>
        </w:rPr>
        <w:t>+</w:t>
      </w:r>
      <w:r>
        <w:rPr>
          <w:rFonts w:hint="eastAsia" w:asciiTheme="minorEastAsia" w:hAnsiTheme="minorEastAsia" w:eastAsiaTheme="minorEastAsia"/>
        </w:rPr>
        <w:t>一级酸洗</w:t>
      </w:r>
      <w:r>
        <w:rPr>
          <w:rFonts w:asciiTheme="minorEastAsia" w:hAnsiTheme="minorEastAsia" w:eastAsiaTheme="minorEastAsia"/>
        </w:rPr>
        <w:t>”</w:t>
      </w:r>
      <w:r>
        <w:rPr>
          <w:rFonts w:hint="eastAsia" w:asciiTheme="minorEastAsia" w:hAnsiTheme="minorEastAsia" w:eastAsiaTheme="minorEastAsia"/>
        </w:rPr>
        <w:t>组合处理</w:t>
      </w:r>
      <w:r>
        <w:rPr>
          <w:rFonts w:asciiTheme="minorEastAsia" w:hAnsiTheme="minorEastAsia" w:eastAsiaTheme="minorEastAsia"/>
        </w:rPr>
        <w:t>，</w:t>
      </w:r>
      <w:r>
        <w:rPr>
          <w:rFonts w:hint="eastAsia" w:asciiTheme="minorEastAsia" w:hAnsiTheme="minorEastAsia" w:eastAsiaTheme="minorEastAsia"/>
        </w:rPr>
        <w:t>含氨废气中</w:t>
      </w:r>
      <w:r>
        <w:rPr>
          <w:rFonts w:asciiTheme="minorEastAsia" w:hAnsiTheme="minorEastAsia" w:eastAsiaTheme="minorEastAsia"/>
        </w:rPr>
        <w:t>氨气</w:t>
      </w:r>
      <w:r>
        <w:rPr>
          <w:rFonts w:cs="Times New Roman"/>
        </w:rPr>
        <w:t>去除效率可达</w:t>
      </w:r>
      <w:r>
        <w:rPr>
          <w:rFonts w:hint="eastAsia" w:cs="Times New Roman"/>
        </w:rPr>
        <w:t>99</w:t>
      </w:r>
      <w:r>
        <w:rPr>
          <w:rFonts w:cs="Times New Roman"/>
        </w:rPr>
        <w:t>.9%，</w:t>
      </w:r>
      <w:r>
        <w:rPr>
          <w:rFonts w:hint="eastAsia"/>
        </w:rPr>
        <w:t>含氨废气中氨气排放速率、排放浓度可以满足</w:t>
      </w:r>
      <w:r>
        <w:rPr>
          <w:rFonts w:hint="eastAsia" w:ascii="宋体" w:hAnsi="宋体"/>
        </w:rPr>
        <w:t>《无机化学</w:t>
      </w:r>
      <w:r>
        <w:rPr>
          <w:rFonts w:ascii="宋体" w:hAnsi="宋体"/>
        </w:rPr>
        <w:t>工业</w:t>
      </w:r>
      <w:r>
        <w:rPr>
          <w:rFonts w:hint="eastAsia" w:ascii="宋体" w:hAnsi="宋体"/>
        </w:rPr>
        <w:t>污染物</w:t>
      </w:r>
      <w:r>
        <w:rPr>
          <w:rFonts w:ascii="宋体" w:hAnsi="宋体"/>
        </w:rPr>
        <w:t>排放</w:t>
      </w:r>
      <w:r>
        <w:rPr>
          <w:rFonts w:hint="eastAsia" w:ascii="宋体" w:hAnsi="宋体"/>
        </w:rPr>
        <w:t>标准》（</w:t>
      </w:r>
      <w:r>
        <w:rPr>
          <w:rFonts w:hint="eastAsia"/>
        </w:rPr>
        <w:t>G</w:t>
      </w:r>
      <w:r>
        <w:t>B31573-2015</w:t>
      </w:r>
      <w:r>
        <w:rPr>
          <w:rFonts w:hint="eastAsia" w:ascii="宋体" w:hAnsi="宋体"/>
        </w:rPr>
        <w:t>）中</w:t>
      </w:r>
      <w:r>
        <w:rPr>
          <w:rFonts w:hint="eastAsia" w:cs="Times New Roman"/>
          <w:szCs w:val="20"/>
        </w:rPr>
        <w:t>表</w:t>
      </w:r>
      <w:r>
        <w:rPr>
          <w:rFonts w:cs="Times New Roman"/>
          <w:szCs w:val="20"/>
        </w:rPr>
        <w:t>4</w:t>
      </w:r>
      <w:r>
        <w:rPr>
          <w:rFonts w:hint="eastAsia" w:cs="Times New Roman"/>
          <w:szCs w:val="20"/>
        </w:rPr>
        <w:t>中大气污染物</w:t>
      </w:r>
      <w:r>
        <w:rPr>
          <w:rFonts w:cs="Times New Roman"/>
          <w:szCs w:val="20"/>
        </w:rPr>
        <w:t>特别</w:t>
      </w:r>
      <w:r>
        <w:rPr>
          <w:rFonts w:hint="eastAsia" w:cs="Times New Roman"/>
          <w:szCs w:val="20"/>
        </w:rPr>
        <w:t>排放限值</w:t>
      </w:r>
      <w:r>
        <w:rPr>
          <w:rFonts w:hint="eastAsia"/>
          <w:szCs w:val="24"/>
        </w:rPr>
        <w:t>。</w:t>
      </w:r>
    </w:p>
    <w:p w14:paraId="3E0F9320">
      <w:pPr>
        <w:ind w:firstLine="480"/>
      </w:pPr>
      <w:r>
        <w:rPr>
          <w:rFonts w:hint="eastAsia"/>
        </w:rPr>
        <w:t>（</w:t>
      </w:r>
      <w:r>
        <w:t>3</w:t>
      </w:r>
      <w:r>
        <w:rPr>
          <w:rFonts w:hint="eastAsia"/>
        </w:rPr>
        <w:t>）粉尘</w:t>
      </w:r>
      <w:r>
        <w:t>处理方案</w:t>
      </w:r>
    </w:p>
    <w:p w14:paraId="4B34C5A7">
      <w:pPr>
        <w:ind w:firstLine="480"/>
      </w:pPr>
      <w:r>
        <w:t>通过查阅文献</w:t>
      </w:r>
      <w:r>
        <w:rPr>
          <w:rFonts w:hint="eastAsia"/>
        </w:rPr>
        <w:t>，</w:t>
      </w:r>
      <w:r>
        <w:t>粉尘处理</w:t>
      </w:r>
      <w:r>
        <w:rPr>
          <w:rFonts w:hint="eastAsia"/>
        </w:rPr>
        <w:t>技术可</w:t>
      </w:r>
      <w:r>
        <w:t>分为</w:t>
      </w:r>
      <w:r>
        <w:rPr>
          <w:rFonts w:hint="eastAsia"/>
        </w:rPr>
        <w:t>湿法除尘</w:t>
      </w:r>
      <w:r>
        <w:t>、</w:t>
      </w:r>
      <w:r>
        <w:rPr>
          <w:rFonts w:hint="eastAsia"/>
        </w:rPr>
        <w:t>旋风</w:t>
      </w:r>
      <w:r>
        <w:t>除尘</w:t>
      </w:r>
      <w:r>
        <w:rPr>
          <w:rFonts w:hint="eastAsia"/>
        </w:rPr>
        <w:t>和袋式</w:t>
      </w:r>
      <w:r>
        <w:t>除尘等。</w:t>
      </w:r>
    </w:p>
    <w:p w14:paraId="0110B7F0">
      <w:pPr>
        <w:ind w:firstLine="480"/>
      </w:pPr>
      <w:r>
        <w:rPr>
          <w:rFonts w:hint="eastAsia"/>
        </w:rPr>
        <w:t>1）</w:t>
      </w:r>
      <w:r>
        <w:t>湿法</w:t>
      </w:r>
      <w:r>
        <w:rPr>
          <w:rFonts w:hint="eastAsia"/>
        </w:rPr>
        <w:t>除尘</w:t>
      </w:r>
    </w:p>
    <w:p w14:paraId="24BF111F">
      <w:pPr>
        <w:ind w:firstLine="480"/>
        <w:rPr>
          <w:shd w:val="clear" w:color="auto" w:fill="FFFFFF"/>
        </w:rPr>
      </w:pPr>
      <w:r>
        <w:rPr>
          <w:rFonts w:hint="eastAsia"/>
          <w:shd w:val="clear" w:color="auto" w:fill="FFFFFF"/>
        </w:rPr>
        <w:t>湿法除尘废气与液体（一般为水）密切接触，将污染物从废气中分离出来。它既能净化废气中的固体颗粒污染物，也能脱除气态污染物，同时还能起到气体的降温作用。</w:t>
      </w:r>
    </w:p>
    <w:p w14:paraId="111C7C46">
      <w:pPr>
        <w:ind w:firstLine="480"/>
        <w:rPr>
          <w:shd w:val="clear" w:color="auto" w:fill="FFFFFF"/>
        </w:rPr>
      </w:pPr>
      <w:r>
        <w:rPr>
          <w:rFonts w:hint="eastAsia"/>
          <w:shd w:val="clear" w:color="auto" w:fill="FFFFFF"/>
        </w:rPr>
        <w:t>2）</w:t>
      </w:r>
      <w:r>
        <w:rPr>
          <w:shd w:val="clear" w:color="auto" w:fill="FFFFFF"/>
        </w:rPr>
        <w:t>旋风除尘</w:t>
      </w:r>
    </w:p>
    <w:p w14:paraId="18A575FD">
      <w:pPr>
        <w:ind w:firstLine="480"/>
      </w:pPr>
      <w:r>
        <w:rPr>
          <w:rFonts w:hint="eastAsia"/>
        </w:rPr>
        <w:t>旋风除尘器是利用旋转的含尘气流所产生的离心力，将颗粒污染物从气体中分离出来的过程。</w:t>
      </w:r>
    </w:p>
    <w:p w14:paraId="32F8FE0E">
      <w:pPr>
        <w:ind w:firstLine="480"/>
      </w:pPr>
      <w:r>
        <w:rPr>
          <w:rFonts w:hint="eastAsia"/>
        </w:rPr>
        <w:t>3）袋式</w:t>
      </w:r>
      <w:r>
        <w:t>除尘</w:t>
      </w:r>
    </w:p>
    <w:p w14:paraId="6BB7DC20">
      <w:pPr>
        <w:ind w:firstLine="480"/>
      </w:pPr>
      <w:r>
        <w:rPr>
          <w:rFonts w:hint="eastAsia"/>
        </w:rPr>
        <w:t>袋式除尘器是一种高效干式除尘器。它是依靠纤维滤料做成的滤袋，更主要的是通过滤袋表面上形成的粉尘层来净化气体的。几乎对于一般工业中的所有粉尘，其除尘效率均可能达到99%以上。</w:t>
      </w:r>
    </w:p>
    <w:p w14:paraId="6358D153">
      <w:pPr>
        <w:ind w:firstLine="480"/>
        <w:rPr>
          <w:rFonts w:cs="Times New Roman"/>
        </w:rPr>
      </w:pPr>
      <w:r>
        <w:rPr>
          <w:rFonts w:hint="eastAsia"/>
        </w:rPr>
        <w:t>本项目</w:t>
      </w:r>
      <w:r>
        <w:t>粉尘处理采用</w:t>
      </w:r>
      <w:r>
        <w:rPr>
          <w:rFonts w:asciiTheme="minorEastAsia" w:hAnsiTheme="minorEastAsia" w:eastAsiaTheme="minorEastAsia"/>
        </w:rPr>
        <w:t>“</w:t>
      </w:r>
      <w:r>
        <w:rPr>
          <w:rFonts w:hint="eastAsia" w:asciiTheme="minorEastAsia" w:hAnsiTheme="minorEastAsia" w:eastAsiaTheme="minorEastAsia"/>
        </w:rPr>
        <w:t>放空</w:t>
      </w:r>
      <w:r>
        <w:rPr>
          <w:rFonts w:asciiTheme="minorEastAsia" w:hAnsiTheme="minorEastAsia" w:eastAsiaTheme="minorEastAsia"/>
        </w:rPr>
        <w:t>过滤器+</w:t>
      </w:r>
      <w:r>
        <w:rPr>
          <w:rFonts w:hint="eastAsia" w:asciiTheme="minorEastAsia" w:hAnsiTheme="minorEastAsia" w:eastAsiaTheme="minorEastAsia"/>
        </w:rPr>
        <w:t>一级碱</w:t>
      </w:r>
      <w:r>
        <w:rPr>
          <w:rFonts w:asciiTheme="minorEastAsia" w:hAnsiTheme="minorEastAsia" w:eastAsiaTheme="minorEastAsia"/>
        </w:rPr>
        <w:t>洗”</w:t>
      </w:r>
      <w:r>
        <w:rPr>
          <w:rFonts w:hint="eastAsia" w:asciiTheme="minorEastAsia" w:hAnsiTheme="minorEastAsia" w:eastAsiaTheme="minorEastAsia"/>
        </w:rPr>
        <w:t>组合、</w:t>
      </w:r>
      <w:r>
        <w:rPr>
          <w:rFonts w:asciiTheme="minorEastAsia" w:hAnsiTheme="minorEastAsia" w:eastAsiaTheme="minorEastAsia"/>
        </w:rPr>
        <w:t>“</w:t>
      </w:r>
      <w:r>
        <w:rPr>
          <w:rFonts w:hint="eastAsia" w:asciiTheme="minorEastAsia" w:hAnsiTheme="minorEastAsia" w:eastAsiaTheme="minorEastAsia"/>
        </w:rPr>
        <w:t>布袋除尘</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水洗”</w:t>
      </w:r>
      <w:r>
        <w:rPr>
          <w:rFonts w:hint="eastAsia" w:asciiTheme="minorEastAsia" w:hAnsiTheme="minorEastAsia" w:eastAsiaTheme="minorEastAsia"/>
        </w:rPr>
        <w:t>组合和“布袋除尘”处理</w:t>
      </w:r>
      <w:r>
        <w:rPr>
          <w:rFonts w:asciiTheme="minorEastAsia" w:hAnsiTheme="minorEastAsia" w:eastAsiaTheme="minorEastAsia"/>
        </w:rPr>
        <w:t>工艺，</w:t>
      </w:r>
      <w:r>
        <w:rPr>
          <w:rFonts w:hint="eastAsia" w:asciiTheme="minorEastAsia" w:hAnsiTheme="minorEastAsia" w:eastAsiaTheme="minorEastAsia"/>
        </w:rPr>
        <w:t>对照</w:t>
      </w:r>
      <w:r>
        <w:rPr>
          <w:rFonts w:hint="eastAsia" w:ascii="宋体" w:hAnsi="宋体"/>
        </w:rPr>
        <w:t>《排污许可证申请与核发技术规范 无机</w:t>
      </w:r>
      <w:r>
        <w:rPr>
          <w:rFonts w:ascii="宋体" w:hAnsi="宋体"/>
        </w:rPr>
        <w:t>化学</w:t>
      </w:r>
      <w:r>
        <w:rPr>
          <w:rFonts w:hint="eastAsia" w:ascii="宋体" w:hAnsi="宋体"/>
        </w:rPr>
        <w:t>工业》</w:t>
      </w:r>
      <w:r>
        <w:rPr>
          <w:rFonts w:cs="Times New Roman"/>
        </w:rPr>
        <w:t>（HJ1035-2019）</w:t>
      </w:r>
      <w:r>
        <w:rPr>
          <w:rFonts w:hint="eastAsia" w:cs="Times New Roman"/>
        </w:rPr>
        <w:t>中中</w:t>
      </w:r>
      <w:r>
        <w:rPr>
          <w:rFonts w:cs="Times New Roman"/>
        </w:rPr>
        <w:t>附录A.1中</w:t>
      </w:r>
      <w:r>
        <w:rPr>
          <w:rFonts w:hint="eastAsia" w:cs="Times New Roman"/>
        </w:rPr>
        <w:t>废气治理</w:t>
      </w:r>
      <w:r>
        <w:rPr>
          <w:rFonts w:cs="Times New Roman"/>
        </w:rPr>
        <w:t>可行技术</w:t>
      </w:r>
      <w:r>
        <w:rPr>
          <w:rFonts w:hint="eastAsia" w:cs="Times New Roman"/>
        </w:rPr>
        <w:t>表</w:t>
      </w:r>
      <w:r>
        <w:rPr>
          <w:rFonts w:cs="Times New Roman"/>
        </w:rPr>
        <w:t>，</w:t>
      </w:r>
      <w:r>
        <w:rPr>
          <w:rFonts w:hint="eastAsia" w:cs="Times New Roman"/>
        </w:rPr>
        <w:t>本项目粉尘</w:t>
      </w:r>
      <w:r>
        <w:rPr>
          <w:rFonts w:cs="Times New Roman"/>
        </w:rPr>
        <w:t>治理技术</w:t>
      </w:r>
      <w:r>
        <w:rPr>
          <w:rFonts w:hint="eastAsia" w:cs="Times New Roman"/>
        </w:rPr>
        <w:t>属于</w:t>
      </w:r>
      <w:r>
        <w:rPr>
          <w:rFonts w:cs="Times New Roman"/>
        </w:rPr>
        <w:t>可行技术</w:t>
      </w:r>
      <w:r>
        <w:rPr>
          <w:rFonts w:hint="eastAsia" w:cs="Times New Roman"/>
        </w:rPr>
        <w:t>。</w:t>
      </w:r>
    </w:p>
    <w:p w14:paraId="6EEA30A6">
      <w:pPr>
        <w:ind w:firstLine="480"/>
        <w:rPr>
          <w:szCs w:val="24"/>
        </w:rPr>
      </w:pPr>
      <w:r>
        <w:rPr>
          <w:rFonts w:hint="eastAsia" w:cs="Times New Roman"/>
        </w:rPr>
        <w:t>类比同类项目</w:t>
      </w:r>
      <w:r>
        <w:rPr>
          <w:rFonts w:cs="Times New Roman"/>
        </w:rPr>
        <w:t>，</w:t>
      </w:r>
      <w:r>
        <w:rPr>
          <w:rFonts w:hint="eastAsia" w:cs="Times New Roman"/>
        </w:rPr>
        <w:t>粉尘经</w:t>
      </w:r>
      <w:r>
        <w:rPr>
          <w:rFonts w:asciiTheme="minorEastAsia" w:hAnsiTheme="minorEastAsia" w:eastAsiaTheme="minorEastAsia"/>
        </w:rPr>
        <w:t>“</w:t>
      </w:r>
      <w:r>
        <w:rPr>
          <w:rFonts w:hint="eastAsia" w:asciiTheme="minorEastAsia" w:hAnsiTheme="minorEastAsia" w:eastAsiaTheme="minorEastAsia"/>
        </w:rPr>
        <w:t>放空</w:t>
      </w:r>
      <w:r>
        <w:rPr>
          <w:rFonts w:asciiTheme="minorEastAsia" w:hAnsiTheme="minorEastAsia" w:eastAsiaTheme="minorEastAsia"/>
        </w:rPr>
        <w:t>过滤器+</w:t>
      </w:r>
      <w:r>
        <w:rPr>
          <w:rFonts w:hint="eastAsia" w:asciiTheme="minorEastAsia" w:hAnsiTheme="minorEastAsia" w:eastAsiaTheme="minorEastAsia"/>
        </w:rPr>
        <w:t>一级碱</w:t>
      </w:r>
      <w:r>
        <w:rPr>
          <w:rFonts w:asciiTheme="minorEastAsia" w:hAnsiTheme="minorEastAsia" w:eastAsiaTheme="minorEastAsia"/>
        </w:rPr>
        <w:t>洗”</w:t>
      </w:r>
      <w:r>
        <w:rPr>
          <w:rFonts w:hint="eastAsia" w:asciiTheme="minorEastAsia" w:hAnsiTheme="minorEastAsia" w:eastAsiaTheme="minorEastAsia"/>
        </w:rPr>
        <w:t>组合、</w:t>
      </w:r>
      <w:r>
        <w:rPr>
          <w:rFonts w:asciiTheme="minorEastAsia" w:hAnsiTheme="minorEastAsia" w:eastAsiaTheme="minorEastAsia"/>
        </w:rPr>
        <w:t>“</w:t>
      </w:r>
      <w:r>
        <w:rPr>
          <w:rFonts w:hint="eastAsia" w:asciiTheme="minorEastAsia" w:hAnsiTheme="minorEastAsia" w:eastAsiaTheme="minorEastAsia"/>
        </w:rPr>
        <w:t>布袋除尘</w:t>
      </w:r>
      <w:r>
        <w:rPr>
          <w:rFonts w:asciiTheme="minorEastAsia" w:hAnsiTheme="minorEastAsia" w:eastAsiaTheme="minorEastAsia"/>
        </w:rPr>
        <w:t>+</w:t>
      </w:r>
      <w:r>
        <w:rPr>
          <w:rFonts w:hint="eastAsia" w:asciiTheme="minorEastAsia" w:hAnsiTheme="minorEastAsia" w:eastAsiaTheme="minorEastAsia"/>
        </w:rPr>
        <w:t>一级</w:t>
      </w:r>
      <w:r>
        <w:rPr>
          <w:rFonts w:asciiTheme="minorEastAsia" w:hAnsiTheme="minorEastAsia" w:eastAsiaTheme="minorEastAsia"/>
        </w:rPr>
        <w:t>水洗”</w:t>
      </w:r>
      <w:r>
        <w:rPr>
          <w:rFonts w:hint="eastAsia" w:asciiTheme="minorEastAsia" w:hAnsiTheme="minorEastAsia" w:eastAsiaTheme="minorEastAsia"/>
        </w:rPr>
        <w:t>组合和“布袋除尘”处理</w:t>
      </w:r>
      <w:r>
        <w:rPr>
          <w:rFonts w:asciiTheme="minorEastAsia" w:hAnsiTheme="minorEastAsia" w:eastAsiaTheme="minorEastAsia"/>
        </w:rPr>
        <w:t>，</w:t>
      </w:r>
      <w:r>
        <w:rPr>
          <w:rFonts w:hint="eastAsia" w:asciiTheme="minorEastAsia" w:hAnsiTheme="minorEastAsia" w:eastAsiaTheme="minorEastAsia"/>
        </w:rPr>
        <w:t>粉尘的</w:t>
      </w:r>
      <w:r>
        <w:rPr>
          <w:rFonts w:asciiTheme="minorEastAsia" w:hAnsiTheme="minorEastAsia" w:eastAsiaTheme="minorEastAsia"/>
        </w:rPr>
        <w:t>去</w:t>
      </w:r>
      <w:r>
        <w:rPr>
          <w:rFonts w:cs="Times New Roman"/>
        </w:rPr>
        <w:t>除效率可达</w:t>
      </w:r>
      <w:r>
        <w:rPr>
          <w:rFonts w:hint="eastAsia" w:cs="Times New Roman"/>
        </w:rPr>
        <w:t>99</w:t>
      </w:r>
      <w:r>
        <w:rPr>
          <w:rFonts w:cs="Times New Roman"/>
        </w:rPr>
        <w:t>%，</w:t>
      </w:r>
      <w:r>
        <w:rPr>
          <w:rFonts w:hint="eastAsia"/>
        </w:rPr>
        <w:t>粉尘排放速率、排放浓度均可以满足</w:t>
      </w:r>
      <w:r>
        <w:rPr>
          <w:rFonts w:hint="eastAsia" w:ascii="宋体" w:hAnsi="宋体"/>
        </w:rPr>
        <w:t>《无机化学</w:t>
      </w:r>
      <w:r>
        <w:rPr>
          <w:rFonts w:ascii="宋体" w:hAnsi="宋体"/>
        </w:rPr>
        <w:t>工业</w:t>
      </w:r>
      <w:r>
        <w:rPr>
          <w:rFonts w:hint="eastAsia" w:ascii="宋体" w:hAnsi="宋体"/>
        </w:rPr>
        <w:t>污染物</w:t>
      </w:r>
      <w:r>
        <w:rPr>
          <w:rFonts w:ascii="宋体" w:hAnsi="宋体"/>
        </w:rPr>
        <w:t>排放</w:t>
      </w:r>
      <w:r>
        <w:rPr>
          <w:rFonts w:hint="eastAsia" w:ascii="宋体" w:hAnsi="宋体"/>
        </w:rPr>
        <w:t>标准》（</w:t>
      </w:r>
      <w:r>
        <w:rPr>
          <w:rFonts w:hint="eastAsia"/>
        </w:rPr>
        <w:t>G</w:t>
      </w:r>
      <w:r>
        <w:t>B31573-2015</w:t>
      </w:r>
      <w:r>
        <w:rPr>
          <w:rFonts w:hint="eastAsia" w:ascii="宋体" w:hAnsi="宋体"/>
        </w:rPr>
        <w:t>）中</w:t>
      </w:r>
      <w:r>
        <w:rPr>
          <w:rFonts w:hint="eastAsia" w:cs="Times New Roman"/>
          <w:szCs w:val="20"/>
        </w:rPr>
        <w:t>表</w:t>
      </w:r>
      <w:r>
        <w:rPr>
          <w:rFonts w:cs="Times New Roman"/>
          <w:szCs w:val="20"/>
        </w:rPr>
        <w:t>4</w:t>
      </w:r>
      <w:r>
        <w:rPr>
          <w:rFonts w:hint="eastAsia" w:cs="Times New Roman"/>
          <w:szCs w:val="20"/>
        </w:rPr>
        <w:t>中大气污染物</w:t>
      </w:r>
      <w:r>
        <w:rPr>
          <w:rFonts w:cs="Times New Roman"/>
          <w:szCs w:val="20"/>
        </w:rPr>
        <w:t>特别</w:t>
      </w:r>
      <w:r>
        <w:rPr>
          <w:rFonts w:hint="eastAsia" w:cs="Times New Roman"/>
          <w:szCs w:val="20"/>
        </w:rPr>
        <w:t>排放限值</w:t>
      </w:r>
      <w:r>
        <w:rPr>
          <w:rFonts w:hint="eastAsia"/>
          <w:szCs w:val="24"/>
        </w:rPr>
        <w:t>。</w:t>
      </w:r>
    </w:p>
    <w:p w14:paraId="4225587B">
      <w:pPr>
        <w:pStyle w:val="349"/>
      </w:pPr>
      <w:r>
        <w:rPr>
          <w:rFonts w:hint="eastAsia"/>
        </w:rPr>
        <w:t>6.1.1.3风量</w:t>
      </w:r>
      <w:r>
        <w:t>计算</w:t>
      </w:r>
    </w:p>
    <w:p w14:paraId="1CEDE6B4">
      <w:pPr>
        <w:ind w:firstLine="480"/>
      </w:pPr>
      <w:r>
        <w:rPr>
          <w:rFonts w:hint="eastAsia"/>
        </w:rPr>
        <w:t>（1）合成釜引气</w:t>
      </w:r>
      <w:r>
        <w:t>量核算</w:t>
      </w:r>
    </w:p>
    <w:p w14:paraId="63A37BF7">
      <w:pPr>
        <w:ind w:firstLine="480"/>
      </w:pPr>
      <w:r>
        <w:rPr>
          <w:rFonts w:hint="eastAsia"/>
        </w:rPr>
        <w:t>以合成釜</w:t>
      </w:r>
      <w:r>
        <w:t>大小及排放时间进行核算，车间内合成釜</w:t>
      </w:r>
      <w:r>
        <w:rPr>
          <w:rFonts w:hint="eastAsia"/>
        </w:rPr>
        <w:t>和硅粉罐</w:t>
      </w:r>
      <w:r>
        <w:t>等均设有泄压阀</w:t>
      </w:r>
      <w:r>
        <w:rPr>
          <w:rFonts w:hint="eastAsia"/>
        </w:rPr>
        <w:t>，</w:t>
      </w:r>
      <w:r>
        <w:t>废气通过泄压阀接管汇入废气总管道。</w:t>
      </w:r>
    </w:p>
    <w:p w14:paraId="4CF1EFBE">
      <w:pPr>
        <w:ind w:firstLine="0" w:firstLineChars="0"/>
        <w:jc w:val="center"/>
      </w:pPr>
      <w:r>
        <w:rPr>
          <w:rFonts w:hint="eastAsia"/>
        </w:rPr>
        <w:t>计算</w:t>
      </w:r>
      <w:r>
        <w:t>公式：Q=V/T</w:t>
      </w:r>
    </w:p>
    <w:p w14:paraId="1152243F">
      <w:pPr>
        <w:ind w:firstLine="0" w:firstLineChars="0"/>
        <w:jc w:val="center"/>
      </w:pPr>
      <w:r>
        <w:t>Q—</w:t>
      </w:r>
      <w:r>
        <w:rPr>
          <w:rFonts w:hint="eastAsia"/>
        </w:rPr>
        <w:t>引气量m</w:t>
      </w:r>
      <w:r>
        <w:rPr>
          <w:vertAlign w:val="superscript"/>
        </w:rPr>
        <w:t>3</w:t>
      </w:r>
      <w:r>
        <w:rPr>
          <w:rFonts w:hint="eastAsia"/>
        </w:rPr>
        <w:t>/h</w:t>
      </w:r>
    </w:p>
    <w:p w14:paraId="35419F28">
      <w:pPr>
        <w:ind w:firstLine="0" w:firstLineChars="0"/>
        <w:jc w:val="center"/>
      </w:pPr>
      <w:r>
        <w:t>V—</w:t>
      </w:r>
      <w:r>
        <w:rPr>
          <w:rFonts w:hint="eastAsia"/>
        </w:rPr>
        <w:t>合成釜</w:t>
      </w:r>
      <w:r>
        <w:t>体积m</w:t>
      </w:r>
      <w:r>
        <w:rPr>
          <w:vertAlign w:val="superscript"/>
        </w:rPr>
        <w:t>3</w:t>
      </w:r>
    </w:p>
    <w:p w14:paraId="54FC8478">
      <w:pPr>
        <w:ind w:firstLine="0" w:firstLineChars="0"/>
        <w:jc w:val="center"/>
      </w:pPr>
      <w:r>
        <w:t>T—</w:t>
      </w:r>
      <w:r>
        <w:rPr>
          <w:rFonts w:hint="eastAsia"/>
        </w:rPr>
        <w:t>排放</w:t>
      </w:r>
      <w:r>
        <w:t>时间h，根据</w:t>
      </w:r>
      <w:r>
        <w:rPr>
          <w:rFonts w:hint="eastAsia"/>
        </w:rPr>
        <w:t>反应</w:t>
      </w:r>
      <w:r>
        <w:t>条件计算</w:t>
      </w:r>
    </w:p>
    <w:p w14:paraId="2A8B2A57">
      <w:pPr>
        <w:ind w:firstLine="480"/>
      </w:pPr>
      <w:r>
        <w:rPr>
          <w:rFonts w:hint="eastAsia"/>
        </w:rPr>
        <w:t>（2）物料</w:t>
      </w:r>
      <w:r>
        <w:t>传输废气引气量核算</w:t>
      </w:r>
    </w:p>
    <w:p w14:paraId="39D89073">
      <w:pPr>
        <w:ind w:firstLine="480"/>
      </w:pPr>
      <w:r>
        <w:rPr>
          <w:rFonts w:hint="eastAsia"/>
        </w:rPr>
        <w:t>项目</w:t>
      </w:r>
      <w:r>
        <w:t>再生产过程中针对合成</w:t>
      </w:r>
      <w:r>
        <w:rPr>
          <w:rFonts w:hint="eastAsia"/>
        </w:rPr>
        <w:t>废气，</w:t>
      </w:r>
      <w:r>
        <w:t>采用两级冷凝进行物料回收，</w:t>
      </w:r>
      <w:r>
        <w:rPr>
          <w:rFonts w:hint="eastAsia"/>
        </w:rPr>
        <w:t>不凝气</w:t>
      </w:r>
      <w:r>
        <w:t>通过真空泵</w:t>
      </w:r>
      <w:r>
        <w:rPr>
          <w:rFonts w:hint="eastAsia"/>
        </w:rPr>
        <w:t>排出</w:t>
      </w:r>
      <w:r>
        <w:t>，引气量核算</w:t>
      </w:r>
      <w:r>
        <w:rPr>
          <w:rFonts w:hint="eastAsia"/>
        </w:rPr>
        <w:t>以</w:t>
      </w:r>
      <w:r>
        <w:t>真</w:t>
      </w:r>
      <w:r>
        <w:rPr>
          <w:rFonts w:hint="eastAsia"/>
        </w:rPr>
        <w:t>空泵</w:t>
      </w:r>
      <w:r>
        <w:t>的尺寸及反应时间进行计算。</w:t>
      </w:r>
    </w:p>
    <w:p w14:paraId="600F3858">
      <w:pPr>
        <w:ind w:firstLine="0" w:firstLineChars="0"/>
        <w:jc w:val="center"/>
        <w:rPr>
          <w:vertAlign w:val="subscript"/>
        </w:rPr>
      </w:pPr>
      <w:r>
        <w:rPr>
          <w:rFonts w:hint="eastAsia"/>
        </w:rPr>
        <w:t>计算公式</w:t>
      </w:r>
      <w:r>
        <w:t>：Q=∑Q</w:t>
      </w:r>
      <w:r>
        <w:rPr>
          <w:rFonts w:hint="eastAsia"/>
          <w:vertAlign w:val="subscript"/>
        </w:rPr>
        <w:t>泵</w:t>
      </w:r>
    </w:p>
    <w:p w14:paraId="4E4FC5AC">
      <w:pPr>
        <w:ind w:firstLine="0" w:firstLineChars="0"/>
        <w:jc w:val="center"/>
      </w:pPr>
      <w:r>
        <w:t>Q—</w:t>
      </w:r>
      <w:r>
        <w:rPr>
          <w:rFonts w:hint="eastAsia"/>
        </w:rPr>
        <w:t>引气量m</w:t>
      </w:r>
      <w:r>
        <w:rPr>
          <w:vertAlign w:val="superscript"/>
        </w:rPr>
        <w:t>3</w:t>
      </w:r>
      <w:r>
        <w:rPr>
          <w:rFonts w:hint="eastAsia"/>
        </w:rPr>
        <w:t>/h</w:t>
      </w:r>
    </w:p>
    <w:p w14:paraId="1766F1B0">
      <w:pPr>
        <w:ind w:firstLine="0" w:firstLineChars="0"/>
        <w:jc w:val="center"/>
      </w:pPr>
      <w:r>
        <w:t>Q</w:t>
      </w:r>
      <w:r>
        <w:rPr>
          <w:rFonts w:hint="eastAsia"/>
          <w:vertAlign w:val="subscript"/>
        </w:rPr>
        <w:t>泵</w:t>
      </w:r>
      <w:r>
        <w:t>—</w:t>
      </w:r>
      <w:r>
        <w:rPr>
          <w:rFonts w:hint="eastAsia"/>
        </w:rPr>
        <w:t>各类</w:t>
      </w:r>
      <w:r>
        <w:t>泵运输量</w:t>
      </w:r>
      <w:r>
        <w:rPr>
          <w:rFonts w:hint="eastAsia"/>
        </w:rPr>
        <w:t>m</w:t>
      </w:r>
      <w:r>
        <w:rPr>
          <w:vertAlign w:val="superscript"/>
        </w:rPr>
        <w:t>3</w:t>
      </w:r>
      <w:r>
        <w:rPr>
          <w:rFonts w:hint="eastAsia"/>
        </w:rPr>
        <w:t>/h</w:t>
      </w:r>
    </w:p>
    <w:p w14:paraId="23E0A4E9">
      <w:pPr>
        <w:pStyle w:val="278"/>
      </w:pPr>
      <w:r>
        <w:rPr>
          <w:rFonts w:hint="eastAsia"/>
        </w:rPr>
        <w:t>表6.1.1-3 合成</w:t>
      </w:r>
      <w:r>
        <w:t>釜进气废气核算</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1845"/>
        <w:gridCol w:w="1845"/>
        <w:gridCol w:w="1854"/>
        <w:gridCol w:w="1854"/>
      </w:tblGrid>
      <w:tr w14:paraId="3AA0FF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5167E34D">
            <w:pPr>
              <w:pStyle w:val="445"/>
              <w:rPr>
                <w:rFonts w:cs="Times New Roman"/>
                <w:kern w:val="0"/>
                <w:szCs w:val="20"/>
              </w:rPr>
            </w:pPr>
            <w:r>
              <w:rPr>
                <w:rFonts w:hint="eastAsia" w:cs="Times New Roman"/>
                <w:kern w:val="0"/>
                <w:szCs w:val="20"/>
              </w:rPr>
              <w:t>序号</w:t>
            </w:r>
          </w:p>
        </w:tc>
        <w:tc>
          <w:tcPr>
            <w:tcW w:w="1872" w:type="dxa"/>
          </w:tcPr>
          <w:p w14:paraId="1987D1AC">
            <w:pPr>
              <w:pStyle w:val="445"/>
              <w:rPr>
                <w:rFonts w:cs="Times New Roman"/>
                <w:kern w:val="0"/>
                <w:szCs w:val="20"/>
              </w:rPr>
            </w:pPr>
            <w:r>
              <w:rPr>
                <w:rFonts w:hint="eastAsia" w:cs="Times New Roman"/>
                <w:kern w:val="0"/>
                <w:szCs w:val="20"/>
              </w:rPr>
              <w:t>项目</w:t>
            </w:r>
          </w:p>
        </w:tc>
        <w:tc>
          <w:tcPr>
            <w:tcW w:w="1872" w:type="dxa"/>
          </w:tcPr>
          <w:p w14:paraId="0A837F04">
            <w:pPr>
              <w:pStyle w:val="445"/>
              <w:rPr>
                <w:rFonts w:cs="Times New Roman"/>
                <w:kern w:val="0"/>
                <w:szCs w:val="20"/>
              </w:rPr>
            </w:pPr>
            <w:r>
              <w:rPr>
                <w:rFonts w:hint="eastAsia" w:cs="Times New Roman"/>
                <w:kern w:val="0"/>
                <w:szCs w:val="20"/>
              </w:rPr>
              <w:t>数量</w:t>
            </w:r>
          </w:p>
        </w:tc>
        <w:tc>
          <w:tcPr>
            <w:tcW w:w="1872" w:type="dxa"/>
          </w:tcPr>
          <w:p w14:paraId="71AC7386">
            <w:pPr>
              <w:pStyle w:val="445"/>
              <w:rPr>
                <w:rFonts w:cs="Times New Roman"/>
                <w:kern w:val="0"/>
                <w:szCs w:val="20"/>
              </w:rPr>
            </w:pPr>
            <w:r>
              <w:rPr>
                <w:rFonts w:hint="eastAsia" w:cs="Times New Roman"/>
                <w:kern w:val="0"/>
                <w:szCs w:val="20"/>
              </w:rPr>
              <w:t>排放</w:t>
            </w:r>
            <w:r>
              <w:rPr>
                <w:rFonts w:cs="Times New Roman"/>
                <w:kern w:val="0"/>
                <w:szCs w:val="20"/>
              </w:rPr>
              <w:t>速率</w:t>
            </w:r>
            <w:r>
              <w:rPr>
                <w:rFonts w:hint="eastAsia" w:cs="Times New Roman"/>
                <w:kern w:val="0"/>
                <w:szCs w:val="20"/>
              </w:rPr>
              <w:t>（m</w:t>
            </w:r>
            <w:r>
              <w:rPr>
                <w:rFonts w:cs="Times New Roman"/>
                <w:kern w:val="0"/>
                <w:szCs w:val="20"/>
                <w:vertAlign w:val="superscript"/>
              </w:rPr>
              <w:t>3</w:t>
            </w:r>
            <w:r>
              <w:rPr>
                <w:rFonts w:hint="eastAsia" w:cs="Times New Roman"/>
                <w:kern w:val="0"/>
                <w:szCs w:val="20"/>
              </w:rPr>
              <w:t>/h）</w:t>
            </w:r>
          </w:p>
        </w:tc>
        <w:tc>
          <w:tcPr>
            <w:tcW w:w="1872" w:type="dxa"/>
          </w:tcPr>
          <w:p w14:paraId="7FD8C8EC">
            <w:pPr>
              <w:pStyle w:val="445"/>
              <w:rPr>
                <w:rFonts w:cs="Times New Roman"/>
                <w:kern w:val="0"/>
                <w:szCs w:val="20"/>
              </w:rPr>
            </w:pPr>
            <w:r>
              <w:rPr>
                <w:rFonts w:hint="eastAsia" w:cs="Times New Roman"/>
                <w:kern w:val="0"/>
                <w:szCs w:val="20"/>
              </w:rPr>
              <w:t>风量（m</w:t>
            </w:r>
            <w:r>
              <w:rPr>
                <w:rFonts w:cs="Times New Roman"/>
                <w:kern w:val="0"/>
                <w:szCs w:val="20"/>
                <w:vertAlign w:val="superscript"/>
              </w:rPr>
              <w:t>3</w:t>
            </w:r>
            <w:r>
              <w:rPr>
                <w:rFonts w:hint="eastAsia" w:cs="Times New Roman"/>
                <w:kern w:val="0"/>
                <w:szCs w:val="20"/>
              </w:rPr>
              <w:t>/h）</w:t>
            </w:r>
          </w:p>
        </w:tc>
      </w:tr>
      <w:tr w14:paraId="75A6D2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4D7C24CC">
            <w:pPr>
              <w:pStyle w:val="445"/>
              <w:rPr>
                <w:rFonts w:cs="Times New Roman"/>
                <w:kern w:val="0"/>
                <w:szCs w:val="20"/>
              </w:rPr>
            </w:pPr>
            <w:r>
              <w:rPr>
                <w:rFonts w:hint="eastAsia" w:cs="Times New Roman"/>
                <w:kern w:val="0"/>
                <w:szCs w:val="20"/>
              </w:rPr>
              <w:t>1</w:t>
            </w:r>
          </w:p>
        </w:tc>
        <w:tc>
          <w:tcPr>
            <w:tcW w:w="1872" w:type="dxa"/>
          </w:tcPr>
          <w:p w14:paraId="2E9C875E">
            <w:pPr>
              <w:pStyle w:val="445"/>
              <w:rPr>
                <w:rFonts w:cs="Times New Roman"/>
                <w:kern w:val="0"/>
                <w:szCs w:val="20"/>
              </w:rPr>
            </w:pPr>
            <w:r>
              <w:rPr>
                <w:rFonts w:hint="eastAsia" w:cs="Times New Roman"/>
                <w:kern w:val="0"/>
                <w:szCs w:val="20"/>
              </w:rPr>
              <w:t>真空机</w:t>
            </w:r>
          </w:p>
        </w:tc>
        <w:tc>
          <w:tcPr>
            <w:tcW w:w="1872" w:type="dxa"/>
          </w:tcPr>
          <w:p w14:paraId="4601F225">
            <w:pPr>
              <w:pStyle w:val="445"/>
              <w:rPr>
                <w:rFonts w:cs="Times New Roman"/>
                <w:kern w:val="0"/>
                <w:szCs w:val="20"/>
              </w:rPr>
            </w:pPr>
            <w:r>
              <w:rPr>
                <w:rFonts w:hint="eastAsia" w:cs="Times New Roman"/>
                <w:kern w:val="0"/>
                <w:szCs w:val="20"/>
              </w:rPr>
              <w:t>2</w:t>
            </w:r>
          </w:p>
        </w:tc>
        <w:tc>
          <w:tcPr>
            <w:tcW w:w="1872" w:type="dxa"/>
          </w:tcPr>
          <w:p w14:paraId="53B35CD7">
            <w:pPr>
              <w:pStyle w:val="445"/>
              <w:rPr>
                <w:rFonts w:cs="Times New Roman"/>
                <w:kern w:val="0"/>
                <w:szCs w:val="20"/>
              </w:rPr>
            </w:pPr>
            <w:r>
              <w:rPr>
                <w:rFonts w:hint="eastAsia" w:cs="Times New Roman"/>
                <w:kern w:val="0"/>
                <w:szCs w:val="20"/>
              </w:rPr>
              <w:t>320</w:t>
            </w:r>
          </w:p>
        </w:tc>
        <w:tc>
          <w:tcPr>
            <w:tcW w:w="1872" w:type="dxa"/>
          </w:tcPr>
          <w:p w14:paraId="22FD976C">
            <w:pPr>
              <w:pStyle w:val="445"/>
              <w:rPr>
                <w:rFonts w:cs="Times New Roman"/>
                <w:kern w:val="0"/>
                <w:szCs w:val="20"/>
              </w:rPr>
            </w:pPr>
            <w:r>
              <w:rPr>
                <w:rFonts w:cs="Times New Roman"/>
                <w:kern w:val="0"/>
                <w:szCs w:val="20"/>
              </w:rPr>
              <w:t>640</w:t>
            </w:r>
          </w:p>
        </w:tc>
      </w:tr>
      <w:tr w14:paraId="650BB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1BEABCB6">
            <w:pPr>
              <w:pStyle w:val="445"/>
              <w:rPr>
                <w:rFonts w:cs="Times New Roman"/>
                <w:kern w:val="0"/>
                <w:szCs w:val="20"/>
              </w:rPr>
            </w:pPr>
            <w:r>
              <w:rPr>
                <w:rFonts w:hint="eastAsia" w:cs="Times New Roman"/>
                <w:kern w:val="0"/>
                <w:szCs w:val="20"/>
              </w:rPr>
              <w:t>2</w:t>
            </w:r>
          </w:p>
        </w:tc>
        <w:tc>
          <w:tcPr>
            <w:tcW w:w="1872" w:type="dxa"/>
          </w:tcPr>
          <w:p w14:paraId="17564658">
            <w:pPr>
              <w:pStyle w:val="445"/>
              <w:rPr>
                <w:rFonts w:cs="Times New Roman"/>
                <w:kern w:val="0"/>
                <w:szCs w:val="20"/>
              </w:rPr>
            </w:pPr>
            <w:r>
              <w:rPr>
                <w:rFonts w:hint="eastAsia" w:cs="Times New Roman"/>
                <w:kern w:val="0"/>
                <w:szCs w:val="20"/>
              </w:rPr>
              <w:t>两级冷凝器</w:t>
            </w:r>
          </w:p>
        </w:tc>
        <w:tc>
          <w:tcPr>
            <w:tcW w:w="1872" w:type="dxa"/>
          </w:tcPr>
          <w:p w14:paraId="63D56898">
            <w:pPr>
              <w:pStyle w:val="445"/>
              <w:rPr>
                <w:rFonts w:cs="Times New Roman"/>
                <w:kern w:val="0"/>
                <w:szCs w:val="20"/>
              </w:rPr>
            </w:pPr>
            <w:r>
              <w:rPr>
                <w:rFonts w:hint="eastAsia" w:cs="Times New Roman"/>
                <w:kern w:val="0"/>
                <w:szCs w:val="20"/>
              </w:rPr>
              <w:t>1</w:t>
            </w:r>
          </w:p>
        </w:tc>
        <w:tc>
          <w:tcPr>
            <w:tcW w:w="1872" w:type="dxa"/>
          </w:tcPr>
          <w:p w14:paraId="0D1A8C21">
            <w:pPr>
              <w:pStyle w:val="445"/>
              <w:rPr>
                <w:rFonts w:cs="Times New Roman"/>
                <w:kern w:val="0"/>
                <w:szCs w:val="20"/>
              </w:rPr>
            </w:pPr>
            <w:r>
              <w:rPr>
                <w:rFonts w:hint="eastAsia" w:cs="Times New Roman"/>
                <w:kern w:val="0"/>
                <w:szCs w:val="20"/>
              </w:rPr>
              <w:t>540</w:t>
            </w:r>
          </w:p>
        </w:tc>
        <w:tc>
          <w:tcPr>
            <w:tcW w:w="1872" w:type="dxa"/>
          </w:tcPr>
          <w:p w14:paraId="4E7E7999">
            <w:pPr>
              <w:pStyle w:val="445"/>
              <w:rPr>
                <w:rFonts w:cs="Times New Roman"/>
                <w:kern w:val="0"/>
                <w:szCs w:val="20"/>
              </w:rPr>
            </w:pPr>
            <w:r>
              <w:rPr>
                <w:rFonts w:hint="eastAsia" w:cs="Times New Roman"/>
                <w:kern w:val="0"/>
                <w:szCs w:val="20"/>
              </w:rPr>
              <w:t>540</w:t>
            </w:r>
          </w:p>
        </w:tc>
      </w:tr>
      <w:tr w14:paraId="555978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0CA49FCB">
            <w:pPr>
              <w:pStyle w:val="445"/>
              <w:rPr>
                <w:rFonts w:cs="Times New Roman"/>
                <w:kern w:val="0"/>
                <w:szCs w:val="20"/>
              </w:rPr>
            </w:pPr>
            <w:r>
              <w:rPr>
                <w:rFonts w:hint="eastAsia" w:cs="Times New Roman"/>
                <w:kern w:val="0"/>
                <w:szCs w:val="20"/>
              </w:rPr>
              <w:t>3</w:t>
            </w:r>
          </w:p>
        </w:tc>
        <w:tc>
          <w:tcPr>
            <w:tcW w:w="1872" w:type="dxa"/>
          </w:tcPr>
          <w:p w14:paraId="2292D5A3">
            <w:pPr>
              <w:pStyle w:val="445"/>
              <w:rPr>
                <w:rFonts w:cs="Times New Roman"/>
                <w:kern w:val="0"/>
                <w:szCs w:val="20"/>
              </w:rPr>
            </w:pPr>
            <w:r>
              <w:rPr>
                <w:rFonts w:hint="eastAsia" w:cs="Times New Roman"/>
                <w:kern w:val="0"/>
                <w:szCs w:val="20"/>
              </w:rPr>
              <w:t>合成釜</w:t>
            </w:r>
            <w:r>
              <w:rPr>
                <w:rFonts w:cs="Times New Roman"/>
                <w:kern w:val="0"/>
                <w:szCs w:val="20"/>
              </w:rPr>
              <w:t>放空阀</w:t>
            </w:r>
          </w:p>
        </w:tc>
        <w:tc>
          <w:tcPr>
            <w:tcW w:w="1872" w:type="dxa"/>
          </w:tcPr>
          <w:p w14:paraId="761A8C1A">
            <w:pPr>
              <w:pStyle w:val="445"/>
              <w:rPr>
                <w:rFonts w:cs="Times New Roman"/>
                <w:kern w:val="0"/>
                <w:szCs w:val="20"/>
              </w:rPr>
            </w:pPr>
            <w:r>
              <w:rPr>
                <w:rFonts w:hint="eastAsia" w:cs="Times New Roman"/>
                <w:kern w:val="0"/>
                <w:szCs w:val="20"/>
              </w:rPr>
              <w:t>2</w:t>
            </w:r>
          </w:p>
        </w:tc>
        <w:tc>
          <w:tcPr>
            <w:tcW w:w="1872" w:type="dxa"/>
          </w:tcPr>
          <w:p w14:paraId="737DC2FE">
            <w:pPr>
              <w:pStyle w:val="445"/>
              <w:rPr>
                <w:rFonts w:cs="Times New Roman"/>
                <w:kern w:val="0"/>
                <w:szCs w:val="20"/>
              </w:rPr>
            </w:pPr>
            <w:r>
              <w:rPr>
                <w:rFonts w:cs="Times New Roman"/>
                <w:kern w:val="0"/>
                <w:szCs w:val="20"/>
              </w:rPr>
              <w:t>4</w:t>
            </w:r>
            <w:r>
              <w:rPr>
                <w:rFonts w:hint="eastAsia" w:cs="Times New Roman"/>
                <w:kern w:val="0"/>
                <w:szCs w:val="20"/>
              </w:rPr>
              <w:t>00</w:t>
            </w:r>
          </w:p>
        </w:tc>
        <w:tc>
          <w:tcPr>
            <w:tcW w:w="1872" w:type="dxa"/>
          </w:tcPr>
          <w:p w14:paraId="3AAE8CB9">
            <w:pPr>
              <w:pStyle w:val="445"/>
              <w:rPr>
                <w:rFonts w:cs="Times New Roman"/>
                <w:kern w:val="0"/>
                <w:szCs w:val="20"/>
              </w:rPr>
            </w:pPr>
            <w:r>
              <w:rPr>
                <w:rFonts w:cs="Times New Roman"/>
                <w:kern w:val="0"/>
                <w:szCs w:val="20"/>
              </w:rPr>
              <w:t>800</w:t>
            </w:r>
          </w:p>
        </w:tc>
      </w:tr>
      <w:tr w14:paraId="14E83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6464A140">
            <w:pPr>
              <w:pStyle w:val="445"/>
              <w:rPr>
                <w:rFonts w:cs="Times New Roman"/>
                <w:kern w:val="0"/>
                <w:szCs w:val="20"/>
              </w:rPr>
            </w:pPr>
            <w:r>
              <w:rPr>
                <w:rFonts w:hint="eastAsia" w:cs="Times New Roman"/>
                <w:kern w:val="0"/>
                <w:szCs w:val="20"/>
              </w:rPr>
              <w:t>4</w:t>
            </w:r>
          </w:p>
        </w:tc>
        <w:tc>
          <w:tcPr>
            <w:tcW w:w="5616" w:type="dxa"/>
            <w:gridSpan w:val="3"/>
          </w:tcPr>
          <w:p w14:paraId="7A2C6E82">
            <w:pPr>
              <w:pStyle w:val="445"/>
              <w:rPr>
                <w:rFonts w:cs="Times New Roman"/>
                <w:kern w:val="0"/>
                <w:szCs w:val="20"/>
              </w:rPr>
            </w:pPr>
            <w:r>
              <w:rPr>
                <w:rFonts w:hint="eastAsia" w:cs="Times New Roman"/>
                <w:kern w:val="0"/>
                <w:szCs w:val="20"/>
              </w:rPr>
              <w:t>合计</w:t>
            </w:r>
          </w:p>
        </w:tc>
        <w:tc>
          <w:tcPr>
            <w:tcW w:w="1872" w:type="dxa"/>
          </w:tcPr>
          <w:p w14:paraId="159875B4">
            <w:pPr>
              <w:pStyle w:val="445"/>
              <w:rPr>
                <w:rFonts w:cs="Times New Roman"/>
                <w:kern w:val="0"/>
                <w:szCs w:val="20"/>
              </w:rPr>
            </w:pPr>
            <w:r>
              <w:rPr>
                <w:rFonts w:hint="eastAsia" w:cs="Times New Roman"/>
                <w:kern w:val="0"/>
                <w:szCs w:val="20"/>
              </w:rPr>
              <w:t>1980</w:t>
            </w:r>
          </w:p>
        </w:tc>
      </w:tr>
      <w:tr w14:paraId="1F511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72" w:type="dxa"/>
          </w:tcPr>
          <w:p w14:paraId="56633EA1">
            <w:pPr>
              <w:pStyle w:val="445"/>
              <w:rPr>
                <w:rFonts w:cs="Times New Roman"/>
                <w:kern w:val="0"/>
                <w:szCs w:val="20"/>
              </w:rPr>
            </w:pPr>
            <w:r>
              <w:rPr>
                <w:rFonts w:hint="eastAsia" w:cs="Times New Roman"/>
                <w:kern w:val="0"/>
                <w:szCs w:val="20"/>
              </w:rPr>
              <w:t>5</w:t>
            </w:r>
          </w:p>
        </w:tc>
        <w:tc>
          <w:tcPr>
            <w:tcW w:w="5616" w:type="dxa"/>
            <w:gridSpan w:val="3"/>
          </w:tcPr>
          <w:p w14:paraId="38669947">
            <w:pPr>
              <w:pStyle w:val="445"/>
              <w:rPr>
                <w:rFonts w:cs="Times New Roman"/>
                <w:kern w:val="0"/>
                <w:szCs w:val="20"/>
              </w:rPr>
            </w:pPr>
            <w:r>
              <w:rPr>
                <w:rFonts w:hint="eastAsia" w:cs="Times New Roman"/>
                <w:kern w:val="0"/>
                <w:szCs w:val="20"/>
              </w:rPr>
              <w:t>设计</w:t>
            </w:r>
            <w:r>
              <w:rPr>
                <w:rFonts w:cs="Times New Roman"/>
                <w:kern w:val="0"/>
                <w:szCs w:val="20"/>
              </w:rPr>
              <w:t>风量</w:t>
            </w:r>
          </w:p>
        </w:tc>
        <w:tc>
          <w:tcPr>
            <w:tcW w:w="1872" w:type="dxa"/>
          </w:tcPr>
          <w:p w14:paraId="53131D1F">
            <w:pPr>
              <w:pStyle w:val="445"/>
              <w:rPr>
                <w:rFonts w:cs="Times New Roman"/>
                <w:kern w:val="0"/>
                <w:szCs w:val="20"/>
              </w:rPr>
            </w:pPr>
            <w:r>
              <w:rPr>
                <w:rFonts w:hint="eastAsia" w:cs="Times New Roman"/>
                <w:kern w:val="0"/>
                <w:szCs w:val="20"/>
              </w:rPr>
              <w:t>2000</w:t>
            </w:r>
          </w:p>
        </w:tc>
      </w:tr>
    </w:tbl>
    <w:p w14:paraId="2D9F0151">
      <w:pPr>
        <w:pStyle w:val="349"/>
      </w:pPr>
      <w:r>
        <w:rPr>
          <w:rFonts w:cs="Times New Roman" w:eastAsiaTheme="minorEastAsia"/>
        </w:rPr>
        <w:t>6.1.1.3</w:t>
      </w:r>
      <w:r>
        <w:rPr>
          <w:rFonts w:hint="eastAsia"/>
        </w:rPr>
        <w:t>排气筒</w:t>
      </w:r>
      <w:r>
        <w:t>设置合理性分析</w:t>
      </w:r>
    </w:p>
    <w:p w14:paraId="4691C093">
      <w:pPr>
        <w:ind w:firstLine="480"/>
      </w:pPr>
      <w:r>
        <w:rPr>
          <w:rFonts w:hint="eastAsia"/>
        </w:rPr>
        <w:t>本项目</w:t>
      </w:r>
      <w:r>
        <w:t>排气筒设置参数</w:t>
      </w:r>
      <w:r>
        <w:rPr>
          <w:rFonts w:hint="eastAsia"/>
        </w:rPr>
        <w:t>见表6.1.1</w:t>
      </w:r>
      <w:r>
        <w:t>-4</w:t>
      </w:r>
      <w:r>
        <w:rPr>
          <w:rFonts w:hint="eastAsia"/>
        </w:rPr>
        <w:t>。</w:t>
      </w:r>
    </w:p>
    <w:p w14:paraId="6095A523">
      <w:pPr>
        <w:pStyle w:val="278"/>
      </w:pPr>
      <w:r>
        <w:rPr>
          <w:rFonts w:hint="eastAsia"/>
        </w:rPr>
        <w:t>表6.1.1</w:t>
      </w:r>
      <w:r>
        <w:t xml:space="preserve">-4  </w:t>
      </w:r>
      <w:r>
        <w:rPr>
          <w:rFonts w:hint="eastAsia"/>
        </w:rPr>
        <w:t>排气筒</w:t>
      </w:r>
      <w:r>
        <w:t>设置参数</w:t>
      </w:r>
    </w:p>
    <w:p w14:paraId="1769A7C7">
      <w:pPr>
        <w:ind w:firstLine="480"/>
      </w:pPr>
      <w:r>
        <w:rPr>
          <w:rFonts w:hint="eastAsia"/>
        </w:rPr>
        <w:t>蚌埠市</w:t>
      </w:r>
      <w:r>
        <w:t>全年地面平均风速为2.45m/s。</w:t>
      </w:r>
      <w:r>
        <w:rPr>
          <w:rFonts w:hint="eastAsia"/>
        </w:rPr>
        <w:t>由上表</w:t>
      </w:r>
      <w:r>
        <w:t>可知</w:t>
      </w:r>
      <w:r>
        <w:rPr>
          <w:rFonts w:hint="eastAsia"/>
        </w:rPr>
        <w:t>，扩建</w:t>
      </w:r>
      <w:r>
        <w:t>项目</w:t>
      </w:r>
      <w:r>
        <w:rPr>
          <w:rFonts w:hint="eastAsia"/>
        </w:rPr>
        <w:t>各</w:t>
      </w:r>
      <w:r>
        <w:t>烟囱出口</w:t>
      </w:r>
      <w:r>
        <w:rPr>
          <w:rFonts w:hint="eastAsia"/>
        </w:rPr>
        <w:t>风</w:t>
      </w:r>
      <w:r>
        <w:t>速符合《大气污染治理工程技术导则》（HJ2000-2010）等关于排气筒烟气出口</w:t>
      </w:r>
      <w:r>
        <w:rPr>
          <w:rFonts w:hint="eastAsia"/>
        </w:rPr>
        <w:t>速度的</w:t>
      </w:r>
      <w:r>
        <w:t>要求</w:t>
      </w:r>
      <w:r>
        <w:rPr>
          <w:rFonts w:hint="eastAsia"/>
        </w:rPr>
        <w:t>。</w:t>
      </w:r>
    </w:p>
    <w:p w14:paraId="2CFE2C9B">
      <w:pPr>
        <w:ind w:firstLine="480"/>
      </w:pPr>
      <w:r>
        <w:rPr>
          <w:rFonts w:hint="eastAsia"/>
          <w:szCs w:val="24"/>
        </w:rPr>
        <w:t>项目7个</w:t>
      </w:r>
      <w:r>
        <w:rPr>
          <w:szCs w:val="24"/>
        </w:rPr>
        <w:t>排放口高度</w:t>
      </w:r>
      <w:r>
        <w:rPr>
          <w:rFonts w:hint="eastAsia"/>
          <w:szCs w:val="24"/>
        </w:rPr>
        <w:t>均</w:t>
      </w:r>
      <w:r>
        <w:rPr>
          <w:szCs w:val="24"/>
        </w:rPr>
        <w:t>满足</w:t>
      </w:r>
      <w:r>
        <w:rPr>
          <w:rFonts w:hint="eastAsia" w:ascii="宋体" w:hAnsi="宋体"/>
        </w:rPr>
        <w:t>《无机化学</w:t>
      </w:r>
      <w:r>
        <w:rPr>
          <w:rFonts w:ascii="宋体" w:hAnsi="宋体"/>
        </w:rPr>
        <w:t>工业</w:t>
      </w:r>
      <w:r>
        <w:rPr>
          <w:rFonts w:hint="eastAsia" w:ascii="宋体" w:hAnsi="宋体"/>
        </w:rPr>
        <w:t>污染物</w:t>
      </w:r>
      <w:r>
        <w:rPr>
          <w:rFonts w:ascii="宋体" w:hAnsi="宋体"/>
        </w:rPr>
        <w:t>排放</w:t>
      </w:r>
      <w:r>
        <w:rPr>
          <w:rFonts w:hint="eastAsia" w:ascii="宋体" w:hAnsi="宋体"/>
        </w:rPr>
        <w:t>标准》（</w:t>
      </w:r>
      <w:r>
        <w:rPr>
          <w:rFonts w:hint="eastAsia"/>
        </w:rPr>
        <w:t>G</w:t>
      </w:r>
      <w:r>
        <w:t>B31573-2015</w:t>
      </w:r>
      <w:r>
        <w:rPr>
          <w:rFonts w:hint="eastAsia" w:ascii="宋体" w:hAnsi="宋体"/>
        </w:rPr>
        <w:t>）和《大气污染物综合排放标准》（</w:t>
      </w:r>
      <w:r>
        <w:rPr>
          <w:rFonts w:hint="eastAsia"/>
        </w:rPr>
        <w:t>G</w:t>
      </w:r>
      <w:r>
        <w:t>B16297-1996</w:t>
      </w:r>
      <w:r>
        <w:rPr>
          <w:rFonts w:hint="eastAsia" w:ascii="宋体" w:hAnsi="宋体"/>
        </w:rPr>
        <w:t>）</w:t>
      </w:r>
      <w:r>
        <w:rPr>
          <w:rFonts w:hint="eastAsia"/>
        </w:rPr>
        <w:t>中</w:t>
      </w:r>
      <w:r>
        <w:t>不低于</w:t>
      </w:r>
      <w:r>
        <w:rPr>
          <w:rFonts w:hint="eastAsia"/>
        </w:rPr>
        <w:t>15</w:t>
      </w:r>
      <w:r>
        <w:t>m的要求</w:t>
      </w:r>
      <w:r>
        <w:rPr>
          <w:rFonts w:hint="eastAsia"/>
        </w:rPr>
        <w:t>。</w:t>
      </w:r>
    </w:p>
    <w:p w14:paraId="70A82D84">
      <w:pPr>
        <w:pStyle w:val="4068"/>
      </w:pPr>
      <w:bookmarkStart w:id="391" w:name="_Toc52175586"/>
      <w:bookmarkStart w:id="392" w:name="_Toc101135918"/>
      <w:bookmarkStart w:id="393" w:name="_Toc108662695"/>
      <w:bookmarkStart w:id="394" w:name="_Toc100784086"/>
      <w:r>
        <w:rPr>
          <w:rFonts w:hint="eastAsia"/>
        </w:rPr>
        <w:t>6.1.2无组织</w:t>
      </w:r>
      <w:r>
        <w:t>废气污染防治措施</w:t>
      </w:r>
      <w:bookmarkEnd w:id="391"/>
      <w:bookmarkEnd w:id="392"/>
      <w:bookmarkEnd w:id="393"/>
    </w:p>
    <w:p w14:paraId="7EE71C6E">
      <w:pPr>
        <w:ind w:firstLine="480"/>
      </w:pPr>
      <w:r>
        <w:t>对于本项目，无组织废气主要来源为反应釜投料，产品和残液等固废出料及水环泵循环水等操作</w:t>
      </w:r>
      <w:r>
        <w:rPr>
          <w:rFonts w:ascii="宋体" w:hAnsi="宋体"/>
        </w:rPr>
        <w:t>(液体投料企业均以采用通过计量罐或储罐泵入的方式进行投料，系统密闭，不产生无组织废气)</w:t>
      </w:r>
      <w:r>
        <w:t>。</w:t>
      </w:r>
      <w:r>
        <w:rPr>
          <w:rFonts w:hint="eastAsia"/>
        </w:rPr>
        <w:t>本项目</w:t>
      </w:r>
      <w:r>
        <w:t>固体硅粉投料采用氮气冲压方式，管道输送，全封闭投料；对水环泵循环水池，设置密闭式循环水系统并加设冷凝装置。通过以上步骤，可以有效控制废气的无组织废气排放。</w:t>
      </w:r>
    </w:p>
    <w:p w14:paraId="033AB55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参照《重点</w:t>
      </w:r>
      <w:r>
        <w:rPr>
          <w:color w:val="000000" w:themeColor="text1"/>
          <w14:textFill>
            <w14:solidFill>
              <w14:schemeClr w14:val="tx1"/>
            </w14:solidFill>
          </w14:textFill>
        </w:rPr>
        <w:t>行业挥发性有机物综合治理方案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挥发性</w:t>
      </w:r>
      <w:r>
        <w:rPr>
          <w:color w:val="000000" w:themeColor="text1"/>
          <w14:textFill>
            <w14:solidFill>
              <w14:schemeClr w14:val="tx1"/>
            </w14:solidFill>
          </w14:textFill>
        </w:rPr>
        <w:t>有机物无组织排放控制标准》</w:t>
      </w:r>
      <w:r>
        <w:rPr>
          <w:rFonts w:hint="eastAsia"/>
          <w:color w:val="000000" w:themeColor="text1"/>
          <w14:textFill>
            <w14:solidFill>
              <w14:schemeClr w14:val="tx1"/>
            </w14:solidFill>
          </w14:textFill>
        </w:rPr>
        <w:t>（GB37822-2019）等</w:t>
      </w:r>
      <w:r>
        <w:rPr>
          <w:color w:val="000000" w:themeColor="text1"/>
          <w14:textFill>
            <w14:solidFill>
              <w14:schemeClr w14:val="tx1"/>
            </w14:solidFill>
          </w14:textFill>
        </w:rPr>
        <w:t>相关要求，对无组织废气提出以下控制要求：</w:t>
      </w:r>
    </w:p>
    <w:p w14:paraId="7E4C0E3D">
      <w:pPr>
        <w:ind w:firstLine="480"/>
      </w:pPr>
      <w:r>
        <w:t>（1）工艺过程无组织废气控制</w:t>
      </w:r>
    </w:p>
    <w:p w14:paraId="46CB447B">
      <w:pPr>
        <w:ind w:firstLine="480"/>
        <w:rPr>
          <w:color w:val="000000" w:themeColor="text1"/>
          <w14:textFill>
            <w14:solidFill>
              <w14:schemeClr w14:val="tx1"/>
            </w14:solidFill>
          </w14:textFill>
        </w:rPr>
      </w:pPr>
      <w:r>
        <w:t>工艺过程涉及的废气主要为</w:t>
      </w:r>
      <w:r>
        <w:rPr>
          <w:rFonts w:hint="eastAsia"/>
        </w:rPr>
        <w:t>甲醇、</w:t>
      </w:r>
      <w:r>
        <w:t>氯化氢、氟化氢和粉尘等。其中</w:t>
      </w:r>
      <w:r>
        <w:rPr>
          <w:rFonts w:hint="eastAsia"/>
        </w:rPr>
        <w:t>甲醇</w:t>
      </w:r>
      <w:r>
        <w:t>等液体原料采用罐装</w:t>
      </w:r>
      <w:r>
        <w:rPr>
          <w:color w:val="000000" w:themeColor="text1"/>
          <w14:textFill>
            <w14:solidFill>
              <w14:schemeClr w14:val="tx1"/>
            </w14:solidFill>
          </w14:textFill>
        </w:rPr>
        <w:t>并用物料泵输送至生产反应工段，中间体转移全部采用接受罐</w:t>
      </w:r>
      <w:r>
        <w:rPr>
          <w:rFonts w:hint="eastAsia"/>
          <w:color w:val="000000" w:themeColor="text1"/>
          <w14:textFill>
            <w14:solidFill>
              <w14:schemeClr w14:val="tx1"/>
            </w14:solidFill>
          </w14:textFill>
        </w:rPr>
        <w:t>加</w:t>
      </w:r>
      <w:r>
        <w:rPr>
          <w:color w:val="000000" w:themeColor="text1"/>
          <w14:textFill>
            <w14:solidFill>
              <w14:schemeClr w14:val="tx1"/>
            </w14:solidFill>
          </w14:textFill>
        </w:rPr>
        <w:t>刚性管道进行输送，从整个工艺过程来看，密闭化程度相对较高，但仍有一定量的无组织废气排放。</w:t>
      </w:r>
    </w:p>
    <w:p w14:paraId="7C76384C">
      <w:pPr>
        <w:ind w:firstLine="48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生产过程液体物料中转全部采用刚性管道进行转料，不使用桶装料或临时软管进行中转，防止中转过程无组织废气排放。</w:t>
      </w:r>
    </w:p>
    <w:p w14:paraId="5E5AB91D">
      <w:pPr>
        <w:ind w:firstLine="48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要求在精馏残液降温后再出料，并且出料时采取集气罩收集的措施加以防治，降低无组织废气排放。</w:t>
      </w:r>
    </w:p>
    <w:p w14:paraId="486EFA2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固体粉状物料经氮气冲压推</w:t>
      </w:r>
      <w:r>
        <w:rPr>
          <w:rFonts w:hint="eastAsia"/>
          <w:color w:val="000000" w:themeColor="text1"/>
          <w14:textFill>
            <w14:solidFill>
              <w14:schemeClr w14:val="tx1"/>
            </w14:solidFill>
          </w14:textFill>
        </w:rPr>
        <w:t>动</w:t>
      </w:r>
      <w:r>
        <w:rPr>
          <w:color w:val="000000" w:themeColor="text1"/>
          <w14:textFill>
            <w14:solidFill>
              <w14:schemeClr w14:val="tx1"/>
            </w14:solidFill>
          </w14:textFill>
        </w:rPr>
        <w:t>，管道输送，</w:t>
      </w:r>
      <w:r>
        <w:rPr>
          <w:rFonts w:hint="eastAsia"/>
          <w:color w:val="000000" w:themeColor="text1"/>
          <w14:textFill>
            <w14:solidFill>
              <w14:schemeClr w14:val="tx1"/>
            </w14:solidFill>
          </w14:textFill>
        </w:rPr>
        <w:t>减少</w:t>
      </w:r>
      <w:r>
        <w:rPr>
          <w:color w:val="000000" w:themeColor="text1"/>
          <w14:textFill>
            <w14:solidFill>
              <w14:schemeClr w14:val="tx1"/>
            </w14:solidFill>
          </w14:textFill>
        </w:rPr>
        <w:t>进出料无组织</w:t>
      </w:r>
      <w:r>
        <w:rPr>
          <w:rFonts w:hint="eastAsia"/>
          <w:color w:val="000000" w:themeColor="text1"/>
          <w14:textFill>
            <w14:solidFill>
              <w14:schemeClr w14:val="tx1"/>
            </w14:solidFill>
          </w14:textFill>
        </w:rPr>
        <w:t>废气</w:t>
      </w:r>
      <w:r>
        <w:rPr>
          <w:color w:val="000000" w:themeColor="text1"/>
          <w14:textFill>
            <w14:solidFill>
              <w14:schemeClr w14:val="tx1"/>
            </w14:solidFill>
          </w14:textFill>
        </w:rPr>
        <w:t>产生。</w:t>
      </w:r>
    </w:p>
    <w:p w14:paraId="597C70F7">
      <w:pPr>
        <w:ind w:firstLine="480"/>
        <w:rPr>
          <w:bCs/>
          <w:color w:val="000000" w:themeColor="text1"/>
          <w14:textFill>
            <w14:solidFill>
              <w14:schemeClr w14:val="tx1"/>
            </w14:solidFill>
          </w14:textFill>
        </w:rPr>
      </w:pPr>
      <w:bookmarkStart w:id="395" w:name="_Toc263261749"/>
      <w:r>
        <w:rPr>
          <w:bCs/>
          <w:color w:val="000000" w:themeColor="text1"/>
          <w14:textFill>
            <w14:solidFill>
              <w14:schemeClr w14:val="tx1"/>
            </w14:solidFill>
          </w14:textFill>
        </w:rPr>
        <w:t>（2）固废转运</w:t>
      </w:r>
      <w:bookmarkEnd w:id="395"/>
    </w:p>
    <w:p w14:paraId="16068EFF">
      <w:pPr>
        <w:ind w:firstLine="480"/>
        <w:rPr>
          <w:color w:val="000000" w:themeColor="text1"/>
          <w14:textFill>
            <w14:solidFill>
              <w14:schemeClr w14:val="tx1"/>
            </w14:solidFill>
          </w14:textFill>
        </w:rPr>
      </w:pPr>
      <w:r>
        <w:rPr>
          <w:color w:val="000000" w:themeColor="text1"/>
          <w14:textFill>
            <w14:solidFill>
              <w14:schemeClr w14:val="tx1"/>
            </w14:solidFill>
          </w14:textFill>
        </w:rPr>
        <w:t>生产过程中产生的精馏残液、废活性炭等物质，采用密闭袋装或桶装送至相关单位进行处理，保证了固废转运过程中不产生无组织废气。</w:t>
      </w:r>
    </w:p>
    <w:p w14:paraId="14A88942">
      <w:pPr>
        <w:ind w:firstLine="480"/>
      </w:pPr>
      <w:r>
        <w:t>（</w:t>
      </w:r>
      <w:r>
        <w:rPr>
          <w:rFonts w:hint="eastAsia"/>
        </w:rPr>
        <w:t>3</w:t>
      </w:r>
      <w:r>
        <w:t>）其他无组织废气控制措施</w:t>
      </w:r>
    </w:p>
    <w:p w14:paraId="20A65A6E">
      <w:pPr>
        <w:ind w:firstLine="480"/>
      </w:pPr>
      <w:r>
        <w:rPr>
          <w:rFonts w:cs="Times New Roman"/>
        </w:rPr>
        <w:t>1）</w:t>
      </w:r>
      <w:r>
        <w:t>确保反应过程的密闭性，要求全部采用密闭式操作，杜绝开釜操作，并将反应釜放空口接入废气收集管；</w:t>
      </w:r>
    </w:p>
    <w:p w14:paraId="28E8034E">
      <w:pPr>
        <w:ind w:firstLine="480"/>
      </w:pPr>
      <w:r>
        <w:rPr>
          <w:rFonts w:cs="Times New Roman"/>
        </w:rPr>
        <w:t>2）</w:t>
      </w:r>
      <w:r>
        <w:t>液体物料要求全部采用密闭性较好的屏蔽泵或隔膜泵输送，杜绝压缩空气、真空压吸的易产生无组织废气的输送方式；</w:t>
      </w:r>
    </w:p>
    <w:p w14:paraId="67D39CE7">
      <w:pPr>
        <w:ind w:firstLine="480"/>
      </w:pPr>
      <w:r>
        <w:rPr>
          <w:rFonts w:cs="Times New Roman"/>
        </w:rPr>
        <w:t>3）</w:t>
      </w:r>
      <w:r>
        <w:t>加强设备和管道的维护管理，防止出现因设备腐蚀或其他非正常运转情况下发生的废气事故性排放现象的发生；</w:t>
      </w:r>
    </w:p>
    <w:p w14:paraId="1D14C2DD">
      <w:pPr>
        <w:ind w:firstLine="480"/>
      </w:pPr>
      <w:r>
        <w:rPr>
          <w:rFonts w:cs="Times New Roman"/>
        </w:rPr>
        <w:t>4）</w:t>
      </w:r>
      <w:r>
        <w:t>优化生产布局，尽量采用重力流方式进行生产，减少物料输送过程无组织废气产生量。</w:t>
      </w:r>
    </w:p>
    <w:p w14:paraId="5EE83939">
      <w:pPr>
        <w:pStyle w:val="4068"/>
      </w:pPr>
      <w:bookmarkStart w:id="396" w:name="_Toc101135919"/>
      <w:bookmarkStart w:id="397" w:name="_Toc108662696"/>
      <w:r>
        <w:rPr>
          <w:rFonts w:hint="eastAsia"/>
        </w:rPr>
        <w:t>6.1.</w:t>
      </w:r>
      <w:r>
        <w:t>3</w:t>
      </w:r>
      <w:r>
        <w:rPr>
          <w:rFonts w:hint="eastAsia"/>
        </w:rPr>
        <w:t>非正常排放</w:t>
      </w:r>
      <w:r>
        <w:t>废气治理措施评述</w:t>
      </w:r>
      <w:bookmarkEnd w:id="394"/>
      <w:bookmarkEnd w:id="396"/>
      <w:bookmarkEnd w:id="397"/>
    </w:p>
    <w:p w14:paraId="0DE834AC">
      <w:pPr>
        <w:ind w:firstLine="480"/>
      </w:pPr>
      <w:r>
        <w:rPr>
          <w:rFonts w:hint="eastAsia" w:ascii="宋体" w:hAnsi="宋体"/>
        </w:rPr>
        <w:t>本项目非正常排放情况主要是废气处理装置出现故障或处理效率降低时废气排放量突然增大的情况，拟采取以下处理措施进行处理：</w:t>
      </w:r>
    </w:p>
    <w:p w14:paraId="203972B8">
      <w:pPr>
        <w:ind w:firstLine="480"/>
      </w:pPr>
      <w:r>
        <w:rPr>
          <w:rFonts w:hint="eastAsia" w:ascii="宋体" w:hAnsi="宋体"/>
        </w:rPr>
        <w:t>（</w:t>
      </w:r>
      <w:r>
        <w:rPr>
          <w:rFonts w:hint="eastAsia"/>
        </w:rPr>
        <w:t>1</w:t>
      </w:r>
      <w:r>
        <w:rPr>
          <w:rFonts w:hint="eastAsia" w:ascii="宋体" w:hAnsi="宋体"/>
        </w:rPr>
        <w:t>）提高设备自动控制水平，生产线上尽量采用自动监控、报警装置；并加强废气处理装置的管理，防止废气处理装置出现故障造成非正常排放的情况。</w:t>
      </w:r>
    </w:p>
    <w:p w14:paraId="56F2B437">
      <w:pPr>
        <w:ind w:firstLine="480"/>
      </w:pPr>
      <w:r>
        <w:rPr>
          <w:rFonts w:hint="eastAsia" w:ascii="宋体" w:hAnsi="宋体"/>
        </w:rPr>
        <w:t>（</w:t>
      </w:r>
      <w:r>
        <w:rPr>
          <w:rFonts w:hint="eastAsia"/>
        </w:rPr>
        <w:t>2</w:t>
      </w:r>
      <w:r>
        <w:rPr>
          <w:rFonts w:hint="eastAsia" w:ascii="宋体" w:hAnsi="宋体"/>
        </w:rPr>
        <w:t>）加强生产的监督和管理，对可能出现的非正常排放情况制定预案或应急措施，出现非正常排放时及时妥善处理；</w:t>
      </w:r>
    </w:p>
    <w:p w14:paraId="37F884BD">
      <w:pPr>
        <w:ind w:firstLine="480"/>
      </w:pPr>
      <w:r>
        <w:rPr>
          <w:rFonts w:hint="eastAsia" w:ascii="宋体" w:hAnsi="宋体"/>
        </w:rPr>
        <w:t>（</w:t>
      </w:r>
      <w:r>
        <w:rPr>
          <w:rFonts w:hint="eastAsia"/>
        </w:rPr>
        <w:t>3</w:t>
      </w:r>
      <w:r>
        <w:rPr>
          <w:rFonts w:hint="eastAsia" w:ascii="宋体" w:hAnsi="宋体"/>
        </w:rPr>
        <w:t>）开车过程中，应先运行废气处理装置，后运行生产装置；停车过程中，应先停止生产装置，后停止废气处理装置，在确保废气有效处理后再停止废气处理装置。</w:t>
      </w:r>
    </w:p>
    <w:p w14:paraId="54090992">
      <w:pPr>
        <w:ind w:firstLine="480"/>
      </w:pPr>
      <w:r>
        <w:rPr>
          <w:rFonts w:hint="eastAsia" w:ascii="宋体" w:hAnsi="宋体"/>
        </w:rPr>
        <w:t>（</w:t>
      </w:r>
      <w:r>
        <w:rPr>
          <w:rFonts w:hint="eastAsia"/>
        </w:rPr>
        <w:t>4</w:t>
      </w:r>
      <w:r>
        <w:rPr>
          <w:rFonts w:hint="eastAsia" w:ascii="宋体" w:hAnsi="宋体"/>
        </w:rPr>
        <w:t>）检修过程中，应与停车的操作规程一致，先停止生产装置，后停止废气处理装置，确保废气通过送至废气处理装置处理后通过排气筒排放。</w:t>
      </w:r>
    </w:p>
    <w:p w14:paraId="79C107BE">
      <w:pPr>
        <w:ind w:firstLine="480"/>
      </w:pPr>
      <w:r>
        <w:rPr>
          <w:rFonts w:hint="eastAsia" w:ascii="宋体" w:hAnsi="宋体"/>
        </w:rPr>
        <w:t>（</w:t>
      </w:r>
      <w:r>
        <w:rPr>
          <w:rFonts w:hint="eastAsia"/>
        </w:rPr>
        <w:t>5</w:t>
      </w:r>
      <w:r>
        <w:rPr>
          <w:rFonts w:hint="eastAsia" w:ascii="宋体" w:hAnsi="宋体"/>
        </w:rPr>
        <w:t>）停电过程中，应立即手动关闭原料的进料阀，停止向反应釜中供应原料；立即启用备用电源，在备用电源启用后，应先将废气送至废气处理装置处理后通过排气筒排放，然后再运行反应装置。</w:t>
      </w:r>
    </w:p>
    <w:p w14:paraId="7D52FED4">
      <w:pPr>
        <w:ind w:firstLine="480"/>
      </w:pPr>
      <w:r>
        <w:rPr>
          <w:rFonts w:hint="eastAsia" w:ascii="宋体" w:hAnsi="宋体"/>
        </w:rPr>
        <w:t>（</w:t>
      </w:r>
      <w:r>
        <w:rPr>
          <w:rFonts w:hint="eastAsia"/>
        </w:rPr>
        <w:t>6</w:t>
      </w:r>
      <w:r>
        <w:rPr>
          <w:rFonts w:hint="eastAsia" w:ascii="宋体" w:hAnsi="宋体"/>
        </w:rPr>
        <w:t>）加强吸收设施的管理和维修，及时更换喷淋水，确保废气处理装置的正常运行。</w:t>
      </w:r>
    </w:p>
    <w:p w14:paraId="74070020">
      <w:pPr>
        <w:ind w:firstLine="480"/>
      </w:pPr>
      <w:r>
        <w:rPr>
          <w:rFonts w:hint="eastAsia" w:ascii="宋体" w:hAnsi="宋体"/>
        </w:rPr>
        <w:t>（</w:t>
      </w:r>
      <w:r>
        <w:rPr>
          <w:rFonts w:hint="eastAsia"/>
        </w:rPr>
        <w:t>7</w:t>
      </w:r>
      <w:r>
        <w:rPr>
          <w:rFonts w:hint="eastAsia" w:ascii="宋体" w:hAnsi="宋体"/>
        </w:rPr>
        <w:t>）应考虑设置废气处理装置的备用系统，一旦发生废气的非正常排放情况，可将非正常排放的废气切换至备用系统进行处理，确保废气的有效处理。</w:t>
      </w:r>
    </w:p>
    <w:p w14:paraId="4B9CC83B">
      <w:pPr>
        <w:ind w:firstLine="480"/>
      </w:pPr>
      <w:r>
        <w:rPr>
          <w:rFonts w:hint="eastAsia" w:ascii="宋体" w:hAnsi="宋体"/>
        </w:rPr>
        <w:t>通过以上处理措施处理后，</w:t>
      </w:r>
      <w:r>
        <w:rPr>
          <w:rFonts w:hint="eastAsia"/>
        </w:rPr>
        <w:t>扩建</w:t>
      </w:r>
      <w:r>
        <w:rPr>
          <w:rFonts w:hint="eastAsia" w:ascii="宋体" w:hAnsi="宋体"/>
        </w:rPr>
        <w:t>项目的非正常排放废气可得到有效的控制。</w:t>
      </w:r>
    </w:p>
    <w:p w14:paraId="14B46C67">
      <w:pPr>
        <w:pStyle w:val="4065"/>
      </w:pPr>
      <w:bookmarkStart w:id="398" w:name="_Toc58511631"/>
      <w:bookmarkEnd w:id="398"/>
      <w:bookmarkStart w:id="399" w:name="_Toc108662697"/>
      <w:r>
        <w:t>6.2水污染防治</w:t>
      </w:r>
      <w:r>
        <w:rPr>
          <w:rFonts w:hint="eastAsia"/>
        </w:rPr>
        <w:t>措施评述</w:t>
      </w:r>
      <w:bookmarkEnd w:id="399"/>
    </w:p>
    <w:p w14:paraId="0F2E36E7">
      <w:pPr>
        <w:ind w:firstLine="480"/>
      </w:pPr>
      <w:r>
        <w:rPr>
          <w:rFonts w:hint="eastAsia"/>
        </w:rPr>
        <w:t>扩建</w:t>
      </w:r>
      <w:r>
        <w:rPr>
          <w:rFonts w:hint="eastAsia" w:ascii="宋体" w:hAnsi="宋体"/>
        </w:rPr>
        <w:t>工程废水中</w:t>
      </w:r>
      <w:r>
        <w:rPr>
          <w:rFonts w:hint="eastAsia"/>
        </w:rPr>
        <w:t>水解废水</w:t>
      </w:r>
      <w:r>
        <w:t>、设备冲洗水、地面冲洗水、废气处理设施排水、</w:t>
      </w:r>
      <w:r>
        <w:rPr>
          <w:rFonts w:hint="eastAsia"/>
        </w:rPr>
        <w:t>实验室</w:t>
      </w:r>
      <w:r>
        <w:t>废水、</w:t>
      </w:r>
      <w:r>
        <w:rPr>
          <w:rFonts w:hint="eastAsia"/>
        </w:rPr>
        <w:t>生活污水、</w:t>
      </w:r>
      <w:r>
        <w:t>纯水制备再生水和初期雨水经</w:t>
      </w:r>
      <w:r>
        <w:rPr>
          <w:rFonts w:hint="eastAsia"/>
        </w:rPr>
        <w:t>污水处理站“调节池+混凝沉淀+水解酸化+MBR”处理后</w:t>
      </w:r>
      <w:r>
        <w:t>接入</w:t>
      </w:r>
      <w:r>
        <w:rPr>
          <w:rFonts w:hint="eastAsia"/>
        </w:rPr>
        <w:t>全厂总排口；</w:t>
      </w:r>
      <w:r>
        <w:t>纯水制备排水和循环冷却水排水</w:t>
      </w:r>
      <w:r>
        <w:rPr>
          <w:rFonts w:hint="eastAsia"/>
        </w:rPr>
        <w:t>直接</w:t>
      </w:r>
      <w:r>
        <w:t>接入</w:t>
      </w:r>
      <w:r>
        <w:rPr>
          <w:rFonts w:hint="eastAsia"/>
        </w:rPr>
        <w:t>全厂</w:t>
      </w:r>
      <w:r>
        <w:t>总排口</w:t>
      </w:r>
      <w:r>
        <w:rPr>
          <w:rFonts w:hint="eastAsia"/>
        </w:rPr>
        <w:t>，一并</w:t>
      </w:r>
      <w:r>
        <w:t>接管沫河口污水处理厂进一步处理</w:t>
      </w:r>
      <w:r>
        <w:rPr>
          <w:rFonts w:hint="eastAsia" w:ascii="宋体" w:hAnsi="宋体"/>
        </w:rPr>
        <w:t>。</w:t>
      </w:r>
      <w:r>
        <w:t xml:space="preserve"> </w:t>
      </w:r>
    </w:p>
    <w:p w14:paraId="3C0D2ECC">
      <w:pPr>
        <w:ind w:firstLine="480"/>
      </w:pPr>
      <w:r>
        <w:rPr>
          <w:rFonts w:hint="eastAsia"/>
        </w:rPr>
        <w:t>扩建项目</w:t>
      </w:r>
      <w:r>
        <w:t>污水处理系统工艺流程见图6.2-1</w:t>
      </w:r>
      <w:r>
        <w:rPr>
          <w:rFonts w:hint="eastAsia"/>
        </w:rPr>
        <w:t>。</w:t>
      </w:r>
    </w:p>
    <w:p w14:paraId="3CFB395E">
      <w:pPr>
        <w:ind w:firstLine="0" w:firstLineChars="0"/>
        <w:jc w:val="center"/>
      </w:pPr>
    </w:p>
    <w:p w14:paraId="699022CE">
      <w:pPr>
        <w:pStyle w:val="278"/>
      </w:pPr>
      <w:r>
        <w:rPr>
          <w:rFonts w:hint="eastAsia"/>
        </w:rPr>
        <w:t>图6.2</w:t>
      </w:r>
      <w:r>
        <w:t xml:space="preserve">-1  </w:t>
      </w:r>
      <w:r>
        <w:rPr>
          <w:rFonts w:hint="eastAsia"/>
        </w:rPr>
        <w:t>扩建项目污水处理</w:t>
      </w:r>
      <w:r>
        <w:t>工艺流程</w:t>
      </w:r>
      <w:r>
        <w:rPr>
          <w:rFonts w:hint="eastAsia"/>
        </w:rPr>
        <w:t>图</w:t>
      </w:r>
    </w:p>
    <w:p w14:paraId="4D2879C7">
      <w:pPr>
        <w:ind w:firstLine="480"/>
      </w:pPr>
    </w:p>
    <w:p w14:paraId="72A37A6E">
      <w:pPr>
        <w:pStyle w:val="4068"/>
      </w:pPr>
      <w:bookmarkStart w:id="400" w:name="_Toc101135921"/>
      <w:bookmarkStart w:id="401" w:name="_Toc108662698"/>
      <w:bookmarkStart w:id="402" w:name="_Toc100784088"/>
      <w:r>
        <w:rPr>
          <w:rFonts w:hint="eastAsia"/>
        </w:rPr>
        <w:t>6.2.1废水处理措施评述</w:t>
      </w:r>
      <w:bookmarkEnd w:id="400"/>
      <w:bookmarkEnd w:id="401"/>
      <w:bookmarkEnd w:id="402"/>
    </w:p>
    <w:p w14:paraId="58AF1D4B">
      <w:pPr>
        <w:ind w:firstLine="482"/>
        <w:rPr>
          <w:b/>
        </w:rPr>
      </w:pPr>
      <w:r>
        <w:rPr>
          <w:b/>
        </w:rPr>
        <w:t>（1）废水来源</w:t>
      </w:r>
    </w:p>
    <w:p w14:paraId="66357CEC">
      <w:pPr>
        <w:ind w:firstLine="480"/>
      </w:pPr>
      <w:r>
        <w:rPr>
          <w:rFonts w:hint="eastAsia"/>
        </w:rPr>
        <w:t>扩建项目实施后</w:t>
      </w:r>
      <w:r>
        <w:t>，</w:t>
      </w:r>
      <w:r>
        <w:rPr>
          <w:rFonts w:hint="eastAsia"/>
        </w:rPr>
        <w:t>废水</w:t>
      </w:r>
      <w:r>
        <w:t>主要来源</w:t>
      </w:r>
      <w:r>
        <w:rPr>
          <w:rFonts w:hint="eastAsia"/>
        </w:rPr>
        <w:t>以下</w:t>
      </w:r>
      <w:r>
        <w:t>：</w:t>
      </w:r>
    </w:p>
    <w:p w14:paraId="60657862">
      <w:pPr>
        <w:ind w:firstLine="480"/>
      </w:pPr>
      <w:r>
        <w:rPr>
          <w:rFonts w:hint="eastAsia"/>
        </w:rPr>
        <w:t>①工艺废水：</w:t>
      </w:r>
      <w:r>
        <w:t>主要包括水解废水</w:t>
      </w:r>
      <w:r>
        <w:rPr>
          <w:rFonts w:hint="eastAsia"/>
        </w:rPr>
        <w:t>；</w:t>
      </w:r>
    </w:p>
    <w:p w14:paraId="7519FBBA">
      <w:pPr>
        <w:ind w:firstLine="480"/>
      </w:pPr>
      <w:r>
        <w:rPr>
          <w:rFonts w:hint="eastAsia"/>
        </w:rPr>
        <w:t>②初期雨水</w:t>
      </w:r>
      <w:r>
        <w:t>：本项目生产</w:t>
      </w:r>
      <w:r>
        <w:rPr>
          <w:rFonts w:hint="eastAsia"/>
        </w:rPr>
        <w:t>区非屋顶</w:t>
      </w:r>
      <w:r>
        <w:t>区域存在潜在初期雨水污染</w:t>
      </w:r>
      <w:r>
        <w:rPr>
          <w:rFonts w:hint="eastAsia"/>
        </w:rPr>
        <w:t>，</w:t>
      </w:r>
      <w:r>
        <w:t>因此考虑收集初期雨水</w:t>
      </w:r>
      <w:r>
        <w:rPr>
          <w:rFonts w:hint="eastAsia"/>
        </w:rPr>
        <w:t>；</w:t>
      </w:r>
    </w:p>
    <w:p w14:paraId="2EC8081D">
      <w:pPr>
        <w:ind w:firstLine="480"/>
      </w:pPr>
      <w:r>
        <w:rPr>
          <w:rFonts w:hint="eastAsia"/>
        </w:rPr>
        <w:t>③地面</w:t>
      </w:r>
      <w:r>
        <w:t>冲洗水和设备冲洗水：</w:t>
      </w:r>
      <w:r>
        <w:rPr>
          <w:rFonts w:hint="eastAsia"/>
        </w:rPr>
        <w:t>本项目</w:t>
      </w:r>
      <w:r>
        <w:t>地面</w:t>
      </w:r>
      <w:r>
        <w:rPr>
          <w:rFonts w:hint="eastAsia"/>
        </w:rPr>
        <w:t>和</w:t>
      </w:r>
      <w:r>
        <w:t>设备需定期冲洗</w:t>
      </w:r>
      <w:r>
        <w:rPr>
          <w:rFonts w:hint="eastAsia"/>
        </w:rPr>
        <w:t>，主要</w:t>
      </w:r>
      <w:r>
        <w:t>污染物为COD、SS。</w:t>
      </w:r>
    </w:p>
    <w:p w14:paraId="2948DCC9">
      <w:pPr>
        <w:ind w:firstLine="480"/>
      </w:pPr>
      <w:r>
        <w:rPr>
          <w:rFonts w:hint="eastAsia"/>
        </w:rPr>
        <w:t>④纯水</w:t>
      </w:r>
      <w:r>
        <w:t>制备排水</w:t>
      </w:r>
      <w:r>
        <w:rPr>
          <w:rFonts w:hint="eastAsia"/>
        </w:rPr>
        <w:t>和纯水</w:t>
      </w:r>
      <w:r>
        <w:t>制备再生水：本项目纯水制备</w:t>
      </w:r>
      <w:r>
        <w:rPr>
          <w:rFonts w:hint="eastAsia"/>
        </w:rPr>
        <w:t>产生</w:t>
      </w:r>
      <w:r>
        <w:t>浓水以及</w:t>
      </w:r>
      <w:r>
        <w:rPr>
          <w:rFonts w:hint="eastAsia"/>
        </w:rPr>
        <w:t>纯水</w:t>
      </w:r>
      <w:r>
        <w:t>制备</w:t>
      </w:r>
      <w:r>
        <w:rPr>
          <w:rFonts w:hint="eastAsia"/>
        </w:rPr>
        <w:t>再生水</w:t>
      </w:r>
      <w:r>
        <w:t>（</w:t>
      </w:r>
      <w:r>
        <w:rPr>
          <w:rFonts w:hint="eastAsia"/>
        </w:rPr>
        <w:t>纯水</w:t>
      </w:r>
      <w:r>
        <w:t>设备冲洗</w:t>
      </w:r>
      <w:r>
        <w:rPr>
          <w:rFonts w:hint="eastAsia"/>
        </w:rPr>
        <w:t>废水）；</w:t>
      </w:r>
    </w:p>
    <w:p w14:paraId="67F49E54">
      <w:pPr>
        <w:ind w:firstLine="480"/>
      </w:pPr>
      <w:r>
        <w:rPr>
          <w:rFonts w:hint="eastAsia"/>
        </w:rPr>
        <w:t>⑤废气处理设施</w:t>
      </w:r>
      <w:r>
        <w:t>排水</w:t>
      </w:r>
      <w:r>
        <w:rPr>
          <w:rFonts w:hint="eastAsia"/>
        </w:rPr>
        <w:t>：</w:t>
      </w:r>
      <w:r>
        <w:t>本项目废气处理设施包括</w:t>
      </w:r>
      <w:r>
        <w:rPr>
          <w:rFonts w:hint="eastAsia"/>
        </w:rPr>
        <w:t>“水洗塔</w:t>
      </w:r>
      <w:r>
        <w:t>、碱洗塔</w:t>
      </w:r>
      <w:r>
        <w:rPr>
          <w:rFonts w:hint="eastAsia"/>
        </w:rPr>
        <w:t>和</w:t>
      </w:r>
      <w:r>
        <w:t>酸洗塔等</w:t>
      </w:r>
      <w:r>
        <w:rPr>
          <w:rFonts w:hint="eastAsia"/>
        </w:rPr>
        <w:t>”；</w:t>
      </w:r>
    </w:p>
    <w:p w14:paraId="3EEBA175">
      <w:pPr>
        <w:ind w:firstLine="480"/>
      </w:pPr>
      <w:r>
        <w:rPr>
          <w:rFonts w:hint="eastAsia"/>
        </w:rPr>
        <w:t>⑥循环</w:t>
      </w:r>
      <w:r>
        <w:t>冷却水排水：本项目循环</w:t>
      </w:r>
      <w:r>
        <w:rPr>
          <w:rFonts w:hint="eastAsia"/>
        </w:rPr>
        <w:t>冷却</w:t>
      </w:r>
      <w:r>
        <w:t>水系统排污水；</w:t>
      </w:r>
    </w:p>
    <w:p w14:paraId="0C911600">
      <w:pPr>
        <w:ind w:firstLine="480"/>
      </w:pPr>
      <w:r>
        <w:rPr>
          <w:rFonts w:hint="eastAsia"/>
        </w:rPr>
        <w:t>⑦实验室</w:t>
      </w:r>
      <w:r>
        <w:t>废水</w:t>
      </w:r>
      <w:r>
        <w:rPr>
          <w:rFonts w:hint="eastAsia"/>
        </w:rPr>
        <w:t>：</w:t>
      </w:r>
      <w:r>
        <w:t>本项目实验室产生</w:t>
      </w:r>
      <w:r>
        <w:rPr>
          <w:rFonts w:hint="eastAsia"/>
        </w:rPr>
        <w:t>实验室</w:t>
      </w:r>
      <w:r>
        <w:t>废水</w:t>
      </w:r>
      <w:r>
        <w:rPr>
          <w:rFonts w:hint="eastAsia"/>
        </w:rPr>
        <w:t>；</w:t>
      </w:r>
    </w:p>
    <w:p w14:paraId="08CD66FB">
      <w:pPr>
        <w:ind w:firstLine="480"/>
      </w:pPr>
      <w:r>
        <w:rPr>
          <w:rFonts w:hint="eastAsia" w:ascii="宋体" w:hAnsi="宋体" w:cs="宋体"/>
        </w:rPr>
        <w:t>⑧生活污水</w:t>
      </w:r>
      <w:r>
        <w:rPr>
          <w:rFonts w:ascii="宋体" w:hAnsi="宋体" w:cs="宋体"/>
        </w:rPr>
        <w:t>：</w:t>
      </w:r>
      <w:r>
        <w:t>包括卫生间、淋浴排水等，主要为有机污染物，易采用生物降解</w:t>
      </w:r>
      <w:r>
        <w:rPr>
          <w:rFonts w:hint="eastAsia"/>
        </w:rPr>
        <w:t>。</w:t>
      </w:r>
    </w:p>
    <w:p w14:paraId="574AC5B8">
      <w:pPr>
        <w:ind w:firstLine="482"/>
        <w:rPr>
          <w:b/>
        </w:rPr>
      </w:pPr>
      <w:r>
        <w:rPr>
          <w:b/>
        </w:rPr>
        <w:t>（2）废水处理工艺选择</w:t>
      </w:r>
    </w:p>
    <w:p w14:paraId="6A90064C">
      <w:pPr>
        <w:ind w:firstLine="480"/>
      </w:pPr>
      <w:r>
        <w:rPr>
          <w:rFonts w:hint="eastAsia"/>
        </w:rPr>
        <w:t>安徽</w:t>
      </w:r>
      <w:r>
        <w:t>凯盛扩建项目生产废水</w:t>
      </w:r>
      <w:r>
        <w:rPr>
          <w:rFonts w:hint="eastAsia"/>
        </w:rPr>
        <w:t>水量变化大，水质复杂，新建的</w:t>
      </w:r>
      <w:r>
        <w:t>污水处理系统采取废水分质收集，分类处置的原则，将全厂废水共分为3类，分别收集和处理。</w:t>
      </w:r>
    </w:p>
    <w:p w14:paraId="7278B045">
      <w:pPr>
        <w:ind w:firstLine="480"/>
        <w:rPr>
          <w:color w:val="000000" w:themeColor="text1"/>
          <w14:textFill>
            <w14:solidFill>
              <w14:schemeClr w14:val="tx1"/>
            </w14:solidFill>
          </w14:textFill>
        </w:rPr>
      </w:pPr>
      <w:r>
        <w:rPr>
          <w:rFonts w:hint="eastAsia"/>
        </w:rPr>
        <w:t>综合</w:t>
      </w:r>
      <w:r>
        <w:t>废水：主要包括、水解废水</w:t>
      </w:r>
      <w:r>
        <w:rPr>
          <w:rFonts w:hint="eastAsia"/>
        </w:rPr>
        <w:t>、</w:t>
      </w:r>
      <w:r>
        <w:t>设备</w:t>
      </w:r>
      <w:r>
        <w:rPr>
          <w:rFonts w:hint="eastAsia"/>
        </w:rPr>
        <w:t>冲洗</w:t>
      </w:r>
      <w:r>
        <w:t>水</w:t>
      </w:r>
      <w:r>
        <w:rPr>
          <w:rFonts w:hint="eastAsia"/>
        </w:rPr>
        <w:t>、</w:t>
      </w:r>
      <w:r>
        <w:t>地面冲洗水</w:t>
      </w:r>
      <w:r>
        <w:rPr>
          <w:rFonts w:hint="eastAsia"/>
        </w:rPr>
        <w:t>、</w:t>
      </w:r>
      <w:r>
        <w:t>废气</w:t>
      </w:r>
      <w:r>
        <w:rPr>
          <w:rFonts w:hint="eastAsia"/>
        </w:rPr>
        <w:t>处理</w:t>
      </w:r>
      <w:r>
        <w:t>设施排水</w:t>
      </w:r>
      <w:r>
        <w:rPr>
          <w:rFonts w:hint="eastAsia"/>
        </w:rPr>
        <w:t>、实验室</w:t>
      </w:r>
      <w:r>
        <w:rPr>
          <w:color w:val="000000" w:themeColor="text1"/>
          <w14:textFill>
            <w14:solidFill>
              <w14:schemeClr w14:val="tx1"/>
            </w14:solidFill>
          </w14:textFill>
        </w:rPr>
        <w:t>废水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再生水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生活污水和初期雨水，经厂</w:t>
      </w:r>
      <w:r>
        <w:rPr>
          <w:rFonts w:hint="eastAsia"/>
          <w:color w:val="000000" w:themeColor="text1"/>
          <w14:textFill>
            <w14:solidFill>
              <w14:schemeClr w14:val="tx1"/>
            </w14:solidFill>
          </w14:textFill>
        </w:rPr>
        <w:t>内</w:t>
      </w:r>
      <w:r>
        <w:rPr>
          <w:color w:val="000000" w:themeColor="text1"/>
          <w14:textFill>
            <w14:solidFill>
              <w14:schemeClr w14:val="tx1"/>
            </w14:solidFill>
          </w14:textFill>
        </w:rPr>
        <w:t>污水处理站（</w:t>
      </w:r>
      <w:r>
        <w:rPr>
          <w:rFonts w:hint="eastAsia"/>
        </w:rPr>
        <w:t>调节池+混凝沉淀+水解酸化+MBR</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p w14:paraId="65FB50D5">
      <w:pPr>
        <w:ind w:firstLine="480"/>
      </w:pPr>
      <w:r>
        <w:rPr>
          <w:rFonts w:hint="eastAsia"/>
        </w:rPr>
        <w:t>综合</w:t>
      </w:r>
      <w:r>
        <w:t>废水接入污水处理站的</w:t>
      </w:r>
      <w:r>
        <w:rPr>
          <w:rFonts w:hint="eastAsia"/>
        </w:rPr>
        <w:t>废水量</w:t>
      </w:r>
      <w:r>
        <w:t>为237.16t/d</w:t>
      </w:r>
      <w:r>
        <w:rPr>
          <w:rFonts w:hint="eastAsia"/>
        </w:rPr>
        <w:t>，考虑初期雨水需在5d内处理，即2</w:t>
      </w:r>
      <w:r>
        <w:t>42.488</w:t>
      </w:r>
      <w:r>
        <w:rPr>
          <w:rFonts w:hint="eastAsia"/>
        </w:rPr>
        <w:t>t</w:t>
      </w:r>
      <w:r>
        <w:t>/</w:t>
      </w:r>
      <w:r>
        <w:rPr>
          <w:rFonts w:hint="eastAsia"/>
        </w:rPr>
        <w:t>d，</w:t>
      </w:r>
      <w:r>
        <w:t>因此污水处理站设计能力为520 m</w:t>
      </w:r>
      <w:r>
        <w:rPr>
          <w:vertAlign w:val="superscript"/>
        </w:rPr>
        <w:t>3</w:t>
      </w:r>
      <w:r>
        <w:t>/d</w:t>
      </w:r>
      <w:r>
        <w:rPr>
          <w:rFonts w:hint="eastAsia"/>
        </w:rPr>
        <w:t>。</w:t>
      </w:r>
    </w:p>
    <w:p w14:paraId="35380BAB">
      <w:pPr>
        <w:ind w:firstLine="482"/>
        <w:rPr>
          <w:b/>
        </w:rPr>
      </w:pPr>
      <w:r>
        <w:rPr>
          <w:rFonts w:hint="eastAsia"/>
          <w:b/>
        </w:rPr>
        <w:t>（</w:t>
      </w:r>
      <w:r>
        <w:rPr>
          <w:b/>
        </w:rPr>
        <w:t>3</w:t>
      </w:r>
      <w:r>
        <w:rPr>
          <w:rFonts w:hint="eastAsia"/>
          <w:b/>
        </w:rPr>
        <w:t>）各</w:t>
      </w:r>
      <w:r>
        <w:rPr>
          <w:b/>
        </w:rPr>
        <w:t>污水处理系统</w:t>
      </w:r>
      <w:r>
        <w:rPr>
          <w:rFonts w:hint="eastAsia"/>
          <w:b/>
        </w:rPr>
        <w:t>去除</w:t>
      </w:r>
      <w:r>
        <w:rPr>
          <w:b/>
        </w:rPr>
        <w:t>效率</w:t>
      </w:r>
    </w:p>
    <w:p w14:paraId="2078B670">
      <w:pPr>
        <w:pStyle w:val="278"/>
      </w:pPr>
      <w:r>
        <w:rPr>
          <w:rFonts w:hint="eastAsia"/>
        </w:rPr>
        <w:t>6.2.1-</w:t>
      </w:r>
      <w:r>
        <w:t xml:space="preserve">3  </w:t>
      </w:r>
      <w:r>
        <w:rPr>
          <w:rFonts w:hint="eastAsia"/>
        </w:rPr>
        <w:t>污水处理站</w:t>
      </w:r>
      <w:r>
        <w:t>处理效率一览表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1030"/>
        <w:gridCol w:w="1030"/>
        <w:gridCol w:w="1028"/>
        <w:gridCol w:w="1030"/>
        <w:gridCol w:w="1024"/>
        <w:gridCol w:w="1024"/>
        <w:gridCol w:w="1022"/>
        <w:gridCol w:w="1020"/>
      </w:tblGrid>
      <w:tr w14:paraId="4D9D3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60" w:type="pct"/>
            <w:vMerge w:val="restart"/>
            <w:vAlign w:val="center"/>
          </w:tcPr>
          <w:p w14:paraId="51FBA75A">
            <w:pPr>
              <w:pStyle w:val="445"/>
              <w:rPr>
                <w:rFonts w:cs="Times New Roman"/>
                <w:kern w:val="0"/>
                <w:szCs w:val="20"/>
              </w:rPr>
            </w:pPr>
            <w:r>
              <w:rPr>
                <w:rFonts w:cs="Times New Roman"/>
                <w:kern w:val="0"/>
                <w:szCs w:val="20"/>
              </w:rPr>
              <w:t>工序</w:t>
            </w:r>
          </w:p>
        </w:tc>
        <w:tc>
          <w:tcPr>
            <w:tcW w:w="557" w:type="pct"/>
            <w:vMerge w:val="restart"/>
            <w:vAlign w:val="center"/>
          </w:tcPr>
          <w:p w14:paraId="3E4FF82B">
            <w:pPr>
              <w:pStyle w:val="445"/>
              <w:rPr>
                <w:rFonts w:cs="Times New Roman"/>
                <w:kern w:val="0"/>
                <w:szCs w:val="20"/>
              </w:rPr>
            </w:pPr>
            <w:r>
              <w:rPr>
                <w:rFonts w:cs="Times New Roman"/>
                <w:kern w:val="0"/>
                <w:szCs w:val="20"/>
              </w:rPr>
              <w:t>项目</w:t>
            </w:r>
          </w:p>
        </w:tc>
        <w:tc>
          <w:tcPr>
            <w:tcW w:w="3883" w:type="pct"/>
            <w:gridSpan w:val="7"/>
            <w:vAlign w:val="center"/>
          </w:tcPr>
          <w:p w14:paraId="7318804F">
            <w:pPr>
              <w:pStyle w:val="445"/>
              <w:rPr>
                <w:rFonts w:cs="Times New Roman"/>
                <w:kern w:val="0"/>
                <w:szCs w:val="20"/>
              </w:rPr>
            </w:pPr>
            <w:r>
              <w:rPr>
                <w:rFonts w:hint="eastAsia" w:cs="Times New Roman"/>
                <w:kern w:val="0"/>
                <w:szCs w:val="20"/>
              </w:rPr>
              <w:t>污染物</w:t>
            </w:r>
            <w:r>
              <w:rPr>
                <w:rFonts w:cs="Times New Roman"/>
                <w:kern w:val="0"/>
                <w:szCs w:val="20"/>
              </w:rPr>
              <w:t>浓度（</w:t>
            </w:r>
            <w:r>
              <w:rPr>
                <w:rFonts w:hint="eastAsia" w:cs="Times New Roman"/>
                <w:kern w:val="0"/>
                <w:szCs w:val="20"/>
              </w:rPr>
              <w:t>mg</w:t>
            </w:r>
            <w:r>
              <w:rPr>
                <w:rFonts w:cs="Times New Roman"/>
                <w:kern w:val="0"/>
                <w:szCs w:val="20"/>
              </w:rPr>
              <w:t>/L）</w:t>
            </w:r>
          </w:p>
        </w:tc>
      </w:tr>
      <w:tr w14:paraId="59EC1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60" w:type="pct"/>
            <w:vMerge w:val="continue"/>
            <w:vAlign w:val="center"/>
          </w:tcPr>
          <w:p w14:paraId="229821EF">
            <w:pPr>
              <w:pStyle w:val="445"/>
              <w:rPr>
                <w:rFonts w:cs="Times New Roman"/>
                <w:kern w:val="0"/>
                <w:szCs w:val="20"/>
              </w:rPr>
            </w:pPr>
          </w:p>
        </w:tc>
        <w:tc>
          <w:tcPr>
            <w:tcW w:w="557" w:type="pct"/>
            <w:vMerge w:val="continue"/>
            <w:vAlign w:val="center"/>
          </w:tcPr>
          <w:p w14:paraId="415A856C">
            <w:pPr>
              <w:pStyle w:val="445"/>
              <w:rPr>
                <w:rFonts w:cs="Times New Roman"/>
                <w:kern w:val="0"/>
                <w:szCs w:val="20"/>
              </w:rPr>
            </w:pPr>
          </w:p>
        </w:tc>
        <w:tc>
          <w:tcPr>
            <w:tcW w:w="557" w:type="pct"/>
            <w:vAlign w:val="center"/>
          </w:tcPr>
          <w:p w14:paraId="48BD5188">
            <w:pPr>
              <w:pStyle w:val="445"/>
              <w:rPr>
                <w:rFonts w:cs="Times New Roman"/>
                <w:kern w:val="0"/>
                <w:szCs w:val="20"/>
              </w:rPr>
            </w:pPr>
            <w:r>
              <w:rPr>
                <w:rFonts w:hint="eastAsia" w:cs="Times New Roman"/>
                <w:kern w:val="0"/>
                <w:szCs w:val="20"/>
              </w:rPr>
              <w:t>COD</w:t>
            </w:r>
          </w:p>
        </w:tc>
        <w:tc>
          <w:tcPr>
            <w:tcW w:w="556" w:type="pct"/>
            <w:vAlign w:val="center"/>
          </w:tcPr>
          <w:p w14:paraId="21EDAB52">
            <w:pPr>
              <w:pStyle w:val="445"/>
              <w:rPr>
                <w:rFonts w:cs="Times New Roman"/>
                <w:kern w:val="0"/>
                <w:szCs w:val="20"/>
              </w:rPr>
            </w:pPr>
            <w:r>
              <w:rPr>
                <w:rFonts w:hint="eastAsia" w:cs="Times New Roman"/>
                <w:kern w:val="0"/>
                <w:szCs w:val="20"/>
              </w:rPr>
              <w:t>SS</w:t>
            </w:r>
          </w:p>
        </w:tc>
        <w:tc>
          <w:tcPr>
            <w:tcW w:w="557" w:type="pct"/>
            <w:vAlign w:val="center"/>
          </w:tcPr>
          <w:p w14:paraId="35D22542">
            <w:pPr>
              <w:pStyle w:val="445"/>
              <w:rPr>
                <w:rFonts w:cs="Times New Roman"/>
                <w:kern w:val="0"/>
                <w:szCs w:val="20"/>
              </w:rPr>
            </w:pPr>
            <w:r>
              <w:rPr>
                <w:rFonts w:hint="eastAsia" w:cs="Times New Roman"/>
                <w:kern w:val="0"/>
                <w:szCs w:val="20"/>
              </w:rPr>
              <w:t>氨氮</w:t>
            </w:r>
          </w:p>
        </w:tc>
        <w:tc>
          <w:tcPr>
            <w:tcW w:w="554" w:type="pct"/>
          </w:tcPr>
          <w:p w14:paraId="57D6EA01">
            <w:pPr>
              <w:pStyle w:val="445"/>
              <w:rPr>
                <w:rFonts w:cs="Times New Roman"/>
                <w:kern w:val="0"/>
                <w:szCs w:val="20"/>
              </w:rPr>
            </w:pPr>
            <w:r>
              <w:rPr>
                <w:rFonts w:hint="eastAsia" w:cs="Times New Roman"/>
                <w:kern w:val="0"/>
                <w:szCs w:val="20"/>
              </w:rPr>
              <w:t>盐分</w:t>
            </w:r>
          </w:p>
        </w:tc>
        <w:tc>
          <w:tcPr>
            <w:tcW w:w="554" w:type="pct"/>
          </w:tcPr>
          <w:p w14:paraId="68AC69D3">
            <w:pPr>
              <w:pStyle w:val="445"/>
              <w:rPr>
                <w:rFonts w:cs="Times New Roman"/>
                <w:kern w:val="0"/>
                <w:szCs w:val="20"/>
              </w:rPr>
            </w:pPr>
            <w:r>
              <w:rPr>
                <w:rFonts w:hint="eastAsia" w:cs="Times New Roman"/>
                <w:kern w:val="0"/>
                <w:szCs w:val="20"/>
              </w:rPr>
              <w:t>氟化物</w:t>
            </w:r>
          </w:p>
        </w:tc>
        <w:tc>
          <w:tcPr>
            <w:tcW w:w="553" w:type="pct"/>
          </w:tcPr>
          <w:p w14:paraId="2145D896">
            <w:pPr>
              <w:pStyle w:val="445"/>
              <w:rPr>
                <w:rFonts w:cs="Times New Roman"/>
                <w:kern w:val="0"/>
                <w:szCs w:val="20"/>
                <w:vertAlign w:val="subscript"/>
              </w:rPr>
            </w:pPr>
            <w:r>
              <w:rPr>
                <w:rFonts w:hint="eastAsia" w:cs="Times New Roman"/>
                <w:kern w:val="0"/>
                <w:szCs w:val="20"/>
              </w:rPr>
              <w:t>B</w:t>
            </w:r>
            <w:r>
              <w:rPr>
                <w:rFonts w:cs="Times New Roman"/>
                <w:kern w:val="0"/>
                <w:szCs w:val="20"/>
              </w:rPr>
              <w:t>OD</w:t>
            </w:r>
            <w:r>
              <w:rPr>
                <w:rFonts w:cs="Times New Roman"/>
                <w:kern w:val="0"/>
                <w:szCs w:val="20"/>
                <w:vertAlign w:val="subscript"/>
              </w:rPr>
              <w:t>5</w:t>
            </w:r>
          </w:p>
        </w:tc>
        <w:tc>
          <w:tcPr>
            <w:tcW w:w="552" w:type="pct"/>
          </w:tcPr>
          <w:p w14:paraId="15B604B0">
            <w:pPr>
              <w:pStyle w:val="445"/>
              <w:rPr>
                <w:rFonts w:cs="Times New Roman"/>
                <w:kern w:val="0"/>
                <w:szCs w:val="20"/>
              </w:rPr>
            </w:pPr>
            <w:r>
              <w:rPr>
                <w:rFonts w:hint="eastAsia" w:cs="Times New Roman"/>
                <w:kern w:val="0"/>
                <w:szCs w:val="20"/>
              </w:rPr>
              <w:t>TP</w:t>
            </w:r>
          </w:p>
        </w:tc>
      </w:tr>
      <w:tr w14:paraId="503E89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0" w:type="pct"/>
            <w:vMerge w:val="restart"/>
            <w:vAlign w:val="center"/>
          </w:tcPr>
          <w:p w14:paraId="52689525">
            <w:pPr>
              <w:pStyle w:val="445"/>
              <w:rPr>
                <w:rFonts w:cs="Times New Roman"/>
                <w:kern w:val="0"/>
                <w:szCs w:val="20"/>
              </w:rPr>
            </w:pPr>
            <w:r>
              <w:rPr>
                <w:rFonts w:hint="eastAsia" w:cs="Times New Roman"/>
                <w:kern w:val="0"/>
                <w:szCs w:val="20"/>
              </w:rPr>
              <w:t>污水</w:t>
            </w:r>
            <w:r>
              <w:rPr>
                <w:rFonts w:cs="Times New Roman"/>
                <w:kern w:val="0"/>
                <w:szCs w:val="20"/>
              </w:rPr>
              <w:t>处理站</w:t>
            </w:r>
          </w:p>
        </w:tc>
        <w:tc>
          <w:tcPr>
            <w:tcW w:w="557" w:type="pct"/>
            <w:vAlign w:val="center"/>
          </w:tcPr>
          <w:p w14:paraId="112E8143">
            <w:pPr>
              <w:pStyle w:val="445"/>
              <w:rPr>
                <w:rFonts w:cs="Times New Roman"/>
                <w:kern w:val="0"/>
                <w:szCs w:val="20"/>
              </w:rPr>
            </w:pPr>
            <w:r>
              <w:rPr>
                <w:rFonts w:hint="eastAsia" w:cs="Times New Roman"/>
                <w:kern w:val="0"/>
                <w:szCs w:val="20"/>
              </w:rPr>
              <w:t>进水</w:t>
            </w:r>
          </w:p>
        </w:tc>
        <w:tc>
          <w:tcPr>
            <w:tcW w:w="557" w:type="pct"/>
            <w:vAlign w:val="center"/>
          </w:tcPr>
          <w:p w14:paraId="4021B27E">
            <w:pPr>
              <w:pStyle w:val="445"/>
              <w:rPr>
                <w:rFonts w:cs="Times New Roman"/>
                <w:kern w:val="0"/>
                <w:szCs w:val="20"/>
              </w:rPr>
            </w:pPr>
            <w:r>
              <w:rPr>
                <w:rFonts w:hint="eastAsia" w:cs="Times New Roman"/>
                <w:kern w:val="0"/>
                <w:szCs w:val="20"/>
              </w:rPr>
              <w:t>2031.804</w:t>
            </w:r>
          </w:p>
        </w:tc>
        <w:tc>
          <w:tcPr>
            <w:tcW w:w="556" w:type="pct"/>
            <w:vAlign w:val="center"/>
          </w:tcPr>
          <w:p w14:paraId="67C96CBB">
            <w:pPr>
              <w:pStyle w:val="445"/>
              <w:rPr>
                <w:rFonts w:cs="Times New Roman"/>
                <w:kern w:val="0"/>
                <w:szCs w:val="20"/>
              </w:rPr>
            </w:pPr>
            <w:r>
              <w:rPr>
                <w:rFonts w:hint="eastAsia" w:cs="Times New Roman"/>
                <w:kern w:val="0"/>
                <w:szCs w:val="20"/>
              </w:rPr>
              <w:t>217.9</w:t>
            </w:r>
            <w:r>
              <w:rPr>
                <w:rFonts w:cs="Times New Roman"/>
                <w:kern w:val="0"/>
                <w:szCs w:val="20"/>
              </w:rPr>
              <w:t>81</w:t>
            </w:r>
          </w:p>
        </w:tc>
        <w:tc>
          <w:tcPr>
            <w:tcW w:w="557" w:type="pct"/>
            <w:vAlign w:val="center"/>
          </w:tcPr>
          <w:p w14:paraId="355D1D6C">
            <w:pPr>
              <w:pStyle w:val="445"/>
              <w:rPr>
                <w:rFonts w:cs="Times New Roman"/>
                <w:kern w:val="0"/>
                <w:szCs w:val="20"/>
              </w:rPr>
            </w:pPr>
            <w:r>
              <w:rPr>
                <w:rFonts w:hint="eastAsia" w:cs="Times New Roman"/>
                <w:kern w:val="0"/>
                <w:szCs w:val="20"/>
              </w:rPr>
              <w:t>19.273</w:t>
            </w:r>
          </w:p>
        </w:tc>
        <w:tc>
          <w:tcPr>
            <w:tcW w:w="554" w:type="pct"/>
          </w:tcPr>
          <w:p w14:paraId="15DFEFF8">
            <w:pPr>
              <w:pStyle w:val="445"/>
              <w:rPr>
                <w:rFonts w:cs="Times New Roman"/>
                <w:kern w:val="0"/>
                <w:szCs w:val="20"/>
              </w:rPr>
            </w:pPr>
            <w:r>
              <w:rPr>
                <w:rFonts w:hint="eastAsia" w:cs="Times New Roman"/>
                <w:kern w:val="0"/>
                <w:szCs w:val="20"/>
              </w:rPr>
              <w:t>298.297</w:t>
            </w:r>
          </w:p>
        </w:tc>
        <w:tc>
          <w:tcPr>
            <w:tcW w:w="554" w:type="pct"/>
          </w:tcPr>
          <w:p w14:paraId="667BBF9B">
            <w:pPr>
              <w:pStyle w:val="445"/>
              <w:rPr>
                <w:rFonts w:cs="Times New Roman"/>
                <w:kern w:val="0"/>
                <w:szCs w:val="20"/>
              </w:rPr>
            </w:pPr>
            <w:r>
              <w:rPr>
                <w:rFonts w:cs="Times New Roman"/>
                <w:kern w:val="0"/>
                <w:szCs w:val="20"/>
              </w:rPr>
              <w:t>0.246</w:t>
            </w:r>
          </w:p>
        </w:tc>
        <w:tc>
          <w:tcPr>
            <w:tcW w:w="553" w:type="pct"/>
          </w:tcPr>
          <w:p w14:paraId="083DC989">
            <w:pPr>
              <w:pStyle w:val="445"/>
              <w:rPr>
                <w:rFonts w:cs="Times New Roman"/>
                <w:kern w:val="0"/>
                <w:szCs w:val="20"/>
              </w:rPr>
            </w:pPr>
            <w:r>
              <w:rPr>
                <w:rFonts w:hint="eastAsia" w:cs="Times New Roman"/>
                <w:kern w:val="0"/>
                <w:szCs w:val="20"/>
              </w:rPr>
              <w:t>12.449</w:t>
            </w:r>
          </w:p>
        </w:tc>
        <w:tc>
          <w:tcPr>
            <w:tcW w:w="552" w:type="pct"/>
          </w:tcPr>
          <w:p w14:paraId="2FAA0BE9">
            <w:pPr>
              <w:pStyle w:val="445"/>
              <w:rPr>
                <w:rFonts w:cs="Times New Roman"/>
                <w:kern w:val="0"/>
                <w:szCs w:val="20"/>
              </w:rPr>
            </w:pPr>
            <w:r>
              <w:rPr>
                <w:rFonts w:hint="eastAsia" w:cs="Times New Roman"/>
                <w:kern w:val="0"/>
                <w:szCs w:val="20"/>
              </w:rPr>
              <w:t>0.086</w:t>
            </w:r>
          </w:p>
        </w:tc>
      </w:tr>
      <w:tr w14:paraId="027E6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0" w:type="pct"/>
            <w:vMerge w:val="continue"/>
            <w:vAlign w:val="center"/>
          </w:tcPr>
          <w:p w14:paraId="0A37A2EF">
            <w:pPr>
              <w:pStyle w:val="445"/>
              <w:rPr>
                <w:rFonts w:cs="Times New Roman"/>
                <w:kern w:val="0"/>
                <w:szCs w:val="20"/>
              </w:rPr>
            </w:pPr>
          </w:p>
        </w:tc>
        <w:tc>
          <w:tcPr>
            <w:tcW w:w="557" w:type="pct"/>
            <w:vAlign w:val="center"/>
          </w:tcPr>
          <w:p w14:paraId="13725AEE">
            <w:pPr>
              <w:pStyle w:val="445"/>
              <w:rPr>
                <w:rFonts w:cs="Times New Roman"/>
                <w:kern w:val="0"/>
                <w:szCs w:val="20"/>
              </w:rPr>
            </w:pPr>
            <w:r>
              <w:rPr>
                <w:rFonts w:hint="eastAsia" w:cs="Times New Roman"/>
                <w:kern w:val="0"/>
                <w:szCs w:val="20"/>
              </w:rPr>
              <w:t>处理</w:t>
            </w:r>
            <w:r>
              <w:rPr>
                <w:rFonts w:cs="Times New Roman"/>
                <w:kern w:val="0"/>
                <w:szCs w:val="20"/>
              </w:rPr>
              <w:t>效率</w:t>
            </w:r>
          </w:p>
        </w:tc>
        <w:tc>
          <w:tcPr>
            <w:tcW w:w="557" w:type="pct"/>
            <w:vAlign w:val="center"/>
          </w:tcPr>
          <w:p w14:paraId="25172777">
            <w:pPr>
              <w:pStyle w:val="445"/>
              <w:rPr>
                <w:rFonts w:cs="Times New Roman"/>
                <w:kern w:val="0"/>
                <w:szCs w:val="20"/>
              </w:rPr>
            </w:pPr>
            <w:r>
              <w:rPr>
                <w:rFonts w:hint="eastAsia" w:cs="Times New Roman"/>
                <w:kern w:val="0"/>
                <w:szCs w:val="20"/>
              </w:rPr>
              <w:t>95</w:t>
            </w:r>
            <w:r>
              <w:rPr>
                <w:rFonts w:cs="Times New Roman"/>
                <w:kern w:val="0"/>
                <w:szCs w:val="20"/>
              </w:rPr>
              <w:t>%</w:t>
            </w:r>
          </w:p>
        </w:tc>
        <w:tc>
          <w:tcPr>
            <w:tcW w:w="556" w:type="pct"/>
            <w:vAlign w:val="center"/>
          </w:tcPr>
          <w:p w14:paraId="0451D341">
            <w:pPr>
              <w:pStyle w:val="445"/>
              <w:rPr>
                <w:rFonts w:cs="Times New Roman"/>
                <w:kern w:val="0"/>
                <w:szCs w:val="20"/>
              </w:rPr>
            </w:pPr>
            <w:r>
              <w:rPr>
                <w:rFonts w:hint="eastAsia" w:cs="Times New Roman"/>
                <w:kern w:val="0"/>
                <w:szCs w:val="20"/>
              </w:rPr>
              <w:t>80</w:t>
            </w:r>
            <w:r>
              <w:rPr>
                <w:rFonts w:cs="Times New Roman"/>
                <w:kern w:val="0"/>
                <w:szCs w:val="20"/>
              </w:rPr>
              <w:t>%</w:t>
            </w:r>
          </w:p>
        </w:tc>
        <w:tc>
          <w:tcPr>
            <w:tcW w:w="557" w:type="pct"/>
            <w:vAlign w:val="center"/>
          </w:tcPr>
          <w:p w14:paraId="522221FB">
            <w:pPr>
              <w:pStyle w:val="445"/>
              <w:rPr>
                <w:rFonts w:cs="Times New Roman"/>
                <w:kern w:val="0"/>
                <w:szCs w:val="20"/>
              </w:rPr>
            </w:pPr>
            <w:r>
              <w:rPr>
                <w:rFonts w:hint="eastAsia" w:cs="Times New Roman"/>
                <w:kern w:val="0"/>
                <w:szCs w:val="20"/>
              </w:rPr>
              <w:t>70</w:t>
            </w:r>
            <w:r>
              <w:rPr>
                <w:rFonts w:cs="Times New Roman"/>
                <w:kern w:val="0"/>
                <w:szCs w:val="20"/>
              </w:rPr>
              <w:t>%</w:t>
            </w:r>
          </w:p>
        </w:tc>
        <w:tc>
          <w:tcPr>
            <w:tcW w:w="554" w:type="pct"/>
          </w:tcPr>
          <w:p w14:paraId="3744C0D4">
            <w:pPr>
              <w:pStyle w:val="445"/>
              <w:rPr>
                <w:rFonts w:cs="Times New Roman"/>
                <w:kern w:val="0"/>
                <w:szCs w:val="20"/>
              </w:rPr>
            </w:pPr>
            <w:r>
              <w:rPr>
                <w:rFonts w:hint="eastAsia" w:cs="Times New Roman"/>
                <w:kern w:val="0"/>
                <w:szCs w:val="20"/>
              </w:rPr>
              <w:t>50</w:t>
            </w:r>
            <w:r>
              <w:rPr>
                <w:rFonts w:cs="Times New Roman"/>
                <w:kern w:val="0"/>
                <w:szCs w:val="20"/>
              </w:rPr>
              <w:t>%</w:t>
            </w:r>
          </w:p>
        </w:tc>
        <w:tc>
          <w:tcPr>
            <w:tcW w:w="554" w:type="pct"/>
          </w:tcPr>
          <w:p w14:paraId="26829C48">
            <w:pPr>
              <w:pStyle w:val="445"/>
              <w:rPr>
                <w:rFonts w:cs="Times New Roman"/>
                <w:kern w:val="0"/>
                <w:szCs w:val="20"/>
              </w:rPr>
            </w:pPr>
            <w:r>
              <w:rPr>
                <w:rFonts w:hint="eastAsia" w:cs="Times New Roman"/>
                <w:kern w:val="0"/>
                <w:szCs w:val="20"/>
              </w:rPr>
              <w:t>0</w:t>
            </w:r>
          </w:p>
        </w:tc>
        <w:tc>
          <w:tcPr>
            <w:tcW w:w="553" w:type="pct"/>
          </w:tcPr>
          <w:p w14:paraId="73900E83">
            <w:pPr>
              <w:pStyle w:val="445"/>
              <w:rPr>
                <w:rFonts w:cs="Times New Roman"/>
                <w:kern w:val="0"/>
                <w:szCs w:val="20"/>
              </w:rPr>
            </w:pPr>
            <w:r>
              <w:rPr>
                <w:rFonts w:hint="eastAsia" w:cs="Times New Roman"/>
                <w:kern w:val="0"/>
                <w:szCs w:val="20"/>
              </w:rPr>
              <w:t>90</w:t>
            </w:r>
            <w:r>
              <w:rPr>
                <w:rFonts w:cs="Times New Roman"/>
                <w:kern w:val="0"/>
                <w:szCs w:val="20"/>
              </w:rPr>
              <w:t>%</w:t>
            </w:r>
          </w:p>
        </w:tc>
        <w:tc>
          <w:tcPr>
            <w:tcW w:w="552" w:type="pct"/>
          </w:tcPr>
          <w:p w14:paraId="3E1975E3">
            <w:pPr>
              <w:pStyle w:val="445"/>
              <w:rPr>
                <w:rFonts w:cs="Times New Roman"/>
                <w:kern w:val="0"/>
                <w:szCs w:val="20"/>
              </w:rPr>
            </w:pPr>
            <w:r>
              <w:rPr>
                <w:rFonts w:hint="eastAsia" w:cs="Times New Roman"/>
                <w:kern w:val="0"/>
                <w:szCs w:val="20"/>
              </w:rPr>
              <w:t>70</w:t>
            </w:r>
            <w:r>
              <w:rPr>
                <w:rFonts w:cs="Times New Roman"/>
                <w:kern w:val="0"/>
                <w:szCs w:val="20"/>
              </w:rPr>
              <w:t>%</w:t>
            </w:r>
          </w:p>
        </w:tc>
      </w:tr>
      <w:tr w14:paraId="7F449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0" w:type="pct"/>
            <w:vMerge w:val="continue"/>
            <w:vAlign w:val="center"/>
          </w:tcPr>
          <w:p w14:paraId="46DA0B80">
            <w:pPr>
              <w:pStyle w:val="445"/>
              <w:rPr>
                <w:rFonts w:cs="Times New Roman"/>
                <w:kern w:val="0"/>
                <w:szCs w:val="20"/>
              </w:rPr>
            </w:pPr>
          </w:p>
        </w:tc>
        <w:tc>
          <w:tcPr>
            <w:tcW w:w="557" w:type="pct"/>
            <w:vAlign w:val="center"/>
          </w:tcPr>
          <w:p w14:paraId="35F806D1">
            <w:pPr>
              <w:pStyle w:val="445"/>
              <w:rPr>
                <w:rFonts w:cs="Times New Roman"/>
                <w:kern w:val="0"/>
                <w:szCs w:val="20"/>
              </w:rPr>
            </w:pPr>
            <w:r>
              <w:rPr>
                <w:rFonts w:hint="eastAsia" w:cs="Times New Roman"/>
                <w:kern w:val="0"/>
                <w:szCs w:val="20"/>
              </w:rPr>
              <w:t>出水</w:t>
            </w:r>
          </w:p>
        </w:tc>
        <w:tc>
          <w:tcPr>
            <w:tcW w:w="557" w:type="pct"/>
            <w:vAlign w:val="center"/>
          </w:tcPr>
          <w:p w14:paraId="072A5E30">
            <w:pPr>
              <w:pStyle w:val="445"/>
              <w:rPr>
                <w:rFonts w:cs="Times New Roman"/>
                <w:kern w:val="0"/>
                <w:szCs w:val="20"/>
              </w:rPr>
            </w:pPr>
            <w:r>
              <w:rPr>
                <w:rFonts w:cs="Times New Roman"/>
                <w:kern w:val="0"/>
                <w:szCs w:val="20"/>
              </w:rPr>
              <w:t>101.59</w:t>
            </w:r>
          </w:p>
        </w:tc>
        <w:tc>
          <w:tcPr>
            <w:tcW w:w="556" w:type="pct"/>
            <w:vAlign w:val="center"/>
          </w:tcPr>
          <w:p w14:paraId="7F6C1E3E">
            <w:pPr>
              <w:pStyle w:val="445"/>
              <w:rPr>
                <w:rFonts w:cs="Times New Roman"/>
                <w:kern w:val="0"/>
                <w:szCs w:val="20"/>
              </w:rPr>
            </w:pPr>
            <w:r>
              <w:rPr>
                <w:rFonts w:hint="eastAsia" w:cs="Times New Roman"/>
                <w:kern w:val="0"/>
                <w:szCs w:val="20"/>
              </w:rPr>
              <w:t>43.</w:t>
            </w:r>
            <w:r>
              <w:rPr>
                <w:rFonts w:cs="Times New Roman"/>
                <w:kern w:val="0"/>
                <w:szCs w:val="20"/>
              </w:rPr>
              <w:t>596</w:t>
            </w:r>
          </w:p>
        </w:tc>
        <w:tc>
          <w:tcPr>
            <w:tcW w:w="557" w:type="pct"/>
            <w:vAlign w:val="center"/>
          </w:tcPr>
          <w:p w14:paraId="71D12350">
            <w:pPr>
              <w:pStyle w:val="445"/>
              <w:rPr>
                <w:rFonts w:cs="Times New Roman"/>
                <w:kern w:val="0"/>
                <w:szCs w:val="20"/>
              </w:rPr>
            </w:pPr>
            <w:r>
              <w:rPr>
                <w:rFonts w:hint="eastAsia" w:cs="Times New Roman"/>
                <w:kern w:val="0"/>
                <w:szCs w:val="20"/>
              </w:rPr>
              <w:t>5.782</w:t>
            </w:r>
          </w:p>
        </w:tc>
        <w:tc>
          <w:tcPr>
            <w:tcW w:w="554" w:type="pct"/>
          </w:tcPr>
          <w:p w14:paraId="7FABD393">
            <w:pPr>
              <w:pStyle w:val="445"/>
              <w:rPr>
                <w:rFonts w:cs="Times New Roman"/>
                <w:kern w:val="0"/>
                <w:szCs w:val="20"/>
              </w:rPr>
            </w:pPr>
            <w:r>
              <w:rPr>
                <w:rFonts w:hint="eastAsia" w:cs="Times New Roman"/>
                <w:kern w:val="0"/>
                <w:szCs w:val="20"/>
              </w:rPr>
              <w:t>149.149</w:t>
            </w:r>
          </w:p>
        </w:tc>
        <w:tc>
          <w:tcPr>
            <w:tcW w:w="554" w:type="pct"/>
          </w:tcPr>
          <w:p w14:paraId="7DE292C9">
            <w:pPr>
              <w:pStyle w:val="445"/>
              <w:rPr>
                <w:rFonts w:cs="Times New Roman"/>
                <w:kern w:val="0"/>
                <w:szCs w:val="20"/>
              </w:rPr>
            </w:pPr>
            <w:r>
              <w:rPr>
                <w:rFonts w:cs="Times New Roman"/>
                <w:kern w:val="0"/>
                <w:szCs w:val="20"/>
              </w:rPr>
              <w:t>0.246</w:t>
            </w:r>
          </w:p>
        </w:tc>
        <w:tc>
          <w:tcPr>
            <w:tcW w:w="553" w:type="pct"/>
          </w:tcPr>
          <w:p w14:paraId="528E4442">
            <w:pPr>
              <w:pStyle w:val="445"/>
              <w:rPr>
                <w:rFonts w:cs="Times New Roman"/>
                <w:kern w:val="0"/>
                <w:szCs w:val="20"/>
              </w:rPr>
            </w:pPr>
            <w:r>
              <w:rPr>
                <w:rFonts w:hint="eastAsia" w:cs="Times New Roman"/>
                <w:kern w:val="0"/>
                <w:szCs w:val="20"/>
              </w:rPr>
              <w:t>1.245</w:t>
            </w:r>
          </w:p>
        </w:tc>
        <w:tc>
          <w:tcPr>
            <w:tcW w:w="552" w:type="pct"/>
          </w:tcPr>
          <w:p w14:paraId="46D317A1">
            <w:pPr>
              <w:pStyle w:val="445"/>
              <w:rPr>
                <w:rFonts w:cs="Times New Roman"/>
                <w:kern w:val="0"/>
                <w:szCs w:val="20"/>
              </w:rPr>
            </w:pPr>
            <w:r>
              <w:rPr>
                <w:rFonts w:hint="eastAsia" w:cs="Times New Roman"/>
                <w:kern w:val="0"/>
                <w:szCs w:val="20"/>
              </w:rPr>
              <w:t>0.026</w:t>
            </w:r>
          </w:p>
        </w:tc>
      </w:tr>
    </w:tbl>
    <w:p w14:paraId="063FE29F">
      <w:pPr>
        <w:pStyle w:val="4068"/>
      </w:pPr>
      <w:bookmarkStart w:id="403" w:name="_Toc150565666"/>
      <w:bookmarkEnd w:id="403"/>
      <w:bookmarkStart w:id="404" w:name="_Toc69644168"/>
      <w:bookmarkEnd w:id="404"/>
      <w:bookmarkStart w:id="405" w:name="_Toc150757245"/>
      <w:bookmarkEnd w:id="405"/>
      <w:bookmarkStart w:id="406" w:name="_Toc468617117"/>
      <w:bookmarkEnd w:id="406"/>
      <w:bookmarkStart w:id="407" w:name="_Toc102186521"/>
      <w:bookmarkEnd w:id="407"/>
      <w:bookmarkStart w:id="408" w:name="_Toc158042707"/>
      <w:bookmarkEnd w:id="408"/>
      <w:bookmarkStart w:id="409" w:name="_Toc394045992"/>
      <w:bookmarkEnd w:id="409"/>
      <w:bookmarkStart w:id="410" w:name="_Toc474323750"/>
      <w:bookmarkEnd w:id="410"/>
      <w:bookmarkStart w:id="411" w:name="_Toc45618557"/>
      <w:bookmarkEnd w:id="411"/>
      <w:bookmarkStart w:id="412" w:name="_Toc74328093"/>
      <w:bookmarkEnd w:id="412"/>
      <w:bookmarkStart w:id="413" w:name="_Toc58511632"/>
      <w:bookmarkEnd w:id="413"/>
      <w:bookmarkStart w:id="414" w:name="_Toc150757001"/>
      <w:bookmarkEnd w:id="414"/>
      <w:bookmarkStart w:id="415" w:name="_Toc167159778"/>
      <w:bookmarkEnd w:id="415"/>
      <w:bookmarkStart w:id="416" w:name="_Toc57101350"/>
      <w:bookmarkEnd w:id="416"/>
      <w:bookmarkStart w:id="417" w:name="_Toc100784089"/>
      <w:bookmarkStart w:id="418" w:name="_Toc101135922"/>
      <w:bookmarkStart w:id="419" w:name="_Toc108662699"/>
      <w:bookmarkStart w:id="420" w:name="_Toc93428415"/>
      <w:r>
        <w:t>6.2.2</w:t>
      </w:r>
      <w:r>
        <w:rPr>
          <w:rFonts w:hint="eastAsia"/>
        </w:rPr>
        <w:t>接管沫河口污水处理厂</w:t>
      </w:r>
      <w:r>
        <w:t>可行性</w:t>
      </w:r>
      <w:bookmarkEnd w:id="417"/>
      <w:bookmarkEnd w:id="418"/>
      <w:bookmarkEnd w:id="419"/>
    </w:p>
    <w:p w14:paraId="5BE591E0">
      <w:pPr>
        <w:pStyle w:val="349"/>
        <w:rPr>
          <w:lang w:val="zh-CN"/>
        </w:rPr>
      </w:pPr>
      <w:r>
        <w:rPr>
          <w:lang w:val="zh-CN"/>
        </w:rPr>
        <w:t>6</w:t>
      </w:r>
      <w:r>
        <w:rPr>
          <w:rFonts w:hint="eastAsia"/>
          <w:lang w:val="zh-CN"/>
        </w:rPr>
        <w:t>.</w:t>
      </w:r>
      <w:r>
        <w:rPr>
          <w:lang w:val="zh-CN"/>
        </w:rPr>
        <w:t>2</w:t>
      </w:r>
      <w:r>
        <w:rPr>
          <w:rFonts w:hint="eastAsia"/>
          <w:lang w:val="zh-CN"/>
        </w:rPr>
        <w:t>.</w:t>
      </w:r>
      <w:r>
        <w:rPr>
          <w:lang w:val="zh-CN"/>
        </w:rPr>
        <w:t>2</w:t>
      </w:r>
      <w:r>
        <w:rPr>
          <w:rFonts w:hint="eastAsia"/>
          <w:lang w:val="zh-CN"/>
        </w:rPr>
        <w:t>.1</w:t>
      </w:r>
      <w:r>
        <w:rPr>
          <w:rFonts w:hint="eastAsia"/>
        </w:rPr>
        <w:t>沫河口污水处理厂</w:t>
      </w:r>
      <w:r>
        <w:rPr>
          <w:rFonts w:hint="eastAsia"/>
          <w:lang w:val="zh-CN"/>
        </w:rPr>
        <w:t>简介</w:t>
      </w:r>
    </w:p>
    <w:p w14:paraId="111A2D59">
      <w:pPr>
        <w:ind w:firstLine="480"/>
      </w:pPr>
      <w:r>
        <w:rPr>
          <w:rFonts w:hint="eastAsia"/>
        </w:rPr>
        <w:t>蚌埠精细化工高新技术产业基地</w:t>
      </w:r>
      <w:r>
        <w:t>已建设1座污水处理厂，</w:t>
      </w:r>
      <w:r>
        <w:rPr>
          <w:rFonts w:hint="eastAsia"/>
        </w:rPr>
        <w:t>二期</w:t>
      </w:r>
      <w:r>
        <w:t>工程实际污水处理能力为20000t/d</w:t>
      </w:r>
      <w:r>
        <w:rPr>
          <w:rFonts w:hint="eastAsia"/>
        </w:rPr>
        <w:t>，三期工程污水处理能力为30000</w:t>
      </w:r>
      <w:r>
        <w:t xml:space="preserve"> t/d</w:t>
      </w:r>
      <w:r>
        <w:rPr>
          <w:rFonts w:hint="eastAsia"/>
        </w:rPr>
        <w:t>，</w:t>
      </w:r>
      <w:r>
        <w:t>采“曝气沉砂+调节+水解酸池+生物反应+沉淀+臭氧接触氧化+曝气+滤布过滤+消毒”处理工艺。</w:t>
      </w:r>
      <w:r>
        <w:rPr>
          <w:rFonts w:hint="eastAsia"/>
        </w:rPr>
        <w:t>沫河口污水处理厂</w:t>
      </w:r>
      <w:r>
        <w:t>处理工艺流程见</w:t>
      </w:r>
      <w:r>
        <w:rPr>
          <w:rFonts w:hint="eastAsia"/>
        </w:rPr>
        <w:t>图6.2</w:t>
      </w:r>
      <w:r>
        <w:t>.2</w:t>
      </w:r>
      <w:r>
        <w:rPr>
          <w:rFonts w:hint="eastAsia"/>
        </w:rPr>
        <w:t>-1。</w:t>
      </w:r>
    </w:p>
    <w:p w14:paraId="344A632F">
      <w:pPr>
        <w:ind w:firstLine="0" w:firstLineChars="0"/>
        <w:jc w:val="center"/>
        <w:rPr>
          <w:b/>
        </w:rPr>
      </w:pPr>
      <w:r>
        <w:object>
          <v:shape id="_x0000_i1030" o:spt="75" type="#_x0000_t75" style="height:162pt;width:438pt;" o:ole="t" filled="f" o:preferrelative="t" stroked="f" coordsize="21600,21600">
            <v:path/>
            <v:fill on="f" focussize="0,0"/>
            <v:stroke on="f" joinstyle="miter"/>
            <v:imagedata r:id="rId126" o:title=""/>
            <o:lock v:ext="edit" aspectratio="t"/>
            <w10:wrap type="none"/>
            <w10:anchorlock/>
          </v:shape>
          <o:OLEObject Type="Embed" ProgID="PBrush" ShapeID="_x0000_i1030" DrawAspect="Content" ObjectID="_1468075735" r:id="rId125">
            <o:LockedField>false</o:LockedField>
          </o:OLEObject>
        </w:object>
      </w:r>
    </w:p>
    <w:p w14:paraId="24CBD03A">
      <w:pPr>
        <w:spacing w:line="500" w:lineRule="exact"/>
        <w:ind w:firstLine="480" w:firstLineChars="0"/>
        <w:jc w:val="center"/>
        <w:rPr>
          <w:rFonts w:eastAsia="黑体"/>
        </w:rPr>
      </w:pPr>
      <w:r>
        <w:rPr>
          <w:rFonts w:hint="eastAsia" w:eastAsia="黑体"/>
        </w:rPr>
        <w:t>图6.2.2</w:t>
      </w:r>
      <w:r>
        <w:rPr>
          <w:rFonts w:eastAsia="黑体"/>
        </w:rPr>
        <w:t xml:space="preserve">-1  </w:t>
      </w:r>
      <w:r>
        <w:rPr>
          <w:rFonts w:hint="eastAsia" w:eastAsia="黑体"/>
        </w:rPr>
        <w:t>沫河口</w:t>
      </w:r>
      <w:r>
        <w:rPr>
          <w:rFonts w:eastAsia="黑体"/>
        </w:rPr>
        <w:t>污水处理厂工艺流程图</w:t>
      </w:r>
    </w:p>
    <w:p w14:paraId="3A0005DB">
      <w:pPr>
        <w:ind w:firstLine="480"/>
      </w:pPr>
      <w:r>
        <w:rPr>
          <w:rFonts w:hint="eastAsia"/>
        </w:rPr>
        <w:t>污水处理厂的设计进出水水质及处理效率见表</w:t>
      </w:r>
      <w:r>
        <w:t>6.2.2-1</w:t>
      </w:r>
      <w:r>
        <w:rPr>
          <w:rFonts w:hint="eastAsia"/>
        </w:rPr>
        <w:t>。</w:t>
      </w:r>
    </w:p>
    <w:p w14:paraId="2DED72A9">
      <w:pPr>
        <w:spacing w:line="500" w:lineRule="exact"/>
        <w:ind w:firstLine="480" w:firstLineChars="0"/>
        <w:jc w:val="center"/>
        <w:rPr>
          <w:rFonts w:eastAsia="黑体"/>
        </w:rPr>
      </w:pPr>
      <w:r>
        <w:rPr>
          <w:rFonts w:hint="eastAsia" w:eastAsia="黑体"/>
        </w:rPr>
        <w:t>表6.2.2</w:t>
      </w:r>
      <w:r>
        <w:rPr>
          <w:rFonts w:eastAsia="黑体"/>
        </w:rPr>
        <w:t xml:space="preserve">-1  </w:t>
      </w:r>
      <w:r>
        <w:rPr>
          <w:rFonts w:hint="eastAsia" w:eastAsia="黑体"/>
        </w:rPr>
        <w:t>设计</w:t>
      </w:r>
      <w:r>
        <w:rPr>
          <w:rFonts w:eastAsia="黑体"/>
        </w:rPr>
        <w:t>进出水水质及处理</w:t>
      </w:r>
      <w:r>
        <w:rPr>
          <w:rFonts w:hint="eastAsia" w:eastAsia="黑体"/>
        </w:rPr>
        <w:t>效果</w:t>
      </w:r>
      <w:r>
        <w:rPr>
          <w:rFonts w:eastAsia="黑体"/>
        </w:rPr>
        <w:t>表</w:t>
      </w:r>
      <w:r>
        <w:rPr>
          <w:rFonts w:hint="eastAsia" w:eastAsia="黑体"/>
        </w:rPr>
        <w:t>（单位</w:t>
      </w:r>
      <w:r>
        <w:rPr>
          <w:rFonts w:eastAsia="黑体"/>
        </w:rPr>
        <w:t>：</w:t>
      </w:r>
      <w:r>
        <w:rPr>
          <w:rFonts w:hint="eastAsia" w:eastAsia="黑体"/>
        </w:rPr>
        <w:t>mg/L）</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78"/>
        <w:gridCol w:w="1449"/>
        <w:gridCol w:w="1283"/>
        <w:gridCol w:w="1283"/>
        <w:gridCol w:w="1283"/>
        <w:gridCol w:w="1283"/>
        <w:gridCol w:w="1283"/>
      </w:tblGrid>
      <w:tr w14:paraId="6BA83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746" w:type="pct"/>
          </w:tcPr>
          <w:p w14:paraId="0954778B">
            <w:pPr>
              <w:pStyle w:val="445"/>
              <w:rPr>
                <w:rFonts w:cs="Times New Roman"/>
                <w:kern w:val="0"/>
                <w:szCs w:val="20"/>
              </w:rPr>
            </w:pPr>
            <w:r>
              <w:rPr>
                <w:rFonts w:cs="Times New Roman"/>
                <w:kern w:val="0"/>
                <w:szCs w:val="20"/>
              </w:rPr>
              <w:t>污染物</w:t>
            </w:r>
          </w:p>
        </w:tc>
        <w:tc>
          <w:tcPr>
            <w:tcW w:w="784" w:type="pct"/>
          </w:tcPr>
          <w:p w14:paraId="087AC12D">
            <w:pPr>
              <w:pStyle w:val="445"/>
              <w:rPr>
                <w:rFonts w:cs="Times New Roman"/>
                <w:kern w:val="0"/>
                <w:szCs w:val="20"/>
              </w:rPr>
            </w:pPr>
            <w:r>
              <w:rPr>
                <w:rFonts w:cs="Times New Roman"/>
                <w:kern w:val="0"/>
                <w:szCs w:val="20"/>
              </w:rPr>
              <w:t>COD</w:t>
            </w:r>
          </w:p>
        </w:tc>
        <w:tc>
          <w:tcPr>
            <w:tcW w:w="694" w:type="pct"/>
          </w:tcPr>
          <w:p w14:paraId="68519F3B">
            <w:pPr>
              <w:pStyle w:val="445"/>
              <w:rPr>
                <w:rFonts w:cs="Times New Roman"/>
                <w:kern w:val="0"/>
                <w:szCs w:val="20"/>
              </w:rPr>
            </w:pPr>
            <w:r>
              <w:rPr>
                <w:rFonts w:cs="Times New Roman"/>
                <w:kern w:val="0"/>
                <w:szCs w:val="20"/>
              </w:rPr>
              <w:t>BOD</w:t>
            </w:r>
            <w:r>
              <w:rPr>
                <w:rFonts w:cs="Times New Roman"/>
                <w:kern w:val="0"/>
                <w:szCs w:val="20"/>
                <w:vertAlign w:val="subscript"/>
              </w:rPr>
              <w:t>5</w:t>
            </w:r>
          </w:p>
        </w:tc>
        <w:tc>
          <w:tcPr>
            <w:tcW w:w="694" w:type="pct"/>
          </w:tcPr>
          <w:p w14:paraId="1E568A01">
            <w:pPr>
              <w:pStyle w:val="445"/>
              <w:rPr>
                <w:rFonts w:cs="Times New Roman"/>
                <w:kern w:val="0"/>
                <w:szCs w:val="20"/>
              </w:rPr>
            </w:pPr>
            <w:r>
              <w:rPr>
                <w:rFonts w:cs="Times New Roman"/>
                <w:kern w:val="0"/>
                <w:szCs w:val="20"/>
              </w:rPr>
              <w:t>SS</w:t>
            </w:r>
          </w:p>
        </w:tc>
        <w:tc>
          <w:tcPr>
            <w:tcW w:w="694" w:type="pct"/>
          </w:tcPr>
          <w:p w14:paraId="78F90D98">
            <w:pPr>
              <w:pStyle w:val="445"/>
              <w:rPr>
                <w:rFonts w:cs="Times New Roman"/>
                <w:kern w:val="0"/>
                <w:szCs w:val="20"/>
              </w:rPr>
            </w:pPr>
            <w:r>
              <w:rPr>
                <w:rFonts w:cs="Times New Roman"/>
                <w:kern w:val="0"/>
                <w:szCs w:val="20"/>
              </w:rPr>
              <w:t>NH</w:t>
            </w:r>
            <w:r>
              <w:rPr>
                <w:rFonts w:cs="Times New Roman"/>
                <w:kern w:val="0"/>
                <w:szCs w:val="20"/>
                <w:vertAlign w:val="subscript"/>
              </w:rPr>
              <w:t>3</w:t>
            </w:r>
            <w:r>
              <w:rPr>
                <w:rFonts w:cs="Times New Roman"/>
                <w:kern w:val="0"/>
                <w:szCs w:val="20"/>
              </w:rPr>
              <w:t>-N</w:t>
            </w:r>
          </w:p>
        </w:tc>
        <w:tc>
          <w:tcPr>
            <w:tcW w:w="694" w:type="pct"/>
          </w:tcPr>
          <w:p w14:paraId="058B7A22">
            <w:pPr>
              <w:pStyle w:val="445"/>
              <w:rPr>
                <w:rFonts w:cs="Times New Roman"/>
                <w:kern w:val="0"/>
                <w:szCs w:val="20"/>
              </w:rPr>
            </w:pPr>
            <w:r>
              <w:rPr>
                <w:rFonts w:cs="Times New Roman"/>
                <w:kern w:val="0"/>
                <w:szCs w:val="20"/>
              </w:rPr>
              <w:t>TN</w:t>
            </w:r>
          </w:p>
        </w:tc>
        <w:tc>
          <w:tcPr>
            <w:tcW w:w="694" w:type="pct"/>
          </w:tcPr>
          <w:p w14:paraId="52D90BD8">
            <w:pPr>
              <w:pStyle w:val="445"/>
              <w:rPr>
                <w:rFonts w:cs="Times New Roman"/>
                <w:kern w:val="0"/>
                <w:szCs w:val="20"/>
              </w:rPr>
            </w:pPr>
            <w:r>
              <w:rPr>
                <w:rFonts w:cs="Times New Roman"/>
                <w:kern w:val="0"/>
                <w:szCs w:val="20"/>
              </w:rPr>
              <w:t>TP</w:t>
            </w:r>
          </w:p>
        </w:tc>
      </w:tr>
      <w:tr w14:paraId="387D01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746" w:type="pct"/>
          </w:tcPr>
          <w:p w14:paraId="307B3692">
            <w:pPr>
              <w:pStyle w:val="445"/>
              <w:rPr>
                <w:rFonts w:cs="Times New Roman"/>
                <w:kern w:val="0"/>
                <w:szCs w:val="20"/>
              </w:rPr>
            </w:pPr>
            <w:r>
              <w:rPr>
                <w:rFonts w:cs="Times New Roman"/>
                <w:kern w:val="0"/>
                <w:szCs w:val="20"/>
              </w:rPr>
              <w:t>进水水质</w:t>
            </w:r>
          </w:p>
        </w:tc>
        <w:tc>
          <w:tcPr>
            <w:tcW w:w="784" w:type="pct"/>
          </w:tcPr>
          <w:p w14:paraId="01E94028">
            <w:pPr>
              <w:pStyle w:val="445"/>
              <w:rPr>
                <w:rFonts w:cs="Times New Roman"/>
                <w:kern w:val="0"/>
                <w:szCs w:val="20"/>
              </w:rPr>
            </w:pPr>
            <w:r>
              <w:rPr>
                <w:rFonts w:cs="Times New Roman"/>
                <w:kern w:val="0"/>
                <w:szCs w:val="20"/>
              </w:rPr>
              <w:t>500</w:t>
            </w:r>
          </w:p>
        </w:tc>
        <w:tc>
          <w:tcPr>
            <w:tcW w:w="694" w:type="pct"/>
          </w:tcPr>
          <w:p w14:paraId="6C4EEC16">
            <w:pPr>
              <w:pStyle w:val="445"/>
              <w:rPr>
                <w:rFonts w:cs="Times New Roman"/>
                <w:kern w:val="0"/>
                <w:szCs w:val="20"/>
              </w:rPr>
            </w:pPr>
            <w:r>
              <w:rPr>
                <w:rFonts w:cs="Times New Roman"/>
                <w:kern w:val="0"/>
                <w:szCs w:val="20"/>
              </w:rPr>
              <w:t>120</w:t>
            </w:r>
          </w:p>
        </w:tc>
        <w:tc>
          <w:tcPr>
            <w:tcW w:w="694" w:type="pct"/>
          </w:tcPr>
          <w:p w14:paraId="2AC3F29E">
            <w:pPr>
              <w:pStyle w:val="445"/>
              <w:rPr>
                <w:rFonts w:cs="Times New Roman"/>
                <w:kern w:val="0"/>
                <w:szCs w:val="20"/>
              </w:rPr>
            </w:pPr>
            <w:r>
              <w:rPr>
                <w:rFonts w:cs="Times New Roman"/>
                <w:kern w:val="0"/>
                <w:szCs w:val="20"/>
              </w:rPr>
              <w:t>200</w:t>
            </w:r>
          </w:p>
        </w:tc>
        <w:tc>
          <w:tcPr>
            <w:tcW w:w="694" w:type="pct"/>
          </w:tcPr>
          <w:p w14:paraId="3A3F7416">
            <w:pPr>
              <w:pStyle w:val="445"/>
              <w:rPr>
                <w:rFonts w:cs="Times New Roman"/>
                <w:kern w:val="0"/>
                <w:szCs w:val="20"/>
              </w:rPr>
            </w:pPr>
            <w:r>
              <w:rPr>
                <w:rFonts w:cs="Times New Roman"/>
                <w:kern w:val="0"/>
                <w:szCs w:val="20"/>
              </w:rPr>
              <w:t>30</w:t>
            </w:r>
          </w:p>
        </w:tc>
        <w:tc>
          <w:tcPr>
            <w:tcW w:w="694" w:type="pct"/>
          </w:tcPr>
          <w:p w14:paraId="2F553DEB">
            <w:pPr>
              <w:pStyle w:val="445"/>
              <w:rPr>
                <w:rFonts w:cs="Times New Roman"/>
                <w:kern w:val="0"/>
                <w:szCs w:val="20"/>
              </w:rPr>
            </w:pPr>
            <w:r>
              <w:rPr>
                <w:rFonts w:cs="Times New Roman"/>
                <w:kern w:val="0"/>
                <w:szCs w:val="20"/>
              </w:rPr>
              <w:t>/</w:t>
            </w:r>
          </w:p>
        </w:tc>
        <w:tc>
          <w:tcPr>
            <w:tcW w:w="694" w:type="pct"/>
          </w:tcPr>
          <w:p w14:paraId="7435369C">
            <w:pPr>
              <w:pStyle w:val="445"/>
              <w:rPr>
                <w:rFonts w:cs="Times New Roman"/>
                <w:kern w:val="0"/>
                <w:szCs w:val="20"/>
              </w:rPr>
            </w:pPr>
            <w:r>
              <w:rPr>
                <w:rFonts w:cs="Times New Roman"/>
                <w:kern w:val="0"/>
                <w:szCs w:val="20"/>
              </w:rPr>
              <w:t>3.5</w:t>
            </w:r>
          </w:p>
        </w:tc>
      </w:tr>
      <w:tr w14:paraId="1266D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46" w:type="pct"/>
          </w:tcPr>
          <w:p w14:paraId="2EAF44AC">
            <w:pPr>
              <w:pStyle w:val="445"/>
              <w:rPr>
                <w:rFonts w:cs="Times New Roman"/>
                <w:kern w:val="0"/>
                <w:szCs w:val="20"/>
              </w:rPr>
            </w:pPr>
            <w:r>
              <w:rPr>
                <w:rFonts w:cs="Times New Roman"/>
                <w:kern w:val="0"/>
                <w:szCs w:val="20"/>
              </w:rPr>
              <w:t>出水水质</w:t>
            </w:r>
          </w:p>
        </w:tc>
        <w:tc>
          <w:tcPr>
            <w:tcW w:w="784" w:type="pct"/>
          </w:tcPr>
          <w:p w14:paraId="14EA44AB">
            <w:pPr>
              <w:pStyle w:val="445"/>
              <w:rPr>
                <w:rFonts w:cs="Times New Roman"/>
                <w:kern w:val="0"/>
                <w:szCs w:val="20"/>
              </w:rPr>
            </w:pPr>
            <w:r>
              <w:rPr>
                <w:rFonts w:cs="Times New Roman"/>
                <w:kern w:val="0"/>
                <w:szCs w:val="20"/>
              </w:rPr>
              <w:t>50</w:t>
            </w:r>
          </w:p>
        </w:tc>
        <w:tc>
          <w:tcPr>
            <w:tcW w:w="694" w:type="pct"/>
          </w:tcPr>
          <w:p w14:paraId="7A5900DA">
            <w:pPr>
              <w:pStyle w:val="445"/>
              <w:rPr>
                <w:rFonts w:cs="Times New Roman"/>
                <w:kern w:val="0"/>
                <w:szCs w:val="20"/>
              </w:rPr>
            </w:pPr>
            <w:r>
              <w:rPr>
                <w:rFonts w:cs="Times New Roman"/>
                <w:kern w:val="0"/>
                <w:szCs w:val="20"/>
              </w:rPr>
              <w:t>10</w:t>
            </w:r>
          </w:p>
        </w:tc>
        <w:tc>
          <w:tcPr>
            <w:tcW w:w="694" w:type="pct"/>
          </w:tcPr>
          <w:p w14:paraId="438295E5">
            <w:pPr>
              <w:pStyle w:val="445"/>
              <w:rPr>
                <w:rFonts w:cs="Times New Roman"/>
                <w:kern w:val="0"/>
                <w:szCs w:val="20"/>
              </w:rPr>
            </w:pPr>
            <w:r>
              <w:rPr>
                <w:rFonts w:cs="Times New Roman"/>
                <w:kern w:val="0"/>
                <w:szCs w:val="20"/>
              </w:rPr>
              <w:t>10</w:t>
            </w:r>
          </w:p>
        </w:tc>
        <w:tc>
          <w:tcPr>
            <w:tcW w:w="694" w:type="pct"/>
          </w:tcPr>
          <w:p w14:paraId="03BD3ED9">
            <w:pPr>
              <w:pStyle w:val="445"/>
              <w:rPr>
                <w:rFonts w:cs="Times New Roman"/>
                <w:kern w:val="0"/>
                <w:szCs w:val="20"/>
              </w:rPr>
            </w:pPr>
            <w:r>
              <w:rPr>
                <w:rFonts w:cs="Times New Roman"/>
                <w:kern w:val="0"/>
                <w:szCs w:val="20"/>
              </w:rPr>
              <w:t>5</w:t>
            </w:r>
          </w:p>
        </w:tc>
        <w:tc>
          <w:tcPr>
            <w:tcW w:w="694" w:type="pct"/>
          </w:tcPr>
          <w:p w14:paraId="0E20B758">
            <w:pPr>
              <w:pStyle w:val="445"/>
              <w:rPr>
                <w:rFonts w:cs="Times New Roman"/>
                <w:kern w:val="0"/>
                <w:szCs w:val="20"/>
              </w:rPr>
            </w:pPr>
            <w:r>
              <w:rPr>
                <w:rFonts w:cs="Times New Roman"/>
                <w:kern w:val="0"/>
                <w:szCs w:val="20"/>
              </w:rPr>
              <w:t>15</w:t>
            </w:r>
          </w:p>
        </w:tc>
        <w:tc>
          <w:tcPr>
            <w:tcW w:w="694" w:type="pct"/>
          </w:tcPr>
          <w:p w14:paraId="18265A67">
            <w:pPr>
              <w:pStyle w:val="445"/>
              <w:rPr>
                <w:rFonts w:cs="Times New Roman"/>
                <w:kern w:val="0"/>
                <w:szCs w:val="20"/>
              </w:rPr>
            </w:pPr>
            <w:r>
              <w:rPr>
                <w:rFonts w:cs="Times New Roman"/>
                <w:kern w:val="0"/>
                <w:szCs w:val="20"/>
              </w:rPr>
              <w:t>0.5</w:t>
            </w:r>
          </w:p>
        </w:tc>
      </w:tr>
    </w:tbl>
    <w:p w14:paraId="0DE2884A">
      <w:pPr>
        <w:pStyle w:val="349"/>
      </w:pPr>
      <w:r>
        <w:t>6</w:t>
      </w:r>
      <w:r>
        <w:rPr>
          <w:rFonts w:hint="eastAsia"/>
        </w:rPr>
        <w:t>.</w:t>
      </w:r>
      <w:r>
        <w:t>2</w:t>
      </w:r>
      <w:r>
        <w:rPr>
          <w:rFonts w:hint="eastAsia"/>
        </w:rPr>
        <w:t>.</w:t>
      </w:r>
      <w:r>
        <w:t>2</w:t>
      </w:r>
      <w:r>
        <w:rPr>
          <w:rFonts w:hint="eastAsia"/>
        </w:rPr>
        <w:t>.2接管可行性分析</w:t>
      </w:r>
    </w:p>
    <w:p w14:paraId="469338E1">
      <w:pPr>
        <w:ind w:firstLine="482"/>
        <w:rPr>
          <w:b/>
        </w:rPr>
      </w:pPr>
      <w:r>
        <w:rPr>
          <w:rFonts w:hint="eastAsia"/>
          <w:b/>
        </w:rPr>
        <w:t>（1）接管</w:t>
      </w:r>
      <w:r>
        <w:rPr>
          <w:b/>
        </w:rPr>
        <w:t>范围</w:t>
      </w:r>
    </w:p>
    <w:p w14:paraId="18F9D9D8">
      <w:pPr>
        <w:ind w:firstLine="480"/>
      </w:pPr>
      <w:r>
        <w:rPr>
          <w:rFonts w:hint="eastAsia"/>
        </w:rPr>
        <w:t>项目位于蚌埠精细化工高新技术产业基地，目前沫河口污水处理厂在园区的污水管网铺设已经完成全覆盖，本项目废水接入沫河口污水处理厂从地理位置和管网铺设方面考虑是可行的。</w:t>
      </w:r>
    </w:p>
    <w:p w14:paraId="4426FF99">
      <w:pPr>
        <w:ind w:firstLine="482"/>
        <w:rPr>
          <w:b/>
        </w:rPr>
      </w:pPr>
      <w:r>
        <w:rPr>
          <w:rFonts w:hint="eastAsia"/>
          <w:b/>
        </w:rPr>
        <w:t>（</w:t>
      </w:r>
      <w:r>
        <w:rPr>
          <w:b/>
        </w:rPr>
        <w:t>2</w:t>
      </w:r>
      <w:r>
        <w:rPr>
          <w:rFonts w:hint="eastAsia"/>
          <w:b/>
        </w:rPr>
        <w:t>）水量</w:t>
      </w:r>
    </w:p>
    <w:p w14:paraId="2728590A">
      <w:pPr>
        <w:ind w:firstLine="480"/>
      </w:pPr>
      <w:r>
        <w:t>园区已建设有污水处理厂1座，</w:t>
      </w:r>
      <w:r>
        <w:rPr>
          <w:rFonts w:hint="eastAsia"/>
        </w:rPr>
        <w:t>位于</w:t>
      </w:r>
      <w:r>
        <w:t>园区南侧，</w:t>
      </w:r>
      <w:r>
        <w:rPr>
          <w:rFonts w:hint="eastAsia"/>
        </w:rPr>
        <w:t>污水处理</w:t>
      </w:r>
      <w:r>
        <w:t>厂</w:t>
      </w:r>
      <w:r>
        <w:rPr>
          <w:rFonts w:hint="eastAsia"/>
        </w:rPr>
        <w:t>（一期）</w:t>
      </w:r>
      <w:r>
        <w:t>处理能力3000</w:t>
      </w:r>
      <w:r>
        <w:rPr>
          <w:rFonts w:hint="eastAsia"/>
        </w:rPr>
        <w:t>吨</w:t>
      </w:r>
      <w:r>
        <w:t>/天</w:t>
      </w:r>
      <w:r>
        <w:rPr>
          <w:rFonts w:hint="eastAsia"/>
        </w:rPr>
        <w:t>，（</w:t>
      </w:r>
      <w:r>
        <w:t>二期</w:t>
      </w:r>
      <w:r>
        <w:rPr>
          <w:rFonts w:hint="eastAsia"/>
        </w:rPr>
        <w:t>）</w:t>
      </w:r>
      <w:r>
        <w:t>处理能力</w:t>
      </w:r>
      <w:r>
        <w:rPr>
          <w:rFonts w:hint="eastAsia"/>
        </w:rPr>
        <w:t>2万吨/天</w:t>
      </w:r>
      <w:r>
        <w:t>，</w:t>
      </w:r>
      <w:r>
        <w:rPr>
          <w:rFonts w:hint="eastAsia"/>
        </w:rPr>
        <w:t>（三期）处理能力</w:t>
      </w:r>
      <w:r>
        <w:t>3</w:t>
      </w:r>
      <w:r>
        <w:rPr>
          <w:rFonts w:hint="eastAsia"/>
        </w:rPr>
        <w:t>万吨/天</w:t>
      </w:r>
      <w:r>
        <w:t>。</w:t>
      </w:r>
      <w:r>
        <w:rPr>
          <w:rFonts w:hint="eastAsia"/>
        </w:rPr>
        <w:t>污水处理</w:t>
      </w:r>
      <w:r>
        <w:t>厂</w:t>
      </w:r>
      <w:r>
        <w:rPr>
          <w:rFonts w:hint="eastAsia"/>
        </w:rPr>
        <w:t>（一期）</w:t>
      </w:r>
      <w:r>
        <w:t>已经</w:t>
      </w:r>
      <w:r>
        <w:rPr>
          <w:rFonts w:hint="eastAsia"/>
        </w:rPr>
        <w:t>停运</w:t>
      </w:r>
      <w:r>
        <w:t>，目前沫河口污水处理厂</w:t>
      </w:r>
      <w:r>
        <w:rPr>
          <w:rFonts w:hint="eastAsia"/>
        </w:rPr>
        <w:t>总处理</w:t>
      </w:r>
      <w:r>
        <w:t>能力为</w:t>
      </w:r>
      <w:r>
        <w:rPr>
          <w:rFonts w:hint="eastAsia"/>
        </w:rPr>
        <w:t>5万吨/天。</w:t>
      </w:r>
      <w:r>
        <w:t>根据本项目建设进度，本项目</w:t>
      </w:r>
      <w:r>
        <w:rPr>
          <w:rFonts w:hint="eastAsia"/>
        </w:rPr>
        <w:t>预计</w:t>
      </w:r>
      <w:r>
        <w:t>2023年</w:t>
      </w:r>
      <w:r>
        <w:rPr>
          <w:rFonts w:hint="eastAsia"/>
        </w:rPr>
        <w:t>建成投产</w:t>
      </w:r>
      <w:r>
        <w:t>，</w:t>
      </w:r>
      <w:r>
        <w:rPr>
          <w:rFonts w:hint="eastAsia"/>
        </w:rPr>
        <w:t>本项目</w:t>
      </w:r>
      <w:r>
        <w:t>废水产生量为586.02m</w:t>
      </w:r>
      <w:r>
        <w:rPr>
          <w:vertAlign w:val="superscript"/>
        </w:rPr>
        <w:t>3</w:t>
      </w:r>
      <w:r>
        <w:t>/d</w:t>
      </w:r>
      <w:r>
        <w:rPr>
          <w:rFonts w:hint="eastAsia"/>
        </w:rPr>
        <w:t>，本项目已与</w:t>
      </w:r>
      <w:r>
        <w:t>沫河口污水处理厂达成</w:t>
      </w:r>
      <w:r>
        <w:rPr>
          <w:rFonts w:hint="eastAsia"/>
        </w:rPr>
        <w:t>污水</w:t>
      </w:r>
      <w:r>
        <w:t>接管协议</w:t>
      </w:r>
      <w:r>
        <w:rPr>
          <w:rFonts w:hint="eastAsia"/>
        </w:rPr>
        <w:t>，具体</w:t>
      </w:r>
      <w:r>
        <w:t>见附件</w:t>
      </w:r>
      <w:r>
        <w:rPr>
          <w:rFonts w:hint="eastAsia"/>
        </w:rPr>
        <w:t>6。</w:t>
      </w:r>
      <w:r>
        <w:t>目前</w:t>
      </w:r>
      <w:r>
        <w:rPr>
          <w:rFonts w:hint="eastAsia"/>
        </w:rPr>
        <w:t>沫河口</w:t>
      </w:r>
      <w:r>
        <w:t>污水处理厂</w:t>
      </w:r>
      <w:r>
        <w:rPr>
          <w:rFonts w:hint="eastAsia"/>
        </w:rPr>
        <w:t>可满足本项目接管需求，</w:t>
      </w:r>
      <w:r>
        <w:t>因此本项目废水进入沫河口污水处理厂是可行的。</w:t>
      </w:r>
    </w:p>
    <w:p w14:paraId="51ECA0E9">
      <w:pPr>
        <w:ind w:firstLine="482"/>
        <w:rPr>
          <w:b/>
        </w:rPr>
      </w:pPr>
      <w:r>
        <w:rPr>
          <w:rFonts w:hint="eastAsia"/>
          <w:b/>
        </w:rPr>
        <w:t>（</w:t>
      </w:r>
      <w:r>
        <w:rPr>
          <w:b/>
        </w:rPr>
        <w:t>3</w:t>
      </w:r>
      <w:r>
        <w:rPr>
          <w:rFonts w:hint="eastAsia"/>
          <w:b/>
        </w:rPr>
        <w:t>）水质</w:t>
      </w:r>
    </w:p>
    <w:p w14:paraId="7DE5E109">
      <w:pPr>
        <w:ind w:firstLine="480"/>
      </w:pPr>
      <w:r>
        <w:t>厂区综合污水处理</w:t>
      </w:r>
      <w:r>
        <w:rPr>
          <w:rFonts w:hint="eastAsia"/>
        </w:rPr>
        <w:t>区</w:t>
      </w:r>
      <w:r>
        <w:t>能够确保将废水处理达到</w:t>
      </w:r>
      <w:r>
        <w:rPr>
          <w:rFonts w:ascii="宋体" w:hAnsi="宋体"/>
        </w:rPr>
        <w:t>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r>
        <w:rPr>
          <w:rFonts w:hint="eastAsia"/>
        </w:rPr>
        <w:t>，因此，不会对</w:t>
      </w:r>
      <w:r>
        <w:t>沫河口污水处理厂处理工艺造成冲击。</w:t>
      </w:r>
    </w:p>
    <w:p w14:paraId="76F700AA">
      <w:pPr>
        <w:ind w:firstLine="482"/>
        <w:rPr>
          <w:b/>
        </w:rPr>
      </w:pPr>
      <w:r>
        <w:rPr>
          <w:rFonts w:hint="eastAsia"/>
          <w:b/>
        </w:rPr>
        <w:t>（4）污水接管的衔接性</w:t>
      </w:r>
    </w:p>
    <w:p w14:paraId="7CE17742">
      <w:pPr>
        <w:ind w:firstLine="480"/>
      </w:pPr>
      <w:r>
        <w:rPr>
          <w:rFonts w:hint="eastAsia"/>
        </w:rPr>
        <w:t>本项目建成运行后，各类废水经厂区综合污水处理区处理达标</w:t>
      </w:r>
      <w:r>
        <w:t>后接管废水排口</w:t>
      </w:r>
      <w:r>
        <w:rPr>
          <w:rFonts w:hint="eastAsia"/>
        </w:rPr>
        <w:t>，可以满足要求。</w:t>
      </w:r>
    </w:p>
    <w:p w14:paraId="70A928C4">
      <w:pPr>
        <w:ind w:firstLine="480"/>
      </w:pPr>
      <w:r>
        <w:t>从</w:t>
      </w:r>
      <w:r>
        <w:rPr>
          <w:rFonts w:hint="eastAsia"/>
        </w:rPr>
        <w:t>建设</w:t>
      </w:r>
      <w:r>
        <w:t>时间</w:t>
      </w:r>
      <w:r>
        <w:rPr>
          <w:rFonts w:hint="eastAsia"/>
        </w:rPr>
        <w:t>、</w:t>
      </w:r>
      <w:r>
        <w:t>剩余处理能力和处理工艺衔接性来看，</w:t>
      </w:r>
      <w:r>
        <w:rPr>
          <w:rFonts w:hint="eastAsia"/>
        </w:rPr>
        <w:t>沫河口污水处理厂</w:t>
      </w:r>
      <w:r>
        <w:t>能够满足本项目废水处理的要求。</w:t>
      </w:r>
    </w:p>
    <w:p w14:paraId="248DE8E8">
      <w:pPr>
        <w:ind w:firstLine="480"/>
      </w:pPr>
      <w:r>
        <w:rPr>
          <w:rFonts w:hint="eastAsia"/>
        </w:rPr>
        <w:t>综上，扩建项目废水接管</w:t>
      </w:r>
      <w:r>
        <w:rPr>
          <w:rFonts w:hint="eastAsia"/>
          <w:sz w:val="21"/>
        </w:rPr>
        <w:t>沫河口</w:t>
      </w:r>
      <w:r>
        <w:t>污水处理厂</w:t>
      </w:r>
      <w:r>
        <w:rPr>
          <w:rFonts w:hint="eastAsia"/>
        </w:rPr>
        <w:t>处理是可行的。</w:t>
      </w:r>
    </w:p>
    <w:p w14:paraId="241F7EC5">
      <w:pPr>
        <w:pStyle w:val="4065"/>
      </w:pPr>
      <w:bookmarkStart w:id="421" w:name="_Toc108662700"/>
      <w:r>
        <w:t>6.3噪声治理措施</w:t>
      </w:r>
      <w:bookmarkEnd w:id="420"/>
      <w:bookmarkEnd w:id="421"/>
    </w:p>
    <w:p w14:paraId="674F0BA1">
      <w:pPr>
        <w:ind w:firstLine="480"/>
      </w:pPr>
      <w:bookmarkStart w:id="422" w:name="_Toc45618558"/>
      <w:bookmarkEnd w:id="422"/>
      <w:bookmarkStart w:id="423" w:name="_Toc69644169"/>
      <w:bookmarkEnd w:id="423"/>
      <w:bookmarkStart w:id="424" w:name="_Toc57101351"/>
      <w:bookmarkEnd w:id="424"/>
      <w:bookmarkStart w:id="425" w:name="_Toc74328094"/>
      <w:r>
        <w:rPr>
          <w:rFonts w:hint="eastAsia" w:ascii="宋体" w:hAnsi="宋体"/>
        </w:rPr>
        <w:t>本次</w:t>
      </w:r>
      <w:bookmarkEnd w:id="425"/>
      <w:r>
        <w:rPr>
          <w:rFonts w:hint="eastAsia"/>
        </w:rPr>
        <w:t>扩建</w:t>
      </w:r>
      <w:r>
        <w:rPr>
          <w:rFonts w:ascii="宋体" w:hAnsi="宋体"/>
        </w:rPr>
        <w:t>项目</w:t>
      </w:r>
      <w:r>
        <w:rPr>
          <w:rFonts w:hint="eastAsia" w:ascii="宋体" w:hAnsi="宋体"/>
        </w:rPr>
        <w:t>产噪</w:t>
      </w:r>
      <w:r>
        <w:rPr>
          <w:rFonts w:ascii="宋体" w:hAnsi="宋体"/>
        </w:rPr>
        <w:t>设备主要为水泵、</w:t>
      </w:r>
      <w:r>
        <w:rPr>
          <w:rFonts w:hint="eastAsia" w:ascii="宋体" w:hAnsi="宋体"/>
        </w:rPr>
        <w:t>压滤机</w:t>
      </w:r>
      <w:r>
        <w:rPr>
          <w:rFonts w:ascii="宋体" w:hAnsi="宋体"/>
        </w:rPr>
        <w:t>、</w:t>
      </w:r>
      <w:r>
        <w:rPr>
          <w:rFonts w:hint="eastAsia" w:ascii="宋体" w:hAnsi="宋体"/>
        </w:rPr>
        <w:t>干燥机</w:t>
      </w:r>
      <w:r>
        <w:rPr>
          <w:rFonts w:ascii="宋体" w:hAnsi="宋体"/>
        </w:rPr>
        <w:t>等，具体措施如下：</w:t>
      </w:r>
    </w:p>
    <w:p w14:paraId="5E7E04F1">
      <w:pPr>
        <w:ind w:firstLine="480"/>
      </w:pPr>
      <w:r>
        <w:rPr>
          <w:rFonts w:hint="eastAsia" w:ascii="宋体" w:hAnsi="宋体"/>
        </w:rPr>
        <w:t>（</w:t>
      </w:r>
      <w:r>
        <w:rPr>
          <w:rFonts w:hint="eastAsia"/>
        </w:rPr>
        <w:t>1</w:t>
      </w:r>
      <w:r>
        <w:rPr>
          <w:rFonts w:hint="eastAsia" w:ascii="宋体" w:hAnsi="宋体"/>
        </w:rPr>
        <w:t>）重视设备选型，采用减震措施：尽量选用加工精度高，运行噪声低的生产设备，底座安装减振材料等减小振动；</w:t>
      </w:r>
    </w:p>
    <w:p w14:paraId="23906925">
      <w:pPr>
        <w:ind w:firstLine="480"/>
      </w:pPr>
      <w:r>
        <w:rPr>
          <w:rFonts w:hint="eastAsia" w:ascii="宋体" w:hAnsi="宋体"/>
        </w:rPr>
        <w:t>（</w:t>
      </w:r>
      <w:r>
        <w:rPr>
          <w:rFonts w:hint="eastAsia"/>
        </w:rPr>
        <w:t>2</w:t>
      </w:r>
      <w:r>
        <w:rPr>
          <w:rFonts w:hint="eastAsia" w:ascii="宋体" w:hAnsi="宋体"/>
        </w:rPr>
        <w:t>）装置区合理布置：装置区的布置应尽可能远离居民区，装置区内高噪声设备，应在设置独立的隔声间或封闭式围护结构，形成噪声屏障，阻碍噪声传播；</w:t>
      </w:r>
    </w:p>
    <w:p w14:paraId="761E70E0">
      <w:pPr>
        <w:ind w:firstLine="480"/>
      </w:pPr>
      <w:r>
        <w:rPr>
          <w:rFonts w:hint="eastAsia" w:ascii="宋体" w:hAnsi="宋体"/>
        </w:rPr>
        <w:t>（</w:t>
      </w:r>
      <w:r>
        <w:rPr>
          <w:rFonts w:hint="eastAsia"/>
        </w:rPr>
        <w:t>3</w:t>
      </w:r>
      <w:r>
        <w:rPr>
          <w:rFonts w:hint="eastAsia" w:ascii="宋体" w:hAnsi="宋体"/>
        </w:rPr>
        <w:t>）风机防治措施及对策：风机应考虑加装消声器，风机管道之间采取软边接防振等措施，以减少风机振动对周围环境的影响；</w:t>
      </w:r>
    </w:p>
    <w:p w14:paraId="08DD49AC">
      <w:pPr>
        <w:ind w:firstLine="480"/>
      </w:pPr>
      <w:r>
        <w:rPr>
          <w:rFonts w:hint="eastAsia" w:ascii="宋体" w:hAnsi="宋体"/>
        </w:rPr>
        <w:t>（</w:t>
      </w:r>
      <w:r>
        <w:rPr>
          <w:rFonts w:hint="eastAsia"/>
        </w:rPr>
        <w:t>4</w:t>
      </w:r>
      <w:r>
        <w:rPr>
          <w:rFonts w:hint="eastAsia" w:ascii="宋体" w:hAnsi="宋体"/>
        </w:rPr>
        <w:t>）废气处理风机噪声：对每个风机加装隔声罩；</w:t>
      </w:r>
    </w:p>
    <w:p w14:paraId="2C600E8C">
      <w:pPr>
        <w:ind w:firstLine="480"/>
      </w:pPr>
      <w:r>
        <w:rPr>
          <w:rFonts w:hint="eastAsia" w:ascii="宋体" w:hAnsi="宋体"/>
        </w:rPr>
        <w:t>（</w:t>
      </w:r>
      <w:r>
        <w:rPr>
          <w:rFonts w:hint="eastAsia"/>
        </w:rPr>
        <w:t>5</w:t>
      </w:r>
      <w:r>
        <w:rPr>
          <w:rFonts w:hint="eastAsia" w:ascii="宋体" w:hAnsi="宋体"/>
        </w:rPr>
        <w:t>）加强管理：加强噪声防治管理，降低人为噪声。</w:t>
      </w:r>
    </w:p>
    <w:p w14:paraId="7C1ADA23">
      <w:pPr>
        <w:ind w:firstLine="480"/>
      </w:pPr>
      <w:r>
        <w:rPr>
          <w:rFonts w:hint="eastAsia" w:ascii="宋体" w:hAnsi="宋体"/>
        </w:rPr>
        <w:t>从管理方面看，应加强以下几个方面工作，以减少对周围声环境的污染：</w:t>
      </w:r>
    </w:p>
    <w:p w14:paraId="2D2F6348">
      <w:pPr>
        <w:ind w:firstLine="480"/>
      </w:pPr>
      <w:r>
        <w:rPr>
          <w:rFonts w:hint="eastAsia" w:ascii="宋体" w:hAnsi="宋体"/>
        </w:rPr>
        <w:t>①建立设备定期维护、保养的管理制度，以防止设备故障形成的非正常生产噪声，同时确保环保措施发挥最有效的功能。</w:t>
      </w:r>
    </w:p>
    <w:p w14:paraId="0E0090A9">
      <w:pPr>
        <w:ind w:firstLine="480"/>
      </w:pPr>
      <w:r>
        <w:rPr>
          <w:rFonts w:hint="eastAsia" w:ascii="宋体" w:hAnsi="宋体"/>
        </w:rPr>
        <w:t>②加强职工环保意识教育，提倡文明生产，防止人为噪声。</w:t>
      </w:r>
    </w:p>
    <w:p w14:paraId="46BA4C28">
      <w:pPr>
        <w:ind w:firstLine="480"/>
      </w:pPr>
      <w:r>
        <w:rPr>
          <w:rFonts w:hint="eastAsia" w:ascii="宋体" w:hAnsi="宋体"/>
        </w:rPr>
        <w:t>经过以上治理措施后，全厂项目各噪声设备均可降噪在</w:t>
      </w:r>
      <w:r>
        <w:rPr>
          <w:rFonts w:hint="eastAsia"/>
        </w:rPr>
        <w:t>20~25dB</w:t>
      </w:r>
      <w:r>
        <w:rPr>
          <w:rFonts w:hint="eastAsia" w:ascii="宋体" w:hAnsi="宋体"/>
        </w:rPr>
        <w:t>以上。噪声环境影响预测结果表明，采取降噪措施后，厂界噪声叠加现状噪声值后，厂界噪声能够达标。</w:t>
      </w:r>
    </w:p>
    <w:p w14:paraId="74086D2D">
      <w:pPr>
        <w:pStyle w:val="4065"/>
      </w:pPr>
      <w:bookmarkStart w:id="426" w:name="_Toc394045993"/>
      <w:bookmarkEnd w:id="426"/>
      <w:bookmarkStart w:id="427" w:name="_Toc474323751"/>
      <w:bookmarkEnd w:id="427"/>
      <w:bookmarkStart w:id="428" w:name="_Toc468617118"/>
      <w:bookmarkEnd w:id="428"/>
      <w:bookmarkStart w:id="429" w:name="_Toc58511633"/>
      <w:bookmarkStart w:id="430" w:name="_Toc108662701"/>
      <w:r>
        <w:t>6.4固体废物防治措施</w:t>
      </w:r>
      <w:bookmarkEnd w:id="429"/>
      <w:bookmarkEnd w:id="430"/>
    </w:p>
    <w:p w14:paraId="02513E9A">
      <w:pPr>
        <w:pStyle w:val="4068"/>
      </w:pPr>
      <w:bookmarkStart w:id="431" w:name="_Toc474323749"/>
      <w:bookmarkEnd w:id="431"/>
      <w:bookmarkStart w:id="432" w:name="_Toc100784092"/>
      <w:bookmarkStart w:id="433" w:name="_Toc101135925"/>
      <w:bookmarkStart w:id="434" w:name="_Toc108662702"/>
      <w:r>
        <w:rPr>
          <w:rFonts w:hint="eastAsia"/>
        </w:rPr>
        <w:t>6.4.1固废处置措施</w:t>
      </w:r>
      <w:r>
        <w:t>介绍</w:t>
      </w:r>
      <w:bookmarkEnd w:id="432"/>
      <w:bookmarkEnd w:id="433"/>
      <w:bookmarkEnd w:id="434"/>
    </w:p>
    <w:p w14:paraId="01DB591D">
      <w:pPr>
        <w:ind w:firstLine="480"/>
      </w:pPr>
      <w:r>
        <w:rPr>
          <w:rFonts w:hint="eastAsia" w:ascii="宋体" w:hAnsi="宋体"/>
        </w:rPr>
        <w:t>本次</w:t>
      </w:r>
      <w:r>
        <w:rPr>
          <w:rFonts w:hint="eastAsia"/>
        </w:rPr>
        <w:t>扩建</w:t>
      </w:r>
      <w:r>
        <w:rPr>
          <w:rFonts w:ascii="宋体" w:hAnsi="宋体"/>
        </w:rPr>
        <w:t>项目产生的固体废物主要为废活性炭</w:t>
      </w:r>
      <w:r>
        <w:rPr>
          <w:rFonts w:hint="eastAsia" w:ascii="宋体" w:hAnsi="宋体"/>
        </w:rPr>
        <w:t>、</w:t>
      </w:r>
      <w:r>
        <w:rPr>
          <w:rFonts w:ascii="宋体" w:hAnsi="宋体"/>
        </w:rPr>
        <w:t>生活垃圾</w:t>
      </w:r>
      <w:r>
        <w:rPr>
          <w:rFonts w:hint="eastAsia" w:ascii="宋体" w:hAnsi="宋体"/>
        </w:rPr>
        <w:t>、二氧化硅微粉、实验室</w:t>
      </w:r>
      <w:r>
        <w:rPr>
          <w:rFonts w:ascii="宋体" w:hAnsi="宋体"/>
        </w:rPr>
        <w:t>废物、</w:t>
      </w:r>
      <w:r>
        <w:rPr>
          <w:rFonts w:hint="eastAsia" w:ascii="宋体" w:hAnsi="宋体"/>
        </w:rPr>
        <w:t>废催化剂</w:t>
      </w:r>
      <w:r>
        <w:rPr>
          <w:rFonts w:ascii="宋体" w:hAnsi="宋体"/>
        </w:rPr>
        <w:t>、</w:t>
      </w:r>
      <w:r>
        <w:rPr>
          <w:rFonts w:hint="eastAsia" w:ascii="宋体" w:hAnsi="宋体"/>
        </w:rPr>
        <w:t>污泥</w:t>
      </w:r>
      <w:r>
        <w:rPr>
          <w:rFonts w:ascii="宋体" w:hAnsi="宋体"/>
        </w:rPr>
        <w:t>、</w:t>
      </w:r>
      <w:r>
        <w:rPr>
          <w:rFonts w:hint="eastAsia" w:ascii="宋体" w:hAnsi="宋体"/>
        </w:rPr>
        <w:t>布袋</w:t>
      </w:r>
      <w:r>
        <w:rPr>
          <w:rFonts w:ascii="宋体" w:hAnsi="宋体"/>
        </w:rPr>
        <w:t>收集粉尘、</w:t>
      </w:r>
      <w:r>
        <w:rPr>
          <w:rFonts w:hint="eastAsia" w:ascii="宋体" w:hAnsi="宋体"/>
        </w:rPr>
        <w:t>废</w:t>
      </w:r>
      <w:r>
        <w:rPr>
          <w:rFonts w:ascii="宋体" w:hAnsi="宋体"/>
        </w:rPr>
        <w:t>分子筛、废</w:t>
      </w:r>
      <w:r>
        <w:rPr>
          <w:rFonts w:hint="eastAsia" w:ascii="宋体" w:hAnsi="宋体"/>
        </w:rPr>
        <w:t>离子</w:t>
      </w:r>
      <w:r>
        <w:rPr>
          <w:rFonts w:ascii="宋体" w:hAnsi="宋体"/>
        </w:rPr>
        <w:t>交换树脂</w:t>
      </w:r>
      <w:r>
        <w:rPr>
          <w:rFonts w:hint="eastAsia" w:ascii="宋体" w:hAnsi="宋体"/>
        </w:rPr>
        <w:t>、废矿物油</w:t>
      </w:r>
      <w:r>
        <w:rPr>
          <w:rFonts w:ascii="宋体" w:hAnsi="宋体"/>
        </w:rPr>
        <w:t>和</w:t>
      </w:r>
      <w:r>
        <w:rPr>
          <w:rFonts w:hint="eastAsia" w:ascii="宋体" w:hAnsi="宋体"/>
        </w:rPr>
        <w:t>硫酸铵</w:t>
      </w:r>
      <w:r>
        <w:rPr>
          <w:rFonts w:ascii="宋体" w:hAnsi="宋体"/>
        </w:rPr>
        <w:t>，其中</w:t>
      </w:r>
      <w:r>
        <w:rPr>
          <w:rFonts w:hint="eastAsia" w:ascii="宋体" w:hAnsi="宋体"/>
        </w:rPr>
        <w:t>废活性炭、硫酸铵、</w:t>
      </w:r>
      <w:r>
        <w:rPr>
          <w:rFonts w:ascii="宋体" w:hAnsi="宋体"/>
        </w:rPr>
        <w:t>污泥</w:t>
      </w:r>
      <w:r>
        <w:rPr>
          <w:rFonts w:hint="eastAsia" w:ascii="宋体" w:hAnsi="宋体"/>
        </w:rPr>
        <w:t>、废矿物油及实验室废物属于危险废物，交由有资质单位进行处置，生活垃圾拟由环卫部门清运处理，</w:t>
      </w:r>
      <w:r>
        <w:rPr>
          <w:rFonts w:ascii="宋体" w:hAnsi="宋体"/>
        </w:rPr>
        <w:t>二氧化硅</w:t>
      </w:r>
      <w:r>
        <w:rPr>
          <w:rFonts w:hint="eastAsia" w:ascii="宋体" w:hAnsi="宋体"/>
        </w:rPr>
        <w:t>微粉和布袋</w:t>
      </w:r>
      <w:r>
        <w:rPr>
          <w:rFonts w:ascii="宋体" w:hAnsi="宋体"/>
        </w:rPr>
        <w:t>收集粉尘外售</w:t>
      </w:r>
      <w:r>
        <w:rPr>
          <w:rFonts w:hint="eastAsia" w:ascii="宋体" w:hAnsi="宋体"/>
        </w:rPr>
        <w:t>，废</w:t>
      </w:r>
      <w:r>
        <w:rPr>
          <w:rFonts w:ascii="宋体" w:hAnsi="宋体"/>
        </w:rPr>
        <w:t>分子筛</w:t>
      </w:r>
      <w:r>
        <w:rPr>
          <w:rFonts w:hint="eastAsia" w:ascii="宋体" w:hAnsi="宋体"/>
        </w:rPr>
        <w:t>、</w:t>
      </w:r>
      <w:r>
        <w:rPr>
          <w:rFonts w:ascii="宋体" w:hAnsi="宋体"/>
        </w:rPr>
        <w:t>废树脂</w:t>
      </w:r>
      <w:r>
        <w:rPr>
          <w:rFonts w:hint="eastAsia" w:ascii="宋体" w:hAnsi="宋体"/>
        </w:rPr>
        <w:t>和</w:t>
      </w:r>
      <w:r>
        <w:rPr>
          <w:rFonts w:ascii="宋体" w:hAnsi="宋体"/>
        </w:rPr>
        <w:t>废催化剂交由厂家回收</w:t>
      </w:r>
      <w:r>
        <w:rPr>
          <w:rFonts w:hint="eastAsia" w:ascii="宋体" w:hAnsi="宋体"/>
        </w:rPr>
        <w:t>。</w:t>
      </w:r>
    </w:p>
    <w:p w14:paraId="56F665BC">
      <w:pPr>
        <w:pStyle w:val="4068"/>
      </w:pPr>
      <w:bookmarkStart w:id="435" w:name="_Toc108662703"/>
      <w:bookmarkStart w:id="436" w:name="_Toc101135926"/>
      <w:bookmarkStart w:id="437" w:name="_Toc100784093"/>
      <w:r>
        <w:rPr>
          <w:rFonts w:hint="eastAsia"/>
        </w:rPr>
        <w:t>6.4.2危险废物收集</w:t>
      </w:r>
      <w:r>
        <w:t>、运输、贮存污染防治措施</w:t>
      </w:r>
      <w:bookmarkEnd w:id="435"/>
      <w:bookmarkEnd w:id="436"/>
      <w:bookmarkEnd w:id="437"/>
    </w:p>
    <w:p w14:paraId="6886B78E">
      <w:pPr>
        <w:pStyle w:val="349"/>
      </w:pPr>
      <w:r>
        <w:t>6.4.2.1</w:t>
      </w:r>
      <w:r>
        <w:rPr>
          <w:rFonts w:hint="eastAsia"/>
        </w:rPr>
        <w:t>危险废物</w:t>
      </w:r>
      <w:r>
        <w:t>收集污染防治措施</w:t>
      </w:r>
    </w:p>
    <w:p w14:paraId="133CBD52">
      <w:pPr>
        <w:ind w:firstLine="480"/>
      </w:pPr>
      <w:r>
        <w:rPr>
          <w:rFonts w:hint="eastAsia"/>
        </w:rPr>
        <w:t>针对本项目各类危险废物的收集应根据危险废物产生的工艺环节特征、排放周期、危险特性、废物管理计划等因素对危险废物进行收集；危险废物在收集的过程中应制定详细的操作规程，内容至少应包括适用范围、操作程序和方法、专用设备和工具、转移和交接、安全保障和应急防护等；危险废物收集和厂内转运作业人员应根据工作需要配备必要的个人防护装备，如手套、防护镜、防护服、防毒面具或口罩等；在危险废物的收集和内部转运过程中，应采取相应的安全防护和污染防治措施，包括防爆、防火、防中毒、防感染、防泄漏、防飞扬、防雨或其它防止污染环境的措施。</w:t>
      </w:r>
    </w:p>
    <w:p w14:paraId="1C37BA7F">
      <w:pPr>
        <w:ind w:firstLine="480"/>
      </w:pPr>
      <w:r>
        <w:rPr>
          <w:rFonts w:hint="eastAsia"/>
        </w:rPr>
        <w:t>危险废物厂内收集时应根据危险废物的种类、数量、危险特性、物理形态要求等因素确定包装形式，具体包装应符合如下要求：</w:t>
      </w:r>
    </w:p>
    <w:p w14:paraId="20FA6D76">
      <w:pPr>
        <w:ind w:firstLine="480"/>
      </w:pPr>
      <w:r>
        <w:rPr>
          <w:rFonts w:hint="eastAsia"/>
        </w:rPr>
        <w:t>（1）包装材质要与各类危险废物相容，可根据废物特性选择塑料等材质；</w:t>
      </w:r>
    </w:p>
    <w:p w14:paraId="4245FABE">
      <w:pPr>
        <w:ind w:firstLine="480"/>
      </w:pPr>
      <w:r>
        <w:rPr>
          <w:rFonts w:hint="eastAsia"/>
        </w:rPr>
        <w:t>（2）性质类似的废物可收集到同一容器中，性质不相容的危险废物不应混合包装；</w:t>
      </w:r>
    </w:p>
    <w:p w14:paraId="11B131AE">
      <w:pPr>
        <w:ind w:firstLine="480"/>
      </w:pPr>
      <w:r>
        <w:rPr>
          <w:rFonts w:hint="eastAsia"/>
        </w:rPr>
        <w:t>（3）危险废物包装应能有效隔断危险废物迁移扩散途径，并达到防渗、防漏要求；</w:t>
      </w:r>
    </w:p>
    <w:p w14:paraId="55CB8DD7">
      <w:pPr>
        <w:ind w:firstLine="480"/>
      </w:pPr>
      <w:r>
        <w:rPr>
          <w:rFonts w:hint="eastAsia"/>
        </w:rPr>
        <w:t>（4）包装好的危险废物应设置相应的标签，标签信息应填写完整翔实。</w:t>
      </w:r>
    </w:p>
    <w:p w14:paraId="7D0D62B1">
      <w:pPr>
        <w:pStyle w:val="349"/>
      </w:pPr>
      <w:r>
        <w:t>6.4.2.2</w:t>
      </w:r>
      <w:r>
        <w:rPr>
          <w:rFonts w:hint="eastAsia"/>
        </w:rPr>
        <w:t>危险废物</w:t>
      </w:r>
      <w:r>
        <w:t>运输污染防治措施</w:t>
      </w:r>
    </w:p>
    <w:p w14:paraId="05902E98">
      <w:pPr>
        <w:ind w:firstLine="480"/>
      </w:pPr>
      <w:r>
        <w:rPr>
          <w:rFonts w:hint="eastAsia"/>
        </w:rPr>
        <w:t>厂内运输</w:t>
      </w:r>
    </w:p>
    <w:p w14:paraId="07582E4D">
      <w:pPr>
        <w:ind w:firstLine="480"/>
      </w:pPr>
      <w:r>
        <w:rPr>
          <w:rFonts w:hint="eastAsia"/>
        </w:rPr>
        <w:t>（1）危险废物内部转运应综合考虑厂区的实际情况确定转运路线，尽量避开办公区和生活区；</w:t>
      </w:r>
    </w:p>
    <w:p w14:paraId="5CF4F279">
      <w:pPr>
        <w:ind w:firstLine="480"/>
      </w:pPr>
      <w:r>
        <w:rPr>
          <w:rFonts w:hint="eastAsia"/>
        </w:rPr>
        <w:t>（2）危险废物内部转运作业应采用专用的工具，危险废物内部转运应参照按照HJ2025-2012填写《危险废物厂内转运记录表》；</w:t>
      </w:r>
    </w:p>
    <w:p w14:paraId="3C06F622">
      <w:pPr>
        <w:ind w:firstLine="480"/>
      </w:pPr>
      <w:r>
        <w:rPr>
          <w:rFonts w:hint="eastAsia"/>
        </w:rPr>
        <w:t>（3）危险废物内部转运结束后，应对转运路线进行检查和清理，确保无危险废物遗失在转运路线上，并对转运工具进行清洗。</w:t>
      </w:r>
    </w:p>
    <w:p w14:paraId="721D3896">
      <w:pPr>
        <w:pStyle w:val="349"/>
      </w:pPr>
      <w:r>
        <w:t>6.4.2.3</w:t>
      </w:r>
      <w:r>
        <w:rPr>
          <w:rFonts w:hint="eastAsia"/>
        </w:rPr>
        <w:t>危险废物</w:t>
      </w:r>
      <w:r>
        <w:t>贮存污染防治措施</w:t>
      </w:r>
    </w:p>
    <w:p w14:paraId="6610C235">
      <w:pPr>
        <w:ind w:firstLine="480"/>
        <w:rPr>
          <w:rFonts w:cs="Times New Roman"/>
        </w:rPr>
      </w:pPr>
      <w:r>
        <w:rPr>
          <w:rFonts w:hint="eastAsia" w:cs="Times New Roman"/>
        </w:rPr>
        <w:t>本</w:t>
      </w:r>
      <w:r>
        <w:rPr>
          <w:rFonts w:cs="Times New Roman"/>
        </w:rPr>
        <w:t>项目</w:t>
      </w:r>
      <w:r>
        <w:rPr>
          <w:rFonts w:hint="eastAsia" w:cs="Times New Roman"/>
        </w:rPr>
        <w:t>危险废物暂存依托扩建</w:t>
      </w:r>
      <w:r>
        <w:rPr>
          <w:rFonts w:cs="Times New Roman"/>
        </w:rPr>
        <w:t>项目</w:t>
      </w:r>
      <w:r>
        <w:rPr>
          <w:rFonts w:hint="eastAsia" w:cs="Times New Roman"/>
        </w:rPr>
        <w:t>配套建设的</w:t>
      </w:r>
      <w:r>
        <w:rPr>
          <w:rFonts w:cs="Times New Roman"/>
        </w:rPr>
        <w:t>占地面积为74.4m</w:t>
      </w:r>
      <w:r>
        <w:rPr>
          <w:rFonts w:cs="Times New Roman"/>
          <w:vertAlign w:val="superscript"/>
        </w:rPr>
        <w:t>2</w:t>
      </w:r>
      <w:r>
        <w:rPr>
          <w:rFonts w:cs="Times New Roman"/>
        </w:rPr>
        <w:t>的危废暂存</w:t>
      </w:r>
      <w:r>
        <w:rPr>
          <w:rFonts w:hint="eastAsia" w:cs="Times New Roman"/>
        </w:rPr>
        <w:t>间、1</w:t>
      </w:r>
      <w:r>
        <w:rPr>
          <w:rFonts w:cs="Times New Roman"/>
        </w:rPr>
        <w:t>48.8</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2</w:t>
      </w:r>
      <w:r>
        <w:rPr>
          <w:rFonts w:cs="Times New Roman"/>
        </w:rPr>
        <w:t>的</w:t>
      </w:r>
      <w:r>
        <w:rPr>
          <w:rFonts w:hint="eastAsia" w:cs="Times New Roman"/>
        </w:rPr>
        <w:t>固废库和</w:t>
      </w:r>
      <w:r>
        <w:rPr>
          <w:rFonts w:cs="Times New Roman"/>
          <w:color w:val="000000" w:themeColor="text1"/>
          <w14:textFill>
            <w14:solidFill>
              <w14:schemeClr w14:val="tx1"/>
            </w14:solidFill>
          </w14:textFill>
        </w:rPr>
        <w:t>600m</w:t>
      </w:r>
      <w:r>
        <w:rPr>
          <w:rFonts w:cs="Times New Roman"/>
          <w:color w:val="000000" w:themeColor="text1"/>
          <w:vertAlign w:val="superscript"/>
          <w14:textFill>
            <w14:solidFill>
              <w14:schemeClr w14:val="tx1"/>
            </w14:solidFill>
          </w14:textFill>
        </w:rPr>
        <w:t>2</w:t>
      </w:r>
      <w:r>
        <w:rPr>
          <w:rFonts w:cs="Times New Roman"/>
        </w:rPr>
        <w:t>的</w:t>
      </w:r>
      <w:r>
        <w:rPr>
          <w:rFonts w:hint="eastAsia" w:cs="Times New Roman"/>
        </w:rPr>
        <w:t>污泥仓库，</w:t>
      </w:r>
    </w:p>
    <w:p w14:paraId="2BF764DD">
      <w:pPr>
        <w:ind w:firstLine="480"/>
        <w:rPr>
          <w:rFonts w:cs="Times New Roman"/>
        </w:rPr>
      </w:pPr>
      <w:r>
        <w:rPr>
          <w:rFonts w:hint="eastAsia" w:cs="Times New Roman"/>
        </w:rPr>
        <w:t>扩建</w:t>
      </w:r>
      <w:r>
        <w:rPr>
          <w:rFonts w:cs="Times New Roman"/>
        </w:rPr>
        <w:t>项目</w:t>
      </w:r>
      <w:r>
        <w:rPr>
          <w:rFonts w:hint="eastAsia" w:cs="Times New Roman"/>
        </w:rPr>
        <w:t>配套建设的</w:t>
      </w:r>
      <w:r>
        <w:rPr>
          <w:rFonts w:cs="Times New Roman"/>
        </w:rPr>
        <w:t>危废暂存场所</w:t>
      </w:r>
      <w:r>
        <w:rPr>
          <w:rFonts w:hint="eastAsia" w:cs="Times New Roman"/>
        </w:rPr>
        <w:t>及</w:t>
      </w:r>
      <w:r>
        <w:rPr>
          <w:rFonts w:cs="Times New Roman"/>
        </w:rPr>
        <w:t>污泥暂存场所严格落实</w:t>
      </w:r>
      <w:r>
        <w:rPr>
          <w:rFonts w:ascii="宋体" w:hAnsi="宋体" w:cs="Times New Roman"/>
        </w:rPr>
        <w:t>“四防”(防风、防雨、防晒、防渗漏)</w:t>
      </w:r>
      <w:r>
        <w:rPr>
          <w:rFonts w:cs="Times New Roman"/>
        </w:rPr>
        <w:t>控制措施，并按重点防渗的要求，地下铺设HDPE防渗膜，地面防腐并建有导流沟及渗滤液收集池，并配套危险废物堆放方式、警示标识等方面内容。</w:t>
      </w:r>
      <w:r>
        <w:rPr>
          <w:rFonts w:hint="eastAsia" w:cs="Times New Roman"/>
        </w:rPr>
        <w:t>扩建项目产生的危险废物</w:t>
      </w:r>
      <w:r>
        <w:rPr>
          <w:rFonts w:cs="Times New Roman"/>
        </w:rPr>
        <w:t>在厂内暂存后，将交由有资质单位处理。</w:t>
      </w:r>
    </w:p>
    <w:p w14:paraId="121C6278">
      <w:pPr>
        <w:ind w:firstLine="480"/>
      </w:pPr>
      <w:r>
        <w:rPr>
          <w:rFonts w:cs="Times New Roman"/>
        </w:rPr>
        <w:t>本项目</w:t>
      </w:r>
      <w:r>
        <w:rPr>
          <w:rFonts w:cs="Times New Roman"/>
          <w:kern w:val="24"/>
        </w:rPr>
        <w:t>危险废物暂存场所按照《危险废物贮存污染控制标准》(GB18597-2001)及其修改单的规定设置，通过规范设置危废暂存场所，可以保障危险废物暂存过程对周边环境不产生影响</w:t>
      </w:r>
      <w:r>
        <w:rPr>
          <w:rFonts w:hint="eastAsia" w:ascii="宋体" w:hAnsi="宋体"/>
        </w:rPr>
        <w:t>。</w:t>
      </w:r>
      <w:r>
        <w:t xml:space="preserve"> </w:t>
      </w:r>
    </w:p>
    <w:p w14:paraId="5F80C60B">
      <w:pPr>
        <w:pStyle w:val="4068"/>
      </w:pPr>
      <w:bookmarkStart w:id="438" w:name="_Toc100784094"/>
      <w:bookmarkStart w:id="439" w:name="_Toc101135927"/>
      <w:bookmarkStart w:id="440" w:name="_Toc108662704"/>
      <w:r>
        <w:rPr>
          <w:rFonts w:hint="eastAsia"/>
        </w:rPr>
        <w:t>6.4.</w:t>
      </w:r>
      <w:r>
        <w:t>3固体废弃物防治建议</w:t>
      </w:r>
      <w:bookmarkEnd w:id="438"/>
      <w:bookmarkEnd w:id="439"/>
      <w:bookmarkEnd w:id="440"/>
    </w:p>
    <w:p w14:paraId="6A3A7088">
      <w:pPr>
        <w:pStyle w:val="349"/>
      </w:pPr>
      <w:r>
        <w:t>6.4.3.1对依托危险废物暂存场所的要求</w:t>
      </w:r>
    </w:p>
    <w:p w14:paraId="5EFBF7C2">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危险废物临时贮存场所应按照《危险废物贮存污染控制标准》GB18597-2001）</w:t>
      </w:r>
      <w:r>
        <w:rPr>
          <w:rFonts w:hint="eastAsia" w:ascii="Times New Roman" w:hAnsi="Times New Roman" w:cs="Times New Roman" w:eastAsiaTheme="minorEastAsia"/>
        </w:rPr>
        <w:t>及</w:t>
      </w:r>
      <w:r>
        <w:rPr>
          <w:rFonts w:ascii="Times New Roman" w:hAnsi="Times New Roman" w:cs="Times New Roman" w:eastAsiaTheme="minorEastAsia"/>
        </w:rPr>
        <w:t>修改</w:t>
      </w:r>
      <w:r>
        <w:rPr>
          <w:rFonts w:hint="eastAsia" w:ascii="Times New Roman" w:hAnsi="Times New Roman" w:cs="Times New Roman" w:eastAsiaTheme="minorEastAsia"/>
        </w:rPr>
        <w:t>清单</w:t>
      </w:r>
      <w:r>
        <w:rPr>
          <w:rFonts w:ascii="Times New Roman" w:hAnsi="Times New Roman" w:cs="Times New Roman" w:eastAsiaTheme="minorEastAsia"/>
        </w:rPr>
        <w:t>要求进行设计，具体满足下列要求：</w:t>
      </w:r>
    </w:p>
    <w:p w14:paraId="035CABF7">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（1）应建有堵截泄漏的裙脚，地面与裙脚要用坚固防渗的材料建造。应有隔离设施、报警装置和防风、防晒、防雨设施；</w:t>
      </w:r>
    </w:p>
    <w:p w14:paraId="153DD815">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（2）用于盛放液态危险废物场所须有泄漏液体的收集装置；</w:t>
      </w:r>
    </w:p>
    <w:p w14:paraId="00975DB2">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（3）用于存放液体、半固体危险废物的地方，还须有耐腐蚀的硬化地面，地面无裂隙；</w:t>
      </w:r>
    </w:p>
    <w:p w14:paraId="49F234C1">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（4）不相容的危险废物堆放区必须有隔离间隔断；</w:t>
      </w:r>
    </w:p>
    <w:p w14:paraId="6BDEA7B4">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（5）贮存易燃易爆的危险废物的场所应配备消防设备；</w:t>
      </w:r>
    </w:p>
    <w:p w14:paraId="57D496A8">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（6）危险废物贮存设施必须按GB15562.2的规定设置警示标志；危险废物贮存设施周围应设置围墙或其它防护栅栏，危险废物贮存设施内清理出来的泄漏物，一律按危险废物处理；</w:t>
      </w:r>
    </w:p>
    <w:p w14:paraId="11A48506">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（7）危险废物暂存场所的设计、运行与管理、安全防护、环境监测及应急措施等须遵循(危险废物贮存污染控制标准)有关规定。</w:t>
      </w:r>
    </w:p>
    <w:p w14:paraId="6F8FF06C">
      <w:pPr>
        <w:pStyle w:val="349"/>
      </w:pPr>
      <w:r>
        <w:t>6.4.3.2危险废物的收集、贮存、转移过程环境管理要求</w:t>
      </w:r>
    </w:p>
    <w:p w14:paraId="000756C0">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（1）危险废物收集规范要求</w:t>
      </w:r>
    </w:p>
    <w:p w14:paraId="3497AC70">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①</w:t>
      </w:r>
      <w:r>
        <w:rPr>
          <w:rFonts w:ascii="Times New Roman" w:hAnsi="Times New Roman" w:cs="Times New Roman" w:eastAsiaTheme="minorEastAsia"/>
        </w:rPr>
        <w:t>危险废物收集应根据危险废物产生的工艺特性、排放周期、危险废物特性、废物管理计划等因素制定收集计划；收集计划应包括收集任务的概述、收集目标及原则、危险废物特性评估、危险废物收集量估算、收集作业范围和方法、收集设备与包装容器、安全生产与个人防护、工程防护与事故应急、进度安排与组织管理等。</w:t>
      </w:r>
    </w:p>
    <w:p w14:paraId="39BF105E">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②</w:t>
      </w:r>
      <w:r>
        <w:rPr>
          <w:rFonts w:ascii="Times New Roman" w:hAnsi="Times New Roman" w:cs="Times New Roman" w:eastAsiaTheme="minorEastAsia"/>
        </w:rPr>
        <w:t>在危险废物收集、转运过程中，应采取相应的安全防护和污染防治措施，包括防爆、防火、防中毒、防感染、防泄漏、防飞扬、防雨或其他防止污染环境的措施；</w:t>
      </w:r>
    </w:p>
    <w:p w14:paraId="71E3B8CB">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③</w:t>
      </w:r>
      <w:r>
        <w:rPr>
          <w:rFonts w:ascii="Times New Roman" w:hAnsi="Times New Roman" w:cs="Times New Roman" w:eastAsiaTheme="minorEastAsia"/>
        </w:rPr>
        <w:t>危险废物收集时应根据危险废物种类、数量、危险特性、物理形态、运输要求等因素确定包装形式，具体包括应符合如下要求：</w:t>
      </w:r>
    </w:p>
    <w:p w14:paraId="48352AFF">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a.包装材质要与危险废物相容，可根据废物特性选择钢、铝、塑料等材质；</w:t>
      </w:r>
    </w:p>
    <w:p w14:paraId="3ABF5E2A">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b.性质类似的废物可收集到同一容器中，性质不相容的危险废物不应混合包装；</w:t>
      </w:r>
    </w:p>
    <w:p w14:paraId="5A8C4FD1">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c.危险废物包装应能有效隔断危险废物迁移扩散途径。并达到防渗、防漏要求；</w:t>
      </w:r>
    </w:p>
    <w:p w14:paraId="53DEE79B">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d.包装好的危险废物应设置相应的标签，标签信息应填写完整详实；</w:t>
      </w:r>
    </w:p>
    <w:p w14:paraId="2968079E">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e.盛装过危险废物的包装袋或包装容器破损后应按危险废物进行管理和处置；</w:t>
      </w:r>
    </w:p>
    <w:p w14:paraId="16F8F7DE">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f.危险废物还应根据GB12463的有关进行运输包装。</w:t>
      </w:r>
    </w:p>
    <w:p w14:paraId="6849AD5A">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（2）危险废物贮存规范要求</w:t>
      </w:r>
    </w:p>
    <w:p w14:paraId="6D8C4E41">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①</w:t>
      </w:r>
      <w:r>
        <w:rPr>
          <w:rFonts w:ascii="Times New Roman" w:hAnsi="Times New Roman" w:cs="Times New Roman" w:eastAsiaTheme="minorEastAsia"/>
        </w:rPr>
        <w:t>危险废物贮存设施应配备通讯设备、照明设施和消防设施；</w:t>
      </w:r>
    </w:p>
    <w:p w14:paraId="3AA2F76B">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②</w:t>
      </w:r>
      <w:r>
        <w:rPr>
          <w:rFonts w:ascii="Times New Roman" w:hAnsi="Times New Roman" w:cs="Times New Roman" w:eastAsiaTheme="minorEastAsia"/>
        </w:rPr>
        <w:t>贮存易燃易爆危险废物应配置火灾报警装置和导出静电的接地装置；</w:t>
      </w:r>
    </w:p>
    <w:p w14:paraId="18FA9B9D">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③</w:t>
      </w:r>
      <w:r>
        <w:rPr>
          <w:rFonts w:ascii="Times New Roman" w:hAnsi="Times New Roman" w:cs="Times New Roman" w:eastAsiaTheme="minorEastAsia"/>
        </w:rPr>
        <w:t>危险废物贮存期限应符合《中华人民共和国固体废物污染环境防治法》的有关规定；</w:t>
      </w:r>
    </w:p>
    <w:p w14:paraId="6130A469">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④</w:t>
      </w:r>
      <w:r>
        <w:rPr>
          <w:rFonts w:ascii="Times New Roman" w:hAnsi="Times New Roman" w:cs="Times New Roman" w:eastAsiaTheme="minorEastAsia"/>
        </w:rPr>
        <w:t>危险废物贮存单位应建立危险废物贮存的台账制度，认真记录危险废物出入库的交接内容。</w:t>
      </w:r>
    </w:p>
    <w:p w14:paraId="222029D6">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⑤</w:t>
      </w:r>
      <w:r>
        <w:rPr>
          <w:rFonts w:ascii="Times New Roman" w:hAnsi="Times New Roman" w:cs="Times New Roman" w:eastAsiaTheme="minorEastAsia"/>
        </w:rPr>
        <w:t>危险废物贮存设施应根据贮存废物的种类和特性按照GB18597附录A设置标志。</w:t>
      </w:r>
    </w:p>
    <w:p w14:paraId="46F1BA7A">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（3）危险废物运输技术规范要求</w:t>
      </w:r>
    </w:p>
    <w:p w14:paraId="428BBBF4">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①</w:t>
      </w:r>
      <w:r>
        <w:rPr>
          <w:rFonts w:ascii="Times New Roman" w:hAnsi="Times New Roman" w:cs="Times New Roman" w:eastAsiaTheme="minorEastAsia"/>
        </w:rPr>
        <w:t>危险废物运输应由持有危险废物经营许可证的单位按照其许可证的经营范围组织实施；</w:t>
      </w:r>
    </w:p>
    <w:p w14:paraId="05B64D1F">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②</w:t>
      </w:r>
      <w:r>
        <w:rPr>
          <w:rFonts w:ascii="Times New Roman" w:hAnsi="Times New Roman" w:cs="Times New Roman" w:eastAsiaTheme="minorEastAsia"/>
        </w:rPr>
        <w:t>废弃的危险化学品的运输应执行《危险化学品安全管理条例》的有关规定执行；</w:t>
      </w:r>
    </w:p>
    <w:p w14:paraId="3DB94AB2">
      <w:pPr>
        <w:pStyle w:val="335"/>
        <w:tabs>
          <w:tab w:val="left" w:pos="0"/>
        </w:tabs>
        <w:spacing w:line="440" w:lineRule="exact"/>
        <w:ind w:firstLine="501" w:firstLineChars="209"/>
        <w:rPr>
          <w:rFonts w:ascii="Times New Roman" w:hAnsi="Times New Roman" w:cs="Times New Roman" w:eastAsiaTheme="minorEastAsia"/>
        </w:rPr>
      </w:pPr>
      <w:r>
        <w:rPr>
          <w:rFonts w:ascii="Times New Roman" w:hAnsi="Times New Roman" w:cs="Times New Roman" w:eastAsiaTheme="minorEastAsia"/>
        </w:rPr>
        <w:t>（4）危险废物转运过程二次污染防治措施</w:t>
      </w:r>
    </w:p>
    <w:p w14:paraId="08735D7E">
      <w:pPr>
        <w:pStyle w:val="335"/>
        <w:tabs>
          <w:tab w:val="left" w:pos="0"/>
        </w:tabs>
        <w:spacing w:line="440" w:lineRule="exact"/>
        <w:ind w:firstLine="501" w:firstLineChars="209"/>
        <w:rPr>
          <w:rFonts w:ascii="Times New Roman" w:hAnsi="Times New Roman" w:cs="Times New Roman" w:eastAsiaTheme="minorEastAsia"/>
        </w:rPr>
      </w:pPr>
      <w:r>
        <w:rPr>
          <w:rFonts w:hint="eastAsia" w:ascii="宋体" w:hAnsi="宋体" w:cs="宋体"/>
        </w:rPr>
        <w:t>①</w:t>
      </w:r>
      <w:r>
        <w:rPr>
          <w:rFonts w:ascii="Times New Roman" w:hAnsi="Times New Roman" w:cs="Times New Roman" w:eastAsiaTheme="minorEastAsia"/>
        </w:rPr>
        <w:t>危险废物要根据其成分，用专门容器分类收集，装运危险废物的容器应不易破损、变形、老化，能有效地防止渗漏、扩散。</w:t>
      </w:r>
    </w:p>
    <w:p w14:paraId="764F691F">
      <w:pPr>
        <w:ind w:firstLine="480"/>
      </w:pPr>
      <w:r>
        <w:rPr>
          <w:rFonts w:hint="eastAsia" w:ascii="宋体" w:hAnsi="宋体" w:cs="宋体"/>
        </w:rPr>
        <w:t>②</w:t>
      </w:r>
      <w:r>
        <w:rPr>
          <w:rFonts w:cs="Times New Roman" w:eastAsiaTheme="minorEastAsia"/>
        </w:rPr>
        <w:t>在危险废物贮存和运输过程中应避免泄漏，造成二次污染。装有危险废物的容器必须贴有标签，在标签上详细标明危险废物的名称、重量、成分、特征以及发生泄漏、扩散污染事故时的应急措施和补救方法。运输及接受要填写交接单（5联单），企业环保机构进行监控</w:t>
      </w:r>
      <w:r>
        <w:rPr>
          <w:rFonts w:hint="eastAsia" w:cs="Times New Roman" w:eastAsiaTheme="minorEastAsia"/>
        </w:rPr>
        <w:t>。</w:t>
      </w:r>
    </w:p>
    <w:p w14:paraId="5027EE4F">
      <w:pPr>
        <w:pStyle w:val="4065"/>
      </w:pPr>
      <w:bookmarkStart w:id="441" w:name="_Toc58511634"/>
      <w:bookmarkEnd w:id="441"/>
      <w:bookmarkStart w:id="442" w:name="_Toc108662705"/>
      <w:r>
        <w:t>6.5地下水污染防治措施</w:t>
      </w:r>
      <w:r>
        <w:rPr>
          <w:rFonts w:hint="eastAsia"/>
        </w:rPr>
        <w:t>评述</w:t>
      </w:r>
      <w:bookmarkEnd w:id="442"/>
    </w:p>
    <w:p w14:paraId="26EE3F44">
      <w:pPr>
        <w:pStyle w:val="4068"/>
      </w:pPr>
      <w:bookmarkStart w:id="443" w:name="_Toc101135929"/>
      <w:bookmarkStart w:id="444" w:name="_Toc100784096"/>
      <w:bookmarkStart w:id="445" w:name="_Toc108662706"/>
      <w:r>
        <w:rPr>
          <w:rFonts w:hint="eastAsia"/>
        </w:rPr>
        <w:t>6.5.1</w:t>
      </w:r>
      <w:bookmarkStart w:id="446" w:name="_Toc395792906"/>
      <w:bookmarkEnd w:id="446"/>
      <w:r>
        <w:t>污染防治措施评述</w:t>
      </w:r>
      <w:bookmarkEnd w:id="443"/>
      <w:bookmarkEnd w:id="444"/>
      <w:bookmarkEnd w:id="445"/>
    </w:p>
    <w:p w14:paraId="1CFDE321">
      <w:pPr>
        <w:ind w:firstLine="480"/>
      </w:pPr>
      <w:r>
        <w:rPr>
          <w:rFonts w:hint="eastAsia" w:ascii="宋体" w:hAnsi="宋体"/>
        </w:rPr>
        <w:t>地下水保护与污染防治按照</w:t>
      </w:r>
      <w:r>
        <w:rPr>
          <w:rFonts w:hint="eastAsia"/>
        </w:rPr>
        <w:t>“源头控制、分区防治、污染监控、应急响应”的原则。本项目运行过程中要建立健全地下水保护与污染防治的措施与方法；必须采取必要监测制度，一旦发现地下水遭受污染，就应及时采取措施，防微杜渐；尽量减少污染物进入地下含水层的机会和数量。</w:t>
      </w:r>
    </w:p>
    <w:p w14:paraId="52FF3125">
      <w:pPr>
        <w:pStyle w:val="4068"/>
      </w:pPr>
      <w:bookmarkStart w:id="447" w:name="_Toc101135930"/>
      <w:bookmarkStart w:id="448" w:name="_Toc100784097"/>
      <w:bookmarkStart w:id="449" w:name="_Toc108662707"/>
      <w:r>
        <w:rPr>
          <w:rFonts w:hint="eastAsia"/>
        </w:rPr>
        <w:t>6</w:t>
      </w:r>
      <w:r>
        <w:t>.5.2</w:t>
      </w:r>
      <w:r>
        <w:rPr>
          <w:rFonts w:hint="eastAsia" w:ascii="黑体" w:hAnsi="黑体"/>
        </w:rPr>
        <w:t>源头</w:t>
      </w:r>
      <w:r>
        <w:rPr>
          <w:rFonts w:ascii="黑体" w:hAnsi="黑体"/>
        </w:rPr>
        <w:t>控制</w:t>
      </w:r>
      <w:bookmarkEnd w:id="447"/>
      <w:bookmarkEnd w:id="448"/>
      <w:bookmarkEnd w:id="449"/>
    </w:p>
    <w:p w14:paraId="230D2F36">
      <w:pPr>
        <w:ind w:firstLine="480"/>
      </w:pPr>
      <w:r>
        <w:rPr>
          <w:rFonts w:ascii="宋体" w:hAnsi="宋体"/>
          <w:kern w:val="24"/>
        </w:rPr>
        <w:t>项目选择先进、成熟、可靠的工艺技术，并对产生的各类废物进行合理的回用和治理，尽可能从源头上减少污染物的产生和排放。严格按照国家相关规范要求，对工艺、管道、设备、储罐、仓库、污水储存和处理构筑物采取相应措施，防止和降低污染物的跑、冒、滴、漏，将污染物泄漏的环境风险降到最低程度。堆放各种化工原辅料的危险品仓库和储罐区，危险废物临时存放场所要按照国家相关规范要求，采取严格的防泄漏、防溢流、防腐蚀等措施，严格危险化学品和危险废物的管理。对可能泄漏有害介质和污染物的设备和管道铺设尽量采用</w:t>
      </w:r>
      <w:r>
        <w:rPr>
          <w:kern w:val="24"/>
        </w:rPr>
        <w:t>“</w:t>
      </w:r>
      <w:r>
        <w:rPr>
          <w:rFonts w:ascii="宋体" w:hAnsi="宋体"/>
          <w:kern w:val="24"/>
        </w:rPr>
        <w:t>可视化</w:t>
      </w:r>
      <w:r>
        <w:rPr>
          <w:kern w:val="24"/>
        </w:rPr>
        <w:t>”</w:t>
      </w:r>
      <w:r>
        <w:rPr>
          <w:rFonts w:ascii="宋体" w:hAnsi="宋体"/>
          <w:kern w:val="24"/>
        </w:rPr>
        <w:t>原则，即管道尽可能地上铺设，做到污染物</w:t>
      </w:r>
      <w:r>
        <w:rPr>
          <w:kern w:val="24"/>
        </w:rPr>
        <w:t>“</w:t>
      </w:r>
      <w:r>
        <w:rPr>
          <w:rFonts w:ascii="宋体" w:hAnsi="宋体"/>
          <w:kern w:val="24"/>
        </w:rPr>
        <w:t>早发现、早处理</w:t>
      </w:r>
      <w:r>
        <w:rPr>
          <w:kern w:val="24"/>
        </w:rPr>
        <w:t>”</w:t>
      </w:r>
      <w:r>
        <w:rPr>
          <w:rFonts w:ascii="宋体" w:hAnsi="宋体"/>
          <w:kern w:val="24"/>
        </w:rPr>
        <w:t>，以减少由于埋地管道泄漏而可能造成的地下水污染。</w:t>
      </w:r>
      <w:r>
        <w:rPr>
          <w:rFonts w:ascii="宋体" w:hAnsi="宋体"/>
        </w:rPr>
        <w:t>储罐尽量露天设置，罐区四周均设置围堤或围堰防护，严防污染物下渗到地下水中。</w:t>
      </w:r>
    </w:p>
    <w:p w14:paraId="4BD8EB21">
      <w:pPr>
        <w:pStyle w:val="4068"/>
      </w:pPr>
      <w:bookmarkStart w:id="450" w:name="_Toc100784098"/>
      <w:bookmarkStart w:id="451" w:name="_Toc101135931"/>
      <w:bookmarkStart w:id="452" w:name="_Toc108662708"/>
      <w:r>
        <w:rPr>
          <w:rFonts w:hint="eastAsia"/>
        </w:rPr>
        <w:t>6.5.3</w:t>
      </w:r>
      <w:r>
        <w:rPr>
          <w:rFonts w:hint="eastAsia" w:ascii="黑体" w:hAnsi="黑体"/>
        </w:rPr>
        <w:t>分区</w:t>
      </w:r>
      <w:r>
        <w:rPr>
          <w:rFonts w:ascii="黑体" w:hAnsi="黑体"/>
        </w:rPr>
        <w:t>防控措施</w:t>
      </w:r>
      <w:bookmarkEnd w:id="450"/>
      <w:bookmarkEnd w:id="451"/>
      <w:bookmarkEnd w:id="452"/>
    </w:p>
    <w:p w14:paraId="0DC5135C">
      <w:pPr>
        <w:ind w:firstLine="480"/>
      </w:pPr>
      <w:r>
        <w:rPr>
          <w:rFonts w:hint="eastAsia" w:cs="Times New Roman"/>
        </w:rPr>
        <w:t>（1）</w:t>
      </w:r>
      <w:r>
        <w:rPr>
          <w:rFonts w:cs="Times New Roman"/>
        </w:rPr>
        <w:t>污染防治分区</w:t>
      </w:r>
    </w:p>
    <w:p w14:paraId="5C84750E">
      <w:pPr>
        <w:ind w:firstLine="480"/>
      </w:pPr>
      <w:r>
        <w:rPr>
          <w:rFonts w:hint="eastAsia"/>
        </w:rPr>
        <w:t>根据</w:t>
      </w:r>
      <w:r>
        <w:t>安徽凯盛</w:t>
      </w:r>
      <w:r>
        <w:rPr>
          <w:rFonts w:hint="eastAsia"/>
        </w:rPr>
        <w:t>应用</w:t>
      </w:r>
      <w:r>
        <w:t>材料</w:t>
      </w:r>
      <w:r>
        <w:rPr>
          <w:rFonts w:hint="eastAsia"/>
        </w:rPr>
        <w:t>有限</w:t>
      </w:r>
      <w:r>
        <w:t>公司平面布置及</w:t>
      </w:r>
      <w:r>
        <w:rPr>
          <w:rFonts w:hint="eastAsia"/>
        </w:rPr>
        <w:t>项目各</w:t>
      </w:r>
      <w:r>
        <w:t>污染物</w:t>
      </w:r>
      <w:r>
        <w:rPr>
          <w:rFonts w:hint="eastAsia"/>
        </w:rPr>
        <w:t>产生、暂存</w:t>
      </w:r>
      <w:r>
        <w:t>位置</w:t>
      </w:r>
      <w:r>
        <w:rPr>
          <w:rFonts w:hint="eastAsia"/>
        </w:rPr>
        <w:t>，</w:t>
      </w:r>
      <w:r>
        <w:t>可将</w:t>
      </w:r>
      <w:r>
        <w:rPr>
          <w:rFonts w:hint="eastAsia"/>
        </w:rPr>
        <w:t>厂区</w:t>
      </w:r>
      <w:r>
        <w:t>划分为</w:t>
      </w:r>
      <w:r>
        <w:rPr>
          <w:rFonts w:hint="eastAsia"/>
        </w:rPr>
        <w:t>一般</w:t>
      </w:r>
      <w:r>
        <w:t>污染区和</w:t>
      </w:r>
      <w:r>
        <w:rPr>
          <w:rFonts w:hint="eastAsia"/>
        </w:rPr>
        <w:t>重点</w:t>
      </w:r>
      <w:r>
        <w:t>污染区域，具体见表</w:t>
      </w:r>
      <w:r>
        <w:rPr>
          <w:rFonts w:hint="eastAsia"/>
        </w:rPr>
        <w:t>6.5.3</w:t>
      </w:r>
      <w:r>
        <w:t>-1</w:t>
      </w:r>
      <w:r>
        <w:rPr>
          <w:rFonts w:hint="eastAsia"/>
        </w:rPr>
        <w:t>和</w:t>
      </w:r>
      <w:r>
        <w:t>附图</w:t>
      </w:r>
      <w:r>
        <w:rPr>
          <w:rFonts w:hint="eastAsia"/>
        </w:rPr>
        <w:t>6.5.3-1。</w:t>
      </w:r>
    </w:p>
    <w:p w14:paraId="608B829C">
      <w:pPr>
        <w:pStyle w:val="278"/>
      </w:pPr>
      <w:r>
        <w:rPr>
          <w:rFonts w:hint="eastAsia"/>
        </w:rPr>
        <w:t>表</w:t>
      </w:r>
      <w:r>
        <w:t>6.5.3</w:t>
      </w:r>
      <w:r>
        <w:rPr>
          <w:rFonts w:hint="eastAsia"/>
        </w:rPr>
        <w:t>-1  扩建项目污染区划分及防渗等级一览表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1214"/>
        <w:gridCol w:w="3647"/>
        <w:gridCol w:w="3435"/>
      </w:tblGrid>
      <w:tr w14:paraId="4D1732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68" w:type="pct"/>
            <w:gridSpan w:val="2"/>
            <w:vAlign w:val="center"/>
          </w:tcPr>
          <w:p w14:paraId="631E836B">
            <w:pPr>
              <w:pStyle w:val="445"/>
              <w:rPr>
                <w:rFonts w:cs="Times New Roman"/>
                <w:kern w:val="0"/>
                <w:szCs w:val="20"/>
              </w:rPr>
            </w:pPr>
            <w:r>
              <w:rPr>
                <w:rFonts w:hint="eastAsia" w:cs="Times New Roman"/>
                <w:kern w:val="0"/>
                <w:szCs w:val="20"/>
              </w:rPr>
              <w:t>分区</w:t>
            </w:r>
          </w:p>
        </w:tc>
        <w:tc>
          <w:tcPr>
            <w:tcW w:w="1973" w:type="pct"/>
            <w:vAlign w:val="center"/>
          </w:tcPr>
          <w:p w14:paraId="24A49D87">
            <w:pPr>
              <w:pStyle w:val="445"/>
              <w:rPr>
                <w:rFonts w:cs="Times New Roman"/>
                <w:kern w:val="0"/>
                <w:szCs w:val="20"/>
              </w:rPr>
            </w:pPr>
            <w:r>
              <w:rPr>
                <w:rFonts w:hint="eastAsia" w:cs="Times New Roman"/>
                <w:kern w:val="0"/>
                <w:szCs w:val="20"/>
              </w:rPr>
              <w:t>厂内分区</w:t>
            </w:r>
          </w:p>
        </w:tc>
        <w:tc>
          <w:tcPr>
            <w:tcW w:w="1859" w:type="pct"/>
            <w:vAlign w:val="center"/>
          </w:tcPr>
          <w:p w14:paraId="5A3C0EF8">
            <w:pPr>
              <w:pStyle w:val="445"/>
              <w:rPr>
                <w:rFonts w:cs="Times New Roman"/>
                <w:kern w:val="0"/>
                <w:szCs w:val="20"/>
              </w:rPr>
            </w:pPr>
            <w:r>
              <w:rPr>
                <w:rFonts w:hint="eastAsia" w:cs="Times New Roman"/>
                <w:kern w:val="0"/>
                <w:szCs w:val="20"/>
              </w:rPr>
              <w:t>防渗等级</w:t>
            </w:r>
          </w:p>
        </w:tc>
      </w:tr>
      <w:tr w14:paraId="454234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restart"/>
            <w:vAlign w:val="center"/>
          </w:tcPr>
          <w:p w14:paraId="0DF98D15">
            <w:pPr>
              <w:pStyle w:val="445"/>
              <w:rPr>
                <w:rFonts w:cs="Times New Roman"/>
                <w:kern w:val="0"/>
                <w:szCs w:val="20"/>
              </w:rPr>
            </w:pPr>
            <w:r>
              <w:rPr>
                <w:rFonts w:hint="eastAsia" w:cs="Times New Roman"/>
                <w:kern w:val="0"/>
                <w:szCs w:val="20"/>
              </w:rPr>
              <w:t>污染区</w:t>
            </w:r>
          </w:p>
        </w:tc>
        <w:tc>
          <w:tcPr>
            <w:tcW w:w="657" w:type="pct"/>
            <w:vMerge w:val="restart"/>
            <w:vAlign w:val="center"/>
          </w:tcPr>
          <w:p w14:paraId="39A608AA">
            <w:pPr>
              <w:pStyle w:val="445"/>
              <w:rPr>
                <w:rFonts w:cs="Times New Roman"/>
                <w:kern w:val="0"/>
                <w:szCs w:val="20"/>
              </w:rPr>
            </w:pPr>
            <w:r>
              <w:rPr>
                <w:rFonts w:hint="eastAsia" w:cs="Times New Roman"/>
                <w:kern w:val="0"/>
                <w:szCs w:val="20"/>
              </w:rPr>
              <w:t>一般污染防治区</w:t>
            </w:r>
          </w:p>
        </w:tc>
        <w:tc>
          <w:tcPr>
            <w:tcW w:w="1973" w:type="pct"/>
            <w:vAlign w:val="center"/>
          </w:tcPr>
          <w:p w14:paraId="31A737C7">
            <w:pPr>
              <w:pStyle w:val="445"/>
              <w:rPr>
                <w:rFonts w:cs="Times New Roman"/>
                <w:kern w:val="0"/>
                <w:szCs w:val="20"/>
              </w:rPr>
            </w:pPr>
            <w:r>
              <w:rPr>
                <w:rFonts w:hint="eastAsia" w:cs="Times New Roman"/>
                <w:kern w:val="0"/>
                <w:szCs w:val="20"/>
              </w:rPr>
              <w:t>辅助</w:t>
            </w:r>
            <w:r>
              <w:rPr>
                <w:rFonts w:cs="Times New Roman"/>
                <w:kern w:val="0"/>
                <w:szCs w:val="20"/>
              </w:rPr>
              <w:t>工程区</w:t>
            </w:r>
          </w:p>
        </w:tc>
        <w:tc>
          <w:tcPr>
            <w:tcW w:w="1859" w:type="pct"/>
            <w:vMerge w:val="restart"/>
            <w:vAlign w:val="center"/>
          </w:tcPr>
          <w:p w14:paraId="771394D9">
            <w:pPr>
              <w:pStyle w:val="445"/>
              <w:rPr>
                <w:rFonts w:cs="Times New Roman"/>
                <w:kern w:val="0"/>
                <w:szCs w:val="20"/>
              </w:rPr>
            </w:pPr>
            <w:r>
              <w:rPr>
                <w:rFonts w:hint="eastAsia" w:cs="Times New Roman"/>
                <w:kern w:val="0"/>
                <w:szCs w:val="20"/>
              </w:rPr>
              <w:t>等效黏土防渗层Mb≥6.0m，K≤1×10</w:t>
            </w:r>
            <w:r>
              <w:rPr>
                <w:rFonts w:hint="eastAsia" w:cs="Times New Roman"/>
                <w:kern w:val="0"/>
                <w:szCs w:val="20"/>
                <w:vertAlign w:val="superscript"/>
              </w:rPr>
              <w:t>-7</w:t>
            </w:r>
            <w:r>
              <w:rPr>
                <w:rFonts w:hint="eastAsia" w:cs="Times New Roman"/>
                <w:kern w:val="0"/>
                <w:szCs w:val="20"/>
              </w:rPr>
              <w:t>cm/s；或参照GB18598执行</w:t>
            </w:r>
          </w:p>
        </w:tc>
      </w:tr>
      <w:tr w14:paraId="6EAE83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continue"/>
            <w:vAlign w:val="center"/>
          </w:tcPr>
          <w:p w14:paraId="17E7F366">
            <w:pPr>
              <w:pStyle w:val="445"/>
              <w:rPr>
                <w:rFonts w:cs="Times New Roman"/>
                <w:kern w:val="0"/>
                <w:szCs w:val="20"/>
              </w:rPr>
            </w:pPr>
          </w:p>
        </w:tc>
        <w:tc>
          <w:tcPr>
            <w:tcW w:w="657" w:type="pct"/>
            <w:vMerge w:val="continue"/>
            <w:vAlign w:val="center"/>
          </w:tcPr>
          <w:p w14:paraId="38715D88">
            <w:pPr>
              <w:pStyle w:val="445"/>
              <w:rPr>
                <w:rFonts w:cs="Times New Roman"/>
                <w:kern w:val="0"/>
                <w:szCs w:val="20"/>
              </w:rPr>
            </w:pPr>
          </w:p>
        </w:tc>
        <w:tc>
          <w:tcPr>
            <w:tcW w:w="1973" w:type="pct"/>
            <w:vAlign w:val="center"/>
          </w:tcPr>
          <w:p w14:paraId="701DFD33">
            <w:pPr>
              <w:pStyle w:val="445"/>
              <w:rPr>
                <w:rFonts w:cs="Times New Roman"/>
                <w:kern w:val="0"/>
                <w:szCs w:val="20"/>
              </w:rPr>
            </w:pPr>
            <w:r>
              <w:rPr>
                <w:rFonts w:cs="Times New Roman"/>
                <w:kern w:val="0"/>
                <w:szCs w:val="20"/>
              </w:rPr>
              <w:t>其他一般污染防治区</w:t>
            </w:r>
          </w:p>
        </w:tc>
        <w:tc>
          <w:tcPr>
            <w:tcW w:w="1859" w:type="pct"/>
            <w:vMerge w:val="continue"/>
            <w:vAlign w:val="center"/>
          </w:tcPr>
          <w:p w14:paraId="498782B7">
            <w:pPr>
              <w:pStyle w:val="445"/>
              <w:rPr>
                <w:rFonts w:cs="Times New Roman"/>
                <w:kern w:val="0"/>
                <w:szCs w:val="20"/>
              </w:rPr>
            </w:pPr>
          </w:p>
        </w:tc>
      </w:tr>
      <w:tr w14:paraId="7D0D1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continue"/>
            <w:vAlign w:val="center"/>
          </w:tcPr>
          <w:p w14:paraId="37FC15C5">
            <w:pPr>
              <w:pStyle w:val="445"/>
              <w:rPr>
                <w:rFonts w:cs="Times New Roman"/>
                <w:kern w:val="0"/>
                <w:szCs w:val="20"/>
              </w:rPr>
            </w:pPr>
          </w:p>
        </w:tc>
        <w:tc>
          <w:tcPr>
            <w:tcW w:w="657" w:type="pct"/>
            <w:vMerge w:val="restart"/>
            <w:vAlign w:val="center"/>
          </w:tcPr>
          <w:p w14:paraId="5CDC0A98">
            <w:pPr>
              <w:pStyle w:val="445"/>
              <w:rPr>
                <w:rFonts w:cs="Times New Roman"/>
                <w:kern w:val="0"/>
                <w:szCs w:val="20"/>
              </w:rPr>
            </w:pPr>
            <w:r>
              <w:rPr>
                <w:rFonts w:hint="eastAsia" w:cs="Times New Roman"/>
                <w:kern w:val="0"/>
                <w:szCs w:val="20"/>
              </w:rPr>
              <w:t>重点污染防治区</w:t>
            </w:r>
          </w:p>
        </w:tc>
        <w:tc>
          <w:tcPr>
            <w:tcW w:w="1973" w:type="pct"/>
            <w:vAlign w:val="center"/>
          </w:tcPr>
          <w:p w14:paraId="008F55DE">
            <w:pPr>
              <w:pStyle w:val="445"/>
              <w:rPr>
                <w:rFonts w:cs="Times New Roman"/>
                <w:kern w:val="0"/>
                <w:szCs w:val="20"/>
              </w:rPr>
            </w:pPr>
            <w:r>
              <w:rPr>
                <w:rFonts w:hint="eastAsia" w:cs="Times New Roman"/>
                <w:kern w:val="0"/>
                <w:szCs w:val="20"/>
              </w:rPr>
              <w:t>装置</w:t>
            </w:r>
            <w:r>
              <w:rPr>
                <w:rFonts w:cs="Times New Roman"/>
                <w:kern w:val="0"/>
                <w:szCs w:val="20"/>
              </w:rPr>
              <w:t>区、</w:t>
            </w:r>
            <w:r>
              <w:rPr>
                <w:rFonts w:hint="eastAsia" w:cs="Times New Roman"/>
                <w:kern w:val="0"/>
                <w:szCs w:val="20"/>
              </w:rPr>
              <w:t>水解车间</w:t>
            </w:r>
            <w:r>
              <w:rPr>
                <w:rFonts w:cs="Times New Roman"/>
                <w:kern w:val="0"/>
                <w:szCs w:val="20"/>
              </w:rPr>
              <w:t>、合成精馏偶联剂</w:t>
            </w:r>
            <w:r>
              <w:rPr>
                <w:rFonts w:hint="eastAsia" w:cs="Times New Roman"/>
                <w:kern w:val="0"/>
                <w:szCs w:val="20"/>
              </w:rPr>
              <w:t>生产车间</w:t>
            </w:r>
          </w:p>
        </w:tc>
        <w:tc>
          <w:tcPr>
            <w:tcW w:w="1859" w:type="pct"/>
            <w:vMerge w:val="restart"/>
            <w:vAlign w:val="center"/>
          </w:tcPr>
          <w:p w14:paraId="15DDE7AA">
            <w:pPr>
              <w:pStyle w:val="445"/>
              <w:rPr>
                <w:rFonts w:cs="Times New Roman"/>
                <w:kern w:val="0"/>
                <w:szCs w:val="20"/>
              </w:rPr>
            </w:pPr>
            <w:r>
              <w:rPr>
                <w:rFonts w:hint="eastAsia" w:cs="Times New Roman"/>
                <w:kern w:val="0"/>
                <w:szCs w:val="20"/>
              </w:rPr>
              <w:t>等效黏土防渗层Mb≥1.5m，K≤1×10</w:t>
            </w:r>
            <w:r>
              <w:rPr>
                <w:rFonts w:hint="eastAsia" w:cs="Times New Roman"/>
                <w:kern w:val="0"/>
                <w:szCs w:val="20"/>
                <w:vertAlign w:val="superscript"/>
              </w:rPr>
              <w:t>-7</w:t>
            </w:r>
            <w:r>
              <w:rPr>
                <w:rFonts w:hint="eastAsia" w:cs="Times New Roman"/>
                <w:kern w:val="0"/>
                <w:szCs w:val="20"/>
              </w:rPr>
              <w:t>cm/s；或参照GB16889执行</w:t>
            </w:r>
          </w:p>
        </w:tc>
      </w:tr>
      <w:tr w14:paraId="4EEAD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continue"/>
            <w:vAlign w:val="center"/>
          </w:tcPr>
          <w:p w14:paraId="7A8CF149">
            <w:pPr>
              <w:pStyle w:val="445"/>
              <w:rPr>
                <w:rFonts w:cs="Times New Roman"/>
                <w:kern w:val="0"/>
                <w:szCs w:val="20"/>
              </w:rPr>
            </w:pPr>
          </w:p>
        </w:tc>
        <w:tc>
          <w:tcPr>
            <w:tcW w:w="657" w:type="pct"/>
            <w:vMerge w:val="continue"/>
            <w:vAlign w:val="center"/>
          </w:tcPr>
          <w:p w14:paraId="0C117CD4">
            <w:pPr>
              <w:pStyle w:val="445"/>
              <w:rPr>
                <w:rFonts w:cs="Times New Roman"/>
                <w:kern w:val="0"/>
                <w:szCs w:val="20"/>
              </w:rPr>
            </w:pPr>
          </w:p>
        </w:tc>
        <w:tc>
          <w:tcPr>
            <w:tcW w:w="1973" w:type="pct"/>
            <w:vAlign w:val="center"/>
          </w:tcPr>
          <w:p w14:paraId="15EE7582">
            <w:pPr>
              <w:pStyle w:val="445"/>
              <w:rPr>
                <w:rFonts w:cs="Times New Roman"/>
                <w:kern w:val="0"/>
                <w:szCs w:val="20"/>
              </w:rPr>
            </w:pPr>
            <w:r>
              <w:rPr>
                <w:rFonts w:hint="eastAsia" w:cs="Times New Roman"/>
                <w:kern w:val="0"/>
                <w:szCs w:val="20"/>
              </w:rPr>
              <w:t>原料库</w:t>
            </w:r>
            <w:r>
              <w:rPr>
                <w:rFonts w:cs="Times New Roman"/>
                <w:kern w:val="0"/>
                <w:szCs w:val="20"/>
              </w:rPr>
              <w:t>、</w:t>
            </w:r>
            <w:r>
              <w:rPr>
                <w:rFonts w:hint="eastAsia" w:cs="Times New Roman"/>
                <w:kern w:val="0"/>
                <w:szCs w:val="20"/>
              </w:rPr>
              <w:t>产品</w:t>
            </w:r>
            <w:r>
              <w:rPr>
                <w:rFonts w:cs="Times New Roman"/>
                <w:kern w:val="0"/>
                <w:szCs w:val="20"/>
              </w:rPr>
              <w:t>库</w:t>
            </w:r>
            <w:r>
              <w:rPr>
                <w:rFonts w:hint="eastAsia" w:cs="Times New Roman"/>
                <w:kern w:val="0"/>
                <w:szCs w:val="20"/>
              </w:rPr>
              <w:t>、</w:t>
            </w:r>
            <w:r>
              <w:rPr>
                <w:rFonts w:cs="Times New Roman"/>
                <w:kern w:val="0"/>
                <w:szCs w:val="20"/>
              </w:rPr>
              <w:t>罐区</w:t>
            </w:r>
          </w:p>
        </w:tc>
        <w:tc>
          <w:tcPr>
            <w:tcW w:w="1859" w:type="pct"/>
            <w:vMerge w:val="continue"/>
            <w:vAlign w:val="center"/>
          </w:tcPr>
          <w:p w14:paraId="781EC14F">
            <w:pPr>
              <w:pStyle w:val="445"/>
              <w:rPr>
                <w:rFonts w:cs="Times New Roman"/>
                <w:kern w:val="0"/>
                <w:szCs w:val="20"/>
              </w:rPr>
            </w:pPr>
          </w:p>
        </w:tc>
      </w:tr>
      <w:tr w14:paraId="10C88C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continue"/>
            <w:vAlign w:val="center"/>
          </w:tcPr>
          <w:p w14:paraId="23939996">
            <w:pPr>
              <w:pStyle w:val="445"/>
              <w:rPr>
                <w:rFonts w:cs="Times New Roman"/>
                <w:kern w:val="0"/>
                <w:szCs w:val="20"/>
              </w:rPr>
            </w:pPr>
          </w:p>
        </w:tc>
        <w:tc>
          <w:tcPr>
            <w:tcW w:w="657" w:type="pct"/>
            <w:vMerge w:val="continue"/>
            <w:vAlign w:val="center"/>
          </w:tcPr>
          <w:p w14:paraId="7077C9A2">
            <w:pPr>
              <w:pStyle w:val="445"/>
              <w:rPr>
                <w:rFonts w:cs="Times New Roman"/>
                <w:kern w:val="0"/>
                <w:szCs w:val="20"/>
              </w:rPr>
            </w:pPr>
          </w:p>
        </w:tc>
        <w:tc>
          <w:tcPr>
            <w:tcW w:w="1973" w:type="pct"/>
            <w:vAlign w:val="center"/>
          </w:tcPr>
          <w:p w14:paraId="3E7F4A42">
            <w:pPr>
              <w:pStyle w:val="445"/>
              <w:rPr>
                <w:rFonts w:cs="Times New Roman"/>
                <w:kern w:val="0"/>
                <w:szCs w:val="20"/>
              </w:rPr>
            </w:pPr>
            <w:r>
              <w:rPr>
                <w:rFonts w:hint="eastAsia" w:cs="Times New Roman"/>
                <w:kern w:val="0"/>
                <w:szCs w:val="20"/>
              </w:rPr>
              <w:t>污水</w:t>
            </w:r>
            <w:r>
              <w:rPr>
                <w:rFonts w:cs="Times New Roman"/>
                <w:kern w:val="0"/>
                <w:szCs w:val="20"/>
              </w:rPr>
              <w:t>处理站</w:t>
            </w:r>
            <w:r>
              <w:rPr>
                <w:rFonts w:hint="eastAsia" w:cs="Times New Roman"/>
                <w:kern w:val="0"/>
                <w:szCs w:val="20"/>
              </w:rPr>
              <w:t>、初期雨水</w:t>
            </w:r>
            <w:r>
              <w:rPr>
                <w:rFonts w:cs="Times New Roman"/>
                <w:kern w:val="0"/>
                <w:szCs w:val="20"/>
              </w:rPr>
              <w:t>池</w:t>
            </w:r>
          </w:p>
        </w:tc>
        <w:tc>
          <w:tcPr>
            <w:tcW w:w="1859" w:type="pct"/>
            <w:vMerge w:val="continue"/>
            <w:vAlign w:val="center"/>
          </w:tcPr>
          <w:p w14:paraId="345089F0">
            <w:pPr>
              <w:pStyle w:val="445"/>
              <w:rPr>
                <w:rFonts w:cs="Times New Roman"/>
                <w:kern w:val="0"/>
                <w:szCs w:val="20"/>
              </w:rPr>
            </w:pPr>
          </w:p>
        </w:tc>
      </w:tr>
      <w:tr w14:paraId="79764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12" w:type="pct"/>
            <w:vMerge w:val="continue"/>
            <w:vAlign w:val="center"/>
          </w:tcPr>
          <w:p w14:paraId="78BD8CE5">
            <w:pPr>
              <w:pStyle w:val="445"/>
              <w:rPr>
                <w:rFonts w:cs="Times New Roman"/>
                <w:kern w:val="0"/>
                <w:szCs w:val="20"/>
              </w:rPr>
            </w:pPr>
          </w:p>
        </w:tc>
        <w:tc>
          <w:tcPr>
            <w:tcW w:w="657" w:type="pct"/>
            <w:vMerge w:val="continue"/>
            <w:vAlign w:val="center"/>
          </w:tcPr>
          <w:p w14:paraId="1AD3277A">
            <w:pPr>
              <w:pStyle w:val="445"/>
              <w:rPr>
                <w:rFonts w:cs="Times New Roman"/>
                <w:kern w:val="0"/>
                <w:szCs w:val="20"/>
              </w:rPr>
            </w:pPr>
          </w:p>
        </w:tc>
        <w:tc>
          <w:tcPr>
            <w:tcW w:w="1973" w:type="pct"/>
            <w:vAlign w:val="center"/>
          </w:tcPr>
          <w:p w14:paraId="319E3795">
            <w:pPr>
              <w:pStyle w:val="445"/>
              <w:rPr>
                <w:rFonts w:cs="Times New Roman"/>
                <w:kern w:val="0"/>
                <w:szCs w:val="20"/>
              </w:rPr>
            </w:pPr>
            <w:r>
              <w:rPr>
                <w:rFonts w:hint="eastAsia" w:cs="Times New Roman"/>
                <w:kern w:val="0"/>
                <w:szCs w:val="20"/>
              </w:rPr>
              <w:t>事故水池</w:t>
            </w:r>
            <w:r>
              <w:rPr>
                <w:rFonts w:cs="Times New Roman"/>
                <w:kern w:val="0"/>
                <w:szCs w:val="20"/>
              </w:rPr>
              <w:t>、危废库</w:t>
            </w:r>
            <w:r>
              <w:rPr>
                <w:rFonts w:hint="eastAsia" w:cs="Times New Roman"/>
                <w:kern w:val="0"/>
                <w:szCs w:val="20"/>
              </w:rPr>
              <w:t>、</w:t>
            </w:r>
            <w:r>
              <w:rPr>
                <w:rFonts w:cs="Times New Roman"/>
                <w:kern w:val="0"/>
                <w:szCs w:val="20"/>
              </w:rPr>
              <w:t>污泥库</w:t>
            </w:r>
          </w:p>
        </w:tc>
        <w:tc>
          <w:tcPr>
            <w:tcW w:w="1859" w:type="pct"/>
            <w:vMerge w:val="continue"/>
            <w:vAlign w:val="center"/>
          </w:tcPr>
          <w:p w14:paraId="1DC714D1">
            <w:pPr>
              <w:pStyle w:val="445"/>
              <w:rPr>
                <w:rFonts w:cs="Times New Roman"/>
                <w:kern w:val="0"/>
                <w:szCs w:val="20"/>
              </w:rPr>
            </w:pPr>
          </w:p>
        </w:tc>
      </w:tr>
    </w:tbl>
    <w:p w14:paraId="307B9B90">
      <w:pPr>
        <w:ind w:firstLine="480"/>
      </w:pPr>
      <w:r>
        <w:rPr>
          <w:rFonts w:hint="eastAsia"/>
        </w:rPr>
        <w:t>（2）</w:t>
      </w:r>
      <w:r>
        <w:t>防渗方案设计参照标准</w:t>
      </w:r>
    </w:p>
    <w:p w14:paraId="110BAF5E">
      <w:pPr>
        <w:ind w:firstLine="480"/>
      </w:pPr>
      <w:r>
        <w:rPr>
          <w:rFonts w:hint="eastAsia"/>
        </w:rPr>
        <w:t>污染区地面防渗方案设计根据不同分区分别参照下列标准和规范：</w:t>
      </w:r>
    </w:p>
    <w:p w14:paraId="4B69B604">
      <w:pPr>
        <w:ind w:firstLine="480"/>
      </w:pPr>
      <w:r>
        <w:rPr>
          <w:rFonts w:hint="eastAsia"/>
        </w:rPr>
        <w:t>①按分区类别，重点污染防治区属于危险废物污染防治区，参照《危险废物填埋污染控制标准》（GB18598-20</w:t>
      </w:r>
      <w:r>
        <w:t>19</w:t>
      </w:r>
      <w:r>
        <w:rPr>
          <w:rFonts w:hint="eastAsia"/>
        </w:rPr>
        <w:t>）；</w:t>
      </w:r>
    </w:p>
    <w:p w14:paraId="032EBF9E">
      <w:pPr>
        <w:ind w:firstLine="480"/>
      </w:pPr>
      <w:r>
        <w:rPr>
          <w:rFonts w:hint="eastAsia"/>
        </w:rPr>
        <w:t>②按分区类别，一般污染物污染防治区参照《生活垃圾填埋场污染</w:t>
      </w:r>
      <w:r>
        <w:t>控制标准</w:t>
      </w:r>
      <w:r>
        <w:rPr>
          <w:rFonts w:hint="eastAsia"/>
        </w:rPr>
        <w:t>》（GB 1</w:t>
      </w:r>
      <w:r>
        <w:t>6889</w:t>
      </w:r>
      <w:r>
        <w:rPr>
          <w:rFonts w:hint="eastAsia"/>
        </w:rPr>
        <w:t>-2008）；</w:t>
      </w:r>
    </w:p>
    <w:p w14:paraId="7281372B">
      <w:pPr>
        <w:ind w:firstLine="480"/>
      </w:pPr>
      <w:r>
        <w:rPr>
          <w:rFonts w:hint="eastAsia"/>
        </w:rPr>
        <w:t>③全厂污染区参照《石油化工工程防渗技术规范》（GB/T50934-2013）相应标准要求铺设防渗层。</w:t>
      </w:r>
    </w:p>
    <w:p w14:paraId="3224B654">
      <w:pPr>
        <w:ind w:firstLine="480"/>
      </w:pPr>
      <w:r>
        <w:rPr>
          <w:rFonts w:hint="eastAsia"/>
        </w:rPr>
        <w:t>（3）分区</w:t>
      </w:r>
      <w:r>
        <w:t>防渗措施</w:t>
      </w:r>
    </w:p>
    <w:p w14:paraId="45738CEE">
      <w:pPr>
        <w:ind w:firstLine="480"/>
        <w:rPr>
          <w:bCs/>
          <w:szCs w:val="28"/>
        </w:rPr>
      </w:pPr>
      <w:r>
        <w:rPr>
          <w:bCs/>
          <w:szCs w:val="28"/>
        </w:rPr>
        <w:t>1</w:t>
      </w:r>
      <w:r>
        <w:rPr>
          <w:rFonts w:hint="eastAsia"/>
          <w:bCs/>
          <w:szCs w:val="28"/>
        </w:rPr>
        <w:t>）</w:t>
      </w:r>
      <w:r>
        <w:rPr>
          <w:bCs/>
          <w:szCs w:val="28"/>
        </w:rPr>
        <w:t>重点防渗区</w:t>
      </w:r>
    </w:p>
    <w:p w14:paraId="7CF26D2F">
      <w:pPr>
        <w:ind w:firstLine="480"/>
        <w:rPr>
          <w:szCs w:val="24"/>
        </w:rPr>
      </w:pPr>
      <w:r>
        <w:t>重点污染防治区的单元防渗层的防渗性能</w:t>
      </w:r>
      <w:r>
        <w:rPr>
          <w:rFonts w:hint="eastAsia"/>
        </w:rPr>
        <w:t>为等效黏土防渗层Mb≥6.0m，K≤1×10</w:t>
      </w:r>
      <w:r>
        <w:rPr>
          <w:rFonts w:hint="eastAsia"/>
          <w:vertAlign w:val="superscript"/>
        </w:rPr>
        <w:t>-7</w:t>
      </w:r>
      <w:r>
        <w:rPr>
          <w:rFonts w:hint="eastAsia"/>
        </w:rPr>
        <w:t>cm/s</w:t>
      </w:r>
      <w:r>
        <w:t>。防渗的设计应该满足《石油化工工程防渗技术规范》(GB/T50934-2013)中</w:t>
      </w:r>
      <w:r>
        <w:rPr>
          <w:rFonts w:hint="eastAsia"/>
        </w:rPr>
        <w:t>“5设计”</w:t>
      </w:r>
      <w:r>
        <w:t>相应要求。</w:t>
      </w:r>
    </w:p>
    <w:p w14:paraId="7B53A566">
      <w:pPr>
        <w:ind w:firstLine="480"/>
        <w:rPr>
          <w:bCs/>
          <w:szCs w:val="24"/>
        </w:rPr>
      </w:pPr>
      <w:r>
        <w:rPr>
          <w:bCs/>
          <w:szCs w:val="24"/>
        </w:rPr>
        <w:t>2</w:t>
      </w:r>
      <w:r>
        <w:rPr>
          <w:rFonts w:hint="eastAsia"/>
          <w:bCs/>
          <w:szCs w:val="24"/>
        </w:rPr>
        <w:t>）</w:t>
      </w:r>
      <w:r>
        <w:rPr>
          <w:bCs/>
          <w:szCs w:val="24"/>
        </w:rPr>
        <w:t>一般防渗区</w:t>
      </w:r>
    </w:p>
    <w:p w14:paraId="54C416D8">
      <w:pPr>
        <w:ind w:firstLine="480"/>
      </w:pPr>
      <w:r>
        <w:t>一般污染</w:t>
      </w:r>
      <w:r>
        <w:rPr>
          <w:rFonts w:hint="eastAsia"/>
        </w:rPr>
        <w:t>防治</w:t>
      </w:r>
      <w:r>
        <w:t>区防渗层的防渗性能</w:t>
      </w:r>
      <w:r>
        <w:rPr>
          <w:rFonts w:hint="eastAsia"/>
        </w:rPr>
        <w:t>为等效黏土防渗层Mb≥1.5m，K≤1×10</w:t>
      </w:r>
      <w:r>
        <w:rPr>
          <w:rFonts w:hint="eastAsia"/>
          <w:vertAlign w:val="superscript"/>
        </w:rPr>
        <w:t>-7</w:t>
      </w:r>
      <w:r>
        <w:rPr>
          <w:rFonts w:hint="eastAsia"/>
        </w:rPr>
        <w:t>cm/s</w:t>
      </w:r>
      <w:r>
        <w:t>。防渗的设计应该满足《石油化工工程防渗技术规范》(GB/T50934-2013)中</w:t>
      </w:r>
      <w:r>
        <w:rPr>
          <w:rFonts w:asciiTheme="minorEastAsia" w:hAnsiTheme="minorEastAsia" w:eastAsiaTheme="minorEastAsia"/>
        </w:rPr>
        <w:t>“</w:t>
      </w:r>
      <w:r>
        <w:t>5设计</w:t>
      </w:r>
      <w:r>
        <w:rPr>
          <w:rFonts w:asciiTheme="minorEastAsia" w:hAnsiTheme="minorEastAsia" w:eastAsiaTheme="minorEastAsia"/>
        </w:rPr>
        <w:t>”</w:t>
      </w:r>
      <w:r>
        <w:t>相应要求</w:t>
      </w:r>
      <w:r>
        <w:rPr>
          <w:rFonts w:ascii="宋体" w:hAnsi="宋体"/>
        </w:rPr>
        <w:t>。</w:t>
      </w:r>
    </w:p>
    <w:p w14:paraId="01AD2E25">
      <w:pPr>
        <w:pStyle w:val="4068"/>
      </w:pPr>
      <w:bookmarkStart w:id="453" w:name="_Toc100784099"/>
      <w:bookmarkStart w:id="454" w:name="_Toc108662709"/>
      <w:bookmarkStart w:id="455" w:name="_Toc101135932"/>
      <w:r>
        <w:rPr>
          <w:rFonts w:hint="eastAsia"/>
        </w:rPr>
        <w:t>6.5.</w:t>
      </w:r>
      <w:r>
        <w:t>4</w:t>
      </w:r>
      <w:r>
        <w:rPr>
          <w:rFonts w:hint="eastAsia"/>
        </w:rPr>
        <w:t>地下水</w:t>
      </w:r>
      <w:r>
        <w:t>环境监测与管理</w:t>
      </w:r>
      <w:bookmarkEnd w:id="453"/>
      <w:bookmarkEnd w:id="454"/>
      <w:bookmarkEnd w:id="455"/>
    </w:p>
    <w:p w14:paraId="6BCFF477">
      <w:pPr>
        <w:ind w:firstLine="480"/>
        <w:rPr>
          <w:kern w:val="24"/>
        </w:rPr>
      </w:pPr>
      <w:r>
        <w:rPr>
          <w:rFonts w:hint="eastAsia" w:ascii="宋体" w:hAnsi="宋体"/>
        </w:rPr>
        <w:t>（</w:t>
      </w:r>
      <w:r>
        <w:rPr>
          <w:rFonts w:hint="eastAsia"/>
        </w:rPr>
        <w:t>1</w:t>
      </w:r>
      <w:r>
        <w:rPr>
          <w:rFonts w:hint="eastAsia" w:ascii="宋体" w:hAnsi="宋体"/>
        </w:rPr>
        <w:t>）</w:t>
      </w:r>
      <w:r>
        <w:rPr>
          <w:rFonts w:ascii="宋体" w:hAnsi="宋体"/>
          <w:kern w:val="24"/>
        </w:rPr>
        <w:t>地下水环境监测</w:t>
      </w:r>
    </w:p>
    <w:p w14:paraId="23E26DD3">
      <w:pPr>
        <w:ind w:firstLine="480"/>
        <w:rPr>
          <w:kern w:val="24"/>
        </w:rPr>
      </w:pPr>
      <w:r>
        <w:rPr>
          <w:rFonts w:ascii="宋体" w:hAnsi="宋体"/>
          <w:kern w:val="24"/>
        </w:rPr>
        <w:t>项目应设置环境保护专职机构并配备相应的专职人员，建立地下水环境监控体系，包括科学合理地设置地下水污染监控井、制定监测计划、配备先进的检测仪器和设备，以便及时发现问题，采取措施控制污染。</w:t>
      </w:r>
    </w:p>
    <w:p w14:paraId="409BF41F">
      <w:pPr>
        <w:ind w:firstLine="480"/>
      </w:pPr>
      <w:r>
        <w:rPr>
          <w:rFonts w:ascii="宋体" w:hAnsi="宋体"/>
        </w:rPr>
        <w:t>由于地下水污染具有隐蔽性和累积性，因此制定有效的监测计划并定期开展监测，对于及早发现污染并采取有效措施防止污染继续扩散显得十分重要和必要。根据场地条件及地下水环境影响分析预测的结论，在装置区和罐区下游</w:t>
      </w:r>
      <w:r>
        <w:rPr>
          <w:rFonts w:ascii="宋体" w:hAnsi="宋体"/>
          <w:kern w:val="24"/>
        </w:rPr>
        <w:t>以及项目厂区上</w:t>
      </w:r>
      <w:r>
        <w:rPr>
          <w:rFonts w:ascii="宋体" w:hAnsi="宋体"/>
        </w:rPr>
        <w:t>下游方向、环境保护目标等区域设置地下水监测井，通过定期监测及早发现可能出现的地下水污染。</w:t>
      </w:r>
    </w:p>
    <w:p w14:paraId="707829A9">
      <w:pPr>
        <w:ind w:firstLine="480"/>
      </w:pPr>
      <w:r>
        <w:rPr>
          <w:rFonts w:ascii="宋体" w:hAnsi="宋体"/>
          <w:kern w:val="24"/>
        </w:rPr>
        <w:t>项目地下水监控计划可根据下表</w:t>
      </w:r>
      <w:r>
        <w:rPr>
          <w:kern w:val="24"/>
        </w:rPr>
        <w:t>6.5.4-1</w:t>
      </w:r>
      <w:r>
        <w:rPr>
          <w:rFonts w:ascii="宋体" w:hAnsi="宋体"/>
          <w:kern w:val="24"/>
        </w:rPr>
        <w:t>制定。如发现异常或发生事故，应加密监测频次，并分析污染原因，确定泄漏污染源，及时采集应急措施。</w:t>
      </w:r>
      <w:r>
        <w:rPr>
          <w:rFonts w:hint="eastAsia" w:ascii="宋体" w:hAnsi="宋体"/>
          <w:kern w:val="24"/>
        </w:rPr>
        <w:t>结合</w:t>
      </w:r>
      <w:r>
        <w:rPr>
          <w:rFonts w:ascii="宋体" w:hAnsi="宋体"/>
          <w:kern w:val="24"/>
        </w:rPr>
        <w:t>《</w:t>
      </w:r>
      <w:r>
        <w:rPr>
          <w:rFonts w:hint="eastAsia" w:ascii="宋体" w:hAnsi="宋体"/>
          <w:kern w:val="24"/>
        </w:rPr>
        <w:t>工业企业土壤和地下水自行监测 技术指南（试行）</w:t>
      </w:r>
      <w:r>
        <w:rPr>
          <w:rFonts w:ascii="宋体" w:hAnsi="宋体"/>
          <w:kern w:val="24"/>
        </w:rPr>
        <w:t>》</w:t>
      </w:r>
      <w:r>
        <w:rPr>
          <w:rFonts w:cs="Times New Roman"/>
          <w:kern w:val="24"/>
        </w:rPr>
        <w:t>（HJ 1209—2021）</w:t>
      </w:r>
      <w:r>
        <w:rPr>
          <w:rFonts w:hint="eastAsia" w:ascii="宋体" w:hAnsi="宋体"/>
          <w:kern w:val="24"/>
        </w:rPr>
        <w:t>中要求，地下水</w:t>
      </w:r>
      <w:r>
        <w:rPr>
          <w:rFonts w:ascii="宋体" w:hAnsi="宋体"/>
          <w:kern w:val="24"/>
        </w:rPr>
        <w:t>跟踪监测点见附图</w:t>
      </w:r>
      <w:r>
        <w:rPr>
          <w:rFonts w:hint="eastAsia"/>
          <w:kern w:val="24"/>
        </w:rPr>
        <w:t>6.5.</w:t>
      </w:r>
      <w:r>
        <w:rPr>
          <w:kern w:val="24"/>
        </w:rPr>
        <w:t>4-1</w:t>
      </w:r>
      <w:r>
        <w:rPr>
          <w:rFonts w:hint="eastAsia" w:ascii="宋体" w:hAnsi="宋体"/>
          <w:kern w:val="24"/>
        </w:rPr>
        <w:t>。</w:t>
      </w:r>
    </w:p>
    <w:p w14:paraId="4CE33394">
      <w:pPr>
        <w:pStyle w:val="278"/>
        <w:ind w:firstLine="480"/>
      </w:pPr>
      <w:r>
        <w:rPr>
          <w:rFonts w:hint="eastAsia" w:ascii="黑体" w:hAnsi="黑体"/>
        </w:rPr>
        <w:t>表</w:t>
      </w:r>
      <w:r>
        <w:rPr>
          <w:rFonts w:hint="eastAsia"/>
        </w:rPr>
        <w:t>6.5.</w:t>
      </w:r>
      <w:r>
        <w:t xml:space="preserve">4-1 </w:t>
      </w:r>
      <w:r>
        <w:rPr>
          <w:rFonts w:hint="eastAsia" w:ascii="黑体" w:hAnsi="黑体"/>
        </w:rPr>
        <w:t>地下水</w:t>
      </w:r>
      <w:r>
        <w:rPr>
          <w:rFonts w:ascii="黑体" w:hAnsi="黑体"/>
        </w:rPr>
        <w:t>跟踪监测</w:t>
      </w:r>
      <w:r>
        <w:rPr>
          <w:rFonts w:hint="eastAsia" w:ascii="黑体" w:hAnsi="黑体"/>
        </w:rPr>
        <w:t>计划</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0"/>
        <w:gridCol w:w="958"/>
        <w:gridCol w:w="1108"/>
        <w:gridCol w:w="887"/>
        <w:gridCol w:w="1600"/>
        <w:gridCol w:w="2243"/>
        <w:gridCol w:w="780"/>
        <w:gridCol w:w="915"/>
      </w:tblGrid>
      <w:tr w14:paraId="32784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54" w:type="dxa"/>
            <w:vAlign w:val="center"/>
          </w:tcPr>
          <w:p w14:paraId="433E7FEB">
            <w:pPr>
              <w:pStyle w:val="445"/>
              <w:rPr>
                <w:rFonts w:cs="Times New Roman"/>
                <w:kern w:val="0"/>
                <w:szCs w:val="20"/>
              </w:rPr>
            </w:pPr>
            <w:r>
              <w:rPr>
                <w:rFonts w:cs="Times New Roman"/>
                <w:kern w:val="0"/>
                <w:szCs w:val="20"/>
              </w:rPr>
              <w:t>编号</w:t>
            </w:r>
          </w:p>
        </w:tc>
        <w:tc>
          <w:tcPr>
            <w:tcW w:w="969" w:type="dxa"/>
            <w:vAlign w:val="center"/>
          </w:tcPr>
          <w:p w14:paraId="4FBE3B54">
            <w:pPr>
              <w:pStyle w:val="445"/>
              <w:rPr>
                <w:rFonts w:cs="Times New Roman"/>
                <w:kern w:val="0"/>
                <w:szCs w:val="20"/>
              </w:rPr>
            </w:pPr>
            <w:r>
              <w:rPr>
                <w:rFonts w:cs="Times New Roman"/>
                <w:kern w:val="0"/>
                <w:szCs w:val="20"/>
              </w:rPr>
              <w:t>现状监测点编号</w:t>
            </w:r>
          </w:p>
        </w:tc>
        <w:tc>
          <w:tcPr>
            <w:tcW w:w="1122" w:type="dxa"/>
            <w:vAlign w:val="center"/>
          </w:tcPr>
          <w:p w14:paraId="4FF6E101">
            <w:pPr>
              <w:pStyle w:val="445"/>
              <w:rPr>
                <w:rFonts w:cs="Times New Roman"/>
                <w:kern w:val="0"/>
                <w:szCs w:val="20"/>
              </w:rPr>
            </w:pPr>
            <w:r>
              <w:rPr>
                <w:rFonts w:cs="Times New Roman"/>
                <w:kern w:val="0"/>
                <w:szCs w:val="20"/>
              </w:rPr>
              <w:t>监测点位置</w:t>
            </w:r>
          </w:p>
        </w:tc>
        <w:tc>
          <w:tcPr>
            <w:tcW w:w="895" w:type="dxa"/>
            <w:vAlign w:val="center"/>
          </w:tcPr>
          <w:p w14:paraId="4D22B4E3">
            <w:pPr>
              <w:pStyle w:val="445"/>
              <w:rPr>
                <w:rFonts w:cs="Times New Roman"/>
                <w:kern w:val="0"/>
                <w:szCs w:val="20"/>
              </w:rPr>
            </w:pPr>
            <w:r>
              <w:rPr>
                <w:rFonts w:cs="Times New Roman"/>
                <w:kern w:val="0"/>
                <w:szCs w:val="20"/>
              </w:rPr>
              <w:t>监测井类型</w:t>
            </w:r>
          </w:p>
        </w:tc>
        <w:tc>
          <w:tcPr>
            <w:tcW w:w="1625" w:type="dxa"/>
            <w:vAlign w:val="center"/>
          </w:tcPr>
          <w:p w14:paraId="478233EB">
            <w:pPr>
              <w:pStyle w:val="445"/>
              <w:rPr>
                <w:rFonts w:cs="Times New Roman"/>
                <w:kern w:val="0"/>
                <w:szCs w:val="20"/>
              </w:rPr>
            </w:pPr>
            <w:r>
              <w:rPr>
                <w:rFonts w:cs="Times New Roman"/>
                <w:kern w:val="0"/>
                <w:szCs w:val="20"/>
              </w:rPr>
              <w:t>监测目的</w:t>
            </w:r>
          </w:p>
        </w:tc>
        <w:tc>
          <w:tcPr>
            <w:tcW w:w="2283" w:type="dxa"/>
            <w:vAlign w:val="center"/>
          </w:tcPr>
          <w:p w14:paraId="690E94D6">
            <w:pPr>
              <w:pStyle w:val="445"/>
              <w:rPr>
                <w:rFonts w:cs="Times New Roman"/>
                <w:kern w:val="0"/>
                <w:szCs w:val="20"/>
              </w:rPr>
            </w:pPr>
            <w:r>
              <w:rPr>
                <w:rFonts w:cs="Times New Roman"/>
                <w:kern w:val="0"/>
                <w:szCs w:val="20"/>
              </w:rPr>
              <w:t>监测因子</w:t>
            </w:r>
          </w:p>
        </w:tc>
        <w:tc>
          <w:tcPr>
            <w:tcW w:w="787" w:type="dxa"/>
            <w:vAlign w:val="center"/>
          </w:tcPr>
          <w:p w14:paraId="6F70C71B">
            <w:pPr>
              <w:pStyle w:val="445"/>
              <w:rPr>
                <w:rFonts w:cs="Times New Roman"/>
                <w:kern w:val="0"/>
                <w:szCs w:val="20"/>
              </w:rPr>
            </w:pPr>
            <w:r>
              <w:rPr>
                <w:rFonts w:cs="Times New Roman"/>
                <w:kern w:val="0"/>
                <w:szCs w:val="20"/>
              </w:rPr>
              <w:t>监测频率</w:t>
            </w:r>
          </w:p>
        </w:tc>
        <w:tc>
          <w:tcPr>
            <w:tcW w:w="925" w:type="dxa"/>
            <w:vAlign w:val="center"/>
          </w:tcPr>
          <w:p w14:paraId="54935031">
            <w:pPr>
              <w:pStyle w:val="445"/>
              <w:rPr>
                <w:rFonts w:cs="Times New Roman"/>
                <w:kern w:val="0"/>
                <w:szCs w:val="20"/>
              </w:rPr>
            </w:pPr>
            <w:r>
              <w:rPr>
                <w:rFonts w:cs="Times New Roman"/>
                <w:kern w:val="0"/>
                <w:szCs w:val="20"/>
              </w:rPr>
              <w:t>监测层位</w:t>
            </w:r>
          </w:p>
        </w:tc>
      </w:tr>
      <w:tr w14:paraId="36779A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54" w:type="dxa"/>
            <w:vAlign w:val="center"/>
          </w:tcPr>
          <w:p w14:paraId="4BF6712E">
            <w:pPr>
              <w:pStyle w:val="445"/>
              <w:rPr>
                <w:rFonts w:cs="Times New Roman"/>
                <w:kern w:val="0"/>
                <w:szCs w:val="20"/>
              </w:rPr>
            </w:pPr>
            <w:r>
              <w:rPr>
                <w:rFonts w:cs="Times New Roman"/>
                <w:kern w:val="0"/>
                <w:szCs w:val="20"/>
              </w:rPr>
              <w:t>1#</w:t>
            </w:r>
          </w:p>
        </w:tc>
        <w:tc>
          <w:tcPr>
            <w:tcW w:w="969" w:type="dxa"/>
            <w:vAlign w:val="center"/>
          </w:tcPr>
          <w:p w14:paraId="4860C435">
            <w:pPr>
              <w:pStyle w:val="445"/>
              <w:rPr>
                <w:rFonts w:cs="Times New Roman"/>
                <w:kern w:val="0"/>
                <w:szCs w:val="20"/>
              </w:rPr>
            </w:pPr>
            <w:r>
              <w:rPr>
                <w:rFonts w:cs="Times New Roman"/>
                <w:kern w:val="0"/>
                <w:szCs w:val="20"/>
              </w:rPr>
              <w:t>MW1#</w:t>
            </w:r>
          </w:p>
        </w:tc>
        <w:tc>
          <w:tcPr>
            <w:tcW w:w="1122" w:type="dxa"/>
            <w:vAlign w:val="center"/>
          </w:tcPr>
          <w:p w14:paraId="4353FE92">
            <w:pPr>
              <w:pStyle w:val="445"/>
              <w:rPr>
                <w:rFonts w:cs="Times New Roman"/>
                <w:kern w:val="0"/>
                <w:szCs w:val="20"/>
              </w:rPr>
            </w:pPr>
            <w:r>
              <w:rPr>
                <w:rFonts w:cs="Times New Roman"/>
                <w:kern w:val="0"/>
                <w:szCs w:val="20"/>
              </w:rPr>
              <w:t>厂区</w:t>
            </w:r>
            <w:r>
              <w:rPr>
                <w:rFonts w:hint="eastAsia" w:cs="Times New Roman"/>
                <w:kern w:val="0"/>
                <w:szCs w:val="20"/>
              </w:rPr>
              <w:t>上游</w:t>
            </w:r>
          </w:p>
        </w:tc>
        <w:tc>
          <w:tcPr>
            <w:tcW w:w="895" w:type="dxa"/>
            <w:vAlign w:val="center"/>
          </w:tcPr>
          <w:p w14:paraId="0859EE4D">
            <w:pPr>
              <w:pStyle w:val="445"/>
              <w:rPr>
                <w:rFonts w:cs="Times New Roman"/>
                <w:kern w:val="0"/>
                <w:szCs w:val="20"/>
              </w:rPr>
            </w:pPr>
            <w:r>
              <w:rPr>
                <w:rFonts w:cs="Times New Roman"/>
                <w:kern w:val="0"/>
                <w:szCs w:val="20"/>
              </w:rPr>
              <w:t>背景监测井</w:t>
            </w:r>
          </w:p>
        </w:tc>
        <w:tc>
          <w:tcPr>
            <w:tcW w:w="1625" w:type="dxa"/>
            <w:vAlign w:val="center"/>
          </w:tcPr>
          <w:p w14:paraId="7D17A97B">
            <w:pPr>
              <w:pStyle w:val="445"/>
              <w:rPr>
                <w:rFonts w:cs="Times New Roman"/>
                <w:kern w:val="0"/>
                <w:szCs w:val="20"/>
              </w:rPr>
            </w:pPr>
            <w:r>
              <w:rPr>
                <w:rFonts w:cs="Times New Roman"/>
                <w:kern w:val="0"/>
                <w:szCs w:val="20"/>
              </w:rPr>
              <w:t>监测可能来自场外污染源的影响以及厂区地下水本底值</w:t>
            </w:r>
          </w:p>
        </w:tc>
        <w:tc>
          <w:tcPr>
            <w:tcW w:w="2283" w:type="dxa"/>
            <w:vMerge w:val="restart"/>
            <w:vAlign w:val="center"/>
          </w:tcPr>
          <w:p w14:paraId="0FCDC5A7">
            <w:pPr>
              <w:pStyle w:val="445"/>
              <w:rPr>
                <w:rFonts w:cs="Times New Roman"/>
                <w:kern w:val="0"/>
                <w:szCs w:val="20"/>
              </w:rPr>
            </w:pPr>
            <w:r>
              <w:rPr>
                <w:rFonts w:hint="eastAsia" w:cs="Times New Roman"/>
                <w:kern w:val="0"/>
                <w:szCs w:val="20"/>
              </w:rPr>
              <w:t>pH、总硬度、溶剂性总固体、硫化物、铁、锰、铜、锌、铝、挥发酚、阴离子表面活性、耗氧量、氨氮、硫化物、镍、硝酸盐、氯化物、汞、砷、硒、镉、六价铬、铅、总大肠菌群、菌落总数</w:t>
            </w:r>
          </w:p>
        </w:tc>
        <w:tc>
          <w:tcPr>
            <w:tcW w:w="787" w:type="dxa"/>
            <w:vMerge w:val="restart"/>
            <w:vAlign w:val="center"/>
          </w:tcPr>
          <w:p w14:paraId="642455C8">
            <w:pPr>
              <w:pStyle w:val="445"/>
              <w:rPr>
                <w:rFonts w:cs="Times New Roman"/>
                <w:kern w:val="0"/>
                <w:szCs w:val="20"/>
              </w:rPr>
            </w:pPr>
            <w:r>
              <w:rPr>
                <w:rFonts w:cs="Times New Roman"/>
                <w:kern w:val="0"/>
                <w:szCs w:val="20"/>
              </w:rPr>
              <w:t>每</w:t>
            </w:r>
            <w:r>
              <w:rPr>
                <w:rFonts w:hint="eastAsia" w:cs="Times New Roman"/>
                <w:kern w:val="0"/>
                <w:szCs w:val="20"/>
              </w:rPr>
              <w:t>半年</w:t>
            </w:r>
            <w:r>
              <w:rPr>
                <w:rFonts w:cs="Times New Roman"/>
                <w:kern w:val="0"/>
                <w:szCs w:val="20"/>
              </w:rPr>
              <w:t>监测一次</w:t>
            </w:r>
          </w:p>
        </w:tc>
        <w:tc>
          <w:tcPr>
            <w:tcW w:w="925" w:type="dxa"/>
            <w:vMerge w:val="restart"/>
            <w:vAlign w:val="center"/>
          </w:tcPr>
          <w:p w14:paraId="60FBC9BF">
            <w:pPr>
              <w:pStyle w:val="445"/>
              <w:rPr>
                <w:rFonts w:cs="Times New Roman"/>
                <w:kern w:val="0"/>
                <w:szCs w:val="20"/>
              </w:rPr>
            </w:pPr>
            <w:r>
              <w:rPr>
                <w:rFonts w:cs="Times New Roman"/>
                <w:kern w:val="0"/>
                <w:szCs w:val="20"/>
              </w:rPr>
              <w:t>浅水</w:t>
            </w:r>
          </w:p>
        </w:tc>
      </w:tr>
      <w:tr w14:paraId="663BB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54" w:type="dxa"/>
            <w:vAlign w:val="center"/>
          </w:tcPr>
          <w:p w14:paraId="256B181E">
            <w:pPr>
              <w:pStyle w:val="445"/>
              <w:rPr>
                <w:rFonts w:cs="Times New Roman"/>
                <w:kern w:val="0"/>
                <w:szCs w:val="20"/>
              </w:rPr>
            </w:pPr>
            <w:r>
              <w:rPr>
                <w:rFonts w:cs="Times New Roman"/>
                <w:kern w:val="0"/>
                <w:szCs w:val="20"/>
              </w:rPr>
              <w:t>2#</w:t>
            </w:r>
          </w:p>
        </w:tc>
        <w:tc>
          <w:tcPr>
            <w:tcW w:w="969" w:type="dxa"/>
            <w:vAlign w:val="center"/>
          </w:tcPr>
          <w:p w14:paraId="1889014E">
            <w:pPr>
              <w:pStyle w:val="445"/>
              <w:rPr>
                <w:rFonts w:cs="Times New Roman"/>
                <w:kern w:val="0"/>
                <w:szCs w:val="20"/>
              </w:rPr>
            </w:pPr>
            <w:r>
              <w:rPr>
                <w:rFonts w:cs="Times New Roman"/>
                <w:kern w:val="0"/>
                <w:szCs w:val="20"/>
              </w:rPr>
              <w:t>MW2#</w:t>
            </w:r>
          </w:p>
        </w:tc>
        <w:tc>
          <w:tcPr>
            <w:tcW w:w="1122" w:type="dxa"/>
            <w:vAlign w:val="center"/>
          </w:tcPr>
          <w:p w14:paraId="5B03CEF9">
            <w:pPr>
              <w:pStyle w:val="445"/>
              <w:rPr>
                <w:rFonts w:cs="Times New Roman"/>
                <w:kern w:val="0"/>
                <w:szCs w:val="20"/>
              </w:rPr>
            </w:pPr>
            <w:r>
              <w:rPr>
                <w:rFonts w:cs="Times New Roman"/>
                <w:kern w:val="0"/>
                <w:szCs w:val="20"/>
              </w:rPr>
              <w:t>厂区内</w:t>
            </w:r>
          </w:p>
        </w:tc>
        <w:tc>
          <w:tcPr>
            <w:tcW w:w="895" w:type="dxa"/>
            <w:vAlign w:val="center"/>
          </w:tcPr>
          <w:p w14:paraId="3C2804CB">
            <w:pPr>
              <w:pStyle w:val="445"/>
              <w:rPr>
                <w:rFonts w:cs="Times New Roman"/>
                <w:kern w:val="0"/>
                <w:szCs w:val="20"/>
              </w:rPr>
            </w:pPr>
            <w:r>
              <w:rPr>
                <w:rFonts w:cs="Times New Roman"/>
                <w:kern w:val="0"/>
                <w:szCs w:val="20"/>
              </w:rPr>
              <w:t>污染监测井</w:t>
            </w:r>
          </w:p>
        </w:tc>
        <w:tc>
          <w:tcPr>
            <w:tcW w:w="1625" w:type="dxa"/>
            <w:vAlign w:val="center"/>
          </w:tcPr>
          <w:p w14:paraId="664CAD85">
            <w:pPr>
              <w:pStyle w:val="445"/>
              <w:rPr>
                <w:rFonts w:cs="Times New Roman"/>
                <w:kern w:val="0"/>
                <w:szCs w:val="20"/>
              </w:rPr>
            </w:pPr>
            <w:r>
              <w:rPr>
                <w:rFonts w:cs="Times New Roman"/>
                <w:kern w:val="0"/>
                <w:szCs w:val="20"/>
              </w:rPr>
              <w:t>监测项目厂区可能造成的地下水污染</w:t>
            </w:r>
          </w:p>
        </w:tc>
        <w:tc>
          <w:tcPr>
            <w:tcW w:w="2283" w:type="dxa"/>
            <w:vMerge w:val="continue"/>
            <w:vAlign w:val="center"/>
          </w:tcPr>
          <w:p w14:paraId="26A9B5FD">
            <w:pPr>
              <w:pStyle w:val="445"/>
              <w:rPr>
                <w:rFonts w:cs="Times New Roman"/>
                <w:kern w:val="0"/>
                <w:sz w:val="21"/>
                <w:szCs w:val="21"/>
              </w:rPr>
            </w:pPr>
          </w:p>
        </w:tc>
        <w:tc>
          <w:tcPr>
            <w:tcW w:w="787" w:type="dxa"/>
            <w:vMerge w:val="continue"/>
            <w:vAlign w:val="center"/>
          </w:tcPr>
          <w:p w14:paraId="57B76940">
            <w:pPr>
              <w:pStyle w:val="445"/>
              <w:rPr>
                <w:rFonts w:cs="Times New Roman"/>
                <w:kern w:val="0"/>
                <w:sz w:val="21"/>
                <w:szCs w:val="21"/>
              </w:rPr>
            </w:pPr>
          </w:p>
        </w:tc>
        <w:tc>
          <w:tcPr>
            <w:tcW w:w="925" w:type="dxa"/>
            <w:vMerge w:val="continue"/>
            <w:vAlign w:val="center"/>
          </w:tcPr>
          <w:p w14:paraId="324D9AE3">
            <w:pPr>
              <w:pStyle w:val="445"/>
              <w:rPr>
                <w:rFonts w:cs="Times New Roman"/>
                <w:kern w:val="0"/>
                <w:sz w:val="21"/>
                <w:szCs w:val="21"/>
              </w:rPr>
            </w:pPr>
          </w:p>
        </w:tc>
      </w:tr>
      <w:tr w14:paraId="7F6BEF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754" w:type="dxa"/>
            <w:vAlign w:val="center"/>
          </w:tcPr>
          <w:p w14:paraId="1C51D8F0">
            <w:pPr>
              <w:pStyle w:val="445"/>
              <w:rPr>
                <w:rFonts w:cs="Times New Roman"/>
                <w:kern w:val="0"/>
                <w:szCs w:val="20"/>
              </w:rPr>
            </w:pPr>
            <w:r>
              <w:rPr>
                <w:rFonts w:cs="Times New Roman"/>
                <w:kern w:val="0"/>
                <w:szCs w:val="20"/>
              </w:rPr>
              <w:t>3#</w:t>
            </w:r>
          </w:p>
        </w:tc>
        <w:tc>
          <w:tcPr>
            <w:tcW w:w="969" w:type="dxa"/>
            <w:vAlign w:val="center"/>
          </w:tcPr>
          <w:p w14:paraId="0AFC2F08">
            <w:pPr>
              <w:pStyle w:val="445"/>
              <w:rPr>
                <w:rFonts w:cs="Times New Roman"/>
                <w:kern w:val="0"/>
                <w:szCs w:val="20"/>
              </w:rPr>
            </w:pPr>
            <w:r>
              <w:rPr>
                <w:rFonts w:cs="Times New Roman"/>
                <w:kern w:val="0"/>
                <w:szCs w:val="20"/>
              </w:rPr>
              <w:t>MW3#</w:t>
            </w:r>
          </w:p>
        </w:tc>
        <w:tc>
          <w:tcPr>
            <w:tcW w:w="1122" w:type="dxa"/>
            <w:vAlign w:val="center"/>
          </w:tcPr>
          <w:p w14:paraId="07A4F018">
            <w:pPr>
              <w:pStyle w:val="445"/>
              <w:rPr>
                <w:rFonts w:cs="Times New Roman"/>
                <w:kern w:val="0"/>
                <w:szCs w:val="20"/>
              </w:rPr>
            </w:pPr>
            <w:r>
              <w:rPr>
                <w:rFonts w:cs="Times New Roman"/>
                <w:kern w:val="0"/>
                <w:szCs w:val="20"/>
              </w:rPr>
              <w:t>厂区下游</w:t>
            </w:r>
          </w:p>
        </w:tc>
        <w:tc>
          <w:tcPr>
            <w:tcW w:w="895" w:type="dxa"/>
            <w:vAlign w:val="center"/>
          </w:tcPr>
          <w:p w14:paraId="5D9B864F">
            <w:pPr>
              <w:pStyle w:val="445"/>
              <w:rPr>
                <w:rFonts w:cs="Times New Roman"/>
                <w:kern w:val="0"/>
                <w:szCs w:val="20"/>
              </w:rPr>
            </w:pPr>
            <w:r>
              <w:rPr>
                <w:rFonts w:cs="Times New Roman"/>
                <w:kern w:val="0"/>
                <w:szCs w:val="20"/>
              </w:rPr>
              <w:t>污染监测井</w:t>
            </w:r>
          </w:p>
        </w:tc>
        <w:tc>
          <w:tcPr>
            <w:tcW w:w="1625" w:type="dxa"/>
            <w:vAlign w:val="center"/>
          </w:tcPr>
          <w:p w14:paraId="327C6A61">
            <w:pPr>
              <w:pStyle w:val="445"/>
              <w:rPr>
                <w:rFonts w:cs="Times New Roman"/>
                <w:kern w:val="0"/>
                <w:szCs w:val="20"/>
              </w:rPr>
            </w:pPr>
            <w:r>
              <w:rPr>
                <w:rFonts w:cs="Times New Roman"/>
                <w:kern w:val="0"/>
                <w:szCs w:val="20"/>
              </w:rPr>
              <w:t>监测项目厂区可能造成的地下水污染</w:t>
            </w:r>
          </w:p>
        </w:tc>
        <w:tc>
          <w:tcPr>
            <w:tcW w:w="2283" w:type="dxa"/>
            <w:vMerge w:val="continue"/>
            <w:vAlign w:val="center"/>
          </w:tcPr>
          <w:p w14:paraId="6A09D15E">
            <w:pPr>
              <w:pStyle w:val="445"/>
              <w:rPr>
                <w:rFonts w:cs="Times New Roman"/>
                <w:kern w:val="0"/>
                <w:sz w:val="21"/>
                <w:szCs w:val="21"/>
              </w:rPr>
            </w:pPr>
          </w:p>
        </w:tc>
        <w:tc>
          <w:tcPr>
            <w:tcW w:w="787" w:type="dxa"/>
            <w:vMerge w:val="continue"/>
            <w:vAlign w:val="center"/>
          </w:tcPr>
          <w:p w14:paraId="15B203F4">
            <w:pPr>
              <w:pStyle w:val="445"/>
              <w:rPr>
                <w:rFonts w:cs="Times New Roman"/>
                <w:kern w:val="0"/>
                <w:sz w:val="21"/>
                <w:szCs w:val="21"/>
              </w:rPr>
            </w:pPr>
          </w:p>
        </w:tc>
        <w:tc>
          <w:tcPr>
            <w:tcW w:w="925" w:type="dxa"/>
            <w:vMerge w:val="continue"/>
            <w:vAlign w:val="center"/>
          </w:tcPr>
          <w:p w14:paraId="694E6455">
            <w:pPr>
              <w:pStyle w:val="445"/>
              <w:rPr>
                <w:rFonts w:cs="Times New Roman"/>
                <w:kern w:val="0"/>
                <w:sz w:val="21"/>
                <w:szCs w:val="21"/>
              </w:rPr>
            </w:pPr>
          </w:p>
        </w:tc>
      </w:tr>
    </w:tbl>
    <w:p w14:paraId="6AD61DFA">
      <w:pPr>
        <w:ind w:firstLine="480"/>
        <w:rPr>
          <w:rFonts w:cs="Times New Roman"/>
        </w:rPr>
      </w:pPr>
      <w:r>
        <w:rPr>
          <w:rFonts w:hint="eastAsia" w:ascii="宋体" w:hAnsi="宋体"/>
        </w:rPr>
        <w:t>（</w:t>
      </w:r>
      <w:r>
        <w:rPr>
          <w:rFonts w:hint="eastAsia"/>
        </w:rPr>
        <w:t>2</w:t>
      </w:r>
      <w:r>
        <w:rPr>
          <w:rFonts w:hint="eastAsia" w:ascii="宋体" w:hAnsi="宋体"/>
        </w:rPr>
        <w:t>）</w:t>
      </w:r>
      <w:r>
        <w:rPr>
          <w:rFonts w:ascii="宋体" w:hAnsi="宋体"/>
        </w:rPr>
        <w:t>地下水环境跟踪监测与信息公开计划</w:t>
      </w:r>
    </w:p>
    <w:p w14:paraId="3348FC21">
      <w:pPr>
        <w:ind w:firstLine="480"/>
        <w:rPr>
          <w:kern w:val="24"/>
        </w:rPr>
      </w:pPr>
      <w:r>
        <w:rPr>
          <w:rFonts w:hint="eastAsia" w:ascii="宋体" w:hAnsi="宋体"/>
          <w:kern w:val="24"/>
        </w:rPr>
        <w:t>①</w:t>
      </w:r>
      <w:r>
        <w:rPr>
          <w:rFonts w:ascii="宋体" w:hAnsi="宋体"/>
          <w:kern w:val="24"/>
        </w:rPr>
        <w:t>地下水环境跟踪监测报告</w:t>
      </w:r>
    </w:p>
    <w:p w14:paraId="11FD3EA8">
      <w:pPr>
        <w:ind w:firstLine="480"/>
        <w:rPr>
          <w:kern w:val="24"/>
        </w:rPr>
      </w:pPr>
      <w:r>
        <w:rPr>
          <w:rFonts w:ascii="宋体" w:hAnsi="宋体"/>
          <w:kern w:val="24"/>
        </w:rPr>
        <w:t>项目环境保护专职机构负责编制项目地下水环境跟踪监测报告，报告内容应包括以下内容：</w:t>
      </w:r>
    </w:p>
    <w:p w14:paraId="3B595D24">
      <w:pPr>
        <w:ind w:firstLine="480"/>
        <w:rPr>
          <w:kern w:val="24"/>
        </w:rPr>
      </w:pPr>
      <w:r>
        <w:rPr>
          <w:rFonts w:ascii="宋体" w:hAnsi="宋体"/>
          <w:kern w:val="24"/>
        </w:rPr>
        <w:t>项目厂区及其影响区地下水环境跟踪监测数据，项目排放污染物的种类、数量和浓度等。</w:t>
      </w:r>
    </w:p>
    <w:p w14:paraId="6E570B10">
      <w:pPr>
        <w:ind w:firstLine="480"/>
        <w:rPr>
          <w:kern w:val="24"/>
        </w:rPr>
      </w:pPr>
      <w:r>
        <w:rPr>
          <w:rFonts w:ascii="宋体" w:hAnsi="宋体"/>
          <w:kern w:val="24"/>
        </w:rPr>
        <w:t>项目生产设备、管廊或管线、化学品原料和成品的贮存与运输装置、固体废物和危险废物暂存场所、事故应急池及应急装置等设施的运行状况、跑冒滴漏记录和维护记录等。</w:t>
      </w:r>
    </w:p>
    <w:p w14:paraId="1C504E9D">
      <w:pPr>
        <w:ind w:firstLine="480"/>
        <w:rPr>
          <w:kern w:val="24"/>
        </w:rPr>
      </w:pPr>
      <w:r>
        <w:rPr>
          <w:rFonts w:hint="eastAsia" w:ascii="宋体" w:hAnsi="宋体"/>
          <w:kern w:val="24"/>
        </w:rPr>
        <w:t>②</w:t>
      </w:r>
      <w:r>
        <w:rPr>
          <w:rFonts w:ascii="宋体" w:hAnsi="宋体"/>
          <w:kern w:val="24"/>
        </w:rPr>
        <w:t>地下水信息公开计划</w:t>
      </w:r>
    </w:p>
    <w:p w14:paraId="4FE4A2CB">
      <w:pPr>
        <w:ind w:firstLine="480"/>
        <w:rPr>
          <w:kern w:val="24"/>
        </w:rPr>
      </w:pPr>
      <w:r>
        <w:rPr>
          <w:rFonts w:ascii="宋体" w:hAnsi="宋体"/>
          <w:kern w:val="24"/>
        </w:rPr>
        <w:t>企业应将地下水监测工作开展情况及监测结果向社会公众公开，公开频率以环境保护主管部门要求为准，一般一年公开一次。公开内容应包括：</w:t>
      </w:r>
    </w:p>
    <w:p w14:paraId="114623B6">
      <w:pPr>
        <w:ind w:firstLine="480"/>
        <w:rPr>
          <w:kern w:val="24"/>
        </w:rPr>
      </w:pPr>
      <w:r>
        <w:rPr>
          <w:rFonts w:ascii="宋体" w:hAnsi="宋体"/>
          <w:kern w:val="24"/>
        </w:rPr>
        <w:t>基础信息：企业名称、法人代表、所属行业、地理位置、生产周期、联系方式等；</w:t>
      </w:r>
    </w:p>
    <w:p w14:paraId="4AD4A80D">
      <w:pPr>
        <w:ind w:firstLine="480"/>
        <w:rPr>
          <w:kern w:val="24"/>
        </w:rPr>
      </w:pPr>
      <w:r>
        <w:rPr>
          <w:rFonts w:ascii="宋体" w:hAnsi="宋体"/>
          <w:kern w:val="24"/>
        </w:rPr>
        <w:t>地下水监测方案；</w:t>
      </w:r>
    </w:p>
    <w:p w14:paraId="5B3FD7A2">
      <w:pPr>
        <w:ind w:firstLine="480"/>
      </w:pPr>
      <w:r>
        <w:rPr>
          <w:rFonts w:ascii="宋体" w:hAnsi="宋体"/>
          <w:kern w:val="24"/>
        </w:rPr>
        <w:t>地下水监测结果：全部监测点位、监测时间、监测基本因子和项目特征因子的地下水环境监测值、标准限值、达标情况、超标倍数等。</w:t>
      </w:r>
    </w:p>
    <w:p w14:paraId="3B4044AF">
      <w:pPr>
        <w:pStyle w:val="4068"/>
      </w:pPr>
      <w:bookmarkStart w:id="456" w:name="_Toc101135933"/>
      <w:bookmarkStart w:id="457" w:name="_Toc108662710"/>
      <w:bookmarkStart w:id="458" w:name="_Toc100784100"/>
      <w:r>
        <w:rPr>
          <w:rFonts w:hint="eastAsia"/>
        </w:rPr>
        <w:t>6.5.5地下水污染</w:t>
      </w:r>
      <w:r>
        <w:t>应急措施</w:t>
      </w:r>
      <w:bookmarkEnd w:id="456"/>
      <w:bookmarkEnd w:id="457"/>
      <w:bookmarkEnd w:id="458"/>
    </w:p>
    <w:p w14:paraId="2B97B775">
      <w:pPr>
        <w:ind w:firstLine="480"/>
      </w:pPr>
      <w:r>
        <w:rPr>
          <w:rFonts w:hint="eastAsia"/>
        </w:rPr>
        <w:t>（1）</w:t>
      </w:r>
      <w:r>
        <w:rPr>
          <w:rFonts w:hint="eastAsia" w:ascii="宋体" w:hAnsi="宋体"/>
        </w:rPr>
        <w:t>污染应急预案</w:t>
      </w:r>
    </w:p>
    <w:p w14:paraId="7665BAB9">
      <w:pPr>
        <w:ind w:firstLine="480"/>
      </w:pPr>
      <w:r>
        <w:rPr>
          <w:rFonts w:hint="eastAsia" w:ascii="宋体" w:hAnsi="宋体"/>
        </w:rPr>
        <w:t>扩建项目应按国家、地方及行业相关规范要求，制定地下水污染应急预案，并在发现地下水受到污染时立刻启动应急预案，采取应急措施阻止污染扩散，防止周边居民人体健康及生态环境受到影响。地下水污染应急预案应包括下列要点：</w:t>
      </w:r>
    </w:p>
    <w:p w14:paraId="37B94664">
      <w:pPr>
        <w:ind w:firstLine="480"/>
      </w:pPr>
      <w:r>
        <w:t>1</w:t>
      </w:r>
      <w:r>
        <w:rPr>
          <w:rFonts w:hint="eastAsia"/>
        </w:rPr>
        <w:t>）</w:t>
      </w:r>
      <w:r>
        <w:rPr>
          <w:rFonts w:hint="eastAsia" w:ascii="宋体" w:hAnsi="宋体"/>
        </w:rPr>
        <w:t>如发现地下水污染事故，应立即向公司环保部门及行政管理部门报告，调查并确认污染源位置；</w:t>
      </w:r>
    </w:p>
    <w:p w14:paraId="59CE357B">
      <w:pPr>
        <w:ind w:firstLine="480"/>
      </w:pPr>
      <w:r>
        <w:t>2</w:t>
      </w:r>
      <w:r>
        <w:rPr>
          <w:rFonts w:hint="eastAsia"/>
        </w:rPr>
        <w:t>）</w:t>
      </w:r>
      <w:r>
        <w:rPr>
          <w:rFonts w:hint="eastAsia" w:ascii="宋体" w:hAnsi="宋体"/>
        </w:rPr>
        <w:t>采取有效措施及时阻断确认的污染源，防止污染物继续渗漏到地下，导致土壤和地下水污染范围扩大；</w:t>
      </w:r>
    </w:p>
    <w:p w14:paraId="56E690A4">
      <w:pPr>
        <w:ind w:firstLine="480"/>
      </w:pPr>
      <w:r>
        <w:rPr>
          <w:rFonts w:hint="eastAsia"/>
        </w:rPr>
        <w:t>3）</w:t>
      </w:r>
      <w:r>
        <w:rPr>
          <w:rFonts w:hint="eastAsia" w:ascii="宋体" w:hAnsi="宋体"/>
        </w:rPr>
        <w:t>立即对重污染区域采取有效的修复措施，包括开挖并移走重污染土壤作危险废物处置，对重污染区的地下水抽出并送到事故应急池中，防止污染物在地下继续扩散；</w:t>
      </w:r>
    </w:p>
    <w:p w14:paraId="6647BF10">
      <w:pPr>
        <w:ind w:firstLine="480"/>
      </w:pPr>
      <w:r>
        <w:rPr>
          <w:rFonts w:hint="eastAsia"/>
        </w:rPr>
        <w:t>4）</w:t>
      </w:r>
      <w:r>
        <w:rPr>
          <w:rFonts w:hint="eastAsia" w:ascii="宋体" w:hAnsi="宋体"/>
        </w:rPr>
        <w:t>对厂区及周边区域的地下水敏感点和环境保护目标进行取样监测，确定水质是否受到影响。如果水质受到影响，应及时通知相关方并立即停用受影响的地下水。</w:t>
      </w:r>
    </w:p>
    <w:p w14:paraId="6979C0B2">
      <w:pPr>
        <w:ind w:firstLine="480"/>
      </w:pPr>
      <w:r>
        <w:rPr>
          <w:rFonts w:hint="eastAsia"/>
        </w:rPr>
        <w:t>（2）污染应急措施</w:t>
      </w:r>
    </w:p>
    <w:p w14:paraId="7EE25E7A">
      <w:pPr>
        <w:ind w:firstLine="480"/>
      </w:pPr>
      <w:r>
        <w:rPr>
          <w:rFonts w:hint="eastAsia"/>
        </w:rPr>
        <w:t>1）</w:t>
      </w:r>
      <w:r>
        <w:rPr>
          <w:rFonts w:hint="eastAsia" w:ascii="宋体" w:hAnsi="宋体"/>
        </w:rPr>
        <w:t>污水收集储存装置等：发生事故应立即将废污水转移到事故应急池，待污水收集装置正常后才能继续使用。</w:t>
      </w:r>
    </w:p>
    <w:p w14:paraId="4D4F6B26">
      <w:pPr>
        <w:ind w:firstLine="480"/>
      </w:pPr>
      <w:r>
        <w:t>2</w:t>
      </w:r>
      <w:r>
        <w:rPr>
          <w:rFonts w:hint="eastAsia"/>
        </w:rPr>
        <w:t>）</w:t>
      </w:r>
      <w:r>
        <w:rPr>
          <w:rFonts w:hint="eastAsia" w:ascii="宋体" w:hAnsi="宋体"/>
        </w:rPr>
        <w:t>化学品罐区、危险废物暂存场所等：发生泄漏时，应首先堵住泄漏源，利用围堰或收液槽收容，然后收集、转移到事故池进行处理。如果污染物已经渗入地下水，应将污染区地下水抽出并送事故应急池，防止污染物在地下继续扩散。发生爆炸等事故时，应将消防用水引入消防废水收集池进行处理。</w:t>
      </w:r>
    </w:p>
    <w:p w14:paraId="7ACE8251">
      <w:pPr>
        <w:ind w:firstLine="480"/>
      </w:pPr>
      <w:r>
        <w:rPr>
          <w:rFonts w:hint="eastAsia"/>
        </w:rPr>
        <w:t>3）</w:t>
      </w:r>
      <w:r>
        <w:rPr>
          <w:rFonts w:hint="eastAsia" w:ascii="宋体" w:hAnsi="宋体"/>
        </w:rPr>
        <w:t>项目厂区周围应设置地坎以隔断与外界水体的联系，在发生事故后保证事故废水、消防废水能够进入事故应急池进行处理，不得进入周围水体。</w:t>
      </w:r>
    </w:p>
    <w:p w14:paraId="5F6A64BF">
      <w:pPr>
        <w:pStyle w:val="4065"/>
      </w:pPr>
      <w:bookmarkStart w:id="459" w:name="_Toc15707"/>
      <w:bookmarkEnd w:id="459"/>
      <w:bookmarkStart w:id="460" w:name="_Toc58511635"/>
      <w:bookmarkEnd w:id="460"/>
      <w:bookmarkStart w:id="461" w:name="_Toc108662711"/>
      <w:r>
        <w:rPr>
          <w:rFonts w:hint="eastAsia"/>
        </w:rPr>
        <w:t>6.6土壤</w:t>
      </w:r>
      <w:r>
        <w:t>污染防治措施</w:t>
      </w:r>
      <w:bookmarkEnd w:id="461"/>
    </w:p>
    <w:p w14:paraId="0FA7CF07">
      <w:pPr>
        <w:pStyle w:val="4068"/>
      </w:pPr>
      <w:bookmarkStart w:id="462" w:name="_Toc100784102"/>
      <w:bookmarkStart w:id="463" w:name="_Toc108662712"/>
      <w:bookmarkStart w:id="464" w:name="_Toc101135935"/>
      <w:r>
        <w:rPr>
          <w:rFonts w:hint="eastAsia"/>
        </w:rPr>
        <w:t>6.6.1</w:t>
      </w:r>
      <w:r>
        <w:rPr>
          <w:rFonts w:hint="eastAsia" w:ascii="黑体" w:hAnsi="黑体"/>
        </w:rPr>
        <w:t>源头控制</w:t>
      </w:r>
      <w:r>
        <w:rPr>
          <w:rFonts w:ascii="黑体" w:hAnsi="黑体"/>
        </w:rPr>
        <w:t>措施</w:t>
      </w:r>
      <w:bookmarkEnd w:id="462"/>
      <w:bookmarkEnd w:id="463"/>
      <w:bookmarkEnd w:id="464"/>
    </w:p>
    <w:p w14:paraId="33BDF8A4">
      <w:pPr>
        <w:ind w:firstLine="480"/>
        <w:rPr>
          <w:rFonts w:ascii="宋体" w:hAnsi="宋体"/>
          <w:kern w:val="24"/>
        </w:rPr>
      </w:pPr>
      <w:r>
        <w:rPr>
          <w:rFonts w:ascii="宋体" w:hAnsi="宋体"/>
          <w:kern w:val="24"/>
        </w:rPr>
        <w:t>项目应选择先进、成熟、可靠的工艺技术和较清洁的原辅材料，并对产生的各类废物进行合理的回用和治理，尽可能从源头上减少污染物的产生和排放。严格按照国家相关规范要求，对工艺、管道、设备、储罐、仓库、污水储存和处理构筑物采取相应措施，防止和降低污染物的跑、冒、滴、漏，将污染物泄漏的环境风险降到最低程度。堆放各种化工原辅料的危险品仓库和储罐区，危险废物临时存放场所要按照国家相关规范要求，采取严格的防泄漏、防溢流、防腐蚀等措施，严格危险化学品和危险废物的管理。</w:t>
      </w:r>
    </w:p>
    <w:p w14:paraId="46892EF5">
      <w:pPr>
        <w:pStyle w:val="4068"/>
      </w:pPr>
      <w:bookmarkStart w:id="465" w:name="_Toc52175603"/>
      <w:bookmarkStart w:id="466" w:name="_Toc108662713"/>
      <w:r>
        <w:rPr>
          <w:rFonts w:hint="eastAsia"/>
        </w:rPr>
        <w:t>6.6.2过程</w:t>
      </w:r>
      <w:r>
        <w:t>防控措施</w:t>
      </w:r>
      <w:bookmarkEnd w:id="465"/>
      <w:bookmarkEnd w:id="466"/>
    </w:p>
    <w:p w14:paraId="6974005A">
      <w:pPr>
        <w:ind w:firstLine="480"/>
      </w:pPr>
      <w:r>
        <w:rPr>
          <w:rFonts w:hint="eastAsia"/>
        </w:rPr>
        <w:t>本项目对土壤的环境影响途径主要垂直入渗和大气沉降，因此，本项目针对土壤防治主要采取以下措施：</w:t>
      </w:r>
    </w:p>
    <w:p w14:paraId="7BCB7588">
      <w:pPr>
        <w:ind w:firstLine="480"/>
      </w:pPr>
      <w:r>
        <w:rPr>
          <w:rFonts w:hint="eastAsia"/>
        </w:rPr>
        <w:t>（1）垂直入渗防治措施：生产车间、仓库、废水处理站等易产生事故泄漏区域全部按照《危险废物贮存污染控制标准》（GB18597-2001）的要求落实防渗。厂区其他各区域均按照分区防渗要求，进行防渗，从而切断污染土壤的垂直入渗途径，厂区各分区防渗要求详见第</w:t>
      </w:r>
      <w:r>
        <w:t>6.5</w:t>
      </w:r>
      <w:r>
        <w:rPr>
          <w:rFonts w:hint="eastAsia"/>
        </w:rPr>
        <w:t xml:space="preserve"> 地下水污染防治措施章节内容。</w:t>
      </w:r>
    </w:p>
    <w:p w14:paraId="5AA5D0F8">
      <w:pPr>
        <w:ind w:firstLine="480"/>
      </w:pPr>
      <w:r>
        <w:rPr>
          <w:rFonts w:hint="eastAsia"/>
        </w:rPr>
        <w:t>（2）大气沉降影响防治措施：本项目大气沉降对土壤影响是持续性，长期性的，通过大气污染控制措施，确保各污染物达标排放，杜绝事故排放的措施减轻大气沉降影响。</w:t>
      </w:r>
      <w:r>
        <w:rPr>
          <w:rFonts w:hint="eastAsia" w:cs="Times New Roman"/>
        </w:rPr>
        <w:t>落实</w:t>
      </w:r>
      <w:r>
        <w:rPr>
          <w:rFonts w:hint="eastAsia" w:ascii="宋体" w:hAnsi="宋体"/>
        </w:rPr>
        <w:t>《环境影响评价技术导则</w:t>
      </w:r>
      <w:r>
        <w:t xml:space="preserve"> </w:t>
      </w:r>
      <w:r>
        <w:rPr>
          <w:rFonts w:hint="eastAsia" w:ascii="宋体" w:hAnsi="宋体"/>
        </w:rPr>
        <w:t>土壤环境（试行）》（</w:t>
      </w:r>
      <w:r>
        <w:t>HJ964-2018</w:t>
      </w:r>
      <w:r>
        <w:rPr>
          <w:rFonts w:hint="eastAsia" w:ascii="宋体" w:hAnsi="宋体"/>
        </w:rPr>
        <w:t>）中绿化</w:t>
      </w:r>
      <w:r>
        <w:rPr>
          <w:rFonts w:ascii="宋体" w:hAnsi="宋体"/>
        </w:rPr>
        <w:t>措施，种植具有较强吸附能力的植物</w:t>
      </w:r>
      <w:r>
        <w:rPr>
          <w:rFonts w:hint="eastAsia" w:ascii="宋体" w:hAnsi="宋体"/>
        </w:rPr>
        <w:t>，</w:t>
      </w:r>
      <w:r>
        <w:rPr>
          <w:rFonts w:hint="eastAsia"/>
        </w:rPr>
        <w:t>本项目通过大气沉降途径对周边土壤环境的影响较小。</w:t>
      </w:r>
    </w:p>
    <w:p w14:paraId="4EDECDA9">
      <w:pPr>
        <w:ind w:firstLine="480"/>
      </w:pPr>
      <w:r>
        <w:rPr>
          <w:rFonts w:hint="eastAsia"/>
        </w:rPr>
        <w:t>综上，本项目通过采取以上措施，可有效防止对土壤环境造成明显不良影响，土壤污染防治措施可行。</w:t>
      </w:r>
    </w:p>
    <w:p w14:paraId="19F86ECB">
      <w:pPr>
        <w:pStyle w:val="4068"/>
      </w:pPr>
      <w:bookmarkStart w:id="467" w:name="_Toc108662714"/>
      <w:bookmarkStart w:id="468" w:name="_Toc100784103"/>
      <w:bookmarkStart w:id="469" w:name="_Toc101135936"/>
      <w:r>
        <w:rPr>
          <w:rFonts w:hint="eastAsia"/>
        </w:rPr>
        <w:t>6.6.</w:t>
      </w:r>
      <w:r>
        <w:t>3</w:t>
      </w:r>
      <w:r>
        <w:rPr>
          <w:rFonts w:hint="eastAsia"/>
        </w:rPr>
        <w:t>土壤</w:t>
      </w:r>
      <w:r>
        <w:t>跟踪监测计划</w:t>
      </w:r>
      <w:bookmarkEnd w:id="467"/>
      <w:bookmarkEnd w:id="468"/>
      <w:bookmarkEnd w:id="469"/>
    </w:p>
    <w:p w14:paraId="6ABF1299">
      <w:pPr>
        <w:ind w:firstLine="480"/>
      </w:pPr>
      <w:r>
        <w:rPr>
          <w:rFonts w:hint="eastAsia" w:ascii="宋体" w:hAnsi="宋体"/>
        </w:rPr>
        <w:t>（</w:t>
      </w:r>
      <w:r>
        <w:rPr>
          <w:rFonts w:hint="eastAsia"/>
        </w:rPr>
        <w:t>1</w:t>
      </w:r>
      <w:r>
        <w:rPr>
          <w:rFonts w:hint="eastAsia" w:ascii="宋体" w:hAnsi="宋体"/>
        </w:rPr>
        <w:t>）土壤跟踪</w:t>
      </w:r>
      <w:r>
        <w:rPr>
          <w:rFonts w:ascii="宋体" w:hAnsi="宋体"/>
        </w:rPr>
        <w:t>监测计划</w:t>
      </w:r>
    </w:p>
    <w:p w14:paraId="3F3961E8">
      <w:pPr>
        <w:ind w:firstLine="480"/>
      </w:pPr>
      <w:r>
        <w:rPr>
          <w:rFonts w:hint="eastAsia" w:ascii="宋体" w:hAnsi="宋体"/>
        </w:rPr>
        <w:t>结合本项目</w:t>
      </w:r>
      <w:r>
        <w:rPr>
          <w:rFonts w:ascii="宋体" w:hAnsi="宋体"/>
        </w:rPr>
        <w:t>的平面布置情况及周边环境</w:t>
      </w:r>
      <w:r>
        <w:rPr>
          <w:rFonts w:hint="eastAsia" w:ascii="宋体" w:hAnsi="宋体"/>
        </w:rPr>
        <w:t>概况，</w:t>
      </w:r>
      <w:r>
        <w:rPr>
          <w:rFonts w:hint="eastAsia" w:ascii="宋体" w:hAnsi="宋体"/>
          <w:kern w:val="24"/>
        </w:rPr>
        <w:t>结合</w:t>
      </w:r>
      <w:r>
        <w:rPr>
          <w:rFonts w:ascii="宋体" w:hAnsi="宋体"/>
          <w:kern w:val="24"/>
        </w:rPr>
        <w:t>《</w:t>
      </w:r>
      <w:r>
        <w:rPr>
          <w:rFonts w:hint="eastAsia" w:ascii="宋体" w:hAnsi="宋体"/>
          <w:kern w:val="24"/>
        </w:rPr>
        <w:t>工业企业土壤和地下水自行监测 技术指南（试行）</w:t>
      </w:r>
      <w:r>
        <w:rPr>
          <w:rFonts w:ascii="宋体" w:hAnsi="宋体"/>
          <w:kern w:val="24"/>
        </w:rPr>
        <w:t>》</w:t>
      </w:r>
      <w:r>
        <w:rPr>
          <w:rFonts w:cs="Times New Roman"/>
          <w:kern w:val="24"/>
        </w:rPr>
        <w:t>（HJ 1209—2021）</w:t>
      </w:r>
      <w:r>
        <w:rPr>
          <w:rFonts w:hint="eastAsia" w:ascii="宋体" w:hAnsi="宋体"/>
          <w:kern w:val="24"/>
        </w:rPr>
        <w:t>中要求</w:t>
      </w:r>
      <w:r>
        <w:rPr>
          <w:rFonts w:ascii="宋体" w:hAnsi="宋体"/>
        </w:rPr>
        <w:t>，确定本次设置</w:t>
      </w:r>
      <w:r>
        <w:t>2</w:t>
      </w:r>
      <w:r>
        <w:rPr>
          <w:rFonts w:hint="eastAsia" w:ascii="宋体" w:hAnsi="宋体"/>
        </w:rPr>
        <w:t>个土壤</w:t>
      </w:r>
      <w:r>
        <w:rPr>
          <w:rFonts w:ascii="宋体" w:hAnsi="宋体"/>
        </w:rPr>
        <w:t>跟踪监测点，</w:t>
      </w:r>
      <w:r>
        <w:rPr>
          <w:rFonts w:hint="eastAsia" w:ascii="宋体" w:hAnsi="宋体"/>
        </w:rPr>
        <w:t>具体</w:t>
      </w:r>
      <w:r>
        <w:rPr>
          <w:rFonts w:ascii="宋体" w:hAnsi="宋体"/>
        </w:rPr>
        <w:t>监测</w:t>
      </w:r>
      <w:r>
        <w:rPr>
          <w:rFonts w:hint="eastAsia" w:ascii="宋体" w:hAnsi="宋体"/>
        </w:rPr>
        <w:t>点位</w:t>
      </w:r>
      <w:r>
        <w:rPr>
          <w:rFonts w:ascii="宋体" w:hAnsi="宋体"/>
        </w:rPr>
        <w:t>、监测</w:t>
      </w:r>
      <w:r>
        <w:rPr>
          <w:rFonts w:hint="eastAsia" w:ascii="宋体" w:hAnsi="宋体"/>
        </w:rPr>
        <w:t>指标</w:t>
      </w:r>
      <w:r>
        <w:rPr>
          <w:rFonts w:ascii="宋体" w:hAnsi="宋体"/>
        </w:rPr>
        <w:t>、监测频次以及执行标准见表</w:t>
      </w:r>
      <w:r>
        <w:rPr>
          <w:rFonts w:hint="eastAsia"/>
        </w:rPr>
        <w:t>6.6.</w:t>
      </w:r>
      <w:r>
        <w:t>3-1</w:t>
      </w:r>
      <w:r>
        <w:rPr>
          <w:rFonts w:hint="eastAsia" w:ascii="宋体" w:hAnsi="宋体"/>
        </w:rPr>
        <w:t>及</w:t>
      </w:r>
      <w:r>
        <w:rPr>
          <w:rFonts w:ascii="宋体" w:hAnsi="宋体"/>
        </w:rPr>
        <w:t>附图</w:t>
      </w:r>
      <w:r>
        <w:rPr>
          <w:rFonts w:hint="eastAsia"/>
        </w:rPr>
        <w:t>6.5.</w:t>
      </w:r>
      <w:r>
        <w:t>2-1</w:t>
      </w:r>
      <w:r>
        <w:rPr>
          <w:rFonts w:hint="eastAsia" w:ascii="宋体" w:hAnsi="宋体"/>
        </w:rPr>
        <w:t>。</w:t>
      </w:r>
    </w:p>
    <w:p w14:paraId="176DD175">
      <w:pPr>
        <w:pStyle w:val="278"/>
        <w:ind w:firstLine="480"/>
      </w:pPr>
      <w:r>
        <w:rPr>
          <w:rFonts w:hint="eastAsia" w:ascii="黑体" w:hAnsi="黑体"/>
        </w:rPr>
        <w:t>表</w:t>
      </w:r>
      <w:r>
        <w:rPr>
          <w:rFonts w:hint="eastAsia"/>
        </w:rPr>
        <w:t>6.6.</w:t>
      </w:r>
      <w:r>
        <w:t xml:space="preserve">3-1  </w:t>
      </w:r>
      <w:r>
        <w:rPr>
          <w:rFonts w:hint="eastAsia" w:ascii="黑体" w:hAnsi="黑体"/>
        </w:rPr>
        <w:t>土壤</w:t>
      </w:r>
      <w:r>
        <w:rPr>
          <w:rFonts w:ascii="黑体" w:hAnsi="黑体"/>
        </w:rPr>
        <w:t>跟踪</w:t>
      </w:r>
      <w:r>
        <w:rPr>
          <w:rFonts w:hint="eastAsia" w:ascii="黑体" w:hAnsi="黑体"/>
        </w:rPr>
        <w:t>监测</w:t>
      </w:r>
      <w:r>
        <w:rPr>
          <w:rFonts w:ascii="黑体" w:hAnsi="黑体"/>
        </w:rPr>
        <w:t>计划一览表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85"/>
        <w:gridCol w:w="1535"/>
        <w:gridCol w:w="1696"/>
        <w:gridCol w:w="1053"/>
        <w:gridCol w:w="2944"/>
      </w:tblGrid>
      <w:tr w14:paraId="3D3CC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14:paraId="6B09369D">
            <w:pPr>
              <w:pStyle w:val="445"/>
              <w:rPr>
                <w:rFonts w:cs="Times New Roman"/>
                <w:kern w:val="0"/>
                <w:szCs w:val="20"/>
              </w:rPr>
            </w:pPr>
            <w:r>
              <w:rPr>
                <w:rFonts w:hint="eastAsia" w:cs="Times New Roman"/>
                <w:kern w:val="0"/>
                <w:szCs w:val="20"/>
              </w:rPr>
              <w:t>编号</w:t>
            </w:r>
          </w:p>
        </w:tc>
        <w:tc>
          <w:tcPr>
            <w:tcW w:w="710" w:type="pct"/>
            <w:vAlign w:val="center"/>
          </w:tcPr>
          <w:p w14:paraId="5B811F51">
            <w:pPr>
              <w:pStyle w:val="445"/>
              <w:rPr>
                <w:rFonts w:cs="Times New Roman"/>
                <w:kern w:val="0"/>
                <w:szCs w:val="20"/>
              </w:rPr>
            </w:pPr>
            <w:r>
              <w:rPr>
                <w:rFonts w:hint="eastAsia" w:cs="Times New Roman"/>
                <w:kern w:val="0"/>
                <w:szCs w:val="20"/>
              </w:rPr>
              <w:t>监测</w:t>
            </w:r>
            <w:r>
              <w:rPr>
                <w:rFonts w:cs="Times New Roman"/>
                <w:kern w:val="0"/>
                <w:szCs w:val="20"/>
              </w:rPr>
              <w:t>点位名称</w:t>
            </w:r>
          </w:p>
        </w:tc>
        <w:tc>
          <w:tcPr>
            <w:tcW w:w="845" w:type="pct"/>
            <w:vAlign w:val="center"/>
          </w:tcPr>
          <w:p w14:paraId="5C77CCAB">
            <w:pPr>
              <w:pStyle w:val="445"/>
              <w:rPr>
                <w:rFonts w:cs="Times New Roman"/>
                <w:kern w:val="0"/>
                <w:szCs w:val="20"/>
              </w:rPr>
            </w:pPr>
            <w:r>
              <w:rPr>
                <w:rFonts w:hint="eastAsia" w:cs="Times New Roman"/>
                <w:kern w:val="0"/>
                <w:szCs w:val="20"/>
              </w:rPr>
              <w:t>采样点</w:t>
            </w:r>
          </w:p>
        </w:tc>
        <w:tc>
          <w:tcPr>
            <w:tcW w:w="845" w:type="pct"/>
            <w:vAlign w:val="center"/>
          </w:tcPr>
          <w:p w14:paraId="039B510E">
            <w:pPr>
              <w:pStyle w:val="445"/>
              <w:rPr>
                <w:rFonts w:cs="Times New Roman"/>
                <w:kern w:val="0"/>
                <w:szCs w:val="20"/>
              </w:rPr>
            </w:pPr>
            <w:r>
              <w:rPr>
                <w:rFonts w:hint="eastAsia" w:cs="Times New Roman"/>
                <w:kern w:val="0"/>
                <w:szCs w:val="20"/>
              </w:rPr>
              <w:t>监测</w:t>
            </w:r>
            <w:r>
              <w:rPr>
                <w:rFonts w:cs="Times New Roman"/>
                <w:kern w:val="0"/>
                <w:szCs w:val="20"/>
              </w:rPr>
              <w:t>指标</w:t>
            </w:r>
          </w:p>
        </w:tc>
        <w:tc>
          <w:tcPr>
            <w:tcW w:w="584" w:type="pct"/>
            <w:vAlign w:val="center"/>
          </w:tcPr>
          <w:p w14:paraId="78812567">
            <w:pPr>
              <w:pStyle w:val="445"/>
              <w:rPr>
                <w:rFonts w:cs="Times New Roman"/>
                <w:kern w:val="0"/>
                <w:szCs w:val="20"/>
              </w:rPr>
            </w:pPr>
            <w:r>
              <w:rPr>
                <w:rFonts w:hint="eastAsia" w:cs="Times New Roman"/>
                <w:kern w:val="0"/>
                <w:szCs w:val="20"/>
              </w:rPr>
              <w:t>监测</w:t>
            </w:r>
            <w:r>
              <w:rPr>
                <w:rFonts w:cs="Times New Roman"/>
                <w:kern w:val="0"/>
                <w:szCs w:val="20"/>
              </w:rPr>
              <w:t>频次</w:t>
            </w:r>
          </w:p>
        </w:tc>
        <w:tc>
          <w:tcPr>
            <w:tcW w:w="1607" w:type="pct"/>
            <w:vAlign w:val="center"/>
          </w:tcPr>
          <w:p w14:paraId="0D84DDC7">
            <w:pPr>
              <w:pStyle w:val="445"/>
              <w:rPr>
                <w:rFonts w:cs="Times New Roman"/>
                <w:kern w:val="0"/>
                <w:szCs w:val="20"/>
              </w:rPr>
            </w:pPr>
            <w:r>
              <w:rPr>
                <w:rFonts w:hint="eastAsia" w:cs="Times New Roman"/>
                <w:kern w:val="0"/>
                <w:szCs w:val="20"/>
              </w:rPr>
              <w:t>执行标准</w:t>
            </w:r>
          </w:p>
        </w:tc>
      </w:tr>
      <w:tr w14:paraId="70F87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09" w:type="pct"/>
            <w:vMerge w:val="restart"/>
            <w:vAlign w:val="center"/>
          </w:tcPr>
          <w:p w14:paraId="602E74BD">
            <w:pPr>
              <w:pStyle w:val="445"/>
              <w:rPr>
                <w:rFonts w:cs="Times New Roman"/>
                <w:kern w:val="0"/>
                <w:szCs w:val="20"/>
              </w:rPr>
            </w:pPr>
            <w:r>
              <w:rPr>
                <w:rFonts w:hint="eastAsia" w:cs="Times New Roman"/>
                <w:kern w:val="0"/>
                <w:szCs w:val="20"/>
              </w:rPr>
              <w:t>SW01</w:t>
            </w:r>
          </w:p>
        </w:tc>
        <w:tc>
          <w:tcPr>
            <w:tcW w:w="710" w:type="pct"/>
            <w:vMerge w:val="restart"/>
            <w:vAlign w:val="center"/>
          </w:tcPr>
          <w:p w14:paraId="714158E3">
            <w:pPr>
              <w:pStyle w:val="445"/>
              <w:rPr>
                <w:rFonts w:cs="Times New Roman"/>
                <w:kern w:val="0"/>
                <w:szCs w:val="20"/>
              </w:rPr>
            </w:pPr>
            <w:r>
              <w:rPr>
                <w:rFonts w:hint="eastAsia" w:cs="Times New Roman"/>
                <w:kern w:val="0"/>
                <w:szCs w:val="20"/>
              </w:rPr>
              <w:t>污水处理站</w:t>
            </w:r>
          </w:p>
        </w:tc>
        <w:tc>
          <w:tcPr>
            <w:tcW w:w="845" w:type="pct"/>
            <w:vAlign w:val="center"/>
          </w:tcPr>
          <w:p w14:paraId="6F597E31">
            <w:pPr>
              <w:pStyle w:val="445"/>
              <w:rPr>
                <w:rFonts w:cs="Times New Roman"/>
                <w:kern w:val="0"/>
                <w:szCs w:val="20"/>
              </w:rPr>
            </w:pPr>
            <w:r>
              <w:rPr>
                <w:rFonts w:hint="eastAsia" w:cs="Times New Roman"/>
                <w:kern w:val="0"/>
                <w:szCs w:val="20"/>
              </w:rPr>
              <w:t>0</w:t>
            </w:r>
            <w:r>
              <w:rPr>
                <w:rFonts w:cs="Times New Roman"/>
                <w:kern w:val="0"/>
                <w:szCs w:val="20"/>
              </w:rPr>
              <w:t>~0.5m</w:t>
            </w:r>
            <w:r>
              <w:rPr>
                <w:rFonts w:hint="eastAsia" w:cs="Times New Roman"/>
                <w:kern w:val="0"/>
                <w:szCs w:val="20"/>
              </w:rPr>
              <w:t>表层土壤</w:t>
            </w:r>
          </w:p>
        </w:tc>
        <w:tc>
          <w:tcPr>
            <w:tcW w:w="845" w:type="pct"/>
            <w:vMerge w:val="restart"/>
            <w:vAlign w:val="center"/>
          </w:tcPr>
          <w:p w14:paraId="72FC01AF">
            <w:pPr>
              <w:pStyle w:val="445"/>
              <w:rPr>
                <w:rFonts w:cs="Times New Roman"/>
                <w:kern w:val="0"/>
                <w:szCs w:val="20"/>
              </w:rPr>
            </w:pPr>
            <w:r>
              <w:rPr>
                <w:rFonts w:cs="Times New Roman"/>
                <w:kern w:val="0"/>
                <w:szCs w:val="20"/>
              </w:rPr>
              <w:t xml:space="preserve">《土壤环境质量 </w:t>
            </w:r>
            <w:r>
              <w:rPr>
                <w:rFonts w:hint="eastAsia" w:cs="Times New Roman"/>
                <w:kern w:val="0"/>
                <w:szCs w:val="20"/>
              </w:rPr>
              <w:t>建设</w:t>
            </w:r>
            <w:r>
              <w:rPr>
                <w:rFonts w:cs="Times New Roman"/>
                <w:kern w:val="0"/>
                <w:szCs w:val="20"/>
              </w:rPr>
              <w:t>用地土壤污染风险管控标准》（GB36600-2018）</w:t>
            </w:r>
            <w:r>
              <w:rPr>
                <w:rFonts w:hint="eastAsia" w:cs="Times New Roman"/>
                <w:kern w:val="0"/>
                <w:szCs w:val="20"/>
              </w:rPr>
              <w:t>（试行）基础项目45项</w:t>
            </w:r>
          </w:p>
        </w:tc>
        <w:tc>
          <w:tcPr>
            <w:tcW w:w="584" w:type="pct"/>
            <w:vAlign w:val="center"/>
          </w:tcPr>
          <w:p w14:paraId="48D99547">
            <w:pPr>
              <w:pStyle w:val="445"/>
              <w:rPr>
                <w:rFonts w:cs="Times New Roman"/>
                <w:kern w:val="0"/>
                <w:szCs w:val="20"/>
              </w:rPr>
            </w:pPr>
            <w:r>
              <w:rPr>
                <w:rFonts w:hint="eastAsia" w:cs="Times New Roman"/>
                <w:kern w:val="0"/>
                <w:szCs w:val="20"/>
              </w:rPr>
              <w:t>1年1次</w:t>
            </w:r>
          </w:p>
        </w:tc>
        <w:tc>
          <w:tcPr>
            <w:tcW w:w="1607" w:type="pct"/>
            <w:vMerge w:val="restart"/>
            <w:vAlign w:val="center"/>
          </w:tcPr>
          <w:p w14:paraId="5E40A4A0">
            <w:pPr>
              <w:pStyle w:val="445"/>
              <w:rPr>
                <w:rFonts w:cs="Times New Roman"/>
                <w:kern w:val="0"/>
                <w:szCs w:val="20"/>
              </w:rPr>
            </w:pPr>
            <w:r>
              <w:rPr>
                <w:rFonts w:cs="Times New Roman"/>
                <w:kern w:val="0"/>
                <w:szCs w:val="20"/>
              </w:rPr>
              <w:t xml:space="preserve">《土壤环境质量 </w:t>
            </w:r>
            <w:r>
              <w:rPr>
                <w:rFonts w:hint="eastAsia" w:cs="Times New Roman"/>
                <w:kern w:val="0"/>
                <w:szCs w:val="20"/>
              </w:rPr>
              <w:t>建设</w:t>
            </w:r>
            <w:r>
              <w:rPr>
                <w:rFonts w:cs="Times New Roman"/>
                <w:kern w:val="0"/>
                <w:szCs w:val="20"/>
              </w:rPr>
              <w:t>用地土壤污染风险管控标准》（GB36600-2018）</w:t>
            </w:r>
            <w:r>
              <w:rPr>
                <w:rFonts w:hint="eastAsia" w:cs="Times New Roman"/>
                <w:kern w:val="0"/>
                <w:szCs w:val="20"/>
              </w:rPr>
              <w:t>（试行）</w:t>
            </w:r>
          </w:p>
        </w:tc>
      </w:tr>
      <w:tr w14:paraId="4D29B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09" w:type="pct"/>
            <w:vMerge w:val="continue"/>
            <w:vAlign w:val="center"/>
          </w:tcPr>
          <w:p w14:paraId="515CA4B7">
            <w:pPr>
              <w:pStyle w:val="445"/>
              <w:rPr>
                <w:rFonts w:cs="Times New Roman"/>
                <w:kern w:val="0"/>
                <w:szCs w:val="20"/>
              </w:rPr>
            </w:pPr>
          </w:p>
        </w:tc>
        <w:tc>
          <w:tcPr>
            <w:tcW w:w="710" w:type="pct"/>
            <w:vMerge w:val="continue"/>
            <w:vAlign w:val="center"/>
          </w:tcPr>
          <w:p w14:paraId="6A27D599">
            <w:pPr>
              <w:pStyle w:val="445"/>
              <w:rPr>
                <w:rFonts w:cs="Times New Roman"/>
                <w:kern w:val="0"/>
                <w:szCs w:val="20"/>
              </w:rPr>
            </w:pPr>
          </w:p>
        </w:tc>
        <w:tc>
          <w:tcPr>
            <w:tcW w:w="845" w:type="pct"/>
            <w:vAlign w:val="center"/>
          </w:tcPr>
          <w:p w14:paraId="153A359D">
            <w:pPr>
              <w:pStyle w:val="445"/>
              <w:rPr>
                <w:rFonts w:cs="Times New Roman"/>
                <w:kern w:val="0"/>
                <w:szCs w:val="20"/>
              </w:rPr>
            </w:pPr>
            <w:r>
              <w:rPr>
                <w:rFonts w:cs="Times New Roman"/>
                <w:kern w:val="0"/>
                <w:szCs w:val="20"/>
              </w:rPr>
              <w:t>4~</w:t>
            </w:r>
            <w:r>
              <w:rPr>
                <w:rFonts w:hint="eastAsia" w:cs="Times New Roman"/>
                <w:kern w:val="0"/>
                <w:szCs w:val="20"/>
              </w:rPr>
              <w:t>6</w:t>
            </w:r>
            <w:r>
              <w:rPr>
                <w:rFonts w:cs="Times New Roman"/>
                <w:kern w:val="0"/>
                <w:szCs w:val="20"/>
              </w:rPr>
              <w:t>m</w:t>
            </w:r>
            <w:r>
              <w:rPr>
                <w:rFonts w:hint="eastAsia" w:cs="Times New Roman"/>
                <w:kern w:val="0"/>
                <w:szCs w:val="20"/>
              </w:rPr>
              <w:t>深层</w:t>
            </w:r>
            <w:r>
              <w:rPr>
                <w:rFonts w:cs="Times New Roman"/>
                <w:kern w:val="0"/>
                <w:szCs w:val="20"/>
              </w:rPr>
              <w:t>土壤</w:t>
            </w:r>
          </w:p>
        </w:tc>
        <w:tc>
          <w:tcPr>
            <w:tcW w:w="845" w:type="pct"/>
            <w:vMerge w:val="continue"/>
            <w:vAlign w:val="center"/>
          </w:tcPr>
          <w:p w14:paraId="75277224">
            <w:pPr>
              <w:pStyle w:val="445"/>
              <w:rPr>
                <w:rFonts w:cs="Times New Roman"/>
                <w:kern w:val="0"/>
                <w:szCs w:val="20"/>
              </w:rPr>
            </w:pPr>
          </w:p>
        </w:tc>
        <w:tc>
          <w:tcPr>
            <w:tcW w:w="584" w:type="pct"/>
            <w:vAlign w:val="center"/>
          </w:tcPr>
          <w:p w14:paraId="0552D26E">
            <w:pPr>
              <w:pStyle w:val="445"/>
              <w:rPr>
                <w:rFonts w:cs="Times New Roman"/>
                <w:kern w:val="0"/>
                <w:szCs w:val="20"/>
              </w:rPr>
            </w:pPr>
            <w:r>
              <w:rPr>
                <w:rFonts w:hint="eastAsia" w:cs="Times New Roman"/>
                <w:kern w:val="0"/>
                <w:szCs w:val="20"/>
              </w:rPr>
              <w:t>3年</w:t>
            </w:r>
            <w:r>
              <w:rPr>
                <w:rFonts w:cs="Times New Roman"/>
                <w:kern w:val="0"/>
                <w:szCs w:val="20"/>
              </w:rPr>
              <w:t>1次</w:t>
            </w:r>
          </w:p>
        </w:tc>
        <w:tc>
          <w:tcPr>
            <w:tcW w:w="1607" w:type="pct"/>
            <w:vMerge w:val="continue"/>
            <w:vAlign w:val="center"/>
          </w:tcPr>
          <w:p w14:paraId="555F8978">
            <w:pPr>
              <w:pStyle w:val="445"/>
              <w:rPr>
                <w:rFonts w:cs="Times New Roman"/>
                <w:kern w:val="0"/>
                <w:szCs w:val="20"/>
              </w:rPr>
            </w:pPr>
          </w:p>
        </w:tc>
      </w:tr>
      <w:tr w14:paraId="44BAEF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14:paraId="068DCB53">
            <w:pPr>
              <w:pStyle w:val="445"/>
              <w:rPr>
                <w:rFonts w:cs="Times New Roman"/>
                <w:kern w:val="0"/>
                <w:szCs w:val="20"/>
              </w:rPr>
            </w:pPr>
            <w:r>
              <w:rPr>
                <w:rFonts w:hint="eastAsia" w:cs="Times New Roman"/>
                <w:kern w:val="0"/>
                <w:szCs w:val="20"/>
              </w:rPr>
              <w:t>SW0</w:t>
            </w:r>
            <w:r>
              <w:rPr>
                <w:rFonts w:cs="Times New Roman"/>
                <w:kern w:val="0"/>
                <w:szCs w:val="20"/>
              </w:rPr>
              <w:t>2</w:t>
            </w:r>
          </w:p>
        </w:tc>
        <w:tc>
          <w:tcPr>
            <w:tcW w:w="710" w:type="pct"/>
            <w:vAlign w:val="center"/>
          </w:tcPr>
          <w:p w14:paraId="08BDF510">
            <w:pPr>
              <w:pStyle w:val="445"/>
              <w:rPr>
                <w:rFonts w:cs="Times New Roman"/>
                <w:kern w:val="0"/>
                <w:szCs w:val="20"/>
              </w:rPr>
            </w:pPr>
            <w:r>
              <w:rPr>
                <w:rFonts w:hint="eastAsia" w:cs="Times New Roman"/>
                <w:kern w:val="0"/>
                <w:szCs w:val="20"/>
              </w:rPr>
              <w:t>厂区</w:t>
            </w:r>
            <w:r>
              <w:rPr>
                <w:rFonts w:cs="Times New Roman"/>
                <w:kern w:val="0"/>
                <w:szCs w:val="20"/>
              </w:rPr>
              <w:t>下风向</w:t>
            </w:r>
          </w:p>
        </w:tc>
        <w:tc>
          <w:tcPr>
            <w:tcW w:w="845" w:type="pct"/>
            <w:vAlign w:val="center"/>
          </w:tcPr>
          <w:p w14:paraId="72FC9575">
            <w:pPr>
              <w:pStyle w:val="445"/>
              <w:rPr>
                <w:rFonts w:cs="Times New Roman"/>
                <w:kern w:val="0"/>
                <w:sz w:val="21"/>
                <w:szCs w:val="21"/>
              </w:rPr>
            </w:pPr>
            <w:r>
              <w:rPr>
                <w:rFonts w:hint="eastAsia" w:cs="Times New Roman"/>
                <w:kern w:val="0"/>
                <w:szCs w:val="20"/>
              </w:rPr>
              <w:t>0</w:t>
            </w:r>
            <w:r>
              <w:rPr>
                <w:rFonts w:cs="Times New Roman"/>
                <w:kern w:val="0"/>
                <w:szCs w:val="20"/>
              </w:rPr>
              <w:t>~0.5m</w:t>
            </w:r>
            <w:r>
              <w:rPr>
                <w:rFonts w:hint="eastAsia" w:cs="Times New Roman"/>
                <w:kern w:val="0"/>
                <w:szCs w:val="20"/>
              </w:rPr>
              <w:t>表层土壤</w:t>
            </w:r>
          </w:p>
        </w:tc>
        <w:tc>
          <w:tcPr>
            <w:tcW w:w="845" w:type="pct"/>
            <w:vMerge w:val="continue"/>
            <w:vAlign w:val="center"/>
          </w:tcPr>
          <w:p w14:paraId="7A6F2C58">
            <w:pPr>
              <w:pStyle w:val="445"/>
              <w:rPr>
                <w:rFonts w:cs="Times New Roman"/>
                <w:kern w:val="0"/>
                <w:sz w:val="21"/>
                <w:szCs w:val="21"/>
              </w:rPr>
            </w:pPr>
          </w:p>
        </w:tc>
        <w:tc>
          <w:tcPr>
            <w:tcW w:w="584" w:type="pct"/>
            <w:vAlign w:val="center"/>
          </w:tcPr>
          <w:p w14:paraId="16051B64">
            <w:pPr>
              <w:pStyle w:val="445"/>
              <w:rPr>
                <w:rFonts w:cs="Times New Roman"/>
                <w:kern w:val="0"/>
                <w:szCs w:val="20"/>
              </w:rPr>
            </w:pPr>
            <w:r>
              <w:rPr>
                <w:rFonts w:hint="eastAsia" w:cs="Times New Roman"/>
                <w:kern w:val="0"/>
                <w:szCs w:val="20"/>
              </w:rPr>
              <w:t>3年</w:t>
            </w:r>
            <w:r>
              <w:rPr>
                <w:rFonts w:cs="Times New Roman"/>
                <w:kern w:val="0"/>
                <w:szCs w:val="20"/>
              </w:rPr>
              <w:t>1次</w:t>
            </w:r>
          </w:p>
        </w:tc>
        <w:tc>
          <w:tcPr>
            <w:tcW w:w="1607" w:type="pct"/>
            <w:vMerge w:val="continue"/>
            <w:vAlign w:val="center"/>
          </w:tcPr>
          <w:p w14:paraId="5CF882B3">
            <w:pPr>
              <w:pStyle w:val="445"/>
              <w:rPr>
                <w:rFonts w:cs="Times New Roman"/>
                <w:kern w:val="0"/>
                <w:sz w:val="21"/>
                <w:szCs w:val="21"/>
              </w:rPr>
            </w:pPr>
          </w:p>
        </w:tc>
      </w:tr>
    </w:tbl>
    <w:p w14:paraId="528DB4EE">
      <w:pPr>
        <w:ind w:firstLine="480"/>
        <w:rPr>
          <w:rFonts w:cs="Times New Roman"/>
        </w:rPr>
      </w:pPr>
      <w:r>
        <w:rPr>
          <w:rFonts w:hint="eastAsia" w:ascii="宋体" w:hAnsi="宋体"/>
        </w:rPr>
        <w:t>（</w:t>
      </w:r>
      <w:r>
        <w:t>2</w:t>
      </w:r>
      <w:r>
        <w:rPr>
          <w:rFonts w:hint="eastAsia" w:ascii="宋体" w:hAnsi="宋体"/>
        </w:rPr>
        <w:t>）跟踪监测</w:t>
      </w:r>
      <w:r>
        <w:rPr>
          <w:rFonts w:ascii="宋体" w:hAnsi="宋体"/>
        </w:rPr>
        <w:t>制度</w:t>
      </w:r>
    </w:p>
    <w:p w14:paraId="2162F02B">
      <w:pPr>
        <w:ind w:firstLine="480"/>
        <w:rPr>
          <w:rFonts w:ascii="宋体" w:hAnsi="宋体"/>
        </w:rPr>
      </w:pPr>
      <w:r>
        <w:rPr>
          <w:rFonts w:hint="eastAsia" w:ascii="宋体" w:hAnsi="宋体"/>
        </w:rPr>
        <w:t>监测数据资料应及时汇总整理，建立长期动态监测档案，并定期向有关部门汇报。对于常规监测数据应该进行公开，如发现异常或者发生事故，应加密监测频次，并分析导致土壤污染的原因及影响来源，及时合理采取应对措施。</w:t>
      </w:r>
    </w:p>
    <w:p w14:paraId="60000A13">
      <w:pPr>
        <w:pStyle w:val="4065"/>
        <w:sectPr>
          <w:pgSz w:w="11906" w:h="16838"/>
          <w:pgMar w:top="1440" w:right="1440" w:bottom="1440" w:left="1440" w:header="720" w:footer="720" w:gutter="0"/>
          <w:cols w:space="720" w:num="1"/>
          <w:docGrid w:linePitch="326" w:charSpace="0"/>
        </w:sectPr>
      </w:pPr>
      <w:bookmarkStart w:id="470" w:name="_Toc108662715"/>
      <w:bookmarkStart w:id="471" w:name="_Toc86542530"/>
    </w:p>
    <w:p w14:paraId="2E32AF9D">
      <w:pPr>
        <w:pStyle w:val="4065"/>
      </w:pPr>
      <w:r>
        <w:rPr>
          <w:rFonts w:hint="eastAsia"/>
        </w:rPr>
        <w:t>6.7</w:t>
      </w:r>
      <w:r>
        <w:t>环境风险防范措施</w:t>
      </w:r>
      <w:bookmarkEnd w:id="470"/>
      <w:bookmarkEnd w:id="471"/>
    </w:p>
    <w:p w14:paraId="6987DFB7">
      <w:pPr>
        <w:pStyle w:val="4068"/>
      </w:pPr>
      <w:bookmarkStart w:id="472" w:name="_Toc101135938"/>
      <w:bookmarkStart w:id="473" w:name="_Toc108662716"/>
      <w:bookmarkStart w:id="474" w:name="_Toc100784105"/>
      <w:r>
        <w:rPr>
          <w:rFonts w:hint="eastAsia"/>
        </w:rPr>
        <w:t>6.7.</w:t>
      </w:r>
      <w:r>
        <w:t>1大气环境风险防范措施</w:t>
      </w:r>
      <w:bookmarkEnd w:id="472"/>
      <w:bookmarkEnd w:id="473"/>
      <w:bookmarkEnd w:id="474"/>
    </w:p>
    <w:p w14:paraId="1C9E6CD7">
      <w:pPr>
        <w:ind w:firstLine="482"/>
        <w:rPr>
          <w:b/>
        </w:rPr>
      </w:pPr>
      <w:r>
        <w:rPr>
          <w:rFonts w:hint="eastAsia"/>
          <w:b/>
        </w:rPr>
        <w:t>（1）生产区</w:t>
      </w:r>
      <w:r>
        <w:rPr>
          <w:b/>
        </w:rPr>
        <w:t>风险防范措施</w:t>
      </w:r>
    </w:p>
    <w:p w14:paraId="04C2232A">
      <w:pPr>
        <w:ind w:firstLine="480"/>
      </w:pPr>
      <w:r>
        <w:rPr>
          <w:rFonts w:hint="eastAsia"/>
        </w:rPr>
        <w:t>①</w:t>
      </w:r>
      <w:r>
        <w:t>安徽凯盛</w:t>
      </w:r>
      <w:r>
        <w:rPr>
          <w:rFonts w:hint="eastAsia"/>
        </w:rPr>
        <w:t>应用</w:t>
      </w:r>
      <w:r>
        <w:t>材料</w:t>
      </w:r>
      <w:r>
        <w:rPr>
          <w:rFonts w:hint="eastAsia"/>
        </w:rPr>
        <w:t>有限</w:t>
      </w:r>
      <w:r>
        <w:t>公司需建立生产现场安全管理制度，明确教育培训、设备管理、危化品管理、安全作业等内容。</w:t>
      </w:r>
    </w:p>
    <w:p w14:paraId="26CBB86F">
      <w:pPr>
        <w:ind w:firstLine="480"/>
      </w:pPr>
      <w:r>
        <w:rPr>
          <w:rFonts w:hint="eastAsia"/>
        </w:rPr>
        <w:t>②</w:t>
      </w:r>
      <w:r>
        <w:t>项目的设备、设施的设计、制造和安装均按国家现行标准、规范和规定的要求进行。生产装置、管道及配件选型、材质选择符合防火、防爆、防腐、适高温等要求。设备、管道投入使用前进行试漏、试压试验，合格后投入使用。对各种设备和仪器要求不得超负荷和带病运行，并要做到正确使用，经常维护，定期检修，不符合安全要求的陈旧设备，有计划地更新和改造。</w:t>
      </w:r>
    </w:p>
    <w:p w14:paraId="706F3A4F">
      <w:pPr>
        <w:ind w:firstLine="480"/>
      </w:pPr>
      <w:r>
        <w:rPr>
          <w:rFonts w:hint="eastAsia"/>
        </w:rPr>
        <w:t>③</w:t>
      </w:r>
      <w:r>
        <w:t>生产车间配备了DCS控制系统、视频监控系统和消防报警按钮，反应釜配备了安全阀等。</w:t>
      </w:r>
    </w:p>
    <w:p w14:paraId="761CED8B">
      <w:pPr>
        <w:ind w:firstLine="480"/>
      </w:pPr>
      <w:r>
        <w:rPr>
          <w:rFonts w:hint="eastAsia"/>
        </w:rPr>
        <w:t>④</w:t>
      </w:r>
      <w:r>
        <w:t>生产车间均配备了可燃</w:t>
      </w:r>
      <w:r>
        <w:rPr>
          <w:rFonts w:hint="eastAsia"/>
        </w:rPr>
        <w:t>、</w:t>
      </w:r>
      <w:r>
        <w:t>有毒气体报警仪，对</w:t>
      </w:r>
      <w:r>
        <w:rPr>
          <w:rFonts w:hint="eastAsia"/>
        </w:rPr>
        <w:t>甲醇、</w:t>
      </w:r>
      <w:r>
        <w:t>氯化氢</w:t>
      </w:r>
      <w:r>
        <w:rPr>
          <w:rFonts w:hint="eastAsia"/>
        </w:rPr>
        <w:t>和</w:t>
      </w:r>
      <w:r>
        <w:t>氟化氢等可燃、有毒气体等进行检测。</w:t>
      </w:r>
    </w:p>
    <w:p w14:paraId="4ED1EFA5">
      <w:pPr>
        <w:ind w:firstLine="480"/>
      </w:pPr>
      <w:r>
        <w:rPr>
          <w:rFonts w:hint="eastAsia"/>
        </w:rPr>
        <w:t>⑤</w:t>
      </w:r>
      <w:r>
        <w:t>生产区防爆场所的电气设备选型及电力照明线路的配置严格按照《爆炸危险环境电力装置设计规范》(GB50058)的要求执行，防爆区域电气按2区考虑，防爆区的动力，照明电气设备选用了防爆标志为ExdIIBT3以上的防爆型电器。</w:t>
      </w:r>
    </w:p>
    <w:p w14:paraId="66E37A69">
      <w:pPr>
        <w:ind w:firstLine="480"/>
      </w:pPr>
      <w:r>
        <w:rPr>
          <w:rFonts w:hint="eastAsia"/>
        </w:rPr>
        <w:t>⑥</w:t>
      </w:r>
      <w:r>
        <w:t>生产区所有装置及其管线，均已按要求好防静电接地，生产区入口处设有人体静电导除装置。</w:t>
      </w:r>
    </w:p>
    <w:p w14:paraId="3FDBF672">
      <w:pPr>
        <w:ind w:firstLine="480"/>
      </w:pPr>
      <w:r>
        <w:rPr>
          <w:rFonts w:hint="eastAsia"/>
        </w:rPr>
        <w:t>⑦</w:t>
      </w:r>
      <w:r>
        <w:t>车间发生事故泄漏时，采用设计的固定水喷淋，由泄漏区域的围堰、排水沟流入事故水池。</w:t>
      </w:r>
    </w:p>
    <w:p w14:paraId="748A4742">
      <w:pPr>
        <w:ind w:firstLine="482"/>
        <w:rPr>
          <w:b/>
        </w:rPr>
      </w:pPr>
      <w:r>
        <w:rPr>
          <w:rFonts w:hint="eastAsia"/>
          <w:b/>
        </w:rPr>
        <w:t>（2）</w:t>
      </w:r>
      <w:r>
        <w:rPr>
          <w:b/>
        </w:rPr>
        <w:t>危险化学品贮运风险防范措施</w:t>
      </w:r>
    </w:p>
    <w:p w14:paraId="77DC92A1">
      <w:pPr>
        <w:ind w:firstLine="480"/>
      </w:pPr>
      <w:r>
        <w:t>1</w:t>
      </w:r>
      <w:r>
        <w:rPr>
          <w:rFonts w:hint="eastAsia"/>
        </w:rPr>
        <w:t>）仓库区</w:t>
      </w:r>
    </w:p>
    <w:p w14:paraId="63F21ACE">
      <w:pPr>
        <w:ind w:firstLine="480"/>
      </w:pPr>
      <w:r>
        <w:rPr>
          <w:rFonts w:hint="eastAsia"/>
        </w:rPr>
        <w:t>扩建</w:t>
      </w:r>
      <w:r>
        <w:t>项目</w:t>
      </w:r>
      <w:r>
        <w:rPr>
          <w:rFonts w:hint="eastAsia"/>
        </w:rPr>
        <w:t>新建</w:t>
      </w:r>
      <w:r>
        <w:t>原料库</w:t>
      </w:r>
      <w:r>
        <w:rPr>
          <w:rFonts w:hint="eastAsia"/>
        </w:rPr>
        <w:t>和成品</w:t>
      </w:r>
      <w:r>
        <w:t>库，仓库区需按照以下要求进行设置：</w:t>
      </w:r>
    </w:p>
    <w:p w14:paraId="59FB3577">
      <w:pPr>
        <w:ind w:firstLine="480"/>
      </w:pPr>
      <w:r>
        <w:rPr>
          <w:rFonts w:hint="eastAsia"/>
        </w:rPr>
        <w:t>①</w:t>
      </w:r>
      <w:r>
        <w:t>按照相关工艺要求设置原辅材料和成品的贮存量，该贮存量要符合导则附录中规定的相关物质临界量。</w:t>
      </w:r>
    </w:p>
    <w:p w14:paraId="153EEDE6">
      <w:pPr>
        <w:ind w:firstLine="480"/>
      </w:pPr>
      <w:r>
        <w:rPr>
          <w:rFonts w:hint="eastAsia"/>
        </w:rPr>
        <w:t>②</w:t>
      </w:r>
      <w:r>
        <w:t>各类危险化学品不得与禁忌物料混合存放，不可堆放木材及其他引火物。</w:t>
      </w:r>
    </w:p>
    <w:p w14:paraId="2A3957F7">
      <w:pPr>
        <w:ind w:firstLine="480"/>
      </w:pPr>
      <w:r>
        <w:rPr>
          <w:rFonts w:hint="eastAsia"/>
        </w:rPr>
        <w:t>③</w:t>
      </w:r>
      <w:r>
        <w:t>设置有毒有害气体在线监测、监控设施，一旦有异常情况可立即做出应急反应。</w:t>
      </w:r>
    </w:p>
    <w:p w14:paraId="74F0562D">
      <w:pPr>
        <w:ind w:firstLine="480"/>
      </w:pPr>
      <w:r>
        <w:rPr>
          <w:rFonts w:hint="eastAsia"/>
        </w:rPr>
        <w:t>④原料</w:t>
      </w:r>
      <w:r>
        <w:t>库应设置专职养护员，负责对</w:t>
      </w:r>
      <w:r>
        <w:rPr>
          <w:rFonts w:hint="eastAsia"/>
        </w:rPr>
        <w:t>原料</w:t>
      </w:r>
      <w:r>
        <w:t>危险化学品的技术养护、管理和监测，养护员应进行培训，须考核合格后持证上岗。</w:t>
      </w:r>
    </w:p>
    <w:p w14:paraId="4326E612">
      <w:pPr>
        <w:ind w:firstLine="480"/>
      </w:pPr>
      <w:r>
        <w:rPr>
          <w:rFonts w:hint="eastAsia"/>
        </w:rPr>
        <w:t>⑤原料</w:t>
      </w:r>
      <w:r>
        <w:t>库、区域内严禁吸烟和使用明火。装卸、搬运危险化学品时应按照规定进行，做到轻装轻卸，严禁摔、碰、撞击、倾斜和滚动。</w:t>
      </w:r>
    </w:p>
    <w:p w14:paraId="465525C4">
      <w:pPr>
        <w:ind w:firstLine="480"/>
      </w:pPr>
      <w:r>
        <w:rPr>
          <w:rFonts w:hint="eastAsia"/>
        </w:rPr>
        <w:t>⑥</w:t>
      </w:r>
      <w:r>
        <w:t>装卸易燃液体需穿防静电工作服，禁止穿带钉鞋，大桶不得在水泥地面滚动，不得使用产生火花的机具。</w:t>
      </w:r>
    </w:p>
    <w:p w14:paraId="4B96B941">
      <w:pPr>
        <w:ind w:firstLine="482"/>
        <w:rPr>
          <w:b/>
        </w:rPr>
      </w:pPr>
      <w:r>
        <w:rPr>
          <w:b/>
        </w:rPr>
        <w:t>对于易燃、可燃物料，应采取如下措施：</w:t>
      </w:r>
    </w:p>
    <w:p w14:paraId="704DBF6A">
      <w:pPr>
        <w:ind w:firstLine="480"/>
      </w:pPr>
      <w:r>
        <w:rPr>
          <w:rFonts w:hint="eastAsia"/>
        </w:rPr>
        <w:t>①</w:t>
      </w:r>
      <w:r>
        <w:t>储存于阴凉通风库房内，远离火种、热源、氧化剂及酸类，不可与其他危险化学品混放。</w:t>
      </w:r>
    </w:p>
    <w:p w14:paraId="71B52650">
      <w:pPr>
        <w:ind w:firstLine="480"/>
      </w:pPr>
      <w:r>
        <w:rPr>
          <w:rFonts w:hint="eastAsia"/>
        </w:rPr>
        <w:t>②</w:t>
      </w:r>
      <w:r>
        <w:t>搬运时轻装轻卸，防止拖、拉、摔、撞，保持包装完好。</w:t>
      </w:r>
    </w:p>
    <w:p w14:paraId="4D8BBEFA">
      <w:pPr>
        <w:ind w:firstLine="480"/>
      </w:pPr>
      <w:r>
        <w:rPr>
          <w:rFonts w:hint="eastAsia"/>
        </w:rPr>
        <w:t>③</w:t>
      </w:r>
      <w:r>
        <w:t>平时应注意通风散热，防止受潮发霉，并应注意储存期限。储存期较长时</w:t>
      </w:r>
      <w:r>
        <w:rPr>
          <w:rFonts w:ascii="宋体" w:hAnsi="宋体"/>
        </w:rPr>
        <w:t>(</w:t>
      </w:r>
      <w:r>
        <w:t>如一年</w:t>
      </w:r>
      <w:r>
        <w:rPr>
          <w:rFonts w:ascii="宋体" w:hAnsi="宋体"/>
        </w:rPr>
        <w:t>)</w:t>
      </w:r>
      <w:r>
        <w:t>，应拆箱检查有无发热发霉变质现象，如有则应及时处理。</w:t>
      </w:r>
    </w:p>
    <w:p w14:paraId="052A56AA">
      <w:pPr>
        <w:ind w:firstLine="480"/>
      </w:pPr>
      <w:r>
        <w:rPr>
          <w:rFonts w:hint="eastAsia"/>
        </w:rPr>
        <w:t>④</w:t>
      </w:r>
      <w:r>
        <w:t>在储存中，对不同品种的事故应区别对待。</w:t>
      </w:r>
    </w:p>
    <w:p w14:paraId="444B6311">
      <w:pPr>
        <w:ind w:firstLine="480"/>
      </w:pPr>
      <w:r>
        <w:rPr>
          <w:rFonts w:hint="eastAsia"/>
        </w:rPr>
        <w:t>⑤</w:t>
      </w:r>
      <w:r>
        <w:t>运输时配装位置应远离电源、火源、热源等部位，通风筒应有防火星的装置。</w:t>
      </w:r>
    </w:p>
    <w:p w14:paraId="1B245C91">
      <w:pPr>
        <w:ind w:firstLine="480"/>
        <w:rPr>
          <w:szCs w:val="28"/>
        </w:rPr>
      </w:pPr>
      <w:r>
        <w:t>2</w:t>
      </w:r>
      <w:r>
        <w:rPr>
          <w:rFonts w:hint="eastAsia"/>
        </w:rPr>
        <w:t>）</w:t>
      </w:r>
      <w:r>
        <w:t>运输过程</w:t>
      </w:r>
    </w:p>
    <w:p w14:paraId="5CFFF4E6">
      <w:pPr>
        <w:ind w:firstLine="480"/>
        <w:rPr>
          <w:rFonts w:cs="Times New Roman"/>
          <w:color w:val="000000"/>
        </w:rPr>
      </w:pPr>
      <w:r>
        <w:rPr>
          <w:rFonts w:hint="eastAsia" w:ascii="宋体" w:hAnsi="宋体" w:cs="宋体"/>
          <w:color w:val="000000"/>
          <w:lang w:eastAsia="ja-JP"/>
        </w:rPr>
        <w:t>①</w:t>
      </w:r>
      <w:r>
        <w:rPr>
          <w:rFonts w:cs="Times New Roman"/>
          <w:color w:val="000000"/>
        </w:rPr>
        <w:t>当原料采用槽罐车进行运输时，因温度、压力的变化，罐体强度下降，阀门变形断裂，静电，运输人员操作不当等原因，均易造成气体扩散、液体滴漏、固体散落，出现不同程度的渗漏，甚至可能引起火灾、爆炸或污染环境等事故。加强对车辆以及罐体质量的检查监管，使其规范化，以保证运输安全。押运人在整个运输过程中定期对车辆和罐体质量进行实时检查，以便及时发现问题。</w:t>
      </w:r>
    </w:p>
    <w:p w14:paraId="62630DAB">
      <w:pPr>
        <w:ind w:firstLine="480"/>
        <w:rPr>
          <w:rFonts w:cs="Times New Roman"/>
          <w:color w:val="000000"/>
        </w:rPr>
      </w:pPr>
      <w:r>
        <w:rPr>
          <w:rFonts w:hint="eastAsia" w:cs="Times New Roman"/>
          <w:color w:val="000000"/>
        </w:rPr>
        <w:t>②</w:t>
      </w:r>
      <w:r>
        <w:rPr>
          <w:rFonts w:cs="Times New Roman"/>
          <w:color w:val="000000"/>
        </w:rPr>
        <w:t>当原料采用桶装的方式进行运输时，因包装桶破损、桶盖垫圈失落或者未拧紧、包装桶碰撞发生翻倒等原因，会造成原料的泄漏，甚至引起火灾、爆炸或污染环境等事故。加强对车辆以及包装桶质量的检查监管，使其规范化，以保证运输安全。押运人在整个运输过程中定期对车辆和桶体质量进行实时检查，以便及时发现问题。</w:t>
      </w:r>
    </w:p>
    <w:p w14:paraId="0D104B77">
      <w:pPr>
        <w:ind w:firstLine="480"/>
        <w:rPr>
          <w:rFonts w:cs="Times New Roman"/>
          <w:color w:val="000000"/>
        </w:rPr>
      </w:pPr>
      <w:r>
        <w:rPr>
          <w:rFonts w:hint="eastAsia" w:ascii="宋体" w:hAnsi="宋体" w:cs="宋体"/>
          <w:color w:val="000000"/>
          <w:lang w:eastAsia="ja-JP"/>
        </w:rPr>
        <w:t>③</w:t>
      </w:r>
      <w:r>
        <w:rPr>
          <w:rFonts w:cs="Times New Roman"/>
          <w:color w:val="000000"/>
        </w:rPr>
        <w:t>在运输途中，由于各种意外原因，产生汽车翻车、物料泄漏等，危险货物有可能散落、抛出至大气、水体或陆域，造成重大环境灾害，对于这类风险事故，要求采取应急措施，包括工程应急措施和社会救援应急预案。</w:t>
      </w:r>
    </w:p>
    <w:p w14:paraId="452BCEC0">
      <w:pPr>
        <w:ind w:firstLine="480"/>
        <w:rPr>
          <w:rFonts w:cs="Times New Roman"/>
          <w:color w:val="000000"/>
        </w:rPr>
      </w:pPr>
      <w:r>
        <w:rPr>
          <w:rFonts w:hint="eastAsia" w:ascii="宋体" w:hAnsi="宋体" w:cs="宋体"/>
          <w:color w:val="000000"/>
          <w:lang w:eastAsia="ja-JP"/>
        </w:rPr>
        <w:t>④</w:t>
      </w:r>
      <w:r>
        <w:rPr>
          <w:rFonts w:cs="Times New Roman"/>
          <w:color w:val="000000"/>
        </w:rPr>
        <w:t>运输过程严格执行《危险货物运输包装通用技术条件》（GB12463-2009）和各种运输方式的《危险货物运输规则》，并配备相应地应急物资和设备；装卸过程要求防震、防撞、防倾斜；断火源、禁火种；通风和降温。</w:t>
      </w:r>
    </w:p>
    <w:p w14:paraId="3CA77045">
      <w:pPr>
        <w:ind w:firstLine="480"/>
        <w:rPr>
          <w:rFonts w:cs="Times New Roman"/>
          <w:color w:val="000000"/>
        </w:rPr>
      </w:pPr>
      <w:r>
        <w:rPr>
          <w:rFonts w:hint="eastAsia" w:ascii="宋体" w:hAnsi="宋体" w:cs="宋体"/>
          <w:color w:val="000000"/>
          <w:lang w:eastAsia="ja-JP"/>
        </w:rPr>
        <w:t>⑤</w:t>
      </w:r>
      <w:r>
        <w:rPr>
          <w:rFonts w:cs="Times New Roman"/>
          <w:color w:val="000000"/>
        </w:rPr>
        <w:t>危化品运输时需避开交警部门规定的禁行路线，按照交警部门规定的时间和线路行驶，同时车速需遵循交通法所规定的路况限速要求，避免发生交通事故。</w:t>
      </w:r>
    </w:p>
    <w:p w14:paraId="7E8ADCB5">
      <w:pPr>
        <w:ind w:firstLine="482"/>
        <w:rPr>
          <w:b/>
        </w:rPr>
      </w:pPr>
      <w:r>
        <w:rPr>
          <w:rFonts w:hint="eastAsia"/>
          <w:b/>
        </w:rPr>
        <w:t>（</w:t>
      </w:r>
      <w:r>
        <w:rPr>
          <w:b/>
        </w:rPr>
        <w:t>3</w:t>
      </w:r>
      <w:r>
        <w:rPr>
          <w:rFonts w:hint="eastAsia"/>
          <w:b/>
        </w:rPr>
        <w:t>）废气</w:t>
      </w:r>
      <w:r>
        <w:rPr>
          <w:b/>
        </w:rPr>
        <w:t>处理设施风险防范措施</w:t>
      </w:r>
    </w:p>
    <w:p w14:paraId="3041FD32">
      <w:pPr>
        <w:ind w:firstLine="480"/>
        <w:rPr>
          <w:rFonts w:cs="Times New Roman"/>
          <w:color w:val="000000"/>
        </w:rPr>
      </w:pPr>
      <w:r>
        <w:rPr>
          <w:rFonts w:hint="eastAsia" w:ascii="宋体" w:hAnsi="宋体" w:cs="宋体"/>
          <w:color w:val="000000"/>
          <w:lang w:eastAsia="ja-JP"/>
        </w:rPr>
        <w:t>①</w:t>
      </w:r>
      <w:r>
        <w:rPr>
          <w:rFonts w:cs="Times New Roman"/>
          <w:color w:val="000000"/>
        </w:rPr>
        <w:t>对废气处理系统进行定期的监测和检修，如发生腐蚀、设备运行不稳定的情况，需对设备进行更换和修理，确保废气处理装置的正常运行。</w:t>
      </w:r>
    </w:p>
    <w:p w14:paraId="6E9B414D">
      <w:pPr>
        <w:ind w:firstLine="480"/>
        <w:rPr>
          <w:rFonts w:cs="Times New Roman"/>
          <w:color w:val="000000"/>
        </w:rPr>
      </w:pPr>
      <w:r>
        <w:rPr>
          <w:rFonts w:hint="eastAsia" w:ascii="宋体" w:hAnsi="宋体" w:cs="宋体"/>
          <w:color w:val="000000"/>
          <w:lang w:eastAsia="ja-JP"/>
        </w:rPr>
        <w:t>②</w:t>
      </w:r>
      <w:r>
        <w:rPr>
          <w:rFonts w:cs="Times New Roman"/>
          <w:color w:val="000000"/>
        </w:rPr>
        <w:t>如采用了活性炭吸附装置对废气进行处理，则应定期对活性炭进行更换，并设置备用的活性炭吸附装置，以便于废气的有效处理。</w:t>
      </w:r>
    </w:p>
    <w:p w14:paraId="55251484">
      <w:pPr>
        <w:ind w:firstLine="480"/>
        <w:rPr>
          <w:rFonts w:cs="Times New Roman"/>
          <w:color w:val="000000"/>
        </w:rPr>
      </w:pPr>
      <w:r>
        <w:rPr>
          <w:rFonts w:hint="eastAsia" w:ascii="宋体" w:hAnsi="宋体" w:cs="宋体"/>
          <w:color w:val="000000"/>
          <w:lang w:eastAsia="ja-JP"/>
        </w:rPr>
        <w:t>③</w:t>
      </w:r>
      <w:r>
        <w:rPr>
          <w:rFonts w:cs="Times New Roman"/>
          <w:color w:val="000000"/>
        </w:rPr>
        <w:t>对处理可燃性气体的装置和排气筒应设置监控装置和报警系统，并设置阻燃器，防止可燃性气体处理和排放处理系统发生燃爆事故。</w:t>
      </w:r>
    </w:p>
    <w:p w14:paraId="0A90FB60">
      <w:pPr>
        <w:ind w:firstLine="482"/>
        <w:rPr>
          <w:b/>
        </w:rPr>
      </w:pPr>
      <w:r>
        <w:rPr>
          <w:rFonts w:hint="eastAsia"/>
          <w:b/>
        </w:rPr>
        <w:t>（4）</w:t>
      </w:r>
      <w:r>
        <w:rPr>
          <w:b/>
        </w:rPr>
        <w:t>总图布置防范</w:t>
      </w:r>
    </w:p>
    <w:p w14:paraId="7708492B">
      <w:pPr>
        <w:ind w:firstLine="480"/>
      </w:pPr>
      <w:r>
        <w:rPr>
          <w:rFonts w:hint="eastAsia"/>
        </w:rPr>
        <w:t>①</w:t>
      </w:r>
      <w:r>
        <w:t>安徽凯盛</w:t>
      </w:r>
      <w:r>
        <w:rPr>
          <w:rFonts w:hint="eastAsia"/>
        </w:rPr>
        <w:t>应用</w:t>
      </w:r>
      <w:r>
        <w:t>材料</w:t>
      </w:r>
      <w:r>
        <w:rPr>
          <w:rFonts w:hint="eastAsia"/>
        </w:rPr>
        <w:t>有限</w:t>
      </w:r>
      <w:r>
        <w:t>公司</w:t>
      </w:r>
      <w:r>
        <w:rPr>
          <w:rFonts w:hint="eastAsia"/>
        </w:rPr>
        <w:t>位于蚌埠精细化工高新技术产业基地，根据大气防护距离及风险防护距离综合判定，本项目环境防护距离为</w:t>
      </w:r>
      <w:r>
        <w:t>5</w:t>
      </w:r>
      <w:r>
        <w:rPr>
          <w:rFonts w:hint="eastAsia"/>
        </w:rPr>
        <w:t>00m范围。目前在此范围内没有居民点以及学校、医院等敏感目标，今后该防护距离范围内也不得新建居民、学校、医院等环境敏感目标。生产区和仓库等距离厂界及厂界外的交通干道均有一定的距离，围墙外与园区大道间为绿化带，均可以起到一定的安全防护和防火作用。</w:t>
      </w:r>
    </w:p>
    <w:p w14:paraId="13EBF8C6">
      <w:pPr>
        <w:ind w:firstLine="480"/>
      </w:pPr>
      <w:r>
        <w:rPr>
          <w:rFonts w:hint="eastAsia"/>
        </w:rPr>
        <w:t>②</w:t>
      </w:r>
      <w:r>
        <w:t>安徽凯盛</w:t>
      </w:r>
      <w:r>
        <w:rPr>
          <w:rFonts w:hint="eastAsia"/>
        </w:rPr>
        <w:t>应用</w:t>
      </w:r>
      <w:r>
        <w:t>材料</w:t>
      </w:r>
      <w:r>
        <w:rPr>
          <w:rFonts w:hint="eastAsia"/>
        </w:rPr>
        <w:t>有限</w:t>
      </w:r>
      <w:r>
        <w:t>公司</w:t>
      </w:r>
      <w:r>
        <w:rPr>
          <w:rFonts w:hint="eastAsia"/>
        </w:rPr>
        <w:t>平面布置设计按《建筑设计防火规范》（GB50016-2006）执行，厂内建筑设施之间间距以及与周边企业的安全间距都能达到《建筑设计防火规范》（GB50016-2006）规定，符合安全要求。</w:t>
      </w:r>
    </w:p>
    <w:p w14:paraId="5EB38B09">
      <w:pPr>
        <w:ind w:firstLine="480"/>
      </w:pPr>
      <w:r>
        <w:rPr>
          <w:rFonts w:hint="eastAsia"/>
        </w:rPr>
        <w:t>③</w:t>
      </w:r>
      <w:r>
        <w:t>安徽凯盛</w:t>
      </w:r>
      <w:r>
        <w:rPr>
          <w:rFonts w:hint="eastAsia"/>
        </w:rPr>
        <w:t>应用</w:t>
      </w:r>
      <w:r>
        <w:t>材料</w:t>
      </w:r>
      <w:r>
        <w:rPr>
          <w:rFonts w:hint="eastAsia"/>
        </w:rPr>
        <w:t>有限</w:t>
      </w:r>
      <w:r>
        <w:t>公司</w:t>
      </w:r>
      <w:r>
        <w:rPr>
          <w:rFonts w:hint="eastAsia"/>
        </w:rPr>
        <w:t>厂房与周边建筑物、道路等符合按功能合理分区要求。建构筑物的安全防火间距、耐火等级、防火分区面积、泄压、通风、安全疏散等达到国家规范、标准的要求。</w:t>
      </w:r>
    </w:p>
    <w:p w14:paraId="28E9C092">
      <w:pPr>
        <w:ind w:firstLine="480"/>
      </w:pPr>
      <w:r>
        <w:rPr>
          <w:rFonts w:hint="eastAsia"/>
        </w:rPr>
        <w:t>④</w:t>
      </w:r>
      <w:r>
        <w:t>安徽凯盛</w:t>
      </w:r>
      <w:r>
        <w:rPr>
          <w:rFonts w:hint="eastAsia"/>
        </w:rPr>
        <w:t>应用</w:t>
      </w:r>
      <w:r>
        <w:t>材料</w:t>
      </w:r>
      <w:r>
        <w:rPr>
          <w:rFonts w:hint="eastAsia"/>
        </w:rPr>
        <w:t>有限</w:t>
      </w:r>
      <w:r>
        <w:t>公司</w:t>
      </w:r>
      <w:r>
        <w:rPr>
          <w:rFonts w:hint="eastAsia"/>
        </w:rPr>
        <w:t>厂区总平面布置需符合防范事故的要求，并设必要的应急救援设施及救援通道。</w:t>
      </w:r>
    </w:p>
    <w:p w14:paraId="2A8D74E3">
      <w:pPr>
        <w:pStyle w:val="4068"/>
      </w:pPr>
      <w:bookmarkStart w:id="475" w:name="_Toc100784106"/>
      <w:bookmarkStart w:id="476" w:name="_Toc108662717"/>
      <w:bookmarkStart w:id="477" w:name="_Toc101135939"/>
      <w:r>
        <w:rPr>
          <w:rFonts w:hint="eastAsia"/>
        </w:rPr>
        <w:t>6.7.</w:t>
      </w:r>
      <w:r>
        <w:t>2废水环境风险防范措施</w:t>
      </w:r>
      <w:bookmarkEnd w:id="475"/>
      <w:bookmarkEnd w:id="476"/>
      <w:bookmarkEnd w:id="477"/>
    </w:p>
    <w:p w14:paraId="0FC9E5C2">
      <w:pPr>
        <w:ind w:firstLine="480"/>
      </w:pPr>
      <w:r>
        <w:rPr>
          <w:rFonts w:hint="eastAsia"/>
        </w:rPr>
        <w:t>（1）事故池</w:t>
      </w:r>
      <w:r>
        <w:t>设施</w:t>
      </w:r>
    </w:p>
    <w:p w14:paraId="4F800D48">
      <w:pPr>
        <w:ind w:firstLine="480"/>
        <w:rPr>
          <w:rFonts w:cs="Times New Roman"/>
        </w:rPr>
      </w:pPr>
      <w:r>
        <w:rPr>
          <w:rFonts w:hint="eastAsia" w:cs="Times New Roman"/>
        </w:rPr>
        <w:t>根据《事故状态下水体污染的预防与控制技术要求》（Q/SY1190-20</w:t>
      </w:r>
      <w:r>
        <w:rPr>
          <w:rFonts w:cs="Times New Roman"/>
        </w:rPr>
        <w:t>19</w:t>
      </w:r>
      <w:r>
        <w:rPr>
          <w:rFonts w:hint="eastAsia" w:cs="Times New Roman"/>
        </w:rPr>
        <w:t>）中的相关规定设置。事故池主要用于区内发生事故或火灾时，控制、收集和存放污染事故水（包括污染雨水）及污染消防水。污染事故水及污染消防水通过雨水的管道收集。事故应急水池容量按下式计算：</w:t>
      </w:r>
    </w:p>
    <w:p w14:paraId="7E8A59C5">
      <w:pPr>
        <w:ind w:firstLine="480"/>
        <w:jc w:val="center"/>
        <w:rPr>
          <w:rFonts w:cs="Times New Roman"/>
          <w:bCs/>
          <w:color w:val="000000"/>
        </w:rPr>
      </w:pPr>
      <w:r>
        <w:rPr>
          <w:rFonts w:cs="Times New Roman"/>
          <w:bCs/>
          <w:color w:val="000000"/>
        </w:rPr>
        <w:t>V</w:t>
      </w:r>
      <w:r>
        <w:rPr>
          <w:rFonts w:cs="Times New Roman"/>
          <w:bCs/>
          <w:color w:val="000000"/>
          <w:vertAlign w:val="subscript"/>
        </w:rPr>
        <w:t>总</w:t>
      </w:r>
      <w:r>
        <w:rPr>
          <w:rFonts w:cs="Times New Roman"/>
          <w:bCs/>
          <w:color w:val="000000"/>
        </w:rPr>
        <w:t>＝（V</w:t>
      </w:r>
      <w:r>
        <w:rPr>
          <w:rFonts w:cs="Times New Roman"/>
          <w:bCs/>
          <w:color w:val="000000"/>
          <w:vertAlign w:val="subscript"/>
        </w:rPr>
        <w:t>1</w:t>
      </w:r>
      <w:r>
        <w:rPr>
          <w:rFonts w:cs="Times New Roman"/>
          <w:bCs/>
          <w:color w:val="000000"/>
        </w:rPr>
        <w:t>＋V</w:t>
      </w:r>
      <w:r>
        <w:rPr>
          <w:rFonts w:cs="Times New Roman"/>
          <w:bCs/>
          <w:color w:val="000000"/>
          <w:vertAlign w:val="subscript"/>
        </w:rPr>
        <w:t>2</w:t>
      </w:r>
      <w:r>
        <w:rPr>
          <w:rFonts w:cs="Times New Roman"/>
          <w:bCs/>
          <w:color w:val="000000"/>
        </w:rPr>
        <w:t>－V</w:t>
      </w:r>
      <w:r>
        <w:rPr>
          <w:rFonts w:cs="Times New Roman"/>
          <w:bCs/>
          <w:color w:val="000000"/>
          <w:vertAlign w:val="subscript"/>
        </w:rPr>
        <w:t>3</w:t>
      </w:r>
      <w:r>
        <w:rPr>
          <w:rFonts w:cs="Times New Roman"/>
          <w:bCs/>
          <w:color w:val="000000"/>
        </w:rPr>
        <w:t>）</w:t>
      </w:r>
      <w:r>
        <w:rPr>
          <w:rFonts w:cs="Times New Roman"/>
          <w:bCs/>
          <w:color w:val="000000"/>
          <w:vertAlign w:val="subscript"/>
        </w:rPr>
        <w:t>max</w:t>
      </w:r>
      <w:r>
        <w:rPr>
          <w:rFonts w:cs="Times New Roman"/>
          <w:bCs/>
          <w:color w:val="000000"/>
        </w:rPr>
        <w:t>＋V</w:t>
      </w:r>
      <w:r>
        <w:rPr>
          <w:rFonts w:cs="Times New Roman"/>
          <w:bCs/>
          <w:color w:val="000000"/>
          <w:vertAlign w:val="subscript"/>
        </w:rPr>
        <w:t>4</w:t>
      </w:r>
      <w:r>
        <w:rPr>
          <w:rFonts w:cs="Times New Roman"/>
          <w:bCs/>
          <w:color w:val="000000"/>
        </w:rPr>
        <w:t>+V</w:t>
      </w:r>
      <w:r>
        <w:rPr>
          <w:rFonts w:cs="Times New Roman"/>
          <w:bCs/>
          <w:color w:val="000000"/>
          <w:vertAlign w:val="subscript"/>
        </w:rPr>
        <w:t>5</w:t>
      </w:r>
    </w:p>
    <w:p w14:paraId="1CA2D9DF">
      <w:pPr>
        <w:ind w:firstLine="472"/>
        <w:rPr>
          <w:rFonts w:cs="Times New Roman"/>
          <w:bCs/>
          <w:color w:val="000000"/>
        </w:rPr>
      </w:pPr>
      <w:r>
        <w:rPr>
          <w:rFonts w:cs="Times New Roman"/>
          <w:spacing w:val="-2"/>
          <w:kern w:val="0"/>
          <w:szCs w:val="20"/>
        </w:rPr>
        <w:t>式中：</w:t>
      </w:r>
      <w:r>
        <w:rPr>
          <w:rFonts w:cs="Times New Roman"/>
          <w:bCs/>
          <w:color w:val="000000"/>
        </w:rPr>
        <w:t>（V</w:t>
      </w:r>
      <w:r>
        <w:rPr>
          <w:rFonts w:cs="Times New Roman"/>
          <w:bCs/>
          <w:color w:val="000000"/>
          <w:vertAlign w:val="subscript"/>
        </w:rPr>
        <w:t>1</w:t>
      </w:r>
      <w:r>
        <w:rPr>
          <w:rFonts w:cs="Times New Roman"/>
          <w:bCs/>
          <w:color w:val="000000"/>
        </w:rPr>
        <w:t>＋V</w:t>
      </w:r>
      <w:r>
        <w:rPr>
          <w:rFonts w:cs="Times New Roman"/>
          <w:bCs/>
          <w:color w:val="000000"/>
          <w:vertAlign w:val="subscript"/>
        </w:rPr>
        <w:t>2</w:t>
      </w:r>
      <w:r>
        <w:rPr>
          <w:rFonts w:cs="Times New Roman"/>
          <w:bCs/>
          <w:color w:val="000000"/>
        </w:rPr>
        <w:t>-V</w:t>
      </w:r>
      <w:r>
        <w:rPr>
          <w:rFonts w:cs="Times New Roman"/>
          <w:bCs/>
          <w:color w:val="000000"/>
          <w:vertAlign w:val="subscript"/>
        </w:rPr>
        <w:t>3</w:t>
      </w:r>
      <w:r>
        <w:rPr>
          <w:rFonts w:cs="Times New Roman"/>
          <w:bCs/>
          <w:color w:val="000000"/>
        </w:rPr>
        <w:t>）</w:t>
      </w:r>
      <w:r>
        <w:rPr>
          <w:rFonts w:cs="Times New Roman"/>
          <w:bCs/>
          <w:color w:val="000000"/>
          <w:vertAlign w:val="subscript"/>
        </w:rPr>
        <w:t>max</w:t>
      </w:r>
      <w:r>
        <w:rPr>
          <w:rFonts w:cs="Times New Roman"/>
          <w:bCs/>
          <w:color w:val="000000"/>
        </w:rPr>
        <w:t>是指对收集系统范围内不同罐组或装置分别计算V</w:t>
      </w:r>
      <w:r>
        <w:rPr>
          <w:rFonts w:cs="Times New Roman"/>
          <w:bCs/>
          <w:color w:val="000000"/>
          <w:vertAlign w:val="subscript"/>
        </w:rPr>
        <w:t>1</w:t>
      </w:r>
      <w:r>
        <w:rPr>
          <w:rFonts w:cs="Times New Roman"/>
          <w:bCs/>
          <w:color w:val="000000"/>
        </w:rPr>
        <w:t>＋V</w:t>
      </w:r>
      <w:r>
        <w:rPr>
          <w:rFonts w:cs="Times New Roman"/>
          <w:bCs/>
          <w:color w:val="000000"/>
          <w:vertAlign w:val="subscript"/>
        </w:rPr>
        <w:t>2</w:t>
      </w:r>
      <w:r>
        <w:rPr>
          <w:rFonts w:cs="Times New Roman"/>
          <w:bCs/>
          <w:color w:val="000000"/>
        </w:rPr>
        <w:t>－V</w:t>
      </w:r>
      <w:r>
        <w:rPr>
          <w:rFonts w:cs="Times New Roman"/>
          <w:bCs/>
          <w:color w:val="000000"/>
          <w:vertAlign w:val="subscript"/>
        </w:rPr>
        <w:t>3</w:t>
      </w:r>
      <w:r>
        <w:rPr>
          <w:rFonts w:cs="Times New Roman"/>
          <w:bCs/>
          <w:color w:val="000000"/>
        </w:rPr>
        <w:t>，取其中最大值。</w:t>
      </w:r>
    </w:p>
    <w:p w14:paraId="2E8D0ADE">
      <w:pPr>
        <w:ind w:firstLine="480"/>
        <w:rPr>
          <w:rFonts w:cs="Times New Roman"/>
          <w:bCs/>
          <w:color w:val="000000"/>
        </w:rPr>
      </w:pPr>
      <w:r>
        <w:rPr>
          <w:rFonts w:cs="Times New Roman"/>
          <w:bCs/>
          <w:color w:val="000000"/>
        </w:rPr>
        <w:t>V</w:t>
      </w:r>
      <w:r>
        <w:rPr>
          <w:rFonts w:cs="Times New Roman"/>
          <w:bCs/>
          <w:color w:val="000000"/>
          <w:vertAlign w:val="subscript"/>
        </w:rPr>
        <w:t>1</w:t>
      </w:r>
      <w:r>
        <w:rPr>
          <w:rFonts w:cs="Times New Roman"/>
          <w:bCs/>
          <w:color w:val="000000"/>
        </w:rPr>
        <w:t>—收集系统范围内发生事故的一个罐组或一套装置的物料量；</w:t>
      </w:r>
    </w:p>
    <w:p w14:paraId="73E6ABBB">
      <w:pPr>
        <w:ind w:firstLine="480"/>
        <w:rPr>
          <w:rFonts w:cs="Times New Roman"/>
          <w:bCs/>
          <w:color w:val="000000"/>
        </w:rPr>
      </w:pPr>
      <w:r>
        <w:rPr>
          <w:rFonts w:cs="Times New Roman"/>
          <w:bCs/>
          <w:color w:val="000000"/>
        </w:rPr>
        <w:t>V</w:t>
      </w:r>
      <w:r>
        <w:rPr>
          <w:rFonts w:cs="Times New Roman"/>
          <w:bCs/>
          <w:color w:val="000000"/>
          <w:vertAlign w:val="subscript"/>
        </w:rPr>
        <w:t>2</w:t>
      </w:r>
      <w:r>
        <w:rPr>
          <w:rFonts w:cs="Times New Roman"/>
          <w:bCs/>
          <w:color w:val="000000"/>
        </w:rPr>
        <w:t>—发生事故的储罐或装置的消防水量，m</w:t>
      </w:r>
      <w:r>
        <w:rPr>
          <w:rFonts w:cs="Times New Roman"/>
          <w:bCs/>
          <w:color w:val="000000"/>
          <w:vertAlign w:val="superscript"/>
        </w:rPr>
        <w:t>3</w:t>
      </w:r>
      <w:r>
        <w:rPr>
          <w:rFonts w:cs="Times New Roman"/>
          <w:bCs/>
          <w:color w:val="000000"/>
        </w:rPr>
        <w:t>。</w:t>
      </w:r>
    </w:p>
    <w:p w14:paraId="735710E7">
      <w:pPr>
        <w:ind w:firstLine="480"/>
        <w:jc w:val="center"/>
        <w:rPr>
          <w:rFonts w:cs="Times New Roman"/>
          <w:bCs/>
          <w:color w:val="000000"/>
        </w:rPr>
      </w:pPr>
      <w:r>
        <w:rPr>
          <w:rFonts w:cs="Times New Roman"/>
          <w:bCs/>
          <w:color w:val="000000"/>
        </w:rPr>
        <w:t>V</w:t>
      </w:r>
      <w:r>
        <w:rPr>
          <w:rFonts w:cs="Times New Roman"/>
          <w:bCs/>
          <w:color w:val="000000"/>
          <w:vertAlign w:val="subscript"/>
        </w:rPr>
        <w:t>2</w:t>
      </w:r>
      <w:r>
        <w:rPr>
          <w:rFonts w:cs="Times New Roman"/>
          <w:bCs/>
          <w:color w:val="000000"/>
        </w:rPr>
        <w:t>=∑Q</w:t>
      </w:r>
      <w:r>
        <w:rPr>
          <w:rFonts w:cs="Times New Roman"/>
          <w:bCs/>
          <w:color w:val="000000"/>
          <w:vertAlign w:val="subscript"/>
        </w:rPr>
        <w:t>消</w:t>
      </w:r>
      <w:r>
        <w:rPr>
          <w:rFonts w:cs="Times New Roman"/>
          <w:bCs/>
          <w:color w:val="000000"/>
        </w:rPr>
        <w:t>t</w:t>
      </w:r>
      <w:r>
        <w:rPr>
          <w:rFonts w:cs="Times New Roman"/>
          <w:bCs/>
          <w:color w:val="000000"/>
          <w:vertAlign w:val="subscript"/>
        </w:rPr>
        <w:t>消</w:t>
      </w:r>
    </w:p>
    <w:p w14:paraId="6E306461">
      <w:pPr>
        <w:ind w:firstLine="480"/>
        <w:rPr>
          <w:rFonts w:cs="Times New Roman"/>
          <w:bCs/>
          <w:color w:val="000000"/>
        </w:rPr>
      </w:pPr>
      <w:r>
        <w:rPr>
          <w:rFonts w:cs="Times New Roman"/>
          <w:bCs/>
          <w:color w:val="000000"/>
        </w:rPr>
        <w:t>Q</w:t>
      </w:r>
      <w:r>
        <w:rPr>
          <w:rFonts w:cs="Times New Roman"/>
          <w:bCs/>
          <w:color w:val="000000"/>
          <w:vertAlign w:val="subscript"/>
        </w:rPr>
        <w:t>消</w:t>
      </w:r>
      <w:r>
        <w:rPr>
          <w:rFonts w:cs="Times New Roman"/>
          <w:bCs/>
          <w:color w:val="000000"/>
        </w:rPr>
        <w:t>—发生事故的储罐或装置的同时使用的消防设施给水流量，m</w:t>
      </w:r>
      <w:r>
        <w:rPr>
          <w:rFonts w:cs="Times New Roman"/>
          <w:bCs/>
          <w:color w:val="000000"/>
          <w:vertAlign w:val="superscript"/>
        </w:rPr>
        <w:t>3</w:t>
      </w:r>
      <w:r>
        <w:rPr>
          <w:rFonts w:cs="Times New Roman"/>
          <w:bCs/>
          <w:color w:val="000000"/>
        </w:rPr>
        <w:t>/h；</w:t>
      </w:r>
    </w:p>
    <w:p w14:paraId="5187BDD2">
      <w:pPr>
        <w:ind w:firstLine="480"/>
        <w:rPr>
          <w:rFonts w:cs="Times New Roman"/>
          <w:spacing w:val="-2"/>
          <w:kern w:val="0"/>
          <w:szCs w:val="20"/>
        </w:rPr>
      </w:pPr>
      <w:r>
        <w:rPr>
          <w:rFonts w:cs="Times New Roman"/>
          <w:bCs/>
          <w:color w:val="000000"/>
        </w:rPr>
        <w:t>t</w:t>
      </w:r>
      <w:r>
        <w:rPr>
          <w:rFonts w:cs="Times New Roman"/>
          <w:bCs/>
          <w:color w:val="000000"/>
          <w:vertAlign w:val="subscript"/>
        </w:rPr>
        <w:t>消</w:t>
      </w:r>
      <w:r>
        <w:rPr>
          <w:rFonts w:cs="Times New Roman"/>
          <w:bCs/>
          <w:color w:val="000000"/>
        </w:rPr>
        <w:t>—消防设施对应的设计消防历时，h</w:t>
      </w:r>
      <w:r>
        <w:rPr>
          <w:rFonts w:cs="Times New Roman"/>
          <w:spacing w:val="-2"/>
          <w:kern w:val="0"/>
          <w:szCs w:val="20"/>
        </w:rPr>
        <w:t>。</w:t>
      </w:r>
    </w:p>
    <w:p w14:paraId="5F8A005F">
      <w:pPr>
        <w:ind w:firstLine="480"/>
        <w:rPr>
          <w:rFonts w:cs="Times New Roman"/>
          <w:bCs/>
          <w:color w:val="000000"/>
        </w:rPr>
      </w:pPr>
      <w:r>
        <w:rPr>
          <w:rFonts w:cs="Times New Roman"/>
          <w:bCs/>
          <w:color w:val="000000"/>
        </w:rPr>
        <w:t>V</w:t>
      </w:r>
      <w:r>
        <w:rPr>
          <w:rFonts w:cs="Times New Roman"/>
          <w:bCs/>
          <w:color w:val="000000"/>
          <w:vertAlign w:val="subscript"/>
        </w:rPr>
        <w:t>3</w:t>
      </w:r>
      <w:r>
        <w:rPr>
          <w:rFonts w:cs="Times New Roman"/>
          <w:bCs/>
          <w:color w:val="000000"/>
        </w:rPr>
        <w:t>—发生事故时可以转输到其他储存或处理设施的物料量，m</w:t>
      </w:r>
      <w:r>
        <w:rPr>
          <w:rFonts w:cs="Times New Roman"/>
          <w:bCs/>
          <w:color w:val="000000"/>
          <w:vertAlign w:val="superscript"/>
        </w:rPr>
        <w:t>3</w:t>
      </w:r>
      <w:r>
        <w:rPr>
          <w:rFonts w:cs="Times New Roman"/>
          <w:bCs/>
          <w:color w:val="000000"/>
        </w:rPr>
        <w:t>；</w:t>
      </w:r>
    </w:p>
    <w:p w14:paraId="4C3D299B">
      <w:pPr>
        <w:ind w:firstLine="480"/>
        <w:rPr>
          <w:rFonts w:cs="Times New Roman"/>
          <w:bCs/>
          <w:color w:val="000000"/>
        </w:rPr>
      </w:pPr>
      <w:r>
        <w:rPr>
          <w:rFonts w:cs="Times New Roman"/>
          <w:bCs/>
          <w:color w:val="000000"/>
        </w:rPr>
        <w:t>V</w:t>
      </w:r>
      <w:r>
        <w:rPr>
          <w:rFonts w:cs="Times New Roman"/>
          <w:bCs/>
          <w:color w:val="000000"/>
          <w:vertAlign w:val="subscript"/>
        </w:rPr>
        <w:t>4</w:t>
      </w:r>
      <w:r>
        <w:rPr>
          <w:rFonts w:cs="Times New Roman"/>
          <w:bCs/>
          <w:color w:val="000000"/>
        </w:rPr>
        <w:t>—发生事故时仍必须进入该收集系统的生产废水量，m</w:t>
      </w:r>
      <w:r>
        <w:rPr>
          <w:rFonts w:cs="Times New Roman"/>
          <w:bCs/>
          <w:color w:val="000000"/>
          <w:vertAlign w:val="superscript"/>
        </w:rPr>
        <w:t>3</w:t>
      </w:r>
      <w:r>
        <w:rPr>
          <w:rFonts w:cs="Times New Roman"/>
          <w:bCs/>
          <w:color w:val="000000"/>
        </w:rPr>
        <w:t>；</w:t>
      </w:r>
    </w:p>
    <w:p w14:paraId="61720B21">
      <w:pPr>
        <w:ind w:firstLine="480"/>
        <w:rPr>
          <w:rFonts w:cs="Times New Roman"/>
          <w:bCs/>
          <w:color w:val="000000"/>
        </w:rPr>
      </w:pPr>
      <w:r>
        <w:rPr>
          <w:rFonts w:cs="Times New Roman"/>
          <w:bCs/>
          <w:color w:val="000000"/>
        </w:rPr>
        <w:t>V</w:t>
      </w:r>
      <w:r>
        <w:rPr>
          <w:rFonts w:cs="Times New Roman"/>
          <w:bCs/>
          <w:color w:val="000000"/>
          <w:vertAlign w:val="subscript"/>
        </w:rPr>
        <w:t>5</w:t>
      </w:r>
      <w:r>
        <w:rPr>
          <w:rFonts w:cs="Times New Roman"/>
          <w:bCs/>
          <w:color w:val="000000"/>
        </w:rPr>
        <w:t>—发生事故时可能进入该收集系统的降雨量，m</w:t>
      </w:r>
      <w:r>
        <w:rPr>
          <w:rFonts w:cs="Times New Roman"/>
          <w:bCs/>
          <w:color w:val="000000"/>
          <w:vertAlign w:val="superscript"/>
        </w:rPr>
        <w:t>3</w:t>
      </w:r>
      <w:r>
        <w:rPr>
          <w:rFonts w:cs="Times New Roman"/>
          <w:bCs/>
          <w:color w:val="000000"/>
        </w:rPr>
        <w:t>。</w:t>
      </w:r>
    </w:p>
    <w:p w14:paraId="6F21D970">
      <w:pPr>
        <w:ind w:firstLine="480"/>
        <w:jc w:val="center"/>
        <w:rPr>
          <w:rFonts w:cs="Times New Roman"/>
          <w:bCs/>
          <w:color w:val="000000"/>
        </w:rPr>
      </w:pPr>
      <w:r>
        <w:rPr>
          <w:rFonts w:cs="Times New Roman"/>
          <w:bCs/>
          <w:color w:val="000000"/>
        </w:rPr>
        <w:t>V</w:t>
      </w:r>
      <w:r>
        <w:rPr>
          <w:rFonts w:cs="Times New Roman"/>
          <w:bCs/>
          <w:color w:val="000000"/>
          <w:vertAlign w:val="subscript"/>
        </w:rPr>
        <w:t>5</w:t>
      </w:r>
      <w:r>
        <w:rPr>
          <w:rFonts w:cs="Times New Roman"/>
          <w:bCs/>
          <w:color w:val="000000"/>
        </w:rPr>
        <w:t>＝10qF</w:t>
      </w:r>
    </w:p>
    <w:p w14:paraId="009F7F79">
      <w:pPr>
        <w:ind w:firstLine="480"/>
        <w:rPr>
          <w:rFonts w:cs="Times New Roman"/>
          <w:bCs/>
          <w:color w:val="000000"/>
        </w:rPr>
      </w:pPr>
      <w:r>
        <w:rPr>
          <w:rFonts w:cs="Times New Roman"/>
          <w:bCs/>
          <w:color w:val="000000"/>
        </w:rPr>
        <w:t>q—降雨强度，mm；按平均日降雨量；</w:t>
      </w:r>
    </w:p>
    <w:p w14:paraId="01E9FA16">
      <w:pPr>
        <w:ind w:firstLine="480"/>
        <w:jc w:val="center"/>
        <w:rPr>
          <w:rFonts w:cs="Times New Roman"/>
          <w:bCs/>
          <w:color w:val="000000"/>
        </w:rPr>
      </w:pPr>
      <w:r>
        <w:rPr>
          <w:rFonts w:cs="Times New Roman"/>
          <w:bCs/>
          <w:color w:val="000000"/>
        </w:rPr>
        <w:t>q=q</w:t>
      </w:r>
      <w:r>
        <w:rPr>
          <w:rFonts w:cs="Times New Roman"/>
          <w:bCs/>
          <w:color w:val="000000"/>
          <w:vertAlign w:val="subscript"/>
        </w:rPr>
        <w:t>a</w:t>
      </w:r>
      <w:r>
        <w:rPr>
          <w:rFonts w:cs="Times New Roman"/>
          <w:bCs/>
          <w:color w:val="000000"/>
        </w:rPr>
        <w:t>/n</w:t>
      </w:r>
    </w:p>
    <w:p w14:paraId="082BC928">
      <w:pPr>
        <w:ind w:firstLine="480"/>
        <w:rPr>
          <w:rFonts w:cs="Times New Roman"/>
          <w:bCs/>
          <w:color w:val="000000"/>
        </w:rPr>
      </w:pPr>
      <w:r>
        <w:rPr>
          <w:rFonts w:cs="Times New Roman"/>
          <w:bCs/>
          <w:color w:val="000000"/>
        </w:rPr>
        <w:t>q</w:t>
      </w:r>
      <w:r>
        <w:rPr>
          <w:rFonts w:cs="Times New Roman"/>
          <w:bCs/>
          <w:color w:val="000000"/>
          <w:vertAlign w:val="subscript"/>
        </w:rPr>
        <w:t>a</w:t>
      </w:r>
      <w:r>
        <w:rPr>
          <w:rFonts w:cs="Times New Roman"/>
          <w:bCs/>
          <w:color w:val="000000"/>
        </w:rPr>
        <w:t>—年平均降雨量，mm；</w:t>
      </w:r>
    </w:p>
    <w:p w14:paraId="12D0B41F">
      <w:pPr>
        <w:ind w:firstLine="480"/>
        <w:rPr>
          <w:rFonts w:cs="Times New Roman"/>
          <w:bCs/>
          <w:color w:val="000000"/>
        </w:rPr>
      </w:pPr>
      <w:r>
        <w:rPr>
          <w:rFonts w:cs="Times New Roman"/>
          <w:bCs/>
          <w:color w:val="000000"/>
        </w:rPr>
        <w:t>n—年平均降雨日数；</w:t>
      </w:r>
    </w:p>
    <w:p w14:paraId="6B9AD762">
      <w:pPr>
        <w:ind w:firstLine="480"/>
        <w:rPr>
          <w:rFonts w:cs="Times New Roman"/>
          <w:bCs/>
          <w:color w:val="000000"/>
        </w:rPr>
      </w:pPr>
      <w:r>
        <w:rPr>
          <w:rFonts w:cs="Times New Roman"/>
          <w:bCs/>
          <w:color w:val="000000"/>
        </w:rPr>
        <w:t>F—必须进入事故废水收集系统的雨水汇水面积，hm</w:t>
      </w:r>
      <w:r>
        <w:rPr>
          <w:rFonts w:cs="Times New Roman"/>
          <w:bCs/>
          <w:color w:val="000000"/>
          <w:vertAlign w:val="superscript"/>
        </w:rPr>
        <w:t>2</w:t>
      </w:r>
      <w:r>
        <w:rPr>
          <w:rFonts w:cs="Times New Roman"/>
          <w:bCs/>
          <w:color w:val="000000"/>
        </w:rPr>
        <w:t>。</w:t>
      </w:r>
    </w:p>
    <w:p w14:paraId="2E45AE55">
      <w:pPr>
        <w:ind w:firstLine="480"/>
        <w:rPr>
          <w:rFonts w:cs="Times New Roman"/>
          <w:bCs/>
          <w:color w:val="000000"/>
        </w:rPr>
      </w:pPr>
      <w:r>
        <w:rPr>
          <w:rFonts w:cs="Times New Roman"/>
          <w:bCs/>
          <w:color w:val="000000"/>
        </w:rPr>
        <w:t>罐区防火堤内容积可作为事故排水储存有效容积。</w:t>
      </w:r>
    </w:p>
    <w:p w14:paraId="423DC3BA">
      <w:pPr>
        <w:ind w:firstLine="480"/>
      </w:pPr>
      <w:r>
        <w:rPr>
          <w:rFonts w:hint="eastAsia"/>
        </w:rPr>
        <w:t>①事故状态下物料量(V</w:t>
      </w:r>
      <w:r>
        <w:rPr>
          <w:rFonts w:hint="eastAsia"/>
          <w:vertAlign w:val="subscript"/>
        </w:rPr>
        <w:t>1</w:t>
      </w:r>
      <w:r>
        <w:rPr>
          <w:rFonts w:hint="eastAsia"/>
        </w:rPr>
        <w:t>)：设计区域内中有甲醇储罐，以甲醇储罐</w:t>
      </w:r>
      <w:r>
        <w:t>全部泄漏计</w:t>
      </w:r>
      <w:r>
        <w:rPr>
          <w:rFonts w:hint="eastAsia"/>
        </w:rPr>
        <w:t>，则事故状态下的物料量V</w:t>
      </w:r>
      <w:r>
        <w:rPr>
          <w:rFonts w:hint="eastAsia"/>
          <w:vertAlign w:val="subscript"/>
        </w:rPr>
        <w:t>1</w:t>
      </w:r>
      <w:r>
        <w:rPr>
          <w:rFonts w:hint="eastAsia"/>
        </w:rPr>
        <w:t>为</w:t>
      </w:r>
      <w:r>
        <w:t>254</w:t>
      </w:r>
      <w:r>
        <w:rPr>
          <w:rFonts w:hint="eastAsia"/>
        </w:rPr>
        <w:t>m</w:t>
      </w:r>
      <w:r>
        <w:rPr>
          <w:rFonts w:hint="eastAsia"/>
          <w:vertAlign w:val="superscript"/>
        </w:rPr>
        <w:t>3</w:t>
      </w:r>
      <w:r>
        <w:rPr>
          <w:rFonts w:hint="eastAsia"/>
        </w:rPr>
        <w:t>。</w:t>
      </w:r>
    </w:p>
    <w:p w14:paraId="568A9009">
      <w:pPr>
        <w:ind w:firstLine="480"/>
        <w:rPr>
          <w:rFonts w:cs="Times New Roman"/>
        </w:rPr>
      </w:pPr>
      <w:r>
        <w:rPr>
          <w:rFonts w:hint="eastAsia" w:cs="Times New Roman"/>
        </w:rPr>
        <w:t>②消防用水量(V</w:t>
      </w:r>
      <w:r>
        <w:rPr>
          <w:rFonts w:hint="eastAsia" w:cs="Times New Roman"/>
          <w:vertAlign w:val="subscript"/>
        </w:rPr>
        <w:t>2</w:t>
      </w:r>
      <w:r>
        <w:rPr>
          <w:rFonts w:hint="eastAsia" w:cs="Times New Roman"/>
        </w:rPr>
        <w:t>)：一次灭火消防最大用水量建筑为原料库，消火栓用水量为</w:t>
      </w:r>
      <w:r>
        <w:rPr>
          <w:rFonts w:cs="Times New Roman"/>
        </w:rPr>
        <w:t>60</w:t>
      </w:r>
      <w:r>
        <w:rPr>
          <w:rFonts w:hint="eastAsia" w:cs="Times New Roman"/>
        </w:rPr>
        <w:t>L/s，火灾延续时间为</w:t>
      </w:r>
      <w:r>
        <w:rPr>
          <w:rFonts w:cs="Times New Roman"/>
        </w:rPr>
        <w:t>3</w:t>
      </w:r>
      <w:r>
        <w:rPr>
          <w:rFonts w:hint="eastAsia" w:cs="Times New Roman"/>
        </w:rPr>
        <w:t>h。则最大消防用水量V</w:t>
      </w:r>
      <w:r>
        <w:rPr>
          <w:rFonts w:hint="eastAsia" w:cs="Times New Roman"/>
          <w:vertAlign w:val="subscript"/>
        </w:rPr>
        <w:t>2</w:t>
      </w:r>
      <w:r>
        <w:rPr>
          <w:rFonts w:hint="eastAsia" w:cs="Times New Roman"/>
        </w:rPr>
        <w:t>为</w:t>
      </w:r>
      <w:r>
        <w:rPr>
          <w:rFonts w:cs="Times New Roman"/>
        </w:rPr>
        <w:t>648</w:t>
      </w:r>
      <w:r>
        <w:rPr>
          <w:rFonts w:hint="eastAsia" w:cs="Times New Roman"/>
        </w:rPr>
        <w:t>m</w:t>
      </w:r>
      <w:r>
        <w:rPr>
          <w:rFonts w:hint="eastAsia" w:cs="Times New Roman"/>
          <w:vertAlign w:val="superscript"/>
        </w:rPr>
        <w:t>3</w:t>
      </w:r>
      <w:r>
        <w:rPr>
          <w:rFonts w:hint="eastAsia" w:cs="Times New Roman"/>
        </w:rPr>
        <w:t>。</w:t>
      </w:r>
    </w:p>
    <w:p w14:paraId="1CC47E77">
      <w:pPr>
        <w:ind w:firstLine="480"/>
        <w:rPr>
          <w:rFonts w:cs="Times New Roman"/>
          <w:bCs/>
          <w:color w:val="000000"/>
        </w:rPr>
      </w:pPr>
      <w:r>
        <w:rPr>
          <w:rFonts w:hint="eastAsia" w:cs="Times New Roman"/>
        </w:rPr>
        <w:t>③</w:t>
      </w:r>
      <w:r>
        <w:rPr>
          <w:rFonts w:cs="Times New Roman"/>
          <w:bCs/>
          <w:color w:val="000000"/>
        </w:rPr>
        <w:t>发生事故时可以转输到其他储存或处理设施的物料量</w:t>
      </w:r>
      <w:r>
        <w:rPr>
          <w:rFonts w:hint="eastAsia" w:cs="Times New Roman"/>
        </w:rPr>
        <w:t>(V</w:t>
      </w:r>
      <w:r>
        <w:rPr>
          <w:rFonts w:hint="eastAsia" w:cs="Times New Roman"/>
          <w:vertAlign w:val="subscript"/>
        </w:rPr>
        <w:t>3</w:t>
      </w:r>
      <w:r>
        <w:rPr>
          <w:rFonts w:hint="eastAsia" w:cs="Times New Roman"/>
        </w:rPr>
        <w:t>)：</w:t>
      </w:r>
      <w:r>
        <w:rPr>
          <w:rFonts w:cs="Times New Roman"/>
          <w:bCs/>
          <w:color w:val="000000"/>
        </w:rPr>
        <w:t>不考虑移走的量</w:t>
      </w:r>
      <w:r>
        <w:rPr>
          <w:rFonts w:hint="eastAsia" w:cs="Times New Roman"/>
          <w:bCs/>
          <w:color w:val="000000"/>
        </w:rPr>
        <w:t>，</w:t>
      </w:r>
      <w:r>
        <w:rPr>
          <w:rFonts w:cs="Times New Roman"/>
          <w:bCs/>
          <w:color w:val="000000"/>
        </w:rPr>
        <w:t>V</w:t>
      </w:r>
      <w:r>
        <w:rPr>
          <w:rFonts w:cs="Times New Roman"/>
          <w:bCs/>
          <w:color w:val="000000"/>
          <w:vertAlign w:val="subscript"/>
        </w:rPr>
        <w:t>3</w:t>
      </w:r>
      <w:r>
        <w:rPr>
          <w:rFonts w:cs="Times New Roman"/>
          <w:bCs/>
          <w:color w:val="000000"/>
        </w:rPr>
        <w:t>=0</w:t>
      </w:r>
      <w:r>
        <w:rPr>
          <w:rFonts w:hint="eastAsia"/>
        </w:rPr>
        <w:t>m</w:t>
      </w:r>
      <w:r>
        <w:rPr>
          <w:rFonts w:hint="eastAsia"/>
          <w:vertAlign w:val="superscript"/>
        </w:rPr>
        <w:t>3</w:t>
      </w:r>
      <w:r>
        <w:rPr>
          <w:rFonts w:cs="Times New Roman"/>
          <w:bCs/>
          <w:color w:val="000000"/>
        </w:rPr>
        <w:t>。</w:t>
      </w:r>
    </w:p>
    <w:p w14:paraId="393462DD">
      <w:pPr>
        <w:ind w:firstLine="480"/>
        <w:rPr>
          <w:rFonts w:cs="Times New Roman"/>
        </w:rPr>
      </w:pPr>
      <w:r>
        <w:rPr>
          <w:rFonts w:hint="eastAsia" w:cs="Times New Roman"/>
        </w:rPr>
        <w:t>④发生</w:t>
      </w:r>
      <w:r>
        <w:rPr>
          <w:rFonts w:cs="Times New Roman"/>
        </w:rPr>
        <w:t>事故时扔必须进入该</w:t>
      </w:r>
      <w:r>
        <w:rPr>
          <w:rFonts w:hint="eastAsia" w:cs="Times New Roman"/>
        </w:rPr>
        <w:t>收集</w:t>
      </w:r>
      <w:r>
        <w:rPr>
          <w:rFonts w:cs="Times New Roman"/>
        </w:rPr>
        <w:t>系统的生产废水量(V</w:t>
      </w:r>
      <w:r>
        <w:rPr>
          <w:rFonts w:cs="Times New Roman"/>
          <w:vertAlign w:val="subscript"/>
        </w:rPr>
        <w:t>4</w:t>
      </w:r>
      <w:r>
        <w:rPr>
          <w:rFonts w:hint="eastAsia" w:cs="Times New Roman"/>
        </w:rPr>
        <w:t>)：</w:t>
      </w:r>
      <w:r>
        <w:rPr>
          <w:rFonts w:cs="Times New Roman"/>
        </w:rPr>
        <w:t>V</w:t>
      </w:r>
      <w:r>
        <w:rPr>
          <w:rFonts w:cs="Times New Roman"/>
          <w:vertAlign w:val="subscript"/>
        </w:rPr>
        <w:t>4</w:t>
      </w:r>
      <w:r>
        <w:rPr>
          <w:rFonts w:cs="Times New Roman"/>
        </w:rPr>
        <w:t>=0m</w:t>
      </w:r>
      <w:r>
        <w:rPr>
          <w:rFonts w:cs="Times New Roman"/>
          <w:vertAlign w:val="superscript"/>
        </w:rPr>
        <w:t>3</w:t>
      </w:r>
      <w:r>
        <w:rPr>
          <w:rFonts w:hint="eastAsia" w:cs="Times New Roman"/>
        </w:rPr>
        <w:t>。</w:t>
      </w:r>
    </w:p>
    <w:p w14:paraId="29C184A4">
      <w:pPr>
        <w:ind w:firstLine="480"/>
        <w:rPr>
          <w:rFonts w:cs="Times New Roman"/>
        </w:rPr>
      </w:pPr>
      <w:r>
        <w:rPr>
          <w:rFonts w:hint="eastAsia" w:cs="Times New Roman"/>
        </w:rPr>
        <w:t>⑤年平均降雨量</w:t>
      </w:r>
      <w:r>
        <w:rPr>
          <w:rFonts w:cs="Times New Roman"/>
        </w:rPr>
        <w:t>1195.7mm</w:t>
      </w:r>
      <w:r>
        <w:rPr>
          <w:rFonts w:hint="eastAsia" w:cs="Times New Roman"/>
        </w:rPr>
        <w:t>，年平均雨日</w:t>
      </w:r>
      <w:r>
        <w:rPr>
          <w:rFonts w:cs="Times New Roman"/>
        </w:rPr>
        <w:t>105</w:t>
      </w:r>
      <w:r>
        <w:rPr>
          <w:rFonts w:hint="eastAsia" w:cs="Times New Roman"/>
        </w:rPr>
        <w:t>天，汇水面积</w:t>
      </w:r>
      <w:r>
        <w:rPr>
          <w:rFonts w:cs="Times New Roman"/>
        </w:rPr>
        <w:t>5.73hm</w:t>
      </w:r>
      <w:r>
        <w:rPr>
          <w:rFonts w:cs="Times New Roman"/>
          <w:vertAlign w:val="superscript"/>
        </w:rPr>
        <w:t>2</w:t>
      </w:r>
      <w:r>
        <w:rPr>
          <w:rFonts w:hint="eastAsia" w:cs="Times New Roman"/>
        </w:rPr>
        <w:t>，</w:t>
      </w:r>
      <w:r>
        <w:rPr>
          <w:rFonts w:cs="Times New Roman"/>
        </w:rPr>
        <w:t>V</w:t>
      </w:r>
      <w:r>
        <w:rPr>
          <w:rFonts w:cs="Times New Roman"/>
          <w:vertAlign w:val="subscript"/>
        </w:rPr>
        <w:t>5</w:t>
      </w:r>
      <w:r>
        <w:rPr>
          <w:rFonts w:cs="Times New Roman"/>
        </w:rPr>
        <w:t>=652m</w:t>
      </w:r>
      <w:r>
        <w:rPr>
          <w:rFonts w:cs="Times New Roman"/>
          <w:vertAlign w:val="superscript"/>
        </w:rPr>
        <w:t>3</w:t>
      </w:r>
      <w:r>
        <w:rPr>
          <w:rFonts w:hint="eastAsia" w:cs="Times New Roman"/>
        </w:rPr>
        <w:t>。</w:t>
      </w:r>
    </w:p>
    <w:p w14:paraId="000A3E94">
      <w:pPr>
        <w:ind w:firstLine="480"/>
        <w:jc w:val="center"/>
        <w:rPr>
          <w:rFonts w:cs="Times New Roman"/>
          <w:bCs/>
          <w:color w:val="000000"/>
        </w:rPr>
      </w:pPr>
      <w:r>
        <w:rPr>
          <w:rFonts w:cs="Times New Roman"/>
          <w:bCs/>
          <w:color w:val="000000"/>
        </w:rPr>
        <w:t>V</w:t>
      </w:r>
      <w:r>
        <w:rPr>
          <w:rFonts w:cs="Times New Roman"/>
          <w:bCs/>
          <w:color w:val="000000"/>
          <w:vertAlign w:val="subscript"/>
        </w:rPr>
        <w:t>事故池</w:t>
      </w:r>
      <w:r>
        <w:rPr>
          <w:rFonts w:cs="Times New Roman"/>
          <w:bCs/>
          <w:color w:val="000000"/>
        </w:rPr>
        <w:t>=</w:t>
      </w:r>
      <w:r>
        <w:rPr>
          <w:rFonts w:hint="eastAsia" w:cs="Times New Roman"/>
          <w:bCs/>
          <w:color w:val="000000"/>
        </w:rPr>
        <w:t>(</w:t>
      </w:r>
      <w:r>
        <w:rPr>
          <w:rFonts w:cs="Times New Roman"/>
          <w:bCs/>
          <w:color w:val="000000"/>
        </w:rPr>
        <w:t>254+648-0)+0+652=1554</w:t>
      </w:r>
      <w:r>
        <w:rPr>
          <w:rFonts w:cs="Times New Roman"/>
        </w:rPr>
        <w:t>m</w:t>
      </w:r>
      <w:r>
        <w:rPr>
          <w:rFonts w:cs="Times New Roman"/>
          <w:vertAlign w:val="superscript"/>
        </w:rPr>
        <w:t>3</w:t>
      </w:r>
    </w:p>
    <w:p w14:paraId="240F73AE">
      <w:pPr>
        <w:ind w:firstLine="480"/>
        <w:rPr>
          <w:rFonts w:cs="Times New Roman"/>
        </w:rPr>
      </w:pPr>
      <w:r>
        <w:rPr>
          <w:rFonts w:hint="eastAsia" w:cs="Times New Roman"/>
        </w:rPr>
        <w:t>企业设置</w:t>
      </w:r>
      <w:r>
        <w:rPr>
          <w:rFonts w:cs="Times New Roman"/>
        </w:rPr>
        <w:t>事故池容量为1800m</w:t>
      </w:r>
      <w:r>
        <w:rPr>
          <w:rFonts w:cs="Times New Roman"/>
          <w:vertAlign w:val="superscript"/>
        </w:rPr>
        <w:t>3</w:t>
      </w:r>
      <w:r>
        <w:rPr>
          <w:rFonts w:cs="Times New Roman"/>
        </w:rPr>
        <w:t>，能够容纳事故废水量</w:t>
      </w:r>
      <w:r>
        <w:rPr>
          <w:rFonts w:hint="eastAsia" w:cs="Times New Roman"/>
        </w:rPr>
        <w:t>。</w:t>
      </w:r>
    </w:p>
    <w:p w14:paraId="7FD5B1BA">
      <w:pPr>
        <w:ind w:firstLine="480"/>
      </w:pPr>
      <w:r>
        <w:rPr>
          <w:rFonts w:hint="eastAsia"/>
        </w:rPr>
        <w:t>（2）三级防控</w:t>
      </w:r>
      <w:r>
        <w:t>体系</w:t>
      </w:r>
    </w:p>
    <w:p w14:paraId="44101A0A">
      <w:pPr>
        <w:ind w:firstLine="480"/>
      </w:pPr>
      <w:r>
        <w:rPr>
          <w:rFonts w:hint="eastAsia"/>
        </w:rPr>
        <w:t>①一级</w:t>
      </w:r>
      <w:r>
        <w:t>防控措施</w:t>
      </w:r>
    </w:p>
    <w:p w14:paraId="38C3DA02">
      <w:pPr>
        <w:ind w:firstLine="480"/>
      </w:pPr>
      <w:r>
        <w:rPr>
          <w:rFonts w:hint="eastAsia"/>
        </w:rPr>
        <w:t>物料贮存</w:t>
      </w:r>
      <w:r>
        <w:t>区设置围堰和防火堤，对事故情况</w:t>
      </w:r>
      <w:r>
        <w:rPr>
          <w:rFonts w:hint="eastAsia"/>
        </w:rPr>
        <w:t>下</w:t>
      </w:r>
      <w:r>
        <w:t>泄漏的</w:t>
      </w:r>
      <w:r>
        <w:rPr>
          <w:rFonts w:hint="eastAsia"/>
        </w:rPr>
        <w:t>物料及消防废水进行收集控制，防止泄漏物料扩散；围堰及防火堤设污水与雨水下水切换阀门，正常及事故情况下针对不同废水实施分流排放控制。</w:t>
      </w:r>
    </w:p>
    <w:p w14:paraId="4C8F598A">
      <w:pPr>
        <w:ind w:firstLine="480"/>
        <w:rPr>
          <w:rFonts w:cs="Times New Roman"/>
        </w:rPr>
      </w:pPr>
      <w:r>
        <w:rPr>
          <w:rFonts w:hint="eastAsia" w:cs="Times New Roman"/>
        </w:rPr>
        <w:t>②二级防控措施</w:t>
      </w:r>
    </w:p>
    <w:p w14:paraId="326AE2AB">
      <w:pPr>
        <w:ind w:firstLine="480"/>
      </w:pPr>
      <w:r>
        <w:rPr>
          <w:rFonts w:hint="eastAsia"/>
        </w:rPr>
        <w:t>当围堰液位上升过快时打开切换阀门，将污水引入事故水池，根据污染水质情况调送至污水系统进行处理；在车间周围设置地沟，事故一旦发生，将事故废水或者物料通过地沟收集。</w:t>
      </w:r>
    </w:p>
    <w:p w14:paraId="4986844D">
      <w:pPr>
        <w:ind w:firstLine="480"/>
        <w:rPr>
          <w:rFonts w:cs="Times New Roman"/>
        </w:rPr>
      </w:pPr>
      <w:r>
        <w:rPr>
          <w:rFonts w:hint="eastAsia" w:cs="Times New Roman"/>
        </w:rPr>
        <w:t>③三级防控措施</w:t>
      </w:r>
    </w:p>
    <w:p w14:paraId="488E5111">
      <w:pPr>
        <w:ind w:firstLine="480"/>
      </w:pPr>
      <w:r>
        <w:rPr>
          <w:rFonts w:hint="eastAsia"/>
        </w:rPr>
        <w:t>厂区拦截，在厂区内集、排水系统管网中设置排污闸板。在厂区排水系统总排放口设置排污闸板，防止事故废水未经处理排入园区区污水处理厂而对其造成冲击负荷。在厂区雨水收集系统排放口前端设置雨、污双向阀门，雨水阀门可将排水排入雨水管网，污水阀门可将来水引入事故池。当发生原料泄漏或火灾事故产生消防废水后能及时关闭雨水阀门同时开启污水阀门，保证事故后废水能及时导入事故池，防止有毒物质或消防废水通过雨水管网排入外环境。</w:t>
      </w:r>
    </w:p>
    <w:p w14:paraId="16C8E3E0">
      <w:pPr>
        <w:ind w:firstLine="480"/>
      </w:pPr>
      <w:r>
        <w:t>项目建成后，事故废水防范和处理流程见下图6.7.2-1。</w:t>
      </w:r>
    </w:p>
    <w:p w14:paraId="33DAD507">
      <w:pPr>
        <w:ind w:firstLine="0" w:firstLineChars="0"/>
        <w:jc w:val="center"/>
      </w:pPr>
      <w:r>
        <w:object>
          <v:shape id="_x0000_i1031" o:spt="75" type="#_x0000_t75" style="height:360pt;width:390pt;" o:ole="t" filled="f" o:preferrelative="t" stroked="f" coordsize="21600,21600">
            <v:path/>
            <v:fill on="f" focussize="0,0"/>
            <v:stroke on="f" joinstyle="miter"/>
            <v:imagedata r:id="rId128" cropleft="22117f" croptop="14654f" cropright="23419f" cropbottom="15972f" o:title=""/>
            <o:lock v:ext="edit" aspectratio="t"/>
            <w10:wrap type="none"/>
            <w10:anchorlock/>
          </v:shape>
          <o:OLEObject Type="Embed" ProgID="AutoCAD.Drawing.22" ShapeID="_x0000_i1031" DrawAspect="Content" ObjectID="_1468075736" r:id="rId127">
            <o:LockedField>false</o:LockedField>
          </o:OLEObject>
        </w:object>
      </w:r>
    </w:p>
    <w:p w14:paraId="6D2B4069">
      <w:pPr>
        <w:pStyle w:val="278"/>
      </w:pPr>
      <w:r>
        <w:t>图6.7.2-1  事故废水防范和处理流程示意图</w:t>
      </w:r>
    </w:p>
    <w:p w14:paraId="2F52F84D">
      <w:pPr>
        <w:ind w:firstLine="480"/>
      </w:pPr>
      <w:r>
        <w:t>废水收集流程说明：</w:t>
      </w:r>
    </w:p>
    <w:p w14:paraId="1D0C7B11">
      <w:pPr>
        <w:ind w:firstLine="480"/>
      </w:pPr>
      <w:r>
        <w:t>项目建成后，全厂实施清污分流和雨污分流。雨水系统收集雨水，污水系统收集生产废水。</w:t>
      </w:r>
    </w:p>
    <w:p w14:paraId="02D9ED88">
      <w:pPr>
        <w:ind w:firstLine="480"/>
      </w:pPr>
      <w:r>
        <w:t>正常生产情况下，阀门4、5开启，阀门1、2、3关闭，对于初期雨水的收集可通过关闭阀门1，开启阀门2进行收集，并用泵送至污水站进行处理。</w:t>
      </w:r>
    </w:p>
    <w:p w14:paraId="7D7A3047">
      <w:pPr>
        <w:ind w:firstLine="480"/>
      </w:pPr>
      <w:r>
        <w:t>事故状况下，消防尾水流入雨水系统时通过开启阀门2，经初期雨水收集池收集，同时通过泵1送至</w:t>
      </w:r>
      <w:r>
        <w:rPr>
          <w:rFonts w:hint="eastAsia"/>
        </w:rPr>
        <w:t>应急</w:t>
      </w:r>
      <w:r>
        <w:t>事故池；</w:t>
      </w:r>
      <w:r>
        <w:rPr>
          <w:rFonts w:hint="eastAsia"/>
        </w:rPr>
        <w:t>物料</w:t>
      </w:r>
      <w:r>
        <w:t>贮存区泄漏物料、消防尾水经</w:t>
      </w:r>
      <w:r>
        <w:rPr>
          <w:rFonts w:hint="eastAsia"/>
        </w:rPr>
        <w:t>厂区</w:t>
      </w:r>
      <w:r>
        <w:t>收集池收集后通过泵2送入</w:t>
      </w:r>
      <w:r>
        <w:rPr>
          <w:rFonts w:hint="eastAsia"/>
        </w:rPr>
        <w:t>应急</w:t>
      </w:r>
      <w:r>
        <w:t>事故池；</w:t>
      </w:r>
      <w:r>
        <w:rPr>
          <w:rFonts w:hint="eastAsia"/>
        </w:rPr>
        <w:t>污水处理站</w:t>
      </w:r>
      <w:r>
        <w:t>设施有故障时，则开启阀门3、关闭阀门4，送入事故池暂存。事故池收集的事故水通过泵分批分次送厂内污水处理站处理，处理达到接管标准后排入沫河口污水处理厂集中处理。</w:t>
      </w:r>
    </w:p>
    <w:p w14:paraId="539B04A3">
      <w:pPr>
        <w:ind w:firstLine="480"/>
      </w:pPr>
      <w:r>
        <w:rPr>
          <w:rFonts w:hint="eastAsia"/>
        </w:rPr>
        <w:t>（</w:t>
      </w:r>
      <w:r>
        <w:t>3</w:t>
      </w:r>
      <w:r>
        <w:rPr>
          <w:rFonts w:hint="eastAsia"/>
        </w:rPr>
        <w:t>）其他注意事项</w:t>
      </w:r>
    </w:p>
    <w:p w14:paraId="7D0DC0E5">
      <w:pPr>
        <w:ind w:firstLine="480"/>
      </w:pPr>
      <w:r>
        <w:rPr>
          <w:rFonts w:hint="eastAsia"/>
        </w:rPr>
        <w:t>①项目建成后，消防废水应根据火灾发生的具体物料及消防废水监测浓度，将消防废水逐步引入厂内废水处理站处理，厂内无法处理该废水达标时，委托其他单位处理。</w:t>
      </w:r>
    </w:p>
    <w:p w14:paraId="13AE0FAC">
      <w:pPr>
        <w:ind w:firstLine="480"/>
      </w:pPr>
      <w:r>
        <w:rPr>
          <w:rFonts w:hint="eastAsia"/>
        </w:rPr>
        <w:t>②项目建成后，如厂区污水处理站发生风险事故，可将超标废水引入事故池，待污水处理站风险事故处理后，可将事故废水按照5%左右的比例泵入污水处理系统重新进行处理达标后排放，厂内无法处理该废水达标时，委托其他单位处理。</w:t>
      </w:r>
    </w:p>
    <w:p w14:paraId="179C0457">
      <w:pPr>
        <w:ind w:firstLine="480"/>
      </w:pPr>
      <w:r>
        <w:rPr>
          <w:rFonts w:hint="eastAsia"/>
        </w:rPr>
        <w:t>项目建成</w:t>
      </w:r>
      <w:r>
        <w:t>后全厂雨污水管网</w:t>
      </w:r>
      <w:r>
        <w:rPr>
          <w:rFonts w:hint="eastAsia"/>
        </w:rPr>
        <w:t>走向</w:t>
      </w:r>
      <w:r>
        <w:t>示意图见附图</w:t>
      </w:r>
      <w:r>
        <w:rPr>
          <w:rFonts w:hint="eastAsia"/>
        </w:rPr>
        <w:t>6.7.</w:t>
      </w:r>
      <w:r>
        <w:t>2-2</w:t>
      </w:r>
      <w:r>
        <w:rPr>
          <w:rFonts w:hint="eastAsia"/>
        </w:rPr>
        <w:t>。</w:t>
      </w:r>
    </w:p>
    <w:p w14:paraId="575F42B0">
      <w:pPr>
        <w:ind w:firstLine="482"/>
        <w:rPr>
          <w:rFonts w:cs="Times New Roman"/>
          <w:b/>
          <w:color w:val="000000"/>
        </w:rPr>
      </w:pPr>
      <w:r>
        <w:rPr>
          <w:rFonts w:hint="eastAsia" w:cs="Times New Roman"/>
          <w:b/>
          <w:color w:val="000000"/>
        </w:rPr>
        <w:t>（3）废水</w:t>
      </w:r>
      <w:r>
        <w:rPr>
          <w:rFonts w:cs="Times New Roman"/>
          <w:b/>
          <w:color w:val="000000"/>
        </w:rPr>
        <w:t>处理设施</w:t>
      </w:r>
      <w:r>
        <w:rPr>
          <w:rFonts w:hint="eastAsia" w:cs="Times New Roman"/>
          <w:b/>
          <w:color w:val="000000"/>
        </w:rPr>
        <w:t>风险</w:t>
      </w:r>
      <w:r>
        <w:rPr>
          <w:rFonts w:cs="Times New Roman"/>
          <w:b/>
          <w:color w:val="000000"/>
        </w:rPr>
        <w:t>防范措施</w:t>
      </w:r>
    </w:p>
    <w:p w14:paraId="7C8E45E8">
      <w:pPr>
        <w:ind w:firstLine="480"/>
      </w:pPr>
      <w:r>
        <w:rPr>
          <w:rFonts w:hint="eastAsia"/>
        </w:rPr>
        <w:t>①项目运营期污水管网应明管，按行业要求做防腐防渗措施，自行监测及在线监测需按现行规定执行；</w:t>
      </w:r>
    </w:p>
    <w:p w14:paraId="791CCBAA">
      <w:pPr>
        <w:ind w:firstLine="480"/>
      </w:pPr>
      <w:r>
        <w:rPr>
          <w:rFonts w:hint="eastAsia"/>
        </w:rPr>
        <w:t>②加强对废水处理站的日常检查，做好记录备查；</w:t>
      </w:r>
    </w:p>
    <w:p w14:paraId="60BE38A9">
      <w:pPr>
        <w:ind w:firstLine="480"/>
      </w:pPr>
      <w:r>
        <w:rPr>
          <w:rFonts w:hint="eastAsia"/>
        </w:rPr>
        <w:t>③对废水处理站设备进行定期保养，尽可能减少设备事故性停运；</w:t>
      </w:r>
    </w:p>
    <w:p w14:paraId="7C9087A1">
      <w:pPr>
        <w:ind w:firstLine="480"/>
      </w:pPr>
      <w:r>
        <w:rPr>
          <w:rFonts w:hint="eastAsia"/>
        </w:rPr>
        <w:t>④废水处理站做好每日的进出水水质分析，严格监控接管废水的水质情况；</w:t>
      </w:r>
    </w:p>
    <w:p w14:paraId="4FB01C54">
      <w:pPr>
        <w:ind w:firstLine="480"/>
      </w:pPr>
      <w:r>
        <w:rPr>
          <w:rFonts w:hint="eastAsia"/>
        </w:rPr>
        <w:t>⑤扩建项目新建</w:t>
      </w:r>
      <w:r>
        <w:t>1800</w:t>
      </w:r>
      <w:r>
        <w:rPr>
          <w:rFonts w:hint="eastAsia"/>
        </w:rPr>
        <w:t>m</w:t>
      </w:r>
      <w:r>
        <w:rPr>
          <w:rFonts w:hint="eastAsia"/>
          <w:vertAlign w:val="superscript"/>
        </w:rPr>
        <w:t>3</w:t>
      </w:r>
      <w:r>
        <w:rPr>
          <w:rFonts w:hint="eastAsia"/>
        </w:rPr>
        <w:t>事故应急池，雨污水排放口设置切断装置，发生事故时，及时拉开排污口切断装置，将事故废水引入事故池，经处理达标后排放。</w:t>
      </w:r>
    </w:p>
    <w:p w14:paraId="323BB1A3">
      <w:pPr>
        <w:pStyle w:val="4068"/>
      </w:pPr>
      <w:bookmarkStart w:id="478" w:name="_Toc100784107"/>
      <w:bookmarkStart w:id="479" w:name="_Toc101135940"/>
      <w:bookmarkStart w:id="480" w:name="_Toc108662718"/>
      <w:r>
        <w:rPr>
          <w:rFonts w:hint="eastAsia"/>
        </w:rPr>
        <w:t>6.7.</w:t>
      </w:r>
      <w:r>
        <w:t>3</w:t>
      </w:r>
      <w:r>
        <w:rPr>
          <w:rFonts w:hint="eastAsia"/>
        </w:rPr>
        <w:t>地下水环境风险</w:t>
      </w:r>
      <w:r>
        <w:t>防范</w:t>
      </w:r>
      <w:bookmarkEnd w:id="478"/>
      <w:bookmarkEnd w:id="479"/>
      <w:bookmarkEnd w:id="480"/>
    </w:p>
    <w:p w14:paraId="371A7C01">
      <w:pPr>
        <w:ind w:firstLine="482"/>
        <w:rPr>
          <w:b/>
        </w:rPr>
      </w:pPr>
      <w:r>
        <w:rPr>
          <w:rFonts w:hint="eastAsia"/>
          <w:b/>
        </w:rPr>
        <w:t>（1）危废</w:t>
      </w:r>
      <w:r>
        <w:rPr>
          <w:b/>
        </w:rPr>
        <w:t>暂存</w:t>
      </w:r>
      <w:r>
        <w:rPr>
          <w:rFonts w:hint="eastAsia"/>
          <w:b/>
        </w:rPr>
        <w:t>风险</w:t>
      </w:r>
      <w:r>
        <w:rPr>
          <w:b/>
        </w:rPr>
        <w:t>防范措施</w:t>
      </w:r>
    </w:p>
    <w:p w14:paraId="0E13F846">
      <w:pPr>
        <w:ind w:firstLine="480"/>
      </w:pPr>
      <w:r>
        <w:rPr>
          <w:rFonts w:hint="eastAsia"/>
        </w:rPr>
        <w:t>①危险废物暂存场所必须严格按照国家标准和规范进行设置，必须设置防渗、防漏、防腐、防雨等防范措施。</w:t>
      </w:r>
    </w:p>
    <w:p w14:paraId="2F285AF7">
      <w:pPr>
        <w:ind w:firstLine="480"/>
      </w:pPr>
      <w:r>
        <w:rPr>
          <w:rFonts w:hint="eastAsia"/>
        </w:rPr>
        <w:t>②危险废物暂存场所设置了便于危险废物泄漏的收集处理的设施；</w:t>
      </w:r>
    </w:p>
    <w:p w14:paraId="3A367EC9">
      <w:pPr>
        <w:ind w:firstLine="480"/>
      </w:pPr>
      <w:r>
        <w:rPr>
          <w:rFonts w:hint="eastAsia"/>
        </w:rPr>
        <w:t>③在暂存场所内，各危险废物种类必须分类储存，并设置相应的标签，标明危废的来源，具体的成分，主要成分的性质和泄漏、火灾等处置方式，不得混合储存，各储存分区之间必须设置相应的防护距离，防止发生连锁反应。</w:t>
      </w:r>
    </w:p>
    <w:p w14:paraId="57AAC2AE">
      <w:pPr>
        <w:ind w:firstLine="480"/>
      </w:pPr>
      <w:r>
        <w:rPr>
          <w:rFonts w:hint="eastAsia"/>
        </w:rPr>
        <w:t>④危险废物暂存场所应安装危废在线监控系统，并在厂区门口安装危废监控视频，严格监控危废的贮存和管理情况，并且与当地环保部门联网。</w:t>
      </w:r>
    </w:p>
    <w:p w14:paraId="4CFB68FF">
      <w:pPr>
        <w:ind w:firstLine="482"/>
        <w:rPr>
          <w:rFonts w:cs="Times New Roman"/>
          <w:b/>
          <w:color w:val="000000"/>
        </w:rPr>
      </w:pPr>
      <w:r>
        <w:rPr>
          <w:rFonts w:hint="eastAsia"/>
          <w:b/>
        </w:rPr>
        <w:t>（2）</w:t>
      </w:r>
      <w:r>
        <w:rPr>
          <w:rFonts w:cs="Times New Roman"/>
          <w:b/>
          <w:color w:val="000000"/>
        </w:rPr>
        <w:t>其他注意事项</w:t>
      </w:r>
    </w:p>
    <w:p w14:paraId="63F7EC08">
      <w:pPr>
        <w:ind w:firstLine="480"/>
      </w:pPr>
      <w:r>
        <w:rPr>
          <w:rFonts w:hint="eastAsia"/>
        </w:rPr>
        <w:t>地下水</w:t>
      </w:r>
      <w:r>
        <w:t>环境</w:t>
      </w:r>
      <w:r>
        <w:rPr>
          <w:rFonts w:hint="eastAsia"/>
        </w:rPr>
        <w:t>风险</w:t>
      </w:r>
      <w:r>
        <w:t>防范措施</w:t>
      </w:r>
      <w:r>
        <w:rPr>
          <w:rFonts w:hint="eastAsia"/>
        </w:rPr>
        <w:t>主要</w:t>
      </w:r>
      <w:r>
        <w:t>采取</w:t>
      </w:r>
      <w:r>
        <w:rPr>
          <w:rFonts w:hint="eastAsia"/>
        </w:rPr>
        <w:t>源头</w:t>
      </w:r>
      <w:r>
        <w:t>控制和分区防渗，具体见章节6</w:t>
      </w:r>
      <w:r>
        <w:rPr>
          <w:rFonts w:hint="eastAsia"/>
        </w:rPr>
        <w:t>.5。</w:t>
      </w:r>
    </w:p>
    <w:p w14:paraId="3A6E147E">
      <w:pPr>
        <w:pStyle w:val="4068"/>
      </w:pPr>
      <w:bookmarkStart w:id="481" w:name="_Toc100784108"/>
      <w:bookmarkStart w:id="482" w:name="_Toc108662719"/>
      <w:bookmarkStart w:id="483" w:name="_Toc101135941"/>
      <w:r>
        <w:rPr>
          <w:rFonts w:hint="eastAsia"/>
        </w:rPr>
        <w:t>6.7.</w:t>
      </w:r>
      <w:r>
        <w:t>4</w:t>
      </w:r>
      <w:r>
        <w:rPr>
          <w:rFonts w:hint="eastAsia"/>
        </w:rPr>
        <w:t>监控</w:t>
      </w:r>
      <w:r>
        <w:t>系统及</w:t>
      </w:r>
      <w:r>
        <w:rPr>
          <w:rFonts w:hint="eastAsia"/>
        </w:rPr>
        <w:t>应急监测</w:t>
      </w:r>
      <w:r>
        <w:t>管理</w:t>
      </w:r>
      <w:bookmarkEnd w:id="481"/>
      <w:bookmarkEnd w:id="482"/>
      <w:bookmarkEnd w:id="483"/>
    </w:p>
    <w:p w14:paraId="2C1500F6">
      <w:pPr>
        <w:ind w:firstLine="480"/>
      </w:pPr>
      <w:r>
        <w:rPr>
          <w:rFonts w:hint="eastAsia"/>
        </w:rPr>
        <w:t>针对</w:t>
      </w:r>
      <w:r>
        <w:t>生产车间配备了DCS控制系统、视频监控系统和消防报警按钮，反应釜配备了安全阀等。</w:t>
      </w:r>
    </w:p>
    <w:p w14:paraId="3CD2B961">
      <w:pPr>
        <w:ind w:firstLine="480"/>
      </w:pPr>
      <w:r>
        <w:t>生产车间均配备了可燃</w:t>
      </w:r>
      <w:r>
        <w:rPr>
          <w:rFonts w:hint="eastAsia"/>
        </w:rPr>
        <w:t>和</w:t>
      </w:r>
      <w:r>
        <w:t>有毒气体报警仪，对</w:t>
      </w:r>
      <w:r>
        <w:rPr>
          <w:rFonts w:hint="eastAsia"/>
        </w:rPr>
        <w:t>甲醇等</w:t>
      </w:r>
      <w:r>
        <w:t>可燃气体</w:t>
      </w:r>
      <w:r>
        <w:rPr>
          <w:rFonts w:hint="eastAsia"/>
        </w:rPr>
        <w:t>和</w:t>
      </w:r>
      <w:r>
        <w:t>氯化氢</w:t>
      </w:r>
      <w:r>
        <w:rPr>
          <w:rFonts w:hint="eastAsia"/>
        </w:rPr>
        <w:t>等</w:t>
      </w:r>
      <w:r>
        <w:t>有毒气体进行检测。</w:t>
      </w:r>
    </w:p>
    <w:p w14:paraId="7B1E9A2C">
      <w:pPr>
        <w:pStyle w:val="4068"/>
      </w:pPr>
      <w:bookmarkStart w:id="484" w:name="_Toc108662720"/>
      <w:bookmarkStart w:id="485" w:name="_Toc101135942"/>
      <w:bookmarkStart w:id="486" w:name="_Toc100784109"/>
      <w:bookmarkStart w:id="487" w:name="_Toc52175615"/>
      <w:r>
        <w:rPr>
          <w:rFonts w:hint="eastAsia"/>
        </w:rPr>
        <w:t>6.7.</w:t>
      </w:r>
      <w:r>
        <w:t>5建立与园区对接、联动的风险防范体系</w:t>
      </w:r>
      <w:bookmarkEnd w:id="484"/>
      <w:bookmarkEnd w:id="485"/>
      <w:bookmarkEnd w:id="486"/>
      <w:bookmarkEnd w:id="487"/>
    </w:p>
    <w:p w14:paraId="600D8551">
      <w:pPr>
        <w:ind w:firstLine="480"/>
      </w:pPr>
      <w:r>
        <w:t>安徽凯盛</w:t>
      </w:r>
      <w:r>
        <w:rPr>
          <w:rFonts w:hint="eastAsia"/>
        </w:rPr>
        <w:t>应用</w:t>
      </w:r>
      <w:r>
        <w:t>材料</w:t>
      </w:r>
      <w:r>
        <w:rPr>
          <w:rFonts w:hint="eastAsia"/>
        </w:rPr>
        <w:t>有限</w:t>
      </w:r>
      <w:r>
        <w:t>公司</w:t>
      </w:r>
      <w:r>
        <w:rPr>
          <w:rFonts w:hint="eastAsia"/>
        </w:rPr>
        <w:t>环境风险防范应建立与园区对接、联动的风险防范体系。可从以下几个方面进行建设：</w:t>
      </w:r>
    </w:p>
    <w:p w14:paraId="01C04DAB">
      <w:pPr>
        <w:ind w:firstLine="480"/>
      </w:pPr>
      <w:r>
        <w:rPr>
          <w:rFonts w:hint="eastAsia"/>
        </w:rPr>
        <w:t>（1）</w:t>
      </w:r>
      <w:r>
        <w:t>安徽凯盛</w:t>
      </w:r>
      <w:r>
        <w:rPr>
          <w:rFonts w:hint="eastAsia"/>
        </w:rPr>
        <w:t>应用</w:t>
      </w:r>
      <w:r>
        <w:t>材料</w:t>
      </w:r>
      <w:r>
        <w:rPr>
          <w:rFonts w:hint="eastAsia"/>
        </w:rPr>
        <w:t>有限</w:t>
      </w:r>
      <w:r>
        <w:t>公司</w:t>
      </w:r>
      <w:r>
        <w:rPr>
          <w:rFonts w:hint="eastAsia"/>
        </w:rPr>
        <w:t>应建立厂内各生产车间的联动体系，并在预案中予以体现。一旦某车间发生燃爆等事故，相邻车间乃至全厂可根据事故发生的性质、大小，决定是否需要立即停产，是否需要切断污染源、风险源，防止造成连锁反应，甚至多米诺骨牌效应。</w:t>
      </w:r>
    </w:p>
    <w:p w14:paraId="49705969">
      <w:pPr>
        <w:ind w:firstLine="480"/>
      </w:pPr>
      <w:r>
        <w:rPr>
          <w:rFonts w:hint="eastAsia"/>
        </w:rPr>
        <w:t>（2）建设畅通的信息通道，使</w:t>
      </w:r>
      <w:r>
        <w:t>安徽凯盛</w:t>
      </w:r>
      <w:r>
        <w:rPr>
          <w:rFonts w:hint="eastAsia"/>
        </w:rPr>
        <w:t>应用</w:t>
      </w:r>
      <w:r>
        <w:t>材料</w:t>
      </w:r>
      <w:r>
        <w:rPr>
          <w:rFonts w:hint="eastAsia"/>
        </w:rPr>
        <w:t>有限</w:t>
      </w:r>
      <w:r>
        <w:t>公司</w:t>
      </w:r>
      <w:r>
        <w:rPr>
          <w:rFonts w:hint="eastAsia"/>
        </w:rPr>
        <w:t>应急指挥部必须与周边企业、园区管委会保持24小时的电话联系。一旦发生风险事故，可在第一时间通知相关单位组织居民疏散、撤离。</w:t>
      </w:r>
    </w:p>
    <w:p w14:paraId="7622E523">
      <w:pPr>
        <w:ind w:firstLine="480"/>
      </w:pPr>
      <w:r>
        <w:rPr>
          <w:rFonts w:hint="eastAsia"/>
        </w:rPr>
        <w:t>（3）</w:t>
      </w:r>
      <w:r>
        <w:t>安徽凯盛</w:t>
      </w:r>
      <w:r>
        <w:rPr>
          <w:rFonts w:hint="eastAsia"/>
        </w:rPr>
        <w:t>应用</w:t>
      </w:r>
      <w:r>
        <w:t>材料</w:t>
      </w:r>
      <w:r>
        <w:rPr>
          <w:rFonts w:hint="eastAsia"/>
        </w:rPr>
        <w:t>有限</w:t>
      </w:r>
      <w:r>
        <w:t>公司</w:t>
      </w:r>
      <w:r>
        <w:rPr>
          <w:rFonts w:hint="eastAsia"/>
        </w:rPr>
        <w:t>所使用的危险化学品种类及数量应及时上报园区救援中心，并将可能发生的事故类型及对应的救援方案纳入园区风险管理体系。</w:t>
      </w:r>
    </w:p>
    <w:p w14:paraId="33BD784F">
      <w:pPr>
        <w:ind w:firstLine="480"/>
      </w:pPr>
      <w:r>
        <w:t>（4）园区救援中心应建立入区企业事故类型、应急物资数据库，一旦区内某一家企业发生风险事故，可立即调配其余企业的同类型救援物资进行救援，构筑</w:t>
      </w:r>
      <w:r>
        <w:rPr>
          <w:rFonts w:asciiTheme="minorEastAsia" w:hAnsiTheme="minorEastAsia" w:eastAsiaTheme="minorEastAsia"/>
        </w:rPr>
        <w:t>“</w:t>
      </w:r>
      <w:r>
        <w:t>一家有难，集体联动</w:t>
      </w:r>
      <w:r>
        <w:rPr>
          <w:rFonts w:asciiTheme="minorEastAsia" w:hAnsiTheme="minorEastAsia" w:eastAsiaTheme="minorEastAsia"/>
        </w:rPr>
        <w:t>”</w:t>
      </w:r>
      <w:r>
        <w:t>的防范体系。</w:t>
      </w:r>
    </w:p>
    <w:p w14:paraId="06BD4DA3">
      <w:pPr>
        <w:pStyle w:val="4068"/>
        <w:rPr>
          <w:color w:val="000000" w:themeColor="text1"/>
          <w14:textFill>
            <w14:solidFill>
              <w14:schemeClr w14:val="tx1"/>
            </w14:solidFill>
          </w14:textFill>
        </w:rPr>
      </w:pPr>
      <w:bookmarkStart w:id="488" w:name="_Toc52175611"/>
      <w:bookmarkStart w:id="489" w:name="_Toc101135943"/>
      <w:bookmarkStart w:id="490" w:name="_Toc108662721"/>
      <w:bookmarkStart w:id="491" w:name="_Toc100784110"/>
      <w:r>
        <w:rPr>
          <w:rFonts w:hint="eastAsia"/>
          <w:color w:val="000000" w:themeColor="text1"/>
          <w14:textFill>
            <w14:solidFill>
              <w14:schemeClr w14:val="tx1"/>
            </w14:solidFill>
          </w14:textFill>
        </w:rPr>
        <w:t>6.7.</w:t>
      </w:r>
      <w:r>
        <w:rPr>
          <w:color w:val="000000" w:themeColor="text1"/>
          <w14:textFill>
            <w14:solidFill>
              <w14:schemeClr w14:val="tx1"/>
            </w14:solidFill>
          </w14:textFill>
        </w:rPr>
        <w:t>6次/伴生污染防治措施</w:t>
      </w:r>
      <w:bookmarkEnd w:id="488"/>
      <w:bookmarkEnd w:id="489"/>
      <w:bookmarkEnd w:id="490"/>
      <w:bookmarkEnd w:id="491"/>
    </w:p>
    <w:p w14:paraId="27581F03">
      <w:pPr>
        <w:ind w:firstLine="480"/>
      </w:pPr>
      <w:r>
        <w:t>发生火灾后，首先，要进行灭火，降低着火时间，采取喷水洗消等措施减少烟尘、CO等燃烧产物对环境空气造成的影响；</w:t>
      </w:r>
    </w:p>
    <w:p w14:paraId="7AAA83CA">
      <w:pPr>
        <w:ind w:firstLine="480"/>
      </w:pPr>
      <w:r>
        <w:t>事故救援过程中产生的喷淋废水和消防废水应引入厂内事故池暂时收集，分批送入厂内污水处理站处理；</w:t>
      </w:r>
    </w:p>
    <w:p w14:paraId="7A8EC415">
      <w:pPr>
        <w:ind w:firstLine="480"/>
      </w:pPr>
      <w:r>
        <w:t>其它废灭火剂、拦截、堵漏材料等在事故排放后统一收集送有资质单位进行处理。特别应注意的是，对于可能引起沸溅、发生二次反应物料的泄漏，应使用覆土、砂石等材料覆盖，尽量避免使用消防水抢救，防止产生二次污染</w:t>
      </w:r>
      <w:r>
        <w:rPr>
          <w:rFonts w:hint="eastAsia"/>
        </w:rPr>
        <w:t>。</w:t>
      </w:r>
    </w:p>
    <w:p w14:paraId="52054274">
      <w:pPr>
        <w:pStyle w:val="4068"/>
      </w:pPr>
      <w:bookmarkStart w:id="492" w:name="_Toc52175614"/>
      <w:bookmarkStart w:id="493" w:name="_Toc100784111"/>
      <w:bookmarkStart w:id="494" w:name="_Toc108662722"/>
      <w:bookmarkStart w:id="495" w:name="_Toc101135944"/>
      <w:r>
        <w:rPr>
          <w:rFonts w:hint="eastAsia"/>
        </w:rPr>
        <w:t>6.7.</w:t>
      </w:r>
      <w:r>
        <w:t>7消防及火灾报警系统</w:t>
      </w:r>
      <w:bookmarkEnd w:id="492"/>
      <w:bookmarkEnd w:id="493"/>
      <w:bookmarkEnd w:id="494"/>
      <w:bookmarkEnd w:id="495"/>
    </w:p>
    <w:p w14:paraId="2ED33A7A">
      <w:pPr>
        <w:ind w:firstLine="480"/>
      </w:pPr>
      <w:r>
        <w:rPr>
          <w:rFonts w:hint="eastAsia"/>
        </w:rPr>
        <w:t>消防系统包括水消防和泡沫消防，以及移动式灭火系统。水消防服务于全厂建构筑物火灾事故和主装置的辅助消防任务；全装置设计各类移动灭火器，负责扑救局部小型火灾。</w:t>
      </w:r>
    </w:p>
    <w:p w14:paraId="78772818">
      <w:pPr>
        <w:ind w:firstLine="480"/>
      </w:pPr>
      <w:r>
        <w:rPr>
          <w:rFonts w:hint="eastAsia"/>
        </w:rPr>
        <w:t>本项目生产装置区设计火灾报警系统、自动水消防和泡沫消防系统；罐区配备水喷淋装置，遇火灾、爆炸可起到灭火、冷却容器等作用。</w:t>
      </w:r>
    </w:p>
    <w:p w14:paraId="0E4A0F64">
      <w:pPr>
        <w:pStyle w:val="4068"/>
      </w:pPr>
      <w:bookmarkStart w:id="496" w:name="_Toc100784112"/>
      <w:bookmarkStart w:id="497" w:name="_Toc101135945"/>
      <w:bookmarkStart w:id="498" w:name="_Toc108662723"/>
      <w:r>
        <w:rPr>
          <w:rFonts w:hint="eastAsia"/>
        </w:rPr>
        <w:t>6.7.</w:t>
      </w:r>
      <w:r>
        <w:t>8其它风险事故防范措施</w:t>
      </w:r>
      <w:bookmarkEnd w:id="496"/>
      <w:bookmarkEnd w:id="497"/>
      <w:bookmarkEnd w:id="498"/>
    </w:p>
    <w:p w14:paraId="4A3D2DBE">
      <w:pPr>
        <w:ind w:firstLine="480"/>
        <w:rPr>
          <w:rFonts w:cs="Times New Roman"/>
          <w:color w:val="000000"/>
        </w:rPr>
      </w:pPr>
      <w:r>
        <w:rPr>
          <w:rFonts w:cs="Times New Roman"/>
          <w:color w:val="000000"/>
        </w:rPr>
        <w:t>（1）环境安全教育等要纳入企业经营管理范畴，完善环境安全组织结构；成立事故应急救援指挥领导小组，组织专业救援队伍，明确各自职责，并配备相应的应急设施、设备和材料。</w:t>
      </w:r>
    </w:p>
    <w:p w14:paraId="2810B7A1">
      <w:pPr>
        <w:ind w:firstLine="480"/>
        <w:rPr>
          <w:rFonts w:cs="Times New Roman"/>
          <w:color w:val="000000"/>
        </w:rPr>
      </w:pPr>
      <w:r>
        <w:rPr>
          <w:rFonts w:cs="Times New Roman"/>
          <w:color w:val="000000"/>
        </w:rPr>
        <w:t>（2）企业定期更新周边敏感目标、应急专家库、可请求救援的应急队伍等联系方式。</w:t>
      </w:r>
    </w:p>
    <w:p w14:paraId="24615AA8">
      <w:pPr>
        <w:ind w:firstLine="480"/>
        <w:rPr>
          <w:rFonts w:cs="Times New Roman"/>
          <w:color w:val="000000"/>
        </w:rPr>
      </w:pPr>
      <w:r>
        <w:rPr>
          <w:rFonts w:cs="Times New Roman"/>
          <w:color w:val="000000"/>
        </w:rPr>
        <w:t>（3）建、构筑物的防雷等级符合《建筑物防雷设计规范》（GB50057-2010）的设计规定，防雷接地装置的冲击接地电阻应小于10Ω。</w:t>
      </w:r>
    </w:p>
    <w:p w14:paraId="45DF973A">
      <w:pPr>
        <w:ind w:firstLine="480"/>
        <w:rPr>
          <w:rFonts w:cs="Times New Roman"/>
          <w:color w:val="000000"/>
        </w:rPr>
      </w:pPr>
      <w:r>
        <w:rPr>
          <w:rFonts w:cs="Times New Roman"/>
          <w:color w:val="000000"/>
        </w:rPr>
        <w:t>（4）应定期对厂区周围1km范围内的职工分发防火、防爆常识的宣传手册。</w:t>
      </w:r>
    </w:p>
    <w:p w14:paraId="2DB96EC1">
      <w:pPr>
        <w:pStyle w:val="4068"/>
      </w:pPr>
      <w:bookmarkStart w:id="499" w:name="_Toc101135946"/>
      <w:bookmarkStart w:id="500" w:name="_Toc108662724"/>
      <w:bookmarkStart w:id="501" w:name="_Toc100784113"/>
      <w:r>
        <w:rPr>
          <w:rFonts w:hint="eastAsia"/>
        </w:rPr>
        <w:t>6.7.</w:t>
      </w:r>
      <w:r>
        <w:t>9事故应急预案</w:t>
      </w:r>
      <w:bookmarkEnd w:id="499"/>
      <w:bookmarkEnd w:id="500"/>
      <w:bookmarkEnd w:id="501"/>
    </w:p>
    <w:p w14:paraId="3DDA9E0E">
      <w:pPr>
        <w:ind w:firstLine="480"/>
        <w:rPr>
          <w:rFonts w:cs="Times New Roman"/>
          <w:color w:val="000000"/>
        </w:rPr>
      </w:pPr>
      <w:r>
        <w:rPr>
          <w:rFonts w:cs="Times New Roman"/>
          <w:color w:val="000000"/>
        </w:rPr>
        <w:t>本项目建成运行后，生产过程中涉及多种有毒有害物质，存在一定的环境风险隐患。</w:t>
      </w:r>
    </w:p>
    <w:p w14:paraId="06EE64EB">
      <w:pPr>
        <w:ind w:firstLine="480"/>
        <w:rPr>
          <w:rFonts w:cs="Times New Roman"/>
          <w:color w:val="000000"/>
        </w:rPr>
      </w:pPr>
      <w:r>
        <w:rPr>
          <w:rFonts w:cs="Times New Roman"/>
          <w:color w:val="000000"/>
        </w:rPr>
        <w:t>针对可能发生的环境污染事件，为迅速、有序地开展环境应急行动，本评价要求，企业应参照《石油化工企业环境应急预案编制指南》(环办[2010]10号)、《关于加强突发环境事件应急预案管理工作的通知》(环察函[2012]699号)要求，编制企业环境风险应急预案。并按《企业事业单位突发环境事件应急预案备案管理办法(试行)》要求，向项目所在地环境保护主管部门备案，并与园区及园区企业建立应急联动。</w:t>
      </w:r>
    </w:p>
    <w:p w14:paraId="02A23915">
      <w:pPr>
        <w:ind w:firstLine="480"/>
        <w:rPr>
          <w:rFonts w:cs="Times New Roman"/>
          <w:color w:val="000000"/>
          <w:kern w:val="0"/>
        </w:rPr>
      </w:pPr>
      <w:r>
        <w:rPr>
          <w:rFonts w:cs="Times New Roman"/>
          <w:color w:val="000000"/>
          <w:kern w:val="0"/>
        </w:rPr>
        <w:t>本评价参考相关规范要求，列出应急预案编制内容要求汇总见表</w:t>
      </w:r>
      <w:r>
        <w:rPr>
          <w:rFonts w:cs="Times New Roman"/>
          <w:color w:val="000000"/>
        </w:rPr>
        <w:t>6.7</w:t>
      </w:r>
      <w:r>
        <w:rPr>
          <w:rFonts w:eastAsia="黑体" w:cs="Times New Roman"/>
          <w:color w:val="000000"/>
        </w:rPr>
        <w:t>.9-1</w:t>
      </w:r>
      <w:r>
        <w:rPr>
          <w:rFonts w:cs="Times New Roman"/>
          <w:color w:val="000000"/>
          <w:kern w:val="0"/>
        </w:rPr>
        <w:t>。</w:t>
      </w:r>
    </w:p>
    <w:p w14:paraId="24748677">
      <w:pPr>
        <w:spacing w:line="500" w:lineRule="exact"/>
        <w:ind w:firstLine="480"/>
        <w:jc w:val="center"/>
        <w:rPr>
          <w:rFonts w:eastAsia="黑体" w:cs="Times New Roman"/>
          <w:color w:val="000000"/>
        </w:rPr>
      </w:pPr>
      <w:r>
        <w:rPr>
          <w:rFonts w:eastAsia="黑体" w:cs="Times New Roman"/>
          <w:color w:val="000000"/>
        </w:rPr>
        <w:t>表</w:t>
      </w:r>
      <w:r>
        <w:rPr>
          <w:rFonts w:cs="Times New Roman"/>
          <w:color w:val="000000"/>
        </w:rPr>
        <w:t>6.7</w:t>
      </w:r>
      <w:r>
        <w:rPr>
          <w:rFonts w:eastAsia="黑体" w:cs="Times New Roman"/>
          <w:color w:val="000000"/>
        </w:rPr>
        <w:t>.9-1  企业环境风险应急预案编制内容要求汇总一览表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612"/>
        <w:gridCol w:w="6933"/>
      </w:tblGrid>
      <w:tr w14:paraId="3BE45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255740AD">
            <w:pPr>
              <w:pStyle w:val="445"/>
              <w:rPr>
                <w:rFonts w:cs="Times New Roman"/>
                <w:kern w:val="0"/>
                <w:szCs w:val="20"/>
              </w:rPr>
            </w:pPr>
            <w:r>
              <w:rPr>
                <w:rFonts w:cs="Times New Roman"/>
                <w:kern w:val="0"/>
                <w:szCs w:val="20"/>
              </w:rPr>
              <w:t>序号</w:t>
            </w:r>
          </w:p>
        </w:tc>
        <w:tc>
          <w:tcPr>
            <w:tcW w:w="872" w:type="pct"/>
            <w:vAlign w:val="center"/>
          </w:tcPr>
          <w:p w14:paraId="1F58F53B">
            <w:pPr>
              <w:pStyle w:val="445"/>
              <w:rPr>
                <w:rFonts w:cs="Times New Roman"/>
                <w:kern w:val="0"/>
                <w:szCs w:val="20"/>
              </w:rPr>
            </w:pPr>
            <w:r>
              <w:rPr>
                <w:rFonts w:cs="Times New Roman"/>
                <w:kern w:val="0"/>
                <w:szCs w:val="20"/>
              </w:rPr>
              <w:t>章节</w:t>
            </w:r>
          </w:p>
        </w:tc>
        <w:tc>
          <w:tcPr>
            <w:tcW w:w="3751" w:type="pct"/>
            <w:vAlign w:val="center"/>
          </w:tcPr>
          <w:p w14:paraId="32C49DBE">
            <w:pPr>
              <w:pStyle w:val="445"/>
              <w:rPr>
                <w:rFonts w:cs="Times New Roman"/>
                <w:kern w:val="0"/>
                <w:szCs w:val="20"/>
              </w:rPr>
            </w:pPr>
            <w:r>
              <w:rPr>
                <w:rFonts w:cs="Times New Roman"/>
                <w:kern w:val="0"/>
                <w:szCs w:val="20"/>
              </w:rPr>
              <w:t>主要内容</w:t>
            </w:r>
          </w:p>
        </w:tc>
      </w:tr>
      <w:tr w14:paraId="4480C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42BEDDCB">
            <w:pPr>
              <w:pStyle w:val="445"/>
              <w:rPr>
                <w:rFonts w:cs="Times New Roman"/>
                <w:kern w:val="0"/>
                <w:szCs w:val="20"/>
              </w:rPr>
            </w:pPr>
            <w:r>
              <w:rPr>
                <w:rFonts w:cs="Times New Roman"/>
                <w:kern w:val="0"/>
                <w:szCs w:val="20"/>
              </w:rPr>
              <w:t>1</w:t>
            </w:r>
          </w:p>
        </w:tc>
        <w:tc>
          <w:tcPr>
            <w:tcW w:w="872" w:type="pct"/>
            <w:vAlign w:val="center"/>
          </w:tcPr>
          <w:p w14:paraId="2F4F8F69">
            <w:pPr>
              <w:pStyle w:val="445"/>
              <w:rPr>
                <w:rFonts w:cs="Times New Roman"/>
                <w:kern w:val="0"/>
                <w:szCs w:val="20"/>
              </w:rPr>
            </w:pPr>
            <w:r>
              <w:rPr>
                <w:rFonts w:cs="Times New Roman"/>
                <w:kern w:val="0"/>
                <w:szCs w:val="20"/>
              </w:rPr>
              <w:t>总则</w:t>
            </w:r>
          </w:p>
        </w:tc>
        <w:tc>
          <w:tcPr>
            <w:tcW w:w="3751" w:type="pct"/>
            <w:vAlign w:val="center"/>
          </w:tcPr>
          <w:p w14:paraId="1A3D80BE">
            <w:pPr>
              <w:pStyle w:val="445"/>
              <w:rPr>
                <w:rFonts w:cs="Times New Roman"/>
                <w:kern w:val="0"/>
                <w:szCs w:val="20"/>
              </w:rPr>
            </w:pPr>
            <w:r>
              <w:rPr>
                <w:rFonts w:cs="Times New Roman"/>
                <w:kern w:val="0"/>
                <w:szCs w:val="20"/>
              </w:rPr>
              <w:t>明确预案编制的目的、依据、适用范围、等级划分等</w:t>
            </w:r>
          </w:p>
        </w:tc>
      </w:tr>
      <w:tr w14:paraId="54441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1C09A6C3">
            <w:pPr>
              <w:pStyle w:val="445"/>
              <w:rPr>
                <w:rFonts w:cs="Times New Roman"/>
                <w:kern w:val="0"/>
                <w:szCs w:val="20"/>
              </w:rPr>
            </w:pPr>
            <w:r>
              <w:rPr>
                <w:rFonts w:cs="Times New Roman"/>
                <w:kern w:val="0"/>
                <w:szCs w:val="20"/>
              </w:rPr>
              <w:t>2</w:t>
            </w:r>
          </w:p>
        </w:tc>
        <w:tc>
          <w:tcPr>
            <w:tcW w:w="872" w:type="pct"/>
            <w:vAlign w:val="center"/>
          </w:tcPr>
          <w:p w14:paraId="394F5238">
            <w:pPr>
              <w:pStyle w:val="445"/>
              <w:rPr>
                <w:rFonts w:cs="Times New Roman"/>
                <w:kern w:val="0"/>
                <w:szCs w:val="20"/>
              </w:rPr>
            </w:pPr>
            <w:r>
              <w:rPr>
                <w:rFonts w:cs="Times New Roman"/>
                <w:kern w:val="0"/>
                <w:szCs w:val="20"/>
              </w:rPr>
              <w:t>组织结构和职责</w:t>
            </w:r>
          </w:p>
        </w:tc>
        <w:tc>
          <w:tcPr>
            <w:tcW w:w="3751" w:type="pct"/>
            <w:vAlign w:val="center"/>
          </w:tcPr>
          <w:p w14:paraId="3311FDD8">
            <w:pPr>
              <w:pStyle w:val="445"/>
              <w:rPr>
                <w:rFonts w:cs="Times New Roman"/>
                <w:kern w:val="0"/>
                <w:szCs w:val="20"/>
              </w:rPr>
            </w:pPr>
            <w:r>
              <w:rPr>
                <w:rFonts w:cs="Times New Roman"/>
                <w:kern w:val="0"/>
                <w:szCs w:val="20"/>
              </w:rPr>
              <w:t>明确应急机构的组成、各机构职责等</w:t>
            </w:r>
          </w:p>
        </w:tc>
      </w:tr>
      <w:tr w14:paraId="5AE1F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532397DD">
            <w:pPr>
              <w:pStyle w:val="445"/>
              <w:rPr>
                <w:rFonts w:cs="Times New Roman"/>
                <w:kern w:val="0"/>
                <w:szCs w:val="20"/>
              </w:rPr>
            </w:pPr>
            <w:r>
              <w:rPr>
                <w:rFonts w:cs="Times New Roman"/>
                <w:kern w:val="0"/>
                <w:szCs w:val="20"/>
              </w:rPr>
              <w:t>3</w:t>
            </w:r>
          </w:p>
        </w:tc>
        <w:tc>
          <w:tcPr>
            <w:tcW w:w="872" w:type="pct"/>
            <w:vAlign w:val="center"/>
          </w:tcPr>
          <w:p w14:paraId="1785E08A">
            <w:pPr>
              <w:pStyle w:val="445"/>
              <w:rPr>
                <w:rFonts w:cs="Times New Roman"/>
                <w:kern w:val="0"/>
                <w:szCs w:val="20"/>
              </w:rPr>
            </w:pPr>
            <w:r>
              <w:rPr>
                <w:rFonts w:cs="Times New Roman"/>
                <w:kern w:val="0"/>
                <w:szCs w:val="20"/>
              </w:rPr>
              <w:t>预防与预警</w:t>
            </w:r>
          </w:p>
        </w:tc>
        <w:tc>
          <w:tcPr>
            <w:tcW w:w="3751" w:type="pct"/>
            <w:vAlign w:val="center"/>
          </w:tcPr>
          <w:p w14:paraId="0603CD27">
            <w:pPr>
              <w:pStyle w:val="445"/>
              <w:rPr>
                <w:rFonts w:cs="Times New Roman"/>
                <w:kern w:val="0"/>
                <w:szCs w:val="20"/>
              </w:rPr>
            </w:pPr>
            <w:r>
              <w:rPr>
                <w:rFonts w:cs="Times New Roman"/>
                <w:kern w:val="0"/>
                <w:szCs w:val="20"/>
              </w:rPr>
              <w:t>明确区域内的重大危险源分布、各应急机构根据职责开展应急预防和应急准备等</w:t>
            </w:r>
          </w:p>
        </w:tc>
      </w:tr>
      <w:tr w14:paraId="72910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2A776F86">
            <w:pPr>
              <w:pStyle w:val="445"/>
              <w:rPr>
                <w:rFonts w:cs="Times New Roman"/>
                <w:kern w:val="0"/>
                <w:szCs w:val="20"/>
              </w:rPr>
            </w:pPr>
            <w:r>
              <w:rPr>
                <w:rFonts w:cs="Times New Roman"/>
                <w:kern w:val="0"/>
                <w:szCs w:val="20"/>
              </w:rPr>
              <w:t>4</w:t>
            </w:r>
          </w:p>
        </w:tc>
        <w:tc>
          <w:tcPr>
            <w:tcW w:w="872" w:type="pct"/>
            <w:vAlign w:val="center"/>
          </w:tcPr>
          <w:p w14:paraId="42FE22E0">
            <w:pPr>
              <w:pStyle w:val="445"/>
              <w:rPr>
                <w:rFonts w:cs="Times New Roman"/>
                <w:kern w:val="0"/>
                <w:szCs w:val="20"/>
              </w:rPr>
            </w:pPr>
            <w:r>
              <w:rPr>
                <w:rFonts w:cs="Times New Roman"/>
                <w:kern w:val="0"/>
                <w:szCs w:val="20"/>
              </w:rPr>
              <w:t>应急响应</w:t>
            </w:r>
          </w:p>
        </w:tc>
        <w:tc>
          <w:tcPr>
            <w:tcW w:w="3751" w:type="pct"/>
            <w:vAlign w:val="center"/>
          </w:tcPr>
          <w:p w14:paraId="2A8CB1E2">
            <w:pPr>
              <w:pStyle w:val="445"/>
              <w:rPr>
                <w:rFonts w:cs="Times New Roman"/>
                <w:kern w:val="0"/>
                <w:szCs w:val="20"/>
              </w:rPr>
            </w:pPr>
            <w:r>
              <w:rPr>
                <w:rFonts w:cs="Times New Roman"/>
                <w:kern w:val="0"/>
                <w:szCs w:val="20"/>
              </w:rPr>
              <w:t>明确预案应急响应的流程、分级响应及启动条件、信息报告与处置及现场处置等</w:t>
            </w:r>
          </w:p>
        </w:tc>
      </w:tr>
      <w:tr w14:paraId="1C1BE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40074844">
            <w:pPr>
              <w:pStyle w:val="445"/>
              <w:rPr>
                <w:rFonts w:cs="Times New Roman"/>
                <w:kern w:val="0"/>
                <w:szCs w:val="20"/>
              </w:rPr>
            </w:pPr>
            <w:r>
              <w:rPr>
                <w:rFonts w:cs="Times New Roman"/>
                <w:kern w:val="0"/>
                <w:szCs w:val="20"/>
              </w:rPr>
              <w:t>5</w:t>
            </w:r>
          </w:p>
        </w:tc>
        <w:tc>
          <w:tcPr>
            <w:tcW w:w="872" w:type="pct"/>
            <w:vAlign w:val="center"/>
          </w:tcPr>
          <w:p w14:paraId="726C396F">
            <w:pPr>
              <w:pStyle w:val="445"/>
              <w:rPr>
                <w:rFonts w:cs="Times New Roman"/>
                <w:kern w:val="0"/>
                <w:szCs w:val="20"/>
              </w:rPr>
            </w:pPr>
            <w:r>
              <w:rPr>
                <w:rFonts w:cs="Times New Roman"/>
                <w:kern w:val="0"/>
                <w:szCs w:val="20"/>
              </w:rPr>
              <w:t>安全防护</w:t>
            </w:r>
          </w:p>
        </w:tc>
        <w:tc>
          <w:tcPr>
            <w:tcW w:w="3751" w:type="pct"/>
            <w:vAlign w:val="center"/>
          </w:tcPr>
          <w:p w14:paraId="3CE44445">
            <w:pPr>
              <w:pStyle w:val="445"/>
              <w:rPr>
                <w:rFonts w:cs="Times New Roman"/>
                <w:kern w:val="0"/>
                <w:szCs w:val="20"/>
              </w:rPr>
            </w:pPr>
            <w:r>
              <w:rPr>
                <w:rFonts w:cs="Times New Roman"/>
                <w:kern w:val="0"/>
                <w:szCs w:val="20"/>
              </w:rPr>
              <w:t>明确事件现场保护措施、群众安全转移措施、次生灾害方法治措施等</w:t>
            </w:r>
          </w:p>
        </w:tc>
      </w:tr>
      <w:tr w14:paraId="10658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75CA62B5">
            <w:pPr>
              <w:pStyle w:val="445"/>
              <w:rPr>
                <w:rFonts w:cs="Times New Roman"/>
                <w:kern w:val="0"/>
                <w:szCs w:val="20"/>
              </w:rPr>
            </w:pPr>
            <w:r>
              <w:rPr>
                <w:rFonts w:cs="Times New Roman"/>
                <w:kern w:val="0"/>
                <w:szCs w:val="20"/>
              </w:rPr>
              <w:t>6</w:t>
            </w:r>
          </w:p>
        </w:tc>
        <w:tc>
          <w:tcPr>
            <w:tcW w:w="872" w:type="pct"/>
            <w:vAlign w:val="center"/>
          </w:tcPr>
          <w:p w14:paraId="7039B8E8">
            <w:pPr>
              <w:pStyle w:val="445"/>
              <w:rPr>
                <w:rFonts w:cs="Times New Roman"/>
                <w:kern w:val="0"/>
                <w:szCs w:val="20"/>
              </w:rPr>
            </w:pPr>
            <w:r>
              <w:rPr>
                <w:rFonts w:cs="Times New Roman"/>
                <w:kern w:val="0"/>
                <w:szCs w:val="20"/>
              </w:rPr>
              <w:t>应急状态解除</w:t>
            </w:r>
          </w:p>
        </w:tc>
        <w:tc>
          <w:tcPr>
            <w:tcW w:w="3751" w:type="pct"/>
            <w:vAlign w:val="center"/>
          </w:tcPr>
          <w:p w14:paraId="71777F8F">
            <w:pPr>
              <w:pStyle w:val="445"/>
              <w:rPr>
                <w:rFonts w:cs="Times New Roman"/>
                <w:kern w:val="0"/>
                <w:szCs w:val="20"/>
              </w:rPr>
            </w:pPr>
            <w:r>
              <w:rPr>
                <w:rFonts w:cs="Times New Roman"/>
                <w:kern w:val="0"/>
                <w:szCs w:val="20"/>
              </w:rPr>
              <w:t>明确应急终止的条件、程序及跟踪监测和评估方案等</w:t>
            </w:r>
          </w:p>
        </w:tc>
      </w:tr>
      <w:tr w14:paraId="780729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21A12C63">
            <w:pPr>
              <w:pStyle w:val="445"/>
              <w:rPr>
                <w:rFonts w:cs="Times New Roman"/>
                <w:kern w:val="0"/>
                <w:szCs w:val="20"/>
              </w:rPr>
            </w:pPr>
            <w:r>
              <w:rPr>
                <w:rFonts w:cs="Times New Roman"/>
                <w:kern w:val="0"/>
                <w:szCs w:val="20"/>
              </w:rPr>
              <w:t>7</w:t>
            </w:r>
          </w:p>
        </w:tc>
        <w:tc>
          <w:tcPr>
            <w:tcW w:w="872" w:type="pct"/>
            <w:vAlign w:val="center"/>
          </w:tcPr>
          <w:p w14:paraId="3F308584">
            <w:pPr>
              <w:pStyle w:val="445"/>
              <w:rPr>
                <w:rFonts w:cs="Times New Roman"/>
                <w:kern w:val="0"/>
                <w:szCs w:val="20"/>
              </w:rPr>
            </w:pPr>
            <w:r>
              <w:rPr>
                <w:rFonts w:cs="Times New Roman"/>
                <w:kern w:val="0"/>
                <w:szCs w:val="20"/>
              </w:rPr>
              <w:t>善后处置</w:t>
            </w:r>
          </w:p>
        </w:tc>
        <w:tc>
          <w:tcPr>
            <w:tcW w:w="3751" w:type="pct"/>
            <w:vAlign w:val="center"/>
          </w:tcPr>
          <w:p w14:paraId="437EF198">
            <w:pPr>
              <w:pStyle w:val="445"/>
              <w:rPr>
                <w:rFonts w:cs="Times New Roman"/>
                <w:kern w:val="0"/>
                <w:szCs w:val="20"/>
              </w:rPr>
            </w:pPr>
            <w:r>
              <w:rPr>
                <w:rFonts w:cs="Times New Roman"/>
                <w:kern w:val="0"/>
                <w:szCs w:val="20"/>
              </w:rPr>
              <w:t>明确受灾人员的安置及赔偿方案等</w:t>
            </w:r>
          </w:p>
        </w:tc>
      </w:tr>
      <w:tr w14:paraId="0D0C0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45CF6F03">
            <w:pPr>
              <w:pStyle w:val="445"/>
              <w:rPr>
                <w:rFonts w:cs="Times New Roman"/>
                <w:kern w:val="0"/>
                <w:szCs w:val="20"/>
              </w:rPr>
            </w:pPr>
            <w:r>
              <w:rPr>
                <w:rFonts w:cs="Times New Roman"/>
                <w:kern w:val="0"/>
                <w:szCs w:val="20"/>
              </w:rPr>
              <w:t>8</w:t>
            </w:r>
          </w:p>
        </w:tc>
        <w:tc>
          <w:tcPr>
            <w:tcW w:w="872" w:type="pct"/>
            <w:vAlign w:val="center"/>
          </w:tcPr>
          <w:p w14:paraId="41E28E65">
            <w:pPr>
              <w:pStyle w:val="445"/>
              <w:rPr>
                <w:rFonts w:cs="Times New Roman"/>
                <w:kern w:val="0"/>
                <w:szCs w:val="20"/>
              </w:rPr>
            </w:pPr>
            <w:r>
              <w:rPr>
                <w:rFonts w:cs="Times New Roman"/>
                <w:kern w:val="0"/>
                <w:szCs w:val="20"/>
              </w:rPr>
              <w:t>应急保障</w:t>
            </w:r>
          </w:p>
        </w:tc>
        <w:tc>
          <w:tcPr>
            <w:tcW w:w="3751" w:type="pct"/>
            <w:vAlign w:val="center"/>
          </w:tcPr>
          <w:p w14:paraId="2B7D9D66">
            <w:pPr>
              <w:pStyle w:val="445"/>
              <w:rPr>
                <w:rFonts w:cs="Times New Roman"/>
                <w:kern w:val="0"/>
                <w:szCs w:val="20"/>
              </w:rPr>
            </w:pPr>
            <w:r>
              <w:rPr>
                <w:rFonts w:cs="Times New Roman"/>
                <w:kern w:val="0"/>
                <w:szCs w:val="20"/>
              </w:rPr>
              <w:t>明确应急保障计划、应急物资、装备保障及其他保障措施等</w:t>
            </w:r>
          </w:p>
        </w:tc>
      </w:tr>
      <w:tr w14:paraId="7A946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7" w:type="pct"/>
            <w:vAlign w:val="center"/>
          </w:tcPr>
          <w:p w14:paraId="21F4FBCE">
            <w:pPr>
              <w:pStyle w:val="445"/>
              <w:rPr>
                <w:rFonts w:cs="Times New Roman"/>
                <w:kern w:val="0"/>
                <w:szCs w:val="20"/>
              </w:rPr>
            </w:pPr>
            <w:r>
              <w:rPr>
                <w:rFonts w:cs="Times New Roman"/>
                <w:kern w:val="0"/>
                <w:szCs w:val="20"/>
              </w:rPr>
              <w:t>9</w:t>
            </w:r>
          </w:p>
        </w:tc>
        <w:tc>
          <w:tcPr>
            <w:tcW w:w="872" w:type="pct"/>
            <w:vAlign w:val="center"/>
          </w:tcPr>
          <w:p w14:paraId="4E6CC5A8">
            <w:pPr>
              <w:pStyle w:val="445"/>
              <w:rPr>
                <w:rFonts w:cs="Times New Roman"/>
                <w:kern w:val="0"/>
                <w:szCs w:val="20"/>
              </w:rPr>
            </w:pPr>
            <w:r>
              <w:rPr>
                <w:rFonts w:cs="Times New Roman"/>
                <w:kern w:val="0"/>
                <w:szCs w:val="20"/>
              </w:rPr>
              <w:t>预案管理</w:t>
            </w:r>
          </w:p>
        </w:tc>
        <w:tc>
          <w:tcPr>
            <w:tcW w:w="3751" w:type="pct"/>
            <w:vAlign w:val="center"/>
          </w:tcPr>
          <w:p w14:paraId="3DE7A43C">
            <w:pPr>
              <w:pStyle w:val="445"/>
              <w:rPr>
                <w:rFonts w:cs="Times New Roman"/>
                <w:kern w:val="0"/>
                <w:szCs w:val="20"/>
              </w:rPr>
            </w:pPr>
            <w:r>
              <w:rPr>
                <w:rFonts w:cs="Times New Roman"/>
                <w:kern w:val="0"/>
                <w:szCs w:val="20"/>
              </w:rPr>
              <w:t>明确预案的演练计划、修订方案及备案程序等</w:t>
            </w:r>
          </w:p>
        </w:tc>
      </w:tr>
    </w:tbl>
    <w:p w14:paraId="14B593B0">
      <w:pPr>
        <w:pStyle w:val="4065"/>
        <w:sectPr>
          <w:pgSz w:w="11906" w:h="16838"/>
          <w:pgMar w:top="1440" w:right="1440" w:bottom="1440" w:left="1440" w:header="720" w:footer="720" w:gutter="0"/>
          <w:cols w:space="720" w:num="1"/>
          <w:docGrid w:linePitch="326" w:charSpace="0"/>
        </w:sectPr>
      </w:pPr>
      <w:bookmarkStart w:id="502" w:name="_Toc58511636"/>
      <w:bookmarkEnd w:id="502"/>
      <w:bookmarkStart w:id="503" w:name="_Toc108662725"/>
    </w:p>
    <w:p w14:paraId="6BA47610">
      <w:pPr>
        <w:pStyle w:val="4065"/>
      </w:pPr>
      <w:r>
        <w:t>6.8环境保护措施及项目竣工环保验收“三同时”一览表</w:t>
      </w:r>
      <w:bookmarkEnd w:id="503"/>
    </w:p>
    <w:p w14:paraId="2420214F">
      <w:pPr>
        <w:ind w:firstLine="480"/>
        <w:rPr>
          <w:rFonts w:ascii="宋体" w:hAnsi="宋体"/>
        </w:rPr>
        <w:sectPr>
          <w:pgSz w:w="11906" w:h="16838"/>
          <w:pgMar w:top="1440" w:right="1440" w:bottom="1440" w:left="1440" w:header="720" w:footer="720" w:gutter="0"/>
          <w:cols w:space="720" w:num="1"/>
          <w:docGrid w:linePitch="326" w:charSpace="0"/>
        </w:sectPr>
      </w:pPr>
      <w:r>
        <w:rPr>
          <w:rFonts w:ascii="宋体" w:hAnsi="宋体"/>
        </w:rPr>
        <w:t>本项目总投资</w:t>
      </w:r>
      <w:r>
        <w:t>30248</w:t>
      </w:r>
      <w:r>
        <w:rPr>
          <w:rFonts w:ascii="宋体" w:hAnsi="宋体"/>
        </w:rPr>
        <w:t>万元，</w:t>
      </w:r>
      <w:r>
        <w:t>其中环保投资905万元，占总投资的2.99%</w:t>
      </w:r>
      <w:r>
        <w:rPr>
          <w:rFonts w:ascii="宋体" w:hAnsi="宋体"/>
        </w:rPr>
        <w:t>。本项目</w:t>
      </w:r>
      <w:r>
        <w:t>“</w:t>
      </w:r>
      <w:r>
        <w:rPr>
          <w:rFonts w:ascii="宋体" w:hAnsi="宋体"/>
        </w:rPr>
        <w:t>三同时</w:t>
      </w:r>
      <w:r>
        <w:t>”</w:t>
      </w:r>
      <w:r>
        <w:rPr>
          <w:rFonts w:ascii="宋体" w:hAnsi="宋体"/>
        </w:rPr>
        <w:t>验收内容详见表</w:t>
      </w:r>
      <w:r>
        <w:t>6.7-1</w:t>
      </w:r>
      <w:r>
        <w:rPr>
          <w:rFonts w:ascii="宋体" w:hAnsi="宋体"/>
        </w:rPr>
        <w:t>。</w:t>
      </w:r>
    </w:p>
    <w:p w14:paraId="425C3F41">
      <w:pPr>
        <w:pStyle w:val="278"/>
        <w:ind w:firstLine="480"/>
        <w:rPr>
          <w:b/>
          <w:kern w:val="0"/>
        </w:rPr>
      </w:pPr>
      <w:r>
        <w:rPr>
          <w:rFonts w:ascii="黑体" w:hAnsi="黑体"/>
        </w:rPr>
        <w:t>表</w:t>
      </w:r>
      <w:r>
        <w:t xml:space="preserve">6.7-1  </w:t>
      </w:r>
      <w:r>
        <w:rPr>
          <w:rFonts w:ascii="黑体" w:hAnsi="黑体"/>
        </w:rPr>
        <w:t>环境保护措施及项目竣工环保验收</w:t>
      </w:r>
      <w:r>
        <w:t>“</w:t>
      </w:r>
      <w:r>
        <w:rPr>
          <w:rFonts w:ascii="黑体" w:hAnsi="黑体"/>
        </w:rPr>
        <w:t>三同时</w:t>
      </w:r>
      <w:r>
        <w:t>”</w:t>
      </w:r>
      <w:r>
        <w:rPr>
          <w:rFonts w:ascii="黑体" w:hAnsi="黑体"/>
        </w:rPr>
        <w:t>一览表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046"/>
        <w:gridCol w:w="1647"/>
        <w:gridCol w:w="4782"/>
        <w:gridCol w:w="3816"/>
        <w:gridCol w:w="1111"/>
        <w:gridCol w:w="1024"/>
      </w:tblGrid>
      <w:tr w14:paraId="4778BF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4" w:type="pct"/>
            <w:vAlign w:val="center"/>
          </w:tcPr>
          <w:p w14:paraId="67F36DCA">
            <w:pPr>
              <w:pStyle w:val="445"/>
              <w:rPr>
                <w:rFonts w:cs="Times New Roman"/>
                <w:kern w:val="0"/>
                <w:szCs w:val="20"/>
              </w:rPr>
            </w:pPr>
            <w:r>
              <w:rPr>
                <w:rFonts w:cs="Times New Roman"/>
                <w:kern w:val="0"/>
                <w:szCs w:val="20"/>
              </w:rPr>
              <w:t>类别</w:t>
            </w:r>
          </w:p>
        </w:tc>
        <w:tc>
          <w:tcPr>
            <w:tcW w:w="369" w:type="pct"/>
            <w:vAlign w:val="center"/>
          </w:tcPr>
          <w:p w14:paraId="00C7BBAC">
            <w:pPr>
              <w:pStyle w:val="445"/>
              <w:rPr>
                <w:rFonts w:cs="Times New Roman"/>
                <w:kern w:val="0"/>
                <w:szCs w:val="20"/>
              </w:rPr>
            </w:pPr>
            <w:r>
              <w:rPr>
                <w:rFonts w:cs="Times New Roman"/>
                <w:kern w:val="0"/>
                <w:szCs w:val="20"/>
              </w:rPr>
              <w:t>污染源</w:t>
            </w:r>
          </w:p>
        </w:tc>
        <w:tc>
          <w:tcPr>
            <w:tcW w:w="581" w:type="pct"/>
            <w:vAlign w:val="center"/>
          </w:tcPr>
          <w:p w14:paraId="09776E6F">
            <w:pPr>
              <w:pStyle w:val="445"/>
              <w:rPr>
                <w:rFonts w:cs="Times New Roman"/>
                <w:kern w:val="0"/>
                <w:szCs w:val="20"/>
              </w:rPr>
            </w:pPr>
            <w:r>
              <w:rPr>
                <w:rFonts w:cs="Times New Roman"/>
                <w:kern w:val="0"/>
                <w:szCs w:val="20"/>
              </w:rPr>
              <w:t>污染物</w:t>
            </w:r>
          </w:p>
        </w:tc>
        <w:tc>
          <w:tcPr>
            <w:tcW w:w="1687" w:type="pct"/>
            <w:vAlign w:val="center"/>
          </w:tcPr>
          <w:p w14:paraId="45D44D99">
            <w:pPr>
              <w:pStyle w:val="445"/>
              <w:rPr>
                <w:rFonts w:cs="Times New Roman"/>
                <w:kern w:val="0"/>
                <w:szCs w:val="20"/>
              </w:rPr>
            </w:pPr>
            <w:r>
              <w:rPr>
                <w:rFonts w:cs="Times New Roman"/>
                <w:kern w:val="0"/>
                <w:szCs w:val="20"/>
              </w:rPr>
              <w:t>治理措施</w:t>
            </w:r>
            <w:r>
              <w:rPr>
                <w:rFonts w:hint="eastAsia" w:cs="Times New Roman"/>
                <w:kern w:val="0"/>
                <w:szCs w:val="20"/>
              </w:rPr>
              <w:t>(</w:t>
            </w:r>
            <w:r>
              <w:rPr>
                <w:rFonts w:cs="Times New Roman"/>
                <w:kern w:val="0"/>
                <w:szCs w:val="20"/>
              </w:rPr>
              <w:t>设施数量、规模、处理能力等</w:t>
            </w:r>
            <w:r>
              <w:rPr>
                <w:rFonts w:hint="eastAsia" w:cs="Times New Roman"/>
                <w:kern w:val="0"/>
                <w:szCs w:val="20"/>
              </w:rPr>
              <w:t>)</w:t>
            </w:r>
          </w:p>
        </w:tc>
        <w:tc>
          <w:tcPr>
            <w:tcW w:w="1346" w:type="pct"/>
            <w:vAlign w:val="center"/>
          </w:tcPr>
          <w:p w14:paraId="7CB1D18A">
            <w:pPr>
              <w:pStyle w:val="445"/>
              <w:rPr>
                <w:rFonts w:cs="Times New Roman"/>
                <w:kern w:val="0"/>
                <w:szCs w:val="20"/>
              </w:rPr>
            </w:pPr>
            <w:r>
              <w:rPr>
                <w:rFonts w:cs="Times New Roman"/>
                <w:kern w:val="0"/>
                <w:szCs w:val="20"/>
              </w:rPr>
              <w:t>处理效果、执行标准或拟达要求</w:t>
            </w:r>
          </w:p>
        </w:tc>
        <w:tc>
          <w:tcPr>
            <w:tcW w:w="392" w:type="pct"/>
            <w:vAlign w:val="center"/>
          </w:tcPr>
          <w:p w14:paraId="4CC09351">
            <w:pPr>
              <w:pStyle w:val="445"/>
              <w:rPr>
                <w:rFonts w:cs="Times New Roman"/>
                <w:kern w:val="0"/>
                <w:szCs w:val="20"/>
              </w:rPr>
            </w:pPr>
            <w:r>
              <w:rPr>
                <w:rFonts w:cs="Times New Roman"/>
                <w:kern w:val="0"/>
                <w:szCs w:val="20"/>
              </w:rPr>
              <w:t>完成时间</w:t>
            </w:r>
          </w:p>
        </w:tc>
        <w:tc>
          <w:tcPr>
            <w:tcW w:w="361" w:type="pct"/>
            <w:vAlign w:val="center"/>
          </w:tcPr>
          <w:p w14:paraId="12E071C1">
            <w:pPr>
              <w:pStyle w:val="445"/>
              <w:rPr>
                <w:rFonts w:cs="Times New Roman"/>
                <w:kern w:val="0"/>
                <w:szCs w:val="20"/>
              </w:rPr>
            </w:pPr>
            <w:r>
              <w:rPr>
                <w:rFonts w:cs="Times New Roman"/>
                <w:kern w:val="0"/>
                <w:szCs w:val="20"/>
              </w:rPr>
              <w:t>环保投资</w:t>
            </w:r>
            <w:r>
              <w:rPr>
                <w:rFonts w:hint="eastAsia" w:cs="Times New Roman"/>
                <w:kern w:val="0"/>
                <w:szCs w:val="20"/>
              </w:rPr>
              <w:t>(</w:t>
            </w:r>
            <w:r>
              <w:rPr>
                <w:rFonts w:cs="Times New Roman"/>
                <w:kern w:val="0"/>
                <w:szCs w:val="20"/>
              </w:rPr>
              <w:t>万元</w:t>
            </w:r>
            <w:r>
              <w:rPr>
                <w:rFonts w:hint="eastAsia" w:cs="Times New Roman"/>
                <w:kern w:val="0"/>
                <w:szCs w:val="20"/>
              </w:rPr>
              <w:t>)</w:t>
            </w:r>
          </w:p>
        </w:tc>
      </w:tr>
      <w:tr w14:paraId="6BF5D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Align w:val="center"/>
          </w:tcPr>
          <w:p w14:paraId="7E47EE95">
            <w:pPr>
              <w:pStyle w:val="445"/>
              <w:rPr>
                <w:rFonts w:cs="Times New Roman"/>
                <w:kern w:val="0"/>
                <w:szCs w:val="20"/>
              </w:rPr>
            </w:pPr>
            <w:r>
              <w:rPr>
                <w:rFonts w:cs="Times New Roman"/>
                <w:kern w:val="0"/>
                <w:szCs w:val="20"/>
              </w:rPr>
              <w:t>废气</w:t>
            </w:r>
          </w:p>
        </w:tc>
        <w:tc>
          <w:tcPr>
            <w:tcW w:w="369" w:type="pct"/>
            <w:vAlign w:val="center"/>
          </w:tcPr>
          <w:p w14:paraId="2898B56E">
            <w:pPr>
              <w:pStyle w:val="445"/>
              <w:rPr>
                <w:rFonts w:cs="Times New Roman"/>
                <w:kern w:val="0"/>
                <w:szCs w:val="20"/>
              </w:rPr>
            </w:pPr>
            <w:r>
              <w:rPr>
                <w:rFonts w:hint="eastAsia" w:cs="Times New Roman"/>
                <w:kern w:val="0"/>
                <w:szCs w:val="20"/>
              </w:rPr>
              <w:t>工艺废气、罐区废气</w:t>
            </w:r>
          </w:p>
        </w:tc>
        <w:tc>
          <w:tcPr>
            <w:tcW w:w="581" w:type="pct"/>
            <w:vAlign w:val="center"/>
          </w:tcPr>
          <w:p w14:paraId="0574F4A3">
            <w:pPr>
              <w:pStyle w:val="445"/>
              <w:rPr>
                <w:rFonts w:cs="Times New Roman"/>
                <w:kern w:val="0"/>
                <w:szCs w:val="20"/>
              </w:rPr>
            </w:pPr>
            <w:r>
              <w:rPr>
                <w:rFonts w:cs="Times New Roman"/>
                <w:kern w:val="0"/>
                <w:szCs w:val="20"/>
              </w:rPr>
              <w:t>SO</w:t>
            </w:r>
            <w:r>
              <w:rPr>
                <w:rFonts w:cs="Times New Roman"/>
                <w:kern w:val="0"/>
                <w:szCs w:val="20"/>
                <w:vertAlign w:val="subscript"/>
              </w:rPr>
              <w:t>2</w:t>
            </w:r>
            <w:r>
              <w:rPr>
                <w:rFonts w:ascii="宋体" w:hAnsi="宋体" w:cs="Times New Roman"/>
                <w:kern w:val="0"/>
                <w:szCs w:val="20"/>
              </w:rPr>
              <w:t>、</w:t>
            </w:r>
            <w:r>
              <w:rPr>
                <w:rFonts w:hint="eastAsia" w:cs="Times New Roman"/>
                <w:kern w:val="0"/>
                <w:szCs w:val="20"/>
              </w:rPr>
              <w:t>NO</w:t>
            </w:r>
            <w:r>
              <w:rPr>
                <w:rFonts w:cs="Times New Roman"/>
                <w:kern w:val="0"/>
                <w:szCs w:val="20"/>
                <w:vertAlign w:val="subscript"/>
              </w:rPr>
              <w:t>x</w:t>
            </w:r>
            <w:r>
              <w:rPr>
                <w:rFonts w:hint="eastAsia" w:ascii="宋体" w:hAnsi="宋体" w:cs="Times New Roman"/>
                <w:kern w:val="0"/>
                <w:szCs w:val="20"/>
              </w:rPr>
              <w:t>、</w:t>
            </w:r>
            <w:r>
              <w:rPr>
                <w:rFonts w:cs="Times New Roman"/>
                <w:kern w:val="0"/>
                <w:szCs w:val="20"/>
              </w:rPr>
              <w:t>PM</w:t>
            </w:r>
            <w:r>
              <w:rPr>
                <w:rFonts w:cs="Times New Roman"/>
                <w:kern w:val="0"/>
                <w:szCs w:val="20"/>
                <w:vertAlign w:val="subscript"/>
              </w:rPr>
              <w:t>10</w:t>
            </w:r>
            <w:r>
              <w:rPr>
                <w:rFonts w:ascii="宋体" w:hAnsi="宋体" w:cs="Times New Roman"/>
                <w:kern w:val="0"/>
                <w:szCs w:val="20"/>
              </w:rPr>
              <w:t>、</w:t>
            </w:r>
            <w:r>
              <w:rPr>
                <w:rFonts w:cs="Times New Roman"/>
                <w:kern w:val="0"/>
                <w:szCs w:val="20"/>
              </w:rPr>
              <w:t>PM</w:t>
            </w:r>
            <w:r>
              <w:rPr>
                <w:rFonts w:cs="Times New Roman"/>
                <w:kern w:val="0"/>
                <w:szCs w:val="20"/>
                <w:vertAlign w:val="subscript"/>
              </w:rPr>
              <w:t>2.5</w:t>
            </w:r>
            <w:r>
              <w:rPr>
                <w:rFonts w:ascii="宋体" w:hAnsi="宋体" w:cs="Times New Roman"/>
                <w:kern w:val="0"/>
                <w:szCs w:val="20"/>
              </w:rPr>
              <w:t>、</w:t>
            </w:r>
            <w:r>
              <w:rPr>
                <w:rFonts w:hint="eastAsia" w:cs="Times New Roman"/>
                <w:kern w:val="0"/>
                <w:szCs w:val="20"/>
              </w:rPr>
              <w:t>甲醇</w:t>
            </w:r>
            <w:r>
              <w:rPr>
                <w:rFonts w:hint="eastAsia" w:ascii="宋体" w:hAnsi="宋体" w:cs="Times New Roman"/>
                <w:kern w:val="0"/>
                <w:szCs w:val="20"/>
              </w:rPr>
              <w:t>、</w:t>
            </w:r>
            <w:r>
              <w:rPr>
                <w:rFonts w:hint="eastAsia" w:cs="Times New Roman"/>
                <w:kern w:val="0"/>
                <w:szCs w:val="20"/>
              </w:rPr>
              <w:t>H</w:t>
            </w:r>
            <w:r>
              <w:rPr>
                <w:rFonts w:cs="Times New Roman"/>
                <w:kern w:val="0"/>
                <w:szCs w:val="20"/>
              </w:rPr>
              <w:t>F</w:t>
            </w:r>
            <w:r>
              <w:rPr>
                <w:rFonts w:ascii="宋体" w:hAnsi="宋体" w:cs="Times New Roman"/>
                <w:kern w:val="0"/>
                <w:szCs w:val="20"/>
              </w:rPr>
              <w:t>、</w:t>
            </w:r>
            <w:r>
              <w:rPr>
                <w:rFonts w:cs="Times New Roman"/>
                <w:kern w:val="0"/>
                <w:szCs w:val="20"/>
              </w:rPr>
              <w:t>HCl</w:t>
            </w:r>
            <w:r>
              <w:rPr>
                <w:rFonts w:ascii="宋体" w:hAnsi="宋体" w:cs="Times New Roman"/>
                <w:kern w:val="0"/>
                <w:szCs w:val="20"/>
              </w:rPr>
              <w:t>、</w:t>
            </w:r>
            <w:r>
              <w:rPr>
                <w:rFonts w:cs="Times New Roman"/>
                <w:kern w:val="0"/>
                <w:szCs w:val="20"/>
              </w:rPr>
              <w:t>NH</w:t>
            </w:r>
            <w:r>
              <w:rPr>
                <w:rFonts w:cs="Times New Roman"/>
                <w:kern w:val="0"/>
                <w:szCs w:val="20"/>
                <w:vertAlign w:val="subscript"/>
              </w:rPr>
              <w:t>3</w:t>
            </w:r>
            <w:r>
              <w:rPr>
                <w:rFonts w:ascii="宋体" w:hAnsi="宋体" w:cs="Times New Roman"/>
                <w:kern w:val="0"/>
                <w:szCs w:val="20"/>
              </w:rPr>
              <w:t>、</w:t>
            </w:r>
            <w:r>
              <w:rPr>
                <w:rFonts w:hint="eastAsia" w:cs="Times New Roman"/>
                <w:kern w:val="0"/>
                <w:szCs w:val="20"/>
              </w:rPr>
              <w:t>V</w:t>
            </w:r>
            <w:r>
              <w:rPr>
                <w:rFonts w:cs="Times New Roman"/>
                <w:kern w:val="0"/>
                <w:szCs w:val="20"/>
              </w:rPr>
              <w:t>OCs</w:t>
            </w:r>
          </w:p>
        </w:tc>
        <w:tc>
          <w:tcPr>
            <w:tcW w:w="1687" w:type="pct"/>
            <w:vAlign w:val="center"/>
          </w:tcPr>
          <w:p w14:paraId="72D9C31D">
            <w:pPr>
              <w:pStyle w:val="445"/>
              <w:rPr>
                <w:rFonts w:cs="Times New Roman"/>
                <w:kern w:val="0"/>
                <w:szCs w:val="20"/>
              </w:rPr>
            </w:pPr>
            <w:r>
              <w:rPr>
                <w:rFonts w:hint="eastAsia" w:cs="Times New Roman"/>
                <w:kern w:val="0"/>
                <w:szCs w:val="20"/>
              </w:rPr>
              <w:t>硅粉车间制粉废气G1-1经“布袋除尘+一级水洗”处理后经DA018排气筒排放；三甲生产线推粉废气G2-1经“过滤罐+一级水洗”处理后经DA021排气筒排放；三甲生产线分级精馏废气G2-3、KH-560生产线不凝气G4-4及G4-2、罐区废气经“二级深冷+一级水洗”处理后经DA021排气筒排放；三甲合成工序不凝气G2-2经“两级深冷”处理后经DA020排气筒排放；硅溶胶含氨废气经“一级水洗+一级酸洗”处理后经DA022排气筒排放；A-171生产线合成工序不凝气G5-1经“一级深冷+一级活性炭吸附”处理后经DA034排气筒排放；A-171生产线减压蒸馏废气G5-2、精馏废气G5-3经“一级深冷+一级水洗”处理后经DA035排气筒排放；乙炔生产线干燥废气G6-2经DA036排气筒直接排放。</w:t>
            </w:r>
          </w:p>
        </w:tc>
        <w:tc>
          <w:tcPr>
            <w:tcW w:w="1346" w:type="pct"/>
            <w:vAlign w:val="center"/>
          </w:tcPr>
          <w:p w14:paraId="271F2EB1">
            <w:pPr>
              <w:pStyle w:val="445"/>
              <w:rPr>
                <w:rFonts w:cs="Times New Roman"/>
                <w:kern w:val="0"/>
                <w:szCs w:val="20"/>
              </w:rPr>
            </w:pP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r>
              <w:rPr>
                <w:rFonts w:hint="eastAsia" w:cs="Times New Roman"/>
                <w:kern w:val="0"/>
                <w:szCs w:val="20"/>
              </w:rPr>
              <w:t>、</w:t>
            </w: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p>
        </w:tc>
        <w:tc>
          <w:tcPr>
            <w:tcW w:w="392" w:type="pct"/>
            <w:vMerge w:val="restart"/>
            <w:vAlign w:val="center"/>
          </w:tcPr>
          <w:p w14:paraId="724EF937">
            <w:pPr>
              <w:pStyle w:val="445"/>
              <w:rPr>
                <w:rFonts w:cs="Times New Roman"/>
                <w:kern w:val="0"/>
                <w:szCs w:val="20"/>
              </w:rPr>
            </w:pPr>
            <w:r>
              <w:rPr>
                <w:rFonts w:cs="Times New Roman"/>
                <w:kern w:val="0"/>
                <w:szCs w:val="20"/>
              </w:rPr>
              <w:t>与建设项目</w:t>
            </w:r>
            <w:r>
              <w:rPr>
                <w:rFonts w:hint="eastAsia" w:cs="Times New Roman"/>
                <w:kern w:val="0"/>
                <w:szCs w:val="20"/>
              </w:rPr>
              <w:t>同时设计、同时施工、同时投产运营</w:t>
            </w:r>
          </w:p>
        </w:tc>
        <w:tc>
          <w:tcPr>
            <w:tcW w:w="361" w:type="pct"/>
            <w:vAlign w:val="center"/>
          </w:tcPr>
          <w:p w14:paraId="5ABBA6AB">
            <w:pPr>
              <w:pStyle w:val="445"/>
              <w:rPr>
                <w:rFonts w:cs="Times New Roman"/>
                <w:kern w:val="0"/>
                <w:szCs w:val="20"/>
              </w:rPr>
            </w:pPr>
            <w:r>
              <w:rPr>
                <w:rFonts w:hint="eastAsia" w:cs="Times New Roman"/>
                <w:kern w:val="0"/>
                <w:szCs w:val="20"/>
              </w:rPr>
              <w:t>6</w:t>
            </w:r>
            <w:r>
              <w:rPr>
                <w:rFonts w:cs="Times New Roman"/>
                <w:kern w:val="0"/>
                <w:szCs w:val="20"/>
              </w:rPr>
              <w:t>10</w:t>
            </w:r>
          </w:p>
        </w:tc>
      </w:tr>
      <w:tr w14:paraId="1A768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restart"/>
            <w:vAlign w:val="center"/>
          </w:tcPr>
          <w:p w14:paraId="519FDC09">
            <w:pPr>
              <w:pStyle w:val="445"/>
              <w:rPr>
                <w:rFonts w:cs="Times New Roman"/>
                <w:kern w:val="0"/>
                <w:szCs w:val="20"/>
              </w:rPr>
            </w:pPr>
            <w:r>
              <w:rPr>
                <w:rFonts w:cs="Times New Roman"/>
                <w:kern w:val="0"/>
                <w:szCs w:val="20"/>
              </w:rPr>
              <w:t>废水</w:t>
            </w:r>
          </w:p>
        </w:tc>
        <w:tc>
          <w:tcPr>
            <w:tcW w:w="369" w:type="pct"/>
            <w:vAlign w:val="center"/>
          </w:tcPr>
          <w:p w14:paraId="7CC921CD">
            <w:pPr>
              <w:pStyle w:val="445"/>
              <w:rPr>
                <w:rFonts w:cs="Times New Roman"/>
                <w:kern w:val="0"/>
                <w:szCs w:val="20"/>
              </w:rPr>
            </w:pPr>
            <w:r>
              <w:rPr>
                <w:rFonts w:hint="eastAsia" w:cs="Times New Roman"/>
                <w:kern w:val="0"/>
                <w:szCs w:val="20"/>
              </w:rPr>
              <w:t>循环</w:t>
            </w:r>
            <w:r>
              <w:rPr>
                <w:rFonts w:cs="Times New Roman"/>
                <w:kern w:val="0"/>
                <w:szCs w:val="20"/>
              </w:rPr>
              <w:t>冷却水排水</w:t>
            </w:r>
          </w:p>
        </w:tc>
        <w:tc>
          <w:tcPr>
            <w:tcW w:w="581" w:type="pct"/>
            <w:vMerge w:val="restart"/>
            <w:vAlign w:val="center"/>
          </w:tcPr>
          <w:p w14:paraId="4B22C230">
            <w:pPr>
              <w:pStyle w:val="445"/>
              <w:rPr>
                <w:rFonts w:cs="Times New Roman"/>
                <w:kern w:val="0"/>
                <w:szCs w:val="20"/>
              </w:rPr>
            </w:pPr>
            <w:r>
              <w:rPr>
                <w:rFonts w:hint="eastAsia" w:cs="Times New Roman"/>
                <w:kern w:val="0"/>
                <w:szCs w:val="20"/>
              </w:rPr>
              <w:t>COD、SS、</w:t>
            </w:r>
            <w:r>
              <w:rPr>
                <w:rFonts w:cs="Times New Roman"/>
                <w:kern w:val="0"/>
                <w:szCs w:val="20"/>
              </w:rPr>
              <w:t>氨氮</w:t>
            </w:r>
            <w:r>
              <w:rPr>
                <w:rFonts w:hint="eastAsia" w:cs="Times New Roman"/>
                <w:kern w:val="0"/>
                <w:szCs w:val="20"/>
              </w:rPr>
              <w:t>、</w:t>
            </w:r>
            <w:r>
              <w:rPr>
                <w:rFonts w:cs="Times New Roman"/>
                <w:kern w:val="0"/>
                <w:szCs w:val="20"/>
              </w:rPr>
              <w:t>盐分、BOD、TP</w:t>
            </w:r>
            <w:r>
              <w:rPr>
                <w:rFonts w:hint="eastAsia" w:cs="Times New Roman"/>
                <w:kern w:val="0"/>
                <w:szCs w:val="20"/>
              </w:rPr>
              <w:t>、</w:t>
            </w:r>
            <w:r>
              <w:rPr>
                <w:rFonts w:cs="Times New Roman"/>
                <w:kern w:val="0"/>
                <w:szCs w:val="20"/>
              </w:rPr>
              <w:t>氟化物</w:t>
            </w:r>
          </w:p>
        </w:tc>
        <w:tc>
          <w:tcPr>
            <w:tcW w:w="1687" w:type="pct"/>
            <w:vMerge w:val="restart"/>
            <w:vAlign w:val="center"/>
          </w:tcPr>
          <w:p w14:paraId="0F808A13">
            <w:pPr>
              <w:pStyle w:val="445"/>
              <w:rPr>
                <w:rFonts w:cs="Times New Roman"/>
                <w:kern w:val="0"/>
                <w:szCs w:val="20"/>
              </w:rPr>
            </w:pPr>
            <w:r>
              <w:rPr>
                <w:rFonts w:hint="eastAsia" w:cs="Times New Roman"/>
                <w:kern w:val="0"/>
                <w:szCs w:val="20"/>
              </w:rPr>
              <w:t>直接接入</w:t>
            </w:r>
            <w:r>
              <w:rPr>
                <w:rFonts w:cs="Times New Roman"/>
                <w:kern w:val="0"/>
                <w:szCs w:val="20"/>
              </w:rPr>
              <w:t>总排口</w:t>
            </w:r>
          </w:p>
        </w:tc>
        <w:tc>
          <w:tcPr>
            <w:tcW w:w="1346" w:type="pct"/>
            <w:vMerge w:val="restart"/>
            <w:vAlign w:val="center"/>
          </w:tcPr>
          <w:p w14:paraId="513DBE30">
            <w:pPr>
              <w:pStyle w:val="445"/>
              <w:rPr>
                <w:rFonts w:cs="Times New Roman"/>
                <w:kern w:val="0"/>
                <w:szCs w:val="20"/>
              </w:rPr>
            </w:pPr>
            <w:r>
              <w:rPr>
                <w:rFonts w:ascii="宋体" w:hAnsi="宋体" w:cs="Times New Roman"/>
                <w:kern w:val="0"/>
                <w:szCs w:val="20"/>
              </w:rPr>
              <w:t>项目各类废水经厂内污水处理区处理达到沫河口园区污水处理厂接管标准</w:t>
            </w:r>
            <w:r>
              <w:rPr>
                <w:rFonts w:hint="eastAsia" w:ascii="宋体" w:hAnsi="宋体" w:cs="Times New Roman"/>
                <w:kern w:val="0"/>
                <w:szCs w:val="20"/>
              </w:rPr>
              <w:t>、《污水综合排放标准》（</w:t>
            </w:r>
            <w:r>
              <w:rPr>
                <w:rFonts w:hint="eastAsia" w:cs="Times New Roman"/>
                <w:kern w:val="0"/>
                <w:szCs w:val="20"/>
              </w:rPr>
              <w:t>G</w:t>
            </w:r>
            <w:r>
              <w:rPr>
                <w:rFonts w:cs="Times New Roman"/>
                <w:kern w:val="0"/>
                <w:szCs w:val="20"/>
              </w:rPr>
              <w:t>B8978-1996</w:t>
            </w:r>
            <w:r>
              <w:rPr>
                <w:rFonts w:hint="eastAsia" w:ascii="宋体" w:hAnsi="宋体" w:cs="Times New Roman"/>
                <w:kern w:val="0"/>
                <w:szCs w:val="20"/>
              </w:rPr>
              <w:t>）中表</w:t>
            </w:r>
            <w:r>
              <w:rPr>
                <w:rFonts w:hint="eastAsia" w:cs="Times New Roman"/>
                <w:kern w:val="0"/>
                <w:szCs w:val="20"/>
              </w:rPr>
              <w:t>4</w:t>
            </w:r>
            <w:r>
              <w:rPr>
                <w:rFonts w:hint="eastAsia" w:ascii="宋体" w:hAnsi="宋体" w:cs="Times New Roman"/>
                <w:kern w:val="0"/>
                <w:szCs w:val="20"/>
              </w:rPr>
              <w:t>的三级标准和</w:t>
            </w:r>
            <w:r>
              <w:rPr>
                <w:rFonts w:hint="eastAsia" w:cs="Times New Roman"/>
                <w:kern w:val="0"/>
                <w:szCs w:val="24"/>
              </w:rPr>
              <w:t>《无机化学工业污染物排放标准》（GB31573-2015）水污染物间接排放限值</w:t>
            </w:r>
            <w:r>
              <w:rPr>
                <w:rFonts w:hint="eastAsia" w:ascii="宋体" w:hAnsi="宋体" w:cs="Times New Roman"/>
                <w:kern w:val="0"/>
                <w:szCs w:val="20"/>
              </w:rPr>
              <w:t>，尾水经沫河口污水处理厂处理后达到《城镇污水处理厂污染物排放标准》（</w:t>
            </w:r>
            <w:r>
              <w:rPr>
                <w:rFonts w:hint="eastAsia" w:cs="Times New Roman"/>
                <w:kern w:val="0"/>
                <w:szCs w:val="20"/>
              </w:rPr>
              <w:t>G</w:t>
            </w:r>
            <w:r>
              <w:rPr>
                <w:rFonts w:cs="Times New Roman"/>
                <w:kern w:val="0"/>
                <w:szCs w:val="20"/>
              </w:rPr>
              <w:t>B18918-2002</w:t>
            </w:r>
            <w:r>
              <w:rPr>
                <w:rFonts w:hint="eastAsia" w:ascii="宋体" w:hAnsi="宋体" w:cs="Times New Roman"/>
                <w:kern w:val="0"/>
                <w:szCs w:val="20"/>
              </w:rPr>
              <w:t>）中一级</w:t>
            </w:r>
            <w:r>
              <w:rPr>
                <w:rFonts w:hint="eastAsia" w:cs="Times New Roman"/>
                <w:kern w:val="0"/>
                <w:szCs w:val="20"/>
              </w:rPr>
              <w:t>A</w:t>
            </w:r>
            <w:r>
              <w:rPr>
                <w:rFonts w:hint="eastAsia" w:ascii="宋体" w:hAnsi="宋体" w:cs="Times New Roman"/>
                <w:kern w:val="0"/>
                <w:szCs w:val="20"/>
              </w:rPr>
              <w:t>标准后排入沫冲引河并汇入淮河（蚌埠段）</w:t>
            </w:r>
          </w:p>
        </w:tc>
        <w:tc>
          <w:tcPr>
            <w:tcW w:w="0" w:type="auto"/>
            <w:vMerge w:val="continue"/>
            <w:vAlign w:val="center"/>
          </w:tcPr>
          <w:p w14:paraId="48B6159F">
            <w:pPr>
              <w:pStyle w:val="445"/>
              <w:rPr>
                <w:rFonts w:cs="Times New Roman"/>
                <w:kern w:val="0"/>
                <w:sz w:val="21"/>
                <w:szCs w:val="21"/>
              </w:rPr>
            </w:pPr>
          </w:p>
        </w:tc>
        <w:tc>
          <w:tcPr>
            <w:tcW w:w="361" w:type="pct"/>
            <w:vMerge w:val="restart"/>
            <w:vAlign w:val="center"/>
          </w:tcPr>
          <w:p w14:paraId="0C685AF8">
            <w:pPr>
              <w:pStyle w:val="445"/>
              <w:rPr>
                <w:rFonts w:cs="Times New Roman"/>
                <w:kern w:val="0"/>
                <w:szCs w:val="20"/>
              </w:rPr>
            </w:pPr>
            <w:r>
              <w:rPr>
                <w:rFonts w:hint="eastAsia" w:cs="Times New Roman"/>
                <w:kern w:val="0"/>
                <w:szCs w:val="20"/>
              </w:rPr>
              <w:t>220</w:t>
            </w:r>
          </w:p>
        </w:tc>
      </w:tr>
      <w:tr w14:paraId="510D6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026A4DB3">
            <w:pPr>
              <w:pStyle w:val="445"/>
              <w:rPr>
                <w:rFonts w:cs="Times New Roman"/>
                <w:kern w:val="0"/>
                <w:szCs w:val="20"/>
              </w:rPr>
            </w:pPr>
          </w:p>
        </w:tc>
        <w:tc>
          <w:tcPr>
            <w:tcW w:w="369" w:type="pct"/>
            <w:vAlign w:val="center"/>
          </w:tcPr>
          <w:p w14:paraId="43338C2B">
            <w:pPr>
              <w:pStyle w:val="445"/>
              <w:rPr>
                <w:rFonts w:cs="Times New Roman"/>
                <w:kern w:val="0"/>
                <w:szCs w:val="20"/>
              </w:rPr>
            </w:pPr>
            <w:r>
              <w:rPr>
                <w:rFonts w:hint="eastAsia" w:cs="Times New Roman"/>
                <w:kern w:val="0"/>
                <w:szCs w:val="20"/>
              </w:rPr>
              <w:t>纯水</w:t>
            </w:r>
            <w:r>
              <w:rPr>
                <w:rFonts w:cs="Times New Roman"/>
                <w:kern w:val="0"/>
                <w:szCs w:val="20"/>
              </w:rPr>
              <w:t>制备排水</w:t>
            </w:r>
          </w:p>
        </w:tc>
        <w:tc>
          <w:tcPr>
            <w:tcW w:w="581" w:type="pct"/>
            <w:vMerge w:val="continue"/>
            <w:vAlign w:val="center"/>
          </w:tcPr>
          <w:p w14:paraId="2B9513AF">
            <w:pPr>
              <w:pStyle w:val="445"/>
              <w:rPr>
                <w:rFonts w:cs="Times New Roman"/>
                <w:kern w:val="0"/>
                <w:szCs w:val="20"/>
              </w:rPr>
            </w:pPr>
          </w:p>
        </w:tc>
        <w:tc>
          <w:tcPr>
            <w:tcW w:w="1687" w:type="pct"/>
            <w:vMerge w:val="continue"/>
            <w:vAlign w:val="center"/>
          </w:tcPr>
          <w:p w14:paraId="1120E4B0">
            <w:pPr>
              <w:pStyle w:val="445"/>
              <w:rPr>
                <w:rFonts w:cs="Times New Roman"/>
                <w:kern w:val="0"/>
                <w:szCs w:val="20"/>
              </w:rPr>
            </w:pPr>
          </w:p>
        </w:tc>
        <w:tc>
          <w:tcPr>
            <w:tcW w:w="1346" w:type="pct"/>
            <w:vMerge w:val="continue"/>
            <w:vAlign w:val="center"/>
          </w:tcPr>
          <w:p w14:paraId="35F1EBAF">
            <w:pPr>
              <w:pStyle w:val="445"/>
              <w:rPr>
                <w:rFonts w:cs="Times New Roman"/>
                <w:kern w:val="0"/>
                <w:szCs w:val="20"/>
              </w:rPr>
            </w:pPr>
          </w:p>
        </w:tc>
        <w:tc>
          <w:tcPr>
            <w:tcW w:w="0" w:type="auto"/>
            <w:vMerge w:val="continue"/>
            <w:vAlign w:val="center"/>
          </w:tcPr>
          <w:p w14:paraId="1CEB77CF">
            <w:pPr>
              <w:pStyle w:val="445"/>
              <w:rPr>
                <w:rFonts w:cs="Times New Roman"/>
                <w:kern w:val="0"/>
                <w:sz w:val="21"/>
                <w:szCs w:val="21"/>
              </w:rPr>
            </w:pPr>
          </w:p>
        </w:tc>
        <w:tc>
          <w:tcPr>
            <w:tcW w:w="361" w:type="pct"/>
            <w:vMerge w:val="continue"/>
            <w:vAlign w:val="center"/>
          </w:tcPr>
          <w:p w14:paraId="106014DF">
            <w:pPr>
              <w:pStyle w:val="445"/>
              <w:rPr>
                <w:rFonts w:cs="Times New Roman"/>
                <w:kern w:val="0"/>
                <w:szCs w:val="20"/>
              </w:rPr>
            </w:pPr>
          </w:p>
        </w:tc>
      </w:tr>
      <w:tr w14:paraId="1EBA2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7230DEC1">
            <w:pPr>
              <w:pStyle w:val="445"/>
              <w:rPr>
                <w:rFonts w:cs="Times New Roman"/>
                <w:kern w:val="0"/>
                <w:szCs w:val="20"/>
              </w:rPr>
            </w:pPr>
          </w:p>
        </w:tc>
        <w:tc>
          <w:tcPr>
            <w:tcW w:w="369" w:type="pct"/>
            <w:vAlign w:val="center"/>
          </w:tcPr>
          <w:p w14:paraId="57DE7984">
            <w:pPr>
              <w:pStyle w:val="445"/>
              <w:rPr>
                <w:rFonts w:cs="Times New Roman"/>
                <w:kern w:val="0"/>
                <w:szCs w:val="20"/>
              </w:rPr>
            </w:pPr>
            <w:r>
              <w:rPr>
                <w:rFonts w:hint="eastAsia" w:cs="Times New Roman"/>
                <w:kern w:val="0"/>
                <w:szCs w:val="20"/>
              </w:rPr>
              <w:t>设备</w:t>
            </w:r>
            <w:r>
              <w:rPr>
                <w:rFonts w:cs="Times New Roman"/>
                <w:kern w:val="0"/>
                <w:szCs w:val="20"/>
              </w:rPr>
              <w:t>冲洗水</w:t>
            </w:r>
          </w:p>
        </w:tc>
        <w:tc>
          <w:tcPr>
            <w:tcW w:w="581" w:type="pct"/>
            <w:vMerge w:val="continue"/>
            <w:vAlign w:val="center"/>
          </w:tcPr>
          <w:p w14:paraId="0CE8A0FC">
            <w:pPr>
              <w:pStyle w:val="445"/>
              <w:rPr>
                <w:rFonts w:cs="Times New Roman"/>
                <w:kern w:val="0"/>
                <w:szCs w:val="20"/>
              </w:rPr>
            </w:pPr>
          </w:p>
        </w:tc>
        <w:tc>
          <w:tcPr>
            <w:tcW w:w="1687" w:type="pct"/>
            <w:vMerge w:val="restart"/>
            <w:vAlign w:val="center"/>
          </w:tcPr>
          <w:p w14:paraId="5374A9D4">
            <w:pPr>
              <w:pStyle w:val="445"/>
              <w:rPr>
                <w:rFonts w:cs="Times New Roman"/>
                <w:kern w:val="0"/>
                <w:szCs w:val="20"/>
              </w:rPr>
            </w:pPr>
            <w:r>
              <w:rPr>
                <w:rFonts w:hint="eastAsia" w:cs="Times New Roman"/>
                <w:kern w:val="0"/>
                <w:szCs w:val="20"/>
              </w:rPr>
              <w:t>经“调节池+混凝沉淀+水解酸化+MBR”工艺后，接管沫河口园区污水处理厂</w:t>
            </w:r>
          </w:p>
        </w:tc>
        <w:tc>
          <w:tcPr>
            <w:tcW w:w="1346" w:type="pct"/>
            <w:vMerge w:val="continue"/>
            <w:vAlign w:val="center"/>
          </w:tcPr>
          <w:p w14:paraId="3DA41264">
            <w:pPr>
              <w:pStyle w:val="445"/>
              <w:rPr>
                <w:rFonts w:cs="Times New Roman"/>
                <w:kern w:val="0"/>
                <w:szCs w:val="20"/>
              </w:rPr>
            </w:pPr>
          </w:p>
        </w:tc>
        <w:tc>
          <w:tcPr>
            <w:tcW w:w="0" w:type="auto"/>
            <w:vMerge w:val="continue"/>
            <w:vAlign w:val="center"/>
          </w:tcPr>
          <w:p w14:paraId="5A626124">
            <w:pPr>
              <w:pStyle w:val="445"/>
              <w:rPr>
                <w:rFonts w:cs="Times New Roman"/>
                <w:kern w:val="0"/>
                <w:sz w:val="21"/>
                <w:szCs w:val="21"/>
              </w:rPr>
            </w:pPr>
          </w:p>
        </w:tc>
        <w:tc>
          <w:tcPr>
            <w:tcW w:w="361" w:type="pct"/>
            <w:vMerge w:val="continue"/>
            <w:vAlign w:val="center"/>
          </w:tcPr>
          <w:p w14:paraId="0B35819E">
            <w:pPr>
              <w:pStyle w:val="445"/>
              <w:rPr>
                <w:rFonts w:cs="Times New Roman"/>
                <w:kern w:val="0"/>
                <w:szCs w:val="20"/>
              </w:rPr>
            </w:pPr>
          </w:p>
        </w:tc>
      </w:tr>
      <w:tr w14:paraId="15F64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2B09E9EC">
            <w:pPr>
              <w:pStyle w:val="445"/>
              <w:rPr>
                <w:rFonts w:cs="Times New Roman"/>
                <w:kern w:val="0"/>
                <w:szCs w:val="20"/>
              </w:rPr>
            </w:pPr>
          </w:p>
        </w:tc>
        <w:tc>
          <w:tcPr>
            <w:tcW w:w="369" w:type="pct"/>
            <w:vAlign w:val="center"/>
          </w:tcPr>
          <w:p w14:paraId="365FDE99">
            <w:pPr>
              <w:pStyle w:val="445"/>
              <w:rPr>
                <w:rFonts w:cs="Times New Roman"/>
                <w:kern w:val="0"/>
                <w:szCs w:val="20"/>
              </w:rPr>
            </w:pPr>
          </w:p>
        </w:tc>
        <w:tc>
          <w:tcPr>
            <w:tcW w:w="581" w:type="pct"/>
            <w:vMerge w:val="continue"/>
            <w:vAlign w:val="center"/>
          </w:tcPr>
          <w:p w14:paraId="16EB6196">
            <w:pPr>
              <w:pStyle w:val="445"/>
              <w:rPr>
                <w:rFonts w:cs="Times New Roman"/>
                <w:kern w:val="0"/>
                <w:szCs w:val="20"/>
              </w:rPr>
            </w:pPr>
          </w:p>
        </w:tc>
        <w:tc>
          <w:tcPr>
            <w:tcW w:w="1687" w:type="pct"/>
            <w:vMerge w:val="continue"/>
            <w:vAlign w:val="center"/>
          </w:tcPr>
          <w:p w14:paraId="5F0B6E57">
            <w:pPr>
              <w:pStyle w:val="445"/>
              <w:rPr>
                <w:rFonts w:cs="Times New Roman"/>
                <w:kern w:val="0"/>
                <w:szCs w:val="20"/>
              </w:rPr>
            </w:pPr>
          </w:p>
        </w:tc>
        <w:tc>
          <w:tcPr>
            <w:tcW w:w="1346" w:type="pct"/>
            <w:vMerge w:val="continue"/>
            <w:vAlign w:val="center"/>
          </w:tcPr>
          <w:p w14:paraId="5494D7F2">
            <w:pPr>
              <w:pStyle w:val="445"/>
              <w:rPr>
                <w:rFonts w:cs="Times New Roman"/>
                <w:kern w:val="0"/>
                <w:szCs w:val="20"/>
              </w:rPr>
            </w:pPr>
          </w:p>
        </w:tc>
        <w:tc>
          <w:tcPr>
            <w:tcW w:w="0" w:type="auto"/>
            <w:vMerge w:val="continue"/>
            <w:vAlign w:val="center"/>
          </w:tcPr>
          <w:p w14:paraId="6D2D3EAC">
            <w:pPr>
              <w:pStyle w:val="445"/>
              <w:rPr>
                <w:rFonts w:cs="Times New Roman"/>
                <w:kern w:val="0"/>
                <w:sz w:val="21"/>
                <w:szCs w:val="21"/>
              </w:rPr>
            </w:pPr>
          </w:p>
        </w:tc>
        <w:tc>
          <w:tcPr>
            <w:tcW w:w="361" w:type="pct"/>
            <w:vMerge w:val="continue"/>
            <w:vAlign w:val="center"/>
          </w:tcPr>
          <w:p w14:paraId="7BCA2B91">
            <w:pPr>
              <w:pStyle w:val="445"/>
              <w:rPr>
                <w:rFonts w:cs="Times New Roman"/>
                <w:kern w:val="0"/>
                <w:szCs w:val="20"/>
              </w:rPr>
            </w:pPr>
          </w:p>
        </w:tc>
      </w:tr>
      <w:tr w14:paraId="6A818D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7BFDA301">
            <w:pPr>
              <w:pStyle w:val="445"/>
              <w:rPr>
                <w:rFonts w:cs="Times New Roman"/>
                <w:kern w:val="0"/>
                <w:szCs w:val="20"/>
              </w:rPr>
            </w:pPr>
          </w:p>
        </w:tc>
        <w:tc>
          <w:tcPr>
            <w:tcW w:w="369" w:type="pct"/>
            <w:vAlign w:val="center"/>
          </w:tcPr>
          <w:p w14:paraId="4C6345BD">
            <w:pPr>
              <w:pStyle w:val="445"/>
              <w:rPr>
                <w:rFonts w:cs="Times New Roman"/>
                <w:kern w:val="0"/>
                <w:szCs w:val="20"/>
              </w:rPr>
            </w:pPr>
            <w:r>
              <w:rPr>
                <w:rFonts w:hint="eastAsia" w:cs="Times New Roman"/>
                <w:bCs/>
                <w:kern w:val="0"/>
                <w:szCs w:val="20"/>
              </w:rPr>
              <w:t>地面</w:t>
            </w:r>
            <w:r>
              <w:rPr>
                <w:rFonts w:cs="Times New Roman"/>
                <w:bCs/>
                <w:kern w:val="0"/>
                <w:szCs w:val="20"/>
              </w:rPr>
              <w:t>冲洗水</w:t>
            </w:r>
          </w:p>
        </w:tc>
        <w:tc>
          <w:tcPr>
            <w:tcW w:w="581" w:type="pct"/>
            <w:vMerge w:val="continue"/>
            <w:vAlign w:val="center"/>
          </w:tcPr>
          <w:p w14:paraId="17773E8D">
            <w:pPr>
              <w:pStyle w:val="445"/>
              <w:rPr>
                <w:rFonts w:cs="Times New Roman"/>
                <w:kern w:val="0"/>
                <w:szCs w:val="20"/>
              </w:rPr>
            </w:pPr>
          </w:p>
        </w:tc>
        <w:tc>
          <w:tcPr>
            <w:tcW w:w="1687" w:type="pct"/>
            <w:vMerge w:val="continue"/>
            <w:vAlign w:val="center"/>
          </w:tcPr>
          <w:p w14:paraId="54A7675C">
            <w:pPr>
              <w:pStyle w:val="445"/>
              <w:rPr>
                <w:rFonts w:cs="Times New Roman"/>
                <w:kern w:val="0"/>
                <w:szCs w:val="20"/>
              </w:rPr>
            </w:pPr>
          </w:p>
        </w:tc>
        <w:tc>
          <w:tcPr>
            <w:tcW w:w="1346" w:type="pct"/>
            <w:vMerge w:val="continue"/>
            <w:vAlign w:val="center"/>
          </w:tcPr>
          <w:p w14:paraId="353520D8">
            <w:pPr>
              <w:pStyle w:val="445"/>
              <w:rPr>
                <w:rFonts w:cs="Times New Roman"/>
                <w:kern w:val="0"/>
                <w:szCs w:val="20"/>
              </w:rPr>
            </w:pPr>
          </w:p>
        </w:tc>
        <w:tc>
          <w:tcPr>
            <w:tcW w:w="0" w:type="auto"/>
            <w:vMerge w:val="continue"/>
            <w:vAlign w:val="center"/>
          </w:tcPr>
          <w:p w14:paraId="5239D1F0">
            <w:pPr>
              <w:pStyle w:val="445"/>
              <w:rPr>
                <w:rFonts w:cs="Times New Roman"/>
                <w:kern w:val="0"/>
                <w:sz w:val="21"/>
                <w:szCs w:val="21"/>
              </w:rPr>
            </w:pPr>
          </w:p>
        </w:tc>
        <w:tc>
          <w:tcPr>
            <w:tcW w:w="361" w:type="pct"/>
            <w:vMerge w:val="continue"/>
            <w:vAlign w:val="center"/>
          </w:tcPr>
          <w:p w14:paraId="0F37CB5E">
            <w:pPr>
              <w:pStyle w:val="445"/>
              <w:rPr>
                <w:rFonts w:cs="Times New Roman"/>
                <w:kern w:val="0"/>
                <w:szCs w:val="20"/>
              </w:rPr>
            </w:pPr>
          </w:p>
        </w:tc>
      </w:tr>
      <w:tr w14:paraId="68A6A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279D4685">
            <w:pPr>
              <w:pStyle w:val="445"/>
              <w:rPr>
                <w:rFonts w:cs="Times New Roman"/>
                <w:kern w:val="0"/>
                <w:szCs w:val="20"/>
              </w:rPr>
            </w:pPr>
          </w:p>
        </w:tc>
        <w:tc>
          <w:tcPr>
            <w:tcW w:w="369" w:type="pct"/>
            <w:vAlign w:val="center"/>
          </w:tcPr>
          <w:p w14:paraId="57A734F5">
            <w:pPr>
              <w:pStyle w:val="445"/>
              <w:rPr>
                <w:rFonts w:cs="Times New Roman"/>
                <w:kern w:val="0"/>
                <w:szCs w:val="20"/>
              </w:rPr>
            </w:pPr>
            <w:r>
              <w:rPr>
                <w:rFonts w:cs="Times New Roman"/>
                <w:kern w:val="0"/>
                <w:szCs w:val="20"/>
              </w:rPr>
              <w:t>废气处理系统排水</w:t>
            </w:r>
          </w:p>
        </w:tc>
        <w:tc>
          <w:tcPr>
            <w:tcW w:w="581" w:type="pct"/>
            <w:vMerge w:val="continue"/>
            <w:vAlign w:val="center"/>
          </w:tcPr>
          <w:p w14:paraId="44A77046">
            <w:pPr>
              <w:pStyle w:val="445"/>
              <w:rPr>
                <w:rFonts w:cs="Times New Roman"/>
                <w:kern w:val="0"/>
                <w:szCs w:val="20"/>
              </w:rPr>
            </w:pPr>
          </w:p>
        </w:tc>
        <w:tc>
          <w:tcPr>
            <w:tcW w:w="1687" w:type="pct"/>
            <w:vMerge w:val="continue"/>
            <w:vAlign w:val="center"/>
          </w:tcPr>
          <w:p w14:paraId="668AFC07">
            <w:pPr>
              <w:pStyle w:val="445"/>
              <w:rPr>
                <w:rFonts w:cs="Times New Roman"/>
                <w:kern w:val="0"/>
                <w:szCs w:val="20"/>
              </w:rPr>
            </w:pPr>
          </w:p>
        </w:tc>
        <w:tc>
          <w:tcPr>
            <w:tcW w:w="1346" w:type="pct"/>
            <w:vMerge w:val="continue"/>
            <w:vAlign w:val="center"/>
          </w:tcPr>
          <w:p w14:paraId="7CF38722">
            <w:pPr>
              <w:pStyle w:val="445"/>
              <w:rPr>
                <w:rFonts w:cs="Times New Roman"/>
                <w:kern w:val="0"/>
                <w:szCs w:val="20"/>
              </w:rPr>
            </w:pPr>
          </w:p>
        </w:tc>
        <w:tc>
          <w:tcPr>
            <w:tcW w:w="0" w:type="auto"/>
            <w:vMerge w:val="continue"/>
            <w:vAlign w:val="center"/>
          </w:tcPr>
          <w:p w14:paraId="25942774">
            <w:pPr>
              <w:pStyle w:val="445"/>
              <w:rPr>
                <w:rFonts w:cs="Times New Roman"/>
                <w:kern w:val="0"/>
                <w:sz w:val="21"/>
                <w:szCs w:val="21"/>
              </w:rPr>
            </w:pPr>
          </w:p>
        </w:tc>
        <w:tc>
          <w:tcPr>
            <w:tcW w:w="361" w:type="pct"/>
            <w:vMerge w:val="continue"/>
            <w:vAlign w:val="center"/>
          </w:tcPr>
          <w:p w14:paraId="3FBA499C">
            <w:pPr>
              <w:pStyle w:val="445"/>
              <w:rPr>
                <w:rFonts w:cs="Times New Roman"/>
                <w:kern w:val="0"/>
                <w:szCs w:val="20"/>
              </w:rPr>
            </w:pPr>
          </w:p>
        </w:tc>
      </w:tr>
      <w:tr w14:paraId="1C303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76F9320C">
            <w:pPr>
              <w:pStyle w:val="445"/>
              <w:rPr>
                <w:rFonts w:cs="Times New Roman"/>
                <w:kern w:val="0"/>
                <w:szCs w:val="20"/>
              </w:rPr>
            </w:pPr>
          </w:p>
        </w:tc>
        <w:tc>
          <w:tcPr>
            <w:tcW w:w="369" w:type="pct"/>
            <w:vAlign w:val="center"/>
          </w:tcPr>
          <w:p w14:paraId="5101E1E1">
            <w:pPr>
              <w:pStyle w:val="445"/>
              <w:rPr>
                <w:rFonts w:cs="Times New Roman"/>
                <w:kern w:val="0"/>
                <w:szCs w:val="20"/>
              </w:rPr>
            </w:pPr>
            <w:r>
              <w:rPr>
                <w:rFonts w:hint="eastAsia" w:cs="Times New Roman"/>
                <w:kern w:val="0"/>
                <w:szCs w:val="20"/>
              </w:rPr>
              <w:t>实验室废水</w:t>
            </w:r>
          </w:p>
        </w:tc>
        <w:tc>
          <w:tcPr>
            <w:tcW w:w="581" w:type="pct"/>
            <w:vMerge w:val="continue"/>
            <w:vAlign w:val="center"/>
          </w:tcPr>
          <w:p w14:paraId="504367C1">
            <w:pPr>
              <w:pStyle w:val="445"/>
              <w:rPr>
                <w:rFonts w:cs="Times New Roman"/>
                <w:kern w:val="0"/>
                <w:szCs w:val="20"/>
              </w:rPr>
            </w:pPr>
          </w:p>
        </w:tc>
        <w:tc>
          <w:tcPr>
            <w:tcW w:w="1687" w:type="pct"/>
            <w:vMerge w:val="continue"/>
            <w:vAlign w:val="center"/>
          </w:tcPr>
          <w:p w14:paraId="44F029FC">
            <w:pPr>
              <w:pStyle w:val="445"/>
              <w:rPr>
                <w:rFonts w:cs="Times New Roman"/>
                <w:kern w:val="0"/>
                <w:szCs w:val="20"/>
              </w:rPr>
            </w:pPr>
          </w:p>
        </w:tc>
        <w:tc>
          <w:tcPr>
            <w:tcW w:w="1346" w:type="pct"/>
            <w:vMerge w:val="continue"/>
            <w:vAlign w:val="center"/>
          </w:tcPr>
          <w:p w14:paraId="4C877E57">
            <w:pPr>
              <w:pStyle w:val="445"/>
              <w:rPr>
                <w:rFonts w:cs="Times New Roman"/>
                <w:kern w:val="0"/>
                <w:szCs w:val="20"/>
              </w:rPr>
            </w:pPr>
          </w:p>
        </w:tc>
        <w:tc>
          <w:tcPr>
            <w:tcW w:w="0" w:type="auto"/>
            <w:vMerge w:val="continue"/>
            <w:vAlign w:val="center"/>
          </w:tcPr>
          <w:p w14:paraId="0506A8A0">
            <w:pPr>
              <w:pStyle w:val="445"/>
              <w:rPr>
                <w:rFonts w:cs="Times New Roman"/>
                <w:kern w:val="0"/>
                <w:sz w:val="21"/>
                <w:szCs w:val="21"/>
              </w:rPr>
            </w:pPr>
          </w:p>
        </w:tc>
        <w:tc>
          <w:tcPr>
            <w:tcW w:w="361" w:type="pct"/>
            <w:vMerge w:val="continue"/>
            <w:vAlign w:val="center"/>
          </w:tcPr>
          <w:p w14:paraId="6B7FAD82">
            <w:pPr>
              <w:pStyle w:val="445"/>
              <w:rPr>
                <w:rFonts w:cs="Times New Roman"/>
                <w:kern w:val="0"/>
                <w:szCs w:val="20"/>
              </w:rPr>
            </w:pPr>
          </w:p>
        </w:tc>
      </w:tr>
      <w:tr w14:paraId="206EA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continue"/>
            <w:vAlign w:val="center"/>
          </w:tcPr>
          <w:p w14:paraId="38720E39">
            <w:pPr>
              <w:pStyle w:val="445"/>
              <w:rPr>
                <w:rFonts w:cs="Times New Roman"/>
                <w:kern w:val="0"/>
                <w:szCs w:val="20"/>
              </w:rPr>
            </w:pPr>
          </w:p>
        </w:tc>
        <w:tc>
          <w:tcPr>
            <w:tcW w:w="369" w:type="pct"/>
            <w:vAlign w:val="center"/>
          </w:tcPr>
          <w:p w14:paraId="0A9861F9">
            <w:pPr>
              <w:pStyle w:val="445"/>
              <w:rPr>
                <w:rFonts w:cs="Times New Roman"/>
                <w:kern w:val="0"/>
                <w:szCs w:val="20"/>
              </w:rPr>
            </w:pPr>
            <w:r>
              <w:rPr>
                <w:rFonts w:hint="eastAsia" w:cs="Times New Roman"/>
                <w:kern w:val="0"/>
                <w:szCs w:val="20"/>
              </w:rPr>
              <w:t>生活污水</w:t>
            </w:r>
          </w:p>
        </w:tc>
        <w:tc>
          <w:tcPr>
            <w:tcW w:w="581" w:type="pct"/>
            <w:vMerge w:val="continue"/>
            <w:vAlign w:val="center"/>
          </w:tcPr>
          <w:p w14:paraId="12F348F4">
            <w:pPr>
              <w:pStyle w:val="445"/>
              <w:rPr>
                <w:rFonts w:cs="Times New Roman"/>
                <w:kern w:val="0"/>
                <w:szCs w:val="20"/>
              </w:rPr>
            </w:pPr>
          </w:p>
        </w:tc>
        <w:tc>
          <w:tcPr>
            <w:tcW w:w="1687" w:type="pct"/>
            <w:vMerge w:val="continue"/>
            <w:vAlign w:val="center"/>
          </w:tcPr>
          <w:p w14:paraId="1A4274A9">
            <w:pPr>
              <w:pStyle w:val="445"/>
              <w:rPr>
                <w:rFonts w:cs="Times New Roman"/>
                <w:kern w:val="0"/>
                <w:szCs w:val="20"/>
              </w:rPr>
            </w:pPr>
          </w:p>
        </w:tc>
        <w:tc>
          <w:tcPr>
            <w:tcW w:w="1346" w:type="pct"/>
            <w:vMerge w:val="continue"/>
            <w:vAlign w:val="center"/>
          </w:tcPr>
          <w:p w14:paraId="02823DD5">
            <w:pPr>
              <w:pStyle w:val="445"/>
              <w:rPr>
                <w:rFonts w:cs="Times New Roman"/>
                <w:kern w:val="0"/>
                <w:szCs w:val="20"/>
              </w:rPr>
            </w:pPr>
          </w:p>
        </w:tc>
        <w:tc>
          <w:tcPr>
            <w:tcW w:w="0" w:type="auto"/>
            <w:vMerge w:val="continue"/>
            <w:vAlign w:val="center"/>
          </w:tcPr>
          <w:p w14:paraId="598ABDF6">
            <w:pPr>
              <w:pStyle w:val="445"/>
              <w:rPr>
                <w:rFonts w:cs="Times New Roman"/>
                <w:kern w:val="0"/>
                <w:sz w:val="21"/>
                <w:szCs w:val="21"/>
              </w:rPr>
            </w:pPr>
          </w:p>
        </w:tc>
        <w:tc>
          <w:tcPr>
            <w:tcW w:w="361" w:type="pct"/>
            <w:vMerge w:val="continue"/>
            <w:vAlign w:val="center"/>
          </w:tcPr>
          <w:p w14:paraId="3AA67F4E">
            <w:pPr>
              <w:pStyle w:val="445"/>
              <w:rPr>
                <w:rFonts w:cs="Times New Roman"/>
                <w:kern w:val="0"/>
                <w:szCs w:val="20"/>
              </w:rPr>
            </w:pPr>
          </w:p>
        </w:tc>
      </w:tr>
      <w:tr w14:paraId="6680F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500A35BF">
            <w:pPr>
              <w:pStyle w:val="445"/>
              <w:rPr>
                <w:rFonts w:cs="Times New Roman"/>
                <w:kern w:val="0"/>
                <w:sz w:val="21"/>
                <w:szCs w:val="21"/>
              </w:rPr>
            </w:pPr>
          </w:p>
        </w:tc>
        <w:tc>
          <w:tcPr>
            <w:tcW w:w="369" w:type="pct"/>
            <w:vAlign w:val="center"/>
          </w:tcPr>
          <w:p w14:paraId="32BCC611">
            <w:pPr>
              <w:pStyle w:val="445"/>
              <w:rPr>
                <w:rFonts w:cs="Times New Roman"/>
                <w:kern w:val="0"/>
                <w:szCs w:val="20"/>
              </w:rPr>
            </w:pPr>
            <w:r>
              <w:rPr>
                <w:rFonts w:hint="eastAsia" w:cs="Times New Roman"/>
                <w:kern w:val="0"/>
                <w:szCs w:val="20"/>
              </w:rPr>
              <w:t>再生水</w:t>
            </w:r>
          </w:p>
        </w:tc>
        <w:tc>
          <w:tcPr>
            <w:tcW w:w="0" w:type="auto"/>
            <w:vMerge w:val="continue"/>
            <w:vAlign w:val="center"/>
          </w:tcPr>
          <w:p w14:paraId="0F074050">
            <w:pPr>
              <w:pStyle w:val="445"/>
              <w:rPr>
                <w:rFonts w:cs="Times New Roman"/>
                <w:kern w:val="0"/>
                <w:sz w:val="21"/>
                <w:szCs w:val="21"/>
              </w:rPr>
            </w:pPr>
          </w:p>
        </w:tc>
        <w:tc>
          <w:tcPr>
            <w:tcW w:w="0" w:type="auto"/>
            <w:vMerge w:val="continue"/>
            <w:vAlign w:val="center"/>
          </w:tcPr>
          <w:p w14:paraId="243AF124">
            <w:pPr>
              <w:pStyle w:val="445"/>
              <w:rPr>
                <w:rFonts w:cs="Times New Roman"/>
                <w:kern w:val="0"/>
                <w:sz w:val="21"/>
                <w:szCs w:val="21"/>
              </w:rPr>
            </w:pPr>
          </w:p>
        </w:tc>
        <w:tc>
          <w:tcPr>
            <w:tcW w:w="0" w:type="auto"/>
            <w:vMerge w:val="continue"/>
            <w:vAlign w:val="center"/>
          </w:tcPr>
          <w:p w14:paraId="0441AEC6">
            <w:pPr>
              <w:pStyle w:val="445"/>
              <w:rPr>
                <w:rFonts w:cs="Times New Roman"/>
                <w:kern w:val="0"/>
                <w:sz w:val="21"/>
                <w:szCs w:val="21"/>
              </w:rPr>
            </w:pPr>
          </w:p>
        </w:tc>
        <w:tc>
          <w:tcPr>
            <w:tcW w:w="0" w:type="auto"/>
            <w:vMerge w:val="continue"/>
            <w:vAlign w:val="center"/>
          </w:tcPr>
          <w:p w14:paraId="66DA9A59">
            <w:pPr>
              <w:pStyle w:val="445"/>
              <w:rPr>
                <w:rFonts w:cs="Times New Roman"/>
                <w:kern w:val="0"/>
                <w:sz w:val="21"/>
                <w:szCs w:val="21"/>
              </w:rPr>
            </w:pPr>
          </w:p>
        </w:tc>
        <w:tc>
          <w:tcPr>
            <w:tcW w:w="0" w:type="auto"/>
            <w:vMerge w:val="continue"/>
            <w:vAlign w:val="center"/>
          </w:tcPr>
          <w:p w14:paraId="6B603FEA">
            <w:pPr>
              <w:pStyle w:val="445"/>
              <w:rPr>
                <w:rFonts w:cs="Times New Roman"/>
                <w:kern w:val="0"/>
                <w:sz w:val="21"/>
                <w:szCs w:val="21"/>
              </w:rPr>
            </w:pPr>
          </w:p>
        </w:tc>
      </w:tr>
      <w:tr w14:paraId="0CF56F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7B901416">
            <w:pPr>
              <w:pStyle w:val="445"/>
              <w:rPr>
                <w:rFonts w:cs="Times New Roman"/>
                <w:kern w:val="0"/>
                <w:sz w:val="21"/>
                <w:szCs w:val="21"/>
              </w:rPr>
            </w:pPr>
          </w:p>
        </w:tc>
        <w:tc>
          <w:tcPr>
            <w:tcW w:w="369" w:type="pct"/>
            <w:vAlign w:val="center"/>
          </w:tcPr>
          <w:p w14:paraId="615F86D4">
            <w:pPr>
              <w:pStyle w:val="445"/>
              <w:rPr>
                <w:rFonts w:cs="Times New Roman"/>
                <w:kern w:val="0"/>
                <w:szCs w:val="20"/>
              </w:rPr>
            </w:pPr>
            <w:r>
              <w:rPr>
                <w:rFonts w:hint="eastAsia" w:cs="Times New Roman"/>
                <w:kern w:val="0"/>
                <w:szCs w:val="20"/>
              </w:rPr>
              <w:t>初期雨水</w:t>
            </w:r>
          </w:p>
        </w:tc>
        <w:tc>
          <w:tcPr>
            <w:tcW w:w="0" w:type="auto"/>
            <w:vMerge w:val="continue"/>
            <w:vAlign w:val="center"/>
          </w:tcPr>
          <w:p w14:paraId="28C45027">
            <w:pPr>
              <w:pStyle w:val="445"/>
              <w:rPr>
                <w:rFonts w:cs="Times New Roman"/>
                <w:kern w:val="0"/>
                <w:sz w:val="21"/>
                <w:szCs w:val="21"/>
              </w:rPr>
            </w:pPr>
          </w:p>
        </w:tc>
        <w:tc>
          <w:tcPr>
            <w:tcW w:w="0" w:type="auto"/>
            <w:vMerge w:val="continue"/>
            <w:vAlign w:val="center"/>
          </w:tcPr>
          <w:p w14:paraId="0E43B98B">
            <w:pPr>
              <w:pStyle w:val="445"/>
              <w:rPr>
                <w:rFonts w:cs="Times New Roman"/>
                <w:kern w:val="0"/>
                <w:sz w:val="21"/>
                <w:szCs w:val="21"/>
              </w:rPr>
            </w:pPr>
          </w:p>
        </w:tc>
        <w:tc>
          <w:tcPr>
            <w:tcW w:w="0" w:type="auto"/>
            <w:vMerge w:val="continue"/>
            <w:vAlign w:val="center"/>
          </w:tcPr>
          <w:p w14:paraId="5731C703">
            <w:pPr>
              <w:pStyle w:val="445"/>
              <w:rPr>
                <w:rFonts w:cs="Times New Roman"/>
                <w:kern w:val="0"/>
                <w:sz w:val="21"/>
                <w:szCs w:val="21"/>
              </w:rPr>
            </w:pPr>
          </w:p>
        </w:tc>
        <w:tc>
          <w:tcPr>
            <w:tcW w:w="0" w:type="auto"/>
            <w:vMerge w:val="continue"/>
            <w:vAlign w:val="center"/>
          </w:tcPr>
          <w:p w14:paraId="2BAC9CCD">
            <w:pPr>
              <w:pStyle w:val="445"/>
              <w:rPr>
                <w:rFonts w:cs="Times New Roman"/>
                <w:kern w:val="0"/>
                <w:sz w:val="21"/>
                <w:szCs w:val="21"/>
              </w:rPr>
            </w:pPr>
          </w:p>
        </w:tc>
        <w:tc>
          <w:tcPr>
            <w:tcW w:w="0" w:type="auto"/>
            <w:vMerge w:val="continue"/>
            <w:vAlign w:val="center"/>
          </w:tcPr>
          <w:p w14:paraId="18082EBB">
            <w:pPr>
              <w:pStyle w:val="445"/>
              <w:rPr>
                <w:rFonts w:cs="Times New Roman"/>
                <w:kern w:val="0"/>
                <w:sz w:val="21"/>
                <w:szCs w:val="21"/>
              </w:rPr>
            </w:pPr>
          </w:p>
        </w:tc>
      </w:tr>
      <w:tr w14:paraId="0E22D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Merge w:val="restart"/>
            <w:vAlign w:val="center"/>
          </w:tcPr>
          <w:p w14:paraId="3EC8806E">
            <w:pPr>
              <w:pStyle w:val="445"/>
              <w:rPr>
                <w:rFonts w:cs="Times New Roman"/>
                <w:kern w:val="0"/>
                <w:szCs w:val="20"/>
              </w:rPr>
            </w:pPr>
            <w:r>
              <w:rPr>
                <w:rFonts w:cs="Times New Roman"/>
                <w:kern w:val="0"/>
                <w:szCs w:val="20"/>
              </w:rPr>
              <w:t>固废</w:t>
            </w:r>
          </w:p>
        </w:tc>
        <w:tc>
          <w:tcPr>
            <w:tcW w:w="950" w:type="pct"/>
            <w:gridSpan w:val="2"/>
            <w:vAlign w:val="center"/>
          </w:tcPr>
          <w:p w14:paraId="2CF3C8FD">
            <w:pPr>
              <w:pStyle w:val="445"/>
              <w:rPr>
                <w:rFonts w:cs="Times New Roman"/>
                <w:kern w:val="0"/>
                <w:szCs w:val="20"/>
              </w:rPr>
            </w:pPr>
            <w:r>
              <w:rPr>
                <w:rFonts w:hint="eastAsia" w:cs="Times New Roman"/>
                <w:kern w:val="0"/>
                <w:szCs w:val="20"/>
              </w:rPr>
              <w:t>废渣</w:t>
            </w:r>
          </w:p>
        </w:tc>
        <w:tc>
          <w:tcPr>
            <w:tcW w:w="1687" w:type="pct"/>
            <w:vAlign w:val="center"/>
          </w:tcPr>
          <w:p w14:paraId="1F726143">
            <w:pPr>
              <w:pStyle w:val="445"/>
              <w:rPr>
                <w:rFonts w:cs="Times New Roman"/>
                <w:kern w:val="21"/>
                <w:szCs w:val="20"/>
              </w:rPr>
            </w:pPr>
            <w:r>
              <w:rPr>
                <w:rFonts w:hint="eastAsia" w:cs="Times New Roman"/>
                <w:kern w:val="21"/>
                <w:szCs w:val="20"/>
              </w:rPr>
              <w:t>外售</w:t>
            </w:r>
          </w:p>
        </w:tc>
        <w:tc>
          <w:tcPr>
            <w:tcW w:w="1346" w:type="pct"/>
            <w:vMerge w:val="restart"/>
            <w:vAlign w:val="center"/>
          </w:tcPr>
          <w:p w14:paraId="020A0888">
            <w:pPr>
              <w:pStyle w:val="445"/>
              <w:rPr>
                <w:rFonts w:cs="Times New Roman"/>
                <w:kern w:val="21"/>
                <w:szCs w:val="20"/>
              </w:rPr>
            </w:pPr>
            <w:r>
              <w:rPr>
                <w:rFonts w:cs="Times New Roman"/>
                <w:kern w:val="0"/>
                <w:szCs w:val="20"/>
              </w:rPr>
              <w:t>满足《危险废物贮存污染控制标准》（GB 18597-2001）</w:t>
            </w:r>
            <w:r>
              <w:rPr>
                <w:rFonts w:hint="eastAsia" w:cs="Times New Roman"/>
                <w:kern w:val="0"/>
                <w:szCs w:val="20"/>
              </w:rPr>
              <w:t>及</w:t>
            </w:r>
            <w:r>
              <w:rPr>
                <w:rFonts w:cs="Times New Roman"/>
                <w:kern w:val="0"/>
                <w:szCs w:val="20"/>
              </w:rPr>
              <w:t>修改清单</w:t>
            </w:r>
          </w:p>
        </w:tc>
        <w:tc>
          <w:tcPr>
            <w:tcW w:w="0" w:type="auto"/>
            <w:vMerge w:val="continue"/>
            <w:vAlign w:val="center"/>
          </w:tcPr>
          <w:p w14:paraId="55F5FDEE">
            <w:pPr>
              <w:pStyle w:val="445"/>
              <w:rPr>
                <w:rFonts w:cs="Times New Roman"/>
                <w:kern w:val="0"/>
                <w:sz w:val="21"/>
                <w:szCs w:val="21"/>
              </w:rPr>
            </w:pPr>
          </w:p>
        </w:tc>
        <w:tc>
          <w:tcPr>
            <w:tcW w:w="361" w:type="pct"/>
            <w:vMerge w:val="restart"/>
            <w:vAlign w:val="center"/>
          </w:tcPr>
          <w:p w14:paraId="591B79F7">
            <w:pPr>
              <w:pStyle w:val="445"/>
              <w:rPr>
                <w:rFonts w:cs="Times New Roman"/>
                <w:kern w:val="0"/>
                <w:szCs w:val="20"/>
              </w:rPr>
            </w:pPr>
            <w:r>
              <w:rPr>
                <w:rFonts w:cs="Times New Roman"/>
                <w:kern w:val="0"/>
                <w:szCs w:val="20"/>
              </w:rPr>
              <w:t>2</w:t>
            </w:r>
            <w:r>
              <w:rPr>
                <w:rFonts w:hint="eastAsia" w:cs="Times New Roman"/>
                <w:kern w:val="0"/>
                <w:szCs w:val="20"/>
              </w:rPr>
              <w:t>8</w:t>
            </w:r>
          </w:p>
        </w:tc>
      </w:tr>
      <w:tr w14:paraId="08688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69709726">
            <w:pPr>
              <w:pStyle w:val="445"/>
              <w:rPr>
                <w:rFonts w:cs="Times New Roman"/>
                <w:kern w:val="0"/>
                <w:sz w:val="21"/>
                <w:szCs w:val="21"/>
              </w:rPr>
            </w:pPr>
          </w:p>
        </w:tc>
        <w:tc>
          <w:tcPr>
            <w:tcW w:w="950" w:type="pct"/>
            <w:gridSpan w:val="2"/>
            <w:vAlign w:val="center"/>
          </w:tcPr>
          <w:p w14:paraId="1F6374CF">
            <w:pPr>
              <w:pStyle w:val="445"/>
              <w:rPr>
                <w:rFonts w:cs="Times New Roman"/>
                <w:bCs/>
                <w:kern w:val="0"/>
                <w:szCs w:val="20"/>
              </w:rPr>
            </w:pPr>
            <w:r>
              <w:rPr>
                <w:rFonts w:hint="eastAsia" w:cs="Times New Roman"/>
                <w:kern w:val="0"/>
                <w:szCs w:val="20"/>
              </w:rPr>
              <w:t>精馏残渣</w:t>
            </w:r>
          </w:p>
        </w:tc>
        <w:tc>
          <w:tcPr>
            <w:tcW w:w="0" w:type="auto"/>
            <w:vAlign w:val="center"/>
          </w:tcPr>
          <w:p w14:paraId="4584E12C">
            <w:pPr>
              <w:pStyle w:val="445"/>
              <w:rPr>
                <w:rFonts w:cs="Times New Roman"/>
                <w:kern w:val="21"/>
                <w:sz w:val="21"/>
                <w:szCs w:val="21"/>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危废</w:t>
            </w:r>
            <w:r>
              <w:rPr>
                <w:rFonts w:cs="Times New Roman"/>
                <w:kern w:val="0"/>
                <w:szCs w:val="20"/>
              </w:rPr>
              <w:t>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15BF22C3">
            <w:pPr>
              <w:pStyle w:val="445"/>
              <w:rPr>
                <w:rFonts w:cs="Times New Roman"/>
                <w:kern w:val="21"/>
                <w:sz w:val="21"/>
                <w:szCs w:val="21"/>
              </w:rPr>
            </w:pPr>
          </w:p>
        </w:tc>
        <w:tc>
          <w:tcPr>
            <w:tcW w:w="0" w:type="auto"/>
            <w:vMerge w:val="continue"/>
            <w:vAlign w:val="center"/>
          </w:tcPr>
          <w:p w14:paraId="60A55B25">
            <w:pPr>
              <w:pStyle w:val="445"/>
              <w:rPr>
                <w:rFonts w:cs="Times New Roman"/>
                <w:kern w:val="0"/>
                <w:sz w:val="21"/>
                <w:szCs w:val="21"/>
              </w:rPr>
            </w:pPr>
          </w:p>
        </w:tc>
        <w:tc>
          <w:tcPr>
            <w:tcW w:w="0" w:type="auto"/>
            <w:vMerge w:val="continue"/>
            <w:vAlign w:val="center"/>
          </w:tcPr>
          <w:p w14:paraId="42A67F25">
            <w:pPr>
              <w:pStyle w:val="445"/>
              <w:rPr>
                <w:rFonts w:cs="Times New Roman"/>
                <w:kern w:val="0"/>
                <w:sz w:val="21"/>
                <w:szCs w:val="21"/>
              </w:rPr>
            </w:pPr>
          </w:p>
        </w:tc>
      </w:tr>
      <w:tr w14:paraId="3C7CC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2DF8FB8D">
            <w:pPr>
              <w:pStyle w:val="445"/>
              <w:rPr>
                <w:rFonts w:cs="Times New Roman"/>
                <w:kern w:val="0"/>
                <w:sz w:val="21"/>
                <w:szCs w:val="21"/>
              </w:rPr>
            </w:pPr>
          </w:p>
        </w:tc>
        <w:tc>
          <w:tcPr>
            <w:tcW w:w="950" w:type="pct"/>
            <w:gridSpan w:val="2"/>
            <w:vAlign w:val="center"/>
          </w:tcPr>
          <w:p w14:paraId="43D72E68">
            <w:pPr>
              <w:pStyle w:val="445"/>
              <w:rPr>
                <w:rFonts w:cs="Times New Roman"/>
                <w:bCs/>
                <w:kern w:val="0"/>
                <w:szCs w:val="20"/>
              </w:rPr>
            </w:pPr>
            <w:r>
              <w:rPr>
                <w:rFonts w:hint="eastAsia" w:cs="Times New Roman"/>
                <w:kern w:val="0"/>
                <w:szCs w:val="20"/>
              </w:rPr>
              <w:t>废催化剂</w:t>
            </w:r>
          </w:p>
        </w:tc>
        <w:tc>
          <w:tcPr>
            <w:tcW w:w="1687" w:type="pct"/>
            <w:vAlign w:val="center"/>
          </w:tcPr>
          <w:p w14:paraId="311C31FC">
            <w:pPr>
              <w:pStyle w:val="445"/>
              <w:rPr>
                <w:rFonts w:cs="Times New Roman"/>
                <w:kern w:val="0"/>
                <w:szCs w:val="20"/>
              </w:rPr>
            </w:pPr>
            <w:r>
              <w:rPr>
                <w:rFonts w:hint="eastAsia" w:cs="Times New Roman"/>
                <w:kern w:val="0"/>
                <w:szCs w:val="20"/>
              </w:rPr>
              <w:t>厂家回收</w:t>
            </w:r>
          </w:p>
        </w:tc>
        <w:tc>
          <w:tcPr>
            <w:tcW w:w="0" w:type="auto"/>
            <w:vMerge w:val="continue"/>
            <w:vAlign w:val="center"/>
          </w:tcPr>
          <w:p w14:paraId="21B66119">
            <w:pPr>
              <w:pStyle w:val="445"/>
              <w:rPr>
                <w:rFonts w:cs="Times New Roman"/>
                <w:kern w:val="21"/>
                <w:sz w:val="21"/>
                <w:szCs w:val="21"/>
              </w:rPr>
            </w:pPr>
          </w:p>
        </w:tc>
        <w:tc>
          <w:tcPr>
            <w:tcW w:w="0" w:type="auto"/>
            <w:vMerge w:val="continue"/>
            <w:vAlign w:val="center"/>
          </w:tcPr>
          <w:p w14:paraId="6CB7B9AC">
            <w:pPr>
              <w:pStyle w:val="445"/>
              <w:rPr>
                <w:rFonts w:cs="Times New Roman"/>
                <w:kern w:val="0"/>
                <w:sz w:val="21"/>
                <w:szCs w:val="21"/>
              </w:rPr>
            </w:pPr>
          </w:p>
        </w:tc>
        <w:tc>
          <w:tcPr>
            <w:tcW w:w="0" w:type="auto"/>
            <w:vMerge w:val="continue"/>
            <w:vAlign w:val="center"/>
          </w:tcPr>
          <w:p w14:paraId="5F5AE129">
            <w:pPr>
              <w:pStyle w:val="445"/>
              <w:rPr>
                <w:rFonts w:cs="Times New Roman"/>
                <w:kern w:val="0"/>
                <w:sz w:val="21"/>
                <w:szCs w:val="21"/>
              </w:rPr>
            </w:pPr>
          </w:p>
        </w:tc>
      </w:tr>
      <w:tr w14:paraId="675CB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3A5E6C23">
            <w:pPr>
              <w:pStyle w:val="445"/>
              <w:rPr>
                <w:rFonts w:cs="Times New Roman"/>
                <w:kern w:val="0"/>
                <w:sz w:val="21"/>
                <w:szCs w:val="21"/>
              </w:rPr>
            </w:pPr>
          </w:p>
        </w:tc>
        <w:tc>
          <w:tcPr>
            <w:tcW w:w="950" w:type="pct"/>
            <w:gridSpan w:val="2"/>
            <w:vAlign w:val="center"/>
          </w:tcPr>
          <w:p w14:paraId="53675E12">
            <w:pPr>
              <w:pStyle w:val="445"/>
              <w:rPr>
                <w:rFonts w:cs="Times New Roman"/>
                <w:bCs/>
                <w:kern w:val="0"/>
                <w:szCs w:val="20"/>
              </w:rPr>
            </w:pPr>
            <w:r>
              <w:rPr>
                <w:rFonts w:hint="eastAsia" w:cs="Times New Roman"/>
                <w:kern w:val="0"/>
                <w:szCs w:val="20"/>
              </w:rPr>
              <w:t>二氧化硅</w:t>
            </w:r>
            <w:r>
              <w:rPr>
                <w:rFonts w:cs="Times New Roman"/>
                <w:kern w:val="0"/>
                <w:szCs w:val="20"/>
              </w:rPr>
              <w:t>微粉</w:t>
            </w:r>
          </w:p>
        </w:tc>
        <w:tc>
          <w:tcPr>
            <w:tcW w:w="1687" w:type="pct"/>
            <w:vAlign w:val="center"/>
          </w:tcPr>
          <w:p w14:paraId="3F90ACD5">
            <w:pPr>
              <w:pStyle w:val="445"/>
              <w:rPr>
                <w:rFonts w:cs="Times New Roman"/>
                <w:kern w:val="0"/>
                <w:szCs w:val="20"/>
              </w:rPr>
            </w:pPr>
            <w:r>
              <w:rPr>
                <w:rFonts w:hint="eastAsia" w:cs="Times New Roman"/>
                <w:kern w:val="21"/>
                <w:szCs w:val="20"/>
              </w:rPr>
              <w:t>外售</w:t>
            </w:r>
          </w:p>
        </w:tc>
        <w:tc>
          <w:tcPr>
            <w:tcW w:w="0" w:type="auto"/>
            <w:vMerge w:val="continue"/>
            <w:vAlign w:val="center"/>
          </w:tcPr>
          <w:p w14:paraId="2C434E7B">
            <w:pPr>
              <w:pStyle w:val="445"/>
              <w:rPr>
                <w:rFonts w:cs="Times New Roman"/>
                <w:kern w:val="21"/>
                <w:sz w:val="21"/>
                <w:szCs w:val="21"/>
              </w:rPr>
            </w:pPr>
          </w:p>
        </w:tc>
        <w:tc>
          <w:tcPr>
            <w:tcW w:w="0" w:type="auto"/>
            <w:vMerge w:val="continue"/>
            <w:vAlign w:val="center"/>
          </w:tcPr>
          <w:p w14:paraId="2D269C20">
            <w:pPr>
              <w:pStyle w:val="445"/>
              <w:rPr>
                <w:rFonts w:cs="Times New Roman"/>
                <w:kern w:val="0"/>
                <w:sz w:val="21"/>
                <w:szCs w:val="21"/>
              </w:rPr>
            </w:pPr>
          </w:p>
        </w:tc>
        <w:tc>
          <w:tcPr>
            <w:tcW w:w="0" w:type="auto"/>
            <w:vMerge w:val="continue"/>
            <w:vAlign w:val="center"/>
          </w:tcPr>
          <w:p w14:paraId="3D40507E">
            <w:pPr>
              <w:pStyle w:val="445"/>
              <w:rPr>
                <w:rFonts w:cs="Times New Roman"/>
                <w:kern w:val="0"/>
                <w:sz w:val="21"/>
                <w:szCs w:val="21"/>
              </w:rPr>
            </w:pPr>
          </w:p>
        </w:tc>
      </w:tr>
      <w:tr w14:paraId="4E2D6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00FC34D8">
            <w:pPr>
              <w:pStyle w:val="445"/>
              <w:rPr>
                <w:rFonts w:cs="Times New Roman"/>
                <w:kern w:val="0"/>
                <w:sz w:val="21"/>
                <w:szCs w:val="21"/>
              </w:rPr>
            </w:pPr>
          </w:p>
        </w:tc>
        <w:tc>
          <w:tcPr>
            <w:tcW w:w="950" w:type="pct"/>
            <w:gridSpan w:val="2"/>
            <w:vAlign w:val="center"/>
          </w:tcPr>
          <w:p w14:paraId="6683F8A4">
            <w:pPr>
              <w:pStyle w:val="445"/>
              <w:rPr>
                <w:rFonts w:cs="Times New Roman"/>
                <w:bCs/>
                <w:kern w:val="0"/>
                <w:szCs w:val="20"/>
              </w:rPr>
            </w:pPr>
            <w:r>
              <w:rPr>
                <w:rFonts w:hint="eastAsia" w:cs="Times New Roman"/>
                <w:kern w:val="0"/>
                <w:szCs w:val="20"/>
              </w:rPr>
              <w:t>废活性炭</w:t>
            </w:r>
          </w:p>
        </w:tc>
        <w:tc>
          <w:tcPr>
            <w:tcW w:w="1687" w:type="pct"/>
            <w:vAlign w:val="center"/>
          </w:tcPr>
          <w:p w14:paraId="6FE691EE">
            <w:pPr>
              <w:pStyle w:val="445"/>
              <w:rPr>
                <w:rFonts w:cs="Times New Roman"/>
                <w:kern w:val="0"/>
                <w:szCs w:val="20"/>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危废</w:t>
            </w:r>
            <w:r>
              <w:rPr>
                <w:rFonts w:cs="Times New Roman"/>
                <w:kern w:val="0"/>
                <w:szCs w:val="20"/>
              </w:rPr>
              <w:t>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7B794168">
            <w:pPr>
              <w:pStyle w:val="445"/>
              <w:rPr>
                <w:rFonts w:cs="Times New Roman"/>
                <w:kern w:val="21"/>
                <w:sz w:val="21"/>
                <w:szCs w:val="21"/>
              </w:rPr>
            </w:pPr>
          </w:p>
        </w:tc>
        <w:tc>
          <w:tcPr>
            <w:tcW w:w="0" w:type="auto"/>
            <w:vMerge w:val="continue"/>
            <w:vAlign w:val="center"/>
          </w:tcPr>
          <w:p w14:paraId="75CF2CFD">
            <w:pPr>
              <w:pStyle w:val="445"/>
              <w:rPr>
                <w:rFonts w:cs="Times New Roman"/>
                <w:kern w:val="0"/>
                <w:sz w:val="21"/>
                <w:szCs w:val="21"/>
              </w:rPr>
            </w:pPr>
          </w:p>
        </w:tc>
        <w:tc>
          <w:tcPr>
            <w:tcW w:w="0" w:type="auto"/>
            <w:vMerge w:val="continue"/>
            <w:vAlign w:val="center"/>
          </w:tcPr>
          <w:p w14:paraId="27FDC9A4">
            <w:pPr>
              <w:pStyle w:val="445"/>
              <w:rPr>
                <w:rFonts w:cs="Times New Roman"/>
                <w:kern w:val="0"/>
                <w:sz w:val="21"/>
                <w:szCs w:val="21"/>
              </w:rPr>
            </w:pPr>
          </w:p>
        </w:tc>
      </w:tr>
      <w:tr w14:paraId="638AF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6B33E9A2">
            <w:pPr>
              <w:pStyle w:val="445"/>
              <w:rPr>
                <w:rFonts w:cs="Times New Roman"/>
                <w:kern w:val="0"/>
                <w:sz w:val="21"/>
                <w:szCs w:val="21"/>
              </w:rPr>
            </w:pPr>
          </w:p>
        </w:tc>
        <w:tc>
          <w:tcPr>
            <w:tcW w:w="950" w:type="pct"/>
            <w:gridSpan w:val="2"/>
            <w:vAlign w:val="center"/>
          </w:tcPr>
          <w:p w14:paraId="4196D128">
            <w:pPr>
              <w:pStyle w:val="445"/>
              <w:rPr>
                <w:rFonts w:cs="Times New Roman"/>
                <w:bCs/>
                <w:kern w:val="0"/>
                <w:szCs w:val="20"/>
              </w:rPr>
            </w:pPr>
            <w:r>
              <w:rPr>
                <w:rFonts w:hint="eastAsia" w:cs="Times New Roman"/>
                <w:kern w:val="0"/>
                <w:szCs w:val="20"/>
              </w:rPr>
              <w:t>污泥</w:t>
            </w:r>
          </w:p>
        </w:tc>
        <w:tc>
          <w:tcPr>
            <w:tcW w:w="1687" w:type="pct"/>
            <w:vAlign w:val="center"/>
          </w:tcPr>
          <w:p w14:paraId="51E2B52F">
            <w:pPr>
              <w:pStyle w:val="445"/>
              <w:rPr>
                <w:rFonts w:cs="Times New Roman"/>
                <w:kern w:val="0"/>
                <w:szCs w:val="20"/>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污泥库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014DBB1F">
            <w:pPr>
              <w:pStyle w:val="445"/>
              <w:rPr>
                <w:rFonts w:cs="Times New Roman"/>
                <w:kern w:val="21"/>
                <w:sz w:val="21"/>
                <w:szCs w:val="21"/>
              </w:rPr>
            </w:pPr>
          </w:p>
        </w:tc>
        <w:tc>
          <w:tcPr>
            <w:tcW w:w="0" w:type="auto"/>
            <w:vMerge w:val="continue"/>
            <w:vAlign w:val="center"/>
          </w:tcPr>
          <w:p w14:paraId="1E104F15">
            <w:pPr>
              <w:pStyle w:val="445"/>
              <w:rPr>
                <w:rFonts w:cs="Times New Roman"/>
                <w:kern w:val="0"/>
                <w:sz w:val="21"/>
                <w:szCs w:val="21"/>
              </w:rPr>
            </w:pPr>
          </w:p>
        </w:tc>
        <w:tc>
          <w:tcPr>
            <w:tcW w:w="0" w:type="auto"/>
            <w:vMerge w:val="continue"/>
            <w:vAlign w:val="center"/>
          </w:tcPr>
          <w:p w14:paraId="72B6A2A8">
            <w:pPr>
              <w:pStyle w:val="445"/>
              <w:rPr>
                <w:rFonts w:cs="Times New Roman"/>
                <w:kern w:val="0"/>
                <w:sz w:val="21"/>
                <w:szCs w:val="21"/>
              </w:rPr>
            </w:pPr>
          </w:p>
        </w:tc>
      </w:tr>
      <w:tr w14:paraId="00FA1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3D192B5F">
            <w:pPr>
              <w:pStyle w:val="445"/>
              <w:rPr>
                <w:rFonts w:cs="Times New Roman"/>
                <w:kern w:val="0"/>
                <w:sz w:val="21"/>
                <w:szCs w:val="21"/>
              </w:rPr>
            </w:pPr>
          </w:p>
        </w:tc>
        <w:tc>
          <w:tcPr>
            <w:tcW w:w="950" w:type="pct"/>
            <w:gridSpan w:val="2"/>
            <w:vAlign w:val="center"/>
          </w:tcPr>
          <w:p w14:paraId="09A19F53">
            <w:pPr>
              <w:pStyle w:val="445"/>
              <w:rPr>
                <w:rFonts w:cs="Times New Roman"/>
                <w:bCs/>
                <w:kern w:val="0"/>
                <w:szCs w:val="20"/>
              </w:rPr>
            </w:pPr>
            <w:r>
              <w:rPr>
                <w:rFonts w:hint="eastAsia" w:cs="Times New Roman"/>
                <w:kern w:val="0"/>
                <w:szCs w:val="20"/>
              </w:rPr>
              <w:t>实验室</w:t>
            </w:r>
            <w:r>
              <w:rPr>
                <w:rFonts w:cs="Times New Roman"/>
                <w:kern w:val="0"/>
                <w:szCs w:val="20"/>
              </w:rPr>
              <w:t>废</w:t>
            </w:r>
            <w:r>
              <w:rPr>
                <w:rFonts w:hint="eastAsia" w:cs="Times New Roman"/>
                <w:kern w:val="0"/>
                <w:szCs w:val="20"/>
              </w:rPr>
              <w:t>物</w:t>
            </w:r>
          </w:p>
        </w:tc>
        <w:tc>
          <w:tcPr>
            <w:tcW w:w="1687" w:type="pct"/>
            <w:vAlign w:val="center"/>
          </w:tcPr>
          <w:p w14:paraId="1869F564">
            <w:pPr>
              <w:pStyle w:val="445"/>
              <w:rPr>
                <w:rFonts w:cs="Times New Roman"/>
                <w:kern w:val="0"/>
                <w:szCs w:val="20"/>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危废</w:t>
            </w:r>
            <w:r>
              <w:rPr>
                <w:rFonts w:cs="Times New Roman"/>
                <w:kern w:val="0"/>
                <w:szCs w:val="20"/>
              </w:rPr>
              <w:t>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33F7C6AF">
            <w:pPr>
              <w:pStyle w:val="445"/>
              <w:rPr>
                <w:rFonts w:cs="Times New Roman"/>
                <w:kern w:val="21"/>
                <w:sz w:val="21"/>
                <w:szCs w:val="21"/>
              </w:rPr>
            </w:pPr>
          </w:p>
        </w:tc>
        <w:tc>
          <w:tcPr>
            <w:tcW w:w="0" w:type="auto"/>
            <w:vMerge w:val="continue"/>
            <w:vAlign w:val="center"/>
          </w:tcPr>
          <w:p w14:paraId="438DFABF">
            <w:pPr>
              <w:pStyle w:val="445"/>
              <w:rPr>
                <w:rFonts w:cs="Times New Roman"/>
                <w:kern w:val="0"/>
                <w:sz w:val="21"/>
                <w:szCs w:val="21"/>
              </w:rPr>
            </w:pPr>
          </w:p>
        </w:tc>
        <w:tc>
          <w:tcPr>
            <w:tcW w:w="0" w:type="auto"/>
            <w:vMerge w:val="continue"/>
            <w:vAlign w:val="center"/>
          </w:tcPr>
          <w:p w14:paraId="38D93CB1">
            <w:pPr>
              <w:pStyle w:val="445"/>
              <w:rPr>
                <w:rFonts w:cs="Times New Roman"/>
                <w:kern w:val="0"/>
                <w:sz w:val="21"/>
                <w:szCs w:val="21"/>
              </w:rPr>
            </w:pPr>
          </w:p>
        </w:tc>
      </w:tr>
      <w:tr w14:paraId="33E5A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7B537AA4">
            <w:pPr>
              <w:pStyle w:val="445"/>
              <w:rPr>
                <w:rFonts w:cs="Times New Roman"/>
                <w:kern w:val="0"/>
                <w:sz w:val="21"/>
                <w:szCs w:val="21"/>
              </w:rPr>
            </w:pPr>
          </w:p>
        </w:tc>
        <w:tc>
          <w:tcPr>
            <w:tcW w:w="950" w:type="pct"/>
            <w:gridSpan w:val="2"/>
            <w:vAlign w:val="center"/>
          </w:tcPr>
          <w:p w14:paraId="4C94CCE7">
            <w:pPr>
              <w:pStyle w:val="445"/>
              <w:rPr>
                <w:rFonts w:cs="Times New Roman"/>
                <w:bCs/>
                <w:kern w:val="0"/>
                <w:szCs w:val="20"/>
              </w:rPr>
            </w:pPr>
            <w:r>
              <w:rPr>
                <w:rFonts w:hint="eastAsia" w:cs="Times New Roman"/>
                <w:kern w:val="0"/>
                <w:szCs w:val="20"/>
              </w:rPr>
              <w:t>布袋</w:t>
            </w:r>
            <w:r>
              <w:rPr>
                <w:rFonts w:cs="Times New Roman"/>
                <w:kern w:val="0"/>
                <w:szCs w:val="20"/>
              </w:rPr>
              <w:t>收集粉尘</w:t>
            </w:r>
          </w:p>
        </w:tc>
        <w:tc>
          <w:tcPr>
            <w:tcW w:w="1687" w:type="pct"/>
            <w:vAlign w:val="center"/>
          </w:tcPr>
          <w:p w14:paraId="0385A658">
            <w:pPr>
              <w:pStyle w:val="445"/>
              <w:rPr>
                <w:rFonts w:cs="Times New Roman"/>
                <w:kern w:val="0"/>
                <w:szCs w:val="20"/>
              </w:rPr>
            </w:pPr>
            <w:r>
              <w:rPr>
                <w:rFonts w:hint="eastAsia" w:cs="Times New Roman"/>
                <w:kern w:val="21"/>
                <w:szCs w:val="20"/>
              </w:rPr>
              <w:t>外售</w:t>
            </w:r>
          </w:p>
        </w:tc>
        <w:tc>
          <w:tcPr>
            <w:tcW w:w="0" w:type="auto"/>
            <w:vMerge w:val="continue"/>
            <w:vAlign w:val="center"/>
          </w:tcPr>
          <w:p w14:paraId="394B2B14">
            <w:pPr>
              <w:pStyle w:val="445"/>
              <w:rPr>
                <w:rFonts w:cs="Times New Roman"/>
                <w:kern w:val="21"/>
                <w:sz w:val="21"/>
                <w:szCs w:val="21"/>
              </w:rPr>
            </w:pPr>
          </w:p>
        </w:tc>
        <w:tc>
          <w:tcPr>
            <w:tcW w:w="0" w:type="auto"/>
            <w:vMerge w:val="continue"/>
            <w:vAlign w:val="center"/>
          </w:tcPr>
          <w:p w14:paraId="13C05F15">
            <w:pPr>
              <w:pStyle w:val="445"/>
              <w:rPr>
                <w:rFonts w:cs="Times New Roman"/>
                <w:kern w:val="0"/>
                <w:sz w:val="21"/>
                <w:szCs w:val="21"/>
              </w:rPr>
            </w:pPr>
          </w:p>
        </w:tc>
        <w:tc>
          <w:tcPr>
            <w:tcW w:w="0" w:type="auto"/>
            <w:vMerge w:val="continue"/>
            <w:vAlign w:val="center"/>
          </w:tcPr>
          <w:p w14:paraId="560C60AD">
            <w:pPr>
              <w:pStyle w:val="445"/>
              <w:rPr>
                <w:rFonts w:cs="Times New Roman"/>
                <w:kern w:val="0"/>
                <w:sz w:val="21"/>
                <w:szCs w:val="21"/>
              </w:rPr>
            </w:pPr>
          </w:p>
        </w:tc>
      </w:tr>
      <w:tr w14:paraId="12DCF4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120D3B13">
            <w:pPr>
              <w:pStyle w:val="445"/>
              <w:rPr>
                <w:rFonts w:cs="Times New Roman"/>
                <w:kern w:val="0"/>
                <w:sz w:val="21"/>
                <w:szCs w:val="21"/>
              </w:rPr>
            </w:pPr>
          </w:p>
        </w:tc>
        <w:tc>
          <w:tcPr>
            <w:tcW w:w="950" w:type="pct"/>
            <w:gridSpan w:val="2"/>
            <w:vAlign w:val="center"/>
          </w:tcPr>
          <w:p w14:paraId="20A00EDD">
            <w:pPr>
              <w:pStyle w:val="445"/>
              <w:rPr>
                <w:rFonts w:cs="Times New Roman"/>
                <w:bCs/>
                <w:kern w:val="0"/>
                <w:szCs w:val="20"/>
              </w:rPr>
            </w:pPr>
            <w:r>
              <w:rPr>
                <w:rFonts w:hint="eastAsia" w:cs="Times New Roman"/>
                <w:kern w:val="0"/>
                <w:szCs w:val="20"/>
              </w:rPr>
              <w:t>废</w:t>
            </w:r>
            <w:r>
              <w:rPr>
                <w:rFonts w:cs="Times New Roman"/>
                <w:kern w:val="0"/>
                <w:szCs w:val="20"/>
              </w:rPr>
              <w:t>分子筛</w:t>
            </w:r>
          </w:p>
        </w:tc>
        <w:tc>
          <w:tcPr>
            <w:tcW w:w="1687" w:type="pct"/>
            <w:vMerge w:val="restart"/>
            <w:vAlign w:val="center"/>
          </w:tcPr>
          <w:p w14:paraId="3766E849">
            <w:pPr>
              <w:pStyle w:val="445"/>
              <w:rPr>
                <w:rFonts w:cs="Times New Roman"/>
                <w:kern w:val="0"/>
                <w:szCs w:val="20"/>
              </w:rPr>
            </w:pPr>
            <w:r>
              <w:rPr>
                <w:rFonts w:hint="eastAsia" w:cs="Times New Roman"/>
                <w:kern w:val="0"/>
                <w:szCs w:val="20"/>
              </w:rPr>
              <w:t>厂家回收</w:t>
            </w:r>
          </w:p>
        </w:tc>
        <w:tc>
          <w:tcPr>
            <w:tcW w:w="0" w:type="auto"/>
            <w:vMerge w:val="continue"/>
            <w:vAlign w:val="center"/>
          </w:tcPr>
          <w:p w14:paraId="01EA149C">
            <w:pPr>
              <w:pStyle w:val="445"/>
              <w:rPr>
                <w:rFonts w:cs="Times New Roman"/>
                <w:kern w:val="21"/>
                <w:sz w:val="21"/>
                <w:szCs w:val="21"/>
              </w:rPr>
            </w:pPr>
          </w:p>
        </w:tc>
        <w:tc>
          <w:tcPr>
            <w:tcW w:w="0" w:type="auto"/>
            <w:vMerge w:val="continue"/>
            <w:vAlign w:val="center"/>
          </w:tcPr>
          <w:p w14:paraId="0C256138">
            <w:pPr>
              <w:pStyle w:val="445"/>
              <w:rPr>
                <w:rFonts w:cs="Times New Roman"/>
                <w:kern w:val="0"/>
                <w:sz w:val="21"/>
                <w:szCs w:val="21"/>
              </w:rPr>
            </w:pPr>
          </w:p>
        </w:tc>
        <w:tc>
          <w:tcPr>
            <w:tcW w:w="0" w:type="auto"/>
            <w:vMerge w:val="continue"/>
            <w:vAlign w:val="center"/>
          </w:tcPr>
          <w:p w14:paraId="110F4BD5">
            <w:pPr>
              <w:pStyle w:val="445"/>
              <w:rPr>
                <w:rFonts w:cs="Times New Roman"/>
                <w:kern w:val="0"/>
                <w:sz w:val="21"/>
                <w:szCs w:val="21"/>
              </w:rPr>
            </w:pPr>
          </w:p>
        </w:tc>
      </w:tr>
      <w:tr w14:paraId="3DACE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0" w:type="auto"/>
            <w:vMerge w:val="continue"/>
            <w:vAlign w:val="center"/>
          </w:tcPr>
          <w:p w14:paraId="289AEF7D">
            <w:pPr>
              <w:pStyle w:val="445"/>
              <w:rPr>
                <w:rFonts w:cs="Times New Roman"/>
                <w:kern w:val="0"/>
                <w:sz w:val="21"/>
                <w:szCs w:val="21"/>
              </w:rPr>
            </w:pPr>
          </w:p>
        </w:tc>
        <w:tc>
          <w:tcPr>
            <w:tcW w:w="950" w:type="pct"/>
            <w:gridSpan w:val="2"/>
            <w:vAlign w:val="center"/>
          </w:tcPr>
          <w:p w14:paraId="5AE2451B">
            <w:pPr>
              <w:pStyle w:val="445"/>
              <w:rPr>
                <w:rFonts w:cs="Times New Roman"/>
                <w:bCs/>
                <w:kern w:val="0"/>
                <w:szCs w:val="20"/>
              </w:rPr>
            </w:pPr>
            <w:r>
              <w:rPr>
                <w:rFonts w:hint="eastAsia" w:cs="Times New Roman"/>
                <w:kern w:val="0"/>
                <w:szCs w:val="20"/>
              </w:rPr>
              <w:t>废树脂</w:t>
            </w:r>
          </w:p>
        </w:tc>
        <w:tc>
          <w:tcPr>
            <w:tcW w:w="1687" w:type="pct"/>
            <w:vMerge w:val="continue"/>
            <w:vAlign w:val="center"/>
          </w:tcPr>
          <w:p w14:paraId="35820D94">
            <w:pPr>
              <w:pStyle w:val="445"/>
              <w:rPr>
                <w:rFonts w:cs="Times New Roman"/>
                <w:kern w:val="0"/>
                <w:szCs w:val="20"/>
              </w:rPr>
            </w:pPr>
          </w:p>
        </w:tc>
        <w:tc>
          <w:tcPr>
            <w:tcW w:w="0" w:type="auto"/>
            <w:vMerge w:val="continue"/>
            <w:vAlign w:val="center"/>
          </w:tcPr>
          <w:p w14:paraId="594FA867">
            <w:pPr>
              <w:pStyle w:val="445"/>
              <w:rPr>
                <w:rFonts w:cs="Times New Roman"/>
                <w:kern w:val="21"/>
                <w:sz w:val="21"/>
                <w:szCs w:val="21"/>
              </w:rPr>
            </w:pPr>
          </w:p>
        </w:tc>
        <w:tc>
          <w:tcPr>
            <w:tcW w:w="0" w:type="auto"/>
            <w:vMerge w:val="continue"/>
            <w:vAlign w:val="center"/>
          </w:tcPr>
          <w:p w14:paraId="5FFC55C0">
            <w:pPr>
              <w:pStyle w:val="445"/>
              <w:rPr>
                <w:rFonts w:cs="Times New Roman"/>
                <w:kern w:val="0"/>
                <w:sz w:val="21"/>
                <w:szCs w:val="21"/>
              </w:rPr>
            </w:pPr>
          </w:p>
        </w:tc>
        <w:tc>
          <w:tcPr>
            <w:tcW w:w="0" w:type="auto"/>
            <w:vMerge w:val="continue"/>
            <w:vAlign w:val="center"/>
          </w:tcPr>
          <w:p w14:paraId="6E729AE3">
            <w:pPr>
              <w:pStyle w:val="445"/>
              <w:rPr>
                <w:rFonts w:cs="Times New Roman"/>
                <w:kern w:val="0"/>
                <w:sz w:val="21"/>
                <w:szCs w:val="21"/>
              </w:rPr>
            </w:pPr>
          </w:p>
        </w:tc>
      </w:tr>
      <w:tr w14:paraId="0D652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0" w:hRule="atLeast"/>
        </w:trPr>
        <w:tc>
          <w:tcPr>
            <w:tcW w:w="0" w:type="auto"/>
            <w:vMerge w:val="continue"/>
            <w:vAlign w:val="center"/>
          </w:tcPr>
          <w:p w14:paraId="39B2AF34">
            <w:pPr>
              <w:pStyle w:val="445"/>
              <w:rPr>
                <w:rFonts w:cs="Times New Roman"/>
                <w:kern w:val="0"/>
                <w:sz w:val="21"/>
                <w:szCs w:val="21"/>
              </w:rPr>
            </w:pPr>
          </w:p>
        </w:tc>
        <w:tc>
          <w:tcPr>
            <w:tcW w:w="950" w:type="pct"/>
            <w:gridSpan w:val="2"/>
            <w:vAlign w:val="center"/>
          </w:tcPr>
          <w:p w14:paraId="16F83616">
            <w:pPr>
              <w:pStyle w:val="445"/>
              <w:rPr>
                <w:rFonts w:cs="Times New Roman"/>
                <w:bCs/>
                <w:kern w:val="0"/>
                <w:szCs w:val="20"/>
              </w:rPr>
            </w:pPr>
            <w:r>
              <w:rPr>
                <w:rFonts w:hint="eastAsia" w:cs="Times New Roman"/>
                <w:kern w:val="0"/>
                <w:szCs w:val="20"/>
              </w:rPr>
              <w:t>生活垃圾</w:t>
            </w:r>
          </w:p>
        </w:tc>
        <w:tc>
          <w:tcPr>
            <w:tcW w:w="1687" w:type="pct"/>
            <w:vAlign w:val="center"/>
          </w:tcPr>
          <w:p w14:paraId="4B3F9573">
            <w:pPr>
              <w:pStyle w:val="445"/>
              <w:rPr>
                <w:rFonts w:cs="Times New Roman"/>
                <w:kern w:val="0"/>
                <w:szCs w:val="20"/>
              </w:rPr>
            </w:pPr>
            <w:r>
              <w:rPr>
                <w:rFonts w:hint="eastAsia" w:cs="Times New Roman"/>
                <w:kern w:val="0"/>
                <w:szCs w:val="20"/>
              </w:rPr>
              <w:t>环卫</w:t>
            </w:r>
            <w:r>
              <w:rPr>
                <w:rFonts w:cs="Times New Roman"/>
                <w:kern w:val="0"/>
                <w:szCs w:val="20"/>
              </w:rPr>
              <w:t>部门</w:t>
            </w:r>
          </w:p>
        </w:tc>
        <w:tc>
          <w:tcPr>
            <w:tcW w:w="0" w:type="auto"/>
            <w:vMerge w:val="continue"/>
            <w:vAlign w:val="center"/>
          </w:tcPr>
          <w:p w14:paraId="6155441A">
            <w:pPr>
              <w:pStyle w:val="445"/>
              <w:rPr>
                <w:rFonts w:cs="Times New Roman"/>
                <w:kern w:val="21"/>
                <w:sz w:val="21"/>
                <w:szCs w:val="21"/>
              </w:rPr>
            </w:pPr>
          </w:p>
        </w:tc>
        <w:tc>
          <w:tcPr>
            <w:tcW w:w="0" w:type="auto"/>
            <w:vMerge w:val="continue"/>
            <w:vAlign w:val="center"/>
          </w:tcPr>
          <w:p w14:paraId="1F2285CB">
            <w:pPr>
              <w:pStyle w:val="445"/>
              <w:rPr>
                <w:rFonts w:cs="Times New Roman"/>
                <w:kern w:val="0"/>
                <w:sz w:val="21"/>
                <w:szCs w:val="21"/>
              </w:rPr>
            </w:pPr>
          </w:p>
        </w:tc>
        <w:tc>
          <w:tcPr>
            <w:tcW w:w="0" w:type="auto"/>
            <w:vMerge w:val="continue"/>
            <w:vAlign w:val="center"/>
          </w:tcPr>
          <w:p w14:paraId="0A738940">
            <w:pPr>
              <w:pStyle w:val="445"/>
              <w:rPr>
                <w:rFonts w:cs="Times New Roman"/>
                <w:kern w:val="0"/>
                <w:sz w:val="21"/>
                <w:szCs w:val="21"/>
              </w:rPr>
            </w:pPr>
          </w:p>
        </w:tc>
      </w:tr>
      <w:tr w14:paraId="4EB8B0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2D2A0493">
            <w:pPr>
              <w:pStyle w:val="445"/>
              <w:rPr>
                <w:rFonts w:cs="Times New Roman"/>
                <w:kern w:val="0"/>
                <w:sz w:val="21"/>
                <w:szCs w:val="21"/>
              </w:rPr>
            </w:pPr>
          </w:p>
        </w:tc>
        <w:tc>
          <w:tcPr>
            <w:tcW w:w="950" w:type="pct"/>
            <w:gridSpan w:val="2"/>
            <w:vAlign w:val="center"/>
          </w:tcPr>
          <w:p w14:paraId="3FFE3E63">
            <w:pPr>
              <w:pStyle w:val="445"/>
              <w:rPr>
                <w:rFonts w:cs="Times New Roman"/>
                <w:kern w:val="0"/>
                <w:szCs w:val="20"/>
              </w:rPr>
            </w:pPr>
            <w:r>
              <w:rPr>
                <w:rFonts w:hint="eastAsia" w:cs="Times New Roman"/>
                <w:kern w:val="0"/>
                <w:szCs w:val="20"/>
              </w:rPr>
              <w:t>硫酸</w:t>
            </w:r>
            <w:r>
              <w:rPr>
                <w:rFonts w:cs="Times New Roman"/>
                <w:kern w:val="0"/>
                <w:szCs w:val="20"/>
              </w:rPr>
              <w:t>铵</w:t>
            </w:r>
          </w:p>
        </w:tc>
        <w:tc>
          <w:tcPr>
            <w:tcW w:w="1687" w:type="pct"/>
            <w:vAlign w:val="center"/>
          </w:tcPr>
          <w:p w14:paraId="17AC44A4">
            <w:pPr>
              <w:pStyle w:val="445"/>
              <w:rPr>
                <w:rFonts w:cs="Times New Roman"/>
                <w:kern w:val="0"/>
                <w:szCs w:val="20"/>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危废</w:t>
            </w:r>
            <w:r>
              <w:rPr>
                <w:rFonts w:cs="Times New Roman"/>
                <w:kern w:val="0"/>
                <w:szCs w:val="20"/>
              </w:rPr>
              <w:t>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46D217E7">
            <w:pPr>
              <w:pStyle w:val="445"/>
              <w:rPr>
                <w:rFonts w:cs="Times New Roman"/>
                <w:kern w:val="21"/>
                <w:sz w:val="21"/>
                <w:szCs w:val="21"/>
              </w:rPr>
            </w:pPr>
          </w:p>
        </w:tc>
        <w:tc>
          <w:tcPr>
            <w:tcW w:w="0" w:type="auto"/>
            <w:vMerge w:val="continue"/>
            <w:vAlign w:val="center"/>
          </w:tcPr>
          <w:p w14:paraId="04EBC7F9">
            <w:pPr>
              <w:pStyle w:val="445"/>
              <w:rPr>
                <w:rFonts w:cs="Times New Roman"/>
                <w:kern w:val="0"/>
                <w:sz w:val="21"/>
                <w:szCs w:val="21"/>
              </w:rPr>
            </w:pPr>
          </w:p>
        </w:tc>
        <w:tc>
          <w:tcPr>
            <w:tcW w:w="0" w:type="auto"/>
            <w:vMerge w:val="continue"/>
            <w:vAlign w:val="center"/>
          </w:tcPr>
          <w:p w14:paraId="646340C5">
            <w:pPr>
              <w:pStyle w:val="445"/>
              <w:rPr>
                <w:rFonts w:cs="Times New Roman"/>
                <w:kern w:val="0"/>
                <w:sz w:val="21"/>
                <w:szCs w:val="21"/>
              </w:rPr>
            </w:pPr>
          </w:p>
        </w:tc>
      </w:tr>
      <w:tr w14:paraId="4595D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409A68F2">
            <w:pPr>
              <w:pStyle w:val="445"/>
              <w:rPr>
                <w:rFonts w:cs="Times New Roman"/>
                <w:kern w:val="0"/>
                <w:sz w:val="21"/>
                <w:szCs w:val="21"/>
              </w:rPr>
            </w:pPr>
          </w:p>
        </w:tc>
        <w:tc>
          <w:tcPr>
            <w:tcW w:w="950" w:type="pct"/>
            <w:gridSpan w:val="2"/>
            <w:vAlign w:val="center"/>
          </w:tcPr>
          <w:p w14:paraId="7EB8D185">
            <w:pPr>
              <w:pStyle w:val="445"/>
              <w:rPr>
                <w:rFonts w:cs="Times New Roman"/>
                <w:kern w:val="0"/>
                <w:szCs w:val="20"/>
              </w:rPr>
            </w:pPr>
            <w:r>
              <w:rPr>
                <w:rFonts w:hint="eastAsia" w:cs="Times New Roman"/>
                <w:kern w:val="0"/>
                <w:szCs w:val="20"/>
              </w:rPr>
              <w:t>废矿物油</w:t>
            </w:r>
          </w:p>
        </w:tc>
        <w:tc>
          <w:tcPr>
            <w:tcW w:w="1687" w:type="pct"/>
            <w:vAlign w:val="center"/>
          </w:tcPr>
          <w:p w14:paraId="134AD1B5">
            <w:pPr>
              <w:pStyle w:val="445"/>
              <w:rPr>
                <w:rFonts w:cs="Times New Roman"/>
                <w:kern w:val="0"/>
                <w:szCs w:val="20"/>
              </w:rPr>
            </w:pPr>
            <w:r>
              <w:rPr>
                <w:rFonts w:hint="eastAsia" w:cs="Times New Roman"/>
                <w:kern w:val="0"/>
                <w:szCs w:val="20"/>
              </w:rPr>
              <w:t>暂存于</w:t>
            </w:r>
            <w:r>
              <w:rPr>
                <w:rFonts w:hint="eastAsia" w:cs="Times New Roman"/>
                <w:kern w:val="21"/>
                <w:szCs w:val="20"/>
              </w:rPr>
              <w:t>厂区的</w:t>
            </w:r>
            <w:r>
              <w:rPr>
                <w:rFonts w:hint="eastAsia" w:cs="Times New Roman"/>
                <w:kern w:val="0"/>
                <w:szCs w:val="20"/>
              </w:rPr>
              <w:t>危废</w:t>
            </w:r>
            <w:r>
              <w:rPr>
                <w:rFonts w:cs="Times New Roman"/>
                <w:kern w:val="0"/>
                <w:szCs w:val="20"/>
              </w:rPr>
              <w:t>库</w:t>
            </w:r>
            <w:r>
              <w:rPr>
                <w:rFonts w:hint="eastAsia" w:cs="Times New Roman"/>
                <w:kern w:val="21"/>
                <w:szCs w:val="20"/>
              </w:rPr>
              <w:t>，</w:t>
            </w:r>
            <w:r>
              <w:rPr>
                <w:rFonts w:cs="Times New Roman"/>
                <w:kern w:val="21"/>
                <w:szCs w:val="20"/>
              </w:rPr>
              <w:t>定期委托有资质单位处置</w:t>
            </w:r>
          </w:p>
        </w:tc>
        <w:tc>
          <w:tcPr>
            <w:tcW w:w="0" w:type="auto"/>
            <w:vMerge w:val="continue"/>
            <w:vAlign w:val="center"/>
          </w:tcPr>
          <w:p w14:paraId="385BBFEE">
            <w:pPr>
              <w:pStyle w:val="445"/>
              <w:rPr>
                <w:rFonts w:cs="Times New Roman"/>
                <w:kern w:val="21"/>
                <w:sz w:val="21"/>
                <w:szCs w:val="21"/>
              </w:rPr>
            </w:pPr>
          </w:p>
        </w:tc>
        <w:tc>
          <w:tcPr>
            <w:tcW w:w="0" w:type="auto"/>
            <w:vMerge w:val="continue"/>
            <w:vAlign w:val="center"/>
          </w:tcPr>
          <w:p w14:paraId="32DEE9A0">
            <w:pPr>
              <w:pStyle w:val="445"/>
              <w:rPr>
                <w:rFonts w:cs="Times New Roman"/>
                <w:kern w:val="0"/>
                <w:sz w:val="21"/>
                <w:szCs w:val="21"/>
              </w:rPr>
            </w:pPr>
          </w:p>
        </w:tc>
        <w:tc>
          <w:tcPr>
            <w:tcW w:w="0" w:type="auto"/>
            <w:vMerge w:val="continue"/>
            <w:vAlign w:val="center"/>
          </w:tcPr>
          <w:p w14:paraId="2CB562A3">
            <w:pPr>
              <w:pStyle w:val="445"/>
              <w:rPr>
                <w:rFonts w:cs="Times New Roman"/>
                <w:kern w:val="0"/>
                <w:sz w:val="21"/>
                <w:szCs w:val="21"/>
              </w:rPr>
            </w:pPr>
          </w:p>
        </w:tc>
      </w:tr>
      <w:tr w14:paraId="156976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4" w:type="pct"/>
            <w:vAlign w:val="center"/>
          </w:tcPr>
          <w:p w14:paraId="1B098CA4">
            <w:pPr>
              <w:pStyle w:val="445"/>
              <w:rPr>
                <w:rFonts w:cs="Times New Roman"/>
                <w:kern w:val="0"/>
                <w:szCs w:val="20"/>
              </w:rPr>
            </w:pPr>
            <w:r>
              <w:rPr>
                <w:rFonts w:cs="Times New Roman"/>
                <w:kern w:val="0"/>
                <w:szCs w:val="20"/>
              </w:rPr>
              <w:t>土壤</w:t>
            </w:r>
            <w:r>
              <w:rPr>
                <w:rFonts w:hint="eastAsia" w:cs="Times New Roman"/>
                <w:kern w:val="0"/>
                <w:szCs w:val="20"/>
              </w:rPr>
              <w:t>和</w:t>
            </w:r>
            <w:r>
              <w:rPr>
                <w:rFonts w:cs="Times New Roman"/>
                <w:kern w:val="0"/>
                <w:szCs w:val="20"/>
              </w:rPr>
              <w:t>地下水</w:t>
            </w:r>
          </w:p>
        </w:tc>
        <w:tc>
          <w:tcPr>
            <w:tcW w:w="950" w:type="pct"/>
            <w:gridSpan w:val="2"/>
            <w:vAlign w:val="center"/>
          </w:tcPr>
          <w:p w14:paraId="58652826">
            <w:pPr>
              <w:pStyle w:val="445"/>
              <w:rPr>
                <w:rFonts w:cs="Times New Roman"/>
                <w:kern w:val="0"/>
                <w:szCs w:val="20"/>
              </w:rPr>
            </w:pPr>
            <w:r>
              <w:rPr>
                <w:rFonts w:hint="eastAsia" w:cs="Times New Roman"/>
                <w:kern w:val="0"/>
                <w:szCs w:val="20"/>
              </w:rPr>
              <w:t>水解车间</w:t>
            </w:r>
            <w:r>
              <w:rPr>
                <w:rFonts w:cs="Times New Roman"/>
                <w:kern w:val="0"/>
                <w:szCs w:val="20"/>
              </w:rPr>
              <w:t>、合成精馏偶联剂</w:t>
            </w:r>
            <w:r>
              <w:rPr>
                <w:rFonts w:hint="eastAsia" w:cs="Times New Roman"/>
                <w:kern w:val="0"/>
                <w:szCs w:val="20"/>
              </w:rPr>
              <w:t>生产车间、</w:t>
            </w:r>
            <w:r>
              <w:rPr>
                <w:rFonts w:cs="Times New Roman"/>
                <w:kern w:val="0"/>
                <w:szCs w:val="20"/>
              </w:rPr>
              <w:t>装置区、</w:t>
            </w:r>
            <w:r>
              <w:rPr>
                <w:rFonts w:hint="eastAsia" w:cs="Times New Roman"/>
                <w:kern w:val="0"/>
                <w:szCs w:val="20"/>
              </w:rPr>
              <w:t>罐区</w:t>
            </w:r>
            <w:r>
              <w:rPr>
                <w:rFonts w:cs="Times New Roman"/>
                <w:kern w:val="0"/>
                <w:szCs w:val="20"/>
              </w:rPr>
              <w:t>、原料库、</w:t>
            </w:r>
            <w:r>
              <w:rPr>
                <w:rFonts w:hint="eastAsia" w:cs="Times New Roman"/>
                <w:kern w:val="0"/>
                <w:szCs w:val="20"/>
              </w:rPr>
              <w:t>产</w:t>
            </w:r>
            <w:r>
              <w:rPr>
                <w:rFonts w:cs="Times New Roman"/>
                <w:kern w:val="0"/>
                <w:szCs w:val="20"/>
              </w:rPr>
              <w:t>品库、</w:t>
            </w:r>
            <w:r>
              <w:rPr>
                <w:rFonts w:hint="eastAsia" w:cs="Times New Roman"/>
                <w:kern w:val="0"/>
                <w:szCs w:val="20"/>
              </w:rPr>
              <w:t>初期</w:t>
            </w:r>
            <w:r>
              <w:rPr>
                <w:rFonts w:cs="Times New Roman"/>
                <w:kern w:val="0"/>
                <w:szCs w:val="20"/>
              </w:rPr>
              <w:t>雨水池、</w:t>
            </w:r>
            <w:r>
              <w:rPr>
                <w:rFonts w:hint="eastAsia" w:cs="Times New Roman"/>
                <w:kern w:val="0"/>
                <w:szCs w:val="20"/>
              </w:rPr>
              <w:t>事故</w:t>
            </w:r>
            <w:r>
              <w:rPr>
                <w:rFonts w:cs="Times New Roman"/>
                <w:kern w:val="0"/>
                <w:szCs w:val="20"/>
              </w:rPr>
              <w:t>水池</w:t>
            </w:r>
            <w:r>
              <w:rPr>
                <w:rFonts w:hint="eastAsia" w:cs="Times New Roman"/>
                <w:kern w:val="0"/>
                <w:szCs w:val="20"/>
              </w:rPr>
              <w:t>、污泥库</w:t>
            </w:r>
            <w:r>
              <w:rPr>
                <w:rFonts w:cs="Times New Roman"/>
                <w:kern w:val="0"/>
                <w:szCs w:val="20"/>
              </w:rPr>
              <w:t>、</w:t>
            </w:r>
            <w:r>
              <w:rPr>
                <w:rFonts w:hint="eastAsia" w:cs="Times New Roman"/>
                <w:kern w:val="0"/>
                <w:szCs w:val="20"/>
              </w:rPr>
              <w:t>危废库</w:t>
            </w:r>
            <w:r>
              <w:rPr>
                <w:rFonts w:cs="Times New Roman"/>
                <w:kern w:val="0"/>
                <w:szCs w:val="20"/>
              </w:rPr>
              <w:t>、污水处理站及污水运输管线等</w:t>
            </w:r>
          </w:p>
        </w:tc>
        <w:tc>
          <w:tcPr>
            <w:tcW w:w="1687" w:type="pct"/>
            <w:vAlign w:val="center"/>
          </w:tcPr>
          <w:p w14:paraId="3BC218F7">
            <w:pPr>
              <w:pStyle w:val="445"/>
              <w:rPr>
                <w:rFonts w:cs="Times New Roman"/>
                <w:kern w:val="0"/>
                <w:szCs w:val="20"/>
              </w:rPr>
            </w:pPr>
            <w:r>
              <w:rPr>
                <w:rFonts w:cs="Times New Roman"/>
                <w:kern w:val="0"/>
                <w:szCs w:val="20"/>
              </w:rPr>
              <w:t>重点防渗</w:t>
            </w:r>
          </w:p>
        </w:tc>
        <w:tc>
          <w:tcPr>
            <w:tcW w:w="1346" w:type="pct"/>
            <w:vAlign w:val="center"/>
          </w:tcPr>
          <w:p w14:paraId="2044896F">
            <w:pPr>
              <w:pStyle w:val="445"/>
              <w:rPr>
                <w:rFonts w:cs="Times New Roman"/>
                <w:kern w:val="0"/>
                <w:szCs w:val="20"/>
              </w:rPr>
            </w:pPr>
            <w:r>
              <w:rPr>
                <w:rFonts w:hint="eastAsia" w:cs="Times New Roman"/>
                <w:kern w:val="0"/>
                <w:szCs w:val="20"/>
              </w:rPr>
              <w:t>等效黏土防渗层M</w:t>
            </w:r>
            <w:r>
              <w:rPr>
                <w:rFonts w:hint="eastAsia" w:cs="Times New Roman"/>
                <w:kern w:val="0"/>
                <w:szCs w:val="20"/>
                <w:vertAlign w:val="subscript"/>
              </w:rPr>
              <w:t>b</w:t>
            </w:r>
            <w:r>
              <w:rPr>
                <w:rFonts w:hint="eastAsia" w:cs="Times New Roman"/>
                <w:kern w:val="0"/>
                <w:szCs w:val="20"/>
              </w:rPr>
              <w:t>≥6.0m，</w:t>
            </w:r>
            <w:r>
              <w:rPr>
                <w:rFonts w:cs="Times New Roman"/>
                <w:kern w:val="0"/>
                <w:szCs w:val="20"/>
              </w:rPr>
              <w:t>渗透系数≤1.0×10</w:t>
            </w:r>
            <w:r>
              <w:rPr>
                <w:rFonts w:cs="Times New Roman"/>
                <w:kern w:val="0"/>
                <w:szCs w:val="20"/>
                <w:vertAlign w:val="superscript"/>
              </w:rPr>
              <w:t xml:space="preserve">-7 </w:t>
            </w:r>
            <w:r>
              <w:rPr>
                <w:rFonts w:cs="Times New Roman"/>
                <w:kern w:val="0"/>
                <w:szCs w:val="20"/>
              </w:rPr>
              <w:t>cm/s</w:t>
            </w:r>
          </w:p>
        </w:tc>
        <w:tc>
          <w:tcPr>
            <w:tcW w:w="0" w:type="auto"/>
            <w:vMerge w:val="continue"/>
            <w:vAlign w:val="center"/>
          </w:tcPr>
          <w:p w14:paraId="005928AA">
            <w:pPr>
              <w:pStyle w:val="445"/>
              <w:rPr>
                <w:rFonts w:cs="Times New Roman"/>
                <w:kern w:val="0"/>
                <w:sz w:val="21"/>
                <w:szCs w:val="21"/>
              </w:rPr>
            </w:pPr>
          </w:p>
        </w:tc>
        <w:tc>
          <w:tcPr>
            <w:tcW w:w="361" w:type="pct"/>
            <w:vAlign w:val="center"/>
          </w:tcPr>
          <w:p w14:paraId="7779C437">
            <w:pPr>
              <w:pStyle w:val="445"/>
              <w:rPr>
                <w:rFonts w:cs="Times New Roman"/>
                <w:kern w:val="0"/>
                <w:szCs w:val="20"/>
              </w:rPr>
            </w:pPr>
            <w:r>
              <w:rPr>
                <w:rFonts w:cs="Times New Roman"/>
                <w:kern w:val="0"/>
                <w:szCs w:val="20"/>
              </w:rPr>
              <w:t>15</w:t>
            </w:r>
          </w:p>
        </w:tc>
      </w:tr>
      <w:tr w14:paraId="52FA2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Align w:val="center"/>
          </w:tcPr>
          <w:p w14:paraId="09F7ED81">
            <w:pPr>
              <w:pStyle w:val="445"/>
              <w:rPr>
                <w:rFonts w:cs="Times New Roman"/>
                <w:kern w:val="0"/>
                <w:szCs w:val="20"/>
              </w:rPr>
            </w:pPr>
            <w:r>
              <w:rPr>
                <w:rFonts w:hint="eastAsia" w:cs="Times New Roman"/>
                <w:kern w:val="0"/>
                <w:szCs w:val="20"/>
              </w:rPr>
              <w:t>风险</w:t>
            </w:r>
          </w:p>
        </w:tc>
        <w:tc>
          <w:tcPr>
            <w:tcW w:w="3983" w:type="pct"/>
            <w:gridSpan w:val="4"/>
            <w:vAlign w:val="center"/>
          </w:tcPr>
          <w:p w14:paraId="075F3580">
            <w:pPr>
              <w:pStyle w:val="445"/>
              <w:rPr>
                <w:rFonts w:cs="Times New Roman"/>
                <w:kern w:val="0"/>
                <w:szCs w:val="20"/>
              </w:rPr>
            </w:pPr>
            <w:r>
              <w:rPr>
                <w:rFonts w:hint="eastAsia" w:cs="Times New Roman"/>
                <w:kern w:val="0"/>
                <w:szCs w:val="20"/>
              </w:rPr>
              <w:t>新建一座1800</w:t>
            </w:r>
            <w:r>
              <w:rPr>
                <w:rFonts w:cs="Times New Roman"/>
                <w:kern w:val="0"/>
                <w:szCs w:val="20"/>
              </w:rPr>
              <w:t>m</w:t>
            </w:r>
            <w:r>
              <w:rPr>
                <w:rFonts w:cs="Times New Roman"/>
                <w:kern w:val="0"/>
                <w:szCs w:val="20"/>
                <w:vertAlign w:val="superscript"/>
              </w:rPr>
              <w:t>3</w:t>
            </w:r>
            <w:r>
              <w:rPr>
                <w:rFonts w:cs="Times New Roman"/>
                <w:kern w:val="0"/>
                <w:szCs w:val="20"/>
              </w:rPr>
              <w:t>事故水池</w:t>
            </w:r>
            <w:r>
              <w:rPr>
                <w:rFonts w:hint="eastAsia" w:cs="Times New Roman"/>
                <w:kern w:val="0"/>
                <w:szCs w:val="20"/>
              </w:rPr>
              <w:t>，</w:t>
            </w:r>
            <w:r>
              <w:rPr>
                <w:rFonts w:cs="Times New Roman"/>
                <w:kern w:val="0"/>
                <w:szCs w:val="20"/>
              </w:rPr>
              <w:t>用于</w:t>
            </w:r>
            <w:r>
              <w:rPr>
                <w:rFonts w:hint="eastAsia" w:cs="Times New Roman"/>
                <w:kern w:val="0"/>
                <w:szCs w:val="20"/>
              </w:rPr>
              <w:t>事故状态</w:t>
            </w:r>
            <w:r>
              <w:rPr>
                <w:rFonts w:cs="Times New Roman"/>
                <w:kern w:val="0"/>
                <w:szCs w:val="20"/>
              </w:rPr>
              <w:t>下废水的临时暂存</w:t>
            </w:r>
          </w:p>
        </w:tc>
        <w:tc>
          <w:tcPr>
            <w:tcW w:w="0" w:type="auto"/>
            <w:vMerge w:val="continue"/>
            <w:vAlign w:val="center"/>
          </w:tcPr>
          <w:p w14:paraId="6A94157D">
            <w:pPr>
              <w:pStyle w:val="445"/>
              <w:rPr>
                <w:rFonts w:cs="Times New Roman"/>
                <w:kern w:val="0"/>
                <w:sz w:val="21"/>
                <w:szCs w:val="21"/>
              </w:rPr>
            </w:pPr>
          </w:p>
        </w:tc>
        <w:tc>
          <w:tcPr>
            <w:tcW w:w="361" w:type="pct"/>
            <w:vAlign w:val="center"/>
          </w:tcPr>
          <w:p w14:paraId="4E0939C5">
            <w:pPr>
              <w:pStyle w:val="445"/>
              <w:rPr>
                <w:rFonts w:cs="Times New Roman"/>
                <w:kern w:val="0"/>
                <w:szCs w:val="20"/>
              </w:rPr>
            </w:pPr>
            <w:r>
              <w:rPr>
                <w:rFonts w:hint="eastAsia" w:cs="Times New Roman"/>
                <w:kern w:val="0"/>
                <w:szCs w:val="20"/>
              </w:rPr>
              <w:t>12</w:t>
            </w:r>
          </w:p>
        </w:tc>
      </w:tr>
      <w:tr w14:paraId="4260F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4" w:type="pct"/>
            <w:vAlign w:val="center"/>
          </w:tcPr>
          <w:p w14:paraId="057F1A42">
            <w:pPr>
              <w:pStyle w:val="445"/>
              <w:rPr>
                <w:rFonts w:cs="Times New Roman"/>
                <w:kern w:val="0"/>
                <w:szCs w:val="20"/>
              </w:rPr>
            </w:pPr>
            <w:r>
              <w:rPr>
                <w:rFonts w:hint="eastAsia" w:cs="Times New Roman"/>
                <w:kern w:val="0"/>
                <w:szCs w:val="20"/>
              </w:rPr>
              <w:t>在线监测</w:t>
            </w:r>
          </w:p>
        </w:tc>
        <w:tc>
          <w:tcPr>
            <w:tcW w:w="3983" w:type="pct"/>
            <w:gridSpan w:val="4"/>
            <w:vAlign w:val="center"/>
          </w:tcPr>
          <w:p w14:paraId="781F15AA">
            <w:pPr>
              <w:pStyle w:val="445"/>
              <w:rPr>
                <w:rFonts w:cs="Times New Roman"/>
                <w:kern w:val="0"/>
                <w:szCs w:val="20"/>
              </w:rPr>
            </w:pPr>
            <w:r>
              <w:rPr>
                <w:rFonts w:hint="eastAsia" w:cs="Times New Roman"/>
                <w:kern w:val="0"/>
                <w:szCs w:val="20"/>
              </w:rPr>
              <w:t>按照监测</w:t>
            </w:r>
            <w:r>
              <w:rPr>
                <w:rFonts w:cs="Times New Roman"/>
                <w:kern w:val="0"/>
                <w:szCs w:val="20"/>
              </w:rPr>
              <w:t>计划要求对废水总排口</w:t>
            </w:r>
            <w:r>
              <w:rPr>
                <w:rFonts w:hint="eastAsia" w:cs="Times New Roman"/>
                <w:kern w:val="0"/>
                <w:szCs w:val="20"/>
              </w:rPr>
              <w:t>流量</w:t>
            </w:r>
            <w:r>
              <w:rPr>
                <w:rFonts w:cs="Times New Roman"/>
                <w:kern w:val="0"/>
                <w:szCs w:val="20"/>
              </w:rPr>
              <w:t>、</w:t>
            </w:r>
            <w:r>
              <w:rPr>
                <w:rFonts w:hint="eastAsia" w:cs="Times New Roman"/>
                <w:kern w:val="0"/>
                <w:szCs w:val="20"/>
              </w:rPr>
              <w:t>pH、COD、</w:t>
            </w:r>
            <w:r>
              <w:rPr>
                <w:rFonts w:cs="Times New Roman"/>
                <w:kern w:val="0"/>
                <w:szCs w:val="20"/>
              </w:rPr>
              <w:t>氨氮</w:t>
            </w:r>
            <w:r>
              <w:rPr>
                <w:rFonts w:hint="eastAsia" w:cs="Times New Roman"/>
                <w:kern w:val="0"/>
                <w:szCs w:val="20"/>
              </w:rPr>
              <w:t>指标及</w:t>
            </w:r>
            <w:r>
              <w:rPr>
                <w:rFonts w:cs="Times New Roman"/>
                <w:kern w:val="0"/>
                <w:szCs w:val="20"/>
              </w:rPr>
              <w:t>雨水排口</w:t>
            </w:r>
            <w:r>
              <w:rPr>
                <w:rFonts w:hint="eastAsia" w:cs="Times New Roman"/>
                <w:kern w:val="0"/>
                <w:szCs w:val="20"/>
              </w:rPr>
              <w:t>pH、COD、SS、</w:t>
            </w:r>
            <w:r>
              <w:rPr>
                <w:rFonts w:cs="Times New Roman"/>
                <w:kern w:val="0"/>
                <w:szCs w:val="20"/>
              </w:rPr>
              <w:t>氨氮</w:t>
            </w:r>
            <w:r>
              <w:rPr>
                <w:rFonts w:hint="eastAsia" w:cs="Times New Roman"/>
                <w:kern w:val="0"/>
                <w:szCs w:val="20"/>
              </w:rPr>
              <w:t>指标</w:t>
            </w:r>
            <w:r>
              <w:rPr>
                <w:rFonts w:cs="Times New Roman"/>
                <w:kern w:val="0"/>
                <w:szCs w:val="20"/>
              </w:rPr>
              <w:t>安装在线监测系统</w:t>
            </w:r>
          </w:p>
        </w:tc>
        <w:tc>
          <w:tcPr>
            <w:tcW w:w="0" w:type="auto"/>
            <w:vMerge w:val="continue"/>
            <w:vAlign w:val="center"/>
          </w:tcPr>
          <w:p w14:paraId="5B8F03BB">
            <w:pPr>
              <w:pStyle w:val="445"/>
              <w:rPr>
                <w:rFonts w:cs="Times New Roman"/>
                <w:kern w:val="0"/>
                <w:sz w:val="21"/>
                <w:szCs w:val="21"/>
              </w:rPr>
            </w:pPr>
          </w:p>
        </w:tc>
        <w:tc>
          <w:tcPr>
            <w:tcW w:w="361" w:type="pct"/>
            <w:vAlign w:val="center"/>
          </w:tcPr>
          <w:p w14:paraId="188F0935">
            <w:pPr>
              <w:pStyle w:val="445"/>
              <w:rPr>
                <w:rFonts w:cs="Times New Roman"/>
                <w:kern w:val="0"/>
                <w:szCs w:val="20"/>
              </w:rPr>
            </w:pPr>
            <w:r>
              <w:rPr>
                <w:rFonts w:hint="eastAsia" w:cs="Times New Roman"/>
                <w:kern w:val="0"/>
                <w:szCs w:val="20"/>
              </w:rPr>
              <w:t>20</w:t>
            </w:r>
          </w:p>
        </w:tc>
      </w:tr>
    </w:tbl>
    <w:p w14:paraId="64860F2F">
      <w:pPr>
        <w:ind w:firstLine="0" w:firstLineChars="0"/>
      </w:pPr>
    </w:p>
    <w:p w14:paraId="7C881E53">
      <w:pPr>
        <w:ind w:firstLine="199" w:firstLineChars="83"/>
        <w:sectPr>
          <w:pgSz w:w="16838" w:h="11906" w:orient="landscape"/>
          <w:pgMar w:top="1800" w:right="1440" w:bottom="1800" w:left="1440" w:header="720" w:footer="720" w:gutter="0"/>
          <w:cols w:space="720" w:num="1"/>
          <w:docGrid w:linePitch="326" w:charSpace="0"/>
        </w:sectPr>
      </w:pPr>
    </w:p>
    <w:p w14:paraId="336AA4DE">
      <w:pPr>
        <w:pStyle w:val="4064"/>
      </w:pPr>
      <w:bookmarkStart w:id="504" w:name="_Toc468617114"/>
      <w:bookmarkEnd w:id="504"/>
      <w:bookmarkStart w:id="505" w:name="_Toc394045987"/>
      <w:bookmarkEnd w:id="505"/>
      <w:bookmarkStart w:id="506" w:name="_Toc474323741"/>
      <w:bookmarkEnd w:id="506"/>
      <w:bookmarkStart w:id="507" w:name="_Toc108662726"/>
      <w:r>
        <w:rPr>
          <w:rFonts w:hint="eastAsia"/>
        </w:rPr>
        <w:t>7、</w:t>
      </w:r>
      <w:r>
        <w:t>环境影响经济损益分析</w:t>
      </w:r>
      <w:bookmarkEnd w:id="507"/>
    </w:p>
    <w:p w14:paraId="1D43B676">
      <w:pPr>
        <w:pStyle w:val="4065"/>
      </w:pPr>
      <w:bookmarkStart w:id="508" w:name="_Toc108662727"/>
      <w:r>
        <w:t>7.1经济效益分析</w:t>
      </w:r>
      <w:bookmarkEnd w:id="508"/>
    </w:p>
    <w:p w14:paraId="49BB903A">
      <w:pPr>
        <w:ind w:firstLine="480"/>
      </w:pPr>
      <w:r>
        <w:rPr>
          <w:rFonts w:hint="eastAsia"/>
        </w:rPr>
        <w:t>扩建</w:t>
      </w:r>
      <w:r>
        <w:rPr>
          <w:rFonts w:hint="eastAsia" w:ascii="宋体" w:hAnsi="宋体"/>
        </w:rPr>
        <w:t>项目</w:t>
      </w:r>
      <w:r>
        <w:rPr>
          <w:rFonts w:ascii="宋体" w:hAnsi="宋体"/>
        </w:rPr>
        <w:t>总投资为</w:t>
      </w:r>
      <w:r>
        <w:t>30248万元，其中环保投资905万元，占总投资的2.99%</w:t>
      </w:r>
      <w:r>
        <w:rPr>
          <w:rFonts w:ascii="宋体" w:hAnsi="宋体"/>
        </w:rPr>
        <w:t>万元。项目运行后，可为国家及地方增加相当数量的税收</w:t>
      </w:r>
      <w:r>
        <w:rPr>
          <w:rFonts w:hint="eastAsia" w:ascii="宋体" w:hAnsi="宋体"/>
        </w:rPr>
        <w:t>，</w:t>
      </w:r>
      <w:r>
        <w:rPr>
          <w:rFonts w:ascii="宋体" w:hAnsi="宋体"/>
        </w:rPr>
        <w:t>进一步推动当地社会经济的发展，提高当地人民群众的生活水平，由此可见项目也具有显著的社会经济效益。</w:t>
      </w:r>
    </w:p>
    <w:p w14:paraId="3B98E639">
      <w:pPr>
        <w:pStyle w:val="278"/>
      </w:pPr>
      <w:r>
        <w:rPr>
          <w:rFonts w:hint="eastAsia" w:ascii="黑体" w:hAnsi="黑体"/>
        </w:rPr>
        <w:t>表</w:t>
      </w:r>
      <w:r>
        <w:t>7</w:t>
      </w:r>
      <w:r>
        <w:rPr>
          <w:rFonts w:hint="eastAsia"/>
        </w:rPr>
        <w:t>.1-1  扩建</w:t>
      </w:r>
      <w:r>
        <w:rPr>
          <w:rFonts w:hint="eastAsia" w:ascii="黑体" w:hAnsi="黑体"/>
        </w:rPr>
        <w:t>项目经济指标</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14"/>
        <w:gridCol w:w="4729"/>
      </w:tblGrid>
      <w:tr w14:paraId="373DD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12" w:space="0"/>
              <w:left w:val="nil"/>
              <w:bottom w:val="single" w:color="auto" w:sz="4" w:space="0"/>
              <w:right w:val="single" w:color="auto" w:sz="4" w:space="0"/>
            </w:tcBorders>
          </w:tcPr>
          <w:p w14:paraId="73C4FAC9">
            <w:pPr>
              <w:pStyle w:val="445"/>
              <w:ind w:firstLine="482"/>
              <w:rPr>
                <w:rFonts w:cs="Times New Roman"/>
                <w:kern w:val="0"/>
                <w:szCs w:val="20"/>
              </w:rPr>
            </w:pPr>
            <w:r>
              <w:rPr>
                <w:rFonts w:ascii="宋体" w:hAnsi="宋体" w:cs="Times New Roman"/>
                <w:kern w:val="0"/>
                <w:szCs w:val="20"/>
              </w:rPr>
              <w:t>指标名称</w:t>
            </w:r>
          </w:p>
        </w:tc>
        <w:tc>
          <w:tcPr>
            <w:tcW w:w="2558" w:type="pct"/>
            <w:tcBorders>
              <w:top w:val="single" w:color="auto" w:sz="12" w:space="0"/>
              <w:left w:val="single" w:color="auto" w:sz="4" w:space="0"/>
              <w:bottom w:val="single" w:color="auto" w:sz="4" w:space="0"/>
              <w:right w:val="nil"/>
            </w:tcBorders>
          </w:tcPr>
          <w:p w14:paraId="66D5E84E">
            <w:pPr>
              <w:pStyle w:val="445"/>
              <w:ind w:firstLine="482"/>
              <w:rPr>
                <w:rFonts w:cs="Times New Roman"/>
                <w:kern w:val="0"/>
                <w:szCs w:val="20"/>
              </w:rPr>
            </w:pPr>
            <w:r>
              <w:rPr>
                <w:rFonts w:cs="Times New Roman"/>
                <w:kern w:val="0"/>
                <w:szCs w:val="20"/>
              </w:rPr>
              <w:t>RMB(</w:t>
            </w:r>
            <w:r>
              <w:rPr>
                <w:rFonts w:ascii="宋体" w:hAnsi="宋体" w:cs="Times New Roman"/>
                <w:kern w:val="0"/>
                <w:szCs w:val="20"/>
              </w:rPr>
              <w:t>万元</w:t>
            </w:r>
            <w:r>
              <w:rPr>
                <w:rFonts w:cs="Times New Roman"/>
                <w:kern w:val="0"/>
                <w:szCs w:val="20"/>
              </w:rPr>
              <w:t>)</w:t>
            </w:r>
          </w:p>
        </w:tc>
      </w:tr>
      <w:tr w14:paraId="2FE81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4" w:space="0"/>
              <w:left w:val="nil"/>
              <w:bottom w:val="single" w:color="auto" w:sz="4" w:space="0"/>
              <w:right w:val="single" w:color="auto" w:sz="4" w:space="0"/>
            </w:tcBorders>
          </w:tcPr>
          <w:p w14:paraId="5AB1CEA3">
            <w:pPr>
              <w:pStyle w:val="445"/>
              <w:ind w:firstLine="482"/>
              <w:rPr>
                <w:rFonts w:cs="Times New Roman"/>
                <w:kern w:val="0"/>
                <w:szCs w:val="20"/>
              </w:rPr>
            </w:pPr>
            <w:r>
              <w:rPr>
                <w:rFonts w:ascii="宋体" w:hAnsi="宋体" w:cs="Times New Roman"/>
                <w:kern w:val="0"/>
                <w:szCs w:val="20"/>
              </w:rPr>
              <w:t>总投资</w:t>
            </w:r>
          </w:p>
        </w:tc>
        <w:tc>
          <w:tcPr>
            <w:tcW w:w="2558" w:type="pct"/>
            <w:tcBorders>
              <w:top w:val="single" w:color="auto" w:sz="4" w:space="0"/>
              <w:left w:val="single" w:color="auto" w:sz="4" w:space="0"/>
              <w:bottom w:val="single" w:color="auto" w:sz="4" w:space="0"/>
              <w:right w:val="nil"/>
            </w:tcBorders>
          </w:tcPr>
          <w:p w14:paraId="72513195">
            <w:pPr>
              <w:pStyle w:val="445"/>
              <w:ind w:firstLine="482"/>
              <w:rPr>
                <w:rFonts w:cs="Times New Roman"/>
                <w:kern w:val="0"/>
                <w:szCs w:val="20"/>
              </w:rPr>
            </w:pPr>
            <w:r>
              <w:rPr>
                <w:rFonts w:cs="Times New Roman"/>
                <w:kern w:val="0"/>
                <w:szCs w:val="20"/>
              </w:rPr>
              <w:t>30248</w:t>
            </w:r>
          </w:p>
        </w:tc>
      </w:tr>
      <w:tr w14:paraId="64EE9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4" w:space="0"/>
              <w:left w:val="nil"/>
              <w:bottom w:val="single" w:color="auto" w:sz="4" w:space="0"/>
              <w:right w:val="single" w:color="auto" w:sz="4" w:space="0"/>
            </w:tcBorders>
          </w:tcPr>
          <w:p w14:paraId="0EC77F13">
            <w:pPr>
              <w:pStyle w:val="445"/>
              <w:ind w:firstLine="482"/>
              <w:rPr>
                <w:rFonts w:cs="Times New Roman"/>
                <w:kern w:val="0"/>
                <w:szCs w:val="20"/>
              </w:rPr>
            </w:pPr>
            <w:r>
              <w:rPr>
                <w:rFonts w:ascii="宋体" w:hAnsi="宋体" w:cs="Times New Roman"/>
                <w:kern w:val="0"/>
                <w:szCs w:val="20"/>
              </w:rPr>
              <w:t>销售收入</w:t>
            </w:r>
          </w:p>
        </w:tc>
        <w:tc>
          <w:tcPr>
            <w:tcW w:w="2558" w:type="pct"/>
            <w:tcBorders>
              <w:top w:val="single" w:color="auto" w:sz="4" w:space="0"/>
              <w:left w:val="single" w:color="auto" w:sz="4" w:space="0"/>
              <w:bottom w:val="single" w:color="auto" w:sz="4" w:space="0"/>
              <w:right w:val="nil"/>
            </w:tcBorders>
          </w:tcPr>
          <w:p w14:paraId="1662BCB8">
            <w:pPr>
              <w:pStyle w:val="445"/>
              <w:ind w:firstLine="482"/>
              <w:rPr>
                <w:rFonts w:cs="Times New Roman"/>
                <w:kern w:val="0"/>
                <w:szCs w:val="20"/>
              </w:rPr>
            </w:pPr>
            <w:r>
              <w:rPr>
                <w:rFonts w:cs="Times New Roman"/>
                <w:kern w:val="0"/>
                <w:szCs w:val="20"/>
              </w:rPr>
              <w:t>32871.82</w:t>
            </w:r>
          </w:p>
        </w:tc>
      </w:tr>
      <w:tr w14:paraId="6BEB4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4" w:space="0"/>
              <w:left w:val="nil"/>
              <w:bottom w:val="single" w:color="auto" w:sz="4" w:space="0"/>
              <w:right w:val="single" w:color="auto" w:sz="4" w:space="0"/>
            </w:tcBorders>
          </w:tcPr>
          <w:p w14:paraId="301F7D93">
            <w:pPr>
              <w:pStyle w:val="445"/>
              <w:ind w:firstLine="482"/>
              <w:rPr>
                <w:rFonts w:cs="Times New Roman"/>
                <w:kern w:val="0"/>
                <w:szCs w:val="20"/>
              </w:rPr>
            </w:pPr>
            <w:r>
              <w:rPr>
                <w:rFonts w:hint="eastAsia" w:ascii="宋体" w:hAnsi="宋体" w:cs="Times New Roman"/>
                <w:kern w:val="0"/>
                <w:szCs w:val="20"/>
              </w:rPr>
              <w:t>经营成本</w:t>
            </w:r>
          </w:p>
        </w:tc>
        <w:tc>
          <w:tcPr>
            <w:tcW w:w="2558" w:type="pct"/>
            <w:tcBorders>
              <w:top w:val="single" w:color="auto" w:sz="4" w:space="0"/>
              <w:left w:val="single" w:color="auto" w:sz="4" w:space="0"/>
              <w:bottom w:val="single" w:color="auto" w:sz="4" w:space="0"/>
              <w:right w:val="nil"/>
            </w:tcBorders>
          </w:tcPr>
          <w:p w14:paraId="43213496">
            <w:pPr>
              <w:pStyle w:val="445"/>
              <w:ind w:firstLine="482"/>
              <w:rPr>
                <w:rFonts w:cs="Times New Roman"/>
                <w:kern w:val="0"/>
                <w:szCs w:val="20"/>
              </w:rPr>
            </w:pPr>
            <w:r>
              <w:rPr>
                <w:rFonts w:hint="eastAsia" w:cs="Times New Roman"/>
                <w:kern w:val="0"/>
                <w:szCs w:val="20"/>
              </w:rPr>
              <w:t>1</w:t>
            </w:r>
            <w:r>
              <w:rPr>
                <w:rFonts w:cs="Times New Roman"/>
                <w:kern w:val="0"/>
                <w:szCs w:val="20"/>
              </w:rPr>
              <w:t>8083.75</w:t>
            </w:r>
          </w:p>
        </w:tc>
      </w:tr>
      <w:tr w14:paraId="0E8DB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4" w:space="0"/>
              <w:left w:val="nil"/>
              <w:bottom w:val="single" w:color="auto" w:sz="4" w:space="0"/>
              <w:right w:val="single" w:color="auto" w:sz="4" w:space="0"/>
            </w:tcBorders>
          </w:tcPr>
          <w:p w14:paraId="3B8C1327">
            <w:pPr>
              <w:pStyle w:val="445"/>
              <w:ind w:firstLine="482"/>
              <w:rPr>
                <w:rFonts w:cs="Times New Roman"/>
                <w:kern w:val="0"/>
                <w:szCs w:val="20"/>
              </w:rPr>
            </w:pPr>
            <w:r>
              <w:rPr>
                <w:rFonts w:ascii="宋体" w:hAnsi="宋体" w:cs="Times New Roman"/>
                <w:kern w:val="0"/>
                <w:szCs w:val="20"/>
              </w:rPr>
              <w:t>年上缴税额</w:t>
            </w:r>
          </w:p>
        </w:tc>
        <w:tc>
          <w:tcPr>
            <w:tcW w:w="2558" w:type="pct"/>
            <w:tcBorders>
              <w:top w:val="single" w:color="auto" w:sz="4" w:space="0"/>
              <w:left w:val="single" w:color="auto" w:sz="4" w:space="0"/>
              <w:bottom w:val="single" w:color="auto" w:sz="4" w:space="0"/>
              <w:right w:val="nil"/>
            </w:tcBorders>
          </w:tcPr>
          <w:p w14:paraId="07C79437">
            <w:pPr>
              <w:pStyle w:val="445"/>
              <w:ind w:firstLine="482"/>
              <w:rPr>
                <w:rFonts w:cs="Times New Roman"/>
                <w:kern w:val="0"/>
                <w:szCs w:val="20"/>
              </w:rPr>
            </w:pPr>
            <w:r>
              <w:rPr>
                <w:rFonts w:hint="eastAsia" w:cs="Times New Roman"/>
                <w:kern w:val="0"/>
                <w:szCs w:val="20"/>
              </w:rPr>
              <w:t>3</w:t>
            </w:r>
            <w:r>
              <w:rPr>
                <w:rFonts w:cs="Times New Roman"/>
                <w:kern w:val="0"/>
                <w:szCs w:val="20"/>
              </w:rPr>
              <w:t>823.28</w:t>
            </w:r>
          </w:p>
        </w:tc>
      </w:tr>
      <w:tr w14:paraId="71E22F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2" w:type="pct"/>
            <w:tcBorders>
              <w:top w:val="single" w:color="auto" w:sz="4" w:space="0"/>
              <w:left w:val="nil"/>
              <w:bottom w:val="single" w:color="auto" w:sz="12" w:space="0"/>
              <w:right w:val="single" w:color="auto" w:sz="4" w:space="0"/>
            </w:tcBorders>
          </w:tcPr>
          <w:p w14:paraId="6E65B070">
            <w:pPr>
              <w:pStyle w:val="445"/>
              <w:ind w:firstLine="482"/>
              <w:rPr>
                <w:rFonts w:cs="Times New Roman"/>
                <w:kern w:val="0"/>
                <w:szCs w:val="20"/>
              </w:rPr>
            </w:pPr>
            <w:r>
              <w:rPr>
                <w:rFonts w:ascii="宋体" w:hAnsi="宋体" w:cs="Times New Roman"/>
                <w:kern w:val="0"/>
                <w:szCs w:val="20"/>
              </w:rPr>
              <w:t>税后年净利润</w:t>
            </w:r>
          </w:p>
        </w:tc>
        <w:tc>
          <w:tcPr>
            <w:tcW w:w="2558" w:type="pct"/>
            <w:tcBorders>
              <w:top w:val="single" w:color="auto" w:sz="4" w:space="0"/>
              <w:left w:val="single" w:color="auto" w:sz="4" w:space="0"/>
              <w:bottom w:val="single" w:color="auto" w:sz="12" w:space="0"/>
              <w:right w:val="nil"/>
            </w:tcBorders>
          </w:tcPr>
          <w:p w14:paraId="4E2EBBA9">
            <w:pPr>
              <w:pStyle w:val="445"/>
              <w:ind w:firstLine="482"/>
              <w:rPr>
                <w:rFonts w:cs="Times New Roman"/>
                <w:kern w:val="0"/>
                <w:szCs w:val="20"/>
              </w:rPr>
            </w:pPr>
            <w:r>
              <w:rPr>
                <w:rFonts w:hint="eastAsia" w:cs="Times New Roman"/>
                <w:kern w:val="0"/>
                <w:szCs w:val="20"/>
              </w:rPr>
              <w:t>1</w:t>
            </w:r>
            <w:r>
              <w:rPr>
                <w:rFonts w:cs="Times New Roman"/>
                <w:kern w:val="0"/>
                <w:szCs w:val="20"/>
              </w:rPr>
              <w:t>0864.79</w:t>
            </w:r>
          </w:p>
        </w:tc>
      </w:tr>
    </w:tbl>
    <w:p w14:paraId="0D4D59D9">
      <w:pPr>
        <w:pStyle w:val="4065"/>
      </w:pPr>
      <w:bookmarkStart w:id="509" w:name="_Toc108662728"/>
      <w:r>
        <w:t>7.2</w:t>
      </w:r>
      <w:r>
        <w:rPr>
          <w:rFonts w:hint="eastAsia"/>
        </w:rPr>
        <w:t>社会效益分析</w:t>
      </w:r>
      <w:bookmarkEnd w:id="509"/>
    </w:p>
    <w:p w14:paraId="6B7C8FB4">
      <w:pPr>
        <w:ind w:firstLine="480"/>
      </w:pPr>
      <w:r>
        <w:t>项目社会效益主要体现在对当地社会经济的正面影响，以及对市场和国家经济的贡献。</w:t>
      </w:r>
    </w:p>
    <w:p w14:paraId="24A1DD3C">
      <w:pPr>
        <w:ind w:firstLine="480"/>
      </w:pPr>
      <w:r>
        <w:t>项目建成后的社会效益主要体现在以下几个方面：</w:t>
      </w:r>
    </w:p>
    <w:p w14:paraId="70B10F8D">
      <w:pPr>
        <w:ind w:firstLine="480"/>
      </w:pPr>
      <w:r>
        <w:t>（1）</w:t>
      </w:r>
      <w:r>
        <w:rPr>
          <w:rFonts w:hint="eastAsia"/>
        </w:rPr>
        <w:t>扩建</w:t>
      </w:r>
      <w:r>
        <w:t>项目用地为园区规划</w:t>
      </w:r>
      <w:r>
        <w:rPr>
          <w:rFonts w:hint="eastAsia"/>
        </w:rPr>
        <w:t>工业</w:t>
      </w:r>
      <w:r>
        <w:t>用</w:t>
      </w:r>
      <w:r>
        <w:rPr>
          <w:rFonts w:hint="eastAsia"/>
        </w:rPr>
        <w:t>地</w:t>
      </w:r>
      <w:r>
        <w:t>，项目对完善园区建设，提高园区的土地利用有重大的意义，可提高土地利用率。</w:t>
      </w:r>
    </w:p>
    <w:p w14:paraId="53AE7C5F">
      <w:pPr>
        <w:ind w:firstLine="480"/>
      </w:pPr>
      <w:r>
        <w:t>（2）项目采用先进工艺与设备，该工艺技术成熟，设备运行稳定，有利于市场竞争。</w:t>
      </w:r>
    </w:p>
    <w:p w14:paraId="0589884C">
      <w:pPr>
        <w:ind w:firstLine="480"/>
      </w:pPr>
      <w:r>
        <w:t>（</w:t>
      </w:r>
      <w:r>
        <w:rPr>
          <w:rFonts w:hint="eastAsia"/>
        </w:rPr>
        <w:t>3</w:t>
      </w:r>
      <w:r>
        <w:t>）项目建成后，可提供一定数量的劳动就业机会，为国家和地方增加相当数量的税收，促进当地工业的发展和增加地方经济实力。</w:t>
      </w:r>
    </w:p>
    <w:p w14:paraId="083E8C6D">
      <w:pPr>
        <w:pStyle w:val="4065"/>
      </w:pPr>
      <w:bookmarkStart w:id="510" w:name="_Toc108662729"/>
      <w:r>
        <w:t>7.3环境效益分析</w:t>
      </w:r>
      <w:bookmarkEnd w:id="510"/>
    </w:p>
    <w:p w14:paraId="629DE9A4">
      <w:pPr>
        <w:pStyle w:val="4068"/>
      </w:pPr>
      <w:bookmarkStart w:id="511" w:name="_Toc101135952"/>
      <w:bookmarkStart w:id="512" w:name="_Toc108662730"/>
      <w:bookmarkStart w:id="513" w:name="_Toc100784119"/>
      <w:r>
        <w:t>7.3.1环保投资费用分析</w:t>
      </w:r>
      <w:bookmarkEnd w:id="511"/>
      <w:bookmarkEnd w:id="512"/>
      <w:bookmarkEnd w:id="513"/>
    </w:p>
    <w:p w14:paraId="09CE7C59">
      <w:pPr>
        <w:ind w:firstLine="480"/>
        <w:rPr>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扩建</w:t>
      </w:r>
      <w:r>
        <w:rPr>
          <w:rFonts w:cs="Times New Roman"/>
          <w:color w:val="000000" w:themeColor="text1"/>
          <w14:textFill>
            <w14:solidFill>
              <w14:schemeClr w14:val="tx1"/>
            </w14:solidFill>
          </w14:textFill>
        </w:rPr>
        <w:t>项目环保工程固定总投资为905万元，占项目总投资的2.99%。环保设施基本能满足有关污染治理方面的需求，投资合理，环保措施可以达到达标排放的要求。</w:t>
      </w:r>
    </w:p>
    <w:p w14:paraId="7BD055A9">
      <w:pPr>
        <w:ind w:firstLine="480"/>
      </w:pPr>
      <w:r>
        <w:rPr>
          <w:rFonts w:hint="eastAsia" w:cs="Times New Roman"/>
          <w:color w:val="000000" w:themeColor="text1"/>
          <w14:textFill>
            <w14:solidFill>
              <w14:schemeClr w14:val="tx1"/>
            </w14:solidFill>
          </w14:textFill>
        </w:rPr>
        <w:t>扩建</w:t>
      </w:r>
      <w:r>
        <w:rPr>
          <w:rFonts w:cs="Times New Roman"/>
          <w:color w:val="000000" w:themeColor="text1"/>
          <w14:textFill>
            <w14:solidFill>
              <w14:schemeClr w14:val="tx1"/>
            </w14:solidFill>
          </w14:textFill>
        </w:rPr>
        <w:t>项目在污染治理和控制方面有较大的投入，通过设施建设和日常运行，可保证各类污染物的达标排放。对预防和杜绝可能产生的潜在事故污染影响也能发挥明显的作用。因此，本项目环保投资比较合理，污染物经过各项设施处理后对周围环境影响比较小</w:t>
      </w:r>
    </w:p>
    <w:p w14:paraId="21D10947">
      <w:pPr>
        <w:spacing w:before="240" w:after="120"/>
        <w:ind w:firstLine="0" w:firstLineChars="0"/>
        <w:jc w:val="left"/>
        <w:outlineLvl w:val="2"/>
        <w:rPr>
          <w:rFonts w:eastAsia="黑体"/>
          <w:sz w:val="28"/>
          <w:szCs w:val="28"/>
        </w:rPr>
      </w:pPr>
      <w:bookmarkStart w:id="514" w:name="_Toc100784120"/>
      <w:bookmarkStart w:id="515" w:name="_Toc101135953"/>
      <w:bookmarkStart w:id="516" w:name="_Toc108662731"/>
      <w:r>
        <w:rPr>
          <w:rFonts w:eastAsia="黑体"/>
          <w:sz w:val="28"/>
          <w:szCs w:val="28"/>
        </w:rPr>
        <w:t>7.3.2</w:t>
      </w:r>
      <w:r>
        <w:rPr>
          <w:rFonts w:ascii="黑体" w:hAnsi="黑体" w:eastAsia="黑体"/>
          <w:sz w:val="28"/>
          <w:szCs w:val="28"/>
        </w:rPr>
        <w:t>环境损益分析</w:t>
      </w:r>
      <w:bookmarkEnd w:id="514"/>
      <w:bookmarkEnd w:id="515"/>
      <w:bookmarkEnd w:id="516"/>
    </w:p>
    <w:p w14:paraId="6F47805B">
      <w:pPr>
        <w:ind w:firstLine="480"/>
      </w:pPr>
      <w:r>
        <w:rPr>
          <w:rFonts w:ascii="宋体" w:hAnsi="宋体"/>
        </w:rPr>
        <w:t>项目采用的废水、废气、噪声等污染治理及清洁生产措施，达到了有效控制污染和保护环境的目的。</w:t>
      </w:r>
      <w:r>
        <w:rPr>
          <w:rFonts w:hint="eastAsia" w:ascii="宋体" w:hAnsi="宋体"/>
        </w:rPr>
        <w:t>本项目</w:t>
      </w:r>
      <w:r>
        <w:rPr>
          <w:rFonts w:ascii="宋体" w:hAnsi="宋体"/>
        </w:rPr>
        <w:t>的环境效益表现在以下方面：</w:t>
      </w:r>
    </w:p>
    <w:p w14:paraId="25140E35">
      <w:pPr>
        <w:ind w:firstLine="482"/>
      </w:pPr>
      <w:r>
        <w:rPr>
          <w:rFonts w:hint="eastAsia" w:ascii="宋体" w:hAnsi="宋体"/>
          <w:b/>
        </w:rPr>
        <w:t>（</w:t>
      </w:r>
      <w:r>
        <w:rPr>
          <w:rFonts w:hint="eastAsia"/>
          <w:b/>
        </w:rPr>
        <w:t>1</w:t>
      </w:r>
      <w:r>
        <w:rPr>
          <w:rFonts w:hint="eastAsia" w:ascii="宋体" w:hAnsi="宋体"/>
          <w:b/>
        </w:rPr>
        <w:t>）废气治理环境效益：</w:t>
      </w:r>
      <w:r>
        <w:rPr>
          <w:rFonts w:hint="eastAsia"/>
        </w:rPr>
        <w:t>硅粉车间制粉废气G1-1经“布袋除尘+一级水洗”处理后经DA018排气筒排放；三甲生产线推粉废气G2-1经“过滤罐+一级水洗”处理后经DA021排气筒排放；三甲生产线分级精馏废气G2-3、KH-560生产线不凝气G4-4及G4-2、罐区废气经“二级深冷+一级水洗”处理后经DA021排气筒排放；三甲合成工序不凝气G2-2经“两级深冷”处理后经DA020排气筒排放；硅溶胶含氨废气经“一级水洗+一级酸洗”处理后经DA022排气筒排放；A-171生产线合成工序不凝气G5-1经“一级深冷+一级活性炭吸附”处理后经DA034排气筒排放；A-171生产线减压蒸馏废气G5-2、精馏废气G5-3经“一级深冷+一级水洗”处理后经DA035排气筒排放；乙炔生产线干燥废气G6-2经DA036排气筒直接排放。</w:t>
      </w:r>
      <w:r>
        <w:rPr>
          <w:rFonts w:hint="eastAsia" w:ascii="宋体" w:hAnsi="宋体"/>
        </w:rPr>
        <w:t>根据预测结果，废气污染物均可达标排放。</w:t>
      </w:r>
    </w:p>
    <w:p w14:paraId="436922EC">
      <w:pPr>
        <w:ind w:firstLine="482"/>
        <w:rPr>
          <w:color w:val="FF0000"/>
        </w:rPr>
      </w:pPr>
      <w:r>
        <w:rPr>
          <w:rFonts w:hint="eastAsia" w:ascii="宋体" w:hAnsi="宋体"/>
          <w:b/>
        </w:rPr>
        <w:t>（</w:t>
      </w:r>
      <w:r>
        <w:rPr>
          <w:rFonts w:hint="eastAsia"/>
          <w:b/>
        </w:rPr>
        <w:t>2</w:t>
      </w:r>
      <w:r>
        <w:rPr>
          <w:rFonts w:hint="eastAsia" w:ascii="宋体" w:hAnsi="宋体"/>
          <w:b/>
        </w:rPr>
        <w:t>）</w:t>
      </w:r>
      <w:r>
        <w:rPr>
          <w:rFonts w:ascii="宋体" w:hAnsi="宋体"/>
          <w:b/>
        </w:rPr>
        <w:t>废水治理环境效益</w:t>
      </w:r>
      <w:r>
        <w:rPr>
          <w:rFonts w:hint="eastAsia" w:ascii="宋体" w:hAnsi="宋体"/>
          <w:b/>
        </w:rPr>
        <w:t>：</w:t>
      </w:r>
      <w:r>
        <w:t>综合废水进入厂区污水处理站处理，达到</w:t>
      </w:r>
      <w:r>
        <w:rPr>
          <w:rFonts w:ascii="宋体" w:hAnsi="宋体"/>
        </w:rPr>
        <w:t>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r>
        <w:rPr>
          <w:rFonts w:ascii="宋体" w:hAnsi="宋体"/>
        </w:rPr>
        <w:t>。</w:t>
      </w:r>
      <w:r>
        <w:rPr>
          <w:rFonts w:hint="eastAsia"/>
          <w:kern w:val="0"/>
        </w:rPr>
        <w:t>尾水经沫河口污水处理厂处理后达到《城镇污水处理厂污染物排放标准》(GB18918-2002)中一级A标准后排入沫冲引河并汇入淮河（蚌埠段）。</w:t>
      </w: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废水污染物可以达标排放。</w:t>
      </w:r>
    </w:p>
    <w:p w14:paraId="33133164">
      <w:pPr>
        <w:ind w:firstLine="482"/>
        <w:rPr>
          <w:color w:val="000000" w:themeColor="text1"/>
          <w14:textFill>
            <w14:solidFill>
              <w14:schemeClr w14:val="tx1"/>
            </w14:solidFill>
          </w14:textFill>
        </w:rPr>
      </w:pPr>
      <w:r>
        <w:rPr>
          <w:rFonts w:hint="eastAsia" w:ascii="宋体" w:hAnsi="宋体"/>
          <w:b/>
        </w:rPr>
        <w:t>（</w:t>
      </w:r>
      <w:r>
        <w:rPr>
          <w:rFonts w:hint="eastAsia"/>
          <w:b/>
        </w:rPr>
        <w:t>3</w:t>
      </w:r>
      <w:r>
        <w:rPr>
          <w:rFonts w:hint="eastAsia" w:ascii="宋体" w:hAnsi="宋体"/>
          <w:b/>
        </w:rPr>
        <w:t>）</w:t>
      </w:r>
      <w:r>
        <w:rPr>
          <w:rFonts w:ascii="宋体" w:hAnsi="宋体"/>
          <w:b/>
        </w:rPr>
        <w:t>噪声治理的环境效益分析</w:t>
      </w:r>
      <w:r>
        <w:rPr>
          <w:rFonts w:hint="eastAsia" w:ascii="宋体" w:hAnsi="宋体"/>
          <w:b/>
        </w:rPr>
        <w:t>：</w:t>
      </w:r>
      <w:r>
        <w:rPr>
          <w:color w:val="000000" w:themeColor="text1"/>
          <w14:textFill>
            <w14:solidFill>
              <w14:schemeClr w14:val="tx1"/>
            </w14:solidFill>
          </w14:textFill>
        </w:rPr>
        <w:t>本项目主要噪声源为</w:t>
      </w:r>
      <w:r>
        <w:rPr>
          <w:rFonts w:hint="eastAsia"/>
          <w:color w:val="000000" w:themeColor="text1"/>
          <w14:textFill>
            <w14:solidFill>
              <w14:schemeClr w14:val="tx1"/>
            </w14:solidFill>
          </w14:textFill>
        </w:rPr>
        <w:t>泵机、空压机</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风</w:t>
      </w:r>
      <w:r>
        <w:rPr>
          <w:color w:val="000000" w:themeColor="text1"/>
          <w14:textFill>
            <w14:solidFill>
              <w14:schemeClr w14:val="tx1"/>
            </w14:solidFill>
          </w14:textFill>
        </w:rPr>
        <w:t>机</w:t>
      </w:r>
      <w:r>
        <w:rPr>
          <w:rFonts w:hint="eastAsia"/>
          <w:color w:val="000000" w:themeColor="text1"/>
          <w14:textFill>
            <w14:solidFill>
              <w14:schemeClr w14:val="tx1"/>
            </w14:solidFill>
          </w14:textFill>
        </w:rPr>
        <w:t>等</w:t>
      </w:r>
      <w:r>
        <w:rPr>
          <w:color w:val="000000" w:themeColor="text1"/>
          <w14:textFill>
            <w14:solidFill>
              <w14:schemeClr w14:val="tx1"/>
            </w14:solidFill>
          </w14:textFill>
        </w:rPr>
        <w:t>，其源强为80~95dB（A），采用了相应的隔声减振措施，降噪效果较好，对周围环境影响在可接受范围内。</w:t>
      </w:r>
    </w:p>
    <w:p w14:paraId="3D200EB7">
      <w:pPr>
        <w:ind w:firstLine="482"/>
      </w:pPr>
      <w:r>
        <w:rPr>
          <w:rFonts w:hint="eastAsia" w:ascii="宋体" w:hAnsi="宋体"/>
          <w:b/>
        </w:rPr>
        <w:t>（</w:t>
      </w:r>
      <w:r>
        <w:rPr>
          <w:rFonts w:hint="eastAsia"/>
          <w:b/>
        </w:rPr>
        <w:t>4</w:t>
      </w:r>
      <w:r>
        <w:rPr>
          <w:rFonts w:hint="eastAsia" w:ascii="宋体" w:hAnsi="宋体"/>
          <w:b/>
        </w:rPr>
        <w:t>）</w:t>
      </w:r>
      <w:r>
        <w:rPr>
          <w:rFonts w:ascii="宋体" w:hAnsi="宋体"/>
          <w:b/>
        </w:rPr>
        <w:t>固废治理的环境效益</w:t>
      </w:r>
      <w:r>
        <w:rPr>
          <w:rFonts w:hint="eastAsia" w:ascii="宋体" w:hAnsi="宋体"/>
          <w:b/>
        </w:rPr>
        <w:t>：</w:t>
      </w:r>
      <w:r>
        <w:rPr>
          <w:rFonts w:hint="eastAsia" w:ascii="宋体" w:hAnsi="宋体"/>
        </w:rPr>
        <w:t>根据工程</w:t>
      </w:r>
      <w:r>
        <w:rPr>
          <w:rFonts w:ascii="宋体" w:hAnsi="宋体"/>
        </w:rPr>
        <w:t>分析，</w:t>
      </w:r>
      <w:r>
        <w:rPr>
          <w:rFonts w:hint="eastAsia" w:ascii="宋体" w:hAnsi="宋体"/>
        </w:rPr>
        <w:t>本工程新增</w:t>
      </w:r>
      <w:r>
        <w:rPr>
          <w:rFonts w:ascii="宋体" w:hAnsi="宋体"/>
        </w:rPr>
        <w:t>固体废物主要为废活性炭</w:t>
      </w:r>
      <w:r>
        <w:rPr>
          <w:rFonts w:hint="eastAsia" w:ascii="宋体" w:hAnsi="宋体"/>
        </w:rPr>
        <w:t>、</w:t>
      </w:r>
      <w:r>
        <w:rPr>
          <w:rFonts w:ascii="宋体" w:hAnsi="宋体"/>
        </w:rPr>
        <w:t>生活垃圾</w:t>
      </w:r>
      <w:r>
        <w:rPr>
          <w:rFonts w:hint="eastAsia" w:ascii="宋体" w:hAnsi="宋体"/>
        </w:rPr>
        <w:t>、二氧化硅微粉、精馏残液、实验室</w:t>
      </w:r>
      <w:r>
        <w:rPr>
          <w:rFonts w:ascii="宋体" w:hAnsi="宋体"/>
        </w:rPr>
        <w:t>废物、</w:t>
      </w:r>
      <w:r>
        <w:rPr>
          <w:rFonts w:hint="eastAsia" w:ascii="宋体" w:hAnsi="宋体"/>
        </w:rPr>
        <w:t>废催化剂</w:t>
      </w:r>
      <w:r>
        <w:rPr>
          <w:rFonts w:ascii="宋体" w:hAnsi="宋体"/>
        </w:rPr>
        <w:t>、</w:t>
      </w:r>
      <w:r>
        <w:rPr>
          <w:rFonts w:hint="eastAsia" w:ascii="宋体" w:hAnsi="宋体"/>
        </w:rPr>
        <w:t>污泥</w:t>
      </w:r>
      <w:r>
        <w:rPr>
          <w:rFonts w:ascii="宋体" w:hAnsi="宋体"/>
        </w:rPr>
        <w:t>、</w:t>
      </w:r>
      <w:r>
        <w:rPr>
          <w:rFonts w:hint="eastAsia" w:ascii="宋体" w:hAnsi="宋体"/>
        </w:rPr>
        <w:t>布袋</w:t>
      </w:r>
      <w:r>
        <w:rPr>
          <w:rFonts w:ascii="宋体" w:hAnsi="宋体"/>
        </w:rPr>
        <w:t>收集粉尘、</w:t>
      </w:r>
      <w:r>
        <w:rPr>
          <w:rFonts w:hint="eastAsia" w:ascii="宋体" w:hAnsi="宋体"/>
        </w:rPr>
        <w:t>废</w:t>
      </w:r>
      <w:r>
        <w:rPr>
          <w:rFonts w:ascii="宋体" w:hAnsi="宋体"/>
        </w:rPr>
        <w:t>分子筛、</w:t>
      </w:r>
      <w:r>
        <w:rPr>
          <w:rFonts w:hint="eastAsia" w:ascii="宋体" w:hAnsi="宋体"/>
        </w:rPr>
        <w:t>废矿物油</w:t>
      </w:r>
      <w:r>
        <w:rPr>
          <w:rFonts w:ascii="宋体" w:hAnsi="宋体"/>
        </w:rPr>
        <w:t>和</w:t>
      </w:r>
      <w:r>
        <w:rPr>
          <w:rFonts w:hint="eastAsia" w:ascii="宋体" w:hAnsi="宋体"/>
        </w:rPr>
        <w:t>硫酸铵。废活性炭、精馏残液、</w:t>
      </w:r>
      <w:r>
        <w:rPr>
          <w:rFonts w:ascii="宋体" w:hAnsi="宋体"/>
        </w:rPr>
        <w:t>污泥</w:t>
      </w:r>
      <w:r>
        <w:rPr>
          <w:rFonts w:hint="eastAsia" w:ascii="宋体" w:hAnsi="宋体"/>
        </w:rPr>
        <w:t>、废矿物油及实验室废物属于危险废物，交由有资质单位进行处置，生活垃圾拟由环卫部门清运处理，</w:t>
      </w:r>
      <w:r>
        <w:rPr>
          <w:rFonts w:ascii="宋体" w:hAnsi="宋体"/>
        </w:rPr>
        <w:t>二氧化硅</w:t>
      </w:r>
      <w:r>
        <w:rPr>
          <w:rFonts w:hint="eastAsia" w:ascii="宋体" w:hAnsi="宋体"/>
        </w:rPr>
        <w:t>微粉和布袋</w:t>
      </w:r>
      <w:r>
        <w:rPr>
          <w:rFonts w:ascii="宋体" w:hAnsi="宋体"/>
        </w:rPr>
        <w:t>收集粉尘外售</w:t>
      </w:r>
      <w:r>
        <w:rPr>
          <w:rFonts w:hint="eastAsia" w:ascii="宋体" w:hAnsi="宋体"/>
        </w:rPr>
        <w:t>，废</w:t>
      </w:r>
      <w:r>
        <w:rPr>
          <w:rFonts w:ascii="宋体" w:hAnsi="宋体"/>
        </w:rPr>
        <w:t>分子筛</w:t>
      </w:r>
      <w:r>
        <w:rPr>
          <w:rFonts w:hint="eastAsia" w:ascii="宋体" w:hAnsi="宋体"/>
        </w:rPr>
        <w:t>、</w:t>
      </w:r>
      <w:r>
        <w:rPr>
          <w:rFonts w:ascii="宋体" w:hAnsi="宋体"/>
        </w:rPr>
        <w:t>废树脂</w:t>
      </w:r>
      <w:r>
        <w:rPr>
          <w:rFonts w:hint="eastAsia" w:ascii="宋体" w:hAnsi="宋体"/>
        </w:rPr>
        <w:t>和</w:t>
      </w:r>
      <w:r>
        <w:rPr>
          <w:rFonts w:ascii="宋体" w:hAnsi="宋体"/>
        </w:rPr>
        <w:t>废催化剂交由厂家回收</w:t>
      </w:r>
      <w:r>
        <w:rPr>
          <w:rFonts w:hint="eastAsia" w:ascii="宋体" w:hAnsi="宋体"/>
        </w:rPr>
        <w:t>。</w:t>
      </w:r>
    </w:p>
    <w:p w14:paraId="11E1471E">
      <w:pPr>
        <w:ind w:firstLine="480"/>
      </w:pPr>
      <w:r>
        <w:rPr>
          <w:rFonts w:ascii="宋体" w:hAnsi="宋体"/>
        </w:rPr>
        <w:t>由此可见，</w:t>
      </w:r>
      <w:r>
        <w:rPr>
          <w:rFonts w:hint="eastAsia" w:ascii="宋体" w:hAnsi="宋体"/>
        </w:rPr>
        <w:t>本项目</w:t>
      </w:r>
      <w:r>
        <w:rPr>
          <w:rFonts w:ascii="宋体" w:hAnsi="宋体"/>
        </w:rPr>
        <w:t>环境效益较显著</w:t>
      </w:r>
      <w:r>
        <w:rPr>
          <w:rFonts w:hint="eastAsia" w:ascii="宋体" w:hAnsi="宋体"/>
        </w:rPr>
        <w:t>。</w:t>
      </w:r>
    </w:p>
    <w:p w14:paraId="6EC31612">
      <w:pPr>
        <w:pStyle w:val="4064"/>
        <w:sectPr>
          <w:pgSz w:w="11907" w:h="16840"/>
          <w:pgMar w:top="1440" w:right="1440" w:bottom="1440" w:left="1440" w:header="851" w:footer="992" w:gutter="0"/>
          <w:cols w:space="720" w:num="1"/>
          <w:docGrid w:type="lines" w:linePitch="326" w:charSpace="0"/>
        </w:sectPr>
      </w:pPr>
    </w:p>
    <w:p w14:paraId="5653D5DE">
      <w:pPr>
        <w:pStyle w:val="4064"/>
      </w:pPr>
      <w:bookmarkStart w:id="517" w:name="_Toc108662732"/>
      <w:r>
        <w:rPr>
          <w:rFonts w:hint="eastAsia"/>
        </w:rPr>
        <w:t>8、</w:t>
      </w:r>
      <w:r>
        <w:t>环境管理与监测</w:t>
      </w:r>
      <w:r>
        <w:rPr>
          <w:rFonts w:hint="eastAsia"/>
        </w:rPr>
        <w:t>计划</w:t>
      </w:r>
      <w:bookmarkEnd w:id="517"/>
    </w:p>
    <w:p w14:paraId="694088A0">
      <w:pPr>
        <w:pStyle w:val="4065"/>
      </w:pPr>
      <w:bookmarkStart w:id="518" w:name="_Toc108662733"/>
      <w:r>
        <w:t>8.1</w:t>
      </w:r>
      <w:r>
        <w:rPr>
          <w:rFonts w:hint="eastAsia"/>
        </w:rPr>
        <w:t>环境管理要求</w:t>
      </w:r>
      <w:bookmarkEnd w:id="518"/>
    </w:p>
    <w:p w14:paraId="6BC6604D">
      <w:pPr>
        <w:pStyle w:val="4068"/>
      </w:pPr>
      <w:bookmarkStart w:id="519" w:name="_Toc100784123"/>
      <w:bookmarkStart w:id="520" w:name="_Toc108662734"/>
      <w:bookmarkStart w:id="521" w:name="_Toc101135956"/>
      <w:r>
        <w:rPr>
          <w:bCs/>
        </w:rPr>
        <w:t>8</w:t>
      </w:r>
      <w:r>
        <w:rPr>
          <w:rFonts w:hint="eastAsia"/>
          <w:bCs/>
        </w:rPr>
        <w:t>.1</w:t>
      </w:r>
      <w:r>
        <w:rPr>
          <w:bCs/>
        </w:rPr>
        <w:t>.1</w:t>
      </w:r>
      <w:r>
        <w:rPr>
          <w:rFonts w:hint="eastAsia"/>
        </w:rPr>
        <w:t>环境管理组织机构</w:t>
      </w:r>
      <w:bookmarkEnd w:id="519"/>
      <w:bookmarkEnd w:id="520"/>
      <w:bookmarkEnd w:id="521"/>
    </w:p>
    <w:p w14:paraId="346965AE">
      <w:pPr>
        <w:ind w:firstLine="480"/>
      </w:pPr>
      <w:r>
        <w:rPr>
          <w:rFonts w:ascii="宋体" w:hAnsi="宋体"/>
        </w:rPr>
        <w:t>项目建成后，在试运行阶段及正常生产过程中必须设立环境管理机构，配备专业环保管理人员</w:t>
      </w:r>
      <w:r>
        <w:t>2~3</w:t>
      </w:r>
      <w:r>
        <w:rPr>
          <w:rFonts w:ascii="宋体" w:hAnsi="宋体"/>
        </w:rPr>
        <w:t>名，负责环境监督管理工作，同时要加强对管理人员的环保培训。</w:t>
      </w:r>
    </w:p>
    <w:p w14:paraId="4A6E99DB">
      <w:pPr>
        <w:pStyle w:val="4068"/>
      </w:pPr>
      <w:bookmarkStart w:id="522" w:name="_Toc101135957"/>
      <w:bookmarkStart w:id="523" w:name="_Toc100784124"/>
      <w:bookmarkStart w:id="524" w:name="_Toc108662735"/>
      <w:r>
        <w:t>8.1</w:t>
      </w:r>
      <w:r>
        <w:rPr>
          <w:rFonts w:hint="eastAsia"/>
        </w:rPr>
        <w:t>.2</w:t>
      </w:r>
      <w:r>
        <w:t>施工期环境管理</w:t>
      </w:r>
      <w:bookmarkEnd w:id="522"/>
      <w:bookmarkEnd w:id="523"/>
      <w:bookmarkEnd w:id="524"/>
    </w:p>
    <w:p w14:paraId="101131A4">
      <w:pPr>
        <w:ind w:firstLine="480"/>
      </w:pPr>
      <w:r>
        <w:rPr>
          <w:rFonts w:hint="eastAsia" w:ascii="宋体" w:hAnsi="宋体"/>
        </w:rPr>
        <w:t>①</w:t>
      </w:r>
      <w:r>
        <w:rPr>
          <w:rFonts w:ascii="宋体" w:hAnsi="宋体"/>
        </w:rPr>
        <w:t>工程项目的施工承包合同中，应包括环境保护的条款。其中应包括施工中在环境污染预防和治理方面对承包的具体要求，如施工噪声污染，废水、扬尘和废气等排放治理，施工垃圾处理处置等内容。</w:t>
      </w:r>
    </w:p>
    <w:p w14:paraId="7EAA1433">
      <w:pPr>
        <w:ind w:firstLine="480"/>
      </w:pPr>
      <w:r>
        <w:rPr>
          <w:rFonts w:hint="eastAsia" w:ascii="宋体" w:hAnsi="宋体"/>
        </w:rPr>
        <w:t>②</w:t>
      </w:r>
      <w:r>
        <w:rPr>
          <w:rFonts w:ascii="宋体" w:hAnsi="宋体"/>
        </w:rPr>
        <w:t>建设单位应设置兼职环保员参加施工场地的环境监测和环境管理工作。</w:t>
      </w:r>
    </w:p>
    <w:p w14:paraId="5DD5EE7F">
      <w:pPr>
        <w:ind w:firstLine="480"/>
      </w:pPr>
      <w:r>
        <w:rPr>
          <w:rFonts w:hint="eastAsia" w:ascii="宋体" w:hAnsi="宋体"/>
        </w:rPr>
        <w:t>③</w:t>
      </w:r>
      <w:r>
        <w:rPr>
          <w:rFonts w:ascii="宋体" w:hAnsi="宋体"/>
        </w:rPr>
        <w:t>加强对施工人员的环境保护宣传教育，增强施工人员环境保护和劳动安全意识，杜绝人为引发环境污染事件的发生。</w:t>
      </w:r>
    </w:p>
    <w:p w14:paraId="732B75A5">
      <w:pPr>
        <w:ind w:firstLine="480"/>
      </w:pPr>
      <w:r>
        <w:rPr>
          <w:rFonts w:hint="eastAsia" w:ascii="宋体" w:hAnsi="宋体"/>
        </w:rPr>
        <w:t>④</w:t>
      </w:r>
      <w:r>
        <w:rPr>
          <w:rFonts w:ascii="宋体" w:hAnsi="宋体"/>
        </w:rPr>
        <w:t>定时监测施工场地和附近地带大气中</w:t>
      </w:r>
      <w:r>
        <w:t>TSP</w:t>
      </w:r>
      <w:r>
        <w:rPr>
          <w:rFonts w:ascii="宋体" w:hAnsi="宋体"/>
        </w:rPr>
        <w:t>和飘尘的浓度，定时检查施工现场污水排放情况和施工机械和噪声水平，以便及时采取措施，减少环境污染。</w:t>
      </w:r>
    </w:p>
    <w:p w14:paraId="654D3047">
      <w:pPr>
        <w:pStyle w:val="4068"/>
      </w:pPr>
      <w:bookmarkStart w:id="525" w:name="_Toc100784125"/>
      <w:bookmarkStart w:id="526" w:name="_Toc101135958"/>
      <w:bookmarkStart w:id="527" w:name="_Toc108662736"/>
      <w:r>
        <w:t>8.</w:t>
      </w:r>
      <w:r>
        <w:rPr>
          <w:rFonts w:hint="eastAsia"/>
        </w:rPr>
        <w:t>1.3</w:t>
      </w:r>
      <w:r>
        <w:t>运行期环境管理</w:t>
      </w:r>
      <w:bookmarkEnd w:id="525"/>
      <w:bookmarkEnd w:id="526"/>
      <w:bookmarkEnd w:id="527"/>
    </w:p>
    <w:p w14:paraId="5D41FF04">
      <w:pPr>
        <w:ind w:firstLine="480"/>
      </w:pPr>
      <w:r>
        <w:rPr>
          <w:rFonts w:hint="eastAsia" w:ascii="宋体" w:hAnsi="宋体"/>
        </w:rPr>
        <w:t>企业应建立健全环境管理制度体系，将环保纳入考核体系，确保在日常运行中将环保目标落实到实处。</w:t>
      </w:r>
    </w:p>
    <w:p w14:paraId="47E11385">
      <w:pPr>
        <w:ind w:firstLine="480"/>
      </w:pPr>
      <w:r>
        <w:rPr>
          <w:rFonts w:hint="eastAsia" w:ascii="宋体" w:hAnsi="宋体"/>
        </w:rPr>
        <w:t>一</w:t>
      </w:r>
      <w:r>
        <w:rPr>
          <w:rFonts w:ascii="宋体" w:hAnsi="宋体"/>
        </w:rPr>
        <w:t>、</w:t>
      </w:r>
      <w:r>
        <w:rPr>
          <w:rFonts w:hint="eastAsia" w:ascii="宋体" w:hAnsi="宋体"/>
        </w:rPr>
        <w:t>“三同时”制度</w:t>
      </w:r>
    </w:p>
    <w:p w14:paraId="20B6B1B5">
      <w:pPr>
        <w:ind w:firstLine="480"/>
      </w:pPr>
      <w:r>
        <w:rPr>
          <w:rFonts w:hint="eastAsia" w:ascii="宋体" w:hAnsi="宋体"/>
        </w:rPr>
        <w:t>根据《建设项目环境保护管理条例》，建设项目需要配套建设的环境保护设施，必须与主体工程同时设计、同时施工、同时投产使用。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本项目配套建设的环境保护设施经验收合格，方可投入生产或者使用。</w:t>
      </w:r>
    </w:p>
    <w:p w14:paraId="1BCC1ECF">
      <w:pPr>
        <w:ind w:firstLine="480"/>
      </w:pPr>
      <w:r>
        <w:rPr>
          <w:rFonts w:hint="eastAsia" w:ascii="宋体" w:hAnsi="宋体"/>
        </w:rPr>
        <w:t>二、排污许可证制度</w:t>
      </w:r>
    </w:p>
    <w:p w14:paraId="00C6AB91">
      <w:pPr>
        <w:ind w:firstLine="480"/>
      </w:pPr>
      <w:r>
        <w:rPr>
          <w:rFonts w:hint="eastAsia" w:ascii="宋体" w:hAnsi="宋体"/>
        </w:rPr>
        <w:t>（</w:t>
      </w:r>
      <w:r>
        <w:rPr>
          <w:rFonts w:hint="eastAsia"/>
        </w:rPr>
        <w:t>1</w:t>
      </w:r>
      <w:r>
        <w:rPr>
          <w:rFonts w:hint="eastAsia" w:ascii="宋体" w:hAnsi="宋体"/>
        </w:rPr>
        <w:t>）落实按证</w:t>
      </w:r>
      <w:r>
        <w:rPr>
          <w:rFonts w:ascii="宋体" w:hAnsi="宋体"/>
        </w:rPr>
        <w:t>排污责任</w:t>
      </w:r>
    </w:p>
    <w:p w14:paraId="60B08E46">
      <w:pPr>
        <w:ind w:firstLine="480"/>
      </w:pPr>
      <w:r>
        <w:rPr>
          <w:rFonts w:hint="eastAsia" w:ascii="宋体" w:hAnsi="宋体"/>
        </w:rPr>
        <w:t>建设单位必须按期</w:t>
      </w:r>
      <w:r>
        <w:rPr>
          <w:rFonts w:ascii="宋体" w:hAnsi="宋体"/>
        </w:rPr>
        <w:t>持证排污、按证排污，不得无证排污，及时申领排污许可证</w:t>
      </w:r>
      <w:r>
        <w:rPr>
          <w:rFonts w:hint="eastAsia" w:ascii="宋体" w:hAnsi="宋体"/>
        </w:rPr>
        <w:t>，</w:t>
      </w:r>
      <w:r>
        <w:rPr>
          <w:rFonts w:ascii="宋体" w:hAnsi="宋体"/>
        </w:rPr>
        <w:t>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14:paraId="704F00E6">
      <w:pPr>
        <w:ind w:firstLine="480"/>
      </w:pPr>
      <w:r>
        <w:rPr>
          <w:rFonts w:hint="eastAsia" w:ascii="宋体" w:hAnsi="宋体"/>
        </w:rPr>
        <w:t>（</w:t>
      </w:r>
      <w:r>
        <w:rPr>
          <w:rFonts w:hint="eastAsia"/>
        </w:rPr>
        <w:t>2</w:t>
      </w:r>
      <w:r>
        <w:rPr>
          <w:rFonts w:hint="eastAsia" w:ascii="宋体" w:hAnsi="宋体"/>
        </w:rPr>
        <w:t>）实行</w:t>
      </w:r>
      <w:r>
        <w:rPr>
          <w:rFonts w:ascii="宋体" w:hAnsi="宋体"/>
        </w:rPr>
        <w:t>自行监测和定期报告制度</w:t>
      </w:r>
    </w:p>
    <w:p w14:paraId="21E26B52">
      <w:pPr>
        <w:ind w:firstLine="480"/>
      </w:pPr>
      <w:r>
        <w:rPr>
          <w:rFonts w:hint="eastAsia" w:ascii="宋体" w:hAnsi="宋体"/>
        </w:rPr>
        <w:t>依法</w:t>
      </w:r>
      <w:r>
        <w:rPr>
          <w:rFonts w:ascii="宋体" w:hAnsi="宋体"/>
        </w:rPr>
        <w:t>开展自行监测，安装或使用监测设备应符合国家有关环境监测</w:t>
      </w:r>
      <w:r>
        <w:rPr>
          <w:rFonts w:hint="eastAsia" w:ascii="宋体" w:hAnsi="宋体"/>
        </w:rPr>
        <w:t>、</w:t>
      </w:r>
      <w:r>
        <w:rPr>
          <w:rFonts w:ascii="宋体" w:hAnsi="宋体"/>
        </w:rPr>
        <w:t>计量认证规定和技术规范，保障数据</w:t>
      </w:r>
      <w:r>
        <w:rPr>
          <w:rFonts w:hint="eastAsia" w:ascii="宋体" w:hAnsi="宋体"/>
        </w:rPr>
        <w:t>合法</w:t>
      </w:r>
      <w:r>
        <w:rPr>
          <w:rFonts w:ascii="宋体" w:hAnsi="宋体"/>
        </w:rPr>
        <w:t>有效，保证设备正常运行，妥善保存原始</w:t>
      </w:r>
      <w:r>
        <w:rPr>
          <w:rFonts w:hint="eastAsia" w:ascii="宋体" w:hAnsi="宋体"/>
        </w:rPr>
        <w:t>记录</w:t>
      </w:r>
      <w:r>
        <w:rPr>
          <w:rFonts w:ascii="宋体" w:hAnsi="宋体"/>
        </w:rPr>
        <w:t>，建立准确完整的环境管理台账，安装在线</w:t>
      </w:r>
      <w:r>
        <w:rPr>
          <w:rFonts w:hint="eastAsia" w:ascii="宋体" w:hAnsi="宋体"/>
        </w:rPr>
        <w:t>监测</w:t>
      </w:r>
      <w:r>
        <w:rPr>
          <w:rFonts w:ascii="宋体" w:hAnsi="宋体"/>
        </w:rPr>
        <w:t>设备的应与环境保护部门联网</w:t>
      </w:r>
      <w:r>
        <w:rPr>
          <w:rFonts w:hint="eastAsia" w:ascii="宋体" w:hAnsi="宋体"/>
        </w:rPr>
        <w:t>。</w:t>
      </w:r>
      <w:r>
        <w:rPr>
          <w:rFonts w:ascii="宋体" w:hAnsi="宋体"/>
        </w:rPr>
        <w:t>如实向生态环境部门</w:t>
      </w:r>
      <w:r>
        <w:rPr>
          <w:rFonts w:hint="eastAsia" w:ascii="宋体" w:hAnsi="宋体"/>
        </w:rPr>
        <w:t>报告</w:t>
      </w:r>
      <w:r>
        <w:rPr>
          <w:rFonts w:ascii="宋体" w:hAnsi="宋体"/>
        </w:rPr>
        <w:t>排污许可证执行情况，依法向社会公开污染物排放数据并对数据真实性负责。排放情况与排污许可证要求不符的，应及时向生态环境部门报告。</w:t>
      </w:r>
    </w:p>
    <w:p w14:paraId="063BF4B2">
      <w:pPr>
        <w:ind w:firstLine="480"/>
      </w:pPr>
      <w:r>
        <w:rPr>
          <w:rFonts w:hint="eastAsia" w:ascii="宋体" w:hAnsi="宋体"/>
        </w:rPr>
        <w:t>（</w:t>
      </w:r>
      <w:r>
        <w:rPr>
          <w:rFonts w:hint="eastAsia"/>
        </w:rPr>
        <w:t>3</w:t>
      </w:r>
      <w:r>
        <w:rPr>
          <w:rFonts w:hint="eastAsia" w:ascii="宋体" w:hAnsi="宋体"/>
        </w:rPr>
        <w:t>）排污许可</w:t>
      </w:r>
      <w:r>
        <w:rPr>
          <w:rFonts w:ascii="宋体" w:hAnsi="宋体"/>
        </w:rPr>
        <w:t>证管理</w:t>
      </w:r>
    </w:p>
    <w:p w14:paraId="45270437">
      <w:pPr>
        <w:ind w:firstLine="480"/>
      </w:pPr>
      <w:r>
        <w:rPr>
          <w:rFonts w:hint="eastAsia"/>
        </w:rPr>
        <w:t>1</w:t>
      </w:r>
      <w:r>
        <w:rPr>
          <w:rFonts w:hint="eastAsia" w:ascii="宋体" w:hAnsi="宋体"/>
        </w:rPr>
        <w:t>）</w:t>
      </w:r>
      <w:r>
        <w:rPr>
          <w:rFonts w:ascii="宋体" w:hAnsi="宋体"/>
        </w:rPr>
        <w:t>排污许可证的变更</w:t>
      </w:r>
      <w:r>
        <w:rPr>
          <w:rFonts w:hint="eastAsia" w:ascii="宋体" w:hAnsi="宋体"/>
        </w:rPr>
        <w:t>在</w:t>
      </w:r>
      <w:r>
        <w:rPr>
          <w:rFonts w:ascii="宋体" w:hAnsi="宋体"/>
        </w:rPr>
        <w:t>排污许可证有效期内，建设单位发生以下事项变化的，应当在</w:t>
      </w:r>
      <w:r>
        <w:rPr>
          <w:rFonts w:hint="eastAsia" w:ascii="宋体" w:hAnsi="宋体"/>
        </w:rPr>
        <w:t>规定</w:t>
      </w:r>
      <w:r>
        <w:rPr>
          <w:rFonts w:ascii="宋体" w:hAnsi="宋体"/>
        </w:rPr>
        <w:t>时间内向原核发</w:t>
      </w:r>
      <w:r>
        <w:rPr>
          <w:rFonts w:hint="eastAsia" w:ascii="宋体" w:hAnsi="宋体"/>
        </w:rPr>
        <w:t>机关</w:t>
      </w:r>
      <w:r>
        <w:rPr>
          <w:rFonts w:ascii="宋体" w:hAnsi="宋体"/>
        </w:rPr>
        <w:t>提出变更排污许可证的申请</w:t>
      </w:r>
      <w:r>
        <w:rPr>
          <w:rFonts w:hint="eastAsia" w:ascii="宋体" w:hAnsi="宋体"/>
        </w:rPr>
        <w:t>。</w:t>
      </w:r>
    </w:p>
    <w:p w14:paraId="04D98AA0">
      <w:pPr>
        <w:ind w:firstLine="480"/>
      </w:pPr>
      <w:r>
        <w:rPr>
          <w:rFonts w:hint="eastAsia" w:ascii="宋体" w:hAnsi="宋体"/>
        </w:rPr>
        <w:t>①排污</w:t>
      </w:r>
      <w:r>
        <w:rPr>
          <w:rFonts w:ascii="宋体" w:hAnsi="宋体"/>
        </w:rPr>
        <w:t>单位名称、注册地址、法定代表人或者实际负责人等正本</w:t>
      </w:r>
      <w:r>
        <w:rPr>
          <w:rFonts w:hint="eastAsia" w:ascii="宋体" w:hAnsi="宋体"/>
        </w:rPr>
        <w:t>中</w:t>
      </w:r>
      <w:r>
        <w:rPr>
          <w:rFonts w:ascii="宋体" w:hAnsi="宋体"/>
        </w:rPr>
        <w:t>载明的基本信息发生</w:t>
      </w:r>
      <w:r>
        <w:rPr>
          <w:rFonts w:hint="eastAsia" w:ascii="宋体" w:hAnsi="宋体"/>
        </w:rPr>
        <w:t>变更</w:t>
      </w:r>
      <w:r>
        <w:rPr>
          <w:rFonts w:ascii="宋体" w:hAnsi="宋体"/>
        </w:rPr>
        <w:t>之日起二十日内。</w:t>
      </w:r>
    </w:p>
    <w:p w14:paraId="28A7CB08">
      <w:pPr>
        <w:ind w:firstLine="480"/>
      </w:pPr>
      <w:r>
        <w:rPr>
          <w:rFonts w:hint="eastAsia" w:ascii="宋体" w:hAnsi="宋体"/>
        </w:rPr>
        <w:t>②排污单位</w:t>
      </w:r>
      <w:r>
        <w:rPr>
          <w:rFonts w:ascii="宋体" w:hAnsi="宋体"/>
        </w:rPr>
        <w:t>在原场址内实施新建项目应当开展环境影响评价的</w:t>
      </w:r>
      <w:r>
        <w:rPr>
          <w:rFonts w:hint="eastAsia" w:ascii="宋体" w:hAnsi="宋体"/>
        </w:rPr>
        <w:t>，</w:t>
      </w:r>
      <w:r>
        <w:rPr>
          <w:rFonts w:ascii="宋体" w:hAnsi="宋体"/>
        </w:rPr>
        <w:t>在通过环境影响评价审批或者备案后，产生实际排污行为之前二十日内。</w:t>
      </w:r>
    </w:p>
    <w:p w14:paraId="4824C081">
      <w:pPr>
        <w:ind w:firstLine="480"/>
      </w:pPr>
      <w:r>
        <w:rPr>
          <w:rFonts w:hint="eastAsia" w:ascii="宋体" w:hAnsi="宋体"/>
        </w:rPr>
        <w:t>③国家</w:t>
      </w:r>
      <w:r>
        <w:rPr>
          <w:rFonts w:ascii="宋体" w:hAnsi="宋体"/>
        </w:rPr>
        <w:t>或地方实施新污染物排放标准的，</w:t>
      </w:r>
      <w:r>
        <w:rPr>
          <w:rFonts w:hint="eastAsia" w:ascii="宋体" w:hAnsi="宋体"/>
        </w:rPr>
        <w:t>核发</w:t>
      </w:r>
      <w:r>
        <w:rPr>
          <w:rFonts w:ascii="宋体" w:hAnsi="宋体"/>
        </w:rPr>
        <w:t>机关应主动通知排污单位进行变更，排污单位在接到通知后二十日内申请变更。</w:t>
      </w:r>
    </w:p>
    <w:p w14:paraId="44FA0375">
      <w:pPr>
        <w:ind w:firstLine="480"/>
      </w:pPr>
      <w:r>
        <w:rPr>
          <w:rFonts w:hint="eastAsia" w:ascii="宋体" w:hAnsi="宋体"/>
        </w:rPr>
        <w:t>④政府</w:t>
      </w:r>
      <w:r>
        <w:rPr>
          <w:rFonts w:ascii="宋体" w:hAnsi="宋体"/>
        </w:rPr>
        <w:t>相关文件</w:t>
      </w:r>
      <w:r>
        <w:rPr>
          <w:rFonts w:hint="eastAsia" w:ascii="宋体" w:hAnsi="宋体"/>
        </w:rPr>
        <w:t>或</w:t>
      </w:r>
      <w:r>
        <w:rPr>
          <w:rFonts w:ascii="宋体" w:hAnsi="宋体"/>
        </w:rPr>
        <w:t>与其他企业达成协议，进行区域替代实现减量排放的，应在文件或协议规定时限内提出变更申请。</w:t>
      </w:r>
    </w:p>
    <w:p w14:paraId="46637D3D">
      <w:pPr>
        <w:ind w:firstLine="480"/>
      </w:pPr>
      <w:r>
        <w:rPr>
          <w:rFonts w:hint="eastAsia" w:ascii="宋体" w:hAnsi="宋体"/>
        </w:rPr>
        <w:t>⑤需要进行变更</w:t>
      </w:r>
      <w:r>
        <w:rPr>
          <w:rFonts w:ascii="宋体" w:hAnsi="宋体"/>
        </w:rPr>
        <w:t>的其他情形。</w:t>
      </w:r>
    </w:p>
    <w:p w14:paraId="71C86FEA">
      <w:pPr>
        <w:ind w:firstLine="480"/>
      </w:pPr>
      <w:r>
        <w:rPr>
          <w:rFonts w:hint="eastAsia"/>
        </w:rPr>
        <w:t>2</w:t>
      </w:r>
      <w:r>
        <w:rPr>
          <w:rFonts w:hint="eastAsia" w:ascii="宋体" w:hAnsi="宋体"/>
        </w:rPr>
        <w:t>）</w:t>
      </w:r>
      <w:r>
        <w:rPr>
          <w:rFonts w:ascii="宋体" w:hAnsi="宋体"/>
        </w:rPr>
        <w:t>排污许可证的补办</w:t>
      </w:r>
    </w:p>
    <w:p w14:paraId="317A4D49">
      <w:pPr>
        <w:ind w:firstLine="480"/>
      </w:pPr>
      <w:r>
        <w:rPr>
          <w:rFonts w:hint="eastAsia" w:ascii="宋体" w:hAnsi="宋体"/>
        </w:rPr>
        <w:t>排污许可</w:t>
      </w:r>
      <w:r>
        <w:rPr>
          <w:rFonts w:ascii="宋体" w:hAnsi="宋体"/>
        </w:rPr>
        <w:t>证发生</w:t>
      </w:r>
      <w:r>
        <w:rPr>
          <w:rFonts w:hint="eastAsia" w:ascii="宋体" w:hAnsi="宋体"/>
        </w:rPr>
        <w:t>遗失</w:t>
      </w:r>
      <w:r>
        <w:rPr>
          <w:rFonts w:ascii="宋体" w:hAnsi="宋体"/>
        </w:rPr>
        <w:t>、损毁的，建设</w:t>
      </w:r>
      <w:r>
        <w:rPr>
          <w:rFonts w:hint="eastAsia" w:ascii="宋体" w:hAnsi="宋体"/>
        </w:rPr>
        <w:t>单位</w:t>
      </w:r>
      <w:r>
        <w:rPr>
          <w:rFonts w:ascii="宋体" w:hAnsi="宋体"/>
        </w:rPr>
        <w:t>应当在三十日内向原核发机关申请补领排污</w:t>
      </w:r>
      <w:r>
        <w:rPr>
          <w:rFonts w:hint="eastAsia" w:ascii="宋体" w:hAnsi="宋体"/>
        </w:rPr>
        <w:t>许可证</w:t>
      </w:r>
      <w:r>
        <w:rPr>
          <w:rFonts w:ascii="宋体" w:hAnsi="宋体"/>
        </w:rPr>
        <w:t>，遗失排污许可证的还应</w:t>
      </w:r>
      <w:r>
        <w:rPr>
          <w:rFonts w:hint="eastAsia" w:ascii="宋体" w:hAnsi="宋体"/>
        </w:rPr>
        <w:t>同时</w:t>
      </w:r>
      <w:r>
        <w:rPr>
          <w:rFonts w:ascii="宋体" w:hAnsi="宋体"/>
        </w:rPr>
        <w:t>提交遗失声明，</w:t>
      </w:r>
      <w:r>
        <w:rPr>
          <w:rFonts w:hint="eastAsia" w:ascii="宋体" w:hAnsi="宋体"/>
        </w:rPr>
        <w:t>损毁</w:t>
      </w:r>
      <w:r>
        <w:rPr>
          <w:rFonts w:ascii="宋体" w:hAnsi="宋体"/>
        </w:rPr>
        <w:t>排污</w:t>
      </w:r>
      <w:r>
        <w:rPr>
          <w:rFonts w:hint="eastAsia" w:ascii="宋体" w:hAnsi="宋体"/>
        </w:rPr>
        <w:t>许可</w:t>
      </w:r>
      <w:r>
        <w:rPr>
          <w:rFonts w:ascii="宋体" w:hAnsi="宋体"/>
        </w:rPr>
        <w:t>证的还应同时</w:t>
      </w:r>
      <w:r>
        <w:rPr>
          <w:rFonts w:hint="eastAsia" w:ascii="宋体" w:hAnsi="宋体"/>
        </w:rPr>
        <w:t>交回</w:t>
      </w:r>
      <w:r>
        <w:rPr>
          <w:rFonts w:ascii="宋体" w:hAnsi="宋体"/>
        </w:rPr>
        <w:t>被损毁的许可证。核发机关应当</w:t>
      </w:r>
      <w:r>
        <w:rPr>
          <w:rFonts w:hint="eastAsia" w:ascii="宋体" w:hAnsi="宋体"/>
        </w:rPr>
        <w:t>在</w:t>
      </w:r>
      <w:r>
        <w:rPr>
          <w:rFonts w:ascii="宋体" w:hAnsi="宋体"/>
        </w:rPr>
        <w:t>收到补领申请后</w:t>
      </w:r>
      <w:r>
        <w:rPr>
          <w:rFonts w:hint="eastAsia" w:ascii="宋体" w:hAnsi="宋体"/>
        </w:rPr>
        <w:t>十日内补发排污许可</w:t>
      </w:r>
      <w:r>
        <w:rPr>
          <w:rFonts w:ascii="宋体" w:hAnsi="宋体"/>
        </w:rPr>
        <w:t>证，并及时在</w:t>
      </w:r>
      <w:r>
        <w:rPr>
          <w:rFonts w:hint="eastAsia" w:ascii="宋体" w:hAnsi="宋体"/>
        </w:rPr>
        <w:t>国家</w:t>
      </w:r>
      <w:r>
        <w:rPr>
          <w:rFonts w:ascii="宋体" w:hAnsi="宋体"/>
        </w:rPr>
        <w:t>排污许可证管理信息平台</w:t>
      </w:r>
      <w:r>
        <w:rPr>
          <w:rFonts w:hint="eastAsia" w:ascii="宋体" w:hAnsi="宋体"/>
        </w:rPr>
        <w:t>上</w:t>
      </w:r>
      <w:r>
        <w:rPr>
          <w:rFonts w:ascii="宋体" w:hAnsi="宋体"/>
        </w:rPr>
        <w:t>进行公告。</w:t>
      </w:r>
    </w:p>
    <w:p w14:paraId="3BF3A4F0">
      <w:pPr>
        <w:ind w:firstLine="480"/>
      </w:pPr>
      <w:r>
        <w:rPr>
          <w:rFonts w:hint="eastAsia"/>
        </w:rPr>
        <w:t>3</w:t>
      </w:r>
      <w:r>
        <w:rPr>
          <w:rFonts w:hint="eastAsia" w:ascii="宋体" w:hAnsi="宋体"/>
        </w:rPr>
        <w:t>）</w:t>
      </w:r>
      <w:r>
        <w:rPr>
          <w:rFonts w:ascii="宋体" w:hAnsi="宋体"/>
        </w:rPr>
        <w:t>其他相关要求</w:t>
      </w:r>
    </w:p>
    <w:p w14:paraId="0D0B669A">
      <w:pPr>
        <w:ind w:firstLine="480"/>
      </w:pPr>
      <w:r>
        <w:rPr>
          <w:rFonts w:hint="eastAsia" w:ascii="宋体" w:hAnsi="宋体"/>
        </w:rPr>
        <w:t>①排污口位置</w:t>
      </w:r>
      <w:r>
        <w:rPr>
          <w:rFonts w:ascii="宋体" w:hAnsi="宋体"/>
        </w:rPr>
        <w:t>和数量、排放方式、排放去向、排放污染物种类、排放浓度和排放量</w:t>
      </w:r>
      <w:r>
        <w:rPr>
          <w:rFonts w:hint="eastAsia" w:ascii="宋体" w:hAnsi="宋体"/>
        </w:rPr>
        <w:t>、</w:t>
      </w:r>
      <w:r>
        <w:rPr>
          <w:rFonts w:ascii="宋体" w:hAnsi="宋体"/>
        </w:rPr>
        <w:t>执行的排放标准等符合排污许可证的规定，不得私设</w:t>
      </w:r>
      <w:r>
        <w:rPr>
          <w:rFonts w:hint="eastAsia" w:ascii="宋体" w:hAnsi="宋体"/>
        </w:rPr>
        <w:t>暗管</w:t>
      </w:r>
      <w:r>
        <w:rPr>
          <w:rFonts w:ascii="宋体" w:hAnsi="宋体"/>
        </w:rPr>
        <w:t>或以其他方式逃避监管。</w:t>
      </w:r>
    </w:p>
    <w:p w14:paraId="096BEC81">
      <w:pPr>
        <w:ind w:firstLine="480"/>
      </w:pPr>
      <w:r>
        <w:rPr>
          <w:rFonts w:hint="eastAsia" w:ascii="宋体" w:hAnsi="宋体"/>
        </w:rPr>
        <w:t>②落实</w:t>
      </w:r>
      <w:r>
        <w:rPr>
          <w:rFonts w:ascii="宋体" w:hAnsi="宋体"/>
        </w:rPr>
        <w:t>重污染天气应急管控措施，遵守法律</w:t>
      </w:r>
      <w:r>
        <w:rPr>
          <w:rFonts w:hint="eastAsia" w:ascii="宋体" w:hAnsi="宋体"/>
        </w:rPr>
        <w:t>规定</w:t>
      </w:r>
      <w:r>
        <w:rPr>
          <w:rFonts w:ascii="宋体" w:hAnsi="宋体"/>
        </w:rPr>
        <w:t>的最新环境保护要求等。</w:t>
      </w:r>
    </w:p>
    <w:p w14:paraId="0C5CBA14">
      <w:pPr>
        <w:ind w:firstLine="480"/>
      </w:pPr>
      <w:r>
        <w:rPr>
          <w:rFonts w:hint="eastAsia" w:ascii="宋体" w:hAnsi="宋体"/>
        </w:rPr>
        <w:t>③按</w:t>
      </w:r>
      <w:r>
        <w:rPr>
          <w:rFonts w:ascii="宋体" w:hAnsi="宋体"/>
        </w:rPr>
        <w:t>排污许可证规定的监测点位、监测因子、监测频次和相关监测技术规范开展自行监测并公开。</w:t>
      </w:r>
    </w:p>
    <w:p w14:paraId="5C5B40FE">
      <w:pPr>
        <w:ind w:firstLine="480"/>
      </w:pPr>
      <w:r>
        <w:rPr>
          <w:rFonts w:hint="eastAsia" w:ascii="宋体" w:hAnsi="宋体"/>
        </w:rPr>
        <w:t>④按规范</w:t>
      </w:r>
      <w:r>
        <w:rPr>
          <w:rFonts w:ascii="宋体" w:hAnsi="宋体"/>
        </w:rPr>
        <w:t>进行台账记录，主要内容包括生产信息、燃料、原辅材料使用情况、环境经济损益简析。</w:t>
      </w:r>
    </w:p>
    <w:p w14:paraId="33D9452A">
      <w:pPr>
        <w:ind w:firstLine="480"/>
      </w:pPr>
      <w:r>
        <w:rPr>
          <w:rFonts w:hint="eastAsia" w:ascii="宋体" w:hAnsi="宋体"/>
        </w:rPr>
        <w:t>根据</w:t>
      </w:r>
      <w:r>
        <w:rPr>
          <w:rFonts w:ascii="宋体" w:hAnsi="宋体"/>
        </w:rPr>
        <w:t>《</w:t>
      </w:r>
      <w:r>
        <w:rPr>
          <w:rFonts w:hint="eastAsia" w:ascii="宋体" w:hAnsi="宋体"/>
        </w:rPr>
        <w:t>固定</w:t>
      </w:r>
      <w:r>
        <w:rPr>
          <w:rFonts w:ascii="宋体" w:hAnsi="宋体"/>
        </w:rPr>
        <w:t>污染源排污许可分类管理名录（</w:t>
      </w:r>
      <w:r>
        <w:rPr>
          <w:rFonts w:hint="eastAsia"/>
        </w:rPr>
        <w:t>2019</w:t>
      </w:r>
      <w:r>
        <w:rPr>
          <w:rFonts w:hint="eastAsia" w:ascii="宋体" w:hAnsi="宋体"/>
        </w:rPr>
        <w:t>年版</w:t>
      </w:r>
      <w:r>
        <w:rPr>
          <w:rFonts w:ascii="宋体" w:hAnsi="宋体"/>
        </w:rPr>
        <w:t>）》</w:t>
      </w:r>
      <w:r>
        <w:rPr>
          <w:rFonts w:hint="eastAsia" w:ascii="宋体" w:hAnsi="宋体"/>
        </w:rPr>
        <w:t>，</w:t>
      </w:r>
      <w:r>
        <w:rPr>
          <w:rFonts w:ascii="宋体" w:hAnsi="宋体"/>
        </w:rPr>
        <w:t>本项目属于</w:t>
      </w:r>
      <w:r>
        <w:rPr>
          <w:rFonts w:hint="eastAsia"/>
        </w:rPr>
        <w:t>基础化学原料制造</w:t>
      </w:r>
      <w:r>
        <w:rPr>
          <w:rFonts w:ascii="宋体" w:hAnsi="宋体"/>
        </w:rPr>
        <w:t>，</w:t>
      </w:r>
      <w:r>
        <w:rPr>
          <w:rFonts w:hint="eastAsia" w:ascii="宋体" w:hAnsi="宋体"/>
        </w:rPr>
        <w:t>属于“二十一、化学原料和</w:t>
      </w:r>
      <w:r>
        <w:rPr>
          <w:rFonts w:ascii="宋体" w:hAnsi="宋体"/>
        </w:rPr>
        <w:t>化学制品制造业</w:t>
      </w:r>
      <w:r>
        <w:t>26</w:t>
      </w:r>
      <w:r>
        <w:rPr>
          <w:rFonts w:hint="eastAsia" w:ascii="宋体" w:hAnsi="宋体"/>
        </w:rPr>
        <w:t>，实行排污许可重点管理，需申请排污许可证，应当在全国排污许可证管理信息平台填报排污许可申请表，填报基本信息、污染物排放去向、执行污染物排放标准、自行监测方案、</w:t>
      </w:r>
      <w:r>
        <w:rPr>
          <w:rFonts w:ascii="宋体" w:hAnsi="宋体"/>
        </w:rPr>
        <w:t>生态环境部门</w:t>
      </w:r>
      <w:r>
        <w:rPr>
          <w:rFonts w:hint="eastAsia" w:ascii="宋体" w:hAnsi="宋体"/>
        </w:rPr>
        <w:t>要求以及采取的污染防治措施等信息。</w:t>
      </w:r>
    </w:p>
    <w:p w14:paraId="313F1D86">
      <w:pPr>
        <w:ind w:firstLine="480"/>
      </w:pPr>
      <w:r>
        <w:rPr>
          <w:rFonts w:hint="eastAsia" w:ascii="宋体" w:hAnsi="宋体"/>
        </w:rPr>
        <w:t>三</w:t>
      </w:r>
      <w:r>
        <w:rPr>
          <w:rFonts w:ascii="宋体" w:hAnsi="宋体"/>
        </w:rPr>
        <w:t>、</w:t>
      </w:r>
      <w:r>
        <w:rPr>
          <w:rFonts w:hint="eastAsia" w:ascii="宋体" w:hAnsi="宋体"/>
        </w:rPr>
        <w:t>完善环境保护管理机构</w:t>
      </w:r>
    </w:p>
    <w:p w14:paraId="5D5C592C">
      <w:pPr>
        <w:ind w:firstLine="480"/>
      </w:pPr>
      <w:r>
        <w:rPr>
          <w:rFonts w:hint="eastAsia" w:ascii="宋体" w:hAnsi="宋体"/>
        </w:rPr>
        <w:t>为了做好生产全过程的环境保护工作，减轻本项目外排污染物对环境的影响程度，建设单位应高度重视环境保护工作。进一步完善厂区内部环境保护管理机构，安排专人负责环境保护工作，实行定岗定员，岗位责任制，负责各生产环节的环境保护管理，保证环保设施的正常运行。</w:t>
      </w:r>
    </w:p>
    <w:p w14:paraId="3AD5CF5E">
      <w:pPr>
        <w:ind w:firstLine="480"/>
      </w:pPr>
      <w:r>
        <w:rPr>
          <w:rFonts w:hint="eastAsia" w:ascii="宋体" w:hAnsi="宋体"/>
        </w:rPr>
        <w:t>环境保护管理机构（或环境保护责任人）应进一步明确如下责任：</w:t>
      </w:r>
    </w:p>
    <w:p w14:paraId="37810F95">
      <w:pPr>
        <w:ind w:firstLine="480"/>
      </w:pPr>
      <w:r>
        <w:rPr>
          <w:rFonts w:hint="eastAsia"/>
        </w:rPr>
        <w:t>1</w:t>
      </w:r>
      <w:r>
        <w:rPr>
          <w:rFonts w:hint="eastAsia" w:ascii="宋体" w:hAnsi="宋体"/>
        </w:rPr>
        <w:t>）保持与环境保护主管机构（沫河口园区管委会、蚌埠市生态环境局、淮上区生态环境分局等）的密切联系，及时了解国家、地方对本项目的有关环境保护的法律、法规和其它要求，及时向环境保护主管机构反映与项目有关污染因素、存在的问题、采取的污染控制对策等环境保护方面的内容，听取环境保护主管机构的批示意见。</w:t>
      </w:r>
    </w:p>
    <w:p w14:paraId="6D3F9713">
      <w:pPr>
        <w:ind w:firstLine="480"/>
      </w:pPr>
      <w:r>
        <w:rPr>
          <w:rFonts w:hint="eastAsia"/>
        </w:rPr>
        <w:t>2</w:t>
      </w:r>
      <w:r>
        <w:rPr>
          <w:rFonts w:hint="eastAsia" w:ascii="宋体" w:hAnsi="宋体"/>
        </w:rPr>
        <w:t>）及时将国家、地方与本项目环境保护有关的法律、法规和其它要求向单位负责人汇报，及时向本单位有关机构、人员进行通报，组织职工进行环境保护方面的教育、培训，提高环保意识。</w:t>
      </w:r>
    </w:p>
    <w:p w14:paraId="3B93ACD6">
      <w:pPr>
        <w:ind w:firstLine="480"/>
      </w:pPr>
      <w:r>
        <w:rPr>
          <w:rFonts w:hint="eastAsia"/>
        </w:rPr>
        <w:t>3</w:t>
      </w:r>
      <w:r>
        <w:rPr>
          <w:rFonts w:hint="eastAsia" w:ascii="宋体" w:hAnsi="宋体"/>
        </w:rPr>
        <w:t>）及时向单位负责人汇报与本项目有关的污染因素、存在问题、采取的污染控制对策、实施情况等，提出改进建议。</w:t>
      </w:r>
    </w:p>
    <w:p w14:paraId="2B5A6E2D">
      <w:pPr>
        <w:ind w:firstLine="480"/>
      </w:pPr>
      <w:r>
        <w:rPr>
          <w:rFonts w:hint="eastAsia"/>
        </w:rPr>
        <w:t>4</w:t>
      </w:r>
      <w:r>
        <w:rPr>
          <w:rFonts w:hint="eastAsia" w:ascii="宋体" w:hAnsi="宋体"/>
        </w:rPr>
        <w:t>）负责制定、监督实施本单位的有关环境保护管理规章制度，负责实施污染控制措施、管理污染治理设施，并进行详细的记录，以备检查。</w:t>
      </w:r>
    </w:p>
    <w:p w14:paraId="4741856C">
      <w:pPr>
        <w:ind w:firstLine="480"/>
      </w:pPr>
      <w:r>
        <w:rPr>
          <w:rFonts w:hint="eastAsia"/>
        </w:rPr>
        <w:t>5</w:t>
      </w:r>
      <w:r>
        <w:rPr>
          <w:rFonts w:hint="eastAsia" w:ascii="宋体" w:hAnsi="宋体"/>
        </w:rPr>
        <w:t>）按本报告提出的各项环境保护措施，编制详细的环境保护措施落实计划，明确各污染源位置、环境影响、环境保护措施、落实责任机构（人）等，并将该环境保护计划以书面形式发放给相关人员，以便于各项措施的有效落实。</w:t>
      </w:r>
    </w:p>
    <w:p w14:paraId="37A8483E">
      <w:pPr>
        <w:ind w:firstLine="480"/>
      </w:pPr>
      <w:r>
        <w:rPr>
          <w:rFonts w:hint="eastAsia" w:ascii="宋体" w:hAnsi="宋体"/>
        </w:rPr>
        <w:t>四、健全环境管理制度</w:t>
      </w:r>
    </w:p>
    <w:p w14:paraId="4DE83B5A">
      <w:pPr>
        <w:ind w:firstLine="480"/>
      </w:pPr>
      <w:r>
        <w:rPr>
          <w:rFonts w:hint="eastAsia" w:ascii="宋体" w:hAnsi="宋体"/>
        </w:rPr>
        <w:t>按照</w:t>
      </w:r>
      <w:r>
        <w:rPr>
          <w:rFonts w:hint="eastAsia"/>
        </w:rPr>
        <w:t xml:space="preserve">ISO14000 </w:t>
      </w:r>
      <w:r>
        <w:rPr>
          <w:rFonts w:hint="eastAsia" w:ascii="宋体" w:hAnsi="宋体"/>
        </w:rPr>
        <w:t>的要求，建立完善的环境管理体系，健全内部环境管理制度，加强日常环境管理工作，对整个生产过程实施行全程环境管理，杜绝生产过程中环境污染事故的发生，保护环境。加强建设项目的环境管理，根据本报告提出的污染防治措施和对策，制定出切实可行的环境污染防治办法和措施；做好环境教育和宣传工作，提高各级管理人员和操作人员的环境保护意识，加强员工对环境污染防治的责任心，自觉遵守和执行各项环境保护的规章制度；定期对环境保护设施进行维护和保养，确保环境保护设施的正常运行，防止污染事故的发生；加强与环境保护管理部门的沟通和联系，主动接受环境主管部门的管理、监督和指导。</w:t>
      </w:r>
    </w:p>
    <w:p w14:paraId="6139DAD0">
      <w:pPr>
        <w:ind w:firstLine="480"/>
      </w:pPr>
      <w:r>
        <w:rPr>
          <w:rFonts w:hint="eastAsia"/>
        </w:rPr>
        <w:t>1</w:t>
      </w:r>
      <w:r>
        <w:rPr>
          <w:rFonts w:hint="eastAsia" w:ascii="宋体" w:hAnsi="宋体"/>
        </w:rPr>
        <w:t xml:space="preserve">）危险废物接收交接制度 </w:t>
      </w:r>
    </w:p>
    <w:p w14:paraId="038C45B8">
      <w:pPr>
        <w:ind w:firstLine="480"/>
      </w:pPr>
      <w:r>
        <w:rPr>
          <w:rFonts w:hint="eastAsia" w:ascii="宋体" w:hAnsi="宋体"/>
        </w:rPr>
        <w:t>严格执行危险废物转移联单制度。危险废物应现场交接，若发现废物包装袋破裂、泄漏或其他事故时，按应急预案程序进行处理；交接双方必须根据交接情况认真填写险废物转移联单并签字确认；同时根据危险废物转移联单制度定期向主管部门报送。</w:t>
      </w:r>
    </w:p>
    <w:p w14:paraId="375B4364">
      <w:pPr>
        <w:ind w:firstLine="480"/>
      </w:pPr>
      <w:r>
        <w:rPr>
          <w:rFonts w:hint="eastAsia"/>
        </w:rPr>
        <w:t>2</w:t>
      </w:r>
      <w:r>
        <w:rPr>
          <w:rFonts w:hint="eastAsia" w:ascii="宋体" w:hAnsi="宋体"/>
        </w:rPr>
        <w:t>）运行记录制度</w:t>
      </w:r>
    </w:p>
    <w:p w14:paraId="433518DD">
      <w:pPr>
        <w:ind w:firstLine="480"/>
      </w:pPr>
      <w:r>
        <w:rPr>
          <w:rFonts w:hint="eastAsia" w:ascii="宋体" w:hAnsi="宋体"/>
        </w:rPr>
        <w:t>本项目应建立生产设施运行状况、设施维护等的登记制度，主要记录内容包括：生产设施维修情况的记录；环境监测数据的记录；生产事故及处置情况的记录；定期检测、评价及评估情况的记录。</w:t>
      </w:r>
    </w:p>
    <w:p w14:paraId="67079F57">
      <w:pPr>
        <w:ind w:firstLine="480"/>
      </w:pPr>
      <w:r>
        <w:rPr>
          <w:rFonts w:hint="eastAsia"/>
        </w:rPr>
        <w:t>3</w:t>
      </w:r>
      <w:r>
        <w:rPr>
          <w:rFonts w:hint="eastAsia" w:ascii="宋体" w:hAnsi="宋体"/>
        </w:rPr>
        <w:t xml:space="preserve">）交接班制度 </w:t>
      </w:r>
    </w:p>
    <w:p w14:paraId="2A78AA44">
      <w:pPr>
        <w:ind w:firstLine="480"/>
      </w:pPr>
      <w:r>
        <w:rPr>
          <w:rFonts w:hint="eastAsia" w:ascii="宋体" w:hAnsi="宋体"/>
        </w:rPr>
        <w:t>为保证本项目生产活动安全有序进行，必须建立严格的交接班制度，内容包括：生产设施、设备、工具及生产辅助材料的交接；运行记录的交接；上下班交接人员应在现场进行实物交接；运行记录交接前，交接班人员应共同巡视现场；交接班程序未能顺利完成时，应及时向生产管理负责人报告；交接班人员对实物及运行记录核实确定后，应签字确认。</w:t>
      </w:r>
    </w:p>
    <w:p w14:paraId="7228CE7D">
      <w:pPr>
        <w:ind w:firstLine="480"/>
      </w:pPr>
      <w:r>
        <w:rPr>
          <w:rFonts w:hint="eastAsia"/>
        </w:rPr>
        <w:t>4</w:t>
      </w:r>
      <w:r>
        <w:rPr>
          <w:rFonts w:hint="eastAsia" w:ascii="宋体" w:hAnsi="宋体"/>
        </w:rPr>
        <w:t>）人员培训</w:t>
      </w:r>
    </w:p>
    <w:p w14:paraId="22867ECF">
      <w:pPr>
        <w:ind w:firstLine="480"/>
      </w:pPr>
      <w:r>
        <w:rPr>
          <w:rFonts w:hint="eastAsia" w:ascii="宋体" w:hAnsi="宋体"/>
        </w:rPr>
        <w:t>本项目应对操作人员、技术人员及管理人员进行相关法律法规、专业技术、安全防护、紧急处理等理论知识和操作技能的培训，事故或紧急情况下人工操作和事故处理；设备日常和定期维护；掌握劳动安全防护设施、设备的使用知识和个人卫生措施；设备运行及维护记录，以及泄漏事故和其他事件的记录及报告。</w:t>
      </w:r>
    </w:p>
    <w:p w14:paraId="1CBB862C">
      <w:pPr>
        <w:ind w:firstLine="480"/>
      </w:pPr>
      <w:r>
        <w:rPr>
          <w:rFonts w:hint="eastAsia" w:ascii="宋体" w:hAnsi="宋体"/>
        </w:rPr>
        <w:t>五、环保台账制度</w:t>
      </w:r>
    </w:p>
    <w:p w14:paraId="6116F796">
      <w:pPr>
        <w:ind w:firstLine="480"/>
      </w:pPr>
      <w:r>
        <w:rPr>
          <w:rFonts w:hint="eastAsia" w:ascii="宋体" w:hAnsi="宋体"/>
        </w:rPr>
        <w:t>厂内需完善记录制度和档案保存制度，有利于环境管理质量的追踪和持续改进；记录和台帐包括设施运行和维护记录、危险废物进出台帐、废水、废气污染物监测台帐、突发性事件的处理、调查记录等，妥善保存所有记录、台帐及污染物排放监测资料、环境管理档案资料等，</w:t>
      </w:r>
      <w:r>
        <w:rPr>
          <w:rFonts w:ascii="宋体" w:hAnsi="宋体"/>
        </w:rPr>
        <w:t>原始监测记录</w:t>
      </w:r>
      <w:r>
        <w:rPr>
          <w:rFonts w:hint="eastAsia" w:ascii="宋体" w:hAnsi="宋体"/>
        </w:rPr>
        <w:t>、电子</w:t>
      </w:r>
      <w:r>
        <w:rPr>
          <w:rFonts w:ascii="宋体" w:hAnsi="宋体"/>
        </w:rPr>
        <w:t>台账和纸质台账保存期限不得少于</w:t>
      </w:r>
      <w:r>
        <w:rPr>
          <w:rFonts w:hint="eastAsia"/>
        </w:rPr>
        <w:t>5</w:t>
      </w:r>
      <w:r>
        <w:rPr>
          <w:rFonts w:hint="eastAsia" w:ascii="宋体" w:hAnsi="宋体"/>
        </w:rPr>
        <w:t>年。</w:t>
      </w:r>
    </w:p>
    <w:p w14:paraId="492518C6">
      <w:pPr>
        <w:ind w:firstLine="480"/>
      </w:pPr>
      <w:r>
        <w:rPr>
          <w:rFonts w:hint="eastAsia" w:ascii="宋体" w:hAnsi="宋体"/>
        </w:rPr>
        <w:t>六、污染治理设施管理制度</w:t>
      </w:r>
    </w:p>
    <w:p w14:paraId="2F343142">
      <w:pPr>
        <w:ind w:firstLine="480"/>
      </w:pPr>
      <w:r>
        <w:rPr>
          <w:rFonts w:hint="eastAsia" w:ascii="宋体" w:hAnsi="宋体"/>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和其他原辅材料。同时要建立岗位责任制、制定操作规程、建立管理台帐。</w:t>
      </w:r>
    </w:p>
    <w:p w14:paraId="005275D7">
      <w:pPr>
        <w:ind w:firstLine="480"/>
      </w:pPr>
      <w:r>
        <w:rPr>
          <w:rFonts w:hint="eastAsia" w:ascii="宋体" w:hAnsi="宋体"/>
        </w:rPr>
        <w:t>七、固体废物环境保护制度</w:t>
      </w:r>
    </w:p>
    <w:p w14:paraId="767F69CE">
      <w:pPr>
        <w:ind w:firstLine="480"/>
      </w:pPr>
      <w:r>
        <w:rPr>
          <w:rFonts w:hint="eastAsia" w:ascii="宋体" w:hAnsi="宋体"/>
        </w:rPr>
        <w:t>①建设单位应通过“安徽省危险废物动态管理信息系统”进行危险废物申报登记。将危险废物的实际产生、贮存、利用、处置等情况纳入生产记录，建立危险废物管理台账和企业内部产生和收集、贮存、转移等部门危险废物交接制度。</w:t>
      </w:r>
    </w:p>
    <w:p w14:paraId="110B0697">
      <w:pPr>
        <w:ind w:firstLine="480"/>
      </w:pPr>
      <w:r>
        <w:rPr>
          <w:rFonts w:hint="eastAsia" w:ascii="宋体" w:hAnsi="宋体"/>
        </w:rPr>
        <w:t>②明确建设单位为固体废物污染防治的责任主体，要求企业建立风险管理及应急救援体系，执行环境监测计划、转移联单管理制度及国家和省有关转移管理的相关规定、处置过程安全操作规程、人员培训考核制度、档案管理制度、处置全过程管理制度等。</w:t>
      </w:r>
    </w:p>
    <w:p w14:paraId="6F088F5E">
      <w:pPr>
        <w:ind w:firstLine="480"/>
      </w:pPr>
      <w:r>
        <w:rPr>
          <w:rFonts w:hint="eastAsia" w:ascii="宋体" w:hAnsi="宋体"/>
        </w:rPr>
        <w:t>③规范建设危险废物贮存场所并按照要求设置警告标志，危废包装、容器和贮存场所应按照《危险废物贮存污染控制标准》（</w:t>
      </w:r>
      <w:r>
        <w:rPr>
          <w:rFonts w:hint="eastAsia"/>
        </w:rPr>
        <w:t>GB18597-20</w:t>
      </w:r>
      <w:r>
        <w:t>01</w:t>
      </w:r>
      <w:r>
        <w:rPr>
          <w:rFonts w:hint="eastAsia" w:ascii="宋体" w:hAnsi="宋体"/>
        </w:rPr>
        <w:t>）及其修改单有关要求张贴标识。安装危险废物在线监控系统。</w:t>
      </w:r>
    </w:p>
    <w:p w14:paraId="3670F20D">
      <w:pPr>
        <w:ind w:firstLine="480"/>
      </w:pPr>
      <w:r>
        <w:rPr>
          <w:rFonts w:hint="eastAsia" w:ascii="宋体" w:hAnsi="宋体"/>
        </w:rPr>
        <w:t>八、报告制度</w:t>
      </w:r>
    </w:p>
    <w:p w14:paraId="26029B97">
      <w:pPr>
        <w:ind w:firstLine="480"/>
      </w:pPr>
      <w:r>
        <w:rPr>
          <w:rFonts w:hint="eastAsia" w:ascii="宋体" w:hAnsi="宋体"/>
        </w:rPr>
        <w:t>执行月报制度。月报内容主要为污染治理设施的运行情况、污染物排放情况以及污染事故或污染纠纷等。厂内环境保护相关的所有记录、台帐及污染物排放监测资料、环境管理档案资料等应妥善保存并定期上报，发现污染因子超标，要在监测数据出来后以书面形式上报公司管理层，快速果断采取应对措施。</w:t>
      </w:r>
    </w:p>
    <w:p w14:paraId="4D17B28B">
      <w:pPr>
        <w:ind w:firstLine="480"/>
      </w:pPr>
      <w:r>
        <w:rPr>
          <w:rFonts w:hint="eastAsia" w:ascii="宋体" w:hAnsi="宋体"/>
        </w:rPr>
        <w:t>建设单位应定期向当地政府生态环境部门报告污染治理设施运行情况、污染物排放情况以及污染事故、污染纠纷等情况，便于生态环境部门和企业管理人员及时了解企业污染动态，利于采取相应的对策措施。本项目的性质、规模、地点、生产工艺和环境保护措施等发生变动的，必须向生态环境部门报告，并履行相关手续，如发生重大变动并且可能导致环境影响显著变化（特别是不利环境影响加重）的，应当重新报批环评。</w:t>
      </w:r>
    </w:p>
    <w:p w14:paraId="21294B4D">
      <w:pPr>
        <w:ind w:firstLine="480"/>
      </w:pPr>
      <w:r>
        <w:rPr>
          <w:rFonts w:hint="eastAsia" w:ascii="宋体" w:hAnsi="宋体"/>
        </w:rPr>
        <w:t>九、环保奖惩制度</w:t>
      </w:r>
    </w:p>
    <w:p w14:paraId="483A836B">
      <w:pPr>
        <w:ind w:firstLine="480"/>
      </w:pPr>
      <w:r>
        <w:rPr>
          <w:rFonts w:hint="eastAsia" w:ascii="宋体" w:hAnsi="宋体"/>
        </w:rPr>
        <w:t>企业应加强宣传教育，提高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p>
    <w:p w14:paraId="07D06D6D">
      <w:pPr>
        <w:ind w:firstLine="480"/>
      </w:pPr>
      <w:r>
        <w:rPr>
          <w:rFonts w:hint="eastAsia" w:ascii="宋体" w:hAnsi="宋体"/>
        </w:rPr>
        <w:t>十、信息公开制度</w:t>
      </w:r>
    </w:p>
    <w:p w14:paraId="6202A1FF">
      <w:pPr>
        <w:ind w:firstLine="480"/>
      </w:pPr>
      <w:r>
        <w:rPr>
          <w:rFonts w:hint="eastAsia" w:ascii="宋体" w:hAnsi="宋体"/>
        </w:rPr>
        <w:t>建设单位在环评编制、审批、排污许可证申请、竣工环保验收、正常运行等各阶段均应按照有关要求，通过网站或者其他便于公众知悉的方式，依法向社会公开本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w:t>
      </w:r>
    </w:p>
    <w:p w14:paraId="1A0DA4B5">
      <w:pPr>
        <w:ind w:firstLine="480"/>
      </w:pPr>
      <w:r>
        <w:rPr>
          <w:rFonts w:hint="eastAsia" w:ascii="宋体" w:hAnsi="宋体"/>
        </w:rPr>
        <w:t>十一、环境</w:t>
      </w:r>
      <w:r>
        <w:rPr>
          <w:rFonts w:ascii="宋体" w:hAnsi="宋体"/>
        </w:rPr>
        <w:t>管理要求</w:t>
      </w:r>
    </w:p>
    <w:p w14:paraId="18746AE7">
      <w:pPr>
        <w:ind w:firstLine="480"/>
      </w:pPr>
      <w:r>
        <w:rPr>
          <w:rFonts w:ascii="宋体" w:hAnsi="宋体"/>
        </w:rPr>
        <w:t>运行期环境管理要求如下：</w:t>
      </w:r>
    </w:p>
    <w:p w14:paraId="4535EDC5">
      <w:pPr>
        <w:ind w:firstLine="480"/>
      </w:pPr>
      <w:r>
        <w:rPr>
          <w:rFonts w:hint="eastAsia" w:ascii="宋体" w:hAnsi="宋体"/>
        </w:rPr>
        <w:t>①</w:t>
      </w:r>
      <w:r>
        <w:rPr>
          <w:rFonts w:ascii="宋体" w:hAnsi="宋体"/>
        </w:rPr>
        <w:t>加强固体废物在厂内堆存期间的环境管理；加强对危险固废的收集、储存、运输等措施的管理。</w:t>
      </w:r>
    </w:p>
    <w:p w14:paraId="40EF6DD7">
      <w:pPr>
        <w:ind w:firstLine="480"/>
      </w:pPr>
      <w:r>
        <w:rPr>
          <w:rFonts w:hint="eastAsia" w:ascii="宋体" w:hAnsi="宋体"/>
        </w:rPr>
        <w:t>②项目运营期污水管网应明管，按行业要求做防腐防渗措施，自行监测及在线监测需按现行规定执行。</w:t>
      </w:r>
    </w:p>
    <w:p w14:paraId="3C55B1B0">
      <w:pPr>
        <w:ind w:firstLine="480"/>
      </w:pPr>
      <w:r>
        <w:rPr>
          <w:rFonts w:hint="eastAsia" w:ascii="宋体" w:hAnsi="宋体"/>
        </w:rPr>
        <w:t>③</w:t>
      </w:r>
      <w:r>
        <w:rPr>
          <w:rFonts w:ascii="宋体" w:hAnsi="宋体"/>
        </w:rPr>
        <w:t>加强管道、设备的保养和维护。安装必要的用水监测仪表，减少跑、冒、滴、漏，最大限度地减少用水量。</w:t>
      </w:r>
    </w:p>
    <w:p w14:paraId="3E8E8BF2">
      <w:pPr>
        <w:ind w:firstLine="480"/>
      </w:pPr>
      <w:r>
        <w:rPr>
          <w:rFonts w:hint="eastAsia" w:ascii="宋体" w:hAnsi="宋体"/>
        </w:rPr>
        <w:t>④</w:t>
      </w:r>
      <w:r>
        <w:rPr>
          <w:rFonts w:ascii="宋体" w:hAnsi="宋体"/>
        </w:rPr>
        <w:t>加强</w:t>
      </w:r>
      <w:r>
        <w:rPr>
          <w:rFonts w:hint="eastAsia" w:ascii="宋体" w:hAnsi="宋体"/>
        </w:rPr>
        <w:t>对</w:t>
      </w:r>
      <w:r>
        <w:rPr>
          <w:rFonts w:ascii="宋体" w:hAnsi="宋体"/>
        </w:rPr>
        <w:t>项目的环境管理和环境监测。设专职环境管理人员，按报告书的要求认真落实环境监测计划；各排污口的设置和管理应按有关规定执行。</w:t>
      </w:r>
    </w:p>
    <w:p w14:paraId="7D9BA90A">
      <w:pPr>
        <w:ind w:firstLine="480"/>
        <w:rPr>
          <w:rFonts w:ascii="宋体" w:hAnsi="宋体"/>
        </w:rPr>
      </w:pPr>
      <w:r>
        <w:rPr>
          <w:rFonts w:hint="eastAsia" w:ascii="宋体" w:hAnsi="宋体"/>
        </w:rPr>
        <w:t>⑤</w:t>
      </w:r>
      <w:r>
        <w:rPr>
          <w:rFonts w:ascii="宋体" w:hAnsi="宋体"/>
        </w:rPr>
        <w:t>加强全厂职工的安全生产和环境保护知识的教育。配备必要的环境管理专职人员，落实、检查环保设施的运行状况，配合当地</w:t>
      </w:r>
      <w:r>
        <w:rPr>
          <w:rFonts w:hint="eastAsia" w:ascii="宋体" w:hAnsi="宋体"/>
        </w:rPr>
        <w:t>生态环境</w:t>
      </w:r>
      <w:r>
        <w:rPr>
          <w:rFonts w:ascii="宋体" w:hAnsi="宋体"/>
        </w:rPr>
        <w:t>部门做好本厂的环境管理、验收、监督和检查工作。</w:t>
      </w:r>
    </w:p>
    <w:p w14:paraId="5CD9C532">
      <w:pPr>
        <w:ind w:firstLine="480"/>
      </w:pPr>
    </w:p>
    <w:p w14:paraId="28F0E8F6">
      <w:pPr>
        <w:pStyle w:val="4065"/>
      </w:pPr>
      <w:bookmarkStart w:id="528" w:name="_Toc108662737"/>
      <w:r>
        <w:rPr>
          <w:rFonts w:hint="eastAsia"/>
        </w:rPr>
        <w:t>8.2污染物</w:t>
      </w:r>
      <w:r>
        <w:t>排放</w:t>
      </w:r>
      <w:r>
        <w:rPr>
          <w:rFonts w:hint="eastAsia"/>
        </w:rPr>
        <w:t>基本情况</w:t>
      </w:r>
      <w:bookmarkEnd w:id="528"/>
    </w:p>
    <w:p w14:paraId="3D25E5BB">
      <w:pPr>
        <w:pStyle w:val="4068"/>
      </w:pPr>
      <w:bookmarkStart w:id="529" w:name="_Toc108662738"/>
      <w:bookmarkStart w:id="530" w:name="_Toc100784127"/>
      <w:bookmarkStart w:id="531" w:name="_Toc101135960"/>
      <w:r>
        <w:t>8.2.1产排污节点、污染物及污染治理设施</w:t>
      </w:r>
      <w:bookmarkEnd w:id="529"/>
      <w:bookmarkEnd w:id="530"/>
      <w:bookmarkEnd w:id="531"/>
    </w:p>
    <w:p w14:paraId="621A6BA9">
      <w:pPr>
        <w:ind w:firstLine="480"/>
        <w:rPr>
          <w:szCs w:val="24"/>
        </w:rPr>
        <w:sectPr>
          <w:pgSz w:w="11907" w:h="16840"/>
          <w:pgMar w:top="1440" w:right="1440" w:bottom="1440" w:left="1440" w:header="851" w:footer="992" w:gutter="0"/>
          <w:cols w:space="720" w:num="1"/>
          <w:docGrid w:type="lines" w:linePitch="326" w:charSpace="0"/>
        </w:sectPr>
      </w:pPr>
      <w:r>
        <w:rPr>
          <w:rFonts w:hint="eastAsia"/>
        </w:rPr>
        <w:t>扩建</w:t>
      </w:r>
      <w:r>
        <w:rPr>
          <w:rFonts w:ascii="宋体" w:hAnsi="宋体"/>
        </w:rPr>
        <w:t>项目废气产排污节点、污染物及污染治理设施信息及见废水产排污节点、污染物及污染治理设施信息下表</w:t>
      </w:r>
      <w:r>
        <w:t>8.2.1-1</w:t>
      </w:r>
      <w:r>
        <w:rPr>
          <w:rFonts w:ascii="宋体" w:hAnsi="宋体"/>
        </w:rPr>
        <w:t>及表</w:t>
      </w:r>
      <w:r>
        <w:t>8.2.1-2</w:t>
      </w:r>
      <w:r>
        <w:rPr>
          <w:rFonts w:ascii="宋体" w:hAnsi="宋体"/>
        </w:rPr>
        <w:t>。</w:t>
      </w:r>
    </w:p>
    <w:p w14:paraId="3ECF1CAA">
      <w:pPr>
        <w:pStyle w:val="278"/>
      </w:pPr>
      <w:bookmarkStart w:id="532" w:name="_Toc100784128"/>
      <w:bookmarkStart w:id="533" w:name="_Toc101135961"/>
      <w:r>
        <w:rPr>
          <w:rFonts w:hint="eastAsia"/>
        </w:rPr>
        <w:t>表8.2.1</w:t>
      </w:r>
      <w:r>
        <w:t xml:space="preserve">-1  </w:t>
      </w:r>
      <w:r>
        <w:rPr>
          <w:rFonts w:hint="eastAsia"/>
        </w:rPr>
        <w:t>废气</w:t>
      </w:r>
      <w:r>
        <w:t>产排污节点</w:t>
      </w:r>
      <w:r>
        <w:rPr>
          <w:rFonts w:hint="eastAsia"/>
        </w:rPr>
        <w:t>、污染物</w:t>
      </w:r>
      <w:r>
        <w:t>及污染物治理设施信息表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1"/>
        <w:gridCol w:w="1210"/>
        <w:gridCol w:w="1257"/>
        <w:gridCol w:w="2534"/>
        <w:gridCol w:w="944"/>
        <w:gridCol w:w="3296"/>
        <w:gridCol w:w="495"/>
        <w:gridCol w:w="901"/>
        <w:gridCol w:w="804"/>
        <w:gridCol w:w="2039"/>
        <w:gridCol w:w="495"/>
        <w:gridCol w:w="766"/>
        <w:gridCol w:w="630"/>
        <w:gridCol w:w="762"/>
        <w:gridCol w:w="597"/>
        <w:gridCol w:w="694"/>
        <w:gridCol w:w="918"/>
        <w:gridCol w:w="626"/>
        <w:gridCol w:w="728"/>
        <w:gridCol w:w="529"/>
        <w:gridCol w:w="491"/>
      </w:tblGrid>
      <w:tr w14:paraId="3C0F3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2" w:type="pct"/>
            <w:vMerge w:val="restart"/>
            <w:vAlign w:val="center"/>
          </w:tcPr>
          <w:p w14:paraId="2033E8E0">
            <w:pPr>
              <w:pStyle w:val="445"/>
              <w:rPr>
                <w:rFonts w:cs="Times New Roman"/>
                <w:kern w:val="0"/>
                <w:szCs w:val="18"/>
              </w:rPr>
            </w:pPr>
            <w:r>
              <w:rPr>
                <w:rFonts w:hint="eastAsia" w:cs="Times New Roman"/>
                <w:kern w:val="0"/>
                <w:szCs w:val="18"/>
              </w:rPr>
              <w:t>序号</w:t>
            </w:r>
          </w:p>
        </w:tc>
        <w:tc>
          <w:tcPr>
            <w:tcW w:w="286" w:type="pct"/>
            <w:vMerge w:val="restart"/>
            <w:vAlign w:val="center"/>
          </w:tcPr>
          <w:p w14:paraId="02798F8D">
            <w:pPr>
              <w:pStyle w:val="445"/>
              <w:rPr>
                <w:rFonts w:cs="Times New Roman"/>
                <w:kern w:val="0"/>
                <w:szCs w:val="18"/>
              </w:rPr>
            </w:pPr>
            <w:r>
              <w:rPr>
                <w:rFonts w:hint="eastAsia" w:cs="Times New Roman"/>
                <w:kern w:val="0"/>
                <w:szCs w:val="18"/>
              </w:rPr>
              <w:t>主要</w:t>
            </w:r>
            <w:r>
              <w:rPr>
                <w:rFonts w:cs="Times New Roman"/>
                <w:kern w:val="0"/>
                <w:szCs w:val="18"/>
              </w:rPr>
              <w:t>生产单元名称</w:t>
            </w:r>
          </w:p>
        </w:tc>
        <w:tc>
          <w:tcPr>
            <w:tcW w:w="297" w:type="pct"/>
            <w:vMerge w:val="restart"/>
            <w:vAlign w:val="center"/>
          </w:tcPr>
          <w:p w14:paraId="0C84D437">
            <w:pPr>
              <w:pStyle w:val="445"/>
              <w:rPr>
                <w:rFonts w:cs="Times New Roman"/>
                <w:kern w:val="0"/>
                <w:szCs w:val="18"/>
              </w:rPr>
            </w:pPr>
            <w:r>
              <w:rPr>
                <w:rFonts w:hint="eastAsia" w:cs="Times New Roman"/>
                <w:kern w:val="0"/>
                <w:szCs w:val="18"/>
              </w:rPr>
              <w:t>生产</w:t>
            </w:r>
            <w:r>
              <w:rPr>
                <w:rFonts w:cs="Times New Roman"/>
                <w:kern w:val="0"/>
                <w:szCs w:val="18"/>
              </w:rPr>
              <w:t>设施编号</w:t>
            </w:r>
          </w:p>
        </w:tc>
        <w:tc>
          <w:tcPr>
            <w:tcW w:w="599" w:type="pct"/>
            <w:vMerge w:val="restart"/>
            <w:vAlign w:val="center"/>
          </w:tcPr>
          <w:p w14:paraId="5ECDFA1A">
            <w:pPr>
              <w:pStyle w:val="445"/>
              <w:rPr>
                <w:rFonts w:cs="Times New Roman"/>
                <w:kern w:val="0"/>
                <w:szCs w:val="18"/>
              </w:rPr>
            </w:pPr>
            <w:r>
              <w:rPr>
                <w:rFonts w:hint="eastAsia" w:cs="Times New Roman"/>
                <w:kern w:val="0"/>
                <w:szCs w:val="18"/>
              </w:rPr>
              <w:t>生产</w:t>
            </w:r>
            <w:r>
              <w:rPr>
                <w:rFonts w:cs="Times New Roman"/>
                <w:kern w:val="0"/>
                <w:szCs w:val="18"/>
              </w:rPr>
              <w:t>设施</w:t>
            </w:r>
            <w:r>
              <w:rPr>
                <w:rFonts w:hint="eastAsia" w:cs="Times New Roman"/>
                <w:kern w:val="0"/>
                <w:szCs w:val="18"/>
              </w:rPr>
              <w:t>名称</w:t>
            </w:r>
          </w:p>
        </w:tc>
        <w:tc>
          <w:tcPr>
            <w:tcW w:w="223" w:type="pct"/>
            <w:vMerge w:val="restart"/>
            <w:vAlign w:val="center"/>
          </w:tcPr>
          <w:p w14:paraId="1F00AA27">
            <w:pPr>
              <w:pStyle w:val="445"/>
              <w:rPr>
                <w:rFonts w:cs="Times New Roman"/>
                <w:kern w:val="0"/>
                <w:szCs w:val="18"/>
              </w:rPr>
            </w:pPr>
            <w:r>
              <w:rPr>
                <w:rFonts w:hint="eastAsia" w:cs="Times New Roman"/>
                <w:kern w:val="0"/>
                <w:szCs w:val="18"/>
              </w:rPr>
              <w:t>对应</w:t>
            </w:r>
            <w:r>
              <w:rPr>
                <w:rFonts w:cs="Times New Roman"/>
                <w:kern w:val="0"/>
                <w:szCs w:val="18"/>
              </w:rPr>
              <w:t>产污</w:t>
            </w:r>
            <w:r>
              <w:rPr>
                <w:rFonts w:hint="eastAsia" w:cs="Times New Roman"/>
                <w:kern w:val="0"/>
                <w:szCs w:val="18"/>
              </w:rPr>
              <w:t>环节</w:t>
            </w:r>
            <w:r>
              <w:rPr>
                <w:rFonts w:cs="Times New Roman"/>
                <w:kern w:val="0"/>
                <w:szCs w:val="18"/>
              </w:rPr>
              <w:t>名称</w:t>
            </w:r>
          </w:p>
        </w:tc>
        <w:tc>
          <w:tcPr>
            <w:tcW w:w="779" w:type="pct"/>
            <w:vMerge w:val="restart"/>
            <w:vAlign w:val="center"/>
          </w:tcPr>
          <w:p w14:paraId="778C683D">
            <w:pPr>
              <w:pStyle w:val="445"/>
              <w:rPr>
                <w:rFonts w:cs="Times New Roman"/>
                <w:kern w:val="0"/>
                <w:szCs w:val="18"/>
              </w:rPr>
            </w:pPr>
            <w:r>
              <w:rPr>
                <w:rFonts w:hint="eastAsia" w:cs="Times New Roman"/>
                <w:kern w:val="0"/>
                <w:szCs w:val="18"/>
              </w:rPr>
              <w:t>污染物</w:t>
            </w:r>
            <w:r>
              <w:rPr>
                <w:rFonts w:cs="Times New Roman"/>
                <w:kern w:val="0"/>
                <w:szCs w:val="18"/>
              </w:rPr>
              <w:t>种类</w:t>
            </w:r>
          </w:p>
        </w:tc>
        <w:tc>
          <w:tcPr>
            <w:tcW w:w="117" w:type="pct"/>
            <w:vMerge w:val="restart"/>
            <w:vAlign w:val="center"/>
          </w:tcPr>
          <w:p w14:paraId="6087F6B3">
            <w:pPr>
              <w:pStyle w:val="445"/>
              <w:rPr>
                <w:rFonts w:cs="Times New Roman"/>
                <w:kern w:val="0"/>
                <w:szCs w:val="18"/>
              </w:rPr>
            </w:pPr>
            <w:r>
              <w:rPr>
                <w:rFonts w:hint="eastAsia" w:cs="Times New Roman"/>
                <w:kern w:val="0"/>
                <w:szCs w:val="18"/>
              </w:rPr>
              <w:t>排放形式</w:t>
            </w:r>
          </w:p>
        </w:tc>
        <w:tc>
          <w:tcPr>
            <w:tcW w:w="1817" w:type="pct"/>
            <w:gridSpan w:val="9"/>
            <w:vAlign w:val="center"/>
          </w:tcPr>
          <w:p w14:paraId="5B102BAF">
            <w:pPr>
              <w:pStyle w:val="445"/>
              <w:rPr>
                <w:rFonts w:cs="Times New Roman"/>
                <w:kern w:val="0"/>
                <w:szCs w:val="18"/>
              </w:rPr>
            </w:pPr>
            <w:r>
              <w:rPr>
                <w:rFonts w:hint="eastAsia" w:cs="Times New Roman"/>
                <w:kern w:val="0"/>
                <w:szCs w:val="18"/>
              </w:rPr>
              <w:t>设施</w:t>
            </w:r>
            <w:r>
              <w:rPr>
                <w:rFonts w:cs="Times New Roman"/>
                <w:kern w:val="0"/>
                <w:szCs w:val="18"/>
              </w:rPr>
              <w:t>参数</w:t>
            </w:r>
          </w:p>
        </w:tc>
        <w:tc>
          <w:tcPr>
            <w:tcW w:w="217" w:type="pct"/>
            <w:vMerge w:val="restart"/>
            <w:vAlign w:val="center"/>
          </w:tcPr>
          <w:p w14:paraId="1668BFAE">
            <w:pPr>
              <w:pStyle w:val="445"/>
              <w:rPr>
                <w:rFonts w:cs="Times New Roman"/>
                <w:kern w:val="0"/>
                <w:szCs w:val="18"/>
              </w:rPr>
            </w:pPr>
            <w:r>
              <w:rPr>
                <w:rFonts w:hint="eastAsia" w:cs="Times New Roman"/>
                <w:kern w:val="0"/>
                <w:szCs w:val="18"/>
              </w:rPr>
              <w:t>有组织</w:t>
            </w:r>
            <w:r>
              <w:rPr>
                <w:rFonts w:cs="Times New Roman"/>
                <w:kern w:val="0"/>
                <w:szCs w:val="18"/>
              </w:rPr>
              <w:t>排放口编号</w:t>
            </w:r>
          </w:p>
        </w:tc>
        <w:tc>
          <w:tcPr>
            <w:tcW w:w="148" w:type="pct"/>
            <w:vMerge w:val="restart"/>
            <w:vAlign w:val="center"/>
          </w:tcPr>
          <w:p w14:paraId="4B8E274A">
            <w:pPr>
              <w:pStyle w:val="445"/>
              <w:rPr>
                <w:rFonts w:cs="Times New Roman"/>
                <w:kern w:val="0"/>
                <w:szCs w:val="18"/>
              </w:rPr>
            </w:pPr>
            <w:r>
              <w:rPr>
                <w:rFonts w:hint="eastAsia" w:cs="Times New Roman"/>
                <w:kern w:val="0"/>
                <w:szCs w:val="18"/>
              </w:rPr>
              <w:t>有组织</w:t>
            </w:r>
            <w:r>
              <w:rPr>
                <w:rFonts w:cs="Times New Roman"/>
                <w:kern w:val="0"/>
                <w:szCs w:val="18"/>
              </w:rPr>
              <w:t>排放口名称</w:t>
            </w:r>
          </w:p>
        </w:tc>
        <w:tc>
          <w:tcPr>
            <w:tcW w:w="172" w:type="pct"/>
            <w:vMerge w:val="restart"/>
            <w:vAlign w:val="center"/>
          </w:tcPr>
          <w:p w14:paraId="27861AC0">
            <w:pPr>
              <w:pStyle w:val="445"/>
              <w:rPr>
                <w:rFonts w:cs="Times New Roman"/>
                <w:kern w:val="0"/>
                <w:szCs w:val="18"/>
              </w:rPr>
            </w:pPr>
            <w:r>
              <w:rPr>
                <w:rFonts w:cs="Times New Roman"/>
                <w:kern w:val="0"/>
                <w:szCs w:val="18"/>
              </w:rPr>
              <w:t>排放口设置是否符合要求</w:t>
            </w:r>
          </w:p>
        </w:tc>
        <w:tc>
          <w:tcPr>
            <w:tcW w:w="125" w:type="pct"/>
            <w:vMerge w:val="restart"/>
            <w:vAlign w:val="center"/>
          </w:tcPr>
          <w:p w14:paraId="5EBCFB8F">
            <w:pPr>
              <w:pStyle w:val="445"/>
              <w:rPr>
                <w:rFonts w:cs="Times New Roman"/>
                <w:kern w:val="0"/>
                <w:szCs w:val="18"/>
              </w:rPr>
            </w:pPr>
            <w:r>
              <w:rPr>
                <w:rFonts w:cs="Times New Roman"/>
                <w:kern w:val="0"/>
                <w:szCs w:val="18"/>
              </w:rPr>
              <w:t>排放口类型</w:t>
            </w:r>
          </w:p>
        </w:tc>
        <w:tc>
          <w:tcPr>
            <w:tcW w:w="116" w:type="pct"/>
            <w:vMerge w:val="restart"/>
            <w:vAlign w:val="center"/>
          </w:tcPr>
          <w:p w14:paraId="130B858D">
            <w:pPr>
              <w:pStyle w:val="445"/>
              <w:rPr>
                <w:rFonts w:cs="Times New Roman"/>
                <w:kern w:val="0"/>
                <w:szCs w:val="18"/>
              </w:rPr>
            </w:pPr>
            <w:r>
              <w:rPr>
                <w:rFonts w:cs="Times New Roman"/>
                <w:kern w:val="0"/>
                <w:szCs w:val="18"/>
              </w:rPr>
              <w:t>其他信息</w:t>
            </w:r>
          </w:p>
        </w:tc>
      </w:tr>
      <w:tr w14:paraId="0F4B5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2" w:type="pct"/>
            <w:vMerge w:val="continue"/>
            <w:vAlign w:val="center"/>
          </w:tcPr>
          <w:p w14:paraId="2F6D6FF0">
            <w:pPr>
              <w:pStyle w:val="445"/>
              <w:rPr>
                <w:rFonts w:cs="Times New Roman"/>
                <w:kern w:val="0"/>
                <w:szCs w:val="18"/>
              </w:rPr>
            </w:pPr>
          </w:p>
        </w:tc>
        <w:tc>
          <w:tcPr>
            <w:tcW w:w="286" w:type="pct"/>
            <w:vMerge w:val="continue"/>
            <w:vAlign w:val="center"/>
          </w:tcPr>
          <w:p w14:paraId="146C157E">
            <w:pPr>
              <w:pStyle w:val="445"/>
              <w:rPr>
                <w:rFonts w:cs="Times New Roman"/>
                <w:kern w:val="0"/>
                <w:szCs w:val="18"/>
              </w:rPr>
            </w:pPr>
          </w:p>
        </w:tc>
        <w:tc>
          <w:tcPr>
            <w:tcW w:w="297" w:type="pct"/>
            <w:vMerge w:val="continue"/>
            <w:vAlign w:val="center"/>
          </w:tcPr>
          <w:p w14:paraId="11814B4F">
            <w:pPr>
              <w:pStyle w:val="445"/>
              <w:rPr>
                <w:rFonts w:cs="Times New Roman"/>
                <w:kern w:val="0"/>
                <w:szCs w:val="18"/>
              </w:rPr>
            </w:pPr>
          </w:p>
        </w:tc>
        <w:tc>
          <w:tcPr>
            <w:tcW w:w="599" w:type="pct"/>
            <w:vMerge w:val="continue"/>
            <w:vAlign w:val="center"/>
          </w:tcPr>
          <w:p w14:paraId="2832C295">
            <w:pPr>
              <w:pStyle w:val="445"/>
              <w:rPr>
                <w:rFonts w:cs="Times New Roman"/>
                <w:kern w:val="0"/>
                <w:szCs w:val="18"/>
              </w:rPr>
            </w:pPr>
          </w:p>
        </w:tc>
        <w:tc>
          <w:tcPr>
            <w:tcW w:w="223" w:type="pct"/>
            <w:vMerge w:val="continue"/>
            <w:vAlign w:val="center"/>
          </w:tcPr>
          <w:p w14:paraId="3E5FA067">
            <w:pPr>
              <w:pStyle w:val="445"/>
              <w:rPr>
                <w:rFonts w:cs="Times New Roman"/>
                <w:kern w:val="0"/>
                <w:szCs w:val="18"/>
              </w:rPr>
            </w:pPr>
          </w:p>
        </w:tc>
        <w:tc>
          <w:tcPr>
            <w:tcW w:w="779" w:type="pct"/>
            <w:vMerge w:val="continue"/>
            <w:vAlign w:val="center"/>
          </w:tcPr>
          <w:p w14:paraId="759953D3">
            <w:pPr>
              <w:pStyle w:val="445"/>
              <w:rPr>
                <w:rFonts w:cs="Times New Roman"/>
                <w:kern w:val="0"/>
                <w:szCs w:val="18"/>
              </w:rPr>
            </w:pPr>
          </w:p>
        </w:tc>
        <w:tc>
          <w:tcPr>
            <w:tcW w:w="117" w:type="pct"/>
            <w:vMerge w:val="continue"/>
            <w:vAlign w:val="center"/>
          </w:tcPr>
          <w:p w14:paraId="1631BFA3">
            <w:pPr>
              <w:pStyle w:val="445"/>
              <w:rPr>
                <w:rFonts w:cs="Times New Roman"/>
                <w:kern w:val="0"/>
                <w:szCs w:val="18"/>
              </w:rPr>
            </w:pPr>
          </w:p>
        </w:tc>
        <w:tc>
          <w:tcPr>
            <w:tcW w:w="213" w:type="pct"/>
            <w:vAlign w:val="center"/>
          </w:tcPr>
          <w:p w14:paraId="0D919EF8">
            <w:pPr>
              <w:pStyle w:val="445"/>
              <w:rPr>
                <w:rFonts w:cs="Times New Roman"/>
                <w:kern w:val="0"/>
                <w:szCs w:val="18"/>
              </w:rPr>
            </w:pPr>
            <w:r>
              <w:rPr>
                <w:rFonts w:hint="eastAsia" w:cs="Times New Roman"/>
                <w:kern w:val="0"/>
                <w:szCs w:val="18"/>
              </w:rPr>
              <w:t>污染治理设施</w:t>
            </w:r>
            <w:r>
              <w:rPr>
                <w:rFonts w:cs="Times New Roman"/>
                <w:kern w:val="0"/>
                <w:szCs w:val="18"/>
              </w:rPr>
              <w:t>编号</w:t>
            </w:r>
          </w:p>
        </w:tc>
        <w:tc>
          <w:tcPr>
            <w:tcW w:w="190" w:type="pct"/>
            <w:vAlign w:val="center"/>
          </w:tcPr>
          <w:p w14:paraId="268C3FE6">
            <w:pPr>
              <w:pStyle w:val="445"/>
              <w:rPr>
                <w:rFonts w:cs="Times New Roman"/>
                <w:kern w:val="0"/>
                <w:szCs w:val="18"/>
              </w:rPr>
            </w:pPr>
            <w:r>
              <w:rPr>
                <w:rFonts w:hint="eastAsia" w:cs="Times New Roman"/>
                <w:kern w:val="0"/>
                <w:szCs w:val="18"/>
              </w:rPr>
              <w:t>污染</w:t>
            </w:r>
            <w:r>
              <w:rPr>
                <w:rFonts w:cs="Times New Roman"/>
                <w:kern w:val="0"/>
                <w:szCs w:val="18"/>
              </w:rPr>
              <w:t>治理设施名称</w:t>
            </w:r>
          </w:p>
        </w:tc>
        <w:tc>
          <w:tcPr>
            <w:tcW w:w="482" w:type="pct"/>
            <w:vAlign w:val="center"/>
          </w:tcPr>
          <w:p w14:paraId="6D7C300C">
            <w:pPr>
              <w:pStyle w:val="445"/>
              <w:rPr>
                <w:rFonts w:cs="Times New Roman"/>
                <w:kern w:val="0"/>
                <w:szCs w:val="18"/>
              </w:rPr>
            </w:pPr>
            <w:r>
              <w:rPr>
                <w:rFonts w:hint="eastAsia" w:cs="Times New Roman"/>
                <w:kern w:val="0"/>
                <w:szCs w:val="18"/>
              </w:rPr>
              <w:t>污染治理设施</w:t>
            </w:r>
            <w:r>
              <w:rPr>
                <w:rFonts w:cs="Times New Roman"/>
                <w:kern w:val="0"/>
                <w:szCs w:val="18"/>
              </w:rPr>
              <w:t>工艺</w:t>
            </w:r>
          </w:p>
        </w:tc>
        <w:tc>
          <w:tcPr>
            <w:tcW w:w="117" w:type="pct"/>
            <w:vAlign w:val="center"/>
          </w:tcPr>
          <w:p w14:paraId="504C1FDD">
            <w:pPr>
              <w:pStyle w:val="445"/>
              <w:rPr>
                <w:rFonts w:cs="Times New Roman"/>
                <w:kern w:val="0"/>
                <w:szCs w:val="18"/>
              </w:rPr>
            </w:pPr>
            <w:r>
              <w:rPr>
                <w:rFonts w:hint="eastAsia" w:cs="Times New Roman"/>
                <w:kern w:val="0"/>
                <w:szCs w:val="18"/>
              </w:rPr>
              <w:t>参数名称</w:t>
            </w:r>
          </w:p>
        </w:tc>
        <w:tc>
          <w:tcPr>
            <w:tcW w:w="181" w:type="pct"/>
            <w:vAlign w:val="center"/>
          </w:tcPr>
          <w:p w14:paraId="136F4385">
            <w:pPr>
              <w:pStyle w:val="445"/>
              <w:rPr>
                <w:rFonts w:cs="Times New Roman"/>
                <w:kern w:val="0"/>
                <w:szCs w:val="18"/>
              </w:rPr>
            </w:pPr>
            <w:r>
              <w:rPr>
                <w:rFonts w:hint="eastAsia" w:cs="Times New Roman"/>
                <w:kern w:val="0"/>
                <w:szCs w:val="18"/>
              </w:rPr>
              <w:t>设计值</w:t>
            </w:r>
          </w:p>
        </w:tc>
        <w:tc>
          <w:tcPr>
            <w:tcW w:w="149" w:type="pct"/>
            <w:vAlign w:val="center"/>
          </w:tcPr>
          <w:p w14:paraId="2E7DFDD0">
            <w:pPr>
              <w:pStyle w:val="445"/>
              <w:rPr>
                <w:rFonts w:cs="Times New Roman"/>
                <w:kern w:val="0"/>
                <w:szCs w:val="18"/>
              </w:rPr>
            </w:pPr>
            <w:r>
              <w:rPr>
                <w:rFonts w:hint="eastAsia" w:cs="Times New Roman"/>
                <w:kern w:val="0"/>
                <w:szCs w:val="18"/>
              </w:rPr>
              <w:t>计量单位</w:t>
            </w:r>
          </w:p>
        </w:tc>
        <w:tc>
          <w:tcPr>
            <w:tcW w:w="180" w:type="pct"/>
            <w:vAlign w:val="center"/>
          </w:tcPr>
          <w:p w14:paraId="327EECC1">
            <w:pPr>
              <w:pStyle w:val="445"/>
              <w:rPr>
                <w:rFonts w:cs="Times New Roman"/>
                <w:kern w:val="0"/>
                <w:szCs w:val="18"/>
              </w:rPr>
            </w:pPr>
            <w:r>
              <w:rPr>
                <w:rFonts w:hint="eastAsia" w:cs="Times New Roman"/>
                <w:kern w:val="0"/>
                <w:szCs w:val="18"/>
              </w:rPr>
              <w:t>其它污染治理设施</w:t>
            </w:r>
            <w:r>
              <w:rPr>
                <w:rFonts w:cs="Times New Roman"/>
                <w:kern w:val="0"/>
                <w:szCs w:val="18"/>
              </w:rPr>
              <w:t>参数信息</w:t>
            </w:r>
          </w:p>
        </w:tc>
        <w:tc>
          <w:tcPr>
            <w:tcW w:w="141" w:type="pct"/>
            <w:vAlign w:val="center"/>
          </w:tcPr>
          <w:p w14:paraId="4A4D79EF">
            <w:pPr>
              <w:pStyle w:val="445"/>
              <w:rPr>
                <w:rFonts w:cs="Times New Roman"/>
                <w:kern w:val="0"/>
                <w:szCs w:val="18"/>
              </w:rPr>
            </w:pPr>
            <w:r>
              <w:rPr>
                <w:rFonts w:hint="eastAsia" w:cs="Times New Roman"/>
                <w:kern w:val="0"/>
                <w:szCs w:val="18"/>
              </w:rPr>
              <w:t>是否为</w:t>
            </w:r>
            <w:r>
              <w:rPr>
                <w:rFonts w:cs="Times New Roman"/>
                <w:kern w:val="0"/>
                <w:szCs w:val="18"/>
              </w:rPr>
              <w:t>可行技术</w:t>
            </w:r>
          </w:p>
        </w:tc>
        <w:tc>
          <w:tcPr>
            <w:tcW w:w="164" w:type="pct"/>
            <w:vAlign w:val="center"/>
          </w:tcPr>
          <w:p w14:paraId="194BAD27">
            <w:pPr>
              <w:pStyle w:val="445"/>
              <w:rPr>
                <w:rFonts w:cs="Times New Roman"/>
                <w:kern w:val="0"/>
                <w:szCs w:val="18"/>
              </w:rPr>
            </w:pPr>
            <w:r>
              <w:rPr>
                <w:rFonts w:hint="eastAsia" w:cs="Times New Roman"/>
                <w:kern w:val="0"/>
                <w:szCs w:val="18"/>
              </w:rPr>
              <w:t>污染治理设施</w:t>
            </w:r>
            <w:r>
              <w:rPr>
                <w:rFonts w:cs="Times New Roman"/>
                <w:kern w:val="0"/>
                <w:szCs w:val="18"/>
              </w:rPr>
              <w:t>其他信息</w:t>
            </w:r>
          </w:p>
        </w:tc>
        <w:tc>
          <w:tcPr>
            <w:tcW w:w="217" w:type="pct"/>
            <w:vMerge w:val="continue"/>
            <w:vAlign w:val="center"/>
          </w:tcPr>
          <w:p w14:paraId="073E7728">
            <w:pPr>
              <w:pStyle w:val="445"/>
              <w:rPr>
                <w:rFonts w:cs="Times New Roman"/>
                <w:kern w:val="0"/>
                <w:szCs w:val="18"/>
              </w:rPr>
            </w:pPr>
          </w:p>
        </w:tc>
        <w:tc>
          <w:tcPr>
            <w:tcW w:w="148" w:type="pct"/>
            <w:vMerge w:val="continue"/>
            <w:vAlign w:val="center"/>
          </w:tcPr>
          <w:p w14:paraId="026DDFAD">
            <w:pPr>
              <w:pStyle w:val="445"/>
              <w:rPr>
                <w:rFonts w:cs="Times New Roman"/>
                <w:kern w:val="0"/>
                <w:szCs w:val="18"/>
              </w:rPr>
            </w:pPr>
          </w:p>
        </w:tc>
        <w:tc>
          <w:tcPr>
            <w:tcW w:w="172" w:type="pct"/>
            <w:vMerge w:val="continue"/>
            <w:vAlign w:val="center"/>
          </w:tcPr>
          <w:p w14:paraId="4C2A8E6B">
            <w:pPr>
              <w:pStyle w:val="445"/>
              <w:rPr>
                <w:rFonts w:cs="Times New Roman"/>
                <w:kern w:val="0"/>
                <w:szCs w:val="18"/>
              </w:rPr>
            </w:pPr>
          </w:p>
        </w:tc>
        <w:tc>
          <w:tcPr>
            <w:tcW w:w="125" w:type="pct"/>
            <w:vMerge w:val="continue"/>
            <w:vAlign w:val="center"/>
          </w:tcPr>
          <w:p w14:paraId="17A67CE9">
            <w:pPr>
              <w:pStyle w:val="445"/>
              <w:rPr>
                <w:rFonts w:cs="Times New Roman"/>
                <w:kern w:val="0"/>
                <w:szCs w:val="18"/>
              </w:rPr>
            </w:pPr>
          </w:p>
        </w:tc>
        <w:tc>
          <w:tcPr>
            <w:tcW w:w="116" w:type="pct"/>
            <w:vMerge w:val="continue"/>
            <w:vAlign w:val="center"/>
          </w:tcPr>
          <w:p w14:paraId="6912BF8C">
            <w:pPr>
              <w:pStyle w:val="445"/>
              <w:rPr>
                <w:rFonts w:cs="Times New Roman"/>
                <w:kern w:val="0"/>
                <w:szCs w:val="18"/>
              </w:rPr>
            </w:pPr>
          </w:p>
        </w:tc>
      </w:tr>
      <w:tr w14:paraId="051B1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02" w:type="pct"/>
            <w:vAlign w:val="center"/>
          </w:tcPr>
          <w:p w14:paraId="57E04EF1">
            <w:pPr>
              <w:pStyle w:val="445"/>
              <w:rPr>
                <w:rFonts w:cs="Times New Roman"/>
                <w:kern w:val="0"/>
                <w:szCs w:val="18"/>
              </w:rPr>
            </w:pPr>
            <w:r>
              <w:rPr>
                <w:rFonts w:hint="eastAsia" w:cs="Times New Roman"/>
                <w:kern w:val="0"/>
                <w:szCs w:val="18"/>
              </w:rPr>
              <w:t>1</w:t>
            </w:r>
          </w:p>
        </w:tc>
        <w:tc>
          <w:tcPr>
            <w:tcW w:w="286" w:type="pct"/>
            <w:vAlign w:val="center"/>
          </w:tcPr>
          <w:p w14:paraId="53416032">
            <w:pPr>
              <w:pStyle w:val="445"/>
              <w:rPr>
                <w:rFonts w:cs="Times New Roman"/>
                <w:kern w:val="0"/>
                <w:szCs w:val="18"/>
              </w:rPr>
            </w:pPr>
            <w:r>
              <w:rPr>
                <w:rFonts w:hint="eastAsia" w:cs="Times New Roman"/>
                <w:kern w:val="0"/>
                <w:szCs w:val="20"/>
              </w:rPr>
              <w:t>原料预处理单元</w:t>
            </w:r>
          </w:p>
        </w:tc>
        <w:tc>
          <w:tcPr>
            <w:tcW w:w="297" w:type="pct"/>
            <w:vAlign w:val="center"/>
          </w:tcPr>
          <w:p w14:paraId="0E14468B">
            <w:pPr>
              <w:pStyle w:val="445"/>
              <w:rPr>
                <w:rFonts w:cs="Times New Roman"/>
                <w:kern w:val="0"/>
                <w:szCs w:val="18"/>
              </w:rPr>
            </w:pPr>
            <w:r>
              <w:rPr>
                <w:rFonts w:cs="Times New Roman"/>
                <w:kern w:val="0"/>
                <w:szCs w:val="18"/>
              </w:rPr>
              <w:t>M</w:t>
            </w:r>
            <w:r>
              <w:rPr>
                <w:rFonts w:hint="eastAsia" w:cs="Times New Roman"/>
                <w:kern w:val="0"/>
                <w:szCs w:val="18"/>
              </w:rPr>
              <w:t>F00</w:t>
            </w:r>
            <w:r>
              <w:rPr>
                <w:rFonts w:cs="Times New Roman"/>
                <w:kern w:val="0"/>
                <w:szCs w:val="18"/>
              </w:rPr>
              <w:t>0</w:t>
            </w:r>
            <w:r>
              <w:rPr>
                <w:rFonts w:hint="eastAsia" w:cs="Times New Roman"/>
                <w:kern w:val="0"/>
                <w:szCs w:val="18"/>
              </w:rPr>
              <w:t>1</w:t>
            </w:r>
            <w:r>
              <w:rPr>
                <w:rFonts w:cs="Times New Roman"/>
                <w:kern w:val="0"/>
                <w:szCs w:val="18"/>
              </w:rPr>
              <w:t>-2</w:t>
            </w:r>
          </w:p>
        </w:tc>
        <w:tc>
          <w:tcPr>
            <w:tcW w:w="599" w:type="pct"/>
            <w:vAlign w:val="center"/>
          </w:tcPr>
          <w:p w14:paraId="3AE2F6F2">
            <w:pPr>
              <w:pStyle w:val="445"/>
              <w:rPr>
                <w:rFonts w:cs="Times New Roman"/>
                <w:kern w:val="0"/>
                <w:szCs w:val="18"/>
              </w:rPr>
            </w:pPr>
            <w:r>
              <w:rPr>
                <w:rFonts w:hint="eastAsia" w:cs="Times New Roman"/>
                <w:kern w:val="0"/>
                <w:szCs w:val="20"/>
              </w:rPr>
              <w:t>破碎机、</w:t>
            </w:r>
            <w:r>
              <w:rPr>
                <w:rFonts w:cs="Times New Roman"/>
                <w:kern w:val="0"/>
                <w:szCs w:val="20"/>
              </w:rPr>
              <w:t>粉碎机</w:t>
            </w:r>
          </w:p>
        </w:tc>
        <w:tc>
          <w:tcPr>
            <w:tcW w:w="223" w:type="pct"/>
            <w:vAlign w:val="center"/>
          </w:tcPr>
          <w:p w14:paraId="30288173">
            <w:pPr>
              <w:pStyle w:val="445"/>
              <w:rPr>
                <w:rFonts w:cs="Times New Roman"/>
                <w:kern w:val="0"/>
                <w:szCs w:val="18"/>
              </w:rPr>
            </w:pPr>
            <w:r>
              <w:rPr>
                <w:rFonts w:hint="eastAsia" w:cs="Times New Roman"/>
                <w:kern w:val="0"/>
                <w:szCs w:val="20"/>
              </w:rPr>
              <w:t>硅块</w:t>
            </w:r>
            <w:r>
              <w:rPr>
                <w:rFonts w:cs="Times New Roman"/>
                <w:kern w:val="0"/>
                <w:szCs w:val="20"/>
              </w:rPr>
              <w:t>破碎</w:t>
            </w:r>
          </w:p>
        </w:tc>
        <w:tc>
          <w:tcPr>
            <w:tcW w:w="779" w:type="pct"/>
            <w:vAlign w:val="center"/>
          </w:tcPr>
          <w:p w14:paraId="1CFAE2F5">
            <w:pPr>
              <w:pStyle w:val="445"/>
              <w:rPr>
                <w:rFonts w:cs="Times New Roman"/>
                <w:kern w:val="0"/>
                <w:szCs w:val="20"/>
              </w:rPr>
            </w:pPr>
            <w:r>
              <w:rPr>
                <w:rFonts w:hint="eastAsia" w:cs="Times New Roman"/>
                <w:kern w:val="0"/>
                <w:szCs w:val="18"/>
              </w:rPr>
              <w:t>颗粒物</w:t>
            </w:r>
          </w:p>
        </w:tc>
        <w:tc>
          <w:tcPr>
            <w:tcW w:w="117" w:type="pct"/>
            <w:vAlign w:val="center"/>
          </w:tcPr>
          <w:p w14:paraId="5FE1A419">
            <w:pPr>
              <w:pStyle w:val="445"/>
              <w:rPr>
                <w:rFonts w:cs="Times New Roman"/>
                <w:kern w:val="0"/>
                <w:szCs w:val="18"/>
              </w:rPr>
            </w:pPr>
            <w:r>
              <w:rPr>
                <w:rFonts w:cs="Times New Roman"/>
                <w:kern w:val="0"/>
                <w:szCs w:val="18"/>
              </w:rPr>
              <w:t>有组织</w:t>
            </w:r>
          </w:p>
        </w:tc>
        <w:tc>
          <w:tcPr>
            <w:tcW w:w="213" w:type="pct"/>
            <w:vAlign w:val="center"/>
          </w:tcPr>
          <w:p w14:paraId="6E613DC7">
            <w:pPr>
              <w:pStyle w:val="445"/>
              <w:rPr>
                <w:rFonts w:cs="Times New Roman"/>
                <w:kern w:val="0"/>
                <w:szCs w:val="18"/>
              </w:rPr>
            </w:pPr>
            <w:r>
              <w:rPr>
                <w:rFonts w:hint="eastAsia" w:cs="Times New Roman"/>
                <w:kern w:val="0"/>
                <w:szCs w:val="18"/>
              </w:rPr>
              <w:t>T</w:t>
            </w:r>
            <w:r>
              <w:rPr>
                <w:rFonts w:cs="Times New Roman"/>
                <w:kern w:val="0"/>
                <w:szCs w:val="18"/>
              </w:rPr>
              <w:t>A001</w:t>
            </w:r>
          </w:p>
        </w:tc>
        <w:tc>
          <w:tcPr>
            <w:tcW w:w="190" w:type="pct"/>
            <w:vAlign w:val="center"/>
          </w:tcPr>
          <w:p w14:paraId="238BEE4F">
            <w:pPr>
              <w:pStyle w:val="445"/>
              <w:rPr>
                <w:rFonts w:cs="Times New Roman"/>
                <w:kern w:val="0"/>
                <w:szCs w:val="18"/>
              </w:rPr>
            </w:pPr>
            <w:r>
              <w:rPr>
                <w:rFonts w:hint="eastAsia" w:cs="Times New Roman"/>
                <w:kern w:val="0"/>
                <w:szCs w:val="20"/>
              </w:rPr>
              <w:t>除尘系统</w:t>
            </w:r>
          </w:p>
        </w:tc>
        <w:tc>
          <w:tcPr>
            <w:tcW w:w="482" w:type="pct"/>
            <w:vAlign w:val="center"/>
          </w:tcPr>
          <w:p w14:paraId="4A421FA5">
            <w:pPr>
              <w:pStyle w:val="445"/>
              <w:rPr>
                <w:rFonts w:cs="Times New Roman"/>
                <w:kern w:val="0"/>
                <w:szCs w:val="18"/>
              </w:rPr>
            </w:pPr>
            <w:r>
              <w:rPr>
                <w:rFonts w:hint="eastAsia" w:cs="Times New Roman"/>
                <w:kern w:val="0"/>
                <w:szCs w:val="20"/>
              </w:rPr>
              <w:t>布袋除尘+一级水洗</w:t>
            </w:r>
          </w:p>
        </w:tc>
        <w:tc>
          <w:tcPr>
            <w:tcW w:w="117" w:type="pct"/>
            <w:vAlign w:val="center"/>
          </w:tcPr>
          <w:p w14:paraId="65C4D9B3">
            <w:pPr>
              <w:pStyle w:val="445"/>
              <w:rPr>
                <w:rFonts w:cs="Times New Roman"/>
                <w:kern w:val="0"/>
                <w:szCs w:val="18"/>
              </w:rPr>
            </w:pPr>
            <w:r>
              <w:rPr>
                <w:rFonts w:cs="Times New Roman"/>
                <w:kern w:val="0"/>
                <w:szCs w:val="18"/>
              </w:rPr>
              <w:t>设计风量</w:t>
            </w:r>
          </w:p>
        </w:tc>
        <w:tc>
          <w:tcPr>
            <w:tcW w:w="181" w:type="pct"/>
            <w:vAlign w:val="center"/>
          </w:tcPr>
          <w:p w14:paraId="4BE0A349">
            <w:pPr>
              <w:pStyle w:val="445"/>
              <w:rPr>
                <w:rFonts w:cs="Times New Roman"/>
                <w:kern w:val="0"/>
                <w:szCs w:val="18"/>
              </w:rPr>
            </w:pPr>
            <w:r>
              <w:rPr>
                <w:rFonts w:cs="Times New Roman"/>
                <w:kern w:val="0"/>
                <w:szCs w:val="18"/>
              </w:rPr>
              <w:t>4000</w:t>
            </w:r>
          </w:p>
        </w:tc>
        <w:tc>
          <w:tcPr>
            <w:tcW w:w="149" w:type="pct"/>
            <w:vAlign w:val="center"/>
          </w:tcPr>
          <w:p w14:paraId="03E4F9A5">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0249E56B">
            <w:pPr>
              <w:pStyle w:val="445"/>
              <w:rPr>
                <w:rFonts w:cs="Times New Roman"/>
                <w:kern w:val="0"/>
                <w:szCs w:val="18"/>
              </w:rPr>
            </w:pPr>
            <w:r>
              <w:rPr>
                <w:rFonts w:hint="eastAsia" w:cs="Times New Roman"/>
                <w:kern w:val="0"/>
                <w:szCs w:val="18"/>
              </w:rPr>
              <w:t>/</w:t>
            </w:r>
          </w:p>
        </w:tc>
        <w:tc>
          <w:tcPr>
            <w:tcW w:w="141" w:type="pct"/>
            <w:vAlign w:val="center"/>
          </w:tcPr>
          <w:p w14:paraId="67F2EF5E">
            <w:pPr>
              <w:pStyle w:val="445"/>
              <w:rPr>
                <w:rFonts w:cs="Times New Roman"/>
                <w:kern w:val="0"/>
                <w:szCs w:val="18"/>
              </w:rPr>
            </w:pPr>
            <w:r>
              <w:rPr>
                <w:rFonts w:cs="Times New Roman"/>
                <w:kern w:val="0"/>
                <w:szCs w:val="18"/>
              </w:rPr>
              <w:t>是</w:t>
            </w:r>
          </w:p>
        </w:tc>
        <w:tc>
          <w:tcPr>
            <w:tcW w:w="164" w:type="pct"/>
            <w:vAlign w:val="center"/>
          </w:tcPr>
          <w:p w14:paraId="6DD5DD83">
            <w:pPr>
              <w:pStyle w:val="445"/>
              <w:rPr>
                <w:rFonts w:cs="Times New Roman"/>
                <w:kern w:val="0"/>
                <w:szCs w:val="18"/>
              </w:rPr>
            </w:pPr>
            <w:r>
              <w:rPr>
                <w:rFonts w:hint="eastAsia" w:cs="Times New Roman"/>
                <w:kern w:val="0"/>
                <w:szCs w:val="18"/>
              </w:rPr>
              <w:t>/</w:t>
            </w:r>
          </w:p>
        </w:tc>
        <w:tc>
          <w:tcPr>
            <w:tcW w:w="217" w:type="pct"/>
            <w:vAlign w:val="center"/>
          </w:tcPr>
          <w:p w14:paraId="409FDECE">
            <w:pPr>
              <w:pStyle w:val="445"/>
              <w:rPr>
                <w:rFonts w:cs="Times New Roman"/>
                <w:kern w:val="0"/>
                <w:szCs w:val="18"/>
              </w:rPr>
            </w:pPr>
            <w:r>
              <w:rPr>
                <w:rFonts w:hint="eastAsia" w:cs="Times New Roman"/>
                <w:kern w:val="0"/>
                <w:szCs w:val="18"/>
              </w:rPr>
              <w:t>D</w:t>
            </w:r>
            <w:r>
              <w:rPr>
                <w:rFonts w:cs="Times New Roman"/>
                <w:kern w:val="0"/>
                <w:szCs w:val="18"/>
              </w:rPr>
              <w:t>A018</w:t>
            </w:r>
          </w:p>
        </w:tc>
        <w:tc>
          <w:tcPr>
            <w:tcW w:w="148" w:type="pct"/>
            <w:vAlign w:val="center"/>
          </w:tcPr>
          <w:p w14:paraId="5033542F">
            <w:pPr>
              <w:pStyle w:val="445"/>
              <w:rPr>
                <w:rFonts w:cs="Times New Roman"/>
                <w:kern w:val="0"/>
                <w:szCs w:val="18"/>
              </w:rPr>
            </w:pPr>
            <w:r>
              <w:rPr>
                <w:rFonts w:hint="eastAsia" w:cs="Times New Roman"/>
                <w:kern w:val="0"/>
                <w:szCs w:val="18"/>
              </w:rPr>
              <w:t>18</w:t>
            </w:r>
          </w:p>
          <w:p w14:paraId="5C3176A0">
            <w:pPr>
              <w:pStyle w:val="445"/>
              <w:rPr>
                <w:rFonts w:cs="Times New Roman"/>
                <w:kern w:val="0"/>
                <w:szCs w:val="18"/>
              </w:rPr>
            </w:pPr>
            <w:r>
              <w:rPr>
                <w:rFonts w:cs="Times New Roman"/>
                <w:kern w:val="0"/>
                <w:szCs w:val="18"/>
              </w:rPr>
              <w:t>#排放口</w:t>
            </w:r>
          </w:p>
        </w:tc>
        <w:tc>
          <w:tcPr>
            <w:tcW w:w="172" w:type="pct"/>
            <w:vAlign w:val="center"/>
          </w:tcPr>
          <w:p w14:paraId="70A0B303">
            <w:pPr>
              <w:pStyle w:val="445"/>
              <w:rPr>
                <w:rFonts w:cs="Times New Roman"/>
                <w:kern w:val="0"/>
                <w:szCs w:val="18"/>
              </w:rPr>
            </w:pPr>
            <w:r>
              <w:rPr>
                <w:rFonts w:cs="Times New Roman"/>
                <w:kern w:val="0"/>
                <w:szCs w:val="18"/>
              </w:rPr>
              <w:t>是</w:t>
            </w:r>
          </w:p>
        </w:tc>
        <w:tc>
          <w:tcPr>
            <w:tcW w:w="125" w:type="pct"/>
            <w:vAlign w:val="center"/>
          </w:tcPr>
          <w:p w14:paraId="60006097">
            <w:pPr>
              <w:pStyle w:val="445"/>
              <w:rPr>
                <w:rFonts w:cs="Times New Roman"/>
                <w:kern w:val="0"/>
                <w:szCs w:val="18"/>
              </w:rPr>
            </w:pPr>
            <w:r>
              <w:rPr>
                <w:rFonts w:hint="eastAsia" w:cs="Times New Roman"/>
                <w:kern w:val="0"/>
                <w:szCs w:val="18"/>
              </w:rPr>
              <w:t>一般</w:t>
            </w:r>
            <w:r>
              <w:rPr>
                <w:rFonts w:cs="Times New Roman"/>
                <w:kern w:val="0"/>
                <w:szCs w:val="18"/>
              </w:rPr>
              <w:t>排放口</w:t>
            </w:r>
          </w:p>
        </w:tc>
        <w:tc>
          <w:tcPr>
            <w:tcW w:w="116" w:type="pct"/>
            <w:vMerge w:val="restart"/>
            <w:vAlign w:val="center"/>
          </w:tcPr>
          <w:p w14:paraId="09866D48">
            <w:pPr>
              <w:pStyle w:val="445"/>
              <w:rPr>
                <w:rFonts w:cs="Times New Roman"/>
                <w:kern w:val="0"/>
                <w:szCs w:val="20"/>
              </w:rPr>
            </w:pPr>
            <w:r>
              <w:rPr>
                <w:rFonts w:cs="Times New Roman"/>
                <w:kern w:val="0"/>
                <w:szCs w:val="20"/>
              </w:rPr>
              <w:t>/</w:t>
            </w:r>
          </w:p>
        </w:tc>
      </w:tr>
      <w:tr w14:paraId="7B111F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02" w:type="pct"/>
            <w:vMerge w:val="restart"/>
            <w:vAlign w:val="center"/>
          </w:tcPr>
          <w:p w14:paraId="7A4BC183">
            <w:pPr>
              <w:pStyle w:val="445"/>
              <w:rPr>
                <w:rFonts w:cs="Times New Roman"/>
                <w:kern w:val="0"/>
                <w:szCs w:val="18"/>
              </w:rPr>
            </w:pPr>
            <w:r>
              <w:rPr>
                <w:rFonts w:hint="eastAsia" w:cs="Times New Roman"/>
                <w:kern w:val="0"/>
                <w:szCs w:val="18"/>
              </w:rPr>
              <w:t>2</w:t>
            </w:r>
          </w:p>
        </w:tc>
        <w:tc>
          <w:tcPr>
            <w:tcW w:w="286" w:type="pct"/>
            <w:vMerge w:val="restart"/>
            <w:vAlign w:val="center"/>
          </w:tcPr>
          <w:p w14:paraId="474BC35D">
            <w:pPr>
              <w:pStyle w:val="445"/>
              <w:rPr>
                <w:rFonts w:cs="Times New Roman"/>
                <w:kern w:val="0"/>
                <w:szCs w:val="18"/>
              </w:rPr>
            </w:pPr>
            <w:r>
              <w:rPr>
                <w:rFonts w:hint="eastAsia" w:cs="Times New Roman"/>
                <w:kern w:val="0"/>
                <w:szCs w:val="20"/>
              </w:rPr>
              <w:t>反应单元</w:t>
            </w:r>
          </w:p>
        </w:tc>
        <w:tc>
          <w:tcPr>
            <w:tcW w:w="297" w:type="pct"/>
            <w:vMerge w:val="restart"/>
            <w:vAlign w:val="center"/>
          </w:tcPr>
          <w:p w14:paraId="40929B88">
            <w:pPr>
              <w:pStyle w:val="445"/>
              <w:rPr>
                <w:rFonts w:cs="Times New Roman"/>
                <w:kern w:val="0"/>
                <w:szCs w:val="20"/>
              </w:rPr>
            </w:pPr>
            <w:r>
              <w:rPr>
                <w:rFonts w:cs="Times New Roman"/>
                <w:kern w:val="0"/>
                <w:szCs w:val="20"/>
              </w:rPr>
              <w:t>MF0005</w:t>
            </w:r>
          </w:p>
        </w:tc>
        <w:tc>
          <w:tcPr>
            <w:tcW w:w="599" w:type="pct"/>
            <w:vMerge w:val="restart"/>
            <w:vAlign w:val="center"/>
          </w:tcPr>
          <w:p w14:paraId="53657497">
            <w:pPr>
              <w:pStyle w:val="445"/>
              <w:rPr>
                <w:rFonts w:cs="Times New Roman"/>
                <w:kern w:val="0"/>
                <w:szCs w:val="20"/>
                <w:lang w:bidi="ar"/>
              </w:rPr>
            </w:pPr>
            <w:r>
              <w:rPr>
                <w:rFonts w:hint="eastAsia" w:cs="Times New Roman"/>
                <w:kern w:val="0"/>
                <w:szCs w:val="20"/>
                <w:lang w:bidi="ar"/>
              </w:rPr>
              <w:t>反应釜</w:t>
            </w:r>
          </w:p>
        </w:tc>
        <w:tc>
          <w:tcPr>
            <w:tcW w:w="223" w:type="pct"/>
            <w:vMerge w:val="restart"/>
            <w:vAlign w:val="center"/>
          </w:tcPr>
          <w:p w14:paraId="7636A9EE">
            <w:pPr>
              <w:pStyle w:val="445"/>
              <w:rPr>
                <w:rFonts w:cs="Times New Roman"/>
                <w:kern w:val="0"/>
                <w:szCs w:val="18"/>
              </w:rPr>
            </w:pPr>
            <w:r>
              <w:rPr>
                <w:rFonts w:hint="eastAsia" w:cs="Times New Roman"/>
                <w:kern w:val="0"/>
                <w:szCs w:val="18"/>
              </w:rPr>
              <w:t>合成</w:t>
            </w:r>
          </w:p>
        </w:tc>
        <w:tc>
          <w:tcPr>
            <w:tcW w:w="779" w:type="pct"/>
            <w:vAlign w:val="center"/>
          </w:tcPr>
          <w:p w14:paraId="2A2210F0">
            <w:pPr>
              <w:pStyle w:val="445"/>
              <w:rPr>
                <w:rFonts w:cs="Times New Roman"/>
                <w:kern w:val="0"/>
                <w:szCs w:val="18"/>
              </w:rPr>
            </w:pPr>
            <w:r>
              <w:rPr>
                <w:rFonts w:hint="eastAsia" w:cs="Times New Roman"/>
                <w:kern w:val="0"/>
                <w:szCs w:val="18"/>
              </w:rPr>
              <w:t>颗粒物</w:t>
            </w:r>
          </w:p>
        </w:tc>
        <w:tc>
          <w:tcPr>
            <w:tcW w:w="117" w:type="pct"/>
            <w:vMerge w:val="restart"/>
            <w:vAlign w:val="center"/>
          </w:tcPr>
          <w:p w14:paraId="77F09C3A">
            <w:pPr>
              <w:pStyle w:val="445"/>
              <w:rPr>
                <w:rFonts w:cs="Times New Roman"/>
                <w:kern w:val="0"/>
                <w:szCs w:val="18"/>
              </w:rPr>
            </w:pPr>
            <w:r>
              <w:rPr>
                <w:rFonts w:cs="Times New Roman"/>
                <w:kern w:val="0"/>
                <w:szCs w:val="18"/>
              </w:rPr>
              <w:t>有组织</w:t>
            </w:r>
          </w:p>
        </w:tc>
        <w:tc>
          <w:tcPr>
            <w:tcW w:w="213" w:type="pct"/>
            <w:vAlign w:val="center"/>
          </w:tcPr>
          <w:p w14:paraId="64A6637D">
            <w:pPr>
              <w:pStyle w:val="445"/>
              <w:rPr>
                <w:rFonts w:cs="Times New Roman"/>
                <w:kern w:val="0"/>
                <w:szCs w:val="18"/>
              </w:rPr>
            </w:pPr>
            <w:r>
              <w:rPr>
                <w:rFonts w:hint="eastAsia" w:cs="Times New Roman"/>
                <w:kern w:val="0"/>
                <w:szCs w:val="18"/>
              </w:rPr>
              <w:t>TA002</w:t>
            </w:r>
          </w:p>
        </w:tc>
        <w:tc>
          <w:tcPr>
            <w:tcW w:w="190" w:type="pct"/>
            <w:vAlign w:val="center"/>
          </w:tcPr>
          <w:p w14:paraId="5E43AD84">
            <w:pPr>
              <w:pStyle w:val="445"/>
              <w:rPr>
                <w:rFonts w:cs="Times New Roman"/>
                <w:kern w:val="0"/>
                <w:szCs w:val="18"/>
              </w:rPr>
            </w:pPr>
            <w:r>
              <w:rPr>
                <w:rFonts w:hint="eastAsia" w:cs="Times New Roman"/>
                <w:kern w:val="0"/>
                <w:szCs w:val="20"/>
              </w:rPr>
              <w:t>除尘系统</w:t>
            </w:r>
          </w:p>
        </w:tc>
        <w:tc>
          <w:tcPr>
            <w:tcW w:w="482" w:type="pct"/>
            <w:vAlign w:val="center"/>
          </w:tcPr>
          <w:p w14:paraId="65648B80">
            <w:pPr>
              <w:pStyle w:val="445"/>
              <w:rPr>
                <w:rFonts w:cs="Times New Roman"/>
                <w:kern w:val="0"/>
                <w:szCs w:val="18"/>
              </w:rPr>
            </w:pPr>
            <w:r>
              <w:rPr>
                <w:rFonts w:hint="eastAsia" w:cs="Times New Roman"/>
                <w:kern w:val="0"/>
                <w:szCs w:val="18"/>
              </w:rPr>
              <w:t>过滤罐+</w:t>
            </w:r>
            <w:r>
              <w:rPr>
                <w:rFonts w:hint="eastAsia" w:cs="Times New Roman"/>
                <w:kern w:val="0"/>
                <w:szCs w:val="20"/>
              </w:rPr>
              <w:t>一级水</w:t>
            </w:r>
            <w:r>
              <w:rPr>
                <w:rFonts w:hint="eastAsia" w:cs="Times New Roman"/>
                <w:kern w:val="0"/>
                <w:szCs w:val="18"/>
              </w:rPr>
              <w:t>洗</w:t>
            </w:r>
          </w:p>
        </w:tc>
        <w:tc>
          <w:tcPr>
            <w:tcW w:w="117" w:type="pct"/>
            <w:vMerge w:val="restart"/>
            <w:vAlign w:val="center"/>
          </w:tcPr>
          <w:p w14:paraId="5D489294">
            <w:pPr>
              <w:pStyle w:val="445"/>
              <w:rPr>
                <w:rFonts w:cs="Times New Roman"/>
                <w:kern w:val="0"/>
                <w:szCs w:val="18"/>
              </w:rPr>
            </w:pPr>
            <w:r>
              <w:rPr>
                <w:rFonts w:cs="Times New Roman"/>
                <w:kern w:val="0"/>
                <w:szCs w:val="18"/>
              </w:rPr>
              <w:t>设计风量</w:t>
            </w:r>
          </w:p>
        </w:tc>
        <w:tc>
          <w:tcPr>
            <w:tcW w:w="181" w:type="pct"/>
            <w:vMerge w:val="restart"/>
            <w:vAlign w:val="center"/>
          </w:tcPr>
          <w:p w14:paraId="442C12E1">
            <w:pPr>
              <w:pStyle w:val="445"/>
              <w:rPr>
                <w:rFonts w:cs="Times New Roman"/>
                <w:kern w:val="0"/>
                <w:szCs w:val="18"/>
              </w:rPr>
            </w:pPr>
            <w:r>
              <w:rPr>
                <w:rFonts w:cs="Times New Roman"/>
                <w:kern w:val="0"/>
                <w:szCs w:val="18"/>
              </w:rPr>
              <w:t>2800</w:t>
            </w:r>
          </w:p>
        </w:tc>
        <w:tc>
          <w:tcPr>
            <w:tcW w:w="149" w:type="pct"/>
            <w:vMerge w:val="restart"/>
            <w:vAlign w:val="center"/>
          </w:tcPr>
          <w:p w14:paraId="69DD16C8">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Merge w:val="restart"/>
            <w:vAlign w:val="center"/>
          </w:tcPr>
          <w:p w14:paraId="61BFD6B6">
            <w:pPr>
              <w:pStyle w:val="445"/>
              <w:rPr>
                <w:rFonts w:cs="Times New Roman"/>
                <w:kern w:val="0"/>
                <w:szCs w:val="18"/>
              </w:rPr>
            </w:pPr>
            <w:r>
              <w:rPr>
                <w:rFonts w:hint="eastAsia" w:cs="Times New Roman"/>
                <w:kern w:val="0"/>
                <w:szCs w:val="18"/>
              </w:rPr>
              <w:t>/</w:t>
            </w:r>
          </w:p>
        </w:tc>
        <w:tc>
          <w:tcPr>
            <w:tcW w:w="141" w:type="pct"/>
            <w:vMerge w:val="restart"/>
            <w:vAlign w:val="center"/>
          </w:tcPr>
          <w:p w14:paraId="179CFF14">
            <w:pPr>
              <w:pStyle w:val="445"/>
              <w:rPr>
                <w:rFonts w:cs="Times New Roman"/>
                <w:kern w:val="0"/>
                <w:szCs w:val="18"/>
              </w:rPr>
            </w:pPr>
            <w:r>
              <w:rPr>
                <w:rFonts w:cs="Times New Roman"/>
                <w:kern w:val="0"/>
                <w:szCs w:val="18"/>
              </w:rPr>
              <w:t>是</w:t>
            </w:r>
          </w:p>
        </w:tc>
        <w:tc>
          <w:tcPr>
            <w:tcW w:w="164" w:type="pct"/>
            <w:vMerge w:val="restart"/>
            <w:vAlign w:val="center"/>
          </w:tcPr>
          <w:p w14:paraId="7CF25883">
            <w:pPr>
              <w:pStyle w:val="445"/>
              <w:rPr>
                <w:rFonts w:cs="Times New Roman"/>
                <w:kern w:val="0"/>
                <w:szCs w:val="18"/>
              </w:rPr>
            </w:pPr>
            <w:r>
              <w:rPr>
                <w:rFonts w:hint="eastAsia" w:cs="Times New Roman"/>
                <w:kern w:val="0"/>
                <w:szCs w:val="18"/>
              </w:rPr>
              <w:t>/</w:t>
            </w:r>
          </w:p>
        </w:tc>
        <w:tc>
          <w:tcPr>
            <w:tcW w:w="217" w:type="pct"/>
            <w:vMerge w:val="restart"/>
            <w:vAlign w:val="center"/>
          </w:tcPr>
          <w:p w14:paraId="783A86E8">
            <w:pPr>
              <w:pStyle w:val="445"/>
              <w:rPr>
                <w:rFonts w:cs="Times New Roman"/>
                <w:kern w:val="0"/>
                <w:szCs w:val="18"/>
              </w:rPr>
            </w:pPr>
            <w:r>
              <w:rPr>
                <w:rFonts w:hint="eastAsia" w:cs="Times New Roman"/>
                <w:kern w:val="0"/>
                <w:szCs w:val="18"/>
              </w:rPr>
              <w:t>D</w:t>
            </w:r>
            <w:r>
              <w:rPr>
                <w:rFonts w:cs="Times New Roman"/>
                <w:kern w:val="0"/>
                <w:szCs w:val="18"/>
              </w:rPr>
              <w:t>A021</w:t>
            </w:r>
          </w:p>
        </w:tc>
        <w:tc>
          <w:tcPr>
            <w:tcW w:w="148" w:type="pct"/>
            <w:vMerge w:val="restart"/>
            <w:vAlign w:val="center"/>
          </w:tcPr>
          <w:p w14:paraId="78567314">
            <w:pPr>
              <w:pStyle w:val="445"/>
              <w:rPr>
                <w:rFonts w:cs="Times New Roman"/>
                <w:kern w:val="0"/>
                <w:szCs w:val="18"/>
              </w:rPr>
            </w:pPr>
            <w:r>
              <w:rPr>
                <w:rFonts w:cs="Times New Roman"/>
                <w:kern w:val="0"/>
                <w:szCs w:val="18"/>
              </w:rPr>
              <w:t>21#排放口</w:t>
            </w:r>
          </w:p>
        </w:tc>
        <w:tc>
          <w:tcPr>
            <w:tcW w:w="172" w:type="pct"/>
            <w:vMerge w:val="restart"/>
            <w:vAlign w:val="center"/>
          </w:tcPr>
          <w:p w14:paraId="2789CFC3">
            <w:pPr>
              <w:pStyle w:val="445"/>
              <w:rPr>
                <w:rFonts w:cs="Times New Roman"/>
                <w:kern w:val="0"/>
                <w:szCs w:val="18"/>
              </w:rPr>
            </w:pPr>
            <w:r>
              <w:rPr>
                <w:rFonts w:cs="Times New Roman"/>
                <w:kern w:val="0"/>
                <w:szCs w:val="18"/>
              </w:rPr>
              <w:t>是</w:t>
            </w:r>
          </w:p>
        </w:tc>
        <w:tc>
          <w:tcPr>
            <w:tcW w:w="125" w:type="pct"/>
            <w:vMerge w:val="restart"/>
            <w:vAlign w:val="center"/>
          </w:tcPr>
          <w:p w14:paraId="6CF42B4D">
            <w:pPr>
              <w:pStyle w:val="445"/>
              <w:rPr>
                <w:rFonts w:cs="Times New Roman"/>
                <w:kern w:val="0"/>
                <w:szCs w:val="18"/>
              </w:rPr>
            </w:pPr>
            <w:r>
              <w:rPr>
                <w:rFonts w:hint="eastAsia" w:cs="Times New Roman"/>
                <w:kern w:val="0"/>
                <w:szCs w:val="18"/>
              </w:rPr>
              <w:t>主要</w:t>
            </w:r>
            <w:r>
              <w:rPr>
                <w:rFonts w:cs="Times New Roman"/>
                <w:kern w:val="0"/>
                <w:szCs w:val="18"/>
              </w:rPr>
              <w:t>排放口</w:t>
            </w:r>
          </w:p>
        </w:tc>
        <w:tc>
          <w:tcPr>
            <w:tcW w:w="116" w:type="pct"/>
            <w:vMerge w:val="continue"/>
            <w:vAlign w:val="center"/>
          </w:tcPr>
          <w:p w14:paraId="6E2E2367">
            <w:pPr>
              <w:pStyle w:val="445"/>
              <w:rPr>
                <w:rFonts w:cs="Times New Roman"/>
                <w:kern w:val="0"/>
                <w:szCs w:val="18"/>
              </w:rPr>
            </w:pPr>
          </w:p>
        </w:tc>
      </w:tr>
      <w:tr w14:paraId="5D4BD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02" w:type="pct"/>
            <w:vMerge w:val="continue"/>
            <w:vAlign w:val="center"/>
          </w:tcPr>
          <w:p w14:paraId="5AE40071">
            <w:pPr>
              <w:pStyle w:val="445"/>
              <w:rPr>
                <w:rFonts w:cs="Times New Roman"/>
                <w:kern w:val="0"/>
                <w:szCs w:val="18"/>
              </w:rPr>
            </w:pPr>
          </w:p>
        </w:tc>
        <w:tc>
          <w:tcPr>
            <w:tcW w:w="286" w:type="pct"/>
            <w:vMerge w:val="continue"/>
            <w:vAlign w:val="center"/>
          </w:tcPr>
          <w:p w14:paraId="77F1C597">
            <w:pPr>
              <w:pStyle w:val="445"/>
              <w:rPr>
                <w:rFonts w:cs="Times New Roman"/>
                <w:kern w:val="0"/>
                <w:szCs w:val="20"/>
              </w:rPr>
            </w:pPr>
          </w:p>
        </w:tc>
        <w:tc>
          <w:tcPr>
            <w:tcW w:w="297" w:type="pct"/>
            <w:vMerge w:val="continue"/>
            <w:vAlign w:val="center"/>
          </w:tcPr>
          <w:p w14:paraId="11362A32">
            <w:pPr>
              <w:pStyle w:val="445"/>
              <w:rPr>
                <w:rFonts w:cs="Times New Roman"/>
                <w:kern w:val="0"/>
                <w:szCs w:val="20"/>
              </w:rPr>
            </w:pPr>
          </w:p>
        </w:tc>
        <w:tc>
          <w:tcPr>
            <w:tcW w:w="599" w:type="pct"/>
            <w:vMerge w:val="continue"/>
            <w:vAlign w:val="center"/>
          </w:tcPr>
          <w:p w14:paraId="65FD68D9">
            <w:pPr>
              <w:pStyle w:val="445"/>
              <w:rPr>
                <w:rFonts w:cs="Times New Roman"/>
                <w:kern w:val="0"/>
                <w:szCs w:val="20"/>
                <w:lang w:bidi="ar"/>
              </w:rPr>
            </w:pPr>
          </w:p>
        </w:tc>
        <w:tc>
          <w:tcPr>
            <w:tcW w:w="223" w:type="pct"/>
            <w:vMerge w:val="continue"/>
            <w:vAlign w:val="center"/>
          </w:tcPr>
          <w:p w14:paraId="45AC3EDF">
            <w:pPr>
              <w:pStyle w:val="445"/>
              <w:rPr>
                <w:rFonts w:cs="Times New Roman"/>
                <w:kern w:val="0"/>
                <w:szCs w:val="18"/>
              </w:rPr>
            </w:pPr>
          </w:p>
        </w:tc>
        <w:tc>
          <w:tcPr>
            <w:tcW w:w="779" w:type="pct"/>
            <w:vAlign w:val="center"/>
          </w:tcPr>
          <w:p w14:paraId="7BF4DC61">
            <w:pPr>
              <w:pStyle w:val="445"/>
              <w:rPr>
                <w:rFonts w:cs="Times New Roman"/>
                <w:kern w:val="0"/>
                <w:szCs w:val="18"/>
              </w:rPr>
            </w:pPr>
            <w:r>
              <w:rPr>
                <w:rFonts w:hint="eastAsia" w:cs="Times New Roman"/>
                <w:kern w:val="0"/>
                <w:szCs w:val="20"/>
              </w:rPr>
              <w:t>甲醇、四甲氧基硅烷、三甲氧基硅烷、甲基三甲氧基硅烷、</w:t>
            </w:r>
            <w:r>
              <w:rPr>
                <w:rFonts w:hint="eastAsia" w:cs="Times New Roman"/>
                <w:color w:val="000000"/>
                <w:kern w:val="0"/>
                <w:szCs w:val="18"/>
              </w:rPr>
              <w:t>烯丙基缩水甘油醚、</w:t>
            </w:r>
            <w:r>
              <w:rPr>
                <w:rFonts w:hint="eastAsia" w:cs="Times New Roman"/>
                <w:kern w:val="0"/>
                <w:szCs w:val="20"/>
              </w:rPr>
              <w:t>TVOC、</w:t>
            </w:r>
            <w:r>
              <w:rPr>
                <w:rFonts w:hint="eastAsia" w:cs="Times New Roman"/>
                <w:color w:val="000000"/>
                <w:kern w:val="0"/>
                <w:szCs w:val="18"/>
              </w:rPr>
              <w:t>氨</w:t>
            </w:r>
          </w:p>
        </w:tc>
        <w:tc>
          <w:tcPr>
            <w:tcW w:w="117" w:type="pct"/>
            <w:vMerge w:val="continue"/>
            <w:vAlign w:val="center"/>
          </w:tcPr>
          <w:p w14:paraId="7BB7809A">
            <w:pPr>
              <w:pStyle w:val="445"/>
              <w:rPr>
                <w:rFonts w:cs="Times New Roman"/>
                <w:kern w:val="0"/>
                <w:szCs w:val="18"/>
              </w:rPr>
            </w:pPr>
          </w:p>
        </w:tc>
        <w:tc>
          <w:tcPr>
            <w:tcW w:w="213" w:type="pct"/>
            <w:vAlign w:val="center"/>
          </w:tcPr>
          <w:p w14:paraId="49CD8E74">
            <w:pPr>
              <w:pStyle w:val="445"/>
              <w:rPr>
                <w:rFonts w:cs="Times New Roman"/>
                <w:kern w:val="0"/>
                <w:szCs w:val="18"/>
              </w:rPr>
            </w:pPr>
            <w:r>
              <w:rPr>
                <w:rFonts w:hint="eastAsia" w:cs="Times New Roman"/>
                <w:kern w:val="0"/>
                <w:szCs w:val="18"/>
              </w:rPr>
              <w:t>TA003</w:t>
            </w:r>
          </w:p>
        </w:tc>
        <w:tc>
          <w:tcPr>
            <w:tcW w:w="190" w:type="pct"/>
            <w:vAlign w:val="center"/>
          </w:tcPr>
          <w:p w14:paraId="6DDED161">
            <w:pPr>
              <w:pStyle w:val="445"/>
              <w:rPr>
                <w:rFonts w:cs="Times New Roman"/>
                <w:kern w:val="0"/>
                <w:szCs w:val="18"/>
              </w:rPr>
            </w:pPr>
            <w:r>
              <w:rPr>
                <w:rFonts w:hint="eastAsia" w:cs="Times New Roman"/>
                <w:kern w:val="0"/>
                <w:szCs w:val="18"/>
              </w:rPr>
              <w:t>有机废气</w:t>
            </w:r>
            <w:r>
              <w:rPr>
                <w:rFonts w:cs="Times New Roman"/>
                <w:kern w:val="0"/>
                <w:szCs w:val="18"/>
              </w:rPr>
              <w:t>处理系统</w:t>
            </w:r>
          </w:p>
        </w:tc>
        <w:tc>
          <w:tcPr>
            <w:tcW w:w="482" w:type="pct"/>
            <w:vAlign w:val="center"/>
          </w:tcPr>
          <w:p w14:paraId="18135CE5">
            <w:pPr>
              <w:pStyle w:val="445"/>
              <w:rPr>
                <w:rFonts w:cs="Times New Roman"/>
                <w:kern w:val="0"/>
                <w:szCs w:val="20"/>
              </w:rPr>
            </w:pPr>
            <w:r>
              <w:rPr>
                <w:rFonts w:hint="eastAsia" w:cs="Times New Roman"/>
                <w:kern w:val="0"/>
                <w:szCs w:val="20"/>
              </w:rPr>
              <w:t>二级深冷+一级水洗</w:t>
            </w:r>
          </w:p>
        </w:tc>
        <w:tc>
          <w:tcPr>
            <w:tcW w:w="117" w:type="pct"/>
            <w:vMerge w:val="continue"/>
            <w:vAlign w:val="center"/>
          </w:tcPr>
          <w:p w14:paraId="39DF6AF9">
            <w:pPr>
              <w:pStyle w:val="445"/>
              <w:rPr>
                <w:rFonts w:cs="Times New Roman"/>
                <w:kern w:val="0"/>
                <w:szCs w:val="18"/>
              </w:rPr>
            </w:pPr>
          </w:p>
        </w:tc>
        <w:tc>
          <w:tcPr>
            <w:tcW w:w="181" w:type="pct"/>
            <w:vMerge w:val="continue"/>
            <w:vAlign w:val="center"/>
          </w:tcPr>
          <w:p w14:paraId="4B17AB9F">
            <w:pPr>
              <w:pStyle w:val="445"/>
              <w:rPr>
                <w:rFonts w:cs="Times New Roman"/>
                <w:kern w:val="0"/>
                <w:szCs w:val="18"/>
              </w:rPr>
            </w:pPr>
          </w:p>
        </w:tc>
        <w:tc>
          <w:tcPr>
            <w:tcW w:w="149" w:type="pct"/>
            <w:vMerge w:val="continue"/>
            <w:vAlign w:val="center"/>
          </w:tcPr>
          <w:p w14:paraId="661FD271">
            <w:pPr>
              <w:pStyle w:val="445"/>
              <w:rPr>
                <w:rFonts w:cs="Times New Roman"/>
                <w:kern w:val="0"/>
                <w:szCs w:val="18"/>
              </w:rPr>
            </w:pPr>
          </w:p>
        </w:tc>
        <w:tc>
          <w:tcPr>
            <w:tcW w:w="180" w:type="pct"/>
            <w:vMerge w:val="continue"/>
            <w:vAlign w:val="center"/>
          </w:tcPr>
          <w:p w14:paraId="6DD93787">
            <w:pPr>
              <w:pStyle w:val="445"/>
              <w:rPr>
                <w:rFonts w:cs="Times New Roman"/>
                <w:kern w:val="0"/>
                <w:szCs w:val="18"/>
              </w:rPr>
            </w:pPr>
          </w:p>
        </w:tc>
        <w:tc>
          <w:tcPr>
            <w:tcW w:w="141" w:type="pct"/>
            <w:vMerge w:val="continue"/>
            <w:vAlign w:val="center"/>
          </w:tcPr>
          <w:p w14:paraId="41342743">
            <w:pPr>
              <w:pStyle w:val="445"/>
              <w:rPr>
                <w:rFonts w:cs="Times New Roman"/>
                <w:kern w:val="0"/>
                <w:szCs w:val="18"/>
              </w:rPr>
            </w:pPr>
          </w:p>
        </w:tc>
        <w:tc>
          <w:tcPr>
            <w:tcW w:w="164" w:type="pct"/>
            <w:vMerge w:val="continue"/>
            <w:vAlign w:val="center"/>
          </w:tcPr>
          <w:p w14:paraId="08D2FA81">
            <w:pPr>
              <w:pStyle w:val="445"/>
              <w:rPr>
                <w:rFonts w:cs="Times New Roman"/>
                <w:kern w:val="0"/>
                <w:szCs w:val="18"/>
              </w:rPr>
            </w:pPr>
          </w:p>
        </w:tc>
        <w:tc>
          <w:tcPr>
            <w:tcW w:w="217" w:type="pct"/>
            <w:vMerge w:val="continue"/>
            <w:vAlign w:val="center"/>
          </w:tcPr>
          <w:p w14:paraId="20E0CD14">
            <w:pPr>
              <w:pStyle w:val="445"/>
              <w:rPr>
                <w:rFonts w:cs="Times New Roman"/>
                <w:kern w:val="0"/>
                <w:szCs w:val="18"/>
              </w:rPr>
            </w:pPr>
          </w:p>
        </w:tc>
        <w:tc>
          <w:tcPr>
            <w:tcW w:w="148" w:type="pct"/>
            <w:vMerge w:val="continue"/>
            <w:vAlign w:val="center"/>
          </w:tcPr>
          <w:p w14:paraId="6B28442A">
            <w:pPr>
              <w:pStyle w:val="445"/>
              <w:rPr>
                <w:rFonts w:cs="Times New Roman"/>
                <w:kern w:val="0"/>
                <w:szCs w:val="18"/>
              </w:rPr>
            </w:pPr>
          </w:p>
        </w:tc>
        <w:tc>
          <w:tcPr>
            <w:tcW w:w="172" w:type="pct"/>
            <w:vMerge w:val="continue"/>
            <w:vAlign w:val="center"/>
          </w:tcPr>
          <w:p w14:paraId="02CBFF8A">
            <w:pPr>
              <w:pStyle w:val="445"/>
              <w:rPr>
                <w:rFonts w:cs="Times New Roman"/>
                <w:kern w:val="0"/>
                <w:szCs w:val="18"/>
              </w:rPr>
            </w:pPr>
          </w:p>
        </w:tc>
        <w:tc>
          <w:tcPr>
            <w:tcW w:w="125" w:type="pct"/>
            <w:vMerge w:val="continue"/>
            <w:vAlign w:val="center"/>
          </w:tcPr>
          <w:p w14:paraId="67170368">
            <w:pPr>
              <w:pStyle w:val="445"/>
              <w:rPr>
                <w:rFonts w:cs="Times New Roman"/>
                <w:kern w:val="0"/>
                <w:szCs w:val="18"/>
              </w:rPr>
            </w:pPr>
          </w:p>
        </w:tc>
        <w:tc>
          <w:tcPr>
            <w:tcW w:w="116" w:type="pct"/>
            <w:vMerge w:val="continue"/>
            <w:vAlign w:val="center"/>
          </w:tcPr>
          <w:p w14:paraId="78EAA86A">
            <w:pPr>
              <w:pStyle w:val="445"/>
              <w:rPr>
                <w:rFonts w:cs="Times New Roman"/>
                <w:kern w:val="0"/>
                <w:szCs w:val="18"/>
              </w:rPr>
            </w:pPr>
          </w:p>
        </w:tc>
      </w:tr>
      <w:tr w14:paraId="2BA85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02" w:type="pct"/>
            <w:vAlign w:val="center"/>
          </w:tcPr>
          <w:p w14:paraId="407BA7B3">
            <w:pPr>
              <w:pStyle w:val="445"/>
              <w:rPr>
                <w:rFonts w:cs="Times New Roman"/>
                <w:kern w:val="0"/>
                <w:szCs w:val="18"/>
              </w:rPr>
            </w:pPr>
            <w:r>
              <w:rPr>
                <w:rFonts w:hint="eastAsia" w:cs="Times New Roman"/>
                <w:kern w:val="0"/>
                <w:szCs w:val="18"/>
              </w:rPr>
              <w:t>3</w:t>
            </w:r>
          </w:p>
        </w:tc>
        <w:tc>
          <w:tcPr>
            <w:tcW w:w="286" w:type="pct"/>
            <w:vAlign w:val="center"/>
          </w:tcPr>
          <w:p w14:paraId="62DD5C96">
            <w:pPr>
              <w:pStyle w:val="445"/>
              <w:rPr>
                <w:rFonts w:cs="Times New Roman"/>
                <w:kern w:val="0"/>
                <w:szCs w:val="18"/>
              </w:rPr>
            </w:pPr>
            <w:r>
              <w:rPr>
                <w:rFonts w:hint="eastAsia" w:cs="Times New Roman"/>
                <w:kern w:val="0"/>
                <w:szCs w:val="18"/>
              </w:rPr>
              <w:t>反应单元</w:t>
            </w:r>
          </w:p>
        </w:tc>
        <w:tc>
          <w:tcPr>
            <w:tcW w:w="297" w:type="pct"/>
            <w:vAlign w:val="center"/>
          </w:tcPr>
          <w:p w14:paraId="6135C92C">
            <w:pPr>
              <w:pStyle w:val="445"/>
              <w:rPr>
                <w:rFonts w:cs="Times New Roman"/>
                <w:kern w:val="0"/>
                <w:szCs w:val="20"/>
              </w:rPr>
            </w:pPr>
            <w:r>
              <w:rPr>
                <w:rFonts w:cs="Times New Roman"/>
                <w:kern w:val="0"/>
                <w:szCs w:val="20"/>
              </w:rPr>
              <w:t>MF0005</w:t>
            </w:r>
          </w:p>
        </w:tc>
        <w:tc>
          <w:tcPr>
            <w:tcW w:w="599" w:type="pct"/>
            <w:vAlign w:val="center"/>
          </w:tcPr>
          <w:p w14:paraId="67737F4A">
            <w:pPr>
              <w:pStyle w:val="445"/>
              <w:rPr>
                <w:rFonts w:cs="Times New Roman"/>
                <w:kern w:val="0"/>
                <w:szCs w:val="20"/>
                <w:lang w:bidi="ar"/>
              </w:rPr>
            </w:pPr>
            <w:r>
              <w:rPr>
                <w:rFonts w:hint="eastAsia" w:cs="Times New Roman"/>
                <w:kern w:val="0"/>
                <w:szCs w:val="20"/>
                <w:lang w:bidi="ar"/>
              </w:rPr>
              <w:t>反应器</w:t>
            </w:r>
          </w:p>
        </w:tc>
        <w:tc>
          <w:tcPr>
            <w:tcW w:w="223" w:type="pct"/>
            <w:vAlign w:val="center"/>
          </w:tcPr>
          <w:p w14:paraId="54E71FB6">
            <w:pPr>
              <w:pStyle w:val="445"/>
              <w:rPr>
                <w:rFonts w:cs="Times New Roman"/>
                <w:kern w:val="0"/>
                <w:szCs w:val="18"/>
              </w:rPr>
            </w:pPr>
            <w:r>
              <w:rPr>
                <w:rFonts w:hint="eastAsia" w:cs="Times New Roman"/>
                <w:kern w:val="0"/>
                <w:szCs w:val="18"/>
              </w:rPr>
              <w:t>合成</w:t>
            </w:r>
          </w:p>
        </w:tc>
        <w:tc>
          <w:tcPr>
            <w:tcW w:w="779" w:type="pct"/>
            <w:vAlign w:val="center"/>
          </w:tcPr>
          <w:p w14:paraId="41B85D30">
            <w:pPr>
              <w:pStyle w:val="445"/>
              <w:rPr>
                <w:rFonts w:cs="Times New Roman"/>
                <w:kern w:val="0"/>
                <w:szCs w:val="18"/>
              </w:rPr>
            </w:pPr>
            <w:r>
              <w:rPr>
                <w:rFonts w:hint="eastAsia" w:cs="Times New Roman"/>
                <w:kern w:val="0"/>
                <w:szCs w:val="20"/>
              </w:rPr>
              <w:t>甲醇、四甲氧基硅烷、三甲氧基硅烷、甲基三甲氧基硅烷、TVOC</w:t>
            </w:r>
          </w:p>
        </w:tc>
        <w:tc>
          <w:tcPr>
            <w:tcW w:w="117" w:type="pct"/>
            <w:vAlign w:val="center"/>
          </w:tcPr>
          <w:p w14:paraId="58DBCCA2">
            <w:pPr>
              <w:pStyle w:val="445"/>
              <w:rPr>
                <w:rFonts w:cs="Times New Roman"/>
                <w:kern w:val="0"/>
                <w:szCs w:val="18"/>
              </w:rPr>
            </w:pPr>
            <w:r>
              <w:rPr>
                <w:rFonts w:cs="Times New Roman"/>
                <w:kern w:val="0"/>
                <w:szCs w:val="18"/>
              </w:rPr>
              <w:t>有组织</w:t>
            </w:r>
          </w:p>
        </w:tc>
        <w:tc>
          <w:tcPr>
            <w:tcW w:w="213" w:type="pct"/>
            <w:vAlign w:val="center"/>
          </w:tcPr>
          <w:p w14:paraId="034646A9">
            <w:pPr>
              <w:pStyle w:val="445"/>
              <w:rPr>
                <w:rFonts w:cs="Times New Roman"/>
                <w:kern w:val="0"/>
                <w:szCs w:val="18"/>
              </w:rPr>
            </w:pPr>
            <w:r>
              <w:rPr>
                <w:rFonts w:hint="eastAsia" w:cs="Times New Roman"/>
                <w:kern w:val="0"/>
                <w:szCs w:val="18"/>
              </w:rPr>
              <w:t>TA004</w:t>
            </w:r>
          </w:p>
        </w:tc>
        <w:tc>
          <w:tcPr>
            <w:tcW w:w="190" w:type="pct"/>
            <w:vAlign w:val="center"/>
          </w:tcPr>
          <w:p w14:paraId="3A1172C6">
            <w:pPr>
              <w:pStyle w:val="445"/>
              <w:rPr>
                <w:rFonts w:cs="Times New Roman"/>
                <w:kern w:val="0"/>
                <w:szCs w:val="18"/>
              </w:rPr>
            </w:pPr>
            <w:r>
              <w:rPr>
                <w:rFonts w:hint="eastAsia" w:cs="Times New Roman"/>
                <w:kern w:val="0"/>
                <w:szCs w:val="18"/>
              </w:rPr>
              <w:t>有机废气</w:t>
            </w:r>
            <w:r>
              <w:rPr>
                <w:rFonts w:cs="Times New Roman"/>
                <w:kern w:val="0"/>
                <w:szCs w:val="18"/>
              </w:rPr>
              <w:t>处理系统</w:t>
            </w:r>
          </w:p>
        </w:tc>
        <w:tc>
          <w:tcPr>
            <w:tcW w:w="482" w:type="pct"/>
            <w:vAlign w:val="center"/>
          </w:tcPr>
          <w:p w14:paraId="4A6CE44F">
            <w:pPr>
              <w:pStyle w:val="445"/>
              <w:rPr>
                <w:rFonts w:cs="Times New Roman"/>
                <w:kern w:val="0"/>
                <w:szCs w:val="18"/>
              </w:rPr>
            </w:pPr>
            <w:r>
              <w:rPr>
                <w:rFonts w:hint="eastAsia" w:cs="Times New Roman"/>
                <w:kern w:val="0"/>
                <w:szCs w:val="18"/>
              </w:rPr>
              <w:t>两级深冷</w:t>
            </w:r>
          </w:p>
        </w:tc>
        <w:tc>
          <w:tcPr>
            <w:tcW w:w="117" w:type="pct"/>
            <w:vAlign w:val="center"/>
          </w:tcPr>
          <w:p w14:paraId="4E7F7507">
            <w:pPr>
              <w:pStyle w:val="445"/>
              <w:rPr>
                <w:rFonts w:cs="Times New Roman"/>
                <w:kern w:val="0"/>
                <w:szCs w:val="18"/>
              </w:rPr>
            </w:pPr>
            <w:r>
              <w:rPr>
                <w:rFonts w:cs="Times New Roman"/>
                <w:kern w:val="0"/>
                <w:szCs w:val="18"/>
              </w:rPr>
              <w:t>设计风量</w:t>
            </w:r>
          </w:p>
        </w:tc>
        <w:tc>
          <w:tcPr>
            <w:tcW w:w="181" w:type="pct"/>
            <w:vAlign w:val="center"/>
          </w:tcPr>
          <w:p w14:paraId="0AB96E94">
            <w:pPr>
              <w:pStyle w:val="445"/>
              <w:rPr>
                <w:rFonts w:cs="Times New Roman"/>
                <w:kern w:val="0"/>
                <w:szCs w:val="18"/>
              </w:rPr>
            </w:pPr>
            <w:r>
              <w:rPr>
                <w:rFonts w:cs="Times New Roman"/>
                <w:kern w:val="0"/>
                <w:szCs w:val="18"/>
              </w:rPr>
              <w:t>2000</w:t>
            </w:r>
          </w:p>
        </w:tc>
        <w:tc>
          <w:tcPr>
            <w:tcW w:w="149" w:type="pct"/>
            <w:vAlign w:val="center"/>
          </w:tcPr>
          <w:p w14:paraId="06D3DFDD">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093FC854">
            <w:pPr>
              <w:pStyle w:val="445"/>
              <w:rPr>
                <w:rFonts w:cs="Times New Roman"/>
                <w:kern w:val="0"/>
                <w:szCs w:val="18"/>
              </w:rPr>
            </w:pPr>
            <w:r>
              <w:rPr>
                <w:rFonts w:hint="eastAsia" w:cs="Times New Roman"/>
                <w:kern w:val="0"/>
                <w:szCs w:val="18"/>
              </w:rPr>
              <w:t>/</w:t>
            </w:r>
          </w:p>
        </w:tc>
        <w:tc>
          <w:tcPr>
            <w:tcW w:w="141" w:type="pct"/>
            <w:vAlign w:val="center"/>
          </w:tcPr>
          <w:p w14:paraId="6EF4E3FA">
            <w:pPr>
              <w:pStyle w:val="445"/>
              <w:rPr>
                <w:rFonts w:cs="Times New Roman"/>
                <w:kern w:val="0"/>
                <w:szCs w:val="18"/>
              </w:rPr>
            </w:pPr>
            <w:r>
              <w:rPr>
                <w:rFonts w:cs="Times New Roman"/>
                <w:kern w:val="0"/>
                <w:szCs w:val="18"/>
              </w:rPr>
              <w:t>是</w:t>
            </w:r>
          </w:p>
        </w:tc>
        <w:tc>
          <w:tcPr>
            <w:tcW w:w="164" w:type="pct"/>
            <w:vAlign w:val="center"/>
          </w:tcPr>
          <w:p w14:paraId="43DAE721">
            <w:pPr>
              <w:pStyle w:val="445"/>
              <w:rPr>
                <w:rFonts w:cs="Times New Roman"/>
                <w:kern w:val="0"/>
                <w:szCs w:val="18"/>
              </w:rPr>
            </w:pPr>
            <w:r>
              <w:rPr>
                <w:rFonts w:hint="eastAsia" w:cs="Times New Roman"/>
                <w:kern w:val="0"/>
                <w:szCs w:val="18"/>
              </w:rPr>
              <w:t>/</w:t>
            </w:r>
          </w:p>
        </w:tc>
        <w:tc>
          <w:tcPr>
            <w:tcW w:w="217" w:type="pct"/>
            <w:vAlign w:val="center"/>
          </w:tcPr>
          <w:p w14:paraId="3FE1B9D3">
            <w:pPr>
              <w:pStyle w:val="445"/>
              <w:rPr>
                <w:rFonts w:cs="Times New Roman"/>
                <w:kern w:val="0"/>
                <w:szCs w:val="18"/>
              </w:rPr>
            </w:pPr>
            <w:r>
              <w:rPr>
                <w:rFonts w:hint="eastAsia" w:cs="Times New Roman"/>
                <w:kern w:val="0"/>
                <w:szCs w:val="18"/>
              </w:rPr>
              <w:t>D</w:t>
            </w:r>
            <w:r>
              <w:rPr>
                <w:rFonts w:cs="Times New Roman"/>
                <w:kern w:val="0"/>
                <w:szCs w:val="18"/>
              </w:rPr>
              <w:t>A020</w:t>
            </w:r>
          </w:p>
        </w:tc>
        <w:tc>
          <w:tcPr>
            <w:tcW w:w="148" w:type="pct"/>
            <w:vAlign w:val="center"/>
          </w:tcPr>
          <w:p w14:paraId="51A2AF84">
            <w:pPr>
              <w:pStyle w:val="445"/>
              <w:rPr>
                <w:rFonts w:cs="Times New Roman"/>
                <w:kern w:val="0"/>
                <w:szCs w:val="18"/>
              </w:rPr>
            </w:pPr>
            <w:r>
              <w:rPr>
                <w:rFonts w:hint="eastAsia" w:cs="Times New Roman"/>
                <w:kern w:val="0"/>
                <w:szCs w:val="18"/>
              </w:rPr>
              <w:t>20</w:t>
            </w:r>
            <w:r>
              <w:rPr>
                <w:rFonts w:cs="Times New Roman"/>
                <w:kern w:val="0"/>
                <w:szCs w:val="18"/>
              </w:rPr>
              <w:t>#排放口</w:t>
            </w:r>
          </w:p>
        </w:tc>
        <w:tc>
          <w:tcPr>
            <w:tcW w:w="172" w:type="pct"/>
            <w:vAlign w:val="center"/>
          </w:tcPr>
          <w:p w14:paraId="693428F4">
            <w:pPr>
              <w:pStyle w:val="445"/>
              <w:rPr>
                <w:rFonts w:cs="Times New Roman"/>
                <w:kern w:val="0"/>
                <w:szCs w:val="18"/>
              </w:rPr>
            </w:pPr>
            <w:r>
              <w:rPr>
                <w:rFonts w:cs="Times New Roman"/>
                <w:kern w:val="0"/>
                <w:szCs w:val="18"/>
              </w:rPr>
              <w:t>是</w:t>
            </w:r>
          </w:p>
        </w:tc>
        <w:tc>
          <w:tcPr>
            <w:tcW w:w="125" w:type="pct"/>
            <w:vAlign w:val="center"/>
          </w:tcPr>
          <w:p w14:paraId="1113F5DB">
            <w:pPr>
              <w:pStyle w:val="445"/>
              <w:rPr>
                <w:rFonts w:cs="Times New Roman"/>
                <w:kern w:val="0"/>
                <w:szCs w:val="18"/>
              </w:rPr>
            </w:pPr>
            <w:r>
              <w:rPr>
                <w:rFonts w:hint="eastAsia" w:cs="Times New Roman"/>
                <w:kern w:val="0"/>
                <w:szCs w:val="18"/>
              </w:rPr>
              <w:t>主要</w:t>
            </w:r>
            <w:r>
              <w:rPr>
                <w:rFonts w:cs="Times New Roman"/>
                <w:kern w:val="0"/>
                <w:szCs w:val="18"/>
              </w:rPr>
              <w:t>排放口</w:t>
            </w:r>
          </w:p>
        </w:tc>
        <w:tc>
          <w:tcPr>
            <w:tcW w:w="116" w:type="pct"/>
            <w:vMerge w:val="continue"/>
            <w:vAlign w:val="center"/>
          </w:tcPr>
          <w:p w14:paraId="45CB8489">
            <w:pPr>
              <w:pStyle w:val="445"/>
              <w:rPr>
                <w:rFonts w:cs="Times New Roman"/>
                <w:kern w:val="0"/>
                <w:szCs w:val="18"/>
              </w:rPr>
            </w:pPr>
          </w:p>
        </w:tc>
      </w:tr>
      <w:tr w14:paraId="5A0D6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02" w:type="pct"/>
            <w:vAlign w:val="center"/>
          </w:tcPr>
          <w:p w14:paraId="688548FF">
            <w:pPr>
              <w:pStyle w:val="445"/>
              <w:rPr>
                <w:rFonts w:cs="Times New Roman"/>
                <w:kern w:val="0"/>
                <w:szCs w:val="18"/>
              </w:rPr>
            </w:pPr>
            <w:r>
              <w:rPr>
                <w:rFonts w:hint="eastAsia" w:cs="Times New Roman"/>
                <w:kern w:val="0"/>
                <w:szCs w:val="18"/>
              </w:rPr>
              <w:t>5</w:t>
            </w:r>
          </w:p>
        </w:tc>
        <w:tc>
          <w:tcPr>
            <w:tcW w:w="286" w:type="pct"/>
            <w:vAlign w:val="center"/>
          </w:tcPr>
          <w:p w14:paraId="5C4E5F70">
            <w:pPr>
              <w:pStyle w:val="445"/>
              <w:rPr>
                <w:rFonts w:cs="Times New Roman"/>
                <w:kern w:val="0"/>
                <w:szCs w:val="18"/>
              </w:rPr>
            </w:pPr>
            <w:r>
              <w:rPr>
                <w:rFonts w:hint="eastAsia" w:cs="Times New Roman"/>
                <w:kern w:val="0"/>
                <w:szCs w:val="18"/>
              </w:rPr>
              <w:t>反应单元</w:t>
            </w:r>
          </w:p>
        </w:tc>
        <w:tc>
          <w:tcPr>
            <w:tcW w:w="297" w:type="pct"/>
            <w:vAlign w:val="center"/>
          </w:tcPr>
          <w:p w14:paraId="45B02EBE">
            <w:pPr>
              <w:pStyle w:val="445"/>
              <w:rPr>
                <w:rFonts w:cs="Times New Roman"/>
                <w:kern w:val="0"/>
                <w:szCs w:val="20"/>
              </w:rPr>
            </w:pPr>
            <w:r>
              <w:rPr>
                <w:rFonts w:hint="eastAsia" w:cs="Times New Roman"/>
                <w:kern w:val="0"/>
                <w:szCs w:val="20"/>
              </w:rPr>
              <w:t>MF0008</w:t>
            </w:r>
            <w:r>
              <w:rPr>
                <w:rFonts w:cs="Times New Roman"/>
                <w:kern w:val="0"/>
                <w:szCs w:val="20"/>
              </w:rPr>
              <w:t>-16</w:t>
            </w:r>
          </w:p>
        </w:tc>
        <w:tc>
          <w:tcPr>
            <w:tcW w:w="599" w:type="pct"/>
            <w:vAlign w:val="center"/>
          </w:tcPr>
          <w:p w14:paraId="12FE0DD0">
            <w:pPr>
              <w:pStyle w:val="445"/>
              <w:rPr>
                <w:rFonts w:cs="Times New Roman"/>
                <w:kern w:val="0"/>
                <w:szCs w:val="20"/>
                <w:lang w:bidi="ar"/>
              </w:rPr>
            </w:pPr>
            <w:r>
              <w:rPr>
                <w:rFonts w:cs="Times New Roman"/>
                <w:kern w:val="0"/>
                <w:szCs w:val="20"/>
              </w:rPr>
              <w:t>水解反应釜</w:t>
            </w:r>
          </w:p>
        </w:tc>
        <w:tc>
          <w:tcPr>
            <w:tcW w:w="223" w:type="pct"/>
            <w:vAlign w:val="center"/>
          </w:tcPr>
          <w:p w14:paraId="37648F6C">
            <w:pPr>
              <w:pStyle w:val="445"/>
              <w:rPr>
                <w:rFonts w:cs="Times New Roman"/>
                <w:kern w:val="0"/>
                <w:szCs w:val="18"/>
              </w:rPr>
            </w:pPr>
            <w:r>
              <w:rPr>
                <w:rFonts w:hint="eastAsia" w:cs="Times New Roman"/>
                <w:kern w:val="0"/>
                <w:szCs w:val="18"/>
              </w:rPr>
              <w:t>水解</w:t>
            </w:r>
          </w:p>
        </w:tc>
        <w:tc>
          <w:tcPr>
            <w:tcW w:w="779" w:type="pct"/>
            <w:vAlign w:val="center"/>
          </w:tcPr>
          <w:p w14:paraId="27DEF82E">
            <w:pPr>
              <w:pStyle w:val="445"/>
              <w:rPr>
                <w:rFonts w:cs="Times New Roman"/>
                <w:kern w:val="0"/>
                <w:szCs w:val="18"/>
              </w:rPr>
            </w:pPr>
            <w:r>
              <w:rPr>
                <w:rFonts w:cs="Times New Roman"/>
                <w:kern w:val="0"/>
                <w:szCs w:val="20"/>
              </w:rPr>
              <w:t>NH</w:t>
            </w:r>
            <w:r>
              <w:rPr>
                <w:rFonts w:cs="Times New Roman"/>
                <w:kern w:val="0"/>
                <w:szCs w:val="20"/>
                <w:vertAlign w:val="subscript"/>
              </w:rPr>
              <w:t>3</w:t>
            </w:r>
            <w:r>
              <w:rPr>
                <w:rFonts w:hint="eastAsia" w:cs="Times New Roman"/>
                <w:kern w:val="0"/>
                <w:szCs w:val="20"/>
              </w:rPr>
              <w:t>、甲醇</w:t>
            </w:r>
            <w:r>
              <w:rPr>
                <w:rFonts w:cs="Times New Roman"/>
                <w:kern w:val="0"/>
                <w:szCs w:val="20"/>
              </w:rPr>
              <w:t>、</w:t>
            </w:r>
            <w:r>
              <w:rPr>
                <w:rFonts w:hint="eastAsia" w:cs="Times New Roman"/>
                <w:kern w:val="0"/>
                <w:szCs w:val="20"/>
              </w:rPr>
              <w:t>TVOC</w:t>
            </w:r>
          </w:p>
        </w:tc>
        <w:tc>
          <w:tcPr>
            <w:tcW w:w="117" w:type="pct"/>
            <w:vAlign w:val="center"/>
          </w:tcPr>
          <w:p w14:paraId="2FE3BD4D">
            <w:pPr>
              <w:pStyle w:val="445"/>
              <w:rPr>
                <w:rFonts w:cs="Times New Roman"/>
                <w:kern w:val="0"/>
                <w:szCs w:val="18"/>
              </w:rPr>
            </w:pPr>
            <w:r>
              <w:rPr>
                <w:rFonts w:hint="eastAsia" w:cs="Times New Roman"/>
                <w:kern w:val="0"/>
                <w:szCs w:val="18"/>
              </w:rPr>
              <w:t>有组织</w:t>
            </w:r>
          </w:p>
        </w:tc>
        <w:tc>
          <w:tcPr>
            <w:tcW w:w="213" w:type="pct"/>
            <w:vAlign w:val="center"/>
          </w:tcPr>
          <w:p w14:paraId="4EE1FC7A">
            <w:pPr>
              <w:pStyle w:val="445"/>
              <w:rPr>
                <w:rFonts w:cs="Times New Roman"/>
                <w:kern w:val="0"/>
                <w:szCs w:val="18"/>
              </w:rPr>
            </w:pPr>
            <w:r>
              <w:rPr>
                <w:rFonts w:hint="eastAsia" w:cs="Times New Roman"/>
                <w:kern w:val="0"/>
                <w:szCs w:val="18"/>
              </w:rPr>
              <w:t>TA00</w:t>
            </w:r>
            <w:r>
              <w:rPr>
                <w:rFonts w:cs="Times New Roman"/>
                <w:kern w:val="0"/>
                <w:szCs w:val="18"/>
              </w:rPr>
              <w:t>5</w:t>
            </w:r>
          </w:p>
        </w:tc>
        <w:tc>
          <w:tcPr>
            <w:tcW w:w="190" w:type="pct"/>
            <w:vAlign w:val="center"/>
          </w:tcPr>
          <w:p w14:paraId="4E9FB56D">
            <w:pPr>
              <w:pStyle w:val="445"/>
              <w:rPr>
                <w:rFonts w:cs="Times New Roman"/>
                <w:kern w:val="0"/>
                <w:szCs w:val="18"/>
              </w:rPr>
            </w:pPr>
            <w:r>
              <w:rPr>
                <w:rFonts w:hint="eastAsia" w:cs="Times New Roman"/>
                <w:kern w:val="0"/>
                <w:szCs w:val="18"/>
              </w:rPr>
              <w:t>含氨废气</w:t>
            </w:r>
            <w:r>
              <w:rPr>
                <w:rFonts w:cs="Times New Roman"/>
                <w:kern w:val="0"/>
                <w:szCs w:val="18"/>
              </w:rPr>
              <w:t>处理系统</w:t>
            </w:r>
          </w:p>
        </w:tc>
        <w:tc>
          <w:tcPr>
            <w:tcW w:w="482" w:type="pct"/>
            <w:vAlign w:val="center"/>
          </w:tcPr>
          <w:p w14:paraId="60000005">
            <w:pPr>
              <w:pStyle w:val="445"/>
              <w:rPr>
                <w:rFonts w:cs="Times New Roman"/>
                <w:kern w:val="0"/>
                <w:szCs w:val="18"/>
              </w:rPr>
            </w:pPr>
            <w:r>
              <w:rPr>
                <w:rFonts w:hint="eastAsia" w:cs="Times New Roman"/>
                <w:kern w:val="0"/>
                <w:szCs w:val="20"/>
              </w:rPr>
              <w:t>一级水洗</w:t>
            </w:r>
            <w:r>
              <w:rPr>
                <w:rFonts w:cs="Times New Roman"/>
                <w:kern w:val="0"/>
                <w:szCs w:val="20"/>
              </w:rPr>
              <w:t>+</w:t>
            </w:r>
            <w:r>
              <w:rPr>
                <w:rFonts w:hint="eastAsia" w:cs="Times New Roman"/>
                <w:kern w:val="0"/>
                <w:szCs w:val="20"/>
              </w:rPr>
              <w:t>一级酸洗</w:t>
            </w:r>
          </w:p>
        </w:tc>
        <w:tc>
          <w:tcPr>
            <w:tcW w:w="117" w:type="pct"/>
            <w:vAlign w:val="center"/>
          </w:tcPr>
          <w:p w14:paraId="7B0DAF75">
            <w:pPr>
              <w:pStyle w:val="445"/>
              <w:rPr>
                <w:rFonts w:cs="Times New Roman"/>
                <w:kern w:val="0"/>
                <w:szCs w:val="18"/>
              </w:rPr>
            </w:pPr>
            <w:r>
              <w:rPr>
                <w:rFonts w:cs="Times New Roman"/>
                <w:kern w:val="0"/>
                <w:szCs w:val="18"/>
              </w:rPr>
              <w:t>设计风量</w:t>
            </w:r>
          </w:p>
        </w:tc>
        <w:tc>
          <w:tcPr>
            <w:tcW w:w="181" w:type="pct"/>
            <w:vAlign w:val="center"/>
          </w:tcPr>
          <w:p w14:paraId="57110E11">
            <w:pPr>
              <w:pStyle w:val="445"/>
              <w:rPr>
                <w:rFonts w:cs="Times New Roman"/>
                <w:kern w:val="0"/>
                <w:szCs w:val="18"/>
              </w:rPr>
            </w:pPr>
            <w:r>
              <w:rPr>
                <w:rFonts w:cs="Times New Roman"/>
                <w:kern w:val="0"/>
                <w:szCs w:val="18"/>
              </w:rPr>
              <w:t>400</w:t>
            </w:r>
          </w:p>
        </w:tc>
        <w:tc>
          <w:tcPr>
            <w:tcW w:w="149" w:type="pct"/>
            <w:vAlign w:val="center"/>
          </w:tcPr>
          <w:p w14:paraId="4455980A">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22B686C2">
            <w:pPr>
              <w:pStyle w:val="445"/>
              <w:rPr>
                <w:rFonts w:cs="Times New Roman"/>
                <w:kern w:val="0"/>
                <w:szCs w:val="18"/>
              </w:rPr>
            </w:pPr>
            <w:r>
              <w:rPr>
                <w:rFonts w:hint="eastAsia" w:cs="Times New Roman"/>
                <w:kern w:val="0"/>
                <w:szCs w:val="18"/>
              </w:rPr>
              <w:t>/</w:t>
            </w:r>
          </w:p>
        </w:tc>
        <w:tc>
          <w:tcPr>
            <w:tcW w:w="141" w:type="pct"/>
            <w:vAlign w:val="center"/>
          </w:tcPr>
          <w:p w14:paraId="4F5C931F">
            <w:pPr>
              <w:pStyle w:val="445"/>
              <w:rPr>
                <w:rFonts w:cs="Times New Roman"/>
                <w:kern w:val="0"/>
                <w:szCs w:val="18"/>
              </w:rPr>
            </w:pPr>
            <w:r>
              <w:rPr>
                <w:rFonts w:cs="Times New Roman"/>
                <w:kern w:val="0"/>
                <w:szCs w:val="18"/>
              </w:rPr>
              <w:t>是</w:t>
            </w:r>
          </w:p>
        </w:tc>
        <w:tc>
          <w:tcPr>
            <w:tcW w:w="164" w:type="pct"/>
            <w:vAlign w:val="center"/>
          </w:tcPr>
          <w:p w14:paraId="2D84F384">
            <w:pPr>
              <w:pStyle w:val="445"/>
              <w:rPr>
                <w:rFonts w:cs="Times New Roman"/>
                <w:kern w:val="0"/>
                <w:szCs w:val="18"/>
              </w:rPr>
            </w:pPr>
            <w:r>
              <w:rPr>
                <w:rFonts w:hint="eastAsia" w:cs="Times New Roman"/>
                <w:kern w:val="0"/>
                <w:szCs w:val="18"/>
              </w:rPr>
              <w:t>/</w:t>
            </w:r>
          </w:p>
        </w:tc>
        <w:tc>
          <w:tcPr>
            <w:tcW w:w="217" w:type="pct"/>
            <w:vAlign w:val="center"/>
          </w:tcPr>
          <w:p w14:paraId="607ECDF7">
            <w:pPr>
              <w:pStyle w:val="445"/>
              <w:rPr>
                <w:rFonts w:cs="Times New Roman"/>
                <w:kern w:val="0"/>
                <w:szCs w:val="18"/>
              </w:rPr>
            </w:pPr>
            <w:r>
              <w:rPr>
                <w:rFonts w:hint="eastAsia" w:cs="Times New Roman"/>
                <w:kern w:val="0"/>
                <w:szCs w:val="18"/>
              </w:rPr>
              <w:t>D</w:t>
            </w:r>
            <w:r>
              <w:rPr>
                <w:rFonts w:cs="Times New Roman"/>
                <w:kern w:val="0"/>
                <w:szCs w:val="18"/>
              </w:rPr>
              <w:t>A022</w:t>
            </w:r>
          </w:p>
        </w:tc>
        <w:tc>
          <w:tcPr>
            <w:tcW w:w="148" w:type="pct"/>
            <w:vAlign w:val="center"/>
          </w:tcPr>
          <w:p w14:paraId="7BB073B7">
            <w:pPr>
              <w:pStyle w:val="445"/>
              <w:rPr>
                <w:rFonts w:cs="Times New Roman"/>
                <w:kern w:val="0"/>
                <w:szCs w:val="18"/>
              </w:rPr>
            </w:pPr>
            <w:r>
              <w:rPr>
                <w:rFonts w:cs="Times New Roman"/>
                <w:kern w:val="0"/>
                <w:szCs w:val="18"/>
              </w:rPr>
              <w:t>22#排放口</w:t>
            </w:r>
          </w:p>
        </w:tc>
        <w:tc>
          <w:tcPr>
            <w:tcW w:w="172" w:type="pct"/>
            <w:vAlign w:val="center"/>
          </w:tcPr>
          <w:p w14:paraId="3B541E67">
            <w:pPr>
              <w:pStyle w:val="445"/>
              <w:rPr>
                <w:rFonts w:cs="Times New Roman"/>
                <w:kern w:val="0"/>
                <w:szCs w:val="18"/>
              </w:rPr>
            </w:pPr>
            <w:r>
              <w:rPr>
                <w:rFonts w:cs="Times New Roman"/>
                <w:kern w:val="0"/>
                <w:szCs w:val="18"/>
              </w:rPr>
              <w:t>是</w:t>
            </w:r>
          </w:p>
        </w:tc>
        <w:tc>
          <w:tcPr>
            <w:tcW w:w="125" w:type="pct"/>
            <w:vAlign w:val="center"/>
          </w:tcPr>
          <w:p w14:paraId="251F370D">
            <w:pPr>
              <w:pStyle w:val="445"/>
              <w:rPr>
                <w:rFonts w:cs="Times New Roman"/>
                <w:kern w:val="0"/>
                <w:szCs w:val="18"/>
              </w:rPr>
            </w:pPr>
            <w:r>
              <w:rPr>
                <w:rFonts w:hint="eastAsia" w:cs="Times New Roman"/>
                <w:kern w:val="0"/>
                <w:szCs w:val="18"/>
              </w:rPr>
              <w:t>一般</w:t>
            </w:r>
            <w:r>
              <w:rPr>
                <w:rFonts w:cs="Times New Roman"/>
                <w:kern w:val="0"/>
                <w:szCs w:val="18"/>
              </w:rPr>
              <w:t>排放口</w:t>
            </w:r>
          </w:p>
        </w:tc>
        <w:tc>
          <w:tcPr>
            <w:tcW w:w="116" w:type="pct"/>
            <w:vMerge w:val="continue"/>
            <w:vAlign w:val="center"/>
          </w:tcPr>
          <w:p w14:paraId="398FBB33">
            <w:pPr>
              <w:pStyle w:val="445"/>
              <w:rPr>
                <w:rFonts w:cs="Times New Roman"/>
                <w:kern w:val="0"/>
                <w:szCs w:val="18"/>
              </w:rPr>
            </w:pPr>
          </w:p>
        </w:tc>
      </w:tr>
      <w:tr w14:paraId="7B57C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800" w:hRule="atLeast"/>
        </w:trPr>
        <w:tc>
          <w:tcPr>
            <w:tcW w:w="102" w:type="pct"/>
            <w:vAlign w:val="center"/>
          </w:tcPr>
          <w:p w14:paraId="4F1B4CFA">
            <w:pPr>
              <w:pStyle w:val="445"/>
              <w:rPr>
                <w:rFonts w:cs="Times New Roman"/>
                <w:kern w:val="0"/>
                <w:szCs w:val="18"/>
              </w:rPr>
            </w:pPr>
            <w:r>
              <w:rPr>
                <w:rFonts w:hint="eastAsia" w:cs="Times New Roman"/>
                <w:kern w:val="0"/>
                <w:szCs w:val="18"/>
              </w:rPr>
              <w:t>6</w:t>
            </w:r>
          </w:p>
        </w:tc>
        <w:tc>
          <w:tcPr>
            <w:tcW w:w="286" w:type="pct"/>
            <w:vAlign w:val="center"/>
          </w:tcPr>
          <w:p w14:paraId="6564EFF4">
            <w:pPr>
              <w:pStyle w:val="445"/>
              <w:rPr>
                <w:rFonts w:cs="Times New Roman"/>
                <w:kern w:val="0"/>
                <w:szCs w:val="18"/>
              </w:rPr>
            </w:pPr>
            <w:r>
              <w:rPr>
                <w:rFonts w:hint="eastAsia" w:cs="Times New Roman"/>
                <w:kern w:val="0"/>
                <w:szCs w:val="18"/>
              </w:rPr>
              <w:t>反应</w:t>
            </w:r>
            <w:r>
              <w:rPr>
                <w:rFonts w:cs="Times New Roman"/>
                <w:kern w:val="0"/>
                <w:szCs w:val="18"/>
              </w:rPr>
              <w:t>单元</w:t>
            </w:r>
          </w:p>
        </w:tc>
        <w:tc>
          <w:tcPr>
            <w:tcW w:w="297" w:type="pct"/>
            <w:vAlign w:val="center"/>
          </w:tcPr>
          <w:p w14:paraId="6C565B60">
            <w:pPr>
              <w:pStyle w:val="445"/>
              <w:rPr>
                <w:rFonts w:cs="Times New Roman"/>
                <w:kern w:val="0"/>
                <w:szCs w:val="20"/>
              </w:rPr>
            </w:pPr>
            <w:r>
              <w:rPr>
                <w:rFonts w:cs="Times New Roman"/>
                <w:kern w:val="0"/>
                <w:szCs w:val="20"/>
              </w:rPr>
              <w:t>MF0023-25</w:t>
            </w:r>
          </w:p>
        </w:tc>
        <w:tc>
          <w:tcPr>
            <w:tcW w:w="599" w:type="pct"/>
            <w:vAlign w:val="center"/>
          </w:tcPr>
          <w:p w14:paraId="47FC55C1">
            <w:pPr>
              <w:pStyle w:val="445"/>
              <w:rPr>
                <w:rFonts w:cs="Times New Roman"/>
                <w:kern w:val="0"/>
                <w:szCs w:val="20"/>
              </w:rPr>
            </w:pPr>
            <w:r>
              <w:rPr>
                <w:rFonts w:hint="eastAsia" w:cs="Times New Roman"/>
                <w:kern w:val="0"/>
                <w:szCs w:val="20"/>
              </w:rPr>
              <w:t>反应器</w:t>
            </w:r>
          </w:p>
        </w:tc>
        <w:tc>
          <w:tcPr>
            <w:tcW w:w="223" w:type="pct"/>
            <w:vAlign w:val="center"/>
          </w:tcPr>
          <w:p w14:paraId="3672ABE6">
            <w:pPr>
              <w:pStyle w:val="445"/>
              <w:rPr>
                <w:rFonts w:cs="Times New Roman"/>
                <w:kern w:val="0"/>
                <w:szCs w:val="18"/>
              </w:rPr>
            </w:pPr>
            <w:r>
              <w:rPr>
                <w:rFonts w:hint="eastAsia" w:cs="Times New Roman"/>
                <w:kern w:val="0"/>
                <w:szCs w:val="18"/>
              </w:rPr>
              <w:t>合成</w:t>
            </w:r>
          </w:p>
        </w:tc>
        <w:tc>
          <w:tcPr>
            <w:tcW w:w="779" w:type="pct"/>
            <w:vAlign w:val="center"/>
          </w:tcPr>
          <w:p w14:paraId="683967C6">
            <w:pPr>
              <w:pStyle w:val="445"/>
              <w:rPr>
                <w:rFonts w:cs="Times New Roman"/>
                <w:kern w:val="0"/>
                <w:szCs w:val="20"/>
              </w:rPr>
            </w:pPr>
            <w:r>
              <w:rPr>
                <w:rFonts w:hint="eastAsia" w:cs="Times New Roman"/>
                <w:kern w:val="0"/>
                <w:szCs w:val="20"/>
              </w:rPr>
              <w:t>甲醇、三甲氧基硅烷、乙炔、TVOC</w:t>
            </w:r>
          </w:p>
        </w:tc>
        <w:tc>
          <w:tcPr>
            <w:tcW w:w="117" w:type="pct"/>
            <w:vAlign w:val="center"/>
          </w:tcPr>
          <w:p w14:paraId="7D4F133B">
            <w:pPr>
              <w:pStyle w:val="445"/>
              <w:rPr>
                <w:rFonts w:cs="Times New Roman"/>
                <w:kern w:val="0"/>
                <w:szCs w:val="18"/>
              </w:rPr>
            </w:pPr>
            <w:r>
              <w:rPr>
                <w:rFonts w:hint="eastAsia" w:cs="Times New Roman"/>
                <w:kern w:val="0"/>
                <w:szCs w:val="18"/>
              </w:rPr>
              <w:t>有组织</w:t>
            </w:r>
          </w:p>
        </w:tc>
        <w:tc>
          <w:tcPr>
            <w:tcW w:w="213" w:type="pct"/>
            <w:vAlign w:val="center"/>
          </w:tcPr>
          <w:p w14:paraId="5DA1CBBF">
            <w:pPr>
              <w:pStyle w:val="445"/>
              <w:rPr>
                <w:rFonts w:cs="Times New Roman"/>
                <w:kern w:val="0"/>
                <w:szCs w:val="18"/>
              </w:rPr>
            </w:pPr>
            <w:r>
              <w:rPr>
                <w:rFonts w:hint="eastAsia" w:cs="Times New Roman"/>
                <w:kern w:val="0"/>
                <w:szCs w:val="18"/>
              </w:rPr>
              <w:t>TA00</w:t>
            </w:r>
            <w:r>
              <w:rPr>
                <w:rFonts w:cs="Times New Roman"/>
                <w:kern w:val="0"/>
                <w:szCs w:val="18"/>
              </w:rPr>
              <w:t>6</w:t>
            </w:r>
          </w:p>
        </w:tc>
        <w:tc>
          <w:tcPr>
            <w:tcW w:w="190" w:type="pct"/>
            <w:vAlign w:val="center"/>
          </w:tcPr>
          <w:p w14:paraId="23124E68">
            <w:pPr>
              <w:pStyle w:val="445"/>
              <w:rPr>
                <w:rFonts w:cs="Times New Roman"/>
                <w:kern w:val="0"/>
                <w:szCs w:val="18"/>
              </w:rPr>
            </w:pPr>
            <w:r>
              <w:rPr>
                <w:rFonts w:hint="eastAsia" w:cs="Times New Roman"/>
                <w:kern w:val="0"/>
                <w:szCs w:val="18"/>
              </w:rPr>
              <w:t>有机废气</w:t>
            </w:r>
            <w:r>
              <w:rPr>
                <w:rFonts w:cs="Times New Roman"/>
                <w:kern w:val="0"/>
                <w:szCs w:val="18"/>
              </w:rPr>
              <w:t>处理系统</w:t>
            </w:r>
          </w:p>
        </w:tc>
        <w:tc>
          <w:tcPr>
            <w:tcW w:w="482" w:type="pct"/>
            <w:vAlign w:val="center"/>
          </w:tcPr>
          <w:p w14:paraId="1056B477">
            <w:pPr>
              <w:pStyle w:val="445"/>
              <w:rPr>
                <w:rFonts w:cs="Times New Roman"/>
                <w:kern w:val="0"/>
                <w:szCs w:val="20"/>
              </w:rPr>
            </w:pPr>
            <w:r>
              <w:rPr>
                <w:rFonts w:hint="eastAsia" w:cs="Times New Roman"/>
                <w:kern w:val="0"/>
                <w:szCs w:val="18"/>
              </w:rPr>
              <w:t>一级深冷+</w:t>
            </w:r>
            <w:r>
              <w:rPr>
                <w:rFonts w:hint="eastAsia" w:cs="Times New Roman"/>
                <w:kern w:val="0"/>
                <w:szCs w:val="20"/>
              </w:rPr>
              <w:t>一级</w:t>
            </w:r>
            <w:r>
              <w:rPr>
                <w:rFonts w:hint="eastAsia" w:cs="Times New Roman"/>
                <w:kern w:val="0"/>
                <w:szCs w:val="18"/>
              </w:rPr>
              <w:t>活性炭吸附</w:t>
            </w:r>
          </w:p>
        </w:tc>
        <w:tc>
          <w:tcPr>
            <w:tcW w:w="117" w:type="pct"/>
            <w:vAlign w:val="center"/>
          </w:tcPr>
          <w:p w14:paraId="6955F40C">
            <w:pPr>
              <w:pStyle w:val="445"/>
              <w:rPr>
                <w:rFonts w:cs="Times New Roman"/>
                <w:kern w:val="0"/>
                <w:szCs w:val="18"/>
              </w:rPr>
            </w:pPr>
            <w:r>
              <w:rPr>
                <w:rFonts w:cs="Times New Roman"/>
                <w:kern w:val="0"/>
                <w:szCs w:val="18"/>
              </w:rPr>
              <w:t>设计风量</w:t>
            </w:r>
          </w:p>
        </w:tc>
        <w:tc>
          <w:tcPr>
            <w:tcW w:w="181" w:type="pct"/>
            <w:vAlign w:val="center"/>
          </w:tcPr>
          <w:p w14:paraId="218060C1">
            <w:pPr>
              <w:pStyle w:val="445"/>
              <w:rPr>
                <w:rFonts w:cs="Times New Roman"/>
                <w:kern w:val="0"/>
                <w:szCs w:val="18"/>
              </w:rPr>
            </w:pPr>
            <w:r>
              <w:rPr>
                <w:rFonts w:cs="Times New Roman"/>
                <w:kern w:val="0"/>
                <w:szCs w:val="18"/>
              </w:rPr>
              <w:t>400</w:t>
            </w:r>
          </w:p>
        </w:tc>
        <w:tc>
          <w:tcPr>
            <w:tcW w:w="149" w:type="pct"/>
            <w:vAlign w:val="center"/>
          </w:tcPr>
          <w:p w14:paraId="550C9145">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5E2DF701">
            <w:pPr>
              <w:pStyle w:val="445"/>
              <w:rPr>
                <w:rFonts w:cs="Times New Roman"/>
                <w:kern w:val="0"/>
                <w:szCs w:val="18"/>
              </w:rPr>
            </w:pPr>
            <w:r>
              <w:rPr>
                <w:rFonts w:hint="eastAsia" w:cs="Times New Roman"/>
                <w:kern w:val="0"/>
                <w:szCs w:val="18"/>
              </w:rPr>
              <w:t>/</w:t>
            </w:r>
          </w:p>
        </w:tc>
        <w:tc>
          <w:tcPr>
            <w:tcW w:w="141" w:type="pct"/>
            <w:vAlign w:val="center"/>
          </w:tcPr>
          <w:p w14:paraId="2469D3A2">
            <w:pPr>
              <w:pStyle w:val="445"/>
              <w:rPr>
                <w:rFonts w:cs="Times New Roman"/>
                <w:kern w:val="0"/>
                <w:szCs w:val="18"/>
              </w:rPr>
            </w:pPr>
            <w:r>
              <w:rPr>
                <w:rFonts w:cs="Times New Roman"/>
                <w:kern w:val="0"/>
                <w:szCs w:val="18"/>
              </w:rPr>
              <w:t>是</w:t>
            </w:r>
          </w:p>
        </w:tc>
        <w:tc>
          <w:tcPr>
            <w:tcW w:w="164" w:type="pct"/>
            <w:vAlign w:val="center"/>
          </w:tcPr>
          <w:p w14:paraId="0AE8A168">
            <w:pPr>
              <w:pStyle w:val="445"/>
              <w:rPr>
                <w:rFonts w:cs="Times New Roman"/>
                <w:kern w:val="0"/>
                <w:szCs w:val="18"/>
              </w:rPr>
            </w:pPr>
            <w:r>
              <w:rPr>
                <w:rFonts w:hint="eastAsia" w:cs="Times New Roman"/>
                <w:kern w:val="0"/>
                <w:szCs w:val="18"/>
              </w:rPr>
              <w:t>/</w:t>
            </w:r>
          </w:p>
        </w:tc>
        <w:tc>
          <w:tcPr>
            <w:tcW w:w="217" w:type="pct"/>
            <w:vAlign w:val="center"/>
          </w:tcPr>
          <w:p w14:paraId="1984C510">
            <w:pPr>
              <w:pStyle w:val="445"/>
              <w:rPr>
                <w:rFonts w:cs="Times New Roman"/>
                <w:kern w:val="0"/>
                <w:szCs w:val="18"/>
              </w:rPr>
            </w:pPr>
            <w:r>
              <w:rPr>
                <w:rFonts w:hint="eastAsia" w:cs="Times New Roman"/>
                <w:kern w:val="0"/>
                <w:szCs w:val="18"/>
              </w:rPr>
              <w:t>D</w:t>
            </w:r>
            <w:r>
              <w:rPr>
                <w:rFonts w:cs="Times New Roman"/>
                <w:kern w:val="0"/>
                <w:szCs w:val="18"/>
              </w:rPr>
              <w:t>A034</w:t>
            </w:r>
          </w:p>
        </w:tc>
        <w:tc>
          <w:tcPr>
            <w:tcW w:w="148" w:type="pct"/>
            <w:vAlign w:val="center"/>
          </w:tcPr>
          <w:p w14:paraId="1588A5B8">
            <w:pPr>
              <w:pStyle w:val="445"/>
              <w:rPr>
                <w:rFonts w:cs="Times New Roman"/>
                <w:kern w:val="0"/>
                <w:szCs w:val="18"/>
              </w:rPr>
            </w:pPr>
            <w:r>
              <w:rPr>
                <w:rFonts w:cs="Times New Roman"/>
                <w:kern w:val="0"/>
                <w:szCs w:val="18"/>
              </w:rPr>
              <w:t>34#排放口</w:t>
            </w:r>
          </w:p>
        </w:tc>
        <w:tc>
          <w:tcPr>
            <w:tcW w:w="172" w:type="pct"/>
            <w:vAlign w:val="center"/>
          </w:tcPr>
          <w:p w14:paraId="364A5272">
            <w:pPr>
              <w:pStyle w:val="445"/>
              <w:rPr>
                <w:rFonts w:cs="Times New Roman"/>
                <w:kern w:val="0"/>
                <w:szCs w:val="18"/>
              </w:rPr>
            </w:pPr>
            <w:r>
              <w:rPr>
                <w:rFonts w:cs="Times New Roman"/>
                <w:kern w:val="0"/>
                <w:szCs w:val="18"/>
              </w:rPr>
              <w:t>是</w:t>
            </w:r>
          </w:p>
        </w:tc>
        <w:tc>
          <w:tcPr>
            <w:tcW w:w="125" w:type="pct"/>
            <w:vAlign w:val="center"/>
          </w:tcPr>
          <w:p w14:paraId="5C49A7A5">
            <w:pPr>
              <w:pStyle w:val="445"/>
              <w:rPr>
                <w:rFonts w:cs="Times New Roman"/>
                <w:kern w:val="0"/>
                <w:szCs w:val="18"/>
              </w:rPr>
            </w:pPr>
            <w:r>
              <w:rPr>
                <w:rFonts w:hint="eastAsia" w:cs="Times New Roman"/>
                <w:kern w:val="0"/>
                <w:szCs w:val="18"/>
              </w:rPr>
              <w:t>主要</w:t>
            </w:r>
            <w:r>
              <w:rPr>
                <w:rFonts w:cs="Times New Roman"/>
                <w:kern w:val="0"/>
                <w:szCs w:val="18"/>
              </w:rPr>
              <w:t>排放口</w:t>
            </w:r>
          </w:p>
        </w:tc>
        <w:tc>
          <w:tcPr>
            <w:tcW w:w="116" w:type="pct"/>
            <w:vAlign w:val="center"/>
          </w:tcPr>
          <w:p w14:paraId="10B142AE">
            <w:pPr>
              <w:pStyle w:val="445"/>
              <w:rPr>
                <w:rFonts w:cs="Times New Roman"/>
                <w:kern w:val="0"/>
                <w:szCs w:val="18"/>
              </w:rPr>
            </w:pPr>
            <w:r>
              <w:rPr>
                <w:rFonts w:hint="eastAsia" w:cs="Times New Roman"/>
                <w:kern w:val="0"/>
                <w:szCs w:val="18"/>
              </w:rPr>
              <w:t>/</w:t>
            </w:r>
          </w:p>
        </w:tc>
      </w:tr>
      <w:tr w14:paraId="4451D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02" w:type="pct"/>
            <w:vAlign w:val="center"/>
          </w:tcPr>
          <w:p w14:paraId="71DE0238">
            <w:pPr>
              <w:pStyle w:val="445"/>
              <w:rPr>
                <w:rFonts w:cs="Times New Roman"/>
                <w:kern w:val="0"/>
                <w:szCs w:val="18"/>
              </w:rPr>
            </w:pPr>
            <w:r>
              <w:rPr>
                <w:rFonts w:hint="eastAsia" w:cs="Times New Roman"/>
                <w:kern w:val="0"/>
                <w:szCs w:val="18"/>
              </w:rPr>
              <w:t>7</w:t>
            </w:r>
          </w:p>
        </w:tc>
        <w:tc>
          <w:tcPr>
            <w:tcW w:w="286" w:type="pct"/>
            <w:vAlign w:val="center"/>
          </w:tcPr>
          <w:p w14:paraId="6D08001F">
            <w:pPr>
              <w:pStyle w:val="445"/>
              <w:rPr>
                <w:rFonts w:cs="Times New Roman"/>
                <w:kern w:val="0"/>
                <w:szCs w:val="18"/>
              </w:rPr>
            </w:pPr>
            <w:r>
              <w:rPr>
                <w:rFonts w:hint="eastAsia" w:cs="Times New Roman"/>
                <w:kern w:val="0"/>
                <w:szCs w:val="18"/>
              </w:rPr>
              <w:t>反应</w:t>
            </w:r>
            <w:r>
              <w:rPr>
                <w:rFonts w:cs="Times New Roman"/>
                <w:kern w:val="0"/>
                <w:szCs w:val="18"/>
              </w:rPr>
              <w:t>单元</w:t>
            </w:r>
          </w:p>
        </w:tc>
        <w:tc>
          <w:tcPr>
            <w:tcW w:w="297" w:type="pct"/>
            <w:vAlign w:val="center"/>
          </w:tcPr>
          <w:p w14:paraId="66F9A71C">
            <w:pPr>
              <w:pStyle w:val="445"/>
              <w:rPr>
                <w:rFonts w:cs="Times New Roman"/>
                <w:kern w:val="0"/>
                <w:szCs w:val="20"/>
              </w:rPr>
            </w:pPr>
            <w:r>
              <w:rPr>
                <w:rFonts w:hint="eastAsia" w:cs="Times New Roman"/>
                <w:kern w:val="0"/>
                <w:szCs w:val="20"/>
              </w:rPr>
              <w:t>MF0036-40、MF0056</w:t>
            </w:r>
          </w:p>
        </w:tc>
        <w:tc>
          <w:tcPr>
            <w:tcW w:w="599" w:type="pct"/>
            <w:vAlign w:val="center"/>
          </w:tcPr>
          <w:p w14:paraId="128CD523">
            <w:pPr>
              <w:pStyle w:val="445"/>
              <w:rPr>
                <w:rFonts w:cs="Times New Roman"/>
                <w:kern w:val="0"/>
                <w:szCs w:val="20"/>
              </w:rPr>
            </w:pPr>
            <w:r>
              <w:rPr>
                <w:rFonts w:hint="eastAsia" w:cs="Times New Roman"/>
                <w:kern w:val="0"/>
                <w:szCs w:val="20"/>
              </w:rPr>
              <w:t>蒸馏塔、冷凝塔</w:t>
            </w:r>
          </w:p>
        </w:tc>
        <w:tc>
          <w:tcPr>
            <w:tcW w:w="223" w:type="pct"/>
            <w:vAlign w:val="center"/>
          </w:tcPr>
          <w:p w14:paraId="3FD94BC6">
            <w:pPr>
              <w:pStyle w:val="445"/>
              <w:rPr>
                <w:rFonts w:cs="Times New Roman"/>
                <w:kern w:val="0"/>
                <w:szCs w:val="18"/>
              </w:rPr>
            </w:pPr>
            <w:r>
              <w:rPr>
                <w:rFonts w:hint="eastAsia" w:cs="Times New Roman"/>
                <w:kern w:val="0"/>
                <w:szCs w:val="20"/>
              </w:rPr>
              <w:t>蒸馏、冷凝</w:t>
            </w:r>
          </w:p>
        </w:tc>
        <w:tc>
          <w:tcPr>
            <w:tcW w:w="779" w:type="pct"/>
            <w:vAlign w:val="center"/>
          </w:tcPr>
          <w:p w14:paraId="0E3CBD47">
            <w:pPr>
              <w:pStyle w:val="445"/>
              <w:rPr>
                <w:rFonts w:cs="Times New Roman"/>
                <w:kern w:val="0"/>
                <w:szCs w:val="20"/>
              </w:rPr>
            </w:pPr>
            <w:r>
              <w:rPr>
                <w:rFonts w:hint="eastAsia" w:cs="Times New Roman"/>
                <w:kern w:val="0"/>
                <w:szCs w:val="20"/>
              </w:rPr>
              <w:t>甲醇、三甲氧基硅烷、TVOC</w:t>
            </w:r>
          </w:p>
        </w:tc>
        <w:tc>
          <w:tcPr>
            <w:tcW w:w="117" w:type="pct"/>
            <w:vAlign w:val="center"/>
          </w:tcPr>
          <w:p w14:paraId="4B36182C">
            <w:pPr>
              <w:pStyle w:val="445"/>
              <w:rPr>
                <w:rFonts w:cs="Times New Roman"/>
                <w:kern w:val="0"/>
                <w:szCs w:val="18"/>
              </w:rPr>
            </w:pPr>
            <w:r>
              <w:rPr>
                <w:rFonts w:hint="eastAsia" w:cs="Times New Roman"/>
                <w:kern w:val="0"/>
                <w:szCs w:val="18"/>
              </w:rPr>
              <w:t>有组织</w:t>
            </w:r>
          </w:p>
        </w:tc>
        <w:tc>
          <w:tcPr>
            <w:tcW w:w="213" w:type="pct"/>
            <w:vAlign w:val="center"/>
          </w:tcPr>
          <w:p w14:paraId="754A1F7B">
            <w:pPr>
              <w:pStyle w:val="445"/>
              <w:rPr>
                <w:rFonts w:cs="Times New Roman"/>
                <w:kern w:val="0"/>
                <w:szCs w:val="18"/>
              </w:rPr>
            </w:pPr>
            <w:r>
              <w:rPr>
                <w:rFonts w:hint="eastAsia" w:cs="Times New Roman"/>
                <w:kern w:val="0"/>
                <w:szCs w:val="18"/>
              </w:rPr>
              <w:t>TA007</w:t>
            </w:r>
          </w:p>
        </w:tc>
        <w:tc>
          <w:tcPr>
            <w:tcW w:w="190" w:type="pct"/>
            <w:vAlign w:val="center"/>
          </w:tcPr>
          <w:p w14:paraId="37A6A72C">
            <w:pPr>
              <w:pStyle w:val="445"/>
              <w:rPr>
                <w:rFonts w:cs="Times New Roman"/>
                <w:kern w:val="0"/>
                <w:szCs w:val="18"/>
              </w:rPr>
            </w:pPr>
            <w:r>
              <w:rPr>
                <w:rFonts w:hint="eastAsia" w:cs="Times New Roman"/>
                <w:kern w:val="0"/>
                <w:szCs w:val="18"/>
              </w:rPr>
              <w:t>有机废气</w:t>
            </w:r>
            <w:r>
              <w:rPr>
                <w:rFonts w:cs="Times New Roman"/>
                <w:kern w:val="0"/>
                <w:szCs w:val="18"/>
              </w:rPr>
              <w:t>处理系统</w:t>
            </w:r>
          </w:p>
        </w:tc>
        <w:tc>
          <w:tcPr>
            <w:tcW w:w="482" w:type="pct"/>
            <w:vAlign w:val="center"/>
          </w:tcPr>
          <w:p w14:paraId="0F6815A2">
            <w:pPr>
              <w:pStyle w:val="445"/>
              <w:rPr>
                <w:rFonts w:cs="Times New Roman"/>
                <w:kern w:val="0"/>
                <w:szCs w:val="20"/>
              </w:rPr>
            </w:pPr>
            <w:r>
              <w:rPr>
                <w:rFonts w:hint="eastAsia" w:cs="Times New Roman"/>
                <w:kern w:val="0"/>
                <w:szCs w:val="20"/>
              </w:rPr>
              <w:t>一级水洗</w:t>
            </w:r>
            <w:r>
              <w:rPr>
                <w:rFonts w:cs="Times New Roman"/>
                <w:kern w:val="0"/>
                <w:szCs w:val="20"/>
              </w:rPr>
              <w:t>+</w:t>
            </w:r>
            <w:r>
              <w:rPr>
                <w:rFonts w:hint="eastAsia" w:cs="Times New Roman"/>
                <w:kern w:val="0"/>
                <w:szCs w:val="20"/>
              </w:rPr>
              <w:t>一级水</w:t>
            </w:r>
            <w:r>
              <w:rPr>
                <w:rFonts w:cs="Times New Roman"/>
                <w:kern w:val="0"/>
                <w:szCs w:val="20"/>
              </w:rPr>
              <w:t>洗</w:t>
            </w:r>
          </w:p>
        </w:tc>
        <w:tc>
          <w:tcPr>
            <w:tcW w:w="117" w:type="pct"/>
            <w:vAlign w:val="center"/>
          </w:tcPr>
          <w:p w14:paraId="2712A8BE">
            <w:pPr>
              <w:pStyle w:val="445"/>
              <w:rPr>
                <w:rFonts w:cs="Times New Roman"/>
                <w:kern w:val="0"/>
                <w:szCs w:val="18"/>
              </w:rPr>
            </w:pPr>
            <w:r>
              <w:rPr>
                <w:rFonts w:cs="Times New Roman"/>
                <w:kern w:val="0"/>
                <w:szCs w:val="18"/>
              </w:rPr>
              <w:t>设计风量</w:t>
            </w:r>
          </w:p>
        </w:tc>
        <w:tc>
          <w:tcPr>
            <w:tcW w:w="181" w:type="pct"/>
            <w:vAlign w:val="center"/>
          </w:tcPr>
          <w:p w14:paraId="11E0400B">
            <w:pPr>
              <w:pStyle w:val="445"/>
              <w:rPr>
                <w:rFonts w:cs="Times New Roman"/>
                <w:kern w:val="0"/>
                <w:szCs w:val="18"/>
              </w:rPr>
            </w:pPr>
            <w:r>
              <w:rPr>
                <w:rFonts w:cs="Times New Roman"/>
                <w:kern w:val="0"/>
                <w:szCs w:val="18"/>
              </w:rPr>
              <w:t>1000</w:t>
            </w:r>
          </w:p>
        </w:tc>
        <w:tc>
          <w:tcPr>
            <w:tcW w:w="149" w:type="pct"/>
            <w:vAlign w:val="center"/>
          </w:tcPr>
          <w:p w14:paraId="63059041">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677BF889">
            <w:pPr>
              <w:pStyle w:val="445"/>
              <w:rPr>
                <w:rFonts w:cs="Times New Roman"/>
                <w:kern w:val="0"/>
                <w:szCs w:val="18"/>
              </w:rPr>
            </w:pPr>
            <w:r>
              <w:rPr>
                <w:rFonts w:hint="eastAsia" w:cs="Times New Roman"/>
                <w:kern w:val="0"/>
                <w:szCs w:val="18"/>
              </w:rPr>
              <w:t>/</w:t>
            </w:r>
          </w:p>
        </w:tc>
        <w:tc>
          <w:tcPr>
            <w:tcW w:w="141" w:type="pct"/>
            <w:vAlign w:val="center"/>
          </w:tcPr>
          <w:p w14:paraId="19FA8154">
            <w:pPr>
              <w:pStyle w:val="445"/>
              <w:rPr>
                <w:rFonts w:cs="Times New Roman"/>
                <w:kern w:val="0"/>
                <w:szCs w:val="18"/>
              </w:rPr>
            </w:pPr>
            <w:r>
              <w:rPr>
                <w:rFonts w:cs="Times New Roman"/>
                <w:kern w:val="0"/>
                <w:szCs w:val="18"/>
              </w:rPr>
              <w:t>是</w:t>
            </w:r>
          </w:p>
        </w:tc>
        <w:tc>
          <w:tcPr>
            <w:tcW w:w="164" w:type="pct"/>
            <w:vAlign w:val="center"/>
          </w:tcPr>
          <w:p w14:paraId="3A403A06">
            <w:pPr>
              <w:pStyle w:val="445"/>
              <w:rPr>
                <w:rFonts w:cs="Times New Roman"/>
                <w:kern w:val="0"/>
                <w:szCs w:val="18"/>
              </w:rPr>
            </w:pPr>
            <w:r>
              <w:rPr>
                <w:rFonts w:hint="eastAsia" w:cs="Times New Roman"/>
                <w:kern w:val="0"/>
                <w:szCs w:val="18"/>
              </w:rPr>
              <w:t>/</w:t>
            </w:r>
          </w:p>
        </w:tc>
        <w:tc>
          <w:tcPr>
            <w:tcW w:w="217" w:type="pct"/>
            <w:vAlign w:val="center"/>
          </w:tcPr>
          <w:p w14:paraId="4CFECF19">
            <w:pPr>
              <w:pStyle w:val="445"/>
              <w:rPr>
                <w:rFonts w:cs="Times New Roman"/>
                <w:kern w:val="0"/>
                <w:szCs w:val="18"/>
              </w:rPr>
            </w:pPr>
            <w:r>
              <w:rPr>
                <w:rFonts w:hint="eastAsia" w:cs="Times New Roman"/>
                <w:kern w:val="0"/>
                <w:szCs w:val="18"/>
              </w:rPr>
              <w:t>D</w:t>
            </w:r>
            <w:r>
              <w:rPr>
                <w:rFonts w:cs="Times New Roman"/>
                <w:kern w:val="0"/>
                <w:szCs w:val="18"/>
              </w:rPr>
              <w:t>A035</w:t>
            </w:r>
          </w:p>
        </w:tc>
        <w:tc>
          <w:tcPr>
            <w:tcW w:w="148" w:type="pct"/>
            <w:vAlign w:val="center"/>
          </w:tcPr>
          <w:p w14:paraId="665BC088">
            <w:pPr>
              <w:pStyle w:val="445"/>
              <w:rPr>
                <w:rFonts w:cs="Times New Roman"/>
                <w:kern w:val="0"/>
                <w:szCs w:val="18"/>
              </w:rPr>
            </w:pPr>
            <w:r>
              <w:rPr>
                <w:rFonts w:cs="Times New Roman"/>
                <w:kern w:val="0"/>
                <w:szCs w:val="18"/>
              </w:rPr>
              <w:t>35#排放口</w:t>
            </w:r>
          </w:p>
        </w:tc>
        <w:tc>
          <w:tcPr>
            <w:tcW w:w="172" w:type="pct"/>
            <w:vAlign w:val="center"/>
          </w:tcPr>
          <w:p w14:paraId="68F60210">
            <w:pPr>
              <w:pStyle w:val="445"/>
              <w:rPr>
                <w:rFonts w:cs="Times New Roman"/>
                <w:kern w:val="0"/>
                <w:szCs w:val="18"/>
              </w:rPr>
            </w:pPr>
            <w:r>
              <w:rPr>
                <w:rFonts w:cs="Times New Roman"/>
                <w:kern w:val="0"/>
                <w:szCs w:val="18"/>
              </w:rPr>
              <w:t>是</w:t>
            </w:r>
          </w:p>
        </w:tc>
        <w:tc>
          <w:tcPr>
            <w:tcW w:w="125" w:type="pct"/>
            <w:vAlign w:val="center"/>
          </w:tcPr>
          <w:p w14:paraId="40BA05CA">
            <w:pPr>
              <w:pStyle w:val="445"/>
              <w:rPr>
                <w:rFonts w:cs="Times New Roman"/>
                <w:kern w:val="0"/>
                <w:szCs w:val="18"/>
              </w:rPr>
            </w:pPr>
            <w:r>
              <w:rPr>
                <w:rFonts w:hint="eastAsia" w:cs="Times New Roman"/>
                <w:kern w:val="0"/>
                <w:szCs w:val="18"/>
              </w:rPr>
              <w:t>主要</w:t>
            </w:r>
            <w:r>
              <w:rPr>
                <w:rFonts w:cs="Times New Roman"/>
                <w:kern w:val="0"/>
                <w:szCs w:val="18"/>
              </w:rPr>
              <w:t>排放口</w:t>
            </w:r>
          </w:p>
        </w:tc>
        <w:tc>
          <w:tcPr>
            <w:tcW w:w="116" w:type="pct"/>
            <w:vAlign w:val="center"/>
          </w:tcPr>
          <w:p w14:paraId="3B7CF864">
            <w:pPr>
              <w:pStyle w:val="445"/>
              <w:rPr>
                <w:rFonts w:cs="Times New Roman"/>
                <w:kern w:val="0"/>
                <w:szCs w:val="18"/>
              </w:rPr>
            </w:pPr>
            <w:r>
              <w:rPr>
                <w:rFonts w:hint="eastAsia" w:cs="Times New Roman"/>
                <w:kern w:val="0"/>
                <w:szCs w:val="18"/>
              </w:rPr>
              <w:t>/</w:t>
            </w:r>
          </w:p>
        </w:tc>
      </w:tr>
      <w:tr w14:paraId="337FA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02" w:type="pct"/>
            <w:vAlign w:val="center"/>
          </w:tcPr>
          <w:p w14:paraId="13C954B7">
            <w:pPr>
              <w:pStyle w:val="445"/>
              <w:rPr>
                <w:rFonts w:cs="Times New Roman"/>
                <w:kern w:val="0"/>
                <w:szCs w:val="18"/>
              </w:rPr>
            </w:pPr>
            <w:r>
              <w:rPr>
                <w:rFonts w:hint="eastAsia" w:cs="Times New Roman"/>
                <w:kern w:val="0"/>
                <w:szCs w:val="18"/>
              </w:rPr>
              <w:t>8</w:t>
            </w:r>
          </w:p>
        </w:tc>
        <w:tc>
          <w:tcPr>
            <w:tcW w:w="286" w:type="pct"/>
            <w:vAlign w:val="center"/>
          </w:tcPr>
          <w:p w14:paraId="2DC39AD1">
            <w:pPr>
              <w:pStyle w:val="445"/>
              <w:rPr>
                <w:rFonts w:cs="Times New Roman"/>
                <w:kern w:val="0"/>
                <w:szCs w:val="18"/>
              </w:rPr>
            </w:pPr>
            <w:r>
              <w:rPr>
                <w:rFonts w:hint="eastAsia" w:cs="Times New Roman"/>
                <w:kern w:val="0"/>
                <w:szCs w:val="18"/>
              </w:rPr>
              <w:t>干燥</w:t>
            </w:r>
          </w:p>
        </w:tc>
        <w:tc>
          <w:tcPr>
            <w:tcW w:w="297" w:type="pct"/>
            <w:vAlign w:val="center"/>
          </w:tcPr>
          <w:p w14:paraId="44170F74">
            <w:pPr>
              <w:pStyle w:val="445"/>
              <w:rPr>
                <w:rFonts w:cs="Times New Roman"/>
                <w:kern w:val="0"/>
                <w:szCs w:val="20"/>
              </w:rPr>
            </w:pPr>
            <w:r>
              <w:rPr>
                <w:rFonts w:hint="eastAsia" w:cs="Times New Roman"/>
                <w:kern w:val="0"/>
                <w:szCs w:val="20"/>
              </w:rPr>
              <w:t>MF0047</w:t>
            </w:r>
            <w:r>
              <w:rPr>
                <w:rFonts w:cs="Times New Roman"/>
                <w:kern w:val="0"/>
                <w:szCs w:val="20"/>
              </w:rPr>
              <w:t>-49</w:t>
            </w:r>
          </w:p>
        </w:tc>
        <w:tc>
          <w:tcPr>
            <w:tcW w:w="599" w:type="pct"/>
            <w:vAlign w:val="center"/>
          </w:tcPr>
          <w:p w14:paraId="43B8B294">
            <w:pPr>
              <w:pStyle w:val="445"/>
              <w:rPr>
                <w:rFonts w:cs="Times New Roman"/>
                <w:kern w:val="0"/>
                <w:szCs w:val="20"/>
              </w:rPr>
            </w:pPr>
            <w:r>
              <w:rPr>
                <w:rFonts w:hint="eastAsia" w:cs="Times New Roman"/>
                <w:kern w:val="0"/>
                <w:szCs w:val="20"/>
              </w:rPr>
              <w:t>分子筛</w:t>
            </w:r>
          </w:p>
        </w:tc>
        <w:tc>
          <w:tcPr>
            <w:tcW w:w="223" w:type="pct"/>
            <w:vAlign w:val="center"/>
          </w:tcPr>
          <w:p w14:paraId="1FA79EA6">
            <w:pPr>
              <w:pStyle w:val="445"/>
              <w:rPr>
                <w:rFonts w:cs="Times New Roman"/>
                <w:kern w:val="0"/>
                <w:szCs w:val="18"/>
              </w:rPr>
            </w:pPr>
            <w:r>
              <w:rPr>
                <w:rFonts w:hint="eastAsia" w:cs="Times New Roman"/>
                <w:kern w:val="0"/>
                <w:szCs w:val="18"/>
              </w:rPr>
              <w:t>干燥</w:t>
            </w:r>
          </w:p>
        </w:tc>
        <w:tc>
          <w:tcPr>
            <w:tcW w:w="779" w:type="pct"/>
            <w:vAlign w:val="center"/>
          </w:tcPr>
          <w:p w14:paraId="7C7E19B2">
            <w:pPr>
              <w:pStyle w:val="445"/>
              <w:rPr>
                <w:rFonts w:cs="Times New Roman"/>
                <w:kern w:val="0"/>
                <w:szCs w:val="20"/>
              </w:rPr>
            </w:pPr>
            <w:r>
              <w:rPr>
                <w:rFonts w:hint="eastAsia" w:cs="Times New Roman"/>
                <w:kern w:val="0"/>
                <w:szCs w:val="20"/>
              </w:rPr>
              <w:t>乙炔、TVOC</w:t>
            </w:r>
          </w:p>
        </w:tc>
        <w:tc>
          <w:tcPr>
            <w:tcW w:w="117" w:type="pct"/>
            <w:vAlign w:val="center"/>
          </w:tcPr>
          <w:p w14:paraId="0CACC83D">
            <w:pPr>
              <w:pStyle w:val="445"/>
              <w:rPr>
                <w:rFonts w:cs="Times New Roman"/>
                <w:kern w:val="0"/>
                <w:szCs w:val="18"/>
              </w:rPr>
            </w:pPr>
            <w:r>
              <w:rPr>
                <w:rFonts w:hint="eastAsia" w:cs="Times New Roman"/>
                <w:kern w:val="0"/>
                <w:szCs w:val="18"/>
              </w:rPr>
              <w:t>有组织</w:t>
            </w:r>
          </w:p>
        </w:tc>
        <w:tc>
          <w:tcPr>
            <w:tcW w:w="213" w:type="pct"/>
            <w:vAlign w:val="center"/>
          </w:tcPr>
          <w:p w14:paraId="5B8A8854">
            <w:pPr>
              <w:pStyle w:val="445"/>
              <w:rPr>
                <w:rFonts w:cs="Times New Roman"/>
                <w:kern w:val="0"/>
                <w:szCs w:val="18"/>
              </w:rPr>
            </w:pPr>
            <w:r>
              <w:rPr>
                <w:rFonts w:cs="Times New Roman"/>
                <w:kern w:val="0"/>
                <w:szCs w:val="18"/>
              </w:rPr>
              <w:t>/</w:t>
            </w:r>
          </w:p>
        </w:tc>
        <w:tc>
          <w:tcPr>
            <w:tcW w:w="190" w:type="pct"/>
            <w:vAlign w:val="center"/>
          </w:tcPr>
          <w:p w14:paraId="6C9CD2E2">
            <w:pPr>
              <w:pStyle w:val="445"/>
              <w:rPr>
                <w:rFonts w:cs="Times New Roman"/>
                <w:kern w:val="0"/>
                <w:szCs w:val="18"/>
              </w:rPr>
            </w:pPr>
            <w:r>
              <w:rPr>
                <w:rFonts w:hint="eastAsia" w:cs="Times New Roman"/>
                <w:kern w:val="0"/>
                <w:szCs w:val="18"/>
              </w:rPr>
              <w:t>/</w:t>
            </w:r>
          </w:p>
        </w:tc>
        <w:tc>
          <w:tcPr>
            <w:tcW w:w="482" w:type="pct"/>
            <w:vAlign w:val="center"/>
          </w:tcPr>
          <w:p w14:paraId="5753162C">
            <w:pPr>
              <w:pStyle w:val="445"/>
              <w:rPr>
                <w:rFonts w:cs="Times New Roman"/>
                <w:kern w:val="0"/>
                <w:szCs w:val="20"/>
              </w:rPr>
            </w:pPr>
            <w:r>
              <w:rPr>
                <w:rFonts w:hint="eastAsia" w:cs="Times New Roman"/>
                <w:kern w:val="0"/>
                <w:szCs w:val="20"/>
              </w:rPr>
              <w:t>/</w:t>
            </w:r>
          </w:p>
        </w:tc>
        <w:tc>
          <w:tcPr>
            <w:tcW w:w="117" w:type="pct"/>
            <w:vAlign w:val="center"/>
          </w:tcPr>
          <w:p w14:paraId="29866962">
            <w:pPr>
              <w:pStyle w:val="445"/>
              <w:rPr>
                <w:rFonts w:cs="Times New Roman"/>
                <w:kern w:val="0"/>
                <w:szCs w:val="18"/>
              </w:rPr>
            </w:pPr>
            <w:r>
              <w:rPr>
                <w:rFonts w:cs="Times New Roman"/>
                <w:kern w:val="0"/>
                <w:szCs w:val="18"/>
              </w:rPr>
              <w:t>设计风量</w:t>
            </w:r>
          </w:p>
        </w:tc>
        <w:tc>
          <w:tcPr>
            <w:tcW w:w="181" w:type="pct"/>
            <w:vAlign w:val="center"/>
          </w:tcPr>
          <w:p w14:paraId="24858E73">
            <w:pPr>
              <w:pStyle w:val="445"/>
              <w:rPr>
                <w:rFonts w:cs="Times New Roman"/>
                <w:kern w:val="0"/>
                <w:szCs w:val="18"/>
              </w:rPr>
            </w:pPr>
            <w:r>
              <w:rPr>
                <w:rFonts w:cs="Times New Roman"/>
                <w:kern w:val="0"/>
                <w:szCs w:val="18"/>
              </w:rPr>
              <w:t>400</w:t>
            </w:r>
          </w:p>
        </w:tc>
        <w:tc>
          <w:tcPr>
            <w:tcW w:w="149" w:type="pct"/>
            <w:vAlign w:val="center"/>
          </w:tcPr>
          <w:p w14:paraId="32B68DF2">
            <w:pPr>
              <w:pStyle w:val="445"/>
              <w:rPr>
                <w:rFonts w:cs="Times New Roman"/>
                <w:kern w:val="0"/>
                <w:szCs w:val="18"/>
              </w:rPr>
            </w:pPr>
            <w:r>
              <w:rPr>
                <w:rFonts w:cs="Times New Roman"/>
                <w:kern w:val="0"/>
                <w:szCs w:val="18"/>
              </w:rPr>
              <w:t>m</w:t>
            </w:r>
            <w:r>
              <w:rPr>
                <w:rFonts w:cs="Times New Roman"/>
                <w:kern w:val="0"/>
                <w:szCs w:val="18"/>
                <w:vertAlign w:val="superscript"/>
              </w:rPr>
              <w:t>3</w:t>
            </w:r>
            <w:r>
              <w:rPr>
                <w:rFonts w:cs="Times New Roman"/>
                <w:kern w:val="0"/>
                <w:szCs w:val="18"/>
              </w:rPr>
              <w:t>/h</w:t>
            </w:r>
          </w:p>
        </w:tc>
        <w:tc>
          <w:tcPr>
            <w:tcW w:w="180" w:type="pct"/>
            <w:vAlign w:val="center"/>
          </w:tcPr>
          <w:p w14:paraId="20705149">
            <w:pPr>
              <w:pStyle w:val="445"/>
              <w:rPr>
                <w:rFonts w:cs="Times New Roman"/>
                <w:kern w:val="0"/>
                <w:szCs w:val="18"/>
              </w:rPr>
            </w:pPr>
            <w:r>
              <w:rPr>
                <w:rFonts w:hint="eastAsia" w:cs="Times New Roman"/>
                <w:kern w:val="0"/>
                <w:szCs w:val="18"/>
              </w:rPr>
              <w:t>/</w:t>
            </w:r>
          </w:p>
        </w:tc>
        <w:tc>
          <w:tcPr>
            <w:tcW w:w="141" w:type="pct"/>
            <w:vAlign w:val="center"/>
          </w:tcPr>
          <w:p w14:paraId="0FEB253B">
            <w:pPr>
              <w:pStyle w:val="445"/>
              <w:rPr>
                <w:rFonts w:cs="Times New Roman"/>
                <w:kern w:val="0"/>
                <w:szCs w:val="18"/>
              </w:rPr>
            </w:pPr>
            <w:r>
              <w:rPr>
                <w:rFonts w:cs="Times New Roman"/>
                <w:kern w:val="0"/>
                <w:szCs w:val="18"/>
              </w:rPr>
              <w:t>是</w:t>
            </w:r>
          </w:p>
        </w:tc>
        <w:tc>
          <w:tcPr>
            <w:tcW w:w="164" w:type="pct"/>
            <w:vAlign w:val="center"/>
          </w:tcPr>
          <w:p w14:paraId="4AFFF564">
            <w:pPr>
              <w:pStyle w:val="445"/>
              <w:rPr>
                <w:rFonts w:cs="Times New Roman"/>
                <w:kern w:val="0"/>
                <w:szCs w:val="18"/>
              </w:rPr>
            </w:pPr>
            <w:r>
              <w:rPr>
                <w:rFonts w:hint="eastAsia" w:cs="Times New Roman"/>
                <w:kern w:val="0"/>
                <w:szCs w:val="18"/>
              </w:rPr>
              <w:t>/</w:t>
            </w:r>
          </w:p>
        </w:tc>
        <w:tc>
          <w:tcPr>
            <w:tcW w:w="217" w:type="pct"/>
            <w:vAlign w:val="center"/>
          </w:tcPr>
          <w:p w14:paraId="5875D691">
            <w:pPr>
              <w:pStyle w:val="445"/>
              <w:rPr>
                <w:rFonts w:cs="Times New Roman"/>
                <w:kern w:val="0"/>
                <w:szCs w:val="18"/>
              </w:rPr>
            </w:pPr>
            <w:r>
              <w:rPr>
                <w:rFonts w:hint="eastAsia" w:cs="Times New Roman"/>
                <w:kern w:val="0"/>
                <w:szCs w:val="18"/>
              </w:rPr>
              <w:t>D</w:t>
            </w:r>
            <w:r>
              <w:rPr>
                <w:rFonts w:cs="Times New Roman"/>
                <w:kern w:val="0"/>
                <w:szCs w:val="18"/>
              </w:rPr>
              <w:t>A036</w:t>
            </w:r>
          </w:p>
        </w:tc>
        <w:tc>
          <w:tcPr>
            <w:tcW w:w="148" w:type="pct"/>
            <w:vAlign w:val="center"/>
          </w:tcPr>
          <w:p w14:paraId="3BB55F54">
            <w:pPr>
              <w:pStyle w:val="445"/>
              <w:rPr>
                <w:rFonts w:cs="Times New Roman"/>
                <w:kern w:val="0"/>
                <w:szCs w:val="18"/>
              </w:rPr>
            </w:pPr>
            <w:r>
              <w:rPr>
                <w:rFonts w:cs="Times New Roman"/>
                <w:kern w:val="0"/>
                <w:szCs w:val="18"/>
              </w:rPr>
              <w:t>36#排放口</w:t>
            </w:r>
          </w:p>
        </w:tc>
        <w:tc>
          <w:tcPr>
            <w:tcW w:w="172" w:type="pct"/>
            <w:vAlign w:val="center"/>
          </w:tcPr>
          <w:p w14:paraId="3816ED83">
            <w:pPr>
              <w:pStyle w:val="445"/>
              <w:rPr>
                <w:rFonts w:cs="Times New Roman"/>
                <w:kern w:val="0"/>
                <w:szCs w:val="18"/>
              </w:rPr>
            </w:pPr>
            <w:r>
              <w:rPr>
                <w:rFonts w:cs="Times New Roman"/>
                <w:kern w:val="0"/>
                <w:szCs w:val="18"/>
              </w:rPr>
              <w:t>是</w:t>
            </w:r>
          </w:p>
        </w:tc>
        <w:tc>
          <w:tcPr>
            <w:tcW w:w="125" w:type="pct"/>
            <w:vAlign w:val="center"/>
          </w:tcPr>
          <w:p w14:paraId="62A285D1">
            <w:pPr>
              <w:pStyle w:val="445"/>
              <w:rPr>
                <w:rFonts w:cs="Times New Roman"/>
                <w:kern w:val="0"/>
                <w:szCs w:val="18"/>
              </w:rPr>
            </w:pPr>
            <w:r>
              <w:rPr>
                <w:rFonts w:hint="eastAsia" w:cs="Times New Roman"/>
                <w:kern w:val="0"/>
                <w:szCs w:val="18"/>
              </w:rPr>
              <w:t>一般</w:t>
            </w:r>
            <w:r>
              <w:rPr>
                <w:rFonts w:cs="Times New Roman"/>
                <w:kern w:val="0"/>
                <w:szCs w:val="18"/>
              </w:rPr>
              <w:t>排放口</w:t>
            </w:r>
          </w:p>
        </w:tc>
        <w:tc>
          <w:tcPr>
            <w:tcW w:w="116" w:type="pct"/>
            <w:vAlign w:val="center"/>
          </w:tcPr>
          <w:p w14:paraId="0FF48ADB">
            <w:pPr>
              <w:pStyle w:val="445"/>
              <w:rPr>
                <w:rFonts w:cs="Times New Roman"/>
                <w:kern w:val="0"/>
                <w:szCs w:val="18"/>
              </w:rPr>
            </w:pPr>
            <w:r>
              <w:rPr>
                <w:rFonts w:hint="eastAsia" w:cs="Times New Roman"/>
                <w:kern w:val="0"/>
                <w:szCs w:val="18"/>
              </w:rPr>
              <w:t>/</w:t>
            </w:r>
          </w:p>
        </w:tc>
      </w:tr>
    </w:tbl>
    <w:p w14:paraId="78ADDB6F">
      <w:pPr>
        <w:spacing w:line="500" w:lineRule="exact"/>
        <w:ind w:firstLine="0" w:firstLineChars="0"/>
        <w:jc w:val="center"/>
        <w:rPr>
          <w:rFonts w:eastAsia="黑体"/>
        </w:rPr>
      </w:pPr>
      <w:r>
        <w:rPr>
          <w:rFonts w:hint="eastAsia" w:eastAsia="黑体"/>
        </w:rPr>
        <w:t>表8.2.1</w:t>
      </w:r>
      <w:r>
        <w:rPr>
          <w:rFonts w:eastAsia="黑体"/>
        </w:rPr>
        <w:t xml:space="preserve">-2  </w:t>
      </w:r>
      <w:r>
        <w:rPr>
          <w:rFonts w:hint="eastAsia" w:eastAsia="黑体"/>
        </w:rPr>
        <w:t>废水</w:t>
      </w:r>
      <w:r>
        <w:rPr>
          <w:rFonts w:eastAsia="黑体"/>
        </w:rPr>
        <w:t>产排污节点</w:t>
      </w:r>
      <w:r>
        <w:rPr>
          <w:rFonts w:hint="eastAsia" w:eastAsia="黑体"/>
        </w:rPr>
        <w:t>、</w:t>
      </w:r>
      <w:r>
        <w:rPr>
          <w:rFonts w:eastAsia="黑体"/>
        </w:rPr>
        <w:t>污染物及污染治理设施信息表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2735"/>
        <w:gridCol w:w="1395"/>
        <w:gridCol w:w="956"/>
        <w:gridCol w:w="656"/>
        <w:gridCol w:w="1260"/>
        <w:gridCol w:w="617"/>
        <w:gridCol w:w="732"/>
        <w:gridCol w:w="694"/>
        <w:gridCol w:w="508"/>
        <w:gridCol w:w="1531"/>
        <w:gridCol w:w="863"/>
        <w:gridCol w:w="546"/>
        <w:gridCol w:w="766"/>
        <w:gridCol w:w="546"/>
        <w:gridCol w:w="4999"/>
        <w:gridCol w:w="952"/>
        <w:gridCol w:w="956"/>
      </w:tblGrid>
      <w:tr w14:paraId="09AC8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03" w:type="pct"/>
            <w:vMerge w:val="restart"/>
            <w:vAlign w:val="center"/>
          </w:tcPr>
          <w:p w14:paraId="4162C856">
            <w:pPr>
              <w:pStyle w:val="445"/>
              <w:rPr>
                <w:rFonts w:cs="Times New Roman"/>
                <w:kern w:val="0"/>
                <w:szCs w:val="18"/>
              </w:rPr>
            </w:pPr>
            <w:r>
              <w:rPr>
                <w:rFonts w:hint="eastAsia" w:cs="Times New Roman"/>
                <w:kern w:val="0"/>
                <w:szCs w:val="18"/>
              </w:rPr>
              <w:t>序号</w:t>
            </w:r>
          </w:p>
        </w:tc>
        <w:tc>
          <w:tcPr>
            <w:tcW w:w="647" w:type="pct"/>
            <w:vMerge w:val="restart"/>
            <w:vAlign w:val="center"/>
          </w:tcPr>
          <w:p w14:paraId="05AC610A">
            <w:pPr>
              <w:pStyle w:val="445"/>
              <w:rPr>
                <w:rFonts w:cs="Times New Roman"/>
                <w:kern w:val="0"/>
                <w:szCs w:val="18"/>
              </w:rPr>
            </w:pPr>
            <w:r>
              <w:rPr>
                <w:rFonts w:hint="eastAsia" w:cs="Times New Roman"/>
                <w:kern w:val="0"/>
                <w:szCs w:val="18"/>
              </w:rPr>
              <w:t>废水类别</w:t>
            </w:r>
          </w:p>
        </w:tc>
        <w:tc>
          <w:tcPr>
            <w:tcW w:w="330" w:type="pct"/>
            <w:vMerge w:val="restart"/>
            <w:vAlign w:val="center"/>
          </w:tcPr>
          <w:p w14:paraId="41136F49">
            <w:pPr>
              <w:pStyle w:val="445"/>
              <w:rPr>
                <w:rFonts w:cs="Times New Roman"/>
                <w:kern w:val="0"/>
                <w:szCs w:val="18"/>
              </w:rPr>
            </w:pPr>
            <w:r>
              <w:rPr>
                <w:rFonts w:hint="eastAsia" w:cs="Times New Roman"/>
                <w:kern w:val="0"/>
                <w:szCs w:val="18"/>
              </w:rPr>
              <w:t>污染物</w:t>
            </w:r>
            <w:r>
              <w:rPr>
                <w:rFonts w:cs="Times New Roman"/>
                <w:kern w:val="0"/>
                <w:szCs w:val="18"/>
              </w:rPr>
              <w:t>种类</w:t>
            </w:r>
          </w:p>
        </w:tc>
        <w:tc>
          <w:tcPr>
            <w:tcW w:w="998" w:type="pct"/>
            <w:gridSpan w:val="5"/>
            <w:vAlign w:val="center"/>
          </w:tcPr>
          <w:p w14:paraId="21A11545">
            <w:pPr>
              <w:pStyle w:val="445"/>
              <w:rPr>
                <w:rFonts w:cs="Times New Roman"/>
                <w:kern w:val="0"/>
                <w:szCs w:val="18"/>
              </w:rPr>
            </w:pPr>
            <w:r>
              <w:rPr>
                <w:rFonts w:hint="eastAsia" w:cs="Times New Roman"/>
                <w:kern w:val="0"/>
                <w:szCs w:val="18"/>
              </w:rPr>
              <w:t>污染防治设施</w:t>
            </w:r>
          </w:p>
        </w:tc>
        <w:tc>
          <w:tcPr>
            <w:tcW w:w="164" w:type="pct"/>
            <w:vMerge w:val="restart"/>
            <w:vAlign w:val="center"/>
          </w:tcPr>
          <w:p w14:paraId="3BB9B210">
            <w:pPr>
              <w:pStyle w:val="445"/>
              <w:rPr>
                <w:rFonts w:cs="Times New Roman"/>
                <w:kern w:val="0"/>
                <w:szCs w:val="18"/>
              </w:rPr>
            </w:pPr>
            <w:r>
              <w:rPr>
                <w:rFonts w:hint="eastAsia" w:cs="Times New Roman"/>
                <w:kern w:val="0"/>
                <w:szCs w:val="18"/>
              </w:rPr>
              <w:t>排放去向</w:t>
            </w:r>
          </w:p>
        </w:tc>
        <w:tc>
          <w:tcPr>
            <w:tcW w:w="120" w:type="pct"/>
            <w:vMerge w:val="restart"/>
            <w:vAlign w:val="center"/>
          </w:tcPr>
          <w:p w14:paraId="5DF0D9EA">
            <w:pPr>
              <w:pStyle w:val="445"/>
              <w:rPr>
                <w:rFonts w:cs="Times New Roman"/>
                <w:kern w:val="0"/>
                <w:szCs w:val="18"/>
              </w:rPr>
            </w:pPr>
            <w:r>
              <w:rPr>
                <w:rFonts w:hint="eastAsia" w:cs="Times New Roman"/>
                <w:kern w:val="0"/>
                <w:szCs w:val="18"/>
              </w:rPr>
              <w:t>排放方式</w:t>
            </w:r>
          </w:p>
        </w:tc>
        <w:tc>
          <w:tcPr>
            <w:tcW w:w="362" w:type="pct"/>
            <w:vMerge w:val="restart"/>
            <w:vAlign w:val="center"/>
          </w:tcPr>
          <w:p w14:paraId="7BE4D87F">
            <w:pPr>
              <w:pStyle w:val="445"/>
              <w:rPr>
                <w:rFonts w:cs="Times New Roman"/>
                <w:kern w:val="0"/>
                <w:szCs w:val="18"/>
              </w:rPr>
            </w:pPr>
            <w:r>
              <w:rPr>
                <w:rFonts w:hint="eastAsia" w:cs="Times New Roman"/>
                <w:kern w:val="0"/>
                <w:szCs w:val="18"/>
              </w:rPr>
              <w:t>排放规律</w:t>
            </w:r>
          </w:p>
        </w:tc>
        <w:tc>
          <w:tcPr>
            <w:tcW w:w="204" w:type="pct"/>
            <w:vMerge w:val="restart"/>
            <w:vAlign w:val="center"/>
          </w:tcPr>
          <w:p w14:paraId="15526EF5">
            <w:pPr>
              <w:pStyle w:val="445"/>
              <w:rPr>
                <w:rFonts w:cs="Times New Roman"/>
                <w:kern w:val="0"/>
                <w:szCs w:val="18"/>
              </w:rPr>
            </w:pPr>
            <w:r>
              <w:rPr>
                <w:rFonts w:hint="eastAsia" w:cs="Times New Roman"/>
                <w:kern w:val="0"/>
                <w:szCs w:val="18"/>
              </w:rPr>
              <w:t>排放口</w:t>
            </w:r>
            <w:r>
              <w:rPr>
                <w:rFonts w:cs="Times New Roman"/>
                <w:kern w:val="0"/>
                <w:szCs w:val="18"/>
              </w:rPr>
              <w:t>编号</w:t>
            </w:r>
          </w:p>
        </w:tc>
        <w:tc>
          <w:tcPr>
            <w:tcW w:w="129" w:type="pct"/>
            <w:vMerge w:val="restart"/>
            <w:vAlign w:val="center"/>
          </w:tcPr>
          <w:p w14:paraId="1677795C">
            <w:pPr>
              <w:pStyle w:val="445"/>
              <w:rPr>
                <w:rFonts w:cs="Times New Roman"/>
                <w:kern w:val="0"/>
                <w:szCs w:val="18"/>
              </w:rPr>
            </w:pPr>
            <w:r>
              <w:rPr>
                <w:rFonts w:hint="eastAsia" w:cs="Times New Roman"/>
                <w:kern w:val="0"/>
                <w:szCs w:val="18"/>
              </w:rPr>
              <w:t>排放口</w:t>
            </w:r>
            <w:r>
              <w:rPr>
                <w:rFonts w:cs="Times New Roman"/>
                <w:kern w:val="0"/>
                <w:szCs w:val="18"/>
              </w:rPr>
              <w:t>名称</w:t>
            </w:r>
          </w:p>
        </w:tc>
        <w:tc>
          <w:tcPr>
            <w:tcW w:w="181" w:type="pct"/>
            <w:vMerge w:val="restart"/>
            <w:vAlign w:val="center"/>
          </w:tcPr>
          <w:p w14:paraId="0077756C">
            <w:pPr>
              <w:pStyle w:val="445"/>
              <w:rPr>
                <w:rFonts w:cs="Times New Roman"/>
                <w:kern w:val="0"/>
                <w:szCs w:val="18"/>
              </w:rPr>
            </w:pPr>
            <w:r>
              <w:rPr>
                <w:rFonts w:hint="eastAsia" w:cs="Times New Roman"/>
                <w:kern w:val="0"/>
                <w:szCs w:val="18"/>
              </w:rPr>
              <w:t>排放口</w:t>
            </w:r>
            <w:r>
              <w:rPr>
                <w:rFonts w:cs="Times New Roman"/>
                <w:kern w:val="0"/>
                <w:szCs w:val="18"/>
              </w:rPr>
              <w:t>设置是否</w:t>
            </w:r>
            <w:r>
              <w:rPr>
                <w:rFonts w:hint="eastAsia" w:cs="Times New Roman"/>
                <w:kern w:val="0"/>
                <w:szCs w:val="18"/>
              </w:rPr>
              <w:t>符合</w:t>
            </w:r>
            <w:r>
              <w:rPr>
                <w:rFonts w:cs="Times New Roman"/>
                <w:kern w:val="0"/>
                <w:szCs w:val="18"/>
              </w:rPr>
              <w:t>要求</w:t>
            </w:r>
          </w:p>
        </w:tc>
        <w:tc>
          <w:tcPr>
            <w:tcW w:w="129" w:type="pct"/>
            <w:vMerge w:val="restart"/>
            <w:vAlign w:val="center"/>
          </w:tcPr>
          <w:p w14:paraId="01E07027">
            <w:pPr>
              <w:pStyle w:val="445"/>
              <w:rPr>
                <w:rFonts w:cs="Times New Roman"/>
                <w:kern w:val="0"/>
                <w:szCs w:val="18"/>
              </w:rPr>
            </w:pPr>
            <w:r>
              <w:rPr>
                <w:rFonts w:hint="eastAsia" w:cs="Times New Roman"/>
                <w:kern w:val="0"/>
                <w:szCs w:val="18"/>
              </w:rPr>
              <w:t>排放口</w:t>
            </w:r>
            <w:r>
              <w:rPr>
                <w:rFonts w:cs="Times New Roman"/>
                <w:kern w:val="0"/>
                <w:szCs w:val="18"/>
              </w:rPr>
              <w:t>类型</w:t>
            </w:r>
          </w:p>
        </w:tc>
        <w:tc>
          <w:tcPr>
            <w:tcW w:w="1407" w:type="pct"/>
            <w:gridSpan w:val="2"/>
            <w:vAlign w:val="center"/>
          </w:tcPr>
          <w:p w14:paraId="1A3B3953">
            <w:pPr>
              <w:pStyle w:val="445"/>
              <w:rPr>
                <w:rFonts w:cs="Times New Roman"/>
                <w:kern w:val="0"/>
                <w:szCs w:val="18"/>
              </w:rPr>
            </w:pPr>
            <w:r>
              <w:rPr>
                <w:rFonts w:hint="eastAsia" w:cs="Times New Roman"/>
                <w:kern w:val="0"/>
                <w:szCs w:val="18"/>
              </w:rPr>
              <w:t>国家</w:t>
            </w:r>
            <w:r>
              <w:rPr>
                <w:rFonts w:cs="Times New Roman"/>
                <w:kern w:val="0"/>
                <w:szCs w:val="18"/>
              </w:rPr>
              <w:t>或地方污染物排放标准</w:t>
            </w:r>
          </w:p>
        </w:tc>
        <w:tc>
          <w:tcPr>
            <w:tcW w:w="226" w:type="pct"/>
            <w:vMerge w:val="restart"/>
            <w:vAlign w:val="center"/>
          </w:tcPr>
          <w:p w14:paraId="6D12EA1E">
            <w:pPr>
              <w:pStyle w:val="445"/>
              <w:rPr>
                <w:rFonts w:cs="Times New Roman"/>
                <w:kern w:val="0"/>
                <w:szCs w:val="18"/>
              </w:rPr>
            </w:pPr>
            <w:r>
              <w:rPr>
                <w:rFonts w:hint="eastAsia" w:cs="Times New Roman"/>
                <w:kern w:val="0"/>
                <w:szCs w:val="18"/>
              </w:rPr>
              <w:t>年</w:t>
            </w:r>
            <w:r>
              <w:rPr>
                <w:rFonts w:cs="Times New Roman"/>
                <w:kern w:val="0"/>
                <w:szCs w:val="18"/>
              </w:rPr>
              <w:t>排放许可量</w:t>
            </w:r>
            <w:r>
              <w:rPr>
                <w:rFonts w:hint="eastAsia" w:cs="Times New Roman"/>
                <w:kern w:val="0"/>
                <w:szCs w:val="18"/>
              </w:rPr>
              <w:t>t/a</w:t>
            </w:r>
          </w:p>
        </w:tc>
      </w:tr>
      <w:tr w14:paraId="3B08EE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3" w:type="pct"/>
            <w:vMerge w:val="continue"/>
            <w:vAlign w:val="center"/>
          </w:tcPr>
          <w:p w14:paraId="3A759D92">
            <w:pPr>
              <w:pStyle w:val="445"/>
              <w:rPr>
                <w:rFonts w:cs="Times New Roman"/>
                <w:kern w:val="0"/>
                <w:szCs w:val="18"/>
              </w:rPr>
            </w:pPr>
          </w:p>
        </w:tc>
        <w:tc>
          <w:tcPr>
            <w:tcW w:w="647" w:type="pct"/>
            <w:vMerge w:val="continue"/>
            <w:vAlign w:val="center"/>
          </w:tcPr>
          <w:p w14:paraId="4D2AB976">
            <w:pPr>
              <w:pStyle w:val="445"/>
              <w:rPr>
                <w:rFonts w:cs="Times New Roman"/>
                <w:kern w:val="0"/>
                <w:szCs w:val="18"/>
              </w:rPr>
            </w:pPr>
          </w:p>
        </w:tc>
        <w:tc>
          <w:tcPr>
            <w:tcW w:w="330" w:type="pct"/>
            <w:vMerge w:val="continue"/>
            <w:vAlign w:val="center"/>
          </w:tcPr>
          <w:p w14:paraId="7B19D262">
            <w:pPr>
              <w:pStyle w:val="445"/>
              <w:rPr>
                <w:rFonts w:cs="Times New Roman"/>
                <w:kern w:val="0"/>
                <w:szCs w:val="18"/>
              </w:rPr>
            </w:pPr>
          </w:p>
        </w:tc>
        <w:tc>
          <w:tcPr>
            <w:tcW w:w="226" w:type="pct"/>
            <w:vAlign w:val="center"/>
          </w:tcPr>
          <w:p w14:paraId="28A8F6BC">
            <w:pPr>
              <w:pStyle w:val="445"/>
              <w:rPr>
                <w:rFonts w:cs="Times New Roman"/>
                <w:kern w:val="0"/>
                <w:szCs w:val="18"/>
              </w:rPr>
            </w:pPr>
            <w:r>
              <w:rPr>
                <w:rFonts w:hint="eastAsia" w:cs="Times New Roman"/>
                <w:kern w:val="0"/>
                <w:szCs w:val="18"/>
              </w:rPr>
              <w:t>污染防治</w:t>
            </w:r>
            <w:r>
              <w:rPr>
                <w:rFonts w:cs="Times New Roman"/>
                <w:kern w:val="0"/>
                <w:szCs w:val="18"/>
              </w:rPr>
              <w:t>设施编号</w:t>
            </w:r>
          </w:p>
        </w:tc>
        <w:tc>
          <w:tcPr>
            <w:tcW w:w="155" w:type="pct"/>
            <w:vAlign w:val="center"/>
          </w:tcPr>
          <w:p w14:paraId="750E4AF5">
            <w:pPr>
              <w:pStyle w:val="445"/>
              <w:rPr>
                <w:rFonts w:cs="Times New Roman"/>
                <w:kern w:val="0"/>
                <w:szCs w:val="18"/>
              </w:rPr>
            </w:pPr>
            <w:r>
              <w:rPr>
                <w:rFonts w:hint="eastAsia" w:cs="Times New Roman"/>
                <w:kern w:val="0"/>
                <w:szCs w:val="18"/>
              </w:rPr>
              <w:t>污染防治设施名称</w:t>
            </w:r>
          </w:p>
        </w:tc>
        <w:tc>
          <w:tcPr>
            <w:tcW w:w="298" w:type="pct"/>
            <w:vAlign w:val="center"/>
          </w:tcPr>
          <w:p w14:paraId="405E8FD7">
            <w:pPr>
              <w:pStyle w:val="445"/>
              <w:rPr>
                <w:rFonts w:cs="Times New Roman"/>
                <w:kern w:val="0"/>
                <w:szCs w:val="18"/>
              </w:rPr>
            </w:pPr>
            <w:r>
              <w:rPr>
                <w:rFonts w:hint="eastAsia" w:cs="Times New Roman"/>
                <w:kern w:val="0"/>
                <w:szCs w:val="18"/>
              </w:rPr>
              <w:t>污染防治</w:t>
            </w:r>
            <w:r>
              <w:rPr>
                <w:rFonts w:cs="Times New Roman"/>
                <w:kern w:val="0"/>
                <w:szCs w:val="18"/>
              </w:rPr>
              <w:t>设施工艺</w:t>
            </w:r>
          </w:p>
        </w:tc>
        <w:tc>
          <w:tcPr>
            <w:tcW w:w="146" w:type="pct"/>
            <w:vAlign w:val="center"/>
          </w:tcPr>
          <w:p w14:paraId="06C1083F">
            <w:pPr>
              <w:pStyle w:val="445"/>
              <w:rPr>
                <w:rFonts w:cs="Times New Roman"/>
                <w:kern w:val="0"/>
                <w:szCs w:val="18"/>
              </w:rPr>
            </w:pPr>
            <w:r>
              <w:rPr>
                <w:rFonts w:hint="eastAsia" w:cs="Times New Roman"/>
                <w:kern w:val="0"/>
                <w:szCs w:val="18"/>
              </w:rPr>
              <w:t>是否为可行</w:t>
            </w:r>
            <w:r>
              <w:rPr>
                <w:rFonts w:cs="Times New Roman"/>
                <w:kern w:val="0"/>
                <w:szCs w:val="18"/>
              </w:rPr>
              <w:t>技术</w:t>
            </w:r>
          </w:p>
        </w:tc>
        <w:tc>
          <w:tcPr>
            <w:tcW w:w="173" w:type="pct"/>
            <w:vAlign w:val="center"/>
          </w:tcPr>
          <w:p w14:paraId="366603E5">
            <w:pPr>
              <w:pStyle w:val="445"/>
              <w:rPr>
                <w:rFonts w:cs="Times New Roman"/>
                <w:kern w:val="0"/>
                <w:szCs w:val="18"/>
              </w:rPr>
            </w:pPr>
            <w:r>
              <w:rPr>
                <w:rFonts w:hint="eastAsia" w:cs="Times New Roman"/>
                <w:kern w:val="0"/>
                <w:szCs w:val="18"/>
              </w:rPr>
              <w:t>污染防治</w:t>
            </w:r>
            <w:r>
              <w:rPr>
                <w:rFonts w:cs="Times New Roman"/>
                <w:kern w:val="0"/>
                <w:szCs w:val="18"/>
              </w:rPr>
              <w:t>设施其他信息</w:t>
            </w:r>
          </w:p>
        </w:tc>
        <w:tc>
          <w:tcPr>
            <w:tcW w:w="164" w:type="pct"/>
            <w:vMerge w:val="continue"/>
            <w:vAlign w:val="center"/>
          </w:tcPr>
          <w:p w14:paraId="02B04C13">
            <w:pPr>
              <w:pStyle w:val="445"/>
              <w:rPr>
                <w:rFonts w:cs="Times New Roman"/>
                <w:kern w:val="0"/>
                <w:szCs w:val="18"/>
              </w:rPr>
            </w:pPr>
          </w:p>
        </w:tc>
        <w:tc>
          <w:tcPr>
            <w:tcW w:w="120" w:type="pct"/>
            <w:vMerge w:val="continue"/>
            <w:vAlign w:val="center"/>
          </w:tcPr>
          <w:p w14:paraId="40632D40">
            <w:pPr>
              <w:pStyle w:val="445"/>
              <w:rPr>
                <w:rFonts w:cs="Times New Roman"/>
                <w:kern w:val="0"/>
                <w:szCs w:val="18"/>
              </w:rPr>
            </w:pPr>
          </w:p>
        </w:tc>
        <w:tc>
          <w:tcPr>
            <w:tcW w:w="362" w:type="pct"/>
            <w:vMerge w:val="continue"/>
            <w:vAlign w:val="center"/>
          </w:tcPr>
          <w:p w14:paraId="37CBBA82">
            <w:pPr>
              <w:pStyle w:val="445"/>
              <w:rPr>
                <w:rFonts w:cs="Times New Roman"/>
                <w:kern w:val="0"/>
                <w:szCs w:val="18"/>
              </w:rPr>
            </w:pPr>
          </w:p>
        </w:tc>
        <w:tc>
          <w:tcPr>
            <w:tcW w:w="204" w:type="pct"/>
            <w:vMerge w:val="continue"/>
            <w:vAlign w:val="center"/>
          </w:tcPr>
          <w:p w14:paraId="1DBED7EF">
            <w:pPr>
              <w:pStyle w:val="445"/>
              <w:rPr>
                <w:rFonts w:cs="Times New Roman"/>
                <w:kern w:val="0"/>
                <w:szCs w:val="18"/>
              </w:rPr>
            </w:pPr>
          </w:p>
        </w:tc>
        <w:tc>
          <w:tcPr>
            <w:tcW w:w="129" w:type="pct"/>
            <w:vMerge w:val="continue"/>
            <w:vAlign w:val="center"/>
          </w:tcPr>
          <w:p w14:paraId="3D6EA2F9">
            <w:pPr>
              <w:pStyle w:val="445"/>
              <w:rPr>
                <w:rFonts w:cs="Times New Roman"/>
                <w:kern w:val="0"/>
                <w:szCs w:val="18"/>
              </w:rPr>
            </w:pPr>
          </w:p>
        </w:tc>
        <w:tc>
          <w:tcPr>
            <w:tcW w:w="181" w:type="pct"/>
            <w:vMerge w:val="continue"/>
            <w:vAlign w:val="center"/>
          </w:tcPr>
          <w:p w14:paraId="586EF84E">
            <w:pPr>
              <w:pStyle w:val="445"/>
              <w:rPr>
                <w:rFonts w:cs="Times New Roman"/>
                <w:kern w:val="0"/>
                <w:szCs w:val="18"/>
              </w:rPr>
            </w:pPr>
          </w:p>
        </w:tc>
        <w:tc>
          <w:tcPr>
            <w:tcW w:w="129" w:type="pct"/>
            <w:vMerge w:val="continue"/>
            <w:vAlign w:val="center"/>
          </w:tcPr>
          <w:p w14:paraId="3438BDF9">
            <w:pPr>
              <w:pStyle w:val="445"/>
              <w:rPr>
                <w:rFonts w:cs="Times New Roman"/>
                <w:kern w:val="0"/>
                <w:szCs w:val="18"/>
              </w:rPr>
            </w:pPr>
          </w:p>
        </w:tc>
        <w:tc>
          <w:tcPr>
            <w:tcW w:w="1182" w:type="pct"/>
            <w:vAlign w:val="center"/>
          </w:tcPr>
          <w:p w14:paraId="7FDCDA09">
            <w:pPr>
              <w:pStyle w:val="445"/>
              <w:rPr>
                <w:rFonts w:cs="Times New Roman"/>
                <w:kern w:val="0"/>
                <w:szCs w:val="18"/>
              </w:rPr>
            </w:pPr>
            <w:r>
              <w:rPr>
                <w:rFonts w:hint="eastAsia" w:cs="Times New Roman"/>
                <w:kern w:val="0"/>
                <w:szCs w:val="18"/>
              </w:rPr>
              <w:t>标准名称</w:t>
            </w:r>
          </w:p>
        </w:tc>
        <w:tc>
          <w:tcPr>
            <w:tcW w:w="225" w:type="pct"/>
            <w:vAlign w:val="center"/>
          </w:tcPr>
          <w:p w14:paraId="56A590A4">
            <w:pPr>
              <w:pStyle w:val="445"/>
              <w:rPr>
                <w:rFonts w:cs="Times New Roman"/>
                <w:kern w:val="0"/>
                <w:szCs w:val="18"/>
              </w:rPr>
            </w:pPr>
            <w:r>
              <w:rPr>
                <w:rFonts w:hint="eastAsia" w:cs="Times New Roman"/>
                <w:kern w:val="0"/>
                <w:szCs w:val="18"/>
              </w:rPr>
              <w:t>浓度</w:t>
            </w:r>
            <w:r>
              <w:rPr>
                <w:rFonts w:cs="Times New Roman"/>
                <w:kern w:val="0"/>
                <w:szCs w:val="18"/>
              </w:rPr>
              <w:t>限值</w:t>
            </w:r>
          </w:p>
        </w:tc>
        <w:tc>
          <w:tcPr>
            <w:tcW w:w="226" w:type="pct"/>
            <w:vMerge w:val="continue"/>
            <w:vAlign w:val="center"/>
          </w:tcPr>
          <w:p w14:paraId="28AAC9B5">
            <w:pPr>
              <w:pStyle w:val="445"/>
              <w:rPr>
                <w:rFonts w:cs="Times New Roman"/>
                <w:kern w:val="0"/>
                <w:szCs w:val="18"/>
              </w:rPr>
            </w:pPr>
          </w:p>
        </w:tc>
      </w:tr>
      <w:tr w14:paraId="5722DF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3" w:type="pct"/>
            <w:vAlign w:val="center"/>
          </w:tcPr>
          <w:p w14:paraId="60AC1AF4">
            <w:pPr>
              <w:pStyle w:val="445"/>
              <w:rPr>
                <w:rFonts w:cs="Times New Roman"/>
                <w:kern w:val="0"/>
                <w:szCs w:val="18"/>
              </w:rPr>
            </w:pPr>
            <w:r>
              <w:rPr>
                <w:rFonts w:hint="eastAsia" w:cs="Times New Roman"/>
                <w:kern w:val="0"/>
                <w:szCs w:val="18"/>
              </w:rPr>
              <w:t>1</w:t>
            </w:r>
          </w:p>
        </w:tc>
        <w:tc>
          <w:tcPr>
            <w:tcW w:w="647" w:type="pct"/>
            <w:vAlign w:val="center"/>
          </w:tcPr>
          <w:p w14:paraId="4592E7F2">
            <w:pPr>
              <w:pStyle w:val="445"/>
              <w:rPr>
                <w:rFonts w:cs="Times New Roman"/>
                <w:kern w:val="0"/>
                <w:szCs w:val="18"/>
              </w:rPr>
            </w:pPr>
            <w:r>
              <w:rPr>
                <w:rFonts w:hint="eastAsia" w:cs="Times New Roman"/>
                <w:kern w:val="0"/>
                <w:szCs w:val="18"/>
              </w:rPr>
              <w:t>综合废水</w:t>
            </w:r>
            <w:r>
              <w:rPr>
                <w:rFonts w:cs="Times New Roman"/>
                <w:kern w:val="0"/>
                <w:szCs w:val="18"/>
              </w:rPr>
              <w:t>（</w:t>
            </w:r>
            <w:r>
              <w:rPr>
                <w:rFonts w:cs="Times New Roman"/>
                <w:kern w:val="0"/>
                <w:szCs w:val="20"/>
              </w:rPr>
              <w:t>水解废水</w:t>
            </w:r>
            <w:r>
              <w:rPr>
                <w:rFonts w:hint="eastAsia" w:cs="Times New Roman"/>
                <w:kern w:val="0"/>
                <w:szCs w:val="20"/>
              </w:rPr>
              <w:t>、</w:t>
            </w:r>
            <w:r>
              <w:rPr>
                <w:rFonts w:cs="Times New Roman"/>
                <w:kern w:val="0"/>
                <w:szCs w:val="20"/>
              </w:rPr>
              <w:t>设备</w:t>
            </w:r>
            <w:r>
              <w:rPr>
                <w:rFonts w:hint="eastAsia" w:cs="Times New Roman"/>
                <w:kern w:val="0"/>
                <w:szCs w:val="20"/>
              </w:rPr>
              <w:t>冲洗</w:t>
            </w:r>
            <w:r>
              <w:rPr>
                <w:rFonts w:cs="Times New Roman"/>
                <w:kern w:val="0"/>
                <w:szCs w:val="20"/>
              </w:rPr>
              <w:t>水</w:t>
            </w:r>
            <w:r>
              <w:rPr>
                <w:rFonts w:hint="eastAsia" w:cs="Times New Roman"/>
                <w:kern w:val="0"/>
                <w:szCs w:val="20"/>
              </w:rPr>
              <w:t>、</w:t>
            </w:r>
            <w:r>
              <w:rPr>
                <w:rFonts w:cs="Times New Roman"/>
                <w:kern w:val="0"/>
                <w:szCs w:val="20"/>
              </w:rPr>
              <w:t>地面冲洗水</w:t>
            </w:r>
            <w:r>
              <w:rPr>
                <w:rFonts w:hint="eastAsia" w:cs="Times New Roman"/>
                <w:kern w:val="0"/>
                <w:szCs w:val="20"/>
              </w:rPr>
              <w:t>、</w:t>
            </w:r>
            <w:r>
              <w:rPr>
                <w:rFonts w:cs="Times New Roman"/>
                <w:kern w:val="0"/>
                <w:szCs w:val="20"/>
              </w:rPr>
              <w:t>废气</w:t>
            </w:r>
            <w:r>
              <w:rPr>
                <w:rFonts w:hint="eastAsia" w:cs="Times New Roman"/>
                <w:kern w:val="0"/>
                <w:szCs w:val="20"/>
              </w:rPr>
              <w:t>处理</w:t>
            </w:r>
            <w:r>
              <w:rPr>
                <w:rFonts w:cs="Times New Roman"/>
                <w:kern w:val="0"/>
                <w:szCs w:val="20"/>
              </w:rPr>
              <w:t>设施排水</w:t>
            </w:r>
            <w:r>
              <w:rPr>
                <w:rFonts w:hint="eastAsia" w:cs="Times New Roman"/>
                <w:kern w:val="0"/>
                <w:szCs w:val="20"/>
              </w:rPr>
              <w:t>、实验室</w:t>
            </w:r>
            <w:r>
              <w:rPr>
                <w:rFonts w:cs="Times New Roman"/>
                <w:color w:val="000000" w:themeColor="text1"/>
                <w:kern w:val="0"/>
                <w:szCs w:val="20"/>
                <w14:textFill>
                  <w14:solidFill>
                    <w14:schemeClr w14:val="tx1"/>
                  </w14:solidFill>
                </w14:textFill>
              </w:rPr>
              <w:t>废水</w:t>
            </w:r>
            <w:r>
              <w:rPr>
                <w:rFonts w:hint="eastAsia" w:cs="Times New Roman"/>
                <w:color w:val="000000" w:themeColor="text1"/>
                <w:kern w:val="0"/>
                <w:szCs w:val="20"/>
                <w14:textFill>
                  <w14:solidFill>
                    <w14:schemeClr w14:val="tx1"/>
                  </w14:solidFill>
                </w14:textFill>
              </w:rPr>
              <w:t>、</w:t>
            </w:r>
            <w:r>
              <w:rPr>
                <w:rFonts w:cs="Times New Roman"/>
                <w:color w:val="000000" w:themeColor="text1"/>
                <w:kern w:val="0"/>
                <w:szCs w:val="20"/>
                <w14:textFill>
                  <w14:solidFill>
                    <w14:schemeClr w14:val="tx1"/>
                  </w14:solidFill>
                </w14:textFill>
              </w:rPr>
              <w:t>再生水</w:t>
            </w:r>
            <w:r>
              <w:rPr>
                <w:rFonts w:hint="eastAsia" w:cs="Times New Roman"/>
                <w:color w:val="000000" w:themeColor="text1"/>
                <w:kern w:val="0"/>
                <w:szCs w:val="20"/>
                <w14:textFill>
                  <w14:solidFill>
                    <w14:schemeClr w14:val="tx1"/>
                  </w14:solidFill>
                </w14:textFill>
              </w:rPr>
              <w:t>、</w:t>
            </w:r>
            <w:r>
              <w:rPr>
                <w:rFonts w:cs="Times New Roman"/>
                <w:color w:val="000000" w:themeColor="text1"/>
                <w:kern w:val="0"/>
                <w:szCs w:val="20"/>
                <w14:textFill>
                  <w14:solidFill>
                    <w14:schemeClr w14:val="tx1"/>
                  </w14:solidFill>
                </w14:textFill>
              </w:rPr>
              <w:t>生活污水和初期雨水</w:t>
            </w:r>
            <w:r>
              <w:rPr>
                <w:rFonts w:cs="Times New Roman"/>
                <w:kern w:val="0"/>
                <w:szCs w:val="18"/>
              </w:rPr>
              <w:t>）</w:t>
            </w:r>
          </w:p>
        </w:tc>
        <w:tc>
          <w:tcPr>
            <w:tcW w:w="330" w:type="pct"/>
            <w:vAlign w:val="center"/>
          </w:tcPr>
          <w:p w14:paraId="2FD8F892">
            <w:pPr>
              <w:pStyle w:val="445"/>
              <w:rPr>
                <w:rFonts w:cs="Times New Roman"/>
                <w:kern w:val="0"/>
                <w:szCs w:val="18"/>
                <w:vertAlign w:val="subscript"/>
              </w:rPr>
            </w:pPr>
            <w:r>
              <w:rPr>
                <w:rFonts w:cs="Times New Roman"/>
                <w:kern w:val="0"/>
                <w:szCs w:val="18"/>
              </w:rPr>
              <w:t>COD、SS</w:t>
            </w:r>
            <w:r>
              <w:rPr>
                <w:rFonts w:hint="eastAsia" w:cs="Times New Roman"/>
                <w:kern w:val="0"/>
                <w:szCs w:val="18"/>
              </w:rPr>
              <w:t>、</w:t>
            </w:r>
            <w:r>
              <w:rPr>
                <w:rFonts w:cs="Times New Roman"/>
                <w:kern w:val="0"/>
                <w:szCs w:val="18"/>
              </w:rPr>
              <w:t>氟化物</w:t>
            </w:r>
            <w:r>
              <w:rPr>
                <w:rFonts w:hint="eastAsia" w:cs="Times New Roman"/>
                <w:kern w:val="0"/>
                <w:szCs w:val="18"/>
              </w:rPr>
              <w:t>、</w:t>
            </w:r>
            <w:r>
              <w:rPr>
                <w:rFonts w:cs="Times New Roman"/>
                <w:kern w:val="0"/>
                <w:szCs w:val="18"/>
              </w:rPr>
              <w:t>氨氮、TP、盐分</w:t>
            </w:r>
            <w:r>
              <w:rPr>
                <w:rFonts w:hint="eastAsia" w:cs="Times New Roman"/>
                <w:kern w:val="0"/>
                <w:szCs w:val="18"/>
              </w:rPr>
              <w:t>、</w:t>
            </w:r>
            <w:r>
              <w:rPr>
                <w:rFonts w:cs="Times New Roman"/>
                <w:kern w:val="0"/>
                <w:szCs w:val="18"/>
              </w:rPr>
              <w:t>BOD</w:t>
            </w:r>
            <w:r>
              <w:rPr>
                <w:rFonts w:cs="Times New Roman"/>
                <w:kern w:val="0"/>
                <w:szCs w:val="18"/>
                <w:vertAlign w:val="subscript"/>
              </w:rPr>
              <w:t>5</w:t>
            </w:r>
          </w:p>
        </w:tc>
        <w:tc>
          <w:tcPr>
            <w:tcW w:w="226" w:type="pct"/>
            <w:vAlign w:val="center"/>
          </w:tcPr>
          <w:p w14:paraId="31C4C1B8">
            <w:pPr>
              <w:pStyle w:val="445"/>
              <w:rPr>
                <w:rFonts w:cs="Times New Roman"/>
                <w:kern w:val="0"/>
                <w:szCs w:val="18"/>
              </w:rPr>
            </w:pPr>
            <w:r>
              <w:rPr>
                <w:rFonts w:hint="eastAsia" w:cs="Times New Roman"/>
                <w:kern w:val="0"/>
                <w:szCs w:val="18"/>
              </w:rPr>
              <w:t>TW001</w:t>
            </w:r>
          </w:p>
        </w:tc>
        <w:tc>
          <w:tcPr>
            <w:tcW w:w="155" w:type="pct"/>
            <w:vAlign w:val="center"/>
          </w:tcPr>
          <w:p w14:paraId="64489106">
            <w:pPr>
              <w:pStyle w:val="445"/>
              <w:rPr>
                <w:rFonts w:cs="Times New Roman"/>
                <w:kern w:val="0"/>
                <w:szCs w:val="18"/>
              </w:rPr>
            </w:pPr>
            <w:r>
              <w:rPr>
                <w:rFonts w:hint="eastAsia" w:cs="Times New Roman"/>
                <w:kern w:val="0"/>
                <w:szCs w:val="18"/>
              </w:rPr>
              <w:t>污水处理站</w:t>
            </w:r>
          </w:p>
        </w:tc>
        <w:tc>
          <w:tcPr>
            <w:tcW w:w="298" w:type="pct"/>
            <w:vAlign w:val="center"/>
          </w:tcPr>
          <w:p w14:paraId="4EF08392">
            <w:pPr>
              <w:pStyle w:val="445"/>
              <w:rPr>
                <w:rFonts w:cs="Times New Roman"/>
                <w:kern w:val="0"/>
                <w:szCs w:val="18"/>
              </w:rPr>
            </w:pPr>
            <w:r>
              <w:rPr>
                <w:rFonts w:hint="eastAsia" w:cs="Times New Roman"/>
                <w:kern w:val="0"/>
                <w:szCs w:val="20"/>
              </w:rPr>
              <w:t>调节池+混凝沉淀+水解酸化+MBR</w:t>
            </w:r>
          </w:p>
        </w:tc>
        <w:tc>
          <w:tcPr>
            <w:tcW w:w="146" w:type="pct"/>
            <w:vAlign w:val="center"/>
          </w:tcPr>
          <w:p w14:paraId="7BF4638F">
            <w:pPr>
              <w:pStyle w:val="445"/>
              <w:rPr>
                <w:rFonts w:cs="Times New Roman"/>
                <w:kern w:val="0"/>
                <w:szCs w:val="18"/>
              </w:rPr>
            </w:pPr>
            <w:r>
              <w:rPr>
                <w:rFonts w:hint="eastAsia" w:cs="Times New Roman"/>
                <w:kern w:val="0"/>
                <w:szCs w:val="18"/>
              </w:rPr>
              <w:t>是</w:t>
            </w:r>
          </w:p>
        </w:tc>
        <w:tc>
          <w:tcPr>
            <w:tcW w:w="173" w:type="pct"/>
            <w:vAlign w:val="center"/>
          </w:tcPr>
          <w:p w14:paraId="699C57E3">
            <w:pPr>
              <w:pStyle w:val="445"/>
              <w:rPr>
                <w:rFonts w:cs="Times New Roman"/>
                <w:kern w:val="0"/>
                <w:szCs w:val="18"/>
              </w:rPr>
            </w:pPr>
            <w:r>
              <w:rPr>
                <w:rFonts w:hint="eastAsia" w:cs="Times New Roman"/>
                <w:kern w:val="0"/>
                <w:szCs w:val="18"/>
              </w:rPr>
              <w:t>/</w:t>
            </w:r>
          </w:p>
        </w:tc>
        <w:tc>
          <w:tcPr>
            <w:tcW w:w="164" w:type="pct"/>
            <w:vMerge w:val="restart"/>
            <w:vAlign w:val="center"/>
          </w:tcPr>
          <w:p w14:paraId="2DE491E2">
            <w:pPr>
              <w:pStyle w:val="445"/>
              <w:rPr>
                <w:rFonts w:cs="Times New Roman"/>
                <w:kern w:val="0"/>
                <w:szCs w:val="18"/>
              </w:rPr>
            </w:pPr>
            <w:r>
              <w:rPr>
                <w:rFonts w:hint="eastAsia" w:cs="Times New Roman"/>
                <w:kern w:val="0"/>
                <w:szCs w:val="18"/>
              </w:rPr>
              <w:t>接管园区</w:t>
            </w:r>
            <w:r>
              <w:rPr>
                <w:rFonts w:cs="Times New Roman"/>
                <w:kern w:val="0"/>
                <w:szCs w:val="18"/>
              </w:rPr>
              <w:t>污水处理厂</w:t>
            </w:r>
          </w:p>
        </w:tc>
        <w:tc>
          <w:tcPr>
            <w:tcW w:w="120" w:type="pct"/>
            <w:vMerge w:val="restart"/>
            <w:vAlign w:val="center"/>
          </w:tcPr>
          <w:p w14:paraId="34BD4C97">
            <w:pPr>
              <w:pStyle w:val="445"/>
              <w:rPr>
                <w:rFonts w:cs="Times New Roman"/>
                <w:kern w:val="0"/>
                <w:szCs w:val="18"/>
              </w:rPr>
            </w:pPr>
            <w:r>
              <w:rPr>
                <w:rFonts w:hint="eastAsia" w:cs="Times New Roman"/>
                <w:kern w:val="0"/>
                <w:szCs w:val="18"/>
              </w:rPr>
              <w:t>间接</w:t>
            </w:r>
            <w:r>
              <w:rPr>
                <w:rFonts w:cs="Times New Roman"/>
                <w:kern w:val="0"/>
                <w:szCs w:val="18"/>
              </w:rPr>
              <w:t>排放</w:t>
            </w:r>
          </w:p>
        </w:tc>
        <w:tc>
          <w:tcPr>
            <w:tcW w:w="362" w:type="pct"/>
            <w:vMerge w:val="restart"/>
            <w:vAlign w:val="center"/>
          </w:tcPr>
          <w:p w14:paraId="5D300D41">
            <w:pPr>
              <w:pStyle w:val="445"/>
              <w:rPr>
                <w:rFonts w:cs="Times New Roman"/>
                <w:kern w:val="0"/>
                <w:szCs w:val="18"/>
              </w:rPr>
            </w:pPr>
            <w:r>
              <w:rPr>
                <w:rFonts w:hint="eastAsia" w:ascii="宋体" w:hAnsi="宋体" w:cs="Times New Roman"/>
                <w:kern w:val="0"/>
                <w:szCs w:val="20"/>
              </w:rPr>
              <w:t>间断排放，排放期间流量不稳定且无规律，但不属于冲击型排放</w:t>
            </w:r>
          </w:p>
        </w:tc>
        <w:tc>
          <w:tcPr>
            <w:tcW w:w="204" w:type="pct"/>
            <w:vMerge w:val="restart"/>
            <w:vAlign w:val="center"/>
          </w:tcPr>
          <w:p w14:paraId="17794CA2">
            <w:pPr>
              <w:pStyle w:val="445"/>
              <w:rPr>
                <w:rFonts w:cs="Times New Roman"/>
                <w:kern w:val="0"/>
                <w:szCs w:val="18"/>
              </w:rPr>
            </w:pPr>
            <w:r>
              <w:rPr>
                <w:rFonts w:hint="eastAsia" w:cs="Times New Roman"/>
                <w:kern w:val="0"/>
                <w:szCs w:val="18"/>
              </w:rPr>
              <w:t>DW001</w:t>
            </w:r>
          </w:p>
        </w:tc>
        <w:tc>
          <w:tcPr>
            <w:tcW w:w="129" w:type="pct"/>
            <w:vMerge w:val="restart"/>
            <w:vAlign w:val="center"/>
          </w:tcPr>
          <w:p w14:paraId="237DAA69">
            <w:pPr>
              <w:pStyle w:val="445"/>
              <w:rPr>
                <w:rFonts w:cs="Times New Roman"/>
                <w:kern w:val="0"/>
                <w:szCs w:val="18"/>
              </w:rPr>
            </w:pPr>
            <w:r>
              <w:rPr>
                <w:rFonts w:hint="eastAsia" w:cs="Times New Roman"/>
                <w:kern w:val="0"/>
                <w:szCs w:val="18"/>
              </w:rPr>
              <w:t>废水</w:t>
            </w:r>
            <w:r>
              <w:rPr>
                <w:rFonts w:cs="Times New Roman"/>
                <w:kern w:val="0"/>
                <w:szCs w:val="18"/>
              </w:rPr>
              <w:t>总排口</w:t>
            </w:r>
          </w:p>
        </w:tc>
        <w:tc>
          <w:tcPr>
            <w:tcW w:w="181" w:type="pct"/>
            <w:vMerge w:val="restart"/>
            <w:vAlign w:val="center"/>
          </w:tcPr>
          <w:p w14:paraId="26FF4388">
            <w:pPr>
              <w:pStyle w:val="445"/>
              <w:rPr>
                <w:rFonts w:cs="Times New Roman"/>
                <w:kern w:val="0"/>
                <w:szCs w:val="18"/>
              </w:rPr>
            </w:pPr>
            <w:r>
              <w:rPr>
                <w:rFonts w:hint="eastAsia" w:cs="Times New Roman"/>
                <w:kern w:val="0"/>
                <w:szCs w:val="18"/>
              </w:rPr>
              <w:t>是</w:t>
            </w:r>
          </w:p>
        </w:tc>
        <w:tc>
          <w:tcPr>
            <w:tcW w:w="129" w:type="pct"/>
            <w:vMerge w:val="restart"/>
            <w:vAlign w:val="center"/>
          </w:tcPr>
          <w:p w14:paraId="29CE7387">
            <w:pPr>
              <w:pStyle w:val="445"/>
              <w:rPr>
                <w:rFonts w:cs="Times New Roman"/>
                <w:kern w:val="0"/>
                <w:szCs w:val="18"/>
              </w:rPr>
            </w:pPr>
            <w:r>
              <w:rPr>
                <w:rFonts w:hint="eastAsia" w:cs="Times New Roman"/>
                <w:kern w:val="0"/>
                <w:szCs w:val="18"/>
              </w:rPr>
              <w:t>主要排放口</w:t>
            </w:r>
          </w:p>
        </w:tc>
        <w:tc>
          <w:tcPr>
            <w:tcW w:w="1182" w:type="pct"/>
            <w:vMerge w:val="restart"/>
            <w:vAlign w:val="center"/>
          </w:tcPr>
          <w:p w14:paraId="7032C194">
            <w:pPr>
              <w:pStyle w:val="445"/>
              <w:rPr>
                <w:rFonts w:cs="Times New Roman"/>
                <w:kern w:val="0"/>
                <w:szCs w:val="18"/>
              </w:rPr>
            </w:pPr>
            <w:r>
              <w:rPr>
                <w:rFonts w:ascii="宋体" w:hAnsi="宋体" w:cs="Times New Roman"/>
                <w:kern w:val="0"/>
                <w:szCs w:val="20"/>
              </w:rPr>
              <w:t>沫河口园区污水处理厂接管标准</w:t>
            </w:r>
            <w:r>
              <w:rPr>
                <w:rFonts w:hint="eastAsia" w:ascii="宋体" w:hAnsi="宋体" w:cs="Times New Roman"/>
                <w:kern w:val="0"/>
                <w:szCs w:val="20"/>
              </w:rPr>
              <w:t>、《污水综合排放标准》（</w:t>
            </w:r>
            <w:r>
              <w:rPr>
                <w:rFonts w:hint="eastAsia" w:cs="Times New Roman"/>
                <w:kern w:val="0"/>
                <w:szCs w:val="20"/>
              </w:rPr>
              <w:t>G</w:t>
            </w:r>
            <w:r>
              <w:rPr>
                <w:rFonts w:cs="Times New Roman"/>
                <w:kern w:val="0"/>
                <w:szCs w:val="20"/>
              </w:rPr>
              <w:t>B8978-1996</w:t>
            </w:r>
            <w:r>
              <w:rPr>
                <w:rFonts w:hint="eastAsia" w:ascii="宋体" w:hAnsi="宋体" w:cs="Times New Roman"/>
                <w:kern w:val="0"/>
                <w:szCs w:val="20"/>
              </w:rPr>
              <w:t>）中表</w:t>
            </w:r>
            <w:r>
              <w:rPr>
                <w:rFonts w:hint="eastAsia" w:cs="Times New Roman"/>
                <w:kern w:val="0"/>
                <w:szCs w:val="20"/>
              </w:rPr>
              <w:t>4</w:t>
            </w:r>
            <w:r>
              <w:rPr>
                <w:rFonts w:hint="eastAsia" w:ascii="宋体" w:hAnsi="宋体" w:cs="Times New Roman"/>
                <w:kern w:val="0"/>
                <w:szCs w:val="20"/>
              </w:rPr>
              <w:t>的三级标准和</w:t>
            </w:r>
            <w:r>
              <w:rPr>
                <w:rFonts w:hint="eastAsia" w:cs="Times New Roman"/>
                <w:kern w:val="0"/>
                <w:szCs w:val="24"/>
              </w:rPr>
              <w:t>《无机化学工业污染物排放标准》（GB31573-2015）水污染物间接排放限值中水污染物间接排放限值</w:t>
            </w:r>
          </w:p>
        </w:tc>
        <w:tc>
          <w:tcPr>
            <w:tcW w:w="225" w:type="pct"/>
            <w:vMerge w:val="restart"/>
            <w:vAlign w:val="center"/>
          </w:tcPr>
          <w:p w14:paraId="66394C2A">
            <w:pPr>
              <w:pStyle w:val="445"/>
              <w:rPr>
                <w:rFonts w:cs="Times New Roman"/>
                <w:kern w:val="0"/>
                <w:szCs w:val="18"/>
              </w:rPr>
            </w:pPr>
            <w:r>
              <w:rPr>
                <w:rFonts w:cs="Times New Roman"/>
                <w:kern w:val="0"/>
                <w:szCs w:val="18"/>
              </w:rPr>
              <w:t>pH6~9</w:t>
            </w:r>
          </w:p>
          <w:p w14:paraId="3F2BDBC6">
            <w:pPr>
              <w:pStyle w:val="445"/>
              <w:rPr>
                <w:rFonts w:cs="Times New Roman"/>
                <w:kern w:val="0"/>
                <w:szCs w:val="18"/>
              </w:rPr>
            </w:pPr>
            <w:r>
              <w:rPr>
                <w:rFonts w:cs="Times New Roman"/>
                <w:kern w:val="0"/>
                <w:szCs w:val="18"/>
              </w:rPr>
              <w:t>COD</w:t>
            </w:r>
            <w:r>
              <w:rPr>
                <w:rFonts w:hint="eastAsia" w:cs="Times New Roman"/>
                <w:kern w:val="0"/>
                <w:szCs w:val="18"/>
              </w:rPr>
              <w:t>200</w:t>
            </w:r>
          </w:p>
          <w:p w14:paraId="109AFFB8">
            <w:pPr>
              <w:pStyle w:val="445"/>
              <w:rPr>
                <w:rFonts w:cs="Times New Roman"/>
                <w:kern w:val="0"/>
                <w:szCs w:val="18"/>
              </w:rPr>
            </w:pPr>
            <w:r>
              <w:rPr>
                <w:rFonts w:hint="eastAsia" w:cs="Times New Roman"/>
                <w:kern w:val="0"/>
                <w:szCs w:val="18"/>
              </w:rPr>
              <w:t>SS</w:t>
            </w:r>
            <w:r>
              <w:rPr>
                <w:rFonts w:cs="Times New Roman"/>
                <w:kern w:val="0"/>
                <w:szCs w:val="18"/>
              </w:rPr>
              <w:t>100</w:t>
            </w:r>
          </w:p>
          <w:p w14:paraId="2550DF95">
            <w:pPr>
              <w:pStyle w:val="445"/>
              <w:rPr>
                <w:rFonts w:cs="Times New Roman"/>
                <w:kern w:val="0"/>
                <w:szCs w:val="18"/>
              </w:rPr>
            </w:pPr>
            <w:r>
              <w:rPr>
                <w:rFonts w:hint="eastAsia" w:cs="Times New Roman"/>
                <w:kern w:val="0"/>
                <w:szCs w:val="18"/>
              </w:rPr>
              <w:t>氨氮</w:t>
            </w:r>
            <w:r>
              <w:rPr>
                <w:rFonts w:cs="Times New Roman"/>
                <w:kern w:val="0"/>
                <w:szCs w:val="18"/>
              </w:rPr>
              <w:t>30</w:t>
            </w:r>
          </w:p>
          <w:p w14:paraId="2A9E1146">
            <w:pPr>
              <w:pStyle w:val="445"/>
              <w:rPr>
                <w:rFonts w:cs="Times New Roman"/>
                <w:kern w:val="0"/>
                <w:szCs w:val="18"/>
              </w:rPr>
            </w:pPr>
            <w:r>
              <w:rPr>
                <w:rFonts w:hint="eastAsia" w:cs="Times New Roman"/>
                <w:kern w:val="0"/>
                <w:szCs w:val="18"/>
              </w:rPr>
              <w:t>BOD</w:t>
            </w:r>
            <w:r>
              <w:rPr>
                <w:rFonts w:cs="Times New Roman"/>
                <w:kern w:val="0"/>
                <w:szCs w:val="18"/>
                <w:vertAlign w:val="subscript"/>
              </w:rPr>
              <w:t>5</w:t>
            </w:r>
            <w:r>
              <w:rPr>
                <w:rFonts w:hint="eastAsia" w:cs="Times New Roman"/>
                <w:kern w:val="0"/>
                <w:szCs w:val="18"/>
              </w:rPr>
              <w:t>120</w:t>
            </w:r>
          </w:p>
          <w:p w14:paraId="0D098279">
            <w:pPr>
              <w:pStyle w:val="445"/>
              <w:rPr>
                <w:rFonts w:cs="Times New Roman"/>
                <w:kern w:val="0"/>
                <w:szCs w:val="18"/>
              </w:rPr>
            </w:pPr>
            <w:r>
              <w:rPr>
                <w:rFonts w:hint="eastAsia" w:cs="Times New Roman"/>
                <w:kern w:val="0"/>
                <w:szCs w:val="18"/>
              </w:rPr>
              <w:t>TP2</w:t>
            </w:r>
          </w:p>
          <w:p w14:paraId="40DF1FD8">
            <w:pPr>
              <w:pStyle w:val="445"/>
              <w:rPr>
                <w:rFonts w:cs="Times New Roman"/>
                <w:kern w:val="0"/>
                <w:szCs w:val="18"/>
              </w:rPr>
            </w:pPr>
            <w:r>
              <w:rPr>
                <w:rFonts w:hint="eastAsia" w:cs="Times New Roman"/>
                <w:kern w:val="0"/>
                <w:szCs w:val="18"/>
              </w:rPr>
              <w:t>氟化物6</w:t>
            </w:r>
          </w:p>
          <w:p w14:paraId="4AD56AAC">
            <w:pPr>
              <w:pStyle w:val="445"/>
              <w:rPr>
                <w:rFonts w:cs="Times New Roman"/>
                <w:kern w:val="0"/>
                <w:szCs w:val="18"/>
              </w:rPr>
            </w:pPr>
            <w:r>
              <w:rPr>
                <w:rFonts w:hint="eastAsia" w:cs="Times New Roman"/>
                <w:kern w:val="0"/>
                <w:szCs w:val="18"/>
              </w:rPr>
              <w:t>盐分3000</w:t>
            </w:r>
          </w:p>
        </w:tc>
        <w:tc>
          <w:tcPr>
            <w:tcW w:w="226" w:type="pct"/>
            <w:vMerge w:val="restart"/>
            <w:vAlign w:val="center"/>
          </w:tcPr>
          <w:p w14:paraId="786A3414">
            <w:pPr>
              <w:pStyle w:val="445"/>
              <w:rPr>
                <w:rFonts w:cs="Times New Roman"/>
                <w:kern w:val="0"/>
                <w:szCs w:val="20"/>
              </w:rPr>
            </w:pPr>
            <w:r>
              <w:rPr>
                <w:rFonts w:cs="Times New Roman"/>
                <w:kern w:val="0"/>
                <w:szCs w:val="20"/>
              </w:rPr>
              <w:t>COD 8.79t/a</w:t>
            </w:r>
          </w:p>
          <w:p w14:paraId="1D5CDD2D">
            <w:pPr>
              <w:pStyle w:val="445"/>
              <w:rPr>
                <w:rFonts w:cs="Times New Roman"/>
                <w:kern w:val="0"/>
                <w:szCs w:val="20"/>
              </w:rPr>
            </w:pPr>
            <w:r>
              <w:rPr>
                <w:rFonts w:hint="eastAsia" w:cs="Times New Roman"/>
                <w:kern w:val="0"/>
                <w:szCs w:val="20"/>
              </w:rPr>
              <w:t>氨氮0.54</w:t>
            </w:r>
            <w:r>
              <w:rPr>
                <w:rFonts w:cs="Times New Roman"/>
                <w:kern w:val="0"/>
                <w:szCs w:val="20"/>
              </w:rPr>
              <w:t>t/a</w:t>
            </w:r>
          </w:p>
          <w:p w14:paraId="0E9DCF35">
            <w:pPr>
              <w:pStyle w:val="445"/>
              <w:rPr>
                <w:rFonts w:cs="Times New Roman"/>
                <w:kern w:val="0"/>
                <w:szCs w:val="18"/>
              </w:rPr>
            </w:pPr>
          </w:p>
        </w:tc>
      </w:tr>
      <w:tr w14:paraId="5C535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3" w:type="pct"/>
            <w:vAlign w:val="center"/>
          </w:tcPr>
          <w:p w14:paraId="6FD785CD">
            <w:pPr>
              <w:pStyle w:val="445"/>
              <w:rPr>
                <w:rFonts w:cs="Times New Roman"/>
                <w:kern w:val="0"/>
                <w:szCs w:val="18"/>
              </w:rPr>
            </w:pPr>
            <w:r>
              <w:rPr>
                <w:rFonts w:cs="Times New Roman"/>
                <w:kern w:val="0"/>
                <w:szCs w:val="18"/>
              </w:rPr>
              <w:t>2</w:t>
            </w:r>
          </w:p>
        </w:tc>
        <w:tc>
          <w:tcPr>
            <w:tcW w:w="647" w:type="pct"/>
            <w:vAlign w:val="center"/>
          </w:tcPr>
          <w:p w14:paraId="3A34F0E0">
            <w:pPr>
              <w:pStyle w:val="445"/>
              <w:rPr>
                <w:rFonts w:cs="Times New Roman"/>
                <w:kern w:val="0"/>
                <w:szCs w:val="18"/>
              </w:rPr>
            </w:pPr>
            <w:r>
              <w:rPr>
                <w:rFonts w:hint="eastAsia" w:cs="Times New Roman"/>
                <w:kern w:val="0"/>
                <w:szCs w:val="18"/>
              </w:rPr>
              <w:t>纯水</w:t>
            </w:r>
            <w:r>
              <w:rPr>
                <w:rFonts w:cs="Times New Roman"/>
                <w:kern w:val="0"/>
                <w:szCs w:val="18"/>
              </w:rPr>
              <w:t>制备排水</w:t>
            </w:r>
            <w:r>
              <w:rPr>
                <w:rFonts w:hint="eastAsia" w:cs="Times New Roman"/>
                <w:kern w:val="0"/>
                <w:szCs w:val="18"/>
              </w:rPr>
              <w:t>和</w:t>
            </w:r>
            <w:r>
              <w:rPr>
                <w:rFonts w:cs="Times New Roman"/>
                <w:kern w:val="0"/>
                <w:szCs w:val="18"/>
              </w:rPr>
              <w:t>循环</w:t>
            </w:r>
            <w:r>
              <w:rPr>
                <w:rFonts w:hint="eastAsia" w:cs="Times New Roman"/>
                <w:kern w:val="0"/>
                <w:szCs w:val="18"/>
              </w:rPr>
              <w:t>冷却水</w:t>
            </w:r>
            <w:r>
              <w:rPr>
                <w:rFonts w:cs="Times New Roman"/>
                <w:kern w:val="0"/>
                <w:szCs w:val="18"/>
              </w:rPr>
              <w:t>排水</w:t>
            </w:r>
          </w:p>
        </w:tc>
        <w:tc>
          <w:tcPr>
            <w:tcW w:w="330" w:type="pct"/>
            <w:vAlign w:val="center"/>
          </w:tcPr>
          <w:p w14:paraId="1C098E54">
            <w:pPr>
              <w:pStyle w:val="445"/>
              <w:rPr>
                <w:rFonts w:cs="Times New Roman"/>
                <w:kern w:val="0"/>
                <w:szCs w:val="18"/>
              </w:rPr>
            </w:pPr>
            <w:r>
              <w:rPr>
                <w:rFonts w:hint="eastAsia" w:cs="Times New Roman"/>
                <w:kern w:val="0"/>
                <w:szCs w:val="18"/>
              </w:rPr>
              <w:t>COD</w:t>
            </w:r>
            <w:r>
              <w:rPr>
                <w:rFonts w:cs="Times New Roman"/>
                <w:kern w:val="0"/>
                <w:szCs w:val="18"/>
              </w:rPr>
              <w:t>、SS、盐分</w:t>
            </w:r>
          </w:p>
        </w:tc>
        <w:tc>
          <w:tcPr>
            <w:tcW w:w="226" w:type="pct"/>
            <w:vAlign w:val="center"/>
          </w:tcPr>
          <w:p w14:paraId="35A5F4E6">
            <w:pPr>
              <w:pStyle w:val="445"/>
              <w:rPr>
                <w:rFonts w:cs="Times New Roman"/>
                <w:kern w:val="0"/>
                <w:szCs w:val="18"/>
              </w:rPr>
            </w:pPr>
            <w:r>
              <w:rPr>
                <w:rFonts w:hint="eastAsia" w:cs="Times New Roman"/>
                <w:kern w:val="0"/>
                <w:szCs w:val="18"/>
              </w:rPr>
              <w:t>/</w:t>
            </w:r>
          </w:p>
        </w:tc>
        <w:tc>
          <w:tcPr>
            <w:tcW w:w="155" w:type="pct"/>
            <w:vAlign w:val="center"/>
          </w:tcPr>
          <w:p w14:paraId="3AB0E0DD">
            <w:pPr>
              <w:pStyle w:val="445"/>
              <w:rPr>
                <w:rFonts w:cs="Times New Roman"/>
                <w:kern w:val="0"/>
                <w:szCs w:val="18"/>
              </w:rPr>
            </w:pPr>
            <w:r>
              <w:rPr>
                <w:rFonts w:hint="eastAsia" w:cs="Times New Roman"/>
                <w:kern w:val="0"/>
                <w:szCs w:val="18"/>
              </w:rPr>
              <w:t>/</w:t>
            </w:r>
          </w:p>
        </w:tc>
        <w:tc>
          <w:tcPr>
            <w:tcW w:w="298" w:type="pct"/>
            <w:vAlign w:val="center"/>
          </w:tcPr>
          <w:p w14:paraId="2EAF58CD">
            <w:pPr>
              <w:pStyle w:val="445"/>
              <w:rPr>
                <w:rFonts w:cs="Times New Roman"/>
                <w:kern w:val="0"/>
                <w:szCs w:val="20"/>
              </w:rPr>
            </w:pPr>
            <w:r>
              <w:rPr>
                <w:rFonts w:hint="eastAsia" w:cs="Times New Roman"/>
                <w:color w:val="000000" w:themeColor="text1"/>
                <w:kern w:val="0"/>
                <w:szCs w:val="20"/>
                <w14:textFill>
                  <w14:solidFill>
                    <w14:schemeClr w14:val="tx1"/>
                  </w14:solidFill>
                </w14:textFill>
              </w:rPr>
              <w:t>/</w:t>
            </w:r>
          </w:p>
        </w:tc>
        <w:tc>
          <w:tcPr>
            <w:tcW w:w="146" w:type="pct"/>
            <w:vAlign w:val="center"/>
          </w:tcPr>
          <w:p w14:paraId="17EE7423">
            <w:pPr>
              <w:pStyle w:val="445"/>
              <w:rPr>
                <w:rFonts w:cs="Times New Roman"/>
                <w:kern w:val="0"/>
                <w:szCs w:val="18"/>
              </w:rPr>
            </w:pPr>
            <w:r>
              <w:rPr>
                <w:rFonts w:hint="eastAsia" w:cs="Times New Roman"/>
                <w:kern w:val="0"/>
                <w:szCs w:val="18"/>
              </w:rPr>
              <w:t>/</w:t>
            </w:r>
          </w:p>
        </w:tc>
        <w:tc>
          <w:tcPr>
            <w:tcW w:w="173" w:type="pct"/>
            <w:vAlign w:val="center"/>
          </w:tcPr>
          <w:p w14:paraId="31EA1704">
            <w:pPr>
              <w:pStyle w:val="445"/>
              <w:rPr>
                <w:rFonts w:cs="Times New Roman"/>
                <w:kern w:val="0"/>
                <w:szCs w:val="18"/>
              </w:rPr>
            </w:pPr>
            <w:r>
              <w:rPr>
                <w:rFonts w:hint="eastAsia" w:cs="Times New Roman"/>
                <w:kern w:val="0"/>
                <w:szCs w:val="18"/>
              </w:rPr>
              <w:t>/</w:t>
            </w:r>
          </w:p>
        </w:tc>
        <w:tc>
          <w:tcPr>
            <w:tcW w:w="164" w:type="pct"/>
            <w:vMerge w:val="continue"/>
            <w:vAlign w:val="center"/>
          </w:tcPr>
          <w:p w14:paraId="7C81C60C">
            <w:pPr>
              <w:pStyle w:val="445"/>
              <w:rPr>
                <w:rFonts w:cs="Times New Roman"/>
                <w:kern w:val="0"/>
                <w:szCs w:val="18"/>
              </w:rPr>
            </w:pPr>
          </w:p>
        </w:tc>
        <w:tc>
          <w:tcPr>
            <w:tcW w:w="120" w:type="pct"/>
            <w:vMerge w:val="continue"/>
            <w:vAlign w:val="center"/>
          </w:tcPr>
          <w:p w14:paraId="1997B325">
            <w:pPr>
              <w:pStyle w:val="445"/>
              <w:rPr>
                <w:rFonts w:cs="Times New Roman"/>
                <w:kern w:val="0"/>
                <w:szCs w:val="18"/>
              </w:rPr>
            </w:pPr>
          </w:p>
        </w:tc>
        <w:tc>
          <w:tcPr>
            <w:tcW w:w="362" w:type="pct"/>
            <w:vMerge w:val="continue"/>
            <w:vAlign w:val="center"/>
          </w:tcPr>
          <w:p w14:paraId="6BC064C9">
            <w:pPr>
              <w:pStyle w:val="445"/>
              <w:rPr>
                <w:rFonts w:ascii="宋体" w:hAnsi="宋体" w:cs="Times New Roman"/>
                <w:kern w:val="0"/>
                <w:szCs w:val="20"/>
              </w:rPr>
            </w:pPr>
          </w:p>
        </w:tc>
        <w:tc>
          <w:tcPr>
            <w:tcW w:w="204" w:type="pct"/>
            <w:vMerge w:val="continue"/>
            <w:vAlign w:val="center"/>
          </w:tcPr>
          <w:p w14:paraId="4EE764C3">
            <w:pPr>
              <w:pStyle w:val="445"/>
              <w:rPr>
                <w:rFonts w:cs="Times New Roman"/>
                <w:kern w:val="0"/>
                <w:szCs w:val="18"/>
              </w:rPr>
            </w:pPr>
          </w:p>
        </w:tc>
        <w:tc>
          <w:tcPr>
            <w:tcW w:w="129" w:type="pct"/>
            <w:vMerge w:val="continue"/>
            <w:vAlign w:val="center"/>
          </w:tcPr>
          <w:p w14:paraId="1E115C7E">
            <w:pPr>
              <w:pStyle w:val="445"/>
              <w:rPr>
                <w:rFonts w:cs="Times New Roman"/>
                <w:kern w:val="0"/>
                <w:szCs w:val="18"/>
              </w:rPr>
            </w:pPr>
          </w:p>
        </w:tc>
        <w:tc>
          <w:tcPr>
            <w:tcW w:w="181" w:type="pct"/>
            <w:vMerge w:val="continue"/>
            <w:vAlign w:val="center"/>
          </w:tcPr>
          <w:p w14:paraId="1B160479">
            <w:pPr>
              <w:pStyle w:val="445"/>
              <w:rPr>
                <w:rFonts w:cs="Times New Roman"/>
                <w:kern w:val="0"/>
                <w:szCs w:val="18"/>
              </w:rPr>
            </w:pPr>
          </w:p>
        </w:tc>
        <w:tc>
          <w:tcPr>
            <w:tcW w:w="129" w:type="pct"/>
            <w:vMerge w:val="continue"/>
            <w:vAlign w:val="center"/>
          </w:tcPr>
          <w:p w14:paraId="36B6605D">
            <w:pPr>
              <w:pStyle w:val="445"/>
              <w:rPr>
                <w:rFonts w:cs="Times New Roman"/>
                <w:kern w:val="0"/>
                <w:szCs w:val="18"/>
              </w:rPr>
            </w:pPr>
          </w:p>
        </w:tc>
        <w:tc>
          <w:tcPr>
            <w:tcW w:w="1182" w:type="pct"/>
            <w:vMerge w:val="continue"/>
            <w:vAlign w:val="center"/>
          </w:tcPr>
          <w:p w14:paraId="0D9B916D">
            <w:pPr>
              <w:pStyle w:val="445"/>
              <w:rPr>
                <w:rFonts w:ascii="宋体" w:hAnsi="宋体" w:cs="Times New Roman"/>
                <w:kern w:val="0"/>
                <w:szCs w:val="20"/>
              </w:rPr>
            </w:pPr>
          </w:p>
        </w:tc>
        <w:tc>
          <w:tcPr>
            <w:tcW w:w="225" w:type="pct"/>
            <w:vMerge w:val="continue"/>
            <w:vAlign w:val="center"/>
          </w:tcPr>
          <w:p w14:paraId="2426BA92">
            <w:pPr>
              <w:pStyle w:val="445"/>
              <w:rPr>
                <w:rFonts w:cs="Times New Roman"/>
                <w:kern w:val="0"/>
                <w:szCs w:val="18"/>
              </w:rPr>
            </w:pPr>
          </w:p>
        </w:tc>
        <w:tc>
          <w:tcPr>
            <w:tcW w:w="226" w:type="pct"/>
            <w:vMerge w:val="continue"/>
            <w:vAlign w:val="center"/>
          </w:tcPr>
          <w:p w14:paraId="7CD040D0">
            <w:pPr>
              <w:pStyle w:val="445"/>
              <w:rPr>
                <w:rFonts w:cs="Times New Roman"/>
                <w:kern w:val="0"/>
                <w:szCs w:val="20"/>
              </w:rPr>
            </w:pPr>
          </w:p>
        </w:tc>
      </w:tr>
    </w:tbl>
    <w:p w14:paraId="7A575630">
      <w:pPr>
        <w:spacing w:before="240" w:after="120"/>
        <w:ind w:firstLine="0" w:firstLineChars="0"/>
        <w:jc w:val="left"/>
        <w:outlineLvl w:val="2"/>
        <w:rPr>
          <w:rFonts w:eastAsia="黑体"/>
          <w:sz w:val="28"/>
          <w:szCs w:val="28"/>
        </w:rPr>
        <w:sectPr>
          <w:pgSz w:w="23811" w:h="16838" w:orient="landscape"/>
          <w:pgMar w:top="1440" w:right="1440" w:bottom="1440" w:left="1440" w:header="851" w:footer="992" w:gutter="0"/>
          <w:cols w:space="720" w:num="1"/>
          <w:docGrid w:type="lines" w:linePitch="326" w:charSpace="0"/>
        </w:sectPr>
      </w:pPr>
    </w:p>
    <w:p w14:paraId="78F0EB63">
      <w:pPr>
        <w:spacing w:before="240" w:after="120"/>
        <w:ind w:firstLine="0" w:firstLineChars="0"/>
        <w:jc w:val="left"/>
        <w:outlineLvl w:val="2"/>
        <w:rPr>
          <w:rFonts w:eastAsia="黑体" w:cs="Times New Roman"/>
          <w:sz w:val="28"/>
          <w:szCs w:val="28"/>
        </w:rPr>
      </w:pPr>
      <w:bookmarkStart w:id="534" w:name="_Toc108662739"/>
      <w:r>
        <w:rPr>
          <w:rFonts w:eastAsia="黑体"/>
          <w:sz w:val="28"/>
          <w:szCs w:val="28"/>
        </w:rPr>
        <w:t>8.2.2</w:t>
      </w:r>
      <w:r>
        <w:rPr>
          <w:rFonts w:ascii="黑体" w:hAnsi="黑体" w:eastAsia="黑体"/>
          <w:sz w:val="28"/>
          <w:szCs w:val="28"/>
        </w:rPr>
        <w:t>污染物排放清单</w:t>
      </w:r>
      <w:bookmarkEnd w:id="532"/>
      <w:bookmarkEnd w:id="533"/>
      <w:bookmarkEnd w:id="534"/>
    </w:p>
    <w:p w14:paraId="4D831DB7">
      <w:pPr>
        <w:ind w:firstLine="480"/>
        <w:rPr>
          <w:szCs w:val="24"/>
        </w:rPr>
      </w:pPr>
      <w:r>
        <w:rPr>
          <w:rFonts w:hint="eastAsia" w:ascii="宋体" w:hAnsi="宋体"/>
        </w:rPr>
        <w:t>（</w:t>
      </w:r>
      <w:r>
        <w:rPr>
          <w:rFonts w:hint="eastAsia"/>
        </w:rPr>
        <w:t>1</w:t>
      </w:r>
      <w:r>
        <w:rPr>
          <w:rFonts w:hint="eastAsia" w:ascii="宋体" w:hAnsi="宋体"/>
        </w:rPr>
        <w:t>）大气污染物</w:t>
      </w:r>
    </w:p>
    <w:p w14:paraId="3A17CCEC">
      <w:pPr>
        <w:ind w:firstLine="480"/>
      </w:pPr>
      <w:r>
        <w:rPr>
          <w:rFonts w:hint="eastAsia" w:ascii="宋体" w:hAnsi="宋体"/>
        </w:rPr>
        <w:t>本项目</w:t>
      </w:r>
      <w:r>
        <w:rPr>
          <w:rFonts w:ascii="宋体" w:hAnsi="宋体"/>
        </w:rPr>
        <w:t>大气污染物</w:t>
      </w:r>
      <w:r>
        <w:rPr>
          <w:rFonts w:hint="eastAsia" w:ascii="宋体" w:hAnsi="宋体"/>
        </w:rPr>
        <w:t>有组织</w:t>
      </w:r>
      <w:r>
        <w:rPr>
          <w:rFonts w:ascii="宋体" w:hAnsi="宋体"/>
        </w:rPr>
        <w:t>排</w:t>
      </w:r>
      <w:r>
        <w:rPr>
          <w:rFonts w:hint="eastAsia" w:ascii="宋体" w:hAnsi="宋体"/>
        </w:rPr>
        <w:t>放</w:t>
      </w:r>
      <w:r>
        <w:rPr>
          <w:rFonts w:ascii="宋体" w:hAnsi="宋体"/>
        </w:rPr>
        <w:t>基本信息见表</w:t>
      </w:r>
      <w:r>
        <w:rPr>
          <w:rFonts w:hint="eastAsia"/>
        </w:rPr>
        <w:t>8.2.2</w:t>
      </w:r>
      <w:r>
        <w:t>-1</w:t>
      </w:r>
      <w:r>
        <w:rPr>
          <w:rFonts w:hint="eastAsia" w:ascii="宋体" w:hAnsi="宋体"/>
        </w:rPr>
        <w:t>，</w:t>
      </w:r>
      <w:r>
        <w:rPr>
          <w:rFonts w:ascii="宋体" w:hAnsi="宋体"/>
        </w:rPr>
        <w:t>无组织排放</w:t>
      </w:r>
      <w:r>
        <w:rPr>
          <w:rFonts w:hint="eastAsia" w:ascii="宋体" w:hAnsi="宋体"/>
        </w:rPr>
        <w:t>基本</w:t>
      </w:r>
      <w:r>
        <w:rPr>
          <w:rFonts w:ascii="宋体" w:hAnsi="宋体"/>
        </w:rPr>
        <w:t>信息见表</w:t>
      </w:r>
      <w:r>
        <w:rPr>
          <w:rFonts w:hint="eastAsia"/>
        </w:rPr>
        <w:t>8.2.2</w:t>
      </w:r>
      <w:r>
        <w:t>-2</w:t>
      </w:r>
      <w:r>
        <w:rPr>
          <w:rFonts w:hint="eastAsia" w:ascii="宋体" w:hAnsi="宋体"/>
        </w:rPr>
        <w:t>。</w:t>
      </w:r>
    </w:p>
    <w:p w14:paraId="3E1D529A">
      <w:pPr>
        <w:spacing w:line="500" w:lineRule="exact"/>
        <w:ind w:firstLine="0" w:firstLineChars="0"/>
        <w:jc w:val="center"/>
        <w:rPr>
          <w:rFonts w:ascii="黑体" w:hAnsi="黑体" w:eastAsia="黑体"/>
        </w:rPr>
      </w:pPr>
      <w:r>
        <w:rPr>
          <w:rFonts w:hint="eastAsia" w:ascii="黑体" w:hAnsi="黑体" w:eastAsia="黑体"/>
        </w:rPr>
        <w:t>表</w:t>
      </w:r>
      <w:r>
        <w:rPr>
          <w:rFonts w:hint="eastAsia" w:eastAsia="黑体"/>
        </w:rPr>
        <w:t>8.2.</w:t>
      </w:r>
      <w:r>
        <w:rPr>
          <w:rFonts w:eastAsia="黑体"/>
        </w:rPr>
        <w:t xml:space="preserve">2-1  </w:t>
      </w:r>
      <w:r>
        <w:rPr>
          <w:rFonts w:hint="eastAsia" w:ascii="黑体" w:hAnsi="黑体" w:eastAsia="黑体"/>
        </w:rPr>
        <w:t>项目大气</w:t>
      </w:r>
      <w:r>
        <w:rPr>
          <w:rFonts w:ascii="黑体" w:hAnsi="黑体" w:eastAsia="黑体"/>
        </w:rPr>
        <w:t>污染物有组织排放</w:t>
      </w:r>
      <w:r>
        <w:rPr>
          <w:rFonts w:hint="eastAsia" w:ascii="黑体" w:hAnsi="黑体" w:eastAsia="黑体"/>
        </w:rPr>
        <w:t>基本</w:t>
      </w:r>
      <w:r>
        <w:rPr>
          <w:rFonts w:ascii="黑体" w:hAnsi="黑体" w:eastAsia="黑体"/>
        </w:rPr>
        <w:t>情况表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4"/>
        <w:gridCol w:w="791"/>
        <w:gridCol w:w="507"/>
        <w:gridCol w:w="2075"/>
        <w:gridCol w:w="995"/>
        <w:gridCol w:w="1001"/>
        <w:gridCol w:w="425"/>
        <w:gridCol w:w="595"/>
        <w:gridCol w:w="635"/>
        <w:gridCol w:w="771"/>
        <w:gridCol w:w="2135"/>
        <w:gridCol w:w="1072"/>
        <w:gridCol w:w="621"/>
        <w:gridCol w:w="1128"/>
        <w:gridCol w:w="601"/>
        <w:gridCol w:w="408"/>
      </w:tblGrid>
      <w:tr w14:paraId="68ED6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23230B29">
            <w:pPr>
              <w:pStyle w:val="445"/>
              <w:rPr>
                <w:rFonts w:cs="Times New Roman"/>
                <w:kern w:val="0"/>
                <w:szCs w:val="20"/>
              </w:rPr>
            </w:pPr>
            <w:r>
              <w:rPr>
                <w:rFonts w:hint="eastAsia" w:cs="Times New Roman"/>
                <w:kern w:val="0"/>
                <w:szCs w:val="20"/>
              </w:rPr>
              <w:t>序号</w:t>
            </w:r>
          </w:p>
        </w:tc>
        <w:tc>
          <w:tcPr>
            <w:tcW w:w="279" w:type="pct"/>
            <w:vMerge w:val="restart"/>
            <w:vAlign w:val="center"/>
          </w:tcPr>
          <w:p w14:paraId="126FDE44">
            <w:pPr>
              <w:pStyle w:val="445"/>
              <w:rPr>
                <w:rFonts w:cs="Times New Roman"/>
                <w:kern w:val="0"/>
                <w:szCs w:val="20"/>
              </w:rPr>
            </w:pPr>
            <w:r>
              <w:rPr>
                <w:rFonts w:hint="eastAsia" w:cs="Times New Roman"/>
                <w:kern w:val="0"/>
                <w:szCs w:val="20"/>
              </w:rPr>
              <w:t>排放口</w:t>
            </w:r>
            <w:r>
              <w:rPr>
                <w:rFonts w:cs="Times New Roman"/>
                <w:kern w:val="0"/>
                <w:szCs w:val="20"/>
              </w:rPr>
              <w:t>编号</w:t>
            </w:r>
          </w:p>
        </w:tc>
        <w:tc>
          <w:tcPr>
            <w:tcW w:w="179" w:type="pct"/>
            <w:vMerge w:val="restart"/>
            <w:vAlign w:val="center"/>
          </w:tcPr>
          <w:p w14:paraId="68AE9D49">
            <w:pPr>
              <w:pStyle w:val="445"/>
              <w:rPr>
                <w:rFonts w:cs="Times New Roman"/>
                <w:kern w:val="0"/>
                <w:szCs w:val="20"/>
              </w:rPr>
            </w:pPr>
            <w:r>
              <w:rPr>
                <w:rFonts w:hint="eastAsia" w:cs="Times New Roman"/>
                <w:kern w:val="0"/>
                <w:szCs w:val="20"/>
              </w:rPr>
              <w:t>排放口名称</w:t>
            </w:r>
          </w:p>
        </w:tc>
        <w:tc>
          <w:tcPr>
            <w:tcW w:w="732" w:type="pct"/>
            <w:vMerge w:val="restart"/>
            <w:vAlign w:val="center"/>
          </w:tcPr>
          <w:p w14:paraId="0DD4D768">
            <w:pPr>
              <w:pStyle w:val="445"/>
              <w:rPr>
                <w:rFonts w:cs="Times New Roman"/>
                <w:kern w:val="0"/>
                <w:szCs w:val="20"/>
              </w:rPr>
            </w:pPr>
            <w:r>
              <w:rPr>
                <w:rFonts w:hint="eastAsia" w:cs="Times New Roman"/>
                <w:kern w:val="0"/>
                <w:szCs w:val="20"/>
              </w:rPr>
              <w:t>污染物</w:t>
            </w:r>
            <w:r>
              <w:rPr>
                <w:rFonts w:cs="Times New Roman"/>
                <w:kern w:val="0"/>
                <w:szCs w:val="20"/>
              </w:rPr>
              <w:t>种类</w:t>
            </w:r>
          </w:p>
        </w:tc>
        <w:tc>
          <w:tcPr>
            <w:tcW w:w="704" w:type="pct"/>
            <w:gridSpan w:val="2"/>
            <w:vAlign w:val="center"/>
          </w:tcPr>
          <w:p w14:paraId="39587B1C">
            <w:pPr>
              <w:pStyle w:val="445"/>
              <w:rPr>
                <w:rFonts w:cs="Times New Roman"/>
                <w:kern w:val="0"/>
                <w:szCs w:val="20"/>
              </w:rPr>
            </w:pPr>
            <w:r>
              <w:rPr>
                <w:rFonts w:hint="eastAsia" w:cs="Times New Roman"/>
                <w:kern w:val="0"/>
                <w:szCs w:val="20"/>
              </w:rPr>
              <w:t>排放口</w:t>
            </w:r>
            <w:r>
              <w:rPr>
                <w:rFonts w:cs="Times New Roman"/>
                <w:kern w:val="0"/>
                <w:szCs w:val="20"/>
              </w:rPr>
              <w:t>地理坐标</w:t>
            </w:r>
          </w:p>
        </w:tc>
        <w:tc>
          <w:tcPr>
            <w:tcW w:w="856" w:type="pct"/>
            <w:gridSpan w:val="4"/>
            <w:vAlign w:val="center"/>
          </w:tcPr>
          <w:p w14:paraId="1277C235">
            <w:pPr>
              <w:pStyle w:val="445"/>
              <w:rPr>
                <w:rFonts w:cs="Times New Roman"/>
                <w:kern w:val="0"/>
                <w:szCs w:val="20"/>
              </w:rPr>
            </w:pPr>
            <w:r>
              <w:rPr>
                <w:rFonts w:hint="eastAsia" w:cs="Times New Roman"/>
                <w:kern w:val="0"/>
                <w:szCs w:val="20"/>
              </w:rPr>
              <w:t>排气筒</w:t>
            </w:r>
            <w:r>
              <w:rPr>
                <w:rFonts w:cs="Times New Roman"/>
                <w:kern w:val="0"/>
                <w:szCs w:val="20"/>
              </w:rPr>
              <w:t>参数</w:t>
            </w:r>
          </w:p>
        </w:tc>
        <w:tc>
          <w:tcPr>
            <w:tcW w:w="1350" w:type="pct"/>
            <w:gridSpan w:val="3"/>
            <w:vAlign w:val="center"/>
          </w:tcPr>
          <w:p w14:paraId="17622759">
            <w:pPr>
              <w:pStyle w:val="445"/>
              <w:rPr>
                <w:rFonts w:cs="Times New Roman"/>
                <w:kern w:val="0"/>
                <w:szCs w:val="20"/>
              </w:rPr>
            </w:pPr>
            <w:r>
              <w:rPr>
                <w:rFonts w:hint="eastAsia" w:cs="Times New Roman"/>
                <w:kern w:val="0"/>
                <w:szCs w:val="20"/>
              </w:rPr>
              <w:t>国家</w:t>
            </w:r>
            <w:r>
              <w:rPr>
                <w:rFonts w:cs="Times New Roman"/>
                <w:kern w:val="0"/>
                <w:szCs w:val="20"/>
              </w:rPr>
              <w:t>或地方污染物排放标准</w:t>
            </w:r>
          </w:p>
        </w:tc>
        <w:tc>
          <w:tcPr>
            <w:tcW w:w="398" w:type="pct"/>
            <w:vMerge w:val="restart"/>
            <w:vAlign w:val="center"/>
          </w:tcPr>
          <w:p w14:paraId="2B8C4EBC">
            <w:pPr>
              <w:pStyle w:val="445"/>
              <w:rPr>
                <w:rFonts w:cs="Times New Roman"/>
                <w:kern w:val="0"/>
                <w:szCs w:val="20"/>
              </w:rPr>
            </w:pPr>
            <w:r>
              <w:rPr>
                <w:rFonts w:hint="eastAsia" w:cs="Times New Roman"/>
                <w:kern w:val="0"/>
                <w:szCs w:val="20"/>
              </w:rPr>
              <w:t>年许可</w:t>
            </w:r>
            <w:r>
              <w:rPr>
                <w:rFonts w:cs="Times New Roman"/>
                <w:kern w:val="0"/>
                <w:szCs w:val="20"/>
              </w:rPr>
              <w:t>排放</w:t>
            </w:r>
            <w:r>
              <w:rPr>
                <w:rFonts w:hint="eastAsia" w:cs="Times New Roman"/>
                <w:kern w:val="0"/>
                <w:szCs w:val="20"/>
              </w:rPr>
              <w:t>量</w:t>
            </w:r>
            <w:r>
              <w:rPr>
                <w:rFonts w:cs="Times New Roman"/>
                <w:kern w:val="0"/>
                <w:szCs w:val="20"/>
              </w:rPr>
              <w:t>t/a</w:t>
            </w:r>
          </w:p>
        </w:tc>
        <w:tc>
          <w:tcPr>
            <w:tcW w:w="212" w:type="pct"/>
            <w:vMerge w:val="restart"/>
            <w:vAlign w:val="center"/>
          </w:tcPr>
          <w:p w14:paraId="40B54E20">
            <w:pPr>
              <w:pStyle w:val="445"/>
              <w:rPr>
                <w:rFonts w:cs="Times New Roman"/>
                <w:kern w:val="0"/>
                <w:szCs w:val="20"/>
              </w:rPr>
            </w:pPr>
            <w:r>
              <w:rPr>
                <w:rFonts w:hint="eastAsia" w:cs="Times New Roman"/>
                <w:kern w:val="0"/>
                <w:szCs w:val="20"/>
              </w:rPr>
              <w:t>申请</w:t>
            </w:r>
            <w:r>
              <w:rPr>
                <w:rFonts w:cs="Times New Roman"/>
                <w:kern w:val="0"/>
                <w:szCs w:val="20"/>
              </w:rPr>
              <w:t>特殊</w:t>
            </w:r>
            <w:r>
              <w:rPr>
                <w:rFonts w:hint="eastAsia" w:cs="Times New Roman"/>
                <w:kern w:val="0"/>
                <w:szCs w:val="20"/>
              </w:rPr>
              <w:t>时段许可排放</w:t>
            </w:r>
            <w:r>
              <w:rPr>
                <w:rFonts w:cs="Times New Roman"/>
                <w:kern w:val="0"/>
                <w:szCs w:val="20"/>
              </w:rPr>
              <w:t>限值</w:t>
            </w:r>
          </w:p>
        </w:tc>
        <w:tc>
          <w:tcPr>
            <w:tcW w:w="144" w:type="pct"/>
            <w:vMerge w:val="restart"/>
            <w:vAlign w:val="center"/>
          </w:tcPr>
          <w:p w14:paraId="0682F493">
            <w:pPr>
              <w:pStyle w:val="445"/>
              <w:rPr>
                <w:rFonts w:cs="Times New Roman"/>
                <w:kern w:val="0"/>
                <w:szCs w:val="20"/>
              </w:rPr>
            </w:pPr>
            <w:r>
              <w:rPr>
                <w:rFonts w:hint="eastAsia" w:cs="Times New Roman"/>
                <w:kern w:val="0"/>
                <w:szCs w:val="20"/>
              </w:rPr>
              <w:t>备注</w:t>
            </w:r>
          </w:p>
        </w:tc>
      </w:tr>
      <w:tr w14:paraId="3E4AC1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75CDCA5D">
            <w:pPr>
              <w:pStyle w:val="445"/>
              <w:rPr>
                <w:rFonts w:cs="Times New Roman"/>
                <w:kern w:val="0"/>
                <w:szCs w:val="20"/>
              </w:rPr>
            </w:pPr>
          </w:p>
        </w:tc>
        <w:tc>
          <w:tcPr>
            <w:tcW w:w="279" w:type="pct"/>
            <w:vMerge w:val="continue"/>
            <w:vAlign w:val="center"/>
          </w:tcPr>
          <w:p w14:paraId="72D94A44">
            <w:pPr>
              <w:pStyle w:val="445"/>
              <w:rPr>
                <w:rFonts w:cs="Times New Roman"/>
                <w:kern w:val="0"/>
                <w:szCs w:val="20"/>
              </w:rPr>
            </w:pPr>
          </w:p>
        </w:tc>
        <w:tc>
          <w:tcPr>
            <w:tcW w:w="179" w:type="pct"/>
            <w:vMerge w:val="continue"/>
            <w:vAlign w:val="center"/>
          </w:tcPr>
          <w:p w14:paraId="150315E8">
            <w:pPr>
              <w:pStyle w:val="445"/>
              <w:rPr>
                <w:rFonts w:cs="Times New Roman"/>
                <w:kern w:val="0"/>
                <w:szCs w:val="20"/>
              </w:rPr>
            </w:pPr>
          </w:p>
        </w:tc>
        <w:tc>
          <w:tcPr>
            <w:tcW w:w="732" w:type="pct"/>
            <w:vMerge w:val="continue"/>
            <w:vAlign w:val="center"/>
          </w:tcPr>
          <w:p w14:paraId="326C1ADB">
            <w:pPr>
              <w:pStyle w:val="445"/>
              <w:rPr>
                <w:rFonts w:cs="Times New Roman"/>
                <w:kern w:val="0"/>
                <w:szCs w:val="20"/>
              </w:rPr>
            </w:pPr>
          </w:p>
        </w:tc>
        <w:tc>
          <w:tcPr>
            <w:tcW w:w="351" w:type="pct"/>
            <w:vAlign w:val="center"/>
          </w:tcPr>
          <w:p w14:paraId="784F1886">
            <w:pPr>
              <w:pStyle w:val="445"/>
              <w:rPr>
                <w:rFonts w:cs="Times New Roman"/>
                <w:kern w:val="0"/>
                <w:szCs w:val="20"/>
              </w:rPr>
            </w:pPr>
            <w:r>
              <w:rPr>
                <w:rFonts w:hint="eastAsia" w:cs="Times New Roman"/>
                <w:kern w:val="0"/>
                <w:szCs w:val="20"/>
              </w:rPr>
              <w:t>经度</w:t>
            </w:r>
          </w:p>
        </w:tc>
        <w:tc>
          <w:tcPr>
            <w:tcW w:w="353" w:type="pct"/>
            <w:vAlign w:val="center"/>
          </w:tcPr>
          <w:p w14:paraId="0D6CCC23">
            <w:pPr>
              <w:pStyle w:val="445"/>
              <w:rPr>
                <w:rFonts w:cs="Times New Roman"/>
                <w:kern w:val="0"/>
                <w:szCs w:val="20"/>
              </w:rPr>
            </w:pPr>
            <w:r>
              <w:rPr>
                <w:rFonts w:hint="eastAsia" w:cs="Times New Roman"/>
                <w:kern w:val="0"/>
                <w:szCs w:val="20"/>
              </w:rPr>
              <w:t>纬度</w:t>
            </w:r>
          </w:p>
        </w:tc>
        <w:tc>
          <w:tcPr>
            <w:tcW w:w="150" w:type="pct"/>
            <w:vAlign w:val="center"/>
          </w:tcPr>
          <w:p w14:paraId="21E00D25">
            <w:pPr>
              <w:pStyle w:val="445"/>
              <w:rPr>
                <w:rFonts w:cs="Times New Roman"/>
                <w:kern w:val="0"/>
                <w:szCs w:val="20"/>
              </w:rPr>
            </w:pPr>
            <w:r>
              <w:rPr>
                <w:rFonts w:hint="eastAsia" w:cs="Times New Roman"/>
                <w:kern w:val="0"/>
                <w:szCs w:val="20"/>
              </w:rPr>
              <w:t>高度</w:t>
            </w:r>
            <w:r>
              <w:rPr>
                <w:rFonts w:cs="Times New Roman"/>
                <w:kern w:val="0"/>
                <w:szCs w:val="20"/>
              </w:rPr>
              <w:t>m</w:t>
            </w:r>
          </w:p>
        </w:tc>
        <w:tc>
          <w:tcPr>
            <w:tcW w:w="210" w:type="pct"/>
            <w:vAlign w:val="center"/>
          </w:tcPr>
          <w:p w14:paraId="2B650149">
            <w:pPr>
              <w:pStyle w:val="445"/>
              <w:rPr>
                <w:rFonts w:cs="Times New Roman"/>
                <w:kern w:val="0"/>
                <w:szCs w:val="20"/>
              </w:rPr>
            </w:pPr>
            <w:r>
              <w:rPr>
                <w:rFonts w:hint="eastAsia" w:cs="Times New Roman"/>
                <w:kern w:val="0"/>
                <w:szCs w:val="20"/>
              </w:rPr>
              <w:t>出口内径</w:t>
            </w:r>
            <w:r>
              <w:rPr>
                <w:rFonts w:cs="Times New Roman"/>
                <w:kern w:val="0"/>
                <w:szCs w:val="20"/>
              </w:rPr>
              <w:t>m</w:t>
            </w:r>
          </w:p>
        </w:tc>
        <w:tc>
          <w:tcPr>
            <w:tcW w:w="224" w:type="pct"/>
            <w:vAlign w:val="center"/>
          </w:tcPr>
          <w:p w14:paraId="5CEF13E0">
            <w:pPr>
              <w:pStyle w:val="445"/>
              <w:rPr>
                <w:rFonts w:cs="Times New Roman"/>
                <w:kern w:val="0"/>
                <w:szCs w:val="20"/>
              </w:rPr>
            </w:pPr>
            <w:r>
              <w:rPr>
                <w:rFonts w:hint="eastAsia" w:cs="Times New Roman"/>
                <w:kern w:val="0"/>
                <w:szCs w:val="20"/>
              </w:rPr>
              <w:t>排气温度℃</w:t>
            </w:r>
          </w:p>
        </w:tc>
        <w:tc>
          <w:tcPr>
            <w:tcW w:w="272" w:type="pct"/>
            <w:vAlign w:val="center"/>
          </w:tcPr>
          <w:p w14:paraId="5ADA67B8">
            <w:pPr>
              <w:pStyle w:val="445"/>
              <w:rPr>
                <w:rFonts w:cs="Times New Roman"/>
                <w:kern w:val="0"/>
                <w:szCs w:val="20"/>
              </w:rPr>
            </w:pPr>
            <w:r>
              <w:rPr>
                <w:rFonts w:hint="eastAsia" w:cs="Times New Roman"/>
                <w:kern w:val="0"/>
                <w:szCs w:val="20"/>
              </w:rPr>
              <w:t>排气量</w:t>
            </w:r>
            <w:r>
              <w:rPr>
                <w:rFonts w:cs="Times New Roman"/>
                <w:kern w:val="0"/>
                <w:szCs w:val="20"/>
              </w:rPr>
              <w:t>m</w:t>
            </w:r>
            <w:r>
              <w:rPr>
                <w:rFonts w:cs="Times New Roman"/>
                <w:kern w:val="0"/>
                <w:szCs w:val="20"/>
                <w:vertAlign w:val="superscript"/>
              </w:rPr>
              <w:t>3</w:t>
            </w:r>
            <w:r>
              <w:rPr>
                <w:rFonts w:hint="eastAsia" w:cs="Times New Roman"/>
                <w:kern w:val="0"/>
                <w:szCs w:val="20"/>
              </w:rPr>
              <w:t>/</w:t>
            </w:r>
            <w:r>
              <w:rPr>
                <w:rFonts w:cs="Times New Roman"/>
                <w:kern w:val="0"/>
                <w:szCs w:val="20"/>
              </w:rPr>
              <w:t>h</w:t>
            </w:r>
          </w:p>
        </w:tc>
        <w:tc>
          <w:tcPr>
            <w:tcW w:w="753" w:type="pct"/>
            <w:vAlign w:val="center"/>
          </w:tcPr>
          <w:p w14:paraId="07C9D48A">
            <w:pPr>
              <w:pStyle w:val="445"/>
              <w:rPr>
                <w:rFonts w:cs="Times New Roman"/>
                <w:kern w:val="0"/>
                <w:szCs w:val="20"/>
              </w:rPr>
            </w:pPr>
            <w:r>
              <w:rPr>
                <w:rFonts w:hint="eastAsia" w:cs="Times New Roman"/>
                <w:kern w:val="0"/>
                <w:szCs w:val="20"/>
              </w:rPr>
              <w:t>标准</w:t>
            </w:r>
            <w:r>
              <w:rPr>
                <w:rFonts w:cs="Times New Roman"/>
                <w:kern w:val="0"/>
                <w:szCs w:val="20"/>
              </w:rPr>
              <w:t>名称</w:t>
            </w:r>
          </w:p>
        </w:tc>
        <w:tc>
          <w:tcPr>
            <w:tcW w:w="378" w:type="pct"/>
            <w:vAlign w:val="center"/>
          </w:tcPr>
          <w:p w14:paraId="64EB6BAD">
            <w:pPr>
              <w:pStyle w:val="445"/>
              <w:rPr>
                <w:rFonts w:cs="Times New Roman"/>
                <w:kern w:val="0"/>
                <w:szCs w:val="20"/>
              </w:rPr>
            </w:pPr>
            <w:r>
              <w:rPr>
                <w:rFonts w:hint="eastAsia" w:cs="Times New Roman"/>
                <w:kern w:val="0"/>
                <w:szCs w:val="20"/>
              </w:rPr>
              <w:t>浓度限值</w:t>
            </w:r>
            <w:r>
              <w:rPr>
                <w:rFonts w:cs="Times New Roman"/>
                <w:kern w:val="0"/>
                <w:szCs w:val="20"/>
              </w:rPr>
              <w:t>mg/N</w:t>
            </w:r>
            <w:r>
              <w:rPr>
                <w:rFonts w:hint="eastAsia" w:cs="Times New Roman"/>
                <w:kern w:val="0"/>
                <w:szCs w:val="20"/>
              </w:rPr>
              <w:t>m</w:t>
            </w:r>
            <w:r>
              <w:rPr>
                <w:rFonts w:cs="Times New Roman"/>
                <w:kern w:val="0"/>
                <w:szCs w:val="20"/>
                <w:vertAlign w:val="superscript"/>
              </w:rPr>
              <w:t>3</w:t>
            </w:r>
          </w:p>
        </w:tc>
        <w:tc>
          <w:tcPr>
            <w:tcW w:w="219" w:type="pct"/>
            <w:vAlign w:val="center"/>
          </w:tcPr>
          <w:p w14:paraId="368EB8DF">
            <w:pPr>
              <w:pStyle w:val="445"/>
              <w:rPr>
                <w:rFonts w:cs="Times New Roman"/>
                <w:kern w:val="0"/>
                <w:szCs w:val="20"/>
              </w:rPr>
            </w:pPr>
            <w:r>
              <w:rPr>
                <w:rFonts w:hint="eastAsia" w:cs="Times New Roman"/>
                <w:kern w:val="0"/>
                <w:szCs w:val="20"/>
              </w:rPr>
              <w:t>速率限值kg</w:t>
            </w:r>
            <w:r>
              <w:rPr>
                <w:rFonts w:cs="Times New Roman"/>
                <w:kern w:val="0"/>
                <w:szCs w:val="20"/>
              </w:rPr>
              <w:t>/h</w:t>
            </w:r>
          </w:p>
        </w:tc>
        <w:tc>
          <w:tcPr>
            <w:tcW w:w="398" w:type="pct"/>
            <w:vMerge w:val="continue"/>
            <w:vAlign w:val="center"/>
          </w:tcPr>
          <w:p w14:paraId="1C570181">
            <w:pPr>
              <w:pStyle w:val="445"/>
              <w:rPr>
                <w:rFonts w:cs="Times New Roman"/>
                <w:kern w:val="0"/>
                <w:szCs w:val="20"/>
              </w:rPr>
            </w:pPr>
          </w:p>
        </w:tc>
        <w:tc>
          <w:tcPr>
            <w:tcW w:w="212" w:type="pct"/>
            <w:vMerge w:val="continue"/>
            <w:vAlign w:val="center"/>
          </w:tcPr>
          <w:p w14:paraId="50E17812">
            <w:pPr>
              <w:pStyle w:val="445"/>
              <w:rPr>
                <w:rFonts w:cs="Times New Roman"/>
                <w:kern w:val="0"/>
                <w:szCs w:val="20"/>
              </w:rPr>
            </w:pPr>
          </w:p>
        </w:tc>
        <w:tc>
          <w:tcPr>
            <w:tcW w:w="144" w:type="pct"/>
            <w:vMerge w:val="continue"/>
            <w:vAlign w:val="center"/>
          </w:tcPr>
          <w:p w14:paraId="74C82BF1">
            <w:pPr>
              <w:pStyle w:val="445"/>
              <w:rPr>
                <w:rFonts w:cs="Times New Roman"/>
                <w:kern w:val="0"/>
                <w:szCs w:val="20"/>
              </w:rPr>
            </w:pPr>
          </w:p>
        </w:tc>
      </w:tr>
      <w:tr w14:paraId="2697A0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Align w:val="center"/>
          </w:tcPr>
          <w:p w14:paraId="54FB8111">
            <w:pPr>
              <w:pStyle w:val="445"/>
              <w:rPr>
                <w:rFonts w:cs="Times New Roman"/>
                <w:kern w:val="0"/>
                <w:szCs w:val="20"/>
              </w:rPr>
            </w:pPr>
            <w:r>
              <w:rPr>
                <w:rFonts w:hint="eastAsia" w:cs="Times New Roman"/>
                <w:kern w:val="0"/>
                <w:szCs w:val="20"/>
              </w:rPr>
              <w:t>1</w:t>
            </w:r>
          </w:p>
        </w:tc>
        <w:tc>
          <w:tcPr>
            <w:tcW w:w="279" w:type="pct"/>
            <w:vAlign w:val="center"/>
          </w:tcPr>
          <w:p w14:paraId="4F933DD8">
            <w:pPr>
              <w:pStyle w:val="445"/>
              <w:rPr>
                <w:rFonts w:cs="Times New Roman"/>
                <w:kern w:val="0"/>
                <w:szCs w:val="20"/>
              </w:rPr>
            </w:pPr>
            <w:r>
              <w:rPr>
                <w:rFonts w:hint="eastAsia" w:cs="Times New Roman"/>
                <w:kern w:val="0"/>
                <w:szCs w:val="18"/>
              </w:rPr>
              <w:t>D</w:t>
            </w:r>
            <w:r>
              <w:rPr>
                <w:rFonts w:cs="Times New Roman"/>
                <w:kern w:val="0"/>
                <w:szCs w:val="18"/>
              </w:rPr>
              <w:t>A018</w:t>
            </w:r>
          </w:p>
        </w:tc>
        <w:tc>
          <w:tcPr>
            <w:tcW w:w="179" w:type="pct"/>
            <w:vAlign w:val="center"/>
          </w:tcPr>
          <w:p w14:paraId="711A3811">
            <w:pPr>
              <w:pStyle w:val="445"/>
              <w:rPr>
                <w:rFonts w:cs="Times New Roman"/>
                <w:kern w:val="0"/>
                <w:szCs w:val="18"/>
              </w:rPr>
            </w:pPr>
            <w:r>
              <w:rPr>
                <w:rFonts w:hint="eastAsia" w:cs="Times New Roman"/>
                <w:kern w:val="0"/>
                <w:szCs w:val="18"/>
              </w:rPr>
              <w:t>18</w:t>
            </w:r>
          </w:p>
          <w:p w14:paraId="63EF948F">
            <w:pPr>
              <w:pStyle w:val="445"/>
              <w:rPr>
                <w:rFonts w:cs="Times New Roman"/>
                <w:kern w:val="0"/>
                <w:szCs w:val="20"/>
              </w:rPr>
            </w:pPr>
            <w:r>
              <w:rPr>
                <w:rFonts w:cs="Times New Roman"/>
                <w:kern w:val="0"/>
                <w:szCs w:val="18"/>
              </w:rPr>
              <w:t>#排放口</w:t>
            </w:r>
          </w:p>
        </w:tc>
        <w:tc>
          <w:tcPr>
            <w:tcW w:w="732" w:type="pct"/>
            <w:vAlign w:val="center"/>
          </w:tcPr>
          <w:p w14:paraId="79230CAF">
            <w:pPr>
              <w:pStyle w:val="445"/>
              <w:rPr>
                <w:rFonts w:cs="Times New Roman"/>
                <w:kern w:val="0"/>
                <w:szCs w:val="20"/>
              </w:rPr>
            </w:pPr>
            <w:r>
              <w:rPr>
                <w:rFonts w:hint="eastAsia" w:cs="Times New Roman"/>
                <w:kern w:val="0"/>
                <w:szCs w:val="20"/>
              </w:rPr>
              <w:t>颗粒物</w:t>
            </w:r>
          </w:p>
        </w:tc>
        <w:tc>
          <w:tcPr>
            <w:tcW w:w="351" w:type="pct"/>
            <w:vAlign w:val="center"/>
          </w:tcPr>
          <w:p w14:paraId="50AA9481">
            <w:pPr>
              <w:pStyle w:val="445"/>
              <w:rPr>
                <w:rFonts w:cs="Times New Roman"/>
                <w:kern w:val="0"/>
                <w:szCs w:val="20"/>
              </w:rPr>
            </w:pPr>
            <w:r>
              <w:rPr>
                <w:rFonts w:cs="Times New Roman"/>
                <w:kern w:val="0"/>
                <w:szCs w:val="20"/>
              </w:rPr>
              <w:t>117.57559</w:t>
            </w:r>
          </w:p>
        </w:tc>
        <w:tc>
          <w:tcPr>
            <w:tcW w:w="353" w:type="pct"/>
            <w:vAlign w:val="center"/>
          </w:tcPr>
          <w:p w14:paraId="3B0FE750">
            <w:pPr>
              <w:pStyle w:val="445"/>
              <w:rPr>
                <w:rFonts w:cs="Times New Roman"/>
                <w:kern w:val="0"/>
                <w:szCs w:val="20"/>
              </w:rPr>
            </w:pPr>
            <w:r>
              <w:rPr>
                <w:rFonts w:cs="Times New Roman"/>
                <w:kern w:val="0"/>
                <w:szCs w:val="20"/>
              </w:rPr>
              <w:t>32.99136</w:t>
            </w:r>
          </w:p>
        </w:tc>
        <w:tc>
          <w:tcPr>
            <w:tcW w:w="150" w:type="pct"/>
            <w:vAlign w:val="center"/>
          </w:tcPr>
          <w:p w14:paraId="6C29C8B8">
            <w:pPr>
              <w:pStyle w:val="445"/>
              <w:rPr>
                <w:rFonts w:cs="Times New Roman"/>
                <w:kern w:val="0"/>
                <w:szCs w:val="20"/>
              </w:rPr>
            </w:pPr>
            <w:r>
              <w:rPr>
                <w:rFonts w:hint="eastAsia" w:cs="Times New Roman"/>
                <w:kern w:val="0"/>
                <w:szCs w:val="20"/>
              </w:rPr>
              <w:t>20</w:t>
            </w:r>
          </w:p>
        </w:tc>
        <w:tc>
          <w:tcPr>
            <w:tcW w:w="210" w:type="pct"/>
            <w:vAlign w:val="center"/>
          </w:tcPr>
          <w:p w14:paraId="1A0620D3">
            <w:pPr>
              <w:pStyle w:val="445"/>
              <w:rPr>
                <w:rFonts w:cs="Times New Roman"/>
                <w:kern w:val="0"/>
                <w:szCs w:val="20"/>
              </w:rPr>
            </w:pPr>
            <w:r>
              <w:rPr>
                <w:rFonts w:hint="eastAsia" w:cs="Times New Roman"/>
                <w:kern w:val="0"/>
                <w:szCs w:val="20"/>
              </w:rPr>
              <w:t>0.4</w:t>
            </w:r>
          </w:p>
        </w:tc>
        <w:tc>
          <w:tcPr>
            <w:tcW w:w="224" w:type="pct"/>
            <w:vAlign w:val="center"/>
          </w:tcPr>
          <w:p w14:paraId="7825FA5E">
            <w:pPr>
              <w:pStyle w:val="445"/>
              <w:rPr>
                <w:rFonts w:cs="Times New Roman"/>
                <w:kern w:val="0"/>
                <w:szCs w:val="20"/>
              </w:rPr>
            </w:pPr>
            <w:r>
              <w:rPr>
                <w:rFonts w:hint="eastAsia" w:cs="Times New Roman"/>
                <w:kern w:val="0"/>
                <w:szCs w:val="20"/>
              </w:rPr>
              <w:t>25</w:t>
            </w:r>
          </w:p>
        </w:tc>
        <w:tc>
          <w:tcPr>
            <w:tcW w:w="272" w:type="pct"/>
            <w:vAlign w:val="center"/>
          </w:tcPr>
          <w:p w14:paraId="6402DF6F">
            <w:pPr>
              <w:pStyle w:val="445"/>
              <w:rPr>
                <w:rFonts w:cs="Times New Roman"/>
                <w:kern w:val="0"/>
                <w:szCs w:val="20"/>
              </w:rPr>
            </w:pPr>
            <w:r>
              <w:rPr>
                <w:rFonts w:hint="eastAsia" w:cs="Times New Roman"/>
                <w:kern w:val="0"/>
                <w:szCs w:val="20"/>
              </w:rPr>
              <w:t>4000</w:t>
            </w:r>
          </w:p>
        </w:tc>
        <w:tc>
          <w:tcPr>
            <w:tcW w:w="753" w:type="pct"/>
            <w:vAlign w:val="center"/>
          </w:tcPr>
          <w:p w14:paraId="5D4285C1">
            <w:pPr>
              <w:pStyle w:val="445"/>
              <w:rPr>
                <w:rFonts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p>
        </w:tc>
        <w:tc>
          <w:tcPr>
            <w:tcW w:w="378" w:type="pct"/>
            <w:vAlign w:val="center"/>
          </w:tcPr>
          <w:p w14:paraId="5C12348C">
            <w:pPr>
              <w:pStyle w:val="445"/>
              <w:rPr>
                <w:rFonts w:cs="Times New Roman"/>
                <w:kern w:val="0"/>
                <w:szCs w:val="20"/>
              </w:rPr>
            </w:pPr>
            <w:r>
              <w:rPr>
                <w:rFonts w:hint="eastAsia" w:cs="Times New Roman"/>
                <w:kern w:val="0"/>
                <w:szCs w:val="20"/>
              </w:rPr>
              <w:t>120</w:t>
            </w:r>
          </w:p>
        </w:tc>
        <w:tc>
          <w:tcPr>
            <w:tcW w:w="219" w:type="pct"/>
            <w:vAlign w:val="center"/>
          </w:tcPr>
          <w:p w14:paraId="4176CD3B">
            <w:pPr>
              <w:pStyle w:val="445"/>
              <w:rPr>
                <w:rFonts w:cs="Times New Roman"/>
                <w:kern w:val="0"/>
                <w:szCs w:val="20"/>
              </w:rPr>
            </w:pPr>
            <w:r>
              <w:rPr>
                <w:rFonts w:hint="eastAsia" w:cs="Times New Roman"/>
                <w:kern w:val="0"/>
                <w:szCs w:val="20"/>
              </w:rPr>
              <w:t>5.9</w:t>
            </w:r>
          </w:p>
        </w:tc>
        <w:tc>
          <w:tcPr>
            <w:tcW w:w="398" w:type="pct"/>
            <w:vAlign w:val="center"/>
          </w:tcPr>
          <w:p w14:paraId="05AC1945">
            <w:pPr>
              <w:pStyle w:val="445"/>
              <w:rPr>
                <w:rFonts w:cs="Times New Roman"/>
                <w:kern w:val="0"/>
                <w:szCs w:val="20"/>
              </w:rPr>
            </w:pPr>
            <w:r>
              <w:rPr>
                <w:rFonts w:eastAsia="等线" w:cs="Times New Roman"/>
                <w:color w:val="000000"/>
                <w:kern w:val="0"/>
                <w:szCs w:val="18"/>
              </w:rPr>
              <w:t>0.251</w:t>
            </w:r>
          </w:p>
        </w:tc>
        <w:tc>
          <w:tcPr>
            <w:tcW w:w="212" w:type="pct"/>
            <w:vAlign w:val="center"/>
          </w:tcPr>
          <w:p w14:paraId="36520E76">
            <w:pPr>
              <w:pStyle w:val="445"/>
              <w:rPr>
                <w:rFonts w:cs="Times New Roman"/>
                <w:kern w:val="0"/>
                <w:szCs w:val="20"/>
              </w:rPr>
            </w:pPr>
            <w:r>
              <w:rPr>
                <w:rFonts w:hint="eastAsia" w:cs="Times New Roman"/>
                <w:kern w:val="0"/>
                <w:szCs w:val="20"/>
              </w:rPr>
              <w:t>/</w:t>
            </w:r>
          </w:p>
        </w:tc>
        <w:tc>
          <w:tcPr>
            <w:tcW w:w="144" w:type="pct"/>
            <w:vAlign w:val="center"/>
          </w:tcPr>
          <w:p w14:paraId="050186A8">
            <w:pPr>
              <w:pStyle w:val="445"/>
              <w:rPr>
                <w:rFonts w:cs="Times New Roman"/>
                <w:kern w:val="0"/>
                <w:szCs w:val="20"/>
              </w:rPr>
            </w:pPr>
            <w:r>
              <w:rPr>
                <w:rFonts w:hint="eastAsia" w:cs="Times New Roman"/>
                <w:kern w:val="0"/>
                <w:szCs w:val="20"/>
              </w:rPr>
              <w:t>/</w:t>
            </w:r>
          </w:p>
        </w:tc>
      </w:tr>
      <w:tr w14:paraId="0B5AC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22060316">
            <w:pPr>
              <w:pStyle w:val="445"/>
              <w:rPr>
                <w:rFonts w:cs="Times New Roman"/>
                <w:kern w:val="0"/>
                <w:szCs w:val="20"/>
              </w:rPr>
            </w:pPr>
            <w:r>
              <w:rPr>
                <w:rFonts w:hint="eastAsia" w:cs="Times New Roman"/>
                <w:kern w:val="0"/>
                <w:szCs w:val="20"/>
              </w:rPr>
              <w:t>2</w:t>
            </w:r>
          </w:p>
        </w:tc>
        <w:tc>
          <w:tcPr>
            <w:tcW w:w="279" w:type="pct"/>
            <w:vMerge w:val="restart"/>
            <w:vAlign w:val="center"/>
          </w:tcPr>
          <w:p w14:paraId="5BB12C0C">
            <w:pPr>
              <w:pStyle w:val="445"/>
              <w:rPr>
                <w:rFonts w:cs="Times New Roman"/>
                <w:kern w:val="0"/>
                <w:szCs w:val="18"/>
              </w:rPr>
            </w:pPr>
            <w:r>
              <w:rPr>
                <w:rFonts w:hint="eastAsia" w:cs="Times New Roman"/>
                <w:kern w:val="0"/>
                <w:szCs w:val="18"/>
              </w:rPr>
              <w:t>D</w:t>
            </w:r>
            <w:r>
              <w:rPr>
                <w:rFonts w:cs="Times New Roman"/>
                <w:kern w:val="0"/>
                <w:szCs w:val="18"/>
              </w:rPr>
              <w:t>A019</w:t>
            </w:r>
          </w:p>
        </w:tc>
        <w:tc>
          <w:tcPr>
            <w:tcW w:w="179" w:type="pct"/>
            <w:vMerge w:val="restart"/>
            <w:vAlign w:val="center"/>
          </w:tcPr>
          <w:p w14:paraId="36F3A605">
            <w:pPr>
              <w:pStyle w:val="445"/>
              <w:rPr>
                <w:rFonts w:cs="Times New Roman"/>
                <w:kern w:val="0"/>
                <w:szCs w:val="18"/>
              </w:rPr>
            </w:pPr>
            <w:r>
              <w:rPr>
                <w:rFonts w:hint="eastAsia" w:cs="Times New Roman"/>
                <w:kern w:val="0"/>
                <w:szCs w:val="18"/>
              </w:rPr>
              <w:t>19</w:t>
            </w:r>
            <w:r>
              <w:rPr>
                <w:rFonts w:cs="Times New Roman"/>
                <w:kern w:val="0"/>
                <w:szCs w:val="18"/>
              </w:rPr>
              <w:t>#排放口</w:t>
            </w:r>
          </w:p>
        </w:tc>
        <w:tc>
          <w:tcPr>
            <w:tcW w:w="732" w:type="pct"/>
            <w:vAlign w:val="center"/>
          </w:tcPr>
          <w:p w14:paraId="3C34E99B">
            <w:pPr>
              <w:pStyle w:val="445"/>
              <w:rPr>
                <w:rFonts w:cs="Times New Roman"/>
                <w:kern w:val="0"/>
                <w:szCs w:val="20"/>
              </w:rPr>
            </w:pPr>
            <w:r>
              <w:rPr>
                <w:rFonts w:hint="eastAsia" w:cs="Times New Roman"/>
                <w:kern w:val="0"/>
                <w:szCs w:val="18"/>
              </w:rPr>
              <w:t>颗粒物</w:t>
            </w:r>
          </w:p>
        </w:tc>
        <w:tc>
          <w:tcPr>
            <w:tcW w:w="351" w:type="pct"/>
            <w:vMerge w:val="restart"/>
            <w:vAlign w:val="center"/>
          </w:tcPr>
          <w:p w14:paraId="54F2A657">
            <w:pPr>
              <w:pStyle w:val="445"/>
              <w:rPr>
                <w:rFonts w:cs="Times New Roman"/>
                <w:kern w:val="0"/>
                <w:szCs w:val="20"/>
              </w:rPr>
            </w:pPr>
            <w:r>
              <w:rPr>
                <w:rFonts w:cs="Times New Roman"/>
                <w:kern w:val="0"/>
                <w:szCs w:val="20"/>
              </w:rPr>
              <w:t>117.57604</w:t>
            </w:r>
          </w:p>
        </w:tc>
        <w:tc>
          <w:tcPr>
            <w:tcW w:w="353" w:type="pct"/>
            <w:vMerge w:val="restart"/>
            <w:vAlign w:val="center"/>
          </w:tcPr>
          <w:p w14:paraId="7BE438EF">
            <w:pPr>
              <w:pStyle w:val="445"/>
              <w:rPr>
                <w:rFonts w:cs="Times New Roman"/>
                <w:kern w:val="0"/>
                <w:szCs w:val="20"/>
              </w:rPr>
            </w:pPr>
            <w:r>
              <w:rPr>
                <w:rFonts w:cs="Times New Roman"/>
                <w:kern w:val="0"/>
                <w:szCs w:val="20"/>
              </w:rPr>
              <w:t>32.99117</w:t>
            </w:r>
          </w:p>
        </w:tc>
        <w:tc>
          <w:tcPr>
            <w:tcW w:w="150" w:type="pct"/>
            <w:vMerge w:val="restart"/>
            <w:vAlign w:val="center"/>
          </w:tcPr>
          <w:p w14:paraId="7D692726">
            <w:pPr>
              <w:pStyle w:val="445"/>
              <w:rPr>
                <w:rFonts w:cs="Times New Roman"/>
                <w:kern w:val="0"/>
                <w:szCs w:val="20"/>
              </w:rPr>
            </w:pPr>
            <w:r>
              <w:rPr>
                <w:rFonts w:hint="eastAsia" w:cs="Times New Roman"/>
                <w:kern w:val="0"/>
                <w:szCs w:val="20"/>
              </w:rPr>
              <w:t>20</w:t>
            </w:r>
          </w:p>
        </w:tc>
        <w:tc>
          <w:tcPr>
            <w:tcW w:w="210" w:type="pct"/>
            <w:vMerge w:val="restart"/>
            <w:vAlign w:val="center"/>
          </w:tcPr>
          <w:p w14:paraId="460FE699">
            <w:pPr>
              <w:pStyle w:val="445"/>
              <w:rPr>
                <w:rFonts w:cs="Times New Roman"/>
                <w:kern w:val="0"/>
                <w:szCs w:val="20"/>
              </w:rPr>
            </w:pPr>
            <w:r>
              <w:rPr>
                <w:rFonts w:hint="eastAsia" w:cs="Times New Roman"/>
                <w:kern w:val="0"/>
                <w:szCs w:val="20"/>
              </w:rPr>
              <w:t>0.4</w:t>
            </w:r>
          </w:p>
        </w:tc>
        <w:tc>
          <w:tcPr>
            <w:tcW w:w="224" w:type="pct"/>
            <w:vMerge w:val="restart"/>
            <w:vAlign w:val="center"/>
          </w:tcPr>
          <w:p w14:paraId="6B0E56EB">
            <w:pPr>
              <w:pStyle w:val="445"/>
              <w:rPr>
                <w:rFonts w:cs="Times New Roman"/>
                <w:kern w:val="0"/>
                <w:szCs w:val="20"/>
              </w:rPr>
            </w:pPr>
            <w:r>
              <w:rPr>
                <w:rFonts w:hint="eastAsia" w:cs="Times New Roman"/>
                <w:kern w:val="0"/>
                <w:szCs w:val="20"/>
              </w:rPr>
              <w:t>25</w:t>
            </w:r>
          </w:p>
        </w:tc>
        <w:tc>
          <w:tcPr>
            <w:tcW w:w="272" w:type="pct"/>
            <w:vMerge w:val="restart"/>
            <w:vAlign w:val="center"/>
          </w:tcPr>
          <w:p w14:paraId="20295F52">
            <w:pPr>
              <w:pStyle w:val="445"/>
              <w:rPr>
                <w:rFonts w:cs="Times New Roman"/>
                <w:kern w:val="0"/>
                <w:szCs w:val="20"/>
              </w:rPr>
            </w:pPr>
            <w:r>
              <w:rPr>
                <w:rFonts w:hint="eastAsia" w:cs="Times New Roman"/>
                <w:kern w:val="0"/>
                <w:szCs w:val="20"/>
              </w:rPr>
              <w:t>2000</w:t>
            </w:r>
          </w:p>
        </w:tc>
        <w:tc>
          <w:tcPr>
            <w:tcW w:w="753" w:type="pct"/>
            <w:vMerge w:val="restart"/>
            <w:vAlign w:val="center"/>
          </w:tcPr>
          <w:p w14:paraId="6E3AA0A2">
            <w:pPr>
              <w:pStyle w:val="445"/>
              <w:rPr>
                <w:rFonts w:ascii="宋体" w:hAnsi="宋体"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p>
        </w:tc>
        <w:tc>
          <w:tcPr>
            <w:tcW w:w="378" w:type="pct"/>
            <w:vAlign w:val="center"/>
          </w:tcPr>
          <w:p w14:paraId="5A314A81">
            <w:pPr>
              <w:pStyle w:val="445"/>
              <w:rPr>
                <w:rFonts w:cs="Times New Roman"/>
                <w:kern w:val="0"/>
                <w:szCs w:val="20"/>
              </w:rPr>
            </w:pPr>
            <w:r>
              <w:rPr>
                <w:rFonts w:hint="eastAsia" w:cs="Times New Roman"/>
                <w:kern w:val="0"/>
                <w:szCs w:val="20"/>
              </w:rPr>
              <w:t>120</w:t>
            </w:r>
          </w:p>
        </w:tc>
        <w:tc>
          <w:tcPr>
            <w:tcW w:w="219" w:type="pct"/>
            <w:vAlign w:val="center"/>
          </w:tcPr>
          <w:p w14:paraId="3004272F">
            <w:pPr>
              <w:pStyle w:val="445"/>
              <w:rPr>
                <w:rFonts w:cs="Times New Roman"/>
                <w:kern w:val="0"/>
                <w:szCs w:val="20"/>
              </w:rPr>
            </w:pPr>
            <w:r>
              <w:rPr>
                <w:rFonts w:hint="eastAsia" w:cs="Times New Roman"/>
                <w:kern w:val="0"/>
                <w:szCs w:val="20"/>
              </w:rPr>
              <w:t>5.9</w:t>
            </w:r>
          </w:p>
        </w:tc>
        <w:tc>
          <w:tcPr>
            <w:tcW w:w="398" w:type="pct"/>
            <w:vAlign w:val="center"/>
          </w:tcPr>
          <w:p w14:paraId="2A5FF444">
            <w:pPr>
              <w:pStyle w:val="445"/>
              <w:rPr>
                <w:rFonts w:cs="Times New Roman"/>
                <w:kern w:val="0"/>
                <w:szCs w:val="20"/>
              </w:rPr>
            </w:pPr>
            <w:r>
              <w:rPr>
                <w:rFonts w:eastAsia="等线" w:cs="Times New Roman"/>
                <w:color w:val="000000"/>
                <w:kern w:val="0"/>
                <w:szCs w:val="18"/>
              </w:rPr>
              <w:t>0.005</w:t>
            </w:r>
          </w:p>
        </w:tc>
        <w:tc>
          <w:tcPr>
            <w:tcW w:w="212" w:type="pct"/>
            <w:vAlign w:val="center"/>
          </w:tcPr>
          <w:p w14:paraId="3E2AA567">
            <w:pPr>
              <w:pStyle w:val="445"/>
              <w:rPr>
                <w:rFonts w:cs="Times New Roman"/>
                <w:kern w:val="0"/>
                <w:szCs w:val="20"/>
              </w:rPr>
            </w:pPr>
            <w:r>
              <w:rPr>
                <w:rFonts w:hint="eastAsia" w:cs="Times New Roman"/>
                <w:kern w:val="0"/>
                <w:szCs w:val="20"/>
              </w:rPr>
              <w:t>/</w:t>
            </w:r>
          </w:p>
        </w:tc>
        <w:tc>
          <w:tcPr>
            <w:tcW w:w="144" w:type="pct"/>
            <w:vAlign w:val="center"/>
          </w:tcPr>
          <w:p w14:paraId="05182BF3">
            <w:pPr>
              <w:pStyle w:val="445"/>
              <w:rPr>
                <w:rFonts w:cs="Times New Roman"/>
                <w:kern w:val="0"/>
                <w:szCs w:val="20"/>
              </w:rPr>
            </w:pPr>
            <w:r>
              <w:rPr>
                <w:rFonts w:hint="eastAsia" w:cs="Times New Roman"/>
                <w:kern w:val="0"/>
                <w:szCs w:val="20"/>
              </w:rPr>
              <w:t>/</w:t>
            </w:r>
          </w:p>
        </w:tc>
      </w:tr>
      <w:tr w14:paraId="37FD1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33920394">
            <w:pPr>
              <w:pStyle w:val="445"/>
              <w:rPr>
                <w:rFonts w:cs="Times New Roman"/>
                <w:kern w:val="0"/>
                <w:szCs w:val="20"/>
              </w:rPr>
            </w:pPr>
          </w:p>
        </w:tc>
        <w:tc>
          <w:tcPr>
            <w:tcW w:w="279" w:type="pct"/>
            <w:vMerge w:val="continue"/>
            <w:vAlign w:val="center"/>
          </w:tcPr>
          <w:p w14:paraId="03A0182A">
            <w:pPr>
              <w:pStyle w:val="445"/>
              <w:rPr>
                <w:rFonts w:cs="Times New Roman"/>
                <w:kern w:val="0"/>
                <w:szCs w:val="18"/>
              </w:rPr>
            </w:pPr>
          </w:p>
        </w:tc>
        <w:tc>
          <w:tcPr>
            <w:tcW w:w="179" w:type="pct"/>
            <w:vMerge w:val="continue"/>
            <w:vAlign w:val="center"/>
          </w:tcPr>
          <w:p w14:paraId="2FCBBD1B">
            <w:pPr>
              <w:pStyle w:val="445"/>
              <w:rPr>
                <w:rFonts w:cs="Times New Roman"/>
                <w:kern w:val="0"/>
                <w:szCs w:val="18"/>
              </w:rPr>
            </w:pPr>
          </w:p>
        </w:tc>
        <w:tc>
          <w:tcPr>
            <w:tcW w:w="732" w:type="pct"/>
            <w:vAlign w:val="center"/>
          </w:tcPr>
          <w:p w14:paraId="362270FA">
            <w:pPr>
              <w:pStyle w:val="445"/>
              <w:rPr>
                <w:rFonts w:cs="Times New Roman"/>
                <w:kern w:val="0"/>
                <w:szCs w:val="20"/>
              </w:rPr>
            </w:pPr>
            <w:r>
              <w:rPr>
                <w:rFonts w:hint="eastAsia" w:cs="Times New Roman"/>
                <w:kern w:val="0"/>
                <w:szCs w:val="20"/>
              </w:rPr>
              <w:t>甲醇</w:t>
            </w:r>
          </w:p>
        </w:tc>
        <w:tc>
          <w:tcPr>
            <w:tcW w:w="351" w:type="pct"/>
            <w:vMerge w:val="continue"/>
            <w:vAlign w:val="center"/>
          </w:tcPr>
          <w:p w14:paraId="6254FB30">
            <w:pPr>
              <w:pStyle w:val="445"/>
              <w:rPr>
                <w:rFonts w:cs="Times New Roman"/>
                <w:kern w:val="0"/>
                <w:szCs w:val="20"/>
              </w:rPr>
            </w:pPr>
          </w:p>
        </w:tc>
        <w:tc>
          <w:tcPr>
            <w:tcW w:w="353" w:type="pct"/>
            <w:vMerge w:val="continue"/>
            <w:vAlign w:val="center"/>
          </w:tcPr>
          <w:p w14:paraId="71354E81">
            <w:pPr>
              <w:pStyle w:val="445"/>
              <w:rPr>
                <w:rFonts w:cs="Times New Roman"/>
                <w:kern w:val="0"/>
                <w:szCs w:val="20"/>
              </w:rPr>
            </w:pPr>
          </w:p>
        </w:tc>
        <w:tc>
          <w:tcPr>
            <w:tcW w:w="150" w:type="pct"/>
            <w:vMerge w:val="continue"/>
            <w:vAlign w:val="center"/>
          </w:tcPr>
          <w:p w14:paraId="2511A48C">
            <w:pPr>
              <w:pStyle w:val="445"/>
              <w:rPr>
                <w:rFonts w:cs="Times New Roman"/>
                <w:kern w:val="0"/>
                <w:szCs w:val="20"/>
              </w:rPr>
            </w:pPr>
          </w:p>
        </w:tc>
        <w:tc>
          <w:tcPr>
            <w:tcW w:w="210" w:type="pct"/>
            <w:vMerge w:val="continue"/>
            <w:vAlign w:val="center"/>
          </w:tcPr>
          <w:p w14:paraId="30E2681A">
            <w:pPr>
              <w:pStyle w:val="445"/>
              <w:rPr>
                <w:rFonts w:cs="Times New Roman"/>
                <w:kern w:val="0"/>
                <w:szCs w:val="20"/>
              </w:rPr>
            </w:pPr>
          </w:p>
        </w:tc>
        <w:tc>
          <w:tcPr>
            <w:tcW w:w="224" w:type="pct"/>
            <w:vMerge w:val="continue"/>
            <w:vAlign w:val="center"/>
          </w:tcPr>
          <w:p w14:paraId="78C06DBB">
            <w:pPr>
              <w:pStyle w:val="445"/>
              <w:rPr>
                <w:rFonts w:cs="Times New Roman"/>
                <w:kern w:val="0"/>
                <w:szCs w:val="20"/>
              </w:rPr>
            </w:pPr>
          </w:p>
        </w:tc>
        <w:tc>
          <w:tcPr>
            <w:tcW w:w="272" w:type="pct"/>
            <w:vMerge w:val="continue"/>
            <w:vAlign w:val="center"/>
          </w:tcPr>
          <w:p w14:paraId="093E994C">
            <w:pPr>
              <w:pStyle w:val="445"/>
              <w:rPr>
                <w:rFonts w:cs="Times New Roman"/>
                <w:kern w:val="0"/>
                <w:szCs w:val="20"/>
              </w:rPr>
            </w:pPr>
          </w:p>
        </w:tc>
        <w:tc>
          <w:tcPr>
            <w:tcW w:w="753" w:type="pct"/>
            <w:vMerge w:val="continue"/>
            <w:vAlign w:val="center"/>
          </w:tcPr>
          <w:p w14:paraId="418B9D8D">
            <w:pPr>
              <w:pStyle w:val="445"/>
              <w:rPr>
                <w:rFonts w:ascii="宋体" w:hAnsi="宋体" w:cs="Times New Roman"/>
                <w:kern w:val="0"/>
                <w:szCs w:val="20"/>
              </w:rPr>
            </w:pPr>
          </w:p>
        </w:tc>
        <w:tc>
          <w:tcPr>
            <w:tcW w:w="378" w:type="pct"/>
            <w:vAlign w:val="center"/>
          </w:tcPr>
          <w:p w14:paraId="2427F2C1">
            <w:pPr>
              <w:pStyle w:val="445"/>
              <w:rPr>
                <w:rFonts w:cs="Times New Roman"/>
                <w:kern w:val="0"/>
                <w:szCs w:val="20"/>
              </w:rPr>
            </w:pPr>
            <w:r>
              <w:rPr>
                <w:rFonts w:eastAsia="等线" w:cs="Times New Roman"/>
                <w:color w:val="000000"/>
                <w:kern w:val="0"/>
                <w:szCs w:val="18"/>
              </w:rPr>
              <w:t>190</w:t>
            </w:r>
          </w:p>
        </w:tc>
        <w:tc>
          <w:tcPr>
            <w:tcW w:w="219" w:type="pct"/>
            <w:vAlign w:val="center"/>
          </w:tcPr>
          <w:p w14:paraId="2B98A95C">
            <w:pPr>
              <w:pStyle w:val="445"/>
              <w:rPr>
                <w:rFonts w:cs="Times New Roman"/>
                <w:kern w:val="0"/>
                <w:szCs w:val="20"/>
              </w:rPr>
            </w:pPr>
            <w:r>
              <w:rPr>
                <w:rFonts w:cs="Times New Roman"/>
                <w:kern w:val="0"/>
                <w:szCs w:val="20"/>
              </w:rPr>
              <w:t>8.6</w:t>
            </w:r>
          </w:p>
        </w:tc>
        <w:tc>
          <w:tcPr>
            <w:tcW w:w="398" w:type="pct"/>
            <w:vAlign w:val="center"/>
          </w:tcPr>
          <w:p w14:paraId="1AA600B2">
            <w:pPr>
              <w:pStyle w:val="445"/>
              <w:rPr>
                <w:rFonts w:cs="Times New Roman"/>
                <w:kern w:val="0"/>
                <w:szCs w:val="20"/>
              </w:rPr>
            </w:pPr>
            <w:r>
              <w:rPr>
                <w:rFonts w:hint="eastAsia" w:cs="Times New Roman"/>
                <w:kern w:val="0"/>
                <w:szCs w:val="20"/>
              </w:rPr>
              <w:t>/</w:t>
            </w:r>
          </w:p>
        </w:tc>
        <w:tc>
          <w:tcPr>
            <w:tcW w:w="212" w:type="pct"/>
            <w:vAlign w:val="center"/>
          </w:tcPr>
          <w:p w14:paraId="6D757112">
            <w:pPr>
              <w:pStyle w:val="445"/>
              <w:rPr>
                <w:rFonts w:cs="Times New Roman"/>
                <w:kern w:val="0"/>
                <w:szCs w:val="20"/>
              </w:rPr>
            </w:pPr>
            <w:r>
              <w:rPr>
                <w:rFonts w:hint="eastAsia" w:cs="Times New Roman"/>
                <w:kern w:val="0"/>
                <w:szCs w:val="20"/>
              </w:rPr>
              <w:t>/</w:t>
            </w:r>
          </w:p>
        </w:tc>
        <w:tc>
          <w:tcPr>
            <w:tcW w:w="144" w:type="pct"/>
            <w:vAlign w:val="center"/>
          </w:tcPr>
          <w:p w14:paraId="4D7FB986">
            <w:pPr>
              <w:pStyle w:val="445"/>
              <w:rPr>
                <w:rFonts w:cs="Times New Roman"/>
                <w:kern w:val="0"/>
                <w:szCs w:val="20"/>
              </w:rPr>
            </w:pPr>
            <w:r>
              <w:rPr>
                <w:rFonts w:hint="eastAsia" w:cs="Times New Roman"/>
                <w:kern w:val="0"/>
                <w:szCs w:val="20"/>
              </w:rPr>
              <w:t>/</w:t>
            </w:r>
          </w:p>
        </w:tc>
      </w:tr>
      <w:tr w14:paraId="01C43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039F0A22">
            <w:pPr>
              <w:pStyle w:val="445"/>
              <w:rPr>
                <w:rFonts w:cs="Times New Roman"/>
                <w:kern w:val="0"/>
                <w:szCs w:val="20"/>
              </w:rPr>
            </w:pPr>
          </w:p>
        </w:tc>
        <w:tc>
          <w:tcPr>
            <w:tcW w:w="279" w:type="pct"/>
            <w:vMerge w:val="continue"/>
            <w:vAlign w:val="center"/>
          </w:tcPr>
          <w:p w14:paraId="0754697C">
            <w:pPr>
              <w:pStyle w:val="445"/>
              <w:rPr>
                <w:rFonts w:cs="Times New Roman"/>
                <w:kern w:val="0"/>
                <w:szCs w:val="18"/>
              </w:rPr>
            </w:pPr>
          </w:p>
        </w:tc>
        <w:tc>
          <w:tcPr>
            <w:tcW w:w="179" w:type="pct"/>
            <w:vMerge w:val="continue"/>
            <w:vAlign w:val="center"/>
          </w:tcPr>
          <w:p w14:paraId="4C5F7730">
            <w:pPr>
              <w:pStyle w:val="445"/>
              <w:rPr>
                <w:rFonts w:cs="Times New Roman"/>
                <w:kern w:val="0"/>
                <w:szCs w:val="18"/>
              </w:rPr>
            </w:pPr>
          </w:p>
        </w:tc>
        <w:tc>
          <w:tcPr>
            <w:tcW w:w="732" w:type="pct"/>
            <w:vAlign w:val="center"/>
          </w:tcPr>
          <w:p w14:paraId="056C4EAC">
            <w:pPr>
              <w:pStyle w:val="445"/>
              <w:rPr>
                <w:rFonts w:cs="Times New Roman"/>
                <w:kern w:val="0"/>
                <w:szCs w:val="20"/>
              </w:rPr>
            </w:pPr>
            <w:r>
              <w:rPr>
                <w:rFonts w:hint="eastAsia" w:cs="Times New Roman"/>
                <w:kern w:val="0"/>
                <w:szCs w:val="20"/>
              </w:rPr>
              <w:t>TVOC</w:t>
            </w:r>
          </w:p>
        </w:tc>
        <w:tc>
          <w:tcPr>
            <w:tcW w:w="351" w:type="pct"/>
            <w:vMerge w:val="continue"/>
            <w:vAlign w:val="center"/>
          </w:tcPr>
          <w:p w14:paraId="2712D4FB">
            <w:pPr>
              <w:pStyle w:val="445"/>
              <w:rPr>
                <w:rFonts w:cs="Times New Roman"/>
                <w:kern w:val="0"/>
                <w:szCs w:val="20"/>
              </w:rPr>
            </w:pPr>
          </w:p>
        </w:tc>
        <w:tc>
          <w:tcPr>
            <w:tcW w:w="353" w:type="pct"/>
            <w:vMerge w:val="continue"/>
            <w:vAlign w:val="center"/>
          </w:tcPr>
          <w:p w14:paraId="18817960">
            <w:pPr>
              <w:pStyle w:val="445"/>
              <w:rPr>
                <w:rFonts w:cs="Times New Roman"/>
                <w:kern w:val="0"/>
                <w:szCs w:val="20"/>
              </w:rPr>
            </w:pPr>
          </w:p>
        </w:tc>
        <w:tc>
          <w:tcPr>
            <w:tcW w:w="150" w:type="pct"/>
            <w:vMerge w:val="continue"/>
            <w:vAlign w:val="center"/>
          </w:tcPr>
          <w:p w14:paraId="3A1A29B3">
            <w:pPr>
              <w:pStyle w:val="445"/>
              <w:rPr>
                <w:rFonts w:cs="Times New Roman"/>
                <w:kern w:val="0"/>
                <w:szCs w:val="20"/>
              </w:rPr>
            </w:pPr>
          </w:p>
        </w:tc>
        <w:tc>
          <w:tcPr>
            <w:tcW w:w="210" w:type="pct"/>
            <w:vMerge w:val="continue"/>
            <w:vAlign w:val="center"/>
          </w:tcPr>
          <w:p w14:paraId="18BE78FE">
            <w:pPr>
              <w:pStyle w:val="445"/>
              <w:rPr>
                <w:rFonts w:cs="Times New Roman"/>
                <w:kern w:val="0"/>
                <w:szCs w:val="20"/>
              </w:rPr>
            </w:pPr>
          </w:p>
        </w:tc>
        <w:tc>
          <w:tcPr>
            <w:tcW w:w="224" w:type="pct"/>
            <w:vMerge w:val="continue"/>
            <w:vAlign w:val="center"/>
          </w:tcPr>
          <w:p w14:paraId="5E346E41">
            <w:pPr>
              <w:pStyle w:val="445"/>
              <w:rPr>
                <w:rFonts w:cs="Times New Roman"/>
                <w:kern w:val="0"/>
                <w:szCs w:val="20"/>
              </w:rPr>
            </w:pPr>
          </w:p>
        </w:tc>
        <w:tc>
          <w:tcPr>
            <w:tcW w:w="272" w:type="pct"/>
            <w:vMerge w:val="continue"/>
            <w:vAlign w:val="center"/>
          </w:tcPr>
          <w:p w14:paraId="1C76A67B">
            <w:pPr>
              <w:pStyle w:val="445"/>
              <w:rPr>
                <w:rFonts w:cs="Times New Roman"/>
                <w:kern w:val="0"/>
                <w:szCs w:val="20"/>
              </w:rPr>
            </w:pPr>
          </w:p>
        </w:tc>
        <w:tc>
          <w:tcPr>
            <w:tcW w:w="753" w:type="pct"/>
            <w:vMerge w:val="continue"/>
            <w:vAlign w:val="center"/>
          </w:tcPr>
          <w:p w14:paraId="0EDD819F">
            <w:pPr>
              <w:pStyle w:val="445"/>
              <w:rPr>
                <w:rFonts w:ascii="宋体" w:hAnsi="宋体" w:cs="Times New Roman"/>
                <w:kern w:val="0"/>
                <w:szCs w:val="20"/>
              </w:rPr>
            </w:pPr>
          </w:p>
        </w:tc>
        <w:tc>
          <w:tcPr>
            <w:tcW w:w="378" w:type="pct"/>
            <w:vAlign w:val="center"/>
          </w:tcPr>
          <w:p w14:paraId="62C2686F">
            <w:pPr>
              <w:pStyle w:val="445"/>
              <w:rPr>
                <w:rFonts w:cs="Times New Roman"/>
                <w:kern w:val="0"/>
                <w:szCs w:val="20"/>
              </w:rPr>
            </w:pPr>
            <w:r>
              <w:rPr>
                <w:rFonts w:eastAsia="等线" w:cs="Times New Roman"/>
                <w:color w:val="000000"/>
                <w:kern w:val="0"/>
                <w:szCs w:val="18"/>
              </w:rPr>
              <w:t>120</w:t>
            </w:r>
          </w:p>
        </w:tc>
        <w:tc>
          <w:tcPr>
            <w:tcW w:w="219" w:type="pct"/>
            <w:vAlign w:val="center"/>
          </w:tcPr>
          <w:p w14:paraId="572D4297">
            <w:pPr>
              <w:pStyle w:val="445"/>
              <w:rPr>
                <w:rFonts w:cs="Times New Roman"/>
                <w:kern w:val="0"/>
                <w:szCs w:val="20"/>
              </w:rPr>
            </w:pPr>
            <w:r>
              <w:rPr>
                <w:rFonts w:eastAsia="等线" w:cs="Times New Roman"/>
                <w:color w:val="000000"/>
                <w:kern w:val="0"/>
                <w:szCs w:val="18"/>
              </w:rPr>
              <w:t>17　</w:t>
            </w:r>
          </w:p>
        </w:tc>
        <w:tc>
          <w:tcPr>
            <w:tcW w:w="398" w:type="pct"/>
            <w:vAlign w:val="center"/>
          </w:tcPr>
          <w:p w14:paraId="7E6073A4">
            <w:pPr>
              <w:pStyle w:val="445"/>
              <w:rPr>
                <w:rFonts w:cs="Times New Roman"/>
                <w:kern w:val="0"/>
                <w:szCs w:val="20"/>
              </w:rPr>
            </w:pPr>
            <w:r>
              <w:rPr>
                <w:rFonts w:eastAsia="等线" w:cs="Times New Roman"/>
                <w:color w:val="000000"/>
                <w:kern w:val="0"/>
                <w:szCs w:val="18"/>
              </w:rPr>
              <w:t>0.725</w:t>
            </w:r>
          </w:p>
        </w:tc>
        <w:tc>
          <w:tcPr>
            <w:tcW w:w="212" w:type="pct"/>
            <w:vAlign w:val="center"/>
          </w:tcPr>
          <w:p w14:paraId="55416425">
            <w:pPr>
              <w:pStyle w:val="445"/>
              <w:rPr>
                <w:rFonts w:cs="Times New Roman"/>
                <w:kern w:val="0"/>
                <w:szCs w:val="20"/>
              </w:rPr>
            </w:pPr>
            <w:r>
              <w:rPr>
                <w:rFonts w:hint="eastAsia" w:cs="Times New Roman"/>
                <w:kern w:val="0"/>
                <w:szCs w:val="20"/>
              </w:rPr>
              <w:t>/</w:t>
            </w:r>
          </w:p>
        </w:tc>
        <w:tc>
          <w:tcPr>
            <w:tcW w:w="144" w:type="pct"/>
            <w:vAlign w:val="center"/>
          </w:tcPr>
          <w:p w14:paraId="48ABCC2A">
            <w:pPr>
              <w:pStyle w:val="445"/>
              <w:rPr>
                <w:rFonts w:cs="Times New Roman"/>
                <w:kern w:val="0"/>
                <w:szCs w:val="20"/>
              </w:rPr>
            </w:pPr>
            <w:r>
              <w:rPr>
                <w:rFonts w:hint="eastAsia" w:cs="Times New Roman"/>
                <w:kern w:val="0"/>
                <w:szCs w:val="20"/>
              </w:rPr>
              <w:t>/</w:t>
            </w:r>
          </w:p>
        </w:tc>
      </w:tr>
      <w:tr w14:paraId="6749F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5E7B6ADA">
            <w:pPr>
              <w:pStyle w:val="445"/>
              <w:rPr>
                <w:rFonts w:cs="Times New Roman"/>
                <w:kern w:val="0"/>
                <w:szCs w:val="20"/>
              </w:rPr>
            </w:pPr>
            <w:r>
              <w:rPr>
                <w:rFonts w:hint="eastAsia" w:cs="Times New Roman"/>
                <w:kern w:val="0"/>
                <w:szCs w:val="20"/>
              </w:rPr>
              <w:t>3</w:t>
            </w:r>
          </w:p>
        </w:tc>
        <w:tc>
          <w:tcPr>
            <w:tcW w:w="279" w:type="pct"/>
            <w:vMerge w:val="restart"/>
            <w:vAlign w:val="center"/>
          </w:tcPr>
          <w:p w14:paraId="3FBF0D1B">
            <w:pPr>
              <w:pStyle w:val="445"/>
              <w:rPr>
                <w:rFonts w:cs="Times New Roman"/>
                <w:kern w:val="0"/>
                <w:szCs w:val="18"/>
              </w:rPr>
            </w:pPr>
            <w:r>
              <w:rPr>
                <w:rFonts w:hint="eastAsia" w:cs="Times New Roman"/>
                <w:kern w:val="0"/>
                <w:szCs w:val="18"/>
              </w:rPr>
              <w:t>D</w:t>
            </w:r>
            <w:r>
              <w:rPr>
                <w:rFonts w:cs="Times New Roman"/>
                <w:kern w:val="0"/>
                <w:szCs w:val="18"/>
              </w:rPr>
              <w:t>A020</w:t>
            </w:r>
          </w:p>
        </w:tc>
        <w:tc>
          <w:tcPr>
            <w:tcW w:w="179" w:type="pct"/>
            <w:vMerge w:val="restart"/>
            <w:vAlign w:val="center"/>
          </w:tcPr>
          <w:p w14:paraId="1F66A279">
            <w:pPr>
              <w:pStyle w:val="445"/>
              <w:rPr>
                <w:rFonts w:cs="Times New Roman"/>
                <w:kern w:val="0"/>
                <w:szCs w:val="18"/>
              </w:rPr>
            </w:pPr>
            <w:r>
              <w:rPr>
                <w:rFonts w:hint="eastAsia" w:cs="Times New Roman"/>
                <w:kern w:val="0"/>
                <w:szCs w:val="18"/>
              </w:rPr>
              <w:t>20</w:t>
            </w:r>
            <w:r>
              <w:rPr>
                <w:rFonts w:cs="Times New Roman"/>
                <w:kern w:val="0"/>
                <w:szCs w:val="18"/>
              </w:rPr>
              <w:t>#排放口</w:t>
            </w:r>
          </w:p>
        </w:tc>
        <w:tc>
          <w:tcPr>
            <w:tcW w:w="732" w:type="pct"/>
            <w:vAlign w:val="center"/>
          </w:tcPr>
          <w:p w14:paraId="3F73B162">
            <w:pPr>
              <w:pStyle w:val="445"/>
              <w:rPr>
                <w:rFonts w:cs="Times New Roman"/>
                <w:kern w:val="0"/>
                <w:szCs w:val="20"/>
              </w:rPr>
            </w:pPr>
            <w:r>
              <w:rPr>
                <w:rFonts w:hint="eastAsia" w:cs="Times New Roman"/>
                <w:kern w:val="0"/>
                <w:szCs w:val="20"/>
              </w:rPr>
              <w:t>甲醇</w:t>
            </w:r>
          </w:p>
        </w:tc>
        <w:tc>
          <w:tcPr>
            <w:tcW w:w="351" w:type="pct"/>
            <w:vMerge w:val="restart"/>
            <w:vAlign w:val="center"/>
          </w:tcPr>
          <w:p w14:paraId="5468C3A2">
            <w:pPr>
              <w:pStyle w:val="445"/>
              <w:rPr>
                <w:rFonts w:cs="Times New Roman"/>
                <w:kern w:val="0"/>
                <w:szCs w:val="20"/>
              </w:rPr>
            </w:pPr>
            <w:r>
              <w:rPr>
                <w:rFonts w:cs="Times New Roman"/>
                <w:kern w:val="0"/>
                <w:szCs w:val="20"/>
              </w:rPr>
              <w:t>117.57629</w:t>
            </w:r>
          </w:p>
        </w:tc>
        <w:tc>
          <w:tcPr>
            <w:tcW w:w="353" w:type="pct"/>
            <w:vMerge w:val="restart"/>
            <w:vAlign w:val="center"/>
          </w:tcPr>
          <w:p w14:paraId="5225FF2F">
            <w:pPr>
              <w:pStyle w:val="445"/>
              <w:rPr>
                <w:rFonts w:cs="Times New Roman"/>
                <w:kern w:val="0"/>
                <w:szCs w:val="20"/>
              </w:rPr>
            </w:pPr>
            <w:r>
              <w:rPr>
                <w:rFonts w:cs="Times New Roman"/>
                <w:kern w:val="0"/>
                <w:szCs w:val="20"/>
              </w:rPr>
              <w:t>32.99098</w:t>
            </w:r>
          </w:p>
        </w:tc>
        <w:tc>
          <w:tcPr>
            <w:tcW w:w="150" w:type="pct"/>
            <w:vMerge w:val="restart"/>
            <w:vAlign w:val="center"/>
          </w:tcPr>
          <w:p w14:paraId="16BB860B">
            <w:pPr>
              <w:pStyle w:val="445"/>
              <w:rPr>
                <w:rFonts w:cs="Times New Roman"/>
                <w:kern w:val="0"/>
                <w:szCs w:val="20"/>
              </w:rPr>
            </w:pPr>
            <w:r>
              <w:rPr>
                <w:rFonts w:hint="eastAsia" w:cs="Times New Roman"/>
                <w:kern w:val="0"/>
                <w:szCs w:val="20"/>
              </w:rPr>
              <w:t>20</w:t>
            </w:r>
          </w:p>
        </w:tc>
        <w:tc>
          <w:tcPr>
            <w:tcW w:w="210" w:type="pct"/>
            <w:vMerge w:val="restart"/>
            <w:vAlign w:val="center"/>
          </w:tcPr>
          <w:p w14:paraId="331210EA">
            <w:pPr>
              <w:pStyle w:val="445"/>
              <w:rPr>
                <w:rFonts w:cs="Times New Roman"/>
                <w:kern w:val="0"/>
                <w:szCs w:val="20"/>
              </w:rPr>
            </w:pPr>
            <w:r>
              <w:rPr>
                <w:rFonts w:hint="eastAsia" w:cs="Times New Roman"/>
                <w:kern w:val="0"/>
                <w:szCs w:val="20"/>
              </w:rPr>
              <w:t>0.4</w:t>
            </w:r>
          </w:p>
        </w:tc>
        <w:tc>
          <w:tcPr>
            <w:tcW w:w="224" w:type="pct"/>
            <w:vMerge w:val="restart"/>
            <w:vAlign w:val="center"/>
          </w:tcPr>
          <w:p w14:paraId="571FAE55">
            <w:pPr>
              <w:pStyle w:val="445"/>
              <w:rPr>
                <w:rFonts w:cs="Times New Roman"/>
                <w:kern w:val="0"/>
                <w:szCs w:val="20"/>
              </w:rPr>
            </w:pPr>
            <w:r>
              <w:rPr>
                <w:rFonts w:hint="eastAsia" w:cs="Times New Roman"/>
                <w:kern w:val="0"/>
                <w:szCs w:val="20"/>
              </w:rPr>
              <w:t>25</w:t>
            </w:r>
          </w:p>
        </w:tc>
        <w:tc>
          <w:tcPr>
            <w:tcW w:w="272" w:type="pct"/>
            <w:vMerge w:val="restart"/>
            <w:vAlign w:val="center"/>
          </w:tcPr>
          <w:p w14:paraId="756FDE19">
            <w:pPr>
              <w:pStyle w:val="445"/>
              <w:rPr>
                <w:rFonts w:cs="Times New Roman"/>
                <w:kern w:val="0"/>
                <w:szCs w:val="20"/>
              </w:rPr>
            </w:pPr>
            <w:r>
              <w:rPr>
                <w:rFonts w:hint="eastAsia" w:cs="Times New Roman"/>
                <w:kern w:val="0"/>
                <w:szCs w:val="20"/>
              </w:rPr>
              <w:t>2000</w:t>
            </w:r>
          </w:p>
        </w:tc>
        <w:tc>
          <w:tcPr>
            <w:tcW w:w="753" w:type="pct"/>
            <w:vMerge w:val="restart"/>
            <w:vAlign w:val="center"/>
          </w:tcPr>
          <w:p w14:paraId="5FA86283">
            <w:pPr>
              <w:pStyle w:val="445"/>
              <w:rPr>
                <w:rFonts w:ascii="宋体" w:hAnsi="宋体"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p>
        </w:tc>
        <w:tc>
          <w:tcPr>
            <w:tcW w:w="378" w:type="pct"/>
            <w:vAlign w:val="center"/>
          </w:tcPr>
          <w:p w14:paraId="59D81820">
            <w:pPr>
              <w:pStyle w:val="445"/>
              <w:rPr>
                <w:rFonts w:cs="Times New Roman"/>
                <w:kern w:val="0"/>
                <w:szCs w:val="20"/>
              </w:rPr>
            </w:pPr>
            <w:r>
              <w:rPr>
                <w:rFonts w:eastAsia="等线" w:cs="Times New Roman"/>
                <w:color w:val="000000"/>
                <w:kern w:val="0"/>
                <w:szCs w:val="18"/>
              </w:rPr>
              <w:t>190</w:t>
            </w:r>
          </w:p>
        </w:tc>
        <w:tc>
          <w:tcPr>
            <w:tcW w:w="219" w:type="pct"/>
            <w:vAlign w:val="center"/>
          </w:tcPr>
          <w:p w14:paraId="522269FA">
            <w:pPr>
              <w:pStyle w:val="445"/>
              <w:rPr>
                <w:rFonts w:cs="Times New Roman"/>
                <w:kern w:val="0"/>
                <w:szCs w:val="20"/>
              </w:rPr>
            </w:pPr>
            <w:r>
              <w:rPr>
                <w:rFonts w:cs="Times New Roman"/>
                <w:kern w:val="0"/>
                <w:szCs w:val="20"/>
              </w:rPr>
              <w:t>8.6</w:t>
            </w:r>
          </w:p>
        </w:tc>
        <w:tc>
          <w:tcPr>
            <w:tcW w:w="398" w:type="pct"/>
            <w:vAlign w:val="center"/>
          </w:tcPr>
          <w:p w14:paraId="0D487A4F">
            <w:pPr>
              <w:pStyle w:val="445"/>
              <w:rPr>
                <w:rFonts w:cs="Times New Roman"/>
                <w:kern w:val="0"/>
                <w:szCs w:val="20"/>
              </w:rPr>
            </w:pPr>
            <w:r>
              <w:rPr>
                <w:rFonts w:hint="eastAsia" w:cs="Times New Roman"/>
                <w:kern w:val="0"/>
                <w:szCs w:val="20"/>
              </w:rPr>
              <w:t>/</w:t>
            </w:r>
          </w:p>
        </w:tc>
        <w:tc>
          <w:tcPr>
            <w:tcW w:w="212" w:type="pct"/>
            <w:vAlign w:val="center"/>
          </w:tcPr>
          <w:p w14:paraId="3088DE0D">
            <w:pPr>
              <w:pStyle w:val="445"/>
              <w:rPr>
                <w:rFonts w:cs="Times New Roman"/>
                <w:kern w:val="0"/>
                <w:szCs w:val="20"/>
              </w:rPr>
            </w:pPr>
            <w:r>
              <w:rPr>
                <w:rFonts w:hint="eastAsia" w:cs="Times New Roman"/>
                <w:kern w:val="0"/>
                <w:szCs w:val="20"/>
              </w:rPr>
              <w:t>/</w:t>
            </w:r>
          </w:p>
        </w:tc>
        <w:tc>
          <w:tcPr>
            <w:tcW w:w="144" w:type="pct"/>
            <w:vAlign w:val="center"/>
          </w:tcPr>
          <w:p w14:paraId="0DBB58CA">
            <w:pPr>
              <w:pStyle w:val="445"/>
              <w:rPr>
                <w:rFonts w:cs="Times New Roman"/>
                <w:kern w:val="0"/>
                <w:szCs w:val="20"/>
              </w:rPr>
            </w:pPr>
            <w:r>
              <w:rPr>
                <w:rFonts w:hint="eastAsia" w:cs="Times New Roman"/>
                <w:kern w:val="0"/>
                <w:szCs w:val="20"/>
              </w:rPr>
              <w:t>/</w:t>
            </w:r>
          </w:p>
        </w:tc>
      </w:tr>
      <w:tr w14:paraId="005482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1C67858D">
            <w:pPr>
              <w:pStyle w:val="445"/>
              <w:rPr>
                <w:rFonts w:cs="Times New Roman"/>
                <w:kern w:val="0"/>
                <w:szCs w:val="20"/>
              </w:rPr>
            </w:pPr>
          </w:p>
        </w:tc>
        <w:tc>
          <w:tcPr>
            <w:tcW w:w="279" w:type="pct"/>
            <w:vMerge w:val="continue"/>
            <w:vAlign w:val="center"/>
          </w:tcPr>
          <w:p w14:paraId="4A7B32A9">
            <w:pPr>
              <w:pStyle w:val="445"/>
              <w:rPr>
                <w:rFonts w:cs="Times New Roman"/>
                <w:kern w:val="0"/>
                <w:szCs w:val="18"/>
              </w:rPr>
            </w:pPr>
          </w:p>
        </w:tc>
        <w:tc>
          <w:tcPr>
            <w:tcW w:w="179" w:type="pct"/>
            <w:vMerge w:val="continue"/>
            <w:vAlign w:val="center"/>
          </w:tcPr>
          <w:p w14:paraId="73535F53">
            <w:pPr>
              <w:pStyle w:val="445"/>
              <w:rPr>
                <w:rFonts w:cs="Times New Roman"/>
                <w:kern w:val="0"/>
                <w:szCs w:val="18"/>
              </w:rPr>
            </w:pPr>
          </w:p>
        </w:tc>
        <w:tc>
          <w:tcPr>
            <w:tcW w:w="732" w:type="pct"/>
            <w:vAlign w:val="center"/>
          </w:tcPr>
          <w:p w14:paraId="607CDC80">
            <w:pPr>
              <w:pStyle w:val="445"/>
              <w:rPr>
                <w:rFonts w:cs="Times New Roman"/>
                <w:kern w:val="0"/>
                <w:szCs w:val="20"/>
              </w:rPr>
            </w:pPr>
            <w:r>
              <w:rPr>
                <w:rFonts w:hint="eastAsia" w:cs="Times New Roman"/>
                <w:kern w:val="0"/>
                <w:szCs w:val="20"/>
              </w:rPr>
              <w:t>TVOC</w:t>
            </w:r>
          </w:p>
        </w:tc>
        <w:tc>
          <w:tcPr>
            <w:tcW w:w="351" w:type="pct"/>
            <w:vMerge w:val="continue"/>
            <w:vAlign w:val="center"/>
          </w:tcPr>
          <w:p w14:paraId="31240353">
            <w:pPr>
              <w:pStyle w:val="445"/>
              <w:rPr>
                <w:rFonts w:cs="Times New Roman"/>
                <w:kern w:val="0"/>
                <w:szCs w:val="20"/>
              </w:rPr>
            </w:pPr>
          </w:p>
        </w:tc>
        <w:tc>
          <w:tcPr>
            <w:tcW w:w="353" w:type="pct"/>
            <w:vMerge w:val="continue"/>
            <w:vAlign w:val="center"/>
          </w:tcPr>
          <w:p w14:paraId="4DA06569">
            <w:pPr>
              <w:pStyle w:val="445"/>
              <w:rPr>
                <w:rFonts w:cs="Times New Roman"/>
                <w:kern w:val="0"/>
                <w:szCs w:val="20"/>
              </w:rPr>
            </w:pPr>
          </w:p>
        </w:tc>
        <w:tc>
          <w:tcPr>
            <w:tcW w:w="150" w:type="pct"/>
            <w:vMerge w:val="continue"/>
            <w:vAlign w:val="center"/>
          </w:tcPr>
          <w:p w14:paraId="1D5F5A51">
            <w:pPr>
              <w:pStyle w:val="445"/>
              <w:rPr>
                <w:rFonts w:cs="Times New Roman"/>
                <w:kern w:val="0"/>
                <w:szCs w:val="20"/>
              </w:rPr>
            </w:pPr>
          </w:p>
        </w:tc>
        <w:tc>
          <w:tcPr>
            <w:tcW w:w="210" w:type="pct"/>
            <w:vMerge w:val="continue"/>
            <w:vAlign w:val="center"/>
          </w:tcPr>
          <w:p w14:paraId="6E18A1DA">
            <w:pPr>
              <w:pStyle w:val="445"/>
              <w:rPr>
                <w:rFonts w:cs="Times New Roman"/>
                <w:kern w:val="0"/>
                <w:szCs w:val="20"/>
              </w:rPr>
            </w:pPr>
          </w:p>
        </w:tc>
        <w:tc>
          <w:tcPr>
            <w:tcW w:w="224" w:type="pct"/>
            <w:vMerge w:val="continue"/>
            <w:vAlign w:val="center"/>
          </w:tcPr>
          <w:p w14:paraId="42060C86">
            <w:pPr>
              <w:pStyle w:val="445"/>
              <w:rPr>
                <w:rFonts w:cs="Times New Roman"/>
                <w:kern w:val="0"/>
                <w:szCs w:val="20"/>
              </w:rPr>
            </w:pPr>
          </w:p>
        </w:tc>
        <w:tc>
          <w:tcPr>
            <w:tcW w:w="272" w:type="pct"/>
            <w:vMerge w:val="continue"/>
            <w:vAlign w:val="center"/>
          </w:tcPr>
          <w:p w14:paraId="7D1B52E8">
            <w:pPr>
              <w:pStyle w:val="445"/>
              <w:rPr>
                <w:rFonts w:cs="Times New Roman"/>
                <w:kern w:val="0"/>
                <w:szCs w:val="20"/>
              </w:rPr>
            </w:pPr>
          </w:p>
        </w:tc>
        <w:tc>
          <w:tcPr>
            <w:tcW w:w="753" w:type="pct"/>
            <w:vMerge w:val="continue"/>
            <w:vAlign w:val="center"/>
          </w:tcPr>
          <w:p w14:paraId="1C489382">
            <w:pPr>
              <w:pStyle w:val="445"/>
              <w:rPr>
                <w:rFonts w:ascii="宋体" w:hAnsi="宋体" w:cs="Times New Roman"/>
                <w:kern w:val="0"/>
                <w:szCs w:val="20"/>
              </w:rPr>
            </w:pPr>
          </w:p>
        </w:tc>
        <w:tc>
          <w:tcPr>
            <w:tcW w:w="378" w:type="pct"/>
            <w:vAlign w:val="center"/>
          </w:tcPr>
          <w:p w14:paraId="274F9435">
            <w:pPr>
              <w:pStyle w:val="445"/>
              <w:rPr>
                <w:rFonts w:cs="Times New Roman"/>
                <w:kern w:val="0"/>
                <w:szCs w:val="20"/>
              </w:rPr>
            </w:pPr>
            <w:r>
              <w:rPr>
                <w:rFonts w:eastAsia="等线" w:cs="Times New Roman"/>
                <w:color w:val="000000"/>
                <w:kern w:val="0"/>
                <w:szCs w:val="18"/>
              </w:rPr>
              <w:t>120</w:t>
            </w:r>
          </w:p>
        </w:tc>
        <w:tc>
          <w:tcPr>
            <w:tcW w:w="219" w:type="pct"/>
            <w:vAlign w:val="center"/>
          </w:tcPr>
          <w:p w14:paraId="32F56EA6">
            <w:pPr>
              <w:pStyle w:val="445"/>
              <w:rPr>
                <w:rFonts w:cs="Times New Roman"/>
                <w:kern w:val="0"/>
                <w:szCs w:val="20"/>
              </w:rPr>
            </w:pPr>
            <w:r>
              <w:rPr>
                <w:rFonts w:eastAsia="等线" w:cs="Times New Roman"/>
                <w:color w:val="000000"/>
                <w:kern w:val="0"/>
                <w:szCs w:val="18"/>
              </w:rPr>
              <w:t>17　</w:t>
            </w:r>
          </w:p>
        </w:tc>
        <w:tc>
          <w:tcPr>
            <w:tcW w:w="398" w:type="pct"/>
            <w:vAlign w:val="center"/>
          </w:tcPr>
          <w:p w14:paraId="0CA2B564">
            <w:pPr>
              <w:pStyle w:val="445"/>
              <w:rPr>
                <w:rFonts w:cs="Times New Roman"/>
                <w:kern w:val="0"/>
                <w:szCs w:val="20"/>
              </w:rPr>
            </w:pPr>
            <w:r>
              <w:rPr>
                <w:rFonts w:eastAsia="等线" w:cs="Times New Roman"/>
                <w:color w:val="000000"/>
                <w:kern w:val="0"/>
                <w:szCs w:val="18"/>
              </w:rPr>
              <w:t>0.037</w:t>
            </w:r>
          </w:p>
        </w:tc>
        <w:tc>
          <w:tcPr>
            <w:tcW w:w="212" w:type="pct"/>
            <w:vAlign w:val="center"/>
          </w:tcPr>
          <w:p w14:paraId="5915840F">
            <w:pPr>
              <w:pStyle w:val="445"/>
              <w:rPr>
                <w:rFonts w:cs="Times New Roman"/>
                <w:kern w:val="0"/>
                <w:szCs w:val="20"/>
              </w:rPr>
            </w:pPr>
            <w:r>
              <w:rPr>
                <w:rFonts w:hint="eastAsia" w:cs="Times New Roman"/>
                <w:kern w:val="0"/>
                <w:szCs w:val="20"/>
              </w:rPr>
              <w:t>/</w:t>
            </w:r>
          </w:p>
        </w:tc>
        <w:tc>
          <w:tcPr>
            <w:tcW w:w="144" w:type="pct"/>
            <w:vAlign w:val="center"/>
          </w:tcPr>
          <w:p w14:paraId="29781F46">
            <w:pPr>
              <w:pStyle w:val="445"/>
              <w:rPr>
                <w:rFonts w:cs="Times New Roman"/>
                <w:kern w:val="0"/>
                <w:szCs w:val="20"/>
              </w:rPr>
            </w:pPr>
            <w:r>
              <w:rPr>
                <w:rFonts w:hint="eastAsia" w:cs="Times New Roman"/>
                <w:kern w:val="0"/>
                <w:szCs w:val="20"/>
              </w:rPr>
              <w:t>/</w:t>
            </w:r>
          </w:p>
        </w:tc>
      </w:tr>
      <w:tr w14:paraId="302DD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451FE3BC">
            <w:pPr>
              <w:pStyle w:val="445"/>
              <w:rPr>
                <w:rFonts w:cs="Times New Roman"/>
                <w:kern w:val="0"/>
                <w:szCs w:val="20"/>
              </w:rPr>
            </w:pPr>
            <w:r>
              <w:rPr>
                <w:rFonts w:hint="eastAsia" w:cs="Times New Roman"/>
                <w:kern w:val="0"/>
                <w:szCs w:val="20"/>
              </w:rPr>
              <w:t>4</w:t>
            </w:r>
          </w:p>
        </w:tc>
        <w:tc>
          <w:tcPr>
            <w:tcW w:w="279" w:type="pct"/>
            <w:vMerge w:val="restart"/>
            <w:vAlign w:val="center"/>
          </w:tcPr>
          <w:p w14:paraId="73707EB5">
            <w:pPr>
              <w:pStyle w:val="445"/>
              <w:rPr>
                <w:rFonts w:cs="Times New Roman"/>
                <w:kern w:val="0"/>
                <w:szCs w:val="18"/>
              </w:rPr>
            </w:pPr>
            <w:r>
              <w:rPr>
                <w:rFonts w:hint="eastAsia" w:cs="Times New Roman"/>
                <w:kern w:val="0"/>
                <w:szCs w:val="18"/>
              </w:rPr>
              <w:t>D</w:t>
            </w:r>
            <w:r>
              <w:rPr>
                <w:rFonts w:cs="Times New Roman"/>
                <w:kern w:val="0"/>
                <w:szCs w:val="18"/>
              </w:rPr>
              <w:t>A021</w:t>
            </w:r>
          </w:p>
        </w:tc>
        <w:tc>
          <w:tcPr>
            <w:tcW w:w="179" w:type="pct"/>
            <w:vMerge w:val="restart"/>
            <w:vAlign w:val="center"/>
          </w:tcPr>
          <w:p w14:paraId="3DB9E50F">
            <w:pPr>
              <w:pStyle w:val="445"/>
              <w:rPr>
                <w:rFonts w:cs="Times New Roman"/>
                <w:kern w:val="0"/>
                <w:szCs w:val="18"/>
              </w:rPr>
            </w:pPr>
            <w:r>
              <w:rPr>
                <w:rFonts w:cs="Times New Roman"/>
                <w:kern w:val="0"/>
                <w:szCs w:val="18"/>
              </w:rPr>
              <w:t>21#排放口</w:t>
            </w:r>
          </w:p>
        </w:tc>
        <w:tc>
          <w:tcPr>
            <w:tcW w:w="732" w:type="pct"/>
            <w:vAlign w:val="center"/>
          </w:tcPr>
          <w:p w14:paraId="1F953B4E">
            <w:pPr>
              <w:pStyle w:val="445"/>
              <w:rPr>
                <w:rFonts w:cs="Times New Roman"/>
                <w:kern w:val="0"/>
                <w:szCs w:val="20"/>
              </w:rPr>
            </w:pPr>
            <w:r>
              <w:rPr>
                <w:rFonts w:hint="eastAsia" w:cs="Times New Roman"/>
                <w:kern w:val="0"/>
                <w:szCs w:val="20"/>
              </w:rPr>
              <w:t>甲醇</w:t>
            </w:r>
          </w:p>
        </w:tc>
        <w:tc>
          <w:tcPr>
            <w:tcW w:w="351" w:type="pct"/>
            <w:vMerge w:val="restart"/>
            <w:vAlign w:val="center"/>
          </w:tcPr>
          <w:p w14:paraId="3B10E46C">
            <w:pPr>
              <w:pStyle w:val="445"/>
              <w:rPr>
                <w:rFonts w:cs="Times New Roman"/>
                <w:kern w:val="0"/>
                <w:szCs w:val="20"/>
              </w:rPr>
            </w:pPr>
            <w:r>
              <w:rPr>
                <w:rFonts w:cs="Times New Roman"/>
                <w:kern w:val="0"/>
                <w:szCs w:val="20"/>
              </w:rPr>
              <w:t>117.57642</w:t>
            </w:r>
          </w:p>
        </w:tc>
        <w:tc>
          <w:tcPr>
            <w:tcW w:w="353" w:type="pct"/>
            <w:vMerge w:val="restart"/>
            <w:vAlign w:val="center"/>
          </w:tcPr>
          <w:p w14:paraId="1217C8D9">
            <w:pPr>
              <w:pStyle w:val="445"/>
              <w:rPr>
                <w:rFonts w:cs="Times New Roman"/>
                <w:kern w:val="0"/>
                <w:szCs w:val="20"/>
              </w:rPr>
            </w:pPr>
            <w:r>
              <w:rPr>
                <w:rFonts w:cs="Times New Roman"/>
                <w:kern w:val="0"/>
                <w:szCs w:val="20"/>
              </w:rPr>
              <w:t>32.99119</w:t>
            </w:r>
          </w:p>
        </w:tc>
        <w:tc>
          <w:tcPr>
            <w:tcW w:w="150" w:type="pct"/>
            <w:vMerge w:val="restart"/>
            <w:vAlign w:val="center"/>
          </w:tcPr>
          <w:p w14:paraId="3580D67E">
            <w:pPr>
              <w:pStyle w:val="445"/>
              <w:rPr>
                <w:rFonts w:cs="Times New Roman"/>
                <w:kern w:val="0"/>
                <w:szCs w:val="20"/>
              </w:rPr>
            </w:pPr>
            <w:r>
              <w:rPr>
                <w:rFonts w:hint="eastAsia" w:cs="Times New Roman"/>
                <w:kern w:val="0"/>
                <w:szCs w:val="20"/>
              </w:rPr>
              <w:t>20</w:t>
            </w:r>
          </w:p>
        </w:tc>
        <w:tc>
          <w:tcPr>
            <w:tcW w:w="210" w:type="pct"/>
            <w:vMerge w:val="restart"/>
            <w:vAlign w:val="center"/>
          </w:tcPr>
          <w:p w14:paraId="2AB17950">
            <w:pPr>
              <w:pStyle w:val="445"/>
              <w:rPr>
                <w:rFonts w:cs="Times New Roman"/>
                <w:kern w:val="0"/>
                <w:szCs w:val="20"/>
              </w:rPr>
            </w:pPr>
            <w:r>
              <w:rPr>
                <w:rFonts w:hint="eastAsia" w:cs="Times New Roman"/>
                <w:kern w:val="0"/>
                <w:szCs w:val="20"/>
              </w:rPr>
              <w:t>0.4</w:t>
            </w:r>
          </w:p>
        </w:tc>
        <w:tc>
          <w:tcPr>
            <w:tcW w:w="224" w:type="pct"/>
            <w:vMerge w:val="restart"/>
            <w:vAlign w:val="center"/>
          </w:tcPr>
          <w:p w14:paraId="7587CE39">
            <w:pPr>
              <w:pStyle w:val="445"/>
              <w:rPr>
                <w:rFonts w:cs="Times New Roman"/>
                <w:kern w:val="0"/>
                <w:szCs w:val="20"/>
              </w:rPr>
            </w:pPr>
            <w:r>
              <w:rPr>
                <w:rFonts w:hint="eastAsia" w:cs="Times New Roman"/>
                <w:kern w:val="0"/>
                <w:szCs w:val="20"/>
              </w:rPr>
              <w:t>25</w:t>
            </w:r>
          </w:p>
        </w:tc>
        <w:tc>
          <w:tcPr>
            <w:tcW w:w="272" w:type="pct"/>
            <w:vMerge w:val="restart"/>
            <w:vAlign w:val="center"/>
          </w:tcPr>
          <w:p w14:paraId="75FF4A94">
            <w:pPr>
              <w:pStyle w:val="445"/>
              <w:rPr>
                <w:rFonts w:cs="Times New Roman"/>
                <w:kern w:val="0"/>
                <w:szCs w:val="20"/>
              </w:rPr>
            </w:pPr>
            <w:r>
              <w:rPr>
                <w:rFonts w:hint="eastAsia" w:cs="Times New Roman"/>
                <w:kern w:val="0"/>
                <w:szCs w:val="20"/>
              </w:rPr>
              <w:t>800</w:t>
            </w:r>
          </w:p>
        </w:tc>
        <w:tc>
          <w:tcPr>
            <w:tcW w:w="753" w:type="pct"/>
            <w:vMerge w:val="restart"/>
            <w:vAlign w:val="center"/>
          </w:tcPr>
          <w:p w14:paraId="5DDD02EE">
            <w:pPr>
              <w:pStyle w:val="445"/>
              <w:rPr>
                <w:rFonts w:ascii="宋体" w:hAnsi="宋体"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r>
              <w:rPr>
                <w:rFonts w:hint="eastAsia" w:cs="Times New Roman"/>
                <w:kern w:val="0"/>
                <w:szCs w:val="20"/>
              </w:rPr>
              <w:t>、</w:t>
            </w: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378" w:type="pct"/>
            <w:vAlign w:val="center"/>
          </w:tcPr>
          <w:p w14:paraId="02C64559">
            <w:pPr>
              <w:pStyle w:val="445"/>
              <w:rPr>
                <w:rFonts w:cs="Times New Roman"/>
                <w:kern w:val="0"/>
                <w:szCs w:val="20"/>
              </w:rPr>
            </w:pPr>
            <w:r>
              <w:rPr>
                <w:rFonts w:eastAsia="等线" w:cs="Times New Roman"/>
                <w:color w:val="000000"/>
                <w:kern w:val="0"/>
                <w:szCs w:val="18"/>
              </w:rPr>
              <w:t>190</w:t>
            </w:r>
          </w:p>
        </w:tc>
        <w:tc>
          <w:tcPr>
            <w:tcW w:w="219" w:type="pct"/>
            <w:vAlign w:val="center"/>
          </w:tcPr>
          <w:p w14:paraId="0B5F157E">
            <w:pPr>
              <w:pStyle w:val="445"/>
              <w:rPr>
                <w:rFonts w:cs="Times New Roman"/>
                <w:kern w:val="0"/>
                <w:szCs w:val="20"/>
              </w:rPr>
            </w:pPr>
            <w:r>
              <w:rPr>
                <w:rFonts w:cs="Times New Roman"/>
                <w:kern w:val="0"/>
                <w:szCs w:val="20"/>
              </w:rPr>
              <w:t>8.6</w:t>
            </w:r>
          </w:p>
        </w:tc>
        <w:tc>
          <w:tcPr>
            <w:tcW w:w="398" w:type="pct"/>
            <w:vAlign w:val="center"/>
          </w:tcPr>
          <w:p w14:paraId="59C8320E">
            <w:pPr>
              <w:pStyle w:val="445"/>
              <w:rPr>
                <w:rFonts w:cs="Times New Roman"/>
                <w:kern w:val="0"/>
                <w:szCs w:val="20"/>
              </w:rPr>
            </w:pPr>
            <w:r>
              <w:rPr>
                <w:rFonts w:hint="eastAsia" w:cs="Times New Roman"/>
                <w:kern w:val="0"/>
                <w:szCs w:val="20"/>
              </w:rPr>
              <w:t>/</w:t>
            </w:r>
          </w:p>
        </w:tc>
        <w:tc>
          <w:tcPr>
            <w:tcW w:w="212" w:type="pct"/>
            <w:vAlign w:val="center"/>
          </w:tcPr>
          <w:p w14:paraId="70352528">
            <w:pPr>
              <w:pStyle w:val="445"/>
              <w:rPr>
                <w:rFonts w:cs="Times New Roman"/>
                <w:kern w:val="0"/>
                <w:szCs w:val="20"/>
              </w:rPr>
            </w:pPr>
            <w:r>
              <w:rPr>
                <w:rFonts w:hint="eastAsia" w:cs="Times New Roman"/>
                <w:kern w:val="0"/>
                <w:szCs w:val="20"/>
              </w:rPr>
              <w:t>/</w:t>
            </w:r>
          </w:p>
        </w:tc>
        <w:tc>
          <w:tcPr>
            <w:tcW w:w="144" w:type="pct"/>
            <w:vAlign w:val="center"/>
          </w:tcPr>
          <w:p w14:paraId="41DF5788">
            <w:pPr>
              <w:pStyle w:val="445"/>
              <w:rPr>
                <w:rFonts w:cs="Times New Roman"/>
                <w:kern w:val="0"/>
                <w:szCs w:val="20"/>
              </w:rPr>
            </w:pPr>
            <w:r>
              <w:rPr>
                <w:rFonts w:hint="eastAsia" w:cs="Times New Roman"/>
                <w:kern w:val="0"/>
                <w:szCs w:val="20"/>
              </w:rPr>
              <w:t>/</w:t>
            </w:r>
          </w:p>
        </w:tc>
      </w:tr>
      <w:tr w14:paraId="7A0BA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6A2D78CC">
            <w:pPr>
              <w:pStyle w:val="445"/>
              <w:rPr>
                <w:rFonts w:cs="Times New Roman"/>
                <w:kern w:val="0"/>
                <w:szCs w:val="20"/>
              </w:rPr>
            </w:pPr>
          </w:p>
        </w:tc>
        <w:tc>
          <w:tcPr>
            <w:tcW w:w="279" w:type="pct"/>
            <w:vMerge w:val="continue"/>
            <w:vAlign w:val="center"/>
          </w:tcPr>
          <w:p w14:paraId="6D8018C7">
            <w:pPr>
              <w:pStyle w:val="445"/>
              <w:rPr>
                <w:rFonts w:cs="Times New Roman"/>
                <w:kern w:val="0"/>
                <w:szCs w:val="18"/>
              </w:rPr>
            </w:pPr>
          </w:p>
        </w:tc>
        <w:tc>
          <w:tcPr>
            <w:tcW w:w="179" w:type="pct"/>
            <w:vMerge w:val="continue"/>
            <w:vAlign w:val="center"/>
          </w:tcPr>
          <w:p w14:paraId="66436EFF">
            <w:pPr>
              <w:pStyle w:val="445"/>
              <w:rPr>
                <w:rFonts w:cs="Times New Roman"/>
                <w:kern w:val="0"/>
                <w:szCs w:val="18"/>
              </w:rPr>
            </w:pPr>
          </w:p>
        </w:tc>
        <w:tc>
          <w:tcPr>
            <w:tcW w:w="732" w:type="pct"/>
            <w:vAlign w:val="center"/>
          </w:tcPr>
          <w:p w14:paraId="44060B45">
            <w:pPr>
              <w:pStyle w:val="445"/>
              <w:rPr>
                <w:rFonts w:cs="Times New Roman"/>
                <w:kern w:val="0"/>
                <w:szCs w:val="20"/>
              </w:rPr>
            </w:pPr>
            <w:r>
              <w:rPr>
                <w:rFonts w:hint="eastAsia" w:cs="Times New Roman"/>
                <w:kern w:val="0"/>
                <w:szCs w:val="20"/>
              </w:rPr>
              <w:t>TVOC</w:t>
            </w:r>
          </w:p>
        </w:tc>
        <w:tc>
          <w:tcPr>
            <w:tcW w:w="351" w:type="pct"/>
            <w:vMerge w:val="continue"/>
            <w:vAlign w:val="center"/>
          </w:tcPr>
          <w:p w14:paraId="36EB3FB7">
            <w:pPr>
              <w:pStyle w:val="445"/>
              <w:rPr>
                <w:rFonts w:cs="Times New Roman"/>
                <w:kern w:val="0"/>
                <w:szCs w:val="20"/>
              </w:rPr>
            </w:pPr>
          </w:p>
        </w:tc>
        <w:tc>
          <w:tcPr>
            <w:tcW w:w="353" w:type="pct"/>
            <w:vMerge w:val="continue"/>
            <w:vAlign w:val="center"/>
          </w:tcPr>
          <w:p w14:paraId="79F82DAA">
            <w:pPr>
              <w:pStyle w:val="445"/>
              <w:rPr>
                <w:rFonts w:cs="Times New Roman"/>
                <w:kern w:val="0"/>
                <w:szCs w:val="20"/>
              </w:rPr>
            </w:pPr>
          </w:p>
        </w:tc>
        <w:tc>
          <w:tcPr>
            <w:tcW w:w="150" w:type="pct"/>
            <w:vMerge w:val="continue"/>
            <w:vAlign w:val="center"/>
          </w:tcPr>
          <w:p w14:paraId="40FCB8F6">
            <w:pPr>
              <w:pStyle w:val="445"/>
              <w:rPr>
                <w:rFonts w:cs="Times New Roman"/>
                <w:kern w:val="0"/>
                <w:szCs w:val="20"/>
              </w:rPr>
            </w:pPr>
          </w:p>
        </w:tc>
        <w:tc>
          <w:tcPr>
            <w:tcW w:w="210" w:type="pct"/>
            <w:vMerge w:val="continue"/>
            <w:vAlign w:val="center"/>
          </w:tcPr>
          <w:p w14:paraId="3A5085EA">
            <w:pPr>
              <w:pStyle w:val="445"/>
              <w:rPr>
                <w:rFonts w:cs="Times New Roman"/>
                <w:kern w:val="0"/>
                <w:szCs w:val="20"/>
              </w:rPr>
            </w:pPr>
          </w:p>
        </w:tc>
        <w:tc>
          <w:tcPr>
            <w:tcW w:w="224" w:type="pct"/>
            <w:vMerge w:val="continue"/>
            <w:vAlign w:val="center"/>
          </w:tcPr>
          <w:p w14:paraId="3E2E45F6">
            <w:pPr>
              <w:pStyle w:val="445"/>
              <w:rPr>
                <w:rFonts w:cs="Times New Roman"/>
                <w:kern w:val="0"/>
                <w:szCs w:val="20"/>
              </w:rPr>
            </w:pPr>
          </w:p>
        </w:tc>
        <w:tc>
          <w:tcPr>
            <w:tcW w:w="272" w:type="pct"/>
            <w:vMerge w:val="continue"/>
            <w:vAlign w:val="center"/>
          </w:tcPr>
          <w:p w14:paraId="103ED40C">
            <w:pPr>
              <w:pStyle w:val="445"/>
              <w:rPr>
                <w:rFonts w:cs="Times New Roman"/>
                <w:kern w:val="0"/>
                <w:szCs w:val="20"/>
              </w:rPr>
            </w:pPr>
          </w:p>
        </w:tc>
        <w:tc>
          <w:tcPr>
            <w:tcW w:w="753" w:type="pct"/>
            <w:vMerge w:val="continue"/>
            <w:vAlign w:val="center"/>
          </w:tcPr>
          <w:p w14:paraId="5559967E">
            <w:pPr>
              <w:pStyle w:val="445"/>
              <w:rPr>
                <w:rFonts w:ascii="宋体" w:hAnsi="宋体" w:cs="Times New Roman"/>
                <w:kern w:val="0"/>
                <w:szCs w:val="20"/>
              </w:rPr>
            </w:pPr>
          </w:p>
        </w:tc>
        <w:tc>
          <w:tcPr>
            <w:tcW w:w="378" w:type="pct"/>
            <w:vAlign w:val="center"/>
          </w:tcPr>
          <w:p w14:paraId="68EF3A36">
            <w:pPr>
              <w:pStyle w:val="445"/>
              <w:rPr>
                <w:rFonts w:cs="Times New Roman"/>
                <w:kern w:val="0"/>
                <w:szCs w:val="20"/>
              </w:rPr>
            </w:pPr>
            <w:r>
              <w:rPr>
                <w:rFonts w:eastAsia="等线" w:cs="Times New Roman"/>
                <w:color w:val="000000"/>
                <w:kern w:val="0"/>
                <w:szCs w:val="18"/>
              </w:rPr>
              <w:t>120</w:t>
            </w:r>
          </w:p>
        </w:tc>
        <w:tc>
          <w:tcPr>
            <w:tcW w:w="219" w:type="pct"/>
            <w:vAlign w:val="center"/>
          </w:tcPr>
          <w:p w14:paraId="3C990CAC">
            <w:pPr>
              <w:pStyle w:val="445"/>
              <w:rPr>
                <w:rFonts w:cs="Times New Roman"/>
                <w:kern w:val="0"/>
                <w:szCs w:val="20"/>
              </w:rPr>
            </w:pPr>
            <w:r>
              <w:rPr>
                <w:rFonts w:eastAsia="等线" w:cs="Times New Roman"/>
                <w:color w:val="000000"/>
                <w:kern w:val="0"/>
                <w:szCs w:val="18"/>
              </w:rPr>
              <w:t>17　</w:t>
            </w:r>
          </w:p>
        </w:tc>
        <w:tc>
          <w:tcPr>
            <w:tcW w:w="398" w:type="pct"/>
            <w:vAlign w:val="center"/>
          </w:tcPr>
          <w:p w14:paraId="56880145">
            <w:pPr>
              <w:pStyle w:val="445"/>
              <w:rPr>
                <w:rFonts w:cs="Times New Roman"/>
                <w:kern w:val="0"/>
                <w:szCs w:val="20"/>
              </w:rPr>
            </w:pPr>
            <w:r>
              <w:rPr>
                <w:rFonts w:eastAsia="等线" w:cs="Times New Roman"/>
                <w:color w:val="000000"/>
                <w:kern w:val="0"/>
                <w:szCs w:val="18"/>
              </w:rPr>
              <w:t>0.381</w:t>
            </w:r>
          </w:p>
        </w:tc>
        <w:tc>
          <w:tcPr>
            <w:tcW w:w="212" w:type="pct"/>
            <w:vAlign w:val="center"/>
          </w:tcPr>
          <w:p w14:paraId="3AA5854A">
            <w:pPr>
              <w:pStyle w:val="445"/>
              <w:rPr>
                <w:rFonts w:cs="Times New Roman"/>
                <w:kern w:val="0"/>
                <w:szCs w:val="20"/>
              </w:rPr>
            </w:pPr>
            <w:r>
              <w:rPr>
                <w:rFonts w:hint="eastAsia" w:cs="Times New Roman"/>
                <w:kern w:val="0"/>
                <w:szCs w:val="20"/>
              </w:rPr>
              <w:t>/</w:t>
            </w:r>
          </w:p>
        </w:tc>
        <w:tc>
          <w:tcPr>
            <w:tcW w:w="144" w:type="pct"/>
            <w:vAlign w:val="center"/>
          </w:tcPr>
          <w:p w14:paraId="7AF73DD3">
            <w:pPr>
              <w:pStyle w:val="445"/>
              <w:rPr>
                <w:rFonts w:cs="Times New Roman"/>
                <w:kern w:val="0"/>
                <w:szCs w:val="20"/>
              </w:rPr>
            </w:pPr>
            <w:r>
              <w:rPr>
                <w:rFonts w:hint="eastAsia" w:cs="Times New Roman"/>
                <w:kern w:val="0"/>
                <w:szCs w:val="20"/>
              </w:rPr>
              <w:t>/</w:t>
            </w:r>
          </w:p>
        </w:tc>
      </w:tr>
      <w:tr w14:paraId="099385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2D3639F7">
            <w:pPr>
              <w:pStyle w:val="445"/>
              <w:rPr>
                <w:rFonts w:cs="Times New Roman"/>
                <w:kern w:val="0"/>
                <w:szCs w:val="20"/>
              </w:rPr>
            </w:pPr>
          </w:p>
        </w:tc>
        <w:tc>
          <w:tcPr>
            <w:tcW w:w="279" w:type="pct"/>
            <w:vMerge w:val="continue"/>
            <w:vAlign w:val="center"/>
          </w:tcPr>
          <w:p w14:paraId="145A817D">
            <w:pPr>
              <w:pStyle w:val="445"/>
              <w:rPr>
                <w:rFonts w:cs="Times New Roman"/>
                <w:kern w:val="0"/>
                <w:szCs w:val="18"/>
              </w:rPr>
            </w:pPr>
          </w:p>
        </w:tc>
        <w:tc>
          <w:tcPr>
            <w:tcW w:w="179" w:type="pct"/>
            <w:vMerge w:val="continue"/>
            <w:vAlign w:val="center"/>
          </w:tcPr>
          <w:p w14:paraId="6F265A32">
            <w:pPr>
              <w:pStyle w:val="445"/>
              <w:rPr>
                <w:rFonts w:cs="Times New Roman"/>
                <w:kern w:val="0"/>
                <w:szCs w:val="18"/>
              </w:rPr>
            </w:pPr>
          </w:p>
        </w:tc>
        <w:tc>
          <w:tcPr>
            <w:tcW w:w="732" w:type="pct"/>
            <w:vAlign w:val="center"/>
          </w:tcPr>
          <w:p w14:paraId="2D5F1C70">
            <w:pPr>
              <w:pStyle w:val="445"/>
              <w:rPr>
                <w:rFonts w:cs="Times New Roman"/>
                <w:kern w:val="0"/>
                <w:szCs w:val="20"/>
              </w:rPr>
            </w:pPr>
            <w:r>
              <w:rPr>
                <w:rFonts w:cs="Times New Roman"/>
                <w:color w:val="000000"/>
                <w:kern w:val="0"/>
                <w:szCs w:val="18"/>
              </w:rPr>
              <w:t>氨</w:t>
            </w:r>
          </w:p>
        </w:tc>
        <w:tc>
          <w:tcPr>
            <w:tcW w:w="351" w:type="pct"/>
            <w:vMerge w:val="continue"/>
            <w:vAlign w:val="center"/>
          </w:tcPr>
          <w:p w14:paraId="34D2BA4C">
            <w:pPr>
              <w:pStyle w:val="445"/>
              <w:rPr>
                <w:rFonts w:cs="Times New Roman"/>
                <w:kern w:val="0"/>
                <w:szCs w:val="20"/>
              </w:rPr>
            </w:pPr>
          </w:p>
        </w:tc>
        <w:tc>
          <w:tcPr>
            <w:tcW w:w="353" w:type="pct"/>
            <w:vMerge w:val="continue"/>
            <w:vAlign w:val="center"/>
          </w:tcPr>
          <w:p w14:paraId="1341C5A3">
            <w:pPr>
              <w:pStyle w:val="445"/>
              <w:rPr>
                <w:rFonts w:cs="Times New Roman"/>
                <w:kern w:val="0"/>
                <w:szCs w:val="20"/>
              </w:rPr>
            </w:pPr>
          </w:p>
        </w:tc>
        <w:tc>
          <w:tcPr>
            <w:tcW w:w="150" w:type="pct"/>
            <w:vMerge w:val="continue"/>
            <w:vAlign w:val="center"/>
          </w:tcPr>
          <w:p w14:paraId="5D47B164">
            <w:pPr>
              <w:pStyle w:val="445"/>
              <w:rPr>
                <w:rFonts w:cs="Times New Roman"/>
                <w:kern w:val="0"/>
                <w:szCs w:val="20"/>
              </w:rPr>
            </w:pPr>
          </w:p>
        </w:tc>
        <w:tc>
          <w:tcPr>
            <w:tcW w:w="210" w:type="pct"/>
            <w:vMerge w:val="continue"/>
            <w:vAlign w:val="center"/>
          </w:tcPr>
          <w:p w14:paraId="226D257E">
            <w:pPr>
              <w:pStyle w:val="445"/>
              <w:rPr>
                <w:rFonts w:cs="Times New Roman"/>
                <w:kern w:val="0"/>
                <w:szCs w:val="20"/>
              </w:rPr>
            </w:pPr>
          </w:p>
        </w:tc>
        <w:tc>
          <w:tcPr>
            <w:tcW w:w="224" w:type="pct"/>
            <w:vMerge w:val="continue"/>
            <w:vAlign w:val="center"/>
          </w:tcPr>
          <w:p w14:paraId="50441648">
            <w:pPr>
              <w:pStyle w:val="445"/>
              <w:rPr>
                <w:rFonts w:cs="Times New Roman"/>
                <w:kern w:val="0"/>
                <w:szCs w:val="20"/>
              </w:rPr>
            </w:pPr>
          </w:p>
        </w:tc>
        <w:tc>
          <w:tcPr>
            <w:tcW w:w="272" w:type="pct"/>
            <w:vMerge w:val="continue"/>
            <w:vAlign w:val="center"/>
          </w:tcPr>
          <w:p w14:paraId="5F17BB3F">
            <w:pPr>
              <w:pStyle w:val="445"/>
              <w:rPr>
                <w:rFonts w:cs="Times New Roman"/>
                <w:kern w:val="0"/>
                <w:szCs w:val="20"/>
              </w:rPr>
            </w:pPr>
          </w:p>
        </w:tc>
        <w:tc>
          <w:tcPr>
            <w:tcW w:w="753" w:type="pct"/>
            <w:vMerge w:val="continue"/>
            <w:vAlign w:val="center"/>
          </w:tcPr>
          <w:p w14:paraId="2C7739BA">
            <w:pPr>
              <w:pStyle w:val="445"/>
              <w:rPr>
                <w:rFonts w:ascii="宋体" w:hAnsi="宋体" w:cs="Times New Roman"/>
                <w:kern w:val="0"/>
                <w:szCs w:val="20"/>
              </w:rPr>
            </w:pPr>
          </w:p>
        </w:tc>
        <w:tc>
          <w:tcPr>
            <w:tcW w:w="378" w:type="pct"/>
            <w:vAlign w:val="center"/>
          </w:tcPr>
          <w:p w14:paraId="74EE663D">
            <w:pPr>
              <w:pStyle w:val="445"/>
              <w:rPr>
                <w:rFonts w:cs="Times New Roman"/>
                <w:kern w:val="0"/>
                <w:szCs w:val="20"/>
              </w:rPr>
            </w:pPr>
            <w:r>
              <w:rPr>
                <w:rFonts w:hint="eastAsia" w:cs="Times New Roman"/>
                <w:kern w:val="0"/>
                <w:szCs w:val="20"/>
              </w:rPr>
              <w:t>10</w:t>
            </w:r>
          </w:p>
        </w:tc>
        <w:tc>
          <w:tcPr>
            <w:tcW w:w="219" w:type="pct"/>
            <w:vAlign w:val="center"/>
          </w:tcPr>
          <w:p w14:paraId="78D531E9">
            <w:pPr>
              <w:pStyle w:val="445"/>
              <w:rPr>
                <w:rFonts w:cs="Times New Roman"/>
                <w:kern w:val="0"/>
                <w:szCs w:val="20"/>
              </w:rPr>
            </w:pPr>
            <w:r>
              <w:rPr>
                <w:rFonts w:hint="eastAsia" w:cs="Times New Roman"/>
                <w:kern w:val="0"/>
                <w:szCs w:val="20"/>
              </w:rPr>
              <w:t>/</w:t>
            </w:r>
          </w:p>
        </w:tc>
        <w:tc>
          <w:tcPr>
            <w:tcW w:w="398" w:type="pct"/>
            <w:vAlign w:val="center"/>
          </w:tcPr>
          <w:p w14:paraId="25E8AC4F">
            <w:pPr>
              <w:pStyle w:val="445"/>
              <w:rPr>
                <w:rFonts w:cs="Times New Roman"/>
                <w:kern w:val="0"/>
                <w:szCs w:val="20"/>
              </w:rPr>
            </w:pPr>
            <w:r>
              <w:rPr>
                <w:rFonts w:hint="eastAsia" w:cs="Times New Roman"/>
                <w:kern w:val="0"/>
                <w:szCs w:val="20"/>
              </w:rPr>
              <w:t>/</w:t>
            </w:r>
          </w:p>
        </w:tc>
        <w:tc>
          <w:tcPr>
            <w:tcW w:w="212" w:type="pct"/>
            <w:vAlign w:val="center"/>
          </w:tcPr>
          <w:p w14:paraId="6A27257E">
            <w:pPr>
              <w:pStyle w:val="445"/>
              <w:rPr>
                <w:rFonts w:cs="Times New Roman"/>
                <w:kern w:val="0"/>
                <w:szCs w:val="20"/>
              </w:rPr>
            </w:pPr>
            <w:r>
              <w:rPr>
                <w:rFonts w:hint="eastAsia" w:cs="Times New Roman"/>
                <w:kern w:val="0"/>
                <w:szCs w:val="20"/>
              </w:rPr>
              <w:t>/</w:t>
            </w:r>
          </w:p>
        </w:tc>
        <w:tc>
          <w:tcPr>
            <w:tcW w:w="144" w:type="pct"/>
            <w:vAlign w:val="center"/>
          </w:tcPr>
          <w:p w14:paraId="7AD647F5">
            <w:pPr>
              <w:pStyle w:val="445"/>
              <w:rPr>
                <w:rFonts w:cs="Times New Roman"/>
                <w:kern w:val="0"/>
                <w:szCs w:val="20"/>
              </w:rPr>
            </w:pPr>
            <w:r>
              <w:rPr>
                <w:rFonts w:hint="eastAsia" w:cs="Times New Roman"/>
                <w:kern w:val="0"/>
                <w:szCs w:val="20"/>
              </w:rPr>
              <w:t>/</w:t>
            </w:r>
          </w:p>
        </w:tc>
      </w:tr>
      <w:tr w14:paraId="6AC7F3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7B75774F">
            <w:pPr>
              <w:pStyle w:val="445"/>
              <w:rPr>
                <w:rFonts w:cs="Times New Roman"/>
                <w:kern w:val="0"/>
                <w:szCs w:val="20"/>
              </w:rPr>
            </w:pPr>
            <w:r>
              <w:rPr>
                <w:rFonts w:hint="eastAsia" w:cs="Times New Roman"/>
                <w:kern w:val="0"/>
                <w:szCs w:val="20"/>
              </w:rPr>
              <w:t>5</w:t>
            </w:r>
          </w:p>
        </w:tc>
        <w:tc>
          <w:tcPr>
            <w:tcW w:w="279" w:type="pct"/>
            <w:vMerge w:val="restart"/>
            <w:vAlign w:val="center"/>
          </w:tcPr>
          <w:p w14:paraId="646EFC8C">
            <w:pPr>
              <w:pStyle w:val="445"/>
              <w:rPr>
                <w:rFonts w:cs="Times New Roman"/>
                <w:kern w:val="0"/>
                <w:szCs w:val="18"/>
              </w:rPr>
            </w:pPr>
            <w:r>
              <w:rPr>
                <w:rFonts w:hint="eastAsia" w:cs="Times New Roman"/>
                <w:kern w:val="0"/>
                <w:szCs w:val="18"/>
              </w:rPr>
              <w:t>D</w:t>
            </w:r>
            <w:r>
              <w:rPr>
                <w:rFonts w:cs="Times New Roman"/>
                <w:kern w:val="0"/>
                <w:szCs w:val="18"/>
              </w:rPr>
              <w:t>A022</w:t>
            </w:r>
          </w:p>
        </w:tc>
        <w:tc>
          <w:tcPr>
            <w:tcW w:w="179" w:type="pct"/>
            <w:vMerge w:val="restart"/>
            <w:vAlign w:val="center"/>
          </w:tcPr>
          <w:p w14:paraId="10DB619A">
            <w:pPr>
              <w:pStyle w:val="445"/>
              <w:rPr>
                <w:rFonts w:cs="Times New Roman"/>
                <w:kern w:val="0"/>
                <w:szCs w:val="18"/>
              </w:rPr>
            </w:pPr>
            <w:r>
              <w:rPr>
                <w:rFonts w:cs="Times New Roman"/>
                <w:kern w:val="0"/>
                <w:szCs w:val="18"/>
              </w:rPr>
              <w:t>22#排放口</w:t>
            </w:r>
          </w:p>
        </w:tc>
        <w:tc>
          <w:tcPr>
            <w:tcW w:w="732" w:type="pct"/>
            <w:vAlign w:val="center"/>
          </w:tcPr>
          <w:p w14:paraId="4B3C0326">
            <w:pPr>
              <w:pStyle w:val="445"/>
              <w:rPr>
                <w:rFonts w:cs="Times New Roman"/>
                <w:color w:val="000000"/>
                <w:kern w:val="0"/>
                <w:szCs w:val="18"/>
              </w:rPr>
            </w:pPr>
            <w:r>
              <w:rPr>
                <w:rFonts w:hint="eastAsia" w:cs="Times New Roman"/>
                <w:kern w:val="0"/>
                <w:szCs w:val="20"/>
              </w:rPr>
              <w:t>甲醇</w:t>
            </w:r>
          </w:p>
        </w:tc>
        <w:tc>
          <w:tcPr>
            <w:tcW w:w="351" w:type="pct"/>
            <w:vMerge w:val="restart"/>
            <w:vAlign w:val="center"/>
          </w:tcPr>
          <w:p w14:paraId="5851971B">
            <w:pPr>
              <w:pStyle w:val="445"/>
              <w:rPr>
                <w:rFonts w:cs="Times New Roman"/>
                <w:kern w:val="0"/>
                <w:szCs w:val="20"/>
              </w:rPr>
            </w:pPr>
            <w:r>
              <w:rPr>
                <w:rFonts w:cs="Times New Roman"/>
                <w:kern w:val="0"/>
                <w:szCs w:val="20"/>
              </w:rPr>
              <w:t>117.57662</w:t>
            </w:r>
          </w:p>
        </w:tc>
        <w:tc>
          <w:tcPr>
            <w:tcW w:w="353" w:type="pct"/>
            <w:vMerge w:val="restart"/>
            <w:vAlign w:val="center"/>
          </w:tcPr>
          <w:p w14:paraId="4D1EB987">
            <w:pPr>
              <w:pStyle w:val="445"/>
              <w:rPr>
                <w:rFonts w:cs="Times New Roman"/>
                <w:kern w:val="0"/>
                <w:szCs w:val="20"/>
              </w:rPr>
            </w:pPr>
            <w:r>
              <w:rPr>
                <w:rFonts w:cs="Times New Roman"/>
                <w:kern w:val="0"/>
                <w:szCs w:val="20"/>
              </w:rPr>
              <w:t>32.99100</w:t>
            </w:r>
          </w:p>
        </w:tc>
        <w:tc>
          <w:tcPr>
            <w:tcW w:w="150" w:type="pct"/>
            <w:vMerge w:val="restart"/>
            <w:vAlign w:val="center"/>
          </w:tcPr>
          <w:p w14:paraId="2EC05E44">
            <w:pPr>
              <w:pStyle w:val="445"/>
              <w:rPr>
                <w:rFonts w:cs="Times New Roman"/>
                <w:kern w:val="0"/>
                <w:szCs w:val="20"/>
              </w:rPr>
            </w:pPr>
            <w:r>
              <w:rPr>
                <w:rFonts w:hint="eastAsia" w:cs="Times New Roman"/>
                <w:kern w:val="0"/>
                <w:szCs w:val="20"/>
              </w:rPr>
              <w:t>20</w:t>
            </w:r>
          </w:p>
        </w:tc>
        <w:tc>
          <w:tcPr>
            <w:tcW w:w="210" w:type="pct"/>
            <w:vMerge w:val="restart"/>
            <w:vAlign w:val="center"/>
          </w:tcPr>
          <w:p w14:paraId="24ED1199">
            <w:pPr>
              <w:pStyle w:val="445"/>
              <w:rPr>
                <w:rFonts w:cs="Times New Roman"/>
                <w:kern w:val="0"/>
                <w:szCs w:val="20"/>
              </w:rPr>
            </w:pPr>
            <w:r>
              <w:rPr>
                <w:rFonts w:hint="eastAsia" w:cs="Times New Roman"/>
                <w:kern w:val="0"/>
                <w:szCs w:val="20"/>
              </w:rPr>
              <w:t>0.4</w:t>
            </w:r>
          </w:p>
        </w:tc>
        <w:tc>
          <w:tcPr>
            <w:tcW w:w="224" w:type="pct"/>
            <w:vMerge w:val="restart"/>
            <w:vAlign w:val="center"/>
          </w:tcPr>
          <w:p w14:paraId="35C8EB95">
            <w:pPr>
              <w:pStyle w:val="445"/>
              <w:rPr>
                <w:rFonts w:cs="Times New Roman"/>
                <w:kern w:val="0"/>
                <w:szCs w:val="20"/>
              </w:rPr>
            </w:pPr>
            <w:r>
              <w:rPr>
                <w:rFonts w:hint="eastAsia" w:cs="Times New Roman"/>
                <w:kern w:val="0"/>
                <w:szCs w:val="20"/>
              </w:rPr>
              <w:t>25</w:t>
            </w:r>
          </w:p>
        </w:tc>
        <w:tc>
          <w:tcPr>
            <w:tcW w:w="272" w:type="pct"/>
            <w:vMerge w:val="restart"/>
            <w:vAlign w:val="center"/>
          </w:tcPr>
          <w:p w14:paraId="7802742A">
            <w:pPr>
              <w:pStyle w:val="445"/>
              <w:rPr>
                <w:rFonts w:cs="Times New Roman"/>
                <w:kern w:val="0"/>
                <w:szCs w:val="20"/>
              </w:rPr>
            </w:pPr>
            <w:r>
              <w:rPr>
                <w:rFonts w:hint="eastAsia" w:cs="Times New Roman"/>
                <w:kern w:val="0"/>
                <w:szCs w:val="20"/>
              </w:rPr>
              <w:t>400</w:t>
            </w:r>
          </w:p>
        </w:tc>
        <w:tc>
          <w:tcPr>
            <w:tcW w:w="753" w:type="pct"/>
            <w:vMerge w:val="restart"/>
            <w:vAlign w:val="center"/>
          </w:tcPr>
          <w:p w14:paraId="112F6293">
            <w:pPr>
              <w:pStyle w:val="445"/>
              <w:rPr>
                <w:rFonts w:ascii="宋体" w:hAnsi="宋体" w:cs="Times New Roman"/>
                <w:kern w:val="0"/>
                <w:szCs w:val="20"/>
              </w:rPr>
            </w:pPr>
            <w:r>
              <w:rPr>
                <w:rFonts w:hint="eastAsia" w:ascii="宋体" w:hAnsi="宋体" w:cs="Times New Roman"/>
                <w:kern w:val="0"/>
                <w:szCs w:val="20"/>
              </w:rPr>
              <w:t>《大气污染物综合排放标准》（</w:t>
            </w:r>
            <w:r>
              <w:rPr>
                <w:rFonts w:hint="eastAsia" w:cs="Times New Roman"/>
                <w:kern w:val="0"/>
                <w:szCs w:val="20"/>
              </w:rPr>
              <w:t>G</w:t>
            </w:r>
            <w:r>
              <w:rPr>
                <w:rFonts w:cs="Times New Roman"/>
                <w:kern w:val="0"/>
                <w:szCs w:val="20"/>
              </w:rPr>
              <w:t>B16297-1996</w:t>
            </w:r>
            <w:r>
              <w:rPr>
                <w:rFonts w:hint="eastAsia" w:ascii="宋体" w:hAnsi="宋体" w:cs="Times New Roman"/>
                <w:kern w:val="0"/>
                <w:szCs w:val="20"/>
              </w:rPr>
              <w:t>）</w:t>
            </w:r>
            <w:r>
              <w:rPr>
                <w:rFonts w:hint="eastAsia" w:cs="Times New Roman"/>
                <w:kern w:val="0"/>
                <w:szCs w:val="20"/>
              </w:rPr>
              <w:t>、</w:t>
            </w: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378" w:type="pct"/>
            <w:vAlign w:val="center"/>
          </w:tcPr>
          <w:p w14:paraId="61E569DB">
            <w:pPr>
              <w:pStyle w:val="445"/>
              <w:rPr>
                <w:rFonts w:cs="Times New Roman"/>
                <w:kern w:val="0"/>
                <w:szCs w:val="20"/>
              </w:rPr>
            </w:pPr>
            <w:r>
              <w:rPr>
                <w:rFonts w:eastAsia="等线" w:cs="Times New Roman"/>
                <w:color w:val="000000"/>
                <w:kern w:val="0"/>
                <w:szCs w:val="18"/>
              </w:rPr>
              <w:t>190</w:t>
            </w:r>
          </w:p>
        </w:tc>
        <w:tc>
          <w:tcPr>
            <w:tcW w:w="219" w:type="pct"/>
            <w:vAlign w:val="center"/>
          </w:tcPr>
          <w:p w14:paraId="391AE933">
            <w:pPr>
              <w:pStyle w:val="445"/>
              <w:rPr>
                <w:rFonts w:cs="Times New Roman"/>
                <w:kern w:val="0"/>
                <w:szCs w:val="20"/>
              </w:rPr>
            </w:pPr>
            <w:r>
              <w:rPr>
                <w:rFonts w:cs="Times New Roman"/>
                <w:kern w:val="0"/>
                <w:szCs w:val="20"/>
              </w:rPr>
              <w:t>8.6</w:t>
            </w:r>
          </w:p>
        </w:tc>
        <w:tc>
          <w:tcPr>
            <w:tcW w:w="398" w:type="pct"/>
            <w:vAlign w:val="center"/>
          </w:tcPr>
          <w:p w14:paraId="58711FEB">
            <w:pPr>
              <w:pStyle w:val="445"/>
              <w:rPr>
                <w:rFonts w:cs="Times New Roman"/>
                <w:kern w:val="0"/>
                <w:szCs w:val="20"/>
              </w:rPr>
            </w:pPr>
            <w:r>
              <w:rPr>
                <w:rFonts w:hint="eastAsia" w:cs="Times New Roman"/>
                <w:kern w:val="0"/>
                <w:szCs w:val="20"/>
              </w:rPr>
              <w:t>/</w:t>
            </w:r>
          </w:p>
        </w:tc>
        <w:tc>
          <w:tcPr>
            <w:tcW w:w="212" w:type="pct"/>
            <w:vAlign w:val="center"/>
          </w:tcPr>
          <w:p w14:paraId="06E264C6">
            <w:pPr>
              <w:pStyle w:val="445"/>
              <w:rPr>
                <w:rFonts w:cs="Times New Roman"/>
                <w:kern w:val="0"/>
                <w:szCs w:val="20"/>
              </w:rPr>
            </w:pPr>
            <w:r>
              <w:rPr>
                <w:rFonts w:hint="eastAsia" w:cs="Times New Roman"/>
                <w:kern w:val="0"/>
                <w:szCs w:val="20"/>
              </w:rPr>
              <w:t>/</w:t>
            </w:r>
          </w:p>
        </w:tc>
        <w:tc>
          <w:tcPr>
            <w:tcW w:w="144" w:type="pct"/>
            <w:vAlign w:val="center"/>
          </w:tcPr>
          <w:p w14:paraId="3640B0B5">
            <w:pPr>
              <w:pStyle w:val="445"/>
              <w:rPr>
                <w:rFonts w:cs="Times New Roman"/>
                <w:kern w:val="0"/>
                <w:szCs w:val="20"/>
              </w:rPr>
            </w:pPr>
            <w:r>
              <w:rPr>
                <w:rFonts w:hint="eastAsia" w:cs="Times New Roman"/>
                <w:kern w:val="0"/>
                <w:szCs w:val="20"/>
              </w:rPr>
              <w:t>/</w:t>
            </w:r>
          </w:p>
        </w:tc>
      </w:tr>
      <w:tr w14:paraId="1B2D1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13C64D78">
            <w:pPr>
              <w:pStyle w:val="445"/>
              <w:rPr>
                <w:rFonts w:cs="Times New Roman"/>
                <w:kern w:val="0"/>
                <w:szCs w:val="20"/>
              </w:rPr>
            </w:pPr>
          </w:p>
        </w:tc>
        <w:tc>
          <w:tcPr>
            <w:tcW w:w="279" w:type="pct"/>
            <w:vMerge w:val="continue"/>
            <w:vAlign w:val="center"/>
          </w:tcPr>
          <w:p w14:paraId="3996B568">
            <w:pPr>
              <w:pStyle w:val="445"/>
              <w:rPr>
                <w:rFonts w:cs="Times New Roman"/>
                <w:kern w:val="0"/>
                <w:szCs w:val="18"/>
              </w:rPr>
            </w:pPr>
          </w:p>
        </w:tc>
        <w:tc>
          <w:tcPr>
            <w:tcW w:w="179" w:type="pct"/>
            <w:vMerge w:val="continue"/>
            <w:vAlign w:val="center"/>
          </w:tcPr>
          <w:p w14:paraId="65BA3530">
            <w:pPr>
              <w:pStyle w:val="445"/>
              <w:rPr>
                <w:rFonts w:cs="Times New Roman"/>
                <w:kern w:val="0"/>
                <w:szCs w:val="18"/>
              </w:rPr>
            </w:pPr>
          </w:p>
        </w:tc>
        <w:tc>
          <w:tcPr>
            <w:tcW w:w="732" w:type="pct"/>
            <w:vAlign w:val="center"/>
          </w:tcPr>
          <w:p w14:paraId="33976D8C">
            <w:pPr>
              <w:pStyle w:val="445"/>
              <w:rPr>
                <w:rFonts w:cs="Times New Roman"/>
                <w:color w:val="000000"/>
                <w:kern w:val="0"/>
                <w:szCs w:val="18"/>
              </w:rPr>
            </w:pPr>
            <w:r>
              <w:rPr>
                <w:rFonts w:hint="eastAsia" w:cs="Times New Roman"/>
                <w:kern w:val="0"/>
                <w:szCs w:val="20"/>
              </w:rPr>
              <w:t>TVOC</w:t>
            </w:r>
          </w:p>
        </w:tc>
        <w:tc>
          <w:tcPr>
            <w:tcW w:w="351" w:type="pct"/>
            <w:vMerge w:val="continue"/>
            <w:vAlign w:val="center"/>
          </w:tcPr>
          <w:p w14:paraId="5352580B">
            <w:pPr>
              <w:pStyle w:val="445"/>
              <w:rPr>
                <w:rFonts w:cs="Times New Roman"/>
                <w:kern w:val="0"/>
                <w:szCs w:val="20"/>
              </w:rPr>
            </w:pPr>
          </w:p>
        </w:tc>
        <w:tc>
          <w:tcPr>
            <w:tcW w:w="353" w:type="pct"/>
            <w:vMerge w:val="continue"/>
            <w:vAlign w:val="center"/>
          </w:tcPr>
          <w:p w14:paraId="19088314">
            <w:pPr>
              <w:pStyle w:val="445"/>
              <w:rPr>
                <w:rFonts w:cs="Times New Roman"/>
                <w:kern w:val="0"/>
                <w:szCs w:val="20"/>
              </w:rPr>
            </w:pPr>
          </w:p>
        </w:tc>
        <w:tc>
          <w:tcPr>
            <w:tcW w:w="150" w:type="pct"/>
            <w:vMerge w:val="continue"/>
            <w:vAlign w:val="center"/>
          </w:tcPr>
          <w:p w14:paraId="76994B03">
            <w:pPr>
              <w:pStyle w:val="445"/>
              <w:rPr>
                <w:rFonts w:cs="Times New Roman"/>
                <w:kern w:val="0"/>
                <w:szCs w:val="20"/>
              </w:rPr>
            </w:pPr>
          </w:p>
        </w:tc>
        <w:tc>
          <w:tcPr>
            <w:tcW w:w="210" w:type="pct"/>
            <w:vMerge w:val="continue"/>
            <w:vAlign w:val="center"/>
          </w:tcPr>
          <w:p w14:paraId="71DFAD7E">
            <w:pPr>
              <w:pStyle w:val="445"/>
              <w:rPr>
                <w:rFonts w:cs="Times New Roman"/>
                <w:kern w:val="0"/>
                <w:szCs w:val="20"/>
              </w:rPr>
            </w:pPr>
          </w:p>
        </w:tc>
        <w:tc>
          <w:tcPr>
            <w:tcW w:w="224" w:type="pct"/>
            <w:vMerge w:val="continue"/>
            <w:vAlign w:val="center"/>
          </w:tcPr>
          <w:p w14:paraId="2D0FC145">
            <w:pPr>
              <w:pStyle w:val="445"/>
              <w:rPr>
                <w:rFonts w:cs="Times New Roman"/>
                <w:kern w:val="0"/>
                <w:szCs w:val="20"/>
              </w:rPr>
            </w:pPr>
          </w:p>
        </w:tc>
        <w:tc>
          <w:tcPr>
            <w:tcW w:w="272" w:type="pct"/>
            <w:vMerge w:val="continue"/>
            <w:vAlign w:val="center"/>
          </w:tcPr>
          <w:p w14:paraId="50764FB4">
            <w:pPr>
              <w:pStyle w:val="445"/>
              <w:rPr>
                <w:rFonts w:cs="Times New Roman"/>
                <w:kern w:val="0"/>
                <w:szCs w:val="20"/>
              </w:rPr>
            </w:pPr>
          </w:p>
        </w:tc>
        <w:tc>
          <w:tcPr>
            <w:tcW w:w="753" w:type="pct"/>
            <w:vMerge w:val="continue"/>
            <w:vAlign w:val="center"/>
          </w:tcPr>
          <w:p w14:paraId="65DC8BD9">
            <w:pPr>
              <w:pStyle w:val="445"/>
              <w:rPr>
                <w:rFonts w:ascii="宋体" w:hAnsi="宋体" w:cs="Times New Roman"/>
                <w:kern w:val="0"/>
                <w:szCs w:val="20"/>
              </w:rPr>
            </w:pPr>
          </w:p>
        </w:tc>
        <w:tc>
          <w:tcPr>
            <w:tcW w:w="378" w:type="pct"/>
            <w:vAlign w:val="center"/>
          </w:tcPr>
          <w:p w14:paraId="58EDED68">
            <w:pPr>
              <w:pStyle w:val="445"/>
              <w:rPr>
                <w:rFonts w:cs="Times New Roman"/>
                <w:kern w:val="0"/>
                <w:szCs w:val="20"/>
              </w:rPr>
            </w:pPr>
            <w:r>
              <w:rPr>
                <w:rFonts w:eastAsia="等线" w:cs="Times New Roman"/>
                <w:color w:val="000000"/>
                <w:kern w:val="0"/>
                <w:szCs w:val="18"/>
              </w:rPr>
              <w:t>120</w:t>
            </w:r>
          </w:p>
        </w:tc>
        <w:tc>
          <w:tcPr>
            <w:tcW w:w="219" w:type="pct"/>
            <w:vAlign w:val="center"/>
          </w:tcPr>
          <w:p w14:paraId="3AB98600">
            <w:pPr>
              <w:pStyle w:val="445"/>
              <w:rPr>
                <w:rFonts w:cs="Times New Roman"/>
                <w:kern w:val="0"/>
                <w:szCs w:val="20"/>
              </w:rPr>
            </w:pPr>
            <w:r>
              <w:rPr>
                <w:rFonts w:eastAsia="等线" w:cs="Times New Roman"/>
                <w:color w:val="000000"/>
                <w:kern w:val="0"/>
                <w:szCs w:val="18"/>
              </w:rPr>
              <w:t>17　</w:t>
            </w:r>
          </w:p>
        </w:tc>
        <w:tc>
          <w:tcPr>
            <w:tcW w:w="398" w:type="pct"/>
            <w:vAlign w:val="center"/>
          </w:tcPr>
          <w:p w14:paraId="7A5671F5">
            <w:pPr>
              <w:pStyle w:val="445"/>
              <w:rPr>
                <w:rFonts w:cs="Times New Roman"/>
                <w:kern w:val="0"/>
                <w:szCs w:val="20"/>
              </w:rPr>
            </w:pPr>
            <w:r>
              <w:rPr>
                <w:rFonts w:eastAsia="等线" w:cs="Times New Roman"/>
                <w:color w:val="000000"/>
                <w:kern w:val="0"/>
                <w:szCs w:val="18"/>
              </w:rPr>
              <w:t>0.006</w:t>
            </w:r>
          </w:p>
        </w:tc>
        <w:tc>
          <w:tcPr>
            <w:tcW w:w="212" w:type="pct"/>
            <w:vAlign w:val="center"/>
          </w:tcPr>
          <w:p w14:paraId="615EBA8A">
            <w:pPr>
              <w:pStyle w:val="445"/>
              <w:rPr>
                <w:rFonts w:cs="Times New Roman"/>
                <w:kern w:val="0"/>
                <w:szCs w:val="20"/>
              </w:rPr>
            </w:pPr>
            <w:r>
              <w:rPr>
                <w:rFonts w:hint="eastAsia" w:cs="Times New Roman"/>
                <w:kern w:val="0"/>
                <w:szCs w:val="20"/>
              </w:rPr>
              <w:t>/</w:t>
            </w:r>
          </w:p>
        </w:tc>
        <w:tc>
          <w:tcPr>
            <w:tcW w:w="144" w:type="pct"/>
            <w:vAlign w:val="center"/>
          </w:tcPr>
          <w:p w14:paraId="0A2727C3">
            <w:pPr>
              <w:pStyle w:val="445"/>
              <w:rPr>
                <w:rFonts w:cs="Times New Roman"/>
                <w:kern w:val="0"/>
                <w:szCs w:val="20"/>
              </w:rPr>
            </w:pPr>
            <w:r>
              <w:rPr>
                <w:rFonts w:hint="eastAsia" w:cs="Times New Roman"/>
                <w:kern w:val="0"/>
                <w:szCs w:val="20"/>
              </w:rPr>
              <w:t>/</w:t>
            </w:r>
          </w:p>
        </w:tc>
      </w:tr>
      <w:tr w14:paraId="57803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2D17E243">
            <w:pPr>
              <w:pStyle w:val="445"/>
              <w:rPr>
                <w:rFonts w:cs="Times New Roman"/>
                <w:kern w:val="0"/>
                <w:szCs w:val="20"/>
              </w:rPr>
            </w:pPr>
          </w:p>
        </w:tc>
        <w:tc>
          <w:tcPr>
            <w:tcW w:w="279" w:type="pct"/>
            <w:vMerge w:val="continue"/>
            <w:vAlign w:val="center"/>
          </w:tcPr>
          <w:p w14:paraId="084FEAC7">
            <w:pPr>
              <w:pStyle w:val="445"/>
              <w:rPr>
                <w:rFonts w:cs="Times New Roman"/>
                <w:kern w:val="0"/>
                <w:szCs w:val="18"/>
              </w:rPr>
            </w:pPr>
          </w:p>
        </w:tc>
        <w:tc>
          <w:tcPr>
            <w:tcW w:w="179" w:type="pct"/>
            <w:vMerge w:val="continue"/>
            <w:vAlign w:val="center"/>
          </w:tcPr>
          <w:p w14:paraId="7CEE7DE0">
            <w:pPr>
              <w:pStyle w:val="445"/>
              <w:rPr>
                <w:rFonts w:cs="Times New Roman"/>
                <w:kern w:val="0"/>
                <w:szCs w:val="18"/>
              </w:rPr>
            </w:pPr>
          </w:p>
        </w:tc>
        <w:tc>
          <w:tcPr>
            <w:tcW w:w="732" w:type="pct"/>
            <w:vAlign w:val="center"/>
          </w:tcPr>
          <w:p w14:paraId="645FF34F">
            <w:pPr>
              <w:pStyle w:val="445"/>
              <w:rPr>
                <w:rFonts w:cs="Times New Roman"/>
                <w:color w:val="000000"/>
                <w:kern w:val="0"/>
                <w:szCs w:val="18"/>
              </w:rPr>
            </w:pPr>
            <w:r>
              <w:rPr>
                <w:rFonts w:cs="Times New Roman"/>
                <w:color w:val="000000"/>
                <w:kern w:val="0"/>
                <w:szCs w:val="18"/>
              </w:rPr>
              <w:t>氨</w:t>
            </w:r>
          </w:p>
        </w:tc>
        <w:tc>
          <w:tcPr>
            <w:tcW w:w="351" w:type="pct"/>
            <w:vMerge w:val="continue"/>
            <w:vAlign w:val="center"/>
          </w:tcPr>
          <w:p w14:paraId="5005FE22">
            <w:pPr>
              <w:pStyle w:val="445"/>
              <w:rPr>
                <w:rFonts w:cs="Times New Roman"/>
                <w:kern w:val="0"/>
                <w:szCs w:val="20"/>
              </w:rPr>
            </w:pPr>
          </w:p>
        </w:tc>
        <w:tc>
          <w:tcPr>
            <w:tcW w:w="353" w:type="pct"/>
            <w:vMerge w:val="continue"/>
            <w:vAlign w:val="center"/>
          </w:tcPr>
          <w:p w14:paraId="10F32F6D">
            <w:pPr>
              <w:pStyle w:val="445"/>
              <w:rPr>
                <w:rFonts w:cs="Times New Roman"/>
                <w:kern w:val="0"/>
                <w:szCs w:val="20"/>
              </w:rPr>
            </w:pPr>
          </w:p>
        </w:tc>
        <w:tc>
          <w:tcPr>
            <w:tcW w:w="150" w:type="pct"/>
            <w:vMerge w:val="continue"/>
            <w:vAlign w:val="center"/>
          </w:tcPr>
          <w:p w14:paraId="5C6F309A">
            <w:pPr>
              <w:pStyle w:val="445"/>
              <w:rPr>
                <w:rFonts w:cs="Times New Roman"/>
                <w:kern w:val="0"/>
                <w:szCs w:val="20"/>
              </w:rPr>
            </w:pPr>
          </w:p>
        </w:tc>
        <w:tc>
          <w:tcPr>
            <w:tcW w:w="210" w:type="pct"/>
            <w:vMerge w:val="continue"/>
            <w:vAlign w:val="center"/>
          </w:tcPr>
          <w:p w14:paraId="30A87324">
            <w:pPr>
              <w:pStyle w:val="445"/>
              <w:rPr>
                <w:rFonts w:cs="Times New Roman"/>
                <w:kern w:val="0"/>
                <w:szCs w:val="20"/>
              </w:rPr>
            </w:pPr>
          </w:p>
        </w:tc>
        <w:tc>
          <w:tcPr>
            <w:tcW w:w="224" w:type="pct"/>
            <w:vMerge w:val="continue"/>
            <w:vAlign w:val="center"/>
          </w:tcPr>
          <w:p w14:paraId="4955F4D5">
            <w:pPr>
              <w:pStyle w:val="445"/>
              <w:rPr>
                <w:rFonts w:cs="Times New Roman"/>
                <w:kern w:val="0"/>
                <w:szCs w:val="20"/>
              </w:rPr>
            </w:pPr>
          </w:p>
        </w:tc>
        <w:tc>
          <w:tcPr>
            <w:tcW w:w="272" w:type="pct"/>
            <w:vMerge w:val="continue"/>
            <w:vAlign w:val="center"/>
          </w:tcPr>
          <w:p w14:paraId="019E7789">
            <w:pPr>
              <w:pStyle w:val="445"/>
              <w:rPr>
                <w:rFonts w:cs="Times New Roman"/>
                <w:kern w:val="0"/>
                <w:szCs w:val="20"/>
              </w:rPr>
            </w:pPr>
          </w:p>
        </w:tc>
        <w:tc>
          <w:tcPr>
            <w:tcW w:w="753" w:type="pct"/>
            <w:vMerge w:val="continue"/>
            <w:vAlign w:val="center"/>
          </w:tcPr>
          <w:p w14:paraId="375C6251">
            <w:pPr>
              <w:pStyle w:val="445"/>
              <w:rPr>
                <w:rFonts w:ascii="宋体" w:hAnsi="宋体" w:cs="Times New Roman"/>
                <w:kern w:val="0"/>
                <w:szCs w:val="20"/>
              </w:rPr>
            </w:pPr>
          </w:p>
        </w:tc>
        <w:tc>
          <w:tcPr>
            <w:tcW w:w="378" w:type="pct"/>
            <w:vAlign w:val="center"/>
          </w:tcPr>
          <w:p w14:paraId="6E3482F5">
            <w:pPr>
              <w:pStyle w:val="445"/>
              <w:rPr>
                <w:rFonts w:cs="Times New Roman"/>
                <w:kern w:val="0"/>
                <w:szCs w:val="20"/>
              </w:rPr>
            </w:pPr>
            <w:r>
              <w:rPr>
                <w:rFonts w:hint="eastAsia" w:cs="Times New Roman"/>
                <w:kern w:val="0"/>
                <w:szCs w:val="20"/>
              </w:rPr>
              <w:t>10</w:t>
            </w:r>
          </w:p>
        </w:tc>
        <w:tc>
          <w:tcPr>
            <w:tcW w:w="219" w:type="pct"/>
            <w:vAlign w:val="center"/>
          </w:tcPr>
          <w:p w14:paraId="6F90EBE2">
            <w:pPr>
              <w:pStyle w:val="445"/>
              <w:rPr>
                <w:rFonts w:cs="Times New Roman"/>
                <w:kern w:val="0"/>
                <w:szCs w:val="20"/>
              </w:rPr>
            </w:pPr>
            <w:r>
              <w:rPr>
                <w:rFonts w:hint="eastAsia" w:cs="Times New Roman"/>
                <w:kern w:val="0"/>
                <w:szCs w:val="20"/>
              </w:rPr>
              <w:t>/</w:t>
            </w:r>
          </w:p>
        </w:tc>
        <w:tc>
          <w:tcPr>
            <w:tcW w:w="398" w:type="pct"/>
            <w:vAlign w:val="center"/>
          </w:tcPr>
          <w:p w14:paraId="25B6391C">
            <w:pPr>
              <w:pStyle w:val="445"/>
              <w:rPr>
                <w:rFonts w:cs="Times New Roman"/>
                <w:kern w:val="0"/>
                <w:szCs w:val="20"/>
              </w:rPr>
            </w:pPr>
            <w:r>
              <w:rPr>
                <w:rFonts w:hint="eastAsia" w:cs="Times New Roman"/>
                <w:kern w:val="0"/>
                <w:szCs w:val="20"/>
              </w:rPr>
              <w:t>/</w:t>
            </w:r>
          </w:p>
        </w:tc>
        <w:tc>
          <w:tcPr>
            <w:tcW w:w="212" w:type="pct"/>
            <w:vAlign w:val="center"/>
          </w:tcPr>
          <w:p w14:paraId="5AB9B253">
            <w:pPr>
              <w:pStyle w:val="445"/>
              <w:rPr>
                <w:rFonts w:cs="Times New Roman"/>
                <w:kern w:val="0"/>
                <w:szCs w:val="20"/>
              </w:rPr>
            </w:pPr>
            <w:r>
              <w:rPr>
                <w:rFonts w:hint="eastAsia" w:cs="Times New Roman"/>
                <w:kern w:val="0"/>
                <w:szCs w:val="20"/>
              </w:rPr>
              <w:t>/</w:t>
            </w:r>
          </w:p>
        </w:tc>
        <w:tc>
          <w:tcPr>
            <w:tcW w:w="144" w:type="pct"/>
            <w:vAlign w:val="center"/>
          </w:tcPr>
          <w:p w14:paraId="20FAFB1D">
            <w:pPr>
              <w:pStyle w:val="445"/>
              <w:rPr>
                <w:rFonts w:cs="Times New Roman"/>
                <w:kern w:val="0"/>
                <w:szCs w:val="20"/>
              </w:rPr>
            </w:pPr>
            <w:r>
              <w:rPr>
                <w:rFonts w:hint="eastAsia" w:cs="Times New Roman"/>
                <w:kern w:val="0"/>
                <w:szCs w:val="20"/>
              </w:rPr>
              <w:t>/</w:t>
            </w:r>
          </w:p>
        </w:tc>
      </w:tr>
      <w:tr w14:paraId="21366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6DA3F0EA">
            <w:pPr>
              <w:pStyle w:val="445"/>
              <w:rPr>
                <w:rFonts w:cs="Times New Roman"/>
                <w:kern w:val="0"/>
                <w:szCs w:val="20"/>
              </w:rPr>
            </w:pPr>
            <w:r>
              <w:rPr>
                <w:rFonts w:hint="eastAsia" w:cs="Times New Roman"/>
                <w:kern w:val="0"/>
                <w:szCs w:val="20"/>
              </w:rPr>
              <w:t>6</w:t>
            </w:r>
          </w:p>
        </w:tc>
        <w:tc>
          <w:tcPr>
            <w:tcW w:w="279" w:type="pct"/>
            <w:vMerge w:val="restart"/>
            <w:vAlign w:val="center"/>
          </w:tcPr>
          <w:p w14:paraId="455E32D3">
            <w:pPr>
              <w:pStyle w:val="445"/>
              <w:rPr>
                <w:rFonts w:cs="Times New Roman"/>
                <w:kern w:val="0"/>
                <w:szCs w:val="18"/>
              </w:rPr>
            </w:pPr>
            <w:r>
              <w:rPr>
                <w:rFonts w:hint="eastAsia" w:cs="Times New Roman"/>
                <w:kern w:val="0"/>
                <w:szCs w:val="18"/>
              </w:rPr>
              <w:t>D</w:t>
            </w:r>
            <w:r>
              <w:rPr>
                <w:rFonts w:cs="Times New Roman"/>
                <w:kern w:val="0"/>
                <w:szCs w:val="18"/>
              </w:rPr>
              <w:t>A023</w:t>
            </w:r>
          </w:p>
        </w:tc>
        <w:tc>
          <w:tcPr>
            <w:tcW w:w="179" w:type="pct"/>
            <w:vMerge w:val="restart"/>
            <w:vAlign w:val="center"/>
          </w:tcPr>
          <w:p w14:paraId="49D09F32">
            <w:pPr>
              <w:pStyle w:val="445"/>
              <w:rPr>
                <w:rFonts w:cs="Times New Roman"/>
                <w:kern w:val="0"/>
                <w:szCs w:val="18"/>
              </w:rPr>
            </w:pPr>
            <w:r>
              <w:rPr>
                <w:rFonts w:cs="Times New Roman"/>
                <w:kern w:val="0"/>
                <w:szCs w:val="18"/>
              </w:rPr>
              <w:t>23#排放口</w:t>
            </w:r>
          </w:p>
        </w:tc>
        <w:tc>
          <w:tcPr>
            <w:tcW w:w="732" w:type="pct"/>
            <w:vAlign w:val="center"/>
          </w:tcPr>
          <w:p w14:paraId="63781322">
            <w:pPr>
              <w:pStyle w:val="445"/>
              <w:rPr>
                <w:rFonts w:cs="Times New Roman"/>
                <w:color w:val="000000"/>
                <w:kern w:val="0"/>
                <w:szCs w:val="18"/>
              </w:rPr>
            </w:pPr>
            <w:r>
              <w:rPr>
                <w:rFonts w:hint="eastAsia" w:cs="Times New Roman"/>
                <w:kern w:val="0"/>
                <w:szCs w:val="20"/>
              </w:rPr>
              <w:t>颗粒物</w:t>
            </w:r>
          </w:p>
        </w:tc>
        <w:tc>
          <w:tcPr>
            <w:tcW w:w="351" w:type="pct"/>
            <w:vMerge w:val="restart"/>
            <w:vAlign w:val="center"/>
          </w:tcPr>
          <w:p w14:paraId="1082F49E">
            <w:pPr>
              <w:pStyle w:val="445"/>
              <w:rPr>
                <w:rFonts w:cs="Times New Roman"/>
                <w:kern w:val="0"/>
                <w:szCs w:val="20"/>
              </w:rPr>
            </w:pPr>
            <w:r>
              <w:rPr>
                <w:rFonts w:cs="Times New Roman"/>
                <w:kern w:val="0"/>
                <w:szCs w:val="20"/>
              </w:rPr>
              <w:t>117.5770</w:t>
            </w:r>
          </w:p>
        </w:tc>
        <w:tc>
          <w:tcPr>
            <w:tcW w:w="353" w:type="pct"/>
            <w:vMerge w:val="restart"/>
            <w:vAlign w:val="center"/>
          </w:tcPr>
          <w:p w14:paraId="0AEF0F25">
            <w:pPr>
              <w:pStyle w:val="445"/>
              <w:rPr>
                <w:rFonts w:cs="Times New Roman"/>
                <w:kern w:val="0"/>
                <w:szCs w:val="20"/>
              </w:rPr>
            </w:pPr>
            <w:r>
              <w:rPr>
                <w:rFonts w:cs="Times New Roman"/>
                <w:kern w:val="0"/>
                <w:szCs w:val="20"/>
              </w:rPr>
              <w:t>32.99168</w:t>
            </w:r>
          </w:p>
        </w:tc>
        <w:tc>
          <w:tcPr>
            <w:tcW w:w="150" w:type="pct"/>
            <w:vMerge w:val="restart"/>
            <w:vAlign w:val="center"/>
          </w:tcPr>
          <w:p w14:paraId="1024A555">
            <w:pPr>
              <w:pStyle w:val="445"/>
              <w:rPr>
                <w:rFonts w:cs="Times New Roman"/>
                <w:kern w:val="0"/>
                <w:szCs w:val="20"/>
              </w:rPr>
            </w:pPr>
            <w:r>
              <w:rPr>
                <w:rFonts w:hint="eastAsia" w:cs="Times New Roman"/>
                <w:kern w:val="0"/>
                <w:szCs w:val="20"/>
              </w:rPr>
              <w:t>20</w:t>
            </w:r>
          </w:p>
        </w:tc>
        <w:tc>
          <w:tcPr>
            <w:tcW w:w="210" w:type="pct"/>
            <w:vMerge w:val="restart"/>
            <w:vAlign w:val="center"/>
          </w:tcPr>
          <w:p w14:paraId="68E76BC4">
            <w:pPr>
              <w:pStyle w:val="445"/>
              <w:rPr>
                <w:rFonts w:cs="Times New Roman"/>
                <w:kern w:val="0"/>
                <w:szCs w:val="20"/>
              </w:rPr>
            </w:pPr>
            <w:r>
              <w:rPr>
                <w:rFonts w:hint="eastAsia" w:cs="Times New Roman"/>
                <w:kern w:val="0"/>
                <w:szCs w:val="20"/>
              </w:rPr>
              <w:t>0.4</w:t>
            </w:r>
          </w:p>
        </w:tc>
        <w:tc>
          <w:tcPr>
            <w:tcW w:w="224" w:type="pct"/>
            <w:vMerge w:val="restart"/>
            <w:vAlign w:val="center"/>
          </w:tcPr>
          <w:p w14:paraId="111E3FC2">
            <w:pPr>
              <w:pStyle w:val="445"/>
              <w:rPr>
                <w:rFonts w:cs="Times New Roman"/>
                <w:kern w:val="0"/>
                <w:szCs w:val="20"/>
              </w:rPr>
            </w:pPr>
            <w:r>
              <w:rPr>
                <w:rFonts w:hint="eastAsia" w:cs="Times New Roman"/>
                <w:kern w:val="0"/>
                <w:szCs w:val="20"/>
              </w:rPr>
              <w:t>25</w:t>
            </w:r>
          </w:p>
        </w:tc>
        <w:tc>
          <w:tcPr>
            <w:tcW w:w="272" w:type="pct"/>
            <w:vMerge w:val="restart"/>
            <w:vAlign w:val="center"/>
          </w:tcPr>
          <w:p w14:paraId="5080AB20">
            <w:pPr>
              <w:pStyle w:val="445"/>
              <w:rPr>
                <w:rFonts w:cs="Times New Roman"/>
                <w:kern w:val="0"/>
                <w:szCs w:val="20"/>
              </w:rPr>
            </w:pPr>
            <w:r>
              <w:rPr>
                <w:rFonts w:hint="eastAsia" w:cs="Times New Roman"/>
                <w:kern w:val="0"/>
                <w:szCs w:val="20"/>
              </w:rPr>
              <w:t>2000</w:t>
            </w:r>
          </w:p>
        </w:tc>
        <w:tc>
          <w:tcPr>
            <w:tcW w:w="753" w:type="pct"/>
            <w:vMerge w:val="restart"/>
            <w:vAlign w:val="center"/>
          </w:tcPr>
          <w:p w14:paraId="7331C68F">
            <w:pPr>
              <w:pStyle w:val="445"/>
              <w:rPr>
                <w:rFonts w:ascii="宋体" w:hAnsi="宋体" w:cs="Times New Roman"/>
                <w:kern w:val="0"/>
                <w:szCs w:val="20"/>
              </w:rPr>
            </w:pP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378" w:type="pct"/>
            <w:vAlign w:val="center"/>
          </w:tcPr>
          <w:p w14:paraId="579B5748">
            <w:pPr>
              <w:pStyle w:val="445"/>
              <w:rPr>
                <w:rFonts w:cs="Times New Roman"/>
                <w:kern w:val="0"/>
                <w:szCs w:val="20"/>
              </w:rPr>
            </w:pPr>
            <w:r>
              <w:rPr>
                <w:rFonts w:cs="Times New Roman"/>
                <w:kern w:val="0"/>
                <w:szCs w:val="20"/>
              </w:rPr>
              <w:t>10</w:t>
            </w:r>
          </w:p>
        </w:tc>
        <w:tc>
          <w:tcPr>
            <w:tcW w:w="219" w:type="pct"/>
            <w:vAlign w:val="center"/>
          </w:tcPr>
          <w:p w14:paraId="7D703E64">
            <w:pPr>
              <w:pStyle w:val="445"/>
              <w:rPr>
                <w:rFonts w:cs="Times New Roman"/>
                <w:kern w:val="0"/>
                <w:szCs w:val="20"/>
              </w:rPr>
            </w:pPr>
            <w:r>
              <w:rPr>
                <w:rFonts w:hint="eastAsia" w:cs="Times New Roman"/>
                <w:kern w:val="0"/>
                <w:szCs w:val="20"/>
              </w:rPr>
              <w:t>/</w:t>
            </w:r>
          </w:p>
        </w:tc>
        <w:tc>
          <w:tcPr>
            <w:tcW w:w="398" w:type="pct"/>
            <w:vAlign w:val="center"/>
          </w:tcPr>
          <w:p w14:paraId="56168F58">
            <w:pPr>
              <w:pStyle w:val="445"/>
              <w:rPr>
                <w:rFonts w:cs="Times New Roman"/>
                <w:kern w:val="0"/>
                <w:szCs w:val="20"/>
              </w:rPr>
            </w:pPr>
            <w:r>
              <w:rPr>
                <w:rFonts w:eastAsia="等线" w:cs="Times New Roman"/>
                <w:color w:val="000000"/>
                <w:kern w:val="0"/>
                <w:szCs w:val="18"/>
              </w:rPr>
              <w:t>0.118</w:t>
            </w:r>
          </w:p>
        </w:tc>
        <w:tc>
          <w:tcPr>
            <w:tcW w:w="212" w:type="pct"/>
            <w:vAlign w:val="center"/>
          </w:tcPr>
          <w:p w14:paraId="3A85F71D">
            <w:pPr>
              <w:pStyle w:val="445"/>
              <w:rPr>
                <w:rFonts w:cs="Times New Roman"/>
                <w:kern w:val="0"/>
                <w:szCs w:val="20"/>
              </w:rPr>
            </w:pPr>
            <w:r>
              <w:rPr>
                <w:rFonts w:hint="eastAsia" w:cs="Times New Roman"/>
                <w:kern w:val="0"/>
                <w:szCs w:val="20"/>
              </w:rPr>
              <w:t>/</w:t>
            </w:r>
          </w:p>
        </w:tc>
        <w:tc>
          <w:tcPr>
            <w:tcW w:w="144" w:type="pct"/>
            <w:vAlign w:val="center"/>
          </w:tcPr>
          <w:p w14:paraId="4065ECB3">
            <w:pPr>
              <w:pStyle w:val="445"/>
              <w:rPr>
                <w:rFonts w:cs="Times New Roman"/>
                <w:kern w:val="0"/>
                <w:szCs w:val="20"/>
              </w:rPr>
            </w:pPr>
            <w:r>
              <w:rPr>
                <w:rFonts w:hint="eastAsia" w:cs="Times New Roman"/>
                <w:kern w:val="0"/>
                <w:szCs w:val="20"/>
              </w:rPr>
              <w:t>/</w:t>
            </w:r>
          </w:p>
        </w:tc>
      </w:tr>
      <w:tr w14:paraId="09FB04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4042143C">
            <w:pPr>
              <w:pStyle w:val="445"/>
              <w:rPr>
                <w:rFonts w:cs="Times New Roman"/>
                <w:kern w:val="0"/>
                <w:szCs w:val="20"/>
              </w:rPr>
            </w:pPr>
          </w:p>
        </w:tc>
        <w:tc>
          <w:tcPr>
            <w:tcW w:w="279" w:type="pct"/>
            <w:vMerge w:val="continue"/>
            <w:vAlign w:val="center"/>
          </w:tcPr>
          <w:p w14:paraId="420F0CA7">
            <w:pPr>
              <w:pStyle w:val="445"/>
              <w:rPr>
                <w:rFonts w:cs="Times New Roman"/>
                <w:kern w:val="0"/>
                <w:szCs w:val="18"/>
              </w:rPr>
            </w:pPr>
          </w:p>
        </w:tc>
        <w:tc>
          <w:tcPr>
            <w:tcW w:w="179" w:type="pct"/>
            <w:vMerge w:val="continue"/>
            <w:vAlign w:val="center"/>
          </w:tcPr>
          <w:p w14:paraId="566527C0">
            <w:pPr>
              <w:pStyle w:val="445"/>
              <w:rPr>
                <w:rFonts w:cs="Times New Roman"/>
                <w:kern w:val="0"/>
                <w:szCs w:val="18"/>
              </w:rPr>
            </w:pPr>
          </w:p>
        </w:tc>
        <w:tc>
          <w:tcPr>
            <w:tcW w:w="732" w:type="pct"/>
            <w:vAlign w:val="center"/>
          </w:tcPr>
          <w:p w14:paraId="01B2DCBA">
            <w:pPr>
              <w:pStyle w:val="445"/>
              <w:rPr>
                <w:rFonts w:cs="Times New Roman"/>
                <w:color w:val="000000"/>
                <w:kern w:val="0"/>
                <w:szCs w:val="18"/>
              </w:rPr>
            </w:pPr>
            <w:r>
              <w:rPr>
                <w:rFonts w:hint="eastAsia" w:cs="Times New Roman"/>
                <w:kern w:val="0"/>
                <w:szCs w:val="20"/>
              </w:rPr>
              <w:t>二氧化硫</w:t>
            </w:r>
          </w:p>
        </w:tc>
        <w:tc>
          <w:tcPr>
            <w:tcW w:w="351" w:type="pct"/>
            <w:vMerge w:val="continue"/>
            <w:vAlign w:val="center"/>
          </w:tcPr>
          <w:p w14:paraId="45CA753B">
            <w:pPr>
              <w:pStyle w:val="445"/>
              <w:rPr>
                <w:rFonts w:cs="Times New Roman"/>
                <w:kern w:val="0"/>
                <w:szCs w:val="20"/>
              </w:rPr>
            </w:pPr>
          </w:p>
        </w:tc>
        <w:tc>
          <w:tcPr>
            <w:tcW w:w="353" w:type="pct"/>
            <w:vMerge w:val="continue"/>
            <w:vAlign w:val="center"/>
          </w:tcPr>
          <w:p w14:paraId="030031FB">
            <w:pPr>
              <w:pStyle w:val="445"/>
              <w:rPr>
                <w:rFonts w:cs="Times New Roman"/>
                <w:kern w:val="0"/>
                <w:szCs w:val="20"/>
              </w:rPr>
            </w:pPr>
          </w:p>
        </w:tc>
        <w:tc>
          <w:tcPr>
            <w:tcW w:w="150" w:type="pct"/>
            <w:vMerge w:val="continue"/>
            <w:vAlign w:val="center"/>
          </w:tcPr>
          <w:p w14:paraId="398A109F">
            <w:pPr>
              <w:pStyle w:val="445"/>
              <w:rPr>
                <w:rFonts w:cs="Times New Roman"/>
                <w:kern w:val="0"/>
                <w:szCs w:val="20"/>
              </w:rPr>
            </w:pPr>
          </w:p>
        </w:tc>
        <w:tc>
          <w:tcPr>
            <w:tcW w:w="210" w:type="pct"/>
            <w:vMerge w:val="continue"/>
            <w:vAlign w:val="center"/>
          </w:tcPr>
          <w:p w14:paraId="00AC8493">
            <w:pPr>
              <w:pStyle w:val="445"/>
              <w:rPr>
                <w:rFonts w:cs="Times New Roman"/>
                <w:kern w:val="0"/>
                <w:szCs w:val="20"/>
              </w:rPr>
            </w:pPr>
          </w:p>
        </w:tc>
        <w:tc>
          <w:tcPr>
            <w:tcW w:w="224" w:type="pct"/>
            <w:vMerge w:val="continue"/>
            <w:vAlign w:val="center"/>
          </w:tcPr>
          <w:p w14:paraId="7566B997">
            <w:pPr>
              <w:pStyle w:val="445"/>
              <w:rPr>
                <w:rFonts w:cs="Times New Roman"/>
                <w:kern w:val="0"/>
                <w:szCs w:val="20"/>
              </w:rPr>
            </w:pPr>
          </w:p>
        </w:tc>
        <w:tc>
          <w:tcPr>
            <w:tcW w:w="272" w:type="pct"/>
            <w:vMerge w:val="continue"/>
            <w:vAlign w:val="center"/>
          </w:tcPr>
          <w:p w14:paraId="00EACCEC">
            <w:pPr>
              <w:pStyle w:val="445"/>
              <w:rPr>
                <w:rFonts w:cs="Times New Roman"/>
                <w:kern w:val="0"/>
                <w:szCs w:val="20"/>
              </w:rPr>
            </w:pPr>
          </w:p>
        </w:tc>
        <w:tc>
          <w:tcPr>
            <w:tcW w:w="753" w:type="pct"/>
            <w:vMerge w:val="continue"/>
            <w:vAlign w:val="center"/>
          </w:tcPr>
          <w:p w14:paraId="4AC42A83">
            <w:pPr>
              <w:pStyle w:val="445"/>
              <w:rPr>
                <w:rFonts w:ascii="宋体" w:hAnsi="宋体" w:cs="Times New Roman"/>
                <w:kern w:val="0"/>
                <w:szCs w:val="20"/>
              </w:rPr>
            </w:pPr>
          </w:p>
        </w:tc>
        <w:tc>
          <w:tcPr>
            <w:tcW w:w="378" w:type="pct"/>
            <w:vAlign w:val="center"/>
          </w:tcPr>
          <w:p w14:paraId="629FC6F2">
            <w:pPr>
              <w:pStyle w:val="445"/>
              <w:rPr>
                <w:rFonts w:cs="Times New Roman"/>
                <w:kern w:val="0"/>
                <w:szCs w:val="20"/>
              </w:rPr>
            </w:pPr>
            <w:r>
              <w:rPr>
                <w:rFonts w:cs="Times New Roman"/>
                <w:kern w:val="0"/>
                <w:szCs w:val="20"/>
              </w:rPr>
              <w:t>100</w:t>
            </w:r>
          </w:p>
        </w:tc>
        <w:tc>
          <w:tcPr>
            <w:tcW w:w="219" w:type="pct"/>
            <w:vAlign w:val="center"/>
          </w:tcPr>
          <w:p w14:paraId="26A011AD">
            <w:pPr>
              <w:pStyle w:val="445"/>
              <w:rPr>
                <w:rFonts w:cs="Times New Roman"/>
                <w:kern w:val="0"/>
                <w:szCs w:val="20"/>
              </w:rPr>
            </w:pPr>
            <w:r>
              <w:rPr>
                <w:rFonts w:hint="eastAsia" w:cs="Times New Roman"/>
                <w:kern w:val="0"/>
                <w:szCs w:val="20"/>
              </w:rPr>
              <w:t>/</w:t>
            </w:r>
          </w:p>
        </w:tc>
        <w:tc>
          <w:tcPr>
            <w:tcW w:w="398" w:type="pct"/>
            <w:vAlign w:val="center"/>
          </w:tcPr>
          <w:p w14:paraId="65D2D291">
            <w:pPr>
              <w:pStyle w:val="445"/>
              <w:rPr>
                <w:rFonts w:cs="Times New Roman"/>
                <w:kern w:val="0"/>
                <w:szCs w:val="20"/>
              </w:rPr>
            </w:pPr>
            <w:r>
              <w:rPr>
                <w:rFonts w:eastAsia="等线" w:cs="Times New Roman"/>
                <w:color w:val="000000"/>
                <w:kern w:val="0"/>
                <w:szCs w:val="18"/>
              </w:rPr>
              <w:t>0.165</w:t>
            </w:r>
          </w:p>
        </w:tc>
        <w:tc>
          <w:tcPr>
            <w:tcW w:w="212" w:type="pct"/>
            <w:vAlign w:val="center"/>
          </w:tcPr>
          <w:p w14:paraId="63E4F1C5">
            <w:pPr>
              <w:pStyle w:val="445"/>
              <w:rPr>
                <w:rFonts w:cs="Times New Roman"/>
                <w:kern w:val="0"/>
                <w:szCs w:val="20"/>
              </w:rPr>
            </w:pPr>
            <w:r>
              <w:rPr>
                <w:rFonts w:hint="eastAsia" w:cs="Times New Roman"/>
                <w:kern w:val="0"/>
                <w:szCs w:val="20"/>
              </w:rPr>
              <w:t>/</w:t>
            </w:r>
          </w:p>
        </w:tc>
        <w:tc>
          <w:tcPr>
            <w:tcW w:w="144" w:type="pct"/>
            <w:vAlign w:val="center"/>
          </w:tcPr>
          <w:p w14:paraId="611BFE63">
            <w:pPr>
              <w:pStyle w:val="445"/>
              <w:rPr>
                <w:rFonts w:cs="Times New Roman"/>
                <w:kern w:val="0"/>
                <w:szCs w:val="20"/>
              </w:rPr>
            </w:pPr>
            <w:r>
              <w:rPr>
                <w:rFonts w:hint="eastAsia" w:cs="Times New Roman"/>
                <w:kern w:val="0"/>
                <w:szCs w:val="20"/>
              </w:rPr>
              <w:t>/</w:t>
            </w:r>
          </w:p>
        </w:tc>
      </w:tr>
      <w:tr w14:paraId="4298F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7DE53849">
            <w:pPr>
              <w:pStyle w:val="445"/>
              <w:rPr>
                <w:rFonts w:cs="Times New Roman"/>
                <w:kern w:val="0"/>
                <w:szCs w:val="20"/>
              </w:rPr>
            </w:pPr>
          </w:p>
        </w:tc>
        <w:tc>
          <w:tcPr>
            <w:tcW w:w="279" w:type="pct"/>
            <w:vMerge w:val="continue"/>
            <w:vAlign w:val="center"/>
          </w:tcPr>
          <w:p w14:paraId="5DAD4A4B">
            <w:pPr>
              <w:pStyle w:val="445"/>
              <w:rPr>
                <w:rFonts w:cs="Times New Roman"/>
                <w:kern w:val="0"/>
                <w:szCs w:val="18"/>
              </w:rPr>
            </w:pPr>
          </w:p>
        </w:tc>
        <w:tc>
          <w:tcPr>
            <w:tcW w:w="179" w:type="pct"/>
            <w:vMerge w:val="continue"/>
            <w:vAlign w:val="center"/>
          </w:tcPr>
          <w:p w14:paraId="5C081029">
            <w:pPr>
              <w:pStyle w:val="445"/>
              <w:rPr>
                <w:rFonts w:cs="Times New Roman"/>
                <w:kern w:val="0"/>
                <w:szCs w:val="18"/>
              </w:rPr>
            </w:pPr>
          </w:p>
        </w:tc>
        <w:tc>
          <w:tcPr>
            <w:tcW w:w="732" w:type="pct"/>
            <w:vAlign w:val="center"/>
          </w:tcPr>
          <w:p w14:paraId="3C60EAD5">
            <w:pPr>
              <w:pStyle w:val="445"/>
              <w:rPr>
                <w:rFonts w:cs="Times New Roman"/>
                <w:color w:val="000000"/>
                <w:kern w:val="0"/>
                <w:szCs w:val="18"/>
              </w:rPr>
            </w:pPr>
            <w:r>
              <w:rPr>
                <w:rFonts w:hint="eastAsia" w:cs="Times New Roman"/>
                <w:kern w:val="0"/>
                <w:szCs w:val="20"/>
              </w:rPr>
              <w:t>氮氧化物</w:t>
            </w:r>
          </w:p>
        </w:tc>
        <w:tc>
          <w:tcPr>
            <w:tcW w:w="351" w:type="pct"/>
            <w:vMerge w:val="continue"/>
            <w:vAlign w:val="center"/>
          </w:tcPr>
          <w:p w14:paraId="6D1DC378">
            <w:pPr>
              <w:pStyle w:val="445"/>
              <w:rPr>
                <w:rFonts w:cs="Times New Roman"/>
                <w:kern w:val="0"/>
                <w:szCs w:val="20"/>
              </w:rPr>
            </w:pPr>
          </w:p>
        </w:tc>
        <w:tc>
          <w:tcPr>
            <w:tcW w:w="353" w:type="pct"/>
            <w:vMerge w:val="continue"/>
            <w:vAlign w:val="center"/>
          </w:tcPr>
          <w:p w14:paraId="29E0C77C">
            <w:pPr>
              <w:pStyle w:val="445"/>
              <w:rPr>
                <w:rFonts w:cs="Times New Roman"/>
                <w:kern w:val="0"/>
                <w:szCs w:val="20"/>
              </w:rPr>
            </w:pPr>
          </w:p>
        </w:tc>
        <w:tc>
          <w:tcPr>
            <w:tcW w:w="150" w:type="pct"/>
            <w:vMerge w:val="continue"/>
            <w:vAlign w:val="center"/>
          </w:tcPr>
          <w:p w14:paraId="2F51A150">
            <w:pPr>
              <w:pStyle w:val="445"/>
              <w:rPr>
                <w:rFonts w:cs="Times New Roman"/>
                <w:kern w:val="0"/>
                <w:szCs w:val="20"/>
              </w:rPr>
            </w:pPr>
          </w:p>
        </w:tc>
        <w:tc>
          <w:tcPr>
            <w:tcW w:w="210" w:type="pct"/>
            <w:vMerge w:val="continue"/>
            <w:vAlign w:val="center"/>
          </w:tcPr>
          <w:p w14:paraId="69A6358E">
            <w:pPr>
              <w:pStyle w:val="445"/>
              <w:rPr>
                <w:rFonts w:cs="Times New Roman"/>
                <w:kern w:val="0"/>
                <w:szCs w:val="20"/>
              </w:rPr>
            </w:pPr>
          </w:p>
        </w:tc>
        <w:tc>
          <w:tcPr>
            <w:tcW w:w="224" w:type="pct"/>
            <w:vMerge w:val="continue"/>
            <w:vAlign w:val="center"/>
          </w:tcPr>
          <w:p w14:paraId="28616AF8">
            <w:pPr>
              <w:pStyle w:val="445"/>
              <w:rPr>
                <w:rFonts w:cs="Times New Roman"/>
                <w:kern w:val="0"/>
                <w:szCs w:val="20"/>
              </w:rPr>
            </w:pPr>
          </w:p>
        </w:tc>
        <w:tc>
          <w:tcPr>
            <w:tcW w:w="272" w:type="pct"/>
            <w:vMerge w:val="continue"/>
            <w:vAlign w:val="center"/>
          </w:tcPr>
          <w:p w14:paraId="3C517287">
            <w:pPr>
              <w:pStyle w:val="445"/>
              <w:rPr>
                <w:rFonts w:cs="Times New Roman"/>
                <w:kern w:val="0"/>
                <w:szCs w:val="20"/>
              </w:rPr>
            </w:pPr>
          </w:p>
        </w:tc>
        <w:tc>
          <w:tcPr>
            <w:tcW w:w="753" w:type="pct"/>
            <w:vMerge w:val="continue"/>
            <w:vAlign w:val="center"/>
          </w:tcPr>
          <w:p w14:paraId="1BA374FE">
            <w:pPr>
              <w:pStyle w:val="445"/>
              <w:rPr>
                <w:rFonts w:ascii="宋体" w:hAnsi="宋体" w:cs="Times New Roman"/>
                <w:kern w:val="0"/>
                <w:szCs w:val="20"/>
              </w:rPr>
            </w:pPr>
          </w:p>
        </w:tc>
        <w:tc>
          <w:tcPr>
            <w:tcW w:w="378" w:type="pct"/>
            <w:vAlign w:val="center"/>
          </w:tcPr>
          <w:p w14:paraId="68CC06D8">
            <w:pPr>
              <w:pStyle w:val="445"/>
              <w:rPr>
                <w:rFonts w:cs="Times New Roman"/>
                <w:kern w:val="0"/>
                <w:szCs w:val="20"/>
              </w:rPr>
            </w:pPr>
            <w:r>
              <w:rPr>
                <w:rFonts w:cs="Times New Roman"/>
                <w:kern w:val="0"/>
                <w:szCs w:val="20"/>
              </w:rPr>
              <w:t>100</w:t>
            </w:r>
          </w:p>
        </w:tc>
        <w:tc>
          <w:tcPr>
            <w:tcW w:w="219" w:type="pct"/>
            <w:vAlign w:val="center"/>
          </w:tcPr>
          <w:p w14:paraId="762F6CC0">
            <w:pPr>
              <w:pStyle w:val="445"/>
              <w:rPr>
                <w:rFonts w:cs="Times New Roman"/>
                <w:kern w:val="0"/>
                <w:szCs w:val="20"/>
              </w:rPr>
            </w:pPr>
            <w:r>
              <w:rPr>
                <w:rFonts w:hint="eastAsia" w:cs="Times New Roman"/>
                <w:kern w:val="0"/>
                <w:szCs w:val="20"/>
              </w:rPr>
              <w:t>/</w:t>
            </w:r>
          </w:p>
        </w:tc>
        <w:tc>
          <w:tcPr>
            <w:tcW w:w="398" w:type="pct"/>
            <w:vAlign w:val="center"/>
          </w:tcPr>
          <w:p w14:paraId="146BEB41">
            <w:pPr>
              <w:pStyle w:val="445"/>
              <w:rPr>
                <w:rFonts w:cs="Times New Roman"/>
                <w:kern w:val="0"/>
                <w:szCs w:val="20"/>
              </w:rPr>
            </w:pPr>
            <w:r>
              <w:rPr>
                <w:rFonts w:eastAsia="等线" w:cs="Times New Roman"/>
                <w:color w:val="000000"/>
                <w:kern w:val="0"/>
                <w:szCs w:val="18"/>
              </w:rPr>
              <w:t>0.385</w:t>
            </w:r>
          </w:p>
        </w:tc>
        <w:tc>
          <w:tcPr>
            <w:tcW w:w="212" w:type="pct"/>
            <w:vAlign w:val="center"/>
          </w:tcPr>
          <w:p w14:paraId="0B2CC680">
            <w:pPr>
              <w:pStyle w:val="445"/>
              <w:rPr>
                <w:rFonts w:cs="Times New Roman"/>
                <w:kern w:val="0"/>
                <w:szCs w:val="20"/>
              </w:rPr>
            </w:pPr>
            <w:r>
              <w:rPr>
                <w:rFonts w:hint="eastAsia" w:cs="Times New Roman"/>
                <w:kern w:val="0"/>
                <w:szCs w:val="20"/>
              </w:rPr>
              <w:t>/</w:t>
            </w:r>
          </w:p>
        </w:tc>
        <w:tc>
          <w:tcPr>
            <w:tcW w:w="144" w:type="pct"/>
            <w:vAlign w:val="center"/>
          </w:tcPr>
          <w:p w14:paraId="4FC7E495">
            <w:pPr>
              <w:pStyle w:val="445"/>
              <w:rPr>
                <w:rFonts w:cs="Times New Roman"/>
                <w:kern w:val="0"/>
                <w:szCs w:val="20"/>
              </w:rPr>
            </w:pPr>
            <w:r>
              <w:rPr>
                <w:rFonts w:hint="eastAsia" w:cs="Times New Roman"/>
                <w:kern w:val="0"/>
                <w:szCs w:val="20"/>
              </w:rPr>
              <w:t>/</w:t>
            </w:r>
          </w:p>
        </w:tc>
      </w:tr>
      <w:tr w14:paraId="00F4A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restart"/>
            <w:vAlign w:val="center"/>
          </w:tcPr>
          <w:p w14:paraId="016C2A19">
            <w:pPr>
              <w:pStyle w:val="445"/>
              <w:rPr>
                <w:rFonts w:cs="Times New Roman"/>
                <w:kern w:val="0"/>
                <w:szCs w:val="20"/>
              </w:rPr>
            </w:pPr>
            <w:r>
              <w:rPr>
                <w:rFonts w:hint="eastAsia" w:cs="Times New Roman"/>
                <w:kern w:val="0"/>
                <w:szCs w:val="20"/>
              </w:rPr>
              <w:t>7</w:t>
            </w:r>
          </w:p>
        </w:tc>
        <w:tc>
          <w:tcPr>
            <w:tcW w:w="279" w:type="pct"/>
            <w:vMerge w:val="restart"/>
            <w:vAlign w:val="center"/>
          </w:tcPr>
          <w:p w14:paraId="2D97C33F">
            <w:pPr>
              <w:pStyle w:val="445"/>
              <w:rPr>
                <w:rFonts w:cs="Times New Roman"/>
                <w:kern w:val="0"/>
                <w:szCs w:val="18"/>
              </w:rPr>
            </w:pPr>
            <w:r>
              <w:rPr>
                <w:rFonts w:hint="eastAsia" w:cs="Times New Roman"/>
                <w:kern w:val="0"/>
                <w:szCs w:val="18"/>
              </w:rPr>
              <w:t>D</w:t>
            </w:r>
            <w:r>
              <w:rPr>
                <w:rFonts w:cs="Times New Roman"/>
                <w:kern w:val="0"/>
                <w:szCs w:val="18"/>
              </w:rPr>
              <w:t>A024</w:t>
            </w:r>
          </w:p>
        </w:tc>
        <w:tc>
          <w:tcPr>
            <w:tcW w:w="179" w:type="pct"/>
            <w:vMerge w:val="restart"/>
            <w:vAlign w:val="center"/>
          </w:tcPr>
          <w:p w14:paraId="322A0A47">
            <w:pPr>
              <w:pStyle w:val="445"/>
              <w:rPr>
                <w:rFonts w:cs="Times New Roman"/>
                <w:kern w:val="0"/>
                <w:szCs w:val="18"/>
              </w:rPr>
            </w:pPr>
            <w:r>
              <w:rPr>
                <w:rFonts w:cs="Times New Roman"/>
                <w:kern w:val="0"/>
                <w:szCs w:val="18"/>
              </w:rPr>
              <w:t>24#排放口</w:t>
            </w:r>
          </w:p>
        </w:tc>
        <w:tc>
          <w:tcPr>
            <w:tcW w:w="732" w:type="pct"/>
            <w:vAlign w:val="center"/>
          </w:tcPr>
          <w:p w14:paraId="11D9023A">
            <w:pPr>
              <w:pStyle w:val="445"/>
              <w:rPr>
                <w:rFonts w:cs="Times New Roman"/>
                <w:kern w:val="0"/>
                <w:szCs w:val="20"/>
              </w:rPr>
            </w:pPr>
            <w:r>
              <w:rPr>
                <w:rFonts w:hint="eastAsia" w:cs="Times New Roman"/>
                <w:kern w:val="0"/>
                <w:szCs w:val="20"/>
              </w:rPr>
              <w:t>氯化氢</w:t>
            </w:r>
          </w:p>
        </w:tc>
        <w:tc>
          <w:tcPr>
            <w:tcW w:w="351" w:type="pct"/>
            <w:vMerge w:val="restart"/>
            <w:vAlign w:val="center"/>
          </w:tcPr>
          <w:p w14:paraId="4D371E49">
            <w:pPr>
              <w:pStyle w:val="445"/>
              <w:rPr>
                <w:rFonts w:cs="Times New Roman"/>
                <w:kern w:val="0"/>
                <w:szCs w:val="20"/>
              </w:rPr>
            </w:pPr>
            <w:r>
              <w:rPr>
                <w:rFonts w:cs="Times New Roman"/>
                <w:kern w:val="0"/>
                <w:szCs w:val="20"/>
              </w:rPr>
              <w:t>117.57724</w:t>
            </w:r>
          </w:p>
        </w:tc>
        <w:tc>
          <w:tcPr>
            <w:tcW w:w="353" w:type="pct"/>
            <w:vMerge w:val="restart"/>
            <w:vAlign w:val="center"/>
          </w:tcPr>
          <w:p w14:paraId="5691A2FC">
            <w:pPr>
              <w:pStyle w:val="445"/>
              <w:rPr>
                <w:rFonts w:cs="Times New Roman"/>
                <w:kern w:val="0"/>
                <w:szCs w:val="20"/>
              </w:rPr>
            </w:pPr>
            <w:r>
              <w:rPr>
                <w:rFonts w:cs="Times New Roman"/>
                <w:kern w:val="0"/>
                <w:szCs w:val="20"/>
              </w:rPr>
              <w:t>32.99173</w:t>
            </w:r>
          </w:p>
        </w:tc>
        <w:tc>
          <w:tcPr>
            <w:tcW w:w="150" w:type="pct"/>
            <w:vMerge w:val="restart"/>
            <w:vAlign w:val="center"/>
          </w:tcPr>
          <w:p w14:paraId="2C267238">
            <w:pPr>
              <w:pStyle w:val="445"/>
              <w:rPr>
                <w:rFonts w:cs="Times New Roman"/>
                <w:kern w:val="0"/>
                <w:szCs w:val="20"/>
              </w:rPr>
            </w:pPr>
            <w:r>
              <w:rPr>
                <w:rFonts w:hint="eastAsia" w:cs="Times New Roman"/>
                <w:kern w:val="0"/>
                <w:szCs w:val="20"/>
              </w:rPr>
              <w:t>20</w:t>
            </w:r>
          </w:p>
        </w:tc>
        <w:tc>
          <w:tcPr>
            <w:tcW w:w="210" w:type="pct"/>
            <w:vMerge w:val="restart"/>
            <w:vAlign w:val="center"/>
          </w:tcPr>
          <w:p w14:paraId="59F88B8F">
            <w:pPr>
              <w:pStyle w:val="445"/>
              <w:rPr>
                <w:rFonts w:cs="Times New Roman"/>
                <w:kern w:val="0"/>
                <w:szCs w:val="20"/>
              </w:rPr>
            </w:pPr>
            <w:r>
              <w:rPr>
                <w:rFonts w:hint="eastAsia" w:cs="Times New Roman"/>
                <w:kern w:val="0"/>
                <w:szCs w:val="20"/>
              </w:rPr>
              <w:t>0.4</w:t>
            </w:r>
          </w:p>
        </w:tc>
        <w:tc>
          <w:tcPr>
            <w:tcW w:w="224" w:type="pct"/>
            <w:vMerge w:val="restart"/>
            <w:vAlign w:val="center"/>
          </w:tcPr>
          <w:p w14:paraId="2F0ED626">
            <w:pPr>
              <w:pStyle w:val="445"/>
              <w:rPr>
                <w:rFonts w:cs="Times New Roman"/>
                <w:kern w:val="0"/>
                <w:szCs w:val="20"/>
              </w:rPr>
            </w:pPr>
            <w:r>
              <w:rPr>
                <w:rFonts w:hint="eastAsia" w:cs="Times New Roman"/>
                <w:kern w:val="0"/>
                <w:szCs w:val="20"/>
              </w:rPr>
              <w:t>25</w:t>
            </w:r>
          </w:p>
        </w:tc>
        <w:tc>
          <w:tcPr>
            <w:tcW w:w="272" w:type="pct"/>
            <w:vMerge w:val="restart"/>
            <w:vAlign w:val="center"/>
          </w:tcPr>
          <w:p w14:paraId="673A4A8A">
            <w:pPr>
              <w:pStyle w:val="445"/>
              <w:rPr>
                <w:rFonts w:cs="Times New Roman"/>
                <w:kern w:val="0"/>
                <w:szCs w:val="20"/>
              </w:rPr>
            </w:pPr>
            <w:r>
              <w:rPr>
                <w:rFonts w:hint="eastAsia" w:cs="Times New Roman"/>
                <w:kern w:val="0"/>
                <w:szCs w:val="20"/>
              </w:rPr>
              <w:t>2000</w:t>
            </w:r>
          </w:p>
        </w:tc>
        <w:tc>
          <w:tcPr>
            <w:tcW w:w="753" w:type="pct"/>
            <w:vMerge w:val="restart"/>
            <w:vAlign w:val="center"/>
          </w:tcPr>
          <w:p w14:paraId="424A8F10">
            <w:pPr>
              <w:pStyle w:val="445"/>
              <w:rPr>
                <w:rFonts w:ascii="宋体" w:hAnsi="宋体" w:cs="Times New Roman"/>
                <w:kern w:val="0"/>
                <w:szCs w:val="20"/>
              </w:rPr>
            </w:pP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378" w:type="pct"/>
            <w:vAlign w:val="center"/>
          </w:tcPr>
          <w:p w14:paraId="415F271D">
            <w:pPr>
              <w:pStyle w:val="445"/>
              <w:rPr>
                <w:rFonts w:cs="Times New Roman"/>
                <w:kern w:val="0"/>
                <w:szCs w:val="20"/>
              </w:rPr>
            </w:pPr>
            <w:r>
              <w:rPr>
                <w:rFonts w:hint="eastAsia" w:cs="Times New Roman"/>
                <w:kern w:val="0"/>
                <w:szCs w:val="20"/>
              </w:rPr>
              <w:t>10</w:t>
            </w:r>
          </w:p>
        </w:tc>
        <w:tc>
          <w:tcPr>
            <w:tcW w:w="219" w:type="pct"/>
            <w:vAlign w:val="center"/>
          </w:tcPr>
          <w:p w14:paraId="7A6C5641">
            <w:pPr>
              <w:pStyle w:val="445"/>
              <w:rPr>
                <w:rFonts w:cs="Times New Roman"/>
                <w:kern w:val="0"/>
                <w:szCs w:val="20"/>
              </w:rPr>
            </w:pPr>
            <w:r>
              <w:rPr>
                <w:rFonts w:hint="eastAsia" w:cs="Times New Roman"/>
                <w:kern w:val="0"/>
                <w:szCs w:val="20"/>
              </w:rPr>
              <w:t>/</w:t>
            </w:r>
          </w:p>
        </w:tc>
        <w:tc>
          <w:tcPr>
            <w:tcW w:w="398" w:type="pct"/>
            <w:vAlign w:val="center"/>
          </w:tcPr>
          <w:p w14:paraId="2935E9D6">
            <w:pPr>
              <w:pStyle w:val="445"/>
              <w:rPr>
                <w:rFonts w:cs="Times New Roman"/>
                <w:kern w:val="0"/>
                <w:szCs w:val="20"/>
              </w:rPr>
            </w:pPr>
            <w:r>
              <w:rPr>
                <w:rFonts w:hint="eastAsia" w:cs="Times New Roman"/>
                <w:kern w:val="0"/>
                <w:szCs w:val="20"/>
              </w:rPr>
              <w:t>/</w:t>
            </w:r>
          </w:p>
        </w:tc>
        <w:tc>
          <w:tcPr>
            <w:tcW w:w="212" w:type="pct"/>
            <w:vAlign w:val="center"/>
          </w:tcPr>
          <w:p w14:paraId="145871B7">
            <w:pPr>
              <w:pStyle w:val="445"/>
              <w:rPr>
                <w:rFonts w:cs="Times New Roman"/>
                <w:kern w:val="0"/>
                <w:szCs w:val="20"/>
              </w:rPr>
            </w:pPr>
            <w:r>
              <w:rPr>
                <w:rFonts w:hint="eastAsia" w:cs="Times New Roman"/>
                <w:kern w:val="0"/>
                <w:szCs w:val="20"/>
              </w:rPr>
              <w:t>/</w:t>
            </w:r>
          </w:p>
        </w:tc>
        <w:tc>
          <w:tcPr>
            <w:tcW w:w="144" w:type="pct"/>
            <w:vAlign w:val="center"/>
          </w:tcPr>
          <w:p w14:paraId="200F2B16">
            <w:pPr>
              <w:pStyle w:val="445"/>
              <w:rPr>
                <w:rFonts w:cs="Times New Roman"/>
                <w:kern w:val="0"/>
                <w:szCs w:val="20"/>
              </w:rPr>
            </w:pPr>
            <w:r>
              <w:rPr>
                <w:rFonts w:hint="eastAsia" w:cs="Times New Roman"/>
                <w:kern w:val="0"/>
                <w:szCs w:val="20"/>
              </w:rPr>
              <w:t>/</w:t>
            </w:r>
          </w:p>
        </w:tc>
      </w:tr>
      <w:tr w14:paraId="6123B1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44DA62F8">
            <w:pPr>
              <w:pStyle w:val="445"/>
              <w:rPr>
                <w:rFonts w:cs="Times New Roman"/>
                <w:kern w:val="0"/>
                <w:szCs w:val="20"/>
              </w:rPr>
            </w:pPr>
          </w:p>
        </w:tc>
        <w:tc>
          <w:tcPr>
            <w:tcW w:w="279" w:type="pct"/>
            <w:vMerge w:val="continue"/>
            <w:vAlign w:val="center"/>
          </w:tcPr>
          <w:p w14:paraId="0913AF52">
            <w:pPr>
              <w:pStyle w:val="445"/>
              <w:rPr>
                <w:rFonts w:cs="Times New Roman"/>
                <w:kern w:val="0"/>
                <w:szCs w:val="18"/>
              </w:rPr>
            </w:pPr>
          </w:p>
        </w:tc>
        <w:tc>
          <w:tcPr>
            <w:tcW w:w="179" w:type="pct"/>
            <w:vMerge w:val="continue"/>
            <w:vAlign w:val="center"/>
          </w:tcPr>
          <w:p w14:paraId="533998F5">
            <w:pPr>
              <w:pStyle w:val="445"/>
              <w:rPr>
                <w:rFonts w:cs="Times New Roman"/>
                <w:kern w:val="0"/>
                <w:szCs w:val="18"/>
              </w:rPr>
            </w:pPr>
          </w:p>
        </w:tc>
        <w:tc>
          <w:tcPr>
            <w:tcW w:w="732" w:type="pct"/>
            <w:vAlign w:val="center"/>
          </w:tcPr>
          <w:p w14:paraId="63ADC35F">
            <w:pPr>
              <w:pStyle w:val="445"/>
              <w:rPr>
                <w:rFonts w:cs="Times New Roman"/>
                <w:kern w:val="0"/>
                <w:szCs w:val="20"/>
              </w:rPr>
            </w:pPr>
            <w:r>
              <w:rPr>
                <w:rFonts w:hint="eastAsia" w:cs="Times New Roman"/>
                <w:kern w:val="0"/>
                <w:szCs w:val="20"/>
              </w:rPr>
              <w:t>颗粒物</w:t>
            </w:r>
          </w:p>
        </w:tc>
        <w:tc>
          <w:tcPr>
            <w:tcW w:w="351" w:type="pct"/>
            <w:vMerge w:val="continue"/>
            <w:vAlign w:val="center"/>
          </w:tcPr>
          <w:p w14:paraId="1C2D0195">
            <w:pPr>
              <w:pStyle w:val="445"/>
              <w:rPr>
                <w:rFonts w:cs="Times New Roman"/>
                <w:kern w:val="0"/>
                <w:szCs w:val="20"/>
              </w:rPr>
            </w:pPr>
          </w:p>
        </w:tc>
        <w:tc>
          <w:tcPr>
            <w:tcW w:w="353" w:type="pct"/>
            <w:vMerge w:val="continue"/>
            <w:vAlign w:val="center"/>
          </w:tcPr>
          <w:p w14:paraId="05A28474">
            <w:pPr>
              <w:pStyle w:val="445"/>
              <w:rPr>
                <w:rFonts w:cs="Times New Roman"/>
                <w:kern w:val="0"/>
                <w:szCs w:val="20"/>
              </w:rPr>
            </w:pPr>
          </w:p>
        </w:tc>
        <w:tc>
          <w:tcPr>
            <w:tcW w:w="150" w:type="pct"/>
            <w:vMerge w:val="continue"/>
            <w:vAlign w:val="center"/>
          </w:tcPr>
          <w:p w14:paraId="46C00904">
            <w:pPr>
              <w:pStyle w:val="445"/>
              <w:rPr>
                <w:rFonts w:cs="Times New Roman"/>
                <w:kern w:val="0"/>
                <w:szCs w:val="20"/>
              </w:rPr>
            </w:pPr>
          </w:p>
        </w:tc>
        <w:tc>
          <w:tcPr>
            <w:tcW w:w="210" w:type="pct"/>
            <w:vMerge w:val="continue"/>
            <w:vAlign w:val="center"/>
          </w:tcPr>
          <w:p w14:paraId="5026C51B">
            <w:pPr>
              <w:pStyle w:val="445"/>
              <w:rPr>
                <w:rFonts w:cs="Times New Roman"/>
                <w:kern w:val="0"/>
                <w:szCs w:val="20"/>
              </w:rPr>
            </w:pPr>
          </w:p>
        </w:tc>
        <w:tc>
          <w:tcPr>
            <w:tcW w:w="224" w:type="pct"/>
            <w:vMerge w:val="continue"/>
            <w:vAlign w:val="center"/>
          </w:tcPr>
          <w:p w14:paraId="7A6470CD">
            <w:pPr>
              <w:pStyle w:val="445"/>
              <w:rPr>
                <w:rFonts w:cs="Times New Roman"/>
                <w:kern w:val="0"/>
                <w:szCs w:val="20"/>
              </w:rPr>
            </w:pPr>
          </w:p>
        </w:tc>
        <w:tc>
          <w:tcPr>
            <w:tcW w:w="272" w:type="pct"/>
            <w:vMerge w:val="continue"/>
            <w:vAlign w:val="center"/>
          </w:tcPr>
          <w:p w14:paraId="7A485A10">
            <w:pPr>
              <w:pStyle w:val="445"/>
              <w:rPr>
                <w:rFonts w:cs="Times New Roman"/>
                <w:kern w:val="0"/>
                <w:szCs w:val="20"/>
              </w:rPr>
            </w:pPr>
          </w:p>
        </w:tc>
        <w:tc>
          <w:tcPr>
            <w:tcW w:w="753" w:type="pct"/>
            <w:vMerge w:val="continue"/>
            <w:vAlign w:val="center"/>
          </w:tcPr>
          <w:p w14:paraId="44B3FFBD">
            <w:pPr>
              <w:pStyle w:val="445"/>
              <w:rPr>
                <w:rFonts w:ascii="宋体" w:hAnsi="宋体" w:cs="Times New Roman"/>
                <w:kern w:val="0"/>
                <w:szCs w:val="20"/>
              </w:rPr>
            </w:pPr>
          </w:p>
        </w:tc>
        <w:tc>
          <w:tcPr>
            <w:tcW w:w="378" w:type="pct"/>
            <w:vAlign w:val="center"/>
          </w:tcPr>
          <w:p w14:paraId="4866CD1A">
            <w:pPr>
              <w:pStyle w:val="445"/>
              <w:rPr>
                <w:rFonts w:cs="Times New Roman"/>
                <w:kern w:val="0"/>
                <w:szCs w:val="20"/>
              </w:rPr>
            </w:pPr>
            <w:r>
              <w:rPr>
                <w:rFonts w:cs="Times New Roman"/>
                <w:kern w:val="0"/>
                <w:szCs w:val="20"/>
              </w:rPr>
              <w:t>10</w:t>
            </w:r>
          </w:p>
        </w:tc>
        <w:tc>
          <w:tcPr>
            <w:tcW w:w="219" w:type="pct"/>
            <w:vAlign w:val="center"/>
          </w:tcPr>
          <w:p w14:paraId="2AD73750">
            <w:pPr>
              <w:pStyle w:val="445"/>
              <w:rPr>
                <w:rFonts w:cs="Times New Roman"/>
                <w:kern w:val="0"/>
                <w:szCs w:val="20"/>
              </w:rPr>
            </w:pPr>
            <w:r>
              <w:rPr>
                <w:rFonts w:hint="eastAsia" w:cs="Times New Roman"/>
                <w:kern w:val="0"/>
                <w:szCs w:val="20"/>
              </w:rPr>
              <w:t>/</w:t>
            </w:r>
          </w:p>
        </w:tc>
        <w:tc>
          <w:tcPr>
            <w:tcW w:w="398" w:type="pct"/>
            <w:vAlign w:val="center"/>
          </w:tcPr>
          <w:p w14:paraId="1D71BBE0">
            <w:pPr>
              <w:pStyle w:val="445"/>
              <w:rPr>
                <w:rFonts w:cs="Times New Roman"/>
                <w:kern w:val="0"/>
                <w:szCs w:val="20"/>
              </w:rPr>
            </w:pPr>
            <w:r>
              <w:rPr>
                <w:rFonts w:eastAsia="等线" w:cs="Times New Roman"/>
                <w:color w:val="000000"/>
                <w:kern w:val="0"/>
                <w:szCs w:val="18"/>
              </w:rPr>
              <w:t>0.004</w:t>
            </w:r>
          </w:p>
        </w:tc>
        <w:tc>
          <w:tcPr>
            <w:tcW w:w="212" w:type="pct"/>
            <w:vAlign w:val="center"/>
          </w:tcPr>
          <w:p w14:paraId="2F41429D">
            <w:pPr>
              <w:pStyle w:val="445"/>
              <w:rPr>
                <w:rFonts w:cs="Times New Roman"/>
                <w:kern w:val="0"/>
                <w:szCs w:val="20"/>
              </w:rPr>
            </w:pPr>
            <w:r>
              <w:rPr>
                <w:rFonts w:hint="eastAsia" w:cs="Times New Roman"/>
                <w:kern w:val="0"/>
                <w:szCs w:val="20"/>
              </w:rPr>
              <w:t>/</w:t>
            </w:r>
          </w:p>
        </w:tc>
        <w:tc>
          <w:tcPr>
            <w:tcW w:w="144" w:type="pct"/>
            <w:vAlign w:val="center"/>
          </w:tcPr>
          <w:p w14:paraId="75A54A63">
            <w:pPr>
              <w:pStyle w:val="445"/>
              <w:rPr>
                <w:rFonts w:cs="Times New Roman"/>
                <w:kern w:val="0"/>
                <w:szCs w:val="20"/>
              </w:rPr>
            </w:pPr>
            <w:r>
              <w:rPr>
                <w:rFonts w:hint="eastAsia" w:cs="Times New Roman"/>
                <w:kern w:val="0"/>
                <w:szCs w:val="20"/>
              </w:rPr>
              <w:t>/</w:t>
            </w:r>
          </w:p>
        </w:tc>
      </w:tr>
      <w:tr w14:paraId="5961A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Merge w:val="continue"/>
            <w:vAlign w:val="center"/>
          </w:tcPr>
          <w:p w14:paraId="315D46F4">
            <w:pPr>
              <w:pStyle w:val="445"/>
              <w:rPr>
                <w:rFonts w:cs="Times New Roman"/>
                <w:kern w:val="0"/>
                <w:szCs w:val="20"/>
              </w:rPr>
            </w:pPr>
          </w:p>
        </w:tc>
        <w:tc>
          <w:tcPr>
            <w:tcW w:w="279" w:type="pct"/>
            <w:vMerge w:val="continue"/>
            <w:vAlign w:val="center"/>
          </w:tcPr>
          <w:p w14:paraId="6277D51B">
            <w:pPr>
              <w:pStyle w:val="445"/>
              <w:rPr>
                <w:rFonts w:cs="Times New Roman"/>
                <w:kern w:val="0"/>
                <w:szCs w:val="18"/>
              </w:rPr>
            </w:pPr>
          </w:p>
        </w:tc>
        <w:tc>
          <w:tcPr>
            <w:tcW w:w="179" w:type="pct"/>
            <w:vMerge w:val="continue"/>
            <w:vAlign w:val="center"/>
          </w:tcPr>
          <w:p w14:paraId="2A375E2D">
            <w:pPr>
              <w:pStyle w:val="445"/>
              <w:rPr>
                <w:rFonts w:cs="Times New Roman"/>
                <w:kern w:val="0"/>
                <w:szCs w:val="18"/>
              </w:rPr>
            </w:pPr>
          </w:p>
        </w:tc>
        <w:tc>
          <w:tcPr>
            <w:tcW w:w="732" w:type="pct"/>
            <w:vAlign w:val="center"/>
          </w:tcPr>
          <w:p w14:paraId="2924B75F">
            <w:pPr>
              <w:pStyle w:val="445"/>
              <w:rPr>
                <w:rFonts w:cs="Times New Roman"/>
                <w:kern w:val="0"/>
                <w:szCs w:val="20"/>
              </w:rPr>
            </w:pPr>
            <w:r>
              <w:rPr>
                <w:rFonts w:hint="eastAsia" w:cs="Times New Roman"/>
                <w:kern w:val="0"/>
                <w:szCs w:val="20"/>
              </w:rPr>
              <w:t>氟化物</w:t>
            </w:r>
          </w:p>
        </w:tc>
        <w:tc>
          <w:tcPr>
            <w:tcW w:w="351" w:type="pct"/>
            <w:vMerge w:val="continue"/>
            <w:vAlign w:val="center"/>
          </w:tcPr>
          <w:p w14:paraId="009B74E2">
            <w:pPr>
              <w:pStyle w:val="445"/>
              <w:rPr>
                <w:rFonts w:cs="Times New Roman"/>
                <w:kern w:val="0"/>
                <w:szCs w:val="20"/>
              </w:rPr>
            </w:pPr>
          </w:p>
        </w:tc>
        <w:tc>
          <w:tcPr>
            <w:tcW w:w="353" w:type="pct"/>
            <w:vMerge w:val="continue"/>
            <w:vAlign w:val="center"/>
          </w:tcPr>
          <w:p w14:paraId="66DFAC82">
            <w:pPr>
              <w:pStyle w:val="445"/>
              <w:rPr>
                <w:rFonts w:cs="Times New Roman"/>
                <w:kern w:val="0"/>
                <w:szCs w:val="20"/>
              </w:rPr>
            </w:pPr>
          </w:p>
        </w:tc>
        <w:tc>
          <w:tcPr>
            <w:tcW w:w="150" w:type="pct"/>
            <w:vMerge w:val="continue"/>
            <w:vAlign w:val="center"/>
          </w:tcPr>
          <w:p w14:paraId="2DE9F017">
            <w:pPr>
              <w:pStyle w:val="445"/>
              <w:rPr>
                <w:rFonts w:cs="Times New Roman"/>
                <w:kern w:val="0"/>
                <w:szCs w:val="20"/>
              </w:rPr>
            </w:pPr>
          </w:p>
        </w:tc>
        <w:tc>
          <w:tcPr>
            <w:tcW w:w="210" w:type="pct"/>
            <w:vMerge w:val="continue"/>
            <w:vAlign w:val="center"/>
          </w:tcPr>
          <w:p w14:paraId="02AC60C6">
            <w:pPr>
              <w:pStyle w:val="445"/>
              <w:rPr>
                <w:rFonts w:cs="Times New Roman"/>
                <w:kern w:val="0"/>
                <w:szCs w:val="20"/>
              </w:rPr>
            </w:pPr>
          </w:p>
        </w:tc>
        <w:tc>
          <w:tcPr>
            <w:tcW w:w="224" w:type="pct"/>
            <w:vMerge w:val="continue"/>
            <w:vAlign w:val="center"/>
          </w:tcPr>
          <w:p w14:paraId="2A094B2C">
            <w:pPr>
              <w:pStyle w:val="445"/>
              <w:rPr>
                <w:rFonts w:cs="Times New Roman"/>
                <w:kern w:val="0"/>
                <w:szCs w:val="20"/>
              </w:rPr>
            </w:pPr>
          </w:p>
        </w:tc>
        <w:tc>
          <w:tcPr>
            <w:tcW w:w="272" w:type="pct"/>
            <w:vMerge w:val="continue"/>
            <w:vAlign w:val="center"/>
          </w:tcPr>
          <w:p w14:paraId="41959627">
            <w:pPr>
              <w:pStyle w:val="445"/>
              <w:rPr>
                <w:rFonts w:cs="Times New Roman"/>
                <w:kern w:val="0"/>
                <w:szCs w:val="20"/>
              </w:rPr>
            </w:pPr>
          </w:p>
        </w:tc>
        <w:tc>
          <w:tcPr>
            <w:tcW w:w="753" w:type="pct"/>
            <w:vMerge w:val="continue"/>
            <w:vAlign w:val="center"/>
          </w:tcPr>
          <w:p w14:paraId="22AE255F">
            <w:pPr>
              <w:pStyle w:val="445"/>
              <w:rPr>
                <w:rFonts w:ascii="宋体" w:hAnsi="宋体" w:cs="Times New Roman"/>
                <w:kern w:val="0"/>
                <w:szCs w:val="20"/>
              </w:rPr>
            </w:pPr>
          </w:p>
        </w:tc>
        <w:tc>
          <w:tcPr>
            <w:tcW w:w="378" w:type="pct"/>
            <w:vAlign w:val="center"/>
          </w:tcPr>
          <w:p w14:paraId="0DDC60C4">
            <w:pPr>
              <w:pStyle w:val="445"/>
              <w:rPr>
                <w:rFonts w:cs="Times New Roman"/>
                <w:kern w:val="0"/>
                <w:szCs w:val="20"/>
              </w:rPr>
            </w:pPr>
            <w:r>
              <w:rPr>
                <w:rFonts w:cs="Times New Roman"/>
                <w:kern w:val="0"/>
                <w:szCs w:val="20"/>
              </w:rPr>
              <w:t>3</w:t>
            </w:r>
          </w:p>
        </w:tc>
        <w:tc>
          <w:tcPr>
            <w:tcW w:w="219" w:type="pct"/>
            <w:vAlign w:val="center"/>
          </w:tcPr>
          <w:p w14:paraId="5A78FBF8">
            <w:pPr>
              <w:pStyle w:val="445"/>
              <w:rPr>
                <w:rFonts w:cs="Times New Roman"/>
                <w:kern w:val="0"/>
                <w:szCs w:val="20"/>
              </w:rPr>
            </w:pPr>
            <w:r>
              <w:rPr>
                <w:rFonts w:hint="eastAsia" w:cs="Times New Roman"/>
                <w:kern w:val="0"/>
                <w:szCs w:val="20"/>
              </w:rPr>
              <w:t>/</w:t>
            </w:r>
          </w:p>
        </w:tc>
        <w:tc>
          <w:tcPr>
            <w:tcW w:w="398" w:type="pct"/>
            <w:vAlign w:val="center"/>
          </w:tcPr>
          <w:p w14:paraId="6E673ED8">
            <w:pPr>
              <w:pStyle w:val="445"/>
              <w:rPr>
                <w:rFonts w:cs="Times New Roman"/>
                <w:kern w:val="0"/>
                <w:szCs w:val="20"/>
              </w:rPr>
            </w:pPr>
            <w:r>
              <w:rPr>
                <w:rFonts w:hint="eastAsia" w:cs="Times New Roman"/>
                <w:kern w:val="0"/>
                <w:szCs w:val="20"/>
              </w:rPr>
              <w:t>/</w:t>
            </w:r>
          </w:p>
        </w:tc>
        <w:tc>
          <w:tcPr>
            <w:tcW w:w="212" w:type="pct"/>
            <w:vAlign w:val="center"/>
          </w:tcPr>
          <w:p w14:paraId="09E2D7F0">
            <w:pPr>
              <w:pStyle w:val="445"/>
              <w:rPr>
                <w:rFonts w:cs="Times New Roman"/>
                <w:kern w:val="0"/>
                <w:szCs w:val="20"/>
              </w:rPr>
            </w:pPr>
            <w:r>
              <w:rPr>
                <w:rFonts w:hint="eastAsia" w:cs="Times New Roman"/>
                <w:kern w:val="0"/>
                <w:szCs w:val="20"/>
              </w:rPr>
              <w:t>/</w:t>
            </w:r>
          </w:p>
        </w:tc>
        <w:tc>
          <w:tcPr>
            <w:tcW w:w="144" w:type="pct"/>
            <w:vAlign w:val="center"/>
          </w:tcPr>
          <w:p w14:paraId="5E82C237">
            <w:pPr>
              <w:pStyle w:val="445"/>
              <w:rPr>
                <w:rFonts w:cs="Times New Roman"/>
                <w:kern w:val="0"/>
                <w:szCs w:val="20"/>
              </w:rPr>
            </w:pPr>
            <w:r>
              <w:rPr>
                <w:rFonts w:hint="eastAsia" w:cs="Times New Roman"/>
                <w:kern w:val="0"/>
                <w:szCs w:val="20"/>
              </w:rPr>
              <w:t>/</w:t>
            </w:r>
          </w:p>
        </w:tc>
      </w:tr>
      <w:tr w14:paraId="2C941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46" w:type="pct"/>
            <w:vAlign w:val="center"/>
          </w:tcPr>
          <w:p w14:paraId="119F3A62">
            <w:pPr>
              <w:pStyle w:val="445"/>
              <w:rPr>
                <w:rFonts w:cs="Times New Roman"/>
                <w:kern w:val="0"/>
                <w:szCs w:val="20"/>
              </w:rPr>
            </w:pPr>
            <w:r>
              <w:rPr>
                <w:rFonts w:hint="eastAsia" w:cs="Times New Roman"/>
                <w:kern w:val="0"/>
                <w:szCs w:val="20"/>
              </w:rPr>
              <w:t>8</w:t>
            </w:r>
          </w:p>
        </w:tc>
        <w:tc>
          <w:tcPr>
            <w:tcW w:w="279" w:type="pct"/>
            <w:vAlign w:val="center"/>
          </w:tcPr>
          <w:p w14:paraId="248F7E98">
            <w:pPr>
              <w:pStyle w:val="445"/>
              <w:rPr>
                <w:rFonts w:cs="Times New Roman"/>
                <w:kern w:val="0"/>
                <w:szCs w:val="18"/>
              </w:rPr>
            </w:pPr>
            <w:r>
              <w:rPr>
                <w:rFonts w:hint="eastAsia" w:cs="Times New Roman"/>
                <w:kern w:val="0"/>
                <w:szCs w:val="18"/>
              </w:rPr>
              <w:t>D</w:t>
            </w:r>
            <w:r>
              <w:rPr>
                <w:rFonts w:cs="Times New Roman"/>
                <w:kern w:val="0"/>
                <w:szCs w:val="18"/>
              </w:rPr>
              <w:t>A025</w:t>
            </w:r>
          </w:p>
        </w:tc>
        <w:tc>
          <w:tcPr>
            <w:tcW w:w="179" w:type="pct"/>
            <w:vAlign w:val="center"/>
          </w:tcPr>
          <w:p w14:paraId="2FF86184">
            <w:pPr>
              <w:pStyle w:val="445"/>
              <w:rPr>
                <w:rFonts w:cs="Times New Roman"/>
                <w:kern w:val="0"/>
                <w:szCs w:val="18"/>
              </w:rPr>
            </w:pPr>
            <w:r>
              <w:rPr>
                <w:rFonts w:cs="Times New Roman"/>
                <w:kern w:val="0"/>
                <w:szCs w:val="18"/>
              </w:rPr>
              <w:t>25#排放口</w:t>
            </w:r>
          </w:p>
        </w:tc>
        <w:tc>
          <w:tcPr>
            <w:tcW w:w="732" w:type="pct"/>
            <w:vAlign w:val="center"/>
          </w:tcPr>
          <w:p w14:paraId="66C1C5B0">
            <w:pPr>
              <w:pStyle w:val="445"/>
              <w:rPr>
                <w:rFonts w:cs="Times New Roman"/>
                <w:kern w:val="0"/>
                <w:szCs w:val="20"/>
              </w:rPr>
            </w:pPr>
            <w:r>
              <w:rPr>
                <w:rFonts w:hint="eastAsia" w:cs="Times New Roman"/>
                <w:kern w:val="0"/>
                <w:szCs w:val="20"/>
              </w:rPr>
              <w:t>颗粒物</w:t>
            </w:r>
          </w:p>
        </w:tc>
        <w:tc>
          <w:tcPr>
            <w:tcW w:w="351" w:type="pct"/>
            <w:vAlign w:val="center"/>
          </w:tcPr>
          <w:p w14:paraId="32C9EEBE">
            <w:pPr>
              <w:pStyle w:val="445"/>
              <w:rPr>
                <w:rFonts w:cs="Times New Roman"/>
                <w:kern w:val="0"/>
                <w:szCs w:val="20"/>
              </w:rPr>
            </w:pPr>
            <w:r>
              <w:rPr>
                <w:rFonts w:cs="Times New Roman"/>
                <w:kern w:val="0"/>
                <w:szCs w:val="20"/>
              </w:rPr>
              <w:t>117.57702</w:t>
            </w:r>
          </w:p>
        </w:tc>
        <w:tc>
          <w:tcPr>
            <w:tcW w:w="353" w:type="pct"/>
            <w:vAlign w:val="center"/>
          </w:tcPr>
          <w:p w14:paraId="07D8C7E4">
            <w:pPr>
              <w:pStyle w:val="445"/>
              <w:rPr>
                <w:rFonts w:cs="Times New Roman"/>
                <w:kern w:val="0"/>
                <w:szCs w:val="20"/>
              </w:rPr>
            </w:pPr>
            <w:r>
              <w:rPr>
                <w:rFonts w:cs="Times New Roman"/>
                <w:kern w:val="0"/>
                <w:szCs w:val="20"/>
              </w:rPr>
              <w:t>32.99235</w:t>
            </w:r>
          </w:p>
        </w:tc>
        <w:tc>
          <w:tcPr>
            <w:tcW w:w="150" w:type="pct"/>
            <w:vAlign w:val="center"/>
          </w:tcPr>
          <w:p w14:paraId="227939A4">
            <w:pPr>
              <w:pStyle w:val="445"/>
              <w:rPr>
                <w:rFonts w:cs="Times New Roman"/>
                <w:kern w:val="0"/>
                <w:szCs w:val="20"/>
              </w:rPr>
            </w:pPr>
            <w:r>
              <w:rPr>
                <w:rFonts w:hint="eastAsia" w:cs="Times New Roman"/>
                <w:kern w:val="0"/>
                <w:szCs w:val="20"/>
              </w:rPr>
              <w:t>20</w:t>
            </w:r>
          </w:p>
        </w:tc>
        <w:tc>
          <w:tcPr>
            <w:tcW w:w="210" w:type="pct"/>
            <w:vAlign w:val="center"/>
          </w:tcPr>
          <w:p w14:paraId="1FA50AD1">
            <w:pPr>
              <w:pStyle w:val="445"/>
              <w:rPr>
                <w:rFonts w:cs="Times New Roman"/>
                <w:kern w:val="0"/>
                <w:szCs w:val="20"/>
              </w:rPr>
            </w:pPr>
            <w:r>
              <w:rPr>
                <w:rFonts w:hint="eastAsia" w:cs="Times New Roman"/>
                <w:kern w:val="0"/>
                <w:szCs w:val="20"/>
              </w:rPr>
              <w:t>0.4</w:t>
            </w:r>
          </w:p>
        </w:tc>
        <w:tc>
          <w:tcPr>
            <w:tcW w:w="224" w:type="pct"/>
            <w:vAlign w:val="center"/>
          </w:tcPr>
          <w:p w14:paraId="199CBD49">
            <w:pPr>
              <w:pStyle w:val="445"/>
              <w:rPr>
                <w:rFonts w:cs="Times New Roman"/>
                <w:kern w:val="0"/>
                <w:szCs w:val="20"/>
              </w:rPr>
            </w:pPr>
            <w:r>
              <w:rPr>
                <w:rFonts w:hint="eastAsia" w:cs="Times New Roman"/>
                <w:kern w:val="0"/>
                <w:szCs w:val="20"/>
              </w:rPr>
              <w:t>25</w:t>
            </w:r>
          </w:p>
        </w:tc>
        <w:tc>
          <w:tcPr>
            <w:tcW w:w="272" w:type="pct"/>
            <w:vAlign w:val="center"/>
          </w:tcPr>
          <w:p w14:paraId="2D164654">
            <w:pPr>
              <w:pStyle w:val="445"/>
              <w:rPr>
                <w:rFonts w:cs="Times New Roman"/>
                <w:kern w:val="0"/>
                <w:szCs w:val="20"/>
              </w:rPr>
            </w:pPr>
            <w:r>
              <w:rPr>
                <w:rFonts w:hint="eastAsia" w:cs="Times New Roman"/>
                <w:kern w:val="0"/>
                <w:szCs w:val="20"/>
              </w:rPr>
              <w:t>2000</w:t>
            </w:r>
          </w:p>
        </w:tc>
        <w:tc>
          <w:tcPr>
            <w:tcW w:w="753" w:type="pct"/>
            <w:vAlign w:val="center"/>
          </w:tcPr>
          <w:p w14:paraId="4A94CFD1">
            <w:pPr>
              <w:pStyle w:val="445"/>
              <w:rPr>
                <w:rFonts w:ascii="宋体" w:hAnsi="宋体" w:cs="Times New Roman"/>
                <w:kern w:val="0"/>
                <w:szCs w:val="20"/>
              </w:rPr>
            </w:pP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378" w:type="pct"/>
            <w:vAlign w:val="center"/>
          </w:tcPr>
          <w:p w14:paraId="49F573D2">
            <w:pPr>
              <w:pStyle w:val="445"/>
              <w:rPr>
                <w:rFonts w:cs="Times New Roman"/>
                <w:kern w:val="0"/>
                <w:szCs w:val="20"/>
              </w:rPr>
            </w:pPr>
            <w:r>
              <w:rPr>
                <w:rFonts w:hint="eastAsia" w:cs="Times New Roman"/>
                <w:kern w:val="0"/>
                <w:szCs w:val="20"/>
              </w:rPr>
              <w:t>10</w:t>
            </w:r>
          </w:p>
        </w:tc>
        <w:tc>
          <w:tcPr>
            <w:tcW w:w="219" w:type="pct"/>
            <w:vAlign w:val="center"/>
          </w:tcPr>
          <w:p w14:paraId="68691288">
            <w:pPr>
              <w:pStyle w:val="445"/>
              <w:rPr>
                <w:rFonts w:cs="Times New Roman"/>
                <w:kern w:val="0"/>
                <w:szCs w:val="20"/>
              </w:rPr>
            </w:pPr>
            <w:r>
              <w:rPr>
                <w:rFonts w:hint="eastAsia" w:cs="Times New Roman"/>
                <w:kern w:val="0"/>
                <w:szCs w:val="20"/>
              </w:rPr>
              <w:t>/</w:t>
            </w:r>
          </w:p>
        </w:tc>
        <w:tc>
          <w:tcPr>
            <w:tcW w:w="398" w:type="pct"/>
            <w:vAlign w:val="center"/>
          </w:tcPr>
          <w:p w14:paraId="21F8E40B">
            <w:pPr>
              <w:pStyle w:val="445"/>
              <w:rPr>
                <w:rFonts w:cs="Times New Roman"/>
                <w:kern w:val="0"/>
                <w:szCs w:val="20"/>
              </w:rPr>
            </w:pPr>
            <w:r>
              <w:rPr>
                <w:rFonts w:eastAsia="等线" w:cs="Times New Roman"/>
                <w:color w:val="000000"/>
                <w:kern w:val="0"/>
                <w:szCs w:val="18"/>
              </w:rPr>
              <w:t>0.003</w:t>
            </w:r>
          </w:p>
        </w:tc>
        <w:tc>
          <w:tcPr>
            <w:tcW w:w="212" w:type="pct"/>
            <w:vAlign w:val="center"/>
          </w:tcPr>
          <w:p w14:paraId="64513E67">
            <w:pPr>
              <w:pStyle w:val="445"/>
              <w:rPr>
                <w:rFonts w:cs="Times New Roman"/>
                <w:kern w:val="0"/>
                <w:szCs w:val="20"/>
              </w:rPr>
            </w:pPr>
            <w:r>
              <w:rPr>
                <w:rFonts w:hint="eastAsia" w:cs="Times New Roman"/>
                <w:kern w:val="0"/>
                <w:szCs w:val="20"/>
              </w:rPr>
              <w:t>/</w:t>
            </w:r>
          </w:p>
        </w:tc>
        <w:tc>
          <w:tcPr>
            <w:tcW w:w="144" w:type="pct"/>
            <w:vAlign w:val="center"/>
          </w:tcPr>
          <w:p w14:paraId="1BD3EF67">
            <w:pPr>
              <w:pStyle w:val="445"/>
              <w:rPr>
                <w:rFonts w:cs="Times New Roman"/>
                <w:kern w:val="0"/>
                <w:szCs w:val="20"/>
              </w:rPr>
            </w:pPr>
            <w:r>
              <w:rPr>
                <w:rFonts w:hint="eastAsia" w:cs="Times New Roman"/>
                <w:kern w:val="0"/>
                <w:szCs w:val="20"/>
              </w:rPr>
              <w:t>/</w:t>
            </w:r>
          </w:p>
        </w:tc>
      </w:tr>
    </w:tbl>
    <w:p w14:paraId="425E0A60">
      <w:pPr>
        <w:pStyle w:val="278"/>
      </w:pPr>
    </w:p>
    <w:p w14:paraId="1E4C3602">
      <w:pPr>
        <w:pStyle w:val="278"/>
      </w:pPr>
      <w:r>
        <w:rPr>
          <w:rFonts w:hint="eastAsia"/>
        </w:rPr>
        <w:t>表8.2.</w:t>
      </w:r>
      <w:r>
        <w:t xml:space="preserve">2-2  </w:t>
      </w:r>
      <w:r>
        <w:rPr>
          <w:rFonts w:hint="eastAsia"/>
        </w:rPr>
        <w:t>项目大气</w:t>
      </w:r>
      <w:r>
        <w:t>污染物</w:t>
      </w:r>
      <w:r>
        <w:rPr>
          <w:rFonts w:hint="eastAsia"/>
        </w:rPr>
        <w:t>无</w:t>
      </w:r>
      <w:r>
        <w:t>组织排放情况表</w:t>
      </w:r>
    </w:p>
    <w:tbl>
      <w:tblPr>
        <w:tblStyle w:val="6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417"/>
        <w:gridCol w:w="1700"/>
        <w:gridCol w:w="1558"/>
        <w:gridCol w:w="1558"/>
        <w:gridCol w:w="2692"/>
        <w:gridCol w:w="1983"/>
        <w:gridCol w:w="991"/>
        <w:gridCol w:w="918"/>
      </w:tblGrid>
      <w:tr w14:paraId="6A2A9B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133" w:type="dxa"/>
            <w:vMerge w:val="restart"/>
            <w:vAlign w:val="center"/>
          </w:tcPr>
          <w:p w14:paraId="565FB21E">
            <w:pPr>
              <w:pStyle w:val="445"/>
              <w:rPr>
                <w:rFonts w:cs="Times New Roman"/>
                <w:kern w:val="0"/>
                <w:szCs w:val="20"/>
              </w:rPr>
            </w:pPr>
            <w:r>
              <w:rPr>
                <w:rFonts w:hint="eastAsia" w:cs="Times New Roman"/>
                <w:kern w:val="0"/>
                <w:szCs w:val="20"/>
              </w:rPr>
              <w:t>序号</w:t>
            </w:r>
          </w:p>
        </w:tc>
        <w:tc>
          <w:tcPr>
            <w:tcW w:w="1417" w:type="dxa"/>
            <w:vMerge w:val="restart"/>
            <w:vAlign w:val="center"/>
          </w:tcPr>
          <w:p w14:paraId="3040FC12">
            <w:pPr>
              <w:pStyle w:val="445"/>
              <w:rPr>
                <w:rFonts w:cs="Times New Roman"/>
                <w:kern w:val="0"/>
                <w:szCs w:val="20"/>
              </w:rPr>
            </w:pPr>
            <w:r>
              <w:rPr>
                <w:rFonts w:hint="eastAsia" w:cs="Times New Roman"/>
                <w:kern w:val="0"/>
                <w:szCs w:val="20"/>
              </w:rPr>
              <w:t>生产</w:t>
            </w:r>
            <w:r>
              <w:rPr>
                <w:rFonts w:cs="Times New Roman"/>
                <w:kern w:val="0"/>
                <w:szCs w:val="20"/>
              </w:rPr>
              <w:t>设施编号</w:t>
            </w:r>
          </w:p>
        </w:tc>
        <w:tc>
          <w:tcPr>
            <w:tcW w:w="1700" w:type="dxa"/>
            <w:vMerge w:val="restart"/>
            <w:vAlign w:val="center"/>
          </w:tcPr>
          <w:p w14:paraId="481309D8">
            <w:pPr>
              <w:pStyle w:val="445"/>
              <w:rPr>
                <w:rFonts w:cs="Times New Roman"/>
                <w:kern w:val="0"/>
                <w:szCs w:val="20"/>
              </w:rPr>
            </w:pPr>
            <w:r>
              <w:rPr>
                <w:rFonts w:hint="eastAsia" w:cs="Times New Roman"/>
                <w:kern w:val="0"/>
                <w:szCs w:val="20"/>
              </w:rPr>
              <w:t>产污环节</w:t>
            </w:r>
          </w:p>
        </w:tc>
        <w:tc>
          <w:tcPr>
            <w:tcW w:w="1558" w:type="dxa"/>
            <w:vMerge w:val="restart"/>
            <w:vAlign w:val="center"/>
          </w:tcPr>
          <w:p w14:paraId="1D6D6C00">
            <w:pPr>
              <w:pStyle w:val="445"/>
              <w:rPr>
                <w:rFonts w:cs="Times New Roman"/>
                <w:kern w:val="0"/>
                <w:szCs w:val="20"/>
              </w:rPr>
            </w:pPr>
            <w:r>
              <w:rPr>
                <w:rFonts w:hint="eastAsia" w:cs="Times New Roman"/>
                <w:kern w:val="0"/>
                <w:szCs w:val="20"/>
              </w:rPr>
              <w:t>污染物</w:t>
            </w:r>
            <w:r>
              <w:rPr>
                <w:rFonts w:cs="Times New Roman"/>
                <w:kern w:val="0"/>
                <w:szCs w:val="20"/>
              </w:rPr>
              <w:t>种类</w:t>
            </w:r>
          </w:p>
        </w:tc>
        <w:tc>
          <w:tcPr>
            <w:tcW w:w="1558" w:type="dxa"/>
            <w:vMerge w:val="restart"/>
            <w:vAlign w:val="center"/>
          </w:tcPr>
          <w:p w14:paraId="09D50F40">
            <w:pPr>
              <w:pStyle w:val="445"/>
              <w:rPr>
                <w:rFonts w:cs="Times New Roman"/>
                <w:kern w:val="0"/>
                <w:szCs w:val="20"/>
              </w:rPr>
            </w:pPr>
            <w:r>
              <w:rPr>
                <w:rFonts w:hint="eastAsia" w:cs="Times New Roman"/>
                <w:kern w:val="0"/>
                <w:szCs w:val="20"/>
              </w:rPr>
              <w:t>主要</w:t>
            </w:r>
            <w:r>
              <w:rPr>
                <w:rFonts w:cs="Times New Roman"/>
                <w:kern w:val="0"/>
                <w:szCs w:val="20"/>
              </w:rPr>
              <w:t>污染防治措施</w:t>
            </w:r>
          </w:p>
        </w:tc>
        <w:tc>
          <w:tcPr>
            <w:tcW w:w="4675" w:type="dxa"/>
            <w:gridSpan w:val="2"/>
            <w:vAlign w:val="center"/>
          </w:tcPr>
          <w:p w14:paraId="4DB6B628">
            <w:pPr>
              <w:pStyle w:val="445"/>
              <w:rPr>
                <w:rFonts w:cs="Times New Roman"/>
                <w:kern w:val="0"/>
                <w:szCs w:val="20"/>
              </w:rPr>
            </w:pPr>
            <w:r>
              <w:rPr>
                <w:rFonts w:hint="eastAsia" w:cs="Times New Roman"/>
                <w:kern w:val="0"/>
                <w:szCs w:val="20"/>
              </w:rPr>
              <w:t>国家</w:t>
            </w:r>
            <w:r>
              <w:rPr>
                <w:rFonts w:cs="Times New Roman"/>
                <w:kern w:val="0"/>
                <w:szCs w:val="20"/>
              </w:rPr>
              <w:t>或地方污染物排放标准</w:t>
            </w:r>
          </w:p>
        </w:tc>
        <w:tc>
          <w:tcPr>
            <w:tcW w:w="991" w:type="dxa"/>
            <w:vMerge w:val="restart"/>
            <w:vAlign w:val="center"/>
          </w:tcPr>
          <w:p w14:paraId="7577074D">
            <w:pPr>
              <w:pStyle w:val="445"/>
              <w:rPr>
                <w:rFonts w:cs="Times New Roman"/>
                <w:kern w:val="0"/>
                <w:szCs w:val="20"/>
              </w:rPr>
            </w:pPr>
            <w:r>
              <w:rPr>
                <w:rFonts w:hint="eastAsia" w:cs="Times New Roman"/>
                <w:kern w:val="0"/>
                <w:szCs w:val="20"/>
              </w:rPr>
              <w:t>其他信息</w:t>
            </w:r>
          </w:p>
        </w:tc>
        <w:tc>
          <w:tcPr>
            <w:tcW w:w="918" w:type="dxa"/>
            <w:vMerge w:val="restart"/>
            <w:vAlign w:val="center"/>
          </w:tcPr>
          <w:p w14:paraId="72600EF4">
            <w:pPr>
              <w:pStyle w:val="445"/>
              <w:rPr>
                <w:rFonts w:cs="Times New Roman"/>
                <w:kern w:val="0"/>
                <w:szCs w:val="20"/>
              </w:rPr>
            </w:pPr>
            <w:r>
              <w:rPr>
                <w:rFonts w:hint="eastAsia" w:cs="Times New Roman"/>
                <w:kern w:val="0"/>
                <w:szCs w:val="20"/>
              </w:rPr>
              <w:t>备注</w:t>
            </w:r>
          </w:p>
        </w:tc>
      </w:tr>
      <w:tr w14:paraId="6D0C7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133" w:type="dxa"/>
            <w:vMerge w:val="continue"/>
            <w:vAlign w:val="center"/>
          </w:tcPr>
          <w:p w14:paraId="7FA6115A">
            <w:pPr>
              <w:pStyle w:val="445"/>
              <w:rPr>
                <w:rFonts w:cs="Times New Roman"/>
                <w:kern w:val="0"/>
                <w:szCs w:val="20"/>
              </w:rPr>
            </w:pPr>
          </w:p>
        </w:tc>
        <w:tc>
          <w:tcPr>
            <w:tcW w:w="1417" w:type="dxa"/>
            <w:vMerge w:val="continue"/>
            <w:vAlign w:val="center"/>
          </w:tcPr>
          <w:p w14:paraId="20F4AC86">
            <w:pPr>
              <w:pStyle w:val="445"/>
              <w:rPr>
                <w:rFonts w:cs="Times New Roman"/>
                <w:kern w:val="0"/>
                <w:szCs w:val="20"/>
              </w:rPr>
            </w:pPr>
          </w:p>
        </w:tc>
        <w:tc>
          <w:tcPr>
            <w:tcW w:w="1700" w:type="dxa"/>
            <w:vMerge w:val="continue"/>
            <w:vAlign w:val="center"/>
          </w:tcPr>
          <w:p w14:paraId="658B49D9">
            <w:pPr>
              <w:pStyle w:val="445"/>
              <w:rPr>
                <w:rFonts w:cs="Times New Roman"/>
                <w:kern w:val="0"/>
                <w:szCs w:val="20"/>
              </w:rPr>
            </w:pPr>
          </w:p>
        </w:tc>
        <w:tc>
          <w:tcPr>
            <w:tcW w:w="1558" w:type="dxa"/>
            <w:vMerge w:val="continue"/>
            <w:vAlign w:val="center"/>
          </w:tcPr>
          <w:p w14:paraId="2B9CFA60">
            <w:pPr>
              <w:pStyle w:val="445"/>
              <w:rPr>
                <w:rFonts w:cs="Times New Roman"/>
                <w:kern w:val="0"/>
                <w:szCs w:val="20"/>
              </w:rPr>
            </w:pPr>
          </w:p>
        </w:tc>
        <w:tc>
          <w:tcPr>
            <w:tcW w:w="1558" w:type="dxa"/>
            <w:vMerge w:val="continue"/>
            <w:vAlign w:val="center"/>
          </w:tcPr>
          <w:p w14:paraId="403E07F9">
            <w:pPr>
              <w:pStyle w:val="445"/>
              <w:rPr>
                <w:rFonts w:cs="Times New Roman"/>
                <w:kern w:val="0"/>
                <w:szCs w:val="20"/>
              </w:rPr>
            </w:pPr>
          </w:p>
        </w:tc>
        <w:tc>
          <w:tcPr>
            <w:tcW w:w="2692" w:type="dxa"/>
            <w:vAlign w:val="center"/>
          </w:tcPr>
          <w:p w14:paraId="26C49FCB">
            <w:pPr>
              <w:pStyle w:val="445"/>
              <w:rPr>
                <w:rFonts w:cs="Times New Roman"/>
                <w:kern w:val="0"/>
                <w:szCs w:val="20"/>
              </w:rPr>
            </w:pPr>
            <w:r>
              <w:rPr>
                <w:rFonts w:hint="eastAsia" w:cs="Times New Roman"/>
                <w:kern w:val="0"/>
                <w:szCs w:val="20"/>
              </w:rPr>
              <w:t>标准</w:t>
            </w:r>
            <w:r>
              <w:rPr>
                <w:rFonts w:cs="Times New Roman"/>
                <w:kern w:val="0"/>
                <w:szCs w:val="20"/>
              </w:rPr>
              <w:t>名称</w:t>
            </w:r>
          </w:p>
        </w:tc>
        <w:tc>
          <w:tcPr>
            <w:tcW w:w="1983" w:type="dxa"/>
            <w:vAlign w:val="center"/>
          </w:tcPr>
          <w:p w14:paraId="6032FB65">
            <w:pPr>
              <w:pStyle w:val="445"/>
              <w:rPr>
                <w:rFonts w:cs="Times New Roman"/>
                <w:kern w:val="0"/>
                <w:szCs w:val="20"/>
              </w:rPr>
            </w:pPr>
            <w:r>
              <w:rPr>
                <w:rFonts w:hint="eastAsia" w:cs="Times New Roman"/>
                <w:kern w:val="0"/>
                <w:szCs w:val="20"/>
              </w:rPr>
              <w:t>浓度限值</w:t>
            </w:r>
            <w:r>
              <w:rPr>
                <w:rFonts w:cs="Times New Roman"/>
                <w:kern w:val="0"/>
                <w:szCs w:val="20"/>
              </w:rPr>
              <w:t>mg/N</w:t>
            </w:r>
            <w:r>
              <w:rPr>
                <w:rFonts w:hint="eastAsia" w:cs="Times New Roman"/>
                <w:kern w:val="0"/>
                <w:szCs w:val="20"/>
              </w:rPr>
              <w:t>m</w:t>
            </w:r>
            <w:r>
              <w:rPr>
                <w:rFonts w:cs="Times New Roman"/>
                <w:kern w:val="0"/>
                <w:szCs w:val="20"/>
                <w:vertAlign w:val="superscript"/>
              </w:rPr>
              <w:t>3</w:t>
            </w:r>
          </w:p>
        </w:tc>
        <w:tc>
          <w:tcPr>
            <w:tcW w:w="991" w:type="dxa"/>
            <w:vMerge w:val="continue"/>
            <w:vAlign w:val="center"/>
          </w:tcPr>
          <w:p w14:paraId="1EE34AED">
            <w:pPr>
              <w:pStyle w:val="445"/>
              <w:rPr>
                <w:rFonts w:cs="Times New Roman"/>
                <w:kern w:val="0"/>
                <w:szCs w:val="20"/>
              </w:rPr>
            </w:pPr>
          </w:p>
        </w:tc>
        <w:tc>
          <w:tcPr>
            <w:tcW w:w="918" w:type="dxa"/>
            <w:vMerge w:val="continue"/>
            <w:vAlign w:val="center"/>
          </w:tcPr>
          <w:p w14:paraId="10BE3BE5">
            <w:pPr>
              <w:pStyle w:val="445"/>
              <w:rPr>
                <w:rFonts w:cs="Times New Roman"/>
                <w:kern w:val="0"/>
                <w:szCs w:val="20"/>
              </w:rPr>
            </w:pPr>
          </w:p>
        </w:tc>
      </w:tr>
      <w:tr w14:paraId="3C3CFF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133" w:type="dxa"/>
            <w:vAlign w:val="center"/>
          </w:tcPr>
          <w:p w14:paraId="119E9A38">
            <w:pPr>
              <w:pStyle w:val="445"/>
              <w:rPr>
                <w:rFonts w:cs="Times New Roman"/>
                <w:kern w:val="0"/>
                <w:szCs w:val="20"/>
              </w:rPr>
            </w:pPr>
            <w:r>
              <w:rPr>
                <w:rFonts w:hint="eastAsia" w:cs="Times New Roman"/>
                <w:kern w:val="0"/>
                <w:szCs w:val="20"/>
              </w:rPr>
              <w:t>1</w:t>
            </w:r>
          </w:p>
        </w:tc>
        <w:tc>
          <w:tcPr>
            <w:tcW w:w="1417" w:type="dxa"/>
            <w:vAlign w:val="center"/>
          </w:tcPr>
          <w:p w14:paraId="0C8F106B">
            <w:pPr>
              <w:pStyle w:val="445"/>
              <w:rPr>
                <w:rFonts w:cs="Times New Roman"/>
                <w:kern w:val="0"/>
                <w:szCs w:val="20"/>
              </w:rPr>
            </w:pPr>
            <w:r>
              <w:rPr>
                <w:rFonts w:hint="eastAsia" w:cs="Times New Roman"/>
                <w:kern w:val="0"/>
                <w:szCs w:val="20"/>
              </w:rPr>
              <w:t>MF0001-2</w:t>
            </w:r>
          </w:p>
        </w:tc>
        <w:tc>
          <w:tcPr>
            <w:tcW w:w="1700" w:type="dxa"/>
            <w:vAlign w:val="center"/>
          </w:tcPr>
          <w:p w14:paraId="67758394">
            <w:pPr>
              <w:pStyle w:val="445"/>
              <w:rPr>
                <w:rFonts w:cs="Times New Roman"/>
                <w:kern w:val="0"/>
                <w:szCs w:val="20"/>
              </w:rPr>
            </w:pPr>
            <w:r>
              <w:rPr>
                <w:rFonts w:hint="eastAsia" w:cs="Times New Roman"/>
                <w:kern w:val="0"/>
                <w:szCs w:val="20"/>
              </w:rPr>
              <w:t>制粉</w:t>
            </w:r>
          </w:p>
        </w:tc>
        <w:tc>
          <w:tcPr>
            <w:tcW w:w="1558" w:type="dxa"/>
            <w:vAlign w:val="center"/>
          </w:tcPr>
          <w:p w14:paraId="2245B323">
            <w:pPr>
              <w:pStyle w:val="445"/>
              <w:rPr>
                <w:rFonts w:cs="Times New Roman"/>
                <w:kern w:val="0"/>
                <w:szCs w:val="20"/>
              </w:rPr>
            </w:pPr>
            <w:r>
              <w:rPr>
                <w:rFonts w:hint="eastAsia" w:cs="Times New Roman"/>
                <w:kern w:val="0"/>
                <w:szCs w:val="20"/>
              </w:rPr>
              <w:t>颗粒物</w:t>
            </w:r>
          </w:p>
        </w:tc>
        <w:tc>
          <w:tcPr>
            <w:tcW w:w="1558" w:type="dxa"/>
            <w:vMerge w:val="restart"/>
            <w:vAlign w:val="center"/>
          </w:tcPr>
          <w:p w14:paraId="66F60E8B">
            <w:pPr>
              <w:pStyle w:val="445"/>
              <w:rPr>
                <w:rFonts w:cs="Times New Roman"/>
                <w:kern w:val="0"/>
                <w:szCs w:val="20"/>
              </w:rPr>
            </w:pPr>
            <w:r>
              <w:rPr>
                <w:rFonts w:hint="eastAsia" w:cs="Times New Roman"/>
                <w:kern w:val="0"/>
                <w:szCs w:val="20"/>
              </w:rPr>
              <w:t>加强车间管理、定期检查</w:t>
            </w:r>
          </w:p>
        </w:tc>
        <w:tc>
          <w:tcPr>
            <w:tcW w:w="2692" w:type="dxa"/>
            <w:vAlign w:val="center"/>
          </w:tcPr>
          <w:p w14:paraId="0898D99E">
            <w:pPr>
              <w:pStyle w:val="445"/>
              <w:rPr>
                <w:rFonts w:cs="Times New Roman"/>
                <w:kern w:val="0"/>
                <w:szCs w:val="20"/>
              </w:rPr>
            </w:pPr>
            <w:r>
              <w:rPr>
                <w:rFonts w:cs="Times New Roman"/>
                <w:kern w:val="0"/>
                <w:szCs w:val="20"/>
              </w:rPr>
              <w:t>《大气污染物综合排放标准》（GB16297-1996）</w:t>
            </w:r>
          </w:p>
        </w:tc>
        <w:tc>
          <w:tcPr>
            <w:tcW w:w="1983" w:type="dxa"/>
            <w:vAlign w:val="center"/>
          </w:tcPr>
          <w:p w14:paraId="6AE1442F">
            <w:pPr>
              <w:pStyle w:val="445"/>
              <w:rPr>
                <w:rFonts w:cs="Times New Roman"/>
                <w:kern w:val="0"/>
                <w:szCs w:val="20"/>
              </w:rPr>
            </w:pPr>
            <w:r>
              <w:rPr>
                <w:rFonts w:hint="eastAsia" w:cs="Times New Roman"/>
                <w:kern w:val="0"/>
                <w:szCs w:val="20"/>
              </w:rPr>
              <w:t>1</w:t>
            </w:r>
          </w:p>
        </w:tc>
        <w:tc>
          <w:tcPr>
            <w:tcW w:w="991" w:type="dxa"/>
            <w:vAlign w:val="center"/>
          </w:tcPr>
          <w:p w14:paraId="5F01AB58">
            <w:pPr>
              <w:pStyle w:val="445"/>
              <w:rPr>
                <w:rFonts w:cs="Times New Roman"/>
                <w:kern w:val="0"/>
                <w:szCs w:val="20"/>
              </w:rPr>
            </w:pPr>
            <w:r>
              <w:rPr>
                <w:rFonts w:hint="eastAsia" w:cs="Times New Roman"/>
                <w:kern w:val="0"/>
                <w:szCs w:val="20"/>
              </w:rPr>
              <w:t>/</w:t>
            </w:r>
          </w:p>
        </w:tc>
        <w:tc>
          <w:tcPr>
            <w:tcW w:w="918" w:type="dxa"/>
            <w:vAlign w:val="center"/>
          </w:tcPr>
          <w:p w14:paraId="5E173AF0">
            <w:pPr>
              <w:pStyle w:val="445"/>
              <w:rPr>
                <w:rFonts w:cs="Times New Roman"/>
                <w:kern w:val="0"/>
                <w:szCs w:val="20"/>
              </w:rPr>
            </w:pPr>
            <w:r>
              <w:rPr>
                <w:rFonts w:hint="eastAsia" w:cs="Times New Roman"/>
                <w:kern w:val="0"/>
                <w:szCs w:val="20"/>
              </w:rPr>
              <w:t>/</w:t>
            </w:r>
          </w:p>
        </w:tc>
      </w:tr>
      <w:tr w14:paraId="01AF8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33" w:type="dxa"/>
            <w:vAlign w:val="center"/>
          </w:tcPr>
          <w:p w14:paraId="0B2583F2">
            <w:pPr>
              <w:pStyle w:val="445"/>
              <w:rPr>
                <w:rFonts w:cs="Times New Roman"/>
                <w:kern w:val="0"/>
                <w:szCs w:val="20"/>
              </w:rPr>
            </w:pPr>
            <w:r>
              <w:rPr>
                <w:rFonts w:hint="eastAsia" w:cs="Times New Roman"/>
                <w:kern w:val="0"/>
                <w:szCs w:val="20"/>
              </w:rPr>
              <w:t>2</w:t>
            </w:r>
          </w:p>
        </w:tc>
        <w:tc>
          <w:tcPr>
            <w:tcW w:w="1417" w:type="dxa"/>
            <w:vAlign w:val="center"/>
          </w:tcPr>
          <w:p w14:paraId="394390B7">
            <w:pPr>
              <w:pStyle w:val="445"/>
              <w:rPr>
                <w:rFonts w:cs="Times New Roman"/>
                <w:kern w:val="0"/>
                <w:szCs w:val="20"/>
              </w:rPr>
            </w:pPr>
            <w:r>
              <w:rPr>
                <w:rFonts w:hint="eastAsia" w:cs="Times New Roman"/>
                <w:kern w:val="0"/>
                <w:szCs w:val="20"/>
              </w:rPr>
              <w:t>MF</w:t>
            </w:r>
            <w:r>
              <w:rPr>
                <w:rFonts w:cs="Times New Roman"/>
                <w:kern w:val="0"/>
                <w:szCs w:val="20"/>
              </w:rPr>
              <w:t>0005</w:t>
            </w:r>
            <w:r>
              <w:rPr>
                <w:rFonts w:hint="eastAsia" w:cs="Times New Roman"/>
                <w:kern w:val="0"/>
                <w:szCs w:val="20"/>
              </w:rPr>
              <w:t>、</w:t>
            </w:r>
            <w:r>
              <w:rPr>
                <w:rFonts w:cs="Times New Roman"/>
                <w:kern w:val="0"/>
                <w:szCs w:val="20"/>
              </w:rPr>
              <w:t>MF0017</w:t>
            </w:r>
            <w:r>
              <w:rPr>
                <w:rFonts w:hint="eastAsia" w:cs="Times New Roman"/>
                <w:kern w:val="0"/>
                <w:szCs w:val="20"/>
              </w:rPr>
              <w:t>、MF0018</w:t>
            </w:r>
            <w:r>
              <w:rPr>
                <w:rFonts w:cs="Times New Roman"/>
                <w:kern w:val="0"/>
                <w:szCs w:val="20"/>
              </w:rPr>
              <w:t>-22</w:t>
            </w:r>
          </w:p>
        </w:tc>
        <w:tc>
          <w:tcPr>
            <w:tcW w:w="1700" w:type="dxa"/>
            <w:vAlign w:val="center"/>
          </w:tcPr>
          <w:p w14:paraId="70137FFD">
            <w:pPr>
              <w:pStyle w:val="445"/>
              <w:rPr>
                <w:rFonts w:cs="Times New Roman"/>
                <w:kern w:val="0"/>
                <w:szCs w:val="20"/>
              </w:rPr>
            </w:pPr>
            <w:r>
              <w:rPr>
                <w:rFonts w:hint="eastAsia" w:cs="Times New Roman"/>
                <w:kern w:val="0"/>
                <w:szCs w:val="20"/>
              </w:rPr>
              <w:t>反应</w:t>
            </w:r>
          </w:p>
        </w:tc>
        <w:tc>
          <w:tcPr>
            <w:tcW w:w="1558" w:type="dxa"/>
            <w:vAlign w:val="center"/>
          </w:tcPr>
          <w:p w14:paraId="37220000">
            <w:pPr>
              <w:pStyle w:val="445"/>
              <w:rPr>
                <w:rFonts w:cs="Times New Roman"/>
                <w:kern w:val="0"/>
                <w:szCs w:val="20"/>
              </w:rPr>
            </w:pPr>
            <w:r>
              <w:rPr>
                <w:rFonts w:hint="eastAsia" w:cs="Times New Roman"/>
                <w:kern w:val="0"/>
                <w:szCs w:val="20"/>
              </w:rPr>
              <w:t>TVOC</w:t>
            </w:r>
          </w:p>
        </w:tc>
        <w:tc>
          <w:tcPr>
            <w:tcW w:w="1558" w:type="dxa"/>
            <w:vMerge w:val="continue"/>
            <w:vAlign w:val="center"/>
          </w:tcPr>
          <w:p w14:paraId="2E66D9D7">
            <w:pPr>
              <w:pStyle w:val="445"/>
              <w:rPr>
                <w:rFonts w:cs="Times New Roman"/>
                <w:kern w:val="0"/>
                <w:szCs w:val="20"/>
              </w:rPr>
            </w:pPr>
          </w:p>
        </w:tc>
        <w:tc>
          <w:tcPr>
            <w:tcW w:w="2692" w:type="dxa"/>
            <w:vAlign w:val="center"/>
          </w:tcPr>
          <w:p w14:paraId="3ABFDEC7">
            <w:pPr>
              <w:pStyle w:val="445"/>
              <w:rPr>
                <w:rFonts w:cs="Times New Roman"/>
                <w:kern w:val="0"/>
                <w:szCs w:val="20"/>
              </w:rPr>
            </w:pPr>
            <w:r>
              <w:rPr>
                <w:rFonts w:hint="eastAsia" w:cs="Times New Roman"/>
                <w:kern w:val="0"/>
                <w:szCs w:val="20"/>
              </w:rPr>
              <w:t>《挥发性有机物无组织排放控制标准》（GB37822-2019）</w:t>
            </w:r>
          </w:p>
        </w:tc>
        <w:tc>
          <w:tcPr>
            <w:tcW w:w="1983" w:type="dxa"/>
            <w:vAlign w:val="center"/>
          </w:tcPr>
          <w:p w14:paraId="6DD251AE">
            <w:pPr>
              <w:pStyle w:val="445"/>
              <w:rPr>
                <w:rFonts w:cs="Times New Roman"/>
                <w:kern w:val="0"/>
                <w:szCs w:val="20"/>
              </w:rPr>
            </w:pPr>
            <w:r>
              <w:rPr>
                <w:rFonts w:cs="Times New Roman"/>
                <w:kern w:val="0"/>
                <w:szCs w:val="20"/>
              </w:rPr>
              <w:t>6</w:t>
            </w:r>
          </w:p>
        </w:tc>
        <w:tc>
          <w:tcPr>
            <w:tcW w:w="991" w:type="dxa"/>
            <w:vAlign w:val="center"/>
          </w:tcPr>
          <w:p w14:paraId="389474CD">
            <w:pPr>
              <w:pStyle w:val="445"/>
              <w:rPr>
                <w:rFonts w:cs="Times New Roman"/>
                <w:kern w:val="0"/>
                <w:szCs w:val="20"/>
              </w:rPr>
            </w:pPr>
            <w:r>
              <w:rPr>
                <w:rFonts w:hint="eastAsia" w:cs="Times New Roman"/>
                <w:kern w:val="0"/>
                <w:szCs w:val="20"/>
              </w:rPr>
              <w:t>/</w:t>
            </w:r>
          </w:p>
        </w:tc>
        <w:tc>
          <w:tcPr>
            <w:tcW w:w="918" w:type="dxa"/>
            <w:vAlign w:val="center"/>
          </w:tcPr>
          <w:p w14:paraId="3251A83A">
            <w:pPr>
              <w:pStyle w:val="445"/>
              <w:rPr>
                <w:rFonts w:cs="Times New Roman"/>
                <w:kern w:val="0"/>
                <w:szCs w:val="20"/>
              </w:rPr>
            </w:pPr>
            <w:r>
              <w:rPr>
                <w:rFonts w:hint="eastAsia" w:cs="Times New Roman"/>
                <w:kern w:val="0"/>
                <w:szCs w:val="20"/>
              </w:rPr>
              <w:t>/</w:t>
            </w:r>
          </w:p>
        </w:tc>
      </w:tr>
      <w:tr w14:paraId="43C6D8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33" w:type="dxa"/>
            <w:vAlign w:val="center"/>
          </w:tcPr>
          <w:p w14:paraId="6A77FAAB">
            <w:pPr>
              <w:pStyle w:val="445"/>
              <w:rPr>
                <w:rFonts w:cs="Times New Roman"/>
                <w:kern w:val="0"/>
                <w:szCs w:val="20"/>
              </w:rPr>
            </w:pPr>
            <w:r>
              <w:rPr>
                <w:rFonts w:hint="eastAsia" w:cs="Times New Roman"/>
                <w:kern w:val="0"/>
                <w:szCs w:val="20"/>
              </w:rPr>
              <w:t>3</w:t>
            </w:r>
          </w:p>
        </w:tc>
        <w:tc>
          <w:tcPr>
            <w:tcW w:w="1417" w:type="dxa"/>
            <w:vAlign w:val="center"/>
          </w:tcPr>
          <w:p w14:paraId="17D8673D">
            <w:pPr>
              <w:pStyle w:val="445"/>
              <w:rPr>
                <w:rFonts w:cs="Times New Roman"/>
                <w:kern w:val="0"/>
                <w:szCs w:val="20"/>
              </w:rPr>
            </w:pPr>
            <w:r>
              <w:rPr>
                <w:rFonts w:hint="eastAsia" w:cs="Times New Roman"/>
                <w:kern w:val="0"/>
                <w:szCs w:val="20"/>
              </w:rPr>
              <w:t>MF0008</w:t>
            </w:r>
            <w:r>
              <w:rPr>
                <w:rFonts w:cs="Times New Roman"/>
                <w:kern w:val="0"/>
                <w:szCs w:val="20"/>
              </w:rPr>
              <w:t>-16</w:t>
            </w:r>
          </w:p>
        </w:tc>
        <w:tc>
          <w:tcPr>
            <w:tcW w:w="1700" w:type="dxa"/>
            <w:vAlign w:val="center"/>
          </w:tcPr>
          <w:p w14:paraId="63FD3EF6">
            <w:pPr>
              <w:pStyle w:val="445"/>
              <w:rPr>
                <w:rFonts w:cs="Times New Roman"/>
                <w:kern w:val="0"/>
                <w:szCs w:val="20"/>
              </w:rPr>
            </w:pPr>
            <w:r>
              <w:rPr>
                <w:rFonts w:hint="eastAsia" w:cs="Times New Roman"/>
                <w:kern w:val="0"/>
                <w:szCs w:val="20"/>
              </w:rPr>
              <w:t>反应</w:t>
            </w:r>
          </w:p>
        </w:tc>
        <w:tc>
          <w:tcPr>
            <w:tcW w:w="1558" w:type="dxa"/>
            <w:vAlign w:val="center"/>
          </w:tcPr>
          <w:p w14:paraId="05655F3A">
            <w:pPr>
              <w:pStyle w:val="445"/>
              <w:rPr>
                <w:rFonts w:cs="Times New Roman"/>
                <w:kern w:val="0"/>
                <w:szCs w:val="20"/>
              </w:rPr>
            </w:pPr>
            <w:r>
              <w:rPr>
                <w:rFonts w:hint="eastAsia" w:cs="Times New Roman"/>
                <w:kern w:val="0"/>
                <w:szCs w:val="20"/>
              </w:rPr>
              <w:t>TVOC</w:t>
            </w:r>
          </w:p>
        </w:tc>
        <w:tc>
          <w:tcPr>
            <w:tcW w:w="1558" w:type="dxa"/>
            <w:vMerge w:val="continue"/>
            <w:vAlign w:val="center"/>
          </w:tcPr>
          <w:p w14:paraId="1D02F137">
            <w:pPr>
              <w:pStyle w:val="445"/>
              <w:rPr>
                <w:rFonts w:cs="Times New Roman"/>
                <w:kern w:val="0"/>
                <w:szCs w:val="20"/>
              </w:rPr>
            </w:pPr>
          </w:p>
        </w:tc>
        <w:tc>
          <w:tcPr>
            <w:tcW w:w="2692" w:type="dxa"/>
            <w:vAlign w:val="center"/>
          </w:tcPr>
          <w:p w14:paraId="14EC86DA">
            <w:pPr>
              <w:pStyle w:val="445"/>
              <w:rPr>
                <w:rFonts w:cs="Times New Roman"/>
                <w:kern w:val="0"/>
                <w:szCs w:val="20"/>
              </w:rPr>
            </w:pPr>
            <w:r>
              <w:rPr>
                <w:rFonts w:hint="eastAsia" w:cs="Times New Roman"/>
                <w:kern w:val="0"/>
                <w:szCs w:val="20"/>
              </w:rPr>
              <w:t>《挥发性有机物无组织排放控制标准》（GB37822-2019）</w:t>
            </w:r>
          </w:p>
        </w:tc>
        <w:tc>
          <w:tcPr>
            <w:tcW w:w="1983" w:type="dxa"/>
            <w:vAlign w:val="center"/>
          </w:tcPr>
          <w:p w14:paraId="50FE11B1">
            <w:pPr>
              <w:pStyle w:val="445"/>
              <w:rPr>
                <w:rFonts w:cs="Times New Roman"/>
                <w:kern w:val="0"/>
                <w:szCs w:val="20"/>
              </w:rPr>
            </w:pPr>
            <w:r>
              <w:rPr>
                <w:rFonts w:cs="Times New Roman"/>
                <w:kern w:val="0"/>
                <w:szCs w:val="20"/>
              </w:rPr>
              <w:t>6</w:t>
            </w:r>
          </w:p>
        </w:tc>
        <w:tc>
          <w:tcPr>
            <w:tcW w:w="991" w:type="dxa"/>
            <w:vAlign w:val="center"/>
          </w:tcPr>
          <w:p w14:paraId="3DF98B7E">
            <w:pPr>
              <w:pStyle w:val="445"/>
              <w:rPr>
                <w:rFonts w:cs="Times New Roman"/>
                <w:kern w:val="0"/>
                <w:szCs w:val="20"/>
              </w:rPr>
            </w:pPr>
            <w:r>
              <w:rPr>
                <w:rFonts w:hint="eastAsia" w:cs="Times New Roman"/>
                <w:kern w:val="0"/>
                <w:szCs w:val="20"/>
              </w:rPr>
              <w:t>/</w:t>
            </w:r>
          </w:p>
        </w:tc>
        <w:tc>
          <w:tcPr>
            <w:tcW w:w="918" w:type="dxa"/>
            <w:vAlign w:val="center"/>
          </w:tcPr>
          <w:p w14:paraId="29693299">
            <w:pPr>
              <w:pStyle w:val="445"/>
              <w:rPr>
                <w:rFonts w:cs="Times New Roman"/>
                <w:kern w:val="0"/>
                <w:szCs w:val="20"/>
              </w:rPr>
            </w:pPr>
            <w:r>
              <w:rPr>
                <w:rFonts w:hint="eastAsia" w:cs="Times New Roman"/>
                <w:kern w:val="0"/>
                <w:szCs w:val="20"/>
              </w:rPr>
              <w:t>/</w:t>
            </w:r>
          </w:p>
        </w:tc>
      </w:tr>
      <w:tr w14:paraId="4332F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33" w:type="dxa"/>
            <w:vAlign w:val="center"/>
          </w:tcPr>
          <w:p w14:paraId="3E6E38D8">
            <w:pPr>
              <w:pStyle w:val="445"/>
              <w:rPr>
                <w:rFonts w:cs="Times New Roman"/>
                <w:kern w:val="0"/>
                <w:szCs w:val="20"/>
              </w:rPr>
            </w:pPr>
            <w:r>
              <w:rPr>
                <w:rFonts w:hint="eastAsia" w:cs="Times New Roman"/>
                <w:kern w:val="0"/>
                <w:szCs w:val="20"/>
              </w:rPr>
              <w:t>4</w:t>
            </w:r>
          </w:p>
        </w:tc>
        <w:tc>
          <w:tcPr>
            <w:tcW w:w="1417" w:type="dxa"/>
            <w:vAlign w:val="center"/>
          </w:tcPr>
          <w:p w14:paraId="258782F9">
            <w:pPr>
              <w:pStyle w:val="445"/>
              <w:rPr>
                <w:rFonts w:cs="Times New Roman"/>
                <w:kern w:val="0"/>
                <w:szCs w:val="20"/>
              </w:rPr>
            </w:pPr>
            <w:r>
              <w:rPr>
                <w:rFonts w:hint="eastAsia" w:cs="Times New Roman"/>
                <w:kern w:val="0"/>
                <w:szCs w:val="20"/>
              </w:rPr>
              <w:t>MF0026</w:t>
            </w:r>
            <w:r>
              <w:rPr>
                <w:rFonts w:cs="Times New Roman"/>
                <w:kern w:val="0"/>
                <w:szCs w:val="20"/>
              </w:rPr>
              <w:t>-30</w:t>
            </w:r>
          </w:p>
        </w:tc>
        <w:tc>
          <w:tcPr>
            <w:tcW w:w="1700" w:type="dxa"/>
            <w:vAlign w:val="center"/>
          </w:tcPr>
          <w:p w14:paraId="5AB84F64">
            <w:pPr>
              <w:pStyle w:val="445"/>
              <w:rPr>
                <w:rFonts w:cs="Times New Roman"/>
                <w:kern w:val="0"/>
                <w:szCs w:val="20"/>
              </w:rPr>
            </w:pPr>
            <w:r>
              <w:rPr>
                <w:rFonts w:hint="eastAsia" w:cs="Times New Roman"/>
                <w:kern w:val="0"/>
                <w:szCs w:val="20"/>
              </w:rPr>
              <w:t>破碎</w:t>
            </w:r>
          </w:p>
        </w:tc>
        <w:tc>
          <w:tcPr>
            <w:tcW w:w="1558" w:type="dxa"/>
            <w:vAlign w:val="center"/>
          </w:tcPr>
          <w:p w14:paraId="6BCA8D5C">
            <w:pPr>
              <w:pStyle w:val="445"/>
              <w:rPr>
                <w:rFonts w:cs="Times New Roman"/>
                <w:kern w:val="0"/>
                <w:szCs w:val="20"/>
              </w:rPr>
            </w:pPr>
            <w:r>
              <w:rPr>
                <w:rFonts w:hint="eastAsia" w:cs="Times New Roman"/>
                <w:kern w:val="0"/>
                <w:szCs w:val="20"/>
              </w:rPr>
              <w:t>颗粒物</w:t>
            </w:r>
          </w:p>
        </w:tc>
        <w:tc>
          <w:tcPr>
            <w:tcW w:w="1558" w:type="dxa"/>
            <w:vMerge w:val="continue"/>
            <w:vAlign w:val="center"/>
          </w:tcPr>
          <w:p w14:paraId="549E010D">
            <w:pPr>
              <w:pStyle w:val="445"/>
              <w:rPr>
                <w:rFonts w:cs="Times New Roman"/>
                <w:kern w:val="0"/>
                <w:szCs w:val="20"/>
              </w:rPr>
            </w:pPr>
          </w:p>
        </w:tc>
        <w:tc>
          <w:tcPr>
            <w:tcW w:w="2692" w:type="dxa"/>
            <w:vAlign w:val="center"/>
          </w:tcPr>
          <w:p w14:paraId="4C9B28A9">
            <w:pPr>
              <w:pStyle w:val="445"/>
              <w:rPr>
                <w:rFonts w:ascii="宋体" w:hAnsi="宋体" w:cs="Times New Roman"/>
                <w:kern w:val="0"/>
                <w:szCs w:val="20"/>
              </w:rPr>
            </w:pPr>
            <w:r>
              <w:rPr>
                <w:rFonts w:cs="Times New Roman"/>
                <w:kern w:val="0"/>
                <w:szCs w:val="20"/>
              </w:rPr>
              <w:t>《大气污染物综合排放标准》（GB16297-1996）</w:t>
            </w:r>
          </w:p>
        </w:tc>
        <w:tc>
          <w:tcPr>
            <w:tcW w:w="1983" w:type="dxa"/>
            <w:vAlign w:val="center"/>
          </w:tcPr>
          <w:p w14:paraId="7773CC88">
            <w:pPr>
              <w:pStyle w:val="445"/>
              <w:rPr>
                <w:rFonts w:cs="Times New Roman"/>
                <w:kern w:val="0"/>
                <w:szCs w:val="20"/>
              </w:rPr>
            </w:pPr>
            <w:r>
              <w:rPr>
                <w:rFonts w:hint="eastAsia" w:cs="Times New Roman"/>
                <w:kern w:val="0"/>
                <w:szCs w:val="20"/>
              </w:rPr>
              <w:t>1</w:t>
            </w:r>
          </w:p>
        </w:tc>
        <w:tc>
          <w:tcPr>
            <w:tcW w:w="991" w:type="dxa"/>
            <w:vAlign w:val="center"/>
          </w:tcPr>
          <w:p w14:paraId="307A8840">
            <w:pPr>
              <w:pStyle w:val="445"/>
              <w:rPr>
                <w:rFonts w:cs="Times New Roman"/>
                <w:kern w:val="0"/>
                <w:szCs w:val="20"/>
              </w:rPr>
            </w:pPr>
            <w:r>
              <w:rPr>
                <w:rFonts w:hint="eastAsia" w:cs="Times New Roman"/>
                <w:kern w:val="0"/>
                <w:szCs w:val="20"/>
              </w:rPr>
              <w:t>/</w:t>
            </w:r>
          </w:p>
        </w:tc>
        <w:tc>
          <w:tcPr>
            <w:tcW w:w="918" w:type="dxa"/>
            <w:vAlign w:val="center"/>
          </w:tcPr>
          <w:p w14:paraId="67C9C90D">
            <w:pPr>
              <w:pStyle w:val="445"/>
              <w:rPr>
                <w:rFonts w:cs="Times New Roman"/>
                <w:kern w:val="0"/>
                <w:szCs w:val="20"/>
              </w:rPr>
            </w:pPr>
            <w:r>
              <w:rPr>
                <w:rFonts w:hint="eastAsia" w:cs="Times New Roman"/>
                <w:kern w:val="0"/>
                <w:szCs w:val="20"/>
              </w:rPr>
              <w:t>/</w:t>
            </w:r>
          </w:p>
        </w:tc>
      </w:tr>
      <w:tr w14:paraId="57F8F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33" w:type="dxa"/>
            <w:vAlign w:val="center"/>
          </w:tcPr>
          <w:p w14:paraId="14E27655">
            <w:pPr>
              <w:pStyle w:val="445"/>
              <w:rPr>
                <w:rFonts w:cs="Times New Roman"/>
                <w:kern w:val="0"/>
                <w:szCs w:val="20"/>
              </w:rPr>
            </w:pPr>
            <w:r>
              <w:rPr>
                <w:rFonts w:hint="eastAsia" w:cs="Times New Roman"/>
                <w:kern w:val="0"/>
                <w:szCs w:val="20"/>
              </w:rPr>
              <w:t>5</w:t>
            </w:r>
          </w:p>
        </w:tc>
        <w:tc>
          <w:tcPr>
            <w:tcW w:w="1417" w:type="dxa"/>
            <w:vAlign w:val="center"/>
          </w:tcPr>
          <w:p w14:paraId="4EE265A8">
            <w:pPr>
              <w:pStyle w:val="445"/>
              <w:rPr>
                <w:rFonts w:cs="Times New Roman"/>
                <w:kern w:val="0"/>
                <w:szCs w:val="20"/>
              </w:rPr>
            </w:pPr>
            <w:r>
              <w:rPr>
                <w:rFonts w:hint="eastAsia" w:cs="Times New Roman"/>
                <w:kern w:val="0"/>
                <w:szCs w:val="20"/>
              </w:rPr>
              <w:t>MF0047</w:t>
            </w:r>
            <w:r>
              <w:rPr>
                <w:rFonts w:cs="Times New Roman"/>
                <w:kern w:val="0"/>
                <w:szCs w:val="20"/>
              </w:rPr>
              <w:t>-49</w:t>
            </w:r>
          </w:p>
        </w:tc>
        <w:tc>
          <w:tcPr>
            <w:tcW w:w="1700" w:type="dxa"/>
            <w:vAlign w:val="center"/>
          </w:tcPr>
          <w:p w14:paraId="5E62C282">
            <w:pPr>
              <w:pStyle w:val="445"/>
              <w:rPr>
                <w:rFonts w:cs="Times New Roman"/>
                <w:kern w:val="0"/>
                <w:szCs w:val="20"/>
              </w:rPr>
            </w:pPr>
            <w:r>
              <w:rPr>
                <w:rFonts w:hint="eastAsia" w:cs="Times New Roman"/>
                <w:kern w:val="0"/>
                <w:szCs w:val="20"/>
              </w:rPr>
              <w:t>破碎</w:t>
            </w:r>
          </w:p>
        </w:tc>
        <w:tc>
          <w:tcPr>
            <w:tcW w:w="1558" w:type="dxa"/>
            <w:vAlign w:val="center"/>
          </w:tcPr>
          <w:p w14:paraId="0DCCE553">
            <w:pPr>
              <w:pStyle w:val="445"/>
              <w:rPr>
                <w:rFonts w:cs="Times New Roman"/>
                <w:kern w:val="0"/>
                <w:szCs w:val="20"/>
              </w:rPr>
            </w:pPr>
            <w:r>
              <w:rPr>
                <w:rFonts w:hint="eastAsia" w:cs="Times New Roman"/>
                <w:kern w:val="0"/>
                <w:szCs w:val="20"/>
              </w:rPr>
              <w:t>颗粒物</w:t>
            </w:r>
          </w:p>
        </w:tc>
        <w:tc>
          <w:tcPr>
            <w:tcW w:w="1558" w:type="dxa"/>
            <w:vMerge w:val="continue"/>
            <w:vAlign w:val="center"/>
          </w:tcPr>
          <w:p w14:paraId="08864A71">
            <w:pPr>
              <w:pStyle w:val="445"/>
              <w:rPr>
                <w:rFonts w:cs="Times New Roman"/>
                <w:kern w:val="0"/>
                <w:szCs w:val="20"/>
              </w:rPr>
            </w:pPr>
          </w:p>
        </w:tc>
        <w:tc>
          <w:tcPr>
            <w:tcW w:w="2692" w:type="dxa"/>
            <w:vAlign w:val="center"/>
          </w:tcPr>
          <w:p w14:paraId="22E287C0">
            <w:pPr>
              <w:pStyle w:val="445"/>
              <w:rPr>
                <w:rFonts w:ascii="宋体" w:hAnsi="宋体" w:cs="Times New Roman"/>
                <w:kern w:val="0"/>
                <w:szCs w:val="20"/>
              </w:rPr>
            </w:pPr>
            <w:r>
              <w:rPr>
                <w:rFonts w:cs="Times New Roman"/>
                <w:kern w:val="0"/>
                <w:szCs w:val="20"/>
              </w:rPr>
              <w:t>《大气污染物综合排放标准》（GB16297-1996）</w:t>
            </w:r>
          </w:p>
        </w:tc>
        <w:tc>
          <w:tcPr>
            <w:tcW w:w="1983" w:type="dxa"/>
            <w:vAlign w:val="center"/>
          </w:tcPr>
          <w:p w14:paraId="677E9B27">
            <w:pPr>
              <w:pStyle w:val="445"/>
              <w:rPr>
                <w:rFonts w:cs="Times New Roman"/>
                <w:kern w:val="0"/>
                <w:szCs w:val="20"/>
              </w:rPr>
            </w:pPr>
            <w:r>
              <w:rPr>
                <w:rFonts w:hint="eastAsia" w:cs="Times New Roman"/>
                <w:kern w:val="0"/>
                <w:szCs w:val="20"/>
              </w:rPr>
              <w:t>1</w:t>
            </w:r>
          </w:p>
        </w:tc>
        <w:tc>
          <w:tcPr>
            <w:tcW w:w="991" w:type="dxa"/>
            <w:vAlign w:val="center"/>
          </w:tcPr>
          <w:p w14:paraId="7F130F2A">
            <w:pPr>
              <w:pStyle w:val="445"/>
              <w:rPr>
                <w:rFonts w:cs="Times New Roman"/>
                <w:kern w:val="0"/>
                <w:szCs w:val="20"/>
              </w:rPr>
            </w:pPr>
            <w:r>
              <w:rPr>
                <w:rFonts w:hint="eastAsia" w:cs="Times New Roman"/>
                <w:kern w:val="0"/>
                <w:szCs w:val="20"/>
              </w:rPr>
              <w:t>/</w:t>
            </w:r>
          </w:p>
        </w:tc>
        <w:tc>
          <w:tcPr>
            <w:tcW w:w="918" w:type="dxa"/>
            <w:vAlign w:val="center"/>
          </w:tcPr>
          <w:p w14:paraId="1939C2F5">
            <w:pPr>
              <w:pStyle w:val="445"/>
              <w:rPr>
                <w:rFonts w:cs="Times New Roman"/>
                <w:kern w:val="0"/>
                <w:szCs w:val="20"/>
              </w:rPr>
            </w:pPr>
            <w:r>
              <w:rPr>
                <w:rFonts w:hint="eastAsia" w:cs="Times New Roman"/>
                <w:kern w:val="0"/>
                <w:szCs w:val="20"/>
              </w:rPr>
              <w:t>/</w:t>
            </w:r>
          </w:p>
        </w:tc>
      </w:tr>
      <w:tr w14:paraId="2F3C24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3" w:type="dxa"/>
            <w:vMerge w:val="restart"/>
            <w:vAlign w:val="center"/>
          </w:tcPr>
          <w:p w14:paraId="0655E6D6">
            <w:pPr>
              <w:pStyle w:val="445"/>
              <w:rPr>
                <w:rFonts w:cs="Times New Roman"/>
                <w:kern w:val="0"/>
                <w:szCs w:val="20"/>
              </w:rPr>
            </w:pPr>
            <w:r>
              <w:rPr>
                <w:rFonts w:cs="Times New Roman"/>
                <w:kern w:val="0"/>
                <w:szCs w:val="20"/>
              </w:rPr>
              <w:t>6</w:t>
            </w:r>
          </w:p>
        </w:tc>
        <w:tc>
          <w:tcPr>
            <w:tcW w:w="1417" w:type="dxa"/>
            <w:vMerge w:val="restart"/>
            <w:vAlign w:val="center"/>
          </w:tcPr>
          <w:p w14:paraId="288559F7">
            <w:pPr>
              <w:pStyle w:val="445"/>
              <w:rPr>
                <w:rFonts w:cs="Times New Roman"/>
                <w:kern w:val="0"/>
                <w:szCs w:val="20"/>
              </w:rPr>
            </w:pPr>
            <w:r>
              <w:rPr>
                <w:rFonts w:cs="Times New Roman"/>
                <w:kern w:val="0"/>
                <w:szCs w:val="20"/>
              </w:rPr>
              <w:t>/</w:t>
            </w:r>
          </w:p>
        </w:tc>
        <w:tc>
          <w:tcPr>
            <w:tcW w:w="1700" w:type="dxa"/>
            <w:vMerge w:val="restart"/>
            <w:vAlign w:val="center"/>
          </w:tcPr>
          <w:p w14:paraId="1ED91161">
            <w:pPr>
              <w:pStyle w:val="445"/>
              <w:rPr>
                <w:rFonts w:cs="Times New Roman"/>
                <w:kern w:val="0"/>
                <w:szCs w:val="20"/>
              </w:rPr>
            </w:pPr>
            <w:r>
              <w:rPr>
                <w:rFonts w:hint="eastAsia" w:cs="Times New Roman"/>
                <w:kern w:val="0"/>
                <w:szCs w:val="20"/>
              </w:rPr>
              <w:t>厂界</w:t>
            </w:r>
          </w:p>
        </w:tc>
        <w:tc>
          <w:tcPr>
            <w:tcW w:w="1558" w:type="dxa"/>
            <w:vAlign w:val="center"/>
          </w:tcPr>
          <w:p w14:paraId="087C7602">
            <w:pPr>
              <w:pStyle w:val="445"/>
              <w:rPr>
                <w:rFonts w:cs="Times New Roman"/>
                <w:color w:val="000000" w:themeColor="text1"/>
                <w:kern w:val="0"/>
                <w:szCs w:val="20"/>
                <w:lang w:bidi="ar"/>
                <w14:textFill>
                  <w14:solidFill>
                    <w14:schemeClr w14:val="tx1"/>
                  </w14:solidFill>
                </w14:textFill>
              </w:rPr>
            </w:pPr>
            <w:r>
              <w:rPr>
                <w:rFonts w:hint="eastAsia" w:cs="Times New Roman"/>
                <w:color w:val="000000" w:themeColor="text1"/>
                <w:kern w:val="0"/>
                <w:szCs w:val="20"/>
                <w:lang w:bidi="ar"/>
                <w14:textFill>
                  <w14:solidFill>
                    <w14:schemeClr w14:val="tx1"/>
                  </w14:solidFill>
                </w14:textFill>
              </w:rPr>
              <w:t>VOCs</w:t>
            </w:r>
          </w:p>
        </w:tc>
        <w:tc>
          <w:tcPr>
            <w:tcW w:w="1558" w:type="dxa"/>
            <w:vMerge w:val="continue"/>
            <w:vAlign w:val="center"/>
          </w:tcPr>
          <w:p w14:paraId="29C7CDF2">
            <w:pPr>
              <w:pStyle w:val="445"/>
              <w:rPr>
                <w:rFonts w:cs="Times New Roman"/>
                <w:kern w:val="0"/>
                <w:szCs w:val="20"/>
              </w:rPr>
            </w:pPr>
          </w:p>
        </w:tc>
        <w:tc>
          <w:tcPr>
            <w:tcW w:w="2692" w:type="dxa"/>
            <w:vMerge w:val="restart"/>
            <w:vAlign w:val="center"/>
          </w:tcPr>
          <w:p w14:paraId="71347EA0">
            <w:pPr>
              <w:pStyle w:val="445"/>
              <w:rPr>
                <w:rFonts w:cs="Times New Roman"/>
                <w:kern w:val="0"/>
                <w:szCs w:val="20"/>
              </w:rPr>
            </w:pPr>
            <w:r>
              <w:rPr>
                <w:rFonts w:cs="Times New Roman"/>
                <w:kern w:val="0"/>
                <w:szCs w:val="20"/>
              </w:rPr>
              <w:t>《大气污染物综合排放标准》（GB16297-1996）</w:t>
            </w:r>
            <w:r>
              <w:rPr>
                <w:rFonts w:hint="eastAsia" w:cs="Times New Roman"/>
                <w:kern w:val="0"/>
                <w:szCs w:val="20"/>
              </w:rPr>
              <w:t>、</w:t>
            </w:r>
            <w:r>
              <w:rPr>
                <w:rFonts w:hint="eastAsia" w:ascii="宋体" w:hAnsi="宋体" w:cs="Times New Roman"/>
                <w:kern w:val="0"/>
                <w:szCs w:val="20"/>
              </w:rPr>
              <w:t>《无机化学</w:t>
            </w:r>
            <w:r>
              <w:rPr>
                <w:rFonts w:ascii="宋体" w:hAnsi="宋体" w:cs="Times New Roman"/>
                <w:kern w:val="0"/>
                <w:szCs w:val="20"/>
              </w:rPr>
              <w:t>工业</w:t>
            </w:r>
            <w:r>
              <w:rPr>
                <w:rFonts w:hint="eastAsia" w:ascii="宋体" w:hAnsi="宋体" w:cs="Times New Roman"/>
                <w:kern w:val="0"/>
                <w:szCs w:val="20"/>
              </w:rPr>
              <w:t>污染物</w:t>
            </w:r>
            <w:r>
              <w:rPr>
                <w:rFonts w:ascii="宋体" w:hAnsi="宋体" w:cs="Times New Roman"/>
                <w:kern w:val="0"/>
                <w:szCs w:val="20"/>
              </w:rPr>
              <w:t>排放</w:t>
            </w:r>
            <w:r>
              <w:rPr>
                <w:rFonts w:hint="eastAsia" w:ascii="宋体" w:hAnsi="宋体" w:cs="Times New Roman"/>
                <w:kern w:val="0"/>
                <w:szCs w:val="20"/>
              </w:rPr>
              <w:t>标准》（</w:t>
            </w:r>
            <w:r>
              <w:rPr>
                <w:rFonts w:hint="eastAsia" w:cs="Times New Roman"/>
                <w:kern w:val="0"/>
                <w:szCs w:val="20"/>
              </w:rPr>
              <w:t>G</w:t>
            </w:r>
            <w:r>
              <w:rPr>
                <w:rFonts w:cs="Times New Roman"/>
                <w:kern w:val="0"/>
                <w:szCs w:val="20"/>
              </w:rPr>
              <w:t>B31573-2015</w:t>
            </w:r>
            <w:r>
              <w:rPr>
                <w:rFonts w:hint="eastAsia" w:ascii="宋体" w:hAnsi="宋体" w:cs="Times New Roman"/>
                <w:kern w:val="0"/>
                <w:szCs w:val="20"/>
              </w:rPr>
              <w:t>）</w:t>
            </w:r>
          </w:p>
        </w:tc>
        <w:tc>
          <w:tcPr>
            <w:tcW w:w="1983" w:type="dxa"/>
            <w:vAlign w:val="center"/>
          </w:tcPr>
          <w:p w14:paraId="05EAA56F">
            <w:pPr>
              <w:pStyle w:val="445"/>
              <w:rPr>
                <w:rFonts w:cs="Times New Roman"/>
                <w:kern w:val="0"/>
                <w:szCs w:val="20"/>
              </w:rPr>
            </w:pPr>
            <w:r>
              <w:rPr>
                <w:rFonts w:cs="Times New Roman"/>
                <w:kern w:val="0"/>
                <w:szCs w:val="20"/>
              </w:rPr>
              <w:t>4</w:t>
            </w:r>
          </w:p>
        </w:tc>
        <w:tc>
          <w:tcPr>
            <w:tcW w:w="991" w:type="dxa"/>
            <w:vAlign w:val="center"/>
          </w:tcPr>
          <w:p w14:paraId="15D9369E">
            <w:pPr>
              <w:pStyle w:val="445"/>
              <w:rPr>
                <w:rFonts w:cs="Times New Roman"/>
                <w:kern w:val="0"/>
                <w:szCs w:val="20"/>
              </w:rPr>
            </w:pPr>
            <w:r>
              <w:rPr>
                <w:rFonts w:hint="eastAsia" w:cs="Times New Roman"/>
                <w:kern w:val="0"/>
                <w:szCs w:val="20"/>
              </w:rPr>
              <w:t>/</w:t>
            </w:r>
          </w:p>
        </w:tc>
        <w:tc>
          <w:tcPr>
            <w:tcW w:w="918" w:type="dxa"/>
            <w:vAlign w:val="center"/>
          </w:tcPr>
          <w:p w14:paraId="49111414">
            <w:pPr>
              <w:pStyle w:val="445"/>
              <w:rPr>
                <w:rFonts w:cs="Times New Roman"/>
                <w:kern w:val="0"/>
                <w:szCs w:val="20"/>
              </w:rPr>
            </w:pPr>
            <w:r>
              <w:rPr>
                <w:rFonts w:hint="eastAsia" w:cs="Times New Roman"/>
                <w:kern w:val="0"/>
                <w:szCs w:val="20"/>
              </w:rPr>
              <w:t>/</w:t>
            </w:r>
          </w:p>
        </w:tc>
      </w:tr>
      <w:tr w14:paraId="629BE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314F19CF">
            <w:pPr>
              <w:pStyle w:val="445"/>
              <w:rPr>
                <w:rFonts w:cs="Times New Roman"/>
                <w:kern w:val="0"/>
                <w:szCs w:val="20"/>
              </w:rPr>
            </w:pPr>
          </w:p>
        </w:tc>
        <w:tc>
          <w:tcPr>
            <w:tcW w:w="1417" w:type="dxa"/>
            <w:vMerge w:val="continue"/>
            <w:vAlign w:val="center"/>
          </w:tcPr>
          <w:p w14:paraId="429DDF5C">
            <w:pPr>
              <w:pStyle w:val="445"/>
              <w:rPr>
                <w:rFonts w:cs="Times New Roman"/>
                <w:kern w:val="0"/>
                <w:szCs w:val="20"/>
              </w:rPr>
            </w:pPr>
          </w:p>
        </w:tc>
        <w:tc>
          <w:tcPr>
            <w:tcW w:w="1700" w:type="dxa"/>
            <w:vMerge w:val="continue"/>
            <w:vAlign w:val="center"/>
          </w:tcPr>
          <w:p w14:paraId="3D8E9900">
            <w:pPr>
              <w:pStyle w:val="445"/>
              <w:rPr>
                <w:rFonts w:cs="Times New Roman"/>
                <w:kern w:val="0"/>
                <w:szCs w:val="20"/>
              </w:rPr>
            </w:pPr>
          </w:p>
        </w:tc>
        <w:tc>
          <w:tcPr>
            <w:tcW w:w="1558" w:type="dxa"/>
            <w:vAlign w:val="center"/>
          </w:tcPr>
          <w:p w14:paraId="229060E8">
            <w:pPr>
              <w:pStyle w:val="445"/>
              <w:rPr>
                <w:rFonts w:cs="Times New Roman"/>
                <w:color w:val="000000" w:themeColor="text1"/>
                <w:kern w:val="0"/>
                <w:szCs w:val="20"/>
                <w:lang w:bidi="ar"/>
                <w14:textFill>
                  <w14:solidFill>
                    <w14:schemeClr w14:val="tx1"/>
                  </w14:solidFill>
                </w14:textFill>
              </w:rPr>
            </w:pPr>
            <w:r>
              <w:rPr>
                <w:rFonts w:hint="eastAsia" w:cs="Times New Roman"/>
                <w:color w:val="000000" w:themeColor="text1"/>
                <w:kern w:val="0"/>
                <w:szCs w:val="20"/>
                <w:lang w:bidi="ar"/>
                <w14:textFill>
                  <w14:solidFill>
                    <w14:schemeClr w14:val="tx1"/>
                  </w14:solidFill>
                </w14:textFill>
              </w:rPr>
              <w:t>氨</w:t>
            </w:r>
          </w:p>
        </w:tc>
        <w:tc>
          <w:tcPr>
            <w:tcW w:w="1558" w:type="dxa"/>
            <w:vMerge w:val="continue"/>
            <w:vAlign w:val="center"/>
          </w:tcPr>
          <w:p w14:paraId="17E257D6">
            <w:pPr>
              <w:pStyle w:val="445"/>
              <w:rPr>
                <w:rFonts w:cs="Times New Roman"/>
                <w:kern w:val="0"/>
                <w:szCs w:val="20"/>
              </w:rPr>
            </w:pPr>
          </w:p>
        </w:tc>
        <w:tc>
          <w:tcPr>
            <w:tcW w:w="2692" w:type="dxa"/>
            <w:vMerge w:val="continue"/>
            <w:vAlign w:val="center"/>
          </w:tcPr>
          <w:p w14:paraId="61505F04">
            <w:pPr>
              <w:pStyle w:val="445"/>
              <w:rPr>
                <w:rFonts w:cs="Times New Roman"/>
                <w:kern w:val="0"/>
                <w:szCs w:val="20"/>
              </w:rPr>
            </w:pPr>
          </w:p>
        </w:tc>
        <w:tc>
          <w:tcPr>
            <w:tcW w:w="1983" w:type="dxa"/>
            <w:vAlign w:val="center"/>
          </w:tcPr>
          <w:p w14:paraId="635A1815">
            <w:pPr>
              <w:pStyle w:val="445"/>
              <w:rPr>
                <w:rFonts w:cs="Times New Roman"/>
                <w:kern w:val="0"/>
                <w:szCs w:val="20"/>
              </w:rPr>
            </w:pPr>
            <w:r>
              <w:rPr>
                <w:rFonts w:hint="eastAsia" w:cs="Times New Roman"/>
                <w:kern w:val="0"/>
                <w:szCs w:val="20"/>
              </w:rPr>
              <w:t>0.3</w:t>
            </w:r>
          </w:p>
        </w:tc>
        <w:tc>
          <w:tcPr>
            <w:tcW w:w="991" w:type="dxa"/>
            <w:vAlign w:val="center"/>
          </w:tcPr>
          <w:p w14:paraId="125AD298">
            <w:pPr>
              <w:pStyle w:val="445"/>
              <w:rPr>
                <w:rFonts w:cs="Times New Roman"/>
                <w:kern w:val="0"/>
                <w:szCs w:val="20"/>
              </w:rPr>
            </w:pPr>
            <w:r>
              <w:rPr>
                <w:rFonts w:hint="eastAsia" w:cs="Times New Roman"/>
                <w:kern w:val="0"/>
                <w:szCs w:val="20"/>
              </w:rPr>
              <w:t>/</w:t>
            </w:r>
          </w:p>
        </w:tc>
        <w:tc>
          <w:tcPr>
            <w:tcW w:w="918" w:type="dxa"/>
            <w:vAlign w:val="center"/>
          </w:tcPr>
          <w:p w14:paraId="414DD973">
            <w:pPr>
              <w:pStyle w:val="445"/>
              <w:rPr>
                <w:rFonts w:cs="Times New Roman"/>
                <w:kern w:val="0"/>
                <w:szCs w:val="20"/>
              </w:rPr>
            </w:pPr>
            <w:r>
              <w:rPr>
                <w:rFonts w:hint="eastAsia" w:cs="Times New Roman"/>
                <w:kern w:val="0"/>
                <w:szCs w:val="20"/>
              </w:rPr>
              <w:t>/</w:t>
            </w:r>
          </w:p>
        </w:tc>
      </w:tr>
      <w:tr w14:paraId="07D4E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1319FA59">
            <w:pPr>
              <w:pStyle w:val="445"/>
              <w:rPr>
                <w:rFonts w:cs="Times New Roman"/>
                <w:kern w:val="0"/>
                <w:szCs w:val="20"/>
              </w:rPr>
            </w:pPr>
          </w:p>
        </w:tc>
        <w:tc>
          <w:tcPr>
            <w:tcW w:w="1417" w:type="dxa"/>
            <w:vMerge w:val="continue"/>
            <w:vAlign w:val="center"/>
          </w:tcPr>
          <w:p w14:paraId="66A5EB3E">
            <w:pPr>
              <w:pStyle w:val="445"/>
              <w:rPr>
                <w:rFonts w:cs="Times New Roman"/>
                <w:kern w:val="0"/>
                <w:szCs w:val="20"/>
              </w:rPr>
            </w:pPr>
          </w:p>
        </w:tc>
        <w:tc>
          <w:tcPr>
            <w:tcW w:w="1700" w:type="dxa"/>
            <w:vMerge w:val="continue"/>
            <w:vAlign w:val="center"/>
          </w:tcPr>
          <w:p w14:paraId="063E8B3C">
            <w:pPr>
              <w:pStyle w:val="445"/>
              <w:rPr>
                <w:rFonts w:cs="Times New Roman"/>
                <w:kern w:val="0"/>
                <w:szCs w:val="20"/>
              </w:rPr>
            </w:pPr>
          </w:p>
        </w:tc>
        <w:tc>
          <w:tcPr>
            <w:tcW w:w="1558" w:type="dxa"/>
            <w:vAlign w:val="center"/>
          </w:tcPr>
          <w:p w14:paraId="28702AE1">
            <w:pPr>
              <w:pStyle w:val="445"/>
              <w:rPr>
                <w:rFonts w:cs="Times New Roman"/>
                <w:color w:val="000000" w:themeColor="text1"/>
                <w:kern w:val="0"/>
                <w:szCs w:val="20"/>
                <w:lang w:bidi="ar"/>
                <w14:textFill>
                  <w14:solidFill>
                    <w14:schemeClr w14:val="tx1"/>
                  </w14:solidFill>
                </w14:textFill>
              </w:rPr>
            </w:pPr>
            <w:r>
              <w:rPr>
                <w:rFonts w:hint="eastAsia" w:cs="Times New Roman"/>
                <w:color w:val="000000" w:themeColor="text1"/>
                <w:kern w:val="0"/>
                <w:szCs w:val="20"/>
                <w:lang w:bidi="ar"/>
                <w14:textFill>
                  <w14:solidFill>
                    <w14:schemeClr w14:val="tx1"/>
                  </w14:solidFill>
                </w14:textFill>
              </w:rPr>
              <w:t>氯化氢</w:t>
            </w:r>
          </w:p>
        </w:tc>
        <w:tc>
          <w:tcPr>
            <w:tcW w:w="1558" w:type="dxa"/>
            <w:vMerge w:val="continue"/>
            <w:vAlign w:val="center"/>
          </w:tcPr>
          <w:p w14:paraId="7229C869">
            <w:pPr>
              <w:pStyle w:val="445"/>
              <w:rPr>
                <w:rFonts w:cs="Times New Roman"/>
                <w:kern w:val="0"/>
                <w:szCs w:val="20"/>
              </w:rPr>
            </w:pPr>
          </w:p>
        </w:tc>
        <w:tc>
          <w:tcPr>
            <w:tcW w:w="2692" w:type="dxa"/>
            <w:vMerge w:val="continue"/>
            <w:vAlign w:val="center"/>
          </w:tcPr>
          <w:p w14:paraId="47FA59B5">
            <w:pPr>
              <w:pStyle w:val="445"/>
              <w:rPr>
                <w:rFonts w:cs="Times New Roman"/>
                <w:kern w:val="0"/>
                <w:szCs w:val="20"/>
              </w:rPr>
            </w:pPr>
          </w:p>
        </w:tc>
        <w:tc>
          <w:tcPr>
            <w:tcW w:w="1983" w:type="dxa"/>
            <w:vAlign w:val="center"/>
          </w:tcPr>
          <w:p w14:paraId="6A504E71">
            <w:pPr>
              <w:pStyle w:val="445"/>
              <w:rPr>
                <w:rFonts w:cs="Times New Roman"/>
                <w:kern w:val="0"/>
                <w:szCs w:val="20"/>
              </w:rPr>
            </w:pPr>
            <w:r>
              <w:rPr>
                <w:rFonts w:hint="eastAsia" w:cs="Times New Roman"/>
                <w:kern w:val="0"/>
                <w:szCs w:val="20"/>
              </w:rPr>
              <w:t>0.05</w:t>
            </w:r>
          </w:p>
        </w:tc>
        <w:tc>
          <w:tcPr>
            <w:tcW w:w="991" w:type="dxa"/>
            <w:vAlign w:val="center"/>
          </w:tcPr>
          <w:p w14:paraId="25DE2F27">
            <w:pPr>
              <w:pStyle w:val="445"/>
              <w:rPr>
                <w:rFonts w:cs="Times New Roman"/>
                <w:kern w:val="0"/>
                <w:szCs w:val="20"/>
              </w:rPr>
            </w:pPr>
            <w:r>
              <w:rPr>
                <w:rFonts w:hint="eastAsia" w:cs="Times New Roman"/>
                <w:kern w:val="0"/>
                <w:szCs w:val="20"/>
              </w:rPr>
              <w:t>/</w:t>
            </w:r>
          </w:p>
        </w:tc>
        <w:tc>
          <w:tcPr>
            <w:tcW w:w="918" w:type="dxa"/>
            <w:vAlign w:val="center"/>
          </w:tcPr>
          <w:p w14:paraId="57C3A66F">
            <w:pPr>
              <w:pStyle w:val="445"/>
              <w:rPr>
                <w:rFonts w:cs="Times New Roman"/>
                <w:kern w:val="0"/>
                <w:szCs w:val="20"/>
              </w:rPr>
            </w:pPr>
            <w:r>
              <w:rPr>
                <w:rFonts w:hint="eastAsia" w:cs="Times New Roman"/>
                <w:kern w:val="0"/>
                <w:szCs w:val="20"/>
              </w:rPr>
              <w:t>/</w:t>
            </w:r>
          </w:p>
        </w:tc>
      </w:tr>
      <w:tr w14:paraId="4059B9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0D41F20F">
            <w:pPr>
              <w:pStyle w:val="445"/>
              <w:rPr>
                <w:rFonts w:cs="Times New Roman"/>
                <w:kern w:val="0"/>
                <w:szCs w:val="20"/>
              </w:rPr>
            </w:pPr>
          </w:p>
        </w:tc>
        <w:tc>
          <w:tcPr>
            <w:tcW w:w="1417" w:type="dxa"/>
            <w:vMerge w:val="continue"/>
            <w:vAlign w:val="center"/>
          </w:tcPr>
          <w:p w14:paraId="35EFD1E9">
            <w:pPr>
              <w:pStyle w:val="445"/>
              <w:rPr>
                <w:rFonts w:cs="Times New Roman"/>
                <w:kern w:val="0"/>
                <w:szCs w:val="20"/>
              </w:rPr>
            </w:pPr>
          </w:p>
        </w:tc>
        <w:tc>
          <w:tcPr>
            <w:tcW w:w="1700" w:type="dxa"/>
            <w:vMerge w:val="continue"/>
            <w:vAlign w:val="center"/>
          </w:tcPr>
          <w:p w14:paraId="4C54B4C8">
            <w:pPr>
              <w:pStyle w:val="445"/>
              <w:rPr>
                <w:rFonts w:cs="Times New Roman"/>
                <w:kern w:val="0"/>
                <w:szCs w:val="20"/>
              </w:rPr>
            </w:pPr>
          </w:p>
        </w:tc>
        <w:tc>
          <w:tcPr>
            <w:tcW w:w="1558" w:type="dxa"/>
            <w:vAlign w:val="center"/>
          </w:tcPr>
          <w:p w14:paraId="68A82E07">
            <w:pPr>
              <w:pStyle w:val="445"/>
              <w:rPr>
                <w:rFonts w:cs="Times New Roman"/>
                <w:color w:val="000000" w:themeColor="text1"/>
                <w:kern w:val="0"/>
                <w:szCs w:val="20"/>
                <w:lang w:bidi="ar"/>
                <w14:textFill>
                  <w14:solidFill>
                    <w14:schemeClr w14:val="tx1"/>
                  </w14:solidFill>
                </w14:textFill>
              </w:rPr>
            </w:pPr>
            <w:r>
              <w:rPr>
                <w:rFonts w:hint="eastAsia" w:cs="Times New Roman"/>
                <w:color w:val="000000" w:themeColor="text1"/>
                <w:kern w:val="0"/>
                <w:szCs w:val="20"/>
                <w:lang w:bidi="ar"/>
                <w14:textFill>
                  <w14:solidFill>
                    <w14:schemeClr w14:val="tx1"/>
                  </w14:solidFill>
                </w14:textFill>
              </w:rPr>
              <w:t>氟化氢</w:t>
            </w:r>
          </w:p>
        </w:tc>
        <w:tc>
          <w:tcPr>
            <w:tcW w:w="1558" w:type="dxa"/>
            <w:vMerge w:val="continue"/>
            <w:vAlign w:val="center"/>
          </w:tcPr>
          <w:p w14:paraId="16FAA66D">
            <w:pPr>
              <w:pStyle w:val="445"/>
              <w:rPr>
                <w:rFonts w:cs="Times New Roman"/>
                <w:kern w:val="0"/>
                <w:szCs w:val="20"/>
              </w:rPr>
            </w:pPr>
          </w:p>
        </w:tc>
        <w:tc>
          <w:tcPr>
            <w:tcW w:w="2692" w:type="dxa"/>
            <w:vMerge w:val="continue"/>
            <w:vAlign w:val="center"/>
          </w:tcPr>
          <w:p w14:paraId="28CF5BF2">
            <w:pPr>
              <w:pStyle w:val="445"/>
              <w:rPr>
                <w:rFonts w:cs="Times New Roman"/>
                <w:kern w:val="0"/>
                <w:szCs w:val="20"/>
              </w:rPr>
            </w:pPr>
          </w:p>
        </w:tc>
        <w:tc>
          <w:tcPr>
            <w:tcW w:w="1983" w:type="dxa"/>
            <w:vAlign w:val="center"/>
          </w:tcPr>
          <w:p w14:paraId="36071D2B">
            <w:pPr>
              <w:pStyle w:val="445"/>
              <w:rPr>
                <w:rFonts w:cs="Times New Roman"/>
                <w:kern w:val="0"/>
                <w:szCs w:val="20"/>
              </w:rPr>
            </w:pPr>
            <w:r>
              <w:rPr>
                <w:rFonts w:hint="eastAsia" w:cs="Times New Roman"/>
                <w:kern w:val="0"/>
                <w:szCs w:val="20"/>
              </w:rPr>
              <w:t>0.02</w:t>
            </w:r>
          </w:p>
        </w:tc>
        <w:tc>
          <w:tcPr>
            <w:tcW w:w="991" w:type="dxa"/>
            <w:vAlign w:val="center"/>
          </w:tcPr>
          <w:p w14:paraId="49F6D4AF">
            <w:pPr>
              <w:pStyle w:val="445"/>
              <w:rPr>
                <w:rFonts w:cs="Times New Roman"/>
                <w:kern w:val="0"/>
                <w:szCs w:val="20"/>
              </w:rPr>
            </w:pPr>
            <w:r>
              <w:rPr>
                <w:rFonts w:hint="eastAsia" w:cs="Times New Roman"/>
                <w:kern w:val="0"/>
                <w:szCs w:val="20"/>
              </w:rPr>
              <w:t>/</w:t>
            </w:r>
          </w:p>
        </w:tc>
        <w:tc>
          <w:tcPr>
            <w:tcW w:w="918" w:type="dxa"/>
            <w:vAlign w:val="center"/>
          </w:tcPr>
          <w:p w14:paraId="1D4A2427">
            <w:pPr>
              <w:pStyle w:val="445"/>
              <w:rPr>
                <w:rFonts w:cs="Times New Roman"/>
                <w:kern w:val="0"/>
                <w:szCs w:val="20"/>
              </w:rPr>
            </w:pPr>
            <w:r>
              <w:rPr>
                <w:rFonts w:hint="eastAsia" w:cs="Times New Roman"/>
                <w:kern w:val="0"/>
                <w:szCs w:val="20"/>
              </w:rPr>
              <w:t>/</w:t>
            </w:r>
          </w:p>
        </w:tc>
      </w:tr>
      <w:tr w14:paraId="484CF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4D228283">
            <w:pPr>
              <w:pStyle w:val="445"/>
              <w:rPr>
                <w:rFonts w:cs="Times New Roman"/>
                <w:kern w:val="0"/>
                <w:szCs w:val="20"/>
              </w:rPr>
            </w:pPr>
          </w:p>
        </w:tc>
        <w:tc>
          <w:tcPr>
            <w:tcW w:w="1417" w:type="dxa"/>
            <w:vMerge w:val="continue"/>
            <w:vAlign w:val="center"/>
          </w:tcPr>
          <w:p w14:paraId="3FF5C324">
            <w:pPr>
              <w:pStyle w:val="445"/>
              <w:rPr>
                <w:rFonts w:cs="Times New Roman"/>
                <w:kern w:val="0"/>
                <w:szCs w:val="20"/>
              </w:rPr>
            </w:pPr>
          </w:p>
        </w:tc>
        <w:tc>
          <w:tcPr>
            <w:tcW w:w="1700" w:type="dxa"/>
            <w:vMerge w:val="continue"/>
            <w:vAlign w:val="center"/>
          </w:tcPr>
          <w:p w14:paraId="524C16F7">
            <w:pPr>
              <w:pStyle w:val="445"/>
              <w:rPr>
                <w:rFonts w:cs="Times New Roman"/>
                <w:kern w:val="0"/>
                <w:szCs w:val="20"/>
              </w:rPr>
            </w:pPr>
          </w:p>
        </w:tc>
        <w:tc>
          <w:tcPr>
            <w:tcW w:w="1558" w:type="dxa"/>
            <w:vAlign w:val="center"/>
          </w:tcPr>
          <w:p w14:paraId="4C19E83B">
            <w:pPr>
              <w:pStyle w:val="445"/>
              <w:rPr>
                <w:rFonts w:cs="Times New Roman"/>
                <w:color w:val="000000" w:themeColor="text1"/>
                <w:kern w:val="0"/>
                <w:szCs w:val="20"/>
                <w:lang w:bidi="ar"/>
                <w14:textFill>
                  <w14:solidFill>
                    <w14:schemeClr w14:val="tx1"/>
                  </w14:solidFill>
                </w14:textFill>
              </w:rPr>
            </w:pPr>
            <w:r>
              <w:rPr>
                <w:rFonts w:hint="eastAsia" w:cs="Times New Roman"/>
                <w:color w:val="000000" w:themeColor="text1"/>
                <w:kern w:val="0"/>
                <w:szCs w:val="20"/>
                <w:lang w:bidi="ar"/>
                <w14:textFill>
                  <w14:solidFill>
                    <w14:schemeClr w14:val="tx1"/>
                  </w14:solidFill>
                </w14:textFill>
              </w:rPr>
              <w:t>颗粒物</w:t>
            </w:r>
          </w:p>
        </w:tc>
        <w:tc>
          <w:tcPr>
            <w:tcW w:w="1558" w:type="dxa"/>
            <w:vMerge w:val="continue"/>
            <w:vAlign w:val="center"/>
          </w:tcPr>
          <w:p w14:paraId="18EF0BDC">
            <w:pPr>
              <w:pStyle w:val="445"/>
              <w:rPr>
                <w:rFonts w:cs="Times New Roman"/>
                <w:kern w:val="0"/>
                <w:szCs w:val="20"/>
              </w:rPr>
            </w:pPr>
          </w:p>
        </w:tc>
        <w:tc>
          <w:tcPr>
            <w:tcW w:w="2692" w:type="dxa"/>
            <w:vMerge w:val="continue"/>
            <w:vAlign w:val="center"/>
          </w:tcPr>
          <w:p w14:paraId="25A6A408">
            <w:pPr>
              <w:pStyle w:val="445"/>
              <w:rPr>
                <w:rFonts w:cs="Times New Roman"/>
                <w:kern w:val="0"/>
                <w:szCs w:val="20"/>
              </w:rPr>
            </w:pPr>
          </w:p>
        </w:tc>
        <w:tc>
          <w:tcPr>
            <w:tcW w:w="1983" w:type="dxa"/>
            <w:vAlign w:val="center"/>
          </w:tcPr>
          <w:p w14:paraId="04EF87B9">
            <w:pPr>
              <w:pStyle w:val="445"/>
              <w:rPr>
                <w:rFonts w:cs="Times New Roman"/>
                <w:kern w:val="0"/>
                <w:szCs w:val="20"/>
              </w:rPr>
            </w:pPr>
            <w:r>
              <w:rPr>
                <w:rFonts w:hint="eastAsia" w:cs="Times New Roman"/>
                <w:kern w:val="0"/>
                <w:szCs w:val="20"/>
              </w:rPr>
              <w:t>1</w:t>
            </w:r>
          </w:p>
        </w:tc>
        <w:tc>
          <w:tcPr>
            <w:tcW w:w="991" w:type="dxa"/>
            <w:vAlign w:val="center"/>
          </w:tcPr>
          <w:p w14:paraId="74367C40">
            <w:pPr>
              <w:pStyle w:val="445"/>
              <w:rPr>
                <w:rFonts w:cs="Times New Roman"/>
                <w:kern w:val="0"/>
                <w:szCs w:val="20"/>
              </w:rPr>
            </w:pPr>
            <w:r>
              <w:rPr>
                <w:rFonts w:hint="eastAsia" w:cs="Times New Roman"/>
                <w:kern w:val="0"/>
                <w:szCs w:val="20"/>
              </w:rPr>
              <w:t>/</w:t>
            </w:r>
          </w:p>
        </w:tc>
        <w:tc>
          <w:tcPr>
            <w:tcW w:w="918" w:type="dxa"/>
            <w:vAlign w:val="center"/>
          </w:tcPr>
          <w:p w14:paraId="69499E5B">
            <w:pPr>
              <w:pStyle w:val="445"/>
              <w:rPr>
                <w:rFonts w:cs="Times New Roman"/>
                <w:kern w:val="0"/>
                <w:szCs w:val="20"/>
              </w:rPr>
            </w:pPr>
            <w:r>
              <w:rPr>
                <w:rFonts w:hint="eastAsia" w:cs="Times New Roman"/>
                <w:kern w:val="0"/>
                <w:szCs w:val="20"/>
              </w:rPr>
              <w:t>/</w:t>
            </w:r>
          </w:p>
        </w:tc>
      </w:tr>
    </w:tbl>
    <w:p w14:paraId="206B7A78">
      <w:pPr>
        <w:ind w:firstLine="480"/>
        <w:rPr>
          <w:rFonts w:cs="Times New Roman"/>
        </w:rPr>
      </w:pPr>
      <w:r>
        <w:rPr>
          <w:rFonts w:hint="eastAsia" w:ascii="宋体" w:hAnsi="宋体"/>
        </w:rPr>
        <w:t>（</w:t>
      </w:r>
      <w:r>
        <w:rPr>
          <w:rFonts w:hint="eastAsia"/>
        </w:rPr>
        <w:t>2</w:t>
      </w:r>
      <w:r>
        <w:rPr>
          <w:rFonts w:hint="eastAsia" w:ascii="宋体" w:hAnsi="宋体"/>
        </w:rPr>
        <w:t>）废水</w:t>
      </w:r>
      <w:r>
        <w:rPr>
          <w:rFonts w:ascii="宋体" w:hAnsi="宋体"/>
        </w:rPr>
        <w:t>污染物</w:t>
      </w:r>
    </w:p>
    <w:p w14:paraId="5646203D">
      <w:pPr>
        <w:ind w:firstLine="480"/>
      </w:pPr>
      <w:r>
        <w:rPr>
          <w:rFonts w:hint="eastAsia" w:ascii="宋体" w:hAnsi="宋体"/>
        </w:rPr>
        <w:t>本项目</w:t>
      </w:r>
      <w:r>
        <w:rPr>
          <w:rFonts w:ascii="宋体" w:hAnsi="宋体"/>
        </w:rPr>
        <w:t>废水</w:t>
      </w:r>
      <w:r>
        <w:rPr>
          <w:rFonts w:hint="eastAsia" w:ascii="宋体" w:hAnsi="宋体"/>
        </w:rPr>
        <w:t>间接</w:t>
      </w:r>
      <w:r>
        <w:rPr>
          <w:rFonts w:ascii="宋体" w:hAnsi="宋体"/>
        </w:rPr>
        <w:t>排放口基本信息见表</w:t>
      </w:r>
      <w:r>
        <w:rPr>
          <w:rFonts w:hint="eastAsia"/>
        </w:rPr>
        <w:t>8.2.2-3</w:t>
      </w:r>
      <w:r>
        <w:rPr>
          <w:rFonts w:hint="eastAsia" w:ascii="宋体" w:hAnsi="宋体"/>
        </w:rPr>
        <w:t>，</w:t>
      </w:r>
      <w:r>
        <w:rPr>
          <w:rFonts w:ascii="宋体" w:hAnsi="宋体"/>
        </w:rPr>
        <w:t>雨水</w:t>
      </w:r>
      <w:r>
        <w:rPr>
          <w:rFonts w:hint="eastAsia" w:ascii="宋体" w:hAnsi="宋体"/>
        </w:rPr>
        <w:t>排放口</w:t>
      </w:r>
      <w:r>
        <w:rPr>
          <w:rFonts w:ascii="宋体" w:hAnsi="宋体"/>
        </w:rPr>
        <w:t>基本情况表见</w:t>
      </w:r>
      <w:r>
        <w:rPr>
          <w:rFonts w:hint="eastAsia" w:ascii="宋体" w:hAnsi="宋体"/>
        </w:rPr>
        <w:t>表</w:t>
      </w:r>
      <w:r>
        <w:rPr>
          <w:rFonts w:hint="eastAsia"/>
        </w:rPr>
        <w:t>8.2.2-4</w:t>
      </w:r>
      <w:r>
        <w:rPr>
          <w:rFonts w:hint="eastAsia" w:ascii="宋体" w:hAnsi="宋体"/>
        </w:rPr>
        <w:t>。</w:t>
      </w:r>
    </w:p>
    <w:p w14:paraId="259693D0">
      <w:pPr>
        <w:spacing w:line="500" w:lineRule="exact"/>
        <w:ind w:firstLine="0" w:firstLineChars="0"/>
        <w:jc w:val="center"/>
        <w:rPr>
          <w:rFonts w:ascii="黑体" w:hAnsi="黑体" w:eastAsia="黑体"/>
        </w:rPr>
      </w:pPr>
    </w:p>
    <w:p w14:paraId="5B4FAB69">
      <w:pPr>
        <w:spacing w:line="500" w:lineRule="exact"/>
        <w:ind w:firstLine="0" w:firstLineChars="0"/>
        <w:jc w:val="center"/>
        <w:rPr>
          <w:rFonts w:eastAsia="黑体"/>
        </w:rPr>
      </w:pPr>
      <w:r>
        <w:rPr>
          <w:rFonts w:hint="eastAsia" w:ascii="黑体" w:hAnsi="黑体" w:eastAsia="黑体"/>
        </w:rPr>
        <w:t>表</w:t>
      </w:r>
      <w:r>
        <w:rPr>
          <w:rFonts w:hint="eastAsia" w:eastAsia="黑体"/>
        </w:rPr>
        <w:t>8.2.2-3</w:t>
      </w:r>
      <w:r>
        <w:rPr>
          <w:rFonts w:eastAsia="黑体"/>
        </w:rPr>
        <w:t xml:space="preserve">  </w:t>
      </w:r>
      <w:r>
        <w:rPr>
          <w:rFonts w:hint="eastAsia" w:ascii="黑体" w:hAnsi="黑体" w:eastAsia="黑体"/>
        </w:rPr>
        <w:t>项目</w:t>
      </w:r>
      <w:r>
        <w:rPr>
          <w:rFonts w:ascii="黑体" w:hAnsi="黑体" w:eastAsia="黑体"/>
        </w:rPr>
        <w:t>废水</w:t>
      </w:r>
      <w:r>
        <w:rPr>
          <w:rFonts w:hint="eastAsia" w:ascii="黑体" w:hAnsi="黑体" w:eastAsia="黑体"/>
        </w:rPr>
        <w:t>间接排放口基本情况</w:t>
      </w:r>
      <w:r>
        <w:rPr>
          <w:rFonts w:ascii="黑体" w:hAnsi="黑体" w:eastAsia="黑体"/>
        </w:rPr>
        <w:t>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913"/>
        <w:gridCol w:w="1117"/>
        <w:gridCol w:w="1233"/>
        <w:gridCol w:w="1021"/>
        <w:gridCol w:w="970"/>
        <w:gridCol w:w="2489"/>
        <w:gridCol w:w="748"/>
        <w:gridCol w:w="899"/>
        <w:gridCol w:w="853"/>
        <w:gridCol w:w="1256"/>
        <w:gridCol w:w="1627"/>
        <w:gridCol w:w="598"/>
      </w:tblGrid>
      <w:tr w14:paraId="341B7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 w:type="pct"/>
            <w:vMerge w:val="restart"/>
            <w:vAlign w:val="center"/>
          </w:tcPr>
          <w:p w14:paraId="355535E5">
            <w:pPr>
              <w:pStyle w:val="445"/>
              <w:rPr>
                <w:rFonts w:cs="Times New Roman"/>
                <w:kern w:val="0"/>
                <w:szCs w:val="20"/>
              </w:rPr>
            </w:pPr>
            <w:r>
              <w:rPr>
                <w:rFonts w:cs="Times New Roman"/>
                <w:kern w:val="0"/>
                <w:szCs w:val="20"/>
              </w:rPr>
              <w:t>序号</w:t>
            </w:r>
          </w:p>
        </w:tc>
        <w:tc>
          <w:tcPr>
            <w:tcW w:w="322" w:type="pct"/>
            <w:vMerge w:val="restart"/>
            <w:vAlign w:val="center"/>
          </w:tcPr>
          <w:p w14:paraId="21016789">
            <w:pPr>
              <w:pStyle w:val="445"/>
              <w:rPr>
                <w:rFonts w:cs="Times New Roman"/>
                <w:kern w:val="0"/>
                <w:szCs w:val="20"/>
              </w:rPr>
            </w:pPr>
            <w:r>
              <w:rPr>
                <w:rFonts w:hint="eastAsia" w:cs="Times New Roman"/>
                <w:kern w:val="0"/>
                <w:szCs w:val="20"/>
              </w:rPr>
              <w:t>排放口编号</w:t>
            </w:r>
          </w:p>
        </w:tc>
        <w:tc>
          <w:tcPr>
            <w:tcW w:w="394" w:type="pct"/>
            <w:vMerge w:val="restart"/>
            <w:vAlign w:val="center"/>
          </w:tcPr>
          <w:p w14:paraId="4DEDC856">
            <w:pPr>
              <w:pStyle w:val="445"/>
              <w:rPr>
                <w:rFonts w:cs="Times New Roman"/>
                <w:kern w:val="0"/>
                <w:szCs w:val="20"/>
              </w:rPr>
            </w:pPr>
            <w:r>
              <w:rPr>
                <w:rFonts w:hint="eastAsia" w:cs="Times New Roman"/>
                <w:kern w:val="0"/>
                <w:szCs w:val="20"/>
              </w:rPr>
              <w:t>排放口名称</w:t>
            </w:r>
          </w:p>
        </w:tc>
        <w:tc>
          <w:tcPr>
            <w:tcW w:w="795" w:type="pct"/>
            <w:gridSpan w:val="2"/>
            <w:vAlign w:val="center"/>
          </w:tcPr>
          <w:p w14:paraId="362B75B7">
            <w:pPr>
              <w:pStyle w:val="445"/>
              <w:rPr>
                <w:rFonts w:cs="Times New Roman"/>
                <w:kern w:val="0"/>
                <w:szCs w:val="20"/>
              </w:rPr>
            </w:pPr>
            <w:r>
              <w:rPr>
                <w:rFonts w:hint="eastAsia" w:cs="Times New Roman"/>
                <w:kern w:val="0"/>
                <w:szCs w:val="20"/>
              </w:rPr>
              <w:t>排放口地理坐标</w:t>
            </w:r>
          </w:p>
        </w:tc>
        <w:tc>
          <w:tcPr>
            <w:tcW w:w="342" w:type="pct"/>
            <w:vMerge w:val="restart"/>
            <w:vAlign w:val="center"/>
          </w:tcPr>
          <w:p w14:paraId="3C4FCB97">
            <w:pPr>
              <w:pStyle w:val="445"/>
              <w:rPr>
                <w:rFonts w:cs="Times New Roman"/>
                <w:kern w:val="0"/>
                <w:szCs w:val="20"/>
              </w:rPr>
            </w:pPr>
            <w:r>
              <w:rPr>
                <w:rFonts w:cs="Times New Roman"/>
                <w:kern w:val="0"/>
                <w:szCs w:val="20"/>
              </w:rPr>
              <w:t>排放去向</w:t>
            </w:r>
          </w:p>
        </w:tc>
        <w:tc>
          <w:tcPr>
            <w:tcW w:w="878" w:type="pct"/>
            <w:vMerge w:val="restart"/>
            <w:vAlign w:val="center"/>
          </w:tcPr>
          <w:p w14:paraId="5C423F17">
            <w:pPr>
              <w:pStyle w:val="445"/>
              <w:rPr>
                <w:rFonts w:cs="Times New Roman"/>
                <w:kern w:val="0"/>
                <w:szCs w:val="20"/>
              </w:rPr>
            </w:pPr>
            <w:r>
              <w:rPr>
                <w:rFonts w:cs="Times New Roman"/>
                <w:kern w:val="0"/>
                <w:szCs w:val="20"/>
              </w:rPr>
              <w:t>排放规律</w:t>
            </w:r>
          </w:p>
        </w:tc>
        <w:tc>
          <w:tcPr>
            <w:tcW w:w="264" w:type="pct"/>
            <w:vMerge w:val="restart"/>
            <w:vAlign w:val="center"/>
          </w:tcPr>
          <w:p w14:paraId="747B2A06">
            <w:pPr>
              <w:pStyle w:val="445"/>
              <w:rPr>
                <w:rFonts w:cs="Times New Roman"/>
                <w:kern w:val="0"/>
                <w:szCs w:val="20"/>
              </w:rPr>
            </w:pPr>
            <w:r>
              <w:rPr>
                <w:rFonts w:cs="Times New Roman"/>
                <w:kern w:val="0"/>
                <w:szCs w:val="20"/>
              </w:rPr>
              <w:t>间歇排放时段</w:t>
            </w:r>
          </w:p>
        </w:tc>
        <w:tc>
          <w:tcPr>
            <w:tcW w:w="1635" w:type="pct"/>
            <w:gridSpan w:val="4"/>
            <w:vAlign w:val="center"/>
          </w:tcPr>
          <w:p w14:paraId="34080BC3">
            <w:pPr>
              <w:pStyle w:val="445"/>
              <w:rPr>
                <w:rFonts w:cs="Times New Roman"/>
                <w:kern w:val="0"/>
                <w:szCs w:val="20"/>
              </w:rPr>
            </w:pPr>
            <w:r>
              <w:rPr>
                <w:rFonts w:cs="Times New Roman"/>
                <w:kern w:val="0"/>
                <w:szCs w:val="20"/>
              </w:rPr>
              <w:t>受纳污水处理厂信息</w:t>
            </w:r>
          </w:p>
        </w:tc>
        <w:tc>
          <w:tcPr>
            <w:tcW w:w="211" w:type="pct"/>
            <w:vMerge w:val="restart"/>
            <w:vAlign w:val="center"/>
          </w:tcPr>
          <w:p w14:paraId="33B7FAC0">
            <w:pPr>
              <w:pStyle w:val="445"/>
              <w:rPr>
                <w:rFonts w:cs="Times New Roman"/>
                <w:kern w:val="0"/>
                <w:szCs w:val="20"/>
              </w:rPr>
            </w:pPr>
            <w:r>
              <w:rPr>
                <w:rFonts w:hint="eastAsia" w:cs="Times New Roman"/>
                <w:kern w:val="0"/>
                <w:szCs w:val="20"/>
              </w:rPr>
              <w:t>其他信息</w:t>
            </w:r>
          </w:p>
        </w:tc>
      </w:tr>
      <w:tr w14:paraId="144AE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 w:type="pct"/>
            <w:vMerge w:val="continue"/>
            <w:vAlign w:val="center"/>
          </w:tcPr>
          <w:p w14:paraId="1D0F51F3">
            <w:pPr>
              <w:pStyle w:val="445"/>
              <w:rPr>
                <w:rFonts w:cs="Times New Roman"/>
                <w:kern w:val="0"/>
                <w:szCs w:val="20"/>
              </w:rPr>
            </w:pPr>
          </w:p>
        </w:tc>
        <w:tc>
          <w:tcPr>
            <w:tcW w:w="322" w:type="pct"/>
            <w:vMerge w:val="continue"/>
            <w:vAlign w:val="center"/>
          </w:tcPr>
          <w:p w14:paraId="6FC7A5F3">
            <w:pPr>
              <w:pStyle w:val="445"/>
              <w:rPr>
                <w:rFonts w:cs="Times New Roman"/>
                <w:kern w:val="0"/>
                <w:szCs w:val="20"/>
              </w:rPr>
            </w:pPr>
          </w:p>
        </w:tc>
        <w:tc>
          <w:tcPr>
            <w:tcW w:w="394" w:type="pct"/>
            <w:vMerge w:val="continue"/>
            <w:vAlign w:val="center"/>
          </w:tcPr>
          <w:p w14:paraId="593650D7">
            <w:pPr>
              <w:pStyle w:val="445"/>
              <w:rPr>
                <w:rFonts w:cs="Times New Roman"/>
                <w:kern w:val="0"/>
                <w:szCs w:val="20"/>
              </w:rPr>
            </w:pPr>
          </w:p>
        </w:tc>
        <w:tc>
          <w:tcPr>
            <w:tcW w:w="435" w:type="pct"/>
            <w:vAlign w:val="center"/>
          </w:tcPr>
          <w:p w14:paraId="13C821CC">
            <w:pPr>
              <w:pStyle w:val="445"/>
              <w:rPr>
                <w:rFonts w:cs="Times New Roman"/>
                <w:kern w:val="0"/>
                <w:szCs w:val="20"/>
              </w:rPr>
            </w:pPr>
            <w:r>
              <w:rPr>
                <w:rFonts w:cs="Times New Roman"/>
                <w:kern w:val="0"/>
                <w:szCs w:val="20"/>
              </w:rPr>
              <w:t>经度</w:t>
            </w:r>
          </w:p>
        </w:tc>
        <w:tc>
          <w:tcPr>
            <w:tcW w:w="360" w:type="pct"/>
            <w:vAlign w:val="center"/>
          </w:tcPr>
          <w:p w14:paraId="7FC552D7">
            <w:pPr>
              <w:pStyle w:val="445"/>
              <w:rPr>
                <w:rFonts w:cs="Times New Roman"/>
                <w:kern w:val="0"/>
                <w:szCs w:val="20"/>
              </w:rPr>
            </w:pPr>
            <w:r>
              <w:rPr>
                <w:rFonts w:cs="Times New Roman"/>
                <w:kern w:val="0"/>
                <w:szCs w:val="20"/>
              </w:rPr>
              <w:t>纬度</w:t>
            </w:r>
          </w:p>
        </w:tc>
        <w:tc>
          <w:tcPr>
            <w:tcW w:w="342" w:type="pct"/>
            <w:vMerge w:val="continue"/>
            <w:vAlign w:val="center"/>
          </w:tcPr>
          <w:p w14:paraId="50080A1A">
            <w:pPr>
              <w:pStyle w:val="445"/>
              <w:rPr>
                <w:rFonts w:cs="Times New Roman"/>
                <w:kern w:val="0"/>
                <w:szCs w:val="20"/>
              </w:rPr>
            </w:pPr>
          </w:p>
        </w:tc>
        <w:tc>
          <w:tcPr>
            <w:tcW w:w="878" w:type="pct"/>
            <w:vMerge w:val="continue"/>
            <w:vAlign w:val="center"/>
          </w:tcPr>
          <w:p w14:paraId="5F7854FF">
            <w:pPr>
              <w:pStyle w:val="445"/>
              <w:rPr>
                <w:rFonts w:cs="Times New Roman"/>
                <w:kern w:val="0"/>
                <w:szCs w:val="20"/>
              </w:rPr>
            </w:pPr>
          </w:p>
        </w:tc>
        <w:tc>
          <w:tcPr>
            <w:tcW w:w="264" w:type="pct"/>
            <w:vMerge w:val="continue"/>
            <w:vAlign w:val="center"/>
          </w:tcPr>
          <w:p w14:paraId="26619467">
            <w:pPr>
              <w:pStyle w:val="445"/>
              <w:rPr>
                <w:rFonts w:cs="Times New Roman"/>
                <w:kern w:val="0"/>
                <w:szCs w:val="20"/>
              </w:rPr>
            </w:pPr>
          </w:p>
        </w:tc>
        <w:tc>
          <w:tcPr>
            <w:tcW w:w="317" w:type="pct"/>
            <w:vAlign w:val="center"/>
          </w:tcPr>
          <w:p w14:paraId="0886FE20">
            <w:pPr>
              <w:pStyle w:val="445"/>
              <w:rPr>
                <w:rFonts w:cs="Times New Roman"/>
                <w:kern w:val="0"/>
                <w:szCs w:val="20"/>
              </w:rPr>
            </w:pPr>
            <w:r>
              <w:rPr>
                <w:rFonts w:hint="eastAsia" w:cs="Times New Roman"/>
                <w:kern w:val="0"/>
                <w:szCs w:val="20"/>
              </w:rPr>
              <w:t>污水处理厂</w:t>
            </w:r>
            <w:r>
              <w:rPr>
                <w:rFonts w:cs="Times New Roman"/>
                <w:kern w:val="0"/>
                <w:szCs w:val="20"/>
              </w:rPr>
              <w:t>名称</w:t>
            </w:r>
          </w:p>
        </w:tc>
        <w:tc>
          <w:tcPr>
            <w:tcW w:w="301" w:type="pct"/>
            <w:vAlign w:val="center"/>
          </w:tcPr>
          <w:p w14:paraId="3DCFC8C6">
            <w:pPr>
              <w:pStyle w:val="445"/>
              <w:rPr>
                <w:rFonts w:cs="Times New Roman"/>
                <w:kern w:val="0"/>
                <w:szCs w:val="20"/>
              </w:rPr>
            </w:pPr>
            <w:r>
              <w:rPr>
                <w:rFonts w:hint="eastAsia" w:cs="Times New Roman"/>
                <w:kern w:val="0"/>
                <w:szCs w:val="20"/>
              </w:rPr>
              <w:t>污染物种类</w:t>
            </w:r>
          </w:p>
        </w:tc>
        <w:tc>
          <w:tcPr>
            <w:tcW w:w="443" w:type="pct"/>
            <w:vAlign w:val="center"/>
          </w:tcPr>
          <w:p w14:paraId="675621C7">
            <w:pPr>
              <w:pStyle w:val="445"/>
              <w:rPr>
                <w:rFonts w:cs="Times New Roman"/>
                <w:kern w:val="0"/>
                <w:szCs w:val="20"/>
              </w:rPr>
            </w:pPr>
            <w:r>
              <w:rPr>
                <w:rFonts w:hint="eastAsia" w:cs="Times New Roman"/>
                <w:kern w:val="0"/>
                <w:szCs w:val="20"/>
              </w:rPr>
              <w:t>排水协议规定的浓度限值</w:t>
            </w:r>
          </w:p>
        </w:tc>
        <w:tc>
          <w:tcPr>
            <w:tcW w:w="574" w:type="pct"/>
            <w:vAlign w:val="center"/>
          </w:tcPr>
          <w:p w14:paraId="6E5AC4EE">
            <w:pPr>
              <w:pStyle w:val="445"/>
              <w:rPr>
                <w:rFonts w:cs="Times New Roman"/>
                <w:kern w:val="0"/>
                <w:szCs w:val="20"/>
              </w:rPr>
            </w:pPr>
            <w:r>
              <w:rPr>
                <w:rFonts w:cs="Times New Roman"/>
                <w:kern w:val="0"/>
                <w:szCs w:val="20"/>
              </w:rPr>
              <w:t>国家或地方污染物排放标准浓度限值</w:t>
            </w:r>
          </w:p>
        </w:tc>
        <w:tc>
          <w:tcPr>
            <w:tcW w:w="211" w:type="pct"/>
            <w:vMerge w:val="continue"/>
            <w:vAlign w:val="center"/>
          </w:tcPr>
          <w:p w14:paraId="2B41BF0C">
            <w:pPr>
              <w:pStyle w:val="445"/>
              <w:rPr>
                <w:rFonts w:cs="Times New Roman"/>
                <w:kern w:val="0"/>
                <w:szCs w:val="20"/>
              </w:rPr>
            </w:pPr>
          </w:p>
        </w:tc>
      </w:tr>
      <w:tr w14:paraId="36031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restart"/>
            <w:vAlign w:val="center"/>
          </w:tcPr>
          <w:p w14:paraId="18B6345D">
            <w:pPr>
              <w:pStyle w:val="445"/>
              <w:rPr>
                <w:rFonts w:cs="Times New Roman"/>
                <w:kern w:val="0"/>
                <w:szCs w:val="20"/>
              </w:rPr>
            </w:pPr>
            <w:r>
              <w:rPr>
                <w:rFonts w:cs="Times New Roman"/>
                <w:kern w:val="0"/>
                <w:szCs w:val="20"/>
              </w:rPr>
              <w:t>1</w:t>
            </w:r>
          </w:p>
        </w:tc>
        <w:tc>
          <w:tcPr>
            <w:tcW w:w="322" w:type="pct"/>
            <w:vMerge w:val="restart"/>
            <w:vAlign w:val="center"/>
          </w:tcPr>
          <w:p w14:paraId="2103993F">
            <w:pPr>
              <w:pStyle w:val="445"/>
              <w:rPr>
                <w:rFonts w:cs="Times New Roman"/>
                <w:kern w:val="0"/>
                <w:szCs w:val="20"/>
              </w:rPr>
            </w:pPr>
            <w:r>
              <w:rPr>
                <w:rFonts w:hint="eastAsia" w:cs="Times New Roman"/>
                <w:kern w:val="0"/>
                <w:szCs w:val="20"/>
              </w:rPr>
              <w:t>D</w:t>
            </w:r>
            <w:r>
              <w:rPr>
                <w:rFonts w:cs="Times New Roman"/>
                <w:kern w:val="0"/>
                <w:szCs w:val="20"/>
              </w:rPr>
              <w:t>W</w:t>
            </w:r>
            <w:r>
              <w:rPr>
                <w:rFonts w:hint="eastAsia" w:cs="Times New Roman"/>
                <w:kern w:val="0"/>
                <w:szCs w:val="20"/>
              </w:rPr>
              <w:t>001</w:t>
            </w:r>
          </w:p>
        </w:tc>
        <w:tc>
          <w:tcPr>
            <w:tcW w:w="394" w:type="pct"/>
            <w:vMerge w:val="restart"/>
            <w:vAlign w:val="center"/>
          </w:tcPr>
          <w:p w14:paraId="221AC7FA">
            <w:pPr>
              <w:pStyle w:val="445"/>
              <w:rPr>
                <w:rFonts w:cs="Times New Roman"/>
                <w:kern w:val="0"/>
                <w:szCs w:val="20"/>
              </w:rPr>
            </w:pPr>
            <w:r>
              <w:rPr>
                <w:rFonts w:hint="eastAsia" w:cs="Times New Roman"/>
                <w:kern w:val="0"/>
                <w:szCs w:val="18"/>
              </w:rPr>
              <w:t>废水</w:t>
            </w:r>
            <w:r>
              <w:rPr>
                <w:rFonts w:cs="Times New Roman"/>
                <w:kern w:val="0"/>
                <w:szCs w:val="18"/>
              </w:rPr>
              <w:t>总排放口</w:t>
            </w:r>
          </w:p>
        </w:tc>
        <w:tc>
          <w:tcPr>
            <w:tcW w:w="435" w:type="pct"/>
            <w:vMerge w:val="restart"/>
            <w:vAlign w:val="center"/>
          </w:tcPr>
          <w:p w14:paraId="78767D3C">
            <w:pPr>
              <w:pStyle w:val="445"/>
              <w:rPr>
                <w:rFonts w:cs="Times New Roman"/>
                <w:kern w:val="0"/>
                <w:szCs w:val="20"/>
              </w:rPr>
            </w:pPr>
            <w:r>
              <w:rPr>
                <w:rFonts w:cs="Times New Roman"/>
                <w:kern w:val="0"/>
                <w:szCs w:val="20"/>
              </w:rPr>
              <w:t>117.584769</w:t>
            </w:r>
          </w:p>
        </w:tc>
        <w:tc>
          <w:tcPr>
            <w:tcW w:w="360" w:type="pct"/>
            <w:vMerge w:val="restart"/>
            <w:vAlign w:val="center"/>
          </w:tcPr>
          <w:p w14:paraId="74AF6892">
            <w:pPr>
              <w:pStyle w:val="445"/>
              <w:rPr>
                <w:rFonts w:cs="Times New Roman"/>
                <w:kern w:val="0"/>
                <w:szCs w:val="20"/>
              </w:rPr>
            </w:pPr>
            <w:r>
              <w:rPr>
                <w:rFonts w:cs="Times New Roman"/>
                <w:kern w:val="0"/>
                <w:szCs w:val="20"/>
              </w:rPr>
              <w:t>32.98025</w:t>
            </w:r>
          </w:p>
        </w:tc>
        <w:tc>
          <w:tcPr>
            <w:tcW w:w="342" w:type="pct"/>
            <w:vMerge w:val="restart"/>
            <w:vAlign w:val="center"/>
          </w:tcPr>
          <w:p w14:paraId="084B99F6">
            <w:pPr>
              <w:pStyle w:val="445"/>
              <w:rPr>
                <w:rFonts w:cs="Times New Roman"/>
                <w:kern w:val="0"/>
                <w:szCs w:val="20"/>
              </w:rPr>
            </w:pPr>
            <w:r>
              <w:rPr>
                <w:rFonts w:hint="eastAsia" w:cs="Times New Roman"/>
                <w:kern w:val="0"/>
                <w:szCs w:val="18"/>
              </w:rPr>
              <w:t>沫河口污水</w:t>
            </w:r>
            <w:r>
              <w:rPr>
                <w:rFonts w:cs="Times New Roman"/>
                <w:kern w:val="0"/>
                <w:szCs w:val="18"/>
              </w:rPr>
              <w:t>处理厂</w:t>
            </w:r>
          </w:p>
        </w:tc>
        <w:tc>
          <w:tcPr>
            <w:tcW w:w="878" w:type="pct"/>
            <w:vMerge w:val="restart"/>
            <w:vAlign w:val="center"/>
          </w:tcPr>
          <w:p w14:paraId="575E1BA7">
            <w:pPr>
              <w:pStyle w:val="445"/>
              <w:rPr>
                <w:rFonts w:ascii="宋体" w:hAnsi="宋体" w:cs="Times New Roman"/>
                <w:kern w:val="0"/>
                <w:szCs w:val="20"/>
              </w:rPr>
            </w:pPr>
            <w:r>
              <w:rPr>
                <w:rFonts w:hint="eastAsia" w:ascii="宋体" w:hAnsi="宋体" w:cs="Times New Roman"/>
                <w:kern w:val="0"/>
                <w:szCs w:val="20"/>
              </w:rPr>
              <w:t>间断排放，排放期间流量不稳定且无规律，但不属于冲击型排放</w:t>
            </w:r>
          </w:p>
        </w:tc>
        <w:tc>
          <w:tcPr>
            <w:tcW w:w="264" w:type="pct"/>
            <w:vMerge w:val="restart"/>
            <w:vAlign w:val="center"/>
          </w:tcPr>
          <w:p w14:paraId="5057B2BA">
            <w:pPr>
              <w:pStyle w:val="445"/>
              <w:rPr>
                <w:rFonts w:cs="Times New Roman"/>
                <w:kern w:val="0"/>
                <w:szCs w:val="18"/>
              </w:rPr>
            </w:pPr>
            <w:r>
              <w:rPr>
                <w:rFonts w:cs="Times New Roman"/>
                <w:kern w:val="0"/>
                <w:szCs w:val="18"/>
              </w:rPr>
              <w:t>24</w:t>
            </w:r>
            <w:r>
              <w:rPr>
                <w:rFonts w:hint="eastAsia" w:cs="Times New Roman"/>
                <w:kern w:val="0"/>
                <w:szCs w:val="18"/>
              </w:rPr>
              <w:t>小时</w:t>
            </w:r>
          </w:p>
        </w:tc>
        <w:tc>
          <w:tcPr>
            <w:tcW w:w="317" w:type="pct"/>
            <w:vMerge w:val="restart"/>
            <w:vAlign w:val="center"/>
          </w:tcPr>
          <w:p w14:paraId="4F707A56">
            <w:pPr>
              <w:pStyle w:val="445"/>
              <w:rPr>
                <w:rFonts w:cs="Times New Roman"/>
                <w:kern w:val="0"/>
                <w:szCs w:val="20"/>
              </w:rPr>
            </w:pPr>
            <w:r>
              <w:rPr>
                <w:rFonts w:hint="eastAsia" w:cs="Times New Roman"/>
                <w:kern w:val="0"/>
                <w:szCs w:val="20"/>
              </w:rPr>
              <w:t>沫河口</w:t>
            </w:r>
            <w:r>
              <w:rPr>
                <w:rFonts w:cs="Times New Roman"/>
                <w:kern w:val="0"/>
                <w:szCs w:val="20"/>
              </w:rPr>
              <w:t>污水处理厂</w:t>
            </w:r>
          </w:p>
        </w:tc>
        <w:tc>
          <w:tcPr>
            <w:tcW w:w="301" w:type="pct"/>
            <w:vAlign w:val="center"/>
          </w:tcPr>
          <w:p w14:paraId="29121D3F">
            <w:pPr>
              <w:pStyle w:val="445"/>
              <w:rPr>
                <w:rFonts w:ascii="宋体" w:hAnsi="宋体" w:cs="宋体"/>
                <w:kern w:val="0"/>
                <w:szCs w:val="20"/>
              </w:rPr>
            </w:pPr>
            <w:r>
              <w:rPr>
                <w:rFonts w:cs="Times New Roman"/>
                <w:kern w:val="0"/>
                <w:szCs w:val="20"/>
              </w:rPr>
              <w:t>COD</w:t>
            </w:r>
          </w:p>
        </w:tc>
        <w:tc>
          <w:tcPr>
            <w:tcW w:w="443" w:type="pct"/>
            <w:vAlign w:val="center"/>
          </w:tcPr>
          <w:p w14:paraId="36F8B1DC">
            <w:pPr>
              <w:pStyle w:val="445"/>
              <w:rPr>
                <w:rFonts w:cs="Times New Roman"/>
                <w:kern w:val="0"/>
                <w:szCs w:val="20"/>
              </w:rPr>
            </w:pPr>
            <w:r>
              <w:rPr>
                <w:rFonts w:cs="Times New Roman"/>
                <w:kern w:val="0"/>
                <w:szCs w:val="20"/>
              </w:rPr>
              <w:t>200</w:t>
            </w:r>
          </w:p>
        </w:tc>
        <w:tc>
          <w:tcPr>
            <w:tcW w:w="574" w:type="pct"/>
            <w:vAlign w:val="center"/>
          </w:tcPr>
          <w:p w14:paraId="7DCC12B2">
            <w:pPr>
              <w:pStyle w:val="445"/>
              <w:rPr>
                <w:rFonts w:cs="Times New Roman"/>
                <w:kern w:val="0"/>
                <w:szCs w:val="20"/>
              </w:rPr>
            </w:pPr>
            <w:r>
              <w:rPr>
                <w:rFonts w:hint="eastAsia" w:cs="Times New Roman"/>
                <w:kern w:val="0"/>
                <w:szCs w:val="20"/>
              </w:rPr>
              <w:t>50</w:t>
            </w:r>
          </w:p>
        </w:tc>
        <w:tc>
          <w:tcPr>
            <w:tcW w:w="211" w:type="pct"/>
            <w:vAlign w:val="center"/>
          </w:tcPr>
          <w:p w14:paraId="18F62556">
            <w:pPr>
              <w:pStyle w:val="445"/>
              <w:rPr>
                <w:rFonts w:cs="Times New Roman"/>
                <w:kern w:val="0"/>
                <w:szCs w:val="20"/>
              </w:rPr>
            </w:pPr>
          </w:p>
        </w:tc>
      </w:tr>
      <w:tr w14:paraId="2BF25C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2EEF9CA3">
            <w:pPr>
              <w:pStyle w:val="445"/>
              <w:rPr>
                <w:rFonts w:cs="Times New Roman"/>
                <w:kern w:val="0"/>
                <w:szCs w:val="20"/>
              </w:rPr>
            </w:pPr>
          </w:p>
        </w:tc>
        <w:tc>
          <w:tcPr>
            <w:tcW w:w="322" w:type="pct"/>
            <w:vMerge w:val="continue"/>
            <w:vAlign w:val="center"/>
          </w:tcPr>
          <w:p w14:paraId="3958D861">
            <w:pPr>
              <w:pStyle w:val="445"/>
              <w:rPr>
                <w:rFonts w:cs="Times New Roman"/>
                <w:kern w:val="0"/>
                <w:szCs w:val="20"/>
              </w:rPr>
            </w:pPr>
          </w:p>
        </w:tc>
        <w:tc>
          <w:tcPr>
            <w:tcW w:w="394" w:type="pct"/>
            <w:vMerge w:val="continue"/>
            <w:vAlign w:val="center"/>
          </w:tcPr>
          <w:p w14:paraId="2071DFCD">
            <w:pPr>
              <w:pStyle w:val="445"/>
              <w:rPr>
                <w:rFonts w:cs="Times New Roman"/>
                <w:kern w:val="0"/>
                <w:szCs w:val="18"/>
              </w:rPr>
            </w:pPr>
          </w:p>
        </w:tc>
        <w:tc>
          <w:tcPr>
            <w:tcW w:w="435" w:type="pct"/>
            <w:vMerge w:val="continue"/>
            <w:vAlign w:val="center"/>
          </w:tcPr>
          <w:p w14:paraId="4BA377CA">
            <w:pPr>
              <w:pStyle w:val="445"/>
              <w:rPr>
                <w:rFonts w:cs="Times New Roman"/>
                <w:kern w:val="0"/>
                <w:szCs w:val="20"/>
              </w:rPr>
            </w:pPr>
          </w:p>
        </w:tc>
        <w:tc>
          <w:tcPr>
            <w:tcW w:w="360" w:type="pct"/>
            <w:vMerge w:val="continue"/>
            <w:vAlign w:val="center"/>
          </w:tcPr>
          <w:p w14:paraId="593762B0">
            <w:pPr>
              <w:pStyle w:val="445"/>
              <w:rPr>
                <w:rFonts w:cs="Times New Roman"/>
                <w:kern w:val="0"/>
                <w:szCs w:val="20"/>
              </w:rPr>
            </w:pPr>
          </w:p>
        </w:tc>
        <w:tc>
          <w:tcPr>
            <w:tcW w:w="342" w:type="pct"/>
            <w:vMerge w:val="continue"/>
            <w:vAlign w:val="center"/>
          </w:tcPr>
          <w:p w14:paraId="3CD1DFC4">
            <w:pPr>
              <w:pStyle w:val="445"/>
              <w:rPr>
                <w:rFonts w:cs="Times New Roman"/>
                <w:kern w:val="0"/>
                <w:szCs w:val="18"/>
              </w:rPr>
            </w:pPr>
          </w:p>
        </w:tc>
        <w:tc>
          <w:tcPr>
            <w:tcW w:w="878" w:type="pct"/>
            <w:vMerge w:val="continue"/>
            <w:vAlign w:val="center"/>
          </w:tcPr>
          <w:p w14:paraId="5A823645">
            <w:pPr>
              <w:pStyle w:val="445"/>
              <w:rPr>
                <w:rFonts w:ascii="宋体" w:hAnsi="宋体" w:cs="Times New Roman"/>
                <w:kern w:val="0"/>
                <w:szCs w:val="20"/>
              </w:rPr>
            </w:pPr>
          </w:p>
        </w:tc>
        <w:tc>
          <w:tcPr>
            <w:tcW w:w="264" w:type="pct"/>
            <w:vMerge w:val="continue"/>
            <w:vAlign w:val="center"/>
          </w:tcPr>
          <w:p w14:paraId="5068EDA0">
            <w:pPr>
              <w:pStyle w:val="445"/>
              <w:rPr>
                <w:rFonts w:cs="Times New Roman"/>
                <w:kern w:val="0"/>
                <w:szCs w:val="18"/>
              </w:rPr>
            </w:pPr>
          </w:p>
        </w:tc>
        <w:tc>
          <w:tcPr>
            <w:tcW w:w="317" w:type="pct"/>
            <w:vMerge w:val="continue"/>
            <w:vAlign w:val="center"/>
          </w:tcPr>
          <w:p w14:paraId="6470F6ED">
            <w:pPr>
              <w:pStyle w:val="445"/>
              <w:rPr>
                <w:rFonts w:cs="Times New Roman"/>
                <w:kern w:val="0"/>
                <w:szCs w:val="20"/>
              </w:rPr>
            </w:pPr>
          </w:p>
        </w:tc>
        <w:tc>
          <w:tcPr>
            <w:tcW w:w="301" w:type="pct"/>
            <w:vAlign w:val="center"/>
          </w:tcPr>
          <w:p w14:paraId="5CBDE033">
            <w:pPr>
              <w:pStyle w:val="445"/>
              <w:rPr>
                <w:rFonts w:cs="Times New Roman"/>
                <w:kern w:val="0"/>
                <w:szCs w:val="20"/>
              </w:rPr>
            </w:pPr>
            <w:r>
              <w:rPr>
                <w:rFonts w:cs="Times New Roman"/>
                <w:kern w:val="0"/>
                <w:szCs w:val="20"/>
              </w:rPr>
              <w:t>BOD</w:t>
            </w:r>
            <w:r>
              <w:rPr>
                <w:rFonts w:cs="Times New Roman"/>
                <w:kern w:val="0"/>
                <w:szCs w:val="20"/>
                <w:vertAlign w:val="subscript"/>
              </w:rPr>
              <w:t>5</w:t>
            </w:r>
          </w:p>
        </w:tc>
        <w:tc>
          <w:tcPr>
            <w:tcW w:w="443" w:type="pct"/>
            <w:vAlign w:val="center"/>
          </w:tcPr>
          <w:p w14:paraId="7B4EF943">
            <w:pPr>
              <w:pStyle w:val="445"/>
              <w:rPr>
                <w:rFonts w:cs="Times New Roman"/>
                <w:kern w:val="0"/>
                <w:szCs w:val="20"/>
              </w:rPr>
            </w:pPr>
            <w:r>
              <w:rPr>
                <w:rFonts w:hint="eastAsia" w:cs="Times New Roman"/>
                <w:kern w:val="0"/>
                <w:szCs w:val="20"/>
              </w:rPr>
              <w:t>120</w:t>
            </w:r>
          </w:p>
        </w:tc>
        <w:tc>
          <w:tcPr>
            <w:tcW w:w="574" w:type="pct"/>
            <w:vAlign w:val="center"/>
          </w:tcPr>
          <w:p w14:paraId="1FBD7F65">
            <w:pPr>
              <w:pStyle w:val="445"/>
              <w:rPr>
                <w:rFonts w:cs="Times New Roman"/>
                <w:kern w:val="0"/>
                <w:szCs w:val="20"/>
              </w:rPr>
            </w:pPr>
            <w:r>
              <w:rPr>
                <w:rFonts w:hint="eastAsia" w:cs="Times New Roman"/>
                <w:kern w:val="0"/>
                <w:szCs w:val="20"/>
              </w:rPr>
              <w:t>10</w:t>
            </w:r>
          </w:p>
        </w:tc>
        <w:tc>
          <w:tcPr>
            <w:tcW w:w="211" w:type="pct"/>
            <w:vAlign w:val="center"/>
          </w:tcPr>
          <w:p w14:paraId="43CD0980">
            <w:pPr>
              <w:pStyle w:val="445"/>
              <w:rPr>
                <w:rFonts w:cs="Times New Roman"/>
                <w:kern w:val="0"/>
                <w:szCs w:val="20"/>
              </w:rPr>
            </w:pPr>
          </w:p>
        </w:tc>
      </w:tr>
      <w:tr w14:paraId="1A6EB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0BC41ACE">
            <w:pPr>
              <w:pStyle w:val="445"/>
              <w:rPr>
                <w:rFonts w:cs="Times New Roman"/>
                <w:kern w:val="0"/>
                <w:szCs w:val="20"/>
              </w:rPr>
            </w:pPr>
          </w:p>
        </w:tc>
        <w:tc>
          <w:tcPr>
            <w:tcW w:w="322" w:type="pct"/>
            <w:vMerge w:val="continue"/>
            <w:vAlign w:val="center"/>
          </w:tcPr>
          <w:p w14:paraId="7D44FDA4">
            <w:pPr>
              <w:pStyle w:val="445"/>
              <w:rPr>
                <w:rFonts w:cs="Times New Roman"/>
                <w:kern w:val="0"/>
                <w:szCs w:val="20"/>
              </w:rPr>
            </w:pPr>
          </w:p>
        </w:tc>
        <w:tc>
          <w:tcPr>
            <w:tcW w:w="394" w:type="pct"/>
            <w:vMerge w:val="continue"/>
            <w:vAlign w:val="center"/>
          </w:tcPr>
          <w:p w14:paraId="5AC36E3E">
            <w:pPr>
              <w:pStyle w:val="445"/>
              <w:rPr>
                <w:rFonts w:cs="Times New Roman"/>
                <w:kern w:val="0"/>
                <w:szCs w:val="18"/>
              </w:rPr>
            </w:pPr>
          </w:p>
        </w:tc>
        <w:tc>
          <w:tcPr>
            <w:tcW w:w="435" w:type="pct"/>
            <w:vMerge w:val="continue"/>
            <w:vAlign w:val="center"/>
          </w:tcPr>
          <w:p w14:paraId="16692F7F">
            <w:pPr>
              <w:pStyle w:val="445"/>
              <w:rPr>
                <w:rFonts w:cs="Times New Roman"/>
                <w:kern w:val="0"/>
                <w:szCs w:val="20"/>
              </w:rPr>
            </w:pPr>
          </w:p>
        </w:tc>
        <w:tc>
          <w:tcPr>
            <w:tcW w:w="360" w:type="pct"/>
            <w:vMerge w:val="continue"/>
            <w:vAlign w:val="center"/>
          </w:tcPr>
          <w:p w14:paraId="5C4FCEFC">
            <w:pPr>
              <w:pStyle w:val="445"/>
              <w:rPr>
                <w:rFonts w:cs="Times New Roman"/>
                <w:kern w:val="0"/>
                <w:szCs w:val="20"/>
              </w:rPr>
            </w:pPr>
          </w:p>
        </w:tc>
        <w:tc>
          <w:tcPr>
            <w:tcW w:w="342" w:type="pct"/>
            <w:vMerge w:val="continue"/>
            <w:vAlign w:val="center"/>
          </w:tcPr>
          <w:p w14:paraId="7CC48E0F">
            <w:pPr>
              <w:pStyle w:val="445"/>
              <w:rPr>
                <w:rFonts w:cs="Times New Roman"/>
                <w:kern w:val="0"/>
                <w:szCs w:val="18"/>
              </w:rPr>
            </w:pPr>
          </w:p>
        </w:tc>
        <w:tc>
          <w:tcPr>
            <w:tcW w:w="878" w:type="pct"/>
            <w:vMerge w:val="continue"/>
            <w:vAlign w:val="center"/>
          </w:tcPr>
          <w:p w14:paraId="1B8AC099">
            <w:pPr>
              <w:pStyle w:val="445"/>
              <w:rPr>
                <w:rFonts w:ascii="宋体" w:hAnsi="宋体" w:cs="Times New Roman"/>
                <w:kern w:val="0"/>
                <w:szCs w:val="20"/>
              </w:rPr>
            </w:pPr>
          </w:p>
        </w:tc>
        <w:tc>
          <w:tcPr>
            <w:tcW w:w="264" w:type="pct"/>
            <w:vMerge w:val="continue"/>
            <w:vAlign w:val="center"/>
          </w:tcPr>
          <w:p w14:paraId="350B7DD5">
            <w:pPr>
              <w:pStyle w:val="445"/>
              <w:rPr>
                <w:rFonts w:cs="Times New Roman"/>
                <w:kern w:val="0"/>
                <w:szCs w:val="18"/>
              </w:rPr>
            </w:pPr>
          </w:p>
        </w:tc>
        <w:tc>
          <w:tcPr>
            <w:tcW w:w="317" w:type="pct"/>
            <w:vMerge w:val="continue"/>
            <w:vAlign w:val="center"/>
          </w:tcPr>
          <w:p w14:paraId="14E71C76">
            <w:pPr>
              <w:pStyle w:val="445"/>
              <w:rPr>
                <w:rFonts w:cs="Times New Roman"/>
                <w:kern w:val="0"/>
                <w:szCs w:val="20"/>
              </w:rPr>
            </w:pPr>
          </w:p>
        </w:tc>
        <w:tc>
          <w:tcPr>
            <w:tcW w:w="301" w:type="pct"/>
            <w:vAlign w:val="center"/>
          </w:tcPr>
          <w:p w14:paraId="013BAAAC">
            <w:pPr>
              <w:pStyle w:val="445"/>
              <w:rPr>
                <w:rFonts w:cs="Times New Roman"/>
                <w:kern w:val="0"/>
                <w:szCs w:val="20"/>
              </w:rPr>
            </w:pPr>
            <w:r>
              <w:rPr>
                <w:rFonts w:cs="Times New Roman"/>
                <w:kern w:val="0"/>
                <w:szCs w:val="20"/>
              </w:rPr>
              <w:t>SS</w:t>
            </w:r>
          </w:p>
        </w:tc>
        <w:tc>
          <w:tcPr>
            <w:tcW w:w="443" w:type="pct"/>
            <w:vAlign w:val="center"/>
          </w:tcPr>
          <w:p w14:paraId="690F26C1">
            <w:pPr>
              <w:pStyle w:val="445"/>
              <w:rPr>
                <w:rFonts w:cs="Times New Roman"/>
                <w:kern w:val="0"/>
                <w:szCs w:val="20"/>
              </w:rPr>
            </w:pPr>
            <w:r>
              <w:rPr>
                <w:rFonts w:hint="eastAsia" w:cs="Times New Roman"/>
                <w:kern w:val="0"/>
                <w:szCs w:val="20"/>
              </w:rPr>
              <w:t>100</w:t>
            </w:r>
          </w:p>
        </w:tc>
        <w:tc>
          <w:tcPr>
            <w:tcW w:w="574" w:type="pct"/>
            <w:vAlign w:val="center"/>
          </w:tcPr>
          <w:p w14:paraId="054EA2A5">
            <w:pPr>
              <w:pStyle w:val="445"/>
              <w:rPr>
                <w:rFonts w:cs="Times New Roman"/>
                <w:kern w:val="0"/>
                <w:szCs w:val="20"/>
              </w:rPr>
            </w:pPr>
            <w:r>
              <w:rPr>
                <w:rFonts w:hint="eastAsia" w:cs="Times New Roman"/>
                <w:kern w:val="0"/>
                <w:szCs w:val="20"/>
              </w:rPr>
              <w:t>10</w:t>
            </w:r>
          </w:p>
        </w:tc>
        <w:tc>
          <w:tcPr>
            <w:tcW w:w="211" w:type="pct"/>
            <w:vAlign w:val="center"/>
          </w:tcPr>
          <w:p w14:paraId="34C23B6E">
            <w:pPr>
              <w:pStyle w:val="445"/>
              <w:rPr>
                <w:rFonts w:cs="Times New Roman"/>
                <w:kern w:val="0"/>
                <w:szCs w:val="20"/>
              </w:rPr>
            </w:pPr>
          </w:p>
        </w:tc>
      </w:tr>
      <w:tr w14:paraId="2CD9D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24EB7062">
            <w:pPr>
              <w:pStyle w:val="445"/>
              <w:rPr>
                <w:rFonts w:cs="Times New Roman"/>
                <w:kern w:val="0"/>
                <w:szCs w:val="20"/>
              </w:rPr>
            </w:pPr>
          </w:p>
        </w:tc>
        <w:tc>
          <w:tcPr>
            <w:tcW w:w="322" w:type="pct"/>
            <w:vMerge w:val="continue"/>
            <w:vAlign w:val="center"/>
          </w:tcPr>
          <w:p w14:paraId="7743183F">
            <w:pPr>
              <w:pStyle w:val="445"/>
              <w:rPr>
                <w:rFonts w:cs="Times New Roman"/>
                <w:kern w:val="0"/>
                <w:szCs w:val="20"/>
              </w:rPr>
            </w:pPr>
          </w:p>
        </w:tc>
        <w:tc>
          <w:tcPr>
            <w:tcW w:w="394" w:type="pct"/>
            <w:vMerge w:val="continue"/>
            <w:vAlign w:val="center"/>
          </w:tcPr>
          <w:p w14:paraId="64060F03">
            <w:pPr>
              <w:pStyle w:val="445"/>
              <w:rPr>
                <w:rFonts w:cs="Times New Roman"/>
                <w:kern w:val="0"/>
                <w:szCs w:val="18"/>
              </w:rPr>
            </w:pPr>
          </w:p>
        </w:tc>
        <w:tc>
          <w:tcPr>
            <w:tcW w:w="435" w:type="pct"/>
            <w:vMerge w:val="continue"/>
            <w:vAlign w:val="center"/>
          </w:tcPr>
          <w:p w14:paraId="577AD61B">
            <w:pPr>
              <w:pStyle w:val="445"/>
              <w:rPr>
                <w:rFonts w:cs="Times New Roman"/>
                <w:kern w:val="0"/>
                <w:szCs w:val="20"/>
              </w:rPr>
            </w:pPr>
          </w:p>
        </w:tc>
        <w:tc>
          <w:tcPr>
            <w:tcW w:w="360" w:type="pct"/>
            <w:vMerge w:val="continue"/>
            <w:vAlign w:val="center"/>
          </w:tcPr>
          <w:p w14:paraId="1E74B8DB">
            <w:pPr>
              <w:pStyle w:val="445"/>
              <w:rPr>
                <w:rFonts w:cs="Times New Roman"/>
                <w:kern w:val="0"/>
                <w:szCs w:val="20"/>
              </w:rPr>
            </w:pPr>
          </w:p>
        </w:tc>
        <w:tc>
          <w:tcPr>
            <w:tcW w:w="342" w:type="pct"/>
            <w:vMerge w:val="continue"/>
            <w:vAlign w:val="center"/>
          </w:tcPr>
          <w:p w14:paraId="7EE46460">
            <w:pPr>
              <w:pStyle w:val="445"/>
              <w:rPr>
                <w:rFonts w:cs="Times New Roman"/>
                <w:kern w:val="0"/>
                <w:szCs w:val="18"/>
              </w:rPr>
            </w:pPr>
          </w:p>
        </w:tc>
        <w:tc>
          <w:tcPr>
            <w:tcW w:w="878" w:type="pct"/>
            <w:vMerge w:val="continue"/>
            <w:vAlign w:val="center"/>
          </w:tcPr>
          <w:p w14:paraId="1AEBA745">
            <w:pPr>
              <w:pStyle w:val="445"/>
              <w:rPr>
                <w:rFonts w:ascii="宋体" w:hAnsi="宋体" w:cs="Times New Roman"/>
                <w:kern w:val="0"/>
                <w:szCs w:val="20"/>
              </w:rPr>
            </w:pPr>
          </w:p>
        </w:tc>
        <w:tc>
          <w:tcPr>
            <w:tcW w:w="264" w:type="pct"/>
            <w:vMerge w:val="continue"/>
            <w:vAlign w:val="center"/>
          </w:tcPr>
          <w:p w14:paraId="5D7CC739">
            <w:pPr>
              <w:pStyle w:val="445"/>
              <w:rPr>
                <w:rFonts w:cs="Times New Roman"/>
                <w:kern w:val="0"/>
                <w:szCs w:val="18"/>
              </w:rPr>
            </w:pPr>
          </w:p>
        </w:tc>
        <w:tc>
          <w:tcPr>
            <w:tcW w:w="317" w:type="pct"/>
            <w:vMerge w:val="continue"/>
            <w:vAlign w:val="center"/>
          </w:tcPr>
          <w:p w14:paraId="16F3C8A6">
            <w:pPr>
              <w:pStyle w:val="445"/>
              <w:rPr>
                <w:rFonts w:cs="Times New Roman"/>
                <w:kern w:val="0"/>
                <w:szCs w:val="20"/>
              </w:rPr>
            </w:pPr>
          </w:p>
        </w:tc>
        <w:tc>
          <w:tcPr>
            <w:tcW w:w="301" w:type="pct"/>
            <w:vAlign w:val="center"/>
          </w:tcPr>
          <w:p w14:paraId="21655436">
            <w:pPr>
              <w:pStyle w:val="445"/>
              <w:rPr>
                <w:rFonts w:cs="Times New Roman"/>
                <w:kern w:val="0"/>
                <w:szCs w:val="20"/>
              </w:rPr>
            </w:pPr>
            <w:r>
              <w:rPr>
                <w:rFonts w:hint="eastAsia" w:cs="Times New Roman"/>
                <w:kern w:val="0"/>
                <w:szCs w:val="20"/>
              </w:rPr>
              <w:t>氨氮</w:t>
            </w:r>
          </w:p>
        </w:tc>
        <w:tc>
          <w:tcPr>
            <w:tcW w:w="443" w:type="pct"/>
            <w:vAlign w:val="center"/>
          </w:tcPr>
          <w:p w14:paraId="475C4F2B">
            <w:pPr>
              <w:pStyle w:val="445"/>
              <w:rPr>
                <w:rFonts w:cs="Times New Roman"/>
                <w:kern w:val="0"/>
                <w:szCs w:val="20"/>
              </w:rPr>
            </w:pPr>
            <w:r>
              <w:rPr>
                <w:rFonts w:hint="eastAsia" w:cs="Times New Roman"/>
                <w:kern w:val="0"/>
                <w:szCs w:val="20"/>
              </w:rPr>
              <w:t>30</w:t>
            </w:r>
          </w:p>
        </w:tc>
        <w:tc>
          <w:tcPr>
            <w:tcW w:w="574" w:type="pct"/>
            <w:vAlign w:val="center"/>
          </w:tcPr>
          <w:p w14:paraId="3B55FD43">
            <w:pPr>
              <w:pStyle w:val="445"/>
              <w:rPr>
                <w:rFonts w:cs="Times New Roman"/>
                <w:kern w:val="0"/>
                <w:szCs w:val="20"/>
              </w:rPr>
            </w:pPr>
            <w:r>
              <w:rPr>
                <w:rFonts w:hint="eastAsia" w:cs="Times New Roman"/>
                <w:kern w:val="0"/>
                <w:szCs w:val="20"/>
              </w:rPr>
              <w:t>5</w:t>
            </w:r>
          </w:p>
        </w:tc>
        <w:tc>
          <w:tcPr>
            <w:tcW w:w="211" w:type="pct"/>
            <w:vAlign w:val="center"/>
          </w:tcPr>
          <w:p w14:paraId="6CE1C89B">
            <w:pPr>
              <w:pStyle w:val="445"/>
              <w:rPr>
                <w:rFonts w:cs="Times New Roman"/>
                <w:kern w:val="0"/>
                <w:szCs w:val="20"/>
              </w:rPr>
            </w:pPr>
          </w:p>
        </w:tc>
      </w:tr>
      <w:tr w14:paraId="58AF64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3C2460BC">
            <w:pPr>
              <w:pStyle w:val="445"/>
              <w:rPr>
                <w:rFonts w:cs="Times New Roman"/>
                <w:kern w:val="0"/>
                <w:szCs w:val="20"/>
              </w:rPr>
            </w:pPr>
          </w:p>
        </w:tc>
        <w:tc>
          <w:tcPr>
            <w:tcW w:w="322" w:type="pct"/>
            <w:vMerge w:val="continue"/>
            <w:vAlign w:val="center"/>
          </w:tcPr>
          <w:p w14:paraId="5A9FF100">
            <w:pPr>
              <w:pStyle w:val="445"/>
              <w:rPr>
                <w:rFonts w:cs="Times New Roman"/>
                <w:kern w:val="0"/>
                <w:szCs w:val="20"/>
              </w:rPr>
            </w:pPr>
          </w:p>
        </w:tc>
        <w:tc>
          <w:tcPr>
            <w:tcW w:w="394" w:type="pct"/>
            <w:vMerge w:val="continue"/>
            <w:vAlign w:val="center"/>
          </w:tcPr>
          <w:p w14:paraId="44ED6BA2">
            <w:pPr>
              <w:pStyle w:val="445"/>
              <w:rPr>
                <w:rFonts w:cs="Times New Roman"/>
                <w:kern w:val="0"/>
                <w:szCs w:val="18"/>
              </w:rPr>
            </w:pPr>
          </w:p>
        </w:tc>
        <w:tc>
          <w:tcPr>
            <w:tcW w:w="435" w:type="pct"/>
            <w:vMerge w:val="continue"/>
            <w:vAlign w:val="center"/>
          </w:tcPr>
          <w:p w14:paraId="63470F80">
            <w:pPr>
              <w:pStyle w:val="445"/>
              <w:rPr>
                <w:rFonts w:cs="Times New Roman"/>
                <w:kern w:val="0"/>
                <w:szCs w:val="20"/>
              </w:rPr>
            </w:pPr>
          </w:p>
        </w:tc>
        <w:tc>
          <w:tcPr>
            <w:tcW w:w="360" w:type="pct"/>
            <w:vMerge w:val="continue"/>
            <w:vAlign w:val="center"/>
          </w:tcPr>
          <w:p w14:paraId="382A7FB0">
            <w:pPr>
              <w:pStyle w:val="445"/>
              <w:rPr>
                <w:rFonts w:cs="Times New Roman"/>
                <w:kern w:val="0"/>
                <w:szCs w:val="20"/>
              </w:rPr>
            </w:pPr>
          </w:p>
        </w:tc>
        <w:tc>
          <w:tcPr>
            <w:tcW w:w="342" w:type="pct"/>
            <w:vMerge w:val="continue"/>
            <w:vAlign w:val="center"/>
          </w:tcPr>
          <w:p w14:paraId="517142C7">
            <w:pPr>
              <w:pStyle w:val="445"/>
              <w:rPr>
                <w:rFonts w:cs="Times New Roman"/>
                <w:kern w:val="0"/>
                <w:szCs w:val="18"/>
              </w:rPr>
            </w:pPr>
          </w:p>
        </w:tc>
        <w:tc>
          <w:tcPr>
            <w:tcW w:w="878" w:type="pct"/>
            <w:vMerge w:val="continue"/>
            <w:vAlign w:val="center"/>
          </w:tcPr>
          <w:p w14:paraId="011B9CD8">
            <w:pPr>
              <w:pStyle w:val="445"/>
              <w:rPr>
                <w:rFonts w:ascii="宋体" w:hAnsi="宋体" w:cs="Times New Roman"/>
                <w:kern w:val="0"/>
                <w:szCs w:val="20"/>
              </w:rPr>
            </w:pPr>
          </w:p>
        </w:tc>
        <w:tc>
          <w:tcPr>
            <w:tcW w:w="264" w:type="pct"/>
            <w:vMerge w:val="continue"/>
            <w:vAlign w:val="center"/>
          </w:tcPr>
          <w:p w14:paraId="1B5CC810">
            <w:pPr>
              <w:pStyle w:val="445"/>
              <w:rPr>
                <w:rFonts w:cs="Times New Roman"/>
                <w:kern w:val="0"/>
                <w:szCs w:val="18"/>
              </w:rPr>
            </w:pPr>
          </w:p>
        </w:tc>
        <w:tc>
          <w:tcPr>
            <w:tcW w:w="317" w:type="pct"/>
            <w:vMerge w:val="continue"/>
            <w:vAlign w:val="center"/>
          </w:tcPr>
          <w:p w14:paraId="5173CD21">
            <w:pPr>
              <w:pStyle w:val="445"/>
              <w:rPr>
                <w:rFonts w:cs="Times New Roman"/>
                <w:kern w:val="0"/>
                <w:szCs w:val="20"/>
              </w:rPr>
            </w:pPr>
          </w:p>
        </w:tc>
        <w:tc>
          <w:tcPr>
            <w:tcW w:w="301" w:type="pct"/>
            <w:vAlign w:val="center"/>
          </w:tcPr>
          <w:p w14:paraId="62913C9F">
            <w:pPr>
              <w:pStyle w:val="445"/>
              <w:rPr>
                <w:rFonts w:cs="Times New Roman"/>
                <w:kern w:val="0"/>
                <w:szCs w:val="20"/>
              </w:rPr>
            </w:pPr>
            <w:r>
              <w:rPr>
                <w:rFonts w:hint="eastAsia" w:cs="Times New Roman"/>
                <w:kern w:val="0"/>
                <w:szCs w:val="20"/>
              </w:rPr>
              <w:t>总磷</w:t>
            </w:r>
          </w:p>
        </w:tc>
        <w:tc>
          <w:tcPr>
            <w:tcW w:w="443" w:type="pct"/>
            <w:vAlign w:val="center"/>
          </w:tcPr>
          <w:p w14:paraId="78CF88CF">
            <w:pPr>
              <w:pStyle w:val="445"/>
              <w:rPr>
                <w:rFonts w:cs="Times New Roman"/>
                <w:kern w:val="0"/>
                <w:szCs w:val="20"/>
              </w:rPr>
            </w:pPr>
            <w:r>
              <w:rPr>
                <w:rFonts w:hint="eastAsia" w:cs="Times New Roman"/>
                <w:kern w:val="0"/>
                <w:szCs w:val="20"/>
              </w:rPr>
              <w:t>2</w:t>
            </w:r>
          </w:p>
        </w:tc>
        <w:tc>
          <w:tcPr>
            <w:tcW w:w="574" w:type="pct"/>
            <w:vAlign w:val="center"/>
          </w:tcPr>
          <w:p w14:paraId="4CC0605D">
            <w:pPr>
              <w:pStyle w:val="445"/>
              <w:rPr>
                <w:rFonts w:cs="Times New Roman"/>
                <w:kern w:val="0"/>
                <w:szCs w:val="20"/>
              </w:rPr>
            </w:pPr>
            <w:r>
              <w:rPr>
                <w:rFonts w:hint="eastAsia" w:cs="Times New Roman"/>
                <w:kern w:val="0"/>
                <w:szCs w:val="20"/>
              </w:rPr>
              <w:t>0.5</w:t>
            </w:r>
          </w:p>
        </w:tc>
        <w:tc>
          <w:tcPr>
            <w:tcW w:w="211" w:type="pct"/>
            <w:vAlign w:val="center"/>
          </w:tcPr>
          <w:p w14:paraId="0B3DB0AC">
            <w:pPr>
              <w:pStyle w:val="445"/>
              <w:rPr>
                <w:rFonts w:cs="Times New Roman"/>
                <w:kern w:val="0"/>
                <w:szCs w:val="20"/>
              </w:rPr>
            </w:pPr>
          </w:p>
        </w:tc>
      </w:tr>
      <w:tr w14:paraId="5AAE4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5BB4BD38">
            <w:pPr>
              <w:pStyle w:val="445"/>
              <w:rPr>
                <w:rFonts w:cs="Times New Roman"/>
                <w:kern w:val="0"/>
                <w:szCs w:val="20"/>
              </w:rPr>
            </w:pPr>
          </w:p>
        </w:tc>
        <w:tc>
          <w:tcPr>
            <w:tcW w:w="322" w:type="pct"/>
            <w:vMerge w:val="continue"/>
            <w:vAlign w:val="center"/>
          </w:tcPr>
          <w:p w14:paraId="3FCBFEC9">
            <w:pPr>
              <w:pStyle w:val="445"/>
              <w:rPr>
                <w:rFonts w:cs="Times New Roman"/>
                <w:kern w:val="0"/>
                <w:szCs w:val="20"/>
              </w:rPr>
            </w:pPr>
          </w:p>
        </w:tc>
        <w:tc>
          <w:tcPr>
            <w:tcW w:w="394" w:type="pct"/>
            <w:vMerge w:val="continue"/>
            <w:vAlign w:val="center"/>
          </w:tcPr>
          <w:p w14:paraId="0FFA3F03">
            <w:pPr>
              <w:pStyle w:val="445"/>
              <w:rPr>
                <w:rFonts w:cs="Times New Roman"/>
                <w:kern w:val="0"/>
                <w:szCs w:val="18"/>
              </w:rPr>
            </w:pPr>
          </w:p>
        </w:tc>
        <w:tc>
          <w:tcPr>
            <w:tcW w:w="435" w:type="pct"/>
            <w:vMerge w:val="continue"/>
            <w:vAlign w:val="center"/>
          </w:tcPr>
          <w:p w14:paraId="0E500F57">
            <w:pPr>
              <w:pStyle w:val="445"/>
              <w:rPr>
                <w:rFonts w:cs="Times New Roman"/>
                <w:kern w:val="0"/>
                <w:szCs w:val="20"/>
              </w:rPr>
            </w:pPr>
          </w:p>
        </w:tc>
        <w:tc>
          <w:tcPr>
            <w:tcW w:w="360" w:type="pct"/>
            <w:vMerge w:val="continue"/>
            <w:vAlign w:val="center"/>
          </w:tcPr>
          <w:p w14:paraId="30692764">
            <w:pPr>
              <w:pStyle w:val="445"/>
              <w:rPr>
                <w:rFonts w:cs="Times New Roman"/>
                <w:kern w:val="0"/>
                <w:szCs w:val="20"/>
              </w:rPr>
            </w:pPr>
          </w:p>
        </w:tc>
        <w:tc>
          <w:tcPr>
            <w:tcW w:w="342" w:type="pct"/>
            <w:vMerge w:val="continue"/>
            <w:vAlign w:val="center"/>
          </w:tcPr>
          <w:p w14:paraId="4D18F64D">
            <w:pPr>
              <w:pStyle w:val="445"/>
              <w:rPr>
                <w:rFonts w:cs="Times New Roman"/>
                <w:kern w:val="0"/>
                <w:szCs w:val="18"/>
              </w:rPr>
            </w:pPr>
          </w:p>
        </w:tc>
        <w:tc>
          <w:tcPr>
            <w:tcW w:w="878" w:type="pct"/>
            <w:vMerge w:val="continue"/>
            <w:vAlign w:val="center"/>
          </w:tcPr>
          <w:p w14:paraId="51ADD30B">
            <w:pPr>
              <w:pStyle w:val="445"/>
              <w:rPr>
                <w:rFonts w:ascii="宋体" w:hAnsi="宋体" w:cs="Times New Roman"/>
                <w:kern w:val="0"/>
                <w:szCs w:val="20"/>
              </w:rPr>
            </w:pPr>
          </w:p>
        </w:tc>
        <w:tc>
          <w:tcPr>
            <w:tcW w:w="264" w:type="pct"/>
            <w:vMerge w:val="continue"/>
            <w:vAlign w:val="center"/>
          </w:tcPr>
          <w:p w14:paraId="14863C7E">
            <w:pPr>
              <w:pStyle w:val="445"/>
              <w:rPr>
                <w:rFonts w:cs="Times New Roman"/>
                <w:kern w:val="0"/>
                <w:szCs w:val="18"/>
              </w:rPr>
            </w:pPr>
          </w:p>
        </w:tc>
        <w:tc>
          <w:tcPr>
            <w:tcW w:w="317" w:type="pct"/>
            <w:vMerge w:val="continue"/>
            <w:vAlign w:val="center"/>
          </w:tcPr>
          <w:p w14:paraId="7CCB6C09">
            <w:pPr>
              <w:pStyle w:val="445"/>
              <w:rPr>
                <w:rFonts w:cs="Times New Roman"/>
                <w:kern w:val="0"/>
                <w:szCs w:val="20"/>
              </w:rPr>
            </w:pPr>
          </w:p>
        </w:tc>
        <w:tc>
          <w:tcPr>
            <w:tcW w:w="301" w:type="pct"/>
            <w:vAlign w:val="center"/>
          </w:tcPr>
          <w:p w14:paraId="22FC934D">
            <w:pPr>
              <w:pStyle w:val="445"/>
              <w:rPr>
                <w:rFonts w:cs="Times New Roman"/>
                <w:kern w:val="0"/>
                <w:szCs w:val="20"/>
              </w:rPr>
            </w:pPr>
            <w:r>
              <w:rPr>
                <w:rFonts w:hint="eastAsia" w:cs="Times New Roman"/>
                <w:kern w:val="0"/>
                <w:szCs w:val="20"/>
              </w:rPr>
              <w:t>氟化物</w:t>
            </w:r>
          </w:p>
        </w:tc>
        <w:tc>
          <w:tcPr>
            <w:tcW w:w="443" w:type="pct"/>
            <w:vAlign w:val="center"/>
          </w:tcPr>
          <w:p w14:paraId="4EABB887">
            <w:pPr>
              <w:pStyle w:val="445"/>
              <w:rPr>
                <w:rFonts w:cs="Times New Roman"/>
                <w:kern w:val="0"/>
                <w:szCs w:val="20"/>
              </w:rPr>
            </w:pPr>
            <w:r>
              <w:rPr>
                <w:rFonts w:hint="eastAsia" w:cs="Times New Roman"/>
                <w:kern w:val="0"/>
                <w:szCs w:val="20"/>
              </w:rPr>
              <w:t>6</w:t>
            </w:r>
          </w:p>
        </w:tc>
        <w:tc>
          <w:tcPr>
            <w:tcW w:w="574" w:type="pct"/>
            <w:vAlign w:val="center"/>
          </w:tcPr>
          <w:p w14:paraId="2CD2FECB">
            <w:pPr>
              <w:pStyle w:val="445"/>
              <w:rPr>
                <w:rFonts w:cs="Times New Roman"/>
                <w:kern w:val="0"/>
                <w:szCs w:val="20"/>
              </w:rPr>
            </w:pPr>
            <w:r>
              <w:rPr>
                <w:rFonts w:hint="eastAsia" w:cs="Times New Roman"/>
                <w:kern w:val="0"/>
                <w:szCs w:val="20"/>
              </w:rPr>
              <w:t>/</w:t>
            </w:r>
          </w:p>
        </w:tc>
        <w:tc>
          <w:tcPr>
            <w:tcW w:w="211" w:type="pct"/>
            <w:vAlign w:val="center"/>
          </w:tcPr>
          <w:p w14:paraId="35856CDE">
            <w:pPr>
              <w:pStyle w:val="445"/>
              <w:rPr>
                <w:rFonts w:cs="Times New Roman"/>
                <w:kern w:val="0"/>
                <w:szCs w:val="20"/>
              </w:rPr>
            </w:pPr>
          </w:p>
        </w:tc>
      </w:tr>
      <w:tr w14:paraId="278DD4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69E14C79">
            <w:pPr>
              <w:pStyle w:val="445"/>
              <w:rPr>
                <w:rFonts w:cs="Times New Roman"/>
                <w:kern w:val="0"/>
                <w:szCs w:val="20"/>
              </w:rPr>
            </w:pPr>
          </w:p>
        </w:tc>
        <w:tc>
          <w:tcPr>
            <w:tcW w:w="322" w:type="pct"/>
            <w:vMerge w:val="continue"/>
            <w:vAlign w:val="center"/>
          </w:tcPr>
          <w:p w14:paraId="033FB266">
            <w:pPr>
              <w:pStyle w:val="445"/>
              <w:rPr>
                <w:rFonts w:cs="Times New Roman"/>
                <w:kern w:val="0"/>
                <w:szCs w:val="20"/>
              </w:rPr>
            </w:pPr>
          </w:p>
        </w:tc>
        <w:tc>
          <w:tcPr>
            <w:tcW w:w="394" w:type="pct"/>
            <w:vMerge w:val="continue"/>
            <w:vAlign w:val="center"/>
          </w:tcPr>
          <w:p w14:paraId="3DABB0DF">
            <w:pPr>
              <w:pStyle w:val="445"/>
              <w:rPr>
                <w:rFonts w:cs="Times New Roman"/>
                <w:kern w:val="0"/>
                <w:szCs w:val="20"/>
              </w:rPr>
            </w:pPr>
          </w:p>
        </w:tc>
        <w:tc>
          <w:tcPr>
            <w:tcW w:w="435" w:type="pct"/>
            <w:vMerge w:val="continue"/>
            <w:vAlign w:val="center"/>
          </w:tcPr>
          <w:p w14:paraId="7EAD2F3B">
            <w:pPr>
              <w:pStyle w:val="445"/>
              <w:rPr>
                <w:rFonts w:cs="Times New Roman"/>
                <w:kern w:val="0"/>
                <w:szCs w:val="20"/>
              </w:rPr>
            </w:pPr>
          </w:p>
        </w:tc>
        <w:tc>
          <w:tcPr>
            <w:tcW w:w="360" w:type="pct"/>
            <w:vMerge w:val="continue"/>
            <w:vAlign w:val="center"/>
          </w:tcPr>
          <w:p w14:paraId="54F9E192">
            <w:pPr>
              <w:pStyle w:val="445"/>
              <w:rPr>
                <w:rFonts w:cs="Times New Roman"/>
                <w:kern w:val="0"/>
                <w:szCs w:val="20"/>
              </w:rPr>
            </w:pPr>
          </w:p>
        </w:tc>
        <w:tc>
          <w:tcPr>
            <w:tcW w:w="342" w:type="pct"/>
            <w:vMerge w:val="continue"/>
            <w:vAlign w:val="center"/>
          </w:tcPr>
          <w:p w14:paraId="114F70B0">
            <w:pPr>
              <w:pStyle w:val="445"/>
              <w:rPr>
                <w:rFonts w:cs="Times New Roman"/>
                <w:kern w:val="0"/>
                <w:szCs w:val="20"/>
              </w:rPr>
            </w:pPr>
          </w:p>
        </w:tc>
        <w:tc>
          <w:tcPr>
            <w:tcW w:w="878" w:type="pct"/>
            <w:vMerge w:val="continue"/>
            <w:vAlign w:val="center"/>
          </w:tcPr>
          <w:p w14:paraId="2FA2D0D4">
            <w:pPr>
              <w:pStyle w:val="445"/>
              <w:rPr>
                <w:rFonts w:ascii="宋体" w:hAnsi="宋体" w:cs="Times New Roman"/>
                <w:kern w:val="0"/>
                <w:szCs w:val="20"/>
              </w:rPr>
            </w:pPr>
          </w:p>
        </w:tc>
        <w:tc>
          <w:tcPr>
            <w:tcW w:w="264" w:type="pct"/>
            <w:vMerge w:val="continue"/>
            <w:vAlign w:val="center"/>
          </w:tcPr>
          <w:p w14:paraId="14321409">
            <w:pPr>
              <w:pStyle w:val="445"/>
              <w:rPr>
                <w:rFonts w:cs="Times New Roman"/>
                <w:kern w:val="0"/>
                <w:szCs w:val="18"/>
              </w:rPr>
            </w:pPr>
          </w:p>
        </w:tc>
        <w:tc>
          <w:tcPr>
            <w:tcW w:w="317" w:type="pct"/>
            <w:vMerge w:val="continue"/>
            <w:vAlign w:val="center"/>
          </w:tcPr>
          <w:p w14:paraId="60374787">
            <w:pPr>
              <w:pStyle w:val="445"/>
              <w:rPr>
                <w:rFonts w:cs="Times New Roman"/>
                <w:kern w:val="0"/>
                <w:szCs w:val="20"/>
              </w:rPr>
            </w:pPr>
          </w:p>
        </w:tc>
        <w:tc>
          <w:tcPr>
            <w:tcW w:w="301" w:type="pct"/>
            <w:vAlign w:val="center"/>
          </w:tcPr>
          <w:p w14:paraId="43BFF0F7">
            <w:pPr>
              <w:pStyle w:val="445"/>
              <w:rPr>
                <w:rFonts w:ascii="宋体" w:hAnsi="宋体" w:cs="宋体"/>
                <w:kern w:val="0"/>
                <w:szCs w:val="20"/>
              </w:rPr>
            </w:pPr>
            <w:r>
              <w:rPr>
                <w:rFonts w:hint="eastAsia" w:ascii="宋体" w:hAnsi="宋体" w:cs="宋体"/>
                <w:kern w:val="0"/>
                <w:szCs w:val="20"/>
              </w:rPr>
              <w:t>盐分</w:t>
            </w:r>
          </w:p>
        </w:tc>
        <w:tc>
          <w:tcPr>
            <w:tcW w:w="443" w:type="pct"/>
            <w:vAlign w:val="center"/>
          </w:tcPr>
          <w:p w14:paraId="358C154A">
            <w:pPr>
              <w:pStyle w:val="445"/>
              <w:rPr>
                <w:rFonts w:cs="Times New Roman"/>
                <w:kern w:val="0"/>
                <w:szCs w:val="20"/>
              </w:rPr>
            </w:pPr>
            <w:r>
              <w:rPr>
                <w:rFonts w:cs="Times New Roman"/>
                <w:kern w:val="0"/>
                <w:szCs w:val="20"/>
              </w:rPr>
              <w:t>6</w:t>
            </w:r>
            <w:r>
              <w:rPr>
                <w:rFonts w:hint="eastAsia" w:cs="Times New Roman"/>
                <w:kern w:val="0"/>
                <w:szCs w:val="20"/>
              </w:rPr>
              <w:t>000</w:t>
            </w:r>
          </w:p>
        </w:tc>
        <w:tc>
          <w:tcPr>
            <w:tcW w:w="574" w:type="pct"/>
            <w:vAlign w:val="center"/>
          </w:tcPr>
          <w:p w14:paraId="5A197E64">
            <w:pPr>
              <w:pStyle w:val="445"/>
              <w:rPr>
                <w:rFonts w:cs="Times New Roman"/>
                <w:kern w:val="0"/>
                <w:szCs w:val="20"/>
              </w:rPr>
            </w:pPr>
            <w:r>
              <w:rPr>
                <w:rFonts w:hint="eastAsia" w:cs="Times New Roman"/>
                <w:kern w:val="0"/>
                <w:szCs w:val="20"/>
              </w:rPr>
              <w:t>/</w:t>
            </w:r>
          </w:p>
        </w:tc>
        <w:tc>
          <w:tcPr>
            <w:tcW w:w="211" w:type="pct"/>
            <w:vAlign w:val="center"/>
          </w:tcPr>
          <w:p w14:paraId="1F12993F">
            <w:pPr>
              <w:pStyle w:val="445"/>
              <w:rPr>
                <w:rFonts w:cs="Times New Roman"/>
                <w:kern w:val="0"/>
                <w:szCs w:val="20"/>
              </w:rPr>
            </w:pPr>
          </w:p>
        </w:tc>
      </w:tr>
      <w:tr w14:paraId="6164D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restart"/>
            <w:vAlign w:val="center"/>
          </w:tcPr>
          <w:p w14:paraId="0717C7E7">
            <w:pPr>
              <w:pStyle w:val="445"/>
              <w:rPr>
                <w:rFonts w:cs="Times New Roman"/>
                <w:kern w:val="0"/>
                <w:szCs w:val="20"/>
              </w:rPr>
            </w:pPr>
            <w:r>
              <w:rPr>
                <w:rFonts w:cs="Times New Roman"/>
                <w:kern w:val="0"/>
                <w:szCs w:val="20"/>
              </w:rPr>
              <w:t>2</w:t>
            </w:r>
          </w:p>
        </w:tc>
        <w:tc>
          <w:tcPr>
            <w:tcW w:w="322" w:type="pct"/>
            <w:vMerge w:val="restart"/>
            <w:vAlign w:val="center"/>
          </w:tcPr>
          <w:p w14:paraId="365CA888">
            <w:pPr>
              <w:pStyle w:val="445"/>
              <w:rPr>
                <w:rFonts w:cs="Times New Roman"/>
                <w:kern w:val="0"/>
                <w:szCs w:val="20"/>
              </w:rPr>
            </w:pPr>
            <w:r>
              <w:rPr>
                <w:rFonts w:hint="eastAsia" w:cs="Times New Roman"/>
                <w:kern w:val="0"/>
                <w:szCs w:val="20"/>
              </w:rPr>
              <w:t>DW002</w:t>
            </w:r>
          </w:p>
        </w:tc>
        <w:tc>
          <w:tcPr>
            <w:tcW w:w="394" w:type="pct"/>
            <w:vMerge w:val="restart"/>
            <w:vAlign w:val="center"/>
          </w:tcPr>
          <w:p w14:paraId="1BBA4B6A">
            <w:pPr>
              <w:pStyle w:val="445"/>
              <w:rPr>
                <w:rFonts w:cs="Times New Roman"/>
                <w:kern w:val="0"/>
                <w:szCs w:val="20"/>
              </w:rPr>
            </w:pPr>
            <w:r>
              <w:rPr>
                <w:rFonts w:hint="eastAsia" w:cs="Times New Roman"/>
                <w:kern w:val="0"/>
                <w:szCs w:val="20"/>
              </w:rPr>
              <w:t>车间</w:t>
            </w:r>
            <w:r>
              <w:rPr>
                <w:rFonts w:cs="Times New Roman"/>
                <w:kern w:val="0"/>
                <w:szCs w:val="20"/>
              </w:rPr>
              <w:t>排放口</w:t>
            </w:r>
          </w:p>
        </w:tc>
        <w:tc>
          <w:tcPr>
            <w:tcW w:w="435" w:type="pct"/>
            <w:vMerge w:val="restart"/>
            <w:vAlign w:val="center"/>
          </w:tcPr>
          <w:p w14:paraId="54EBEB76">
            <w:pPr>
              <w:pStyle w:val="445"/>
              <w:rPr>
                <w:rFonts w:cs="Times New Roman"/>
                <w:kern w:val="0"/>
                <w:szCs w:val="20"/>
              </w:rPr>
            </w:pPr>
            <w:r>
              <w:rPr>
                <w:rFonts w:cs="Times New Roman"/>
                <w:kern w:val="0"/>
                <w:szCs w:val="20"/>
              </w:rPr>
              <w:t>117.57696</w:t>
            </w:r>
          </w:p>
        </w:tc>
        <w:tc>
          <w:tcPr>
            <w:tcW w:w="360" w:type="pct"/>
            <w:vMerge w:val="restart"/>
            <w:vAlign w:val="center"/>
          </w:tcPr>
          <w:p w14:paraId="79B4F26B">
            <w:pPr>
              <w:pStyle w:val="445"/>
              <w:rPr>
                <w:rFonts w:cs="Times New Roman"/>
                <w:kern w:val="0"/>
                <w:szCs w:val="20"/>
              </w:rPr>
            </w:pPr>
            <w:r>
              <w:rPr>
                <w:rFonts w:cs="Times New Roman"/>
                <w:kern w:val="0"/>
                <w:szCs w:val="20"/>
              </w:rPr>
              <w:t>32.99186</w:t>
            </w:r>
          </w:p>
        </w:tc>
        <w:tc>
          <w:tcPr>
            <w:tcW w:w="342" w:type="pct"/>
            <w:vMerge w:val="restart"/>
            <w:vAlign w:val="center"/>
          </w:tcPr>
          <w:p w14:paraId="2DC4E9EF">
            <w:pPr>
              <w:pStyle w:val="445"/>
              <w:rPr>
                <w:rFonts w:cs="Times New Roman"/>
                <w:kern w:val="0"/>
                <w:szCs w:val="20"/>
              </w:rPr>
            </w:pPr>
            <w:r>
              <w:rPr>
                <w:rFonts w:hint="eastAsia" w:cs="Times New Roman"/>
                <w:kern w:val="0"/>
                <w:szCs w:val="18"/>
              </w:rPr>
              <w:t>厂区污水</w:t>
            </w:r>
            <w:r>
              <w:rPr>
                <w:rFonts w:cs="Times New Roman"/>
                <w:kern w:val="0"/>
                <w:szCs w:val="18"/>
              </w:rPr>
              <w:t>处理</w:t>
            </w:r>
            <w:r>
              <w:rPr>
                <w:rFonts w:hint="eastAsia" w:cs="Times New Roman"/>
                <w:kern w:val="0"/>
                <w:szCs w:val="20"/>
              </w:rPr>
              <w:t>站</w:t>
            </w:r>
          </w:p>
        </w:tc>
        <w:tc>
          <w:tcPr>
            <w:tcW w:w="878" w:type="pct"/>
            <w:vMerge w:val="restart"/>
            <w:vAlign w:val="center"/>
          </w:tcPr>
          <w:p w14:paraId="764F416D">
            <w:pPr>
              <w:pStyle w:val="445"/>
              <w:rPr>
                <w:rFonts w:cs="Times New Roman"/>
                <w:kern w:val="0"/>
                <w:szCs w:val="18"/>
              </w:rPr>
            </w:pPr>
            <w:r>
              <w:rPr>
                <w:rFonts w:hint="eastAsia" w:ascii="宋体" w:hAnsi="宋体" w:cs="Times New Roman"/>
                <w:kern w:val="0"/>
                <w:szCs w:val="20"/>
              </w:rPr>
              <w:t>间断排放，排放期间流量不稳定且无规律，但不属于冲击型排放</w:t>
            </w:r>
          </w:p>
        </w:tc>
        <w:tc>
          <w:tcPr>
            <w:tcW w:w="264" w:type="pct"/>
            <w:vMerge w:val="restart"/>
            <w:vAlign w:val="center"/>
          </w:tcPr>
          <w:p w14:paraId="598DD700">
            <w:pPr>
              <w:pStyle w:val="445"/>
              <w:rPr>
                <w:rFonts w:cs="Times New Roman"/>
                <w:kern w:val="0"/>
                <w:szCs w:val="18"/>
              </w:rPr>
            </w:pPr>
            <w:r>
              <w:rPr>
                <w:rFonts w:cs="Times New Roman"/>
                <w:kern w:val="0"/>
                <w:szCs w:val="18"/>
              </w:rPr>
              <w:t>24</w:t>
            </w:r>
            <w:r>
              <w:rPr>
                <w:rFonts w:hint="eastAsia" w:cs="Times New Roman"/>
                <w:kern w:val="0"/>
                <w:szCs w:val="18"/>
              </w:rPr>
              <w:t>小时</w:t>
            </w:r>
          </w:p>
        </w:tc>
        <w:tc>
          <w:tcPr>
            <w:tcW w:w="317" w:type="pct"/>
            <w:vMerge w:val="restart"/>
            <w:vAlign w:val="center"/>
          </w:tcPr>
          <w:p w14:paraId="317E0420">
            <w:pPr>
              <w:pStyle w:val="445"/>
              <w:rPr>
                <w:rFonts w:cs="Times New Roman"/>
                <w:kern w:val="0"/>
                <w:szCs w:val="20"/>
              </w:rPr>
            </w:pPr>
            <w:r>
              <w:rPr>
                <w:rFonts w:hint="eastAsia" w:cs="Times New Roman"/>
                <w:kern w:val="0"/>
                <w:szCs w:val="20"/>
              </w:rPr>
              <w:t>沫河口</w:t>
            </w:r>
            <w:r>
              <w:rPr>
                <w:rFonts w:cs="Times New Roman"/>
                <w:kern w:val="0"/>
                <w:szCs w:val="20"/>
              </w:rPr>
              <w:t>污水处理厂</w:t>
            </w:r>
          </w:p>
        </w:tc>
        <w:tc>
          <w:tcPr>
            <w:tcW w:w="301" w:type="pct"/>
            <w:vAlign w:val="center"/>
          </w:tcPr>
          <w:p w14:paraId="4A711365">
            <w:pPr>
              <w:pStyle w:val="445"/>
              <w:rPr>
                <w:rFonts w:cs="Times New Roman"/>
                <w:kern w:val="0"/>
                <w:szCs w:val="20"/>
              </w:rPr>
            </w:pPr>
            <w:r>
              <w:rPr>
                <w:rFonts w:eastAsia="等线" w:cs="Times New Roman"/>
                <w:kern w:val="0"/>
                <w:szCs w:val="20"/>
              </w:rPr>
              <w:t>COD</w:t>
            </w:r>
          </w:p>
        </w:tc>
        <w:tc>
          <w:tcPr>
            <w:tcW w:w="443" w:type="pct"/>
            <w:vAlign w:val="center"/>
          </w:tcPr>
          <w:p w14:paraId="6F01E660">
            <w:pPr>
              <w:pStyle w:val="445"/>
              <w:rPr>
                <w:rFonts w:cs="Times New Roman"/>
                <w:kern w:val="0"/>
                <w:szCs w:val="20"/>
              </w:rPr>
            </w:pPr>
            <w:r>
              <w:rPr>
                <w:rFonts w:cs="Times New Roman"/>
                <w:kern w:val="0"/>
                <w:szCs w:val="20"/>
              </w:rPr>
              <w:t>/</w:t>
            </w:r>
          </w:p>
        </w:tc>
        <w:tc>
          <w:tcPr>
            <w:tcW w:w="574" w:type="pct"/>
            <w:vAlign w:val="center"/>
          </w:tcPr>
          <w:p w14:paraId="36EFE52A">
            <w:pPr>
              <w:pStyle w:val="445"/>
              <w:rPr>
                <w:rFonts w:cs="Times New Roman"/>
                <w:kern w:val="0"/>
                <w:szCs w:val="20"/>
              </w:rPr>
            </w:pPr>
            <w:r>
              <w:rPr>
                <w:rFonts w:cs="Times New Roman"/>
                <w:kern w:val="0"/>
                <w:szCs w:val="20"/>
                <w:lang w:bidi="ar"/>
              </w:rPr>
              <w:t>/</w:t>
            </w:r>
          </w:p>
        </w:tc>
        <w:tc>
          <w:tcPr>
            <w:tcW w:w="211" w:type="pct"/>
            <w:vAlign w:val="center"/>
          </w:tcPr>
          <w:p w14:paraId="2C375280">
            <w:pPr>
              <w:pStyle w:val="445"/>
              <w:rPr>
                <w:rFonts w:cs="Times New Roman"/>
                <w:kern w:val="0"/>
                <w:szCs w:val="20"/>
              </w:rPr>
            </w:pPr>
          </w:p>
        </w:tc>
      </w:tr>
      <w:tr w14:paraId="1205E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744AC0BF">
            <w:pPr>
              <w:pStyle w:val="445"/>
              <w:rPr>
                <w:rFonts w:cs="Times New Roman"/>
                <w:kern w:val="0"/>
                <w:szCs w:val="20"/>
              </w:rPr>
            </w:pPr>
          </w:p>
        </w:tc>
        <w:tc>
          <w:tcPr>
            <w:tcW w:w="322" w:type="pct"/>
            <w:vMerge w:val="continue"/>
            <w:vAlign w:val="center"/>
          </w:tcPr>
          <w:p w14:paraId="72D1685A">
            <w:pPr>
              <w:pStyle w:val="445"/>
              <w:rPr>
                <w:rFonts w:cs="Times New Roman"/>
                <w:kern w:val="0"/>
                <w:szCs w:val="20"/>
              </w:rPr>
            </w:pPr>
          </w:p>
        </w:tc>
        <w:tc>
          <w:tcPr>
            <w:tcW w:w="394" w:type="pct"/>
            <w:vMerge w:val="continue"/>
            <w:vAlign w:val="center"/>
          </w:tcPr>
          <w:p w14:paraId="669D4665">
            <w:pPr>
              <w:pStyle w:val="445"/>
              <w:rPr>
                <w:rFonts w:cs="Times New Roman"/>
                <w:kern w:val="0"/>
                <w:szCs w:val="20"/>
              </w:rPr>
            </w:pPr>
          </w:p>
        </w:tc>
        <w:tc>
          <w:tcPr>
            <w:tcW w:w="435" w:type="pct"/>
            <w:vMerge w:val="continue"/>
            <w:vAlign w:val="center"/>
          </w:tcPr>
          <w:p w14:paraId="3AA27AB7">
            <w:pPr>
              <w:pStyle w:val="445"/>
              <w:rPr>
                <w:rFonts w:cs="Times New Roman"/>
                <w:kern w:val="0"/>
                <w:szCs w:val="20"/>
              </w:rPr>
            </w:pPr>
          </w:p>
        </w:tc>
        <w:tc>
          <w:tcPr>
            <w:tcW w:w="360" w:type="pct"/>
            <w:vMerge w:val="continue"/>
            <w:vAlign w:val="center"/>
          </w:tcPr>
          <w:p w14:paraId="064A9926">
            <w:pPr>
              <w:pStyle w:val="445"/>
              <w:rPr>
                <w:rFonts w:cs="Times New Roman"/>
                <w:kern w:val="0"/>
                <w:szCs w:val="20"/>
              </w:rPr>
            </w:pPr>
          </w:p>
        </w:tc>
        <w:tc>
          <w:tcPr>
            <w:tcW w:w="342" w:type="pct"/>
            <w:vMerge w:val="continue"/>
            <w:vAlign w:val="center"/>
          </w:tcPr>
          <w:p w14:paraId="76E1F209">
            <w:pPr>
              <w:pStyle w:val="445"/>
              <w:rPr>
                <w:rFonts w:cs="Times New Roman"/>
                <w:kern w:val="0"/>
                <w:szCs w:val="20"/>
              </w:rPr>
            </w:pPr>
          </w:p>
        </w:tc>
        <w:tc>
          <w:tcPr>
            <w:tcW w:w="878" w:type="pct"/>
            <w:vMerge w:val="continue"/>
            <w:vAlign w:val="center"/>
          </w:tcPr>
          <w:p w14:paraId="550F3C0E">
            <w:pPr>
              <w:pStyle w:val="445"/>
              <w:rPr>
                <w:rFonts w:ascii="宋体" w:hAnsi="宋体" w:cs="Times New Roman"/>
                <w:kern w:val="0"/>
                <w:szCs w:val="20"/>
              </w:rPr>
            </w:pPr>
          </w:p>
        </w:tc>
        <w:tc>
          <w:tcPr>
            <w:tcW w:w="264" w:type="pct"/>
            <w:vMerge w:val="continue"/>
            <w:vAlign w:val="center"/>
          </w:tcPr>
          <w:p w14:paraId="447FB76F">
            <w:pPr>
              <w:pStyle w:val="445"/>
              <w:rPr>
                <w:rFonts w:cs="Times New Roman"/>
                <w:kern w:val="0"/>
                <w:szCs w:val="18"/>
              </w:rPr>
            </w:pPr>
          </w:p>
        </w:tc>
        <w:tc>
          <w:tcPr>
            <w:tcW w:w="317" w:type="pct"/>
            <w:vMerge w:val="continue"/>
            <w:vAlign w:val="center"/>
          </w:tcPr>
          <w:p w14:paraId="72ACE8B3">
            <w:pPr>
              <w:pStyle w:val="445"/>
              <w:rPr>
                <w:rFonts w:cs="Times New Roman"/>
                <w:kern w:val="0"/>
                <w:szCs w:val="20"/>
              </w:rPr>
            </w:pPr>
          </w:p>
        </w:tc>
        <w:tc>
          <w:tcPr>
            <w:tcW w:w="301" w:type="pct"/>
            <w:vAlign w:val="center"/>
          </w:tcPr>
          <w:p w14:paraId="6E6810E3">
            <w:pPr>
              <w:pStyle w:val="445"/>
              <w:rPr>
                <w:rFonts w:eastAsia="等线" w:cs="Times New Roman"/>
                <w:kern w:val="0"/>
                <w:szCs w:val="20"/>
              </w:rPr>
            </w:pPr>
            <w:r>
              <w:rPr>
                <w:rFonts w:cs="Times New Roman"/>
                <w:kern w:val="0"/>
                <w:szCs w:val="20"/>
              </w:rPr>
              <w:t>SS</w:t>
            </w:r>
          </w:p>
        </w:tc>
        <w:tc>
          <w:tcPr>
            <w:tcW w:w="443" w:type="pct"/>
            <w:vAlign w:val="center"/>
          </w:tcPr>
          <w:p w14:paraId="295CCA07">
            <w:pPr>
              <w:pStyle w:val="445"/>
              <w:rPr>
                <w:rFonts w:cs="Times New Roman"/>
                <w:kern w:val="0"/>
                <w:szCs w:val="20"/>
              </w:rPr>
            </w:pPr>
            <w:r>
              <w:rPr>
                <w:rFonts w:cs="Times New Roman"/>
                <w:kern w:val="0"/>
                <w:szCs w:val="20"/>
              </w:rPr>
              <w:t>/</w:t>
            </w:r>
          </w:p>
        </w:tc>
        <w:tc>
          <w:tcPr>
            <w:tcW w:w="574" w:type="pct"/>
            <w:vAlign w:val="center"/>
          </w:tcPr>
          <w:p w14:paraId="67BF483B">
            <w:pPr>
              <w:pStyle w:val="445"/>
              <w:rPr>
                <w:rFonts w:cs="Times New Roman"/>
                <w:kern w:val="0"/>
                <w:szCs w:val="20"/>
              </w:rPr>
            </w:pPr>
            <w:r>
              <w:rPr>
                <w:rFonts w:cs="Times New Roman"/>
                <w:kern w:val="0"/>
                <w:szCs w:val="20"/>
                <w:lang w:bidi="ar"/>
              </w:rPr>
              <w:t>/</w:t>
            </w:r>
          </w:p>
        </w:tc>
        <w:tc>
          <w:tcPr>
            <w:tcW w:w="211" w:type="pct"/>
            <w:vAlign w:val="center"/>
          </w:tcPr>
          <w:p w14:paraId="3042E989">
            <w:pPr>
              <w:pStyle w:val="445"/>
              <w:rPr>
                <w:rFonts w:cs="Times New Roman"/>
                <w:kern w:val="0"/>
                <w:szCs w:val="20"/>
              </w:rPr>
            </w:pPr>
          </w:p>
        </w:tc>
      </w:tr>
      <w:tr w14:paraId="4B549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9" w:type="pct"/>
            <w:vMerge w:val="continue"/>
            <w:vAlign w:val="center"/>
          </w:tcPr>
          <w:p w14:paraId="07A3951D">
            <w:pPr>
              <w:pStyle w:val="445"/>
              <w:rPr>
                <w:rFonts w:cs="Times New Roman"/>
                <w:kern w:val="0"/>
                <w:szCs w:val="20"/>
              </w:rPr>
            </w:pPr>
          </w:p>
        </w:tc>
        <w:tc>
          <w:tcPr>
            <w:tcW w:w="322" w:type="pct"/>
            <w:vMerge w:val="continue"/>
            <w:vAlign w:val="center"/>
          </w:tcPr>
          <w:p w14:paraId="299C25F8">
            <w:pPr>
              <w:pStyle w:val="445"/>
              <w:rPr>
                <w:rFonts w:cs="Times New Roman"/>
                <w:kern w:val="0"/>
                <w:szCs w:val="20"/>
              </w:rPr>
            </w:pPr>
          </w:p>
        </w:tc>
        <w:tc>
          <w:tcPr>
            <w:tcW w:w="394" w:type="pct"/>
            <w:vMerge w:val="continue"/>
            <w:vAlign w:val="center"/>
          </w:tcPr>
          <w:p w14:paraId="666969EB">
            <w:pPr>
              <w:pStyle w:val="445"/>
              <w:rPr>
                <w:rFonts w:cs="Times New Roman"/>
                <w:kern w:val="0"/>
                <w:szCs w:val="20"/>
              </w:rPr>
            </w:pPr>
          </w:p>
        </w:tc>
        <w:tc>
          <w:tcPr>
            <w:tcW w:w="435" w:type="pct"/>
            <w:vMerge w:val="continue"/>
            <w:vAlign w:val="center"/>
          </w:tcPr>
          <w:p w14:paraId="75113981">
            <w:pPr>
              <w:pStyle w:val="445"/>
              <w:rPr>
                <w:rFonts w:cs="Times New Roman"/>
                <w:kern w:val="0"/>
                <w:szCs w:val="20"/>
              </w:rPr>
            </w:pPr>
          </w:p>
        </w:tc>
        <w:tc>
          <w:tcPr>
            <w:tcW w:w="360" w:type="pct"/>
            <w:vMerge w:val="continue"/>
            <w:vAlign w:val="center"/>
          </w:tcPr>
          <w:p w14:paraId="30D8019A">
            <w:pPr>
              <w:pStyle w:val="445"/>
              <w:rPr>
                <w:rFonts w:cs="Times New Roman"/>
                <w:kern w:val="0"/>
                <w:szCs w:val="20"/>
              </w:rPr>
            </w:pPr>
          </w:p>
        </w:tc>
        <w:tc>
          <w:tcPr>
            <w:tcW w:w="342" w:type="pct"/>
            <w:vMerge w:val="continue"/>
            <w:vAlign w:val="center"/>
          </w:tcPr>
          <w:p w14:paraId="69C22E9C">
            <w:pPr>
              <w:pStyle w:val="445"/>
              <w:rPr>
                <w:rFonts w:cs="Times New Roman"/>
                <w:kern w:val="0"/>
                <w:szCs w:val="20"/>
              </w:rPr>
            </w:pPr>
          </w:p>
        </w:tc>
        <w:tc>
          <w:tcPr>
            <w:tcW w:w="878" w:type="pct"/>
            <w:vMerge w:val="continue"/>
            <w:vAlign w:val="center"/>
          </w:tcPr>
          <w:p w14:paraId="59830351">
            <w:pPr>
              <w:pStyle w:val="445"/>
              <w:rPr>
                <w:rFonts w:ascii="宋体" w:hAnsi="宋体" w:cs="Times New Roman"/>
                <w:kern w:val="0"/>
                <w:szCs w:val="20"/>
              </w:rPr>
            </w:pPr>
          </w:p>
        </w:tc>
        <w:tc>
          <w:tcPr>
            <w:tcW w:w="264" w:type="pct"/>
            <w:vMerge w:val="continue"/>
            <w:vAlign w:val="center"/>
          </w:tcPr>
          <w:p w14:paraId="122322CE">
            <w:pPr>
              <w:pStyle w:val="445"/>
              <w:rPr>
                <w:rFonts w:cs="Times New Roman"/>
                <w:kern w:val="0"/>
                <w:szCs w:val="18"/>
              </w:rPr>
            </w:pPr>
          </w:p>
        </w:tc>
        <w:tc>
          <w:tcPr>
            <w:tcW w:w="317" w:type="pct"/>
            <w:vMerge w:val="continue"/>
            <w:vAlign w:val="center"/>
          </w:tcPr>
          <w:p w14:paraId="68FAED49">
            <w:pPr>
              <w:pStyle w:val="445"/>
              <w:rPr>
                <w:rFonts w:cs="Times New Roman"/>
                <w:kern w:val="0"/>
                <w:szCs w:val="20"/>
              </w:rPr>
            </w:pPr>
          </w:p>
        </w:tc>
        <w:tc>
          <w:tcPr>
            <w:tcW w:w="301" w:type="pct"/>
            <w:vAlign w:val="center"/>
          </w:tcPr>
          <w:p w14:paraId="7D6DE90D">
            <w:pPr>
              <w:pStyle w:val="445"/>
              <w:rPr>
                <w:rFonts w:cs="Times New Roman"/>
                <w:kern w:val="0"/>
                <w:szCs w:val="20"/>
              </w:rPr>
            </w:pPr>
            <w:r>
              <w:rPr>
                <w:rFonts w:hint="eastAsia" w:cs="Times New Roman"/>
                <w:kern w:val="0"/>
                <w:szCs w:val="20"/>
              </w:rPr>
              <w:t>氟化物</w:t>
            </w:r>
          </w:p>
        </w:tc>
        <w:tc>
          <w:tcPr>
            <w:tcW w:w="443" w:type="pct"/>
            <w:vAlign w:val="center"/>
          </w:tcPr>
          <w:p w14:paraId="7C928843">
            <w:pPr>
              <w:pStyle w:val="445"/>
              <w:rPr>
                <w:rFonts w:cs="Times New Roman"/>
                <w:kern w:val="0"/>
                <w:szCs w:val="20"/>
              </w:rPr>
            </w:pPr>
            <w:r>
              <w:rPr>
                <w:rFonts w:cs="Times New Roman"/>
                <w:kern w:val="0"/>
                <w:szCs w:val="20"/>
              </w:rPr>
              <w:t>/</w:t>
            </w:r>
          </w:p>
        </w:tc>
        <w:tc>
          <w:tcPr>
            <w:tcW w:w="574" w:type="pct"/>
            <w:vAlign w:val="center"/>
          </w:tcPr>
          <w:p w14:paraId="1C826BF3">
            <w:pPr>
              <w:pStyle w:val="445"/>
              <w:rPr>
                <w:rFonts w:cs="Times New Roman"/>
                <w:kern w:val="0"/>
                <w:szCs w:val="20"/>
              </w:rPr>
            </w:pPr>
            <w:r>
              <w:rPr>
                <w:rFonts w:cs="Times New Roman"/>
                <w:kern w:val="0"/>
                <w:szCs w:val="20"/>
                <w:lang w:bidi="ar"/>
              </w:rPr>
              <w:t>/</w:t>
            </w:r>
          </w:p>
        </w:tc>
        <w:tc>
          <w:tcPr>
            <w:tcW w:w="211" w:type="pct"/>
            <w:vAlign w:val="center"/>
          </w:tcPr>
          <w:p w14:paraId="52741B9F">
            <w:pPr>
              <w:pStyle w:val="445"/>
              <w:rPr>
                <w:rFonts w:cs="Times New Roman"/>
                <w:kern w:val="0"/>
                <w:szCs w:val="20"/>
              </w:rPr>
            </w:pPr>
          </w:p>
        </w:tc>
      </w:tr>
    </w:tbl>
    <w:p w14:paraId="460C2548">
      <w:pPr>
        <w:widowControl/>
        <w:adjustRightInd/>
        <w:snapToGrid/>
        <w:ind w:firstLine="0" w:firstLineChars="0"/>
        <w:jc w:val="left"/>
        <w:rPr>
          <w:rFonts w:eastAsia="黑体"/>
        </w:rPr>
        <w:sectPr>
          <w:pgSz w:w="16838" w:h="11906" w:orient="landscape"/>
          <w:pgMar w:top="1440" w:right="1440" w:bottom="1440" w:left="1440" w:header="851" w:footer="992" w:gutter="0"/>
          <w:cols w:space="720" w:num="1"/>
          <w:docGrid w:type="lines" w:linePitch="326" w:charSpace="0"/>
        </w:sectPr>
      </w:pPr>
    </w:p>
    <w:p w14:paraId="5AFF1B96">
      <w:pPr>
        <w:spacing w:line="500" w:lineRule="exact"/>
        <w:ind w:firstLine="0" w:firstLineChars="0"/>
        <w:jc w:val="center"/>
        <w:rPr>
          <w:rFonts w:eastAsia="黑体" w:cs="Times New Roman"/>
        </w:rPr>
      </w:pPr>
      <w:r>
        <w:rPr>
          <w:rFonts w:hint="eastAsia" w:ascii="黑体" w:hAnsi="黑体" w:eastAsia="黑体"/>
        </w:rPr>
        <w:t>表</w:t>
      </w:r>
      <w:r>
        <w:rPr>
          <w:rFonts w:hint="eastAsia" w:eastAsia="黑体"/>
        </w:rPr>
        <w:t>8.2.2-4</w:t>
      </w:r>
      <w:r>
        <w:rPr>
          <w:rFonts w:eastAsia="黑体"/>
        </w:rPr>
        <w:t xml:space="preserve">  </w:t>
      </w:r>
      <w:r>
        <w:rPr>
          <w:rFonts w:hint="eastAsia" w:ascii="黑体" w:hAnsi="黑体" w:eastAsia="黑体"/>
        </w:rPr>
        <w:t>项目</w:t>
      </w:r>
      <w:r>
        <w:rPr>
          <w:rFonts w:ascii="黑体" w:hAnsi="黑体" w:eastAsia="黑体"/>
        </w:rPr>
        <w:t>雨水</w:t>
      </w:r>
      <w:r>
        <w:rPr>
          <w:rFonts w:hint="eastAsia" w:ascii="黑体" w:hAnsi="黑体" w:eastAsia="黑体"/>
        </w:rPr>
        <w:t>排放口</w:t>
      </w:r>
      <w:r>
        <w:rPr>
          <w:rFonts w:ascii="黑体" w:hAnsi="黑体" w:eastAsia="黑体"/>
        </w:rPr>
        <w:t>基本情况表</w:t>
      </w:r>
    </w:p>
    <w:tbl>
      <w:tblPr>
        <w:tblStyle w:val="6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717"/>
        <w:gridCol w:w="524"/>
        <w:gridCol w:w="1544"/>
        <w:gridCol w:w="1445"/>
        <w:gridCol w:w="1298"/>
        <w:gridCol w:w="1298"/>
        <w:gridCol w:w="1006"/>
        <w:gridCol w:w="1153"/>
        <w:gridCol w:w="1153"/>
        <w:gridCol w:w="1298"/>
        <w:gridCol w:w="1298"/>
        <w:gridCol w:w="907"/>
      </w:tblGrid>
      <w:tr w14:paraId="1C974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4" w:type="pct"/>
            <w:vMerge w:val="restart"/>
            <w:vAlign w:val="center"/>
          </w:tcPr>
          <w:p w14:paraId="571E0323">
            <w:pPr>
              <w:pStyle w:val="445"/>
              <w:rPr>
                <w:rFonts w:cs="Times New Roman"/>
                <w:kern w:val="0"/>
                <w:szCs w:val="20"/>
              </w:rPr>
            </w:pPr>
            <w:r>
              <w:rPr>
                <w:rFonts w:cs="Times New Roman"/>
                <w:kern w:val="0"/>
                <w:szCs w:val="20"/>
              </w:rPr>
              <w:t>序号</w:t>
            </w:r>
          </w:p>
        </w:tc>
        <w:tc>
          <w:tcPr>
            <w:tcW w:w="190" w:type="pct"/>
            <w:vMerge w:val="restart"/>
            <w:vAlign w:val="center"/>
          </w:tcPr>
          <w:p w14:paraId="356B36F9">
            <w:pPr>
              <w:pStyle w:val="445"/>
              <w:rPr>
                <w:rFonts w:cs="Times New Roman"/>
                <w:kern w:val="0"/>
                <w:szCs w:val="20"/>
              </w:rPr>
            </w:pPr>
            <w:r>
              <w:rPr>
                <w:rFonts w:cs="Times New Roman"/>
                <w:kern w:val="0"/>
                <w:szCs w:val="20"/>
              </w:rPr>
              <w:t>排放口编号</w:t>
            </w:r>
          </w:p>
        </w:tc>
        <w:tc>
          <w:tcPr>
            <w:tcW w:w="190" w:type="pct"/>
            <w:vMerge w:val="restart"/>
            <w:vAlign w:val="center"/>
          </w:tcPr>
          <w:p w14:paraId="6D28BF74">
            <w:pPr>
              <w:pStyle w:val="445"/>
              <w:rPr>
                <w:rFonts w:cs="Times New Roman"/>
                <w:kern w:val="0"/>
                <w:szCs w:val="20"/>
              </w:rPr>
            </w:pPr>
            <w:r>
              <w:rPr>
                <w:rFonts w:hint="eastAsia" w:cs="Times New Roman"/>
                <w:kern w:val="0"/>
                <w:szCs w:val="20"/>
              </w:rPr>
              <w:t>排放口名称</w:t>
            </w:r>
          </w:p>
        </w:tc>
        <w:tc>
          <w:tcPr>
            <w:tcW w:w="1065" w:type="pct"/>
            <w:gridSpan w:val="2"/>
            <w:vAlign w:val="center"/>
          </w:tcPr>
          <w:p w14:paraId="4F45AC8B">
            <w:pPr>
              <w:pStyle w:val="445"/>
              <w:rPr>
                <w:rFonts w:cs="Times New Roman"/>
                <w:kern w:val="0"/>
                <w:szCs w:val="20"/>
              </w:rPr>
            </w:pPr>
            <w:r>
              <w:rPr>
                <w:rFonts w:cs="Times New Roman"/>
                <w:kern w:val="0"/>
                <w:szCs w:val="20"/>
              </w:rPr>
              <w:t>排放口地理坐标</w:t>
            </w:r>
          </w:p>
        </w:tc>
        <w:tc>
          <w:tcPr>
            <w:tcW w:w="463" w:type="pct"/>
            <w:vMerge w:val="restart"/>
            <w:vAlign w:val="center"/>
          </w:tcPr>
          <w:p w14:paraId="3EF91D73">
            <w:pPr>
              <w:pStyle w:val="445"/>
              <w:rPr>
                <w:rFonts w:cs="Times New Roman"/>
                <w:kern w:val="0"/>
                <w:szCs w:val="20"/>
              </w:rPr>
            </w:pPr>
            <w:r>
              <w:rPr>
                <w:rFonts w:cs="Times New Roman"/>
                <w:kern w:val="0"/>
                <w:szCs w:val="20"/>
              </w:rPr>
              <w:t>排放去向</w:t>
            </w:r>
          </w:p>
        </w:tc>
        <w:tc>
          <w:tcPr>
            <w:tcW w:w="463" w:type="pct"/>
            <w:vMerge w:val="restart"/>
            <w:vAlign w:val="center"/>
          </w:tcPr>
          <w:p w14:paraId="75EB8D28">
            <w:pPr>
              <w:pStyle w:val="445"/>
              <w:rPr>
                <w:rFonts w:cs="Times New Roman"/>
                <w:kern w:val="0"/>
                <w:szCs w:val="20"/>
              </w:rPr>
            </w:pPr>
            <w:r>
              <w:rPr>
                <w:rFonts w:cs="Times New Roman"/>
                <w:kern w:val="0"/>
                <w:szCs w:val="20"/>
              </w:rPr>
              <w:t>排放</w:t>
            </w:r>
            <w:r>
              <w:rPr>
                <w:rFonts w:hint="eastAsia" w:cs="Times New Roman"/>
                <w:kern w:val="0"/>
                <w:szCs w:val="20"/>
              </w:rPr>
              <w:t>规律</w:t>
            </w:r>
          </w:p>
        </w:tc>
        <w:tc>
          <w:tcPr>
            <w:tcW w:w="360" w:type="pct"/>
            <w:vMerge w:val="restart"/>
            <w:vAlign w:val="center"/>
          </w:tcPr>
          <w:p w14:paraId="68932333">
            <w:pPr>
              <w:pStyle w:val="445"/>
              <w:rPr>
                <w:rFonts w:cs="Times New Roman"/>
                <w:kern w:val="0"/>
                <w:szCs w:val="20"/>
              </w:rPr>
            </w:pPr>
            <w:r>
              <w:rPr>
                <w:rFonts w:cs="Times New Roman"/>
                <w:kern w:val="0"/>
                <w:szCs w:val="20"/>
              </w:rPr>
              <w:t>间歇排放时段</w:t>
            </w:r>
          </w:p>
        </w:tc>
        <w:tc>
          <w:tcPr>
            <w:tcW w:w="823" w:type="pct"/>
            <w:gridSpan w:val="2"/>
            <w:vAlign w:val="center"/>
          </w:tcPr>
          <w:p w14:paraId="6FBA5C7A">
            <w:pPr>
              <w:pStyle w:val="445"/>
              <w:rPr>
                <w:rFonts w:cs="Times New Roman"/>
                <w:kern w:val="0"/>
                <w:szCs w:val="20"/>
              </w:rPr>
            </w:pPr>
            <w:r>
              <w:rPr>
                <w:rFonts w:cs="Times New Roman"/>
                <w:kern w:val="0"/>
                <w:szCs w:val="20"/>
              </w:rPr>
              <w:t>受纳自然水体信息</w:t>
            </w:r>
          </w:p>
        </w:tc>
        <w:tc>
          <w:tcPr>
            <w:tcW w:w="926" w:type="pct"/>
            <w:gridSpan w:val="2"/>
            <w:vAlign w:val="center"/>
          </w:tcPr>
          <w:p w14:paraId="5B7AA550">
            <w:pPr>
              <w:pStyle w:val="445"/>
              <w:rPr>
                <w:rFonts w:cs="Times New Roman"/>
                <w:kern w:val="0"/>
                <w:szCs w:val="20"/>
              </w:rPr>
            </w:pPr>
            <w:r>
              <w:rPr>
                <w:rFonts w:cs="Times New Roman"/>
                <w:kern w:val="0"/>
                <w:szCs w:val="20"/>
              </w:rPr>
              <w:t>汇入受纳自然水体处地理坐标</w:t>
            </w:r>
          </w:p>
        </w:tc>
        <w:tc>
          <w:tcPr>
            <w:tcW w:w="326" w:type="pct"/>
            <w:vMerge w:val="restart"/>
            <w:vAlign w:val="center"/>
          </w:tcPr>
          <w:p w14:paraId="0B24C49C">
            <w:pPr>
              <w:pStyle w:val="445"/>
              <w:rPr>
                <w:rFonts w:cs="Times New Roman"/>
                <w:kern w:val="0"/>
                <w:szCs w:val="20"/>
              </w:rPr>
            </w:pPr>
            <w:r>
              <w:rPr>
                <w:rFonts w:cs="Times New Roman"/>
                <w:kern w:val="0"/>
                <w:szCs w:val="20"/>
              </w:rPr>
              <w:t>其他信息</w:t>
            </w:r>
          </w:p>
        </w:tc>
      </w:tr>
      <w:tr w14:paraId="7E8B33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4" w:type="pct"/>
            <w:vMerge w:val="continue"/>
            <w:vAlign w:val="center"/>
          </w:tcPr>
          <w:p w14:paraId="7189D90E">
            <w:pPr>
              <w:pStyle w:val="445"/>
              <w:rPr>
                <w:rFonts w:cs="Times New Roman"/>
                <w:kern w:val="0"/>
                <w:szCs w:val="20"/>
              </w:rPr>
            </w:pPr>
          </w:p>
        </w:tc>
        <w:tc>
          <w:tcPr>
            <w:tcW w:w="190" w:type="pct"/>
            <w:vMerge w:val="continue"/>
            <w:vAlign w:val="center"/>
          </w:tcPr>
          <w:p w14:paraId="5058D231">
            <w:pPr>
              <w:pStyle w:val="445"/>
              <w:rPr>
                <w:rFonts w:cs="Times New Roman"/>
                <w:kern w:val="0"/>
                <w:szCs w:val="20"/>
              </w:rPr>
            </w:pPr>
          </w:p>
        </w:tc>
        <w:tc>
          <w:tcPr>
            <w:tcW w:w="190" w:type="pct"/>
            <w:vMerge w:val="continue"/>
            <w:vAlign w:val="center"/>
          </w:tcPr>
          <w:p w14:paraId="7A846F0C">
            <w:pPr>
              <w:pStyle w:val="445"/>
              <w:rPr>
                <w:rFonts w:cs="Times New Roman"/>
                <w:kern w:val="0"/>
                <w:szCs w:val="20"/>
              </w:rPr>
            </w:pPr>
          </w:p>
        </w:tc>
        <w:tc>
          <w:tcPr>
            <w:tcW w:w="550" w:type="pct"/>
            <w:vAlign w:val="center"/>
          </w:tcPr>
          <w:p w14:paraId="45A529FA">
            <w:pPr>
              <w:pStyle w:val="445"/>
              <w:rPr>
                <w:rFonts w:cs="Times New Roman"/>
                <w:kern w:val="0"/>
                <w:szCs w:val="20"/>
              </w:rPr>
            </w:pPr>
            <w:r>
              <w:rPr>
                <w:rFonts w:cs="Times New Roman"/>
                <w:kern w:val="0"/>
                <w:szCs w:val="20"/>
              </w:rPr>
              <w:t>经度</w:t>
            </w:r>
          </w:p>
        </w:tc>
        <w:tc>
          <w:tcPr>
            <w:tcW w:w="515" w:type="pct"/>
            <w:vAlign w:val="center"/>
          </w:tcPr>
          <w:p w14:paraId="6C483728">
            <w:pPr>
              <w:pStyle w:val="445"/>
              <w:rPr>
                <w:rFonts w:cs="Times New Roman"/>
                <w:kern w:val="0"/>
                <w:szCs w:val="20"/>
              </w:rPr>
            </w:pPr>
            <w:r>
              <w:rPr>
                <w:rFonts w:cs="Times New Roman"/>
                <w:kern w:val="0"/>
                <w:szCs w:val="20"/>
              </w:rPr>
              <w:t>纬度</w:t>
            </w:r>
          </w:p>
        </w:tc>
        <w:tc>
          <w:tcPr>
            <w:tcW w:w="463" w:type="pct"/>
            <w:vMerge w:val="continue"/>
            <w:vAlign w:val="center"/>
          </w:tcPr>
          <w:p w14:paraId="2978E37B">
            <w:pPr>
              <w:pStyle w:val="445"/>
              <w:rPr>
                <w:rFonts w:cs="Times New Roman"/>
                <w:kern w:val="0"/>
                <w:szCs w:val="20"/>
              </w:rPr>
            </w:pPr>
          </w:p>
        </w:tc>
        <w:tc>
          <w:tcPr>
            <w:tcW w:w="463" w:type="pct"/>
            <w:vMerge w:val="continue"/>
            <w:vAlign w:val="center"/>
          </w:tcPr>
          <w:p w14:paraId="1DBBB988">
            <w:pPr>
              <w:pStyle w:val="445"/>
              <w:rPr>
                <w:rFonts w:cs="Times New Roman"/>
                <w:kern w:val="0"/>
                <w:szCs w:val="20"/>
              </w:rPr>
            </w:pPr>
          </w:p>
        </w:tc>
        <w:tc>
          <w:tcPr>
            <w:tcW w:w="360" w:type="pct"/>
            <w:vMerge w:val="continue"/>
            <w:vAlign w:val="center"/>
          </w:tcPr>
          <w:p w14:paraId="45C953B3">
            <w:pPr>
              <w:pStyle w:val="445"/>
              <w:rPr>
                <w:rFonts w:cs="Times New Roman"/>
                <w:kern w:val="0"/>
                <w:szCs w:val="20"/>
              </w:rPr>
            </w:pPr>
          </w:p>
        </w:tc>
        <w:tc>
          <w:tcPr>
            <w:tcW w:w="412" w:type="pct"/>
            <w:vAlign w:val="center"/>
          </w:tcPr>
          <w:p w14:paraId="579CC3D5">
            <w:pPr>
              <w:pStyle w:val="445"/>
              <w:rPr>
                <w:rFonts w:cs="Times New Roman"/>
                <w:kern w:val="0"/>
                <w:szCs w:val="20"/>
              </w:rPr>
            </w:pPr>
            <w:r>
              <w:rPr>
                <w:rFonts w:hint="eastAsia" w:cs="Times New Roman"/>
                <w:kern w:val="0"/>
                <w:szCs w:val="20"/>
              </w:rPr>
              <w:t>水体</w:t>
            </w:r>
            <w:r>
              <w:rPr>
                <w:rFonts w:cs="Times New Roman"/>
                <w:kern w:val="0"/>
                <w:szCs w:val="20"/>
              </w:rPr>
              <w:t>名称</w:t>
            </w:r>
          </w:p>
        </w:tc>
        <w:tc>
          <w:tcPr>
            <w:tcW w:w="412" w:type="pct"/>
            <w:vAlign w:val="center"/>
          </w:tcPr>
          <w:p w14:paraId="341198FF">
            <w:pPr>
              <w:pStyle w:val="445"/>
              <w:rPr>
                <w:rFonts w:cs="Times New Roman"/>
                <w:kern w:val="0"/>
                <w:szCs w:val="20"/>
              </w:rPr>
            </w:pPr>
            <w:r>
              <w:rPr>
                <w:rFonts w:cs="Times New Roman"/>
                <w:kern w:val="0"/>
                <w:szCs w:val="20"/>
              </w:rPr>
              <w:t>受纳水体功能目标</w:t>
            </w:r>
          </w:p>
        </w:tc>
        <w:tc>
          <w:tcPr>
            <w:tcW w:w="463" w:type="pct"/>
            <w:vAlign w:val="center"/>
          </w:tcPr>
          <w:p w14:paraId="22274794">
            <w:pPr>
              <w:pStyle w:val="445"/>
              <w:rPr>
                <w:rFonts w:cs="Times New Roman"/>
                <w:kern w:val="0"/>
                <w:szCs w:val="20"/>
              </w:rPr>
            </w:pPr>
            <w:r>
              <w:rPr>
                <w:rFonts w:cs="Times New Roman"/>
                <w:kern w:val="0"/>
                <w:szCs w:val="20"/>
              </w:rPr>
              <w:t>经度</w:t>
            </w:r>
          </w:p>
        </w:tc>
        <w:tc>
          <w:tcPr>
            <w:tcW w:w="463" w:type="pct"/>
            <w:vAlign w:val="center"/>
          </w:tcPr>
          <w:p w14:paraId="57F1C38B">
            <w:pPr>
              <w:pStyle w:val="445"/>
              <w:rPr>
                <w:rFonts w:cs="Times New Roman"/>
                <w:kern w:val="0"/>
                <w:szCs w:val="20"/>
              </w:rPr>
            </w:pPr>
            <w:r>
              <w:rPr>
                <w:rFonts w:cs="Times New Roman"/>
                <w:kern w:val="0"/>
                <w:szCs w:val="20"/>
              </w:rPr>
              <w:t>纬度</w:t>
            </w:r>
          </w:p>
        </w:tc>
        <w:tc>
          <w:tcPr>
            <w:tcW w:w="326" w:type="pct"/>
            <w:vMerge w:val="continue"/>
            <w:vAlign w:val="center"/>
          </w:tcPr>
          <w:p w14:paraId="70E78FF9">
            <w:pPr>
              <w:pStyle w:val="445"/>
              <w:rPr>
                <w:rFonts w:cs="Times New Roman"/>
                <w:kern w:val="0"/>
                <w:szCs w:val="20"/>
              </w:rPr>
            </w:pPr>
          </w:p>
        </w:tc>
      </w:tr>
      <w:tr w14:paraId="40AF7F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4" w:type="pct"/>
            <w:vAlign w:val="center"/>
          </w:tcPr>
          <w:p w14:paraId="3D4577DF">
            <w:pPr>
              <w:pStyle w:val="445"/>
              <w:rPr>
                <w:rFonts w:cs="Times New Roman"/>
                <w:kern w:val="0"/>
                <w:szCs w:val="20"/>
              </w:rPr>
            </w:pPr>
            <w:r>
              <w:rPr>
                <w:rFonts w:hint="eastAsia" w:cs="Times New Roman"/>
                <w:kern w:val="0"/>
                <w:szCs w:val="20"/>
              </w:rPr>
              <w:t>1</w:t>
            </w:r>
          </w:p>
        </w:tc>
        <w:tc>
          <w:tcPr>
            <w:tcW w:w="190" w:type="pct"/>
            <w:vAlign w:val="center"/>
          </w:tcPr>
          <w:p w14:paraId="2D148326">
            <w:pPr>
              <w:pStyle w:val="445"/>
              <w:rPr>
                <w:rFonts w:cs="Times New Roman"/>
                <w:kern w:val="0"/>
                <w:szCs w:val="20"/>
              </w:rPr>
            </w:pPr>
            <w:r>
              <w:rPr>
                <w:rFonts w:hint="eastAsia" w:cs="Times New Roman"/>
                <w:kern w:val="0"/>
                <w:szCs w:val="20"/>
              </w:rPr>
              <w:t>YS001</w:t>
            </w:r>
          </w:p>
        </w:tc>
        <w:tc>
          <w:tcPr>
            <w:tcW w:w="190" w:type="pct"/>
            <w:vAlign w:val="center"/>
          </w:tcPr>
          <w:p w14:paraId="06F81A2E">
            <w:pPr>
              <w:pStyle w:val="445"/>
              <w:rPr>
                <w:rFonts w:cs="Times New Roman"/>
                <w:kern w:val="0"/>
                <w:szCs w:val="20"/>
              </w:rPr>
            </w:pPr>
            <w:r>
              <w:rPr>
                <w:rFonts w:hint="eastAsia" w:cs="Times New Roman"/>
                <w:kern w:val="0"/>
                <w:szCs w:val="20"/>
              </w:rPr>
              <w:t>雨水</w:t>
            </w:r>
            <w:r>
              <w:rPr>
                <w:rFonts w:cs="Times New Roman"/>
                <w:kern w:val="0"/>
                <w:szCs w:val="20"/>
              </w:rPr>
              <w:t>排放口</w:t>
            </w:r>
          </w:p>
        </w:tc>
        <w:tc>
          <w:tcPr>
            <w:tcW w:w="550" w:type="pct"/>
            <w:vAlign w:val="center"/>
          </w:tcPr>
          <w:p w14:paraId="77111439">
            <w:pPr>
              <w:pStyle w:val="445"/>
              <w:rPr>
                <w:rFonts w:cs="Times New Roman"/>
                <w:kern w:val="0"/>
                <w:szCs w:val="20"/>
              </w:rPr>
            </w:pPr>
            <w:r>
              <w:rPr>
                <w:rFonts w:cs="Times New Roman"/>
                <w:kern w:val="0"/>
                <w:szCs w:val="20"/>
              </w:rPr>
              <w:t>117.57490</w:t>
            </w:r>
          </w:p>
        </w:tc>
        <w:tc>
          <w:tcPr>
            <w:tcW w:w="515" w:type="pct"/>
            <w:vAlign w:val="center"/>
          </w:tcPr>
          <w:p w14:paraId="6541D3C7">
            <w:pPr>
              <w:pStyle w:val="445"/>
              <w:rPr>
                <w:rFonts w:cs="Times New Roman"/>
                <w:kern w:val="0"/>
                <w:szCs w:val="20"/>
              </w:rPr>
            </w:pPr>
            <w:r>
              <w:rPr>
                <w:rFonts w:cs="Times New Roman"/>
                <w:kern w:val="0"/>
                <w:szCs w:val="20"/>
              </w:rPr>
              <w:t>32.99048</w:t>
            </w:r>
          </w:p>
        </w:tc>
        <w:tc>
          <w:tcPr>
            <w:tcW w:w="463" w:type="pct"/>
            <w:vAlign w:val="center"/>
          </w:tcPr>
          <w:p w14:paraId="296669E9">
            <w:pPr>
              <w:pStyle w:val="445"/>
              <w:rPr>
                <w:rFonts w:cs="Times New Roman"/>
                <w:kern w:val="0"/>
                <w:szCs w:val="20"/>
              </w:rPr>
            </w:pPr>
            <w:r>
              <w:rPr>
                <w:rFonts w:hint="eastAsia" w:cs="Times New Roman"/>
                <w:kern w:val="0"/>
                <w:szCs w:val="20"/>
              </w:rPr>
              <w:t>进入城市下水道（再入江河、湖、库）</w:t>
            </w:r>
          </w:p>
        </w:tc>
        <w:tc>
          <w:tcPr>
            <w:tcW w:w="463" w:type="pct"/>
            <w:vAlign w:val="center"/>
          </w:tcPr>
          <w:p w14:paraId="58F9E9B5">
            <w:pPr>
              <w:pStyle w:val="445"/>
              <w:rPr>
                <w:rFonts w:cs="Times New Roman"/>
                <w:kern w:val="0"/>
                <w:szCs w:val="20"/>
              </w:rPr>
            </w:pPr>
            <w:r>
              <w:rPr>
                <w:rFonts w:hint="eastAsia" w:cs="Times New Roman"/>
                <w:kern w:val="0"/>
                <w:szCs w:val="20"/>
              </w:rPr>
              <w:t>间断排放，排放期间流量稳定</w:t>
            </w:r>
          </w:p>
        </w:tc>
        <w:tc>
          <w:tcPr>
            <w:tcW w:w="360" w:type="pct"/>
            <w:vAlign w:val="center"/>
          </w:tcPr>
          <w:p w14:paraId="0687AB56">
            <w:pPr>
              <w:pStyle w:val="445"/>
              <w:rPr>
                <w:rFonts w:cs="Times New Roman"/>
                <w:kern w:val="0"/>
                <w:szCs w:val="20"/>
              </w:rPr>
            </w:pPr>
            <w:r>
              <w:rPr>
                <w:rFonts w:hint="eastAsia" w:cs="Times New Roman"/>
                <w:kern w:val="0"/>
                <w:szCs w:val="20"/>
              </w:rPr>
              <w:t>下雨时</w:t>
            </w:r>
          </w:p>
        </w:tc>
        <w:tc>
          <w:tcPr>
            <w:tcW w:w="412" w:type="pct"/>
            <w:vAlign w:val="center"/>
          </w:tcPr>
          <w:p w14:paraId="1DC4A8E8">
            <w:pPr>
              <w:pStyle w:val="445"/>
              <w:rPr>
                <w:rFonts w:cs="Times New Roman"/>
                <w:kern w:val="0"/>
                <w:szCs w:val="20"/>
              </w:rPr>
            </w:pPr>
            <w:r>
              <w:rPr>
                <w:rFonts w:hint="eastAsia" w:cs="Times New Roman"/>
                <w:kern w:val="0"/>
                <w:szCs w:val="20"/>
              </w:rPr>
              <w:t>沫冲引河</w:t>
            </w:r>
          </w:p>
        </w:tc>
        <w:tc>
          <w:tcPr>
            <w:tcW w:w="412" w:type="pct"/>
            <w:vAlign w:val="center"/>
          </w:tcPr>
          <w:p w14:paraId="1C909BA2">
            <w:pPr>
              <w:pStyle w:val="445"/>
              <w:rPr>
                <w:rFonts w:cs="Times New Roman"/>
                <w:kern w:val="0"/>
                <w:szCs w:val="20"/>
              </w:rPr>
            </w:pPr>
            <w:r>
              <w:rPr>
                <w:rFonts w:hint="eastAsia" w:cs="Times New Roman"/>
                <w:kern w:val="0"/>
                <w:szCs w:val="20"/>
              </w:rPr>
              <w:t>/</w:t>
            </w:r>
          </w:p>
        </w:tc>
        <w:tc>
          <w:tcPr>
            <w:tcW w:w="463" w:type="pct"/>
            <w:vAlign w:val="center"/>
          </w:tcPr>
          <w:p w14:paraId="72AF5709">
            <w:pPr>
              <w:pStyle w:val="445"/>
              <w:rPr>
                <w:rFonts w:cs="Times New Roman"/>
                <w:kern w:val="0"/>
                <w:szCs w:val="20"/>
              </w:rPr>
            </w:pPr>
            <w:r>
              <w:rPr>
                <w:rFonts w:cs="Times New Roman"/>
                <w:kern w:val="0"/>
                <w:szCs w:val="20"/>
              </w:rPr>
              <w:t>117.56491</w:t>
            </w:r>
          </w:p>
        </w:tc>
        <w:tc>
          <w:tcPr>
            <w:tcW w:w="463" w:type="pct"/>
            <w:vAlign w:val="center"/>
          </w:tcPr>
          <w:p w14:paraId="4BAAF585">
            <w:pPr>
              <w:pStyle w:val="445"/>
              <w:rPr>
                <w:rFonts w:cs="Times New Roman"/>
                <w:kern w:val="0"/>
                <w:szCs w:val="20"/>
              </w:rPr>
            </w:pPr>
            <w:r>
              <w:rPr>
                <w:rFonts w:cs="Times New Roman"/>
                <w:kern w:val="0"/>
                <w:szCs w:val="20"/>
              </w:rPr>
              <w:t>32.981194</w:t>
            </w:r>
          </w:p>
        </w:tc>
        <w:tc>
          <w:tcPr>
            <w:tcW w:w="326" w:type="pct"/>
            <w:vAlign w:val="center"/>
          </w:tcPr>
          <w:p w14:paraId="7899D5E4">
            <w:pPr>
              <w:pStyle w:val="445"/>
              <w:rPr>
                <w:rFonts w:cs="Times New Roman"/>
                <w:kern w:val="0"/>
                <w:szCs w:val="20"/>
              </w:rPr>
            </w:pPr>
          </w:p>
        </w:tc>
      </w:tr>
    </w:tbl>
    <w:p w14:paraId="763CCE70">
      <w:pPr>
        <w:widowControl/>
        <w:adjustRightInd/>
        <w:snapToGrid/>
        <w:ind w:firstLine="0" w:firstLineChars="0"/>
        <w:jc w:val="left"/>
        <w:sectPr>
          <w:pgSz w:w="16840" w:h="11907" w:orient="landscape"/>
          <w:pgMar w:top="1440" w:right="1440" w:bottom="1440" w:left="1440" w:header="851" w:footer="992" w:gutter="0"/>
          <w:cols w:space="720" w:num="1"/>
          <w:docGrid w:type="lines" w:linePitch="326" w:charSpace="0"/>
        </w:sectPr>
      </w:pPr>
    </w:p>
    <w:p w14:paraId="15C8862B">
      <w:pPr>
        <w:ind w:firstLine="480"/>
        <w:rPr>
          <w:rFonts w:cs="Times New Roman"/>
        </w:rPr>
      </w:pPr>
      <w:r>
        <w:rPr>
          <w:rFonts w:hint="eastAsia" w:ascii="宋体" w:hAnsi="宋体"/>
        </w:rPr>
        <w:t>（</w:t>
      </w:r>
      <w:r>
        <w:rPr>
          <w:rFonts w:hint="eastAsia"/>
        </w:rPr>
        <w:t>3</w:t>
      </w:r>
      <w:r>
        <w:rPr>
          <w:rFonts w:hint="eastAsia" w:ascii="宋体" w:hAnsi="宋体"/>
        </w:rPr>
        <w:t>）噪声</w:t>
      </w:r>
    </w:p>
    <w:p w14:paraId="48CFCD41">
      <w:pPr>
        <w:ind w:firstLine="480"/>
      </w:pPr>
      <w:r>
        <w:rPr>
          <w:rFonts w:hint="eastAsia" w:ascii="宋体" w:hAnsi="宋体"/>
        </w:rPr>
        <w:t>本项目</w:t>
      </w:r>
      <w:r>
        <w:rPr>
          <w:rFonts w:ascii="宋体" w:hAnsi="宋体"/>
        </w:rPr>
        <w:t>噪声排放</w:t>
      </w:r>
      <w:r>
        <w:rPr>
          <w:rFonts w:hint="eastAsia" w:ascii="宋体" w:hAnsi="宋体"/>
        </w:rPr>
        <w:t>信息</w:t>
      </w:r>
      <w:r>
        <w:rPr>
          <w:rFonts w:ascii="宋体" w:hAnsi="宋体"/>
        </w:rPr>
        <w:t>见表</w:t>
      </w:r>
      <w:r>
        <w:rPr>
          <w:rFonts w:hint="eastAsia"/>
        </w:rPr>
        <w:t>8.2.2</w:t>
      </w:r>
      <w:r>
        <w:t>-5</w:t>
      </w:r>
      <w:r>
        <w:rPr>
          <w:rFonts w:hint="eastAsia" w:ascii="宋体" w:hAnsi="宋体"/>
        </w:rPr>
        <w:t>。</w:t>
      </w:r>
    </w:p>
    <w:p w14:paraId="670201D7">
      <w:pPr>
        <w:spacing w:line="500" w:lineRule="exact"/>
        <w:ind w:firstLine="0" w:firstLineChars="0"/>
        <w:jc w:val="center"/>
        <w:rPr>
          <w:rFonts w:eastAsia="黑体"/>
        </w:rPr>
      </w:pPr>
      <w:r>
        <w:rPr>
          <w:rFonts w:hint="eastAsia" w:ascii="黑体" w:hAnsi="黑体" w:eastAsia="黑体"/>
        </w:rPr>
        <w:t>表</w:t>
      </w:r>
      <w:r>
        <w:rPr>
          <w:rFonts w:hint="eastAsia" w:eastAsia="黑体"/>
        </w:rPr>
        <w:t>8.2.2</w:t>
      </w:r>
      <w:r>
        <w:rPr>
          <w:rFonts w:eastAsia="黑体"/>
        </w:rPr>
        <w:t xml:space="preserve">-5  </w:t>
      </w:r>
      <w:r>
        <w:rPr>
          <w:rFonts w:hint="eastAsia" w:ascii="黑体" w:hAnsi="黑体" w:eastAsia="黑体"/>
        </w:rPr>
        <w:t>噪声</w:t>
      </w:r>
      <w:r>
        <w:rPr>
          <w:rFonts w:ascii="黑体" w:hAnsi="黑体" w:eastAsia="黑体"/>
        </w:rPr>
        <w:t>排放信息表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1017"/>
        <w:gridCol w:w="1017"/>
        <w:gridCol w:w="2612"/>
        <w:gridCol w:w="1307"/>
        <w:gridCol w:w="1307"/>
        <w:gridCol w:w="821"/>
      </w:tblGrid>
      <w:tr w14:paraId="23DA8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629" w:type="pct"/>
            <w:vMerge w:val="restart"/>
            <w:tcBorders>
              <w:top w:val="single" w:color="auto" w:sz="12" w:space="0"/>
              <w:left w:val="nil"/>
              <w:bottom w:val="single" w:color="auto" w:sz="4" w:space="0"/>
              <w:right w:val="single" w:color="auto" w:sz="4" w:space="0"/>
            </w:tcBorders>
            <w:vAlign w:val="center"/>
          </w:tcPr>
          <w:p w14:paraId="530D7D08">
            <w:pPr>
              <w:pStyle w:val="445"/>
              <w:rPr>
                <w:rFonts w:cs="Times New Roman"/>
                <w:kern w:val="0"/>
                <w:szCs w:val="20"/>
              </w:rPr>
            </w:pPr>
            <w:r>
              <w:rPr>
                <w:rFonts w:hint="eastAsia" w:cs="Times New Roman"/>
                <w:kern w:val="0"/>
                <w:szCs w:val="20"/>
              </w:rPr>
              <w:t>噪声</w:t>
            </w:r>
            <w:r>
              <w:rPr>
                <w:rFonts w:cs="Times New Roman"/>
                <w:kern w:val="0"/>
                <w:szCs w:val="20"/>
              </w:rPr>
              <w:t>类别</w:t>
            </w:r>
          </w:p>
        </w:tc>
        <w:tc>
          <w:tcPr>
            <w:tcW w:w="1100" w:type="pct"/>
            <w:gridSpan w:val="2"/>
            <w:tcBorders>
              <w:top w:val="single" w:color="auto" w:sz="12" w:space="0"/>
              <w:left w:val="single" w:color="auto" w:sz="4" w:space="0"/>
              <w:bottom w:val="single" w:color="auto" w:sz="4" w:space="0"/>
              <w:right w:val="single" w:color="auto" w:sz="4" w:space="0"/>
            </w:tcBorders>
            <w:vAlign w:val="center"/>
          </w:tcPr>
          <w:p w14:paraId="47827346">
            <w:pPr>
              <w:pStyle w:val="445"/>
              <w:rPr>
                <w:rFonts w:cs="Times New Roman"/>
                <w:kern w:val="0"/>
                <w:szCs w:val="20"/>
              </w:rPr>
            </w:pPr>
            <w:r>
              <w:rPr>
                <w:rFonts w:hint="eastAsia" w:cs="Times New Roman"/>
                <w:kern w:val="0"/>
                <w:szCs w:val="20"/>
              </w:rPr>
              <w:t>生产</w:t>
            </w:r>
            <w:r>
              <w:rPr>
                <w:rFonts w:cs="Times New Roman"/>
                <w:kern w:val="0"/>
                <w:szCs w:val="20"/>
              </w:rPr>
              <w:t>时段</w:t>
            </w:r>
          </w:p>
        </w:tc>
        <w:tc>
          <w:tcPr>
            <w:tcW w:w="1413" w:type="pct"/>
            <w:vMerge w:val="restart"/>
            <w:tcBorders>
              <w:top w:val="single" w:color="auto" w:sz="12" w:space="0"/>
              <w:left w:val="single" w:color="auto" w:sz="4" w:space="0"/>
              <w:bottom w:val="single" w:color="auto" w:sz="4" w:space="0"/>
              <w:right w:val="single" w:color="auto" w:sz="4" w:space="0"/>
            </w:tcBorders>
            <w:vAlign w:val="center"/>
          </w:tcPr>
          <w:p w14:paraId="728D1653">
            <w:pPr>
              <w:pStyle w:val="445"/>
              <w:rPr>
                <w:rFonts w:cs="Times New Roman"/>
                <w:kern w:val="0"/>
                <w:szCs w:val="20"/>
              </w:rPr>
            </w:pPr>
            <w:r>
              <w:rPr>
                <w:rFonts w:hint="eastAsia" w:cs="Times New Roman"/>
                <w:kern w:val="0"/>
                <w:szCs w:val="20"/>
              </w:rPr>
              <w:t>执行</w:t>
            </w:r>
            <w:r>
              <w:rPr>
                <w:rFonts w:cs="Times New Roman"/>
                <w:kern w:val="0"/>
                <w:szCs w:val="20"/>
              </w:rPr>
              <w:t>排放标准名称</w:t>
            </w:r>
          </w:p>
        </w:tc>
        <w:tc>
          <w:tcPr>
            <w:tcW w:w="1414" w:type="pct"/>
            <w:gridSpan w:val="2"/>
            <w:tcBorders>
              <w:top w:val="single" w:color="auto" w:sz="12" w:space="0"/>
              <w:left w:val="single" w:color="auto" w:sz="4" w:space="0"/>
              <w:bottom w:val="nil"/>
              <w:right w:val="single" w:color="auto" w:sz="4" w:space="0"/>
            </w:tcBorders>
            <w:vAlign w:val="center"/>
          </w:tcPr>
          <w:p w14:paraId="299E5C73">
            <w:pPr>
              <w:pStyle w:val="445"/>
              <w:rPr>
                <w:rFonts w:cs="Times New Roman"/>
                <w:kern w:val="0"/>
                <w:szCs w:val="20"/>
              </w:rPr>
            </w:pPr>
            <w:r>
              <w:rPr>
                <w:rFonts w:hint="eastAsia" w:cs="Times New Roman"/>
                <w:kern w:val="0"/>
                <w:szCs w:val="20"/>
              </w:rPr>
              <w:t>厂界噪声</w:t>
            </w:r>
            <w:r>
              <w:rPr>
                <w:rFonts w:cs="Times New Roman"/>
                <w:kern w:val="0"/>
                <w:szCs w:val="20"/>
              </w:rPr>
              <w:t>排放限值</w:t>
            </w:r>
          </w:p>
        </w:tc>
        <w:tc>
          <w:tcPr>
            <w:tcW w:w="444" w:type="pct"/>
            <w:vMerge w:val="restart"/>
            <w:tcBorders>
              <w:top w:val="single" w:color="auto" w:sz="12" w:space="0"/>
              <w:left w:val="single" w:color="auto" w:sz="4" w:space="0"/>
              <w:bottom w:val="single" w:color="auto" w:sz="4" w:space="0"/>
              <w:right w:val="nil"/>
            </w:tcBorders>
            <w:vAlign w:val="center"/>
          </w:tcPr>
          <w:p w14:paraId="3B4D69A4">
            <w:pPr>
              <w:pStyle w:val="445"/>
              <w:rPr>
                <w:rFonts w:cs="Times New Roman"/>
                <w:kern w:val="0"/>
                <w:szCs w:val="20"/>
              </w:rPr>
            </w:pPr>
            <w:r>
              <w:rPr>
                <w:rFonts w:hint="eastAsia" w:cs="Times New Roman"/>
                <w:kern w:val="0"/>
                <w:szCs w:val="20"/>
              </w:rPr>
              <w:t>备注</w:t>
            </w:r>
          </w:p>
        </w:tc>
      </w:tr>
      <w:tr w14:paraId="4B76D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113E9AEB">
            <w:pPr>
              <w:pStyle w:val="445"/>
              <w:rPr>
                <w:rFonts w:ascii="Calibri" w:hAnsi="Calibri" w:cs="Times New Roman"/>
                <w:kern w:val="0"/>
                <w:szCs w:val="18"/>
              </w:rPr>
            </w:pPr>
          </w:p>
        </w:tc>
        <w:tc>
          <w:tcPr>
            <w:tcW w:w="550" w:type="pct"/>
            <w:tcBorders>
              <w:top w:val="single" w:color="auto" w:sz="4" w:space="0"/>
              <w:left w:val="single" w:color="auto" w:sz="4" w:space="0"/>
              <w:bottom w:val="single" w:color="auto" w:sz="4" w:space="0"/>
              <w:right w:val="single" w:color="auto" w:sz="4" w:space="0"/>
            </w:tcBorders>
            <w:vAlign w:val="center"/>
          </w:tcPr>
          <w:p w14:paraId="29C9F2CD">
            <w:pPr>
              <w:pStyle w:val="445"/>
              <w:rPr>
                <w:rFonts w:cs="Times New Roman"/>
                <w:kern w:val="0"/>
                <w:szCs w:val="20"/>
              </w:rPr>
            </w:pPr>
            <w:r>
              <w:rPr>
                <w:rFonts w:hint="eastAsia" w:cs="Times New Roman"/>
                <w:kern w:val="0"/>
                <w:szCs w:val="20"/>
              </w:rPr>
              <w:t>昼间</w:t>
            </w:r>
          </w:p>
        </w:tc>
        <w:tc>
          <w:tcPr>
            <w:tcW w:w="550" w:type="pct"/>
            <w:tcBorders>
              <w:top w:val="single" w:color="auto" w:sz="4" w:space="0"/>
              <w:left w:val="single" w:color="auto" w:sz="4" w:space="0"/>
              <w:bottom w:val="single" w:color="auto" w:sz="4" w:space="0"/>
              <w:right w:val="single" w:color="auto" w:sz="4" w:space="0"/>
            </w:tcBorders>
            <w:vAlign w:val="center"/>
          </w:tcPr>
          <w:p w14:paraId="43747C9D">
            <w:pPr>
              <w:pStyle w:val="445"/>
              <w:rPr>
                <w:rFonts w:cs="Times New Roman"/>
                <w:kern w:val="0"/>
                <w:szCs w:val="20"/>
              </w:rPr>
            </w:pPr>
            <w:r>
              <w:rPr>
                <w:rFonts w:hint="eastAsia" w:cs="Times New Roman"/>
                <w:kern w:val="0"/>
                <w:szCs w:val="20"/>
              </w:rPr>
              <w:t>夜间</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66DD5A37">
            <w:pPr>
              <w:pStyle w:val="445"/>
              <w:rPr>
                <w:rFonts w:cs="Times New Roman"/>
                <w:kern w:val="0"/>
                <w:szCs w:val="18"/>
              </w:rPr>
            </w:pPr>
          </w:p>
        </w:tc>
        <w:tc>
          <w:tcPr>
            <w:tcW w:w="707" w:type="pct"/>
            <w:tcBorders>
              <w:top w:val="single" w:color="auto" w:sz="4" w:space="0"/>
              <w:left w:val="single" w:color="auto" w:sz="4" w:space="0"/>
              <w:bottom w:val="single" w:color="auto" w:sz="4" w:space="0"/>
              <w:right w:val="single" w:color="auto" w:sz="4" w:space="0"/>
            </w:tcBorders>
            <w:vAlign w:val="center"/>
          </w:tcPr>
          <w:p w14:paraId="54DADF3F">
            <w:pPr>
              <w:pStyle w:val="445"/>
              <w:rPr>
                <w:rFonts w:cs="Times New Roman"/>
                <w:kern w:val="0"/>
                <w:szCs w:val="20"/>
              </w:rPr>
            </w:pPr>
            <w:r>
              <w:rPr>
                <w:rFonts w:hint="eastAsia" w:cs="Times New Roman"/>
                <w:kern w:val="0"/>
                <w:szCs w:val="20"/>
              </w:rPr>
              <w:t>昼间dB(</w:t>
            </w:r>
            <w:r>
              <w:rPr>
                <w:rFonts w:cs="Times New Roman"/>
                <w:kern w:val="0"/>
                <w:szCs w:val="20"/>
              </w:rPr>
              <w:t>A</w:t>
            </w:r>
            <w:r>
              <w:rPr>
                <w:rFonts w:hint="eastAsia" w:cs="Times New Roman"/>
                <w:kern w:val="0"/>
                <w:szCs w:val="20"/>
              </w:rPr>
              <w:t>)</w:t>
            </w:r>
          </w:p>
        </w:tc>
        <w:tc>
          <w:tcPr>
            <w:tcW w:w="707" w:type="pct"/>
            <w:tcBorders>
              <w:top w:val="single" w:color="auto" w:sz="4" w:space="0"/>
              <w:left w:val="single" w:color="auto" w:sz="4" w:space="0"/>
              <w:bottom w:val="single" w:color="auto" w:sz="4" w:space="0"/>
              <w:right w:val="single" w:color="auto" w:sz="4" w:space="0"/>
            </w:tcBorders>
            <w:vAlign w:val="center"/>
          </w:tcPr>
          <w:p w14:paraId="6BB369F9">
            <w:pPr>
              <w:pStyle w:val="445"/>
              <w:rPr>
                <w:rFonts w:cs="Times New Roman"/>
                <w:kern w:val="0"/>
                <w:szCs w:val="20"/>
              </w:rPr>
            </w:pPr>
            <w:r>
              <w:rPr>
                <w:rFonts w:hint="eastAsia" w:cs="Times New Roman"/>
                <w:kern w:val="0"/>
                <w:szCs w:val="20"/>
              </w:rPr>
              <w:t>夜间dB(</w:t>
            </w:r>
            <w:r>
              <w:rPr>
                <w:rFonts w:cs="Times New Roman"/>
                <w:kern w:val="0"/>
                <w:szCs w:val="20"/>
              </w:rPr>
              <w:t>A</w:t>
            </w:r>
            <w:r>
              <w:rPr>
                <w:rFonts w:hint="eastAsia" w:cs="Times New Roman"/>
                <w:kern w:val="0"/>
                <w:szCs w:val="20"/>
              </w:rPr>
              <w:t>)</w:t>
            </w:r>
          </w:p>
        </w:tc>
        <w:tc>
          <w:tcPr>
            <w:tcW w:w="0" w:type="auto"/>
            <w:vMerge w:val="continue"/>
            <w:tcBorders>
              <w:top w:val="single" w:color="auto" w:sz="12" w:space="0"/>
              <w:left w:val="single" w:color="auto" w:sz="4" w:space="0"/>
              <w:bottom w:val="single" w:color="auto" w:sz="4" w:space="0"/>
              <w:right w:val="nil"/>
            </w:tcBorders>
            <w:vAlign w:val="center"/>
          </w:tcPr>
          <w:p w14:paraId="5CF5597C">
            <w:pPr>
              <w:pStyle w:val="445"/>
              <w:rPr>
                <w:rFonts w:cs="Times New Roman"/>
                <w:kern w:val="0"/>
                <w:szCs w:val="18"/>
              </w:rPr>
            </w:pPr>
          </w:p>
        </w:tc>
      </w:tr>
      <w:tr w14:paraId="2EB2C3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pct"/>
            <w:tcBorders>
              <w:top w:val="single" w:color="auto" w:sz="4" w:space="0"/>
              <w:left w:val="nil"/>
              <w:bottom w:val="single" w:color="auto" w:sz="4" w:space="0"/>
              <w:right w:val="single" w:color="auto" w:sz="4" w:space="0"/>
            </w:tcBorders>
            <w:vAlign w:val="center"/>
          </w:tcPr>
          <w:p w14:paraId="291A0C8C">
            <w:pPr>
              <w:pStyle w:val="445"/>
              <w:rPr>
                <w:rFonts w:cs="Times New Roman"/>
                <w:kern w:val="0"/>
                <w:szCs w:val="20"/>
              </w:rPr>
            </w:pPr>
            <w:r>
              <w:rPr>
                <w:rFonts w:hint="eastAsia" w:cs="Times New Roman"/>
                <w:kern w:val="0"/>
                <w:szCs w:val="20"/>
              </w:rPr>
              <w:t>稳态噪声</w:t>
            </w:r>
          </w:p>
        </w:tc>
        <w:tc>
          <w:tcPr>
            <w:tcW w:w="550" w:type="pct"/>
            <w:tcBorders>
              <w:top w:val="single" w:color="auto" w:sz="4" w:space="0"/>
              <w:left w:val="single" w:color="auto" w:sz="4" w:space="0"/>
              <w:bottom w:val="single" w:color="auto" w:sz="4" w:space="0"/>
              <w:right w:val="single" w:color="auto" w:sz="4" w:space="0"/>
            </w:tcBorders>
            <w:vAlign w:val="center"/>
          </w:tcPr>
          <w:p w14:paraId="67602D8D">
            <w:pPr>
              <w:pStyle w:val="445"/>
              <w:rPr>
                <w:rFonts w:cs="Times New Roman"/>
                <w:kern w:val="0"/>
                <w:szCs w:val="20"/>
              </w:rPr>
            </w:pPr>
            <w:r>
              <w:rPr>
                <w:rFonts w:hint="eastAsia" w:cs="Times New Roman"/>
                <w:kern w:val="0"/>
                <w:szCs w:val="20"/>
              </w:rPr>
              <w:t>06至22</w:t>
            </w:r>
          </w:p>
        </w:tc>
        <w:tc>
          <w:tcPr>
            <w:tcW w:w="550" w:type="pct"/>
            <w:tcBorders>
              <w:top w:val="single" w:color="auto" w:sz="4" w:space="0"/>
              <w:left w:val="single" w:color="auto" w:sz="4" w:space="0"/>
              <w:bottom w:val="single" w:color="auto" w:sz="4" w:space="0"/>
              <w:right w:val="single" w:color="auto" w:sz="4" w:space="0"/>
            </w:tcBorders>
            <w:vAlign w:val="center"/>
          </w:tcPr>
          <w:p w14:paraId="6FC05A21">
            <w:pPr>
              <w:pStyle w:val="445"/>
              <w:rPr>
                <w:rFonts w:cs="Times New Roman"/>
                <w:kern w:val="0"/>
                <w:szCs w:val="20"/>
              </w:rPr>
            </w:pPr>
            <w:r>
              <w:rPr>
                <w:rFonts w:hint="eastAsia" w:cs="Times New Roman"/>
                <w:kern w:val="0"/>
                <w:szCs w:val="20"/>
              </w:rPr>
              <w:t>22至06</w:t>
            </w:r>
          </w:p>
        </w:tc>
        <w:tc>
          <w:tcPr>
            <w:tcW w:w="1413" w:type="pct"/>
            <w:tcBorders>
              <w:top w:val="single" w:color="auto" w:sz="4" w:space="0"/>
              <w:left w:val="single" w:color="auto" w:sz="4" w:space="0"/>
              <w:bottom w:val="single" w:color="auto" w:sz="4" w:space="0"/>
              <w:right w:val="single" w:color="auto" w:sz="4" w:space="0"/>
            </w:tcBorders>
            <w:vAlign w:val="center"/>
          </w:tcPr>
          <w:p w14:paraId="414E9102">
            <w:pPr>
              <w:pStyle w:val="445"/>
              <w:rPr>
                <w:rFonts w:cs="Times New Roman"/>
                <w:kern w:val="0"/>
                <w:szCs w:val="20"/>
              </w:rPr>
            </w:pPr>
            <w:r>
              <w:rPr>
                <w:rFonts w:hint="eastAsia" w:cs="Times New Roman"/>
                <w:kern w:val="0"/>
                <w:szCs w:val="20"/>
              </w:rPr>
              <w:t>《工业企业厂界环境噪声排放标准》（GB12348-2008）</w:t>
            </w:r>
          </w:p>
        </w:tc>
        <w:tc>
          <w:tcPr>
            <w:tcW w:w="707" w:type="pct"/>
            <w:tcBorders>
              <w:top w:val="single" w:color="auto" w:sz="4" w:space="0"/>
              <w:left w:val="single" w:color="auto" w:sz="4" w:space="0"/>
              <w:bottom w:val="single" w:color="auto" w:sz="4" w:space="0"/>
              <w:right w:val="single" w:color="auto" w:sz="4" w:space="0"/>
            </w:tcBorders>
            <w:vAlign w:val="center"/>
          </w:tcPr>
          <w:p w14:paraId="7E1DDEA7">
            <w:pPr>
              <w:pStyle w:val="445"/>
              <w:rPr>
                <w:rFonts w:cs="Times New Roman"/>
                <w:kern w:val="0"/>
                <w:szCs w:val="20"/>
              </w:rPr>
            </w:pPr>
            <w:r>
              <w:rPr>
                <w:rFonts w:hint="eastAsia" w:cs="Times New Roman"/>
                <w:kern w:val="0"/>
                <w:szCs w:val="20"/>
              </w:rPr>
              <w:t>6</w:t>
            </w:r>
            <w:r>
              <w:rPr>
                <w:rFonts w:cs="Times New Roman"/>
                <w:kern w:val="0"/>
                <w:szCs w:val="20"/>
              </w:rPr>
              <w:t>5</w:t>
            </w:r>
          </w:p>
        </w:tc>
        <w:tc>
          <w:tcPr>
            <w:tcW w:w="707" w:type="pct"/>
            <w:tcBorders>
              <w:top w:val="single" w:color="auto" w:sz="4" w:space="0"/>
              <w:left w:val="single" w:color="auto" w:sz="4" w:space="0"/>
              <w:bottom w:val="single" w:color="auto" w:sz="4" w:space="0"/>
              <w:right w:val="single" w:color="auto" w:sz="4" w:space="0"/>
            </w:tcBorders>
            <w:vAlign w:val="center"/>
          </w:tcPr>
          <w:p w14:paraId="5AF3A035">
            <w:pPr>
              <w:pStyle w:val="445"/>
              <w:rPr>
                <w:rFonts w:cs="Times New Roman"/>
                <w:kern w:val="0"/>
                <w:szCs w:val="20"/>
              </w:rPr>
            </w:pPr>
            <w:r>
              <w:rPr>
                <w:rFonts w:hint="eastAsia" w:cs="Times New Roman"/>
                <w:kern w:val="0"/>
                <w:szCs w:val="20"/>
              </w:rPr>
              <w:t>55</w:t>
            </w:r>
          </w:p>
        </w:tc>
        <w:tc>
          <w:tcPr>
            <w:tcW w:w="444" w:type="pct"/>
            <w:tcBorders>
              <w:top w:val="single" w:color="auto" w:sz="4" w:space="0"/>
              <w:left w:val="single" w:color="auto" w:sz="4" w:space="0"/>
              <w:bottom w:val="single" w:color="auto" w:sz="4" w:space="0"/>
              <w:right w:val="nil"/>
            </w:tcBorders>
            <w:vAlign w:val="center"/>
          </w:tcPr>
          <w:p w14:paraId="4F55EEB0">
            <w:pPr>
              <w:pStyle w:val="445"/>
              <w:rPr>
                <w:rFonts w:cs="Times New Roman"/>
                <w:kern w:val="0"/>
                <w:szCs w:val="20"/>
              </w:rPr>
            </w:pPr>
            <w:r>
              <w:rPr>
                <w:rFonts w:cs="Times New Roman"/>
                <w:kern w:val="0"/>
                <w:szCs w:val="20"/>
              </w:rPr>
              <w:t>3</w:t>
            </w:r>
            <w:r>
              <w:rPr>
                <w:rFonts w:hint="eastAsia" w:cs="Times New Roman"/>
                <w:kern w:val="0"/>
                <w:szCs w:val="20"/>
              </w:rPr>
              <w:t>类</w:t>
            </w:r>
            <w:r>
              <w:rPr>
                <w:rFonts w:cs="Times New Roman"/>
                <w:kern w:val="0"/>
                <w:szCs w:val="20"/>
              </w:rPr>
              <w:t>标准</w:t>
            </w:r>
          </w:p>
        </w:tc>
      </w:tr>
      <w:tr w14:paraId="6BE6B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pct"/>
            <w:tcBorders>
              <w:top w:val="single" w:color="auto" w:sz="4" w:space="0"/>
              <w:left w:val="nil"/>
              <w:bottom w:val="single" w:color="auto" w:sz="4" w:space="0"/>
              <w:right w:val="single" w:color="auto" w:sz="4" w:space="0"/>
            </w:tcBorders>
            <w:vAlign w:val="center"/>
          </w:tcPr>
          <w:p w14:paraId="1AF6B579">
            <w:pPr>
              <w:pStyle w:val="445"/>
              <w:rPr>
                <w:rFonts w:cs="Times New Roman"/>
                <w:kern w:val="0"/>
                <w:szCs w:val="20"/>
              </w:rPr>
            </w:pPr>
            <w:r>
              <w:rPr>
                <w:rFonts w:hint="eastAsia" w:cs="Times New Roman"/>
                <w:kern w:val="0"/>
                <w:szCs w:val="20"/>
              </w:rPr>
              <w:t>频发</w:t>
            </w:r>
            <w:r>
              <w:rPr>
                <w:rFonts w:cs="Times New Roman"/>
                <w:kern w:val="0"/>
                <w:szCs w:val="20"/>
              </w:rPr>
              <w:t>噪声</w:t>
            </w:r>
          </w:p>
        </w:tc>
        <w:tc>
          <w:tcPr>
            <w:tcW w:w="550" w:type="pct"/>
            <w:tcBorders>
              <w:top w:val="single" w:color="auto" w:sz="4" w:space="0"/>
              <w:left w:val="single" w:color="auto" w:sz="4" w:space="0"/>
              <w:bottom w:val="single" w:color="auto" w:sz="4" w:space="0"/>
              <w:right w:val="single" w:color="auto" w:sz="4" w:space="0"/>
            </w:tcBorders>
            <w:vAlign w:val="center"/>
          </w:tcPr>
          <w:p w14:paraId="059C9CCE">
            <w:pPr>
              <w:pStyle w:val="445"/>
              <w:rPr>
                <w:rFonts w:cs="Times New Roman"/>
                <w:kern w:val="0"/>
                <w:szCs w:val="20"/>
              </w:rPr>
            </w:pPr>
            <w:r>
              <w:rPr>
                <w:rFonts w:hint="eastAsia" w:cs="Times New Roman"/>
                <w:kern w:val="0"/>
                <w:szCs w:val="20"/>
              </w:rPr>
              <w:t>否</w:t>
            </w:r>
          </w:p>
        </w:tc>
        <w:tc>
          <w:tcPr>
            <w:tcW w:w="550" w:type="pct"/>
            <w:tcBorders>
              <w:top w:val="single" w:color="auto" w:sz="4" w:space="0"/>
              <w:left w:val="single" w:color="auto" w:sz="4" w:space="0"/>
              <w:bottom w:val="single" w:color="auto" w:sz="4" w:space="0"/>
              <w:right w:val="single" w:color="auto" w:sz="4" w:space="0"/>
            </w:tcBorders>
            <w:vAlign w:val="center"/>
          </w:tcPr>
          <w:p w14:paraId="64384700">
            <w:pPr>
              <w:pStyle w:val="445"/>
              <w:rPr>
                <w:rFonts w:cs="Times New Roman"/>
                <w:kern w:val="0"/>
                <w:szCs w:val="20"/>
              </w:rPr>
            </w:pPr>
            <w:r>
              <w:rPr>
                <w:rFonts w:hint="eastAsia" w:cs="Times New Roman"/>
                <w:kern w:val="0"/>
                <w:szCs w:val="20"/>
              </w:rPr>
              <w:t>否</w:t>
            </w:r>
          </w:p>
        </w:tc>
        <w:tc>
          <w:tcPr>
            <w:tcW w:w="1413" w:type="pct"/>
            <w:tcBorders>
              <w:top w:val="single" w:color="auto" w:sz="4" w:space="0"/>
              <w:left w:val="single" w:color="auto" w:sz="4" w:space="0"/>
              <w:bottom w:val="single" w:color="auto" w:sz="4" w:space="0"/>
              <w:right w:val="single" w:color="auto" w:sz="4" w:space="0"/>
            </w:tcBorders>
            <w:vAlign w:val="center"/>
          </w:tcPr>
          <w:p w14:paraId="5E08C5BB">
            <w:pPr>
              <w:pStyle w:val="445"/>
              <w:rPr>
                <w:rFonts w:cs="Times New Roman"/>
                <w:kern w:val="0"/>
                <w:szCs w:val="20"/>
              </w:rPr>
            </w:pPr>
            <w:r>
              <w:rPr>
                <w:rFonts w:hint="eastAsia" w:cs="Times New Roman"/>
                <w:kern w:val="0"/>
                <w:szCs w:val="20"/>
              </w:rPr>
              <w:t>/</w:t>
            </w:r>
          </w:p>
        </w:tc>
        <w:tc>
          <w:tcPr>
            <w:tcW w:w="707" w:type="pct"/>
            <w:tcBorders>
              <w:top w:val="single" w:color="auto" w:sz="4" w:space="0"/>
              <w:left w:val="single" w:color="auto" w:sz="4" w:space="0"/>
              <w:bottom w:val="single" w:color="auto" w:sz="4" w:space="0"/>
              <w:right w:val="single" w:color="auto" w:sz="4" w:space="0"/>
            </w:tcBorders>
            <w:vAlign w:val="center"/>
          </w:tcPr>
          <w:p w14:paraId="11968502">
            <w:pPr>
              <w:pStyle w:val="445"/>
              <w:rPr>
                <w:rFonts w:cs="Times New Roman"/>
                <w:kern w:val="0"/>
                <w:szCs w:val="20"/>
              </w:rPr>
            </w:pPr>
            <w:r>
              <w:rPr>
                <w:rFonts w:hint="eastAsia" w:cs="Times New Roman"/>
                <w:kern w:val="0"/>
                <w:szCs w:val="20"/>
              </w:rPr>
              <w:t>/</w:t>
            </w:r>
          </w:p>
        </w:tc>
        <w:tc>
          <w:tcPr>
            <w:tcW w:w="707" w:type="pct"/>
            <w:tcBorders>
              <w:top w:val="single" w:color="auto" w:sz="4" w:space="0"/>
              <w:left w:val="single" w:color="auto" w:sz="4" w:space="0"/>
              <w:bottom w:val="single" w:color="auto" w:sz="4" w:space="0"/>
              <w:right w:val="single" w:color="auto" w:sz="4" w:space="0"/>
            </w:tcBorders>
            <w:vAlign w:val="center"/>
          </w:tcPr>
          <w:p w14:paraId="56794AAF">
            <w:pPr>
              <w:pStyle w:val="445"/>
              <w:rPr>
                <w:rFonts w:cs="Times New Roman"/>
                <w:kern w:val="0"/>
                <w:szCs w:val="20"/>
              </w:rPr>
            </w:pPr>
            <w:r>
              <w:rPr>
                <w:rFonts w:hint="eastAsia" w:cs="Times New Roman"/>
                <w:kern w:val="0"/>
                <w:szCs w:val="20"/>
              </w:rPr>
              <w:t>/</w:t>
            </w:r>
          </w:p>
        </w:tc>
        <w:tc>
          <w:tcPr>
            <w:tcW w:w="444" w:type="pct"/>
            <w:tcBorders>
              <w:top w:val="single" w:color="auto" w:sz="4" w:space="0"/>
              <w:left w:val="single" w:color="auto" w:sz="4" w:space="0"/>
              <w:bottom w:val="single" w:color="auto" w:sz="4" w:space="0"/>
              <w:right w:val="nil"/>
            </w:tcBorders>
            <w:vAlign w:val="center"/>
          </w:tcPr>
          <w:p w14:paraId="0632F4D1">
            <w:pPr>
              <w:pStyle w:val="445"/>
              <w:rPr>
                <w:rFonts w:cs="Times New Roman"/>
                <w:kern w:val="0"/>
                <w:szCs w:val="20"/>
              </w:rPr>
            </w:pPr>
            <w:r>
              <w:rPr>
                <w:rFonts w:hint="eastAsia" w:cs="Times New Roman"/>
                <w:kern w:val="0"/>
                <w:szCs w:val="20"/>
              </w:rPr>
              <w:t>/</w:t>
            </w:r>
          </w:p>
        </w:tc>
      </w:tr>
      <w:tr w14:paraId="07FB7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pct"/>
            <w:tcBorders>
              <w:top w:val="single" w:color="auto" w:sz="4" w:space="0"/>
              <w:left w:val="nil"/>
              <w:bottom w:val="single" w:color="auto" w:sz="12" w:space="0"/>
              <w:right w:val="single" w:color="auto" w:sz="4" w:space="0"/>
            </w:tcBorders>
            <w:vAlign w:val="center"/>
          </w:tcPr>
          <w:p w14:paraId="0CE92FFB">
            <w:pPr>
              <w:pStyle w:val="445"/>
              <w:rPr>
                <w:rFonts w:cs="Times New Roman"/>
                <w:kern w:val="0"/>
                <w:szCs w:val="20"/>
              </w:rPr>
            </w:pPr>
            <w:r>
              <w:rPr>
                <w:rFonts w:hint="eastAsia" w:cs="Times New Roman"/>
                <w:kern w:val="0"/>
                <w:szCs w:val="20"/>
              </w:rPr>
              <w:t>偶发噪声</w:t>
            </w:r>
          </w:p>
        </w:tc>
        <w:tc>
          <w:tcPr>
            <w:tcW w:w="550" w:type="pct"/>
            <w:tcBorders>
              <w:top w:val="single" w:color="auto" w:sz="4" w:space="0"/>
              <w:left w:val="single" w:color="auto" w:sz="4" w:space="0"/>
              <w:bottom w:val="single" w:color="auto" w:sz="12" w:space="0"/>
              <w:right w:val="single" w:color="auto" w:sz="4" w:space="0"/>
            </w:tcBorders>
            <w:vAlign w:val="center"/>
          </w:tcPr>
          <w:p w14:paraId="68E2551F">
            <w:pPr>
              <w:pStyle w:val="445"/>
              <w:rPr>
                <w:rFonts w:cs="Times New Roman"/>
                <w:kern w:val="0"/>
                <w:szCs w:val="20"/>
              </w:rPr>
            </w:pPr>
            <w:r>
              <w:rPr>
                <w:rFonts w:hint="eastAsia" w:cs="Times New Roman"/>
                <w:kern w:val="0"/>
                <w:szCs w:val="20"/>
              </w:rPr>
              <w:t>否</w:t>
            </w:r>
          </w:p>
        </w:tc>
        <w:tc>
          <w:tcPr>
            <w:tcW w:w="550" w:type="pct"/>
            <w:tcBorders>
              <w:top w:val="single" w:color="auto" w:sz="4" w:space="0"/>
              <w:left w:val="single" w:color="auto" w:sz="4" w:space="0"/>
              <w:bottom w:val="single" w:color="auto" w:sz="12" w:space="0"/>
              <w:right w:val="single" w:color="auto" w:sz="4" w:space="0"/>
            </w:tcBorders>
            <w:vAlign w:val="center"/>
          </w:tcPr>
          <w:p w14:paraId="4DE87528">
            <w:pPr>
              <w:pStyle w:val="445"/>
              <w:rPr>
                <w:rFonts w:cs="Times New Roman"/>
                <w:kern w:val="0"/>
                <w:szCs w:val="20"/>
              </w:rPr>
            </w:pPr>
            <w:r>
              <w:rPr>
                <w:rFonts w:hint="eastAsia" w:cs="Times New Roman"/>
                <w:kern w:val="0"/>
                <w:szCs w:val="20"/>
              </w:rPr>
              <w:t>否</w:t>
            </w:r>
          </w:p>
        </w:tc>
        <w:tc>
          <w:tcPr>
            <w:tcW w:w="1413" w:type="pct"/>
            <w:tcBorders>
              <w:top w:val="single" w:color="auto" w:sz="4" w:space="0"/>
              <w:left w:val="single" w:color="auto" w:sz="4" w:space="0"/>
              <w:bottom w:val="single" w:color="auto" w:sz="12" w:space="0"/>
              <w:right w:val="single" w:color="auto" w:sz="4" w:space="0"/>
            </w:tcBorders>
            <w:vAlign w:val="center"/>
          </w:tcPr>
          <w:p w14:paraId="69E352C6">
            <w:pPr>
              <w:pStyle w:val="445"/>
              <w:rPr>
                <w:rFonts w:cs="Times New Roman"/>
                <w:kern w:val="0"/>
                <w:szCs w:val="20"/>
              </w:rPr>
            </w:pPr>
            <w:r>
              <w:rPr>
                <w:rFonts w:hint="eastAsia" w:cs="Times New Roman"/>
                <w:kern w:val="0"/>
                <w:szCs w:val="20"/>
              </w:rPr>
              <w:t>/</w:t>
            </w:r>
          </w:p>
        </w:tc>
        <w:tc>
          <w:tcPr>
            <w:tcW w:w="707" w:type="pct"/>
            <w:tcBorders>
              <w:top w:val="single" w:color="auto" w:sz="4" w:space="0"/>
              <w:left w:val="single" w:color="auto" w:sz="4" w:space="0"/>
              <w:bottom w:val="single" w:color="auto" w:sz="12" w:space="0"/>
              <w:right w:val="single" w:color="auto" w:sz="4" w:space="0"/>
            </w:tcBorders>
            <w:vAlign w:val="center"/>
          </w:tcPr>
          <w:p w14:paraId="50EB6E90">
            <w:pPr>
              <w:pStyle w:val="445"/>
              <w:rPr>
                <w:rFonts w:cs="Times New Roman"/>
                <w:kern w:val="0"/>
                <w:szCs w:val="20"/>
              </w:rPr>
            </w:pPr>
            <w:r>
              <w:rPr>
                <w:rFonts w:hint="eastAsia" w:cs="Times New Roman"/>
                <w:kern w:val="0"/>
                <w:szCs w:val="20"/>
              </w:rPr>
              <w:t>/</w:t>
            </w:r>
          </w:p>
        </w:tc>
        <w:tc>
          <w:tcPr>
            <w:tcW w:w="707" w:type="pct"/>
            <w:tcBorders>
              <w:top w:val="single" w:color="auto" w:sz="4" w:space="0"/>
              <w:left w:val="single" w:color="auto" w:sz="4" w:space="0"/>
              <w:bottom w:val="single" w:color="auto" w:sz="12" w:space="0"/>
              <w:right w:val="single" w:color="auto" w:sz="4" w:space="0"/>
            </w:tcBorders>
            <w:vAlign w:val="center"/>
          </w:tcPr>
          <w:p w14:paraId="72FD7515">
            <w:pPr>
              <w:pStyle w:val="445"/>
              <w:rPr>
                <w:rFonts w:cs="Times New Roman"/>
                <w:kern w:val="0"/>
                <w:szCs w:val="20"/>
              </w:rPr>
            </w:pPr>
            <w:r>
              <w:rPr>
                <w:rFonts w:hint="eastAsia" w:cs="Times New Roman"/>
                <w:kern w:val="0"/>
                <w:szCs w:val="20"/>
              </w:rPr>
              <w:t>/</w:t>
            </w:r>
          </w:p>
        </w:tc>
        <w:tc>
          <w:tcPr>
            <w:tcW w:w="444" w:type="pct"/>
            <w:tcBorders>
              <w:top w:val="single" w:color="auto" w:sz="4" w:space="0"/>
              <w:left w:val="single" w:color="auto" w:sz="4" w:space="0"/>
              <w:bottom w:val="single" w:color="auto" w:sz="12" w:space="0"/>
              <w:right w:val="nil"/>
            </w:tcBorders>
            <w:vAlign w:val="center"/>
          </w:tcPr>
          <w:p w14:paraId="0081A09E">
            <w:pPr>
              <w:pStyle w:val="445"/>
              <w:rPr>
                <w:rFonts w:cs="Times New Roman"/>
                <w:kern w:val="0"/>
                <w:szCs w:val="20"/>
              </w:rPr>
            </w:pPr>
            <w:r>
              <w:rPr>
                <w:rFonts w:hint="eastAsia" w:cs="Times New Roman"/>
                <w:kern w:val="0"/>
                <w:szCs w:val="20"/>
              </w:rPr>
              <w:t>/</w:t>
            </w:r>
          </w:p>
        </w:tc>
      </w:tr>
    </w:tbl>
    <w:p w14:paraId="54E27630">
      <w:pPr>
        <w:ind w:firstLine="480"/>
        <w:rPr>
          <w:rFonts w:cs="Times New Roman"/>
        </w:rPr>
      </w:pPr>
      <w:r>
        <w:rPr>
          <w:rFonts w:hint="eastAsia" w:ascii="宋体" w:hAnsi="宋体"/>
        </w:rPr>
        <w:t>（</w:t>
      </w:r>
      <w:r>
        <w:rPr>
          <w:rFonts w:hint="eastAsia"/>
        </w:rPr>
        <w:t>4</w:t>
      </w:r>
      <w:r>
        <w:rPr>
          <w:rFonts w:hint="eastAsia" w:ascii="宋体" w:hAnsi="宋体"/>
        </w:rPr>
        <w:t>）固体废物</w:t>
      </w:r>
    </w:p>
    <w:p w14:paraId="0EDCF06F">
      <w:pPr>
        <w:ind w:firstLine="480"/>
      </w:pPr>
      <w:r>
        <w:rPr>
          <w:rFonts w:hint="eastAsia" w:ascii="宋体" w:hAnsi="宋体"/>
        </w:rPr>
        <w:t>本项目</w:t>
      </w:r>
      <w:r>
        <w:rPr>
          <w:rFonts w:ascii="宋体" w:hAnsi="宋体"/>
        </w:rPr>
        <w:t>固体废物排放信息见表</w:t>
      </w:r>
      <w:r>
        <w:rPr>
          <w:rFonts w:hint="eastAsia"/>
        </w:rPr>
        <w:t>8.2.2</w:t>
      </w:r>
      <w:r>
        <w:t>-6</w:t>
      </w:r>
      <w:r>
        <w:rPr>
          <w:rFonts w:hint="eastAsia" w:ascii="宋体" w:hAnsi="宋体"/>
        </w:rPr>
        <w:t>。</w:t>
      </w:r>
    </w:p>
    <w:p w14:paraId="4D009E27">
      <w:pPr>
        <w:widowControl/>
        <w:adjustRightInd/>
        <w:snapToGrid/>
        <w:ind w:firstLine="0" w:firstLineChars="0"/>
        <w:jc w:val="left"/>
        <w:rPr>
          <w:rFonts w:eastAsia="黑体"/>
        </w:rPr>
        <w:sectPr>
          <w:pgSz w:w="11907" w:h="16840"/>
          <w:pgMar w:top="1440" w:right="1440" w:bottom="1440" w:left="1440" w:header="851" w:footer="992" w:gutter="0"/>
          <w:cols w:space="720" w:num="1"/>
          <w:docGrid w:type="lines" w:linePitch="326" w:charSpace="0"/>
        </w:sectPr>
      </w:pPr>
    </w:p>
    <w:p w14:paraId="2BC0111D">
      <w:pPr>
        <w:spacing w:line="500" w:lineRule="exact"/>
        <w:ind w:firstLine="0" w:firstLineChars="0"/>
        <w:jc w:val="center"/>
        <w:rPr>
          <w:rFonts w:eastAsia="黑体"/>
        </w:rPr>
      </w:pPr>
      <w:r>
        <w:rPr>
          <w:rFonts w:hint="eastAsia" w:ascii="黑体" w:hAnsi="黑体" w:eastAsia="黑体"/>
        </w:rPr>
        <w:t>表</w:t>
      </w:r>
      <w:r>
        <w:rPr>
          <w:rFonts w:hint="eastAsia" w:eastAsia="黑体"/>
        </w:rPr>
        <w:t>8.2.2</w:t>
      </w:r>
      <w:r>
        <w:rPr>
          <w:rFonts w:eastAsia="黑体"/>
        </w:rPr>
        <w:t xml:space="preserve">-6  </w:t>
      </w:r>
      <w:r>
        <w:rPr>
          <w:rFonts w:hint="eastAsia" w:ascii="黑体" w:hAnsi="黑体" w:eastAsia="黑体"/>
        </w:rPr>
        <w:t>固体废物</w:t>
      </w:r>
      <w:r>
        <w:rPr>
          <w:rFonts w:ascii="黑体" w:hAnsi="黑体" w:eastAsia="黑体"/>
        </w:rPr>
        <w:t>排放信息表</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06"/>
        <w:gridCol w:w="1429"/>
        <w:gridCol w:w="930"/>
        <w:gridCol w:w="930"/>
        <w:gridCol w:w="930"/>
        <w:gridCol w:w="930"/>
        <w:gridCol w:w="1341"/>
        <w:gridCol w:w="720"/>
        <w:gridCol w:w="955"/>
        <w:gridCol w:w="955"/>
        <w:gridCol w:w="1131"/>
        <w:gridCol w:w="961"/>
        <w:gridCol w:w="998"/>
        <w:gridCol w:w="746"/>
        <w:gridCol w:w="712"/>
      </w:tblGrid>
      <w:tr w14:paraId="72A63B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79" w:type="pct"/>
            <w:vMerge w:val="restart"/>
            <w:vAlign w:val="center"/>
          </w:tcPr>
          <w:p w14:paraId="025D624D">
            <w:pPr>
              <w:pStyle w:val="445"/>
              <w:rPr>
                <w:rFonts w:cs="Times New Roman"/>
                <w:kern w:val="0"/>
                <w:szCs w:val="20"/>
              </w:rPr>
            </w:pPr>
            <w:r>
              <w:rPr>
                <w:rFonts w:hint="eastAsia" w:cs="Times New Roman"/>
                <w:kern w:val="0"/>
                <w:szCs w:val="20"/>
              </w:rPr>
              <w:t>序号</w:t>
            </w:r>
          </w:p>
        </w:tc>
        <w:tc>
          <w:tcPr>
            <w:tcW w:w="504" w:type="pct"/>
            <w:vMerge w:val="restart"/>
            <w:vAlign w:val="center"/>
          </w:tcPr>
          <w:p w14:paraId="5390D281">
            <w:pPr>
              <w:pStyle w:val="445"/>
              <w:rPr>
                <w:rFonts w:cs="Times New Roman"/>
                <w:kern w:val="0"/>
                <w:szCs w:val="20"/>
              </w:rPr>
            </w:pPr>
            <w:r>
              <w:rPr>
                <w:rFonts w:hint="eastAsia" w:cs="Times New Roman"/>
                <w:kern w:val="0"/>
                <w:szCs w:val="20"/>
              </w:rPr>
              <w:t>固体废物</w:t>
            </w:r>
            <w:r>
              <w:rPr>
                <w:rFonts w:cs="Times New Roman"/>
                <w:kern w:val="0"/>
                <w:szCs w:val="20"/>
              </w:rPr>
              <w:t>来源</w:t>
            </w:r>
          </w:p>
        </w:tc>
        <w:tc>
          <w:tcPr>
            <w:tcW w:w="328" w:type="pct"/>
            <w:vMerge w:val="restart"/>
            <w:vAlign w:val="center"/>
          </w:tcPr>
          <w:p w14:paraId="75E870FC">
            <w:pPr>
              <w:pStyle w:val="445"/>
              <w:rPr>
                <w:rFonts w:cs="Times New Roman"/>
                <w:kern w:val="0"/>
                <w:szCs w:val="20"/>
              </w:rPr>
            </w:pPr>
            <w:r>
              <w:rPr>
                <w:rFonts w:hint="eastAsia" w:cs="Times New Roman"/>
                <w:kern w:val="0"/>
                <w:szCs w:val="20"/>
              </w:rPr>
              <w:t>固体废物名称</w:t>
            </w:r>
          </w:p>
        </w:tc>
        <w:tc>
          <w:tcPr>
            <w:tcW w:w="328" w:type="pct"/>
            <w:vMerge w:val="restart"/>
            <w:vAlign w:val="center"/>
          </w:tcPr>
          <w:p w14:paraId="71436762">
            <w:pPr>
              <w:pStyle w:val="445"/>
              <w:rPr>
                <w:rFonts w:cs="Times New Roman"/>
                <w:kern w:val="0"/>
                <w:szCs w:val="20"/>
              </w:rPr>
            </w:pPr>
            <w:r>
              <w:rPr>
                <w:rFonts w:hint="eastAsia" w:cs="Times New Roman"/>
                <w:kern w:val="0"/>
                <w:szCs w:val="20"/>
              </w:rPr>
              <w:t>固体废物种类</w:t>
            </w:r>
          </w:p>
        </w:tc>
        <w:tc>
          <w:tcPr>
            <w:tcW w:w="328" w:type="pct"/>
            <w:vMerge w:val="restart"/>
            <w:vAlign w:val="center"/>
          </w:tcPr>
          <w:p w14:paraId="41E213E9">
            <w:pPr>
              <w:pStyle w:val="445"/>
              <w:rPr>
                <w:rFonts w:cs="Times New Roman"/>
                <w:kern w:val="0"/>
                <w:szCs w:val="20"/>
              </w:rPr>
            </w:pPr>
            <w:r>
              <w:rPr>
                <w:rFonts w:hint="eastAsia" w:cs="Times New Roman"/>
                <w:kern w:val="0"/>
                <w:szCs w:val="20"/>
              </w:rPr>
              <w:t>固体废物</w:t>
            </w:r>
            <w:r>
              <w:rPr>
                <w:rFonts w:cs="Times New Roman"/>
                <w:kern w:val="0"/>
                <w:szCs w:val="20"/>
              </w:rPr>
              <w:t>类别</w:t>
            </w:r>
          </w:p>
        </w:tc>
        <w:tc>
          <w:tcPr>
            <w:tcW w:w="328" w:type="pct"/>
            <w:vMerge w:val="restart"/>
            <w:vAlign w:val="center"/>
          </w:tcPr>
          <w:p w14:paraId="1922AE7C">
            <w:pPr>
              <w:pStyle w:val="445"/>
              <w:rPr>
                <w:rFonts w:cs="Times New Roman"/>
                <w:kern w:val="0"/>
                <w:szCs w:val="20"/>
              </w:rPr>
            </w:pPr>
            <w:r>
              <w:rPr>
                <w:rFonts w:hint="eastAsia" w:cs="Times New Roman"/>
                <w:kern w:val="0"/>
                <w:szCs w:val="20"/>
              </w:rPr>
              <w:t>固体废物</w:t>
            </w:r>
            <w:r>
              <w:rPr>
                <w:rFonts w:cs="Times New Roman"/>
                <w:kern w:val="0"/>
                <w:szCs w:val="20"/>
              </w:rPr>
              <w:t>描述</w:t>
            </w:r>
          </w:p>
        </w:tc>
        <w:tc>
          <w:tcPr>
            <w:tcW w:w="473" w:type="pct"/>
            <w:vMerge w:val="restart"/>
            <w:vAlign w:val="center"/>
          </w:tcPr>
          <w:p w14:paraId="628C808B">
            <w:pPr>
              <w:pStyle w:val="445"/>
              <w:rPr>
                <w:rFonts w:cs="Times New Roman"/>
                <w:kern w:val="0"/>
                <w:szCs w:val="20"/>
              </w:rPr>
            </w:pPr>
            <w:r>
              <w:rPr>
                <w:rFonts w:hint="eastAsia" w:cs="Times New Roman"/>
                <w:kern w:val="0"/>
                <w:szCs w:val="20"/>
              </w:rPr>
              <w:t>固体废物</w:t>
            </w:r>
            <w:r>
              <w:rPr>
                <w:rFonts w:cs="Times New Roman"/>
                <w:kern w:val="0"/>
                <w:szCs w:val="20"/>
              </w:rPr>
              <w:t>产生量t/a</w:t>
            </w:r>
          </w:p>
        </w:tc>
        <w:tc>
          <w:tcPr>
            <w:tcW w:w="254" w:type="pct"/>
            <w:vMerge w:val="restart"/>
            <w:vAlign w:val="center"/>
          </w:tcPr>
          <w:p w14:paraId="432C48DC">
            <w:pPr>
              <w:pStyle w:val="445"/>
              <w:rPr>
                <w:rFonts w:cs="Times New Roman"/>
                <w:kern w:val="0"/>
                <w:szCs w:val="20"/>
              </w:rPr>
            </w:pPr>
            <w:r>
              <w:rPr>
                <w:rFonts w:hint="eastAsia" w:cs="Times New Roman"/>
                <w:kern w:val="0"/>
                <w:szCs w:val="20"/>
              </w:rPr>
              <w:t>处理方式</w:t>
            </w:r>
          </w:p>
        </w:tc>
        <w:tc>
          <w:tcPr>
            <w:tcW w:w="2027" w:type="pct"/>
            <w:gridSpan w:val="6"/>
            <w:vAlign w:val="center"/>
          </w:tcPr>
          <w:p w14:paraId="14F3FD23">
            <w:pPr>
              <w:pStyle w:val="445"/>
              <w:rPr>
                <w:rFonts w:cs="Times New Roman"/>
                <w:kern w:val="0"/>
                <w:szCs w:val="20"/>
              </w:rPr>
            </w:pPr>
            <w:r>
              <w:rPr>
                <w:rFonts w:hint="eastAsia" w:cs="Times New Roman"/>
                <w:kern w:val="0"/>
                <w:szCs w:val="20"/>
              </w:rPr>
              <w:t>处理去向</w:t>
            </w:r>
          </w:p>
        </w:tc>
        <w:tc>
          <w:tcPr>
            <w:tcW w:w="251" w:type="pct"/>
            <w:vMerge w:val="restart"/>
            <w:vAlign w:val="center"/>
          </w:tcPr>
          <w:p w14:paraId="6F42D9B1">
            <w:pPr>
              <w:pStyle w:val="445"/>
              <w:rPr>
                <w:rFonts w:cs="Times New Roman"/>
                <w:kern w:val="0"/>
                <w:szCs w:val="20"/>
              </w:rPr>
            </w:pPr>
            <w:r>
              <w:rPr>
                <w:rFonts w:hint="eastAsia" w:cs="Times New Roman"/>
                <w:kern w:val="0"/>
                <w:szCs w:val="20"/>
              </w:rPr>
              <w:t>其他信息</w:t>
            </w:r>
          </w:p>
        </w:tc>
      </w:tr>
      <w:tr w14:paraId="50E64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9" w:type="pct"/>
            <w:vMerge w:val="continue"/>
            <w:vAlign w:val="center"/>
          </w:tcPr>
          <w:p w14:paraId="6E348DAE">
            <w:pPr>
              <w:pStyle w:val="445"/>
              <w:rPr>
                <w:rFonts w:ascii="Calibri" w:hAnsi="Calibri" w:cs="Times New Roman"/>
                <w:kern w:val="0"/>
                <w:szCs w:val="18"/>
              </w:rPr>
            </w:pPr>
          </w:p>
        </w:tc>
        <w:tc>
          <w:tcPr>
            <w:tcW w:w="504" w:type="pct"/>
            <w:vMerge w:val="continue"/>
            <w:vAlign w:val="center"/>
          </w:tcPr>
          <w:p w14:paraId="712C4751">
            <w:pPr>
              <w:pStyle w:val="445"/>
              <w:rPr>
                <w:rFonts w:cs="Times New Roman"/>
                <w:kern w:val="0"/>
                <w:szCs w:val="18"/>
              </w:rPr>
            </w:pPr>
          </w:p>
        </w:tc>
        <w:tc>
          <w:tcPr>
            <w:tcW w:w="328" w:type="pct"/>
            <w:vMerge w:val="continue"/>
            <w:vAlign w:val="center"/>
          </w:tcPr>
          <w:p w14:paraId="4AB8D90C">
            <w:pPr>
              <w:pStyle w:val="445"/>
              <w:rPr>
                <w:rFonts w:cs="Times New Roman"/>
                <w:kern w:val="0"/>
                <w:szCs w:val="18"/>
              </w:rPr>
            </w:pPr>
          </w:p>
        </w:tc>
        <w:tc>
          <w:tcPr>
            <w:tcW w:w="328" w:type="pct"/>
            <w:vMerge w:val="continue"/>
            <w:vAlign w:val="center"/>
          </w:tcPr>
          <w:p w14:paraId="306B8D7B">
            <w:pPr>
              <w:pStyle w:val="445"/>
              <w:rPr>
                <w:rFonts w:cs="Times New Roman"/>
                <w:kern w:val="0"/>
                <w:szCs w:val="18"/>
              </w:rPr>
            </w:pPr>
          </w:p>
        </w:tc>
        <w:tc>
          <w:tcPr>
            <w:tcW w:w="328" w:type="pct"/>
            <w:vMerge w:val="continue"/>
            <w:vAlign w:val="center"/>
          </w:tcPr>
          <w:p w14:paraId="291F85A5">
            <w:pPr>
              <w:pStyle w:val="445"/>
              <w:rPr>
                <w:rFonts w:cs="Times New Roman"/>
                <w:kern w:val="0"/>
                <w:szCs w:val="18"/>
              </w:rPr>
            </w:pPr>
          </w:p>
        </w:tc>
        <w:tc>
          <w:tcPr>
            <w:tcW w:w="328" w:type="pct"/>
            <w:vMerge w:val="continue"/>
            <w:vAlign w:val="center"/>
          </w:tcPr>
          <w:p w14:paraId="3956DC3D">
            <w:pPr>
              <w:pStyle w:val="445"/>
              <w:rPr>
                <w:rFonts w:cs="Times New Roman"/>
                <w:kern w:val="0"/>
                <w:szCs w:val="18"/>
              </w:rPr>
            </w:pPr>
          </w:p>
        </w:tc>
        <w:tc>
          <w:tcPr>
            <w:tcW w:w="473" w:type="pct"/>
            <w:vMerge w:val="continue"/>
            <w:vAlign w:val="center"/>
          </w:tcPr>
          <w:p w14:paraId="544BED12">
            <w:pPr>
              <w:pStyle w:val="445"/>
              <w:rPr>
                <w:rFonts w:cs="Times New Roman"/>
                <w:kern w:val="0"/>
                <w:szCs w:val="18"/>
              </w:rPr>
            </w:pPr>
          </w:p>
        </w:tc>
        <w:tc>
          <w:tcPr>
            <w:tcW w:w="254" w:type="pct"/>
            <w:vMerge w:val="continue"/>
            <w:vAlign w:val="center"/>
          </w:tcPr>
          <w:p w14:paraId="7FD2AE5E">
            <w:pPr>
              <w:pStyle w:val="445"/>
              <w:rPr>
                <w:rFonts w:cs="Times New Roman"/>
                <w:kern w:val="0"/>
                <w:szCs w:val="18"/>
              </w:rPr>
            </w:pPr>
          </w:p>
        </w:tc>
        <w:tc>
          <w:tcPr>
            <w:tcW w:w="337" w:type="pct"/>
            <w:vMerge w:val="restart"/>
            <w:vAlign w:val="center"/>
          </w:tcPr>
          <w:p w14:paraId="50783C64">
            <w:pPr>
              <w:pStyle w:val="445"/>
              <w:rPr>
                <w:rFonts w:cs="Times New Roman"/>
                <w:kern w:val="0"/>
                <w:szCs w:val="20"/>
              </w:rPr>
            </w:pPr>
            <w:r>
              <w:rPr>
                <w:rFonts w:hint="eastAsia" w:cs="Times New Roman"/>
                <w:kern w:val="0"/>
                <w:szCs w:val="20"/>
              </w:rPr>
              <w:t>自行贮存量</w:t>
            </w:r>
            <w:r>
              <w:rPr>
                <w:rFonts w:cs="Times New Roman"/>
                <w:kern w:val="0"/>
                <w:szCs w:val="20"/>
              </w:rPr>
              <w:t>t/a</w:t>
            </w:r>
          </w:p>
        </w:tc>
        <w:tc>
          <w:tcPr>
            <w:tcW w:w="337" w:type="pct"/>
            <w:vMerge w:val="restart"/>
            <w:vAlign w:val="center"/>
          </w:tcPr>
          <w:p w14:paraId="2FB1A611">
            <w:pPr>
              <w:pStyle w:val="445"/>
              <w:rPr>
                <w:rFonts w:cs="Times New Roman"/>
                <w:kern w:val="0"/>
                <w:szCs w:val="20"/>
              </w:rPr>
            </w:pPr>
            <w:r>
              <w:rPr>
                <w:rFonts w:hint="eastAsia" w:cs="Times New Roman"/>
                <w:kern w:val="0"/>
                <w:szCs w:val="20"/>
              </w:rPr>
              <w:t>自行利用</w:t>
            </w:r>
            <w:r>
              <w:rPr>
                <w:rFonts w:cs="Times New Roman"/>
                <w:kern w:val="0"/>
                <w:szCs w:val="20"/>
              </w:rPr>
              <w:t>量t/a</w:t>
            </w:r>
          </w:p>
        </w:tc>
        <w:tc>
          <w:tcPr>
            <w:tcW w:w="399" w:type="pct"/>
            <w:vMerge w:val="restart"/>
            <w:vAlign w:val="center"/>
          </w:tcPr>
          <w:p w14:paraId="4D3C9691">
            <w:pPr>
              <w:pStyle w:val="445"/>
              <w:rPr>
                <w:rFonts w:cs="Times New Roman"/>
                <w:kern w:val="0"/>
                <w:szCs w:val="20"/>
              </w:rPr>
            </w:pPr>
            <w:r>
              <w:rPr>
                <w:rFonts w:hint="eastAsia" w:cs="Times New Roman"/>
                <w:kern w:val="0"/>
                <w:szCs w:val="20"/>
              </w:rPr>
              <w:t>自行处置</w:t>
            </w:r>
            <w:r>
              <w:rPr>
                <w:rFonts w:cs="Times New Roman"/>
                <w:kern w:val="0"/>
                <w:szCs w:val="20"/>
              </w:rPr>
              <w:t>量t/a</w:t>
            </w:r>
          </w:p>
        </w:tc>
        <w:tc>
          <w:tcPr>
            <w:tcW w:w="691" w:type="pct"/>
            <w:gridSpan w:val="2"/>
            <w:vAlign w:val="center"/>
          </w:tcPr>
          <w:p w14:paraId="286921F4">
            <w:pPr>
              <w:pStyle w:val="445"/>
              <w:rPr>
                <w:rFonts w:cs="Times New Roman"/>
                <w:kern w:val="0"/>
                <w:szCs w:val="20"/>
              </w:rPr>
            </w:pPr>
            <w:r>
              <w:rPr>
                <w:rFonts w:hint="eastAsia" w:cs="Times New Roman"/>
                <w:kern w:val="0"/>
                <w:szCs w:val="20"/>
              </w:rPr>
              <w:t>转移量t</w:t>
            </w:r>
            <w:r>
              <w:rPr>
                <w:rFonts w:cs="Times New Roman"/>
                <w:kern w:val="0"/>
                <w:szCs w:val="20"/>
              </w:rPr>
              <w:t>/a</w:t>
            </w:r>
          </w:p>
        </w:tc>
        <w:tc>
          <w:tcPr>
            <w:tcW w:w="263" w:type="pct"/>
            <w:vMerge w:val="restart"/>
            <w:vAlign w:val="center"/>
          </w:tcPr>
          <w:p w14:paraId="644848FB">
            <w:pPr>
              <w:pStyle w:val="445"/>
              <w:rPr>
                <w:rFonts w:cs="Times New Roman"/>
                <w:kern w:val="0"/>
                <w:szCs w:val="20"/>
              </w:rPr>
            </w:pPr>
            <w:r>
              <w:rPr>
                <w:rFonts w:hint="eastAsia" w:cs="Times New Roman"/>
                <w:kern w:val="0"/>
                <w:szCs w:val="20"/>
              </w:rPr>
              <w:t>排放量</w:t>
            </w:r>
            <w:r>
              <w:rPr>
                <w:rFonts w:cs="Times New Roman"/>
                <w:kern w:val="0"/>
                <w:szCs w:val="20"/>
              </w:rPr>
              <w:t>t/a</w:t>
            </w:r>
          </w:p>
        </w:tc>
        <w:tc>
          <w:tcPr>
            <w:tcW w:w="251" w:type="pct"/>
            <w:vMerge w:val="continue"/>
            <w:vAlign w:val="center"/>
          </w:tcPr>
          <w:p w14:paraId="4424BFFE">
            <w:pPr>
              <w:pStyle w:val="445"/>
              <w:rPr>
                <w:rFonts w:cs="Times New Roman"/>
                <w:kern w:val="0"/>
                <w:szCs w:val="18"/>
              </w:rPr>
            </w:pPr>
          </w:p>
        </w:tc>
      </w:tr>
      <w:tr w14:paraId="3905BB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79" w:type="pct"/>
            <w:vMerge w:val="continue"/>
            <w:vAlign w:val="center"/>
          </w:tcPr>
          <w:p w14:paraId="2C7CD67A">
            <w:pPr>
              <w:pStyle w:val="445"/>
              <w:rPr>
                <w:rFonts w:ascii="Calibri" w:hAnsi="Calibri" w:cs="Times New Roman"/>
                <w:kern w:val="0"/>
                <w:szCs w:val="18"/>
              </w:rPr>
            </w:pPr>
          </w:p>
        </w:tc>
        <w:tc>
          <w:tcPr>
            <w:tcW w:w="504" w:type="pct"/>
            <w:vMerge w:val="continue"/>
            <w:vAlign w:val="center"/>
          </w:tcPr>
          <w:p w14:paraId="4C3CDFEF">
            <w:pPr>
              <w:pStyle w:val="445"/>
              <w:rPr>
                <w:rFonts w:cs="Times New Roman"/>
                <w:kern w:val="0"/>
                <w:szCs w:val="18"/>
              </w:rPr>
            </w:pPr>
          </w:p>
        </w:tc>
        <w:tc>
          <w:tcPr>
            <w:tcW w:w="328" w:type="pct"/>
            <w:vMerge w:val="continue"/>
            <w:vAlign w:val="center"/>
          </w:tcPr>
          <w:p w14:paraId="5667B6F4">
            <w:pPr>
              <w:pStyle w:val="445"/>
              <w:rPr>
                <w:rFonts w:cs="Times New Roman"/>
                <w:kern w:val="0"/>
                <w:szCs w:val="18"/>
              </w:rPr>
            </w:pPr>
          </w:p>
        </w:tc>
        <w:tc>
          <w:tcPr>
            <w:tcW w:w="328" w:type="pct"/>
            <w:vMerge w:val="continue"/>
            <w:vAlign w:val="center"/>
          </w:tcPr>
          <w:p w14:paraId="63E29464">
            <w:pPr>
              <w:pStyle w:val="445"/>
              <w:rPr>
                <w:rFonts w:cs="Times New Roman"/>
                <w:kern w:val="0"/>
                <w:szCs w:val="18"/>
              </w:rPr>
            </w:pPr>
          </w:p>
        </w:tc>
        <w:tc>
          <w:tcPr>
            <w:tcW w:w="328" w:type="pct"/>
            <w:vMerge w:val="continue"/>
            <w:vAlign w:val="center"/>
          </w:tcPr>
          <w:p w14:paraId="0663B3CC">
            <w:pPr>
              <w:pStyle w:val="445"/>
              <w:rPr>
                <w:rFonts w:cs="Times New Roman"/>
                <w:kern w:val="0"/>
                <w:szCs w:val="18"/>
              </w:rPr>
            </w:pPr>
          </w:p>
        </w:tc>
        <w:tc>
          <w:tcPr>
            <w:tcW w:w="328" w:type="pct"/>
            <w:vMerge w:val="continue"/>
            <w:vAlign w:val="center"/>
          </w:tcPr>
          <w:p w14:paraId="39F54910">
            <w:pPr>
              <w:pStyle w:val="445"/>
              <w:rPr>
                <w:rFonts w:cs="Times New Roman"/>
                <w:kern w:val="0"/>
                <w:szCs w:val="18"/>
              </w:rPr>
            </w:pPr>
          </w:p>
        </w:tc>
        <w:tc>
          <w:tcPr>
            <w:tcW w:w="473" w:type="pct"/>
            <w:vMerge w:val="continue"/>
            <w:vAlign w:val="center"/>
          </w:tcPr>
          <w:p w14:paraId="1200CE3F">
            <w:pPr>
              <w:pStyle w:val="445"/>
              <w:rPr>
                <w:rFonts w:cs="Times New Roman"/>
                <w:kern w:val="0"/>
                <w:szCs w:val="18"/>
              </w:rPr>
            </w:pPr>
          </w:p>
        </w:tc>
        <w:tc>
          <w:tcPr>
            <w:tcW w:w="254" w:type="pct"/>
            <w:vMerge w:val="continue"/>
            <w:vAlign w:val="center"/>
          </w:tcPr>
          <w:p w14:paraId="43F4FBC9">
            <w:pPr>
              <w:pStyle w:val="445"/>
              <w:rPr>
                <w:rFonts w:cs="Times New Roman"/>
                <w:kern w:val="0"/>
                <w:szCs w:val="18"/>
              </w:rPr>
            </w:pPr>
          </w:p>
        </w:tc>
        <w:tc>
          <w:tcPr>
            <w:tcW w:w="337" w:type="pct"/>
            <w:vMerge w:val="continue"/>
            <w:vAlign w:val="center"/>
          </w:tcPr>
          <w:p w14:paraId="286C3100">
            <w:pPr>
              <w:pStyle w:val="445"/>
              <w:rPr>
                <w:rFonts w:cs="Times New Roman"/>
                <w:kern w:val="0"/>
                <w:szCs w:val="18"/>
              </w:rPr>
            </w:pPr>
          </w:p>
        </w:tc>
        <w:tc>
          <w:tcPr>
            <w:tcW w:w="337" w:type="pct"/>
            <w:vMerge w:val="continue"/>
            <w:vAlign w:val="center"/>
          </w:tcPr>
          <w:p w14:paraId="59A0A4D1">
            <w:pPr>
              <w:pStyle w:val="445"/>
              <w:rPr>
                <w:rFonts w:cs="Times New Roman"/>
                <w:kern w:val="0"/>
                <w:szCs w:val="18"/>
              </w:rPr>
            </w:pPr>
          </w:p>
        </w:tc>
        <w:tc>
          <w:tcPr>
            <w:tcW w:w="399" w:type="pct"/>
            <w:vMerge w:val="continue"/>
            <w:vAlign w:val="center"/>
          </w:tcPr>
          <w:p w14:paraId="02DFBB46">
            <w:pPr>
              <w:pStyle w:val="445"/>
              <w:rPr>
                <w:rFonts w:cs="Times New Roman"/>
                <w:kern w:val="0"/>
                <w:szCs w:val="18"/>
              </w:rPr>
            </w:pPr>
          </w:p>
        </w:tc>
        <w:tc>
          <w:tcPr>
            <w:tcW w:w="339" w:type="pct"/>
            <w:vAlign w:val="center"/>
          </w:tcPr>
          <w:p w14:paraId="5C201BA2">
            <w:pPr>
              <w:pStyle w:val="445"/>
              <w:rPr>
                <w:rFonts w:cs="Times New Roman"/>
                <w:kern w:val="0"/>
                <w:szCs w:val="20"/>
              </w:rPr>
            </w:pPr>
            <w:r>
              <w:rPr>
                <w:rFonts w:hint="eastAsia" w:cs="Times New Roman"/>
                <w:kern w:val="0"/>
                <w:szCs w:val="20"/>
              </w:rPr>
              <w:t>委托</w:t>
            </w:r>
            <w:r>
              <w:rPr>
                <w:rFonts w:cs="Times New Roman"/>
                <w:kern w:val="0"/>
                <w:szCs w:val="20"/>
              </w:rPr>
              <w:t>利用</w:t>
            </w:r>
            <w:r>
              <w:rPr>
                <w:rFonts w:hint="eastAsia" w:cs="Times New Roman"/>
                <w:kern w:val="0"/>
                <w:szCs w:val="20"/>
              </w:rPr>
              <w:t>量</w:t>
            </w:r>
          </w:p>
        </w:tc>
        <w:tc>
          <w:tcPr>
            <w:tcW w:w="352" w:type="pct"/>
            <w:vAlign w:val="center"/>
          </w:tcPr>
          <w:p w14:paraId="56D10053">
            <w:pPr>
              <w:pStyle w:val="445"/>
              <w:rPr>
                <w:rFonts w:cs="Times New Roman"/>
                <w:kern w:val="0"/>
                <w:szCs w:val="20"/>
              </w:rPr>
            </w:pPr>
            <w:r>
              <w:rPr>
                <w:rFonts w:hint="eastAsia" w:cs="Times New Roman"/>
                <w:kern w:val="0"/>
                <w:szCs w:val="20"/>
              </w:rPr>
              <w:t>委托处置量</w:t>
            </w:r>
          </w:p>
        </w:tc>
        <w:tc>
          <w:tcPr>
            <w:tcW w:w="263" w:type="pct"/>
            <w:vMerge w:val="continue"/>
            <w:vAlign w:val="center"/>
          </w:tcPr>
          <w:p w14:paraId="2B066544">
            <w:pPr>
              <w:pStyle w:val="445"/>
              <w:rPr>
                <w:rFonts w:cs="Times New Roman"/>
                <w:kern w:val="0"/>
                <w:szCs w:val="18"/>
              </w:rPr>
            </w:pPr>
          </w:p>
        </w:tc>
        <w:tc>
          <w:tcPr>
            <w:tcW w:w="251" w:type="pct"/>
            <w:vMerge w:val="continue"/>
            <w:vAlign w:val="center"/>
          </w:tcPr>
          <w:p w14:paraId="2F67B7DF">
            <w:pPr>
              <w:pStyle w:val="445"/>
              <w:rPr>
                <w:rFonts w:cs="Times New Roman"/>
                <w:kern w:val="0"/>
                <w:szCs w:val="18"/>
              </w:rPr>
            </w:pPr>
          </w:p>
        </w:tc>
      </w:tr>
      <w:tr w14:paraId="2B88A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2BF7275F">
            <w:pPr>
              <w:pStyle w:val="445"/>
              <w:rPr>
                <w:rFonts w:cs="Times New Roman"/>
                <w:kern w:val="0"/>
                <w:szCs w:val="20"/>
              </w:rPr>
            </w:pPr>
            <w:r>
              <w:rPr>
                <w:rFonts w:cs="Times New Roman"/>
                <w:kern w:val="0"/>
                <w:szCs w:val="20"/>
              </w:rPr>
              <w:t>1</w:t>
            </w:r>
          </w:p>
        </w:tc>
        <w:tc>
          <w:tcPr>
            <w:tcW w:w="504" w:type="pct"/>
            <w:vAlign w:val="center"/>
          </w:tcPr>
          <w:p w14:paraId="43AE2361">
            <w:pPr>
              <w:pStyle w:val="445"/>
              <w:rPr>
                <w:rFonts w:cs="Times New Roman"/>
                <w:kern w:val="0"/>
                <w:szCs w:val="20"/>
              </w:rPr>
            </w:pPr>
            <w:r>
              <w:rPr>
                <w:rFonts w:hint="eastAsia" w:cs="Times New Roman"/>
                <w:kern w:val="0"/>
                <w:szCs w:val="20"/>
              </w:rPr>
              <w:t>合成</w:t>
            </w:r>
          </w:p>
        </w:tc>
        <w:tc>
          <w:tcPr>
            <w:tcW w:w="328" w:type="pct"/>
            <w:vAlign w:val="center"/>
          </w:tcPr>
          <w:p w14:paraId="0A901F1A">
            <w:pPr>
              <w:pStyle w:val="445"/>
              <w:rPr>
                <w:rFonts w:cs="Times New Roman"/>
                <w:kern w:val="0"/>
                <w:szCs w:val="20"/>
              </w:rPr>
            </w:pPr>
            <w:r>
              <w:rPr>
                <w:rFonts w:hint="eastAsia" w:cs="Times New Roman"/>
                <w:kern w:val="0"/>
                <w:szCs w:val="20"/>
              </w:rPr>
              <w:t>废渣</w:t>
            </w:r>
          </w:p>
        </w:tc>
        <w:tc>
          <w:tcPr>
            <w:tcW w:w="328" w:type="pct"/>
            <w:vAlign w:val="center"/>
          </w:tcPr>
          <w:p w14:paraId="5605DA46">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39938141">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6AD25B93">
            <w:pPr>
              <w:pStyle w:val="445"/>
              <w:rPr>
                <w:rFonts w:cs="Times New Roman"/>
                <w:kern w:val="0"/>
                <w:szCs w:val="20"/>
              </w:rPr>
            </w:pPr>
            <w:r>
              <w:rPr>
                <w:rFonts w:hint="eastAsia" w:cs="Times New Roman"/>
                <w:kern w:val="0"/>
                <w:szCs w:val="20"/>
              </w:rPr>
              <w:t>/</w:t>
            </w:r>
          </w:p>
        </w:tc>
        <w:tc>
          <w:tcPr>
            <w:tcW w:w="473" w:type="pct"/>
            <w:vAlign w:val="center"/>
          </w:tcPr>
          <w:p w14:paraId="231002C0">
            <w:pPr>
              <w:pStyle w:val="445"/>
              <w:rPr>
                <w:rFonts w:cs="Times New Roman"/>
                <w:kern w:val="0"/>
                <w:szCs w:val="20"/>
              </w:rPr>
            </w:pPr>
            <w:r>
              <w:rPr>
                <w:rFonts w:cs="Times New Roman"/>
                <w:kern w:val="0"/>
                <w:szCs w:val="20"/>
              </w:rPr>
              <w:t>82</w:t>
            </w:r>
            <w:r>
              <w:rPr>
                <w:rFonts w:hint="eastAsia" w:cs="Times New Roman"/>
                <w:kern w:val="0"/>
                <w:szCs w:val="20"/>
              </w:rPr>
              <w:t>.074</w:t>
            </w:r>
          </w:p>
        </w:tc>
        <w:tc>
          <w:tcPr>
            <w:tcW w:w="254" w:type="pct"/>
            <w:vAlign w:val="center"/>
          </w:tcPr>
          <w:p w14:paraId="38464C67">
            <w:pPr>
              <w:pStyle w:val="445"/>
              <w:rPr>
                <w:rFonts w:cs="Times New Roman"/>
                <w:kern w:val="0"/>
                <w:szCs w:val="20"/>
              </w:rPr>
            </w:pPr>
            <w:r>
              <w:rPr>
                <w:rFonts w:hint="eastAsia" w:cs="Times New Roman"/>
                <w:kern w:val="0"/>
                <w:szCs w:val="20"/>
              </w:rPr>
              <w:t>出售</w:t>
            </w:r>
          </w:p>
        </w:tc>
        <w:tc>
          <w:tcPr>
            <w:tcW w:w="337" w:type="pct"/>
            <w:vAlign w:val="center"/>
          </w:tcPr>
          <w:p w14:paraId="7BEDDE49">
            <w:pPr>
              <w:pStyle w:val="445"/>
              <w:rPr>
                <w:rFonts w:cs="Times New Roman"/>
                <w:kern w:val="0"/>
                <w:szCs w:val="20"/>
              </w:rPr>
            </w:pPr>
            <w:r>
              <w:rPr>
                <w:rFonts w:cs="Times New Roman"/>
                <w:kern w:val="0"/>
                <w:szCs w:val="20"/>
              </w:rPr>
              <w:t>82</w:t>
            </w:r>
            <w:r>
              <w:rPr>
                <w:rFonts w:hint="eastAsia" w:cs="Times New Roman"/>
                <w:kern w:val="0"/>
                <w:szCs w:val="20"/>
              </w:rPr>
              <w:t>.074</w:t>
            </w:r>
          </w:p>
        </w:tc>
        <w:tc>
          <w:tcPr>
            <w:tcW w:w="337" w:type="pct"/>
            <w:vAlign w:val="center"/>
          </w:tcPr>
          <w:p w14:paraId="6F7592AC">
            <w:pPr>
              <w:pStyle w:val="445"/>
              <w:rPr>
                <w:rFonts w:cs="Times New Roman"/>
                <w:kern w:val="0"/>
                <w:szCs w:val="20"/>
              </w:rPr>
            </w:pPr>
            <w:r>
              <w:rPr>
                <w:rFonts w:hint="eastAsia" w:cs="Times New Roman"/>
                <w:kern w:val="0"/>
                <w:szCs w:val="20"/>
              </w:rPr>
              <w:t>/</w:t>
            </w:r>
          </w:p>
        </w:tc>
        <w:tc>
          <w:tcPr>
            <w:tcW w:w="399" w:type="pct"/>
            <w:vAlign w:val="center"/>
          </w:tcPr>
          <w:p w14:paraId="0C88CFF1">
            <w:pPr>
              <w:pStyle w:val="445"/>
              <w:rPr>
                <w:rFonts w:cs="Times New Roman"/>
                <w:kern w:val="0"/>
                <w:szCs w:val="20"/>
              </w:rPr>
            </w:pPr>
            <w:r>
              <w:rPr>
                <w:rFonts w:cs="Times New Roman"/>
                <w:kern w:val="0"/>
                <w:szCs w:val="20"/>
              </w:rPr>
              <w:t>82</w:t>
            </w:r>
            <w:r>
              <w:rPr>
                <w:rFonts w:hint="eastAsia" w:cs="Times New Roman"/>
                <w:kern w:val="0"/>
                <w:szCs w:val="20"/>
              </w:rPr>
              <w:t>.074</w:t>
            </w:r>
          </w:p>
        </w:tc>
        <w:tc>
          <w:tcPr>
            <w:tcW w:w="339" w:type="pct"/>
            <w:vAlign w:val="center"/>
          </w:tcPr>
          <w:p w14:paraId="779E02F9">
            <w:pPr>
              <w:pStyle w:val="445"/>
              <w:rPr>
                <w:rFonts w:cs="Times New Roman"/>
                <w:kern w:val="0"/>
                <w:szCs w:val="20"/>
              </w:rPr>
            </w:pPr>
            <w:r>
              <w:rPr>
                <w:rFonts w:hint="eastAsia" w:cs="Times New Roman"/>
                <w:kern w:val="0"/>
                <w:szCs w:val="20"/>
              </w:rPr>
              <w:t>/</w:t>
            </w:r>
          </w:p>
        </w:tc>
        <w:tc>
          <w:tcPr>
            <w:tcW w:w="352" w:type="pct"/>
            <w:vAlign w:val="center"/>
          </w:tcPr>
          <w:p w14:paraId="03E51408">
            <w:pPr>
              <w:pStyle w:val="445"/>
              <w:rPr>
                <w:rFonts w:cs="Times New Roman"/>
                <w:kern w:val="0"/>
                <w:szCs w:val="20"/>
              </w:rPr>
            </w:pPr>
            <w:r>
              <w:rPr>
                <w:rFonts w:hint="eastAsia" w:cs="Times New Roman"/>
                <w:kern w:val="0"/>
                <w:szCs w:val="20"/>
              </w:rPr>
              <w:t>/</w:t>
            </w:r>
          </w:p>
        </w:tc>
        <w:tc>
          <w:tcPr>
            <w:tcW w:w="263" w:type="pct"/>
            <w:vAlign w:val="center"/>
          </w:tcPr>
          <w:p w14:paraId="063E16E8">
            <w:pPr>
              <w:pStyle w:val="445"/>
              <w:rPr>
                <w:rFonts w:cs="Times New Roman"/>
                <w:kern w:val="0"/>
                <w:szCs w:val="20"/>
              </w:rPr>
            </w:pPr>
            <w:r>
              <w:rPr>
                <w:rFonts w:cs="Times New Roman"/>
                <w:kern w:val="0"/>
                <w:szCs w:val="20"/>
              </w:rPr>
              <w:t>0</w:t>
            </w:r>
          </w:p>
        </w:tc>
        <w:tc>
          <w:tcPr>
            <w:tcW w:w="251" w:type="pct"/>
            <w:vAlign w:val="center"/>
          </w:tcPr>
          <w:p w14:paraId="170164E7">
            <w:pPr>
              <w:pStyle w:val="445"/>
              <w:rPr>
                <w:rFonts w:cs="Times New Roman"/>
                <w:kern w:val="0"/>
                <w:szCs w:val="20"/>
              </w:rPr>
            </w:pPr>
            <w:r>
              <w:rPr>
                <w:rFonts w:hint="eastAsia" w:cs="Times New Roman"/>
                <w:kern w:val="0"/>
                <w:szCs w:val="20"/>
              </w:rPr>
              <w:t>/</w:t>
            </w:r>
          </w:p>
        </w:tc>
      </w:tr>
      <w:tr w14:paraId="5BCD4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33C52ACC">
            <w:pPr>
              <w:pStyle w:val="445"/>
              <w:rPr>
                <w:rFonts w:cs="Times New Roman"/>
                <w:kern w:val="0"/>
                <w:szCs w:val="20"/>
              </w:rPr>
            </w:pPr>
            <w:r>
              <w:rPr>
                <w:rFonts w:cs="Times New Roman"/>
                <w:kern w:val="0"/>
                <w:szCs w:val="20"/>
              </w:rPr>
              <w:t>2</w:t>
            </w:r>
          </w:p>
        </w:tc>
        <w:tc>
          <w:tcPr>
            <w:tcW w:w="504" w:type="pct"/>
            <w:vAlign w:val="center"/>
          </w:tcPr>
          <w:p w14:paraId="2E079AC5">
            <w:pPr>
              <w:pStyle w:val="445"/>
              <w:rPr>
                <w:rFonts w:cs="Times New Roman"/>
                <w:kern w:val="0"/>
                <w:szCs w:val="20"/>
              </w:rPr>
            </w:pPr>
            <w:r>
              <w:rPr>
                <w:rFonts w:hint="eastAsia" w:cs="Times New Roman"/>
                <w:kern w:val="0"/>
                <w:szCs w:val="20"/>
              </w:rPr>
              <w:t>精馏</w:t>
            </w:r>
          </w:p>
        </w:tc>
        <w:tc>
          <w:tcPr>
            <w:tcW w:w="328" w:type="pct"/>
            <w:vAlign w:val="center"/>
          </w:tcPr>
          <w:p w14:paraId="74C9360E">
            <w:pPr>
              <w:pStyle w:val="445"/>
              <w:rPr>
                <w:rFonts w:cs="Times New Roman"/>
                <w:kern w:val="0"/>
                <w:szCs w:val="20"/>
              </w:rPr>
            </w:pPr>
            <w:r>
              <w:rPr>
                <w:rFonts w:hint="eastAsia" w:cs="Times New Roman"/>
                <w:kern w:val="0"/>
                <w:szCs w:val="20"/>
              </w:rPr>
              <w:t>精馏残渣</w:t>
            </w:r>
          </w:p>
        </w:tc>
        <w:tc>
          <w:tcPr>
            <w:tcW w:w="328" w:type="pct"/>
            <w:vAlign w:val="center"/>
          </w:tcPr>
          <w:p w14:paraId="662BA3A8">
            <w:pPr>
              <w:pStyle w:val="445"/>
              <w:rPr>
                <w:rFonts w:cs="Times New Roman"/>
                <w:kern w:val="0"/>
                <w:szCs w:val="20"/>
              </w:rPr>
            </w:pPr>
            <w:r>
              <w:rPr>
                <w:rFonts w:hint="eastAsia" w:cs="Times New Roman"/>
                <w:kern w:val="0"/>
                <w:szCs w:val="20"/>
              </w:rPr>
              <w:t>危险废物</w:t>
            </w:r>
          </w:p>
        </w:tc>
        <w:tc>
          <w:tcPr>
            <w:tcW w:w="328" w:type="pct"/>
            <w:vAlign w:val="center"/>
          </w:tcPr>
          <w:p w14:paraId="33324584">
            <w:pPr>
              <w:pStyle w:val="445"/>
              <w:rPr>
                <w:rFonts w:cs="Times New Roman"/>
                <w:kern w:val="0"/>
                <w:szCs w:val="20"/>
              </w:rPr>
            </w:pPr>
            <w:r>
              <w:rPr>
                <w:rFonts w:hint="eastAsia" w:cs="Times New Roman"/>
                <w:kern w:val="0"/>
                <w:szCs w:val="20"/>
              </w:rPr>
              <w:t>危险废物</w:t>
            </w:r>
          </w:p>
        </w:tc>
        <w:tc>
          <w:tcPr>
            <w:tcW w:w="328" w:type="pct"/>
            <w:vAlign w:val="center"/>
          </w:tcPr>
          <w:p w14:paraId="2AA1987E">
            <w:pPr>
              <w:pStyle w:val="445"/>
              <w:rPr>
                <w:rFonts w:cs="Times New Roman"/>
                <w:kern w:val="0"/>
                <w:szCs w:val="20"/>
              </w:rPr>
            </w:pPr>
            <w:r>
              <w:rPr>
                <w:rFonts w:hint="eastAsia" w:cs="Times New Roman"/>
                <w:kern w:val="0"/>
                <w:szCs w:val="20"/>
              </w:rPr>
              <w:t>/</w:t>
            </w:r>
          </w:p>
        </w:tc>
        <w:tc>
          <w:tcPr>
            <w:tcW w:w="473" w:type="pct"/>
            <w:vAlign w:val="center"/>
          </w:tcPr>
          <w:p w14:paraId="1463F4D0">
            <w:pPr>
              <w:pStyle w:val="445"/>
              <w:rPr>
                <w:rFonts w:cs="Times New Roman"/>
                <w:kern w:val="0"/>
                <w:szCs w:val="20"/>
              </w:rPr>
            </w:pPr>
            <w:r>
              <w:rPr>
                <w:rFonts w:cs="Times New Roman"/>
                <w:kern w:val="0"/>
                <w:szCs w:val="20"/>
              </w:rPr>
              <w:t>195.049</w:t>
            </w:r>
          </w:p>
        </w:tc>
        <w:tc>
          <w:tcPr>
            <w:tcW w:w="254" w:type="pct"/>
            <w:vAlign w:val="center"/>
          </w:tcPr>
          <w:p w14:paraId="59B39DA3">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5AB35A65">
            <w:pPr>
              <w:pStyle w:val="445"/>
              <w:rPr>
                <w:rFonts w:cs="Times New Roman"/>
                <w:kern w:val="0"/>
                <w:szCs w:val="20"/>
              </w:rPr>
            </w:pPr>
            <w:r>
              <w:rPr>
                <w:rFonts w:cs="Times New Roman"/>
                <w:kern w:val="0"/>
                <w:szCs w:val="20"/>
              </w:rPr>
              <w:t>195.049</w:t>
            </w:r>
          </w:p>
        </w:tc>
        <w:tc>
          <w:tcPr>
            <w:tcW w:w="337" w:type="pct"/>
            <w:vAlign w:val="center"/>
          </w:tcPr>
          <w:p w14:paraId="2D9FA8EA">
            <w:pPr>
              <w:pStyle w:val="445"/>
              <w:rPr>
                <w:rFonts w:cs="Times New Roman"/>
                <w:kern w:val="0"/>
                <w:szCs w:val="20"/>
              </w:rPr>
            </w:pPr>
            <w:r>
              <w:rPr>
                <w:rFonts w:hint="eastAsia" w:cs="Times New Roman"/>
                <w:kern w:val="0"/>
                <w:szCs w:val="20"/>
              </w:rPr>
              <w:t>/</w:t>
            </w:r>
          </w:p>
        </w:tc>
        <w:tc>
          <w:tcPr>
            <w:tcW w:w="399" w:type="pct"/>
            <w:vAlign w:val="center"/>
          </w:tcPr>
          <w:p w14:paraId="611FD2C7">
            <w:pPr>
              <w:pStyle w:val="445"/>
              <w:rPr>
                <w:rFonts w:cs="Times New Roman"/>
                <w:kern w:val="0"/>
                <w:szCs w:val="20"/>
              </w:rPr>
            </w:pPr>
            <w:r>
              <w:rPr>
                <w:rFonts w:hint="eastAsia" w:cs="Times New Roman"/>
                <w:kern w:val="0"/>
                <w:szCs w:val="20"/>
              </w:rPr>
              <w:t>/</w:t>
            </w:r>
          </w:p>
        </w:tc>
        <w:tc>
          <w:tcPr>
            <w:tcW w:w="339" w:type="pct"/>
            <w:vAlign w:val="center"/>
          </w:tcPr>
          <w:p w14:paraId="1CE5F7DC">
            <w:pPr>
              <w:pStyle w:val="445"/>
              <w:rPr>
                <w:rFonts w:cs="Times New Roman"/>
                <w:kern w:val="0"/>
                <w:szCs w:val="20"/>
              </w:rPr>
            </w:pPr>
            <w:r>
              <w:rPr>
                <w:rFonts w:hint="eastAsia" w:cs="Times New Roman"/>
                <w:kern w:val="0"/>
                <w:szCs w:val="20"/>
              </w:rPr>
              <w:t>/</w:t>
            </w:r>
          </w:p>
        </w:tc>
        <w:tc>
          <w:tcPr>
            <w:tcW w:w="352" w:type="pct"/>
            <w:vAlign w:val="center"/>
          </w:tcPr>
          <w:p w14:paraId="3D62650D">
            <w:pPr>
              <w:pStyle w:val="445"/>
              <w:rPr>
                <w:rFonts w:cs="Times New Roman"/>
                <w:kern w:val="0"/>
                <w:szCs w:val="20"/>
              </w:rPr>
            </w:pPr>
            <w:r>
              <w:rPr>
                <w:rFonts w:cs="Times New Roman"/>
                <w:kern w:val="0"/>
                <w:szCs w:val="20"/>
              </w:rPr>
              <w:t>195.049</w:t>
            </w:r>
          </w:p>
        </w:tc>
        <w:tc>
          <w:tcPr>
            <w:tcW w:w="263" w:type="pct"/>
            <w:vAlign w:val="center"/>
          </w:tcPr>
          <w:p w14:paraId="02CB6B0F">
            <w:pPr>
              <w:pStyle w:val="445"/>
              <w:rPr>
                <w:rFonts w:cs="Times New Roman"/>
                <w:kern w:val="0"/>
                <w:szCs w:val="20"/>
              </w:rPr>
            </w:pPr>
            <w:r>
              <w:rPr>
                <w:rFonts w:cs="Times New Roman"/>
                <w:kern w:val="0"/>
                <w:szCs w:val="20"/>
              </w:rPr>
              <w:t>0</w:t>
            </w:r>
          </w:p>
        </w:tc>
        <w:tc>
          <w:tcPr>
            <w:tcW w:w="251" w:type="pct"/>
            <w:vAlign w:val="center"/>
          </w:tcPr>
          <w:p w14:paraId="50D6CEED">
            <w:pPr>
              <w:pStyle w:val="445"/>
              <w:rPr>
                <w:rFonts w:cs="Times New Roman"/>
                <w:kern w:val="0"/>
                <w:szCs w:val="20"/>
              </w:rPr>
            </w:pPr>
            <w:r>
              <w:rPr>
                <w:rFonts w:hint="eastAsia" w:cs="Times New Roman"/>
                <w:kern w:val="0"/>
                <w:szCs w:val="20"/>
              </w:rPr>
              <w:t>/</w:t>
            </w:r>
          </w:p>
        </w:tc>
      </w:tr>
      <w:tr w14:paraId="56F27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6D4DE454">
            <w:pPr>
              <w:pStyle w:val="445"/>
              <w:rPr>
                <w:rFonts w:cs="Times New Roman"/>
                <w:kern w:val="0"/>
                <w:szCs w:val="20"/>
              </w:rPr>
            </w:pPr>
            <w:r>
              <w:rPr>
                <w:rFonts w:cs="Times New Roman"/>
                <w:kern w:val="0"/>
                <w:szCs w:val="20"/>
              </w:rPr>
              <w:t>3</w:t>
            </w:r>
          </w:p>
        </w:tc>
        <w:tc>
          <w:tcPr>
            <w:tcW w:w="504" w:type="pct"/>
            <w:vAlign w:val="center"/>
          </w:tcPr>
          <w:p w14:paraId="603D6D6A">
            <w:pPr>
              <w:pStyle w:val="445"/>
              <w:rPr>
                <w:rFonts w:cs="Times New Roman"/>
                <w:kern w:val="0"/>
                <w:szCs w:val="20"/>
              </w:rPr>
            </w:pPr>
            <w:r>
              <w:rPr>
                <w:rFonts w:hint="eastAsia" w:cs="Times New Roman"/>
                <w:kern w:val="0"/>
                <w:szCs w:val="20"/>
              </w:rPr>
              <w:t>吸附</w:t>
            </w:r>
          </w:p>
        </w:tc>
        <w:tc>
          <w:tcPr>
            <w:tcW w:w="328" w:type="pct"/>
            <w:vAlign w:val="center"/>
          </w:tcPr>
          <w:p w14:paraId="2F9B61F0">
            <w:pPr>
              <w:pStyle w:val="445"/>
              <w:rPr>
                <w:rFonts w:cs="Times New Roman"/>
                <w:kern w:val="0"/>
                <w:szCs w:val="20"/>
              </w:rPr>
            </w:pPr>
            <w:r>
              <w:rPr>
                <w:rFonts w:hint="eastAsia" w:cs="Times New Roman"/>
                <w:kern w:val="0"/>
                <w:szCs w:val="20"/>
              </w:rPr>
              <w:t>废催化剂</w:t>
            </w:r>
          </w:p>
        </w:tc>
        <w:tc>
          <w:tcPr>
            <w:tcW w:w="328" w:type="pct"/>
            <w:vAlign w:val="center"/>
          </w:tcPr>
          <w:p w14:paraId="7708F346">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2D69C263">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4D53107A">
            <w:pPr>
              <w:pStyle w:val="445"/>
              <w:rPr>
                <w:rFonts w:cs="Times New Roman"/>
                <w:kern w:val="0"/>
                <w:szCs w:val="20"/>
              </w:rPr>
            </w:pPr>
            <w:r>
              <w:rPr>
                <w:rFonts w:hint="eastAsia" w:cs="Times New Roman"/>
                <w:kern w:val="0"/>
                <w:szCs w:val="20"/>
              </w:rPr>
              <w:t>/</w:t>
            </w:r>
          </w:p>
        </w:tc>
        <w:tc>
          <w:tcPr>
            <w:tcW w:w="473" w:type="pct"/>
            <w:vAlign w:val="center"/>
          </w:tcPr>
          <w:p w14:paraId="06AC0139">
            <w:pPr>
              <w:pStyle w:val="445"/>
              <w:rPr>
                <w:rFonts w:cs="Times New Roman"/>
                <w:kern w:val="0"/>
                <w:szCs w:val="20"/>
              </w:rPr>
            </w:pPr>
            <w:r>
              <w:rPr>
                <w:rFonts w:hint="eastAsia" w:cs="Times New Roman"/>
                <w:kern w:val="0"/>
                <w:szCs w:val="20"/>
              </w:rPr>
              <w:t>0.023</w:t>
            </w:r>
          </w:p>
        </w:tc>
        <w:tc>
          <w:tcPr>
            <w:tcW w:w="254" w:type="pct"/>
            <w:vAlign w:val="center"/>
          </w:tcPr>
          <w:p w14:paraId="0FB7A693">
            <w:pPr>
              <w:pStyle w:val="445"/>
              <w:rPr>
                <w:rFonts w:cs="Times New Roman"/>
                <w:kern w:val="0"/>
                <w:szCs w:val="20"/>
              </w:rPr>
            </w:pPr>
            <w:r>
              <w:rPr>
                <w:rFonts w:hint="eastAsia" w:cs="Times New Roman"/>
                <w:kern w:val="0"/>
                <w:szCs w:val="20"/>
              </w:rPr>
              <w:t>厂家回收</w:t>
            </w:r>
          </w:p>
        </w:tc>
        <w:tc>
          <w:tcPr>
            <w:tcW w:w="337" w:type="pct"/>
            <w:vAlign w:val="center"/>
          </w:tcPr>
          <w:p w14:paraId="137E1817">
            <w:pPr>
              <w:pStyle w:val="445"/>
              <w:rPr>
                <w:rFonts w:cs="Times New Roman"/>
                <w:kern w:val="0"/>
                <w:szCs w:val="20"/>
              </w:rPr>
            </w:pPr>
            <w:r>
              <w:rPr>
                <w:rFonts w:hint="eastAsia" w:cs="Times New Roman"/>
                <w:kern w:val="0"/>
                <w:szCs w:val="20"/>
              </w:rPr>
              <w:t>0.023</w:t>
            </w:r>
          </w:p>
        </w:tc>
        <w:tc>
          <w:tcPr>
            <w:tcW w:w="337" w:type="pct"/>
            <w:vAlign w:val="center"/>
          </w:tcPr>
          <w:p w14:paraId="676EF728">
            <w:pPr>
              <w:pStyle w:val="445"/>
              <w:rPr>
                <w:rFonts w:cs="Times New Roman"/>
                <w:kern w:val="0"/>
                <w:szCs w:val="20"/>
              </w:rPr>
            </w:pPr>
            <w:r>
              <w:rPr>
                <w:rFonts w:hint="eastAsia" w:cs="Times New Roman"/>
                <w:kern w:val="0"/>
                <w:szCs w:val="20"/>
              </w:rPr>
              <w:t>/</w:t>
            </w:r>
          </w:p>
        </w:tc>
        <w:tc>
          <w:tcPr>
            <w:tcW w:w="399" w:type="pct"/>
            <w:vAlign w:val="center"/>
          </w:tcPr>
          <w:p w14:paraId="270C9A57">
            <w:pPr>
              <w:pStyle w:val="445"/>
              <w:rPr>
                <w:rFonts w:cs="Times New Roman"/>
                <w:kern w:val="0"/>
                <w:szCs w:val="20"/>
              </w:rPr>
            </w:pPr>
            <w:r>
              <w:rPr>
                <w:rFonts w:hint="eastAsia" w:cs="Times New Roman"/>
                <w:kern w:val="0"/>
                <w:szCs w:val="20"/>
              </w:rPr>
              <w:t>/</w:t>
            </w:r>
          </w:p>
        </w:tc>
        <w:tc>
          <w:tcPr>
            <w:tcW w:w="339" w:type="pct"/>
            <w:vAlign w:val="center"/>
          </w:tcPr>
          <w:p w14:paraId="2989C928">
            <w:pPr>
              <w:pStyle w:val="445"/>
              <w:rPr>
                <w:rFonts w:cs="Times New Roman"/>
                <w:kern w:val="0"/>
                <w:szCs w:val="20"/>
              </w:rPr>
            </w:pPr>
            <w:r>
              <w:rPr>
                <w:rFonts w:hint="eastAsia" w:cs="Times New Roman"/>
                <w:kern w:val="0"/>
                <w:szCs w:val="20"/>
              </w:rPr>
              <w:t>/</w:t>
            </w:r>
          </w:p>
        </w:tc>
        <w:tc>
          <w:tcPr>
            <w:tcW w:w="352" w:type="pct"/>
            <w:vAlign w:val="center"/>
          </w:tcPr>
          <w:p w14:paraId="25F6DD4C">
            <w:pPr>
              <w:pStyle w:val="445"/>
              <w:rPr>
                <w:rFonts w:cs="Times New Roman"/>
                <w:kern w:val="0"/>
                <w:szCs w:val="20"/>
              </w:rPr>
            </w:pPr>
            <w:r>
              <w:rPr>
                <w:rFonts w:hint="eastAsia" w:cs="Times New Roman"/>
                <w:kern w:val="0"/>
                <w:szCs w:val="20"/>
              </w:rPr>
              <w:t>0.023</w:t>
            </w:r>
          </w:p>
        </w:tc>
        <w:tc>
          <w:tcPr>
            <w:tcW w:w="263" w:type="pct"/>
            <w:vAlign w:val="center"/>
          </w:tcPr>
          <w:p w14:paraId="0A947751">
            <w:pPr>
              <w:pStyle w:val="445"/>
              <w:rPr>
                <w:rFonts w:cs="Times New Roman"/>
                <w:kern w:val="0"/>
                <w:szCs w:val="20"/>
              </w:rPr>
            </w:pPr>
            <w:r>
              <w:rPr>
                <w:rFonts w:hint="eastAsia" w:cs="Times New Roman"/>
                <w:kern w:val="0"/>
                <w:szCs w:val="20"/>
              </w:rPr>
              <w:t>0</w:t>
            </w:r>
          </w:p>
        </w:tc>
        <w:tc>
          <w:tcPr>
            <w:tcW w:w="251" w:type="pct"/>
            <w:vAlign w:val="center"/>
          </w:tcPr>
          <w:p w14:paraId="7CB21592">
            <w:pPr>
              <w:pStyle w:val="445"/>
              <w:rPr>
                <w:rFonts w:cs="Times New Roman"/>
                <w:kern w:val="0"/>
                <w:szCs w:val="20"/>
              </w:rPr>
            </w:pPr>
            <w:r>
              <w:rPr>
                <w:rFonts w:hint="eastAsia" w:cs="Times New Roman"/>
                <w:kern w:val="0"/>
                <w:szCs w:val="20"/>
              </w:rPr>
              <w:t>/</w:t>
            </w:r>
          </w:p>
        </w:tc>
      </w:tr>
      <w:tr w14:paraId="5D870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2EAF6AF7">
            <w:pPr>
              <w:pStyle w:val="445"/>
              <w:rPr>
                <w:rFonts w:cs="Times New Roman"/>
                <w:kern w:val="0"/>
                <w:szCs w:val="20"/>
              </w:rPr>
            </w:pPr>
            <w:r>
              <w:rPr>
                <w:rFonts w:cs="Times New Roman"/>
                <w:kern w:val="0"/>
                <w:szCs w:val="20"/>
              </w:rPr>
              <w:t>4</w:t>
            </w:r>
          </w:p>
        </w:tc>
        <w:tc>
          <w:tcPr>
            <w:tcW w:w="504" w:type="pct"/>
            <w:vAlign w:val="center"/>
          </w:tcPr>
          <w:p w14:paraId="1AA746EC">
            <w:pPr>
              <w:pStyle w:val="445"/>
              <w:rPr>
                <w:rFonts w:cs="Times New Roman"/>
                <w:kern w:val="0"/>
                <w:szCs w:val="20"/>
              </w:rPr>
            </w:pPr>
            <w:r>
              <w:rPr>
                <w:rFonts w:hint="eastAsia" w:cs="Times New Roman"/>
                <w:kern w:val="0"/>
                <w:szCs w:val="20"/>
              </w:rPr>
              <w:t>破碎</w:t>
            </w:r>
            <w:r>
              <w:rPr>
                <w:rFonts w:cs="Times New Roman"/>
                <w:kern w:val="0"/>
                <w:szCs w:val="20"/>
              </w:rPr>
              <w:t>、筛分、进出料等</w:t>
            </w:r>
          </w:p>
        </w:tc>
        <w:tc>
          <w:tcPr>
            <w:tcW w:w="328" w:type="pct"/>
            <w:vAlign w:val="center"/>
          </w:tcPr>
          <w:p w14:paraId="1E588043">
            <w:pPr>
              <w:pStyle w:val="445"/>
              <w:rPr>
                <w:rFonts w:cs="Times New Roman"/>
                <w:kern w:val="0"/>
                <w:szCs w:val="20"/>
              </w:rPr>
            </w:pPr>
            <w:r>
              <w:rPr>
                <w:rFonts w:hint="eastAsia" w:cs="Times New Roman"/>
                <w:kern w:val="0"/>
                <w:szCs w:val="20"/>
              </w:rPr>
              <w:t>二氧化硅</w:t>
            </w:r>
            <w:r>
              <w:rPr>
                <w:rFonts w:cs="Times New Roman"/>
                <w:kern w:val="0"/>
                <w:szCs w:val="20"/>
              </w:rPr>
              <w:t>微粉</w:t>
            </w:r>
          </w:p>
        </w:tc>
        <w:tc>
          <w:tcPr>
            <w:tcW w:w="328" w:type="pct"/>
            <w:vAlign w:val="center"/>
          </w:tcPr>
          <w:p w14:paraId="443D4A7B">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7E5F16BD">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20F84A7F">
            <w:pPr>
              <w:pStyle w:val="445"/>
              <w:rPr>
                <w:rFonts w:cs="Times New Roman"/>
                <w:kern w:val="0"/>
                <w:szCs w:val="20"/>
              </w:rPr>
            </w:pPr>
            <w:r>
              <w:rPr>
                <w:rFonts w:hint="eastAsia" w:cs="Times New Roman"/>
                <w:kern w:val="0"/>
                <w:szCs w:val="20"/>
              </w:rPr>
              <w:t>/</w:t>
            </w:r>
          </w:p>
        </w:tc>
        <w:tc>
          <w:tcPr>
            <w:tcW w:w="473" w:type="pct"/>
            <w:vAlign w:val="center"/>
          </w:tcPr>
          <w:p w14:paraId="704EAB19">
            <w:pPr>
              <w:pStyle w:val="445"/>
              <w:rPr>
                <w:rFonts w:cs="Times New Roman"/>
                <w:kern w:val="0"/>
                <w:szCs w:val="20"/>
              </w:rPr>
            </w:pPr>
            <w:r>
              <w:rPr>
                <w:rFonts w:cs="Times New Roman"/>
                <w:kern w:val="0"/>
                <w:szCs w:val="20"/>
              </w:rPr>
              <w:t>444.117</w:t>
            </w:r>
          </w:p>
        </w:tc>
        <w:tc>
          <w:tcPr>
            <w:tcW w:w="254" w:type="pct"/>
            <w:vAlign w:val="center"/>
          </w:tcPr>
          <w:p w14:paraId="1506CA6E">
            <w:pPr>
              <w:pStyle w:val="445"/>
              <w:rPr>
                <w:rFonts w:cs="Times New Roman"/>
                <w:kern w:val="0"/>
                <w:szCs w:val="20"/>
              </w:rPr>
            </w:pPr>
            <w:r>
              <w:rPr>
                <w:rFonts w:hint="eastAsia" w:cs="Times New Roman"/>
                <w:kern w:val="0"/>
                <w:szCs w:val="20"/>
              </w:rPr>
              <w:t>出售</w:t>
            </w:r>
          </w:p>
        </w:tc>
        <w:tc>
          <w:tcPr>
            <w:tcW w:w="337" w:type="pct"/>
            <w:vAlign w:val="center"/>
          </w:tcPr>
          <w:p w14:paraId="4090AA9D">
            <w:pPr>
              <w:pStyle w:val="445"/>
              <w:rPr>
                <w:rFonts w:cs="Times New Roman"/>
                <w:kern w:val="0"/>
                <w:szCs w:val="20"/>
              </w:rPr>
            </w:pPr>
            <w:r>
              <w:rPr>
                <w:rFonts w:cs="Times New Roman"/>
                <w:kern w:val="0"/>
                <w:szCs w:val="20"/>
              </w:rPr>
              <w:t>444.117</w:t>
            </w:r>
          </w:p>
        </w:tc>
        <w:tc>
          <w:tcPr>
            <w:tcW w:w="337" w:type="pct"/>
            <w:vAlign w:val="center"/>
          </w:tcPr>
          <w:p w14:paraId="08EE1BE9">
            <w:pPr>
              <w:pStyle w:val="445"/>
              <w:rPr>
                <w:rFonts w:cs="Times New Roman"/>
                <w:kern w:val="0"/>
                <w:szCs w:val="20"/>
              </w:rPr>
            </w:pPr>
            <w:r>
              <w:rPr>
                <w:rFonts w:hint="eastAsia" w:cs="Times New Roman"/>
                <w:kern w:val="0"/>
                <w:szCs w:val="20"/>
              </w:rPr>
              <w:t>/</w:t>
            </w:r>
          </w:p>
        </w:tc>
        <w:tc>
          <w:tcPr>
            <w:tcW w:w="399" w:type="pct"/>
            <w:vAlign w:val="center"/>
          </w:tcPr>
          <w:p w14:paraId="31B16913">
            <w:pPr>
              <w:pStyle w:val="445"/>
              <w:rPr>
                <w:rFonts w:cs="Times New Roman"/>
                <w:kern w:val="0"/>
                <w:szCs w:val="20"/>
              </w:rPr>
            </w:pPr>
            <w:r>
              <w:rPr>
                <w:rFonts w:cs="Times New Roman"/>
                <w:kern w:val="0"/>
                <w:szCs w:val="20"/>
              </w:rPr>
              <w:t>444.117</w:t>
            </w:r>
          </w:p>
        </w:tc>
        <w:tc>
          <w:tcPr>
            <w:tcW w:w="339" w:type="pct"/>
            <w:vAlign w:val="center"/>
          </w:tcPr>
          <w:p w14:paraId="7E18D6EA">
            <w:pPr>
              <w:pStyle w:val="445"/>
              <w:rPr>
                <w:rFonts w:cs="Times New Roman"/>
                <w:kern w:val="0"/>
                <w:szCs w:val="20"/>
              </w:rPr>
            </w:pPr>
            <w:r>
              <w:rPr>
                <w:rFonts w:hint="eastAsia" w:cs="Times New Roman"/>
                <w:kern w:val="0"/>
                <w:szCs w:val="20"/>
              </w:rPr>
              <w:t>/</w:t>
            </w:r>
          </w:p>
        </w:tc>
        <w:tc>
          <w:tcPr>
            <w:tcW w:w="352" w:type="pct"/>
            <w:vAlign w:val="center"/>
          </w:tcPr>
          <w:p w14:paraId="19F9C71F">
            <w:pPr>
              <w:pStyle w:val="445"/>
              <w:rPr>
                <w:rFonts w:cs="Times New Roman"/>
                <w:kern w:val="0"/>
                <w:szCs w:val="20"/>
              </w:rPr>
            </w:pPr>
            <w:r>
              <w:rPr>
                <w:rFonts w:hint="eastAsia" w:cs="Times New Roman"/>
                <w:kern w:val="0"/>
                <w:szCs w:val="20"/>
              </w:rPr>
              <w:t>/</w:t>
            </w:r>
          </w:p>
        </w:tc>
        <w:tc>
          <w:tcPr>
            <w:tcW w:w="263" w:type="pct"/>
            <w:vAlign w:val="center"/>
          </w:tcPr>
          <w:p w14:paraId="1E58AA55">
            <w:pPr>
              <w:pStyle w:val="445"/>
              <w:rPr>
                <w:rFonts w:cs="Times New Roman"/>
                <w:kern w:val="0"/>
                <w:szCs w:val="20"/>
              </w:rPr>
            </w:pPr>
            <w:r>
              <w:rPr>
                <w:rFonts w:hint="eastAsia" w:cs="Times New Roman"/>
                <w:kern w:val="0"/>
                <w:szCs w:val="20"/>
              </w:rPr>
              <w:t>0</w:t>
            </w:r>
          </w:p>
        </w:tc>
        <w:tc>
          <w:tcPr>
            <w:tcW w:w="251" w:type="pct"/>
            <w:vAlign w:val="center"/>
          </w:tcPr>
          <w:p w14:paraId="4A8B4FF3">
            <w:pPr>
              <w:pStyle w:val="445"/>
              <w:rPr>
                <w:rFonts w:cs="Times New Roman"/>
                <w:kern w:val="0"/>
                <w:szCs w:val="20"/>
              </w:rPr>
            </w:pPr>
            <w:r>
              <w:rPr>
                <w:rFonts w:hint="eastAsia" w:cs="Times New Roman"/>
                <w:kern w:val="0"/>
                <w:szCs w:val="20"/>
              </w:rPr>
              <w:t>/</w:t>
            </w:r>
          </w:p>
        </w:tc>
      </w:tr>
      <w:tr w14:paraId="44D8A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20D6A823">
            <w:pPr>
              <w:pStyle w:val="445"/>
              <w:rPr>
                <w:rFonts w:cs="Times New Roman"/>
                <w:kern w:val="0"/>
                <w:szCs w:val="20"/>
              </w:rPr>
            </w:pPr>
            <w:r>
              <w:rPr>
                <w:rFonts w:hint="eastAsia" w:cs="Times New Roman"/>
                <w:kern w:val="0"/>
                <w:szCs w:val="20"/>
              </w:rPr>
              <w:t>8</w:t>
            </w:r>
          </w:p>
        </w:tc>
        <w:tc>
          <w:tcPr>
            <w:tcW w:w="504" w:type="pct"/>
            <w:vAlign w:val="center"/>
          </w:tcPr>
          <w:p w14:paraId="65FD0F78">
            <w:pPr>
              <w:pStyle w:val="445"/>
              <w:rPr>
                <w:rFonts w:cs="Times New Roman"/>
                <w:kern w:val="0"/>
                <w:szCs w:val="20"/>
              </w:rPr>
            </w:pPr>
            <w:r>
              <w:rPr>
                <w:rFonts w:hint="eastAsia" w:cs="Times New Roman"/>
                <w:kern w:val="0"/>
                <w:szCs w:val="20"/>
              </w:rPr>
              <w:t>废气</w:t>
            </w:r>
            <w:r>
              <w:rPr>
                <w:rFonts w:cs="Times New Roman"/>
                <w:kern w:val="0"/>
                <w:szCs w:val="20"/>
              </w:rPr>
              <w:t>处理、</w:t>
            </w:r>
            <w:r>
              <w:rPr>
                <w:rFonts w:hint="eastAsia" w:cs="Times New Roman"/>
                <w:kern w:val="0"/>
                <w:szCs w:val="20"/>
              </w:rPr>
              <w:t>吸附</w:t>
            </w:r>
          </w:p>
        </w:tc>
        <w:tc>
          <w:tcPr>
            <w:tcW w:w="328" w:type="pct"/>
            <w:vAlign w:val="center"/>
          </w:tcPr>
          <w:p w14:paraId="384756BF">
            <w:pPr>
              <w:pStyle w:val="445"/>
              <w:rPr>
                <w:rFonts w:cs="Times New Roman"/>
                <w:kern w:val="0"/>
                <w:szCs w:val="20"/>
              </w:rPr>
            </w:pPr>
            <w:r>
              <w:rPr>
                <w:rFonts w:hint="eastAsia" w:cs="Times New Roman"/>
                <w:kern w:val="0"/>
                <w:szCs w:val="20"/>
              </w:rPr>
              <w:t>废活性炭</w:t>
            </w:r>
          </w:p>
        </w:tc>
        <w:tc>
          <w:tcPr>
            <w:tcW w:w="328" w:type="pct"/>
            <w:vAlign w:val="center"/>
          </w:tcPr>
          <w:p w14:paraId="23D7A34C">
            <w:pPr>
              <w:pStyle w:val="445"/>
              <w:rPr>
                <w:rFonts w:cs="Times New Roman"/>
                <w:kern w:val="0"/>
                <w:szCs w:val="20"/>
              </w:rPr>
            </w:pPr>
            <w:r>
              <w:rPr>
                <w:rFonts w:hint="eastAsia" w:cs="Times New Roman"/>
                <w:kern w:val="0"/>
                <w:szCs w:val="20"/>
              </w:rPr>
              <w:t>危险废物</w:t>
            </w:r>
          </w:p>
        </w:tc>
        <w:tc>
          <w:tcPr>
            <w:tcW w:w="328" w:type="pct"/>
            <w:vAlign w:val="center"/>
          </w:tcPr>
          <w:p w14:paraId="22A06025">
            <w:pPr>
              <w:pStyle w:val="445"/>
              <w:rPr>
                <w:rFonts w:cs="Times New Roman"/>
                <w:kern w:val="0"/>
                <w:szCs w:val="20"/>
              </w:rPr>
            </w:pPr>
            <w:r>
              <w:rPr>
                <w:rFonts w:hint="eastAsia" w:cs="Times New Roman"/>
                <w:kern w:val="0"/>
                <w:szCs w:val="20"/>
              </w:rPr>
              <w:t>危险废物</w:t>
            </w:r>
          </w:p>
        </w:tc>
        <w:tc>
          <w:tcPr>
            <w:tcW w:w="328" w:type="pct"/>
            <w:vAlign w:val="center"/>
          </w:tcPr>
          <w:p w14:paraId="7D95347E">
            <w:pPr>
              <w:pStyle w:val="445"/>
              <w:rPr>
                <w:rFonts w:cs="Times New Roman"/>
                <w:kern w:val="0"/>
                <w:szCs w:val="20"/>
              </w:rPr>
            </w:pPr>
            <w:r>
              <w:rPr>
                <w:rFonts w:hint="eastAsia" w:cs="Times New Roman"/>
                <w:kern w:val="0"/>
                <w:szCs w:val="20"/>
              </w:rPr>
              <w:t>/</w:t>
            </w:r>
          </w:p>
        </w:tc>
        <w:tc>
          <w:tcPr>
            <w:tcW w:w="473" w:type="pct"/>
            <w:vAlign w:val="center"/>
          </w:tcPr>
          <w:p w14:paraId="600BC9CC">
            <w:pPr>
              <w:pStyle w:val="445"/>
              <w:rPr>
                <w:rFonts w:cs="Times New Roman"/>
                <w:kern w:val="0"/>
                <w:szCs w:val="20"/>
              </w:rPr>
            </w:pPr>
            <w:r>
              <w:rPr>
                <w:rFonts w:cs="Times New Roman"/>
                <w:kern w:val="0"/>
                <w:szCs w:val="20"/>
              </w:rPr>
              <w:t>9.49</w:t>
            </w:r>
          </w:p>
        </w:tc>
        <w:tc>
          <w:tcPr>
            <w:tcW w:w="254" w:type="pct"/>
            <w:vAlign w:val="center"/>
          </w:tcPr>
          <w:p w14:paraId="3F49730C">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7FCF6853">
            <w:pPr>
              <w:pStyle w:val="445"/>
              <w:rPr>
                <w:rFonts w:cs="Times New Roman"/>
                <w:kern w:val="0"/>
                <w:szCs w:val="20"/>
              </w:rPr>
            </w:pPr>
            <w:r>
              <w:rPr>
                <w:rFonts w:cs="Times New Roman"/>
                <w:kern w:val="0"/>
                <w:szCs w:val="20"/>
              </w:rPr>
              <w:t>9.49</w:t>
            </w:r>
          </w:p>
        </w:tc>
        <w:tc>
          <w:tcPr>
            <w:tcW w:w="337" w:type="pct"/>
            <w:vAlign w:val="center"/>
          </w:tcPr>
          <w:p w14:paraId="52E2379B">
            <w:pPr>
              <w:pStyle w:val="445"/>
              <w:rPr>
                <w:rFonts w:cs="Times New Roman"/>
                <w:kern w:val="0"/>
                <w:szCs w:val="20"/>
              </w:rPr>
            </w:pPr>
            <w:r>
              <w:rPr>
                <w:rFonts w:hint="eastAsia" w:cs="Times New Roman"/>
                <w:kern w:val="0"/>
                <w:szCs w:val="20"/>
              </w:rPr>
              <w:t>/</w:t>
            </w:r>
          </w:p>
        </w:tc>
        <w:tc>
          <w:tcPr>
            <w:tcW w:w="399" w:type="pct"/>
            <w:vAlign w:val="center"/>
          </w:tcPr>
          <w:p w14:paraId="4B7C0E19">
            <w:pPr>
              <w:pStyle w:val="445"/>
              <w:rPr>
                <w:rFonts w:cs="Times New Roman"/>
                <w:kern w:val="0"/>
                <w:szCs w:val="20"/>
              </w:rPr>
            </w:pPr>
            <w:r>
              <w:rPr>
                <w:rFonts w:hint="eastAsia" w:cs="Times New Roman"/>
                <w:kern w:val="0"/>
                <w:szCs w:val="20"/>
              </w:rPr>
              <w:t>/</w:t>
            </w:r>
          </w:p>
        </w:tc>
        <w:tc>
          <w:tcPr>
            <w:tcW w:w="339" w:type="pct"/>
            <w:vAlign w:val="center"/>
          </w:tcPr>
          <w:p w14:paraId="7135B849">
            <w:pPr>
              <w:pStyle w:val="445"/>
              <w:rPr>
                <w:rFonts w:cs="Times New Roman"/>
                <w:kern w:val="0"/>
                <w:szCs w:val="20"/>
              </w:rPr>
            </w:pPr>
            <w:r>
              <w:rPr>
                <w:rFonts w:hint="eastAsia" w:cs="Times New Roman"/>
                <w:kern w:val="0"/>
                <w:szCs w:val="20"/>
              </w:rPr>
              <w:t>/</w:t>
            </w:r>
          </w:p>
        </w:tc>
        <w:tc>
          <w:tcPr>
            <w:tcW w:w="352" w:type="pct"/>
            <w:vAlign w:val="center"/>
          </w:tcPr>
          <w:p w14:paraId="34EBB53E">
            <w:pPr>
              <w:pStyle w:val="445"/>
              <w:rPr>
                <w:rFonts w:cs="Times New Roman"/>
                <w:kern w:val="0"/>
                <w:szCs w:val="20"/>
              </w:rPr>
            </w:pPr>
            <w:r>
              <w:rPr>
                <w:rFonts w:cs="Times New Roman"/>
                <w:kern w:val="0"/>
                <w:szCs w:val="20"/>
              </w:rPr>
              <w:t>9.49</w:t>
            </w:r>
          </w:p>
        </w:tc>
        <w:tc>
          <w:tcPr>
            <w:tcW w:w="263" w:type="pct"/>
            <w:vAlign w:val="center"/>
          </w:tcPr>
          <w:p w14:paraId="5194D494">
            <w:pPr>
              <w:pStyle w:val="445"/>
              <w:rPr>
                <w:rFonts w:cs="Times New Roman"/>
                <w:kern w:val="0"/>
                <w:szCs w:val="20"/>
              </w:rPr>
            </w:pPr>
            <w:r>
              <w:rPr>
                <w:rFonts w:hint="eastAsia" w:cs="Times New Roman"/>
                <w:kern w:val="0"/>
                <w:szCs w:val="20"/>
              </w:rPr>
              <w:t>0</w:t>
            </w:r>
          </w:p>
        </w:tc>
        <w:tc>
          <w:tcPr>
            <w:tcW w:w="251" w:type="pct"/>
            <w:vAlign w:val="center"/>
          </w:tcPr>
          <w:p w14:paraId="55AC0F6D">
            <w:pPr>
              <w:pStyle w:val="445"/>
              <w:rPr>
                <w:rFonts w:cs="Times New Roman"/>
                <w:kern w:val="0"/>
                <w:szCs w:val="20"/>
              </w:rPr>
            </w:pPr>
            <w:r>
              <w:rPr>
                <w:rFonts w:hint="eastAsia" w:cs="Times New Roman"/>
                <w:kern w:val="0"/>
                <w:szCs w:val="20"/>
              </w:rPr>
              <w:t>/</w:t>
            </w:r>
          </w:p>
        </w:tc>
      </w:tr>
      <w:tr w14:paraId="669AF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1096EECD">
            <w:pPr>
              <w:pStyle w:val="445"/>
              <w:rPr>
                <w:rFonts w:cs="Times New Roman"/>
                <w:kern w:val="0"/>
                <w:szCs w:val="20"/>
              </w:rPr>
            </w:pPr>
            <w:r>
              <w:rPr>
                <w:rFonts w:hint="eastAsia" w:cs="Times New Roman"/>
                <w:kern w:val="0"/>
                <w:szCs w:val="20"/>
              </w:rPr>
              <w:t>9</w:t>
            </w:r>
          </w:p>
        </w:tc>
        <w:tc>
          <w:tcPr>
            <w:tcW w:w="504" w:type="pct"/>
            <w:vAlign w:val="center"/>
          </w:tcPr>
          <w:p w14:paraId="0953D763">
            <w:pPr>
              <w:pStyle w:val="445"/>
              <w:rPr>
                <w:rFonts w:cs="Times New Roman"/>
                <w:kern w:val="0"/>
                <w:szCs w:val="20"/>
              </w:rPr>
            </w:pPr>
            <w:r>
              <w:rPr>
                <w:rFonts w:hint="eastAsia" w:cs="Times New Roman"/>
                <w:kern w:val="0"/>
                <w:szCs w:val="20"/>
              </w:rPr>
              <w:t>污水处理</w:t>
            </w:r>
          </w:p>
        </w:tc>
        <w:tc>
          <w:tcPr>
            <w:tcW w:w="328" w:type="pct"/>
            <w:vAlign w:val="center"/>
          </w:tcPr>
          <w:p w14:paraId="707AAB2E">
            <w:pPr>
              <w:pStyle w:val="445"/>
              <w:rPr>
                <w:rFonts w:cs="Times New Roman"/>
                <w:kern w:val="0"/>
                <w:szCs w:val="20"/>
              </w:rPr>
            </w:pPr>
            <w:r>
              <w:rPr>
                <w:rFonts w:hint="eastAsia" w:cs="Times New Roman"/>
                <w:kern w:val="0"/>
                <w:szCs w:val="20"/>
              </w:rPr>
              <w:t>污泥</w:t>
            </w:r>
          </w:p>
        </w:tc>
        <w:tc>
          <w:tcPr>
            <w:tcW w:w="328" w:type="pct"/>
            <w:vAlign w:val="center"/>
          </w:tcPr>
          <w:p w14:paraId="2D060916">
            <w:pPr>
              <w:pStyle w:val="445"/>
              <w:rPr>
                <w:rFonts w:cs="Times New Roman"/>
                <w:kern w:val="0"/>
                <w:szCs w:val="20"/>
              </w:rPr>
            </w:pPr>
            <w:r>
              <w:rPr>
                <w:rFonts w:hint="eastAsia" w:cs="Times New Roman"/>
                <w:kern w:val="0"/>
                <w:szCs w:val="20"/>
              </w:rPr>
              <w:t>危险废物</w:t>
            </w:r>
          </w:p>
        </w:tc>
        <w:tc>
          <w:tcPr>
            <w:tcW w:w="328" w:type="pct"/>
            <w:vAlign w:val="center"/>
          </w:tcPr>
          <w:p w14:paraId="5B9750C1">
            <w:pPr>
              <w:pStyle w:val="445"/>
              <w:rPr>
                <w:rFonts w:cs="Times New Roman"/>
                <w:kern w:val="0"/>
                <w:szCs w:val="20"/>
              </w:rPr>
            </w:pPr>
            <w:r>
              <w:rPr>
                <w:rFonts w:hint="eastAsia" w:cs="Times New Roman"/>
                <w:kern w:val="0"/>
                <w:szCs w:val="20"/>
              </w:rPr>
              <w:t>危险废物</w:t>
            </w:r>
          </w:p>
        </w:tc>
        <w:tc>
          <w:tcPr>
            <w:tcW w:w="328" w:type="pct"/>
            <w:vAlign w:val="center"/>
          </w:tcPr>
          <w:p w14:paraId="5701EC0E">
            <w:pPr>
              <w:pStyle w:val="445"/>
              <w:rPr>
                <w:rFonts w:cs="Times New Roman"/>
                <w:kern w:val="0"/>
                <w:szCs w:val="20"/>
              </w:rPr>
            </w:pPr>
            <w:r>
              <w:rPr>
                <w:rFonts w:hint="eastAsia" w:cs="Times New Roman"/>
                <w:kern w:val="0"/>
                <w:szCs w:val="20"/>
              </w:rPr>
              <w:t>/</w:t>
            </w:r>
          </w:p>
        </w:tc>
        <w:tc>
          <w:tcPr>
            <w:tcW w:w="473" w:type="pct"/>
            <w:vAlign w:val="center"/>
          </w:tcPr>
          <w:p w14:paraId="7FC9BD28">
            <w:pPr>
              <w:pStyle w:val="445"/>
              <w:rPr>
                <w:rFonts w:cs="Times New Roman"/>
                <w:kern w:val="0"/>
                <w:szCs w:val="20"/>
              </w:rPr>
            </w:pPr>
            <w:r>
              <w:rPr>
                <w:rFonts w:hint="eastAsia" w:cs="Times New Roman"/>
                <w:kern w:val="0"/>
                <w:szCs w:val="20"/>
              </w:rPr>
              <w:t>624.02</w:t>
            </w:r>
          </w:p>
        </w:tc>
        <w:tc>
          <w:tcPr>
            <w:tcW w:w="254" w:type="pct"/>
            <w:vAlign w:val="center"/>
          </w:tcPr>
          <w:p w14:paraId="796AB332">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0D69752F">
            <w:pPr>
              <w:pStyle w:val="445"/>
              <w:rPr>
                <w:rFonts w:cs="Times New Roman"/>
                <w:kern w:val="0"/>
                <w:szCs w:val="20"/>
              </w:rPr>
            </w:pPr>
            <w:r>
              <w:rPr>
                <w:rFonts w:hint="eastAsia" w:cs="Times New Roman"/>
                <w:kern w:val="0"/>
                <w:szCs w:val="20"/>
              </w:rPr>
              <w:t>624.02</w:t>
            </w:r>
          </w:p>
        </w:tc>
        <w:tc>
          <w:tcPr>
            <w:tcW w:w="337" w:type="pct"/>
            <w:vAlign w:val="center"/>
          </w:tcPr>
          <w:p w14:paraId="21C154D5">
            <w:pPr>
              <w:pStyle w:val="445"/>
              <w:rPr>
                <w:rFonts w:cs="Times New Roman"/>
                <w:kern w:val="0"/>
                <w:szCs w:val="20"/>
              </w:rPr>
            </w:pPr>
            <w:r>
              <w:rPr>
                <w:rFonts w:hint="eastAsia" w:cs="Times New Roman"/>
                <w:kern w:val="0"/>
                <w:szCs w:val="20"/>
              </w:rPr>
              <w:t>/</w:t>
            </w:r>
          </w:p>
        </w:tc>
        <w:tc>
          <w:tcPr>
            <w:tcW w:w="399" w:type="pct"/>
            <w:vAlign w:val="center"/>
          </w:tcPr>
          <w:p w14:paraId="10E0312B">
            <w:pPr>
              <w:pStyle w:val="445"/>
              <w:rPr>
                <w:rFonts w:cs="Times New Roman"/>
                <w:kern w:val="0"/>
                <w:szCs w:val="20"/>
              </w:rPr>
            </w:pPr>
            <w:r>
              <w:rPr>
                <w:rFonts w:hint="eastAsia" w:cs="Times New Roman"/>
                <w:kern w:val="0"/>
                <w:szCs w:val="20"/>
              </w:rPr>
              <w:t>/</w:t>
            </w:r>
          </w:p>
        </w:tc>
        <w:tc>
          <w:tcPr>
            <w:tcW w:w="339" w:type="pct"/>
            <w:vAlign w:val="center"/>
          </w:tcPr>
          <w:p w14:paraId="03CB0488">
            <w:pPr>
              <w:pStyle w:val="445"/>
              <w:rPr>
                <w:rFonts w:cs="Times New Roman"/>
                <w:kern w:val="0"/>
                <w:szCs w:val="20"/>
              </w:rPr>
            </w:pPr>
            <w:r>
              <w:rPr>
                <w:rFonts w:hint="eastAsia" w:cs="Times New Roman"/>
                <w:kern w:val="0"/>
                <w:szCs w:val="20"/>
              </w:rPr>
              <w:t>/</w:t>
            </w:r>
          </w:p>
        </w:tc>
        <w:tc>
          <w:tcPr>
            <w:tcW w:w="352" w:type="pct"/>
            <w:vAlign w:val="center"/>
          </w:tcPr>
          <w:p w14:paraId="1E799AF1">
            <w:pPr>
              <w:pStyle w:val="445"/>
              <w:rPr>
                <w:rFonts w:cs="Times New Roman"/>
                <w:kern w:val="0"/>
                <w:szCs w:val="20"/>
              </w:rPr>
            </w:pPr>
            <w:r>
              <w:rPr>
                <w:rFonts w:hint="eastAsia" w:cs="Times New Roman"/>
                <w:kern w:val="0"/>
                <w:szCs w:val="20"/>
              </w:rPr>
              <w:t>624.02</w:t>
            </w:r>
          </w:p>
        </w:tc>
        <w:tc>
          <w:tcPr>
            <w:tcW w:w="263" w:type="pct"/>
            <w:vAlign w:val="center"/>
          </w:tcPr>
          <w:p w14:paraId="3A39D89B">
            <w:pPr>
              <w:pStyle w:val="445"/>
              <w:rPr>
                <w:rFonts w:cs="Times New Roman"/>
                <w:kern w:val="0"/>
                <w:szCs w:val="20"/>
              </w:rPr>
            </w:pPr>
            <w:r>
              <w:rPr>
                <w:rFonts w:hint="eastAsia" w:cs="Times New Roman"/>
                <w:kern w:val="0"/>
                <w:szCs w:val="20"/>
              </w:rPr>
              <w:t>0</w:t>
            </w:r>
          </w:p>
        </w:tc>
        <w:tc>
          <w:tcPr>
            <w:tcW w:w="251" w:type="pct"/>
            <w:vAlign w:val="center"/>
          </w:tcPr>
          <w:p w14:paraId="58378FF8">
            <w:pPr>
              <w:pStyle w:val="445"/>
              <w:rPr>
                <w:rFonts w:cs="Times New Roman"/>
                <w:kern w:val="0"/>
                <w:szCs w:val="20"/>
              </w:rPr>
            </w:pPr>
            <w:r>
              <w:rPr>
                <w:rFonts w:hint="eastAsia" w:cs="Times New Roman"/>
                <w:kern w:val="0"/>
                <w:szCs w:val="20"/>
              </w:rPr>
              <w:t>/</w:t>
            </w:r>
          </w:p>
        </w:tc>
      </w:tr>
      <w:tr w14:paraId="1FD579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758126D3">
            <w:pPr>
              <w:pStyle w:val="445"/>
              <w:rPr>
                <w:rFonts w:cs="Times New Roman"/>
                <w:kern w:val="0"/>
                <w:szCs w:val="20"/>
              </w:rPr>
            </w:pPr>
            <w:r>
              <w:rPr>
                <w:rFonts w:hint="eastAsia" w:cs="Times New Roman"/>
                <w:kern w:val="0"/>
                <w:szCs w:val="20"/>
              </w:rPr>
              <w:t>10</w:t>
            </w:r>
          </w:p>
        </w:tc>
        <w:tc>
          <w:tcPr>
            <w:tcW w:w="504" w:type="pct"/>
            <w:vAlign w:val="center"/>
          </w:tcPr>
          <w:p w14:paraId="76BB58EC">
            <w:pPr>
              <w:pStyle w:val="445"/>
              <w:rPr>
                <w:rFonts w:cs="Times New Roman"/>
                <w:kern w:val="0"/>
                <w:szCs w:val="20"/>
              </w:rPr>
            </w:pPr>
            <w:r>
              <w:rPr>
                <w:rFonts w:hint="eastAsia" w:cs="Times New Roman"/>
                <w:kern w:val="0"/>
                <w:szCs w:val="20"/>
              </w:rPr>
              <w:t>检测</w:t>
            </w:r>
            <w:r>
              <w:rPr>
                <w:rFonts w:cs="Times New Roman"/>
                <w:kern w:val="0"/>
                <w:szCs w:val="20"/>
              </w:rPr>
              <w:t>分析</w:t>
            </w:r>
          </w:p>
        </w:tc>
        <w:tc>
          <w:tcPr>
            <w:tcW w:w="328" w:type="pct"/>
            <w:vAlign w:val="center"/>
          </w:tcPr>
          <w:p w14:paraId="0C4F41B6">
            <w:pPr>
              <w:pStyle w:val="445"/>
              <w:rPr>
                <w:rFonts w:cs="Times New Roman"/>
                <w:kern w:val="0"/>
                <w:szCs w:val="20"/>
              </w:rPr>
            </w:pPr>
            <w:r>
              <w:rPr>
                <w:rFonts w:hint="eastAsia" w:cs="Times New Roman"/>
                <w:kern w:val="0"/>
                <w:szCs w:val="20"/>
              </w:rPr>
              <w:t>实验室</w:t>
            </w:r>
            <w:r>
              <w:rPr>
                <w:rFonts w:cs="Times New Roman"/>
                <w:kern w:val="0"/>
                <w:szCs w:val="20"/>
              </w:rPr>
              <w:t>废</w:t>
            </w:r>
            <w:r>
              <w:rPr>
                <w:rFonts w:hint="eastAsia" w:cs="Times New Roman"/>
                <w:kern w:val="0"/>
                <w:szCs w:val="20"/>
              </w:rPr>
              <w:t>物</w:t>
            </w:r>
          </w:p>
        </w:tc>
        <w:tc>
          <w:tcPr>
            <w:tcW w:w="328" w:type="pct"/>
            <w:vAlign w:val="center"/>
          </w:tcPr>
          <w:p w14:paraId="57988CDA">
            <w:pPr>
              <w:pStyle w:val="445"/>
              <w:rPr>
                <w:rFonts w:cs="Times New Roman"/>
                <w:kern w:val="0"/>
                <w:szCs w:val="20"/>
              </w:rPr>
            </w:pPr>
            <w:r>
              <w:rPr>
                <w:rFonts w:hint="eastAsia" w:cs="Times New Roman"/>
                <w:kern w:val="0"/>
                <w:szCs w:val="20"/>
              </w:rPr>
              <w:t>危险废物</w:t>
            </w:r>
          </w:p>
        </w:tc>
        <w:tc>
          <w:tcPr>
            <w:tcW w:w="328" w:type="pct"/>
            <w:vAlign w:val="center"/>
          </w:tcPr>
          <w:p w14:paraId="126067B5">
            <w:pPr>
              <w:pStyle w:val="445"/>
              <w:rPr>
                <w:rFonts w:cs="Times New Roman"/>
                <w:kern w:val="0"/>
                <w:szCs w:val="20"/>
              </w:rPr>
            </w:pPr>
            <w:r>
              <w:rPr>
                <w:rFonts w:hint="eastAsia" w:cs="Times New Roman"/>
                <w:kern w:val="0"/>
                <w:szCs w:val="20"/>
              </w:rPr>
              <w:t>危险废物</w:t>
            </w:r>
          </w:p>
        </w:tc>
        <w:tc>
          <w:tcPr>
            <w:tcW w:w="328" w:type="pct"/>
            <w:vAlign w:val="center"/>
          </w:tcPr>
          <w:p w14:paraId="17773C6F">
            <w:pPr>
              <w:pStyle w:val="445"/>
              <w:rPr>
                <w:rFonts w:cs="Times New Roman"/>
                <w:kern w:val="0"/>
                <w:szCs w:val="20"/>
              </w:rPr>
            </w:pPr>
            <w:r>
              <w:rPr>
                <w:rFonts w:hint="eastAsia" w:cs="Times New Roman"/>
                <w:kern w:val="0"/>
                <w:szCs w:val="20"/>
              </w:rPr>
              <w:t>/</w:t>
            </w:r>
          </w:p>
        </w:tc>
        <w:tc>
          <w:tcPr>
            <w:tcW w:w="473" w:type="pct"/>
            <w:vAlign w:val="center"/>
          </w:tcPr>
          <w:p w14:paraId="54563235">
            <w:pPr>
              <w:pStyle w:val="445"/>
              <w:rPr>
                <w:rFonts w:cs="Times New Roman"/>
                <w:kern w:val="0"/>
                <w:szCs w:val="20"/>
              </w:rPr>
            </w:pPr>
            <w:r>
              <w:rPr>
                <w:rFonts w:cs="Times New Roman"/>
                <w:kern w:val="0"/>
                <w:szCs w:val="20"/>
              </w:rPr>
              <w:t>0.2</w:t>
            </w:r>
          </w:p>
        </w:tc>
        <w:tc>
          <w:tcPr>
            <w:tcW w:w="254" w:type="pct"/>
            <w:vAlign w:val="center"/>
          </w:tcPr>
          <w:p w14:paraId="09D10AD3">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339905E3">
            <w:pPr>
              <w:pStyle w:val="445"/>
              <w:rPr>
                <w:rFonts w:cs="Times New Roman"/>
                <w:kern w:val="0"/>
                <w:szCs w:val="20"/>
              </w:rPr>
            </w:pPr>
            <w:r>
              <w:rPr>
                <w:rFonts w:cs="Times New Roman"/>
                <w:kern w:val="0"/>
                <w:szCs w:val="20"/>
              </w:rPr>
              <w:t>0.2</w:t>
            </w:r>
          </w:p>
        </w:tc>
        <w:tc>
          <w:tcPr>
            <w:tcW w:w="337" w:type="pct"/>
            <w:vAlign w:val="center"/>
          </w:tcPr>
          <w:p w14:paraId="1083A903">
            <w:pPr>
              <w:pStyle w:val="445"/>
              <w:rPr>
                <w:rFonts w:cs="Times New Roman"/>
                <w:kern w:val="0"/>
                <w:szCs w:val="20"/>
              </w:rPr>
            </w:pPr>
            <w:r>
              <w:rPr>
                <w:rFonts w:hint="eastAsia" w:cs="Times New Roman"/>
                <w:kern w:val="0"/>
                <w:szCs w:val="20"/>
              </w:rPr>
              <w:t>/</w:t>
            </w:r>
          </w:p>
        </w:tc>
        <w:tc>
          <w:tcPr>
            <w:tcW w:w="399" w:type="pct"/>
            <w:vAlign w:val="center"/>
          </w:tcPr>
          <w:p w14:paraId="25F79FE0">
            <w:pPr>
              <w:pStyle w:val="445"/>
              <w:rPr>
                <w:rFonts w:cs="Times New Roman"/>
                <w:kern w:val="0"/>
                <w:szCs w:val="20"/>
              </w:rPr>
            </w:pPr>
            <w:r>
              <w:rPr>
                <w:rFonts w:hint="eastAsia" w:cs="Times New Roman"/>
                <w:kern w:val="0"/>
                <w:szCs w:val="20"/>
              </w:rPr>
              <w:t>/</w:t>
            </w:r>
          </w:p>
        </w:tc>
        <w:tc>
          <w:tcPr>
            <w:tcW w:w="339" w:type="pct"/>
            <w:vAlign w:val="center"/>
          </w:tcPr>
          <w:p w14:paraId="27BD084D">
            <w:pPr>
              <w:pStyle w:val="445"/>
              <w:rPr>
                <w:rFonts w:cs="Times New Roman"/>
                <w:kern w:val="0"/>
                <w:szCs w:val="20"/>
              </w:rPr>
            </w:pPr>
            <w:r>
              <w:rPr>
                <w:rFonts w:hint="eastAsia" w:cs="Times New Roman"/>
                <w:kern w:val="0"/>
                <w:szCs w:val="20"/>
              </w:rPr>
              <w:t>/</w:t>
            </w:r>
          </w:p>
        </w:tc>
        <w:tc>
          <w:tcPr>
            <w:tcW w:w="352" w:type="pct"/>
            <w:vAlign w:val="center"/>
          </w:tcPr>
          <w:p w14:paraId="19F44718">
            <w:pPr>
              <w:pStyle w:val="445"/>
              <w:rPr>
                <w:rFonts w:cs="Times New Roman"/>
                <w:kern w:val="0"/>
                <w:szCs w:val="20"/>
              </w:rPr>
            </w:pPr>
            <w:r>
              <w:rPr>
                <w:rFonts w:cs="Times New Roman"/>
                <w:kern w:val="0"/>
                <w:szCs w:val="20"/>
              </w:rPr>
              <w:t>0.2</w:t>
            </w:r>
          </w:p>
        </w:tc>
        <w:tc>
          <w:tcPr>
            <w:tcW w:w="263" w:type="pct"/>
            <w:vAlign w:val="center"/>
          </w:tcPr>
          <w:p w14:paraId="4B582462">
            <w:pPr>
              <w:pStyle w:val="445"/>
              <w:rPr>
                <w:rFonts w:cs="Times New Roman"/>
                <w:kern w:val="0"/>
                <w:szCs w:val="20"/>
              </w:rPr>
            </w:pPr>
            <w:r>
              <w:rPr>
                <w:rFonts w:hint="eastAsia" w:cs="Times New Roman"/>
                <w:kern w:val="0"/>
                <w:szCs w:val="20"/>
              </w:rPr>
              <w:t>0</w:t>
            </w:r>
          </w:p>
        </w:tc>
        <w:tc>
          <w:tcPr>
            <w:tcW w:w="251" w:type="pct"/>
            <w:vAlign w:val="center"/>
          </w:tcPr>
          <w:p w14:paraId="0F789414">
            <w:pPr>
              <w:pStyle w:val="445"/>
              <w:rPr>
                <w:rFonts w:cs="Times New Roman"/>
                <w:kern w:val="0"/>
                <w:szCs w:val="20"/>
              </w:rPr>
            </w:pPr>
            <w:r>
              <w:rPr>
                <w:rFonts w:hint="eastAsia" w:cs="Times New Roman"/>
                <w:kern w:val="0"/>
                <w:szCs w:val="20"/>
              </w:rPr>
              <w:t>/</w:t>
            </w:r>
          </w:p>
        </w:tc>
      </w:tr>
      <w:tr w14:paraId="05EDE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7F1DCD88">
            <w:pPr>
              <w:pStyle w:val="445"/>
              <w:rPr>
                <w:rFonts w:cs="Times New Roman"/>
                <w:kern w:val="0"/>
                <w:szCs w:val="20"/>
              </w:rPr>
            </w:pPr>
            <w:r>
              <w:rPr>
                <w:rFonts w:hint="eastAsia" w:cs="Times New Roman"/>
                <w:kern w:val="0"/>
                <w:szCs w:val="20"/>
              </w:rPr>
              <w:t>11</w:t>
            </w:r>
          </w:p>
        </w:tc>
        <w:tc>
          <w:tcPr>
            <w:tcW w:w="504" w:type="pct"/>
            <w:vAlign w:val="center"/>
          </w:tcPr>
          <w:p w14:paraId="3562E925">
            <w:pPr>
              <w:pStyle w:val="445"/>
              <w:rPr>
                <w:rFonts w:cs="Times New Roman"/>
                <w:kern w:val="0"/>
                <w:szCs w:val="20"/>
              </w:rPr>
            </w:pPr>
            <w:r>
              <w:rPr>
                <w:rFonts w:hint="eastAsia" w:cs="Times New Roman"/>
                <w:kern w:val="0"/>
                <w:szCs w:val="20"/>
              </w:rPr>
              <w:t>废气</w:t>
            </w:r>
            <w:r>
              <w:rPr>
                <w:rFonts w:cs="Times New Roman"/>
                <w:kern w:val="0"/>
                <w:szCs w:val="20"/>
              </w:rPr>
              <w:t>处理</w:t>
            </w:r>
          </w:p>
        </w:tc>
        <w:tc>
          <w:tcPr>
            <w:tcW w:w="328" w:type="pct"/>
            <w:vAlign w:val="center"/>
          </w:tcPr>
          <w:p w14:paraId="2E970B55">
            <w:pPr>
              <w:pStyle w:val="445"/>
              <w:rPr>
                <w:rFonts w:cs="Times New Roman"/>
                <w:kern w:val="0"/>
                <w:szCs w:val="20"/>
              </w:rPr>
            </w:pPr>
            <w:r>
              <w:rPr>
                <w:rFonts w:hint="eastAsia" w:cs="Times New Roman"/>
                <w:kern w:val="0"/>
                <w:szCs w:val="20"/>
              </w:rPr>
              <w:t>布袋</w:t>
            </w:r>
            <w:r>
              <w:rPr>
                <w:rFonts w:cs="Times New Roman"/>
                <w:kern w:val="0"/>
                <w:szCs w:val="20"/>
              </w:rPr>
              <w:t>收集粉尘</w:t>
            </w:r>
          </w:p>
        </w:tc>
        <w:tc>
          <w:tcPr>
            <w:tcW w:w="328" w:type="pct"/>
            <w:vAlign w:val="center"/>
          </w:tcPr>
          <w:p w14:paraId="739A7C04">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089491E1">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46AD11EC">
            <w:pPr>
              <w:pStyle w:val="445"/>
              <w:rPr>
                <w:rFonts w:cs="Times New Roman"/>
                <w:kern w:val="0"/>
                <w:szCs w:val="20"/>
              </w:rPr>
            </w:pPr>
            <w:r>
              <w:rPr>
                <w:rFonts w:hint="eastAsia" w:cs="Times New Roman"/>
                <w:kern w:val="0"/>
                <w:szCs w:val="20"/>
              </w:rPr>
              <w:t>/</w:t>
            </w:r>
          </w:p>
        </w:tc>
        <w:tc>
          <w:tcPr>
            <w:tcW w:w="473" w:type="pct"/>
            <w:vAlign w:val="center"/>
          </w:tcPr>
          <w:p w14:paraId="78955283">
            <w:pPr>
              <w:pStyle w:val="445"/>
              <w:rPr>
                <w:rFonts w:cs="Times New Roman"/>
                <w:kern w:val="0"/>
                <w:szCs w:val="20"/>
              </w:rPr>
            </w:pPr>
            <w:r>
              <w:rPr>
                <w:rFonts w:hint="eastAsia" w:cs="Times New Roman"/>
                <w:kern w:val="0"/>
                <w:szCs w:val="20"/>
              </w:rPr>
              <w:t>45.886</w:t>
            </w:r>
          </w:p>
        </w:tc>
        <w:tc>
          <w:tcPr>
            <w:tcW w:w="254" w:type="pct"/>
            <w:vAlign w:val="center"/>
          </w:tcPr>
          <w:p w14:paraId="138B6C3F">
            <w:pPr>
              <w:pStyle w:val="445"/>
              <w:rPr>
                <w:rFonts w:cs="Times New Roman"/>
                <w:kern w:val="0"/>
                <w:szCs w:val="20"/>
              </w:rPr>
            </w:pPr>
            <w:r>
              <w:rPr>
                <w:rFonts w:hint="eastAsia" w:cs="Times New Roman"/>
                <w:kern w:val="0"/>
                <w:szCs w:val="20"/>
              </w:rPr>
              <w:t>出售</w:t>
            </w:r>
          </w:p>
        </w:tc>
        <w:tc>
          <w:tcPr>
            <w:tcW w:w="337" w:type="pct"/>
            <w:vAlign w:val="center"/>
          </w:tcPr>
          <w:p w14:paraId="66C45BB7">
            <w:pPr>
              <w:pStyle w:val="445"/>
              <w:rPr>
                <w:rFonts w:cs="Times New Roman"/>
                <w:kern w:val="0"/>
                <w:szCs w:val="20"/>
              </w:rPr>
            </w:pPr>
            <w:r>
              <w:rPr>
                <w:rFonts w:hint="eastAsia" w:cs="Times New Roman"/>
                <w:kern w:val="0"/>
                <w:szCs w:val="20"/>
              </w:rPr>
              <w:t>45.886</w:t>
            </w:r>
          </w:p>
        </w:tc>
        <w:tc>
          <w:tcPr>
            <w:tcW w:w="337" w:type="pct"/>
            <w:vAlign w:val="center"/>
          </w:tcPr>
          <w:p w14:paraId="15FF697A">
            <w:pPr>
              <w:pStyle w:val="445"/>
              <w:rPr>
                <w:rFonts w:cs="Times New Roman"/>
                <w:kern w:val="0"/>
                <w:szCs w:val="20"/>
              </w:rPr>
            </w:pPr>
            <w:r>
              <w:rPr>
                <w:rFonts w:hint="eastAsia" w:cs="Times New Roman"/>
                <w:kern w:val="0"/>
                <w:szCs w:val="20"/>
              </w:rPr>
              <w:t>/</w:t>
            </w:r>
          </w:p>
        </w:tc>
        <w:tc>
          <w:tcPr>
            <w:tcW w:w="399" w:type="pct"/>
            <w:vAlign w:val="center"/>
          </w:tcPr>
          <w:p w14:paraId="027E39AD">
            <w:pPr>
              <w:pStyle w:val="445"/>
              <w:rPr>
                <w:rFonts w:cs="Times New Roman"/>
                <w:kern w:val="0"/>
                <w:szCs w:val="20"/>
              </w:rPr>
            </w:pPr>
            <w:r>
              <w:rPr>
                <w:rFonts w:hint="eastAsia" w:cs="Times New Roman"/>
                <w:kern w:val="0"/>
                <w:szCs w:val="20"/>
              </w:rPr>
              <w:t>45.886</w:t>
            </w:r>
          </w:p>
        </w:tc>
        <w:tc>
          <w:tcPr>
            <w:tcW w:w="339" w:type="pct"/>
            <w:vAlign w:val="center"/>
          </w:tcPr>
          <w:p w14:paraId="3F7758D8">
            <w:pPr>
              <w:pStyle w:val="445"/>
              <w:rPr>
                <w:rFonts w:cs="Times New Roman"/>
                <w:kern w:val="0"/>
                <w:szCs w:val="20"/>
              </w:rPr>
            </w:pPr>
            <w:r>
              <w:rPr>
                <w:rFonts w:hint="eastAsia" w:cs="Times New Roman"/>
                <w:kern w:val="0"/>
                <w:szCs w:val="20"/>
              </w:rPr>
              <w:t>/</w:t>
            </w:r>
          </w:p>
        </w:tc>
        <w:tc>
          <w:tcPr>
            <w:tcW w:w="352" w:type="pct"/>
            <w:vAlign w:val="center"/>
          </w:tcPr>
          <w:p w14:paraId="60983CBF">
            <w:pPr>
              <w:pStyle w:val="445"/>
              <w:rPr>
                <w:rFonts w:cs="Times New Roman"/>
                <w:kern w:val="0"/>
                <w:szCs w:val="20"/>
              </w:rPr>
            </w:pPr>
            <w:r>
              <w:rPr>
                <w:rFonts w:hint="eastAsia" w:cs="Times New Roman"/>
                <w:kern w:val="0"/>
                <w:szCs w:val="20"/>
              </w:rPr>
              <w:t>/</w:t>
            </w:r>
          </w:p>
        </w:tc>
        <w:tc>
          <w:tcPr>
            <w:tcW w:w="263" w:type="pct"/>
            <w:vAlign w:val="center"/>
          </w:tcPr>
          <w:p w14:paraId="4B5F59E8">
            <w:pPr>
              <w:pStyle w:val="445"/>
              <w:rPr>
                <w:rFonts w:cs="Times New Roman"/>
                <w:kern w:val="0"/>
                <w:szCs w:val="20"/>
              </w:rPr>
            </w:pPr>
            <w:r>
              <w:rPr>
                <w:rFonts w:hint="eastAsia" w:cs="Times New Roman"/>
                <w:kern w:val="0"/>
                <w:szCs w:val="20"/>
              </w:rPr>
              <w:t>0</w:t>
            </w:r>
          </w:p>
        </w:tc>
        <w:tc>
          <w:tcPr>
            <w:tcW w:w="251" w:type="pct"/>
            <w:vAlign w:val="center"/>
          </w:tcPr>
          <w:p w14:paraId="2408F00D">
            <w:pPr>
              <w:pStyle w:val="445"/>
              <w:rPr>
                <w:rFonts w:cs="Times New Roman"/>
                <w:kern w:val="0"/>
                <w:szCs w:val="20"/>
              </w:rPr>
            </w:pPr>
            <w:r>
              <w:rPr>
                <w:rFonts w:hint="eastAsia" w:cs="Times New Roman"/>
                <w:kern w:val="0"/>
                <w:szCs w:val="20"/>
              </w:rPr>
              <w:t>/</w:t>
            </w:r>
          </w:p>
        </w:tc>
      </w:tr>
      <w:tr w14:paraId="5DC0AA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1E321FC1">
            <w:pPr>
              <w:pStyle w:val="445"/>
              <w:rPr>
                <w:rFonts w:cs="Times New Roman"/>
                <w:kern w:val="0"/>
                <w:szCs w:val="20"/>
              </w:rPr>
            </w:pPr>
            <w:r>
              <w:rPr>
                <w:rFonts w:hint="eastAsia" w:cs="Times New Roman"/>
                <w:kern w:val="0"/>
                <w:szCs w:val="20"/>
              </w:rPr>
              <w:t>12</w:t>
            </w:r>
          </w:p>
        </w:tc>
        <w:tc>
          <w:tcPr>
            <w:tcW w:w="504" w:type="pct"/>
            <w:vAlign w:val="center"/>
          </w:tcPr>
          <w:p w14:paraId="03F8E032">
            <w:pPr>
              <w:pStyle w:val="445"/>
              <w:rPr>
                <w:rFonts w:cs="Times New Roman"/>
                <w:kern w:val="0"/>
                <w:szCs w:val="20"/>
              </w:rPr>
            </w:pPr>
            <w:r>
              <w:rPr>
                <w:rFonts w:hint="eastAsia" w:cs="Times New Roman"/>
                <w:kern w:val="0"/>
                <w:szCs w:val="20"/>
              </w:rPr>
              <w:t>制氮机组</w:t>
            </w:r>
          </w:p>
        </w:tc>
        <w:tc>
          <w:tcPr>
            <w:tcW w:w="328" w:type="pct"/>
            <w:vAlign w:val="center"/>
          </w:tcPr>
          <w:p w14:paraId="7DBD90AA">
            <w:pPr>
              <w:pStyle w:val="445"/>
              <w:rPr>
                <w:rFonts w:cs="Times New Roman"/>
                <w:kern w:val="0"/>
                <w:szCs w:val="20"/>
              </w:rPr>
            </w:pPr>
            <w:r>
              <w:rPr>
                <w:rFonts w:hint="eastAsia" w:cs="Times New Roman"/>
                <w:kern w:val="0"/>
                <w:szCs w:val="20"/>
              </w:rPr>
              <w:t>废</w:t>
            </w:r>
            <w:r>
              <w:rPr>
                <w:rFonts w:cs="Times New Roman"/>
                <w:kern w:val="0"/>
                <w:szCs w:val="20"/>
              </w:rPr>
              <w:t>分子筛</w:t>
            </w:r>
          </w:p>
        </w:tc>
        <w:tc>
          <w:tcPr>
            <w:tcW w:w="328" w:type="pct"/>
            <w:vAlign w:val="center"/>
          </w:tcPr>
          <w:p w14:paraId="6C63B3EE">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47FA9A23">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73F8011C">
            <w:pPr>
              <w:pStyle w:val="445"/>
              <w:rPr>
                <w:rFonts w:cs="Times New Roman"/>
                <w:kern w:val="0"/>
                <w:szCs w:val="20"/>
              </w:rPr>
            </w:pPr>
            <w:r>
              <w:rPr>
                <w:rFonts w:hint="eastAsia" w:cs="Times New Roman"/>
                <w:kern w:val="0"/>
                <w:szCs w:val="20"/>
              </w:rPr>
              <w:t>/</w:t>
            </w:r>
          </w:p>
        </w:tc>
        <w:tc>
          <w:tcPr>
            <w:tcW w:w="473" w:type="pct"/>
            <w:vAlign w:val="center"/>
          </w:tcPr>
          <w:p w14:paraId="0C4F8B8E">
            <w:pPr>
              <w:pStyle w:val="445"/>
              <w:rPr>
                <w:rFonts w:cs="Times New Roman"/>
                <w:kern w:val="0"/>
                <w:szCs w:val="20"/>
              </w:rPr>
            </w:pPr>
            <w:r>
              <w:rPr>
                <w:rFonts w:cs="Times New Roman"/>
                <w:kern w:val="0"/>
                <w:szCs w:val="20"/>
              </w:rPr>
              <w:t>2.25</w:t>
            </w:r>
          </w:p>
        </w:tc>
        <w:tc>
          <w:tcPr>
            <w:tcW w:w="254" w:type="pct"/>
            <w:vAlign w:val="center"/>
          </w:tcPr>
          <w:p w14:paraId="62A98E24">
            <w:pPr>
              <w:pStyle w:val="445"/>
              <w:rPr>
                <w:rFonts w:cs="Times New Roman"/>
                <w:kern w:val="0"/>
                <w:szCs w:val="20"/>
              </w:rPr>
            </w:pPr>
            <w:r>
              <w:rPr>
                <w:rFonts w:hint="eastAsia" w:cs="Times New Roman"/>
                <w:kern w:val="0"/>
                <w:szCs w:val="20"/>
              </w:rPr>
              <w:t>厂家回收</w:t>
            </w:r>
          </w:p>
        </w:tc>
        <w:tc>
          <w:tcPr>
            <w:tcW w:w="337" w:type="pct"/>
            <w:vAlign w:val="center"/>
          </w:tcPr>
          <w:p w14:paraId="1DBEE6D4">
            <w:pPr>
              <w:pStyle w:val="445"/>
              <w:rPr>
                <w:rFonts w:cs="Times New Roman"/>
                <w:kern w:val="0"/>
                <w:szCs w:val="20"/>
              </w:rPr>
            </w:pPr>
            <w:r>
              <w:rPr>
                <w:rFonts w:cs="Times New Roman"/>
                <w:kern w:val="0"/>
                <w:szCs w:val="20"/>
              </w:rPr>
              <w:t>2.25</w:t>
            </w:r>
          </w:p>
        </w:tc>
        <w:tc>
          <w:tcPr>
            <w:tcW w:w="337" w:type="pct"/>
            <w:vAlign w:val="center"/>
          </w:tcPr>
          <w:p w14:paraId="3FAA0E22">
            <w:pPr>
              <w:pStyle w:val="445"/>
              <w:rPr>
                <w:rFonts w:cs="Times New Roman"/>
                <w:kern w:val="0"/>
                <w:szCs w:val="20"/>
              </w:rPr>
            </w:pPr>
            <w:r>
              <w:rPr>
                <w:rFonts w:hint="eastAsia" w:cs="Times New Roman"/>
                <w:kern w:val="0"/>
                <w:szCs w:val="20"/>
              </w:rPr>
              <w:t>/</w:t>
            </w:r>
          </w:p>
        </w:tc>
        <w:tc>
          <w:tcPr>
            <w:tcW w:w="399" w:type="pct"/>
            <w:vAlign w:val="center"/>
          </w:tcPr>
          <w:p w14:paraId="79ED1440">
            <w:pPr>
              <w:pStyle w:val="445"/>
              <w:rPr>
                <w:rFonts w:cs="Times New Roman"/>
                <w:kern w:val="0"/>
                <w:szCs w:val="20"/>
              </w:rPr>
            </w:pPr>
            <w:r>
              <w:rPr>
                <w:rFonts w:hint="eastAsia" w:cs="Times New Roman"/>
                <w:kern w:val="0"/>
                <w:szCs w:val="20"/>
              </w:rPr>
              <w:t>/</w:t>
            </w:r>
          </w:p>
        </w:tc>
        <w:tc>
          <w:tcPr>
            <w:tcW w:w="339" w:type="pct"/>
            <w:vAlign w:val="center"/>
          </w:tcPr>
          <w:p w14:paraId="172EDCA7">
            <w:pPr>
              <w:pStyle w:val="445"/>
              <w:rPr>
                <w:rFonts w:cs="Times New Roman"/>
                <w:kern w:val="0"/>
                <w:szCs w:val="20"/>
              </w:rPr>
            </w:pPr>
            <w:r>
              <w:rPr>
                <w:rFonts w:cs="Times New Roman"/>
                <w:kern w:val="0"/>
                <w:szCs w:val="20"/>
              </w:rPr>
              <w:t>2.25</w:t>
            </w:r>
          </w:p>
        </w:tc>
        <w:tc>
          <w:tcPr>
            <w:tcW w:w="352" w:type="pct"/>
            <w:vAlign w:val="center"/>
          </w:tcPr>
          <w:p w14:paraId="7BD3C0D1">
            <w:pPr>
              <w:pStyle w:val="445"/>
              <w:rPr>
                <w:rFonts w:cs="Times New Roman"/>
                <w:kern w:val="0"/>
                <w:szCs w:val="20"/>
              </w:rPr>
            </w:pPr>
            <w:r>
              <w:rPr>
                <w:rFonts w:hint="eastAsia" w:cs="Times New Roman"/>
                <w:kern w:val="0"/>
                <w:szCs w:val="20"/>
              </w:rPr>
              <w:t>/</w:t>
            </w:r>
          </w:p>
        </w:tc>
        <w:tc>
          <w:tcPr>
            <w:tcW w:w="263" w:type="pct"/>
            <w:vAlign w:val="center"/>
          </w:tcPr>
          <w:p w14:paraId="0598FD14">
            <w:pPr>
              <w:pStyle w:val="445"/>
              <w:rPr>
                <w:rFonts w:cs="Times New Roman"/>
                <w:kern w:val="0"/>
                <w:szCs w:val="20"/>
              </w:rPr>
            </w:pPr>
            <w:r>
              <w:rPr>
                <w:rFonts w:hint="eastAsia" w:cs="Times New Roman"/>
                <w:kern w:val="0"/>
                <w:szCs w:val="20"/>
              </w:rPr>
              <w:t>0</w:t>
            </w:r>
          </w:p>
        </w:tc>
        <w:tc>
          <w:tcPr>
            <w:tcW w:w="251" w:type="pct"/>
            <w:vAlign w:val="center"/>
          </w:tcPr>
          <w:p w14:paraId="59319226">
            <w:pPr>
              <w:pStyle w:val="445"/>
              <w:rPr>
                <w:rFonts w:cs="Times New Roman"/>
                <w:kern w:val="0"/>
                <w:szCs w:val="20"/>
              </w:rPr>
            </w:pPr>
            <w:r>
              <w:rPr>
                <w:rFonts w:hint="eastAsia" w:cs="Times New Roman"/>
                <w:kern w:val="0"/>
                <w:szCs w:val="20"/>
              </w:rPr>
              <w:t>/</w:t>
            </w:r>
          </w:p>
        </w:tc>
      </w:tr>
      <w:tr w14:paraId="59B9B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1F7EBF23">
            <w:pPr>
              <w:pStyle w:val="445"/>
              <w:rPr>
                <w:rFonts w:cs="Times New Roman"/>
                <w:kern w:val="0"/>
                <w:szCs w:val="20"/>
              </w:rPr>
            </w:pPr>
            <w:r>
              <w:rPr>
                <w:rFonts w:hint="eastAsia" w:cs="Times New Roman"/>
                <w:kern w:val="0"/>
                <w:szCs w:val="20"/>
              </w:rPr>
              <w:t>13</w:t>
            </w:r>
          </w:p>
        </w:tc>
        <w:tc>
          <w:tcPr>
            <w:tcW w:w="504" w:type="pct"/>
            <w:vAlign w:val="center"/>
          </w:tcPr>
          <w:p w14:paraId="5C776C44">
            <w:pPr>
              <w:pStyle w:val="445"/>
              <w:rPr>
                <w:rFonts w:cs="Times New Roman"/>
                <w:kern w:val="0"/>
                <w:szCs w:val="20"/>
              </w:rPr>
            </w:pPr>
            <w:r>
              <w:rPr>
                <w:rFonts w:hint="eastAsia" w:cs="Times New Roman"/>
                <w:kern w:val="0"/>
                <w:szCs w:val="20"/>
              </w:rPr>
              <w:t>纯水</w:t>
            </w:r>
            <w:r>
              <w:rPr>
                <w:rFonts w:cs="Times New Roman"/>
                <w:kern w:val="0"/>
                <w:szCs w:val="20"/>
              </w:rPr>
              <w:t>制备</w:t>
            </w:r>
          </w:p>
        </w:tc>
        <w:tc>
          <w:tcPr>
            <w:tcW w:w="328" w:type="pct"/>
            <w:vAlign w:val="center"/>
          </w:tcPr>
          <w:p w14:paraId="6C8162A3">
            <w:pPr>
              <w:pStyle w:val="445"/>
              <w:rPr>
                <w:rFonts w:cs="Times New Roman"/>
                <w:kern w:val="0"/>
                <w:szCs w:val="20"/>
              </w:rPr>
            </w:pPr>
            <w:r>
              <w:rPr>
                <w:rFonts w:hint="eastAsia" w:cs="Times New Roman"/>
                <w:kern w:val="0"/>
                <w:szCs w:val="20"/>
              </w:rPr>
              <w:t>废树脂</w:t>
            </w:r>
          </w:p>
        </w:tc>
        <w:tc>
          <w:tcPr>
            <w:tcW w:w="328" w:type="pct"/>
            <w:vAlign w:val="center"/>
          </w:tcPr>
          <w:p w14:paraId="3AB203AC">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5A43AC15">
            <w:pPr>
              <w:pStyle w:val="445"/>
              <w:rPr>
                <w:rFonts w:cs="Times New Roman"/>
                <w:kern w:val="0"/>
                <w:szCs w:val="20"/>
              </w:rPr>
            </w:pPr>
            <w:r>
              <w:rPr>
                <w:rFonts w:hint="eastAsia" w:cs="Times New Roman"/>
                <w:kern w:val="0"/>
                <w:szCs w:val="20"/>
              </w:rPr>
              <w:t>固体</w:t>
            </w:r>
            <w:r>
              <w:rPr>
                <w:rFonts w:cs="Times New Roman"/>
                <w:kern w:val="0"/>
                <w:szCs w:val="20"/>
              </w:rPr>
              <w:t>废物</w:t>
            </w:r>
          </w:p>
        </w:tc>
        <w:tc>
          <w:tcPr>
            <w:tcW w:w="328" w:type="pct"/>
            <w:vAlign w:val="center"/>
          </w:tcPr>
          <w:p w14:paraId="712D9038">
            <w:pPr>
              <w:pStyle w:val="445"/>
              <w:rPr>
                <w:rFonts w:cs="Times New Roman"/>
                <w:kern w:val="0"/>
                <w:szCs w:val="20"/>
              </w:rPr>
            </w:pPr>
            <w:r>
              <w:rPr>
                <w:rFonts w:hint="eastAsia" w:cs="Times New Roman"/>
                <w:kern w:val="0"/>
                <w:szCs w:val="20"/>
              </w:rPr>
              <w:t>/</w:t>
            </w:r>
          </w:p>
        </w:tc>
        <w:tc>
          <w:tcPr>
            <w:tcW w:w="473" w:type="pct"/>
            <w:vAlign w:val="center"/>
          </w:tcPr>
          <w:p w14:paraId="7C02B870">
            <w:pPr>
              <w:pStyle w:val="445"/>
              <w:rPr>
                <w:rFonts w:cs="Times New Roman"/>
                <w:kern w:val="0"/>
                <w:szCs w:val="20"/>
              </w:rPr>
            </w:pPr>
            <w:r>
              <w:rPr>
                <w:rFonts w:cs="Times New Roman"/>
                <w:kern w:val="0"/>
                <w:szCs w:val="20"/>
              </w:rPr>
              <w:t>1.8</w:t>
            </w:r>
          </w:p>
        </w:tc>
        <w:tc>
          <w:tcPr>
            <w:tcW w:w="254" w:type="pct"/>
            <w:vAlign w:val="center"/>
          </w:tcPr>
          <w:p w14:paraId="0F6AA9E2">
            <w:pPr>
              <w:pStyle w:val="445"/>
              <w:rPr>
                <w:rFonts w:cs="Times New Roman"/>
                <w:kern w:val="0"/>
                <w:szCs w:val="20"/>
              </w:rPr>
            </w:pPr>
            <w:r>
              <w:rPr>
                <w:rFonts w:hint="eastAsia" w:cs="Times New Roman"/>
                <w:kern w:val="0"/>
                <w:szCs w:val="20"/>
              </w:rPr>
              <w:t>厂家回收</w:t>
            </w:r>
          </w:p>
        </w:tc>
        <w:tc>
          <w:tcPr>
            <w:tcW w:w="337" w:type="pct"/>
            <w:vAlign w:val="center"/>
          </w:tcPr>
          <w:p w14:paraId="0A040D0F">
            <w:pPr>
              <w:pStyle w:val="445"/>
              <w:rPr>
                <w:rFonts w:cs="Times New Roman"/>
                <w:kern w:val="0"/>
                <w:szCs w:val="20"/>
              </w:rPr>
            </w:pPr>
            <w:r>
              <w:rPr>
                <w:rFonts w:cs="Times New Roman"/>
                <w:kern w:val="0"/>
                <w:szCs w:val="20"/>
              </w:rPr>
              <w:t>1.8</w:t>
            </w:r>
          </w:p>
        </w:tc>
        <w:tc>
          <w:tcPr>
            <w:tcW w:w="337" w:type="pct"/>
            <w:vAlign w:val="center"/>
          </w:tcPr>
          <w:p w14:paraId="5875B6A3">
            <w:pPr>
              <w:pStyle w:val="445"/>
              <w:rPr>
                <w:rFonts w:cs="Times New Roman"/>
                <w:kern w:val="0"/>
                <w:szCs w:val="20"/>
              </w:rPr>
            </w:pPr>
            <w:r>
              <w:rPr>
                <w:rFonts w:hint="eastAsia" w:cs="Times New Roman"/>
                <w:kern w:val="0"/>
                <w:szCs w:val="20"/>
              </w:rPr>
              <w:t>/</w:t>
            </w:r>
          </w:p>
        </w:tc>
        <w:tc>
          <w:tcPr>
            <w:tcW w:w="399" w:type="pct"/>
            <w:vAlign w:val="center"/>
          </w:tcPr>
          <w:p w14:paraId="36EC8247">
            <w:pPr>
              <w:pStyle w:val="445"/>
              <w:rPr>
                <w:rFonts w:cs="Times New Roman"/>
                <w:kern w:val="0"/>
                <w:szCs w:val="20"/>
              </w:rPr>
            </w:pPr>
            <w:r>
              <w:rPr>
                <w:rFonts w:hint="eastAsia" w:cs="Times New Roman"/>
                <w:kern w:val="0"/>
                <w:szCs w:val="20"/>
              </w:rPr>
              <w:t>/</w:t>
            </w:r>
          </w:p>
        </w:tc>
        <w:tc>
          <w:tcPr>
            <w:tcW w:w="339" w:type="pct"/>
            <w:vAlign w:val="center"/>
          </w:tcPr>
          <w:p w14:paraId="2A4EA953">
            <w:pPr>
              <w:pStyle w:val="445"/>
              <w:rPr>
                <w:rFonts w:cs="Times New Roman"/>
                <w:kern w:val="0"/>
                <w:szCs w:val="20"/>
              </w:rPr>
            </w:pPr>
            <w:r>
              <w:rPr>
                <w:rFonts w:cs="Times New Roman"/>
                <w:kern w:val="0"/>
                <w:szCs w:val="20"/>
              </w:rPr>
              <w:t>1.8</w:t>
            </w:r>
          </w:p>
        </w:tc>
        <w:tc>
          <w:tcPr>
            <w:tcW w:w="352" w:type="pct"/>
            <w:vAlign w:val="center"/>
          </w:tcPr>
          <w:p w14:paraId="26C28C3A">
            <w:pPr>
              <w:pStyle w:val="445"/>
              <w:rPr>
                <w:rFonts w:cs="Times New Roman"/>
                <w:kern w:val="0"/>
                <w:szCs w:val="20"/>
              </w:rPr>
            </w:pPr>
            <w:r>
              <w:rPr>
                <w:rFonts w:hint="eastAsia" w:cs="Times New Roman"/>
                <w:kern w:val="0"/>
                <w:szCs w:val="20"/>
              </w:rPr>
              <w:t>/</w:t>
            </w:r>
          </w:p>
        </w:tc>
        <w:tc>
          <w:tcPr>
            <w:tcW w:w="263" w:type="pct"/>
            <w:vAlign w:val="center"/>
          </w:tcPr>
          <w:p w14:paraId="108A53F5">
            <w:pPr>
              <w:pStyle w:val="445"/>
              <w:rPr>
                <w:rFonts w:cs="Times New Roman"/>
                <w:kern w:val="0"/>
                <w:szCs w:val="20"/>
              </w:rPr>
            </w:pPr>
            <w:r>
              <w:rPr>
                <w:rFonts w:hint="eastAsia" w:cs="Times New Roman"/>
                <w:kern w:val="0"/>
                <w:szCs w:val="20"/>
              </w:rPr>
              <w:t>0</w:t>
            </w:r>
          </w:p>
        </w:tc>
        <w:tc>
          <w:tcPr>
            <w:tcW w:w="251" w:type="pct"/>
            <w:vAlign w:val="center"/>
          </w:tcPr>
          <w:p w14:paraId="25C38B0A">
            <w:pPr>
              <w:pStyle w:val="445"/>
              <w:rPr>
                <w:rFonts w:cs="Times New Roman"/>
                <w:kern w:val="0"/>
                <w:szCs w:val="20"/>
              </w:rPr>
            </w:pPr>
            <w:r>
              <w:rPr>
                <w:rFonts w:hint="eastAsia" w:cs="Times New Roman"/>
                <w:kern w:val="0"/>
                <w:szCs w:val="20"/>
              </w:rPr>
              <w:t>/</w:t>
            </w:r>
          </w:p>
        </w:tc>
      </w:tr>
      <w:tr w14:paraId="50EAF2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472239AB">
            <w:pPr>
              <w:pStyle w:val="445"/>
              <w:rPr>
                <w:rFonts w:cs="Times New Roman"/>
                <w:kern w:val="0"/>
                <w:szCs w:val="20"/>
              </w:rPr>
            </w:pPr>
            <w:r>
              <w:rPr>
                <w:rFonts w:hint="eastAsia" w:cs="Times New Roman"/>
                <w:kern w:val="0"/>
                <w:szCs w:val="20"/>
              </w:rPr>
              <w:t>1</w:t>
            </w:r>
            <w:r>
              <w:rPr>
                <w:rFonts w:cs="Times New Roman"/>
                <w:kern w:val="0"/>
                <w:szCs w:val="20"/>
              </w:rPr>
              <w:t>4</w:t>
            </w:r>
          </w:p>
        </w:tc>
        <w:tc>
          <w:tcPr>
            <w:tcW w:w="504" w:type="pct"/>
            <w:vAlign w:val="center"/>
          </w:tcPr>
          <w:p w14:paraId="070B20E1">
            <w:pPr>
              <w:pStyle w:val="445"/>
              <w:rPr>
                <w:rFonts w:cs="Times New Roman"/>
                <w:kern w:val="0"/>
                <w:szCs w:val="20"/>
              </w:rPr>
            </w:pPr>
            <w:r>
              <w:rPr>
                <w:rFonts w:hint="eastAsia" w:cs="Times New Roman"/>
                <w:kern w:val="0"/>
                <w:szCs w:val="20"/>
              </w:rPr>
              <w:t>日常</w:t>
            </w:r>
            <w:r>
              <w:rPr>
                <w:rFonts w:cs="Times New Roman"/>
                <w:kern w:val="0"/>
                <w:szCs w:val="20"/>
              </w:rPr>
              <w:t>生活</w:t>
            </w:r>
          </w:p>
        </w:tc>
        <w:tc>
          <w:tcPr>
            <w:tcW w:w="328" w:type="pct"/>
            <w:vAlign w:val="center"/>
          </w:tcPr>
          <w:p w14:paraId="50F8FD5A">
            <w:pPr>
              <w:pStyle w:val="445"/>
              <w:rPr>
                <w:rFonts w:cs="Times New Roman"/>
                <w:kern w:val="0"/>
                <w:szCs w:val="20"/>
              </w:rPr>
            </w:pPr>
            <w:r>
              <w:rPr>
                <w:rFonts w:hint="eastAsia" w:cs="Times New Roman"/>
                <w:kern w:val="0"/>
                <w:szCs w:val="20"/>
              </w:rPr>
              <w:t>生活垃圾</w:t>
            </w:r>
          </w:p>
        </w:tc>
        <w:tc>
          <w:tcPr>
            <w:tcW w:w="328" w:type="pct"/>
            <w:vAlign w:val="center"/>
          </w:tcPr>
          <w:p w14:paraId="7B1C4693">
            <w:pPr>
              <w:pStyle w:val="445"/>
              <w:rPr>
                <w:rFonts w:cs="Times New Roman"/>
                <w:kern w:val="0"/>
                <w:szCs w:val="20"/>
              </w:rPr>
            </w:pPr>
            <w:r>
              <w:rPr>
                <w:rFonts w:hint="eastAsia" w:cs="Times New Roman"/>
                <w:kern w:val="0"/>
                <w:szCs w:val="20"/>
              </w:rPr>
              <w:t>/</w:t>
            </w:r>
          </w:p>
        </w:tc>
        <w:tc>
          <w:tcPr>
            <w:tcW w:w="328" w:type="pct"/>
            <w:vAlign w:val="center"/>
          </w:tcPr>
          <w:p w14:paraId="06CC704A">
            <w:pPr>
              <w:pStyle w:val="445"/>
              <w:rPr>
                <w:rFonts w:cs="Times New Roman"/>
                <w:kern w:val="0"/>
                <w:szCs w:val="20"/>
              </w:rPr>
            </w:pPr>
            <w:r>
              <w:rPr>
                <w:rFonts w:hint="eastAsia" w:cs="Times New Roman"/>
                <w:kern w:val="0"/>
                <w:szCs w:val="20"/>
              </w:rPr>
              <w:t>/</w:t>
            </w:r>
          </w:p>
        </w:tc>
        <w:tc>
          <w:tcPr>
            <w:tcW w:w="328" w:type="pct"/>
            <w:vAlign w:val="center"/>
          </w:tcPr>
          <w:p w14:paraId="6BFC7629">
            <w:pPr>
              <w:pStyle w:val="445"/>
              <w:rPr>
                <w:rFonts w:cs="Times New Roman"/>
                <w:kern w:val="0"/>
                <w:szCs w:val="20"/>
              </w:rPr>
            </w:pPr>
            <w:r>
              <w:rPr>
                <w:rFonts w:hint="eastAsia" w:cs="Times New Roman"/>
                <w:kern w:val="0"/>
                <w:szCs w:val="20"/>
              </w:rPr>
              <w:t>/</w:t>
            </w:r>
          </w:p>
        </w:tc>
        <w:tc>
          <w:tcPr>
            <w:tcW w:w="473" w:type="pct"/>
            <w:vAlign w:val="center"/>
          </w:tcPr>
          <w:p w14:paraId="4F4DF456">
            <w:pPr>
              <w:pStyle w:val="445"/>
              <w:rPr>
                <w:rFonts w:cs="Times New Roman"/>
                <w:kern w:val="0"/>
                <w:szCs w:val="20"/>
              </w:rPr>
            </w:pPr>
            <w:r>
              <w:rPr>
                <w:rFonts w:hint="eastAsia" w:cs="Times New Roman"/>
                <w:kern w:val="0"/>
                <w:szCs w:val="20"/>
              </w:rPr>
              <w:t>89.625</w:t>
            </w:r>
          </w:p>
        </w:tc>
        <w:tc>
          <w:tcPr>
            <w:tcW w:w="254" w:type="pct"/>
            <w:vAlign w:val="center"/>
          </w:tcPr>
          <w:p w14:paraId="7CA36161">
            <w:pPr>
              <w:pStyle w:val="445"/>
              <w:rPr>
                <w:rFonts w:cs="Times New Roman"/>
                <w:kern w:val="0"/>
                <w:szCs w:val="20"/>
              </w:rPr>
            </w:pPr>
            <w:r>
              <w:rPr>
                <w:rFonts w:cs="Times New Roman"/>
                <w:kern w:val="0"/>
                <w:szCs w:val="20"/>
              </w:rPr>
              <w:t>环卫部门</w:t>
            </w:r>
          </w:p>
        </w:tc>
        <w:tc>
          <w:tcPr>
            <w:tcW w:w="337" w:type="pct"/>
            <w:vAlign w:val="center"/>
          </w:tcPr>
          <w:p w14:paraId="22DBB3C9">
            <w:pPr>
              <w:pStyle w:val="445"/>
              <w:rPr>
                <w:rFonts w:cs="Times New Roman"/>
                <w:kern w:val="0"/>
                <w:szCs w:val="20"/>
              </w:rPr>
            </w:pPr>
            <w:r>
              <w:rPr>
                <w:rFonts w:hint="eastAsia" w:cs="Times New Roman"/>
                <w:kern w:val="0"/>
                <w:szCs w:val="20"/>
              </w:rPr>
              <w:t>89.625</w:t>
            </w:r>
          </w:p>
        </w:tc>
        <w:tc>
          <w:tcPr>
            <w:tcW w:w="337" w:type="pct"/>
            <w:vAlign w:val="center"/>
          </w:tcPr>
          <w:p w14:paraId="618CEF13">
            <w:pPr>
              <w:pStyle w:val="445"/>
              <w:rPr>
                <w:rFonts w:cs="Times New Roman"/>
                <w:kern w:val="0"/>
                <w:szCs w:val="20"/>
              </w:rPr>
            </w:pPr>
            <w:r>
              <w:rPr>
                <w:rFonts w:hint="eastAsia" w:cs="Times New Roman"/>
                <w:kern w:val="0"/>
                <w:szCs w:val="20"/>
              </w:rPr>
              <w:t>/</w:t>
            </w:r>
          </w:p>
        </w:tc>
        <w:tc>
          <w:tcPr>
            <w:tcW w:w="399" w:type="pct"/>
            <w:vAlign w:val="center"/>
          </w:tcPr>
          <w:p w14:paraId="76BC898F">
            <w:pPr>
              <w:pStyle w:val="445"/>
              <w:rPr>
                <w:rFonts w:cs="Times New Roman"/>
                <w:kern w:val="0"/>
                <w:szCs w:val="20"/>
              </w:rPr>
            </w:pPr>
            <w:r>
              <w:rPr>
                <w:rFonts w:hint="eastAsia" w:cs="Times New Roman"/>
                <w:kern w:val="0"/>
                <w:szCs w:val="20"/>
              </w:rPr>
              <w:t>/</w:t>
            </w:r>
          </w:p>
        </w:tc>
        <w:tc>
          <w:tcPr>
            <w:tcW w:w="339" w:type="pct"/>
            <w:vAlign w:val="center"/>
          </w:tcPr>
          <w:p w14:paraId="39F6351A">
            <w:pPr>
              <w:pStyle w:val="445"/>
              <w:rPr>
                <w:rFonts w:cs="Times New Roman"/>
                <w:kern w:val="0"/>
                <w:szCs w:val="20"/>
              </w:rPr>
            </w:pPr>
            <w:r>
              <w:rPr>
                <w:rFonts w:hint="eastAsia" w:cs="Times New Roman"/>
                <w:kern w:val="0"/>
                <w:szCs w:val="20"/>
              </w:rPr>
              <w:t>89.625</w:t>
            </w:r>
          </w:p>
        </w:tc>
        <w:tc>
          <w:tcPr>
            <w:tcW w:w="352" w:type="pct"/>
            <w:vAlign w:val="center"/>
          </w:tcPr>
          <w:p w14:paraId="355FED8E">
            <w:pPr>
              <w:pStyle w:val="445"/>
              <w:rPr>
                <w:rFonts w:cs="Times New Roman"/>
                <w:kern w:val="0"/>
                <w:szCs w:val="20"/>
              </w:rPr>
            </w:pPr>
            <w:r>
              <w:rPr>
                <w:rFonts w:hint="eastAsia" w:cs="Times New Roman"/>
                <w:kern w:val="0"/>
                <w:szCs w:val="20"/>
              </w:rPr>
              <w:t>/</w:t>
            </w:r>
          </w:p>
        </w:tc>
        <w:tc>
          <w:tcPr>
            <w:tcW w:w="263" w:type="pct"/>
            <w:vAlign w:val="center"/>
          </w:tcPr>
          <w:p w14:paraId="3C292286">
            <w:pPr>
              <w:pStyle w:val="445"/>
              <w:rPr>
                <w:rFonts w:cs="Times New Roman"/>
                <w:kern w:val="0"/>
                <w:szCs w:val="20"/>
              </w:rPr>
            </w:pPr>
            <w:r>
              <w:rPr>
                <w:rFonts w:hint="eastAsia" w:cs="Times New Roman"/>
                <w:kern w:val="0"/>
                <w:szCs w:val="20"/>
              </w:rPr>
              <w:t>0</w:t>
            </w:r>
          </w:p>
        </w:tc>
        <w:tc>
          <w:tcPr>
            <w:tcW w:w="251" w:type="pct"/>
            <w:vAlign w:val="center"/>
          </w:tcPr>
          <w:p w14:paraId="111E4287">
            <w:pPr>
              <w:pStyle w:val="445"/>
              <w:rPr>
                <w:rFonts w:cs="Times New Roman"/>
                <w:kern w:val="0"/>
                <w:szCs w:val="20"/>
              </w:rPr>
            </w:pPr>
            <w:r>
              <w:rPr>
                <w:rFonts w:hint="eastAsia" w:cs="Times New Roman"/>
                <w:kern w:val="0"/>
                <w:szCs w:val="20"/>
              </w:rPr>
              <w:t>/</w:t>
            </w:r>
          </w:p>
        </w:tc>
      </w:tr>
      <w:tr w14:paraId="24E4F1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6C69C607">
            <w:pPr>
              <w:pStyle w:val="445"/>
              <w:rPr>
                <w:rFonts w:cs="Times New Roman"/>
                <w:kern w:val="0"/>
                <w:szCs w:val="20"/>
              </w:rPr>
            </w:pPr>
            <w:r>
              <w:rPr>
                <w:rFonts w:hint="eastAsia" w:cs="Times New Roman"/>
                <w:kern w:val="0"/>
                <w:szCs w:val="20"/>
              </w:rPr>
              <w:t>1</w:t>
            </w:r>
            <w:r>
              <w:rPr>
                <w:rFonts w:cs="Times New Roman"/>
                <w:kern w:val="0"/>
                <w:szCs w:val="20"/>
              </w:rPr>
              <w:t>5</w:t>
            </w:r>
          </w:p>
        </w:tc>
        <w:tc>
          <w:tcPr>
            <w:tcW w:w="504" w:type="pct"/>
            <w:vAlign w:val="center"/>
          </w:tcPr>
          <w:p w14:paraId="30DED8BB">
            <w:pPr>
              <w:pStyle w:val="445"/>
              <w:rPr>
                <w:rFonts w:cs="Times New Roman"/>
                <w:kern w:val="0"/>
                <w:szCs w:val="20"/>
              </w:rPr>
            </w:pPr>
            <w:r>
              <w:rPr>
                <w:rFonts w:hint="eastAsia" w:cs="Times New Roman"/>
                <w:kern w:val="0"/>
                <w:szCs w:val="20"/>
              </w:rPr>
              <w:t>废气</w:t>
            </w:r>
            <w:r>
              <w:rPr>
                <w:rFonts w:cs="Times New Roman"/>
                <w:kern w:val="0"/>
                <w:szCs w:val="20"/>
              </w:rPr>
              <w:t>处理</w:t>
            </w:r>
          </w:p>
        </w:tc>
        <w:tc>
          <w:tcPr>
            <w:tcW w:w="328" w:type="pct"/>
            <w:vAlign w:val="center"/>
          </w:tcPr>
          <w:p w14:paraId="702D3DD8">
            <w:pPr>
              <w:pStyle w:val="445"/>
              <w:rPr>
                <w:rFonts w:cs="Times New Roman"/>
                <w:kern w:val="0"/>
                <w:szCs w:val="20"/>
              </w:rPr>
            </w:pPr>
            <w:r>
              <w:rPr>
                <w:rFonts w:hint="eastAsia" w:cs="Times New Roman"/>
                <w:kern w:val="0"/>
                <w:szCs w:val="20"/>
              </w:rPr>
              <w:t>硫酸</w:t>
            </w:r>
            <w:r>
              <w:rPr>
                <w:rFonts w:cs="Times New Roman"/>
                <w:kern w:val="0"/>
                <w:szCs w:val="20"/>
              </w:rPr>
              <w:t>铵</w:t>
            </w:r>
          </w:p>
        </w:tc>
        <w:tc>
          <w:tcPr>
            <w:tcW w:w="328" w:type="pct"/>
            <w:vAlign w:val="center"/>
          </w:tcPr>
          <w:p w14:paraId="12AA855A">
            <w:pPr>
              <w:pStyle w:val="445"/>
              <w:rPr>
                <w:rFonts w:cs="Times New Roman"/>
                <w:kern w:val="0"/>
                <w:szCs w:val="20"/>
              </w:rPr>
            </w:pPr>
            <w:r>
              <w:rPr>
                <w:rFonts w:hint="eastAsia" w:cs="Times New Roman"/>
                <w:kern w:val="0"/>
                <w:szCs w:val="20"/>
              </w:rPr>
              <w:t>危险废物</w:t>
            </w:r>
          </w:p>
        </w:tc>
        <w:tc>
          <w:tcPr>
            <w:tcW w:w="328" w:type="pct"/>
            <w:vAlign w:val="center"/>
          </w:tcPr>
          <w:p w14:paraId="32CA872B">
            <w:pPr>
              <w:pStyle w:val="445"/>
              <w:rPr>
                <w:rFonts w:cs="Times New Roman"/>
                <w:kern w:val="0"/>
                <w:szCs w:val="20"/>
              </w:rPr>
            </w:pPr>
            <w:r>
              <w:rPr>
                <w:rFonts w:hint="eastAsia" w:cs="Times New Roman"/>
                <w:kern w:val="0"/>
                <w:szCs w:val="20"/>
              </w:rPr>
              <w:t>危险废物</w:t>
            </w:r>
          </w:p>
        </w:tc>
        <w:tc>
          <w:tcPr>
            <w:tcW w:w="328" w:type="pct"/>
            <w:vAlign w:val="center"/>
          </w:tcPr>
          <w:p w14:paraId="1EB03C50">
            <w:pPr>
              <w:pStyle w:val="445"/>
              <w:rPr>
                <w:rFonts w:cs="Times New Roman"/>
                <w:kern w:val="0"/>
                <w:szCs w:val="20"/>
              </w:rPr>
            </w:pPr>
            <w:r>
              <w:rPr>
                <w:rFonts w:hint="eastAsia" w:cs="Times New Roman"/>
                <w:kern w:val="0"/>
                <w:szCs w:val="20"/>
              </w:rPr>
              <w:t>/</w:t>
            </w:r>
          </w:p>
        </w:tc>
        <w:tc>
          <w:tcPr>
            <w:tcW w:w="473" w:type="pct"/>
            <w:vAlign w:val="center"/>
          </w:tcPr>
          <w:p w14:paraId="6A068BAC">
            <w:pPr>
              <w:pStyle w:val="445"/>
              <w:rPr>
                <w:rFonts w:cs="Times New Roman"/>
                <w:kern w:val="0"/>
                <w:szCs w:val="20"/>
              </w:rPr>
            </w:pPr>
            <w:r>
              <w:rPr>
                <w:rFonts w:hint="eastAsia" w:cs="Times New Roman"/>
                <w:kern w:val="0"/>
                <w:szCs w:val="20"/>
              </w:rPr>
              <w:t>163.86</w:t>
            </w:r>
          </w:p>
        </w:tc>
        <w:tc>
          <w:tcPr>
            <w:tcW w:w="254" w:type="pct"/>
            <w:vAlign w:val="center"/>
          </w:tcPr>
          <w:p w14:paraId="182931AF">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7F63C523">
            <w:pPr>
              <w:pStyle w:val="445"/>
              <w:rPr>
                <w:rFonts w:cs="Times New Roman"/>
                <w:kern w:val="0"/>
                <w:szCs w:val="20"/>
              </w:rPr>
            </w:pPr>
            <w:r>
              <w:rPr>
                <w:rFonts w:hint="eastAsia" w:cs="Times New Roman"/>
                <w:kern w:val="0"/>
                <w:szCs w:val="20"/>
              </w:rPr>
              <w:t>163.86</w:t>
            </w:r>
          </w:p>
        </w:tc>
        <w:tc>
          <w:tcPr>
            <w:tcW w:w="337" w:type="pct"/>
            <w:vAlign w:val="center"/>
          </w:tcPr>
          <w:p w14:paraId="318EC341">
            <w:pPr>
              <w:pStyle w:val="445"/>
              <w:rPr>
                <w:rFonts w:cs="Times New Roman"/>
                <w:kern w:val="0"/>
                <w:szCs w:val="20"/>
              </w:rPr>
            </w:pPr>
            <w:r>
              <w:rPr>
                <w:rFonts w:hint="eastAsia" w:cs="Times New Roman"/>
                <w:kern w:val="0"/>
                <w:szCs w:val="20"/>
              </w:rPr>
              <w:t>/</w:t>
            </w:r>
          </w:p>
        </w:tc>
        <w:tc>
          <w:tcPr>
            <w:tcW w:w="399" w:type="pct"/>
            <w:vAlign w:val="center"/>
          </w:tcPr>
          <w:p w14:paraId="4CE5720C">
            <w:pPr>
              <w:pStyle w:val="445"/>
              <w:rPr>
                <w:rFonts w:cs="Times New Roman"/>
                <w:kern w:val="0"/>
                <w:szCs w:val="20"/>
              </w:rPr>
            </w:pPr>
            <w:r>
              <w:rPr>
                <w:rFonts w:hint="eastAsia" w:cs="Times New Roman"/>
                <w:kern w:val="0"/>
                <w:szCs w:val="20"/>
              </w:rPr>
              <w:t>/</w:t>
            </w:r>
          </w:p>
        </w:tc>
        <w:tc>
          <w:tcPr>
            <w:tcW w:w="339" w:type="pct"/>
            <w:vAlign w:val="center"/>
          </w:tcPr>
          <w:p w14:paraId="1955239C">
            <w:pPr>
              <w:pStyle w:val="445"/>
              <w:rPr>
                <w:rFonts w:cs="Times New Roman"/>
                <w:kern w:val="0"/>
                <w:szCs w:val="20"/>
              </w:rPr>
            </w:pPr>
            <w:r>
              <w:rPr>
                <w:rFonts w:hint="eastAsia" w:cs="Times New Roman"/>
                <w:kern w:val="0"/>
                <w:szCs w:val="20"/>
              </w:rPr>
              <w:t>/</w:t>
            </w:r>
          </w:p>
        </w:tc>
        <w:tc>
          <w:tcPr>
            <w:tcW w:w="352" w:type="pct"/>
            <w:vAlign w:val="center"/>
          </w:tcPr>
          <w:p w14:paraId="7243C4B3">
            <w:pPr>
              <w:pStyle w:val="445"/>
              <w:rPr>
                <w:rFonts w:cs="Times New Roman"/>
                <w:kern w:val="0"/>
                <w:szCs w:val="20"/>
              </w:rPr>
            </w:pPr>
            <w:r>
              <w:rPr>
                <w:rFonts w:hint="eastAsia" w:cs="Times New Roman"/>
                <w:kern w:val="0"/>
                <w:szCs w:val="20"/>
              </w:rPr>
              <w:t>163.86</w:t>
            </w:r>
          </w:p>
        </w:tc>
        <w:tc>
          <w:tcPr>
            <w:tcW w:w="263" w:type="pct"/>
            <w:vAlign w:val="center"/>
          </w:tcPr>
          <w:p w14:paraId="2CDE0D9A">
            <w:pPr>
              <w:pStyle w:val="445"/>
              <w:rPr>
                <w:rFonts w:cs="Times New Roman"/>
                <w:kern w:val="0"/>
                <w:szCs w:val="20"/>
              </w:rPr>
            </w:pPr>
            <w:r>
              <w:rPr>
                <w:rFonts w:hint="eastAsia" w:cs="Times New Roman"/>
                <w:kern w:val="0"/>
                <w:szCs w:val="20"/>
              </w:rPr>
              <w:t>0</w:t>
            </w:r>
          </w:p>
        </w:tc>
        <w:tc>
          <w:tcPr>
            <w:tcW w:w="251" w:type="pct"/>
            <w:vAlign w:val="center"/>
          </w:tcPr>
          <w:p w14:paraId="5DBC891C">
            <w:pPr>
              <w:pStyle w:val="445"/>
              <w:rPr>
                <w:rFonts w:cs="Times New Roman"/>
                <w:kern w:val="0"/>
                <w:szCs w:val="20"/>
              </w:rPr>
            </w:pPr>
            <w:r>
              <w:rPr>
                <w:rFonts w:hint="eastAsia" w:cs="Times New Roman"/>
                <w:kern w:val="0"/>
                <w:szCs w:val="20"/>
              </w:rPr>
              <w:t>/</w:t>
            </w:r>
          </w:p>
        </w:tc>
      </w:tr>
      <w:tr w14:paraId="51628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7FB5DCB7">
            <w:pPr>
              <w:pStyle w:val="445"/>
              <w:rPr>
                <w:rFonts w:cs="Times New Roman"/>
                <w:kern w:val="0"/>
                <w:szCs w:val="20"/>
              </w:rPr>
            </w:pPr>
            <w:r>
              <w:rPr>
                <w:rFonts w:hint="eastAsia" w:cs="Times New Roman"/>
                <w:kern w:val="0"/>
                <w:szCs w:val="20"/>
              </w:rPr>
              <w:t>1</w:t>
            </w:r>
            <w:r>
              <w:rPr>
                <w:rFonts w:cs="Times New Roman"/>
                <w:kern w:val="0"/>
                <w:szCs w:val="20"/>
              </w:rPr>
              <w:t>6</w:t>
            </w:r>
          </w:p>
        </w:tc>
        <w:tc>
          <w:tcPr>
            <w:tcW w:w="504" w:type="pct"/>
            <w:vAlign w:val="center"/>
          </w:tcPr>
          <w:p w14:paraId="7EE15BAD">
            <w:pPr>
              <w:pStyle w:val="445"/>
              <w:rPr>
                <w:rFonts w:cs="Times New Roman"/>
                <w:kern w:val="0"/>
                <w:szCs w:val="20"/>
              </w:rPr>
            </w:pPr>
            <w:r>
              <w:rPr>
                <w:rFonts w:hint="eastAsia" w:cs="Times New Roman"/>
                <w:kern w:val="0"/>
                <w:szCs w:val="20"/>
              </w:rPr>
              <w:t>废水</w:t>
            </w:r>
            <w:r>
              <w:rPr>
                <w:rFonts w:cs="Times New Roman"/>
                <w:kern w:val="0"/>
                <w:szCs w:val="20"/>
              </w:rPr>
              <w:t>处理</w:t>
            </w:r>
          </w:p>
        </w:tc>
        <w:tc>
          <w:tcPr>
            <w:tcW w:w="328" w:type="pct"/>
            <w:vAlign w:val="center"/>
          </w:tcPr>
          <w:p w14:paraId="2686FE26">
            <w:pPr>
              <w:pStyle w:val="445"/>
              <w:rPr>
                <w:rFonts w:cs="Times New Roman"/>
                <w:kern w:val="0"/>
                <w:szCs w:val="20"/>
              </w:rPr>
            </w:pPr>
            <w:r>
              <w:rPr>
                <w:rFonts w:hint="eastAsia" w:cs="Times New Roman"/>
                <w:kern w:val="0"/>
                <w:szCs w:val="20"/>
              </w:rPr>
              <w:t>氟化钙</w:t>
            </w:r>
          </w:p>
        </w:tc>
        <w:tc>
          <w:tcPr>
            <w:tcW w:w="328" w:type="pct"/>
            <w:vAlign w:val="center"/>
          </w:tcPr>
          <w:p w14:paraId="23D0CCDA">
            <w:pPr>
              <w:pStyle w:val="445"/>
              <w:rPr>
                <w:rFonts w:cs="Times New Roman"/>
                <w:kern w:val="0"/>
                <w:szCs w:val="20"/>
              </w:rPr>
            </w:pPr>
            <w:r>
              <w:rPr>
                <w:rFonts w:hint="eastAsia" w:cs="Times New Roman"/>
                <w:kern w:val="0"/>
                <w:szCs w:val="20"/>
              </w:rPr>
              <w:t>危险废物</w:t>
            </w:r>
          </w:p>
        </w:tc>
        <w:tc>
          <w:tcPr>
            <w:tcW w:w="328" w:type="pct"/>
            <w:vAlign w:val="center"/>
          </w:tcPr>
          <w:p w14:paraId="1C4F80E5">
            <w:pPr>
              <w:pStyle w:val="445"/>
              <w:rPr>
                <w:rFonts w:cs="Times New Roman"/>
                <w:kern w:val="0"/>
                <w:szCs w:val="20"/>
              </w:rPr>
            </w:pPr>
            <w:r>
              <w:rPr>
                <w:rFonts w:hint="eastAsia" w:cs="Times New Roman"/>
                <w:kern w:val="0"/>
                <w:szCs w:val="20"/>
              </w:rPr>
              <w:t>危险废物</w:t>
            </w:r>
          </w:p>
        </w:tc>
        <w:tc>
          <w:tcPr>
            <w:tcW w:w="328" w:type="pct"/>
            <w:vAlign w:val="center"/>
          </w:tcPr>
          <w:p w14:paraId="31107F6C">
            <w:pPr>
              <w:pStyle w:val="445"/>
              <w:rPr>
                <w:rFonts w:cs="Times New Roman"/>
                <w:kern w:val="0"/>
                <w:szCs w:val="20"/>
              </w:rPr>
            </w:pPr>
            <w:r>
              <w:rPr>
                <w:rFonts w:hint="eastAsia" w:cs="Times New Roman"/>
                <w:kern w:val="0"/>
                <w:szCs w:val="20"/>
              </w:rPr>
              <w:t>/</w:t>
            </w:r>
          </w:p>
        </w:tc>
        <w:tc>
          <w:tcPr>
            <w:tcW w:w="473" w:type="pct"/>
            <w:vAlign w:val="center"/>
          </w:tcPr>
          <w:p w14:paraId="60F52ED8">
            <w:pPr>
              <w:pStyle w:val="445"/>
              <w:rPr>
                <w:rFonts w:cs="Times New Roman"/>
                <w:kern w:val="0"/>
                <w:szCs w:val="20"/>
              </w:rPr>
            </w:pPr>
            <w:r>
              <w:rPr>
                <w:rFonts w:cs="Times New Roman"/>
                <w:kern w:val="0"/>
                <w:szCs w:val="20"/>
              </w:rPr>
              <w:t>38.963</w:t>
            </w:r>
          </w:p>
        </w:tc>
        <w:tc>
          <w:tcPr>
            <w:tcW w:w="254" w:type="pct"/>
            <w:vAlign w:val="center"/>
          </w:tcPr>
          <w:p w14:paraId="391301CA">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29387CC0">
            <w:pPr>
              <w:pStyle w:val="445"/>
              <w:rPr>
                <w:rFonts w:cs="Times New Roman"/>
                <w:kern w:val="0"/>
                <w:szCs w:val="20"/>
              </w:rPr>
            </w:pPr>
            <w:r>
              <w:rPr>
                <w:rFonts w:cs="Times New Roman"/>
                <w:kern w:val="0"/>
                <w:szCs w:val="20"/>
              </w:rPr>
              <w:t>38.963</w:t>
            </w:r>
          </w:p>
        </w:tc>
        <w:tc>
          <w:tcPr>
            <w:tcW w:w="337" w:type="pct"/>
            <w:vAlign w:val="center"/>
          </w:tcPr>
          <w:p w14:paraId="77168778">
            <w:pPr>
              <w:pStyle w:val="445"/>
              <w:rPr>
                <w:rFonts w:cs="Times New Roman"/>
                <w:kern w:val="0"/>
                <w:szCs w:val="20"/>
              </w:rPr>
            </w:pPr>
            <w:r>
              <w:rPr>
                <w:rFonts w:hint="eastAsia" w:cs="Times New Roman"/>
                <w:kern w:val="0"/>
                <w:szCs w:val="20"/>
              </w:rPr>
              <w:t>/</w:t>
            </w:r>
          </w:p>
        </w:tc>
        <w:tc>
          <w:tcPr>
            <w:tcW w:w="399" w:type="pct"/>
            <w:vAlign w:val="center"/>
          </w:tcPr>
          <w:p w14:paraId="36580FDD">
            <w:pPr>
              <w:pStyle w:val="445"/>
              <w:rPr>
                <w:rFonts w:cs="Times New Roman"/>
                <w:kern w:val="0"/>
                <w:szCs w:val="20"/>
              </w:rPr>
            </w:pPr>
            <w:r>
              <w:rPr>
                <w:rFonts w:hint="eastAsia" w:cs="Times New Roman"/>
                <w:kern w:val="0"/>
                <w:szCs w:val="20"/>
              </w:rPr>
              <w:t>/</w:t>
            </w:r>
          </w:p>
        </w:tc>
        <w:tc>
          <w:tcPr>
            <w:tcW w:w="339" w:type="pct"/>
            <w:vAlign w:val="center"/>
          </w:tcPr>
          <w:p w14:paraId="6B656221">
            <w:pPr>
              <w:pStyle w:val="445"/>
              <w:rPr>
                <w:rFonts w:cs="Times New Roman"/>
                <w:kern w:val="0"/>
                <w:szCs w:val="20"/>
              </w:rPr>
            </w:pPr>
            <w:r>
              <w:rPr>
                <w:rFonts w:hint="eastAsia" w:cs="Times New Roman"/>
                <w:kern w:val="0"/>
                <w:szCs w:val="20"/>
              </w:rPr>
              <w:t>/</w:t>
            </w:r>
          </w:p>
        </w:tc>
        <w:tc>
          <w:tcPr>
            <w:tcW w:w="352" w:type="pct"/>
            <w:vAlign w:val="center"/>
          </w:tcPr>
          <w:p w14:paraId="2B728BD1">
            <w:pPr>
              <w:pStyle w:val="445"/>
              <w:rPr>
                <w:rFonts w:cs="Times New Roman"/>
                <w:kern w:val="0"/>
                <w:szCs w:val="20"/>
              </w:rPr>
            </w:pPr>
            <w:r>
              <w:rPr>
                <w:rFonts w:cs="Times New Roman"/>
                <w:kern w:val="0"/>
                <w:szCs w:val="20"/>
              </w:rPr>
              <w:t>38.963</w:t>
            </w:r>
          </w:p>
        </w:tc>
        <w:tc>
          <w:tcPr>
            <w:tcW w:w="263" w:type="pct"/>
            <w:vAlign w:val="center"/>
          </w:tcPr>
          <w:p w14:paraId="646AA644">
            <w:pPr>
              <w:pStyle w:val="445"/>
              <w:rPr>
                <w:rFonts w:cs="Times New Roman"/>
                <w:kern w:val="0"/>
                <w:szCs w:val="20"/>
              </w:rPr>
            </w:pPr>
            <w:r>
              <w:rPr>
                <w:rFonts w:hint="eastAsia" w:cs="Times New Roman"/>
                <w:kern w:val="0"/>
                <w:szCs w:val="20"/>
              </w:rPr>
              <w:t>0</w:t>
            </w:r>
          </w:p>
        </w:tc>
        <w:tc>
          <w:tcPr>
            <w:tcW w:w="251" w:type="pct"/>
            <w:vAlign w:val="center"/>
          </w:tcPr>
          <w:p w14:paraId="6A797AA2">
            <w:pPr>
              <w:pStyle w:val="445"/>
              <w:rPr>
                <w:rFonts w:cs="Times New Roman"/>
                <w:kern w:val="0"/>
                <w:szCs w:val="20"/>
              </w:rPr>
            </w:pPr>
            <w:r>
              <w:rPr>
                <w:rFonts w:hint="eastAsia" w:cs="Times New Roman"/>
                <w:kern w:val="0"/>
                <w:szCs w:val="20"/>
              </w:rPr>
              <w:t>/</w:t>
            </w:r>
          </w:p>
        </w:tc>
      </w:tr>
      <w:tr w14:paraId="72530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9" w:type="pct"/>
            <w:vAlign w:val="center"/>
          </w:tcPr>
          <w:p w14:paraId="419B5CA9">
            <w:pPr>
              <w:pStyle w:val="445"/>
              <w:rPr>
                <w:rFonts w:cs="Times New Roman"/>
                <w:kern w:val="0"/>
                <w:szCs w:val="20"/>
              </w:rPr>
            </w:pPr>
            <w:r>
              <w:rPr>
                <w:rFonts w:hint="eastAsia" w:cs="Times New Roman"/>
                <w:kern w:val="0"/>
                <w:szCs w:val="20"/>
              </w:rPr>
              <w:t>1</w:t>
            </w:r>
            <w:r>
              <w:rPr>
                <w:rFonts w:cs="Times New Roman"/>
                <w:kern w:val="0"/>
                <w:szCs w:val="20"/>
              </w:rPr>
              <w:t>7</w:t>
            </w:r>
          </w:p>
        </w:tc>
        <w:tc>
          <w:tcPr>
            <w:tcW w:w="504" w:type="pct"/>
            <w:vAlign w:val="center"/>
          </w:tcPr>
          <w:p w14:paraId="003E8562">
            <w:pPr>
              <w:pStyle w:val="445"/>
              <w:rPr>
                <w:rFonts w:cs="Times New Roman"/>
                <w:kern w:val="0"/>
                <w:szCs w:val="20"/>
              </w:rPr>
            </w:pPr>
            <w:r>
              <w:rPr>
                <w:rFonts w:hint="eastAsia" w:cs="Times New Roman"/>
                <w:kern w:val="0"/>
                <w:szCs w:val="20"/>
              </w:rPr>
              <w:t>废矿物油</w:t>
            </w:r>
          </w:p>
        </w:tc>
        <w:tc>
          <w:tcPr>
            <w:tcW w:w="328" w:type="pct"/>
            <w:vAlign w:val="center"/>
          </w:tcPr>
          <w:p w14:paraId="798FA6BD">
            <w:pPr>
              <w:pStyle w:val="445"/>
              <w:rPr>
                <w:rFonts w:cs="Times New Roman"/>
                <w:kern w:val="0"/>
                <w:szCs w:val="20"/>
              </w:rPr>
            </w:pPr>
            <w:r>
              <w:rPr>
                <w:rFonts w:hint="eastAsia" w:cs="Times New Roman"/>
                <w:kern w:val="0"/>
                <w:szCs w:val="20"/>
              </w:rPr>
              <w:t>设备维修</w:t>
            </w:r>
          </w:p>
        </w:tc>
        <w:tc>
          <w:tcPr>
            <w:tcW w:w="328" w:type="pct"/>
            <w:vAlign w:val="center"/>
          </w:tcPr>
          <w:p w14:paraId="16FC8BF6">
            <w:pPr>
              <w:pStyle w:val="445"/>
              <w:rPr>
                <w:rFonts w:cs="Times New Roman"/>
                <w:kern w:val="0"/>
                <w:szCs w:val="20"/>
              </w:rPr>
            </w:pPr>
            <w:r>
              <w:rPr>
                <w:rFonts w:hint="eastAsia" w:cs="Times New Roman"/>
                <w:kern w:val="0"/>
                <w:szCs w:val="20"/>
              </w:rPr>
              <w:t>危险废物</w:t>
            </w:r>
          </w:p>
        </w:tc>
        <w:tc>
          <w:tcPr>
            <w:tcW w:w="328" w:type="pct"/>
            <w:vAlign w:val="center"/>
          </w:tcPr>
          <w:p w14:paraId="7192226C">
            <w:pPr>
              <w:pStyle w:val="445"/>
              <w:rPr>
                <w:rFonts w:cs="Times New Roman"/>
                <w:kern w:val="0"/>
                <w:szCs w:val="20"/>
              </w:rPr>
            </w:pPr>
            <w:r>
              <w:rPr>
                <w:rFonts w:hint="eastAsia" w:cs="Times New Roman"/>
                <w:kern w:val="0"/>
                <w:szCs w:val="20"/>
              </w:rPr>
              <w:t>危险废物</w:t>
            </w:r>
          </w:p>
        </w:tc>
        <w:tc>
          <w:tcPr>
            <w:tcW w:w="328" w:type="pct"/>
            <w:vAlign w:val="center"/>
          </w:tcPr>
          <w:p w14:paraId="0E3F8312">
            <w:pPr>
              <w:pStyle w:val="445"/>
              <w:rPr>
                <w:rFonts w:cs="Times New Roman"/>
                <w:kern w:val="0"/>
                <w:szCs w:val="20"/>
              </w:rPr>
            </w:pPr>
            <w:r>
              <w:rPr>
                <w:rFonts w:hint="eastAsia" w:cs="Times New Roman"/>
                <w:kern w:val="0"/>
                <w:szCs w:val="20"/>
              </w:rPr>
              <w:t>/</w:t>
            </w:r>
          </w:p>
        </w:tc>
        <w:tc>
          <w:tcPr>
            <w:tcW w:w="473" w:type="pct"/>
            <w:vAlign w:val="center"/>
          </w:tcPr>
          <w:p w14:paraId="35940A81">
            <w:pPr>
              <w:pStyle w:val="445"/>
              <w:rPr>
                <w:rFonts w:cs="Times New Roman"/>
                <w:kern w:val="0"/>
                <w:szCs w:val="20"/>
              </w:rPr>
            </w:pPr>
            <w:r>
              <w:rPr>
                <w:rFonts w:hint="eastAsia" w:cs="Times New Roman"/>
                <w:kern w:val="0"/>
                <w:szCs w:val="20"/>
              </w:rPr>
              <w:t>2</w:t>
            </w:r>
            <w:r>
              <w:rPr>
                <w:rFonts w:cs="Times New Roman"/>
                <w:kern w:val="0"/>
                <w:szCs w:val="20"/>
              </w:rPr>
              <w:t>.1</w:t>
            </w:r>
          </w:p>
        </w:tc>
        <w:tc>
          <w:tcPr>
            <w:tcW w:w="254" w:type="pct"/>
            <w:vAlign w:val="center"/>
          </w:tcPr>
          <w:p w14:paraId="0B63BCDA">
            <w:pPr>
              <w:pStyle w:val="445"/>
              <w:rPr>
                <w:rFonts w:cs="Times New Roman"/>
                <w:kern w:val="0"/>
                <w:szCs w:val="20"/>
              </w:rPr>
            </w:pPr>
            <w:r>
              <w:rPr>
                <w:rFonts w:hint="eastAsia" w:cs="Times New Roman"/>
                <w:kern w:val="0"/>
                <w:szCs w:val="20"/>
              </w:rPr>
              <w:t>委托</w:t>
            </w:r>
            <w:r>
              <w:rPr>
                <w:rFonts w:cs="Times New Roman"/>
                <w:kern w:val="0"/>
                <w:szCs w:val="20"/>
              </w:rPr>
              <w:t>处置</w:t>
            </w:r>
          </w:p>
        </w:tc>
        <w:tc>
          <w:tcPr>
            <w:tcW w:w="337" w:type="pct"/>
            <w:vAlign w:val="center"/>
          </w:tcPr>
          <w:p w14:paraId="0C509D56">
            <w:pPr>
              <w:pStyle w:val="445"/>
              <w:rPr>
                <w:rFonts w:cs="Times New Roman"/>
                <w:kern w:val="0"/>
                <w:szCs w:val="20"/>
              </w:rPr>
            </w:pPr>
            <w:r>
              <w:rPr>
                <w:rFonts w:hint="eastAsia" w:cs="Times New Roman"/>
                <w:kern w:val="0"/>
                <w:szCs w:val="20"/>
              </w:rPr>
              <w:t>2</w:t>
            </w:r>
            <w:r>
              <w:rPr>
                <w:rFonts w:cs="Times New Roman"/>
                <w:kern w:val="0"/>
                <w:szCs w:val="20"/>
              </w:rPr>
              <w:t>.1</w:t>
            </w:r>
          </w:p>
        </w:tc>
        <w:tc>
          <w:tcPr>
            <w:tcW w:w="337" w:type="pct"/>
            <w:vAlign w:val="center"/>
          </w:tcPr>
          <w:p w14:paraId="0BB0B12E">
            <w:pPr>
              <w:pStyle w:val="445"/>
              <w:rPr>
                <w:rFonts w:cs="Times New Roman"/>
                <w:kern w:val="0"/>
                <w:szCs w:val="20"/>
              </w:rPr>
            </w:pPr>
            <w:r>
              <w:rPr>
                <w:rFonts w:hint="eastAsia" w:cs="Times New Roman"/>
                <w:kern w:val="0"/>
                <w:szCs w:val="20"/>
              </w:rPr>
              <w:t>/</w:t>
            </w:r>
          </w:p>
        </w:tc>
        <w:tc>
          <w:tcPr>
            <w:tcW w:w="399" w:type="pct"/>
            <w:vAlign w:val="center"/>
          </w:tcPr>
          <w:p w14:paraId="1489E963">
            <w:pPr>
              <w:pStyle w:val="445"/>
              <w:rPr>
                <w:rFonts w:cs="Times New Roman"/>
                <w:kern w:val="0"/>
                <w:szCs w:val="20"/>
              </w:rPr>
            </w:pPr>
            <w:r>
              <w:rPr>
                <w:rFonts w:hint="eastAsia" w:cs="Times New Roman"/>
                <w:kern w:val="0"/>
                <w:szCs w:val="20"/>
              </w:rPr>
              <w:t>/</w:t>
            </w:r>
          </w:p>
        </w:tc>
        <w:tc>
          <w:tcPr>
            <w:tcW w:w="339" w:type="pct"/>
            <w:vAlign w:val="center"/>
          </w:tcPr>
          <w:p w14:paraId="09CB2CDF">
            <w:pPr>
              <w:pStyle w:val="445"/>
              <w:rPr>
                <w:rFonts w:cs="Times New Roman"/>
                <w:kern w:val="0"/>
                <w:szCs w:val="20"/>
              </w:rPr>
            </w:pPr>
            <w:r>
              <w:rPr>
                <w:rFonts w:hint="eastAsia" w:cs="Times New Roman"/>
                <w:kern w:val="0"/>
                <w:szCs w:val="20"/>
              </w:rPr>
              <w:t>/</w:t>
            </w:r>
          </w:p>
        </w:tc>
        <w:tc>
          <w:tcPr>
            <w:tcW w:w="352" w:type="pct"/>
            <w:vAlign w:val="center"/>
          </w:tcPr>
          <w:p w14:paraId="52851970">
            <w:pPr>
              <w:pStyle w:val="445"/>
              <w:rPr>
                <w:rFonts w:cs="Times New Roman"/>
                <w:kern w:val="0"/>
                <w:szCs w:val="20"/>
              </w:rPr>
            </w:pPr>
            <w:r>
              <w:rPr>
                <w:rFonts w:cs="Times New Roman"/>
                <w:kern w:val="0"/>
                <w:szCs w:val="20"/>
              </w:rPr>
              <w:t>2.1</w:t>
            </w:r>
          </w:p>
        </w:tc>
        <w:tc>
          <w:tcPr>
            <w:tcW w:w="263" w:type="pct"/>
            <w:vAlign w:val="center"/>
          </w:tcPr>
          <w:p w14:paraId="572DC0E4">
            <w:pPr>
              <w:pStyle w:val="445"/>
              <w:rPr>
                <w:rFonts w:cs="Times New Roman"/>
                <w:kern w:val="0"/>
                <w:szCs w:val="20"/>
              </w:rPr>
            </w:pPr>
            <w:r>
              <w:rPr>
                <w:rFonts w:hint="eastAsia" w:cs="Times New Roman"/>
                <w:kern w:val="0"/>
                <w:szCs w:val="20"/>
              </w:rPr>
              <w:t>0</w:t>
            </w:r>
          </w:p>
        </w:tc>
        <w:tc>
          <w:tcPr>
            <w:tcW w:w="251" w:type="pct"/>
            <w:vAlign w:val="center"/>
          </w:tcPr>
          <w:p w14:paraId="114DD78D">
            <w:pPr>
              <w:pStyle w:val="445"/>
              <w:rPr>
                <w:rFonts w:cs="Times New Roman"/>
                <w:kern w:val="0"/>
                <w:szCs w:val="20"/>
              </w:rPr>
            </w:pPr>
            <w:r>
              <w:rPr>
                <w:rFonts w:hint="eastAsia" w:cs="Times New Roman"/>
                <w:kern w:val="0"/>
                <w:szCs w:val="20"/>
              </w:rPr>
              <w:t>/</w:t>
            </w:r>
          </w:p>
        </w:tc>
      </w:tr>
    </w:tbl>
    <w:p w14:paraId="3A88F455">
      <w:pPr>
        <w:widowControl/>
        <w:adjustRightInd/>
        <w:snapToGrid/>
        <w:ind w:firstLine="0" w:firstLineChars="0"/>
        <w:jc w:val="left"/>
        <w:sectPr>
          <w:pgSz w:w="16838" w:h="11906" w:orient="landscape"/>
          <w:pgMar w:top="1800" w:right="1440" w:bottom="1800" w:left="1440" w:header="851" w:footer="992" w:gutter="0"/>
          <w:cols w:space="720" w:num="1"/>
          <w:docGrid w:type="lines" w:linePitch="326" w:charSpace="0"/>
        </w:sectPr>
      </w:pPr>
    </w:p>
    <w:p w14:paraId="44FED098">
      <w:pPr>
        <w:pStyle w:val="4065"/>
      </w:pPr>
      <w:bookmarkStart w:id="535" w:name="_Toc108662740"/>
      <w:r>
        <w:rPr>
          <w:rFonts w:hint="eastAsia"/>
        </w:rPr>
        <w:t>8.3</w:t>
      </w:r>
      <w:r>
        <w:rPr>
          <w:rFonts w:hint="eastAsia" w:ascii="黑体" w:hAnsi="黑体"/>
        </w:rPr>
        <w:t>总量</w:t>
      </w:r>
      <w:r>
        <w:rPr>
          <w:rFonts w:ascii="黑体" w:hAnsi="黑体"/>
        </w:rPr>
        <w:t>控制</w:t>
      </w:r>
      <w:bookmarkEnd w:id="535"/>
    </w:p>
    <w:p w14:paraId="7E953327">
      <w:pPr>
        <w:pStyle w:val="4068"/>
      </w:pPr>
      <w:bookmarkStart w:id="536" w:name="_Toc100784131"/>
      <w:bookmarkStart w:id="537" w:name="_Toc101135964"/>
      <w:bookmarkStart w:id="538" w:name="_Toc108662741"/>
      <w:r>
        <w:rPr>
          <w:rFonts w:hint="eastAsia"/>
        </w:rPr>
        <w:t>8.3.1</w:t>
      </w:r>
      <w:r>
        <w:rPr>
          <w:rFonts w:hint="eastAsia" w:ascii="黑体" w:hAnsi="黑体"/>
        </w:rPr>
        <w:t>总量</w:t>
      </w:r>
      <w:r>
        <w:rPr>
          <w:rFonts w:ascii="黑体" w:hAnsi="黑体"/>
        </w:rPr>
        <w:t>控制区域</w:t>
      </w:r>
      <w:bookmarkEnd w:id="536"/>
      <w:bookmarkEnd w:id="537"/>
      <w:bookmarkEnd w:id="538"/>
    </w:p>
    <w:p w14:paraId="3CD85A80">
      <w:pPr>
        <w:ind w:firstLine="480"/>
      </w:pPr>
      <w:r>
        <w:rPr>
          <w:rFonts w:ascii="宋体" w:hAnsi="宋体"/>
        </w:rPr>
        <w:t>根据项目所在位置、当地社会经济现状及发展趋势，</w:t>
      </w:r>
      <w:r>
        <w:rPr>
          <w:rFonts w:hint="eastAsia"/>
        </w:rPr>
        <w:t>扩建</w:t>
      </w:r>
      <w:r>
        <w:rPr>
          <w:rFonts w:ascii="宋体" w:hAnsi="宋体"/>
        </w:rPr>
        <w:t>项目的排污总量将立足于</w:t>
      </w:r>
      <w:r>
        <w:rPr>
          <w:rFonts w:hint="eastAsia" w:ascii="宋体" w:hAnsi="宋体"/>
        </w:rPr>
        <w:t>蚌埠</w:t>
      </w:r>
      <w:r>
        <w:rPr>
          <w:rFonts w:ascii="宋体" w:hAnsi="宋体"/>
        </w:rPr>
        <w:t>市，不足部分进行区域平衡。</w:t>
      </w:r>
    </w:p>
    <w:p w14:paraId="5314B9BD">
      <w:pPr>
        <w:pStyle w:val="4068"/>
      </w:pPr>
      <w:bookmarkStart w:id="539" w:name="_Toc100784132"/>
      <w:bookmarkStart w:id="540" w:name="_Toc101135965"/>
      <w:bookmarkStart w:id="541" w:name="_Toc108662742"/>
      <w:r>
        <w:t>8.3.2</w:t>
      </w:r>
      <w:r>
        <w:rPr>
          <w:rFonts w:hint="eastAsia" w:ascii="黑体" w:hAnsi="黑体"/>
        </w:rPr>
        <w:t>总量控制因子</w:t>
      </w:r>
      <w:bookmarkEnd w:id="539"/>
      <w:bookmarkEnd w:id="540"/>
      <w:bookmarkEnd w:id="541"/>
    </w:p>
    <w:p w14:paraId="5D266E4F">
      <w:pPr>
        <w:ind w:firstLine="480"/>
      </w:pPr>
      <w:r>
        <w:rPr>
          <w:rFonts w:ascii="宋体" w:hAnsi="宋体"/>
        </w:rPr>
        <w:t>根据</w:t>
      </w:r>
      <w:r>
        <w:rPr>
          <w:rFonts w:hint="eastAsia"/>
        </w:rPr>
        <w:t>扩建</w:t>
      </w:r>
      <w:r>
        <w:rPr>
          <w:rFonts w:ascii="宋体" w:hAnsi="宋体"/>
        </w:rPr>
        <w:t>项目特征和评价区域实际情况，确定总量控制因子为：</w:t>
      </w:r>
    </w:p>
    <w:p w14:paraId="2662C70F">
      <w:pPr>
        <w:ind w:firstLine="480"/>
      </w:pPr>
      <w:r>
        <w:rPr>
          <w:rFonts w:ascii="宋体" w:hAnsi="宋体"/>
        </w:rPr>
        <w:t>气：</w:t>
      </w:r>
      <w:r>
        <w:t>SO</w:t>
      </w:r>
      <w:r>
        <w:rPr>
          <w:vertAlign w:val="subscript"/>
        </w:rPr>
        <w:t>2</w:t>
      </w:r>
      <w:r>
        <w:rPr>
          <w:rFonts w:ascii="宋体" w:hAnsi="宋体"/>
        </w:rPr>
        <w:t>、</w:t>
      </w:r>
      <w:r>
        <w:rPr>
          <w:kern w:val="50"/>
        </w:rPr>
        <w:t>NO</w:t>
      </w:r>
      <w:r>
        <w:rPr>
          <w:kern w:val="50"/>
          <w:vertAlign w:val="subscript"/>
        </w:rPr>
        <w:t>x</w:t>
      </w:r>
      <w:r>
        <w:rPr>
          <w:rFonts w:ascii="宋体" w:hAnsi="宋体"/>
          <w:kern w:val="50"/>
        </w:rPr>
        <w:t>、</w:t>
      </w:r>
      <w:r>
        <w:rPr>
          <w:rFonts w:hint="eastAsia" w:ascii="宋体" w:hAnsi="宋体"/>
          <w:kern w:val="50"/>
        </w:rPr>
        <w:t>烟</w:t>
      </w:r>
      <w:r>
        <w:rPr>
          <w:rFonts w:ascii="宋体" w:hAnsi="宋体"/>
          <w:kern w:val="50"/>
        </w:rPr>
        <w:t>（</w:t>
      </w:r>
      <w:r>
        <w:rPr>
          <w:rFonts w:ascii="宋体" w:hAnsi="宋体"/>
        </w:rPr>
        <w:t>粉</w:t>
      </w:r>
      <w:r>
        <w:rPr>
          <w:rFonts w:ascii="宋体" w:hAnsi="宋体"/>
          <w:kern w:val="50"/>
        </w:rPr>
        <w:t>）</w:t>
      </w:r>
      <w:r>
        <w:rPr>
          <w:rFonts w:ascii="宋体" w:hAnsi="宋体"/>
        </w:rPr>
        <w:t>尘、</w:t>
      </w:r>
      <w:r>
        <w:rPr>
          <w:rFonts w:hint="eastAsia"/>
        </w:rPr>
        <w:t>VOCs</w:t>
      </w:r>
      <w:r>
        <w:rPr>
          <w:rFonts w:ascii="宋体" w:hAnsi="宋体"/>
        </w:rPr>
        <w:t>；</w:t>
      </w:r>
    </w:p>
    <w:p w14:paraId="367B55AE">
      <w:pPr>
        <w:ind w:firstLine="480"/>
      </w:pPr>
      <w:r>
        <w:rPr>
          <w:rFonts w:ascii="宋体" w:hAnsi="宋体"/>
        </w:rPr>
        <w:t>水：</w:t>
      </w:r>
      <w:r>
        <w:t>COD</w:t>
      </w:r>
      <w:r>
        <w:rPr>
          <w:rFonts w:ascii="宋体" w:hAnsi="宋体"/>
        </w:rPr>
        <w:t>、氨氮</w:t>
      </w:r>
      <w:r>
        <w:rPr>
          <w:rFonts w:hint="eastAsia" w:ascii="宋体" w:hAnsi="宋体"/>
        </w:rPr>
        <w:t>。</w:t>
      </w:r>
    </w:p>
    <w:p w14:paraId="7B54444B">
      <w:pPr>
        <w:pStyle w:val="4068"/>
        <w:ind w:firstLine="480"/>
      </w:pPr>
      <w:bookmarkStart w:id="542" w:name="_Toc100784133"/>
      <w:bookmarkStart w:id="543" w:name="_Toc101135966"/>
      <w:bookmarkStart w:id="544" w:name="_Toc108662743"/>
      <w:r>
        <w:rPr>
          <w:rFonts w:hint="eastAsia"/>
        </w:rPr>
        <w:t>8</w:t>
      </w:r>
      <w:r>
        <w:t>.3.3</w:t>
      </w:r>
      <w:r>
        <w:rPr>
          <w:rFonts w:hint="eastAsia" w:ascii="黑体" w:hAnsi="黑体"/>
        </w:rPr>
        <w:t>总量控制</w:t>
      </w:r>
      <w:r>
        <w:rPr>
          <w:rFonts w:ascii="黑体" w:hAnsi="黑体"/>
        </w:rPr>
        <w:t>指标</w:t>
      </w:r>
      <w:bookmarkEnd w:id="542"/>
      <w:bookmarkEnd w:id="543"/>
      <w:bookmarkEnd w:id="544"/>
    </w:p>
    <w:p w14:paraId="6ACCE981">
      <w:pPr>
        <w:ind w:firstLine="480"/>
      </w:pPr>
      <w:r>
        <w:rPr>
          <w:rFonts w:hint="eastAsia"/>
        </w:rPr>
        <w:t>扩建</w:t>
      </w:r>
      <w:r>
        <w:rPr>
          <w:rFonts w:hint="eastAsia" w:ascii="宋体" w:hAnsi="宋体"/>
        </w:rPr>
        <w:t>项目</w:t>
      </w:r>
      <w:r>
        <w:rPr>
          <w:rFonts w:ascii="宋体" w:hAnsi="宋体"/>
        </w:rPr>
        <w:t>实施后</w:t>
      </w:r>
      <w:r>
        <w:rPr>
          <w:rFonts w:hint="eastAsia" w:ascii="宋体" w:hAnsi="宋体"/>
        </w:rPr>
        <w:t>污染物总量</w:t>
      </w:r>
      <w:r>
        <w:rPr>
          <w:rFonts w:ascii="宋体" w:hAnsi="宋体"/>
        </w:rPr>
        <w:t>情况</w:t>
      </w:r>
      <w:r>
        <w:rPr>
          <w:rFonts w:hint="eastAsia" w:ascii="宋体" w:hAnsi="宋体"/>
        </w:rPr>
        <w:t>见表</w:t>
      </w:r>
      <w:r>
        <w:rPr>
          <w:rFonts w:hint="eastAsia"/>
        </w:rPr>
        <w:t>8.3.3</w:t>
      </w:r>
      <w:r>
        <w:t>-1</w:t>
      </w:r>
      <w:r>
        <w:rPr>
          <w:rFonts w:hint="eastAsia" w:ascii="宋体" w:hAnsi="宋体"/>
        </w:rPr>
        <w:t>。</w:t>
      </w:r>
    </w:p>
    <w:p w14:paraId="5226E83B">
      <w:pPr>
        <w:pStyle w:val="278"/>
        <w:ind w:firstLine="480"/>
      </w:pPr>
      <w:r>
        <w:rPr>
          <w:rFonts w:hint="eastAsia" w:ascii="黑体" w:hAnsi="黑体"/>
        </w:rPr>
        <w:t>表</w:t>
      </w:r>
      <w:r>
        <w:rPr>
          <w:rFonts w:hint="eastAsia"/>
        </w:rPr>
        <w:t>8.3.3</w:t>
      </w:r>
      <w:r>
        <w:t xml:space="preserve">-1 </w:t>
      </w:r>
      <w:r>
        <w:rPr>
          <w:rFonts w:hint="eastAsia"/>
        </w:rPr>
        <w:t>扩建</w:t>
      </w:r>
      <w:r>
        <w:rPr>
          <w:rFonts w:hint="eastAsia" w:ascii="黑体" w:hAnsi="黑体"/>
        </w:rPr>
        <w:t>项目</w:t>
      </w:r>
      <w:r>
        <w:rPr>
          <w:rFonts w:ascii="黑体" w:hAnsi="黑体"/>
        </w:rPr>
        <w:t>实施后污染物</w:t>
      </w:r>
      <w:r>
        <w:rPr>
          <w:rFonts w:hint="eastAsia" w:ascii="黑体" w:hAnsi="黑体"/>
        </w:rPr>
        <w:t>总量情况</w:t>
      </w:r>
      <w:r>
        <w:rPr>
          <w:rFonts w:ascii="黑体" w:hAnsi="黑体"/>
        </w:rPr>
        <w:t>表</w:t>
      </w:r>
      <w:r>
        <w:rPr>
          <w:rFonts w:hint="eastAsia"/>
        </w:rPr>
        <w:t xml:space="preserve">  </w:t>
      </w:r>
      <w:r>
        <w:rPr>
          <w:rFonts w:hint="eastAsia" w:ascii="黑体" w:hAnsi="黑体"/>
        </w:rPr>
        <w:t>单位</w:t>
      </w:r>
      <w:r>
        <w:rPr>
          <w:rFonts w:ascii="黑体" w:hAnsi="黑体"/>
        </w:rPr>
        <w:t>：</w:t>
      </w:r>
      <w:r>
        <w:t>t/a</w:t>
      </w:r>
    </w:p>
    <w:p w14:paraId="2818E8A8">
      <w:pPr>
        <w:ind w:firstLine="360"/>
        <w:rPr>
          <w:sz w:val="18"/>
          <w:szCs w:val="18"/>
        </w:rPr>
      </w:pPr>
      <w:bookmarkStart w:id="545" w:name="_Toc100784134"/>
      <w:bookmarkStart w:id="546" w:name="_Toc108662744"/>
      <w:bookmarkStart w:id="547" w:name="_Toc101135967"/>
      <w:r>
        <w:rPr>
          <w:rFonts w:hint="eastAsia"/>
          <w:sz w:val="18"/>
          <w:szCs w:val="18"/>
        </w:rPr>
        <w:t>注：氨氮总量计算延用原环评计算方式，氨氮总量仅核算含氨氮污染物废水，含氨氮污染物废水为</w:t>
      </w:r>
      <w:r>
        <w:rPr>
          <w:rFonts w:hint="eastAsia"/>
          <w:color w:val="000000" w:themeColor="text1"/>
          <w:sz w:val="18"/>
          <w:szCs w:val="18"/>
          <w14:textFill>
            <w14:solidFill>
              <w14:schemeClr w14:val="tx1"/>
            </w14:solidFill>
          </w14:textFill>
        </w:rPr>
        <w:t>硅溶胶</w:t>
      </w:r>
      <w:r>
        <w:rPr>
          <w:color w:val="000000" w:themeColor="text1"/>
          <w:sz w:val="18"/>
          <w:szCs w:val="18"/>
          <w14:textFill>
            <w14:solidFill>
              <w14:schemeClr w14:val="tx1"/>
            </w14:solidFill>
          </w14:textFill>
        </w:rPr>
        <w:t>废水</w:t>
      </w:r>
      <w:r>
        <w:rPr>
          <w:rFonts w:hint="eastAsia"/>
          <w:color w:val="000000" w:themeColor="text1"/>
          <w:sz w:val="18"/>
          <w:szCs w:val="18"/>
          <w14:textFill>
            <w14:solidFill>
              <w14:schemeClr w14:val="tx1"/>
            </w14:solidFill>
          </w14:textFill>
        </w:rPr>
        <w:t>W</w:t>
      </w:r>
      <w:r>
        <w:rPr>
          <w:color w:val="000000" w:themeColor="text1"/>
          <w:sz w:val="18"/>
          <w:szCs w:val="18"/>
          <w14:textFill>
            <w14:solidFill>
              <w14:schemeClr w14:val="tx1"/>
            </w14:solidFill>
          </w14:textFill>
        </w:rPr>
        <w:t>3-2</w:t>
      </w:r>
      <w:r>
        <w:rPr>
          <w:rFonts w:hint="eastAsia"/>
          <w:color w:val="000000" w:themeColor="text1"/>
          <w:sz w:val="18"/>
          <w:szCs w:val="18"/>
          <w14:textFill>
            <w14:solidFill>
              <w14:schemeClr w14:val="tx1"/>
            </w14:solidFill>
          </w14:textFill>
        </w:rPr>
        <w:t>和生活污水。</w:t>
      </w:r>
    </w:p>
    <w:p w14:paraId="0B07173E">
      <w:pPr>
        <w:pStyle w:val="4068"/>
        <w:ind w:firstLine="280" w:firstLineChars="100"/>
      </w:pPr>
      <w:r>
        <w:rPr>
          <w:rFonts w:hint="eastAsia"/>
        </w:rPr>
        <w:t>8.3.4</w:t>
      </w:r>
      <w:r>
        <w:rPr>
          <w:rFonts w:hint="eastAsia" w:ascii="黑体" w:hAnsi="黑体"/>
        </w:rPr>
        <w:t>总量</w:t>
      </w:r>
      <w:r>
        <w:rPr>
          <w:rFonts w:ascii="黑体" w:hAnsi="黑体"/>
        </w:rPr>
        <w:t>平衡途径</w:t>
      </w:r>
      <w:bookmarkEnd w:id="545"/>
      <w:bookmarkEnd w:id="546"/>
      <w:bookmarkEnd w:id="547"/>
    </w:p>
    <w:p w14:paraId="2A136CB5">
      <w:pPr>
        <w:ind w:firstLine="480"/>
      </w:pPr>
      <w:r>
        <w:rPr>
          <w:rFonts w:ascii="宋体" w:hAnsi="宋体"/>
        </w:rPr>
        <w:t>（</w:t>
      </w:r>
      <w:r>
        <w:t>1</w:t>
      </w:r>
      <w:r>
        <w:rPr>
          <w:rFonts w:ascii="宋体" w:hAnsi="宋体"/>
        </w:rPr>
        <w:t>）废水</w:t>
      </w:r>
    </w:p>
    <w:p w14:paraId="463E24A9">
      <w:pPr>
        <w:ind w:firstLine="480"/>
      </w:pPr>
      <w:r>
        <w:rPr>
          <w:rFonts w:hint="eastAsia" w:ascii="宋体" w:hAnsi="宋体"/>
        </w:rPr>
        <w:t>项目各类废水经厂区污水处理区处理达到</w:t>
      </w:r>
      <w:r>
        <w:rPr>
          <w:rFonts w:ascii="宋体" w:hAnsi="宋体"/>
        </w:rPr>
        <w:t>沫河口园区污水处理厂接管标准</w:t>
      </w:r>
      <w:r>
        <w:rPr>
          <w:rFonts w:hint="eastAsia" w:ascii="宋体" w:hAnsi="宋体"/>
        </w:rPr>
        <w:t>、《污水综合排放标准》（</w:t>
      </w:r>
      <w:r>
        <w:rPr>
          <w:rFonts w:hint="eastAsia"/>
        </w:rPr>
        <w:t>G</w:t>
      </w:r>
      <w:r>
        <w:t>B8978-1996</w:t>
      </w:r>
      <w:r>
        <w:rPr>
          <w:rFonts w:hint="eastAsia" w:ascii="宋体" w:hAnsi="宋体"/>
        </w:rPr>
        <w:t>）中表</w:t>
      </w:r>
      <w:r>
        <w:rPr>
          <w:rFonts w:hint="eastAsia"/>
        </w:rPr>
        <w:t>4</w:t>
      </w:r>
      <w:r>
        <w:rPr>
          <w:rFonts w:hint="eastAsia" w:ascii="宋体" w:hAnsi="宋体"/>
        </w:rPr>
        <w:t>的三级标准和</w:t>
      </w:r>
      <w:r>
        <w:rPr>
          <w:rFonts w:hint="eastAsia"/>
          <w:szCs w:val="24"/>
        </w:rPr>
        <w:t>《无机化学工业污染物排放标准》（GB31573-2015）水污染物间接排放限值</w:t>
      </w:r>
      <w:r>
        <w:rPr>
          <w:rFonts w:hint="eastAsia" w:ascii="宋体" w:hAnsi="宋体"/>
        </w:rPr>
        <w:t>接管沫河口</w:t>
      </w:r>
      <w:r>
        <w:rPr>
          <w:rFonts w:ascii="宋体" w:hAnsi="宋体"/>
        </w:rPr>
        <w:t>污水处理厂</w:t>
      </w:r>
      <w:r>
        <w:rPr>
          <w:rFonts w:hint="eastAsia" w:ascii="宋体" w:hAnsi="宋体"/>
        </w:rPr>
        <w:t>；经沫河口</w:t>
      </w:r>
      <w:r>
        <w:rPr>
          <w:rFonts w:ascii="宋体" w:hAnsi="宋体"/>
        </w:rPr>
        <w:t>污水处理厂</w:t>
      </w:r>
      <w:r>
        <w:rPr>
          <w:rFonts w:hint="eastAsia" w:ascii="宋体" w:hAnsi="宋体"/>
        </w:rPr>
        <w:t>处理达到</w:t>
      </w:r>
      <w:r>
        <w:rPr>
          <w:rFonts w:ascii="宋体" w:hAnsi="宋体"/>
        </w:rPr>
        <w:t>《城镇污水处理厂污染物排放标准》（</w:t>
      </w:r>
      <w:r>
        <w:t>GB18918-2002</w:t>
      </w:r>
      <w:r>
        <w:rPr>
          <w:rFonts w:ascii="宋体" w:hAnsi="宋体"/>
        </w:rPr>
        <w:t>）中一级</w:t>
      </w:r>
      <w:r>
        <w:t>A</w:t>
      </w:r>
      <w:r>
        <w:rPr>
          <w:rFonts w:ascii="宋体" w:hAnsi="宋体"/>
        </w:rPr>
        <w:t>标准，尾水最终</w:t>
      </w:r>
      <w:r>
        <w:rPr>
          <w:rFonts w:hint="eastAsia" w:ascii="宋体" w:hAnsi="宋体"/>
        </w:rPr>
        <w:t>汇入</w:t>
      </w:r>
      <w:r>
        <w:rPr>
          <w:rFonts w:ascii="宋体" w:hAnsi="宋体"/>
        </w:rPr>
        <w:t>淮河</w:t>
      </w:r>
      <w:r>
        <w:rPr>
          <w:rFonts w:hint="eastAsia" w:ascii="宋体" w:hAnsi="宋体"/>
        </w:rPr>
        <w:t>。</w:t>
      </w:r>
    </w:p>
    <w:p w14:paraId="5911371E">
      <w:pPr>
        <w:ind w:firstLine="480"/>
        <w:rPr>
          <w:rFonts w:cs="Times New Roman"/>
        </w:rPr>
      </w:pPr>
      <w:r>
        <w:rPr>
          <w:rFonts w:ascii="宋体" w:hAnsi="宋体"/>
        </w:rPr>
        <w:t>（</w:t>
      </w:r>
      <w:r>
        <w:t>2</w:t>
      </w:r>
      <w:r>
        <w:rPr>
          <w:rFonts w:ascii="宋体" w:hAnsi="宋体"/>
        </w:rPr>
        <w:t>）废气</w:t>
      </w:r>
    </w:p>
    <w:p w14:paraId="047C5DEF">
      <w:pPr>
        <w:ind w:firstLine="480"/>
      </w:pPr>
      <w:r>
        <w:rPr>
          <w:rFonts w:hint="eastAsia"/>
        </w:rPr>
        <w:t>扩建</w:t>
      </w:r>
      <w:r>
        <w:rPr>
          <w:rFonts w:cs="Times New Roman"/>
        </w:rPr>
        <w:t>项目废气污染物为</w:t>
      </w:r>
      <w:r>
        <w:rPr>
          <w:rFonts w:hint="eastAsia"/>
        </w:rPr>
        <w:t>烟（</w:t>
      </w:r>
      <w:r>
        <w:t>粉</w:t>
      </w:r>
      <w:r>
        <w:rPr>
          <w:rFonts w:hint="eastAsia"/>
        </w:rPr>
        <w:t>）尘</w:t>
      </w:r>
      <w:r>
        <w:rPr>
          <w:rFonts w:cs="Times New Roman"/>
        </w:rPr>
        <w:t>、VOC。</w:t>
      </w:r>
      <w:r>
        <w:rPr>
          <w:rFonts w:hint="eastAsia"/>
        </w:rPr>
        <w:t>扩建</w:t>
      </w:r>
      <w:r>
        <w:rPr>
          <w:rFonts w:cs="Times New Roman"/>
        </w:rPr>
        <w:t>项目新增的</w:t>
      </w:r>
      <w:r>
        <w:rPr>
          <w:rFonts w:hint="eastAsia"/>
        </w:rPr>
        <w:t>烟（</w:t>
      </w:r>
      <w:r>
        <w:t>粉</w:t>
      </w:r>
      <w:r>
        <w:rPr>
          <w:rFonts w:hint="eastAsia"/>
        </w:rPr>
        <w:t>）尘</w:t>
      </w:r>
      <w:r>
        <w:rPr>
          <w:rFonts w:cs="Times New Roman"/>
        </w:rPr>
        <w:t>排放总量实行区域内等量或倍量削减量替代</w:t>
      </w:r>
      <w:r>
        <w:rPr>
          <w:rFonts w:ascii="宋体" w:hAnsi="宋体"/>
        </w:rPr>
        <w:t>。</w:t>
      </w:r>
    </w:p>
    <w:p w14:paraId="2F5821DE">
      <w:pPr>
        <w:ind w:firstLine="480"/>
      </w:pPr>
      <w:r>
        <w:rPr>
          <w:rFonts w:ascii="宋体" w:hAnsi="宋体"/>
        </w:rPr>
        <w:t>（</w:t>
      </w:r>
      <w:r>
        <w:t>3</w:t>
      </w:r>
      <w:r>
        <w:rPr>
          <w:rFonts w:ascii="宋体" w:hAnsi="宋体"/>
        </w:rPr>
        <w:t>）固废</w:t>
      </w:r>
    </w:p>
    <w:p w14:paraId="6318212E">
      <w:pPr>
        <w:ind w:firstLine="480"/>
        <w:rPr>
          <w:rFonts w:ascii="宋体" w:hAnsi="宋体"/>
        </w:rPr>
      </w:pPr>
      <w:r>
        <w:rPr>
          <w:rFonts w:ascii="宋体" w:hAnsi="宋体"/>
        </w:rPr>
        <w:t>所有固废均可得到妥善的处理处置。</w:t>
      </w:r>
    </w:p>
    <w:p w14:paraId="2FBDD241">
      <w:pPr>
        <w:pStyle w:val="4065"/>
      </w:pPr>
      <w:bookmarkStart w:id="548" w:name="_Toc108662745"/>
      <w:r>
        <w:rPr>
          <w:rFonts w:hint="eastAsia"/>
        </w:rPr>
        <w:t>8.4环境</w:t>
      </w:r>
      <w:r>
        <w:t>监测计划</w:t>
      </w:r>
      <w:bookmarkEnd w:id="548"/>
    </w:p>
    <w:p w14:paraId="2037DAB6">
      <w:pPr>
        <w:pStyle w:val="4068"/>
      </w:pPr>
      <w:bookmarkStart w:id="549" w:name="_Toc100784136"/>
      <w:bookmarkStart w:id="550" w:name="_Toc101135969"/>
      <w:bookmarkStart w:id="551" w:name="_Toc108662746"/>
      <w:r>
        <w:rPr>
          <w:rFonts w:hint="eastAsia"/>
        </w:rPr>
        <w:t>8.4.1</w:t>
      </w:r>
      <w:r>
        <w:rPr>
          <w:rFonts w:hint="eastAsia" w:ascii="黑体" w:hAnsi="黑体"/>
        </w:rPr>
        <w:t>环境</w:t>
      </w:r>
      <w:r>
        <w:rPr>
          <w:rFonts w:ascii="黑体" w:hAnsi="黑体"/>
        </w:rPr>
        <w:t>监测机构</w:t>
      </w:r>
      <w:bookmarkEnd w:id="549"/>
      <w:bookmarkEnd w:id="550"/>
      <w:bookmarkEnd w:id="551"/>
    </w:p>
    <w:p w14:paraId="19CE3C74">
      <w:pPr>
        <w:ind w:firstLine="480"/>
      </w:pPr>
      <w:r>
        <w:rPr>
          <w:rFonts w:hint="eastAsia" w:ascii="宋体" w:hAnsi="宋体"/>
        </w:rPr>
        <w:t>环境监测机构应是国家明文规定的有资质监测机构，按就近、方便的原则，应首选蚌埠市和周边地区环境监测机构，若个别监测项目实施有困难，可另行委托得到环境管理部门认可的具有监测资质的其他环境监测机构实施。对于该项目，环境监测的职责主要有：</w:t>
      </w:r>
    </w:p>
    <w:p w14:paraId="17F1FACC">
      <w:pPr>
        <w:ind w:firstLine="480"/>
      </w:pPr>
      <w:r>
        <w:rPr>
          <w:rFonts w:hint="eastAsia" w:ascii="宋体" w:hAnsi="宋体"/>
        </w:rPr>
        <w:t>（</w:t>
      </w:r>
      <w:r>
        <w:t>1</w:t>
      </w:r>
      <w:r>
        <w:rPr>
          <w:rFonts w:hint="eastAsia" w:ascii="宋体" w:hAnsi="宋体"/>
        </w:rPr>
        <w:t>）测试、收集环境状况基本资料；</w:t>
      </w:r>
    </w:p>
    <w:p w14:paraId="392F109E">
      <w:pPr>
        <w:ind w:firstLine="480"/>
      </w:pPr>
      <w:r>
        <w:rPr>
          <w:rFonts w:hint="eastAsia" w:ascii="宋体" w:hAnsi="宋体"/>
        </w:rPr>
        <w:t>（</w:t>
      </w:r>
      <w:r>
        <w:t>2</w:t>
      </w:r>
      <w:r>
        <w:rPr>
          <w:rFonts w:hint="eastAsia" w:ascii="宋体" w:hAnsi="宋体"/>
        </w:rPr>
        <w:t>）对环保设施运行状况进行监测；</w:t>
      </w:r>
    </w:p>
    <w:p w14:paraId="5D9D5331">
      <w:pPr>
        <w:ind w:firstLine="480"/>
      </w:pPr>
      <w:r>
        <w:rPr>
          <w:rFonts w:hint="eastAsia" w:ascii="宋体" w:hAnsi="宋体"/>
        </w:rPr>
        <w:t>（</w:t>
      </w:r>
      <w:r>
        <w:t>3</w:t>
      </w:r>
      <w:r>
        <w:rPr>
          <w:rFonts w:hint="eastAsia" w:ascii="宋体" w:hAnsi="宋体"/>
        </w:rPr>
        <w:t>）整理、统计分析监测结果，上报当地生态环境部门，归档管理。</w:t>
      </w:r>
    </w:p>
    <w:p w14:paraId="778D57D0">
      <w:pPr>
        <w:ind w:firstLine="480"/>
      </w:pPr>
      <w:r>
        <w:rPr>
          <w:rFonts w:hint="eastAsia" w:ascii="宋体" w:hAnsi="宋体"/>
        </w:rPr>
        <w:t>根据《排污单位自行监测技术指南</w:t>
      </w:r>
      <w:r>
        <w:rPr>
          <w:rFonts w:hint="eastAsia"/>
        </w:rPr>
        <w:t>-</w:t>
      </w:r>
      <w:r>
        <w:rPr>
          <w:rFonts w:hint="eastAsia" w:ascii="宋体" w:hAnsi="宋体"/>
        </w:rPr>
        <w:t>无机化学</w:t>
      </w:r>
      <w:r>
        <w:rPr>
          <w:rFonts w:ascii="宋体" w:hAnsi="宋体"/>
        </w:rPr>
        <w:t>工业</w:t>
      </w:r>
      <w:r>
        <w:rPr>
          <w:rFonts w:hint="eastAsia" w:ascii="宋体" w:hAnsi="宋体"/>
        </w:rPr>
        <w:t>》（</w:t>
      </w:r>
      <w:r>
        <w:rPr>
          <w:rFonts w:hint="eastAsia"/>
        </w:rPr>
        <w:t>HJ1138-2020</w:t>
      </w:r>
      <w:r>
        <w:rPr>
          <w:rFonts w:hint="eastAsia" w:ascii="宋体" w:hAnsi="宋体"/>
        </w:rPr>
        <w:t>）、《排污单位自行监测技术指南</w:t>
      </w:r>
      <w:r>
        <w:rPr>
          <w:rFonts w:hint="eastAsia"/>
        </w:rPr>
        <w:t>-</w:t>
      </w:r>
      <w:r>
        <w:rPr>
          <w:rFonts w:hint="eastAsia" w:ascii="宋体" w:hAnsi="宋体"/>
        </w:rPr>
        <w:t>总则》（</w:t>
      </w:r>
      <w:r>
        <w:rPr>
          <w:rFonts w:hint="eastAsia"/>
        </w:rPr>
        <w:t>HJ819-2017</w:t>
      </w:r>
      <w:r>
        <w:rPr>
          <w:rFonts w:hint="eastAsia" w:ascii="宋体" w:hAnsi="宋体"/>
        </w:rPr>
        <w:t>）等相关要求，本项目环境监测计划具体如下：</w:t>
      </w:r>
    </w:p>
    <w:p w14:paraId="046EBEAD">
      <w:pPr>
        <w:pStyle w:val="4068"/>
      </w:pPr>
      <w:bookmarkStart w:id="552" w:name="_Toc100784137"/>
      <w:bookmarkStart w:id="553" w:name="_Toc101135970"/>
      <w:bookmarkStart w:id="554" w:name="_Toc108662747"/>
      <w:r>
        <w:rPr>
          <w:rFonts w:hint="eastAsia"/>
        </w:rPr>
        <w:t>8.4.2</w:t>
      </w:r>
      <w:r>
        <w:rPr>
          <w:rFonts w:hint="eastAsia" w:ascii="黑体" w:hAnsi="黑体"/>
        </w:rPr>
        <w:t>污染源监测</w:t>
      </w:r>
      <w:bookmarkEnd w:id="552"/>
      <w:bookmarkEnd w:id="553"/>
      <w:bookmarkEnd w:id="554"/>
    </w:p>
    <w:p w14:paraId="34178472">
      <w:pPr>
        <w:ind w:firstLine="480"/>
        <w:rPr>
          <w:rFonts w:eastAsia="黑体"/>
        </w:rPr>
      </w:pPr>
      <w:r>
        <w:rPr>
          <w:rFonts w:hint="eastAsia" w:ascii="宋体" w:hAnsi="宋体"/>
        </w:rPr>
        <w:t>本项目废气</w:t>
      </w:r>
      <w:r>
        <w:rPr>
          <w:rFonts w:ascii="宋体" w:hAnsi="宋体"/>
        </w:rPr>
        <w:t>、废水</w:t>
      </w:r>
      <w:r>
        <w:rPr>
          <w:rFonts w:hint="eastAsia" w:ascii="宋体" w:hAnsi="宋体"/>
        </w:rPr>
        <w:t>和</w:t>
      </w:r>
      <w:r>
        <w:rPr>
          <w:rFonts w:ascii="宋体" w:hAnsi="宋体"/>
        </w:rPr>
        <w:t>雨水自行监测</w:t>
      </w:r>
      <w:r>
        <w:rPr>
          <w:rFonts w:hint="eastAsia" w:ascii="宋体" w:hAnsi="宋体"/>
        </w:rPr>
        <w:t>及记录</w:t>
      </w:r>
      <w:r>
        <w:rPr>
          <w:rFonts w:ascii="宋体" w:hAnsi="宋体"/>
        </w:rPr>
        <w:t>信息表见</w:t>
      </w:r>
      <w:r>
        <w:rPr>
          <w:rFonts w:hint="eastAsia" w:ascii="宋体" w:hAnsi="宋体"/>
        </w:rPr>
        <w:t>表</w:t>
      </w:r>
      <w:r>
        <w:rPr>
          <w:rFonts w:hint="eastAsia"/>
        </w:rPr>
        <w:t>8.4.2-1</w:t>
      </w:r>
      <w:r>
        <w:rPr>
          <w:rFonts w:hint="eastAsia" w:ascii="宋体" w:hAnsi="宋体"/>
        </w:rPr>
        <w:t>，本项目噪声</w:t>
      </w:r>
      <w:r>
        <w:rPr>
          <w:rFonts w:ascii="宋体" w:hAnsi="宋体"/>
        </w:rPr>
        <w:t>自行监测</w:t>
      </w:r>
      <w:r>
        <w:rPr>
          <w:rFonts w:hint="eastAsia" w:ascii="宋体" w:hAnsi="宋体"/>
        </w:rPr>
        <w:t>及</w:t>
      </w:r>
      <w:r>
        <w:rPr>
          <w:rFonts w:ascii="宋体" w:hAnsi="宋体"/>
        </w:rPr>
        <w:t>记录信息表见</w:t>
      </w:r>
      <w:r>
        <w:rPr>
          <w:rFonts w:hint="eastAsia" w:ascii="宋体" w:hAnsi="宋体"/>
        </w:rPr>
        <w:t>表</w:t>
      </w:r>
      <w:r>
        <w:rPr>
          <w:rFonts w:hint="eastAsia"/>
        </w:rPr>
        <w:t>8.4.2-2</w:t>
      </w:r>
      <w:r>
        <w:rPr>
          <w:rFonts w:hint="eastAsia" w:ascii="宋体" w:hAnsi="宋体"/>
        </w:rPr>
        <w:t>。</w:t>
      </w:r>
    </w:p>
    <w:p w14:paraId="0540D16D">
      <w:pPr>
        <w:ind w:firstLine="480"/>
      </w:pPr>
      <w:r>
        <w:t xml:space="preserve"> </w:t>
      </w:r>
    </w:p>
    <w:p w14:paraId="22AEE511">
      <w:pPr>
        <w:ind w:firstLine="480"/>
      </w:pPr>
      <w:r>
        <w:t xml:space="preserve"> </w:t>
      </w:r>
    </w:p>
    <w:p w14:paraId="2A9685EF">
      <w:pPr>
        <w:widowControl/>
        <w:adjustRightInd/>
        <w:snapToGrid/>
        <w:ind w:firstLine="0" w:firstLineChars="0"/>
        <w:jc w:val="left"/>
        <w:rPr>
          <w:rFonts w:eastAsia="黑体"/>
        </w:rPr>
        <w:sectPr>
          <w:pgSz w:w="11907" w:h="16840"/>
          <w:pgMar w:top="1440" w:right="1440" w:bottom="1440" w:left="1440" w:header="851" w:footer="992" w:gutter="0"/>
          <w:cols w:space="720" w:num="1"/>
          <w:docGrid w:type="lines" w:linePitch="326" w:charSpace="0"/>
        </w:sectPr>
      </w:pPr>
    </w:p>
    <w:p w14:paraId="6B9CE39C">
      <w:pPr>
        <w:pStyle w:val="278"/>
        <w:ind w:firstLine="480"/>
      </w:pPr>
      <w:r>
        <w:rPr>
          <w:rFonts w:hint="eastAsia" w:ascii="黑体" w:hAnsi="黑体"/>
        </w:rPr>
        <w:t>表</w:t>
      </w:r>
      <w:r>
        <w:rPr>
          <w:rFonts w:hint="eastAsia"/>
        </w:rPr>
        <w:t>8.4.2-1</w:t>
      </w:r>
      <w:r>
        <w:t xml:space="preserve">  </w:t>
      </w:r>
      <w:r>
        <w:rPr>
          <w:rFonts w:hint="eastAsia" w:ascii="黑体" w:hAnsi="黑体"/>
        </w:rPr>
        <w:t>项目废气</w:t>
      </w:r>
      <w:r>
        <w:rPr>
          <w:rFonts w:ascii="黑体" w:hAnsi="黑体"/>
        </w:rPr>
        <w:t>、废水</w:t>
      </w:r>
      <w:r>
        <w:rPr>
          <w:rFonts w:hint="eastAsia" w:ascii="黑体" w:hAnsi="黑体"/>
        </w:rPr>
        <w:t>和</w:t>
      </w:r>
      <w:r>
        <w:rPr>
          <w:rFonts w:ascii="黑体" w:hAnsi="黑体"/>
        </w:rPr>
        <w:t>雨水自行监测</w:t>
      </w:r>
      <w:r>
        <w:rPr>
          <w:rFonts w:hint="eastAsia" w:ascii="黑体" w:hAnsi="黑体"/>
        </w:rPr>
        <w:t>及记录</w:t>
      </w:r>
      <w:r>
        <w:rPr>
          <w:rFonts w:ascii="黑体" w:hAnsi="黑体"/>
        </w:rPr>
        <w:t>信息表</w:t>
      </w:r>
    </w:p>
    <w:p w14:paraId="6C4E3347">
      <w:pPr>
        <w:pStyle w:val="278"/>
        <w:ind w:firstLine="480"/>
        <w:rPr>
          <w:rFonts w:cs="Times New Roman"/>
        </w:rPr>
      </w:pPr>
      <w:r>
        <w:rPr>
          <w:rFonts w:hint="eastAsia" w:ascii="黑体" w:hAnsi="黑体"/>
        </w:rPr>
        <w:t>表</w:t>
      </w:r>
      <w:r>
        <w:rPr>
          <w:rFonts w:hint="eastAsia"/>
        </w:rPr>
        <w:t>8.4.2-2</w:t>
      </w:r>
      <w:r>
        <w:t xml:space="preserve">  </w:t>
      </w:r>
      <w:r>
        <w:rPr>
          <w:rFonts w:hint="eastAsia" w:ascii="黑体" w:hAnsi="黑体"/>
        </w:rPr>
        <w:t>噪声及</w:t>
      </w:r>
      <w:r>
        <w:rPr>
          <w:rFonts w:ascii="黑体" w:hAnsi="黑体"/>
        </w:rPr>
        <w:t>自行监测</w:t>
      </w:r>
      <w:r>
        <w:rPr>
          <w:rFonts w:hint="eastAsia" w:ascii="黑体" w:hAnsi="黑体"/>
        </w:rPr>
        <w:t>及</w:t>
      </w:r>
      <w:r>
        <w:rPr>
          <w:rFonts w:ascii="黑体" w:hAnsi="黑体"/>
        </w:rPr>
        <w:t>记录信息表</w:t>
      </w:r>
    </w:p>
    <w:p w14:paraId="2DD55CB1">
      <w:pPr>
        <w:widowControl/>
        <w:adjustRightInd/>
        <w:snapToGrid/>
        <w:ind w:firstLine="0" w:firstLineChars="0"/>
        <w:jc w:val="left"/>
        <w:rPr>
          <w:rFonts w:eastAsia="黑体"/>
          <w:sz w:val="28"/>
          <w:szCs w:val="28"/>
        </w:rPr>
        <w:sectPr>
          <w:pgSz w:w="16840" w:h="11907" w:orient="landscape"/>
          <w:pgMar w:top="1440" w:right="1440" w:bottom="1440" w:left="1440" w:header="851" w:footer="992" w:gutter="0"/>
          <w:cols w:space="720" w:num="1"/>
          <w:docGrid w:type="lines" w:linePitch="326" w:charSpace="0"/>
        </w:sectPr>
      </w:pPr>
    </w:p>
    <w:p w14:paraId="6D51CA57">
      <w:pPr>
        <w:pStyle w:val="4068"/>
      </w:pPr>
      <w:bookmarkStart w:id="555" w:name="_Toc100784138"/>
      <w:bookmarkStart w:id="556" w:name="_Toc108662748"/>
      <w:bookmarkStart w:id="557" w:name="_Toc101135971"/>
      <w:r>
        <w:rPr>
          <w:rFonts w:hint="eastAsia"/>
        </w:rPr>
        <w:t>8.4.3</w:t>
      </w:r>
      <w:r>
        <w:rPr>
          <w:rFonts w:hint="eastAsia" w:ascii="黑体" w:hAnsi="黑体"/>
        </w:rPr>
        <w:t>环境</w:t>
      </w:r>
      <w:r>
        <w:rPr>
          <w:rFonts w:ascii="黑体" w:hAnsi="黑体"/>
        </w:rPr>
        <w:t>质量监测</w:t>
      </w:r>
      <w:bookmarkEnd w:id="555"/>
      <w:bookmarkEnd w:id="556"/>
      <w:bookmarkEnd w:id="557"/>
    </w:p>
    <w:p w14:paraId="75CC55DA">
      <w:pPr>
        <w:ind w:firstLine="480"/>
      </w:pPr>
      <w:r>
        <w:rPr>
          <w:rFonts w:hint="eastAsia" w:ascii="宋体" w:hAnsi="宋体"/>
        </w:rPr>
        <w:t>（</w:t>
      </w:r>
      <w:r>
        <w:rPr>
          <w:rFonts w:hint="eastAsia"/>
        </w:rPr>
        <w:t>1</w:t>
      </w:r>
      <w:r>
        <w:rPr>
          <w:rFonts w:hint="eastAsia" w:ascii="宋体" w:hAnsi="宋体"/>
        </w:rPr>
        <w:t>）大气</w:t>
      </w:r>
      <w:r>
        <w:rPr>
          <w:rFonts w:ascii="宋体" w:hAnsi="宋体"/>
        </w:rPr>
        <w:t>环境</w:t>
      </w:r>
    </w:p>
    <w:p w14:paraId="3B067BEA">
      <w:pPr>
        <w:ind w:firstLine="480"/>
        <w:rPr>
          <w:kern w:val="0"/>
        </w:rPr>
      </w:pPr>
      <w:r>
        <w:rPr>
          <w:rFonts w:hint="eastAsia" w:ascii="宋体" w:hAnsi="宋体"/>
        </w:rPr>
        <w:t>在</w:t>
      </w:r>
      <w:r>
        <w:rPr>
          <w:rFonts w:ascii="宋体" w:hAnsi="宋体"/>
        </w:rPr>
        <w:t>厂区下风向</w:t>
      </w:r>
      <w:r>
        <w:rPr>
          <w:rFonts w:hint="eastAsia" w:ascii="宋体" w:hAnsi="宋体"/>
        </w:rPr>
        <w:t>丽豪家园</w:t>
      </w:r>
      <w:r>
        <w:rPr>
          <w:rFonts w:ascii="宋体" w:hAnsi="宋体"/>
        </w:rPr>
        <w:t>布设一个监测点，</w:t>
      </w:r>
      <w:r>
        <w:rPr>
          <w:rFonts w:hint="eastAsia" w:ascii="宋体" w:hAnsi="宋体"/>
        </w:rPr>
        <w:t>每年</w:t>
      </w:r>
      <w:r>
        <w:rPr>
          <w:rFonts w:ascii="宋体" w:hAnsi="宋体"/>
        </w:rPr>
        <w:t>监测</w:t>
      </w:r>
      <w:r>
        <w:rPr>
          <w:rFonts w:hint="eastAsia"/>
        </w:rPr>
        <w:t>1</w:t>
      </w:r>
      <w:r>
        <w:rPr>
          <w:rFonts w:hint="eastAsia" w:ascii="宋体" w:hAnsi="宋体"/>
        </w:rPr>
        <w:t>次</w:t>
      </w:r>
      <w:r>
        <w:rPr>
          <w:rFonts w:ascii="宋体" w:hAnsi="宋体"/>
        </w:rPr>
        <w:t>，</w:t>
      </w:r>
      <w:r>
        <w:rPr>
          <w:rFonts w:hint="eastAsia" w:ascii="宋体" w:hAnsi="宋体"/>
        </w:rPr>
        <w:t>监测</w:t>
      </w:r>
      <w:r>
        <w:rPr>
          <w:rFonts w:ascii="宋体" w:hAnsi="宋体"/>
        </w:rPr>
        <w:t>因子</w:t>
      </w:r>
      <w:r>
        <w:rPr>
          <w:rFonts w:hint="eastAsia" w:ascii="宋体" w:hAnsi="宋体"/>
        </w:rPr>
        <w:t>为</w:t>
      </w:r>
      <w:r>
        <w:rPr>
          <w:rFonts w:hint="eastAsia"/>
          <w:kern w:val="0"/>
        </w:rPr>
        <w:t>HCl</w:t>
      </w:r>
      <w:r>
        <w:rPr>
          <w:rFonts w:hint="eastAsia" w:ascii="宋体" w:hAnsi="宋体"/>
          <w:kern w:val="0"/>
        </w:rPr>
        <w:t>、</w:t>
      </w:r>
      <w:r>
        <w:t>NH</w:t>
      </w:r>
      <w:r>
        <w:rPr>
          <w:vertAlign w:val="subscript"/>
        </w:rPr>
        <w:t>3</w:t>
      </w:r>
      <w:r>
        <w:rPr>
          <w:rFonts w:ascii="宋体" w:hAnsi="宋体"/>
        </w:rPr>
        <w:t>、</w:t>
      </w:r>
      <w:r>
        <w:rPr>
          <w:rFonts w:hint="eastAsia"/>
          <w:kern w:val="0"/>
        </w:rPr>
        <w:t>非甲烷总</w:t>
      </w:r>
      <w:r>
        <w:rPr>
          <w:kern w:val="0"/>
        </w:rPr>
        <w:t>烃</w:t>
      </w:r>
      <w:r>
        <w:rPr>
          <w:rFonts w:hint="eastAsia"/>
          <w:kern w:val="0"/>
        </w:rPr>
        <w:t>、</w:t>
      </w:r>
      <w:r>
        <w:rPr>
          <w:kern w:val="0"/>
        </w:rPr>
        <w:t>甲醇</w:t>
      </w:r>
      <w:r>
        <w:rPr>
          <w:rFonts w:ascii="宋体" w:hAnsi="宋体"/>
          <w:kern w:val="0"/>
        </w:rPr>
        <w:t>。</w:t>
      </w:r>
    </w:p>
    <w:p w14:paraId="02CC9342">
      <w:pPr>
        <w:ind w:firstLine="480"/>
      </w:pPr>
      <w:r>
        <w:rPr>
          <w:rFonts w:hint="eastAsia" w:ascii="宋体" w:hAnsi="宋体"/>
        </w:rPr>
        <w:t>（</w:t>
      </w:r>
      <w:r>
        <w:t>2</w:t>
      </w:r>
      <w:r>
        <w:rPr>
          <w:rFonts w:hint="eastAsia" w:ascii="宋体" w:hAnsi="宋体"/>
        </w:rPr>
        <w:t>）土壤环境</w:t>
      </w:r>
    </w:p>
    <w:p w14:paraId="63EE88FB">
      <w:pPr>
        <w:ind w:firstLine="480"/>
      </w:pPr>
      <w:r>
        <w:rPr>
          <w:rFonts w:hint="eastAsia" w:ascii="宋体" w:hAnsi="宋体" w:cs="宋体"/>
          <w:kern w:val="0"/>
        </w:rPr>
        <w:t>①</w:t>
      </w:r>
      <w:r>
        <w:rPr>
          <w:rFonts w:cs="Times New Roman"/>
          <w:kern w:val="0"/>
        </w:rPr>
        <w:t>在厂内污水处理</w:t>
      </w:r>
      <w:r>
        <w:rPr>
          <w:rFonts w:cs="Times New Roman"/>
        </w:rPr>
        <w:t>区</w:t>
      </w:r>
      <w:r>
        <w:rPr>
          <w:rFonts w:cs="Times New Roman"/>
          <w:kern w:val="0"/>
        </w:rPr>
        <w:t>采样，</w:t>
      </w:r>
      <w:r>
        <w:rPr>
          <w:rFonts w:hint="eastAsia" w:cs="Times New Roman"/>
          <w:kern w:val="0"/>
        </w:rPr>
        <w:t>0~0.5m表层土壤，</w:t>
      </w:r>
      <w:r>
        <w:rPr>
          <w:rFonts w:cs="Times New Roman"/>
          <w:kern w:val="0"/>
        </w:rPr>
        <w:t>每</w:t>
      </w:r>
      <w:r>
        <w:rPr>
          <w:rFonts w:hint="eastAsia" w:cs="Times New Roman"/>
          <w:kern w:val="0"/>
        </w:rPr>
        <w:t>一</w:t>
      </w:r>
      <w:r>
        <w:rPr>
          <w:rFonts w:cs="Times New Roman"/>
          <w:kern w:val="0"/>
        </w:rPr>
        <w:t>年测一次，监测项目为</w:t>
      </w:r>
      <w:r>
        <w:t xml:space="preserve">《土壤环境质量 </w:t>
      </w:r>
      <w:r>
        <w:rPr>
          <w:rFonts w:hint="eastAsia"/>
        </w:rPr>
        <w:t>建设</w:t>
      </w:r>
      <w:r>
        <w:t>用地土壤污染风险管控标准》（GB36600-2018）</w:t>
      </w:r>
      <w:r>
        <w:rPr>
          <w:rFonts w:hint="eastAsia"/>
        </w:rPr>
        <w:t>（试行）基础项目45项</w:t>
      </w:r>
      <w:r>
        <w:rPr>
          <w:rFonts w:cs="Times New Roman"/>
        </w:rPr>
        <w:t>；</w:t>
      </w:r>
      <w:r>
        <w:t>4~</w:t>
      </w:r>
      <w:r>
        <w:rPr>
          <w:rFonts w:hint="eastAsia"/>
        </w:rPr>
        <w:t>6</w:t>
      </w:r>
      <w:r>
        <w:t>m</w:t>
      </w:r>
      <w:r>
        <w:rPr>
          <w:rFonts w:hint="eastAsia"/>
        </w:rPr>
        <w:t>深层</w:t>
      </w:r>
      <w:r>
        <w:t>土壤</w:t>
      </w:r>
      <w:r>
        <w:rPr>
          <w:rFonts w:hint="eastAsia" w:cs="Times New Roman"/>
          <w:kern w:val="0"/>
        </w:rPr>
        <w:t>，</w:t>
      </w:r>
      <w:r>
        <w:rPr>
          <w:rFonts w:cs="Times New Roman"/>
          <w:kern w:val="0"/>
        </w:rPr>
        <w:t>每</w:t>
      </w:r>
      <w:r>
        <w:rPr>
          <w:rFonts w:hint="eastAsia" w:cs="Times New Roman"/>
          <w:kern w:val="0"/>
        </w:rPr>
        <w:t>三</w:t>
      </w:r>
      <w:r>
        <w:rPr>
          <w:rFonts w:cs="Times New Roman"/>
          <w:kern w:val="0"/>
        </w:rPr>
        <w:t>年测一次，监测项目为</w:t>
      </w:r>
      <w:r>
        <w:t xml:space="preserve">《土壤环境质量 </w:t>
      </w:r>
      <w:r>
        <w:rPr>
          <w:rFonts w:hint="eastAsia"/>
        </w:rPr>
        <w:t>建设</w:t>
      </w:r>
      <w:r>
        <w:t>用地土壤污染风险管控标准》（GB36600-2018）</w:t>
      </w:r>
      <w:r>
        <w:rPr>
          <w:rFonts w:hint="eastAsia"/>
        </w:rPr>
        <w:t>（试行）基础项目45项</w:t>
      </w:r>
    </w:p>
    <w:p w14:paraId="7D39F6E2">
      <w:pPr>
        <w:ind w:firstLine="480"/>
        <w:rPr>
          <w:rFonts w:cs="Times New Roman"/>
          <w:kern w:val="0"/>
        </w:rPr>
      </w:pPr>
      <w:r>
        <w:rPr>
          <w:rFonts w:hint="eastAsia" w:ascii="宋体" w:hAnsi="宋体" w:cs="宋体"/>
        </w:rPr>
        <w:t>②</w:t>
      </w:r>
      <w:r>
        <w:rPr>
          <w:rFonts w:cs="Times New Roman"/>
        </w:rPr>
        <w:t>在厂区</w:t>
      </w:r>
      <w:r>
        <w:rPr>
          <w:rFonts w:hint="eastAsia" w:cs="Times New Roman"/>
        </w:rPr>
        <w:t>下风向</w:t>
      </w:r>
      <w:r>
        <w:rPr>
          <w:rFonts w:cs="Times New Roman"/>
        </w:rPr>
        <w:t>采样，每三年测一次，监测项目为</w:t>
      </w:r>
      <w:r>
        <w:t xml:space="preserve">《土壤环境质量 </w:t>
      </w:r>
      <w:r>
        <w:rPr>
          <w:rFonts w:hint="eastAsia"/>
        </w:rPr>
        <w:t>建设</w:t>
      </w:r>
      <w:r>
        <w:t>用地土壤污染风险管控标准》（GB36600-2018）</w:t>
      </w:r>
      <w:r>
        <w:rPr>
          <w:rFonts w:hint="eastAsia"/>
        </w:rPr>
        <w:t>（试行）基础项目45项</w:t>
      </w:r>
      <w:r>
        <w:rPr>
          <w:rFonts w:cs="Times New Roman"/>
          <w:kern w:val="0"/>
        </w:rPr>
        <w:t>。</w:t>
      </w:r>
    </w:p>
    <w:p w14:paraId="33C126E1">
      <w:pPr>
        <w:ind w:firstLine="480"/>
        <w:rPr>
          <w:kern w:val="0"/>
        </w:rPr>
      </w:pPr>
      <w:r>
        <w:rPr>
          <w:rFonts w:hint="eastAsia" w:ascii="宋体" w:hAnsi="宋体"/>
          <w:kern w:val="0"/>
        </w:rPr>
        <w:t>（</w:t>
      </w:r>
      <w:r>
        <w:rPr>
          <w:kern w:val="0"/>
        </w:rPr>
        <w:t>3</w:t>
      </w:r>
      <w:r>
        <w:rPr>
          <w:rFonts w:hint="eastAsia" w:ascii="宋体" w:hAnsi="宋体"/>
          <w:kern w:val="0"/>
        </w:rPr>
        <w:t>）地下水</w:t>
      </w:r>
      <w:r>
        <w:rPr>
          <w:rFonts w:ascii="宋体" w:hAnsi="宋体"/>
          <w:kern w:val="0"/>
        </w:rPr>
        <w:t>环境</w:t>
      </w:r>
    </w:p>
    <w:p w14:paraId="13FD4A00">
      <w:pPr>
        <w:ind w:firstLine="480"/>
        <w:rPr>
          <w:kern w:val="0"/>
        </w:rPr>
      </w:pPr>
      <w:r>
        <w:rPr>
          <w:rFonts w:ascii="宋体" w:hAnsi="宋体"/>
        </w:rPr>
        <w:t>按照场地所在水文地质单元的地下水流向，在</w:t>
      </w:r>
      <w:r>
        <w:rPr>
          <w:rFonts w:hint="eastAsia" w:ascii="宋体" w:hAnsi="宋体"/>
        </w:rPr>
        <w:t>污水处理区</w:t>
      </w:r>
      <w:r>
        <w:rPr>
          <w:rFonts w:ascii="宋体" w:hAnsi="宋体"/>
        </w:rPr>
        <w:t>（地下水环境影响跟踪监测点），场地上游（背景值监测点）、下游（污染扩散监测点）各布设</w:t>
      </w:r>
      <w:r>
        <w:t>1</w:t>
      </w:r>
      <w:r>
        <w:rPr>
          <w:rFonts w:ascii="宋体" w:hAnsi="宋体"/>
        </w:rPr>
        <w:t>个地下水水质监测点，每</w:t>
      </w:r>
      <w:r>
        <w:rPr>
          <w:rFonts w:hint="eastAsia" w:ascii="宋体" w:hAnsi="宋体"/>
        </w:rPr>
        <w:t>半年</w:t>
      </w:r>
      <w:r>
        <w:rPr>
          <w:rFonts w:ascii="宋体" w:hAnsi="宋体"/>
        </w:rPr>
        <w:t>监测一次，监测因子为</w:t>
      </w:r>
      <w:r>
        <w:rPr>
          <w:rFonts w:hint="eastAsia"/>
        </w:rPr>
        <w:t>pH、总硬度、溶剂性总固体、硫化物、铁、锰、铜、锌、铝、挥发酚、阴离子表面活性、耗氧量、氨氮、镍、硝酸盐、氟化物、氯化物、汞、砷、硒、镉、六价铬、铅、总大肠菌群、菌落总数</w:t>
      </w:r>
      <w:r>
        <w:rPr>
          <w:rFonts w:hint="eastAsia" w:ascii="宋体" w:hAnsi="宋体"/>
        </w:rPr>
        <w:t>。</w:t>
      </w:r>
    </w:p>
    <w:p w14:paraId="770CA7AE">
      <w:pPr>
        <w:ind w:firstLine="480"/>
      </w:pPr>
      <w:r>
        <w:rPr>
          <w:rFonts w:hint="eastAsia" w:ascii="宋体" w:hAnsi="宋体"/>
        </w:rPr>
        <w:t>（</w:t>
      </w:r>
      <w:r>
        <w:rPr>
          <w:rFonts w:hint="eastAsia"/>
        </w:rPr>
        <w:t>4</w:t>
      </w:r>
      <w:r>
        <w:rPr>
          <w:rFonts w:hint="eastAsia" w:ascii="宋体" w:hAnsi="宋体"/>
        </w:rPr>
        <w:t>）声</w:t>
      </w:r>
      <w:r>
        <w:rPr>
          <w:rFonts w:ascii="宋体" w:hAnsi="宋体"/>
        </w:rPr>
        <w:t>环境</w:t>
      </w:r>
    </w:p>
    <w:p w14:paraId="3B89BB91">
      <w:pPr>
        <w:ind w:firstLine="480"/>
      </w:pPr>
      <w:r>
        <w:rPr>
          <w:rFonts w:ascii="宋体" w:hAnsi="宋体"/>
        </w:rPr>
        <w:t>在厂界外布设</w:t>
      </w:r>
      <w:r>
        <w:t>4</w:t>
      </w:r>
      <w:r>
        <w:rPr>
          <w:rFonts w:ascii="宋体" w:hAnsi="宋体"/>
        </w:rPr>
        <w:t>个点，每年监测一天，每天昼夜各监测一次。</w:t>
      </w:r>
    </w:p>
    <w:p w14:paraId="2DED7F2C">
      <w:pPr>
        <w:ind w:firstLine="480"/>
      </w:pPr>
      <w:r>
        <w:rPr>
          <w:rFonts w:hint="eastAsia"/>
        </w:rPr>
        <w:t>扩建</w:t>
      </w:r>
      <w:r>
        <w:rPr>
          <w:rFonts w:ascii="宋体" w:hAnsi="宋体"/>
        </w:rPr>
        <w:t>项目环境质量监测</w:t>
      </w:r>
      <w:r>
        <w:rPr>
          <w:rFonts w:hint="eastAsia" w:ascii="宋体" w:hAnsi="宋体"/>
        </w:rPr>
        <w:t>情况具体</w:t>
      </w:r>
      <w:r>
        <w:rPr>
          <w:rFonts w:ascii="宋体" w:hAnsi="宋体"/>
        </w:rPr>
        <w:t>见</w:t>
      </w:r>
      <w:r>
        <w:rPr>
          <w:rFonts w:hint="eastAsia" w:ascii="宋体" w:hAnsi="宋体"/>
        </w:rPr>
        <w:t>表</w:t>
      </w:r>
      <w:r>
        <w:rPr>
          <w:rFonts w:hint="eastAsia"/>
        </w:rPr>
        <w:t>8.4.3-1</w:t>
      </w:r>
      <w:r>
        <w:rPr>
          <w:rFonts w:hint="eastAsia" w:ascii="宋体" w:hAnsi="宋体"/>
        </w:rPr>
        <w:t>。</w:t>
      </w:r>
    </w:p>
    <w:p w14:paraId="0B347821">
      <w:pPr>
        <w:pStyle w:val="278"/>
        <w:ind w:firstLine="480"/>
      </w:pPr>
      <w:r>
        <w:rPr>
          <w:rFonts w:hint="eastAsia" w:ascii="黑体" w:hAnsi="黑体"/>
        </w:rPr>
        <w:t>表</w:t>
      </w:r>
      <w:r>
        <w:rPr>
          <w:rFonts w:hint="eastAsia"/>
        </w:rPr>
        <w:t>8.4.3-1</w:t>
      </w:r>
      <w:r>
        <w:t xml:space="preserve">  </w:t>
      </w:r>
      <w:r>
        <w:rPr>
          <w:rFonts w:hint="eastAsia"/>
        </w:rPr>
        <w:t>扩建</w:t>
      </w:r>
      <w:r>
        <w:rPr>
          <w:rFonts w:hint="eastAsia" w:ascii="黑体" w:hAnsi="黑体"/>
        </w:rPr>
        <w:t>项目</w:t>
      </w:r>
      <w:r>
        <w:rPr>
          <w:rFonts w:ascii="黑体" w:hAnsi="黑体"/>
        </w:rPr>
        <w:t>环境质量监测</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161"/>
        <w:gridCol w:w="1161"/>
        <w:gridCol w:w="5370"/>
        <w:gridCol w:w="825"/>
      </w:tblGrid>
      <w:tr w14:paraId="204D6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tcBorders>
              <w:top w:val="single" w:color="auto" w:sz="12" w:space="0"/>
              <w:left w:val="nil"/>
              <w:bottom w:val="single" w:color="auto" w:sz="4" w:space="0"/>
              <w:right w:val="single" w:color="auto" w:sz="4" w:space="0"/>
            </w:tcBorders>
            <w:vAlign w:val="center"/>
          </w:tcPr>
          <w:p w14:paraId="76F145DA">
            <w:pPr>
              <w:pStyle w:val="445"/>
              <w:rPr>
                <w:rFonts w:cs="Times New Roman"/>
                <w:kern w:val="0"/>
                <w:szCs w:val="20"/>
              </w:rPr>
            </w:pPr>
            <w:r>
              <w:rPr>
                <w:rFonts w:hint="eastAsia" w:cs="Times New Roman"/>
                <w:kern w:val="0"/>
                <w:szCs w:val="20"/>
              </w:rPr>
              <w:t>环境</w:t>
            </w:r>
            <w:r>
              <w:rPr>
                <w:rFonts w:cs="Times New Roman"/>
                <w:kern w:val="0"/>
                <w:szCs w:val="20"/>
              </w:rPr>
              <w:t>要素</w:t>
            </w:r>
          </w:p>
        </w:tc>
        <w:tc>
          <w:tcPr>
            <w:tcW w:w="1256" w:type="pct"/>
            <w:gridSpan w:val="2"/>
            <w:tcBorders>
              <w:top w:val="single" w:color="auto" w:sz="12" w:space="0"/>
              <w:left w:val="single" w:color="auto" w:sz="4" w:space="0"/>
              <w:bottom w:val="single" w:color="auto" w:sz="4" w:space="0"/>
              <w:right w:val="single" w:color="auto" w:sz="4" w:space="0"/>
            </w:tcBorders>
            <w:vAlign w:val="center"/>
          </w:tcPr>
          <w:p w14:paraId="2111C16C">
            <w:pPr>
              <w:pStyle w:val="445"/>
              <w:rPr>
                <w:rFonts w:cs="Times New Roman"/>
                <w:kern w:val="0"/>
                <w:szCs w:val="20"/>
              </w:rPr>
            </w:pPr>
            <w:r>
              <w:rPr>
                <w:rFonts w:hint="eastAsia" w:cs="Times New Roman"/>
                <w:kern w:val="0"/>
                <w:szCs w:val="20"/>
              </w:rPr>
              <w:t>监测</w:t>
            </w:r>
            <w:r>
              <w:rPr>
                <w:rFonts w:cs="Times New Roman"/>
                <w:kern w:val="0"/>
                <w:szCs w:val="20"/>
              </w:rPr>
              <w:t>点位</w:t>
            </w:r>
          </w:p>
        </w:tc>
        <w:tc>
          <w:tcPr>
            <w:tcW w:w="2905" w:type="pct"/>
            <w:tcBorders>
              <w:top w:val="single" w:color="auto" w:sz="12" w:space="0"/>
              <w:left w:val="single" w:color="auto" w:sz="4" w:space="0"/>
              <w:bottom w:val="single" w:color="auto" w:sz="4" w:space="0"/>
              <w:right w:val="single" w:color="auto" w:sz="4" w:space="0"/>
            </w:tcBorders>
            <w:vAlign w:val="center"/>
          </w:tcPr>
          <w:p w14:paraId="4135FE36">
            <w:pPr>
              <w:pStyle w:val="445"/>
              <w:rPr>
                <w:rFonts w:cs="Times New Roman"/>
                <w:kern w:val="0"/>
                <w:szCs w:val="20"/>
              </w:rPr>
            </w:pPr>
            <w:r>
              <w:rPr>
                <w:rFonts w:hint="eastAsia" w:cs="Times New Roman"/>
                <w:kern w:val="0"/>
                <w:szCs w:val="20"/>
              </w:rPr>
              <w:t>监测</w:t>
            </w:r>
            <w:r>
              <w:rPr>
                <w:rFonts w:cs="Times New Roman"/>
                <w:kern w:val="0"/>
                <w:szCs w:val="20"/>
              </w:rPr>
              <w:t>项目</w:t>
            </w:r>
          </w:p>
        </w:tc>
        <w:tc>
          <w:tcPr>
            <w:tcW w:w="446" w:type="pct"/>
            <w:tcBorders>
              <w:top w:val="single" w:color="auto" w:sz="12" w:space="0"/>
              <w:left w:val="single" w:color="auto" w:sz="4" w:space="0"/>
              <w:bottom w:val="single" w:color="auto" w:sz="4" w:space="0"/>
              <w:right w:val="nil"/>
            </w:tcBorders>
            <w:vAlign w:val="center"/>
          </w:tcPr>
          <w:p w14:paraId="4F663D60">
            <w:pPr>
              <w:pStyle w:val="445"/>
              <w:rPr>
                <w:rFonts w:cs="Times New Roman"/>
                <w:kern w:val="0"/>
                <w:szCs w:val="20"/>
              </w:rPr>
            </w:pPr>
            <w:r>
              <w:rPr>
                <w:rFonts w:hint="eastAsia" w:cs="Times New Roman"/>
                <w:kern w:val="0"/>
                <w:szCs w:val="20"/>
              </w:rPr>
              <w:t>监测频次</w:t>
            </w:r>
          </w:p>
        </w:tc>
      </w:tr>
      <w:tr w14:paraId="01138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tcBorders>
              <w:top w:val="single" w:color="auto" w:sz="4" w:space="0"/>
              <w:left w:val="nil"/>
              <w:bottom w:val="single" w:color="auto" w:sz="4" w:space="0"/>
              <w:right w:val="single" w:color="auto" w:sz="4" w:space="0"/>
            </w:tcBorders>
            <w:vAlign w:val="center"/>
          </w:tcPr>
          <w:p w14:paraId="550D2619">
            <w:pPr>
              <w:pStyle w:val="445"/>
              <w:rPr>
                <w:rFonts w:cs="Times New Roman"/>
                <w:kern w:val="0"/>
                <w:szCs w:val="20"/>
              </w:rPr>
            </w:pPr>
            <w:r>
              <w:rPr>
                <w:rFonts w:hint="eastAsia" w:cs="Times New Roman"/>
                <w:kern w:val="0"/>
                <w:szCs w:val="20"/>
              </w:rPr>
              <w:t>大气</w:t>
            </w:r>
          </w:p>
        </w:tc>
        <w:tc>
          <w:tcPr>
            <w:tcW w:w="1256" w:type="pct"/>
            <w:gridSpan w:val="2"/>
            <w:tcBorders>
              <w:top w:val="single" w:color="auto" w:sz="4" w:space="0"/>
              <w:left w:val="single" w:color="auto" w:sz="4" w:space="0"/>
              <w:bottom w:val="single" w:color="auto" w:sz="4" w:space="0"/>
              <w:right w:val="single" w:color="auto" w:sz="4" w:space="0"/>
            </w:tcBorders>
            <w:vAlign w:val="center"/>
          </w:tcPr>
          <w:p w14:paraId="747B78E7">
            <w:pPr>
              <w:pStyle w:val="445"/>
              <w:rPr>
                <w:rFonts w:cs="Times New Roman"/>
                <w:kern w:val="0"/>
                <w:szCs w:val="20"/>
              </w:rPr>
            </w:pPr>
            <w:r>
              <w:rPr>
                <w:rFonts w:hint="eastAsia" w:cs="Times New Roman"/>
                <w:kern w:val="0"/>
                <w:szCs w:val="20"/>
              </w:rPr>
              <w:t>丽豪家园</w:t>
            </w:r>
          </w:p>
        </w:tc>
        <w:tc>
          <w:tcPr>
            <w:tcW w:w="2905" w:type="pct"/>
            <w:tcBorders>
              <w:top w:val="single" w:color="auto" w:sz="4" w:space="0"/>
              <w:left w:val="single" w:color="auto" w:sz="4" w:space="0"/>
              <w:bottom w:val="single" w:color="auto" w:sz="4" w:space="0"/>
              <w:right w:val="single" w:color="auto" w:sz="4" w:space="0"/>
            </w:tcBorders>
            <w:vAlign w:val="center"/>
          </w:tcPr>
          <w:p w14:paraId="3FDA1E5E">
            <w:pPr>
              <w:pStyle w:val="445"/>
              <w:rPr>
                <w:rFonts w:cs="Times New Roman"/>
                <w:kern w:val="0"/>
                <w:szCs w:val="20"/>
              </w:rPr>
            </w:pPr>
            <w:r>
              <w:rPr>
                <w:rFonts w:hint="eastAsia" w:cs="Times New Roman"/>
                <w:kern w:val="0"/>
                <w:szCs w:val="20"/>
              </w:rPr>
              <w:t>HCl、</w:t>
            </w:r>
            <w:r>
              <w:rPr>
                <w:rFonts w:cs="Times New Roman"/>
                <w:kern w:val="0"/>
                <w:szCs w:val="20"/>
              </w:rPr>
              <w:t>NH</w:t>
            </w:r>
            <w:r>
              <w:rPr>
                <w:rFonts w:cs="Times New Roman"/>
                <w:kern w:val="0"/>
                <w:szCs w:val="20"/>
                <w:vertAlign w:val="subscript"/>
              </w:rPr>
              <w:t>3</w:t>
            </w:r>
            <w:r>
              <w:rPr>
                <w:rFonts w:hint="eastAsia" w:cs="Times New Roman"/>
                <w:kern w:val="0"/>
                <w:szCs w:val="20"/>
              </w:rPr>
              <w:t>、VOCs</w:t>
            </w:r>
          </w:p>
        </w:tc>
        <w:tc>
          <w:tcPr>
            <w:tcW w:w="446" w:type="pct"/>
            <w:tcBorders>
              <w:top w:val="single" w:color="auto" w:sz="4" w:space="0"/>
              <w:left w:val="single" w:color="auto" w:sz="4" w:space="0"/>
              <w:bottom w:val="single" w:color="auto" w:sz="4" w:space="0"/>
              <w:right w:val="nil"/>
            </w:tcBorders>
            <w:vAlign w:val="center"/>
          </w:tcPr>
          <w:p w14:paraId="2DCBDE15">
            <w:pPr>
              <w:pStyle w:val="445"/>
              <w:rPr>
                <w:rFonts w:cs="Times New Roman"/>
                <w:kern w:val="0"/>
                <w:szCs w:val="20"/>
              </w:rPr>
            </w:pPr>
            <w:r>
              <w:rPr>
                <w:rFonts w:hint="eastAsia" w:cs="Times New Roman"/>
                <w:kern w:val="0"/>
                <w:szCs w:val="20"/>
              </w:rPr>
              <w:t>1次/年</w:t>
            </w:r>
          </w:p>
        </w:tc>
      </w:tr>
      <w:tr w14:paraId="5FDFD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93" w:type="pct"/>
            <w:vMerge w:val="restart"/>
            <w:tcBorders>
              <w:top w:val="single" w:color="auto" w:sz="4" w:space="0"/>
              <w:left w:val="nil"/>
              <w:right w:val="single" w:color="auto" w:sz="4" w:space="0"/>
            </w:tcBorders>
            <w:vAlign w:val="center"/>
          </w:tcPr>
          <w:p w14:paraId="665305B5">
            <w:pPr>
              <w:pStyle w:val="445"/>
              <w:rPr>
                <w:rFonts w:cs="Times New Roman"/>
                <w:kern w:val="0"/>
                <w:szCs w:val="20"/>
              </w:rPr>
            </w:pPr>
            <w:r>
              <w:rPr>
                <w:rFonts w:hint="eastAsia" w:cs="Times New Roman"/>
                <w:kern w:val="0"/>
                <w:szCs w:val="20"/>
              </w:rPr>
              <w:t>土壤</w:t>
            </w:r>
          </w:p>
        </w:tc>
        <w:tc>
          <w:tcPr>
            <w:tcW w:w="628" w:type="pct"/>
            <w:vMerge w:val="restart"/>
            <w:tcBorders>
              <w:top w:val="single" w:color="auto" w:sz="4" w:space="0"/>
              <w:left w:val="single" w:color="auto" w:sz="4" w:space="0"/>
              <w:right w:val="single" w:color="auto" w:sz="4" w:space="0"/>
            </w:tcBorders>
            <w:vAlign w:val="center"/>
          </w:tcPr>
          <w:p w14:paraId="354FD9D9">
            <w:pPr>
              <w:pStyle w:val="445"/>
              <w:rPr>
                <w:rFonts w:cs="Times New Roman"/>
                <w:kern w:val="0"/>
                <w:szCs w:val="20"/>
              </w:rPr>
            </w:pPr>
            <w:r>
              <w:rPr>
                <w:rFonts w:hint="eastAsia" w:cs="Times New Roman"/>
                <w:kern w:val="0"/>
                <w:szCs w:val="20"/>
              </w:rPr>
              <w:t>厂内污水处理站</w:t>
            </w:r>
          </w:p>
        </w:tc>
        <w:tc>
          <w:tcPr>
            <w:tcW w:w="628" w:type="pct"/>
            <w:tcBorders>
              <w:top w:val="single" w:color="auto" w:sz="4" w:space="0"/>
              <w:left w:val="single" w:color="auto" w:sz="4" w:space="0"/>
              <w:bottom w:val="single" w:color="auto" w:sz="4" w:space="0"/>
              <w:right w:val="single" w:color="auto" w:sz="4" w:space="0"/>
            </w:tcBorders>
            <w:vAlign w:val="center"/>
          </w:tcPr>
          <w:p w14:paraId="1A0EE772">
            <w:pPr>
              <w:pStyle w:val="445"/>
              <w:rPr>
                <w:rFonts w:cs="Times New Roman"/>
                <w:kern w:val="0"/>
                <w:szCs w:val="20"/>
              </w:rPr>
            </w:pPr>
            <w:r>
              <w:rPr>
                <w:rFonts w:hint="eastAsia" w:cs="Times New Roman"/>
                <w:kern w:val="0"/>
                <w:szCs w:val="20"/>
              </w:rPr>
              <w:t>0</w:t>
            </w:r>
            <w:r>
              <w:rPr>
                <w:rFonts w:cs="Times New Roman"/>
                <w:kern w:val="0"/>
                <w:szCs w:val="20"/>
              </w:rPr>
              <w:t>~0.5m</w:t>
            </w:r>
            <w:r>
              <w:rPr>
                <w:rFonts w:hint="eastAsia" w:cs="Times New Roman"/>
                <w:kern w:val="0"/>
                <w:szCs w:val="20"/>
              </w:rPr>
              <w:t>表层土壤</w:t>
            </w:r>
          </w:p>
        </w:tc>
        <w:tc>
          <w:tcPr>
            <w:tcW w:w="2905" w:type="pct"/>
            <w:vMerge w:val="restart"/>
            <w:tcBorders>
              <w:top w:val="single" w:color="auto" w:sz="4" w:space="0"/>
              <w:left w:val="single" w:color="auto" w:sz="4" w:space="0"/>
              <w:right w:val="single" w:color="auto" w:sz="4" w:space="0"/>
            </w:tcBorders>
            <w:vAlign w:val="center"/>
          </w:tcPr>
          <w:p w14:paraId="48D1B490">
            <w:pPr>
              <w:pStyle w:val="445"/>
              <w:rPr>
                <w:rFonts w:cs="Times New Roman"/>
                <w:kern w:val="0"/>
                <w:szCs w:val="20"/>
              </w:rPr>
            </w:pPr>
            <w:r>
              <w:rPr>
                <w:rFonts w:cs="Times New Roman"/>
                <w:kern w:val="0"/>
                <w:szCs w:val="20"/>
              </w:rPr>
              <w:t xml:space="preserve">《土壤环境质量 </w:t>
            </w:r>
            <w:r>
              <w:rPr>
                <w:rFonts w:hint="eastAsia" w:cs="Times New Roman"/>
                <w:kern w:val="0"/>
                <w:szCs w:val="20"/>
              </w:rPr>
              <w:t>建设</w:t>
            </w:r>
            <w:r>
              <w:rPr>
                <w:rFonts w:cs="Times New Roman"/>
                <w:kern w:val="0"/>
                <w:szCs w:val="20"/>
              </w:rPr>
              <w:t>用地土壤污染风险管控标准》（GB36600-2018）</w:t>
            </w:r>
            <w:r>
              <w:rPr>
                <w:rFonts w:hint="eastAsia" w:cs="Times New Roman"/>
                <w:kern w:val="0"/>
                <w:szCs w:val="20"/>
              </w:rPr>
              <w:t>（试行）基础项目45项</w:t>
            </w:r>
          </w:p>
        </w:tc>
        <w:tc>
          <w:tcPr>
            <w:tcW w:w="446" w:type="pct"/>
            <w:tcBorders>
              <w:top w:val="single" w:color="auto" w:sz="4" w:space="0"/>
              <w:left w:val="single" w:color="auto" w:sz="4" w:space="0"/>
              <w:right w:val="nil"/>
            </w:tcBorders>
            <w:vAlign w:val="center"/>
          </w:tcPr>
          <w:p w14:paraId="3008E256">
            <w:pPr>
              <w:pStyle w:val="445"/>
              <w:rPr>
                <w:rFonts w:cs="Times New Roman"/>
                <w:kern w:val="0"/>
                <w:szCs w:val="20"/>
              </w:rPr>
            </w:pPr>
            <w:r>
              <w:rPr>
                <w:rFonts w:hint="eastAsia" w:cs="Times New Roman"/>
                <w:kern w:val="0"/>
                <w:szCs w:val="20"/>
              </w:rPr>
              <w:t>1次/年</w:t>
            </w:r>
          </w:p>
        </w:tc>
      </w:tr>
      <w:tr w14:paraId="4552C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93" w:type="pct"/>
            <w:vMerge w:val="continue"/>
            <w:tcBorders>
              <w:top w:val="single" w:color="auto" w:sz="4" w:space="0"/>
              <w:left w:val="nil"/>
              <w:right w:val="single" w:color="auto" w:sz="4" w:space="0"/>
            </w:tcBorders>
            <w:vAlign w:val="center"/>
          </w:tcPr>
          <w:p w14:paraId="53082F18">
            <w:pPr>
              <w:pStyle w:val="445"/>
              <w:rPr>
                <w:rFonts w:cs="Times New Roman"/>
                <w:kern w:val="0"/>
                <w:szCs w:val="20"/>
              </w:rPr>
            </w:pPr>
          </w:p>
        </w:tc>
        <w:tc>
          <w:tcPr>
            <w:tcW w:w="628" w:type="pct"/>
            <w:vMerge w:val="continue"/>
            <w:tcBorders>
              <w:left w:val="single" w:color="auto" w:sz="4" w:space="0"/>
              <w:bottom w:val="single" w:color="auto" w:sz="4" w:space="0"/>
              <w:right w:val="single" w:color="auto" w:sz="4" w:space="0"/>
            </w:tcBorders>
            <w:vAlign w:val="center"/>
          </w:tcPr>
          <w:p w14:paraId="0E567BBE">
            <w:pPr>
              <w:pStyle w:val="445"/>
              <w:rPr>
                <w:rFonts w:cs="Times New Roman"/>
                <w:kern w:val="0"/>
                <w:szCs w:val="20"/>
              </w:rPr>
            </w:pPr>
          </w:p>
        </w:tc>
        <w:tc>
          <w:tcPr>
            <w:tcW w:w="628" w:type="pct"/>
            <w:tcBorders>
              <w:top w:val="single" w:color="auto" w:sz="4" w:space="0"/>
              <w:left w:val="single" w:color="auto" w:sz="4" w:space="0"/>
              <w:bottom w:val="single" w:color="auto" w:sz="4" w:space="0"/>
              <w:right w:val="single" w:color="auto" w:sz="4" w:space="0"/>
            </w:tcBorders>
            <w:vAlign w:val="center"/>
          </w:tcPr>
          <w:p w14:paraId="7C0396DD">
            <w:pPr>
              <w:pStyle w:val="445"/>
              <w:rPr>
                <w:rFonts w:cs="Times New Roman"/>
                <w:kern w:val="0"/>
                <w:szCs w:val="20"/>
              </w:rPr>
            </w:pPr>
            <w:r>
              <w:rPr>
                <w:rFonts w:cs="Times New Roman"/>
                <w:kern w:val="0"/>
                <w:szCs w:val="20"/>
              </w:rPr>
              <w:t>4~</w:t>
            </w:r>
            <w:r>
              <w:rPr>
                <w:rFonts w:hint="eastAsia" w:cs="Times New Roman"/>
                <w:kern w:val="0"/>
                <w:szCs w:val="20"/>
              </w:rPr>
              <w:t>6</w:t>
            </w:r>
            <w:r>
              <w:rPr>
                <w:rFonts w:cs="Times New Roman"/>
                <w:kern w:val="0"/>
                <w:szCs w:val="20"/>
              </w:rPr>
              <w:t>m</w:t>
            </w:r>
            <w:r>
              <w:rPr>
                <w:rFonts w:hint="eastAsia" w:cs="Times New Roman"/>
                <w:kern w:val="0"/>
                <w:szCs w:val="20"/>
              </w:rPr>
              <w:t>深层</w:t>
            </w:r>
            <w:r>
              <w:rPr>
                <w:rFonts w:cs="Times New Roman"/>
                <w:kern w:val="0"/>
                <w:szCs w:val="20"/>
              </w:rPr>
              <w:t>土壤</w:t>
            </w:r>
          </w:p>
        </w:tc>
        <w:tc>
          <w:tcPr>
            <w:tcW w:w="2905" w:type="pct"/>
            <w:vMerge w:val="continue"/>
            <w:tcBorders>
              <w:top w:val="single" w:color="auto" w:sz="4" w:space="0"/>
              <w:left w:val="single" w:color="auto" w:sz="4" w:space="0"/>
              <w:right w:val="single" w:color="auto" w:sz="4" w:space="0"/>
            </w:tcBorders>
            <w:vAlign w:val="center"/>
          </w:tcPr>
          <w:p w14:paraId="30BF92C0">
            <w:pPr>
              <w:pStyle w:val="445"/>
              <w:rPr>
                <w:rFonts w:cs="Times New Roman"/>
                <w:kern w:val="0"/>
                <w:szCs w:val="20"/>
              </w:rPr>
            </w:pPr>
          </w:p>
        </w:tc>
        <w:tc>
          <w:tcPr>
            <w:tcW w:w="446" w:type="pct"/>
            <w:vMerge w:val="restart"/>
            <w:tcBorders>
              <w:top w:val="single" w:color="auto" w:sz="4" w:space="0"/>
              <w:left w:val="single" w:color="auto" w:sz="4" w:space="0"/>
              <w:right w:val="nil"/>
            </w:tcBorders>
            <w:vAlign w:val="center"/>
          </w:tcPr>
          <w:p w14:paraId="406D89F8">
            <w:pPr>
              <w:pStyle w:val="445"/>
              <w:rPr>
                <w:rFonts w:cs="Times New Roman"/>
                <w:kern w:val="0"/>
                <w:szCs w:val="20"/>
              </w:rPr>
            </w:pPr>
            <w:r>
              <w:rPr>
                <w:rFonts w:cs="Times New Roman"/>
                <w:kern w:val="0"/>
                <w:szCs w:val="20"/>
              </w:rPr>
              <w:t>1</w:t>
            </w:r>
            <w:r>
              <w:rPr>
                <w:rFonts w:hint="eastAsia" w:cs="Times New Roman"/>
                <w:kern w:val="0"/>
                <w:szCs w:val="20"/>
              </w:rPr>
              <w:t>次/</w:t>
            </w:r>
            <w:r>
              <w:rPr>
                <w:rFonts w:cs="Times New Roman"/>
                <w:kern w:val="0"/>
                <w:szCs w:val="20"/>
              </w:rPr>
              <w:t>3</w:t>
            </w:r>
            <w:r>
              <w:rPr>
                <w:rFonts w:hint="eastAsia" w:cs="Times New Roman"/>
                <w:kern w:val="0"/>
                <w:szCs w:val="20"/>
              </w:rPr>
              <w:t>年</w:t>
            </w:r>
          </w:p>
        </w:tc>
      </w:tr>
      <w:tr w14:paraId="66BF5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93" w:type="pct"/>
            <w:vMerge w:val="continue"/>
            <w:tcBorders>
              <w:left w:val="nil"/>
              <w:bottom w:val="single" w:color="auto" w:sz="4" w:space="0"/>
              <w:right w:val="single" w:color="auto" w:sz="4" w:space="0"/>
            </w:tcBorders>
            <w:vAlign w:val="center"/>
          </w:tcPr>
          <w:p w14:paraId="38636D4D">
            <w:pPr>
              <w:pStyle w:val="445"/>
              <w:rPr>
                <w:rFonts w:cs="Times New Roman"/>
                <w:kern w:val="0"/>
                <w:szCs w:val="20"/>
              </w:rPr>
            </w:pPr>
          </w:p>
        </w:tc>
        <w:tc>
          <w:tcPr>
            <w:tcW w:w="1256" w:type="pct"/>
            <w:gridSpan w:val="2"/>
            <w:tcBorders>
              <w:top w:val="single" w:color="auto" w:sz="4" w:space="0"/>
              <w:left w:val="single" w:color="auto" w:sz="4" w:space="0"/>
              <w:bottom w:val="single" w:color="auto" w:sz="4" w:space="0"/>
              <w:right w:val="single" w:color="auto" w:sz="4" w:space="0"/>
            </w:tcBorders>
            <w:vAlign w:val="center"/>
          </w:tcPr>
          <w:p w14:paraId="5964F2EB">
            <w:pPr>
              <w:pStyle w:val="445"/>
              <w:rPr>
                <w:rFonts w:cs="Times New Roman"/>
                <w:kern w:val="0"/>
                <w:szCs w:val="20"/>
              </w:rPr>
            </w:pPr>
            <w:r>
              <w:rPr>
                <w:rFonts w:hint="eastAsia" w:cs="Times New Roman"/>
                <w:kern w:val="0"/>
                <w:szCs w:val="20"/>
              </w:rPr>
              <w:t>厂区</w:t>
            </w:r>
            <w:r>
              <w:rPr>
                <w:rFonts w:cs="Times New Roman"/>
                <w:kern w:val="0"/>
                <w:szCs w:val="20"/>
              </w:rPr>
              <w:t>下风向</w:t>
            </w:r>
          </w:p>
        </w:tc>
        <w:tc>
          <w:tcPr>
            <w:tcW w:w="2905" w:type="pct"/>
            <w:vMerge w:val="continue"/>
            <w:tcBorders>
              <w:left w:val="single" w:color="auto" w:sz="4" w:space="0"/>
              <w:bottom w:val="single" w:color="auto" w:sz="4" w:space="0"/>
              <w:right w:val="single" w:color="auto" w:sz="4" w:space="0"/>
            </w:tcBorders>
            <w:vAlign w:val="center"/>
          </w:tcPr>
          <w:p w14:paraId="10C81A4F">
            <w:pPr>
              <w:pStyle w:val="445"/>
              <w:rPr>
                <w:rFonts w:cs="Times New Roman"/>
                <w:kern w:val="0"/>
                <w:szCs w:val="20"/>
              </w:rPr>
            </w:pPr>
          </w:p>
        </w:tc>
        <w:tc>
          <w:tcPr>
            <w:tcW w:w="446" w:type="pct"/>
            <w:vMerge w:val="continue"/>
            <w:tcBorders>
              <w:left w:val="single" w:color="auto" w:sz="4" w:space="0"/>
              <w:bottom w:val="single" w:color="auto" w:sz="4" w:space="0"/>
              <w:right w:val="nil"/>
            </w:tcBorders>
            <w:vAlign w:val="center"/>
          </w:tcPr>
          <w:p w14:paraId="67A6029E">
            <w:pPr>
              <w:pStyle w:val="445"/>
              <w:rPr>
                <w:rFonts w:cs="Times New Roman"/>
                <w:kern w:val="0"/>
                <w:szCs w:val="20"/>
              </w:rPr>
            </w:pPr>
          </w:p>
        </w:tc>
      </w:tr>
      <w:tr w14:paraId="52C34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tcBorders>
              <w:top w:val="single" w:color="auto" w:sz="4" w:space="0"/>
              <w:left w:val="nil"/>
              <w:bottom w:val="single" w:color="auto" w:sz="4" w:space="0"/>
              <w:right w:val="single" w:color="auto" w:sz="4" w:space="0"/>
            </w:tcBorders>
            <w:vAlign w:val="center"/>
          </w:tcPr>
          <w:p w14:paraId="1986A4C2">
            <w:pPr>
              <w:pStyle w:val="445"/>
              <w:rPr>
                <w:rFonts w:cs="Times New Roman"/>
                <w:kern w:val="0"/>
                <w:szCs w:val="20"/>
              </w:rPr>
            </w:pPr>
            <w:r>
              <w:rPr>
                <w:rFonts w:hint="eastAsia" w:cs="Times New Roman"/>
                <w:kern w:val="0"/>
                <w:szCs w:val="20"/>
              </w:rPr>
              <w:t>地下水</w:t>
            </w:r>
          </w:p>
        </w:tc>
        <w:tc>
          <w:tcPr>
            <w:tcW w:w="1256" w:type="pct"/>
            <w:gridSpan w:val="2"/>
            <w:tcBorders>
              <w:top w:val="single" w:color="auto" w:sz="4" w:space="0"/>
              <w:left w:val="single" w:color="auto" w:sz="4" w:space="0"/>
              <w:bottom w:val="single" w:color="auto" w:sz="4" w:space="0"/>
              <w:right w:val="single" w:color="auto" w:sz="4" w:space="0"/>
            </w:tcBorders>
            <w:vAlign w:val="center"/>
          </w:tcPr>
          <w:p w14:paraId="5D6B7560">
            <w:pPr>
              <w:pStyle w:val="445"/>
              <w:rPr>
                <w:rFonts w:cs="Times New Roman"/>
                <w:kern w:val="0"/>
                <w:szCs w:val="20"/>
              </w:rPr>
            </w:pPr>
            <w:r>
              <w:rPr>
                <w:rFonts w:hint="eastAsia" w:cs="Times New Roman"/>
                <w:kern w:val="0"/>
                <w:szCs w:val="20"/>
              </w:rPr>
              <w:t>在污水处理区，场地上游（背景值监测点）、下游（污染扩散监测点）各布设1个地下水水质监测点</w:t>
            </w:r>
          </w:p>
        </w:tc>
        <w:tc>
          <w:tcPr>
            <w:tcW w:w="2905" w:type="pct"/>
            <w:tcBorders>
              <w:top w:val="single" w:color="auto" w:sz="4" w:space="0"/>
              <w:left w:val="single" w:color="auto" w:sz="4" w:space="0"/>
              <w:bottom w:val="single" w:color="auto" w:sz="4" w:space="0"/>
              <w:right w:val="single" w:color="auto" w:sz="4" w:space="0"/>
            </w:tcBorders>
            <w:vAlign w:val="center"/>
          </w:tcPr>
          <w:p w14:paraId="7E82C7FA">
            <w:pPr>
              <w:pStyle w:val="445"/>
              <w:rPr>
                <w:rFonts w:cs="Times New Roman"/>
                <w:kern w:val="0"/>
                <w:szCs w:val="20"/>
              </w:rPr>
            </w:pPr>
            <w:r>
              <w:rPr>
                <w:rFonts w:hint="eastAsia" w:cs="Times New Roman"/>
                <w:kern w:val="0"/>
                <w:szCs w:val="20"/>
              </w:rPr>
              <w:t>pH、总硬度、溶剂性总固体、硫化物、铁、锰、铜、锌、铝、挥发酚、阴离子表面活性、耗氧量、氨氮、硫化物、镍、硝酸盐、氟化物、氯化物、汞、砷、硒、镉、六价铬、铅、总大肠菌群、菌落总数</w:t>
            </w:r>
          </w:p>
        </w:tc>
        <w:tc>
          <w:tcPr>
            <w:tcW w:w="446" w:type="pct"/>
            <w:tcBorders>
              <w:top w:val="single" w:color="auto" w:sz="4" w:space="0"/>
              <w:left w:val="single" w:color="auto" w:sz="4" w:space="0"/>
              <w:bottom w:val="single" w:color="auto" w:sz="4" w:space="0"/>
              <w:right w:val="nil"/>
            </w:tcBorders>
            <w:vAlign w:val="center"/>
          </w:tcPr>
          <w:p w14:paraId="7A3EB56E">
            <w:pPr>
              <w:pStyle w:val="445"/>
              <w:rPr>
                <w:rFonts w:cs="Times New Roman"/>
                <w:kern w:val="0"/>
                <w:szCs w:val="20"/>
              </w:rPr>
            </w:pPr>
            <w:r>
              <w:rPr>
                <w:rFonts w:hint="eastAsia" w:cs="Times New Roman"/>
                <w:kern w:val="0"/>
                <w:szCs w:val="20"/>
              </w:rPr>
              <w:t>1次/半年</w:t>
            </w:r>
          </w:p>
        </w:tc>
      </w:tr>
      <w:tr w14:paraId="381FDB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tcBorders>
              <w:top w:val="single" w:color="auto" w:sz="4" w:space="0"/>
              <w:left w:val="nil"/>
              <w:bottom w:val="single" w:color="auto" w:sz="12" w:space="0"/>
              <w:right w:val="single" w:color="auto" w:sz="4" w:space="0"/>
            </w:tcBorders>
            <w:vAlign w:val="center"/>
          </w:tcPr>
          <w:p w14:paraId="28A0B3E7">
            <w:pPr>
              <w:pStyle w:val="445"/>
              <w:rPr>
                <w:rFonts w:cs="Times New Roman"/>
                <w:kern w:val="0"/>
                <w:szCs w:val="20"/>
              </w:rPr>
            </w:pPr>
            <w:r>
              <w:rPr>
                <w:rFonts w:hint="eastAsia" w:cs="Times New Roman"/>
                <w:kern w:val="0"/>
                <w:szCs w:val="20"/>
              </w:rPr>
              <w:t>噪声</w:t>
            </w:r>
          </w:p>
        </w:tc>
        <w:tc>
          <w:tcPr>
            <w:tcW w:w="1256" w:type="pct"/>
            <w:gridSpan w:val="2"/>
            <w:tcBorders>
              <w:top w:val="single" w:color="auto" w:sz="4" w:space="0"/>
              <w:left w:val="single" w:color="auto" w:sz="4" w:space="0"/>
              <w:bottom w:val="single" w:color="auto" w:sz="12" w:space="0"/>
              <w:right w:val="single" w:color="auto" w:sz="4" w:space="0"/>
            </w:tcBorders>
            <w:vAlign w:val="center"/>
          </w:tcPr>
          <w:p w14:paraId="38225D6A">
            <w:pPr>
              <w:pStyle w:val="445"/>
              <w:rPr>
                <w:rFonts w:cs="Times New Roman"/>
                <w:kern w:val="0"/>
                <w:szCs w:val="20"/>
              </w:rPr>
            </w:pPr>
            <w:r>
              <w:rPr>
                <w:rFonts w:hint="eastAsia" w:cs="Times New Roman"/>
                <w:kern w:val="0"/>
                <w:szCs w:val="20"/>
              </w:rPr>
              <w:t>厂界四周</w:t>
            </w:r>
          </w:p>
        </w:tc>
        <w:tc>
          <w:tcPr>
            <w:tcW w:w="2905" w:type="pct"/>
            <w:tcBorders>
              <w:top w:val="single" w:color="auto" w:sz="4" w:space="0"/>
              <w:left w:val="single" w:color="auto" w:sz="4" w:space="0"/>
              <w:bottom w:val="single" w:color="auto" w:sz="12" w:space="0"/>
              <w:right w:val="single" w:color="auto" w:sz="4" w:space="0"/>
            </w:tcBorders>
            <w:vAlign w:val="center"/>
          </w:tcPr>
          <w:p w14:paraId="196683B3">
            <w:pPr>
              <w:pStyle w:val="445"/>
              <w:rPr>
                <w:rFonts w:cs="Times New Roman"/>
                <w:kern w:val="0"/>
                <w:szCs w:val="20"/>
              </w:rPr>
            </w:pPr>
            <w:r>
              <w:rPr>
                <w:rFonts w:cs="Times New Roman"/>
                <w:kern w:val="0"/>
                <w:szCs w:val="20"/>
              </w:rPr>
              <w:t>连续等效A声级</w:t>
            </w:r>
          </w:p>
        </w:tc>
        <w:tc>
          <w:tcPr>
            <w:tcW w:w="446" w:type="pct"/>
            <w:tcBorders>
              <w:top w:val="single" w:color="auto" w:sz="4" w:space="0"/>
              <w:left w:val="single" w:color="auto" w:sz="4" w:space="0"/>
              <w:bottom w:val="single" w:color="auto" w:sz="12" w:space="0"/>
              <w:right w:val="nil"/>
            </w:tcBorders>
            <w:vAlign w:val="center"/>
          </w:tcPr>
          <w:p w14:paraId="0CD73BDA">
            <w:pPr>
              <w:pStyle w:val="445"/>
              <w:rPr>
                <w:rFonts w:cs="Times New Roman"/>
                <w:kern w:val="0"/>
                <w:szCs w:val="20"/>
              </w:rPr>
            </w:pPr>
            <w:r>
              <w:rPr>
                <w:rFonts w:hint="eastAsia" w:cs="Times New Roman"/>
                <w:kern w:val="0"/>
                <w:szCs w:val="20"/>
              </w:rPr>
              <w:t>1次/年</w:t>
            </w:r>
          </w:p>
        </w:tc>
      </w:tr>
    </w:tbl>
    <w:p w14:paraId="1CC3A64D">
      <w:pPr>
        <w:pStyle w:val="4065"/>
      </w:pPr>
      <w:bookmarkStart w:id="558" w:name="_Toc108662749"/>
      <w:r>
        <w:rPr>
          <w:rFonts w:hint="eastAsia"/>
        </w:rPr>
        <w:t>8.5排污口规范</w:t>
      </w:r>
      <w:r>
        <w:rPr>
          <w:rFonts w:hint="eastAsia"/>
          <w:kern w:val="0"/>
        </w:rPr>
        <w:t>化</w:t>
      </w:r>
      <w:r>
        <w:rPr>
          <w:kern w:val="0"/>
        </w:rPr>
        <w:t>设置</w:t>
      </w:r>
      <w:bookmarkEnd w:id="558"/>
    </w:p>
    <w:p w14:paraId="18CF9D95">
      <w:pPr>
        <w:ind w:firstLine="472"/>
        <w:rPr>
          <w:spacing w:val="2"/>
          <w:kern w:val="0"/>
        </w:rPr>
      </w:pPr>
      <w:r>
        <w:rPr>
          <w:rFonts w:ascii="宋体" w:hAnsi="宋体"/>
          <w:spacing w:val="-2"/>
          <w:kern w:val="0"/>
        </w:rPr>
        <w:t>为了公众监督管理，按照国家环境保护总局制定的《〈环境保护图形标志〉实施细则</w:t>
      </w:r>
      <w:r>
        <w:rPr>
          <w:spacing w:val="-2"/>
          <w:kern w:val="0"/>
        </w:rPr>
        <w:t>(</w:t>
      </w:r>
      <w:r>
        <w:rPr>
          <w:rFonts w:ascii="宋体" w:hAnsi="宋体"/>
          <w:spacing w:val="-2"/>
          <w:kern w:val="0"/>
        </w:rPr>
        <w:t>试行</w:t>
      </w:r>
      <w:r>
        <w:rPr>
          <w:spacing w:val="-2"/>
          <w:kern w:val="0"/>
        </w:rPr>
        <w:t>)</w:t>
      </w:r>
      <w:r>
        <w:rPr>
          <w:rFonts w:ascii="宋体" w:hAnsi="宋体"/>
          <w:spacing w:val="-2"/>
          <w:kern w:val="0"/>
        </w:rPr>
        <w:t>》</w:t>
      </w:r>
      <w:r>
        <w:rPr>
          <w:rFonts w:hint="eastAsia" w:ascii="宋体" w:hAnsi="宋体"/>
          <w:spacing w:val="-2"/>
          <w:kern w:val="0"/>
        </w:rPr>
        <w:t>（</w:t>
      </w:r>
      <w:r>
        <w:rPr>
          <w:rFonts w:ascii="宋体" w:hAnsi="宋体"/>
          <w:spacing w:val="-2"/>
          <w:kern w:val="0"/>
        </w:rPr>
        <w:t>环监</w:t>
      </w:r>
      <w:r>
        <w:rPr>
          <w:spacing w:val="-2"/>
          <w:kern w:val="0"/>
        </w:rPr>
        <w:t>[1996]463</w:t>
      </w:r>
      <w:r>
        <w:rPr>
          <w:rFonts w:ascii="宋体" w:hAnsi="宋体"/>
          <w:spacing w:val="-2"/>
          <w:kern w:val="0"/>
        </w:rPr>
        <w:t>号</w:t>
      </w:r>
      <w:r>
        <w:rPr>
          <w:rFonts w:hint="eastAsia" w:ascii="宋体" w:hAnsi="宋体"/>
          <w:spacing w:val="-2"/>
          <w:kern w:val="0"/>
        </w:rPr>
        <w:t>）</w:t>
      </w:r>
      <w:r>
        <w:rPr>
          <w:rFonts w:ascii="宋体" w:hAnsi="宋体"/>
          <w:spacing w:val="-2"/>
          <w:kern w:val="0"/>
        </w:rPr>
        <w:t>的规定，在各排污口设立相应的环境保护图形标志牌。</w:t>
      </w:r>
    </w:p>
    <w:p w14:paraId="6FDD2D26">
      <w:pPr>
        <w:ind w:firstLine="488"/>
        <w:rPr>
          <w:spacing w:val="2"/>
          <w:kern w:val="0"/>
        </w:rPr>
      </w:pPr>
      <w:r>
        <w:rPr>
          <w:rFonts w:ascii="宋体" w:hAnsi="宋体"/>
          <w:spacing w:val="2"/>
          <w:kern w:val="0"/>
        </w:rPr>
        <w:t>（</w:t>
      </w:r>
      <w:r>
        <w:rPr>
          <w:spacing w:val="2"/>
          <w:kern w:val="0"/>
        </w:rPr>
        <w:t>1</w:t>
      </w:r>
      <w:r>
        <w:rPr>
          <w:rFonts w:ascii="宋体" w:hAnsi="宋体"/>
          <w:spacing w:val="2"/>
          <w:kern w:val="0"/>
        </w:rPr>
        <w:t>）废水排放口</w:t>
      </w:r>
    </w:p>
    <w:p w14:paraId="131A0AB6">
      <w:pPr>
        <w:ind w:firstLine="488"/>
        <w:rPr>
          <w:spacing w:val="2"/>
          <w:kern w:val="0"/>
        </w:rPr>
      </w:pPr>
      <w:r>
        <w:rPr>
          <w:rFonts w:ascii="宋体" w:hAnsi="宋体"/>
          <w:spacing w:val="2"/>
          <w:kern w:val="0"/>
        </w:rPr>
        <w:t>废水排放口必须设置便于采样的采样井，并在附近树立废水排口图形标志牌。</w:t>
      </w:r>
    </w:p>
    <w:p w14:paraId="69199DFD">
      <w:pPr>
        <w:ind w:firstLine="488"/>
        <w:rPr>
          <w:spacing w:val="2"/>
          <w:kern w:val="0"/>
        </w:rPr>
      </w:pPr>
      <w:r>
        <w:rPr>
          <w:rFonts w:ascii="宋体" w:hAnsi="宋体"/>
          <w:spacing w:val="2"/>
          <w:kern w:val="0"/>
        </w:rPr>
        <w:t>（</w:t>
      </w:r>
      <w:r>
        <w:rPr>
          <w:spacing w:val="2"/>
          <w:kern w:val="0"/>
        </w:rPr>
        <w:t>2</w:t>
      </w:r>
      <w:r>
        <w:rPr>
          <w:rFonts w:ascii="宋体" w:hAnsi="宋体"/>
          <w:spacing w:val="2"/>
          <w:kern w:val="0"/>
        </w:rPr>
        <w:t>）废气排气筒</w:t>
      </w:r>
    </w:p>
    <w:p w14:paraId="16CEE3C1">
      <w:pPr>
        <w:ind w:firstLine="488"/>
        <w:rPr>
          <w:spacing w:val="2"/>
          <w:kern w:val="0"/>
        </w:rPr>
      </w:pPr>
      <w:r>
        <w:rPr>
          <w:rFonts w:ascii="宋体" w:hAnsi="宋体"/>
          <w:spacing w:val="2"/>
          <w:kern w:val="0"/>
        </w:rPr>
        <w:t>厂区的废气排口应安装废气排放标志牌。</w:t>
      </w:r>
    </w:p>
    <w:p w14:paraId="1A042BB9">
      <w:pPr>
        <w:ind w:firstLine="488"/>
        <w:rPr>
          <w:spacing w:val="2"/>
          <w:kern w:val="0"/>
        </w:rPr>
      </w:pPr>
      <w:r>
        <w:rPr>
          <w:rFonts w:ascii="宋体" w:hAnsi="宋体"/>
          <w:spacing w:val="2"/>
          <w:kern w:val="0"/>
        </w:rPr>
        <w:t>废气排放口必须符合规定的高度和按照《污染源监测技术规范》便于采样、监测的要求，设置直径不大于</w:t>
      </w:r>
      <w:r>
        <w:rPr>
          <w:spacing w:val="2"/>
          <w:kern w:val="0"/>
        </w:rPr>
        <w:t>75mm</w:t>
      </w:r>
      <w:r>
        <w:rPr>
          <w:rFonts w:ascii="宋体" w:hAnsi="宋体"/>
          <w:spacing w:val="2"/>
          <w:kern w:val="0"/>
        </w:rPr>
        <w:t>的采样口。如无法满足要求的，其采样口与环境监测部门共同确认。</w:t>
      </w:r>
    </w:p>
    <w:p w14:paraId="2D0E0C0F">
      <w:pPr>
        <w:ind w:firstLine="488"/>
        <w:rPr>
          <w:spacing w:val="2"/>
          <w:kern w:val="0"/>
        </w:rPr>
      </w:pPr>
      <w:r>
        <w:rPr>
          <w:rFonts w:ascii="宋体" w:hAnsi="宋体"/>
          <w:spacing w:val="2"/>
          <w:kern w:val="0"/>
        </w:rPr>
        <w:t>（</w:t>
      </w:r>
      <w:r>
        <w:rPr>
          <w:spacing w:val="2"/>
          <w:kern w:val="0"/>
        </w:rPr>
        <w:t>3</w:t>
      </w:r>
      <w:r>
        <w:rPr>
          <w:rFonts w:ascii="宋体" w:hAnsi="宋体"/>
          <w:spacing w:val="2"/>
          <w:kern w:val="0"/>
        </w:rPr>
        <w:t>）固体废物贮存（处置）场所</w:t>
      </w:r>
    </w:p>
    <w:p w14:paraId="0EF1699A">
      <w:pPr>
        <w:ind w:firstLine="488"/>
        <w:rPr>
          <w:spacing w:val="2"/>
          <w:kern w:val="0"/>
        </w:rPr>
      </w:pPr>
      <w:r>
        <w:rPr>
          <w:rFonts w:hint="eastAsia" w:ascii="宋体" w:hAnsi="宋体"/>
          <w:spacing w:val="2"/>
          <w:kern w:val="0"/>
        </w:rPr>
        <w:t>①</w:t>
      </w:r>
      <w:r>
        <w:rPr>
          <w:rFonts w:ascii="宋体" w:hAnsi="宋体"/>
          <w:spacing w:val="2"/>
          <w:kern w:val="0"/>
        </w:rPr>
        <w:t>固体废物贮存（处置）场所应在醒目处设置标志牌，固废环境保护图形标志牌按照《环境保护图形标志》（</w:t>
      </w:r>
      <w:r>
        <w:rPr>
          <w:spacing w:val="2"/>
          <w:kern w:val="0"/>
        </w:rPr>
        <w:t>GB15562.1-1995</w:t>
      </w:r>
      <w:r>
        <w:rPr>
          <w:rFonts w:ascii="宋体" w:hAnsi="宋体"/>
          <w:spacing w:val="2"/>
          <w:kern w:val="0"/>
        </w:rPr>
        <w:t>）规定制定。</w:t>
      </w:r>
    </w:p>
    <w:p w14:paraId="5E6CFDBA">
      <w:pPr>
        <w:ind w:firstLine="488"/>
        <w:rPr>
          <w:spacing w:val="2"/>
          <w:kern w:val="0"/>
        </w:rPr>
      </w:pPr>
      <w:r>
        <w:rPr>
          <w:rFonts w:hint="eastAsia" w:ascii="宋体" w:hAnsi="宋体"/>
          <w:spacing w:val="2"/>
          <w:kern w:val="0"/>
        </w:rPr>
        <w:t>②</w:t>
      </w:r>
      <w:r>
        <w:rPr>
          <w:rFonts w:hint="eastAsia" w:ascii="宋体" w:hAnsi="宋体"/>
        </w:rPr>
        <w:t>一般固体废渣（如</w:t>
      </w:r>
      <w:r>
        <w:rPr>
          <w:rFonts w:ascii="宋体" w:hAnsi="宋体"/>
        </w:rPr>
        <w:t>生活垃圾</w:t>
      </w:r>
      <w:r>
        <w:rPr>
          <w:rFonts w:hint="eastAsia" w:ascii="宋体" w:hAnsi="宋体"/>
        </w:rPr>
        <w:t>、</w:t>
      </w:r>
      <w:r>
        <w:rPr>
          <w:rFonts w:ascii="宋体" w:hAnsi="宋体"/>
        </w:rPr>
        <w:t>硅粉等</w:t>
      </w:r>
      <w:r>
        <w:rPr>
          <w:rFonts w:hint="eastAsia" w:ascii="宋体" w:hAnsi="宋体"/>
        </w:rPr>
        <w:t>）应设置专用堆放场地，并采取二次扬尘措施，有毒有害固体废物必须设置专用堆放场地，有防扬散、防流失、防渗漏等措施。有毒有害固体废物等危险废物，应设置专用堆放场地，并必须有防扬散，防流失，防渗漏等防治措施</w:t>
      </w:r>
      <w:r>
        <w:rPr>
          <w:rFonts w:ascii="宋体" w:hAnsi="宋体"/>
          <w:spacing w:val="2"/>
          <w:kern w:val="0"/>
        </w:rPr>
        <w:t>。</w:t>
      </w:r>
    </w:p>
    <w:p w14:paraId="164EBF09">
      <w:pPr>
        <w:ind w:firstLine="488"/>
        <w:rPr>
          <w:spacing w:val="2"/>
          <w:kern w:val="0"/>
        </w:rPr>
      </w:pPr>
      <w:r>
        <w:rPr>
          <w:rFonts w:ascii="宋体" w:hAnsi="宋体"/>
          <w:spacing w:val="2"/>
          <w:kern w:val="0"/>
        </w:rPr>
        <w:t>（</w:t>
      </w:r>
      <w:r>
        <w:rPr>
          <w:spacing w:val="2"/>
          <w:kern w:val="0"/>
        </w:rPr>
        <w:t>3</w:t>
      </w:r>
      <w:r>
        <w:rPr>
          <w:rFonts w:ascii="宋体" w:hAnsi="宋体"/>
          <w:spacing w:val="2"/>
          <w:kern w:val="0"/>
        </w:rPr>
        <w:t>）设置标志牌要求</w:t>
      </w:r>
    </w:p>
    <w:p w14:paraId="66037669">
      <w:pPr>
        <w:ind w:firstLine="488"/>
        <w:rPr>
          <w:spacing w:val="2"/>
          <w:kern w:val="0"/>
        </w:rPr>
      </w:pPr>
      <w:r>
        <w:rPr>
          <w:rFonts w:ascii="宋体" w:hAnsi="宋体"/>
          <w:spacing w:val="2"/>
          <w:kern w:val="0"/>
        </w:rPr>
        <w:t>排放一般污染物口（源），设置提示式标志牌，排放有毒有害等污染物的排污口设置警告标志牌。</w:t>
      </w:r>
    </w:p>
    <w:p w14:paraId="2DE2988D">
      <w:pPr>
        <w:ind w:firstLine="488"/>
        <w:rPr>
          <w:spacing w:val="2"/>
          <w:kern w:val="0"/>
        </w:rPr>
      </w:pPr>
      <w:r>
        <w:rPr>
          <w:rFonts w:ascii="宋体" w:hAnsi="宋体"/>
          <w:spacing w:val="2"/>
          <w:kern w:val="0"/>
        </w:rPr>
        <w:t>标志牌设置位置在排污口</w:t>
      </w:r>
      <w:r>
        <w:rPr>
          <w:rFonts w:hint="eastAsia" w:ascii="宋体" w:hAnsi="宋体"/>
          <w:spacing w:val="2"/>
          <w:kern w:val="0"/>
        </w:rPr>
        <w:t>（采样口）</w:t>
      </w:r>
      <w:r>
        <w:rPr>
          <w:rFonts w:ascii="宋体" w:hAnsi="宋体"/>
          <w:spacing w:val="2"/>
          <w:kern w:val="0"/>
        </w:rPr>
        <w:t>附近且醒目处，高度为标志牌上端离地面</w:t>
      </w:r>
      <w:r>
        <w:rPr>
          <w:spacing w:val="2"/>
          <w:kern w:val="0"/>
        </w:rPr>
        <w:t xml:space="preserve">2 </w:t>
      </w:r>
      <w:r>
        <w:rPr>
          <w:rFonts w:ascii="宋体" w:hAnsi="宋体"/>
          <w:spacing w:val="2"/>
          <w:kern w:val="0"/>
        </w:rPr>
        <w:t>米。排污口附近</w:t>
      </w:r>
      <w:r>
        <w:rPr>
          <w:spacing w:val="2"/>
          <w:kern w:val="0"/>
        </w:rPr>
        <w:t>1</w:t>
      </w:r>
      <w:r>
        <w:rPr>
          <w:rFonts w:ascii="宋体" w:hAnsi="宋体"/>
          <w:spacing w:val="2"/>
          <w:kern w:val="0"/>
        </w:rPr>
        <w:t>米范围内有建筑物的，设平面式标志牌，无建筑物设立式标志牌。规范化排污口的有关设置（如图形标志牌、计量装置、监控装置等）属环保设施，排污单位必须负责日常的维护保养，任何单位和个人不得擅自拆除。</w:t>
      </w:r>
    </w:p>
    <w:p w14:paraId="69031D1B">
      <w:pPr>
        <w:ind w:firstLine="472"/>
        <w:rPr>
          <w:spacing w:val="-2"/>
          <w:kern w:val="0"/>
        </w:rPr>
      </w:pPr>
      <w:r>
        <w:rPr>
          <w:rFonts w:ascii="宋体" w:hAnsi="宋体"/>
          <w:spacing w:val="-2"/>
          <w:kern w:val="0"/>
        </w:rPr>
        <w:t>具体要求见表</w:t>
      </w:r>
      <w:r>
        <w:rPr>
          <w:spacing w:val="-2"/>
          <w:kern w:val="0"/>
        </w:rPr>
        <w:t>8.5-1</w:t>
      </w:r>
      <w:r>
        <w:rPr>
          <w:rFonts w:ascii="宋体" w:hAnsi="宋体"/>
          <w:spacing w:val="-2"/>
          <w:kern w:val="0"/>
        </w:rPr>
        <w:t>。</w:t>
      </w:r>
    </w:p>
    <w:p w14:paraId="37808461">
      <w:pPr>
        <w:pStyle w:val="278"/>
        <w:ind w:firstLine="480"/>
      </w:pPr>
      <w:r>
        <w:rPr>
          <w:rFonts w:ascii="黑体" w:hAnsi="黑体"/>
        </w:rPr>
        <w:t>表</w:t>
      </w:r>
      <w:r>
        <w:t xml:space="preserve">8.5-1  </w:t>
      </w:r>
      <w:r>
        <w:rPr>
          <w:rFonts w:ascii="黑体" w:hAnsi="黑体"/>
        </w:rPr>
        <w:t>各排污口环境保护图形标志</w:t>
      </w:r>
    </w:p>
    <w:tbl>
      <w:tblPr>
        <w:tblStyle w:val="6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936"/>
        <w:gridCol w:w="1896"/>
        <w:gridCol w:w="1632"/>
        <w:gridCol w:w="3124"/>
      </w:tblGrid>
      <w:tr w14:paraId="7F941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12" w:space="0"/>
              <w:left w:val="nil"/>
              <w:bottom w:val="single" w:color="auto" w:sz="4" w:space="0"/>
              <w:right w:val="single" w:color="auto" w:sz="4" w:space="0"/>
            </w:tcBorders>
            <w:vAlign w:val="center"/>
          </w:tcPr>
          <w:p w14:paraId="58634279">
            <w:pPr>
              <w:pStyle w:val="445"/>
              <w:rPr>
                <w:rFonts w:cs="Times New Roman"/>
                <w:kern w:val="0"/>
                <w:szCs w:val="20"/>
              </w:rPr>
            </w:pPr>
            <w:r>
              <w:rPr>
                <w:rFonts w:hint="eastAsia" w:ascii="宋体" w:hAnsi="宋体" w:cs="Times New Roman"/>
                <w:kern w:val="0"/>
                <w:szCs w:val="20"/>
              </w:rPr>
              <w:t>序号</w:t>
            </w:r>
          </w:p>
        </w:tc>
        <w:tc>
          <w:tcPr>
            <w:tcW w:w="934" w:type="pct"/>
            <w:tcBorders>
              <w:top w:val="single" w:color="auto" w:sz="12" w:space="0"/>
              <w:left w:val="single" w:color="auto" w:sz="4" w:space="0"/>
              <w:bottom w:val="single" w:color="auto" w:sz="4" w:space="0"/>
              <w:right w:val="single" w:color="auto" w:sz="4" w:space="0"/>
            </w:tcBorders>
            <w:vAlign w:val="center"/>
          </w:tcPr>
          <w:p w14:paraId="72F9EF80">
            <w:pPr>
              <w:pStyle w:val="445"/>
              <w:rPr>
                <w:rFonts w:cs="Times New Roman"/>
                <w:kern w:val="0"/>
                <w:szCs w:val="20"/>
              </w:rPr>
            </w:pPr>
            <w:r>
              <w:rPr>
                <w:rFonts w:hint="eastAsia" w:ascii="宋体" w:hAnsi="宋体" w:cs="Times New Roman"/>
                <w:kern w:val="0"/>
                <w:szCs w:val="20"/>
              </w:rPr>
              <w:t>提示图形符号</w:t>
            </w:r>
          </w:p>
        </w:tc>
        <w:tc>
          <w:tcPr>
            <w:tcW w:w="997" w:type="pct"/>
            <w:tcBorders>
              <w:top w:val="single" w:color="auto" w:sz="12" w:space="0"/>
              <w:left w:val="single" w:color="auto" w:sz="4" w:space="0"/>
              <w:bottom w:val="single" w:color="auto" w:sz="4" w:space="0"/>
              <w:right w:val="single" w:color="auto" w:sz="4" w:space="0"/>
            </w:tcBorders>
            <w:vAlign w:val="center"/>
          </w:tcPr>
          <w:p w14:paraId="7965EFA4">
            <w:pPr>
              <w:pStyle w:val="445"/>
              <w:rPr>
                <w:rFonts w:cs="Times New Roman"/>
                <w:kern w:val="0"/>
                <w:szCs w:val="20"/>
              </w:rPr>
            </w:pPr>
            <w:r>
              <w:rPr>
                <w:rFonts w:hint="eastAsia" w:ascii="宋体" w:hAnsi="宋体" w:cs="Times New Roman"/>
                <w:kern w:val="0"/>
                <w:szCs w:val="20"/>
              </w:rPr>
              <w:t>警告图形符号</w:t>
            </w:r>
          </w:p>
        </w:tc>
        <w:tc>
          <w:tcPr>
            <w:tcW w:w="930" w:type="pct"/>
            <w:tcBorders>
              <w:top w:val="single" w:color="auto" w:sz="12" w:space="0"/>
              <w:left w:val="single" w:color="auto" w:sz="4" w:space="0"/>
              <w:bottom w:val="single" w:color="auto" w:sz="4" w:space="0"/>
              <w:right w:val="single" w:color="auto" w:sz="4" w:space="0"/>
            </w:tcBorders>
            <w:vAlign w:val="center"/>
          </w:tcPr>
          <w:p w14:paraId="56A76761">
            <w:pPr>
              <w:pStyle w:val="445"/>
              <w:rPr>
                <w:rFonts w:cs="Times New Roman"/>
                <w:kern w:val="0"/>
                <w:szCs w:val="20"/>
              </w:rPr>
            </w:pPr>
            <w:r>
              <w:rPr>
                <w:rFonts w:hint="eastAsia" w:ascii="宋体" w:hAnsi="宋体" w:cs="Times New Roman"/>
                <w:kern w:val="0"/>
                <w:szCs w:val="20"/>
              </w:rPr>
              <w:t>名称</w:t>
            </w:r>
          </w:p>
        </w:tc>
        <w:tc>
          <w:tcPr>
            <w:tcW w:w="1737" w:type="pct"/>
            <w:tcBorders>
              <w:top w:val="single" w:color="auto" w:sz="12" w:space="0"/>
              <w:left w:val="single" w:color="auto" w:sz="4" w:space="0"/>
              <w:bottom w:val="single" w:color="auto" w:sz="4" w:space="0"/>
              <w:right w:val="nil"/>
            </w:tcBorders>
            <w:vAlign w:val="center"/>
          </w:tcPr>
          <w:p w14:paraId="6F35D75E">
            <w:pPr>
              <w:pStyle w:val="445"/>
              <w:rPr>
                <w:rFonts w:cs="Times New Roman"/>
                <w:kern w:val="0"/>
                <w:szCs w:val="20"/>
              </w:rPr>
            </w:pPr>
            <w:r>
              <w:rPr>
                <w:rFonts w:hint="eastAsia" w:ascii="宋体" w:hAnsi="宋体" w:cs="Times New Roman"/>
                <w:kern w:val="0"/>
                <w:szCs w:val="20"/>
              </w:rPr>
              <w:t>功能</w:t>
            </w:r>
          </w:p>
        </w:tc>
      </w:tr>
      <w:tr w14:paraId="368A1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4" w:space="0"/>
              <w:right w:val="single" w:color="auto" w:sz="4" w:space="0"/>
            </w:tcBorders>
            <w:vAlign w:val="center"/>
          </w:tcPr>
          <w:p w14:paraId="6F3F692B">
            <w:pPr>
              <w:ind w:firstLine="0" w:firstLineChars="0"/>
              <w:jc w:val="center"/>
              <w:rPr>
                <w:rFonts w:cs="Times New Roman"/>
                <w:kern w:val="18"/>
                <w:sz w:val="21"/>
                <w:szCs w:val="21"/>
              </w:rPr>
            </w:pPr>
            <w:r>
              <w:rPr>
                <w:rFonts w:cs="Times New Roman"/>
                <w:kern w:val="18"/>
                <w:sz w:val="21"/>
                <w:szCs w:val="21"/>
              </w:rPr>
              <w:t>1</w:t>
            </w:r>
          </w:p>
        </w:tc>
        <w:tc>
          <w:tcPr>
            <w:tcW w:w="934" w:type="pct"/>
            <w:tcBorders>
              <w:top w:val="single" w:color="auto" w:sz="4" w:space="0"/>
              <w:left w:val="single" w:color="auto" w:sz="4" w:space="0"/>
              <w:bottom w:val="single" w:color="auto" w:sz="4" w:space="0"/>
              <w:right w:val="single" w:color="auto" w:sz="4" w:space="0"/>
            </w:tcBorders>
            <w:vAlign w:val="center"/>
          </w:tcPr>
          <w:p w14:paraId="6EB27AF3">
            <w:pPr>
              <w:ind w:firstLine="0" w:firstLineChars="0"/>
              <w:jc w:val="center"/>
              <w:rPr>
                <w:rFonts w:cs="Times New Roman"/>
                <w:kern w:val="18"/>
                <w:sz w:val="21"/>
                <w:szCs w:val="21"/>
              </w:rPr>
            </w:pPr>
            <w:r>
              <w:rPr>
                <w:rFonts w:cs="Times New Roman"/>
                <w:kern w:val="18"/>
                <w:sz w:val="21"/>
                <w:szCs w:val="21"/>
              </w:rPr>
              <w:drawing>
                <wp:inline distT="0" distB="0" distL="0" distR="0">
                  <wp:extent cx="744855" cy="753745"/>
                  <wp:effectExtent l="0" t="0" r="0" b="8255"/>
                  <wp:docPr id="147" name="图片 147" descr="C:\Users\ADMINI~1\AppData\Local\Temp\ksohtml\wps6FCF.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C:\Users\ADMINI~1\AppData\Local\Temp\ksohtml\wps6FCF.tmp.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a:xfrm>
                            <a:off x="0" y="0"/>
                            <a:ext cx="744855" cy="753745"/>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4" w:space="0"/>
              <w:right w:val="single" w:color="auto" w:sz="4" w:space="0"/>
            </w:tcBorders>
            <w:vAlign w:val="center"/>
          </w:tcPr>
          <w:p w14:paraId="50239E82">
            <w:pPr>
              <w:ind w:firstLine="0" w:firstLineChars="0"/>
              <w:jc w:val="center"/>
              <w:rPr>
                <w:rFonts w:cs="Times New Roman"/>
                <w:kern w:val="18"/>
                <w:sz w:val="21"/>
                <w:szCs w:val="21"/>
              </w:rPr>
            </w:pPr>
            <w:r>
              <w:rPr>
                <w:rFonts w:cs="Times New Roman"/>
                <w:kern w:val="18"/>
                <w:sz w:val="21"/>
                <w:szCs w:val="21"/>
              </w:rPr>
              <w:drawing>
                <wp:inline distT="0" distB="0" distL="0" distR="0">
                  <wp:extent cx="787400" cy="804545"/>
                  <wp:effectExtent l="0" t="0" r="0" b="0"/>
                  <wp:docPr id="146" name="图片 146" descr="C:\Users\ADMINI~1\AppData\Local\Temp\ksohtml\wps6FD0.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C:\Users\ADMINI~1\AppData\Local\Temp\ksohtml\wps6FD0.tmp.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787400" cy="80454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4" w:space="0"/>
              <w:right w:val="single" w:color="auto" w:sz="4" w:space="0"/>
            </w:tcBorders>
            <w:vAlign w:val="center"/>
          </w:tcPr>
          <w:p w14:paraId="0184C02A">
            <w:pPr>
              <w:pStyle w:val="445"/>
              <w:rPr>
                <w:rFonts w:cs="Times New Roman"/>
                <w:kern w:val="0"/>
                <w:szCs w:val="18"/>
              </w:rPr>
            </w:pPr>
            <w:r>
              <w:rPr>
                <w:rFonts w:hint="eastAsia" w:ascii="宋体" w:hAnsi="宋体" w:cs="Times New Roman"/>
                <w:kern w:val="0"/>
                <w:szCs w:val="20"/>
              </w:rPr>
              <w:t>废水排放口</w:t>
            </w:r>
          </w:p>
        </w:tc>
        <w:tc>
          <w:tcPr>
            <w:tcW w:w="1737" w:type="pct"/>
            <w:tcBorders>
              <w:top w:val="single" w:color="auto" w:sz="4" w:space="0"/>
              <w:left w:val="single" w:color="auto" w:sz="4" w:space="0"/>
              <w:bottom w:val="single" w:color="auto" w:sz="4" w:space="0"/>
              <w:right w:val="nil"/>
            </w:tcBorders>
            <w:vAlign w:val="center"/>
          </w:tcPr>
          <w:p w14:paraId="5CCCC40D">
            <w:pPr>
              <w:pStyle w:val="445"/>
              <w:rPr>
                <w:rFonts w:cs="Times New Roman"/>
                <w:kern w:val="0"/>
                <w:szCs w:val="20"/>
              </w:rPr>
            </w:pPr>
            <w:r>
              <w:rPr>
                <w:rFonts w:hint="eastAsia" w:ascii="宋体" w:hAnsi="宋体" w:cs="Times New Roman"/>
                <w:kern w:val="0"/>
                <w:szCs w:val="20"/>
              </w:rPr>
              <w:t>表示废水排放</w:t>
            </w:r>
          </w:p>
        </w:tc>
      </w:tr>
      <w:tr w14:paraId="360EC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4" w:space="0"/>
              <w:right w:val="single" w:color="auto" w:sz="4" w:space="0"/>
            </w:tcBorders>
            <w:vAlign w:val="center"/>
          </w:tcPr>
          <w:p w14:paraId="6B32842F">
            <w:pPr>
              <w:ind w:firstLine="0" w:firstLineChars="0"/>
              <w:jc w:val="center"/>
              <w:rPr>
                <w:rFonts w:cs="Times New Roman"/>
                <w:kern w:val="18"/>
                <w:sz w:val="21"/>
                <w:szCs w:val="21"/>
              </w:rPr>
            </w:pPr>
            <w:r>
              <w:rPr>
                <w:rFonts w:cs="Times New Roman"/>
                <w:kern w:val="18"/>
                <w:sz w:val="21"/>
                <w:szCs w:val="21"/>
              </w:rPr>
              <w:t>2</w:t>
            </w:r>
          </w:p>
        </w:tc>
        <w:tc>
          <w:tcPr>
            <w:tcW w:w="934" w:type="pct"/>
            <w:tcBorders>
              <w:top w:val="single" w:color="auto" w:sz="4" w:space="0"/>
              <w:left w:val="single" w:color="auto" w:sz="4" w:space="0"/>
              <w:bottom w:val="single" w:color="auto" w:sz="4" w:space="0"/>
              <w:right w:val="single" w:color="auto" w:sz="4" w:space="0"/>
            </w:tcBorders>
            <w:vAlign w:val="center"/>
          </w:tcPr>
          <w:p w14:paraId="0C05DFE3">
            <w:pPr>
              <w:ind w:firstLine="0" w:firstLineChars="0"/>
              <w:jc w:val="center"/>
              <w:rPr>
                <w:rFonts w:cs="Times New Roman"/>
                <w:kern w:val="18"/>
                <w:sz w:val="21"/>
                <w:szCs w:val="21"/>
              </w:rPr>
            </w:pPr>
            <w:r>
              <w:rPr>
                <w:rFonts w:cs="Times New Roman"/>
                <w:kern w:val="0"/>
                <w:szCs w:val="20"/>
              </w:rPr>
              <w:drawing>
                <wp:inline distT="0" distB="0" distL="0" distR="0">
                  <wp:extent cx="931545" cy="821055"/>
                  <wp:effectExtent l="0" t="0" r="1905" b="0"/>
                  <wp:docPr id="145" name="图片 145" descr="C:\Users\ADMINI~1\AppData\Local\Temp\ksohtml\wps6FD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C:\Users\ADMINI~1\AppData\Local\Temp\ksohtml\wps6FD1.tmp.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931545" cy="821055"/>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4" w:space="0"/>
              <w:right w:val="single" w:color="auto" w:sz="4" w:space="0"/>
            </w:tcBorders>
            <w:vAlign w:val="center"/>
          </w:tcPr>
          <w:p w14:paraId="586AAEA7">
            <w:pPr>
              <w:ind w:firstLine="0" w:firstLineChars="0"/>
              <w:jc w:val="center"/>
              <w:rPr>
                <w:rFonts w:cs="Times New Roman"/>
                <w:kern w:val="18"/>
                <w:sz w:val="21"/>
                <w:szCs w:val="21"/>
              </w:rPr>
            </w:pPr>
            <w:r>
              <w:rPr>
                <w:rFonts w:cs="Times New Roman"/>
                <w:kern w:val="0"/>
                <w:szCs w:val="20"/>
              </w:rPr>
              <w:drawing>
                <wp:inline distT="0" distB="0" distL="0" distR="0">
                  <wp:extent cx="1007745" cy="998855"/>
                  <wp:effectExtent l="0" t="0" r="1905" b="0"/>
                  <wp:docPr id="144" name="图片 144" descr="C:\Users\ADMINI~1\AppData\Local\Temp\ksohtml\wps6FD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C:\Users\ADMINI~1\AppData\Local\Temp\ksohtml\wps6FD2.tmp.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1007745" cy="99885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4" w:space="0"/>
              <w:right w:val="single" w:color="auto" w:sz="4" w:space="0"/>
            </w:tcBorders>
            <w:vAlign w:val="center"/>
          </w:tcPr>
          <w:p w14:paraId="0FBB166F">
            <w:pPr>
              <w:pStyle w:val="445"/>
              <w:rPr>
                <w:rFonts w:cs="Times New Roman"/>
                <w:kern w:val="0"/>
                <w:szCs w:val="18"/>
              </w:rPr>
            </w:pPr>
            <w:r>
              <w:rPr>
                <w:rFonts w:hint="eastAsia" w:ascii="宋体" w:hAnsi="宋体" w:cs="Times New Roman"/>
                <w:kern w:val="0"/>
                <w:szCs w:val="20"/>
              </w:rPr>
              <w:t>雨水排放口</w:t>
            </w:r>
          </w:p>
        </w:tc>
        <w:tc>
          <w:tcPr>
            <w:tcW w:w="1737" w:type="pct"/>
            <w:tcBorders>
              <w:top w:val="single" w:color="auto" w:sz="4" w:space="0"/>
              <w:left w:val="single" w:color="auto" w:sz="4" w:space="0"/>
              <w:bottom w:val="single" w:color="auto" w:sz="4" w:space="0"/>
              <w:right w:val="nil"/>
            </w:tcBorders>
            <w:vAlign w:val="center"/>
          </w:tcPr>
          <w:p w14:paraId="17586B08">
            <w:pPr>
              <w:pStyle w:val="445"/>
              <w:rPr>
                <w:rFonts w:cs="Times New Roman"/>
                <w:kern w:val="0"/>
                <w:szCs w:val="20"/>
              </w:rPr>
            </w:pPr>
            <w:r>
              <w:rPr>
                <w:rFonts w:hint="eastAsia" w:ascii="宋体" w:hAnsi="宋体" w:cs="Times New Roman"/>
                <w:kern w:val="0"/>
                <w:szCs w:val="20"/>
              </w:rPr>
              <w:t>表示</w:t>
            </w:r>
            <w:r>
              <w:rPr>
                <w:rFonts w:ascii="宋体" w:hAnsi="宋体" w:cs="Times New Roman"/>
                <w:kern w:val="0"/>
                <w:szCs w:val="20"/>
              </w:rPr>
              <w:t>雨水排放</w:t>
            </w:r>
          </w:p>
        </w:tc>
      </w:tr>
      <w:tr w14:paraId="1B65C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4" w:space="0"/>
              <w:right w:val="single" w:color="auto" w:sz="4" w:space="0"/>
            </w:tcBorders>
            <w:vAlign w:val="center"/>
          </w:tcPr>
          <w:p w14:paraId="7043EBEF">
            <w:pPr>
              <w:ind w:firstLine="0" w:firstLineChars="0"/>
              <w:jc w:val="center"/>
              <w:rPr>
                <w:rFonts w:cs="Times New Roman"/>
                <w:kern w:val="18"/>
                <w:sz w:val="21"/>
                <w:szCs w:val="21"/>
              </w:rPr>
            </w:pPr>
            <w:r>
              <w:rPr>
                <w:rFonts w:cs="Times New Roman"/>
                <w:kern w:val="18"/>
                <w:sz w:val="21"/>
                <w:szCs w:val="21"/>
              </w:rPr>
              <w:t>3</w:t>
            </w:r>
          </w:p>
        </w:tc>
        <w:tc>
          <w:tcPr>
            <w:tcW w:w="934" w:type="pct"/>
            <w:tcBorders>
              <w:top w:val="single" w:color="auto" w:sz="4" w:space="0"/>
              <w:left w:val="single" w:color="auto" w:sz="4" w:space="0"/>
              <w:bottom w:val="single" w:color="auto" w:sz="4" w:space="0"/>
              <w:right w:val="single" w:color="auto" w:sz="4" w:space="0"/>
            </w:tcBorders>
            <w:vAlign w:val="center"/>
          </w:tcPr>
          <w:p w14:paraId="78BF2575">
            <w:pPr>
              <w:ind w:firstLine="0" w:firstLineChars="0"/>
              <w:jc w:val="center"/>
              <w:rPr>
                <w:rFonts w:cs="Times New Roman"/>
                <w:kern w:val="18"/>
                <w:sz w:val="21"/>
                <w:szCs w:val="21"/>
              </w:rPr>
            </w:pPr>
            <w:r>
              <w:rPr>
                <w:rFonts w:cs="Times New Roman"/>
                <w:kern w:val="18"/>
                <w:sz w:val="21"/>
                <w:szCs w:val="21"/>
              </w:rPr>
              <w:drawing>
                <wp:inline distT="0" distB="0" distL="0" distR="0">
                  <wp:extent cx="744855" cy="753745"/>
                  <wp:effectExtent l="0" t="0" r="0" b="8255"/>
                  <wp:docPr id="143" name="图片 143" descr="C:\Users\ADMINI~1\AppData\Local\Temp\ksohtml\wps6FE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C:\Users\ADMINI~1\AppData\Local\Temp\ksohtml\wps6FE2.tmp.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744855" cy="753745"/>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4" w:space="0"/>
              <w:right w:val="single" w:color="auto" w:sz="4" w:space="0"/>
            </w:tcBorders>
            <w:vAlign w:val="center"/>
          </w:tcPr>
          <w:p w14:paraId="580D0099">
            <w:pPr>
              <w:ind w:firstLine="0" w:firstLineChars="0"/>
              <w:jc w:val="center"/>
              <w:rPr>
                <w:rFonts w:cs="Times New Roman"/>
                <w:kern w:val="18"/>
                <w:sz w:val="21"/>
                <w:szCs w:val="21"/>
              </w:rPr>
            </w:pPr>
            <w:r>
              <w:rPr>
                <w:rFonts w:cs="Times New Roman"/>
                <w:kern w:val="18"/>
                <w:sz w:val="21"/>
                <w:szCs w:val="21"/>
              </w:rPr>
              <w:drawing>
                <wp:inline distT="0" distB="0" distL="0" distR="0">
                  <wp:extent cx="779145" cy="779145"/>
                  <wp:effectExtent l="0" t="0" r="1905" b="1905"/>
                  <wp:docPr id="142" name="图片 142" descr="C:\Users\ADMINI~1\AppData\Local\Temp\ksohtml\wps6FE3.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C:\Users\ADMINI~1\AppData\Local\Temp\ksohtml\wps6FE3.tmp.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779145" cy="77914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4" w:space="0"/>
              <w:right w:val="single" w:color="auto" w:sz="4" w:space="0"/>
            </w:tcBorders>
            <w:vAlign w:val="center"/>
          </w:tcPr>
          <w:p w14:paraId="05DCDA9B">
            <w:pPr>
              <w:pStyle w:val="445"/>
              <w:rPr>
                <w:rFonts w:cs="Times New Roman"/>
                <w:kern w:val="0"/>
                <w:szCs w:val="18"/>
              </w:rPr>
            </w:pPr>
            <w:r>
              <w:rPr>
                <w:rFonts w:hint="eastAsia" w:ascii="宋体" w:hAnsi="宋体" w:cs="Times New Roman"/>
                <w:kern w:val="0"/>
                <w:szCs w:val="20"/>
              </w:rPr>
              <w:t>废气排放口</w:t>
            </w:r>
          </w:p>
        </w:tc>
        <w:tc>
          <w:tcPr>
            <w:tcW w:w="1737" w:type="pct"/>
            <w:tcBorders>
              <w:top w:val="single" w:color="auto" w:sz="4" w:space="0"/>
              <w:left w:val="single" w:color="auto" w:sz="4" w:space="0"/>
              <w:bottom w:val="single" w:color="auto" w:sz="4" w:space="0"/>
              <w:right w:val="nil"/>
            </w:tcBorders>
            <w:vAlign w:val="center"/>
          </w:tcPr>
          <w:p w14:paraId="04BB2ACE">
            <w:pPr>
              <w:pStyle w:val="445"/>
              <w:rPr>
                <w:rFonts w:cs="Times New Roman"/>
                <w:kern w:val="0"/>
                <w:szCs w:val="20"/>
              </w:rPr>
            </w:pPr>
            <w:r>
              <w:rPr>
                <w:rFonts w:hint="eastAsia" w:ascii="宋体" w:hAnsi="宋体" w:cs="Times New Roman"/>
                <w:kern w:val="0"/>
                <w:szCs w:val="20"/>
              </w:rPr>
              <w:t>表示废气向大气环境排放</w:t>
            </w:r>
          </w:p>
        </w:tc>
      </w:tr>
      <w:tr w14:paraId="2B991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4" w:space="0"/>
              <w:right w:val="single" w:color="auto" w:sz="4" w:space="0"/>
            </w:tcBorders>
            <w:vAlign w:val="center"/>
          </w:tcPr>
          <w:p w14:paraId="299DB49F">
            <w:pPr>
              <w:ind w:firstLine="0" w:firstLineChars="0"/>
              <w:jc w:val="center"/>
              <w:rPr>
                <w:rFonts w:cs="Times New Roman"/>
                <w:kern w:val="18"/>
                <w:sz w:val="21"/>
                <w:szCs w:val="21"/>
              </w:rPr>
            </w:pPr>
            <w:r>
              <w:rPr>
                <w:rFonts w:cs="Times New Roman"/>
                <w:kern w:val="18"/>
                <w:sz w:val="21"/>
                <w:szCs w:val="21"/>
              </w:rPr>
              <w:t>4</w:t>
            </w:r>
          </w:p>
        </w:tc>
        <w:tc>
          <w:tcPr>
            <w:tcW w:w="934" w:type="pct"/>
            <w:tcBorders>
              <w:top w:val="single" w:color="auto" w:sz="4" w:space="0"/>
              <w:left w:val="single" w:color="auto" w:sz="4" w:space="0"/>
              <w:bottom w:val="single" w:color="auto" w:sz="4" w:space="0"/>
              <w:right w:val="single" w:color="auto" w:sz="4" w:space="0"/>
            </w:tcBorders>
            <w:vAlign w:val="center"/>
          </w:tcPr>
          <w:p w14:paraId="2226F056">
            <w:pPr>
              <w:ind w:firstLine="0" w:firstLineChars="0"/>
              <w:jc w:val="center"/>
              <w:rPr>
                <w:rFonts w:cs="Times New Roman"/>
                <w:kern w:val="18"/>
                <w:sz w:val="21"/>
                <w:szCs w:val="21"/>
              </w:rPr>
            </w:pPr>
            <w:r>
              <w:rPr>
                <w:rFonts w:cs="Times New Roman"/>
                <w:kern w:val="18"/>
                <w:sz w:val="21"/>
                <w:szCs w:val="21"/>
              </w:rPr>
              <w:drawing>
                <wp:inline distT="0" distB="0" distL="0" distR="0">
                  <wp:extent cx="779145" cy="787400"/>
                  <wp:effectExtent l="0" t="0" r="1905" b="0"/>
                  <wp:docPr id="141" name="图片 141" descr="C:\Users\ADMINI~1\AppData\Local\Temp\ksohtml\wps6FE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C:\Users\ADMINI~1\AppData\Local\Temp\ksohtml\wps6FE4.tmp.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779145" cy="787400"/>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4" w:space="0"/>
              <w:right w:val="single" w:color="auto" w:sz="4" w:space="0"/>
            </w:tcBorders>
            <w:vAlign w:val="center"/>
          </w:tcPr>
          <w:p w14:paraId="4ADECC0A">
            <w:pPr>
              <w:ind w:firstLine="0" w:firstLineChars="0"/>
              <w:jc w:val="center"/>
              <w:rPr>
                <w:rFonts w:cs="Times New Roman"/>
                <w:kern w:val="18"/>
                <w:sz w:val="21"/>
                <w:szCs w:val="21"/>
              </w:rPr>
            </w:pPr>
            <w:r>
              <w:rPr>
                <w:rFonts w:cs="Times New Roman"/>
                <w:kern w:val="18"/>
                <w:sz w:val="21"/>
                <w:szCs w:val="21"/>
              </w:rPr>
              <w:drawing>
                <wp:inline distT="0" distB="0" distL="0" distR="0">
                  <wp:extent cx="770255" cy="728345"/>
                  <wp:effectExtent l="0" t="0" r="0" b="0"/>
                  <wp:docPr id="140" name="图片 140" descr="C:\Users\ADMINI~1\AppData\Local\Temp\ksohtml\wps6FE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C:\Users\ADMINI~1\AppData\Local\Temp\ksohtml\wps6FE5.tmp.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770255" cy="72834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4" w:space="0"/>
              <w:right w:val="single" w:color="auto" w:sz="4" w:space="0"/>
            </w:tcBorders>
            <w:vAlign w:val="center"/>
          </w:tcPr>
          <w:p w14:paraId="60466955">
            <w:pPr>
              <w:pStyle w:val="445"/>
              <w:rPr>
                <w:rFonts w:cs="Times New Roman"/>
                <w:kern w:val="0"/>
                <w:szCs w:val="18"/>
              </w:rPr>
            </w:pPr>
            <w:r>
              <w:rPr>
                <w:rFonts w:hint="eastAsia" w:ascii="宋体" w:hAnsi="宋体" w:cs="Times New Roman"/>
                <w:kern w:val="0"/>
                <w:szCs w:val="20"/>
              </w:rPr>
              <w:t>一般固体废物</w:t>
            </w:r>
          </w:p>
        </w:tc>
        <w:tc>
          <w:tcPr>
            <w:tcW w:w="1737" w:type="pct"/>
            <w:tcBorders>
              <w:top w:val="single" w:color="auto" w:sz="4" w:space="0"/>
              <w:left w:val="single" w:color="auto" w:sz="4" w:space="0"/>
              <w:bottom w:val="single" w:color="auto" w:sz="4" w:space="0"/>
              <w:right w:val="nil"/>
            </w:tcBorders>
            <w:vAlign w:val="center"/>
          </w:tcPr>
          <w:p w14:paraId="0843C995">
            <w:pPr>
              <w:pStyle w:val="445"/>
              <w:rPr>
                <w:rFonts w:cs="Times New Roman"/>
                <w:kern w:val="0"/>
                <w:szCs w:val="20"/>
              </w:rPr>
            </w:pPr>
            <w:r>
              <w:rPr>
                <w:rFonts w:hint="eastAsia" w:ascii="宋体" w:hAnsi="宋体" w:cs="Times New Roman"/>
                <w:kern w:val="0"/>
                <w:szCs w:val="20"/>
              </w:rPr>
              <w:t>表示一般固体废物贮存、处置场</w:t>
            </w:r>
          </w:p>
        </w:tc>
      </w:tr>
      <w:tr w14:paraId="00C33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4" w:space="0"/>
              <w:right w:val="single" w:color="auto" w:sz="4" w:space="0"/>
            </w:tcBorders>
            <w:vAlign w:val="center"/>
          </w:tcPr>
          <w:p w14:paraId="2BC44E1E">
            <w:pPr>
              <w:ind w:firstLine="0" w:firstLineChars="0"/>
              <w:jc w:val="center"/>
              <w:rPr>
                <w:rFonts w:cs="Times New Roman"/>
                <w:kern w:val="18"/>
                <w:sz w:val="21"/>
                <w:szCs w:val="21"/>
              </w:rPr>
            </w:pPr>
            <w:r>
              <w:rPr>
                <w:rFonts w:cs="Times New Roman"/>
                <w:kern w:val="18"/>
                <w:sz w:val="21"/>
                <w:szCs w:val="21"/>
              </w:rPr>
              <w:t>5</w:t>
            </w:r>
          </w:p>
        </w:tc>
        <w:tc>
          <w:tcPr>
            <w:tcW w:w="934" w:type="pct"/>
            <w:tcBorders>
              <w:top w:val="single" w:color="auto" w:sz="4" w:space="0"/>
              <w:left w:val="single" w:color="auto" w:sz="4" w:space="0"/>
              <w:bottom w:val="single" w:color="auto" w:sz="4" w:space="0"/>
              <w:right w:val="single" w:color="auto" w:sz="4" w:space="0"/>
            </w:tcBorders>
            <w:vAlign w:val="center"/>
          </w:tcPr>
          <w:p w14:paraId="24F59BB5">
            <w:pPr>
              <w:ind w:firstLine="0" w:firstLineChars="0"/>
              <w:jc w:val="center"/>
              <w:rPr>
                <w:rFonts w:cs="Times New Roman"/>
                <w:kern w:val="18"/>
                <w:sz w:val="21"/>
                <w:szCs w:val="21"/>
              </w:rPr>
            </w:pPr>
            <w:r>
              <w:rPr>
                <w:rFonts w:cs="Times New Roman"/>
                <w:kern w:val="18"/>
                <w:sz w:val="21"/>
                <w:szCs w:val="21"/>
              </w:rPr>
              <w:drawing>
                <wp:inline distT="0" distB="0" distL="0" distR="0">
                  <wp:extent cx="787400" cy="787400"/>
                  <wp:effectExtent l="0" t="0" r="0" b="0"/>
                  <wp:docPr id="139" name="图片 139" descr="C:\Users\ADMINI~1\AppData\Local\Temp\ksohtml\wps6FE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C:\Users\ADMINI~1\AppData\Local\Temp\ksohtml\wps6FE6.tmp.jp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787400" cy="787400"/>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4" w:space="0"/>
              <w:right w:val="single" w:color="auto" w:sz="4" w:space="0"/>
            </w:tcBorders>
            <w:vAlign w:val="center"/>
          </w:tcPr>
          <w:p w14:paraId="7D633B2D">
            <w:pPr>
              <w:ind w:firstLine="0" w:firstLineChars="0"/>
              <w:jc w:val="center"/>
              <w:rPr>
                <w:rFonts w:cs="Times New Roman"/>
                <w:kern w:val="18"/>
                <w:sz w:val="21"/>
                <w:szCs w:val="21"/>
              </w:rPr>
            </w:pPr>
            <w:r>
              <w:rPr>
                <w:rFonts w:cs="Times New Roman"/>
                <w:kern w:val="18"/>
                <w:sz w:val="21"/>
                <w:szCs w:val="21"/>
              </w:rPr>
              <w:drawing>
                <wp:inline distT="0" distB="0" distL="0" distR="0">
                  <wp:extent cx="863600" cy="770255"/>
                  <wp:effectExtent l="0" t="0" r="0" b="0"/>
                  <wp:docPr id="138" name="图片 138" descr="C:\Users\ADMINI~1\AppData\Local\Temp\ksohtml\wps6FE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C:\Users\ADMINI~1\AppData\Local\Temp\ksohtml\wps6FE7.tmp.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863600" cy="77025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4" w:space="0"/>
              <w:right w:val="single" w:color="auto" w:sz="4" w:space="0"/>
            </w:tcBorders>
            <w:vAlign w:val="center"/>
          </w:tcPr>
          <w:p w14:paraId="62E2380A">
            <w:pPr>
              <w:pStyle w:val="445"/>
              <w:rPr>
                <w:rFonts w:cs="Times New Roman"/>
                <w:kern w:val="0"/>
                <w:szCs w:val="18"/>
              </w:rPr>
            </w:pPr>
            <w:r>
              <w:rPr>
                <w:rFonts w:hint="eastAsia" w:ascii="宋体" w:hAnsi="宋体" w:cs="Times New Roman"/>
                <w:kern w:val="0"/>
                <w:szCs w:val="20"/>
              </w:rPr>
              <w:t>噪声排放源</w:t>
            </w:r>
          </w:p>
        </w:tc>
        <w:tc>
          <w:tcPr>
            <w:tcW w:w="1737" w:type="pct"/>
            <w:tcBorders>
              <w:top w:val="single" w:color="auto" w:sz="4" w:space="0"/>
              <w:left w:val="single" w:color="auto" w:sz="4" w:space="0"/>
              <w:bottom w:val="single" w:color="auto" w:sz="4" w:space="0"/>
              <w:right w:val="nil"/>
            </w:tcBorders>
            <w:vAlign w:val="center"/>
          </w:tcPr>
          <w:p w14:paraId="1B8CB9DE">
            <w:pPr>
              <w:pStyle w:val="445"/>
              <w:rPr>
                <w:rFonts w:cs="Times New Roman"/>
                <w:kern w:val="0"/>
                <w:szCs w:val="20"/>
              </w:rPr>
            </w:pPr>
            <w:r>
              <w:rPr>
                <w:rFonts w:hint="eastAsia" w:ascii="宋体" w:hAnsi="宋体" w:cs="Times New Roman"/>
                <w:kern w:val="0"/>
                <w:szCs w:val="20"/>
              </w:rPr>
              <w:t>表示噪声向外环境排放</w:t>
            </w:r>
          </w:p>
        </w:tc>
      </w:tr>
      <w:tr w14:paraId="7436A9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2" w:type="pct"/>
            <w:tcBorders>
              <w:top w:val="single" w:color="auto" w:sz="4" w:space="0"/>
              <w:left w:val="nil"/>
              <w:bottom w:val="single" w:color="auto" w:sz="12" w:space="0"/>
              <w:right w:val="single" w:color="auto" w:sz="4" w:space="0"/>
            </w:tcBorders>
            <w:vAlign w:val="center"/>
          </w:tcPr>
          <w:p w14:paraId="5B678DA1">
            <w:pPr>
              <w:ind w:firstLine="0" w:firstLineChars="0"/>
              <w:jc w:val="center"/>
              <w:rPr>
                <w:rFonts w:cs="Times New Roman"/>
                <w:kern w:val="18"/>
                <w:sz w:val="21"/>
                <w:szCs w:val="21"/>
              </w:rPr>
            </w:pPr>
            <w:r>
              <w:rPr>
                <w:rFonts w:hint="eastAsia" w:cs="Times New Roman"/>
                <w:kern w:val="18"/>
                <w:sz w:val="21"/>
                <w:szCs w:val="21"/>
              </w:rPr>
              <w:t>6</w:t>
            </w:r>
          </w:p>
        </w:tc>
        <w:tc>
          <w:tcPr>
            <w:tcW w:w="934" w:type="pct"/>
            <w:tcBorders>
              <w:top w:val="single" w:color="auto" w:sz="4" w:space="0"/>
              <w:left w:val="single" w:color="auto" w:sz="4" w:space="0"/>
              <w:bottom w:val="single" w:color="auto" w:sz="12" w:space="0"/>
              <w:right w:val="single" w:color="auto" w:sz="4" w:space="0"/>
            </w:tcBorders>
            <w:vAlign w:val="center"/>
          </w:tcPr>
          <w:p w14:paraId="2EB151AD">
            <w:pPr>
              <w:ind w:firstLine="0" w:firstLineChars="0"/>
              <w:jc w:val="center"/>
              <w:rPr>
                <w:rFonts w:cs="Times New Roman"/>
                <w:kern w:val="18"/>
                <w:sz w:val="21"/>
                <w:szCs w:val="21"/>
              </w:rPr>
            </w:pPr>
            <w:r>
              <w:rPr>
                <w:rFonts w:cs="Times New Roman"/>
                <w:kern w:val="0"/>
                <w:szCs w:val="20"/>
              </w:rPr>
              <w:drawing>
                <wp:inline distT="0" distB="0" distL="0" distR="0">
                  <wp:extent cx="1092200" cy="990600"/>
                  <wp:effectExtent l="0" t="0" r="0" b="0"/>
                  <wp:docPr id="137" name="图片 137" descr="C:\Users\ADMINI~1\AppData\Local\Temp\ksohtml\wps6FF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C:\Users\ADMINI~1\AppData\Local\Temp\ksohtml\wps6FF8.tmp.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1092200" cy="990600"/>
                          </a:xfrm>
                          <a:prstGeom prst="rect">
                            <a:avLst/>
                          </a:prstGeom>
                          <a:noFill/>
                          <a:ln>
                            <a:noFill/>
                          </a:ln>
                        </pic:spPr>
                      </pic:pic>
                    </a:graphicData>
                  </a:graphic>
                </wp:inline>
              </w:drawing>
            </w:r>
          </w:p>
        </w:tc>
        <w:tc>
          <w:tcPr>
            <w:tcW w:w="997" w:type="pct"/>
            <w:tcBorders>
              <w:top w:val="single" w:color="auto" w:sz="4" w:space="0"/>
              <w:left w:val="single" w:color="auto" w:sz="4" w:space="0"/>
              <w:bottom w:val="single" w:color="auto" w:sz="12" w:space="0"/>
              <w:right w:val="single" w:color="auto" w:sz="4" w:space="0"/>
            </w:tcBorders>
            <w:vAlign w:val="center"/>
          </w:tcPr>
          <w:p w14:paraId="63972646">
            <w:pPr>
              <w:ind w:firstLine="0" w:firstLineChars="0"/>
              <w:jc w:val="center"/>
              <w:rPr>
                <w:rFonts w:cs="Times New Roman"/>
                <w:kern w:val="18"/>
                <w:sz w:val="21"/>
                <w:szCs w:val="21"/>
              </w:rPr>
            </w:pPr>
            <w:r>
              <w:rPr>
                <w:rFonts w:cs="Times New Roman"/>
                <w:kern w:val="0"/>
                <w:szCs w:val="20"/>
              </w:rPr>
              <w:drawing>
                <wp:inline distT="0" distB="0" distL="0" distR="0">
                  <wp:extent cx="1058545" cy="567055"/>
                  <wp:effectExtent l="0" t="0" r="8255" b="4445"/>
                  <wp:docPr id="136" name="图片 136" descr="C:\Users\ADMINI~1\AppData\Local\Temp\ksohtml\wps6FF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C:\Users\ADMINI~1\AppData\Local\Temp\ksohtml\wps6FF9.tmp.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a:xfrm>
                            <a:off x="0" y="0"/>
                            <a:ext cx="1058545" cy="567055"/>
                          </a:xfrm>
                          <a:prstGeom prst="rect">
                            <a:avLst/>
                          </a:prstGeom>
                          <a:noFill/>
                          <a:ln>
                            <a:noFill/>
                          </a:ln>
                        </pic:spPr>
                      </pic:pic>
                    </a:graphicData>
                  </a:graphic>
                </wp:inline>
              </w:drawing>
            </w:r>
          </w:p>
        </w:tc>
        <w:tc>
          <w:tcPr>
            <w:tcW w:w="930" w:type="pct"/>
            <w:tcBorders>
              <w:top w:val="single" w:color="auto" w:sz="4" w:space="0"/>
              <w:left w:val="single" w:color="auto" w:sz="4" w:space="0"/>
              <w:bottom w:val="single" w:color="auto" w:sz="12" w:space="0"/>
              <w:right w:val="single" w:color="auto" w:sz="4" w:space="0"/>
            </w:tcBorders>
            <w:vAlign w:val="center"/>
          </w:tcPr>
          <w:p w14:paraId="38A42FC2">
            <w:pPr>
              <w:pStyle w:val="445"/>
              <w:rPr>
                <w:rFonts w:cs="Times New Roman"/>
                <w:kern w:val="0"/>
                <w:szCs w:val="18"/>
              </w:rPr>
            </w:pPr>
            <w:r>
              <w:rPr>
                <w:rFonts w:hint="eastAsia" w:ascii="宋体" w:hAnsi="宋体" w:cs="Times New Roman"/>
                <w:kern w:val="0"/>
                <w:szCs w:val="20"/>
              </w:rPr>
              <w:t>危险废物</w:t>
            </w:r>
          </w:p>
        </w:tc>
        <w:tc>
          <w:tcPr>
            <w:tcW w:w="1737" w:type="pct"/>
            <w:tcBorders>
              <w:top w:val="single" w:color="auto" w:sz="4" w:space="0"/>
              <w:left w:val="single" w:color="auto" w:sz="4" w:space="0"/>
              <w:bottom w:val="single" w:color="auto" w:sz="12" w:space="0"/>
              <w:right w:val="nil"/>
            </w:tcBorders>
            <w:vAlign w:val="center"/>
          </w:tcPr>
          <w:p w14:paraId="0DC907A3">
            <w:pPr>
              <w:pStyle w:val="445"/>
              <w:rPr>
                <w:rFonts w:cs="Times New Roman"/>
                <w:kern w:val="0"/>
                <w:szCs w:val="20"/>
              </w:rPr>
            </w:pPr>
            <w:r>
              <w:rPr>
                <w:rFonts w:ascii="宋体" w:hAnsi="宋体" w:cs="Times New Roman"/>
                <w:kern w:val="0"/>
                <w:szCs w:val="20"/>
              </w:rPr>
              <w:t>危险废物贮存识别标签及标志</w:t>
            </w:r>
          </w:p>
        </w:tc>
      </w:tr>
    </w:tbl>
    <w:p w14:paraId="24BF03CA">
      <w:pPr>
        <w:ind w:firstLine="480"/>
        <w:rPr>
          <w:rFonts w:ascii="宋体" w:hAnsi="宋体"/>
        </w:rPr>
      </w:pPr>
    </w:p>
    <w:p w14:paraId="2DBA2A73">
      <w:pPr>
        <w:pStyle w:val="4064"/>
        <w:sectPr>
          <w:pgSz w:w="11907" w:h="16840"/>
          <w:pgMar w:top="1440" w:right="1440" w:bottom="1440" w:left="1440" w:header="851" w:footer="992" w:gutter="0"/>
          <w:cols w:space="720" w:num="1"/>
          <w:docGrid w:type="lines" w:linePitch="326" w:charSpace="0"/>
        </w:sectPr>
      </w:pPr>
      <w:bookmarkStart w:id="559" w:name="_Toc87977877"/>
      <w:bookmarkEnd w:id="559"/>
    </w:p>
    <w:p w14:paraId="3CC3EA8C">
      <w:pPr>
        <w:pStyle w:val="4064"/>
      </w:pPr>
      <w:bookmarkStart w:id="560" w:name="_Toc108662750"/>
      <w:r>
        <w:rPr>
          <w:rFonts w:hint="eastAsia"/>
        </w:rPr>
        <w:t>9、结论与建议</w:t>
      </w:r>
      <w:bookmarkEnd w:id="560"/>
    </w:p>
    <w:p w14:paraId="4309C2D8">
      <w:pPr>
        <w:pStyle w:val="4065"/>
      </w:pPr>
      <w:bookmarkStart w:id="561" w:name="_Toc87977878"/>
      <w:bookmarkEnd w:id="561"/>
      <w:bookmarkStart w:id="562" w:name="_Toc108662751"/>
      <w:r>
        <w:rPr>
          <w:rFonts w:hint="eastAsia"/>
        </w:rPr>
        <w:t>9.1建设项目</w:t>
      </w:r>
      <w:r>
        <w:t>概况</w:t>
      </w:r>
      <w:bookmarkEnd w:id="562"/>
    </w:p>
    <w:p w14:paraId="4F1311B8">
      <w:pPr>
        <w:ind w:firstLine="480"/>
      </w:pPr>
      <w:bookmarkStart w:id="563" w:name="_Toc87977879"/>
      <w:bookmarkEnd w:id="563"/>
      <w:bookmarkStart w:id="564" w:name="_Toc108662752"/>
      <w:r>
        <w:t>项目名称：</w:t>
      </w:r>
      <w:r>
        <w:rPr>
          <w:rFonts w:hint="eastAsia"/>
        </w:rPr>
        <w:t>年产7000吨硅基新材料技改/扩建项目</w:t>
      </w:r>
      <w:r>
        <w:t>；</w:t>
      </w:r>
    </w:p>
    <w:p w14:paraId="299BA3F4">
      <w:pPr>
        <w:ind w:firstLine="480"/>
      </w:pPr>
      <w:r>
        <w:rPr>
          <w:rFonts w:hint="eastAsia"/>
        </w:rPr>
        <w:t>建设单位：</w:t>
      </w:r>
      <w:r>
        <w:t>安徽凯盛</w:t>
      </w:r>
      <w:r>
        <w:rPr>
          <w:rFonts w:hint="eastAsia"/>
        </w:rPr>
        <w:t>应用</w:t>
      </w:r>
      <w:r>
        <w:t>材料</w:t>
      </w:r>
      <w:r>
        <w:rPr>
          <w:rFonts w:hint="eastAsia"/>
        </w:rPr>
        <w:t>有限</w:t>
      </w:r>
      <w:r>
        <w:t>公司</w:t>
      </w:r>
      <w:r>
        <w:rPr>
          <w:rFonts w:hint="eastAsia"/>
        </w:rPr>
        <w:t>；</w:t>
      </w:r>
    </w:p>
    <w:p w14:paraId="52ED8588">
      <w:pPr>
        <w:ind w:firstLine="480"/>
      </w:pPr>
      <w:r>
        <w:rPr>
          <w:rFonts w:hint="eastAsia"/>
        </w:rPr>
        <w:t>建设</w:t>
      </w:r>
      <w:r>
        <w:t>性质：</w:t>
      </w:r>
      <w:r>
        <w:rPr>
          <w:rFonts w:hint="eastAsia"/>
        </w:rPr>
        <w:t>技改/扩建</w:t>
      </w:r>
      <w:r>
        <w:t>；</w:t>
      </w:r>
    </w:p>
    <w:p w14:paraId="7D288D97">
      <w:pPr>
        <w:ind w:firstLine="480"/>
      </w:pPr>
      <w:r>
        <w:rPr>
          <w:rFonts w:hint="eastAsia"/>
        </w:rPr>
        <w:t>行业类别</w:t>
      </w:r>
      <w:r>
        <w:t>：</w:t>
      </w:r>
      <w:r>
        <w:rPr>
          <w:rFonts w:hint="eastAsia"/>
        </w:rPr>
        <w:t>基础化学原料制造[C261]（硅：其他基础</w:t>
      </w:r>
      <w:r>
        <w:t>化学原料制造</w:t>
      </w:r>
      <w:r>
        <w:rPr>
          <w:rFonts w:hint="eastAsia"/>
        </w:rPr>
        <w:t>[C2619]；KH-560及A-</w:t>
      </w:r>
      <w:r>
        <w:t>171</w:t>
      </w:r>
      <w:r>
        <w:rPr>
          <w:rFonts w:hint="eastAsia"/>
        </w:rPr>
        <w:t>：有机化学原料制造[</w:t>
      </w:r>
      <w:r>
        <w:t>C2614]</w:t>
      </w:r>
      <w:r>
        <w:rPr>
          <w:rFonts w:hint="eastAsia"/>
        </w:rPr>
        <w:t>）；</w:t>
      </w:r>
    </w:p>
    <w:p w14:paraId="17CCDC3C">
      <w:pPr>
        <w:ind w:firstLine="480"/>
      </w:pPr>
      <w:r>
        <w:t>建设地点：</w:t>
      </w:r>
      <w:r>
        <w:rPr>
          <w:rFonts w:hint="eastAsia"/>
        </w:rPr>
        <w:t>蚌埠精细化工高新技术产业基地开源大道28号</w:t>
      </w:r>
      <w:r>
        <w:t>；</w:t>
      </w:r>
    </w:p>
    <w:p w14:paraId="71ADD874">
      <w:pPr>
        <w:ind w:firstLine="480"/>
      </w:pPr>
      <w:r>
        <w:t>建设</w:t>
      </w:r>
      <w:r>
        <w:rPr>
          <w:rFonts w:hint="eastAsia"/>
        </w:rPr>
        <w:t>内容</w:t>
      </w:r>
      <w:r>
        <w:t>及规模：</w:t>
      </w:r>
      <w:r>
        <w:rPr>
          <w:rFonts w:hint="eastAsia"/>
        </w:rPr>
        <w:t>项目分两期建设。项目（一期）年生产电子级硅溶胶1500吨(固含量20%)全部销售，中间产品硅粉2880吨，四甲氧基硅烷1037吨（99.9%的998吨，90%的39吨），三甲氧基硅烷4500吨。产品年生产能力硅烷偶联剂(KH560)3000吨，硅烷偶联剂(A-171)2500吨。副产品甲醇645吨/年，甲基三甲氧基硅烷135吨/年，烯丙基缩水甘油醚335吨/年，细硅粉70吨/年，聚硅氧烷1</w:t>
      </w:r>
      <w:r>
        <w:t>50</w:t>
      </w:r>
      <w:r>
        <w:rPr>
          <w:rFonts w:hint="eastAsia"/>
        </w:rPr>
        <w:t>吨/年，溶剂1</w:t>
      </w:r>
      <w:r>
        <w:t>58</w:t>
      </w:r>
      <w:r>
        <w:rPr>
          <w:rFonts w:hint="eastAsia"/>
        </w:rPr>
        <w:t>吨/年。回收套用甲醇795吨/年，氨水（10%）435吨/年。项目（二期）年生产乙炔450吨，用于硅烷偶联剂A-171使用。</w:t>
      </w:r>
    </w:p>
    <w:p w14:paraId="3CD3D47B">
      <w:pPr>
        <w:ind w:firstLine="480"/>
      </w:pPr>
      <w:r>
        <w:rPr>
          <w:rFonts w:hint="eastAsia"/>
        </w:rPr>
        <w:t>建设投资</w:t>
      </w:r>
      <w:r>
        <w:t>：2500万元，其中环保投资</w:t>
      </w:r>
      <w:r>
        <w:rPr>
          <w:color w:val="FF0000"/>
        </w:rPr>
        <w:t>30</w:t>
      </w:r>
      <w:r>
        <w:t>万元，占总投资的</w:t>
      </w:r>
      <w:r>
        <w:rPr>
          <w:color w:val="FF0000"/>
        </w:rPr>
        <w:t>1.20</w:t>
      </w:r>
      <w:r>
        <w:t>%；</w:t>
      </w:r>
    </w:p>
    <w:p w14:paraId="258B4BC6">
      <w:pPr>
        <w:ind w:firstLine="480"/>
      </w:pPr>
      <w:r>
        <w:rPr>
          <w:rFonts w:hint="eastAsia"/>
        </w:rPr>
        <w:t>占地</w:t>
      </w:r>
      <w:r>
        <w:t>面积</w:t>
      </w:r>
      <w:r>
        <w:rPr>
          <w:rFonts w:hint="eastAsia"/>
        </w:rPr>
        <w:t>：占地</w:t>
      </w:r>
      <w:r>
        <w:t>面积100.249</w:t>
      </w:r>
      <w:r>
        <w:rPr>
          <w:rFonts w:hint="eastAsia"/>
        </w:rPr>
        <w:t>亩</w:t>
      </w:r>
      <w:r>
        <w:t>，总建筑</w:t>
      </w:r>
      <w:r>
        <w:rPr>
          <w:rFonts w:hint="eastAsia"/>
        </w:rPr>
        <w:t>面积</w:t>
      </w:r>
      <w:r>
        <w:t>为19804.85m</w:t>
      </w:r>
      <w:r>
        <w:rPr>
          <w:vertAlign w:val="superscript"/>
        </w:rPr>
        <w:t>2</w:t>
      </w:r>
      <w:r>
        <w:rPr>
          <w:rFonts w:hint="eastAsia"/>
        </w:rPr>
        <w:t>；</w:t>
      </w:r>
    </w:p>
    <w:p w14:paraId="6BE6C3A4">
      <w:pPr>
        <w:ind w:firstLine="480"/>
      </w:pPr>
      <w:r>
        <w:rPr>
          <w:rFonts w:hint="eastAsia"/>
        </w:rPr>
        <w:t>劳动</w:t>
      </w:r>
      <w:r>
        <w:t>定员及工作制度：</w:t>
      </w:r>
      <w:r>
        <w:rPr>
          <w:rFonts w:hint="eastAsia"/>
        </w:rPr>
        <w:t>新增</w:t>
      </w:r>
      <w:r>
        <w:t>职工60</w:t>
      </w:r>
      <w:r>
        <w:rPr>
          <w:rFonts w:hint="eastAsia"/>
        </w:rPr>
        <w:t>人</w:t>
      </w:r>
      <w:r>
        <w:t>，</w:t>
      </w:r>
      <w:r>
        <w:rPr>
          <w:rFonts w:hint="eastAsia"/>
        </w:rPr>
        <w:t>年生产300天</w:t>
      </w:r>
      <w:r>
        <w:t>，实行每天四班三运行，每班8小时</w:t>
      </w:r>
      <w:r>
        <w:rPr>
          <w:rFonts w:hint="eastAsia"/>
        </w:rPr>
        <w:t>，</w:t>
      </w:r>
      <w:r>
        <w:t>年运行时数7200小时；</w:t>
      </w:r>
    </w:p>
    <w:p w14:paraId="0EF189CC">
      <w:pPr>
        <w:pStyle w:val="4065"/>
      </w:pPr>
      <w:r>
        <w:rPr>
          <w:rFonts w:hint="eastAsia"/>
        </w:rPr>
        <w:t>9</w:t>
      </w:r>
      <w:r>
        <w:t>.2</w:t>
      </w:r>
      <w:r>
        <w:rPr>
          <w:rFonts w:hint="eastAsia"/>
        </w:rPr>
        <w:t>区域环境</w:t>
      </w:r>
      <w:r>
        <w:t>质量</w:t>
      </w:r>
      <w:r>
        <w:rPr>
          <w:rFonts w:hint="eastAsia"/>
        </w:rPr>
        <w:t>现状</w:t>
      </w:r>
      <w:bookmarkEnd w:id="564"/>
    </w:p>
    <w:p w14:paraId="63400F3B">
      <w:pPr>
        <w:pStyle w:val="4068"/>
      </w:pPr>
      <w:bookmarkStart w:id="565" w:name="_Toc100784143"/>
      <w:bookmarkStart w:id="566" w:name="_Toc101135976"/>
      <w:bookmarkStart w:id="567" w:name="_Toc108662753"/>
      <w:r>
        <w:rPr>
          <w:rFonts w:hint="eastAsia"/>
        </w:rPr>
        <w:t>9.2.1</w:t>
      </w:r>
      <w:r>
        <w:rPr>
          <w:rFonts w:hint="eastAsia" w:ascii="黑体" w:hAnsi="黑体"/>
        </w:rPr>
        <w:t>大气环境</w:t>
      </w:r>
      <w:bookmarkEnd w:id="565"/>
      <w:bookmarkEnd w:id="566"/>
      <w:bookmarkEnd w:id="567"/>
    </w:p>
    <w:p w14:paraId="2B952626">
      <w:pPr>
        <w:ind w:firstLine="480"/>
      </w:pPr>
      <w:r>
        <w:rPr>
          <w:rFonts w:hint="eastAsia" w:ascii="宋体" w:hAnsi="宋体"/>
        </w:rPr>
        <w:t>根据“</w:t>
      </w:r>
      <w:r>
        <w:rPr>
          <w:rFonts w:hint="eastAsia"/>
        </w:rPr>
        <w:t>202</w:t>
      </w:r>
      <w:r>
        <w:t>4</w:t>
      </w:r>
      <w:r>
        <w:rPr>
          <w:rFonts w:hint="eastAsia"/>
        </w:rPr>
        <w:t>年度蚌埠市环境质量状况公报</w:t>
      </w:r>
      <w:r>
        <w:rPr>
          <w:rFonts w:hint="eastAsia" w:ascii="宋体" w:hAnsi="宋体"/>
        </w:rPr>
        <w:t>”</w:t>
      </w:r>
      <w:r>
        <w:rPr>
          <w:rFonts w:ascii="宋体" w:hAnsi="宋体"/>
        </w:rPr>
        <w:t>，</w:t>
      </w:r>
      <w:r>
        <w:rPr>
          <w:rFonts w:hint="eastAsia" w:ascii="宋体" w:hAnsi="宋体"/>
        </w:rPr>
        <w:t>蚌埠市</w:t>
      </w:r>
      <w:r>
        <w:rPr>
          <w:rFonts w:ascii="宋体" w:hAnsi="宋体"/>
        </w:rPr>
        <w:t>为</w:t>
      </w:r>
      <w:r>
        <w:rPr>
          <w:rFonts w:hint="eastAsia" w:ascii="宋体" w:hAnsi="宋体"/>
        </w:rPr>
        <w:t>不达标区</w:t>
      </w:r>
      <w:r>
        <w:rPr>
          <w:rFonts w:ascii="宋体" w:hAnsi="宋体"/>
        </w:rPr>
        <w:t>，不达标因子为</w:t>
      </w:r>
      <w:r>
        <w:rPr>
          <w:kern w:val="0"/>
          <w:lang w:val="zh-CN" w:bidi="zh-CN"/>
        </w:rPr>
        <w:t>细颗粒物（PM</w:t>
      </w:r>
      <w:r>
        <w:rPr>
          <w:kern w:val="0"/>
          <w:vertAlign w:val="subscript"/>
          <w:lang w:val="zh-CN" w:bidi="zh-CN"/>
        </w:rPr>
        <w:t>2.5</w:t>
      </w:r>
      <w:r>
        <w:rPr>
          <w:kern w:val="0"/>
          <w:lang w:val="zh-CN" w:bidi="zh-CN"/>
        </w:rPr>
        <w:t>）</w:t>
      </w:r>
      <w:r>
        <w:rPr>
          <w:rFonts w:hint="eastAsia"/>
          <w:kern w:val="0"/>
          <w:lang w:val="zh-CN" w:bidi="zh-CN"/>
        </w:rPr>
        <w:t>及</w:t>
      </w:r>
      <w:r>
        <w:rPr>
          <w:kern w:val="0"/>
          <w:lang w:bidi="ar"/>
        </w:rPr>
        <w:t>O</w:t>
      </w:r>
      <w:r>
        <w:rPr>
          <w:kern w:val="0"/>
          <w:sz w:val="15"/>
          <w:szCs w:val="15"/>
          <w:lang w:bidi="ar"/>
        </w:rPr>
        <w:t>3</w:t>
      </w:r>
      <w:r>
        <w:rPr>
          <w:rFonts w:hint="eastAsia" w:ascii="宋体" w:hAnsi="宋体"/>
        </w:rPr>
        <w:t>，在落实达标规划</w:t>
      </w:r>
      <w:r>
        <w:rPr>
          <w:rFonts w:ascii="宋体" w:hAnsi="宋体"/>
        </w:rPr>
        <w:t>后，</w:t>
      </w:r>
      <w:r>
        <w:rPr>
          <w:rFonts w:hint="eastAsia" w:ascii="宋体" w:hAnsi="宋体"/>
        </w:rPr>
        <w:t>现状</w:t>
      </w:r>
      <w:r>
        <w:rPr>
          <w:rFonts w:ascii="宋体" w:hAnsi="宋体"/>
        </w:rPr>
        <w:t>超标的污染物</w:t>
      </w:r>
      <w:r>
        <w:rPr>
          <w:rFonts w:hint="eastAsia"/>
        </w:rPr>
        <w:t>PM</w:t>
      </w:r>
      <w:r>
        <w:rPr>
          <w:rFonts w:hint="eastAsia"/>
          <w:vertAlign w:val="subscript"/>
        </w:rPr>
        <w:t>10</w:t>
      </w:r>
      <w:r>
        <w:rPr>
          <w:rFonts w:hint="eastAsia" w:ascii="宋体" w:hAnsi="宋体"/>
        </w:rPr>
        <w:t>、</w:t>
      </w:r>
      <w:r>
        <w:rPr>
          <w:rFonts w:hint="eastAsia"/>
        </w:rPr>
        <w:t>PM</w:t>
      </w:r>
      <w:r>
        <w:rPr>
          <w:rFonts w:hint="eastAsia"/>
          <w:vertAlign w:val="subscript"/>
        </w:rPr>
        <w:t>2.5</w:t>
      </w:r>
      <w:r>
        <w:rPr>
          <w:rFonts w:hint="eastAsia" w:ascii="宋体" w:hAnsi="宋体"/>
        </w:rPr>
        <w:t>预测范围</w:t>
      </w:r>
      <w:r>
        <w:rPr>
          <w:rFonts w:ascii="宋体" w:hAnsi="宋体"/>
        </w:rPr>
        <w:t>内</w:t>
      </w:r>
      <w:r>
        <w:rPr>
          <w:rFonts w:hint="eastAsia" w:ascii="宋体" w:hAnsi="宋体"/>
        </w:rPr>
        <w:t>年</w:t>
      </w:r>
      <w:r>
        <w:rPr>
          <w:rFonts w:ascii="宋体" w:hAnsi="宋体"/>
        </w:rPr>
        <w:t>平均质量</w:t>
      </w:r>
      <w:r>
        <w:rPr>
          <w:rFonts w:hint="eastAsia" w:ascii="宋体" w:hAnsi="宋体"/>
        </w:rPr>
        <w:t>浓度</w:t>
      </w:r>
      <w:r>
        <w:rPr>
          <w:rFonts w:ascii="宋体" w:hAnsi="宋体"/>
        </w:rPr>
        <w:t>变化率</w:t>
      </w:r>
      <w:r>
        <w:t>≤-20%</w:t>
      </w:r>
      <w:r>
        <w:rPr>
          <w:rFonts w:hint="eastAsia" w:ascii="宋体" w:hAnsi="宋体"/>
        </w:rPr>
        <w:t>，</w:t>
      </w:r>
      <w:r>
        <w:rPr>
          <w:rFonts w:ascii="宋体" w:hAnsi="宋体"/>
        </w:rPr>
        <w:t>本项目大气环境影响可以接受</w:t>
      </w:r>
      <w:r>
        <w:rPr>
          <w:rFonts w:hint="eastAsia" w:ascii="宋体" w:hAnsi="宋体"/>
        </w:rPr>
        <w:t>；补充监测因子</w:t>
      </w:r>
      <w:r>
        <w:rPr>
          <w:rFonts w:ascii="宋体" w:hAnsi="宋体"/>
        </w:rPr>
        <w:t>满足《环境空气质量标准》（</w:t>
      </w:r>
      <w:r>
        <w:t>GB3095-2012</w:t>
      </w:r>
      <w:r>
        <w:rPr>
          <w:rFonts w:ascii="宋体" w:hAnsi="宋体"/>
        </w:rPr>
        <w:t>）二级标准</w:t>
      </w:r>
      <w:r>
        <w:rPr>
          <w:rFonts w:hint="eastAsia" w:ascii="宋体" w:hAnsi="宋体"/>
        </w:rPr>
        <w:t>及修改单和</w:t>
      </w:r>
      <w:r>
        <w:rPr>
          <w:rFonts w:ascii="宋体" w:hAnsi="宋体"/>
        </w:rPr>
        <w:t>其他相关标准要求</w:t>
      </w:r>
      <w:r>
        <w:rPr>
          <w:rFonts w:hint="eastAsia" w:ascii="宋体" w:hAnsi="宋体"/>
        </w:rPr>
        <w:t>。</w:t>
      </w:r>
    </w:p>
    <w:p w14:paraId="13E53FDF">
      <w:pPr>
        <w:pStyle w:val="4068"/>
      </w:pPr>
      <w:bookmarkStart w:id="568" w:name="_Toc101135977"/>
      <w:bookmarkStart w:id="569" w:name="_Toc100784144"/>
      <w:bookmarkStart w:id="570" w:name="_Toc108662754"/>
      <w:r>
        <w:rPr>
          <w:rFonts w:hint="eastAsia"/>
        </w:rPr>
        <w:t>9.2.2</w:t>
      </w:r>
      <w:r>
        <w:rPr>
          <w:rFonts w:hint="eastAsia" w:ascii="黑体" w:hAnsi="黑体"/>
        </w:rPr>
        <w:t>地表水</w:t>
      </w:r>
      <w:bookmarkEnd w:id="568"/>
      <w:bookmarkEnd w:id="569"/>
      <w:bookmarkEnd w:id="570"/>
    </w:p>
    <w:p w14:paraId="5CD00D1A">
      <w:pPr>
        <w:ind w:firstLine="480"/>
      </w:pPr>
      <w:r>
        <w:rPr>
          <w:rFonts w:hint="eastAsia" w:ascii="宋体" w:hAnsi="宋体"/>
        </w:rPr>
        <w:t>淮河（蚌埠段）</w:t>
      </w:r>
      <w:r>
        <w:rPr>
          <w:rFonts w:ascii="宋体" w:hAnsi="宋体"/>
        </w:rPr>
        <w:t>各监测断面</w:t>
      </w:r>
      <w:r>
        <w:rPr>
          <w:rFonts w:hint="eastAsia" w:ascii="宋体" w:hAnsi="宋体"/>
        </w:rPr>
        <w:t>水质</w:t>
      </w:r>
      <w:r>
        <w:rPr>
          <w:rFonts w:ascii="宋体" w:hAnsi="宋体"/>
        </w:rPr>
        <w:t>监测因子均可满足《地表水环境质量标准》（</w:t>
      </w:r>
      <w:r>
        <w:t>GB3838-2002</w:t>
      </w:r>
      <w:r>
        <w:rPr>
          <w:rFonts w:ascii="宋体" w:hAnsi="宋体"/>
        </w:rPr>
        <w:t>）</w:t>
      </w:r>
      <w:r>
        <w:t>III</w:t>
      </w:r>
      <w:r>
        <w:rPr>
          <w:rFonts w:ascii="宋体" w:hAnsi="宋体"/>
        </w:rPr>
        <w:t>类标准</w:t>
      </w:r>
      <w:r>
        <w:rPr>
          <w:rFonts w:hint="eastAsia" w:ascii="宋体" w:hAnsi="宋体"/>
        </w:rPr>
        <w:t>，</w:t>
      </w:r>
      <w:r>
        <w:rPr>
          <w:rFonts w:hint="eastAsia"/>
        </w:rPr>
        <w:t>沫冲引河</w:t>
      </w:r>
      <w:r>
        <w:t>和三铺大沟</w:t>
      </w:r>
      <w:r>
        <w:rPr>
          <w:rFonts w:hint="eastAsia"/>
        </w:rPr>
        <w:t>各</w:t>
      </w:r>
      <w:r>
        <w:rPr>
          <w:rFonts w:ascii="宋体" w:hAnsi="宋体"/>
        </w:rPr>
        <w:t>监测断面</w:t>
      </w:r>
      <w:r>
        <w:rPr>
          <w:rFonts w:hint="eastAsia" w:ascii="宋体" w:hAnsi="宋体"/>
        </w:rPr>
        <w:t>水质</w:t>
      </w:r>
      <w:r>
        <w:rPr>
          <w:rFonts w:ascii="宋体" w:hAnsi="宋体"/>
        </w:rPr>
        <w:t>监测因子均可满足《地表水环境质量标准》（</w:t>
      </w:r>
      <w:r>
        <w:t>GB3838-2002</w:t>
      </w:r>
      <w:r>
        <w:rPr>
          <w:rFonts w:ascii="宋体" w:hAnsi="宋体"/>
        </w:rPr>
        <w:t>）</w:t>
      </w:r>
      <w:r>
        <w:rPr>
          <w:rFonts w:hint="eastAsia"/>
        </w:rPr>
        <w:t>Ⅳ</w:t>
      </w:r>
      <w:r>
        <w:t>类</w:t>
      </w:r>
      <w:r>
        <w:rPr>
          <w:rFonts w:hint="eastAsia"/>
        </w:rPr>
        <w:t>标准。</w:t>
      </w:r>
    </w:p>
    <w:p w14:paraId="3493760A">
      <w:pPr>
        <w:pStyle w:val="4068"/>
      </w:pPr>
      <w:bookmarkStart w:id="571" w:name="_Toc100784145"/>
      <w:bookmarkStart w:id="572" w:name="_Toc101135978"/>
      <w:bookmarkStart w:id="573" w:name="_Toc108662755"/>
      <w:r>
        <w:rPr>
          <w:rFonts w:hint="eastAsia"/>
        </w:rPr>
        <w:t>9.2.3</w:t>
      </w:r>
      <w:r>
        <w:rPr>
          <w:rFonts w:hint="eastAsia" w:ascii="黑体" w:hAnsi="黑体"/>
        </w:rPr>
        <w:t>声环境</w:t>
      </w:r>
      <w:bookmarkEnd w:id="571"/>
      <w:bookmarkEnd w:id="572"/>
      <w:bookmarkEnd w:id="573"/>
    </w:p>
    <w:p w14:paraId="18241E13">
      <w:pPr>
        <w:ind w:firstLine="480"/>
      </w:pPr>
      <w:r>
        <w:rPr>
          <w:rFonts w:ascii="宋体" w:hAnsi="宋体"/>
        </w:rPr>
        <w:t>根据声环境现状监测结果，项目所在地声环境质量能够达到《声环境质量标准》（</w:t>
      </w:r>
      <w:r>
        <w:t>GB3096-2008</w:t>
      </w:r>
      <w:r>
        <w:rPr>
          <w:rFonts w:ascii="宋体" w:hAnsi="宋体"/>
        </w:rPr>
        <w:t>）</w:t>
      </w:r>
      <w:r>
        <w:t>3</w:t>
      </w:r>
      <w:r>
        <w:rPr>
          <w:rFonts w:ascii="宋体" w:hAnsi="宋体"/>
        </w:rPr>
        <w:t>类标准要求。</w:t>
      </w:r>
    </w:p>
    <w:p w14:paraId="3CA27A79">
      <w:pPr>
        <w:pStyle w:val="4068"/>
      </w:pPr>
      <w:bookmarkStart w:id="574" w:name="_Toc100784146"/>
      <w:bookmarkStart w:id="575" w:name="_Toc108662756"/>
      <w:bookmarkStart w:id="576" w:name="_Toc101135979"/>
      <w:r>
        <w:rPr>
          <w:rFonts w:hint="eastAsia"/>
        </w:rPr>
        <w:t>9.2.4</w:t>
      </w:r>
      <w:r>
        <w:rPr>
          <w:rFonts w:hint="eastAsia" w:ascii="黑体" w:hAnsi="黑体"/>
        </w:rPr>
        <w:t>地下水</w:t>
      </w:r>
      <w:bookmarkEnd w:id="574"/>
      <w:bookmarkEnd w:id="575"/>
      <w:bookmarkEnd w:id="576"/>
    </w:p>
    <w:p w14:paraId="404136F1">
      <w:pPr>
        <w:ind w:firstLine="480"/>
      </w:pPr>
      <w:r>
        <w:rPr>
          <w:rFonts w:ascii="宋体" w:hAnsi="宋体"/>
        </w:rPr>
        <w:t>根据地下水质量现状监测结果，</w:t>
      </w:r>
      <w:r>
        <w:rPr>
          <w:rFonts w:hint="eastAsia" w:ascii="宋体" w:hAnsi="宋体"/>
        </w:rPr>
        <w:t>各监测点</w:t>
      </w:r>
      <w:r>
        <w:rPr>
          <w:rFonts w:ascii="宋体" w:hAnsi="宋体"/>
        </w:rPr>
        <w:t>地下水</w:t>
      </w:r>
      <w:r>
        <w:rPr>
          <w:rFonts w:hint="eastAsia" w:ascii="宋体" w:hAnsi="宋体"/>
        </w:rPr>
        <w:t>水质</w:t>
      </w:r>
      <w:r>
        <w:rPr>
          <w:rFonts w:ascii="宋体" w:hAnsi="宋体"/>
        </w:rPr>
        <w:t>均可满足《地下水质量标准》（</w:t>
      </w:r>
      <w:r>
        <w:t>GB/T14848-2017</w:t>
      </w:r>
      <w:r>
        <w:rPr>
          <w:rFonts w:ascii="宋体" w:hAnsi="宋体"/>
        </w:rPr>
        <w:t>）</w:t>
      </w:r>
      <w:r>
        <w:rPr>
          <w:rFonts w:hint="eastAsia" w:ascii="宋体" w:hAnsi="宋体"/>
        </w:rPr>
        <w:t>Ⅲ</w:t>
      </w:r>
      <w:r>
        <w:rPr>
          <w:rFonts w:ascii="宋体" w:hAnsi="宋体"/>
        </w:rPr>
        <w:t>类标准</w:t>
      </w:r>
      <w:r>
        <w:rPr>
          <w:rFonts w:hint="eastAsia" w:ascii="宋体" w:hAnsi="宋体"/>
        </w:rPr>
        <w:t>。</w:t>
      </w:r>
    </w:p>
    <w:p w14:paraId="24DA1565">
      <w:pPr>
        <w:pStyle w:val="4068"/>
      </w:pPr>
      <w:bookmarkStart w:id="577" w:name="_Toc100784147"/>
      <w:bookmarkStart w:id="578" w:name="_Toc101135980"/>
      <w:bookmarkStart w:id="579" w:name="_Toc108662757"/>
      <w:r>
        <w:rPr>
          <w:rFonts w:hint="eastAsia"/>
        </w:rPr>
        <w:t>9.2.5</w:t>
      </w:r>
      <w:r>
        <w:rPr>
          <w:rFonts w:hint="eastAsia" w:ascii="黑体" w:hAnsi="黑体"/>
        </w:rPr>
        <w:t>土壤</w:t>
      </w:r>
      <w:bookmarkEnd w:id="577"/>
      <w:bookmarkEnd w:id="578"/>
      <w:bookmarkEnd w:id="579"/>
    </w:p>
    <w:p w14:paraId="5D7392BD">
      <w:pPr>
        <w:ind w:firstLine="480"/>
      </w:pPr>
      <w:r>
        <w:rPr>
          <w:rFonts w:hint="eastAsia"/>
        </w:rPr>
        <w:t>扩建项目所在区域建设用地</w:t>
      </w:r>
      <w:r>
        <w:t>土壤</w:t>
      </w:r>
      <w:r>
        <w:rPr>
          <w:rFonts w:hint="eastAsia"/>
        </w:rPr>
        <w:t>各</w:t>
      </w:r>
      <w:r>
        <w:t>监测点位均可满足《土壤环境质量 建设用地土壤污染风险管控标准》（试行）（GB36600-2018）中</w:t>
      </w:r>
      <w:r>
        <w:rPr>
          <w:rFonts w:hint="eastAsia"/>
        </w:rPr>
        <w:t>第二类用地风险</w:t>
      </w:r>
      <w:r>
        <w:t>筛选值标准</w:t>
      </w:r>
      <w:r>
        <w:rPr>
          <w:rFonts w:hint="eastAsia"/>
        </w:rPr>
        <w:t>，</w:t>
      </w:r>
      <w:r>
        <w:rPr>
          <w:rFonts w:ascii="宋体" w:hAnsi="宋体"/>
        </w:rPr>
        <w:t>农用</w:t>
      </w:r>
      <w:r>
        <w:rPr>
          <w:rFonts w:hint="eastAsia" w:ascii="宋体" w:hAnsi="宋体"/>
        </w:rPr>
        <w:t>地</w:t>
      </w:r>
      <w:r>
        <w:rPr>
          <w:rFonts w:ascii="宋体" w:hAnsi="宋体"/>
        </w:rPr>
        <w:t>满足</w:t>
      </w:r>
      <w:r>
        <w:rPr>
          <w:rFonts w:hint="eastAsia" w:ascii="宋体" w:hAnsi="宋体"/>
        </w:rPr>
        <w:t>《土壤环境质量</w:t>
      </w:r>
      <w:r>
        <w:t xml:space="preserve"> </w:t>
      </w:r>
      <w:r>
        <w:rPr>
          <w:rFonts w:ascii="宋体" w:hAnsi="宋体"/>
        </w:rPr>
        <w:t>农用地土壤污染风险管控标准（试行）》（</w:t>
      </w:r>
      <w:r>
        <w:t>GB15618-2018</w:t>
      </w:r>
      <w:r>
        <w:rPr>
          <w:rFonts w:hint="eastAsia" w:ascii="宋体" w:hAnsi="宋体"/>
        </w:rPr>
        <w:t>）表</w:t>
      </w:r>
      <w:r>
        <w:t>1</w:t>
      </w:r>
      <w:r>
        <w:rPr>
          <w:rFonts w:hint="eastAsia" w:ascii="宋体" w:hAnsi="宋体"/>
        </w:rPr>
        <w:t>中风险筛选值要求</w:t>
      </w:r>
      <w:r>
        <w:rPr>
          <w:rFonts w:ascii="宋体" w:hAnsi="宋体"/>
        </w:rPr>
        <w:t>。</w:t>
      </w:r>
    </w:p>
    <w:p w14:paraId="35D14EB4">
      <w:pPr>
        <w:pStyle w:val="4065"/>
      </w:pPr>
      <w:bookmarkStart w:id="580" w:name="_Toc87977880"/>
      <w:bookmarkEnd w:id="580"/>
      <w:bookmarkStart w:id="581" w:name="_Toc108662758"/>
      <w:r>
        <w:rPr>
          <w:rFonts w:hint="eastAsia"/>
        </w:rPr>
        <w:t>9.</w:t>
      </w:r>
      <w:r>
        <w:t>3</w:t>
      </w:r>
      <w:r>
        <w:rPr>
          <w:rFonts w:hint="eastAsia"/>
        </w:rPr>
        <w:t>主要环境影响</w:t>
      </w:r>
      <w:bookmarkEnd w:id="581"/>
    </w:p>
    <w:p w14:paraId="39C51466">
      <w:pPr>
        <w:pStyle w:val="4068"/>
      </w:pPr>
      <w:bookmarkStart w:id="582" w:name="_Toc100784149"/>
      <w:bookmarkStart w:id="583" w:name="_Toc101135982"/>
      <w:bookmarkStart w:id="584" w:name="_Toc108662759"/>
      <w:r>
        <w:rPr>
          <w:rFonts w:hint="eastAsia"/>
        </w:rPr>
        <w:t>9.</w:t>
      </w:r>
      <w:r>
        <w:t>3</w:t>
      </w:r>
      <w:r>
        <w:rPr>
          <w:rFonts w:hint="eastAsia"/>
        </w:rPr>
        <w:t>.1</w:t>
      </w:r>
      <w:r>
        <w:rPr>
          <w:rFonts w:hint="eastAsia" w:ascii="黑体" w:hAnsi="黑体"/>
        </w:rPr>
        <w:t>环境</w:t>
      </w:r>
      <w:r>
        <w:rPr>
          <w:rFonts w:ascii="黑体" w:hAnsi="黑体"/>
        </w:rPr>
        <w:t>空气</w:t>
      </w:r>
      <w:r>
        <w:rPr>
          <w:rFonts w:hint="eastAsia" w:ascii="黑体" w:hAnsi="黑体"/>
        </w:rPr>
        <w:t>影响</w:t>
      </w:r>
      <w:bookmarkEnd w:id="582"/>
      <w:bookmarkEnd w:id="583"/>
      <w:bookmarkEnd w:id="584"/>
    </w:p>
    <w:p w14:paraId="58AC720F">
      <w:pPr>
        <w:ind w:firstLine="480"/>
      </w:pPr>
      <w:r>
        <w:rPr>
          <w:rFonts w:hint="eastAsia" w:ascii="宋体" w:hAnsi="宋体"/>
        </w:rPr>
        <w:t>（</w:t>
      </w:r>
      <w:r>
        <w:t>1</w:t>
      </w:r>
      <w:r>
        <w:rPr>
          <w:rFonts w:ascii="宋体" w:hAnsi="宋体"/>
        </w:rPr>
        <w:t>）</w:t>
      </w:r>
      <w:r>
        <w:rPr>
          <w:rFonts w:hint="eastAsia" w:ascii="宋体" w:hAnsi="宋体"/>
        </w:rPr>
        <w:t>正常工况下</w:t>
      </w:r>
      <w:r>
        <w:rPr>
          <w:rFonts w:ascii="宋体" w:hAnsi="宋体"/>
        </w:rPr>
        <w:t>采用</w:t>
      </w:r>
      <w:r>
        <w:t>2023</w:t>
      </w:r>
      <w:r>
        <w:rPr>
          <w:rFonts w:ascii="宋体" w:hAnsi="宋体"/>
        </w:rPr>
        <w:t>年全年气象资料逐时、逐日计算项目排放的污染物在评价区域及保护目标贡献值。评价范围内</w:t>
      </w:r>
      <w:r>
        <w:rPr>
          <w:rFonts w:hint="eastAsia"/>
        </w:rPr>
        <w:t>甲醇</w:t>
      </w:r>
      <w:r>
        <w:rPr>
          <w:rFonts w:hint="eastAsia" w:ascii="宋体" w:hAnsi="宋体"/>
        </w:rPr>
        <w:t>、</w:t>
      </w:r>
      <w:r>
        <w:rPr>
          <w:rFonts w:hint="eastAsia"/>
        </w:rPr>
        <w:t>PM</w:t>
      </w:r>
      <w:r>
        <w:rPr>
          <w:rFonts w:hint="eastAsia"/>
          <w:vertAlign w:val="subscript"/>
        </w:rPr>
        <w:t>10</w:t>
      </w:r>
      <w:r>
        <w:rPr>
          <w:rFonts w:hint="eastAsia" w:ascii="宋体" w:hAnsi="宋体"/>
        </w:rPr>
        <w:t>、</w:t>
      </w:r>
      <w:r>
        <w:t>PM</w:t>
      </w:r>
      <w:r>
        <w:rPr>
          <w:vertAlign w:val="subscript"/>
        </w:rPr>
        <w:t>2.5</w:t>
      </w:r>
      <w:r>
        <w:rPr>
          <w:rFonts w:ascii="宋体" w:hAnsi="宋体"/>
        </w:rPr>
        <w:t>、</w:t>
      </w:r>
      <w:r>
        <w:t>NH</w:t>
      </w:r>
      <w:r>
        <w:rPr>
          <w:vertAlign w:val="subscript"/>
        </w:rPr>
        <w:t>3</w:t>
      </w:r>
      <w:r>
        <w:rPr>
          <w:rFonts w:ascii="宋体" w:hAnsi="宋体"/>
        </w:rPr>
        <w:t>、</w:t>
      </w:r>
      <w:r>
        <w:rPr>
          <w:rFonts w:hint="eastAsia" w:cs="Times New Roman"/>
        </w:rPr>
        <w:t>非甲烷总烃</w:t>
      </w:r>
      <w:r>
        <w:rPr>
          <w:rFonts w:hint="eastAsia" w:ascii="宋体" w:hAnsi="宋体"/>
        </w:rPr>
        <w:t>短期浓度（</w:t>
      </w:r>
      <w:r>
        <w:rPr>
          <w:rFonts w:ascii="宋体" w:hAnsi="宋体"/>
        </w:rPr>
        <w:t>小时平均、日平均</w:t>
      </w:r>
      <w:r>
        <w:rPr>
          <w:rFonts w:hint="eastAsia" w:ascii="宋体" w:hAnsi="宋体"/>
        </w:rPr>
        <w:t>）贡献值</w:t>
      </w:r>
      <w:r>
        <w:rPr>
          <w:rFonts w:ascii="宋体" w:hAnsi="宋体"/>
        </w:rPr>
        <w:t>保护目标和网格点最大占标率为</w:t>
      </w:r>
      <w:r>
        <w:t>PM</w:t>
      </w:r>
      <w:r>
        <w:rPr>
          <w:vertAlign w:val="subscript"/>
        </w:rPr>
        <w:t>10</w:t>
      </w:r>
      <w:r>
        <w:rPr>
          <w:rFonts w:ascii="宋体" w:hAnsi="宋体"/>
        </w:rPr>
        <w:t>、</w:t>
      </w:r>
      <w:r>
        <w:t>PM</w:t>
      </w:r>
      <w:r>
        <w:rPr>
          <w:vertAlign w:val="subscript"/>
        </w:rPr>
        <w:t>2.5</w:t>
      </w:r>
      <w:r>
        <w:t xml:space="preserve"> 12.6%＜100%</w:t>
      </w:r>
      <w:r>
        <w:rPr>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年平均贡献值保护目标和网格点最大占标率为</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 xml:space="preserve"> 3.56%</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30%</w:t>
      </w:r>
      <w:r>
        <w:rPr>
          <w:rFonts w:ascii="宋体" w:hAnsi="宋体"/>
        </w:rPr>
        <w:t>。叠加现状浓度、本项目污染源、</w:t>
      </w:r>
      <w:r>
        <w:rPr>
          <w:rFonts w:hint="eastAsia" w:ascii="宋体" w:hAnsi="宋体"/>
        </w:rPr>
        <w:t>区域同期</w:t>
      </w:r>
      <w:r>
        <w:rPr>
          <w:rFonts w:ascii="宋体" w:hAnsi="宋体"/>
        </w:rPr>
        <w:t>拟建、在建</w:t>
      </w:r>
      <w:r>
        <w:rPr>
          <w:rFonts w:hint="eastAsia" w:ascii="宋体" w:hAnsi="宋体"/>
        </w:rPr>
        <w:t>项目污染源</w:t>
      </w:r>
      <w:r>
        <w:rPr>
          <w:rFonts w:ascii="宋体" w:hAnsi="宋体"/>
        </w:rPr>
        <w:t>的环境影响后，现状达标的污染物</w:t>
      </w:r>
      <w:r>
        <w:t>NH</w:t>
      </w:r>
      <w:r>
        <w:rPr>
          <w:vertAlign w:val="subscript"/>
        </w:rPr>
        <w:t>3</w:t>
      </w:r>
      <w:r>
        <w:rPr>
          <w:rFonts w:hint="eastAsia"/>
        </w:rPr>
        <w:t>、</w:t>
      </w:r>
      <w:r>
        <w:t>甲醇</w:t>
      </w:r>
      <w:r>
        <w:rPr>
          <w:rFonts w:ascii="宋体" w:hAnsi="宋体"/>
        </w:rPr>
        <w:t>和</w:t>
      </w:r>
      <w:r>
        <w:rPr>
          <w:rFonts w:hint="eastAsia" w:cs="Times New Roman"/>
        </w:rPr>
        <w:t>非甲烷总烃</w:t>
      </w:r>
      <w:r>
        <w:rPr>
          <w:rFonts w:ascii="宋体" w:hAnsi="宋体"/>
        </w:rPr>
        <w:t>保护目标和网格点的短期浓度符合环境质量标准。在</w:t>
      </w:r>
      <w:r>
        <w:rPr>
          <w:rFonts w:hint="eastAsia" w:ascii="宋体" w:hAnsi="宋体"/>
        </w:rPr>
        <w:t>落实</w:t>
      </w:r>
      <w:r>
        <w:rPr>
          <w:rFonts w:ascii="宋体" w:hAnsi="宋体"/>
        </w:rPr>
        <w:t>达标</w:t>
      </w:r>
      <w:r>
        <w:rPr>
          <w:rFonts w:hint="eastAsia" w:ascii="宋体" w:hAnsi="宋体"/>
        </w:rPr>
        <w:t>规划</w:t>
      </w:r>
      <w:r>
        <w:rPr>
          <w:rFonts w:ascii="宋体" w:hAnsi="宋体"/>
        </w:rPr>
        <w:t>后，现状超标的污染物</w:t>
      </w:r>
      <w:r>
        <w:t>PM</w:t>
      </w:r>
      <w:r>
        <w:rPr>
          <w:vertAlign w:val="subscript"/>
        </w:rPr>
        <w:t>10</w:t>
      </w:r>
      <w:r>
        <w:rPr>
          <w:rFonts w:ascii="宋体" w:hAnsi="宋体"/>
        </w:rPr>
        <w:t>预测范围内年平均质量浓度变化率</w:t>
      </w:r>
      <w:r>
        <w:t>k</w:t>
      </w:r>
      <w:r>
        <w:rPr>
          <w:rFonts w:ascii="宋体" w:hAnsi="宋体"/>
        </w:rPr>
        <w:t>为</w:t>
      </w:r>
      <w:r>
        <w:t>-95.06%≤-20%</w:t>
      </w:r>
      <w:r>
        <w:rPr>
          <w:rFonts w:hint="eastAsia" w:ascii="宋体" w:hAnsi="宋体"/>
        </w:rPr>
        <w:t>；</w:t>
      </w:r>
      <w:r>
        <w:rPr>
          <w:rFonts w:ascii="宋体" w:hAnsi="宋体"/>
        </w:rPr>
        <w:t>现状超标的污染物</w:t>
      </w:r>
      <w:r>
        <w:t>PM</w:t>
      </w:r>
      <w:r>
        <w:rPr>
          <w:vertAlign w:val="subscript"/>
        </w:rPr>
        <w:t>2.5</w:t>
      </w:r>
      <w:r>
        <w:rPr>
          <w:rFonts w:ascii="宋体" w:hAnsi="宋体"/>
        </w:rPr>
        <w:t>预测范围内年平均质量浓度变化率</w:t>
      </w:r>
      <w:r>
        <w:t>k</w:t>
      </w:r>
      <w:r>
        <w:rPr>
          <w:rFonts w:ascii="宋体" w:hAnsi="宋体"/>
        </w:rPr>
        <w:t>为</w:t>
      </w:r>
      <w:r>
        <w:t>-95.06%≤-20%</w:t>
      </w:r>
      <w:r>
        <w:rPr>
          <w:rFonts w:ascii="宋体" w:hAnsi="宋体"/>
        </w:rPr>
        <w:t>。</w:t>
      </w:r>
    </w:p>
    <w:p w14:paraId="6AA07D97">
      <w:pPr>
        <w:ind w:firstLine="480"/>
      </w:pPr>
      <w:r>
        <w:rPr>
          <w:rFonts w:hint="eastAsia" w:ascii="宋体" w:hAnsi="宋体"/>
        </w:rPr>
        <w:t>（</w:t>
      </w:r>
      <w:r>
        <w:rPr>
          <w:rFonts w:hint="eastAsia"/>
        </w:rPr>
        <w:t>2</w:t>
      </w:r>
      <w:r>
        <w:rPr>
          <w:rFonts w:hint="eastAsia" w:ascii="宋体" w:hAnsi="宋体"/>
        </w:rPr>
        <w:t>）</w:t>
      </w:r>
      <w:r>
        <w:rPr>
          <w:rFonts w:ascii="宋体" w:hAnsi="宋体"/>
        </w:rPr>
        <w:t>在非正常情况下，各污染物对外环境影响贡献值较正常工况明显增加，</w:t>
      </w:r>
      <w:r>
        <w:rPr>
          <w:rFonts w:hint="eastAsia" w:cs="Times New Roman"/>
        </w:rPr>
        <w:t>非甲烷总烃</w:t>
      </w:r>
      <w:r>
        <w:t>和NH</w:t>
      </w:r>
      <w:r>
        <w:rPr>
          <w:vertAlign w:val="subscript"/>
        </w:rPr>
        <w:t>3</w:t>
      </w:r>
      <w:r>
        <w:rPr>
          <w:rFonts w:ascii="宋体" w:hAnsi="宋体"/>
        </w:rPr>
        <w:t>出现超标。需要避免事故发生，加强预警，同时加强废气处理设施的维护和管理，及时更换易损部件，确保废气治理措施的正常运转，杜绝废气处理设施故障发生。</w:t>
      </w:r>
    </w:p>
    <w:p w14:paraId="29FF0963">
      <w:pPr>
        <w:ind w:firstLine="480"/>
      </w:pPr>
      <w:r>
        <w:rPr>
          <w:rFonts w:hint="eastAsia" w:ascii="宋体" w:hAnsi="宋体"/>
        </w:rPr>
        <w:t>（</w:t>
      </w:r>
      <w:r>
        <w:rPr>
          <w:rFonts w:hint="eastAsia"/>
        </w:rPr>
        <w:t>3</w:t>
      </w:r>
      <w:r>
        <w:rPr>
          <w:rFonts w:hint="eastAsia" w:ascii="宋体" w:hAnsi="宋体"/>
        </w:rPr>
        <w:t>）本项目</w:t>
      </w:r>
      <w:r>
        <w:rPr>
          <w:rFonts w:hint="eastAsia" w:cs="Times New Roman"/>
        </w:rPr>
        <w:t>非甲烷总烃</w:t>
      </w:r>
      <w:r>
        <w:rPr>
          <w:rFonts w:ascii="宋体" w:hAnsi="宋体"/>
        </w:rPr>
        <w:t>、</w:t>
      </w:r>
      <w:r>
        <w:t>NH</w:t>
      </w:r>
      <w:r>
        <w:rPr>
          <w:vertAlign w:val="subscript"/>
        </w:rPr>
        <w:t>3</w:t>
      </w:r>
      <w:r>
        <w:rPr>
          <w:rFonts w:hint="eastAsia" w:ascii="宋体" w:hAnsi="宋体"/>
        </w:rPr>
        <w:t>、</w:t>
      </w:r>
      <w:r>
        <w:rPr>
          <w:rFonts w:hint="eastAsia"/>
        </w:rPr>
        <w:t>甲醇、</w:t>
      </w:r>
      <w:r>
        <w:t>PM</w:t>
      </w:r>
      <w:r>
        <w:rPr>
          <w:vertAlign w:val="subscript"/>
        </w:rPr>
        <w:t>10</w:t>
      </w:r>
      <w:r>
        <w:rPr>
          <w:rFonts w:ascii="宋体" w:hAnsi="宋体"/>
        </w:rPr>
        <w:t>、</w:t>
      </w:r>
      <w:r>
        <w:rPr>
          <w:rFonts w:hint="eastAsia"/>
        </w:rPr>
        <w:t>P</w:t>
      </w:r>
      <w:r>
        <w:t>M</w:t>
      </w:r>
      <w:r>
        <w:rPr>
          <w:vertAlign w:val="subscript"/>
        </w:rPr>
        <w:t>2.5</w:t>
      </w:r>
      <w:r>
        <w:rPr>
          <w:rFonts w:hint="eastAsia" w:ascii="宋体" w:hAnsi="宋体"/>
        </w:rPr>
        <w:t>厂界浓度满足大气污染物厂界浓度限值。</w:t>
      </w:r>
    </w:p>
    <w:p w14:paraId="3817D449">
      <w:pPr>
        <w:ind w:firstLine="480"/>
      </w:pPr>
      <w:r>
        <w:rPr>
          <w:rFonts w:hint="eastAsia" w:ascii="宋体" w:hAnsi="宋体"/>
        </w:rPr>
        <w:t>（</w:t>
      </w:r>
      <w:r>
        <w:rPr>
          <w:rFonts w:hint="eastAsia"/>
        </w:rPr>
        <w:t>4</w:t>
      </w:r>
      <w:r>
        <w:rPr>
          <w:rFonts w:hint="eastAsia" w:ascii="宋体" w:hAnsi="宋体"/>
        </w:rPr>
        <w:t>）厂界外大气污染物短期贡献浓度未超过环境质量浓度限值，因此本项目无需设置大气环境防护距离。</w:t>
      </w:r>
    </w:p>
    <w:p w14:paraId="0537CCA4">
      <w:pPr>
        <w:ind w:firstLine="480"/>
      </w:pPr>
      <w:r>
        <w:rPr>
          <w:rFonts w:hint="eastAsia" w:ascii="宋体" w:hAnsi="宋体"/>
        </w:rPr>
        <w:t>（</w:t>
      </w:r>
      <w:r>
        <w:rPr>
          <w:rFonts w:hint="eastAsia"/>
        </w:rPr>
        <w:t>5</w:t>
      </w:r>
      <w:r>
        <w:rPr>
          <w:rFonts w:hint="eastAsia" w:ascii="宋体" w:hAnsi="宋体"/>
        </w:rPr>
        <w:t>）</w:t>
      </w:r>
      <w:r>
        <w:rPr>
          <w:rFonts w:ascii="宋体" w:hAnsi="宋体"/>
        </w:rPr>
        <w:t>本项目设置</w:t>
      </w:r>
      <w:r>
        <w:t>500</w:t>
      </w:r>
      <w:r>
        <w:rPr>
          <w:rFonts w:hint="eastAsia"/>
        </w:rPr>
        <w:t>m</w:t>
      </w:r>
      <w:r>
        <w:rPr>
          <w:rFonts w:hint="eastAsia" w:ascii="宋体" w:hAnsi="宋体"/>
        </w:rPr>
        <w:t>环境防护距离，目前在此范围内没有居民点以及学校、医院等敏感目标，今后该防护距离范围内也不得新建居民、学校、医院等环境敏感目标。</w:t>
      </w:r>
    </w:p>
    <w:p w14:paraId="48B25411">
      <w:pPr>
        <w:pStyle w:val="4068"/>
      </w:pPr>
      <w:bookmarkStart w:id="585" w:name="_Toc108662760"/>
      <w:bookmarkStart w:id="586" w:name="_Toc100784150"/>
      <w:bookmarkStart w:id="587" w:name="_Toc101135983"/>
      <w:r>
        <w:rPr>
          <w:rFonts w:hint="eastAsia"/>
        </w:rPr>
        <w:t>9.</w:t>
      </w:r>
      <w:r>
        <w:t>3</w:t>
      </w:r>
      <w:r>
        <w:rPr>
          <w:rFonts w:hint="eastAsia"/>
        </w:rPr>
        <w:t>.2地表水</w:t>
      </w:r>
      <w:r>
        <w:t>环境影响</w:t>
      </w:r>
      <w:bookmarkEnd w:id="585"/>
      <w:bookmarkEnd w:id="586"/>
      <w:bookmarkEnd w:id="587"/>
    </w:p>
    <w:p w14:paraId="2374EEBC">
      <w:pPr>
        <w:ind w:firstLine="480"/>
      </w:pPr>
      <w:r>
        <w:rPr>
          <w:rFonts w:hint="eastAsia" w:ascii="宋体" w:hAnsi="宋体"/>
        </w:rPr>
        <w:t>厂内实行</w:t>
      </w:r>
      <w:r>
        <w:rPr>
          <w:rFonts w:ascii="宋体" w:hAnsi="宋体"/>
        </w:rPr>
        <w:t>雨污分流，</w:t>
      </w:r>
      <w:r>
        <w:rPr>
          <w:rFonts w:hint="eastAsia"/>
        </w:rPr>
        <w:t>水解废水</w:t>
      </w:r>
      <w:r>
        <w:t>、设备冲洗水、地面冲洗水、废气处理设施排水、</w:t>
      </w:r>
      <w:r>
        <w:rPr>
          <w:rFonts w:hint="eastAsia"/>
        </w:rPr>
        <w:t>实验室</w:t>
      </w:r>
      <w:r>
        <w:t>废水、</w:t>
      </w:r>
      <w:r>
        <w:rPr>
          <w:rFonts w:hint="eastAsia"/>
        </w:rPr>
        <w:t>生活污水、</w:t>
      </w:r>
      <w:r>
        <w:t>纯水制备再生水和初期雨水经</w:t>
      </w:r>
      <w:r>
        <w:rPr>
          <w:rFonts w:hint="eastAsia"/>
        </w:rPr>
        <w:t>污水处理站“调节池+混凝沉淀+水解酸化+MBR”处理后</w:t>
      </w:r>
      <w:r>
        <w:t>接入</w:t>
      </w:r>
      <w:r>
        <w:rPr>
          <w:rFonts w:hint="eastAsia"/>
        </w:rPr>
        <w:t>全厂总排口；</w:t>
      </w:r>
      <w:r>
        <w:t>纯水制备排水和循环冷却水排水</w:t>
      </w:r>
      <w:r>
        <w:rPr>
          <w:rFonts w:hint="eastAsia"/>
        </w:rPr>
        <w:t>直接</w:t>
      </w:r>
      <w:r>
        <w:t>接入</w:t>
      </w:r>
      <w:r>
        <w:rPr>
          <w:rFonts w:hint="eastAsia"/>
        </w:rPr>
        <w:t>全厂</w:t>
      </w:r>
      <w:r>
        <w:t>总排口</w:t>
      </w:r>
      <w:r>
        <w:rPr>
          <w:rFonts w:hint="eastAsia"/>
        </w:rPr>
        <w:t>，一并</w:t>
      </w:r>
      <w:r>
        <w:t>接管沫河口污水处理厂进一步处理</w:t>
      </w:r>
      <w:r>
        <w:rPr>
          <w:rFonts w:hint="eastAsia" w:ascii="宋体" w:hAnsi="宋体"/>
        </w:rPr>
        <w:t>，</w:t>
      </w:r>
      <w:r>
        <w:rPr>
          <w:rFonts w:ascii="宋体" w:hAnsi="宋体"/>
        </w:rPr>
        <w:t>经</w:t>
      </w:r>
      <w:r>
        <w:rPr>
          <w:rFonts w:hint="eastAsia" w:ascii="宋体" w:hAnsi="宋体"/>
        </w:rPr>
        <w:t>污水厂处理</w:t>
      </w:r>
      <w:r>
        <w:rPr>
          <w:rFonts w:ascii="宋体" w:hAnsi="宋体"/>
        </w:rPr>
        <w:t>达到《城镇污水处理厂污染物排放标准》（</w:t>
      </w:r>
      <w:r>
        <w:t>GB18918-2002</w:t>
      </w:r>
      <w:r>
        <w:rPr>
          <w:rFonts w:ascii="宋体" w:hAnsi="宋体"/>
        </w:rPr>
        <w:t>）中一级</w:t>
      </w:r>
      <w:r>
        <w:t>A</w:t>
      </w:r>
      <w:r>
        <w:rPr>
          <w:rFonts w:ascii="宋体" w:hAnsi="宋体"/>
        </w:rPr>
        <w:t>标准，尾水最终</w:t>
      </w:r>
      <w:r>
        <w:rPr>
          <w:rFonts w:hint="eastAsia" w:ascii="宋体" w:hAnsi="宋体"/>
        </w:rPr>
        <w:t>汇入</w:t>
      </w:r>
      <w:r>
        <w:rPr>
          <w:rFonts w:ascii="宋体" w:hAnsi="宋体"/>
        </w:rPr>
        <w:t>淮河</w:t>
      </w:r>
      <w:r>
        <w:rPr>
          <w:rFonts w:hint="eastAsia" w:ascii="宋体" w:hAnsi="宋体"/>
        </w:rPr>
        <w:t>。</w:t>
      </w:r>
    </w:p>
    <w:p w14:paraId="57F77265">
      <w:pPr>
        <w:pStyle w:val="4068"/>
      </w:pPr>
      <w:bookmarkStart w:id="588" w:name="_Toc100784151"/>
      <w:bookmarkStart w:id="589" w:name="_Toc101135984"/>
      <w:bookmarkStart w:id="590" w:name="_Toc108662761"/>
      <w:r>
        <w:t>9.3.3</w:t>
      </w:r>
      <w:r>
        <w:rPr>
          <w:rFonts w:hint="eastAsia" w:ascii="黑体" w:hAnsi="黑体"/>
        </w:rPr>
        <w:t>声环境影响</w:t>
      </w:r>
      <w:bookmarkEnd w:id="588"/>
      <w:bookmarkEnd w:id="589"/>
      <w:bookmarkEnd w:id="590"/>
    </w:p>
    <w:p w14:paraId="4AEC6D33">
      <w:pPr>
        <w:ind w:firstLine="480"/>
      </w:pPr>
      <w:r>
        <w:rPr>
          <w:rFonts w:ascii="宋体" w:hAnsi="宋体"/>
        </w:rPr>
        <w:t>由噪声影响预测结果可知，本项目运营期对厂界的噪声贡献值均可满足《工业企业厂界环境噪声排放标准》（</w:t>
      </w:r>
      <w:r>
        <w:t>GB12348-2008</w:t>
      </w:r>
      <w:r>
        <w:rPr>
          <w:rFonts w:ascii="宋体" w:hAnsi="宋体"/>
        </w:rPr>
        <w:t>）中</w:t>
      </w:r>
      <w:r>
        <w:t>3</w:t>
      </w:r>
      <w:r>
        <w:rPr>
          <w:rFonts w:ascii="宋体" w:hAnsi="宋体"/>
        </w:rPr>
        <w:t>类标准限值要求，厂界噪声预测值满足《声环境质量标准》（</w:t>
      </w:r>
      <w:r>
        <w:t>GB3096-2008</w:t>
      </w:r>
      <w:r>
        <w:rPr>
          <w:rFonts w:ascii="宋体" w:hAnsi="宋体"/>
        </w:rPr>
        <w:t>）</w:t>
      </w:r>
      <w:r>
        <w:t>3</w:t>
      </w:r>
      <w:r>
        <w:rPr>
          <w:rFonts w:ascii="宋体" w:hAnsi="宋体"/>
        </w:rPr>
        <w:t>类标准。</w:t>
      </w:r>
    </w:p>
    <w:p w14:paraId="6B261591">
      <w:pPr>
        <w:pStyle w:val="4068"/>
      </w:pPr>
      <w:bookmarkStart w:id="591" w:name="_Toc108662762"/>
      <w:bookmarkStart w:id="592" w:name="_Toc100784152"/>
      <w:bookmarkStart w:id="593" w:name="_Toc101135985"/>
      <w:r>
        <w:rPr>
          <w:rFonts w:hint="eastAsia"/>
        </w:rPr>
        <w:t>9.</w:t>
      </w:r>
      <w:r>
        <w:t>3</w:t>
      </w:r>
      <w:r>
        <w:rPr>
          <w:rFonts w:hint="eastAsia"/>
        </w:rPr>
        <w:t>.4地下水环境影响</w:t>
      </w:r>
      <w:bookmarkEnd w:id="591"/>
      <w:bookmarkEnd w:id="592"/>
      <w:bookmarkEnd w:id="593"/>
    </w:p>
    <w:p w14:paraId="3A77AA30">
      <w:pPr>
        <w:widowControl/>
        <w:wordWrap w:val="0"/>
        <w:ind w:firstLine="480"/>
        <w:rPr>
          <w:b/>
          <w:bCs/>
          <w:szCs w:val="24"/>
        </w:rPr>
      </w:pPr>
      <w:r>
        <w:rPr>
          <w:rFonts w:ascii="宋体" w:hAnsi="宋体"/>
          <w:bCs/>
        </w:rPr>
        <w:t>根据地下水环评导则要求，预测采用数值模拟模型。通过资料收集和野外勘查获取评价区含水层空间分布特征，根据评价区水文地质条件，确定以潜水含水层为本次的地下水对象，重点模拟了非正常工况下</w:t>
      </w:r>
      <w:r>
        <w:rPr>
          <w:rFonts w:hint="eastAsia" w:ascii="宋体" w:hAnsi="宋体"/>
          <w:bCs/>
        </w:rPr>
        <w:t>污水处理</w:t>
      </w:r>
      <w:r>
        <w:rPr>
          <w:rFonts w:hint="eastAsia" w:ascii="宋体" w:hAnsi="宋体"/>
        </w:rPr>
        <w:t>区</w:t>
      </w:r>
      <w:r>
        <w:rPr>
          <w:bCs/>
        </w:rPr>
        <w:t>7300d</w:t>
      </w:r>
      <w:r>
        <w:rPr>
          <w:rFonts w:ascii="宋体" w:hAnsi="宋体"/>
          <w:bCs/>
        </w:rPr>
        <w:t>内污染物的运移扩散过程。评价结论如下：</w:t>
      </w:r>
    </w:p>
    <w:p w14:paraId="1BC8B800">
      <w:pPr>
        <w:ind w:firstLine="480"/>
        <w:rPr>
          <w:b/>
        </w:rPr>
      </w:pPr>
      <w:r>
        <w:rPr>
          <w:rFonts w:hint="eastAsia" w:ascii="宋体" w:hAnsi="宋体"/>
        </w:rPr>
        <w:t>（</w:t>
      </w:r>
      <w:r>
        <w:rPr>
          <w:rFonts w:hint="eastAsia"/>
        </w:rPr>
        <w:t>1</w:t>
      </w:r>
      <w:r>
        <w:rPr>
          <w:rFonts w:ascii="宋体" w:hAnsi="宋体"/>
        </w:rPr>
        <w:t>）正常工况</w:t>
      </w:r>
      <w:r>
        <w:rPr>
          <w:rFonts w:hint="eastAsia" w:ascii="宋体" w:hAnsi="宋体"/>
        </w:rPr>
        <w:t>下，污染防渗措施有效，不会发生泄漏</w:t>
      </w:r>
      <w:r>
        <w:rPr>
          <w:rFonts w:ascii="宋体" w:hAnsi="宋体"/>
        </w:rPr>
        <w:t>或</w:t>
      </w:r>
      <w:r>
        <w:rPr>
          <w:rFonts w:hint="eastAsia" w:ascii="宋体" w:hAnsi="宋体"/>
        </w:rPr>
        <w:t>污水渗入地下水的情景发生，对区域地下水质不产生影响。而非正常工况下，污染物泄漏会在厂区及周边一定范围内污染地下水，泄漏</w:t>
      </w:r>
      <w:r>
        <w:rPr>
          <w:rFonts w:hint="eastAsia"/>
        </w:rPr>
        <w:t>1</w:t>
      </w:r>
      <w:r>
        <w:rPr>
          <w:rFonts w:hint="eastAsia" w:ascii="宋体" w:hAnsi="宋体"/>
        </w:rPr>
        <w:t>年停止后，污染物随着运移稀释，浓度逐渐降低，但扩散范围逐渐增大，污染物未扩散到厂区界外。</w:t>
      </w:r>
    </w:p>
    <w:p w14:paraId="7E479331">
      <w:pPr>
        <w:ind w:firstLine="480"/>
        <w:rPr>
          <w:b/>
        </w:rPr>
      </w:pPr>
      <w:r>
        <w:rPr>
          <w:rFonts w:hint="eastAsia" w:ascii="宋体" w:hAnsi="宋体"/>
        </w:rPr>
        <w:t>（</w:t>
      </w:r>
      <w:r>
        <w:rPr>
          <w:rFonts w:hint="eastAsia"/>
        </w:rPr>
        <w:t>2</w:t>
      </w:r>
      <w:r>
        <w:rPr>
          <w:rFonts w:ascii="宋体" w:hAnsi="宋体"/>
        </w:rPr>
        <w:t>）</w:t>
      </w:r>
      <w:r>
        <w:rPr>
          <w:rFonts w:hint="eastAsia" w:ascii="宋体" w:hAnsi="宋体"/>
        </w:rPr>
        <w:t>非正常工况下，污染物泄漏后主要水平迁移方向为东南侧，和水流方向基本一致，调节池</w:t>
      </w:r>
      <w:r>
        <w:rPr>
          <w:rFonts w:ascii="宋体" w:hAnsi="宋体"/>
        </w:rPr>
        <w:t>和废水池</w:t>
      </w:r>
      <w:r>
        <w:rPr>
          <w:rFonts w:hint="eastAsia" w:ascii="宋体" w:hAnsi="宋体"/>
        </w:rPr>
        <w:t>的污染物泄漏对厂区周围地下水环境会造成一定不利影响，不过仅影响到周边较小范围地下水水质而不会影响到区域大范围地下水水质。</w:t>
      </w:r>
    </w:p>
    <w:p w14:paraId="1AE6ABAD">
      <w:pPr>
        <w:ind w:firstLine="480"/>
        <w:rPr>
          <w:b/>
        </w:rPr>
      </w:pPr>
      <w:r>
        <w:rPr>
          <w:rFonts w:hint="eastAsia" w:ascii="宋体" w:hAnsi="宋体"/>
        </w:rPr>
        <w:t>（</w:t>
      </w:r>
      <w:r>
        <w:rPr>
          <w:rFonts w:hint="eastAsia"/>
        </w:rPr>
        <w:t>3</w:t>
      </w:r>
      <w:r>
        <w:rPr>
          <w:rFonts w:ascii="宋体" w:hAnsi="宋体"/>
        </w:rPr>
        <w:t>）</w:t>
      </w:r>
      <w:r>
        <w:rPr>
          <w:rFonts w:hint="eastAsia" w:ascii="宋体" w:hAnsi="宋体"/>
        </w:rPr>
        <w:t>非正常工况下，污染物泄漏</w:t>
      </w:r>
      <w:r>
        <w:rPr>
          <w:rFonts w:hint="eastAsia"/>
        </w:rPr>
        <w:t>1</w:t>
      </w:r>
      <w:r>
        <w:rPr>
          <w:rFonts w:hint="eastAsia" w:ascii="宋体" w:hAnsi="宋体"/>
        </w:rPr>
        <w:t>年被发现，导致地下水中出现污染物超标。在本次模拟事故源强和预测时段条件下，调节池的</w:t>
      </w:r>
      <w:r>
        <w:rPr>
          <w:rFonts w:hint="eastAsia"/>
        </w:rPr>
        <w:t>COD</w:t>
      </w:r>
      <w:r>
        <w:rPr>
          <w:rFonts w:ascii="宋体" w:hAnsi="宋体"/>
        </w:rPr>
        <w:t>不会</w:t>
      </w:r>
      <w:r>
        <w:rPr>
          <w:rFonts w:hint="eastAsia" w:ascii="宋体" w:hAnsi="宋体"/>
        </w:rPr>
        <w:t>导致厂区边界地下水超标。调节池</w:t>
      </w:r>
      <w:r>
        <w:rPr>
          <w:rFonts w:hint="eastAsia"/>
        </w:rPr>
        <w:t>COD</w:t>
      </w:r>
      <w:r>
        <w:rPr>
          <w:rFonts w:hint="eastAsia"/>
          <w:bCs/>
          <w:szCs w:val="24"/>
        </w:rPr>
        <w:t>超标污染羽最大迁移距离</w:t>
      </w:r>
      <w:r>
        <w:rPr>
          <w:rFonts w:hint="eastAsia"/>
          <w:spacing w:val="10"/>
          <w:szCs w:val="24"/>
        </w:rPr>
        <w:t>为</w:t>
      </w:r>
      <w:r>
        <w:rPr>
          <w:rFonts w:hint="eastAsia"/>
          <w:bCs/>
          <w:szCs w:val="24"/>
        </w:rPr>
        <w:t>114.7</w:t>
      </w:r>
      <w:r>
        <w:rPr>
          <w:spacing w:val="10"/>
          <w:szCs w:val="24"/>
        </w:rPr>
        <w:t>m</w:t>
      </w:r>
      <w:r>
        <w:rPr>
          <w:rFonts w:hint="eastAsia"/>
          <w:spacing w:val="10"/>
          <w:szCs w:val="24"/>
        </w:rPr>
        <w:t>，</w:t>
      </w:r>
      <w:r>
        <w:rPr>
          <w:rFonts w:hint="eastAsia"/>
          <w:bCs/>
          <w:szCs w:val="24"/>
        </w:rPr>
        <w:t>超标污染羽超出厂界距离0</w:t>
      </w:r>
      <w:r>
        <w:rPr>
          <w:spacing w:val="10"/>
          <w:szCs w:val="24"/>
        </w:rPr>
        <w:t>m</w:t>
      </w:r>
      <w:r>
        <w:rPr>
          <w:rFonts w:hint="eastAsia"/>
          <w:spacing w:val="10"/>
        </w:rPr>
        <w:t>。</w:t>
      </w:r>
      <w:r>
        <w:rPr>
          <w:rFonts w:hint="eastAsia"/>
          <w:spacing w:val="10"/>
          <w:szCs w:val="24"/>
        </w:rPr>
        <w:t>酸洗废水预处理设施氟化物不会导致厂区边界地下水超标。酸洗废水预处理设施氟化物超标污染羽最大迁移距离为</w:t>
      </w:r>
      <w:r>
        <w:rPr>
          <w:spacing w:val="10"/>
          <w:szCs w:val="24"/>
        </w:rPr>
        <w:t>94.6</w:t>
      </w:r>
      <w:r>
        <w:rPr>
          <w:rFonts w:hint="eastAsia"/>
          <w:spacing w:val="10"/>
          <w:szCs w:val="24"/>
        </w:rPr>
        <w:t>m，</w:t>
      </w:r>
      <w:r>
        <w:rPr>
          <w:rFonts w:hint="eastAsia"/>
          <w:bCs/>
          <w:szCs w:val="24"/>
        </w:rPr>
        <w:t>超标污染羽超出厂界距离0</w:t>
      </w:r>
      <w:r>
        <w:rPr>
          <w:spacing w:val="10"/>
          <w:szCs w:val="24"/>
        </w:rPr>
        <w:t>m</w:t>
      </w:r>
      <w:r>
        <w:rPr>
          <w:rFonts w:hint="eastAsia"/>
          <w:spacing w:val="10"/>
        </w:rPr>
        <w:t>。</w:t>
      </w:r>
      <w:r>
        <w:rPr>
          <w:rFonts w:hint="eastAsia" w:ascii="宋体" w:hAnsi="宋体"/>
        </w:rPr>
        <w:t>企业应做好污水处理区的防渗工作，及时发现并做好防渗措施能较好控制污染物迁移。</w:t>
      </w:r>
    </w:p>
    <w:p w14:paraId="1E54BC7A">
      <w:pPr>
        <w:ind w:firstLine="480"/>
        <w:rPr>
          <w:b/>
        </w:rPr>
      </w:pPr>
      <w:r>
        <w:rPr>
          <w:rFonts w:hint="eastAsia" w:ascii="宋体" w:hAnsi="宋体"/>
        </w:rPr>
        <w:t>（</w:t>
      </w:r>
      <w:r>
        <w:rPr>
          <w:rFonts w:hint="eastAsia"/>
        </w:rPr>
        <w:t>4</w:t>
      </w:r>
      <w:r>
        <w:rPr>
          <w:rFonts w:ascii="宋体" w:hAnsi="宋体"/>
        </w:rPr>
        <w:t>）</w:t>
      </w:r>
      <w:r>
        <w:rPr>
          <w:rFonts w:hint="eastAsia" w:ascii="宋体" w:hAnsi="宋体"/>
        </w:rPr>
        <w:t>污染物浓度随时间变化过程显示，非正常工况下污染物运移速度总体较慢，污染物运移范围不大，且污染物运移过程中不断稀释。污染物运移范围主要是场地水文地质条件决定，模拟区为独立水文地质单位，项目所在地含水层水力坡度相对较小，地下水径流较缓慢，污染物运移扩散范围有限。</w:t>
      </w:r>
    </w:p>
    <w:p w14:paraId="33CF69BD">
      <w:pPr>
        <w:ind w:firstLine="480"/>
        <w:rPr>
          <w:rFonts w:eastAsia="黑体"/>
          <w:sz w:val="32"/>
          <w:szCs w:val="32"/>
        </w:rPr>
        <w:sectPr>
          <w:pgSz w:w="11907" w:h="16840"/>
          <w:pgMar w:top="1440" w:right="1440" w:bottom="1440" w:left="1440" w:header="851" w:footer="992" w:gutter="0"/>
          <w:cols w:space="720" w:num="1"/>
          <w:docGrid w:type="lines" w:linePitch="326" w:charSpace="0"/>
        </w:sectPr>
      </w:pPr>
      <w:r>
        <w:rPr>
          <w:rFonts w:hint="eastAsia"/>
        </w:rPr>
        <w:t>（5</w:t>
      </w:r>
      <w:r>
        <w:t>）</w:t>
      </w:r>
      <w:r>
        <w:rPr>
          <w:rFonts w:hint="eastAsia"/>
        </w:rPr>
        <w:t>为防止非正常工况的发生，必须严格实施各项地下水防渗措施，提高防渗标准，减小事故发生的概率以及污染物入渗强度；同时结合地下水环境监测措施，一旦事故发生，能及时发现；启动应急响应，分析事故发展趋势，及时切断污染源，并将监测井转化为抽水井，实施水力截获，将污染物控制在较小范围，在采取上述措施后，扩建项目对地下水环境影响可控。</w:t>
      </w:r>
    </w:p>
    <w:p w14:paraId="0D2A8DD8">
      <w:pPr>
        <w:pStyle w:val="4068"/>
      </w:pPr>
      <w:bookmarkStart w:id="594" w:name="_Toc100784153"/>
      <w:bookmarkStart w:id="595" w:name="_Toc108662763"/>
      <w:bookmarkStart w:id="596" w:name="_Toc101135986"/>
      <w:r>
        <w:rPr>
          <w:rFonts w:hint="eastAsia"/>
        </w:rPr>
        <w:t>9.3.</w:t>
      </w:r>
      <w:r>
        <w:t>5</w:t>
      </w:r>
      <w:r>
        <w:rPr>
          <w:rFonts w:hint="eastAsia" w:ascii="黑体" w:hAnsi="黑体"/>
        </w:rPr>
        <w:t>环境</w:t>
      </w:r>
      <w:r>
        <w:rPr>
          <w:rFonts w:ascii="黑体" w:hAnsi="黑体"/>
        </w:rPr>
        <w:t>风险影响</w:t>
      </w:r>
      <w:bookmarkEnd w:id="594"/>
      <w:bookmarkEnd w:id="595"/>
      <w:bookmarkEnd w:id="596"/>
    </w:p>
    <w:p w14:paraId="32F24053">
      <w:pPr>
        <w:ind w:firstLine="480"/>
        <w:rPr>
          <w:szCs w:val="24"/>
        </w:rPr>
      </w:pPr>
      <w:r>
        <w:rPr>
          <w:rFonts w:ascii="宋体" w:hAnsi="宋体"/>
        </w:rPr>
        <w:t>（</w:t>
      </w:r>
      <w:r>
        <w:t>1</w:t>
      </w:r>
      <w:r>
        <w:rPr>
          <w:rFonts w:ascii="宋体" w:hAnsi="宋体"/>
        </w:rPr>
        <w:t>）项目建成后危险物质包括</w:t>
      </w:r>
      <w:r>
        <w:rPr>
          <w:rFonts w:hint="eastAsia" w:ascii="宋体" w:hAnsi="宋体"/>
        </w:rPr>
        <w:t>甲醇、</w:t>
      </w:r>
      <w:r>
        <w:rPr>
          <w:rFonts w:ascii="宋体" w:hAnsi="宋体"/>
        </w:rPr>
        <w:t>氨水等。</w:t>
      </w:r>
      <w:r>
        <w:rPr>
          <w:rFonts w:hint="eastAsia" w:ascii="宋体" w:hAnsi="宋体"/>
        </w:rPr>
        <w:t>构成危险单元</w:t>
      </w:r>
      <w:r>
        <w:rPr>
          <w:rFonts w:ascii="宋体" w:hAnsi="宋体"/>
        </w:rPr>
        <w:t>的</w:t>
      </w:r>
      <w:r>
        <w:rPr>
          <w:rFonts w:hint="eastAsia" w:ascii="宋体" w:hAnsi="宋体"/>
        </w:rPr>
        <w:t>生产设施</w:t>
      </w:r>
      <w:r>
        <w:rPr>
          <w:rFonts w:ascii="宋体" w:hAnsi="宋体"/>
        </w:rPr>
        <w:t>包括尾气处理装置</w:t>
      </w:r>
      <w:r>
        <w:rPr>
          <w:rFonts w:hint="eastAsia" w:ascii="宋体" w:hAnsi="宋体"/>
        </w:rPr>
        <w:t>及</w:t>
      </w:r>
      <w:r>
        <w:rPr>
          <w:rFonts w:ascii="宋体" w:hAnsi="宋体"/>
        </w:rPr>
        <w:t>废水处理设施等。</w:t>
      </w:r>
    </w:p>
    <w:p w14:paraId="129A8F8A">
      <w:pPr>
        <w:ind w:firstLine="480"/>
      </w:pPr>
      <w:r>
        <w:rPr>
          <w:rFonts w:ascii="宋体" w:hAnsi="宋体"/>
        </w:rPr>
        <w:t>（</w:t>
      </w:r>
      <w:r>
        <w:t>2</w:t>
      </w:r>
      <w:r>
        <w:rPr>
          <w:rFonts w:ascii="宋体" w:hAnsi="宋体"/>
        </w:rPr>
        <w:t>）本次评价风险事故类型</w:t>
      </w:r>
      <w:r>
        <w:rPr>
          <w:rFonts w:hint="eastAsia" w:ascii="宋体" w:hAnsi="宋体"/>
        </w:rPr>
        <w:t>为</w:t>
      </w:r>
      <w:r>
        <w:rPr>
          <w:rFonts w:hint="eastAsia"/>
        </w:rPr>
        <w:t>①</w:t>
      </w:r>
      <w:r>
        <w:rPr>
          <w:rFonts w:hint="eastAsia"/>
          <w:color w:val="000000"/>
        </w:rPr>
        <w:t>甲醇储罐</w:t>
      </w:r>
      <w:r>
        <w:rPr>
          <w:rFonts w:hint="eastAsia"/>
        </w:rPr>
        <w:t>泄漏火灾次生事故；②</w:t>
      </w:r>
      <w:r>
        <w:rPr>
          <w:lang w:val="zh-CN"/>
        </w:rPr>
        <w:t>污水处理调节池破损</w:t>
      </w:r>
      <w:r>
        <w:rPr>
          <w:rFonts w:hint="eastAsia"/>
          <w:lang w:val="zh-CN"/>
        </w:rPr>
        <w:t>污染</w:t>
      </w:r>
      <w:r>
        <w:rPr>
          <w:rFonts w:hint="eastAsia"/>
        </w:rPr>
        <w:t>地下水事故。</w:t>
      </w:r>
    </w:p>
    <w:p w14:paraId="4E815D60">
      <w:pPr>
        <w:ind w:firstLine="480"/>
      </w:pPr>
      <w:r>
        <w:rPr>
          <w:rFonts w:ascii="宋体" w:hAnsi="宋体"/>
        </w:rPr>
        <w:t>（</w:t>
      </w:r>
      <w:r>
        <w:t>3</w:t>
      </w:r>
      <w:r>
        <w:rPr>
          <w:rFonts w:ascii="宋体" w:hAnsi="宋体"/>
        </w:rPr>
        <w:t>）</w:t>
      </w:r>
      <w:r>
        <w:t>预测结果表明</w:t>
      </w:r>
      <w:r>
        <w:rPr>
          <w:rFonts w:hint="eastAsia"/>
        </w:rPr>
        <w:t>：</w:t>
      </w:r>
    </w:p>
    <w:p w14:paraId="53E80736">
      <w:pPr>
        <w:ind w:firstLine="480"/>
      </w:pPr>
      <w:r>
        <w:rPr>
          <w:rFonts w:hint="eastAsia" w:cs="Times New Roman"/>
        </w:rPr>
        <w:t>在</w:t>
      </w:r>
      <w:r>
        <w:rPr>
          <w:rFonts w:cs="Times New Roman"/>
        </w:rPr>
        <w:t>F稳定度下，</w:t>
      </w:r>
      <w:r>
        <w:rPr>
          <w:rFonts w:hint="eastAsia"/>
        </w:rPr>
        <w:t>氯化氢钢瓶</w:t>
      </w:r>
      <w:r>
        <w:t>泄漏事故</w:t>
      </w:r>
      <w:r>
        <w:rPr>
          <w:rFonts w:hint="eastAsia" w:cs="Times New Roman"/>
        </w:rPr>
        <w:t>产生</w:t>
      </w:r>
      <w:r>
        <w:rPr>
          <w:rFonts w:cs="Times New Roman"/>
        </w:rPr>
        <w:t>的</w:t>
      </w:r>
      <w:r>
        <w:rPr>
          <w:rFonts w:hint="eastAsia" w:cs="Times New Roman"/>
        </w:rPr>
        <w:t>氯化氢</w:t>
      </w:r>
      <w:r>
        <w:rPr>
          <w:rFonts w:cs="Times New Roman"/>
        </w:rPr>
        <w:t>30min</w:t>
      </w:r>
      <w:r>
        <w:rPr>
          <w:rFonts w:hint="eastAsia" w:cs="Times New Roman"/>
        </w:rPr>
        <w:t>达到</w:t>
      </w:r>
      <w:r>
        <w:rPr>
          <w:rFonts w:cs="Times New Roman"/>
        </w:rPr>
        <w:t>毒性终点浓度</w:t>
      </w:r>
      <w:r>
        <w:rPr>
          <w:rFonts w:hint="eastAsia" w:cs="Times New Roman"/>
        </w:rPr>
        <w:t>-</w:t>
      </w:r>
      <w:r>
        <w:rPr>
          <w:rFonts w:cs="Times New Roman"/>
        </w:rPr>
        <w:t>2</w:t>
      </w:r>
      <w:r>
        <w:rPr>
          <w:rFonts w:hint="eastAsia" w:cs="Times New Roman"/>
        </w:rPr>
        <w:t>最大出现距离为</w:t>
      </w:r>
      <w:r>
        <w:rPr>
          <w:rFonts w:hint="eastAsia"/>
        </w:rPr>
        <w:t>氯化氢钢瓶</w:t>
      </w:r>
      <w:r>
        <w:rPr>
          <w:rFonts w:cs="Times New Roman"/>
        </w:rPr>
        <w:t>下风向1320m</w:t>
      </w:r>
      <w:r>
        <w:rPr>
          <w:rFonts w:hint="eastAsia" w:cs="Times New Roman"/>
        </w:rPr>
        <w:t>（超</w:t>
      </w:r>
      <w:r>
        <w:rPr>
          <w:rFonts w:cs="Times New Roman"/>
        </w:rPr>
        <w:t>厂界</w:t>
      </w:r>
      <w:r>
        <w:rPr>
          <w:rFonts w:hint="eastAsia" w:cs="Times New Roman"/>
        </w:rPr>
        <w:t>外</w:t>
      </w:r>
      <w:r>
        <w:rPr>
          <w:rFonts w:cs="Times New Roman"/>
        </w:rPr>
        <w:t>1280m</w:t>
      </w:r>
      <w:r>
        <w:rPr>
          <w:rFonts w:hint="eastAsia" w:cs="Times New Roman"/>
        </w:rPr>
        <w:t>）；</w:t>
      </w:r>
      <w:r>
        <w:rPr>
          <w:rFonts w:hint="eastAsia"/>
        </w:rPr>
        <w:t>达到</w:t>
      </w:r>
      <w:r>
        <w:t>毒性终点浓度</w:t>
      </w:r>
      <w:r>
        <w:rPr>
          <w:rFonts w:hint="eastAsia"/>
        </w:rPr>
        <w:t>-</w:t>
      </w:r>
      <w:r>
        <w:t>1</w:t>
      </w:r>
      <w:r>
        <w:rPr>
          <w:rFonts w:hint="eastAsia"/>
        </w:rPr>
        <w:t>最大出现距离为氯化氢钢瓶</w:t>
      </w:r>
      <w:r>
        <w:t>下风向528m（</w:t>
      </w:r>
      <w:r>
        <w:rPr>
          <w:rFonts w:hint="eastAsia"/>
        </w:rPr>
        <w:t>超厂界外</w:t>
      </w:r>
      <w:r>
        <w:t>488m）</w:t>
      </w:r>
      <w:r>
        <w:rPr>
          <w:rFonts w:hint="eastAsia"/>
        </w:rPr>
        <w:t>。</w:t>
      </w:r>
    </w:p>
    <w:p w14:paraId="07698C92">
      <w:pPr>
        <w:ind w:firstLine="480"/>
      </w:pPr>
      <w:r>
        <w:rPr>
          <w:rFonts w:ascii="宋体" w:hAnsi="宋体"/>
        </w:rPr>
        <w:t>评价要求建设单位根据事故当天风向，确定可能受影响的环境敏感点，一旦发生事故应及时通知影响范围内保护对象，确保</w:t>
      </w:r>
      <w:r>
        <w:t>1h</w:t>
      </w:r>
      <w:r>
        <w:rPr>
          <w:rFonts w:ascii="宋体" w:hAnsi="宋体"/>
        </w:rPr>
        <w:t>内将受影响对象疏散撤离至上风向安全区域。制定应急预案，并与园区</w:t>
      </w:r>
      <w:r>
        <w:t>/</w:t>
      </w:r>
      <w:r>
        <w:rPr>
          <w:rFonts w:ascii="宋体" w:hAnsi="宋体"/>
        </w:rPr>
        <w:t>区域应急预案联动，事故状态启动应急监测等工作。</w:t>
      </w:r>
    </w:p>
    <w:p w14:paraId="77426A5E">
      <w:pPr>
        <w:ind w:firstLine="480"/>
      </w:pPr>
      <w:r>
        <w:rPr>
          <w:rFonts w:ascii="宋体" w:hAnsi="宋体"/>
        </w:rPr>
        <w:t>（</w:t>
      </w:r>
      <w:r>
        <w:t>4</w:t>
      </w:r>
      <w:r>
        <w:rPr>
          <w:rFonts w:ascii="宋体" w:hAnsi="宋体"/>
        </w:rPr>
        <w:t>）</w:t>
      </w:r>
      <w:r>
        <w:rPr>
          <w:rFonts w:hint="eastAsia" w:ascii="宋体" w:hAnsi="宋体"/>
        </w:rPr>
        <w:t>在企业采取有效的截流、控制措施后，事故废水排入沫冲引河的可能性很小。但如有事故废水及消防尾水进入沫冲引河，企业同时会采取有效的防护措施，及时控制事故，因此，进入沫冲引河的事故废水量很小且短暂，对沫冲引河及下游三铺大沟、淮河的影响在可接受范围内</w:t>
      </w:r>
      <w:r>
        <w:rPr>
          <w:rFonts w:ascii="宋体" w:hAnsi="宋体"/>
        </w:rPr>
        <w:t>。</w:t>
      </w:r>
    </w:p>
    <w:p w14:paraId="49F7943B">
      <w:pPr>
        <w:ind w:firstLine="480"/>
      </w:pPr>
      <w:r>
        <w:rPr>
          <w:rFonts w:ascii="宋体" w:hAnsi="宋体"/>
        </w:rPr>
        <w:t>（</w:t>
      </w:r>
      <w:r>
        <w:t>5</w:t>
      </w:r>
      <w:r>
        <w:rPr>
          <w:rFonts w:ascii="宋体" w:hAnsi="宋体"/>
        </w:rPr>
        <w:t>）建设单位从源头控制、分区防渗、跟踪监测和应急响应方面采取了地下水污染控制措施，可最大程度降低地下水环境风险。</w:t>
      </w:r>
    </w:p>
    <w:p w14:paraId="39FE6D7B">
      <w:pPr>
        <w:ind w:firstLine="480"/>
      </w:pPr>
      <w:r>
        <w:rPr>
          <w:rFonts w:ascii="宋体" w:hAnsi="宋体"/>
        </w:rPr>
        <w:t>（</w:t>
      </w:r>
      <w:r>
        <w:t>6</w:t>
      </w:r>
      <w:r>
        <w:rPr>
          <w:rFonts w:ascii="宋体" w:hAnsi="宋体"/>
        </w:rPr>
        <w:t>）由于事故触发因素不确定性，本项目事故情形设定并不能包含全部环境风险，事故情形设定建立在风险识别基础上，通过对代表性事故分析力求为风险管理提供科学依据。</w:t>
      </w:r>
    </w:p>
    <w:p w14:paraId="0DE6E807">
      <w:pPr>
        <w:ind w:firstLine="480"/>
      </w:pPr>
      <w:r>
        <w:rPr>
          <w:rFonts w:ascii="宋体" w:hAnsi="宋体"/>
        </w:rPr>
        <w:t>综上所述，本评价认为，在有效落实风险防范措施和事故应急预案的前提下，项目环境风险可以防控。</w:t>
      </w:r>
    </w:p>
    <w:p w14:paraId="6E601A86">
      <w:pPr>
        <w:pStyle w:val="4065"/>
      </w:pPr>
      <w:bookmarkStart w:id="597" w:name="_Toc87977881"/>
      <w:bookmarkEnd w:id="597"/>
      <w:bookmarkStart w:id="598" w:name="_Toc108662764"/>
      <w:r>
        <w:rPr>
          <w:rFonts w:hint="eastAsia"/>
        </w:rPr>
        <w:t>9.</w:t>
      </w:r>
      <w:r>
        <w:t>4</w:t>
      </w:r>
      <w:r>
        <w:rPr>
          <w:rFonts w:hint="eastAsia"/>
        </w:rPr>
        <w:t>环境保护措施</w:t>
      </w:r>
      <w:bookmarkEnd w:id="598"/>
    </w:p>
    <w:p w14:paraId="77E6798B">
      <w:pPr>
        <w:pStyle w:val="4068"/>
      </w:pPr>
      <w:bookmarkStart w:id="599" w:name="_Toc101135988"/>
      <w:bookmarkStart w:id="600" w:name="_Toc100784155"/>
      <w:bookmarkStart w:id="601" w:name="_Toc108662765"/>
      <w:r>
        <w:rPr>
          <w:rFonts w:hint="eastAsia"/>
        </w:rPr>
        <w:t>9</w:t>
      </w:r>
      <w:r>
        <w:t>.4.1</w:t>
      </w:r>
      <w:r>
        <w:rPr>
          <w:rFonts w:hint="eastAsia" w:ascii="黑体" w:hAnsi="黑体"/>
        </w:rPr>
        <w:t>废水</w:t>
      </w:r>
      <w:bookmarkEnd w:id="599"/>
      <w:bookmarkEnd w:id="600"/>
      <w:bookmarkEnd w:id="601"/>
    </w:p>
    <w:p w14:paraId="58BCAC7E">
      <w:pPr>
        <w:pStyle w:val="278"/>
        <w:ind w:firstLine="480"/>
        <w:rPr>
          <w:color w:val="FF0000"/>
        </w:rPr>
      </w:pPr>
      <w:r>
        <w:rPr>
          <w:rFonts w:hint="eastAsia"/>
          <w:color w:val="FF0000"/>
        </w:rPr>
        <w:t>涉及商业机密，已删除</w:t>
      </w:r>
    </w:p>
    <w:p w14:paraId="5FD1B4DE">
      <w:pPr>
        <w:ind w:firstLine="480"/>
        <w:rPr>
          <w:rFonts w:ascii="宋体" w:hAnsi="宋体"/>
        </w:rPr>
      </w:pPr>
    </w:p>
    <w:p w14:paraId="57B8F1FE">
      <w:pPr>
        <w:pStyle w:val="4068"/>
      </w:pPr>
      <w:bookmarkStart w:id="602" w:name="_Toc108662766"/>
      <w:bookmarkStart w:id="603" w:name="_Toc100784156"/>
      <w:bookmarkStart w:id="604" w:name="_Toc101135989"/>
      <w:r>
        <w:rPr>
          <w:rFonts w:hint="eastAsia"/>
        </w:rPr>
        <w:t>9</w:t>
      </w:r>
      <w:r>
        <w:t>.4.2</w:t>
      </w:r>
      <w:r>
        <w:rPr>
          <w:rFonts w:hint="eastAsia" w:ascii="黑体" w:hAnsi="黑体"/>
        </w:rPr>
        <w:t>废气</w:t>
      </w:r>
      <w:bookmarkEnd w:id="602"/>
      <w:bookmarkEnd w:id="603"/>
      <w:bookmarkEnd w:id="604"/>
    </w:p>
    <w:p w14:paraId="0DD843A0">
      <w:pPr>
        <w:pStyle w:val="278"/>
        <w:ind w:firstLine="480"/>
        <w:rPr>
          <w:color w:val="FF0000"/>
        </w:rPr>
      </w:pPr>
      <w:bookmarkStart w:id="605" w:name="_Toc100784157"/>
      <w:bookmarkStart w:id="606" w:name="_Toc108662767"/>
      <w:bookmarkStart w:id="607" w:name="_Toc101135990"/>
      <w:r>
        <w:rPr>
          <w:rFonts w:hint="eastAsia"/>
          <w:color w:val="FF0000"/>
        </w:rPr>
        <w:t>涉及商业机密，已删除</w:t>
      </w:r>
    </w:p>
    <w:p w14:paraId="002E621C">
      <w:pPr>
        <w:ind w:firstLine="480"/>
      </w:pPr>
    </w:p>
    <w:p w14:paraId="3444DC77">
      <w:pPr>
        <w:pStyle w:val="4068"/>
      </w:pPr>
      <w:r>
        <w:rPr>
          <w:rFonts w:hint="eastAsia"/>
        </w:rPr>
        <w:t>9</w:t>
      </w:r>
      <w:r>
        <w:t>.4.3</w:t>
      </w:r>
      <w:r>
        <w:rPr>
          <w:rFonts w:hint="eastAsia" w:ascii="黑体" w:hAnsi="黑体"/>
        </w:rPr>
        <w:t>噪声</w:t>
      </w:r>
      <w:bookmarkEnd w:id="605"/>
      <w:bookmarkEnd w:id="606"/>
      <w:bookmarkEnd w:id="607"/>
    </w:p>
    <w:p w14:paraId="50CAA3E9">
      <w:pPr>
        <w:ind w:firstLine="480"/>
      </w:pPr>
      <w:r>
        <w:rPr>
          <w:rFonts w:hint="eastAsia" w:ascii="宋体" w:hAnsi="宋体"/>
        </w:rPr>
        <w:t>扩建</w:t>
      </w:r>
      <w:r>
        <w:rPr>
          <w:rFonts w:ascii="宋体" w:hAnsi="宋体"/>
        </w:rPr>
        <w:t>项目主要噪声源为</w:t>
      </w:r>
      <w:r>
        <w:rPr>
          <w:rFonts w:hint="eastAsia"/>
          <w:color w:val="000000" w:themeColor="text1"/>
          <w14:textFill>
            <w14:solidFill>
              <w14:schemeClr w14:val="tx1"/>
            </w14:solidFill>
          </w14:textFill>
        </w:rPr>
        <w:t>泵机、空压机</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风</w:t>
      </w:r>
      <w:r>
        <w:rPr>
          <w:color w:val="000000" w:themeColor="text1"/>
          <w14:textFill>
            <w14:solidFill>
              <w14:schemeClr w14:val="tx1"/>
            </w14:solidFill>
          </w14:textFill>
        </w:rPr>
        <w:t>机</w:t>
      </w:r>
      <w:r>
        <w:rPr>
          <w:rFonts w:ascii="宋体" w:hAnsi="宋体"/>
        </w:rPr>
        <w:t>等，其源强为</w:t>
      </w:r>
      <w:r>
        <w:rPr>
          <w:color w:val="000000" w:themeColor="text1"/>
          <w14:textFill>
            <w14:solidFill>
              <w14:schemeClr w14:val="tx1"/>
            </w14:solidFill>
          </w14:textFill>
        </w:rPr>
        <w:t>80~95</w:t>
      </w:r>
      <w:r>
        <w:t>dB</w:t>
      </w:r>
      <w:r>
        <w:rPr>
          <w:rFonts w:ascii="宋体" w:hAnsi="宋体"/>
        </w:rPr>
        <w:t>（</w:t>
      </w:r>
      <w:r>
        <w:t>A</w:t>
      </w:r>
      <w:r>
        <w:rPr>
          <w:rFonts w:ascii="宋体" w:hAnsi="宋体"/>
        </w:rPr>
        <w:t>），采用了相应的隔声减振措施，降噪效果较好，对周围环境影响在可接受范围内。</w:t>
      </w:r>
    </w:p>
    <w:p w14:paraId="08FF03F4">
      <w:pPr>
        <w:pStyle w:val="4068"/>
      </w:pPr>
      <w:bookmarkStart w:id="608" w:name="_Toc108662768"/>
      <w:bookmarkStart w:id="609" w:name="_Toc100784158"/>
      <w:bookmarkStart w:id="610" w:name="_Toc101135991"/>
      <w:r>
        <w:rPr>
          <w:rFonts w:hint="eastAsia"/>
        </w:rPr>
        <w:t>9</w:t>
      </w:r>
      <w:r>
        <w:t>.4.4</w:t>
      </w:r>
      <w:r>
        <w:rPr>
          <w:rFonts w:hint="eastAsia" w:ascii="黑体" w:hAnsi="黑体"/>
        </w:rPr>
        <w:t>固体废物</w:t>
      </w:r>
      <w:bookmarkEnd w:id="608"/>
      <w:bookmarkEnd w:id="609"/>
      <w:bookmarkEnd w:id="610"/>
    </w:p>
    <w:p w14:paraId="7106EEA8">
      <w:pPr>
        <w:pStyle w:val="278"/>
        <w:ind w:firstLine="480"/>
        <w:rPr>
          <w:color w:val="FF0000"/>
        </w:rPr>
      </w:pPr>
      <w:r>
        <w:rPr>
          <w:rFonts w:hint="eastAsia"/>
          <w:color w:val="FF0000"/>
        </w:rPr>
        <w:t>涉及商业机密，已删除</w:t>
      </w:r>
    </w:p>
    <w:p w14:paraId="3A47671B">
      <w:pPr>
        <w:ind w:firstLine="480"/>
      </w:pPr>
    </w:p>
    <w:p w14:paraId="4A2D93A1">
      <w:pPr>
        <w:pStyle w:val="4068"/>
      </w:pPr>
      <w:bookmarkStart w:id="611" w:name="_Toc108662769"/>
      <w:bookmarkStart w:id="612" w:name="_Toc100784159"/>
      <w:bookmarkStart w:id="613" w:name="_Toc101135992"/>
      <w:r>
        <w:rPr>
          <w:rFonts w:hint="eastAsia"/>
        </w:rPr>
        <w:t>9</w:t>
      </w:r>
      <w:r>
        <w:t>.4.5</w:t>
      </w:r>
      <w:r>
        <w:rPr>
          <w:rFonts w:hint="eastAsia" w:ascii="黑体" w:hAnsi="黑体"/>
        </w:rPr>
        <w:t>地下水</w:t>
      </w:r>
      <w:r>
        <w:rPr>
          <w:rFonts w:ascii="黑体" w:hAnsi="黑体"/>
        </w:rPr>
        <w:t>及土壤</w:t>
      </w:r>
      <w:bookmarkEnd w:id="611"/>
      <w:bookmarkEnd w:id="612"/>
      <w:bookmarkEnd w:id="613"/>
    </w:p>
    <w:p w14:paraId="51855F3B">
      <w:pPr>
        <w:ind w:firstLine="480"/>
      </w:pPr>
      <w:r>
        <w:rPr>
          <w:rFonts w:hint="eastAsia" w:ascii="宋体" w:hAnsi="宋体"/>
        </w:rPr>
        <w:t>厂区实行</w:t>
      </w:r>
      <w:r>
        <w:rPr>
          <w:rFonts w:ascii="宋体" w:hAnsi="宋体"/>
        </w:rPr>
        <w:t>分区防渗，</w:t>
      </w:r>
      <w:r>
        <w:rPr>
          <w:rFonts w:hint="eastAsia" w:ascii="宋体" w:hAnsi="宋体"/>
        </w:rPr>
        <w:t>项目将装置区</w:t>
      </w:r>
      <w:r>
        <w:rPr>
          <w:rFonts w:ascii="宋体" w:hAnsi="宋体"/>
        </w:rPr>
        <w:t>、生产车间、污水处理</w:t>
      </w:r>
      <w:r>
        <w:rPr>
          <w:rFonts w:hint="eastAsia" w:ascii="宋体" w:hAnsi="宋体"/>
        </w:rPr>
        <w:t>站</w:t>
      </w:r>
      <w:r>
        <w:rPr>
          <w:rFonts w:ascii="宋体" w:hAnsi="宋体"/>
        </w:rPr>
        <w:t>、事故水池、初期雨水池</w:t>
      </w:r>
      <w:r>
        <w:rPr>
          <w:rFonts w:hint="eastAsia" w:ascii="宋体" w:hAnsi="宋体"/>
        </w:rPr>
        <w:t>、危废库</w:t>
      </w:r>
      <w:r>
        <w:rPr>
          <w:rFonts w:ascii="宋体" w:hAnsi="宋体"/>
        </w:rPr>
        <w:t>、</w:t>
      </w:r>
      <w:r>
        <w:rPr>
          <w:rFonts w:hint="eastAsia" w:ascii="宋体" w:hAnsi="宋体"/>
        </w:rPr>
        <w:t>原料</w:t>
      </w:r>
      <w:r>
        <w:rPr>
          <w:rFonts w:ascii="宋体" w:hAnsi="宋体"/>
        </w:rPr>
        <w:t>库</w:t>
      </w:r>
      <w:r>
        <w:rPr>
          <w:rFonts w:hint="eastAsia" w:ascii="宋体" w:hAnsi="宋体"/>
        </w:rPr>
        <w:t>、</w:t>
      </w:r>
      <w:r>
        <w:rPr>
          <w:rFonts w:ascii="宋体" w:hAnsi="宋体"/>
        </w:rPr>
        <w:t>成品库、污泥库</w:t>
      </w:r>
      <w:r>
        <w:rPr>
          <w:rFonts w:hint="eastAsia" w:ascii="宋体" w:hAnsi="宋体"/>
        </w:rPr>
        <w:t>和</w:t>
      </w:r>
      <w:r>
        <w:rPr>
          <w:rFonts w:ascii="宋体" w:hAnsi="宋体"/>
        </w:rPr>
        <w:t>罐区</w:t>
      </w:r>
      <w:r>
        <w:rPr>
          <w:rFonts w:hint="eastAsia" w:ascii="宋体" w:hAnsi="宋体"/>
        </w:rPr>
        <w:t>等</w:t>
      </w:r>
      <w:r>
        <w:rPr>
          <w:rFonts w:ascii="宋体" w:hAnsi="宋体"/>
        </w:rPr>
        <w:t>划</w:t>
      </w:r>
      <w:r>
        <w:rPr>
          <w:rFonts w:hint="eastAsia" w:ascii="宋体" w:hAnsi="宋体"/>
        </w:rPr>
        <w:t>为重点防渗区，防渗层的防渗性能</w:t>
      </w:r>
      <w:r>
        <w:rPr>
          <w:rFonts w:hint="eastAsia"/>
        </w:rPr>
        <w:t>为等效黏土防渗层Mb≥6.0m，K≤1×10</w:t>
      </w:r>
      <w:r>
        <w:rPr>
          <w:rFonts w:hint="eastAsia"/>
          <w:vertAlign w:val="superscript"/>
        </w:rPr>
        <w:t>-7</w:t>
      </w:r>
      <w:r>
        <w:rPr>
          <w:rFonts w:hint="eastAsia"/>
        </w:rPr>
        <w:t>cm/s</w:t>
      </w:r>
      <w:r>
        <w:rPr>
          <w:rFonts w:hint="eastAsia" w:ascii="宋体" w:hAnsi="宋体"/>
        </w:rPr>
        <w:t>；将辅助</w:t>
      </w:r>
      <w:r>
        <w:rPr>
          <w:rFonts w:ascii="宋体" w:hAnsi="宋体"/>
        </w:rPr>
        <w:t>工程区等</w:t>
      </w:r>
      <w:r>
        <w:rPr>
          <w:rFonts w:hint="eastAsia" w:ascii="宋体" w:hAnsi="宋体"/>
        </w:rPr>
        <w:t>划为一般防渗区，防渗层的防渗性能</w:t>
      </w:r>
      <w:r>
        <w:rPr>
          <w:rFonts w:hint="eastAsia"/>
        </w:rPr>
        <w:t>为等效黏土防渗层Mb≥1.5m，K≤1×10</w:t>
      </w:r>
      <w:r>
        <w:rPr>
          <w:rFonts w:hint="eastAsia"/>
          <w:vertAlign w:val="superscript"/>
        </w:rPr>
        <w:t>-7</w:t>
      </w:r>
      <w:r>
        <w:rPr>
          <w:rFonts w:hint="eastAsia"/>
        </w:rPr>
        <w:t>cm/s</w:t>
      </w:r>
      <w:r>
        <w:rPr>
          <w:rFonts w:hint="eastAsia" w:ascii="宋体" w:hAnsi="宋体"/>
        </w:rPr>
        <w:t>。</w:t>
      </w:r>
    </w:p>
    <w:p w14:paraId="6DB4FC90">
      <w:pPr>
        <w:pStyle w:val="4065"/>
      </w:pPr>
      <w:bookmarkStart w:id="614" w:name="_Toc108662770"/>
      <w:r>
        <w:rPr>
          <w:rFonts w:hint="eastAsia"/>
        </w:rPr>
        <w:t>9.</w:t>
      </w:r>
      <w:r>
        <w:t>5</w:t>
      </w:r>
      <w:r>
        <w:rPr>
          <w:rFonts w:hint="eastAsia"/>
        </w:rPr>
        <w:t>公众意见</w:t>
      </w:r>
      <w:r>
        <w:t>采纳情况</w:t>
      </w:r>
      <w:bookmarkEnd w:id="614"/>
    </w:p>
    <w:p w14:paraId="534A01F2">
      <w:pPr>
        <w:ind w:firstLine="480"/>
      </w:pPr>
      <w:r>
        <w:rPr>
          <w:rFonts w:hint="eastAsia"/>
        </w:rPr>
        <w:t>建设单位</w:t>
      </w:r>
      <w:r>
        <w:t>安徽凯盛</w:t>
      </w:r>
      <w:r>
        <w:rPr>
          <w:rFonts w:hint="eastAsia"/>
        </w:rPr>
        <w:t>应用</w:t>
      </w:r>
      <w:r>
        <w:t>材料</w:t>
      </w:r>
      <w:r>
        <w:rPr>
          <w:rFonts w:hint="eastAsia"/>
        </w:rPr>
        <w:t>有限</w:t>
      </w:r>
      <w:r>
        <w:t>公司</w:t>
      </w:r>
      <w:r>
        <w:rPr>
          <w:rFonts w:hint="eastAsia"/>
        </w:rPr>
        <w:t>于20</w:t>
      </w:r>
      <w:r>
        <w:t>22</w:t>
      </w:r>
      <w:r>
        <w:rPr>
          <w:rFonts w:hint="eastAsia"/>
        </w:rPr>
        <w:t>年</w:t>
      </w:r>
      <w:r>
        <w:t>4</w:t>
      </w:r>
      <w:r>
        <w:rPr>
          <w:rFonts w:hint="eastAsia"/>
        </w:rPr>
        <w:t>月</w:t>
      </w:r>
      <w:r>
        <w:t>20</w:t>
      </w:r>
      <w:r>
        <w:rPr>
          <w:rFonts w:hint="eastAsia"/>
        </w:rPr>
        <w:t>日在</w:t>
      </w:r>
      <w:r>
        <w:rPr>
          <w:rFonts w:hint="eastAsia" w:cs="Times New Roman"/>
        </w:rPr>
        <w:t>淮上区人民</w:t>
      </w:r>
      <w:r>
        <w:rPr>
          <w:rFonts w:cs="Times New Roman"/>
        </w:rPr>
        <w:t>政府网站</w:t>
      </w:r>
      <w:r>
        <w:rPr>
          <w:rFonts w:hint="eastAsia"/>
        </w:rPr>
        <w:t>发布了征求意见稿公示</w:t>
      </w:r>
      <w:r>
        <w:t>，</w:t>
      </w:r>
      <w:r>
        <w:rPr>
          <w:bCs/>
        </w:rPr>
        <w:t>在此期间建设单位同步进行了报纸公示</w:t>
      </w:r>
      <w:r>
        <w:rPr>
          <w:rFonts w:hint="eastAsia"/>
          <w:bCs/>
        </w:rPr>
        <w:t>和</w:t>
      </w:r>
      <w:r>
        <w:rPr>
          <w:bCs/>
        </w:rPr>
        <w:t>张贴公告。本项目</w:t>
      </w:r>
      <w:r>
        <w:rPr>
          <w:rFonts w:hint="eastAsia"/>
        </w:rPr>
        <w:t>征求意见稿</w:t>
      </w:r>
      <w:r>
        <w:t>公示期间，未收到</w:t>
      </w:r>
      <w:r>
        <w:rPr>
          <w:rFonts w:hint="eastAsia"/>
        </w:rPr>
        <w:t>任何</w:t>
      </w:r>
      <w:r>
        <w:t>公众意见与反馈</w:t>
      </w:r>
      <w:r>
        <w:rPr>
          <w:rFonts w:ascii="宋体" w:hAnsi="宋体"/>
        </w:rPr>
        <w:t>。</w:t>
      </w:r>
    </w:p>
    <w:p w14:paraId="481D1C1B">
      <w:pPr>
        <w:pStyle w:val="4065"/>
        <w:rPr>
          <w:color w:val="000000" w:themeColor="text1"/>
          <w14:textFill>
            <w14:solidFill>
              <w14:schemeClr w14:val="tx1"/>
            </w14:solidFill>
          </w14:textFill>
        </w:rPr>
      </w:pPr>
      <w:bookmarkStart w:id="615" w:name="_Toc87977883"/>
      <w:bookmarkEnd w:id="615"/>
      <w:bookmarkStart w:id="616" w:name="_Toc87977882"/>
      <w:bookmarkEnd w:id="616"/>
      <w:bookmarkStart w:id="617" w:name="_Toc108662771"/>
      <w:r>
        <w:t>9.6</w:t>
      </w:r>
      <w:r>
        <w:rPr>
          <w:rFonts w:hint="eastAsia" w:ascii="黑体" w:hAnsi="黑体"/>
        </w:rPr>
        <w:t>总量控制</w:t>
      </w:r>
      <w:bookmarkEnd w:id="617"/>
    </w:p>
    <w:p w14:paraId="1FCC15FF">
      <w:pPr>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扩建项目</w:t>
      </w:r>
      <w:r>
        <w:rPr>
          <w:rFonts w:ascii="宋体" w:hAnsi="宋体"/>
          <w:color w:val="000000" w:themeColor="text1"/>
          <w14:textFill>
            <w14:solidFill>
              <w14:schemeClr w14:val="tx1"/>
            </w14:solidFill>
          </w14:textFill>
        </w:rPr>
        <w:t>的主要污染物</w:t>
      </w:r>
      <w:r>
        <w:rPr>
          <w:rFonts w:hint="eastAsia" w:ascii="宋体" w:hAnsi="宋体"/>
          <w:color w:val="000000" w:themeColor="text1"/>
          <w14:textFill>
            <w14:solidFill>
              <w14:schemeClr w14:val="tx1"/>
            </w14:solidFill>
          </w14:textFill>
        </w:rPr>
        <w:t>排放量</w:t>
      </w:r>
      <w:r>
        <w:rPr>
          <w:rFonts w:ascii="宋体" w:hAnsi="宋体"/>
          <w:color w:val="000000" w:themeColor="text1"/>
          <w14:textFill>
            <w14:solidFill>
              <w14:schemeClr w14:val="tx1"/>
            </w14:solidFill>
          </w14:textFill>
        </w:rPr>
        <w:t>为</w:t>
      </w:r>
      <w:r>
        <w:rPr>
          <w:rFonts w:hint="eastAsia" w:ascii="宋体" w:hAnsi="宋体"/>
          <w:color w:val="000000" w:themeColor="text1"/>
          <w14:textFill>
            <w14:solidFill>
              <w14:schemeClr w14:val="tx1"/>
            </w14:solidFill>
          </w14:textFill>
        </w:rPr>
        <w:t>废水</w:t>
      </w:r>
      <w:r>
        <w:rPr>
          <w:rFonts w:ascii="宋体"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C</w:t>
      </w:r>
      <w:r>
        <w:rPr>
          <w:color w:val="000000" w:themeColor="text1"/>
          <w14:textFill>
            <w14:solidFill>
              <w14:schemeClr w14:val="tx1"/>
            </w14:solidFill>
          </w14:textFill>
        </w:rPr>
        <w:t>OD</w:t>
      </w:r>
      <w:r>
        <w:t>7.69</w:t>
      </w:r>
      <w:r>
        <w:rPr>
          <w:color w:val="000000" w:themeColor="text1"/>
          <w14:textFill>
            <w14:solidFill>
              <w14:schemeClr w14:val="tx1"/>
            </w14:solidFill>
          </w14:textFill>
        </w:rPr>
        <w:t>t/a</w:t>
      </w:r>
      <w:r>
        <w:rPr>
          <w:rFonts w:hint="eastAsia" w:ascii="宋体" w:hAnsi="宋体"/>
          <w:color w:val="000000" w:themeColor="text1"/>
          <w14:textFill>
            <w14:solidFill>
              <w14:schemeClr w14:val="tx1"/>
            </w14:solidFill>
          </w14:textFill>
        </w:rPr>
        <w:t>、氨氮</w:t>
      </w:r>
      <w:r>
        <w:rPr>
          <w:color w:val="000000" w:themeColor="text1"/>
          <w14:textFill>
            <w14:solidFill>
              <w14:schemeClr w14:val="tx1"/>
            </w14:solidFill>
          </w14:textFill>
        </w:rPr>
        <w:t>0.10t/a</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废气（</w:t>
      </w:r>
      <w:r>
        <w:rPr>
          <w:rFonts w:hint="eastAsia" w:ascii="宋体" w:hAnsi="宋体"/>
          <w:color w:val="000000" w:themeColor="text1"/>
          <w14:textFill>
            <w14:solidFill>
              <w14:schemeClr w14:val="tx1"/>
            </w14:solidFill>
          </w14:textFill>
        </w:rPr>
        <w:t>烟</w:t>
      </w:r>
      <w:r>
        <w:rPr>
          <w:rFonts w:ascii="宋体" w:hAnsi="宋体"/>
          <w:color w:val="000000" w:themeColor="text1"/>
          <w14:textFill>
            <w14:solidFill>
              <w14:schemeClr w14:val="tx1"/>
            </w14:solidFill>
          </w14:textFill>
        </w:rPr>
        <w:t>尘</w:t>
      </w:r>
      <w:r>
        <w:rPr>
          <w:color w:val="000000" w:themeColor="text1"/>
          <w14:textFill>
            <w14:solidFill>
              <w14:schemeClr w14:val="tx1"/>
            </w14:solidFill>
          </w14:textFill>
        </w:rPr>
        <w:t>1.217t/a</w:t>
      </w:r>
      <w:r>
        <w:rPr>
          <w:rFonts w:hint="eastAsia" w:ascii="宋体" w:hAnsi="宋体"/>
          <w:color w:val="000000" w:themeColor="text1"/>
          <w14:textFill>
            <w14:solidFill>
              <w14:schemeClr w14:val="tx1"/>
            </w14:solidFill>
          </w14:textFill>
        </w:rPr>
        <w:t>、</w:t>
      </w:r>
      <w:r>
        <w:rPr>
          <w:color w:val="000000" w:themeColor="text1"/>
          <w14:textFill>
            <w14:solidFill>
              <w14:schemeClr w14:val="tx1"/>
            </w14:solidFill>
          </w14:textFill>
        </w:rPr>
        <w:t>VOCs 1.282t/a</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p>
    <w:p w14:paraId="760F6FAD">
      <w:pPr>
        <w:pStyle w:val="4065"/>
      </w:pPr>
      <w:bookmarkStart w:id="618" w:name="_Toc87977884"/>
      <w:bookmarkEnd w:id="618"/>
      <w:bookmarkStart w:id="619" w:name="_Toc108662772"/>
      <w:r>
        <w:rPr>
          <w:rFonts w:hint="eastAsia"/>
        </w:rPr>
        <w:t>9.</w:t>
      </w:r>
      <w:r>
        <w:t>7</w:t>
      </w:r>
      <w:r>
        <w:rPr>
          <w:rFonts w:hint="eastAsia"/>
        </w:rPr>
        <w:t>评价总结论</w:t>
      </w:r>
      <w:bookmarkEnd w:id="619"/>
    </w:p>
    <w:p w14:paraId="493C2C7E">
      <w:pPr>
        <w:ind w:firstLine="480"/>
        <w:rPr>
          <w:bCs/>
        </w:rPr>
      </w:pPr>
      <w:r>
        <w:rPr>
          <w:rFonts w:hint="eastAsia" w:ascii="宋体" w:hAnsi="宋体"/>
        </w:rPr>
        <w:t>综上所述，</w:t>
      </w:r>
      <w:r>
        <w:rPr>
          <w:rFonts w:hint="eastAsia"/>
        </w:rPr>
        <w:t>拟建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对环境的影响可接受；通过采取有针对性的风险防范措施并落实应急预案，项目的环境风险可控。建设单位按照《环境影响评价公众参与办法》开展了公众参与调查，公示期间未收到反馈意见</w:t>
      </w:r>
      <w:r>
        <w:rPr>
          <w:rFonts w:hint="eastAsia" w:ascii="宋体" w:hAnsi="宋体"/>
          <w:bCs/>
        </w:rPr>
        <w:t>。</w:t>
      </w:r>
    </w:p>
    <w:p w14:paraId="2483C64D">
      <w:pPr>
        <w:ind w:firstLine="480"/>
      </w:pPr>
      <w:r>
        <w:rPr>
          <w:rFonts w:hint="eastAsia" w:ascii="宋体" w:hAnsi="宋体"/>
          <w:bCs/>
        </w:rPr>
        <w:t>评价认为，</w:t>
      </w:r>
      <w:r>
        <w:rPr>
          <w:rFonts w:hint="eastAsia"/>
        </w:rPr>
        <w:t>在落实本报告书中的各项环保措施以及各级环保主管部门管理要求的前提下，从环保角度分析，拟建项目的建设具有环境可行性</w:t>
      </w:r>
      <w:r>
        <w:rPr>
          <w:rFonts w:hint="eastAsia" w:ascii="宋体" w:hAnsi="宋体"/>
          <w:bCs/>
        </w:rPr>
        <w:t>。</w:t>
      </w:r>
    </w:p>
    <w:p w14:paraId="4F0122F7">
      <w:pPr>
        <w:ind w:firstLine="480"/>
      </w:pPr>
    </w:p>
    <w:sectPr>
      <w:pgSz w:w="11907" w:h="16839"/>
      <w:pgMar w:top="1440" w:right="1440" w:bottom="1440" w:left="144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楷体">
    <w:altName w:val="宋体"/>
    <w:panose1 w:val="02010600040101010101"/>
    <w:charset w:val="86"/>
    <w:family w:val="auto"/>
    <w:pitch w:val="default"/>
    <w:sig w:usb0="00000000" w:usb1="00000000" w:usb2="00000010" w:usb3="00000000" w:csb0="0004009F" w:csb1="00000000"/>
  </w:font>
  <w:font w:name="Courier New">
    <w:panose1 w:val="02070309020205020404"/>
    <w:charset w:val="00"/>
    <w:family w:val="modern"/>
    <w:pitch w:val="default"/>
    <w:sig w:usb0="E0002EFF" w:usb1="C0007843" w:usb2="00000009" w:usb3="00000000" w:csb0="400001FF" w:csb1="FFFF0000"/>
  </w:font>
  <w:font w:name="Arial Black">
    <w:panose1 w:val="020B0A04020102020204"/>
    <w:charset w:val="00"/>
    <w:family w:val="swiss"/>
    <w:pitch w:val="default"/>
    <w:sig w:usb0="A00002AF" w:usb1="400078FB" w:usb2="00000000" w:usb3="00000000" w:csb0="6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Swis721 BlkCn BT">
    <w:altName w:val="Yu Gothic UI Semibold"/>
    <w:panose1 w:val="020B0806030502040204"/>
    <w:charset w:val="00"/>
    <w:family w:val="swiss"/>
    <w:pitch w:val="default"/>
    <w:sig w:usb0="00000000" w:usb1="00000000" w:usb2="00000000" w:usb3="00000000" w:csb0="0000001B" w:csb1="00000000"/>
  </w:font>
  <w:font w:name="方正大黑简体">
    <w:altName w:val="黑体"/>
    <w:panose1 w:val="00000000000000000000"/>
    <w:charset w:val="86"/>
    <w:family w:val="script"/>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MingLiU">
    <w:altName w:val="PMingLiU-ExtB"/>
    <w:panose1 w:val="02010609000101010101"/>
    <w:charset w:val="88"/>
    <w:family w:val="modern"/>
    <w:pitch w:val="default"/>
    <w:sig w:usb0="00000000" w:usb1="00000000" w:usb2="00000016" w:usb3="00000000" w:csb0="00100001" w:csb1="00000000"/>
  </w:font>
  <w:font w:name="細明體">
    <w:altName w:val="Segoe Print"/>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10" w:usb3="00000000" w:csb0="0004009F" w:csb1="00000000"/>
  </w:font>
  <w:font w:name="..">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华文宋体">
    <w:altName w:val="宋体"/>
    <w:panose1 w:val="02010600040101010101"/>
    <w:charset w:val="86"/>
    <w:family w:val="auto"/>
    <w:pitch w:val="default"/>
    <w:sig w:usb0="00000000" w:usb1="00000000" w:usb2="00000010" w:usb3="00000000" w:csb0="0004009F" w:csb1="00000000"/>
  </w:font>
  <w:font w:name="方正仿宋_GBK">
    <w:panose1 w:val="02000000000000000000"/>
    <w:charset w:val="86"/>
    <w:family w:val="script"/>
    <w:pitch w:val="default"/>
    <w:sig w:usb0="A00002BF" w:usb1="38CF7CFA" w:usb2="00082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MS Mincho">
    <w:altName w:val="MS UI Gothic"/>
    <w:panose1 w:val="02020609040205080304"/>
    <w:charset w:val="80"/>
    <w:family w:val="modern"/>
    <w:pitch w:val="default"/>
    <w:sig w:usb0="00000000" w:usb1="00000000"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Times New Roman;Symbol;Arial;婼">
    <w:altName w:val="黑体"/>
    <w:panose1 w:val="00000000000000000000"/>
    <w:charset w:val="86"/>
    <w:family w:val="auto"/>
    <w:pitch w:val="default"/>
    <w:sig w:usb0="00000000" w:usb1="00000000" w:usb2="0000001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바탕">
    <w:altName w:val="Segoe Print"/>
    <w:panose1 w:val="00000000000000000000"/>
    <w:charset w:val="00"/>
    <w:family w:val="auto"/>
    <w:pitch w:val="default"/>
    <w:sig w:usb0="00000000" w:usb1="00000000" w:usb2="00000000" w:usb3="00000000" w:csb0="00000000" w:csb1="00000000"/>
  </w:font>
  <w:font w:name="Tms Rmn">
    <w:altName w:val="Segoe Print"/>
    <w:panose1 w:val="02020603040505020304"/>
    <w:charset w:val="00"/>
    <w:family w:val="roman"/>
    <w:pitch w:val="default"/>
    <w:sig w:usb0="00000000" w:usb1="00000000" w:usb2="00000000" w:usb3="00000000" w:csb0="00000001" w:csb1="00000000"/>
  </w:font>
  <w:font w:name="汉鼎简书宋">
    <w:altName w:val="宋体"/>
    <w:panose1 w:val="00000000000000000000"/>
    <w:charset w:val="86"/>
    <w:family w:val="modern"/>
    <w:pitch w:val="default"/>
    <w:sig w:usb0="00000000" w:usb1="00000000" w:usb2="00000010" w:usb3="00000000" w:csb0="00040000" w:csb1="00000000"/>
  </w:font>
  <w:font w:name="华文行楷">
    <w:altName w:val="微软雅黑"/>
    <w:panose1 w:val="02010800040101010101"/>
    <w:charset w:val="86"/>
    <w:family w:val="auto"/>
    <w:pitch w:val="default"/>
    <w:sig w:usb0="00000000" w:usb1="00000000" w:usb2="0000001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Symusic">
    <w:altName w:val="Segoe Print"/>
    <w:panose1 w:val="00000400000000000000"/>
    <w:charset w:val="00"/>
    <w:family w:val="auto"/>
    <w:pitch w:val="default"/>
    <w:sig w:usb0="00000000" w:usb1="00000000" w:usb2="00000000" w:usb3="00000000" w:csb0="000001FF" w:csb1="00000000"/>
  </w:font>
  <w:font w:name="等线">
    <w:panose1 w:val="02010600030101010101"/>
    <w:charset w:val="86"/>
    <w:family w:val="auto"/>
    <w:pitch w:val="default"/>
    <w:sig w:usb0="A00002BF" w:usb1="38CF7CFA" w:usb2="00000016" w:usb3="00000000" w:csb0="0004000F" w:csb1="00000000"/>
  </w:font>
  <w:font w:name="TimesNewRomanPSMT">
    <w:altName w:val="等线"/>
    <w:panose1 w:val="00000000000000000000"/>
    <w:charset w:val="00"/>
    <w:family w:val="auto"/>
    <w:pitch w:val="default"/>
    <w:sig w:usb0="00000000" w:usb1="00000000" w:usb2="00000010"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965754"/>
      <w:docPartObj>
        <w:docPartGallery w:val="AutoText"/>
      </w:docPartObj>
    </w:sdtPr>
    <w:sdtEndPr>
      <w:rPr>
        <w:rFonts w:ascii="Times New Roman" w:hAnsi="Times New Roman"/>
      </w:rPr>
    </w:sdtEndPr>
    <w:sdtContent>
      <w:p w14:paraId="38B324DF">
        <w:pPr>
          <w:pStyle w:val="43"/>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21</w:t>
        </w:r>
        <w:r>
          <w:rPr>
            <w:rFonts w:ascii="Times New Roman" w:hAnsi="Times New Roman"/>
          </w:rPr>
          <w:fldChar w:fldCharType="end"/>
        </w:r>
      </w:p>
    </w:sdtContent>
  </w:sdt>
  <w:p w14:paraId="4B9A3E40">
    <w:pPr>
      <w:pStyle w:val="4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507E7">
    <w:pPr>
      <w:pStyle w:val="4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68B9A">
    <w:pPr>
      <w:pStyle w:val="4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F085A">
    <w:pPr>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7E08C">
    <w:pP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2A4C5">
    <w:pPr>
      <w:pStyle w:val="44"/>
      <w:ind w:firstLine="0" w:firstLineChars="0"/>
    </w:pPr>
    <w:r>
      <w:t>安徽凯盛</w:t>
    </w:r>
    <w:r>
      <w:rPr>
        <w:rFonts w:hint="eastAsia"/>
      </w:rPr>
      <w:t>应用</w:t>
    </w:r>
    <w:r>
      <w:t>材料</w:t>
    </w:r>
    <w:r>
      <w:rPr>
        <w:rFonts w:hint="eastAsia"/>
      </w:rPr>
      <w:t>有限</w:t>
    </w:r>
    <w:r>
      <w:t>公司</w:t>
    </w:r>
    <w:r>
      <w:rPr>
        <w:rFonts w:hint="eastAsia"/>
      </w:rPr>
      <w:t>年产7000吨硅基新材料技改/扩建项目环境</w:t>
    </w:r>
    <w:r>
      <w:t>影响报告书</w:t>
    </w:r>
  </w:p>
  <w:p w14:paraId="5D289291">
    <w:pPr>
      <w:pStyle w:val="4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080E7">
    <w:pPr>
      <w:pStyle w:val="4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26F1">
    <w:pPr>
      <w:pStyle w:val="44"/>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44879">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1A01F">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C83754"/>
    <w:multiLevelType w:val="multilevel"/>
    <w:tmpl w:val="3AC83754"/>
    <w:lvl w:ilvl="0" w:tentative="0">
      <w:start w:val="1"/>
      <w:numFmt w:val="decimal"/>
      <w:lvlText w:val="%1."/>
      <w:lvlJc w:val="left"/>
      <w:pPr>
        <w:tabs>
          <w:tab w:val="left" w:pos="921"/>
        </w:tabs>
        <w:ind w:left="921" w:hanging="360"/>
      </w:pPr>
      <w:rPr>
        <w:rFonts w:hint="default"/>
      </w:rPr>
    </w:lvl>
    <w:lvl w:ilvl="1" w:tentative="0">
      <w:start w:val="1"/>
      <w:numFmt w:val="lowerLetter"/>
      <w:lvlText w:val="%2)"/>
      <w:lvlJc w:val="left"/>
      <w:pPr>
        <w:tabs>
          <w:tab w:val="left" w:pos="1401"/>
        </w:tabs>
        <w:ind w:left="1401" w:hanging="420"/>
      </w:pPr>
    </w:lvl>
    <w:lvl w:ilvl="2" w:tentative="0">
      <w:start w:val="1"/>
      <w:numFmt w:val="lowerRoman"/>
      <w:lvlText w:val="%3."/>
      <w:lvlJc w:val="right"/>
      <w:pPr>
        <w:tabs>
          <w:tab w:val="left" w:pos="1860"/>
        </w:tabs>
        <w:ind w:left="1860" w:hanging="420"/>
      </w:pPr>
    </w:lvl>
    <w:lvl w:ilvl="3" w:tentative="0">
      <w:start w:val="1"/>
      <w:numFmt w:val="decimal"/>
      <w:lvlText w:val="%4."/>
      <w:lvlJc w:val="left"/>
      <w:pPr>
        <w:tabs>
          <w:tab w:val="left" w:pos="2241"/>
        </w:tabs>
        <w:ind w:left="2241" w:hanging="420"/>
      </w:pPr>
    </w:lvl>
    <w:lvl w:ilvl="4" w:tentative="0">
      <w:start w:val="1"/>
      <w:numFmt w:val="lowerLetter"/>
      <w:lvlText w:val="%5)"/>
      <w:lvlJc w:val="left"/>
      <w:pPr>
        <w:tabs>
          <w:tab w:val="left" w:pos="2661"/>
        </w:tabs>
        <w:ind w:left="2661" w:hanging="420"/>
      </w:pPr>
    </w:lvl>
    <w:lvl w:ilvl="5" w:tentative="0">
      <w:start w:val="1"/>
      <w:numFmt w:val="lowerRoman"/>
      <w:lvlText w:val="%6."/>
      <w:lvlJc w:val="right"/>
      <w:pPr>
        <w:tabs>
          <w:tab w:val="left" w:pos="3081"/>
        </w:tabs>
        <w:ind w:left="3081" w:hanging="420"/>
      </w:pPr>
    </w:lvl>
    <w:lvl w:ilvl="6" w:tentative="0">
      <w:start w:val="1"/>
      <w:numFmt w:val="decimal"/>
      <w:lvlText w:val="%7."/>
      <w:lvlJc w:val="left"/>
      <w:pPr>
        <w:tabs>
          <w:tab w:val="left" w:pos="3501"/>
        </w:tabs>
        <w:ind w:left="3501" w:hanging="420"/>
      </w:pPr>
    </w:lvl>
    <w:lvl w:ilvl="7" w:tentative="0">
      <w:start w:val="1"/>
      <w:numFmt w:val="lowerLetter"/>
      <w:lvlText w:val="%8)"/>
      <w:lvlJc w:val="left"/>
      <w:pPr>
        <w:tabs>
          <w:tab w:val="left" w:pos="3921"/>
        </w:tabs>
        <w:ind w:left="3921" w:hanging="420"/>
      </w:pPr>
    </w:lvl>
    <w:lvl w:ilvl="8" w:tentative="0">
      <w:start w:val="1"/>
      <w:numFmt w:val="lowerRoman"/>
      <w:lvlText w:val="%9."/>
      <w:lvlJc w:val="right"/>
      <w:pPr>
        <w:tabs>
          <w:tab w:val="left" w:pos="4341"/>
        </w:tabs>
        <w:ind w:left="4341" w:hanging="420"/>
      </w:pPr>
    </w:lvl>
  </w:abstractNum>
  <w:abstractNum w:abstractNumId="1">
    <w:nsid w:val="3D8E37FC"/>
    <w:multiLevelType w:val="multilevel"/>
    <w:tmpl w:val="3D8E37FC"/>
    <w:lvl w:ilvl="0" w:tentative="0">
      <w:start w:val="1"/>
      <w:numFmt w:val="decimal"/>
      <w:lvlText w:val="%1"/>
      <w:lvlJc w:val="left"/>
      <w:pPr>
        <w:tabs>
          <w:tab w:val="left" w:pos="432"/>
        </w:tabs>
        <w:ind w:left="432" w:hanging="432"/>
      </w:pPr>
      <w:rPr>
        <w:rFonts w:hint="eastAsia"/>
      </w:rPr>
    </w:lvl>
    <w:lvl w:ilvl="1" w:tentative="0">
      <w:start w:val="1"/>
      <w:numFmt w:val="decimal"/>
      <w:pStyle w:val="698"/>
      <w:lvlText w:val="%1.%2"/>
      <w:lvlJc w:val="left"/>
      <w:pPr>
        <w:tabs>
          <w:tab w:val="left" w:pos="576"/>
        </w:tabs>
        <w:ind w:left="576" w:hanging="576"/>
      </w:pPr>
      <w:rPr>
        <w:rFonts w:hint="eastAsia"/>
      </w:rPr>
    </w:lvl>
    <w:lvl w:ilvl="2" w:tentative="0">
      <w:start w:val="1"/>
      <w:numFmt w:val="decimal"/>
      <w:pStyle w:val="700"/>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none"/>
      <w:lvlText w:val="A)"/>
      <w:lvlJc w:val="left"/>
      <w:pPr>
        <w:tabs>
          <w:tab w:val="left" w:pos="454"/>
        </w:tabs>
        <w:ind w:left="680" w:hanging="680"/>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58F61F62"/>
    <w:multiLevelType w:val="multilevel"/>
    <w:tmpl w:val="58F61F62"/>
    <w:lvl w:ilvl="0" w:tentative="0">
      <w:start w:val="1"/>
      <w:numFmt w:val="decimal"/>
      <w:pStyle w:val="711"/>
      <w:lvlText w:val="%1"/>
      <w:lvlJc w:val="left"/>
      <w:pPr>
        <w:tabs>
          <w:tab w:val="left" w:pos="432"/>
        </w:tabs>
        <w:ind w:left="432" w:hanging="432"/>
      </w:pPr>
      <w:rPr>
        <w:rFonts w:hint="eastAsia"/>
      </w:rPr>
    </w:lvl>
    <w:lvl w:ilvl="1" w:tentative="0">
      <w:start w:val="1"/>
      <w:numFmt w:val="decimal"/>
      <w:pStyle w:val="708"/>
      <w:lvlText w:val="%1.%2"/>
      <w:lvlJc w:val="left"/>
      <w:pPr>
        <w:tabs>
          <w:tab w:val="left" w:pos="576"/>
        </w:tabs>
        <w:ind w:left="576" w:hanging="576"/>
      </w:pPr>
      <w:rPr>
        <w:rFonts w:hint="eastAsia"/>
      </w:rPr>
    </w:lvl>
    <w:lvl w:ilvl="2" w:tentative="0">
      <w:start w:val="1"/>
      <w:numFmt w:val="decimal"/>
      <w:pStyle w:val="709"/>
      <w:lvlText w:val="%1.%2.%3"/>
      <w:lvlJc w:val="left"/>
      <w:pPr>
        <w:tabs>
          <w:tab w:val="left" w:pos="720"/>
        </w:tabs>
        <w:ind w:left="720" w:hanging="720"/>
      </w:pPr>
      <w:rPr>
        <w:rFonts w:hint="eastAsia"/>
        <w:b/>
        <w:i w:val="0"/>
        <w:sz w:val="24"/>
      </w:rPr>
    </w:lvl>
    <w:lvl w:ilvl="3" w:tentative="0">
      <w:start w:val="1"/>
      <w:numFmt w:val="decimal"/>
      <w:pStyle w:val="710"/>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none"/>
      <w:lvlText w:val="A)"/>
      <w:lvlJc w:val="left"/>
      <w:pPr>
        <w:tabs>
          <w:tab w:val="left" w:pos="454"/>
        </w:tabs>
        <w:ind w:left="680" w:hanging="680"/>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lvlOverride w:ilvl="0">
      <w:lvl w:ilvl="0" w:tentative="1">
        <w:start w:val="1"/>
        <w:numFmt w:val="decimal"/>
        <w:pStyle w:val="2"/>
        <w:lvlText w:val="%1."/>
        <w:lvlJc w:val="left"/>
        <w:pPr>
          <w:tabs>
            <w:tab w:val="left" w:pos="921"/>
          </w:tabs>
          <w:ind w:left="921" w:hanging="360"/>
        </w:pPr>
        <w:rPr>
          <w:rFonts w:hint="default"/>
        </w:rPr>
      </w:lvl>
    </w:lvlOverride>
    <w:lvlOverride w:ilvl="1">
      <w:lvl w:ilvl="1" w:tentative="1">
        <w:start w:val="1"/>
        <w:numFmt w:val="lowerLetter"/>
        <w:pStyle w:val="3"/>
        <w:lvlText w:val="%2)"/>
        <w:lvlJc w:val="left"/>
        <w:pPr>
          <w:tabs>
            <w:tab w:val="left" w:pos="1401"/>
          </w:tabs>
          <w:ind w:left="1401" w:hanging="420"/>
        </w:pPr>
      </w:lvl>
    </w:lvlOverride>
    <w:lvlOverride w:ilvl="2">
      <w:lvl w:ilvl="2" w:tentative="1">
        <w:start w:val="1"/>
        <w:numFmt w:val="lowerRoman"/>
        <w:pStyle w:val="4"/>
        <w:lvlText w:val="%3."/>
        <w:lvlJc w:val="right"/>
        <w:pPr>
          <w:tabs>
            <w:tab w:val="left" w:pos="1860"/>
          </w:tabs>
          <w:ind w:left="1860" w:hanging="420"/>
        </w:pPr>
      </w:lvl>
    </w:lvlOverride>
    <w:lvlOverride w:ilvl="3">
      <w:lvl w:ilvl="3" w:tentative="1">
        <w:start w:val="1"/>
        <w:numFmt w:val="decimal"/>
        <w:pStyle w:val="5"/>
        <w:lvlText w:val="%4."/>
        <w:lvlJc w:val="left"/>
        <w:pPr>
          <w:tabs>
            <w:tab w:val="left" w:pos="2241"/>
          </w:tabs>
          <w:ind w:left="2241" w:hanging="420"/>
        </w:pPr>
      </w:lvl>
    </w:lvlOverride>
    <w:lvlOverride w:ilvl="4">
      <w:lvl w:ilvl="4" w:tentative="1">
        <w:start w:val="1"/>
        <w:numFmt w:val="lowerLetter"/>
        <w:pStyle w:val="8"/>
        <w:lvlText w:val="%5)"/>
        <w:lvlJc w:val="left"/>
        <w:pPr>
          <w:tabs>
            <w:tab w:val="left" w:pos="2661"/>
          </w:tabs>
          <w:ind w:left="2661" w:hanging="420"/>
        </w:pPr>
      </w:lvl>
    </w:lvlOverride>
    <w:lvlOverride w:ilvl="5">
      <w:lvl w:ilvl="5" w:tentative="1">
        <w:start w:val="1"/>
        <w:numFmt w:val="lowerRoman"/>
        <w:pStyle w:val="9"/>
        <w:lvlText w:val="%6."/>
        <w:lvlJc w:val="right"/>
        <w:pPr>
          <w:tabs>
            <w:tab w:val="left" w:pos="3081"/>
          </w:tabs>
          <w:ind w:left="3081" w:hanging="420"/>
        </w:pPr>
      </w:lvl>
    </w:lvlOverride>
    <w:lvlOverride w:ilvl="6">
      <w:lvl w:ilvl="6" w:tentative="1">
        <w:start w:val="1"/>
        <w:numFmt w:val="decimal"/>
        <w:pStyle w:val="10"/>
        <w:lvlText w:val="%7."/>
        <w:lvlJc w:val="left"/>
        <w:pPr>
          <w:tabs>
            <w:tab w:val="left" w:pos="3501"/>
          </w:tabs>
          <w:ind w:left="3501" w:hanging="420"/>
        </w:pPr>
      </w:lvl>
    </w:lvlOverride>
    <w:lvlOverride w:ilvl="7">
      <w:lvl w:ilvl="7" w:tentative="1">
        <w:start w:val="1"/>
        <w:numFmt w:val="lowerLetter"/>
        <w:pStyle w:val="11"/>
        <w:lvlText w:val="%8)"/>
        <w:lvlJc w:val="left"/>
        <w:pPr>
          <w:tabs>
            <w:tab w:val="left" w:pos="3921"/>
          </w:tabs>
          <w:ind w:left="3921" w:hanging="420"/>
        </w:pPr>
      </w:lvl>
    </w:lvlOverride>
    <w:lvlOverride w:ilvl="8">
      <w:lvl w:ilvl="8" w:tentative="1">
        <w:start w:val="1"/>
        <w:numFmt w:val="lowerRoman"/>
        <w:pStyle w:val="12"/>
        <w:lvlText w:val="%9."/>
        <w:lvlJc w:val="right"/>
        <w:pPr>
          <w:tabs>
            <w:tab w:val="left" w:pos="4341"/>
          </w:tabs>
          <w:ind w:left="4341" w:hanging="420"/>
        </w:p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1D"/>
    <w:rsid w:val="00000AD8"/>
    <w:rsid w:val="000017C0"/>
    <w:rsid w:val="000019A1"/>
    <w:rsid w:val="00001C08"/>
    <w:rsid w:val="00001D4D"/>
    <w:rsid w:val="00001E41"/>
    <w:rsid w:val="0000206E"/>
    <w:rsid w:val="00002130"/>
    <w:rsid w:val="00002203"/>
    <w:rsid w:val="000038DA"/>
    <w:rsid w:val="00003BFF"/>
    <w:rsid w:val="00003D1F"/>
    <w:rsid w:val="00003E1B"/>
    <w:rsid w:val="00004678"/>
    <w:rsid w:val="000052AF"/>
    <w:rsid w:val="0000598F"/>
    <w:rsid w:val="00005F2C"/>
    <w:rsid w:val="000070D0"/>
    <w:rsid w:val="0000751E"/>
    <w:rsid w:val="000077DD"/>
    <w:rsid w:val="00007A99"/>
    <w:rsid w:val="000101FE"/>
    <w:rsid w:val="000105C6"/>
    <w:rsid w:val="00010984"/>
    <w:rsid w:val="00010A54"/>
    <w:rsid w:val="00010B13"/>
    <w:rsid w:val="00011076"/>
    <w:rsid w:val="00011333"/>
    <w:rsid w:val="00011F8C"/>
    <w:rsid w:val="00013165"/>
    <w:rsid w:val="00013A93"/>
    <w:rsid w:val="00013DED"/>
    <w:rsid w:val="00014382"/>
    <w:rsid w:val="0001440B"/>
    <w:rsid w:val="0001485D"/>
    <w:rsid w:val="0001492C"/>
    <w:rsid w:val="000155FD"/>
    <w:rsid w:val="00016038"/>
    <w:rsid w:val="00016284"/>
    <w:rsid w:val="000162C4"/>
    <w:rsid w:val="0001679F"/>
    <w:rsid w:val="000167FD"/>
    <w:rsid w:val="00016822"/>
    <w:rsid w:val="00016DB7"/>
    <w:rsid w:val="00017055"/>
    <w:rsid w:val="000172BA"/>
    <w:rsid w:val="00017C7A"/>
    <w:rsid w:val="00017C86"/>
    <w:rsid w:val="00017CA2"/>
    <w:rsid w:val="00017D59"/>
    <w:rsid w:val="00017DF6"/>
    <w:rsid w:val="00020E1B"/>
    <w:rsid w:val="000227BB"/>
    <w:rsid w:val="00022865"/>
    <w:rsid w:val="00022A58"/>
    <w:rsid w:val="00022C32"/>
    <w:rsid w:val="00022D23"/>
    <w:rsid w:val="00023453"/>
    <w:rsid w:val="00023F33"/>
    <w:rsid w:val="0002442A"/>
    <w:rsid w:val="00024635"/>
    <w:rsid w:val="000246E7"/>
    <w:rsid w:val="0002496A"/>
    <w:rsid w:val="00024EF0"/>
    <w:rsid w:val="0002510C"/>
    <w:rsid w:val="000256D2"/>
    <w:rsid w:val="000258DF"/>
    <w:rsid w:val="00025902"/>
    <w:rsid w:val="0002599A"/>
    <w:rsid w:val="00025BB2"/>
    <w:rsid w:val="0002776B"/>
    <w:rsid w:val="00027B25"/>
    <w:rsid w:val="000303AB"/>
    <w:rsid w:val="00031CE3"/>
    <w:rsid w:val="000326C3"/>
    <w:rsid w:val="00032914"/>
    <w:rsid w:val="00032B99"/>
    <w:rsid w:val="000330D8"/>
    <w:rsid w:val="000332FD"/>
    <w:rsid w:val="000333FE"/>
    <w:rsid w:val="00033B5D"/>
    <w:rsid w:val="00034B1B"/>
    <w:rsid w:val="00034C88"/>
    <w:rsid w:val="00035100"/>
    <w:rsid w:val="00036134"/>
    <w:rsid w:val="00036418"/>
    <w:rsid w:val="000366E9"/>
    <w:rsid w:val="0003754A"/>
    <w:rsid w:val="0003763D"/>
    <w:rsid w:val="00037677"/>
    <w:rsid w:val="00040126"/>
    <w:rsid w:val="000404B8"/>
    <w:rsid w:val="00040581"/>
    <w:rsid w:val="000405E8"/>
    <w:rsid w:val="000420A3"/>
    <w:rsid w:val="000423AE"/>
    <w:rsid w:val="00042575"/>
    <w:rsid w:val="00042C0B"/>
    <w:rsid w:val="00043B0C"/>
    <w:rsid w:val="00043FF4"/>
    <w:rsid w:val="0004404B"/>
    <w:rsid w:val="0004438D"/>
    <w:rsid w:val="00044754"/>
    <w:rsid w:val="0004477D"/>
    <w:rsid w:val="00044880"/>
    <w:rsid w:val="000449BD"/>
    <w:rsid w:val="00044A9B"/>
    <w:rsid w:val="00044AC8"/>
    <w:rsid w:val="00045671"/>
    <w:rsid w:val="00045675"/>
    <w:rsid w:val="00045723"/>
    <w:rsid w:val="000458E5"/>
    <w:rsid w:val="00045BE1"/>
    <w:rsid w:val="0004600B"/>
    <w:rsid w:val="000460FC"/>
    <w:rsid w:val="0004649D"/>
    <w:rsid w:val="000464B2"/>
    <w:rsid w:val="00046ED6"/>
    <w:rsid w:val="00047316"/>
    <w:rsid w:val="000474B3"/>
    <w:rsid w:val="00047848"/>
    <w:rsid w:val="00047900"/>
    <w:rsid w:val="000500FB"/>
    <w:rsid w:val="00050E1A"/>
    <w:rsid w:val="00051263"/>
    <w:rsid w:val="0005157B"/>
    <w:rsid w:val="00051B2F"/>
    <w:rsid w:val="00051BBA"/>
    <w:rsid w:val="00051C79"/>
    <w:rsid w:val="000520A5"/>
    <w:rsid w:val="00052563"/>
    <w:rsid w:val="00052613"/>
    <w:rsid w:val="000526FF"/>
    <w:rsid w:val="00052C81"/>
    <w:rsid w:val="000549AB"/>
    <w:rsid w:val="00054A28"/>
    <w:rsid w:val="00055269"/>
    <w:rsid w:val="00055365"/>
    <w:rsid w:val="00055628"/>
    <w:rsid w:val="00055F6B"/>
    <w:rsid w:val="000564FA"/>
    <w:rsid w:val="0005663C"/>
    <w:rsid w:val="000566E3"/>
    <w:rsid w:val="00056ADA"/>
    <w:rsid w:val="00056B61"/>
    <w:rsid w:val="000577D5"/>
    <w:rsid w:val="00057905"/>
    <w:rsid w:val="00057BEC"/>
    <w:rsid w:val="00057F34"/>
    <w:rsid w:val="00057F45"/>
    <w:rsid w:val="00060376"/>
    <w:rsid w:val="0006073E"/>
    <w:rsid w:val="00060908"/>
    <w:rsid w:val="00060EF9"/>
    <w:rsid w:val="0006142B"/>
    <w:rsid w:val="000616A2"/>
    <w:rsid w:val="00061E11"/>
    <w:rsid w:val="00062315"/>
    <w:rsid w:val="000628F7"/>
    <w:rsid w:val="000635F3"/>
    <w:rsid w:val="00063A9C"/>
    <w:rsid w:val="00064A06"/>
    <w:rsid w:val="0006557A"/>
    <w:rsid w:val="0006571A"/>
    <w:rsid w:val="00065F2F"/>
    <w:rsid w:val="00066726"/>
    <w:rsid w:val="000667F1"/>
    <w:rsid w:val="00066AA3"/>
    <w:rsid w:val="00066CAA"/>
    <w:rsid w:val="000672C1"/>
    <w:rsid w:val="000701C1"/>
    <w:rsid w:val="00070707"/>
    <w:rsid w:val="0007082A"/>
    <w:rsid w:val="00070AD8"/>
    <w:rsid w:val="000714EF"/>
    <w:rsid w:val="00071750"/>
    <w:rsid w:val="000719F2"/>
    <w:rsid w:val="00072672"/>
    <w:rsid w:val="00072D89"/>
    <w:rsid w:val="00073581"/>
    <w:rsid w:val="000736C4"/>
    <w:rsid w:val="00073B96"/>
    <w:rsid w:val="00073FFE"/>
    <w:rsid w:val="000740B2"/>
    <w:rsid w:val="00074272"/>
    <w:rsid w:val="00074559"/>
    <w:rsid w:val="00074C51"/>
    <w:rsid w:val="00074D05"/>
    <w:rsid w:val="00075028"/>
    <w:rsid w:val="00075643"/>
    <w:rsid w:val="00075785"/>
    <w:rsid w:val="00075B82"/>
    <w:rsid w:val="00075F94"/>
    <w:rsid w:val="000760B8"/>
    <w:rsid w:val="00076536"/>
    <w:rsid w:val="0007681C"/>
    <w:rsid w:val="00076C46"/>
    <w:rsid w:val="0007757A"/>
    <w:rsid w:val="00077949"/>
    <w:rsid w:val="00077AFB"/>
    <w:rsid w:val="00077EAD"/>
    <w:rsid w:val="00077EDC"/>
    <w:rsid w:val="00080443"/>
    <w:rsid w:val="0008076F"/>
    <w:rsid w:val="0008087C"/>
    <w:rsid w:val="00081209"/>
    <w:rsid w:val="0008196B"/>
    <w:rsid w:val="000822A3"/>
    <w:rsid w:val="000825FD"/>
    <w:rsid w:val="00082759"/>
    <w:rsid w:val="00082967"/>
    <w:rsid w:val="00083141"/>
    <w:rsid w:val="00083E84"/>
    <w:rsid w:val="000845F4"/>
    <w:rsid w:val="00085487"/>
    <w:rsid w:val="00086598"/>
    <w:rsid w:val="00086B53"/>
    <w:rsid w:val="00086E6D"/>
    <w:rsid w:val="0008708B"/>
    <w:rsid w:val="0008786B"/>
    <w:rsid w:val="00087AB2"/>
    <w:rsid w:val="00090028"/>
    <w:rsid w:val="00090C79"/>
    <w:rsid w:val="000913E4"/>
    <w:rsid w:val="00091933"/>
    <w:rsid w:val="00091937"/>
    <w:rsid w:val="00091DB1"/>
    <w:rsid w:val="00092C74"/>
    <w:rsid w:val="00092F57"/>
    <w:rsid w:val="0009302B"/>
    <w:rsid w:val="00094120"/>
    <w:rsid w:val="0009464B"/>
    <w:rsid w:val="00094B4E"/>
    <w:rsid w:val="0009572D"/>
    <w:rsid w:val="00095F2E"/>
    <w:rsid w:val="00096120"/>
    <w:rsid w:val="00096584"/>
    <w:rsid w:val="00096861"/>
    <w:rsid w:val="00096CB3"/>
    <w:rsid w:val="00096FA5"/>
    <w:rsid w:val="0009708E"/>
    <w:rsid w:val="00097289"/>
    <w:rsid w:val="00097343"/>
    <w:rsid w:val="00097BBB"/>
    <w:rsid w:val="00097C3B"/>
    <w:rsid w:val="000A04DD"/>
    <w:rsid w:val="000A0832"/>
    <w:rsid w:val="000A0B87"/>
    <w:rsid w:val="000A0C39"/>
    <w:rsid w:val="000A16D9"/>
    <w:rsid w:val="000A19C9"/>
    <w:rsid w:val="000A1C1A"/>
    <w:rsid w:val="000A207B"/>
    <w:rsid w:val="000A217C"/>
    <w:rsid w:val="000A3642"/>
    <w:rsid w:val="000A3F37"/>
    <w:rsid w:val="000A4147"/>
    <w:rsid w:val="000A4257"/>
    <w:rsid w:val="000A5C3F"/>
    <w:rsid w:val="000A5CE4"/>
    <w:rsid w:val="000A6061"/>
    <w:rsid w:val="000A64CF"/>
    <w:rsid w:val="000A68DB"/>
    <w:rsid w:val="000A7AE6"/>
    <w:rsid w:val="000A7AFB"/>
    <w:rsid w:val="000A7E82"/>
    <w:rsid w:val="000A7F2B"/>
    <w:rsid w:val="000B00A7"/>
    <w:rsid w:val="000B02BC"/>
    <w:rsid w:val="000B08B1"/>
    <w:rsid w:val="000B0D31"/>
    <w:rsid w:val="000B1343"/>
    <w:rsid w:val="000B1520"/>
    <w:rsid w:val="000B1B9A"/>
    <w:rsid w:val="000B1DD5"/>
    <w:rsid w:val="000B2CBB"/>
    <w:rsid w:val="000B3357"/>
    <w:rsid w:val="000B3CE5"/>
    <w:rsid w:val="000B3DB8"/>
    <w:rsid w:val="000B47AD"/>
    <w:rsid w:val="000B55B1"/>
    <w:rsid w:val="000B5CF6"/>
    <w:rsid w:val="000B64CD"/>
    <w:rsid w:val="000B6807"/>
    <w:rsid w:val="000B6AF3"/>
    <w:rsid w:val="000B6EDA"/>
    <w:rsid w:val="000B7E8D"/>
    <w:rsid w:val="000C0253"/>
    <w:rsid w:val="000C1140"/>
    <w:rsid w:val="000C14F7"/>
    <w:rsid w:val="000C1E66"/>
    <w:rsid w:val="000C1F2D"/>
    <w:rsid w:val="000C27C9"/>
    <w:rsid w:val="000C28EB"/>
    <w:rsid w:val="000C2E53"/>
    <w:rsid w:val="000C3231"/>
    <w:rsid w:val="000C34B2"/>
    <w:rsid w:val="000C358E"/>
    <w:rsid w:val="000C3670"/>
    <w:rsid w:val="000C3678"/>
    <w:rsid w:val="000C3DCB"/>
    <w:rsid w:val="000C46CC"/>
    <w:rsid w:val="000C4AFF"/>
    <w:rsid w:val="000C4E0F"/>
    <w:rsid w:val="000C4ECF"/>
    <w:rsid w:val="000C557A"/>
    <w:rsid w:val="000C5A39"/>
    <w:rsid w:val="000C5C80"/>
    <w:rsid w:val="000C5D77"/>
    <w:rsid w:val="000C5D92"/>
    <w:rsid w:val="000C5F25"/>
    <w:rsid w:val="000C60D7"/>
    <w:rsid w:val="000C619D"/>
    <w:rsid w:val="000C6325"/>
    <w:rsid w:val="000C6860"/>
    <w:rsid w:val="000C6F00"/>
    <w:rsid w:val="000C7151"/>
    <w:rsid w:val="000C74FA"/>
    <w:rsid w:val="000C7A39"/>
    <w:rsid w:val="000D0744"/>
    <w:rsid w:val="000D07C1"/>
    <w:rsid w:val="000D0907"/>
    <w:rsid w:val="000D0DEF"/>
    <w:rsid w:val="000D0E29"/>
    <w:rsid w:val="000D1104"/>
    <w:rsid w:val="000D13F7"/>
    <w:rsid w:val="000D16FD"/>
    <w:rsid w:val="000D1BE1"/>
    <w:rsid w:val="000D1F8E"/>
    <w:rsid w:val="000D26A1"/>
    <w:rsid w:val="000D274A"/>
    <w:rsid w:val="000D2A09"/>
    <w:rsid w:val="000D2A0D"/>
    <w:rsid w:val="000D34DD"/>
    <w:rsid w:val="000D3B63"/>
    <w:rsid w:val="000D3F73"/>
    <w:rsid w:val="000D3FE5"/>
    <w:rsid w:val="000D47F8"/>
    <w:rsid w:val="000D527D"/>
    <w:rsid w:val="000D553F"/>
    <w:rsid w:val="000D5656"/>
    <w:rsid w:val="000D5724"/>
    <w:rsid w:val="000D5EE0"/>
    <w:rsid w:val="000D62D1"/>
    <w:rsid w:val="000D6336"/>
    <w:rsid w:val="000D6397"/>
    <w:rsid w:val="000D63DB"/>
    <w:rsid w:val="000D6AB3"/>
    <w:rsid w:val="000D7249"/>
    <w:rsid w:val="000D75BB"/>
    <w:rsid w:val="000D7F9A"/>
    <w:rsid w:val="000E00C0"/>
    <w:rsid w:val="000E00C7"/>
    <w:rsid w:val="000E0599"/>
    <w:rsid w:val="000E05AE"/>
    <w:rsid w:val="000E074E"/>
    <w:rsid w:val="000E08FB"/>
    <w:rsid w:val="000E0C94"/>
    <w:rsid w:val="000E1667"/>
    <w:rsid w:val="000E1FD6"/>
    <w:rsid w:val="000E2140"/>
    <w:rsid w:val="000E221F"/>
    <w:rsid w:val="000E243B"/>
    <w:rsid w:val="000E34AE"/>
    <w:rsid w:val="000E524D"/>
    <w:rsid w:val="000E5467"/>
    <w:rsid w:val="000E5BAC"/>
    <w:rsid w:val="000E5F19"/>
    <w:rsid w:val="000E61F1"/>
    <w:rsid w:val="000E673B"/>
    <w:rsid w:val="000E6B87"/>
    <w:rsid w:val="000E74AD"/>
    <w:rsid w:val="000E776E"/>
    <w:rsid w:val="000E77EB"/>
    <w:rsid w:val="000E7AF9"/>
    <w:rsid w:val="000E7BE6"/>
    <w:rsid w:val="000F0032"/>
    <w:rsid w:val="000F02D8"/>
    <w:rsid w:val="000F09DB"/>
    <w:rsid w:val="000F0CF0"/>
    <w:rsid w:val="000F154D"/>
    <w:rsid w:val="000F23AA"/>
    <w:rsid w:val="000F24C5"/>
    <w:rsid w:val="000F2CF6"/>
    <w:rsid w:val="000F36AF"/>
    <w:rsid w:val="000F3CA2"/>
    <w:rsid w:val="000F3E94"/>
    <w:rsid w:val="000F413D"/>
    <w:rsid w:val="000F423D"/>
    <w:rsid w:val="000F427F"/>
    <w:rsid w:val="000F4367"/>
    <w:rsid w:val="000F497E"/>
    <w:rsid w:val="000F507B"/>
    <w:rsid w:val="000F50EE"/>
    <w:rsid w:val="000F51BA"/>
    <w:rsid w:val="000F520A"/>
    <w:rsid w:val="000F52CB"/>
    <w:rsid w:val="000F5351"/>
    <w:rsid w:val="000F7471"/>
    <w:rsid w:val="0010037E"/>
    <w:rsid w:val="00100B30"/>
    <w:rsid w:val="00102286"/>
    <w:rsid w:val="00103F44"/>
    <w:rsid w:val="001044E7"/>
    <w:rsid w:val="00104736"/>
    <w:rsid w:val="00104762"/>
    <w:rsid w:val="00104852"/>
    <w:rsid w:val="00104A14"/>
    <w:rsid w:val="00104D71"/>
    <w:rsid w:val="00104FB3"/>
    <w:rsid w:val="00105055"/>
    <w:rsid w:val="001052DE"/>
    <w:rsid w:val="0010530D"/>
    <w:rsid w:val="00105512"/>
    <w:rsid w:val="00105A01"/>
    <w:rsid w:val="00105E4C"/>
    <w:rsid w:val="001063BB"/>
    <w:rsid w:val="0010642B"/>
    <w:rsid w:val="00106454"/>
    <w:rsid w:val="001067D7"/>
    <w:rsid w:val="001069A5"/>
    <w:rsid w:val="00107088"/>
    <w:rsid w:val="001073B9"/>
    <w:rsid w:val="001073D7"/>
    <w:rsid w:val="00107A0A"/>
    <w:rsid w:val="00107D97"/>
    <w:rsid w:val="00110EDD"/>
    <w:rsid w:val="00111421"/>
    <w:rsid w:val="001115DB"/>
    <w:rsid w:val="0011255A"/>
    <w:rsid w:val="0011263B"/>
    <w:rsid w:val="0011288A"/>
    <w:rsid w:val="00112F33"/>
    <w:rsid w:val="00112FD7"/>
    <w:rsid w:val="001134CA"/>
    <w:rsid w:val="00113A3A"/>
    <w:rsid w:val="00113E05"/>
    <w:rsid w:val="00114142"/>
    <w:rsid w:val="001148F9"/>
    <w:rsid w:val="0011523D"/>
    <w:rsid w:val="00115309"/>
    <w:rsid w:val="001156FF"/>
    <w:rsid w:val="00115B3D"/>
    <w:rsid w:val="00115EEF"/>
    <w:rsid w:val="00116D1C"/>
    <w:rsid w:val="00117531"/>
    <w:rsid w:val="00117FB1"/>
    <w:rsid w:val="0012027B"/>
    <w:rsid w:val="0012149A"/>
    <w:rsid w:val="00121AAC"/>
    <w:rsid w:val="00121E4A"/>
    <w:rsid w:val="00122270"/>
    <w:rsid w:val="00122724"/>
    <w:rsid w:val="00122A6A"/>
    <w:rsid w:val="00123315"/>
    <w:rsid w:val="001233B9"/>
    <w:rsid w:val="00123D72"/>
    <w:rsid w:val="001241BD"/>
    <w:rsid w:val="001254FC"/>
    <w:rsid w:val="001255B6"/>
    <w:rsid w:val="001256AF"/>
    <w:rsid w:val="00126210"/>
    <w:rsid w:val="00126398"/>
    <w:rsid w:val="00126677"/>
    <w:rsid w:val="001267DA"/>
    <w:rsid w:val="00126ACF"/>
    <w:rsid w:val="00126DED"/>
    <w:rsid w:val="00126E89"/>
    <w:rsid w:val="0012719F"/>
    <w:rsid w:val="00127459"/>
    <w:rsid w:val="00127B65"/>
    <w:rsid w:val="00130176"/>
    <w:rsid w:val="00130850"/>
    <w:rsid w:val="00130B80"/>
    <w:rsid w:val="00131097"/>
    <w:rsid w:val="0013170B"/>
    <w:rsid w:val="00131AD7"/>
    <w:rsid w:val="00131C42"/>
    <w:rsid w:val="0013200A"/>
    <w:rsid w:val="00132050"/>
    <w:rsid w:val="001320C0"/>
    <w:rsid w:val="001325E0"/>
    <w:rsid w:val="00132EB5"/>
    <w:rsid w:val="00132EE5"/>
    <w:rsid w:val="00133A9B"/>
    <w:rsid w:val="00133AD8"/>
    <w:rsid w:val="00134118"/>
    <w:rsid w:val="00134206"/>
    <w:rsid w:val="00134373"/>
    <w:rsid w:val="001348CE"/>
    <w:rsid w:val="00134EEB"/>
    <w:rsid w:val="00134FBE"/>
    <w:rsid w:val="0013559B"/>
    <w:rsid w:val="001355DA"/>
    <w:rsid w:val="001356B1"/>
    <w:rsid w:val="00135C23"/>
    <w:rsid w:val="0013684C"/>
    <w:rsid w:val="00136B43"/>
    <w:rsid w:val="00136BA7"/>
    <w:rsid w:val="00136EE6"/>
    <w:rsid w:val="00136F35"/>
    <w:rsid w:val="00136F39"/>
    <w:rsid w:val="00137442"/>
    <w:rsid w:val="00137632"/>
    <w:rsid w:val="00137866"/>
    <w:rsid w:val="001406F3"/>
    <w:rsid w:val="001407CA"/>
    <w:rsid w:val="00140891"/>
    <w:rsid w:val="001409DD"/>
    <w:rsid w:val="00140F05"/>
    <w:rsid w:val="00141089"/>
    <w:rsid w:val="00141315"/>
    <w:rsid w:val="0014179B"/>
    <w:rsid w:val="00141D2A"/>
    <w:rsid w:val="00142668"/>
    <w:rsid w:val="001429BE"/>
    <w:rsid w:val="00143129"/>
    <w:rsid w:val="00143162"/>
    <w:rsid w:val="001435E6"/>
    <w:rsid w:val="00143887"/>
    <w:rsid w:val="0014399E"/>
    <w:rsid w:val="00144209"/>
    <w:rsid w:val="001443CF"/>
    <w:rsid w:val="00144B34"/>
    <w:rsid w:val="001451D8"/>
    <w:rsid w:val="00145897"/>
    <w:rsid w:val="00145CC9"/>
    <w:rsid w:val="001500FA"/>
    <w:rsid w:val="00150776"/>
    <w:rsid w:val="00150856"/>
    <w:rsid w:val="00151441"/>
    <w:rsid w:val="001515E7"/>
    <w:rsid w:val="00151837"/>
    <w:rsid w:val="00152649"/>
    <w:rsid w:val="001532A5"/>
    <w:rsid w:val="00153AFB"/>
    <w:rsid w:val="001540F2"/>
    <w:rsid w:val="00154B5B"/>
    <w:rsid w:val="001551B5"/>
    <w:rsid w:val="00155317"/>
    <w:rsid w:val="001560B7"/>
    <w:rsid w:val="00156112"/>
    <w:rsid w:val="001563A3"/>
    <w:rsid w:val="0015675E"/>
    <w:rsid w:val="001567A8"/>
    <w:rsid w:val="00157224"/>
    <w:rsid w:val="00157495"/>
    <w:rsid w:val="0015798A"/>
    <w:rsid w:val="001601D6"/>
    <w:rsid w:val="0016033B"/>
    <w:rsid w:val="001605A7"/>
    <w:rsid w:val="00160D55"/>
    <w:rsid w:val="0016127F"/>
    <w:rsid w:val="00161886"/>
    <w:rsid w:val="001618D2"/>
    <w:rsid w:val="0016285C"/>
    <w:rsid w:val="00162884"/>
    <w:rsid w:val="0016406C"/>
    <w:rsid w:val="001648E7"/>
    <w:rsid w:val="00164ACB"/>
    <w:rsid w:val="00164AE1"/>
    <w:rsid w:val="0016547A"/>
    <w:rsid w:val="0016598A"/>
    <w:rsid w:val="00165F7A"/>
    <w:rsid w:val="0016601F"/>
    <w:rsid w:val="001668C0"/>
    <w:rsid w:val="00166F02"/>
    <w:rsid w:val="00167215"/>
    <w:rsid w:val="001677F9"/>
    <w:rsid w:val="001701B6"/>
    <w:rsid w:val="001705EF"/>
    <w:rsid w:val="00170759"/>
    <w:rsid w:val="00170FE8"/>
    <w:rsid w:val="0017110A"/>
    <w:rsid w:val="001716B2"/>
    <w:rsid w:val="00172069"/>
    <w:rsid w:val="00172DD8"/>
    <w:rsid w:val="00173617"/>
    <w:rsid w:val="0017396E"/>
    <w:rsid w:val="00173CF8"/>
    <w:rsid w:val="00174728"/>
    <w:rsid w:val="00174C9C"/>
    <w:rsid w:val="00175352"/>
    <w:rsid w:val="001756AF"/>
    <w:rsid w:val="001758EE"/>
    <w:rsid w:val="00175A65"/>
    <w:rsid w:val="00175DDB"/>
    <w:rsid w:val="00176764"/>
    <w:rsid w:val="00176902"/>
    <w:rsid w:val="001769E3"/>
    <w:rsid w:val="00176B85"/>
    <w:rsid w:val="00176FEB"/>
    <w:rsid w:val="00177106"/>
    <w:rsid w:val="001773CF"/>
    <w:rsid w:val="00177575"/>
    <w:rsid w:val="0017757E"/>
    <w:rsid w:val="00177A70"/>
    <w:rsid w:val="00180DC0"/>
    <w:rsid w:val="00180F3C"/>
    <w:rsid w:val="00180F65"/>
    <w:rsid w:val="00181375"/>
    <w:rsid w:val="0018162A"/>
    <w:rsid w:val="001817E8"/>
    <w:rsid w:val="00181D95"/>
    <w:rsid w:val="001827B7"/>
    <w:rsid w:val="00182C05"/>
    <w:rsid w:val="00182E65"/>
    <w:rsid w:val="00182EB4"/>
    <w:rsid w:val="0018373C"/>
    <w:rsid w:val="00183F40"/>
    <w:rsid w:val="00184280"/>
    <w:rsid w:val="00184366"/>
    <w:rsid w:val="001846AC"/>
    <w:rsid w:val="00184CF5"/>
    <w:rsid w:val="00185BBB"/>
    <w:rsid w:val="00186D56"/>
    <w:rsid w:val="00186DA0"/>
    <w:rsid w:val="0018754D"/>
    <w:rsid w:val="00190395"/>
    <w:rsid w:val="00190694"/>
    <w:rsid w:val="00190CAE"/>
    <w:rsid w:val="001910B6"/>
    <w:rsid w:val="00191A04"/>
    <w:rsid w:val="00191C5B"/>
    <w:rsid w:val="00191D1D"/>
    <w:rsid w:val="00192820"/>
    <w:rsid w:val="00193187"/>
    <w:rsid w:val="001934AA"/>
    <w:rsid w:val="001934E1"/>
    <w:rsid w:val="00194347"/>
    <w:rsid w:val="0019437A"/>
    <w:rsid w:val="001943BB"/>
    <w:rsid w:val="00194598"/>
    <w:rsid w:val="00194936"/>
    <w:rsid w:val="001949BF"/>
    <w:rsid w:val="00194FB1"/>
    <w:rsid w:val="00195307"/>
    <w:rsid w:val="001954E7"/>
    <w:rsid w:val="001955AA"/>
    <w:rsid w:val="001964C2"/>
    <w:rsid w:val="001964FB"/>
    <w:rsid w:val="00196B3E"/>
    <w:rsid w:val="001970C1"/>
    <w:rsid w:val="001978DF"/>
    <w:rsid w:val="00197B26"/>
    <w:rsid w:val="00197EAD"/>
    <w:rsid w:val="001A0663"/>
    <w:rsid w:val="001A0A94"/>
    <w:rsid w:val="001A137B"/>
    <w:rsid w:val="001A1D77"/>
    <w:rsid w:val="001A20F1"/>
    <w:rsid w:val="001A2BE7"/>
    <w:rsid w:val="001A3557"/>
    <w:rsid w:val="001A374A"/>
    <w:rsid w:val="001A3ACD"/>
    <w:rsid w:val="001A4021"/>
    <w:rsid w:val="001A4688"/>
    <w:rsid w:val="001A51E8"/>
    <w:rsid w:val="001A5F28"/>
    <w:rsid w:val="001A5F55"/>
    <w:rsid w:val="001A69D3"/>
    <w:rsid w:val="001A6A33"/>
    <w:rsid w:val="001A6E98"/>
    <w:rsid w:val="001A6F1A"/>
    <w:rsid w:val="001A6F9E"/>
    <w:rsid w:val="001A7816"/>
    <w:rsid w:val="001A7E2F"/>
    <w:rsid w:val="001B0191"/>
    <w:rsid w:val="001B0801"/>
    <w:rsid w:val="001B0DEE"/>
    <w:rsid w:val="001B11FC"/>
    <w:rsid w:val="001B160C"/>
    <w:rsid w:val="001B2BF3"/>
    <w:rsid w:val="001B2E0C"/>
    <w:rsid w:val="001B2FEA"/>
    <w:rsid w:val="001B3608"/>
    <w:rsid w:val="001B3CE1"/>
    <w:rsid w:val="001B3DA8"/>
    <w:rsid w:val="001B3F0E"/>
    <w:rsid w:val="001B3F79"/>
    <w:rsid w:val="001B4395"/>
    <w:rsid w:val="001B44D8"/>
    <w:rsid w:val="001B44E1"/>
    <w:rsid w:val="001B4725"/>
    <w:rsid w:val="001B4966"/>
    <w:rsid w:val="001B4DC9"/>
    <w:rsid w:val="001B53D1"/>
    <w:rsid w:val="001B596E"/>
    <w:rsid w:val="001B5BE8"/>
    <w:rsid w:val="001B5E46"/>
    <w:rsid w:val="001B6C05"/>
    <w:rsid w:val="001B723C"/>
    <w:rsid w:val="001B7457"/>
    <w:rsid w:val="001B75B7"/>
    <w:rsid w:val="001B7B69"/>
    <w:rsid w:val="001B7FBD"/>
    <w:rsid w:val="001C0223"/>
    <w:rsid w:val="001C12ED"/>
    <w:rsid w:val="001C17C0"/>
    <w:rsid w:val="001C23E9"/>
    <w:rsid w:val="001C330E"/>
    <w:rsid w:val="001C33EB"/>
    <w:rsid w:val="001C3405"/>
    <w:rsid w:val="001C46D8"/>
    <w:rsid w:val="001C5470"/>
    <w:rsid w:val="001C5498"/>
    <w:rsid w:val="001C5566"/>
    <w:rsid w:val="001C58C9"/>
    <w:rsid w:val="001C6F37"/>
    <w:rsid w:val="001C78D3"/>
    <w:rsid w:val="001C7BA2"/>
    <w:rsid w:val="001C7F83"/>
    <w:rsid w:val="001D020B"/>
    <w:rsid w:val="001D0868"/>
    <w:rsid w:val="001D0884"/>
    <w:rsid w:val="001D0A30"/>
    <w:rsid w:val="001D0B7C"/>
    <w:rsid w:val="001D0D06"/>
    <w:rsid w:val="001D1326"/>
    <w:rsid w:val="001D1387"/>
    <w:rsid w:val="001D147F"/>
    <w:rsid w:val="001D149B"/>
    <w:rsid w:val="001D156D"/>
    <w:rsid w:val="001D194F"/>
    <w:rsid w:val="001D1C2D"/>
    <w:rsid w:val="001D1F6D"/>
    <w:rsid w:val="001D2609"/>
    <w:rsid w:val="001D27EF"/>
    <w:rsid w:val="001D3329"/>
    <w:rsid w:val="001D34F7"/>
    <w:rsid w:val="001D36DD"/>
    <w:rsid w:val="001D4678"/>
    <w:rsid w:val="001D5055"/>
    <w:rsid w:val="001D50C2"/>
    <w:rsid w:val="001D5129"/>
    <w:rsid w:val="001D5619"/>
    <w:rsid w:val="001D58CD"/>
    <w:rsid w:val="001D5A07"/>
    <w:rsid w:val="001D6EAB"/>
    <w:rsid w:val="001D704B"/>
    <w:rsid w:val="001E0440"/>
    <w:rsid w:val="001E0808"/>
    <w:rsid w:val="001E088D"/>
    <w:rsid w:val="001E0A8A"/>
    <w:rsid w:val="001E0C2F"/>
    <w:rsid w:val="001E197D"/>
    <w:rsid w:val="001E1987"/>
    <w:rsid w:val="001E1B5D"/>
    <w:rsid w:val="001E1F52"/>
    <w:rsid w:val="001E20B0"/>
    <w:rsid w:val="001E2E24"/>
    <w:rsid w:val="001E301A"/>
    <w:rsid w:val="001E3471"/>
    <w:rsid w:val="001E37A3"/>
    <w:rsid w:val="001E382E"/>
    <w:rsid w:val="001E3F8C"/>
    <w:rsid w:val="001E40C4"/>
    <w:rsid w:val="001E4E43"/>
    <w:rsid w:val="001E4FF7"/>
    <w:rsid w:val="001E5497"/>
    <w:rsid w:val="001E59FC"/>
    <w:rsid w:val="001E5C5B"/>
    <w:rsid w:val="001E75F1"/>
    <w:rsid w:val="001E777D"/>
    <w:rsid w:val="001E7BB3"/>
    <w:rsid w:val="001E7C40"/>
    <w:rsid w:val="001F057B"/>
    <w:rsid w:val="001F08D8"/>
    <w:rsid w:val="001F0996"/>
    <w:rsid w:val="001F1253"/>
    <w:rsid w:val="001F1396"/>
    <w:rsid w:val="001F18F0"/>
    <w:rsid w:val="001F1EAE"/>
    <w:rsid w:val="001F2165"/>
    <w:rsid w:val="001F2964"/>
    <w:rsid w:val="001F2B91"/>
    <w:rsid w:val="001F2F97"/>
    <w:rsid w:val="001F3F76"/>
    <w:rsid w:val="001F497A"/>
    <w:rsid w:val="001F58D1"/>
    <w:rsid w:val="001F5BE3"/>
    <w:rsid w:val="001F5D2F"/>
    <w:rsid w:val="001F5F80"/>
    <w:rsid w:val="001F60C6"/>
    <w:rsid w:val="001F6FCF"/>
    <w:rsid w:val="001F77BE"/>
    <w:rsid w:val="001F77EC"/>
    <w:rsid w:val="001F79EB"/>
    <w:rsid w:val="001F7C23"/>
    <w:rsid w:val="00200CF1"/>
    <w:rsid w:val="00200E25"/>
    <w:rsid w:val="002018F9"/>
    <w:rsid w:val="00201C71"/>
    <w:rsid w:val="00202985"/>
    <w:rsid w:val="002036E2"/>
    <w:rsid w:val="00203811"/>
    <w:rsid w:val="00203A09"/>
    <w:rsid w:val="00203A23"/>
    <w:rsid w:val="00203C82"/>
    <w:rsid w:val="00203CF3"/>
    <w:rsid w:val="00204688"/>
    <w:rsid w:val="00204955"/>
    <w:rsid w:val="00204B3D"/>
    <w:rsid w:val="00204E30"/>
    <w:rsid w:val="0020553D"/>
    <w:rsid w:val="00205809"/>
    <w:rsid w:val="0020592C"/>
    <w:rsid w:val="00205B8D"/>
    <w:rsid w:val="00205F79"/>
    <w:rsid w:val="00205FD9"/>
    <w:rsid w:val="00206CCC"/>
    <w:rsid w:val="002070BA"/>
    <w:rsid w:val="002071A5"/>
    <w:rsid w:val="0020795B"/>
    <w:rsid w:val="00210BF7"/>
    <w:rsid w:val="00210E65"/>
    <w:rsid w:val="00210EF2"/>
    <w:rsid w:val="002114DA"/>
    <w:rsid w:val="002119E9"/>
    <w:rsid w:val="00211BFB"/>
    <w:rsid w:val="00211F45"/>
    <w:rsid w:val="00211FB9"/>
    <w:rsid w:val="00212449"/>
    <w:rsid w:val="00212824"/>
    <w:rsid w:val="002129E1"/>
    <w:rsid w:val="00212AA3"/>
    <w:rsid w:val="00212EB7"/>
    <w:rsid w:val="00214036"/>
    <w:rsid w:val="002147B9"/>
    <w:rsid w:val="00214A4B"/>
    <w:rsid w:val="00214B0E"/>
    <w:rsid w:val="0021512B"/>
    <w:rsid w:val="002151FF"/>
    <w:rsid w:val="002152AD"/>
    <w:rsid w:val="002157E7"/>
    <w:rsid w:val="00215EE8"/>
    <w:rsid w:val="00216704"/>
    <w:rsid w:val="002170F1"/>
    <w:rsid w:val="002175DC"/>
    <w:rsid w:val="002175E8"/>
    <w:rsid w:val="002176F5"/>
    <w:rsid w:val="00217D69"/>
    <w:rsid w:val="00220F1A"/>
    <w:rsid w:val="00220F4B"/>
    <w:rsid w:val="0022131A"/>
    <w:rsid w:val="002213B8"/>
    <w:rsid w:val="00221C81"/>
    <w:rsid w:val="00221F5D"/>
    <w:rsid w:val="0022204B"/>
    <w:rsid w:val="00222635"/>
    <w:rsid w:val="002227F2"/>
    <w:rsid w:val="00222C9B"/>
    <w:rsid w:val="0022341E"/>
    <w:rsid w:val="00223689"/>
    <w:rsid w:val="002256CF"/>
    <w:rsid w:val="0022615C"/>
    <w:rsid w:val="002264D5"/>
    <w:rsid w:val="002267F0"/>
    <w:rsid w:val="00226A18"/>
    <w:rsid w:val="00227305"/>
    <w:rsid w:val="002273E3"/>
    <w:rsid w:val="00227D2E"/>
    <w:rsid w:val="00230676"/>
    <w:rsid w:val="00230FD2"/>
    <w:rsid w:val="002310F3"/>
    <w:rsid w:val="0023147E"/>
    <w:rsid w:val="00231CA2"/>
    <w:rsid w:val="00231D35"/>
    <w:rsid w:val="00231E43"/>
    <w:rsid w:val="00231EF3"/>
    <w:rsid w:val="00232273"/>
    <w:rsid w:val="00232C4B"/>
    <w:rsid w:val="00232CF9"/>
    <w:rsid w:val="00233481"/>
    <w:rsid w:val="00233898"/>
    <w:rsid w:val="00233D78"/>
    <w:rsid w:val="00234994"/>
    <w:rsid w:val="00234ABC"/>
    <w:rsid w:val="00235038"/>
    <w:rsid w:val="0023505F"/>
    <w:rsid w:val="00235ABA"/>
    <w:rsid w:val="00235AC8"/>
    <w:rsid w:val="00235BDE"/>
    <w:rsid w:val="00235E9C"/>
    <w:rsid w:val="00236EB0"/>
    <w:rsid w:val="002373C7"/>
    <w:rsid w:val="00237414"/>
    <w:rsid w:val="002376C8"/>
    <w:rsid w:val="00237B04"/>
    <w:rsid w:val="00237C4F"/>
    <w:rsid w:val="0024037E"/>
    <w:rsid w:val="00240A73"/>
    <w:rsid w:val="00240E9D"/>
    <w:rsid w:val="0024130D"/>
    <w:rsid w:val="002418A4"/>
    <w:rsid w:val="00241CE3"/>
    <w:rsid w:val="00241F29"/>
    <w:rsid w:val="002422C8"/>
    <w:rsid w:val="00242453"/>
    <w:rsid w:val="0024275E"/>
    <w:rsid w:val="00242AB9"/>
    <w:rsid w:val="002440A6"/>
    <w:rsid w:val="00244FA1"/>
    <w:rsid w:val="00245150"/>
    <w:rsid w:val="00245835"/>
    <w:rsid w:val="00245901"/>
    <w:rsid w:val="00246B62"/>
    <w:rsid w:val="00246E6C"/>
    <w:rsid w:val="00247498"/>
    <w:rsid w:val="002474D7"/>
    <w:rsid w:val="0024785C"/>
    <w:rsid w:val="002504F6"/>
    <w:rsid w:val="002506EA"/>
    <w:rsid w:val="00251609"/>
    <w:rsid w:val="00251AF7"/>
    <w:rsid w:val="00251EBA"/>
    <w:rsid w:val="0025224B"/>
    <w:rsid w:val="00252417"/>
    <w:rsid w:val="00253629"/>
    <w:rsid w:val="002539E5"/>
    <w:rsid w:val="00253EE2"/>
    <w:rsid w:val="002546BD"/>
    <w:rsid w:val="0025527F"/>
    <w:rsid w:val="00255326"/>
    <w:rsid w:val="00255399"/>
    <w:rsid w:val="002554A7"/>
    <w:rsid w:val="00256912"/>
    <w:rsid w:val="00256BDA"/>
    <w:rsid w:val="002578D3"/>
    <w:rsid w:val="002606C9"/>
    <w:rsid w:val="00260BB5"/>
    <w:rsid w:val="00261536"/>
    <w:rsid w:val="00261952"/>
    <w:rsid w:val="00261B77"/>
    <w:rsid w:val="00261D56"/>
    <w:rsid w:val="00261F26"/>
    <w:rsid w:val="00261F8B"/>
    <w:rsid w:val="00262138"/>
    <w:rsid w:val="00262264"/>
    <w:rsid w:val="002622FE"/>
    <w:rsid w:val="00262793"/>
    <w:rsid w:val="00262B3D"/>
    <w:rsid w:val="00263872"/>
    <w:rsid w:val="0026430E"/>
    <w:rsid w:val="002648F1"/>
    <w:rsid w:val="00264918"/>
    <w:rsid w:val="00265441"/>
    <w:rsid w:val="00265C82"/>
    <w:rsid w:val="00266235"/>
    <w:rsid w:val="00266A9F"/>
    <w:rsid w:val="00267156"/>
    <w:rsid w:val="0027044F"/>
    <w:rsid w:val="002705FC"/>
    <w:rsid w:val="00270772"/>
    <w:rsid w:val="00272506"/>
    <w:rsid w:val="00272577"/>
    <w:rsid w:val="00272D84"/>
    <w:rsid w:val="00272E22"/>
    <w:rsid w:val="00272F52"/>
    <w:rsid w:val="00273C60"/>
    <w:rsid w:val="00273EDB"/>
    <w:rsid w:val="0027434B"/>
    <w:rsid w:val="002750A4"/>
    <w:rsid w:val="00275A68"/>
    <w:rsid w:val="00275E5E"/>
    <w:rsid w:val="00276274"/>
    <w:rsid w:val="002762E2"/>
    <w:rsid w:val="002763E3"/>
    <w:rsid w:val="00276504"/>
    <w:rsid w:val="00276749"/>
    <w:rsid w:val="002767F1"/>
    <w:rsid w:val="00276A90"/>
    <w:rsid w:val="00276F20"/>
    <w:rsid w:val="00277992"/>
    <w:rsid w:val="00277BFF"/>
    <w:rsid w:val="00277FD1"/>
    <w:rsid w:val="002800F2"/>
    <w:rsid w:val="002801BA"/>
    <w:rsid w:val="0028030E"/>
    <w:rsid w:val="00280AA7"/>
    <w:rsid w:val="00280B25"/>
    <w:rsid w:val="00280CD4"/>
    <w:rsid w:val="00280E49"/>
    <w:rsid w:val="002814E0"/>
    <w:rsid w:val="00281590"/>
    <w:rsid w:val="00281854"/>
    <w:rsid w:val="0028198E"/>
    <w:rsid w:val="00282A09"/>
    <w:rsid w:val="00282BCA"/>
    <w:rsid w:val="0028320E"/>
    <w:rsid w:val="0028381B"/>
    <w:rsid w:val="00283F1A"/>
    <w:rsid w:val="002859C4"/>
    <w:rsid w:val="00285B60"/>
    <w:rsid w:val="00285D97"/>
    <w:rsid w:val="00286EC3"/>
    <w:rsid w:val="00286ED7"/>
    <w:rsid w:val="00287137"/>
    <w:rsid w:val="00287789"/>
    <w:rsid w:val="002878E8"/>
    <w:rsid w:val="00287A47"/>
    <w:rsid w:val="00287FF7"/>
    <w:rsid w:val="00290E2B"/>
    <w:rsid w:val="00291C86"/>
    <w:rsid w:val="00291CBD"/>
    <w:rsid w:val="00292357"/>
    <w:rsid w:val="002926A0"/>
    <w:rsid w:val="00292D1F"/>
    <w:rsid w:val="00292D49"/>
    <w:rsid w:val="002934EE"/>
    <w:rsid w:val="00293550"/>
    <w:rsid w:val="00293A9B"/>
    <w:rsid w:val="0029417B"/>
    <w:rsid w:val="002942C7"/>
    <w:rsid w:val="0029457C"/>
    <w:rsid w:val="002950A1"/>
    <w:rsid w:val="00296D39"/>
    <w:rsid w:val="00296D68"/>
    <w:rsid w:val="00296EF4"/>
    <w:rsid w:val="002A0272"/>
    <w:rsid w:val="002A037D"/>
    <w:rsid w:val="002A0510"/>
    <w:rsid w:val="002A117A"/>
    <w:rsid w:val="002A1B0D"/>
    <w:rsid w:val="002A1BF9"/>
    <w:rsid w:val="002A1EAC"/>
    <w:rsid w:val="002A1F28"/>
    <w:rsid w:val="002A2A45"/>
    <w:rsid w:val="002A385B"/>
    <w:rsid w:val="002A3A62"/>
    <w:rsid w:val="002A3BFD"/>
    <w:rsid w:val="002A3C6F"/>
    <w:rsid w:val="002A4A65"/>
    <w:rsid w:val="002A5251"/>
    <w:rsid w:val="002A536D"/>
    <w:rsid w:val="002A5CF0"/>
    <w:rsid w:val="002A604F"/>
    <w:rsid w:val="002A73D2"/>
    <w:rsid w:val="002A7627"/>
    <w:rsid w:val="002A7642"/>
    <w:rsid w:val="002B016A"/>
    <w:rsid w:val="002B0624"/>
    <w:rsid w:val="002B0770"/>
    <w:rsid w:val="002B115F"/>
    <w:rsid w:val="002B19FC"/>
    <w:rsid w:val="002B1BC4"/>
    <w:rsid w:val="002B1C43"/>
    <w:rsid w:val="002B1E4F"/>
    <w:rsid w:val="002B2684"/>
    <w:rsid w:val="002B2877"/>
    <w:rsid w:val="002B34B0"/>
    <w:rsid w:val="002B34D7"/>
    <w:rsid w:val="002B3E9C"/>
    <w:rsid w:val="002B41CB"/>
    <w:rsid w:val="002B44AB"/>
    <w:rsid w:val="002B4998"/>
    <w:rsid w:val="002B4AD9"/>
    <w:rsid w:val="002B4C10"/>
    <w:rsid w:val="002B500F"/>
    <w:rsid w:val="002B5467"/>
    <w:rsid w:val="002B54FF"/>
    <w:rsid w:val="002B57C4"/>
    <w:rsid w:val="002B5CF1"/>
    <w:rsid w:val="002B5DAC"/>
    <w:rsid w:val="002B5F02"/>
    <w:rsid w:val="002B6590"/>
    <w:rsid w:val="002B72FB"/>
    <w:rsid w:val="002B7C19"/>
    <w:rsid w:val="002C02FF"/>
    <w:rsid w:val="002C04DB"/>
    <w:rsid w:val="002C0643"/>
    <w:rsid w:val="002C11B7"/>
    <w:rsid w:val="002C139D"/>
    <w:rsid w:val="002C1FAD"/>
    <w:rsid w:val="002C25B3"/>
    <w:rsid w:val="002C25B7"/>
    <w:rsid w:val="002C2AE5"/>
    <w:rsid w:val="002C320F"/>
    <w:rsid w:val="002C3D86"/>
    <w:rsid w:val="002C3FE4"/>
    <w:rsid w:val="002C468F"/>
    <w:rsid w:val="002C4A97"/>
    <w:rsid w:val="002C4B9E"/>
    <w:rsid w:val="002C5082"/>
    <w:rsid w:val="002C573E"/>
    <w:rsid w:val="002C59FC"/>
    <w:rsid w:val="002C5C8C"/>
    <w:rsid w:val="002C67C1"/>
    <w:rsid w:val="002C6BD0"/>
    <w:rsid w:val="002C6C8C"/>
    <w:rsid w:val="002C6D3C"/>
    <w:rsid w:val="002C73BF"/>
    <w:rsid w:val="002C7EF0"/>
    <w:rsid w:val="002C7F07"/>
    <w:rsid w:val="002D0230"/>
    <w:rsid w:val="002D0693"/>
    <w:rsid w:val="002D0897"/>
    <w:rsid w:val="002D09A3"/>
    <w:rsid w:val="002D0A98"/>
    <w:rsid w:val="002D0B49"/>
    <w:rsid w:val="002D0C33"/>
    <w:rsid w:val="002D0DBF"/>
    <w:rsid w:val="002D0DC6"/>
    <w:rsid w:val="002D1697"/>
    <w:rsid w:val="002D1BE9"/>
    <w:rsid w:val="002D1E41"/>
    <w:rsid w:val="002D2175"/>
    <w:rsid w:val="002D23F4"/>
    <w:rsid w:val="002D3466"/>
    <w:rsid w:val="002D37A7"/>
    <w:rsid w:val="002D3E74"/>
    <w:rsid w:val="002D43B2"/>
    <w:rsid w:val="002D48B6"/>
    <w:rsid w:val="002D5357"/>
    <w:rsid w:val="002D538C"/>
    <w:rsid w:val="002D53D7"/>
    <w:rsid w:val="002D599F"/>
    <w:rsid w:val="002D644B"/>
    <w:rsid w:val="002D6B75"/>
    <w:rsid w:val="002D6DB1"/>
    <w:rsid w:val="002D7237"/>
    <w:rsid w:val="002D723B"/>
    <w:rsid w:val="002D740D"/>
    <w:rsid w:val="002D7547"/>
    <w:rsid w:val="002D7654"/>
    <w:rsid w:val="002D7796"/>
    <w:rsid w:val="002D7987"/>
    <w:rsid w:val="002D79BD"/>
    <w:rsid w:val="002E0468"/>
    <w:rsid w:val="002E065C"/>
    <w:rsid w:val="002E0B10"/>
    <w:rsid w:val="002E0B1E"/>
    <w:rsid w:val="002E0B20"/>
    <w:rsid w:val="002E12B0"/>
    <w:rsid w:val="002E13DF"/>
    <w:rsid w:val="002E166F"/>
    <w:rsid w:val="002E19F7"/>
    <w:rsid w:val="002E1C65"/>
    <w:rsid w:val="002E20EB"/>
    <w:rsid w:val="002E26B7"/>
    <w:rsid w:val="002E2B5B"/>
    <w:rsid w:val="002E30E5"/>
    <w:rsid w:val="002E3313"/>
    <w:rsid w:val="002E3317"/>
    <w:rsid w:val="002E3C6F"/>
    <w:rsid w:val="002E45F1"/>
    <w:rsid w:val="002E474F"/>
    <w:rsid w:val="002E4E07"/>
    <w:rsid w:val="002E4F78"/>
    <w:rsid w:val="002E56DC"/>
    <w:rsid w:val="002E5EDA"/>
    <w:rsid w:val="002E6028"/>
    <w:rsid w:val="002E62B3"/>
    <w:rsid w:val="002E6314"/>
    <w:rsid w:val="002E6D49"/>
    <w:rsid w:val="002E6E0B"/>
    <w:rsid w:val="002E6FE3"/>
    <w:rsid w:val="002E7238"/>
    <w:rsid w:val="002E75D1"/>
    <w:rsid w:val="002E7779"/>
    <w:rsid w:val="002F0279"/>
    <w:rsid w:val="002F079A"/>
    <w:rsid w:val="002F09FE"/>
    <w:rsid w:val="002F0A28"/>
    <w:rsid w:val="002F0B2F"/>
    <w:rsid w:val="002F0C5E"/>
    <w:rsid w:val="002F232D"/>
    <w:rsid w:val="002F2D70"/>
    <w:rsid w:val="002F32D2"/>
    <w:rsid w:val="002F3F16"/>
    <w:rsid w:val="002F4552"/>
    <w:rsid w:val="002F4A35"/>
    <w:rsid w:val="002F5FBE"/>
    <w:rsid w:val="002F60F2"/>
    <w:rsid w:val="002F6284"/>
    <w:rsid w:val="002F6BCC"/>
    <w:rsid w:val="002F6DC6"/>
    <w:rsid w:val="002F713B"/>
    <w:rsid w:val="002F71C0"/>
    <w:rsid w:val="002F71D7"/>
    <w:rsid w:val="002F7277"/>
    <w:rsid w:val="002F7DB6"/>
    <w:rsid w:val="002F7E98"/>
    <w:rsid w:val="002F7F03"/>
    <w:rsid w:val="003000E1"/>
    <w:rsid w:val="003007F3"/>
    <w:rsid w:val="003008E5"/>
    <w:rsid w:val="00301235"/>
    <w:rsid w:val="00301900"/>
    <w:rsid w:val="00301CD9"/>
    <w:rsid w:val="00301FAF"/>
    <w:rsid w:val="0030293D"/>
    <w:rsid w:val="00302A45"/>
    <w:rsid w:val="00302B58"/>
    <w:rsid w:val="00302B6D"/>
    <w:rsid w:val="003037C5"/>
    <w:rsid w:val="003037C9"/>
    <w:rsid w:val="00303C36"/>
    <w:rsid w:val="00303D34"/>
    <w:rsid w:val="00303D47"/>
    <w:rsid w:val="00303D64"/>
    <w:rsid w:val="003040F8"/>
    <w:rsid w:val="003041C5"/>
    <w:rsid w:val="003043B1"/>
    <w:rsid w:val="0030464F"/>
    <w:rsid w:val="003046EA"/>
    <w:rsid w:val="00304904"/>
    <w:rsid w:val="00304A0D"/>
    <w:rsid w:val="00304DD3"/>
    <w:rsid w:val="003059C7"/>
    <w:rsid w:val="00305ED7"/>
    <w:rsid w:val="0030615E"/>
    <w:rsid w:val="00306306"/>
    <w:rsid w:val="00306334"/>
    <w:rsid w:val="0030650D"/>
    <w:rsid w:val="0030689D"/>
    <w:rsid w:val="00307060"/>
    <w:rsid w:val="0030731E"/>
    <w:rsid w:val="00307923"/>
    <w:rsid w:val="00307D90"/>
    <w:rsid w:val="00310428"/>
    <w:rsid w:val="0031098C"/>
    <w:rsid w:val="00310B5F"/>
    <w:rsid w:val="00310B7B"/>
    <w:rsid w:val="00310BFF"/>
    <w:rsid w:val="00310DE3"/>
    <w:rsid w:val="00310DEC"/>
    <w:rsid w:val="00310E58"/>
    <w:rsid w:val="003113F2"/>
    <w:rsid w:val="00311955"/>
    <w:rsid w:val="00311EF5"/>
    <w:rsid w:val="00312121"/>
    <w:rsid w:val="003125FE"/>
    <w:rsid w:val="00312A69"/>
    <w:rsid w:val="00312ADB"/>
    <w:rsid w:val="003130F5"/>
    <w:rsid w:val="003131F3"/>
    <w:rsid w:val="00313B22"/>
    <w:rsid w:val="00313F5B"/>
    <w:rsid w:val="0031420D"/>
    <w:rsid w:val="003149A6"/>
    <w:rsid w:val="00314CB5"/>
    <w:rsid w:val="003152F5"/>
    <w:rsid w:val="003159D2"/>
    <w:rsid w:val="00315DE5"/>
    <w:rsid w:val="00316215"/>
    <w:rsid w:val="003168E6"/>
    <w:rsid w:val="003178D8"/>
    <w:rsid w:val="003179D8"/>
    <w:rsid w:val="00317E18"/>
    <w:rsid w:val="00320BD3"/>
    <w:rsid w:val="003210A3"/>
    <w:rsid w:val="003212F4"/>
    <w:rsid w:val="00321F55"/>
    <w:rsid w:val="003229E6"/>
    <w:rsid w:val="00322D9D"/>
    <w:rsid w:val="003234F4"/>
    <w:rsid w:val="00323547"/>
    <w:rsid w:val="00323844"/>
    <w:rsid w:val="0032462A"/>
    <w:rsid w:val="00325163"/>
    <w:rsid w:val="00325482"/>
    <w:rsid w:val="00325C24"/>
    <w:rsid w:val="00325CF9"/>
    <w:rsid w:val="00325F8F"/>
    <w:rsid w:val="0032629B"/>
    <w:rsid w:val="0032636B"/>
    <w:rsid w:val="0032654F"/>
    <w:rsid w:val="003268DC"/>
    <w:rsid w:val="003268E0"/>
    <w:rsid w:val="00326F7D"/>
    <w:rsid w:val="00327DA4"/>
    <w:rsid w:val="003304ED"/>
    <w:rsid w:val="003307E2"/>
    <w:rsid w:val="00330F07"/>
    <w:rsid w:val="00331153"/>
    <w:rsid w:val="003312F1"/>
    <w:rsid w:val="003312FD"/>
    <w:rsid w:val="00331547"/>
    <w:rsid w:val="00332032"/>
    <w:rsid w:val="00332335"/>
    <w:rsid w:val="00332502"/>
    <w:rsid w:val="00332D7B"/>
    <w:rsid w:val="00333041"/>
    <w:rsid w:val="003331C0"/>
    <w:rsid w:val="00333993"/>
    <w:rsid w:val="00333BBB"/>
    <w:rsid w:val="003345C0"/>
    <w:rsid w:val="00334F87"/>
    <w:rsid w:val="0033583A"/>
    <w:rsid w:val="0033656F"/>
    <w:rsid w:val="00336C87"/>
    <w:rsid w:val="00336D53"/>
    <w:rsid w:val="003372DD"/>
    <w:rsid w:val="00337B72"/>
    <w:rsid w:val="00337DF4"/>
    <w:rsid w:val="00337E71"/>
    <w:rsid w:val="0034029D"/>
    <w:rsid w:val="003404F6"/>
    <w:rsid w:val="00340782"/>
    <w:rsid w:val="00340A8E"/>
    <w:rsid w:val="00340E1F"/>
    <w:rsid w:val="0034141C"/>
    <w:rsid w:val="00341E34"/>
    <w:rsid w:val="003424D3"/>
    <w:rsid w:val="00342664"/>
    <w:rsid w:val="0034334B"/>
    <w:rsid w:val="0034396E"/>
    <w:rsid w:val="00343ABA"/>
    <w:rsid w:val="00343BE0"/>
    <w:rsid w:val="00344944"/>
    <w:rsid w:val="00344D77"/>
    <w:rsid w:val="0034505C"/>
    <w:rsid w:val="00345101"/>
    <w:rsid w:val="003451E1"/>
    <w:rsid w:val="003455D8"/>
    <w:rsid w:val="0034560B"/>
    <w:rsid w:val="00346802"/>
    <w:rsid w:val="00346870"/>
    <w:rsid w:val="003505C0"/>
    <w:rsid w:val="003507B2"/>
    <w:rsid w:val="00350A0B"/>
    <w:rsid w:val="00351C8A"/>
    <w:rsid w:val="00351CA6"/>
    <w:rsid w:val="00352169"/>
    <w:rsid w:val="003528F2"/>
    <w:rsid w:val="0035290E"/>
    <w:rsid w:val="0035297A"/>
    <w:rsid w:val="00352AD2"/>
    <w:rsid w:val="00353499"/>
    <w:rsid w:val="00353694"/>
    <w:rsid w:val="00353FEC"/>
    <w:rsid w:val="003547C8"/>
    <w:rsid w:val="00354E87"/>
    <w:rsid w:val="003550BB"/>
    <w:rsid w:val="00355344"/>
    <w:rsid w:val="00356509"/>
    <w:rsid w:val="00357141"/>
    <w:rsid w:val="00357EFF"/>
    <w:rsid w:val="00357F8A"/>
    <w:rsid w:val="003611DC"/>
    <w:rsid w:val="00361743"/>
    <w:rsid w:val="00361837"/>
    <w:rsid w:val="003620E5"/>
    <w:rsid w:val="00362652"/>
    <w:rsid w:val="00362800"/>
    <w:rsid w:val="00362FA3"/>
    <w:rsid w:val="0036385E"/>
    <w:rsid w:val="00363B34"/>
    <w:rsid w:val="00363E8A"/>
    <w:rsid w:val="0036419B"/>
    <w:rsid w:val="003644EF"/>
    <w:rsid w:val="0036452A"/>
    <w:rsid w:val="0036547D"/>
    <w:rsid w:val="0036587A"/>
    <w:rsid w:val="00365B9A"/>
    <w:rsid w:val="00365BC6"/>
    <w:rsid w:val="00365FDC"/>
    <w:rsid w:val="0036643E"/>
    <w:rsid w:val="00366F95"/>
    <w:rsid w:val="00367141"/>
    <w:rsid w:val="00367224"/>
    <w:rsid w:val="003674D2"/>
    <w:rsid w:val="00367896"/>
    <w:rsid w:val="003704E9"/>
    <w:rsid w:val="00370529"/>
    <w:rsid w:val="00370AA2"/>
    <w:rsid w:val="003711A2"/>
    <w:rsid w:val="003714E5"/>
    <w:rsid w:val="00371635"/>
    <w:rsid w:val="00371D60"/>
    <w:rsid w:val="00371D98"/>
    <w:rsid w:val="00371DE8"/>
    <w:rsid w:val="00372573"/>
    <w:rsid w:val="00372930"/>
    <w:rsid w:val="00372B2E"/>
    <w:rsid w:val="00373347"/>
    <w:rsid w:val="003736DA"/>
    <w:rsid w:val="003744F1"/>
    <w:rsid w:val="00374787"/>
    <w:rsid w:val="00374AD1"/>
    <w:rsid w:val="00375648"/>
    <w:rsid w:val="00375652"/>
    <w:rsid w:val="0037599B"/>
    <w:rsid w:val="00375BC7"/>
    <w:rsid w:val="003779AF"/>
    <w:rsid w:val="003801DE"/>
    <w:rsid w:val="003803D1"/>
    <w:rsid w:val="0038076E"/>
    <w:rsid w:val="00380D2C"/>
    <w:rsid w:val="00380E89"/>
    <w:rsid w:val="00381061"/>
    <w:rsid w:val="0038261E"/>
    <w:rsid w:val="0038275F"/>
    <w:rsid w:val="003828E8"/>
    <w:rsid w:val="00382918"/>
    <w:rsid w:val="00382D3F"/>
    <w:rsid w:val="0038317F"/>
    <w:rsid w:val="00383EB4"/>
    <w:rsid w:val="00384512"/>
    <w:rsid w:val="003857F7"/>
    <w:rsid w:val="00385D72"/>
    <w:rsid w:val="003865DA"/>
    <w:rsid w:val="00386C87"/>
    <w:rsid w:val="0038740F"/>
    <w:rsid w:val="00387677"/>
    <w:rsid w:val="00390BA9"/>
    <w:rsid w:val="00390F3C"/>
    <w:rsid w:val="00391DAA"/>
    <w:rsid w:val="00391E6F"/>
    <w:rsid w:val="0039236D"/>
    <w:rsid w:val="003924D6"/>
    <w:rsid w:val="003929A4"/>
    <w:rsid w:val="00393963"/>
    <w:rsid w:val="00393EBB"/>
    <w:rsid w:val="00393FCF"/>
    <w:rsid w:val="00394390"/>
    <w:rsid w:val="003948A2"/>
    <w:rsid w:val="00394965"/>
    <w:rsid w:val="00394AB0"/>
    <w:rsid w:val="00394C18"/>
    <w:rsid w:val="0039583E"/>
    <w:rsid w:val="00395965"/>
    <w:rsid w:val="00395C11"/>
    <w:rsid w:val="003966FF"/>
    <w:rsid w:val="00396E75"/>
    <w:rsid w:val="00397B60"/>
    <w:rsid w:val="003A014A"/>
    <w:rsid w:val="003A0C75"/>
    <w:rsid w:val="003A103E"/>
    <w:rsid w:val="003A10AC"/>
    <w:rsid w:val="003A19FD"/>
    <w:rsid w:val="003A26B9"/>
    <w:rsid w:val="003A2EB2"/>
    <w:rsid w:val="003A3706"/>
    <w:rsid w:val="003A3F4E"/>
    <w:rsid w:val="003A5515"/>
    <w:rsid w:val="003A595D"/>
    <w:rsid w:val="003A5A68"/>
    <w:rsid w:val="003A5A72"/>
    <w:rsid w:val="003A6710"/>
    <w:rsid w:val="003A6F59"/>
    <w:rsid w:val="003A71C6"/>
    <w:rsid w:val="003A7501"/>
    <w:rsid w:val="003B017F"/>
    <w:rsid w:val="003B0698"/>
    <w:rsid w:val="003B0BC8"/>
    <w:rsid w:val="003B117F"/>
    <w:rsid w:val="003B169A"/>
    <w:rsid w:val="003B1A27"/>
    <w:rsid w:val="003B21A4"/>
    <w:rsid w:val="003B2882"/>
    <w:rsid w:val="003B2CBF"/>
    <w:rsid w:val="003B2DCF"/>
    <w:rsid w:val="003B309F"/>
    <w:rsid w:val="003B31D0"/>
    <w:rsid w:val="003B34B5"/>
    <w:rsid w:val="003B3B46"/>
    <w:rsid w:val="003B3CBA"/>
    <w:rsid w:val="003B3EED"/>
    <w:rsid w:val="003B437E"/>
    <w:rsid w:val="003B4A15"/>
    <w:rsid w:val="003B4AC2"/>
    <w:rsid w:val="003B5BC0"/>
    <w:rsid w:val="003B60CE"/>
    <w:rsid w:val="003B61A0"/>
    <w:rsid w:val="003B6258"/>
    <w:rsid w:val="003B724E"/>
    <w:rsid w:val="003B72F2"/>
    <w:rsid w:val="003B73D6"/>
    <w:rsid w:val="003B7964"/>
    <w:rsid w:val="003B7E97"/>
    <w:rsid w:val="003C06D6"/>
    <w:rsid w:val="003C08B7"/>
    <w:rsid w:val="003C0CC5"/>
    <w:rsid w:val="003C0E64"/>
    <w:rsid w:val="003C0E83"/>
    <w:rsid w:val="003C115B"/>
    <w:rsid w:val="003C16D1"/>
    <w:rsid w:val="003C1CD2"/>
    <w:rsid w:val="003C1D55"/>
    <w:rsid w:val="003C24A1"/>
    <w:rsid w:val="003C348F"/>
    <w:rsid w:val="003C3706"/>
    <w:rsid w:val="003C3995"/>
    <w:rsid w:val="003C3CAA"/>
    <w:rsid w:val="003C3DD1"/>
    <w:rsid w:val="003C3F48"/>
    <w:rsid w:val="003C3F9A"/>
    <w:rsid w:val="003C409C"/>
    <w:rsid w:val="003C4750"/>
    <w:rsid w:val="003C5418"/>
    <w:rsid w:val="003C582A"/>
    <w:rsid w:val="003C5C69"/>
    <w:rsid w:val="003C62EE"/>
    <w:rsid w:val="003C6B57"/>
    <w:rsid w:val="003C71C1"/>
    <w:rsid w:val="003C779B"/>
    <w:rsid w:val="003C7996"/>
    <w:rsid w:val="003C7B75"/>
    <w:rsid w:val="003D0BDF"/>
    <w:rsid w:val="003D0EAE"/>
    <w:rsid w:val="003D137E"/>
    <w:rsid w:val="003D13CE"/>
    <w:rsid w:val="003D14A8"/>
    <w:rsid w:val="003D14AB"/>
    <w:rsid w:val="003D19ED"/>
    <w:rsid w:val="003D2998"/>
    <w:rsid w:val="003D2BCB"/>
    <w:rsid w:val="003D2E3A"/>
    <w:rsid w:val="003D3594"/>
    <w:rsid w:val="003D36ED"/>
    <w:rsid w:val="003D3886"/>
    <w:rsid w:val="003D3992"/>
    <w:rsid w:val="003D3EAD"/>
    <w:rsid w:val="003D41B5"/>
    <w:rsid w:val="003D44CD"/>
    <w:rsid w:val="003D4563"/>
    <w:rsid w:val="003D45D0"/>
    <w:rsid w:val="003D5040"/>
    <w:rsid w:val="003D53FE"/>
    <w:rsid w:val="003D5B35"/>
    <w:rsid w:val="003D5FE9"/>
    <w:rsid w:val="003D6A2E"/>
    <w:rsid w:val="003D72B2"/>
    <w:rsid w:val="003D72E8"/>
    <w:rsid w:val="003D76EB"/>
    <w:rsid w:val="003D76F7"/>
    <w:rsid w:val="003E02CD"/>
    <w:rsid w:val="003E0A51"/>
    <w:rsid w:val="003E0C39"/>
    <w:rsid w:val="003E11CB"/>
    <w:rsid w:val="003E2247"/>
    <w:rsid w:val="003E283F"/>
    <w:rsid w:val="003E2C87"/>
    <w:rsid w:val="003E3159"/>
    <w:rsid w:val="003E34E4"/>
    <w:rsid w:val="003E3662"/>
    <w:rsid w:val="003E4859"/>
    <w:rsid w:val="003E4E67"/>
    <w:rsid w:val="003E50F3"/>
    <w:rsid w:val="003E5806"/>
    <w:rsid w:val="003E597E"/>
    <w:rsid w:val="003E5E6F"/>
    <w:rsid w:val="003E5FFA"/>
    <w:rsid w:val="003E6075"/>
    <w:rsid w:val="003E647D"/>
    <w:rsid w:val="003E6BFE"/>
    <w:rsid w:val="003E739A"/>
    <w:rsid w:val="003E74DA"/>
    <w:rsid w:val="003E758A"/>
    <w:rsid w:val="003F056C"/>
    <w:rsid w:val="003F11BF"/>
    <w:rsid w:val="003F17FB"/>
    <w:rsid w:val="003F1BED"/>
    <w:rsid w:val="003F1C90"/>
    <w:rsid w:val="003F2082"/>
    <w:rsid w:val="003F2453"/>
    <w:rsid w:val="003F2879"/>
    <w:rsid w:val="003F2C8D"/>
    <w:rsid w:val="003F2CE4"/>
    <w:rsid w:val="003F2DD5"/>
    <w:rsid w:val="003F3147"/>
    <w:rsid w:val="003F3181"/>
    <w:rsid w:val="003F4117"/>
    <w:rsid w:val="003F4B67"/>
    <w:rsid w:val="003F4C6F"/>
    <w:rsid w:val="003F5BA9"/>
    <w:rsid w:val="003F6094"/>
    <w:rsid w:val="003F6174"/>
    <w:rsid w:val="003F66FC"/>
    <w:rsid w:val="003F6FC7"/>
    <w:rsid w:val="003F7A88"/>
    <w:rsid w:val="003F7B52"/>
    <w:rsid w:val="004008C7"/>
    <w:rsid w:val="00400C10"/>
    <w:rsid w:val="00400CD5"/>
    <w:rsid w:val="00400E3B"/>
    <w:rsid w:val="004011A2"/>
    <w:rsid w:val="004018F3"/>
    <w:rsid w:val="004020F8"/>
    <w:rsid w:val="00402F6B"/>
    <w:rsid w:val="00403266"/>
    <w:rsid w:val="00403772"/>
    <w:rsid w:val="00403D27"/>
    <w:rsid w:val="00404687"/>
    <w:rsid w:val="00404F1A"/>
    <w:rsid w:val="00405315"/>
    <w:rsid w:val="00405455"/>
    <w:rsid w:val="0040579F"/>
    <w:rsid w:val="004059FE"/>
    <w:rsid w:val="00405C49"/>
    <w:rsid w:val="00405C8D"/>
    <w:rsid w:val="00406B33"/>
    <w:rsid w:val="00406E03"/>
    <w:rsid w:val="00406E1B"/>
    <w:rsid w:val="0040720F"/>
    <w:rsid w:val="004073AD"/>
    <w:rsid w:val="00407423"/>
    <w:rsid w:val="004078BA"/>
    <w:rsid w:val="004079A5"/>
    <w:rsid w:val="004079DB"/>
    <w:rsid w:val="00407A13"/>
    <w:rsid w:val="00407CE7"/>
    <w:rsid w:val="00407E09"/>
    <w:rsid w:val="0041046C"/>
    <w:rsid w:val="00411573"/>
    <w:rsid w:val="00411E85"/>
    <w:rsid w:val="00411EE9"/>
    <w:rsid w:val="004121A8"/>
    <w:rsid w:val="00412379"/>
    <w:rsid w:val="00412F2A"/>
    <w:rsid w:val="0041336D"/>
    <w:rsid w:val="00414072"/>
    <w:rsid w:val="0041483E"/>
    <w:rsid w:val="004148BA"/>
    <w:rsid w:val="00414DAA"/>
    <w:rsid w:val="00415A96"/>
    <w:rsid w:val="004162A1"/>
    <w:rsid w:val="00417245"/>
    <w:rsid w:val="00417880"/>
    <w:rsid w:val="0042086B"/>
    <w:rsid w:val="00420A54"/>
    <w:rsid w:val="00420AED"/>
    <w:rsid w:val="00420D00"/>
    <w:rsid w:val="00420F61"/>
    <w:rsid w:val="004212AD"/>
    <w:rsid w:val="00421D3C"/>
    <w:rsid w:val="00422295"/>
    <w:rsid w:val="0042249A"/>
    <w:rsid w:val="0042267A"/>
    <w:rsid w:val="00422E9C"/>
    <w:rsid w:val="00423122"/>
    <w:rsid w:val="004237C3"/>
    <w:rsid w:val="00423DE2"/>
    <w:rsid w:val="0042543A"/>
    <w:rsid w:val="004254DB"/>
    <w:rsid w:val="00425874"/>
    <w:rsid w:val="00425CF2"/>
    <w:rsid w:val="00425DBB"/>
    <w:rsid w:val="00425E7D"/>
    <w:rsid w:val="00425F57"/>
    <w:rsid w:val="004264BB"/>
    <w:rsid w:val="004267AB"/>
    <w:rsid w:val="0042722E"/>
    <w:rsid w:val="00427268"/>
    <w:rsid w:val="004278BF"/>
    <w:rsid w:val="004301E7"/>
    <w:rsid w:val="00430240"/>
    <w:rsid w:val="0043047E"/>
    <w:rsid w:val="00430D3F"/>
    <w:rsid w:val="00430DFC"/>
    <w:rsid w:val="004326A3"/>
    <w:rsid w:val="004327DD"/>
    <w:rsid w:val="00432B4A"/>
    <w:rsid w:val="00432FCA"/>
    <w:rsid w:val="00433052"/>
    <w:rsid w:val="0043321A"/>
    <w:rsid w:val="004332B6"/>
    <w:rsid w:val="004333F5"/>
    <w:rsid w:val="0043414B"/>
    <w:rsid w:val="00434280"/>
    <w:rsid w:val="004342D5"/>
    <w:rsid w:val="00435B3D"/>
    <w:rsid w:val="00435BF1"/>
    <w:rsid w:val="0043620D"/>
    <w:rsid w:val="00436E2D"/>
    <w:rsid w:val="00437795"/>
    <w:rsid w:val="00437F57"/>
    <w:rsid w:val="0044005B"/>
    <w:rsid w:val="00440486"/>
    <w:rsid w:val="004405F7"/>
    <w:rsid w:val="004408CC"/>
    <w:rsid w:val="004409DB"/>
    <w:rsid w:val="00441C09"/>
    <w:rsid w:val="00441CDC"/>
    <w:rsid w:val="0044208B"/>
    <w:rsid w:val="004421ED"/>
    <w:rsid w:val="0044228C"/>
    <w:rsid w:val="004429F1"/>
    <w:rsid w:val="00442A54"/>
    <w:rsid w:val="00442A5B"/>
    <w:rsid w:val="00442EF9"/>
    <w:rsid w:val="0044317C"/>
    <w:rsid w:val="00443D24"/>
    <w:rsid w:val="00443DA2"/>
    <w:rsid w:val="004442FE"/>
    <w:rsid w:val="00444753"/>
    <w:rsid w:val="0044492D"/>
    <w:rsid w:val="00444BF9"/>
    <w:rsid w:val="00444D1F"/>
    <w:rsid w:val="00445422"/>
    <w:rsid w:val="004457E5"/>
    <w:rsid w:val="004458E8"/>
    <w:rsid w:val="00445C87"/>
    <w:rsid w:val="0044603D"/>
    <w:rsid w:val="00446373"/>
    <w:rsid w:val="00446390"/>
    <w:rsid w:val="00446B31"/>
    <w:rsid w:val="00446CAD"/>
    <w:rsid w:val="004470A2"/>
    <w:rsid w:val="00447C35"/>
    <w:rsid w:val="00447DB6"/>
    <w:rsid w:val="004500C3"/>
    <w:rsid w:val="00450201"/>
    <w:rsid w:val="00450BA3"/>
    <w:rsid w:val="0045182E"/>
    <w:rsid w:val="004518D6"/>
    <w:rsid w:val="00451BF5"/>
    <w:rsid w:val="00451F71"/>
    <w:rsid w:val="00451F72"/>
    <w:rsid w:val="0045242B"/>
    <w:rsid w:val="00453300"/>
    <w:rsid w:val="004533EC"/>
    <w:rsid w:val="00453607"/>
    <w:rsid w:val="00453A78"/>
    <w:rsid w:val="00454CFB"/>
    <w:rsid w:val="0045542B"/>
    <w:rsid w:val="004557F6"/>
    <w:rsid w:val="004558F9"/>
    <w:rsid w:val="004558FF"/>
    <w:rsid w:val="00455AB0"/>
    <w:rsid w:val="00457C9D"/>
    <w:rsid w:val="00457F08"/>
    <w:rsid w:val="00457F71"/>
    <w:rsid w:val="00460E17"/>
    <w:rsid w:val="00461B0D"/>
    <w:rsid w:val="00461C8C"/>
    <w:rsid w:val="004623E3"/>
    <w:rsid w:val="004626AF"/>
    <w:rsid w:val="00462727"/>
    <w:rsid w:val="00462730"/>
    <w:rsid w:val="004631E0"/>
    <w:rsid w:val="004637E9"/>
    <w:rsid w:val="00463BDE"/>
    <w:rsid w:val="00463E44"/>
    <w:rsid w:val="0046442B"/>
    <w:rsid w:val="00464618"/>
    <w:rsid w:val="00464960"/>
    <w:rsid w:val="00464BD7"/>
    <w:rsid w:val="00464EA9"/>
    <w:rsid w:val="00464EF6"/>
    <w:rsid w:val="004654D4"/>
    <w:rsid w:val="00465D26"/>
    <w:rsid w:val="00465DF1"/>
    <w:rsid w:val="004664E1"/>
    <w:rsid w:val="00466928"/>
    <w:rsid w:val="00467023"/>
    <w:rsid w:val="00467161"/>
    <w:rsid w:val="0046723A"/>
    <w:rsid w:val="004675A1"/>
    <w:rsid w:val="004700F5"/>
    <w:rsid w:val="0047048C"/>
    <w:rsid w:val="00470C91"/>
    <w:rsid w:val="004715B8"/>
    <w:rsid w:val="00471929"/>
    <w:rsid w:val="00471B9C"/>
    <w:rsid w:val="00471DE8"/>
    <w:rsid w:val="00471E8F"/>
    <w:rsid w:val="004723BB"/>
    <w:rsid w:val="004727E0"/>
    <w:rsid w:val="00472DFF"/>
    <w:rsid w:val="00473535"/>
    <w:rsid w:val="00473AB5"/>
    <w:rsid w:val="0047409F"/>
    <w:rsid w:val="004741C0"/>
    <w:rsid w:val="004741D0"/>
    <w:rsid w:val="00475300"/>
    <w:rsid w:val="00475EFE"/>
    <w:rsid w:val="004766AC"/>
    <w:rsid w:val="0047670C"/>
    <w:rsid w:val="00476BF6"/>
    <w:rsid w:val="00476C15"/>
    <w:rsid w:val="00476DE7"/>
    <w:rsid w:val="004771E1"/>
    <w:rsid w:val="004779D3"/>
    <w:rsid w:val="00477F77"/>
    <w:rsid w:val="00480024"/>
    <w:rsid w:val="004808C0"/>
    <w:rsid w:val="004811F1"/>
    <w:rsid w:val="00481580"/>
    <w:rsid w:val="00482DB7"/>
    <w:rsid w:val="00482EA9"/>
    <w:rsid w:val="00482F22"/>
    <w:rsid w:val="00483517"/>
    <w:rsid w:val="0048380F"/>
    <w:rsid w:val="00483AFB"/>
    <w:rsid w:val="004853A7"/>
    <w:rsid w:val="00485584"/>
    <w:rsid w:val="0048638C"/>
    <w:rsid w:val="004865FE"/>
    <w:rsid w:val="0048662C"/>
    <w:rsid w:val="00486827"/>
    <w:rsid w:val="004868EB"/>
    <w:rsid w:val="0048734A"/>
    <w:rsid w:val="00487359"/>
    <w:rsid w:val="004873EB"/>
    <w:rsid w:val="00487730"/>
    <w:rsid w:val="0049070F"/>
    <w:rsid w:val="00490ABA"/>
    <w:rsid w:val="00490CD3"/>
    <w:rsid w:val="00491BB4"/>
    <w:rsid w:val="00491BBF"/>
    <w:rsid w:val="0049270A"/>
    <w:rsid w:val="004927A2"/>
    <w:rsid w:val="00493785"/>
    <w:rsid w:val="00493E38"/>
    <w:rsid w:val="00493EA6"/>
    <w:rsid w:val="00493ED6"/>
    <w:rsid w:val="00494399"/>
    <w:rsid w:val="004948EF"/>
    <w:rsid w:val="00494C50"/>
    <w:rsid w:val="00494E21"/>
    <w:rsid w:val="0049551D"/>
    <w:rsid w:val="004955D5"/>
    <w:rsid w:val="00495B6E"/>
    <w:rsid w:val="00496387"/>
    <w:rsid w:val="00496882"/>
    <w:rsid w:val="00496BF9"/>
    <w:rsid w:val="00496D96"/>
    <w:rsid w:val="00497746"/>
    <w:rsid w:val="004977B6"/>
    <w:rsid w:val="00497A82"/>
    <w:rsid w:val="004A0742"/>
    <w:rsid w:val="004A09A7"/>
    <w:rsid w:val="004A0E9E"/>
    <w:rsid w:val="004A0FB4"/>
    <w:rsid w:val="004A10BA"/>
    <w:rsid w:val="004A10FE"/>
    <w:rsid w:val="004A1381"/>
    <w:rsid w:val="004A1A77"/>
    <w:rsid w:val="004A1E49"/>
    <w:rsid w:val="004A2B91"/>
    <w:rsid w:val="004A346D"/>
    <w:rsid w:val="004A36E8"/>
    <w:rsid w:val="004A3C05"/>
    <w:rsid w:val="004A3F77"/>
    <w:rsid w:val="004A5157"/>
    <w:rsid w:val="004A5BA1"/>
    <w:rsid w:val="004A5C11"/>
    <w:rsid w:val="004A683D"/>
    <w:rsid w:val="004A6D4A"/>
    <w:rsid w:val="004A6EA5"/>
    <w:rsid w:val="004A7474"/>
    <w:rsid w:val="004A7DBF"/>
    <w:rsid w:val="004A7FE3"/>
    <w:rsid w:val="004B025B"/>
    <w:rsid w:val="004B09B5"/>
    <w:rsid w:val="004B14F1"/>
    <w:rsid w:val="004B171A"/>
    <w:rsid w:val="004B1970"/>
    <w:rsid w:val="004B1BDE"/>
    <w:rsid w:val="004B1E78"/>
    <w:rsid w:val="004B1E8E"/>
    <w:rsid w:val="004B2E94"/>
    <w:rsid w:val="004B32AC"/>
    <w:rsid w:val="004B547D"/>
    <w:rsid w:val="004B571B"/>
    <w:rsid w:val="004B5C05"/>
    <w:rsid w:val="004B6455"/>
    <w:rsid w:val="004B65CD"/>
    <w:rsid w:val="004B6600"/>
    <w:rsid w:val="004B7410"/>
    <w:rsid w:val="004B7A1F"/>
    <w:rsid w:val="004B7B74"/>
    <w:rsid w:val="004B7DD9"/>
    <w:rsid w:val="004C0713"/>
    <w:rsid w:val="004C0C12"/>
    <w:rsid w:val="004C1541"/>
    <w:rsid w:val="004C15B2"/>
    <w:rsid w:val="004C166C"/>
    <w:rsid w:val="004C1DD9"/>
    <w:rsid w:val="004C20EA"/>
    <w:rsid w:val="004C21F0"/>
    <w:rsid w:val="004C2E84"/>
    <w:rsid w:val="004C2F89"/>
    <w:rsid w:val="004C314F"/>
    <w:rsid w:val="004C33B1"/>
    <w:rsid w:val="004C39D8"/>
    <w:rsid w:val="004C425F"/>
    <w:rsid w:val="004C4664"/>
    <w:rsid w:val="004C4A64"/>
    <w:rsid w:val="004C4CEA"/>
    <w:rsid w:val="004C51DE"/>
    <w:rsid w:val="004C5BA7"/>
    <w:rsid w:val="004C5DE3"/>
    <w:rsid w:val="004C5F04"/>
    <w:rsid w:val="004C6551"/>
    <w:rsid w:val="004C6609"/>
    <w:rsid w:val="004C6C3F"/>
    <w:rsid w:val="004C6CF7"/>
    <w:rsid w:val="004C75B8"/>
    <w:rsid w:val="004C7904"/>
    <w:rsid w:val="004C79F6"/>
    <w:rsid w:val="004C7DBC"/>
    <w:rsid w:val="004D0366"/>
    <w:rsid w:val="004D0589"/>
    <w:rsid w:val="004D0601"/>
    <w:rsid w:val="004D0858"/>
    <w:rsid w:val="004D0A9C"/>
    <w:rsid w:val="004D1843"/>
    <w:rsid w:val="004D1E54"/>
    <w:rsid w:val="004D237F"/>
    <w:rsid w:val="004D24AB"/>
    <w:rsid w:val="004D2939"/>
    <w:rsid w:val="004D29D9"/>
    <w:rsid w:val="004D2D45"/>
    <w:rsid w:val="004D2EB0"/>
    <w:rsid w:val="004D3B9F"/>
    <w:rsid w:val="004D4022"/>
    <w:rsid w:val="004D5408"/>
    <w:rsid w:val="004D5598"/>
    <w:rsid w:val="004D60E3"/>
    <w:rsid w:val="004D618C"/>
    <w:rsid w:val="004D6456"/>
    <w:rsid w:val="004D6E76"/>
    <w:rsid w:val="004D7196"/>
    <w:rsid w:val="004D7C80"/>
    <w:rsid w:val="004E0095"/>
    <w:rsid w:val="004E02EF"/>
    <w:rsid w:val="004E0301"/>
    <w:rsid w:val="004E139A"/>
    <w:rsid w:val="004E15A8"/>
    <w:rsid w:val="004E2160"/>
    <w:rsid w:val="004E2E05"/>
    <w:rsid w:val="004E312A"/>
    <w:rsid w:val="004E3ABB"/>
    <w:rsid w:val="004E3BCA"/>
    <w:rsid w:val="004E3C61"/>
    <w:rsid w:val="004E44B5"/>
    <w:rsid w:val="004E476E"/>
    <w:rsid w:val="004E4C3F"/>
    <w:rsid w:val="004E5043"/>
    <w:rsid w:val="004E5C0A"/>
    <w:rsid w:val="004E6971"/>
    <w:rsid w:val="004E6985"/>
    <w:rsid w:val="004E6A00"/>
    <w:rsid w:val="004E6C54"/>
    <w:rsid w:val="004E6DA0"/>
    <w:rsid w:val="004F05A4"/>
    <w:rsid w:val="004F1568"/>
    <w:rsid w:val="004F1C6E"/>
    <w:rsid w:val="004F28C6"/>
    <w:rsid w:val="004F30E9"/>
    <w:rsid w:val="004F37DB"/>
    <w:rsid w:val="004F5061"/>
    <w:rsid w:val="004F6020"/>
    <w:rsid w:val="004F6F0E"/>
    <w:rsid w:val="004F6F9F"/>
    <w:rsid w:val="004F76AD"/>
    <w:rsid w:val="004F7BCA"/>
    <w:rsid w:val="004F7CD6"/>
    <w:rsid w:val="004F7DED"/>
    <w:rsid w:val="004F7E00"/>
    <w:rsid w:val="004F7F94"/>
    <w:rsid w:val="00500707"/>
    <w:rsid w:val="005008DB"/>
    <w:rsid w:val="00500E9F"/>
    <w:rsid w:val="0050168C"/>
    <w:rsid w:val="0050195A"/>
    <w:rsid w:val="00501CC3"/>
    <w:rsid w:val="00501DA7"/>
    <w:rsid w:val="00502128"/>
    <w:rsid w:val="005021A8"/>
    <w:rsid w:val="00502329"/>
    <w:rsid w:val="00502C17"/>
    <w:rsid w:val="00502CCD"/>
    <w:rsid w:val="00502CF1"/>
    <w:rsid w:val="0050325A"/>
    <w:rsid w:val="005038D1"/>
    <w:rsid w:val="00503F79"/>
    <w:rsid w:val="005045DC"/>
    <w:rsid w:val="0050519C"/>
    <w:rsid w:val="00505726"/>
    <w:rsid w:val="005058E8"/>
    <w:rsid w:val="00505B6D"/>
    <w:rsid w:val="0050607D"/>
    <w:rsid w:val="005061D2"/>
    <w:rsid w:val="005064AC"/>
    <w:rsid w:val="00507048"/>
    <w:rsid w:val="00507064"/>
    <w:rsid w:val="005074C7"/>
    <w:rsid w:val="00507998"/>
    <w:rsid w:val="00510789"/>
    <w:rsid w:val="00510B93"/>
    <w:rsid w:val="0051194F"/>
    <w:rsid w:val="00512F70"/>
    <w:rsid w:val="00513200"/>
    <w:rsid w:val="00513B01"/>
    <w:rsid w:val="005142CF"/>
    <w:rsid w:val="005143D8"/>
    <w:rsid w:val="00514AFA"/>
    <w:rsid w:val="005151EC"/>
    <w:rsid w:val="005153DA"/>
    <w:rsid w:val="0051550A"/>
    <w:rsid w:val="00515856"/>
    <w:rsid w:val="0051656E"/>
    <w:rsid w:val="005165D9"/>
    <w:rsid w:val="00517358"/>
    <w:rsid w:val="00517523"/>
    <w:rsid w:val="0051778A"/>
    <w:rsid w:val="005179D5"/>
    <w:rsid w:val="00517F88"/>
    <w:rsid w:val="005205E0"/>
    <w:rsid w:val="00521791"/>
    <w:rsid w:val="0052180B"/>
    <w:rsid w:val="005224DA"/>
    <w:rsid w:val="0052257B"/>
    <w:rsid w:val="005228F7"/>
    <w:rsid w:val="00522972"/>
    <w:rsid w:val="00522DAF"/>
    <w:rsid w:val="005240D9"/>
    <w:rsid w:val="005243DC"/>
    <w:rsid w:val="005243F6"/>
    <w:rsid w:val="00524687"/>
    <w:rsid w:val="00525284"/>
    <w:rsid w:val="0052593D"/>
    <w:rsid w:val="00525977"/>
    <w:rsid w:val="00525FDF"/>
    <w:rsid w:val="00526690"/>
    <w:rsid w:val="00526997"/>
    <w:rsid w:val="00526B2B"/>
    <w:rsid w:val="00526B66"/>
    <w:rsid w:val="00526CD0"/>
    <w:rsid w:val="00526F46"/>
    <w:rsid w:val="00527AEE"/>
    <w:rsid w:val="00527D5D"/>
    <w:rsid w:val="00530063"/>
    <w:rsid w:val="005302B8"/>
    <w:rsid w:val="005306E9"/>
    <w:rsid w:val="005313B6"/>
    <w:rsid w:val="0053142A"/>
    <w:rsid w:val="00531C44"/>
    <w:rsid w:val="00531C6C"/>
    <w:rsid w:val="00531C93"/>
    <w:rsid w:val="00531D23"/>
    <w:rsid w:val="00531F9A"/>
    <w:rsid w:val="00532E6C"/>
    <w:rsid w:val="00532FE8"/>
    <w:rsid w:val="0053300D"/>
    <w:rsid w:val="005338E0"/>
    <w:rsid w:val="00533DAA"/>
    <w:rsid w:val="0053416E"/>
    <w:rsid w:val="00534679"/>
    <w:rsid w:val="005348EF"/>
    <w:rsid w:val="005352A6"/>
    <w:rsid w:val="00535D04"/>
    <w:rsid w:val="00536986"/>
    <w:rsid w:val="00536B53"/>
    <w:rsid w:val="00536C37"/>
    <w:rsid w:val="005371A5"/>
    <w:rsid w:val="005371F6"/>
    <w:rsid w:val="00537F07"/>
    <w:rsid w:val="00541CF5"/>
    <w:rsid w:val="00541D9D"/>
    <w:rsid w:val="0054200C"/>
    <w:rsid w:val="00542036"/>
    <w:rsid w:val="0054205A"/>
    <w:rsid w:val="00542469"/>
    <w:rsid w:val="00542AB9"/>
    <w:rsid w:val="00542BCC"/>
    <w:rsid w:val="00542D50"/>
    <w:rsid w:val="005431DA"/>
    <w:rsid w:val="00543349"/>
    <w:rsid w:val="005434D0"/>
    <w:rsid w:val="005435FA"/>
    <w:rsid w:val="00543A42"/>
    <w:rsid w:val="00543FAF"/>
    <w:rsid w:val="00544798"/>
    <w:rsid w:val="00544BE3"/>
    <w:rsid w:val="00544DBC"/>
    <w:rsid w:val="005455BF"/>
    <w:rsid w:val="00545A9C"/>
    <w:rsid w:val="0054627B"/>
    <w:rsid w:val="005462B3"/>
    <w:rsid w:val="005462D2"/>
    <w:rsid w:val="0054755D"/>
    <w:rsid w:val="00547EF4"/>
    <w:rsid w:val="005509D8"/>
    <w:rsid w:val="00551D05"/>
    <w:rsid w:val="00551DE1"/>
    <w:rsid w:val="00551E46"/>
    <w:rsid w:val="00551FE8"/>
    <w:rsid w:val="00552695"/>
    <w:rsid w:val="005526A7"/>
    <w:rsid w:val="005526C1"/>
    <w:rsid w:val="005526E4"/>
    <w:rsid w:val="00553285"/>
    <w:rsid w:val="00553568"/>
    <w:rsid w:val="00553897"/>
    <w:rsid w:val="00554993"/>
    <w:rsid w:val="00554FF6"/>
    <w:rsid w:val="0055551E"/>
    <w:rsid w:val="00556237"/>
    <w:rsid w:val="005563A1"/>
    <w:rsid w:val="005566C2"/>
    <w:rsid w:val="00556A23"/>
    <w:rsid w:val="00557019"/>
    <w:rsid w:val="0055739F"/>
    <w:rsid w:val="00557BAF"/>
    <w:rsid w:val="005603CA"/>
    <w:rsid w:val="00560639"/>
    <w:rsid w:val="00560DBC"/>
    <w:rsid w:val="00561587"/>
    <w:rsid w:val="00561B92"/>
    <w:rsid w:val="00561D93"/>
    <w:rsid w:val="00561DAB"/>
    <w:rsid w:val="005629CA"/>
    <w:rsid w:val="005631D7"/>
    <w:rsid w:val="0056355A"/>
    <w:rsid w:val="005638D7"/>
    <w:rsid w:val="00563A59"/>
    <w:rsid w:val="005645DD"/>
    <w:rsid w:val="00564E7E"/>
    <w:rsid w:val="00564F7B"/>
    <w:rsid w:val="0056540B"/>
    <w:rsid w:val="0056595F"/>
    <w:rsid w:val="00565CDA"/>
    <w:rsid w:val="00566882"/>
    <w:rsid w:val="00566A8C"/>
    <w:rsid w:val="00566C8D"/>
    <w:rsid w:val="00567504"/>
    <w:rsid w:val="005708E6"/>
    <w:rsid w:val="005716FE"/>
    <w:rsid w:val="005717B3"/>
    <w:rsid w:val="00571C21"/>
    <w:rsid w:val="005727D2"/>
    <w:rsid w:val="00572C18"/>
    <w:rsid w:val="00572E55"/>
    <w:rsid w:val="00573862"/>
    <w:rsid w:val="0057429F"/>
    <w:rsid w:val="005748DE"/>
    <w:rsid w:val="00574F59"/>
    <w:rsid w:val="00575EDC"/>
    <w:rsid w:val="0057655C"/>
    <w:rsid w:val="00577117"/>
    <w:rsid w:val="005771D0"/>
    <w:rsid w:val="00577541"/>
    <w:rsid w:val="005778C5"/>
    <w:rsid w:val="00580465"/>
    <w:rsid w:val="005804F0"/>
    <w:rsid w:val="00580C3C"/>
    <w:rsid w:val="00581590"/>
    <w:rsid w:val="0058160D"/>
    <w:rsid w:val="005819E0"/>
    <w:rsid w:val="00581E60"/>
    <w:rsid w:val="005825CA"/>
    <w:rsid w:val="0058287E"/>
    <w:rsid w:val="005828D7"/>
    <w:rsid w:val="00582D5E"/>
    <w:rsid w:val="00583113"/>
    <w:rsid w:val="00583331"/>
    <w:rsid w:val="00584321"/>
    <w:rsid w:val="00584CC0"/>
    <w:rsid w:val="00584D42"/>
    <w:rsid w:val="005852E4"/>
    <w:rsid w:val="00585741"/>
    <w:rsid w:val="005858D3"/>
    <w:rsid w:val="00585C84"/>
    <w:rsid w:val="00585E06"/>
    <w:rsid w:val="00586706"/>
    <w:rsid w:val="005867BF"/>
    <w:rsid w:val="005868D3"/>
    <w:rsid w:val="00586B69"/>
    <w:rsid w:val="00587371"/>
    <w:rsid w:val="005874B2"/>
    <w:rsid w:val="0058753C"/>
    <w:rsid w:val="005902C5"/>
    <w:rsid w:val="005909D0"/>
    <w:rsid w:val="005911E1"/>
    <w:rsid w:val="005915BB"/>
    <w:rsid w:val="00591863"/>
    <w:rsid w:val="00591899"/>
    <w:rsid w:val="00591BC6"/>
    <w:rsid w:val="005922DB"/>
    <w:rsid w:val="00592400"/>
    <w:rsid w:val="00592825"/>
    <w:rsid w:val="0059297A"/>
    <w:rsid w:val="0059305F"/>
    <w:rsid w:val="00593393"/>
    <w:rsid w:val="0059350E"/>
    <w:rsid w:val="00593722"/>
    <w:rsid w:val="00593B92"/>
    <w:rsid w:val="00593BD2"/>
    <w:rsid w:val="00593CAF"/>
    <w:rsid w:val="0059414A"/>
    <w:rsid w:val="00594154"/>
    <w:rsid w:val="0059441A"/>
    <w:rsid w:val="00594AD7"/>
    <w:rsid w:val="00594B1A"/>
    <w:rsid w:val="00594D5E"/>
    <w:rsid w:val="00594DA5"/>
    <w:rsid w:val="00595044"/>
    <w:rsid w:val="00595141"/>
    <w:rsid w:val="005955D3"/>
    <w:rsid w:val="00595EC7"/>
    <w:rsid w:val="00595FA4"/>
    <w:rsid w:val="00596D48"/>
    <w:rsid w:val="00596FF4"/>
    <w:rsid w:val="005970FD"/>
    <w:rsid w:val="00597600"/>
    <w:rsid w:val="00597FE2"/>
    <w:rsid w:val="005A05CD"/>
    <w:rsid w:val="005A0636"/>
    <w:rsid w:val="005A0A13"/>
    <w:rsid w:val="005A0F5F"/>
    <w:rsid w:val="005A123E"/>
    <w:rsid w:val="005A1353"/>
    <w:rsid w:val="005A135E"/>
    <w:rsid w:val="005A1CB4"/>
    <w:rsid w:val="005A221F"/>
    <w:rsid w:val="005A24A3"/>
    <w:rsid w:val="005A2636"/>
    <w:rsid w:val="005A2877"/>
    <w:rsid w:val="005A2BBD"/>
    <w:rsid w:val="005A2C51"/>
    <w:rsid w:val="005A33FA"/>
    <w:rsid w:val="005A3B04"/>
    <w:rsid w:val="005A3CDD"/>
    <w:rsid w:val="005A43A5"/>
    <w:rsid w:val="005A43A8"/>
    <w:rsid w:val="005A47AC"/>
    <w:rsid w:val="005A4D1E"/>
    <w:rsid w:val="005A4E26"/>
    <w:rsid w:val="005A5B68"/>
    <w:rsid w:val="005A5E26"/>
    <w:rsid w:val="005A6116"/>
    <w:rsid w:val="005A66E3"/>
    <w:rsid w:val="005A73F7"/>
    <w:rsid w:val="005A7643"/>
    <w:rsid w:val="005A7884"/>
    <w:rsid w:val="005B0BA1"/>
    <w:rsid w:val="005B0FED"/>
    <w:rsid w:val="005B12AC"/>
    <w:rsid w:val="005B2053"/>
    <w:rsid w:val="005B29F2"/>
    <w:rsid w:val="005B2FA3"/>
    <w:rsid w:val="005B3AC8"/>
    <w:rsid w:val="005B3D0A"/>
    <w:rsid w:val="005B42E3"/>
    <w:rsid w:val="005B4867"/>
    <w:rsid w:val="005B4D51"/>
    <w:rsid w:val="005B4D72"/>
    <w:rsid w:val="005B503C"/>
    <w:rsid w:val="005B57A7"/>
    <w:rsid w:val="005B5C52"/>
    <w:rsid w:val="005B5F6D"/>
    <w:rsid w:val="005B61C4"/>
    <w:rsid w:val="005B6571"/>
    <w:rsid w:val="005B6E06"/>
    <w:rsid w:val="005B73EF"/>
    <w:rsid w:val="005B7EDC"/>
    <w:rsid w:val="005C05FE"/>
    <w:rsid w:val="005C0AD6"/>
    <w:rsid w:val="005C138C"/>
    <w:rsid w:val="005C1390"/>
    <w:rsid w:val="005C1DE8"/>
    <w:rsid w:val="005C1EFE"/>
    <w:rsid w:val="005C27E8"/>
    <w:rsid w:val="005C2877"/>
    <w:rsid w:val="005C306C"/>
    <w:rsid w:val="005C350B"/>
    <w:rsid w:val="005C35CE"/>
    <w:rsid w:val="005C40C6"/>
    <w:rsid w:val="005C4B47"/>
    <w:rsid w:val="005C4C7E"/>
    <w:rsid w:val="005C4CB8"/>
    <w:rsid w:val="005C5965"/>
    <w:rsid w:val="005C62EE"/>
    <w:rsid w:val="005C6A15"/>
    <w:rsid w:val="005C6C94"/>
    <w:rsid w:val="005C7431"/>
    <w:rsid w:val="005C7823"/>
    <w:rsid w:val="005C7C59"/>
    <w:rsid w:val="005C7CCD"/>
    <w:rsid w:val="005D0088"/>
    <w:rsid w:val="005D0492"/>
    <w:rsid w:val="005D0818"/>
    <w:rsid w:val="005D0A24"/>
    <w:rsid w:val="005D1323"/>
    <w:rsid w:val="005D13D4"/>
    <w:rsid w:val="005D1B99"/>
    <w:rsid w:val="005D292F"/>
    <w:rsid w:val="005D323C"/>
    <w:rsid w:val="005D349B"/>
    <w:rsid w:val="005D37DB"/>
    <w:rsid w:val="005D39B8"/>
    <w:rsid w:val="005D3D68"/>
    <w:rsid w:val="005D3E31"/>
    <w:rsid w:val="005D452D"/>
    <w:rsid w:val="005D618D"/>
    <w:rsid w:val="005D64B9"/>
    <w:rsid w:val="005D690E"/>
    <w:rsid w:val="005D6DEE"/>
    <w:rsid w:val="005D7783"/>
    <w:rsid w:val="005D78DF"/>
    <w:rsid w:val="005E06D1"/>
    <w:rsid w:val="005E0FDF"/>
    <w:rsid w:val="005E1BCB"/>
    <w:rsid w:val="005E21E6"/>
    <w:rsid w:val="005E2523"/>
    <w:rsid w:val="005E2D0B"/>
    <w:rsid w:val="005E3716"/>
    <w:rsid w:val="005E3B05"/>
    <w:rsid w:val="005E3E56"/>
    <w:rsid w:val="005E541F"/>
    <w:rsid w:val="005E549A"/>
    <w:rsid w:val="005E59CA"/>
    <w:rsid w:val="005E5F06"/>
    <w:rsid w:val="005E727B"/>
    <w:rsid w:val="005E74C7"/>
    <w:rsid w:val="005E7C67"/>
    <w:rsid w:val="005F0512"/>
    <w:rsid w:val="005F06D8"/>
    <w:rsid w:val="005F0D96"/>
    <w:rsid w:val="005F0DFB"/>
    <w:rsid w:val="005F1903"/>
    <w:rsid w:val="005F1EA1"/>
    <w:rsid w:val="005F2467"/>
    <w:rsid w:val="005F38C4"/>
    <w:rsid w:val="005F38DF"/>
    <w:rsid w:val="005F3C1C"/>
    <w:rsid w:val="005F3C4F"/>
    <w:rsid w:val="005F3E25"/>
    <w:rsid w:val="005F4171"/>
    <w:rsid w:val="005F480E"/>
    <w:rsid w:val="005F4E59"/>
    <w:rsid w:val="005F5991"/>
    <w:rsid w:val="005F5AF4"/>
    <w:rsid w:val="005F5E87"/>
    <w:rsid w:val="005F5F82"/>
    <w:rsid w:val="005F736F"/>
    <w:rsid w:val="005F7372"/>
    <w:rsid w:val="005F7933"/>
    <w:rsid w:val="006004FD"/>
    <w:rsid w:val="00600652"/>
    <w:rsid w:val="00600715"/>
    <w:rsid w:val="00600B48"/>
    <w:rsid w:val="00600CA0"/>
    <w:rsid w:val="00601B32"/>
    <w:rsid w:val="00601CEB"/>
    <w:rsid w:val="00602834"/>
    <w:rsid w:val="006029AB"/>
    <w:rsid w:val="0060312D"/>
    <w:rsid w:val="006037FC"/>
    <w:rsid w:val="0060386B"/>
    <w:rsid w:val="006045BB"/>
    <w:rsid w:val="00604A66"/>
    <w:rsid w:val="00604D7C"/>
    <w:rsid w:val="006051C1"/>
    <w:rsid w:val="00605E01"/>
    <w:rsid w:val="006061F9"/>
    <w:rsid w:val="00607091"/>
    <w:rsid w:val="0060746F"/>
    <w:rsid w:val="0060755D"/>
    <w:rsid w:val="00607A80"/>
    <w:rsid w:val="00607C09"/>
    <w:rsid w:val="00607EF6"/>
    <w:rsid w:val="006100A6"/>
    <w:rsid w:val="00610650"/>
    <w:rsid w:val="00610809"/>
    <w:rsid w:val="00610D4C"/>
    <w:rsid w:val="00610ED3"/>
    <w:rsid w:val="00612611"/>
    <w:rsid w:val="0061272E"/>
    <w:rsid w:val="00612BE7"/>
    <w:rsid w:val="00612D47"/>
    <w:rsid w:val="00612FEC"/>
    <w:rsid w:val="00613741"/>
    <w:rsid w:val="00614303"/>
    <w:rsid w:val="006145C2"/>
    <w:rsid w:val="00614DF4"/>
    <w:rsid w:val="00615B75"/>
    <w:rsid w:val="00615BCA"/>
    <w:rsid w:val="0061631C"/>
    <w:rsid w:val="00616B17"/>
    <w:rsid w:val="00616D97"/>
    <w:rsid w:val="00616F92"/>
    <w:rsid w:val="006170DA"/>
    <w:rsid w:val="00617254"/>
    <w:rsid w:val="00617525"/>
    <w:rsid w:val="0061781A"/>
    <w:rsid w:val="0061785F"/>
    <w:rsid w:val="00617968"/>
    <w:rsid w:val="00617E4E"/>
    <w:rsid w:val="00617EA3"/>
    <w:rsid w:val="00620A6B"/>
    <w:rsid w:val="0062124A"/>
    <w:rsid w:val="006217C0"/>
    <w:rsid w:val="00621823"/>
    <w:rsid w:val="00622012"/>
    <w:rsid w:val="00623859"/>
    <w:rsid w:val="00623A24"/>
    <w:rsid w:val="00623B0E"/>
    <w:rsid w:val="00624196"/>
    <w:rsid w:val="006246F4"/>
    <w:rsid w:val="00624753"/>
    <w:rsid w:val="00624B92"/>
    <w:rsid w:val="00625506"/>
    <w:rsid w:val="00625733"/>
    <w:rsid w:val="0062587C"/>
    <w:rsid w:val="00625E8C"/>
    <w:rsid w:val="0062606E"/>
    <w:rsid w:val="006260F4"/>
    <w:rsid w:val="00626F93"/>
    <w:rsid w:val="006271DF"/>
    <w:rsid w:val="00627DD3"/>
    <w:rsid w:val="0063002D"/>
    <w:rsid w:val="006302B0"/>
    <w:rsid w:val="006308EA"/>
    <w:rsid w:val="006314A1"/>
    <w:rsid w:val="00631850"/>
    <w:rsid w:val="00631FB1"/>
    <w:rsid w:val="00632097"/>
    <w:rsid w:val="0063262E"/>
    <w:rsid w:val="0063268B"/>
    <w:rsid w:val="006326EC"/>
    <w:rsid w:val="00632E3C"/>
    <w:rsid w:val="00633F7E"/>
    <w:rsid w:val="00634239"/>
    <w:rsid w:val="00634986"/>
    <w:rsid w:val="00634B87"/>
    <w:rsid w:val="00636817"/>
    <w:rsid w:val="00636EAC"/>
    <w:rsid w:val="006379BF"/>
    <w:rsid w:val="00637F1B"/>
    <w:rsid w:val="00640256"/>
    <w:rsid w:val="00640964"/>
    <w:rsid w:val="00640A5C"/>
    <w:rsid w:val="00640EBD"/>
    <w:rsid w:val="0064177E"/>
    <w:rsid w:val="006417A6"/>
    <w:rsid w:val="006423F4"/>
    <w:rsid w:val="00642EE1"/>
    <w:rsid w:val="00643599"/>
    <w:rsid w:val="006435D0"/>
    <w:rsid w:val="00643888"/>
    <w:rsid w:val="006441E1"/>
    <w:rsid w:val="00645123"/>
    <w:rsid w:val="00645541"/>
    <w:rsid w:val="0064596F"/>
    <w:rsid w:val="00645DE3"/>
    <w:rsid w:val="00645F4F"/>
    <w:rsid w:val="00646086"/>
    <w:rsid w:val="00646876"/>
    <w:rsid w:val="00646921"/>
    <w:rsid w:val="00650225"/>
    <w:rsid w:val="006505A0"/>
    <w:rsid w:val="0065081D"/>
    <w:rsid w:val="00650DBB"/>
    <w:rsid w:val="00650DBE"/>
    <w:rsid w:val="00651339"/>
    <w:rsid w:val="00651530"/>
    <w:rsid w:val="00651703"/>
    <w:rsid w:val="00651B5E"/>
    <w:rsid w:val="0065207C"/>
    <w:rsid w:val="00652144"/>
    <w:rsid w:val="00652872"/>
    <w:rsid w:val="00653C57"/>
    <w:rsid w:val="00653F85"/>
    <w:rsid w:val="00653FCD"/>
    <w:rsid w:val="00654D3A"/>
    <w:rsid w:val="00655290"/>
    <w:rsid w:val="00655572"/>
    <w:rsid w:val="006568DE"/>
    <w:rsid w:val="0065695B"/>
    <w:rsid w:val="0065795D"/>
    <w:rsid w:val="00657A90"/>
    <w:rsid w:val="00660450"/>
    <w:rsid w:val="00660705"/>
    <w:rsid w:val="00660E00"/>
    <w:rsid w:val="0066113B"/>
    <w:rsid w:val="00661252"/>
    <w:rsid w:val="00661582"/>
    <w:rsid w:val="006616CD"/>
    <w:rsid w:val="00661891"/>
    <w:rsid w:val="00661B52"/>
    <w:rsid w:val="00662DF8"/>
    <w:rsid w:val="0066376E"/>
    <w:rsid w:val="00663A93"/>
    <w:rsid w:val="00665088"/>
    <w:rsid w:val="00665E0F"/>
    <w:rsid w:val="00666017"/>
    <w:rsid w:val="00666C5D"/>
    <w:rsid w:val="00667359"/>
    <w:rsid w:val="006675C9"/>
    <w:rsid w:val="00667921"/>
    <w:rsid w:val="00667D9A"/>
    <w:rsid w:val="006702F8"/>
    <w:rsid w:val="00670379"/>
    <w:rsid w:val="006704CC"/>
    <w:rsid w:val="00670609"/>
    <w:rsid w:val="00670AB4"/>
    <w:rsid w:val="00670E63"/>
    <w:rsid w:val="00670F10"/>
    <w:rsid w:val="00671281"/>
    <w:rsid w:val="00671C09"/>
    <w:rsid w:val="006724DE"/>
    <w:rsid w:val="00672AAC"/>
    <w:rsid w:val="00672D02"/>
    <w:rsid w:val="00672EF1"/>
    <w:rsid w:val="0067309C"/>
    <w:rsid w:val="00673943"/>
    <w:rsid w:val="0067414B"/>
    <w:rsid w:val="00674443"/>
    <w:rsid w:val="006746AD"/>
    <w:rsid w:val="00675032"/>
    <w:rsid w:val="00675D72"/>
    <w:rsid w:val="00677365"/>
    <w:rsid w:val="006775E2"/>
    <w:rsid w:val="0068009C"/>
    <w:rsid w:val="0068076E"/>
    <w:rsid w:val="006808F5"/>
    <w:rsid w:val="00681597"/>
    <w:rsid w:val="00681BC3"/>
    <w:rsid w:val="00681ECE"/>
    <w:rsid w:val="00682069"/>
    <w:rsid w:val="006820CA"/>
    <w:rsid w:val="0068236C"/>
    <w:rsid w:val="00682D5B"/>
    <w:rsid w:val="00682F27"/>
    <w:rsid w:val="006832EE"/>
    <w:rsid w:val="00684AA5"/>
    <w:rsid w:val="0068505A"/>
    <w:rsid w:val="00685ACC"/>
    <w:rsid w:val="00685C99"/>
    <w:rsid w:val="00685D8A"/>
    <w:rsid w:val="006862A8"/>
    <w:rsid w:val="00686989"/>
    <w:rsid w:val="00686C84"/>
    <w:rsid w:val="00686D66"/>
    <w:rsid w:val="00687090"/>
    <w:rsid w:val="00687BD0"/>
    <w:rsid w:val="006900FE"/>
    <w:rsid w:val="00690362"/>
    <w:rsid w:val="00690D6A"/>
    <w:rsid w:val="00690E08"/>
    <w:rsid w:val="00691132"/>
    <w:rsid w:val="00691D23"/>
    <w:rsid w:val="00692226"/>
    <w:rsid w:val="006924D9"/>
    <w:rsid w:val="00692802"/>
    <w:rsid w:val="00692FC7"/>
    <w:rsid w:val="00693255"/>
    <w:rsid w:val="00693E4D"/>
    <w:rsid w:val="00694070"/>
    <w:rsid w:val="006940DD"/>
    <w:rsid w:val="006941B1"/>
    <w:rsid w:val="006946D0"/>
    <w:rsid w:val="006946EE"/>
    <w:rsid w:val="0069479C"/>
    <w:rsid w:val="0069524C"/>
    <w:rsid w:val="006952BF"/>
    <w:rsid w:val="00695643"/>
    <w:rsid w:val="0069574B"/>
    <w:rsid w:val="00696131"/>
    <w:rsid w:val="0069636B"/>
    <w:rsid w:val="00696F94"/>
    <w:rsid w:val="006972EF"/>
    <w:rsid w:val="0069786E"/>
    <w:rsid w:val="006978DD"/>
    <w:rsid w:val="006A0115"/>
    <w:rsid w:val="006A015A"/>
    <w:rsid w:val="006A04FC"/>
    <w:rsid w:val="006A0578"/>
    <w:rsid w:val="006A0FD2"/>
    <w:rsid w:val="006A0FEA"/>
    <w:rsid w:val="006A1024"/>
    <w:rsid w:val="006A1315"/>
    <w:rsid w:val="006A1AFF"/>
    <w:rsid w:val="006A2448"/>
    <w:rsid w:val="006A24D5"/>
    <w:rsid w:val="006A2515"/>
    <w:rsid w:val="006A2E5F"/>
    <w:rsid w:val="006A34EE"/>
    <w:rsid w:val="006A3D60"/>
    <w:rsid w:val="006A4281"/>
    <w:rsid w:val="006A463F"/>
    <w:rsid w:val="006A4812"/>
    <w:rsid w:val="006A514C"/>
    <w:rsid w:val="006A541F"/>
    <w:rsid w:val="006A5A9F"/>
    <w:rsid w:val="006A618C"/>
    <w:rsid w:val="006A61B7"/>
    <w:rsid w:val="006A6429"/>
    <w:rsid w:val="006A6687"/>
    <w:rsid w:val="006A67B4"/>
    <w:rsid w:val="006A6BE5"/>
    <w:rsid w:val="006A7E7A"/>
    <w:rsid w:val="006B02A2"/>
    <w:rsid w:val="006B088C"/>
    <w:rsid w:val="006B0C00"/>
    <w:rsid w:val="006B1AB2"/>
    <w:rsid w:val="006B1AEF"/>
    <w:rsid w:val="006B1C9C"/>
    <w:rsid w:val="006B1CA4"/>
    <w:rsid w:val="006B2AD9"/>
    <w:rsid w:val="006B33FE"/>
    <w:rsid w:val="006B40C2"/>
    <w:rsid w:val="006B4A29"/>
    <w:rsid w:val="006B4B07"/>
    <w:rsid w:val="006B4CD0"/>
    <w:rsid w:val="006B4E82"/>
    <w:rsid w:val="006B566F"/>
    <w:rsid w:val="006B6C60"/>
    <w:rsid w:val="006B6E5D"/>
    <w:rsid w:val="006B7377"/>
    <w:rsid w:val="006B7810"/>
    <w:rsid w:val="006B7835"/>
    <w:rsid w:val="006B7970"/>
    <w:rsid w:val="006C0478"/>
    <w:rsid w:val="006C072B"/>
    <w:rsid w:val="006C0882"/>
    <w:rsid w:val="006C103A"/>
    <w:rsid w:val="006C16DD"/>
    <w:rsid w:val="006C17B6"/>
    <w:rsid w:val="006C19E1"/>
    <w:rsid w:val="006C1A39"/>
    <w:rsid w:val="006C1A7E"/>
    <w:rsid w:val="006C1C7E"/>
    <w:rsid w:val="006C29B1"/>
    <w:rsid w:val="006C2B6C"/>
    <w:rsid w:val="006C2BF3"/>
    <w:rsid w:val="006C2E68"/>
    <w:rsid w:val="006C38CA"/>
    <w:rsid w:val="006C480D"/>
    <w:rsid w:val="006C486A"/>
    <w:rsid w:val="006C4ED1"/>
    <w:rsid w:val="006C56B1"/>
    <w:rsid w:val="006C58F9"/>
    <w:rsid w:val="006C598F"/>
    <w:rsid w:val="006C5F49"/>
    <w:rsid w:val="006C60B7"/>
    <w:rsid w:val="006C6673"/>
    <w:rsid w:val="006C6A99"/>
    <w:rsid w:val="006C6B58"/>
    <w:rsid w:val="006C74F9"/>
    <w:rsid w:val="006C7728"/>
    <w:rsid w:val="006D00CF"/>
    <w:rsid w:val="006D08AA"/>
    <w:rsid w:val="006D0A03"/>
    <w:rsid w:val="006D101F"/>
    <w:rsid w:val="006D1203"/>
    <w:rsid w:val="006D17BB"/>
    <w:rsid w:val="006D187F"/>
    <w:rsid w:val="006D1FB7"/>
    <w:rsid w:val="006D23ED"/>
    <w:rsid w:val="006D24E4"/>
    <w:rsid w:val="006D2641"/>
    <w:rsid w:val="006D2D56"/>
    <w:rsid w:val="006D3616"/>
    <w:rsid w:val="006D3B67"/>
    <w:rsid w:val="006D3BF5"/>
    <w:rsid w:val="006D3DF1"/>
    <w:rsid w:val="006D3EDD"/>
    <w:rsid w:val="006D3F4C"/>
    <w:rsid w:val="006D40D6"/>
    <w:rsid w:val="006D4599"/>
    <w:rsid w:val="006D4A7E"/>
    <w:rsid w:val="006D4E8C"/>
    <w:rsid w:val="006D55F1"/>
    <w:rsid w:val="006D6420"/>
    <w:rsid w:val="006D68B2"/>
    <w:rsid w:val="006D6D43"/>
    <w:rsid w:val="006D723F"/>
    <w:rsid w:val="006D7598"/>
    <w:rsid w:val="006D798D"/>
    <w:rsid w:val="006E0721"/>
    <w:rsid w:val="006E0793"/>
    <w:rsid w:val="006E080E"/>
    <w:rsid w:val="006E0B2B"/>
    <w:rsid w:val="006E13A3"/>
    <w:rsid w:val="006E1439"/>
    <w:rsid w:val="006E15B9"/>
    <w:rsid w:val="006E1860"/>
    <w:rsid w:val="006E193B"/>
    <w:rsid w:val="006E1B6C"/>
    <w:rsid w:val="006E1E9D"/>
    <w:rsid w:val="006E2C6E"/>
    <w:rsid w:val="006E2D87"/>
    <w:rsid w:val="006E3169"/>
    <w:rsid w:val="006E31F5"/>
    <w:rsid w:val="006E31FF"/>
    <w:rsid w:val="006E4994"/>
    <w:rsid w:val="006E4DF2"/>
    <w:rsid w:val="006E4E10"/>
    <w:rsid w:val="006E598A"/>
    <w:rsid w:val="006E6353"/>
    <w:rsid w:val="006E66FB"/>
    <w:rsid w:val="006E6DA9"/>
    <w:rsid w:val="006E6DDF"/>
    <w:rsid w:val="006E7139"/>
    <w:rsid w:val="006E76A6"/>
    <w:rsid w:val="006E77B5"/>
    <w:rsid w:val="006E7A63"/>
    <w:rsid w:val="006E7A8B"/>
    <w:rsid w:val="006F00B8"/>
    <w:rsid w:val="006F0983"/>
    <w:rsid w:val="006F0B39"/>
    <w:rsid w:val="006F1162"/>
    <w:rsid w:val="006F1573"/>
    <w:rsid w:val="006F1C6F"/>
    <w:rsid w:val="006F2133"/>
    <w:rsid w:val="006F229C"/>
    <w:rsid w:val="006F2550"/>
    <w:rsid w:val="006F26EC"/>
    <w:rsid w:val="006F2EEC"/>
    <w:rsid w:val="006F2F3B"/>
    <w:rsid w:val="006F308E"/>
    <w:rsid w:val="006F3394"/>
    <w:rsid w:val="006F3F9A"/>
    <w:rsid w:val="006F4278"/>
    <w:rsid w:val="006F4C41"/>
    <w:rsid w:val="006F5048"/>
    <w:rsid w:val="006F53D4"/>
    <w:rsid w:val="006F5E35"/>
    <w:rsid w:val="006F5EA9"/>
    <w:rsid w:val="006F640F"/>
    <w:rsid w:val="006F64F1"/>
    <w:rsid w:val="006F6A51"/>
    <w:rsid w:val="006F7553"/>
    <w:rsid w:val="007001EC"/>
    <w:rsid w:val="00700391"/>
    <w:rsid w:val="00702124"/>
    <w:rsid w:val="00702269"/>
    <w:rsid w:val="00702822"/>
    <w:rsid w:val="00702E99"/>
    <w:rsid w:val="007033E6"/>
    <w:rsid w:val="0070341F"/>
    <w:rsid w:val="007037F2"/>
    <w:rsid w:val="00704153"/>
    <w:rsid w:val="007046D1"/>
    <w:rsid w:val="00704B63"/>
    <w:rsid w:val="007051F4"/>
    <w:rsid w:val="0070523E"/>
    <w:rsid w:val="00705637"/>
    <w:rsid w:val="00705B99"/>
    <w:rsid w:val="007065A0"/>
    <w:rsid w:val="0070660D"/>
    <w:rsid w:val="0070663C"/>
    <w:rsid w:val="00706A88"/>
    <w:rsid w:val="00707243"/>
    <w:rsid w:val="007072E8"/>
    <w:rsid w:val="007073A4"/>
    <w:rsid w:val="007075EA"/>
    <w:rsid w:val="00707B33"/>
    <w:rsid w:val="0071017F"/>
    <w:rsid w:val="007101E3"/>
    <w:rsid w:val="00710322"/>
    <w:rsid w:val="00710550"/>
    <w:rsid w:val="00710696"/>
    <w:rsid w:val="007108D4"/>
    <w:rsid w:val="00710D42"/>
    <w:rsid w:val="00711A5C"/>
    <w:rsid w:val="007121B7"/>
    <w:rsid w:val="00712235"/>
    <w:rsid w:val="007123DE"/>
    <w:rsid w:val="007126C1"/>
    <w:rsid w:val="00712A42"/>
    <w:rsid w:val="00712FCB"/>
    <w:rsid w:val="00713771"/>
    <w:rsid w:val="00714158"/>
    <w:rsid w:val="00714558"/>
    <w:rsid w:val="007146CC"/>
    <w:rsid w:val="00715098"/>
    <w:rsid w:val="007157DD"/>
    <w:rsid w:val="00715D48"/>
    <w:rsid w:val="00715D84"/>
    <w:rsid w:val="007161DD"/>
    <w:rsid w:val="0071644F"/>
    <w:rsid w:val="007164A8"/>
    <w:rsid w:val="00716663"/>
    <w:rsid w:val="00716AA3"/>
    <w:rsid w:val="007171B4"/>
    <w:rsid w:val="00717854"/>
    <w:rsid w:val="007178EC"/>
    <w:rsid w:val="00717E50"/>
    <w:rsid w:val="00720074"/>
    <w:rsid w:val="00720209"/>
    <w:rsid w:val="0072029D"/>
    <w:rsid w:val="00720364"/>
    <w:rsid w:val="00720913"/>
    <w:rsid w:val="00721557"/>
    <w:rsid w:val="007218A4"/>
    <w:rsid w:val="007218DE"/>
    <w:rsid w:val="0072203F"/>
    <w:rsid w:val="00722572"/>
    <w:rsid w:val="00723164"/>
    <w:rsid w:val="0072317B"/>
    <w:rsid w:val="007232D6"/>
    <w:rsid w:val="00723AFF"/>
    <w:rsid w:val="00723D7A"/>
    <w:rsid w:val="007245C7"/>
    <w:rsid w:val="007245E8"/>
    <w:rsid w:val="0072477D"/>
    <w:rsid w:val="00724951"/>
    <w:rsid w:val="00724A06"/>
    <w:rsid w:val="00724E7B"/>
    <w:rsid w:val="00725032"/>
    <w:rsid w:val="007252E3"/>
    <w:rsid w:val="0072642D"/>
    <w:rsid w:val="00726B03"/>
    <w:rsid w:val="00726E86"/>
    <w:rsid w:val="0072723D"/>
    <w:rsid w:val="00727491"/>
    <w:rsid w:val="00727D3E"/>
    <w:rsid w:val="00727EAC"/>
    <w:rsid w:val="007307D8"/>
    <w:rsid w:val="007313BE"/>
    <w:rsid w:val="00731849"/>
    <w:rsid w:val="00731B21"/>
    <w:rsid w:val="00731C69"/>
    <w:rsid w:val="007320EC"/>
    <w:rsid w:val="00732113"/>
    <w:rsid w:val="00732620"/>
    <w:rsid w:val="007332CB"/>
    <w:rsid w:val="00733D41"/>
    <w:rsid w:val="00733E08"/>
    <w:rsid w:val="00734675"/>
    <w:rsid w:val="00734907"/>
    <w:rsid w:val="00734A49"/>
    <w:rsid w:val="007354D1"/>
    <w:rsid w:val="00735C1F"/>
    <w:rsid w:val="00735F78"/>
    <w:rsid w:val="007366D3"/>
    <w:rsid w:val="00736DD2"/>
    <w:rsid w:val="00736F9D"/>
    <w:rsid w:val="007377AE"/>
    <w:rsid w:val="00737BD0"/>
    <w:rsid w:val="00737E84"/>
    <w:rsid w:val="00740133"/>
    <w:rsid w:val="007407E3"/>
    <w:rsid w:val="00740E72"/>
    <w:rsid w:val="00741C0A"/>
    <w:rsid w:val="0074266A"/>
    <w:rsid w:val="007429C7"/>
    <w:rsid w:val="00742AEB"/>
    <w:rsid w:val="0074310C"/>
    <w:rsid w:val="007431AE"/>
    <w:rsid w:val="007435D7"/>
    <w:rsid w:val="00743B2D"/>
    <w:rsid w:val="00743BDB"/>
    <w:rsid w:val="00743E8A"/>
    <w:rsid w:val="007446CF"/>
    <w:rsid w:val="007448B5"/>
    <w:rsid w:val="00744A7C"/>
    <w:rsid w:val="00744EBF"/>
    <w:rsid w:val="00744F49"/>
    <w:rsid w:val="00744F76"/>
    <w:rsid w:val="00745C80"/>
    <w:rsid w:val="007464E4"/>
    <w:rsid w:val="00746688"/>
    <w:rsid w:val="007466F0"/>
    <w:rsid w:val="00746AA1"/>
    <w:rsid w:val="0074715C"/>
    <w:rsid w:val="007472BB"/>
    <w:rsid w:val="007474B7"/>
    <w:rsid w:val="0074797E"/>
    <w:rsid w:val="00747FE4"/>
    <w:rsid w:val="0075001B"/>
    <w:rsid w:val="007503B1"/>
    <w:rsid w:val="0075095D"/>
    <w:rsid w:val="00751602"/>
    <w:rsid w:val="00751631"/>
    <w:rsid w:val="00751EF4"/>
    <w:rsid w:val="00752652"/>
    <w:rsid w:val="00753054"/>
    <w:rsid w:val="0075350E"/>
    <w:rsid w:val="00753A00"/>
    <w:rsid w:val="00753B11"/>
    <w:rsid w:val="00753D4E"/>
    <w:rsid w:val="00753F8A"/>
    <w:rsid w:val="00754608"/>
    <w:rsid w:val="00754AC2"/>
    <w:rsid w:val="00754CA9"/>
    <w:rsid w:val="00754DFE"/>
    <w:rsid w:val="007551DC"/>
    <w:rsid w:val="00755A3E"/>
    <w:rsid w:val="00755BAD"/>
    <w:rsid w:val="00755D29"/>
    <w:rsid w:val="0075619E"/>
    <w:rsid w:val="00756DAA"/>
    <w:rsid w:val="00756DC1"/>
    <w:rsid w:val="00757438"/>
    <w:rsid w:val="00760238"/>
    <w:rsid w:val="007605AF"/>
    <w:rsid w:val="00760876"/>
    <w:rsid w:val="00760939"/>
    <w:rsid w:val="00760E80"/>
    <w:rsid w:val="00762495"/>
    <w:rsid w:val="0076294A"/>
    <w:rsid w:val="00763189"/>
    <w:rsid w:val="0076331F"/>
    <w:rsid w:val="0076341A"/>
    <w:rsid w:val="00763ED9"/>
    <w:rsid w:val="00764D10"/>
    <w:rsid w:val="00764E46"/>
    <w:rsid w:val="00764E68"/>
    <w:rsid w:val="0076545D"/>
    <w:rsid w:val="007657A4"/>
    <w:rsid w:val="00765DE5"/>
    <w:rsid w:val="00766A23"/>
    <w:rsid w:val="00767730"/>
    <w:rsid w:val="00767A65"/>
    <w:rsid w:val="0077023C"/>
    <w:rsid w:val="0077043E"/>
    <w:rsid w:val="00770C4E"/>
    <w:rsid w:val="007712F7"/>
    <w:rsid w:val="00771A63"/>
    <w:rsid w:val="00772286"/>
    <w:rsid w:val="00772402"/>
    <w:rsid w:val="00772484"/>
    <w:rsid w:val="0077265B"/>
    <w:rsid w:val="007733A6"/>
    <w:rsid w:val="0077385E"/>
    <w:rsid w:val="007738B4"/>
    <w:rsid w:val="00773D96"/>
    <w:rsid w:val="00773DDC"/>
    <w:rsid w:val="00774669"/>
    <w:rsid w:val="00774E66"/>
    <w:rsid w:val="007752B2"/>
    <w:rsid w:val="007756B8"/>
    <w:rsid w:val="00775E45"/>
    <w:rsid w:val="00775EFA"/>
    <w:rsid w:val="00775F78"/>
    <w:rsid w:val="00776D68"/>
    <w:rsid w:val="00777488"/>
    <w:rsid w:val="00777817"/>
    <w:rsid w:val="00777A1B"/>
    <w:rsid w:val="00777E0E"/>
    <w:rsid w:val="007806B5"/>
    <w:rsid w:val="00780C09"/>
    <w:rsid w:val="007810B4"/>
    <w:rsid w:val="00781309"/>
    <w:rsid w:val="007825A9"/>
    <w:rsid w:val="00782CA2"/>
    <w:rsid w:val="0078300B"/>
    <w:rsid w:val="0078314A"/>
    <w:rsid w:val="00783162"/>
    <w:rsid w:val="00783431"/>
    <w:rsid w:val="00783BE7"/>
    <w:rsid w:val="00783CBD"/>
    <w:rsid w:val="00785076"/>
    <w:rsid w:val="007850FE"/>
    <w:rsid w:val="007859BB"/>
    <w:rsid w:val="00785BCD"/>
    <w:rsid w:val="00785C3E"/>
    <w:rsid w:val="00785DAE"/>
    <w:rsid w:val="00786B0F"/>
    <w:rsid w:val="00786BA8"/>
    <w:rsid w:val="00787188"/>
    <w:rsid w:val="00787392"/>
    <w:rsid w:val="00787F41"/>
    <w:rsid w:val="007900CB"/>
    <w:rsid w:val="0079016E"/>
    <w:rsid w:val="00790569"/>
    <w:rsid w:val="00790725"/>
    <w:rsid w:val="00790930"/>
    <w:rsid w:val="00790B0C"/>
    <w:rsid w:val="00790ED7"/>
    <w:rsid w:val="00791040"/>
    <w:rsid w:val="007910E0"/>
    <w:rsid w:val="0079140D"/>
    <w:rsid w:val="00791557"/>
    <w:rsid w:val="0079173F"/>
    <w:rsid w:val="00791864"/>
    <w:rsid w:val="007918D7"/>
    <w:rsid w:val="0079201E"/>
    <w:rsid w:val="007920B2"/>
    <w:rsid w:val="007928FF"/>
    <w:rsid w:val="00792E78"/>
    <w:rsid w:val="00793369"/>
    <w:rsid w:val="007936E9"/>
    <w:rsid w:val="007944C0"/>
    <w:rsid w:val="00794608"/>
    <w:rsid w:val="00794758"/>
    <w:rsid w:val="00794772"/>
    <w:rsid w:val="0079591E"/>
    <w:rsid w:val="00795D28"/>
    <w:rsid w:val="00795DA2"/>
    <w:rsid w:val="00796025"/>
    <w:rsid w:val="0079699B"/>
    <w:rsid w:val="007969F2"/>
    <w:rsid w:val="00796CC4"/>
    <w:rsid w:val="0079727C"/>
    <w:rsid w:val="007A031B"/>
    <w:rsid w:val="007A0CD9"/>
    <w:rsid w:val="007A135B"/>
    <w:rsid w:val="007A18C0"/>
    <w:rsid w:val="007A2357"/>
    <w:rsid w:val="007A26D4"/>
    <w:rsid w:val="007A2D17"/>
    <w:rsid w:val="007A2E66"/>
    <w:rsid w:val="007A2E87"/>
    <w:rsid w:val="007A305D"/>
    <w:rsid w:val="007A349E"/>
    <w:rsid w:val="007A364E"/>
    <w:rsid w:val="007A3D67"/>
    <w:rsid w:val="007A3EFB"/>
    <w:rsid w:val="007A4393"/>
    <w:rsid w:val="007A45BA"/>
    <w:rsid w:val="007A4E25"/>
    <w:rsid w:val="007A5F90"/>
    <w:rsid w:val="007A5FC0"/>
    <w:rsid w:val="007A63D9"/>
    <w:rsid w:val="007A6D28"/>
    <w:rsid w:val="007A7B95"/>
    <w:rsid w:val="007B1FC8"/>
    <w:rsid w:val="007B2260"/>
    <w:rsid w:val="007B2587"/>
    <w:rsid w:val="007B26B6"/>
    <w:rsid w:val="007B420E"/>
    <w:rsid w:val="007B448F"/>
    <w:rsid w:val="007B5234"/>
    <w:rsid w:val="007B680E"/>
    <w:rsid w:val="007B6859"/>
    <w:rsid w:val="007B6E7E"/>
    <w:rsid w:val="007B6F4B"/>
    <w:rsid w:val="007B6FB7"/>
    <w:rsid w:val="007B76D9"/>
    <w:rsid w:val="007B76EA"/>
    <w:rsid w:val="007B7882"/>
    <w:rsid w:val="007B7967"/>
    <w:rsid w:val="007C0361"/>
    <w:rsid w:val="007C0636"/>
    <w:rsid w:val="007C0667"/>
    <w:rsid w:val="007C0880"/>
    <w:rsid w:val="007C11CB"/>
    <w:rsid w:val="007C2092"/>
    <w:rsid w:val="007C2750"/>
    <w:rsid w:val="007C2DD7"/>
    <w:rsid w:val="007C41B9"/>
    <w:rsid w:val="007C43D2"/>
    <w:rsid w:val="007C4901"/>
    <w:rsid w:val="007C4B59"/>
    <w:rsid w:val="007C5B7E"/>
    <w:rsid w:val="007C61C0"/>
    <w:rsid w:val="007C7A27"/>
    <w:rsid w:val="007C7D43"/>
    <w:rsid w:val="007D005E"/>
    <w:rsid w:val="007D0402"/>
    <w:rsid w:val="007D0A16"/>
    <w:rsid w:val="007D0C38"/>
    <w:rsid w:val="007D0CEF"/>
    <w:rsid w:val="007D0DB2"/>
    <w:rsid w:val="007D0F21"/>
    <w:rsid w:val="007D1445"/>
    <w:rsid w:val="007D1DD4"/>
    <w:rsid w:val="007D23BE"/>
    <w:rsid w:val="007D2A8C"/>
    <w:rsid w:val="007D2F08"/>
    <w:rsid w:val="007D3259"/>
    <w:rsid w:val="007D3347"/>
    <w:rsid w:val="007D33FF"/>
    <w:rsid w:val="007D412B"/>
    <w:rsid w:val="007D5390"/>
    <w:rsid w:val="007D5575"/>
    <w:rsid w:val="007D60E2"/>
    <w:rsid w:val="007D6CB0"/>
    <w:rsid w:val="007D76D4"/>
    <w:rsid w:val="007D7F46"/>
    <w:rsid w:val="007E0346"/>
    <w:rsid w:val="007E04AA"/>
    <w:rsid w:val="007E05B4"/>
    <w:rsid w:val="007E0A2F"/>
    <w:rsid w:val="007E0C71"/>
    <w:rsid w:val="007E0E3E"/>
    <w:rsid w:val="007E1121"/>
    <w:rsid w:val="007E137C"/>
    <w:rsid w:val="007E17F4"/>
    <w:rsid w:val="007E2486"/>
    <w:rsid w:val="007E2E56"/>
    <w:rsid w:val="007E36C7"/>
    <w:rsid w:val="007E430B"/>
    <w:rsid w:val="007E43FB"/>
    <w:rsid w:val="007E4E88"/>
    <w:rsid w:val="007E50F8"/>
    <w:rsid w:val="007E5353"/>
    <w:rsid w:val="007E557A"/>
    <w:rsid w:val="007E5B5E"/>
    <w:rsid w:val="007E5D67"/>
    <w:rsid w:val="007E79B5"/>
    <w:rsid w:val="007E7C92"/>
    <w:rsid w:val="007F0035"/>
    <w:rsid w:val="007F0A22"/>
    <w:rsid w:val="007F0E90"/>
    <w:rsid w:val="007F0F1F"/>
    <w:rsid w:val="007F1B48"/>
    <w:rsid w:val="007F1EF4"/>
    <w:rsid w:val="007F228A"/>
    <w:rsid w:val="007F2A37"/>
    <w:rsid w:val="007F3ED7"/>
    <w:rsid w:val="007F3F17"/>
    <w:rsid w:val="007F3FE8"/>
    <w:rsid w:val="007F4588"/>
    <w:rsid w:val="007F471D"/>
    <w:rsid w:val="007F5305"/>
    <w:rsid w:val="007F53D9"/>
    <w:rsid w:val="007F5DC0"/>
    <w:rsid w:val="007F5EC1"/>
    <w:rsid w:val="007F6011"/>
    <w:rsid w:val="007F684F"/>
    <w:rsid w:val="007F7292"/>
    <w:rsid w:val="007F72D8"/>
    <w:rsid w:val="007F7E06"/>
    <w:rsid w:val="007F7EBD"/>
    <w:rsid w:val="00800071"/>
    <w:rsid w:val="00800345"/>
    <w:rsid w:val="0080036C"/>
    <w:rsid w:val="00800A5B"/>
    <w:rsid w:val="00800E6F"/>
    <w:rsid w:val="008011AE"/>
    <w:rsid w:val="008018F6"/>
    <w:rsid w:val="008020F3"/>
    <w:rsid w:val="008023A8"/>
    <w:rsid w:val="008027C6"/>
    <w:rsid w:val="008036AB"/>
    <w:rsid w:val="008036E3"/>
    <w:rsid w:val="00803761"/>
    <w:rsid w:val="008038B3"/>
    <w:rsid w:val="00803CA8"/>
    <w:rsid w:val="00804609"/>
    <w:rsid w:val="00804774"/>
    <w:rsid w:val="00804CCC"/>
    <w:rsid w:val="00804F20"/>
    <w:rsid w:val="00805413"/>
    <w:rsid w:val="00805EBE"/>
    <w:rsid w:val="00805FE9"/>
    <w:rsid w:val="008063E4"/>
    <w:rsid w:val="00806705"/>
    <w:rsid w:val="00806A81"/>
    <w:rsid w:val="00806EBB"/>
    <w:rsid w:val="0080721D"/>
    <w:rsid w:val="0080740F"/>
    <w:rsid w:val="008078EE"/>
    <w:rsid w:val="00807E81"/>
    <w:rsid w:val="008100E3"/>
    <w:rsid w:val="00810B22"/>
    <w:rsid w:val="00810CE2"/>
    <w:rsid w:val="00810FE6"/>
    <w:rsid w:val="008110C9"/>
    <w:rsid w:val="0081137E"/>
    <w:rsid w:val="00811802"/>
    <w:rsid w:val="00811B24"/>
    <w:rsid w:val="00811BE2"/>
    <w:rsid w:val="008121F1"/>
    <w:rsid w:val="008122AC"/>
    <w:rsid w:val="008126C4"/>
    <w:rsid w:val="00812ACE"/>
    <w:rsid w:val="00812D63"/>
    <w:rsid w:val="00812F9A"/>
    <w:rsid w:val="00813B54"/>
    <w:rsid w:val="00813DF3"/>
    <w:rsid w:val="00815421"/>
    <w:rsid w:val="00815638"/>
    <w:rsid w:val="00816105"/>
    <w:rsid w:val="00816BB1"/>
    <w:rsid w:val="00816CFE"/>
    <w:rsid w:val="00817A07"/>
    <w:rsid w:val="00817D74"/>
    <w:rsid w:val="00817E80"/>
    <w:rsid w:val="00820586"/>
    <w:rsid w:val="00820B41"/>
    <w:rsid w:val="00822230"/>
    <w:rsid w:val="008225EA"/>
    <w:rsid w:val="00822A70"/>
    <w:rsid w:val="00822F0D"/>
    <w:rsid w:val="00822F5D"/>
    <w:rsid w:val="00823BFD"/>
    <w:rsid w:val="00823DBE"/>
    <w:rsid w:val="00823E3D"/>
    <w:rsid w:val="00824C9A"/>
    <w:rsid w:val="0082566C"/>
    <w:rsid w:val="00825705"/>
    <w:rsid w:val="00825785"/>
    <w:rsid w:val="00825F7A"/>
    <w:rsid w:val="00826085"/>
    <w:rsid w:val="008262B5"/>
    <w:rsid w:val="00826424"/>
    <w:rsid w:val="00826BC6"/>
    <w:rsid w:val="00826D7A"/>
    <w:rsid w:val="00827424"/>
    <w:rsid w:val="00827606"/>
    <w:rsid w:val="008276FB"/>
    <w:rsid w:val="00827EAA"/>
    <w:rsid w:val="00830D6A"/>
    <w:rsid w:val="0083186A"/>
    <w:rsid w:val="00831D38"/>
    <w:rsid w:val="00831D90"/>
    <w:rsid w:val="00831F20"/>
    <w:rsid w:val="008320A8"/>
    <w:rsid w:val="0083294F"/>
    <w:rsid w:val="00832DD8"/>
    <w:rsid w:val="008333E8"/>
    <w:rsid w:val="008337A9"/>
    <w:rsid w:val="008337B4"/>
    <w:rsid w:val="008341C1"/>
    <w:rsid w:val="008342C2"/>
    <w:rsid w:val="008342DA"/>
    <w:rsid w:val="0083468B"/>
    <w:rsid w:val="0083468E"/>
    <w:rsid w:val="00834704"/>
    <w:rsid w:val="0083498B"/>
    <w:rsid w:val="00834A82"/>
    <w:rsid w:val="00834BCD"/>
    <w:rsid w:val="00834F61"/>
    <w:rsid w:val="008350B1"/>
    <w:rsid w:val="00835204"/>
    <w:rsid w:val="00835506"/>
    <w:rsid w:val="00835592"/>
    <w:rsid w:val="00835B0D"/>
    <w:rsid w:val="00835CF1"/>
    <w:rsid w:val="008361B2"/>
    <w:rsid w:val="0083668F"/>
    <w:rsid w:val="00836C35"/>
    <w:rsid w:val="00836CAB"/>
    <w:rsid w:val="008377A7"/>
    <w:rsid w:val="0084004E"/>
    <w:rsid w:val="0084065C"/>
    <w:rsid w:val="0084070F"/>
    <w:rsid w:val="0084137F"/>
    <w:rsid w:val="008416AB"/>
    <w:rsid w:val="00841ED7"/>
    <w:rsid w:val="008426C4"/>
    <w:rsid w:val="00842B8D"/>
    <w:rsid w:val="0084339B"/>
    <w:rsid w:val="00843637"/>
    <w:rsid w:val="00843769"/>
    <w:rsid w:val="00843913"/>
    <w:rsid w:val="00844B5E"/>
    <w:rsid w:val="00845121"/>
    <w:rsid w:val="00845A77"/>
    <w:rsid w:val="00845CF6"/>
    <w:rsid w:val="00845EF0"/>
    <w:rsid w:val="00846505"/>
    <w:rsid w:val="008467FA"/>
    <w:rsid w:val="00846DE8"/>
    <w:rsid w:val="00846FDA"/>
    <w:rsid w:val="008473B2"/>
    <w:rsid w:val="00847BD7"/>
    <w:rsid w:val="00847D3F"/>
    <w:rsid w:val="00847FE0"/>
    <w:rsid w:val="00850E30"/>
    <w:rsid w:val="00851C95"/>
    <w:rsid w:val="00852449"/>
    <w:rsid w:val="008530AC"/>
    <w:rsid w:val="008541D7"/>
    <w:rsid w:val="008543A7"/>
    <w:rsid w:val="008550C7"/>
    <w:rsid w:val="008554B4"/>
    <w:rsid w:val="0085593E"/>
    <w:rsid w:val="00855D08"/>
    <w:rsid w:val="008569EB"/>
    <w:rsid w:val="00856A58"/>
    <w:rsid w:val="00856FED"/>
    <w:rsid w:val="008570A5"/>
    <w:rsid w:val="008572BD"/>
    <w:rsid w:val="00857665"/>
    <w:rsid w:val="00857715"/>
    <w:rsid w:val="0085783D"/>
    <w:rsid w:val="00857901"/>
    <w:rsid w:val="0086065A"/>
    <w:rsid w:val="00860D39"/>
    <w:rsid w:val="008610B9"/>
    <w:rsid w:val="00861309"/>
    <w:rsid w:val="008614A8"/>
    <w:rsid w:val="008619AD"/>
    <w:rsid w:val="00861B97"/>
    <w:rsid w:val="00861CB2"/>
    <w:rsid w:val="008620E2"/>
    <w:rsid w:val="00862197"/>
    <w:rsid w:val="00862449"/>
    <w:rsid w:val="008624E0"/>
    <w:rsid w:val="00862905"/>
    <w:rsid w:val="008631C8"/>
    <w:rsid w:val="008637AC"/>
    <w:rsid w:val="00863B41"/>
    <w:rsid w:val="008642E4"/>
    <w:rsid w:val="00864B47"/>
    <w:rsid w:val="00864DC8"/>
    <w:rsid w:val="00864E4A"/>
    <w:rsid w:val="00864E60"/>
    <w:rsid w:val="008655E8"/>
    <w:rsid w:val="0086561F"/>
    <w:rsid w:val="0086579C"/>
    <w:rsid w:val="008658C1"/>
    <w:rsid w:val="0086602B"/>
    <w:rsid w:val="0086625B"/>
    <w:rsid w:val="0086635E"/>
    <w:rsid w:val="008666DF"/>
    <w:rsid w:val="00867577"/>
    <w:rsid w:val="0086760C"/>
    <w:rsid w:val="0086765E"/>
    <w:rsid w:val="00870027"/>
    <w:rsid w:val="008703B5"/>
    <w:rsid w:val="00870432"/>
    <w:rsid w:val="00870B62"/>
    <w:rsid w:val="008715CE"/>
    <w:rsid w:val="00871FDA"/>
    <w:rsid w:val="008723E2"/>
    <w:rsid w:val="008727FD"/>
    <w:rsid w:val="00872955"/>
    <w:rsid w:val="00872C12"/>
    <w:rsid w:val="00872C59"/>
    <w:rsid w:val="00872DA4"/>
    <w:rsid w:val="00873021"/>
    <w:rsid w:val="008733C2"/>
    <w:rsid w:val="008736DF"/>
    <w:rsid w:val="00873C5F"/>
    <w:rsid w:val="008742B5"/>
    <w:rsid w:val="00874A90"/>
    <w:rsid w:val="00875007"/>
    <w:rsid w:val="00875272"/>
    <w:rsid w:val="008758C7"/>
    <w:rsid w:val="00875D34"/>
    <w:rsid w:val="00875E2F"/>
    <w:rsid w:val="00875F14"/>
    <w:rsid w:val="008760F0"/>
    <w:rsid w:val="008776D6"/>
    <w:rsid w:val="0087793B"/>
    <w:rsid w:val="00877A75"/>
    <w:rsid w:val="0088003C"/>
    <w:rsid w:val="00880889"/>
    <w:rsid w:val="00880FEC"/>
    <w:rsid w:val="008811CF"/>
    <w:rsid w:val="00881B11"/>
    <w:rsid w:val="00881EEF"/>
    <w:rsid w:val="00882126"/>
    <w:rsid w:val="0088278A"/>
    <w:rsid w:val="00882F0A"/>
    <w:rsid w:val="00883029"/>
    <w:rsid w:val="0088303C"/>
    <w:rsid w:val="0088330D"/>
    <w:rsid w:val="00883892"/>
    <w:rsid w:val="0088421B"/>
    <w:rsid w:val="0088462B"/>
    <w:rsid w:val="008849F5"/>
    <w:rsid w:val="00884A6D"/>
    <w:rsid w:val="00884CC5"/>
    <w:rsid w:val="008851CC"/>
    <w:rsid w:val="008855B1"/>
    <w:rsid w:val="00885815"/>
    <w:rsid w:val="00885D2C"/>
    <w:rsid w:val="00886188"/>
    <w:rsid w:val="0088624A"/>
    <w:rsid w:val="0088633F"/>
    <w:rsid w:val="008867B3"/>
    <w:rsid w:val="00886BC7"/>
    <w:rsid w:val="00887100"/>
    <w:rsid w:val="00887106"/>
    <w:rsid w:val="0088796C"/>
    <w:rsid w:val="00887E67"/>
    <w:rsid w:val="008904D7"/>
    <w:rsid w:val="00890DFC"/>
    <w:rsid w:val="008916F7"/>
    <w:rsid w:val="00891A31"/>
    <w:rsid w:val="00891EF6"/>
    <w:rsid w:val="00891F13"/>
    <w:rsid w:val="00891FF2"/>
    <w:rsid w:val="00892480"/>
    <w:rsid w:val="008926B0"/>
    <w:rsid w:val="00892C41"/>
    <w:rsid w:val="00892EAD"/>
    <w:rsid w:val="00893207"/>
    <w:rsid w:val="00893403"/>
    <w:rsid w:val="00893788"/>
    <w:rsid w:val="00893E5C"/>
    <w:rsid w:val="00893FD9"/>
    <w:rsid w:val="00894126"/>
    <w:rsid w:val="00894331"/>
    <w:rsid w:val="008944BF"/>
    <w:rsid w:val="00894BA0"/>
    <w:rsid w:val="00894E3E"/>
    <w:rsid w:val="00894F02"/>
    <w:rsid w:val="00895348"/>
    <w:rsid w:val="00895D69"/>
    <w:rsid w:val="00895F45"/>
    <w:rsid w:val="008963CC"/>
    <w:rsid w:val="00896405"/>
    <w:rsid w:val="00896DEE"/>
    <w:rsid w:val="008A0379"/>
    <w:rsid w:val="008A1846"/>
    <w:rsid w:val="008A2033"/>
    <w:rsid w:val="008A20AD"/>
    <w:rsid w:val="008A22B7"/>
    <w:rsid w:val="008A24B4"/>
    <w:rsid w:val="008A270D"/>
    <w:rsid w:val="008A2C75"/>
    <w:rsid w:val="008A2DCF"/>
    <w:rsid w:val="008A2E0C"/>
    <w:rsid w:val="008A2FBA"/>
    <w:rsid w:val="008A33F0"/>
    <w:rsid w:val="008A37B2"/>
    <w:rsid w:val="008A398F"/>
    <w:rsid w:val="008A39CE"/>
    <w:rsid w:val="008A3ADA"/>
    <w:rsid w:val="008A3DCA"/>
    <w:rsid w:val="008A40C1"/>
    <w:rsid w:val="008A439C"/>
    <w:rsid w:val="008A44C2"/>
    <w:rsid w:val="008A48B7"/>
    <w:rsid w:val="008A48F4"/>
    <w:rsid w:val="008A4AAD"/>
    <w:rsid w:val="008A4C60"/>
    <w:rsid w:val="008A5047"/>
    <w:rsid w:val="008A59E2"/>
    <w:rsid w:val="008A5A27"/>
    <w:rsid w:val="008A604C"/>
    <w:rsid w:val="008A676E"/>
    <w:rsid w:val="008A6778"/>
    <w:rsid w:val="008A69FD"/>
    <w:rsid w:val="008A7592"/>
    <w:rsid w:val="008A7CE8"/>
    <w:rsid w:val="008B048C"/>
    <w:rsid w:val="008B0863"/>
    <w:rsid w:val="008B0DAA"/>
    <w:rsid w:val="008B0F54"/>
    <w:rsid w:val="008B1261"/>
    <w:rsid w:val="008B1792"/>
    <w:rsid w:val="008B1BAA"/>
    <w:rsid w:val="008B1F87"/>
    <w:rsid w:val="008B221C"/>
    <w:rsid w:val="008B234D"/>
    <w:rsid w:val="008B2916"/>
    <w:rsid w:val="008B2BBA"/>
    <w:rsid w:val="008B2E50"/>
    <w:rsid w:val="008B2EB3"/>
    <w:rsid w:val="008B3011"/>
    <w:rsid w:val="008B3374"/>
    <w:rsid w:val="008B3442"/>
    <w:rsid w:val="008B4017"/>
    <w:rsid w:val="008B44FA"/>
    <w:rsid w:val="008B47E0"/>
    <w:rsid w:val="008B49EE"/>
    <w:rsid w:val="008B4D61"/>
    <w:rsid w:val="008B50D7"/>
    <w:rsid w:val="008B57BD"/>
    <w:rsid w:val="008B5E26"/>
    <w:rsid w:val="008B62A3"/>
    <w:rsid w:val="008B6A72"/>
    <w:rsid w:val="008B75FB"/>
    <w:rsid w:val="008B7E6D"/>
    <w:rsid w:val="008B7F16"/>
    <w:rsid w:val="008C01C2"/>
    <w:rsid w:val="008C0C59"/>
    <w:rsid w:val="008C1539"/>
    <w:rsid w:val="008C1B9B"/>
    <w:rsid w:val="008C2B8E"/>
    <w:rsid w:val="008C34C6"/>
    <w:rsid w:val="008C36D6"/>
    <w:rsid w:val="008C3833"/>
    <w:rsid w:val="008C3942"/>
    <w:rsid w:val="008C39C0"/>
    <w:rsid w:val="008C4495"/>
    <w:rsid w:val="008C463A"/>
    <w:rsid w:val="008C4A4B"/>
    <w:rsid w:val="008C4BF0"/>
    <w:rsid w:val="008C4FBB"/>
    <w:rsid w:val="008C5397"/>
    <w:rsid w:val="008C546C"/>
    <w:rsid w:val="008C5622"/>
    <w:rsid w:val="008C598F"/>
    <w:rsid w:val="008C60C0"/>
    <w:rsid w:val="008C66F5"/>
    <w:rsid w:val="008C6E84"/>
    <w:rsid w:val="008C7337"/>
    <w:rsid w:val="008C7C65"/>
    <w:rsid w:val="008D081E"/>
    <w:rsid w:val="008D170B"/>
    <w:rsid w:val="008D1A9F"/>
    <w:rsid w:val="008D2255"/>
    <w:rsid w:val="008D32C2"/>
    <w:rsid w:val="008D34AC"/>
    <w:rsid w:val="008D551F"/>
    <w:rsid w:val="008D5712"/>
    <w:rsid w:val="008D59FA"/>
    <w:rsid w:val="008D631E"/>
    <w:rsid w:val="008D72ED"/>
    <w:rsid w:val="008D766C"/>
    <w:rsid w:val="008D76D1"/>
    <w:rsid w:val="008E029C"/>
    <w:rsid w:val="008E075D"/>
    <w:rsid w:val="008E083B"/>
    <w:rsid w:val="008E08EB"/>
    <w:rsid w:val="008E0F66"/>
    <w:rsid w:val="008E1C83"/>
    <w:rsid w:val="008E2053"/>
    <w:rsid w:val="008E2667"/>
    <w:rsid w:val="008E2AEC"/>
    <w:rsid w:val="008E31E1"/>
    <w:rsid w:val="008E3363"/>
    <w:rsid w:val="008E3535"/>
    <w:rsid w:val="008E36E9"/>
    <w:rsid w:val="008E42FF"/>
    <w:rsid w:val="008E438A"/>
    <w:rsid w:val="008E4450"/>
    <w:rsid w:val="008E5257"/>
    <w:rsid w:val="008E5596"/>
    <w:rsid w:val="008E65DF"/>
    <w:rsid w:val="008E66F7"/>
    <w:rsid w:val="008E7F7B"/>
    <w:rsid w:val="008F03A3"/>
    <w:rsid w:val="008F060C"/>
    <w:rsid w:val="008F0768"/>
    <w:rsid w:val="008F111C"/>
    <w:rsid w:val="008F1406"/>
    <w:rsid w:val="008F1738"/>
    <w:rsid w:val="008F19FB"/>
    <w:rsid w:val="008F1D57"/>
    <w:rsid w:val="008F1DAF"/>
    <w:rsid w:val="008F292B"/>
    <w:rsid w:val="008F2BBB"/>
    <w:rsid w:val="008F39E1"/>
    <w:rsid w:val="008F3AF1"/>
    <w:rsid w:val="008F4857"/>
    <w:rsid w:val="008F4B83"/>
    <w:rsid w:val="008F5465"/>
    <w:rsid w:val="008F5AD0"/>
    <w:rsid w:val="008F5D53"/>
    <w:rsid w:val="008F6267"/>
    <w:rsid w:val="008F68FA"/>
    <w:rsid w:val="008F6CC8"/>
    <w:rsid w:val="008F7184"/>
    <w:rsid w:val="008F721F"/>
    <w:rsid w:val="008F747E"/>
    <w:rsid w:val="008F79BA"/>
    <w:rsid w:val="008F7C7C"/>
    <w:rsid w:val="008F7D57"/>
    <w:rsid w:val="00900E05"/>
    <w:rsid w:val="009013B6"/>
    <w:rsid w:val="0090178E"/>
    <w:rsid w:val="00901EA6"/>
    <w:rsid w:val="00902502"/>
    <w:rsid w:val="00902673"/>
    <w:rsid w:val="00903A37"/>
    <w:rsid w:val="00903D78"/>
    <w:rsid w:val="00903DBC"/>
    <w:rsid w:val="009040BA"/>
    <w:rsid w:val="0090495F"/>
    <w:rsid w:val="00904AE8"/>
    <w:rsid w:val="00904DCD"/>
    <w:rsid w:val="00904FC4"/>
    <w:rsid w:val="00905280"/>
    <w:rsid w:val="00905E49"/>
    <w:rsid w:val="009079BC"/>
    <w:rsid w:val="009107A9"/>
    <w:rsid w:val="009107B5"/>
    <w:rsid w:val="00910857"/>
    <w:rsid w:val="00910B13"/>
    <w:rsid w:val="009110D3"/>
    <w:rsid w:val="00911623"/>
    <w:rsid w:val="00911870"/>
    <w:rsid w:val="00911C7A"/>
    <w:rsid w:val="00911F2E"/>
    <w:rsid w:val="0091212E"/>
    <w:rsid w:val="00912472"/>
    <w:rsid w:val="009137A8"/>
    <w:rsid w:val="0091389B"/>
    <w:rsid w:val="00914C11"/>
    <w:rsid w:val="00915FEA"/>
    <w:rsid w:val="00916133"/>
    <w:rsid w:val="009163FC"/>
    <w:rsid w:val="009166C0"/>
    <w:rsid w:val="009169FB"/>
    <w:rsid w:val="00916A7E"/>
    <w:rsid w:val="0091766F"/>
    <w:rsid w:val="00917F42"/>
    <w:rsid w:val="00920FB9"/>
    <w:rsid w:val="00921751"/>
    <w:rsid w:val="00921EDD"/>
    <w:rsid w:val="0092293D"/>
    <w:rsid w:val="009231AD"/>
    <w:rsid w:val="00923292"/>
    <w:rsid w:val="00923BEB"/>
    <w:rsid w:val="00924122"/>
    <w:rsid w:val="00925121"/>
    <w:rsid w:val="00926EBD"/>
    <w:rsid w:val="0092739B"/>
    <w:rsid w:val="009277B8"/>
    <w:rsid w:val="00930029"/>
    <w:rsid w:val="009303E4"/>
    <w:rsid w:val="00930AF8"/>
    <w:rsid w:val="00930BFB"/>
    <w:rsid w:val="00931260"/>
    <w:rsid w:val="00931628"/>
    <w:rsid w:val="00931ACA"/>
    <w:rsid w:val="0093215E"/>
    <w:rsid w:val="009322E2"/>
    <w:rsid w:val="009323A6"/>
    <w:rsid w:val="0093270A"/>
    <w:rsid w:val="00932B1B"/>
    <w:rsid w:val="00932BAD"/>
    <w:rsid w:val="00932D7C"/>
    <w:rsid w:val="00933582"/>
    <w:rsid w:val="00933A2F"/>
    <w:rsid w:val="00933BC1"/>
    <w:rsid w:val="00933C64"/>
    <w:rsid w:val="00934A8C"/>
    <w:rsid w:val="00934EDF"/>
    <w:rsid w:val="009350A2"/>
    <w:rsid w:val="00935515"/>
    <w:rsid w:val="00936A30"/>
    <w:rsid w:val="0093718A"/>
    <w:rsid w:val="0093770D"/>
    <w:rsid w:val="0094018C"/>
    <w:rsid w:val="00940B89"/>
    <w:rsid w:val="009410E9"/>
    <w:rsid w:val="00941194"/>
    <w:rsid w:val="00941290"/>
    <w:rsid w:val="00941A4D"/>
    <w:rsid w:val="00943624"/>
    <w:rsid w:val="00943794"/>
    <w:rsid w:val="00944103"/>
    <w:rsid w:val="00944381"/>
    <w:rsid w:val="00944512"/>
    <w:rsid w:val="00944A97"/>
    <w:rsid w:val="00944DBD"/>
    <w:rsid w:val="0094517E"/>
    <w:rsid w:val="0094522C"/>
    <w:rsid w:val="00945280"/>
    <w:rsid w:val="00945551"/>
    <w:rsid w:val="00945703"/>
    <w:rsid w:val="0094582E"/>
    <w:rsid w:val="00946209"/>
    <w:rsid w:val="00946633"/>
    <w:rsid w:val="0094665A"/>
    <w:rsid w:val="00946ABE"/>
    <w:rsid w:val="00946D21"/>
    <w:rsid w:val="009471F9"/>
    <w:rsid w:val="009475B0"/>
    <w:rsid w:val="00947803"/>
    <w:rsid w:val="00947DCF"/>
    <w:rsid w:val="00950196"/>
    <w:rsid w:val="00950300"/>
    <w:rsid w:val="00950794"/>
    <w:rsid w:val="00950E37"/>
    <w:rsid w:val="00951305"/>
    <w:rsid w:val="00951D02"/>
    <w:rsid w:val="00951FE3"/>
    <w:rsid w:val="00952BA1"/>
    <w:rsid w:val="009536A5"/>
    <w:rsid w:val="00953722"/>
    <w:rsid w:val="00953A73"/>
    <w:rsid w:val="00953DF8"/>
    <w:rsid w:val="00953F1C"/>
    <w:rsid w:val="00954A9E"/>
    <w:rsid w:val="00955E1C"/>
    <w:rsid w:val="0095619D"/>
    <w:rsid w:val="0095620A"/>
    <w:rsid w:val="0095632B"/>
    <w:rsid w:val="00956933"/>
    <w:rsid w:val="00957230"/>
    <w:rsid w:val="00957A8E"/>
    <w:rsid w:val="00957F2C"/>
    <w:rsid w:val="00960C9A"/>
    <w:rsid w:val="00961280"/>
    <w:rsid w:val="00961328"/>
    <w:rsid w:val="009614F1"/>
    <w:rsid w:val="0096164C"/>
    <w:rsid w:val="00961C86"/>
    <w:rsid w:val="0096326C"/>
    <w:rsid w:val="0096367F"/>
    <w:rsid w:val="009639D7"/>
    <w:rsid w:val="009649BE"/>
    <w:rsid w:val="00964B34"/>
    <w:rsid w:val="009650F1"/>
    <w:rsid w:val="00965116"/>
    <w:rsid w:val="00965589"/>
    <w:rsid w:val="00965D8E"/>
    <w:rsid w:val="00965F5C"/>
    <w:rsid w:val="009664CD"/>
    <w:rsid w:val="009666F9"/>
    <w:rsid w:val="00966A1B"/>
    <w:rsid w:val="00966C2A"/>
    <w:rsid w:val="00966F78"/>
    <w:rsid w:val="00966FA3"/>
    <w:rsid w:val="00967191"/>
    <w:rsid w:val="00967381"/>
    <w:rsid w:val="00967751"/>
    <w:rsid w:val="009707B3"/>
    <w:rsid w:val="00970D70"/>
    <w:rsid w:val="00971655"/>
    <w:rsid w:val="009716FA"/>
    <w:rsid w:val="00971858"/>
    <w:rsid w:val="0097245D"/>
    <w:rsid w:val="009732F1"/>
    <w:rsid w:val="00974040"/>
    <w:rsid w:val="009742E5"/>
    <w:rsid w:val="009744E0"/>
    <w:rsid w:val="00974BA4"/>
    <w:rsid w:val="00974F6D"/>
    <w:rsid w:val="00974FB3"/>
    <w:rsid w:val="00975DF3"/>
    <w:rsid w:val="00975F53"/>
    <w:rsid w:val="009767A3"/>
    <w:rsid w:val="009769EB"/>
    <w:rsid w:val="00976D91"/>
    <w:rsid w:val="009773C5"/>
    <w:rsid w:val="0097756F"/>
    <w:rsid w:val="00977718"/>
    <w:rsid w:val="0097797B"/>
    <w:rsid w:val="0098052D"/>
    <w:rsid w:val="00980678"/>
    <w:rsid w:val="00980A2B"/>
    <w:rsid w:val="0098103E"/>
    <w:rsid w:val="009810A1"/>
    <w:rsid w:val="00981214"/>
    <w:rsid w:val="00982186"/>
    <w:rsid w:val="00982352"/>
    <w:rsid w:val="00982360"/>
    <w:rsid w:val="00982658"/>
    <w:rsid w:val="00982D5B"/>
    <w:rsid w:val="009830BA"/>
    <w:rsid w:val="00983411"/>
    <w:rsid w:val="00983F99"/>
    <w:rsid w:val="009840D0"/>
    <w:rsid w:val="00984156"/>
    <w:rsid w:val="00984192"/>
    <w:rsid w:val="009841A3"/>
    <w:rsid w:val="009863C7"/>
    <w:rsid w:val="009867BF"/>
    <w:rsid w:val="00986811"/>
    <w:rsid w:val="009869CC"/>
    <w:rsid w:val="00987317"/>
    <w:rsid w:val="009876A6"/>
    <w:rsid w:val="00987B2E"/>
    <w:rsid w:val="009901EF"/>
    <w:rsid w:val="00990202"/>
    <w:rsid w:val="00990280"/>
    <w:rsid w:val="0099115F"/>
    <w:rsid w:val="009913DA"/>
    <w:rsid w:val="00991652"/>
    <w:rsid w:val="00991B29"/>
    <w:rsid w:val="009922A2"/>
    <w:rsid w:val="009925D7"/>
    <w:rsid w:val="00992802"/>
    <w:rsid w:val="00993487"/>
    <w:rsid w:val="00993517"/>
    <w:rsid w:val="00993E75"/>
    <w:rsid w:val="00994223"/>
    <w:rsid w:val="009944B7"/>
    <w:rsid w:val="00994761"/>
    <w:rsid w:val="009947FC"/>
    <w:rsid w:val="00994C3C"/>
    <w:rsid w:val="00994CEA"/>
    <w:rsid w:val="00995411"/>
    <w:rsid w:val="0099568B"/>
    <w:rsid w:val="009957F9"/>
    <w:rsid w:val="00995BB6"/>
    <w:rsid w:val="00995D2E"/>
    <w:rsid w:val="00995D54"/>
    <w:rsid w:val="00995F59"/>
    <w:rsid w:val="009967C4"/>
    <w:rsid w:val="0099741D"/>
    <w:rsid w:val="00997593"/>
    <w:rsid w:val="009978D3"/>
    <w:rsid w:val="00997B59"/>
    <w:rsid w:val="009A018A"/>
    <w:rsid w:val="009A093A"/>
    <w:rsid w:val="009A0A14"/>
    <w:rsid w:val="009A187E"/>
    <w:rsid w:val="009A1BFF"/>
    <w:rsid w:val="009A1E8B"/>
    <w:rsid w:val="009A1F33"/>
    <w:rsid w:val="009A2DF4"/>
    <w:rsid w:val="009A324E"/>
    <w:rsid w:val="009A3445"/>
    <w:rsid w:val="009A3A10"/>
    <w:rsid w:val="009A3B43"/>
    <w:rsid w:val="009A44B6"/>
    <w:rsid w:val="009A4CBD"/>
    <w:rsid w:val="009A4EFF"/>
    <w:rsid w:val="009A553B"/>
    <w:rsid w:val="009A5573"/>
    <w:rsid w:val="009A55BB"/>
    <w:rsid w:val="009A76A2"/>
    <w:rsid w:val="009A79F8"/>
    <w:rsid w:val="009A7BF5"/>
    <w:rsid w:val="009A7CB4"/>
    <w:rsid w:val="009A7ECB"/>
    <w:rsid w:val="009B0C48"/>
    <w:rsid w:val="009B0E11"/>
    <w:rsid w:val="009B16CC"/>
    <w:rsid w:val="009B1A53"/>
    <w:rsid w:val="009B209E"/>
    <w:rsid w:val="009B2376"/>
    <w:rsid w:val="009B24DB"/>
    <w:rsid w:val="009B29B9"/>
    <w:rsid w:val="009B2C2C"/>
    <w:rsid w:val="009B37F7"/>
    <w:rsid w:val="009B3965"/>
    <w:rsid w:val="009B41D6"/>
    <w:rsid w:val="009B5347"/>
    <w:rsid w:val="009B5D58"/>
    <w:rsid w:val="009B629B"/>
    <w:rsid w:val="009B6CA8"/>
    <w:rsid w:val="009C0DA2"/>
    <w:rsid w:val="009C19C0"/>
    <w:rsid w:val="009C1B60"/>
    <w:rsid w:val="009C1FDF"/>
    <w:rsid w:val="009C22C5"/>
    <w:rsid w:val="009C25F8"/>
    <w:rsid w:val="009C27E5"/>
    <w:rsid w:val="009C2D6F"/>
    <w:rsid w:val="009C2DE7"/>
    <w:rsid w:val="009C306B"/>
    <w:rsid w:val="009C481A"/>
    <w:rsid w:val="009C4BC8"/>
    <w:rsid w:val="009C5664"/>
    <w:rsid w:val="009C625F"/>
    <w:rsid w:val="009C7134"/>
    <w:rsid w:val="009C71AA"/>
    <w:rsid w:val="009C773D"/>
    <w:rsid w:val="009D0097"/>
    <w:rsid w:val="009D0A53"/>
    <w:rsid w:val="009D0E4E"/>
    <w:rsid w:val="009D14EE"/>
    <w:rsid w:val="009D1621"/>
    <w:rsid w:val="009D1AB4"/>
    <w:rsid w:val="009D1D69"/>
    <w:rsid w:val="009D1D9C"/>
    <w:rsid w:val="009D1EFB"/>
    <w:rsid w:val="009D201B"/>
    <w:rsid w:val="009D214D"/>
    <w:rsid w:val="009D24D7"/>
    <w:rsid w:val="009D2E23"/>
    <w:rsid w:val="009D3174"/>
    <w:rsid w:val="009D3613"/>
    <w:rsid w:val="009D3731"/>
    <w:rsid w:val="009D42D7"/>
    <w:rsid w:val="009D4345"/>
    <w:rsid w:val="009D4612"/>
    <w:rsid w:val="009D470E"/>
    <w:rsid w:val="009D4760"/>
    <w:rsid w:val="009D48B7"/>
    <w:rsid w:val="009D4E53"/>
    <w:rsid w:val="009D5078"/>
    <w:rsid w:val="009D50F7"/>
    <w:rsid w:val="009D515D"/>
    <w:rsid w:val="009D522E"/>
    <w:rsid w:val="009D5685"/>
    <w:rsid w:val="009D5EC2"/>
    <w:rsid w:val="009D65E6"/>
    <w:rsid w:val="009D6C39"/>
    <w:rsid w:val="009D6F6B"/>
    <w:rsid w:val="009D7433"/>
    <w:rsid w:val="009D79FA"/>
    <w:rsid w:val="009E051D"/>
    <w:rsid w:val="009E0791"/>
    <w:rsid w:val="009E0A94"/>
    <w:rsid w:val="009E1141"/>
    <w:rsid w:val="009E115B"/>
    <w:rsid w:val="009E18F2"/>
    <w:rsid w:val="009E1FF1"/>
    <w:rsid w:val="009E2663"/>
    <w:rsid w:val="009E29E0"/>
    <w:rsid w:val="009E2A45"/>
    <w:rsid w:val="009E2F75"/>
    <w:rsid w:val="009E308D"/>
    <w:rsid w:val="009E3138"/>
    <w:rsid w:val="009E5973"/>
    <w:rsid w:val="009E6921"/>
    <w:rsid w:val="009E6C9F"/>
    <w:rsid w:val="009E719B"/>
    <w:rsid w:val="009E7508"/>
    <w:rsid w:val="009E7BE6"/>
    <w:rsid w:val="009E7F9D"/>
    <w:rsid w:val="009F0201"/>
    <w:rsid w:val="009F0485"/>
    <w:rsid w:val="009F06CC"/>
    <w:rsid w:val="009F0B0A"/>
    <w:rsid w:val="009F0DA4"/>
    <w:rsid w:val="009F0E4B"/>
    <w:rsid w:val="009F0E6D"/>
    <w:rsid w:val="009F11A2"/>
    <w:rsid w:val="009F18FC"/>
    <w:rsid w:val="009F1A47"/>
    <w:rsid w:val="009F1E64"/>
    <w:rsid w:val="009F21E8"/>
    <w:rsid w:val="009F2CDA"/>
    <w:rsid w:val="009F3721"/>
    <w:rsid w:val="009F376C"/>
    <w:rsid w:val="009F39BD"/>
    <w:rsid w:val="009F425A"/>
    <w:rsid w:val="009F45D6"/>
    <w:rsid w:val="009F4C1F"/>
    <w:rsid w:val="009F577B"/>
    <w:rsid w:val="009F6813"/>
    <w:rsid w:val="009F726F"/>
    <w:rsid w:val="009F74B9"/>
    <w:rsid w:val="009F7616"/>
    <w:rsid w:val="009F767D"/>
    <w:rsid w:val="00A002A1"/>
    <w:rsid w:val="00A005B4"/>
    <w:rsid w:val="00A00983"/>
    <w:rsid w:val="00A0228C"/>
    <w:rsid w:val="00A0229B"/>
    <w:rsid w:val="00A02BAD"/>
    <w:rsid w:val="00A02D4C"/>
    <w:rsid w:val="00A0356F"/>
    <w:rsid w:val="00A04975"/>
    <w:rsid w:val="00A04A0B"/>
    <w:rsid w:val="00A04ABD"/>
    <w:rsid w:val="00A0519A"/>
    <w:rsid w:val="00A05ED0"/>
    <w:rsid w:val="00A0642F"/>
    <w:rsid w:val="00A0659B"/>
    <w:rsid w:val="00A06B27"/>
    <w:rsid w:val="00A06D1C"/>
    <w:rsid w:val="00A07179"/>
    <w:rsid w:val="00A07EDE"/>
    <w:rsid w:val="00A10275"/>
    <w:rsid w:val="00A10D0E"/>
    <w:rsid w:val="00A10E25"/>
    <w:rsid w:val="00A10F1D"/>
    <w:rsid w:val="00A114EE"/>
    <w:rsid w:val="00A11517"/>
    <w:rsid w:val="00A115FA"/>
    <w:rsid w:val="00A11D86"/>
    <w:rsid w:val="00A11FC5"/>
    <w:rsid w:val="00A1246B"/>
    <w:rsid w:val="00A127FC"/>
    <w:rsid w:val="00A13203"/>
    <w:rsid w:val="00A13B0B"/>
    <w:rsid w:val="00A13DB5"/>
    <w:rsid w:val="00A14124"/>
    <w:rsid w:val="00A14326"/>
    <w:rsid w:val="00A152CB"/>
    <w:rsid w:val="00A15320"/>
    <w:rsid w:val="00A153F1"/>
    <w:rsid w:val="00A156EC"/>
    <w:rsid w:val="00A159FF"/>
    <w:rsid w:val="00A15FC6"/>
    <w:rsid w:val="00A16583"/>
    <w:rsid w:val="00A169FC"/>
    <w:rsid w:val="00A16D4B"/>
    <w:rsid w:val="00A17033"/>
    <w:rsid w:val="00A1737C"/>
    <w:rsid w:val="00A1761E"/>
    <w:rsid w:val="00A1771F"/>
    <w:rsid w:val="00A1791E"/>
    <w:rsid w:val="00A17F00"/>
    <w:rsid w:val="00A20A33"/>
    <w:rsid w:val="00A20C82"/>
    <w:rsid w:val="00A20E38"/>
    <w:rsid w:val="00A2136A"/>
    <w:rsid w:val="00A2202B"/>
    <w:rsid w:val="00A22074"/>
    <w:rsid w:val="00A22273"/>
    <w:rsid w:val="00A22569"/>
    <w:rsid w:val="00A22B76"/>
    <w:rsid w:val="00A22D2C"/>
    <w:rsid w:val="00A22FB9"/>
    <w:rsid w:val="00A231E4"/>
    <w:rsid w:val="00A2327F"/>
    <w:rsid w:val="00A234CE"/>
    <w:rsid w:val="00A23642"/>
    <w:rsid w:val="00A23D11"/>
    <w:rsid w:val="00A2403E"/>
    <w:rsid w:val="00A2448B"/>
    <w:rsid w:val="00A245FC"/>
    <w:rsid w:val="00A249E3"/>
    <w:rsid w:val="00A24BF3"/>
    <w:rsid w:val="00A24D90"/>
    <w:rsid w:val="00A24DBE"/>
    <w:rsid w:val="00A24E5A"/>
    <w:rsid w:val="00A2551D"/>
    <w:rsid w:val="00A2586C"/>
    <w:rsid w:val="00A2660F"/>
    <w:rsid w:val="00A269FC"/>
    <w:rsid w:val="00A26A43"/>
    <w:rsid w:val="00A26CCB"/>
    <w:rsid w:val="00A270E9"/>
    <w:rsid w:val="00A27353"/>
    <w:rsid w:val="00A30411"/>
    <w:rsid w:val="00A30472"/>
    <w:rsid w:val="00A30BCA"/>
    <w:rsid w:val="00A30D5B"/>
    <w:rsid w:val="00A31445"/>
    <w:rsid w:val="00A31736"/>
    <w:rsid w:val="00A31DCB"/>
    <w:rsid w:val="00A32062"/>
    <w:rsid w:val="00A32645"/>
    <w:rsid w:val="00A3287D"/>
    <w:rsid w:val="00A32A79"/>
    <w:rsid w:val="00A32FB4"/>
    <w:rsid w:val="00A33351"/>
    <w:rsid w:val="00A33592"/>
    <w:rsid w:val="00A33926"/>
    <w:rsid w:val="00A33F06"/>
    <w:rsid w:val="00A3507F"/>
    <w:rsid w:val="00A35685"/>
    <w:rsid w:val="00A35BB8"/>
    <w:rsid w:val="00A36A8B"/>
    <w:rsid w:val="00A36E2F"/>
    <w:rsid w:val="00A36F20"/>
    <w:rsid w:val="00A37A56"/>
    <w:rsid w:val="00A40AEE"/>
    <w:rsid w:val="00A41086"/>
    <w:rsid w:val="00A4293B"/>
    <w:rsid w:val="00A429AC"/>
    <w:rsid w:val="00A42A49"/>
    <w:rsid w:val="00A431E0"/>
    <w:rsid w:val="00A432F0"/>
    <w:rsid w:val="00A4350C"/>
    <w:rsid w:val="00A4365A"/>
    <w:rsid w:val="00A436CD"/>
    <w:rsid w:val="00A43A04"/>
    <w:rsid w:val="00A43B30"/>
    <w:rsid w:val="00A449B4"/>
    <w:rsid w:val="00A449E0"/>
    <w:rsid w:val="00A44AC9"/>
    <w:rsid w:val="00A44B03"/>
    <w:rsid w:val="00A44F5E"/>
    <w:rsid w:val="00A4533E"/>
    <w:rsid w:val="00A45675"/>
    <w:rsid w:val="00A45710"/>
    <w:rsid w:val="00A45BE5"/>
    <w:rsid w:val="00A46360"/>
    <w:rsid w:val="00A465AD"/>
    <w:rsid w:val="00A46A27"/>
    <w:rsid w:val="00A47124"/>
    <w:rsid w:val="00A47472"/>
    <w:rsid w:val="00A47B43"/>
    <w:rsid w:val="00A47F44"/>
    <w:rsid w:val="00A500BE"/>
    <w:rsid w:val="00A50705"/>
    <w:rsid w:val="00A50900"/>
    <w:rsid w:val="00A50A0A"/>
    <w:rsid w:val="00A51509"/>
    <w:rsid w:val="00A515DB"/>
    <w:rsid w:val="00A51860"/>
    <w:rsid w:val="00A51CA2"/>
    <w:rsid w:val="00A52BE1"/>
    <w:rsid w:val="00A534B2"/>
    <w:rsid w:val="00A54003"/>
    <w:rsid w:val="00A542BA"/>
    <w:rsid w:val="00A542C2"/>
    <w:rsid w:val="00A5489E"/>
    <w:rsid w:val="00A54EAA"/>
    <w:rsid w:val="00A5564B"/>
    <w:rsid w:val="00A5598F"/>
    <w:rsid w:val="00A55F8C"/>
    <w:rsid w:val="00A56467"/>
    <w:rsid w:val="00A564B8"/>
    <w:rsid w:val="00A565F5"/>
    <w:rsid w:val="00A56E70"/>
    <w:rsid w:val="00A576BD"/>
    <w:rsid w:val="00A57775"/>
    <w:rsid w:val="00A60278"/>
    <w:rsid w:val="00A60672"/>
    <w:rsid w:val="00A60922"/>
    <w:rsid w:val="00A615E7"/>
    <w:rsid w:val="00A61829"/>
    <w:rsid w:val="00A61D1E"/>
    <w:rsid w:val="00A61E5E"/>
    <w:rsid w:val="00A61F58"/>
    <w:rsid w:val="00A62336"/>
    <w:rsid w:val="00A625AF"/>
    <w:rsid w:val="00A660AC"/>
    <w:rsid w:val="00A668D8"/>
    <w:rsid w:val="00A66A68"/>
    <w:rsid w:val="00A66EFE"/>
    <w:rsid w:val="00A67194"/>
    <w:rsid w:val="00A67858"/>
    <w:rsid w:val="00A67A75"/>
    <w:rsid w:val="00A712DA"/>
    <w:rsid w:val="00A714C4"/>
    <w:rsid w:val="00A7183C"/>
    <w:rsid w:val="00A71B21"/>
    <w:rsid w:val="00A71BD0"/>
    <w:rsid w:val="00A721E3"/>
    <w:rsid w:val="00A7270D"/>
    <w:rsid w:val="00A7272E"/>
    <w:rsid w:val="00A72D76"/>
    <w:rsid w:val="00A72F2F"/>
    <w:rsid w:val="00A730AB"/>
    <w:rsid w:val="00A7339B"/>
    <w:rsid w:val="00A7398C"/>
    <w:rsid w:val="00A75398"/>
    <w:rsid w:val="00A76001"/>
    <w:rsid w:val="00A76195"/>
    <w:rsid w:val="00A76B98"/>
    <w:rsid w:val="00A76D2E"/>
    <w:rsid w:val="00A76ECD"/>
    <w:rsid w:val="00A77427"/>
    <w:rsid w:val="00A77585"/>
    <w:rsid w:val="00A775A5"/>
    <w:rsid w:val="00A777B1"/>
    <w:rsid w:val="00A80437"/>
    <w:rsid w:val="00A806BE"/>
    <w:rsid w:val="00A80B16"/>
    <w:rsid w:val="00A80D44"/>
    <w:rsid w:val="00A810C3"/>
    <w:rsid w:val="00A81395"/>
    <w:rsid w:val="00A816EC"/>
    <w:rsid w:val="00A819C1"/>
    <w:rsid w:val="00A82682"/>
    <w:rsid w:val="00A828BD"/>
    <w:rsid w:val="00A82A7C"/>
    <w:rsid w:val="00A82F2F"/>
    <w:rsid w:val="00A83759"/>
    <w:rsid w:val="00A845AF"/>
    <w:rsid w:val="00A84699"/>
    <w:rsid w:val="00A84782"/>
    <w:rsid w:val="00A84A74"/>
    <w:rsid w:val="00A84ADA"/>
    <w:rsid w:val="00A85397"/>
    <w:rsid w:val="00A85E14"/>
    <w:rsid w:val="00A8678A"/>
    <w:rsid w:val="00A86C77"/>
    <w:rsid w:val="00A876D4"/>
    <w:rsid w:val="00A87753"/>
    <w:rsid w:val="00A87C75"/>
    <w:rsid w:val="00A87F08"/>
    <w:rsid w:val="00A87F37"/>
    <w:rsid w:val="00A87F3E"/>
    <w:rsid w:val="00A9016A"/>
    <w:rsid w:val="00A91697"/>
    <w:rsid w:val="00A919E3"/>
    <w:rsid w:val="00A91B0D"/>
    <w:rsid w:val="00A91B69"/>
    <w:rsid w:val="00A91BB8"/>
    <w:rsid w:val="00A92AB0"/>
    <w:rsid w:val="00A92EC5"/>
    <w:rsid w:val="00A93CFC"/>
    <w:rsid w:val="00A93F5B"/>
    <w:rsid w:val="00A9408E"/>
    <w:rsid w:val="00A94422"/>
    <w:rsid w:val="00A952AD"/>
    <w:rsid w:val="00A95573"/>
    <w:rsid w:val="00A955BE"/>
    <w:rsid w:val="00A95768"/>
    <w:rsid w:val="00A95B20"/>
    <w:rsid w:val="00A963AE"/>
    <w:rsid w:val="00A964ED"/>
    <w:rsid w:val="00A9655F"/>
    <w:rsid w:val="00A96B1A"/>
    <w:rsid w:val="00A97168"/>
    <w:rsid w:val="00A9769E"/>
    <w:rsid w:val="00A97C14"/>
    <w:rsid w:val="00A97C55"/>
    <w:rsid w:val="00A97FE3"/>
    <w:rsid w:val="00AA027E"/>
    <w:rsid w:val="00AA0624"/>
    <w:rsid w:val="00AA0993"/>
    <w:rsid w:val="00AA0D88"/>
    <w:rsid w:val="00AA19A0"/>
    <w:rsid w:val="00AA1BA8"/>
    <w:rsid w:val="00AA1F2F"/>
    <w:rsid w:val="00AA2D2B"/>
    <w:rsid w:val="00AA34D0"/>
    <w:rsid w:val="00AA3EAB"/>
    <w:rsid w:val="00AA4503"/>
    <w:rsid w:val="00AA495D"/>
    <w:rsid w:val="00AA4EE2"/>
    <w:rsid w:val="00AA5F88"/>
    <w:rsid w:val="00AA65EA"/>
    <w:rsid w:val="00AA68D8"/>
    <w:rsid w:val="00AA771B"/>
    <w:rsid w:val="00AA7756"/>
    <w:rsid w:val="00AA79BD"/>
    <w:rsid w:val="00AA7E05"/>
    <w:rsid w:val="00AB0369"/>
    <w:rsid w:val="00AB0499"/>
    <w:rsid w:val="00AB0E4D"/>
    <w:rsid w:val="00AB10F2"/>
    <w:rsid w:val="00AB1B73"/>
    <w:rsid w:val="00AB1CA7"/>
    <w:rsid w:val="00AB1FEF"/>
    <w:rsid w:val="00AB2B75"/>
    <w:rsid w:val="00AB3486"/>
    <w:rsid w:val="00AB34CD"/>
    <w:rsid w:val="00AB3C60"/>
    <w:rsid w:val="00AB3EA0"/>
    <w:rsid w:val="00AB4123"/>
    <w:rsid w:val="00AB450E"/>
    <w:rsid w:val="00AB477E"/>
    <w:rsid w:val="00AB5B18"/>
    <w:rsid w:val="00AB62F5"/>
    <w:rsid w:val="00AB6847"/>
    <w:rsid w:val="00AB6CAE"/>
    <w:rsid w:val="00AB6EC7"/>
    <w:rsid w:val="00AB6F06"/>
    <w:rsid w:val="00AB78CA"/>
    <w:rsid w:val="00AB7D28"/>
    <w:rsid w:val="00AB7FC5"/>
    <w:rsid w:val="00AC02E7"/>
    <w:rsid w:val="00AC0AC5"/>
    <w:rsid w:val="00AC0C44"/>
    <w:rsid w:val="00AC0E65"/>
    <w:rsid w:val="00AC0E7B"/>
    <w:rsid w:val="00AC161F"/>
    <w:rsid w:val="00AC1C0D"/>
    <w:rsid w:val="00AC24E3"/>
    <w:rsid w:val="00AC252B"/>
    <w:rsid w:val="00AC25D8"/>
    <w:rsid w:val="00AC350A"/>
    <w:rsid w:val="00AC3B65"/>
    <w:rsid w:val="00AC410B"/>
    <w:rsid w:val="00AC439F"/>
    <w:rsid w:val="00AC4573"/>
    <w:rsid w:val="00AC4BD4"/>
    <w:rsid w:val="00AC4BFC"/>
    <w:rsid w:val="00AC4FD0"/>
    <w:rsid w:val="00AC5527"/>
    <w:rsid w:val="00AC57C4"/>
    <w:rsid w:val="00AC5FFD"/>
    <w:rsid w:val="00AC771E"/>
    <w:rsid w:val="00AC7892"/>
    <w:rsid w:val="00AC7D8B"/>
    <w:rsid w:val="00AD0137"/>
    <w:rsid w:val="00AD03EE"/>
    <w:rsid w:val="00AD0443"/>
    <w:rsid w:val="00AD05BA"/>
    <w:rsid w:val="00AD0A0D"/>
    <w:rsid w:val="00AD0AD7"/>
    <w:rsid w:val="00AD0C37"/>
    <w:rsid w:val="00AD19E6"/>
    <w:rsid w:val="00AD1C61"/>
    <w:rsid w:val="00AD1D6F"/>
    <w:rsid w:val="00AD1DCD"/>
    <w:rsid w:val="00AD2268"/>
    <w:rsid w:val="00AD3173"/>
    <w:rsid w:val="00AD36EA"/>
    <w:rsid w:val="00AD3B0F"/>
    <w:rsid w:val="00AD4865"/>
    <w:rsid w:val="00AD4F75"/>
    <w:rsid w:val="00AD5CF8"/>
    <w:rsid w:val="00AD60AB"/>
    <w:rsid w:val="00AD6435"/>
    <w:rsid w:val="00AD65A6"/>
    <w:rsid w:val="00AD6E00"/>
    <w:rsid w:val="00AD7439"/>
    <w:rsid w:val="00AD74EF"/>
    <w:rsid w:val="00AD77CC"/>
    <w:rsid w:val="00AD7B53"/>
    <w:rsid w:val="00AD7CF3"/>
    <w:rsid w:val="00AE0205"/>
    <w:rsid w:val="00AE028A"/>
    <w:rsid w:val="00AE0316"/>
    <w:rsid w:val="00AE083A"/>
    <w:rsid w:val="00AE12C7"/>
    <w:rsid w:val="00AE1A01"/>
    <w:rsid w:val="00AE1C71"/>
    <w:rsid w:val="00AE1ECD"/>
    <w:rsid w:val="00AE2F49"/>
    <w:rsid w:val="00AE429A"/>
    <w:rsid w:val="00AE45D4"/>
    <w:rsid w:val="00AE47F4"/>
    <w:rsid w:val="00AE58EA"/>
    <w:rsid w:val="00AE5A20"/>
    <w:rsid w:val="00AE5F3A"/>
    <w:rsid w:val="00AE5F3F"/>
    <w:rsid w:val="00AE6061"/>
    <w:rsid w:val="00AE60AE"/>
    <w:rsid w:val="00AE698F"/>
    <w:rsid w:val="00AE7329"/>
    <w:rsid w:val="00AE7A0F"/>
    <w:rsid w:val="00AE7C41"/>
    <w:rsid w:val="00AF0036"/>
    <w:rsid w:val="00AF003E"/>
    <w:rsid w:val="00AF01BB"/>
    <w:rsid w:val="00AF01BE"/>
    <w:rsid w:val="00AF0287"/>
    <w:rsid w:val="00AF11F1"/>
    <w:rsid w:val="00AF14B1"/>
    <w:rsid w:val="00AF2628"/>
    <w:rsid w:val="00AF27BD"/>
    <w:rsid w:val="00AF2A56"/>
    <w:rsid w:val="00AF2C92"/>
    <w:rsid w:val="00AF2DEE"/>
    <w:rsid w:val="00AF3BC1"/>
    <w:rsid w:val="00AF43DA"/>
    <w:rsid w:val="00AF468B"/>
    <w:rsid w:val="00AF49D7"/>
    <w:rsid w:val="00AF4C6B"/>
    <w:rsid w:val="00AF504B"/>
    <w:rsid w:val="00AF580F"/>
    <w:rsid w:val="00AF5919"/>
    <w:rsid w:val="00AF6B83"/>
    <w:rsid w:val="00AF6E05"/>
    <w:rsid w:val="00AF7124"/>
    <w:rsid w:val="00AF72FA"/>
    <w:rsid w:val="00AF754E"/>
    <w:rsid w:val="00AF7911"/>
    <w:rsid w:val="00B000B3"/>
    <w:rsid w:val="00B0095D"/>
    <w:rsid w:val="00B01386"/>
    <w:rsid w:val="00B014CB"/>
    <w:rsid w:val="00B01BC7"/>
    <w:rsid w:val="00B01BE8"/>
    <w:rsid w:val="00B01E41"/>
    <w:rsid w:val="00B03680"/>
    <w:rsid w:val="00B036A4"/>
    <w:rsid w:val="00B036FB"/>
    <w:rsid w:val="00B04223"/>
    <w:rsid w:val="00B04419"/>
    <w:rsid w:val="00B04602"/>
    <w:rsid w:val="00B04783"/>
    <w:rsid w:val="00B05764"/>
    <w:rsid w:val="00B05CB2"/>
    <w:rsid w:val="00B05D6A"/>
    <w:rsid w:val="00B06A7A"/>
    <w:rsid w:val="00B06DBA"/>
    <w:rsid w:val="00B070DD"/>
    <w:rsid w:val="00B074D6"/>
    <w:rsid w:val="00B107D5"/>
    <w:rsid w:val="00B10E5C"/>
    <w:rsid w:val="00B10F26"/>
    <w:rsid w:val="00B11607"/>
    <w:rsid w:val="00B118CC"/>
    <w:rsid w:val="00B12134"/>
    <w:rsid w:val="00B124EF"/>
    <w:rsid w:val="00B12DF1"/>
    <w:rsid w:val="00B131C2"/>
    <w:rsid w:val="00B13AAD"/>
    <w:rsid w:val="00B13FBD"/>
    <w:rsid w:val="00B1455D"/>
    <w:rsid w:val="00B14617"/>
    <w:rsid w:val="00B14838"/>
    <w:rsid w:val="00B152B4"/>
    <w:rsid w:val="00B15393"/>
    <w:rsid w:val="00B163FD"/>
    <w:rsid w:val="00B16A3D"/>
    <w:rsid w:val="00B175FD"/>
    <w:rsid w:val="00B17910"/>
    <w:rsid w:val="00B201EF"/>
    <w:rsid w:val="00B20299"/>
    <w:rsid w:val="00B202C6"/>
    <w:rsid w:val="00B204C0"/>
    <w:rsid w:val="00B2057F"/>
    <w:rsid w:val="00B20F71"/>
    <w:rsid w:val="00B21339"/>
    <w:rsid w:val="00B223E2"/>
    <w:rsid w:val="00B22DA8"/>
    <w:rsid w:val="00B230A3"/>
    <w:rsid w:val="00B23631"/>
    <w:rsid w:val="00B24742"/>
    <w:rsid w:val="00B24A64"/>
    <w:rsid w:val="00B24D3A"/>
    <w:rsid w:val="00B25144"/>
    <w:rsid w:val="00B2593B"/>
    <w:rsid w:val="00B259D1"/>
    <w:rsid w:val="00B25C3A"/>
    <w:rsid w:val="00B25D36"/>
    <w:rsid w:val="00B25F67"/>
    <w:rsid w:val="00B2614D"/>
    <w:rsid w:val="00B26EEC"/>
    <w:rsid w:val="00B2757B"/>
    <w:rsid w:val="00B27634"/>
    <w:rsid w:val="00B30109"/>
    <w:rsid w:val="00B30151"/>
    <w:rsid w:val="00B30165"/>
    <w:rsid w:val="00B30167"/>
    <w:rsid w:val="00B31361"/>
    <w:rsid w:val="00B31B03"/>
    <w:rsid w:val="00B31B28"/>
    <w:rsid w:val="00B31E27"/>
    <w:rsid w:val="00B31F38"/>
    <w:rsid w:val="00B32691"/>
    <w:rsid w:val="00B327AB"/>
    <w:rsid w:val="00B332AE"/>
    <w:rsid w:val="00B333D3"/>
    <w:rsid w:val="00B33529"/>
    <w:rsid w:val="00B3393A"/>
    <w:rsid w:val="00B33FF9"/>
    <w:rsid w:val="00B349F2"/>
    <w:rsid w:val="00B351B9"/>
    <w:rsid w:val="00B35553"/>
    <w:rsid w:val="00B358CB"/>
    <w:rsid w:val="00B35D4E"/>
    <w:rsid w:val="00B36817"/>
    <w:rsid w:val="00B3695C"/>
    <w:rsid w:val="00B36C75"/>
    <w:rsid w:val="00B36E7A"/>
    <w:rsid w:val="00B37395"/>
    <w:rsid w:val="00B374F6"/>
    <w:rsid w:val="00B37536"/>
    <w:rsid w:val="00B3772C"/>
    <w:rsid w:val="00B37C7A"/>
    <w:rsid w:val="00B37FA8"/>
    <w:rsid w:val="00B41596"/>
    <w:rsid w:val="00B41686"/>
    <w:rsid w:val="00B420B6"/>
    <w:rsid w:val="00B431ED"/>
    <w:rsid w:val="00B43270"/>
    <w:rsid w:val="00B4364B"/>
    <w:rsid w:val="00B436F3"/>
    <w:rsid w:val="00B440D1"/>
    <w:rsid w:val="00B444A4"/>
    <w:rsid w:val="00B44C9F"/>
    <w:rsid w:val="00B44E67"/>
    <w:rsid w:val="00B4512B"/>
    <w:rsid w:val="00B45ED4"/>
    <w:rsid w:val="00B45FB6"/>
    <w:rsid w:val="00B4631F"/>
    <w:rsid w:val="00B466FB"/>
    <w:rsid w:val="00B475F4"/>
    <w:rsid w:val="00B5023F"/>
    <w:rsid w:val="00B50441"/>
    <w:rsid w:val="00B504FC"/>
    <w:rsid w:val="00B50601"/>
    <w:rsid w:val="00B508BB"/>
    <w:rsid w:val="00B50A55"/>
    <w:rsid w:val="00B50E60"/>
    <w:rsid w:val="00B51741"/>
    <w:rsid w:val="00B5212C"/>
    <w:rsid w:val="00B522E2"/>
    <w:rsid w:val="00B53280"/>
    <w:rsid w:val="00B53936"/>
    <w:rsid w:val="00B53965"/>
    <w:rsid w:val="00B54671"/>
    <w:rsid w:val="00B54F90"/>
    <w:rsid w:val="00B54F9A"/>
    <w:rsid w:val="00B55B0A"/>
    <w:rsid w:val="00B55DAE"/>
    <w:rsid w:val="00B55E09"/>
    <w:rsid w:val="00B5631C"/>
    <w:rsid w:val="00B56C59"/>
    <w:rsid w:val="00B572C5"/>
    <w:rsid w:val="00B606AD"/>
    <w:rsid w:val="00B60BA7"/>
    <w:rsid w:val="00B60C50"/>
    <w:rsid w:val="00B6114C"/>
    <w:rsid w:val="00B611A1"/>
    <w:rsid w:val="00B61546"/>
    <w:rsid w:val="00B61A86"/>
    <w:rsid w:val="00B61E83"/>
    <w:rsid w:val="00B61F2A"/>
    <w:rsid w:val="00B6273D"/>
    <w:rsid w:val="00B62B06"/>
    <w:rsid w:val="00B62EBB"/>
    <w:rsid w:val="00B63012"/>
    <w:rsid w:val="00B6364D"/>
    <w:rsid w:val="00B63D83"/>
    <w:rsid w:val="00B6455B"/>
    <w:rsid w:val="00B64791"/>
    <w:rsid w:val="00B64DC6"/>
    <w:rsid w:val="00B651BD"/>
    <w:rsid w:val="00B652A9"/>
    <w:rsid w:val="00B6547A"/>
    <w:rsid w:val="00B654ED"/>
    <w:rsid w:val="00B6554A"/>
    <w:rsid w:val="00B6568E"/>
    <w:rsid w:val="00B65AD3"/>
    <w:rsid w:val="00B66648"/>
    <w:rsid w:val="00B66768"/>
    <w:rsid w:val="00B66A17"/>
    <w:rsid w:val="00B66EEC"/>
    <w:rsid w:val="00B6737A"/>
    <w:rsid w:val="00B675EB"/>
    <w:rsid w:val="00B67915"/>
    <w:rsid w:val="00B6798D"/>
    <w:rsid w:val="00B679E5"/>
    <w:rsid w:val="00B67A80"/>
    <w:rsid w:val="00B67CF9"/>
    <w:rsid w:val="00B70213"/>
    <w:rsid w:val="00B70FB8"/>
    <w:rsid w:val="00B719F3"/>
    <w:rsid w:val="00B71A0F"/>
    <w:rsid w:val="00B72262"/>
    <w:rsid w:val="00B72274"/>
    <w:rsid w:val="00B72561"/>
    <w:rsid w:val="00B72726"/>
    <w:rsid w:val="00B72B3C"/>
    <w:rsid w:val="00B731FF"/>
    <w:rsid w:val="00B7368C"/>
    <w:rsid w:val="00B73975"/>
    <w:rsid w:val="00B74205"/>
    <w:rsid w:val="00B7495B"/>
    <w:rsid w:val="00B7503F"/>
    <w:rsid w:val="00B756EB"/>
    <w:rsid w:val="00B759AB"/>
    <w:rsid w:val="00B75A2B"/>
    <w:rsid w:val="00B75CDD"/>
    <w:rsid w:val="00B7622D"/>
    <w:rsid w:val="00B76A62"/>
    <w:rsid w:val="00B76D53"/>
    <w:rsid w:val="00B770E9"/>
    <w:rsid w:val="00B77524"/>
    <w:rsid w:val="00B77712"/>
    <w:rsid w:val="00B777AE"/>
    <w:rsid w:val="00B7782A"/>
    <w:rsid w:val="00B77862"/>
    <w:rsid w:val="00B778E0"/>
    <w:rsid w:val="00B8045D"/>
    <w:rsid w:val="00B807EB"/>
    <w:rsid w:val="00B80B10"/>
    <w:rsid w:val="00B812F2"/>
    <w:rsid w:val="00B82F6B"/>
    <w:rsid w:val="00B83199"/>
    <w:rsid w:val="00B833EE"/>
    <w:rsid w:val="00B83D1A"/>
    <w:rsid w:val="00B83F63"/>
    <w:rsid w:val="00B8446B"/>
    <w:rsid w:val="00B846E2"/>
    <w:rsid w:val="00B84E3D"/>
    <w:rsid w:val="00B85279"/>
    <w:rsid w:val="00B852C9"/>
    <w:rsid w:val="00B85A3F"/>
    <w:rsid w:val="00B85AD3"/>
    <w:rsid w:val="00B86250"/>
    <w:rsid w:val="00B86CCC"/>
    <w:rsid w:val="00B86EB7"/>
    <w:rsid w:val="00B874B0"/>
    <w:rsid w:val="00B87D91"/>
    <w:rsid w:val="00B901F5"/>
    <w:rsid w:val="00B90433"/>
    <w:rsid w:val="00B90C22"/>
    <w:rsid w:val="00B91331"/>
    <w:rsid w:val="00B92601"/>
    <w:rsid w:val="00B92799"/>
    <w:rsid w:val="00B92A05"/>
    <w:rsid w:val="00B92DFC"/>
    <w:rsid w:val="00B93593"/>
    <w:rsid w:val="00B937FD"/>
    <w:rsid w:val="00B93968"/>
    <w:rsid w:val="00B93BC1"/>
    <w:rsid w:val="00B93EBE"/>
    <w:rsid w:val="00B948F7"/>
    <w:rsid w:val="00B94B94"/>
    <w:rsid w:val="00B95210"/>
    <w:rsid w:val="00B958C3"/>
    <w:rsid w:val="00B9618E"/>
    <w:rsid w:val="00B961E1"/>
    <w:rsid w:val="00B963F4"/>
    <w:rsid w:val="00B964A0"/>
    <w:rsid w:val="00B973C2"/>
    <w:rsid w:val="00B9741D"/>
    <w:rsid w:val="00B97C87"/>
    <w:rsid w:val="00BA08D0"/>
    <w:rsid w:val="00BA1459"/>
    <w:rsid w:val="00BA1CF7"/>
    <w:rsid w:val="00BA23A2"/>
    <w:rsid w:val="00BA2EEF"/>
    <w:rsid w:val="00BA380C"/>
    <w:rsid w:val="00BA3F40"/>
    <w:rsid w:val="00BA3FDE"/>
    <w:rsid w:val="00BA4AAC"/>
    <w:rsid w:val="00BA5D5F"/>
    <w:rsid w:val="00BA5F2B"/>
    <w:rsid w:val="00BA6017"/>
    <w:rsid w:val="00BA69E3"/>
    <w:rsid w:val="00BA6AE0"/>
    <w:rsid w:val="00BA6CB5"/>
    <w:rsid w:val="00BA6D6E"/>
    <w:rsid w:val="00BA7052"/>
    <w:rsid w:val="00BA7173"/>
    <w:rsid w:val="00BA7550"/>
    <w:rsid w:val="00BA76BD"/>
    <w:rsid w:val="00BA7E82"/>
    <w:rsid w:val="00BB0132"/>
    <w:rsid w:val="00BB0414"/>
    <w:rsid w:val="00BB05BE"/>
    <w:rsid w:val="00BB0CD1"/>
    <w:rsid w:val="00BB12BA"/>
    <w:rsid w:val="00BB15E4"/>
    <w:rsid w:val="00BB2334"/>
    <w:rsid w:val="00BB2343"/>
    <w:rsid w:val="00BB2748"/>
    <w:rsid w:val="00BB2CC6"/>
    <w:rsid w:val="00BB393D"/>
    <w:rsid w:val="00BB3C99"/>
    <w:rsid w:val="00BB48D9"/>
    <w:rsid w:val="00BB530C"/>
    <w:rsid w:val="00BB5349"/>
    <w:rsid w:val="00BB554E"/>
    <w:rsid w:val="00BB5A13"/>
    <w:rsid w:val="00BB60B1"/>
    <w:rsid w:val="00BB6232"/>
    <w:rsid w:val="00BB62D2"/>
    <w:rsid w:val="00BB695F"/>
    <w:rsid w:val="00BB6979"/>
    <w:rsid w:val="00BB750F"/>
    <w:rsid w:val="00BB76D5"/>
    <w:rsid w:val="00BC03A8"/>
    <w:rsid w:val="00BC0937"/>
    <w:rsid w:val="00BC0E1C"/>
    <w:rsid w:val="00BC1368"/>
    <w:rsid w:val="00BC19F1"/>
    <w:rsid w:val="00BC1CDA"/>
    <w:rsid w:val="00BC20F8"/>
    <w:rsid w:val="00BC24FC"/>
    <w:rsid w:val="00BC2681"/>
    <w:rsid w:val="00BC2814"/>
    <w:rsid w:val="00BC2D0C"/>
    <w:rsid w:val="00BC3049"/>
    <w:rsid w:val="00BC3434"/>
    <w:rsid w:val="00BC3697"/>
    <w:rsid w:val="00BC4026"/>
    <w:rsid w:val="00BC46E2"/>
    <w:rsid w:val="00BC55D0"/>
    <w:rsid w:val="00BC5D46"/>
    <w:rsid w:val="00BC5E24"/>
    <w:rsid w:val="00BC6161"/>
    <w:rsid w:val="00BC6825"/>
    <w:rsid w:val="00BC6A0A"/>
    <w:rsid w:val="00BC71F2"/>
    <w:rsid w:val="00BC76DF"/>
    <w:rsid w:val="00BD0038"/>
    <w:rsid w:val="00BD042F"/>
    <w:rsid w:val="00BD068A"/>
    <w:rsid w:val="00BD0CA6"/>
    <w:rsid w:val="00BD15C6"/>
    <w:rsid w:val="00BD17A4"/>
    <w:rsid w:val="00BD1B58"/>
    <w:rsid w:val="00BD2401"/>
    <w:rsid w:val="00BD315D"/>
    <w:rsid w:val="00BD43E2"/>
    <w:rsid w:val="00BD4598"/>
    <w:rsid w:val="00BD4A8F"/>
    <w:rsid w:val="00BD4B64"/>
    <w:rsid w:val="00BD53B1"/>
    <w:rsid w:val="00BD551D"/>
    <w:rsid w:val="00BD5877"/>
    <w:rsid w:val="00BD59FA"/>
    <w:rsid w:val="00BD5AC8"/>
    <w:rsid w:val="00BD6C40"/>
    <w:rsid w:val="00BD6D19"/>
    <w:rsid w:val="00BD71AC"/>
    <w:rsid w:val="00BD7337"/>
    <w:rsid w:val="00BD7DB5"/>
    <w:rsid w:val="00BE0C62"/>
    <w:rsid w:val="00BE10BA"/>
    <w:rsid w:val="00BE1DEB"/>
    <w:rsid w:val="00BE2228"/>
    <w:rsid w:val="00BE239F"/>
    <w:rsid w:val="00BE2856"/>
    <w:rsid w:val="00BE28E0"/>
    <w:rsid w:val="00BE2AF5"/>
    <w:rsid w:val="00BE319A"/>
    <w:rsid w:val="00BE31F9"/>
    <w:rsid w:val="00BE33D3"/>
    <w:rsid w:val="00BE382B"/>
    <w:rsid w:val="00BE433F"/>
    <w:rsid w:val="00BE48C6"/>
    <w:rsid w:val="00BE4909"/>
    <w:rsid w:val="00BE4926"/>
    <w:rsid w:val="00BE4F73"/>
    <w:rsid w:val="00BE51FC"/>
    <w:rsid w:val="00BE67E4"/>
    <w:rsid w:val="00BE6AD0"/>
    <w:rsid w:val="00BE756B"/>
    <w:rsid w:val="00BE7AC9"/>
    <w:rsid w:val="00BF1A95"/>
    <w:rsid w:val="00BF2079"/>
    <w:rsid w:val="00BF239D"/>
    <w:rsid w:val="00BF2431"/>
    <w:rsid w:val="00BF2558"/>
    <w:rsid w:val="00BF2EC2"/>
    <w:rsid w:val="00BF3773"/>
    <w:rsid w:val="00BF3CDA"/>
    <w:rsid w:val="00BF3D56"/>
    <w:rsid w:val="00BF40DB"/>
    <w:rsid w:val="00BF42AE"/>
    <w:rsid w:val="00BF4D9E"/>
    <w:rsid w:val="00BF52B2"/>
    <w:rsid w:val="00BF5526"/>
    <w:rsid w:val="00BF59B4"/>
    <w:rsid w:val="00BF5B55"/>
    <w:rsid w:val="00BF6663"/>
    <w:rsid w:val="00BF6903"/>
    <w:rsid w:val="00BF774E"/>
    <w:rsid w:val="00BF7D4F"/>
    <w:rsid w:val="00C0027E"/>
    <w:rsid w:val="00C00375"/>
    <w:rsid w:val="00C012AE"/>
    <w:rsid w:val="00C01502"/>
    <w:rsid w:val="00C01C96"/>
    <w:rsid w:val="00C01DA0"/>
    <w:rsid w:val="00C021B1"/>
    <w:rsid w:val="00C0311E"/>
    <w:rsid w:val="00C03CB2"/>
    <w:rsid w:val="00C04145"/>
    <w:rsid w:val="00C041D9"/>
    <w:rsid w:val="00C04353"/>
    <w:rsid w:val="00C04C31"/>
    <w:rsid w:val="00C05208"/>
    <w:rsid w:val="00C05313"/>
    <w:rsid w:val="00C05755"/>
    <w:rsid w:val="00C05A60"/>
    <w:rsid w:val="00C05D02"/>
    <w:rsid w:val="00C064A2"/>
    <w:rsid w:val="00C074E8"/>
    <w:rsid w:val="00C07C6F"/>
    <w:rsid w:val="00C07CF1"/>
    <w:rsid w:val="00C106D0"/>
    <w:rsid w:val="00C1072C"/>
    <w:rsid w:val="00C107C4"/>
    <w:rsid w:val="00C115C1"/>
    <w:rsid w:val="00C125C0"/>
    <w:rsid w:val="00C12955"/>
    <w:rsid w:val="00C13382"/>
    <w:rsid w:val="00C13AC9"/>
    <w:rsid w:val="00C140DA"/>
    <w:rsid w:val="00C142EB"/>
    <w:rsid w:val="00C14C1A"/>
    <w:rsid w:val="00C15314"/>
    <w:rsid w:val="00C15434"/>
    <w:rsid w:val="00C15A84"/>
    <w:rsid w:val="00C15E55"/>
    <w:rsid w:val="00C16835"/>
    <w:rsid w:val="00C1771E"/>
    <w:rsid w:val="00C17BDC"/>
    <w:rsid w:val="00C2052B"/>
    <w:rsid w:val="00C20A09"/>
    <w:rsid w:val="00C210C7"/>
    <w:rsid w:val="00C2186F"/>
    <w:rsid w:val="00C21CDE"/>
    <w:rsid w:val="00C21F5E"/>
    <w:rsid w:val="00C22789"/>
    <w:rsid w:val="00C23988"/>
    <w:rsid w:val="00C23B66"/>
    <w:rsid w:val="00C23F24"/>
    <w:rsid w:val="00C247B5"/>
    <w:rsid w:val="00C24B25"/>
    <w:rsid w:val="00C24B6A"/>
    <w:rsid w:val="00C2531D"/>
    <w:rsid w:val="00C254F3"/>
    <w:rsid w:val="00C25887"/>
    <w:rsid w:val="00C262CB"/>
    <w:rsid w:val="00C26311"/>
    <w:rsid w:val="00C2676D"/>
    <w:rsid w:val="00C26A5C"/>
    <w:rsid w:val="00C26BB8"/>
    <w:rsid w:val="00C27291"/>
    <w:rsid w:val="00C27562"/>
    <w:rsid w:val="00C3035B"/>
    <w:rsid w:val="00C32413"/>
    <w:rsid w:val="00C33444"/>
    <w:rsid w:val="00C33533"/>
    <w:rsid w:val="00C33827"/>
    <w:rsid w:val="00C33AE3"/>
    <w:rsid w:val="00C33F3F"/>
    <w:rsid w:val="00C342D3"/>
    <w:rsid w:val="00C349BC"/>
    <w:rsid w:val="00C34AED"/>
    <w:rsid w:val="00C35203"/>
    <w:rsid w:val="00C35835"/>
    <w:rsid w:val="00C35FFA"/>
    <w:rsid w:val="00C36650"/>
    <w:rsid w:val="00C36BCC"/>
    <w:rsid w:val="00C36C57"/>
    <w:rsid w:val="00C37245"/>
    <w:rsid w:val="00C37542"/>
    <w:rsid w:val="00C3764A"/>
    <w:rsid w:val="00C40468"/>
    <w:rsid w:val="00C404D0"/>
    <w:rsid w:val="00C408A1"/>
    <w:rsid w:val="00C4092D"/>
    <w:rsid w:val="00C40B82"/>
    <w:rsid w:val="00C40D0B"/>
    <w:rsid w:val="00C40EB5"/>
    <w:rsid w:val="00C414A0"/>
    <w:rsid w:val="00C42674"/>
    <w:rsid w:val="00C43073"/>
    <w:rsid w:val="00C432A6"/>
    <w:rsid w:val="00C43303"/>
    <w:rsid w:val="00C436B1"/>
    <w:rsid w:val="00C43AF0"/>
    <w:rsid w:val="00C43B96"/>
    <w:rsid w:val="00C44504"/>
    <w:rsid w:val="00C44B12"/>
    <w:rsid w:val="00C44C46"/>
    <w:rsid w:val="00C457E7"/>
    <w:rsid w:val="00C45AE8"/>
    <w:rsid w:val="00C45E57"/>
    <w:rsid w:val="00C46570"/>
    <w:rsid w:val="00C468BC"/>
    <w:rsid w:val="00C46D47"/>
    <w:rsid w:val="00C472A8"/>
    <w:rsid w:val="00C47348"/>
    <w:rsid w:val="00C47A50"/>
    <w:rsid w:val="00C47E77"/>
    <w:rsid w:val="00C50247"/>
    <w:rsid w:val="00C50B3B"/>
    <w:rsid w:val="00C50B8B"/>
    <w:rsid w:val="00C51889"/>
    <w:rsid w:val="00C51F30"/>
    <w:rsid w:val="00C52437"/>
    <w:rsid w:val="00C526DB"/>
    <w:rsid w:val="00C53221"/>
    <w:rsid w:val="00C538B1"/>
    <w:rsid w:val="00C53987"/>
    <w:rsid w:val="00C53A90"/>
    <w:rsid w:val="00C54013"/>
    <w:rsid w:val="00C5405E"/>
    <w:rsid w:val="00C5406F"/>
    <w:rsid w:val="00C5431E"/>
    <w:rsid w:val="00C54EC5"/>
    <w:rsid w:val="00C55BCC"/>
    <w:rsid w:val="00C56046"/>
    <w:rsid w:val="00C566CD"/>
    <w:rsid w:val="00C56B15"/>
    <w:rsid w:val="00C57A7F"/>
    <w:rsid w:val="00C60846"/>
    <w:rsid w:val="00C611E3"/>
    <w:rsid w:val="00C615A0"/>
    <w:rsid w:val="00C630EB"/>
    <w:rsid w:val="00C63201"/>
    <w:rsid w:val="00C63B17"/>
    <w:rsid w:val="00C65A60"/>
    <w:rsid w:val="00C65EB5"/>
    <w:rsid w:val="00C6630C"/>
    <w:rsid w:val="00C66C41"/>
    <w:rsid w:val="00C66E84"/>
    <w:rsid w:val="00C673DF"/>
    <w:rsid w:val="00C67B72"/>
    <w:rsid w:val="00C67FE0"/>
    <w:rsid w:val="00C7003A"/>
    <w:rsid w:val="00C705CB"/>
    <w:rsid w:val="00C7090C"/>
    <w:rsid w:val="00C70A37"/>
    <w:rsid w:val="00C70ADA"/>
    <w:rsid w:val="00C70FAD"/>
    <w:rsid w:val="00C713DB"/>
    <w:rsid w:val="00C71582"/>
    <w:rsid w:val="00C72067"/>
    <w:rsid w:val="00C73195"/>
    <w:rsid w:val="00C73D10"/>
    <w:rsid w:val="00C74933"/>
    <w:rsid w:val="00C749A5"/>
    <w:rsid w:val="00C75156"/>
    <w:rsid w:val="00C75386"/>
    <w:rsid w:val="00C754CC"/>
    <w:rsid w:val="00C75FA6"/>
    <w:rsid w:val="00C763B1"/>
    <w:rsid w:val="00C765F7"/>
    <w:rsid w:val="00C76FBA"/>
    <w:rsid w:val="00C774E8"/>
    <w:rsid w:val="00C776FA"/>
    <w:rsid w:val="00C77AD6"/>
    <w:rsid w:val="00C80733"/>
    <w:rsid w:val="00C816F8"/>
    <w:rsid w:val="00C82330"/>
    <w:rsid w:val="00C82771"/>
    <w:rsid w:val="00C82BE6"/>
    <w:rsid w:val="00C82F28"/>
    <w:rsid w:val="00C8337D"/>
    <w:rsid w:val="00C836F0"/>
    <w:rsid w:val="00C83AEE"/>
    <w:rsid w:val="00C83D61"/>
    <w:rsid w:val="00C84031"/>
    <w:rsid w:val="00C84D83"/>
    <w:rsid w:val="00C84FE7"/>
    <w:rsid w:val="00C8506E"/>
    <w:rsid w:val="00C85150"/>
    <w:rsid w:val="00C85586"/>
    <w:rsid w:val="00C859B8"/>
    <w:rsid w:val="00C86430"/>
    <w:rsid w:val="00C86517"/>
    <w:rsid w:val="00C86519"/>
    <w:rsid w:val="00C8690F"/>
    <w:rsid w:val="00C8782D"/>
    <w:rsid w:val="00C90068"/>
    <w:rsid w:val="00C900F7"/>
    <w:rsid w:val="00C906E2"/>
    <w:rsid w:val="00C90C66"/>
    <w:rsid w:val="00C9109C"/>
    <w:rsid w:val="00C911D2"/>
    <w:rsid w:val="00C91530"/>
    <w:rsid w:val="00C919F9"/>
    <w:rsid w:val="00C92117"/>
    <w:rsid w:val="00C92405"/>
    <w:rsid w:val="00C93387"/>
    <w:rsid w:val="00C93AB1"/>
    <w:rsid w:val="00C94196"/>
    <w:rsid w:val="00C945EF"/>
    <w:rsid w:val="00C948F8"/>
    <w:rsid w:val="00C95228"/>
    <w:rsid w:val="00C95598"/>
    <w:rsid w:val="00C956F7"/>
    <w:rsid w:val="00C957E4"/>
    <w:rsid w:val="00C96448"/>
    <w:rsid w:val="00C96641"/>
    <w:rsid w:val="00C96B5D"/>
    <w:rsid w:val="00C971F8"/>
    <w:rsid w:val="00C97999"/>
    <w:rsid w:val="00CA0279"/>
    <w:rsid w:val="00CA06E4"/>
    <w:rsid w:val="00CA0903"/>
    <w:rsid w:val="00CA0AF2"/>
    <w:rsid w:val="00CA0DB3"/>
    <w:rsid w:val="00CA0F47"/>
    <w:rsid w:val="00CA0F8D"/>
    <w:rsid w:val="00CA11C9"/>
    <w:rsid w:val="00CA1274"/>
    <w:rsid w:val="00CA15B7"/>
    <w:rsid w:val="00CA1F43"/>
    <w:rsid w:val="00CA22B2"/>
    <w:rsid w:val="00CA27C9"/>
    <w:rsid w:val="00CA29D2"/>
    <w:rsid w:val="00CA2E45"/>
    <w:rsid w:val="00CA3192"/>
    <w:rsid w:val="00CA3886"/>
    <w:rsid w:val="00CA46A6"/>
    <w:rsid w:val="00CA4ACB"/>
    <w:rsid w:val="00CA575C"/>
    <w:rsid w:val="00CA5895"/>
    <w:rsid w:val="00CA5B16"/>
    <w:rsid w:val="00CA5F97"/>
    <w:rsid w:val="00CA6D08"/>
    <w:rsid w:val="00CA7869"/>
    <w:rsid w:val="00CB0326"/>
    <w:rsid w:val="00CB0C7F"/>
    <w:rsid w:val="00CB0CC7"/>
    <w:rsid w:val="00CB18CB"/>
    <w:rsid w:val="00CB1D40"/>
    <w:rsid w:val="00CB1E87"/>
    <w:rsid w:val="00CB2658"/>
    <w:rsid w:val="00CB35CA"/>
    <w:rsid w:val="00CB39D3"/>
    <w:rsid w:val="00CB4014"/>
    <w:rsid w:val="00CB4090"/>
    <w:rsid w:val="00CB4B2A"/>
    <w:rsid w:val="00CB503B"/>
    <w:rsid w:val="00CB5125"/>
    <w:rsid w:val="00CB5132"/>
    <w:rsid w:val="00CB51C6"/>
    <w:rsid w:val="00CB51EA"/>
    <w:rsid w:val="00CB5374"/>
    <w:rsid w:val="00CB5439"/>
    <w:rsid w:val="00CB55CB"/>
    <w:rsid w:val="00CB5D1E"/>
    <w:rsid w:val="00CB5F01"/>
    <w:rsid w:val="00CB684F"/>
    <w:rsid w:val="00CB6BDE"/>
    <w:rsid w:val="00CB7064"/>
    <w:rsid w:val="00CB737E"/>
    <w:rsid w:val="00CB7589"/>
    <w:rsid w:val="00CB78B8"/>
    <w:rsid w:val="00CB7D1B"/>
    <w:rsid w:val="00CC01D7"/>
    <w:rsid w:val="00CC06E5"/>
    <w:rsid w:val="00CC0FD1"/>
    <w:rsid w:val="00CC15F2"/>
    <w:rsid w:val="00CC1A49"/>
    <w:rsid w:val="00CC1D82"/>
    <w:rsid w:val="00CC1DE6"/>
    <w:rsid w:val="00CC297B"/>
    <w:rsid w:val="00CC3116"/>
    <w:rsid w:val="00CC3AEF"/>
    <w:rsid w:val="00CC3BEF"/>
    <w:rsid w:val="00CC5263"/>
    <w:rsid w:val="00CC5DFB"/>
    <w:rsid w:val="00CC5EDB"/>
    <w:rsid w:val="00CC64EF"/>
    <w:rsid w:val="00CC6834"/>
    <w:rsid w:val="00CC6D3B"/>
    <w:rsid w:val="00CC6F49"/>
    <w:rsid w:val="00CC7131"/>
    <w:rsid w:val="00CC7A8D"/>
    <w:rsid w:val="00CC7A92"/>
    <w:rsid w:val="00CC7E6D"/>
    <w:rsid w:val="00CD06D7"/>
    <w:rsid w:val="00CD0C9A"/>
    <w:rsid w:val="00CD0CCE"/>
    <w:rsid w:val="00CD283E"/>
    <w:rsid w:val="00CD2B95"/>
    <w:rsid w:val="00CD2E83"/>
    <w:rsid w:val="00CD330E"/>
    <w:rsid w:val="00CD3A9F"/>
    <w:rsid w:val="00CD45AD"/>
    <w:rsid w:val="00CD4739"/>
    <w:rsid w:val="00CD4CD2"/>
    <w:rsid w:val="00CD4DA4"/>
    <w:rsid w:val="00CD50EC"/>
    <w:rsid w:val="00CD5180"/>
    <w:rsid w:val="00CD5462"/>
    <w:rsid w:val="00CD550B"/>
    <w:rsid w:val="00CD55BF"/>
    <w:rsid w:val="00CD5821"/>
    <w:rsid w:val="00CD5A24"/>
    <w:rsid w:val="00CD6484"/>
    <w:rsid w:val="00CD6F70"/>
    <w:rsid w:val="00CD7A97"/>
    <w:rsid w:val="00CE0EAC"/>
    <w:rsid w:val="00CE1284"/>
    <w:rsid w:val="00CE1C2A"/>
    <w:rsid w:val="00CE2382"/>
    <w:rsid w:val="00CE26AD"/>
    <w:rsid w:val="00CE26E7"/>
    <w:rsid w:val="00CE2D90"/>
    <w:rsid w:val="00CE2F93"/>
    <w:rsid w:val="00CE3923"/>
    <w:rsid w:val="00CE46B6"/>
    <w:rsid w:val="00CE4EB8"/>
    <w:rsid w:val="00CE583A"/>
    <w:rsid w:val="00CE5866"/>
    <w:rsid w:val="00CE5ECD"/>
    <w:rsid w:val="00CE61B1"/>
    <w:rsid w:val="00CE6D98"/>
    <w:rsid w:val="00CE6DA5"/>
    <w:rsid w:val="00CE6ED8"/>
    <w:rsid w:val="00CE7078"/>
    <w:rsid w:val="00CE7114"/>
    <w:rsid w:val="00CE76B9"/>
    <w:rsid w:val="00CE77D2"/>
    <w:rsid w:val="00CE78A8"/>
    <w:rsid w:val="00CE78C2"/>
    <w:rsid w:val="00CE78EB"/>
    <w:rsid w:val="00CF0522"/>
    <w:rsid w:val="00CF05B5"/>
    <w:rsid w:val="00CF1708"/>
    <w:rsid w:val="00CF1C7A"/>
    <w:rsid w:val="00CF1CE2"/>
    <w:rsid w:val="00CF2089"/>
    <w:rsid w:val="00CF222C"/>
    <w:rsid w:val="00CF2386"/>
    <w:rsid w:val="00CF2A97"/>
    <w:rsid w:val="00CF2CE7"/>
    <w:rsid w:val="00CF35BD"/>
    <w:rsid w:val="00CF3D13"/>
    <w:rsid w:val="00CF3E63"/>
    <w:rsid w:val="00CF3F54"/>
    <w:rsid w:val="00CF3F72"/>
    <w:rsid w:val="00CF416B"/>
    <w:rsid w:val="00CF47D9"/>
    <w:rsid w:val="00CF5D03"/>
    <w:rsid w:val="00CF6598"/>
    <w:rsid w:val="00CF6D31"/>
    <w:rsid w:val="00CF703B"/>
    <w:rsid w:val="00CF72C3"/>
    <w:rsid w:val="00CF78AB"/>
    <w:rsid w:val="00CF795C"/>
    <w:rsid w:val="00D00415"/>
    <w:rsid w:val="00D00A97"/>
    <w:rsid w:val="00D0157F"/>
    <w:rsid w:val="00D01C83"/>
    <w:rsid w:val="00D026F2"/>
    <w:rsid w:val="00D035B9"/>
    <w:rsid w:val="00D04337"/>
    <w:rsid w:val="00D044CC"/>
    <w:rsid w:val="00D048E6"/>
    <w:rsid w:val="00D04D26"/>
    <w:rsid w:val="00D055FF"/>
    <w:rsid w:val="00D05600"/>
    <w:rsid w:val="00D06B38"/>
    <w:rsid w:val="00D06C37"/>
    <w:rsid w:val="00D06CB9"/>
    <w:rsid w:val="00D0728C"/>
    <w:rsid w:val="00D078D6"/>
    <w:rsid w:val="00D07DBB"/>
    <w:rsid w:val="00D07EB3"/>
    <w:rsid w:val="00D1012E"/>
    <w:rsid w:val="00D1025B"/>
    <w:rsid w:val="00D108C0"/>
    <w:rsid w:val="00D1093E"/>
    <w:rsid w:val="00D10E3F"/>
    <w:rsid w:val="00D1157A"/>
    <w:rsid w:val="00D11A12"/>
    <w:rsid w:val="00D14598"/>
    <w:rsid w:val="00D149B4"/>
    <w:rsid w:val="00D149F4"/>
    <w:rsid w:val="00D14DE4"/>
    <w:rsid w:val="00D15AF1"/>
    <w:rsid w:val="00D162EF"/>
    <w:rsid w:val="00D1647C"/>
    <w:rsid w:val="00D16832"/>
    <w:rsid w:val="00D16A07"/>
    <w:rsid w:val="00D16BA0"/>
    <w:rsid w:val="00D17066"/>
    <w:rsid w:val="00D17243"/>
    <w:rsid w:val="00D172DB"/>
    <w:rsid w:val="00D17613"/>
    <w:rsid w:val="00D203AA"/>
    <w:rsid w:val="00D205F9"/>
    <w:rsid w:val="00D20CB1"/>
    <w:rsid w:val="00D21063"/>
    <w:rsid w:val="00D21755"/>
    <w:rsid w:val="00D21C79"/>
    <w:rsid w:val="00D21EE4"/>
    <w:rsid w:val="00D22806"/>
    <w:rsid w:val="00D22A8D"/>
    <w:rsid w:val="00D22D0F"/>
    <w:rsid w:val="00D22FA7"/>
    <w:rsid w:val="00D232F9"/>
    <w:rsid w:val="00D23791"/>
    <w:rsid w:val="00D2402A"/>
    <w:rsid w:val="00D242E6"/>
    <w:rsid w:val="00D25685"/>
    <w:rsid w:val="00D25877"/>
    <w:rsid w:val="00D25B68"/>
    <w:rsid w:val="00D260F9"/>
    <w:rsid w:val="00D26488"/>
    <w:rsid w:val="00D26C76"/>
    <w:rsid w:val="00D275C3"/>
    <w:rsid w:val="00D275C7"/>
    <w:rsid w:val="00D27D7D"/>
    <w:rsid w:val="00D27EB9"/>
    <w:rsid w:val="00D27F74"/>
    <w:rsid w:val="00D30137"/>
    <w:rsid w:val="00D30450"/>
    <w:rsid w:val="00D305E4"/>
    <w:rsid w:val="00D30CDA"/>
    <w:rsid w:val="00D31DF2"/>
    <w:rsid w:val="00D31F2F"/>
    <w:rsid w:val="00D31F6C"/>
    <w:rsid w:val="00D32C24"/>
    <w:rsid w:val="00D32D25"/>
    <w:rsid w:val="00D33040"/>
    <w:rsid w:val="00D33506"/>
    <w:rsid w:val="00D3423F"/>
    <w:rsid w:val="00D34544"/>
    <w:rsid w:val="00D34707"/>
    <w:rsid w:val="00D34C31"/>
    <w:rsid w:val="00D35172"/>
    <w:rsid w:val="00D3519E"/>
    <w:rsid w:val="00D35B57"/>
    <w:rsid w:val="00D35CA4"/>
    <w:rsid w:val="00D36072"/>
    <w:rsid w:val="00D36688"/>
    <w:rsid w:val="00D37032"/>
    <w:rsid w:val="00D37226"/>
    <w:rsid w:val="00D372CD"/>
    <w:rsid w:val="00D3763E"/>
    <w:rsid w:val="00D37E99"/>
    <w:rsid w:val="00D401D9"/>
    <w:rsid w:val="00D4034A"/>
    <w:rsid w:val="00D40935"/>
    <w:rsid w:val="00D40B1A"/>
    <w:rsid w:val="00D40B35"/>
    <w:rsid w:val="00D410C3"/>
    <w:rsid w:val="00D41105"/>
    <w:rsid w:val="00D4353C"/>
    <w:rsid w:val="00D43BA8"/>
    <w:rsid w:val="00D43FC8"/>
    <w:rsid w:val="00D43FEF"/>
    <w:rsid w:val="00D44A57"/>
    <w:rsid w:val="00D4599C"/>
    <w:rsid w:val="00D45AAE"/>
    <w:rsid w:val="00D45B87"/>
    <w:rsid w:val="00D4638F"/>
    <w:rsid w:val="00D46518"/>
    <w:rsid w:val="00D4670F"/>
    <w:rsid w:val="00D46717"/>
    <w:rsid w:val="00D4719B"/>
    <w:rsid w:val="00D47431"/>
    <w:rsid w:val="00D47803"/>
    <w:rsid w:val="00D50B19"/>
    <w:rsid w:val="00D50F7A"/>
    <w:rsid w:val="00D511CB"/>
    <w:rsid w:val="00D515B2"/>
    <w:rsid w:val="00D519E4"/>
    <w:rsid w:val="00D52364"/>
    <w:rsid w:val="00D52952"/>
    <w:rsid w:val="00D52DB6"/>
    <w:rsid w:val="00D530F0"/>
    <w:rsid w:val="00D53D8C"/>
    <w:rsid w:val="00D53F41"/>
    <w:rsid w:val="00D53FFB"/>
    <w:rsid w:val="00D54FC0"/>
    <w:rsid w:val="00D554D0"/>
    <w:rsid w:val="00D5559F"/>
    <w:rsid w:val="00D55A9D"/>
    <w:rsid w:val="00D56261"/>
    <w:rsid w:val="00D565C5"/>
    <w:rsid w:val="00D56998"/>
    <w:rsid w:val="00D56A01"/>
    <w:rsid w:val="00D56A66"/>
    <w:rsid w:val="00D56E97"/>
    <w:rsid w:val="00D5799A"/>
    <w:rsid w:val="00D60292"/>
    <w:rsid w:val="00D60A39"/>
    <w:rsid w:val="00D60FFD"/>
    <w:rsid w:val="00D6146C"/>
    <w:rsid w:val="00D619AF"/>
    <w:rsid w:val="00D61BB6"/>
    <w:rsid w:val="00D61FF8"/>
    <w:rsid w:val="00D621CA"/>
    <w:rsid w:val="00D628AD"/>
    <w:rsid w:val="00D62B21"/>
    <w:rsid w:val="00D62EC9"/>
    <w:rsid w:val="00D63D2F"/>
    <w:rsid w:val="00D64119"/>
    <w:rsid w:val="00D645FB"/>
    <w:rsid w:val="00D64A38"/>
    <w:rsid w:val="00D64C0A"/>
    <w:rsid w:val="00D64E53"/>
    <w:rsid w:val="00D650F1"/>
    <w:rsid w:val="00D65414"/>
    <w:rsid w:val="00D66195"/>
    <w:rsid w:val="00D6620F"/>
    <w:rsid w:val="00D66217"/>
    <w:rsid w:val="00D66CA7"/>
    <w:rsid w:val="00D67682"/>
    <w:rsid w:val="00D70FC0"/>
    <w:rsid w:val="00D71056"/>
    <w:rsid w:val="00D7148C"/>
    <w:rsid w:val="00D71862"/>
    <w:rsid w:val="00D71CC7"/>
    <w:rsid w:val="00D71DCA"/>
    <w:rsid w:val="00D723EB"/>
    <w:rsid w:val="00D7241C"/>
    <w:rsid w:val="00D72924"/>
    <w:rsid w:val="00D72A69"/>
    <w:rsid w:val="00D72BD1"/>
    <w:rsid w:val="00D72E41"/>
    <w:rsid w:val="00D73944"/>
    <w:rsid w:val="00D73CC2"/>
    <w:rsid w:val="00D742FB"/>
    <w:rsid w:val="00D74362"/>
    <w:rsid w:val="00D7473D"/>
    <w:rsid w:val="00D74E65"/>
    <w:rsid w:val="00D75FD4"/>
    <w:rsid w:val="00D763FB"/>
    <w:rsid w:val="00D770BC"/>
    <w:rsid w:val="00D772E9"/>
    <w:rsid w:val="00D772FB"/>
    <w:rsid w:val="00D77339"/>
    <w:rsid w:val="00D77438"/>
    <w:rsid w:val="00D77613"/>
    <w:rsid w:val="00D77DDC"/>
    <w:rsid w:val="00D802F6"/>
    <w:rsid w:val="00D809B7"/>
    <w:rsid w:val="00D819D0"/>
    <w:rsid w:val="00D81B8A"/>
    <w:rsid w:val="00D827AC"/>
    <w:rsid w:val="00D830A2"/>
    <w:rsid w:val="00D83306"/>
    <w:rsid w:val="00D834B1"/>
    <w:rsid w:val="00D83571"/>
    <w:rsid w:val="00D83E28"/>
    <w:rsid w:val="00D8415D"/>
    <w:rsid w:val="00D84A6F"/>
    <w:rsid w:val="00D84E66"/>
    <w:rsid w:val="00D84F65"/>
    <w:rsid w:val="00D8525B"/>
    <w:rsid w:val="00D852AF"/>
    <w:rsid w:val="00D85373"/>
    <w:rsid w:val="00D85A56"/>
    <w:rsid w:val="00D85DB4"/>
    <w:rsid w:val="00D864CE"/>
    <w:rsid w:val="00D86677"/>
    <w:rsid w:val="00D86AAD"/>
    <w:rsid w:val="00D86AB1"/>
    <w:rsid w:val="00D87D90"/>
    <w:rsid w:val="00D87EFB"/>
    <w:rsid w:val="00D9010D"/>
    <w:rsid w:val="00D90827"/>
    <w:rsid w:val="00D9142A"/>
    <w:rsid w:val="00D91902"/>
    <w:rsid w:val="00D919E2"/>
    <w:rsid w:val="00D91DB1"/>
    <w:rsid w:val="00D92349"/>
    <w:rsid w:val="00D9234D"/>
    <w:rsid w:val="00D93224"/>
    <w:rsid w:val="00D9351C"/>
    <w:rsid w:val="00D93962"/>
    <w:rsid w:val="00D93B43"/>
    <w:rsid w:val="00D93BAB"/>
    <w:rsid w:val="00D94FCD"/>
    <w:rsid w:val="00D953F6"/>
    <w:rsid w:val="00D9555D"/>
    <w:rsid w:val="00D95C4A"/>
    <w:rsid w:val="00D95D1B"/>
    <w:rsid w:val="00D960AD"/>
    <w:rsid w:val="00D9612D"/>
    <w:rsid w:val="00D969A1"/>
    <w:rsid w:val="00D96B30"/>
    <w:rsid w:val="00D96E5C"/>
    <w:rsid w:val="00D97D14"/>
    <w:rsid w:val="00DA0283"/>
    <w:rsid w:val="00DA0D70"/>
    <w:rsid w:val="00DA126C"/>
    <w:rsid w:val="00DA1431"/>
    <w:rsid w:val="00DA14B2"/>
    <w:rsid w:val="00DA14B7"/>
    <w:rsid w:val="00DA1632"/>
    <w:rsid w:val="00DA1977"/>
    <w:rsid w:val="00DA21E0"/>
    <w:rsid w:val="00DA299D"/>
    <w:rsid w:val="00DA2D6C"/>
    <w:rsid w:val="00DA311A"/>
    <w:rsid w:val="00DA314D"/>
    <w:rsid w:val="00DA3486"/>
    <w:rsid w:val="00DA38AB"/>
    <w:rsid w:val="00DA39E2"/>
    <w:rsid w:val="00DA3FF2"/>
    <w:rsid w:val="00DA40A4"/>
    <w:rsid w:val="00DA44B3"/>
    <w:rsid w:val="00DA4576"/>
    <w:rsid w:val="00DA46A4"/>
    <w:rsid w:val="00DA508E"/>
    <w:rsid w:val="00DA520E"/>
    <w:rsid w:val="00DA53EA"/>
    <w:rsid w:val="00DA6081"/>
    <w:rsid w:val="00DA66F9"/>
    <w:rsid w:val="00DA6DC2"/>
    <w:rsid w:val="00DA6FF0"/>
    <w:rsid w:val="00DA7691"/>
    <w:rsid w:val="00DA7AD0"/>
    <w:rsid w:val="00DB00E2"/>
    <w:rsid w:val="00DB1033"/>
    <w:rsid w:val="00DB11D9"/>
    <w:rsid w:val="00DB19D5"/>
    <w:rsid w:val="00DB1E90"/>
    <w:rsid w:val="00DB2133"/>
    <w:rsid w:val="00DB248A"/>
    <w:rsid w:val="00DB26DA"/>
    <w:rsid w:val="00DB298A"/>
    <w:rsid w:val="00DB2A3B"/>
    <w:rsid w:val="00DB2D77"/>
    <w:rsid w:val="00DB2E0B"/>
    <w:rsid w:val="00DB37C5"/>
    <w:rsid w:val="00DB433F"/>
    <w:rsid w:val="00DB43E6"/>
    <w:rsid w:val="00DB45CC"/>
    <w:rsid w:val="00DB471D"/>
    <w:rsid w:val="00DB5224"/>
    <w:rsid w:val="00DB5686"/>
    <w:rsid w:val="00DB5772"/>
    <w:rsid w:val="00DB588A"/>
    <w:rsid w:val="00DB5953"/>
    <w:rsid w:val="00DB59B6"/>
    <w:rsid w:val="00DB5A53"/>
    <w:rsid w:val="00DB5AD5"/>
    <w:rsid w:val="00DB63FC"/>
    <w:rsid w:val="00DB6900"/>
    <w:rsid w:val="00DB69E0"/>
    <w:rsid w:val="00DB6B43"/>
    <w:rsid w:val="00DB7297"/>
    <w:rsid w:val="00DB7306"/>
    <w:rsid w:val="00DC0E92"/>
    <w:rsid w:val="00DC0F3B"/>
    <w:rsid w:val="00DC1B52"/>
    <w:rsid w:val="00DC1C2F"/>
    <w:rsid w:val="00DC20D6"/>
    <w:rsid w:val="00DC214A"/>
    <w:rsid w:val="00DC2767"/>
    <w:rsid w:val="00DC2AFF"/>
    <w:rsid w:val="00DC31F3"/>
    <w:rsid w:val="00DC4288"/>
    <w:rsid w:val="00DC430A"/>
    <w:rsid w:val="00DC43B6"/>
    <w:rsid w:val="00DC4876"/>
    <w:rsid w:val="00DC48E4"/>
    <w:rsid w:val="00DC4B7A"/>
    <w:rsid w:val="00DC4F2F"/>
    <w:rsid w:val="00DC50D4"/>
    <w:rsid w:val="00DC6469"/>
    <w:rsid w:val="00DC65DF"/>
    <w:rsid w:val="00DC70F2"/>
    <w:rsid w:val="00DC7779"/>
    <w:rsid w:val="00DD0CDA"/>
    <w:rsid w:val="00DD1295"/>
    <w:rsid w:val="00DD1446"/>
    <w:rsid w:val="00DD1818"/>
    <w:rsid w:val="00DD1833"/>
    <w:rsid w:val="00DD190D"/>
    <w:rsid w:val="00DD19B4"/>
    <w:rsid w:val="00DD1D62"/>
    <w:rsid w:val="00DD1E28"/>
    <w:rsid w:val="00DD2035"/>
    <w:rsid w:val="00DD2113"/>
    <w:rsid w:val="00DD2184"/>
    <w:rsid w:val="00DD2326"/>
    <w:rsid w:val="00DD2550"/>
    <w:rsid w:val="00DD27E9"/>
    <w:rsid w:val="00DD2D28"/>
    <w:rsid w:val="00DD2D60"/>
    <w:rsid w:val="00DD31DF"/>
    <w:rsid w:val="00DD39E7"/>
    <w:rsid w:val="00DD3BD4"/>
    <w:rsid w:val="00DD45AE"/>
    <w:rsid w:val="00DD49F4"/>
    <w:rsid w:val="00DD598C"/>
    <w:rsid w:val="00DD5D5E"/>
    <w:rsid w:val="00DD5D7C"/>
    <w:rsid w:val="00DD5E7E"/>
    <w:rsid w:val="00DD5ED3"/>
    <w:rsid w:val="00DD61D6"/>
    <w:rsid w:val="00DD644F"/>
    <w:rsid w:val="00DD65E5"/>
    <w:rsid w:val="00DE06ED"/>
    <w:rsid w:val="00DE0A82"/>
    <w:rsid w:val="00DE0C05"/>
    <w:rsid w:val="00DE11EE"/>
    <w:rsid w:val="00DE13F0"/>
    <w:rsid w:val="00DE14C2"/>
    <w:rsid w:val="00DE1927"/>
    <w:rsid w:val="00DE1E1A"/>
    <w:rsid w:val="00DE25DD"/>
    <w:rsid w:val="00DE2AAF"/>
    <w:rsid w:val="00DE3628"/>
    <w:rsid w:val="00DE3AF9"/>
    <w:rsid w:val="00DE4021"/>
    <w:rsid w:val="00DE54A8"/>
    <w:rsid w:val="00DE627A"/>
    <w:rsid w:val="00DE6452"/>
    <w:rsid w:val="00DE65AC"/>
    <w:rsid w:val="00DE686B"/>
    <w:rsid w:val="00DE68CA"/>
    <w:rsid w:val="00DE6A96"/>
    <w:rsid w:val="00DE75A3"/>
    <w:rsid w:val="00DE7725"/>
    <w:rsid w:val="00DE7E71"/>
    <w:rsid w:val="00DF0E0C"/>
    <w:rsid w:val="00DF1087"/>
    <w:rsid w:val="00DF17CF"/>
    <w:rsid w:val="00DF196E"/>
    <w:rsid w:val="00DF1CC0"/>
    <w:rsid w:val="00DF229B"/>
    <w:rsid w:val="00DF2594"/>
    <w:rsid w:val="00DF2722"/>
    <w:rsid w:val="00DF291A"/>
    <w:rsid w:val="00DF2B02"/>
    <w:rsid w:val="00DF3316"/>
    <w:rsid w:val="00DF3715"/>
    <w:rsid w:val="00DF389E"/>
    <w:rsid w:val="00DF3C8B"/>
    <w:rsid w:val="00DF42E0"/>
    <w:rsid w:val="00DF4851"/>
    <w:rsid w:val="00DF4E56"/>
    <w:rsid w:val="00DF55B0"/>
    <w:rsid w:val="00DF63F3"/>
    <w:rsid w:val="00DF653B"/>
    <w:rsid w:val="00DF65EE"/>
    <w:rsid w:val="00DF6A30"/>
    <w:rsid w:val="00DF7159"/>
    <w:rsid w:val="00DF7237"/>
    <w:rsid w:val="00DF73CB"/>
    <w:rsid w:val="00DF7823"/>
    <w:rsid w:val="00DF79DB"/>
    <w:rsid w:val="00DF7EA4"/>
    <w:rsid w:val="00E00573"/>
    <w:rsid w:val="00E00F05"/>
    <w:rsid w:val="00E012D2"/>
    <w:rsid w:val="00E0165F"/>
    <w:rsid w:val="00E0198C"/>
    <w:rsid w:val="00E019D8"/>
    <w:rsid w:val="00E01ECD"/>
    <w:rsid w:val="00E01F70"/>
    <w:rsid w:val="00E02A2D"/>
    <w:rsid w:val="00E02A41"/>
    <w:rsid w:val="00E0375D"/>
    <w:rsid w:val="00E0468D"/>
    <w:rsid w:val="00E04B96"/>
    <w:rsid w:val="00E04F3D"/>
    <w:rsid w:val="00E05295"/>
    <w:rsid w:val="00E05649"/>
    <w:rsid w:val="00E058A4"/>
    <w:rsid w:val="00E058A9"/>
    <w:rsid w:val="00E05A7B"/>
    <w:rsid w:val="00E06A06"/>
    <w:rsid w:val="00E06E94"/>
    <w:rsid w:val="00E07522"/>
    <w:rsid w:val="00E07B91"/>
    <w:rsid w:val="00E1047B"/>
    <w:rsid w:val="00E10CDA"/>
    <w:rsid w:val="00E11623"/>
    <w:rsid w:val="00E11AD2"/>
    <w:rsid w:val="00E11BDD"/>
    <w:rsid w:val="00E127E6"/>
    <w:rsid w:val="00E1293B"/>
    <w:rsid w:val="00E1295F"/>
    <w:rsid w:val="00E13308"/>
    <w:rsid w:val="00E136CF"/>
    <w:rsid w:val="00E13CD1"/>
    <w:rsid w:val="00E13FF9"/>
    <w:rsid w:val="00E149F0"/>
    <w:rsid w:val="00E14B92"/>
    <w:rsid w:val="00E16078"/>
    <w:rsid w:val="00E16670"/>
    <w:rsid w:val="00E17190"/>
    <w:rsid w:val="00E1784F"/>
    <w:rsid w:val="00E178E4"/>
    <w:rsid w:val="00E17AF9"/>
    <w:rsid w:val="00E2114A"/>
    <w:rsid w:val="00E216E8"/>
    <w:rsid w:val="00E21CF3"/>
    <w:rsid w:val="00E22026"/>
    <w:rsid w:val="00E2205F"/>
    <w:rsid w:val="00E22329"/>
    <w:rsid w:val="00E225E9"/>
    <w:rsid w:val="00E22687"/>
    <w:rsid w:val="00E22CC2"/>
    <w:rsid w:val="00E22F00"/>
    <w:rsid w:val="00E23885"/>
    <w:rsid w:val="00E244ED"/>
    <w:rsid w:val="00E244F8"/>
    <w:rsid w:val="00E24E65"/>
    <w:rsid w:val="00E2500C"/>
    <w:rsid w:val="00E25AC8"/>
    <w:rsid w:val="00E25E5A"/>
    <w:rsid w:val="00E26A75"/>
    <w:rsid w:val="00E26D5C"/>
    <w:rsid w:val="00E26F5B"/>
    <w:rsid w:val="00E274D0"/>
    <w:rsid w:val="00E27DF7"/>
    <w:rsid w:val="00E30149"/>
    <w:rsid w:val="00E301F6"/>
    <w:rsid w:val="00E30578"/>
    <w:rsid w:val="00E30694"/>
    <w:rsid w:val="00E309B5"/>
    <w:rsid w:val="00E30B10"/>
    <w:rsid w:val="00E30D77"/>
    <w:rsid w:val="00E31066"/>
    <w:rsid w:val="00E31123"/>
    <w:rsid w:val="00E31334"/>
    <w:rsid w:val="00E31995"/>
    <w:rsid w:val="00E31FAC"/>
    <w:rsid w:val="00E3237E"/>
    <w:rsid w:val="00E3265B"/>
    <w:rsid w:val="00E3270D"/>
    <w:rsid w:val="00E32817"/>
    <w:rsid w:val="00E32BE2"/>
    <w:rsid w:val="00E33C0B"/>
    <w:rsid w:val="00E33D7E"/>
    <w:rsid w:val="00E33F8E"/>
    <w:rsid w:val="00E3487F"/>
    <w:rsid w:val="00E34B93"/>
    <w:rsid w:val="00E353EB"/>
    <w:rsid w:val="00E35B7C"/>
    <w:rsid w:val="00E369B6"/>
    <w:rsid w:val="00E36A76"/>
    <w:rsid w:val="00E36DCF"/>
    <w:rsid w:val="00E37093"/>
    <w:rsid w:val="00E3772C"/>
    <w:rsid w:val="00E37B83"/>
    <w:rsid w:val="00E40247"/>
    <w:rsid w:val="00E40C6C"/>
    <w:rsid w:val="00E416BF"/>
    <w:rsid w:val="00E416C8"/>
    <w:rsid w:val="00E41F1F"/>
    <w:rsid w:val="00E41F8E"/>
    <w:rsid w:val="00E42088"/>
    <w:rsid w:val="00E4210D"/>
    <w:rsid w:val="00E4227A"/>
    <w:rsid w:val="00E43BA5"/>
    <w:rsid w:val="00E4424C"/>
    <w:rsid w:val="00E4435B"/>
    <w:rsid w:val="00E448DC"/>
    <w:rsid w:val="00E44A4E"/>
    <w:rsid w:val="00E44AB4"/>
    <w:rsid w:val="00E451EE"/>
    <w:rsid w:val="00E4588F"/>
    <w:rsid w:val="00E45F4B"/>
    <w:rsid w:val="00E46511"/>
    <w:rsid w:val="00E465E2"/>
    <w:rsid w:val="00E46763"/>
    <w:rsid w:val="00E46FC1"/>
    <w:rsid w:val="00E47427"/>
    <w:rsid w:val="00E47C33"/>
    <w:rsid w:val="00E50151"/>
    <w:rsid w:val="00E506CE"/>
    <w:rsid w:val="00E50B8E"/>
    <w:rsid w:val="00E51334"/>
    <w:rsid w:val="00E5149D"/>
    <w:rsid w:val="00E519BF"/>
    <w:rsid w:val="00E51A47"/>
    <w:rsid w:val="00E51FA4"/>
    <w:rsid w:val="00E523B2"/>
    <w:rsid w:val="00E52C09"/>
    <w:rsid w:val="00E532F4"/>
    <w:rsid w:val="00E5345C"/>
    <w:rsid w:val="00E53562"/>
    <w:rsid w:val="00E53627"/>
    <w:rsid w:val="00E53F9C"/>
    <w:rsid w:val="00E54170"/>
    <w:rsid w:val="00E55111"/>
    <w:rsid w:val="00E56946"/>
    <w:rsid w:val="00E56A7A"/>
    <w:rsid w:val="00E57DC2"/>
    <w:rsid w:val="00E57FF2"/>
    <w:rsid w:val="00E6015E"/>
    <w:rsid w:val="00E60C59"/>
    <w:rsid w:val="00E62612"/>
    <w:rsid w:val="00E626F8"/>
    <w:rsid w:val="00E62B8A"/>
    <w:rsid w:val="00E62D9C"/>
    <w:rsid w:val="00E62DDB"/>
    <w:rsid w:val="00E63B45"/>
    <w:rsid w:val="00E6482E"/>
    <w:rsid w:val="00E64BEC"/>
    <w:rsid w:val="00E6506A"/>
    <w:rsid w:val="00E6568D"/>
    <w:rsid w:val="00E65DD5"/>
    <w:rsid w:val="00E6616F"/>
    <w:rsid w:val="00E6652B"/>
    <w:rsid w:val="00E6692F"/>
    <w:rsid w:val="00E66F36"/>
    <w:rsid w:val="00E67223"/>
    <w:rsid w:val="00E674EC"/>
    <w:rsid w:val="00E6775A"/>
    <w:rsid w:val="00E67809"/>
    <w:rsid w:val="00E67A03"/>
    <w:rsid w:val="00E67ECB"/>
    <w:rsid w:val="00E70040"/>
    <w:rsid w:val="00E70A2B"/>
    <w:rsid w:val="00E70E26"/>
    <w:rsid w:val="00E70E89"/>
    <w:rsid w:val="00E71893"/>
    <w:rsid w:val="00E719F4"/>
    <w:rsid w:val="00E71AC0"/>
    <w:rsid w:val="00E72509"/>
    <w:rsid w:val="00E72651"/>
    <w:rsid w:val="00E733D7"/>
    <w:rsid w:val="00E73445"/>
    <w:rsid w:val="00E74A34"/>
    <w:rsid w:val="00E74C9F"/>
    <w:rsid w:val="00E75229"/>
    <w:rsid w:val="00E75359"/>
    <w:rsid w:val="00E75522"/>
    <w:rsid w:val="00E75717"/>
    <w:rsid w:val="00E75AA0"/>
    <w:rsid w:val="00E767E5"/>
    <w:rsid w:val="00E76A5E"/>
    <w:rsid w:val="00E77695"/>
    <w:rsid w:val="00E77AA6"/>
    <w:rsid w:val="00E77C74"/>
    <w:rsid w:val="00E77F25"/>
    <w:rsid w:val="00E80320"/>
    <w:rsid w:val="00E80591"/>
    <w:rsid w:val="00E805AB"/>
    <w:rsid w:val="00E809D8"/>
    <w:rsid w:val="00E80BA0"/>
    <w:rsid w:val="00E81184"/>
    <w:rsid w:val="00E81513"/>
    <w:rsid w:val="00E81C75"/>
    <w:rsid w:val="00E8230B"/>
    <w:rsid w:val="00E823C4"/>
    <w:rsid w:val="00E82812"/>
    <w:rsid w:val="00E828D9"/>
    <w:rsid w:val="00E82C7E"/>
    <w:rsid w:val="00E82D17"/>
    <w:rsid w:val="00E82E62"/>
    <w:rsid w:val="00E83E82"/>
    <w:rsid w:val="00E844F9"/>
    <w:rsid w:val="00E84CE4"/>
    <w:rsid w:val="00E84DD8"/>
    <w:rsid w:val="00E850B1"/>
    <w:rsid w:val="00E85D61"/>
    <w:rsid w:val="00E85D63"/>
    <w:rsid w:val="00E86937"/>
    <w:rsid w:val="00E87197"/>
    <w:rsid w:val="00E873B1"/>
    <w:rsid w:val="00E87576"/>
    <w:rsid w:val="00E876EE"/>
    <w:rsid w:val="00E87B76"/>
    <w:rsid w:val="00E87C73"/>
    <w:rsid w:val="00E9010B"/>
    <w:rsid w:val="00E90727"/>
    <w:rsid w:val="00E90B59"/>
    <w:rsid w:val="00E90BBF"/>
    <w:rsid w:val="00E90E6C"/>
    <w:rsid w:val="00E914C3"/>
    <w:rsid w:val="00E91E49"/>
    <w:rsid w:val="00E92264"/>
    <w:rsid w:val="00E931C8"/>
    <w:rsid w:val="00E940A7"/>
    <w:rsid w:val="00E94641"/>
    <w:rsid w:val="00E9517B"/>
    <w:rsid w:val="00E955B7"/>
    <w:rsid w:val="00E95C5E"/>
    <w:rsid w:val="00E969B4"/>
    <w:rsid w:val="00E96A68"/>
    <w:rsid w:val="00E9709B"/>
    <w:rsid w:val="00E970EE"/>
    <w:rsid w:val="00E97172"/>
    <w:rsid w:val="00E97791"/>
    <w:rsid w:val="00E979A1"/>
    <w:rsid w:val="00E979A7"/>
    <w:rsid w:val="00EA0012"/>
    <w:rsid w:val="00EA015F"/>
    <w:rsid w:val="00EA033D"/>
    <w:rsid w:val="00EA058E"/>
    <w:rsid w:val="00EA0DBB"/>
    <w:rsid w:val="00EA2E26"/>
    <w:rsid w:val="00EA3239"/>
    <w:rsid w:val="00EA33A0"/>
    <w:rsid w:val="00EA35A9"/>
    <w:rsid w:val="00EA3686"/>
    <w:rsid w:val="00EA3AE2"/>
    <w:rsid w:val="00EA3C8E"/>
    <w:rsid w:val="00EA49BA"/>
    <w:rsid w:val="00EA4D6C"/>
    <w:rsid w:val="00EA5873"/>
    <w:rsid w:val="00EA5987"/>
    <w:rsid w:val="00EA5B43"/>
    <w:rsid w:val="00EA5B57"/>
    <w:rsid w:val="00EA665D"/>
    <w:rsid w:val="00EA6925"/>
    <w:rsid w:val="00EA76A4"/>
    <w:rsid w:val="00EB044E"/>
    <w:rsid w:val="00EB10B3"/>
    <w:rsid w:val="00EB13F1"/>
    <w:rsid w:val="00EB2185"/>
    <w:rsid w:val="00EB21AA"/>
    <w:rsid w:val="00EB2790"/>
    <w:rsid w:val="00EB2893"/>
    <w:rsid w:val="00EB3690"/>
    <w:rsid w:val="00EB3A9D"/>
    <w:rsid w:val="00EB3E84"/>
    <w:rsid w:val="00EB4C9A"/>
    <w:rsid w:val="00EB4D84"/>
    <w:rsid w:val="00EB4EDA"/>
    <w:rsid w:val="00EB5000"/>
    <w:rsid w:val="00EB52C5"/>
    <w:rsid w:val="00EB5365"/>
    <w:rsid w:val="00EB546B"/>
    <w:rsid w:val="00EB54DA"/>
    <w:rsid w:val="00EB5C00"/>
    <w:rsid w:val="00EB6194"/>
    <w:rsid w:val="00EB6650"/>
    <w:rsid w:val="00EB6A7D"/>
    <w:rsid w:val="00EB7B5B"/>
    <w:rsid w:val="00EC057A"/>
    <w:rsid w:val="00EC0647"/>
    <w:rsid w:val="00EC0793"/>
    <w:rsid w:val="00EC08A7"/>
    <w:rsid w:val="00EC08C2"/>
    <w:rsid w:val="00EC0BA2"/>
    <w:rsid w:val="00EC0E2A"/>
    <w:rsid w:val="00EC1C2D"/>
    <w:rsid w:val="00EC22E6"/>
    <w:rsid w:val="00EC2532"/>
    <w:rsid w:val="00EC26CC"/>
    <w:rsid w:val="00EC274F"/>
    <w:rsid w:val="00EC2D98"/>
    <w:rsid w:val="00EC2DFF"/>
    <w:rsid w:val="00EC2FD9"/>
    <w:rsid w:val="00EC3542"/>
    <w:rsid w:val="00EC3EA5"/>
    <w:rsid w:val="00EC3FE5"/>
    <w:rsid w:val="00EC4370"/>
    <w:rsid w:val="00EC47B4"/>
    <w:rsid w:val="00EC493B"/>
    <w:rsid w:val="00EC49FA"/>
    <w:rsid w:val="00EC5072"/>
    <w:rsid w:val="00EC534D"/>
    <w:rsid w:val="00EC5693"/>
    <w:rsid w:val="00EC5761"/>
    <w:rsid w:val="00EC58F5"/>
    <w:rsid w:val="00EC5AF8"/>
    <w:rsid w:val="00EC5BD1"/>
    <w:rsid w:val="00EC618F"/>
    <w:rsid w:val="00EC6E43"/>
    <w:rsid w:val="00EC7993"/>
    <w:rsid w:val="00EC7D39"/>
    <w:rsid w:val="00ED009B"/>
    <w:rsid w:val="00ED0B78"/>
    <w:rsid w:val="00ED0CD6"/>
    <w:rsid w:val="00ED0EDE"/>
    <w:rsid w:val="00ED13E4"/>
    <w:rsid w:val="00ED15DF"/>
    <w:rsid w:val="00ED18F1"/>
    <w:rsid w:val="00ED1DF0"/>
    <w:rsid w:val="00ED1ECD"/>
    <w:rsid w:val="00ED259B"/>
    <w:rsid w:val="00ED264F"/>
    <w:rsid w:val="00ED32D8"/>
    <w:rsid w:val="00ED34B2"/>
    <w:rsid w:val="00ED3505"/>
    <w:rsid w:val="00ED3ADD"/>
    <w:rsid w:val="00ED3C83"/>
    <w:rsid w:val="00ED4080"/>
    <w:rsid w:val="00ED47C0"/>
    <w:rsid w:val="00ED48DF"/>
    <w:rsid w:val="00ED4C7A"/>
    <w:rsid w:val="00ED4EB0"/>
    <w:rsid w:val="00ED56AD"/>
    <w:rsid w:val="00ED585E"/>
    <w:rsid w:val="00ED66B0"/>
    <w:rsid w:val="00ED7990"/>
    <w:rsid w:val="00ED7FBD"/>
    <w:rsid w:val="00EE0135"/>
    <w:rsid w:val="00EE03B4"/>
    <w:rsid w:val="00EE0690"/>
    <w:rsid w:val="00EE1063"/>
    <w:rsid w:val="00EE1145"/>
    <w:rsid w:val="00EE1CF2"/>
    <w:rsid w:val="00EE2022"/>
    <w:rsid w:val="00EE20BF"/>
    <w:rsid w:val="00EE2FB1"/>
    <w:rsid w:val="00EE316A"/>
    <w:rsid w:val="00EE347A"/>
    <w:rsid w:val="00EE3542"/>
    <w:rsid w:val="00EE3AC8"/>
    <w:rsid w:val="00EE3CB6"/>
    <w:rsid w:val="00EE41A8"/>
    <w:rsid w:val="00EE47BE"/>
    <w:rsid w:val="00EE48E1"/>
    <w:rsid w:val="00EE4B00"/>
    <w:rsid w:val="00EE58DA"/>
    <w:rsid w:val="00EE593F"/>
    <w:rsid w:val="00EE5A00"/>
    <w:rsid w:val="00EE637A"/>
    <w:rsid w:val="00EE6CEB"/>
    <w:rsid w:val="00EE6E9E"/>
    <w:rsid w:val="00EE79D5"/>
    <w:rsid w:val="00EF02EC"/>
    <w:rsid w:val="00EF0308"/>
    <w:rsid w:val="00EF0900"/>
    <w:rsid w:val="00EF0B80"/>
    <w:rsid w:val="00EF0BB9"/>
    <w:rsid w:val="00EF1930"/>
    <w:rsid w:val="00EF1A25"/>
    <w:rsid w:val="00EF1AD4"/>
    <w:rsid w:val="00EF1B2D"/>
    <w:rsid w:val="00EF1BAD"/>
    <w:rsid w:val="00EF2A6A"/>
    <w:rsid w:val="00EF2B66"/>
    <w:rsid w:val="00EF2C0E"/>
    <w:rsid w:val="00EF2DDD"/>
    <w:rsid w:val="00EF36CF"/>
    <w:rsid w:val="00EF3BF2"/>
    <w:rsid w:val="00EF3CAA"/>
    <w:rsid w:val="00EF45F8"/>
    <w:rsid w:val="00EF4B6B"/>
    <w:rsid w:val="00EF5151"/>
    <w:rsid w:val="00EF568A"/>
    <w:rsid w:val="00EF7E8D"/>
    <w:rsid w:val="00F020FE"/>
    <w:rsid w:val="00F0274B"/>
    <w:rsid w:val="00F02900"/>
    <w:rsid w:val="00F02EE5"/>
    <w:rsid w:val="00F033A6"/>
    <w:rsid w:val="00F038DA"/>
    <w:rsid w:val="00F044D1"/>
    <w:rsid w:val="00F04A32"/>
    <w:rsid w:val="00F04AEA"/>
    <w:rsid w:val="00F04FAF"/>
    <w:rsid w:val="00F05012"/>
    <w:rsid w:val="00F054BE"/>
    <w:rsid w:val="00F0597F"/>
    <w:rsid w:val="00F05BD2"/>
    <w:rsid w:val="00F05BF8"/>
    <w:rsid w:val="00F05D1B"/>
    <w:rsid w:val="00F05F59"/>
    <w:rsid w:val="00F06045"/>
    <w:rsid w:val="00F062C2"/>
    <w:rsid w:val="00F062F6"/>
    <w:rsid w:val="00F07120"/>
    <w:rsid w:val="00F0734C"/>
    <w:rsid w:val="00F07A5A"/>
    <w:rsid w:val="00F100A7"/>
    <w:rsid w:val="00F10651"/>
    <w:rsid w:val="00F10F22"/>
    <w:rsid w:val="00F1123D"/>
    <w:rsid w:val="00F11BA2"/>
    <w:rsid w:val="00F11E3D"/>
    <w:rsid w:val="00F11E98"/>
    <w:rsid w:val="00F1215E"/>
    <w:rsid w:val="00F1268A"/>
    <w:rsid w:val="00F12D06"/>
    <w:rsid w:val="00F13241"/>
    <w:rsid w:val="00F13498"/>
    <w:rsid w:val="00F13AD9"/>
    <w:rsid w:val="00F13FFF"/>
    <w:rsid w:val="00F1417B"/>
    <w:rsid w:val="00F144E5"/>
    <w:rsid w:val="00F14537"/>
    <w:rsid w:val="00F14559"/>
    <w:rsid w:val="00F1462D"/>
    <w:rsid w:val="00F14AFF"/>
    <w:rsid w:val="00F154D4"/>
    <w:rsid w:val="00F15681"/>
    <w:rsid w:val="00F15DC6"/>
    <w:rsid w:val="00F15F8D"/>
    <w:rsid w:val="00F160E0"/>
    <w:rsid w:val="00F16A68"/>
    <w:rsid w:val="00F16D47"/>
    <w:rsid w:val="00F171D3"/>
    <w:rsid w:val="00F175E0"/>
    <w:rsid w:val="00F176EE"/>
    <w:rsid w:val="00F17977"/>
    <w:rsid w:val="00F17EC5"/>
    <w:rsid w:val="00F2035D"/>
    <w:rsid w:val="00F20CBD"/>
    <w:rsid w:val="00F21973"/>
    <w:rsid w:val="00F21C5B"/>
    <w:rsid w:val="00F21CA5"/>
    <w:rsid w:val="00F22A75"/>
    <w:rsid w:val="00F23123"/>
    <w:rsid w:val="00F234E6"/>
    <w:rsid w:val="00F237CC"/>
    <w:rsid w:val="00F23959"/>
    <w:rsid w:val="00F23D62"/>
    <w:rsid w:val="00F23EAB"/>
    <w:rsid w:val="00F24164"/>
    <w:rsid w:val="00F242F9"/>
    <w:rsid w:val="00F24565"/>
    <w:rsid w:val="00F247E1"/>
    <w:rsid w:val="00F25A18"/>
    <w:rsid w:val="00F25B43"/>
    <w:rsid w:val="00F25CB5"/>
    <w:rsid w:val="00F25D96"/>
    <w:rsid w:val="00F26740"/>
    <w:rsid w:val="00F2675B"/>
    <w:rsid w:val="00F26897"/>
    <w:rsid w:val="00F26936"/>
    <w:rsid w:val="00F26C3F"/>
    <w:rsid w:val="00F26D33"/>
    <w:rsid w:val="00F27C81"/>
    <w:rsid w:val="00F27D25"/>
    <w:rsid w:val="00F30431"/>
    <w:rsid w:val="00F30ABB"/>
    <w:rsid w:val="00F30BA0"/>
    <w:rsid w:val="00F3153D"/>
    <w:rsid w:val="00F317A2"/>
    <w:rsid w:val="00F3183E"/>
    <w:rsid w:val="00F320C6"/>
    <w:rsid w:val="00F32138"/>
    <w:rsid w:val="00F3268E"/>
    <w:rsid w:val="00F327FB"/>
    <w:rsid w:val="00F33416"/>
    <w:rsid w:val="00F33953"/>
    <w:rsid w:val="00F33ACB"/>
    <w:rsid w:val="00F33C11"/>
    <w:rsid w:val="00F33E50"/>
    <w:rsid w:val="00F34252"/>
    <w:rsid w:val="00F34429"/>
    <w:rsid w:val="00F344EA"/>
    <w:rsid w:val="00F35482"/>
    <w:rsid w:val="00F35C0C"/>
    <w:rsid w:val="00F363BD"/>
    <w:rsid w:val="00F36A8A"/>
    <w:rsid w:val="00F37409"/>
    <w:rsid w:val="00F377A7"/>
    <w:rsid w:val="00F37B22"/>
    <w:rsid w:val="00F37EE2"/>
    <w:rsid w:val="00F403D4"/>
    <w:rsid w:val="00F40E84"/>
    <w:rsid w:val="00F418BE"/>
    <w:rsid w:val="00F420D0"/>
    <w:rsid w:val="00F42131"/>
    <w:rsid w:val="00F4238E"/>
    <w:rsid w:val="00F42C11"/>
    <w:rsid w:val="00F439F3"/>
    <w:rsid w:val="00F43C64"/>
    <w:rsid w:val="00F43DD5"/>
    <w:rsid w:val="00F43F19"/>
    <w:rsid w:val="00F43FA8"/>
    <w:rsid w:val="00F44021"/>
    <w:rsid w:val="00F44302"/>
    <w:rsid w:val="00F4558F"/>
    <w:rsid w:val="00F4597B"/>
    <w:rsid w:val="00F45AAA"/>
    <w:rsid w:val="00F46011"/>
    <w:rsid w:val="00F46849"/>
    <w:rsid w:val="00F46E80"/>
    <w:rsid w:val="00F46EAB"/>
    <w:rsid w:val="00F46FA8"/>
    <w:rsid w:val="00F4747C"/>
    <w:rsid w:val="00F505A1"/>
    <w:rsid w:val="00F50D74"/>
    <w:rsid w:val="00F50D9B"/>
    <w:rsid w:val="00F516C7"/>
    <w:rsid w:val="00F522C1"/>
    <w:rsid w:val="00F52E3C"/>
    <w:rsid w:val="00F533DA"/>
    <w:rsid w:val="00F53C79"/>
    <w:rsid w:val="00F547FB"/>
    <w:rsid w:val="00F54B69"/>
    <w:rsid w:val="00F54B9A"/>
    <w:rsid w:val="00F54E61"/>
    <w:rsid w:val="00F55196"/>
    <w:rsid w:val="00F55548"/>
    <w:rsid w:val="00F55664"/>
    <w:rsid w:val="00F557BC"/>
    <w:rsid w:val="00F55B8C"/>
    <w:rsid w:val="00F55D81"/>
    <w:rsid w:val="00F563A5"/>
    <w:rsid w:val="00F56F8A"/>
    <w:rsid w:val="00F5711C"/>
    <w:rsid w:val="00F5721F"/>
    <w:rsid w:val="00F57A51"/>
    <w:rsid w:val="00F57C87"/>
    <w:rsid w:val="00F57F64"/>
    <w:rsid w:val="00F60252"/>
    <w:rsid w:val="00F60323"/>
    <w:rsid w:val="00F6089C"/>
    <w:rsid w:val="00F60A31"/>
    <w:rsid w:val="00F61698"/>
    <w:rsid w:val="00F61883"/>
    <w:rsid w:val="00F619BC"/>
    <w:rsid w:val="00F6205D"/>
    <w:rsid w:val="00F62248"/>
    <w:rsid w:val="00F62C5B"/>
    <w:rsid w:val="00F632E3"/>
    <w:rsid w:val="00F6380C"/>
    <w:rsid w:val="00F63ACE"/>
    <w:rsid w:val="00F63D99"/>
    <w:rsid w:val="00F63FF2"/>
    <w:rsid w:val="00F64003"/>
    <w:rsid w:val="00F640EC"/>
    <w:rsid w:val="00F646C9"/>
    <w:rsid w:val="00F6472E"/>
    <w:rsid w:val="00F64756"/>
    <w:rsid w:val="00F65443"/>
    <w:rsid w:val="00F6548C"/>
    <w:rsid w:val="00F6563C"/>
    <w:rsid w:val="00F65A84"/>
    <w:rsid w:val="00F65D25"/>
    <w:rsid w:val="00F662DC"/>
    <w:rsid w:val="00F66DD5"/>
    <w:rsid w:val="00F67148"/>
    <w:rsid w:val="00F67D22"/>
    <w:rsid w:val="00F701CE"/>
    <w:rsid w:val="00F70248"/>
    <w:rsid w:val="00F72126"/>
    <w:rsid w:val="00F7221F"/>
    <w:rsid w:val="00F72A3B"/>
    <w:rsid w:val="00F72D91"/>
    <w:rsid w:val="00F73C78"/>
    <w:rsid w:val="00F743BF"/>
    <w:rsid w:val="00F74FBC"/>
    <w:rsid w:val="00F75B46"/>
    <w:rsid w:val="00F75CF5"/>
    <w:rsid w:val="00F75EBB"/>
    <w:rsid w:val="00F75F7E"/>
    <w:rsid w:val="00F761D4"/>
    <w:rsid w:val="00F76996"/>
    <w:rsid w:val="00F76A20"/>
    <w:rsid w:val="00F76F49"/>
    <w:rsid w:val="00F76FCA"/>
    <w:rsid w:val="00F7728A"/>
    <w:rsid w:val="00F777DB"/>
    <w:rsid w:val="00F77A68"/>
    <w:rsid w:val="00F77B64"/>
    <w:rsid w:val="00F80A61"/>
    <w:rsid w:val="00F80CDA"/>
    <w:rsid w:val="00F8176F"/>
    <w:rsid w:val="00F8211A"/>
    <w:rsid w:val="00F82BC4"/>
    <w:rsid w:val="00F82D61"/>
    <w:rsid w:val="00F8313E"/>
    <w:rsid w:val="00F83226"/>
    <w:rsid w:val="00F83750"/>
    <w:rsid w:val="00F83C12"/>
    <w:rsid w:val="00F83F79"/>
    <w:rsid w:val="00F843FA"/>
    <w:rsid w:val="00F84656"/>
    <w:rsid w:val="00F84857"/>
    <w:rsid w:val="00F84F26"/>
    <w:rsid w:val="00F85503"/>
    <w:rsid w:val="00F8567E"/>
    <w:rsid w:val="00F8581F"/>
    <w:rsid w:val="00F87596"/>
    <w:rsid w:val="00F87719"/>
    <w:rsid w:val="00F877EF"/>
    <w:rsid w:val="00F87AFF"/>
    <w:rsid w:val="00F87B9B"/>
    <w:rsid w:val="00F87E81"/>
    <w:rsid w:val="00F902D0"/>
    <w:rsid w:val="00F903CF"/>
    <w:rsid w:val="00F905B2"/>
    <w:rsid w:val="00F90A50"/>
    <w:rsid w:val="00F91886"/>
    <w:rsid w:val="00F92415"/>
    <w:rsid w:val="00F933BD"/>
    <w:rsid w:val="00F938CD"/>
    <w:rsid w:val="00F93AFC"/>
    <w:rsid w:val="00F9424C"/>
    <w:rsid w:val="00F94815"/>
    <w:rsid w:val="00F94CE1"/>
    <w:rsid w:val="00F951C2"/>
    <w:rsid w:val="00F95550"/>
    <w:rsid w:val="00F95CCA"/>
    <w:rsid w:val="00F95DA5"/>
    <w:rsid w:val="00F9614A"/>
    <w:rsid w:val="00F96B09"/>
    <w:rsid w:val="00F96FD7"/>
    <w:rsid w:val="00F97343"/>
    <w:rsid w:val="00F97827"/>
    <w:rsid w:val="00F97C1D"/>
    <w:rsid w:val="00F97CD4"/>
    <w:rsid w:val="00F97E3F"/>
    <w:rsid w:val="00FA0036"/>
    <w:rsid w:val="00FA0972"/>
    <w:rsid w:val="00FA0F53"/>
    <w:rsid w:val="00FA144E"/>
    <w:rsid w:val="00FA1A46"/>
    <w:rsid w:val="00FA2004"/>
    <w:rsid w:val="00FA21FA"/>
    <w:rsid w:val="00FA24DD"/>
    <w:rsid w:val="00FA2B61"/>
    <w:rsid w:val="00FA3C2A"/>
    <w:rsid w:val="00FA3F4D"/>
    <w:rsid w:val="00FA609E"/>
    <w:rsid w:val="00FA6FD1"/>
    <w:rsid w:val="00FA70D4"/>
    <w:rsid w:val="00FA75AC"/>
    <w:rsid w:val="00FA77BD"/>
    <w:rsid w:val="00FA7942"/>
    <w:rsid w:val="00FA7C5A"/>
    <w:rsid w:val="00FA7DD3"/>
    <w:rsid w:val="00FB0098"/>
    <w:rsid w:val="00FB01F9"/>
    <w:rsid w:val="00FB0647"/>
    <w:rsid w:val="00FB095C"/>
    <w:rsid w:val="00FB097D"/>
    <w:rsid w:val="00FB0A18"/>
    <w:rsid w:val="00FB0A8D"/>
    <w:rsid w:val="00FB0F46"/>
    <w:rsid w:val="00FB12C1"/>
    <w:rsid w:val="00FB155E"/>
    <w:rsid w:val="00FB18CC"/>
    <w:rsid w:val="00FB1C55"/>
    <w:rsid w:val="00FB22F4"/>
    <w:rsid w:val="00FB24DC"/>
    <w:rsid w:val="00FB2DD1"/>
    <w:rsid w:val="00FB32E3"/>
    <w:rsid w:val="00FB33A3"/>
    <w:rsid w:val="00FB3B19"/>
    <w:rsid w:val="00FB406C"/>
    <w:rsid w:val="00FB48B3"/>
    <w:rsid w:val="00FB4BC8"/>
    <w:rsid w:val="00FB4CB8"/>
    <w:rsid w:val="00FB4FB0"/>
    <w:rsid w:val="00FB50BF"/>
    <w:rsid w:val="00FB5266"/>
    <w:rsid w:val="00FB544E"/>
    <w:rsid w:val="00FB5FC7"/>
    <w:rsid w:val="00FB6423"/>
    <w:rsid w:val="00FB6C3C"/>
    <w:rsid w:val="00FB6C76"/>
    <w:rsid w:val="00FB6CEB"/>
    <w:rsid w:val="00FB6F41"/>
    <w:rsid w:val="00FB7BBE"/>
    <w:rsid w:val="00FC0633"/>
    <w:rsid w:val="00FC0C25"/>
    <w:rsid w:val="00FC0D39"/>
    <w:rsid w:val="00FC1843"/>
    <w:rsid w:val="00FC1C18"/>
    <w:rsid w:val="00FC1EE5"/>
    <w:rsid w:val="00FC1F83"/>
    <w:rsid w:val="00FC2094"/>
    <w:rsid w:val="00FC2382"/>
    <w:rsid w:val="00FC2926"/>
    <w:rsid w:val="00FC292D"/>
    <w:rsid w:val="00FC301F"/>
    <w:rsid w:val="00FC31E9"/>
    <w:rsid w:val="00FC33E9"/>
    <w:rsid w:val="00FC35A4"/>
    <w:rsid w:val="00FC3CEA"/>
    <w:rsid w:val="00FC4272"/>
    <w:rsid w:val="00FC4B9C"/>
    <w:rsid w:val="00FC5731"/>
    <w:rsid w:val="00FC63CC"/>
    <w:rsid w:val="00FC64F0"/>
    <w:rsid w:val="00FC68B4"/>
    <w:rsid w:val="00FC737D"/>
    <w:rsid w:val="00FC74B0"/>
    <w:rsid w:val="00FC75EB"/>
    <w:rsid w:val="00FC7F36"/>
    <w:rsid w:val="00FD0A72"/>
    <w:rsid w:val="00FD132B"/>
    <w:rsid w:val="00FD135B"/>
    <w:rsid w:val="00FD1C43"/>
    <w:rsid w:val="00FD2068"/>
    <w:rsid w:val="00FD2145"/>
    <w:rsid w:val="00FD3AF1"/>
    <w:rsid w:val="00FD4E35"/>
    <w:rsid w:val="00FD4EE0"/>
    <w:rsid w:val="00FD4F36"/>
    <w:rsid w:val="00FD5206"/>
    <w:rsid w:val="00FD5403"/>
    <w:rsid w:val="00FD5639"/>
    <w:rsid w:val="00FE0A56"/>
    <w:rsid w:val="00FE1B19"/>
    <w:rsid w:val="00FE1EE5"/>
    <w:rsid w:val="00FE293A"/>
    <w:rsid w:val="00FE2E1D"/>
    <w:rsid w:val="00FE2E36"/>
    <w:rsid w:val="00FE2EF8"/>
    <w:rsid w:val="00FE332B"/>
    <w:rsid w:val="00FE373F"/>
    <w:rsid w:val="00FE4094"/>
    <w:rsid w:val="00FE49B3"/>
    <w:rsid w:val="00FE4FA9"/>
    <w:rsid w:val="00FE5134"/>
    <w:rsid w:val="00FE5409"/>
    <w:rsid w:val="00FE588E"/>
    <w:rsid w:val="00FE6187"/>
    <w:rsid w:val="00FE65EF"/>
    <w:rsid w:val="00FE67CE"/>
    <w:rsid w:val="00FE7457"/>
    <w:rsid w:val="00FE75ED"/>
    <w:rsid w:val="00FE76CE"/>
    <w:rsid w:val="00FE78F2"/>
    <w:rsid w:val="00FE7AFA"/>
    <w:rsid w:val="00FF0276"/>
    <w:rsid w:val="00FF0828"/>
    <w:rsid w:val="00FF0A0D"/>
    <w:rsid w:val="00FF0D02"/>
    <w:rsid w:val="00FF118D"/>
    <w:rsid w:val="00FF2027"/>
    <w:rsid w:val="00FF23F6"/>
    <w:rsid w:val="00FF2AD6"/>
    <w:rsid w:val="00FF2DEB"/>
    <w:rsid w:val="00FF2FED"/>
    <w:rsid w:val="00FF3721"/>
    <w:rsid w:val="00FF39A0"/>
    <w:rsid w:val="00FF3A89"/>
    <w:rsid w:val="00FF3E03"/>
    <w:rsid w:val="00FF4597"/>
    <w:rsid w:val="00FF47F1"/>
    <w:rsid w:val="00FF4C62"/>
    <w:rsid w:val="00FF5002"/>
    <w:rsid w:val="00FF5310"/>
    <w:rsid w:val="00FF536B"/>
    <w:rsid w:val="00FF548E"/>
    <w:rsid w:val="00FF5608"/>
    <w:rsid w:val="00FF566C"/>
    <w:rsid w:val="00FF584E"/>
    <w:rsid w:val="00FF5AEA"/>
    <w:rsid w:val="00FF615E"/>
    <w:rsid w:val="00FF6989"/>
    <w:rsid w:val="00FF6EC5"/>
    <w:rsid w:val="00FF7036"/>
    <w:rsid w:val="00FF7635"/>
    <w:rsid w:val="00FF765F"/>
    <w:rsid w:val="7E806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iPriority="0" w:semiHidden="0" w:name="heading 2"/>
    <w:lsdException w:qFormat="1" w:uiPriority="0" w:semiHidden="0" w:name="heading 3"/>
    <w:lsdException w:qFormat="1" w:uiPriority="9" w:semiHidden="0" w:name="heading 4"/>
    <w:lsdException w:qFormat="1" w:uiPriority="0" w:semiHidden="0" w:name="heading 5"/>
    <w:lsdException w:unhideWhenUsed="0" w:uiPriority="0" w:semiHidden="0" w:name="heading 6"/>
    <w:lsdException w:qFormat="1" w:unhideWhenUsed="0" w:uiPriority="0" w:semiHidden="0" w:name="heading 7"/>
    <w:lsdException w:qFormat="1" w:unhideWhenUsed="0" w:uiPriority="0" w:semiHidden="0" w:name="heading 8"/>
    <w:lsdException w:unhideWhenUsed="0" w:uiPriority="0" w:semiHidden="0" w:name="heading 9"/>
    <w:lsdException w:unhideWhenUsed="0" w:uiPriority="0" w:semiHidden="0" w:name="index 1"/>
    <w:lsdException w:uiPriority="99" w:name="index 2"/>
    <w:lsdException w:uiPriority="0" w:semiHidden="0" w:name="index 3"/>
    <w:lsdException w:uiPriority="0" w:semiHidden="0" w:name="index 4"/>
    <w:lsdException w:uiPriority="0" w:semiHidden="0" w:name="index 5"/>
    <w:lsdException w:uiPriority="99" w:name="index 6"/>
    <w:lsdException w:uiPriority="0" w:semiHidden="0" w:name="index 7"/>
    <w:lsdException w:uiPriority="0" w:semiHidden="0" w:name="index 8"/>
    <w:lsdException w:uiPriority="0" w:semiHidden="0" w:name="index 9"/>
    <w:lsdException w:qFormat="1" w:uiPriority="39" w:semiHidden="0" w:name="toc 1"/>
    <w:lsdException w:qFormat="1" w:uiPriority="39" w:semiHidden="0" w:name="toc 2"/>
    <w:lsdException w:uiPriority="39" w:semiHidden="0" w:name="toc 3"/>
    <w:lsdException w:unhideWhenUsed="0" w:uiPriority="39" w:semiHidden="0" w:name="toc 4"/>
    <w:lsdException w:qFormat="1"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unhideWhenUsed="0" w:uiPriority="0" w:semiHidden="0" w:name="endnote reference"/>
    <w:lsdException w:qFormat="1" w:unhideWhenUsed="0" w:uiPriority="0" w:semiHidden="0" w:name="endnote text"/>
    <w:lsdException w:uiPriority="99" w:name="table of authorities"/>
    <w:lsdException w:uiPriority="99"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iPriority="0" w:semiHidden="0" w:name="List 2"/>
    <w:lsdException w:uiPriority="99" w:name="List 3"/>
    <w:lsdException w:uiPriority="99" w:name="List 4"/>
    <w:lsdException w:uiPriority="99"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qFormat="1" w:uiPriority="0" w:semiHidden="0" w:name="Date"/>
    <w:lsdException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semiHidden="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unhideWhenUsed="0" w:uiPriority="0" w:name="Table Columns 1"/>
    <w:lsdException w:qFormat="1" w:unhideWhenUsed="0" w:uiPriority="0" w:name="Table Columns 2"/>
    <w:lsdException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unhideWhenUsed="0" w:uiPriority="0" w:name="Table Grid 3"/>
    <w:lsdException w:qFormat="1" w:unhideWhenUsed="0" w:uiPriority="0" w:name="Table Grid 4"/>
    <w:lsdException w:qFormat="1" w:unhideWhenUsed="0" w:uiPriority="0" w:semiHidden="0" w:name="Table Grid 5"/>
    <w:lsdException w:unhideWhenUsed="0" w:uiPriority="0" w:name="Table Grid 6"/>
    <w:lsdException w:qFormat="1" w:unhideWhenUsed="0" w:uiPriority="0" w:semiHidden="0" w:name="Table Grid 7"/>
    <w:lsdException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unhideWhenUsed="0" w:uiPriority="0" w:name="Table List 6"/>
    <w:lsdException w:unhideWhenUsed="0" w:uiPriority="0" w:name="Table List 7"/>
    <w:lsdException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semiHidden="0" w:name="Table Professional"/>
    <w:lsdException w:qFormat="1" w:unhideWhenUsed="0" w:uiPriority="0" w:name="Table Subtle 1"/>
    <w:lsdException w:qFormat="1" w:unhideWhenUsed="0" w:uiPriority="0" w:name="Table Subtle 2"/>
    <w:lsdException w:unhideWhenUsed="0" w:uiPriority="0" w:name="Table Web 1"/>
    <w:lsdException w:unhideWhenUsed="0" w:uiPriority="0" w:name="Table Web 2"/>
    <w:lsdException w:qFormat="1" w:unhideWhenUsed="0" w:uiPriority="0" w:name="Table Web 3"/>
    <w:lsdException w:uiPriority="0" w:semiHidden="0" w:name="Balloon Text"/>
    <w:lsdException w:qFormat="1" w:unhideWhenUsed="0" w:uiPriority="59" w:semiHidden="0" w:name="Table Grid"/>
    <w:lsdException w:qFormat="1" w:unhideWhenUsed="0" w:uiPriority="0" w:semiHidden="0" w:name="Table Theme"/>
    <w:lsdException w:qFormat="1" w:unhideWhenUsed="0" w:uiPriority="0"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118"/>
    <w:qFormat/>
    <w:uiPriority w:val="0"/>
    <w:pPr>
      <w:keepNext/>
      <w:keepLines/>
      <w:widowControl/>
      <w:numPr>
        <w:ilvl w:val="0"/>
        <w:numId w:val="1"/>
      </w:numPr>
      <w:ind w:firstLine="200"/>
      <w:outlineLvl w:val="0"/>
    </w:pPr>
    <w:rPr>
      <w:rFonts w:ascii="Calibri" w:hAnsi="Calibri" w:cs="Times New Roman"/>
      <w:b/>
      <w:bCs/>
      <w:kern w:val="44"/>
      <w:szCs w:val="44"/>
    </w:rPr>
  </w:style>
  <w:style w:type="paragraph" w:styleId="3">
    <w:name w:val="heading 2"/>
    <w:basedOn w:val="1"/>
    <w:next w:val="1"/>
    <w:link w:val="119"/>
    <w:unhideWhenUsed/>
    <w:uiPriority w:val="0"/>
    <w:pPr>
      <w:keepNext/>
      <w:keepLines/>
      <w:widowControl/>
      <w:numPr>
        <w:ilvl w:val="1"/>
        <w:numId w:val="1"/>
      </w:numPr>
      <w:spacing w:before="156" w:after="156"/>
      <w:ind w:firstLine="0"/>
      <w:jc w:val="left"/>
      <w:outlineLvl w:val="1"/>
    </w:pPr>
    <w:rPr>
      <w:rFonts w:ascii="Calibri" w:hAnsi="Calibri" w:cstheme="majorBidi"/>
      <w:b/>
      <w:bCs/>
      <w:kern w:val="0"/>
      <w:szCs w:val="32"/>
    </w:rPr>
  </w:style>
  <w:style w:type="paragraph" w:styleId="4">
    <w:name w:val="heading 3"/>
    <w:basedOn w:val="1"/>
    <w:next w:val="1"/>
    <w:link w:val="120"/>
    <w:unhideWhenUsed/>
    <w:qFormat/>
    <w:uiPriority w:val="0"/>
    <w:pPr>
      <w:keepNext/>
      <w:keepLines/>
      <w:numPr>
        <w:ilvl w:val="2"/>
        <w:numId w:val="1"/>
      </w:numPr>
      <w:tabs>
        <w:tab w:val="clear" w:pos="1860"/>
      </w:tabs>
      <w:ind w:left="0" w:firstLine="0"/>
      <w:jc w:val="left"/>
      <w:outlineLvl w:val="2"/>
    </w:pPr>
    <w:rPr>
      <w:rFonts w:ascii="Calibri" w:hAnsi="Calibri" w:cs="Times New Roman"/>
      <w:b/>
      <w:bCs/>
      <w:szCs w:val="32"/>
    </w:rPr>
  </w:style>
  <w:style w:type="paragraph" w:styleId="5">
    <w:name w:val="heading 4"/>
    <w:basedOn w:val="6"/>
    <w:next w:val="1"/>
    <w:link w:val="121"/>
    <w:unhideWhenUsed/>
    <w:qFormat/>
    <w:uiPriority w:val="9"/>
    <w:pPr>
      <w:keepNext/>
      <w:keepLines/>
      <w:numPr>
        <w:ilvl w:val="3"/>
        <w:numId w:val="1"/>
      </w:numPr>
      <w:spacing w:after="50" w:line="500" w:lineRule="exact"/>
      <w:ind w:left="0" w:firstLine="0" w:firstLineChars="0"/>
      <w:outlineLvl w:val="3"/>
    </w:pPr>
    <w:rPr>
      <w:rFonts w:ascii="Calibri" w:hAnsi="Calibri" w:eastAsia="仿宋_GB2312" w:cstheme="majorBidi"/>
      <w:b/>
      <w:bCs/>
      <w:kern w:val="0"/>
      <w:sz w:val="32"/>
      <w:szCs w:val="28"/>
    </w:rPr>
  </w:style>
  <w:style w:type="paragraph" w:styleId="8">
    <w:name w:val="heading 5"/>
    <w:basedOn w:val="1"/>
    <w:next w:val="1"/>
    <w:link w:val="122"/>
    <w:unhideWhenUsed/>
    <w:qFormat/>
    <w:uiPriority w:val="0"/>
    <w:pPr>
      <w:keepNext/>
      <w:keepLines/>
      <w:numPr>
        <w:ilvl w:val="4"/>
        <w:numId w:val="1"/>
      </w:numPr>
      <w:tabs>
        <w:tab w:val="clear" w:pos="2661"/>
      </w:tabs>
      <w:ind w:left="1008" w:hanging="432"/>
      <w:outlineLvl w:val="4"/>
    </w:pPr>
    <w:rPr>
      <w:rFonts w:ascii="Calibri" w:hAnsi="Calibri" w:cs="Times New Roman"/>
      <w:b/>
      <w:bCs/>
      <w:szCs w:val="28"/>
    </w:rPr>
  </w:style>
  <w:style w:type="paragraph" w:styleId="9">
    <w:name w:val="heading 6"/>
    <w:basedOn w:val="1"/>
    <w:next w:val="1"/>
    <w:link w:val="123"/>
    <w:uiPriority w:val="0"/>
    <w:pPr>
      <w:keepNext/>
      <w:keepLines/>
      <w:numPr>
        <w:ilvl w:val="5"/>
        <w:numId w:val="1"/>
      </w:numPr>
      <w:tabs>
        <w:tab w:val="clear" w:pos="3081"/>
      </w:tabs>
      <w:spacing w:before="240" w:after="64" w:line="320" w:lineRule="auto"/>
      <w:ind w:left="1152" w:hanging="432"/>
      <w:outlineLvl w:val="5"/>
    </w:pPr>
    <w:rPr>
      <w:rFonts w:ascii="Arial" w:hAnsi="Arial" w:eastAsia="黑体" w:cs="Times New Roman"/>
      <w:b/>
    </w:rPr>
  </w:style>
  <w:style w:type="paragraph" w:styleId="10">
    <w:name w:val="heading 7"/>
    <w:basedOn w:val="1"/>
    <w:next w:val="1"/>
    <w:link w:val="124"/>
    <w:qFormat/>
    <w:uiPriority w:val="0"/>
    <w:pPr>
      <w:keepNext/>
      <w:keepLines/>
      <w:numPr>
        <w:ilvl w:val="6"/>
        <w:numId w:val="1"/>
      </w:numPr>
      <w:tabs>
        <w:tab w:val="clear" w:pos="3501"/>
      </w:tabs>
      <w:spacing w:before="240" w:after="64" w:line="320" w:lineRule="atLeast"/>
      <w:ind w:left="1296" w:hanging="288"/>
      <w:textAlignment w:val="baseline"/>
      <w:outlineLvl w:val="6"/>
    </w:pPr>
    <w:rPr>
      <w:rFonts w:ascii="宋体" w:hAnsi="华文楷体" w:cs="Times New Roman"/>
      <w:b/>
    </w:rPr>
  </w:style>
  <w:style w:type="paragraph" w:styleId="11">
    <w:name w:val="heading 8"/>
    <w:basedOn w:val="1"/>
    <w:next w:val="1"/>
    <w:link w:val="125"/>
    <w:qFormat/>
    <w:uiPriority w:val="0"/>
    <w:pPr>
      <w:keepNext/>
      <w:keepLines/>
      <w:numPr>
        <w:ilvl w:val="7"/>
        <w:numId w:val="1"/>
      </w:numPr>
      <w:tabs>
        <w:tab w:val="clear" w:pos="3921"/>
      </w:tabs>
      <w:spacing w:before="240" w:after="64" w:line="320" w:lineRule="atLeast"/>
      <w:ind w:left="1440" w:hanging="432"/>
      <w:textAlignment w:val="baseline"/>
      <w:outlineLvl w:val="7"/>
    </w:pPr>
    <w:rPr>
      <w:rFonts w:ascii="Arial" w:hAnsi="Arial" w:eastAsia="黑体" w:cs="Times New Roman"/>
    </w:rPr>
  </w:style>
  <w:style w:type="paragraph" w:styleId="12">
    <w:name w:val="heading 9"/>
    <w:basedOn w:val="1"/>
    <w:next w:val="1"/>
    <w:link w:val="126"/>
    <w:uiPriority w:val="0"/>
    <w:pPr>
      <w:keepNext/>
      <w:keepLines/>
      <w:numPr>
        <w:ilvl w:val="8"/>
        <w:numId w:val="1"/>
      </w:numPr>
      <w:tabs>
        <w:tab w:val="clear" w:pos="4341"/>
      </w:tabs>
      <w:spacing w:before="240" w:after="64" w:line="320" w:lineRule="atLeast"/>
      <w:ind w:left="1584" w:hanging="144"/>
      <w:textAlignment w:val="baseline"/>
      <w:outlineLvl w:val="8"/>
    </w:pPr>
    <w:rPr>
      <w:rFonts w:ascii="Arial" w:hAnsi="Arial" w:eastAsia="黑体" w:cs="Times New Roman"/>
    </w:rPr>
  </w:style>
  <w:style w:type="character" w:default="1" w:styleId="109">
    <w:name w:val="Default Paragraph Font"/>
    <w:semiHidden/>
    <w:unhideWhenUsed/>
    <w:uiPriority w:val="1"/>
  </w:style>
  <w:style w:type="table" w:default="1" w:styleId="64">
    <w:name w:val="Normal Table"/>
    <w:semiHidden/>
    <w:unhideWhenUsed/>
    <w:qFormat/>
    <w:uiPriority w:val="99"/>
    <w:tblPr>
      <w:tblCellMar>
        <w:top w:w="0" w:type="dxa"/>
        <w:left w:w="108" w:type="dxa"/>
        <w:bottom w:w="0" w:type="dxa"/>
        <w:right w:w="108" w:type="dxa"/>
      </w:tblCellMar>
    </w:tblPr>
  </w:style>
  <w:style w:type="paragraph" w:customStyle="1" w:styleId="6">
    <w:name w:val="一级标题"/>
    <w:basedOn w:val="7"/>
    <w:link w:val="242"/>
    <w:qFormat/>
    <w:uiPriority w:val="0"/>
    <w:pPr>
      <w:ind w:left="0" w:right="0"/>
    </w:pPr>
    <w:rPr>
      <w:rFonts w:ascii="Swis721 BlkCn BT" w:hAnsi="Swis721 BlkCn BT" w:eastAsia="方正大黑简体" w:cstheme="minorBidi"/>
      <w:color w:val="000000"/>
      <w:kern w:val="2"/>
      <w:szCs w:val="22"/>
    </w:rPr>
  </w:style>
  <w:style w:type="paragraph" w:customStyle="1" w:styleId="7">
    <w:name w:val="文本块2"/>
    <w:basedOn w:val="1"/>
    <w:qFormat/>
    <w:uiPriority w:val="0"/>
    <w:pPr>
      <w:widowControl/>
      <w:spacing w:after="120"/>
      <w:ind w:left="1440" w:right="1440"/>
      <w:jc w:val="left"/>
    </w:pPr>
    <w:rPr>
      <w:rFonts w:ascii="宋体" w:hAnsi="Arial Black" w:cs="宋体"/>
      <w:kern w:val="44"/>
      <w:szCs w:val="24"/>
    </w:rPr>
  </w:style>
  <w:style w:type="paragraph" w:styleId="13">
    <w:name w:val="toc 7"/>
    <w:basedOn w:val="1"/>
    <w:next w:val="1"/>
    <w:autoRedefine/>
    <w:uiPriority w:val="39"/>
    <w:pPr>
      <w:ind w:left="2520" w:leftChars="1200"/>
    </w:pPr>
    <w:rPr>
      <w:rFonts w:cs="Times New Roman"/>
      <w:szCs w:val="24"/>
    </w:rPr>
  </w:style>
  <w:style w:type="paragraph" w:styleId="14">
    <w:name w:val="Note Heading"/>
    <w:basedOn w:val="1"/>
    <w:next w:val="1"/>
    <w:link w:val="855"/>
    <w:uiPriority w:val="0"/>
    <w:pPr>
      <w:jc w:val="center"/>
    </w:pPr>
    <w:rPr>
      <w:rFonts w:cs="Times New Roman"/>
      <w:szCs w:val="20"/>
    </w:rPr>
  </w:style>
  <w:style w:type="paragraph" w:styleId="15">
    <w:name w:val="List Bullet 4"/>
    <w:basedOn w:val="1"/>
    <w:uiPriority w:val="0"/>
    <w:pPr>
      <w:widowControl/>
      <w:tabs>
        <w:tab w:val="left" w:pos="1620"/>
      </w:tabs>
      <w:ind w:left="1620" w:hanging="360"/>
      <w:jc w:val="left"/>
    </w:pPr>
    <w:rPr>
      <w:rFonts w:ascii="宋体" w:hAnsi="宋体" w:cs="宋体"/>
      <w:kern w:val="0"/>
      <w:szCs w:val="24"/>
    </w:rPr>
  </w:style>
  <w:style w:type="paragraph" w:styleId="16">
    <w:name w:val="index 8"/>
    <w:basedOn w:val="1"/>
    <w:next w:val="1"/>
    <w:autoRedefine/>
    <w:unhideWhenUsed/>
    <w:uiPriority w:val="0"/>
    <w:pPr>
      <w:ind w:left="1400" w:leftChars="1400"/>
    </w:pPr>
    <w:rPr>
      <w:rFonts w:cs="Times New Roman"/>
      <w:szCs w:val="24"/>
    </w:rPr>
  </w:style>
  <w:style w:type="paragraph" w:styleId="17">
    <w:name w:val="List Number"/>
    <w:basedOn w:val="1"/>
    <w:uiPriority w:val="0"/>
    <w:pPr>
      <w:widowControl/>
      <w:tabs>
        <w:tab w:val="left" w:pos="360"/>
      </w:tabs>
      <w:ind w:left="360" w:hanging="360"/>
      <w:jc w:val="left"/>
    </w:pPr>
    <w:rPr>
      <w:rFonts w:ascii="楷体_GB2312" w:hAnsi="宋体" w:eastAsia="楷体_GB2312" w:cs="宋体"/>
      <w:kern w:val="0"/>
      <w:szCs w:val="24"/>
    </w:rPr>
  </w:style>
  <w:style w:type="paragraph" w:styleId="18">
    <w:name w:val="Normal Indent"/>
    <w:basedOn w:val="1"/>
    <w:link w:val="166"/>
    <w:qFormat/>
    <w:uiPriority w:val="0"/>
    <w:pPr>
      <w:ind w:firstLine="420"/>
    </w:pPr>
  </w:style>
  <w:style w:type="paragraph" w:styleId="19">
    <w:name w:val="caption"/>
    <w:basedOn w:val="1"/>
    <w:next w:val="1"/>
    <w:link w:val="272"/>
    <w:qFormat/>
    <w:uiPriority w:val="0"/>
    <w:rPr>
      <w:rFonts w:ascii="Arial" w:hAnsi="Arial" w:eastAsia="黑体" w:cs="Times New Roman"/>
    </w:rPr>
  </w:style>
  <w:style w:type="paragraph" w:styleId="20">
    <w:name w:val="index 5"/>
    <w:basedOn w:val="1"/>
    <w:next w:val="1"/>
    <w:autoRedefine/>
    <w:unhideWhenUsed/>
    <w:uiPriority w:val="0"/>
    <w:pPr>
      <w:ind w:left="800" w:leftChars="800"/>
    </w:pPr>
    <w:rPr>
      <w:rFonts w:cs="Times New Roman"/>
      <w:szCs w:val="24"/>
    </w:rPr>
  </w:style>
  <w:style w:type="paragraph" w:styleId="21">
    <w:name w:val="List Bullet"/>
    <w:basedOn w:val="1"/>
    <w:link w:val="318"/>
    <w:uiPriority w:val="0"/>
    <w:pPr>
      <w:tabs>
        <w:tab w:val="left" w:pos="360"/>
      </w:tabs>
      <w:ind w:left="360"/>
    </w:pPr>
  </w:style>
  <w:style w:type="paragraph" w:styleId="22">
    <w:name w:val="Document Map"/>
    <w:basedOn w:val="1"/>
    <w:link w:val="127"/>
    <w:uiPriority w:val="0"/>
    <w:pPr>
      <w:shd w:val="clear" w:color="auto" w:fill="000080"/>
    </w:pPr>
    <w:rPr>
      <w:rFonts w:ascii="Calibri" w:hAnsi="Calibri" w:cs="Times New Roman"/>
    </w:rPr>
  </w:style>
  <w:style w:type="paragraph" w:styleId="23">
    <w:name w:val="toa heading"/>
    <w:basedOn w:val="1"/>
    <w:next w:val="1"/>
    <w:uiPriority w:val="0"/>
    <w:pPr>
      <w:spacing w:before="120"/>
    </w:pPr>
    <w:rPr>
      <w:rFonts w:ascii="Arial" w:hAnsi="Arial" w:cs="Arial"/>
      <w:szCs w:val="24"/>
    </w:rPr>
  </w:style>
  <w:style w:type="paragraph" w:styleId="24">
    <w:name w:val="annotation text"/>
    <w:basedOn w:val="1"/>
    <w:link w:val="145"/>
    <w:qFormat/>
    <w:uiPriority w:val="0"/>
    <w:pPr>
      <w:jc w:val="left"/>
    </w:pPr>
    <w:rPr>
      <w:rFonts w:ascii="Calibri" w:hAnsi="Calibri" w:cs="Times New Roman"/>
      <w:sz w:val="22"/>
    </w:rPr>
  </w:style>
  <w:style w:type="paragraph" w:styleId="25">
    <w:name w:val="Body Text 3"/>
    <w:basedOn w:val="1"/>
    <w:link w:val="849"/>
    <w:uiPriority w:val="0"/>
    <w:pPr>
      <w:widowControl/>
      <w:spacing w:line="300" w:lineRule="auto"/>
      <w:jc w:val="left"/>
    </w:pPr>
    <w:rPr>
      <w:rFonts w:ascii="宋体" w:hAnsi="宋体" w:eastAsia="华文楷体" w:cs="宋体"/>
      <w:kern w:val="0"/>
      <w:szCs w:val="24"/>
    </w:rPr>
  </w:style>
  <w:style w:type="paragraph" w:styleId="26">
    <w:name w:val="List Bullet 3"/>
    <w:basedOn w:val="1"/>
    <w:uiPriority w:val="0"/>
    <w:pPr>
      <w:widowControl/>
      <w:tabs>
        <w:tab w:val="left" w:pos="720"/>
      </w:tabs>
      <w:ind w:left="720" w:hanging="570"/>
      <w:jc w:val="left"/>
    </w:pPr>
    <w:rPr>
      <w:rFonts w:ascii="宋体" w:hAnsi="宋体" w:cs="宋体"/>
      <w:spacing w:val="20"/>
      <w:kern w:val="0"/>
      <w:szCs w:val="20"/>
    </w:rPr>
  </w:style>
  <w:style w:type="paragraph" w:styleId="27">
    <w:name w:val="Body Text"/>
    <w:basedOn w:val="1"/>
    <w:link w:val="192"/>
    <w:qFormat/>
    <w:uiPriority w:val="0"/>
    <w:pPr>
      <w:spacing w:line="300" w:lineRule="auto"/>
    </w:pPr>
    <w:rPr>
      <w:rFonts w:ascii="Calibri" w:hAnsi="Calibri" w:cs="Times New Roman"/>
    </w:rPr>
  </w:style>
  <w:style w:type="paragraph" w:styleId="28">
    <w:name w:val="Body Text Indent"/>
    <w:basedOn w:val="1"/>
    <w:link w:val="611"/>
    <w:qFormat/>
    <w:uiPriority w:val="0"/>
    <w:pPr>
      <w:spacing w:after="120"/>
      <w:ind w:left="420" w:leftChars="200"/>
    </w:pPr>
    <w:rPr>
      <w:rFonts w:ascii="Calibri" w:hAnsi="Calibri" w:cs="Times New Roman"/>
    </w:rPr>
  </w:style>
  <w:style w:type="paragraph" w:styleId="29">
    <w:name w:val="List 2"/>
    <w:basedOn w:val="1"/>
    <w:unhideWhenUsed/>
    <w:uiPriority w:val="0"/>
    <w:pPr>
      <w:ind w:left="100" w:leftChars="200" w:hanging="200" w:hangingChars="200"/>
      <w:contextualSpacing/>
    </w:pPr>
    <w:rPr>
      <w:rFonts w:ascii="Calibri" w:hAnsi="Calibri" w:cs="Times New Roman"/>
    </w:rPr>
  </w:style>
  <w:style w:type="paragraph" w:styleId="30">
    <w:name w:val="Block Text"/>
    <w:basedOn w:val="1"/>
    <w:uiPriority w:val="0"/>
    <w:pPr>
      <w:spacing w:after="120"/>
      <w:ind w:right="1440"/>
      <w:jc w:val="center"/>
    </w:pPr>
    <w:rPr>
      <w:rFonts w:cs="Times New Roman"/>
      <w:position w:val="-27"/>
      <w:szCs w:val="20"/>
    </w:rPr>
  </w:style>
  <w:style w:type="paragraph" w:styleId="31">
    <w:name w:val="List Bullet 2"/>
    <w:basedOn w:val="1"/>
    <w:uiPriority w:val="0"/>
    <w:pPr>
      <w:tabs>
        <w:tab w:val="left" w:pos="780"/>
      </w:tabs>
      <w:ind w:left="780"/>
    </w:pPr>
    <w:rPr>
      <w:rFonts w:cs="Times New Roman"/>
      <w:szCs w:val="24"/>
    </w:rPr>
  </w:style>
  <w:style w:type="paragraph" w:styleId="32">
    <w:name w:val="index 4"/>
    <w:basedOn w:val="1"/>
    <w:next w:val="1"/>
    <w:autoRedefine/>
    <w:unhideWhenUsed/>
    <w:uiPriority w:val="0"/>
    <w:pPr>
      <w:ind w:left="600" w:leftChars="600"/>
    </w:pPr>
    <w:rPr>
      <w:rFonts w:cs="Times New Roman"/>
      <w:szCs w:val="24"/>
    </w:rPr>
  </w:style>
  <w:style w:type="paragraph" w:styleId="33">
    <w:name w:val="toc 5"/>
    <w:basedOn w:val="1"/>
    <w:next w:val="1"/>
    <w:qFormat/>
    <w:uiPriority w:val="39"/>
    <w:pPr>
      <w:ind w:left="1680" w:leftChars="800"/>
    </w:pPr>
    <w:rPr>
      <w:rFonts w:ascii="Calibri" w:hAnsi="Calibri" w:cs="Times New Roman"/>
    </w:rPr>
  </w:style>
  <w:style w:type="paragraph" w:styleId="34">
    <w:name w:val="toc 3"/>
    <w:basedOn w:val="1"/>
    <w:next w:val="1"/>
    <w:autoRedefine/>
    <w:unhideWhenUsed/>
    <w:uiPriority w:val="39"/>
    <w:pPr>
      <w:spacing w:line="400" w:lineRule="exact"/>
      <w:ind w:left="400" w:leftChars="400"/>
    </w:pPr>
    <w:rPr>
      <w:rFonts w:ascii="Calibri" w:hAnsi="Calibri" w:cs="Times New Roman"/>
    </w:rPr>
  </w:style>
  <w:style w:type="paragraph" w:styleId="35">
    <w:name w:val="Plain Text"/>
    <w:basedOn w:val="1"/>
    <w:link w:val="764"/>
    <w:uiPriority w:val="0"/>
    <w:rPr>
      <w:rFonts w:ascii="宋体" w:hAnsi="Courier New" w:cs="Times New Roman"/>
      <w:szCs w:val="20"/>
    </w:rPr>
  </w:style>
  <w:style w:type="paragraph" w:styleId="36">
    <w:name w:val="List Bullet 5"/>
    <w:basedOn w:val="1"/>
    <w:uiPriority w:val="0"/>
    <w:pPr>
      <w:widowControl/>
      <w:tabs>
        <w:tab w:val="left" w:pos="2040"/>
      </w:tabs>
      <w:ind w:left="2040" w:hanging="360"/>
      <w:jc w:val="left"/>
    </w:pPr>
    <w:rPr>
      <w:rFonts w:ascii="宋体" w:hAnsi="宋体" w:cs="宋体"/>
      <w:kern w:val="0"/>
      <w:szCs w:val="24"/>
    </w:rPr>
  </w:style>
  <w:style w:type="paragraph" w:styleId="37">
    <w:name w:val="toc 8"/>
    <w:basedOn w:val="1"/>
    <w:next w:val="1"/>
    <w:autoRedefine/>
    <w:uiPriority w:val="39"/>
    <w:pPr>
      <w:ind w:left="2940" w:leftChars="1400"/>
    </w:pPr>
    <w:rPr>
      <w:rFonts w:cs="Times New Roman"/>
      <w:szCs w:val="24"/>
    </w:rPr>
  </w:style>
  <w:style w:type="paragraph" w:styleId="38">
    <w:name w:val="index 3"/>
    <w:basedOn w:val="1"/>
    <w:next w:val="1"/>
    <w:autoRedefine/>
    <w:unhideWhenUsed/>
    <w:uiPriority w:val="0"/>
    <w:pPr>
      <w:ind w:left="400" w:leftChars="400"/>
    </w:pPr>
    <w:rPr>
      <w:rFonts w:cs="Times New Roman"/>
      <w:szCs w:val="24"/>
    </w:rPr>
  </w:style>
  <w:style w:type="paragraph" w:styleId="39">
    <w:name w:val="Date"/>
    <w:basedOn w:val="1"/>
    <w:next w:val="1"/>
    <w:link w:val="134"/>
    <w:unhideWhenUsed/>
    <w:qFormat/>
    <w:uiPriority w:val="0"/>
    <w:pPr>
      <w:ind w:left="100" w:leftChars="2500"/>
    </w:pPr>
  </w:style>
  <w:style w:type="paragraph" w:styleId="40">
    <w:name w:val="Body Text Indent 2"/>
    <w:basedOn w:val="1"/>
    <w:link w:val="778"/>
    <w:uiPriority w:val="0"/>
    <w:pPr>
      <w:spacing w:before="156" w:line="400" w:lineRule="exact"/>
      <w:ind w:firstLine="480"/>
    </w:pPr>
    <w:rPr>
      <w:rFonts w:ascii="宋体" w:cs="Times New Roman"/>
      <w:szCs w:val="20"/>
    </w:rPr>
  </w:style>
  <w:style w:type="paragraph" w:styleId="41">
    <w:name w:val="endnote text"/>
    <w:basedOn w:val="1"/>
    <w:link w:val="275"/>
    <w:qFormat/>
    <w:uiPriority w:val="0"/>
    <w:pPr>
      <w:jc w:val="left"/>
    </w:pPr>
  </w:style>
  <w:style w:type="paragraph" w:styleId="42">
    <w:name w:val="Balloon Text"/>
    <w:basedOn w:val="1"/>
    <w:link w:val="131"/>
    <w:unhideWhenUsed/>
    <w:uiPriority w:val="0"/>
    <w:rPr>
      <w:rFonts w:ascii="Calibri" w:hAnsi="Calibri" w:cs="Times New Roman"/>
      <w:sz w:val="18"/>
      <w:szCs w:val="18"/>
    </w:rPr>
  </w:style>
  <w:style w:type="paragraph" w:styleId="43">
    <w:name w:val="footer"/>
    <w:basedOn w:val="1"/>
    <w:link w:val="129"/>
    <w:unhideWhenUsed/>
    <w:qFormat/>
    <w:uiPriority w:val="99"/>
    <w:pPr>
      <w:tabs>
        <w:tab w:val="center" w:pos="4153"/>
        <w:tab w:val="right" w:pos="8306"/>
      </w:tabs>
      <w:spacing w:line="240" w:lineRule="atLeast"/>
      <w:jc w:val="left"/>
    </w:pPr>
    <w:rPr>
      <w:rFonts w:ascii="Calibri" w:hAnsi="Calibri" w:cs="Times New Roman"/>
      <w:sz w:val="18"/>
      <w:szCs w:val="18"/>
    </w:rPr>
  </w:style>
  <w:style w:type="paragraph" w:styleId="44">
    <w:name w:val="header"/>
    <w:basedOn w:val="1"/>
    <w:link w:val="128"/>
    <w:unhideWhenUsed/>
    <w:uiPriority w:val="99"/>
    <w:pPr>
      <w:pBdr>
        <w:bottom w:val="single" w:color="auto" w:sz="6" w:space="1"/>
      </w:pBdr>
      <w:tabs>
        <w:tab w:val="center" w:pos="4153"/>
        <w:tab w:val="right" w:pos="8306"/>
      </w:tabs>
      <w:spacing w:line="240" w:lineRule="atLeast"/>
      <w:jc w:val="center"/>
    </w:pPr>
    <w:rPr>
      <w:rFonts w:ascii="Calibri" w:hAnsi="Calibri" w:cs="Times New Roman"/>
      <w:sz w:val="18"/>
      <w:szCs w:val="18"/>
    </w:rPr>
  </w:style>
  <w:style w:type="paragraph" w:styleId="45">
    <w:name w:val="toc 1"/>
    <w:basedOn w:val="1"/>
    <w:next w:val="1"/>
    <w:link w:val="130"/>
    <w:autoRedefine/>
    <w:unhideWhenUsed/>
    <w:qFormat/>
    <w:uiPriority w:val="39"/>
    <w:pPr>
      <w:spacing w:line="400" w:lineRule="exact"/>
    </w:pPr>
    <w:rPr>
      <w:rFonts w:ascii="Calibri" w:hAnsi="Calibri" w:cs="Times New Roman"/>
      <w:b/>
    </w:rPr>
  </w:style>
  <w:style w:type="paragraph" w:styleId="46">
    <w:name w:val="toc 4"/>
    <w:basedOn w:val="1"/>
    <w:next w:val="1"/>
    <w:autoRedefine/>
    <w:uiPriority w:val="39"/>
    <w:pPr>
      <w:ind w:left="1260" w:leftChars="600"/>
    </w:pPr>
    <w:rPr>
      <w:rFonts w:cs="Times New Roman"/>
      <w:szCs w:val="24"/>
    </w:rPr>
  </w:style>
  <w:style w:type="paragraph" w:styleId="47">
    <w:name w:val="Subtitle"/>
    <w:basedOn w:val="1"/>
    <w:link w:val="298"/>
    <w:uiPriority w:val="0"/>
    <w:pPr>
      <w:spacing w:before="240" w:after="60" w:line="312" w:lineRule="auto"/>
      <w:jc w:val="center"/>
      <w:outlineLvl w:val="1"/>
    </w:pPr>
    <w:rPr>
      <w:rFonts w:ascii="Arial" w:hAnsi="Arial" w:cs="Times New Roman"/>
      <w:b/>
      <w:kern w:val="28"/>
      <w:sz w:val="32"/>
    </w:rPr>
  </w:style>
  <w:style w:type="paragraph" w:styleId="48">
    <w:name w:val="List"/>
    <w:basedOn w:val="1"/>
    <w:uiPriority w:val="0"/>
    <w:pPr>
      <w:spacing w:line="360" w:lineRule="exact"/>
      <w:jc w:val="center"/>
    </w:pPr>
    <w:rPr>
      <w:rFonts w:ascii="仿宋_GB2312" w:cs="Times New Roman"/>
      <w:szCs w:val="20"/>
    </w:rPr>
  </w:style>
  <w:style w:type="paragraph" w:styleId="49">
    <w:name w:val="footnote text"/>
    <w:basedOn w:val="1"/>
    <w:link w:val="177"/>
    <w:qFormat/>
    <w:uiPriority w:val="0"/>
    <w:pPr>
      <w:jc w:val="left"/>
    </w:pPr>
    <w:rPr>
      <w:rFonts w:ascii="宋体"/>
      <w:sz w:val="18"/>
    </w:rPr>
  </w:style>
  <w:style w:type="paragraph" w:styleId="50">
    <w:name w:val="toc 6"/>
    <w:basedOn w:val="1"/>
    <w:next w:val="1"/>
    <w:autoRedefine/>
    <w:uiPriority w:val="39"/>
    <w:pPr>
      <w:ind w:left="2100" w:leftChars="1000"/>
    </w:pPr>
    <w:rPr>
      <w:rFonts w:cs="Times New Roman"/>
      <w:szCs w:val="24"/>
    </w:rPr>
  </w:style>
  <w:style w:type="paragraph" w:styleId="51">
    <w:name w:val="Body Text Indent 3"/>
    <w:basedOn w:val="1"/>
    <w:link w:val="780"/>
    <w:uiPriority w:val="0"/>
    <w:pPr>
      <w:spacing w:line="400" w:lineRule="exact"/>
      <w:ind w:left="1981" w:leftChars="-137" w:hanging="2310" w:hangingChars="825"/>
      <w:jc w:val="left"/>
    </w:pPr>
    <w:rPr>
      <w:rFonts w:ascii="DFKai-SB" w:eastAsia="DFKai-SB" w:cs="Times New Roman"/>
      <w:szCs w:val="24"/>
      <w:lang w:eastAsia="zh-TW"/>
    </w:rPr>
  </w:style>
  <w:style w:type="paragraph" w:styleId="52">
    <w:name w:val="index 7"/>
    <w:basedOn w:val="1"/>
    <w:next w:val="1"/>
    <w:autoRedefine/>
    <w:unhideWhenUsed/>
    <w:uiPriority w:val="0"/>
    <w:pPr>
      <w:ind w:left="1200" w:leftChars="1200"/>
    </w:pPr>
    <w:rPr>
      <w:rFonts w:cs="Times New Roman"/>
      <w:szCs w:val="24"/>
    </w:rPr>
  </w:style>
  <w:style w:type="paragraph" w:styleId="53">
    <w:name w:val="index 9"/>
    <w:basedOn w:val="1"/>
    <w:next w:val="1"/>
    <w:autoRedefine/>
    <w:unhideWhenUsed/>
    <w:uiPriority w:val="0"/>
    <w:pPr>
      <w:ind w:left="1600" w:leftChars="1600"/>
    </w:pPr>
    <w:rPr>
      <w:rFonts w:cs="Times New Roman"/>
      <w:szCs w:val="24"/>
    </w:rPr>
  </w:style>
  <w:style w:type="paragraph" w:styleId="54">
    <w:name w:val="toc 2"/>
    <w:basedOn w:val="1"/>
    <w:next w:val="1"/>
    <w:autoRedefine/>
    <w:unhideWhenUsed/>
    <w:qFormat/>
    <w:uiPriority w:val="39"/>
    <w:pPr>
      <w:tabs>
        <w:tab w:val="right" w:leader="dot" w:pos="9004"/>
      </w:tabs>
      <w:spacing w:line="400" w:lineRule="exact"/>
      <w:ind w:firstLine="567"/>
      <w:jc w:val="center"/>
    </w:pPr>
    <w:rPr>
      <w:rFonts w:cs="Times New Roman"/>
      <w:b/>
      <w:bCs/>
    </w:rPr>
  </w:style>
  <w:style w:type="paragraph" w:styleId="55">
    <w:name w:val="toc 9"/>
    <w:basedOn w:val="1"/>
    <w:next w:val="1"/>
    <w:autoRedefine/>
    <w:uiPriority w:val="39"/>
    <w:pPr>
      <w:ind w:left="3360" w:leftChars="1600"/>
    </w:pPr>
    <w:rPr>
      <w:rFonts w:cs="Times New Roman"/>
      <w:szCs w:val="24"/>
    </w:rPr>
  </w:style>
  <w:style w:type="paragraph" w:styleId="56">
    <w:name w:val="Body Text 2"/>
    <w:basedOn w:val="1"/>
    <w:link w:val="847"/>
    <w:uiPriority w:val="0"/>
    <w:pPr>
      <w:widowControl/>
      <w:spacing w:line="100" w:lineRule="atLeast"/>
      <w:jc w:val="center"/>
    </w:pPr>
    <w:rPr>
      <w:rFonts w:ascii="宋体" w:hAnsi="宋体" w:eastAsia="华文楷体" w:cs="宋体"/>
      <w:kern w:val="0"/>
      <w:sz w:val="18"/>
      <w:szCs w:val="24"/>
    </w:rPr>
  </w:style>
  <w:style w:type="paragraph" w:styleId="57">
    <w:name w:val="HTML Preformatted"/>
    <w:basedOn w:val="1"/>
    <w:link w:val="888"/>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Cs w:val="21"/>
    </w:rPr>
  </w:style>
  <w:style w:type="paragraph" w:styleId="58">
    <w:name w:val="Normal (Web)"/>
    <w:basedOn w:val="1"/>
    <w:unhideWhenUsed/>
    <w:qFormat/>
    <w:uiPriority w:val="99"/>
    <w:pPr>
      <w:widowControl/>
      <w:spacing w:before="100" w:beforeAutospacing="1" w:after="100" w:afterAutospacing="1"/>
      <w:jc w:val="left"/>
    </w:pPr>
    <w:rPr>
      <w:rFonts w:ascii="宋体" w:hAnsi="宋体" w:cs="宋体"/>
      <w:kern w:val="0"/>
      <w:szCs w:val="24"/>
    </w:rPr>
  </w:style>
  <w:style w:type="paragraph" w:styleId="59">
    <w:name w:val="index 1"/>
    <w:basedOn w:val="1"/>
    <w:next w:val="1"/>
    <w:autoRedefine/>
    <w:uiPriority w:val="0"/>
    <w:pPr>
      <w:widowControl/>
      <w:jc w:val="left"/>
    </w:pPr>
    <w:rPr>
      <w:rFonts w:ascii="宋体" w:hAnsi="宋体" w:cs="宋体"/>
      <w:szCs w:val="24"/>
    </w:rPr>
  </w:style>
  <w:style w:type="paragraph" w:styleId="60">
    <w:name w:val="Title"/>
    <w:basedOn w:val="1"/>
    <w:next w:val="1"/>
    <w:link w:val="239"/>
    <w:qFormat/>
    <w:uiPriority w:val="0"/>
    <w:pPr>
      <w:widowControl/>
      <w:jc w:val="center"/>
    </w:pPr>
    <w:rPr>
      <w:rFonts w:cs="Times New Roman"/>
      <w:b/>
    </w:rPr>
  </w:style>
  <w:style w:type="paragraph" w:styleId="61">
    <w:name w:val="annotation subject"/>
    <w:basedOn w:val="24"/>
    <w:next w:val="24"/>
    <w:link w:val="609"/>
    <w:qFormat/>
    <w:uiPriority w:val="0"/>
    <w:rPr>
      <w:b/>
      <w:bCs/>
      <w:sz w:val="28"/>
    </w:rPr>
  </w:style>
  <w:style w:type="paragraph" w:styleId="62">
    <w:name w:val="Body Text First Indent"/>
    <w:basedOn w:val="27"/>
    <w:link w:val="936"/>
    <w:unhideWhenUsed/>
    <w:uiPriority w:val="0"/>
    <w:pPr>
      <w:spacing w:after="120" w:line="500" w:lineRule="exact"/>
      <w:ind w:firstLine="420" w:firstLineChars="100"/>
    </w:pPr>
    <w:rPr>
      <w:sz w:val="28"/>
    </w:rPr>
  </w:style>
  <w:style w:type="paragraph" w:styleId="63">
    <w:name w:val="Body Text First Indent 2"/>
    <w:basedOn w:val="28"/>
    <w:link w:val="941"/>
    <w:uiPriority w:val="0"/>
    <w:pPr>
      <w:widowControl/>
      <w:spacing w:line="240" w:lineRule="auto"/>
      <w:ind w:firstLine="420"/>
      <w:jc w:val="left"/>
    </w:pPr>
    <w:rPr>
      <w:rFonts w:ascii="Arial" w:hAnsi="Arial"/>
      <w:snapToGrid w:val="0"/>
      <w:szCs w:val="32"/>
    </w:rPr>
  </w:style>
  <w:style w:type="table" w:styleId="65">
    <w:name w:val="Table Grid"/>
    <w:basedOn w:val="64"/>
    <w:qFormat/>
    <w:uiPriority w:val="59"/>
    <w:rPr>
      <w:rFonts w:ascii="Calibri" w:hAnsi="Calibri" w:eastAsia="宋体" w:cs="Times New Roman"/>
      <w:kern w:val="0"/>
      <w:sz w:val="20"/>
      <w:szCs w:val="20"/>
    </w:rPr>
    <w:tblPr>
      <w:tblBorders>
        <w:top w:val="single" w:color="auto" w:sz="12" w:space="0"/>
        <w:bottom w:val="single" w:color="auto" w:sz="12" w:space="0"/>
        <w:insideH w:val="single" w:color="auto" w:sz="4" w:space="0"/>
        <w:insideV w:val="single" w:color="auto" w:sz="4" w:space="0"/>
      </w:tblBorders>
    </w:tblPr>
  </w:style>
  <w:style w:type="table" w:styleId="66">
    <w:name w:val="Table Theme"/>
    <w:basedOn w:val="6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7">
    <w:name w:val="Table Colorful 1"/>
    <w:basedOn w:val="64"/>
    <w:semiHidden/>
    <w:qFormat/>
    <w:uiPriority w:val="0"/>
    <w:pPr>
      <w:widowControl w:val="0"/>
      <w:spacing w:line="500" w:lineRule="exact"/>
      <w:jc w:val="both"/>
    </w:pPr>
    <w:rPr>
      <w:rFonts w:ascii="Times New Roman" w:hAnsi="Times New Roman" w:eastAsia="宋体"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68">
    <w:name w:val="Table Colorful 2"/>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69">
    <w:name w:val="Table Colorful 3"/>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70">
    <w:name w:val="Table Elegant"/>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Classic 1"/>
    <w:basedOn w:val="64"/>
    <w:qFormat/>
    <w:uiPriority w:val="0"/>
    <w:pPr>
      <w:widowControl w:val="0"/>
      <w:jc w:val="both"/>
    </w:pPr>
    <w:rPr>
      <w:rFonts w:ascii="Times New Roman" w:hAnsi="Times New Roman" w:eastAsia="宋体" w:cs="Times New Roman"/>
      <w:kern w:val="0"/>
      <w:sz w:val="20"/>
      <w:szCs w:val="20"/>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72">
    <w:name w:val="Table Classic 2"/>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73">
    <w:name w:val="Table Classic 3"/>
    <w:basedOn w:val="64"/>
    <w:semiHidden/>
    <w:qFormat/>
    <w:uiPriority w:val="0"/>
    <w:pPr>
      <w:widowControl w:val="0"/>
      <w:spacing w:line="500" w:lineRule="exact"/>
      <w:jc w:val="both"/>
    </w:pPr>
    <w:rPr>
      <w:rFonts w:ascii="Times New Roman" w:hAnsi="Times New Roman" w:eastAsia="宋体" w:cs="Times New Roman"/>
      <w:color w:val="000080"/>
      <w:kern w:val="0"/>
      <w:sz w:val="20"/>
      <w:szCs w:val="2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74">
    <w:name w:val="Table Classic 4"/>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75">
    <w:name w:val="Table Simple 1"/>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76">
    <w:name w:val="Table Simple 2"/>
    <w:basedOn w:val="64"/>
    <w:semiHidden/>
    <w:qFormat/>
    <w:uiPriority w:val="0"/>
    <w:pPr>
      <w:widowControl w:val="0"/>
      <w:spacing w:line="500" w:lineRule="exact"/>
      <w:jc w:val="both"/>
    </w:pPr>
    <w:rPr>
      <w:rFonts w:ascii="Times New Roman" w:hAnsi="Times New Roman" w:eastAsia="宋体" w:cs="Times New Roman"/>
      <w:kern w:val="0"/>
      <w:sz w:val="20"/>
      <w:szCs w:val="20"/>
    </w:r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77">
    <w:name w:val="Table Simple 3"/>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78">
    <w:name w:val="Table Subtle 1"/>
    <w:basedOn w:val="64"/>
    <w:semiHidden/>
    <w:qFormat/>
    <w:uiPriority w:val="0"/>
    <w:pPr>
      <w:widowControl w:val="0"/>
      <w:spacing w:line="500" w:lineRule="exact"/>
      <w:jc w:val="both"/>
    </w:pPr>
    <w:rPr>
      <w:rFonts w:ascii="Times New Roman" w:hAnsi="Times New Roman" w:eastAsia="宋体" w:cs="Times New Roman"/>
      <w:kern w:val="0"/>
      <w:sz w:val="20"/>
      <w:szCs w:val="20"/>
    </w:r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79">
    <w:name w:val="Table Subtle 2"/>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80">
    <w:name w:val="Table 3D effects 1"/>
    <w:basedOn w:val="64"/>
    <w:semiHidden/>
    <w:qFormat/>
    <w:uiPriority w:val="0"/>
    <w:pPr>
      <w:widowControl w:val="0"/>
      <w:spacing w:line="500" w:lineRule="exact"/>
      <w:jc w:val="both"/>
    </w:pPr>
    <w:rPr>
      <w:rFonts w:ascii="Times New Roman" w:hAnsi="Times New Roman" w:eastAsia="宋体" w:cs="Times New Roman"/>
      <w:kern w:val="0"/>
      <w:sz w:val="20"/>
      <w:szCs w:val="20"/>
    </w:r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81">
    <w:name w:val="Table 3D effects 2"/>
    <w:basedOn w:val="64"/>
    <w:semiHidden/>
    <w:qFormat/>
    <w:uiPriority w:val="0"/>
    <w:pPr>
      <w:widowControl w:val="0"/>
      <w:spacing w:line="500" w:lineRule="exact"/>
      <w:jc w:val="both"/>
    </w:pPr>
    <w:rPr>
      <w:rFonts w:ascii="Times New Roman" w:hAnsi="Times New Roman" w:eastAsia="宋体" w:cs="Times New Roman"/>
      <w:kern w:val="0"/>
      <w:sz w:val="20"/>
      <w:szCs w:val="20"/>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2">
    <w:name w:val="Table 3D effects 3"/>
    <w:basedOn w:val="64"/>
    <w:semiHidden/>
    <w:qFormat/>
    <w:uiPriority w:val="0"/>
    <w:pPr>
      <w:widowControl w:val="0"/>
      <w:spacing w:line="500" w:lineRule="exact"/>
      <w:jc w:val="both"/>
    </w:pPr>
    <w:rPr>
      <w:rFonts w:ascii="Times New Roman" w:hAnsi="Times New Roman" w:eastAsia="宋体" w:cs="Times New Roman"/>
      <w:kern w:val="0"/>
      <w:sz w:val="20"/>
      <w:szCs w:val="20"/>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3">
    <w:name w:val="Table List 1"/>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4">
    <w:name w:val="Table List 2"/>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5">
    <w:name w:val="Table List 3"/>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86">
    <w:name w:val="Table List 4"/>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87">
    <w:name w:val="Table List 5"/>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88">
    <w:name w:val="Table List 6"/>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89">
    <w:name w:val="Table List 7"/>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90">
    <w:name w:val="Table List 8"/>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91">
    <w:name w:val="Table Contemporary"/>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92">
    <w:name w:val="Table Columns 1"/>
    <w:basedOn w:val="64"/>
    <w:semiHidden/>
    <w:uiPriority w:val="0"/>
    <w:pPr>
      <w:widowControl w:val="0"/>
      <w:spacing w:line="500" w:lineRule="exact"/>
      <w:jc w:val="both"/>
    </w:pPr>
    <w:rPr>
      <w:rFonts w:ascii="Times New Roman" w:hAnsi="Times New Roman" w:eastAsia="宋体" w:cs="Times New Roman"/>
      <w:b/>
      <w:bCs/>
      <w:kern w:val="0"/>
      <w:sz w:val="20"/>
      <w:szCs w:val="20"/>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3">
    <w:name w:val="Table Columns 2"/>
    <w:basedOn w:val="64"/>
    <w:semiHidden/>
    <w:qFormat/>
    <w:uiPriority w:val="0"/>
    <w:pPr>
      <w:widowControl w:val="0"/>
      <w:spacing w:line="500" w:lineRule="exact"/>
      <w:jc w:val="both"/>
    </w:pPr>
    <w:rPr>
      <w:rFonts w:ascii="Times New Roman" w:hAnsi="Times New Roman" w:eastAsia="宋体" w:cs="Times New Roman"/>
      <w:b/>
      <w:bCs/>
      <w:kern w:val="0"/>
      <w:sz w:val="20"/>
      <w:szCs w:val="20"/>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4">
    <w:name w:val="Table Columns 3"/>
    <w:basedOn w:val="64"/>
    <w:semiHidden/>
    <w:uiPriority w:val="0"/>
    <w:pPr>
      <w:widowControl w:val="0"/>
      <w:spacing w:line="500" w:lineRule="exact"/>
      <w:jc w:val="both"/>
    </w:pPr>
    <w:rPr>
      <w:rFonts w:ascii="Times New Roman" w:hAnsi="Times New Roman" w:eastAsia="宋体" w:cs="Times New Roman"/>
      <w:b/>
      <w:bCs/>
      <w:kern w:val="0"/>
      <w:sz w:val="20"/>
      <w:szCs w:val="20"/>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95">
    <w:name w:val="Table Columns 4"/>
    <w:basedOn w:val="64"/>
    <w:semiHidden/>
    <w:qFormat/>
    <w:uiPriority w:val="0"/>
    <w:pPr>
      <w:widowControl w:val="0"/>
      <w:spacing w:line="500" w:lineRule="exact"/>
      <w:jc w:val="both"/>
    </w:pPr>
    <w:rPr>
      <w:rFonts w:ascii="Times New Roman" w:hAnsi="Times New Roman" w:eastAsia="宋体" w:cs="Times New Roman"/>
      <w:kern w:val="0"/>
      <w:sz w:val="20"/>
      <w:szCs w:val="20"/>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96">
    <w:name w:val="Table Columns 5"/>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97">
    <w:name w:val="Table Grid 1"/>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98">
    <w:name w:val="Table Grid 2"/>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99">
    <w:name w:val="Table Grid 3"/>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0">
    <w:name w:val="Table Grid 4"/>
    <w:basedOn w:val="64"/>
    <w:semiHidden/>
    <w:qFormat/>
    <w:uiPriority w:val="0"/>
    <w:pPr>
      <w:widowControl w:val="0"/>
      <w:spacing w:line="500" w:lineRule="exact"/>
      <w:jc w:val="both"/>
    </w:pPr>
    <w:rPr>
      <w:rFonts w:ascii="Times New Roman" w:hAnsi="Times New Roman" w:eastAsia="宋体" w:cs="Times New Roman"/>
      <w:kern w:val="0"/>
      <w:sz w:val="20"/>
      <w:szCs w:val="20"/>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01">
    <w:name w:val="Table Grid 5"/>
    <w:basedOn w:val="64"/>
    <w:qFormat/>
    <w:uiPriority w:val="0"/>
    <w:pPr>
      <w:widowControl w:val="0"/>
      <w:jc w:val="both"/>
    </w:pPr>
    <w:rPr>
      <w:rFonts w:ascii="Times New Roman" w:hAnsi="Times New Roman" w:eastAsia="宋体" w:cs="Times New Roman"/>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2">
    <w:name w:val="Table Grid 6"/>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03">
    <w:name w:val="Table Grid 7"/>
    <w:basedOn w:val="64"/>
    <w:qFormat/>
    <w:uiPriority w:val="0"/>
    <w:pPr>
      <w:widowControl w:val="0"/>
      <w:jc w:val="both"/>
    </w:pPr>
    <w:rPr>
      <w:rFonts w:ascii="Times New Roman" w:hAnsi="Times New Roman" w:eastAsia="宋体" w:cs="Times New Roman"/>
      <w:b/>
      <w:bCs/>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04">
    <w:name w:val="Table Grid 8"/>
    <w:basedOn w:val="64"/>
    <w:semiHidden/>
    <w:uiPriority w:val="0"/>
    <w:pPr>
      <w:widowControl w:val="0"/>
      <w:spacing w:line="500" w:lineRule="exact"/>
      <w:jc w:val="both"/>
    </w:pPr>
    <w:rPr>
      <w:rFonts w:ascii="Times New Roman" w:hAnsi="Times New Roman" w:eastAsia="宋体" w:cs="Times New Roman"/>
      <w:kern w:val="0"/>
      <w:sz w:val="20"/>
      <w:szCs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05">
    <w:name w:val="Table Web 1"/>
    <w:basedOn w:val="64"/>
    <w:semiHidden/>
    <w:uiPriority w:val="0"/>
    <w:pPr>
      <w:widowControl w:val="0"/>
      <w:spacing w:line="500" w:lineRule="exact"/>
      <w:jc w:val="both"/>
    </w:pPr>
    <w:rPr>
      <w:rFonts w:ascii="Times New Roman" w:hAnsi="Times New Roman" w:eastAsia="宋体" w:cs="Times New Roman"/>
      <w:kern w:val="0"/>
      <w:sz w:val="20"/>
      <w:szCs w:val="20"/>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6">
    <w:name w:val="Table Web 2"/>
    <w:basedOn w:val="64"/>
    <w:semiHidden/>
    <w:uiPriority w:val="0"/>
    <w:pPr>
      <w:widowControl w:val="0"/>
      <w:spacing w:line="500" w:lineRule="exact"/>
      <w:jc w:val="both"/>
    </w:pPr>
    <w:rPr>
      <w:rFonts w:ascii="Times New Roman" w:hAnsi="Times New Roman" w:eastAsia="宋体" w:cs="Times New Roman"/>
      <w:kern w:val="0"/>
      <w:sz w:val="20"/>
      <w:szCs w:val="20"/>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7">
    <w:name w:val="Table Web 3"/>
    <w:basedOn w:val="64"/>
    <w:semiHidden/>
    <w:qFormat/>
    <w:uiPriority w:val="0"/>
    <w:pPr>
      <w:widowControl w:val="0"/>
      <w:spacing w:line="500" w:lineRule="exact"/>
      <w:jc w:val="both"/>
    </w:pPr>
    <w:rPr>
      <w:rFonts w:ascii="Times New Roman" w:hAnsi="Times New Roman" w:eastAsia="宋体" w:cs="Times New Roman"/>
      <w:kern w:val="0"/>
      <w:sz w:val="20"/>
      <w:szCs w:val="20"/>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8">
    <w:name w:val="Table Professional"/>
    <w:basedOn w:val="64"/>
    <w:qFormat/>
    <w:uiPriority w:val="0"/>
    <w:pPr>
      <w:widowControl w:val="0"/>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110">
    <w:name w:val="Strong"/>
    <w:uiPriority w:val="0"/>
    <w:rPr>
      <w:b/>
      <w:bCs/>
    </w:rPr>
  </w:style>
  <w:style w:type="character" w:styleId="111">
    <w:name w:val="endnote reference"/>
    <w:uiPriority w:val="0"/>
    <w:rPr>
      <w:vertAlign w:val="superscript"/>
    </w:rPr>
  </w:style>
  <w:style w:type="character" w:styleId="112">
    <w:name w:val="page number"/>
    <w:uiPriority w:val="0"/>
  </w:style>
  <w:style w:type="character" w:styleId="113">
    <w:name w:val="FollowedHyperlink"/>
    <w:unhideWhenUsed/>
    <w:qFormat/>
    <w:uiPriority w:val="99"/>
    <w:rPr>
      <w:color w:val="800080"/>
      <w:u w:val="single"/>
    </w:rPr>
  </w:style>
  <w:style w:type="character" w:styleId="114">
    <w:name w:val="Emphasis"/>
    <w:qFormat/>
    <w:uiPriority w:val="0"/>
    <w:rPr>
      <w:i/>
    </w:rPr>
  </w:style>
  <w:style w:type="character" w:styleId="115">
    <w:name w:val="Hyperlink"/>
    <w:qFormat/>
    <w:uiPriority w:val="99"/>
    <w:rPr>
      <w:color w:val="0000FF"/>
      <w:u w:val="single"/>
    </w:rPr>
  </w:style>
  <w:style w:type="character" w:styleId="116">
    <w:name w:val="annotation reference"/>
    <w:uiPriority w:val="0"/>
    <w:rPr>
      <w:sz w:val="21"/>
      <w:szCs w:val="21"/>
    </w:rPr>
  </w:style>
  <w:style w:type="character" w:styleId="117">
    <w:name w:val="footnote reference"/>
    <w:uiPriority w:val="0"/>
    <w:rPr>
      <w:rFonts w:ascii="宋体" w:hAnsi="宋体" w:eastAsia="宋体" w:cs="Courier New"/>
      <w:kern w:val="2"/>
      <w:sz w:val="32"/>
      <w:szCs w:val="32"/>
      <w:vertAlign w:val="superscript"/>
      <w:lang w:val="en-US" w:eastAsia="zh-CN"/>
    </w:rPr>
  </w:style>
  <w:style w:type="character" w:customStyle="1" w:styleId="118">
    <w:name w:val="标题 1 字符"/>
    <w:basedOn w:val="109"/>
    <w:link w:val="2"/>
    <w:qFormat/>
    <w:uiPriority w:val="0"/>
    <w:rPr>
      <w:rFonts w:ascii="Calibri" w:hAnsi="Calibri" w:eastAsia="宋体" w:cs="Times New Roman"/>
      <w:b/>
      <w:bCs/>
      <w:kern w:val="44"/>
      <w:sz w:val="24"/>
      <w:szCs w:val="44"/>
    </w:rPr>
  </w:style>
  <w:style w:type="character" w:customStyle="1" w:styleId="119">
    <w:name w:val="标题 2 字符"/>
    <w:basedOn w:val="109"/>
    <w:link w:val="3"/>
    <w:qFormat/>
    <w:uiPriority w:val="0"/>
    <w:rPr>
      <w:rFonts w:ascii="Calibri" w:hAnsi="Calibri" w:eastAsia="宋体" w:cstheme="majorBidi"/>
      <w:b/>
      <w:bCs/>
      <w:kern w:val="0"/>
      <w:sz w:val="24"/>
      <w:szCs w:val="32"/>
    </w:rPr>
  </w:style>
  <w:style w:type="character" w:customStyle="1" w:styleId="120">
    <w:name w:val="标题 3 字符"/>
    <w:basedOn w:val="109"/>
    <w:link w:val="4"/>
    <w:qFormat/>
    <w:uiPriority w:val="0"/>
    <w:rPr>
      <w:rFonts w:ascii="Calibri" w:hAnsi="Calibri" w:eastAsia="宋体" w:cs="Times New Roman"/>
      <w:b/>
      <w:bCs/>
      <w:sz w:val="24"/>
      <w:szCs w:val="32"/>
    </w:rPr>
  </w:style>
  <w:style w:type="character" w:customStyle="1" w:styleId="121">
    <w:name w:val="标题 4 字符"/>
    <w:basedOn w:val="109"/>
    <w:link w:val="5"/>
    <w:qFormat/>
    <w:uiPriority w:val="9"/>
    <w:rPr>
      <w:rFonts w:ascii="Calibri" w:hAnsi="Calibri" w:eastAsia="仿宋_GB2312" w:cstheme="majorBidi"/>
      <w:b/>
      <w:bCs/>
      <w:color w:val="000000"/>
      <w:kern w:val="0"/>
      <w:sz w:val="32"/>
      <w:szCs w:val="28"/>
    </w:rPr>
  </w:style>
  <w:style w:type="character" w:customStyle="1" w:styleId="122">
    <w:name w:val="标题 5 字符"/>
    <w:basedOn w:val="109"/>
    <w:link w:val="8"/>
    <w:qFormat/>
    <w:uiPriority w:val="0"/>
    <w:rPr>
      <w:rFonts w:ascii="Calibri" w:hAnsi="Calibri" w:eastAsia="宋体" w:cs="Times New Roman"/>
      <w:b/>
      <w:bCs/>
      <w:sz w:val="24"/>
      <w:szCs w:val="28"/>
    </w:rPr>
  </w:style>
  <w:style w:type="character" w:customStyle="1" w:styleId="123">
    <w:name w:val="标题 6 字符"/>
    <w:basedOn w:val="109"/>
    <w:link w:val="9"/>
    <w:qFormat/>
    <w:uiPriority w:val="0"/>
    <w:rPr>
      <w:rFonts w:ascii="Arial" w:hAnsi="Arial" w:eastAsia="黑体" w:cs="Times New Roman"/>
      <w:b/>
      <w:sz w:val="24"/>
    </w:rPr>
  </w:style>
  <w:style w:type="character" w:customStyle="1" w:styleId="124">
    <w:name w:val="标题 7 字符"/>
    <w:basedOn w:val="109"/>
    <w:link w:val="10"/>
    <w:uiPriority w:val="0"/>
    <w:rPr>
      <w:rFonts w:ascii="宋体" w:hAnsi="华文楷体" w:eastAsia="宋体" w:cs="Times New Roman"/>
      <w:b/>
      <w:sz w:val="24"/>
    </w:rPr>
  </w:style>
  <w:style w:type="character" w:customStyle="1" w:styleId="125">
    <w:name w:val="标题 8 字符"/>
    <w:basedOn w:val="109"/>
    <w:link w:val="11"/>
    <w:qFormat/>
    <w:uiPriority w:val="0"/>
    <w:rPr>
      <w:rFonts w:ascii="Arial" w:hAnsi="Arial" w:eastAsia="黑体" w:cs="Times New Roman"/>
      <w:sz w:val="24"/>
    </w:rPr>
  </w:style>
  <w:style w:type="character" w:customStyle="1" w:styleId="126">
    <w:name w:val="标题 9 字符"/>
    <w:basedOn w:val="109"/>
    <w:link w:val="12"/>
    <w:qFormat/>
    <w:uiPriority w:val="0"/>
    <w:rPr>
      <w:rFonts w:ascii="Arial" w:hAnsi="Arial" w:eastAsia="黑体" w:cs="Times New Roman"/>
      <w:sz w:val="24"/>
    </w:rPr>
  </w:style>
  <w:style w:type="character" w:customStyle="1" w:styleId="127">
    <w:name w:val="文档结构图 字符"/>
    <w:basedOn w:val="109"/>
    <w:link w:val="22"/>
    <w:qFormat/>
    <w:uiPriority w:val="0"/>
    <w:rPr>
      <w:rFonts w:ascii="Calibri" w:hAnsi="Calibri" w:eastAsia="仿宋_GB2312" w:cs="Times New Roman"/>
      <w:sz w:val="28"/>
      <w:shd w:val="clear" w:color="auto" w:fill="000080"/>
    </w:rPr>
  </w:style>
  <w:style w:type="character" w:customStyle="1" w:styleId="128">
    <w:name w:val="页眉 字符"/>
    <w:basedOn w:val="109"/>
    <w:link w:val="44"/>
    <w:qFormat/>
    <w:uiPriority w:val="99"/>
    <w:rPr>
      <w:rFonts w:ascii="Calibri" w:hAnsi="Calibri" w:eastAsia="仿宋_GB2312" w:cs="Times New Roman"/>
      <w:sz w:val="18"/>
      <w:szCs w:val="18"/>
    </w:rPr>
  </w:style>
  <w:style w:type="character" w:customStyle="1" w:styleId="129">
    <w:name w:val="页脚 字符"/>
    <w:basedOn w:val="109"/>
    <w:link w:val="43"/>
    <w:qFormat/>
    <w:uiPriority w:val="99"/>
    <w:rPr>
      <w:rFonts w:ascii="Calibri" w:hAnsi="Calibri" w:eastAsia="仿宋_GB2312" w:cs="Times New Roman"/>
      <w:sz w:val="18"/>
      <w:szCs w:val="18"/>
    </w:rPr>
  </w:style>
  <w:style w:type="character" w:customStyle="1" w:styleId="130">
    <w:name w:val="目录 1 字符"/>
    <w:link w:val="45"/>
    <w:qFormat/>
    <w:uiPriority w:val="39"/>
    <w:rPr>
      <w:rFonts w:ascii="Calibri" w:hAnsi="Calibri" w:eastAsia="仿宋_GB2312" w:cs="Times New Roman"/>
      <w:b/>
      <w:sz w:val="24"/>
    </w:rPr>
  </w:style>
  <w:style w:type="character" w:customStyle="1" w:styleId="131">
    <w:name w:val="批注框文本 字符"/>
    <w:basedOn w:val="109"/>
    <w:link w:val="42"/>
    <w:qFormat/>
    <w:uiPriority w:val="0"/>
    <w:rPr>
      <w:rFonts w:ascii="Calibri" w:hAnsi="Calibri" w:eastAsia="仿宋_GB2312" w:cs="Times New Roman"/>
      <w:sz w:val="18"/>
      <w:szCs w:val="18"/>
    </w:rPr>
  </w:style>
  <w:style w:type="character" w:customStyle="1" w:styleId="132">
    <w:name w:val="KY-表格 Char Char"/>
    <w:link w:val="133"/>
    <w:qFormat/>
    <w:uiPriority w:val="0"/>
  </w:style>
  <w:style w:type="paragraph" w:customStyle="1" w:styleId="133">
    <w:name w:val="KY-表格"/>
    <w:basedOn w:val="1"/>
    <w:link w:val="132"/>
    <w:uiPriority w:val="0"/>
    <w:pPr>
      <w:spacing w:before="62" w:beforeLines="20" w:after="62" w:afterLines="20"/>
      <w:jc w:val="center"/>
    </w:pPr>
  </w:style>
  <w:style w:type="character" w:customStyle="1" w:styleId="134">
    <w:name w:val="日期 字符"/>
    <w:link w:val="39"/>
    <w:qFormat/>
    <w:uiPriority w:val="0"/>
    <w:rPr>
      <w:rFonts w:eastAsia="仿宋_GB2312"/>
      <w:sz w:val="28"/>
    </w:rPr>
  </w:style>
  <w:style w:type="character" w:customStyle="1" w:styleId="135">
    <w:name w:val="日期 Char1"/>
    <w:basedOn w:val="109"/>
    <w:qFormat/>
    <w:uiPriority w:val="0"/>
  </w:style>
  <w:style w:type="character" w:customStyle="1" w:styleId="136">
    <w:name w:val="正文 公式 Char Char"/>
    <w:link w:val="137"/>
    <w:qFormat/>
    <w:uiPriority w:val="0"/>
    <w:rPr>
      <w:rFonts w:eastAsia="仿宋_GB2312"/>
      <w:sz w:val="24"/>
    </w:rPr>
  </w:style>
  <w:style w:type="paragraph" w:customStyle="1" w:styleId="137">
    <w:name w:val="正文 公式"/>
    <w:basedOn w:val="1"/>
    <w:link w:val="136"/>
    <w:qFormat/>
    <w:uiPriority w:val="0"/>
    <w:pPr>
      <w:spacing w:before="312" w:beforeLines="100" w:after="156"/>
      <w:jc w:val="center"/>
    </w:pPr>
  </w:style>
  <w:style w:type="character" w:customStyle="1" w:styleId="138">
    <w:name w:val="文本块 Char"/>
    <w:link w:val="139"/>
    <w:qFormat/>
    <w:uiPriority w:val="0"/>
    <w:rPr>
      <w:rFonts w:ascii="仿宋_GB2312" w:eastAsia="仿宋_GB2312"/>
      <w:sz w:val="24"/>
    </w:rPr>
  </w:style>
  <w:style w:type="paragraph" w:customStyle="1" w:styleId="139">
    <w:name w:val="Block Text1"/>
    <w:basedOn w:val="1"/>
    <w:link w:val="138"/>
    <w:qFormat/>
    <w:uiPriority w:val="0"/>
    <w:pPr>
      <w:spacing w:after="120" w:line="312" w:lineRule="auto"/>
      <w:ind w:left="1440" w:leftChars="700" w:right="1440" w:rightChars="700"/>
    </w:pPr>
    <w:rPr>
      <w:rFonts w:ascii="仿宋_GB2312"/>
    </w:rPr>
  </w:style>
  <w:style w:type="character" w:customStyle="1" w:styleId="140">
    <w:name w:val="称呼 Char"/>
    <w:link w:val="141"/>
    <w:qFormat/>
    <w:uiPriority w:val="0"/>
    <w:rPr>
      <w:sz w:val="24"/>
    </w:rPr>
  </w:style>
  <w:style w:type="paragraph" w:customStyle="1" w:styleId="141">
    <w:name w:val="称呼1"/>
    <w:basedOn w:val="1"/>
    <w:next w:val="1"/>
    <w:link w:val="140"/>
    <w:qFormat/>
    <w:uiPriority w:val="0"/>
    <w:pPr>
      <w:widowControl/>
      <w:jc w:val="left"/>
    </w:pPr>
  </w:style>
  <w:style w:type="character" w:customStyle="1" w:styleId="142">
    <w:name w:val="批注主题 Char"/>
    <w:link w:val="143"/>
    <w:qFormat/>
    <w:uiPriority w:val="0"/>
    <w:rPr>
      <w:b/>
      <w:sz w:val="24"/>
    </w:rPr>
  </w:style>
  <w:style w:type="paragraph" w:customStyle="1" w:styleId="143">
    <w:name w:val="批注主题1"/>
    <w:basedOn w:val="24"/>
    <w:next w:val="24"/>
    <w:link w:val="142"/>
    <w:qFormat/>
    <w:uiPriority w:val="0"/>
    <w:pPr>
      <w:widowControl/>
      <w:spacing w:line="240" w:lineRule="auto"/>
      <w:ind w:firstLine="0" w:firstLineChars="0"/>
    </w:pPr>
    <w:rPr>
      <w:rFonts w:asciiTheme="minorHAnsi" w:hAnsiTheme="minorHAnsi" w:eastAsiaTheme="minorEastAsia" w:cstheme="minorBidi"/>
      <w:b/>
      <w:sz w:val="24"/>
    </w:rPr>
  </w:style>
  <w:style w:type="character" w:customStyle="1" w:styleId="144">
    <w:name w:val="批注文字 Char"/>
    <w:basedOn w:val="109"/>
    <w:qFormat/>
    <w:uiPriority w:val="0"/>
  </w:style>
  <w:style w:type="character" w:customStyle="1" w:styleId="145">
    <w:name w:val="批注文字 字符"/>
    <w:link w:val="24"/>
    <w:qFormat/>
    <w:uiPriority w:val="0"/>
    <w:rPr>
      <w:rFonts w:ascii="Calibri" w:hAnsi="Calibri" w:eastAsia="仿宋_GB2312" w:cs="Times New Roman"/>
      <w:sz w:val="22"/>
    </w:rPr>
  </w:style>
  <w:style w:type="character" w:customStyle="1" w:styleId="146">
    <w:name w:val="宏文本 Char"/>
    <w:link w:val="147"/>
    <w:qFormat/>
    <w:uiPriority w:val="0"/>
    <w:rPr>
      <w:rFonts w:ascii="Courier New" w:hAnsi="Courier New"/>
      <w:sz w:val="24"/>
    </w:rPr>
  </w:style>
  <w:style w:type="paragraph" w:customStyle="1" w:styleId="147">
    <w:name w:val="宏文本1"/>
    <w:link w:val="14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pPr>
    <w:rPr>
      <w:rFonts w:ascii="Courier New" w:hAnsi="Courier New" w:eastAsiaTheme="minorEastAsia" w:cstheme="minorBidi"/>
      <w:kern w:val="2"/>
      <w:sz w:val="24"/>
      <w:szCs w:val="22"/>
      <w:lang w:val="en-US" w:eastAsia="zh-CN" w:bidi="ar-SA"/>
    </w:rPr>
  </w:style>
  <w:style w:type="character" w:customStyle="1" w:styleId="148">
    <w:name w:val="签名 Char"/>
    <w:link w:val="149"/>
    <w:qFormat/>
    <w:uiPriority w:val="0"/>
    <w:rPr>
      <w:sz w:val="24"/>
    </w:rPr>
  </w:style>
  <w:style w:type="paragraph" w:customStyle="1" w:styleId="149">
    <w:name w:val="签名1"/>
    <w:basedOn w:val="1"/>
    <w:link w:val="148"/>
    <w:qFormat/>
    <w:uiPriority w:val="0"/>
    <w:pPr>
      <w:widowControl/>
      <w:ind w:left="100" w:leftChars="2100"/>
      <w:jc w:val="left"/>
    </w:pPr>
  </w:style>
  <w:style w:type="character" w:customStyle="1" w:styleId="150">
    <w:name w:val="电子邮件签名 Char"/>
    <w:link w:val="151"/>
    <w:qFormat/>
    <w:uiPriority w:val="0"/>
    <w:rPr>
      <w:sz w:val="24"/>
    </w:rPr>
  </w:style>
  <w:style w:type="paragraph" w:customStyle="1" w:styleId="151">
    <w:name w:val="电子邮件签名1"/>
    <w:basedOn w:val="1"/>
    <w:link w:val="150"/>
    <w:qFormat/>
    <w:uiPriority w:val="0"/>
    <w:pPr>
      <w:widowControl/>
      <w:spacing w:before="60"/>
      <w:ind w:firstLine="482"/>
      <w:jc w:val="left"/>
    </w:pPr>
  </w:style>
  <w:style w:type="character" w:customStyle="1" w:styleId="152">
    <w:name w:val="HTML 预设格式 Char"/>
    <w:link w:val="153"/>
    <w:qFormat/>
    <w:uiPriority w:val="0"/>
    <w:rPr>
      <w:rFonts w:ascii="Courier New" w:hAnsi="Courier New"/>
    </w:rPr>
  </w:style>
  <w:style w:type="paragraph" w:customStyle="1" w:styleId="153">
    <w:name w:val="HTML 预设格式1"/>
    <w:basedOn w:val="1"/>
    <w:link w:val="15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Courier New" w:hAnsi="Courier New"/>
    </w:rPr>
  </w:style>
  <w:style w:type="character" w:customStyle="1" w:styleId="154">
    <w:name w:val="正文首行缩进 Char"/>
    <w:link w:val="155"/>
    <w:qFormat/>
    <w:uiPriority w:val="0"/>
    <w:rPr>
      <w:sz w:val="24"/>
    </w:rPr>
  </w:style>
  <w:style w:type="paragraph" w:customStyle="1" w:styleId="155">
    <w:name w:val="正文首行缩进1"/>
    <w:basedOn w:val="156"/>
    <w:link w:val="154"/>
    <w:qFormat/>
    <w:uiPriority w:val="0"/>
    <w:pPr>
      <w:widowControl/>
      <w:spacing w:after="120" w:line="240" w:lineRule="auto"/>
      <w:ind w:firstLine="420" w:firstLineChars="100"/>
    </w:pPr>
    <w:rPr>
      <w:rFonts w:asciiTheme="minorHAnsi" w:hAnsiTheme="minorHAnsi" w:eastAsiaTheme="minorEastAsia" w:cstheme="minorBidi"/>
      <w:kern w:val="2"/>
      <w:szCs w:val="22"/>
    </w:rPr>
  </w:style>
  <w:style w:type="paragraph" w:customStyle="1" w:styleId="156">
    <w:name w:val="Body Text1"/>
    <w:basedOn w:val="1"/>
    <w:qFormat/>
    <w:uiPriority w:val="0"/>
    <w:pPr>
      <w:spacing w:line="300" w:lineRule="auto"/>
    </w:pPr>
    <w:rPr>
      <w:rFonts w:cs="Times New Roman"/>
      <w:kern w:val="0"/>
      <w:szCs w:val="24"/>
    </w:rPr>
  </w:style>
  <w:style w:type="character" w:customStyle="1" w:styleId="157">
    <w:name w:val="正文首行缩进 2 Char"/>
    <w:link w:val="158"/>
    <w:qFormat/>
    <w:uiPriority w:val="0"/>
    <w:rPr>
      <w:rFonts w:ascii="Arial" w:hAnsi="Arial"/>
      <w:sz w:val="32"/>
    </w:rPr>
  </w:style>
  <w:style w:type="paragraph" w:customStyle="1" w:styleId="158">
    <w:name w:val="Body Text First Indent 21"/>
    <w:basedOn w:val="159"/>
    <w:link w:val="157"/>
    <w:qFormat/>
    <w:uiPriority w:val="0"/>
    <w:pPr>
      <w:spacing w:after="120" w:line="240" w:lineRule="auto"/>
      <w:ind w:left="420" w:leftChars="200" w:firstLine="420"/>
    </w:pPr>
    <w:rPr>
      <w:rFonts w:ascii="Arial" w:hAnsi="Arial" w:eastAsiaTheme="minorEastAsia" w:cstheme="minorBidi"/>
      <w:sz w:val="32"/>
    </w:rPr>
  </w:style>
  <w:style w:type="paragraph" w:customStyle="1" w:styleId="159">
    <w:name w:val="Body Text Indent1"/>
    <w:basedOn w:val="1"/>
    <w:link w:val="160"/>
    <w:qFormat/>
    <w:uiPriority w:val="0"/>
    <w:pPr>
      <w:ind w:firstLine="560"/>
    </w:pPr>
    <w:rPr>
      <w:rFonts w:ascii="仿宋_GB2312" w:hAnsi="宋体" w:cs="Times New Roman"/>
    </w:rPr>
  </w:style>
  <w:style w:type="character" w:customStyle="1" w:styleId="160">
    <w:name w:val="正文文本缩进 Char1"/>
    <w:link w:val="159"/>
    <w:qFormat/>
    <w:uiPriority w:val="0"/>
    <w:rPr>
      <w:rFonts w:ascii="仿宋_GB2312" w:hAnsi="宋体" w:eastAsia="仿宋_GB2312" w:cs="Times New Roman"/>
      <w:sz w:val="24"/>
    </w:rPr>
  </w:style>
  <w:style w:type="paragraph" w:customStyle="1" w:styleId="161">
    <w:name w:val="日期1"/>
    <w:basedOn w:val="1"/>
    <w:next w:val="1"/>
    <w:qFormat/>
    <w:uiPriority w:val="0"/>
    <w:pPr>
      <w:jc w:val="left"/>
      <w:textAlignment w:val="baseline"/>
    </w:pPr>
    <w:rPr>
      <w:rFonts w:ascii="宋体" w:hAnsi="Calibri" w:cs="Times New Roman"/>
    </w:rPr>
  </w:style>
  <w:style w:type="character" w:customStyle="1" w:styleId="162">
    <w:name w:val="结束语 Char"/>
    <w:link w:val="163"/>
    <w:qFormat/>
    <w:uiPriority w:val="0"/>
    <w:rPr>
      <w:sz w:val="24"/>
    </w:rPr>
  </w:style>
  <w:style w:type="paragraph" w:customStyle="1" w:styleId="163">
    <w:name w:val="结束语1"/>
    <w:basedOn w:val="1"/>
    <w:link w:val="162"/>
    <w:qFormat/>
    <w:uiPriority w:val="0"/>
    <w:pPr>
      <w:widowControl/>
      <w:ind w:left="100" w:leftChars="2100"/>
      <w:jc w:val="left"/>
    </w:pPr>
  </w:style>
  <w:style w:type="character" w:customStyle="1" w:styleId="164">
    <w:name w:val="信息标题 Char"/>
    <w:link w:val="165"/>
    <w:qFormat/>
    <w:uiPriority w:val="0"/>
    <w:rPr>
      <w:rFonts w:ascii="Arial" w:hAnsi="Arial"/>
      <w:sz w:val="24"/>
      <w:shd w:val="pct20" w:color="auto" w:fill="auto"/>
    </w:rPr>
  </w:style>
  <w:style w:type="paragraph" w:customStyle="1" w:styleId="165">
    <w:name w:val="信息标题1"/>
    <w:basedOn w:val="1"/>
    <w:link w:val="164"/>
    <w:qFormat/>
    <w:uiPriority w:val="0"/>
    <w:pPr>
      <w:widowControl/>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shd w:val="pct20" w:color="auto" w:fill="auto"/>
    </w:rPr>
  </w:style>
  <w:style w:type="character" w:customStyle="1" w:styleId="166">
    <w:name w:val="正文缩进 字符"/>
    <w:link w:val="18"/>
    <w:qFormat/>
    <w:uiPriority w:val="0"/>
    <w:rPr>
      <w:rFonts w:eastAsia="仿宋_GB2312"/>
      <w:sz w:val="28"/>
    </w:rPr>
  </w:style>
  <w:style w:type="character" w:customStyle="1" w:styleId="167">
    <w:name w:val="正文文本缩进 3 Char"/>
    <w:link w:val="168"/>
    <w:qFormat/>
    <w:uiPriority w:val="0"/>
    <w:rPr>
      <w:sz w:val="16"/>
    </w:rPr>
  </w:style>
  <w:style w:type="paragraph" w:customStyle="1" w:styleId="168">
    <w:name w:val="正文文本缩进 31"/>
    <w:basedOn w:val="1"/>
    <w:link w:val="167"/>
    <w:qFormat/>
    <w:uiPriority w:val="0"/>
    <w:pPr>
      <w:widowControl/>
      <w:spacing w:after="120"/>
      <w:ind w:left="420" w:leftChars="200"/>
      <w:jc w:val="left"/>
    </w:pPr>
    <w:rPr>
      <w:sz w:val="16"/>
    </w:rPr>
  </w:style>
  <w:style w:type="character" w:customStyle="1" w:styleId="169">
    <w:name w:val="HTML 地址 Char"/>
    <w:link w:val="170"/>
    <w:qFormat/>
    <w:uiPriority w:val="0"/>
    <w:rPr>
      <w:i/>
      <w:sz w:val="24"/>
    </w:rPr>
  </w:style>
  <w:style w:type="paragraph" w:customStyle="1" w:styleId="170">
    <w:name w:val="HTML 地址1"/>
    <w:basedOn w:val="1"/>
    <w:link w:val="169"/>
    <w:qFormat/>
    <w:uiPriority w:val="0"/>
    <w:pPr>
      <w:widowControl/>
      <w:spacing w:before="60"/>
      <w:ind w:firstLine="482"/>
      <w:jc w:val="left"/>
    </w:pPr>
    <w:rPr>
      <w:i/>
    </w:rPr>
  </w:style>
  <w:style w:type="character" w:customStyle="1" w:styleId="171">
    <w:name w:val="正文文本 3 Char"/>
    <w:link w:val="172"/>
    <w:qFormat/>
    <w:uiPriority w:val="0"/>
    <w:rPr>
      <w:rFonts w:eastAsia="仿宋_GB2312"/>
      <w:sz w:val="24"/>
    </w:rPr>
  </w:style>
  <w:style w:type="paragraph" w:customStyle="1" w:styleId="172">
    <w:name w:val="Body Text 31"/>
    <w:basedOn w:val="1"/>
    <w:link w:val="171"/>
    <w:qFormat/>
    <w:uiPriority w:val="0"/>
  </w:style>
  <w:style w:type="character" w:customStyle="1" w:styleId="173">
    <w:name w:val="表格编号 Char Char"/>
    <w:link w:val="174"/>
    <w:qFormat/>
    <w:uiPriority w:val="0"/>
    <w:rPr>
      <w:sz w:val="24"/>
    </w:rPr>
  </w:style>
  <w:style w:type="paragraph" w:customStyle="1" w:styleId="174">
    <w:name w:val="表格编号"/>
    <w:basedOn w:val="1"/>
    <w:next w:val="175"/>
    <w:link w:val="173"/>
    <w:qFormat/>
    <w:uiPriority w:val="0"/>
    <w:pPr>
      <w:widowControl/>
      <w:spacing w:line="20" w:lineRule="atLeast"/>
      <w:jc w:val="left"/>
    </w:pPr>
  </w:style>
  <w:style w:type="paragraph" w:customStyle="1" w:styleId="175">
    <w:name w:val="表格文字"/>
    <w:basedOn w:val="1"/>
    <w:link w:val="176"/>
    <w:qFormat/>
    <w:uiPriority w:val="0"/>
    <w:pPr>
      <w:widowControl/>
      <w:jc w:val="center"/>
    </w:pPr>
    <w:rPr>
      <w:rFonts w:ascii="仿宋_GB2312" w:hAnsi="Arial Black" w:cs="Times New Roman"/>
      <w:kern w:val="44"/>
    </w:rPr>
  </w:style>
  <w:style w:type="character" w:customStyle="1" w:styleId="176">
    <w:name w:val="表格文字 Char Char"/>
    <w:link w:val="175"/>
    <w:qFormat/>
    <w:uiPriority w:val="0"/>
    <w:rPr>
      <w:rFonts w:ascii="仿宋_GB2312" w:hAnsi="Arial Black" w:eastAsia="仿宋_GB2312" w:cs="Times New Roman"/>
      <w:kern w:val="44"/>
      <w:sz w:val="24"/>
    </w:rPr>
  </w:style>
  <w:style w:type="character" w:customStyle="1" w:styleId="177">
    <w:name w:val="脚注文本 字符"/>
    <w:link w:val="49"/>
    <w:qFormat/>
    <w:uiPriority w:val="0"/>
    <w:rPr>
      <w:rFonts w:ascii="宋体"/>
      <w:sz w:val="18"/>
    </w:rPr>
  </w:style>
  <w:style w:type="character" w:customStyle="1" w:styleId="178">
    <w:name w:val="脚注文本 Char1"/>
    <w:basedOn w:val="109"/>
    <w:qFormat/>
    <w:uiPriority w:val="0"/>
    <w:rPr>
      <w:sz w:val="18"/>
      <w:szCs w:val="18"/>
    </w:rPr>
  </w:style>
  <w:style w:type="character" w:customStyle="1" w:styleId="179">
    <w:name w:val="报告书表格 Char Char"/>
    <w:link w:val="180"/>
    <w:qFormat/>
    <w:uiPriority w:val="0"/>
    <w:rPr>
      <w:rFonts w:eastAsia="仿宋_GB2312"/>
      <w:sz w:val="24"/>
    </w:rPr>
  </w:style>
  <w:style w:type="paragraph" w:customStyle="1" w:styleId="180">
    <w:name w:val="报告书表格"/>
    <w:basedOn w:val="1"/>
    <w:link w:val="179"/>
    <w:qFormat/>
    <w:uiPriority w:val="0"/>
    <w:pPr>
      <w:spacing w:line="400" w:lineRule="exact"/>
      <w:jc w:val="center"/>
      <w:textAlignment w:val="baseline"/>
    </w:pPr>
  </w:style>
  <w:style w:type="character" w:customStyle="1" w:styleId="181">
    <w:name w:val="hhcwt标题3 Char Char"/>
    <w:link w:val="182"/>
    <w:qFormat/>
    <w:uiPriority w:val="0"/>
    <w:rPr>
      <w:rFonts w:eastAsia="楷体_GB2312"/>
      <w:sz w:val="28"/>
    </w:rPr>
  </w:style>
  <w:style w:type="paragraph" w:customStyle="1" w:styleId="182">
    <w:name w:val="hhcwt标题3"/>
    <w:basedOn w:val="1"/>
    <w:link w:val="181"/>
    <w:qFormat/>
    <w:uiPriority w:val="0"/>
    <w:pPr>
      <w:keepNext/>
      <w:keepLines/>
      <w:spacing w:line="336" w:lineRule="auto"/>
      <w:outlineLvl w:val="2"/>
    </w:pPr>
    <w:rPr>
      <w:rFonts w:eastAsia="楷体_GB2312"/>
    </w:rPr>
  </w:style>
  <w:style w:type="character" w:customStyle="1" w:styleId="183">
    <w:name w:val="样式 样式 宋体 小四 行距: 多倍行距 1.4 字行2 + 黑色 Char Char"/>
    <w:link w:val="184"/>
    <w:qFormat/>
    <w:uiPriority w:val="0"/>
    <w:rPr>
      <w:rFonts w:ascii="宋体"/>
      <w:color w:val="000000"/>
      <w:sz w:val="24"/>
    </w:rPr>
  </w:style>
  <w:style w:type="paragraph" w:customStyle="1" w:styleId="184">
    <w:name w:val="样式 样式 宋体 小四 行距: 多倍行距 1.4 字行2 + 黑色"/>
    <w:basedOn w:val="1"/>
    <w:link w:val="183"/>
    <w:qFormat/>
    <w:uiPriority w:val="0"/>
    <w:pPr>
      <w:spacing w:line="336" w:lineRule="auto"/>
      <w:ind w:firstLine="480"/>
    </w:pPr>
    <w:rPr>
      <w:rFonts w:ascii="宋体"/>
      <w:color w:val="000000"/>
    </w:rPr>
  </w:style>
  <w:style w:type="character" w:customStyle="1" w:styleId="185">
    <w:name w:val="Heading 1 Char"/>
    <w:qFormat/>
    <w:uiPriority w:val="0"/>
    <w:rPr>
      <w:rFonts w:eastAsia="仿宋_GB2312"/>
      <w:b/>
      <w:kern w:val="44"/>
      <w:sz w:val="44"/>
    </w:rPr>
  </w:style>
  <w:style w:type="character" w:customStyle="1" w:styleId="186">
    <w:name w:val="表格标题2 Char"/>
    <w:link w:val="187"/>
    <w:qFormat/>
    <w:uiPriority w:val="0"/>
    <w:rPr>
      <w:rFonts w:eastAsia="仿宋_GB2312"/>
      <w:b/>
      <w:sz w:val="28"/>
    </w:rPr>
  </w:style>
  <w:style w:type="paragraph" w:customStyle="1" w:styleId="187">
    <w:name w:val="表格标题2"/>
    <w:basedOn w:val="188"/>
    <w:link w:val="186"/>
    <w:qFormat/>
    <w:uiPriority w:val="0"/>
    <w:rPr>
      <w:rFonts w:asciiTheme="minorHAnsi" w:hAnsiTheme="minorHAnsi" w:cstheme="minorBidi"/>
      <w:b/>
      <w:kern w:val="2"/>
      <w:szCs w:val="22"/>
    </w:rPr>
  </w:style>
  <w:style w:type="paragraph" w:customStyle="1" w:styleId="188">
    <w:name w:val="报告正文1"/>
    <w:link w:val="286"/>
    <w:qFormat/>
    <w:uiPriority w:val="0"/>
    <w:pPr>
      <w:widowControl w:val="0"/>
      <w:adjustRightInd w:val="0"/>
      <w:snapToGrid w:val="0"/>
      <w:spacing w:line="500" w:lineRule="exact"/>
      <w:ind w:firstLine="200" w:firstLineChars="200"/>
      <w:jc w:val="both"/>
    </w:pPr>
    <w:rPr>
      <w:rFonts w:ascii="Times New Roman" w:hAnsi="Times New Roman" w:eastAsia="仿宋_GB2312" w:cs="Times New Roman"/>
      <w:kern w:val="0"/>
      <w:sz w:val="28"/>
      <w:szCs w:val="20"/>
      <w:lang w:val="en-US" w:eastAsia="zh-CN" w:bidi="ar-SA"/>
    </w:rPr>
  </w:style>
  <w:style w:type="character" w:customStyle="1" w:styleId="189">
    <w:name w:val="样式 标题 2标题 2节第一章 标题 2Heading 2 HiddenHeading 2 CCBSheading 2...2 Char Char"/>
    <w:link w:val="190"/>
    <w:qFormat/>
    <w:uiPriority w:val="0"/>
    <w:rPr>
      <w:rFonts w:ascii="楷体_GB2312" w:hAnsi="楷体_GB2312" w:eastAsia="楷体_GB2312"/>
      <w:b/>
      <w:sz w:val="32"/>
    </w:rPr>
  </w:style>
  <w:style w:type="paragraph" w:customStyle="1" w:styleId="190">
    <w:name w:val="样式 标题 2标题 2节第一章 标题 2Heading 2 HiddenHeading 2 CCBSheading 2...2"/>
    <w:basedOn w:val="3"/>
    <w:link w:val="189"/>
    <w:qFormat/>
    <w:uiPriority w:val="0"/>
    <w:rPr>
      <w:rFonts w:ascii="楷体_GB2312" w:hAnsi="楷体_GB2312" w:eastAsia="楷体_GB2312" w:cstheme="minorBidi"/>
      <w:bCs w:val="0"/>
      <w:kern w:val="2"/>
      <w:sz w:val="32"/>
      <w:szCs w:val="22"/>
    </w:rPr>
  </w:style>
  <w:style w:type="character" w:customStyle="1" w:styleId="191">
    <w:name w:val="Body Text Char1"/>
    <w:uiPriority w:val="0"/>
    <w:rPr>
      <w:rFonts w:eastAsia="仿宋_GB2312"/>
      <w:kern w:val="2"/>
      <w:sz w:val="28"/>
      <w:szCs w:val="22"/>
    </w:rPr>
  </w:style>
  <w:style w:type="character" w:customStyle="1" w:styleId="192">
    <w:name w:val="正文文本 字符"/>
    <w:basedOn w:val="109"/>
    <w:link w:val="27"/>
    <w:qFormat/>
    <w:uiPriority w:val="0"/>
    <w:rPr>
      <w:rFonts w:ascii="Calibri" w:hAnsi="Calibri" w:eastAsia="仿宋_GB2312" w:cs="Times New Roman"/>
      <w:sz w:val="24"/>
    </w:rPr>
  </w:style>
  <w:style w:type="character" w:customStyle="1" w:styleId="193">
    <w:name w:val="表格 普通文字 Char Char"/>
    <w:link w:val="194"/>
    <w:qFormat/>
    <w:uiPriority w:val="0"/>
    <w:rPr>
      <w:rFonts w:eastAsia="仿宋_GB2312"/>
    </w:rPr>
  </w:style>
  <w:style w:type="paragraph" w:customStyle="1" w:styleId="194">
    <w:name w:val="表格 普通文字"/>
    <w:basedOn w:val="195"/>
    <w:link w:val="193"/>
    <w:qFormat/>
    <w:uiPriority w:val="0"/>
    <w:pPr>
      <w:spacing w:line="240" w:lineRule="auto"/>
      <w:ind w:firstLine="0" w:firstLineChars="0"/>
      <w:jc w:val="center"/>
    </w:pPr>
    <w:rPr>
      <w:rFonts w:asciiTheme="minorHAnsi" w:hAnsiTheme="minorHAnsi" w:cstheme="minorBidi"/>
      <w:sz w:val="21"/>
    </w:rPr>
  </w:style>
  <w:style w:type="paragraph" w:customStyle="1" w:styleId="195">
    <w:name w:val="正文 文字"/>
    <w:basedOn w:val="1"/>
    <w:link w:val="196"/>
    <w:qFormat/>
    <w:uiPriority w:val="0"/>
    <w:pPr>
      <w:jc w:val="left"/>
    </w:pPr>
    <w:rPr>
      <w:rFonts w:cs="Times New Roman"/>
    </w:rPr>
  </w:style>
  <w:style w:type="character" w:customStyle="1" w:styleId="196">
    <w:name w:val="正文 文字 Char Char"/>
    <w:link w:val="195"/>
    <w:uiPriority w:val="0"/>
    <w:rPr>
      <w:rFonts w:ascii="Times New Roman" w:hAnsi="Times New Roman" w:eastAsia="仿宋_GB2312" w:cs="Times New Roman"/>
      <w:sz w:val="24"/>
    </w:rPr>
  </w:style>
  <w:style w:type="character" w:customStyle="1" w:styleId="197">
    <w:name w:val="正文5 Char Char"/>
    <w:link w:val="198"/>
    <w:qFormat/>
    <w:uiPriority w:val="0"/>
    <w:rPr>
      <w:sz w:val="24"/>
    </w:rPr>
  </w:style>
  <w:style w:type="paragraph" w:customStyle="1" w:styleId="198">
    <w:name w:val="正文5"/>
    <w:basedOn w:val="1"/>
    <w:next w:val="1"/>
    <w:link w:val="197"/>
    <w:uiPriority w:val="0"/>
    <w:pPr>
      <w:widowControl/>
      <w:jc w:val="left"/>
    </w:pPr>
  </w:style>
  <w:style w:type="character" w:customStyle="1" w:styleId="199">
    <w:name w:val="Comment Subject Char"/>
    <w:uiPriority w:val="0"/>
    <w:rPr>
      <w:rFonts w:eastAsia="仿宋_GB2312"/>
      <w:b/>
      <w:bCs/>
      <w:kern w:val="2"/>
      <w:sz w:val="28"/>
      <w:szCs w:val="22"/>
    </w:rPr>
  </w:style>
  <w:style w:type="paragraph" w:customStyle="1" w:styleId="200">
    <w:name w:val="批注主题2"/>
    <w:basedOn w:val="24"/>
    <w:next w:val="24"/>
    <w:link w:val="201"/>
    <w:uiPriority w:val="0"/>
    <w:pPr>
      <w:widowControl/>
      <w:spacing w:line="240" w:lineRule="auto"/>
      <w:ind w:firstLine="0" w:firstLineChars="0"/>
    </w:pPr>
    <w:rPr>
      <w:rFonts w:ascii="宋体"/>
      <w:b/>
      <w:sz w:val="24"/>
    </w:rPr>
  </w:style>
  <w:style w:type="character" w:customStyle="1" w:styleId="201">
    <w:name w:val="Comment Subject Char1"/>
    <w:link w:val="200"/>
    <w:qFormat/>
    <w:uiPriority w:val="0"/>
    <w:rPr>
      <w:rFonts w:ascii="宋体" w:hAnsi="Calibri" w:eastAsia="宋体" w:cs="Times New Roman"/>
      <w:b/>
      <w:sz w:val="24"/>
    </w:rPr>
  </w:style>
  <w:style w:type="character" w:customStyle="1" w:styleId="202">
    <w:name w:val="亚行正文 Char Char"/>
    <w:link w:val="203"/>
    <w:qFormat/>
    <w:uiPriority w:val="0"/>
    <w:rPr>
      <w:rFonts w:ascii="宋体"/>
      <w:sz w:val="28"/>
    </w:rPr>
  </w:style>
  <w:style w:type="paragraph" w:customStyle="1" w:styleId="203">
    <w:name w:val="亚行正文"/>
    <w:basedOn w:val="1"/>
    <w:link w:val="202"/>
    <w:uiPriority w:val="0"/>
    <w:pPr>
      <w:widowControl/>
      <w:ind w:firstLine="560"/>
      <w:jc w:val="left"/>
    </w:pPr>
    <w:rPr>
      <w:rFonts w:ascii="宋体"/>
    </w:rPr>
  </w:style>
  <w:style w:type="character" w:customStyle="1" w:styleId="204">
    <w:name w:val="标题 2 Char1"/>
    <w:qFormat/>
    <w:uiPriority w:val="0"/>
    <w:rPr>
      <w:rFonts w:ascii="Cambria" w:hAnsi="Cambria" w:eastAsia="仿宋_GB2312"/>
      <w:b/>
      <w:sz w:val="32"/>
    </w:rPr>
  </w:style>
  <w:style w:type="character" w:customStyle="1" w:styleId="205">
    <w:name w:val="图表题 Char Char"/>
    <w:link w:val="206"/>
    <w:qFormat/>
    <w:uiPriority w:val="0"/>
    <w:rPr>
      <w:rFonts w:ascii="黑体" w:hAnsi="宋体" w:eastAsia="黑体"/>
      <w:b/>
      <w:sz w:val="24"/>
    </w:rPr>
  </w:style>
  <w:style w:type="paragraph" w:customStyle="1" w:styleId="206">
    <w:name w:val="图表题"/>
    <w:basedOn w:val="207"/>
    <w:next w:val="207"/>
    <w:link w:val="205"/>
    <w:uiPriority w:val="0"/>
    <w:pPr>
      <w:ind w:firstLine="0"/>
      <w:jc w:val="center"/>
    </w:pPr>
    <w:rPr>
      <w:rFonts w:ascii="黑体" w:hAnsi="宋体" w:eastAsia="黑体" w:cstheme="minorBidi"/>
      <w:b/>
    </w:rPr>
  </w:style>
  <w:style w:type="paragraph" w:customStyle="1" w:styleId="207">
    <w:name w:val="正文格式"/>
    <w:basedOn w:val="1"/>
    <w:link w:val="208"/>
    <w:qFormat/>
    <w:uiPriority w:val="0"/>
    <w:pPr>
      <w:widowControl/>
      <w:ind w:firstLine="482"/>
      <w:jc w:val="left"/>
    </w:pPr>
    <w:rPr>
      <w:rFonts w:ascii="宋体" w:hAnsi="Calibri" w:cs="Times New Roman"/>
    </w:rPr>
  </w:style>
  <w:style w:type="character" w:customStyle="1" w:styleId="208">
    <w:name w:val="正文格式 Char Char"/>
    <w:link w:val="207"/>
    <w:qFormat/>
    <w:uiPriority w:val="0"/>
    <w:rPr>
      <w:rFonts w:ascii="宋体" w:hAnsi="Calibri" w:eastAsia="宋体" w:cs="Times New Roman"/>
      <w:sz w:val="24"/>
    </w:rPr>
  </w:style>
  <w:style w:type="character" w:customStyle="1" w:styleId="209">
    <w:name w:val="表头 Char Char"/>
    <w:link w:val="210"/>
    <w:qFormat/>
    <w:uiPriority w:val="0"/>
    <w:rPr>
      <w:rFonts w:eastAsia="黑体"/>
      <w:spacing w:val="-10"/>
    </w:rPr>
  </w:style>
  <w:style w:type="paragraph" w:customStyle="1" w:styleId="210">
    <w:name w:val="表头"/>
    <w:basedOn w:val="1"/>
    <w:link w:val="209"/>
    <w:qFormat/>
    <w:uiPriority w:val="0"/>
    <w:pPr>
      <w:spacing w:line="320" w:lineRule="atLeast"/>
      <w:jc w:val="center"/>
      <w:textAlignment w:val="baseline"/>
    </w:pPr>
    <w:rPr>
      <w:rFonts w:eastAsia="黑体"/>
      <w:spacing w:val="-10"/>
    </w:rPr>
  </w:style>
  <w:style w:type="character" w:customStyle="1" w:styleId="211">
    <w:name w:val="表格字体 Char Char"/>
    <w:link w:val="212"/>
    <w:qFormat/>
    <w:uiPriority w:val="0"/>
    <w:rPr>
      <w:sz w:val="24"/>
    </w:rPr>
  </w:style>
  <w:style w:type="paragraph" w:customStyle="1" w:styleId="212">
    <w:name w:val="表格字体"/>
    <w:basedOn w:val="1"/>
    <w:link w:val="211"/>
    <w:qFormat/>
    <w:uiPriority w:val="0"/>
    <w:pPr>
      <w:widowControl/>
      <w:jc w:val="center"/>
    </w:pPr>
  </w:style>
  <w:style w:type="character" w:customStyle="1" w:styleId="213">
    <w:name w:val="正文(首行缩进) Char Char"/>
    <w:link w:val="214"/>
    <w:qFormat/>
    <w:uiPriority w:val="0"/>
    <w:rPr>
      <w:color w:val="000000"/>
      <w:sz w:val="24"/>
    </w:rPr>
  </w:style>
  <w:style w:type="paragraph" w:customStyle="1" w:styleId="214">
    <w:name w:val="正文(首行缩进)"/>
    <w:basedOn w:val="1"/>
    <w:link w:val="213"/>
    <w:qFormat/>
    <w:uiPriority w:val="0"/>
    <w:rPr>
      <w:color w:val="000000"/>
    </w:rPr>
  </w:style>
  <w:style w:type="character" w:customStyle="1" w:styleId="215">
    <w:name w:val="和桥报告正文 Char Char"/>
    <w:link w:val="216"/>
    <w:qFormat/>
    <w:uiPriority w:val="0"/>
    <w:rPr>
      <w:kern w:val="24"/>
    </w:rPr>
  </w:style>
  <w:style w:type="paragraph" w:customStyle="1" w:styleId="216">
    <w:name w:val="和桥报告正文"/>
    <w:basedOn w:val="1"/>
    <w:link w:val="215"/>
    <w:qFormat/>
    <w:uiPriority w:val="0"/>
    <w:pPr>
      <w:widowControl/>
      <w:ind w:firstLine="482"/>
      <w:jc w:val="left"/>
      <w:textAlignment w:val="baseline"/>
    </w:pPr>
    <w:rPr>
      <w:kern w:val="24"/>
    </w:rPr>
  </w:style>
  <w:style w:type="character" w:customStyle="1" w:styleId="217">
    <w:name w:val="尾注文本 Char1"/>
    <w:uiPriority w:val="0"/>
    <w:rPr>
      <w:rFonts w:eastAsia="仿宋_GB2312"/>
      <w:kern w:val="2"/>
      <w:sz w:val="22"/>
    </w:rPr>
  </w:style>
  <w:style w:type="character" w:customStyle="1" w:styleId="218">
    <w:name w:val="样式 正文1 + 首行缩进:  2 字符 Char Char"/>
    <w:link w:val="219"/>
    <w:qFormat/>
    <w:uiPriority w:val="0"/>
    <w:rPr>
      <w:sz w:val="28"/>
    </w:rPr>
  </w:style>
  <w:style w:type="paragraph" w:customStyle="1" w:styleId="219">
    <w:name w:val="样式 正文1 + 首行缩进:  2 字符"/>
    <w:basedOn w:val="1"/>
    <w:link w:val="218"/>
    <w:uiPriority w:val="0"/>
    <w:pPr>
      <w:widowControl/>
      <w:ind w:firstLine="560"/>
      <w:jc w:val="left"/>
    </w:pPr>
  </w:style>
  <w:style w:type="character" w:customStyle="1" w:styleId="220">
    <w:name w:val="hhcwt正文 Char Char Char"/>
    <w:link w:val="221"/>
    <w:qFormat/>
    <w:uiPriority w:val="0"/>
    <w:rPr>
      <w:sz w:val="24"/>
    </w:rPr>
  </w:style>
  <w:style w:type="paragraph" w:customStyle="1" w:styleId="221">
    <w:name w:val="hhcwt正文 Char"/>
    <w:basedOn w:val="1"/>
    <w:link w:val="220"/>
    <w:qFormat/>
    <w:uiPriority w:val="0"/>
    <w:pPr>
      <w:ind w:firstLine="480"/>
    </w:pPr>
  </w:style>
  <w:style w:type="character" w:customStyle="1" w:styleId="222">
    <w:name w:val="正文样式 Char Char"/>
    <w:link w:val="223"/>
    <w:qFormat/>
    <w:uiPriority w:val="0"/>
    <w:rPr>
      <w:spacing w:val="10"/>
      <w:sz w:val="24"/>
    </w:rPr>
  </w:style>
  <w:style w:type="paragraph" w:customStyle="1" w:styleId="223">
    <w:name w:val="正文样式"/>
    <w:basedOn w:val="1"/>
    <w:link w:val="222"/>
    <w:uiPriority w:val="0"/>
    <w:pPr>
      <w:spacing w:before="156" w:after="156"/>
      <w:ind w:firstLine="480"/>
    </w:pPr>
    <w:rPr>
      <w:spacing w:val="10"/>
    </w:rPr>
  </w:style>
  <w:style w:type="character" w:customStyle="1" w:styleId="224">
    <w:name w:val="Heading 9 Char"/>
    <w:uiPriority w:val="0"/>
    <w:rPr>
      <w:rFonts w:ascii="Cambria" w:hAnsi="Cambria" w:eastAsia="宋体" w:cs="黑体"/>
      <w:kern w:val="2"/>
      <w:sz w:val="21"/>
      <w:szCs w:val="21"/>
    </w:rPr>
  </w:style>
  <w:style w:type="character" w:customStyle="1" w:styleId="225">
    <w:name w:val="环表头 Char2"/>
    <w:link w:val="226"/>
    <w:qFormat/>
    <w:uiPriority w:val="0"/>
    <w:rPr>
      <w:rFonts w:eastAsia="仿宋_GB2312"/>
      <w:sz w:val="24"/>
    </w:rPr>
  </w:style>
  <w:style w:type="paragraph" w:customStyle="1" w:styleId="226">
    <w:name w:val="环表头"/>
    <w:basedOn w:val="227"/>
    <w:next w:val="1"/>
    <w:link w:val="225"/>
    <w:qFormat/>
    <w:uiPriority w:val="0"/>
    <w:pPr>
      <w:tabs>
        <w:tab w:val="left" w:pos="283"/>
      </w:tabs>
      <w:spacing w:before="62" w:beforeLines="20" w:after="31" w:afterLines="10"/>
      <w:ind w:right="28" w:firstLine="0" w:firstLineChars="0"/>
    </w:pPr>
    <w:rPr>
      <w:rFonts w:asciiTheme="minorHAnsi" w:hAnsiTheme="minorHAnsi" w:cstheme="minorBidi"/>
      <w:b w:val="0"/>
      <w:color w:val="auto"/>
    </w:rPr>
  </w:style>
  <w:style w:type="paragraph" w:customStyle="1" w:styleId="227">
    <w:name w:val="环正文"/>
    <w:basedOn w:val="1"/>
    <w:link w:val="228"/>
    <w:qFormat/>
    <w:uiPriority w:val="0"/>
    <w:pPr>
      <w:tabs>
        <w:tab w:val="left" w:pos="5094"/>
      </w:tabs>
      <w:ind w:firstLine="562"/>
      <w:jc w:val="center"/>
      <w:textAlignment w:val="baseline"/>
    </w:pPr>
    <w:rPr>
      <w:rFonts w:cs="Times New Roman"/>
      <w:b/>
      <w:color w:val="0000CC"/>
    </w:rPr>
  </w:style>
  <w:style w:type="character" w:customStyle="1" w:styleId="228">
    <w:name w:val="环正文 Char1"/>
    <w:link w:val="227"/>
    <w:uiPriority w:val="0"/>
    <w:rPr>
      <w:rFonts w:ascii="Times New Roman" w:hAnsi="Times New Roman" w:eastAsia="仿宋_GB2312" w:cs="Times New Roman"/>
      <w:b/>
      <w:color w:val="0000CC"/>
      <w:sz w:val="28"/>
    </w:rPr>
  </w:style>
  <w:style w:type="character" w:customStyle="1" w:styleId="229">
    <w:name w:val="报告书正文 Char Char"/>
    <w:link w:val="230"/>
    <w:qFormat/>
    <w:uiPriority w:val="0"/>
    <w:rPr>
      <w:sz w:val="24"/>
    </w:rPr>
  </w:style>
  <w:style w:type="paragraph" w:customStyle="1" w:styleId="230">
    <w:name w:val="报告书正文"/>
    <w:basedOn w:val="1"/>
    <w:link w:val="229"/>
    <w:qFormat/>
    <w:uiPriority w:val="0"/>
    <w:pPr>
      <w:ind w:firstLine="480"/>
    </w:pPr>
  </w:style>
  <w:style w:type="character" w:customStyle="1" w:styleId="231">
    <w:name w:val="注释标题 Char3"/>
    <w:link w:val="232"/>
    <w:qFormat/>
    <w:uiPriority w:val="0"/>
    <w:rPr>
      <w:rFonts w:ascii="宋体"/>
    </w:rPr>
  </w:style>
  <w:style w:type="paragraph" w:customStyle="1" w:styleId="232">
    <w:name w:val="Note Heading1"/>
    <w:basedOn w:val="1"/>
    <w:next w:val="1"/>
    <w:link w:val="231"/>
    <w:uiPriority w:val="0"/>
    <w:pPr>
      <w:widowControl/>
      <w:jc w:val="center"/>
    </w:pPr>
    <w:rPr>
      <w:rFonts w:ascii="宋体"/>
    </w:rPr>
  </w:style>
  <w:style w:type="character" w:customStyle="1" w:styleId="233">
    <w:name w:val="批注引用1"/>
    <w:qFormat/>
    <w:uiPriority w:val="0"/>
    <w:rPr>
      <w:sz w:val="21"/>
    </w:rPr>
  </w:style>
  <w:style w:type="character" w:customStyle="1" w:styleId="234">
    <w:name w:val="正文修改 Char1"/>
    <w:link w:val="235"/>
    <w:uiPriority w:val="0"/>
    <w:rPr>
      <w:rFonts w:ascii="宋体"/>
      <w:color w:val="000000"/>
      <w:sz w:val="24"/>
    </w:rPr>
  </w:style>
  <w:style w:type="paragraph" w:customStyle="1" w:styleId="235">
    <w:name w:val="正文修改"/>
    <w:basedOn w:val="236"/>
    <w:link w:val="234"/>
    <w:qFormat/>
    <w:uiPriority w:val="0"/>
    <w:pPr>
      <w:tabs>
        <w:tab w:val="left" w:pos="4680"/>
      </w:tabs>
    </w:pPr>
    <w:rPr>
      <w:rFonts w:hAnsiTheme="minorHAnsi" w:eastAsiaTheme="minorEastAsia" w:cstheme="minorBidi"/>
      <w:color w:val="000000"/>
    </w:rPr>
  </w:style>
  <w:style w:type="paragraph" w:customStyle="1" w:styleId="236">
    <w:name w:val="燕山正文"/>
    <w:basedOn w:val="1"/>
    <w:link w:val="237"/>
    <w:qFormat/>
    <w:uiPriority w:val="0"/>
    <w:pPr>
      <w:widowControl/>
      <w:tabs>
        <w:tab w:val="left" w:pos="4680"/>
      </w:tabs>
      <w:spacing w:line="480" w:lineRule="exact"/>
      <w:jc w:val="left"/>
    </w:pPr>
    <w:rPr>
      <w:rFonts w:ascii="宋体" w:eastAsia="Times New Roman" w:cs="Times New Roman"/>
    </w:rPr>
  </w:style>
  <w:style w:type="character" w:customStyle="1" w:styleId="237">
    <w:name w:val="燕山正文 Char1"/>
    <w:link w:val="236"/>
    <w:qFormat/>
    <w:uiPriority w:val="0"/>
    <w:rPr>
      <w:rFonts w:ascii="宋体" w:hAnsi="Times New Roman" w:eastAsia="Times New Roman" w:cs="Times New Roman"/>
      <w:sz w:val="24"/>
    </w:rPr>
  </w:style>
  <w:style w:type="character" w:customStyle="1" w:styleId="238">
    <w:name w:val="Title Char1"/>
    <w:qFormat/>
    <w:uiPriority w:val="0"/>
    <w:rPr>
      <w:rFonts w:ascii="Cambria" w:hAnsi="Cambria" w:cs="黑体"/>
      <w:b/>
      <w:bCs/>
      <w:kern w:val="2"/>
      <w:sz w:val="32"/>
      <w:szCs w:val="32"/>
    </w:rPr>
  </w:style>
  <w:style w:type="character" w:customStyle="1" w:styleId="239">
    <w:name w:val="标题 字符"/>
    <w:basedOn w:val="109"/>
    <w:link w:val="60"/>
    <w:qFormat/>
    <w:uiPriority w:val="0"/>
    <w:rPr>
      <w:rFonts w:ascii="Times New Roman" w:hAnsi="Times New Roman" w:eastAsia="仿宋_GB2312" w:cs="Times New Roman"/>
      <w:b/>
      <w:sz w:val="24"/>
    </w:rPr>
  </w:style>
  <w:style w:type="character" w:customStyle="1" w:styleId="240">
    <w:name w:val="黑体标题 Char Char Char"/>
    <w:link w:val="241"/>
    <w:qFormat/>
    <w:uiPriority w:val="0"/>
    <w:rPr>
      <w:rFonts w:ascii="宋体"/>
      <w:sz w:val="28"/>
    </w:rPr>
  </w:style>
  <w:style w:type="paragraph" w:customStyle="1" w:styleId="241">
    <w:name w:val="黑体标题 Char"/>
    <w:basedOn w:val="1"/>
    <w:link w:val="240"/>
    <w:qFormat/>
    <w:uiPriority w:val="0"/>
    <w:pPr>
      <w:widowControl/>
      <w:ind w:firstLine="560"/>
      <w:jc w:val="left"/>
    </w:pPr>
    <w:rPr>
      <w:rFonts w:ascii="宋体"/>
    </w:rPr>
  </w:style>
  <w:style w:type="character" w:customStyle="1" w:styleId="242">
    <w:name w:val="一级标题 Char Char"/>
    <w:link w:val="6"/>
    <w:qFormat/>
    <w:uiPriority w:val="0"/>
    <w:rPr>
      <w:rFonts w:ascii="Swis721 BlkCn BT" w:hAnsi="Swis721 BlkCn BT" w:eastAsia="方正大黑简体"/>
      <w:color w:val="000000"/>
      <w:sz w:val="24"/>
    </w:rPr>
  </w:style>
  <w:style w:type="character" w:customStyle="1" w:styleId="243">
    <w:name w:val="KY-正文 Char Char"/>
    <w:link w:val="244"/>
    <w:qFormat/>
    <w:uiPriority w:val="0"/>
    <w:rPr>
      <w:sz w:val="28"/>
    </w:rPr>
  </w:style>
  <w:style w:type="paragraph" w:customStyle="1" w:styleId="244">
    <w:name w:val="KY-正文"/>
    <w:basedOn w:val="1"/>
    <w:link w:val="243"/>
    <w:qFormat/>
    <w:uiPriority w:val="0"/>
  </w:style>
  <w:style w:type="character" w:customStyle="1" w:styleId="245">
    <w:name w:val="金兰 Char Char"/>
    <w:link w:val="246"/>
    <w:uiPriority w:val="0"/>
    <w:rPr>
      <w:sz w:val="28"/>
    </w:rPr>
  </w:style>
  <w:style w:type="paragraph" w:customStyle="1" w:styleId="246">
    <w:name w:val="金兰"/>
    <w:basedOn w:val="1"/>
    <w:link w:val="245"/>
    <w:uiPriority w:val="0"/>
    <w:pPr>
      <w:widowControl/>
      <w:topLinePunct/>
      <w:spacing w:line="480" w:lineRule="exact"/>
      <w:ind w:firstLine="560"/>
      <w:jc w:val="left"/>
    </w:pPr>
  </w:style>
  <w:style w:type="character" w:customStyle="1" w:styleId="247">
    <w:name w:val="Footnote Text Char1"/>
    <w:uiPriority w:val="0"/>
    <w:rPr>
      <w:rFonts w:eastAsia="仿宋_GB2312"/>
      <w:kern w:val="2"/>
      <w:sz w:val="18"/>
      <w:szCs w:val="18"/>
    </w:rPr>
  </w:style>
  <w:style w:type="character" w:customStyle="1" w:styleId="248">
    <w:name w:val="热电厂正文 Char Char Char Char Char Char"/>
    <w:link w:val="249"/>
    <w:qFormat/>
    <w:uiPriority w:val="0"/>
    <w:rPr>
      <w:sz w:val="24"/>
    </w:rPr>
  </w:style>
  <w:style w:type="paragraph" w:customStyle="1" w:styleId="249">
    <w:name w:val="热电厂正文 Char Char Char Char"/>
    <w:basedOn w:val="1"/>
    <w:link w:val="248"/>
    <w:uiPriority w:val="0"/>
    <w:pPr>
      <w:widowControl/>
      <w:spacing w:line="440" w:lineRule="exact"/>
      <w:ind w:firstLine="480"/>
      <w:jc w:val="left"/>
    </w:pPr>
  </w:style>
  <w:style w:type="character" w:customStyle="1" w:styleId="250">
    <w:name w:val="chen表头1 Char Char"/>
    <w:link w:val="251"/>
    <w:qFormat/>
    <w:uiPriority w:val="0"/>
    <w:rPr>
      <w:rFonts w:eastAsia="楷体_GB2312"/>
      <w:b/>
      <w:sz w:val="24"/>
    </w:rPr>
  </w:style>
  <w:style w:type="paragraph" w:customStyle="1" w:styleId="251">
    <w:name w:val="chen表头1"/>
    <w:basedOn w:val="1"/>
    <w:link w:val="250"/>
    <w:uiPriority w:val="0"/>
    <w:pPr>
      <w:spacing w:after="120"/>
      <w:jc w:val="center"/>
    </w:pPr>
    <w:rPr>
      <w:rFonts w:eastAsia="楷体_GB2312"/>
      <w:b/>
    </w:rPr>
  </w:style>
  <w:style w:type="character" w:customStyle="1" w:styleId="252">
    <w:name w:val="单学凯段落格式 Char Char"/>
    <w:link w:val="253"/>
    <w:qFormat/>
    <w:uiPriority w:val="0"/>
    <w:rPr>
      <w:rFonts w:ascii="宋体"/>
      <w:b/>
      <w:color w:val="000000"/>
      <w:sz w:val="28"/>
    </w:rPr>
  </w:style>
  <w:style w:type="paragraph" w:customStyle="1" w:styleId="253">
    <w:name w:val="单学凯段落格式"/>
    <w:basedOn w:val="1"/>
    <w:link w:val="252"/>
    <w:qFormat/>
    <w:uiPriority w:val="0"/>
    <w:pPr>
      <w:widowControl/>
      <w:ind w:firstLine="562"/>
      <w:jc w:val="left"/>
    </w:pPr>
    <w:rPr>
      <w:rFonts w:ascii="宋体"/>
      <w:b/>
      <w:color w:val="000000"/>
    </w:rPr>
  </w:style>
  <w:style w:type="character" w:customStyle="1" w:styleId="254">
    <w:name w:val="chen 正文字体 Char Char"/>
    <w:link w:val="255"/>
    <w:uiPriority w:val="0"/>
    <w:rPr>
      <w:rFonts w:ascii="宋体"/>
      <w:color w:val="000000"/>
      <w:sz w:val="24"/>
    </w:rPr>
  </w:style>
  <w:style w:type="paragraph" w:customStyle="1" w:styleId="255">
    <w:name w:val="chen 正文字体"/>
    <w:basedOn w:val="1"/>
    <w:link w:val="254"/>
    <w:qFormat/>
    <w:uiPriority w:val="0"/>
    <w:rPr>
      <w:rFonts w:ascii="宋体"/>
      <w:color w:val="000000"/>
    </w:rPr>
  </w:style>
  <w:style w:type="character" w:customStyle="1" w:styleId="256">
    <w:name w:val="正文张阳 Char Char"/>
    <w:link w:val="257"/>
    <w:qFormat/>
    <w:uiPriority w:val="0"/>
    <w:rPr>
      <w:rFonts w:ascii="宋体"/>
      <w:sz w:val="28"/>
    </w:rPr>
  </w:style>
  <w:style w:type="paragraph" w:customStyle="1" w:styleId="257">
    <w:name w:val="正文张阳"/>
    <w:basedOn w:val="1"/>
    <w:link w:val="256"/>
    <w:qFormat/>
    <w:uiPriority w:val="0"/>
    <w:pPr>
      <w:widowControl/>
      <w:ind w:firstLine="560"/>
      <w:jc w:val="left"/>
    </w:pPr>
    <w:rPr>
      <w:rFonts w:ascii="宋体"/>
    </w:rPr>
  </w:style>
  <w:style w:type="character" w:customStyle="1" w:styleId="258">
    <w:name w:val="正文文本 Char1"/>
    <w:qFormat/>
    <w:uiPriority w:val="0"/>
    <w:rPr>
      <w:rFonts w:eastAsia="仿宋_GB2312"/>
      <w:sz w:val="28"/>
    </w:rPr>
  </w:style>
  <w:style w:type="character" w:customStyle="1" w:styleId="259">
    <w:name w:val="标题2新 Char Char"/>
    <w:link w:val="260"/>
    <w:qFormat/>
    <w:uiPriority w:val="0"/>
    <w:rPr>
      <w:rFonts w:ascii="楷体" w:hAnsi="楷体" w:eastAsia="楷体"/>
      <w:sz w:val="32"/>
    </w:rPr>
  </w:style>
  <w:style w:type="paragraph" w:customStyle="1" w:styleId="260">
    <w:name w:val="标题2新"/>
    <w:basedOn w:val="3"/>
    <w:link w:val="259"/>
    <w:uiPriority w:val="0"/>
    <w:rPr>
      <w:rFonts w:ascii="楷体" w:hAnsi="楷体" w:eastAsia="楷体" w:cstheme="minorBidi"/>
      <w:b w:val="0"/>
      <w:bCs w:val="0"/>
      <w:kern w:val="2"/>
      <w:sz w:val="32"/>
      <w:szCs w:val="22"/>
    </w:rPr>
  </w:style>
  <w:style w:type="character" w:customStyle="1" w:styleId="261">
    <w:name w:val="1正文段落 Char Char"/>
    <w:link w:val="262"/>
    <w:qFormat/>
    <w:uiPriority w:val="0"/>
    <w:rPr>
      <w:sz w:val="24"/>
    </w:rPr>
  </w:style>
  <w:style w:type="paragraph" w:customStyle="1" w:styleId="262">
    <w:name w:val="1正文段落"/>
    <w:basedOn w:val="1"/>
    <w:link w:val="261"/>
    <w:qFormat/>
    <w:uiPriority w:val="0"/>
    <w:pPr>
      <w:ind w:firstLine="480"/>
      <w:jc w:val="left"/>
    </w:pPr>
  </w:style>
  <w:style w:type="character" w:customStyle="1" w:styleId="263">
    <w:name w:val="标题 3 Char1"/>
    <w:qFormat/>
    <w:uiPriority w:val="0"/>
    <w:rPr>
      <w:rFonts w:eastAsia="仿宋_GB2312"/>
      <w:b/>
      <w:sz w:val="32"/>
    </w:rPr>
  </w:style>
  <w:style w:type="character" w:customStyle="1" w:styleId="264">
    <w:name w:val="正文首行缩进 2 + Times New Roman Char Char"/>
    <w:link w:val="265"/>
    <w:qFormat/>
    <w:uiPriority w:val="0"/>
    <w:rPr>
      <w:rFonts w:ascii="宋体"/>
      <w:sz w:val="24"/>
    </w:rPr>
  </w:style>
  <w:style w:type="paragraph" w:customStyle="1" w:styleId="265">
    <w:name w:val="正文首行缩进 2 + Times New Roman"/>
    <w:basedOn w:val="1"/>
    <w:link w:val="264"/>
    <w:qFormat/>
    <w:uiPriority w:val="0"/>
    <w:pPr>
      <w:tabs>
        <w:tab w:val="left" w:pos="0"/>
        <w:tab w:val="left" w:pos="870"/>
        <w:tab w:val="left" w:pos="3150"/>
      </w:tabs>
      <w:autoSpaceDE w:val="0"/>
      <w:autoSpaceDN w:val="0"/>
      <w:ind w:firstLine="480"/>
    </w:pPr>
    <w:rPr>
      <w:rFonts w:ascii="宋体"/>
    </w:rPr>
  </w:style>
  <w:style w:type="character" w:customStyle="1" w:styleId="266">
    <w:name w:val="Body Text Indent Char Char"/>
    <w:link w:val="267"/>
    <w:qFormat/>
    <w:uiPriority w:val="0"/>
    <w:rPr>
      <w:rFonts w:eastAsia="仿宋_GB2312"/>
      <w:sz w:val="22"/>
    </w:rPr>
  </w:style>
  <w:style w:type="paragraph" w:customStyle="1" w:styleId="267">
    <w:name w:val="正文文本缩进1"/>
    <w:basedOn w:val="1"/>
    <w:link w:val="266"/>
    <w:uiPriority w:val="0"/>
    <w:pPr>
      <w:spacing w:after="120"/>
      <w:ind w:left="420" w:leftChars="200"/>
    </w:pPr>
    <w:rPr>
      <w:sz w:val="22"/>
    </w:rPr>
  </w:style>
  <w:style w:type="character" w:customStyle="1" w:styleId="268">
    <w:name w:val="样式 正文 + Char Char"/>
    <w:link w:val="269"/>
    <w:qFormat/>
    <w:uiPriority w:val="0"/>
    <w:rPr>
      <w:rFonts w:ascii="Arial" w:hAnsi="Arial"/>
      <w:sz w:val="28"/>
    </w:rPr>
  </w:style>
  <w:style w:type="paragraph" w:customStyle="1" w:styleId="269">
    <w:name w:val="样式 正文 +"/>
    <w:basedOn w:val="1"/>
    <w:link w:val="268"/>
    <w:uiPriority w:val="0"/>
    <w:pPr>
      <w:widowControl/>
      <w:jc w:val="left"/>
    </w:pPr>
    <w:rPr>
      <w:rFonts w:ascii="Arial" w:hAnsi="Arial"/>
    </w:rPr>
  </w:style>
  <w:style w:type="character" w:customStyle="1" w:styleId="270">
    <w:name w:val="题注 + 居中 Char Char"/>
    <w:link w:val="271"/>
    <w:qFormat/>
    <w:uiPriority w:val="0"/>
    <w:rPr>
      <w:rFonts w:ascii="Arial" w:hAnsi="Arial" w:eastAsia="黑体"/>
      <w:sz w:val="24"/>
    </w:rPr>
  </w:style>
  <w:style w:type="paragraph" w:customStyle="1" w:styleId="271">
    <w:name w:val="题注 + 居中"/>
    <w:basedOn w:val="19"/>
    <w:link w:val="270"/>
    <w:uiPriority w:val="0"/>
    <w:pPr>
      <w:keepNext/>
      <w:jc w:val="center"/>
    </w:pPr>
    <w:rPr>
      <w:rFonts w:cstheme="minorBidi"/>
    </w:rPr>
  </w:style>
  <w:style w:type="character" w:customStyle="1" w:styleId="272">
    <w:name w:val="题注 字符"/>
    <w:link w:val="19"/>
    <w:qFormat/>
    <w:uiPriority w:val="0"/>
    <w:rPr>
      <w:rFonts w:ascii="Arial" w:hAnsi="Arial" w:eastAsia="黑体" w:cs="Times New Roman"/>
      <w:sz w:val="28"/>
    </w:rPr>
  </w:style>
  <w:style w:type="character" w:customStyle="1" w:styleId="273">
    <w:name w:val="正文缩进 Char5"/>
    <w:link w:val="274"/>
    <w:qFormat/>
    <w:uiPriority w:val="0"/>
    <w:rPr>
      <w:rFonts w:ascii="宋体"/>
      <w:sz w:val="28"/>
      <w:vertAlign w:val="superscript"/>
    </w:rPr>
  </w:style>
  <w:style w:type="paragraph" w:customStyle="1" w:styleId="274">
    <w:name w:val="Normal Indent1"/>
    <w:basedOn w:val="1"/>
    <w:link w:val="273"/>
    <w:qFormat/>
    <w:uiPriority w:val="0"/>
    <w:pPr>
      <w:widowControl/>
      <w:ind w:firstLine="420"/>
      <w:jc w:val="left"/>
    </w:pPr>
    <w:rPr>
      <w:rFonts w:ascii="宋体"/>
      <w:vertAlign w:val="superscript"/>
    </w:rPr>
  </w:style>
  <w:style w:type="character" w:customStyle="1" w:styleId="275">
    <w:name w:val="尾注文本 字符"/>
    <w:link w:val="41"/>
    <w:qFormat/>
    <w:uiPriority w:val="0"/>
    <w:rPr>
      <w:sz w:val="24"/>
    </w:rPr>
  </w:style>
  <w:style w:type="character" w:customStyle="1" w:styleId="276">
    <w:name w:val="尾注文本 Char2"/>
    <w:basedOn w:val="109"/>
    <w:uiPriority w:val="0"/>
  </w:style>
  <w:style w:type="character" w:customStyle="1" w:styleId="277">
    <w:name w:val="表标题 Char Char"/>
    <w:link w:val="278"/>
    <w:qFormat/>
    <w:uiPriority w:val="0"/>
    <w:rPr>
      <w:rFonts w:ascii="Times New Roman" w:hAnsi="Times New Roman" w:eastAsia="黑体"/>
      <w:sz w:val="24"/>
    </w:rPr>
  </w:style>
  <w:style w:type="paragraph" w:customStyle="1" w:styleId="278">
    <w:name w:val="表标题"/>
    <w:basedOn w:val="1"/>
    <w:link w:val="277"/>
    <w:qFormat/>
    <w:uiPriority w:val="0"/>
    <w:pPr>
      <w:spacing w:line="500" w:lineRule="exact"/>
      <w:ind w:firstLine="0" w:firstLineChars="0"/>
      <w:jc w:val="center"/>
    </w:pPr>
    <w:rPr>
      <w:rFonts w:eastAsia="黑体"/>
    </w:rPr>
  </w:style>
  <w:style w:type="character" w:customStyle="1" w:styleId="279">
    <w:name w:val="Heading 7 Char"/>
    <w:uiPriority w:val="0"/>
    <w:rPr>
      <w:rFonts w:eastAsia="仿宋_GB2312"/>
      <w:b/>
      <w:bCs/>
      <w:kern w:val="2"/>
      <w:sz w:val="24"/>
      <w:szCs w:val="24"/>
    </w:rPr>
  </w:style>
  <w:style w:type="character" w:customStyle="1" w:styleId="280">
    <w:name w:val="正文3 Char1"/>
    <w:link w:val="281"/>
    <w:uiPriority w:val="0"/>
    <w:rPr>
      <w:rFonts w:ascii="宋体"/>
      <w:sz w:val="34"/>
    </w:rPr>
  </w:style>
  <w:style w:type="paragraph" w:customStyle="1" w:styleId="281">
    <w:name w:val="正文3"/>
    <w:link w:val="280"/>
    <w:uiPriority w:val="0"/>
    <w:pPr>
      <w:widowControl w:val="0"/>
      <w:adjustRightInd w:val="0"/>
      <w:spacing w:line="312" w:lineRule="atLeast"/>
      <w:jc w:val="both"/>
      <w:textAlignment w:val="baseline"/>
    </w:pPr>
    <w:rPr>
      <w:rFonts w:ascii="宋体" w:hAnsiTheme="minorHAnsi" w:eastAsiaTheme="minorEastAsia" w:cstheme="minorBidi"/>
      <w:kern w:val="2"/>
      <w:sz w:val="34"/>
      <w:szCs w:val="22"/>
      <w:lang w:val="en-US" w:eastAsia="zh-CN" w:bidi="ar-SA"/>
    </w:rPr>
  </w:style>
  <w:style w:type="character" w:customStyle="1" w:styleId="282">
    <w:name w:val="hhcwt标题4 Char Char"/>
    <w:link w:val="283"/>
    <w:uiPriority w:val="0"/>
    <w:rPr>
      <w:color w:val="000000"/>
      <w:sz w:val="24"/>
    </w:rPr>
  </w:style>
  <w:style w:type="paragraph" w:customStyle="1" w:styleId="283">
    <w:name w:val="hhcwt标题4"/>
    <w:basedOn w:val="5"/>
    <w:link w:val="282"/>
    <w:uiPriority w:val="0"/>
    <w:rPr>
      <w:rFonts w:asciiTheme="minorHAnsi" w:hAnsiTheme="minorHAnsi" w:eastAsiaTheme="minorEastAsia" w:cstheme="minorBidi"/>
      <w:b w:val="0"/>
      <w:bCs w:val="0"/>
      <w:kern w:val="2"/>
      <w:sz w:val="24"/>
      <w:szCs w:val="22"/>
    </w:rPr>
  </w:style>
  <w:style w:type="character" w:customStyle="1" w:styleId="284">
    <w:name w:val="表蕊居中 Char Char"/>
    <w:link w:val="285"/>
    <w:uiPriority w:val="0"/>
    <w:rPr>
      <w:rFonts w:ascii="宋体"/>
      <w:color w:val="FF0000"/>
      <w:sz w:val="24"/>
    </w:rPr>
  </w:style>
  <w:style w:type="paragraph" w:customStyle="1" w:styleId="285">
    <w:name w:val="表蕊居中"/>
    <w:basedOn w:val="1"/>
    <w:link w:val="284"/>
    <w:uiPriority w:val="0"/>
    <w:pPr>
      <w:widowControl/>
      <w:suppressAutoHyphens/>
      <w:spacing w:line="280" w:lineRule="exact"/>
      <w:ind w:right="31" w:rightChars="15"/>
      <w:jc w:val="center"/>
      <w:textAlignment w:val="baseline"/>
    </w:pPr>
    <w:rPr>
      <w:rFonts w:ascii="宋体"/>
      <w:color w:val="FF0000"/>
    </w:rPr>
  </w:style>
  <w:style w:type="character" w:customStyle="1" w:styleId="286">
    <w:name w:val="报告正文1 Char"/>
    <w:link w:val="188"/>
    <w:qFormat/>
    <w:uiPriority w:val="0"/>
    <w:rPr>
      <w:rFonts w:ascii="Times New Roman" w:hAnsi="Times New Roman" w:eastAsia="仿宋_GB2312" w:cs="Times New Roman"/>
      <w:kern w:val="0"/>
      <w:sz w:val="28"/>
      <w:szCs w:val="20"/>
    </w:rPr>
  </w:style>
  <w:style w:type="character" w:customStyle="1" w:styleId="287">
    <w:name w:val="正文内容 Char Char"/>
    <w:link w:val="288"/>
    <w:qFormat/>
    <w:uiPriority w:val="0"/>
    <w:rPr>
      <w:rFonts w:ascii="宋体"/>
      <w:spacing w:val="4"/>
      <w:sz w:val="24"/>
    </w:rPr>
  </w:style>
  <w:style w:type="paragraph" w:customStyle="1" w:styleId="288">
    <w:name w:val="正文内容"/>
    <w:basedOn w:val="1"/>
    <w:link w:val="287"/>
    <w:qFormat/>
    <w:uiPriority w:val="0"/>
    <w:pPr>
      <w:ind w:firstLine="496"/>
    </w:pPr>
    <w:rPr>
      <w:rFonts w:ascii="宋体"/>
      <w:spacing w:val="4"/>
    </w:rPr>
  </w:style>
  <w:style w:type="character" w:customStyle="1" w:styleId="289">
    <w:name w:val="页脚 Char1"/>
    <w:qFormat/>
    <w:uiPriority w:val="0"/>
    <w:rPr>
      <w:rFonts w:eastAsia="仿宋_GB2312"/>
      <w:sz w:val="18"/>
    </w:rPr>
  </w:style>
  <w:style w:type="character" w:customStyle="1" w:styleId="290">
    <w:name w:val="正文首行缩进 2 Char3"/>
    <w:link w:val="291"/>
    <w:uiPriority w:val="0"/>
    <w:rPr>
      <w:rFonts w:eastAsia="仿宋_GB2312"/>
      <w:sz w:val="28"/>
    </w:rPr>
  </w:style>
  <w:style w:type="paragraph" w:customStyle="1" w:styleId="291">
    <w:name w:val="正文首行缩进 22"/>
    <w:basedOn w:val="267"/>
    <w:link w:val="290"/>
    <w:uiPriority w:val="0"/>
    <w:pPr>
      <w:widowControl/>
      <w:tabs>
        <w:tab w:val="left" w:pos="420"/>
        <w:tab w:val="left" w:pos="870"/>
        <w:tab w:val="left" w:pos="3150"/>
      </w:tabs>
      <w:autoSpaceDE w:val="0"/>
      <w:autoSpaceDN w:val="0"/>
      <w:spacing w:before="78" w:beforeLines="25" w:line="336" w:lineRule="auto"/>
      <w:ind w:firstLine="527" w:firstLineChars="0"/>
      <w:jc w:val="left"/>
      <w:textAlignment w:val="baseline"/>
    </w:pPr>
    <w:rPr>
      <w:sz w:val="28"/>
    </w:rPr>
  </w:style>
  <w:style w:type="character" w:customStyle="1" w:styleId="292">
    <w:name w:val="Heading 6 Char"/>
    <w:uiPriority w:val="0"/>
    <w:rPr>
      <w:rFonts w:ascii="Cambria" w:hAnsi="Cambria" w:eastAsia="宋体" w:cs="黑体"/>
      <w:b/>
      <w:bCs/>
      <w:kern w:val="2"/>
      <w:sz w:val="24"/>
      <w:szCs w:val="24"/>
    </w:rPr>
  </w:style>
  <w:style w:type="character" w:customStyle="1" w:styleId="293">
    <w:name w:val="谏壁正文chen Char Char"/>
    <w:link w:val="294"/>
    <w:uiPriority w:val="0"/>
    <w:rPr>
      <w:sz w:val="24"/>
    </w:rPr>
  </w:style>
  <w:style w:type="paragraph" w:customStyle="1" w:styleId="294">
    <w:name w:val="谏壁正文chen"/>
    <w:basedOn w:val="1"/>
    <w:link w:val="293"/>
    <w:uiPriority w:val="0"/>
  </w:style>
  <w:style w:type="character" w:customStyle="1" w:styleId="295">
    <w:name w:val="样式 标题 3标题 3 Char + 字距调整二号 Char Char"/>
    <w:link w:val="296"/>
    <w:qFormat/>
    <w:uiPriority w:val="0"/>
    <w:rPr>
      <w:b/>
      <w:kern w:val="44"/>
      <w:sz w:val="32"/>
    </w:rPr>
  </w:style>
  <w:style w:type="paragraph" w:customStyle="1" w:styleId="296">
    <w:name w:val="样式 标题 3标题 3 Char + 字距调整二号"/>
    <w:basedOn w:val="4"/>
    <w:link w:val="295"/>
    <w:qFormat/>
    <w:uiPriority w:val="0"/>
    <w:pPr/>
    <w:rPr>
      <w:rFonts w:asciiTheme="minorHAnsi" w:hAnsiTheme="minorHAnsi" w:eastAsiaTheme="minorEastAsia" w:cstheme="minorBidi"/>
      <w:bCs w:val="0"/>
      <w:kern w:val="44"/>
      <w:sz w:val="32"/>
      <w:szCs w:val="22"/>
    </w:rPr>
  </w:style>
  <w:style w:type="character" w:customStyle="1" w:styleId="297">
    <w:name w:val="Subtitle Char1"/>
    <w:uiPriority w:val="0"/>
    <w:rPr>
      <w:rFonts w:ascii="Cambria" w:hAnsi="Cambria" w:cs="黑体"/>
      <w:b/>
      <w:bCs/>
      <w:kern w:val="28"/>
      <w:sz w:val="32"/>
      <w:szCs w:val="32"/>
    </w:rPr>
  </w:style>
  <w:style w:type="character" w:customStyle="1" w:styleId="298">
    <w:name w:val="副标题 字符"/>
    <w:basedOn w:val="109"/>
    <w:link w:val="47"/>
    <w:qFormat/>
    <w:uiPriority w:val="0"/>
    <w:rPr>
      <w:rFonts w:ascii="Arial" w:hAnsi="Arial" w:eastAsia="仿宋_GB2312" w:cs="Times New Roman"/>
      <w:b/>
      <w:kern w:val="28"/>
      <w:sz w:val="32"/>
    </w:rPr>
  </w:style>
  <w:style w:type="character" w:customStyle="1" w:styleId="299">
    <w:name w:val="正文01 Char1"/>
    <w:link w:val="300"/>
    <w:qFormat/>
    <w:uiPriority w:val="0"/>
    <w:rPr>
      <w:sz w:val="24"/>
    </w:rPr>
  </w:style>
  <w:style w:type="paragraph" w:customStyle="1" w:styleId="300">
    <w:name w:val="正文01"/>
    <w:basedOn w:val="1"/>
    <w:link w:val="299"/>
    <w:uiPriority w:val="0"/>
    <w:pPr>
      <w:spacing w:before="60" w:line="460" w:lineRule="exact"/>
    </w:pPr>
  </w:style>
  <w:style w:type="character" w:customStyle="1" w:styleId="301">
    <w:name w:val="正文小四 Char Char"/>
    <w:link w:val="302"/>
    <w:qFormat/>
    <w:uiPriority w:val="0"/>
    <w:rPr>
      <w:rFonts w:ascii="仿宋_GB2312" w:eastAsia="仿宋_GB2312"/>
      <w:sz w:val="28"/>
    </w:rPr>
  </w:style>
  <w:style w:type="paragraph" w:customStyle="1" w:styleId="302">
    <w:name w:val="正文小四"/>
    <w:link w:val="301"/>
    <w:uiPriority w:val="0"/>
    <w:pPr>
      <w:adjustRightInd w:val="0"/>
      <w:snapToGrid w:val="0"/>
      <w:spacing w:line="360" w:lineRule="auto"/>
      <w:ind w:firstLine="560" w:firstLineChars="200"/>
      <w:jc w:val="both"/>
    </w:pPr>
    <w:rPr>
      <w:rFonts w:ascii="仿宋_GB2312" w:eastAsia="仿宋_GB2312" w:hAnsiTheme="minorHAnsi" w:cstheme="minorBidi"/>
      <w:kern w:val="2"/>
      <w:sz w:val="28"/>
      <w:szCs w:val="22"/>
      <w:lang w:val="en-US" w:eastAsia="zh-CN" w:bidi="ar-SA"/>
    </w:rPr>
  </w:style>
  <w:style w:type="character" w:customStyle="1" w:styleId="303">
    <w:name w:val="Heading 4 Char"/>
    <w:uiPriority w:val="0"/>
    <w:rPr>
      <w:rFonts w:ascii="Cambria" w:hAnsi="Cambria" w:eastAsia="仿宋_GB2312"/>
      <w:b/>
      <w:sz w:val="28"/>
    </w:rPr>
  </w:style>
  <w:style w:type="character" w:customStyle="1" w:styleId="304">
    <w:name w:val="注释 Char Char"/>
    <w:link w:val="305"/>
    <w:uiPriority w:val="0"/>
    <w:rPr>
      <w:rFonts w:ascii="宋体" w:eastAsia="仿宋_GB2312"/>
      <w:spacing w:val="4"/>
      <w:sz w:val="24"/>
    </w:rPr>
  </w:style>
  <w:style w:type="paragraph" w:customStyle="1" w:styleId="305">
    <w:name w:val="注释"/>
    <w:basedOn w:val="1"/>
    <w:link w:val="304"/>
    <w:uiPriority w:val="0"/>
    <w:pPr>
      <w:widowControl/>
      <w:spacing w:before="156"/>
      <w:jc w:val="left"/>
      <w:textAlignment w:val="baseline"/>
    </w:pPr>
    <w:rPr>
      <w:rFonts w:ascii="宋体"/>
      <w:spacing w:val="4"/>
    </w:rPr>
  </w:style>
  <w:style w:type="character" w:customStyle="1" w:styleId="306">
    <w:name w:val="正文缩进 Char3"/>
    <w:link w:val="307"/>
    <w:uiPriority w:val="0"/>
    <w:rPr>
      <w:rFonts w:ascii="宋体" w:hAnsi="宋体" w:eastAsia="仿宋_GB2312"/>
      <w:sz w:val="24"/>
    </w:rPr>
  </w:style>
  <w:style w:type="paragraph" w:customStyle="1" w:styleId="307">
    <w:name w:val="正文缩进1"/>
    <w:basedOn w:val="1"/>
    <w:link w:val="306"/>
    <w:uiPriority w:val="0"/>
    <w:pPr>
      <w:widowControl/>
      <w:jc w:val="left"/>
    </w:pPr>
    <w:rPr>
      <w:rFonts w:ascii="宋体" w:hAnsi="宋体"/>
    </w:rPr>
  </w:style>
  <w:style w:type="character" w:customStyle="1" w:styleId="308">
    <w:name w:val="Body Text 21 Char Char"/>
    <w:link w:val="309"/>
    <w:uiPriority w:val="0"/>
    <w:rPr>
      <w:rFonts w:eastAsia="仿宋体"/>
      <w:sz w:val="24"/>
    </w:rPr>
  </w:style>
  <w:style w:type="paragraph" w:customStyle="1" w:styleId="309">
    <w:name w:val="Body Text 21"/>
    <w:basedOn w:val="1"/>
    <w:link w:val="308"/>
    <w:uiPriority w:val="0"/>
    <w:pPr>
      <w:textAlignment w:val="baseline"/>
    </w:pPr>
    <w:rPr>
      <w:rFonts w:eastAsia="仿宋体"/>
    </w:rPr>
  </w:style>
  <w:style w:type="character" w:customStyle="1" w:styleId="310">
    <w:name w:val="Heading 8 Char"/>
    <w:uiPriority w:val="0"/>
    <w:rPr>
      <w:rFonts w:ascii="Cambria" w:hAnsi="Cambria" w:eastAsia="宋体" w:cs="黑体"/>
      <w:kern w:val="2"/>
      <w:sz w:val="24"/>
      <w:szCs w:val="24"/>
    </w:rPr>
  </w:style>
  <w:style w:type="character" w:customStyle="1" w:styleId="311">
    <w:name w:val="表蕊左对齐 Char Char"/>
    <w:link w:val="312"/>
    <w:qFormat/>
    <w:uiPriority w:val="0"/>
    <w:rPr>
      <w:color w:val="000000"/>
    </w:rPr>
  </w:style>
  <w:style w:type="paragraph" w:customStyle="1" w:styleId="312">
    <w:name w:val="表蕊左对齐"/>
    <w:basedOn w:val="285"/>
    <w:link w:val="311"/>
    <w:uiPriority w:val="0"/>
    <w:pPr>
      <w:suppressAutoHyphens w:val="0"/>
      <w:adjustRightInd/>
      <w:spacing w:line="300" w:lineRule="exact"/>
      <w:ind w:left="57" w:right="0" w:rightChars="0"/>
      <w:jc w:val="left"/>
      <w:textAlignment w:val="auto"/>
    </w:pPr>
    <w:rPr>
      <w:rFonts w:asciiTheme="minorHAnsi"/>
      <w:color w:val="000000"/>
      <w:sz w:val="21"/>
    </w:rPr>
  </w:style>
  <w:style w:type="character" w:customStyle="1" w:styleId="313">
    <w:name w:val="页眉 Char1"/>
    <w:uiPriority w:val="0"/>
    <w:rPr>
      <w:rFonts w:eastAsia="仿宋_GB2312"/>
      <w:sz w:val="18"/>
    </w:rPr>
  </w:style>
  <w:style w:type="character" w:customStyle="1" w:styleId="314">
    <w:name w:val="样式 样式 首行缩进:  2 字符 + 首行缩进:  2 字符2 Char Char"/>
    <w:link w:val="315"/>
    <w:qFormat/>
    <w:uiPriority w:val="0"/>
    <w:rPr>
      <w:rFonts w:eastAsia="楷体_GB2312"/>
      <w:spacing w:val="6"/>
      <w:sz w:val="28"/>
    </w:rPr>
  </w:style>
  <w:style w:type="paragraph" w:customStyle="1" w:styleId="315">
    <w:name w:val="样式 样式 首行缩进:  2 字符 + 首行缩进:  2 字符2"/>
    <w:basedOn w:val="1"/>
    <w:link w:val="314"/>
    <w:uiPriority w:val="0"/>
    <w:pPr>
      <w:widowControl/>
      <w:spacing w:line="440" w:lineRule="exact"/>
      <w:ind w:firstLine="584"/>
      <w:jc w:val="left"/>
    </w:pPr>
    <w:rPr>
      <w:rFonts w:eastAsia="楷体_GB2312"/>
      <w:spacing w:val="6"/>
    </w:rPr>
  </w:style>
  <w:style w:type="character" w:customStyle="1" w:styleId="316">
    <w:name w:val="样式 标题 1章标题 1h11st levelSection Headl1b1-*+标题 1章ChH1PI... Char Char"/>
    <w:link w:val="317"/>
    <w:qFormat/>
    <w:uiPriority w:val="0"/>
    <w:rPr>
      <w:rFonts w:ascii="宋体" w:hAnsi="宋体" w:eastAsia="黑体"/>
      <w:kern w:val="44"/>
      <w:sz w:val="44"/>
    </w:rPr>
  </w:style>
  <w:style w:type="paragraph" w:customStyle="1" w:styleId="317">
    <w:name w:val="样式 标题 1章标题 1h11st levelSection Headl1b1-*+标题 1章ChH1PI..."/>
    <w:basedOn w:val="2"/>
    <w:link w:val="316"/>
    <w:uiPriority w:val="0"/>
    <w:rPr>
      <w:rFonts w:ascii="宋体" w:hAnsi="宋体" w:eastAsia="黑体" w:cstheme="minorBidi"/>
      <w:b w:val="0"/>
      <w:bCs w:val="0"/>
      <w:sz w:val="44"/>
      <w:szCs w:val="22"/>
    </w:rPr>
  </w:style>
  <w:style w:type="character" w:customStyle="1" w:styleId="318">
    <w:name w:val="列表项目符号 字符"/>
    <w:link w:val="21"/>
    <w:qFormat/>
    <w:uiPriority w:val="0"/>
    <w:rPr>
      <w:sz w:val="24"/>
    </w:rPr>
  </w:style>
  <w:style w:type="character" w:customStyle="1" w:styleId="319">
    <w:name w:val="单学凯环表头 Char Char"/>
    <w:link w:val="320"/>
    <w:qFormat/>
    <w:uiPriority w:val="0"/>
    <w:rPr>
      <w:rFonts w:ascii="宋体"/>
      <w:b/>
      <w:color w:val="000000"/>
      <w:sz w:val="28"/>
    </w:rPr>
  </w:style>
  <w:style w:type="paragraph" w:customStyle="1" w:styleId="320">
    <w:name w:val="单学凯环表头"/>
    <w:basedOn w:val="1"/>
    <w:link w:val="319"/>
    <w:uiPriority w:val="0"/>
    <w:pPr>
      <w:widowControl/>
      <w:tabs>
        <w:tab w:val="left" w:pos="-1008"/>
        <w:tab w:val="left" w:pos="4873"/>
      </w:tabs>
      <w:ind w:right="-11" w:firstLine="1813" w:firstLineChars="645"/>
      <w:jc w:val="left"/>
      <w:textAlignment w:val="baseline"/>
    </w:pPr>
    <w:rPr>
      <w:rFonts w:ascii="宋体"/>
      <w:b/>
      <w:color w:val="000000"/>
    </w:rPr>
  </w:style>
  <w:style w:type="character" w:customStyle="1" w:styleId="321">
    <w:name w:val="表、图名 Char Char"/>
    <w:link w:val="322"/>
    <w:qFormat/>
    <w:uiPriority w:val="0"/>
    <w:rPr>
      <w:rFonts w:eastAsia="仿宋_GB2312"/>
      <w:sz w:val="24"/>
    </w:rPr>
  </w:style>
  <w:style w:type="paragraph" w:customStyle="1" w:styleId="322">
    <w:name w:val="表、图名"/>
    <w:basedOn w:val="210"/>
    <w:link w:val="321"/>
    <w:uiPriority w:val="0"/>
    <w:pPr>
      <w:spacing w:before="120" w:line="240" w:lineRule="auto"/>
      <w:textAlignment w:val="auto"/>
    </w:pPr>
    <w:rPr>
      <w:rFonts w:eastAsia="仿宋_GB2312"/>
      <w:spacing w:val="0"/>
    </w:rPr>
  </w:style>
  <w:style w:type="character" w:customStyle="1" w:styleId="323">
    <w:name w:val="z-窗体顶端 Char"/>
    <w:link w:val="324"/>
    <w:uiPriority w:val="0"/>
    <w:rPr>
      <w:rFonts w:ascii="Arial" w:hAnsi="Arial"/>
      <w:vanish/>
      <w:sz w:val="24"/>
    </w:rPr>
  </w:style>
  <w:style w:type="paragraph" w:customStyle="1" w:styleId="324">
    <w:name w:val="z-窗体顶端1"/>
    <w:basedOn w:val="1"/>
    <w:next w:val="1"/>
    <w:link w:val="323"/>
    <w:uiPriority w:val="0"/>
    <w:pPr>
      <w:widowControl/>
      <w:pBdr>
        <w:bottom w:val="single" w:color="auto" w:sz="6" w:space="1"/>
      </w:pBdr>
      <w:jc w:val="center"/>
    </w:pPr>
    <w:rPr>
      <w:rFonts w:ascii="Arial" w:hAnsi="Arial"/>
      <w:vanish/>
    </w:rPr>
  </w:style>
  <w:style w:type="character" w:customStyle="1" w:styleId="325">
    <w:name w:val="+正文 Char2"/>
    <w:link w:val="326"/>
    <w:qFormat/>
    <w:uiPriority w:val="0"/>
    <w:rPr>
      <w:sz w:val="28"/>
    </w:rPr>
  </w:style>
  <w:style w:type="paragraph" w:customStyle="1" w:styleId="326">
    <w:name w:val="+正文"/>
    <w:basedOn w:val="1"/>
    <w:link w:val="325"/>
    <w:uiPriority w:val="0"/>
    <w:pPr>
      <w:widowControl/>
      <w:jc w:val="left"/>
    </w:pPr>
  </w:style>
  <w:style w:type="character" w:customStyle="1" w:styleId="327">
    <w:name w:val="标题 Char1"/>
    <w:uiPriority w:val="0"/>
    <w:rPr>
      <w:rFonts w:ascii="Cambria" w:hAnsi="Cambria"/>
      <w:b/>
      <w:kern w:val="2"/>
      <w:sz w:val="32"/>
    </w:rPr>
  </w:style>
  <w:style w:type="character" w:customStyle="1" w:styleId="328">
    <w:name w:val="正文（行首缩进2字） Char Char"/>
    <w:link w:val="329"/>
    <w:qFormat/>
    <w:uiPriority w:val="0"/>
    <w:rPr>
      <w:sz w:val="24"/>
    </w:rPr>
  </w:style>
  <w:style w:type="paragraph" w:customStyle="1" w:styleId="329">
    <w:name w:val="正文（行首缩进2字）"/>
    <w:basedOn w:val="1"/>
    <w:link w:val="328"/>
    <w:uiPriority w:val="0"/>
    <w:pPr>
      <w:widowControl/>
      <w:jc w:val="left"/>
    </w:pPr>
  </w:style>
  <w:style w:type="character" w:customStyle="1" w:styleId="330">
    <w:name w:val="样式4 Char Char"/>
    <w:link w:val="331"/>
    <w:qFormat/>
    <w:uiPriority w:val="0"/>
    <w:rPr>
      <w:rFonts w:ascii="Arial" w:hAnsi="Arial" w:eastAsia="黑体"/>
      <w:b/>
      <w:color w:val="000000"/>
      <w:sz w:val="32"/>
    </w:rPr>
  </w:style>
  <w:style w:type="paragraph" w:customStyle="1" w:styleId="331">
    <w:name w:val="样式4"/>
    <w:basedOn w:val="5"/>
    <w:link w:val="330"/>
    <w:uiPriority w:val="0"/>
    <w:rPr>
      <w:rFonts w:ascii="Arial" w:hAnsi="Arial" w:eastAsia="黑体" w:cstheme="minorBidi"/>
      <w:bCs w:val="0"/>
      <w:kern w:val="2"/>
      <w:szCs w:val="22"/>
    </w:rPr>
  </w:style>
  <w:style w:type="character" w:customStyle="1" w:styleId="332">
    <w:name w:val="正文改 Char Char"/>
    <w:link w:val="333"/>
    <w:uiPriority w:val="0"/>
    <w:rPr>
      <w:rFonts w:ascii="宋体"/>
      <w:sz w:val="28"/>
    </w:rPr>
  </w:style>
  <w:style w:type="paragraph" w:customStyle="1" w:styleId="333">
    <w:name w:val="正文改"/>
    <w:basedOn w:val="1"/>
    <w:link w:val="332"/>
    <w:uiPriority w:val="0"/>
    <w:pPr>
      <w:widowControl/>
      <w:spacing w:line="560" w:lineRule="exact"/>
      <w:ind w:firstLine="560"/>
      <w:jc w:val="left"/>
    </w:pPr>
    <w:rPr>
      <w:rFonts w:ascii="宋体"/>
    </w:rPr>
  </w:style>
  <w:style w:type="character" w:customStyle="1" w:styleId="334">
    <w:name w:val="List Paragraph Char Char"/>
    <w:link w:val="335"/>
    <w:qFormat/>
    <w:uiPriority w:val="0"/>
    <w:rPr>
      <w:rFonts w:ascii="Arial" w:hAnsi="Arial" w:eastAsia="仿宋_GB2312"/>
      <w:sz w:val="28"/>
    </w:rPr>
  </w:style>
  <w:style w:type="paragraph" w:customStyle="1" w:styleId="335">
    <w:name w:val="列出段落1"/>
    <w:basedOn w:val="1"/>
    <w:link w:val="334"/>
    <w:uiPriority w:val="0"/>
    <w:pPr>
      <w:overflowPunct w:val="0"/>
      <w:spacing w:line="480" w:lineRule="exact"/>
      <w:ind w:firstLine="420"/>
    </w:pPr>
    <w:rPr>
      <w:rFonts w:ascii="Arial" w:hAnsi="Arial"/>
    </w:rPr>
  </w:style>
  <w:style w:type="character" w:customStyle="1" w:styleId="336">
    <w:name w:val="样式 表内小5 + 黑体 加粗 倾斜 下划线 Char Char"/>
    <w:link w:val="337"/>
    <w:qFormat/>
    <w:uiPriority w:val="0"/>
    <w:rPr>
      <w:rFonts w:ascii="黑体" w:hAnsi="黑体" w:eastAsia="黑体"/>
      <w:b/>
      <w:i/>
      <w:sz w:val="24"/>
      <w:u w:val="single"/>
    </w:rPr>
  </w:style>
  <w:style w:type="paragraph" w:customStyle="1" w:styleId="337">
    <w:name w:val="样式 表内小5 + 黑体 加粗 倾斜 下划线"/>
    <w:basedOn w:val="1"/>
    <w:link w:val="336"/>
    <w:uiPriority w:val="0"/>
    <w:pPr>
      <w:widowControl/>
      <w:spacing w:line="300" w:lineRule="auto"/>
      <w:jc w:val="left"/>
    </w:pPr>
    <w:rPr>
      <w:rFonts w:ascii="黑体" w:hAnsi="黑体" w:eastAsia="黑体"/>
      <w:b/>
      <w:i/>
      <w:u w:val="single"/>
    </w:rPr>
  </w:style>
  <w:style w:type="character" w:customStyle="1" w:styleId="338">
    <w:name w:val="图题注 Char Char"/>
    <w:link w:val="339"/>
    <w:qFormat/>
    <w:uiPriority w:val="0"/>
    <w:rPr>
      <w:rFonts w:ascii="黑体" w:hAnsi="Arial" w:eastAsia="黑体"/>
      <w:b/>
      <w:sz w:val="24"/>
    </w:rPr>
  </w:style>
  <w:style w:type="paragraph" w:customStyle="1" w:styleId="339">
    <w:name w:val="图题注"/>
    <w:basedOn w:val="19"/>
    <w:link w:val="338"/>
    <w:uiPriority w:val="0"/>
    <w:pPr>
      <w:widowControl/>
      <w:ind w:firstLine="0" w:firstLineChars="0"/>
      <w:jc w:val="center"/>
    </w:pPr>
    <w:rPr>
      <w:rFonts w:ascii="黑体" w:cstheme="minorBidi"/>
      <w:b/>
    </w:rPr>
  </w:style>
  <w:style w:type="character" w:customStyle="1" w:styleId="340">
    <w:name w:val="样式 样式 样式 宋体 小四 行距: 多倍行距 1.4 字行2 + 黑色 + Times New Roman1 Char Char"/>
    <w:link w:val="341"/>
    <w:qFormat/>
    <w:uiPriority w:val="0"/>
    <w:rPr>
      <w:color w:val="000000"/>
      <w:sz w:val="24"/>
    </w:rPr>
  </w:style>
  <w:style w:type="paragraph" w:customStyle="1" w:styleId="341">
    <w:name w:val="样式 样式 样式 宋体 小四 行距: 多倍行距 1.4 字行2 + 黑色 + Times New Roman1"/>
    <w:basedOn w:val="1"/>
    <w:link w:val="340"/>
    <w:uiPriority w:val="0"/>
    <w:rPr>
      <w:color w:val="000000"/>
    </w:rPr>
  </w:style>
  <w:style w:type="character" w:customStyle="1" w:styleId="342">
    <w:name w:val="表图 Char Char"/>
    <w:link w:val="343"/>
    <w:uiPriority w:val="0"/>
    <w:rPr>
      <w:rFonts w:eastAsia="仿宋_GB2312"/>
      <w:sz w:val="28"/>
    </w:rPr>
  </w:style>
  <w:style w:type="paragraph" w:customStyle="1" w:styleId="343">
    <w:name w:val="表图"/>
    <w:basedOn w:val="1"/>
    <w:link w:val="342"/>
    <w:uiPriority w:val="0"/>
    <w:pPr>
      <w:widowControl/>
      <w:jc w:val="center"/>
    </w:pPr>
  </w:style>
  <w:style w:type="character" w:customStyle="1" w:styleId="344">
    <w:name w:val="单学凯小节标题 Char Char"/>
    <w:link w:val="345"/>
    <w:qFormat/>
    <w:uiPriority w:val="0"/>
    <w:rPr>
      <w:rFonts w:ascii="宋体"/>
      <w:color w:val="000000"/>
      <w:sz w:val="24"/>
    </w:rPr>
  </w:style>
  <w:style w:type="paragraph" w:customStyle="1" w:styleId="345">
    <w:name w:val="单学凯小节标题"/>
    <w:basedOn w:val="1"/>
    <w:link w:val="344"/>
    <w:uiPriority w:val="0"/>
    <w:pPr>
      <w:widowControl/>
      <w:tabs>
        <w:tab w:val="left" w:pos="5094"/>
      </w:tabs>
      <w:spacing w:before="156" w:after="156"/>
      <w:ind w:firstLine="480"/>
      <w:jc w:val="left"/>
      <w:textAlignment w:val="baseline"/>
    </w:pPr>
    <w:rPr>
      <w:rFonts w:ascii="宋体"/>
      <w:color w:val="000000"/>
    </w:rPr>
  </w:style>
  <w:style w:type="character" w:customStyle="1" w:styleId="346">
    <w:name w:val="表格内字体 Char Char"/>
    <w:link w:val="347"/>
    <w:qFormat/>
    <w:uiPriority w:val="0"/>
    <w:rPr>
      <w:rFonts w:ascii="宋体"/>
      <w:sz w:val="24"/>
    </w:rPr>
  </w:style>
  <w:style w:type="paragraph" w:customStyle="1" w:styleId="347">
    <w:name w:val="表格内字体"/>
    <w:basedOn w:val="207"/>
    <w:next w:val="207"/>
    <w:link w:val="346"/>
    <w:uiPriority w:val="0"/>
    <w:pPr>
      <w:spacing w:line="240" w:lineRule="auto"/>
      <w:ind w:firstLine="0"/>
      <w:jc w:val="center"/>
    </w:pPr>
    <w:rPr>
      <w:rFonts w:hAnsiTheme="minorHAnsi" w:eastAsiaTheme="minorEastAsia" w:cstheme="minorBidi"/>
    </w:rPr>
  </w:style>
  <w:style w:type="character" w:customStyle="1" w:styleId="348">
    <w:name w:val="标题4改 Char Char"/>
    <w:link w:val="349"/>
    <w:qFormat/>
    <w:uiPriority w:val="0"/>
    <w:rPr>
      <w:rFonts w:ascii="Times New Roman" w:hAnsi="Times New Roman" w:eastAsia="黑体"/>
      <w:sz w:val="24"/>
    </w:rPr>
  </w:style>
  <w:style w:type="paragraph" w:customStyle="1" w:styleId="349">
    <w:name w:val="标题4改"/>
    <w:basedOn w:val="1"/>
    <w:next w:val="1"/>
    <w:link w:val="348"/>
    <w:qFormat/>
    <w:uiPriority w:val="0"/>
    <w:pPr>
      <w:widowControl/>
      <w:spacing w:before="120" w:after="120"/>
      <w:ind w:firstLine="0" w:firstLineChars="0"/>
      <w:jc w:val="left"/>
      <w:outlineLvl w:val="3"/>
    </w:pPr>
    <w:rPr>
      <w:rFonts w:eastAsia="黑体"/>
    </w:rPr>
  </w:style>
  <w:style w:type="character" w:customStyle="1" w:styleId="350">
    <w:name w:val="Body Text 2 Char Char"/>
    <w:link w:val="351"/>
    <w:qFormat/>
    <w:uiPriority w:val="0"/>
    <w:rPr>
      <w:rFonts w:eastAsia="仿宋_GB2312"/>
      <w:sz w:val="22"/>
    </w:rPr>
  </w:style>
  <w:style w:type="paragraph" w:customStyle="1" w:styleId="351">
    <w:name w:val="正文文本 21"/>
    <w:basedOn w:val="1"/>
    <w:link w:val="350"/>
    <w:uiPriority w:val="0"/>
    <w:pPr>
      <w:spacing w:after="120" w:line="480" w:lineRule="auto"/>
    </w:pPr>
    <w:rPr>
      <w:sz w:val="22"/>
    </w:rPr>
  </w:style>
  <w:style w:type="character" w:customStyle="1" w:styleId="352">
    <w:name w:val="正文标题2 Char Char"/>
    <w:link w:val="353"/>
    <w:qFormat/>
    <w:uiPriority w:val="0"/>
    <w:rPr>
      <w:rFonts w:eastAsia="仿宋_GB2312"/>
      <w:b/>
      <w:color w:val="000000"/>
      <w:sz w:val="30"/>
    </w:rPr>
  </w:style>
  <w:style w:type="paragraph" w:customStyle="1" w:styleId="353">
    <w:name w:val="正文标题2"/>
    <w:link w:val="352"/>
    <w:qFormat/>
    <w:uiPriority w:val="0"/>
    <w:pPr>
      <w:spacing w:before="156" w:beforeLines="50" w:after="156" w:afterLines="50" w:line="500" w:lineRule="exact"/>
      <w:outlineLvl w:val="1"/>
    </w:pPr>
    <w:rPr>
      <w:rFonts w:eastAsia="仿宋_GB2312" w:asciiTheme="minorHAnsi" w:hAnsiTheme="minorHAnsi" w:cstheme="minorBidi"/>
      <w:b/>
      <w:color w:val="000000"/>
      <w:kern w:val="2"/>
      <w:sz w:val="30"/>
      <w:szCs w:val="22"/>
      <w:lang w:val="en-US" w:eastAsia="zh-CN" w:bidi="ar-SA"/>
    </w:rPr>
  </w:style>
  <w:style w:type="character" w:customStyle="1" w:styleId="354">
    <w:name w:val="标题 5 Char1"/>
    <w:uiPriority w:val="0"/>
    <w:rPr>
      <w:rFonts w:eastAsia="仿宋_GB2312"/>
      <w:b/>
      <w:kern w:val="2"/>
      <w:sz w:val="28"/>
    </w:rPr>
  </w:style>
  <w:style w:type="character" w:customStyle="1" w:styleId="355">
    <w:name w:val="正文斜体 Char Char"/>
    <w:link w:val="356"/>
    <w:qFormat/>
    <w:uiPriority w:val="0"/>
    <w:rPr>
      <w:rFonts w:ascii="宋体"/>
      <w:i/>
      <w:sz w:val="24"/>
    </w:rPr>
  </w:style>
  <w:style w:type="paragraph" w:customStyle="1" w:styleId="356">
    <w:name w:val="正文斜体"/>
    <w:basedOn w:val="207"/>
    <w:next w:val="207"/>
    <w:link w:val="355"/>
    <w:uiPriority w:val="0"/>
    <w:rPr>
      <w:rFonts w:hAnsiTheme="minorHAnsi" w:eastAsiaTheme="minorEastAsia" w:cstheme="minorBidi"/>
      <w:i/>
    </w:rPr>
  </w:style>
  <w:style w:type="character" w:customStyle="1" w:styleId="357">
    <w:name w:val="KY-正文-5 Char Char"/>
    <w:link w:val="358"/>
    <w:qFormat/>
    <w:uiPriority w:val="0"/>
    <w:rPr>
      <w:sz w:val="28"/>
      <w:szCs w:val="28"/>
    </w:rPr>
  </w:style>
  <w:style w:type="paragraph" w:customStyle="1" w:styleId="358">
    <w:name w:val="KY-正文-5"/>
    <w:basedOn w:val="1"/>
    <w:next w:val="1"/>
    <w:link w:val="357"/>
    <w:uiPriority w:val="0"/>
    <w:pPr>
      <w:tabs>
        <w:tab w:val="left" w:pos="360"/>
      </w:tabs>
      <w:ind w:left="360" w:hanging="360"/>
      <w:outlineLvl w:val="4"/>
    </w:pPr>
    <w:rPr>
      <w:szCs w:val="28"/>
    </w:rPr>
  </w:style>
  <w:style w:type="character" w:customStyle="1" w:styleId="359">
    <w:name w:val="图题 Char Char"/>
    <w:link w:val="360"/>
    <w:qFormat/>
    <w:uiPriority w:val="0"/>
    <w:rPr>
      <w:rFonts w:ascii="黑体" w:hAnsi="宋体" w:eastAsia="黑体"/>
      <w:b/>
      <w:sz w:val="24"/>
    </w:rPr>
  </w:style>
  <w:style w:type="paragraph" w:customStyle="1" w:styleId="360">
    <w:name w:val="图题6"/>
    <w:basedOn w:val="207"/>
    <w:next w:val="207"/>
    <w:link w:val="359"/>
    <w:qFormat/>
    <w:uiPriority w:val="0"/>
    <w:pPr>
      <w:ind w:firstLine="0"/>
      <w:jc w:val="center"/>
    </w:pPr>
    <w:rPr>
      <w:rFonts w:ascii="黑体" w:hAnsi="宋体" w:eastAsia="黑体" w:cstheme="minorBidi"/>
      <w:b/>
    </w:rPr>
  </w:style>
  <w:style w:type="character" w:customStyle="1" w:styleId="361">
    <w:name w:val="文档结构图 Char Char"/>
    <w:link w:val="362"/>
    <w:qFormat/>
    <w:uiPriority w:val="0"/>
    <w:rPr>
      <w:sz w:val="24"/>
      <w:shd w:val="clear" w:color="auto" w:fill="000080"/>
    </w:rPr>
  </w:style>
  <w:style w:type="paragraph" w:customStyle="1" w:styleId="362">
    <w:name w:val="文档结构图1"/>
    <w:basedOn w:val="1"/>
    <w:link w:val="361"/>
    <w:uiPriority w:val="0"/>
    <w:pPr>
      <w:widowControl/>
      <w:shd w:val="clear" w:color="auto" w:fill="000080"/>
      <w:jc w:val="left"/>
    </w:pPr>
    <w:rPr>
      <w:shd w:val="clear" w:color="auto" w:fill="000080"/>
    </w:rPr>
  </w:style>
  <w:style w:type="character" w:customStyle="1" w:styleId="363">
    <w:name w:val="样式正文 Char Char"/>
    <w:link w:val="364"/>
    <w:qFormat/>
    <w:uiPriority w:val="0"/>
    <w:rPr>
      <w:sz w:val="24"/>
    </w:rPr>
  </w:style>
  <w:style w:type="paragraph" w:customStyle="1" w:styleId="364">
    <w:name w:val="样式正文"/>
    <w:basedOn w:val="1"/>
    <w:link w:val="363"/>
    <w:uiPriority w:val="0"/>
    <w:pPr>
      <w:spacing w:line="400" w:lineRule="exact"/>
    </w:pPr>
  </w:style>
  <w:style w:type="character" w:customStyle="1" w:styleId="365">
    <w:name w:val="表头1 Char Char"/>
    <w:link w:val="366"/>
    <w:qFormat/>
    <w:uiPriority w:val="0"/>
    <w:rPr>
      <w:rFonts w:eastAsia="黑体"/>
      <w:sz w:val="28"/>
    </w:rPr>
  </w:style>
  <w:style w:type="paragraph" w:customStyle="1" w:styleId="366">
    <w:name w:val="表头1"/>
    <w:basedOn w:val="1"/>
    <w:next w:val="1"/>
    <w:link w:val="365"/>
    <w:uiPriority w:val="0"/>
    <w:pPr>
      <w:tabs>
        <w:tab w:val="left" w:pos="605"/>
      </w:tabs>
      <w:jc w:val="center"/>
    </w:pPr>
    <w:rPr>
      <w:rFonts w:eastAsia="黑体"/>
    </w:rPr>
  </w:style>
  <w:style w:type="character" w:customStyle="1" w:styleId="367">
    <w:name w:val="列出段落 Char Char"/>
    <w:uiPriority w:val="0"/>
    <w:rPr>
      <w:sz w:val="24"/>
    </w:rPr>
  </w:style>
  <w:style w:type="character" w:customStyle="1" w:styleId="368">
    <w:name w:val="表蕊 Char1"/>
    <w:link w:val="369"/>
    <w:qFormat/>
    <w:uiPriority w:val="0"/>
    <w:rPr>
      <w:rFonts w:eastAsia="楷体_GB2312"/>
      <w:color w:val="000000"/>
      <w:spacing w:val="-10"/>
    </w:rPr>
  </w:style>
  <w:style w:type="paragraph" w:customStyle="1" w:styleId="369">
    <w:name w:val="表蕊"/>
    <w:basedOn w:val="1"/>
    <w:link w:val="368"/>
    <w:uiPriority w:val="0"/>
    <w:pPr>
      <w:spacing w:line="280" w:lineRule="atLeast"/>
      <w:jc w:val="left"/>
    </w:pPr>
    <w:rPr>
      <w:rFonts w:eastAsia="楷体_GB2312"/>
      <w:color w:val="000000"/>
      <w:spacing w:val="-10"/>
    </w:rPr>
  </w:style>
  <w:style w:type="character" w:customStyle="1" w:styleId="370">
    <w:name w:val="表格 表头 Char"/>
    <w:link w:val="371"/>
    <w:qFormat/>
    <w:uiPriority w:val="0"/>
    <w:rPr>
      <w:rFonts w:eastAsia="仿宋_GB2312"/>
      <w:szCs w:val="21"/>
    </w:rPr>
  </w:style>
  <w:style w:type="paragraph" w:customStyle="1" w:styleId="371">
    <w:name w:val="表格 表头"/>
    <w:basedOn w:val="195"/>
    <w:link w:val="370"/>
    <w:autoRedefine/>
    <w:uiPriority w:val="0"/>
    <w:pPr>
      <w:spacing w:line="240" w:lineRule="auto"/>
      <w:ind w:firstLine="0" w:firstLineChars="0"/>
    </w:pPr>
    <w:rPr>
      <w:rFonts w:asciiTheme="minorHAnsi" w:hAnsiTheme="minorHAnsi" w:cstheme="minorBidi"/>
      <w:sz w:val="21"/>
      <w:szCs w:val="21"/>
    </w:rPr>
  </w:style>
  <w:style w:type="character" w:customStyle="1" w:styleId="372">
    <w:name w:val="下标 Char Char"/>
    <w:link w:val="373"/>
    <w:uiPriority w:val="0"/>
    <w:rPr>
      <w:rFonts w:ascii="仿宋_GB2312" w:eastAsia="仿宋_GB2312"/>
      <w:sz w:val="28"/>
      <w:vertAlign w:val="subscript"/>
    </w:rPr>
  </w:style>
  <w:style w:type="paragraph" w:customStyle="1" w:styleId="373">
    <w:name w:val="下标"/>
    <w:basedOn w:val="302"/>
    <w:link w:val="372"/>
    <w:uiPriority w:val="0"/>
    <w:pPr>
      <w:ind w:firstLine="1200" w:firstLineChars="500"/>
    </w:pPr>
    <w:rPr>
      <w:vertAlign w:val="subscript"/>
    </w:rPr>
  </w:style>
  <w:style w:type="character" w:customStyle="1" w:styleId="374">
    <w:name w:val="Endnote Text Char1"/>
    <w:uiPriority w:val="0"/>
    <w:rPr>
      <w:rFonts w:eastAsia="仿宋_GB2312"/>
      <w:kern w:val="2"/>
      <w:sz w:val="28"/>
      <w:szCs w:val="22"/>
    </w:rPr>
  </w:style>
  <w:style w:type="character" w:customStyle="1" w:styleId="375">
    <w:name w:val="A正文 Char Char"/>
    <w:link w:val="376"/>
    <w:uiPriority w:val="0"/>
    <w:rPr>
      <w:rFonts w:eastAsia="仿宋_GB2312"/>
      <w:sz w:val="24"/>
    </w:rPr>
  </w:style>
  <w:style w:type="paragraph" w:customStyle="1" w:styleId="376">
    <w:name w:val="A正文"/>
    <w:basedOn w:val="1"/>
    <w:link w:val="375"/>
    <w:uiPriority w:val="0"/>
    <w:pPr>
      <w:widowControl/>
      <w:overflowPunct w:val="0"/>
      <w:autoSpaceDE w:val="0"/>
      <w:autoSpaceDN w:val="0"/>
      <w:jc w:val="left"/>
      <w:textAlignment w:val="baseline"/>
    </w:pPr>
  </w:style>
  <w:style w:type="character" w:customStyle="1" w:styleId="377">
    <w:name w:val="Document Map Char Char"/>
    <w:link w:val="378"/>
    <w:uiPriority w:val="0"/>
    <w:rPr>
      <w:rFonts w:eastAsia="仿宋_GB2312"/>
      <w:sz w:val="22"/>
      <w:shd w:val="clear" w:color="auto" w:fill="000080"/>
    </w:rPr>
  </w:style>
  <w:style w:type="paragraph" w:customStyle="1" w:styleId="378">
    <w:name w:val="文档结构图2"/>
    <w:basedOn w:val="1"/>
    <w:link w:val="377"/>
    <w:uiPriority w:val="0"/>
    <w:pPr>
      <w:shd w:val="clear" w:color="auto" w:fill="000080"/>
    </w:pPr>
    <w:rPr>
      <w:sz w:val="22"/>
      <w:shd w:val="clear" w:color="auto" w:fill="000080"/>
    </w:rPr>
  </w:style>
  <w:style w:type="character" w:customStyle="1" w:styleId="379">
    <w:name w:val="正文文本缩进 3 Char6"/>
    <w:link w:val="380"/>
    <w:uiPriority w:val="0"/>
    <w:rPr>
      <w:rFonts w:ascii="Tahoma" w:hAnsi="Tahoma"/>
      <w:sz w:val="28"/>
    </w:rPr>
  </w:style>
  <w:style w:type="paragraph" w:customStyle="1" w:styleId="380">
    <w:name w:val="Body Text Indent 31"/>
    <w:basedOn w:val="1"/>
    <w:link w:val="379"/>
    <w:uiPriority w:val="0"/>
    <w:pPr>
      <w:widowControl/>
      <w:spacing w:line="400" w:lineRule="exact"/>
      <w:ind w:firstLine="420"/>
      <w:jc w:val="left"/>
    </w:pPr>
    <w:rPr>
      <w:rFonts w:ascii="Tahoma" w:hAnsi="Tahoma"/>
    </w:rPr>
  </w:style>
  <w:style w:type="character" w:customStyle="1" w:styleId="381">
    <w:name w:val="正文文本 2 Char1"/>
    <w:uiPriority w:val="0"/>
    <w:rPr>
      <w:rFonts w:eastAsia="仿宋_GB2312"/>
      <w:kern w:val="2"/>
      <w:sz w:val="22"/>
    </w:rPr>
  </w:style>
  <w:style w:type="character" w:customStyle="1" w:styleId="382">
    <w:name w:val="表格 12 Char Char"/>
    <w:link w:val="383"/>
    <w:uiPriority w:val="0"/>
    <w:rPr>
      <w:rFonts w:eastAsia="仿宋_GB2312"/>
      <w:color w:val="0000CC"/>
      <w:sz w:val="24"/>
    </w:rPr>
  </w:style>
  <w:style w:type="paragraph" w:customStyle="1" w:styleId="383">
    <w:name w:val="表格 12"/>
    <w:basedOn w:val="1"/>
    <w:link w:val="382"/>
    <w:uiPriority w:val="0"/>
    <w:pPr>
      <w:ind w:firstLine="480"/>
      <w:jc w:val="center"/>
    </w:pPr>
    <w:rPr>
      <w:color w:val="0000CC"/>
    </w:rPr>
  </w:style>
  <w:style w:type="character" w:customStyle="1" w:styleId="384">
    <w:name w:val="表内5 Char Char"/>
    <w:link w:val="385"/>
    <w:uiPriority w:val="0"/>
    <w:rPr>
      <w:rFonts w:ascii="宋体"/>
    </w:rPr>
  </w:style>
  <w:style w:type="paragraph" w:customStyle="1" w:styleId="385">
    <w:name w:val="表内51"/>
    <w:basedOn w:val="1"/>
    <w:link w:val="384"/>
    <w:uiPriority w:val="0"/>
    <w:pPr>
      <w:widowControl/>
      <w:jc w:val="center"/>
    </w:pPr>
    <w:rPr>
      <w:rFonts w:ascii="宋体"/>
    </w:rPr>
  </w:style>
  <w:style w:type="character" w:customStyle="1" w:styleId="386">
    <w:name w:val="副标题 Char1"/>
    <w:uiPriority w:val="0"/>
    <w:rPr>
      <w:rFonts w:ascii="Cambria" w:hAnsi="Cambria"/>
      <w:b/>
      <w:kern w:val="28"/>
      <w:sz w:val="32"/>
    </w:rPr>
  </w:style>
  <w:style w:type="character" w:customStyle="1" w:styleId="387">
    <w:name w:val="报告 Char Char"/>
    <w:link w:val="388"/>
    <w:uiPriority w:val="0"/>
    <w:rPr>
      <w:sz w:val="24"/>
    </w:rPr>
  </w:style>
  <w:style w:type="paragraph" w:customStyle="1" w:styleId="388">
    <w:name w:val="报告"/>
    <w:basedOn w:val="1"/>
    <w:link w:val="387"/>
    <w:uiPriority w:val="0"/>
    <w:pPr>
      <w:overflowPunct w:val="0"/>
      <w:autoSpaceDE w:val="0"/>
      <w:autoSpaceDN w:val="0"/>
      <w:spacing w:before="62" w:beforeLines="20" w:after="62" w:afterLines="20" w:line="440" w:lineRule="atLeast"/>
      <w:ind w:right="-100" w:rightChars="-100"/>
    </w:pPr>
  </w:style>
  <w:style w:type="character" w:customStyle="1" w:styleId="389">
    <w:name w:val="明显引用 Char"/>
    <w:link w:val="390"/>
    <w:uiPriority w:val="0"/>
    <w:rPr>
      <w:rFonts w:ascii="宋体" w:hAnsi="宋体" w:eastAsia="仿宋_GB2312"/>
      <w:b/>
      <w:i/>
      <w:color w:val="4F81BD"/>
      <w:sz w:val="24"/>
    </w:rPr>
  </w:style>
  <w:style w:type="paragraph" w:customStyle="1" w:styleId="390">
    <w:name w:val="明显引用1"/>
    <w:basedOn w:val="1"/>
    <w:next w:val="1"/>
    <w:link w:val="389"/>
    <w:uiPriority w:val="0"/>
    <w:pPr>
      <w:widowControl/>
      <w:pBdr>
        <w:bottom w:val="single" w:color="4F81BD" w:sz="4" w:space="4"/>
      </w:pBdr>
      <w:spacing w:before="200" w:after="280"/>
      <w:ind w:left="936" w:right="936"/>
      <w:jc w:val="left"/>
    </w:pPr>
    <w:rPr>
      <w:rFonts w:ascii="宋体" w:hAnsi="宋体"/>
      <w:b/>
      <w:i/>
      <w:color w:val="4F81BD"/>
    </w:rPr>
  </w:style>
  <w:style w:type="character" w:customStyle="1" w:styleId="391">
    <w:name w:val="正文首行缩进 2 Char1"/>
    <w:link w:val="392"/>
    <w:uiPriority w:val="0"/>
    <w:rPr>
      <w:rFonts w:ascii="宋体"/>
      <w:sz w:val="28"/>
    </w:rPr>
  </w:style>
  <w:style w:type="paragraph" w:customStyle="1" w:styleId="392">
    <w:name w:val="正文首行缩进 21"/>
    <w:basedOn w:val="393"/>
    <w:link w:val="391"/>
    <w:uiPriority w:val="0"/>
    <w:pPr>
      <w:spacing w:line="240" w:lineRule="auto"/>
      <w:ind w:firstLine="420"/>
    </w:pPr>
    <w:rPr>
      <w:rFonts w:hAnsiTheme="minorHAnsi" w:eastAsiaTheme="minorEastAsia" w:cstheme="minorBidi"/>
      <w:kern w:val="2"/>
      <w:sz w:val="28"/>
      <w:szCs w:val="22"/>
    </w:rPr>
  </w:style>
  <w:style w:type="paragraph" w:customStyle="1" w:styleId="393">
    <w:name w:val="正文文本缩进9"/>
    <w:basedOn w:val="1"/>
    <w:uiPriority w:val="0"/>
    <w:pPr>
      <w:widowControl/>
      <w:spacing w:after="120"/>
      <w:ind w:left="420" w:leftChars="200"/>
      <w:jc w:val="left"/>
    </w:pPr>
    <w:rPr>
      <w:rFonts w:ascii="宋体" w:hAnsi="宋体" w:cs="宋体"/>
      <w:kern w:val="0"/>
      <w:szCs w:val="24"/>
    </w:rPr>
  </w:style>
  <w:style w:type="character" w:customStyle="1" w:styleId="394">
    <w:name w:val="chen正文字体11 Char Char"/>
    <w:link w:val="395"/>
    <w:uiPriority w:val="0"/>
    <w:rPr>
      <w:color w:val="000000"/>
      <w:sz w:val="24"/>
    </w:rPr>
  </w:style>
  <w:style w:type="paragraph" w:customStyle="1" w:styleId="395">
    <w:name w:val="chen正文字体11"/>
    <w:basedOn w:val="1"/>
    <w:link w:val="394"/>
    <w:uiPriority w:val="0"/>
    <w:pPr>
      <w:ind w:firstLine="480"/>
    </w:pPr>
    <w:rPr>
      <w:color w:val="000000"/>
    </w:rPr>
  </w:style>
  <w:style w:type="character" w:customStyle="1" w:styleId="396">
    <w:name w:val="环评正文 Char Char"/>
    <w:link w:val="397"/>
    <w:uiPriority w:val="0"/>
    <w:rPr>
      <w:rFonts w:ascii="仿宋_GB2312" w:eastAsia="仿宋_GB2312"/>
      <w:sz w:val="28"/>
    </w:rPr>
  </w:style>
  <w:style w:type="paragraph" w:customStyle="1" w:styleId="397">
    <w:name w:val="环评正文"/>
    <w:basedOn w:val="161"/>
    <w:link w:val="396"/>
    <w:uiPriority w:val="0"/>
    <w:pPr>
      <w:ind w:firstLine="560"/>
    </w:pPr>
    <w:rPr>
      <w:rFonts w:ascii="仿宋_GB2312" w:hAnsiTheme="minorHAnsi" w:cstheme="minorBidi"/>
      <w:sz w:val="28"/>
    </w:rPr>
  </w:style>
  <w:style w:type="character" w:customStyle="1" w:styleId="398">
    <w:name w:val="正文新 Char Char"/>
    <w:link w:val="399"/>
    <w:uiPriority w:val="0"/>
    <w:rPr>
      <w:rFonts w:ascii="宋体"/>
      <w:sz w:val="28"/>
    </w:rPr>
  </w:style>
  <w:style w:type="paragraph" w:customStyle="1" w:styleId="399">
    <w:name w:val="正文新"/>
    <w:basedOn w:val="1"/>
    <w:link w:val="398"/>
    <w:uiPriority w:val="0"/>
    <w:pPr>
      <w:widowControl/>
      <w:spacing w:line="560" w:lineRule="exact"/>
      <w:ind w:firstLine="560"/>
      <w:jc w:val="left"/>
    </w:pPr>
    <w:rPr>
      <w:rFonts w:ascii="宋体"/>
    </w:rPr>
  </w:style>
  <w:style w:type="character" w:customStyle="1" w:styleId="400">
    <w:name w:val="Char Char Char Char Char Char Char12"/>
    <w:link w:val="401"/>
    <w:uiPriority w:val="0"/>
    <w:rPr>
      <w:sz w:val="24"/>
    </w:rPr>
  </w:style>
  <w:style w:type="paragraph" w:customStyle="1" w:styleId="401">
    <w:name w:val="Char Char Char Char Char Char6"/>
    <w:basedOn w:val="1"/>
    <w:link w:val="400"/>
    <w:uiPriority w:val="0"/>
    <w:pPr>
      <w:widowControl/>
      <w:jc w:val="left"/>
    </w:pPr>
  </w:style>
  <w:style w:type="character" w:customStyle="1" w:styleId="402">
    <w:name w:val="表格内容 Char Char"/>
    <w:link w:val="403"/>
    <w:qFormat/>
    <w:uiPriority w:val="0"/>
    <w:rPr>
      <w:rFonts w:ascii="Arial" w:hAnsi="Arial" w:eastAsia="仿宋_GB2312"/>
      <w:sz w:val="24"/>
    </w:rPr>
  </w:style>
  <w:style w:type="paragraph" w:customStyle="1" w:styleId="403">
    <w:name w:val="表格内容"/>
    <w:basedOn w:val="1"/>
    <w:link w:val="402"/>
    <w:uiPriority w:val="0"/>
    <w:pPr>
      <w:overflowPunct w:val="0"/>
      <w:spacing w:before="40" w:after="60" w:line="200" w:lineRule="atLeast"/>
      <w:textAlignment w:val="baseline"/>
    </w:pPr>
    <w:rPr>
      <w:rFonts w:ascii="Arial" w:hAnsi="Arial"/>
    </w:rPr>
  </w:style>
  <w:style w:type="character" w:customStyle="1" w:styleId="404">
    <w:name w:val="大港正文 Char Char"/>
    <w:link w:val="405"/>
    <w:qFormat/>
    <w:uiPriority w:val="0"/>
    <w:rPr>
      <w:rFonts w:ascii="仿宋_GB2312" w:hAnsi="宋体" w:eastAsia="仿宋_GB2312"/>
      <w:sz w:val="28"/>
    </w:rPr>
  </w:style>
  <w:style w:type="paragraph" w:customStyle="1" w:styleId="405">
    <w:name w:val="大港正文"/>
    <w:basedOn w:val="1"/>
    <w:next w:val="1"/>
    <w:link w:val="404"/>
    <w:uiPriority w:val="0"/>
    <w:pPr>
      <w:widowControl/>
      <w:jc w:val="left"/>
    </w:pPr>
    <w:rPr>
      <w:rFonts w:ascii="仿宋_GB2312" w:hAnsi="宋体"/>
    </w:rPr>
  </w:style>
  <w:style w:type="character" w:customStyle="1" w:styleId="406">
    <w:name w:val="参加人员 Char Char"/>
    <w:link w:val="407"/>
    <w:uiPriority w:val="0"/>
    <w:rPr>
      <w:sz w:val="24"/>
    </w:rPr>
  </w:style>
  <w:style w:type="paragraph" w:customStyle="1" w:styleId="407">
    <w:name w:val="参加人员"/>
    <w:basedOn w:val="1"/>
    <w:link w:val="406"/>
    <w:uiPriority w:val="0"/>
    <w:pPr>
      <w:widowControl/>
      <w:jc w:val="left"/>
    </w:pPr>
  </w:style>
  <w:style w:type="character" w:customStyle="1" w:styleId="408">
    <w:name w:val="正文文本缩进 3 Char1"/>
    <w:uiPriority w:val="0"/>
    <w:rPr>
      <w:rFonts w:eastAsia="仿宋_GB2312"/>
      <w:kern w:val="2"/>
      <w:sz w:val="16"/>
    </w:rPr>
  </w:style>
  <w:style w:type="character" w:customStyle="1" w:styleId="409">
    <w:name w:val="A2 Char Char"/>
    <w:link w:val="410"/>
    <w:uiPriority w:val="0"/>
    <w:rPr>
      <w:sz w:val="24"/>
    </w:rPr>
  </w:style>
  <w:style w:type="paragraph" w:customStyle="1" w:styleId="410">
    <w:name w:val="A2"/>
    <w:basedOn w:val="1"/>
    <w:link w:val="409"/>
    <w:uiPriority w:val="0"/>
    <w:pPr>
      <w:widowControl/>
      <w:ind w:firstLine="570"/>
      <w:jc w:val="left"/>
    </w:pPr>
  </w:style>
  <w:style w:type="character" w:customStyle="1" w:styleId="411">
    <w:name w:val="表格 首行文字 Char Char"/>
    <w:link w:val="412"/>
    <w:uiPriority w:val="0"/>
    <w:rPr>
      <w:rFonts w:eastAsia="仿宋_GB2312"/>
      <w:b/>
    </w:rPr>
  </w:style>
  <w:style w:type="paragraph" w:customStyle="1" w:styleId="412">
    <w:name w:val="表格 首行文字"/>
    <w:basedOn w:val="1"/>
    <w:link w:val="411"/>
    <w:uiPriority w:val="0"/>
    <w:pPr>
      <w:jc w:val="center"/>
    </w:pPr>
    <w:rPr>
      <w:b/>
    </w:rPr>
  </w:style>
  <w:style w:type="character" w:customStyle="1" w:styleId="413">
    <w:name w:val="样式 标题 3 + 仿宋_GB2312 Char Char"/>
    <w:link w:val="414"/>
    <w:uiPriority w:val="0"/>
    <w:rPr>
      <w:rFonts w:ascii="仿宋_GB2312" w:hAnsi="仿宋_GB2312" w:eastAsia="宋体"/>
      <w:b/>
      <w:color w:val="000000"/>
      <w:sz w:val="24"/>
    </w:rPr>
  </w:style>
  <w:style w:type="paragraph" w:customStyle="1" w:styleId="414">
    <w:name w:val="样式 标题 3 + 仿宋_GB2312"/>
    <w:basedOn w:val="4"/>
    <w:link w:val="413"/>
    <w:uiPriority w:val="0"/>
    <w:pPr/>
    <w:rPr>
      <w:rFonts w:ascii="仿宋_GB2312" w:hAnsi="仿宋_GB2312" w:cstheme="minorBidi"/>
      <w:bCs w:val="0"/>
      <w:color w:val="000000"/>
      <w:szCs w:val="22"/>
    </w:rPr>
  </w:style>
  <w:style w:type="character" w:customStyle="1" w:styleId="415">
    <w:name w:val="Char Char Char Char Char Char Char11"/>
    <w:link w:val="416"/>
    <w:uiPriority w:val="0"/>
    <w:rPr>
      <w:sz w:val="24"/>
    </w:rPr>
  </w:style>
  <w:style w:type="paragraph" w:customStyle="1" w:styleId="416">
    <w:name w:val="Char Char Char Char Char Char5"/>
    <w:basedOn w:val="1"/>
    <w:link w:val="415"/>
    <w:uiPriority w:val="0"/>
    <w:pPr>
      <w:widowControl/>
      <w:jc w:val="left"/>
    </w:pPr>
  </w:style>
  <w:style w:type="character" w:customStyle="1" w:styleId="417">
    <w:name w:val="Char4 Char Char Char Char4"/>
    <w:link w:val="418"/>
    <w:uiPriority w:val="0"/>
    <w:rPr>
      <w:rFonts w:eastAsia="仿宋_GB2312"/>
      <w:sz w:val="24"/>
    </w:rPr>
  </w:style>
  <w:style w:type="paragraph" w:customStyle="1" w:styleId="418">
    <w:name w:val="Char4 Char Char Char5"/>
    <w:basedOn w:val="1"/>
    <w:link w:val="417"/>
    <w:uiPriority w:val="0"/>
    <w:pPr>
      <w:widowControl/>
      <w:jc w:val="left"/>
    </w:pPr>
  </w:style>
  <w:style w:type="character" w:customStyle="1" w:styleId="419">
    <w:name w:val="环标1 Char1"/>
    <w:link w:val="420"/>
    <w:qFormat/>
    <w:uiPriority w:val="0"/>
    <w:rPr>
      <w:rFonts w:ascii="黑体" w:hAnsi="Courier New" w:eastAsia="黑体"/>
      <w:kern w:val="44"/>
      <w:sz w:val="32"/>
    </w:rPr>
  </w:style>
  <w:style w:type="paragraph" w:customStyle="1" w:styleId="420">
    <w:name w:val="环标1"/>
    <w:basedOn w:val="2"/>
    <w:link w:val="419"/>
    <w:uiPriority w:val="0"/>
    <w:rPr>
      <w:rFonts w:ascii="黑体" w:hAnsi="Courier New" w:eastAsia="黑体" w:cstheme="minorBidi"/>
      <w:b w:val="0"/>
      <w:bCs w:val="0"/>
      <w:sz w:val="32"/>
      <w:szCs w:val="22"/>
    </w:rPr>
  </w:style>
  <w:style w:type="character" w:customStyle="1" w:styleId="421">
    <w:name w:val="标题4新 Char Char"/>
    <w:link w:val="422"/>
    <w:qFormat/>
    <w:uiPriority w:val="0"/>
    <w:rPr>
      <w:rFonts w:eastAsia="仿宋_GB2312"/>
      <w:b/>
      <w:sz w:val="28"/>
    </w:rPr>
  </w:style>
  <w:style w:type="paragraph" w:customStyle="1" w:styleId="422">
    <w:name w:val="标题4新"/>
    <w:basedOn w:val="27"/>
    <w:link w:val="421"/>
    <w:uiPriority w:val="0"/>
    <w:pPr>
      <w:spacing w:line="500" w:lineRule="exact"/>
      <w:outlineLvl w:val="3"/>
    </w:pPr>
    <w:rPr>
      <w:rFonts w:asciiTheme="minorHAnsi" w:hAnsiTheme="minorHAnsi" w:cstheme="minorBidi"/>
      <w:b/>
      <w:sz w:val="28"/>
    </w:rPr>
  </w:style>
  <w:style w:type="character" w:customStyle="1" w:styleId="423">
    <w:name w:val="Char4 Char Char Char Char5"/>
    <w:link w:val="424"/>
    <w:qFormat/>
    <w:uiPriority w:val="0"/>
    <w:rPr>
      <w:rFonts w:eastAsia="仿宋_GB2312"/>
      <w:sz w:val="24"/>
    </w:rPr>
  </w:style>
  <w:style w:type="paragraph" w:customStyle="1" w:styleId="424">
    <w:name w:val="Char4 Char Char Char6"/>
    <w:basedOn w:val="1"/>
    <w:link w:val="423"/>
    <w:uiPriority w:val="0"/>
    <w:pPr>
      <w:widowControl/>
      <w:jc w:val="left"/>
    </w:pPr>
  </w:style>
  <w:style w:type="character" w:customStyle="1" w:styleId="425">
    <w:name w:val="章标题1 Char Char"/>
    <w:link w:val="426"/>
    <w:qFormat/>
    <w:uiPriority w:val="0"/>
    <w:rPr>
      <w:rFonts w:ascii="宋体"/>
      <w:b/>
      <w:kern w:val="44"/>
      <w:sz w:val="30"/>
    </w:rPr>
  </w:style>
  <w:style w:type="paragraph" w:customStyle="1" w:styleId="426">
    <w:name w:val="章标题1"/>
    <w:basedOn w:val="2"/>
    <w:link w:val="425"/>
    <w:uiPriority w:val="0"/>
    <w:rPr>
      <w:rFonts w:ascii="宋体" w:hAnsiTheme="minorHAnsi" w:eastAsiaTheme="minorEastAsia" w:cstheme="minorBidi"/>
      <w:bCs w:val="0"/>
      <w:sz w:val="30"/>
      <w:szCs w:val="22"/>
    </w:rPr>
  </w:style>
  <w:style w:type="character" w:customStyle="1" w:styleId="427">
    <w:name w:val="题注 + 居中! Char Char"/>
    <w:link w:val="428"/>
    <w:qFormat/>
    <w:uiPriority w:val="0"/>
    <w:rPr>
      <w:rFonts w:ascii="黑体" w:hAnsi="Arial" w:eastAsia="黑体"/>
      <w:sz w:val="24"/>
    </w:rPr>
  </w:style>
  <w:style w:type="paragraph" w:customStyle="1" w:styleId="428">
    <w:name w:val="题注 + 居中!"/>
    <w:basedOn w:val="19"/>
    <w:link w:val="427"/>
    <w:uiPriority w:val="0"/>
    <w:pPr>
      <w:ind w:firstLine="480"/>
      <w:jc w:val="center"/>
    </w:pPr>
    <w:rPr>
      <w:rFonts w:ascii="黑体" w:cstheme="minorBidi"/>
    </w:rPr>
  </w:style>
  <w:style w:type="character" w:customStyle="1" w:styleId="429">
    <w:name w:val="正文(首行缩进2字) Char Char"/>
    <w:link w:val="430"/>
    <w:uiPriority w:val="0"/>
    <w:rPr>
      <w:color w:val="000000"/>
      <w:sz w:val="24"/>
    </w:rPr>
  </w:style>
  <w:style w:type="paragraph" w:customStyle="1" w:styleId="430">
    <w:name w:val="正文(首行缩进2字)"/>
    <w:basedOn w:val="1"/>
    <w:next w:val="1"/>
    <w:link w:val="429"/>
    <w:uiPriority w:val="0"/>
    <w:pPr>
      <w:widowControl/>
      <w:spacing w:after="156" w:line="300" w:lineRule="auto"/>
      <w:jc w:val="left"/>
      <w:textAlignment w:val="baseline"/>
    </w:pPr>
    <w:rPr>
      <w:color w:val="000000"/>
    </w:rPr>
  </w:style>
  <w:style w:type="character" w:customStyle="1" w:styleId="431">
    <w:name w:val="表头 Char Char Char"/>
    <w:uiPriority w:val="0"/>
    <w:rPr>
      <w:rFonts w:ascii="Times New Roman" w:hAnsi="Times New Roman" w:eastAsia="黑体"/>
      <w:spacing w:val="-10"/>
      <w:sz w:val="21"/>
    </w:rPr>
  </w:style>
  <w:style w:type="character" w:customStyle="1" w:styleId="432">
    <w:name w:val="普通(网站) Char1"/>
    <w:link w:val="433"/>
    <w:qFormat/>
    <w:uiPriority w:val="0"/>
    <w:rPr>
      <w:sz w:val="24"/>
    </w:rPr>
  </w:style>
  <w:style w:type="paragraph" w:customStyle="1" w:styleId="433">
    <w:name w:val="普通(网站)1"/>
    <w:basedOn w:val="1"/>
    <w:link w:val="432"/>
    <w:uiPriority w:val="0"/>
    <w:pPr>
      <w:widowControl/>
      <w:jc w:val="left"/>
    </w:pPr>
  </w:style>
  <w:style w:type="character" w:customStyle="1" w:styleId="434">
    <w:name w:val="日期 Char2"/>
    <w:link w:val="435"/>
    <w:qFormat/>
    <w:uiPriority w:val="0"/>
    <w:rPr>
      <w:rFonts w:ascii="宋体"/>
      <w:sz w:val="24"/>
    </w:rPr>
  </w:style>
  <w:style w:type="paragraph" w:customStyle="1" w:styleId="435">
    <w:name w:val="Date1"/>
    <w:basedOn w:val="1"/>
    <w:next w:val="1"/>
    <w:link w:val="434"/>
    <w:uiPriority w:val="0"/>
    <w:pPr>
      <w:widowControl/>
      <w:jc w:val="left"/>
    </w:pPr>
    <w:rPr>
      <w:rFonts w:ascii="宋体"/>
    </w:rPr>
  </w:style>
  <w:style w:type="character" w:customStyle="1" w:styleId="436">
    <w:name w:val="新正文 Char Char"/>
    <w:link w:val="437"/>
    <w:qFormat/>
    <w:uiPriority w:val="0"/>
    <w:rPr>
      <w:rFonts w:ascii="仿宋_GB2312" w:eastAsia="仿宋_GB2312"/>
      <w:sz w:val="28"/>
    </w:rPr>
  </w:style>
  <w:style w:type="paragraph" w:customStyle="1" w:styleId="437">
    <w:name w:val="新正文"/>
    <w:basedOn w:val="1"/>
    <w:link w:val="436"/>
    <w:uiPriority w:val="0"/>
    <w:pPr>
      <w:spacing w:line="480" w:lineRule="exact"/>
      <w:ind w:firstLine="482"/>
    </w:pPr>
    <w:rPr>
      <w:rFonts w:ascii="仿宋_GB2312"/>
    </w:rPr>
  </w:style>
  <w:style w:type="character" w:customStyle="1" w:styleId="438">
    <w:name w:val="正文(首行缩进)宋旭峰 Char Char"/>
    <w:link w:val="439"/>
    <w:qFormat/>
    <w:uiPriority w:val="0"/>
    <w:rPr>
      <w:sz w:val="24"/>
    </w:rPr>
  </w:style>
  <w:style w:type="paragraph" w:customStyle="1" w:styleId="439">
    <w:name w:val="正文(首行缩进)宋旭峰"/>
    <w:basedOn w:val="307"/>
    <w:link w:val="438"/>
    <w:uiPriority w:val="0"/>
    <w:pPr>
      <w:spacing w:before="156" w:after="156"/>
      <w:ind w:firstLine="440"/>
      <w:contextualSpacing/>
    </w:pPr>
    <w:rPr>
      <w:rFonts w:asciiTheme="minorHAnsi" w:hAnsiTheme="minorHAnsi" w:eastAsiaTheme="minorEastAsia"/>
    </w:rPr>
  </w:style>
  <w:style w:type="character" w:customStyle="1" w:styleId="440">
    <w:name w:val="hhcwt表头 Char Char"/>
    <w:link w:val="441"/>
    <w:qFormat/>
    <w:uiPriority w:val="0"/>
    <w:rPr>
      <w:rFonts w:ascii="楷体_GB2312" w:eastAsia="楷体_GB2312"/>
      <w:b/>
      <w:sz w:val="24"/>
    </w:rPr>
  </w:style>
  <w:style w:type="paragraph" w:customStyle="1" w:styleId="441">
    <w:name w:val="hhcwt表头"/>
    <w:basedOn w:val="1"/>
    <w:link w:val="440"/>
    <w:uiPriority w:val="0"/>
    <w:pPr>
      <w:spacing w:after="120"/>
      <w:jc w:val="center"/>
    </w:pPr>
    <w:rPr>
      <w:rFonts w:ascii="楷体_GB2312" w:eastAsia="楷体_GB2312"/>
      <w:b/>
    </w:rPr>
  </w:style>
  <w:style w:type="character" w:customStyle="1" w:styleId="442">
    <w:name w:val="正文样式10 Char Char"/>
    <w:link w:val="443"/>
    <w:uiPriority w:val="0"/>
    <w:rPr>
      <w:rFonts w:ascii="宋体"/>
      <w:sz w:val="24"/>
      <w:lang w:val="zh-CN"/>
    </w:rPr>
  </w:style>
  <w:style w:type="paragraph" w:customStyle="1" w:styleId="443">
    <w:name w:val="正文样式10"/>
    <w:basedOn w:val="1"/>
    <w:link w:val="442"/>
    <w:qFormat/>
    <w:uiPriority w:val="0"/>
    <w:pPr>
      <w:widowControl/>
      <w:spacing w:before="156" w:after="156"/>
      <w:ind w:firstLine="480"/>
      <w:jc w:val="left"/>
    </w:pPr>
    <w:rPr>
      <w:rFonts w:ascii="宋体"/>
      <w:lang w:val="zh-CN"/>
    </w:rPr>
  </w:style>
  <w:style w:type="character" w:customStyle="1" w:styleId="444">
    <w:name w:val="表格正文 Char1"/>
    <w:link w:val="445"/>
    <w:qFormat/>
    <w:uiPriority w:val="0"/>
    <w:rPr>
      <w:rFonts w:ascii="Times New Roman" w:hAnsi="Times New Roman" w:eastAsia="宋体"/>
      <w:sz w:val="18"/>
    </w:rPr>
  </w:style>
  <w:style w:type="paragraph" w:customStyle="1" w:styleId="445">
    <w:name w:val="表格正文"/>
    <w:basedOn w:val="1"/>
    <w:link w:val="444"/>
    <w:qFormat/>
    <w:uiPriority w:val="0"/>
    <w:pPr>
      <w:widowControl/>
      <w:spacing w:line="360" w:lineRule="exact"/>
      <w:ind w:firstLine="0" w:firstLineChars="0"/>
      <w:jc w:val="center"/>
    </w:pPr>
    <w:rPr>
      <w:sz w:val="18"/>
    </w:rPr>
  </w:style>
  <w:style w:type="character" w:customStyle="1" w:styleId="446">
    <w:name w:val="样式 标题 3 + 仿宋_GB23121 Char Char"/>
    <w:link w:val="447"/>
    <w:qFormat/>
    <w:uiPriority w:val="0"/>
    <w:rPr>
      <w:rFonts w:ascii="仿宋_GB2312" w:hAnsi="仿宋_GB2312" w:eastAsia="宋体"/>
      <w:b/>
      <w:color w:val="000000"/>
      <w:sz w:val="24"/>
    </w:rPr>
  </w:style>
  <w:style w:type="paragraph" w:customStyle="1" w:styleId="447">
    <w:name w:val="样式 标题 3 + 仿宋_GB23121"/>
    <w:basedOn w:val="4"/>
    <w:link w:val="446"/>
    <w:uiPriority w:val="0"/>
    <w:pPr/>
    <w:rPr>
      <w:rFonts w:ascii="仿宋_GB2312" w:hAnsi="仿宋_GB2312" w:cstheme="minorBidi"/>
      <w:bCs w:val="0"/>
      <w:color w:val="000000"/>
      <w:szCs w:val="22"/>
    </w:rPr>
  </w:style>
  <w:style w:type="character" w:customStyle="1" w:styleId="448">
    <w:name w:val="正文1 Char Char"/>
    <w:link w:val="449"/>
    <w:qFormat/>
    <w:uiPriority w:val="0"/>
    <w:rPr>
      <w:rFonts w:ascii="宋体"/>
      <w:spacing w:val="10"/>
      <w:sz w:val="24"/>
    </w:rPr>
  </w:style>
  <w:style w:type="paragraph" w:customStyle="1" w:styleId="449">
    <w:name w:val="正文1"/>
    <w:basedOn w:val="1"/>
    <w:link w:val="448"/>
    <w:qFormat/>
    <w:uiPriority w:val="0"/>
    <w:pPr>
      <w:spacing w:after="120" w:line="360" w:lineRule="atLeast"/>
      <w:jc w:val="center"/>
      <w:textAlignment w:val="baseline"/>
    </w:pPr>
    <w:rPr>
      <w:rFonts w:ascii="宋体"/>
      <w:spacing w:val="10"/>
    </w:rPr>
  </w:style>
  <w:style w:type="character" w:customStyle="1" w:styleId="450">
    <w:name w:val="正文 + 楷体_GB2312 Char"/>
    <w:link w:val="451"/>
    <w:qFormat/>
    <w:uiPriority w:val="0"/>
    <w:rPr>
      <w:rFonts w:eastAsia="宋体"/>
      <w:b/>
      <w:sz w:val="30"/>
    </w:rPr>
  </w:style>
  <w:style w:type="paragraph" w:customStyle="1" w:styleId="451">
    <w:name w:val="标题 4 + (西文) Times New Roman"/>
    <w:basedOn w:val="3"/>
    <w:link w:val="450"/>
    <w:uiPriority w:val="0"/>
    <w:rPr>
      <w:rFonts w:asciiTheme="minorHAnsi" w:hAnsiTheme="minorHAnsi" w:cstheme="minorBidi"/>
      <w:bCs w:val="0"/>
      <w:kern w:val="2"/>
      <w:sz w:val="30"/>
      <w:szCs w:val="22"/>
    </w:rPr>
  </w:style>
  <w:style w:type="character" w:customStyle="1" w:styleId="452">
    <w:name w:val="正文首行缩进 Char6"/>
    <w:link w:val="453"/>
    <w:qFormat/>
    <w:uiPriority w:val="0"/>
    <w:rPr>
      <w:rFonts w:ascii="仿宋_GB2312" w:eastAsia="仿宋_GB2312"/>
      <w:sz w:val="24"/>
    </w:rPr>
  </w:style>
  <w:style w:type="paragraph" w:customStyle="1" w:styleId="453">
    <w:name w:val="Body Text First Indent1"/>
    <w:basedOn w:val="156"/>
    <w:link w:val="452"/>
    <w:uiPriority w:val="0"/>
    <w:pPr>
      <w:widowControl/>
      <w:spacing w:after="120" w:line="240" w:lineRule="auto"/>
      <w:ind w:firstLine="420" w:firstLineChars="100"/>
      <w:jc w:val="left"/>
    </w:pPr>
    <w:rPr>
      <w:rFonts w:ascii="仿宋_GB2312" w:hAnsiTheme="minorHAnsi" w:cstheme="minorBidi"/>
      <w:kern w:val="2"/>
      <w:szCs w:val="22"/>
    </w:rPr>
  </w:style>
  <w:style w:type="character" w:customStyle="1" w:styleId="454">
    <w:name w:val="hhcwt正文 Char Char Char Char"/>
    <w:uiPriority w:val="0"/>
    <w:rPr>
      <w:rFonts w:ascii="Times New Roman" w:hAnsi="Times New Roman"/>
      <w:kern w:val="2"/>
      <w:sz w:val="24"/>
    </w:rPr>
  </w:style>
  <w:style w:type="character" w:customStyle="1" w:styleId="455">
    <w:name w:val="节标题1 Char Char"/>
    <w:link w:val="456"/>
    <w:uiPriority w:val="0"/>
    <w:rPr>
      <w:rFonts w:ascii="宋体"/>
      <w:b/>
      <w:sz w:val="24"/>
    </w:rPr>
  </w:style>
  <w:style w:type="paragraph" w:customStyle="1" w:styleId="456">
    <w:name w:val="节标题1"/>
    <w:basedOn w:val="1"/>
    <w:link w:val="455"/>
    <w:uiPriority w:val="0"/>
    <w:pPr>
      <w:widowControl/>
      <w:spacing w:before="156"/>
      <w:jc w:val="left"/>
    </w:pPr>
    <w:rPr>
      <w:rFonts w:ascii="宋体"/>
      <w:b/>
    </w:rPr>
  </w:style>
  <w:style w:type="character" w:customStyle="1" w:styleId="457">
    <w:name w:val="节标题2 Char Char"/>
    <w:link w:val="458"/>
    <w:uiPriority w:val="0"/>
    <w:rPr>
      <w:sz w:val="28"/>
    </w:rPr>
  </w:style>
  <w:style w:type="paragraph" w:customStyle="1" w:styleId="458">
    <w:name w:val="节标题2"/>
    <w:basedOn w:val="1"/>
    <w:link w:val="457"/>
    <w:uiPriority w:val="0"/>
    <w:pPr>
      <w:widowControl/>
      <w:autoSpaceDE w:val="0"/>
      <w:autoSpaceDN w:val="0"/>
      <w:jc w:val="left"/>
    </w:pPr>
  </w:style>
  <w:style w:type="character" w:customStyle="1" w:styleId="459">
    <w:name w:val="样式 标题 3标题 3 Char Char Char标题 3 Char Charh3H3level_3PIM 3L...2 Char Char"/>
    <w:link w:val="460"/>
    <w:qFormat/>
    <w:uiPriority w:val="0"/>
    <w:rPr>
      <w:rFonts w:ascii="宋体" w:hAnsi="宋体" w:eastAsia="黑体"/>
      <w:b/>
      <w:sz w:val="24"/>
    </w:rPr>
  </w:style>
  <w:style w:type="paragraph" w:customStyle="1" w:styleId="460">
    <w:name w:val="样式 标题 3标题 3 Char Char Char标题 3 Char Charh3H3level_3PIM 3L...2"/>
    <w:basedOn w:val="4"/>
    <w:link w:val="459"/>
    <w:uiPriority w:val="0"/>
    <w:pPr/>
    <w:rPr>
      <w:rFonts w:ascii="宋体" w:hAnsi="宋体" w:eastAsia="黑体" w:cstheme="minorBidi"/>
      <w:bCs w:val="0"/>
      <w:szCs w:val="22"/>
    </w:rPr>
  </w:style>
  <w:style w:type="character" w:customStyle="1" w:styleId="461">
    <w:name w:val="z-Top of Form Char1"/>
    <w:link w:val="462"/>
    <w:qFormat/>
    <w:uiPriority w:val="0"/>
    <w:rPr>
      <w:rFonts w:ascii="Arial" w:hAnsi="Arial" w:eastAsia="仿宋_GB2312"/>
      <w:vanish/>
      <w:sz w:val="16"/>
    </w:rPr>
  </w:style>
  <w:style w:type="paragraph" w:customStyle="1" w:styleId="462">
    <w:name w:val="z-窗体顶端2"/>
    <w:basedOn w:val="1"/>
    <w:next w:val="1"/>
    <w:link w:val="461"/>
    <w:uiPriority w:val="0"/>
    <w:pPr>
      <w:pBdr>
        <w:bottom w:val="single" w:color="auto" w:sz="6" w:space="1"/>
      </w:pBdr>
      <w:spacing w:line="300" w:lineRule="auto"/>
      <w:jc w:val="center"/>
    </w:pPr>
    <w:rPr>
      <w:rFonts w:ascii="Arial" w:hAnsi="Arial"/>
      <w:vanish/>
      <w:sz w:val="16"/>
    </w:rPr>
  </w:style>
  <w:style w:type="character" w:customStyle="1" w:styleId="463">
    <w:name w:val="纯文本 Char4"/>
    <w:link w:val="464"/>
    <w:qFormat/>
    <w:uiPriority w:val="0"/>
    <w:rPr>
      <w:rFonts w:ascii="宋体" w:hAnsi="Courier New"/>
    </w:rPr>
  </w:style>
  <w:style w:type="paragraph" w:customStyle="1" w:styleId="464">
    <w:name w:val="Plain Text1"/>
    <w:basedOn w:val="1"/>
    <w:link w:val="463"/>
    <w:uiPriority w:val="0"/>
    <w:pPr>
      <w:widowControl/>
      <w:ind w:firstLine="480"/>
      <w:jc w:val="center"/>
    </w:pPr>
    <w:rPr>
      <w:rFonts w:ascii="宋体" w:hAnsi="Courier New"/>
    </w:rPr>
  </w:style>
  <w:style w:type="character" w:customStyle="1" w:styleId="465">
    <w:name w:val="福建正文缩进 Char Char"/>
    <w:link w:val="466"/>
    <w:qFormat/>
    <w:uiPriority w:val="0"/>
    <w:rPr>
      <w:rFonts w:ascii="宋体"/>
      <w:color w:val="000000"/>
      <w:sz w:val="24"/>
    </w:rPr>
  </w:style>
  <w:style w:type="paragraph" w:customStyle="1" w:styleId="466">
    <w:name w:val="福建正文缩进"/>
    <w:basedOn w:val="307"/>
    <w:link w:val="465"/>
    <w:uiPriority w:val="0"/>
    <w:pPr>
      <w:tabs>
        <w:tab w:val="left" w:pos="5837"/>
      </w:tabs>
      <w:spacing w:line="480" w:lineRule="exact"/>
    </w:pPr>
    <w:rPr>
      <w:rFonts w:hAnsiTheme="minorHAnsi" w:eastAsiaTheme="minorEastAsia"/>
      <w:color w:val="000000"/>
    </w:rPr>
  </w:style>
  <w:style w:type="character" w:customStyle="1" w:styleId="467">
    <w:name w:val="正文标题3 Char Char"/>
    <w:link w:val="468"/>
    <w:uiPriority w:val="0"/>
    <w:rPr>
      <w:rFonts w:eastAsia="仿宋_GB2312"/>
      <w:b/>
      <w:color w:val="000000"/>
      <w:sz w:val="28"/>
    </w:rPr>
  </w:style>
  <w:style w:type="paragraph" w:customStyle="1" w:styleId="468">
    <w:name w:val="正文标题3"/>
    <w:link w:val="467"/>
    <w:uiPriority w:val="0"/>
    <w:pPr>
      <w:spacing w:before="156" w:beforeLines="50" w:after="156" w:afterLines="50" w:line="500" w:lineRule="exact"/>
      <w:outlineLvl w:val="2"/>
    </w:pPr>
    <w:rPr>
      <w:rFonts w:eastAsia="仿宋_GB2312" w:asciiTheme="minorHAnsi" w:hAnsiTheme="minorHAnsi" w:cstheme="minorBidi"/>
      <w:b/>
      <w:color w:val="000000"/>
      <w:kern w:val="2"/>
      <w:sz w:val="28"/>
      <w:szCs w:val="22"/>
      <w:lang w:val="en-US" w:eastAsia="zh-CN" w:bidi="ar-SA"/>
    </w:rPr>
  </w:style>
  <w:style w:type="character" w:customStyle="1" w:styleId="469">
    <w:name w:val="样式 样式 标题 2标题 2节第一章 标题 2Heading 2 HiddenHeading 2 CCBSheading 2..... Char Char"/>
    <w:link w:val="470"/>
    <w:uiPriority w:val="0"/>
    <w:rPr>
      <w:rFonts w:ascii="宋体" w:hAnsi="宋体" w:eastAsia="楷体_GB2312"/>
      <w:b/>
      <w:color w:val="000000"/>
      <w:sz w:val="32"/>
    </w:rPr>
  </w:style>
  <w:style w:type="paragraph" w:customStyle="1" w:styleId="470">
    <w:name w:val="样式 样式 标题 2标题 2节第一章 标题 2Heading 2 HiddenHeading 2 CCBSheading 2....."/>
    <w:basedOn w:val="1"/>
    <w:link w:val="469"/>
    <w:uiPriority w:val="0"/>
    <w:pPr>
      <w:keepNext/>
      <w:keepLines/>
      <w:widowControl/>
      <w:spacing w:before="312" w:beforeLines="100" w:after="312" w:afterLines="100"/>
      <w:jc w:val="center"/>
      <w:outlineLvl w:val="1"/>
    </w:pPr>
    <w:rPr>
      <w:rFonts w:ascii="宋体" w:hAnsi="宋体" w:eastAsia="楷体_GB2312"/>
      <w:b/>
      <w:color w:val="000000"/>
      <w:sz w:val="32"/>
    </w:rPr>
  </w:style>
  <w:style w:type="character" w:customStyle="1" w:styleId="471">
    <w:name w:val="Block Text Char Char"/>
    <w:link w:val="472"/>
    <w:uiPriority w:val="0"/>
    <w:rPr>
      <w:rFonts w:eastAsia="仿宋_GB2312"/>
      <w:color w:val="000000"/>
      <w:sz w:val="24"/>
    </w:rPr>
  </w:style>
  <w:style w:type="paragraph" w:customStyle="1" w:styleId="472">
    <w:name w:val="文本块1"/>
    <w:basedOn w:val="1"/>
    <w:next w:val="1"/>
    <w:link w:val="471"/>
    <w:uiPriority w:val="0"/>
    <w:pPr>
      <w:jc w:val="center"/>
    </w:pPr>
    <w:rPr>
      <w:color w:val="000000"/>
    </w:rPr>
  </w:style>
  <w:style w:type="character" w:customStyle="1" w:styleId="473">
    <w:name w:val="样式1 Char Char"/>
    <w:link w:val="474"/>
    <w:qFormat/>
    <w:uiPriority w:val="0"/>
    <w:rPr>
      <w:rFonts w:ascii="仿宋_GB2312" w:eastAsia="仿宋_GB2312"/>
    </w:rPr>
  </w:style>
  <w:style w:type="paragraph" w:customStyle="1" w:styleId="474">
    <w:name w:val="样式1"/>
    <w:basedOn w:val="31"/>
    <w:link w:val="473"/>
    <w:uiPriority w:val="0"/>
    <w:pPr>
      <w:ind w:left="0" w:firstLine="0" w:firstLineChars="0"/>
      <w:jc w:val="center"/>
      <w:textAlignment w:val="baseline"/>
    </w:pPr>
    <w:rPr>
      <w:rFonts w:ascii="仿宋_GB2312" w:eastAsia="仿宋_GB2312" w:hAnsiTheme="minorHAnsi" w:cstheme="minorBidi"/>
      <w:szCs w:val="22"/>
    </w:rPr>
  </w:style>
  <w:style w:type="character" w:customStyle="1" w:styleId="475">
    <w:name w:val="文档结构图 Char6"/>
    <w:link w:val="476"/>
    <w:uiPriority w:val="0"/>
    <w:rPr>
      <w:sz w:val="24"/>
      <w:shd w:val="clear" w:color="auto" w:fill="000080"/>
    </w:rPr>
  </w:style>
  <w:style w:type="paragraph" w:customStyle="1" w:styleId="476">
    <w:name w:val="Document Map1"/>
    <w:basedOn w:val="1"/>
    <w:link w:val="475"/>
    <w:uiPriority w:val="0"/>
    <w:pPr>
      <w:shd w:val="clear" w:color="auto" w:fill="000080"/>
    </w:pPr>
    <w:rPr>
      <w:shd w:val="clear" w:color="auto" w:fill="000080"/>
    </w:rPr>
  </w:style>
  <w:style w:type="character" w:customStyle="1" w:styleId="477">
    <w:name w:val="Plain Text Char3"/>
    <w:uiPriority w:val="0"/>
    <w:rPr>
      <w:rFonts w:ascii="宋体" w:hAnsi="Courier New" w:cs="Courier New"/>
      <w:kern w:val="2"/>
      <w:sz w:val="21"/>
      <w:szCs w:val="21"/>
    </w:rPr>
  </w:style>
  <w:style w:type="paragraph" w:customStyle="1" w:styleId="478">
    <w:name w:val="纯文本1"/>
    <w:basedOn w:val="1"/>
    <w:link w:val="479"/>
    <w:uiPriority w:val="0"/>
    <w:rPr>
      <w:rFonts w:ascii="宋体" w:hAnsi="Courier New" w:cs="Times New Roman"/>
    </w:rPr>
  </w:style>
  <w:style w:type="character" w:customStyle="1" w:styleId="479">
    <w:name w:val="Plain Text Char4"/>
    <w:link w:val="478"/>
    <w:uiPriority w:val="0"/>
    <w:rPr>
      <w:rFonts w:ascii="宋体" w:hAnsi="Courier New" w:eastAsia="仿宋_GB2312" w:cs="Times New Roman"/>
    </w:rPr>
  </w:style>
  <w:style w:type="character" w:customStyle="1" w:styleId="480">
    <w:name w:val="称呼 Char2"/>
    <w:link w:val="481"/>
    <w:qFormat/>
    <w:uiPriority w:val="0"/>
    <w:rPr>
      <w:sz w:val="28"/>
    </w:rPr>
  </w:style>
  <w:style w:type="paragraph" w:customStyle="1" w:styleId="481">
    <w:name w:val="Salutation1"/>
    <w:basedOn w:val="1"/>
    <w:next w:val="453"/>
    <w:link w:val="480"/>
    <w:uiPriority w:val="0"/>
  </w:style>
  <w:style w:type="character" w:customStyle="1" w:styleId="482">
    <w:name w:val="标题1新 Char Char"/>
    <w:link w:val="483"/>
    <w:qFormat/>
    <w:uiPriority w:val="0"/>
    <w:rPr>
      <w:rFonts w:eastAsia="黑体"/>
      <w:kern w:val="44"/>
      <w:sz w:val="32"/>
    </w:rPr>
  </w:style>
  <w:style w:type="paragraph" w:customStyle="1" w:styleId="483">
    <w:name w:val="标题1新"/>
    <w:basedOn w:val="2"/>
    <w:next w:val="484"/>
    <w:link w:val="482"/>
    <w:uiPriority w:val="0"/>
    <w:rPr>
      <w:rFonts w:eastAsia="黑体" w:asciiTheme="minorHAnsi" w:hAnsiTheme="minorHAnsi" w:cstheme="minorBidi"/>
      <w:b w:val="0"/>
      <w:bCs w:val="0"/>
      <w:sz w:val="32"/>
      <w:szCs w:val="22"/>
    </w:rPr>
  </w:style>
  <w:style w:type="paragraph" w:customStyle="1" w:styleId="484">
    <w:name w:val="标题2  新新"/>
    <w:basedOn w:val="483"/>
    <w:qFormat/>
    <w:uiPriority w:val="0"/>
    <w:pPr>
      <w:numPr>
        <w:numId w:val="0"/>
      </w:numPr>
      <w:tabs>
        <w:tab w:val="left" w:pos="720"/>
        <w:tab w:val="left" w:pos="1413"/>
      </w:tabs>
      <w:adjustRightInd/>
      <w:snapToGrid/>
      <w:spacing w:before="156"/>
      <w:ind w:left="720" w:hanging="720"/>
      <w:jc w:val="left"/>
      <w:outlineLvl w:val="1"/>
    </w:pPr>
    <w:rPr>
      <w:b/>
      <w:bCs/>
      <w:szCs w:val="28"/>
    </w:rPr>
  </w:style>
  <w:style w:type="character" w:customStyle="1" w:styleId="485">
    <w:name w:val="样式 标题 2 + (西文) Times New Roman (中文) 宋体 Char Char"/>
    <w:link w:val="486"/>
    <w:uiPriority w:val="0"/>
    <w:rPr>
      <w:sz w:val="24"/>
    </w:rPr>
  </w:style>
  <w:style w:type="paragraph" w:customStyle="1" w:styleId="486">
    <w:name w:val="样式 标题 2 + (西文) Times New Roman (中文) 宋体"/>
    <w:basedOn w:val="3"/>
    <w:link w:val="485"/>
    <w:uiPriority w:val="0"/>
    <w:rPr>
      <w:rFonts w:asciiTheme="minorHAnsi" w:hAnsiTheme="minorHAnsi" w:eastAsiaTheme="minorEastAsia" w:cstheme="minorBidi"/>
      <w:b w:val="0"/>
      <w:bCs w:val="0"/>
      <w:kern w:val="2"/>
      <w:szCs w:val="22"/>
    </w:rPr>
  </w:style>
  <w:style w:type="character" w:customStyle="1" w:styleId="487">
    <w:name w:val="z-Top of Form Char"/>
    <w:uiPriority w:val="0"/>
    <w:rPr>
      <w:rFonts w:ascii="Arial" w:hAnsi="Arial" w:eastAsia="仿宋_GB2312" w:cs="Arial"/>
      <w:vanish/>
      <w:kern w:val="2"/>
      <w:sz w:val="16"/>
      <w:szCs w:val="16"/>
    </w:rPr>
  </w:style>
  <w:style w:type="character" w:customStyle="1" w:styleId="488">
    <w:name w:val="谏壁chen表格内文字 Char Char"/>
    <w:link w:val="489"/>
    <w:uiPriority w:val="0"/>
  </w:style>
  <w:style w:type="paragraph" w:customStyle="1" w:styleId="489">
    <w:name w:val="谏壁chen表格内文字"/>
    <w:basedOn w:val="1"/>
    <w:link w:val="488"/>
    <w:uiPriority w:val="0"/>
    <w:pPr>
      <w:spacing w:line="240" w:lineRule="atLeast"/>
      <w:jc w:val="center"/>
    </w:pPr>
  </w:style>
  <w:style w:type="character" w:customStyle="1" w:styleId="490">
    <w:name w:val="正文文本缩进 2 Char4"/>
    <w:link w:val="491"/>
    <w:qFormat/>
    <w:uiPriority w:val="0"/>
    <w:rPr>
      <w:rFonts w:ascii="宋体"/>
      <w:sz w:val="28"/>
    </w:rPr>
  </w:style>
  <w:style w:type="paragraph" w:customStyle="1" w:styleId="491">
    <w:name w:val="Body Text Indent 21"/>
    <w:basedOn w:val="1"/>
    <w:link w:val="490"/>
    <w:uiPriority w:val="0"/>
    <w:pPr>
      <w:widowControl/>
      <w:spacing w:before="124" w:line="560" w:lineRule="exact"/>
      <w:ind w:firstLine="525"/>
      <w:jc w:val="left"/>
    </w:pPr>
    <w:rPr>
      <w:rFonts w:ascii="宋体"/>
    </w:rPr>
  </w:style>
  <w:style w:type="character" w:customStyle="1" w:styleId="492">
    <w:name w:val="环标2 Char1"/>
    <w:link w:val="493"/>
    <w:qFormat/>
    <w:uiPriority w:val="0"/>
    <w:rPr>
      <w:rFonts w:ascii="黑体" w:hAnsi="Arial" w:eastAsia="黑体"/>
      <w:sz w:val="24"/>
    </w:rPr>
  </w:style>
  <w:style w:type="paragraph" w:customStyle="1" w:styleId="493">
    <w:name w:val="环标2"/>
    <w:basedOn w:val="3"/>
    <w:link w:val="492"/>
    <w:qFormat/>
    <w:uiPriority w:val="0"/>
    <w:rPr>
      <w:rFonts w:ascii="黑体" w:hAnsi="Arial" w:eastAsia="黑体" w:cstheme="minorBidi"/>
      <w:b w:val="0"/>
      <w:bCs w:val="0"/>
      <w:kern w:val="2"/>
      <w:szCs w:val="22"/>
    </w:rPr>
  </w:style>
  <w:style w:type="character" w:customStyle="1" w:styleId="494">
    <w:name w:val="样式 样式 样式 宋体 小四 行距: 多倍行距 1.4 字行2 + 黑色 + Times New Roman2 Char Char"/>
    <w:link w:val="495"/>
    <w:qFormat/>
    <w:uiPriority w:val="0"/>
    <w:rPr>
      <w:rFonts w:ascii="宋体"/>
      <w:color w:val="000000"/>
      <w:sz w:val="24"/>
    </w:rPr>
  </w:style>
  <w:style w:type="paragraph" w:customStyle="1" w:styleId="495">
    <w:name w:val="样式 样式 样式 宋体 小四 行距: 多倍行距 1.4 字行2 + 黑色 + Times New Roman2"/>
    <w:basedOn w:val="184"/>
    <w:link w:val="494"/>
    <w:qFormat/>
    <w:uiPriority w:val="0"/>
    <w:pPr>
      <w:spacing w:line="360" w:lineRule="auto"/>
      <w:ind w:firstLine="200"/>
    </w:pPr>
  </w:style>
  <w:style w:type="character" w:customStyle="1" w:styleId="496">
    <w:name w:val="样式3 Char Char"/>
    <w:link w:val="497"/>
    <w:qFormat/>
    <w:uiPriority w:val="0"/>
    <w:rPr>
      <w:b/>
      <w:color w:val="000000"/>
      <w:sz w:val="24"/>
    </w:rPr>
  </w:style>
  <w:style w:type="paragraph" w:customStyle="1" w:styleId="497">
    <w:name w:val="样式3"/>
    <w:basedOn w:val="3"/>
    <w:link w:val="496"/>
    <w:qFormat/>
    <w:uiPriority w:val="0"/>
    <w:rPr>
      <w:rFonts w:asciiTheme="minorHAnsi" w:hAnsiTheme="minorHAnsi" w:eastAsiaTheme="minorEastAsia" w:cstheme="minorBidi"/>
      <w:bCs w:val="0"/>
      <w:color w:val="000000"/>
      <w:kern w:val="2"/>
      <w:szCs w:val="22"/>
    </w:rPr>
  </w:style>
  <w:style w:type="character" w:customStyle="1" w:styleId="498">
    <w:name w:val="样式 表格内字体 + Char Char"/>
    <w:link w:val="499"/>
    <w:qFormat/>
    <w:uiPriority w:val="0"/>
    <w:rPr>
      <w:rFonts w:ascii="宋体"/>
      <w:sz w:val="24"/>
    </w:rPr>
  </w:style>
  <w:style w:type="paragraph" w:customStyle="1" w:styleId="499">
    <w:name w:val="样式 表格内字体 +"/>
    <w:basedOn w:val="347"/>
    <w:link w:val="498"/>
    <w:qFormat/>
    <w:uiPriority w:val="0"/>
    <w:pPr>
      <w:spacing w:line="280" w:lineRule="exact"/>
      <w:ind w:firstLine="36"/>
      <w:jc w:val="both"/>
    </w:pPr>
  </w:style>
  <w:style w:type="character" w:customStyle="1" w:styleId="500">
    <w:name w:val="HTML 预设格式 Char2"/>
    <w:link w:val="501"/>
    <w:qFormat/>
    <w:uiPriority w:val="0"/>
    <w:rPr>
      <w:rFonts w:ascii="Arial" w:hAnsi="Arial" w:eastAsia="黑体"/>
      <w:b/>
      <w:sz w:val="28"/>
    </w:rPr>
  </w:style>
  <w:style w:type="paragraph" w:customStyle="1" w:styleId="501">
    <w:name w:val="HTML Preformatted1"/>
    <w:basedOn w:val="1"/>
    <w:link w:val="500"/>
    <w:qFormat/>
    <w:uiPriority w:val="0"/>
    <w:pPr>
      <w:spacing w:line="312" w:lineRule="auto"/>
    </w:pPr>
    <w:rPr>
      <w:rFonts w:ascii="Arial" w:hAnsi="Arial" w:eastAsia="黑体"/>
      <w:b/>
    </w:rPr>
  </w:style>
  <w:style w:type="character" w:customStyle="1" w:styleId="502">
    <w:name w:val="样式 标题 1章标题 1h11st levelSection Headl1b1-*+标题 1章ChH1PI...2 Char Char"/>
    <w:link w:val="503"/>
    <w:qFormat/>
    <w:uiPriority w:val="0"/>
    <w:rPr>
      <w:rFonts w:ascii="宋体" w:hAnsi="宋体" w:eastAsia="黑体"/>
      <w:b/>
      <w:kern w:val="44"/>
      <w:sz w:val="32"/>
    </w:rPr>
  </w:style>
  <w:style w:type="paragraph" w:customStyle="1" w:styleId="503">
    <w:name w:val="样式 标题 1章标题 1h11st levelSection Headl1b1-*+标题 1章ChH1PI...2"/>
    <w:basedOn w:val="2"/>
    <w:link w:val="502"/>
    <w:qFormat/>
    <w:uiPriority w:val="0"/>
    <w:rPr>
      <w:rFonts w:ascii="宋体" w:hAnsi="宋体" w:eastAsia="黑体" w:cstheme="minorBidi"/>
      <w:bCs w:val="0"/>
      <w:sz w:val="32"/>
      <w:szCs w:val="22"/>
    </w:rPr>
  </w:style>
  <w:style w:type="character" w:customStyle="1" w:styleId="504">
    <w:name w:val="样式 正文缩进 + 宋体 黑色 Char Char"/>
    <w:link w:val="505"/>
    <w:qFormat/>
    <w:uiPriority w:val="0"/>
    <w:rPr>
      <w:rFonts w:ascii="宋体"/>
      <w:color w:val="000000"/>
      <w:sz w:val="24"/>
    </w:rPr>
  </w:style>
  <w:style w:type="paragraph" w:customStyle="1" w:styleId="505">
    <w:name w:val="样式 正文缩进 + 宋体 黑色"/>
    <w:basedOn w:val="307"/>
    <w:link w:val="504"/>
    <w:qFormat/>
    <w:uiPriority w:val="0"/>
    <w:rPr>
      <w:rFonts w:hAnsiTheme="minorHAnsi" w:eastAsiaTheme="minorEastAsia"/>
      <w:color w:val="000000"/>
    </w:rPr>
  </w:style>
  <w:style w:type="character" w:customStyle="1" w:styleId="506">
    <w:name w:val="hhcwt表格内文字 Char Char"/>
    <w:link w:val="507"/>
    <w:qFormat/>
    <w:uiPriority w:val="0"/>
    <w:rPr>
      <w:rFonts w:eastAsia="仿宋_GB2312"/>
    </w:rPr>
  </w:style>
  <w:style w:type="paragraph" w:customStyle="1" w:styleId="507">
    <w:name w:val="hhcwt表格内文字"/>
    <w:basedOn w:val="1"/>
    <w:link w:val="506"/>
    <w:qFormat/>
    <w:uiPriority w:val="0"/>
    <w:pPr>
      <w:widowControl/>
      <w:jc w:val="center"/>
    </w:pPr>
  </w:style>
  <w:style w:type="character" w:customStyle="1" w:styleId="508">
    <w:name w:val="表号 Char2"/>
    <w:link w:val="509"/>
    <w:qFormat/>
    <w:uiPriority w:val="0"/>
    <w:rPr>
      <w:color w:val="000000"/>
      <w:sz w:val="24"/>
    </w:rPr>
  </w:style>
  <w:style w:type="paragraph" w:customStyle="1" w:styleId="509">
    <w:name w:val="表号"/>
    <w:basedOn w:val="1"/>
    <w:link w:val="508"/>
    <w:qFormat/>
    <w:uiPriority w:val="0"/>
    <w:pPr>
      <w:ind w:firstLine="480"/>
    </w:pPr>
    <w:rPr>
      <w:color w:val="000000"/>
    </w:rPr>
  </w:style>
  <w:style w:type="character" w:customStyle="1" w:styleId="510">
    <w:name w:val="样式A Char Char"/>
    <w:link w:val="511"/>
    <w:qFormat/>
    <w:uiPriority w:val="0"/>
    <w:rPr>
      <w:rFonts w:ascii="幼圆" w:eastAsia="幼圆"/>
      <w:sz w:val="26"/>
    </w:rPr>
  </w:style>
  <w:style w:type="paragraph" w:customStyle="1" w:styleId="511">
    <w:name w:val="样式A"/>
    <w:basedOn w:val="1"/>
    <w:link w:val="510"/>
    <w:qFormat/>
    <w:uiPriority w:val="0"/>
    <w:pPr>
      <w:widowControl/>
      <w:topLinePunct/>
      <w:spacing w:line="530" w:lineRule="exact"/>
      <w:jc w:val="left"/>
    </w:pPr>
    <w:rPr>
      <w:rFonts w:ascii="幼圆" w:eastAsia="幼圆"/>
      <w:sz w:val="26"/>
    </w:rPr>
  </w:style>
  <w:style w:type="character" w:customStyle="1" w:styleId="512">
    <w:name w:val="HP3 Char Char"/>
    <w:link w:val="513"/>
    <w:qFormat/>
    <w:uiPriority w:val="0"/>
    <w:rPr>
      <w:rFonts w:ascii="黑体" w:hAnsi="黑体" w:eastAsia="黑体"/>
      <w:sz w:val="24"/>
      <w:u w:color="000000"/>
    </w:rPr>
  </w:style>
  <w:style w:type="paragraph" w:customStyle="1" w:styleId="513">
    <w:name w:val="HP3"/>
    <w:basedOn w:val="4"/>
    <w:link w:val="512"/>
    <w:qFormat/>
    <w:uiPriority w:val="0"/>
    <w:pPr/>
    <w:rPr>
      <w:rFonts w:ascii="黑体" w:hAnsi="黑体" w:eastAsia="黑体" w:cstheme="minorBidi"/>
      <w:b w:val="0"/>
      <w:bCs w:val="0"/>
      <w:szCs w:val="22"/>
      <w:u w:color="000000"/>
    </w:rPr>
  </w:style>
  <w:style w:type="character" w:customStyle="1" w:styleId="514">
    <w:name w:val="正文首行缩进 Char1"/>
    <w:link w:val="515"/>
    <w:qFormat/>
    <w:uiPriority w:val="0"/>
    <w:rPr>
      <w:rFonts w:eastAsia="仿宋_GB2312"/>
      <w:sz w:val="24"/>
    </w:rPr>
  </w:style>
  <w:style w:type="paragraph" w:customStyle="1" w:styleId="515">
    <w:name w:val="正文首行缩进2"/>
    <w:basedOn w:val="156"/>
    <w:link w:val="514"/>
    <w:qFormat/>
    <w:uiPriority w:val="0"/>
    <w:pPr>
      <w:widowControl/>
      <w:spacing w:after="120" w:line="240" w:lineRule="auto"/>
      <w:ind w:firstLine="420" w:firstLineChars="100"/>
    </w:pPr>
    <w:rPr>
      <w:rFonts w:asciiTheme="minorHAnsi" w:hAnsiTheme="minorHAnsi" w:cstheme="minorBidi"/>
      <w:kern w:val="2"/>
      <w:szCs w:val="22"/>
    </w:rPr>
  </w:style>
  <w:style w:type="character" w:customStyle="1" w:styleId="516">
    <w:name w:val="文档结构图 Char5"/>
    <w:qFormat/>
    <w:uiPriority w:val="0"/>
    <w:rPr>
      <w:sz w:val="24"/>
      <w:shd w:val="clear" w:color="auto" w:fill="000080"/>
    </w:rPr>
  </w:style>
  <w:style w:type="character" w:customStyle="1" w:styleId="517">
    <w:name w:val="z-窗体底端 Char"/>
    <w:link w:val="518"/>
    <w:qFormat/>
    <w:uiPriority w:val="0"/>
    <w:rPr>
      <w:rFonts w:ascii="Arial" w:hAnsi="Arial"/>
      <w:vanish/>
      <w:sz w:val="24"/>
    </w:rPr>
  </w:style>
  <w:style w:type="paragraph" w:customStyle="1" w:styleId="518">
    <w:name w:val="z-窗体底端1"/>
    <w:basedOn w:val="1"/>
    <w:next w:val="1"/>
    <w:link w:val="517"/>
    <w:qFormat/>
    <w:uiPriority w:val="0"/>
    <w:pPr>
      <w:widowControl/>
      <w:pBdr>
        <w:top w:val="single" w:color="auto" w:sz="6" w:space="1"/>
      </w:pBdr>
      <w:jc w:val="center"/>
    </w:pPr>
    <w:rPr>
      <w:rFonts w:ascii="Arial" w:hAnsi="Arial"/>
      <w:vanish/>
    </w:rPr>
  </w:style>
  <w:style w:type="character" w:customStyle="1" w:styleId="519">
    <w:name w:val="批注文字 Char1"/>
    <w:qFormat/>
    <w:uiPriority w:val="0"/>
  </w:style>
  <w:style w:type="character" w:customStyle="1" w:styleId="520">
    <w:name w:val="No Spacing Char Char"/>
    <w:link w:val="521"/>
    <w:qFormat/>
    <w:uiPriority w:val="0"/>
    <w:rPr>
      <w:sz w:val="22"/>
    </w:rPr>
  </w:style>
  <w:style w:type="paragraph" w:customStyle="1" w:styleId="521">
    <w:name w:val="无间隔1"/>
    <w:link w:val="520"/>
    <w:qFormat/>
    <w:uiPriority w:val="0"/>
    <w:rPr>
      <w:rFonts w:asciiTheme="minorHAnsi" w:hAnsiTheme="minorHAnsi" w:eastAsiaTheme="minorEastAsia" w:cstheme="minorBidi"/>
      <w:kern w:val="2"/>
      <w:sz w:val="22"/>
      <w:szCs w:val="22"/>
      <w:lang w:val="en-US" w:eastAsia="zh-CN" w:bidi="ar-SA"/>
    </w:rPr>
  </w:style>
  <w:style w:type="character" w:customStyle="1" w:styleId="522">
    <w:name w:val="z-Bottom of Form Char1"/>
    <w:link w:val="523"/>
    <w:qFormat/>
    <w:uiPriority w:val="0"/>
    <w:rPr>
      <w:rFonts w:ascii="Arial" w:hAnsi="Arial" w:eastAsia="仿宋_GB2312"/>
      <w:vanish/>
      <w:sz w:val="16"/>
    </w:rPr>
  </w:style>
  <w:style w:type="paragraph" w:customStyle="1" w:styleId="523">
    <w:name w:val="z-窗体底端2"/>
    <w:basedOn w:val="1"/>
    <w:next w:val="1"/>
    <w:link w:val="522"/>
    <w:qFormat/>
    <w:uiPriority w:val="0"/>
    <w:pPr>
      <w:pBdr>
        <w:top w:val="single" w:color="auto" w:sz="6" w:space="1"/>
      </w:pBdr>
      <w:spacing w:line="300" w:lineRule="auto"/>
      <w:jc w:val="center"/>
    </w:pPr>
    <w:rPr>
      <w:rFonts w:ascii="Arial" w:hAnsi="Arial"/>
      <w:vanish/>
      <w:sz w:val="16"/>
    </w:rPr>
  </w:style>
  <w:style w:type="character" w:customStyle="1" w:styleId="524">
    <w:name w:val="报告正文 Char2"/>
    <w:qFormat/>
    <w:uiPriority w:val="0"/>
    <w:rPr>
      <w:sz w:val="24"/>
    </w:rPr>
  </w:style>
  <w:style w:type="character" w:customStyle="1" w:styleId="525">
    <w:name w:val="纯文本 Char1"/>
    <w:qFormat/>
    <w:uiPriority w:val="0"/>
    <w:rPr>
      <w:rFonts w:ascii="宋体" w:hAnsi="Courier New"/>
      <w:sz w:val="21"/>
    </w:rPr>
  </w:style>
  <w:style w:type="character" w:customStyle="1" w:styleId="526">
    <w:name w:val="四号 正文 Char Char"/>
    <w:link w:val="527"/>
    <w:qFormat/>
    <w:uiPriority w:val="0"/>
    <w:rPr>
      <w:spacing w:val="6"/>
      <w:sz w:val="28"/>
    </w:rPr>
  </w:style>
  <w:style w:type="paragraph" w:customStyle="1" w:styleId="527">
    <w:name w:val="四号 正文"/>
    <w:basedOn w:val="1"/>
    <w:link w:val="526"/>
    <w:qFormat/>
    <w:uiPriority w:val="0"/>
    <w:pPr>
      <w:widowControl/>
      <w:ind w:firstLine="584"/>
      <w:jc w:val="left"/>
    </w:pPr>
    <w:rPr>
      <w:spacing w:val="6"/>
    </w:rPr>
  </w:style>
  <w:style w:type="character" w:customStyle="1" w:styleId="528">
    <w:name w:val="hhcwt标题1 Char Char"/>
    <w:link w:val="529"/>
    <w:qFormat/>
    <w:uiPriority w:val="0"/>
    <w:rPr>
      <w:rFonts w:eastAsia="黑体"/>
      <w:kern w:val="44"/>
      <w:sz w:val="36"/>
      <w:lang w:val="zh-CN"/>
    </w:rPr>
  </w:style>
  <w:style w:type="paragraph" w:customStyle="1" w:styleId="529">
    <w:name w:val="hhcwt标题1"/>
    <w:basedOn w:val="1"/>
    <w:link w:val="528"/>
    <w:qFormat/>
    <w:uiPriority w:val="0"/>
    <w:pPr>
      <w:keepNext/>
      <w:keepLines/>
      <w:autoSpaceDE w:val="0"/>
      <w:autoSpaceDN w:val="0"/>
      <w:spacing w:before="120" w:after="120" w:line="336" w:lineRule="auto"/>
      <w:outlineLvl w:val="0"/>
    </w:pPr>
    <w:rPr>
      <w:rFonts w:eastAsia="黑体"/>
      <w:kern w:val="44"/>
      <w:sz w:val="36"/>
      <w:lang w:val="zh-CN"/>
    </w:rPr>
  </w:style>
  <w:style w:type="character" w:customStyle="1" w:styleId="530">
    <w:name w:val="表中文字 Char Char"/>
    <w:link w:val="531"/>
    <w:qFormat/>
    <w:uiPriority w:val="0"/>
    <w:rPr>
      <w:rFonts w:ascii="Arial" w:hAnsi="Arial"/>
      <w:sz w:val="24"/>
      <w:lang w:eastAsia="zh-TW"/>
    </w:rPr>
  </w:style>
  <w:style w:type="paragraph" w:customStyle="1" w:styleId="531">
    <w:name w:val="表中文字4"/>
    <w:basedOn w:val="1"/>
    <w:link w:val="530"/>
    <w:qFormat/>
    <w:uiPriority w:val="0"/>
    <w:pPr>
      <w:widowControl/>
      <w:spacing w:line="340" w:lineRule="exact"/>
      <w:ind w:firstLine="480"/>
      <w:jc w:val="center"/>
    </w:pPr>
    <w:rPr>
      <w:rFonts w:ascii="Arial" w:hAnsi="Arial"/>
      <w:lang w:eastAsia="zh-TW"/>
    </w:rPr>
  </w:style>
  <w:style w:type="character" w:customStyle="1" w:styleId="532">
    <w:name w:val="正文文本 Char2"/>
    <w:qFormat/>
    <w:uiPriority w:val="0"/>
  </w:style>
  <w:style w:type="character" w:customStyle="1" w:styleId="533">
    <w:name w:val="正文文本缩进 Char4"/>
    <w:link w:val="534"/>
    <w:qFormat/>
    <w:uiPriority w:val="0"/>
    <w:rPr>
      <w:rFonts w:ascii="宋体"/>
      <w:sz w:val="24"/>
    </w:rPr>
  </w:style>
  <w:style w:type="paragraph" w:customStyle="1" w:styleId="534">
    <w:name w:val="正文文本缩进2"/>
    <w:basedOn w:val="1"/>
    <w:link w:val="533"/>
    <w:qFormat/>
    <w:uiPriority w:val="0"/>
    <w:pPr>
      <w:widowControl/>
      <w:spacing w:after="120"/>
      <w:ind w:left="420" w:leftChars="200"/>
      <w:jc w:val="left"/>
    </w:pPr>
    <w:rPr>
      <w:rFonts w:ascii="宋体"/>
    </w:rPr>
  </w:style>
  <w:style w:type="character" w:customStyle="1" w:styleId="535">
    <w:name w:val="正文文本缩进 2 Char1"/>
    <w:link w:val="536"/>
    <w:qFormat/>
    <w:uiPriority w:val="0"/>
    <w:rPr>
      <w:sz w:val="22"/>
    </w:rPr>
  </w:style>
  <w:style w:type="paragraph" w:customStyle="1" w:styleId="536">
    <w:name w:val="正文文本缩进 21"/>
    <w:basedOn w:val="1"/>
    <w:link w:val="535"/>
    <w:qFormat/>
    <w:uiPriority w:val="0"/>
    <w:pPr>
      <w:widowControl/>
      <w:ind w:firstLine="480"/>
      <w:jc w:val="left"/>
      <w:textAlignment w:val="baseline"/>
    </w:pPr>
    <w:rPr>
      <w:sz w:val="22"/>
    </w:rPr>
  </w:style>
  <w:style w:type="character" w:customStyle="1" w:styleId="537">
    <w:name w:val="Subtle Emphasis"/>
    <w:qFormat/>
    <w:uiPriority w:val="0"/>
    <w:rPr>
      <w:i/>
      <w:color w:val="808080"/>
    </w:rPr>
  </w:style>
  <w:style w:type="character" w:customStyle="1" w:styleId="538">
    <w:name w:val="样式 表内样式 + (符号) 宋体 Char1"/>
    <w:link w:val="539"/>
    <w:qFormat/>
    <w:uiPriority w:val="0"/>
    <w:rPr>
      <w:rFonts w:ascii="宋体"/>
      <w:sz w:val="18"/>
    </w:rPr>
  </w:style>
  <w:style w:type="paragraph" w:customStyle="1" w:styleId="539">
    <w:name w:val="样式 表内样式 + (符号) 宋体"/>
    <w:basedOn w:val="1"/>
    <w:link w:val="538"/>
    <w:qFormat/>
    <w:uiPriority w:val="0"/>
    <w:pPr>
      <w:keepLines/>
      <w:widowControl/>
      <w:kinsoku w:val="0"/>
      <w:overflowPunct w:val="0"/>
      <w:spacing w:line="300" w:lineRule="exact"/>
      <w:jc w:val="center"/>
    </w:pPr>
    <w:rPr>
      <w:rFonts w:ascii="宋体"/>
      <w:sz w:val="18"/>
    </w:rPr>
  </w:style>
  <w:style w:type="character" w:customStyle="1" w:styleId="540">
    <w:name w:val="正文文本 2 Char2"/>
    <w:link w:val="541"/>
    <w:qFormat/>
    <w:uiPriority w:val="0"/>
    <w:rPr>
      <w:rFonts w:ascii="仿宋_GB2312" w:eastAsia="仿宋_GB2312"/>
      <w:sz w:val="24"/>
    </w:rPr>
  </w:style>
  <w:style w:type="paragraph" w:customStyle="1" w:styleId="541">
    <w:name w:val="Body Text 22"/>
    <w:basedOn w:val="1"/>
    <w:link w:val="540"/>
    <w:qFormat/>
    <w:uiPriority w:val="0"/>
    <w:pPr>
      <w:jc w:val="center"/>
    </w:pPr>
    <w:rPr>
      <w:rFonts w:ascii="仿宋_GB2312"/>
    </w:rPr>
  </w:style>
  <w:style w:type="character" w:customStyle="1" w:styleId="542">
    <w:name w:val="z-Bottom of Form Char"/>
    <w:qFormat/>
    <w:uiPriority w:val="0"/>
    <w:rPr>
      <w:rFonts w:ascii="Arial" w:hAnsi="Arial" w:eastAsia="仿宋_GB2312" w:cs="Arial"/>
      <w:vanish/>
      <w:kern w:val="2"/>
      <w:sz w:val="16"/>
      <w:szCs w:val="16"/>
    </w:rPr>
  </w:style>
  <w:style w:type="character" w:customStyle="1" w:styleId="543">
    <w:name w:val="标题5改 Char Char"/>
    <w:link w:val="544"/>
    <w:qFormat/>
    <w:uiPriority w:val="0"/>
    <w:rPr>
      <w:rFonts w:ascii="宋体"/>
      <w:b/>
      <w:sz w:val="28"/>
    </w:rPr>
  </w:style>
  <w:style w:type="paragraph" w:customStyle="1" w:styleId="544">
    <w:name w:val="标题5改"/>
    <w:basedOn w:val="1"/>
    <w:link w:val="543"/>
    <w:qFormat/>
    <w:uiPriority w:val="0"/>
    <w:pPr>
      <w:widowControl/>
      <w:spacing w:line="560" w:lineRule="exact"/>
      <w:jc w:val="left"/>
      <w:outlineLvl w:val="4"/>
    </w:pPr>
    <w:rPr>
      <w:rFonts w:ascii="宋体"/>
      <w:b/>
    </w:rPr>
  </w:style>
  <w:style w:type="character" w:customStyle="1" w:styleId="545">
    <w:name w:val="表格内文字 Char Char"/>
    <w:link w:val="546"/>
    <w:qFormat/>
    <w:uiPriority w:val="0"/>
    <w:rPr>
      <w:rFonts w:ascii="宋体"/>
      <w:w w:val="90"/>
    </w:rPr>
  </w:style>
  <w:style w:type="paragraph" w:customStyle="1" w:styleId="546">
    <w:name w:val="表格内文字"/>
    <w:link w:val="545"/>
    <w:qFormat/>
    <w:uiPriority w:val="0"/>
    <w:pPr>
      <w:keepNext/>
      <w:widowControl w:val="0"/>
      <w:spacing w:line="240" w:lineRule="atLeast"/>
      <w:jc w:val="center"/>
    </w:pPr>
    <w:rPr>
      <w:rFonts w:ascii="宋体" w:hAnsiTheme="minorHAnsi" w:eastAsiaTheme="minorEastAsia" w:cstheme="minorBidi"/>
      <w:w w:val="90"/>
      <w:kern w:val="2"/>
      <w:sz w:val="21"/>
      <w:szCs w:val="22"/>
      <w:lang w:val="en-US" w:eastAsia="zh-CN" w:bidi="ar-SA"/>
    </w:rPr>
  </w:style>
  <w:style w:type="character" w:customStyle="1" w:styleId="547">
    <w:name w:val="表题1 Char Char"/>
    <w:link w:val="548"/>
    <w:qFormat/>
    <w:uiPriority w:val="0"/>
    <w:rPr>
      <w:rFonts w:ascii="黑体" w:hAnsi="Arial" w:eastAsia="黑体"/>
      <w:b/>
      <w:sz w:val="24"/>
    </w:rPr>
  </w:style>
  <w:style w:type="paragraph" w:customStyle="1" w:styleId="548">
    <w:name w:val="表题1"/>
    <w:basedOn w:val="19"/>
    <w:link w:val="547"/>
    <w:qFormat/>
    <w:uiPriority w:val="0"/>
    <w:pPr>
      <w:widowControl/>
      <w:ind w:firstLine="0" w:firstLineChars="0"/>
      <w:jc w:val="center"/>
    </w:pPr>
    <w:rPr>
      <w:rFonts w:ascii="黑体" w:cstheme="minorBidi"/>
      <w:b/>
    </w:rPr>
  </w:style>
  <w:style w:type="character" w:customStyle="1" w:styleId="549">
    <w:name w:val="表中文字 Char2"/>
    <w:link w:val="550"/>
    <w:qFormat/>
    <w:uiPriority w:val="0"/>
  </w:style>
  <w:style w:type="paragraph" w:customStyle="1" w:styleId="550">
    <w:name w:val="表中文字"/>
    <w:basedOn w:val="1"/>
    <w:link w:val="549"/>
    <w:qFormat/>
    <w:uiPriority w:val="0"/>
    <w:pPr>
      <w:spacing w:line="240" w:lineRule="atLeast"/>
      <w:jc w:val="center"/>
    </w:pPr>
  </w:style>
  <w:style w:type="character" w:customStyle="1" w:styleId="551">
    <w:name w:val="注释标题 Char1"/>
    <w:link w:val="552"/>
    <w:qFormat/>
    <w:uiPriority w:val="0"/>
    <w:rPr>
      <w:rFonts w:ascii="宋体"/>
    </w:rPr>
  </w:style>
  <w:style w:type="paragraph" w:customStyle="1" w:styleId="552">
    <w:name w:val="注释标题1"/>
    <w:basedOn w:val="1"/>
    <w:next w:val="1"/>
    <w:link w:val="551"/>
    <w:qFormat/>
    <w:uiPriority w:val="0"/>
    <w:pPr>
      <w:widowControl/>
      <w:jc w:val="center"/>
    </w:pPr>
    <w:rPr>
      <w:rFonts w:ascii="宋体"/>
    </w:rPr>
  </w:style>
  <w:style w:type="character" w:customStyle="1" w:styleId="553">
    <w:name w:val="表格的文字 Char Char"/>
    <w:link w:val="554"/>
    <w:qFormat/>
    <w:uiPriority w:val="0"/>
    <w:rPr>
      <w:rFonts w:ascii="仿宋_GB2312" w:eastAsia="仿宋_GB2312"/>
    </w:rPr>
  </w:style>
  <w:style w:type="paragraph" w:customStyle="1" w:styleId="554">
    <w:name w:val="表格的文字"/>
    <w:basedOn w:val="1"/>
    <w:link w:val="553"/>
    <w:qFormat/>
    <w:uiPriority w:val="0"/>
    <w:pPr>
      <w:widowControl/>
      <w:spacing w:line="300" w:lineRule="exact"/>
      <w:jc w:val="center"/>
    </w:pPr>
    <w:rPr>
      <w:rFonts w:ascii="仿宋_GB2312"/>
    </w:rPr>
  </w:style>
  <w:style w:type="character" w:customStyle="1" w:styleId="555">
    <w:name w:val="Char4 Char Char Char Char Char"/>
    <w:link w:val="556"/>
    <w:qFormat/>
    <w:uiPriority w:val="0"/>
    <w:rPr>
      <w:rFonts w:eastAsia="仿宋_GB2312"/>
      <w:sz w:val="24"/>
    </w:rPr>
  </w:style>
  <w:style w:type="paragraph" w:customStyle="1" w:styleId="556">
    <w:name w:val="Char4 Char Char Char"/>
    <w:basedOn w:val="1"/>
    <w:link w:val="555"/>
    <w:qFormat/>
    <w:uiPriority w:val="0"/>
  </w:style>
  <w:style w:type="character" w:customStyle="1" w:styleId="557">
    <w:name w:val="hhcwt标题2 Char Char"/>
    <w:link w:val="558"/>
    <w:qFormat/>
    <w:uiPriority w:val="0"/>
    <w:rPr>
      <w:rFonts w:eastAsia="黑体"/>
      <w:sz w:val="32"/>
    </w:rPr>
  </w:style>
  <w:style w:type="paragraph" w:customStyle="1" w:styleId="558">
    <w:name w:val="hhcwt标题2"/>
    <w:basedOn w:val="1"/>
    <w:link w:val="557"/>
    <w:qFormat/>
    <w:uiPriority w:val="0"/>
    <w:pPr>
      <w:keepNext/>
      <w:keepLines/>
      <w:spacing w:before="120" w:after="120" w:line="336" w:lineRule="auto"/>
      <w:outlineLvl w:val="1"/>
    </w:pPr>
    <w:rPr>
      <w:rFonts w:eastAsia="黑体"/>
      <w:sz w:val="32"/>
    </w:rPr>
  </w:style>
  <w:style w:type="character" w:customStyle="1" w:styleId="559">
    <w:name w:val="apple-converted-space"/>
    <w:qFormat/>
    <w:uiPriority w:val="0"/>
    <w:rPr>
      <w:rFonts w:cs="Times New Roman"/>
    </w:rPr>
  </w:style>
  <w:style w:type="character" w:customStyle="1" w:styleId="560">
    <w:name w:val="样式 标题 3标题 3 Char Char Char标题 3 Char Charh3H3level_3PIM 3L...1 Char Char"/>
    <w:link w:val="561"/>
    <w:qFormat/>
    <w:uiPriority w:val="0"/>
    <w:rPr>
      <w:rFonts w:ascii="宋体" w:hAnsi="宋体" w:eastAsia="黑体"/>
      <w:b/>
      <w:sz w:val="24"/>
    </w:rPr>
  </w:style>
  <w:style w:type="paragraph" w:customStyle="1" w:styleId="561">
    <w:name w:val="样式 标题 3标题 3 Char Char Char标题 3 Char Charh3H3level_3PIM 3L...1"/>
    <w:basedOn w:val="4"/>
    <w:link w:val="560"/>
    <w:qFormat/>
    <w:uiPriority w:val="0"/>
    <w:pPr/>
    <w:rPr>
      <w:rFonts w:ascii="宋体" w:hAnsi="宋体" w:eastAsia="黑体" w:cstheme="minorBidi"/>
      <w:bCs w:val="0"/>
      <w:szCs w:val="22"/>
    </w:rPr>
  </w:style>
  <w:style w:type="character" w:customStyle="1" w:styleId="562">
    <w:name w:val="表格1 Char Char"/>
    <w:link w:val="563"/>
    <w:qFormat/>
    <w:uiPriority w:val="0"/>
    <w:rPr>
      <w:sz w:val="24"/>
    </w:rPr>
  </w:style>
  <w:style w:type="paragraph" w:customStyle="1" w:styleId="563">
    <w:name w:val="表格1"/>
    <w:basedOn w:val="1"/>
    <w:link w:val="562"/>
    <w:qFormat/>
    <w:uiPriority w:val="0"/>
    <w:pPr>
      <w:spacing w:line="400" w:lineRule="atLeast"/>
      <w:jc w:val="center"/>
      <w:textAlignment w:val="baseline"/>
    </w:pPr>
  </w:style>
  <w:style w:type="character" w:customStyle="1" w:styleId="564">
    <w:name w:val="图表文字 Char Char"/>
    <w:link w:val="565"/>
    <w:qFormat/>
    <w:uiPriority w:val="0"/>
  </w:style>
  <w:style w:type="paragraph" w:customStyle="1" w:styleId="565">
    <w:name w:val="图表文字"/>
    <w:basedOn w:val="1"/>
    <w:link w:val="564"/>
    <w:qFormat/>
    <w:uiPriority w:val="0"/>
    <w:pPr>
      <w:spacing w:line="300" w:lineRule="exact"/>
      <w:jc w:val="center"/>
    </w:pPr>
  </w:style>
  <w:style w:type="character" w:customStyle="1" w:styleId="566">
    <w:name w:val="样式 样式 首行缩进:  0.74 厘米 + 首行缩进:  2 字符 Char Char"/>
    <w:link w:val="567"/>
    <w:qFormat/>
    <w:uiPriority w:val="0"/>
    <w:rPr>
      <w:sz w:val="24"/>
    </w:rPr>
  </w:style>
  <w:style w:type="paragraph" w:customStyle="1" w:styleId="567">
    <w:name w:val="样式 样式 首行缩进:  0.74 厘米 + 首行缩进:  2 字符"/>
    <w:basedOn w:val="1"/>
    <w:link w:val="566"/>
    <w:qFormat/>
    <w:uiPriority w:val="0"/>
    <w:pPr>
      <w:widowControl/>
      <w:spacing w:line="400" w:lineRule="exact"/>
      <w:jc w:val="left"/>
    </w:pPr>
  </w:style>
  <w:style w:type="paragraph" w:customStyle="1" w:styleId="568">
    <w:name w:val="Char32"/>
    <w:basedOn w:val="1"/>
    <w:qFormat/>
    <w:uiPriority w:val="0"/>
    <w:pPr>
      <w:spacing w:line="240" w:lineRule="exact"/>
    </w:pPr>
    <w:rPr>
      <w:rFonts w:cs="Times New Roman"/>
      <w:szCs w:val="28"/>
    </w:rPr>
  </w:style>
  <w:style w:type="paragraph" w:customStyle="1" w:styleId="569">
    <w:name w:val="KY-表题"/>
    <w:basedOn w:val="1"/>
    <w:qFormat/>
    <w:uiPriority w:val="0"/>
    <w:pPr>
      <w:keepNext/>
      <w:keepLines/>
      <w:tabs>
        <w:tab w:val="left" w:pos="567"/>
        <w:tab w:val="left" w:pos="1680"/>
      </w:tabs>
      <w:spacing w:after="156"/>
      <w:jc w:val="center"/>
    </w:pPr>
    <w:rPr>
      <w:rFonts w:cs="Times New Roman"/>
      <w:kern w:val="0"/>
      <w:szCs w:val="21"/>
    </w:rPr>
  </w:style>
  <w:style w:type="paragraph" w:customStyle="1" w:styleId="570">
    <w:name w:val="Char31"/>
    <w:basedOn w:val="1"/>
    <w:qFormat/>
    <w:uiPriority w:val="0"/>
    <w:pPr>
      <w:spacing w:line="240" w:lineRule="exact"/>
    </w:pPr>
    <w:rPr>
      <w:rFonts w:cs="Times New Roman"/>
      <w:szCs w:val="28"/>
    </w:rPr>
  </w:style>
  <w:style w:type="paragraph" w:customStyle="1" w:styleId="57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572">
    <w:name w:val="KY-图题"/>
    <w:basedOn w:val="1"/>
    <w:qFormat/>
    <w:uiPriority w:val="0"/>
    <w:pPr>
      <w:keepLines/>
      <w:tabs>
        <w:tab w:val="left" w:pos="567"/>
      </w:tabs>
      <w:spacing w:before="156" w:after="312" w:afterLines="100"/>
      <w:jc w:val="center"/>
    </w:pPr>
    <w:rPr>
      <w:rFonts w:ascii="黑体" w:cs="Times New Roman"/>
      <w:kern w:val="0"/>
      <w:szCs w:val="32"/>
    </w:rPr>
  </w:style>
  <w:style w:type="paragraph" w:customStyle="1" w:styleId="573">
    <w:name w:val="KY-标题-1"/>
    <w:basedOn w:val="60"/>
    <w:next w:val="1"/>
    <w:qFormat/>
    <w:uiPriority w:val="0"/>
    <w:pPr>
      <w:keepNext/>
      <w:keepLines/>
      <w:widowControl w:val="0"/>
      <w:tabs>
        <w:tab w:val="left" w:pos="360"/>
      </w:tabs>
      <w:spacing w:after="360"/>
      <w:ind w:left="360" w:hanging="360"/>
    </w:pPr>
    <w:rPr>
      <w:rFonts w:eastAsia="黑体"/>
      <w:b w:val="0"/>
    </w:rPr>
  </w:style>
  <w:style w:type="paragraph" w:customStyle="1" w:styleId="574">
    <w:name w:val="KY-标题-1.1.1"/>
    <w:basedOn w:val="1"/>
    <w:next w:val="1"/>
    <w:qFormat/>
    <w:uiPriority w:val="0"/>
    <w:pPr>
      <w:keepNext/>
      <w:keepLines/>
      <w:tabs>
        <w:tab w:val="left" w:pos="360"/>
        <w:tab w:val="left" w:pos="567"/>
      </w:tabs>
      <w:spacing w:before="312" w:beforeLines="100"/>
      <w:ind w:left="360"/>
      <w:outlineLvl w:val="2"/>
    </w:pPr>
    <w:rPr>
      <w:rFonts w:eastAsia="黑体" w:cs="Times New Roman"/>
      <w:kern w:val="0"/>
      <w:szCs w:val="28"/>
    </w:rPr>
  </w:style>
  <w:style w:type="paragraph" w:customStyle="1" w:styleId="575">
    <w:name w:val="KY-正文-（6）"/>
    <w:basedOn w:val="1"/>
    <w:next w:val="1"/>
    <w:qFormat/>
    <w:uiPriority w:val="0"/>
    <w:pPr>
      <w:outlineLvl w:val="5"/>
    </w:pPr>
    <w:rPr>
      <w:rFonts w:cs="Times New Roman"/>
      <w:szCs w:val="28"/>
    </w:rPr>
  </w:style>
  <w:style w:type="paragraph" w:customStyle="1" w:styleId="576">
    <w:name w:val="列出段落2"/>
    <w:basedOn w:val="1"/>
    <w:qFormat/>
    <w:uiPriority w:val="0"/>
    <w:pPr>
      <w:widowControl/>
      <w:ind w:firstLine="420"/>
      <w:jc w:val="left"/>
    </w:pPr>
    <w:rPr>
      <w:rFonts w:ascii="宋体" w:hAnsi="宋体" w:cs="宋体"/>
      <w:kern w:val="0"/>
      <w:szCs w:val="24"/>
    </w:rPr>
  </w:style>
  <w:style w:type="paragraph" w:customStyle="1" w:styleId="577">
    <w:name w:val="KY-标题-1.1"/>
    <w:basedOn w:val="573"/>
    <w:next w:val="574"/>
    <w:qFormat/>
    <w:uiPriority w:val="0"/>
    <w:pPr>
      <w:spacing w:before="360" w:after="240"/>
      <w:ind w:left="360" w:hanging="360" w:firstLineChars="200"/>
      <w:outlineLvl w:val="1"/>
    </w:pPr>
    <w:rPr>
      <w:rFonts w:eastAsia="楷体_GB2312"/>
    </w:rPr>
  </w:style>
  <w:style w:type="paragraph" w:customStyle="1" w:styleId="578">
    <w:name w:val="Char3"/>
    <w:basedOn w:val="1"/>
    <w:qFormat/>
    <w:uiPriority w:val="0"/>
    <w:pPr>
      <w:spacing w:line="240" w:lineRule="exact"/>
    </w:pPr>
    <w:rPr>
      <w:rFonts w:cs="Times New Roman"/>
      <w:szCs w:val="28"/>
    </w:rPr>
  </w:style>
  <w:style w:type="paragraph" w:customStyle="1" w:styleId="579">
    <w:name w:val="KY-标题-1.1.1.1"/>
    <w:basedOn w:val="1"/>
    <w:next w:val="1"/>
    <w:qFormat/>
    <w:uiPriority w:val="0"/>
    <w:pPr>
      <w:outlineLvl w:val="3"/>
    </w:pPr>
    <w:rPr>
      <w:rFonts w:cs="Times New Roman"/>
      <w:szCs w:val="24"/>
    </w:rPr>
  </w:style>
  <w:style w:type="paragraph" w:styleId="580">
    <w:name w:val="No Spacing"/>
    <w:qFormat/>
    <w:uiPriority w:val="1"/>
    <w:pPr>
      <w:widowControl w:val="0"/>
      <w:ind w:firstLine="200" w:firstLineChars="200"/>
      <w:jc w:val="both"/>
    </w:pPr>
    <w:rPr>
      <w:rFonts w:ascii="Times New Roman" w:hAnsi="Times New Roman" w:eastAsia="仿宋_GB2312" w:cs="Times New Roman"/>
      <w:kern w:val="2"/>
      <w:sz w:val="28"/>
      <w:szCs w:val="22"/>
      <w:lang w:val="en-US" w:eastAsia="zh-CN" w:bidi="ar-SA"/>
    </w:rPr>
  </w:style>
  <w:style w:type="paragraph" w:customStyle="1" w:styleId="581">
    <w:name w:val="KY-正文-⑦"/>
    <w:basedOn w:val="1"/>
    <w:next w:val="1"/>
    <w:qFormat/>
    <w:uiPriority w:val="0"/>
    <w:pPr>
      <w:outlineLvl w:val="6"/>
    </w:pPr>
    <w:rPr>
      <w:rFonts w:cs="Times New Roman"/>
      <w:szCs w:val="28"/>
    </w:rPr>
  </w:style>
  <w:style w:type="paragraph" w:customStyle="1" w:styleId="582">
    <w:name w:val="reader-word-layer reader-word-s18-0"/>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3">
    <w:name w:val="reader-word-layer reader-word-s18-11"/>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4">
    <w:name w:val="reader-word-layer reader-word-s18-21"/>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5">
    <w:name w:val="普通(网站)2"/>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6">
    <w:name w:val="reader-word-layer reader-word-s18-16"/>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7">
    <w:name w:val="reader-word-layer reader-word-s18-19"/>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8">
    <w:name w:val="reader-word-layer reader-word-s18-15"/>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89">
    <w:name w:val="reader-word-layer reader-word-s18-24"/>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0">
    <w:name w:val="reader-word-layer reader-word-s18-20"/>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1">
    <w:name w:val="表体"/>
    <w:basedOn w:val="1"/>
    <w:qFormat/>
    <w:uiPriority w:val="0"/>
    <w:pPr>
      <w:overflowPunct w:val="0"/>
      <w:spacing w:line="300" w:lineRule="atLeast"/>
      <w:jc w:val="center"/>
    </w:pPr>
    <w:rPr>
      <w:rFonts w:cs="Times New Roman"/>
      <w:color w:val="000000"/>
      <w:kern w:val="24"/>
      <w:sz w:val="18"/>
      <w:szCs w:val="20"/>
    </w:rPr>
  </w:style>
  <w:style w:type="paragraph" w:customStyle="1" w:styleId="592">
    <w:name w:val="reader-word-layer reader-word-s18-9"/>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3">
    <w:name w:val="KY-表格-左对齐"/>
    <w:basedOn w:val="133"/>
    <w:qFormat/>
    <w:uiPriority w:val="0"/>
    <w:pPr>
      <w:spacing w:before="48" w:beforeLines="0" w:after="48" w:afterLines="0"/>
      <w:jc w:val="both"/>
    </w:pPr>
  </w:style>
  <w:style w:type="paragraph" w:customStyle="1" w:styleId="594">
    <w:name w:val="索引 11"/>
    <w:basedOn w:val="1"/>
    <w:next w:val="1"/>
    <w:qFormat/>
    <w:uiPriority w:val="0"/>
    <w:pPr>
      <w:jc w:val="center"/>
    </w:pPr>
    <w:rPr>
      <w:rFonts w:cs="Times New Roman"/>
      <w:szCs w:val="24"/>
    </w:rPr>
  </w:style>
  <w:style w:type="paragraph" w:customStyle="1" w:styleId="595">
    <w:name w:val="BG1"/>
    <w:basedOn w:val="1"/>
    <w:qFormat/>
    <w:uiPriority w:val="0"/>
    <w:pPr>
      <w:spacing w:line="240" w:lineRule="exact"/>
      <w:jc w:val="center"/>
    </w:pPr>
    <w:rPr>
      <w:rFonts w:cs="Times New Roman"/>
      <w:color w:val="000000"/>
      <w:szCs w:val="24"/>
    </w:rPr>
  </w:style>
  <w:style w:type="paragraph" w:customStyle="1" w:styleId="596">
    <w:name w:val="reader-word-layer reader-word-s18-5"/>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7">
    <w:name w:val="reader-word-layer reader-word-s18-18"/>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8">
    <w:name w:val="reader-word-layer reader-word-s18-17"/>
    <w:basedOn w:val="1"/>
    <w:qFormat/>
    <w:uiPriority w:val="0"/>
    <w:pPr>
      <w:widowControl/>
      <w:spacing w:before="100" w:beforeAutospacing="1" w:after="100" w:afterAutospacing="1"/>
      <w:jc w:val="left"/>
    </w:pPr>
    <w:rPr>
      <w:rFonts w:ascii="宋体" w:hAnsi="宋体" w:cs="宋体"/>
      <w:kern w:val="0"/>
      <w:szCs w:val="24"/>
    </w:rPr>
  </w:style>
  <w:style w:type="paragraph" w:customStyle="1" w:styleId="599">
    <w:name w:val="KY-图"/>
    <w:basedOn w:val="244"/>
    <w:next w:val="572"/>
    <w:qFormat/>
    <w:uiPriority w:val="0"/>
    <w:pPr>
      <w:keepNext/>
      <w:keepLines/>
      <w:ind w:firstLine="0" w:firstLineChars="0"/>
      <w:jc w:val="center"/>
    </w:pPr>
    <w:rPr>
      <w:szCs w:val="44"/>
    </w:rPr>
  </w:style>
  <w:style w:type="paragraph" w:customStyle="1" w:styleId="600">
    <w:name w:val="reader-word-layer reader-word-s18-1"/>
    <w:basedOn w:val="1"/>
    <w:qFormat/>
    <w:uiPriority w:val="0"/>
    <w:pPr>
      <w:widowControl/>
      <w:spacing w:before="100" w:beforeAutospacing="1" w:after="100" w:afterAutospacing="1"/>
      <w:jc w:val="left"/>
    </w:pPr>
    <w:rPr>
      <w:rFonts w:ascii="宋体" w:hAnsi="宋体" w:cs="宋体"/>
      <w:kern w:val="0"/>
      <w:szCs w:val="24"/>
    </w:rPr>
  </w:style>
  <w:style w:type="paragraph" w:customStyle="1" w:styleId="601">
    <w:name w:val="Char1"/>
    <w:basedOn w:val="1"/>
    <w:qFormat/>
    <w:uiPriority w:val="0"/>
    <w:rPr>
      <w:rFonts w:cs="Times New Roman"/>
      <w:szCs w:val="24"/>
    </w:rPr>
  </w:style>
  <w:style w:type="paragraph" w:customStyle="1" w:styleId="602">
    <w:name w:val="Char"/>
    <w:basedOn w:val="1"/>
    <w:qFormat/>
    <w:uiPriority w:val="0"/>
    <w:rPr>
      <w:rFonts w:cs="Times New Roman"/>
      <w:szCs w:val="24"/>
    </w:rPr>
  </w:style>
  <w:style w:type="paragraph" w:customStyle="1" w:styleId="603">
    <w:name w:val="正文缩进2"/>
    <w:basedOn w:val="1"/>
    <w:qFormat/>
    <w:uiPriority w:val="0"/>
    <w:rPr>
      <w:rFonts w:ascii="仿宋_GB2312" w:hAnsi="Calibri" w:cs="Times New Roman"/>
      <w:szCs w:val="20"/>
    </w:rPr>
  </w:style>
  <w:style w:type="paragraph" w:customStyle="1" w:styleId="604">
    <w:name w:val="reader-word-layer reader-word-s18-3"/>
    <w:basedOn w:val="1"/>
    <w:qFormat/>
    <w:uiPriority w:val="0"/>
    <w:pPr>
      <w:widowControl/>
      <w:spacing w:before="100" w:beforeAutospacing="1" w:after="100" w:afterAutospacing="1"/>
      <w:jc w:val="left"/>
    </w:pPr>
    <w:rPr>
      <w:rFonts w:ascii="宋体" w:hAnsi="宋体" w:cs="宋体"/>
      <w:kern w:val="0"/>
      <w:szCs w:val="24"/>
    </w:rPr>
  </w:style>
  <w:style w:type="paragraph" w:customStyle="1" w:styleId="605">
    <w:name w:val="KY-附注"/>
    <w:basedOn w:val="244"/>
    <w:qFormat/>
    <w:uiPriority w:val="0"/>
    <w:pPr>
      <w:ind w:firstLine="0" w:firstLineChars="0"/>
    </w:pPr>
  </w:style>
  <w:style w:type="paragraph" w:customStyle="1" w:styleId="606">
    <w:name w:val="reader-word-layer reader-word-s18-13"/>
    <w:basedOn w:val="1"/>
    <w:qFormat/>
    <w:uiPriority w:val="0"/>
    <w:pPr>
      <w:widowControl/>
      <w:spacing w:before="100" w:beforeAutospacing="1" w:after="100" w:afterAutospacing="1"/>
      <w:jc w:val="left"/>
    </w:pPr>
    <w:rPr>
      <w:rFonts w:ascii="宋体" w:hAnsi="宋体" w:cs="宋体"/>
      <w:kern w:val="0"/>
      <w:szCs w:val="24"/>
    </w:rPr>
  </w:style>
  <w:style w:type="paragraph" w:customStyle="1" w:styleId="607">
    <w:name w:val="reader-word-layer reader-word-s18-23"/>
    <w:basedOn w:val="1"/>
    <w:qFormat/>
    <w:uiPriority w:val="0"/>
    <w:pPr>
      <w:widowControl/>
      <w:spacing w:before="100" w:beforeAutospacing="1" w:after="100" w:afterAutospacing="1"/>
      <w:jc w:val="left"/>
    </w:pPr>
    <w:rPr>
      <w:rFonts w:ascii="宋体" w:hAnsi="宋体" w:cs="宋体"/>
      <w:kern w:val="0"/>
      <w:szCs w:val="24"/>
    </w:rPr>
  </w:style>
  <w:style w:type="paragraph" w:customStyle="1" w:styleId="608">
    <w:name w:val="reader-word-layer reader-word-s18-22"/>
    <w:basedOn w:val="1"/>
    <w:qFormat/>
    <w:uiPriority w:val="0"/>
    <w:pPr>
      <w:widowControl/>
      <w:spacing w:before="100" w:beforeAutospacing="1" w:after="100" w:afterAutospacing="1"/>
      <w:jc w:val="left"/>
    </w:pPr>
    <w:rPr>
      <w:rFonts w:ascii="宋体" w:hAnsi="宋体" w:cs="宋体"/>
      <w:kern w:val="0"/>
      <w:szCs w:val="24"/>
    </w:rPr>
  </w:style>
  <w:style w:type="character" w:customStyle="1" w:styleId="609">
    <w:name w:val="批注主题 字符"/>
    <w:basedOn w:val="144"/>
    <w:link w:val="61"/>
    <w:qFormat/>
    <w:uiPriority w:val="0"/>
    <w:rPr>
      <w:rFonts w:ascii="Calibri" w:hAnsi="Calibri" w:eastAsia="仿宋_GB2312" w:cs="Times New Roman"/>
      <w:b/>
      <w:bCs/>
      <w:sz w:val="28"/>
    </w:rPr>
  </w:style>
  <w:style w:type="paragraph" w:styleId="610">
    <w:name w:val="List Paragraph"/>
    <w:basedOn w:val="1"/>
    <w:qFormat/>
    <w:uiPriority w:val="0"/>
    <w:pPr>
      <w:ind w:firstLine="420"/>
    </w:pPr>
    <w:rPr>
      <w:rFonts w:ascii="Calibri" w:hAnsi="Calibri" w:cs="Times New Roman"/>
    </w:rPr>
  </w:style>
  <w:style w:type="character" w:customStyle="1" w:styleId="611">
    <w:name w:val="正文文本缩进 字符"/>
    <w:basedOn w:val="109"/>
    <w:link w:val="28"/>
    <w:qFormat/>
    <w:uiPriority w:val="0"/>
    <w:rPr>
      <w:rFonts w:ascii="Calibri" w:hAnsi="Calibri" w:eastAsia="仿宋_GB2312" w:cs="Times New Roman"/>
      <w:sz w:val="28"/>
    </w:rPr>
  </w:style>
  <w:style w:type="paragraph" w:customStyle="1" w:styleId="612">
    <w:name w:val="样式 样式 样式 样式 样式4 + 首行缩进:  0.75 字符 + 首行缩进:  2 字符 + 首行缩进:  2 字符 + 首..."/>
    <w:basedOn w:val="1"/>
    <w:autoRedefine/>
    <w:qFormat/>
    <w:uiPriority w:val="0"/>
    <w:pPr>
      <w:spacing w:line="480" w:lineRule="exact"/>
      <w:ind w:firstLine="480"/>
      <w:jc w:val="center"/>
    </w:pPr>
    <w:rPr>
      <w:rFonts w:cs="Times New Roman"/>
      <w:color w:val="0000FF"/>
      <w:szCs w:val="24"/>
    </w:rPr>
  </w:style>
  <w:style w:type="character" w:customStyle="1" w:styleId="613">
    <w:name w:val="表格 Char"/>
    <w:qFormat/>
    <w:uiPriority w:val="0"/>
    <w:rPr>
      <w:rFonts w:ascii="宋体" w:hAnsi="宋体" w:eastAsia="宋体" w:cs="宋体"/>
      <w:spacing w:val="4"/>
      <w:w w:val="90"/>
      <w:sz w:val="24"/>
      <w:szCs w:val="24"/>
      <w:lang w:val="en-US" w:eastAsia="zh-CN" w:bidi="ar-SA"/>
    </w:rPr>
  </w:style>
  <w:style w:type="paragraph" w:customStyle="1" w:styleId="614">
    <w:name w:val="Char Char11 Char Char"/>
    <w:basedOn w:val="1"/>
    <w:qFormat/>
    <w:uiPriority w:val="0"/>
    <w:rPr>
      <w:rFonts w:cs="Times New Roman"/>
      <w:szCs w:val="24"/>
    </w:rPr>
  </w:style>
  <w:style w:type="paragraph" w:customStyle="1" w:styleId="615">
    <w:name w:val="附录"/>
    <w:link w:val="619"/>
    <w:qFormat/>
    <w:uiPriority w:val="0"/>
    <w:pPr>
      <w:spacing w:line="460" w:lineRule="exact"/>
    </w:pPr>
    <w:rPr>
      <w:rFonts w:ascii="Times New Roman" w:hAnsi="Times New Roman" w:eastAsia="仿宋_GB2312" w:cs="Times New Roman"/>
      <w:kern w:val="2"/>
      <w:sz w:val="24"/>
      <w:szCs w:val="24"/>
      <w:lang w:val="en-US" w:eastAsia="zh-CN" w:bidi="ar-SA"/>
    </w:rPr>
  </w:style>
  <w:style w:type="paragraph" w:customStyle="1" w:styleId="616">
    <w:name w:val="首页 项目编号"/>
    <w:link w:val="618"/>
    <w:qFormat/>
    <w:uiPriority w:val="0"/>
    <w:pPr>
      <w:jc w:val="center"/>
    </w:pPr>
    <w:rPr>
      <w:rFonts w:ascii="Times New Roman" w:hAnsi="Times New Roman" w:eastAsia="宋体" w:cs="Times New Roman"/>
      <w:kern w:val="2"/>
      <w:sz w:val="24"/>
      <w:szCs w:val="24"/>
      <w:lang w:val="en-US" w:eastAsia="zh-CN" w:bidi="ar-SA"/>
    </w:rPr>
  </w:style>
  <w:style w:type="paragraph" w:customStyle="1" w:styleId="617">
    <w:name w:val="公参 调查表"/>
    <w:link w:val="621"/>
    <w:qFormat/>
    <w:uiPriority w:val="0"/>
    <w:rPr>
      <w:rFonts w:ascii="Times New Roman" w:hAnsi="Times New Roman" w:eastAsia="仿宋_GB2312" w:cs="Times New Roman"/>
      <w:kern w:val="2"/>
      <w:sz w:val="24"/>
      <w:szCs w:val="24"/>
      <w:lang w:val="en-US" w:eastAsia="zh-CN" w:bidi="ar-SA"/>
    </w:rPr>
  </w:style>
  <w:style w:type="character" w:customStyle="1" w:styleId="618">
    <w:name w:val="首页 项目编号 Char"/>
    <w:link w:val="616"/>
    <w:qFormat/>
    <w:uiPriority w:val="0"/>
    <w:rPr>
      <w:rFonts w:ascii="Times New Roman" w:hAnsi="Times New Roman" w:eastAsia="宋体" w:cs="Times New Roman"/>
      <w:sz w:val="24"/>
      <w:szCs w:val="24"/>
    </w:rPr>
  </w:style>
  <w:style w:type="character" w:customStyle="1" w:styleId="619">
    <w:name w:val="附录 Char"/>
    <w:link w:val="615"/>
    <w:qFormat/>
    <w:uiPriority w:val="0"/>
    <w:rPr>
      <w:rFonts w:ascii="Times New Roman" w:hAnsi="Times New Roman" w:eastAsia="仿宋_GB2312" w:cs="Times New Roman"/>
      <w:sz w:val="24"/>
      <w:szCs w:val="24"/>
    </w:rPr>
  </w:style>
  <w:style w:type="paragraph" w:customStyle="1" w:styleId="620">
    <w:name w:val="首页 评价单位 时间"/>
    <w:link w:val="623"/>
    <w:qFormat/>
    <w:uiPriority w:val="0"/>
    <w:pPr>
      <w:jc w:val="center"/>
    </w:pPr>
    <w:rPr>
      <w:rFonts w:ascii="华文新魏" w:hAnsi="Times New Roman" w:eastAsia="华文新魏" w:cs="Times New Roman"/>
      <w:kern w:val="2"/>
      <w:sz w:val="32"/>
      <w:szCs w:val="32"/>
      <w:lang w:val="en-US" w:eastAsia="zh-CN" w:bidi="ar-SA"/>
    </w:rPr>
  </w:style>
  <w:style w:type="character" w:customStyle="1" w:styleId="621">
    <w:name w:val="公参 调查表 Char"/>
    <w:link w:val="617"/>
    <w:qFormat/>
    <w:uiPriority w:val="0"/>
    <w:rPr>
      <w:rFonts w:ascii="Times New Roman" w:hAnsi="Times New Roman" w:eastAsia="仿宋_GB2312" w:cs="Times New Roman"/>
      <w:sz w:val="24"/>
      <w:szCs w:val="24"/>
    </w:rPr>
  </w:style>
  <w:style w:type="paragraph" w:customStyle="1" w:styleId="622">
    <w:name w:val="首页 建设单位"/>
    <w:link w:val="625"/>
    <w:qFormat/>
    <w:uiPriority w:val="0"/>
    <w:pPr>
      <w:spacing w:after="20" w:line="480" w:lineRule="auto"/>
      <w:jc w:val="center"/>
    </w:pPr>
    <w:rPr>
      <w:rFonts w:ascii="华文新魏" w:hAnsi="黑体" w:eastAsia="华文新魏" w:cs="宋体"/>
      <w:bCs/>
      <w:kern w:val="2"/>
      <w:sz w:val="60"/>
      <w:szCs w:val="60"/>
      <w:lang w:val="en-US" w:eastAsia="zh-CN" w:bidi="ar-SA"/>
    </w:rPr>
  </w:style>
  <w:style w:type="character" w:customStyle="1" w:styleId="623">
    <w:name w:val="首页 评价单位 时间 Char"/>
    <w:link w:val="620"/>
    <w:qFormat/>
    <w:uiPriority w:val="0"/>
    <w:rPr>
      <w:rFonts w:ascii="华文新魏" w:hAnsi="Times New Roman" w:eastAsia="华文新魏" w:cs="Times New Roman"/>
      <w:sz w:val="32"/>
      <w:szCs w:val="32"/>
    </w:rPr>
  </w:style>
  <w:style w:type="paragraph" w:customStyle="1" w:styleId="624">
    <w:name w:val="首页 项目名称"/>
    <w:link w:val="626"/>
    <w:qFormat/>
    <w:uiPriority w:val="0"/>
    <w:pPr>
      <w:spacing w:line="360" w:lineRule="auto"/>
      <w:jc w:val="center"/>
    </w:pPr>
    <w:rPr>
      <w:rFonts w:ascii="华文新魏" w:hAnsi="黑体" w:eastAsia="华文新魏" w:cs="Times New Roman"/>
      <w:bCs/>
      <w:kern w:val="2"/>
      <w:sz w:val="44"/>
      <w:szCs w:val="44"/>
      <w:lang w:val="en-US" w:eastAsia="zh-CN" w:bidi="ar-SA"/>
    </w:rPr>
  </w:style>
  <w:style w:type="character" w:customStyle="1" w:styleId="625">
    <w:name w:val="首页 建设单位 Char"/>
    <w:link w:val="622"/>
    <w:qFormat/>
    <w:uiPriority w:val="0"/>
    <w:rPr>
      <w:rFonts w:ascii="华文新魏" w:hAnsi="黑体" w:eastAsia="华文新魏" w:cs="宋体"/>
      <w:bCs/>
      <w:sz w:val="60"/>
      <w:szCs w:val="60"/>
    </w:rPr>
  </w:style>
  <w:style w:type="character" w:customStyle="1" w:styleId="626">
    <w:name w:val="首页 项目名称 Char"/>
    <w:link w:val="624"/>
    <w:qFormat/>
    <w:uiPriority w:val="0"/>
    <w:rPr>
      <w:rFonts w:ascii="华文新魏" w:hAnsi="黑体" w:eastAsia="华文新魏" w:cs="Times New Roman"/>
      <w:bCs/>
      <w:sz w:val="44"/>
      <w:szCs w:val="44"/>
    </w:rPr>
  </w:style>
  <w:style w:type="character" w:customStyle="1" w:styleId="627">
    <w:name w:val="表格文字 Char"/>
    <w:qFormat/>
    <w:uiPriority w:val="0"/>
    <w:rPr>
      <w:rFonts w:ascii="仿宋_GB2312" w:hAnsi="Arial Black" w:eastAsia="仿宋_GB2312"/>
      <w:kern w:val="44"/>
      <w:sz w:val="24"/>
    </w:rPr>
  </w:style>
  <w:style w:type="paragraph" w:customStyle="1" w:styleId="628">
    <w:name w:val="目录 标题"/>
    <w:basedOn w:val="45"/>
    <w:qFormat/>
    <w:uiPriority w:val="0"/>
    <w:pPr>
      <w:widowControl/>
      <w:spacing w:before="120" w:after="120" w:line="500" w:lineRule="exact"/>
      <w:jc w:val="center"/>
    </w:pPr>
    <w:rPr>
      <w:rFonts w:ascii="仿宋_GB2312" w:hAnsi="微软雅黑" w:cs="宋体"/>
      <w:bCs/>
      <w:caps/>
      <w:smallCaps/>
      <w:sz w:val="36"/>
      <w:szCs w:val="20"/>
    </w:rPr>
  </w:style>
  <w:style w:type="table" w:customStyle="1" w:styleId="629">
    <w:name w:val="网格型表格1"/>
    <w:basedOn w:val="6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30">
    <w:name w:val="正文文本缩进 Char2"/>
    <w:qFormat/>
    <w:uiPriority w:val="0"/>
    <w:rPr>
      <w:rFonts w:ascii="Times New Roman" w:hAnsi="Times New Roman" w:eastAsia="宋体" w:cs="Times New Roman"/>
      <w:szCs w:val="24"/>
    </w:rPr>
  </w:style>
  <w:style w:type="character" w:customStyle="1" w:styleId="631">
    <w:name w:val="正文首行缩进 2 Char2"/>
    <w:qFormat/>
    <w:uiPriority w:val="0"/>
  </w:style>
  <w:style w:type="character" w:customStyle="1" w:styleId="632">
    <w:name w:val="HTML 地址 Char1"/>
    <w:qFormat/>
    <w:uiPriority w:val="0"/>
    <w:rPr>
      <w:rFonts w:ascii="Times New Roman" w:hAnsi="Times New Roman" w:eastAsia="宋体" w:cs="Times New Roman"/>
      <w:i/>
      <w:iCs/>
      <w:szCs w:val="24"/>
    </w:rPr>
  </w:style>
  <w:style w:type="character" w:customStyle="1" w:styleId="633">
    <w:name w:val="电子邮件签名 Char1"/>
    <w:qFormat/>
    <w:uiPriority w:val="0"/>
    <w:rPr>
      <w:rFonts w:ascii="Times New Roman" w:hAnsi="Times New Roman" w:eastAsia="宋体" w:cs="Times New Roman"/>
      <w:szCs w:val="24"/>
    </w:rPr>
  </w:style>
  <w:style w:type="character" w:customStyle="1" w:styleId="634">
    <w:name w:val="称呼 Char1"/>
    <w:qFormat/>
    <w:uiPriority w:val="0"/>
    <w:rPr>
      <w:rFonts w:ascii="Times New Roman" w:hAnsi="Times New Roman" w:eastAsia="宋体" w:cs="Times New Roman"/>
      <w:szCs w:val="24"/>
    </w:rPr>
  </w:style>
  <w:style w:type="character" w:customStyle="1" w:styleId="635">
    <w:name w:val="文档结构图 Char1"/>
    <w:qFormat/>
    <w:uiPriority w:val="0"/>
    <w:rPr>
      <w:rFonts w:ascii="宋体" w:hAnsi="Times New Roman" w:eastAsia="宋体" w:cs="Times New Roman"/>
      <w:sz w:val="18"/>
      <w:szCs w:val="18"/>
    </w:rPr>
  </w:style>
  <w:style w:type="character" w:customStyle="1" w:styleId="636">
    <w:name w:val="HTML 预设格式 Char1"/>
    <w:qFormat/>
    <w:uiPriority w:val="0"/>
    <w:rPr>
      <w:rFonts w:ascii="Courier New" w:hAnsi="Courier New" w:eastAsia="宋体" w:cs="Courier New"/>
      <w:sz w:val="20"/>
      <w:szCs w:val="20"/>
    </w:rPr>
  </w:style>
  <w:style w:type="character" w:customStyle="1" w:styleId="637">
    <w:name w:val="批注框文本 Char1"/>
    <w:qFormat/>
    <w:uiPriority w:val="0"/>
    <w:rPr>
      <w:rFonts w:ascii="Times New Roman" w:hAnsi="Times New Roman" w:eastAsia="宋体" w:cs="Times New Roman"/>
      <w:sz w:val="18"/>
      <w:szCs w:val="18"/>
    </w:rPr>
  </w:style>
  <w:style w:type="character" w:customStyle="1" w:styleId="638">
    <w:name w:val="正文文本 3 Char1"/>
    <w:qFormat/>
    <w:uiPriority w:val="0"/>
    <w:rPr>
      <w:rFonts w:ascii="Times New Roman" w:hAnsi="Times New Roman" w:eastAsia="宋体" w:cs="Times New Roman"/>
      <w:sz w:val="16"/>
      <w:szCs w:val="16"/>
    </w:rPr>
  </w:style>
  <w:style w:type="character" w:customStyle="1" w:styleId="639">
    <w:name w:val="纯文本 Char3"/>
    <w:qFormat/>
    <w:uiPriority w:val="0"/>
    <w:rPr>
      <w:rFonts w:ascii="宋体" w:hAnsi="Courier New" w:eastAsia="宋体" w:cs="Courier New"/>
      <w:szCs w:val="21"/>
    </w:rPr>
  </w:style>
  <w:style w:type="table" w:customStyle="1" w:styleId="640">
    <w:name w:val="网格型1"/>
    <w:basedOn w:val="64"/>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1">
    <w:name w:val="Revision"/>
    <w:hidden/>
    <w:qFormat/>
    <w:uiPriority w:val="0"/>
    <w:rPr>
      <w:rFonts w:ascii="Times New Roman" w:hAnsi="Times New Roman" w:eastAsia="宋体" w:cs="Times New Roman"/>
      <w:kern w:val="2"/>
      <w:sz w:val="21"/>
      <w:szCs w:val="24"/>
      <w:lang w:val="en-US" w:eastAsia="zh-CN" w:bidi="ar-SA"/>
    </w:rPr>
  </w:style>
  <w:style w:type="paragraph" w:customStyle="1" w:styleId="642">
    <w:name w:val="正文 段落1级"/>
    <w:basedOn w:val="1"/>
    <w:link w:val="643"/>
    <w:qFormat/>
    <w:uiPriority w:val="0"/>
    <w:pPr>
      <w:keepNext/>
      <w:keepLines/>
      <w:pageBreakBefore/>
      <w:widowControl/>
      <w:outlineLvl w:val="0"/>
    </w:pPr>
    <w:rPr>
      <w:rFonts w:cs="Arial"/>
      <w:b/>
      <w:bCs/>
      <w:kern w:val="44"/>
      <w:sz w:val="36"/>
      <w:szCs w:val="44"/>
    </w:rPr>
  </w:style>
  <w:style w:type="character" w:customStyle="1" w:styleId="643">
    <w:name w:val="正文 段落1级 Char"/>
    <w:link w:val="642"/>
    <w:qFormat/>
    <w:uiPriority w:val="0"/>
    <w:rPr>
      <w:rFonts w:ascii="Times New Roman" w:hAnsi="Times New Roman" w:eastAsia="仿宋_GB2312" w:cs="Arial"/>
      <w:b/>
      <w:bCs/>
      <w:kern w:val="44"/>
      <w:sz w:val="36"/>
      <w:szCs w:val="44"/>
    </w:rPr>
  </w:style>
  <w:style w:type="paragraph" w:customStyle="1" w:styleId="644">
    <w:name w:val="正文 段落2级"/>
    <w:basedOn w:val="1"/>
    <w:link w:val="645"/>
    <w:qFormat/>
    <w:uiPriority w:val="0"/>
    <w:pPr>
      <w:keepNext/>
      <w:keepLines/>
      <w:widowControl/>
      <w:outlineLvl w:val="1"/>
    </w:pPr>
    <w:rPr>
      <w:rFonts w:cs="Times New Roman"/>
      <w:b/>
      <w:bCs/>
      <w:kern w:val="44"/>
      <w:sz w:val="32"/>
      <w:szCs w:val="44"/>
    </w:rPr>
  </w:style>
  <w:style w:type="character" w:customStyle="1" w:styleId="645">
    <w:name w:val="正文 段落2级 Char"/>
    <w:link w:val="644"/>
    <w:qFormat/>
    <w:uiPriority w:val="0"/>
    <w:rPr>
      <w:rFonts w:ascii="Times New Roman" w:hAnsi="Times New Roman" w:eastAsia="仿宋_GB2312" w:cs="Times New Roman"/>
      <w:b/>
      <w:bCs/>
      <w:kern w:val="44"/>
      <w:sz w:val="32"/>
      <w:szCs w:val="44"/>
    </w:rPr>
  </w:style>
  <w:style w:type="paragraph" w:customStyle="1" w:styleId="646">
    <w:name w:val="正文 段落3级"/>
    <w:link w:val="647"/>
    <w:qFormat/>
    <w:uiPriority w:val="0"/>
    <w:pPr>
      <w:keepNext/>
      <w:keepLines/>
      <w:tabs>
        <w:tab w:val="left" w:pos="7230"/>
      </w:tabs>
      <w:spacing w:before="50" w:beforeLines="50" w:after="50" w:afterLines="50" w:line="500" w:lineRule="exact"/>
      <w:outlineLvl w:val="2"/>
    </w:pPr>
    <w:rPr>
      <w:rFonts w:ascii="Times New Roman" w:hAnsi="Times New Roman" w:eastAsia="仿宋_GB2312" w:cs="Times New Roman"/>
      <w:b/>
      <w:bCs/>
      <w:kern w:val="2"/>
      <w:sz w:val="28"/>
      <w:szCs w:val="32"/>
      <w:lang w:val="en-US" w:eastAsia="zh-CN" w:bidi="ar-SA"/>
    </w:rPr>
  </w:style>
  <w:style w:type="character" w:customStyle="1" w:styleId="647">
    <w:name w:val="正文 段落3级 Char"/>
    <w:link w:val="646"/>
    <w:qFormat/>
    <w:uiPriority w:val="0"/>
    <w:rPr>
      <w:rFonts w:ascii="Times New Roman" w:hAnsi="Times New Roman" w:eastAsia="仿宋_GB2312" w:cs="Times New Roman"/>
      <w:b/>
      <w:bCs/>
      <w:sz w:val="28"/>
      <w:szCs w:val="32"/>
    </w:rPr>
  </w:style>
  <w:style w:type="character" w:customStyle="1" w:styleId="648">
    <w:name w:val="正文 文本 Char"/>
    <w:qFormat/>
    <w:uiPriority w:val="0"/>
    <w:rPr>
      <w:rFonts w:ascii="Times New Roman" w:hAnsi="Times New Roman" w:eastAsia="仿宋_GB2312" w:cs="Times New Roman"/>
      <w:sz w:val="28"/>
      <w:szCs w:val="24"/>
    </w:rPr>
  </w:style>
  <w:style w:type="character" w:customStyle="1" w:styleId="649">
    <w:name w:val="表格 标题 Char"/>
    <w:qFormat/>
    <w:uiPriority w:val="0"/>
    <w:rPr>
      <w:rFonts w:ascii="Times New Roman" w:hAnsi="Times New Roman" w:eastAsia="仿宋_GB2312" w:cs="Times New Roman"/>
      <w:b/>
      <w:sz w:val="24"/>
      <w:szCs w:val="24"/>
    </w:rPr>
  </w:style>
  <w:style w:type="character" w:customStyle="1" w:styleId="650">
    <w:name w:val="表格 普通文字 Char"/>
    <w:qFormat/>
    <w:uiPriority w:val="0"/>
    <w:rPr>
      <w:rFonts w:ascii="Times New Roman" w:hAnsi="Times New Roman" w:eastAsia="仿宋_GB2312" w:cs="Times New Roman"/>
      <w:szCs w:val="21"/>
    </w:rPr>
  </w:style>
  <w:style w:type="character" w:customStyle="1" w:styleId="651">
    <w:name w:val="表格 首行文字 Char"/>
    <w:qFormat/>
    <w:uiPriority w:val="0"/>
    <w:rPr>
      <w:rFonts w:ascii="Times New Roman" w:hAnsi="Times New Roman" w:eastAsia="仿宋_GB2312" w:cs="Times New Roman"/>
      <w:b/>
    </w:rPr>
  </w:style>
  <w:style w:type="paragraph" w:customStyle="1" w:styleId="652">
    <w:name w:val="表格 标注"/>
    <w:link w:val="653"/>
    <w:qFormat/>
    <w:uiPriority w:val="0"/>
    <w:pPr>
      <w:widowControl w:val="0"/>
    </w:pPr>
    <w:rPr>
      <w:rFonts w:ascii="Times New Roman" w:hAnsi="Times New Roman" w:eastAsia="仿宋_GB2312" w:cs="Times New Roman"/>
      <w:kern w:val="2"/>
      <w:sz w:val="18"/>
      <w:szCs w:val="18"/>
      <w:lang w:val="en-US" w:eastAsia="zh-CN" w:bidi="ar-SA"/>
    </w:rPr>
  </w:style>
  <w:style w:type="character" w:customStyle="1" w:styleId="653">
    <w:name w:val="表格 标注 Char"/>
    <w:link w:val="652"/>
    <w:qFormat/>
    <w:uiPriority w:val="0"/>
    <w:rPr>
      <w:rFonts w:ascii="Times New Roman" w:hAnsi="Times New Roman" w:eastAsia="仿宋_GB2312" w:cs="Times New Roman"/>
      <w:sz w:val="18"/>
      <w:szCs w:val="18"/>
    </w:rPr>
  </w:style>
  <w:style w:type="paragraph" w:customStyle="1" w:styleId="654">
    <w:name w:val="正文 段落4级"/>
    <w:link w:val="655"/>
    <w:qFormat/>
    <w:uiPriority w:val="0"/>
    <w:pPr>
      <w:spacing w:line="500" w:lineRule="exact"/>
      <w:outlineLvl w:val="3"/>
    </w:pPr>
    <w:rPr>
      <w:rFonts w:ascii="Times New Roman" w:hAnsi="Times New Roman" w:eastAsia="仿宋_GB2312" w:cs="Times New Roman"/>
      <w:b/>
      <w:kern w:val="2"/>
      <w:sz w:val="28"/>
      <w:szCs w:val="24"/>
      <w:lang w:val="en-US" w:eastAsia="zh-CN" w:bidi="ar-SA"/>
    </w:rPr>
  </w:style>
  <w:style w:type="character" w:customStyle="1" w:styleId="655">
    <w:name w:val="正文 段落4级 Char1"/>
    <w:link w:val="654"/>
    <w:qFormat/>
    <w:uiPriority w:val="0"/>
    <w:rPr>
      <w:rFonts w:ascii="Times New Roman" w:hAnsi="Times New Roman" w:eastAsia="仿宋_GB2312" w:cs="Times New Roman"/>
      <w:b/>
      <w:sz w:val="28"/>
      <w:szCs w:val="24"/>
    </w:rPr>
  </w:style>
  <w:style w:type="paragraph" w:customStyle="1" w:styleId="656">
    <w:name w:val="正文 方程式"/>
    <w:link w:val="657"/>
    <w:qFormat/>
    <w:uiPriority w:val="0"/>
    <w:pPr>
      <w:spacing w:before="100" w:beforeLines="100" w:after="100" w:afterLines="100" w:line="500" w:lineRule="exact"/>
      <w:jc w:val="center"/>
    </w:pPr>
    <w:rPr>
      <w:rFonts w:ascii="Cambria" w:hAnsi="Cambria" w:eastAsia="仿宋_GB2312" w:cs="Arial"/>
      <w:kern w:val="2"/>
      <w:sz w:val="28"/>
      <w:szCs w:val="24"/>
      <w:lang w:val="pl-PL" w:eastAsia="zh-CN" w:bidi="ar-SA"/>
    </w:rPr>
  </w:style>
  <w:style w:type="character" w:customStyle="1" w:styleId="657">
    <w:name w:val="正文 方程式 Char"/>
    <w:link w:val="656"/>
    <w:qFormat/>
    <w:uiPriority w:val="0"/>
    <w:rPr>
      <w:rFonts w:ascii="Cambria" w:hAnsi="Cambria" w:eastAsia="仿宋_GB2312" w:cs="Arial"/>
      <w:sz w:val="28"/>
      <w:szCs w:val="24"/>
      <w:lang w:val="pl-PL"/>
    </w:rPr>
  </w:style>
  <w:style w:type="paragraph" w:customStyle="1" w:styleId="658">
    <w:name w:val="正文 段落5级"/>
    <w:link w:val="659"/>
    <w:qFormat/>
    <w:uiPriority w:val="0"/>
    <w:pPr>
      <w:widowControl w:val="0"/>
      <w:spacing w:line="500" w:lineRule="exact"/>
      <w:ind w:firstLine="200" w:firstLineChars="200"/>
      <w:jc w:val="both"/>
      <w:outlineLvl w:val="4"/>
    </w:pPr>
    <w:rPr>
      <w:rFonts w:ascii="Times New Roman" w:hAnsi="Times New Roman" w:eastAsia="仿宋_GB2312" w:cs="Times New Roman"/>
      <w:b/>
      <w:kern w:val="2"/>
      <w:sz w:val="28"/>
      <w:szCs w:val="24"/>
      <w:lang w:val="en-US" w:eastAsia="zh-CN" w:bidi="ar-SA"/>
    </w:rPr>
  </w:style>
  <w:style w:type="character" w:customStyle="1" w:styleId="659">
    <w:name w:val="正文 段落5级 Char"/>
    <w:link w:val="658"/>
    <w:qFormat/>
    <w:uiPriority w:val="0"/>
    <w:rPr>
      <w:rFonts w:ascii="Times New Roman" w:hAnsi="Times New Roman" w:eastAsia="仿宋_GB2312" w:cs="Times New Roman"/>
      <w:b/>
      <w:sz w:val="28"/>
      <w:szCs w:val="24"/>
    </w:rPr>
  </w:style>
  <w:style w:type="character" w:customStyle="1" w:styleId="660">
    <w:name w:val="正文 公式 Char"/>
    <w:qFormat/>
    <w:uiPriority w:val="0"/>
  </w:style>
  <w:style w:type="paragraph" w:customStyle="1" w:styleId="661">
    <w:name w:val="13"/>
    <w:basedOn w:val="1"/>
    <w:next w:val="1"/>
    <w:qFormat/>
    <w:uiPriority w:val="0"/>
    <w:pPr>
      <w:spacing w:line="312" w:lineRule="atLeast"/>
      <w:textAlignment w:val="baseline"/>
    </w:pPr>
    <w:rPr>
      <w:rFonts w:cs="Times New Roman"/>
      <w:kern w:val="0"/>
      <w:szCs w:val="20"/>
    </w:rPr>
  </w:style>
  <w:style w:type="paragraph" w:customStyle="1" w:styleId="662">
    <w:name w:val="10"/>
    <w:basedOn w:val="1"/>
    <w:next w:val="1"/>
    <w:qFormat/>
    <w:uiPriority w:val="0"/>
    <w:pPr>
      <w:spacing w:line="312" w:lineRule="atLeast"/>
      <w:textAlignment w:val="baseline"/>
    </w:pPr>
    <w:rPr>
      <w:rFonts w:cs="Times New Roman"/>
      <w:kern w:val="0"/>
      <w:szCs w:val="20"/>
    </w:rPr>
  </w:style>
  <w:style w:type="table" w:customStyle="1" w:styleId="663">
    <w:name w:val="网格型2"/>
    <w:basedOn w:val="6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64">
    <w:name w:val="字元 字元1"/>
    <w:basedOn w:val="1"/>
    <w:qFormat/>
    <w:uiPriority w:val="0"/>
    <w:rPr>
      <w:rFonts w:cs="Times New Roman"/>
      <w:szCs w:val="24"/>
    </w:rPr>
  </w:style>
  <w:style w:type="character" w:customStyle="1" w:styleId="665">
    <w:name w:val="注释 Char"/>
    <w:qFormat/>
    <w:uiPriority w:val="0"/>
    <w:rPr>
      <w:rFonts w:ascii="宋体" w:hAnsi="Times New Roman" w:eastAsia="宋体" w:cs="Times New Roman"/>
      <w:snapToGrid w:val="0"/>
      <w:spacing w:val="4"/>
      <w:kern w:val="0"/>
      <w:szCs w:val="24"/>
    </w:rPr>
  </w:style>
  <w:style w:type="paragraph" w:customStyle="1" w:styleId="666">
    <w:name w:val="！正文"/>
    <w:basedOn w:val="1"/>
    <w:qFormat/>
    <w:uiPriority w:val="0"/>
    <w:pPr>
      <w:ind w:firstLine="480"/>
    </w:pPr>
    <w:rPr>
      <w:rFonts w:cs="宋体"/>
      <w:szCs w:val="20"/>
    </w:rPr>
  </w:style>
  <w:style w:type="paragraph" w:customStyle="1" w:styleId="667">
    <w:name w:val="样式 样式 环评正文 + 首行缩进:  2 字符 + 首行缩进:  2 字符"/>
    <w:basedOn w:val="1"/>
    <w:semiHidden/>
    <w:qFormat/>
    <w:uiPriority w:val="0"/>
    <w:pPr>
      <w:ind w:firstLine="512"/>
    </w:pPr>
    <w:rPr>
      <w:rFonts w:cs="宋体"/>
      <w:spacing w:val="8"/>
      <w:kern w:val="0"/>
      <w:szCs w:val="20"/>
    </w:rPr>
  </w:style>
  <w:style w:type="paragraph" w:customStyle="1" w:styleId="668">
    <w:name w:val="表格内容 Char"/>
    <w:autoRedefine/>
    <w:semiHidden/>
    <w:qFormat/>
    <w:uiPriority w:val="0"/>
    <w:pPr>
      <w:widowControl w:val="0"/>
      <w:tabs>
        <w:tab w:val="left" w:pos="10"/>
      </w:tabs>
      <w:adjustRightInd w:val="0"/>
      <w:snapToGrid w:val="0"/>
      <w:jc w:val="center"/>
    </w:pPr>
    <w:rPr>
      <w:rFonts w:ascii="Times New Roman" w:hAnsi="Times New Roman" w:eastAsia="宋体" w:cs="Times New Roman"/>
      <w:b/>
      <w:kern w:val="0"/>
      <w:sz w:val="21"/>
      <w:szCs w:val="21"/>
      <w:lang w:val="en-US" w:eastAsia="zh-CN" w:bidi="ar-SA"/>
    </w:rPr>
  </w:style>
  <w:style w:type="paragraph" w:customStyle="1" w:styleId="669">
    <w:name w:val="表头5"/>
    <w:basedOn w:val="1"/>
    <w:qFormat/>
    <w:uiPriority w:val="0"/>
    <w:pPr>
      <w:tabs>
        <w:tab w:val="left" w:pos="1080"/>
      </w:tabs>
      <w:spacing w:before="240" w:beforeLines="100" w:after="120" w:line="240" w:lineRule="atLeast"/>
      <w:ind w:left="950" w:leftChars="250" w:hanging="425"/>
    </w:pPr>
    <w:rPr>
      <w:rFonts w:cs="Times New Roman"/>
      <w:b/>
      <w:szCs w:val="24"/>
    </w:rPr>
  </w:style>
  <w:style w:type="paragraph" w:customStyle="1" w:styleId="670">
    <w:name w:val="样式 出版正文 + (中文) 宋体 四号 首行缩进:  1.5 字符 行距: 1.5 倍行距"/>
    <w:basedOn w:val="1"/>
    <w:autoRedefine/>
    <w:semiHidden/>
    <w:qFormat/>
    <w:uiPriority w:val="0"/>
    <w:rPr>
      <w:rFonts w:ascii="宋体" w:hAnsi="宋体" w:cs="Times New Roman"/>
      <w:bCs/>
      <w:kern w:val="0"/>
      <w:szCs w:val="32"/>
    </w:rPr>
  </w:style>
  <w:style w:type="paragraph" w:customStyle="1" w:styleId="671">
    <w:name w:val="样式 四号 段前: 7.8 磅 行距: 多倍行距 1.25 字行 首行缩进:  2 字符"/>
    <w:basedOn w:val="1"/>
    <w:semiHidden/>
    <w:qFormat/>
    <w:uiPriority w:val="0"/>
    <w:pPr>
      <w:spacing w:before="156" w:line="300" w:lineRule="auto"/>
    </w:pPr>
    <w:rPr>
      <w:rFonts w:cs="Times New Roman"/>
      <w:szCs w:val="20"/>
    </w:rPr>
  </w:style>
  <w:style w:type="paragraph" w:customStyle="1" w:styleId="672">
    <w:name w:val="样式 首行缩进:  0.99 厘米"/>
    <w:basedOn w:val="1"/>
    <w:semiHidden/>
    <w:qFormat/>
    <w:uiPriority w:val="0"/>
    <w:pPr>
      <w:spacing w:line="300" w:lineRule="auto"/>
      <w:ind w:firstLine="561"/>
    </w:pPr>
    <w:rPr>
      <w:rFonts w:ascii="宋体" w:hAnsi="宋体" w:cs="宋体"/>
      <w:kern w:val="0"/>
      <w:szCs w:val="20"/>
    </w:rPr>
  </w:style>
  <w:style w:type="paragraph" w:customStyle="1" w:styleId="673">
    <w:name w:val="块项目"/>
    <w:next w:val="1"/>
    <w:autoRedefine/>
    <w:semiHidden/>
    <w:qFormat/>
    <w:uiPriority w:val="0"/>
    <w:pPr>
      <w:tabs>
        <w:tab w:val="left" w:pos="976"/>
      </w:tabs>
      <w:spacing w:before="120" w:after="120" w:line="360" w:lineRule="auto"/>
      <w:ind w:left="992" w:hanging="527"/>
    </w:pPr>
    <w:rPr>
      <w:rFonts w:ascii="Times New Roman" w:hAnsi="Times New Roman" w:eastAsia="宋体" w:cs="Times New Roman"/>
      <w:b/>
      <w:spacing w:val="20"/>
      <w:kern w:val="0"/>
      <w:sz w:val="24"/>
      <w:szCs w:val="20"/>
      <w:lang w:val="en-US" w:eastAsia="zh-CN" w:bidi="ar-SA"/>
    </w:rPr>
  </w:style>
  <w:style w:type="paragraph" w:customStyle="1" w:styleId="674">
    <w:name w:val="新表"/>
    <w:basedOn w:val="1"/>
    <w:qFormat/>
    <w:uiPriority w:val="0"/>
    <w:pPr>
      <w:spacing w:line="360" w:lineRule="exact"/>
    </w:pPr>
    <w:rPr>
      <w:rFonts w:cs="Times New Roman"/>
      <w:bCs/>
      <w:kern w:val="0"/>
      <w:szCs w:val="20"/>
    </w:rPr>
  </w:style>
  <w:style w:type="paragraph" w:customStyle="1" w:styleId="675">
    <w:name w:val="广西炼油"/>
    <w:basedOn w:val="1"/>
    <w:qFormat/>
    <w:uiPriority w:val="0"/>
    <w:pPr>
      <w:spacing w:before="5" w:beforeLines="5"/>
      <w:ind w:firstLine="480"/>
    </w:pPr>
    <w:rPr>
      <w:rFonts w:ascii="宋体" w:hAnsi="宋体" w:cs="Times New Roman"/>
      <w:szCs w:val="28"/>
    </w:rPr>
  </w:style>
  <w:style w:type="paragraph" w:customStyle="1" w:styleId="676">
    <w:name w:val="表样式1"/>
    <w:basedOn w:val="1"/>
    <w:autoRedefine/>
    <w:qFormat/>
    <w:uiPriority w:val="0"/>
    <w:pPr>
      <w:spacing w:line="400" w:lineRule="exact"/>
      <w:ind w:left="-21" w:leftChars="-10" w:right="-21" w:rightChars="-10"/>
      <w:jc w:val="center"/>
    </w:pPr>
    <w:rPr>
      <w:rFonts w:cs="Times New Roman"/>
      <w:color w:val="000000"/>
      <w:szCs w:val="21"/>
      <w:lang w:eastAsia="zh-TW"/>
    </w:rPr>
  </w:style>
  <w:style w:type="paragraph" w:customStyle="1" w:styleId="677">
    <w:name w:val="表头样式1"/>
    <w:basedOn w:val="1"/>
    <w:autoRedefine/>
    <w:qFormat/>
    <w:uiPriority w:val="0"/>
    <w:pPr>
      <w:autoSpaceDE w:val="0"/>
      <w:autoSpaceDN w:val="0"/>
      <w:spacing w:before="62" w:beforeLines="20" w:after="62" w:afterLines="20"/>
      <w:jc w:val="center"/>
    </w:pPr>
    <w:rPr>
      <w:rFonts w:ascii="黑体" w:hAnsi="宋体" w:eastAsia="黑体" w:cs="Times New Roman"/>
      <w:color w:val="000000"/>
      <w:kern w:val="0"/>
      <w:szCs w:val="24"/>
      <w:lang w:eastAsia="zh-TW"/>
    </w:rPr>
  </w:style>
  <w:style w:type="paragraph" w:customStyle="1" w:styleId="678">
    <w:name w:val="样式 标题 2标题 2 Char标2h2H2标题21.1标题 2 + Times New Roman"/>
    <w:basedOn w:val="3"/>
    <w:autoRedefine/>
    <w:qFormat/>
    <w:uiPriority w:val="0"/>
  </w:style>
  <w:style w:type="paragraph" w:customStyle="1" w:styleId="679">
    <w:name w:val="标题001"/>
    <w:basedOn w:val="1"/>
    <w:qFormat/>
    <w:uiPriority w:val="0"/>
    <w:pPr>
      <w:spacing w:before="60" w:line="480" w:lineRule="exact"/>
      <w:outlineLvl w:val="0"/>
    </w:pPr>
    <w:rPr>
      <w:rFonts w:cs="Times New Roman"/>
      <w:b/>
      <w:bCs/>
      <w:sz w:val="32"/>
      <w:szCs w:val="32"/>
    </w:rPr>
  </w:style>
  <w:style w:type="paragraph" w:customStyle="1" w:styleId="680">
    <w:name w:val="标题002"/>
    <w:basedOn w:val="1"/>
    <w:qFormat/>
    <w:uiPriority w:val="0"/>
    <w:pPr>
      <w:spacing w:before="160" w:line="480" w:lineRule="exact"/>
      <w:outlineLvl w:val="1"/>
    </w:pPr>
    <w:rPr>
      <w:rFonts w:cs="Times New Roman"/>
      <w:b/>
      <w:bCs/>
      <w:szCs w:val="28"/>
    </w:rPr>
  </w:style>
  <w:style w:type="paragraph" w:customStyle="1" w:styleId="681">
    <w:name w:val="wangjunbo.bullet"/>
    <w:basedOn w:val="1"/>
    <w:autoRedefine/>
    <w:qFormat/>
    <w:uiPriority w:val="0"/>
    <w:pPr>
      <w:jc w:val="center"/>
    </w:pPr>
    <w:rPr>
      <w:rFonts w:ascii="宋体" w:hAnsi="宋体" w:cs="Times New Roman"/>
      <w:szCs w:val="20"/>
    </w:rPr>
  </w:style>
  <w:style w:type="paragraph" w:customStyle="1" w:styleId="682">
    <w:name w:val="样式 标题 2节第一章 标题 2Heading 2 HiddenHeading 2 CCBSheading 2H2...1"/>
    <w:basedOn w:val="3"/>
    <w:autoRedefine/>
    <w:qFormat/>
    <w:uiPriority w:val="0"/>
  </w:style>
  <w:style w:type="paragraph" w:customStyle="1" w:styleId="683">
    <w:name w:val="样式 标题 3条标题1.1.1条标题1.1.11条标题1.1.12条标题1.1.13条标题1.1.111条标题1.1..."/>
    <w:basedOn w:val="4"/>
    <w:autoRedefine/>
    <w:qFormat/>
    <w:uiPriority w:val="0"/>
    <w:pPr/>
  </w:style>
  <w:style w:type="paragraph" w:customStyle="1" w:styleId="684">
    <w:name w:val="样式 标题 3条标题1.1.1条标题1.1.11条标题1.1.12条标题1.1.13条标题1.1.111条标题1.1...1"/>
    <w:basedOn w:val="4"/>
    <w:autoRedefine/>
    <w:qFormat/>
    <w:uiPriority w:val="0"/>
    <w:pPr/>
  </w:style>
  <w:style w:type="paragraph" w:customStyle="1" w:styleId="685">
    <w:name w:val="标题004"/>
    <w:basedOn w:val="1"/>
    <w:qFormat/>
    <w:uiPriority w:val="0"/>
    <w:pPr>
      <w:spacing w:before="60" w:line="420" w:lineRule="exact"/>
      <w:outlineLvl w:val="3"/>
    </w:pPr>
    <w:rPr>
      <w:rFonts w:cs="Times New Roman"/>
      <w:b/>
      <w:szCs w:val="20"/>
    </w:rPr>
  </w:style>
  <w:style w:type="paragraph" w:customStyle="1" w:styleId="686">
    <w:name w:val="样式 标题 3 + 11 磅 蓝色"/>
    <w:basedOn w:val="4"/>
    <w:autoRedefine/>
    <w:qFormat/>
    <w:uiPriority w:val="0"/>
    <w:pPr/>
  </w:style>
  <w:style w:type="paragraph" w:customStyle="1" w:styleId="687">
    <w:name w:val="样式 正文缩进正文缩进 Char正文缩进1 Char正文缩进1正文（首行缩进两字） Char正文缩进 Char Cha..."/>
    <w:basedOn w:val="1"/>
    <w:qFormat/>
    <w:uiPriority w:val="0"/>
    <w:pPr>
      <w:spacing w:before="156"/>
      <w:ind w:firstLine="567"/>
      <w:jc w:val="left"/>
    </w:pPr>
    <w:rPr>
      <w:rFonts w:cs="宋体"/>
      <w:szCs w:val="20"/>
    </w:rPr>
  </w:style>
  <w:style w:type="paragraph" w:customStyle="1" w:styleId="688">
    <w:name w:val="样式 图表"/>
    <w:basedOn w:val="1"/>
    <w:qFormat/>
    <w:uiPriority w:val="0"/>
    <w:pPr>
      <w:jc w:val="center"/>
      <w:textAlignment w:val="baseline"/>
    </w:pPr>
    <w:rPr>
      <w:rFonts w:cs="Times New Roman"/>
      <w:b/>
      <w:bCs/>
      <w:kern w:val="0"/>
      <w:szCs w:val="24"/>
    </w:rPr>
  </w:style>
  <w:style w:type="paragraph" w:customStyle="1" w:styleId="689">
    <w:name w:val="普通表格1"/>
    <w:basedOn w:val="1"/>
    <w:qFormat/>
    <w:uiPriority w:val="0"/>
    <w:pPr>
      <w:spacing w:line="380" w:lineRule="exact"/>
    </w:pPr>
    <w:rPr>
      <w:rFonts w:cs="Times New Roman"/>
      <w:szCs w:val="24"/>
    </w:rPr>
  </w:style>
  <w:style w:type="paragraph" w:customStyle="1" w:styleId="690">
    <w:name w:val="样式 正文文本缩进 + 左侧:  0.95 厘米 首行缩进:  0.63 厘米"/>
    <w:basedOn w:val="1"/>
    <w:autoRedefine/>
    <w:qFormat/>
    <w:uiPriority w:val="0"/>
    <w:pPr>
      <w:spacing w:line="480" w:lineRule="exact"/>
      <w:ind w:firstLine="480"/>
    </w:pPr>
    <w:rPr>
      <w:rFonts w:ascii="宋体" w:cs="Times New Roman"/>
      <w:color w:val="000000"/>
      <w:szCs w:val="24"/>
    </w:rPr>
  </w:style>
  <w:style w:type="paragraph" w:customStyle="1" w:styleId="691">
    <w:name w:val="样式 表头样式1 + 首行缩进:  2 字符 段前: 0.5 行"/>
    <w:basedOn w:val="677"/>
    <w:autoRedefine/>
    <w:qFormat/>
    <w:uiPriority w:val="0"/>
  </w:style>
  <w:style w:type="paragraph" w:customStyle="1" w:styleId="692">
    <w:name w:val="样式 标题 4 + 段前: 7.8 磅"/>
    <w:basedOn w:val="5"/>
    <w:autoRedefine/>
    <w:qFormat/>
    <w:uiPriority w:val="0"/>
  </w:style>
  <w:style w:type="paragraph" w:customStyle="1" w:styleId="693">
    <w:name w:val="样式 正文文本 + 首行缩进:  2 字符4"/>
    <w:basedOn w:val="1"/>
    <w:autoRedefine/>
    <w:qFormat/>
    <w:uiPriority w:val="0"/>
    <w:pPr>
      <w:textAlignment w:val="baseline"/>
    </w:pPr>
    <w:rPr>
      <w:rFonts w:cs="宋体"/>
      <w:color w:val="000000"/>
      <w:szCs w:val="21"/>
    </w:rPr>
  </w:style>
  <w:style w:type="paragraph" w:customStyle="1" w:styleId="694">
    <w:name w:val="样式 标题 3 + (西文)粗体"/>
    <w:basedOn w:val="4"/>
    <w:qFormat/>
    <w:uiPriority w:val="0"/>
    <w:pPr/>
  </w:style>
  <w:style w:type="paragraph" w:customStyle="1" w:styleId="695">
    <w:name w:val="样式 报告正文 + 首行缩进:  2 字符"/>
    <w:basedOn w:val="1"/>
    <w:link w:val="697"/>
    <w:semiHidden/>
    <w:qFormat/>
    <w:uiPriority w:val="0"/>
    <w:pPr>
      <w:autoSpaceDE w:val="0"/>
      <w:autoSpaceDN w:val="0"/>
    </w:pPr>
    <w:rPr>
      <w:rFonts w:cs="宋体"/>
      <w:szCs w:val="20"/>
    </w:rPr>
  </w:style>
  <w:style w:type="paragraph" w:customStyle="1" w:styleId="696">
    <w:name w:val="标题  1"/>
    <w:basedOn w:val="1"/>
    <w:autoRedefine/>
    <w:semiHidden/>
    <w:qFormat/>
    <w:uiPriority w:val="0"/>
    <w:pPr>
      <w:tabs>
        <w:tab w:val="left" w:pos="425"/>
      </w:tabs>
      <w:ind w:left="425" w:hanging="425"/>
    </w:pPr>
    <w:rPr>
      <w:rFonts w:ascii="Tahoma" w:hAnsi="Tahoma" w:cs="Times New Roman"/>
      <w:szCs w:val="20"/>
    </w:rPr>
  </w:style>
  <w:style w:type="character" w:customStyle="1" w:styleId="697">
    <w:name w:val="样式 报告正文 + 首行缩进:  2 字符 Char"/>
    <w:link w:val="695"/>
    <w:semiHidden/>
    <w:qFormat/>
    <w:uiPriority w:val="0"/>
    <w:rPr>
      <w:rFonts w:ascii="Times New Roman" w:hAnsi="Times New Roman" w:eastAsia="宋体" w:cs="宋体"/>
      <w:sz w:val="24"/>
      <w:szCs w:val="20"/>
    </w:rPr>
  </w:style>
  <w:style w:type="paragraph" w:customStyle="1" w:styleId="698">
    <w:name w:val="环评标题2"/>
    <w:basedOn w:val="1"/>
    <w:next w:val="1"/>
    <w:link w:val="699"/>
    <w:autoRedefine/>
    <w:semiHidden/>
    <w:qFormat/>
    <w:uiPriority w:val="0"/>
    <w:pPr>
      <w:numPr>
        <w:ilvl w:val="1"/>
        <w:numId w:val="2"/>
      </w:numPr>
      <w:spacing w:before="120" w:after="240"/>
      <w:ind w:firstLine="0"/>
      <w:outlineLvl w:val="1"/>
    </w:pPr>
    <w:rPr>
      <w:rFonts w:cs="Times New Roman"/>
      <w:b/>
      <w:spacing w:val="12"/>
      <w:sz w:val="32"/>
      <w:szCs w:val="32"/>
    </w:rPr>
  </w:style>
  <w:style w:type="character" w:customStyle="1" w:styleId="699">
    <w:name w:val="环评标题2 Char"/>
    <w:link w:val="698"/>
    <w:semiHidden/>
    <w:qFormat/>
    <w:uiPriority w:val="0"/>
    <w:rPr>
      <w:rFonts w:ascii="Times New Roman" w:hAnsi="Times New Roman" w:eastAsia="宋体" w:cs="Times New Roman"/>
      <w:b/>
      <w:spacing w:val="12"/>
      <w:sz w:val="32"/>
      <w:szCs w:val="32"/>
    </w:rPr>
  </w:style>
  <w:style w:type="paragraph" w:customStyle="1" w:styleId="700">
    <w:name w:val="环评标题3"/>
    <w:basedOn w:val="1"/>
    <w:next w:val="1"/>
    <w:link w:val="701"/>
    <w:autoRedefine/>
    <w:semiHidden/>
    <w:qFormat/>
    <w:uiPriority w:val="0"/>
    <w:pPr>
      <w:numPr>
        <w:ilvl w:val="2"/>
        <w:numId w:val="2"/>
      </w:numPr>
      <w:spacing w:before="120" w:after="120"/>
      <w:ind w:firstLine="0"/>
      <w:outlineLvl w:val="2"/>
    </w:pPr>
    <w:rPr>
      <w:rFonts w:cs="Times New Roman"/>
      <w:b/>
      <w:snapToGrid w:val="0"/>
      <w:spacing w:val="12"/>
      <w:kern w:val="24"/>
      <w:szCs w:val="28"/>
    </w:rPr>
  </w:style>
  <w:style w:type="character" w:customStyle="1" w:styleId="701">
    <w:name w:val="环评标题3 Char"/>
    <w:link w:val="700"/>
    <w:semiHidden/>
    <w:qFormat/>
    <w:uiPriority w:val="0"/>
    <w:rPr>
      <w:rFonts w:ascii="Times New Roman" w:hAnsi="Times New Roman" w:eastAsia="宋体" w:cs="Times New Roman"/>
      <w:b/>
      <w:snapToGrid w:val="0"/>
      <w:spacing w:val="12"/>
      <w:kern w:val="24"/>
      <w:sz w:val="24"/>
      <w:szCs w:val="28"/>
    </w:rPr>
  </w:style>
  <w:style w:type="paragraph" w:customStyle="1" w:styleId="702">
    <w:name w:val="样式 (西文) 幼圆 (中文) 幼圆 (符号) 宋体 居中"/>
    <w:basedOn w:val="1"/>
    <w:autoRedefine/>
    <w:semiHidden/>
    <w:qFormat/>
    <w:uiPriority w:val="0"/>
    <w:pPr>
      <w:spacing w:line="120" w:lineRule="atLeast"/>
      <w:jc w:val="center"/>
    </w:pPr>
    <w:rPr>
      <w:rFonts w:ascii="幼圆" w:hAnsi="宋体" w:eastAsia="幼圆" w:cs="Times New Roman"/>
      <w:kern w:val="0"/>
      <w:szCs w:val="20"/>
    </w:rPr>
  </w:style>
  <w:style w:type="paragraph" w:customStyle="1" w:styleId="703">
    <w:name w:val="样式 环评正文 + 首行缩进:  2 字符"/>
    <w:basedOn w:val="1"/>
    <w:semiHidden/>
    <w:qFormat/>
    <w:uiPriority w:val="0"/>
    <w:rPr>
      <w:rFonts w:cs="宋体"/>
      <w:spacing w:val="8"/>
      <w:kern w:val="0"/>
      <w:szCs w:val="24"/>
    </w:rPr>
  </w:style>
  <w:style w:type="paragraph" w:customStyle="1" w:styleId="704">
    <w:name w:val="样式 题注 + 五号"/>
    <w:basedOn w:val="1"/>
    <w:link w:val="705"/>
    <w:semiHidden/>
    <w:uiPriority w:val="0"/>
    <w:pPr>
      <w:spacing w:before="60"/>
      <w:jc w:val="left"/>
    </w:pPr>
    <w:rPr>
      <w:rFonts w:cs="Arial"/>
      <w:szCs w:val="21"/>
    </w:rPr>
  </w:style>
  <w:style w:type="character" w:customStyle="1" w:styleId="705">
    <w:name w:val="样式 题注 + 五号 Char"/>
    <w:link w:val="704"/>
    <w:semiHidden/>
    <w:qFormat/>
    <w:uiPriority w:val="0"/>
    <w:rPr>
      <w:rFonts w:ascii="Times New Roman" w:hAnsi="Times New Roman" w:eastAsia="宋体" w:cs="Arial"/>
      <w:szCs w:val="21"/>
    </w:rPr>
  </w:style>
  <w:style w:type="paragraph" w:customStyle="1" w:styleId="706">
    <w:name w:val="南通表格"/>
    <w:basedOn w:val="1"/>
    <w:next w:val="1"/>
    <w:semiHidden/>
    <w:qFormat/>
    <w:uiPriority w:val="0"/>
    <w:pPr>
      <w:framePr w:wrap="around" w:vAnchor="text" w:hAnchor="text" w:y="1"/>
      <w:jc w:val="center"/>
    </w:pPr>
    <w:rPr>
      <w:rFonts w:cs="Times New Roman"/>
      <w:kern w:val="0"/>
      <w:szCs w:val="24"/>
    </w:rPr>
  </w:style>
  <w:style w:type="paragraph" w:customStyle="1" w:styleId="707">
    <w:name w:val="南通－－正文"/>
    <w:basedOn w:val="1"/>
    <w:semiHidden/>
    <w:uiPriority w:val="0"/>
    <w:rPr>
      <w:rFonts w:cs="Times New Roman"/>
      <w:kern w:val="0"/>
      <w:szCs w:val="24"/>
    </w:rPr>
  </w:style>
  <w:style w:type="paragraph" w:customStyle="1" w:styleId="708">
    <w:name w:val="样式 环评标题2 + 黑色"/>
    <w:basedOn w:val="698"/>
    <w:autoRedefine/>
    <w:semiHidden/>
    <w:qFormat/>
    <w:uiPriority w:val="0"/>
    <w:pPr>
      <w:numPr>
        <w:numId w:val="3"/>
      </w:numPr>
      <w:tabs>
        <w:tab w:val="left" w:pos="360"/>
        <w:tab w:val="left" w:pos="567"/>
        <w:tab w:val="left" w:pos="840"/>
        <w:tab w:val="clear" w:pos="576"/>
      </w:tabs>
      <w:spacing w:after="120"/>
      <w:ind w:left="578" w:hanging="578"/>
    </w:pPr>
    <w:rPr>
      <w:bCs/>
      <w:color w:val="000000"/>
      <w:sz w:val="24"/>
      <w:szCs w:val="24"/>
    </w:rPr>
  </w:style>
  <w:style w:type="paragraph" w:customStyle="1" w:styleId="709">
    <w:name w:val="样式 环评标题3 + 黑色 段前: 0.5 行 段后: 0.5 行"/>
    <w:basedOn w:val="700"/>
    <w:autoRedefine/>
    <w:semiHidden/>
    <w:uiPriority w:val="0"/>
    <w:pPr>
      <w:numPr>
        <w:numId w:val="3"/>
      </w:numPr>
      <w:tabs>
        <w:tab w:val="left" w:pos="360"/>
        <w:tab w:val="left" w:pos="709"/>
        <w:tab w:val="left" w:pos="1260"/>
        <w:tab w:val="clear" w:pos="720"/>
      </w:tabs>
      <w:spacing w:before="156" w:after="0"/>
      <w:ind w:left="709" w:hanging="709"/>
    </w:pPr>
    <w:rPr>
      <w:rFonts w:cs="宋体"/>
      <w:bCs/>
      <w:color w:val="000000"/>
      <w:szCs w:val="24"/>
    </w:rPr>
  </w:style>
  <w:style w:type="paragraph" w:customStyle="1" w:styleId="710">
    <w:name w:val="样式 环评标题4 + 黑色"/>
    <w:basedOn w:val="1"/>
    <w:autoRedefine/>
    <w:semiHidden/>
    <w:qFormat/>
    <w:uiPriority w:val="0"/>
    <w:pPr>
      <w:numPr>
        <w:ilvl w:val="3"/>
        <w:numId w:val="3"/>
      </w:numPr>
      <w:tabs>
        <w:tab w:val="left" w:pos="360"/>
        <w:tab w:val="clear" w:pos="864"/>
      </w:tabs>
      <w:ind w:left="851" w:hanging="851"/>
      <w:outlineLvl w:val="3"/>
    </w:pPr>
    <w:rPr>
      <w:rFonts w:cs="Times New Roman"/>
      <w:bCs/>
      <w:snapToGrid w:val="0"/>
      <w:color w:val="000000"/>
      <w:spacing w:val="12"/>
      <w:kern w:val="0"/>
      <w:szCs w:val="24"/>
    </w:rPr>
  </w:style>
  <w:style w:type="paragraph" w:customStyle="1" w:styleId="711">
    <w:name w:val="样式 环评标题1 + 三号 黑色"/>
    <w:basedOn w:val="1"/>
    <w:autoRedefine/>
    <w:semiHidden/>
    <w:uiPriority w:val="0"/>
    <w:pPr>
      <w:numPr>
        <w:ilvl w:val="0"/>
        <w:numId w:val="3"/>
      </w:numPr>
      <w:spacing w:before="156" w:after="156"/>
      <w:ind w:left="431" w:hanging="431"/>
      <w:outlineLvl w:val="0"/>
    </w:pPr>
    <w:rPr>
      <w:rFonts w:cs="Times New Roman"/>
      <w:b/>
      <w:bCs/>
      <w:color w:val="000000"/>
      <w:spacing w:val="20"/>
      <w:kern w:val="0"/>
      <w:sz w:val="44"/>
      <w:szCs w:val="44"/>
    </w:rPr>
  </w:style>
  <w:style w:type="paragraph" w:customStyle="1" w:styleId="712">
    <w:name w:val="式样"/>
    <w:basedOn w:val="1"/>
    <w:next w:val="43"/>
    <w:semiHidden/>
    <w:qFormat/>
    <w:uiPriority w:val="0"/>
    <w:rPr>
      <w:rFonts w:cs="Times New Roman"/>
      <w:szCs w:val="20"/>
    </w:rPr>
  </w:style>
  <w:style w:type="paragraph" w:customStyle="1" w:styleId="713">
    <w:name w:val="样式 标题 1 + 字距调整四号"/>
    <w:basedOn w:val="2"/>
    <w:autoRedefine/>
    <w:uiPriority w:val="0"/>
  </w:style>
  <w:style w:type="paragraph" w:customStyle="1" w:styleId="714">
    <w:name w:val="样式 标题 3 + 字距调整四号"/>
    <w:basedOn w:val="4"/>
    <w:autoRedefine/>
    <w:semiHidden/>
    <w:qFormat/>
    <w:uiPriority w:val="0"/>
    <w:pPr/>
  </w:style>
  <w:style w:type="paragraph" w:customStyle="1" w:styleId="715">
    <w:name w:val="样式2－表格"/>
    <w:basedOn w:val="1"/>
    <w:next w:val="1"/>
    <w:semiHidden/>
    <w:uiPriority w:val="0"/>
    <w:pPr>
      <w:tabs>
        <w:tab w:val="left" w:pos="427"/>
      </w:tabs>
      <w:spacing w:line="360" w:lineRule="exact"/>
      <w:jc w:val="center"/>
      <w:textAlignment w:val="center"/>
    </w:pPr>
    <w:rPr>
      <w:rFonts w:cs="Times New Roman"/>
      <w:kern w:val="28"/>
      <w:szCs w:val="24"/>
    </w:rPr>
  </w:style>
  <w:style w:type="paragraph" w:customStyle="1" w:styleId="716">
    <w:name w:val="样式 表格标题新 + (西文) Times New Roman"/>
    <w:basedOn w:val="1"/>
    <w:link w:val="717"/>
    <w:uiPriority w:val="0"/>
    <w:pPr>
      <w:tabs>
        <w:tab w:val="left" w:pos="0"/>
      </w:tabs>
      <w:ind w:firstLine="561"/>
      <w:jc w:val="center"/>
    </w:pPr>
    <w:rPr>
      <w:rFonts w:eastAsia="黑体" w:cs="Times New Roman"/>
      <w:b/>
      <w:bCs/>
      <w:snapToGrid w:val="0"/>
      <w:spacing w:val="4"/>
      <w:w w:val="90"/>
      <w:kern w:val="0"/>
      <w:szCs w:val="24"/>
    </w:rPr>
  </w:style>
  <w:style w:type="character" w:customStyle="1" w:styleId="717">
    <w:name w:val="样式 表格标题新 + (西文) Times New Roman Char"/>
    <w:link w:val="716"/>
    <w:qFormat/>
    <w:uiPriority w:val="0"/>
    <w:rPr>
      <w:rFonts w:ascii="Times New Roman" w:hAnsi="Times New Roman" w:eastAsia="黑体" w:cs="Times New Roman"/>
      <w:b/>
      <w:bCs/>
      <w:snapToGrid w:val="0"/>
      <w:spacing w:val="4"/>
      <w:w w:val="90"/>
      <w:kern w:val="0"/>
      <w:sz w:val="24"/>
      <w:szCs w:val="24"/>
    </w:rPr>
  </w:style>
  <w:style w:type="table" w:customStyle="1" w:styleId="718">
    <w:name w:val="表格主题1"/>
    <w:basedOn w:val="64"/>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9">
    <w:name w:val="古典型 11"/>
    <w:basedOn w:val="64"/>
    <w:uiPriority w:val="0"/>
    <w:pPr>
      <w:widowControl w:val="0"/>
      <w:jc w:val="both"/>
    </w:pPr>
    <w:rPr>
      <w:rFonts w:ascii="Times New Roman" w:hAnsi="Times New Roman" w:eastAsia="宋体" w:cs="Times New Roman"/>
      <w:kern w:val="0"/>
      <w:sz w:val="20"/>
      <w:szCs w:val="20"/>
    </w:rPr>
    <w:tblPr>
      <w:tblBorders>
        <w:top w:val="single" w:color="000000" w:sz="12" w:space="0"/>
        <w:bottom w:val="single" w:color="000000" w:sz="12" w:space="0"/>
      </w:tblBorders>
    </w:tblPr>
    <w:tcPr>
      <w:shd w:val="clear" w:color="auto" w:fill="auto"/>
    </w:tcPr>
    <w:tblStylePr w:type="firstRow">
      <w:rPr>
        <w:i/>
        <w:iCs/>
      </w:rPr>
      <w:tcPr>
        <w:tcBorders>
          <w:bottom w:val="single" w:color="000000" w:sz="6" w:space="0"/>
          <w:tl2br w:val="nil"/>
          <w:tr2bl w:val="nil"/>
        </w:tcBorders>
      </w:tcPr>
    </w:tblStylePr>
    <w:tblStylePr w:type="lastRow">
      <w:rPr>
        <w:color w:val="auto"/>
      </w:rPr>
      <w:tcPr>
        <w:tcBorders>
          <w:top w:val="single" w:color="000000" w:sz="6" w:space="0"/>
          <w:tl2br w:val="nil"/>
          <w:tr2bl w:val="nil"/>
        </w:tcBorders>
      </w:tcPr>
    </w:tblStylePr>
    <w:tblStylePr w:type="firstCol">
      <w:tcPr>
        <w:tcBorders>
          <w:right w:val="single" w:color="000000" w:sz="6" w:space="0"/>
          <w:tl2br w:val="nil"/>
          <w:tr2bl w:val="nil"/>
        </w:tcBorders>
      </w:tcPr>
    </w:tblStylePr>
    <w:tblStylePr w:type="neCell">
      <w:rPr>
        <w:b/>
        <w:bCs/>
        <w:i w:val="0"/>
        <w:iCs w:val="0"/>
      </w:rPr>
      <w:tcPr>
        <w:tcBorders>
          <w:tl2br w:val="nil"/>
          <w:tr2bl w:val="nil"/>
        </w:tcBorders>
      </w:tcPr>
    </w:tblStylePr>
    <w:tblStylePr w:type="swCell">
      <w:rPr>
        <w:b/>
        <w:bCs/>
      </w:rPr>
      <w:tcPr>
        <w:tcBorders>
          <w:tl2br w:val="nil"/>
          <w:tr2bl w:val="nil"/>
        </w:tcBorders>
      </w:tcPr>
    </w:tblStylePr>
  </w:style>
  <w:style w:type="character" w:customStyle="1" w:styleId="720">
    <w:name w:val="正文 文字 Char"/>
    <w:uiPriority w:val="0"/>
    <w:rPr>
      <w:rFonts w:ascii="Times New Roman" w:hAnsi="Times New Roman" w:eastAsia="仿宋_GB2312" w:cs="Times New Roman"/>
      <w:sz w:val="28"/>
      <w:szCs w:val="24"/>
    </w:rPr>
  </w:style>
  <w:style w:type="paragraph" w:customStyle="1" w:styleId="721">
    <w:name w:val="标题 2+ 行距: 固定值 24 磅 Char"/>
    <w:basedOn w:val="3"/>
    <w:link w:val="722"/>
    <w:uiPriority w:val="0"/>
    <w:pPr>
      <w:widowControl w:val="0"/>
      <w:numPr>
        <w:ilvl w:val="0"/>
        <w:numId w:val="0"/>
      </w:numPr>
      <w:spacing w:before="260" w:after="260" w:line="480" w:lineRule="exact"/>
      <w:jc w:val="both"/>
    </w:pPr>
    <w:rPr>
      <w:rFonts w:ascii="Arial" w:hAnsi="Arial" w:eastAsia="黑体" w:cs="Times New Roman"/>
      <w:kern w:val="2"/>
      <w:sz w:val="32"/>
    </w:rPr>
  </w:style>
  <w:style w:type="character" w:customStyle="1" w:styleId="722">
    <w:name w:val="标题 2+ 行距: 固定值 24 磅 Char Char"/>
    <w:link w:val="721"/>
    <w:uiPriority w:val="0"/>
    <w:rPr>
      <w:rFonts w:ascii="Arial" w:hAnsi="Arial" w:eastAsia="黑体" w:cs="Times New Roman"/>
      <w:b/>
      <w:bCs/>
      <w:sz w:val="32"/>
      <w:szCs w:val="32"/>
    </w:rPr>
  </w:style>
  <w:style w:type="character" w:customStyle="1" w:styleId="723">
    <w:name w:val="环表头 Char1"/>
    <w:uiPriority w:val="0"/>
    <w:rPr>
      <w:rFonts w:ascii="黑体" w:hAnsi="宋体" w:eastAsia="黑体" w:cs="Times New Roman"/>
      <w:kern w:val="0"/>
      <w:sz w:val="24"/>
      <w:szCs w:val="20"/>
    </w:rPr>
  </w:style>
  <w:style w:type="paragraph" w:customStyle="1" w:styleId="724">
    <w:name w:val="样式 标题 3标题 3 Char标题 3 Char Char Char Char Char Char Char Char C...5 Char"/>
    <w:basedOn w:val="4"/>
    <w:link w:val="725"/>
    <w:uiPriority w:val="0"/>
    <w:pPr>
      <w:numPr>
        <w:numId w:val="0"/>
      </w:numPr>
      <w:tabs>
        <w:tab w:val="left" w:pos="720"/>
        <w:tab w:val="left" w:pos="1080"/>
      </w:tabs>
      <w:ind w:left="720" w:hanging="720"/>
      <w:jc w:val="both"/>
    </w:pPr>
    <w:rPr>
      <w:b w:val="0"/>
      <w:bCs w:val="0"/>
    </w:rPr>
  </w:style>
  <w:style w:type="character" w:customStyle="1" w:styleId="725">
    <w:name w:val="样式 标题 3标题 3 Char标题 3 Char Char Char Char Char Char Char Char C...5 Char Char"/>
    <w:link w:val="724"/>
    <w:qFormat/>
    <w:uiPriority w:val="0"/>
    <w:rPr>
      <w:rFonts w:ascii="Calibri" w:hAnsi="Calibri" w:eastAsia="宋体" w:cs="Times New Roman"/>
      <w:sz w:val="24"/>
      <w:szCs w:val="32"/>
    </w:rPr>
  </w:style>
  <w:style w:type="paragraph" w:customStyle="1" w:styleId="726">
    <w:name w:val="TOC Heading"/>
    <w:next w:val="1"/>
    <w:unhideWhenUsed/>
    <w:uiPriority w:val="39"/>
    <w:pPr>
      <w:adjustRightInd w:val="0"/>
      <w:snapToGrid w:val="0"/>
      <w:spacing w:line="500" w:lineRule="exact"/>
      <w:jc w:val="center"/>
    </w:pPr>
    <w:rPr>
      <w:rFonts w:ascii="Times New Roman" w:hAnsi="Times New Roman" w:eastAsia="仿宋_GB2312" w:cs="Times New Roman"/>
      <w:b/>
      <w:bCs/>
      <w:kern w:val="44"/>
      <w:sz w:val="24"/>
      <w:szCs w:val="44"/>
      <w:lang w:val="en-US" w:eastAsia="zh-CN" w:bidi="ar-SA"/>
    </w:rPr>
  </w:style>
  <w:style w:type="paragraph" w:customStyle="1" w:styleId="727">
    <w:name w:val="Bibliography"/>
    <w:basedOn w:val="1"/>
    <w:next w:val="1"/>
    <w:semiHidden/>
    <w:unhideWhenUsed/>
    <w:uiPriority w:val="37"/>
    <w:rPr>
      <w:rFonts w:cs="Times New Roman"/>
      <w:szCs w:val="24"/>
    </w:rPr>
  </w:style>
  <w:style w:type="character" w:styleId="728">
    <w:name w:val="Placeholder Text"/>
    <w:qFormat/>
    <w:uiPriority w:val="0"/>
    <w:rPr>
      <w:color w:val="808080"/>
    </w:rPr>
  </w:style>
  <w:style w:type="paragraph" w:customStyle="1" w:styleId="729">
    <w:name w:val="Char Char5 Char Char"/>
    <w:basedOn w:val="1"/>
    <w:uiPriority w:val="0"/>
    <w:rPr>
      <w:rFonts w:ascii="宋体" w:hAnsi="宋体" w:cs="宋体"/>
      <w:szCs w:val="24"/>
    </w:rPr>
  </w:style>
  <w:style w:type="paragraph" w:customStyle="1" w:styleId="730">
    <w:name w:val="标题1"/>
    <w:basedOn w:val="1"/>
    <w:next w:val="1"/>
    <w:uiPriority w:val="0"/>
    <w:pPr>
      <w:tabs>
        <w:tab w:val="left" w:pos="9193"/>
        <w:tab w:val="left" w:pos="9827"/>
      </w:tabs>
      <w:autoSpaceDE w:val="0"/>
      <w:autoSpaceDN w:val="0"/>
      <w:spacing w:line="640" w:lineRule="atLeast"/>
      <w:jc w:val="center"/>
    </w:pPr>
    <w:rPr>
      <w:rFonts w:eastAsia="方正小标宋_GBK" w:cs="Times New Roman"/>
      <w:snapToGrid w:val="0"/>
      <w:kern w:val="0"/>
      <w:sz w:val="44"/>
      <w:szCs w:val="20"/>
    </w:rPr>
  </w:style>
  <w:style w:type="paragraph" w:customStyle="1" w:styleId="731">
    <w:name w:val="表格内容居中"/>
    <w:uiPriority w:val="0"/>
    <w:pPr>
      <w:adjustRightInd w:val="0"/>
      <w:snapToGrid w:val="0"/>
      <w:jc w:val="center"/>
    </w:pPr>
    <w:rPr>
      <w:rFonts w:ascii="Times New Roman" w:hAnsi="Times New Roman" w:eastAsia="宋体" w:cs="Times New Roman"/>
      <w:kern w:val="0"/>
      <w:sz w:val="21"/>
      <w:szCs w:val="21"/>
      <w:lang w:val="en-US" w:eastAsia="zh-CN" w:bidi="ar-SA"/>
    </w:rPr>
  </w:style>
  <w:style w:type="character" w:customStyle="1" w:styleId="732">
    <w:name w:val="章标题 1 Char Char"/>
    <w:uiPriority w:val="0"/>
    <w:rPr>
      <w:rFonts w:ascii="Times New Roman" w:hAnsi="Times New Roman"/>
      <w:b/>
      <w:bCs/>
      <w:kern w:val="44"/>
      <w:sz w:val="32"/>
      <w:szCs w:val="32"/>
    </w:rPr>
  </w:style>
  <w:style w:type="character" w:customStyle="1" w:styleId="733">
    <w:name w:val="正文样式 Char"/>
    <w:uiPriority w:val="0"/>
    <w:rPr>
      <w:rFonts w:ascii="Times New Roman" w:hAnsi="Times New Roman"/>
      <w:snapToGrid w:val="0"/>
      <w:sz w:val="24"/>
      <w:szCs w:val="24"/>
      <w:lang w:val="en-US" w:eastAsia="zh-CN" w:bidi="ar-SA"/>
    </w:rPr>
  </w:style>
  <w:style w:type="character" w:customStyle="1" w:styleId="734">
    <w:name w:val="标题 2 Char Char Char Char Char Char"/>
    <w:uiPriority w:val="0"/>
    <w:rPr>
      <w:rFonts w:ascii="Times New Roman" w:hAnsi="Times New Roman"/>
      <w:b/>
      <w:kern w:val="2"/>
      <w:sz w:val="30"/>
      <w:szCs w:val="32"/>
    </w:rPr>
  </w:style>
  <w:style w:type="character" w:customStyle="1" w:styleId="735">
    <w:name w:val="标题 3 Char Char Char1"/>
    <w:uiPriority w:val="0"/>
    <w:rPr>
      <w:rFonts w:ascii="Times New Roman" w:hAnsi="Times New Roman"/>
      <w:b/>
      <w:bCs/>
      <w:kern w:val="2"/>
      <w:sz w:val="28"/>
      <w:szCs w:val="32"/>
    </w:rPr>
  </w:style>
  <w:style w:type="character" w:customStyle="1" w:styleId="736">
    <w:name w:val="标题 4 Char Char Char"/>
    <w:uiPriority w:val="0"/>
    <w:rPr>
      <w:rFonts w:ascii="Times New Roman" w:hAnsi="Times New Roman"/>
      <w:b/>
      <w:kern w:val="44"/>
      <w:sz w:val="24"/>
      <w:szCs w:val="28"/>
    </w:rPr>
  </w:style>
  <w:style w:type="character" w:customStyle="1" w:styleId="737">
    <w:name w:val="Char Char17"/>
    <w:uiPriority w:val="0"/>
    <w:rPr>
      <w:rFonts w:ascii="宋体" w:hAnsi="宋体" w:eastAsia="仿宋_GB2312" w:cs="宋体"/>
      <w:b/>
      <w:bCs/>
      <w:kern w:val="2"/>
      <w:sz w:val="24"/>
      <w:szCs w:val="24"/>
    </w:rPr>
  </w:style>
  <w:style w:type="character" w:customStyle="1" w:styleId="738">
    <w:name w:val="Char Char16"/>
    <w:uiPriority w:val="0"/>
    <w:rPr>
      <w:rFonts w:ascii="宋体" w:hAnsi="宋体" w:cs="宋体"/>
      <w:b/>
      <w:bCs/>
      <w:kern w:val="2"/>
      <w:sz w:val="24"/>
      <w:szCs w:val="24"/>
    </w:rPr>
  </w:style>
  <w:style w:type="character" w:customStyle="1" w:styleId="739">
    <w:name w:val="Char Char15"/>
    <w:uiPriority w:val="0"/>
    <w:rPr>
      <w:rFonts w:ascii="Arial" w:hAnsi="Arial" w:eastAsia="黑体" w:cs="宋体"/>
      <w:kern w:val="2"/>
      <w:sz w:val="24"/>
      <w:szCs w:val="24"/>
    </w:rPr>
  </w:style>
  <w:style w:type="character" w:customStyle="1" w:styleId="740">
    <w:name w:val="Char Char14"/>
    <w:uiPriority w:val="0"/>
    <w:rPr>
      <w:rFonts w:ascii="Arial" w:hAnsi="Arial" w:eastAsia="黑体" w:cs="宋体"/>
      <w:kern w:val="2"/>
      <w:sz w:val="24"/>
      <w:szCs w:val="21"/>
    </w:rPr>
  </w:style>
  <w:style w:type="character" w:customStyle="1" w:styleId="741">
    <w:name w:val="表标题 Char"/>
    <w:uiPriority w:val="0"/>
    <w:rPr>
      <w:rFonts w:eastAsia="宋体" w:cs="黑体"/>
      <w:b/>
      <w:bCs/>
      <w:sz w:val="24"/>
      <w:szCs w:val="24"/>
      <w:lang w:val="en-GB"/>
    </w:rPr>
  </w:style>
  <w:style w:type="paragraph" w:customStyle="1" w:styleId="742">
    <w:name w:val="正文1-1"/>
    <w:basedOn w:val="1"/>
    <w:next w:val="1"/>
    <w:uiPriority w:val="0"/>
    <w:pPr>
      <w:widowControl/>
      <w:jc w:val="left"/>
    </w:pPr>
    <w:rPr>
      <w:rFonts w:cs="宋体"/>
      <w:kern w:val="0"/>
      <w:szCs w:val="24"/>
    </w:rPr>
  </w:style>
  <w:style w:type="character" w:customStyle="1" w:styleId="743">
    <w:name w:val="正文1-1 Char"/>
    <w:uiPriority w:val="0"/>
    <w:rPr>
      <w:rFonts w:ascii="Times New Roman" w:hAnsi="Times New Roman" w:eastAsia="宋体" w:cs="宋体"/>
      <w:kern w:val="0"/>
      <w:sz w:val="24"/>
      <w:szCs w:val="24"/>
    </w:rPr>
  </w:style>
  <w:style w:type="paragraph" w:customStyle="1" w:styleId="744">
    <w:name w:val="表格标题新"/>
    <w:basedOn w:val="1"/>
    <w:uiPriority w:val="0"/>
    <w:pPr>
      <w:widowControl/>
      <w:tabs>
        <w:tab w:val="left" w:pos="0"/>
      </w:tabs>
      <w:ind w:firstLine="562"/>
      <w:jc w:val="center"/>
    </w:pPr>
    <w:rPr>
      <w:rFonts w:ascii="仿宋_GB2312" w:hAnsi="宋体" w:eastAsia="黑体" w:cs="宋体"/>
      <w:b/>
      <w:snapToGrid w:val="0"/>
      <w:kern w:val="0"/>
      <w:szCs w:val="24"/>
    </w:rPr>
  </w:style>
  <w:style w:type="character" w:customStyle="1" w:styleId="745">
    <w:name w:val="Char Char13"/>
    <w:uiPriority w:val="0"/>
    <w:rPr>
      <w:rFonts w:eastAsia="宋体"/>
      <w:kern w:val="2"/>
      <w:sz w:val="18"/>
      <w:szCs w:val="18"/>
      <w:lang w:val="en-US" w:eastAsia="zh-CN" w:bidi="ar-SA"/>
    </w:rPr>
  </w:style>
  <w:style w:type="paragraph" w:customStyle="1" w:styleId="746">
    <w:name w:val="标题 1-1"/>
    <w:basedOn w:val="2"/>
    <w:uiPriority w:val="0"/>
    <w:pPr>
      <w:keepNext w:val="0"/>
      <w:keepLines w:val="0"/>
      <w:numPr>
        <w:ilvl w:val="0"/>
        <w:numId w:val="0"/>
      </w:numPr>
      <w:spacing w:before="249" w:line="300" w:lineRule="auto"/>
      <w:ind w:firstLine="601" w:firstLineChars="200"/>
      <w:jc w:val="left"/>
    </w:pPr>
    <w:rPr>
      <w:rFonts w:ascii="宋体" w:hAnsi="宋体" w:eastAsia="华文细黑" w:cs="宋体"/>
      <w:kern w:val="0"/>
      <w:sz w:val="30"/>
      <w:szCs w:val="24"/>
    </w:rPr>
  </w:style>
  <w:style w:type="paragraph" w:customStyle="1" w:styleId="747">
    <w:name w:val="样式5"/>
    <w:basedOn w:val="1"/>
    <w:uiPriority w:val="0"/>
    <w:pPr>
      <w:jc w:val="center"/>
    </w:pPr>
    <w:rPr>
      <w:rFonts w:cs="宋体"/>
      <w:snapToGrid w:val="0"/>
      <w:kern w:val="0"/>
      <w:szCs w:val="24"/>
    </w:rPr>
  </w:style>
  <w:style w:type="character" w:customStyle="1" w:styleId="748">
    <w:name w:val="样式5 Char"/>
    <w:uiPriority w:val="0"/>
    <w:rPr>
      <w:rFonts w:ascii="Times New Roman" w:hAnsi="Times New Roman" w:eastAsia="宋体" w:cs="宋体"/>
      <w:snapToGrid w:val="0"/>
      <w:kern w:val="0"/>
      <w:szCs w:val="24"/>
    </w:rPr>
  </w:style>
  <w:style w:type="paragraph" w:customStyle="1" w:styleId="749">
    <w:name w:val="表题"/>
    <w:next w:val="223"/>
    <w:uiPriority w:val="0"/>
    <w:pPr>
      <w:adjustRightInd w:val="0"/>
      <w:snapToGrid w:val="0"/>
      <w:jc w:val="center"/>
    </w:pPr>
    <w:rPr>
      <w:rFonts w:ascii="Times New Roman" w:hAnsi="Times New Roman" w:eastAsia="Times New Roman" w:cs="黑体"/>
      <w:b/>
      <w:bCs/>
      <w:kern w:val="2"/>
      <w:sz w:val="24"/>
      <w:szCs w:val="24"/>
      <w:lang w:val="en-GB" w:eastAsia="zh-CN" w:bidi="ar-SA"/>
    </w:rPr>
  </w:style>
  <w:style w:type="paragraph" w:customStyle="1" w:styleId="750">
    <w:name w:val="表内容"/>
    <w:basedOn w:val="223"/>
    <w:uiPriority w:val="0"/>
    <w:pPr>
      <w:widowControl/>
      <w:tabs>
        <w:tab w:val="left" w:pos="630"/>
        <w:tab w:val="left" w:pos="1260"/>
      </w:tabs>
      <w:spacing w:before="0" w:after="0" w:line="240" w:lineRule="auto"/>
      <w:ind w:firstLine="0" w:firstLineChars="0"/>
      <w:jc w:val="center"/>
    </w:pPr>
    <w:rPr>
      <w:snapToGrid w:val="0"/>
      <w:spacing w:val="0"/>
      <w:sz w:val="21"/>
      <w:szCs w:val="24"/>
    </w:rPr>
  </w:style>
  <w:style w:type="character" w:customStyle="1" w:styleId="751">
    <w:name w:val="Char Char12"/>
    <w:uiPriority w:val="0"/>
    <w:rPr>
      <w:rFonts w:ascii="宋体" w:hAnsi="Times New Roman" w:eastAsia="宋体" w:cs="Times New Roman"/>
      <w:sz w:val="18"/>
      <w:szCs w:val="18"/>
    </w:rPr>
  </w:style>
  <w:style w:type="paragraph" w:customStyle="1" w:styleId="752">
    <w:name w:val="表注解"/>
    <w:basedOn w:val="223"/>
    <w:next w:val="223"/>
    <w:uiPriority w:val="0"/>
    <w:pPr>
      <w:widowControl/>
      <w:tabs>
        <w:tab w:val="left" w:pos="630"/>
        <w:tab w:val="left" w:pos="1260"/>
      </w:tabs>
      <w:spacing w:before="0" w:after="0" w:line="240" w:lineRule="auto"/>
      <w:ind w:firstLine="0" w:firstLineChars="0"/>
    </w:pPr>
    <w:rPr>
      <w:b/>
      <w:snapToGrid w:val="0"/>
      <w:spacing w:val="0"/>
      <w:sz w:val="18"/>
      <w:szCs w:val="24"/>
    </w:rPr>
  </w:style>
  <w:style w:type="character" w:customStyle="1" w:styleId="753">
    <w:name w:val="Char Char11"/>
    <w:uiPriority w:val="0"/>
    <w:rPr>
      <w:rFonts w:ascii="Times New Roman" w:hAnsi="Times New Roman"/>
      <w:kern w:val="2"/>
      <w:sz w:val="18"/>
      <w:szCs w:val="18"/>
    </w:rPr>
  </w:style>
  <w:style w:type="paragraph" w:customStyle="1" w:styleId="754">
    <w:name w:val="字元 字元"/>
    <w:basedOn w:val="1"/>
    <w:uiPriority w:val="0"/>
    <w:rPr>
      <w:rFonts w:cs="Times New Roman"/>
      <w:szCs w:val="24"/>
    </w:rPr>
  </w:style>
  <w:style w:type="paragraph" w:customStyle="1" w:styleId="755">
    <w:name w:val="中文报告书样式"/>
    <w:basedOn w:val="1"/>
    <w:uiPriority w:val="0"/>
    <w:pPr>
      <w:spacing w:line="480" w:lineRule="atLeast"/>
      <w:ind w:firstLine="482"/>
      <w:textAlignment w:val="baseline"/>
    </w:pPr>
    <w:rPr>
      <w:rFonts w:cs="Times New Roman"/>
      <w:kern w:val="24"/>
      <w:szCs w:val="20"/>
    </w:rPr>
  </w:style>
  <w:style w:type="paragraph" w:customStyle="1" w:styleId="756">
    <w:name w:val="正文2"/>
    <w:uiPriority w:val="0"/>
    <w:pPr>
      <w:widowControl w:val="0"/>
      <w:suppressAutoHyphens/>
      <w:spacing w:line="520" w:lineRule="atLeast"/>
      <w:ind w:firstLine="200"/>
      <w:jc w:val="both"/>
    </w:pPr>
    <w:rPr>
      <w:rFonts w:ascii="Times New Roman" w:hAnsi="Times New Roman" w:eastAsia="宋体" w:cs="Times New Roman"/>
      <w:spacing w:val="18"/>
      <w:kern w:val="0"/>
      <w:sz w:val="32"/>
      <w:szCs w:val="20"/>
      <w:lang w:val="en-US" w:eastAsia="zh-CN" w:bidi="ar-SA"/>
    </w:rPr>
  </w:style>
  <w:style w:type="character" w:customStyle="1" w:styleId="757">
    <w:name w:val="正文2 Char"/>
    <w:uiPriority w:val="0"/>
    <w:rPr>
      <w:rFonts w:ascii="Times New Roman" w:hAnsi="Times New Roman"/>
      <w:spacing w:val="18"/>
      <w:sz w:val="32"/>
      <w:lang w:val="en-US" w:eastAsia="zh-CN" w:bidi="ar-SA"/>
    </w:rPr>
  </w:style>
  <w:style w:type="paragraph" w:customStyle="1" w:styleId="758">
    <w:name w:val="标题2-1"/>
    <w:basedOn w:val="3"/>
    <w:uiPriority w:val="0"/>
    <w:pPr>
      <w:widowControl w:val="0"/>
      <w:numPr>
        <w:ilvl w:val="0"/>
        <w:numId w:val="0"/>
      </w:numPr>
      <w:spacing w:before="0" w:after="0" w:line="300" w:lineRule="auto"/>
    </w:pPr>
    <w:rPr>
      <w:rFonts w:cs="宋体"/>
      <w:bCs w:val="0"/>
      <w:snapToGrid w:val="0"/>
      <w:sz w:val="30"/>
      <w:szCs w:val="30"/>
    </w:rPr>
  </w:style>
  <w:style w:type="paragraph" w:customStyle="1" w:styleId="759">
    <w:name w:val="样式2"/>
    <w:basedOn w:val="2"/>
    <w:autoRedefine/>
    <w:uiPriority w:val="0"/>
    <w:pPr>
      <w:keepNext w:val="0"/>
      <w:keepLines w:val="0"/>
      <w:widowControl w:val="0"/>
      <w:numPr>
        <w:numId w:val="0"/>
      </w:numPr>
      <w:spacing w:before="120" w:after="120" w:line="300" w:lineRule="auto"/>
      <w:jc w:val="left"/>
    </w:pPr>
    <w:rPr>
      <w:b w:val="0"/>
      <w:bCs w:val="0"/>
      <w:kern w:val="2"/>
      <w:sz w:val="32"/>
      <w:szCs w:val="28"/>
    </w:rPr>
  </w:style>
  <w:style w:type="paragraph" w:customStyle="1" w:styleId="760">
    <w:name w:val="样式 段前: 7.8 磅 段后: 7.8 磅"/>
    <w:basedOn w:val="1"/>
    <w:uiPriority w:val="0"/>
    <w:pPr>
      <w:spacing w:before="156" w:after="156" w:line="460" w:lineRule="exact"/>
    </w:pPr>
    <w:rPr>
      <w:rFonts w:cs="宋体"/>
      <w:szCs w:val="24"/>
    </w:rPr>
  </w:style>
  <w:style w:type="paragraph" w:customStyle="1" w:styleId="761">
    <w:name w:val="表头及表尾"/>
    <w:uiPriority w:val="0"/>
    <w:pPr>
      <w:tabs>
        <w:tab w:val="center" w:pos="4200"/>
        <w:tab w:val="right" w:pos="8400"/>
      </w:tabs>
      <w:adjustRightInd w:val="0"/>
      <w:snapToGrid w:val="0"/>
    </w:pPr>
    <w:rPr>
      <w:rFonts w:ascii="Times New Roman" w:hAnsi="Times New Roman" w:eastAsia="宋体" w:cs="Times New Roman"/>
      <w:b/>
      <w:snapToGrid w:val="0"/>
      <w:kern w:val="0"/>
      <w:sz w:val="21"/>
      <w:szCs w:val="21"/>
      <w:lang w:val="en-US" w:eastAsia="zh-CN" w:bidi="ar-SA"/>
    </w:rPr>
  </w:style>
  <w:style w:type="character" w:customStyle="1" w:styleId="762">
    <w:name w:val="正文文字 21 Char"/>
    <w:uiPriority w:val="0"/>
    <w:rPr>
      <w:rFonts w:ascii="Times New Roman" w:hAnsi="Times New Roman"/>
      <w:kern w:val="2"/>
      <w:sz w:val="24"/>
      <w:szCs w:val="24"/>
    </w:rPr>
  </w:style>
  <w:style w:type="paragraph" w:customStyle="1" w:styleId="763">
    <w:name w:val="表"/>
    <w:basedOn w:val="1"/>
    <w:uiPriority w:val="0"/>
    <w:pPr>
      <w:jc w:val="center"/>
    </w:pPr>
    <w:rPr>
      <w:rFonts w:cs="Times New Roman"/>
      <w:spacing w:val="2"/>
      <w:szCs w:val="20"/>
    </w:rPr>
  </w:style>
  <w:style w:type="character" w:customStyle="1" w:styleId="764">
    <w:name w:val="纯文本 字符"/>
    <w:basedOn w:val="109"/>
    <w:link w:val="35"/>
    <w:qFormat/>
    <w:uiPriority w:val="0"/>
    <w:rPr>
      <w:rFonts w:ascii="宋体" w:hAnsi="Courier New" w:eastAsia="宋体" w:cs="Times New Roman"/>
      <w:szCs w:val="20"/>
    </w:rPr>
  </w:style>
  <w:style w:type="paragraph" w:customStyle="1" w:styleId="765">
    <w:name w:val="标题3-1"/>
    <w:basedOn w:val="4"/>
    <w:uiPriority w:val="0"/>
    <w:pPr>
      <w:widowControl/>
      <w:numPr>
        <w:ilvl w:val="0"/>
        <w:numId w:val="0"/>
      </w:numPr>
      <w:ind w:firstLine="200" w:firstLineChars="200"/>
    </w:pPr>
    <w:rPr>
      <w:rFonts w:ascii="宋体" w:hAnsi="宋体" w:eastAsia="华文细黑" w:cs="宋体"/>
      <w:kern w:val="0"/>
      <w:szCs w:val="24"/>
    </w:rPr>
  </w:style>
  <w:style w:type="paragraph" w:customStyle="1" w:styleId="766">
    <w:name w:val="正文宋"/>
    <w:basedOn w:val="1"/>
    <w:uiPriority w:val="0"/>
    <w:pPr>
      <w:suppressAutoHyphens/>
      <w:wordWrap w:val="0"/>
      <w:spacing w:line="0" w:lineRule="atLeast"/>
    </w:pPr>
    <w:rPr>
      <w:rFonts w:cs="Times New Roman"/>
      <w:kern w:val="0"/>
      <w:szCs w:val="20"/>
    </w:rPr>
  </w:style>
  <w:style w:type="character" w:customStyle="1" w:styleId="767">
    <w:name w:val="标题 3 Char Char1"/>
    <w:uiPriority w:val="0"/>
    <w:rPr>
      <w:rFonts w:eastAsia="宋体"/>
      <w:b/>
      <w:bCs/>
      <w:kern w:val="2"/>
      <w:sz w:val="32"/>
      <w:szCs w:val="32"/>
      <w:lang w:val="en-US" w:eastAsia="zh-CN" w:bidi="ar-SA"/>
    </w:rPr>
  </w:style>
  <w:style w:type="character" w:customStyle="1" w:styleId="768">
    <w:name w:val="Char Char10"/>
    <w:uiPriority w:val="0"/>
    <w:rPr>
      <w:rFonts w:ascii="宋体" w:hAnsi="宋体" w:cs="宋体"/>
      <w:kern w:val="2"/>
      <w:sz w:val="18"/>
      <w:szCs w:val="18"/>
    </w:rPr>
  </w:style>
  <w:style w:type="paragraph" w:customStyle="1" w:styleId="769">
    <w:name w:val="样式 (中文) 华文楷体 四号 首行缩进:  1.01 厘米 行距: 1.5 倍行距"/>
    <w:basedOn w:val="1"/>
    <w:semiHidden/>
    <w:qFormat/>
    <w:uiPriority w:val="0"/>
    <w:pPr>
      <w:widowControl/>
      <w:jc w:val="left"/>
    </w:pPr>
    <w:rPr>
      <w:rFonts w:ascii="宋体" w:hAnsi="宋体" w:cs="宋体"/>
      <w:kern w:val="0"/>
      <w:szCs w:val="24"/>
    </w:rPr>
  </w:style>
  <w:style w:type="character" w:customStyle="1" w:styleId="770">
    <w:name w:val="样式 (中文) 华文楷体 四号 首行缩进:  1.01 厘米 行距: 1.5 倍行距 Char"/>
    <w:uiPriority w:val="0"/>
    <w:rPr>
      <w:rFonts w:ascii="宋体" w:hAnsi="宋体" w:cs="宋体"/>
      <w:sz w:val="28"/>
      <w:szCs w:val="24"/>
    </w:rPr>
  </w:style>
  <w:style w:type="paragraph" w:customStyle="1" w:styleId="771">
    <w:name w:val="图编号"/>
    <w:basedOn w:val="175"/>
    <w:uiPriority w:val="0"/>
    <w:pPr>
      <w:tabs>
        <w:tab w:val="left" w:pos="675"/>
      </w:tabs>
      <w:spacing w:before="300" w:after="300"/>
      <w:ind w:left="675" w:hanging="315"/>
    </w:pPr>
    <w:rPr>
      <w:rFonts w:ascii="Times New Roman" w:hAnsi="Times New Roman" w:cs="宋体"/>
      <w:kern w:val="2"/>
    </w:rPr>
  </w:style>
  <w:style w:type="paragraph" w:customStyle="1" w:styleId="772">
    <w:name w:val="样式 表格标题新 + 段前: 0.5 行"/>
    <w:basedOn w:val="744"/>
    <w:uiPriority w:val="0"/>
    <w:pPr>
      <w:adjustRightInd/>
      <w:spacing w:before="249"/>
      <w:ind w:firstLine="0" w:firstLineChars="0"/>
    </w:pPr>
    <w:rPr>
      <w:bCs/>
    </w:rPr>
  </w:style>
  <w:style w:type="paragraph" w:customStyle="1" w:styleId="773">
    <w:name w:val="xl28"/>
    <w:basedOn w:val="1"/>
    <w:uiPriority w:val="0"/>
    <w:pPr>
      <w:widowControl/>
      <w:pBdr>
        <w:bottom w:val="single" w:color="auto" w:sz="4" w:space="0"/>
        <w:right w:val="single" w:color="auto" w:sz="4" w:space="0"/>
      </w:pBdr>
      <w:spacing w:before="100" w:beforeAutospacing="1" w:after="100" w:afterAutospacing="1"/>
      <w:jc w:val="center"/>
    </w:pPr>
    <w:rPr>
      <w:rFonts w:cs="Times New Roman"/>
      <w:kern w:val="0"/>
      <w:szCs w:val="21"/>
    </w:rPr>
  </w:style>
  <w:style w:type="paragraph" w:customStyle="1" w:styleId="774">
    <w:name w:val="小4仿宋居中行1"/>
    <w:autoRedefine/>
    <w:uiPriority w:val="0"/>
    <w:pPr>
      <w:widowControl w:val="0"/>
      <w:ind w:left="-573" w:right="-59" w:firstLine="494"/>
      <w:jc w:val="center"/>
    </w:pPr>
    <w:rPr>
      <w:rFonts w:ascii="Times New Roman" w:hAnsi="Times New Roman" w:eastAsia="仿宋_GB2312" w:cs="Times New Roman"/>
      <w:kern w:val="0"/>
      <w:sz w:val="24"/>
      <w:szCs w:val="20"/>
      <w:lang w:val="en-US" w:eastAsia="zh-CN" w:bidi="ar-SA"/>
    </w:rPr>
  </w:style>
  <w:style w:type="character" w:customStyle="1" w:styleId="775">
    <w:name w:val="Char Char9"/>
    <w:uiPriority w:val="0"/>
    <w:rPr>
      <w:rFonts w:ascii="Times New Roman" w:hAnsi="Times New Roman"/>
      <w:kern w:val="2"/>
      <w:sz w:val="18"/>
      <w:szCs w:val="18"/>
    </w:rPr>
  </w:style>
  <w:style w:type="paragraph" w:customStyle="1" w:styleId="776">
    <w:name w:val="正文楷体"/>
    <w:basedOn w:val="1"/>
    <w:uiPriority w:val="0"/>
    <w:rPr>
      <w:rFonts w:eastAsia="楷体_GB2312" w:cs="Times New Roman"/>
      <w:szCs w:val="24"/>
    </w:rPr>
  </w:style>
  <w:style w:type="character" w:customStyle="1" w:styleId="777">
    <w:name w:val="Char Char8"/>
    <w:uiPriority w:val="0"/>
    <w:rPr>
      <w:rFonts w:ascii="Times New Roman" w:hAnsi="Times New Roman"/>
      <w:kern w:val="2"/>
      <w:sz w:val="24"/>
    </w:rPr>
  </w:style>
  <w:style w:type="character" w:customStyle="1" w:styleId="778">
    <w:name w:val="正文文本缩进 2 字符"/>
    <w:basedOn w:val="109"/>
    <w:link w:val="40"/>
    <w:uiPriority w:val="0"/>
    <w:rPr>
      <w:rFonts w:ascii="宋体" w:hAnsi="Times New Roman" w:eastAsia="宋体" w:cs="Times New Roman"/>
      <w:sz w:val="24"/>
      <w:szCs w:val="20"/>
    </w:rPr>
  </w:style>
  <w:style w:type="character" w:customStyle="1" w:styleId="779">
    <w:name w:val="Char Char7"/>
    <w:uiPriority w:val="0"/>
    <w:rPr>
      <w:rFonts w:ascii="宋体" w:hAnsi="Times New Roman"/>
      <w:kern w:val="2"/>
      <w:sz w:val="24"/>
    </w:rPr>
  </w:style>
  <w:style w:type="character" w:customStyle="1" w:styleId="780">
    <w:name w:val="正文文本缩进 3 字符"/>
    <w:basedOn w:val="109"/>
    <w:link w:val="51"/>
    <w:uiPriority w:val="0"/>
    <w:rPr>
      <w:rFonts w:ascii="DFKai-SB" w:hAnsi="Times New Roman" w:eastAsia="DFKai-SB" w:cs="Times New Roman"/>
      <w:sz w:val="28"/>
      <w:szCs w:val="24"/>
      <w:lang w:eastAsia="zh-TW"/>
    </w:rPr>
  </w:style>
  <w:style w:type="character" w:customStyle="1" w:styleId="781">
    <w:name w:val="Char Char6"/>
    <w:uiPriority w:val="0"/>
    <w:rPr>
      <w:rFonts w:ascii="DFKai-SB" w:hAnsi="Times New Roman" w:eastAsia="DFKai-SB"/>
      <w:kern w:val="2"/>
      <w:sz w:val="28"/>
      <w:szCs w:val="24"/>
      <w:lang w:eastAsia="zh-TW"/>
    </w:rPr>
  </w:style>
  <w:style w:type="paragraph" w:customStyle="1" w:styleId="782">
    <w:name w:val="font5"/>
    <w:basedOn w:val="1"/>
    <w:uiPriority w:val="0"/>
    <w:pPr>
      <w:widowControl/>
      <w:spacing w:before="100" w:beforeAutospacing="1" w:after="100" w:afterAutospacing="1"/>
      <w:jc w:val="left"/>
    </w:pPr>
    <w:rPr>
      <w:rFonts w:hint="eastAsia" w:ascii="PMingLiU" w:eastAsia="PMingLiU" w:cs="Times New Roman"/>
      <w:kern w:val="0"/>
      <w:szCs w:val="24"/>
      <w:lang w:eastAsia="zh-TW"/>
    </w:rPr>
  </w:style>
  <w:style w:type="paragraph" w:customStyle="1" w:styleId="783">
    <w:name w:val="font6"/>
    <w:basedOn w:val="1"/>
    <w:uiPriority w:val="0"/>
    <w:pPr>
      <w:widowControl/>
      <w:spacing w:before="100" w:beforeAutospacing="1" w:after="100" w:afterAutospacing="1"/>
      <w:jc w:val="left"/>
    </w:pPr>
    <w:rPr>
      <w:rFonts w:hint="eastAsia" w:ascii="PMingLiU" w:eastAsia="PMingLiU" w:cs="Times New Roman"/>
      <w:kern w:val="0"/>
      <w:sz w:val="18"/>
      <w:szCs w:val="18"/>
      <w:lang w:eastAsia="zh-TW"/>
    </w:rPr>
  </w:style>
  <w:style w:type="paragraph" w:customStyle="1" w:styleId="784">
    <w:name w:val="font7"/>
    <w:basedOn w:val="1"/>
    <w:uiPriority w:val="0"/>
    <w:pPr>
      <w:widowControl/>
      <w:spacing w:before="100" w:beforeAutospacing="1" w:after="100" w:afterAutospacing="1"/>
      <w:jc w:val="left"/>
    </w:pPr>
    <w:rPr>
      <w:rFonts w:eastAsia="PMingLiU" w:cs="Times New Roman"/>
      <w:kern w:val="0"/>
      <w:sz w:val="22"/>
      <w:lang w:eastAsia="zh-TW"/>
    </w:rPr>
  </w:style>
  <w:style w:type="paragraph" w:customStyle="1" w:styleId="785">
    <w:name w:val="font8"/>
    <w:basedOn w:val="1"/>
    <w:uiPriority w:val="0"/>
    <w:pPr>
      <w:widowControl/>
      <w:spacing w:before="100" w:beforeAutospacing="1" w:after="100" w:afterAutospacing="1"/>
      <w:jc w:val="left"/>
    </w:pPr>
    <w:rPr>
      <w:rFonts w:hint="eastAsia" w:ascii="PMingLiU" w:eastAsia="PMingLiU" w:cs="Times New Roman"/>
      <w:kern w:val="0"/>
      <w:sz w:val="16"/>
      <w:szCs w:val="16"/>
      <w:lang w:eastAsia="zh-TW"/>
    </w:rPr>
  </w:style>
  <w:style w:type="paragraph" w:customStyle="1" w:styleId="786">
    <w:name w:val="font9"/>
    <w:basedOn w:val="1"/>
    <w:uiPriority w:val="0"/>
    <w:pPr>
      <w:widowControl/>
      <w:spacing w:before="100" w:beforeAutospacing="1" w:after="100" w:afterAutospacing="1"/>
      <w:jc w:val="left"/>
    </w:pPr>
    <w:rPr>
      <w:rFonts w:eastAsia="PMingLiU" w:cs="Times New Roman"/>
      <w:kern w:val="0"/>
      <w:sz w:val="16"/>
      <w:szCs w:val="16"/>
      <w:lang w:eastAsia="zh-TW"/>
    </w:rPr>
  </w:style>
  <w:style w:type="paragraph" w:customStyle="1" w:styleId="787">
    <w:name w:val="font10"/>
    <w:basedOn w:val="1"/>
    <w:uiPriority w:val="0"/>
    <w:pPr>
      <w:widowControl/>
      <w:spacing w:before="100" w:beforeAutospacing="1" w:after="100" w:afterAutospacing="1"/>
      <w:jc w:val="left"/>
    </w:pPr>
    <w:rPr>
      <w:rFonts w:hint="eastAsia" w:ascii="MingLiU" w:eastAsia="MingLiU" w:cs="Times New Roman"/>
      <w:kern w:val="0"/>
      <w:sz w:val="16"/>
      <w:szCs w:val="16"/>
      <w:lang w:eastAsia="zh-TW"/>
    </w:rPr>
  </w:style>
  <w:style w:type="paragraph" w:customStyle="1" w:styleId="788">
    <w:name w:val="font11"/>
    <w:basedOn w:val="1"/>
    <w:uiPriority w:val="0"/>
    <w:pPr>
      <w:widowControl/>
      <w:spacing w:before="100" w:beforeAutospacing="1" w:after="100" w:afterAutospacing="1"/>
      <w:jc w:val="left"/>
    </w:pPr>
    <w:rPr>
      <w:rFonts w:hint="eastAsia" w:ascii="PMingLiU" w:eastAsia="PMingLiU" w:cs="Times New Roman"/>
      <w:kern w:val="0"/>
      <w:sz w:val="14"/>
      <w:szCs w:val="14"/>
      <w:lang w:eastAsia="zh-TW"/>
    </w:rPr>
  </w:style>
  <w:style w:type="paragraph" w:customStyle="1" w:styleId="789">
    <w:name w:val="xl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2"/>
      <w:szCs w:val="12"/>
      <w:lang w:eastAsia="zh-TW"/>
    </w:rPr>
  </w:style>
  <w:style w:type="paragraph" w:customStyle="1" w:styleId="790">
    <w:name w:val="xl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791">
    <w:name w:val="xl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792">
    <w:name w:val="xl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793">
    <w:name w:val="xl29"/>
    <w:basedOn w:val="1"/>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794">
    <w:name w:val="xl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795">
    <w:name w:val="xl31"/>
    <w:basedOn w:val="1"/>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796">
    <w:name w:val="xl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797">
    <w:name w:val="xl33"/>
    <w:basedOn w:val="1"/>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798">
    <w:name w:val="xl3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799">
    <w:name w:val="xl35"/>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00">
    <w:name w:val="xl36"/>
    <w:basedOn w:val="1"/>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801">
    <w:name w:val="xl37"/>
    <w:basedOn w:val="1"/>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802">
    <w:name w:val="xl3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03">
    <w:name w:val="xl39"/>
    <w:basedOn w:val="1"/>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04">
    <w:name w:val="xl4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4"/>
      <w:szCs w:val="14"/>
      <w:lang w:eastAsia="zh-TW"/>
    </w:rPr>
  </w:style>
  <w:style w:type="paragraph" w:customStyle="1" w:styleId="805">
    <w:name w:val="xl41"/>
    <w:basedOn w:val="1"/>
    <w:uiPriority w:val="0"/>
    <w:pPr>
      <w:widowControl/>
      <w:pBdr>
        <w:top w:val="double" w:color="auto" w:sz="6" w:space="0"/>
        <w:left w:val="single" w:color="auto" w:sz="4" w:space="0"/>
        <w:bottom w:val="single" w:color="auto" w:sz="4" w:space="0"/>
        <w:right w:val="double" w:color="auto" w:sz="6"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06">
    <w:name w:val="xl42"/>
    <w:basedOn w:val="1"/>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07">
    <w:name w:val="xl43"/>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808">
    <w:name w:val="xl44"/>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809">
    <w:name w:val="xl45"/>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10">
    <w:name w:val="xl46"/>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paragraph" w:customStyle="1" w:styleId="811">
    <w:name w:val="xl47"/>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12">
    <w:name w:val="xl48"/>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ascii="PMingLiU" w:eastAsia="PMingLiU" w:cs="Times New Roman"/>
      <w:kern w:val="0"/>
      <w:szCs w:val="24"/>
      <w:lang w:eastAsia="zh-TW"/>
    </w:rPr>
  </w:style>
  <w:style w:type="paragraph" w:customStyle="1" w:styleId="813">
    <w:name w:val="xl4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paragraph" w:customStyle="1" w:styleId="814">
    <w:name w:val="xl50"/>
    <w:basedOn w:val="1"/>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paragraph" w:customStyle="1" w:styleId="815">
    <w:name w:val="xl51"/>
    <w:basedOn w:val="1"/>
    <w:uiPriority w:val="0"/>
    <w:pPr>
      <w:widowControl/>
      <w:pBdr>
        <w:top w:val="single" w:color="auto" w:sz="4" w:space="0"/>
        <w:left w:val="double" w:color="auto" w:sz="6" w:space="0"/>
        <w:bottom w:val="double" w:color="auto" w:sz="6" w:space="0"/>
        <w:right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16">
    <w:name w:val="xl52"/>
    <w:basedOn w:val="1"/>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paragraph" w:customStyle="1" w:styleId="817">
    <w:name w:val="xl53"/>
    <w:basedOn w:val="1"/>
    <w:uiPriority w:val="0"/>
    <w:pPr>
      <w:widowControl/>
      <w:pBdr>
        <w:top w:val="single" w:color="auto" w:sz="4" w:space="0"/>
        <w:left w:val="single" w:color="auto" w:sz="4" w:space="0"/>
        <w:bottom w:val="double" w:color="auto" w:sz="6" w:space="0"/>
        <w:right w:val="double" w:color="auto" w:sz="6"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paragraph" w:customStyle="1" w:styleId="818">
    <w:name w:val="xl54"/>
    <w:basedOn w:val="1"/>
    <w:uiPriority w:val="0"/>
    <w:pPr>
      <w:widowControl/>
      <w:pBdr>
        <w:top w:val="double" w:color="auto" w:sz="6" w:space="0"/>
        <w:left w:val="single" w:color="auto" w:sz="4"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19">
    <w:name w:val="xl55"/>
    <w:basedOn w:val="1"/>
    <w:uiPriority w:val="0"/>
    <w:pPr>
      <w:widowControl/>
      <w:pBdr>
        <w:top w:val="double" w:color="auto" w:sz="6" w:space="0"/>
        <w:left w:val="double" w:color="auto" w:sz="6" w:space="0"/>
        <w:right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20">
    <w:name w:val="xl56"/>
    <w:basedOn w:val="1"/>
    <w:uiPriority w:val="0"/>
    <w:pPr>
      <w:widowControl/>
      <w:pBdr>
        <w:left w:val="double" w:color="auto" w:sz="6" w:space="0"/>
        <w:bottom w:val="single" w:color="auto" w:sz="4" w:space="0"/>
        <w:right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21">
    <w:name w:val="xl5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PMingLiU" w:cs="Times New Roman"/>
      <w:kern w:val="0"/>
      <w:sz w:val="12"/>
      <w:szCs w:val="12"/>
      <w:lang w:eastAsia="zh-TW"/>
    </w:rPr>
  </w:style>
  <w:style w:type="paragraph" w:customStyle="1" w:styleId="822">
    <w:name w:val="xl58"/>
    <w:basedOn w:val="1"/>
    <w:uiPriority w:val="0"/>
    <w:pPr>
      <w:widowControl/>
      <w:pBdr>
        <w:top w:val="double" w:color="auto" w:sz="6" w:space="0"/>
        <w:left w:val="single" w:color="auto" w:sz="4" w:space="0"/>
        <w:bottom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23">
    <w:name w:val="xl59"/>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PMingLiU" w:eastAsia="PMingLiU" w:cs="Times New Roman"/>
      <w:kern w:val="0"/>
      <w:sz w:val="16"/>
      <w:szCs w:val="16"/>
      <w:lang w:eastAsia="zh-TW"/>
    </w:rPr>
  </w:style>
  <w:style w:type="paragraph" w:customStyle="1" w:styleId="824">
    <w:name w:val="xl60"/>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MingLiU" w:eastAsia="MingLiU" w:cs="Times New Roman"/>
      <w:kern w:val="0"/>
      <w:sz w:val="16"/>
      <w:szCs w:val="16"/>
      <w:lang w:eastAsia="zh-TW"/>
    </w:rPr>
  </w:style>
  <w:style w:type="paragraph" w:customStyle="1" w:styleId="825">
    <w:name w:val="xl61"/>
    <w:basedOn w:val="1"/>
    <w:uiPriority w:val="0"/>
    <w:pPr>
      <w:widowControl/>
      <w:pBdr>
        <w:top w:val="single" w:color="auto" w:sz="4" w:space="0"/>
        <w:left w:val="single" w:color="auto" w:sz="4" w:space="0"/>
        <w:bottom w:val="double" w:color="auto" w:sz="6" w:space="0"/>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826">
    <w:name w:val="xl62"/>
    <w:basedOn w:val="1"/>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827">
    <w:name w:val="xl63"/>
    <w:basedOn w:val="1"/>
    <w:uiPriority w:val="0"/>
    <w:pPr>
      <w:widowControl/>
      <w:pBdr>
        <w:top w:val="single" w:color="auto" w:sz="4" w:space="0"/>
        <w:left w:val="double" w:color="auto" w:sz="6" w:space="0"/>
        <w:bottom w:val="double" w:color="auto" w:sz="6" w:space="0"/>
        <w:right w:val="single" w:color="auto" w:sz="4" w:space="0"/>
      </w:pBdr>
      <w:spacing w:before="100" w:beforeAutospacing="1" w:after="100" w:afterAutospacing="1"/>
      <w:jc w:val="left"/>
      <w:textAlignment w:val="center"/>
    </w:pPr>
    <w:rPr>
      <w:rFonts w:hint="eastAsia" w:ascii="PMingLiU" w:eastAsia="PMingLiU" w:cs="Times New Roman"/>
      <w:kern w:val="0"/>
      <w:sz w:val="16"/>
      <w:szCs w:val="16"/>
      <w:lang w:eastAsia="zh-TW"/>
    </w:rPr>
  </w:style>
  <w:style w:type="character" w:customStyle="1" w:styleId="828">
    <w:name w:val="Char Char5"/>
    <w:uiPriority w:val="0"/>
    <w:rPr>
      <w:rFonts w:ascii="Times New Roman" w:hAnsi="Times New Roman"/>
      <w:kern w:val="2"/>
      <w:sz w:val="21"/>
      <w:szCs w:val="24"/>
    </w:rPr>
  </w:style>
  <w:style w:type="paragraph" w:customStyle="1" w:styleId="829">
    <w:name w:val="我的正文"/>
    <w:basedOn w:val="1"/>
    <w:uiPriority w:val="0"/>
    <w:pPr>
      <w:ind w:firstLine="480"/>
    </w:pPr>
    <w:rPr>
      <w:rFonts w:cs="宋体"/>
      <w:szCs w:val="20"/>
    </w:rPr>
  </w:style>
  <w:style w:type="paragraph" w:customStyle="1" w:styleId="830">
    <w:name w:val="注解"/>
    <w:basedOn w:val="1"/>
    <w:uiPriority w:val="0"/>
    <w:pPr>
      <w:ind w:left="624" w:right="170" w:hanging="454"/>
    </w:pPr>
    <w:rPr>
      <w:rFonts w:ascii="宋体" w:hAnsi="宋体" w:cs="Times New Roman"/>
      <w:color w:val="000000"/>
      <w:sz w:val="15"/>
      <w:szCs w:val="20"/>
    </w:rPr>
  </w:style>
  <w:style w:type="paragraph" w:customStyle="1" w:styleId="831">
    <w:name w:val="报告 Char"/>
    <w:basedOn w:val="1"/>
    <w:uiPriority w:val="0"/>
    <w:pPr>
      <w:ind w:firstLine="505"/>
      <w:textAlignment w:val="baseline"/>
    </w:pPr>
    <w:rPr>
      <w:rFonts w:cs="Times New Roman"/>
      <w:szCs w:val="24"/>
    </w:rPr>
  </w:style>
  <w:style w:type="paragraph" w:customStyle="1" w:styleId="832">
    <w:name w:val="样式 正文文本缩进 + 宋体 五号 黑色 全部大写 居中 首行缩进:  0 厘米 段前: 0 磅 行距: 单倍行距"/>
    <w:basedOn w:val="28"/>
    <w:uiPriority w:val="0"/>
    <w:pPr>
      <w:spacing w:after="0" w:line="240" w:lineRule="auto"/>
      <w:ind w:left="0" w:leftChars="0" w:firstLine="0" w:firstLineChars="0"/>
      <w:jc w:val="center"/>
      <w:textAlignment w:val="baseline"/>
    </w:pPr>
    <w:rPr>
      <w:rFonts w:ascii="宋体" w:hAnsi="宋体" w:cs="宋体"/>
      <w:color w:val="000000"/>
      <w:kern w:val="28"/>
      <w:sz w:val="21"/>
      <w:szCs w:val="21"/>
    </w:rPr>
  </w:style>
  <w:style w:type="paragraph" w:customStyle="1" w:styleId="833">
    <w:name w:val="文宋"/>
    <w:basedOn w:val="1"/>
    <w:uiPriority w:val="0"/>
    <w:pPr>
      <w:spacing w:line="560" w:lineRule="atLeast"/>
    </w:pPr>
    <w:rPr>
      <w:rFonts w:cs="Times New Roman"/>
      <w:spacing w:val="16"/>
      <w:sz w:val="32"/>
      <w:szCs w:val="24"/>
    </w:rPr>
  </w:style>
  <w:style w:type="paragraph" w:customStyle="1" w:styleId="834">
    <w:name w:val="表文"/>
    <w:basedOn w:val="1"/>
    <w:autoRedefine/>
    <w:uiPriority w:val="0"/>
    <w:pPr>
      <w:tabs>
        <w:tab w:val="left" w:pos="1021"/>
      </w:tabs>
      <w:jc w:val="center"/>
    </w:pPr>
    <w:rPr>
      <w:rFonts w:cs="Times New Roman"/>
      <w:kern w:val="0"/>
      <w:szCs w:val="21"/>
    </w:rPr>
  </w:style>
  <w:style w:type="character" w:customStyle="1" w:styleId="835">
    <w:name w:val="unnamed31"/>
    <w:uiPriority w:val="0"/>
    <w:rPr>
      <w:sz w:val="26"/>
      <w:szCs w:val="26"/>
    </w:rPr>
  </w:style>
  <w:style w:type="paragraph" w:customStyle="1" w:styleId="836">
    <w:name w:val="样式 首行缩进:  2 字符"/>
    <w:basedOn w:val="1"/>
    <w:uiPriority w:val="0"/>
    <w:pPr>
      <w:ind w:firstLine="480"/>
    </w:pPr>
    <w:rPr>
      <w:rFonts w:cs="宋体"/>
      <w:kern w:val="0"/>
      <w:szCs w:val="20"/>
    </w:rPr>
  </w:style>
  <w:style w:type="character" w:customStyle="1" w:styleId="837">
    <w:name w:val="样式 首行缩进:  2 字符 Char"/>
    <w:uiPriority w:val="0"/>
    <w:rPr>
      <w:rFonts w:ascii="Times New Roman" w:hAnsi="Times New Roman" w:cs="宋体"/>
      <w:sz w:val="24"/>
    </w:rPr>
  </w:style>
  <w:style w:type="paragraph" w:customStyle="1" w:styleId="838">
    <w:name w:val="样式 (中文) 黑体 五号 加粗 居中 行距: 单倍行距"/>
    <w:basedOn w:val="1"/>
    <w:uiPriority w:val="0"/>
    <w:pPr>
      <w:jc w:val="center"/>
    </w:pPr>
    <w:rPr>
      <w:rFonts w:eastAsia="黑体" w:cs="宋体"/>
      <w:b/>
      <w:bCs/>
      <w:szCs w:val="20"/>
    </w:rPr>
  </w:style>
  <w:style w:type="character" w:customStyle="1" w:styleId="839">
    <w:name w:val="样式 (中文) 黑体 五号 加粗 居中 行距: 单倍行距 Char"/>
    <w:uiPriority w:val="0"/>
    <w:rPr>
      <w:rFonts w:ascii="Times New Roman" w:hAnsi="Times New Roman" w:eastAsia="黑体" w:cs="宋体"/>
      <w:b/>
      <w:bCs/>
      <w:kern w:val="2"/>
      <w:sz w:val="21"/>
    </w:rPr>
  </w:style>
  <w:style w:type="paragraph" w:customStyle="1" w:styleId="840">
    <w:name w:val="样式 五号 居中 行距: 单倍行距"/>
    <w:basedOn w:val="1"/>
    <w:uiPriority w:val="0"/>
    <w:pPr>
      <w:jc w:val="center"/>
    </w:pPr>
    <w:rPr>
      <w:rFonts w:cs="宋体"/>
      <w:szCs w:val="20"/>
    </w:rPr>
  </w:style>
  <w:style w:type="character" w:customStyle="1" w:styleId="841">
    <w:name w:val="样式 五号 居中 行距: 单倍行距 Char"/>
    <w:uiPriority w:val="0"/>
    <w:rPr>
      <w:rFonts w:ascii="Times New Roman" w:hAnsi="Times New Roman" w:cs="宋体"/>
      <w:kern w:val="2"/>
      <w:sz w:val="21"/>
    </w:rPr>
  </w:style>
  <w:style w:type="paragraph" w:customStyle="1" w:styleId="842">
    <w:name w:val="字元 字元 Char Char 字元 字元1"/>
    <w:basedOn w:val="1"/>
    <w:uiPriority w:val="0"/>
    <w:rPr>
      <w:rFonts w:cs="Times New Roman"/>
      <w:szCs w:val="24"/>
    </w:rPr>
  </w:style>
  <w:style w:type="paragraph" w:customStyle="1" w:styleId="843">
    <w:name w:val="字元 字元2"/>
    <w:basedOn w:val="1"/>
    <w:uiPriority w:val="0"/>
    <w:rPr>
      <w:rFonts w:cs="Times New Roman"/>
      <w:szCs w:val="24"/>
    </w:rPr>
  </w:style>
  <w:style w:type="paragraph" w:customStyle="1" w:styleId="844">
    <w:name w:val="默认段落字体 Para Char"/>
    <w:basedOn w:val="1"/>
    <w:next w:val="1"/>
    <w:autoRedefine/>
    <w:uiPriority w:val="0"/>
    <w:pPr>
      <w:keepNext/>
      <w:keepLines/>
      <w:widowControl/>
      <w:spacing w:before="360" w:after="480"/>
      <w:jc w:val="left"/>
      <w:textAlignment w:val="baseline"/>
      <w:outlineLvl w:val="3"/>
    </w:pPr>
    <w:rPr>
      <w:rFonts w:cs="Times New Roman"/>
      <w:bCs/>
      <w:kern w:val="0"/>
      <w:szCs w:val="24"/>
    </w:rPr>
  </w:style>
  <w:style w:type="paragraph" w:customStyle="1" w:styleId="845">
    <w:name w:val="封面正文"/>
    <w:uiPriority w:val="0"/>
    <w:pPr>
      <w:jc w:val="both"/>
    </w:pPr>
    <w:rPr>
      <w:rFonts w:ascii="Times New Roman" w:hAnsi="Times New Roman" w:eastAsia="宋体" w:cs="Times New Roman"/>
      <w:kern w:val="0"/>
      <w:sz w:val="20"/>
      <w:szCs w:val="20"/>
      <w:lang w:val="en-US" w:eastAsia="zh-CN" w:bidi="ar-SA"/>
    </w:rPr>
  </w:style>
  <w:style w:type="character" w:customStyle="1" w:styleId="846">
    <w:name w:val="Char Char4"/>
    <w:uiPriority w:val="0"/>
    <w:rPr>
      <w:rFonts w:ascii="宋体" w:hAnsi="宋体" w:eastAsia="华文楷体" w:cs="宋体"/>
      <w:sz w:val="18"/>
      <w:szCs w:val="24"/>
    </w:rPr>
  </w:style>
  <w:style w:type="character" w:customStyle="1" w:styleId="847">
    <w:name w:val="正文文本 2 字符"/>
    <w:basedOn w:val="109"/>
    <w:link w:val="56"/>
    <w:uiPriority w:val="0"/>
    <w:rPr>
      <w:rFonts w:ascii="宋体" w:hAnsi="宋体" w:eastAsia="华文楷体" w:cs="宋体"/>
      <w:kern w:val="0"/>
      <w:sz w:val="18"/>
      <w:szCs w:val="24"/>
    </w:rPr>
  </w:style>
  <w:style w:type="character" w:customStyle="1" w:styleId="848">
    <w:name w:val="Char Char3"/>
    <w:uiPriority w:val="0"/>
    <w:rPr>
      <w:rFonts w:ascii="宋体" w:hAnsi="宋体" w:eastAsia="华文楷体" w:cs="宋体"/>
      <w:sz w:val="28"/>
      <w:szCs w:val="24"/>
    </w:rPr>
  </w:style>
  <w:style w:type="character" w:customStyle="1" w:styleId="849">
    <w:name w:val="正文文本 3 字符"/>
    <w:basedOn w:val="109"/>
    <w:link w:val="25"/>
    <w:qFormat/>
    <w:uiPriority w:val="0"/>
    <w:rPr>
      <w:rFonts w:ascii="宋体" w:hAnsi="宋体" w:eastAsia="华文楷体" w:cs="宋体"/>
      <w:kern w:val="0"/>
      <w:sz w:val="28"/>
      <w:szCs w:val="24"/>
    </w:rPr>
  </w:style>
  <w:style w:type="paragraph" w:customStyle="1" w:styleId="850">
    <w:name w:val="表中文字1"/>
    <w:autoRedefine/>
    <w:uiPriority w:val="0"/>
    <w:pPr>
      <w:widowControl w:val="0"/>
      <w:adjustRightInd w:val="0"/>
      <w:snapToGrid w:val="0"/>
      <w:jc w:val="center"/>
    </w:pPr>
    <w:rPr>
      <w:rFonts w:ascii="仿宋_GB2312" w:hAnsi="华文仿宋" w:eastAsia="仿宋_GB2312" w:cs="Times New Roman"/>
      <w:b/>
      <w:kern w:val="2"/>
      <w:sz w:val="21"/>
      <w:szCs w:val="21"/>
      <w:lang w:val="en-US" w:eastAsia="zh-CN" w:bidi="ar-SA"/>
    </w:rPr>
  </w:style>
  <w:style w:type="character" w:customStyle="1" w:styleId="851">
    <w:name w:val="Char Char2"/>
    <w:uiPriority w:val="0"/>
    <w:rPr>
      <w:rFonts w:ascii="宋体" w:hAnsi="宋体" w:cs="宋体"/>
      <w:sz w:val="24"/>
      <w:szCs w:val="24"/>
    </w:rPr>
  </w:style>
  <w:style w:type="character" w:customStyle="1" w:styleId="852">
    <w:name w:val="Char Char1"/>
    <w:uiPriority w:val="0"/>
    <w:rPr>
      <w:rFonts w:ascii="宋体" w:hAnsi="宋体" w:cs="宋体"/>
      <w:b/>
      <w:bCs/>
      <w:sz w:val="24"/>
      <w:szCs w:val="24"/>
    </w:rPr>
  </w:style>
  <w:style w:type="paragraph" w:customStyle="1" w:styleId="853">
    <w:name w:val="字元 字元 Char Char"/>
    <w:basedOn w:val="1"/>
    <w:uiPriority w:val="0"/>
    <w:rPr>
      <w:rFonts w:cs="Times New Roman"/>
      <w:szCs w:val="24"/>
    </w:rPr>
  </w:style>
  <w:style w:type="character" w:customStyle="1" w:styleId="854">
    <w:name w:val="1.1.1标题 3 Char"/>
    <w:uiPriority w:val="0"/>
    <w:rPr>
      <w:rFonts w:eastAsia="宋体"/>
      <w:b/>
      <w:kern w:val="2"/>
      <w:sz w:val="28"/>
      <w:lang w:val="en-US" w:eastAsia="zh-CN" w:bidi="ar-SA"/>
    </w:rPr>
  </w:style>
  <w:style w:type="character" w:customStyle="1" w:styleId="855">
    <w:name w:val="注释标题 字符"/>
    <w:basedOn w:val="109"/>
    <w:link w:val="14"/>
    <w:uiPriority w:val="0"/>
    <w:rPr>
      <w:rFonts w:ascii="Times New Roman" w:hAnsi="Times New Roman" w:eastAsia="宋体" w:cs="Times New Roman"/>
      <w:szCs w:val="20"/>
    </w:rPr>
  </w:style>
  <w:style w:type="character" w:customStyle="1" w:styleId="856">
    <w:name w:val="Char Char"/>
    <w:uiPriority w:val="0"/>
    <w:rPr>
      <w:rFonts w:ascii="Times New Roman" w:hAnsi="Times New Roman"/>
      <w:kern w:val="2"/>
      <w:sz w:val="21"/>
    </w:rPr>
  </w:style>
  <w:style w:type="paragraph" w:customStyle="1" w:styleId="857">
    <w:name w:val="表内字"/>
    <w:uiPriority w:val="0"/>
    <w:pPr>
      <w:spacing w:line="312" w:lineRule="auto"/>
      <w:jc w:val="center"/>
    </w:pPr>
    <w:rPr>
      <w:rFonts w:ascii="Times New Roman" w:hAnsi="Times New Roman" w:eastAsia="宋体" w:cs="Times New Roman"/>
      <w:color w:val="000000"/>
      <w:kern w:val="0"/>
      <w:sz w:val="21"/>
      <w:szCs w:val="20"/>
      <w:lang w:val="en-US" w:eastAsia="zh-CN" w:bidi="ar-SA"/>
    </w:rPr>
  </w:style>
  <w:style w:type="paragraph" w:customStyle="1" w:styleId="858">
    <w:name w:val="段落1"/>
    <w:basedOn w:val="1"/>
    <w:uiPriority w:val="0"/>
    <w:pPr>
      <w:spacing w:line="480" w:lineRule="exact"/>
      <w:ind w:firstLine="538" w:firstLineChars="210"/>
    </w:pPr>
    <w:rPr>
      <w:rFonts w:cs="Times New Roman"/>
      <w:spacing w:val="8"/>
      <w:szCs w:val="20"/>
    </w:rPr>
  </w:style>
  <w:style w:type="paragraph" w:customStyle="1" w:styleId="859">
    <w:name w:val="简单回函地址"/>
    <w:basedOn w:val="1"/>
    <w:uiPriority w:val="0"/>
    <w:rPr>
      <w:rFonts w:ascii="宋体" w:hAnsi="宋体" w:cs="Times New Roman"/>
      <w:szCs w:val="32"/>
    </w:rPr>
  </w:style>
  <w:style w:type="paragraph" w:customStyle="1" w:styleId="860">
    <w:name w:val="字元 字元 Char Char 字元 字元"/>
    <w:basedOn w:val="1"/>
    <w:uiPriority w:val="0"/>
    <w:rPr>
      <w:rFonts w:cs="Times New Roman"/>
      <w:szCs w:val="24"/>
    </w:rPr>
  </w:style>
  <w:style w:type="character" w:customStyle="1" w:styleId="861">
    <w:name w:val="highlight1"/>
    <w:uiPriority w:val="0"/>
    <w:rPr>
      <w:sz w:val="18"/>
      <w:szCs w:val="18"/>
    </w:rPr>
  </w:style>
  <w:style w:type="paragraph" w:customStyle="1" w:styleId="862">
    <w:name w:val="样式"/>
    <w:basedOn w:val="1"/>
    <w:uiPriority w:val="0"/>
    <w:rPr>
      <w:rFonts w:cs="宋体"/>
      <w:szCs w:val="20"/>
    </w:rPr>
  </w:style>
  <w:style w:type="paragraph" w:customStyle="1" w:styleId="863">
    <w:name w:val="font12"/>
    <w:basedOn w:val="1"/>
    <w:uiPriority w:val="0"/>
    <w:pPr>
      <w:widowControl/>
      <w:spacing w:before="100" w:beforeAutospacing="1" w:after="100" w:afterAutospacing="1"/>
      <w:jc w:val="left"/>
    </w:pPr>
    <w:rPr>
      <w:rFonts w:cs="Times New Roman"/>
      <w:color w:val="000000"/>
      <w:kern w:val="0"/>
      <w:szCs w:val="21"/>
    </w:rPr>
  </w:style>
  <w:style w:type="paragraph" w:customStyle="1" w:styleId="864">
    <w:name w:val="font13"/>
    <w:basedOn w:val="1"/>
    <w:uiPriority w:val="0"/>
    <w:pPr>
      <w:widowControl/>
      <w:spacing w:before="100" w:beforeAutospacing="1" w:after="100" w:afterAutospacing="1"/>
      <w:jc w:val="left"/>
    </w:pPr>
    <w:rPr>
      <w:rFonts w:cs="Times New Roman"/>
      <w:kern w:val="0"/>
      <w:szCs w:val="21"/>
    </w:rPr>
  </w:style>
  <w:style w:type="paragraph" w:customStyle="1" w:styleId="865">
    <w:name w:val="font14"/>
    <w:basedOn w:val="1"/>
    <w:uiPriority w:val="0"/>
    <w:pPr>
      <w:widowControl/>
      <w:spacing w:before="100" w:beforeAutospacing="1" w:after="100" w:afterAutospacing="1"/>
      <w:jc w:val="left"/>
    </w:pPr>
    <w:rPr>
      <w:rFonts w:cs="Times New Roman"/>
      <w:color w:val="FF0000"/>
      <w:kern w:val="0"/>
      <w:szCs w:val="21"/>
    </w:rPr>
  </w:style>
  <w:style w:type="paragraph" w:customStyle="1" w:styleId="866">
    <w:name w:val="font15"/>
    <w:basedOn w:val="1"/>
    <w:uiPriority w:val="0"/>
    <w:pPr>
      <w:widowControl/>
      <w:spacing w:before="100" w:beforeAutospacing="1" w:after="100" w:afterAutospacing="1"/>
      <w:jc w:val="left"/>
    </w:pPr>
    <w:rPr>
      <w:rFonts w:cs="Times New Roman"/>
      <w:kern w:val="0"/>
      <w:szCs w:val="21"/>
    </w:rPr>
  </w:style>
  <w:style w:type="paragraph" w:customStyle="1" w:styleId="867">
    <w:name w:val="font16"/>
    <w:basedOn w:val="1"/>
    <w:uiPriority w:val="0"/>
    <w:pPr>
      <w:widowControl/>
      <w:spacing w:before="100" w:beforeAutospacing="1" w:after="100" w:afterAutospacing="1"/>
      <w:jc w:val="left"/>
    </w:pPr>
    <w:rPr>
      <w:rFonts w:ascii="Courier New" w:hAnsi="Courier New" w:cs="Courier New"/>
      <w:kern w:val="0"/>
      <w:sz w:val="18"/>
      <w:szCs w:val="18"/>
    </w:rPr>
  </w:style>
  <w:style w:type="paragraph" w:customStyle="1" w:styleId="868">
    <w:name w:val="font17"/>
    <w:basedOn w:val="1"/>
    <w:uiPriority w:val="0"/>
    <w:pPr>
      <w:widowControl/>
      <w:spacing w:before="100" w:beforeAutospacing="1" w:after="100" w:afterAutospacing="1"/>
      <w:jc w:val="left"/>
    </w:pPr>
    <w:rPr>
      <w:rFonts w:cs="Times New Roman"/>
      <w:kern w:val="0"/>
      <w:sz w:val="18"/>
      <w:szCs w:val="18"/>
    </w:rPr>
  </w:style>
  <w:style w:type="paragraph" w:customStyle="1" w:styleId="869">
    <w:name w:val="font18"/>
    <w:basedOn w:val="1"/>
    <w:uiPriority w:val="0"/>
    <w:pPr>
      <w:widowControl/>
      <w:spacing w:before="100" w:beforeAutospacing="1" w:after="100" w:afterAutospacing="1"/>
      <w:jc w:val="left"/>
    </w:pPr>
    <w:rPr>
      <w:rFonts w:ascii="Courier New" w:hAnsi="Courier New" w:cs="Courier New"/>
      <w:kern w:val="0"/>
      <w:sz w:val="18"/>
      <w:szCs w:val="18"/>
    </w:rPr>
  </w:style>
  <w:style w:type="paragraph" w:customStyle="1" w:styleId="870">
    <w:name w:val="font19"/>
    <w:basedOn w:val="1"/>
    <w:uiPriority w:val="0"/>
    <w:pPr>
      <w:widowControl/>
      <w:spacing w:before="100" w:beforeAutospacing="1" w:after="100" w:afterAutospacing="1"/>
      <w:jc w:val="left"/>
    </w:pPr>
    <w:rPr>
      <w:rFonts w:cs="Times New Roman"/>
      <w:kern w:val="0"/>
      <w:sz w:val="18"/>
      <w:szCs w:val="18"/>
    </w:rPr>
  </w:style>
  <w:style w:type="paragraph" w:customStyle="1" w:styleId="871">
    <w:name w:val="默认段落字体 Para Char Char Char Char Char Char Char Char Char Char"/>
    <w:basedOn w:val="4"/>
    <w:uiPriority w:val="0"/>
    <w:pPr>
      <w:numPr>
        <w:ilvl w:val="0"/>
        <w:numId w:val="0"/>
      </w:numPr>
      <w:tabs>
        <w:tab w:val="left" w:pos="360"/>
        <w:tab w:val="left" w:pos="900"/>
      </w:tabs>
      <w:spacing w:before="120" w:after="120"/>
      <w:ind w:left="542" w:leftChars="-12" w:firstLine="200" w:firstLineChars="200"/>
    </w:pPr>
    <w:rPr>
      <w:rFonts w:eastAsia="黑体"/>
      <w:b w:val="0"/>
      <w:bCs w:val="0"/>
      <w:snapToGrid w:val="0"/>
      <w:szCs w:val="24"/>
    </w:rPr>
  </w:style>
  <w:style w:type="paragraph" w:customStyle="1" w:styleId="872">
    <w:name w:val="表格 32"/>
    <w:basedOn w:val="1"/>
    <w:uiPriority w:val="0"/>
    <w:pPr>
      <w:autoSpaceDE w:val="0"/>
      <w:autoSpaceDN w:val="0"/>
      <w:jc w:val="center"/>
      <w:textAlignment w:val="baseline"/>
    </w:pPr>
    <w:rPr>
      <w:rFonts w:eastAsia="楷体_GB2312" w:cs="Times New Roman"/>
      <w:kern w:val="0"/>
      <w:szCs w:val="20"/>
    </w:rPr>
  </w:style>
  <w:style w:type="paragraph" w:customStyle="1" w:styleId="873">
    <w:name w:val="文本框1"/>
    <w:basedOn w:val="1"/>
    <w:uiPriority w:val="0"/>
    <w:rPr>
      <w:rFonts w:ascii="宋体" w:hAnsi="宋体" w:cs="Times New Roman"/>
      <w:szCs w:val="20"/>
    </w:rPr>
  </w:style>
  <w:style w:type="paragraph" w:customStyle="1" w:styleId="874">
    <w:name w:val="5"/>
    <w:basedOn w:val="1"/>
    <w:next w:val="18"/>
    <w:uiPriority w:val="0"/>
    <w:pPr>
      <w:autoSpaceDE w:val="0"/>
      <w:autoSpaceDN w:val="0"/>
      <w:spacing w:line="300" w:lineRule="auto"/>
      <w:ind w:left="135" w:right="-289" w:firstLine="420"/>
    </w:pPr>
    <w:rPr>
      <w:rFonts w:eastAsia="楷体_GB2312" w:cs="Times New Roman"/>
      <w:spacing w:val="2"/>
      <w:position w:val="-40"/>
      <w:szCs w:val="20"/>
    </w:rPr>
  </w:style>
  <w:style w:type="paragraph" w:customStyle="1" w:styleId="875">
    <w:name w:val="4"/>
    <w:basedOn w:val="1"/>
    <w:next w:val="18"/>
    <w:uiPriority w:val="0"/>
    <w:pPr>
      <w:spacing w:before="120" w:line="400" w:lineRule="exact"/>
      <w:ind w:firstLine="420"/>
      <w:textAlignment w:val="baseline"/>
    </w:pPr>
    <w:rPr>
      <w:rFonts w:cs="Times New Roman"/>
      <w:kern w:val="28"/>
      <w:szCs w:val="20"/>
    </w:rPr>
  </w:style>
  <w:style w:type="character" w:customStyle="1" w:styleId="876">
    <w:name w:val="unnamed1"/>
    <w:uiPriority w:val="0"/>
  </w:style>
  <w:style w:type="paragraph" w:customStyle="1" w:styleId="877">
    <w:name w:val="表格2"/>
    <w:basedOn w:val="563"/>
    <w:next w:val="1"/>
    <w:uiPriority w:val="0"/>
    <w:pPr>
      <w:topLinePunct/>
      <w:autoSpaceDE w:val="0"/>
      <w:autoSpaceDN w:val="0"/>
      <w:spacing w:line="288" w:lineRule="auto"/>
      <w:ind w:firstLine="0" w:firstLineChars="0"/>
    </w:pPr>
    <w:rPr>
      <w:rFonts w:ascii="宋体"/>
      <w:position w:val="-28"/>
      <w:sz w:val="18"/>
    </w:rPr>
  </w:style>
  <w:style w:type="paragraph" w:customStyle="1" w:styleId="878">
    <w:name w:val="2"/>
    <w:basedOn w:val="1"/>
    <w:next w:val="18"/>
    <w:uiPriority w:val="0"/>
    <w:pPr>
      <w:spacing w:before="120" w:line="400" w:lineRule="exact"/>
      <w:ind w:firstLine="420"/>
      <w:textAlignment w:val="baseline"/>
    </w:pPr>
    <w:rPr>
      <w:rFonts w:cs="Times New Roman"/>
      <w:kern w:val="28"/>
      <w:szCs w:val="20"/>
    </w:rPr>
  </w:style>
  <w:style w:type="character" w:customStyle="1" w:styleId="879">
    <w:name w:val="ll1"/>
    <w:uiPriority w:val="0"/>
  </w:style>
  <w:style w:type="paragraph" w:customStyle="1" w:styleId="880">
    <w:name w:val="1"/>
    <w:basedOn w:val="1"/>
    <w:next w:val="18"/>
    <w:uiPriority w:val="0"/>
    <w:pPr>
      <w:spacing w:before="120" w:line="400" w:lineRule="exact"/>
      <w:ind w:firstLine="420"/>
      <w:textAlignment w:val="baseline"/>
    </w:pPr>
    <w:rPr>
      <w:rFonts w:cs="Times New Roman"/>
      <w:kern w:val="28"/>
      <w:szCs w:val="20"/>
    </w:rPr>
  </w:style>
  <w:style w:type="paragraph" w:customStyle="1" w:styleId="881">
    <w:name w:val="表格 33"/>
    <w:basedOn w:val="1"/>
    <w:uiPriority w:val="0"/>
    <w:pPr>
      <w:autoSpaceDE w:val="0"/>
      <w:autoSpaceDN w:val="0"/>
      <w:jc w:val="center"/>
      <w:textAlignment w:val="baseline"/>
    </w:pPr>
    <w:rPr>
      <w:rFonts w:eastAsia="楷体" w:cs="Times New Roman"/>
      <w:kern w:val="0"/>
      <w:szCs w:val="20"/>
    </w:rPr>
  </w:style>
  <w:style w:type="paragraph" w:customStyle="1" w:styleId="882">
    <w:name w:val="6"/>
    <w:basedOn w:val="1"/>
    <w:next w:val="28"/>
    <w:uiPriority w:val="0"/>
    <w:pPr>
      <w:spacing w:line="300" w:lineRule="auto"/>
      <w:ind w:firstLine="480"/>
    </w:pPr>
    <w:rPr>
      <w:rFonts w:cs="Times New Roman"/>
      <w:szCs w:val="24"/>
    </w:rPr>
  </w:style>
  <w:style w:type="character" w:customStyle="1" w:styleId="883">
    <w:name w:val="unnamed2"/>
    <w:uiPriority w:val="0"/>
  </w:style>
  <w:style w:type="paragraph" w:customStyle="1" w:styleId="884">
    <w:name w:val=".."/>
    <w:basedOn w:val="1"/>
    <w:next w:val="1"/>
    <w:uiPriority w:val="0"/>
    <w:pPr>
      <w:autoSpaceDE w:val="0"/>
      <w:autoSpaceDN w:val="0"/>
      <w:jc w:val="left"/>
    </w:pPr>
    <w:rPr>
      <w:rFonts w:ascii=".." w:eastAsia=".." w:cs="Times New Roman"/>
      <w:kern w:val="0"/>
      <w:szCs w:val="24"/>
    </w:rPr>
  </w:style>
  <w:style w:type="paragraph" w:customStyle="1" w:styleId="885">
    <w:name w:val="缩进"/>
    <w:basedOn w:val="1"/>
    <w:uiPriority w:val="0"/>
    <w:pPr>
      <w:autoSpaceDE w:val="0"/>
      <w:autoSpaceDN w:val="0"/>
      <w:spacing w:line="400" w:lineRule="atLeast"/>
      <w:ind w:firstLine="425"/>
      <w:textAlignment w:val="baseline"/>
    </w:pPr>
    <w:rPr>
      <w:rFonts w:cs="Times New Roman"/>
      <w:szCs w:val="20"/>
    </w:rPr>
  </w:style>
  <w:style w:type="paragraph" w:customStyle="1" w:styleId="886">
    <w:name w:val="xl23"/>
    <w:basedOn w:val="1"/>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cs="Times New Roman"/>
      <w:kern w:val="0"/>
      <w:sz w:val="18"/>
      <w:szCs w:val="18"/>
    </w:rPr>
  </w:style>
  <w:style w:type="character" w:customStyle="1" w:styleId="887">
    <w:name w:val="标题2"/>
    <w:uiPriority w:val="0"/>
  </w:style>
  <w:style w:type="character" w:customStyle="1" w:styleId="888">
    <w:name w:val="HTML 预设格式 字符"/>
    <w:basedOn w:val="109"/>
    <w:link w:val="57"/>
    <w:qFormat/>
    <w:uiPriority w:val="0"/>
    <w:rPr>
      <w:rFonts w:ascii="宋体" w:hAnsi="宋体" w:eastAsia="宋体" w:cs="宋体"/>
      <w:color w:val="000000"/>
      <w:kern w:val="0"/>
      <w:szCs w:val="21"/>
    </w:rPr>
  </w:style>
  <w:style w:type="character" w:customStyle="1" w:styleId="889">
    <w:name w:val="标题 1 Char1"/>
    <w:uiPriority w:val="0"/>
    <w:rPr>
      <w:rFonts w:eastAsia="仿宋_GB2312"/>
      <w:b/>
      <w:kern w:val="28"/>
      <w:sz w:val="30"/>
      <w:lang w:val="en-US" w:eastAsia="zh-CN" w:bidi="ar-SA"/>
    </w:rPr>
  </w:style>
  <w:style w:type="character" w:customStyle="1" w:styleId="890">
    <w:name w:val="dectext1"/>
    <w:uiPriority w:val="0"/>
    <w:rPr>
      <w:rFonts w:hint="eastAsia" w:ascii="宋体" w:hAnsi="宋体" w:eastAsia="宋体"/>
      <w:color w:val="333333"/>
      <w:sz w:val="21"/>
      <w:szCs w:val="21"/>
      <w:u w:val="none"/>
    </w:rPr>
  </w:style>
  <w:style w:type="paragraph" w:customStyle="1" w:styleId="891">
    <w:name w:val="Char Char Char Char Char Char Char Char Char Char"/>
    <w:basedOn w:val="1"/>
    <w:autoRedefine/>
    <w:uiPriority w:val="0"/>
    <w:pPr>
      <w:spacing w:line="240" w:lineRule="exact"/>
    </w:pPr>
    <w:rPr>
      <w:rFonts w:ascii="宋体" w:hAnsi="宋体" w:cs="宋体"/>
      <w:sz w:val="36"/>
      <w:szCs w:val="36"/>
    </w:rPr>
  </w:style>
  <w:style w:type="paragraph" w:customStyle="1" w:styleId="892">
    <w:name w:val="报告样式"/>
    <w:basedOn w:val="1"/>
    <w:next w:val="1"/>
    <w:uiPriority w:val="0"/>
    <w:rPr>
      <w:rFonts w:cs="Times New Roman"/>
      <w:szCs w:val="24"/>
    </w:rPr>
  </w:style>
  <w:style w:type="character" w:customStyle="1" w:styleId="893">
    <w:name w:val="表头 Char"/>
    <w:uiPriority w:val="0"/>
    <w:rPr>
      <w:rFonts w:ascii="Times New Roman" w:hAnsi="Times New Roman" w:eastAsia="楷体_GB2312" w:cs="Times New Roman"/>
      <w:sz w:val="24"/>
      <w:szCs w:val="20"/>
    </w:rPr>
  </w:style>
  <w:style w:type="paragraph" w:customStyle="1" w:styleId="894">
    <w:name w:val="Char Char Char Char Char Char Char"/>
    <w:basedOn w:val="1"/>
    <w:uiPriority w:val="0"/>
    <w:rPr>
      <w:rFonts w:cs="Times New Roman"/>
      <w:szCs w:val="24"/>
    </w:rPr>
  </w:style>
  <w:style w:type="character" w:customStyle="1" w:styleId="895">
    <w:name w:val="报告正文 Char"/>
    <w:uiPriority w:val="0"/>
    <w:rPr>
      <w:rFonts w:ascii="Times New Roman" w:hAnsi="Times New Roman" w:eastAsia="宋体" w:cs="宋体"/>
      <w:sz w:val="24"/>
      <w:szCs w:val="24"/>
    </w:rPr>
  </w:style>
  <w:style w:type="paragraph" w:customStyle="1" w:styleId="896">
    <w:name w:val="字元 字元3"/>
    <w:basedOn w:val="1"/>
    <w:uiPriority w:val="0"/>
    <w:rPr>
      <w:rFonts w:cs="Times New Roman"/>
      <w:szCs w:val="24"/>
    </w:rPr>
  </w:style>
  <w:style w:type="character" w:customStyle="1" w:styleId="897">
    <w:name w:val="标题 2 Char Char Char Char Char Char1"/>
    <w:uiPriority w:val="0"/>
    <w:rPr>
      <w:rFonts w:ascii="黑体" w:hAnsi="黑体" w:eastAsia="黑体" w:cs="宋体"/>
      <w:bCs/>
      <w:kern w:val="2"/>
      <w:sz w:val="24"/>
      <w:szCs w:val="32"/>
    </w:rPr>
  </w:style>
  <w:style w:type="paragraph" w:customStyle="1" w:styleId="898">
    <w:name w:val="清除格式"/>
    <w:basedOn w:val="1"/>
    <w:uiPriority w:val="0"/>
    <w:rPr>
      <w:rFonts w:ascii="宋体" w:hAnsi="宋体" w:cs="宋体"/>
      <w:szCs w:val="24"/>
    </w:rPr>
  </w:style>
  <w:style w:type="character" w:customStyle="1" w:styleId="899">
    <w:name w:val="apple-style-span"/>
    <w:uiPriority w:val="0"/>
  </w:style>
  <w:style w:type="paragraph" w:customStyle="1" w:styleId="900">
    <w:name w:val="Char Char Char Char Char Char"/>
    <w:basedOn w:val="1"/>
    <w:autoRedefine/>
    <w:uiPriority w:val="0"/>
    <w:pPr>
      <w:widowControl/>
      <w:spacing w:before="312" w:beforeLines="100" w:after="240"/>
      <w:jc w:val="center"/>
      <w:textAlignment w:val="baseline"/>
    </w:pPr>
    <w:rPr>
      <w:rFonts w:ascii="Arial" w:hAnsi="Arial" w:eastAsia="黑体" w:cs="Verdana"/>
      <w:b/>
      <w:bCs/>
      <w:kern w:val="0"/>
      <w:sz w:val="32"/>
      <w:szCs w:val="24"/>
      <w:lang w:val="zh-CN" w:eastAsia="en-US"/>
    </w:rPr>
  </w:style>
  <w:style w:type="paragraph" w:customStyle="1" w:styleId="901">
    <w:name w:val="xl65"/>
    <w:basedOn w:val="1"/>
    <w:uiPriority w:val="0"/>
    <w:pPr>
      <w:widowControl/>
      <w:pBdr>
        <w:top w:val="single" w:color="auto" w:sz="12" w:space="0"/>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02">
    <w:name w:val="xl66"/>
    <w:basedOn w:val="1"/>
    <w:uiPriority w:val="0"/>
    <w:pPr>
      <w:widowControl/>
      <w:pBdr>
        <w:top w:val="single" w:color="auto" w:sz="12" w:space="0"/>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03">
    <w:name w:val="xl67"/>
    <w:basedOn w:val="1"/>
    <w:uiPriority w:val="0"/>
    <w:pPr>
      <w:widowControl/>
      <w:pBdr>
        <w:top w:val="single" w:color="auto" w:sz="12" w:space="0"/>
        <w:bottom w:val="single" w:color="auto" w:sz="8" w:space="0"/>
      </w:pBdr>
      <w:spacing w:before="100" w:beforeAutospacing="1" w:after="100" w:afterAutospacing="1"/>
      <w:jc w:val="center"/>
    </w:pPr>
    <w:rPr>
      <w:rFonts w:ascii="仿宋" w:hAnsi="仿宋" w:eastAsia="仿宋" w:cs="宋体"/>
      <w:kern w:val="0"/>
      <w:szCs w:val="21"/>
    </w:rPr>
  </w:style>
  <w:style w:type="paragraph" w:customStyle="1" w:styleId="904">
    <w:name w:val="xl68"/>
    <w:basedOn w:val="1"/>
    <w:uiPriority w:val="0"/>
    <w:pPr>
      <w:widowControl/>
      <w:pBdr>
        <w:right w:val="single" w:color="auto" w:sz="8" w:space="0"/>
      </w:pBdr>
      <w:spacing w:before="100" w:beforeAutospacing="1" w:after="100" w:afterAutospacing="1"/>
      <w:jc w:val="center"/>
    </w:pPr>
    <w:rPr>
      <w:rFonts w:cs="Times New Roman"/>
      <w:kern w:val="0"/>
      <w:szCs w:val="21"/>
    </w:rPr>
  </w:style>
  <w:style w:type="paragraph" w:customStyle="1" w:styleId="905">
    <w:name w:val="xl69"/>
    <w:basedOn w:val="1"/>
    <w:uiPriority w:val="0"/>
    <w:pPr>
      <w:widowControl/>
      <w:pBdr>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06">
    <w:name w:val="xl70"/>
    <w:basedOn w:val="1"/>
    <w:uiPriority w:val="0"/>
    <w:pPr>
      <w:widowControl/>
      <w:pBdr>
        <w:bottom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07">
    <w:name w:val="xl71"/>
    <w:basedOn w:val="1"/>
    <w:uiPriority w:val="0"/>
    <w:pPr>
      <w:widowControl/>
      <w:pBdr>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08">
    <w:name w:val="xl72"/>
    <w:basedOn w:val="1"/>
    <w:uiPriority w:val="0"/>
    <w:pPr>
      <w:widowControl/>
      <w:pBdr>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09">
    <w:name w:val="xl73"/>
    <w:basedOn w:val="1"/>
    <w:uiPriority w:val="0"/>
    <w:pPr>
      <w:widowControl/>
      <w:pBdr>
        <w:bottom w:val="single" w:color="auto" w:sz="8" w:space="0"/>
      </w:pBdr>
      <w:spacing w:before="100" w:beforeAutospacing="1" w:after="100" w:afterAutospacing="1"/>
      <w:jc w:val="center"/>
    </w:pPr>
    <w:rPr>
      <w:rFonts w:cs="Times New Roman"/>
      <w:kern w:val="0"/>
      <w:szCs w:val="21"/>
    </w:rPr>
  </w:style>
  <w:style w:type="paragraph" w:customStyle="1" w:styleId="910">
    <w:name w:val="xl74"/>
    <w:basedOn w:val="1"/>
    <w:uiPriority w:val="0"/>
    <w:pPr>
      <w:widowControl/>
      <w:pBdr>
        <w:bottom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11">
    <w:name w:val="xl75"/>
    <w:basedOn w:val="1"/>
    <w:uiPriority w:val="0"/>
    <w:pPr>
      <w:widowControl/>
      <w:pBdr>
        <w:bottom w:val="single" w:color="auto" w:sz="8" w:space="0"/>
        <w:right w:val="single" w:color="auto" w:sz="8" w:space="0"/>
      </w:pBdr>
      <w:spacing w:before="100" w:beforeAutospacing="1" w:after="100" w:afterAutospacing="1"/>
      <w:jc w:val="center"/>
    </w:pPr>
    <w:rPr>
      <w:rFonts w:cs="Times New Roman"/>
      <w:color w:val="000000"/>
      <w:kern w:val="0"/>
      <w:szCs w:val="21"/>
    </w:rPr>
  </w:style>
  <w:style w:type="paragraph" w:customStyle="1" w:styleId="912">
    <w:name w:val="xl76"/>
    <w:basedOn w:val="1"/>
    <w:uiPriority w:val="0"/>
    <w:pPr>
      <w:widowControl/>
      <w:pBdr>
        <w:bottom w:val="single" w:color="auto" w:sz="12" w:space="0"/>
        <w:right w:val="single" w:color="auto" w:sz="8" w:space="0"/>
      </w:pBdr>
      <w:spacing w:before="100" w:beforeAutospacing="1" w:after="100" w:afterAutospacing="1"/>
      <w:jc w:val="center"/>
    </w:pPr>
    <w:rPr>
      <w:rFonts w:cs="Times New Roman"/>
      <w:kern w:val="0"/>
      <w:szCs w:val="21"/>
    </w:rPr>
  </w:style>
  <w:style w:type="paragraph" w:customStyle="1" w:styleId="913">
    <w:name w:val="xl77"/>
    <w:basedOn w:val="1"/>
    <w:uiPriority w:val="0"/>
    <w:pPr>
      <w:widowControl/>
      <w:pBdr>
        <w:bottom w:val="single" w:color="auto" w:sz="12"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14">
    <w:name w:val="xl78"/>
    <w:basedOn w:val="1"/>
    <w:uiPriority w:val="0"/>
    <w:pPr>
      <w:widowControl/>
      <w:pBdr>
        <w:bottom w:val="single" w:color="auto" w:sz="12"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15">
    <w:name w:val="xl79"/>
    <w:basedOn w:val="1"/>
    <w:uiPriority w:val="0"/>
    <w:pPr>
      <w:widowControl/>
      <w:pBdr>
        <w:bottom w:val="single" w:color="auto" w:sz="12" w:space="0"/>
      </w:pBdr>
      <w:spacing w:before="100" w:beforeAutospacing="1" w:after="100" w:afterAutospacing="1"/>
      <w:jc w:val="center"/>
    </w:pPr>
    <w:rPr>
      <w:rFonts w:cs="Times New Roman"/>
      <w:kern w:val="0"/>
      <w:szCs w:val="21"/>
    </w:rPr>
  </w:style>
  <w:style w:type="paragraph" w:customStyle="1" w:styleId="916">
    <w:name w:val="xl80"/>
    <w:basedOn w:val="1"/>
    <w:uiPriority w:val="0"/>
    <w:pPr>
      <w:widowControl/>
      <w:pBdr>
        <w:top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17">
    <w:name w:val="xl81"/>
    <w:basedOn w:val="1"/>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18">
    <w:name w:val="xl82"/>
    <w:basedOn w:val="1"/>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19">
    <w:name w:val="xl83"/>
    <w:basedOn w:val="1"/>
    <w:uiPriority w:val="0"/>
    <w:pPr>
      <w:widowControl/>
      <w:pBdr>
        <w:top w:val="single" w:color="auto" w:sz="8" w:space="0"/>
        <w:left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20">
    <w:name w:val="xl84"/>
    <w:basedOn w:val="1"/>
    <w:uiPriority w:val="0"/>
    <w:pPr>
      <w:widowControl/>
      <w:pBdr>
        <w:left w:val="single" w:color="auto" w:sz="8" w:space="0"/>
        <w:bottom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21">
    <w:name w:val="xl85"/>
    <w:basedOn w:val="1"/>
    <w:uiPriority w:val="0"/>
    <w:pPr>
      <w:widowControl/>
      <w:pBdr>
        <w:top w:val="single" w:color="auto" w:sz="8" w:space="0"/>
        <w:left w:val="single" w:color="auto" w:sz="8" w:space="0"/>
      </w:pBdr>
      <w:spacing w:before="100" w:beforeAutospacing="1" w:after="100" w:afterAutospacing="1"/>
      <w:jc w:val="center"/>
    </w:pPr>
    <w:rPr>
      <w:rFonts w:cs="Times New Roman"/>
      <w:kern w:val="0"/>
      <w:szCs w:val="21"/>
    </w:rPr>
  </w:style>
  <w:style w:type="paragraph" w:customStyle="1" w:styleId="922">
    <w:name w:val="xl86"/>
    <w:basedOn w:val="1"/>
    <w:uiPriority w:val="0"/>
    <w:pPr>
      <w:widowControl/>
      <w:pBdr>
        <w:left w:val="single" w:color="auto" w:sz="8" w:space="0"/>
        <w:bottom w:val="single" w:color="auto" w:sz="8" w:space="0"/>
      </w:pBdr>
      <w:spacing w:before="100" w:beforeAutospacing="1" w:after="100" w:afterAutospacing="1"/>
      <w:jc w:val="center"/>
    </w:pPr>
    <w:rPr>
      <w:rFonts w:cs="Times New Roman"/>
      <w:kern w:val="0"/>
      <w:szCs w:val="21"/>
    </w:rPr>
  </w:style>
  <w:style w:type="paragraph" w:customStyle="1" w:styleId="923">
    <w:name w:val="xl87"/>
    <w:basedOn w:val="1"/>
    <w:uiPriority w:val="0"/>
    <w:pPr>
      <w:widowControl/>
      <w:pBdr>
        <w:left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24">
    <w:name w:val="xl88"/>
    <w:basedOn w:val="1"/>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25">
    <w:name w:val="xl89"/>
    <w:basedOn w:val="1"/>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 w:hAnsi="仿宋" w:eastAsia="仿宋" w:cs="宋体"/>
      <w:kern w:val="0"/>
      <w:szCs w:val="21"/>
    </w:rPr>
  </w:style>
  <w:style w:type="paragraph" w:customStyle="1" w:styleId="926">
    <w:name w:val="xl90"/>
    <w:basedOn w:val="1"/>
    <w:uiPriority w:val="0"/>
    <w:pPr>
      <w:widowControl/>
      <w:pBdr>
        <w:bottom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27">
    <w:name w:val="xl91"/>
    <w:basedOn w:val="1"/>
    <w:uiPriority w:val="0"/>
    <w:pPr>
      <w:widowControl/>
      <w:pBdr>
        <w:top w:val="single" w:color="auto" w:sz="8" w:space="0"/>
        <w:left w:val="single" w:color="auto" w:sz="8" w:space="0"/>
        <w:right w:val="single" w:color="auto" w:sz="8" w:space="0"/>
      </w:pBdr>
      <w:spacing w:before="100" w:beforeAutospacing="1" w:after="100" w:afterAutospacing="1"/>
      <w:jc w:val="center"/>
    </w:pPr>
    <w:rPr>
      <w:rFonts w:cs="Times New Roman"/>
      <w:kern w:val="0"/>
      <w:szCs w:val="21"/>
    </w:rPr>
  </w:style>
  <w:style w:type="paragraph" w:customStyle="1" w:styleId="928">
    <w:name w:val="xl92"/>
    <w:basedOn w:val="1"/>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Cs w:val="24"/>
    </w:rPr>
  </w:style>
  <w:style w:type="paragraph" w:customStyle="1" w:styleId="929">
    <w:name w:val="reader-word-layer"/>
    <w:basedOn w:val="1"/>
    <w:uiPriority w:val="0"/>
    <w:pPr>
      <w:widowControl/>
      <w:spacing w:before="100" w:beforeAutospacing="1" w:after="100" w:afterAutospacing="1"/>
      <w:jc w:val="left"/>
    </w:pPr>
    <w:rPr>
      <w:rFonts w:ascii="宋体" w:hAnsi="宋体" w:cs="宋体"/>
      <w:kern w:val="0"/>
      <w:szCs w:val="24"/>
    </w:rPr>
  </w:style>
  <w:style w:type="paragraph" w:customStyle="1" w:styleId="930">
    <w:name w:val="Char Char Char Char Char Char Char Char Char Char Char Char Char"/>
    <w:basedOn w:val="1"/>
    <w:uiPriority w:val="0"/>
    <w:pPr>
      <w:tabs>
        <w:tab w:val="left" w:pos="432"/>
      </w:tabs>
      <w:ind w:left="432" w:hanging="432"/>
    </w:pPr>
    <w:rPr>
      <w:rFonts w:cs="Times New Roman"/>
      <w:szCs w:val="24"/>
    </w:rPr>
  </w:style>
  <w:style w:type="paragraph" w:customStyle="1" w:styleId="931">
    <w:name w:val="p0"/>
    <w:basedOn w:val="1"/>
    <w:uiPriority w:val="0"/>
    <w:pPr>
      <w:widowControl/>
    </w:pPr>
    <w:rPr>
      <w:rFonts w:cs="Times New Roman"/>
      <w:kern w:val="0"/>
      <w:szCs w:val="21"/>
    </w:rPr>
  </w:style>
  <w:style w:type="paragraph" w:customStyle="1" w:styleId="932">
    <w:name w:val="正文文本 22"/>
    <w:basedOn w:val="1"/>
    <w:uiPriority w:val="0"/>
    <w:pPr>
      <w:spacing w:after="120"/>
      <w:ind w:left="420"/>
      <w:textAlignment w:val="baseline"/>
    </w:pPr>
    <w:rPr>
      <w:rFonts w:hint="eastAsia" w:ascii="宋体" w:hAnsi="宋体" w:cs="Times New Roman"/>
      <w:szCs w:val="20"/>
    </w:rPr>
  </w:style>
  <w:style w:type="paragraph" w:customStyle="1" w:styleId="933">
    <w:name w:val="xl64"/>
    <w:basedOn w:val="1"/>
    <w:uiPriority w:val="0"/>
    <w:pPr>
      <w:widowControl/>
      <w:spacing w:before="100" w:beforeAutospacing="1" w:after="100" w:afterAutospacing="1"/>
      <w:jc w:val="center"/>
      <w:textAlignment w:val="bottom"/>
    </w:pPr>
    <w:rPr>
      <w:rFonts w:ascii="仿宋_GB2312" w:hAnsi="宋体" w:cs="宋体"/>
      <w:kern w:val="0"/>
      <w:szCs w:val="21"/>
    </w:rPr>
  </w:style>
  <w:style w:type="character" w:customStyle="1" w:styleId="934">
    <w:name w:val="公示 内容 Char"/>
    <w:link w:val="935"/>
    <w:locked/>
    <w:uiPriority w:val="0"/>
    <w:rPr>
      <w:sz w:val="28"/>
      <w:szCs w:val="28"/>
    </w:rPr>
  </w:style>
  <w:style w:type="paragraph" w:customStyle="1" w:styleId="935">
    <w:name w:val="公示 内容"/>
    <w:link w:val="934"/>
    <w:uiPriority w:val="0"/>
    <w:pPr>
      <w:spacing w:line="500" w:lineRule="exact"/>
      <w:ind w:firstLine="562" w:firstLineChars="200"/>
    </w:pPr>
    <w:rPr>
      <w:rFonts w:asciiTheme="minorHAnsi" w:hAnsiTheme="minorHAnsi" w:eastAsiaTheme="minorEastAsia" w:cstheme="minorBidi"/>
      <w:kern w:val="2"/>
      <w:sz w:val="28"/>
      <w:szCs w:val="28"/>
      <w:lang w:val="en-US" w:eastAsia="zh-CN" w:bidi="ar-SA"/>
    </w:rPr>
  </w:style>
  <w:style w:type="character" w:customStyle="1" w:styleId="936">
    <w:name w:val="正文首行缩进 字符"/>
    <w:basedOn w:val="192"/>
    <w:link w:val="62"/>
    <w:uiPriority w:val="0"/>
    <w:rPr>
      <w:rFonts w:ascii="Calibri" w:hAnsi="Calibri" w:eastAsia="仿宋_GB2312" w:cs="Times New Roman"/>
      <w:sz w:val="28"/>
    </w:rPr>
  </w:style>
  <w:style w:type="table" w:customStyle="1" w:styleId="937">
    <w:name w:val="网格型3"/>
    <w:basedOn w:val="64"/>
    <w:uiPriority w:val="0"/>
    <w:pPr>
      <w:widowControl w:val="0"/>
      <w:adjustRightInd w:val="0"/>
      <w:snapToGrid w:val="0"/>
      <w:ind w:firstLine="200" w:firstLineChars="20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8">
    <w:name w:val="纯文本2"/>
    <w:basedOn w:val="1"/>
    <w:uiPriority w:val="0"/>
    <w:pPr>
      <w:widowControl/>
      <w:jc w:val="left"/>
    </w:pPr>
    <w:rPr>
      <w:rFonts w:ascii="宋体" w:hAnsi="Courier New" w:cs="Times New Roman"/>
      <w:szCs w:val="20"/>
    </w:rPr>
  </w:style>
  <w:style w:type="character" w:customStyle="1" w:styleId="939">
    <w:name w:val="普通(网站) Char"/>
    <w:uiPriority w:val="0"/>
    <w:rPr>
      <w:sz w:val="24"/>
      <w:szCs w:val="24"/>
    </w:rPr>
  </w:style>
  <w:style w:type="paragraph" w:customStyle="1" w:styleId="940">
    <w:name w:val="正文文本 31"/>
    <w:basedOn w:val="1"/>
    <w:uiPriority w:val="0"/>
    <w:pPr>
      <w:widowControl/>
      <w:jc w:val="left"/>
    </w:pPr>
    <w:rPr>
      <w:rFonts w:cs="Times New Roman"/>
      <w:szCs w:val="24"/>
    </w:rPr>
  </w:style>
  <w:style w:type="character" w:customStyle="1" w:styleId="941">
    <w:name w:val="正文首行缩进 2 字符"/>
    <w:basedOn w:val="611"/>
    <w:link w:val="63"/>
    <w:uiPriority w:val="0"/>
    <w:rPr>
      <w:rFonts w:ascii="Arial" w:hAnsi="Arial" w:eastAsia="宋体" w:cs="Times New Roman"/>
      <w:snapToGrid w:val="0"/>
      <w:sz w:val="28"/>
      <w:szCs w:val="32"/>
    </w:rPr>
  </w:style>
  <w:style w:type="character" w:customStyle="1" w:styleId="942">
    <w:name w:val="正文文本缩进 Char5"/>
    <w:uiPriority w:val="0"/>
    <w:rPr>
      <w:rFonts w:ascii="宋体" w:hAnsi="宋体" w:eastAsia="宋体" w:cs="宋体"/>
      <w:sz w:val="24"/>
      <w:szCs w:val="24"/>
      <w:lang w:val="en-US" w:eastAsia="zh-CN" w:bidi="ar-SA"/>
    </w:rPr>
  </w:style>
  <w:style w:type="character" w:customStyle="1" w:styleId="943">
    <w:name w:val="无间隔 Char"/>
    <w:uiPriority w:val="0"/>
    <w:rPr>
      <w:sz w:val="22"/>
    </w:rPr>
  </w:style>
  <w:style w:type="paragraph" w:customStyle="1" w:styleId="944">
    <w:name w:val="Table Paragraph"/>
    <w:basedOn w:val="1"/>
    <w:uiPriority w:val="0"/>
    <w:pPr>
      <w:widowControl/>
      <w:jc w:val="left"/>
    </w:pPr>
    <w:rPr>
      <w:rFonts w:ascii="Calibri" w:hAnsi="Calibri" w:cs="黑体"/>
      <w:kern w:val="0"/>
      <w:sz w:val="22"/>
      <w:lang w:eastAsia="en-US"/>
    </w:rPr>
  </w:style>
  <w:style w:type="paragraph" w:customStyle="1" w:styleId="945">
    <w:name w:val="tt3"/>
    <w:basedOn w:val="1"/>
    <w:uiPriority w:val="0"/>
    <w:pPr>
      <w:widowControl/>
      <w:spacing w:before="100" w:beforeAutospacing="1" w:after="100" w:afterAutospacing="1"/>
      <w:jc w:val="left"/>
    </w:pPr>
    <w:rPr>
      <w:rFonts w:ascii="宋体" w:hAnsi="宋体" w:cs="宋体"/>
      <w:kern w:val="0"/>
      <w:szCs w:val="24"/>
    </w:rPr>
  </w:style>
  <w:style w:type="paragraph" w:customStyle="1" w:styleId="946">
    <w:name w:val="图表目录1"/>
    <w:basedOn w:val="1"/>
    <w:next w:val="1"/>
    <w:uiPriority w:val="0"/>
    <w:pPr>
      <w:widowControl/>
      <w:spacing w:line="500" w:lineRule="atLeast"/>
      <w:jc w:val="center"/>
    </w:pPr>
    <w:rPr>
      <w:rFonts w:hint="eastAsia" w:ascii="仿宋_GB2312" w:hAnsi="宋体" w:cs="宋体"/>
      <w:kern w:val="0"/>
      <w:szCs w:val="24"/>
    </w:rPr>
  </w:style>
  <w:style w:type="paragraph" w:customStyle="1" w:styleId="947">
    <w:name w:val="列表2"/>
    <w:basedOn w:val="1"/>
    <w:uiPriority w:val="0"/>
    <w:pPr>
      <w:widowControl/>
      <w:spacing w:line="320" w:lineRule="exact"/>
      <w:jc w:val="center"/>
    </w:pPr>
    <w:rPr>
      <w:rFonts w:ascii="仿宋_GB2312" w:hAnsi="宋体" w:cs="宋体"/>
      <w:kern w:val="0"/>
      <w:szCs w:val="24"/>
    </w:rPr>
  </w:style>
  <w:style w:type="character" w:customStyle="1" w:styleId="948">
    <w:name w:val="列出段落 Char"/>
    <w:uiPriority w:val="0"/>
    <w:rPr>
      <w:rFonts w:ascii="Arial" w:hAnsi="Arial" w:eastAsia="仿宋_GB2312"/>
      <w:sz w:val="28"/>
    </w:rPr>
  </w:style>
  <w:style w:type="character" w:customStyle="1" w:styleId="949">
    <w:name w:val="表内5 Char41"/>
    <w:uiPriority w:val="0"/>
    <w:rPr>
      <w:rFonts w:ascii="宋体" w:hAnsi="宋体" w:eastAsia="宋体" w:cs="Times New Roman"/>
      <w:kern w:val="2"/>
      <w:sz w:val="24"/>
      <w:szCs w:val="21"/>
      <w:lang w:val="en-US" w:eastAsia="zh-CN"/>
    </w:rPr>
  </w:style>
  <w:style w:type="character" w:customStyle="1" w:styleId="950">
    <w:name w:val="批注框文本 Char7"/>
    <w:uiPriority w:val="0"/>
    <w:rPr>
      <w:rFonts w:ascii="Times New Roman" w:hAnsi="Times New Roman" w:eastAsia="宋体" w:cs="Times New Roman"/>
      <w:kern w:val="2"/>
      <w:sz w:val="18"/>
      <w:szCs w:val="18"/>
      <w:lang w:val="en-US" w:eastAsia="zh-CN"/>
    </w:rPr>
  </w:style>
  <w:style w:type="character" w:customStyle="1" w:styleId="951">
    <w:name w:val="页码1"/>
    <w:uiPriority w:val="0"/>
  </w:style>
  <w:style w:type="paragraph" w:customStyle="1" w:styleId="952">
    <w:name w:val="框图"/>
    <w:basedOn w:val="1"/>
    <w:uiPriority w:val="0"/>
    <w:pPr>
      <w:widowControl/>
      <w:ind w:left="2" w:leftChars="-38" w:right="-106" w:rightChars="-38" w:hanging="108" w:hangingChars="54"/>
      <w:jc w:val="center"/>
    </w:pPr>
    <w:rPr>
      <w:rFonts w:ascii="仿宋_GB2312" w:hAnsi="宋体" w:cs="宋体"/>
      <w:kern w:val="0"/>
      <w:sz w:val="20"/>
      <w:szCs w:val="20"/>
    </w:rPr>
  </w:style>
  <w:style w:type="paragraph" w:customStyle="1" w:styleId="953">
    <w:name w:val="xl22"/>
    <w:basedOn w:val="1"/>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954">
    <w:name w:val="正文格式＝2"/>
    <w:basedOn w:val="207"/>
    <w:next w:val="207"/>
    <w:uiPriority w:val="0"/>
    <w:rPr>
      <w:rFonts w:hAnsi="宋体"/>
      <w:szCs w:val="24"/>
    </w:rPr>
  </w:style>
  <w:style w:type="paragraph" w:customStyle="1" w:styleId="955">
    <w:name w:val="列表3"/>
    <w:basedOn w:val="1"/>
    <w:uiPriority w:val="0"/>
    <w:pPr>
      <w:widowControl/>
      <w:spacing w:line="360" w:lineRule="exact"/>
      <w:jc w:val="center"/>
    </w:pPr>
    <w:rPr>
      <w:rFonts w:ascii="仿宋_GB2312" w:hAnsi="宋体" w:cs="宋体"/>
      <w:kern w:val="0"/>
      <w:szCs w:val="20"/>
    </w:rPr>
  </w:style>
  <w:style w:type="paragraph" w:customStyle="1" w:styleId="956">
    <w:name w:val="列出段落3"/>
    <w:basedOn w:val="1"/>
    <w:uiPriority w:val="0"/>
    <w:pPr>
      <w:widowControl/>
      <w:ind w:firstLine="420"/>
      <w:jc w:val="left"/>
    </w:pPr>
    <w:rPr>
      <w:rFonts w:ascii="宋体" w:hAnsi="宋体" w:cs="宋体"/>
      <w:kern w:val="0"/>
      <w:szCs w:val="24"/>
    </w:rPr>
  </w:style>
  <w:style w:type="paragraph" w:customStyle="1" w:styleId="957">
    <w:name w:val="Char Char2 Char Char Char Char18"/>
    <w:basedOn w:val="1"/>
    <w:uiPriority w:val="0"/>
    <w:pPr>
      <w:widowControl/>
      <w:jc w:val="left"/>
    </w:pPr>
    <w:rPr>
      <w:rFonts w:ascii="宋体" w:hAnsi="宋体" w:cs="宋体"/>
      <w:kern w:val="0"/>
      <w:szCs w:val="24"/>
    </w:rPr>
  </w:style>
  <w:style w:type="character" w:customStyle="1" w:styleId="958">
    <w:name w:val="Char Char620"/>
    <w:uiPriority w:val="0"/>
    <w:rPr>
      <w:rFonts w:ascii="黑体" w:eastAsia="黑体"/>
      <w:b/>
      <w:bCs/>
      <w:kern w:val="2"/>
      <w:sz w:val="28"/>
      <w:szCs w:val="28"/>
      <w:lang w:val="en-US" w:eastAsia="zh-CN"/>
    </w:rPr>
  </w:style>
  <w:style w:type="character" w:customStyle="1" w:styleId="959">
    <w:name w:val="Char Char34"/>
    <w:uiPriority w:val="0"/>
    <w:rPr>
      <w:rFonts w:ascii="黑体" w:hAnsi="宋体" w:eastAsia="黑体"/>
      <w:b/>
      <w:bCs/>
      <w:kern w:val="2"/>
      <w:sz w:val="28"/>
      <w:szCs w:val="28"/>
      <w:lang w:val="en-US" w:eastAsia="zh-CN"/>
    </w:rPr>
  </w:style>
  <w:style w:type="character" w:customStyle="1" w:styleId="960">
    <w:name w:val="style61"/>
    <w:uiPriority w:val="0"/>
    <w:rPr>
      <w:sz w:val="45"/>
      <w:szCs w:val="45"/>
    </w:rPr>
  </w:style>
  <w:style w:type="table" w:customStyle="1" w:styleId="961">
    <w:name w:val="网格型11"/>
    <w:basedOn w:val="64"/>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62">
    <w:name w:val="Char Char19"/>
    <w:uiPriority w:val="0"/>
    <w:rPr>
      <w:rFonts w:eastAsia="仿宋_GB2312"/>
      <w:b/>
      <w:bCs/>
      <w:snapToGrid w:val="0"/>
      <w:sz w:val="32"/>
      <w:szCs w:val="44"/>
      <w:lang w:val="zh-CN" w:eastAsia="zh-CN" w:bidi="ar-SA"/>
    </w:rPr>
  </w:style>
  <w:style w:type="paragraph" w:customStyle="1" w:styleId="963">
    <w:name w:val="样式10"/>
    <w:basedOn w:val="4"/>
    <w:uiPriority w:val="0"/>
    <w:pPr>
      <w:widowControl/>
      <w:numPr>
        <w:ilvl w:val="0"/>
        <w:numId w:val="0"/>
      </w:numPr>
    </w:pPr>
    <w:rPr>
      <w:rFonts w:eastAsia="黑体"/>
      <w:szCs w:val="24"/>
    </w:rPr>
  </w:style>
  <w:style w:type="character" w:customStyle="1" w:styleId="964">
    <w:name w:val="页眉zxl Char3"/>
    <w:uiPriority w:val="0"/>
    <w:rPr>
      <w:rFonts w:eastAsia="宋体"/>
      <w:kern w:val="2"/>
      <w:sz w:val="18"/>
      <w:szCs w:val="18"/>
      <w:lang w:val="en-US" w:eastAsia="zh-CN"/>
    </w:rPr>
  </w:style>
  <w:style w:type="paragraph" w:customStyle="1" w:styleId="965">
    <w:name w:val="列表4"/>
    <w:basedOn w:val="1"/>
    <w:uiPriority w:val="0"/>
    <w:pPr>
      <w:widowControl/>
      <w:spacing w:line="360" w:lineRule="exact"/>
      <w:jc w:val="center"/>
    </w:pPr>
    <w:rPr>
      <w:rFonts w:ascii="仿宋_GB2312" w:hAnsi="宋体" w:cs="宋体"/>
      <w:kern w:val="0"/>
      <w:szCs w:val="20"/>
    </w:rPr>
  </w:style>
  <w:style w:type="character" w:customStyle="1" w:styleId="966">
    <w:name w:val="正文修改 Char1413"/>
    <w:uiPriority w:val="0"/>
    <w:rPr>
      <w:rFonts w:ascii="宋体" w:cs="宋体"/>
      <w:kern w:val="2"/>
      <w:sz w:val="24"/>
      <w:szCs w:val="24"/>
    </w:rPr>
  </w:style>
  <w:style w:type="character" w:customStyle="1" w:styleId="967">
    <w:name w:val="表中文字 Char41"/>
    <w:uiPriority w:val="0"/>
    <w:rPr>
      <w:rFonts w:ascii="Arial" w:hAnsi="Arial" w:eastAsia="宋体" w:cs="Times New Roman"/>
      <w:kern w:val="0"/>
      <w:sz w:val="20"/>
      <w:szCs w:val="24"/>
      <w:lang w:val="en-US" w:eastAsia="zh-TW"/>
    </w:rPr>
  </w:style>
  <w:style w:type="character" w:customStyle="1" w:styleId="968">
    <w:name w:val="表格内容 Char21"/>
    <w:uiPriority w:val="0"/>
    <w:rPr>
      <w:rFonts w:eastAsia="宋体"/>
      <w:kern w:val="2"/>
      <w:sz w:val="21"/>
      <w:szCs w:val="21"/>
      <w:lang w:val="en-US" w:eastAsia="zh-CN"/>
    </w:rPr>
  </w:style>
  <w:style w:type="character" w:customStyle="1" w:styleId="969">
    <w:name w:val="Char Char1141"/>
    <w:uiPriority w:val="0"/>
    <w:rPr>
      <w:rFonts w:ascii="黑体" w:hAnsi="Arial" w:eastAsia="黑体"/>
      <w:bCs/>
      <w:kern w:val="2"/>
      <w:sz w:val="30"/>
      <w:szCs w:val="30"/>
      <w:lang w:val="en-US" w:eastAsia="zh-CN"/>
    </w:rPr>
  </w:style>
  <w:style w:type="character" w:customStyle="1" w:styleId="970">
    <w:name w:val="批注框文本 Char3"/>
    <w:uiPriority w:val="0"/>
    <w:rPr>
      <w:rFonts w:ascii="Times New Roman" w:hAnsi="Times New Roman" w:eastAsia="宋体" w:cs="Times New Roman"/>
      <w:kern w:val="2"/>
      <w:sz w:val="18"/>
      <w:szCs w:val="18"/>
      <w:lang w:val="en-US" w:eastAsia="zh-CN"/>
    </w:rPr>
  </w:style>
  <w:style w:type="character" w:customStyle="1" w:styleId="971">
    <w:name w:val="表中文字 Char25"/>
    <w:uiPriority w:val="0"/>
    <w:rPr>
      <w:rFonts w:ascii="宋体" w:eastAsia="宋体"/>
      <w:kern w:val="2"/>
      <w:sz w:val="21"/>
      <w:szCs w:val="21"/>
      <w:lang w:val="en-US" w:eastAsia="zh-CN"/>
    </w:rPr>
  </w:style>
  <w:style w:type="character" w:customStyle="1" w:styleId="972">
    <w:name w:val="标题 1 Char41"/>
    <w:uiPriority w:val="0"/>
    <w:rPr>
      <w:rFonts w:ascii="黑体" w:hAnsi="宋体" w:eastAsia="黑体"/>
      <w:b/>
      <w:bCs/>
      <w:kern w:val="44"/>
      <w:sz w:val="32"/>
      <w:szCs w:val="32"/>
      <w:lang w:val="en-US" w:eastAsia="zh-CN"/>
    </w:rPr>
  </w:style>
  <w:style w:type="character" w:customStyle="1" w:styleId="973">
    <w:name w:val="文本框五号1.5倍行距 Char Char"/>
    <w:uiPriority w:val="0"/>
    <w:rPr>
      <w:rFonts w:ascii="宋体" w:hAnsi="宋体" w:eastAsia="仿宋_GB2312" w:cs="Courier New"/>
      <w:kern w:val="2"/>
      <w:sz w:val="21"/>
      <w:szCs w:val="21"/>
      <w:lang w:val="en-US" w:eastAsia="zh-CN"/>
    </w:rPr>
  </w:style>
  <w:style w:type="character" w:customStyle="1" w:styleId="974">
    <w:name w:val="样式 表内小5 + 黑体 加粗 倾斜 下划线 Char511"/>
    <w:uiPriority w:val="0"/>
    <w:rPr>
      <w:rFonts w:ascii="黑体" w:hAnsi="黑体" w:eastAsia="黑体"/>
      <w:b/>
      <w:bCs/>
      <w:i/>
      <w:iCs/>
      <w:kern w:val="2"/>
      <w:sz w:val="18"/>
      <w:szCs w:val="24"/>
      <w:u w:val="single"/>
      <w:lang w:val="en-US" w:eastAsia="zh-CN"/>
    </w:rPr>
  </w:style>
  <w:style w:type="character" w:customStyle="1" w:styleId="975">
    <w:name w:val="表中文字 Char28"/>
    <w:uiPriority w:val="0"/>
    <w:rPr>
      <w:rFonts w:ascii="宋体" w:eastAsia="宋体"/>
      <w:kern w:val="2"/>
      <w:sz w:val="21"/>
      <w:szCs w:val="21"/>
      <w:lang w:val="en-US" w:eastAsia="zh-CN"/>
    </w:rPr>
  </w:style>
  <w:style w:type="character" w:customStyle="1" w:styleId="976">
    <w:name w:val="正文修改 Char124"/>
    <w:uiPriority w:val="0"/>
    <w:rPr>
      <w:rFonts w:ascii="宋体" w:hAnsi="宋体" w:eastAsia="宋体" w:cs="宋体"/>
      <w:color w:val="000000"/>
      <w:kern w:val="2"/>
      <w:sz w:val="24"/>
      <w:szCs w:val="24"/>
      <w:lang w:val="en-US" w:eastAsia="zh-CN"/>
    </w:rPr>
  </w:style>
  <w:style w:type="character" w:customStyle="1" w:styleId="977">
    <w:name w:val="燕山正文 Char17"/>
    <w:uiPriority w:val="0"/>
    <w:rPr>
      <w:rFonts w:ascii="宋体" w:hAnsi="Times New Roman" w:eastAsia="宋体" w:cs="宋体"/>
      <w:kern w:val="2"/>
      <w:sz w:val="24"/>
      <w:szCs w:val="24"/>
      <w:lang w:val="en-US" w:eastAsia="zh-CN"/>
    </w:rPr>
  </w:style>
  <w:style w:type="character" w:customStyle="1" w:styleId="978">
    <w:name w:val="题注 Char12"/>
    <w:uiPriority w:val="0"/>
    <w:rPr>
      <w:rFonts w:ascii="黑体" w:hAnsi="Arial" w:eastAsia="黑体" w:cs="Arial"/>
      <w:b/>
      <w:kern w:val="2"/>
      <w:sz w:val="24"/>
      <w:szCs w:val="24"/>
      <w:lang w:val="en-US" w:eastAsia="zh-CN"/>
    </w:rPr>
  </w:style>
  <w:style w:type="character" w:customStyle="1" w:styleId="979">
    <w:name w:val="样式 正文缩进 + 宋体 黑色 Char2"/>
    <w:uiPriority w:val="0"/>
    <w:rPr>
      <w:rFonts w:ascii="宋体" w:hAnsi="宋体" w:eastAsia="宋体"/>
      <w:color w:val="000000"/>
      <w:kern w:val="2"/>
      <w:sz w:val="24"/>
      <w:szCs w:val="24"/>
      <w:lang w:val="en-US" w:eastAsia="zh-CN"/>
    </w:rPr>
  </w:style>
  <w:style w:type="character" w:customStyle="1" w:styleId="980">
    <w:name w:val="表题1 Char612"/>
    <w:uiPriority w:val="0"/>
    <w:rPr>
      <w:rFonts w:ascii="黑体" w:hAnsi="Arial" w:eastAsia="黑体" w:cs="Arial"/>
      <w:b/>
      <w:kern w:val="2"/>
      <w:sz w:val="24"/>
      <w:szCs w:val="24"/>
      <w:lang w:val="en-US" w:eastAsia="zh-CN"/>
    </w:rPr>
  </w:style>
  <w:style w:type="character" w:customStyle="1" w:styleId="981">
    <w:name w:val="题注 Char311"/>
    <w:uiPriority w:val="0"/>
    <w:rPr>
      <w:rFonts w:ascii="黑体" w:hAnsi="Arial" w:eastAsia="黑体" w:cs="Arial"/>
      <w:b/>
      <w:kern w:val="2"/>
      <w:sz w:val="24"/>
      <w:szCs w:val="24"/>
      <w:lang w:val="en-US" w:eastAsia="zh-CN"/>
    </w:rPr>
  </w:style>
  <w:style w:type="character" w:customStyle="1" w:styleId="982">
    <w:name w:val="正文首行缩进 Char2 Char"/>
    <w:uiPriority w:val="0"/>
    <w:rPr>
      <w:rFonts w:eastAsia="宋体"/>
      <w:sz w:val="18"/>
      <w:szCs w:val="24"/>
      <w:lang w:val="en-US" w:eastAsia="zh-CN"/>
    </w:rPr>
  </w:style>
  <w:style w:type="character" w:customStyle="1" w:styleId="983">
    <w:name w:val="表格标题 Char"/>
    <w:uiPriority w:val="0"/>
    <w:rPr>
      <w:rFonts w:ascii="Arial" w:hAnsi="Arial" w:eastAsia="黑体"/>
      <w:sz w:val="24"/>
      <w:lang w:val="en-US" w:eastAsia="zh-CN"/>
    </w:rPr>
  </w:style>
  <w:style w:type="character" w:customStyle="1" w:styleId="984">
    <w:name w:val="表中文字 Char21"/>
    <w:uiPriority w:val="0"/>
    <w:rPr>
      <w:rFonts w:ascii="宋体" w:eastAsia="宋体"/>
      <w:kern w:val="2"/>
      <w:sz w:val="21"/>
      <w:szCs w:val="21"/>
      <w:lang w:val="en-US" w:eastAsia="zh-CN"/>
    </w:rPr>
  </w:style>
  <w:style w:type="character" w:customStyle="1" w:styleId="985">
    <w:name w:val="Char Char38"/>
    <w:uiPriority w:val="0"/>
    <w:rPr>
      <w:rFonts w:ascii="黑体" w:hAnsi="宋体" w:eastAsia="黑体"/>
      <w:b/>
      <w:bCs/>
      <w:kern w:val="2"/>
      <w:sz w:val="28"/>
      <w:szCs w:val="28"/>
      <w:lang w:val="en-US" w:eastAsia="zh-CN"/>
    </w:rPr>
  </w:style>
  <w:style w:type="character" w:customStyle="1" w:styleId="986">
    <w:name w:val="标题 6 Char11"/>
    <w:uiPriority w:val="0"/>
    <w:rPr>
      <w:rFonts w:ascii="Arial" w:hAnsi="Arial" w:eastAsia="黑体"/>
      <w:b/>
      <w:bCs/>
      <w:kern w:val="2"/>
      <w:sz w:val="24"/>
      <w:szCs w:val="24"/>
      <w:lang w:val="en-US" w:eastAsia="zh-CN"/>
    </w:rPr>
  </w:style>
  <w:style w:type="character" w:customStyle="1" w:styleId="987">
    <w:name w:val="正文斜体 Char31"/>
    <w:uiPriority w:val="0"/>
    <w:rPr>
      <w:rFonts w:ascii="宋体" w:hAnsi="宋体" w:eastAsia="宋体" w:cs="Times New Roman"/>
      <w:i/>
      <w:iCs/>
      <w:kern w:val="2"/>
      <w:sz w:val="24"/>
      <w:szCs w:val="24"/>
      <w:lang w:val="en-US" w:eastAsia="zh-CN"/>
    </w:rPr>
  </w:style>
  <w:style w:type="character" w:customStyle="1" w:styleId="988">
    <w:name w:val="标题 2 Char Char1"/>
    <w:uiPriority w:val="0"/>
    <w:rPr>
      <w:rFonts w:ascii="黑体" w:hAnsi="Arial" w:eastAsia="黑体"/>
      <w:bCs/>
      <w:kern w:val="2"/>
      <w:sz w:val="30"/>
      <w:szCs w:val="30"/>
      <w:lang w:val="en-US" w:eastAsia="zh-CN"/>
    </w:rPr>
  </w:style>
  <w:style w:type="character" w:customStyle="1" w:styleId="989">
    <w:name w:val="标题 2 Char4"/>
    <w:uiPriority w:val="0"/>
    <w:rPr>
      <w:rFonts w:ascii="黑体" w:hAnsi="Arial" w:eastAsia="黑体" w:cs="Times New Roman"/>
      <w:bCs/>
      <w:kern w:val="2"/>
      <w:sz w:val="30"/>
      <w:szCs w:val="30"/>
      <w:lang w:val="en-US" w:eastAsia="zh-CN"/>
    </w:rPr>
  </w:style>
  <w:style w:type="character" w:customStyle="1" w:styleId="990">
    <w:name w:val="Char Char611"/>
    <w:uiPriority w:val="0"/>
    <w:rPr>
      <w:rFonts w:ascii="黑体" w:eastAsia="黑体"/>
      <w:b/>
      <w:bCs/>
      <w:kern w:val="2"/>
      <w:sz w:val="28"/>
      <w:szCs w:val="28"/>
      <w:lang w:val="en-US" w:eastAsia="zh-CN"/>
    </w:rPr>
  </w:style>
  <w:style w:type="character" w:customStyle="1" w:styleId="991">
    <w:name w:val="标题 6 Char21"/>
    <w:uiPriority w:val="0"/>
    <w:rPr>
      <w:rFonts w:ascii="Arial" w:hAnsi="Arial" w:eastAsia="黑体" w:cs="Times New Roman"/>
      <w:b/>
      <w:bCs/>
      <w:kern w:val="2"/>
      <w:sz w:val="24"/>
      <w:szCs w:val="24"/>
      <w:lang w:val="en-US" w:eastAsia="zh-CN"/>
    </w:rPr>
  </w:style>
  <w:style w:type="character" w:customStyle="1" w:styleId="992">
    <w:name w:val="题注 Char112"/>
    <w:uiPriority w:val="0"/>
    <w:rPr>
      <w:rFonts w:ascii="黑体" w:hAnsi="Arial" w:eastAsia="黑体" w:cs="Arial"/>
      <w:b/>
      <w:kern w:val="2"/>
      <w:sz w:val="24"/>
      <w:szCs w:val="24"/>
      <w:lang w:val="en-US" w:eastAsia="zh-CN"/>
    </w:rPr>
  </w:style>
  <w:style w:type="character" w:customStyle="1" w:styleId="993">
    <w:name w:val="font51"/>
    <w:qFormat/>
    <w:uiPriority w:val="0"/>
    <w:rPr>
      <w:rFonts w:hint="eastAsia" w:ascii="宋体" w:hAnsi="宋体" w:eastAsia="宋体"/>
      <w:color w:val="000000"/>
      <w:sz w:val="15"/>
      <w:szCs w:val="15"/>
      <w:u w:val="none"/>
    </w:rPr>
  </w:style>
  <w:style w:type="character" w:customStyle="1" w:styleId="994">
    <w:name w:val="标题 3 Char121"/>
    <w:uiPriority w:val="0"/>
    <w:rPr>
      <w:rFonts w:ascii="黑体" w:hAnsi="宋体" w:eastAsia="黑体"/>
      <w:b/>
      <w:bCs/>
      <w:kern w:val="2"/>
      <w:sz w:val="28"/>
      <w:szCs w:val="28"/>
      <w:lang w:val="en-US" w:eastAsia="zh-CN"/>
    </w:rPr>
  </w:style>
  <w:style w:type="character" w:customStyle="1" w:styleId="995">
    <w:name w:val="标题 4 Char2"/>
    <w:uiPriority w:val="0"/>
    <w:rPr>
      <w:rFonts w:ascii="黑体" w:hAnsi="Arial" w:eastAsia="黑体"/>
      <w:b/>
      <w:bCs/>
      <w:kern w:val="2"/>
      <w:sz w:val="24"/>
      <w:szCs w:val="24"/>
      <w:lang w:val="en-US" w:eastAsia="zh-CN"/>
    </w:rPr>
  </w:style>
  <w:style w:type="character" w:customStyle="1" w:styleId="996">
    <w:name w:val="Char Char121"/>
    <w:uiPriority w:val="0"/>
    <w:rPr>
      <w:rFonts w:ascii="黑体" w:hAnsi="Arial" w:eastAsia="黑体"/>
      <w:b/>
      <w:bCs/>
      <w:kern w:val="2"/>
      <w:sz w:val="30"/>
      <w:szCs w:val="30"/>
      <w:lang w:val="en-US" w:eastAsia="zh-CN"/>
    </w:rPr>
  </w:style>
  <w:style w:type="character" w:customStyle="1" w:styleId="997">
    <w:name w:val="正文斜体 Char13"/>
    <w:uiPriority w:val="0"/>
    <w:rPr>
      <w:rFonts w:ascii="宋体" w:hAnsi="宋体" w:eastAsia="宋体"/>
      <w:i/>
      <w:iCs/>
      <w:kern w:val="2"/>
      <w:sz w:val="24"/>
      <w:szCs w:val="24"/>
      <w:lang w:val="en-US" w:eastAsia="zh-CN"/>
    </w:rPr>
  </w:style>
  <w:style w:type="character" w:customStyle="1" w:styleId="998">
    <w:name w:val="Char Char2111"/>
    <w:uiPriority w:val="0"/>
    <w:rPr>
      <w:rFonts w:ascii="黑体" w:eastAsia="宋体"/>
      <w:kern w:val="2"/>
      <w:sz w:val="16"/>
      <w:szCs w:val="16"/>
      <w:lang w:val="en-US" w:eastAsia="zh-CN"/>
    </w:rPr>
  </w:style>
  <w:style w:type="character" w:customStyle="1" w:styleId="999">
    <w:name w:val="标题 8 Char2"/>
    <w:uiPriority w:val="0"/>
    <w:rPr>
      <w:rFonts w:ascii="Arial" w:hAnsi="Arial" w:eastAsia="黑体" w:cs="Times New Roman"/>
      <w:kern w:val="2"/>
      <w:sz w:val="24"/>
      <w:szCs w:val="24"/>
      <w:lang w:val="en-US" w:eastAsia="zh-CN"/>
    </w:rPr>
  </w:style>
  <w:style w:type="character" w:customStyle="1" w:styleId="1000">
    <w:name w:val="注 Char3"/>
    <w:uiPriority w:val="0"/>
    <w:rPr>
      <w:rFonts w:ascii="Arial" w:hAnsi="Arial" w:eastAsia="黑体"/>
      <w:kern w:val="2"/>
      <w:sz w:val="24"/>
      <w:szCs w:val="24"/>
      <w:lang w:val="en-US" w:eastAsia="zh-CN"/>
    </w:rPr>
  </w:style>
  <w:style w:type="character" w:customStyle="1" w:styleId="1001">
    <w:name w:val="正文文本缩进 3 Char21"/>
    <w:uiPriority w:val="0"/>
    <w:rPr>
      <w:rFonts w:eastAsia="宋体"/>
      <w:kern w:val="2"/>
      <w:sz w:val="16"/>
      <w:szCs w:val="16"/>
      <w:lang w:val="en-US" w:eastAsia="zh-CN"/>
    </w:rPr>
  </w:style>
  <w:style w:type="character" w:customStyle="1" w:styleId="1002">
    <w:name w:val="表题1 Char81"/>
    <w:uiPriority w:val="0"/>
    <w:rPr>
      <w:rFonts w:ascii="黑体" w:hAnsi="Arial" w:eastAsia="黑体" w:cs="Arial"/>
      <w:b/>
      <w:kern w:val="2"/>
      <w:sz w:val="24"/>
      <w:szCs w:val="24"/>
      <w:lang w:val="en-US" w:eastAsia="zh-CN"/>
    </w:rPr>
  </w:style>
  <w:style w:type="character" w:customStyle="1" w:styleId="1003">
    <w:name w:val="燕山正文 Char12"/>
    <w:uiPriority w:val="0"/>
    <w:rPr>
      <w:rFonts w:ascii="宋体" w:eastAsia="宋体" w:cs="宋体"/>
      <w:kern w:val="2"/>
      <w:sz w:val="24"/>
      <w:szCs w:val="24"/>
      <w:lang w:val="en-US" w:eastAsia="zh-CN"/>
    </w:rPr>
  </w:style>
  <w:style w:type="character" w:customStyle="1" w:styleId="1004">
    <w:name w:val="标题 3 Char2"/>
    <w:uiPriority w:val="0"/>
    <w:rPr>
      <w:rFonts w:ascii="黑体" w:hAnsi="宋体" w:eastAsia="黑体"/>
      <w:b/>
      <w:bCs/>
      <w:kern w:val="2"/>
      <w:sz w:val="28"/>
      <w:szCs w:val="28"/>
      <w:lang w:val="en-US" w:eastAsia="zh-CN"/>
    </w:rPr>
  </w:style>
  <w:style w:type="character" w:customStyle="1" w:styleId="1005">
    <w:name w:val="标题 2 Char7"/>
    <w:uiPriority w:val="0"/>
    <w:rPr>
      <w:rFonts w:ascii="黑体" w:hAnsi="Arial" w:eastAsia="黑体" w:cs="Times New Roman"/>
      <w:bCs/>
      <w:kern w:val="2"/>
      <w:sz w:val="30"/>
      <w:szCs w:val="30"/>
      <w:lang w:val="en-US" w:eastAsia="zh-CN"/>
    </w:rPr>
  </w:style>
  <w:style w:type="character" w:customStyle="1" w:styleId="1006">
    <w:name w:val="表题1 Char43"/>
    <w:uiPriority w:val="0"/>
    <w:rPr>
      <w:rFonts w:ascii="黑体" w:hAnsi="Arial" w:eastAsia="黑体" w:cs="Arial"/>
      <w:b/>
      <w:kern w:val="2"/>
      <w:sz w:val="24"/>
      <w:szCs w:val="24"/>
      <w:lang w:val="en-US" w:eastAsia="zh-CN"/>
    </w:rPr>
  </w:style>
  <w:style w:type="character" w:customStyle="1" w:styleId="1007">
    <w:name w:val="表题 Char4"/>
    <w:uiPriority w:val="0"/>
    <w:rPr>
      <w:rFonts w:ascii="黑体" w:hAnsi="Arial" w:eastAsia="黑体" w:cs="Arial"/>
      <w:b/>
      <w:kern w:val="2"/>
      <w:sz w:val="24"/>
      <w:szCs w:val="24"/>
      <w:lang w:val="en-US" w:eastAsia="zh-CN"/>
    </w:rPr>
  </w:style>
  <w:style w:type="character" w:customStyle="1" w:styleId="1008">
    <w:name w:val="图题 Char3"/>
    <w:uiPriority w:val="0"/>
    <w:rPr>
      <w:rFonts w:ascii="黑体" w:hAnsi="宋体" w:eastAsia="黑体" w:cs="宋体"/>
      <w:b/>
      <w:bCs/>
      <w:kern w:val="2"/>
      <w:sz w:val="24"/>
      <w:szCs w:val="24"/>
      <w:lang w:val="en-US" w:eastAsia="zh-CN"/>
    </w:rPr>
  </w:style>
  <w:style w:type="character" w:customStyle="1" w:styleId="1009">
    <w:name w:val="标题 2 Char Char"/>
    <w:uiPriority w:val="0"/>
  </w:style>
  <w:style w:type="character" w:customStyle="1" w:styleId="1010">
    <w:name w:val="Char Char513"/>
    <w:uiPriority w:val="0"/>
    <w:rPr>
      <w:rFonts w:ascii="黑体" w:hAnsi="宋体" w:eastAsia="黑体"/>
      <w:bCs/>
      <w:kern w:val="2"/>
      <w:sz w:val="28"/>
      <w:szCs w:val="28"/>
      <w:lang w:val="en-US" w:eastAsia="zh-CN"/>
    </w:rPr>
  </w:style>
  <w:style w:type="character" w:customStyle="1" w:styleId="1011">
    <w:name w:val="正文缩进 Char4"/>
    <w:uiPriority w:val="0"/>
    <w:rPr>
      <w:rFonts w:ascii="宋体" w:hAnsi="宋体" w:eastAsia="宋体" w:cs="宋体"/>
      <w:color w:val="000000"/>
      <w:kern w:val="2"/>
      <w:sz w:val="24"/>
      <w:szCs w:val="24"/>
      <w:lang w:val="en-US" w:eastAsia="zh-CN"/>
    </w:rPr>
  </w:style>
  <w:style w:type="character" w:customStyle="1" w:styleId="1012">
    <w:name w:val="Char Char51"/>
    <w:uiPriority w:val="0"/>
    <w:rPr>
      <w:rFonts w:ascii="黑体" w:hAnsi="宋体" w:eastAsia="黑体"/>
      <w:bCs/>
      <w:kern w:val="2"/>
      <w:sz w:val="28"/>
      <w:szCs w:val="28"/>
      <w:lang w:val="en-US" w:eastAsia="zh-CN"/>
    </w:rPr>
  </w:style>
  <w:style w:type="character" w:customStyle="1" w:styleId="1013">
    <w:name w:val="HTML 定义1"/>
    <w:uiPriority w:val="0"/>
    <w:rPr>
      <w:rFonts w:ascii="宋体" w:hAnsi="宋体" w:eastAsia="宋体" w:cs="Courier New"/>
      <w:i/>
      <w:iCs/>
      <w:kern w:val="2"/>
      <w:sz w:val="32"/>
      <w:szCs w:val="32"/>
      <w:lang w:val="en-US" w:eastAsia="zh-CN"/>
    </w:rPr>
  </w:style>
  <w:style w:type="character" w:customStyle="1" w:styleId="1014">
    <w:name w:val="福建正文缩进 Char1"/>
    <w:uiPriority w:val="0"/>
    <w:rPr>
      <w:rFonts w:ascii="宋体" w:eastAsia="宋体"/>
      <w:kern w:val="2"/>
      <w:sz w:val="24"/>
      <w:szCs w:val="24"/>
      <w:lang w:val="en-US" w:eastAsia="zh-CN"/>
    </w:rPr>
  </w:style>
  <w:style w:type="character" w:customStyle="1" w:styleId="1015">
    <w:name w:val="表中文字 Char271"/>
    <w:uiPriority w:val="0"/>
    <w:rPr>
      <w:rFonts w:ascii="宋体" w:hAnsi="Times New Roman" w:eastAsia="宋体" w:cs="Times New Roman"/>
      <w:kern w:val="0"/>
      <w:sz w:val="24"/>
      <w:szCs w:val="21"/>
      <w:lang w:val="en-US" w:eastAsia="zh-CN"/>
    </w:rPr>
  </w:style>
  <w:style w:type="character" w:customStyle="1" w:styleId="1016">
    <w:name w:val="样式 表内小5 + 黑体 加粗 倾斜 下划线 Char2"/>
    <w:uiPriority w:val="0"/>
    <w:rPr>
      <w:rFonts w:ascii="黑体" w:hAnsi="黑体" w:eastAsia="黑体"/>
      <w:b/>
      <w:bCs/>
      <w:i/>
      <w:iCs/>
      <w:kern w:val="2"/>
      <w:sz w:val="18"/>
      <w:szCs w:val="24"/>
      <w:u w:val="single"/>
      <w:lang w:val="en-US" w:eastAsia="zh-CN"/>
    </w:rPr>
  </w:style>
  <w:style w:type="character" w:customStyle="1" w:styleId="1017">
    <w:name w:val="正文首行缩进 Char1 Char Char1"/>
    <w:uiPriority w:val="0"/>
    <w:rPr>
      <w:rFonts w:eastAsia="宋体"/>
      <w:kern w:val="2"/>
      <w:sz w:val="21"/>
      <w:szCs w:val="24"/>
      <w:lang w:val="en-US" w:eastAsia="zh-CN"/>
    </w:rPr>
  </w:style>
  <w:style w:type="character" w:customStyle="1" w:styleId="1018">
    <w:name w:val="Char Char317"/>
    <w:uiPriority w:val="0"/>
    <w:rPr>
      <w:rFonts w:ascii="黑体" w:hAnsi="宋体" w:eastAsia="黑体"/>
      <w:b/>
      <w:bCs/>
      <w:kern w:val="2"/>
      <w:sz w:val="28"/>
      <w:szCs w:val="28"/>
      <w:lang w:val="en-US" w:eastAsia="zh-CN"/>
    </w:rPr>
  </w:style>
  <w:style w:type="character" w:customStyle="1" w:styleId="1019">
    <w:name w:val="Char Char1112"/>
    <w:uiPriority w:val="0"/>
    <w:rPr>
      <w:rFonts w:ascii="黑体" w:hAnsi="Arial" w:eastAsia="黑体"/>
      <w:bCs/>
      <w:kern w:val="2"/>
      <w:sz w:val="30"/>
      <w:szCs w:val="30"/>
      <w:lang w:val="en-US" w:eastAsia="zh-CN"/>
    </w:rPr>
  </w:style>
  <w:style w:type="character" w:customStyle="1" w:styleId="1020">
    <w:name w:val="正文修改 Char122"/>
    <w:uiPriority w:val="0"/>
    <w:rPr>
      <w:rFonts w:ascii="宋体" w:hAnsi="宋体" w:eastAsia="宋体" w:cs="宋体"/>
      <w:color w:val="000000"/>
      <w:kern w:val="2"/>
      <w:sz w:val="24"/>
      <w:szCs w:val="24"/>
      <w:lang w:val="en-US" w:eastAsia="zh-CN"/>
    </w:rPr>
  </w:style>
  <w:style w:type="character" w:customStyle="1" w:styleId="1021">
    <w:name w:val="页脚 Char2"/>
    <w:uiPriority w:val="0"/>
    <w:rPr>
      <w:rFonts w:ascii="Times New Roman" w:hAnsi="Times New Roman" w:eastAsia="宋体" w:cs="Times New Roman"/>
      <w:kern w:val="2"/>
      <w:sz w:val="18"/>
      <w:szCs w:val="18"/>
      <w:lang w:val="en-US" w:eastAsia="zh-CN"/>
    </w:rPr>
  </w:style>
  <w:style w:type="character" w:customStyle="1" w:styleId="1022">
    <w:name w:val="正文修改 Char1112"/>
    <w:uiPriority w:val="0"/>
    <w:rPr>
      <w:rFonts w:ascii="宋体" w:hAnsi="宋体" w:eastAsia="宋体" w:cs="宋体"/>
      <w:color w:val="000000"/>
      <w:kern w:val="2"/>
      <w:sz w:val="24"/>
      <w:szCs w:val="24"/>
      <w:lang w:val="en-US" w:eastAsia="zh-CN"/>
    </w:rPr>
  </w:style>
  <w:style w:type="character" w:customStyle="1" w:styleId="1023">
    <w:name w:val="标题 9 Char21"/>
    <w:uiPriority w:val="0"/>
    <w:rPr>
      <w:rFonts w:ascii="Arial" w:hAnsi="Arial" w:eastAsia="黑体" w:cs="Times New Roman"/>
      <w:kern w:val="2"/>
      <w:sz w:val="24"/>
      <w:szCs w:val="21"/>
      <w:lang w:val="en-US" w:eastAsia="zh-CN"/>
    </w:rPr>
  </w:style>
  <w:style w:type="character" w:customStyle="1" w:styleId="1024">
    <w:name w:val="页眉 Char21"/>
    <w:uiPriority w:val="0"/>
    <w:rPr>
      <w:rFonts w:ascii="Times New Roman" w:hAnsi="Times New Roman" w:eastAsia="宋体" w:cs="Times New Roman"/>
      <w:kern w:val="2"/>
      <w:sz w:val="18"/>
      <w:szCs w:val="18"/>
      <w:lang w:val="en-US" w:eastAsia="zh-CN"/>
    </w:rPr>
  </w:style>
  <w:style w:type="character" w:customStyle="1" w:styleId="1025">
    <w:name w:val="Char Char515"/>
    <w:uiPriority w:val="0"/>
    <w:rPr>
      <w:rFonts w:ascii="黑体" w:hAnsi="宋体" w:eastAsia="黑体"/>
      <w:bCs/>
      <w:kern w:val="2"/>
      <w:sz w:val="28"/>
      <w:szCs w:val="28"/>
      <w:lang w:val="en-US" w:eastAsia="zh-CN"/>
    </w:rPr>
  </w:style>
  <w:style w:type="character" w:customStyle="1" w:styleId="1026">
    <w:name w:val="css-text3"/>
    <w:uiPriority w:val="0"/>
  </w:style>
  <w:style w:type="character" w:customStyle="1" w:styleId="1027">
    <w:name w:val="标题5"/>
    <w:uiPriority w:val="0"/>
    <w:rPr>
      <w:rFonts w:ascii="宋体" w:hAnsi="宋体" w:eastAsia="黑体" w:cs="宋体"/>
      <w:kern w:val="2"/>
      <w:sz w:val="28"/>
      <w:szCs w:val="24"/>
      <w:lang w:val="en-US" w:eastAsia="zh-CN"/>
    </w:rPr>
  </w:style>
  <w:style w:type="character" w:customStyle="1" w:styleId="1028">
    <w:name w:val="s lh15"/>
    <w:uiPriority w:val="0"/>
  </w:style>
  <w:style w:type="character" w:customStyle="1" w:styleId="1029">
    <w:name w:val="正文缩进 Char2"/>
    <w:uiPriority w:val="0"/>
    <w:rPr>
      <w:rFonts w:ascii="宋体" w:hAnsi="宋体" w:eastAsia="宋体" w:cs="宋体"/>
      <w:color w:val="000000"/>
      <w:kern w:val="2"/>
      <w:sz w:val="24"/>
      <w:szCs w:val="24"/>
      <w:lang w:val="en-US" w:eastAsia="zh-CN"/>
    </w:rPr>
  </w:style>
  <w:style w:type="character" w:customStyle="1" w:styleId="1030">
    <w:name w:val="正文文本缩进 2 Char2"/>
    <w:uiPriority w:val="0"/>
    <w:rPr>
      <w:rFonts w:eastAsia="宋体"/>
      <w:kern w:val="2"/>
      <w:sz w:val="21"/>
      <w:szCs w:val="24"/>
      <w:lang w:val="en-US" w:eastAsia="zh-CN"/>
    </w:rPr>
  </w:style>
  <w:style w:type="character" w:customStyle="1" w:styleId="1031">
    <w:name w:val="福建正文缩进 Char11"/>
    <w:uiPriority w:val="0"/>
    <w:rPr>
      <w:rFonts w:ascii="宋体" w:eastAsia="宋体"/>
      <w:kern w:val="2"/>
      <w:sz w:val="24"/>
      <w:szCs w:val="24"/>
      <w:lang w:val="en-US" w:eastAsia="zh-CN"/>
    </w:rPr>
  </w:style>
  <w:style w:type="character" w:customStyle="1" w:styleId="1032">
    <w:name w:val="正文修改 Char1321"/>
    <w:uiPriority w:val="0"/>
    <w:rPr>
      <w:rFonts w:ascii="宋体" w:hAnsi="宋体" w:eastAsia="宋体" w:cs="宋体"/>
      <w:color w:val="000000"/>
      <w:kern w:val="2"/>
      <w:sz w:val="24"/>
      <w:szCs w:val="24"/>
      <w:lang w:val="en-US" w:eastAsia="zh-CN"/>
    </w:rPr>
  </w:style>
  <w:style w:type="character" w:customStyle="1" w:styleId="1033">
    <w:name w:val="表格内字体 Char6"/>
    <w:uiPriority w:val="0"/>
    <w:rPr>
      <w:rFonts w:ascii="宋体" w:hAnsi="宋体" w:eastAsia="宋体" w:cs="Times New Roman"/>
      <w:kern w:val="2"/>
      <w:sz w:val="24"/>
      <w:szCs w:val="24"/>
      <w:lang w:val="en-US" w:eastAsia="zh-CN"/>
    </w:rPr>
  </w:style>
  <w:style w:type="character" w:customStyle="1" w:styleId="1034">
    <w:name w:val="标题正文黑 Char1"/>
    <w:uiPriority w:val="0"/>
    <w:rPr>
      <w:rFonts w:ascii="黑体" w:eastAsia="黑体"/>
      <w:kern w:val="2"/>
      <w:sz w:val="28"/>
      <w:szCs w:val="28"/>
      <w:lang w:val="en-US" w:eastAsia="zh-CN"/>
    </w:rPr>
  </w:style>
  <w:style w:type="character" w:customStyle="1" w:styleId="1035">
    <w:name w:val="正文首行缩进 2 Char111"/>
    <w:uiPriority w:val="0"/>
    <w:rPr>
      <w:rFonts w:ascii="宋体" w:hAnsi="宋体" w:eastAsia="仿宋_GB2312" w:cs="宋体"/>
      <w:color w:val="000000"/>
      <w:kern w:val="2"/>
      <w:sz w:val="21"/>
      <w:szCs w:val="24"/>
      <w:lang w:val="en-US" w:eastAsia="zh-CN"/>
    </w:rPr>
  </w:style>
  <w:style w:type="character" w:customStyle="1" w:styleId="1036">
    <w:name w:val="标题 6 Char2"/>
    <w:uiPriority w:val="0"/>
    <w:rPr>
      <w:rFonts w:ascii="Arial" w:hAnsi="Arial" w:eastAsia="黑体" w:cs="Times New Roman"/>
      <w:b/>
      <w:bCs/>
      <w:kern w:val="2"/>
      <w:sz w:val="24"/>
      <w:szCs w:val="24"/>
      <w:lang w:val="en-US" w:eastAsia="zh-CN"/>
    </w:rPr>
  </w:style>
  <w:style w:type="character" w:customStyle="1" w:styleId="1037">
    <w:name w:val="表格内字体 Char61"/>
    <w:uiPriority w:val="0"/>
    <w:rPr>
      <w:rFonts w:ascii="宋体" w:hAnsi="宋体" w:eastAsia="宋体" w:cs="Times New Roman"/>
      <w:kern w:val="2"/>
      <w:sz w:val="24"/>
      <w:szCs w:val="24"/>
      <w:lang w:val="en-US" w:eastAsia="zh-CN"/>
    </w:rPr>
  </w:style>
  <w:style w:type="character" w:customStyle="1" w:styleId="1038">
    <w:name w:val="表题1 Char10"/>
    <w:uiPriority w:val="0"/>
    <w:rPr>
      <w:rFonts w:hAnsi="Arial" w:eastAsia="宋体" w:cs="Arial"/>
      <w:kern w:val="2"/>
      <w:sz w:val="24"/>
      <w:szCs w:val="24"/>
      <w:lang w:val="en-US" w:eastAsia="zh-CN"/>
    </w:rPr>
  </w:style>
  <w:style w:type="character" w:customStyle="1" w:styleId="1039">
    <w:name w:val="表中文字 Char221"/>
    <w:uiPriority w:val="0"/>
    <w:rPr>
      <w:rFonts w:ascii="宋体" w:eastAsia="宋体"/>
      <w:kern w:val="2"/>
      <w:sz w:val="21"/>
      <w:szCs w:val="21"/>
      <w:lang w:val="en-US" w:eastAsia="zh-CN"/>
    </w:rPr>
  </w:style>
  <w:style w:type="character" w:customStyle="1" w:styleId="1040">
    <w:name w:val="图题注 Char2"/>
    <w:uiPriority w:val="0"/>
    <w:rPr>
      <w:rFonts w:ascii="黑体" w:hAnsi="Arial" w:eastAsia="黑体" w:cs="宋体"/>
      <w:b/>
      <w:bCs/>
      <w:kern w:val="2"/>
      <w:sz w:val="24"/>
      <w:szCs w:val="24"/>
      <w:lang w:val="en-US" w:eastAsia="zh-CN"/>
    </w:rPr>
  </w:style>
  <w:style w:type="character" w:customStyle="1" w:styleId="1041">
    <w:name w:val="Char Char1211"/>
    <w:uiPriority w:val="0"/>
    <w:rPr>
      <w:rFonts w:ascii="黑体" w:hAnsi="Arial" w:eastAsia="黑体"/>
      <w:b/>
      <w:bCs/>
      <w:kern w:val="2"/>
      <w:sz w:val="30"/>
      <w:szCs w:val="30"/>
      <w:lang w:val="en-US" w:eastAsia="zh-CN"/>
    </w:rPr>
  </w:style>
  <w:style w:type="character" w:customStyle="1" w:styleId="1042">
    <w:name w:val="正文文本 Char31"/>
    <w:uiPriority w:val="0"/>
    <w:rPr>
      <w:rFonts w:eastAsia="宋体"/>
      <w:kern w:val="2"/>
      <w:sz w:val="24"/>
      <w:szCs w:val="24"/>
      <w:lang w:val="en-US" w:eastAsia="zh-CN"/>
    </w:rPr>
  </w:style>
  <w:style w:type="character" w:customStyle="1" w:styleId="1043">
    <w:name w:val="Footer1 Char"/>
    <w:uiPriority w:val="0"/>
    <w:rPr>
      <w:rFonts w:ascii="Times New Roman" w:hAnsi="Times New Roman" w:eastAsia="仿宋_GB2312" w:cs="Times New Roman"/>
      <w:sz w:val="18"/>
      <w:szCs w:val="18"/>
    </w:rPr>
  </w:style>
  <w:style w:type="character" w:customStyle="1" w:styleId="1044">
    <w:name w:val="题注 Char31"/>
    <w:uiPriority w:val="0"/>
    <w:rPr>
      <w:rFonts w:ascii="黑体" w:hAnsi="Arial" w:eastAsia="黑体" w:cs="Arial"/>
      <w:b/>
      <w:kern w:val="2"/>
      <w:sz w:val="24"/>
      <w:szCs w:val="24"/>
      <w:lang w:val="en-US" w:eastAsia="zh-CN"/>
    </w:rPr>
  </w:style>
  <w:style w:type="character" w:customStyle="1" w:styleId="1045">
    <w:name w:val="Char Char318"/>
    <w:uiPriority w:val="0"/>
    <w:rPr>
      <w:rFonts w:ascii="黑体" w:hAnsi="宋体" w:eastAsia="黑体"/>
      <w:b/>
      <w:bCs/>
      <w:kern w:val="2"/>
      <w:sz w:val="28"/>
      <w:szCs w:val="28"/>
      <w:lang w:val="en-US" w:eastAsia="zh-CN"/>
    </w:rPr>
  </w:style>
  <w:style w:type="character" w:customStyle="1" w:styleId="1046">
    <w:name w:val="页脚 Char11"/>
    <w:uiPriority w:val="0"/>
    <w:rPr>
      <w:rFonts w:eastAsia="宋体"/>
      <w:kern w:val="2"/>
      <w:sz w:val="18"/>
      <w:szCs w:val="18"/>
      <w:lang w:val="en-US" w:eastAsia="zh-CN"/>
    </w:rPr>
  </w:style>
  <w:style w:type="character" w:customStyle="1" w:styleId="1047">
    <w:name w:val="Char Char67"/>
    <w:uiPriority w:val="0"/>
    <w:rPr>
      <w:rFonts w:eastAsia="宋体"/>
      <w:b/>
      <w:bCs/>
      <w:kern w:val="2"/>
      <w:sz w:val="28"/>
      <w:szCs w:val="28"/>
      <w:lang w:val="en-US" w:eastAsia="zh-CN"/>
    </w:rPr>
  </w:style>
  <w:style w:type="character" w:customStyle="1" w:styleId="1048">
    <w:name w:val="题注 Char61"/>
    <w:uiPriority w:val="0"/>
    <w:rPr>
      <w:rFonts w:ascii="黑体" w:hAnsi="Arial" w:eastAsia="黑体" w:cs="Arial"/>
      <w:b/>
      <w:kern w:val="2"/>
      <w:sz w:val="24"/>
      <w:szCs w:val="24"/>
      <w:lang w:val="en-US" w:eastAsia="zh-CN"/>
    </w:rPr>
  </w:style>
  <w:style w:type="character" w:customStyle="1" w:styleId="1049">
    <w:name w:val="Char Char1122"/>
    <w:uiPriority w:val="0"/>
    <w:rPr>
      <w:rFonts w:ascii="黑体" w:hAnsi="Arial" w:eastAsia="黑体"/>
      <w:bCs/>
      <w:kern w:val="2"/>
      <w:sz w:val="30"/>
      <w:szCs w:val="30"/>
      <w:lang w:val="en-US" w:eastAsia="zh-CN"/>
    </w:rPr>
  </w:style>
  <w:style w:type="character" w:customStyle="1" w:styleId="1050">
    <w:name w:val="题注 Char71"/>
    <w:uiPriority w:val="0"/>
    <w:rPr>
      <w:rFonts w:ascii="黑体" w:hAnsi="Arial" w:eastAsia="黑体" w:cs="Arial"/>
      <w:b/>
      <w:kern w:val="2"/>
      <w:sz w:val="24"/>
      <w:szCs w:val="24"/>
      <w:lang w:val="en-US" w:eastAsia="zh-CN"/>
    </w:rPr>
  </w:style>
  <w:style w:type="character" w:customStyle="1" w:styleId="1051">
    <w:name w:val="Char Char1110"/>
    <w:uiPriority w:val="0"/>
    <w:rPr>
      <w:rFonts w:ascii="黑体" w:hAnsi="Arial" w:eastAsia="黑体"/>
      <w:bCs/>
      <w:kern w:val="2"/>
      <w:sz w:val="30"/>
      <w:szCs w:val="30"/>
      <w:lang w:val="en-US" w:eastAsia="zh-CN"/>
    </w:rPr>
  </w:style>
  <w:style w:type="character" w:customStyle="1" w:styleId="1052">
    <w:name w:val="表中文字 Char231"/>
    <w:uiPriority w:val="0"/>
    <w:rPr>
      <w:rFonts w:ascii="宋体" w:eastAsia="宋体"/>
      <w:kern w:val="2"/>
      <w:sz w:val="21"/>
      <w:szCs w:val="21"/>
      <w:lang w:val="en-US" w:eastAsia="zh-CN"/>
    </w:rPr>
  </w:style>
  <w:style w:type="character" w:customStyle="1" w:styleId="1053">
    <w:name w:val="Char Char417"/>
    <w:uiPriority w:val="0"/>
    <w:rPr>
      <w:rFonts w:ascii="黑体" w:hAnsi="Arial" w:eastAsia="黑体"/>
      <w:b/>
      <w:bCs/>
      <w:kern w:val="2"/>
      <w:sz w:val="30"/>
      <w:szCs w:val="30"/>
      <w:lang w:val="en-US" w:eastAsia="zh-CN"/>
    </w:rPr>
  </w:style>
  <w:style w:type="character" w:customStyle="1" w:styleId="1054">
    <w:name w:val="燕山正文 Char161"/>
    <w:uiPriority w:val="0"/>
    <w:rPr>
      <w:rFonts w:ascii="宋体" w:eastAsia="宋体" w:cs="宋体"/>
      <w:kern w:val="2"/>
      <w:sz w:val="24"/>
      <w:szCs w:val="24"/>
      <w:lang w:val="en-US" w:eastAsia="zh-CN"/>
    </w:rPr>
  </w:style>
  <w:style w:type="character" w:customStyle="1" w:styleId="1055">
    <w:name w:val="条标题1.1.1 Char2"/>
    <w:uiPriority w:val="0"/>
    <w:rPr>
      <w:rFonts w:eastAsia="仿宋_GB2312"/>
      <w:b/>
      <w:bCs/>
      <w:kern w:val="2"/>
      <w:sz w:val="28"/>
      <w:szCs w:val="32"/>
      <w:lang w:val="en-US" w:eastAsia="zh-CN"/>
    </w:rPr>
  </w:style>
  <w:style w:type="character" w:customStyle="1" w:styleId="1056">
    <w:name w:val="表中文字 Char3"/>
    <w:uiPriority w:val="0"/>
    <w:rPr>
      <w:rFonts w:ascii="Arial" w:hAnsi="Arial" w:eastAsia="宋体"/>
      <w:kern w:val="2"/>
      <w:sz w:val="24"/>
      <w:szCs w:val="24"/>
      <w:lang w:val="en-US" w:eastAsia="zh-TW"/>
    </w:rPr>
  </w:style>
  <w:style w:type="character" w:customStyle="1" w:styleId="1057">
    <w:name w:val="HTML 变量1"/>
    <w:uiPriority w:val="0"/>
    <w:rPr>
      <w:rFonts w:ascii="宋体" w:hAnsi="宋体" w:eastAsia="宋体" w:cs="Courier New"/>
      <w:i/>
      <w:iCs/>
      <w:kern w:val="2"/>
      <w:sz w:val="32"/>
      <w:szCs w:val="32"/>
      <w:lang w:val="en-US" w:eastAsia="zh-CN"/>
    </w:rPr>
  </w:style>
  <w:style w:type="character" w:customStyle="1" w:styleId="1058">
    <w:name w:val="正文缩进 Char61"/>
    <w:uiPriority w:val="0"/>
    <w:rPr>
      <w:rFonts w:ascii="宋体" w:hAnsi="宋体" w:eastAsia="宋体"/>
      <w:kern w:val="2"/>
      <w:sz w:val="24"/>
      <w:szCs w:val="24"/>
      <w:lang w:val="en-US" w:eastAsia="zh-CN"/>
    </w:rPr>
  </w:style>
  <w:style w:type="character" w:customStyle="1" w:styleId="1059">
    <w:name w:val="Char Char124"/>
    <w:uiPriority w:val="0"/>
    <w:rPr>
      <w:rFonts w:ascii="黑体" w:hAnsi="Arial" w:eastAsia="黑体"/>
      <w:b/>
      <w:bCs/>
      <w:kern w:val="2"/>
      <w:sz w:val="30"/>
      <w:szCs w:val="30"/>
      <w:lang w:val="en-US" w:eastAsia="zh-CN"/>
    </w:rPr>
  </w:style>
  <w:style w:type="character" w:customStyle="1" w:styleId="1060">
    <w:name w:val="hottext1"/>
    <w:uiPriority w:val="0"/>
    <w:rPr>
      <w:rFonts w:hint="eastAsia" w:ascii="宋体" w:hAnsi="宋体" w:eastAsia="宋体"/>
      <w:strike/>
      <w:sz w:val="22"/>
    </w:rPr>
  </w:style>
  <w:style w:type="character" w:customStyle="1" w:styleId="1061">
    <w:name w:val="正文格式 Char14"/>
    <w:uiPriority w:val="0"/>
    <w:rPr>
      <w:rFonts w:ascii="宋体" w:hAnsi="宋体" w:eastAsia="宋体"/>
      <w:kern w:val="2"/>
      <w:sz w:val="24"/>
      <w:szCs w:val="24"/>
      <w:lang w:val="en-US" w:eastAsia="zh-CN"/>
    </w:rPr>
  </w:style>
  <w:style w:type="character" w:customStyle="1" w:styleId="1062">
    <w:name w:val="正文修改 Char152"/>
    <w:uiPriority w:val="0"/>
    <w:rPr>
      <w:rFonts w:ascii="宋体" w:hAnsi="宋体" w:eastAsia="宋体" w:cs="宋体"/>
      <w:color w:val="000000"/>
      <w:kern w:val="2"/>
      <w:sz w:val="24"/>
      <w:szCs w:val="24"/>
      <w:lang w:val="en-US" w:eastAsia="zh-CN"/>
    </w:rPr>
  </w:style>
  <w:style w:type="character" w:customStyle="1" w:styleId="1063">
    <w:name w:val="HTML 代码1"/>
    <w:uiPriority w:val="0"/>
    <w:rPr>
      <w:rFonts w:ascii="Courier New" w:hAnsi="Courier New" w:eastAsia="宋体" w:cs="Courier New"/>
      <w:kern w:val="2"/>
      <w:sz w:val="20"/>
      <w:szCs w:val="20"/>
      <w:lang w:val="en-US" w:eastAsia="zh-CN"/>
    </w:rPr>
  </w:style>
  <w:style w:type="character" w:customStyle="1" w:styleId="1064">
    <w:name w:val="Char Char92"/>
    <w:uiPriority w:val="0"/>
    <w:rPr>
      <w:kern w:val="2"/>
      <w:sz w:val="18"/>
      <w:szCs w:val="18"/>
    </w:rPr>
  </w:style>
  <w:style w:type="character" w:customStyle="1" w:styleId="1065">
    <w:name w:val="Char Char111"/>
    <w:uiPriority w:val="0"/>
    <w:rPr>
      <w:rFonts w:ascii="黑体" w:hAnsi="Arial" w:eastAsia="黑体"/>
      <w:b/>
      <w:bCs/>
      <w:kern w:val="2"/>
      <w:sz w:val="30"/>
      <w:szCs w:val="30"/>
      <w:lang w:val="en-US" w:eastAsia="zh-CN"/>
    </w:rPr>
  </w:style>
  <w:style w:type="character" w:customStyle="1" w:styleId="1066">
    <w:name w:val="纯文本 Char11"/>
    <w:uiPriority w:val="0"/>
    <w:rPr>
      <w:rFonts w:ascii="宋体" w:hAnsi="Courier New" w:eastAsia="宋体" w:cs="Courier New"/>
      <w:kern w:val="2"/>
      <w:sz w:val="21"/>
      <w:szCs w:val="21"/>
      <w:lang w:val="en-US" w:eastAsia="zh-CN"/>
    </w:rPr>
  </w:style>
  <w:style w:type="character" w:customStyle="1" w:styleId="1067">
    <w:name w:val="表格内容 Char3"/>
    <w:uiPriority w:val="0"/>
    <w:rPr>
      <w:rFonts w:ascii="Times New Roman" w:hAnsi="Times New Roman" w:eastAsia="宋体" w:cs="Times New Roman"/>
      <w:kern w:val="2"/>
      <w:sz w:val="24"/>
      <w:szCs w:val="21"/>
      <w:lang w:val="en-US" w:eastAsia="zh-CN"/>
    </w:rPr>
  </w:style>
  <w:style w:type="character" w:customStyle="1" w:styleId="1068">
    <w:name w:val="black1"/>
    <w:uiPriority w:val="0"/>
    <w:rPr>
      <w:color w:val="000000"/>
      <w:sz w:val="18"/>
      <w:szCs w:val="18"/>
      <w:u w:val="none"/>
    </w:rPr>
  </w:style>
  <w:style w:type="character" w:customStyle="1" w:styleId="1069">
    <w:name w:val="Char Char118"/>
    <w:uiPriority w:val="0"/>
    <w:rPr>
      <w:rFonts w:ascii="黑体" w:hAnsi="Arial" w:eastAsia="黑体"/>
      <w:b/>
      <w:bCs/>
      <w:kern w:val="2"/>
      <w:sz w:val="30"/>
      <w:szCs w:val="30"/>
      <w:lang w:val="en-US" w:eastAsia="zh-CN"/>
    </w:rPr>
  </w:style>
  <w:style w:type="character" w:customStyle="1" w:styleId="1070">
    <w:name w:val="文字缩进 Char5"/>
    <w:uiPriority w:val="0"/>
    <w:rPr>
      <w:rFonts w:ascii="宋体" w:hAnsi="Courier New" w:eastAsia="宋体"/>
      <w:kern w:val="2"/>
      <w:sz w:val="21"/>
      <w:lang w:val="en-US" w:eastAsia="zh-CN"/>
    </w:rPr>
  </w:style>
  <w:style w:type="character" w:customStyle="1" w:styleId="1071">
    <w:name w:val="样式 黑色1"/>
    <w:uiPriority w:val="0"/>
    <w:rPr>
      <w:rFonts w:eastAsia="宋体"/>
      <w:color w:val="auto"/>
      <w:kern w:val="2"/>
      <w:sz w:val="24"/>
      <w:szCs w:val="24"/>
      <w:lang w:val="en-US" w:eastAsia="zh-CN"/>
    </w:rPr>
  </w:style>
  <w:style w:type="character" w:customStyle="1" w:styleId="1072">
    <w:name w:val="标题 4 Char3"/>
    <w:uiPriority w:val="0"/>
    <w:rPr>
      <w:rFonts w:ascii="黑体" w:hAnsi="Arial" w:eastAsia="黑体" w:cs="Times New Roman"/>
      <w:b/>
      <w:bCs/>
      <w:kern w:val="2"/>
      <w:sz w:val="24"/>
      <w:szCs w:val="24"/>
      <w:lang w:val="en-US" w:eastAsia="zh-CN"/>
    </w:rPr>
  </w:style>
  <w:style w:type="character" w:customStyle="1" w:styleId="1073">
    <w:name w:val="A正文 Char1"/>
    <w:uiPriority w:val="0"/>
    <w:rPr>
      <w:rFonts w:eastAsia="仿宋_GB2312"/>
      <w:kern w:val="2"/>
      <w:sz w:val="24"/>
      <w:szCs w:val="24"/>
      <w:lang w:val="en-US" w:eastAsia="zh-CN"/>
    </w:rPr>
  </w:style>
  <w:style w:type="character" w:customStyle="1" w:styleId="1074">
    <w:name w:val="Char Char1212"/>
    <w:uiPriority w:val="0"/>
    <w:rPr>
      <w:rFonts w:ascii="黑体" w:hAnsi="Arial" w:eastAsia="黑体"/>
      <w:b/>
      <w:bCs/>
      <w:kern w:val="2"/>
      <w:sz w:val="30"/>
      <w:szCs w:val="30"/>
      <w:lang w:val="en-US" w:eastAsia="zh-CN"/>
    </w:rPr>
  </w:style>
  <w:style w:type="character" w:customStyle="1" w:styleId="1075">
    <w:name w:val="样式 黑色"/>
    <w:uiPriority w:val="0"/>
    <w:rPr>
      <w:rFonts w:eastAsia="宋体"/>
      <w:color w:val="auto"/>
      <w:kern w:val="2"/>
      <w:sz w:val="24"/>
      <w:szCs w:val="24"/>
      <w:lang w:val="en-US" w:eastAsia="zh-CN"/>
    </w:rPr>
  </w:style>
  <w:style w:type="character" w:customStyle="1" w:styleId="1076">
    <w:name w:val="unnamed1复制1"/>
    <w:uiPriority w:val="0"/>
    <w:rPr>
      <w:sz w:val="20"/>
      <w:szCs w:val="20"/>
    </w:rPr>
  </w:style>
  <w:style w:type="character" w:customStyle="1" w:styleId="1077">
    <w:name w:val="正文斜体 Char111"/>
    <w:uiPriority w:val="0"/>
    <w:rPr>
      <w:rFonts w:ascii="宋体" w:hAnsi="宋体" w:eastAsia="宋体"/>
      <w:i/>
      <w:iCs/>
      <w:kern w:val="2"/>
      <w:sz w:val="24"/>
      <w:szCs w:val="24"/>
      <w:lang w:val="en-US" w:eastAsia="zh-CN"/>
    </w:rPr>
  </w:style>
  <w:style w:type="character" w:customStyle="1" w:styleId="1078">
    <w:name w:val="Char Char419"/>
    <w:uiPriority w:val="0"/>
    <w:rPr>
      <w:rFonts w:ascii="黑体" w:hAnsi="Arial" w:eastAsia="黑体"/>
      <w:b/>
      <w:bCs/>
      <w:kern w:val="2"/>
      <w:sz w:val="30"/>
      <w:szCs w:val="30"/>
      <w:lang w:val="en-US" w:eastAsia="zh-CN"/>
    </w:rPr>
  </w:style>
  <w:style w:type="character" w:customStyle="1" w:styleId="1079">
    <w:name w:val="font1"/>
    <w:uiPriority w:val="0"/>
  </w:style>
  <w:style w:type="character" w:customStyle="1" w:styleId="1080">
    <w:name w:val="正文格式 Char101"/>
    <w:uiPriority w:val="0"/>
    <w:rPr>
      <w:rFonts w:ascii="宋体" w:hAnsi="宋体" w:eastAsia="宋体"/>
      <w:kern w:val="2"/>
      <w:sz w:val="24"/>
      <w:szCs w:val="24"/>
      <w:lang w:val="en-US" w:eastAsia="zh-CN"/>
    </w:rPr>
  </w:style>
  <w:style w:type="character" w:customStyle="1" w:styleId="1081">
    <w:name w:val="正文缩进4"/>
    <w:uiPriority w:val="0"/>
    <w:rPr>
      <w:rFonts w:ascii="仿宋_GB2312" w:eastAsia="仿宋_GB2312"/>
      <w:kern w:val="2"/>
      <w:sz w:val="28"/>
      <w:lang w:val="en-US" w:eastAsia="zh-CN"/>
    </w:rPr>
  </w:style>
  <w:style w:type="character" w:customStyle="1" w:styleId="1082">
    <w:name w:val="河石1 Char14"/>
    <w:uiPriority w:val="0"/>
    <w:rPr>
      <w:rFonts w:ascii="黑体" w:hAnsi="宋体" w:eastAsia="黑体"/>
      <w:bCs/>
      <w:kern w:val="44"/>
      <w:sz w:val="32"/>
      <w:szCs w:val="32"/>
      <w:lang w:val="en-US" w:eastAsia="zh-CN"/>
    </w:rPr>
  </w:style>
  <w:style w:type="character" w:customStyle="1" w:styleId="1083">
    <w:name w:val="表题1 Char1"/>
    <w:uiPriority w:val="0"/>
    <w:rPr>
      <w:rFonts w:ascii="黑体" w:hAnsi="Arial" w:eastAsia="黑体" w:cs="Arial"/>
      <w:kern w:val="2"/>
      <w:sz w:val="24"/>
      <w:szCs w:val="24"/>
      <w:lang w:val="en-US" w:eastAsia="zh-CN"/>
    </w:rPr>
  </w:style>
  <w:style w:type="character" w:customStyle="1" w:styleId="1084">
    <w:name w:val="ourfont31"/>
    <w:uiPriority w:val="0"/>
    <w:rPr>
      <w:spacing w:val="20"/>
      <w:sz w:val="21"/>
      <w:szCs w:val="21"/>
    </w:rPr>
  </w:style>
  <w:style w:type="character" w:customStyle="1" w:styleId="1085">
    <w:name w:val="正文格式 Char61"/>
    <w:uiPriority w:val="0"/>
    <w:rPr>
      <w:rFonts w:ascii="宋体" w:hAnsi="宋体" w:eastAsia="宋体" w:cs="Times New Roman"/>
      <w:kern w:val="2"/>
      <w:sz w:val="24"/>
      <w:szCs w:val="24"/>
      <w:lang w:val="en-US" w:eastAsia="zh-CN"/>
    </w:rPr>
  </w:style>
  <w:style w:type="character" w:customStyle="1" w:styleId="1086">
    <w:name w:val="nota"/>
    <w:uiPriority w:val="0"/>
    <w:rPr>
      <w:i/>
      <w:iCs/>
      <w:sz w:val="20"/>
    </w:rPr>
  </w:style>
  <w:style w:type="character" w:customStyle="1" w:styleId="1087">
    <w:name w:val="Char Char48"/>
    <w:uiPriority w:val="0"/>
    <w:rPr>
      <w:rFonts w:ascii="黑体" w:hAnsi="Arial" w:eastAsia="黑体"/>
      <w:b/>
      <w:bCs/>
      <w:kern w:val="2"/>
      <w:sz w:val="30"/>
      <w:szCs w:val="30"/>
      <w:lang w:val="en-US" w:eastAsia="zh-CN"/>
    </w:rPr>
  </w:style>
  <w:style w:type="character" w:customStyle="1" w:styleId="1088">
    <w:name w:val="表题 Char9"/>
    <w:uiPriority w:val="0"/>
    <w:rPr>
      <w:rFonts w:ascii="黑体" w:hAnsi="Arial" w:eastAsia="黑体" w:cs="Arial"/>
      <w:b/>
      <w:kern w:val="2"/>
      <w:sz w:val="24"/>
      <w:szCs w:val="24"/>
      <w:lang w:val="en-US" w:eastAsia="zh-CN"/>
    </w:rPr>
  </w:style>
  <w:style w:type="character" w:customStyle="1" w:styleId="1089">
    <w:name w:val="Char4 Char Char Char Char1"/>
    <w:uiPriority w:val="0"/>
    <w:rPr>
      <w:rFonts w:eastAsia="仿宋_GB2312"/>
      <w:kern w:val="2"/>
      <w:sz w:val="28"/>
      <w:szCs w:val="24"/>
      <w:lang w:val="en-US" w:eastAsia="zh-CN"/>
    </w:rPr>
  </w:style>
  <w:style w:type="character" w:customStyle="1" w:styleId="1090">
    <w:name w:val="表题1 Char21"/>
    <w:uiPriority w:val="0"/>
    <w:rPr>
      <w:rFonts w:hAnsi="Arial" w:eastAsia="宋体" w:cs="Arial"/>
      <w:kern w:val="2"/>
      <w:sz w:val="24"/>
      <w:szCs w:val="24"/>
      <w:lang w:val="en-US" w:eastAsia="zh-CN"/>
    </w:rPr>
  </w:style>
  <w:style w:type="character" w:customStyle="1" w:styleId="1091">
    <w:name w:val="样式 楷体_GB2312 四号"/>
    <w:uiPriority w:val="0"/>
    <w:rPr>
      <w:rFonts w:ascii="Times New Roman" w:hAnsi="Times New Roman" w:eastAsia="楷体_GB2312"/>
      <w:sz w:val="28"/>
      <w:szCs w:val="28"/>
    </w:rPr>
  </w:style>
  <w:style w:type="character" w:customStyle="1" w:styleId="1092">
    <w:name w:val="题注 Char Char Char Char"/>
    <w:uiPriority w:val="0"/>
    <w:rPr>
      <w:rFonts w:ascii="Arial" w:hAnsi="Arial" w:eastAsia="黑体" w:cs="Arial"/>
      <w:kern w:val="2"/>
      <w:lang w:val="en-US" w:eastAsia="zh-CN"/>
    </w:rPr>
  </w:style>
  <w:style w:type="character" w:customStyle="1" w:styleId="1093">
    <w:name w:val="标题 3 Char14"/>
    <w:uiPriority w:val="0"/>
    <w:rPr>
      <w:rFonts w:ascii="黑体" w:hAnsi="宋体" w:eastAsia="黑体" w:cs="Times New Roman"/>
      <w:b/>
      <w:bCs/>
      <w:kern w:val="2"/>
      <w:sz w:val="28"/>
      <w:szCs w:val="28"/>
      <w:lang w:val="en-US" w:eastAsia="zh-CN"/>
    </w:rPr>
  </w:style>
  <w:style w:type="character" w:customStyle="1" w:styleId="1094">
    <w:name w:val="正文缩进 Char31"/>
    <w:uiPriority w:val="0"/>
    <w:rPr>
      <w:rFonts w:ascii="宋体" w:hAnsi="宋体" w:eastAsia="宋体" w:cs="宋体"/>
      <w:color w:val="000000"/>
      <w:kern w:val="2"/>
      <w:sz w:val="24"/>
      <w:szCs w:val="24"/>
      <w:lang w:val="en-US" w:eastAsia="zh-CN"/>
    </w:rPr>
  </w:style>
  <w:style w:type="character" w:customStyle="1" w:styleId="1095">
    <w:name w:val="条标题1.1.1 Char1"/>
    <w:uiPriority w:val="0"/>
    <w:rPr>
      <w:rFonts w:eastAsia="仿宋_GB2312"/>
      <w:b/>
      <w:bCs/>
      <w:kern w:val="2"/>
      <w:sz w:val="28"/>
      <w:szCs w:val="32"/>
      <w:lang w:val="en-US" w:eastAsia="zh-CN"/>
    </w:rPr>
  </w:style>
  <w:style w:type="character" w:customStyle="1" w:styleId="1096">
    <w:name w:val="表中文字 Char251"/>
    <w:uiPriority w:val="0"/>
    <w:rPr>
      <w:rFonts w:ascii="宋体" w:eastAsia="宋体"/>
      <w:kern w:val="2"/>
      <w:sz w:val="21"/>
      <w:szCs w:val="21"/>
      <w:lang w:val="en-US" w:eastAsia="zh-CN"/>
    </w:rPr>
  </w:style>
  <w:style w:type="character" w:customStyle="1" w:styleId="1097">
    <w:name w:val="正文文字 3 Char Char4"/>
    <w:uiPriority w:val="0"/>
    <w:rPr>
      <w:rFonts w:eastAsia="仿宋_GB2312"/>
      <w:kern w:val="2"/>
      <w:sz w:val="28"/>
      <w:szCs w:val="24"/>
      <w:lang w:val="en-US" w:eastAsia="zh-CN"/>
    </w:rPr>
  </w:style>
  <w:style w:type="character" w:customStyle="1" w:styleId="1098">
    <w:name w:val="Char Char1117"/>
    <w:uiPriority w:val="0"/>
    <w:rPr>
      <w:rFonts w:ascii="黑体" w:hAnsi="Arial" w:eastAsia="黑体"/>
      <w:bCs/>
      <w:kern w:val="2"/>
      <w:sz w:val="30"/>
      <w:szCs w:val="30"/>
      <w:lang w:val="en-US" w:eastAsia="zh-CN"/>
    </w:rPr>
  </w:style>
  <w:style w:type="character" w:customStyle="1" w:styleId="1099">
    <w:name w:val="表题1 Char64"/>
    <w:uiPriority w:val="0"/>
    <w:rPr>
      <w:rFonts w:ascii="黑体" w:hAnsi="Arial" w:eastAsia="黑体" w:cs="Arial"/>
      <w:b/>
      <w:kern w:val="2"/>
      <w:sz w:val="24"/>
      <w:szCs w:val="24"/>
      <w:lang w:val="en-US" w:eastAsia="zh-CN"/>
    </w:rPr>
  </w:style>
  <w:style w:type="character" w:customStyle="1" w:styleId="1100">
    <w:name w:val="表题1 Char12"/>
    <w:uiPriority w:val="0"/>
    <w:rPr>
      <w:rFonts w:hAnsi="Arial" w:eastAsia="宋体" w:cs="Arial"/>
      <w:kern w:val="2"/>
      <w:sz w:val="24"/>
      <w:szCs w:val="24"/>
      <w:lang w:val="en-US" w:eastAsia="zh-CN"/>
    </w:rPr>
  </w:style>
  <w:style w:type="character" w:customStyle="1" w:styleId="1101">
    <w:name w:val="样式 表内小5 + 黑体 加粗 倾斜 下划线 Char1"/>
    <w:uiPriority w:val="0"/>
    <w:rPr>
      <w:rFonts w:ascii="黑体" w:hAnsi="黑体" w:eastAsia="黑体"/>
      <w:b/>
      <w:bCs/>
      <w:i/>
      <w:iCs/>
      <w:kern w:val="2"/>
      <w:sz w:val="18"/>
      <w:szCs w:val="24"/>
      <w:u w:val="single"/>
      <w:lang w:val="en-US" w:eastAsia="zh-CN"/>
    </w:rPr>
  </w:style>
  <w:style w:type="character" w:customStyle="1" w:styleId="1102">
    <w:name w:val="环正文 Char3"/>
    <w:uiPriority w:val="0"/>
    <w:rPr>
      <w:rFonts w:ascii="宋体" w:hAnsi="宋体" w:eastAsia="宋体" w:cs="Courier New"/>
      <w:sz w:val="24"/>
      <w:lang w:val="en-US" w:eastAsia="zh-CN"/>
    </w:rPr>
  </w:style>
  <w:style w:type="character" w:customStyle="1" w:styleId="1103">
    <w:name w:val="Char Char1131"/>
    <w:uiPriority w:val="0"/>
    <w:rPr>
      <w:rFonts w:ascii="黑体" w:hAnsi="Arial" w:eastAsia="黑体"/>
      <w:bCs/>
      <w:kern w:val="2"/>
      <w:sz w:val="30"/>
      <w:szCs w:val="30"/>
      <w:lang w:val="en-US" w:eastAsia="zh-CN"/>
    </w:rPr>
  </w:style>
  <w:style w:type="character" w:customStyle="1" w:styleId="1104">
    <w:name w:val="标题 8 Char1"/>
    <w:uiPriority w:val="0"/>
    <w:rPr>
      <w:rFonts w:ascii="Arial" w:hAnsi="Arial" w:eastAsia="黑体"/>
      <w:kern w:val="2"/>
      <w:sz w:val="24"/>
      <w:szCs w:val="24"/>
      <w:lang w:val="en-US" w:eastAsia="zh-CN"/>
    </w:rPr>
  </w:style>
  <w:style w:type="character" w:customStyle="1" w:styleId="1105">
    <w:name w:val="行号1"/>
    <w:uiPriority w:val="0"/>
    <w:rPr>
      <w:rFonts w:ascii="宋体" w:hAnsi="宋体" w:eastAsia="宋体" w:cs="Courier New"/>
      <w:kern w:val="2"/>
      <w:sz w:val="32"/>
      <w:szCs w:val="32"/>
      <w:lang w:val="en-US" w:eastAsia="zh-CN"/>
    </w:rPr>
  </w:style>
  <w:style w:type="character" w:customStyle="1" w:styleId="1106">
    <w:name w:val="标题4 Char2"/>
    <w:uiPriority w:val="0"/>
    <w:rPr>
      <w:rFonts w:ascii="黑体" w:hAnsi="Arial" w:eastAsia="黑体" w:cs="Times New Roman"/>
      <w:b/>
      <w:bCs/>
      <w:kern w:val="2"/>
      <w:sz w:val="24"/>
      <w:szCs w:val="28"/>
      <w:lang w:val="en-US" w:eastAsia="zh-CN"/>
    </w:rPr>
  </w:style>
  <w:style w:type="character" w:customStyle="1" w:styleId="1107">
    <w:name w:val="样式 表格内字体 + Char111"/>
    <w:uiPriority w:val="0"/>
    <w:rPr>
      <w:rFonts w:ascii="宋体" w:hAnsi="宋体"/>
      <w:kern w:val="2"/>
      <w:sz w:val="21"/>
      <w:szCs w:val="24"/>
    </w:rPr>
  </w:style>
  <w:style w:type="character" w:customStyle="1" w:styleId="1108">
    <w:name w:val="文档结构图 Char3"/>
    <w:uiPriority w:val="0"/>
    <w:rPr>
      <w:rFonts w:eastAsia="宋体"/>
      <w:kern w:val="2"/>
      <w:sz w:val="21"/>
      <w:szCs w:val="24"/>
      <w:shd w:val="clear" w:color="auto" w:fill="000080"/>
      <w:lang w:val="en-US" w:eastAsia="zh-CN"/>
    </w:rPr>
  </w:style>
  <w:style w:type="character" w:customStyle="1" w:styleId="1109">
    <w:name w:val="正文首行缩进 Char31"/>
    <w:uiPriority w:val="0"/>
    <w:rPr>
      <w:rFonts w:ascii="Times New Roman" w:hAnsi="Times New Roman" w:eastAsia="宋体" w:cs="Times New Roman"/>
      <w:kern w:val="2"/>
      <w:sz w:val="21"/>
      <w:szCs w:val="24"/>
      <w:lang w:val="en-US" w:eastAsia="zh-CN"/>
    </w:rPr>
  </w:style>
  <w:style w:type="character" w:customStyle="1" w:styleId="1110">
    <w:name w:val="正文修改 Char161"/>
    <w:uiPriority w:val="0"/>
    <w:rPr>
      <w:rFonts w:ascii="宋体" w:hAnsi="宋体" w:eastAsia="宋体" w:cs="宋体"/>
      <w:color w:val="000000"/>
      <w:kern w:val="2"/>
      <w:sz w:val="24"/>
      <w:szCs w:val="24"/>
      <w:lang w:val="en-US" w:eastAsia="zh-CN"/>
    </w:rPr>
  </w:style>
  <w:style w:type="character" w:customStyle="1" w:styleId="1111">
    <w:name w:val="样式 黑体 小四"/>
    <w:uiPriority w:val="0"/>
    <w:rPr>
      <w:rFonts w:ascii="黑体" w:hAnsi="黑体" w:eastAsia="黑体"/>
      <w:sz w:val="24"/>
    </w:rPr>
  </w:style>
  <w:style w:type="character" w:customStyle="1" w:styleId="1112">
    <w:name w:val="正文文本缩进 3 Char31"/>
    <w:uiPriority w:val="0"/>
    <w:rPr>
      <w:rFonts w:eastAsia="宋体"/>
      <w:kern w:val="2"/>
      <w:sz w:val="16"/>
      <w:szCs w:val="16"/>
      <w:lang w:val="en-US" w:eastAsia="zh-CN"/>
    </w:rPr>
  </w:style>
  <w:style w:type="character" w:customStyle="1" w:styleId="1113">
    <w:name w:val="正文文本 Char4"/>
    <w:uiPriority w:val="0"/>
    <w:rPr>
      <w:rFonts w:ascii="Times New Roman" w:hAnsi="Times New Roman" w:eastAsia="宋体" w:cs="Times New Roman"/>
      <w:kern w:val="2"/>
      <w:sz w:val="24"/>
      <w:szCs w:val="24"/>
      <w:lang w:val="en-US" w:eastAsia="zh-CN"/>
    </w:rPr>
  </w:style>
  <w:style w:type="character" w:customStyle="1" w:styleId="1114">
    <w:name w:val="文档结构图 Char31"/>
    <w:uiPriority w:val="0"/>
    <w:rPr>
      <w:rFonts w:eastAsia="宋体"/>
      <w:kern w:val="2"/>
      <w:sz w:val="21"/>
      <w:szCs w:val="24"/>
      <w:shd w:val="clear" w:color="auto" w:fill="000080"/>
      <w:lang w:val="en-US" w:eastAsia="zh-CN"/>
    </w:rPr>
  </w:style>
  <w:style w:type="character" w:customStyle="1" w:styleId="1115">
    <w:name w:val="文档结构图 Char2"/>
    <w:uiPriority w:val="0"/>
    <w:rPr>
      <w:rFonts w:eastAsia="宋体"/>
      <w:kern w:val="2"/>
      <w:sz w:val="21"/>
      <w:szCs w:val="24"/>
      <w:shd w:val="clear" w:color="auto" w:fill="000080"/>
      <w:lang w:val="en-US" w:eastAsia="zh-CN"/>
    </w:rPr>
  </w:style>
  <w:style w:type="character" w:customStyle="1" w:styleId="1116">
    <w:name w:val="Char Char21"/>
    <w:uiPriority w:val="0"/>
    <w:rPr>
      <w:rFonts w:ascii="黑体" w:eastAsia="宋体"/>
      <w:kern w:val="2"/>
      <w:sz w:val="16"/>
      <w:szCs w:val="16"/>
      <w:lang w:val="en-US" w:eastAsia="zh-CN"/>
    </w:rPr>
  </w:style>
  <w:style w:type="character" w:customStyle="1" w:styleId="1117">
    <w:name w:val="题注 Char8"/>
    <w:uiPriority w:val="0"/>
    <w:rPr>
      <w:rFonts w:ascii="黑体" w:hAnsi="Arial" w:eastAsia="黑体" w:cs="Arial"/>
      <w:b/>
      <w:kern w:val="2"/>
      <w:sz w:val="24"/>
      <w:szCs w:val="24"/>
      <w:lang w:val="en-US" w:eastAsia="zh-CN"/>
    </w:rPr>
  </w:style>
  <w:style w:type="character" w:customStyle="1" w:styleId="1118">
    <w:name w:val="mainfirst1"/>
    <w:uiPriority w:val="0"/>
    <w:rPr>
      <w:rFonts w:ascii="宋体" w:hAnsi="宋体" w:eastAsia="黑体" w:cs="宋体"/>
      <w:b/>
      <w:bCs/>
      <w:color w:val="FF0000"/>
      <w:kern w:val="2"/>
      <w:sz w:val="36"/>
      <w:szCs w:val="36"/>
      <w:lang w:val="en-US" w:eastAsia="zh-CN"/>
    </w:rPr>
  </w:style>
  <w:style w:type="character" w:customStyle="1" w:styleId="1119">
    <w:name w:val="注 Char1"/>
    <w:uiPriority w:val="0"/>
    <w:rPr>
      <w:rFonts w:ascii="Arial" w:hAnsi="Arial" w:eastAsia="黑体"/>
      <w:kern w:val="2"/>
      <w:sz w:val="24"/>
      <w:szCs w:val="24"/>
      <w:lang w:val="en-US" w:eastAsia="zh-CN"/>
    </w:rPr>
  </w:style>
  <w:style w:type="character" w:customStyle="1" w:styleId="1120">
    <w:name w:val="Char Char122"/>
    <w:uiPriority w:val="0"/>
    <w:rPr>
      <w:rFonts w:ascii="黑体" w:hAnsi="Arial" w:eastAsia="黑体"/>
      <w:b/>
      <w:bCs/>
      <w:kern w:val="2"/>
      <w:sz w:val="30"/>
      <w:szCs w:val="30"/>
      <w:lang w:val="en-US" w:eastAsia="zh-CN"/>
    </w:rPr>
  </w:style>
  <w:style w:type="character" w:customStyle="1" w:styleId="1121">
    <w:name w:val="标题2 Char2"/>
    <w:uiPriority w:val="0"/>
    <w:rPr>
      <w:rFonts w:ascii="宋体" w:hAnsi="宋体" w:eastAsia="宋体" w:cs="宋体"/>
      <w:color w:val="000000"/>
      <w:kern w:val="2"/>
      <w:sz w:val="24"/>
      <w:szCs w:val="24"/>
      <w:lang w:val="en-US" w:eastAsia="zh-CN"/>
    </w:rPr>
  </w:style>
  <w:style w:type="character" w:customStyle="1" w:styleId="1122">
    <w:name w:val="题注 Char513"/>
    <w:uiPriority w:val="0"/>
    <w:rPr>
      <w:rFonts w:ascii="黑体" w:hAnsi="Arial" w:eastAsia="黑体" w:cs="Arial"/>
      <w:b/>
      <w:kern w:val="2"/>
      <w:sz w:val="24"/>
      <w:szCs w:val="24"/>
      <w:lang w:val="en-US" w:eastAsia="zh-CN"/>
    </w:rPr>
  </w:style>
  <w:style w:type="character" w:customStyle="1" w:styleId="1123">
    <w:name w:val="正文首行缩进 Char1 Char Char3"/>
    <w:uiPriority w:val="0"/>
    <w:rPr>
      <w:rFonts w:eastAsia="宋体"/>
      <w:kern w:val="2"/>
      <w:sz w:val="21"/>
      <w:szCs w:val="24"/>
      <w:lang w:val="en-US" w:eastAsia="zh-CN"/>
    </w:rPr>
  </w:style>
  <w:style w:type="character" w:customStyle="1" w:styleId="1124">
    <w:name w:val="Char Char622"/>
    <w:uiPriority w:val="0"/>
    <w:rPr>
      <w:rFonts w:ascii="黑体" w:eastAsia="黑体"/>
      <w:b/>
      <w:bCs/>
      <w:kern w:val="2"/>
      <w:sz w:val="28"/>
      <w:szCs w:val="28"/>
      <w:lang w:val="en-US" w:eastAsia="zh-CN"/>
    </w:rPr>
  </w:style>
  <w:style w:type="character" w:customStyle="1" w:styleId="1125">
    <w:name w:val="。"/>
    <w:uiPriority w:val="0"/>
    <w:rPr>
      <w:rFonts w:ascii="宋体" w:eastAsia="宋体"/>
      <w:kern w:val="2"/>
      <w:sz w:val="24"/>
      <w:lang w:val="en-US" w:eastAsia="zh-CN"/>
    </w:rPr>
  </w:style>
  <w:style w:type="character" w:customStyle="1" w:styleId="1126">
    <w:name w:val="正文文本缩进 3 Char11"/>
    <w:uiPriority w:val="0"/>
    <w:rPr>
      <w:rFonts w:eastAsia="宋体"/>
      <w:kern w:val="2"/>
      <w:sz w:val="16"/>
      <w:szCs w:val="16"/>
      <w:lang w:val="en-US" w:eastAsia="zh-CN"/>
    </w:rPr>
  </w:style>
  <w:style w:type="character" w:customStyle="1" w:styleId="1127">
    <w:name w:val="正文缩进 Char12"/>
    <w:uiPriority w:val="0"/>
    <w:rPr>
      <w:rFonts w:ascii="宋体" w:hAnsi="宋体" w:eastAsia="宋体" w:cs="宋体"/>
      <w:color w:val="000000"/>
      <w:kern w:val="2"/>
      <w:sz w:val="24"/>
      <w:szCs w:val="24"/>
      <w:lang w:val="en-US" w:eastAsia="zh-CN"/>
    </w:rPr>
  </w:style>
  <w:style w:type="character" w:customStyle="1" w:styleId="1128">
    <w:name w:val="正文修改 Char16"/>
    <w:uiPriority w:val="0"/>
    <w:rPr>
      <w:rFonts w:ascii="宋体" w:hAnsi="宋体" w:eastAsia="宋体" w:cs="宋体"/>
      <w:color w:val="000000"/>
      <w:kern w:val="2"/>
      <w:sz w:val="24"/>
      <w:szCs w:val="24"/>
      <w:lang w:val="en-US" w:eastAsia="zh-CN"/>
    </w:rPr>
  </w:style>
  <w:style w:type="character" w:customStyle="1" w:styleId="1129">
    <w:name w:val="表题1 Char631"/>
    <w:uiPriority w:val="0"/>
    <w:rPr>
      <w:rFonts w:ascii="黑体" w:hAnsi="Arial" w:eastAsia="黑体" w:cs="Arial"/>
      <w:b/>
      <w:kern w:val="2"/>
      <w:sz w:val="24"/>
      <w:szCs w:val="24"/>
      <w:lang w:val="en-US" w:eastAsia="zh-CN"/>
    </w:rPr>
  </w:style>
  <w:style w:type="character" w:customStyle="1" w:styleId="1130">
    <w:name w:val="题注 Char33"/>
    <w:uiPriority w:val="0"/>
    <w:rPr>
      <w:rFonts w:ascii="黑体" w:hAnsi="Arial" w:eastAsia="黑体" w:cs="Arial"/>
      <w:b/>
      <w:kern w:val="2"/>
      <w:sz w:val="24"/>
      <w:szCs w:val="24"/>
      <w:lang w:val="en-US" w:eastAsia="zh-CN"/>
    </w:rPr>
  </w:style>
  <w:style w:type="character" w:customStyle="1" w:styleId="1131">
    <w:name w:val="Char Char2117"/>
    <w:uiPriority w:val="0"/>
    <w:rPr>
      <w:rFonts w:ascii="黑体" w:eastAsia="宋体"/>
      <w:kern w:val="2"/>
      <w:sz w:val="16"/>
      <w:szCs w:val="16"/>
      <w:lang w:val="en-US" w:eastAsia="zh-CN"/>
    </w:rPr>
  </w:style>
  <w:style w:type="character" w:customStyle="1" w:styleId="1132">
    <w:name w:val="正文缩进 Char41"/>
    <w:uiPriority w:val="0"/>
    <w:rPr>
      <w:rFonts w:ascii="宋体" w:hAnsi="宋体" w:eastAsia="宋体" w:cs="宋体"/>
      <w:color w:val="000000"/>
      <w:kern w:val="2"/>
      <w:sz w:val="24"/>
      <w:szCs w:val="24"/>
      <w:lang w:val="en-US" w:eastAsia="zh-CN"/>
    </w:rPr>
  </w:style>
  <w:style w:type="character" w:customStyle="1" w:styleId="1133">
    <w:name w:val="图表题 Char13"/>
    <w:uiPriority w:val="0"/>
    <w:rPr>
      <w:rFonts w:ascii="黑体" w:hAnsi="宋体" w:eastAsia="黑体" w:cs="宋体"/>
      <w:b/>
      <w:bCs/>
      <w:kern w:val="2"/>
      <w:sz w:val="24"/>
      <w:szCs w:val="24"/>
      <w:lang w:val="en-US" w:eastAsia="zh-CN"/>
    </w:rPr>
  </w:style>
  <w:style w:type="character" w:customStyle="1" w:styleId="1134">
    <w:name w:val="标题4 Char21"/>
    <w:uiPriority w:val="0"/>
    <w:rPr>
      <w:rFonts w:ascii="黑体" w:hAnsi="Arial" w:eastAsia="黑体" w:cs="Times New Roman"/>
      <w:b/>
      <w:bCs/>
      <w:kern w:val="2"/>
      <w:sz w:val="24"/>
      <w:szCs w:val="28"/>
      <w:lang w:val="en-US" w:eastAsia="zh-CN"/>
    </w:rPr>
  </w:style>
  <w:style w:type="character" w:customStyle="1" w:styleId="1135">
    <w:name w:val="页脚 Char31"/>
    <w:uiPriority w:val="0"/>
    <w:rPr>
      <w:rFonts w:eastAsia="宋体"/>
      <w:kern w:val="2"/>
      <w:sz w:val="18"/>
      <w:szCs w:val="18"/>
      <w:lang w:val="en-US" w:eastAsia="zh-CN"/>
    </w:rPr>
  </w:style>
  <w:style w:type="character" w:customStyle="1" w:styleId="1136">
    <w:name w:val="章标题 11"/>
    <w:uiPriority w:val="0"/>
    <w:rPr>
      <w:rFonts w:ascii="黑体" w:hAnsi="宋体" w:eastAsia="黑体" w:cs="宋体"/>
      <w:kern w:val="2"/>
      <w:sz w:val="32"/>
      <w:szCs w:val="24"/>
      <w:lang w:val="en-US" w:eastAsia="zh-CN"/>
    </w:rPr>
  </w:style>
  <w:style w:type="character" w:customStyle="1" w:styleId="1137">
    <w:name w:val="图题注 Char3"/>
    <w:uiPriority w:val="0"/>
    <w:rPr>
      <w:rFonts w:ascii="黑体" w:hAnsi="Arial" w:eastAsia="黑体" w:cs="宋体"/>
      <w:b/>
      <w:bCs/>
      <w:kern w:val="2"/>
      <w:sz w:val="24"/>
      <w:szCs w:val="24"/>
      <w:lang w:val="en-US" w:eastAsia="zh-CN"/>
    </w:rPr>
  </w:style>
  <w:style w:type="character" w:customStyle="1" w:styleId="1138">
    <w:name w:val="正文格式 Char4"/>
    <w:uiPriority w:val="0"/>
    <w:rPr>
      <w:rFonts w:ascii="宋体" w:hAnsi="宋体" w:eastAsia="宋体"/>
      <w:kern w:val="2"/>
      <w:sz w:val="24"/>
      <w:szCs w:val="24"/>
      <w:lang w:val="en-US" w:eastAsia="zh-CN"/>
    </w:rPr>
  </w:style>
  <w:style w:type="character" w:customStyle="1" w:styleId="1139">
    <w:name w:val="Char Char310"/>
    <w:uiPriority w:val="0"/>
    <w:rPr>
      <w:rFonts w:ascii="黑体" w:hAnsi="宋体" w:eastAsia="黑体"/>
      <w:b/>
      <w:bCs/>
      <w:kern w:val="2"/>
      <w:sz w:val="28"/>
      <w:szCs w:val="28"/>
      <w:lang w:val="en-US" w:eastAsia="zh-CN"/>
    </w:rPr>
  </w:style>
  <w:style w:type="character" w:customStyle="1" w:styleId="1140">
    <w:name w:val="表格内字体 Char9"/>
    <w:uiPriority w:val="0"/>
    <w:rPr>
      <w:rFonts w:ascii="宋体" w:hAnsi="宋体" w:eastAsia="宋体"/>
      <w:kern w:val="2"/>
      <w:sz w:val="21"/>
      <w:szCs w:val="24"/>
      <w:lang w:val="en-US" w:eastAsia="zh-CN"/>
    </w:rPr>
  </w:style>
  <w:style w:type="character" w:customStyle="1" w:styleId="1141">
    <w:name w:val="环评正文 Char1"/>
    <w:uiPriority w:val="0"/>
    <w:rPr>
      <w:rFonts w:eastAsia="宋体"/>
      <w:bCs/>
      <w:kern w:val="2"/>
      <w:sz w:val="24"/>
      <w:szCs w:val="24"/>
      <w:lang w:val="en-US" w:eastAsia="zh-CN"/>
    </w:rPr>
  </w:style>
  <w:style w:type="character" w:customStyle="1" w:styleId="1142">
    <w:name w:val="标题 3 Char11"/>
    <w:uiPriority w:val="0"/>
    <w:rPr>
      <w:rFonts w:ascii="黑体" w:hAnsi="宋体" w:eastAsia="黑体"/>
      <w:b/>
      <w:bCs/>
      <w:kern w:val="2"/>
      <w:sz w:val="28"/>
      <w:szCs w:val="28"/>
      <w:lang w:val="en-US" w:eastAsia="zh-CN"/>
    </w:rPr>
  </w:style>
  <w:style w:type="character" w:customStyle="1" w:styleId="1143">
    <w:name w:val="普通文字 Char Char Char Char Char C Char Char Char Char Char Char Char"/>
    <w:uiPriority w:val="0"/>
    <w:rPr>
      <w:rFonts w:ascii="宋体" w:hAnsi="Courier New" w:eastAsia="宋体" w:cs="宋体"/>
      <w:kern w:val="2"/>
      <w:sz w:val="28"/>
      <w:szCs w:val="24"/>
      <w:lang w:val="en-US" w:eastAsia="zh-CN"/>
    </w:rPr>
  </w:style>
  <w:style w:type="character" w:customStyle="1" w:styleId="1144">
    <w:name w:val="Char Char58"/>
    <w:uiPriority w:val="0"/>
    <w:rPr>
      <w:rFonts w:ascii="黑体" w:hAnsi="宋体" w:eastAsia="黑体"/>
      <w:bCs/>
      <w:kern w:val="2"/>
      <w:sz w:val="28"/>
      <w:szCs w:val="28"/>
      <w:lang w:val="en-US" w:eastAsia="zh-CN"/>
    </w:rPr>
  </w:style>
  <w:style w:type="character" w:customStyle="1" w:styleId="1145">
    <w:name w:val="文档结构图 Char21"/>
    <w:uiPriority w:val="0"/>
    <w:rPr>
      <w:rFonts w:eastAsia="宋体"/>
      <w:kern w:val="2"/>
      <w:sz w:val="21"/>
      <w:szCs w:val="24"/>
      <w:shd w:val="clear" w:color="auto" w:fill="000080"/>
      <w:lang w:val="en-US" w:eastAsia="zh-CN"/>
    </w:rPr>
  </w:style>
  <w:style w:type="character" w:customStyle="1" w:styleId="1146">
    <w:name w:val="标题 2 Char5"/>
    <w:uiPriority w:val="0"/>
    <w:rPr>
      <w:rFonts w:ascii="黑体" w:hAnsi="Arial" w:eastAsia="黑体"/>
      <w:bCs/>
      <w:kern w:val="2"/>
      <w:sz w:val="30"/>
      <w:szCs w:val="30"/>
      <w:lang w:val="en-US" w:eastAsia="zh-CN"/>
    </w:rPr>
  </w:style>
  <w:style w:type="character" w:customStyle="1" w:styleId="1147">
    <w:name w:val="正文格式 Char51"/>
    <w:uiPriority w:val="0"/>
    <w:rPr>
      <w:rFonts w:ascii="宋体" w:hAnsi="宋体" w:eastAsia="宋体"/>
      <w:kern w:val="2"/>
      <w:sz w:val="24"/>
      <w:szCs w:val="24"/>
      <w:lang w:val="en-US" w:eastAsia="zh-CN"/>
    </w:rPr>
  </w:style>
  <w:style w:type="character" w:customStyle="1" w:styleId="1148">
    <w:name w:val="正文修改 Char143"/>
    <w:uiPriority w:val="0"/>
    <w:rPr>
      <w:rFonts w:ascii="宋体" w:hAnsi="Times New Roman" w:eastAsia="宋体" w:cs="宋体"/>
      <w:kern w:val="2"/>
      <w:sz w:val="24"/>
      <w:szCs w:val="24"/>
      <w:lang w:val="en-US" w:eastAsia="zh-CN"/>
    </w:rPr>
  </w:style>
  <w:style w:type="character" w:customStyle="1" w:styleId="1149">
    <w:name w:val="Char Char617"/>
    <w:uiPriority w:val="0"/>
    <w:rPr>
      <w:rFonts w:ascii="黑体" w:eastAsia="黑体"/>
      <w:b/>
      <w:bCs/>
      <w:kern w:val="2"/>
      <w:sz w:val="28"/>
      <w:szCs w:val="28"/>
      <w:lang w:val="en-US" w:eastAsia="zh-CN"/>
    </w:rPr>
  </w:style>
  <w:style w:type="character" w:customStyle="1" w:styleId="1150">
    <w:name w:val="Char4 Char Char Char Char11"/>
    <w:uiPriority w:val="0"/>
    <w:rPr>
      <w:rFonts w:eastAsia="仿宋_GB2312"/>
      <w:kern w:val="2"/>
      <w:sz w:val="28"/>
      <w:szCs w:val="24"/>
      <w:lang w:val="en-US" w:eastAsia="zh-CN"/>
    </w:rPr>
  </w:style>
  <w:style w:type="character" w:customStyle="1" w:styleId="1151">
    <w:name w:val="标题4 Char31"/>
    <w:uiPriority w:val="0"/>
    <w:rPr>
      <w:rFonts w:ascii="黑体" w:hAnsi="Arial" w:eastAsia="黑体" w:cs="Times New Roman"/>
      <w:b/>
      <w:bCs/>
      <w:kern w:val="2"/>
      <w:sz w:val="24"/>
      <w:szCs w:val="28"/>
      <w:lang w:val="en-US" w:eastAsia="zh-CN"/>
    </w:rPr>
  </w:style>
  <w:style w:type="character" w:customStyle="1" w:styleId="1152">
    <w:name w:val="图题 Char21"/>
    <w:uiPriority w:val="0"/>
    <w:rPr>
      <w:rFonts w:ascii="黑体" w:hAnsi="宋体" w:eastAsia="黑体" w:cs="宋体"/>
      <w:b/>
      <w:bCs/>
      <w:kern w:val="2"/>
      <w:sz w:val="24"/>
      <w:szCs w:val="24"/>
      <w:lang w:val="en-US" w:eastAsia="zh-CN"/>
    </w:rPr>
  </w:style>
  <w:style w:type="character" w:customStyle="1" w:styleId="1153">
    <w:name w:val="题注 Char14"/>
    <w:uiPriority w:val="0"/>
    <w:rPr>
      <w:rFonts w:ascii="黑体" w:hAnsi="Arial" w:eastAsia="黑体" w:cs="Arial"/>
      <w:b/>
      <w:kern w:val="2"/>
      <w:sz w:val="24"/>
      <w:szCs w:val="24"/>
      <w:lang w:val="en-US" w:eastAsia="zh-CN"/>
    </w:rPr>
  </w:style>
  <w:style w:type="character" w:customStyle="1" w:styleId="1154">
    <w:name w:val="Char Char33"/>
    <w:uiPriority w:val="0"/>
    <w:rPr>
      <w:rFonts w:ascii="黑体" w:hAnsi="宋体" w:eastAsia="黑体"/>
      <w:b/>
      <w:bCs/>
      <w:kern w:val="2"/>
      <w:sz w:val="28"/>
      <w:szCs w:val="28"/>
      <w:lang w:val="en-US" w:eastAsia="zh-CN"/>
    </w:rPr>
  </w:style>
  <w:style w:type="character" w:customStyle="1" w:styleId="1155">
    <w:name w:val="表内5 Char5"/>
    <w:uiPriority w:val="0"/>
    <w:rPr>
      <w:rFonts w:ascii="宋体" w:hAnsi="宋体" w:eastAsia="宋体" w:cs="Times New Roman"/>
      <w:kern w:val="2"/>
      <w:sz w:val="24"/>
      <w:szCs w:val="24"/>
      <w:lang w:val="en-US" w:eastAsia="zh-CN"/>
    </w:rPr>
  </w:style>
  <w:style w:type="character" w:customStyle="1" w:styleId="1156">
    <w:name w:val="标题 3 Char141"/>
    <w:uiPriority w:val="0"/>
    <w:rPr>
      <w:rFonts w:ascii="黑体" w:hAnsi="宋体" w:eastAsia="黑体" w:cs="Times New Roman"/>
      <w:b/>
      <w:bCs/>
      <w:kern w:val="2"/>
      <w:sz w:val="28"/>
      <w:szCs w:val="28"/>
      <w:lang w:val="en-US" w:eastAsia="zh-CN"/>
    </w:rPr>
  </w:style>
  <w:style w:type="character" w:customStyle="1" w:styleId="1157">
    <w:name w:val="Char Char661"/>
    <w:uiPriority w:val="0"/>
    <w:rPr>
      <w:rFonts w:ascii="黑体" w:eastAsia="黑体"/>
      <w:b/>
      <w:bCs/>
      <w:kern w:val="2"/>
      <w:sz w:val="28"/>
      <w:szCs w:val="28"/>
      <w:lang w:val="en-US" w:eastAsia="zh-CN"/>
    </w:rPr>
  </w:style>
  <w:style w:type="character" w:customStyle="1" w:styleId="1158">
    <w:name w:val="节 Char13"/>
    <w:uiPriority w:val="0"/>
    <w:rPr>
      <w:rFonts w:ascii="黑体" w:hAnsi="Arial" w:eastAsia="黑体"/>
      <w:bCs/>
      <w:kern w:val="2"/>
      <w:sz w:val="30"/>
      <w:szCs w:val="30"/>
      <w:lang w:val="en-US" w:eastAsia="zh-CN"/>
    </w:rPr>
  </w:style>
  <w:style w:type="character" w:customStyle="1" w:styleId="1159">
    <w:name w:val="正文修改 Char14111"/>
    <w:uiPriority w:val="0"/>
    <w:rPr>
      <w:rFonts w:ascii="宋体" w:cs="宋体"/>
      <w:kern w:val="2"/>
      <w:sz w:val="24"/>
      <w:szCs w:val="24"/>
    </w:rPr>
  </w:style>
  <w:style w:type="character" w:customStyle="1" w:styleId="1160">
    <w:name w:val="题注 Char331"/>
    <w:uiPriority w:val="0"/>
    <w:rPr>
      <w:rFonts w:ascii="黑体" w:hAnsi="Arial" w:eastAsia="黑体" w:cs="Arial"/>
      <w:b/>
      <w:kern w:val="2"/>
      <w:sz w:val="24"/>
      <w:szCs w:val="24"/>
      <w:lang w:val="en-US" w:eastAsia="zh-CN"/>
    </w:rPr>
  </w:style>
  <w:style w:type="character" w:customStyle="1" w:styleId="1161">
    <w:name w:val="Char Char112"/>
    <w:qFormat/>
    <w:uiPriority w:val="0"/>
    <w:rPr>
      <w:rFonts w:ascii="黑体" w:hAnsi="Arial" w:eastAsia="黑体"/>
      <w:bCs/>
      <w:kern w:val="2"/>
      <w:sz w:val="30"/>
      <w:szCs w:val="30"/>
      <w:lang w:val="en-US" w:eastAsia="zh-CN"/>
    </w:rPr>
  </w:style>
  <w:style w:type="character" w:customStyle="1" w:styleId="1162">
    <w:name w:val="正文格式 Char7"/>
    <w:uiPriority w:val="0"/>
    <w:rPr>
      <w:rFonts w:ascii="宋体" w:hAnsi="宋体" w:eastAsia="宋体"/>
      <w:kern w:val="2"/>
      <w:sz w:val="24"/>
      <w:szCs w:val="24"/>
      <w:lang w:val="en-US" w:eastAsia="zh-CN"/>
    </w:rPr>
  </w:style>
  <w:style w:type="character" w:customStyle="1" w:styleId="1163">
    <w:name w:val="表题1 Char412"/>
    <w:uiPriority w:val="0"/>
    <w:rPr>
      <w:rFonts w:ascii="黑体" w:hAnsi="Arial" w:eastAsia="黑体" w:cs="Arial"/>
      <w:b/>
      <w:kern w:val="2"/>
      <w:sz w:val="24"/>
      <w:szCs w:val="24"/>
      <w:lang w:val="en-US" w:eastAsia="zh-CN"/>
    </w:rPr>
  </w:style>
  <w:style w:type="character" w:customStyle="1" w:styleId="1164">
    <w:name w:val="正文修改 Char1211"/>
    <w:uiPriority w:val="0"/>
    <w:rPr>
      <w:rFonts w:ascii="宋体" w:hAnsi="宋体" w:eastAsia="宋体" w:cs="宋体"/>
      <w:color w:val="000000"/>
      <w:kern w:val="2"/>
      <w:sz w:val="24"/>
      <w:szCs w:val="24"/>
      <w:lang w:val="en-US" w:eastAsia="zh-CN"/>
    </w:rPr>
  </w:style>
  <w:style w:type="character" w:customStyle="1" w:styleId="1165">
    <w:name w:val="文档结构图 Char41"/>
    <w:uiPriority w:val="0"/>
    <w:rPr>
      <w:rFonts w:ascii="Times New Roman" w:hAnsi="Times New Roman" w:eastAsia="宋体" w:cs="Times New Roman"/>
      <w:kern w:val="2"/>
      <w:sz w:val="24"/>
      <w:szCs w:val="24"/>
      <w:shd w:val="clear" w:color="auto" w:fill="000080"/>
      <w:lang w:val="en-US" w:eastAsia="zh-CN"/>
    </w:rPr>
  </w:style>
  <w:style w:type="character" w:customStyle="1" w:styleId="1166">
    <w:name w:val="表题1 Char11"/>
    <w:uiPriority w:val="0"/>
    <w:rPr>
      <w:rFonts w:hAnsi="Arial" w:eastAsia="宋体" w:cs="Arial"/>
      <w:kern w:val="2"/>
      <w:sz w:val="24"/>
      <w:szCs w:val="24"/>
      <w:lang w:val="en-US" w:eastAsia="zh-CN"/>
    </w:rPr>
  </w:style>
  <w:style w:type="character" w:customStyle="1" w:styleId="1167">
    <w:name w:val="图题注 Char11"/>
    <w:uiPriority w:val="0"/>
    <w:rPr>
      <w:rFonts w:ascii="黑体" w:hAnsi="Arial" w:eastAsia="黑体" w:cs="宋体"/>
      <w:b/>
      <w:bCs/>
      <w:kern w:val="2"/>
      <w:sz w:val="24"/>
      <w:szCs w:val="24"/>
      <w:lang w:val="en-US" w:eastAsia="zh-CN"/>
    </w:rPr>
  </w:style>
  <w:style w:type="character" w:customStyle="1" w:styleId="1168">
    <w:name w:val="正文文本1 Char"/>
    <w:uiPriority w:val="0"/>
    <w:rPr>
      <w:rFonts w:eastAsia="仿宋_GB2312"/>
      <w:kern w:val="2"/>
      <w:sz w:val="24"/>
      <w:szCs w:val="24"/>
      <w:lang w:val="en-US" w:eastAsia="zh-CN"/>
    </w:rPr>
  </w:style>
  <w:style w:type="character" w:customStyle="1" w:styleId="1169">
    <w:name w:val="标题 3 Char101"/>
    <w:uiPriority w:val="0"/>
    <w:rPr>
      <w:rFonts w:ascii="黑体" w:hAnsi="宋体" w:eastAsia="黑体"/>
      <w:b/>
      <w:bCs/>
      <w:kern w:val="2"/>
      <w:sz w:val="28"/>
      <w:szCs w:val="28"/>
      <w:lang w:val="en-US" w:eastAsia="zh-CN"/>
    </w:rPr>
  </w:style>
  <w:style w:type="character" w:customStyle="1" w:styleId="1170">
    <w:name w:val="标题 3 Char131"/>
    <w:uiPriority w:val="0"/>
    <w:rPr>
      <w:rFonts w:ascii="黑体" w:hAnsi="宋体" w:eastAsia="黑体"/>
      <w:b/>
      <w:bCs/>
      <w:kern w:val="2"/>
      <w:sz w:val="28"/>
      <w:szCs w:val="28"/>
      <w:lang w:val="en-US" w:eastAsia="zh-CN"/>
    </w:rPr>
  </w:style>
  <w:style w:type="character" w:customStyle="1" w:styleId="1171">
    <w:name w:val="al11"/>
    <w:qFormat/>
    <w:uiPriority w:val="0"/>
    <w:rPr>
      <w:color w:val="333333"/>
      <w:sz w:val="18"/>
      <w:szCs w:val="18"/>
    </w:rPr>
  </w:style>
  <w:style w:type="character" w:customStyle="1" w:styleId="1172">
    <w:name w:val="Char Char214"/>
    <w:uiPriority w:val="0"/>
    <w:rPr>
      <w:rFonts w:ascii="黑体" w:eastAsia="宋体"/>
      <w:kern w:val="2"/>
      <w:sz w:val="16"/>
      <w:szCs w:val="16"/>
      <w:lang w:val="en-US" w:eastAsia="zh-CN"/>
    </w:rPr>
  </w:style>
  <w:style w:type="character" w:customStyle="1" w:styleId="1173">
    <w:name w:val="正文文本 3 Char31"/>
    <w:uiPriority w:val="0"/>
    <w:rPr>
      <w:rFonts w:ascii="Times New Roman" w:hAnsi="Times New Roman" w:eastAsia="宋体" w:cs="Times New Roman"/>
      <w:kern w:val="2"/>
      <w:sz w:val="16"/>
      <w:szCs w:val="16"/>
      <w:lang w:val="en-US" w:eastAsia="zh-CN"/>
    </w:rPr>
  </w:style>
  <w:style w:type="character" w:customStyle="1" w:styleId="1174">
    <w:name w:val="标题 9 Char1"/>
    <w:uiPriority w:val="0"/>
    <w:rPr>
      <w:rFonts w:ascii="Arial" w:hAnsi="Arial" w:eastAsia="黑体"/>
      <w:kern w:val="2"/>
      <w:sz w:val="21"/>
      <w:szCs w:val="21"/>
      <w:lang w:val="en-US" w:eastAsia="zh-CN"/>
    </w:rPr>
  </w:style>
  <w:style w:type="character" w:customStyle="1" w:styleId="1175">
    <w:name w:val="燕山正文 Char171"/>
    <w:uiPriority w:val="0"/>
    <w:rPr>
      <w:rFonts w:ascii="宋体" w:hAnsi="Times New Roman" w:eastAsia="宋体" w:cs="宋体"/>
      <w:kern w:val="2"/>
      <w:sz w:val="24"/>
      <w:szCs w:val="24"/>
      <w:lang w:val="en-US" w:eastAsia="zh-CN"/>
    </w:rPr>
  </w:style>
  <w:style w:type="character" w:customStyle="1" w:styleId="1176">
    <w:name w:val="正文格式 Char81"/>
    <w:uiPriority w:val="0"/>
    <w:rPr>
      <w:rFonts w:ascii="宋体" w:hAnsi="宋体" w:eastAsia="宋体"/>
      <w:kern w:val="2"/>
      <w:sz w:val="24"/>
      <w:szCs w:val="24"/>
      <w:lang w:val="en-US" w:eastAsia="zh-CN"/>
    </w:rPr>
  </w:style>
  <w:style w:type="character" w:customStyle="1" w:styleId="1177">
    <w:name w:val="Char Char65"/>
    <w:uiPriority w:val="0"/>
    <w:rPr>
      <w:rFonts w:ascii="黑体" w:eastAsia="黑体"/>
      <w:b/>
      <w:bCs/>
      <w:kern w:val="2"/>
      <w:sz w:val="28"/>
      <w:szCs w:val="28"/>
      <w:lang w:val="en-US" w:eastAsia="zh-CN"/>
    </w:rPr>
  </w:style>
  <w:style w:type="character" w:customStyle="1" w:styleId="1178">
    <w:name w:val="Char Char410"/>
    <w:uiPriority w:val="0"/>
    <w:rPr>
      <w:rFonts w:ascii="黑体" w:hAnsi="Arial" w:eastAsia="黑体"/>
      <w:b/>
      <w:bCs/>
      <w:kern w:val="2"/>
      <w:sz w:val="30"/>
      <w:szCs w:val="30"/>
      <w:lang w:val="en-US" w:eastAsia="zh-CN"/>
    </w:rPr>
  </w:style>
  <w:style w:type="character" w:customStyle="1" w:styleId="1179">
    <w:name w:val="样式 表内小5 + 黑体 加粗 倾斜 下划线 Char51"/>
    <w:uiPriority w:val="0"/>
    <w:rPr>
      <w:rFonts w:ascii="黑体" w:hAnsi="黑体" w:eastAsia="黑体"/>
      <w:b/>
      <w:bCs/>
      <w:i/>
      <w:iCs/>
      <w:kern w:val="2"/>
      <w:sz w:val="18"/>
      <w:szCs w:val="24"/>
      <w:u w:val="single"/>
      <w:lang w:val="en-US" w:eastAsia="zh-CN"/>
    </w:rPr>
  </w:style>
  <w:style w:type="character" w:customStyle="1" w:styleId="1180">
    <w:name w:val="Char Char183"/>
    <w:uiPriority w:val="0"/>
    <w:rPr>
      <w:rFonts w:ascii="宋体" w:hAnsi="Times New Roman" w:eastAsia="宋体" w:cs="Times New Roman"/>
      <w:sz w:val="24"/>
      <w:szCs w:val="24"/>
    </w:rPr>
  </w:style>
  <w:style w:type="character" w:customStyle="1" w:styleId="1181">
    <w:name w:val="表格内字体 Char4"/>
    <w:uiPriority w:val="0"/>
    <w:rPr>
      <w:rFonts w:ascii="宋体" w:hAnsi="宋体" w:eastAsia="宋体"/>
      <w:kern w:val="2"/>
      <w:sz w:val="21"/>
      <w:szCs w:val="24"/>
      <w:lang w:val="en-US" w:eastAsia="zh-CN"/>
    </w:rPr>
  </w:style>
  <w:style w:type="character" w:customStyle="1" w:styleId="1182">
    <w:name w:val="表内5 Char11"/>
    <w:uiPriority w:val="0"/>
    <w:rPr>
      <w:rFonts w:ascii="宋体" w:hAnsi="宋体" w:eastAsia="宋体" w:cs="Times New Roman"/>
      <w:kern w:val="2"/>
      <w:sz w:val="24"/>
      <w:szCs w:val="24"/>
      <w:lang w:val="en-US" w:eastAsia="zh-CN"/>
    </w:rPr>
  </w:style>
  <w:style w:type="character" w:customStyle="1" w:styleId="1183">
    <w:name w:val="正文缩进 Char131"/>
    <w:uiPriority w:val="0"/>
    <w:rPr>
      <w:rFonts w:ascii="宋体" w:hAnsi="宋体" w:eastAsia="宋体" w:cs="宋体"/>
      <w:color w:val="000000"/>
      <w:kern w:val="2"/>
      <w:sz w:val="24"/>
      <w:szCs w:val="24"/>
      <w:lang w:val="en-US" w:eastAsia="zh-CN"/>
    </w:rPr>
  </w:style>
  <w:style w:type="character" w:customStyle="1" w:styleId="1184">
    <w:name w:val="二级项 Char3"/>
    <w:uiPriority w:val="0"/>
    <w:rPr>
      <w:rFonts w:ascii="Arial" w:hAnsi="Arial" w:eastAsia="黑体"/>
      <w:b/>
      <w:bCs/>
      <w:kern w:val="2"/>
      <w:sz w:val="24"/>
      <w:szCs w:val="24"/>
      <w:lang w:val="en-US" w:eastAsia="zh-CN"/>
    </w:rPr>
  </w:style>
  <w:style w:type="character" w:customStyle="1" w:styleId="1185">
    <w:name w:val="正文修改 Char142"/>
    <w:uiPriority w:val="0"/>
    <w:rPr>
      <w:rFonts w:ascii="宋体" w:cs="宋体"/>
      <w:kern w:val="2"/>
      <w:sz w:val="24"/>
      <w:szCs w:val="24"/>
    </w:rPr>
  </w:style>
  <w:style w:type="character" w:customStyle="1" w:styleId="1186">
    <w:name w:val="正文首行缩进 2 Char21"/>
    <w:uiPriority w:val="0"/>
    <w:rPr>
      <w:rFonts w:ascii="宋体" w:hAnsi="宋体" w:eastAsia="仿宋_GB2312" w:cs="宋体"/>
      <w:color w:val="000000"/>
      <w:kern w:val="2"/>
      <w:sz w:val="21"/>
      <w:szCs w:val="24"/>
      <w:lang w:val="en-US" w:eastAsia="zh-CN"/>
    </w:rPr>
  </w:style>
  <w:style w:type="character" w:customStyle="1" w:styleId="1187">
    <w:name w:val="题注 Char21"/>
    <w:uiPriority w:val="0"/>
    <w:rPr>
      <w:rFonts w:ascii="黑体" w:hAnsi="Arial" w:eastAsia="黑体" w:cs="Arial"/>
      <w:b/>
      <w:kern w:val="2"/>
      <w:sz w:val="24"/>
      <w:szCs w:val="24"/>
      <w:lang w:val="en-US" w:eastAsia="zh-CN"/>
    </w:rPr>
  </w:style>
  <w:style w:type="character" w:customStyle="1" w:styleId="1188">
    <w:name w:val="题注 Char521"/>
    <w:uiPriority w:val="0"/>
    <w:rPr>
      <w:rFonts w:ascii="黑体" w:hAnsi="Arial" w:eastAsia="黑体" w:cs="Arial"/>
      <w:b/>
      <w:kern w:val="2"/>
      <w:sz w:val="24"/>
      <w:szCs w:val="24"/>
      <w:lang w:val="en-US" w:eastAsia="zh-CN"/>
    </w:rPr>
  </w:style>
  <w:style w:type="character" w:customStyle="1" w:styleId="1189">
    <w:name w:val="表中文字 Char211"/>
    <w:uiPriority w:val="0"/>
    <w:rPr>
      <w:rFonts w:ascii="宋体" w:eastAsia="宋体"/>
      <w:kern w:val="2"/>
      <w:sz w:val="21"/>
      <w:szCs w:val="21"/>
      <w:lang w:val="en-US" w:eastAsia="zh-CN"/>
    </w:rPr>
  </w:style>
  <w:style w:type="character" w:customStyle="1" w:styleId="1190">
    <w:name w:val="正文修改 Char1231"/>
    <w:uiPriority w:val="0"/>
    <w:rPr>
      <w:rFonts w:ascii="宋体" w:hAnsi="宋体" w:eastAsia="宋体" w:cs="宋体"/>
      <w:color w:val="000000"/>
      <w:kern w:val="2"/>
      <w:sz w:val="24"/>
      <w:szCs w:val="24"/>
      <w:lang w:val="en-US" w:eastAsia="zh-CN"/>
    </w:rPr>
  </w:style>
  <w:style w:type="character" w:customStyle="1" w:styleId="1191">
    <w:name w:val="Char Char91"/>
    <w:uiPriority w:val="0"/>
    <w:rPr>
      <w:rFonts w:eastAsia="宋体"/>
      <w:kern w:val="2"/>
      <w:sz w:val="21"/>
      <w:szCs w:val="24"/>
      <w:shd w:val="clear" w:color="auto" w:fill="000080"/>
      <w:lang w:val="en-US" w:eastAsia="zh-CN"/>
    </w:rPr>
  </w:style>
  <w:style w:type="character" w:customStyle="1" w:styleId="1192">
    <w:name w:val="attach-title1"/>
    <w:uiPriority w:val="0"/>
    <w:rPr>
      <w:b/>
      <w:bCs/>
      <w:color w:val="008080"/>
      <w:sz w:val="27"/>
      <w:szCs w:val="27"/>
    </w:rPr>
  </w:style>
  <w:style w:type="character" w:customStyle="1" w:styleId="1193">
    <w:name w:val="我的样式（正文） Char Char"/>
    <w:uiPriority w:val="0"/>
    <w:rPr>
      <w:rFonts w:ascii="宋体" w:hAnsi="华文楷体" w:eastAsia="宋体" w:cs="宋体"/>
      <w:kern w:val="2"/>
      <w:sz w:val="24"/>
      <w:szCs w:val="24"/>
      <w:lang w:val="en-US" w:eastAsia="zh-CN"/>
    </w:rPr>
  </w:style>
  <w:style w:type="character" w:customStyle="1" w:styleId="1194">
    <w:name w:val="无级项 Char3"/>
    <w:uiPriority w:val="0"/>
    <w:rPr>
      <w:rFonts w:eastAsia="宋体"/>
      <w:b/>
      <w:bCs/>
      <w:kern w:val="2"/>
      <w:sz w:val="24"/>
      <w:szCs w:val="24"/>
      <w:lang w:val="en-US" w:eastAsia="zh-CN"/>
    </w:rPr>
  </w:style>
  <w:style w:type="character" w:customStyle="1" w:styleId="1195">
    <w:name w:val="表题1 Char91"/>
    <w:uiPriority w:val="0"/>
    <w:rPr>
      <w:rFonts w:ascii="黑体" w:hAnsi="Arial" w:eastAsia="黑体" w:cs="Arial"/>
      <w:b/>
      <w:kern w:val="2"/>
      <w:sz w:val="24"/>
      <w:szCs w:val="24"/>
      <w:lang w:val="en-US" w:eastAsia="zh-CN"/>
    </w:rPr>
  </w:style>
  <w:style w:type="character" w:customStyle="1" w:styleId="1196">
    <w:name w:val="批注框文本 Char2"/>
    <w:uiPriority w:val="0"/>
    <w:rPr>
      <w:rFonts w:eastAsia="宋体"/>
      <w:kern w:val="2"/>
      <w:sz w:val="18"/>
      <w:szCs w:val="18"/>
      <w:lang w:val="en-US" w:eastAsia="zh-CN"/>
    </w:rPr>
  </w:style>
  <w:style w:type="character" w:customStyle="1" w:styleId="1197">
    <w:name w:val="文字缩进 Char"/>
    <w:uiPriority w:val="0"/>
    <w:rPr>
      <w:rFonts w:ascii="宋体" w:hAnsi="Courier New" w:eastAsia="宋体"/>
      <w:kern w:val="2"/>
      <w:sz w:val="21"/>
      <w:lang w:val="en-US" w:eastAsia="zh-CN"/>
    </w:rPr>
  </w:style>
  <w:style w:type="character" w:customStyle="1" w:styleId="1198">
    <w:name w:val="表内5 Char1"/>
    <w:uiPriority w:val="0"/>
    <w:rPr>
      <w:rFonts w:ascii="宋体" w:hAnsi="宋体" w:eastAsia="宋体" w:cs="Times New Roman"/>
      <w:kern w:val="2"/>
      <w:sz w:val="24"/>
      <w:szCs w:val="24"/>
      <w:lang w:val="en-US" w:eastAsia="zh-CN"/>
    </w:rPr>
  </w:style>
  <w:style w:type="character" w:customStyle="1" w:styleId="1199">
    <w:name w:val="样式 表内小5 + 黑体 加粗 倾斜 下划线 Char21"/>
    <w:uiPriority w:val="0"/>
    <w:rPr>
      <w:rFonts w:ascii="黑体" w:hAnsi="黑体" w:eastAsia="黑体"/>
      <w:b/>
      <w:bCs/>
      <w:i/>
      <w:iCs/>
      <w:kern w:val="2"/>
      <w:sz w:val="18"/>
      <w:szCs w:val="24"/>
      <w:u w:val="single"/>
      <w:lang w:val="en-US" w:eastAsia="zh-CN"/>
    </w:rPr>
  </w:style>
  <w:style w:type="character" w:customStyle="1" w:styleId="1200">
    <w:name w:val="题注 Char2111"/>
    <w:uiPriority w:val="0"/>
    <w:rPr>
      <w:rFonts w:ascii="黑体" w:hAnsi="Arial" w:eastAsia="黑体" w:cs="Arial"/>
      <w:b/>
      <w:kern w:val="2"/>
      <w:sz w:val="24"/>
      <w:szCs w:val="24"/>
      <w:lang w:val="en-US" w:eastAsia="zh-CN"/>
    </w:rPr>
  </w:style>
  <w:style w:type="character" w:customStyle="1" w:styleId="1201">
    <w:name w:val="head121"/>
    <w:uiPriority w:val="0"/>
    <w:rPr>
      <w:rFonts w:eastAsia="宋体"/>
      <w:kern w:val="2"/>
      <w:sz w:val="22"/>
      <w:szCs w:val="22"/>
      <w:lang w:val="en-US" w:eastAsia="zh-CN"/>
    </w:rPr>
  </w:style>
  <w:style w:type="character" w:customStyle="1" w:styleId="1202">
    <w:name w:val="题注 Char213"/>
    <w:uiPriority w:val="0"/>
    <w:rPr>
      <w:rFonts w:ascii="黑体" w:hAnsi="Arial" w:eastAsia="黑体" w:cs="Arial"/>
      <w:b/>
      <w:kern w:val="2"/>
      <w:sz w:val="24"/>
      <w:szCs w:val="24"/>
      <w:lang w:val="en-US" w:eastAsia="zh-CN"/>
    </w:rPr>
  </w:style>
  <w:style w:type="character" w:customStyle="1" w:styleId="1203">
    <w:name w:val="Char Char55"/>
    <w:uiPriority w:val="0"/>
    <w:rPr>
      <w:rFonts w:ascii="黑体" w:hAnsi="宋体" w:eastAsia="黑体"/>
      <w:bCs/>
      <w:kern w:val="2"/>
      <w:sz w:val="28"/>
      <w:szCs w:val="28"/>
      <w:lang w:val="en-US" w:eastAsia="zh-CN"/>
    </w:rPr>
  </w:style>
  <w:style w:type="character" w:customStyle="1" w:styleId="1204">
    <w:name w:val="标题 2 Char41"/>
    <w:uiPriority w:val="0"/>
    <w:rPr>
      <w:rFonts w:ascii="黑体" w:hAnsi="Arial" w:eastAsia="黑体" w:cs="Times New Roman"/>
      <w:bCs/>
      <w:kern w:val="2"/>
      <w:sz w:val="30"/>
      <w:szCs w:val="30"/>
      <w:lang w:val="en-US" w:eastAsia="zh-CN"/>
    </w:rPr>
  </w:style>
  <w:style w:type="character" w:customStyle="1" w:styleId="1205">
    <w:name w:val="表题1 Char421"/>
    <w:uiPriority w:val="0"/>
    <w:rPr>
      <w:rFonts w:ascii="黑体" w:hAnsi="Arial" w:eastAsia="黑体" w:cs="Arial"/>
      <w:b/>
      <w:kern w:val="2"/>
      <w:sz w:val="24"/>
      <w:szCs w:val="24"/>
      <w:lang w:val="en-US" w:eastAsia="zh-CN"/>
    </w:rPr>
  </w:style>
  <w:style w:type="character" w:customStyle="1" w:styleId="1206">
    <w:name w:val="燕山正文 Char121"/>
    <w:uiPriority w:val="0"/>
    <w:rPr>
      <w:rFonts w:ascii="宋体" w:eastAsia="宋体" w:cs="宋体"/>
      <w:kern w:val="2"/>
      <w:sz w:val="24"/>
      <w:szCs w:val="24"/>
      <w:lang w:val="en-US" w:eastAsia="zh-CN"/>
    </w:rPr>
  </w:style>
  <w:style w:type="character" w:customStyle="1" w:styleId="1207">
    <w:name w:val="Char Char1113"/>
    <w:uiPriority w:val="0"/>
    <w:rPr>
      <w:rFonts w:ascii="黑体" w:hAnsi="Arial" w:eastAsia="黑体"/>
      <w:bCs/>
      <w:kern w:val="2"/>
      <w:sz w:val="30"/>
      <w:szCs w:val="30"/>
      <w:lang w:val="en-US" w:eastAsia="zh-CN"/>
    </w:rPr>
  </w:style>
  <w:style w:type="character" w:customStyle="1" w:styleId="1208">
    <w:name w:val="表中文字 Char241"/>
    <w:uiPriority w:val="0"/>
    <w:rPr>
      <w:rFonts w:ascii="宋体" w:eastAsia="宋体"/>
      <w:kern w:val="2"/>
      <w:sz w:val="21"/>
      <w:szCs w:val="21"/>
      <w:lang w:val="en-US" w:eastAsia="zh-CN"/>
    </w:rPr>
  </w:style>
  <w:style w:type="character" w:customStyle="1" w:styleId="1209">
    <w:name w:val="Char Char616"/>
    <w:uiPriority w:val="0"/>
    <w:rPr>
      <w:rFonts w:ascii="黑体" w:eastAsia="黑体"/>
      <w:b/>
      <w:bCs/>
      <w:kern w:val="2"/>
      <w:sz w:val="28"/>
      <w:szCs w:val="28"/>
      <w:lang w:val="en-US" w:eastAsia="zh-CN"/>
    </w:rPr>
  </w:style>
  <w:style w:type="character" w:customStyle="1" w:styleId="1210">
    <w:name w:val="表格内字体 Char31"/>
    <w:uiPriority w:val="0"/>
    <w:rPr>
      <w:rFonts w:ascii="宋体" w:hAnsi="宋体" w:eastAsia="宋体"/>
      <w:kern w:val="2"/>
      <w:sz w:val="21"/>
      <w:szCs w:val="24"/>
      <w:lang w:val="en-US" w:eastAsia="zh-CN"/>
    </w:rPr>
  </w:style>
  <w:style w:type="character" w:customStyle="1" w:styleId="1211">
    <w:name w:val="Char Char59"/>
    <w:uiPriority w:val="0"/>
    <w:rPr>
      <w:rFonts w:ascii="黑体" w:hAnsi="宋体" w:eastAsia="黑体"/>
      <w:bCs/>
      <w:kern w:val="2"/>
      <w:sz w:val="28"/>
      <w:szCs w:val="28"/>
      <w:lang w:val="en-US" w:eastAsia="zh-CN"/>
    </w:rPr>
  </w:style>
  <w:style w:type="character" w:customStyle="1" w:styleId="1212">
    <w:name w:val="表格内字体 Char5"/>
    <w:uiPriority w:val="0"/>
    <w:rPr>
      <w:rFonts w:ascii="宋体" w:hAnsi="宋体" w:eastAsia="宋体"/>
      <w:kern w:val="2"/>
      <w:sz w:val="21"/>
      <w:szCs w:val="24"/>
      <w:lang w:val="en-US" w:eastAsia="zh-CN"/>
    </w:rPr>
  </w:style>
  <w:style w:type="character" w:customStyle="1" w:styleId="1213">
    <w:name w:val="正文修改 Char12"/>
    <w:uiPriority w:val="0"/>
    <w:rPr>
      <w:rFonts w:ascii="宋体" w:hAnsi="宋体" w:eastAsia="宋体" w:cs="宋体"/>
      <w:color w:val="000000"/>
      <w:kern w:val="2"/>
      <w:sz w:val="24"/>
      <w:szCs w:val="24"/>
      <w:lang w:val="en-US" w:eastAsia="zh-CN"/>
    </w:rPr>
  </w:style>
  <w:style w:type="character" w:customStyle="1" w:styleId="1214">
    <w:name w:val="干标题(a) Char1"/>
    <w:uiPriority w:val="0"/>
    <w:rPr>
      <w:rFonts w:ascii="Arial" w:hAnsi="Arial" w:eastAsia="黑体"/>
      <w:kern w:val="2"/>
      <w:sz w:val="21"/>
      <w:szCs w:val="21"/>
      <w:lang w:val="en-US" w:eastAsia="zh-CN"/>
    </w:rPr>
  </w:style>
  <w:style w:type="character" w:customStyle="1" w:styleId="1215">
    <w:name w:val="标题2 Char11"/>
    <w:uiPriority w:val="0"/>
    <w:rPr>
      <w:rFonts w:ascii="宋体" w:hAnsi="宋体" w:eastAsia="宋体" w:cs="宋体"/>
      <w:color w:val="000000"/>
      <w:kern w:val="2"/>
      <w:sz w:val="24"/>
      <w:szCs w:val="24"/>
      <w:lang w:val="en-US" w:eastAsia="zh-CN"/>
    </w:rPr>
  </w:style>
  <w:style w:type="character" w:customStyle="1" w:styleId="1216">
    <w:name w:val="文档结构图 Char11"/>
    <w:uiPriority w:val="0"/>
    <w:rPr>
      <w:rFonts w:ascii="Times New Roman" w:hAnsi="Times New Roman" w:eastAsia="宋体" w:cs="Times New Roman"/>
      <w:kern w:val="2"/>
      <w:sz w:val="24"/>
      <w:szCs w:val="24"/>
      <w:shd w:val="clear" w:color="auto" w:fill="000080"/>
      <w:lang w:val="en-US" w:eastAsia="zh-CN"/>
    </w:rPr>
  </w:style>
  <w:style w:type="character" w:customStyle="1" w:styleId="1217">
    <w:name w:val="福建正文缩进 Char4"/>
    <w:uiPriority w:val="0"/>
    <w:rPr>
      <w:rFonts w:ascii="宋体" w:hAnsi="宋体" w:eastAsia="宋体" w:cs="宋体"/>
      <w:color w:val="000000"/>
      <w:kern w:val="2"/>
      <w:sz w:val="24"/>
      <w:szCs w:val="24"/>
      <w:lang w:val="en-US" w:eastAsia="zh-CN"/>
    </w:rPr>
  </w:style>
  <w:style w:type="character" w:customStyle="1" w:styleId="1218">
    <w:name w:val="样式 仿宋_GB2312 小四2"/>
    <w:uiPriority w:val="0"/>
    <w:rPr>
      <w:rFonts w:ascii="Times New Roman" w:hAnsi="Times New Roman" w:eastAsia="仿宋_GB2312" w:cs="Courier New"/>
      <w:kern w:val="2"/>
      <w:sz w:val="24"/>
      <w:szCs w:val="24"/>
      <w:lang w:val="en-US" w:eastAsia="zh-CN"/>
    </w:rPr>
  </w:style>
  <w:style w:type="character" w:customStyle="1" w:styleId="1219">
    <w:name w:val="题注 Char3"/>
    <w:uiPriority w:val="0"/>
    <w:rPr>
      <w:rFonts w:ascii="黑体" w:hAnsi="Arial" w:eastAsia="黑体" w:cs="Arial"/>
      <w:b/>
      <w:kern w:val="2"/>
      <w:sz w:val="24"/>
      <w:szCs w:val="24"/>
      <w:lang w:val="en-US" w:eastAsia="zh-CN"/>
    </w:rPr>
  </w:style>
  <w:style w:type="character" w:customStyle="1" w:styleId="1220">
    <w:name w:val="样式 表格内字体 + Char12"/>
    <w:uiPriority w:val="0"/>
    <w:rPr>
      <w:rFonts w:ascii="宋体" w:hAnsi="宋体" w:eastAsia="宋体" w:cs="Times New Roman"/>
      <w:kern w:val="2"/>
      <w:sz w:val="21"/>
      <w:szCs w:val="24"/>
      <w:lang w:val="en-US" w:eastAsia="zh-CN"/>
    </w:rPr>
  </w:style>
  <w:style w:type="character" w:customStyle="1" w:styleId="1221">
    <w:name w:val="批注框文本 Char41"/>
    <w:uiPriority w:val="0"/>
    <w:rPr>
      <w:rFonts w:eastAsia="宋体"/>
      <w:kern w:val="2"/>
      <w:sz w:val="18"/>
      <w:szCs w:val="18"/>
      <w:lang w:val="en-US" w:eastAsia="zh-CN"/>
    </w:rPr>
  </w:style>
  <w:style w:type="character" w:customStyle="1" w:styleId="1222">
    <w:name w:val="正文斜体 Char21"/>
    <w:uiPriority w:val="0"/>
    <w:rPr>
      <w:rFonts w:ascii="宋体" w:hAnsi="宋体" w:eastAsia="宋体"/>
      <w:i/>
      <w:iCs/>
      <w:kern w:val="2"/>
      <w:sz w:val="24"/>
      <w:szCs w:val="24"/>
      <w:lang w:val="en-US" w:eastAsia="zh-CN"/>
    </w:rPr>
  </w:style>
  <w:style w:type="character" w:customStyle="1" w:styleId="1223">
    <w:name w:val="Char Char119"/>
    <w:uiPriority w:val="0"/>
    <w:rPr>
      <w:rFonts w:ascii="黑体" w:hAnsi="Arial" w:eastAsia="黑体"/>
      <w:bCs/>
      <w:kern w:val="2"/>
      <w:sz w:val="30"/>
      <w:szCs w:val="30"/>
      <w:lang w:val="en-US" w:eastAsia="zh-CN"/>
    </w:rPr>
  </w:style>
  <w:style w:type="character" w:customStyle="1" w:styleId="1224">
    <w:name w:val="Char Char2114"/>
    <w:uiPriority w:val="0"/>
    <w:rPr>
      <w:rFonts w:ascii="黑体" w:eastAsia="宋体"/>
      <w:kern w:val="2"/>
      <w:sz w:val="16"/>
      <w:szCs w:val="16"/>
      <w:lang w:val="en-US" w:eastAsia="zh-CN"/>
    </w:rPr>
  </w:style>
  <w:style w:type="character" w:customStyle="1" w:styleId="1225">
    <w:name w:val="环评正文 Char21"/>
    <w:uiPriority w:val="0"/>
    <w:rPr>
      <w:rFonts w:eastAsia="宋体"/>
      <w:bCs/>
      <w:kern w:val="2"/>
      <w:sz w:val="24"/>
      <w:szCs w:val="24"/>
      <w:lang w:val="en-US" w:eastAsia="zh-CN"/>
    </w:rPr>
  </w:style>
  <w:style w:type="character" w:customStyle="1" w:styleId="1226">
    <w:name w:val="福建正文缩进 Char31"/>
    <w:uiPriority w:val="0"/>
    <w:rPr>
      <w:rFonts w:ascii="宋体" w:hAnsi="宋体" w:eastAsia="宋体" w:cs="宋体"/>
      <w:color w:val="000000"/>
      <w:kern w:val="0"/>
      <w:sz w:val="24"/>
      <w:szCs w:val="24"/>
      <w:lang w:val="en-US" w:eastAsia="zh-CN"/>
    </w:rPr>
  </w:style>
  <w:style w:type="character" w:customStyle="1" w:styleId="1227">
    <w:name w:val="题注 Char512"/>
    <w:uiPriority w:val="0"/>
    <w:rPr>
      <w:rFonts w:ascii="黑体" w:hAnsi="Arial" w:eastAsia="黑体" w:cs="Arial"/>
      <w:b/>
      <w:kern w:val="2"/>
      <w:sz w:val="24"/>
      <w:szCs w:val="24"/>
      <w:lang w:val="en-US" w:eastAsia="zh-CN"/>
    </w:rPr>
  </w:style>
  <w:style w:type="character" w:customStyle="1" w:styleId="1228">
    <w:name w:val="表内5 Char31"/>
    <w:uiPriority w:val="0"/>
    <w:rPr>
      <w:rFonts w:ascii="宋体" w:hAnsi="宋体" w:eastAsia="宋体" w:cs="Times New Roman"/>
      <w:kern w:val="2"/>
      <w:sz w:val="24"/>
      <w:szCs w:val="24"/>
      <w:lang w:val="en-US" w:eastAsia="zh-CN"/>
    </w:rPr>
  </w:style>
  <w:style w:type="character" w:customStyle="1" w:styleId="1229">
    <w:name w:val="表中文字 Char11"/>
    <w:uiPriority w:val="0"/>
    <w:rPr>
      <w:rFonts w:ascii="Arial" w:hAnsi="Arial" w:eastAsia="宋体"/>
      <w:kern w:val="2"/>
      <w:sz w:val="24"/>
      <w:szCs w:val="24"/>
      <w:lang w:val="en-US" w:eastAsia="zh-TW"/>
    </w:rPr>
  </w:style>
  <w:style w:type="character" w:customStyle="1" w:styleId="1230">
    <w:name w:val="Char Char416"/>
    <w:uiPriority w:val="0"/>
    <w:rPr>
      <w:rFonts w:ascii="黑体" w:hAnsi="Arial" w:eastAsia="黑体"/>
      <w:b/>
      <w:bCs/>
      <w:kern w:val="2"/>
      <w:sz w:val="30"/>
      <w:szCs w:val="30"/>
      <w:lang w:val="en-US" w:eastAsia="zh-CN"/>
    </w:rPr>
  </w:style>
  <w:style w:type="character" w:customStyle="1" w:styleId="1231">
    <w:name w:val="px141"/>
    <w:uiPriority w:val="0"/>
    <w:rPr>
      <w:rFonts w:eastAsia="宋体"/>
      <w:kern w:val="2"/>
      <w:sz w:val="25"/>
      <w:szCs w:val="25"/>
      <w:u w:val="none"/>
      <w:lang w:val="en-US" w:eastAsia="zh-CN"/>
    </w:rPr>
  </w:style>
  <w:style w:type="character" w:customStyle="1" w:styleId="1232">
    <w:name w:val="表题1 Char73"/>
    <w:uiPriority w:val="0"/>
    <w:rPr>
      <w:rFonts w:ascii="黑体" w:hAnsi="Arial" w:eastAsia="黑体" w:cs="Arial"/>
      <w:b/>
      <w:kern w:val="2"/>
      <w:sz w:val="24"/>
      <w:szCs w:val="24"/>
      <w:lang w:val="en-US" w:eastAsia="zh-CN"/>
    </w:rPr>
  </w:style>
  <w:style w:type="character" w:customStyle="1" w:styleId="1233">
    <w:name w:val="样式 表内小5 + 黑体 加粗 倾斜 下划线 Char5"/>
    <w:uiPriority w:val="0"/>
    <w:rPr>
      <w:rFonts w:ascii="黑体" w:hAnsi="黑体" w:eastAsia="黑体"/>
      <w:b/>
      <w:bCs/>
      <w:i/>
      <w:iCs/>
      <w:kern w:val="2"/>
      <w:sz w:val="18"/>
      <w:szCs w:val="24"/>
      <w:u w:val="single"/>
      <w:lang w:val="en-US" w:eastAsia="zh-CN"/>
    </w:rPr>
  </w:style>
  <w:style w:type="character" w:customStyle="1" w:styleId="1234">
    <w:name w:val="表格内字体 Char1"/>
    <w:uiPriority w:val="0"/>
    <w:rPr>
      <w:rFonts w:ascii="宋体" w:hAnsi="宋体" w:eastAsia="宋体"/>
      <w:kern w:val="2"/>
      <w:sz w:val="21"/>
      <w:szCs w:val="24"/>
      <w:lang w:val="en-US" w:eastAsia="zh-CN"/>
    </w:rPr>
  </w:style>
  <w:style w:type="character" w:customStyle="1" w:styleId="1235">
    <w:name w:val="正文首行缩进 2 Char31"/>
    <w:uiPriority w:val="0"/>
    <w:rPr>
      <w:rFonts w:ascii="仿宋_GB2312" w:eastAsia="仿宋_GB2312"/>
      <w:color w:val="000000"/>
      <w:kern w:val="2"/>
      <w:sz w:val="24"/>
      <w:szCs w:val="24"/>
      <w:lang w:val="en-US" w:eastAsia="zh-CN"/>
    </w:rPr>
  </w:style>
  <w:style w:type="character" w:customStyle="1" w:styleId="1236">
    <w:name w:val="题注 Char313"/>
    <w:uiPriority w:val="0"/>
    <w:rPr>
      <w:rFonts w:ascii="黑体" w:hAnsi="Arial" w:eastAsia="黑体" w:cs="Arial"/>
      <w:b/>
      <w:kern w:val="2"/>
      <w:sz w:val="24"/>
      <w:szCs w:val="24"/>
      <w:lang w:val="en-US" w:eastAsia="zh-CN"/>
    </w:rPr>
  </w:style>
  <w:style w:type="character" w:customStyle="1" w:styleId="1237">
    <w:name w:val="sinostyle"/>
    <w:uiPriority w:val="0"/>
  </w:style>
  <w:style w:type="character" w:customStyle="1" w:styleId="1238">
    <w:name w:val="Char Char64"/>
    <w:uiPriority w:val="0"/>
    <w:rPr>
      <w:rFonts w:ascii="黑体" w:eastAsia="黑体"/>
      <w:b/>
      <w:bCs/>
      <w:kern w:val="2"/>
      <w:sz w:val="28"/>
      <w:szCs w:val="28"/>
      <w:lang w:val="en-US" w:eastAsia="zh-CN"/>
    </w:rPr>
  </w:style>
  <w:style w:type="character" w:customStyle="1" w:styleId="1239">
    <w:name w:val="正文修改 Char1212"/>
    <w:uiPriority w:val="0"/>
    <w:rPr>
      <w:rFonts w:ascii="宋体" w:hAnsi="宋体" w:eastAsia="宋体" w:cs="宋体"/>
      <w:color w:val="000000"/>
      <w:kern w:val="2"/>
      <w:sz w:val="24"/>
      <w:szCs w:val="24"/>
      <w:lang w:val="en-US" w:eastAsia="zh-CN"/>
    </w:rPr>
  </w:style>
  <w:style w:type="character" w:customStyle="1" w:styleId="1240">
    <w:name w:val="样式 表内小5 + 黑体 加粗 倾斜 下划线 Char11"/>
    <w:uiPriority w:val="0"/>
    <w:rPr>
      <w:rFonts w:ascii="黑体" w:hAnsi="黑体" w:eastAsia="黑体"/>
      <w:b/>
      <w:bCs/>
      <w:i/>
      <w:iCs/>
      <w:kern w:val="2"/>
      <w:sz w:val="18"/>
      <w:szCs w:val="24"/>
      <w:u w:val="single"/>
      <w:lang w:val="en-US" w:eastAsia="zh-CN"/>
    </w:rPr>
  </w:style>
  <w:style w:type="character" w:customStyle="1" w:styleId="1241">
    <w:name w:val="正文修改 Char1221"/>
    <w:uiPriority w:val="0"/>
    <w:rPr>
      <w:rFonts w:ascii="宋体" w:hAnsi="宋体" w:eastAsia="宋体" w:cs="宋体"/>
      <w:color w:val="000000"/>
      <w:kern w:val="2"/>
      <w:sz w:val="24"/>
      <w:szCs w:val="24"/>
      <w:lang w:val="en-US" w:eastAsia="zh-CN"/>
    </w:rPr>
  </w:style>
  <w:style w:type="character" w:customStyle="1" w:styleId="1242">
    <w:name w:val="正文格式 Char21"/>
    <w:uiPriority w:val="0"/>
    <w:rPr>
      <w:rFonts w:ascii="宋体" w:hAnsi="宋体" w:eastAsia="宋体"/>
      <w:kern w:val="2"/>
      <w:sz w:val="24"/>
      <w:szCs w:val="24"/>
      <w:lang w:val="en-US" w:eastAsia="zh-CN"/>
    </w:rPr>
  </w:style>
  <w:style w:type="character" w:customStyle="1" w:styleId="1243">
    <w:name w:val="题注 Char51"/>
    <w:uiPriority w:val="0"/>
    <w:rPr>
      <w:rFonts w:ascii="黑体" w:hAnsi="Arial" w:eastAsia="黑体" w:cs="Arial"/>
      <w:b/>
      <w:kern w:val="2"/>
      <w:sz w:val="24"/>
      <w:szCs w:val="24"/>
      <w:lang w:val="en-US" w:eastAsia="zh-CN"/>
    </w:rPr>
  </w:style>
  <w:style w:type="character" w:customStyle="1" w:styleId="1244">
    <w:name w:val="文字缩进 Char2"/>
    <w:uiPriority w:val="0"/>
    <w:rPr>
      <w:rFonts w:ascii="宋体" w:hAnsi="Courier New" w:eastAsia="宋体"/>
      <w:kern w:val="2"/>
      <w:sz w:val="21"/>
      <w:lang w:val="en-US" w:eastAsia="zh-CN"/>
    </w:rPr>
  </w:style>
  <w:style w:type="character" w:customStyle="1" w:styleId="1245">
    <w:name w:val="表题1 Char31"/>
    <w:uiPriority w:val="0"/>
    <w:rPr>
      <w:rFonts w:ascii="黑体" w:hAnsi="Arial" w:eastAsia="黑体" w:cs="Arial"/>
      <w:b/>
      <w:kern w:val="2"/>
      <w:sz w:val="24"/>
      <w:szCs w:val="24"/>
      <w:lang w:val="en-US" w:eastAsia="zh-CN"/>
    </w:rPr>
  </w:style>
  <w:style w:type="character" w:customStyle="1" w:styleId="1246">
    <w:name w:val="正文缩进 Char311"/>
    <w:uiPriority w:val="0"/>
    <w:rPr>
      <w:rFonts w:ascii="宋体" w:hAnsi="宋体" w:eastAsia="宋体" w:cs="宋体"/>
      <w:color w:val="000000"/>
      <w:kern w:val="2"/>
      <w:sz w:val="24"/>
      <w:szCs w:val="24"/>
      <w:lang w:val="en-US" w:eastAsia="zh-CN"/>
    </w:rPr>
  </w:style>
  <w:style w:type="character" w:customStyle="1" w:styleId="1247">
    <w:name w:val="表题1 Char3"/>
    <w:uiPriority w:val="0"/>
    <w:rPr>
      <w:rFonts w:ascii="黑体" w:hAnsi="Arial" w:eastAsia="黑体" w:cs="Arial"/>
      <w:b/>
      <w:kern w:val="2"/>
      <w:sz w:val="24"/>
      <w:szCs w:val="24"/>
      <w:lang w:val="en-US" w:eastAsia="zh-CN"/>
    </w:rPr>
  </w:style>
  <w:style w:type="character" w:customStyle="1" w:styleId="1248">
    <w:name w:val="样式 表格内字体 + Char3"/>
    <w:uiPriority w:val="0"/>
    <w:rPr>
      <w:rFonts w:ascii="宋体" w:hAnsi="宋体" w:eastAsia="宋体" w:cs="Times New Roman"/>
      <w:kern w:val="0"/>
      <w:sz w:val="21"/>
      <w:szCs w:val="24"/>
      <w:lang w:val="en-US" w:eastAsia="zh-CN"/>
    </w:rPr>
  </w:style>
  <w:style w:type="character" w:customStyle="1" w:styleId="1249">
    <w:name w:val="Char Char615"/>
    <w:uiPriority w:val="0"/>
    <w:rPr>
      <w:rFonts w:ascii="黑体" w:eastAsia="黑体"/>
      <w:b/>
      <w:bCs/>
      <w:kern w:val="2"/>
      <w:sz w:val="28"/>
      <w:szCs w:val="28"/>
      <w:lang w:val="en-US" w:eastAsia="zh-CN"/>
    </w:rPr>
  </w:style>
  <w:style w:type="character" w:customStyle="1" w:styleId="1250">
    <w:name w:val="Char Char420"/>
    <w:uiPriority w:val="0"/>
    <w:rPr>
      <w:rFonts w:ascii="黑体" w:hAnsi="Arial" w:eastAsia="黑体"/>
      <w:b/>
      <w:bCs/>
      <w:kern w:val="2"/>
      <w:sz w:val="30"/>
      <w:szCs w:val="30"/>
      <w:lang w:val="en-US" w:eastAsia="zh-CN"/>
    </w:rPr>
  </w:style>
  <w:style w:type="character" w:customStyle="1" w:styleId="1251">
    <w:name w:val="题注 Char3111"/>
    <w:uiPriority w:val="0"/>
    <w:rPr>
      <w:rFonts w:ascii="黑体" w:hAnsi="Arial" w:eastAsia="黑体" w:cs="Arial"/>
      <w:b/>
      <w:kern w:val="2"/>
      <w:sz w:val="24"/>
      <w:szCs w:val="24"/>
      <w:lang w:val="en-US" w:eastAsia="zh-CN"/>
    </w:rPr>
  </w:style>
  <w:style w:type="character" w:customStyle="1" w:styleId="1252">
    <w:name w:val="图题 Char4"/>
    <w:uiPriority w:val="0"/>
    <w:rPr>
      <w:rFonts w:ascii="黑体" w:hAnsi="宋体" w:eastAsia="黑体" w:cs="宋体"/>
      <w:b/>
      <w:bCs/>
      <w:kern w:val="2"/>
      <w:sz w:val="24"/>
      <w:szCs w:val="24"/>
      <w:lang w:val="en-US" w:eastAsia="zh-CN"/>
    </w:rPr>
  </w:style>
  <w:style w:type="character" w:customStyle="1" w:styleId="1253">
    <w:name w:val="Char Char219"/>
    <w:uiPriority w:val="0"/>
    <w:rPr>
      <w:rFonts w:ascii="黑体" w:eastAsia="宋体"/>
      <w:kern w:val="2"/>
      <w:sz w:val="16"/>
      <w:szCs w:val="16"/>
      <w:lang w:val="en-US" w:eastAsia="zh-CN"/>
    </w:rPr>
  </w:style>
  <w:style w:type="character" w:customStyle="1" w:styleId="1254">
    <w:name w:val="正文文本缩进 Char21"/>
    <w:uiPriority w:val="0"/>
    <w:rPr>
      <w:rFonts w:ascii="宋体" w:hAnsi="宋体" w:eastAsia="宋体" w:cs="宋体"/>
      <w:color w:val="000000"/>
      <w:kern w:val="2"/>
      <w:sz w:val="24"/>
      <w:szCs w:val="24"/>
      <w:lang w:val="en-US" w:eastAsia="zh-CN"/>
    </w:rPr>
  </w:style>
  <w:style w:type="character" w:customStyle="1" w:styleId="1255">
    <w:name w:val="正文格式 Char8"/>
    <w:uiPriority w:val="0"/>
    <w:rPr>
      <w:rFonts w:ascii="宋体" w:hAnsi="宋体" w:eastAsia="宋体"/>
      <w:kern w:val="2"/>
      <w:sz w:val="24"/>
      <w:szCs w:val="24"/>
      <w:lang w:val="en-US" w:eastAsia="zh-CN"/>
    </w:rPr>
  </w:style>
  <w:style w:type="character" w:customStyle="1" w:styleId="1256">
    <w:name w:val="Char Char126"/>
    <w:uiPriority w:val="0"/>
    <w:rPr>
      <w:rFonts w:ascii="黑体" w:hAnsi="Arial" w:eastAsia="黑体"/>
      <w:b/>
      <w:bCs/>
      <w:kern w:val="2"/>
      <w:sz w:val="30"/>
      <w:szCs w:val="30"/>
      <w:lang w:val="en-US" w:eastAsia="zh-CN"/>
    </w:rPr>
  </w:style>
  <w:style w:type="character" w:customStyle="1" w:styleId="1257">
    <w:name w:val="A正文 Char3"/>
    <w:uiPriority w:val="0"/>
    <w:rPr>
      <w:rFonts w:ascii="Times New Roman" w:hAnsi="Times New Roman" w:eastAsia="仿宋_GB2312" w:cs="Times New Roman"/>
      <w:kern w:val="0"/>
      <w:sz w:val="24"/>
      <w:szCs w:val="24"/>
      <w:lang w:val="en-US" w:eastAsia="zh-CN"/>
    </w:rPr>
  </w:style>
  <w:style w:type="character" w:customStyle="1" w:styleId="1258">
    <w:name w:val="A正文 Char11"/>
    <w:uiPriority w:val="0"/>
    <w:rPr>
      <w:rFonts w:eastAsia="仿宋_GB2312"/>
      <w:kern w:val="2"/>
      <w:sz w:val="24"/>
      <w:szCs w:val="24"/>
      <w:lang w:val="en-US" w:eastAsia="zh-CN"/>
    </w:rPr>
  </w:style>
  <w:style w:type="character" w:customStyle="1" w:styleId="1259">
    <w:name w:val="标题正文黑 Char"/>
    <w:uiPriority w:val="0"/>
    <w:rPr>
      <w:rFonts w:ascii="黑体" w:eastAsia="黑体"/>
      <w:kern w:val="2"/>
      <w:sz w:val="28"/>
      <w:szCs w:val="28"/>
      <w:lang w:val="en-US" w:eastAsia="zh-CN"/>
    </w:rPr>
  </w:style>
  <w:style w:type="character" w:customStyle="1" w:styleId="1260">
    <w:name w:val="表内5 Char2"/>
    <w:uiPriority w:val="0"/>
    <w:rPr>
      <w:rFonts w:ascii="宋体" w:hAnsi="宋体" w:eastAsia="宋体" w:cs="宋体"/>
      <w:kern w:val="2"/>
      <w:sz w:val="21"/>
      <w:szCs w:val="24"/>
      <w:lang w:val="en-US" w:eastAsia="zh-CN"/>
    </w:rPr>
  </w:style>
  <w:style w:type="character" w:customStyle="1" w:styleId="1261">
    <w:name w:val="页眉 Char11"/>
    <w:uiPriority w:val="0"/>
    <w:rPr>
      <w:rFonts w:eastAsia="宋体"/>
      <w:kern w:val="2"/>
      <w:sz w:val="18"/>
      <w:szCs w:val="18"/>
      <w:lang w:val="en-US" w:eastAsia="zh-CN"/>
    </w:rPr>
  </w:style>
  <w:style w:type="character" w:customStyle="1" w:styleId="1262">
    <w:name w:val="样式 正文缩进 + 宋体 黑色 Char31"/>
    <w:uiPriority w:val="0"/>
    <w:rPr>
      <w:rFonts w:ascii="宋体" w:hAnsi="宋体" w:eastAsia="宋体" w:cs="Times New Roman"/>
      <w:color w:val="000000"/>
      <w:kern w:val="2"/>
      <w:sz w:val="24"/>
      <w:szCs w:val="24"/>
      <w:lang w:val="en-US" w:eastAsia="zh-CN"/>
    </w:rPr>
  </w:style>
  <w:style w:type="character" w:customStyle="1" w:styleId="1263">
    <w:name w:val="正文修改 Char1411"/>
    <w:uiPriority w:val="0"/>
    <w:rPr>
      <w:rFonts w:ascii="宋体" w:cs="宋体"/>
      <w:kern w:val="2"/>
      <w:sz w:val="24"/>
      <w:szCs w:val="24"/>
    </w:rPr>
  </w:style>
  <w:style w:type="character" w:customStyle="1" w:styleId="1264">
    <w:name w:val="样式 (西文) 宋体 (中文) 仿宋_GB2312 黑色"/>
    <w:uiPriority w:val="0"/>
    <w:rPr>
      <w:rFonts w:ascii="Times New Roman" w:hAnsi="Times New Roman" w:eastAsia="仿宋_GB2312" w:cs="Courier New"/>
      <w:color w:val="000000"/>
      <w:kern w:val="2"/>
      <w:sz w:val="32"/>
      <w:szCs w:val="32"/>
      <w:lang w:val="en-US" w:eastAsia="zh-CN"/>
    </w:rPr>
  </w:style>
  <w:style w:type="character" w:customStyle="1" w:styleId="1265">
    <w:name w:val="Char Char1218"/>
    <w:uiPriority w:val="0"/>
    <w:rPr>
      <w:rFonts w:ascii="黑体" w:hAnsi="Arial" w:eastAsia="黑体"/>
      <w:b/>
      <w:bCs/>
      <w:kern w:val="2"/>
      <w:sz w:val="30"/>
      <w:szCs w:val="30"/>
      <w:lang w:val="en-US" w:eastAsia="zh-CN"/>
    </w:rPr>
  </w:style>
  <w:style w:type="character" w:customStyle="1" w:styleId="1266">
    <w:name w:val="HTML 缩写1"/>
    <w:uiPriority w:val="0"/>
    <w:rPr>
      <w:rFonts w:ascii="宋体" w:hAnsi="宋体" w:eastAsia="宋体" w:cs="Courier New"/>
      <w:kern w:val="2"/>
      <w:sz w:val="32"/>
      <w:szCs w:val="32"/>
      <w:lang w:val="en-US" w:eastAsia="zh-CN"/>
    </w:rPr>
  </w:style>
  <w:style w:type="character" w:customStyle="1" w:styleId="1267">
    <w:name w:val="干标题(a) Char3"/>
    <w:uiPriority w:val="0"/>
    <w:rPr>
      <w:rFonts w:ascii="Arial" w:hAnsi="Arial" w:eastAsia="黑体"/>
      <w:kern w:val="2"/>
      <w:sz w:val="21"/>
      <w:szCs w:val="21"/>
      <w:lang w:val="en-US" w:eastAsia="zh-CN"/>
    </w:rPr>
  </w:style>
  <w:style w:type="character" w:customStyle="1" w:styleId="1268">
    <w:name w:val="Char Char117"/>
    <w:uiPriority w:val="0"/>
    <w:rPr>
      <w:rFonts w:ascii="黑体" w:hAnsi="Arial" w:eastAsia="黑体"/>
      <w:bCs/>
      <w:kern w:val="2"/>
      <w:sz w:val="30"/>
      <w:szCs w:val="30"/>
      <w:lang w:val="en-US" w:eastAsia="zh-CN"/>
    </w:rPr>
  </w:style>
  <w:style w:type="character" w:customStyle="1" w:styleId="1269">
    <w:name w:val="图表题 Char2"/>
    <w:uiPriority w:val="0"/>
    <w:rPr>
      <w:rFonts w:ascii="黑体" w:hAnsi="宋体" w:eastAsia="黑体" w:cs="宋体"/>
      <w:b/>
      <w:bCs/>
      <w:kern w:val="2"/>
      <w:sz w:val="24"/>
      <w:szCs w:val="24"/>
      <w:lang w:val="en-US" w:eastAsia="zh-CN"/>
    </w:rPr>
  </w:style>
  <w:style w:type="character" w:customStyle="1" w:styleId="1270">
    <w:name w:val="Char Char1116"/>
    <w:uiPriority w:val="0"/>
    <w:rPr>
      <w:rFonts w:ascii="黑体" w:hAnsi="Arial" w:eastAsia="黑体"/>
      <w:bCs/>
      <w:kern w:val="2"/>
      <w:sz w:val="30"/>
      <w:szCs w:val="30"/>
      <w:lang w:val="en-US" w:eastAsia="zh-CN"/>
    </w:rPr>
  </w:style>
  <w:style w:type="character" w:customStyle="1" w:styleId="1271">
    <w:name w:val="Char Char315"/>
    <w:uiPriority w:val="0"/>
    <w:rPr>
      <w:rFonts w:ascii="黑体" w:hAnsi="宋体" w:eastAsia="黑体"/>
      <w:b/>
      <w:bCs/>
      <w:kern w:val="2"/>
      <w:sz w:val="28"/>
      <w:szCs w:val="28"/>
      <w:lang w:val="en-US" w:eastAsia="zh-CN"/>
    </w:rPr>
  </w:style>
  <w:style w:type="character" w:customStyle="1" w:styleId="1272">
    <w:name w:val="Char Char42"/>
    <w:uiPriority w:val="0"/>
    <w:rPr>
      <w:rFonts w:ascii="黑体" w:hAnsi="Arial" w:eastAsia="黑体"/>
      <w:b/>
      <w:bCs/>
      <w:kern w:val="2"/>
      <w:sz w:val="30"/>
      <w:szCs w:val="30"/>
      <w:lang w:val="en-US" w:eastAsia="zh-CN"/>
    </w:rPr>
  </w:style>
  <w:style w:type="character" w:customStyle="1" w:styleId="1273">
    <w:name w:val="标题 3 Char Char11"/>
    <w:uiPriority w:val="0"/>
    <w:rPr>
      <w:rFonts w:ascii="黑体" w:hAnsi="宋体" w:eastAsia="黑体"/>
      <w:bCs/>
      <w:kern w:val="2"/>
      <w:sz w:val="28"/>
      <w:szCs w:val="28"/>
      <w:lang w:val="en-US" w:eastAsia="zh-CN"/>
    </w:rPr>
  </w:style>
  <w:style w:type="character" w:customStyle="1" w:styleId="1274">
    <w:name w:val="p141"/>
    <w:uiPriority w:val="0"/>
    <w:rPr>
      <w:rFonts w:eastAsia="宋体"/>
      <w:kern w:val="2"/>
      <w:sz w:val="23"/>
      <w:szCs w:val="23"/>
      <w:u w:val="none"/>
      <w:lang w:val="en-US" w:eastAsia="zh-CN"/>
    </w:rPr>
  </w:style>
  <w:style w:type="character" w:customStyle="1" w:styleId="1275">
    <w:name w:val="正文修改 Char114"/>
    <w:uiPriority w:val="0"/>
    <w:rPr>
      <w:rFonts w:ascii="宋体" w:hAnsi="宋体" w:eastAsia="宋体" w:cs="宋体"/>
      <w:color w:val="000000"/>
      <w:kern w:val="2"/>
      <w:sz w:val="24"/>
      <w:szCs w:val="24"/>
      <w:lang w:val="en-US" w:eastAsia="zh-CN"/>
    </w:rPr>
  </w:style>
  <w:style w:type="character" w:customStyle="1" w:styleId="1276">
    <w:name w:val="环评正文 Char4"/>
    <w:uiPriority w:val="0"/>
    <w:rPr>
      <w:rFonts w:eastAsia="宋体"/>
      <w:bCs/>
      <w:kern w:val="2"/>
      <w:sz w:val="24"/>
      <w:szCs w:val="24"/>
      <w:lang w:val="en-US" w:eastAsia="zh-CN"/>
    </w:rPr>
  </w:style>
  <w:style w:type="character" w:customStyle="1" w:styleId="1277">
    <w:name w:val="正文修改 Char11111"/>
    <w:uiPriority w:val="0"/>
    <w:rPr>
      <w:rFonts w:ascii="宋体" w:hAnsi="宋体" w:eastAsia="宋体" w:cs="宋体"/>
      <w:color w:val="000000"/>
      <w:kern w:val="2"/>
      <w:sz w:val="24"/>
      <w:szCs w:val="24"/>
      <w:lang w:val="en-US" w:eastAsia="zh-CN"/>
    </w:rPr>
  </w:style>
  <w:style w:type="character" w:customStyle="1" w:styleId="1278">
    <w:name w:val="题注 Char1"/>
    <w:uiPriority w:val="0"/>
    <w:rPr>
      <w:rFonts w:ascii="黑体" w:hAnsi="Arial" w:eastAsia="黑体" w:cs="Arial"/>
      <w:b/>
      <w:kern w:val="2"/>
      <w:sz w:val="24"/>
      <w:szCs w:val="24"/>
      <w:lang w:val="en-US" w:eastAsia="zh-CN"/>
    </w:rPr>
  </w:style>
  <w:style w:type="character" w:customStyle="1" w:styleId="1279">
    <w:name w:val="正文格式 Char1"/>
    <w:uiPriority w:val="0"/>
    <w:rPr>
      <w:rFonts w:ascii="宋体" w:hAnsi="宋体" w:eastAsia="宋体"/>
      <w:kern w:val="2"/>
      <w:sz w:val="24"/>
      <w:szCs w:val="24"/>
      <w:lang w:val="en-US" w:eastAsia="zh-CN"/>
    </w:rPr>
  </w:style>
  <w:style w:type="character" w:customStyle="1" w:styleId="1280">
    <w:name w:val="Char Char114"/>
    <w:uiPriority w:val="0"/>
    <w:rPr>
      <w:rFonts w:ascii="黑体" w:hAnsi="Arial" w:eastAsia="黑体"/>
      <w:bCs/>
      <w:kern w:val="2"/>
      <w:sz w:val="30"/>
      <w:szCs w:val="30"/>
      <w:lang w:val="en-US" w:eastAsia="zh-CN"/>
    </w:rPr>
  </w:style>
  <w:style w:type="character" w:customStyle="1" w:styleId="1281">
    <w:name w:val="javascript1"/>
    <w:uiPriority w:val="0"/>
    <w:rPr>
      <w:rFonts w:hint="default" w:ascii="Tahoma" w:hAnsi="Tahoma" w:cs="Tahoma"/>
      <w:sz w:val="21"/>
      <w:szCs w:val="21"/>
    </w:rPr>
  </w:style>
  <w:style w:type="character" w:customStyle="1" w:styleId="1282">
    <w:name w:val="表题1 Char2"/>
    <w:uiPriority w:val="0"/>
    <w:rPr>
      <w:rFonts w:hAnsi="Arial" w:eastAsia="宋体" w:cs="Arial"/>
      <w:kern w:val="2"/>
      <w:sz w:val="24"/>
      <w:szCs w:val="24"/>
      <w:lang w:val="en-US" w:eastAsia="zh-CN"/>
    </w:rPr>
  </w:style>
  <w:style w:type="character" w:customStyle="1" w:styleId="1283">
    <w:name w:val="Char Char1111"/>
    <w:uiPriority w:val="0"/>
    <w:rPr>
      <w:rFonts w:ascii="黑体" w:hAnsi="Arial" w:eastAsia="黑体"/>
      <w:bCs/>
      <w:kern w:val="2"/>
      <w:sz w:val="30"/>
      <w:szCs w:val="30"/>
      <w:lang w:val="en-US" w:eastAsia="zh-CN"/>
    </w:rPr>
  </w:style>
  <w:style w:type="character" w:customStyle="1" w:styleId="1284">
    <w:name w:val="Char Char511"/>
    <w:uiPriority w:val="0"/>
    <w:rPr>
      <w:rFonts w:ascii="黑体" w:hAnsi="宋体" w:eastAsia="黑体"/>
      <w:bCs/>
      <w:kern w:val="2"/>
      <w:sz w:val="28"/>
      <w:szCs w:val="28"/>
      <w:lang w:val="en-US" w:eastAsia="zh-CN"/>
    </w:rPr>
  </w:style>
  <w:style w:type="character" w:customStyle="1" w:styleId="1285">
    <w:name w:val="Char Char518"/>
    <w:uiPriority w:val="0"/>
    <w:rPr>
      <w:rFonts w:ascii="黑体" w:hAnsi="宋体" w:eastAsia="黑体"/>
      <w:bCs/>
      <w:kern w:val="2"/>
      <w:sz w:val="28"/>
      <w:szCs w:val="28"/>
      <w:lang w:val="en-US" w:eastAsia="zh-CN"/>
    </w:rPr>
  </w:style>
  <w:style w:type="character" w:customStyle="1" w:styleId="1286">
    <w:name w:val="福建正文缩进 Char2"/>
    <w:uiPriority w:val="0"/>
    <w:rPr>
      <w:rFonts w:ascii="宋体" w:hAnsi="宋体" w:eastAsia="宋体" w:cs="宋体"/>
      <w:color w:val="000000"/>
      <w:kern w:val="2"/>
      <w:sz w:val="24"/>
      <w:szCs w:val="24"/>
      <w:lang w:val="en-US" w:eastAsia="zh-CN"/>
    </w:rPr>
  </w:style>
  <w:style w:type="character" w:customStyle="1" w:styleId="1287">
    <w:name w:val="标题 2 Char Char2"/>
    <w:uiPriority w:val="0"/>
    <w:rPr>
      <w:rFonts w:ascii="黑体" w:hAnsi="Arial" w:eastAsia="黑体"/>
      <w:b/>
      <w:bCs/>
      <w:kern w:val="2"/>
      <w:sz w:val="30"/>
      <w:szCs w:val="30"/>
      <w:lang w:val="en-US" w:eastAsia="zh-CN"/>
    </w:rPr>
  </w:style>
  <w:style w:type="character" w:customStyle="1" w:styleId="1288">
    <w:name w:val="正文缩进 Char32"/>
    <w:uiPriority w:val="0"/>
    <w:rPr>
      <w:rFonts w:ascii="宋体" w:hAnsi="宋体" w:eastAsia="宋体" w:cs="宋体"/>
      <w:color w:val="000000"/>
      <w:kern w:val="0"/>
      <w:sz w:val="24"/>
      <w:szCs w:val="24"/>
      <w:lang w:val="en-US" w:eastAsia="zh-CN"/>
    </w:rPr>
  </w:style>
  <w:style w:type="character" w:customStyle="1" w:styleId="1289">
    <w:name w:val="题注 Char6"/>
    <w:uiPriority w:val="0"/>
    <w:rPr>
      <w:rFonts w:ascii="黑体" w:hAnsi="Arial" w:eastAsia="黑体" w:cs="Arial"/>
      <w:b/>
      <w:kern w:val="2"/>
      <w:sz w:val="24"/>
      <w:szCs w:val="24"/>
      <w:lang w:val="en-US" w:eastAsia="zh-CN"/>
    </w:rPr>
  </w:style>
  <w:style w:type="character" w:customStyle="1" w:styleId="1290">
    <w:name w:val="正文文本缩进 Char11"/>
    <w:uiPriority w:val="0"/>
    <w:rPr>
      <w:rFonts w:eastAsia="宋体"/>
      <w:kern w:val="2"/>
      <w:sz w:val="21"/>
      <w:szCs w:val="24"/>
      <w:lang w:val="en-US" w:eastAsia="zh-CN"/>
    </w:rPr>
  </w:style>
  <w:style w:type="character" w:customStyle="1" w:styleId="1291">
    <w:name w:val="样式 表内小5 + 黑体 加粗 倾斜 下划线 Char52"/>
    <w:uiPriority w:val="0"/>
    <w:rPr>
      <w:rFonts w:ascii="黑体" w:hAnsi="黑体" w:eastAsia="黑体"/>
      <w:b/>
      <w:bCs/>
      <w:i/>
      <w:iCs/>
      <w:kern w:val="2"/>
      <w:sz w:val="18"/>
      <w:szCs w:val="24"/>
      <w:u w:val="single"/>
      <w:lang w:val="en-US" w:eastAsia="zh-CN"/>
    </w:rPr>
  </w:style>
  <w:style w:type="character" w:customStyle="1" w:styleId="1292">
    <w:name w:val="题注 Char121"/>
    <w:uiPriority w:val="0"/>
    <w:rPr>
      <w:rFonts w:ascii="黑体" w:hAnsi="Arial" w:eastAsia="黑体" w:cs="Arial"/>
      <w:b/>
      <w:kern w:val="2"/>
      <w:sz w:val="24"/>
      <w:szCs w:val="24"/>
      <w:lang w:val="en-US" w:eastAsia="zh-CN"/>
    </w:rPr>
  </w:style>
  <w:style w:type="character" w:customStyle="1" w:styleId="1293">
    <w:name w:val="正文文字 3 Char Char3"/>
    <w:uiPriority w:val="0"/>
    <w:rPr>
      <w:rFonts w:eastAsia="仿宋_GB2312"/>
      <w:kern w:val="2"/>
      <w:sz w:val="28"/>
      <w:szCs w:val="24"/>
      <w:lang w:val="en-US" w:eastAsia="zh-CN"/>
    </w:rPr>
  </w:style>
  <w:style w:type="character" w:customStyle="1" w:styleId="1294">
    <w:name w:val="正文修改 Char1511"/>
    <w:uiPriority w:val="0"/>
    <w:rPr>
      <w:rFonts w:ascii="宋体" w:hAnsi="宋体" w:eastAsia="宋体" w:cs="宋体"/>
      <w:color w:val="000000"/>
      <w:kern w:val="2"/>
      <w:sz w:val="24"/>
      <w:szCs w:val="24"/>
      <w:lang w:val="en-US" w:eastAsia="zh-CN"/>
    </w:rPr>
  </w:style>
  <w:style w:type="character" w:customStyle="1" w:styleId="1295">
    <w:name w:val="正文格式 Char71"/>
    <w:uiPriority w:val="0"/>
    <w:rPr>
      <w:rFonts w:ascii="宋体" w:hAnsi="宋体" w:eastAsia="宋体"/>
      <w:kern w:val="2"/>
      <w:sz w:val="24"/>
      <w:szCs w:val="24"/>
      <w:lang w:val="en-US" w:eastAsia="zh-CN"/>
    </w:rPr>
  </w:style>
  <w:style w:type="character" w:customStyle="1" w:styleId="1296">
    <w:name w:val="Char Char127"/>
    <w:uiPriority w:val="0"/>
    <w:rPr>
      <w:rFonts w:ascii="黑体" w:hAnsi="Arial" w:eastAsia="黑体"/>
      <w:b/>
      <w:bCs/>
      <w:kern w:val="2"/>
      <w:sz w:val="30"/>
      <w:szCs w:val="30"/>
      <w:lang w:val="en-US" w:eastAsia="zh-CN"/>
    </w:rPr>
  </w:style>
  <w:style w:type="character" w:customStyle="1" w:styleId="1297">
    <w:name w:val="正文文字 3 Char Char2"/>
    <w:uiPriority w:val="0"/>
    <w:rPr>
      <w:rFonts w:eastAsia="仿宋_GB2312"/>
      <w:kern w:val="2"/>
      <w:sz w:val="28"/>
      <w:szCs w:val="24"/>
      <w:lang w:val="en-US" w:eastAsia="zh-CN"/>
    </w:rPr>
  </w:style>
  <w:style w:type="character" w:customStyle="1" w:styleId="1298">
    <w:name w:val="样式 表格内字体 + Char11"/>
    <w:uiPriority w:val="0"/>
    <w:rPr>
      <w:rFonts w:ascii="宋体" w:hAnsi="宋体"/>
      <w:kern w:val="2"/>
      <w:sz w:val="21"/>
      <w:szCs w:val="24"/>
    </w:rPr>
  </w:style>
  <w:style w:type="character" w:customStyle="1" w:styleId="1299">
    <w:name w:val="正文格式 Char91"/>
    <w:uiPriority w:val="0"/>
    <w:rPr>
      <w:rFonts w:ascii="宋体" w:hAnsi="宋体" w:eastAsia="宋体"/>
      <w:kern w:val="2"/>
      <w:sz w:val="24"/>
      <w:szCs w:val="24"/>
      <w:lang w:val="en-US" w:eastAsia="zh-CN"/>
    </w:rPr>
  </w:style>
  <w:style w:type="character" w:customStyle="1" w:styleId="1300">
    <w:name w:val="条标题1.1.1 Char3"/>
    <w:uiPriority w:val="0"/>
    <w:rPr>
      <w:rFonts w:eastAsia="仿宋_GB2312"/>
      <w:b/>
      <w:bCs/>
      <w:kern w:val="2"/>
      <w:sz w:val="28"/>
      <w:szCs w:val="32"/>
      <w:lang w:val="en-US" w:eastAsia="zh-CN"/>
    </w:rPr>
  </w:style>
  <w:style w:type="character" w:customStyle="1" w:styleId="1301">
    <w:name w:val="Char Char412"/>
    <w:uiPriority w:val="0"/>
    <w:rPr>
      <w:rFonts w:ascii="黑体" w:hAnsi="Arial" w:eastAsia="黑体"/>
      <w:b/>
      <w:bCs/>
      <w:kern w:val="2"/>
      <w:sz w:val="30"/>
      <w:szCs w:val="30"/>
      <w:lang w:val="en-US" w:eastAsia="zh-CN"/>
    </w:rPr>
  </w:style>
  <w:style w:type="character" w:customStyle="1" w:styleId="1302">
    <w:name w:val="题注 Char321"/>
    <w:uiPriority w:val="0"/>
    <w:rPr>
      <w:rFonts w:ascii="黑体" w:hAnsi="Arial" w:eastAsia="黑体" w:cs="Arial"/>
      <w:b/>
      <w:kern w:val="2"/>
      <w:sz w:val="24"/>
      <w:szCs w:val="24"/>
      <w:lang w:val="en-US" w:eastAsia="zh-CN"/>
    </w:rPr>
  </w:style>
  <w:style w:type="character" w:customStyle="1" w:styleId="1303">
    <w:name w:val="正文斜体 Char11"/>
    <w:uiPriority w:val="0"/>
    <w:rPr>
      <w:rFonts w:ascii="宋体" w:hAnsi="宋体" w:eastAsia="宋体"/>
      <w:i/>
      <w:iCs/>
      <w:kern w:val="2"/>
      <w:sz w:val="24"/>
      <w:szCs w:val="24"/>
      <w:lang w:val="en-US" w:eastAsia="zh-CN"/>
    </w:rPr>
  </w:style>
  <w:style w:type="character" w:customStyle="1" w:styleId="1304">
    <w:name w:val="正文格式 Char41"/>
    <w:uiPriority w:val="0"/>
    <w:rPr>
      <w:rFonts w:ascii="宋体" w:hAnsi="宋体" w:eastAsia="宋体"/>
      <w:kern w:val="2"/>
      <w:sz w:val="24"/>
      <w:szCs w:val="24"/>
      <w:lang w:val="en-US" w:eastAsia="zh-CN"/>
    </w:rPr>
  </w:style>
  <w:style w:type="character" w:customStyle="1" w:styleId="1305">
    <w:name w:val="text1"/>
    <w:uiPriority w:val="0"/>
    <w:rPr>
      <w:rFonts w:hint="default" w:ascii="ˎ̥" w:hAnsi="ˎ̥" w:eastAsia="宋体"/>
      <w:color w:val="000000"/>
      <w:kern w:val="2"/>
      <w:sz w:val="18"/>
      <w:szCs w:val="18"/>
      <w:u w:val="none"/>
      <w:lang w:val="en-US" w:eastAsia="zh-CN"/>
    </w:rPr>
  </w:style>
  <w:style w:type="character" w:customStyle="1" w:styleId="1306">
    <w:name w:val="正文修改 Char15"/>
    <w:uiPriority w:val="0"/>
    <w:rPr>
      <w:rFonts w:ascii="宋体" w:hAnsi="宋体" w:eastAsia="宋体" w:cs="宋体"/>
      <w:color w:val="000000"/>
      <w:kern w:val="2"/>
      <w:sz w:val="24"/>
      <w:szCs w:val="24"/>
      <w:lang w:val="en-US" w:eastAsia="zh-CN"/>
    </w:rPr>
  </w:style>
  <w:style w:type="character" w:customStyle="1" w:styleId="1307">
    <w:name w:val="正文修改 Char14"/>
    <w:uiPriority w:val="0"/>
    <w:rPr>
      <w:rFonts w:ascii="宋体" w:cs="宋体"/>
      <w:kern w:val="2"/>
      <w:sz w:val="24"/>
      <w:szCs w:val="24"/>
    </w:rPr>
  </w:style>
  <w:style w:type="character" w:customStyle="1" w:styleId="1308">
    <w:name w:val="标题 3 Char15"/>
    <w:uiPriority w:val="0"/>
    <w:rPr>
      <w:rFonts w:hAnsi="宋体" w:eastAsia="宋体"/>
      <w:bCs/>
      <w:kern w:val="2"/>
      <w:sz w:val="28"/>
      <w:szCs w:val="28"/>
      <w:lang w:val="en-US" w:eastAsia="zh-CN"/>
    </w:rPr>
  </w:style>
  <w:style w:type="character" w:customStyle="1" w:styleId="1309">
    <w:name w:val="页脚 Char41"/>
    <w:uiPriority w:val="0"/>
    <w:rPr>
      <w:rFonts w:ascii="Times New Roman" w:hAnsi="Times New Roman" w:eastAsia="宋体" w:cs="Times New Roman"/>
      <w:kern w:val="2"/>
      <w:sz w:val="18"/>
      <w:szCs w:val="18"/>
      <w:lang w:val="en-US" w:eastAsia="zh-CN"/>
    </w:rPr>
  </w:style>
  <w:style w:type="character" w:customStyle="1" w:styleId="1310">
    <w:name w:val="文本框五号 Char Char Char"/>
    <w:uiPriority w:val="0"/>
    <w:rPr>
      <w:rFonts w:ascii="宋体" w:hAnsi="宋体" w:eastAsia="仿宋_GB2312" w:cs="Courier New"/>
      <w:kern w:val="2"/>
      <w:sz w:val="21"/>
      <w:szCs w:val="21"/>
      <w:lang w:val="en-US" w:eastAsia="zh-CN"/>
    </w:rPr>
  </w:style>
  <w:style w:type="character" w:customStyle="1" w:styleId="1311">
    <w:name w:val="正文修改 Char121"/>
    <w:uiPriority w:val="0"/>
    <w:rPr>
      <w:rFonts w:ascii="宋体" w:hAnsi="宋体" w:eastAsia="宋体" w:cs="宋体"/>
      <w:color w:val="000000"/>
      <w:kern w:val="2"/>
      <w:sz w:val="24"/>
      <w:szCs w:val="24"/>
      <w:lang w:val="en-US" w:eastAsia="zh-CN"/>
    </w:rPr>
  </w:style>
  <w:style w:type="character" w:customStyle="1" w:styleId="1312">
    <w:name w:val="标题 9 Char2"/>
    <w:uiPriority w:val="0"/>
    <w:rPr>
      <w:rFonts w:ascii="Arial" w:hAnsi="Arial" w:eastAsia="黑体" w:cs="Times New Roman"/>
      <w:kern w:val="2"/>
      <w:sz w:val="24"/>
      <w:szCs w:val="21"/>
      <w:lang w:val="en-US" w:eastAsia="zh-CN"/>
    </w:rPr>
  </w:style>
  <w:style w:type="character" w:customStyle="1" w:styleId="1313">
    <w:name w:val="表格内字体 Char7"/>
    <w:uiPriority w:val="0"/>
    <w:rPr>
      <w:rFonts w:ascii="宋体" w:hAnsi="宋体" w:eastAsia="宋体"/>
      <w:kern w:val="2"/>
      <w:sz w:val="21"/>
      <w:szCs w:val="24"/>
      <w:lang w:val="en-US" w:eastAsia="zh-CN"/>
    </w:rPr>
  </w:style>
  <w:style w:type="character" w:customStyle="1" w:styleId="1314">
    <w:name w:val="Char Char125"/>
    <w:uiPriority w:val="0"/>
    <w:rPr>
      <w:rFonts w:ascii="黑体" w:hAnsi="Arial" w:eastAsia="黑体"/>
      <w:b/>
      <w:bCs/>
      <w:kern w:val="2"/>
      <w:sz w:val="30"/>
      <w:szCs w:val="30"/>
      <w:lang w:val="en-US" w:eastAsia="zh-CN"/>
    </w:rPr>
  </w:style>
  <w:style w:type="character" w:customStyle="1" w:styleId="1315">
    <w:name w:val="标题1.1.1.1.1.1 Char"/>
    <w:uiPriority w:val="0"/>
    <w:rPr>
      <w:rFonts w:ascii="Arial" w:hAnsi="Arial" w:eastAsia="黑体"/>
      <w:b/>
      <w:bCs/>
      <w:kern w:val="2"/>
      <w:sz w:val="24"/>
      <w:szCs w:val="24"/>
      <w:lang w:val="en-US" w:eastAsia="zh-CN"/>
    </w:rPr>
  </w:style>
  <w:style w:type="character" w:customStyle="1" w:styleId="1316">
    <w:name w:val="正文修改 Char1521"/>
    <w:uiPriority w:val="0"/>
    <w:rPr>
      <w:rFonts w:ascii="宋体" w:hAnsi="宋体" w:eastAsia="宋体" w:cs="宋体"/>
      <w:color w:val="000000"/>
      <w:kern w:val="2"/>
      <w:sz w:val="24"/>
      <w:szCs w:val="24"/>
      <w:lang w:val="en-US" w:eastAsia="zh-CN"/>
    </w:rPr>
  </w:style>
  <w:style w:type="character" w:customStyle="1" w:styleId="1317">
    <w:name w:val="正文修改 Char132"/>
    <w:uiPriority w:val="0"/>
    <w:rPr>
      <w:rFonts w:ascii="宋体" w:hAnsi="宋体" w:eastAsia="宋体" w:cs="宋体"/>
      <w:color w:val="000000"/>
      <w:kern w:val="2"/>
      <w:sz w:val="24"/>
      <w:szCs w:val="24"/>
      <w:lang w:val="en-US" w:eastAsia="zh-CN"/>
    </w:rPr>
  </w:style>
  <w:style w:type="character" w:customStyle="1" w:styleId="1318">
    <w:name w:val="标题正文黑 Char11"/>
    <w:uiPriority w:val="0"/>
    <w:rPr>
      <w:rFonts w:ascii="黑体" w:eastAsia="黑体"/>
      <w:kern w:val="2"/>
      <w:sz w:val="28"/>
      <w:szCs w:val="28"/>
      <w:lang w:val="en-US" w:eastAsia="zh-CN"/>
    </w:rPr>
  </w:style>
  <w:style w:type="character" w:customStyle="1" w:styleId="1319">
    <w:name w:val="标题 7 Char1"/>
    <w:uiPriority w:val="0"/>
    <w:rPr>
      <w:rFonts w:eastAsia="宋体"/>
      <w:b/>
      <w:bCs/>
      <w:kern w:val="2"/>
      <w:sz w:val="24"/>
      <w:szCs w:val="24"/>
      <w:lang w:val="en-US" w:eastAsia="zh-CN"/>
    </w:rPr>
  </w:style>
  <w:style w:type="character" w:customStyle="1" w:styleId="1320">
    <w:name w:val="表格内字体 Char101"/>
    <w:uiPriority w:val="0"/>
    <w:rPr>
      <w:rFonts w:ascii="宋体" w:hAnsi="宋体" w:eastAsia="宋体" w:cs="Times New Roman"/>
      <w:kern w:val="2"/>
      <w:sz w:val="24"/>
      <w:szCs w:val="21"/>
      <w:lang w:val="en-US" w:eastAsia="zh-CN"/>
    </w:rPr>
  </w:style>
  <w:style w:type="character" w:customStyle="1" w:styleId="1321">
    <w:name w:val="正文修改 Char133"/>
    <w:uiPriority w:val="0"/>
    <w:rPr>
      <w:rFonts w:ascii="宋体" w:hAnsi="宋体" w:eastAsia="宋体" w:cs="宋体"/>
      <w:color w:val="000000"/>
      <w:kern w:val="2"/>
      <w:sz w:val="24"/>
      <w:szCs w:val="24"/>
      <w:lang w:val="en-US" w:eastAsia="zh-CN"/>
    </w:rPr>
  </w:style>
  <w:style w:type="character" w:customStyle="1" w:styleId="1322">
    <w:name w:val="表格内容 Char11"/>
    <w:uiPriority w:val="0"/>
    <w:rPr>
      <w:rFonts w:eastAsia="宋体"/>
      <w:kern w:val="2"/>
      <w:sz w:val="21"/>
      <w:szCs w:val="21"/>
      <w:lang w:val="en-US" w:eastAsia="zh-CN"/>
    </w:rPr>
  </w:style>
  <w:style w:type="character" w:customStyle="1" w:styleId="1323">
    <w:name w:val="表题1 Char42"/>
    <w:uiPriority w:val="0"/>
    <w:rPr>
      <w:rFonts w:ascii="黑体" w:hAnsi="Arial" w:eastAsia="黑体" w:cs="Arial"/>
      <w:b/>
      <w:kern w:val="2"/>
      <w:sz w:val="24"/>
      <w:szCs w:val="24"/>
      <w:lang w:val="en-US" w:eastAsia="zh-CN"/>
    </w:rPr>
  </w:style>
  <w:style w:type="character" w:customStyle="1" w:styleId="1324">
    <w:name w:val="标题 1 Char5"/>
    <w:uiPriority w:val="0"/>
    <w:rPr>
      <w:rFonts w:ascii="黑体" w:hAnsi="宋体" w:eastAsia="黑体" w:cs="Times New Roman"/>
      <w:bCs/>
      <w:kern w:val="44"/>
      <w:sz w:val="32"/>
      <w:szCs w:val="32"/>
      <w:lang w:val="en-US" w:eastAsia="zh-CN"/>
    </w:rPr>
  </w:style>
  <w:style w:type="character" w:customStyle="1" w:styleId="1325">
    <w:name w:val="样式 表内小5 + 黑体 加粗 倾斜 下划线 Char31"/>
    <w:uiPriority w:val="0"/>
    <w:rPr>
      <w:rFonts w:ascii="黑体" w:hAnsi="黑体" w:eastAsia="黑体" w:cs="Times New Roman"/>
      <w:b/>
      <w:bCs/>
      <w:i/>
      <w:iCs/>
      <w:kern w:val="2"/>
      <w:sz w:val="18"/>
      <w:szCs w:val="24"/>
      <w:u w:val="single"/>
      <w:lang w:val="en-US" w:eastAsia="zh-CN"/>
    </w:rPr>
  </w:style>
  <w:style w:type="character" w:customStyle="1" w:styleId="1326">
    <w:name w:val="表格内字体 Char41"/>
    <w:uiPriority w:val="0"/>
    <w:rPr>
      <w:rFonts w:ascii="宋体" w:hAnsi="宋体" w:eastAsia="宋体"/>
      <w:kern w:val="2"/>
      <w:sz w:val="21"/>
      <w:szCs w:val="24"/>
      <w:lang w:val="en-US" w:eastAsia="zh-CN"/>
    </w:rPr>
  </w:style>
  <w:style w:type="character" w:customStyle="1" w:styleId="1327">
    <w:name w:val="Char Char43"/>
    <w:uiPriority w:val="0"/>
    <w:rPr>
      <w:rFonts w:ascii="黑体" w:hAnsi="Arial" w:eastAsia="黑体"/>
      <w:b/>
      <w:bCs/>
      <w:kern w:val="2"/>
      <w:sz w:val="30"/>
      <w:szCs w:val="30"/>
      <w:lang w:val="en-US" w:eastAsia="zh-CN"/>
    </w:rPr>
  </w:style>
  <w:style w:type="character" w:customStyle="1" w:styleId="1328">
    <w:name w:val="Char Char517"/>
    <w:uiPriority w:val="0"/>
    <w:rPr>
      <w:rFonts w:ascii="黑体" w:hAnsi="宋体" w:eastAsia="黑体"/>
      <w:bCs/>
      <w:kern w:val="2"/>
      <w:sz w:val="28"/>
      <w:szCs w:val="28"/>
      <w:lang w:val="en-US" w:eastAsia="zh-CN"/>
    </w:rPr>
  </w:style>
  <w:style w:type="character" w:customStyle="1" w:styleId="1329">
    <w:name w:val="Char Char213"/>
    <w:uiPriority w:val="0"/>
    <w:rPr>
      <w:rFonts w:ascii="黑体" w:eastAsia="宋体"/>
      <w:kern w:val="2"/>
      <w:sz w:val="16"/>
      <w:szCs w:val="16"/>
      <w:lang w:val="en-US" w:eastAsia="zh-CN"/>
    </w:rPr>
  </w:style>
  <w:style w:type="character" w:customStyle="1" w:styleId="1330">
    <w:name w:val="批注框文本 Char21"/>
    <w:uiPriority w:val="0"/>
    <w:rPr>
      <w:rFonts w:eastAsia="宋体"/>
      <w:kern w:val="2"/>
      <w:sz w:val="18"/>
      <w:szCs w:val="18"/>
      <w:lang w:val="en-US" w:eastAsia="zh-CN"/>
    </w:rPr>
  </w:style>
  <w:style w:type="character" w:customStyle="1" w:styleId="1331">
    <w:name w:val="正文文本缩进 Char3"/>
    <w:uiPriority w:val="0"/>
    <w:rPr>
      <w:rFonts w:ascii="宋体" w:hAnsi="宋体" w:eastAsia="宋体" w:cs="宋体"/>
      <w:color w:val="000000"/>
      <w:kern w:val="2"/>
      <w:sz w:val="24"/>
      <w:szCs w:val="24"/>
      <w:lang w:val="en-US" w:eastAsia="zh-CN"/>
    </w:rPr>
  </w:style>
  <w:style w:type="character" w:customStyle="1" w:styleId="1332">
    <w:name w:val="标题 2 Char61"/>
    <w:uiPriority w:val="0"/>
    <w:rPr>
      <w:rFonts w:ascii="黑体" w:hAnsi="Arial" w:eastAsia="黑体"/>
      <w:b/>
      <w:bCs/>
      <w:kern w:val="2"/>
      <w:sz w:val="30"/>
      <w:szCs w:val="30"/>
      <w:lang w:val="en-US" w:eastAsia="zh-CN"/>
    </w:rPr>
  </w:style>
  <w:style w:type="character" w:customStyle="1" w:styleId="1333">
    <w:name w:val="正文文字 3 Char Char"/>
    <w:uiPriority w:val="0"/>
    <w:rPr>
      <w:rFonts w:eastAsia="仿宋_GB2312"/>
      <w:kern w:val="2"/>
      <w:sz w:val="28"/>
      <w:szCs w:val="24"/>
      <w:lang w:val="en-US" w:eastAsia="zh-CN"/>
    </w:rPr>
  </w:style>
  <w:style w:type="character" w:customStyle="1" w:styleId="1334">
    <w:name w:val="表中文字 Char5"/>
    <w:uiPriority w:val="0"/>
    <w:rPr>
      <w:rFonts w:ascii="Arial" w:hAnsi="Arial" w:eastAsia="宋体"/>
      <w:kern w:val="2"/>
      <w:sz w:val="24"/>
      <w:szCs w:val="24"/>
      <w:lang w:val="en-US" w:eastAsia="zh-TW"/>
    </w:rPr>
  </w:style>
  <w:style w:type="character" w:customStyle="1" w:styleId="1335">
    <w:name w:val="环评正文 Char3"/>
    <w:uiPriority w:val="0"/>
    <w:rPr>
      <w:rFonts w:ascii="Times New Roman" w:hAnsi="Times New Roman" w:eastAsia="宋体" w:cs="Times New Roman"/>
      <w:bCs/>
      <w:kern w:val="2"/>
      <w:sz w:val="24"/>
      <w:szCs w:val="24"/>
      <w:lang w:val="en-US" w:eastAsia="zh-CN"/>
    </w:rPr>
  </w:style>
  <w:style w:type="character" w:customStyle="1" w:styleId="1336">
    <w:name w:val="yqlink"/>
    <w:uiPriority w:val="0"/>
  </w:style>
  <w:style w:type="character" w:customStyle="1" w:styleId="1337">
    <w:name w:val="题注 Char621"/>
    <w:uiPriority w:val="0"/>
    <w:rPr>
      <w:rFonts w:ascii="黑体" w:hAnsi="Arial" w:eastAsia="黑体" w:cs="Arial"/>
      <w:b/>
      <w:kern w:val="2"/>
      <w:sz w:val="24"/>
      <w:szCs w:val="24"/>
      <w:lang w:val="en-US" w:eastAsia="zh-CN"/>
    </w:rPr>
  </w:style>
  <w:style w:type="character" w:customStyle="1" w:styleId="1338">
    <w:name w:val="表中文字 Char31"/>
    <w:uiPriority w:val="0"/>
    <w:rPr>
      <w:rFonts w:ascii="Arial" w:hAnsi="Arial" w:eastAsia="宋体"/>
      <w:kern w:val="2"/>
      <w:sz w:val="24"/>
      <w:szCs w:val="24"/>
      <w:lang w:val="en-US" w:eastAsia="zh-TW"/>
    </w:rPr>
  </w:style>
  <w:style w:type="character" w:customStyle="1" w:styleId="1339">
    <w:name w:val="正文修改 Char112"/>
    <w:uiPriority w:val="0"/>
    <w:rPr>
      <w:rFonts w:ascii="宋体" w:hAnsi="宋体" w:eastAsia="宋体" w:cs="宋体"/>
      <w:color w:val="000000"/>
      <w:kern w:val="2"/>
      <w:sz w:val="24"/>
      <w:szCs w:val="24"/>
      <w:lang w:val="en-US" w:eastAsia="zh-CN"/>
    </w:rPr>
  </w:style>
  <w:style w:type="character" w:customStyle="1" w:styleId="1340">
    <w:name w:val="标题 8 Char11"/>
    <w:uiPriority w:val="0"/>
    <w:rPr>
      <w:rFonts w:ascii="Arial" w:hAnsi="Arial" w:eastAsia="黑体"/>
      <w:kern w:val="2"/>
      <w:sz w:val="24"/>
      <w:szCs w:val="24"/>
      <w:lang w:val="en-US" w:eastAsia="zh-CN"/>
    </w:rPr>
  </w:style>
  <w:style w:type="character" w:customStyle="1" w:styleId="1341">
    <w:name w:val="题注 Char11"/>
    <w:uiPriority w:val="0"/>
    <w:rPr>
      <w:rFonts w:ascii="黑体" w:hAnsi="Arial" w:eastAsia="黑体" w:cs="Arial"/>
      <w:b/>
      <w:kern w:val="2"/>
      <w:sz w:val="24"/>
      <w:szCs w:val="24"/>
      <w:lang w:val="en-US" w:eastAsia="zh-CN"/>
    </w:rPr>
  </w:style>
  <w:style w:type="character" w:customStyle="1" w:styleId="1342">
    <w:name w:val="Char Char1210"/>
    <w:uiPriority w:val="0"/>
    <w:rPr>
      <w:rFonts w:ascii="黑体" w:hAnsi="Arial" w:eastAsia="黑体"/>
      <w:b/>
      <w:bCs/>
      <w:kern w:val="2"/>
      <w:sz w:val="30"/>
      <w:szCs w:val="30"/>
      <w:lang w:val="en-US" w:eastAsia="zh-CN"/>
    </w:rPr>
  </w:style>
  <w:style w:type="character" w:customStyle="1" w:styleId="1343">
    <w:name w:val="正文修改 Char151"/>
    <w:uiPriority w:val="0"/>
    <w:rPr>
      <w:rFonts w:ascii="宋体" w:hAnsi="宋体" w:eastAsia="宋体" w:cs="宋体"/>
      <w:color w:val="000000"/>
      <w:kern w:val="2"/>
      <w:sz w:val="24"/>
      <w:szCs w:val="24"/>
      <w:lang w:val="en-US" w:eastAsia="zh-CN"/>
    </w:rPr>
  </w:style>
  <w:style w:type="character" w:customStyle="1" w:styleId="1344">
    <w:name w:val="正文格式 Char31"/>
    <w:uiPriority w:val="0"/>
    <w:rPr>
      <w:rFonts w:ascii="宋体" w:hAnsi="宋体" w:eastAsia="宋体"/>
      <w:kern w:val="2"/>
      <w:sz w:val="24"/>
      <w:szCs w:val="24"/>
      <w:lang w:val="en-US" w:eastAsia="zh-CN"/>
    </w:rPr>
  </w:style>
  <w:style w:type="character" w:customStyle="1" w:styleId="1345">
    <w:name w:val="HTML 键盘1"/>
    <w:uiPriority w:val="0"/>
    <w:rPr>
      <w:rFonts w:ascii="Courier New" w:hAnsi="Courier New" w:eastAsia="宋体" w:cs="Courier New"/>
      <w:kern w:val="2"/>
      <w:sz w:val="20"/>
      <w:szCs w:val="20"/>
      <w:lang w:val="en-US" w:eastAsia="zh-CN"/>
    </w:rPr>
  </w:style>
  <w:style w:type="character" w:customStyle="1" w:styleId="1346">
    <w:name w:val="表格内字体 Char91"/>
    <w:uiPriority w:val="0"/>
    <w:rPr>
      <w:rFonts w:ascii="宋体" w:hAnsi="宋体" w:eastAsia="宋体"/>
      <w:kern w:val="2"/>
      <w:sz w:val="21"/>
      <w:szCs w:val="24"/>
      <w:lang w:val="en-US" w:eastAsia="zh-CN"/>
    </w:rPr>
  </w:style>
  <w:style w:type="character" w:customStyle="1" w:styleId="1347">
    <w:name w:val="tex1"/>
    <w:uiPriority w:val="0"/>
    <w:rPr>
      <w:color w:val="000000"/>
      <w:sz w:val="21"/>
      <w:szCs w:val="21"/>
    </w:rPr>
  </w:style>
  <w:style w:type="character" w:customStyle="1" w:styleId="1348">
    <w:name w:val="表格内字体 Char10"/>
    <w:uiPriority w:val="0"/>
    <w:rPr>
      <w:rFonts w:ascii="宋体" w:hAnsi="宋体" w:eastAsia="宋体" w:cs="Times New Roman"/>
      <w:kern w:val="2"/>
      <w:sz w:val="24"/>
      <w:szCs w:val="21"/>
      <w:lang w:val="en-US" w:eastAsia="zh-CN"/>
    </w:rPr>
  </w:style>
  <w:style w:type="character" w:customStyle="1" w:styleId="1349">
    <w:name w:val="标题 7 Char2"/>
    <w:uiPriority w:val="0"/>
    <w:rPr>
      <w:rFonts w:ascii="Times New Roman" w:hAnsi="Times New Roman" w:eastAsia="宋体" w:cs="Times New Roman"/>
      <w:b/>
      <w:bCs/>
      <w:kern w:val="2"/>
      <w:sz w:val="24"/>
      <w:szCs w:val="24"/>
      <w:lang w:val="en-US" w:eastAsia="zh-CN"/>
    </w:rPr>
  </w:style>
  <w:style w:type="character" w:customStyle="1" w:styleId="1350">
    <w:name w:val="页脚 Char21"/>
    <w:uiPriority w:val="0"/>
    <w:rPr>
      <w:rFonts w:ascii="Times New Roman" w:hAnsi="Times New Roman" w:eastAsia="宋体" w:cs="Times New Roman"/>
      <w:kern w:val="2"/>
      <w:sz w:val="18"/>
      <w:szCs w:val="18"/>
      <w:lang w:val="en-US" w:eastAsia="zh-CN"/>
    </w:rPr>
  </w:style>
  <w:style w:type="character" w:customStyle="1" w:styleId="1351">
    <w:name w:val="燕山正文 Char141"/>
    <w:uiPriority w:val="0"/>
    <w:rPr>
      <w:rFonts w:ascii="宋体" w:eastAsia="宋体" w:cs="宋体"/>
      <w:kern w:val="2"/>
      <w:sz w:val="24"/>
      <w:szCs w:val="24"/>
      <w:lang w:val="en-US" w:eastAsia="zh-CN"/>
    </w:rPr>
  </w:style>
  <w:style w:type="character" w:customStyle="1" w:styleId="1352">
    <w:name w:val="font41"/>
    <w:qFormat/>
    <w:uiPriority w:val="0"/>
    <w:rPr>
      <w:rFonts w:hint="default" w:ascii="Times New Roman" w:hAnsi="Times New Roman" w:cs="Times New Roman"/>
      <w:color w:val="000000"/>
      <w:sz w:val="15"/>
      <w:szCs w:val="15"/>
      <w:u w:val="none"/>
    </w:rPr>
  </w:style>
  <w:style w:type="character" w:customStyle="1" w:styleId="1353">
    <w:name w:val="批注引用2"/>
    <w:uiPriority w:val="0"/>
    <w:rPr>
      <w:sz w:val="21"/>
      <w:szCs w:val="21"/>
    </w:rPr>
  </w:style>
  <w:style w:type="character" w:customStyle="1" w:styleId="1354">
    <w:name w:val="A正文 Char21"/>
    <w:uiPriority w:val="0"/>
    <w:rPr>
      <w:rFonts w:eastAsia="仿宋_GB2312"/>
      <w:kern w:val="2"/>
      <w:sz w:val="24"/>
      <w:szCs w:val="24"/>
      <w:lang w:val="en-US" w:eastAsia="zh-CN"/>
    </w:rPr>
  </w:style>
  <w:style w:type="character" w:customStyle="1" w:styleId="1355">
    <w:name w:val="正文格式 Char3"/>
    <w:uiPriority w:val="0"/>
    <w:rPr>
      <w:rFonts w:ascii="宋体" w:hAnsi="宋体" w:eastAsia="宋体"/>
      <w:kern w:val="2"/>
      <w:sz w:val="24"/>
      <w:szCs w:val="24"/>
      <w:lang w:val="en-US" w:eastAsia="zh-CN"/>
    </w:rPr>
  </w:style>
  <w:style w:type="character" w:customStyle="1" w:styleId="1356">
    <w:name w:val="Char Char49"/>
    <w:uiPriority w:val="0"/>
    <w:rPr>
      <w:rFonts w:ascii="黑体" w:hAnsi="Arial" w:eastAsia="黑体"/>
      <w:b/>
      <w:bCs/>
      <w:kern w:val="2"/>
      <w:sz w:val="30"/>
      <w:szCs w:val="30"/>
      <w:lang w:val="en-US" w:eastAsia="zh-CN"/>
    </w:rPr>
  </w:style>
  <w:style w:type="character" w:customStyle="1" w:styleId="1357">
    <w:name w:val="表题 Char41"/>
    <w:uiPriority w:val="0"/>
    <w:rPr>
      <w:rFonts w:ascii="黑体" w:hAnsi="Arial" w:eastAsia="黑体" w:cs="Arial"/>
      <w:b/>
      <w:kern w:val="2"/>
      <w:sz w:val="24"/>
      <w:szCs w:val="24"/>
      <w:lang w:val="en-US" w:eastAsia="zh-CN"/>
    </w:rPr>
  </w:style>
  <w:style w:type="character" w:customStyle="1" w:styleId="1358">
    <w:name w:val="三级标题 Char2"/>
    <w:uiPriority w:val="0"/>
    <w:rPr>
      <w:rFonts w:ascii="黑体" w:hAnsi="宋体" w:eastAsia="黑体"/>
      <w:b/>
      <w:bCs/>
      <w:kern w:val="2"/>
      <w:sz w:val="28"/>
      <w:szCs w:val="28"/>
      <w:lang w:val="en-US" w:eastAsia="zh-CN"/>
    </w:rPr>
  </w:style>
  <w:style w:type="character" w:customStyle="1" w:styleId="1359">
    <w:name w:val="Char Char39"/>
    <w:uiPriority w:val="0"/>
    <w:rPr>
      <w:rFonts w:ascii="黑体" w:hAnsi="宋体" w:eastAsia="黑体"/>
      <w:b/>
      <w:bCs/>
      <w:kern w:val="2"/>
      <w:sz w:val="28"/>
      <w:szCs w:val="28"/>
      <w:lang w:val="en-US" w:eastAsia="zh-CN"/>
    </w:rPr>
  </w:style>
  <w:style w:type="character" w:customStyle="1" w:styleId="1360">
    <w:name w:val="Char Char1118"/>
    <w:uiPriority w:val="0"/>
    <w:rPr>
      <w:rFonts w:ascii="黑体" w:hAnsi="Arial" w:eastAsia="黑体"/>
      <w:bCs/>
      <w:kern w:val="2"/>
      <w:sz w:val="30"/>
      <w:szCs w:val="30"/>
      <w:lang w:val="en-US" w:eastAsia="zh-CN"/>
    </w:rPr>
  </w:style>
  <w:style w:type="character" w:customStyle="1" w:styleId="1361">
    <w:name w:val="HTML 样本1"/>
    <w:uiPriority w:val="0"/>
    <w:rPr>
      <w:rFonts w:ascii="Courier New" w:hAnsi="Courier New" w:eastAsia="宋体" w:cs="Courier New"/>
      <w:kern w:val="2"/>
      <w:sz w:val="32"/>
      <w:szCs w:val="32"/>
      <w:lang w:val="en-US" w:eastAsia="zh-CN"/>
    </w:rPr>
  </w:style>
  <w:style w:type="character" w:customStyle="1" w:styleId="1362">
    <w:name w:val="正文格式 Char2"/>
    <w:uiPriority w:val="0"/>
    <w:rPr>
      <w:rFonts w:ascii="宋体" w:hAnsi="宋体" w:eastAsia="宋体"/>
      <w:kern w:val="2"/>
      <w:sz w:val="24"/>
      <w:szCs w:val="24"/>
      <w:lang w:val="en-US" w:eastAsia="zh-CN"/>
    </w:rPr>
  </w:style>
  <w:style w:type="character" w:customStyle="1" w:styleId="1363">
    <w:name w:val="燕山正文 Char18"/>
    <w:uiPriority w:val="0"/>
    <w:rPr>
      <w:rFonts w:ascii="宋体" w:eastAsia="宋体" w:cs="宋体"/>
      <w:kern w:val="2"/>
      <w:sz w:val="24"/>
      <w:szCs w:val="24"/>
      <w:lang w:val="en-US" w:eastAsia="zh-CN"/>
    </w:rPr>
  </w:style>
  <w:style w:type="character" w:customStyle="1" w:styleId="1364">
    <w:name w:val="Char Char1119"/>
    <w:uiPriority w:val="0"/>
    <w:rPr>
      <w:rFonts w:ascii="黑体" w:hAnsi="Arial" w:eastAsia="黑体"/>
      <w:bCs/>
      <w:kern w:val="2"/>
      <w:sz w:val="30"/>
      <w:szCs w:val="30"/>
      <w:lang w:val="en-US" w:eastAsia="zh-CN"/>
    </w:rPr>
  </w:style>
  <w:style w:type="character" w:customStyle="1" w:styleId="1365">
    <w:name w:val="表题1 Char71"/>
    <w:uiPriority w:val="0"/>
    <w:rPr>
      <w:rFonts w:ascii="黑体" w:hAnsi="Arial" w:eastAsia="黑体" w:cs="Arial"/>
      <w:b/>
      <w:kern w:val="2"/>
      <w:sz w:val="24"/>
      <w:szCs w:val="24"/>
      <w:lang w:val="en-US" w:eastAsia="zh-CN"/>
    </w:rPr>
  </w:style>
  <w:style w:type="character" w:customStyle="1" w:styleId="1366">
    <w:name w:val="页脚 Char3"/>
    <w:uiPriority w:val="0"/>
    <w:rPr>
      <w:rFonts w:eastAsia="宋体"/>
      <w:kern w:val="2"/>
      <w:sz w:val="18"/>
      <w:szCs w:val="18"/>
      <w:lang w:val="en-US" w:eastAsia="zh-CN"/>
    </w:rPr>
  </w:style>
  <w:style w:type="character" w:customStyle="1" w:styleId="1367">
    <w:name w:val="标题 3 Char21"/>
    <w:uiPriority w:val="0"/>
    <w:rPr>
      <w:rFonts w:ascii="黑体" w:hAnsi="宋体" w:eastAsia="黑体"/>
      <w:b/>
      <w:bCs/>
      <w:kern w:val="2"/>
      <w:sz w:val="28"/>
      <w:szCs w:val="28"/>
      <w:lang w:val="en-US" w:eastAsia="zh-CN"/>
    </w:rPr>
  </w:style>
  <w:style w:type="character" w:customStyle="1" w:styleId="1368">
    <w:name w:val="Char Char512"/>
    <w:uiPriority w:val="0"/>
    <w:rPr>
      <w:rFonts w:ascii="黑体" w:hAnsi="宋体" w:eastAsia="黑体"/>
      <w:bCs/>
      <w:kern w:val="2"/>
      <w:sz w:val="28"/>
      <w:szCs w:val="28"/>
      <w:lang w:val="en-US" w:eastAsia="zh-CN"/>
    </w:rPr>
  </w:style>
  <w:style w:type="character" w:customStyle="1" w:styleId="1369">
    <w:name w:val="Char Char57"/>
    <w:uiPriority w:val="0"/>
    <w:rPr>
      <w:rFonts w:ascii="黑体" w:hAnsi="宋体" w:eastAsia="黑体"/>
      <w:bCs/>
      <w:kern w:val="2"/>
      <w:sz w:val="28"/>
      <w:szCs w:val="28"/>
      <w:lang w:val="en-US" w:eastAsia="zh-CN"/>
    </w:rPr>
  </w:style>
  <w:style w:type="character" w:customStyle="1" w:styleId="1370">
    <w:name w:val="A正文 Char2"/>
    <w:uiPriority w:val="0"/>
    <w:rPr>
      <w:rFonts w:eastAsia="仿宋_GB2312"/>
      <w:kern w:val="2"/>
      <w:sz w:val="24"/>
      <w:szCs w:val="24"/>
      <w:lang w:val="en-US" w:eastAsia="zh-CN"/>
    </w:rPr>
  </w:style>
  <w:style w:type="character" w:customStyle="1" w:styleId="1371">
    <w:name w:val="表题1 Char431"/>
    <w:uiPriority w:val="0"/>
    <w:rPr>
      <w:rFonts w:ascii="黑体" w:hAnsi="Arial" w:eastAsia="黑体" w:cs="Arial"/>
      <w:b/>
      <w:kern w:val="2"/>
      <w:sz w:val="24"/>
      <w:szCs w:val="24"/>
      <w:lang w:val="en-US" w:eastAsia="zh-CN"/>
    </w:rPr>
  </w:style>
  <w:style w:type="character" w:customStyle="1" w:styleId="1372">
    <w:name w:val="环评正文 Char31"/>
    <w:uiPriority w:val="0"/>
    <w:rPr>
      <w:rFonts w:ascii="Times New Roman" w:hAnsi="Times New Roman" w:eastAsia="宋体" w:cs="Times New Roman"/>
      <w:bCs/>
      <w:kern w:val="2"/>
      <w:sz w:val="24"/>
      <w:szCs w:val="24"/>
      <w:lang w:val="en-US" w:eastAsia="zh-CN"/>
    </w:rPr>
  </w:style>
  <w:style w:type="character" w:customStyle="1" w:styleId="1373">
    <w:name w:val="图题注 Char31"/>
    <w:uiPriority w:val="0"/>
    <w:rPr>
      <w:rFonts w:ascii="黑体" w:hAnsi="Arial" w:eastAsia="黑体" w:cs="宋体"/>
      <w:b/>
      <w:bCs/>
      <w:kern w:val="2"/>
      <w:sz w:val="24"/>
      <w:szCs w:val="24"/>
      <w:lang w:val="en-US" w:eastAsia="zh-CN"/>
    </w:rPr>
  </w:style>
  <w:style w:type="character" w:customStyle="1" w:styleId="1374">
    <w:name w:val="样式 表格内字体 + Char4"/>
    <w:uiPriority w:val="0"/>
    <w:rPr>
      <w:rFonts w:ascii="宋体" w:hAnsi="宋体"/>
      <w:kern w:val="2"/>
      <w:sz w:val="21"/>
      <w:szCs w:val="24"/>
    </w:rPr>
  </w:style>
  <w:style w:type="character" w:customStyle="1" w:styleId="1375">
    <w:name w:val="Char Char211"/>
    <w:uiPriority w:val="0"/>
    <w:rPr>
      <w:rFonts w:ascii="黑体" w:eastAsia="宋体"/>
      <w:kern w:val="2"/>
      <w:sz w:val="16"/>
      <w:szCs w:val="16"/>
      <w:lang w:val="en-US" w:eastAsia="zh-CN"/>
    </w:rPr>
  </w:style>
  <w:style w:type="character" w:customStyle="1" w:styleId="1376">
    <w:name w:val="纯文本1 Char Char"/>
    <w:uiPriority w:val="0"/>
    <w:rPr>
      <w:rFonts w:ascii="宋体" w:hAnsi="Courier New" w:eastAsia="宋体"/>
      <w:kern w:val="2"/>
      <w:sz w:val="21"/>
      <w:lang w:val="en-US" w:eastAsia="zh-CN"/>
    </w:rPr>
  </w:style>
  <w:style w:type="character" w:customStyle="1" w:styleId="1377">
    <w:name w:val="表题1 Char4"/>
    <w:uiPriority w:val="0"/>
    <w:rPr>
      <w:rFonts w:ascii="黑体" w:hAnsi="Arial" w:eastAsia="黑体" w:cs="Arial"/>
      <w:b/>
      <w:kern w:val="2"/>
      <w:sz w:val="24"/>
      <w:szCs w:val="24"/>
      <w:lang w:val="en-US" w:eastAsia="zh-CN"/>
    </w:rPr>
  </w:style>
  <w:style w:type="character" w:customStyle="1" w:styleId="1378">
    <w:name w:val="普通文字 Char Char Char Char Char Char Char Char Char Char Char"/>
    <w:uiPriority w:val="0"/>
    <w:rPr>
      <w:rFonts w:ascii="宋体" w:hAnsi="Courier New" w:eastAsia="宋体" w:cs="宋体"/>
      <w:kern w:val="2"/>
      <w:sz w:val="28"/>
      <w:szCs w:val="24"/>
      <w:lang w:val="en-US" w:eastAsia="zh-CN"/>
    </w:rPr>
  </w:style>
  <w:style w:type="character" w:customStyle="1" w:styleId="1379">
    <w:name w:val="燕山正文 Char13"/>
    <w:uiPriority w:val="0"/>
    <w:rPr>
      <w:rFonts w:ascii="宋体" w:eastAsia="宋体" w:cs="宋体"/>
      <w:kern w:val="2"/>
      <w:sz w:val="24"/>
      <w:szCs w:val="24"/>
      <w:lang w:val="en-US" w:eastAsia="zh-CN"/>
    </w:rPr>
  </w:style>
  <w:style w:type="character" w:customStyle="1" w:styleId="1380">
    <w:name w:val="标题 1 Char11"/>
    <w:uiPriority w:val="0"/>
    <w:rPr>
      <w:rFonts w:ascii="黑体" w:hAnsi="宋体" w:eastAsia="黑体" w:cs="Times New Roman"/>
      <w:bCs/>
      <w:kern w:val="44"/>
      <w:sz w:val="32"/>
      <w:szCs w:val="32"/>
      <w:lang w:val="en-US" w:eastAsia="zh-CN"/>
    </w:rPr>
  </w:style>
  <w:style w:type="character" w:customStyle="1" w:styleId="1381">
    <w:name w:val="text31"/>
    <w:uiPriority w:val="0"/>
    <w:rPr>
      <w:rFonts w:hint="eastAsia" w:ascii="宋体" w:hAnsi="宋体" w:eastAsia="宋体"/>
      <w:color w:val="673434"/>
      <w:kern w:val="2"/>
      <w:sz w:val="22"/>
      <w:szCs w:val="22"/>
      <w:u w:val="none"/>
      <w:lang w:val="en-US" w:eastAsia="zh-CN"/>
    </w:rPr>
  </w:style>
  <w:style w:type="character" w:customStyle="1" w:styleId="1382">
    <w:name w:val="Char Char1115"/>
    <w:uiPriority w:val="0"/>
    <w:rPr>
      <w:rFonts w:ascii="黑体" w:hAnsi="Arial" w:eastAsia="黑体"/>
      <w:bCs/>
      <w:kern w:val="2"/>
      <w:sz w:val="30"/>
      <w:szCs w:val="30"/>
      <w:lang w:val="en-US" w:eastAsia="zh-CN"/>
    </w:rPr>
  </w:style>
  <w:style w:type="character" w:customStyle="1" w:styleId="1383">
    <w:name w:val="一级项 Char1"/>
    <w:uiPriority w:val="0"/>
    <w:rPr>
      <w:rFonts w:eastAsia="宋体"/>
      <w:b/>
      <w:bCs/>
      <w:kern w:val="2"/>
      <w:sz w:val="28"/>
      <w:szCs w:val="28"/>
      <w:lang w:val="en-US" w:eastAsia="zh-CN"/>
    </w:rPr>
  </w:style>
  <w:style w:type="character" w:customStyle="1" w:styleId="1384">
    <w:name w:val="正文修改 Char171"/>
    <w:uiPriority w:val="0"/>
    <w:rPr>
      <w:rFonts w:ascii="宋体" w:hAnsi="宋体" w:eastAsia="宋体" w:cs="宋体"/>
      <w:color w:val="000000"/>
      <w:kern w:val="2"/>
      <w:sz w:val="24"/>
      <w:szCs w:val="24"/>
      <w:lang w:val="en-US" w:eastAsia="zh-CN"/>
    </w:rPr>
  </w:style>
  <w:style w:type="character" w:customStyle="1" w:styleId="1385">
    <w:name w:val="页眉 Char41"/>
    <w:uiPriority w:val="0"/>
    <w:rPr>
      <w:rFonts w:ascii="Times New Roman" w:hAnsi="Times New Roman" w:eastAsia="宋体" w:cs="Times New Roman"/>
      <w:kern w:val="2"/>
      <w:sz w:val="18"/>
      <w:szCs w:val="18"/>
      <w:lang w:val="en-US" w:eastAsia="zh-CN"/>
    </w:rPr>
  </w:style>
  <w:style w:type="character" w:customStyle="1" w:styleId="1386">
    <w:name w:val="正文缩进 Char13"/>
    <w:uiPriority w:val="0"/>
    <w:rPr>
      <w:rFonts w:ascii="宋体" w:hAnsi="宋体" w:eastAsia="宋体" w:cs="宋体"/>
      <w:color w:val="000000"/>
      <w:kern w:val="2"/>
      <w:sz w:val="24"/>
      <w:szCs w:val="24"/>
      <w:lang w:val="en-US" w:eastAsia="zh-CN"/>
    </w:rPr>
  </w:style>
  <w:style w:type="character" w:customStyle="1" w:styleId="1387">
    <w:name w:val="正文修改 Char144"/>
    <w:uiPriority w:val="0"/>
    <w:rPr>
      <w:rFonts w:ascii="宋体" w:cs="宋体"/>
      <w:kern w:val="2"/>
      <w:sz w:val="24"/>
      <w:szCs w:val="24"/>
    </w:rPr>
  </w:style>
  <w:style w:type="character" w:customStyle="1" w:styleId="1388">
    <w:name w:val="Char Char1214"/>
    <w:uiPriority w:val="0"/>
    <w:rPr>
      <w:rFonts w:ascii="黑体" w:hAnsi="Arial" w:eastAsia="黑体"/>
      <w:b/>
      <w:bCs/>
      <w:kern w:val="2"/>
      <w:sz w:val="30"/>
      <w:szCs w:val="30"/>
      <w:lang w:val="en-US" w:eastAsia="zh-CN"/>
    </w:rPr>
  </w:style>
  <w:style w:type="character" w:customStyle="1" w:styleId="1389">
    <w:name w:val="正文文本缩进 3 Char5"/>
    <w:uiPriority w:val="0"/>
    <w:rPr>
      <w:rFonts w:ascii="Times New Roman" w:hAnsi="Times New Roman" w:eastAsia="宋体" w:cs="Times New Roman"/>
      <w:kern w:val="2"/>
      <w:sz w:val="16"/>
      <w:szCs w:val="16"/>
      <w:lang w:val="en-US" w:eastAsia="zh-CN"/>
    </w:rPr>
  </w:style>
  <w:style w:type="character" w:customStyle="1" w:styleId="1390">
    <w:name w:val="河石1 Char21"/>
    <w:uiPriority w:val="0"/>
    <w:rPr>
      <w:rFonts w:ascii="黑体" w:hAnsi="宋体" w:eastAsia="黑体" w:cs="Times New Roman"/>
      <w:bCs/>
      <w:kern w:val="44"/>
      <w:sz w:val="32"/>
      <w:szCs w:val="32"/>
      <w:lang w:val="en-US" w:eastAsia="zh-CN"/>
    </w:rPr>
  </w:style>
  <w:style w:type="character" w:customStyle="1" w:styleId="1391">
    <w:name w:val="表题1 Char621"/>
    <w:uiPriority w:val="0"/>
    <w:rPr>
      <w:rFonts w:ascii="黑体" w:hAnsi="Arial" w:eastAsia="黑体" w:cs="Arial"/>
      <w:b/>
      <w:kern w:val="2"/>
      <w:sz w:val="24"/>
      <w:szCs w:val="24"/>
      <w:lang w:val="en-US" w:eastAsia="zh-CN"/>
    </w:rPr>
  </w:style>
  <w:style w:type="character" w:customStyle="1" w:styleId="1392">
    <w:name w:val="燕山正文 Char15"/>
    <w:uiPriority w:val="0"/>
    <w:rPr>
      <w:rFonts w:ascii="宋体" w:eastAsia="宋体" w:cs="宋体"/>
      <w:kern w:val="2"/>
      <w:sz w:val="24"/>
      <w:szCs w:val="24"/>
      <w:lang w:val="en-US" w:eastAsia="zh-CN"/>
    </w:rPr>
  </w:style>
  <w:style w:type="character" w:customStyle="1" w:styleId="1393">
    <w:name w:val="页脚 Char4"/>
    <w:uiPriority w:val="0"/>
    <w:rPr>
      <w:rFonts w:ascii="Times New Roman" w:hAnsi="Times New Roman" w:eastAsia="宋体" w:cs="Times New Roman"/>
      <w:kern w:val="2"/>
      <w:sz w:val="18"/>
      <w:szCs w:val="18"/>
      <w:lang w:val="en-US" w:eastAsia="zh-CN"/>
    </w:rPr>
  </w:style>
  <w:style w:type="character" w:customStyle="1" w:styleId="1394">
    <w:name w:val="样式 表格内字体 + Char21"/>
    <w:uiPriority w:val="0"/>
    <w:rPr>
      <w:rFonts w:ascii="宋体" w:hAnsi="宋体"/>
      <w:kern w:val="2"/>
      <w:sz w:val="21"/>
      <w:szCs w:val="24"/>
    </w:rPr>
  </w:style>
  <w:style w:type="character" w:customStyle="1" w:styleId="1395">
    <w:name w:val="标题 4 Char21"/>
    <w:uiPriority w:val="0"/>
    <w:rPr>
      <w:rFonts w:ascii="黑体" w:hAnsi="Arial" w:eastAsia="黑体"/>
      <w:b/>
      <w:bCs/>
      <w:kern w:val="2"/>
      <w:sz w:val="24"/>
      <w:szCs w:val="24"/>
      <w:lang w:val="en-US" w:eastAsia="zh-CN"/>
    </w:rPr>
  </w:style>
  <w:style w:type="character" w:customStyle="1" w:styleId="1396">
    <w:name w:val="style81"/>
    <w:uiPriority w:val="0"/>
    <w:rPr>
      <w:rFonts w:ascii="宋体" w:hAnsi="宋体" w:eastAsia="黑体" w:cs="宋体"/>
      <w:kern w:val="2"/>
      <w:sz w:val="24"/>
      <w:szCs w:val="24"/>
      <w:lang w:val="en-US" w:eastAsia="zh-CN"/>
    </w:rPr>
  </w:style>
  <w:style w:type="character" w:customStyle="1" w:styleId="1397">
    <w:name w:val="表题1 Char62"/>
    <w:uiPriority w:val="0"/>
    <w:rPr>
      <w:rFonts w:ascii="黑体" w:hAnsi="Arial" w:eastAsia="黑体" w:cs="Arial"/>
      <w:b/>
      <w:kern w:val="2"/>
      <w:sz w:val="24"/>
      <w:szCs w:val="24"/>
      <w:lang w:val="en-US" w:eastAsia="zh-CN"/>
    </w:rPr>
  </w:style>
  <w:style w:type="character" w:customStyle="1" w:styleId="1398">
    <w:name w:val="Char Char613"/>
    <w:qFormat/>
    <w:uiPriority w:val="0"/>
    <w:rPr>
      <w:rFonts w:ascii="黑体" w:eastAsia="黑体"/>
      <w:b/>
      <w:bCs/>
      <w:kern w:val="2"/>
      <w:sz w:val="28"/>
      <w:szCs w:val="28"/>
      <w:lang w:val="en-US" w:eastAsia="zh-CN"/>
    </w:rPr>
  </w:style>
  <w:style w:type="character" w:customStyle="1" w:styleId="1399">
    <w:name w:val="contents"/>
    <w:qFormat/>
    <w:uiPriority w:val="0"/>
  </w:style>
  <w:style w:type="character" w:customStyle="1" w:styleId="1400">
    <w:name w:val="d1"/>
    <w:qFormat/>
    <w:uiPriority w:val="0"/>
    <w:rPr>
      <w:color w:val="333333"/>
      <w:spacing w:val="31680"/>
    </w:rPr>
  </w:style>
  <w:style w:type="character" w:customStyle="1" w:styleId="1401">
    <w:name w:val="Char Char625"/>
    <w:qFormat/>
    <w:uiPriority w:val="0"/>
    <w:rPr>
      <w:rFonts w:ascii="黑体" w:eastAsia="黑体"/>
      <w:b/>
      <w:bCs/>
      <w:kern w:val="2"/>
      <w:sz w:val="28"/>
      <w:szCs w:val="28"/>
      <w:lang w:val="en-US" w:eastAsia="zh-CN"/>
    </w:rPr>
  </w:style>
  <w:style w:type="character" w:customStyle="1" w:styleId="1402">
    <w:name w:val="正文文字 3 Char Char1"/>
    <w:qFormat/>
    <w:uiPriority w:val="0"/>
    <w:rPr>
      <w:rFonts w:eastAsia="仿宋_GB2312"/>
      <w:kern w:val="2"/>
      <w:sz w:val="28"/>
      <w:szCs w:val="24"/>
      <w:lang w:val="en-US" w:eastAsia="zh-CN"/>
    </w:rPr>
  </w:style>
  <w:style w:type="character" w:customStyle="1" w:styleId="1403">
    <w:name w:val="表中文字 Char1"/>
    <w:qFormat/>
    <w:uiPriority w:val="0"/>
    <w:rPr>
      <w:rFonts w:ascii="Arial" w:hAnsi="Arial" w:eastAsia="宋体"/>
      <w:kern w:val="2"/>
      <w:sz w:val="24"/>
      <w:szCs w:val="24"/>
      <w:lang w:val="en-US" w:eastAsia="zh-TW"/>
    </w:rPr>
  </w:style>
  <w:style w:type="character" w:customStyle="1" w:styleId="1404">
    <w:name w:val="正文修改 Char141"/>
    <w:qFormat/>
    <w:uiPriority w:val="0"/>
    <w:rPr>
      <w:rFonts w:ascii="宋体" w:cs="宋体"/>
      <w:kern w:val="2"/>
      <w:sz w:val="24"/>
      <w:szCs w:val="24"/>
    </w:rPr>
  </w:style>
  <w:style w:type="character" w:customStyle="1" w:styleId="1405">
    <w:name w:val="Char Char313"/>
    <w:qFormat/>
    <w:uiPriority w:val="0"/>
    <w:rPr>
      <w:rFonts w:ascii="黑体" w:hAnsi="宋体" w:eastAsia="黑体"/>
      <w:b/>
      <w:bCs/>
      <w:kern w:val="2"/>
      <w:sz w:val="28"/>
      <w:szCs w:val="28"/>
      <w:lang w:val="en-US" w:eastAsia="zh-CN"/>
    </w:rPr>
  </w:style>
  <w:style w:type="character" w:customStyle="1" w:styleId="1406">
    <w:name w:val="标题 7 表 Char1"/>
    <w:qFormat/>
    <w:uiPriority w:val="0"/>
    <w:rPr>
      <w:rFonts w:eastAsia="宋体"/>
      <w:b/>
      <w:bCs/>
      <w:kern w:val="2"/>
      <w:sz w:val="24"/>
      <w:szCs w:val="24"/>
      <w:lang w:val="en-US" w:eastAsia="zh-CN"/>
    </w:rPr>
  </w:style>
  <w:style w:type="character" w:customStyle="1" w:styleId="1407">
    <w:name w:val="正文首行缩进 Char1 Char Char4"/>
    <w:qFormat/>
    <w:uiPriority w:val="0"/>
    <w:rPr>
      <w:rFonts w:eastAsia="宋体"/>
      <w:kern w:val="2"/>
      <w:sz w:val="21"/>
      <w:szCs w:val="24"/>
      <w:lang w:val="en-US" w:eastAsia="zh-CN"/>
    </w:rPr>
  </w:style>
  <w:style w:type="character" w:customStyle="1" w:styleId="1408">
    <w:name w:val="文字缩进 Char1"/>
    <w:qFormat/>
    <w:uiPriority w:val="0"/>
    <w:rPr>
      <w:rFonts w:ascii="宋体" w:hAnsi="Courier New" w:eastAsia="宋体"/>
      <w:kern w:val="2"/>
      <w:sz w:val="21"/>
      <w:lang w:val="en-US" w:eastAsia="zh-CN"/>
    </w:rPr>
  </w:style>
  <w:style w:type="character" w:customStyle="1" w:styleId="1409">
    <w:name w:val="表格内字体 Char8"/>
    <w:qFormat/>
    <w:uiPriority w:val="0"/>
    <w:rPr>
      <w:rFonts w:ascii="宋体" w:hAnsi="宋体" w:eastAsia="宋体"/>
      <w:kern w:val="2"/>
      <w:sz w:val="21"/>
      <w:szCs w:val="24"/>
      <w:lang w:val="en-US" w:eastAsia="zh-CN"/>
    </w:rPr>
  </w:style>
  <w:style w:type="character" w:customStyle="1" w:styleId="1410">
    <w:name w:val="正文首行缩进 2 Char11"/>
    <w:qFormat/>
    <w:uiPriority w:val="0"/>
    <w:rPr>
      <w:rFonts w:ascii="仿宋_GB2312" w:eastAsia="仿宋_GB2312"/>
      <w:kern w:val="2"/>
      <w:sz w:val="21"/>
      <w:lang w:val="en-US" w:eastAsia="zh-CN"/>
    </w:rPr>
  </w:style>
  <w:style w:type="character" w:customStyle="1" w:styleId="1411">
    <w:name w:val="标题 1 Char3"/>
    <w:qFormat/>
    <w:uiPriority w:val="0"/>
    <w:rPr>
      <w:rFonts w:ascii="黑体" w:hAnsi="宋体" w:eastAsia="黑体" w:cs="Times New Roman"/>
      <w:bCs/>
      <w:kern w:val="44"/>
      <w:sz w:val="32"/>
      <w:szCs w:val="32"/>
      <w:lang w:val="en-US" w:eastAsia="zh-CN"/>
    </w:rPr>
  </w:style>
  <w:style w:type="character" w:customStyle="1" w:styleId="1412">
    <w:name w:val="标题 2 Char21"/>
    <w:qFormat/>
    <w:uiPriority w:val="0"/>
    <w:rPr>
      <w:rFonts w:ascii="黑体" w:hAnsi="Arial" w:eastAsia="黑体"/>
      <w:b/>
      <w:bCs/>
      <w:kern w:val="2"/>
      <w:sz w:val="30"/>
      <w:szCs w:val="30"/>
      <w:lang w:val="en-US" w:eastAsia="zh-CN"/>
    </w:rPr>
  </w:style>
  <w:style w:type="character" w:customStyle="1" w:styleId="1413">
    <w:name w:val="题注 Char511"/>
    <w:qFormat/>
    <w:uiPriority w:val="0"/>
    <w:rPr>
      <w:rFonts w:ascii="黑体" w:hAnsi="Arial" w:eastAsia="黑体" w:cs="Arial"/>
      <w:b/>
      <w:kern w:val="2"/>
      <w:sz w:val="24"/>
      <w:szCs w:val="24"/>
      <w:lang w:val="en-US" w:eastAsia="zh-CN"/>
    </w:rPr>
  </w:style>
  <w:style w:type="character" w:customStyle="1" w:styleId="1414">
    <w:name w:val="Char Char66"/>
    <w:qFormat/>
    <w:uiPriority w:val="0"/>
    <w:rPr>
      <w:rFonts w:ascii="黑体" w:eastAsia="黑体"/>
      <w:b/>
      <w:bCs/>
      <w:kern w:val="2"/>
      <w:sz w:val="28"/>
      <w:szCs w:val="28"/>
      <w:lang w:val="en-US" w:eastAsia="zh-CN"/>
    </w:rPr>
  </w:style>
  <w:style w:type="character" w:customStyle="1" w:styleId="1415">
    <w:name w:val="河石管道4 Char4"/>
    <w:qFormat/>
    <w:uiPriority w:val="0"/>
    <w:rPr>
      <w:rFonts w:ascii="黑体" w:hAnsi="Arial" w:eastAsia="黑体"/>
      <w:bCs/>
      <w:kern w:val="2"/>
      <w:sz w:val="24"/>
      <w:szCs w:val="24"/>
      <w:lang w:val="en-US" w:eastAsia="zh-CN"/>
    </w:rPr>
  </w:style>
  <w:style w:type="character" w:customStyle="1" w:styleId="1416">
    <w:name w:val="textindent"/>
    <w:qFormat/>
    <w:uiPriority w:val="0"/>
  </w:style>
  <w:style w:type="character" w:customStyle="1" w:styleId="1417">
    <w:name w:val="正文修改 Char13111"/>
    <w:qFormat/>
    <w:uiPriority w:val="0"/>
    <w:rPr>
      <w:rFonts w:ascii="宋体" w:hAnsi="宋体" w:eastAsia="宋体" w:cs="宋体"/>
      <w:color w:val="000000"/>
      <w:kern w:val="2"/>
      <w:sz w:val="24"/>
      <w:szCs w:val="24"/>
      <w:lang w:val="en-US" w:eastAsia="zh-CN"/>
    </w:rPr>
  </w:style>
  <w:style w:type="character" w:customStyle="1" w:styleId="1418">
    <w:name w:val="正文缩进 Char21"/>
    <w:qFormat/>
    <w:uiPriority w:val="0"/>
    <w:rPr>
      <w:rFonts w:ascii="宋体" w:hAnsi="宋体" w:eastAsia="宋体" w:cs="宋体"/>
      <w:color w:val="000000"/>
      <w:kern w:val="2"/>
      <w:sz w:val="24"/>
      <w:szCs w:val="24"/>
      <w:lang w:val="en-US" w:eastAsia="zh-CN"/>
    </w:rPr>
  </w:style>
  <w:style w:type="character" w:customStyle="1" w:styleId="1419">
    <w:name w:val="Char Char1132"/>
    <w:qFormat/>
    <w:uiPriority w:val="0"/>
    <w:rPr>
      <w:rFonts w:ascii="黑体" w:hAnsi="Arial" w:eastAsia="黑体"/>
      <w:bCs/>
      <w:kern w:val="2"/>
      <w:sz w:val="30"/>
      <w:szCs w:val="30"/>
      <w:lang w:val="en-US" w:eastAsia="zh-CN"/>
    </w:rPr>
  </w:style>
  <w:style w:type="character" w:customStyle="1" w:styleId="1420">
    <w:name w:val="表中文字 Char23"/>
    <w:qFormat/>
    <w:uiPriority w:val="0"/>
    <w:rPr>
      <w:rFonts w:ascii="宋体" w:eastAsia="宋体"/>
      <w:kern w:val="2"/>
      <w:sz w:val="21"/>
      <w:szCs w:val="21"/>
      <w:lang w:val="en-US" w:eastAsia="zh-CN"/>
    </w:rPr>
  </w:style>
  <w:style w:type="character" w:customStyle="1" w:styleId="1421">
    <w:name w:val="正文首行缩进 2 Char12"/>
    <w:qFormat/>
    <w:uiPriority w:val="0"/>
    <w:rPr>
      <w:rFonts w:ascii="仿宋_GB2312" w:eastAsia="仿宋_GB2312"/>
      <w:kern w:val="2"/>
      <w:sz w:val="21"/>
      <w:lang w:val="en-US" w:eastAsia="zh-CN"/>
    </w:rPr>
  </w:style>
  <w:style w:type="character" w:customStyle="1" w:styleId="1422">
    <w:name w:val="正文格式 Char9"/>
    <w:qFormat/>
    <w:uiPriority w:val="0"/>
    <w:rPr>
      <w:rFonts w:ascii="宋体" w:hAnsi="宋体" w:eastAsia="宋体"/>
      <w:kern w:val="2"/>
      <w:sz w:val="24"/>
      <w:szCs w:val="24"/>
      <w:lang w:val="en-US" w:eastAsia="zh-CN"/>
    </w:rPr>
  </w:style>
  <w:style w:type="character" w:customStyle="1" w:styleId="1423">
    <w:name w:val="Char Char311"/>
    <w:qFormat/>
    <w:uiPriority w:val="0"/>
    <w:rPr>
      <w:rFonts w:ascii="黑体" w:hAnsi="宋体" w:eastAsia="黑体"/>
      <w:b/>
      <w:bCs/>
      <w:kern w:val="2"/>
      <w:sz w:val="28"/>
      <w:szCs w:val="28"/>
      <w:lang w:val="en-US" w:eastAsia="zh-CN"/>
    </w:rPr>
  </w:style>
  <w:style w:type="character" w:customStyle="1" w:styleId="1424">
    <w:name w:val="正文(首行缩进) Char1"/>
    <w:qFormat/>
    <w:uiPriority w:val="0"/>
    <w:rPr>
      <w:rFonts w:eastAsia="宋体"/>
      <w:snapToGrid w:val="0"/>
      <w:color w:val="000000"/>
      <w:sz w:val="24"/>
      <w:szCs w:val="24"/>
      <w:lang w:val="en-US" w:eastAsia="zh-CN"/>
    </w:rPr>
  </w:style>
  <w:style w:type="character" w:customStyle="1" w:styleId="1425">
    <w:name w:val="Char Char2110"/>
    <w:qFormat/>
    <w:uiPriority w:val="0"/>
    <w:rPr>
      <w:rFonts w:ascii="黑体" w:eastAsia="宋体"/>
      <w:kern w:val="2"/>
      <w:sz w:val="16"/>
      <w:szCs w:val="16"/>
      <w:lang w:val="en-US" w:eastAsia="zh-CN"/>
    </w:rPr>
  </w:style>
  <w:style w:type="character" w:customStyle="1" w:styleId="1426">
    <w:name w:val="Char Char68"/>
    <w:qFormat/>
    <w:uiPriority w:val="0"/>
    <w:rPr>
      <w:rFonts w:ascii="黑体" w:eastAsia="黑体"/>
      <w:b/>
      <w:bCs/>
      <w:kern w:val="2"/>
      <w:sz w:val="28"/>
      <w:szCs w:val="28"/>
      <w:lang w:val="en-US" w:eastAsia="zh-CN"/>
    </w:rPr>
  </w:style>
  <w:style w:type="character" w:customStyle="1" w:styleId="1427">
    <w:name w:val="样式 表格内字体 + Char1"/>
    <w:qFormat/>
    <w:uiPriority w:val="0"/>
    <w:rPr>
      <w:rFonts w:ascii="宋体" w:hAnsi="宋体"/>
      <w:kern w:val="2"/>
      <w:sz w:val="21"/>
      <w:szCs w:val="24"/>
    </w:rPr>
  </w:style>
  <w:style w:type="character" w:customStyle="1" w:styleId="1428">
    <w:name w:val="题注 Char24"/>
    <w:qFormat/>
    <w:uiPriority w:val="0"/>
    <w:rPr>
      <w:rFonts w:ascii="黑体" w:hAnsi="Arial" w:eastAsia="黑体" w:cs="Arial"/>
      <w:b/>
      <w:kern w:val="2"/>
      <w:sz w:val="24"/>
      <w:szCs w:val="24"/>
      <w:lang w:val="en-US" w:eastAsia="zh-CN"/>
    </w:rPr>
  </w:style>
  <w:style w:type="character" w:customStyle="1" w:styleId="1429">
    <w:name w:val="题注 Char53"/>
    <w:qFormat/>
    <w:uiPriority w:val="0"/>
    <w:rPr>
      <w:rFonts w:ascii="黑体" w:hAnsi="Arial" w:eastAsia="黑体" w:cs="Arial"/>
      <w:b/>
      <w:kern w:val="2"/>
      <w:sz w:val="24"/>
      <w:szCs w:val="24"/>
      <w:lang w:val="en-US" w:eastAsia="zh-CN"/>
    </w:rPr>
  </w:style>
  <w:style w:type="character" w:customStyle="1" w:styleId="1430">
    <w:name w:val="Char Char413"/>
    <w:qFormat/>
    <w:uiPriority w:val="0"/>
    <w:rPr>
      <w:rFonts w:ascii="黑体" w:hAnsi="Arial" w:eastAsia="黑体"/>
      <w:b/>
      <w:bCs/>
      <w:kern w:val="2"/>
      <w:sz w:val="30"/>
      <w:szCs w:val="30"/>
      <w:lang w:val="en-US" w:eastAsia="zh-CN"/>
    </w:rPr>
  </w:style>
  <w:style w:type="character" w:customStyle="1" w:styleId="1431">
    <w:name w:val="题注 Char34"/>
    <w:qFormat/>
    <w:uiPriority w:val="0"/>
    <w:rPr>
      <w:rFonts w:ascii="黑体" w:hAnsi="Arial" w:eastAsia="黑体" w:cs="Arial"/>
      <w:b/>
      <w:kern w:val="2"/>
      <w:sz w:val="24"/>
      <w:szCs w:val="24"/>
      <w:lang w:val="en-US" w:eastAsia="zh-CN"/>
    </w:rPr>
  </w:style>
  <w:style w:type="character" w:customStyle="1" w:styleId="1432">
    <w:name w:val="题注 Char5111"/>
    <w:qFormat/>
    <w:uiPriority w:val="0"/>
    <w:rPr>
      <w:rFonts w:ascii="黑体" w:hAnsi="Arial" w:eastAsia="黑体" w:cs="Arial"/>
      <w:b/>
      <w:kern w:val="2"/>
      <w:sz w:val="24"/>
      <w:szCs w:val="24"/>
      <w:lang w:val="en-US" w:eastAsia="zh-CN"/>
    </w:rPr>
  </w:style>
  <w:style w:type="character" w:customStyle="1" w:styleId="1433">
    <w:name w:val="表题1 Char9"/>
    <w:qFormat/>
    <w:uiPriority w:val="0"/>
    <w:rPr>
      <w:rFonts w:ascii="黑体" w:hAnsi="Arial" w:eastAsia="黑体" w:cs="Arial"/>
      <w:b/>
      <w:kern w:val="2"/>
      <w:sz w:val="24"/>
      <w:szCs w:val="24"/>
      <w:lang w:val="en-US" w:eastAsia="zh-CN"/>
    </w:rPr>
  </w:style>
  <w:style w:type="character" w:customStyle="1" w:styleId="1434">
    <w:name w:val="Char Char1215"/>
    <w:qFormat/>
    <w:uiPriority w:val="0"/>
    <w:rPr>
      <w:rFonts w:ascii="黑体" w:hAnsi="Arial" w:eastAsia="黑体"/>
      <w:b/>
      <w:bCs/>
      <w:kern w:val="2"/>
      <w:sz w:val="30"/>
      <w:szCs w:val="30"/>
      <w:lang w:val="en-US" w:eastAsia="zh-CN"/>
    </w:rPr>
  </w:style>
  <w:style w:type="character" w:customStyle="1" w:styleId="1435">
    <w:name w:val="正文修改 Char113"/>
    <w:qFormat/>
    <w:uiPriority w:val="0"/>
    <w:rPr>
      <w:rFonts w:ascii="宋体" w:hAnsi="宋体" w:eastAsia="宋体" w:cs="宋体"/>
      <w:color w:val="000000"/>
      <w:kern w:val="2"/>
      <w:sz w:val="24"/>
      <w:szCs w:val="24"/>
      <w:lang w:val="en-US" w:eastAsia="zh-CN"/>
    </w:rPr>
  </w:style>
  <w:style w:type="character" w:customStyle="1" w:styleId="1436">
    <w:name w:val="标题4 Char11"/>
    <w:qFormat/>
    <w:uiPriority w:val="0"/>
    <w:rPr>
      <w:rFonts w:ascii="黑体" w:hAnsi="Arial" w:eastAsia="黑体" w:cs="Times New Roman"/>
      <w:b/>
      <w:bCs/>
      <w:kern w:val="2"/>
      <w:sz w:val="24"/>
      <w:szCs w:val="28"/>
      <w:lang w:val="en-US" w:eastAsia="zh-CN"/>
    </w:rPr>
  </w:style>
  <w:style w:type="character" w:customStyle="1" w:styleId="1437">
    <w:name w:val="燕山正文 Char14"/>
    <w:qFormat/>
    <w:uiPriority w:val="0"/>
    <w:rPr>
      <w:rFonts w:ascii="宋体" w:eastAsia="宋体" w:cs="宋体"/>
      <w:kern w:val="2"/>
      <w:sz w:val="24"/>
      <w:szCs w:val="24"/>
      <w:lang w:val="en-US" w:eastAsia="zh-CN"/>
    </w:rPr>
  </w:style>
  <w:style w:type="character" w:customStyle="1" w:styleId="1438">
    <w:name w:val="图题注 Char1"/>
    <w:qFormat/>
    <w:uiPriority w:val="0"/>
    <w:rPr>
      <w:rFonts w:ascii="黑体" w:hAnsi="Arial" w:eastAsia="黑体" w:cs="宋体"/>
      <w:b/>
      <w:bCs/>
      <w:kern w:val="2"/>
      <w:sz w:val="24"/>
      <w:szCs w:val="24"/>
      <w:lang w:val="en-US" w:eastAsia="zh-CN"/>
    </w:rPr>
  </w:style>
  <w:style w:type="character" w:customStyle="1" w:styleId="1439">
    <w:name w:val="表格内字体 Char51"/>
    <w:qFormat/>
    <w:uiPriority w:val="0"/>
    <w:rPr>
      <w:rFonts w:ascii="宋体" w:hAnsi="宋体" w:eastAsia="宋体"/>
      <w:kern w:val="2"/>
      <w:sz w:val="21"/>
      <w:szCs w:val="24"/>
      <w:lang w:val="en-US" w:eastAsia="zh-CN"/>
    </w:rPr>
  </w:style>
  <w:style w:type="character" w:customStyle="1" w:styleId="1440">
    <w:name w:val="Char Char1120"/>
    <w:qFormat/>
    <w:uiPriority w:val="0"/>
    <w:rPr>
      <w:rFonts w:ascii="黑体" w:hAnsi="Arial" w:eastAsia="黑体"/>
      <w:bCs/>
      <w:kern w:val="2"/>
      <w:sz w:val="30"/>
      <w:szCs w:val="30"/>
      <w:lang w:val="en-US" w:eastAsia="zh-CN"/>
    </w:rPr>
  </w:style>
  <w:style w:type="character" w:customStyle="1" w:styleId="1441">
    <w:name w:val="标题2 Char9"/>
    <w:qFormat/>
    <w:uiPriority w:val="0"/>
    <w:rPr>
      <w:rFonts w:ascii="宋体" w:hAnsi="宋体" w:eastAsia="宋体" w:cs="宋体"/>
      <w:color w:val="000000"/>
      <w:kern w:val="2"/>
      <w:sz w:val="24"/>
      <w:szCs w:val="24"/>
      <w:lang w:val="en-US" w:eastAsia="zh-CN"/>
    </w:rPr>
  </w:style>
  <w:style w:type="character" w:customStyle="1" w:styleId="1442">
    <w:name w:val="正文首行缩进 Char1 Char Char"/>
    <w:qFormat/>
    <w:uiPriority w:val="0"/>
    <w:rPr>
      <w:rFonts w:eastAsia="宋体"/>
      <w:kern w:val="2"/>
      <w:sz w:val="21"/>
      <w:szCs w:val="24"/>
      <w:lang w:val="en-US" w:eastAsia="zh-CN"/>
    </w:rPr>
  </w:style>
  <w:style w:type="character" w:customStyle="1" w:styleId="1443">
    <w:name w:val="题注 Char1111"/>
    <w:qFormat/>
    <w:uiPriority w:val="0"/>
    <w:rPr>
      <w:rFonts w:ascii="黑体" w:hAnsi="Arial" w:eastAsia="黑体" w:cs="Arial"/>
      <w:b/>
      <w:kern w:val="2"/>
      <w:sz w:val="24"/>
      <w:szCs w:val="24"/>
      <w:lang w:val="en-US" w:eastAsia="zh-CN"/>
    </w:rPr>
  </w:style>
  <w:style w:type="character" w:customStyle="1" w:styleId="1444">
    <w:name w:val="Char Char614"/>
    <w:qFormat/>
    <w:uiPriority w:val="0"/>
    <w:rPr>
      <w:rFonts w:ascii="黑体" w:eastAsia="黑体"/>
      <w:b/>
      <w:bCs/>
      <w:kern w:val="2"/>
      <w:sz w:val="28"/>
      <w:szCs w:val="28"/>
      <w:lang w:val="en-US" w:eastAsia="zh-CN"/>
    </w:rPr>
  </w:style>
  <w:style w:type="character" w:customStyle="1" w:styleId="1445">
    <w:name w:val="正文文本缩进 Char31"/>
    <w:qFormat/>
    <w:uiPriority w:val="0"/>
    <w:rPr>
      <w:rFonts w:ascii="宋体" w:hAnsi="宋体" w:eastAsia="宋体" w:cs="宋体"/>
      <w:color w:val="000000"/>
      <w:kern w:val="2"/>
      <w:sz w:val="24"/>
      <w:szCs w:val="24"/>
      <w:lang w:val="en-US" w:eastAsia="zh-CN"/>
    </w:rPr>
  </w:style>
  <w:style w:type="character" w:customStyle="1" w:styleId="1446">
    <w:name w:val="表题1 Char7"/>
    <w:qFormat/>
    <w:uiPriority w:val="0"/>
    <w:rPr>
      <w:rFonts w:ascii="黑体" w:hAnsi="Arial" w:eastAsia="黑体" w:cs="Arial"/>
      <w:b/>
      <w:kern w:val="2"/>
      <w:sz w:val="24"/>
      <w:szCs w:val="24"/>
      <w:lang w:val="en-US" w:eastAsia="zh-CN"/>
    </w:rPr>
  </w:style>
  <w:style w:type="character" w:customStyle="1" w:styleId="1447">
    <w:name w:val="Char Char316"/>
    <w:qFormat/>
    <w:uiPriority w:val="0"/>
    <w:rPr>
      <w:rFonts w:ascii="黑体" w:hAnsi="宋体" w:eastAsia="黑体"/>
      <w:b/>
      <w:bCs/>
      <w:kern w:val="2"/>
      <w:sz w:val="28"/>
      <w:szCs w:val="28"/>
      <w:lang w:val="en-US" w:eastAsia="zh-CN"/>
    </w:rPr>
  </w:style>
  <w:style w:type="character" w:customStyle="1" w:styleId="1448">
    <w:name w:val="标题 3 Char10"/>
    <w:qFormat/>
    <w:uiPriority w:val="0"/>
    <w:rPr>
      <w:rFonts w:ascii="黑体" w:hAnsi="宋体" w:eastAsia="黑体"/>
      <w:b/>
      <w:bCs/>
      <w:kern w:val="2"/>
      <w:sz w:val="28"/>
      <w:szCs w:val="28"/>
      <w:lang w:val="en-US" w:eastAsia="zh-CN"/>
    </w:rPr>
  </w:style>
  <w:style w:type="character" w:customStyle="1" w:styleId="1449">
    <w:name w:val="ourfont3"/>
    <w:qFormat/>
    <w:uiPriority w:val="0"/>
  </w:style>
  <w:style w:type="character" w:customStyle="1" w:styleId="1450">
    <w:name w:val="标题 2 Char31"/>
    <w:qFormat/>
    <w:uiPriority w:val="0"/>
    <w:rPr>
      <w:rFonts w:ascii="黑体" w:hAnsi="Arial" w:eastAsia="黑体"/>
      <w:bCs/>
      <w:kern w:val="2"/>
      <w:sz w:val="30"/>
      <w:szCs w:val="30"/>
      <w:lang w:val="en-US" w:eastAsia="zh-CN"/>
    </w:rPr>
  </w:style>
  <w:style w:type="character" w:customStyle="1" w:styleId="1451">
    <w:name w:val="样式 正文 + 首行缩进:  2 字符 Char Char"/>
    <w:qFormat/>
    <w:uiPriority w:val="0"/>
    <w:rPr>
      <w:rFonts w:eastAsia="华文宋体"/>
      <w:snapToGrid/>
      <w:sz w:val="28"/>
      <w:szCs w:val="28"/>
      <w:lang w:val="en-US" w:eastAsia="zh-CN"/>
    </w:rPr>
  </w:style>
  <w:style w:type="character" w:customStyle="1" w:styleId="1452">
    <w:name w:val="Char Char71"/>
    <w:qFormat/>
    <w:uiPriority w:val="0"/>
    <w:rPr>
      <w:rFonts w:eastAsia="宋体"/>
      <w:kern w:val="2"/>
      <w:sz w:val="21"/>
      <w:szCs w:val="24"/>
      <w:lang w:val="en-US" w:eastAsia="zh-CN"/>
    </w:rPr>
  </w:style>
  <w:style w:type="character" w:customStyle="1" w:styleId="1453">
    <w:name w:val="Char Char411"/>
    <w:qFormat/>
    <w:uiPriority w:val="0"/>
    <w:rPr>
      <w:rFonts w:ascii="黑体" w:hAnsi="Arial" w:eastAsia="黑体"/>
      <w:b/>
      <w:bCs/>
      <w:kern w:val="2"/>
      <w:sz w:val="30"/>
      <w:szCs w:val="30"/>
      <w:lang w:val="en-US" w:eastAsia="zh-CN"/>
    </w:rPr>
  </w:style>
  <w:style w:type="character" w:customStyle="1" w:styleId="1454">
    <w:name w:val="表题1 Char611"/>
    <w:qFormat/>
    <w:uiPriority w:val="0"/>
    <w:rPr>
      <w:rFonts w:ascii="黑体" w:hAnsi="Arial" w:eastAsia="黑体" w:cs="Arial"/>
      <w:b/>
      <w:kern w:val="2"/>
      <w:sz w:val="24"/>
      <w:szCs w:val="24"/>
      <w:lang w:val="en-US" w:eastAsia="zh-CN"/>
    </w:rPr>
  </w:style>
  <w:style w:type="character" w:customStyle="1" w:styleId="1455">
    <w:name w:val="正文缩进 Char11"/>
    <w:qFormat/>
    <w:uiPriority w:val="0"/>
    <w:rPr>
      <w:rFonts w:ascii="宋体" w:hAnsi="宋体" w:eastAsia="宋体" w:cs="宋体"/>
      <w:color w:val="000000"/>
      <w:kern w:val="2"/>
      <w:sz w:val="24"/>
      <w:szCs w:val="24"/>
      <w:lang w:val="en-US" w:eastAsia="zh-CN"/>
    </w:rPr>
  </w:style>
  <w:style w:type="character" w:customStyle="1" w:styleId="1456">
    <w:name w:val="HTML 引文1"/>
    <w:qFormat/>
    <w:uiPriority w:val="0"/>
    <w:rPr>
      <w:rFonts w:ascii="宋体" w:hAnsi="宋体" w:eastAsia="宋体" w:cs="Courier New"/>
      <w:i/>
      <w:iCs/>
      <w:kern w:val="2"/>
      <w:sz w:val="32"/>
      <w:szCs w:val="32"/>
      <w:lang w:val="en-US" w:eastAsia="zh-CN"/>
    </w:rPr>
  </w:style>
  <w:style w:type="character" w:customStyle="1" w:styleId="1457">
    <w:name w:val="批注框文本 Char5"/>
    <w:qFormat/>
    <w:uiPriority w:val="0"/>
    <w:rPr>
      <w:rFonts w:eastAsia="宋体"/>
      <w:kern w:val="2"/>
      <w:sz w:val="18"/>
      <w:szCs w:val="18"/>
      <w:lang w:val="en-US" w:eastAsia="zh-CN"/>
    </w:rPr>
  </w:style>
  <w:style w:type="character" w:customStyle="1" w:styleId="1458">
    <w:name w:val="正文修改 Char1121"/>
    <w:qFormat/>
    <w:uiPriority w:val="0"/>
    <w:rPr>
      <w:rFonts w:ascii="宋体" w:hAnsi="宋体" w:eastAsia="宋体" w:cs="宋体"/>
      <w:color w:val="000000"/>
      <w:kern w:val="2"/>
      <w:sz w:val="24"/>
      <w:szCs w:val="24"/>
      <w:lang w:val="en-US" w:eastAsia="zh-CN"/>
    </w:rPr>
  </w:style>
  <w:style w:type="character" w:customStyle="1" w:styleId="1459">
    <w:name w:val="Char Char32"/>
    <w:qFormat/>
    <w:uiPriority w:val="0"/>
    <w:rPr>
      <w:rFonts w:ascii="黑体" w:hAnsi="宋体" w:eastAsia="黑体"/>
      <w:b/>
      <w:bCs/>
      <w:kern w:val="2"/>
      <w:sz w:val="28"/>
      <w:szCs w:val="28"/>
      <w:lang w:val="en-US" w:eastAsia="zh-CN"/>
    </w:rPr>
  </w:style>
  <w:style w:type="character" w:customStyle="1" w:styleId="1460">
    <w:name w:val="正文斜体 Char1"/>
    <w:qFormat/>
    <w:uiPriority w:val="0"/>
    <w:rPr>
      <w:rFonts w:ascii="宋体" w:hAnsi="宋体" w:eastAsia="宋体"/>
      <w:i/>
      <w:iCs/>
      <w:kern w:val="2"/>
      <w:sz w:val="24"/>
      <w:szCs w:val="24"/>
      <w:lang w:val="en-US" w:eastAsia="zh-CN"/>
    </w:rPr>
  </w:style>
  <w:style w:type="character" w:customStyle="1" w:styleId="1461">
    <w:name w:val="Char Char1126"/>
    <w:qFormat/>
    <w:uiPriority w:val="0"/>
    <w:rPr>
      <w:rFonts w:ascii="黑体" w:hAnsi="Arial" w:eastAsia="黑体"/>
      <w:bCs/>
      <w:kern w:val="2"/>
      <w:sz w:val="30"/>
      <w:szCs w:val="30"/>
      <w:lang w:val="en-US" w:eastAsia="zh-CN"/>
    </w:rPr>
  </w:style>
  <w:style w:type="character" w:customStyle="1" w:styleId="1462">
    <w:name w:val="批注框文本 Char71"/>
    <w:uiPriority w:val="0"/>
    <w:rPr>
      <w:rFonts w:ascii="Times New Roman" w:hAnsi="Times New Roman" w:eastAsia="宋体" w:cs="Times New Roman"/>
      <w:kern w:val="2"/>
      <w:sz w:val="18"/>
      <w:szCs w:val="18"/>
      <w:lang w:val="en-US" w:eastAsia="zh-CN"/>
    </w:rPr>
  </w:style>
  <w:style w:type="character" w:customStyle="1" w:styleId="1463">
    <w:name w:val="题注 Char7"/>
    <w:uiPriority w:val="0"/>
    <w:rPr>
      <w:rFonts w:ascii="黑体" w:hAnsi="Arial" w:eastAsia="黑体" w:cs="Arial"/>
      <w:b/>
      <w:kern w:val="2"/>
      <w:sz w:val="24"/>
      <w:szCs w:val="24"/>
      <w:lang w:val="en-US" w:eastAsia="zh-CN"/>
    </w:rPr>
  </w:style>
  <w:style w:type="character" w:customStyle="1" w:styleId="1464">
    <w:name w:val="样式 表格内字体 + Char13"/>
    <w:uiPriority w:val="0"/>
    <w:rPr>
      <w:rFonts w:ascii="宋体" w:hAnsi="宋体"/>
      <w:kern w:val="2"/>
      <w:sz w:val="21"/>
      <w:szCs w:val="24"/>
    </w:rPr>
  </w:style>
  <w:style w:type="character" w:customStyle="1" w:styleId="1465">
    <w:name w:val="标题 3 Char Char111"/>
    <w:qFormat/>
    <w:uiPriority w:val="0"/>
    <w:rPr>
      <w:rFonts w:ascii="黑体" w:hAnsi="宋体" w:eastAsia="黑体"/>
      <w:bCs/>
      <w:kern w:val="2"/>
      <w:sz w:val="28"/>
      <w:szCs w:val="28"/>
      <w:lang w:val="en-US" w:eastAsia="zh-CN"/>
    </w:rPr>
  </w:style>
  <w:style w:type="character" w:customStyle="1" w:styleId="1466">
    <w:name w:val="题注 Char312"/>
    <w:uiPriority w:val="0"/>
    <w:rPr>
      <w:rFonts w:ascii="黑体" w:hAnsi="Arial" w:eastAsia="黑体" w:cs="Arial"/>
      <w:b/>
      <w:kern w:val="2"/>
      <w:sz w:val="24"/>
      <w:szCs w:val="24"/>
      <w:lang w:val="en-US" w:eastAsia="zh-CN"/>
    </w:rPr>
  </w:style>
  <w:style w:type="character" w:customStyle="1" w:styleId="1467">
    <w:name w:val="文字缩进 Char4"/>
    <w:uiPriority w:val="0"/>
    <w:rPr>
      <w:rFonts w:ascii="宋体" w:hAnsi="Courier New" w:eastAsia="宋体"/>
      <w:kern w:val="2"/>
      <w:sz w:val="21"/>
      <w:lang w:val="en-US" w:eastAsia="zh-CN"/>
    </w:rPr>
  </w:style>
  <w:style w:type="character" w:customStyle="1" w:styleId="1468">
    <w:name w:val="正文格式 Char5"/>
    <w:uiPriority w:val="0"/>
    <w:rPr>
      <w:rFonts w:ascii="宋体" w:hAnsi="宋体" w:eastAsia="宋体"/>
      <w:kern w:val="2"/>
      <w:sz w:val="24"/>
      <w:szCs w:val="24"/>
      <w:lang w:val="en-US" w:eastAsia="zh-CN"/>
    </w:rPr>
  </w:style>
  <w:style w:type="character" w:customStyle="1" w:styleId="1469">
    <w:name w:val="正文修改 Char1311"/>
    <w:uiPriority w:val="0"/>
    <w:rPr>
      <w:rFonts w:ascii="宋体" w:hAnsi="宋体" w:eastAsia="宋体" w:cs="宋体"/>
      <w:color w:val="000000"/>
      <w:kern w:val="2"/>
      <w:sz w:val="24"/>
      <w:szCs w:val="24"/>
      <w:lang w:val="en-US" w:eastAsia="zh-CN"/>
    </w:rPr>
  </w:style>
  <w:style w:type="character" w:customStyle="1" w:styleId="1470">
    <w:name w:val="Char Char61"/>
    <w:uiPriority w:val="0"/>
    <w:rPr>
      <w:rFonts w:eastAsia="宋体"/>
      <w:b/>
      <w:bCs/>
      <w:kern w:val="2"/>
      <w:sz w:val="28"/>
      <w:szCs w:val="28"/>
      <w:lang w:val="en-US" w:eastAsia="zh-CN"/>
    </w:rPr>
  </w:style>
  <w:style w:type="character" w:customStyle="1" w:styleId="1471">
    <w:name w:val="Char Char216"/>
    <w:uiPriority w:val="0"/>
    <w:rPr>
      <w:rFonts w:ascii="黑体" w:eastAsia="宋体"/>
      <w:kern w:val="2"/>
      <w:sz w:val="16"/>
      <w:szCs w:val="16"/>
      <w:lang w:val="en-US" w:eastAsia="zh-CN"/>
    </w:rPr>
  </w:style>
  <w:style w:type="character" w:customStyle="1" w:styleId="1472">
    <w:name w:val="表格内字体 Char12"/>
    <w:uiPriority w:val="0"/>
    <w:rPr>
      <w:rFonts w:ascii="宋体" w:hAnsi="宋体" w:eastAsia="宋体"/>
      <w:kern w:val="2"/>
      <w:sz w:val="21"/>
      <w:szCs w:val="24"/>
      <w:lang w:val="en-US" w:eastAsia="zh-CN"/>
    </w:rPr>
  </w:style>
  <w:style w:type="character" w:customStyle="1" w:styleId="1473">
    <w:name w:val="正文缩进 Char6"/>
    <w:uiPriority w:val="0"/>
    <w:rPr>
      <w:rFonts w:ascii="宋体" w:hAnsi="宋体" w:eastAsia="宋体"/>
      <w:kern w:val="2"/>
      <w:sz w:val="24"/>
      <w:szCs w:val="24"/>
      <w:lang w:val="en-US" w:eastAsia="zh-CN"/>
    </w:rPr>
  </w:style>
  <w:style w:type="character" w:customStyle="1" w:styleId="1474">
    <w:name w:val="题注 Char111"/>
    <w:uiPriority w:val="0"/>
    <w:rPr>
      <w:rFonts w:ascii="黑体" w:hAnsi="Arial" w:eastAsia="黑体" w:cs="Arial"/>
      <w:b/>
      <w:kern w:val="2"/>
      <w:sz w:val="24"/>
      <w:szCs w:val="24"/>
      <w:lang w:val="en-US" w:eastAsia="zh-CN"/>
    </w:rPr>
  </w:style>
  <w:style w:type="character" w:customStyle="1" w:styleId="1475">
    <w:name w:val="表题1 Char411"/>
    <w:uiPriority w:val="0"/>
    <w:rPr>
      <w:rFonts w:ascii="黑体" w:hAnsi="Arial" w:eastAsia="黑体" w:cs="Arial"/>
      <w:b/>
      <w:kern w:val="2"/>
      <w:sz w:val="24"/>
      <w:szCs w:val="24"/>
      <w:lang w:val="en-US" w:eastAsia="zh-CN"/>
    </w:rPr>
  </w:style>
  <w:style w:type="character" w:customStyle="1" w:styleId="1476">
    <w:name w:val="表中文字 Char26"/>
    <w:qFormat/>
    <w:uiPriority w:val="0"/>
    <w:rPr>
      <w:rFonts w:ascii="宋体" w:eastAsia="宋体"/>
      <w:kern w:val="2"/>
      <w:sz w:val="21"/>
      <w:szCs w:val="21"/>
      <w:lang w:val="en-US" w:eastAsia="zh-CN"/>
    </w:rPr>
  </w:style>
  <w:style w:type="character" w:customStyle="1" w:styleId="1477">
    <w:name w:val="题注 Char81"/>
    <w:qFormat/>
    <w:uiPriority w:val="0"/>
    <w:rPr>
      <w:rFonts w:ascii="黑体" w:hAnsi="Arial" w:eastAsia="黑体" w:cs="Arial"/>
      <w:b/>
      <w:kern w:val="2"/>
      <w:sz w:val="24"/>
      <w:szCs w:val="24"/>
      <w:lang w:val="en-US" w:eastAsia="zh-CN"/>
    </w:rPr>
  </w:style>
  <w:style w:type="character" w:customStyle="1" w:styleId="1478">
    <w:name w:val="标题 3 Char13"/>
    <w:uiPriority w:val="0"/>
    <w:rPr>
      <w:rFonts w:ascii="黑体" w:hAnsi="宋体" w:eastAsia="黑体"/>
      <w:b/>
      <w:bCs/>
      <w:kern w:val="2"/>
      <w:sz w:val="28"/>
      <w:szCs w:val="28"/>
      <w:lang w:val="en-US" w:eastAsia="zh-CN"/>
    </w:rPr>
  </w:style>
  <w:style w:type="character" w:customStyle="1" w:styleId="1479">
    <w:name w:val="表内5 Char3"/>
    <w:uiPriority w:val="0"/>
    <w:rPr>
      <w:rFonts w:ascii="宋体" w:hAnsi="宋体" w:eastAsia="宋体" w:cs="Times New Roman"/>
      <w:kern w:val="2"/>
      <w:sz w:val="24"/>
      <w:szCs w:val="24"/>
      <w:lang w:val="en-US" w:eastAsia="zh-CN"/>
    </w:rPr>
  </w:style>
  <w:style w:type="character" w:customStyle="1" w:styleId="1480">
    <w:name w:val="题注 Char52"/>
    <w:uiPriority w:val="0"/>
    <w:rPr>
      <w:rFonts w:ascii="黑体" w:hAnsi="Arial" w:eastAsia="黑体" w:cs="Arial"/>
      <w:b/>
      <w:kern w:val="2"/>
      <w:sz w:val="24"/>
      <w:szCs w:val="24"/>
      <w:lang w:val="en-US" w:eastAsia="zh-CN"/>
    </w:rPr>
  </w:style>
  <w:style w:type="character" w:customStyle="1" w:styleId="1481">
    <w:name w:val="Char Char22"/>
    <w:uiPriority w:val="0"/>
    <w:rPr>
      <w:rFonts w:ascii="黑体" w:eastAsia="黑体"/>
      <w:b/>
      <w:bCs/>
      <w:kern w:val="2"/>
      <w:sz w:val="28"/>
      <w:szCs w:val="28"/>
      <w:lang w:val="en-US" w:eastAsia="zh-CN"/>
    </w:rPr>
  </w:style>
  <w:style w:type="character" w:customStyle="1" w:styleId="1482">
    <w:name w:val="条标题1.1.1 Char5"/>
    <w:uiPriority w:val="0"/>
    <w:rPr>
      <w:rFonts w:eastAsia="仿宋_GB2312"/>
      <w:b/>
      <w:bCs/>
      <w:kern w:val="2"/>
      <w:sz w:val="28"/>
      <w:szCs w:val="32"/>
      <w:lang w:val="en-US" w:eastAsia="zh-CN"/>
    </w:rPr>
  </w:style>
  <w:style w:type="character" w:customStyle="1" w:styleId="1483">
    <w:name w:val="正文格式 Char13"/>
    <w:uiPriority w:val="0"/>
    <w:rPr>
      <w:rFonts w:ascii="宋体" w:hAnsi="宋体" w:eastAsia="宋体"/>
      <w:kern w:val="2"/>
      <w:sz w:val="24"/>
      <w:szCs w:val="24"/>
      <w:lang w:val="en-US" w:eastAsia="zh-CN"/>
    </w:rPr>
  </w:style>
  <w:style w:type="character" w:customStyle="1" w:styleId="1484">
    <w:name w:val="燕山正文 Char11"/>
    <w:qFormat/>
    <w:uiPriority w:val="0"/>
    <w:rPr>
      <w:rFonts w:ascii="宋体" w:eastAsia="宋体" w:cs="宋体"/>
      <w:kern w:val="2"/>
      <w:sz w:val="24"/>
      <w:szCs w:val="24"/>
      <w:lang w:val="en-US" w:eastAsia="zh-CN"/>
    </w:rPr>
  </w:style>
  <w:style w:type="character" w:customStyle="1" w:styleId="1485">
    <w:name w:val="表题1 Char413"/>
    <w:uiPriority w:val="0"/>
    <w:rPr>
      <w:rFonts w:ascii="黑体" w:hAnsi="Arial" w:eastAsia="黑体" w:cs="Arial"/>
      <w:b/>
      <w:kern w:val="2"/>
      <w:sz w:val="24"/>
      <w:szCs w:val="24"/>
      <w:lang w:val="en-US" w:eastAsia="zh-CN"/>
    </w:rPr>
  </w:style>
  <w:style w:type="character" w:customStyle="1" w:styleId="1486">
    <w:name w:val="Char Char619"/>
    <w:uiPriority w:val="0"/>
    <w:rPr>
      <w:rFonts w:ascii="黑体" w:eastAsia="黑体"/>
      <w:b/>
      <w:bCs/>
      <w:kern w:val="2"/>
      <w:sz w:val="28"/>
      <w:szCs w:val="28"/>
      <w:lang w:val="en-US" w:eastAsia="zh-CN"/>
    </w:rPr>
  </w:style>
  <w:style w:type="character" w:customStyle="1" w:styleId="1487">
    <w:name w:val="样式 正文缩进 + 宋体 黑色 Char3"/>
    <w:uiPriority w:val="0"/>
    <w:rPr>
      <w:rFonts w:ascii="宋体" w:hAnsi="宋体" w:eastAsia="宋体" w:cs="Times New Roman"/>
      <w:color w:val="000000"/>
      <w:kern w:val="2"/>
      <w:sz w:val="24"/>
      <w:szCs w:val="24"/>
      <w:lang w:val="en-US" w:eastAsia="zh-CN"/>
    </w:rPr>
  </w:style>
  <w:style w:type="character" w:customStyle="1" w:styleId="1488">
    <w:name w:val="标题2 Char12"/>
    <w:uiPriority w:val="0"/>
    <w:rPr>
      <w:rFonts w:ascii="宋体" w:hAnsi="宋体" w:eastAsia="宋体" w:cs="宋体"/>
      <w:color w:val="000000"/>
      <w:kern w:val="2"/>
      <w:sz w:val="24"/>
      <w:szCs w:val="24"/>
      <w:lang w:val="en-US" w:eastAsia="zh-CN"/>
    </w:rPr>
  </w:style>
  <w:style w:type="character" w:customStyle="1" w:styleId="1489">
    <w:name w:val="正文修改 Char1111"/>
    <w:uiPriority w:val="0"/>
    <w:rPr>
      <w:rFonts w:ascii="宋体" w:hAnsi="宋体" w:eastAsia="宋体" w:cs="宋体"/>
      <w:color w:val="000000"/>
      <w:kern w:val="2"/>
      <w:sz w:val="24"/>
      <w:szCs w:val="24"/>
      <w:lang w:val="en-US" w:eastAsia="zh-CN"/>
    </w:rPr>
  </w:style>
  <w:style w:type="character" w:customStyle="1" w:styleId="1490">
    <w:name w:val="批注框文本 Char4"/>
    <w:uiPriority w:val="0"/>
    <w:rPr>
      <w:rFonts w:eastAsia="宋体"/>
      <w:kern w:val="2"/>
      <w:sz w:val="18"/>
      <w:szCs w:val="18"/>
      <w:lang w:val="en-US" w:eastAsia="zh-CN"/>
    </w:rPr>
  </w:style>
  <w:style w:type="character" w:customStyle="1" w:styleId="1491">
    <w:name w:val="t_tag"/>
    <w:uiPriority w:val="0"/>
  </w:style>
  <w:style w:type="character" w:customStyle="1" w:styleId="1492">
    <w:name w:val="正文斜体 Char12"/>
    <w:uiPriority w:val="0"/>
    <w:rPr>
      <w:rFonts w:ascii="宋体" w:hAnsi="宋体" w:eastAsia="宋体" w:cs="Times New Roman"/>
      <w:i/>
      <w:iCs/>
      <w:kern w:val="2"/>
      <w:sz w:val="24"/>
      <w:szCs w:val="24"/>
      <w:lang w:val="en-US" w:eastAsia="zh-CN"/>
    </w:rPr>
  </w:style>
  <w:style w:type="character" w:customStyle="1" w:styleId="1493">
    <w:name w:val="正文修改 Char18"/>
    <w:uiPriority w:val="0"/>
    <w:rPr>
      <w:rFonts w:ascii="宋体" w:hAnsi="宋体" w:eastAsia="宋体" w:cs="宋体"/>
      <w:color w:val="000000"/>
      <w:kern w:val="2"/>
      <w:sz w:val="24"/>
      <w:szCs w:val="24"/>
      <w:lang w:val="en-US" w:eastAsia="zh-CN"/>
    </w:rPr>
  </w:style>
  <w:style w:type="character" w:customStyle="1" w:styleId="1494">
    <w:name w:val="正文文本缩进 2 Char11"/>
    <w:uiPriority w:val="0"/>
    <w:rPr>
      <w:rFonts w:eastAsia="宋体"/>
      <w:kern w:val="2"/>
      <w:sz w:val="24"/>
      <w:szCs w:val="24"/>
      <w:lang w:val="en-US" w:eastAsia="zh-CN"/>
    </w:rPr>
  </w:style>
  <w:style w:type="character" w:customStyle="1" w:styleId="1495">
    <w:name w:val="表内5 Char21"/>
    <w:uiPriority w:val="0"/>
    <w:rPr>
      <w:rFonts w:ascii="宋体" w:hAnsi="宋体" w:eastAsia="宋体" w:cs="宋体"/>
      <w:kern w:val="2"/>
      <w:sz w:val="21"/>
      <w:szCs w:val="24"/>
      <w:lang w:val="en-US" w:eastAsia="zh-CN"/>
    </w:rPr>
  </w:style>
  <w:style w:type="character" w:customStyle="1" w:styleId="1496">
    <w:name w:val="正文缩进 Char7"/>
    <w:uiPriority w:val="0"/>
    <w:rPr>
      <w:rFonts w:ascii="宋体" w:hAnsi="宋体" w:eastAsia="宋体"/>
      <w:kern w:val="2"/>
      <w:sz w:val="24"/>
      <w:szCs w:val="24"/>
      <w:lang w:val="en-US" w:eastAsia="zh-CN"/>
    </w:rPr>
  </w:style>
  <w:style w:type="character" w:customStyle="1" w:styleId="1497">
    <w:name w:val="Char Char510"/>
    <w:uiPriority w:val="0"/>
    <w:rPr>
      <w:rFonts w:ascii="黑体" w:hAnsi="宋体" w:eastAsia="黑体"/>
      <w:bCs/>
      <w:kern w:val="2"/>
      <w:sz w:val="28"/>
      <w:szCs w:val="28"/>
      <w:lang w:val="en-US" w:eastAsia="zh-CN"/>
    </w:rPr>
  </w:style>
  <w:style w:type="character" w:customStyle="1" w:styleId="1498">
    <w:name w:val="Char Char53"/>
    <w:uiPriority w:val="0"/>
    <w:rPr>
      <w:rFonts w:ascii="黑体" w:hAnsi="宋体" w:eastAsia="黑体"/>
      <w:bCs/>
      <w:kern w:val="2"/>
      <w:sz w:val="28"/>
      <w:szCs w:val="28"/>
      <w:lang w:val="en-US" w:eastAsia="zh-CN"/>
    </w:rPr>
  </w:style>
  <w:style w:type="character" w:customStyle="1" w:styleId="1499">
    <w:name w:val="样式 正文缩进 + 宋体 黑色 Char1"/>
    <w:uiPriority w:val="0"/>
    <w:rPr>
      <w:rFonts w:ascii="宋体" w:hAnsi="宋体" w:eastAsia="宋体"/>
      <w:color w:val="000000"/>
      <w:kern w:val="2"/>
      <w:sz w:val="24"/>
      <w:szCs w:val="24"/>
      <w:lang w:val="en-US" w:eastAsia="zh-CN"/>
    </w:rPr>
  </w:style>
  <w:style w:type="character" w:customStyle="1" w:styleId="1500">
    <w:name w:val="河石管道4 Char1"/>
    <w:uiPriority w:val="0"/>
    <w:rPr>
      <w:rFonts w:ascii="黑体" w:hAnsi="Arial" w:eastAsia="黑体"/>
      <w:b/>
      <w:bCs/>
      <w:kern w:val="2"/>
      <w:sz w:val="24"/>
      <w:szCs w:val="24"/>
      <w:lang w:val="en-US" w:eastAsia="zh-CN"/>
    </w:rPr>
  </w:style>
  <w:style w:type="character" w:customStyle="1" w:styleId="1501">
    <w:name w:val="正文格式 Char121"/>
    <w:uiPriority w:val="0"/>
    <w:rPr>
      <w:rFonts w:ascii="宋体" w:hAnsi="宋体" w:eastAsia="宋体" w:cs="Times New Roman"/>
      <w:kern w:val="2"/>
      <w:sz w:val="24"/>
      <w:szCs w:val="24"/>
      <w:lang w:val="en-US" w:eastAsia="zh-CN"/>
    </w:rPr>
  </w:style>
  <w:style w:type="character" w:customStyle="1" w:styleId="1502">
    <w:name w:val="样式 表格内字体 + Char31"/>
    <w:uiPriority w:val="0"/>
    <w:rPr>
      <w:rFonts w:ascii="宋体" w:hAnsi="宋体" w:eastAsia="宋体" w:cs="Times New Roman"/>
      <w:kern w:val="0"/>
      <w:sz w:val="21"/>
      <w:szCs w:val="24"/>
      <w:lang w:val="en-US" w:eastAsia="zh-CN"/>
    </w:rPr>
  </w:style>
  <w:style w:type="character" w:customStyle="1" w:styleId="1503">
    <w:name w:val="表中文字 Char4"/>
    <w:uiPriority w:val="0"/>
    <w:rPr>
      <w:rFonts w:ascii="Arial" w:hAnsi="Arial" w:eastAsia="宋体" w:cs="Times New Roman"/>
      <w:kern w:val="0"/>
      <w:sz w:val="20"/>
      <w:szCs w:val="24"/>
      <w:lang w:val="en-US" w:eastAsia="zh-TW"/>
    </w:rPr>
  </w:style>
  <w:style w:type="character" w:customStyle="1" w:styleId="1504">
    <w:name w:val="Char Char18"/>
    <w:uiPriority w:val="0"/>
    <w:rPr>
      <w:rFonts w:ascii="宋体" w:hAnsi="Times New Roman" w:eastAsia="宋体" w:cs="Times New Roman"/>
      <w:sz w:val="24"/>
      <w:szCs w:val="24"/>
    </w:rPr>
  </w:style>
  <w:style w:type="character" w:customStyle="1" w:styleId="1505">
    <w:name w:val="正文文字 Char Char Char Char Char3"/>
    <w:uiPriority w:val="0"/>
    <w:rPr>
      <w:rFonts w:eastAsia="宋体"/>
      <w:kern w:val="2"/>
      <w:sz w:val="21"/>
      <w:szCs w:val="24"/>
      <w:lang w:val="en-US" w:eastAsia="zh-CN"/>
    </w:rPr>
  </w:style>
  <w:style w:type="character" w:customStyle="1" w:styleId="1506">
    <w:name w:val="文本匡小五号 Char Char Char"/>
    <w:uiPriority w:val="0"/>
    <w:rPr>
      <w:rFonts w:ascii="宋体" w:hAnsi="宋体" w:eastAsia="仿宋_GB2312" w:cs="Courier New"/>
      <w:kern w:val="2"/>
      <w:sz w:val="18"/>
      <w:szCs w:val="24"/>
      <w:lang w:val="en-US" w:eastAsia="zh-CN"/>
    </w:rPr>
  </w:style>
  <w:style w:type="character" w:customStyle="1" w:styleId="1507">
    <w:name w:val="正文缩进 Char111"/>
    <w:uiPriority w:val="0"/>
    <w:rPr>
      <w:rFonts w:ascii="宋体" w:hAnsi="宋体" w:eastAsia="宋体" w:cs="宋体"/>
      <w:color w:val="000000"/>
      <w:kern w:val="2"/>
      <w:sz w:val="24"/>
      <w:szCs w:val="24"/>
      <w:lang w:val="en-US" w:eastAsia="zh-CN"/>
    </w:rPr>
  </w:style>
  <w:style w:type="character" w:customStyle="1" w:styleId="1508">
    <w:name w:val="正文修改 Char1213"/>
    <w:uiPriority w:val="0"/>
    <w:rPr>
      <w:rFonts w:ascii="宋体" w:hAnsi="宋体" w:eastAsia="宋体" w:cs="宋体"/>
      <w:color w:val="000000"/>
      <w:kern w:val="2"/>
      <w:sz w:val="24"/>
      <w:szCs w:val="24"/>
      <w:lang w:val="en-US" w:eastAsia="zh-CN"/>
    </w:rPr>
  </w:style>
  <w:style w:type="character" w:customStyle="1" w:styleId="1509">
    <w:name w:val="燕山正文 Char151"/>
    <w:uiPriority w:val="0"/>
    <w:rPr>
      <w:rFonts w:ascii="宋体" w:eastAsia="宋体" w:cs="宋体"/>
      <w:kern w:val="2"/>
      <w:sz w:val="24"/>
      <w:szCs w:val="24"/>
      <w:lang w:val="en-US" w:eastAsia="zh-CN"/>
    </w:rPr>
  </w:style>
  <w:style w:type="character" w:customStyle="1" w:styleId="1510">
    <w:name w:val="正文缩进 Char121"/>
    <w:uiPriority w:val="0"/>
    <w:rPr>
      <w:rFonts w:ascii="宋体" w:hAnsi="宋体" w:eastAsia="宋体" w:cs="宋体"/>
      <w:color w:val="000000"/>
      <w:kern w:val="2"/>
      <w:sz w:val="24"/>
      <w:szCs w:val="24"/>
      <w:lang w:val="en-US" w:eastAsia="zh-CN"/>
    </w:rPr>
  </w:style>
  <w:style w:type="character" w:customStyle="1" w:styleId="1511">
    <w:name w:val="标题 3 Char111"/>
    <w:uiPriority w:val="0"/>
    <w:rPr>
      <w:rFonts w:ascii="黑体" w:hAnsi="宋体" w:eastAsia="黑体"/>
      <w:b/>
      <w:bCs/>
      <w:kern w:val="2"/>
      <w:sz w:val="28"/>
      <w:szCs w:val="28"/>
      <w:lang w:val="en-US" w:eastAsia="zh-CN"/>
    </w:rPr>
  </w:style>
  <w:style w:type="character" w:customStyle="1" w:styleId="1512">
    <w:name w:val="A正文 Char31"/>
    <w:uiPriority w:val="0"/>
    <w:rPr>
      <w:rFonts w:ascii="Times New Roman" w:hAnsi="Times New Roman" w:eastAsia="仿宋_GB2312" w:cs="Times New Roman"/>
      <w:kern w:val="0"/>
      <w:sz w:val="24"/>
      <w:szCs w:val="24"/>
      <w:lang w:val="en-US" w:eastAsia="zh-CN"/>
    </w:rPr>
  </w:style>
  <w:style w:type="character" w:customStyle="1" w:styleId="1513">
    <w:name w:val="图题注 Char4"/>
    <w:uiPriority w:val="0"/>
    <w:rPr>
      <w:rFonts w:ascii="黑体" w:hAnsi="Arial" w:eastAsia="黑体" w:cs="宋体"/>
      <w:b/>
      <w:bCs/>
      <w:kern w:val="2"/>
      <w:sz w:val="24"/>
      <w:szCs w:val="24"/>
      <w:lang w:val="en-US" w:eastAsia="zh-CN"/>
    </w:rPr>
  </w:style>
  <w:style w:type="character" w:customStyle="1" w:styleId="1514">
    <w:name w:val="正文斜体 Char3"/>
    <w:uiPriority w:val="0"/>
    <w:rPr>
      <w:rFonts w:ascii="宋体" w:hAnsi="宋体" w:eastAsia="宋体" w:cs="Times New Roman"/>
      <w:i/>
      <w:iCs/>
      <w:kern w:val="2"/>
      <w:sz w:val="24"/>
      <w:szCs w:val="24"/>
      <w:lang w:val="en-US" w:eastAsia="zh-CN"/>
    </w:rPr>
  </w:style>
  <w:style w:type="character" w:customStyle="1" w:styleId="1515">
    <w:name w:val="Char Char651"/>
    <w:uiPriority w:val="0"/>
    <w:rPr>
      <w:rFonts w:ascii="黑体" w:eastAsia="黑体"/>
      <w:b/>
      <w:bCs/>
      <w:kern w:val="2"/>
      <w:sz w:val="28"/>
      <w:szCs w:val="28"/>
      <w:lang w:val="en-US" w:eastAsia="zh-CN"/>
    </w:rPr>
  </w:style>
  <w:style w:type="character" w:customStyle="1" w:styleId="1516">
    <w:name w:val="题注 Char5"/>
    <w:uiPriority w:val="0"/>
    <w:rPr>
      <w:rFonts w:ascii="黑体" w:hAnsi="Arial" w:eastAsia="黑体" w:cs="Arial"/>
      <w:b/>
      <w:kern w:val="2"/>
      <w:sz w:val="24"/>
      <w:szCs w:val="24"/>
      <w:lang w:val="en-US" w:eastAsia="zh-CN"/>
    </w:rPr>
  </w:style>
  <w:style w:type="character" w:customStyle="1" w:styleId="1517">
    <w:name w:val="正文(首行缩进) Char2"/>
    <w:uiPriority w:val="0"/>
    <w:rPr>
      <w:rFonts w:eastAsia="黑体"/>
      <w:bCs/>
      <w:snapToGrid w:val="0"/>
      <w:color w:val="000000"/>
      <w:kern w:val="2"/>
      <w:sz w:val="24"/>
      <w:lang w:val="en-US" w:eastAsia="zh-CN"/>
    </w:rPr>
  </w:style>
  <w:style w:type="character" w:customStyle="1" w:styleId="1518">
    <w:name w:val="正文修改 Char1313"/>
    <w:uiPriority w:val="0"/>
    <w:rPr>
      <w:rFonts w:ascii="宋体" w:hAnsi="宋体" w:eastAsia="宋体" w:cs="宋体"/>
      <w:color w:val="000000"/>
      <w:kern w:val="2"/>
      <w:sz w:val="24"/>
      <w:szCs w:val="24"/>
      <w:lang w:val="en-US" w:eastAsia="zh-CN"/>
    </w:rPr>
  </w:style>
  <w:style w:type="character" w:customStyle="1" w:styleId="1519">
    <w:name w:val="正文文本缩进 3 Char3"/>
    <w:qFormat/>
    <w:uiPriority w:val="0"/>
    <w:rPr>
      <w:rFonts w:eastAsia="宋体"/>
      <w:kern w:val="2"/>
      <w:sz w:val="16"/>
      <w:szCs w:val="16"/>
      <w:lang w:val="en-US" w:eastAsia="zh-CN"/>
    </w:rPr>
  </w:style>
  <w:style w:type="character" w:customStyle="1" w:styleId="1520">
    <w:name w:val="文字缩进 Char3"/>
    <w:uiPriority w:val="0"/>
    <w:rPr>
      <w:rFonts w:ascii="宋体" w:hAnsi="Courier New" w:eastAsia="宋体"/>
      <w:kern w:val="2"/>
      <w:sz w:val="21"/>
      <w:lang w:val="en-US" w:eastAsia="zh-CN"/>
    </w:rPr>
  </w:style>
  <w:style w:type="character" w:customStyle="1" w:styleId="1521">
    <w:name w:val="图表题 Char111"/>
    <w:uiPriority w:val="0"/>
    <w:rPr>
      <w:rFonts w:ascii="黑体" w:hAnsi="宋体" w:eastAsia="黑体" w:cs="宋体"/>
      <w:b/>
      <w:bCs/>
      <w:kern w:val="2"/>
      <w:sz w:val="24"/>
      <w:szCs w:val="24"/>
      <w:lang w:val="en-US" w:eastAsia="zh-CN"/>
    </w:rPr>
  </w:style>
  <w:style w:type="character" w:customStyle="1" w:styleId="1522">
    <w:name w:val="题注 Char531"/>
    <w:uiPriority w:val="0"/>
    <w:rPr>
      <w:rFonts w:ascii="黑体" w:hAnsi="Arial" w:eastAsia="黑体" w:cs="Arial"/>
      <w:b/>
      <w:kern w:val="2"/>
      <w:sz w:val="24"/>
      <w:szCs w:val="24"/>
      <w:lang w:val="en-US" w:eastAsia="zh-CN"/>
    </w:rPr>
  </w:style>
  <w:style w:type="character" w:customStyle="1" w:styleId="1523">
    <w:name w:val="样式 正文缩进 + 宋体 黑色 Char11"/>
    <w:uiPriority w:val="0"/>
    <w:rPr>
      <w:rFonts w:ascii="宋体" w:hAnsi="宋体" w:eastAsia="宋体"/>
      <w:color w:val="000000"/>
      <w:kern w:val="2"/>
      <w:sz w:val="24"/>
      <w:szCs w:val="24"/>
      <w:lang w:val="en-US" w:eastAsia="zh-CN"/>
    </w:rPr>
  </w:style>
  <w:style w:type="character" w:customStyle="1" w:styleId="1524">
    <w:name w:val="Char Char2116"/>
    <w:uiPriority w:val="0"/>
    <w:rPr>
      <w:rFonts w:ascii="黑体" w:eastAsia="宋体"/>
      <w:kern w:val="2"/>
      <w:sz w:val="16"/>
      <w:szCs w:val="16"/>
      <w:lang w:val="en-US" w:eastAsia="zh-CN"/>
    </w:rPr>
  </w:style>
  <w:style w:type="character" w:customStyle="1" w:styleId="1525">
    <w:name w:val="Char Char1217"/>
    <w:uiPriority w:val="0"/>
    <w:rPr>
      <w:rFonts w:ascii="黑体" w:hAnsi="Arial" w:eastAsia="黑体"/>
      <w:b/>
      <w:bCs/>
      <w:kern w:val="2"/>
      <w:sz w:val="30"/>
      <w:szCs w:val="30"/>
      <w:lang w:val="en-US" w:eastAsia="zh-CN"/>
    </w:rPr>
  </w:style>
  <w:style w:type="character" w:customStyle="1" w:styleId="1526">
    <w:name w:val="批注框文本 Char51"/>
    <w:uiPriority w:val="0"/>
    <w:rPr>
      <w:rFonts w:eastAsia="宋体"/>
      <w:kern w:val="2"/>
      <w:sz w:val="18"/>
      <w:szCs w:val="18"/>
      <w:lang w:val="en-US" w:eastAsia="zh-CN"/>
    </w:rPr>
  </w:style>
  <w:style w:type="character" w:customStyle="1" w:styleId="1527">
    <w:name w:val="正文文本缩进 3 Char41"/>
    <w:uiPriority w:val="0"/>
    <w:rPr>
      <w:rFonts w:eastAsia="宋体"/>
      <w:kern w:val="2"/>
      <w:sz w:val="16"/>
      <w:szCs w:val="16"/>
      <w:lang w:val="en-US" w:eastAsia="zh-CN"/>
    </w:rPr>
  </w:style>
  <w:style w:type="character" w:customStyle="1" w:styleId="1528">
    <w:name w:val="样式 表格内字体 + Char2"/>
    <w:uiPriority w:val="0"/>
    <w:rPr>
      <w:rFonts w:ascii="宋体" w:hAnsi="宋体"/>
      <w:kern w:val="2"/>
      <w:sz w:val="21"/>
      <w:szCs w:val="24"/>
    </w:rPr>
  </w:style>
  <w:style w:type="character" w:customStyle="1" w:styleId="1529">
    <w:name w:val="表格内容 Char31"/>
    <w:uiPriority w:val="0"/>
    <w:rPr>
      <w:rFonts w:ascii="Times New Roman" w:hAnsi="Times New Roman" w:eastAsia="宋体" w:cs="Times New Roman"/>
      <w:kern w:val="2"/>
      <w:sz w:val="24"/>
      <w:szCs w:val="21"/>
      <w:lang w:val="en-US" w:eastAsia="zh-CN"/>
    </w:rPr>
  </w:style>
  <w:style w:type="character" w:customStyle="1" w:styleId="1530">
    <w:name w:val="Char Char128"/>
    <w:uiPriority w:val="0"/>
    <w:rPr>
      <w:rFonts w:ascii="黑体" w:hAnsi="Arial" w:eastAsia="黑体"/>
      <w:b/>
      <w:bCs/>
      <w:kern w:val="2"/>
      <w:sz w:val="30"/>
      <w:szCs w:val="30"/>
      <w:lang w:val="en-US" w:eastAsia="zh-CN"/>
    </w:rPr>
  </w:style>
  <w:style w:type="character" w:customStyle="1" w:styleId="1531">
    <w:name w:val="正文文本缩进 3 Char4"/>
    <w:uiPriority w:val="0"/>
    <w:rPr>
      <w:rFonts w:eastAsia="宋体"/>
      <w:kern w:val="2"/>
      <w:sz w:val="16"/>
      <w:szCs w:val="16"/>
      <w:lang w:val="en-US" w:eastAsia="zh-CN"/>
    </w:rPr>
  </w:style>
  <w:style w:type="character" w:customStyle="1" w:styleId="1532">
    <w:name w:val="Char Char1213"/>
    <w:uiPriority w:val="0"/>
    <w:rPr>
      <w:rFonts w:ascii="黑体" w:hAnsi="Arial" w:eastAsia="黑体"/>
      <w:b/>
      <w:bCs/>
      <w:kern w:val="2"/>
      <w:sz w:val="30"/>
      <w:szCs w:val="30"/>
      <w:lang w:val="en-US" w:eastAsia="zh-CN"/>
    </w:rPr>
  </w:style>
  <w:style w:type="character" w:customStyle="1" w:styleId="1533">
    <w:name w:val="正文斜体 Char2"/>
    <w:uiPriority w:val="0"/>
    <w:rPr>
      <w:rFonts w:ascii="宋体" w:hAnsi="宋体" w:eastAsia="宋体"/>
      <w:i/>
      <w:iCs/>
      <w:kern w:val="2"/>
      <w:sz w:val="24"/>
      <w:szCs w:val="24"/>
      <w:lang w:val="en-US" w:eastAsia="zh-CN"/>
    </w:rPr>
  </w:style>
  <w:style w:type="character" w:customStyle="1" w:styleId="1534">
    <w:name w:val="Char Char63"/>
    <w:uiPriority w:val="0"/>
    <w:rPr>
      <w:rFonts w:ascii="黑体" w:eastAsia="黑体"/>
      <w:b/>
      <w:bCs/>
      <w:kern w:val="2"/>
      <w:sz w:val="28"/>
      <w:szCs w:val="28"/>
      <w:lang w:val="en-US" w:eastAsia="zh-CN"/>
    </w:rPr>
  </w:style>
  <w:style w:type="character" w:customStyle="1" w:styleId="1535">
    <w:name w:val="Char Char116"/>
    <w:uiPriority w:val="0"/>
    <w:rPr>
      <w:rFonts w:ascii="黑体" w:hAnsi="Arial" w:eastAsia="黑体"/>
      <w:bCs/>
      <w:kern w:val="2"/>
      <w:sz w:val="30"/>
      <w:szCs w:val="30"/>
      <w:lang w:val="en-US" w:eastAsia="zh-CN"/>
    </w:rPr>
  </w:style>
  <w:style w:type="character" w:customStyle="1" w:styleId="1536">
    <w:name w:val="Char Char41"/>
    <w:uiPriority w:val="0"/>
    <w:rPr>
      <w:rFonts w:ascii="黑体" w:hAnsi="Arial" w:eastAsia="黑体"/>
      <w:b/>
      <w:bCs/>
      <w:kern w:val="2"/>
      <w:sz w:val="30"/>
      <w:szCs w:val="30"/>
      <w:lang w:val="en-US" w:eastAsia="zh-CN"/>
    </w:rPr>
  </w:style>
  <w:style w:type="character" w:customStyle="1" w:styleId="1537">
    <w:name w:val="正文修改 Char1421"/>
    <w:uiPriority w:val="0"/>
    <w:rPr>
      <w:rFonts w:ascii="宋体" w:cs="宋体"/>
      <w:kern w:val="2"/>
      <w:sz w:val="24"/>
      <w:szCs w:val="24"/>
    </w:rPr>
  </w:style>
  <w:style w:type="character" w:customStyle="1" w:styleId="1538">
    <w:name w:val="表中文字 Char261"/>
    <w:uiPriority w:val="0"/>
    <w:rPr>
      <w:rFonts w:ascii="宋体" w:eastAsia="宋体"/>
      <w:kern w:val="2"/>
      <w:sz w:val="21"/>
      <w:szCs w:val="21"/>
      <w:lang w:val="en-US" w:eastAsia="zh-CN"/>
    </w:rPr>
  </w:style>
  <w:style w:type="character" w:customStyle="1" w:styleId="1539">
    <w:name w:val="Char Char414"/>
    <w:uiPriority w:val="0"/>
    <w:rPr>
      <w:rFonts w:ascii="黑体" w:hAnsi="Arial" w:eastAsia="黑体"/>
      <w:b/>
      <w:bCs/>
      <w:kern w:val="2"/>
      <w:sz w:val="30"/>
      <w:szCs w:val="30"/>
      <w:lang w:val="en-US" w:eastAsia="zh-CN"/>
    </w:rPr>
  </w:style>
  <w:style w:type="character" w:customStyle="1" w:styleId="1540">
    <w:name w:val="题注 Char22"/>
    <w:uiPriority w:val="0"/>
    <w:rPr>
      <w:rFonts w:ascii="黑体" w:hAnsi="Arial" w:eastAsia="黑体" w:cs="Arial"/>
      <w:b/>
      <w:kern w:val="2"/>
      <w:sz w:val="24"/>
      <w:szCs w:val="24"/>
      <w:lang w:val="en-US" w:eastAsia="zh-CN"/>
    </w:rPr>
  </w:style>
  <w:style w:type="character" w:customStyle="1" w:styleId="1541">
    <w:name w:val="正文首行缩进 Char1 Char Char2"/>
    <w:uiPriority w:val="0"/>
    <w:rPr>
      <w:rFonts w:eastAsia="宋体"/>
      <w:kern w:val="2"/>
      <w:sz w:val="21"/>
      <w:szCs w:val="24"/>
      <w:lang w:val="en-US" w:eastAsia="zh-CN"/>
    </w:rPr>
  </w:style>
  <w:style w:type="character" w:customStyle="1" w:styleId="1542">
    <w:name w:val="标题 2 Char11"/>
    <w:uiPriority w:val="0"/>
    <w:rPr>
      <w:rFonts w:hAnsi="Arial" w:eastAsia="宋体"/>
      <w:bCs/>
      <w:kern w:val="2"/>
      <w:sz w:val="30"/>
      <w:szCs w:val="30"/>
      <w:lang w:val="en-US" w:eastAsia="zh-CN"/>
    </w:rPr>
  </w:style>
  <w:style w:type="character" w:customStyle="1" w:styleId="1543">
    <w:name w:val="节标题 Char Char"/>
    <w:uiPriority w:val="0"/>
    <w:rPr>
      <w:rFonts w:hint="eastAsia" w:ascii="黑体" w:hAnsi="Arial" w:eastAsia="黑体"/>
      <w:b/>
      <w:bCs/>
      <w:kern w:val="2"/>
      <w:sz w:val="28"/>
      <w:szCs w:val="32"/>
      <w:lang w:val="en-US" w:eastAsia="zh-CN"/>
    </w:rPr>
  </w:style>
  <w:style w:type="character" w:customStyle="1" w:styleId="1544">
    <w:name w:val="Char Char1125"/>
    <w:uiPriority w:val="0"/>
    <w:rPr>
      <w:rFonts w:ascii="黑体" w:hAnsi="Arial" w:eastAsia="黑体"/>
      <w:bCs/>
      <w:kern w:val="2"/>
      <w:sz w:val="30"/>
      <w:szCs w:val="30"/>
      <w:lang w:val="en-US" w:eastAsia="zh-CN"/>
    </w:rPr>
  </w:style>
  <w:style w:type="character" w:customStyle="1" w:styleId="1545">
    <w:name w:val="123YJ Char Char"/>
    <w:uiPriority w:val="0"/>
    <w:rPr>
      <w:rFonts w:eastAsia="宋体"/>
      <w:kern w:val="2"/>
      <w:sz w:val="18"/>
      <w:szCs w:val="18"/>
      <w:lang w:val="en-US" w:eastAsia="zh-CN"/>
    </w:rPr>
  </w:style>
  <w:style w:type="character" w:customStyle="1" w:styleId="1546">
    <w:name w:val="表题1 Char41"/>
    <w:uiPriority w:val="0"/>
    <w:rPr>
      <w:rFonts w:ascii="黑体" w:hAnsi="Arial" w:eastAsia="黑体" w:cs="Arial"/>
      <w:b/>
      <w:kern w:val="2"/>
      <w:sz w:val="24"/>
      <w:szCs w:val="24"/>
      <w:lang w:val="en-US" w:eastAsia="zh-CN"/>
    </w:rPr>
  </w:style>
  <w:style w:type="character" w:customStyle="1" w:styleId="1547">
    <w:name w:val="Char Char129"/>
    <w:uiPriority w:val="0"/>
    <w:rPr>
      <w:rFonts w:ascii="黑体" w:hAnsi="Arial" w:eastAsia="黑体"/>
      <w:b/>
      <w:bCs/>
      <w:kern w:val="2"/>
      <w:sz w:val="30"/>
      <w:szCs w:val="30"/>
      <w:lang w:val="en-US" w:eastAsia="zh-CN"/>
    </w:rPr>
  </w:style>
  <w:style w:type="character" w:customStyle="1" w:styleId="1548">
    <w:name w:val="河石1 Char22"/>
    <w:uiPriority w:val="0"/>
    <w:rPr>
      <w:rFonts w:ascii="黑体" w:hAnsi="宋体" w:eastAsia="黑体" w:cs="Times New Roman"/>
      <w:bCs/>
      <w:kern w:val="44"/>
      <w:sz w:val="32"/>
      <w:szCs w:val="32"/>
      <w:lang w:val="en-US" w:eastAsia="zh-CN"/>
    </w:rPr>
  </w:style>
  <w:style w:type="character" w:customStyle="1" w:styleId="1549">
    <w:name w:val="图题注 Char21"/>
    <w:uiPriority w:val="0"/>
    <w:rPr>
      <w:rFonts w:ascii="黑体" w:hAnsi="Arial" w:eastAsia="黑体" w:cs="宋体"/>
      <w:b/>
      <w:bCs/>
      <w:kern w:val="2"/>
      <w:sz w:val="24"/>
      <w:szCs w:val="24"/>
      <w:lang w:val="en-US" w:eastAsia="zh-CN"/>
    </w:rPr>
  </w:style>
  <w:style w:type="character" w:customStyle="1" w:styleId="1550">
    <w:name w:val="Char Char54"/>
    <w:uiPriority w:val="0"/>
    <w:rPr>
      <w:rFonts w:ascii="黑体" w:hAnsi="宋体" w:eastAsia="黑体"/>
      <w:bCs/>
      <w:kern w:val="2"/>
      <w:sz w:val="28"/>
      <w:szCs w:val="28"/>
      <w:lang w:val="en-US" w:eastAsia="zh-CN"/>
    </w:rPr>
  </w:style>
  <w:style w:type="character" w:customStyle="1" w:styleId="1551">
    <w:name w:val="样式 仿宋_GB2312 小四 黑色"/>
    <w:uiPriority w:val="0"/>
    <w:rPr>
      <w:rFonts w:ascii="Times New Roman" w:hAnsi="Times New Roman" w:eastAsia="仿宋_GB2312" w:cs="Courier New"/>
      <w:color w:val="000000"/>
      <w:kern w:val="2"/>
      <w:sz w:val="24"/>
      <w:szCs w:val="24"/>
      <w:lang w:val="en-US" w:eastAsia="zh-CN"/>
    </w:rPr>
  </w:style>
  <w:style w:type="character" w:customStyle="1" w:styleId="1552">
    <w:name w:val="正文格式 Char10"/>
    <w:uiPriority w:val="0"/>
    <w:rPr>
      <w:rFonts w:ascii="宋体" w:hAnsi="宋体" w:eastAsia="宋体"/>
      <w:kern w:val="2"/>
      <w:sz w:val="24"/>
      <w:szCs w:val="24"/>
      <w:lang w:val="en-US" w:eastAsia="zh-CN"/>
    </w:rPr>
  </w:style>
  <w:style w:type="character" w:customStyle="1" w:styleId="1553">
    <w:name w:val="tpc_content1"/>
    <w:uiPriority w:val="0"/>
    <w:rPr>
      <w:sz w:val="20"/>
      <w:szCs w:val="20"/>
    </w:rPr>
  </w:style>
  <w:style w:type="character" w:customStyle="1" w:styleId="1554">
    <w:name w:val="图表题 Char11"/>
    <w:uiPriority w:val="0"/>
    <w:rPr>
      <w:rFonts w:ascii="黑体" w:hAnsi="宋体" w:eastAsia="黑体" w:cs="宋体"/>
      <w:b/>
      <w:bCs/>
      <w:kern w:val="2"/>
      <w:sz w:val="24"/>
      <w:szCs w:val="24"/>
      <w:lang w:val="en-US" w:eastAsia="zh-CN"/>
    </w:rPr>
  </w:style>
  <w:style w:type="character" w:customStyle="1" w:styleId="1555">
    <w:name w:val="small14"/>
    <w:uiPriority w:val="0"/>
  </w:style>
  <w:style w:type="character" w:customStyle="1" w:styleId="1556">
    <w:name w:val="表题1 Char6111"/>
    <w:uiPriority w:val="0"/>
    <w:rPr>
      <w:rFonts w:ascii="黑体" w:hAnsi="Arial" w:eastAsia="黑体" w:cs="Arial"/>
      <w:b/>
      <w:kern w:val="2"/>
      <w:sz w:val="24"/>
      <w:szCs w:val="24"/>
      <w:lang w:val="en-US" w:eastAsia="zh-CN"/>
    </w:rPr>
  </w:style>
  <w:style w:type="character" w:customStyle="1" w:styleId="1557">
    <w:name w:val="Char Char113"/>
    <w:uiPriority w:val="0"/>
    <w:rPr>
      <w:rFonts w:ascii="黑体" w:hAnsi="Arial" w:eastAsia="黑体"/>
      <w:bCs/>
      <w:kern w:val="2"/>
      <w:sz w:val="30"/>
      <w:szCs w:val="30"/>
      <w:lang w:val="en-US" w:eastAsia="zh-CN"/>
    </w:rPr>
  </w:style>
  <w:style w:type="character" w:customStyle="1" w:styleId="1558">
    <w:name w:val="正文缩进 Char71"/>
    <w:uiPriority w:val="0"/>
    <w:rPr>
      <w:rFonts w:ascii="宋体" w:hAnsi="宋体" w:eastAsia="宋体"/>
      <w:kern w:val="2"/>
      <w:sz w:val="24"/>
      <w:szCs w:val="24"/>
      <w:lang w:val="en-US" w:eastAsia="zh-CN"/>
    </w:rPr>
  </w:style>
  <w:style w:type="character" w:customStyle="1" w:styleId="1559">
    <w:name w:val="题注 Char2"/>
    <w:uiPriority w:val="0"/>
    <w:rPr>
      <w:rFonts w:ascii="黑体" w:hAnsi="Arial" w:eastAsia="黑体" w:cs="Arial"/>
      <w:b/>
      <w:kern w:val="2"/>
      <w:sz w:val="24"/>
      <w:szCs w:val="24"/>
      <w:lang w:val="en-US" w:eastAsia="zh-CN"/>
    </w:rPr>
  </w:style>
  <w:style w:type="character" w:customStyle="1" w:styleId="1560">
    <w:name w:val="Char Char514"/>
    <w:uiPriority w:val="0"/>
    <w:rPr>
      <w:rFonts w:ascii="黑体" w:hAnsi="宋体" w:eastAsia="黑体"/>
      <w:bCs/>
      <w:kern w:val="2"/>
      <w:sz w:val="28"/>
      <w:szCs w:val="28"/>
      <w:lang w:val="en-US" w:eastAsia="zh-CN"/>
    </w:rPr>
  </w:style>
  <w:style w:type="character" w:customStyle="1" w:styleId="1561">
    <w:name w:val="Char Char1151"/>
    <w:uiPriority w:val="0"/>
    <w:rPr>
      <w:rFonts w:ascii="黑体" w:hAnsi="Arial" w:eastAsia="黑体"/>
      <w:bCs/>
      <w:kern w:val="2"/>
      <w:sz w:val="30"/>
      <w:szCs w:val="30"/>
      <w:lang w:val="en-US" w:eastAsia="zh-CN"/>
    </w:rPr>
  </w:style>
  <w:style w:type="character" w:customStyle="1" w:styleId="1562">
    <w:name w:val="题注 Char23"/>
    <w:uiPriority w:val="0"/>
    <w:rPr>
      <w:rFonts w:ascii="黑体" w:hAnsi="Arial" w:eastAsia="黑体" w:cs="Arial"/>
      <w:b/>
      <w:kern w:val="2"/>
      <w:sz w:val="24"/>
      <w:szCs w:val="24"/>
      <w:lang w:val="en-US" w:eastAsia="zh-CN"/>
    </w:rPr>
  </w:style>
  <w:style w:type="character" w:customStyle="1" w:styleId="1563">
    <w:name w:val="Char Char36"/>
    <w:uiPriority w:val="0"/>
    <w:rPr>
      <w:rFonts w:ascii="黑体" w:hAnsi="宋体" w:eastAsia="黑体"/>
      <w:b/>
      <w:bCs/>
      <w:kern w:val="2"/>
      <w:sz w:val="28"/>
      <w:szCs w:val="28"/>
      <w:lang w:val="en-US" w:eastAsia="zh-CN"/>
    </w:rPr>
  </w:style>
  <w:style w:type="character" w:customStyle="1" w:styleId="1564">
    <w:name w:val="占位符文本1"/>
    <w:uiPriority w:val="0"/>
    <w:rPr>
      <w:rFonts w:eastAsia="宋体"/>
      <w:color w:val="808080"/>
      <w:kern w:val="2"/>
      <w:sz w:val="24"/>
      <w:szCs w:val="24"/>
      <w:lang w:val="en-US" w:eastAsia="zh-CN"/>
    </w:rPr>
  </w:style>
  <w:style w:type="character" w:customStyle="1" w:styleId="1565">
    <w:name w:val="样式 正文缩进 + 宋体 黑色 Char4"/>
    <w:uiPriority w:val="0"/>
    <w:rPr>
      <w:rFonts w:ascii="宋体" w:hAnsi="宋体" w:eastAsia="宋体"/>
      <w:color w:val="000000"/>
      <w:kern w:val="2"/>
      <w:sz w:val="24"/>
      <w:szCs w:val="24"/>
      <w:lang w:val="en-US" w:eastAsia="zh-CN"/>
    </w:rPr>
  </w:style>
  <w:style w:type="character" w:customStyle="1" w:styleId="1566">
    <w:name w:val="纯文本 Char21"/>
    <w:uiPriority w:val="0"/>
    <w:rPr>
      <w:rFonts w:ascii="宋体" w:hAnsi="Courier New" w:eastAsia="宋体"/>
      <w:kern w:val="2"/>
      <w:sz w:val="21"/>
      <w:szCs w:val="24"/>
      <w:lang w:val="en-US" w:eastAsia="zh-CN"/>
    </w:rPr>
  </w:style>
  <w:style w:type="character" w:customStyle="1" w:styleId="1567">
    <w:name w:val="正文首行缩进 Char3"/>
    <w:uiPriority w:val="0"/>
    <w:rPr>
      <w:rFonts w:ascii="Times New Roman" w:hAnsi="Times New Roman" w:eastAsia="宋体" w:cs="Times New Roman"/>
      <w:kern w:val="2"/>
      <w:sz w:val="21"/>
      <w:szCs w:val="24"/>
      <w:lang w:val="en-US" w:eastAsia="zh-CN"/>
    </w:rPr>
  </w:style>
  <w:style w:type="character" w:customStyle="1" w:styleId="1568">
    <w:name w:val="标题 5 Char21"/>
    <w:uiPriority w:val="0"/>
    <w:rPr>
      <w:rFonts w:ascii="Times New Roman" w:hAnsi="Times New Roman" w:eastAsia="宋体" w:cs="Times New Roman"/>
      <w:b/>
      <w:bCs/>
      <w:kern w:val="2"/>
      <w:sz w:val="28"/>
      <w:szCs w:val="28"/>
      <w:lang w:val="en-US" w:eastAsia="zh-CN"/>
    </w:rPr>
  </w:style>
  <w:style w:type="character" w:customStyle="1" w:styleId="1569">
    <w:name w:val="Char Char218"/>
    <w:uiPriority w:val="0"/>
    <w:rPr>
      <w:rFonts w:ascii="黑体" w:eastAsia="宋体"/>
      <w:kern w:val="2"/>
      <w:sz w:val="16"/>
      <w:szCs w:val="16"/>
      <w:lang w:val="en-US" w:eastAsia="zh-CN"/>
    </w:rPr>
  </w:style>
  <w:style w:type="character" w:customStyle="1" w:styleId="1570">
    <w:name w:val="正文首行缩进 Char11"/>
    <w:uiPriority w:val="0"/>
    <w:rPr>
      <w:rFonts w:eastAsia="宋体"/>
      <w:kern w:val="2"/>
      <w:sz w:val="21"/>
      <w:szCs w:val="24"/>
      <w:lang w:val="en-US" w:eastAsia="zh-CN"/>
    </w:rPr>
  </w:style>
  <w:style w:type="character" w:customStyle="1" w:styleId="1571">
    <w:name w:val="无级项 Char1"/>
    <w:uiPriority w:val="0"/>
    <w:rPr>
      <w:rFonts w:eastAsia="宋体"/>
      <w:b/>
      <w:bCs/>
      <w:kern w:val="2"/>
      <w:sz w:val="24"/>
      <w:szCs w:val="24"/>
      <w:lang w:val="en-US" w:eastAsia="zh-CN"/>
    </w:rPr>
  </w:style>
  <w:style w:type="character" w:customStyle="1" w:styleId="1572">
    <w:name w:val="Char Char62"/>
    <w:uiPriority w:val="0"/>
    <w:rPr>
      <w:rFonts w:ascii="黑体" w:eastAsia="黑体"/>
      <w:b/>
      <w:bCs/>
      <w:kern w:val="2"/>
      <w:sz w:val="28"/>
      <w:szCs w:val="28"/>
      <w:lang w:val="en-US" w:eastAsia="zh-CN"/>
    </w:rPr>
  </w:style>
  <w:style w:type="character" w:customStyle="1" w:styleId="1573">
    <w:name w:val="标题 2 Char6"/>
    <w:uiPriority w:val="0"/>
    <w:rPr>
      <w:rFonts w:ascii="黑体" w:hAnsi="Arial" w:eastAsia="黑体"/>
      <w:b/>
      <w:bCs/>
      <w:kern w:val="2"/>
      <w:sz w:val="30"/>
      <w:szCs w:val="30"/>
      <w:lang w:val="en-US" w:eastAsia="zh-CN"/>
    </w:rPr>
  </w:style>
  <w:style w:type="character" w:customStyle="1" w:styleId="1574">
    <w:name w:val="页眉 Char31"/>
    <w:uiPriority w:val="0"/>
    <w:rPr>
      <w:rFonts w:eastAsia="宋体"/>
      <w:kern w:val="2"/>
      <w:sz w:val="18"/>
      <w:szCs w:val="18"/>
      <w:lang w:val="en-US" w:eastAsia="zh-CN"/>
    </w:rPr>
  </w:style>
  <w:style w:type="character" w:customStyle="1" w:styleId="1575">
    <w:name w:val="题注 Char221"/>
    <w:uiPriority w:val="0"/>
    <w:rPr>
      <w:rFonts w:ascii="黑体" w:hAnsi="Arial" w:eastAsia="黑体" w:cs="Arial"/>
      <w:b/>
      <w:kern w:val="2"/>
      <w:sz w:val="24"/>
      <w:szCs w:val="24"/>
      <w:lang w:val="en-US" w:eastAsia="zh-CN"/>
    </w:rPr>
  </w:style>
  <w:style w:type="character" w:customStyle="1" w:styleId="1576">
    <w:name w:val="题注 Char231"/>
    <w:uiPriority w:val="0"/>
    <w:rPr>
      <w:rFonts w:ascii="黑体" w:hAnsi="Arial" w:eastAsia="黑体" w:cs="Arial"/>
      <w:b/>
      <w:kern w:val="2"/>
      <w:sz w:val="24"/>
      <w:szCs w:val="24"/>
      <w:lang w:val="en-US" w:eastAsia="zh-CN"/>
    </w:rPr>
  </w:style>
  <w:style w:type="character" w:customStyle="1" w:styleId="1577">
    <w:name w:val="标题 1 Char51"/>
    <w:uiPriority w:val="0"/>
    <w:rPr>
      <w:rFonts w:ascii="黑体" w:hAnsi="宋体" w:eastAsia="黑体" w:cs="Times New Roman"/>
      <w:bCs/>
      <w:kern w:val="44"/>
      <w:sz w:val="32"/>
      <w:szCs w:val="32"/>
      <w:lang w:val="en-US" w:eastAsia="zh-CN"/>
    </w:rPr>
  </w:style>
  <w:style w:type="character" w:customStyle="1" w:styleId="1578">
    <w:name w:val="Char Char2112"/>
    <w:uiPriority w:val="0"/>
    <w:rPr>
      <w:rFonts w:ascii="黑体" w:eastAsia="宋体"/>
      <w:kern w:val="2"/>
      <w:sz w:val="16"/>
      <w:szCs w:val="16"/>
      <w:lang w:val="en-US" w:eastAsia="zh-CN"/>
    </w:rPr>
  </w:style>
  <w:style w:type="character" w:customStyle="1" w:styleId="1579">
    <w:name w:val="正文文本缩进 2 Char3"/>
    <w:uiPriority w:val="0"/>
    <w:rPr>
      <w:rFonts w:ascii="Times New Roman" w:hAnsi="Times New Roman" w:eastAsia="宋体" w:cs="Times New Roman"/>
      <w:kern w:val="2"/>
      <w:sz w:val="24"/>
      <w:szCs w:val="24"/>
      <w:lang w:val="en-US" w:eastAsia="zh-CN"/>
    </w:rPr>
  </w:style>
  <w:style w:type="character" w:customStyle="1" w:styleId="1580">
    <w:name w:val="题注 Char62"/>
    <w:uiPriority w:val="0"/>
    <w:rPr>
      <w:rFonts w:ascii="黑体" w:hAnsi="Arial" w:eastAsia="黑体" w:cs="Arial"/>
      <w:b/>
      <w:kern w:val="2"/>
      <w:sz w:val="24"/>
      <w:szCs w:val="24"/>
      <w:lang w:val="en-US" w:eastAsia="zh-CN"/>
    </w:rPr>
  </w:style>
  <w:style w:type="character" w:customStyle="1" w:styleId="1581">
    <w:name w:val="表格内容 Char4"/>
    <w:uiPriority w:val="0"/>
    <w:rPr>
      <w:rFonts w:eastAsia="宋体"/>
      <w:kern w:val="2"/>
      <w:sz w:val="21"/>
      <w:szCs w:val="21"/>
      <w:lang w:val="en-US" w:eastAsia="zh-CN"/>
    </w:rPr>
  </w:style>
  <w:style w:type="character" w:customStyle="1" w:styleId="1582">
    <w:name w:val="font21"/>
    <w:qFormat/>
    <w:uiPriority w:val="0"/>
    <w:rPr>
      <w:rFonts w:hint="default" w:ascii="Times New Roman" w:hAnsi="Times New Roman" w:cs="Times New Roman"/>
      <w:color w:val="000000"/>
      <w:sz w:val="12"/>
      <w:szCs w:val="12"/>
      <w:u w:val="none"/>
    </w:rPr>
  </w:style>
  <w:style w:type="character" w:customStyle="1" w:styleId="1583">
    <w:name w:val="环评正文 Char11"/>
    <w:uiPriority w:val="0"/>
    <w:rPr>
      <w:rFonts w:eastAsia="宋体"/>
      <w:bCs/>
      <w:kern w:val="2"/>
      <w:sz w:val="24"/>
      <w:szCs w:val="24"/>
      <w:lang w:val="en-US" w:eastAsia="zh-CN"/>
    </w:rPr>
  </w:style>
  <w:style w:type="character" w:customStyle="1" w:styleId="1584">
    <w:name w:val="标题 2 Char71"/>
    <w:uiPriority w:val="0"/>
    <w:rPr>
      <w:rFonts w:ascii="黑体" w:hAnsi="Arial" w:eastAsia="黑体" w:cs="Times New Roman"/>
      <w:bCs/>
      <w:kern w:val="2"/>
      <w:sz w:val="30"/>
      <w:szCs w:val="30"/>
      <w:lang w:val="en-US" w:eastAsia="zh-CN"/>
    </w:rPr>
  </w:style>
  <w:style w:type="character" w:customStyle="1" w:styleId="1585">
    <w:name w:val="图表题 Char4"/>
    <w:uiPriority w:val="0"/>
    <w:rPr>
      <w:rFonts w:ascii="黑体" w:hAnsi="宋体" w:eastAsia="黑体" w:cs="宋体"/>
      <w:b/>
      <w:bCs/>
      <w:kern w:val="2"/>
      <w:sz w:val="24"/>
      <w:szCs w:val="24"/>
      <w:lang w:val="en-US" w:eastAsia="zh-CN"/>
    </w:rPr>
  </w:style>
  <w:style w:type="character" w:customStyle="1" w:styleId="1586">
    <w:name w:val="标题2 Char1"/>
    <w:uiPriority w:val="0"/>
    <w:rPr>
      <w:rFonts w:ascii="宋体" w:hAnsi="宋体" w:eastAsia="宋体" w:cs="宋体"/>
      <w:color w:val="000000"/>
      <w:kern w:val="2"/>
      <w:sz w:val="24"/>
      <w:szCs w:val="24"/>
      <w:lang w:val="en-US" w:eastAsia="zh-CN"/>
    </w:rPr>
  </w:style>
  <w:style w:type="character" w:customStyle="1" w:styleId="1587">
    <w:name w:val="px121"/>
    <w:uiPriority w:val="0"/>
  </w:style>
  <w:style w:type="character" w:customStyle="1" w:styleId="1588">
    <w:name w:val="Char Char623"/>
    <w:uiPriority w:val="0"/>
    <w:rPr>
      <w:rFonts w:ascii="黑体" w:eastAsia="黑体"/>
      <w:b/>
      <w:bCs/>
      <w:kern w:val="2"/>
      <w:sz w:val="28"/>
      <w:szCs w:val="28"/>
      <w:lang w:val="en-US" w:eastAsia="zh-CN"/>
    </w:rPr>
  </w:style>
  <w:style w:type="character" w:customStyle="1" w:styleId="1589">
    <w:name w:val="Char Char35"/>
    <w:uiPriority w:val="0"/>
    <w:rPr>
      <w:rFonts w:ascii="黑体" w:hAnsi="宋体" w:eastAsia="黑体"/>
      <w:b/>
      <w:bCs/>
      <w:kern w:val="2"/>
      <w:sz w:val="28"/>
      <w:szCs w:val="28"/>
      <w:lang w:val="en-US" w:eastAsia="zh-CN"/>
    </w:rPr>
  </w:style>
  <w:style w:type="character" w:customStyle="1" w:styleId="1590">
    <w:name w:val="Char Char312"/>
    <w:uiPriority w:val="0"/>
    <w:rPr>
      <w:rFonts w:ascii="黑体" w:hAnsi="宋体" w:eastAsia="黑体"/>
      <w:b/>
      <w:bCs/>
      <w:kern w:val="2"/>
      <w:sz w:val="28"/>
      <w:szCs w:val="28"/>
      <w:lang w:val="en-US" w:eastAsia="zh-CN"/>
    </w:rPr>
  </w:style>
  <w:style w:type="character" w:customStyle="1" w:styleId="1591">
    <w:name w:val="图表题 Char21"/>
    <w:uiPriority w:val="0"/>
    <w:rPr>
      <w:rFonts w:ascii="黑体" w:hAnsi="宋体" w:eastAsia="黑体" w:cs="宋体"/>
      <w:b/>
      <w:bCs/>
      <w:kern w:val="2"/>
      <w:sz w:val="24"/>
      <w:szCs w:val="24"/>
      <w:lang w:val="en-US" w:eastAsia="zh-CN"/>
    </w:rPr>
  </w:style>
  <w:style w:type="character" w:customStyle="1" w:styleId="1592">
    <w:name w:val="批注框文本 Char6"/>
    <w:uiPriority w:val="0"/>
    <w:rPr>
      <w:rFonts w:eastAsia="宋体"/>
      <w:kern w:val="2"/>
      <w:sz w:val="18"/>
      <w:szCs w:val="18"/>
      <w:lang w:val="en-US" w:eastAsia="zh-CN"/>
    </w:rPr>
  </w:style>
  <w:style w:type="character" w:customStyle="1" w:styleId="1593">
    <w:name w:val="正文文本缩进 2 Char21"/>
    <w:qFormat/>
    <w:uiPriority w:val="0"/>
    <w:rPr>
      <w:rFonts w:eastAsia="宋体"/>
      <w:kern w:val="2"/>
      <w:sz w:val="21"/>
      <w:szCs w:val="24"/>
      <w:lang w:val="en-US" w:eastAsia="zh-CN"/>
    </w:rPr>
  </w:style>
  <w:style w:type="character" w:customStyle="1" w:styleId="1594">
    <w:name w:val="表题1 Char6"/>
    <w:uiPriority w:val="0"/>
    <w:rPr>
      <w:rFonts w:ascii="黑体" w:hAnsi="Arial" w:eastAsia="黑体" w:cs="Arial"/>
      <w:b/>
      <w:kern w:val="2"/>
      <w:sz w:val="24"/>
      <w:szCs w:val="24"/>
      <w:lang w:val="en-US" w:eastAsia="zh-CN"/>
    </w:rPr>
  </w:style>
  <w:style w:type="character" w:customStyle="1" w:styleId="1595">
    <w:name w:val="图题 Char31"/>
    <w:uiPriority w:val="0"/>
    <w:rPr>
      <w:rFonts w:ascii="黑体" w:hAnsi="宋体" w:eastAsia="黑体" w:cs="宋体"/>
      <w:b/>
      <w:bCs/>
      <w:kern w:val="2"/>
      <w:sz w:val="24"/>
      <w:szCs w:val="24"/>
      <w:lang w:val="en-US" w:eastAsia="zh-CN"/>
    </w:rPr>
  </w:style>
  <w:style w:type="character" w:customStyle="1" w:styleId="1596">
    <w:name w:val="标题 3 Char91"/>
    <w:qFormat/>
    <w:uiPriority w:val="0"/>
    <w:rPr>
      <w:rFonts w:ascii="黑体" w:hAnsi="宋体" w:eastAsia="黑体" w:cs="Times New Roman"/>
      <w:b/>
      <w:bCs/>
      <w:kern w:val="2"/>
      <w:sz w:val="28"/>
      <w:szCs w:val="28"/>
      <w:lang w:val="en-US" w:eastAsia="zh-CN"/>
    </w:rPr>
  </w:style>
  <w:style w:type="character" w:customStyle="1" w:styleId="1597">
    <w:name w:val="123YJ Char2"/>
    <w:qFormat/>
    <w:uiPriority w:val="99"/>
    <w:rPr>
      <w:kern w:val="2"/>
      <w:sz w:val="18"/>
      <w:szCs w:val="18"/>
    </w:rPr>
  </w:style>
  <w:style w:type="character" w:customStyle="1" w:styleId="1598">
    <w:name w:val="Char Char6110"/>
    <w:qFormat/>
    <w:uiPriority w:val="0"/>
    <w:rPr>
      <w:rFonts w:ascii="黑体" w:eastAsia="黑体"/>
      <w:b/>
      <w:bCs/>
      <w:kern w:val="2"/>
      <w:sz w:val="28"/>
      <w:szCs w:val="28"/>
      <w:lang w:val="en-US" w:eastAsia="zh-CN"/>
    </w:rPr>
  </w:style>
  <w:style w:type="character" w:customStyle="1" w:styleId="1599">
    <w:name w:val="表中文字 Char27"/>
    <w:qFormat/>
    <w:uiPriority w:val="0"/>
    <w:rPr>
      <w:rFonts w:ascii="宋体" w:hAnsi="Times New Roman" w:eastAsia="宋体" w:cs="Times New Roman"/>
      <w:kern w:val="0"/>
      <w:sz w:val="24"/>
      <w:szCs w:val="21"/>
      <w:lang w:val="en-US" w:eastAsia="zh-CN"/>
    </w:rPr>
  </w:style>
  <w:style w:type="character" w:customStyle="1" w:styleId="1600">
    <w:name w:val="图题 Char1"/>
    <w:uiPriority w:val="0"/>
    <w:rPr>
      <w:rFonts w:ascii="黑体" w:hAnsi="宋体" w:eastAsia="黑体" w:cs="宋体"/>
      <w:b/>
      <w:bCs/>
      <w:kern w:val="2"/>
      <w:sz w:val="24"/>
      <w:szCs w:val="24"/>
      <w:lang w:val="en-US" w:eastAsia="zh-CN"/>
    </w:rPr>
  </w:style>
  <w:style w:type="character" w:customStyle="1" w:styleId="1601">
    <w:name w:val="Char Char56"/>
    <w:qFormat/>
    <w:uiPriority w:val="0"/>
    <w:rPr>
      <w:rFonts w:ascii="黑体" w:hAnsi="宋体" w:eastAsia="黑体"/>
      <w:bCs/>
      <w:kern w:val="2"/>
      <w:sz w:val="28"/>
      <w:szCs w:val="28"/>
      <w:lang w:val="en-US" w:eastAsia="zh-CN"/>
    </w:rPr>
  </w:style>
  <w:style w:type="character" w:customStyle="1" w:styleId="1602">
    <w:name w:val="Char Char516"/>
    <w:qFormat/>
    <w:uiPriority w:val="0"/>
    <w:rPr>
      <w:rFonts w:ascii="黑体" w:hAnsi="宋体" w:eastAsia="黑体"/>
      <w:bCs/>
      <w:kern w:val="2"/>
      <w:sz w:val="28"/>
      <w:szCs w:val="28"/>
      <w:lang w:val="en-US" w:eastAsia="zh-CN"/>
    </w:rPr>
  </w:style>
  <w:style w:type="character" w:customStyle="1" w:styleId="1603">
    <w:name w:val="Char Char641"/>
    <w:qFormat/>
    <w:uiPriority w:val="0"/>
    <w:rPr>
      <w:rFonts w:ascii="黑体" w:eastAsia="黑体"/>
      <w:b/>
      <w:bCs/>
      <w:kern w:val="2"/>
      <w:sz w:val="28"/>
      <w:szCs w:val="28"/>
      <w:lang w:val="en-US" w:eastAsia="zh-CN"/>
    </w:rPr>
  </w:style>
  <w:style w:type="character" w:customStyle="1" w:styleId="1604">
    <w:name w:val="标题 7 Char21"/>
    <w:uiPriority w:val="0"/>
    <w:rPr>
      <w:rFonts w:ascii="Times New Roman" w:hAnsi="Times New Roman" w:eastAsia="宋体" w:cs="Times New Roman"/>
      <w:b/>
      <w:bCs/>
      <w:kern w:val="2"/>
      <w:sz w:val="24"/>
      <w:szCs w:val="24"/>
      <w:lang w:val="en-US" w:eastAsia="zh-CN"/>
    </w:rPr>
  </w:style>
  <w:style w:type="character" w:customStyle="1" w:styleId="1605">
    <w:name w:val="正文修改 Char1431"/>
    <w:uiPriority w:val="0"/>
    <w:rPr>
      <w:rFonts w:ascii="宋体" w:hAnsi="Times New Roman" w:eastAsia="宋体" w:cs="宋体"/>
      <w:kern w:val="2"/>
      <w:sz w:val="24"/>
      <w:szCs w:val="24"/>
      <w:lang w:val="en-US" w:eastAsia="zh-CN"/>
    </w:rPr>
  </w:style>
  <w:style w:type="character" w:customStyle="1" w:styleId="1606">
    <w:name w:val="正文（首行缩进两字） Char Char Char Char Char Char Char Char Char Char Char Char Char Char Char"/>
    <w:uiPriority w:val="0"/>
    <w:rPr>
      <w:rFonts w:ascii="宋体" w:hAnsi="宋体" w:eastAsia="宋体" w:cs="宋体"/>
      <w:kern w:val="2"/>
      <w:sz w:val="30"/>
      <w:szCs w:val="24"/>
      <w:lang w:val="en-US" w:eastAsia="zh-CN"/>
    </w:rPr>
  </w:style>
  <w:style w:type="character" w:customStyle="1" w:styleId="1607">
    <w:name w:val="正文缩进 Char14"/>
    <w:uiPriority w:val="0"/>
    <w:rPr>
      <w:rFonts w:ascii="宋体" w:hAnsi="宋体" w:eastAsia="宋体" w:cs="宋体"/>
      <w:color w:val="000000"/>
      <w:kern w:val="2"/>
      <w:sz w:val="24"/>
      <w:szCs w:val="24"/>
      <w:lang w:val="en-US" w:eastAsia="zh-CN"/>
    </w:rPr>
  </w:style>
  <w:style w:type="character" w:customStyle="1" w:styleId="1608">
    <w:name w:val="Char Char1124"/>
    <w:uiPriority w:val="0"/>
    <w:rPr>
      <w:rFonts w:ascii="黑体" w:hAnsi="Arial" w:eastAsia="黑体"/>
      <w:bCs/>
      <w:kern w:val="2"/>
      <w:sz w:val="30"/>
      <w:szCs w:val="30"/>
      <w:lang w:val="en-US" w:eastAsia="zh-CN"/>
    </w:rPr>
  </w:style>
  <w:style w:type="character" w:customStyle="1" w:styleId="1609">
    <w:name w:val="表题1 Char721"/>
    <w:uiPriority w:val="0"/>
    <w:rPr>
      <w:rFonts w:ascii="黑体" w:hAnsi="Arial" w:eastAsia="黑体" w:cs="Arial"/>
      <w:b/>
      <w:kern w:val="2"/>
      <w:sz w:val="24"/>
      <w:szCs w:val="24"/>
      <w:lang w:val="en-US" w:eastAsia="zh-CN"/>
    </w:rPr>
  </w:style>
  <w:style w:type="character" w:customStyle="1" w:styleId="1610">
    <w:name w:val="Char Char626"/>
    <w:uiPriority w:val="0"/>
    <w:rPr>
      <w:rFonts w:ascii="黑体" w:eastAsia="黑体"/>
      <w:b/>
      <w:bCs/>
      <w:kern w:val="2"/>
      <w:sz w:val="28"/>
      <w:szCs w:val="28"/>
      <w:lang w:val="en-US" w:eastAsia="zh-CN"/>
    </w:rPr>
  </w:style>
  <w:style w:type="character" w:customStyle="1" w:styleId="1611">
    <w:name w:val="图表题 Char3"/>
    <w:qFormat/>
    <w:uiPriority w:val="0"/>
    <w:rPr>
      <w:rFonts w:ascii="黑体" w:hAnsi="宋体" w:eastAsia="黑体" w:cs="宋体"/>
      <w:b/>
      <w:bCs/>
      <w:kern w:val="2"/>
      <w:sz w:val="24"/>
      <w:szCs w:val="24"/>
      <w:lang w:val="en-US" w:eastAsia="zh-CN"/>
    </w:rPr>
  </w:style>
  <w:style w:type="character" w:customStyle="1" w:styleId="1612">
    <w:name w:val="图表题 Char12"/>
    <w:uiPriority w:val="0"/>
    <w:rPr>
      <w:rFonts w:ascii="黑体" w:hAnsi="宋体" w:eastAsia="黑体" w:cs="宋体"/>
      <w:b/>
      <w:bCs/>
      <w:kern w:val="2"/>
      <w:sz w:val="24"/>
      <w:szCs w:val="24"/>
      <w:lang w:val="en-US" w:eastAsia="zh-CN"/>
    </w:rPr>
  </w:style>
  <w:style w:type="character" w:customStyle="1" w:styleId="1613">
    <w:name w:val="无节 Char11"/>
    <w:qFormat/>
    <w:uiPriority w:val="0"/>
    <w:rPr>
      <w:rFonts w:ascii="Arial" w:hAnsi="Arial" w:eastAsia="黑体"/>
      <w:b/>
      <w:bCs/>
      <w:kern w:val="2"/>
      <w:sz w:val="24"/>
      <w:szCs w:val="24"/>
      <w:lang w:val="en-US" w:eastAsia="zh-CN"/>
    </w:rPr>
  </w:style>
  <w:style w:type="character" w:customStyle="1" w:styleId="1614">
    <w:name w:val="Char Char612"/>
    <w:qFormat/>
    <w:uiPriority w:val="0"/>
    <w:rPr>
      <w:rFonts w:ascii="黑体" w:eastAsia="黑体"/>
      <w:b/>
      <w:bCs/>
      <w:kern w:val="2"/>
      <w:sz w:val="28"/>
      <w:szCs w:val="28"/>
      <w:lang w:val="en-US" w:eastAsia="zh-CN"/>
    </w:rPr>
  </w:style>
  <w:style w:type="character" w:customStyle="1" w:styleId="1615">
    <w:name w:val="样式 正文缩进 + 宋体 黑色 Char21"/>
    <w:uiPriority w:val="0"/>
    <w:rPr>
      <w:rFonts w:ascii="宋体" w:hAnsi="宋体" w:eastAsia="宋体"/>
      <w:color w:val="000000"/>
      <w:kern w:val="2"/>
      <w:sz w:val="24"/>
      <w:szCs w:val="24"/>
      <w:lang w:val="en-US" w:eastAsia="zh-CN"/>
    </w:rPr>
  </w:style>
  <w:style w:type="character" w:customStyle="1" w:styleId="1616">
    <w:name w:val="批注框文本 Char11"/>
    <w:qFormat/>
    <w:uiPriority w:val="0"/>
    <w:rPr>
      <w:rFonts w:eastAsia="宋体"/>
      <w:kern w:val="2"/>
      <w:sz w:val="18"/>
      <w:szCs w:val="18"/>
      <w:lang w:val="en-US" w:eastAsia="zh-CN"/>
    </w:rPr>
  </w:style>
  <w:style w:type="character" w:customStyle="1" w:styleId="1617">
    <w:name w:val="表格内字体 Char3"/>
    <w:qFormat/>
    <w:uiPriority w:val="0"/>
    <w:rPr>
      <w:rFonts w:ascii="宋体" w:hAnsi="宋体" w:eastAsia="宋体"/>
      <w:kern w:val="2"/>
      <w:sz w:val="21"/>
      <w:szCs w:val="24"/>
      <w:lang w:val="en-US" w:eastAsia="zh-CN"/>
    </w:rPr>
  </w:style>
  <w:style w:type="character" w:customStyle="1" w:styleId="1618">
    <w:name w:val="tpc_title1"/>
    <w:qFormat/>
    <w:uiPriority w:val="0"/>
    <w:rPr>
      <w:b/>
      <w:bCs/>
      <w:sz w:val="24"/>
      <w:szCs w:val="24"/>
    </w:rPr>
  </w:style>
  <w:style w:type="character" w:customStyle="1" w:styleId="1619">
    <w:name w:val="正文修改 Char1131"/>
    <w:qFormat/>
    <w:uiPriority w:val="0"/>
    <w:rPr>
      <w:rFonts w:ascii="宋体" w:hAnsi="宋体" w:eastAsia="宋体" w:cs="宋体"/>
      <w:color w:val="000000"/>
      <w:kern w:val="2"/>
      <w:sz w:val="24"/>
      <w:szCs w:val="24"/>
      <w:lang w:val="en-US" w:eastAsia="zh-CN"/>
    </w:rPr>
  </w:style>
  <w:style w:type="character" w:customStyle="1" w:styleId="1620">
    <w:name w:val="正文文本 Char21"/>
    <w:qFormat/>
    <w:uiPriority w:val="0"/>
    <w:rPr>
      <w:rFonts w:eastAsia="宋体"/>
      <w:kern w:val="2"/>
      <w:sz w:val="21"/>
      <w:szCs w:val="24"/>
      <w:lang w:val="en-US" w:eastAsia="zh-CN"/>
    </w:rPr>
  </w:style>
  <w:style w:type="character" w:customStyle="1" w:styleId="1621">
    <w:name w:val="Char Char37"/>
    <w:qFormat/>
    <w:uiPriority w:val="0"/>
    <w:rPr>
      <w:rFonts w:ascii="黑体" w:hAnsi="宋体" w:eastAsia="黑体"/>
      <w:b/>
      <w:bCs/>
      <w:kern w:val="2"/>
      <w:sz w:val="28"/>
      <w:szCs w:val="28"/>
      <w:lang w:val="en-US" w:eastAsia="zh-CN"/>
    </w:rPr>
  </w:style>
  <w:style w:type="character" w:customStyle="1" w:styleId="1622">
    <w:name w:val="题注 Char113"/>
    <w:qFormat/>
    <w:uiPriority w:val="0"/>
    <w:rPr>
      <w:rFonts w:ascii="黑体" w:hAnsi="Arial" w:eastAsia="黑体" w:cs="Arial"/>
      <w:b/>
      <w:kern w:val="2"/>
      <w:sz w:val="24"/>
      <w:szCs w:val="24"/>
      <w:lang w:val="en-US" w:eastAsia="zh-CN"/>
    </w:rPr>
  </w:style>
  <w:style w:type="character" w:customStyle="1" w:styleId="1623">
    <w:name w:val="Char Char46"/>
    <w:qFormat/>
    <w:uiPriority w:val="0"/>
    <w:rPr>
      <w:rFonts w:ascii="黑体" w:hAnsi="Arial" w:eastAsia="黑体"/>
      <w:b/>
      <w:bCs/>
      <w:kern w:val="2"/>
      <w:sz w:val="30"/>
      <w:szCs w:val="30"/>
      <w:lang w:val="en-US" w:eastAsia="zh-CN"/>
    </w:rPr>
  </w:style>
  <w:style w:type="character" w:customStyle="1" w:styleId="1624">
    <w:name w:val="表题1 Char72"/>
    <w:qFormat/>
    <w:uiPriority w:val="0"/>
    <w:rPr>
      <w:rFonts w:ascii="黑体" w:hAnsi="Arial" w:eastAsia="黑体" w:cs="Arial"/>
      <w:b/>
      <w:kern w:val="2"/>
      <w:sz w:val="24"/>
      <w:szCs w:val="24"/>
      <w:lang w:val="en-US" w:eastAsia="zh-CN"/>
    </w:rPr>
  </w:style>
  <w:style w:type="character" w:customStyle="1" w:styleId="1625">
    <w:name w:val="环正文 Char4"/>
    <w:qFormat/>
    <w:uiPriority w:val="0"/>
    <w:rPr>
      <w:rFonts w:hAnsi="宋体" w:eastAsia="宋体"/>
      <w:sz w:val="28"/>
      <w:szCs w:val="28"/>
      <w:lang w:val="en-US" w:eastAsia="zh-CN"/>
    </w:rPr>
  </w:style>
  <w:style w:type="character" w:customStyle="1" w:styleId="1626">
    <w:name w:val="表中文字 Char24"/>
    <w:qFormat/>
    <w:uiPriority w:val="0"/>
    <w:rPr>
      <w:rFonts w:ascii="宋体" w:eastAsia="宋体"/>
      <w:kern w:val="2"/>
      <w:sz w:val="21"/>
      <w:szCs w:val="21"/>
      <w:lang w:val="en-US" w:eastAsia="zh-CN"/>
    </w:rPr>
  </w:style>
  <w:style w:type="character" w:customStyle="1" w:styleId="1627">
    <w:name w:val="一级项 Char2"/>
    <w:qFormat/>
    <w:uiPriority w:val="0"/>
    <w:rPr>
      <w:rFonts w:eastAsia="宋体"/>
      <w:b/>
      <w:bCs/>
      <w:kern w:val="2"/>
      <w:sz w:val="28"/>
      <w:szCs w:val="28"/>
      <w:lang w:val="en-US" w:eastAsia="zh-CN"/>
    </w:rPr>
  </w:style>
  <w:style w:type="character" w:customStyle="1" w:styleId="1628">
    <w:name w:val="正文文本 3 Char3"/>
    <w:qFormat/>
    <w:uiPriority w:val="0"/>
    <w:rPr>
      <w:rFonts w:ascii="Times New Roman" w:hAnsi="Times New Roman" w:eastAsia="宋体" w:cs="Times New Roman"/>
      <w:kern w:val="2"/>
      <w:sz w:val="16"/>
      <w:szCs w:val="16"/>
      <w:lang w:val="en-US" w:eastAsia="zh-CN"/>
    </w:rPr>
  </w:style>
  <w:style w:type="character" w:customStyle="1" w:styleId="1629">
    <w:name w:val="环评正文 Char2"/>
    <w:qFormat/>
    <w:uiPriority w:val="0"/>
    <w:rPr>
      <w:rFonts w:eastAsia="宋体"/>
      <w:bCs/>
      <w:kern w:val="2"/>
      <w:sz w:val="24"/>
      <w:szCs w:val="24"/>
      <w:lang w:val="en-US" w:eastAsia="zh-CN"/>
    </w:rPr>
  </w:style>
  <w:style w:type="character" w:customStyle="1" w:styleId="1630">
    <w:name w:val="正文修改 Char1113"/>
    <w:qFormat/>
    <w:uiPriority w:val="0"/>
    <w:rPr>
      <w:rFonts w:ascii="宋体" w:hAnsi="宋体" w:eastAsia="宋体" w:cs="宋体"/>
      <w:color w:val="000000"/>
      <w:kern w:val="2"/>
      <w:sz w:val="24"/>
      <w:szCs w:val="24"/>
      <w:lang w:val="en-US" w:eastAsia="zh-CN"/>
    </w:rPr>
  </w:style>
  <w:style w:type="character" w:customStyle="1" w:styleId="1631">
    <w:name w:val="Char Char81"/>
    <w:qFormat/>
    <w:uiPriority w:val="0"/>
    <w:rPr>
      <w:rFonts w:eastAsia="宋体"/>
      <w:kern w:val="2"/>
      <w:sz w:val="16"/>
      <w:szCs w:val="16"/>
      <w:lang w:val="en-US" w:eastAsia="zh-CN"/>
    </w:rPr>
  </w:style>
  <w:style w:type="character" w:customStyle="1" w:styleId="1632">
    <w:name w:val="正文首行缩进 2 Char13"/>
    <w:qFormat/>
    <w:uiPriority w:val="0"/>
    <w:rPr>
      <w:rFonts w:ascii="宋体" w:hAnsi="宋体" w:eastAsia="仿宋_GB2312" w:cs="宋体"/>
      <w:color w:val="000000"/>
      <w:kern w:val="2"/>
      <w:sz w:val="21"/>
      <w:szCs w:val="24"/>
      <w:lang w:val="en-US" w:eastAsia="zh-CN"/>
    </w:rPr>
  </w:style>
  <w:style w:type="character" w:customStyle="1" w:styleId="1633">
    <w:name w:val="textsy"/>
    <w:qFormat/>
    <w:uiPriority w:val="0"/>
  </w:style>
  <w:style w:type="character" w:customStyle="1" w:styleId="1634">
    <w:name w:val="Char Char69"/>
    <w:qFormat/>
    <w:uiPriority w:val="0"/>
    <w:rPr>
      <w:rFonts w:ascii="黑体" w:eastAsia="黑体"/>
      <w:b/>
      <w:bCs/>
      <w:kern w:val="2"/>
      <w:sz w:val="28"/>
      <w:szCs w:val="28"/>
      <w:lang w:val="en-US" w:eastAsia="zh-CN"/>
    </w:rPr>
  </w:style>
  <w:style w:type="character" w:customStyle="1" w:styleId="1635">
    <w:name w:val="表题1 Char8"/>
    <w:qFormat/>
    <w:uiPriority w:val="0"/>
    <w:rPr>
      <w:rFonts w:ascii="黑体" w:hAnsi="Arial" w:eastAsia="黑体" w:cs="Arial"/>
      <w:b/>
      <w:kern w:val="2"/>
      <w:sz w:val="24"/>
      <w:szCs w:val="24"/>
      <w:lang w:val="en-US" w:eastAsia="zh-CN"/>
    </w:rPr>
  </w:style>
  <w:style w:type="character" w:customStyle="1" w:styleId="1636">
    <w:name w:val="正文文本缩进 3 Char51"/>
    <w:qFormat/>
    <w:uiPriority w:val="0"/>
    <w:rPr>
      <w:rFonts w:ascii="Times New Roman" w:hAnsi="Times New Roman" w:eastAsia="宋体" w:cs="Times New Roman"/>
      <w:kern w:val="2"/>
      <w:sz w:val="16"/>
      <w:szCs w:val="16"/>
      <w:lang w:val="en-US" w:eastAsia="zh-CN"/>
    </w:rPr>
  </w:style>
  <w:style w:type="character" w:customStyle="1" w:styleId="1637">
    <w:name w:val="正文（首行缩进两字） Char Char Char Char Char Char Char Char Char Char"/>
    <w:qFormat/>
    <w:uiPriority w:val="0"/>
    <w:rPr>
      <w:rFonts w:ascii="仿宋_GB2312" w:eastAsia="仿宋_GB2312"/>
      <w:kern w:val="2"/>
      <w:sz w:val="28"/>
      <w:lang w:val="en-US" w:eastAsia="zh-CN"/>
    </w:rPr>
  </w:style>
  <w:style w:type="character" w:customStyle="1" w:styleId="1638">
    <w:name w:val="三级标题 Char23"/>
    <w:qFormat/>
    <w:uiPriority w:val="0"/>
    <w:rPr>
      <w:rFonts w:ascii="黑体" w:hAnsi="宋体" w:eastAsia="黑体"/>
      <w:bCs/>
      <w:kern w:val="2"/>
      <w:sz w:val="28"/>
      <w:szCs w:val="28"/>
      <w:lang w:val="en-US" w:eastAsia="zh-CN"/>
    </w:rPr>
  </w:style>
  <w:style w:type="character" w:customStyle="1" w:styleId="1639">
    <w:name w:val="Char Char102"/>
    <w:qFormat/>
    <w:uiPriority w:val="0"/>
    <w:rPr>
      <w:rFonts w:ascii="宋体" w:hAnsi="宋体" w:eastAsia="宋体" w:cs="宋体"/>
      <w:color w:val="000000"/>
      <w:kern w:val="2"/>
      <w:sz w:val="24"/>
      <w:szCs w:val="24"/>
      <w:lang w:val="en-US" w:eastAsia="zh-CN"/>
    </w:rPr>
  </w:style>
  <w:style w:type="character" w:customStyle="1" w:styleId="1640">
    <w:name w:val="正文文本 3 Char11"/>
    <w:qFormat/>
    <w:uiPriority w:val="0"/>
    <w:rPr>
      <w:rFonts w:eastAsia="宋体"/>
      <w:kern w:val="2"/>
      <w:sz w:val="16"/>
      <w:szCs w:val="16"/>
      <w:lang w:val="en-US" w:eastAsia="zh-CN"/>
    </w:rPr>
  </w:style>
  <w:style w:type="character" w:customStyle="1" w:styleId="1641">
    <w:name w:val="题注 Char611"/>
    <w:qFormat/>
    <w:uiPriority w:val="0"/>
    <w:rPr>
      <w:rFonts w:ascii="黑体" w:hAnsi="Arial" w:eastAsia="黑体" w:cs="Arial"/>
      <w:b/>
      <w:kern w:val="2"/>
      <w:sz w:val="24"/>
      <w:szCs w:val="24"/>
      <w:lang w:val="en-US" w:eastAsia="zh-CN"/>
    </w:rPr>
  </w:style>
  <w:style w:type="character" w:customStyle="1" w:styleId="1642">
    <w:name w:val="正文斜体 Char4"/>
    <w:qFormat/>
    <w:uiPriority w:val="0"/>
    <w:rPr>
      <w:rFonts w:ascii="宋体" w:hAnsi="宋体" w:eastAsia="宋体"/>
      <w:i/>
      <w:iCs/>
      <w:kern w:val="2"/>
      <w:sz w:val="24"/>
      <w:szCs w:val="24"/>
      <w:lang w:val="en-US" w:eastAsia="zh-CN"/>
    </w:rPr>
  </w:style>
  <w:style w:type="character" w:customStyle="1" w:styleId="1643">
    <w:name w:val="Char Char47"/>
    <w:qFormat/>
    <w:uiPriority w:val="0"/>
    <w:rPr>
      <w:rFonts w:ascii="黑体" w:hAnsi="Arial" w:eastAsia="黑体"/>
      <w:b/>
      <w:bCs/>
      <w:kern w:val="2"/>
      <w:sz w:val="30"/>
      <w:szCs w:val="30"/>
      <w:lang w:val="en-US" w:eastAsia="zh-CN"/>
    </w:rPr>
  </w:style>
  <w:style w:type="character" w:customStyle="1" w:styleId="1644">
    <w:name w:val="Char Char1121"/>
    <w:qFormat/>
    <w:uiPriority w:val="0"/>
    <w:rPr>
      <w:rFonts w:ascii="黑体" w:hAnsi="Arial" w:eastAsia="黑体"/>
      <w:bCs/>
      <w:kern w:val="2"/>
      <w:sz w:val="30"/>
      <w:szCs w:val="30"/>
      <w:lang w:val="en-US" w:eastAsia="zh-CN"/>
    </w:rPr>
  </w:style>
  <w:style w:type="character" w:customStyle="1" w:styleId="1645">
    <w:name w:val="标题 3 Char31"/>
    <w:qFormat/>
    <w:uiPriority w:val="0"/>
    <w:rPr>
      <w:rFonts w:ascii="黑体" w:hAnsi="宋体" w:eastAsia="黑体"/>
      <w:b/>
      <w:bCs/>
      <w:kern w:val="2"/>
      <w:sz w:val="28"/>
      <w:szCs w:val="28"/>
      <w:lang w:val="en-US" w:eastAsia="zh-CN"/>
    </w:rPr>
  </w:style>
  <w:style w:type="character" w:customStyle="1" w:styleId="1646">
    <w:name w:val="Char Char2115"/>
    <w:qFormat/>
    <w:uiPriority w:val="0"/>
    <w:rPr>
      <w:rFonts w:ascii="黑体" w:eastAsia="宋体"/>
      <w:kern w:val="2"/>
      <w:sz w:val="16"/>
      <w:szCs w:val="16"/>
      <w:lang w:val="en-US" w:eastAsia="zh-CN"/>
    </w:rPr>
  </w:style>
  <w:style w:type="character" w:customStyle="1" w:styleId="1647">
    <w:name w:val="正文修改 Char134"/>
    <w:qFormat/>
    <w:uiPriority w:val="0"/>
    <w:rPr>
      <w:rFonts w:ascii="宋体" w:hAnsi="宋体" w:eastAsia="宋体" w:cs="宋体"/>
      <w:color w:val="000000"/>
      <w:kern w:val="2"/>
      <w:sz w:val="24"/>
      <w:szCs w:val="24"/>
      <w:lang w:val="en-US" w:eastAsia="zh-CN"/>
    </w:rPr>
  </w:style>
  <w:style w:type="character" w:customStyle="1" w:styleId="1648">
    <w:name w:val="标题 4 Char11"/>
    <w:qFormat/>
    <w:uiPriority w:val="0"/>
    <w:rPr>
      <w:rFonts w:ascii="黑体" w:hAnsi="Arial" w:eastAsia="黑体"/>
      <w:b/>
      <w:bCs/>
      <w:kern w:val="2"/>
      <w:sz w:val="24"/>
      <w:szCs w:val="24"/>
      <w:lang w:val="en-US" w:eastAsia="zh-CN"/>
    </w:rPr>
  </w:style>
  <w:style w:type="character" w:customStyle="1" w:styleId="1649">
    <w:name w:val="Char Char11110"/>
    <w:qFormat/>
    <w:uiPriority w:val="0"/>
    <w:rPr>
      <w:rFonts w:ascii="黑体" w:hAnsi="Arial" w:eastAsia="黑体"/>
      <w:bCs/>
      <w:kern w:val="2"/>
      <w:sz w:val="30"/>
      <w:szCs w:val="30"/>
      <w:lang w:val="en-US" w:eastAsia="zh-CN"/>
    </w:rPr>
  </w:style>
  <w:style w:type="character" w:customStyle="1" w:styleId="1650">
    <w:name w:val="表题1 Char63"/>
    <w:qFormat/>
    <w:uiPriority w:val="0"/>
    <w:rPr>
      <w:rFonts w:ascii="黑体" w:hAnsi="Arial" w:eastAsia="黑体" w:cs="Arial"/>
      <w:b/>
      <w:kern w:val="2"/>
      <w:sz w:val="24"/>
      <w:szCs w:val="24"/>
      <w:lang w:val="en-US" w:eastAsia="zh-CN"/>
    </w:rPr>
  </w:style>
  <w:style w:type="character" w:customStyle="1" w:styleId="1651">
    <w:name w:val="Char Char215"/>
    <w:qFormat/>
    <w:uiPriority w:val="0"/>
    <w:rPr>
      <w:rFonts w:ascii="黑体" w:eastAsia="宋体"/>
      <w:kern w:val="2"/>
      <w:sz w:val="16"/>
      <w:szCs w:val="16"/>
      <w:lang w:val="en-US" w:eastAsia="zh-CN"/>
    </w:rPr>
  </w:style>
  <w:style w:type="character" w:customStyle="1" w:styleId="1652">
    <w:name w:val="页眉 Char2"/>
    <w:qFormat/>
    <w:uiPriority w:val="0"/>
    <w:rPr>
      <w:rFonts w:ascii="Times New Roman" w:hAnsi="Times New Roman" w:eastAsia="宋体" w:cs="Times New Roman"/>
      <w:kern w:val="2"/>
      <w:sz w:val="18"/>
      <w:szCs w:val="18"/>
      <w:lang w:val="en-US" w:eastAsia="zh-CN"/>
    </w:rPr>
  </w:style>
  <w:style w:type="character" w:customStyle="1" w:styleId="1653">
    <w:name w:val="表内5 Char4"/>
    <w:uiPriority w:val="0"/>
    <w:rPr>
      <w:rFonts w:ascii="宋体" w:hAnsi="宋体" w:eastAsia="宋体" w:cs="Times New Roman"/>
      <w:kern w:val="2"/>
      <w:sz w:val="24"/>
      <w:szCs w:val="21"/>
      <w:lang w:val="en-US" w:eastAsia="zh-CN"/>
    </w:rPr>
  </w:style>
  <w:style w:type="character" w:customStyle="1" w:styleId="1654">
    <w:name w:val="样式 表内小5 + 黑体 加粗 倾斜 下划线 Char4"/>
    <w:uiPriority w:val="0"/>
    <w:rPr>
      <w:rFonts w:ascii="黑体" w:hAnsi="黑体" w:eastAsia="黑体"/>
      <w:b/>
      <w:bCs/>
      <w:i/>
      <w:iCs/>
      <w:kern w:val="2"/>
      <w:sz w:val="18"/>
      <w:szCs w:val="24"/>
      <w:u w:val="single"/>
      <w:lang w:val="en-US" w:eastAsia="zh-CN"/>
    </w:rPr>
  </w:style>
  <w:style w:type="character" w:customStyle="1" w:styleId="1655">
    <w:name w:val="题注 Char63"/>
    <w:uiPriority w:val="0"/>
    <w:rPr>
      <w:rFonts w:ascii="黑体" w:hAnsi="Arial" w:eastAsia="黑体" w:cs="Arial"/>
      <w:b/>
      <w:kern w:val="2"/>
      <w:sz w:val="24"/>
      <w:szCs w:val="24"/>
      <w:lang w:val="en-US" w:eastAsia="zh-CN"/>
    </w:rPr>
  </w:style>
  <w:style w:type="character" w:customStyle="1" w:styleId="1656">
    <w:name w:val="图表题 Char1"/>
    <w:uiPriority w:val="0"/>
    <w:rPr>
      <w:rFonts w:ascii="黑体" w:hAnsi="宋体" w:eastAsia="黑体" w:cs="宋体"/>
      <w:b/>
      <w:bCs/>
      <w:kern w:val="2"/>
      <w:sz w:val="24"/>
      <w:szCs w:val="24"/>
      <w:lang w:val="en-US" w:eastAsia="zh-CN"/>
    </w:rPr>
  </w:style>
  <w:style w:type="character" w:customStyle="1" w:styleId="1657">
    <w:name w:val="标题 4 Char31"/>
    <w:uiPriority w:val="0"/>
    <w:rPr>
      <w:rFonts w:ascii="黑体" w:hAnsi="Arial" w:eastAsia="黑体" w:cs="Times New Roman"/>
      <w:b/>
      <w:bCs/>
      <w:kern w:val="2"/>
      <w:sz w:val="24"/>
      <w:szCs w:val="24"/>
      <w:lang w:val="en-US" w:eastAsia="zh-CN"/>
    </w:rPr>
  </w:style>
  <w:style w:type="character" w:customStyle="1" w:styleId="1658">
    <w:name w:val="正文文本 3 Char21"/>
    <w:uiPriority w:val="0"/>
    <w:rPr>
      <w:rFonts w:eastAsia="宋体"/>
      <w:kern w:val="2"/>
      <w:sz w:val="16"/>
      <w:szCs w:val="16"/>
      <w:lang w:val="en-US" w:eastAsia="zh-CN"/>
    </w:rPr>
  </w:style>
  <w:style w:type="character" w:customStyle="1" w:styleId="1659">
    <w:name w:val="正文修改 Char17"/>
    <w:uiPriority w:val="0"/>
    <w:rPr>
      <w:rFonts w:ascii="宋体" w:hAnsi="宋体" w:eastAsia="宋体" w:cs="宋体"/>
      <w:color w:val="000000"/>
      <w:kern w:val="2"/>
      <w:sz w:val="24"/>
      <w:szCs w:val="24"/>
      <w:lang w:val="en-US" w:eastAsia="zh-CN"/>
    </w:rPr>
  </w:style>
  <w:style w:type="character" w:customStyle="1" w:styleId="1660">
    <w:name w:val="正文修改 Char111"/>
    <w:uiPriority w:val="0"/>
    <w:rPr>
      <w:rFonts w:ascii="宋体" w:hAnsi="宋体" w:eastAsia="宋体" w:cs="宋体"/>
      <w:color w:val="000000"/>
      <w:kern w:val="2"/>
      <w:sz w:val="24"/>
      <w:szCs w:val="24"/>
      <w:lang w:val="en-US" w:eastAsia="zh-CN"/>
    </w:rPr>
  </w:style>
  <w:style w:type="character" w:customStyle="1" w:styleId="1661">
    <w:name w:val="Char Char2113"/>
    <w:uiPriority w:val="0"/>
    <w:rPr>
      <w:rFonts w:ascii="黑体" w:eastAsia="宋体"/>
      <w:kern w:val="2"/>
      <w:sz w:val="16"/>
      <w:szCs w:val="16"/>
      <w:lang w:val="en-US" w:eastAsia="zh-CN"/>
    </w:rPr>
  </w:style>
  <w:style w:type="character" w:customStyle="1" w:styleId="1662">
    <w:name w:val="Char Char415"/>
    <w:uiPriority w:val="0"/>
    <w:rPr>
      <w:rFonts w:ascii="黑体" w:hAnsi="Arial" w:eastAsia="黑体"/>
      <w:b/>
      <w:bCs/>
      <w:kern w:val="2"/>
      <w:sz w:val="30"/>
      <w:szCs w:val="30"/>
      <w:lang w:val="en-US" w:eastAsia="zh-CN"/>
    </w:rPr>
  </w:style>
  <w:style w:type="character" w:customStyle="1" w:styleId="1663">
    <w:name w:val="表格内字体 Char81"/>
    <w:uiPriority w:val="0"/>
    <w:rPr>
      <w:rFonts w:ascii="宋体" w:hAnsi="宋体" w:eastAsia="宋体"/>
      <w:kern w:val="2"/>
      <w:sz w:val="21"/>
      <w:szCs w:val="24"/>
      <w:lang w:val="en-US" w:eastAsia="zh-CN"/>
    </w:rPr>
  </w:style>
  <w:style w:type="character" w:customStyle="1" w:styleId="1664">
    <w:name w:val="正文缩进 Char321"/>
    <w:uiPriority w:val="0"/>
    <w:rPr>
      <w:rFonts w:ascii="宋体" w:hAnsi="宋体" w:eastAsia="宋体" w:cs="宋体"/>
      <w:color w:val="000000"/>
      <w:kern w:val="0"/>
      <w:sz w:val="24"/>
      <w:szCs w:val="24"/>
      <w:lang w:val="en-US" w:eastAsia="zh-CN"/>
    </w:rPr>
  </w:style>
  <w:style w:type="character" w:customStyle="1" w:styleId="1665">
    <w:name w:val="正文修改 Char1312"/>
    <w:uiPriority w:val="0"/>
    <w:rPr>
      <w:rFonts w:ascii="宋体" w:hAnsi="宋体" w:eastAsia="宋体" w:cs="宋体"/>
      <w:color w:val="000000"/>
      <w:kern w:val="2"/>
      <w:sz w:val="24"/>
      <w:szCs w:val="24"/>
      <w:lang w:val="en-US" w:eastAsia="zh-CN"/>
    </w:rPr>
  </w:style>
  <w:style w:type="character" w:customStyle="1" w:styleId="1666">
    <w:name w:val="普通文字 Char2"/>
    <w:uiPriority w:val="0"/>
    <w:rPr>
      <w:rFonts w:eastAsia="宋体"/>
      <w:spacing w:val="8"/>
      <w:kern w:val="2"/>
      <w:sz w:val="24"/>
      <w:lang w:val="en-US" w:eastAsia="zh-CN"/>
    </w:rPr>
  </w:style>
  <w:style w:type="character" w:customStyle="1" w:styleId="1667">
    <w:name w:val="标题4 Char4"/>
    <w:uiPriority w:val="0"/>
    <w:rPr>
      <w:rFonts w:ascii="黑体" w:hAnsi="Arial" w:eastAsia="黑体" w:cs="Times New Roman"/>
      <w:b/>
      <w:bCs/>
      <w:kern w:val="2"/>
      <w:sz w:val="24"/>
      <w:szCs w:val="28"/>
      <w:lang w:val="en-US" w:eastAsia="zh-CN"/>
    </w:rPr>
  </w:style>
  <w:style w:type="character" w:customStyle="1" w:styleId="1668">
    <w:name w:val="Char Char212"/>
    <w:uiPriority w:val="0"/>
    <w:rPr>
      <w:rFonts w:ascii="黑体" w:eastAsia="宋体"/>
      <w:kern w:val="2"/>
      <w:sz w:val="16"/>
      <w:szCs w:val="16"/>
      <w:lang w:val="en-US" w:eastAsia="zh-CN"/>
    </w:rPr>
  </w:style>
  <w:style w:type="character" w:customStyle="1" w:styleId="1669">
    <w:name w:val="正文格式 Char111"/>
    <w:uiPriority w:val="0"/>
    <w:rPr>
      <w:rFonts w:ascii="宋体" w:hAnsi="宋体" w:eastAsia="宋体"/>
      <w:kern w:val="2"/>
      <w:sz w:val="24"/>
      <w:szCs w:val="24"/>
      <w:lang w:val="en-US" w:eastAsia="zh-CN"/>
    </w:rPr>
  </w:style>
  <w:style w:type="character" w:customStyle="1" w:styleId="1670">
    <w:name w:val="Char Char631"/>
    <w:uiPriority w:val="0"/>
    <w:rPr>
      <w:rFonts w:ascii="黑体" w:eastAsia="黑体"/>
      <w:b/>
      <w:bCs/>
      <w:kern w:val="2"/>
      <w:sz w:val="28"/>
      <w:szCs w:val="28"/>
      <w:lang w:val="en-US" w:eastAsia="zh-CN"/>
    </w:rPr>
  </w:style>
  <w:style w:type="character" w:customStyle="1" w:styleId="1671">
    <w:name w:val="标题 7 Char11"/>
    <w:uiPriority w:val="0"/>
    <w:rPr>
      <w:rFonts w:eastAsia="宋体"/>
      <w:b/>
      <w:bCs/>
      <w:kern w:val="2"/>
      <w:sz w:val="24"/>
      <w:szCs w:val="24"/>
      <w:lang w:val="en-US" w:eastAsia="zh-CN"/>
    </w:rPr>
  </w:style>
  <w:style w:type="character" w:customStyle="1" w:styleId="1672">
    <w:name w:val="题注 Char41"/>
    <w:uiPriority w:val="0"/>
    <w:rPr>
      <w:rFonts w:ascii="黑体" w:hAnsi="Arial" w:eastAsia="黑体" w:cs="Arial"/>
      <w:b/>
      <w:kern w:val="2"/>
      <w:sz w:val="24"/>
      <w:szCs w:val="24"/>
      <w:lang w:val="en-US" w:eastAsia="zh-CN"/>
    </w:rPr>
  </w:style>
  <w:style w:type="character" w:customStyle="1" w:styleId="1673">
    <w:name w:val="HTML 打字机1"/>
    <w:uiPriority w:val="0"/>
    <w:rPr>
      <w:rFonts w:ascii="Courier New" w:hAnsi="Courier New" w:eastAsia="宋体" w:cs="Courier New"/>
      <w:kern w:val="2"/>
      <w:sz w:val="20"/>
      <w:szCs w:val="20"/>
      <w:lang w:val="en-US" w:eastAsia="zh-CN"/>
    </w:rPr>
  </w:style>
  <w:style w:type="character" w:customStyle="1" w:styleId="1674">
    <w:name w:val="HTML 缩写2"/>
    <w:uiPriority w:val="0"/>
    <w:rPr>
      <w:rFonts w:ascii="宋体" w:hAnsi="宋体" w:eastAsia="宋体" w:cs="Courier New"/>
      <w:kern w:val="2"/>
      <w:sz w:val="32"/>
      <w:szCs w:val="32"/>
      <w:lang w:val="en-US" w:eastAsia="zh-CN"/>
    </w:rPr>
  </w:style>
  <w:style w:type="character" w:customStyle="1" w:styleId="1675">
    <w:name w:val="正文首行缩进 Char21"/>
    <w:uiPriority w:val="0"/>
    <w:rPr>
      <w:rFonts w:eastAsia="宋体"/>
      <w:kern w:val="2"/>
      <w:sz w:val="24"/>
      <w:szCs w:val="24"/>
      <w:lang w:val="en-US" w:eastAsia="zh-CN"/>
    </w:rPr>
  </w:style>
  <w:style w:type="character" w:customStyle="1" w:styleId="1676">
    <w:name w:val="纯文本 Char31"/>
    <w:uiPriority w:val="0"/>
    <w:rPr>
      <w:rFonts w:ascii="宋体" w:hAnsi="Courier New" w:eastAsia="宋体" w:cs="Courier New"/>
      <w:kern w:val="2"/>
      <w:sz w:val="24"/>
      <w:szCs w:val="21"/>
      <w:lang w:val="en-US" w:eastAsia="zh-CN"/>
    </w:rPr>
  </w:style>
  <w:style w:type="character" w:customStyle="1" w:styleId="1677">
    <w:name w:val="批注框文本 Char61"/>
    <w:uiPriority w:val="0"/>
    <w:rPr>
      <w:rFonts w:eastAsia="宋体"/>
      <w:kern w:val="2"/>
      <w:sz w:val="18"/>
      <w:szCs w:val="18"/>
      <w:lang w:val="en-US" w:eastAsia="zh-CN"/>
    </w:rPr>
  </w:style>
  <w:style w:type="character" w:customStyle="1" w:styleId="1678">
    <w:name w:val="Char Char217"/>
    <w:uiPriority w:val="0"/>
    <w:rPr>
      <w:rFonts w:ascii="黑体" w:eastAsia="宋体"/>
      <w:kern w:val="2"/>
      <w:sz w:val="16"/>
      <w:szCs w:val="16"/>
      <w:lang w:val="en-US" w:eastAsia="zh-CN"/>
    </w:rPr>
  </w:style>
  <w:style w:type="character" w:customStyle="1" w:styleId="1679">
    <w:name w:val="Char Char1123"/>
    <w:uiPriority w:val="0"/>
    <w:rPr>
      <w:rFonts w:ascii="黑体" w:hAnsi="Arial" w:eastAsia="黑体"/>
      <w:bCs/>
      <w:kern w:val="2"/>
      <w:sz w:val="30"/>
      <w:szCs w:val="30"/>
      <w:lang w:val="en-US" w:eastAsia="zh-CN"/>
    </w:rPr>
  </w:style>
  <w:style w:type="character" w:customStyle="1" w:styleId="1680">
    <w:name w:val="福建正文缩进 Char21"/>
    <w:uiPriority w:val="0"/>
    <w:rPr>
      <w:rFonts w:ascii="宋体" w:hAnsi="宋体" w:eastAsia="宋体" w:cs="宋体"/>
      <w:color w:val="000000"/>
      <w:kern w:val="2"/>
      <w:sz w:val="24"/>
      <w:szCs w:val="24"/>
      <w:lang w:val="en-US" w:eastAsia="zh-CN"/>
    </w:rPr>
  </w:style>
  <w:style w:type="character" w:customStyle="1" w:styleId="1681">
    <w:name w:val="正文修改 Char12111"/>
    <w:uiPriority w:val="0"/>
    <w:rPr>
      <w:rFonts w:ascii="宋体" w:hAnsi="宋体" w:eastAsia="宋体" w:cs="宋体"/>
      <w:color w:val="000000"/>
      <w:kern w:val="2"/>
      <w:sz w:val="24"/>
      <w:szCs w:val="24"/>
      <w:lang w:val="en-US" w:eastAsia="zh-CN"/>
    </w:rPr>
  </w:style>
  <w:style w:type="character" w:customStyle="1" w:styleId="1682">
    <w:name w:val="表题1 Char61"/>
    <w:uiPriority w:val="0"/>
    <w:rPr>
      <w:rFonts w:ascii="黑体" w:hAnsi="Arial" w:eastAsia="黑体" w:cs="Arial"/>
      <w:b/>
      <w:kern w:val="2"/>
      <w:sz w:val="24"/>
      <w:szCs w:val="24"/>
      <w:lang w:val="en-US" w:eastAsia="zh-CN"/>
    </w:rPr>
  </w:style>
  <w:style w:type="character" w:customStyle="1" w:styleId="1683">
    <w:name w:val="标题 2 Char51"/>
    <w:uiPriority w:val="0"/>
    <w:rPr>
      <w:rFonts w:ascii="黑体" w:hAnsi="Arial" w:eastAsia="黑体"/>
      <w:bCs/>
      <w:kern w:val="2"/>
      <w:sz w:val="30"/>
      <w:szCs w:val="30"/>
      <w:lang w:val="en-US" w:eastAsia="zh-CN"/>
    </w:rPr>
  </w:style>
  <w:style w:type="character" w:customStyle="1" w:styleId="1684">
    <w:name w:val="标题 5 Char11"/>
    <w:uiPriority w:val="0"/>
    <w:rPr>
      <w:rFonts w:ascii="宋体" w:hAnsi="宋体" w:eastAsia="宋体" w:cs="宋体"/>
      <w:b/>
      <w:bCs/>
      <w:kern w:val="2"/>
      <w:sz w:val="28"/>
      <w:szCs w:val="28"/>
      <w:lang w:val="en-US" w:eastAsia="zh-CN"/>
    </w:rPr>
  </w:style>
  <w:style w:type="character" w:customStyle="1" w:styleId="1685">
    <w:name w:val="Char Char45"/>
    <w:uiPriority w:val="0"/>
    <w:rPr>
      <w:rFonts w:ascii="黑体" w:hAnsi="Arial" w:eastAsia="黑体"/>
      <w:b/>
      <w:bCs/>
      <w:kern w:val="2"/>
      <w:sz w:val="30"/>
      <w:szCs w:val="30"/>
      <w:lang w:val="en-US" w:eastAsia="zh-CN"/>
    </w:rPr>
  </w:style>
  <w:style w:type="character" w:customStyle="1" w:styleId="1686">
    <w:name w:val="正文修改 Char153"/>
    <w:uiPriority w:val="0"/>
    <w:rPr>
      <w:rFonts w:ascii="宋体" w:hAnsi="宋体" w:eastAsia="宋体" w:cs="宋体"/>
      <w:color w:val="000000"/>
      <w:kern w:val="2"/>
      <w:sz w:val="24"/>
      <w:szCs w:val="24"/>
      <w:lang w:val="en-US" w:eastAsia="zh-CN"/>
    </w:rPr>
  </w:style>
  <w:style w:type="character" w:customStyle="1" w:styleId="1687">
    <w:name w:val="unnamed11"/>
    <w:uiPriority w:val="0"/>
    <w:rPr>
      <w:rFonts w:eastAsia="宋体"/>
      <w:color w:val="000000"/>
      <w:kern w:val="2"/>
      <w:sz w:val="18"/>
      <w:szCs w:val="28"/>
      <w:u w:val="none"/>
      <w:lang w:val="en-US" w:eastAsia="zh-CN"/>
    </w:rPr>
  </w:style>
  <w:style w:type="character" w:customStyle="1" w:styleId="1688">
    <w:name w:val="Char Char1216"/>
    <w:uiPriority w:val="0"/>
    <w:rPr>
      <w:rFonts w:ascii="黑体" w:hAnsi="Arial" w:eastAsia="黑体"/>
      <w:b/>
      <w:bCs/>
      <w:kern w:val="2"/>
      <w:sz w:val="30"/>
      <w:szCs w:val="30"/>
      <w:lang w:val="en-US" w:eastAsia="zh-CN"/>
    </w:rPr>
  </w:style>
  <w:style w:type="character" w:customStyle="1" w:styleId="1689">
    <w:name w:val="Char Char123"/>
    <w:uiPriority w:val="0"/>
    <w:rPr>
      <w:rFonts w:ascii="黑体" w:hAnsi="Arial" w:eastAsia="黑体"/>
      <w:b/>
      <w:bCs/>
      <w:kern w:val="2"/>
      <w:sz w:val="30"/>
      <w:szCs w:val="30"/>
      <w:lang w:val="en-US" w:eastAsia="zh-CN"/>
    </w:rPr>
  </w:style>
  <w:style w:type="character" w:customStyle="1" w:styleId="1690">
    <w:name w:val="表中文字 Char22"/>
    <w:uiPriority w:val="0"/>
    <w:rPr>
      <w:rFonts w:ascii="宋体" w:eastAsia="宋体"/>
      <w:kern w:val="2"/>
      <w:sz w:val="21"/>
      <w:szCs w:val="21"/>
      <w:lang w:val="en-US" w:eastAsia="zh-CN"/>
    </w:rPr>
  </w:style>
  <w:style w:type="character" w:customStyle="1" w:styleId="1691">
    <w:name w:val="Char Char621"/>
    <w:uiPriority w:val="0"/>
    <w:rPr>
      <w:rFonts w:ascii="黑体" w:eastAsia="黑体"/>
      <w:b/>
      <w:bCs/>
      <w:kern w:val="2"/>
      <w:sz w:val="28"/>
      <w:szCs w:val="28"/>
      <w:lang w:val="en-US" w:eastAsia="zh-CN"/>
    </w:rPr>
  </w:style>
  <w:style w:type="character" w:customStyle="1" w:styleId="1692">
    <w:name w:val="文档结构图 Char4"/>
    <w:uiPriority w:val="0"/>
    <w:rPr>
      <w:rFonts w:ascii="Times New Roman" w:hAnsi="Times New Roman" w:eastAsia="宋体" w:cs="Times New Roman"/>
      <w:kern w:val="2"/>
      <w:sz w:val="24"/>
      <w:szCs w:val="24"/>
      <w:shd w:val="clear" w:color="auto" w:fill="000080"/>
      <w:lang w:val="en-US" w:eastAsia="zh-CN"/>
    </w:rPr>
  </w:style>
  <w:style w:type="character" w:customStyle="1" w:styleId="1693">
    <w:name w:val="Char Char632"/>
    <w:uiPriority w:val="0"/>
    <w:rPr>
      <w:rFonts w:ascii="黑体" w:eastAsia="黑体"/>
      <w:b/>
      <w:bCs/>
      <w:kern w:val="2"/>
      <w:sz w:val="28"/>
      <w:szCs w:val="28"/>
      <w:lang w:val="en-US" w:eastAsia="zh-CN"/>
    </w:rPr>
  </w:style>
  <w:style w:type="character" w:customStyle="1" w:styleId="1694">
    <w:name w:val="正文格式 Char11"/>
    <w:uiPriority w:val="0"/>
    <w:rPr>
      <w:rFonts w:ascii="宋体" w:hAnsi="宋体" w:eastAsia="宋体"/>
      <w:kern w:val="2"/>
      <w:sz w:val="24"/>
      <w:szCs w:val="24"/>
      <w:lang w:val="en-US" w:eastAsia="zh-CN"/>
    </w:rPr>
  </w:style>
  <w:style w:type="character" w:customStyle="1" w:styleId="1695">
    <w:name w:val="题注 Char13"/>
    <w:uiPriority w:val="0"/>
    <w:rPr>
      <w:rFonts w:ascii="黑体" w:hAnsi="Arial" w:eastAsia="黑体" w:cs="Arial"/>
      <w:b/>
      <w:kern w:val="2"/>
      <w:sz w:val="24"/>
      <w:szCs w:val="24"/>
      <w:lang w:val="en-US" w:eastAsia="zh-CN"/>
    </w:rPr>
  </w:style>
  <w:style w:type="character" w:customStyle="1" w:styleId="1696">
    <w:name w:val="m_b21"/>
    <w:uiPriority w:val="0"/>
    <w:rPr>
      <w:b/>
      <w:bCs/>
      <w:spacing w:val="360"/>
      <w:sz w:val="26"/>
      <w:szCs w:val="26"/>
    </w:rPr>
  </w:style>
  <w:style w:type="character" w:customStyle="1" w:styleId="1697">
    <w:name w:val="表格内容 Char2"/>
    <w:uiPriority w:val="0"/>
    <w:rPr>
      <w:rFonts w:eastAsia="宋体"/>
      <w:kern w:val="2"/>
      <w:sz w:val="21"/>
      <w:szCs w:val="21"/>
      <w:lang w:val="en-US" w:eastAsia="zh-CN"/>
    </w:rPr>
  </w:style>
  <w:style w:type="character" w:customStyle="1" w:styleId="1698">
    <w:name w:val="正文修改 Char11"/>
    <w:uiPriority w:val="0"/>
    <w:rPr>
      <w:rFonts w:ascii="宋体" w:hAnsi="宋体" w:eastAsia="宋体" w:cs="宋体"/>
      <w:color w:val="000000"/>
      <w:kern w:val="2"/>
      <w:sz w:val="24"/>
      <w:szCs w:val="24"/>
      <w:lang w:val="en-US" w:eastAsia="zh-CN"/>
    </w:rPr>
  </w:style>
  <w:style w:type="character" w:customStyle="1" w:styleId="1699">
    <w:name w:val="表题1 Char4111"/>
    <w:uiPriority w:val="0"/>
    <w:rPr>
      <w:rFonts w:ascii="黑体" w:hAnsi="Arial" w:eastAsia="黑体" w:cs="Arial"/>
      <w:b/>
      <w:kern w:val="2"/>
      <w:sz w:val="24"/>
      <w:szCs w:val="24"/>
      <w:lang w:val="en-US" w:eastAsia="zh-CN"/>
    </w:rPr>
  </w:style>
  <w:style w:type="character" w:customStyle="1" w:styleId="1700">
    <w:name w:val="表题1 Char111"/>
    <w:uiPriority w:val="0"/>
    <w:rPr>
      <w:rFonts w:hAnsi="Arial" w:eastAsia="宋体" w:cs="Arial"/>
      <w:kern w:val="2"/>
      <w:sz w:val="24"/>
      <w:szCs w:val="24"/>
      <w:lang w:val="en-US" w:eastAsia="zh-CN"/>
    </w:rPr>
  </w:style>
  <w:style w:type="character" w:customStyle="1" w:styleId="1701">
    <w:name w:val="条标题1.1.1 Char4"/>
    <w:uiPriority w:val="0"/>
    <w:rPr>
      <w:rFonts w:eastAsia="仿宋_GB2312"/>
      <w:b/>
      <w:bCs/>
      <w:kern w:val="2"/>
      <w:sz w:val="28"/>
      <w:szCs w:val="32"/>
      <w:lang w:val="en-US" w:eastAsia="zh-CN"/>
    </w:rPr>
  </w:style>
  <w:style w:type="character" w:customStyle="1" w:styleId="1702">
    <w:name w:val="燕山正文 Char111"/>
    <w:uiPriority w:val="0"/>
    <w:rPr>
      <w:rFonts w:ascii="宋体" w:eastAsia="宋体" w:cs="宋体"/>
      <w:kern w:val="2"/>
      <w:sz w:val="24"/>
      <w:szCs w:val="24"/>
      <w:lang w:val="en-US" w:eastAsia="zh-CN"/>
    </w:rPr>
  </w:style>
  <w:style w:type="character" w:customStyle="1" w:styleId="1703">
    <w:name w:val="框图正文 Char"/>
    <w:uiPriority w:val="0"/>
    <w:rPr>
      <w:rFonts w:eastAsia="宋体"/>
      <w:kern w:val="2"/>
      <w:sz w:val="21"/>
      <w:szCs w:val="24"/>
      <w:lang w:val="en-US" w:eastAsia="zh-CN"/>
    </w:rPr>
  </w:style>
  <w:style w:type="character" w:customStyle="1" w:styleId="1704">
    <w:name w:val="article1"/>
    <w:uiPriority w:val="0"/>
    <w:rPr>
      <w:color w:val="000000"/>
      <w:spacing w:val="600"/>
      <w:sz w:val="18"/>
      <w:szCs w:val="18"/>
    </w:rPr>
  </w:style>
  <w:style w:type="character" w:customStyle="1" w:styleId="1705">
    <w:name w:val="文本框小四 Char Char"/>
    <w:uiPriority w:val="0"/>
    <w:rPr>
      <w:rFonts w:ascii="宋体" w:hAnsi="宋体" w:eastAsia="仿宋_GB2312" w:cs="Courier New"/>
      <w:kern w:val="2"/>
      <w:sz w:val="24"/>
      <w:szCs w:val="24"/>
      <w:lang w:val="en-US" w:eastAsia="zh-CN"/>
    </w:rPr>
  </w:style>
  <w:style w:type="character" w:customStyle="1" w:styleId="1706">
    <w:name w:val="题注 Char32"/>
    <w:uiPriority w:val="0"/>
    <w:rPr>
      <w:rFonts w:ascii="黑体" w:hAnsi="Arial" w:eastAsia="黑体" w:cs="Arial"/>
      <w:b/>
      <w:kern w:val="2"/>
      <w:sz w:val="24"/>
      <w:szCs w:val="24"/>
      <w:lang w:val="en-US" w:eastAsia="zh-CN"/>
    </w:rPr>
  </w:style>
  <w:style w:type="character" w:customStyle="1" w:styleId="1707">
    <w:name w:val="标题 5 Char2"/>
    <w:uiPriority w:val="0"/>
    <w:rPr>
      <w:rFonts w:ascii="Times New Roman" w:hAnsi="Times New Roman" w:eastAsia="宋体" w:cs="Times New Roman"/>
      <w:b/>
      <w:bCs/>
      <w:kern w:val="2"/>
      <w:sz w:val="28"/>
      <w:szCs w:val="28"/>
      <w:lang w:val="en-US" w:eastAsia="zh-CN"/>
    </w:rPr>
  </w:style>
  <w:style w:type="character" w:customStyle="1" w:styleId="1708">
    <w:name w:val="表格内字体 Char71"/>
    <w:uiPriority w:val="0"/>
    <w:rPr>
      <w:rFonts w:ascii="宋体" w:hAnsi="宋体" w:eastAsia="宋体"/>
      <w:kern w:val="2"/>
      <w:sz w:val="21"/>
      <w:szCs w:val="24"/>
      <w:lang w:val="en-US" w:eastAsia="zh-CN"/>
    </w:rPr>
  </w:style>
  <w:style w:type="character" w:customStyle="1" w:styleId="1709">
    <w:name w:val="Char Char151"/>
    <w:uiPriority w:val="0"/>
    <w:rPr>
      <w:rFonts w:eastAsia="宋体"/>
      <w:kern w:val="2"/>
      <w:sz w:val="18"/>
      <w:szCs w:val="18"/>
      <w:lang w:val="en-US" w:eastAsia="zh-CN"/>
    </w:rPr>
  </w:style>
  <w:style w:type="character" w:customStyle="1" w:styleId="1710">
    <w:name w:val="Char Char44"/>
    <w:uiPriority w:val="0"/>
    <w:rPr>
      <w:rFonts w:ascii="黑体" w:hAnsi="Arial" w:eastAsia="黑体"/>
      <w:b/>
      <w:bCs/>
      <w:kern w:val="2"/>
      <w:sz w:val="30"/>
      <w:szCs w:val="30"/>
      <w:lang w:val="en-US" w:eastAsia="zh-CN"/>
    </w:rPr>
  </w:style>
  <w:style w:type="character" w:customStyle="1" w:styleId="1711">
    <w:name w:val="题注 Char131"/>
    <w:uiPriority w:val="0"/>
    <w:rPr>
      <w:rFonts w:ascii="黑体" w:hAnsi="Arial" w:eastAsia="黑体" w:cs="Arial"/>
      <w:b/>
      <w:kern w:val="2"/>
      <w:sz w:val="24"/>
      <w:szCs w:val="24"/>
      <w:lang w:val="en-US" w:eastAsia="zh-CN"/>
    </w:rPr>
  </w:style>
  <w:style w:type="character" w:customStyle="1" w:styleId="1712">
    <w:name w:val="福建正文缩进 Char3"/>
    <w:uiPriority w:val="0"/>
    <w:rPr>
      <w:rFonts w:ascii="宋体" w:hAnsi="宋体" w:eastAsia="宋体" w:cs="宋体"/>
      <w:color w:val="000000"/>
      <w:kern w:val="0"/>
      <w:sz w:val="24"/>
      <w:szCs w:val="24"/>
      <w:lang w:val="en-US" w:eastAsia="zh-CN"/>
    </w:rPr>
  </w:style>
  <w:style w:type="character" w:customStyle="1" w:styleId="1713">
    <w:name w:val="题注 Char54"/>
    <w:uiPriority w:val="0"/>
    <w:rPr>
      <w:rFonts w:ascii="黑体" w:hAnsi="Arial" w:eastAsia="黑体" w:cs="Arial"/>
      <w:b/>
      <w:kern w:val="2"/>
      <w:sz w:val="24"/>
      <w:szCs w:val="24"/>
      <w:lang w:val="en-US" w:eastAsia="zh-CN"/>
    </w:rPr>
  </w:style>
  <w:style w:type="character" w:customStyle="1" w:styleId="1714">
    <w:name w:val="Char Char1114"/>
    <w:uiPriority w:val="0"/>
    <w:rPr>
      <w:rFonts w:ascii="黑体" w:hAnsi="Arial" w:eastAsia="黑体"/>
      <w:bCs/>
      <w:kern w:val="2"/>
      <w:sz w:val="30"/>
      <w:szCs w:val="30"/>
      <w:lang w:val="en-US" w:eastAsia="zh-CN"/>
    </w:rPr>
  </w:style>
  <w:style w:type="character" w:customStyle="1" w:styleId="1715">
    <w:name w:val="标题 3 Char Char12"/>
    <w:uiPriority w:val="0"/>
    <w:rPr>
      <w:rFonts w:ascii="黑体" w:hAnsi="宋体" w:eastAsia="黑体"/>
      <w:b/>
      <w:bCs/>
      <w:kern w:val="2"/>
      <w:sz w:val="28"/>
      <w:szCs w:val="28"/>
      <w:lang w:val="en-US" w:eastAsia="zh-CN"/>
    </w:rPr>
  </w:style>
  <w:style w:type="character" w:customStyle="1" w:styleId="1716">
    <w:name w:val="表题1 Char711"/>
    <w:uiPriority w:val="0"/>
    <w:rPr>
      <w:rFonts w:ascii="黑体" w:hAnsi="Arial" w:eastAsia="黑体" w:cs="Arial"/>
      <w:b/>
      <w:kern w:val="2"/>
      <w:sz w:val="24"/>
      <w:szCs w:val="24"/>
      <w:lang w:val="en-US" w:eastAsia="zh-CN"/>
    </w:rPr>
  </w:style>
  <w:style w:type="character" w:customStyle="1" w:styleId="1717">
    <w:name w:val="样式 表内小5 + 黑体 加粗 倾斜 下划线 Char3"/>
    <w:uiPriority w:val="0"/>
    <w:rPr>
      <w:rFonts w:ascii="黑体" w:hAnsi="黑体" w:eastAsia="黑体" w:cs="Times New Roman"/>
      <w:b/>
      <w:bCs/>
      <w:i/>
      <w:iCs/>
      <w:kern w:val="2"/>
      <w:sz w:val="18"/>
      <w:szCs w:val="24"/>
      <w:u w:val="single"/>
      <w:lang w:val="en-US" w:eastAsia="zh-CN"/>
    </w:rPr>
  </w:style>
  <w:style w:type="character" w:customStyle="1" w:styleId="1718">
    <w:name w:val="册除格式 Char Char Char"/>
    <w:uiPriority w:val="0"/>
    <w:rPr>
      <w:rFonts w:ascii="黑体" w:hAnsi="Arial" w:eastAsia="宋体" w:cs="Arial"/>
      <w:snapToGrid w:val="0"/>
      <w:spacing w:val="4"/>
      <w:kern w:val="18"/>
      <w:sz w:val="24"/>
      <w:szCs w:val="28"/>
      <w:lang w:val="en-US" w:eastAsia="zh-CN"/>
    </w:rPr>
  </w:style>
  <w:style w:type="character" w:customStyle="1" w:styleId="1719">
    <w:name w:val="Char Char610"/>
    <w:uiPriority w:val="0"/>
    <w:rPr>
      <w:rFonts w:ascii="黑体" w:eastAsia="黑体"/>
      <w:b/>
      <w:bCs/>
      <w:kern w:val="2"/>
      <w:sz w:val="28"/>
      <w:szCs w:val="28"/>
      <w:lang w:val="en-US" w:eastAsia="zh-CN"/>
    </w:rPr>
  </w:style>
  <w:style w:type="character" w:customStyle="1" w:styleId="1720">
    <w:name w:val="文本框五号 Char Char Char Char"/>
    <w:uiPriority w:val="0"/>
    <w:rPr>
      <w:rFonts w:ascii="宋体" w:hAnsi="宋体" w:eastAsia="仿宋_GB2312" w:cs="Courier New"/>
      <w:kern w:val="2"/>
      <w:sz w:val="21"/>
      <w:szCs w:val="21"/>
      <w:lang w:val="en-US" w:eastAsia="zh-CN"/>
    </w:rPr>
  </w:style>
  <w:style w:type="character" w:customStyle="1" w:styleId="1721">
    <w:name w:val="正文修改 Char131"/>
    <w:uiPriority w:val="0"/>
    <w:rPr>
      <w:rFonts w:ascii="宋体" w:hAnsi="宋体" w:eastAsia="宋体" w:cs="宋体"/>
      <w:color w:val="000000"/>
      <w:kern w:val="2"/>
      <w:sz w:val="24"/>
      <w:szCs w:val="24"/>
      <w:lang w:val="en-US" w:eastAsia="zh-CN"/>
    </w:rPr>
  </w:style>
  <w:style w:type="character" w:customStyle="1" w:styleId="1722">
    <w:name w:val="正文修改 Char123"/>
    <w:uiPriority w:val="0"/>
    <w:rPr>
      <w:rFonts w:ascii="宋体" w:hAnsi="宋体" w:eastAsia="宋体" w:cs="宋体"/>
      <w:color w:val="000000"/>
      <w:kern w:val="2"/>
      <w:sz w:val="24"/>
      <w:szCs w:val="24"/>
      <w:lang w:val="en-US" w:eastAsia="zh-CN"/>
    </w:rPr>
  </w:style>
  <w:style w:type="character" w:customStyle="1" w:styleId="1723">
    <w:name w:val="标题 2 Char2"/>
    <w:uiPriority w:val="0"/>
    <w:rPr>
      <w:rFonts w:ascii="黑体" w:hAnsi="Arial" w:eastAsia="黑体"/>
      <w:b/>
      <w:bCs/>
      <w:kern w:val="2"/>
      <w:sz w:val="30"/>
      <w:szCs w:val="30"/>
      <w:lang w:val="en-US" w:eastAsia="zh-CN"/>
    </w:rPr>
  </w:style>
  <w:style w:type="character" w:customStyle="1" w:styleId="1724">
    <w:name w:val="A正文 Char4"/>
    <w:uiPriority w:val="0"/>
    <w:rPr>
      <w:rFonts w:eastAsia="仿宋_GB2312"/>
      <w:kern w:val="2"/>
      <w:sz w:val="24"/>
      <w:szCs w:val="24"/>
      <w:lang w:val="en-US" w:eastAsia="zh-CN"/>
    </w:rPr>
  </w:style>
  <w:style w:type="character" w:customStyle="1" w:styleId="1725">
    <w:name w:val="表格内字体 Char2"/>
    <w:uiPriority w:val="0"/>
    <w:rPr>
      <w:rFonts w:ascii="宋体" w:hAnsi="宋体" w:eastAsia="宋体"/>
      <w:kern w:val="2"/>
      <w:sz w:val="21"/>
      <w:szCs w:val="24"/>
      <w:lang w:val="en-US" w:eastAsia="zh-CN"/>
    </w:rPr>
  </w:style>
  <w:style w:type="character" w:customStyle="1" w:styleId="1726">
    <w:name w:val="正文修改 Char13"/>
    <w:uiPriority w:val="0"/>
    <w:rPr>
      <w:rFonts w:ascii="宋体" w:hAnsi="宋体" w:eastAsia="宋体" w:cs="宋体"/>
      <w:color w:val="000000"/>
      <w:kern w:val="2"/>
      <w:sz w:val="24"/>
      <w:szCs w:val="24"/>
      <w:lang w:val="en-US" w:eastAsia="zh-CN"/>
    </w:rPr>
  </w:style>
  <w:style w:type="character" w:customStyle="1" w:styleId="1727">
    <w:name w:val="标题 8 Char21"/>
    <w:uiPriority w:val="0"/>
    <w:rPr>
      <w:rFonts w:ascii="Arial" w:hAnsi="Arial" w:eastAsia="黑体" w:cs="Times New Roman"/>
      <w:kern w:val="2"/>
      <w:sz w:val="24"/>
      <w:szCs w:val="24"/>
      <w:lang w:val="en-US" w:eastAsia="zh-CN"/>
    </w:rPr>
  </w:style>
  <w:style w:type="character" w:customStyle="1" w:styleId="1728">
    <w:name w:val="标题2 Char21"/>
    <w:uiPriority w:val="0"/>
    <w:rPr>
      <w:rFonts w:ascii="宋体" w:hAnsi="宋体" w:eastAsia="宋体" w:cs="宋体"/>
      <w:color w:val="000000"/>
      <w:kern w:val="2"/>
      <w:sz w:val="24"/>
      <w:szCs w:val="24"/>
      <w:lang w:val="en-US" w:eastAsia="zh-CN"/>
    </w:rPr>
  </w:style>
  <w:style w:type="character" w:customStyle="1" w:styleId="1729">
    <w:name w:val="表格内字体 Char21"/>
    <w:uiPriority w:val="0"/>
    <w:rPr>
      <w:rFonts w:ascii="宋体" w:hAnsi="宋体" w:eastAsia="宋体"/>
      <w:kern w:val="2"/>
      <w:sz w:val="21"/>
      <w:szCs w:val="24"/>
      <w:lang w:val="en-US" w:eastAsia="zh-CN"/>
    </w:rPr>
  </w:style>
  <w:style w:type="character" w:customStyle="1" w:styleId="1730">
    <w:name w:val="标题 2 Char Char11"/>
    <w:uiPriority w:val="0"/>
    <w:rPr>
      <w:rFonts w:ascii="黑体" w:hAnsi="Arial" w:eastAsia="黑体"/>
      <w:bCs/>
      <w:kern w:val="2"/>
      <w:sz w:val="30"/>
      <w:szCs w:val="30"/>
      <w:lang w:val="en-US" w:eastAsia="zh-CN"/>
    </w:rPr>
  </w:style>
  <w:style w:type="character" w:customStyle="1" w:styleId="1731">
    <w:name w:val="Char Char624"/>
    <w:uiPriority w:val="0"/>
    <w:rPr>
      <w:rFonts w:ascii="黑体" w:eastAsia="黑体"/>
      <w:b/>
      <w:bCs/>
      <w:kern w:val="2"/>
      <w:sz w:val="28"/>
      <w:szCs w:val="28"/>
      <w:lang w:val="en-US" w:eastAsia="zh-CN"/>
    </w:rPr>
  </w:style>
  <w:style w:type="character" w:customStyle="1" w:styleId="1732">
    <w:name w:val="Char Char31"/>
    <w:uiPriority w:val="0"/>
    <w:rPr>
      <w:rFonts w:ascii="黑体" w:hAnsi="宋体" w:eastAsia="黑体"/>
      <w:b/>
      <w:bCs/>
      <w:kern w:val="2"/>
      <w:sz w:val="28"/>
      <w:szCs w:val="28"/>
      <w:lang w:val="en-US" w:eastAsia="zh-CN"/>
    </w:rPr>
  </w:style>
  <w:style w:type="character" w:customStyle="1" w:styleId="1733">
    <w:name w:val="正文修改 Char1331"/>
    <w:uiPriority w:val="0"/>
    <w:rPr>
      <w:rFonts w:ascii="宋体" w:hAnsi="宋体" w:eastAsia="宋体" w:cs="宋体"/>
      <w:color w:val="000000"/>
      <w:kern w:val="2"/>
      <w:sz w:val="24"/>
      <w:szCs w:val="24"/>
      <w:lang w:val="en-US" w:eastAsia="zh-CN"/>
    </w:rPr>
  </w:style>
  <w:style w:type="character" w:customStyle="1" w:styleId="1734">
    <w:name w:val="标题 9 Char11"/>
    <w:uiPriority w:val="0"/>
    <w:rPr>
      <w:rFonts w:ascii="Arial" w:hAnsi="Arial" w:eastAsia="黑体"/>
      <w:kern w:val="2"/>
      <w:sz w:val="21"/>
      <w:szCs w:val="21"/>
      <w:lang w:val="en-US" w:eastAsia="zh-CN"/>
    </w:rPr>
  </w:style>
  <w:style w:type="character" w:customStyle="1" w:styleId="1735">
    <w:name w:val="燕山正文 Char16"/>
    <w:uiPriority w:val="0"/>
    <w:rPr>
      <w:rFonts w:ascii="宋体" w:eastAsia="宋体" w:cs="宋体"/>
      <w:kern w:val="2"/>
      <w:sz w:val="24"/>
      <w:szCs w:val="24"/>
      <w:lang w:val="en-US" w:eastAsia="zh-CN"/>
    </w:rPr>
  </w:style>
  <w:style w:type="character" w:customStyle="1" w:styleId="1736">
    <w:name w:val="正文文本 Char41"/>
    <w:uiPriority w:val="0"/>
    <w:rPr>
      <w:rFonts w:ascii="Times New Roman" w:hAnsi="Times New Roman" w:eastAsia="宋体" w:cs="Times New Roman"/>
      <w:kern w:val="2"/>
      <w:sz w:val="24"/>
      <w:szCs w:val="24"/>
      <w:lang w:val="en-US" w:eastAsia="zh-CN"/>
    </w:rPr>
  </w:style>
  <w:style w:type="character" w:customStyle="1" w:styleId="1737">
    <w:name w:val="表格内字体 Char11"/>
    <w:uiPriority w:val="0"/>
    <w:rPr>
      <w:rFonts w:ascii="宋体" w:hAnsi="宋体" w:eastAsia="宋体"/>
      <w:kern w:val="2"/>
      <w:sz w:val="21"/>
      <w:szCs w:val="24"/>
      <w:lang w:val="en-US" w:eastAsia="zh-CN"/>
    </w:rPr>
  </w:style>
  <w:style w:type="character" w:customStyle="1" w:styleId="1738">
    <w:name w:val="标题4 Char3"/>
    <w:uiPriority w:val="0"/>
    <w:rPr>
      <w:rFonts w:ascii="黑体" w:hAnsi="Arial" w:eastAsia="黑体" w:cs="Times New Roman"/>
      <w:b/>
      <w:bCs/>
      <w:kern w:val="2"/>
      <w:sz w:val="24"/>
      <w:szCs w:val="28"/>
      <w:lang w:val="en-US" w:eastAsia="zh-CN"/>
    </w:rPr>
  </w:style>
  <w:style w:type="character" w:customStyle="1" w:styleId="1739">
    <w:name w:val="标题正文黑 Char2"/>
    <w:uiPriority w:val="0"/>
    <w:rPr>
      <w:rFonts w:ascii="黑体" w:eastAsia="黑体"/>
      <w:kern w:val="2"/>
      <w:sz w:val="28"/>
      <w:szCs w:val="28"/>
      <w:lang w:val="en-US" w:eastAsia="zh-CN"/>
    </w:rPr>
  </w:style>
  <w:style w:type="character" w:customStyle="1" w:styleId="1740">
    <w:name w:val="标题 2 Char3"/>
    <w:uiPriority w:val="0"/>
    <w:rPr>
      <w:rFonts w:ascii="黑体" w:hAnsi="Arial" w:eastAsia="黑体"/>
      <w:bCs/>
      <w:kern w:val="2"/>
      <w:sz w:val="30"/>
      <w:szCs w:val="30"/>
      <w:lang w:val="en-US" w:eastAsia="zh-CN"/>
    </w:rPr>
  </w:style>
  <w:style w:type="character" w:customStyle="1" w:styleId="1741">
    <w:name w:val="Char Char418"/>
    <w:uiPriority w:val="0"/>
    <w:rPr>
      <w:rFonts w:ascii="黑体" w:hAnsi="Arial" w:eastAsia="黑体"/>
      <w:b/>
      <w:bCs/>
      <w:kern w:val="2"/>
      <w:sz w:val="30"/>
      <w:szCs w:val="30"/>
      <w:lang w:val="en-US" w:eastAsia="zh-CN"/>
    </w:rPr>
  </w:style>
  <w:style w:type="character" w:customStyle="1" w:styleId="1742">
    <w:name w:val="标题 2 Char1 Char"/>
    <w:uiPriority w:val="0"/>
    <w:rPr>
      <w:rFonts w:ascii="黑体" w:hAnsi="Arial" w:eastAsia="黑体"/>
      <w:b/>
      <w:bCs/>
      <w:kern w:val="2"/>
      <w:sz w:val="30"/>
      <w:szCs w:val="30"/>
      <w:lang w:val="en-US" w:eastAsia="zh-CN"/>
    </w:rPr>
  </w:style>
  <w:style w:type="character" w:customStyle="1" w:styleId="1743">
    <w:name w:val="图题 Char11"/>
    <w:uiPriority w:val="0"/>
    <w:rPr>
      <w:rFonts w:ascii="黑体" w:hAnsi="宋体" w:eastAsia="黑体" w:cs="宋体"/>
      <w:b/>
      <w:bCs/>
      <w:kern w:val="2"/>
      <w:sz w:val="24"/>
      <w:szCs w:val="24"/>
      <w:lang w:val="en-US" w:eastAsia="zh-CN"/>
    </w:rPr>
  </w:style>
  <w:style w:type="character" w:customStyle="1" w:styleId="1744">
    <w:name w:val="Char Char618"/>
    <w:uiPriority w:val="0"/>
    <w:rPr>
      <w:rFonts w:ascii="黑体" w:eastAsia="黑体"/>
      <w:b/>
      <w:bCs/>
      <w:kern w:val="2"/>
      <w:sz w:val="28"/>
      <w:szCs w:val="28"/>
      <w:lang w:val="en-US" w:eastAsia="zh-CN"/>
    </w:rPr>
  </w:style>
  <w:style w:type="character" w:customStyle="1" w:styleId="1745">
    <w:name w:val="表题1 Char44"/>
    <w:uiPriority w:val="0"/>
    <w:rPr>
      <w:rFonts w:ascii="黑体" w:hAnsi="Arial" w:eastAsia="黑体" w:cs="Arial"/>
      <w:b/>
      <w:kern w:val="2"/>
      <w:sz w:val="24"/>
      <w:szCs w:val="24"/>
      <w:lang w:val="en-US" w:eastAsia="zh-CN"/>
    </w:rPr>
  </w:style>
  <w:style w:type="character" w:customStyle="1" w:styleId="1746">
    <w:name w:val="正文格式 Char6"/>
    <w:uiPriority w:val="0"/>
    <w:rPr>
      <w:rFonts w:ascii="宋体" w:hAnsi="宋体" w:eastAsia="宋体" w:cs="Times New Roman"/>
      <w:kern w:val="2"/>
      <w:sz w:val="24"/>
      <w:szCs w:val="24"/>
      <w:lang w:val="en-US" w:eastAsia="zh-CN"/>
    </w:rPr>
  </w:style>
  <w:style w:type="character" w:customStyle="1" w:styleId="1747">
    <w:name w:val="图表题 Char31"/>
    <w:uiPriority w:val="0"/>
    <w:rPr>
      <w:rFonts w:ascii="黑体" w:hAnsi="宋体" w:eastAsia="黑体" w:cs="宋体"/>
      <w:b/>
      <w:bCs/>
      <w:kern w:val="2"/>
      <w:sz w:val="24"/>
      <w:szCs w:val="24"/>
      <w:lang w:val="en-US" w:eastAsia="zh-CN"/>
    </w:rPr>
  </w:style>
  <w:style w:type="character" w:customStyle="1" w:styleId="1748">
    <w:name w:val="标题 3 Char12"/>
    <w:uiPriority w:val="0"/>
    <w:rPr>
      <w:rFonts w:ascii="黑体" w:hAnsi="宋体" w:eastAsia="黑体"/>
      <w:b/>
      <w:bCs/>
      <w:kern w:val="2"/>
      <w:sz w:val="28"/>
      <w:szCs w:val="28"/>
      <w:lang w:val="en-US" w:eastAsia="zh-CN"/>
    </w:rPr>
  </w:style>
  <w:style w:type="character" w:customStyle="1" w:styleId="1749">
    <w:name w:val="表题1 Char613"/>
    <w:uiPriority w:val="0"/>
    <w:rPr>
      <w:rFonts w:ascii="黑体" w:hAnsi="Arial" w:eastAsia="黑体" w:cs="Arial"/>
      <w:b/>
      <w:kern w:val="2"/>
      <w:sz w:val="24"/>
      <w:szCs w:val="24"/>
      <w:lang w:val="en-US" w:eastAsia="zh-CN"/>
    </w:rPr>
  </w:style>
  <w:style w:type="character" w:customStyle="1" w:styleId="1750">
    <w:name w:val="正文文本 Char3"/>
    <w:uiPriority w:val="0"/>
    <w:rPr>
      <w:rFonts w:eastAsia="宋体"/>
      <w:kern w:val="2"/>
      <w:sz w:val="24"/>
      <w:szCs w:val="24"/>
      <w:lang w:val="en-US" w:eastAsia="zh-CN"/>
    </w:rPr>
  </w:style>
  <w:style w:type="character" w:customStyle="1" w:styleId="1751">
    <w:name w:val="Char Char52"/>
    <w:uiPriority w:val="0"/>
    <w:rPr>
      <w:rFonts w:ascii="黑体" w:hAnsi="宋体" w:eastAsia="黑体"/>
      <w:bCs/>
      <w:kern w:val="2"/>
      <w:sz w:val="28"/>
      <w:szCs w:val="28"/>
      <w:lang w:val="en-US" w:eastAsia="zh-CN"/>
    </w:rPr>
  </w:style>
  <w:style w:type="character" w:customStyle="1" w:styleId="1752">
    <w:name w:val="标题 1 Char4"/>
    <w:uiPriority w:val="0"/>
    <w:rPr>
      <w:rFonts w:ascii="黑体" w:hAnsi="宋体" w:eastAsia="黑体"/>
      <w:b/>
      <w:bCs/>
      <w:kern w:val="44"/>
      <w:sz w:val="32"/>
      <w:szCs w:val="32"/>
      <w:lang w:val="en-US" w:eastAsia="zh-CN"/>
    </w:rPr>
  </w:style>
  <w:style w:type="character" w:customStyle="1" w:styleId="1753">
    <w:name w:val="正文修改 Char1412"/>
    <w:uiPriority w:val="0"/>
    <w:rPr>
      <w:rFonts w:ascii="宋体" w:hAnsi="Times New Roman" w:eastAsia="宋体" w:cs="宋体"/>
      <w:kern w:val="2"/>
      <w:sz w:val="24"/>
      <w:szCs w:val="24"/>
      <w:lang w:val="en-US" w:eastAsia="zh-CN"/>
    </w:rPr>
  </w:style>
  <w:style w:type="character" w:customStyle="1" w:styleId="1754">
    <w:name w:val="at_6"/>
    <w:uiPriority w:val="0"/>
  </w:style>
  <w:style w:type="character" w:customStyle="1" w:styleId="1755">
    <w:name w:val="批注框文本 Char31"/>
    <w:uiPriority w:val="0"/>
    <w:rPr>
      <w:rFonts w:ascii="Times New Roman" w:hAnsi="Times New Roman" w:eastAsia="宋体" w:cs="Times New Roman"/>
      <w:kern w:val="2"/>
      <w:sz w:val="18"/>
      <w:szCs w:val="18"/>
      <w:lang w:val="en-US" w:eastAsia="zh-CN"/>
    </w:rPr>
  </w:style>
  <w:style w:type="character" w:customStyle="1" w:styleId="1756">
    <w:name w:val="燕山正文 Char131"/>
    <w:uiPriority w:val="0"/>
    <w:rPr>
      <w:rFonts w:ascii="宋体" w:eastAsia="宋体" w:cs="宋体"/>
      <w:kern w:val="2"/>
      <w:sz w:val="24"/>
      <w:szCs w:val="24"/>
      <w:lang w:val="en-US" w:eastAsia="zh-CN"/>
    </w:rPr>
  </w:style>
  <w:style w:type="character" w:customStyle="1" w:styleId="1757">
    <w:name w:val="Char Char115"/>
    <w:uiPriority w:val="0"/>
    <w:rPr>
      <w:rFonts w:ascii="黑体" w:hAnsi="Arial" w:eastAsia="黑体"/>
      <w:bCs/>
      <w:kern w:val="2"/>
      <w:sz w:val="30"/>
      <w:szCs w:val="30"/>
      <w:lang w:val="en-US" w:eastAsia="zh-CN"/>
    </w:rPr>
  </w:style>
  <w:style w:type="character" w:customStyle="1" w:styleId="1758">
    <w:name w:val="标题 3 Char3"/>
    <w:uiPriority w:val="0"/>
    <w:rPr>
      <w:rFonts w:ascii="黑体" w:hAnsi="宋体" w:eastAsia="黑体"/>
      <w:b/>
      <w:bCs/>
      <w:kern w:val="2"/>
      <w:sz w:val="28"/>
      <w:szCs w:val="28"/>
      <w:lang w:val="en-US" w:eastAsia="zh-CN"/>
    </w:rPr>
  </w:style>
  <w:style w:type="character" w:customStyle="1" w:styleId="1759">
    <w:name w:val="正文文本缩进 2 Char31"/>
    <w:uiPriority w:val="0"/>
    <w:rPr>
      <w:rFonts w:ascii="Times New Roman" w:hAnsi="Times New Roman" w:eastAsia="宋体" w:cs="Times New Roman"/>
      <w:kern w:val="2"/>
      <w:sz w:val="24"/>
      <w:szCs w:val="24"/>
      <w:lang w:val="en-US" w:eastAsia="zh-CN"/>
    </w:rPr>
  </w:style>
  <w:style w:type="character" w:customStyle="1" w:styleId="1760">
    <w:name w:val="图题 Char2"/>
    <w:uiPriority w:val="0"/>
    <w:rPr>
      <w:rFonts w:ascii="黑体" w:hAnsi="宋体" w:eastAsia="黑体" w:cs="宋体"/>
      <w:b/>
      <w:bCs/>
      <w:kern w:val="2"/>
      <w:sz w:val="24"/>
      <w:szCs w:val="24"/>
      <w:lang w:val="en-US" w:eastAsia="zh-CN"/>
    </w:rPr>
  </w:style>
  <w:style w:type="character" w:customStyle="1" w:styleId="1761">
    <w:name w:val="Char Char314"/>
    <w:uiPriority w:val="0"/>
    <w:rPr>
      <w:rFonts w:ascii="黑体" w:hAnsi="宋体" w:eastAsia="黑体"/>
      <w:b/>
      <w:bCs/>
      <w:kern w:val="2"/>
      <w:sz w:val="28"/>
      <w:szCs w:val="28"/>
      <w:lang w:val="en-US" w:eastAsia="zh-CN"/>
    </w:rPr>
  </w:style>
  <w:style w:type="character" w:customStyle="1" w:styleId="1762">
    <w:name w:val="Char Char1161"/>
    <w:uiPriority w:val="0"/>
    <w:rPr>
      <w:rFonts w:ascii="黑体" w:hAnsi="Arial" w:eastAsia="黑体"/>
      <w:bCs/>
      <w:kern w:val="2"/>
      <w:sz w:val="30"/>
      <w:szCs w:val="30"/>
      <w:lang w:val="en-US" w:eastAsia="zh-CN"/>
    </w:rPr>
  </w:style>
  <w:style w:type="character" w:customStyle="1" w:styleId="1763">
    <w:name w:val="标题 1 Char31"/>
    <w:uiPriority w:val="0"/>
    <w:rPr>
      <w:rFonts w:ascii="黑体" w:hAnsi="宋体" w:eastAsia="黑体" w:cs="Times New Roman"/>
      <w:bCs/>
      <w:kern w:val="44"/>
      <w:sz w:val="32"/>
      <w:szCs w:val="32"/>
      <w:lang w:val="en-US" w:eastAsia="zh-CN"/>
    </w:rPr>
  </w:style>
  <w:style w:type="character" w:customStyle="1" w:styleId="1764">
    <w:name w:val="标题 3 Char9"/>
    <w:uiPriority w:val="0"/>
    <w:rPr>
      <w:rFonts w:ascii="黑体" w:hAnsi="宋体" w:eastAsia="黑体" w:cs="Times New Roman"/>
      <w:b/>
      <w:bCs/>
      <w:kern w:val="2"/>
      <w:sz w:val="28"/>
      <w:szCs w:val="28"/>
      <w:lang w:val="en-US" w:eastAsia="zh-CN"/>
    </w:rPr>
  </w:style>
  <w:style w:type="character" w:customStyle="1" w:styleId="1765">
    <w:name w:val="题注 Char212"/>
    <w:uiPriority w:val="0"/>
    <w:rPr>
      <w:rFonts w:ascii="黑体" w:hAnsi="Arial" w:eastAsia="黑体" w:cs="Arial"/>
      <w:b/>
      <w:kern w:val="2"/>
      <w:sz w:val="24"/>
      <w:szCs w:val="24"/>
      <w:lang w:val="en-US" w:eastAsia="zh-CN"/>
    </w:rPr>
  </w:style>
  <w:style w:type="character" w:customStyle="1" w:styleId="1766">
    <w:name w:val="题注 Char211"/>
    <w:uiPriority w:val="0"/>
    <w:rPr>
      <w:rFonts w:ascii="黑体" w:hAnsi="Arial" w:eastAsia="黑体" w:cs="Arial"/>
      <w:b/>
      <w:kern w:val="2"/>
      <w:sz w:val="24"/>
      <w:szCs w:val="24"/>
      <w:lang w:val="en-US" w:eastAsia="zh-CN"/>
    </w:rPr>
  </w:style>
  <w:style w:type="character" w:customStyle="1" w:styleId="1767">
    <w:name w:val="正文格式 Char12"/>
    <w:uiPriority w:val="0"/>
    <w:rPr>
      <w:rFonts w:ascii="宋体" w:hAnsi="宋体" w:eastAsia="宋体" w:cs="Times New Roman"/>
      <w:kern w:val="2"/>
      <w:sz w:val="24"/>
      <w:szCs w:val="24"/>
      <w:lang w:val="en-US" w:eastAsia="zh-CN"/>
    </w:rPr>
  </w:style>
  <w:style w:type="character" w:customStyle="1" w:styleId="1768">
    <w:name w:val="Char Char2118"/>
    <w:uiPriority w:val="0"/>
    <w:rPr>
      <w:rFonts w:ascii="黑体" w:eastAsia="宋体"/>
      <w:kern w:val="2"/>
      <w:sz w:val="16"/>
      <w:szCs w:val="16"/>
      <w:lang w:val="en-US" w:eastAsia="zh-CN"/>
    </w:rPr>
  </w:style>
  <w:style w:type="character" w:customStyle="1" w:styleId="1769">
    <w:name w:val="redfont"/>
    <w:uiPriority w:val="0"/>
    <w:rPr>
      <w:rFonts w:ascii="宋体" w:hAnsi="宋体" w:eastAsia="黑体" w:cs="宋体"/>
      <w:kern w:val="2"/>
      <w:sz w:val="28"/>
      <w:szCs w:val="24"/>
      <w:lang w:val="en-US" w:eastAsia="zh-CN"/>
    </w:rPr>
  </w:style>
  <w:style w:type="character" w:customStyle="1" w:styleId="1770">
    <w:name w:val="副标题 Char2"/>
    <w:uiPriority w:val="0"/>
    <w:rPr>
      <w:rFonts w:ascii="Cambria" w:hAnsi="Cambria" w:eastAsia="宋体" w:cs="Times New Roman"/>
      <w:b/>
      <w:bCs/>
      <w:kern w:val="28"/>
      <w:sz w:val="32"/>
      <w:szCs w:val="32"/>
    </w:rPr>
  </w:style>
  <w:style w:type="character" w:customStyle="1" w:styleId="1771">
    <w:name w:val="批注框文本 Char8"/>
    <w:uiPriority w:val="0"/>
    <w:rPr>
      <w:sz w:val="18"/>
      <w:szCs w:val="18"/>
    </w:rPr>
  </w:style>
  <w:style w:type="paragraph" w:customStyle="1" w:styleId="1772">
    <w:name w:val="默认段落字体 Para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1773">
    <w:name w:val="表文字"/>
    <w:basedOn w:val="1"/>
    <w:uiPriority w:val="0"/>
    <w:pPr>
      <w:widowControl/>
      <w:jc w:val="center"/>
    </w:pPr>
    <w:rPr>
      <w:rFonts w:ascii="宋体" w:hAnsi="宋体" w:cs="宋体"/>
      <w:kern w:val="0"/>
      <w:szCs w:val="21"/>
    </w:rPr>
  </w:style>
  <w:style w:type="paragraph" w:customStyle="1" w:styleId="1774">
    <w:name w:val="Char Char Char"/>
    <w:basedOn w:val="1"/>
    <w:uiPriority w:val="0"/>
    <w:pPr>
      <w:widowControl/>
      <w:jc w:val="left"/>
    </w:pPr>
    <w:rPr>
      <w:rFonts w:ascii="宋体" w:hAnsi="宋体" w:cs="宋体"/>
      <w:kern w:val="0"/>
      <w:szCs w:val="24"/>
    </w:rPr>
  </w:style>
  <w:style w:type="paragraph" w:customStyle="1" w:styleId="1775">
    <w:name w:val="Char Char Char Char Char Char Char Char Char Char Char1 Char Char Char Char Char Char1 Char1"/>
    <w:basedOn w:val="1"/>
    <w:uiPriority w:val="0"/>
    <w:pPr>
      <w:widowControl/>
      <w:jc w:val="left"/>
    </w:pPr>
    <w:rPr>
      <w:rFonts w:ascii="宋体" w:hAnsi="宋体" w:cs="宋体"/>
      <w:kern w:val="0"/>
      <w:szCs w:val="24"/>
    </w:rPr>
  </w:style>
  <w:style w:type="paragraph" w:customStyle="1" w:styleId="1776">
    <w:name w:val="Char Char2 Char Char Char Char11"/>
    <w:basedOn w:val="1"/>
    <w:uiPriority w:val="0"/>
    <w:pPr>
      <w:widowControl/>
      <w:jc w:val="left"/>
    </w:pPr>
    <w:rPr>
      <w:rFonts w:ascii="宋体" w:hAnsi="宋体" w:cs="宋体"/>
      <w:kern w:val="0"/>
      <w:szCs w:val="24"/>
    </w:rPr>
  </w:style>
  <w:style w:type="paragraph" w:customStyle="1" w:styleId="1777">
    <w:name w:val="列表 31"/>
    <w:basedOn w:val="1"/>
    <w:uiPriority w:val="0"/>
    <w:pPr>
      <w:widowControl/>
      <w:ind w:left="100" w:leftChars="400" w:hanging="200" w:hangingChars="200"/>
      <w:jc w:val="left"/>
    </w:pPr>
    <w:rPr>
      <w:rFonts w:ascii="仿宋_GB2312" w:hAnsi="宋体" w:cs="宋体"/>
      <w:kern w:val="0"/>
      <w:szCs w:val="24"/>
    </w:rPr>
  </w:style>
  <w:style w:type="paragraph" w:customStyle="1" w:styleId="1778">
    <w:name w:val="样式13"/>
    <w:basedOn w:val="1779"/>
    <w:uiPriority w:val="0"/>
    <w:pPr>
      <w:tabs>
        <w:tab w:val="left" w:pos="4305"/>
      </w:tabs>
      <w:spacing w:line="240" w:lineRule="auto"/>
      <w:ind w:firstLine="0"/>
      <w:jc w:val="center"/>
    </w:pPr>
    <w:rPr>
      <w:rFonts w:cs="Times New Roman"/>
      <w:b/>
      <w:color w:val="auto"/>
      <w:szCs w:val="20"/>
    </w:rPr>
  </w:style>
  <w:style w:type="paragraph" w:customStyle="1" w:styleId="1779">
    <w:name w:val="表题31"/>
    <w:basedOn w:val="267"/>
    <w:qFormat/>
    <w:uiPriority w:val="0"/>
    <w:pPr>
      <w:widowControl/>
      <w:tabs>
        <w:tab w:val="left" w:pos="4305"/>
      </w:tabs>
      <w:spacing w:after="0"/>
      <w:ind w:left="0" w:leftChars="0" w:firstLine="561" w:firstLineChars="0"/>
      <w:jc w:val="left"/>
    </w:pPr>
    <w:rPr>
      <w:rFonts w:ascii="宋体" w:hAnsi="宋体" w:cs="宋体"/>
      <w:color w:val="000000"/>
      <w:sz w:val="24"/>
      <w:szCs w:val="24"/>
    </w:rPr>
  </w:style>
  <w:style w:type="paragraph" w:customStyle="1" w:styleId="1780">
    <w:name w:val="表文字51"/>
    <w:basedOn w:val="1"/>
    <w:uiPriority w:val="0"/>
    <w:pPr>
      <w:widowControl/>
      <w:jc w:val="left"/>
      <w:textAlignment w:val="baseline"/>
    </w:pPr>
    <w:rPr>
      <w:rFonts w:ascii="宋体" w:hAnsi="宋体" w:cs="宋体"/>
      <w:kern w:val="0"/>
      <w:szCs w:val="20"/>
    </w:rPr>
  </w:style>
  <w:style w:type="paragraph" w:customStyle="1" w:styleId="1781">
    <w:name w:val="表题13"/>
    <w:basedOn w:val="19"/>
    <w:uiPriority w:val="0"/>
    <w:pPr>
      <w:widowControl/>
      <w:ind w:firstLine="0" w:firstLineChars="0"/>
      <w:jc w:val="center"/>
    </w:pPr>
    <w:rPr>
      <w:rFonts w:ascii="黑体" w:cs="Arial"/>
      <w:b/>
    </w:rPr>
  </w:style>
  <w:style w:type="paragraph" w:customStyle="1" w:styleId="1782">
    <w:name w:val="标准"/>
    <w:basedOn w:val="1"/>
    <w:uiPriority w:val="0"/>
    <w:pPr>
      <w:widowControl/>
      <w:jc w:val="left"/>
      <w:textAlignment w:val="baseline"/>
    </w:pPr>
    <w:rPr>
      <w:rFonts w:ascii="宋体" w:hAnsi="宋体" w:cs="宋体"/>
      <w:kern w:val="0"/>
      <w:szCs w:val="20"/>
    </w:rPr>
  </w:style>
  <w:style w:type="paragraph" w:customStyle="1" w:styleId="1783">
    <w:name w:val="Char3 Char Char Char"/>
    <w:basedOn w:val="1"/>
    <w:uiPriority w:val="0"/>
    <w:pPr>
      <w:widowControl/>
      <w:spacing w:line="340" w:lineRule="exact"/>
      <w:ind w:firstLine="10" w:firstLineChars="4"/>
      <w:jc w:val="left"/>
    </w:pPr>
    <w:rPr>
      <w:rFonts w:ascii="宋体" w:hAnsi="宋体" w:cs="宋体"/>
      <w:kern w:val="0"/>
      <w:szCs w:val="28"/>
    </w:rPr>
  </w:style>
  <w:style w:type="paragraph" w:customStyle="1" w:styleId="1784">
    <w:name w:val="正文新 Char"/>
    <w:basedOn w:val="1"/>
    <w:uiPriority w:val="0"/>
    <w:pPr>
      <w:widowControl/>
      <w:ind w:firstLine="480"/>
      <w:jc w:val="left"/>
    </w:pPr>
    <w:rPr>
      <w:rFonts w:ascii="宋体" w:hAnsi="宋体" w:cs="宋体"/>
      <w:kern w:val="0"/>
      <w:szCs w:val="20"/>
    </w:rPr>
  </w:style>
  <w:style w:type="paragraph" w:customStyle="1" w:styleId="1785">
    <w:name w:val="7"/>
    <w:basedOn w:val="1"/>
    <w:next w:val="168"/>
    <w:uiPriority w:val="0"/>
    <w:pPr>
      <w:widowControl/>
      <w:spacing w:line="312" w:lineRule="auto"/>
      <w:ind w:firstLine="560"/>
      <w:jc w:val="left"/>
    </w:pPr>
    <w:rPr>
      <w:rFonts w:ascii="仿宋_GB2312" w:hAnsi="宋体" w:cs="宋体"/>
      <w:kern w:val="0"/>
      <w:szCs w:val="24"/>
    </w:rPr>
  </w:style>
  <w:style w:type="paragraph" w:customStyle="1" w:styleId="1786">
    <w:name w:val="表内宋5中2"/>
    <w:basedOn w:val="1"/>
    <w:uiPriority w:val="0"/>
    <w:pPr>
      <w:widowControl/>
      <w:jc w:val="center"/>
      <w:textAlignment w:val="baseline"/>
    </w:pPr>
    <w:rPr>
      <w:rFonts w:ascii="宋体" w:hAnsi="宋体" w:cs="宋体"/>
      <w:kern w:val="0"/>
      <w:szCs w:val="20"/>
    </w:rPr>
  </w:style>
  <w:style w:type="paragraph" w:customStyle="1" w:styleId="1787">
    <w:name w:val="Char Char Char Char Char1"/>
    <w:basedOn w:val="1"/>
    <w:uiPriority w:val="0"/>
    <w:pPr>
      <w:widowControl/>
      <w:jc w:val="left"/>
    </w:pPr>
    <w:rPr>
      <w:rFonts w:ascii="宋体" w:hAnsi="宋体" w:cs="宋体"/>
      <w:kern w:val="0"/>
      <w:szCs w:val="24"/>
    </w:rPr>
  </w:style>
  <w:style w:type="paragraph" w:customStyle="1" w:styleId="1788">
    <w:name w:val="样式9"/>
    <w:basedOn w:val="4"/>
    <w:uiPriority w:val="0"/>
    <w:pPr>
      <w:widowControl/>
      <w:numPr>
        <w:ilvl w:val="0"/>
        <w:numId w:val="0"/>
      </w:numPr>
    </w:pPr>
    <w:rPr>
      <w:rFonts w:eastAsia="黑体"/>
      <w:b w:val="0"/>
      <w:szCs w:val="28"/>
    </w:rPr>
  </w:style>
  <w:style w:type="paragraph" w:customStyle="1" w:styleId="1789">
    <w:name w:val="小四表文左齐"/>
    <w:basedOn w:val="1"/>
    <w:uiPriority w:val="0"/>
    <w:pPr>
      <w:widowControl/>
      <w:jc w:val="center"/>
    </w:pPr>
    <w:rPr>
      <w:rFonts w:ascii="仿宋_GB2312" w:hAnsi="宋体" w:cs="宋体"/>
      <w:kern w:val="0"/>
      <w:szCs w:val="24"/>
    </w:rPr>
  </w:style>
  <w:style w:type="paragraph" w:customStyle="1" w:styleId="1790">
    <w:name w:val="正文 首行缩进:  2 字符"/>
    <w:basedOn w:val="1"/>
    <w:uiPriority w:val="0"/>
    <w:pPr>
      <w:widowControl/>
      <w:spacing w:line="460" w:lineRule="exact"/>
      <w:ind w:firstLine="480"/>
      <w:jc w:val="left"/>
    </w:pPr>
    <w:rPr>
      <w:rFonts w:ascii="宋体" w:hAnsi="宋体" w:cs="宋体"/>
      <w:kern w:val="0"/>
      <w:szCs w:val="20"/>
    </w:rPr>
  </w:style>
  <w:style w:type="paragraph" w:customStyle="1" w:styleId="1791">
    <w:name w:val="样式 列表"/>
    <w:basedOn w:val="48"/>
    <w:uiPriority w:val="0"/>
    <w:pPr>
      <w:widowControl/>
      <w:spacing w:line="280" w:lineRule="exact"/>
    </w:pPr>
    <w:rPr>
      <w:rFonts w:ascii="Times New Roman" w:hAnsi="宋体" w:eastAsia="方正仿宋_GBK" w:cs="宋体"/>
      <w:kern w:val="0"/>
      <w:sz w:val="21"/>
    </w:rPr>
  </w:style>
  <w:style w:type="paragraph" w:customStyle="1" w:styleId="1792">
    <w:name w:val="表文字5"/>
    <w:basedOn w:val="1"/>
    <w:uiPriority w:val="0"/>
    <w:pPr>
      <w:widowControl/>
      <w:jc w:val="left"/>
      <w:textAlignment w:val="baseline"/>
    </w:pPr>
    <w:rPr>
      <w:rFonts w:ascii="宋体" w:hAnsi="宋体" w:cs="宋体"/>
      <w:kern w:val="0"/>
      <w:szCs w:val="20"/>
    </w:rPr>
  </w:style>
  <w:style w:type="paragraph" w:customStyle="1" w:styleId="1793">
    <w:name w:val="表内5中4"/>
    <w:basedOn w:val="1"/>
    <w:uiPriority w:val="0"/>
    <w:pPr>
      <w:widowControl/>
      <w:jc w:val="center"/>
    </w:pPr>
    <w:rPr>
      <w:rFonts w:ascii="宋体" w:hAnsi="宋体" w:cs="宋体"/>
      <w:bCs/>
      <w:kern w:val="0"/>
      <w:szCs w:val="20"/>
    </w:rPr>
  </w:style>
  <w:style w:type="paragraph" w:customStyle="1" w:styleId="1794">
    <w:name w:val="附件42"/>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1795">
    <w:name w:val="正文修改41"/>
    <w:basedOn w:val="236"/>
    <w:uiPriority w:val="0"/>
    <w:rPr>
      <w:rFonts w:hAnsi="宋体" w:eastAsia="宋体" w:cs="宋体"/>
      <w:color w:val="000000"/>
      <w:szCs w:val="24"/>
    </w:rPr>
  </w:style>
  <w:style w:type="paragraph" w:customStyle="1" w:styleId="1796">
    <w:name w:val="图注"/>
    <w:basedOn w:val="1"/>
    <w:next w:val="1"/>
    <w:uiPriority w:val="0"/>
    <w:pPr>
      <w:widowControl/>
      <w:jc w:val="center"/>
    </w:pPr>
    <w:rPr>
      <w:rFonts w:ascii="宋体" w:hAnsi="宋体" w:cs="宋体"/>
      <w:color w:val="0000FF"/>
      <w:kern w:val="0"/>
      <w:szCs w:val="20"/>
    </w:rPr>
  </w:style>
  <w:style w:type="paragraph" w:customStyle="1" w:styleId="1797">
    <w:name w:val="couv"/>
    <w:basedOn w:val="1"/>
    <w:uiPriority w:val="0"/>
    <w:pPr>
      <w:widowControl/>
      <w:spacing w:before="120" w:after="120"/>
      <w:jc w:val="center"/>
    </w:pPr>
    <w:rPr>
      <w:rFonts w:ascii="宋体" w:hAnsi="宋体" w:cs="宋体"/>
      <w:b/>
      <w:kern w:val="0"/>
      <w:sz w:val="40"/>
      <w:szCs w:val="20"/>
    </w:rPr>
  </w:style>
  <w:style w:type="paragraph" w:customStyle="1" w:styleId="1798">
    <w:name w:val="Char Char Char1 Char"/>
    <w:basedOn w:val="1"/>
    <w:uiPriority w:val="0"/>
    <w:pPr>
      <w:widowControl/>
      <w:jc w:val="left"/>
    </w:pPr>
    <w:rPr>
      <w:rFonts w:ascii="宋体" w:hAnsi="宋体" w:cs="宋体"/>
      <w:kern w:val="0"/>
      <w:szCs w:val="24"/>
    </w:rPr>
  </w:style>
  <w:style w:type="paragraph" w:customStyle="1" w:styleId="1799">
    <w:name w:val="默认段落字体 Para Char Char Char Char3"/>
    <w:basedOn w:val="1"/>
    <w:uiPriority w:val="0"/>
    <w:pPr>
      <w:widowControl/>
      <w:jc w:val="left"/>
    </w:pPr>
    <w:rPr>
      <w:rFonts w:ascii="宋体" w:hAnsi="宋体" w:cs="宋体"/>
      <w:kern w:val="0"/>
      <w:szCs w:val="24"/>
    </w:rPr>
  </w:style>
  <w:style w:type="paragraph" w:customStyle="1" w:styleId="1800">
    <w:name w:val="文本匡小五号 Char"/>
    <w:uiPriority w:val="0"/>
    <w:pPr>
      <w:snapToGrid w:val="0"/>
      <w:spacing w:line="100" w:lineRule="atLeast"/>
      <w:jc w:val="center"/>
    </w:pPr>
    <w:rPr>
      <w:rFonts w:ascii="Times New Roman" w:hAnsi="Times New Roman" w:eastAsia="仿宋_GB2312" w:cs="Times New Roman"/>
      <w:snapToGrid w:val="0"/>
      <w:kern w:val="0"/>
      <w:sz w:val="21"/>
      <w:szCs w:val="21"/>
      <w:lang w:val="en-US" w:eastAsia="zh-CN" w:bidi="ar-SA"/>
    </w:rPr>
  </w:style>
  <w:style w:type="paragraph" w:customStyle="1" w:styleId="1801">
    <w:name w:val="谏壁表头"/>
    <w:basedOn w:val="294"/>
    <w:uiPriority w:val="0"/>
    <w:pPr>
      <w:widowControl/>
      <w:ind w:firstLine="482" w:firstLineChars="0"/>
      <w:jc w:val="center"/>
    </w:pPr>
    <w:rPr>
      <w:b/>
      <w:szCs w:val="24"/>
    </w:rPr>
  </w:style>
  <w:style w:type="paragraph" w:customStyle="1" w:styleId="1802">
    <w:name w:val="正文格式73"/>
    <w:basedOn w:val="1"/>
    <w:uiPriority w:val="0"/>
    <w:pPr>
      <w:widowControl/>
      <w:ind w:firstLine="482"/>
      <w:jc w:val="left"/>
    </w:pPr>
    <w:rPr>
      <w:rFonts w:ascii="宋体" w:hAnsi="宋体" w:cs="宋体"/>
      <w:kern w:val="0"/>
      <w:szCs w:val="24"/>
    </w:rPr>
  </w:style>
  <w:style w:type="paragraph" w:customStyle="1" w:styleId="1803">
    <w:name w:val="表内文字小83"/>
    <w:basedOn w:val="1"/>
    <w:uiPriority w:val="0"/>
    <w:pPr>
      <w:widowControl/>
      <w:jc w:val="center"/>
    </w:pPr>
    <w:rPr>
      <w:rFonts w:ascii="宋体" w:hAnsi="Times" w:cs="宋体"/>
      <w:kern w:val="0"/>
      <w:szCs w:val="20"/>
    </w:rPr>
  </w:style>
  <w:style w:type="paragraph" w:customStyle="1" w:styleId="1804">
    <w:name w:val="图题"/>
    <w:basedOn w:val="1"/>
    <w:uiPriority w:val="0"/>
    <w:pPr>
      <w:widowControl/>
      <w:tabs>
        <w:tab w:val="left" w:pos="720"/>
      </w:tabs>
      <w:spacing w:line="320" w:lineRule="exact"/>
      <w:jc w:val="center"/>
    </w:pPr>
    <w:rPr>
      <w:rFonts w:ascii="楷体_GB2312" w:hAnsi="宋体" w:eastAsia="楷体_GB2312" w:cs="宋体"/>
      <w:b/>
      <w:bCs/>
      <w:kern w:val="0"/>
      <w:szCs w:val="24"/>
    </w:rPr>
  </w:style>
  <w:style w:type="paragraph" w:customStyle="1" w:styleId="1805">
    <w:name w:val="默认段落字体 Para Char Char Char Char Char Char Char Char Char Char Char Char Char Char Char Char Char Char Char Char Char Char Char Char Char Char Char Char1 Char Char Char Char Char"/>
    <w:basedOn w:val="1"/>
    <w:uiPriority w:val="0"/>
    <w:pPr>
      <w:widowControl/>
      <w:jc w:val="left"/>
    </w:pPr>
    <w:rPr>
      <w:rFonts w:ascii="宋体" w:hAnsi="宋体" w:cs="宋体"/>
      <w:kern w:val="0"/>
      <w:szCs w:val="24"/>
    </w:rPr>
  </w:style>
  <w:style w:type="paragraph" w:customStyle="1" w:styleId="1806">
    <w:name w:val="表中文字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1807">
    <w:name w:val="表格式"/>
    <w:basedOn w:val="48"/>
    <w:uiPriority w:val="0"/>
    <w:pPr>
      <w:widowControl/>
      <w:spacing w:before="156" w:after="156" w:line="240" w:lineRule="exact"/>
    </w:pPr>
    <w:rPr>
      <w:rFonts w:ascii="Times New Roman" w:hAnsi="宋体" w:cs="宋体"/>
      <w:kern w:val="0"/>
      <w:sz w:val="21"/>
    </w:rPr>
  </w:style>
  <w:style w:type="paragraph" w:customStyle="1" w:styleId="1808">
    <w:name w:val="正文格式5"/>
    <w:basedOn w:val="1"/>
    <w:uiPriority w:val="0"/>
    <w:pPr>
      <w:widowControl/>
      <w:ind w:firstLine="482"/>
      <w:jc w:val="left"/>
    </w:pPr>
    <w:rPr>
      <w:rFonts w:ascii="宋体" w:hAnsi="宋体" w:cs="宋体"/>
      <w:kern w:val="0"/>
      <w:szCs w:val="24"/>
    </w:rPr>
  </w:style>
  <w:style w:type="paragraph" w:customStyle="1" w:styleId="1809">
    <w:name w:val="表格内字体73"/>
    <w:basedOn w:val="207"/>
    <w:next w:val="207"/>
    <w:uiPriority w:val="0"/>
    <w:pPr>
      <w:spacing w:line="240" w:lineRule="auto"/>
      <w:ind w:firstLine="0"/>
      <w:jc w:val="center"/>
    </w:pPr>
    <w:rPr>
      <w:rFonts w:hAnsi="宋体"/>
      <w:sz w:val="21"/>
      <w:szCs w:val="24"/>
    </w:rPr>
  </w:style>
  <w:style w:type="paragraph" w:customStyle="1" w:styleId="1810">
    <w:name w:val="样式 正文(首行缩进) + 8 磅 加粗 首行缩进:  2 字符"/>
    <w:basedOn w:val="1"/>
    <w:uiPriority w:val="0"/>
    <w:pPr>
      <w:widowControl/>
      <w:jc w:val="left"/>
    </w:pPr>
    <w:rPr>
      <w:rFonts w:ascii="宋体" w:hAnsi="宋体" w:cs="宋体"/>
      <w:b/>
      <w:bCs/>
      <w:snapToGrid w:val="0"/>
      <w:kern w:val="0"/>
      <w:sz w:val="16"/>
      <w:szCs w:val="20"/>
    </w:rPr>
  </w:style>
  <w:style w:type="paragraph" w:customStyle="1" w:styleId="1811">
    <w:name w:val="表内文字小31"/>
    <w:basedOn w:val="1"/>
    <w:uiPriority w:val="0"/>
    <w:pPr>
      <w:widowControl/>
      <w:jc w:val="center"/>
    </w:pPr>
    <w:rPr>
      <w:rFonts w:ascii="宋体" w:hAnsi="Times" w:cs="宋体"/>
      <w:bCs/>
      <w:color w:val="003366"/>
      <w:kern w:val="0"/>
      <w:szCs w:val="20"/>
    </w:rPr>
  </w:style>
  <w:style w:type="paragraph" w:customStyle="1" w:styleId="1812">
    <w:name w:val="正文格式＝5"/>
    <w:basedOn w:val="207"/>
    <w:next w:val="207"/>
    <w:uiPriority w:val="0"/>
    <w:rPr>
      <w:rFonts w:hAnsi="宋体"/>
      <w:szCs w:val="24"/>
    </w:rPr>
  </w:style>
  <w:style w:type="paragraph" w:customStyle="1" w:styleId="1813">
    <w:name w:val="封面标准文稿编辑信息"/>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1814">
    <w:name w:val="表格内字体111"/>
    <w:basedOn w:val="207"/>
    <w:uiPriority w:val="0"/>
    <w:pPr>
      <w:spacing w:line="240" w:lineRule="auto"/>
      <w:ind w:firstLine="0"/>
      <w:jc w:val="center"/>
    </w:pPr>
    <w:rPr>
      <w:rFonts w:hAnsi="Times New Roman" w:cs="宋体"/>
      <w:sz w:val="21"/>
      <w:szCs w:val="20"/>
    </w:rPr>
  </w:style>
  <w:style w:type="paragraph" w:customStyle="1" w:styleId="1815">
    <w:name w:val="样式 标题 4无效格式无效格式1河石管道4H4H41小小节河石管道41H42H411小小节1河石管道42...112"/>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1816">
    <w:name w:val="Char Char Char Char Char Char Char Char Char Char Char1 Char Char Char Char Char Char1 Char Char Char Char Char Char Char Char Char Char Char Char"/>
    <w:basedOn w:val="1"/>
    <w:uiPriority w:val="0"/>
    <w:pPr>
      <w:widowControl/>
      <w:jc w:val="left"/>
    </w:pPr>
    <w:rPr>
      <w:rFonts w:ascii="宋体" w:hAnsi="宋体" w:cs="宋体"/>
      <w:kern w:val="0"/>
      <w:szCs w:val="24"/>
    </w:rPr>
  </w:style>
  <w:style w:type="paragraph" w:customStyle="1" w:styleId="1817">
    <w:name w:val="样式 样式 表格 + (符号) 宋体 五号 居中 + 小五"/>
    <w:basedOn w:val="1"/>
    <w:uiPriority w:val="0"/>
    <w:pPr>
      <w:widowControl/>
      <w:kinsoku w:val="0"/>
      <w:overflowPunct w:val="0"/>
      <w:jc w:val="center"/>
    </w:pPr>
    <w:rPr>
      <w:rFonts w:ascii="宋体" w:hAnsi="宋体" w:cs="宋体"/>
      <w:snapToGrid w:val="0"/>
      <w:kern w:val="0"/>
      <w:sz w:val="18"/>
      <w:szCs w:val="21"/>
    </w:rPr>
  </w:style>
  <w:style w:type="paragraph" w:customStyle="1" w:styleId="1818">
    <w:name w:val="标题43131"/>
    <w:basedOn w:val="1"/>
    <w:uiPriority w:val="0"/>
    <w:pPr>
      <w:widowControl/>
      <w:spacing w:line="480" w:lineRule="exact"/>
      <w:jc w:val="center"/>
    </w:pPr>
    <w:rPr>
      <w:rFonts w:ascii="宋体" w:hAnsi="宋体" w:cs="宋体"/>
      <w:kern w:val="0"/>
      <w:szCs w:val="24"/>
    </w:rPr>
  </w:style>
  <w:style w:type="paragraph" w:customStyle="1" w:styleId="1819">
    <w:name w:val="样式 标题 2节 + 段前: 1 行 段后: 0.5 行1"/>
    <w:basedOn w:val="1"/>
    <w:uiPriority w:val="0"/>
    <w:pPr>
      <w:widowControl/>
      <w:tabs>
        <w:tab w:val="left" w:pos="980"/>
      </w:tabs>
      <w:ind w:left="1400"/>
      <w:jc w:val="left"/>
    </w:pPr>
    <w:rPr>
      <w:rFonts w:ascii="宋体" w:hAnsi="宋体" w:cs="宋体"/>
      <w:kern w:val="0"/>
      <w:szCs w:val="24"/>
    </w:rPr>
  </w:style>
  <w:style w:type="paragraph" w:customStyle="1" w:styleId="1820">
    <w:name w:val="Char Char Char Char Char Char Char Char Char Char Char Char Char Char Char Char Char Char 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1821">
    <w:name w:val="23-47表名"/>
    <w:basedOn w:val="1"/>
    <w:uiPriority w:val="0"/>
    <w:pPr>
      <w:widowControl/>
      <w:spacing w:after="156" w:line="440" w:lineRule="exact"/>
      <w:jc w:val="center"/>
    </w:pPr>
    <w:rPr>
      <w:rFonts w:ascii="宋体" w:hAnsi="宋体" w:cs="宋体"/>
      <w:b/>
      <w:kern w:val="0"/>
      <w:szCs w:val="24"/>
    </w:rPr>
  </w:style>
  <w:style w:type="paragraph" w:customStyle="1" w:styleId="1822">
    <w:name w:val="图题5"/>
    <w:basedOn w:val="207"/>
    <w:next w:val="207"/>
    <w:uiPriority w:val="0"/>
    <w:pPr>
      <w:ind w:firstLine="0"/>
      <w:jc w:val="center"/>
    </w:pPr>
    <w:rPr>
      <w:rFonts w:ascii="黑体" w:hAnsi="宋体" w:eastAsia="黑体" w:cs="宋体"/>
      <w:b/>
      <w:bCs/>
      <w:szCs w:val="24"/>
    </w:rPr>
  </w:style>
  <w:style w:type="paragraph" w:customStyle="1" w:styleId="1823">
    <w:name w:val="文本框文字"/>
    <w:basedOn w:val="1"/>
    <w:uiPriority w:val="0"/>
    <w:pPr>
      <w:widowControl/>
      <w:jc w:val="center"/>
      <w:textAlignment w:val="baseline"/>
    </w:pPr>
    <w:rPr>
      <w:rFonts w:ascii="宋体" w:hAnsi="宋体" w:cs="宋体"/>
      <w:kern w:val="0"/>
      <w:szCs w:val="20"/>
    </w:rPr>
  </w:style>
  <w:style w:type="paragraph" w:customStyle="1" w:styleId="1824">
    <w:name w:val="默认段落字体 Para Char Char Char1 Char Char Char Char Char Char Char Char Char Char"/>
    <w:basedOn w:val="1"/>
    <w:uiPriority w:val="0"/>
    <w:pPr>
      <w:widowControl/>
      <w:jc w:val="left"/>
    </w:pPr>
    <w:rPr>
      <w:rFonts w:ascii="宋体" w:hAnsi="宋体" w:cs="宋体"/>
      <w:kern w:val="0"/>
      <w:szCs w:val="24"/>
    </w:rPr>
  </w:style>
  <w:style w:type="paragraph" w:customStyle="1" w:styleId="1825">
    <w:name w:val="標準インデント　2"/>
    <w:basedOn w:val="307"/>
    <w:uiPriority w:val="0"/>
    <w:pPr>
      <w:overflowPunct w:val="0"/>
      <w:autoSpaceDE w:val="0"/>
      <w:autoSpaceDN w:val="0"/>
      <w:ind w:left="2900" w:hanging="2038"/>
      <w:textAlignment w:val="baseline"/>
    </w:pPr>
    <w:rPr>
      <w:rFonts w:ascii="Calibri" w:hAnsi="Calibri" w:eastAsia="MS Mincho"/>
      <w:sz w:val="20"/>
      <w:lang w:eastAsia="ja-JP"/>
    </w:rPr>
  </w:style>
  <w:style w:type="paragraph" w:customStyle="1" w:styleId="1826">
    <w:name w:val="标题411"/>
    <w:basedOn w:val="1"/>
    <w:uiPriority w:val="0"/>
    <w:pPr>
      <w:widowControl/>
      <w:spacing w:line="300" w:lineRule="auto"/>
      <w:jc w:val="left"/>
    </w:pPr>
    <w:rPr>
      <w:rFonts w:ascii="黑体" w:hAnsi="宋体" w:eastAsia="黑体" w:cs="宋体"/>
      <w:bCs/>
      <w:kern w:val="0"/>
      <w:szCs w:val="20"/>
    </w:rPr>
  </w:style>
  <w:style w:type="paragraph" w:customStyle="1" w:styleId="1827">
    <w:name w:val="列表 51"/>
    <w:basedOn w:val="1"/>
    <w:uiPriority w:val="0"/>
    <w:pPr>
      <w:widowControl/>
      <w:ind w:left="100" w:leftChars="800" w:hanging="200" w:hangingChars="200"/>
      <w:jc w:val="left"/>
    </w:pPr>
    <w:rPr>
      <w:rFonts w:ascii="宋体" w:hAnsi="宋体" w:cs="宋体"/>
      <w:kern w:val="0"/>
      <w:szCs w:val="24"/>
    </w:rPr>
  </w:style>
  <w:style w:type="paragraph" w:customStyle="1" w:styleId="1828">
    <w:name w:val="y表格"/>
    <w:basedOn w:val="27"/>
    <w:uiPriority w:val="0"/>
    <w:pPr>
      <w:widowControl/>
      <w:spacing w:line="240" w:lineRule="auto"/>
      <w:jc w:val="center"/>
      <w:textAlignment w:val="baseline"/>
    </w:pPr>
    <w:rPr>
      <w:rFonts w:hint="eastAsia" w:ascii="宋体" w:hAnsi="宋体"/>
      <w:kern w:val="0"/>
      <w:szCs w:val="20"/>
    </w:rPr>
  </w:style>
  <w:style w:type="paragraph" w:customStyle="1" w:styleId="1829">
    <w:name w:val="Char Char Char Char Char Char Char Char Char Char Char1 Char Char Char Char"/>
    <w:basedOn w:val="1"/>
    <w:uiPriority w:val="0"/>
    <w:pPr>
      <w:widowControl/>
      <w:jc w:val="left"/>
    </w:pPr>
    <w:rPr>
      <w:rFonts w:ascii="宋体" w:hAnsi="宋体" w:cs="宋体"/>
      <w:kern w:val="0"/>
      <w:szCs w:val="24"/>
    </w:rPr>
  </w:style>
  <w:style w:type="paragraph" w:customStyle="1" w:styleId="1830">
    <w:name w:val="正文2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1831">
    <w:name w:val="正文-1"/>
    <w:basedOn w:val="1"/>
    <w:uiPriority w:val="0"/>
    <w:pPr>
      <w:widowControl/>
      <w:spacing w:line="440" w:lineRule="exact"/>
      <w:jc w:val="left"/>
    </w:pPr>
    <w:rPr>
      <w:rFonts w:ascii="宋体" w:hAnsi="宋体" w:cs="宋体"/>
      <w:kern w:val="0"/>
      <w:szCs w:val="20"/>
    </w:rPr>
  </w:style>
  <w:style w:type="paragraph" w:customStyle="1" w:styleId="1832">
    <w:name w:val="标题正1"/>
    <w:basedOn w:val="1"/>
    <w:uiPriority w:val="0"/>
    <w:pPr>
      <w:widowControl/>
      <w:spacing w:line="400" w:lineRule="exact"/>
      <w:jc w:val="center"/>
    </w:pPr>
    <w:rPr>
      <w:rFonts w:ascii="黑体" w:hAnsi="宋体" w:eastAsia="黑体" w:cs="宋体"/>
      <w:kern w:val="0"/>
      <w:sz w:val="32"/>
      <w:szCs w:val="28"/>
    </w:rPr>
  </w:style>
  <w:style w:type="paragraph" w:customStyle="1" w:styleId="1833">
    <w:name w:val="正文格式21"/>
    <w:basedOn w:val="1"/>
    <w:uiPriority w:val="0"/>
    <w:pPr>
      <w:widowControl/>
      <w:ind w:firstLine="482"/>
      <w:jc w:val="left"/>
    </w:pPr>
    <w:rPr>
      <w:rFonts w:ascii="宋体" w:hAnsi="宋体" w:cs="宋体"/>
      <w:kern w:val="0"/>
      <w:szCs w:val="24"/>
    </w:rPr>
  </w:style>
  <w:style w:type="paragraph" w:customStyle="1" w:styleId="1834">
    <w:name w:val="表格内字体11"/>
    <w:basedOn w:val="207"/>
    <w:uiPriority w:val="0"/>
    <w:pPr>
      <w:spacing w:line="240" w:lineRule="auto"/>
      <w:ind w:firstLine="0"/>
      <w:jc w:val="center"/>
    </w:pPr>
    <w:rPr>
      <w:rFonts w:hAnsi="Times New Roman" w:cs="宋体"/>
      <w:sz w:val="21"/>
      <w:szCs w:val="20"/>
    </w:rPr>
  </w:style>
  <w:style w:type="paragraph" w:customStyle="1" w:styleId="1835">
    <w:name w:val="样式 标题 3 + 黑体 四号"/>
    <w:basedOn w:val="4"/>
    <w:uiPriority w:val="0"/>
    <w:pPr>
      <w:widowControl/>
      <w:numPr>
        <w:ilvl w:val="0"/>
        <w:numId w:val="0"/>
      </w:numPr>
      <w:spacing w:before="160" w:after="160"/>
    </w:pPr>
    <w:rPr>
      <w:rFonts w:ascii="黑体" w:hAnsi="黑体" w:eastAsia="黑体"/>
    </w:rPr>
  </w:style>
  <w:style w:type="paragraph" w:customStyle="1" w:styleId="1836">
    <w:name w:val="——"/>
    <w:basedOn w:val="1837"/>
    <w:uiPriority w:val="0"/>
    <w:pPr>
      <w:ind w:left="0" w:firstLine="660" w:firstLineChars="300"/>
    </w:pPr>
  </w:style>
  <w:style w:type="paragraph" w:customStyle="1" w:styleId="1837">
    <w:name w:val="Texte"/>
    <w:basedOn w:val="1"/>
    <w:uiPriority w:val="0"/>
    <w:pPr>
      <w:widowControl/>
      <w:spacing w:before="120" w:after="120"/>
      <w:ind w:left="851"/>
      <w:jc w:val="left"/>
    </w:pPr>
    <w:rPr>
      <w:rFonts w:ascii="Arial" w:hAnsi="Arial" w:cs="宋体"/>
      <w:kern w:val="0"/>
      <w:sz w:val="22"/>
      <w:szCs w:val="20"/>
    </w:rPr>
  </w:style>
  <w:style w:type="paragraph" w:customStyle="1" w:styleId="1838">
    <w:name w:val="Char4 Char Char Char1"/>
    <w:basedOn w:val="1"/>
    <w:uiPriority w:val="0"/>
    <w:pPr>
      <w:widowControl/>
      <w:jc w:val="left"/>
    </w:pPr>
    <w:rPr>
      <w:rFonts w:ascii="宋体" w:hAnsi="宋体" w:cs="宋体"/>
      <w:kern w:val="0"/>
      <w:szCs w:val="24"/>
    </w:rPr>
  </w:style>
  <w:style w:type="paragraph" w:customStyle="1" w:styleId="1839">
    <w:name w:val="文本123"/>
    <w:basedOn w:val="307"/>
    <w:uiPriority w:val="0"/>
    <w:pPr>
      <w:tabs>
        <w:tab w:val="left" w:pos="958"/>
      </w:tabs>
      <w:spacing w:line="460" w:lineRule="exact"/>
      <w:ind w:left="958" w:hanging="420"/>
      <w:outlineLvl w:val="7"/>
    </w:pPr>
    <w:rPr>
      <w:rFonts w:ascii="Calibri" w:hAnsi="Calibri"/>
    </w:rPr>
  </w:style>
  <w:style w:type="paragraph" w:customStyle="1" w:styleId="1840">
    <w:name w:val="样式 标题 3标题 3 Char CharH3h33rd level标题3 + 段前: 0.5 行"/>
    <w:basedOn w:val="4"/>
    <w:uiPriority w:val="0"/>
    <w:pPr>
      <w:keepNext w:val="0"/>
      <w:keepLines w:val="0"/>
      <w:widowControl/>
      <w:numPr>
        <w:ilvl w:val="0"/>
        <w:numId w:val="0"/>
      </w:numPr>
      <w:spacing w:line="480" w:lineRule="exact"/>
      <w:jc w:val="center"/>
      <w:outlineLvl w:val="9"/>
    </w:pPr>
    <w:rPr>
      <w:rFonts w:ascii="楷体_GB2312" w:hAnsi="宋体" w:eastAsia="楷体_GB2312"/>
      <w:b w:val="0"/>
      <w:szCs w:val="28"/>
    </w:rPr>
  </w:style>
  <w:style w:type="paragraph" w:customStyle="1" w:styleId="1841">
    <w:name w:val="标题样式2"/>
    <w:basedOn w:val="1"/>
    <w:uiPriority w:val="0"/>
    <w:pPr>
      <w:widowControl/>
      <w:spacing w:line="480" w:lineRule="atLeast"/>
      <w:jc w:val="left"/>
      <w:textAlignment w:val="baseline"/>
    </w:pPr>
    <w:rPr>
      <w:rFonts w:ascii="新宋体" w:hAnsi="新宋体" w:cs="宋体"/>
      <w:kern w:val="0"/>
      <w:szCs w:val="20"/>
    </w:rPr>
  </w:style>
  <w:style w:type="paragraph" w:customStyle="1" w:styleId="1842">
    <w:name w:val="表文字522"/>
    <w:basedOn w:val="1"/>
    <w:uiPriority w:val="0"/>
    <w:pPr>
      <w:widowControl/>
      <w:jc w:val="left"/>
      <w:textAlignment w:val="baseline"/>
    </w:pPr>
    <w:rPr>
      <w:rFonts w:ascii="宋体" w:hAnsi="宋体" w:cs="宋体"/>
      <w:kern w:val="0"/>
      <w:szCs w:val="20"/>
    </w:rPr>
  </w:style>
  <w:style w:type="paragraph" w:customStyle="1" w:styleId="1843">
    <w:name w:val="正文999"/>
    <w:basedOn w:val="1"/>
    <w:uiPriority w:val="0"/>
    <w:pPr>
      <w:widowControl/>
      <w:ind w:firstLine="480"/>
      <w:jc w:val="left"/>
    </w:pPr>
    <w:rPr>
      <w:rFonts w:ascii="宋体" w:hAnsi="宋体" w:cs="宋体"/>
      <w:kern w:val="0"/>
      <w:szCs w:val="24"/>
    </w:rPr>
  </w:style>
  <w:style w:type="paragraph" w:customStyle="1" w:styleId="1844">
    <w:name w:val="正文格式32"/>
    <w:basedOn w:val="1"/>
    <w:uiPriority w:val="0"/>
    <w:pPr>
      <w:widowControl/>
      <w:ind w:firstLine="482"/>
      <w:jc w:val="left"/>
    </w:pPr>
    <w:rPr>
      <w:rFonts w:ascii="宋体" w:hAnsi="宋体" w:cs="宋体"/>
      <w:kern w:val="0"/>
      <w:szCs w:val="24"/>
    </w:rPr>
  </w:style>
  <w:style w:type="paragraph" w:customStyle="1" w:styleId="1845">
    <w:name w:val="图文框"/>
    <w:basedOn w:val="1"/>
    <w:uiPriority w:val="0"/>
    <w:pPr>
      <w:widowControl/>
      <w:jc w:val="center"/>
    </w:pPr>
    <w:rPr>
      <w:rFonts w:ascii="宋体" w:hAnsi="宋体" w:cs="宋体"/>
      <w:kern w:val="0"/>
      <w:szCs w:val="20"/>
    </w:rPr>
  </w:style>
  <w:style w:type="paragraph" w:customStyle="1" w:styleId="1846">
    <w:name w:val="Char Char Char Char Char Char Char Char Char1 Char Char Char Char"/>
    <w:basedOn w:val="1"/>
    <w:uiPriority w:val="0"/>
    <w:pPr>
      <w:widowControl/>
      <w:jc w:val="left"/>
    </w:pPr>
    <w:rPr>
      <w:rFonts w:ascii="宋体" w:hAnsi="宋体" w:cs="宋体"/>
      <w:kern w:val="0"/>
      <w:szCs w:val="21"/>
    </w:rPr>
  </w:style>
  <w:style w:type="paragraph" w:customStyle="1" w:styleId="1847">
    <w:name w:val="Char81"/>
    <w:basedOn w:val="1"/>
    <w:uiPriority w:val="0"/>
    <w:pPr>
      <w:widowControl/>
      <w:ind w:left="-48"/>
      <w:jc w:val="left"/>
    </w:pPr>
    <w:rPr>
      <w:rFonts w:ascii="宋体" w:hAnsi="宋体" w:cs="宋体"/>
      <w:kern w:val="0"/>
      <w:szCs w:val="24"/>
    </w:rPr>
  </w:style>
  <w:style w:type="paragraph" w:customStyle="1" w:styleId="1848">
    <w:name w:val="表格文字居中 Char"/>
    <w:basedOn w:val="48"/>
    <w:uiPriority w:val="0"/>
    <w:pPr>
      <w:keepNext/>
      <w:widowControl/>
      <w:tabs>
        <w:tab w:val="left" w:pos="-1820"/>
        <w:tab w:val="left" w:pos="1727"/>
        <w:tab w:val="left" w:pos="1884"/>
      </w:tabs>
      <w:spacing w:line="360" w:lineRule="auto"/>
      <w:ind w:left="-2" w:leftChars="-4" w:right="-176" w:rightChars="-84" w:hanging="6"/>
    </w:pPr>
    <w:rPr>
      <w:rFonts w:ascii="楷体_GB2312" w:hAnsi="楷体_GB2312" w:eastAsia="楷体_GB2312" w:cs="宋体"/>
      <w:kern w:val="0"/>
      <w:sz w:val="21"/>
      <w:szCs w:val="21"/>
    </w:rPr>
  </w:style>
  <w:style w:type="paragraph" w:customStyle="1" w:styleId="1849">
    <w:name w:val="燕山正文114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1850">
    <w:name w:val="表中文字21"/>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1851">
    <w:name w:val="默认段落字体 Para Char Char Char Char1"/>
    <w:basedOn w:val="1"/>
    <w:uiPriority w:val="0"/>
    <w:pPr>
      <w:widowControl/>
      <w:jc w:val="left"/>
    </w:pPr>
    <w:rPr>
      <w:rFonts w:ascii="宋体" w:hAnsi="宋体" w:cs="宋体"/>
      <w:kern w:val="0"/>
      <w:szCs w:val="24"/>
    </w:rPr>
  </w:style>
  <w:style w:type="paragraph" w:customStyle="1" w:styleId="1852">
    <w:name w:val="a3"/>
    <w:basedOn w:val="1"/>
    <w:uiPriority w:val="0"/>
    <w:pPr>
      <w:widowControl/>
      <w:spacing w:before="100" w:beforeAutospacing="1" w:after="100" w:afterAutospacing="1"/>
      <w:jc w:val="left"/>
    </w:pPr>
    <w:rPr>
      <w:rFonts w:ascii="宋体" w:hAnsi="宋体" w:cs="宋体"/>
      <w:color w:val="000000"/>
      <w:kern w:val="0"/>
      <w:szCs w:val="24"/>
    </w:rPr>
  </w:style>
  <w:style w:type="paragraph" w:customStyle="1" w:styleId="1853">
    <w:name w:val="表名"/>
    <w:basedOn w:val="1"/>
    <w:uiPriority w:val="0"/>
    <w:pPr>
      <w:widowControl/>
      <w:jc w:val="center"/>
    </w:pPr>
    <w:rPr>
      <w:rFonts w:ascii="黑体" w:hAnsi="宋体" w:eastAsia="黑体" w:cs="宋体"/>
      <w:kern w:val="0"/>
      <w:sz w:val="18"/>
      <w:szCs w:val="20"/>
    </w:rPr>
  </w:style>
  <w:style w:type="paragraph" w:customStyle="1" w:styleId="1854">
    <w:name w:val="图题213"/>
    <w:basedOn w:val="207"/>
    <w:next w:val="207"/>
    <w:uiPriority w:val="0"/>
    <w:pPr>
      <w:ind w:firstLine="0"/>
      <w:jc w:val="center"/>
    </w:pPr>
    <w:rPr>
      <w:rFonts w:ascii="黑体" w:hAnsi="宋体" w:eastAsia="黑体" w:cs="宋体"/>
      <w:b/>
      <w:bCs/>
      <w:szCs w:val="24"/>
    </w:rPr>
  </w:style>
  <w:style w:type="paragraph" w:customStyle="1" w:styleId="1855">
    <w:name w:val="黑体三号2"/>
    <w:basedOn w:val="207"/>
    <w:uiPriority w:val="0"/>
    <w:pPr>
      <w:jc w:val="center"/>
    </w:pPr>
    <w:rPr>
      <w:rFonts w:ascii="黑体" w:hAnsi="宋体" w:eastAsia="黑体" w:cs="宋体"/>
      <w:b/>
      <w:bCs/>
      <w:sz w:val="32"/>
      <w:szCs w:val="20"/>
    </w:rPr>
  </w:style>
  <w:style w:type="paragraph" w:customStyle="1" w:styleId="1856">
    <w:name w:val="默认段落字体 Para Char Char Char Char Char Char Char Char Char Char Char Char"/>
    <w:basedOn w:val="1"/>
    <w:uiPriority w:val="0"/>
    <w:pPr>
      <w:widowControl/>
      <w:jc w:val="left"/>
    </w:pPr>
    <w:rPr>
      <w:rFonts w:ascii="宋体" w:hAnsi="宋体" w:cs="宋体"/>
      <w:kern w:val="0"/>
      <w:szCs w:val="24"/>
    </w:rPr>
  </w:style>
  <w:style w:type="paragraph" w:customStyle="1" w:styleId="1857">
    <w:name w:val="样式 左侧:  -0.16 厘米"/>
    <w:basedOn w:val="1"/>
    <w:uiPriority w:val="0"/>
    <w:pPr>
      <w:widowControl/>
      <w:ind w:left="-90"/>
      <w:jc w:val="left"/>
    </w:pPr>
    <w:rPr>
      <w:rFonts w:ascii="宋体" w:hAnsi="宋体" w:cs="宋体"/>
      <w:snapToGrid w:val="0"/>
      <w:kern w:val="0"/>
      <w:szCs w:val="24"/>
    </w:rPr>
  </w:style>
  <w:style w:type="paragraph" w:customStyle="1" w:styleId="1858">
    <w:name w:val="列表接续1"/>
    <w:basedOn w:val="1"/>
    <w:uiPriority w:val="0"/>
    <w:pPr>
      <w:widowControl/>
      <w:spacing w:after="120"/>
      <w:ind w:left="420" w:leftChars="200"/>
      <w:jc w:val="left"/>
    </w:pPr>
    <w:rPr>
      <w:rFonts w:ascii="宋体" w:hAnsi="宋体" w:cs="宋体"/>
      <w:kern w:val="0"/>
      <w:szCs w:val="24"/>
    </w:rPr>
  </w:style>
  <w:style w:type="paragraph" w:customStyle="1" w:styleId="1859">
    <w:name w:val="列表编号 51"/>
    <w:basedOn w:val="1"/>
    <w:uiPriority w:val="0"/>
    <w:pPr>
      <w:widowControl/>
      <w:tabs>
        <w:tab w:val="left" w:pos="2040"/>
      </w:tabs>
      <w:ind w:left="2040" w:hanging="360"/>
      <w:jc w:val="left"/>
    </w:pPr>
    <w:rPr>
      <w:rFonts w:ascii="宋体" w:hAnsi="宋体" w:cs="宋体"/>
      <w:kern w:val="0"/>
      <w:szCs w:val="24"/>
    </w:rPr>
  </w:style>
  <w:style w:type="paragraph" w:customStyle="1" w:styleId="1860">
    <w:name w:val="三级条标题"/>
    <w:basedOn w:val="1861"/>
    <w:next w:val="1"/>
    <w:uiPriority w:val="0"/>
    <w:pPr>
      <w:tabs>
        <w:tab w:val="left" w:pos="1008"/>
        <w:tab w:val="left" w:pos="1401"/>
        <w:tab w:val="left" w:pos="2100"/>
        <w:tab w:val="left" w:pos="2660"/>
      </w:tabs>
      <w:outlineLvl w:val="4"/>
    </w:pPr>
  </w:style>
  <w:style w:type="paragraph" w:customStyle="1" w:styleId="1861">
    <w:name w:val="二级条标题"/>
    <w:basedOn w:val="1862"/>
    <w:next w:val="1"/>
    <w:uiPriority w:val="0"/>
    <w:pPr>
      <w:tabs>
        <w:tab w:val="left" w:pos="980"/>
        <w:tab w:val="left" w:pos="1401"/>
        <w:tab w:val="left" w:pos="1680"/>
        <w:tab w:val="left" w:pos="2240"/>
      </w:tabs>
      <w:outlineLvl w:val="3"/>
    </w:pPr>
  </w:style>
  <w:style w:type="paragraph" w:customStyle="1" w:styleId="1862">
    <w:name w:val="一级条标题"/>
    <w:basedOn w:val="3"/>
    <w:next w:val="1"/>
    <w:uiPriority w:val="0"/>
    <w:pPr>
      <w:keepNext w:val="0"/>
      <w:keepLines w:val="0"/>
      <w:numPr>
        <w:ilvl w:val="0"/>
        <w:numId w:val="0"/>
      </w:numPr>
      <w:tabs>
        <w:tab w:val="left" w:pos="1080"/>
        <w:tab w:val="left" w:pos="1260"/>
      </w:tabs>
      <w:spacing w:before="0" w:after="0" w:line="240" w:lineRule="auto"/>
      <w:outlineLvl w:val="2"/>
    </w:pPr>
    <w:rPr>
      <w:rFonts w:ascii="黑体" w:eastAsia="黑体" w:cs="Times New Roman"/>
      <w:b w:val="0"/>
      <w:bCs w:val="0"/>
      <w:sz w:val="21"/>
      <w:szCs w:val="20"/>
      <w:lang w:val="zh-CN" w:eastAsia="zh-CN"/>
    </w:rPr>
  </w:style>
  <w:style w:type="paragraph" w:customStyle="1" w:styleId="1863">
    <w:name w:val="正文格式＝3"/>
    <w:basedOn w:val="207"/>
    <w:next w:val="207"/>
    <w:uiPriority w:val="0"/>
    <w:rPr>
      <w:rFonts w:hAnsi="宋体"/>
      <w:szCs w:val="24"/>
    </w:rPr>
  </w:style>
  <w:style w:type="paragraph" w:customStyle="1" w:styleId="1864">
    <w:name w:val="GM"/>
    <w:basedOn w:val="2"/>
    <w:uiPriority w:val="0"/>
    <w:pPr>
      <w:keepLines w:val="0"/>
      <w:numPr>
        <w:numId w:val="0"/>
      </w:numPr>
      <w:tabs>
        <w:tab w:val="left" w:pos="2260"/>
        <w:tab w:val="left" w:pos="2820"/>
        <w:tab w:val="left" w:pos="3420"/>
      </w:tabs>
      <w:spacing w:before="312" w:beforeLines="100" w:line="240" w:lineRule="auto"/>
      <w:ind w:left="851" w:right="-28" w:hanging="851"/>
      <w:jc w:val="left"/>
    </w:pPr>
    <w:rPr>
      <w:rFonts w:ascii="Arial" w:hAnsi="Arial"/>
      <w:bCs w:val="0"/>
      <w:kern w:val="0"/>
      <w:sz w:val="22"/>
      <w:szCs w:val="20"/>
      <w:lang w:val="zh-CN" w:eastAsia="zh-CN"/>
    </w:rPr>
  </w:style>
  <w:style w:type="paragraph" w:customStyle="1" w:styleId="1865">
    <w:name w:val="Char Char2 Char Char Char Char"/>
    <w:basedOn w:val="1"/>
    <w:uiPriority w:val="0"/>
    <w:pPr>
      <w:widowControl/>
      <w:jc w:val="left"/>
    </w:pPr>
    <w:rPr>
      <w:rFonts w:ascii="宋体" w:hAnsi="宋体" w:cs="宋体"/>
      <w:kern w:val="0"/>
      <w:szCs w:val="24"/>
    </w:rPr>
  </w:style>
  <w:style w:type="paragraph" w:customStyle="1" w:styleId="1866">
    <w:name w:val="附件3"/>
    <w:basedOn w:val="2"/>
    <w:next w:val="207"/>
    <w:uiPriority w:val="0"/>
    <w:pPr>
      <w:numPr>
        <w:numId w:val="0"/>
      </w:numPr>
      <w:spacing w:after="120"/>
      <w:jc w:val="left"/>
    </w:pPr>
    <w:rPr>
      <w:rFonts w:ascii="黑体" w:eastAsia="黑体"/>
      <w:b w:val="0"/>
      <w:sz w:val="32"/>
      <w:szCs w:val="32"/>
      <w:lang w:val="zh-CN" w:eastAsia="zh-CN"/>
    </w:rPr>
  </w:style>
  <w:style w:type="paragraph" w:customStyle="1" w:styleId="1867">
    <w:name w:val="样式 宋体 首行缩进:  0.93 厘米 段前: 6 磅 段后: 6 磅 行距: 固定值 16 磅"/>
    <w:basedOn w:val="1"/>
    <w:uiPriority w:val="0"/>
    <w:pPr>
      <w:widowControl/>
      <w:spacing w:before="160" w:after="160" w:line="320" w:lineRule="exact"/>
      <w:ind w:firstLine="527"/>
      <w:jc w:val="left"/>
    </w:pPr>
    <w:rPr>
      <w:rFonts w:ascii="宋体" w:hAnsi="宋体" w:cs="宋体"/>
      <w:kern w:val="0"/>
      <w:szCs w:val="20"/>
    </w:rPr>
  </w:style>
  <w:style w:type="paragraph" w:customStyle="1" w:styleId="1868">
    <w:name w:val="表题123"/>
    <w:basedOn w:val="19"/>
    <w:uiPriority w:val="0"/>
    <w:pPr>
      <w:widowControl/>
      <w:ind w:firstLine="0" w:firstLineChars="0"/>
      <w:jc w:val="center"/>
    </w:pPr>
    <w:rPr>
      <w:rFonts w:ascii="黑体" w:cs="Arial"/>
    </w:rPr>
  </w:style>
  <w:style w:type="paragraph" w:customStyle="1" w:styleId="1869">
    <w:name w:val="正文格式63"/>
    <w:basedOn w:val="1"/>
    <w:uiPriority w:val="0"/>
    <w:pPr>
      <w:widowControl/>
      <w:ind w:firstLine="482"/>
      <w:jc w:val="left"/>
    </w:pPr>
    <w:rPr>
      <w:rFonts w:ascii="宋体" w:hAnsi="宋体" w:cs="宋体"/>
      <w:kern w:val="0"/>
      <w:szCs w:val="24"/>
    </w:rPr>
  </w:style>
  <w:style w:type="paragraph" w:customStyle="1" w:styleId="1870">
    <w:name w:val="默认段落字体 Para Char Char Char Char4"/>
    <w:basedOn w:val="1"/>
    <w:uiPriority w:val="0"/>
    <w:pPr>
      <w:widowControl/>
      <w:jc w:val="left"/>
    </w:pPr>
    <w:rPr>
      <w:rFonts w:ascii="宋体" w:hAnsi="宋体" w:cs="宋体"/>
      <w:kern w:val="0"/>
      <w:szCs w:val="24"/>
    </w:rPr>
  </w:style>
  <w:style w:type="paragraph" w:customStyle="1" w:styleId="1871">
    <w:name w:val="引文目录标题1"/>
    <w:basedOn w:val="1"/>
    <w:next w:val="1"/>
    <w:uiPriority w:val="0"/>
    <w:pPr>
      <w:widowControl/>
      <w:spacing w:before="120"/>
      <w:jc w:val="left"/>
    </w:pPr>
    <w:rPr>
      <w:rFonts w:ascii="Arial" w:hAnsi="Arial" w:cs="宋体"/>
      <w:kern w:val="0"/>
      <w:szCs w:val="20"/>
    </w:rPr>
  </w:style>
  <w:style w:type="paragraph" w:customStyle="1" w:styleId="1872">
    <w:name w:val="表中文字3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1873">
    <w:name w:val="列表 21"/>
    <w:basedOn w:val="1"/>
    <w:uiPriority w:val="0"/>
    <w:pPr>
      <w:widowControl/>
      <w:ind w:left="100" w:leftChars="200" w:hanging="200" w:hangingChars="200"/>
      <w:jc w:val="left"/>
    </w:pPr>
    <w:rPr>
      <w:rFonts w:ascii="宋体" w:hAnsi="宋体" w:cs="宋体"/>
      <w:kern w:val="0"/>
      <w:szCs w:val="24"/>
    </w:rPr>
  </w:style>
  <w:style w:type="paragraph" w:customStyle="1" w:styleId="1874">
    <w:name w:val="表内文字边"/>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1875">
    <w:name w:val="批注框文本 Char Char"/>
    <w:basedOn w:val="1"/>
    <w:uiPriority w:val="0"/>
    <w:pPr>
      <w:widowControl/>
      <w:jc w:val="left"/>
    </w:pPr>
    <w:rPr>
      <w:rFonts w:ascii="宋体" w:hAnsi="宋体" w:cs="宋体"/>
      <w:kern w:val="0"/>
      <w:sz w:val="18"/>
      <w:szCs w:val="20"/>
    </w:rPr>
  </w:style>
  <w:style w:type="paragraph" w:customStyle="1" w:styleId="1876">
    <w:name w:val="图题4"/>
    <w:basedOn w:val="207"/>
    <w:next w:val="207"/>
    <w:uiPriority w:val="0"/>
    <w:pPr>
      <w:ind w:firstLine="0"/>
      <w:jc w:val="center"/>
    </w:pPr>
    <w:rPr>
      <w:rFonts w:ascii="黑体" w:hAnsi="宋体" w:eastAsia="黑体" w:cs="宋体"/>
      <w:b/>
      <w:bCs/>
      <w:szCs w:val="24"/>
    </w:rPr>
  </w:style>
  <w:style w:type="paragraph" w:customStyle="1" w:styleId="1877">
    <w:name w:val="图题21"/>
    <w:basedOn w:val="207"/>
    <w:next w:val="207"/>
    <w:uiPriority w:val="0"/>
    <w:pPr>
      <w:ind w:firstLine="0"/>
      <w:jc w:val="center"/>
    </w:pPr>
    <w:rPr>
      <w:rFonts w:ascii="黑体" w:hAnsi="宋体" w:eastAsia="黑体" w:cs="宋体"/>
      <w:b/>
      <w:bCs/>
      <w:szCs w:val="24"/>
    </w:rPr>
  </w:style>
  <w:style w:type="paragraph" w:customStyle="1" w:styleId="1878">
    <w:name w:val="Char Char Char Char Char Char Char Char Char Char Char1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1879">
    <w:name w:val="图表名"/>
    <w:basedOn w:val="1"/>
    <w:uiPriority w:val="0"/>
    <w:pPr>
      <w:widowControl/>
      <w:jc w:val="center"/>
    </w:pPr>
    <w:rPr>
      <w:rFonts w:ascii="宋体" w:hAnsi="宋体" w:eastAsia="黑体" w:cs="宋体"/>
      <w:snapToGrid w:val="0"/>
      <w:color w:val="000000"/>
      <w:kern w:val="0"/>
      <w:szCs w:val="28"/>
    </w:rPr>
  </w:style>
  <w:style w:type="paragraph" w:customStyle="1" w:styleId="1880">
    <w:name w:val="表题3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1881">
    <w:name w:val="条文"/>
    <w:basedOn w:val="8"/>
    <w:next w:val="1"/>
    <w:uiPriority w:val="0"/>
    <w:pPr>
      <w:keepNext w:val="0"/>
      <w:widowControl/>
      <w:numPr>
        <w:ilvl w:val="0"/>
        <w:numId w:val="0"/>
      </w:numPr>
      <w:tabs>
        <w:tab w:val="left" w:pos="2638"/>
      </w:tabs>
      <w:spacing w:before="120" w:line="240" w:lineRule="auto"/>
      <w:ind w:left="2638" w:hanging="420"/>
      <w:jc w:val="left"/>
    </w:pPr>
    <w:rPr>
      <w:rFonts w:ascii="Times New Roman" w:hAnsi="Times New Roman"/>
      <w:b w:val="0"/>
      <w:bCs w:val="0"/>
      <w:kern w:val="0"/>
      <w:szCs w:val="20"/>
      <w:lang w:val="zh-CN" w:eastAsia="zh-CN"/>
    </w:rPr>
  </w:style>
  <w:style w:type="paragraph" w:customStyle="1" w:styleId="1882">
    <w:name w:val="正文样式一"/>
    <w:basedOn w:val="1"/>
    <w:uiPriority w:val="0"/>
    <w:pPr>
      <w:widowControl/>
      <w:spacing w:line="400" w:lineRule="atLeast"/>
      <w:ind w:firstLine="510"/>
      <w:jc w:val="left"/>
      <w:textAlignment w:val="baseline"/>
    </w:pPr>
    <w:rPr>
      <w:rFonts w:ascii="宋体" w:hAnsi="宋体" w:cs="宋体"/>
      <w:kern w:val="0"/>
      <w:szCs w:val="20"/>
    </w:rPr>
  </w:style>
  <w:style w:type="paragraph" w:customStyle="1" w:styleId="1883">
    <w:name w:val="y表头"/>
    <w:basedOn w:val="27"/>
    <w:uiPriority w:val="0"/>
    <w:pPr>
      <w:widowControl/>
      <w:tabs>
        <w:tab w:val="left" w:pos="900"/>
      </w:tabs>
      <w:spacing w:line="240" w:lineRule="auto"/>
      <w:jc w:val="center"/>
      <w:textAlignment w:val="baseline"/>
    </w:pPr>
    <w:rPr>
      <w:rFonts w:hint="eastAsia" w:ascii="宋体" w:hAnsi="宋体" w:eastAsia="楷体_GB2312"/>
      <w:b/>
      <w:szCs w:val="20"/>
    </w:rPr>
  </w:style>
  <w:style w:type="paragraph" w:customStyle="1" w:styleId="1884">
    <w:name w:val="00000000000000"/>
    <w:basedOn w:val="3"/>
    <w:uiPriority w:val="0"/>
    <w:pPr>
      <w:keepNext w:val="0"/>
      <w:keepLines w:val="0"/>
      <w:numPr>
        <w:ilvl w:val="0"/>
        <w:numId w:val="0"/>
      </w:numPr>
      <w:tabs>
        <w:tab w:val="left" w:pos="2670"/>
      </w:tabs>
      <w:spacing w:after="0"/>
      <w:ind w:firstLine="480"/>
      <w:outlineLvl w:val="9"/>
    </w:pPr>
    <w:rPr>
      <w:rFonts w:ascii="宋体" w:hAnsi="宋体" w:cs="Times New Roman"/>
      <w:b w:val="0"/>
      <w:kern w:val="18"/>
      <w:szCs w:val="21"/>
      <w:lang w:val="zh-CN" w:eastAsia="zh-CN"/>
    </w:rPr>
  </w:style>
  <w:style w:type="paragraph" w:customStyle="1" w:styleId="1885">
    <w:name w:val="Char Char Char Char Char Char Char Char Char Char Char Char Char Char Char Char Char Char Char Char Char Char Char Char Char Char Char Char Char Char Char Char Char1 Char Char Char Char Char Char"/>
    <w:basedOn w:val="1"/>
    <w:uiPriority w:val="0"/>
    <w:pPr>
      <w:widowControl/>
      <w:jc w:val="left"/>
    </w:pPr>
    <w:rPr>
      <w:rFonts w:ascii="宋体" w:hAnsi="宋体" w:cs="宋体"/>
      <w:kern w:val="0"/>
      <w:szCs w:val="24"/>
    </w:rPr>
  </w:style>
  <w:style w:type="paragraph" w:customStyle="1" w:styleId="1886">
    <w:name w:val="pic-info"/>
    <w:basedOn w:val="1"/>
    <w:uiPriority w:val="0"/>
    <w:pPr>
      <w:widowControl/>
      <w:spacing w:before="100" w:beforeAutospacing="1" w:after="100" w:afterAutospacing="1"/>
      <w:jc w:val="left"/>
    </w:pPr>
    <w:rPr>
      <w:rFonts w:ascii="宋体" w:hAnsi="宋体" w:cs="宋体"/>
      <w:kern w:val="0"/>
      <w:szCs w:val="24"/>
    </w:rPr>
  </w:style>
  <w:style w:type="paragraph" w:customStyle="1" w:styleId="1887">
    <w:name w:val="正文格式82"/>
    <w:basedOn w:val="1"/>
    <w:uiPriority w:val="0"/>
    <w:pPr>
      <w:widowControl/>
      <w:ind w:firstLine="482"/>
      <w:jc w:val="left"/>
    </w:pPr>
    <w:rPr>
      <w:rFonts w:ascii="宋体" w:hAnsi="宋体" w:cs="宋体"/>
      <w:kern w:val="0"/>
      <w:szCs w:val="24"/>
    </w:rPr>
  </w:style>
  <w:style w:type="paragraph" w:customStyle="1" w:styleId="1888">
    <w:name w:val="表内宋5111"/>
    <w:basedOn w:val="433"/>
    <w:uiPriority w:val="0"/>
    <w:rPr>
      <w:rFonts w:ascii="宋体" w:hAnsi="宋体" w:cs="宋体"/>
      <w:color w:val="000000"/>
      <w:sz w:val="21"/>
      <w:szCs w:val="24"/>
    </w:rPr>
  </w:style>
  <w:style w:type="paragraph" w:customStyle="1" w:styleId="1889">
    <w:name w:val="Char Char Char1 Char Char Char Char Char Char Char Char Char Char Char Char Char Char Char Char"/>
    <w:basedOn w:val="1"/>
    <w:uiPriority w:val="0"/>
    <w:pPr>
      <w:widowControl/>
      <w:jc w:val="left"/>
    </w:pPr>
    <w:rPr>
      <w:rFonts w:ascii="宋体" w:hAnsi="宋体" w:cs="宋体"/>
      <w:kern w:val="0"/>
      <w:szCs w:val="21"/>
    </w:rPr>
  </w:style>
  <w:style w:type="paragraph" w:customStyle="1" w:styleId="1890">
    <w:name w:val="little"/>
    <w:basedOn w:val="1"/>
    <w:uiPriority w:val="0"/>
    <w:pPr>
      <w:widowControl/>
      <w:spacing w:before="100" w:beforeAutospacing="1" w:after="100" w:afterAutospacing="1"/>
      <w:jc w:val="left"/>
    </w:pPr>
    <w:rPr>
      <w:rFonts w:ascii="宋体" w:hAnsi="宋体" w:cs="宋体"/>
      <w:kern w:val="0"/>
      <w:szCs w:val="24"/>
    </w:rPr>
  </w:style>
  <w:style w:type="paragraph" w:customStyle="1" w:styleId="1891">
    <w:name w:val="标题4312"/>
    <w:basedOn w:val="1"/>
    <w:uiPriority w:val="0"/>
    <w:pPr>
      <w:widowControl/>
      <w:spacing w:line="480" w:lineRule="exact"/>
      <w:jc w:val="center"/>
    </w:pPr>
    <w:rPr>
      <w:rFonts w:ascii="宋体" w:hAnsi="宋体" w:cs="宋体"/>
      <w:kern w:val="0"/>
      <w:szCs w:val="24"/>
    </w:rPr>
  </w:style>
  <w:style w:type="paragraph" w:customStyle="1" w:styleId="1892">
    <w:name w:val="新正文样式"/>
    <w:basedOn w:val="1"/>
    <w:uiPriority w:val="0"/>
    <w:pPr>
      <w:widowControl/>
      <w:tabs>
        <w:tab w:val="left" w:pos="567"/>
      </w:tabs>
      <w:ind w:firstLine="567"/>
      <w:jc w:val="left"/>
    </w:pPr>
    <w:rPr>
      <w:rFonts w:ascii="宋体" w:hAnsi="宋体" w:cs="宋体"/>
      <w:spacing w:val="20"/>
      <w:kern w:val="0"/>
      <w:szCs w:val="20"/>
    </w:rPr>
  </w:style>
  <w:style w:type="paragraph" w:customStyle="1" w:styleId="1893">
    <w:name w:val="M"/>
    <w:basedOn w:val="2"/>
    <w:uiPriority w:val="0"/>
    <w:pPr>
      <w:keepLines w:val="0"/>
      <w:numPr>
        <w:numId w:val="0"/>
      </w:numPr>
      <w:tabs>
        <w:tab w:val="left" w:pos="2260"/>
        <w:tab w:val="left" w:pos="2820"/>
        <w:tab w:val="left" w:pos="3420"/>
      </w:tabs>
      <w:spacing w:before="440" w:line="240" w:lineRule="auto"/>
      <w:ind w:left="851" w:right="-28" w:hanging="851"/>
      <w:jc w:val="left"/>
    </w:pPr>
    <w:rPr>
      <w:rFonts w:ascii="Arial" w:hAnsi="Arial"/>
      <w:b w:val="0"/>
      <w:bCs w:val="0"/>
      <w:kern w:val="0"/>
      <w:sz w:val="22"/>
      <w:szCs w:val="20"/>
      <w:lang w:val="zh-CN" w:eastAsia="zh-CN"/>
    </w:rPr>
  </w:style>
  <w:style w:type="paragraph" w:customStyle="1" w:styleId="1894">
    <w:name w:val="Char1 Char Char Char Char Char1 Char1"/>
    <w:basedOn w:val="1"/>
    <w:uiPriority w:val="0"/>
    <w:pPr>
      <w:widowControl/>
      <w:jc w:val="left"/>
    </w:pPr>
    <w:rPr>
      <w:rFonts w:ascii="宋体" w:hAnsi="宋体" w:cs="宋体"/>
      <w:kern w:val="0"/>
      <w:szCs w:val="21"/>
    </w:rPr>
  </w:style>
  <w:style w:type="paragraph" w:customStyle="1" w:styleId="1895">
    <w:name w:val="表格内字体2"/>
    <w:basedOn w:val="207"/>
    <w:next w:val="207"/>
    <w:uiPriority w:val="0"/>
    <w:pPr>
      <w:spacing w:line="240" w:lineRule="auto"/>
      <w:ind w:firstLine="0"/>
      <w:jc w:val="center"/>
    </w:pPr>
    <w:rPr>
      <w:rFonts w:hAnsi="宋体"/>
      <w:sz w:val="21"/>
      <w:szCs w:val="24"/>
    </w:rPr>
  </w:style>
  <w:style w:type="paragraph" w:customStyle="1" w:styleId="1896">
    <w:name w:val="图题1"/>
    <w:basedOn w:val="207"/>
    <w:next w:val="207"/>
    <w:uiPriority w:val="0"/>
    <w:pPr>
      <w:ind w:firstLine="0"/>
      <w:jc w:val="center"/>
    </w:pPr>
    <w:rPr>
      <w:rFonts w:ascii="黑体" w:hAnsi="宋体" w:eastAsia="黑体" w:cs="宋体"/>
      <w:b/>
      <w:bCs/>
      <w:szCs w:val="24"/>
    </w:rPr>
  </w:style>
  <w:style w:type="paragraph" w:customStyle="1" w:styleId="1897">
    <w:name w:val="表文字52"/>
    <w:basedOn w:val="1"/>
    <w:uiPriority w:val="0"/>
    <w:pPr>
      <w:widowControl/>
      <w:jc w:val="left"/>
      <w:textAlignment w:val="baseline"/>
    </w:pPr>
    <w:rPr>
      <w:rFonts w:ascii="宋体" w:hAnsi="宋体" w:cs="宋体"/>
      <w:kern w:val="0"/>
      <w:szCs w:val="20"/>
    </w:rPr>
  </w:style>
  <w:style w:type="paragraph" w:customStyle="1" w:styleId="1898">
    <w:name w:val="列表接续 51"/>
    <w:basedOn w:val="1"/>
    <w:uiPriority w:val="0"/>
    <w:pPr>
      <w:widowControl/>
      <w:spacing w:after="120"/>
      <w:ind w:left="2100" w:leftChars="1000"/>
      <w:jc w:val="left"/>
    </w:pPr>
    <w:rPr>
      <w:rFonts w:ascii="宋体" w:hAnsi="宋体" w:cs="宋体"/>
      <w:kern w:val="0"/>
      <w:szCs w:val="24"/>
    </w:rPr>
  </w:style>
  <w:style w:type="paragraph" w:customStyle="1" w:styleId="1899">
    <w:name w:val="Char Char Char1 Char Char Char Char Char Char Char Char Char Char Char Char Char Char Char1 Char Char Char Char Char Char Char Char Char Char Char Char Char Char Char Char Char Char Char Char Char Char Char Char Char Char Char Char Char Char"/>
    <w:basedOn w:val="1"/>
    <w:uiPriority w:val="0"/>
    <w:pPr>
      <w:widowControl/>
      <w:spacing w:line="240" w:lineRule="exact"/>
      <w:jc w:val="left"/>
    </w:pPr>
    <w:rPr>
      <w:rFonts w:ascii="宋体" w:hAnsi="宋体" w:cs="宋体"/>
      <w:kern w:val="0"/>
      <w:szCs w:val="28"/>
    </w:rPr>
  </w:style>
  <w:style w:type="paragraph" w:customStyle="1" w:styleId="1900">
    <w:name w:val="列表 41"/>
    <w:basedOn w:val="1"/>
    <w:uiPriority w:val="0"/>
    <w:pPr>
      <w:widowControl/>
      <w:ind w:left="100" w:leftChars="600" w:hanging="200" w:hangingChars="200"/>
      <w:jc w:val="left"/>
    </w:pPr>
    <w:rPr>
      <w:rFonts w:ascii="宋体" w:hAnsi="宋体" w:cs="宋体"/>
      <w:kern w:val="0"/>
      <w:szCs w:val="24"/>
    </w:rPr>
  </w:style>
  <w:style w:type="paragraph" w:customStyle="1" w:styleId="1901">
    <w:name w:val="Char Char Char Char Char Char Char Char Char Char Char1"/>
    <w:basedOn w:val="1"/>
    <w:uiPriority w:val="0"/>
    <w:pPr>
      <w:widowControl/>
      <w:jc w:val="left"/>
    </w:pPr>
    <w:rPr>
      <w:rFonts w:ascii="宋体" w:hAnsi="宋体" w:cs="宋体"/>
      <w:kern w:val="0"/>
      <w:szCs w:val="24"/>
    </w:rPr>
  </w:style>
  <w:style w:type="paragraph" w:customStyle="1" w:styleId="1902">
    <w:name w:val="表文字53"/>
    <w:basedOn w:val="1"/>
    <w:uiPriority w:val="0"/>
    <w:pPr>
      <w:widowControl/>
      <w:jc w:val="left"/>
      <w:textAlignment w:val="baseline"/>
    </w:pPr>
    <w:rPr>
      <w:rFonts w:ascii="宋体" w:hAnsi="宋体" w:cs="宋体"/>
      <w:kern w:val="0"/>
      <w:szCs w:val="20"/>
    </w:rPr>
  </w:style>
  <w:style w:type="paragraph" w:customStyle="1" w:styleId="1903">
    <w:name w:val="Char Char Char Char Char Char Char Char Char Char Char Char2"/>
    <w:basedOn w:val="1"/>
    <w:uiPriority w:val="0"/>
    <w:pPr>
      <w:widowControl/>
      <w:jc w:val="left"/>
    </w:pPr>
    <w:rPr>
      <w:rFonts w:ascii="宋体" w:hAnsi="宋体" w:cs="宋体"/>
      <w:kern w:val="0"/>
      <w:szCs w:val="24"/>
    </w:rPr>
  </w:style>
  <w:style w:type="paragraph" w:customStyle="1" w:styleId="1904">
    <w:name w:val="表内591"/>
    <w:basedOn w:val="1"/>
    <w:uiPriority w:val="0"/>
    <w:pPr>
      <w:widowControl/>
      <w:spacing w:line="300" w:lineRule="auto"/>
      <w:jc w:val="center"/>
    </w:pPr>
    <w:rPr>
      <w:rFonts w:ascii="宋体" w:hAnsi="宋体" w:cs="宋体"/>
      <w:snapToGrid w:val="0"/>
      <w:kern w:val="0"/>
      <w:szCs w:val="21"/>
    </w:rPr>
  </w:style>
  <w:style w:type="paragraph" w:customStyle="1" w:styleId="1905">
    <w:name w:val="标-4"/>
    <w:basedOn w:val="1"/>
    <w:uiPriority w:val="0"/>
    <w:pPr>
      <w:widowControl/>
      <w:spacing w:before="120"/>
      <w:ind w:left="851" w:hanging="851"/>
      <w:jc w:val="left"/>
    </w:pPr>
    <w:rPr>
      <w:rFonts w:ascii="宋体" w:hAnsi="宋体" w:cs="宋体"/>
      <w:kern w:val="0"/>
      <w:szCs w:val="20"/>
    </w:rPr>
  </w:style>
  <w:style w:type="paragraph" w:customStyle="1" w:styleId="1906">
    <w:name w:val="索引标题1"/>
    <w:basedOn w:val="1"/>
    <w:next w:val="594"/>
    <w:uiPriority w:val="0"/>
    <w:pPr>
      <w:widowControl/>
      <w:jc w:val="left"/>
    </w:pPr>
    <w:rPr>
      <w:rFonts w:ascii="宋体" w:hAnsi="宋体" w:cs="宋体"/>
      <w:kern w:val="0"/>
      <w:szCs w:val="24"/>
    </w:rPr>
  </w:style>
  <w:style w:type="paragraph" w:customStyle="1" w:styleId="1907">
    <w:name w:val="Char1111"/>
    <w:basedOn w:val="1"/>
    <w:uiPriority w:val="0"/>
    <w:pPr>
      <w:widowControl/>
      <w:spacing w:before="156"/>
      <w:jc w:val="left"/>
    </w:pPr>
    <w:rPr>
      <w:rFonts w:ascii="黑体" w:hAnsi="宋体" w:eastAsia="黑体" w:cs="宋体"/>
      <w:kern w:val="0"/>
      <w:sz w:val="32"/>
      <w:szCs w:val="32"/>
    </w:rPr>
  </w:style>
  <w:style w:type="paragraph" w:customStyle="1" w:styleId="1908">
    <w:name w:val="Char Char Char Char Char Char Char Char Char Char Char Char Char Char Char Char Char Char Char Char Char Char Char Char Char Char11"/>
    <w:basedOn w:val="1"/>
    <w:uiPriority w:val="0"/>
    <w:pPr>
      <w:widowControl/>
      <w:jc w:val="left"/>
    </w:pPr>
    <w:rPr>
      <w:rFonts w:ascii="宋体" w:hAnsi="宋体" w:cs="宋体"/>
      <w:kern w:val="0"/>
      <w:szCs w:val="24"/>
    </w:rPr>
  </w:style>
  <w:style w:type="paragraph" w:customStyle="1" w:styleId="1909">
    <w:name w:val="正文修改5"/>
    <w:basedOn w:val="236"/>
    <w:uiPriority w:val="0"/>
    <w:rPr>
      <w:rFonts w:hAnsi="宋体" w:eastAsia="宋体" w:cs="宋体"/>
      <w:color w:val="000000"/>
      <w:szCs w:val="24"/>
    </w:rPr>
  </w:style>
  <w:style w:type="paragraph" w:customStyle="1" w:styleId="1910">
    <w:name w:val="文本框"/>
    <w:basedOn w:val="1"/>
    <w:next w:val="1"/>
    <w:uiPriority w:val="0"/>
    <w:pPr>
      <w:widowControl/>
      <w:spacing w:line="320" w:lineRule="exact"/>
      <w:jc w:val="center"/>
    </w:pPr>
    <w:rPr>
      <w:rFonts w:ascii="仿宋_GB2312" w:hAnsi="宋体" w:cs="宋体"/>
      <w:kern w:val="0"/>
      <w:szCs w:val="24"/>
    </w:rPr>
  </w:style>
  <w:style w:type="paragraph" w:customStyle="1" w:styleId="1911">
    <w:name w:val="黑体三号1"/>
    <w:basedOn w:val="207"/>
    <w:uiPriority w:val="0"/>
    <w:pPr>
      <w:jc w:val="center"/>
    </w:pPr>
    <w:rPr>
      <w:rFonts w:ascii="黑体" w:hAnsi="宋体" w:eastAsia="黑体" w:cs="宋体"/>
      <w:b/>
      <w:bCs/>
      <w:sz w:val="32"/>
      <w:szCs w:val="20"/>
    </w:rPr>
  </w:style>
  <w:style w:type="paragraph" w:customStyle="1" w:styleId="1912">
    <w:name w:val="黑体三号3"/>
    <w:basedOn w:val="207"/>
    <w:uiPriority w:val="0"/>
    <w:pPr>
      <w:jc w:val="center"/>
    </w:pPr>
    <w:rPr>
      <w:rFonts w:ascii="黑体" w:hAnsi="宋体" w:eastAsia="黑体" w:cs="宋体"/>
      <w:b/>
      <w:bCs/>
      <w:sz w:val="32"/>
      <w:szCs w:val="20"/>
    </w:rPr>
  </w:style>
  <w:style w:type="paragraph" w:customStyle="1" w:styleId="1913">
    <w:name w:val="表3"/>
    <w:basedOn w:val="1"/>
    <w:uiPriority w:val="0"/>
    <w:pPr>
      <w:widowControl/>
      <w:jc w:val="center"/>
    </w:pPr>
    <w:rPr>
      <w:rFonts w:ascii="宋体" w:hAnsi="宋体" w:cs="宋体"/>
      <w:kern w:val="0"/>
      <w:szCs w:val="24"/>
    </w:rPr>
  </w:style>
  <w:style w:type="paragraph" w:customStyle="1" w:styleId="1914">
    <w:name w:val="3xi1"/>
    <w:basedOn w:val="1"/>
    <w:uiPriority w:val="0"/>
    <w:pPr>
      <w:widowControl/>
      <w:spacing w:before="100" w:beforeAutospacing="1" w:after="100" w:afterAutospacing="1"/>
      <w:jc w:val="left"/>
    </w:pPr>
    <w:rPr>
      <w:rFonts w:ascii="宋体" w:hAnsi="宋体" w:cs="宋体"/>
      <w:kern w:val="0"/>
      <w:szCs w:val="24"/>
    </w:rPr>
  </w:style>
  <w:style w:type="paragraph" w:customStyle="1" w:styleId="1915">
    <w:name w:val="Char1 Char Char Char Char Char1 Char"/>
    <w:basedOn w:val="1"/>
    <w:uiPriority w:val="0"/>
    <w:pPr>
      <w:widowControl/>
      <w:jc w:val="left"/>
    </w:pPr>
    <w:rPr>
      <w:rFonts w:ascii="宋体" w:hAnsi="宋体" w:cs="宋体"/>
      <w:kern w:val="0"/>
      <w:szCs w:val="21"/>
    </w:rPr>
  </w:style>
  <w:style w:type="paragraph" w:customStyle="1" w:styleId="1916">
    <w:name w:val="Char Char Char Char Char Char Char Char Char Char Char Char Char Char Char Char Char Char Char 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1917">
    <w:name w:val="文-1"/>
    <w:basedOn w:val="1"/>
    <w:uiPriority w:val="0"/>
    <w:pPr>
      <w:widowControl/>
      <w:spacing w:before="120"/>
      <w:ind w:left="851" w:firstLine="482"/>
      <w:jc w:val="left"/>
    </w:pPr>
    <w:rPr>
      <w:rFonts w:ascii="宋体" w:hAnsi="宋体" w:cs="宋体"/>
      <w:kern w:val="0"/>
      <w:szCs w:val="20"/>
    </w:rPr>
  </w:style>
  <w:style w:type="paragraph" w:customStyle="1" w:styleId="1918">
    <w:name w:val="Char Char Char Char Char Char Char Char Char Char Char1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1919">
    <w:name w:val="表内54141"/>
    <w:basedOn w:val="1"/>
    <w:uiPriority w:val="0"/>
    <w:pPr>
      <w:widowControl/>
      <w:spacing w:line="300" w:lineRule="auto"/>
      <w:jc w:val="center"/>
    </w:pPr>
    <w:rPr>
      <w:rFonts w:ascii="宋体" w:hAnsi="宋体" w:cs="宋体"/>
      <w:kern w:val="0"/>
      <w:szCs w:val="20"/>
    </w:rPr>
  </w:style>
  <w:style w:type="paragraph" w:customStyle="1" w:styleId="1920">
    <w:name w:val="样式 样式 标题 1章标题章节H1NMP Heading 1Section HeadHeader1h11st leve... +..."/>
    <w:basedOn w:val="1"/>
    <w:uiPriority w:val="0"/>
    <w:pPr>
      <w:keepNext/>
      <w:widowControl/>
      <w:spacing w:after="156"/>
      <w:jc w:val="left"/>
      <w:outlineLvl w:val="0"/>
    </w:pPr>
    <w:rPr>
      <w:rFonts w:ascii="仿宋_GB2312" w:hAnsi="宋体" w:cs="宋体"/>
      <w:b/>
      <w:bCs/>
      <w:kern w:val="0"/>
      <w:sz w:val="32"/>
      <w:szCs w:val="32"/>
    </w:rPr>
  </w:style>
  <w:style w:type="paragraph" w:customStyle="1" w:styleId="1921">
    <w:name w:val="图表标题"/>
    <w:basedOn w:val="388"/>
    <w:next w:val="1922"/>
    <w:uiPriority w:val="0"/>
    <w:pPr>
      <w:widowControl/>
      <w:overflowPunct/>
      <w:autoSpaceDE/>
      <w:autoSpaceDN/>
      <w:spacing w:before="0" w:beforeLines="0" w:after="0" w:afterLines="0" w:line="360" w:lineRule="auto"/>
      <w:ind w:right="0" w:rightChars="0" w:firstLine="723" w:firstLineChars="300"/>
      <w:jc w:val="center"/>
      <w:textAlignment w:val="baseline"/>
    </w:pPr>
    <w:rPr>
      <w:rFonts w:cs="宋体"/>
      <w:b/>
      <w:szCs w:val="24"/>
    </w:rPr>
  </w:style>
  <w:style w:type="paragraph" w:customStyle="1" w:styleId="1922">
    <w:name w:val="报告表格"/>
    <w:basedOn w:val="1"/>
    <w:uiPriority w:val="0"/>
    <w:pPr>
      <w:widowControl/>
      <w:autoSpaceDE w:val="0"/>
      <w:autoSpaceDN w:val="0"/>
      <w:spacing w:before="40" w:after="40"/>
      <w:jc w:val="center"/>
      <w:textAlignment w:val="bottom"/>
    </w:pPr>
    <w:rPr>
      <w:rFonts w:ascii="宋体" w:hAnsi="宋体" w:cs="宋体"/>
      <w:kern w:val="0"/>
      <w:szCs w:val="20"/>
    </w:rPr>
  </w:style>
  <w:style w:type="paragraph" w:customStyle="1" w:styleId="1923">
    <w:name w:val="Char Char Char Char Char Char Char Char Char Char Char Char Char Char Char Char Char Char Char Char Char Char Char Char Char Char2"/>
    <w:basedOn w:val="1"/>
    <w:uiPriority w:val="0"/>
    <w:pPr>
      <w:widowControl/>
      <w:jc w:val="left"/>
    </w:pPr>
    <w:rPr>
      <w:rFonts w:ascii="宋体" w:hAnsi="宋体" w:cs="宋体"/>
      <w:kern w:val="0"/>
      <w:szCs w:val="24"/>
    </w:rPr>
  </w:style>
  <w:style w:type="paragraph" w:customStyle="1" w:styleId="1924">
    <w:name w:val="样式7"/>
    <w:basedOn w:val="2"/>
    <w:uiPriority w:val="0"/>
    <w:pPr>
      <w:numPr>
        <w:numId w:val="0"/>
      </w:numPr>
      <w:tabs>
        <w:tab w:val="left" w:pos="432"/>
      </w:tabs>
      <w:spacing w:before="624" w:beforeLines="200" w:after="624" w:afterLines="200"/>
      <w:ind w:left="432" w:hanging="432"/>
    </w:pPr>
    <w:rPr>
      <w:rFonts w:eastAsia="黑体"/>
      <w:b w:val="0"/>
      <w:bCs w:val="0"/>
      <w:color w:val="000000"/>
      <w:sz w:val="30"/>
      <w:lang w:val="zh-CN" w:eastAsia="zh-CN"/>
    </w:rPr>
  </w:style>
  <w:style w:type="paragraph" w:customStyle="1" w:styleId="1925">
    <w:name w:val="Char Char Char Char1 Char Char Char"/>
    <w:basedOn w:val="1"/>
    <w:uiPriority w:val="0"/>
    <w:pPr>
      <w:widowControl/>
      <w:spacing w:after="160" w:line="240" w:lineRule="exact"/>
      <w:jc w:val="left"/>
    </w:pPr>
    <w:rPr>
      <w:rFonts w:ascii="Verdana" w:hAnsi="Verdana" w:cs="宋体"/>
      <w:kern w:val="0"/>
      <w:sz w:val="20"/>
      <w:szCs w:val="20"/>
      <w:lang w:eastAsia="en-US"/>
    </w:rPr>
  </w:style>
  <w:style w:type="paragraph" w:customStyle="1" w:styleId="1926">
    <w:name w:val="正文居中"/>
    <w:basedOn w:val="155"/>
    <w:uiPriority w:val="0"/>
    <w:pPr>
      <w:spacing w:before="48" w:after="0" w:line="360" w:lineRule="auto"/>
      <w:ind w:firstLine="480" w:firstLineChars="200"/>
      <w:jc w:val="left"/>
      <w:textAlignment w:val="baseline"/>
    </w:pPr>
    <w:rPr>
      <w:szCs w:val="24"/>
      <w:lang w:val="zh-CN"/>
    </w:rPr>
  </w:style>
  <w:style w:type="paragraph" w:customStyle="1" w:styleId="1927">
    <w:name w:val="样式 列表 + 左侧:  0 厘米 悬挂缩进: 2 字符"/>
    <w:basedOn w:val="48"/>
    <w:uiPriority w:val="0"/>
    <w:pPr>
      <w:widowControl/>
      <w:tabs>
        <w:tab w:val="center" w:pos="4153"/>
        <w:tab w:val="right" w:pos="8306"/>
      </w:tabs>
      <w:spacing w:line="320" w:lineRule="exact"/>
    </w:pPr>
    <w:rPr>
      <w:rFonts w:ascii="Times New Roman" w:hAnsi="宋体" w:eastAsia="方正仿宋_GBK" w:cs="宋体"/>
      <w:kern w:val="0"/>
      <w:sz w:val="21"/>
      <w:szCs w:val="21"/>
    </w:rPr>
  </w:style>
  <w:style w:type="paragraph" w:customStyle="1" w:styleId="1928">
    <w:name w:val="Char Char Char Char Char Char Char23"/>
    <w:basedOn w:val="1"/>
    <w:uiPriority w:val="0"/>
    <w:pPr>
      <w:widowControl/>
      <w:jc w:val="left"/>
    </w:pPr>
    <w:rPr>
      <w:rFonts w:ascii="宋体" w:hAnsi="宋体" w:cs="宋体"/>
      <w:kern w:val="0"/>
      <w:szCs w:val="24"/>
    </w:rPr>
  </w:style>
  <w:style w:type="paragraph" w:customStyle="1" w:styleId="1929">
    <w:name w:val="标题43111"/>
    <w:basedOn w:val="1"/>
    <w:uiPriority w:val="0"/>
    <w:pPr>
      <w:widowControl/>
      <w:spacing w:line="480" w:lineRule="exact"/>
      <w:jc w:val="center"/>
    </w:pPr>
    <w:rPr>
      <w:rFonts w:ascii="宋体" w:hAnsi="宋体" w:cs="宋体"/>
      <w:kern w:val="0"/>
      <w:szCs w:val="24"/>
    </w:rPr>
  </w:style>
  <w:style w:type="paragraph" w:customStyle="1" w:styleId="1930">
    <w:name w:val="正文格式＝31"/>
    <w:basedOn w:val="207"/>
    <w:next w:val="207"/>
    <w:uiPriority w:val="0"/>
    <w:rPr>
      <w:rFonts w:hAnsi="宋体"/>
      <w:szCs w:val="24"/>
    </w:rPr>
  </w:style>
  <w:style w:type="paragraph" w:customStyle="1" w:styleId="1931">
    <w:name w:val="样式 日期 + 左侧:  21 字符"/>
    <w:basedOn w:val="161"/>
    <w:uiPriority w:val="0"/>
    <w:pPr>
      <w:widowControl/>
      <w:ind w:left="1800" w:leftChars="1800" w:firstLine="0" w:firstLineChars="0"/>
    </w:pPr>
    <w:rPr>
      <w:rFonts w:ascii="Times New Roman" w:cs="宋体"/>
      <w:b/>
      <w:bCs/>
      <w:sz w:val="28"/>
      <w:szCs w:val="20"/>
    </w:rPr>
  </w:style>
  <w:style w:type="paragraph" w:customStyle="1" w:styleId="1932">
    <w:name w:val="表内文字小22"/>
    <w:basedOn w:val="1"/>
    <w:uiPriority w:val="0"/>
    <w:pPr>
      <w:widowControl/>
      <w:jc w:val="center"/>
    </w:pPr>
    <w:rPr>
      <w:rFonts w:ascii="宋体" w:hAnsi="Times" w:cs="宋体"/>
      <w:bCs/>
      <w:color w:val="000000"/>
      <w:kern w:val="0"/>
      <w:szCs w:val="20"/>
    </w:rPr>
  </w:style>
  <w:style w:type="paragraph" w:customStyle="1" w:styleId="1933">
    <w:name w:val="正文文本2"/>
    <w:basedOn w:val="1"/>
    <w:uiPriority w:val="0"/>
    <w:pPr>
      <w:widowControl/>
      <w:spacing w:after="120"/>
      <w:jc w:val="left"/>
    </w:pPr>
    <w:rPr>
      <w:rFonts w:hint="eastAsia" w:ascii="宋体" w:hAnsi="宋体" w:cs="宋体"/>
      <w:kern w:val="0"/>
      <w:szCs w:val="20"/>
    </w:rPr>
  </w:style>
  <w:style w:type="paragraph" w:customStyle="1" w:styleId="1934">
    <w:name w:val="表内宋5"/>
    <w:basedOn w:val="1935"/>
    <w:uiPriority w:val="0"/>
    <w:pPr>
      <w:autoSpaceDE w:val="0"/>
      <w:autoSpaceDN w:val="0"/>
      <w:textAlignment w:val="auto"/>
    </w:pPr>
    <w:rPr>
      <w:color w:val="auto"/>
      <w:w w:val="90"/>
    </w:rPr>
  </w:style>
  <w:style w:type="paragraph" w:customStyle="1" w:styleId="1935">
    <w:name w:val="表内宋5中"/>
    <w:basedOn w:val="1"/>
    <w:uiPriority w:val="0"/>
    <w:pPr>
      <w:widowControl/>
      <w:jc w:val="left"/>
      <w:textAlignment w:val="baseline"/>
    </w:pPr>
    <w:rPr>
      <w:rFonts w:ascii="宋体" w:hAnsi="宋体" w:cs="宋体"/>
      <w:color w:val="000000"/>
      <w:kern w:val="0"/>
      <w:szCs w:val="20"/>
    </w:rPr>
  </w:style>
  <w:style w:type="paragraph" w:customStyle="1" w:styleId="1936">
    <w:name w:val="正文格式＝111"/>
    <w:basedOn w:val="207"/>
    <w:next w:val="207"/>
    <w:uiPriority w:val="0"/>
    <w:rPr>
      <w:rFonts w:hAnsi="宋体"/>
      <w:szCs w:val="24"/>
    </w:rPr>
  </w:style>
  <w:style w:type="paragraph" w:customStyle="1" w:styleId="1937">
    <w:name w:val="样式 标题 3 + 加粗 段前: 3.9 磅 段后: 3.9 磅 行距: 多倍行距 1.35 字行2"/>
    <w:basedOn w:val="4"/>
    <w:uiPriority w:val="0"/>
    <w:pPr>
      <w:numPr>
        <w:ilvl w:val="0"/>
        <w:numId w:val="0"/>
      </w:numPr>
      <w:tabs>
        <w:tab w:val="left" w:pos="709"/>
      </w:tabs>
      <w:spacing w:before="78" w:after="78" w:line="324" w:lineRule="auto"/>
      <w:ind w:left="709" w:hanging="709"/>
      <w:jc w:val="both"/>
    </w:pPr>
    <w:rPr>
      <w:rFonts w:ascii="仿宋_GB2312" w:cs="宋体"/>
      <w:szCs w:val="20"/>
    </w:rPr>
  </w:style>
  <w:style w:type="paragraph" w:customStyle="1" w:styleId="1938">
    <w:name w:val="Char16"/>
    <w:basedOn w:val="1"/>
    <w:uiPriority w:val="0"/>
    <w:pPr>
      <w:widowControl/>
      <w:ind w:left="-48"/>
      <w:jc w:val="left"/>
    </w:pPr>
    <w:rPr>
      <w:rFonts w:ascii="宋体" w:hAnsi="宋体" w:cs="宋体"/>
      <w:kern w:val="0"/>
      <w:szCs w:val="24"/>
    </w:rPr>
  </w:style>
  <w:style w:type="paragraph" w:customStyle="1" w:styleId="1939">
    <w:name w:val="样式 标题 4无效格式无效格式1河石管道4H4H41小小节河石管道41H42H411小小节1河石管道42...1"/>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1940">
    <w:name w:val="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1941">
    <w:name w:val="样式 表内小5 + 黑体 加粗 倾斜 下划线1"/>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1942">
    <w:name w:val="样式 标题 3 + 黑色 段前: 0行 段后: 0 行"/>
    <w:basedOn w:val="4"/>
    <w:uiPriority w:val="0"/>
    <w:pPr>
      <w:numPr>
        <w:ilvl w:val="0"/>
        <w:numId w:val="0"/>
      </w:numPr>
      <w:tabs>
        <w:tab w:val="left" w:pos="426"/>
        <w:tab w:val="left" w:pos="1080"/>
      </w:tabs>
      <w:spacing w:before="156" w:line="324" w:lineRule="auto"/>
      <w:jc w:val="both"/>
    </w:pPr>
    <w:rPr>
      <w:rFonts w:ascii="仿宋_GB2312"/>
      <w:b w:val="0"/>
      <w:bCs w:val="0"/>
      <w:color w:val="000000"/>
      <w:szCs w:val="20"/>
    </w:rPr>
  </w:style>
  <w:style w:type="paragraph" w:customStyle="1" w:styleId="1943">
    <w:name w:val="Char Char Char Char Char Char Char Char Char Char Char Char Char Char Char Char Char Char Char Char Char Char Char Char Char 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1944">
    <w:name w:val="表内文字小213"/>
    <w:basedOn w:val="1"/>
    <w:uiPriority w:val="0"/>
    <w:pPr>
      <w:widowControl/>
      <w:jc w:val="center"/>
      <w:textAlignment w:val="baseline"/>
    </w:pPr>
    <w:rPr>
      <w:rFonts w:ascii="宋体" w:hAnsi="Times" w:cs="宋体"/>
      <w:bCs/>
      <w:color w:val="000000"/>
      <w:kern w:val="0"/>
      <w:szCs w:val="20"/>
    </w:rPr>
  </w:style>
  <w:style w:type="paragraph" w:customStyle="1" w:styleId="1945">
    <w:name w:val="正文修改32"/>
    <w:basedOn w:val="236"/>
    <w:uiPriority w:val="0"/>
    <w:rPr>
      <w:rFonts w:hAnsi="宋体" w:eastAsia="宋体" w:cs="宋体"/>
      <w:color w:val="000000"/>
      <w:szCs w:val="24"/>
    </w:rPr>
  </w:style>
  <w:style w:type="paragraph" w:customStyle="1" w:styleId="1946">
    <w:name w:val="默认段落字体 Para Char Char Char Char22"/>
    <w:basedOn w:val="1"/>
    <w:uiPriority w:val="0"/>
    <w:pPr>
      <w:widowControl/>
      <w:jc w:val="left"/>
    </w:pPr>
    <w:rPr>
      <w:rFonts w:ascii="宋体" w:hAnsi="宋体" w:cs="宋体"/>
      <w:kern w:val="0"/>
      <w:szCs w:val="24"/>
    </w:rPr>
  </w:style>
  <w:style w:type="paragraph" w:customStyle="1" w:styleId="1947">
    <w:name w:val="Char15"/>
    <w:basedOn w:val="1"/>
    <w:uiPriority w:val="0"/>
    <w:pPr>
      <w:widowControl/>
      <w:ind w:left="-48"/>
      <w:jc w:val="left"/>
    </w:pPr>
    <w:rPr>
      <w:rFonts w:ascii="宋体" w:hAnsi="宋体" w:cs="宋体"/>
      <w:kern w:val="0"/>
      <w:szCs w:val="24"/>
    </w:rPr>
  </w:style>
  <w:style w:type="paragraph" w:customStyle="1" w:styleId="1948">
    <w:name w:val="表内5413"/>
    <w:basedOn w:val="1"/>
    <w:uiPriority w:val="0"/>
    <w:pPr>
      <w:widowControl/>
      <w:spacing w:line="300" w:lineRule="auto"/>
      <w:jc w:val="center"/>
    </w:pPr>
    <w:rPr>
      <w:rFonts w:ascii="宋体" w:hAnsi="宋体" w:cs="宋体"/>
      <w:kern w:val="0"/>
      <w:szCs w:val="20"/>
    </w:rPr>
  </w:style>
  <w:style w:type="paragraph" w:customStyle="1" w:styleId="1949">
    <w:name w:val="表格样式1"/>
    <w:basedOn w:val="1"/>
    <w:uiPriority w:val="0"/>
    <w:pPr>
      <w:widowControl/>
      <w:spacing w:line="20" w:lineRule="atLeast"/>
      <w:jc w:val="center"/>
      <w:textAlignment w:val="baseline"/>
    </w:pPr>
    <w:rPr>
      <w:rFonts w:ascii="宋体" w:hAnsi="宋体" w:cs="宋体"/>
      <w:kern w:val="0"/>
      <w:szCs w:val="20"/>
    </w:rPr>
  </w:style>
  <w:style w:type="paragraph" w:customStyle="1" w:styleId="1950">
    <w:name w:val="Char Char Char Char Char Char Char Char Char Char Char Char Char2"/>
    <w:basedOn w:val="1"/>
    <w:uiPriority w:val="0"/>
    <w:pPr>
      <w:widowControl/>
      <w:jc w:val="left"/>
    </w:pPr>
    <w:rPr>
      <w:rFonts w:ascii="宋体" w:hAnsi="宋体" w:cs="宋体"/>
      <w:kern w:val="0"/>
      <w:szCs w:val="24"/>
    </w:rPr>
  </w:style>
  <w:style w:type="paragraph" w:customStyle="1" w:styleId="1951">
    <w:name w:val="表内5411"/>
    <w:basedOn w:val="1"/>
    <w:uiPriority w:val="0"/>
    <w:pPr>
      <w:widowControl/>
      <w:spacing w:line="300" w:lineRule="auto"/>
      <w:jc w:val="center"/>
    </w:pPr>
    <w:rPr>
      <w:rFonts w:ascii="宋体" w:hAnsi="宋体" w:cs="宋体"/>
      <w:kern w:val="0"/>
      <w:szCs w:val="20"/>
    </w:rPr>
  </w:style>
  <w:style w:type="paragraph" w:customStyle="1" w:styleId="1952">
    <w:name w:val="Char Char Char Char Char Char Char14"/>
    <w:basedOn w:val="1"/>
    <w:uiPriority w:val="0"/>
    <w:pPr>
      <w:widowControl/>
      <w:jc w:val="left"/>
    </w:pPr>
    <w:rPr>
      <w:rFonts w:ascii="宋体" w:hAnsi="宋体" w:cs="宋体"/>
      <w:kern w:val="0"/>
      <w:szCs w:val="24"/>
    </w:rPr>
  </w:style>
  <w:style w:type="paragraph" w:customStyle="1" w:styleId="1953">
    <w:name w:val="Char Char Char Char Char Char Char Char1 Char Char Char Char Char Char Char Char Char Char Char Char"/>
    <w:basedOn w:val="1"/>
    <w:uiPriority w:val="0"/>
    <w:pPr>
      <w:widowControl/>
      <w:jc w:val="left"/>
    </w:pPr>
    <w:rPr>
      <w:rFonts w:ascii="宋体" w:hAnsi="宋体" w:cs="宋体"/>
      <w:kern w:val="0"/>
      <w:szCs w:val="24"/>
    </w:rPr>
  </w:style>
  <w:style w:type="paragraph" w:customStyle="1" w:styleId="1954">
    <w:name w:val="Char421"/>
    <w:basedOn w:val="1"/>
    <w:uiPriority w:val="0"/>
    <w:pPr>
      <w:widowControl/>
      <w:ind w:left="-48"/>
      <w:jc w:val="left"/>
    </w:pPr>
    <w:rPr>
      <w:rFonts w:ascii="宋体" w:hAnsi="宋体" w:cs="宋体"/>
      <w:kern w:val="0"/>
      <w:szCs w:val="24"/>
    </w:rPr>
  </w:style>
  <w:style w:type="paragraph" w:customStyle="1" w:styleId="1955">
    <w:name w:val="表内5中1"/>
    <w:basedOn w:val="1"/>
    <w:uiPriority w:val="0"/>
    <w:pPr>
      <w:widowControl/>
      <w:jc w:val="center"/>
    </w:pPr>
    <w:rPr>
      <w:rFonts w:ascii="宋体" w:hAnsi="宋体" w:cs="Arial"/>
      <w:snapToGrid w:val="0"/>
      <w:color w:val="000000"/>
      <w:kern w:val="0"/>
      <w:szCs w:val="21"/>
    </w:rPr>
  </w:style>
  <w:style w:type="paragraph" w:customStyle="1" w:styleId="1956">
    <w:name w:val="Char8"/>
    <w:basedOn w:val="1"/>
    <w:uiPriority w:val="0"/>
    <w:pPr>
      <w:widowControl/>
      <w:ind w:left="-48"/>
      <w:jc w:val="left"/>
    </w:pPr>
    <w:rPr>
      <w:rFonts w:ascii="宋体" w:hAnsi="宋体" w:cs="宋体"/>
      <w:kern w:val="0"/>
      <w:szCs w:val="24"/>
    </w:rPr>
  </w:style>
  <w:style w:type="paragraph" w:customStyle="1" w:styleId="1957">
    <w:name w:val="Char Char Char Char Char Char Char Char Char Char Char Char Char Char Char Char 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1958">
    <w:name w:val="项目编号"/>
    <w:basedOn w:val="1"/>
    <w:next w:val="1959"/>
    <w:uiPriority w:val="0"/>
    <w:pPr>
      <w:widowControl/>
      <w:spacing w:before="120" w:after="120"/>
      <w:jc w:val="left"/>
    </w:pPr>
    <w:rPr>
      <w:rFonts w:ascii="宋体" w:hAnsi="宋体" w:cs="宋体"/>
      <w:kern w:val="0"/>
      <w:szCs w:val="24"/>
    </w:rPr>
  </w:style>
  <w:style w:type="paragraph" w:customStyle="1" w:styleId="1959">
    <w:name w:val="项目编号文字"/>
    <w:basedOn w:val="1"/>
    <w:next w:val="307"/>
    <w:uiPriority w:val="0"/>
    <w:pPr>
      <w:widowControl/>
      <w:spacing w:before="120" w:after="120"/>
      <w:ind w:left="1077"/>
      <w:jc w:val="left"/>
    </w:pPr>
    <w:rPr>
      <w:rFonts w:ascii="宋体" w:hAnsi="宋体" w:cs="宋体"/>
      <w:kern w:val="0"/>
      <w:szCs w:val="24"/>
    </w:rPr>
  </w:style>
  <w:style w:type="paragraph" w:customStyle="1" w:styleId="1960">
    <w:name w:val="Char Char Char Char Char Char Char21"/>
    <w:basedOn w:val="1"/>
    <w:uiPriority w:val="0"/>
    <w:pPr>
      <w:widowControl/>
      <w:jc w:val="left"/>
    </w:pPr>
    <w:rPr>
      <w:rFonts w:ascii="宋体" w:hAnsi="宋体" w:cs="宋体"/>
      <w:kern w:val="0"/>
      <w:szCs w:val="24"/>
    </w:rPr>
  </w:style>
  <w:style w:type="paragraph" w:customStyle="1" w:styleId="1961">
    <w:name w:val="注："/>
    <w:next w:val="1"/>
    <w:uiPriority w:val="0"/>
    <w:pPr>
      <w:widowControl w:val="0"/>
      <w:tabs>
        <w:tab w:val="left" w:pos="895"/>
      </w:tabs>
      <w:autoSpaceDE w:val="0"/>
      <w:autoSpaceDN w:val="0"/>
      <w:ind w:left="895" w:hanging="420"/>
      <w:jc w:val="both"/>
    </w:pPr>
    <w:rPr>
      <w:rFonts w:ascii="宋体" w:hAnsi="Times New Roman" w:eastAsia="宋体" w:cs="Times New Roman"/>
      <w:kern w:val="0"/>
      <w:sz w:val="18"/>
      <w:szCs w:val="20"/>
      <w:lang w:val="en-US" w:eastAsia="zh-CN" w:bidi="ar-SA"/>
    </w:rPr>
  </w:style>
  <w:style w:type="paragraph" w:customStyle="1" w:styleId="1962">
    <w:name w:val="Char Char2 Char Char Char Char5"/>
    <w:basedOn w:val="1"/>
    <w:uiPriority w:val="0"/>
    <w:pPr>
      <w:widowControl/>
      <w:jc w:val="left"/>
    </w:pPr>
    <w:rPr>
      <w:rFonts w:ascii="宋体" w:hAnsi="宋体" w:cs="宋体"/>
      <w:kern w:val="0"/>
      <w:szCs w:val="24"/>
    </w:rPr>
  </w:style>
  <w:style w:type="paragraph" w:customStyle="1" w:styleId="1963">
    <w:name w:val="目录1"/>
    <w:basedOn w:val="45"/>
    <w:next w:val="45"/>
    <w:uiPriority w:val="0"/>
    <w:pPr>
      <w:widowControl/>
      <w:tabs>
        <w:tab w:val="left" w:leader="dot" w:pos="8492"/>
        <w:tab w:val="right" w:leader="dot" w:pos="8525"/>
      </w:tabs>
      <w:spacing w:before="120" w:after="156" w:line="360" w:lineRule="auto"/>
      <w:jc w:val="left"/>
      <w:textAlignment w:val="baseline"/>
    </w:pPr>
    <w:rPr>
      <w:rFonts w:ascii="宋体" w:hAnsi="Times New Roman"/>
      <w:b w:val="0"/>
      <w:bCs/>
      <w:caps/>
      <w:color w:val="000000"/>
      <w:kern w:val="0"/>
      <w:szCs w:val="20"/>
      <w:u w:color="000000"/>
    </w:rPr>
  </w:style>
  <w:style w:type="paragraph" w:customStyle="1" w:styleId="1964">
    <w:name w:val="附件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1965">
    <w:name w:val="寄信人地址1"/>
    <w:basedOn w:val="1"/>
    <w:uiPriority w:val="0"/>
    <w:pPr>
      <w:widowControl/>
      <w:jc w:val="left"/>
    </w:pPr>
    <w:rPr>
      <w:rFonts w:ascii="Arial" w:hAnsi="Arial" w:cs="Arial"/>
      <w:kern w:val="0"/>
      <w:szCs w:val="24"/>
    </w:rPr>
  </w:style>
  <w:style w:type="paragraph" w:customStyle="1" w:styleId="1966">
    <w:name w:val="样式12"/>
    <w:basedOn w:val="1779"/>
    <w:uiPriority w:val="0"/>
    <w:pPr>
      <w:spacing w:line="240" w:lineRule="auto"/>
      <w:ind w:firstLine="0"/>
      <w:jc w:val="center"/>
    </w:pPr>
    <w:rPr>
      <w:rFonts w:cs="Times New Roman"/>
      <w:b/>
      <w:color w:val="auto"/>
      <w:szCs w:val="20"/>
    </w:rPr>
  </w:style>
  <w:style w:type="paragraph" w:customStyle="1" w:styleId="1967">
    <w:name w:val="Char1 Char Char Char"/>
    <w:basedOn w:val="1"/>
    <w:uiPriority w:val="0"/>
    <w:pPr>
      <w:widowControl/>
      <w:jc w:val="left"/>
    </w:pPr>
    <w:rPr>
      <w:rFonts w:ascii="宋体" w:hAnsi="宋体" w:cs="宋体"/>
      <w:kern w:val="0"/>
      <w:szCs w:val="21"/>
    </w:rPr>
  </w:style>
  <w:style w:type="paragraph" w:customStyle="1" w:styleId="1968">
    <w:name w:val="MG"/>
    <w:basedOn w:val="2"/>
    <w:uiPriority w:val="0"/>
    <w:pPr>
      <w:keepLines w:val="0"/>
      <w:numPr>
        <w:numId w:val="0"/>
      </w:numPr>
      <w:tabs>
        <w:tab w:val="left" w:pos="2260"/>
        <w:tab w:val="left" w:pos="2820"/>
        <w:tab w:val="left" w:pos="3420"/>
      </w:tabs>
      <w:spacing w:before="440" w:line="240" w:lineRule="auto"/>
      <w:ind w:left="851" w:right="-28" w:hanging="851"/>
      <w:jc w:val="left"/>
    </w:pPr>
    <w:rPr>
      <w:rFonts w:ascii="Arial" w:hAnsi="Arial"/>
      <w:bCs w:val="0"/>
      <w:kern w:val="0"/>
      <w:sz w:val="22"/>
      <w:szCs w:val="20"/>
      <w:lang w:val="zh-CN" w:eastAsia="zh-CN"/>
    </w:rPr>
  </w:style>
  <w:style w:type="paragraph" w:customStyle="1" w:styleId="1969">
    <w:name w:val="表题141"/>
    <w:basedOn w:val="1"/>
    <w:uiPriority w:val="0"/>
    <w:pPr>
      <w:widowControl/>
      <w:jc w:val="center"/>
    </w:pPr>
    <w:rPr>
      <w:rFonts w:ascii="黑体" w:hAnsi="宋体" w:eastAsia="黑体" w:cs="宋体"/>
      <w:kern w:val="0"/>
      <w:szCs w:val="24"/>
    </w:rPr>
  </w:style>
  <w:style w:type="paragraph" w:customStyle="1" w:styleId="1970">
    <w:name w:val="Char Char Char Char Char Char Char Char Char Char Char Char1"/>
    <w:basedOn w:val="1"/>
    <w:uiPriority w:val="0"/>
    <w:pPr>
      <w:widowControl/>
      <w:jc w:val="left"/>
    </w:pPr>
    <w:rPr>
      <w:rFonts w:ascii="宋体" w:hAnsi="宋体" w:cs="宋体"/>
      <w:kern w:val="0"/>
      <w:szCs w:val="24"/>
    </w:rPr>
  </w:style>
  <w:style w:type="paragraph" w:customStyle="1" w:styleId="1971">
    <w:name w:val="正文文本缩进 32"/>
    <w:basedOn w:val="1"/>
    <w:uiPriority w:val="0"/>
    <w:pPr>
      <w:widowControl/>
      <w:spacing w:after="120"/>
      <w:ind w:left="420" w:leftChars="200"/>
      <w:jc w:val="left"/>
    </w:pPr>
    <w:rPr>
      <w:rFonts w:ascii="宋体" w:hAnsi="宋体" w:cs="宋体"/>
      <w:kern w:val="0"/>
      <w:sz w:val="16"/>
      <w:szCs w:val="16"/>
    </w:rPr>
  </w:style>
  <w:style w:type="paragraph" w:customStyle="1" w:styleId="1972">
    <w:name w:val="样式11"/>
    <w:basedOn w:val="1"/>
    <w:uiPriority w:val="0"/>
    <w:pPr>
      <w:widowControl/>
      <w:spacing w:line="312" w:lineRule="auto"/>
      <w:ind w:left="1275"/>
      <w:jc w:val="left"/>
    </w:pPr>
    <w:rPr>
      <w:rFonts w:ascii="仿宋_GB2312" w:hAnsi="宋体" w:cs="宋体"/>
      <w:kern w:val="0"/>
      <w:szCs w:val="24"/>
    </w:rPr>
  </w:style>
  <w:style w:type="paragraph" w:customStyle="1" w:styleId="1973">
    <w:name w:val="燕山正文11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1974">
    <w:name w:val="表内宋5中14"/>
    <w:basedOn w:val="1"/>
    <w:uiPriority w:val="0"/>
    <w:pPr>
      <w:widowControl/>
      <w:jc w:val="center"/>
      <w:textAlignment w:val="baseline"/>
    </w:pPr>
    <w:rPr>
      <w:rFonts w:ascii="宋体" w:hAnsi="宋体" w:cs="宋体"/>
      <w:kern w:val="0"/>
      <w:szCs w:val="20"/>
    </w:rPr>
  </w:style>
  <w:style w:type="paragraph" w:customStyle="1" w:styleId="1975">
    <w:name w:val="正文格式＝"/>
    <w:basedOn w:val="207"/>
    <w:next w:val="207"/>
    <w:uiPriority w:val="0"/>
    <w:rPr>
      <w:rFonts w:hAnsi="宋体"/>
      <w:szCs w:val="24"/>
    </w:rPr>
  </w:style>
  <w:style w:type="paragraph" w:customStyle="1" w:styleId="1976">
    <w:name w:val="正文.3"/>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1977">
    <w:name w:val="Char Char Char Char Char Char Char Char Char Char Char Char Char Char Char"/>
    <w:basedOn w:val="1"/>
    <w:uiPriority w:val="0"/>
    <w:pPr>
      <w:widowControl/>
      <w:jc w:val="left"/>
    </w:pPr>
    <w:rPr>
      <w:rFonts w:ascii="宋体" w:hAnsi="宋体" w:cs="宋体"/>
      <w:kern w:val="0"/>
      <w:szCs w:val="24"/>
    </w:rPr>
  </w:style>
  <w:style w:type="paragraph" w:customStyle="1" w:styleId="1978">
    <w:name w:val="表题1413"/>
    <w:basedOn w:val="1"/>
    <w:uiPriority w:val="0"/>
    <w:pPr>
      <w:widowControl/>
      <w:jc w:val="center"/>
    </w:pPr>
    <w:rPr>
      <w:rFonts w:ascii="黑体" w:hAnsi="宋体" w:eastAsia="黑体" w:cs="宋体"/>
      <w:kern w:val="0"/>
      <w:szCs w:val="24"/>
    </w:rPr>
  </w:style>
  <w:style w:type="paragraph" w:customStyle="1" w:styleId="1979">
    <w:name w:val="Char Char Char Char1 Char Char Char2"/>
    <w:basedOn w:val="1"/>
    <w:uiPriority w:val="0"/>
    <w:pPr>
      <w:widowControl/>
      <w:spacing w:after="160" w:line="240" w:lineRule="exact"/>
      <w:jc w:val="left"/>
    </w:pPr>
    <w:rPr>
      <w:rFonts w:ascii="Verdana" w:hAnsi="Verdana" w:cs="宋体"/>
      <w:kern w:val="0"/>
      <w:sz w:val="20"/>
      <w:szCs w:val="20"/>
      <w:lang w:eastAsia="en-US"/>
    </w:rPr>
  </w:style>
  <w:style w:type="paragraph" w:customStyle="1" w:styleId="1980">
    <w:name w:val="表题14"/>
    <w:basedOn w:val="19"/>
    <w:uiPriority w:val="0"/>
    <w:pPr>
      <w:widowControl/>
      <w:ind w:firstLine="0" w:firstLineChars="0"/>
      <w:jc w:val="center"/>
    </w:pPr>
    <w:rPr>
      <w:rFonts w:ascii="黑体" w:cs="Arial"/>
      <w:b/>
    </w:rPr>
  </w:style>
  <w:style w:type="paragraph" w:customStyle="1" w:styleId="1981">
    <w:name w:val="附件4"/>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1982">
    <w:name w:val="湛江码头表"/>
    <w:basedOn w:val="1"/>
    <w:uiPriority w:val="0"/>
    <w:pPr>
      <w:widowControl/>
      <w:jc w:val="center"/>
    </w:pPr>
    <w:rPr>
      <w:rFonts w:ascii="宋体" w:hAnsi="宋体" w:cs="宋体"/>
      <w:kern w:val="0"/>
      <w:szCs w:val="24"/>
      <w:lang w:eastAsia="zh-TW"/>
    </w:rPr>
  </w:style>
  <w:style w:type="paragraph" w:customStyle="1" w:styleId="1983">
    <w:name w:val="表序号"/>
    <w:basedOn w:val="8"/>
    <w:uiPriority w:val="0"/>
    <w:pPr>
      <w:widowControl/>
      <w:numPr>
        <w:ilvl w:val="0"/>
        <w:numId w:val="0"/>
      </w:numPr>
      <w:tabs>
        <w:tab w:val="left" w:pos="0"/>
        <w:tab w:val="left" w:pos="780"/>
      </w:tabs>
      <w:ind w:left="360" w:leftChars="800" w:hanging="1134" w:hangingChars="200"/>
      <w:jc w:val="center"/>
    </w:pPr>
    <w:rPr>
      <w:rFonts w:ascii="宋体" w:hAnsi="Arial" w:cs="宋体"/>
      <w:kern w:val="0"/>
      <w:szCs w:val="24"/>
      <w:lang w:val="zh-CN" w:eastAsia="zh-CN"/>
    </w:rPr>
  </w:style>
  <w:style w:type="paragraph" w:customStyle="1" w:styleId="1984">
    <w:name w:val="列表接续 21"/>
    <w:basedOn w:val="1"/>
    <w:uiPriority w:val="0"/>
    <w:pPr>
      <w:widowControl/>
      <w:spacing w:after="120"/>
      <w:ind w:left="840" w:leftChars="400"/>
      <w:jc w:val="left"/>
    </w:pPr>
    <w:rPr>
      <w:rFonts w:ascii="宋体" w:hAnsi="宋体" w:cs="宋体"/>
      <w:kern w:val="0"/>
      <w:szCs w:val="24"/>
    </w:rPr>
  </w:style>
  <w:style w:type="paragraph" w:customStyle="1" w:styleId="1985">
    <w:name w:val="表格内字体52"/>
    <w:basedOn w:val="207"/>
    <w:next w:val="207"/>
    <w:uiPriority w:val="0"/>
    <w:pPr>
      <w:spacing w:line="240" w:lineRule="auto"/>
      <w:ind w:firstLine="0"/>
    </w:pPr>
    <w:rPr>
      <w:rFonts w:hAnsi="宋体"/>
      <w:sz w:val="21"/>
      <w:szCs w:val="24"/>
    </w:rPr>
  </w:style>
  <w:style w:type="paragraph" w:customStyle="1" w:styleId="1986">
    <w:name w:val="Char Char Char Char Char 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1987">
    <w:name w:val="燕山正文31"/>
    <w:basedOn w:val="1"/>
    <w:uiPriority w:val="0"/>
    <w:pPr>
      <w:widowControl/>
      <w:tabs>
        <w:tab w:val="left" w:pos="4680"/>
      </w:tabs>
      <w:spacing w:line="480" w:lineRule="exact"/>
      <w:jc w:val="left"/>
    </w:pPr>
    <w:rPr>
      <w:rFonts w:ascii="宋体" w:hAnsi="宋体" w:cs="宋体"/>
      <w:kern w:val="0"/>
      <w:szCs w:val="24"/>
    </w:rPr>
  </w:style>
  <w:style w:type="paragraph" w:customStyle="1" w:styleId="1988">
    <w:name w:val="表中文字3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1989">
    <w:name w:val="表题131"/>
    <w:basedOn w:val="19"/>
    <w:uiPriority w:val="0"/>
    <w:pPr>
      <w:widowControl/>
      <w:ind w:firstLine="0" w:firstLineChars="0"/>
      <w:jc w:val="center"/>
    </w:pPr>
    <w:rPr>
      <w:rFonts w:ascii="黑体" w:cs="Arial"/>
      <w:b/>
    </w:rPr>
  </w:style>
  <w:style w:type="paragraph" w:customStyle="1" w:styleId="1990">
    <w:name w:val="Char Char Char Char Char Char Char 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1991">
    <w:name w:val="正文."/>
    <w:link w:val="4066"/>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1992">
    <w:name w:val="Char Char Char2"/>
    <w:basedOn w:val="1"/>
    <w:uiPriority w:val="0"/>
    <w:pPr>
      <w:widowControl/>
      <w:jc w:val="left"/>
    </w:pPr>
    <w:rPr>
      <w:rFonts w:ascii="宋体" w:hAnsi="宋体" w:cs="宋体"/>
      <w:kern w:val="0"/>
      <w:szCs w:val="24"/>
    </w:rPr>
  </w:style>
  <w:style w:type="paragraph" w:customStyle="1" w:styleId="1993">
    <w:name w:val="Char Char Char Char Char Char Char Char Char Char Char1 Char Char Char Char1"/>
    <w:basedOn w:val="1"/>
    <w:uiPriority w:val="0"/>
    <w:pPr>
      <w:widowControl/>
      <w:jc w:val="left"/>
    </w:pPr>
    <w:rPr>
      <w:rFonts w:ascii="宋体" w:hAnsi="宋体" w:cs="宋体"/>
      <w:kern w:val="0"/>
      <w:szCs w:val="24"/>
    </w:rPr>
  </w:style>
  <w:style w:type="paragraph" w:customStyle="1" w:styleId="1994">
    <w:name w:val="正文缩"/>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1995">
    <w:name w:val="正文格式＝12"/>
    <w:basedOn w:val="207"/>
    <w:next w:val="207"/>
    <w:uiPriority w:val="0"/>
    <w:rPr>
      <w:rFonts w:hAnsi="宋体"/>
      <w:szCs w:val="24"/>
    </w:rPr>
  </w:style>
  <w:style w:type="paragraph" w:customStyle="1" w:styleId="1996">
    <w:name w:val="Char151"/>
    <w:basedOn w:val="1"/>
    <w:uiPriority w:val="0"/>
    <w:pPr>
      <w:widowControl/>
      <w:spacing w:before="156"/>
      <w:jc w:val="left"/>
    </w:pPr>
    <w:rPr>
      <w:rFonts w:ascii="黑体" w:hAnsi="宋体" w:eastAsia="黑体" w:cs="宋体"/>
      <w:kern w:val="0"/>
      <w:sz w:val="32"/>
      <w:szCs w:val="32"/>
    </w:rPr>
  </w:style>
  <w:style w:type="paragraph" w:customStyle="1" w:styleId="1997">
    <w:name w:val="Char Char Char Char Char Char Char41"/>
    <w:basedOn w:val="1"/>
    <w:uiPriority w:val="0"/>
    <w:pPr>
      <w:widowControl/>
      <w:jc w:val="left"/>
    </w:pPr>
    <w:rPr>
      <w:rFonts w:ascii="宋体" w:hAnsi="宋体" w:cs="宋体"/>
      <w:kern w:val="0"/>
      <w:szCs w:val="24"/>
    </w:rPr>
  </w:style>
  <w:style w:type="paragraph" w:customStyle="1" w:styleId="1998">
    <w:name w:val="Char Char Char Char Char Char Char131"/>
    <w:basedOn w:val="1"/>
    <w:uiPriority w:val="0"/>
    <w:pPr>
      <w:widowControl/>
      <w:jc w:val="left"/>
    </w:pPr>
    <w:rPr>
      <w:rFonts w:ascii="宋体" w:hAnsi="宋体" w:cs="宋体"/>
      <w:kern w:val="0"/>
      <w:szCs w:val="24"/>
    </w:rPr>
  </w:style>
  <w:style w:type="paragraph" w:customStyle="1" w:styleId="1999">
    <w:name w:val="表题2113"/>
    <w:basedOn w:val="1"/>
    <w:uiPriority w:val="0"/>
    <w:pPr>
      <w:widowControl/>
      <w:jc w:val="center"/>
    </w:pPr>
    <w:rPr>
      <w:rFonts w:ascii="黑体" w:hAnsi="宋体" w:eastAsia="黑体" w:cs="宋体"/>
      <w:kern w:val="0"/>
      <w:szCs w:val="24"/>
    </w:rPr>
  </w:style>
  <w:style w:type="paragraph" w:customStyle="1" w:styleId="2000">
    <w:name w:val="环标3"/>
    <w:basedOn w:val="4"/>
    <w:uiPriority w:val="0"/>
    <w:pPr>
      <w:keepNext w:val="0"/>
      <w:keepLines w:val="0"/>
      <w:widowControl/>
      <w:numPr>
        <w:ilvl w:val="0"/>
        <w:numId w:val="0"/>
      </w:numPr>
      <w:spacing w:before="48" w:after="36"/>
      <w:jc w:val="both"/>
      <w:textAlignment w:val="baseline"/>
    </w:pPr>
    <w:rPr>
      <w:rFonts w:ascii="宋体" w:hAnsi="宋体"/>
      <w:b w:val="0"/>
      <w:bCs w:val="0"/>
      <w:kern w:val="0"/>
      <w:szCs w:val="24"/>
    </w:rPr>
  </w:style>
  <w:style w:type="paragraph" w:customStyle="1" w:styleId="2001">
    <w:name w:val="Char21"/>
    <w:basedOn w:val="1"/>
    <w:uiPriority w:val="0"/>
    <w:pPr>
      <w:widowControl/>
      <w:jc w:val="left"/>
    </w:pPr>
    <w:rPr>
      <w:rFonts w:ascii="宋体" w:hAnsi="宋体" w:cs="宋体"/>
      <w:kern w:val="0"/>
      <w:szCs w:val="24"/>
    </w:rPr>
  </w:style>
  <w:style w:type="paragraph" w:customStyle="1" w:styleId="2002">
    <w:name w:val="封面单位"/>
    <w:basedOn w:val="1"/>
    <w:uiPriority w:val="0"/>
    <w:pPr>
      <w:widowControl/>
      <w:tabs>
        <w:tab w:val="center" w:pos="8222"/>
      </w:tabs>
      <w:jc w:val="center"/>
    </w:pPr>
    <w:rPr>
      <w:rFonts w:ascii="楷体_GB2312" w:hAnsi="宋体" w:eastAsia="楷体_GB2312" w:cs="楷体_GB2312"/>
      <w:b/>
      <w:bCs/>
      <w:kern w:val="0"/>
      <w:sz w:val="36"/>
      <w:szCs w:val="36"/>
    </w:rPr>
  </w:style>
  <w:style w:type="paragraph" w:customStyle="1" w:styleId="2003">
    <w:name w:val="样式6"/>
    <w:basedOn w:val="1"/>
    <w:uiPriority w:val="0"/>
    <w:pPr>
      <w:widowControl/>
      <w:tabs>
        <w:tab w:val="left" w:pos="980"/>
      </w:tabs>
      <w:ind w:left="1820"/>
      <w:jc w:val="left"/>
    </w:pPr>
    <w:rPr>
      <w:rFonts w:ascii="宋体" w:hAnsi="宋体" w:cs="宋体"/>
      <w:kern w:val="0"/>
      <w:szCs w:val="24"/>
    </w:rPr>
  </w:style>
  <w:style w:type="paragraph" w:customStyle="1" w:styleId="2004">
    <w:name w:val="样式 标题 4无效格式无效格式1河石管道4H4H41小小节河石管道41H42H411小小节1河石管道42...22"/>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005">
    <w:name w:val="表题31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006">
    <w:name w:val="默认段落字体 Para Char Char Char Char31"/>
    <w:basedOn w:val="1"/>
    <w:uiPriority w:val="0"/>
    <w:pPr>
      <w:widowControl/>
      <w:jc w:val="left"/>
    </w:pPr>
    <w:rPr>
      <w:rFonts w:ascii="宋体" w:hAnsi="宋体" w:cs="宋体"/>
      <w:kern w:val="0"/>
      <w:szCs w:val="24"/>
    </w:rPr>
  </w:style>
  <w:style w:type="paragraph" w:customStyle="1" w:styleId="2007">
    <w:name w:val="表内文字边1"/>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2008">
    <w:name w:val="Char Char1 Char"/>
    <w:basedOn w:val="1"/>
    <w:uiPriority w:val="0"/>
    <w:pPr>
      <w:widowControl/>
      <w:jc w:val="left"/>
    </w:pPr>
    <w:rPr>
      <w:rFonts w:ascii="宋体" w:hAnsi="宋体" w:cs="宋体"/>
      <w:kern w:val="0"/>
      <w:szCs w:val="24"/>
    </w:rPr>
  </w:style>
  <w:style w:type="paragraph" w:customStyle="1" w:styleId="2009">
    <w:name w:val="默认段落字体 Para Char Char Char Char2"/>
    <w:basedOn w:val="1"/>
    <w:uiPriority w:val="0"/>
    <w:pPr>
      <w:widowControl/>
      <w:jc w:val="left"/>
    </w:pPr>
    <w:rPr>
      <w:rFonts w:ascii="宋体" w:hAnsi="宋体" w:cs="宋体"/>
      <w:kern w:val="0"/>
      <w:szCs w:val="24"/>
    </w:rPr>
  </w:style>
  <w:style w:type="paragraph" w:customStyle="1" w:styleId="2010">
    <w:name w:val="左侧"/>
    <w:uiPriority w:val="0"/>
    <w:pPr>
      <w:spacing w:line="280" w:lineRule="exact"/>
      <w:jc w:val="center"/>
    </w:pPr>
    <w:rPr>
      <w:rFonts w:ascii="Batang" w:hAnsi="Batang" w:eastAsia="宋体" w:cs="Times New Roman"/>
      <w:color w:val="000000"/>
      <w:kern w:val="0"/>
      <w:sz w:val="21"/>
      <w:szCs w:val="20"/>
      <w:lang w:val="en-US" w:eastAsia="zh-CN" w:bidi="ar-SA"/>
    </w:rPr>
  </w:style>
  <w:style w:type="paragraph" w:customStyle="1" w:styleId="2011">
    <w:name w:val="目录3"/>
    <w:basedOn w:val="1"/>
    <w:next w:val="1"/>
    <w:uiPriority w:val="0"/>
    <w:pPr>
      <w:widowControl/>
      <w:tabs>
        <w:tab w:val="left" w:leader="dot" w:pos="8492"/>
      </w:tabs>
      <w:spacing w:line="748" w:lineRule="atLeast"/>
      <w:ind w:left="419" w:firstLine="419"/>
      <w:jc w:val="left"/>
    </w:pPr>
    <w:rPr>
      <w:rFonts w:ascii="宋体" w:hAnsi="宋体" w:cs="宋体"/>
      <w:color w:val="000000"/>
      <w:kern w:val="0"/>
      <w:szCs w:val="20"/>
      <w:u w:color="000000"/>
    </w:rPr>
  </w:style>
  <w:style w:type="paragraph" w:customStyle="1" w:styleId="2012">
    <w:name w:val="Char Char Char Char3"/>
    <w:basedOn w:val="1"/>
    <w:uiPriority w:val="0"/>
    <w:pPr>
      <w:widowControl/>
      <w:jc w:val="left"/>
    </w:pPr>
    <w:rPr>
      <w:rFonts w:ascii="宋体" w:hAnsi="宋体" w:cs="宋体"/>
      <w:kern w:val="0"/>
      <w:szCs w:val="24"/>
    </w:rPr>
  </w:style>
  <w:style w:type="paragraph" w:customStyle="1" w:styleId="2013">
    <w:name w:val="表题315"/>
    <w:basedOn w:val="267"/>
    <w:uiPriority w:val="0"/>
    <w:pPr>
      <w:widowControl/>
      <w:tabs>
        <w:tab w:val="left" w:pos="4305"/>
      </w:tabs>
      <w:spacing w:after="0"/>
      <w:ind w:left="0" w:leftChars="0" w:firstLine="561" w:firstLineChars="0"/>
      <w:jc w:val="left"/>
    </w:pPr>
    <w:rPr>
      <w:rFonts w:ascii="宋体" w:hAnsi="宋体" w:cs="宋体"/>
      <w:color w:val="000000"/>
      <w:sz w:val="24"/>
      <w:szCs w:val="24"/>
    </w:rPr>
  </w:style>
  <w:style w:type="paragraph" w:customStyle="1" w:styleId="2014">
    <w:name w:val="yz"/>
    <w:basedOn w:val="27"/>
    <w:uiPriority w:val="0"/>
    <w:pPr>
      <w:widowControl/>
      <w:tabs>
        <w:tab w:val="left" w:pos="900"/>
      </w:tabs>
      <w:spacing w:line="240" w:lineRule="auto"/>
      <w:jc w:val="left"/>
      <w:textAlignment w:val="baseline"/>
    </w:pPr>
    <w:rPr>
      <w:rFonts w:hint="eastAsia" w:ascii="宋体" w:hAnsi="宋体"/>
      <w:szCs w:val="20"/>
    </w:rPr>
  </w:style>
  <w:style w:type="paragraph" w:customStyle="1" w:styleId="2015">
    <w:name w:val="Char Char Char Char Char Char Char3"/>
    <w:basedOn w:val="1"/>
    <w:uiPriority w:val="0"/>
    <w:pPr>
      <w:widowControl/>
      <w:jc w:val="left"/>
    </w:pPr>
    <w:rPr>
      <w:rFonts w:ascii="宋体" w:hAnsi="宋体" w:cs="宋体"/>
      <w:kern w:val="0"/>
      <w:szCs w:val="24"/>
    </w:rPr>
  </w:style>
  <w:style w:type="paragraph" w:customStyle="1" w:styleId="2016">
    <w:name w:val="表题411"/>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2017">
    <w:name w:val="Char6"/>
    <w:basedOn w:val="1"/>
    <w:uiPriority w:val="0"/>
    <w:pPr>
      <w:widowControl/>
      <w:spacing w:before="156"/>
      <w:jc w:val="left"/>
    </w:pPr>
    <w:rPr>
      <w:rFonts w:ascii="黑体" w:hAnsi="宋体" w:eastAsia="黑体" w:cs="宋体"/>
      <w:kern w:val="0"/>
      <w:sz w:val="32"/>
      <w:szCs w:val="32"/>
    </w:rPr>
  </w:style>
  <w:style w:type="paragraph" w:customStyle="1" w:styleId="2018">
    <w:name w:val="依据文字"/>
    <w:basedOn w:val="392"/>
    <w:uiPriority w:val="0"/>
    <w:pPr>
      <w:tabs>
        <w:tab w:val="left" w:pos="420"/>
        <w:tab w:val="left" w:pos="870"/>
        <w:tab w:val="left" w:pos="3150"/>
      </w:tabs>
      <w:autoSpaceDE w:val="0"/>
      <w:autoSpaceDN w:val="0"/>
      <w:spacing w:before="78" w:beforeLines="25" w:after="0" w:line="336" w:lineRule="auto"/>
      <w:ind w:left="0" w:leftChars="0" w:firstLine="527" w:firstLineChars="0"/>
      <w:textAlignment w:val="baseline"/>
    </w:pPr>
    <w:rPr>
      <w:rFonts w:ascii="Times New Roman"/>
      <w:sz w:val="24"/>
    </w:rPr>
  </w:style>
  <w:style w:type="paragraph" w:customStyle="1" w:styleId="2019">
    <w:name w:val="表内文字小2"/>
    <w:basedOn w:val="1"/>
    <w:uiPriority w:val="0"/>
    <w:pPr>
      <w:widowControl/>
      <w:jc w:val="center"/>
    </w:pPr>
    <w:rPr>
      <w:rFonts w:ascii="宋体" w:hAnsi="Times" w:cs="宋体"/>
      <w:bCs/>
      <w:color w:val="000000"/>
      <w:kern w:val="0"/>
      <w:szCs w:val="20"/>
    </w:rPr>
  </w:style>
  <w:style w:type="paragraph" w:customStyle="1" w:styleId="2020">
    <w:name w:val="标题43132"/>
    <w:basedOn w:val="1"/>
    <w:uiPriority w:val="0"/>
    <w:pPr>
      <w:widowControl/>
      <w:spacing w:line="480" w:lineRule="exact"/>
      <w:jc w:val="center"/>
    </w:pPr>
    <w:rPr>
      <w:rFonts w:ascii="宋体" w:hAnsi="宋体" w:cs="宋体"/>
      <w:kern w:val="0"/>
      <w:szCs w:val="24"/>
    </w:rPr>
  </w:style>
  <w:style w:type="paragraph" w:customStyle="1" w:styleId="2021">
    <w:name w:val="燕山正文22"/>
    <w:basedOn w:val="1"/>
    <w:uiPriority w:val="0"/>
    <w:pPr>
      <w:widowControl/>
      <w:tabs>
        <w:tab w:val="left" w:pos="4680"/>
      </w:tabs>
      <w:spacing w:line="480" w:lineRule="exact"/>
      <w:jc w:val="left"/>
    </w:pPr>
    <w:rPr>
      <w:rFonts w:ascii="宋体" w:hAnsi="宋体" w:cs="宋体"/>
      <w:kern w:val="0"/>
      <w:szCs w:val="24"/>
    </w:rPr>
  </w:style>
  <w:style w:type="paragraph" w:customStyle="1" w:styleId="2022">
    <w:name w:val="二级标题 Char Char Char"/>
    <w:basedOn w:val="1"/>
    <w:next w:val="1"/>
    <w:uiPriority w:val="0"/>
    <w:pPr>
      <w:widowControl/>
      <w:spacing w:line="529" w:lineRule="exact"/>
      <w:jc w:val="left"/>
    </w:pPr>
    <w:rPr>
      <w:rFonts w:ascii="宋体" w:hAnsi="宋体" w:cs="宋体"/>
      <w:kern w:val="0"/>
      <w:szCs w:val="28"/>
    </w:rPr>
  </w:style>
  <w:style w:type="paragraph" w:customStyle="1" w:styleId="2023">
    <w:name w:val="表中文字1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024">
    <w:name w:val="Char Char Char Char Char Char Char Char1"/>
    <w:basedOn w:val="1"/>
    <w:uiPriority w:val="0"/>
    <w:pPr>
      <w:widowControl/>
      <w:jc w:val="left"/>
    </w:pPr>
    <w:rPr>
      <w:rFonts w:ascii="宋体" w:hAnsi="宋体" w:cs="宋体"/>
      <w:kern w:val="0"/>
      <w:szCs w:val="24"/>
    </w:rPr>
  </w:style>
  <w:style w:type="paragraph" w:customStyle="1" w:styleId="2025">
    <w:name w:val="正文图竖五"/>
    <w:basedOn w:val="1"/>
    <w:uiPriority w:val="0"/>
    <w:pPr>
      <w:widowControl/>
      <w:jc w:val="center"/>
    </w:pPr>
    <w:rPr>
      <w:rFonts w:ascii="宋体" w:hAnsi="宋体" w:cs="宋体"/>
      <w:color w:val="000000"/>
      <w:kern w:val="0"/>
      <w:szCs w:val="21"/>
    </w:rPr>
  </w:style>
  <w:style w:type="paragraph" w:customStyle="1" w:styleId="2026">
    <w:name w:val="文本框五号1.5倍行距"/>
    <w:uiPriority w:val="0"/>
    <w:pPr>
      <w:spacing w:line="360" w:lineRule="auto"/>
    </w:pPr>
    <w:rPr>
      <w:rFonts w:ascii="Times New Roman" w:hAnsi="Times New Roman" w:eastAsia="宋体" w:cs="Times New Roman"/>
      <w:kern w:val="0"/>
      <w:sz w:val="20"/>
      <w:szCs w:val="20"/>
      <w:lang w:val="en-US" w:eastAsia="zh-CN" w:bidi="ar-SA"/>
    </w:rPr>
  </w:style>
  <w:style w:type="paragraph" w:customStyle="1" w:styleId="2027">
    <w:name w:val="默认段落字体 Para Char Char Char Char7"/>
    <w:basedOn w:val="1"/>
    <w:uiPriority w:val="0"/>
    <w:pPr>
      <w:widowControl/>
      <w:jc w:val="left"/>
    </w:pPr>
    <w:rPr>
      <w:rFonts w:ascii="宋体" w:hAnsi="宋体" w:cs="宋体"/>
      <w:kern w:val="0"/>
      <w:szCs w:val="24"/>
    </w:rPr>
  </w:style>
  <w:style w:type="paragraph" w:customStyle="1" w:styleId="2028">
    <w:name w:val="表内宋5中3"/>
    <w:basedOn w:val="1"/>
    <w:uiPriority w:val="0"/>
    <w:pPr>
      <w:widowControl/>
      <w:jc w:val="left"/>
      <w:textAlignment w:val="baseline"/>
    </w:pPr>
    <w:rPr>
      <w:rFonts w:ascii="宋体" w:hAnsi="宋体" w:cs="宋体"/>
      <w:color w:val="000000"/>
      <w:kern w:val="0"/>
      <w:szCs w:val="20"/>
    </w:rPr>
  </w:style>
  <w:style w:type="paragraph" w:customStyle="1" w:styleId="2029">
    <w:name w:val="Char Char Char3"/>
    <w:basedOn w:val="1"/>
    <w:uiPriority w:val="0"/>
    <w:pPr>
      <w:widowControl/>
      <w:jc w:val="left"/>
    </w:pPr>
    <w:rPr>
      <w:rFonts w:ascii="宋体" w:hAnsi="宋体" w:cs="宋体"/>
      <w:kern w:val="0"/>
      <w:szCs w:val="24"/>
    </w:rPr>
  </w:style>
  <w:style w:type="paragraph" w:customStyle="1" w:styleId="2030">
    <w:name w:val="表体宋旭峰"/>
    <w:basedOn w:val="938"/>
    <w:uiPriority w:val="0"/>
    <w:pPr>
      <w:overflowPunct w:val="0"/>
      <w:spacing w:line="280" w:lineRule="atLeast"/>
      <w:jc w:val="center"/>
      <w:textAlignment w:val="baseline"/>
    </w:pPr>
    <w:rPr>
      <w:rFonts w:cs="Courier New"/>
      <w:snapToGrid w:val="0"/>
      <w:kern w:val="24"/>
      <w:sz w:val="18"/>
      <w:szCs w:val="22"/>
    </w:rPr>
  </w:style>
  <w:style w:type="paragraph" w:customStyle="1" w:styleId="2031">
    <w:name w:val="Char Char Char Char Char Char Char Char Char Char Char1 Char Char Char Char Char Char1"/>
    <w:basedOn w:val="1"/>
    <w:uiPriority w:val="0"/>
    <w:pPr>
      <w:widowControl/>
      <w:jc w:val="left"/>
    </w:pPr>
    <w:rPr>
      <w:rFonts w:ascii="宋体" w:hAnsi="宋体" w:cs="宋体"/>
      <w:kern w:val="0"/>
      <w:szCs w:val="24"/>
    </w:rPr>
  </w:style>
  <w:style w:type="paragraph" w:customStyle="1" w:styleId="2032">
    <w:name w:val="文本框11"/>
    <w:basedOn w:val="1"/>
    <w:uiPriority w:val="0"/>
    <w:pPr>
      <w:widowControl/>
      <w:spacing w:after="6"/>
      <w:jc w:val="center"/>
    </w:pPr>
    <w:rPr>
      <w:rFonts w:ascii="宋体" w:hAnsi="宋体" w:cs="宋体"/>
      <w:kern w:val="0"/>
      <w:szCs w:val="24"/>
    </w:rPr>
  </w:style>
  <w:style w:type="paragraph" w:customStyle="1" w:styleId="2033">
    <w:name w:val="表内宋511"/>
    <w:basedOn w:val="433"/>
    <w:uiPriority w:val="0"/>
    <w:rPr>
      <w:rFonts w:ascii="宋体" w:hAnsi="宋体" w:cs="宋体"/>
      <w:color w:val="000000"/>
      <w:sz w:val="21"/>
      <w:szCs w:val="24"/>
    </w:rPr>
  </w:style>
  <w:style w:type="paragraph" w:customStyle="1" w:styleId="2034">
    <w:name w:val="Char5"/>
    <w:basedOn w:val="1"/>
    <w:uiPriority w:val="0"/>
    <w:pPr>
      <w:widowControl/>
      <w:jc w:val="left"/>
    </w:pPr>
    <w:rPr>
      <w:rFonts w:ascii="宋体" w:hAnsi="宋体" w:cs="宋体"/>
      <w:kern w:val="0"/>
      <w:szCs w:val="24"/>
    </w:rPr>
  </w:style>
  <w:style w:type="paragraph" w:customStyle="1" w:styleId="2035">
    <w:name w:val="样式 标题 3 + 段前: 12 磅"/>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2036">
    <w:name w:val="表题211"/>
    <w:basedOn w:val="1"/>
    <w:uiPriority w:val="0"/>
    <w:pPr>
      <w:widowControl/>
      <w:jc w:val="center"/>
    </w:pPr>
    <w:rPr>
      <w:rFonts w:ascii="黑体" w:hAnsi="宋体" w:eastAsia="黑体" w:cs="宋体"/>
      <w:kern w:val="0"/>
      <w:szCs w:val="24"/>
    </w:rPr>
  </w:style>
  <w:style w:type="paragraph" w:customStyle="1" w:styleId="2037">
    <w:name w:val="小四左齐"/>
    <w:basedOn w:val="1"/>
    <w:uiPriority w:val="0"/>
    <w:pPr>
      <w:widowControl/>
      <w:overflowPunct w:val="0"/>
      <w:jc w:val="left"/>
      <w:textAlignment w:val="top"/>
    </w:pPr>
    <w:rPr>
      <w:rFonts w:ascii="宋体" w:hAnsi="宋体" w:cs="宋体"/>
      <w:snapToGrid w:val="0"/>
      <w:kern w:val="0"/>
      <w:szCs w:val="24"/>
    </w:rPr>
  </w:style>
  <w:style w:type="paragraph" w:customStyle="1" w:styleId="2038">
    <w:name w:val="引文目录1"/>
    <w:basedOn w:val="1"/>
    <w:next w:val="1"/>
    <w:uiPriority w:val="0"/>
    <w:pPr>
      <w:widowControl/>
      <w:ind w:left="420" w:leftChars="200"/>
      <w:jc w:val="left"/>
    </w:pPr>
    <w:rPr>
      <w:rFonts w:ascii="宋体" w:hAnsi="宋体" w:cs="宋体"/>
      <w:kern w:val="0"/>
      <w:szCs w:val="24"/>
    </w:rPr>
  </w:style>
  <w:style w:type="paragraph" w:customStyle="1" w:styleId="2039">
    <w:name w:val="Char33"/>
    <w:basedOn w:val="1"/>
    <w:uiPriority w:val="0"/>
    <w:pPr>
      <w:widowControl/>
      <w:ind w:left="-48"/>
      <w:jc w:val="left"/>
    </w:pPr>
    <w:rPr>
      <w:rFonts w:ascii="宋体" w:hAnsi="宋体" w:cs="宋体"/>
      <w:kern w:val="0"/>
      <w:szCs w:val="24"/>
    </w:rPr>
  </w:style>
  <w:style w:type="paragraph" w:customStyle="1" w:styleId="2040">
    <w:name w:val="谏壁标题1(chen）"/>
    <w:basedOn w:val="1"/>
    <w:uiPriority w:val="0"/>
    <w:pPr>
      <w:keepNext/>
      <w:keepLines/>
      <w:pageBreakBefore/>
      <w:widowControl/>
      <w:spacing w:after="300"/>
      <w:jc w:val="left"/>
      <w:outlineLvl w:val="0"/>
    </w:pPr>
    <w:rPr>
      <w:rFonts w:ascii="宋体" w:hAnsi="宋体" w:eastAsia="黑体" w:cs="宋体"/>
      <w:bCs/>
      <w:kern w:val="44"/>
      <w:sz w:val="36"/>
      <w:szCs w:val="44"/>
    </w:rPr>
  </w:style>
  <w:style w:type="paragraph" w:customStyle="1" w:styleId="2041">
    <w:name w:val="表5"/>
    <w:basedOn w:val="1"/>
    <w:uiPriority w:val="0"/>
    <w:pPr>
      <w:widowControl/>
      <w:jc w:val="center"/>
    </w:pPr>
    <w:rPr>
      <w:rFonts w:ascii="宋体" w:hAnsi="宋体" w:cs="宋体"/>
      <w:kern w:val="0"/>
      <w:szCs w:val="24"/>
    </w:rPr>
  </w:style>
  <w:style w:type="paragraph" w:customStyle="1" w:styleId="2042">
    <w:name w:val="Char Char Char Char Char Char Char Char Char Char Char Char Char Char Char Char Char 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2043">
    <w:name w:val="正文修改3"/>
    <w:basedOn w:val="236"/>
    <w:uiPriority w:val="0"/>
    <w:rPr>
      <w:rFonts w:hAnsi="宋体" w:eastAsia="宋体" w:cs="宋体"/>
      <w:color w:val="000000"/>
      <w:szCs w:val="24"/>
    </w:rPr>
  </w:style>
  <w:style w:type="paragraph" w:customStyle="1" w:styleId="2044">
    <w:name w:val="样式112"/>
    <w:basedOn w:val="1779"/>
    <w:uiPriority w:val="0"/>
    <w:pPr>
      <w:spacing w:line="240" w:lineRule="auto"/>
      <w:ind w:firstLine="0"/>
      <w:jc w:val="center"/>
    </w:pPr>
    <w:rPr>
      <w:rFonts w:cs="Times New Roman"/>
      <w:b/>
      <w:color w:val="auto"/>
      <w:szCs w:val="20"/>
    </w:rPr>
  </w:style>
  <w:style w:type="paragraph" w:customStyle="1" w:styleId="2045">
    <w:name w:val="表12"/>
    <w:basedOn w:val="1"/>
    <w:uiPriority w:val="0"/>
    <w:pPr>
      <w:widowControl/>
      <w:jc w:val="center"/>
    </w:pPr>
    <w:rPr>
      <w:rFonts w:ascii="宋体" w:hAnsi="宋体" w:cs="宋体"/>
      <w:kern w:val="0"/>
      <w:szCs w:val="24"/>
    </w:rPr>
  </w:style>
  <w:style w:type="paragraph" w:customStyle="1" w:styleId="2046">
    <w:name w:val="Char Char Char Char Char Char Char Char Char Char Char1 Char Char Char Char Char Char1 Char Char Char Char Char Char Char Char Char Char Char Char1"/>
    <w:basedOn w:val="1"/>
    <w:uiPriority w:val="0"/>
    <w:pPr>
      <w:widowControl/>
      <w:jc w:val="left"/>
    </w:pPr>
    <w:rPr>
      <w:rFonts w:ascii="宋体" w:hAnsi="宋体" w:cs="宋体"/>
      <w:kern w:val="0"/>
      <w:szCs w:val="24"/>
    </w:rPr>
  </w:style>
  <w:style w:type="paragraph" w:customStyle="1" w:styleId="2047">
    <w:name w:val="标题431211"/>
    <w:basedOn w:val="1"/>
    <w:uiPriority w:val="0"/>
    <w:pPr>
      <w:widowControl/>
      <w:spacing w:line="480" w:lineRule="exact"/>
      <w:jc w:val="center"/>
    </w:pPr>
    <w:rPr>
      <w:rFonts w:ascii="宋体" w:hAnsi="宋体" w:cs="宋体"/>
      <w:kern w:val="0"/>
      <w:szCs w:val="24"/>
    </w:rPr>
  </w:style>
  <w:style w:type="paragraph" w:customStyle="1" w:styleId="2048">
    <w:name w:val="表格内容1"/>
    <w:basedOn w:val="1"/>
    <w:uiPriority w:val="0"/>
    <w:pPr>
      <w:widowControl/>
      <w:spacing w:before="46" w:beforeLines="15" w:after="46" w:afterLines="15" w:line="240" w:lineRule="exact"/>
      <w:jc w:val="center"/>
    </w:pPr>
    <w:rPr>
      <w:rFonts w:ascii="宋体" w:hAnsi="宋体" w:cs="宋体"/>
      <w:snapToGrid w:val="0"/>
      <w:kern w:val="0"/>
      <w:szCs w:val="24"/>
    </w:rPr>
  </w:style>
  <w:style w:type="paragraph" w:customStyle="1" w:styleId="2049">
    <w:name w:val="Char Char Char Char Char Char Char Char Char Char Char 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2050">
    <w:name w:val="表中文字3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051">
    <w:name w:val="正文.13"/>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052">
    <w:name w:val="Char Char Char Char Char Char Char Char1 Char Char Char Char Char Char Char Char Char Char1"/>
    <w:basedOn w:val="1"/>
    <w:uiPriority w:val="0"/>
    <w:pPr>
      <w:widowControl/>
      <w:jc w:val="left"/>
    </w:pPr>
    <w:rPr>
      <w:rFonts w:ascii="宋体" w:hAnsi="宋体" w:cs="宋体"/>
      <w:kern w:val="0"/>
      <w:szCs w:val="24"/>
    </w:rPr>
  </w:style>
  <w:style w:type="paragraph" w:customStyle="1" w:styleId="2053">
    <w:name w:val="表内文字小215"/>
    <w:basedOn w:val="1"/>
    <w:uiPriority w:val="0"/>
    <w:pPr>
      <w:widowControl/>
      <w:jc w:val="center"/>
    </w:pPr>
    <w:rPr>
      <w:rFonts w:ascii="宋体" w:hAnsi="Times" w:cs="宋体"/>
      <w:bCs/>
      <w:color w:val="000000"/>
      <w:kern w:val="0"/>
      <w:szCs w:val="20"/>
    </w:rPr>
  </w:style>
  <w:style w:type="paragraph" w:customStyle="1" w:styleId="2054">
    <w:name w:val="表内54131"/>
    <w:basedOn w:val="1"/>
    <w:uiPriority w:val="0"/>
    <w:pPr>
      <w:widowControl/>
      <w:spacing w:line="300" w:lineRule="auto"/>
      <w:jc w:val="center"/>
    </w:pPr>
    <w:rPr>
      <w:rFonts w:ascii="宋体" w:hAnsi="宋体" w:cs="宋体"/>
      <w:kern w:val="0"/>
      <w:szCs w:val="20"/>
    </w:rPr>
  </w:style>
  <w:style w:type="paragraph" w:customStyle="1" w:styleId="2055">
    <w:name w:val="页号"/>
    <w:basedOn w:val="43"/>
    <w:uiPriority w:val="0"/>
    <w:pPr>
      <w:widowControl/>
      <w:tabs>
        <w:tab w:val="center" w:pos="4320"/>
        <w:tab w:val="right" w:pos="8640"/>
        <w:tab w:val="clear" w:pos="4153"/>
        <w:tab w:val="clear" w:pos="8306"/>
      </w:tabs>
      <w:snapToGrid/>
      <w:spacing w:line="360" w:lineRule="auto"/>
      <w:ind w:firstLine="0" w:firstLineChars="0"/>
      <w:jc w:val="center"/>
      <w:textAlignment w:val="baseline"/>
    </w:pPr>
    <w:rPr>
      <w:rFonts w:ascii="宋体" w:hAnsi="Arial"/>
      <w:spacing w:val="3"/>
      <w:kern w:val="24"/>
      <w:sz w:val="24"/>
      <w:szCs w:val="20"/>
    </w:rPr>
  </w:style>
  <w:style w:type="paragraph" w:customStyle="1" w:styleId="2056">
    <w:name w:val="表内文字小311"/>
    <w:basedOn w:val="1"/>
    <w:uiPriority w:val="0"/>
    <w:pPr>
      <w:widowControl/>
      <w:jc w:val="center"/>
    </w:pPr>
    <w:rPr>
      <w:rFonts w:ascii="宋体" w:hAnsi="Times" w:cs="宋体"/>
      <w:bCs/>
      <w:color w:val="003366"/>
      <w:kern w:val="0"/>
      <w:szCs w:val="20"/>
    </w:rPr>
  </w:style>
  <w:style w:type="paragraph" w:customStyle="1" w:styleId="2057">
    <w:name w:val="宏福4"/>
    <w:basedOn w:val="1"/>
    <w:uiPriority w:val="0"/>
    <w:pPr>
      <w:widowControl/>
      <w:spacing w:line="400" w:lineRule="atLeast"/>
      <w:ind w:firstLine="567"/>
      <w:jc w:val="left"/>
    </w:pPr>
    <w:rPr>
      <w:rFonts w:ascii="宋体" w:hAnsi="宋体" w:cs="宋体"/>
      <w:kern w:val="0"/>
      <w:szCs w:val="20"/>
    </w:rPr>
  </w:style>
  <w:style w:type="paragraph" w:customStyle="1" w:styleId="2058">
    <w:name w:val="框图内容"/>
    <w:basedOn w:val="1"/>
    <w:uiPriority w:val="0"/>
    <w:pPr>
      <w:widowControl/>
      <w:jc w:val="center"/>
    </w:pPr>
    <w:rPr>
      <w:rFonts w:ascii="宋体" w:hAnsi="宋体" w:cs="宋体"/>
      <w:kern w:val="0"/>
      <w:szCs w:val="24"/>
    </w:rPr>
  </w:style>
  <w:style w:type="paragraph" w:customStyle="1" w:styleId="2059">
    <w:name w:val="Char Char 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2060">
    <w:name w:val="燕山正文5"/>
    <w:basedOn w:val="1"/>
    <w:uiPriority w:val="0"/>
    <w:pPr>
      <w:widowControl/>
      <w:tabs>
        <w:tab w:val="left" w:pos="4680"/>
      </w:tabs>
      <w:spacing w:line="480" w:lineRule="exact"/>
      <w:jc w:val="left"/>
    </w:pPr>
    <w:rPr>
      <w:rFonts w:ascii="宋体" w:hAnsi="宋体" w:cs="宋体"/>
      <w:kern w:val="0"/>
      <w:szCs w:val="24"/>
    </w:rPr>
  </w:style>
  <w:style w:type="paragraph" w:customStyle="1" w:styleId="2061">
    <w:name w:val="正文修改2"/>
    <w:basedOn w:val="236"/>
    <w:uiPriority w:val="0"/>
    <w:rPr>
      <w:rFonts w:hAnsi="宋体" w:eastAsia="宋体" w:cs="宋体"/>
      <w:color w:val="000000"/>
      <w:szCs w:val="24"/>
    </w:rPr>
  </w:style>
  <w:style w:type="paragraph" w:customStyle="1" w:styleId="2062">
    <w:name w:val="xl241"/>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63">
    <w:name w:val="Char Char Char Char Char Char Char Char Char Char Char Char Char Char Char Char Char Char Char Char Char Char Char Char Char Char Char Char Char Char Char Char Char1 Char Char Char Char Char Char1"/>
    <w:basedOn w:val="1"/>
    <w:uiPriority w:val="0"/>
    <w:pPr>
      <w:widowControl/>
      <w:jc w:val="left"/>
    </w:pPr>
    <w:rPr>
      <w:rFonts w:ascii="宋体" w:hAnsi="宋体" w:cs="宋体"/>
      <w:kern w:val="0"/>
      <w:szCs w:val="24"/>
    </w:rPr>
  </w:style>
  <w:style w:type="paragraph" w:customStyle="1" w:styleId="2064">
    <w:name w:val="数据来源"/>
    <w:basedOn w:val="1"/>
    <w:uiPriority w:val="0"/>
    <w:pPr>
      <w:widowControl/>
      <w:spacing w:line="280" w:lineRule="exact"/>
      <w:jc w:val="left"/>
    </w:pPr>
    <w:rPr>
      <w:rFonts w:ascii="宋体" w:hAnsi="宋体" w:eastAsia="楷体_GB2312" w:cs="宋体"/>
      <w:kern w:val="0"/>
      <w:szCs w:val="20"/>
    </w:rPr>
  </w:style>
  <w:style w:type="paragraph" w:customStyle="1" w:styleId="2065">
    <w:name w:val="Char3 Char Char Char Char Char Char"/>
    <w:basedOn w:val="1"/>
    <w:uiPriority w:val="0"/>
    <w:pPr>
      <w:widowControl/>
      <w:spacing w:line="340" w:lineRule="exact"/>
      <w:ind w:firstLine="10" w:firstLineChars="4"/>
      <w:jc w:val="left"/>
    </w:pPr>
    <w:rPr>
      <w:rFonts w:ascii="宋体" w:hAnsi="宋体" w:cs="宋体"/>
      <w:kern w:val="0"/>
      <w:szCs w:val="28"/>
    </w:rPr>
  </w:style>
  <w:style w:type="paragraph" w:customStyle="1" w:styleId="2066">
    <w:name w:val="文本框5号两端齐"/>
    <w:basedOn w:val="1"/>
    <w:uiPriority w:val="0"/>
    <w:pPr>
      <w:widowControl/>
      <w:jc w:val="left"/>
    </w:pPr>
    <w:rPr>
      <w:rFonts w:ascii="宋体" w:hAnsi="宋体" w:cs="宋体"/>
      <w:kern w:val="0"/>
      <w:szCs w:val="21"/>
    </w:rPr>
  </w:style>
  <w:style w:type="paragraph" w:customStyle="1" w:styleId="2067">
    <w:name w:val="zxz5"/>
    <w:next w:val="262"/>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2068">
    <w:name w:val="Char Char Char Char Char Char Char Char Char Char Char Char Char1"/>
    <w:basedOn w:val="1"/>
    <w:uiPriority w:val="0"/>
    <w:pPr>
      <w:widowControl/>
      <w:jc w:val="left"/>
    </w:pPr>
    <w:rPr>
      <w:rFonts w:ascii="宋体" w:hAnsi="宋体" w:cs="宋体"/>
      <w:kern w:val="0"/>
      <w:szCs w:val="24"/>
    </w:rPr>
  </w:style>
  <w:style w:type="paragraph" w:customStyle="1" w:styleId="2069">
    <w:name w:val="表内文字小312"/>
    <w:basedOn w:val="1"/>
    <w:uiPriority w:val="0"/>
    <w:pPr>
      <w:widowControl/>
      <w:jc w:val="center"/>
    </w:pPr>
    <w:rPr>
      <w:rFonts w:ascii="宋体" w:hAnsi="Times" w:cs="宋体"/>
      <w:bCs/>
      <w:color w:val="003366"/>
      <w:kern w:val="0"/>
      <w:szCs w:val="20"/>
    </w:rPr>
  </w:style>
  <w:style w:type="paragraph" w:customStyle="1" w:styleId="2070">
    <w:name w:val="右侧"/>
    <w:uiPriority w:val="0"/>
    <w:pPr>
      <w:spacing w:line="280" w:lineRule="exact"/>
      <w:jc w:val="right"/>
    </w:pPr>
    <w:rPr>
      <w:rFonts w:ascii="Batang" w:hAnsi="Batang" w:eastAsia="宋体" w:cs="Times New Roman"/>
      <w:color w:val="000000"/>
      <w:kern w:val="0"/>
      <w:sz w:val="18"/>
      <w:szCs w:val="20"/>
      <w:lang w:val="en-US" w:eastAsia="zh-CN" w:bidi="ar-SA"/>
    </w:rPr>
  </w:style>
  <w:style w:type="paragraph" w:customStyle="1" w:styleId="2071">
    <w:name w:val="样式 宋体 首行缩进:  0.93 厘米 段前: 6 磅 段后: 6 磅 行距: 固定值 18 磅"/>
    <w:basedOn w:val="1"/>
    <w:uiPriority w:val="0"/>
    <w:pPr>
      <w:widowControl/>
      <w:spacing w:before="160" w:after="160" w:line="320" w:lineRule="exact"/>
      <w:ind w:firstLine="482"/>
      <w:jc w:val="left"/>
    </w:pPr>
    <w:rPr>
      <w:rFonts w:ascii="宋体" w:hAnsi="宋体" w:cs="宋体"/>
      <w:kern w:val="0"/>
      <w:szCs w:val="20"/>
    </w:rPr>
  </w:style>
  <w:style w:type="paragraph" w:customStyle="1" w:styleId="2072">
    <w:name w:val="表题1122"/>
    <w:basedOn w:val="19"/>
    <w:uiPriority w:val="0"/>
    <w:pPr>
      <w:widowControl/>
      <w:ind w:firstLine="0" w:firstLineChars="0"/>
      <w:jc w:val="center"/>
    </w:pPr>
    <w:rPr>
      <w:rFonts w:ascii="黑体" w:cs="Arial"/>
    </w:rPr>
  </w:style>
  <w:style w:type="paragraph" w:customStyle="1" w:styleId="2073">
    <w:name w:val="正文图小四"/>
    <w:basedOn w:val="1"/>
    <w:uiPriority w:val="0"/>
    <w:pPr>
      <w:widowControl/>
      <w:jc w:val="center"/>
      <w:textAlignment w:val="baseline"/>
    </w:pPr>
    <w:rPr>
      <w:rFonts w:ascii="宋体" w:hAnsi="宋体" w:cs="宋体"/>
      <w:kern w:val="0"/>
      <w:szCs w:val="24"/>
    </w:rPr>
  </w:style>
  <w:style w:type="paragraph" w:customStyle="1" w:styleId="2074">
    <w:name w:val="样式 正文文字 + 楷体_GB2312 四号 首行缩进:  0.93 厘米"/>
    <w:basedOn w:val="27"/>
    <w:uiPriority w:val="0"/>
    <w:pPr>
      <w:widowControl/>
      <w:spacing w:line="240" w:lineRule="auto"/>
      <w:ind w:firstLine="560"/>
      <w:jc w:val="left"/>
    </w:pPr>
    <w:rPr>
      <w:rFonts w:ascii="宋体" w:hAnsi="宋体"/>
      <w:sz w:val="28"/>
      <w:szCs w:val="20"/>
    </w:rPr>
  </w:style>
  <w:style w:type="paragraph" w:customStyle="1" w:styleId="2075">
    <w:name w:val="样式（大表格）"/>
    <w:basedOn w:val="187"/>
    <w:uiPriority w:val="0"/>
    <w:pPr>
      <w:widowControl/>
      <w:ind w:firstLine="0" w:firstLineChars="0"/>
    </w:pPr>
    <w:rPr>
      <w:rFonts w:eastAsia="宋体"/>
      <w:b w:val="0"/>
      <w:color w:val="FF0000"/>
      <w:sz w:val="24"/>
      <w:szCs w:val="24"/>
    </w:rPr>
  </w:style>
  <w:style w:type="paragraph" w:customStyle="1" w:styleId="2076">
    <w:name w:val="条(三级)"/>
    <w:basedOn w:val="1"/>
    <w:next w:val="1"/>
    <w:uiPriority w:val="0"/>
    <w:pPr>
      <w:keepNext/>
      <w:keepLines/>
      <w:widowControl/>
      <w:spacing w:line="460" w:lineRule="exact"/>
      <w:jc w:val="left"/>
      <w:textAlignment w:val="baseline"/>
    </w:pPr>
    <w:rPr>
      <w:rFonts w:ascii="宋体" w:hAnsi="Arial" w:cs="宋体"/>
      <w:spacing w:val="3"/>
      <w:kern w:val="24"/>
      <w:szCs w:val="20"/>
    </w:rPr>
  </w:style>
  <w:style w:type="paragraph" w:customStyle="1" w:styleId="2077">
    <w:name w:val="表内53"/>
    <w:basedOn w:val="1"/>
    <w:uiPriority w:val="0"/>
    <w:pPr>
      <w:widowControl/>
      <w:spacing w:line="300" w:lineRule="auto"/>
      <w:jc w:val="left"/>
    </w:pPr>
    <w:rPr>
      <w:rFonts w:ascii="宋体" w:hAnsi="宋体" w:cs="宋体"/>
      <w:kern w:val="0"/>
      <w:szCs w:val="20"/>
    </w:rPr>
  </w:style>
  <w:style w:type="paragraph" w:customStyle="1" w:styleId="2078">
    <w:name w:val="默认段落字体 Para Char Char Char Char"/>
    <w:basedOn w:val="1"/>
    <w:uiPriority w:val="0"/>
    <w:pPr>
      <w:widowControl/>
      <w:jc w:val="left"/>
    </w:pPr>
    <w:rPr>
      <w:rFonts w:ascii="宋体" w:hAnsi="宋体" w:cs="宋体"/>
      <w:kern w:val="0"/>
      <w:szCs w:val="24"/>
    </w:rPr>
  </w:style>
  <w:style w:type="paragraph" w:customStyle="1" w:styleId="2079">
    <w:name w:val="注×："/>
    <w:uiPriority w:val="0"/>
    <w:pPr>
      <w:widowControl w:val="0"/>
      <w:tabs>
        <w:tab w:val="left" w:pos="630"/>
        <w:tab w:val="left" w:pos="720"/>
      </w:tabs>
      <w:autoSpaceDE w:val="0"/>
      <w:autoSpaceDN w:val="0"/>
      <w:ind w:left="720" w:hanging="720"/>
      <w:jc w:val="both"/>
    </w:pPr>
    <w:rPr>
      <w:rFonts w:ascii="宋体" w:hAnsi="Times New Roman" w:eastAsia="宋体" w:cs="Times New Roman"/>
      <w:kern w:val="0"/>
      <w:sz w:val="18"/>
      <w:szCs w:val="20"/>
      <w:lang w:val="en-US" w:eastAsia="zh-CN" w:bidi="ar-SA"/>
    </w:rPr>
  </w:style>
  <w:style w:type="paragraph" w:customStyle="1" w:styleId="2080">
    <w:name w:val="燕山正文1"/>
    <w:basedOn w:val="1"/>
    <w:uiPriority w:val="0"/>
    <w:pPr>
      <w:widowControl/>
      <w:tabs>
        <w:tab w:val="left" w:pos="4680"/>
      </w:tabs>
      <w:spacing w:line="480" w:lineRule="exact"/>
      <w:jc w:val="left"/>
    </w:pPr>
    <w:rPr>
      <w:rFonts w:ascii="宋体" w:hAnsi="宋体" w:cs="宋体"/>
      <w:kern w:val="0"/>
      <w:szCs w:val="24"/>
    </w:rPr>
  </w:style>
  <w:style w:type="paragraph" w:customStyle="1" w:styleId="2081">
    <w:name w:val="Char7"/>
    <w:basedOn w:val="1"/>
    <w:uiPriority w:val="0"/>
    <w:pPr>
      <w:widowControl/>
      <w:ind w:left="-48"/>
      <w:jc w:val="left"/>
    </w:pPr>
    <w:rPr>
      <w:rFonts w:ascii="宋体" w:hAnsi="宋体" w:cs="宋体"/>
      <w:kern w:val="0"/>
      <w:szCs w:val="24"/>
    </w:rPr>
  </w:style>
  <w:style w:type="paragraph" w:customStyle="1" w:styleId="2082">
    <w:name w:val="正文格式42"/>
    <w:basedOn w:val="1"/>
    <w:uiPriority w:val="0"/>
    <w:pPr>
      <w:widowControl/>
      <w:ind w:firstLine="482"/>
      <w:jc w:val="left"/>
    </w:pPr>
    <w:rPr>
      <w:rFonts w:ascii="宋体" w:hAnsi="宋体" w:cs="宋体"/>
      <w:kern w:val="0"/>
      <w:szCs w:val="24"/>
    </w:rPr>
  </w:style>
  <w:style w:type="paragraph" w:customStyle="1" w:styleId="2083">
    <w:name w:val="表格03"/>
    <w:basedOn w:val="1"/>
    <w:uiPriority w:val="0"/>
    <w:pPr>
      <w:widowControl/>
      <w:spacing w:line="400" w:lineRule="exact"/>
      <w:jc w:val="center"/>
    </w:pPr>
    <w:rPr>
      <w:rFonts w:ascii="宋体" w:hAnsi="宋体" w:cs="宋体"/>
      <w:kern w:val="0"/>
      <w:szCs w:val="21"/>
    </w:rPr>
  </w:style>
  <w:style w:type="paragraph" w:customStyle="1" w:styleId="2084">
    <w:name w:val="正文格式4"/>
    <w:basedOn w:val="1"/>
    <w:uiPriority w:val="0"/>
    <w:pPr>
      <w:widowControl/>
      <w:ind w:firstLine="482"/>
      <w:jc w:val="left"/>
    </w:pPr>
    <w:rPr>
      <w:rFonts w:ascii="宋体" w:hAnsi="宋体" w:cs="宋体"/>
      <w:kern w:val="0"/>
      <w:szCs w:val="24"/>
    </w:rPr>
  </w:style>
  <w:style w:type="paragraph" w:customStyle="1" w:styleId="2085">
    <w:name w:val="表文字511"/>
    <w:basedOn w:val="1"/>
    <w:uiPriority w:val="0"/>
    <w:pPr>
      <w:widowControl/>
      <w:jc w:val="left"/>
      <w:textAlignment w:val="baseline"/>
    </w:pPr>
    <w:rPr>
      <w:rFonts w:ascii="宋体" w:hAnsi="宋体" w:cs="宋体"/>
      <w:kern w:val="0"/>
      <w:szCs w:val="20"/>
    </w:rPr>
  </w:style>
  <w:style w:type="paragraph" w:customStyle="1" w:styleId="2086">
    <w:name w:val="默认段落字体 Para Char Char Char Char21"/>
    <w:basedOn w:val="1"/>
    <w:uiPriority w:val="0"/>
    <w:pPr>
      <w:widowControl/>
      <w:jc w:val="left"/>
    </w:pPr>
    <w:rPr>
      <w:rFonts w:ascii="宋体" w:hAnsi="宋体" w:cs="宋体"/>
      <w:kern w:val="0"/>
      <w:szCs w:val="24"/>
    </w:rPr>
  </w:style>
  <w:style w:type="paragraph" w:customStyle="1" w:styleId="2087">
    <w:name w:val="正文段落"/>
    <w:basedOn w:val="1"/>
    <w:uiPriority w:val="0"/>
    <w:pPr>
      <w:widowControl/>
      <w:autoSpaceDE w:val="0"/>
      <w:autoSpaceDN w:val="0"/>
      <w:ind w:firstLine="499"/>
      <w:jc w:val="left"/>
      <w:textAlignment w:val="baseline"/>
    </w:pPr>
    <w:rPr>
      <w:rFonts w:ascii="宋体" w:hAnsi="Tms Rmn" w:cs="宋体"/>
      <w:kern w:val="0"/>
      <w:szCs w:val="20"/>
    </w:rPr>
  </w:style>
  <w:style w:type="paragraph" w:customStyle="1" w:styleId="2088">
    <w:name w:val="表内宋5中1"/>
    <w:basedOn w:val="1"/>
    <w:uiPriority w:val="0"/>
    <w:pPr>
      <w:widowControl/>
      <w:jc w:val="center"/>
      <w:textAlignment w:val="baseline"/>
    </w:pPr>
    <w:rPr>
      <w:rFonts w:ascii="宋体" w:hAnsi="宋体" w:cs="宋体"/>
      <w:kern w:val="0"/>
      <w:szCs w:val="20"/>
    </w:rPr>
  </w:style>
  <w:style w:type="paragraph" w:customStyle="1" w:styleId="2089">
    <w:name w:val="表格文字2"/>
    <w:basedOn w:val="1"/>
    <w:uiPriority w:val="0"/>
    <w:pPr>
      <w:widowControl/>
      <w:tabs>
        <w:tab w:val="left" w:pos="277"/>
        <w:tab w:val="left" w:pos="600"/>
        <w:tab w:val="left" w:pos="780"/>
        <w:tab w:val="left" w:pos="2517"/>
      </w:tabs>
      <w:spacing w:before="60"/>
      <w:jc w:val="center"/>
      <w:textAlignment w:val="baseline"/>
    </w:pPr>
    <w:rPr>
      <w:rFonts w:ascii="宋体" w:hAnsi="宋体" w:cs="宋体"/>
      <w:kern w:val="0"/>
      <w:szCs w:val="21"/>
    </w:rPr>
  </w:style>
  <w:style w:type="paragraph" w:customStyle="1" w:styleId="2090">
    <w:name w:val="表题144"/>
    <w:basedOn w:val="19"/>
    <w:uiPriority w:val="0"/>
    <w:pPr>
      <w:widowControl/>
      <w:ind w:firstLine="0" w:firstLineChars="0"/>
      <w:jc w:val="center"/>
    </w:pPr>
    <w:rPr>
      <w:rFonts w:ascii="黑体" w:cs="Arial"/>
      <w:b/>
    </w:rPr>
  </w:style>
  <w:style w:type="paragraph" w:customStyle="1" w:styleId="2091">
    <w:name w:val="表图1"/>
    <w:basedOn w:val="1"/>
    <w:uiPriority w:val="0"/>
    <w:pPr>
      <w:widowControl/>
      <w:spacing w:line="360" w:lineRule="exact"/>
      <w:jc w:val="center"/>
    </w:pPr>
    <w:rPr>
      <w:rFonts w:ascii="仿宋_GB2312" w:hAnsi="宋体" w:cs="宋体"/>
      <w:kern w:val="0"/>
      <w:szCs w:val="24"/>
    </w:rPr>
  </w:style>
  <w:style w:type="paragraph" w:customStyle="1" w:styleId="2092">
    <w:name w:val="样式 样式 标题 3 + 段前: 0.5 行 段后: 0.5 行 + 段前: 0.5 行 段后: 0.5 行"/>
    <w:basedOn w:val="1"/>
    <w:uiPriority w:val="0"/>
    <w:pPr>
      <w:keepNext/>
      <w:keepLines/>
      <w:widowControl/>
      <w:spacing w:before="156" w:after="156" w:line="300" w:lineRule="auto"/>
      <w:ind w:left="180"/>
      <w:jc w:val="left"/>
      <w:outlineLvl w:val="2"/>
    </w:pPr>
    <w:rPr>
      <w:rFonts w:ascii="仿宋_GB2312" w:hAnsi="宋体" w:cs="宋体"/>
      <w:b/>
      <w:kern w:val="0"/>
      <w:sz w:val="30"/>
      <w:szCs w:val="30"/>
    </w:rPr>
  </w:style>
  <w:style w:type="paragraph" w:customStyle="1" w:styleId="2093">
    <w:name w:val="样式 标题 1 + 段前: 1 行 段后: 1.5 行"/>
    <w:basedOn w:val="2"/>
    <w:uiPriority w:val="0"/>
    <w:pPr>
      <w:numPr>
        <w:numId w:val="0"/>
      </w:numPr>
      <w:spacing w:before="312" w:beforeLines="100" w:after="156" w:line="300" w:lineRule="auto"/>
    </w:pPr>
    <w:rPr>
      <w:rFonts w:ascii="仿宋_GB2312" w:cs="宋体"/>
      <w:sz w:val="32"/>
      <w:szCs w:val="32"/>
      <w:lang w:val="zh-CN" w:eastAsia="zh-CN"/>
    </w:rPr>
  </w:style>
  <w:style w:type="paragraph" w:customStyle="1" w:styleId="2094">
    <w:name w:val="Char Char Char Char Char Char Char Char1 Char Char Char Char Char Char Char Char Char Char Char Char1 Char1"/>
    <w:basedOn w:val="1"/>
    <w:uiPriority w:val="0"/>
    <w:pPr>
      <w:widowControl/>
      <w:jc w:val="left"/>
    </w:pPr>
    <w:rPr>
      <w:rFonts w:ascii="宋体" w:hAnsi="宋体" w:cs="宋体"/>
      <w:kern w:val="0"/>
      <w:szCs w:val="24"/>
    </w:rPr>
  </w:style>
  <w:style w:type="paragraph" w:customStyle="1" w:styleId="2095">
    <w:name w:val="Char Char Char1 Char Char Char1 Char Char Char Char Char Char1 Char Char Char1 Char"/>
    <w:basedOn w:val="1"/>
    <w:uiPriority w:val="0"/>
    <w:pPr>
      <w:widowControl/>
      <w:jc w:val="left"/>
    </w:pPr>
    <w:rPr>
      <w:rFonts w:ascii="宋体" w:hAnsi="宋体" w:cs="宋体"/>
      <w:kern w:val="0"/>
      <w:szCs w:val="24"/>
    </w:rPr>
  </w:style>
  <w:style w:type="paragraph" w:customStyle="1" w:styleId="2096">
    <w:name w:val="燕山正文2"/>
    <w:basedOn w:val="1"/>
    <w:uiPriority w:val="0"/>
    <w:pPr>
      <w:widowControl/>
      <w:tabs>
        <w:tab w:val="left" w:pos="4680"/>
      </w:tabs>
      <w:spacing w:line="480" w:lineRule="exact"/>
      <w:jc w:val="left"/>
    </w:pPr>
    <w:rPr>
      <w:rFonts w:ascii="宋体" w:hAnsi="宋体" w:cs="宋体"/>
      <w:kern w:val="0"/>
      <w:szCs w:val="24"/>
    </w:rPr>
  </w:style>
  <w:style w:type="paragraph" w:customStyle="1" w:styleId="2097">
    <w:name w:val="正文格式＝4"/>
    <w:basedOn w:val="207"/>
    <w:next w:val="207"/>
    <w:uiPriority w:val="0"/>
    <w:rPr>
      <w:rFonts w:hAnsi="宋体"/>
      <w:szCs w:val="24"/>
    </w:rPr>
  </w:style>
  <w:style w:type="paragraph" w:customStyle="1" w:styleId="2098">
    <w:name w:val="四级条标题"/>
    <w:basedOn w:val="1860"/>
    <w:next w:val="1"/>
    <w:uiPriority w:val="0"/>
    <w:pPr>
      <w:tabs>
        <w:tab w:val="left" w:pos="1152"/>
        <w:tab w:val="left" w:pos="2520"/>
        <w:tab w:val="left" w:pos="3080"/>
        <w:tab w:val="clear" w:pos="1008"/>
        <w:tab w:val="clear" w:pos="2100"/>
        <w:tab w:val="clear" w:pos="2660"/>
      </w:tabs>
      <w:outlineLvl w:val="5"/>
    </w:pPr>
  </w:style>
  <w:style w:type="paragraph" w:customStyle="1" w:styleId="2099">
    <w:name w:val="小四宋居中1.0"/>
    <w:basedOn w:val="1"/>
    <w:next w:val="1"/>
    <w:uiPriority w:val="0"/>
    <w:pPr>
      <w:widowControl/>
      <w:spacing w:line="400" w:lineRule="exact"/>
      <w:jc w:val="center"/>
    </w:pPr>
    <w:rPr>
      <w:rFonts w:ascii="仿宋_GB2312" w:hAnsi="宋体" w:cs="宋体"/>
      <w:kern w:val="0"/>
      <w:szCs w:val="24"/>
    </w:rPr>
  </w:style>
  <w:style w:type="paragraph" w:customStyle="1" w:styleId="2100">
    <w:name w:val="MTDisplayEquation"/>
    <w:basedOn w:val="262"/>
    <w:next w:val="1"/>
    <w:uiPriority w:val="0"/>
    <w:pPr>
      <w:widowControl/>
      <w:tabs>
        <w:tab w:val="center" w:pos="4160"/>
        <w:tab w:val="right" w:pos="8300"/>
      </w:tabs>
      <w:ind w:firstLine="0" w:firstLineChars="0"/>
    </w:pPr>
    <w:rPr>
      <w:snapToGrid w:val="0"/>
      <w:szCs w:val="24"/>
    </w:rPr>
  </w:style>
  <w:style w:type="paragraph" w:customStyle="1" w:styleId="2101">
    <w:name w:val="Char38"/>
    <w:basedOn w:val="1"/>
    <w:uiPriority w:val="0"/>
    <w:pPr>
      <w:widowControl/>
      <w:ind w:left="-48"/>
      <w:jc w:val="left"/>
    </w:pPr>
    <w:rPr>
      <w:rFonts w:ascii="宋体" w:hAnsi="宋体" w:cs="宋体"/>
      <w:kern w:val="0"/>
      <w:szCs w:val="24"/>
    </w:rPr>
  </w:style>
  <w:style w:type="paragraph" w:customStyle="1" w:styleId="2102">
    <w:name w:val="Char17"/>
    <w:basedOn w:val="1"/>
    <w:uiPriority w:val="0"/>
    <w:pPr>
      <w:widowControl/>
      <w:ind w:left="-48"/>
      <w:jc w:val="left"/>
    </w:pPr>
    <w:rPr>
      <w:rFonts w:ascii="宋体" w:hAnsi="宋体" w:cs="宋体"/>
      <w:kern w:val="0"/>
      <w:szCs w:val="24"/>
    </w:rPr>
  </w:style>
  <w:style w:type="paragraph" w:customStyle="1" w:styleId="2103">
    <w:name w:val="Default3"/>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2104">
    <w:name w:val="正文表标题"/>
    <w:next w:val="1"/>
    <w:uiPriority w:val="0"/>
    <w:pPr>
      <w:spacing w:before="156" w:beforeLines="50" w:after="156" w:afterLines="50"/>
      <w:jc w:val="center"/>
    </w:pPr>
    <w:rPr>
      <w:rFonts w:ascii="Times New Roman" w:hAnsi="Times New Roman" w:eastAsia="黑体" w:cs="Times New Roman"/>
      <w:kern w:val="0"/>
      <w:sz w:val="21"/>
      <w:szCs w:val="20"/>
      <w:lang w:val="en-US" w:eastAsia="zh-CN" w:bidi="ar-SA"/>
    </w:rPr>
  </w:style>
  <w:style w:type="paragraph" w:customStyle="1" w:styleId="2105">
    <w:name w:val="Char Char Char1"/>
    <w:basedOn w:val="1"/>
    <w:uiPriority w:val="0"/>
    <w:pPr>
      <w:widowControl/>
      <w:jc w:val="left"/>
    </w:pPr>
    <w:rPr>
      <w:rFonts w:ascii="宋体" w:hAnsi="宋体" w:cs="宋体"/>
      <w:kern w:val="0"/>
      <w:szCs w:val="24"/>
    </w:rPr>
  </w:style>
  <w:style w:type="paragraph" w:customStyle="1" w:styleId="2106">
    <w:name w:val="收信人地址1"/>
    <w:basedOn w:val="1"/>
    <w:uiPriority w:val="0"/>
    <w:pPr>
      <w:widowControl/>
      <w:ind w:left="100" w:leftChars="1400"/>
      <w:jc w:val="left"/>
    </w:pPr>
    <w:rPr>
      <w:rFonts w:ascii="Arial" w:hAnsi="Arial" w:cs="Arial"/>
      <w:kern w:val="0"/>
      <w:szCs w:val="24"/>
    </w:rPr>
  </w:style>
  <w:style w:type="paragraph" w:customStyle="1" w:styleId="2107">
    <w:name w:val="表、图名宋旭峰"/>
    <w:basedOn w:val="210"/>
    <w:uiPriority w:val="0"/>
    <w:pPr>
      <w:widowControl/>
      <w:adjustRightInd/>
      <w:spacing w:line="360" w:lineRule="auto"/>
      <w:ind w:firstLine="0" w:firstLineChars="0"/>
      <w:textAlignment w:val="auto"/>
    </w:pPr>
    <w:rPr>
      <w:rFonts w:ascii="黑体" w:hAnsi="宋体"/>
      <w:spacing w:val="0"/>
      <w:szCs w:val="21"/>
    </w:rPr>
  </w:style>
  <w:style w:type="paragraph" w:customStyle="1" w:styleId="2108">
    <w:name w:val="表格内字体3"/>
    <w:basedOn w:val="207"/>
    <w:next w:val="207"/>
    <w:uiPriority w:val="0"/>
    <w:pPr>
      <w:spacing w:line="240" w:lineRule="auto"/>
      <w:ind w:firstLine="0"/>
      <w:jc w:val="center"/>
    </w:pPr>
    <w:rPr>
      <w:rFonts w:hAnsi="宋体"/>
      <w:sz w:val="21"/>
      <w:szCs w:val="24"/>
    </w:rPr>
  </w:style>
  <w:style w:type="paragraph" w:customStyle="1" w:styleId="2109">
    <w:name w:val="表题1113"/>
    <w:basedOn w:val="19"/>
    <w:uiPriority w:val="0"/>
    <w:pPr>
      <w:widowControl/>
      <w:ind w:firstLine="0" w:firstLineChars="0"/>
      <w:jc w:val="center"/>
    </w:pPr>
    <w:rPr>
      <w:rFonts w:ascii="黑体" w:cs="Arial"/>
    </w:rPr>
  </w:style>
  <w:style w:type="paragraph" w:customStyle="1" w:styleId="2110">
    <w:name w:val="表格内字体21"/>
    <w:basedOn w:val="207"/>
    <w:next w:val="207"/>
    <w:uiPriority w:val="0"/>
    <w:pPr>
      <w:spacing w:line="240" w:lineRule="auto"/>
      <w:ind w:firstLine="0"/>
      <w:jc w:val="center"/>
    </w:pPr>
    <w:rPr>
      <w:rFonts w:hAnsi="宋体"/>
      <w:sz w:val="21"/>
      <w:szCs w:val="24"/>
    </w:rPr>
  </w:style>
  <w:style w:type="paragraph" w:customStyle="1" w:styleId="2111">
    <w:name w:val="燕山正文113"/>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112">
    <w:name w:val="谏壁标题3（chen）"/>
    <w:basedOn w:val="1"/>
    <w:uiPriority w:val="0"/>
    <w:pPr>
      <w:keepNext/>
      <w:keepLines/>
      <w:widowControl/>
      <w:spacing w:before="100" w:after="120"/>
      <w:jc w:val="left"/>
      <w:outlineLvl w:val="2"/>
    </w:pPr>
    <w:rPr>
      <w:rFonts w:ascii="宋体" w:hAnsi="宋体" w:eastAsia="黑体" w:cs="宋体"/>
      <w:kern w:val="0"/>
      <w:sz w:val="30"/>
      <w:szCs w:val="32"/>
    </w:rPr>
  </w:style>
  <w:style w:type="paragraph" w:customStyle="1" w:styleId="2113">
    <w:name w:val="默认段落字体 Para Char Char Char1 Char Char Char Char Char Char Char Char Char Char Char Char1"/>
    <w:basedOn w:val="1"/>
    <w:uiPriority w:val="0"/>
    <w:pPr>
      <w:widowControl/>
      <w:jc w:val="left"/>
    </w:pPr>
    <w:rPr>
      <w:rFonts w:ascii="宋体" w:hAnsi="宋体" w:cs="宋体"/>
      <w:kern w:val="0"/>
      <w:szCs w:val="24"/>
    </w:rPr>
  </w:style>
  <w:style w:type="paragraph" w:customStyle="1" w:styleId="2114">
    <w:name w:val="样式 表格 + 居中"/>
    <w:basedOn w:val="1"/>
    <w:uiPriority w:val="0"/>
    <w:pPr>
      <w:widowControl/>
      <w:kinsoku w:val="0"/>
      <w:overflowPunct w:val="0"/>
      <w:jc w:val="center"/>
    </w:pPr>
    <w:rPr>
      <w:rFonts w:ascii="宋体" w:hAnsi="宋体" w:cs="宋体"/>
      <w:snapToGrid w:val="0"/>
      <w:color w:val="000000"/>
      <w:kern w:val="0"/>
      <w:szCs w:val="24"/>
    </w:rPr>
  </w:style>
  <w:style w:type="paragraph" w:customStyle="1" w:styleId="2115">
    <w:name w:val="燕山正文1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116">
    <w:name w:val="燕山正文1312"/>
    <w:basedOn w:val="1"/>
    <w:uiPriority w:val="0"/>
    <w:pPr>
      <w:widowControl/>
      <w:tabs>
        <w:tab w:val="left" w:pos="4680"/>
      </w:tabs>
      <w:ind w:firstLine="480"/>
      <w:jc w:val="left"/>
    </w:pPr>
    <w:rPr>
      <w:rFonts w:ascii="宋体" w:hAnsi="宋体" w:cs="宋体"/>
      <w:bCs/>
      <w:color w:val="000000"/>
      <w:kern w:val="0"/>
      <w:szCs w:val="24"/>
    </w:rPr>
  </w:style>
  <w:style w:type="paragraph" w:customStyle="1" w:styleId="2117">
    <w:name w:val="燕山正文13"/>
    <w:basedOn w:val="1"/>
    <w:uiPriority w:val="0"/>
    <w:pPr>
      <w:widowControl/>
      <w:tabs>
        <w:tab w:val="left" w:pos="4680"/>
      </w:tabs>
      <w:ind w:firstLine="480"/>
      <w:jc w:val="left"/>
    </w:pPr>
    <w:rPr>
      <w:rFonts w:ascii="宋体" w:hAnsi="宋体" w:cs="宋体"/>
      <w:bCs/>
      <w:color w:val="000000"/>
      <w:kern w:val="0"/>
      <w:szCs w:val="24"/>
    </w:rPr>
  </w:style>
  <w:style w:type="paragraph" w:customStyle="1" w:styleId="2118">
    <w:name w:val="样式 正文缩进 + 宋体 黑色 首行缩进:  2 字符"/>
    <w:basedOn w:val="307"/>
    <w:uiPriority w:val="0"/>
    <w:pPr>
      <w:ind w:firstLine="480"/>
    </w:pPr>
    <w:rPr>
      <w:rFonts w:cs="宋体"/>
      <w:color w:val="FF00FF"/>
    </w:rPr>
  </w:style>
  <w:style w:type="paragraph" w:customStyle="1" w:styleId="2119">
    <w:name w:val="正文（缩进）"/>
    <w:basedOn w:val="1"/>
    <w:uiPriority w:val="0"/>
    <w:pPr>
      <w:widowControl/>
      <w:jc w:val="left"/>
    </w:pPr>
    <w:rPr>
      <w:rFonts w:ascii="宋体" w:hAnsi="宋体" w:cs="宋体"/>
      <w:snapToGrid w:val="0"/>
      <w:kern w:val="0"/>
      <w:szCs w:val="24"/>
    </w:rPr>
  </w:style>
  <w:style w:type="paragraph" w:customStyle="1" w:styleId="2120">
    <w:name w:val="表格文字中"/>
    <w:basedOn w:val="1"/>
    <w:next w:val="155"/>
    <w:uiPriority w:val="0"/>
    <w:pPr>
      <w:keepNext/>
      <w:widowControl/>
      <w:tabs>
        <w:tab w:val="left" w:pos="1727"/>
        <w:tab w:val="left" w:pos="1884"/>
      </w:tabs>
      <w:jc w:val="center"/>
    </w:pPr>
    <w:rPr>
      <w:rFonts w:ascii="宋体" w:hAnsi="宋体" w:cs="宋体"/>
      <w:kern w:val="0"/>
      <w:szCs w:val="24"/>
    </w:rPr>
  </w:style>
  <w:style w:type="paragraph" w:customStyle="1" w:styleId="2121">
    <w:name w:val="样式 仿宋_GB2312 小四1"/>
    <w:basedOn w:val="1"/>
    <w:uiPriority w:val="0"/>
    <w:pPr>
      <w:widowControl/>
      <w:ind w:firstLine="480"/>
      <w:jc w:val="left"/>
      <w:textAlignment w:val="baseline"/>
    </w:pPr>
    <w:rPr>
      <w:rFonts w:ascii="宋体" w:hAnsi="宋体" w:cs="宋体"/>
      <w:kern w:val="0"/>
      <w:szCs w:val="24"/>
    </w:rPr>
  </w:style>
  <w:style w:type="paragraph" w:customStyle="1" w:styleId="2122">
    <w:name w:val="表中文字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123">
    <w:name w:val="Char Char Char Char Char Char Char Char Char Char Char Char Char Char Char Char Char Char Char Char Char Char Char Char Char Char Char Char Char"/>
    <w:basedOn w:val="1"/>
    <w:uiPriority w:val="0"/>
    <w:pPr>
      <w:widowControl/>
      <w:jc w:val="left"/>
    </w:pPr>
    <w:rPr>
      <w:rFonts w:ascii="宋体" w:hAnsi="宋体" w:cs="宋体"/>
      <w:kern w:val="0"/>
      <w:szCs w:val="21"/>
    </w:rPr>
  </w:style>
  <w:style w:type="paragraph" w:customStyle="1" w:styleId="2124">
    <w:name w:val="2 Char Char Char Char Char Char Char Char Char Char"/>
    <w:basedOn w:val="1"/>
    <w:uiPriority w:val="0"/>
    <w:pPr>
      <w:widowControl/>
      <w:jc w:val="left"/>
    </w:pPr>
    <w:rPr>
      <w:rFonts w:ascii="宋体" w:hAnsi="宋体" w:cs="宋体"/>
      <w:kern w:val="0"/>
      <w:szCs w:val="24"/>
    </w:rPr>
  </w:style>
  <w:style w:type="paragraph" w:customStyle="1" w:styleId="2125">
    <w:name w:val="表居中（中文）"/>
    <w:basedOn w:val="1"/>
    <w:uiPriority w:val="0"/>
    <w:pPr>
      <w:widowControl/>
      <w:spacing w:line="380" w:lineRule="atLeast"/>
      <w:jc w:val="center"/>
      <w:textAlignment w:val="baseline"/>
    </w:pPr>
    <w:rPr>
      <w:rFonts w:ascii="宋体" w:hAnsi="宋体" w:eastAsia="楷体_GB2312" w:cs="宋体"/>
      <w:kern w:val="0"/>
      <w:szCs w:val="20"/>
    </w:rPr>
  </w:style>
  <w:style w:type="paragraph" w:customStyle="1" w:styleId="2126">
    <w:name w:val="表文字523"/>
    <w:basedOn w:val="1"/>
    <w:uiPriority w:val="0"/>
    <w:pPr>
      <w:widowControl/>
      <w:jc w:val="left"/>
      <w:textAlignment w:val="baseline"/>
    </w:pPr>
    <w:rPr>
      <w:rFonts w:ascii="宋体" w:hAnsi="宋体" w:cs="宋体"/>
      <w:kern w:val="0"/>
      <w:szCs w:val="20"/>
    </w:rPr>
  </w:style>
  <w:style w:type="paragraph" w:customStyle="1" w:styleId="2127">
    <w:name w:val="表题12"/>
    <w:basedOn w:val="19"/>
    <w:uiPriority w:val="0"/>
    <w:pPr>
      <w:widowControl/>
      <w:ind w:firstLine="0" w:firstLineChars="0"/>
      <w:jc w:val="center"/>
    </w:pPr>
    <w:rPr>
      <w:rFonts w:ascii="黑体" w:cs="Arial"/>
    </w:rPr>
  </w:style>
  <w:style w:type="paragraph" w:customStyle="1" w:styleId="2128">
    <w:name w:val="样式 仿宋_GB2312 小四 居中 行距: 固定值 20 磅"/>
    <w:basedOn w:val="1"/>
    <w:uiPriority w:val="0"/>
    <w:pPr>
      <w:widowControl/>
      <w:spacing w:line="400" w:lineRule="exact"/>
      <w:jc w:val="center"/>
    </w:pPr>
    <w:rPr>
      <w:rFonts w:ascii="仿宋_GB2312" w:hAnsi="宋体" w:cs="宋体"/>
      <w:kern w:val="0"/>
      <w:szCs w:val="20"/>
    </w:rPr>
  </w:style>
  <w:style w:type="paragraph" w:customStyle="1" w:styleId="2129">
    <w:name w:val="BBBBBBBBBB"/>
    <w:basedOn w:val="1"/>
    <w:uiPriority w:val="0"/>
    <w:pPr>
      <w:widowControl/>
      <w:spacing w:line="324" w:lineRule="auto"/>
      <w:jc w:val="center"/>
    </w:pPr>
    <w:rPr>
      <w:rFonts w:ascii="宋体" w:hAnsi="宋体" w:cs="宋体"/>
      <w:b/>
      <w:bCs/>
      <w:kern w:val="0"/>
      <w:szCs w:val="21"/>
    </w:rPr>
  </w:style>
  <w:style w:type="paragraph" w:customStyle="1" w:styleId="2130">
    <w:name w:val="样式123"/>
    <w:basedOn w:val="1779"/>
    <w:uiPriority w:val="0"/>
    <w:pPr>
      <w:spacing w:line="240" w:lineRule="auto"/>
      <w:ind w:firstLine="0"/>
      <w:jc w:val="center"/>
    </w:pPr>
    <w:rPr>
      <w:rFonts w:cs="Times New Roman"/>
      <w:b/>
      <w:color w:val="auto"/>
      <w:szCs w:val="20"/>
    </w:rPr>
  </w:style>
  <w:style w:type="paragraph" w:customStyle="1" w:styleId="2131">
    <w:name w:val="puce"/>
    <w:basedOn w:val="1"/>
    <w:uiPriority w:val="0"/>
    <w:pPr>
      <w:widowControl/>
      <w:tabs>
        <w:tab w:val="left" w:pos="780"/>
        <w:tab w:val="left" w:pos="1200"/>
      </w:tabs>
      <w:ind w:firstLine="480"/>
      <w:jc w:val="left"/>
    </w:pPr>
    <w:rPr>
      <w:rFonts w:ascii="Arial" w:hAnsi="Arial" w:cs="宋体"/>
      <w:snapToGrid w:val="0"/>
      <w:color w:val="FF00FF"/>
      <w:kern w:val="0"/>
      <w:szCs w:val="24"/>
    </w:rPr>
  </w:style>
  <w:style w:type="paragraph" w:customStyle="1" w:styleId="2132">
    <w:name w:val="样式 标题 3 + 段前: 12 磅1"/>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2133">
    <w:name w:val="Char Char Char Char Char Char Char Char Char"/>
    <w:basedOn w:val="1"/>
    <w:uiPriority w:val="0"/>
    <w:pPr>
      <w:widowControl/>
      <w:jc w:val="left"/>
    </w:pPr>
    <w:rPr>
      <w:rFonts w:ascii="宋体" w:hAnsi="宋体" w:cs="宋体"/>
      <w:kern w:val="0"/>
      <w:szCs w:val="24"/>
    </w:rPr>
  </w:style>
  <w:style w:type="paragraph" w:customStyle="1" w:styleId="2134">
    <w:name w:val="索引 61"/>
    <w:basedOn w:val="2"/>
    <w:next w:val="1"/>
    <w:uiPriority w:val="0"/>
    <w:pPr>
      <w:numPr>
        <w:numId w:val="0"/>
      </w:numPr>
      <w:tabs>
        <w:tab w:val="left" w:pos="432"/>
      </w:tabs>
      <w:adjustRightInd/>
      <w:snapToGrid/>
      <w:ind w:left="432" w:hanging="432"/>
    </w:pPr>
    <w:rPr>
      <w:szCs w:val="20"/>
      <w:lang w:val="zh-CN" w:eastAsia="zh-CN"/>
    </w:rPr>
  </w:style>
  <w:style w:type="paragraph" w:customStyle="1" w:styleId="2135">
    <w:name w:val="表内5412"/>
    <w:basedOn w:val="1"/>
    <w:uiPriority w:val="0"/>
    <w:pPr>
      <w:widowControl/>
      <w:spacing w:line="300" w:lineRule="auto"/>
      <w:jc w:val="center"/>
    </w:pPr>
    <w:rPr>
      <w:rFonts w:ascii="宋体" w:hAnsi="宋体" w:cs="宋体"/>
      <w:kern w:val="0"/>
      <w:szCs w:val="20"/>
    </w:rPr>
  </w:style>
  <w:style w:type="paragraph" w:customStyle="1" w:styleId="2136">
    <w:name w:val="AAAAAAAAAAAA"/>
    <w:basedOn w:val="1"/>
    <w:uiPriority w:val="0"/>
    <w:pPr>
      <w:widowControl/>
      <w:jc w:val="center"/>
    </w:pPr>
    <w:rPr>
      <w:rFonts w:ascii="宋体" w:hAnsi="宋体" w:cs="宋体"/>
      <w:bCs/>
      <w:kern w:val="0"/>
      <w:szCs w:val="21"/>
    </w:rPr>
  </w:style>
  <w:style w:type="paragraph" w:customStyle="1" w:styleId="2137">
    <w:name w:val="流程图"/>
    <w:basedOn w:val="1"/>
    <w:uiPriority w:val="0"/>
    <w:pPr>
      <w:widowControl/>
      <w:jc w:val="left"/>
    </w:pPr>
    <w:rPr>
      <w:rFonts w:ascii="宋体" w:hAnsi="宋体" w:cs="宋体"/>
      <w:kern w:val="0"/>
      <w:szCs w:val="18"/>
    </w:rPr>
  </w:style>
  <w:style w:type="paragraph" w:customStyle="1" w:styleId="2138">
    <w:name w:val="Char25"/>
    <w:basedOn w:val="1"/>
    <w:uiPriority w:val="0"/>
    <w:pPr>
      <w:widowControl/>
      <w:spacing w:before="156"/>
      <w:jc w:val="left"/>
    </w:pPr>
    <w:rPr>
      <w:rFonts w:ascii="黑体" w:hAnsi="宋体" w:eastAsia="黑体" w:cs="宋体"/>
      <w:kern w:val="0"/>
      <w:sz w:val="32"/>
      <w:szCs w:val="32"/>
    </w:rPr>
  </w:style>
  <w:style w:type="paragraph" w:customStyle="1" w:styleId="2139">
    <w:name w:val="Char Char Char Char Char Char Char Char Char Char Char1 Char Char Char Char Char Char"/>
    <w:basedOn w:val="1"/>
    <w:uiPriority w:val="0"/>
    <w:pPr>
      <w:widowControl/>
      <w:tabs>
        <w:tab w:val="left" w:pos="425"/>
      </w:tabs>
      <w:jc w:val="left"/>
    </w:pPr>
    <w:rPr>
      <w:rFonts w:ascii="宋体" w:hAnsi="宋体" w:cs="宋体"/>
      <w:kern w:val="0"/>
      <w:szCs w:val="24"/>
    </w:rPr>
  </w:style>
  <w:style w:type="paragraph" w:customStyle="1" w:styleId="2140">
    <w:name w:val="前言、引言标题"/>
    <w:next w:val="1"/>
    <w:uiPriority w:val="0"/>
    <w:pPr>
      <w:shd w:val="clear" w:color="FFFFFF" w:fill="FFFFFF"/>
      <w:tabs>
        <w:tab w:val="left" w:pos="903"/>
      </w:tabs>
      <w:spacing w:before="640" w:after="560"/>
      <w:ind w:left="903" w:hanging="315"/>
      <w:jc w:val="center"/>
      <w:outlineLvl w:val="0"/>
    </w:pPr>
    <w:rPr>
      <w:rFonts w:ascii="黑体" w:hAnsi="Times New Roman" w:eastAsia="黑体" w:cs="Times New Roman"/>
      <w:kern w:val="0"/>
      <w:sz w:val="32"/>
      <w:szCs w:val="20"/>
      <w:lang w:val="en-US" w:eastAsia="zh-CN" w:bidi="ar-SA"/>
    </w:rPr>
  </w:style>
  <w:style w:type="paragraph" w:customStyle="1" w:styleId="2141">
    <w:name w:val="燕山正文122"/>
    <w:basedOn w:val="1"/>
    <w:uiPriority w:val="0"/>
    <w:pPr>
      <w:widowControl/>
      <w:tabs>
        <w:tab w:val="left" w:pos="4680"/>
      </w:tabs>
      <w:spacing w:line="480" w:lineRule="exact"/>
      <w:jc w:val="left"/>
    </w:pPr>
    <w:rPr>
      <w:rFonts w:ascii="宋体" w:hAnsi="宋体" w:cs="宋体"/>
      <w:kern w:val="0"/>
      <w:szCs w:val="24"/>
    </w:rPr>
  </w:style>
  <w:style w:type="paragraph" w:customStyle="1" w:styleId="2142">
    <w:name w:val="列表编号 31"/>
    <w:basedOn w:val="1"/>
    <w:uiPriority w:val="0"/>
    <w:pPr>
      <w:widowControl/>
      <w:tabs>
        <w:tab w:val="left" w:pos="1200"/>
      </w:tabs>
      <w:ind w:left="1200" w:hanging="360"/>
      <w:jc w:val="left"/>
    </w:pPr>
    <w:rPr>
      <w:rFonts w:ascii="宋体" w:hAnsi="宋体" w:cs="宋体"/>
      <w:kern w:val="0"/>
      <w:szCs w:val="24"/>
    </w:rPr>
  </w:style>
  <w:style w:type="paragraph" w:customStyle="1" w:styleId="2143">
    <w:name w:val="样式 题注 + 首行缩进:  2 字符"/>
    <w:basedOn w:val="19"/>
    <w:uiPriority w:val="0"/>
    <w:pPr>
      <w:widowControl/>
      <w:spacing w:line="520" w:lineRule="exact"/>
      <w:ind w:firstLine="0" w:firstLineChars="0"/>
      <w:jc w:val="center"/>
    </w:pPr>
    <w:rPr>
      <w:rFonts w:cs="Arial"/>
    </w:rPr>
  </w:style>
  <w:style w:type="paragraph" w:customStyle="1" w:styleId="2144">
    <w:name w:val="表中文字2"/>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2145">
    <w:name w:val="小四表格"/>
    <w:basedOn w:val="1"/>
    <w:uiPriority w:val="0"/>
    <w:pPr>
      <w:keepNext/>
      <w:widowControl/>
      <w:autoSpaceDE w:val="0"/>
      <w:autoSpaceDN w:val="0"/>
      <w:spacing w:line="480" w:lineRule="atLeast"/>
      <w:jc w:val="center"/>
    </w:pPr>
    <w:rPr>
      <w:rFonts w:ascii="宋体" w:hAnsi="宋体" w:cs="宋体"/>
      <w:color w:val="000000"/>
      <w:kern w:val="0"/>
      <w:szCs w:val="20"/>
    </w:rPr>
  </w:style>
  <w:style w:type="paragraph" w:customStyle="1" w:styleId="2146">
    <w:name w:val="表内5中"/>
    <w:basedOn w:val="1"/>
    <w:uiPriority w:val="0"/>
    <w:pPr>
      <w:widowControl/>
      <w:jc w:val="center"/>
    </w:pPr>
    <w:rPr>
      <w:rFonts w:ascii="宋体" w:hAnsi="宋体" w:cs="Arial"/>
      <w:snapToGrid w:val="0"/>
      <w:color w:val="000000"/>
      <w:kern w:val="0"/>
      <w:szCs w:val="21"/>
    </w:rPr>
  </w:style>
  <w:style w:type="paragraph" w:customStyle="1" w:styleId="2147">
    <w:name w:val="默认段落字体 Para Char3"/>
    <w:basedOn w:val="1"/>
    <w:uiPriority w:val="0"/>
    <w:pPr>
      <w:widowControl/>
      <w:jc w:val="left"/>
    </w:pPr>
    <w:rPr>
      <w:rFonts w:ascii="宋体" w:hAnsi="宋体" w:cs="宋体"/>
      <w:kern w:val="0"/>
      <w:szCs w:val="24"/>
    </w:rPr>
  </w:style>
  <w:style w:type="paragraph" w:customStyle="1" w:styleId="2148">
    <w:name w:val="表内宋5中4"/>
    <w:basedOn w:val="1"/>
    <w:uiPriority w:val="0"/>
    <w:pPr>
      <w:widowControl/>
      <w:jc w:val="left"/>
      <w:textAlignment w:val="baseline"/>
    </w:pPr>
    <w:rPr>
      <w:rFonts w:ascii="宋体" w:hAnsi="宋体" w:cs="宋体"/>
      <w:color w:val="000000"/>
      <w:kern w:val="0"/>
      <w:szCs w:val="20"/>
    </w:rPr>
  </w:style>
  <w:style w:type="paragraph" w:customStyle="1" w:styleId="2149">
    <w:name w:val="表内文字小212"/>
    <w:basedOn w:val="1"/>
    <w:uiPriority w:val="0"/>
    <w:pPr>
      <w:widowControl/>
      <w:jc w:val="center"/>
    </w:pPr>
    <w:rPr>
      <w:rFonts w:ascii="宋体" w:hAnsi="Times" w:cs="宋体"/>
      <w:bCs/>
      <w:color w:val="000000"/>
      <w:kern w:val="0"/>
      <w:szCs w:val="20"/>
    </w:rPr>
  </w:style>
  <w:style w:type="paragraph" w:customStyle="1" w:styleId="2150">
    <w:name w:val="燕山正文3"/>
    <w:basedOn w:val="1"/>
    <w:uiPriority w:val="0"/>
    <w:pPr>
      <w:widowControl/>
      <w:tabs>
        <w:tab w:val="left" w:pos="4680"/>
      </w:tabs>
      <w:spacing w:line="480" w:lineRule="exact"/>
      <w:jc w:val="left"/>
    </w:pPr>
    <w:rPr>
      <w:rFonts w:ascii="宋体" w:hAnsi="宋体" w:cs="宋体"/>
      <w:kern w:val="0"/>
      <w:szCs w:val="24"/>
    </w:rPr>
  </w:style>
  <w:style w:type="paragraph" w:customStyle="1" w:styleId="2151">
    <w:name w:val="环评正文2"/>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2152">
    <w:name w:val="Char321"/>
    <w:basedOn w:val="1"/>
    <w:uiPriority w:val="0"/>
    <w:pPr>
      <w:widowControl/>
      <w:ind w:left="-48"/>
      <w:jc w:val="left"/>
    </w:pPr>
    <w:rPr>
      <w:rFonts w:ascii="宋体" w:hAnsi="宋体" w:cs="宋体"/>
      <w:kern w:val="0"/>
      <w:szCs w:val="24"/>
    </w:rPr>
  </w:style>
  <w:style w:type="paragraph" w:customStyle="1" w:styleId="2153">
    <w:name w:val="样式 标题 1标题 1宋旭峰标题1章节H1h11headingHeader 1st Pageh1 chapte..."/>
    <w:basedOn w:val="2"/>
    <w:uiPriority w:val="0"/>
    <w:pPr>
      <w:numPr>
        <w:numId w:val="0"/>
      </w:numPr>
      <w:spacing w:after="156"/>
      <w:jc w:val="left"/>
    </w:pPr>
    <w:rPr>
      <w:rFonts w:eastAsia="黑体"/>
      <w:kern w:val="0"/>
      <w:sz w:val="32"/>
      <w:szCs w:val="30"/>
      <w:lang w:val="zh-CN" w:eastAsia="zh-CN"/>
    </w:rPr>
  </w:style>
  <w:style w:type="paragraph" w:customStyle="1" w:styleId="2154">
    <w:name w:val="正文修改12"/>
    <w:basedOn w:val="236"/>
    <w:uiPriority w:val="0"/>
    <w:rPr>
      <w:rFonts w:hAnsi="宋体" w:eastAsia="宋体" w:cs="宋体"/>
      <w:color w:val="000000"/>
      <w:szCs w:val="24"/>
    </w:rPr>
  </w:style>
  <w:style w:type="paragraph" w:customStyle="1" w:styleId="2155">
    <w:name w:val="1级标题"/>
    <w:basedOn w:val="2"/>
    <w:uiPriority w:val="0"/>
    <w:pPr>
      <w:keepNext w:val="0"/>
      <w:keepLines w:val="0"/>
      <w:numPr>
        <w:numId w:val="0"/>
      </w:numPr>
      <w:jc w:val="left"/>
    </w:pPr>
    <w:rPr>
      <w:rFonts w:ascii="黑体" w:eastAsia="黑体"/>
      <w:b w:val="0"/>
      <w:sz w:val="32"/>
      <w:szCs w:val="30"/>
      <w:lang w:val="zh-CN" w:eastAsia="zh-CN"/>
    </w:rPr>
  </w:style>
  <w:style w:type="paragraph" w:customStyle="1" w:styleId="2156">
    <w:name w:val="条款"/>
    <w:basedOn w:val="1"/>
    <w:uiPriority w:val="0"/>
    <w:pPr>
      <w:widowControl/>
      <w:jc w:val="left"/>
    </w:pPr>
    <w:rPr>
      <w:rFonts w:ascii="宋体" w:hAnsi="宋体" w:cs="宋体"/>
      <w:kern w:val="0"/>
      <w:szCs w:val="20"/>
    </w:rPr>
  </w:style>
  <w:style w:type="paragraph" w:customStyle="1" w:styleId="2157">
    <w:name w:val="样式 标题 4 + 四号 段前: 1 行"/>
    <w:basedOn w:val="5"/>
    <w:uiPriority w:val="0"/>
    <w:pPr>
      <w:numPr>
        <w:ilvl w:val="0"/>
        <w:numId w:val="0"/>
      </w:numPr>
      <w:tabs>
        <w:tab w:val="left" w:pos="1680"/>
      </w:tabs>
      <w:spacing w:before="312" w:beforeLines="100" w:after="0" w:line="420" w:lineRule="exact"/>
      <w:ind w:left="560"/>
    </w:pPr>
    <w:rPr>
      <w:rFonts w:ascii="Arial" w:hAnsi="Arial" w:eastAsia="黑体" w:cs="Times New Roman"/>
      <w:b w:val="0"/>
      <w:bCs w:val="0"/>
      <w:szCs w:val="20"/>
    </w:rPr>
  </w:style>
  <w:style w:type="paragraph" w:customStyle="1" w:styleId="2158">
    <w:name w:val="Char Char Char Char Char Char Char Char Char 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2159">
    <w:name w:val="Char Char Char Char Char Char Char111"/>
    <w:basedOn w:val="1"/>
    <w:uiPriority w:val="0"/>
    <w:pPr>
      <w:widowControl/>
      <w:jc w:val="left"/>
    </w:pPr>
    <w:rPr>
      <w:rFonts w:ascii="宋体" w:hAnsi="宋体" w:cs="宋体"/>
      <w:kern w:val="0"/>
      <w:szCs w:val="24"/>
    </w:rPr>
  </w:style>
  <w:style w:type="paragraph" w:customStyle="1" w:styleId="2160">
    <w:name w:val="表内5311"/>
    <w:basedOn w:val="1"/>
    <w:uiPriority w:val="0"/>
    <w:pPr>
      <w:widowControl/>
      <w:spacing w:line="300" w:lineRule="auto"/>
      <w:jc w:val="left"/>
    </w:pPr>
    <w:rPr>
      <w:rFonts w:ascii="宋体" w:hAnsi="宋体" w:cs="宋体"/>
      <w:kern w:val="0"/>
      <w:szCs w:val="20"/>
    </w:rPr>
  </w:style>
  <w:style w:type="paragraph" w:customStyle="1" w:styleId="2161">
    <w:name w:val="表题41"/>
    <w:basedOn w:val="267"/>
    <w:uiPriority w:val="0"/>
    <w:pPr>
      <w:widowControl/>
      <w:tabs>
        <w:tab w:val="left" w:pos="4305"/>
      </w:tabs>
      <w:spacing w:after="0"/>
      <w:ind w:left="0" w:leftChars="0" w:firstLine="561" w:firstLineChars="0"/>
      <w:jc w:val="left"/>
    </w:pPr>
    <w:rPr>
      <w:rFonts w:ascii="宋体" w:hAnsi="宋体" w:cs="宋体"/>
      <w:color w:val="000000"/>
      <w:sz w:val="24"/>
      <w:szCs w:val="24"/>
    </w:rPr>
  </w:style>
  <w:style w:type="paragraph" w:customStyle="1" w:styleId="2162">
    <w:name w:val="Char71"/>
    <w:basedOn w:val="1"/>
    <w:uiPriority w:val="0"/>
    <w:pPr>
      <w:widowControl/>
      <w:ind w:left="-48"/>
      <w:jc w:val="left"/>
    </w:pPr>
    <w:rPr>
      <w:rFonts w:ascii="宋体" w:hAnsi="宋体" w:cs="宋体"/>
      <w:kern w:val="0"/>
      <w:szCs w:val="24"/>
    </w:rPr>
  </w:style>
  <w:style w:type="paragraph" w:customStyle="1" w:styleId="2163">
    <w:name w:val="图文字"/>
    <w:basedOn w:val="1"/>
    <w:uiPriority w:val="0"/>
    <w:pPr>
      <w:widowControl/>
      <w:spacing w:line="280" w:lineRule="exact"/>
      <w:jc w:val="center"/>
    </w:pPr>
    <w:rPr>
      <w:rFonts w:ascii="宋体" w:hAnsi="宋体" w:cs="宋体"/>
      <w:kern w:val="0"/>
      <w:szCs w:val="24"/>
    </w:rPr>
  </w:style>
  <w:style w:type="paragraph" w:customStyle="1" w:styleId="2164">
    <w:name w:val="Char Char Char Char Char Char Char2"/>
    <w:basedOn w:val="1"/>
    <w:uiPriority w:val="0"/>
    <w:pPr>
      <w:widowControl/>
      <w:jc w:val="left"/>
    </w:pPr>
    <w:rPr>
      <w:rFonts w:ascii="宋体" w:hAnsi="宋体" w:cs="宋体"/>
      <w:kern w:val="0"/>
      <w:szCs w:val="24"/>
    </w:rPr>
  </w:style>
  <w:style w:type="paragraph" w:customStyle="1" w:styleId="2165">
    <w:name w:val="表内式样"/>
    <w:uiPriority w:val="0"/>
    <w:pPr>
      <w:keepLines/>
      <w:widowControl w:val="0"/>
      <w:kinsoku w:val="0"/>
      <w:overflowPunct w:val="0"/>
      <w:adjustRightInd w:val="0"/>
      <w:spacing w:line="360" w:lineRule="atLeast"/>
      <w:jc w:val="center"/>
    </w:pPr>
    <w:rPr>
      <w:rFonts w:ascii="宋体" w:hAnsi="Times New Roman" w:eastAsia="宋体" w:cs="Times New Roman"/>
      <w:kern w:val="21"/>
      <w:sz w:val="21"/>
      <w:szCs w:val="20"/>
      <w:lang w:val="en-US" w:eastAsia="zh-CN" w:bidi="ar-SA"/>
    </w:rPr>
  </w:style>
  <w:style w:type="paragraph" w:customStyle="1" w:styleId="2166">
    <w:name w:val="样式 标题 3 + 五号 加粗 段前: 0 磅 段后: 0 磅 行距: 单倍行距"/>
    <w:basedOn w:val="4"/>
    <w:uiPriority w:val="0"/>
    <w:pPr>
      <w:widowControl/>
      <w:numPr>
        <w:ilvl w:val="0"/>
        <w:numId w:val="0"/>
      </w:numPr>
      <w:spacing w:line="240" w:lineRule="auto"/>
    </w:pPr>
    <w:rPr>
      <w:rFonts w:cs="宋体"/>
      <w:b w:val="0"/>
      <w:szCs w:val="21"/>
    </w:rPr>
  </w:style>
  <w:style w:type="paragraph" w:customStyle="1" w:styleId="2167">
    <w:name w:val="Char311"/>
    <w:basedOn w:val="1"/>
    <w:uiPriority w:val="0"/>
    <w:pPr>
      <w:widowControl/>
      <w:ind w:left="-48"/>
      <w:jc w:val="left"/>
    </w:pPr>
    <w:rPr>
      <w:rFonts w:ascii="宋体" w:hAnsi="宋体" w:cs="宋体"/>
      <w:kern w:val="0"/>
      <w:szCs w:val="24"/>
    </w:rPr>
  </w:style>
  <w:style w:type="paragraph" w:customStyle="1" w:styleId="2168">
    <w:name w:val="默认段落字体 Para Char Char Char Char6"/>
    <w:basedOn w:val="1"/>
    <w:uiPriority w:val="0"/>
    <w:pPr>
      <w:widowControl/>
      <w:jc w:val="left"/>
    </w:pPr>
    <w:rPr>
      <w:rFonts w:ascii="宋体" w:hAnsi="宋体" w:cs="宋体"/>
      <w:kern w:val="0"/>
      <w:szCs w:val="24"/>
    </w:rPr>
  </w:style>
  <w:style w:type="paragraph" w:customStyle="1" w:styleId="2169">
    <w:name w:val="附件22"/>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170">
    <w:name w:val="h"/>
    <w:basedOn w:val="1"/>
    <w:uiPriority w:val="0"/>
    <w:pPr>
      <w:widowControl/>
      <w:spacing w:before="60"/>
      <w:ind w:firstLine="482"/>
      <w:jc w:val="left"/>
    </w:pPr>
    <w:rPr>
      <w:rFonts w:ascii="Arial" w:hAnsi="Arial" w:cs="宋体"/>
      <w:kern w:val="0"/>
      <w:szCs w:val="20"/>
    </w:rPr>
  </w:style>
  <w:style w:type="paragraph" w:customStyle="1" w:styleId="2171">
    <w:name w:val="Char110"/>
    <w:basedOn w:val="1"/>
    <w:uiPriority w:val="0"/>
    <w:pPr>
      <w:widowControl/>
      <w:ind w:left="-48"/>
      <w:jc w:val="left"/>
    </w:pPr>
    <w:rPr>
      <w:rFonts w:ascii="宋体" w:hAnsi="宋体" w:cs="宋体"/>
      <w:kern w:val="0"/>
      <w:szCs w:val="24"/>
    </w:rPr>
  </w:style>
  <w:style w:type="paragraph" w:customStyle="1" w:styleId="2172">
    <w:name w:val="文-5"/>
    <w:basedOn w:val="1"/>
    <w:uiPriority w:val="0"/>
    <w:pPr>
      <w:widowControl/>
      <w:tabs>
        <w:tab w:val="right" w:leader="dot" w:pos="8789"/>
      </w:tabs>
      <w:spacing w:before="120"/>
      <w:ind w:left="1276" w:firstLine="482"/>
      <w:jc w:val="left"/>
    </w:pPr>
    <w:rPr>
      <w:rFonts w:ascii="宋体" w:hAnsi="宋体" w:cs="宋体"/>
      <w:kern w:val="0"/>
      <w:szCs w:val="20"/>
    </w:rPr>
  </w:style>
  <w:style w:type="paragraph" w:customStyle="1" w:styleId="2173">
    <w:name w:val="样式41"/>
    <w:basedOn w:val="27"/>
    <w:uiPriority w:val="0"/>
    <w:pPr>
      <w:widowControl/>
      <w:tabs>
        <w:tab w:val="left" w:pos="1820"/>
      </w:tabs>
      <w:spacing w:line="240" w:lineRule="atLeast"/>
      <w:jc w:val="center"/>
    </w:pPr>
    <w:rPr>
      <w:rFonts w:eastAsia="幼圆"/>
      <w:kern w:val="0"/>
      <w:sz w:val="21"/>
      <w:szCs w:val="20"/>
    </w:rPr>
  </w:style>
  <w:style w:type="paragraph" w:customStyle="1" w:styleId="2174">
    <w:name w:val="默认段落字体 Para Char Char Char Char Char Char"/>
    <w:basedOn w:val="1"/>
    <w:uiPriority w:val="0"/>
    <w:pPr>
      <w:widowControl/>
      <w:jc w:val="left"/>
    </w:pPr>
    <w:rPr>
      <w:rFonts w:ascii="宋体" w:hAnsi="宋体" w:cs="宋体"/>
      <w:kern w:val="0"/>
      <w:szCs w:val="24"/>
    </w:rPr>
  </w:style>
  <w:style w:type="paragraph" w:customStyle="1" w:styleId="2175">
    <w:name w:val="Char Char Char Char Char Char Char 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2176">
    <w:name w:val="Char22"/>
    <w:basedOn w:val="1"/>
    <w:uiPriority w:val="0"/>
    <w:pPr>
      <w:widowControl/>
      <w:jc w:val="left"/>
    </w:pPr>
    <w:rPr>
      <w:rFonts w:ascii="宋体" w:hAnsi="宋体" w:cs="宋体"/>
      <w:kern w:val="0"/>
      <w:szCs w:val="24"/>
    </w:rPr>
  </w:style>
  <w:style w:type="paragraph" w:customStyle="1" w:styleId="2177">
    <w:name w:val="燕山正文112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178">
    <w:name w:val="默认段落字体 Para Char31"/>
    <w:basedOn w:val="1"/>
    <w:uiPriority w:val="0"/>
    <w:pPr>
      <w:widowControl/>
      <w:jc w:val="left"/>
    </w:pPr>
    <w:rPr>
      <w:rFonts w:ascii="宋体" w:hAnsi="宋体" w:cs="宋体"/>
      <w:kern w:val="0"/>
      <w:szCs w:val="24"/>
    </w:rPr>
  </w:style>
  <w:style w:type="paragraph" w:customStyle="1" w:styleId="2179">
    <w:name w:val="表格标注"/>
    <w:basedOn w:val="2048"/>
    <w:uiPriority w:val="0"/>
    <w:pPr>
      <w:spacing w:before="62" w:beforeLines="20"/>
    </w:pPr>
  </w:style>
  <w:style w:type="paragraph" w:customStyle="1" w:styleId="2180">
    <w:name w:val="Fax Header11"/>
    <w:basedOn w:val="1"/>
    <w:uiPriority w:val="0"/>
    <w:pPr>
      <w:widowControl/>
      <w:spacing w:before="240" w:after="60"/>
      <w:jc w:val="left"/>
    </w:pPr>
    <w:rPr>
      <w:rFonts w:ascii="宋体" w:hAnsi="宋体" w:cs="宋体"/>
      <w:kern w:val="0"/>
      <w:sz w:val="20"/>
      <w:szCs w:val="20"/>
    </w:rPr>
  </w:style>
  <w:style w:type="paragraph" w:customStyle="1" w:styleId="2181">
    <w:name w:val="正文格式＝53"/>
    <w:basedOn w:val="207"/>
    <w:next w:val="207"/>
    <w:uiPriority w:val="0"/>
    <w:rPr>
      <w:rFonts w:hAnsi="宋体"/>
      <w:szCs w:val="24"/>
    </w:rPr>
  </w:style>
  <w:style w:type="paragraph" w:customStyle="1" w:styleId="2182">
    <w:name w:val="样式 五号 居中"/>
    <w:basedOn w:val="1"/>
    <w:uiPriority w:val="0"/>
    <w:pPr>
      <w:widowControl/>
      <w:jc w:val="center"/>
    </w:pPr>
    <w:rPr>
      <w:rFonts w:ascii="宋体" w:hAnsi="宋体" w:cs="宋体"/>
      <w:snapToGrid w:val="0"/>
      <w:kern w:val="0"/>
      <w:szCs w:val="21"/>
    </w:rPr>
  </w:style>
  <w:style w:type="paragraph" w:customStyle="1" w:styleId="2183">
    <w:name w:val="正文(黑体)"/>
    <w:basedOn w:val="1"/>
    <w:uiPriority w:val="0"/>
    <w:pPr>
      <w:widowControl/>
      <w:autoSpaceDE w:val="0"/>
      <w:autoSpaceDN w:val="0"/>
      <w:spacing w:line="288" w:lineRule="auto"/>
      <w:ind w:firstLine="482"/>
      <w:jc w:val="left"/>
      <w:textAlignment w:val="baseline"/>
    </w:pPr>
    <w:rPr>
      <w:rFonts w:ascii="黑体" w:hAnsi="宋体" w:cs="宋体"/>
      <w:kern w:val="0"/>
      <w:szCs w:val="20"/>
    </w:rPr>
  </w:style>
  <w:style w:type="paragraph" w:customStyle="1" w:styleId="2184">
    <w:name w:val="表字1"/>
    <w:basedOn w:val="1"/>
    <w:uiPriority w:val="0"/>
    <w:pPr>
      <w:widowControl/>
      <w:jc w:val="center"/>
      <w:textAlignment w:val="baseline"/>
    </w:pPr>
    <w:rPr>
      <w:rFonts w:ascii="宋体" w:hAnsi="宋体" w:cs="宋体"/>
      <w:kern w:val="0"/>
      <w:szCs w:val="20"/>
    </w:rPr>
  </w:style>
  <w:style w:type="paragraph" w:customStyle="1" w:styleId="2185">
    <w:name w:val="表内文字小21"/>
    <w:basedOn w:val="1"/>
    <w:uiPriority w:val="0"/>
    <w:pPr>
      <w:widowControl/>
      <w:jc w:val="center"/>
    </w:pPr>
    <w:rPr>
      <w:rFonts w:ascii="宋体" w:hAnsi="Times" w:cs="宋体"/>
      <w:bCs/>
      <w:color w:val="000000"/>
      <w:kern w:val="0"/>
      <w:szCs w:val="20"/>
    </w:rPr>
  </w:style>
  <w:style w:type="paragraph" w:customStyle="1" w:styleId="2186">
    <w:name w:val="正文格式＝1"/>
    <w:basedOn w:val="207"/>
    <w:next w:val="207"/>
    <w:uiPriority w:val="0"/>
    <w:rPr>
      <w:rFonts w:hAnsi="宋体"/>
      <w:szCs w:val="24"/>
    </w:rPr>
  </w:style>
  <w:style w:type="paragraph" w:customStyle="1" w:styleId="2187">
    <w:name w:val="正文缩1"/>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2188">
    <w:name w:val="图表名称2"/>
    <w:basedOn w:val="155"/>
    <w:uiPriority w:val="0"/>
    <w:pPr>
      <w:spacing w:after="0" w:line="480" w:lineRule="exact"/>
      <w:ind w:firstLine="0" w:firstLineChars="0"/>
      <w:jc w:val="center"/>
    </w:pPr>
    <w:rPr>
      <w:rFonts w:ascii="宋体" w:hAnsi="宋体"/>
      <w:bCs/>
      <w:szCs w:val="24"/>
    </w:rPr>
  </w:style>
  <w:style w:type="paragraph" w:customStyle="1" w:styleId="2189">
    <w:name w:val="正文样式1"/>
    <w:basedOn w:val="1"/>
    <w:uiPriority w:val="0"/>
    <w:pPr>
      <w:widowControl/>
      <w:spacing w:line="400" w:lineRule="atLeast"/>
      <w:ind w:firstLine="454"/>
      <w:jc w:val="left"/>
      <w:textAlignment w:val="baseline"/>
    </w:pPr>
    <w:rPr>
      <w:rFonts w:ascii="宋体" w:hAnsi="宋体" w:cs="宋体"/>
      <w:b/>
      <w:kern w:val="24"/>
      <w:szCs w:val="20"/>
    </w:rPr>
  </w:style>
  <w:style w:type="paragraph" w:customStyle="1" w:styleId="2190">
    <w:name w:val="表题92"/>
    <w:basedOn w:val="938"/>
    <w:uiPriority w:val="0"/>
    <w:pPr>
      <w:spacing w:line="300" w:lineRule="auto"/>
      <w:jc w:val="center"/>
    </w:pPr>
    <w:rPr>
      <w:rFonts w:ascii="黑体" w:eastAsia="黑体"/>
      <w:szCs w:val="22"/>
    </w:rPr>
  </w:style>
  <w:style w:type="paragraph" w:customStyle="1" w:styleId="2191">
    <w:name w:val="默认段落字体 Para Char Char Char1 Char Char"/>
    <w:basedOn w:val="1"/>
    <w:uiPriority w:val="0"/>
    <w:pPr>
      <w:widowControl/>
      <w:jc w:val="left"/>
    </w:pPr>
    <w:rPr>
      <w:rFonts w:ascii="宋体" w:hAnsi="宋体" w:cs="宋体"/>
      <w:kern w:val="0"/>
      <w:szCs w:val="24"/>
    </w:rPr>
  </w:style>
  <w:style w:type="paragraph" w:customStyle="1" w:styleId="2192">
    <w:name w:val="正文格式＝6"/>
    <w:basedOn w:val="207"/>
    <w:next w:val="207"/>
    <w:uiPriority w:val="0"/>
    <w:rPr>
      <w:rFonts w:hAnsi="宋体"/>
      <w:szCs w:val="24"/>
    </w:rPr>
  </w:style>
  <w:style w:type="paragraph" w:customStyle="1" w:styleId="2193">
    <w:name w:val="标题431"/>
    <w:basedOn w:val="1"/>
    <w:uiPriority w:val="0"/>
    <w:pPr>
      <w:widowControl/>
      <w:spacing w:line="480" w:lineRule="exact"/>
      <w:jc w:val="center"/>
    </w:pPr>
    <w:rPr>
      <w:rFonts w:ascii="宋体" w:hAnsi="宋体" w:cs="宋体"/>
      <w:kern w:val="0"/>
      <w:szCs w:val="24"/>
    </w:rPr>
  </w:style>
  <w:style w:type="paragraph" w:customStyle="1" w:styleId="2194">
    <w:name w:val="章标题"/>
    <w:next w:val="1"/>
    <w:uiPriority w:val="0"/>
    <w:pPr>
      <w:tabs>
        <w:tab w:val="left" w:pos="903"/>
        <w:tab w:val="left" w:pos="1400"/>
      </w:tabs>
      <w:spacing w:before="50" w:after="50"/>
      <w:ind w:left="903" w:hanging="315"/>
      <w:jc w:val="both"/>
      <w:outlineLvl w:val="1"/>
    </w:pPr>
    <w:rPr>
      <w:rFonts w:ascii="黑体" w:hAnsi="Times New Roman" w:eastAsia="黑体" w:cs="Times New Roman"/>
      <w:kern w:val="0"/>
      <w:sz w:val="21"/>
      <w:szCs w:val="20"/>
      <w:lang w:val="en-US" w:eastAsia="zh-CN" w:bidi="ar-SA"/>
    </w:rPr>
  </w:style>
  <w:style w:type="paragraph" w:customStyle="1" w:styleId="2195">
    <w:name w:val="表内文字小2131"/>
    <w:basedOn w:val="1"/>
    <w:uiPriority w:val="0"/>
    <w:pPr>
      <w:widowControl/>
      <w:jc w:val="center"/>
      <w:textAlignment w:val="baseline"/>
    </w:pPr>
    <w:rPr>
      <w:rFonts w:ascii="宋体" w:hAnsi="Times" w:cs="宋体"/>
      <w:bCs/>
      <w:color w:val="000000"/>
      <w:kern w:val="0"/>
      <w:szCs w:val="20"/>
    </w:rPr>
  </w:style>
  <w:style w:type="paragraph" w:customStyle="1" w:styleId="2196">
    <w:name w:val="表内文字小8"/>
    <w:basedOn w:val="1"/>
    <w:uiPriority w:val="0"/>
    <w:pPr>
      <w:widowControl/>
      <w:jc w:val="center"/>
    </w:pPr>
    <w:rPr>
      <w:rFonts w:ascii="宋体" w:hAnsi="Times" w:cs="宋体"/>
      <w:kern w:val="0"/>
      <w:szCs w:val="20"/>
    </w:rPr>
  </w:style>
  <w:style w:type="paragraph" w:customStyle="1" w:styleId="2197">
    <w:name w:val="Char1 Char Char Char Char Char"/>
    <w:basedOn w:val="1"/>
    <w:uiPriority w:val="0"/>
    <w:pPr>
      <w:widowControl/>
      <w:jc w:val="left"/>
    </w:pPr>
    <w:rPr>
      <w:rFonts w:ascii="宋体" w:hAnsi="宋体" w:cs="宋体"/>
      <w:kern w:val="0"/>
      <w:szCs w:val="21"/>
    </w:rPr>
  </w:style>
  <w:style w:type="paragraph" w:customStyle="1" w:styleId="2198">
    <w:name w:val="Char12"/>
    <w:basedOn w:val="1"/>
    <w:uiPriority w:val="0"/>
    <w:pPr>
      <w:widowControl/>
      <w:spacing w:before="156"/>
      <w:jc w:val="left"/>
    </w:pPr>
    <w:rPr>
      <w:rFonts w:ascii="黑体" w:hAnsi="宋体" w:eastAsia="黑体" w:cs="宋体"/>
      <w:kern w:val="0"/>
      <w:sz w:val="32"/>
      <w:szCs w:val="32"/>
    </w:rPr>
  </w:style>
  <w:style w:type="paragraph" w:customStyle="1" w:styleId="2199">
    <w:name w:val="正文修改22"/>
    <w:basedOn w:val="236"/>
    <w:uiPriority w:val="0"/>
    <w:rPr>
      <w:rFonts w:hAnsi="宋体" w:eastAsia="宋体" w:cs="宋体"/>
      <w:color w:val="000000"/>
      <w:szCs w:val="24"/>
    </w:rPr>
  </w:style>
  <w:style w:type="paragraph" w:customStyle="1" w:styleId="2200">
    <w:name w:val="样式 标题 2二级标题标题 lxb2标题21.1H2h2第一层条二级标题 Char单位名4.1SeHea..."/>
    <w:basedOn w:val="230"/>
    <w:next w:val="230"/>
    <w:uiPriority w:val="0"/>
    <w:pPr>
      <w:widowControl/>
      <w:ind w:firstLine="0" w:firstLineChars="0"/>
      <w:jc w:val="left"/>
    </w:pPr>
    <w:rPr>
      <w:rFonts w:eastAsia="黑体" w:cs="宋体"/>
      <w:b/>
      <w:szCs w:val="24"/>
    </w:rPr>
  </w:style>
  <w:style w:type="paragraph" w:customStyle="1" w:styleId="2201">
    <w:name w:val="段落"/>
    <w:basedOn w:val="1"/>
    <w:uiPriority w:val="0"/>
    <w:pPr>
      <w:widowControl/>
      <w:jc w:val="left"/>
    </w:pPr>
    <w:rPr>
      <w:rFonts w:ascii="宋体" w:hAnsi="宋体" w:cs="宋体"/>
      <w:kern w:val="0"/>
      <w:szCs w:val="24"/>
    </w:rPr>
  </w:style>
  <w:style w:type="paragraph" w:customStyle="1" w:styleId="2202">
    <w:name w:val="表题313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203">
    <w:name w:val="项目名称"/>
    <w:basedOn w:val="1"/>
    <w:next w:val="1"/>
    <w:uiPriority w:val="0"/>
    <w:pPr>
      <w:widowControl/>
      <w:spacing w:line="800" w:lineRule="atLeast"/>
      <w:jc w:val="center"/>
      <w:outlineLvl w:val="0"/>
    </w:pPr>
    <w:rPr>
      <w:rFonts w:ascii="黑体" w:hAnsi="宋体" w:eastAsia="黑体" w:cs="宋体"/>
      <w:kern w:val="0"/>
      <w:sz w:val="52"/>
      <w:szCs w:val="52"/>
    </w:rPr>
  </w:style>
  <w:style w:type="paragraph" w:customStyle="1" w:styleId="2204">
    <w:name w:val="Char Char Char Char Char Char Char221"/>
    <w:basedOn w:val="1"/>
    <w:uiPriority w:val="0"/>
    <w:pPr>
      <w:widowControl/>
      <w:jc w:val="left"/>
    </w:pPr>
    <w:rPr>
      <w:rFonts w:ascii="宋体" w:hAnsi="宋体" w:cs="宋体"/>
      <w:kern w:val="0"/>
      <w:szCs w:val="24"/>
    </w:rPr>
  </w:style>
  <w:style w:type="paragraph" w:customStyle="1" w:styleId="2205">
    <w:name w:val="Char4 Char Char Char Char Char Char1"/>
    <w:basedOn w:val="1"/>
    <w:uiPriority w:val="0"/>
    <w:pPr>
      <w:widowControl/>
      <w:jc w:val="left"/>
    </w:pPr>
    <w:rPr>
      <w:rFonts w:ascii="宋体" w:hAnsi="宋体" w:cs="宋体"/>
      <w:kern w:val="0"/>
      <w:szCs w:val="24"/>
    </w:rPr>
  </w:style>
  <w:style w:type="paragraph" w:customStyle="1" w:styleId="2206">
    <w:name w:val="小4黑居中行1"/>
    <w:uiPriority w:val="0"/>
    <w:pPr>
      <w:spacing w:line="360" w:lineRule="auto"/>
      <w:jc w:val="center"/>
    </w:pPr>
    <w:rPr>
      <w:rFonts w:ascii="Times New Roman" w:hAnsi="Times New Roman" w:eastAsia="宋体" w:cs="Times New Roman"/>
      <w:kern w:val="2"/>
      <w:sz w:val="21"/>
      <w:szCs w:val="21"/>
      <w:lang w:val="en-US" w:eastAsia="zh-CN" w:bidi="ar-SA"/>
    </w:rPr>
  </w:style>
  <w:style w:type="paragraph" w:customStyle="1" w:styleId="2207">
    <w:name w:val="条题"/>
    <w:basedOn w:val="1"/>
    <w:uiPriority w:val="0"/>
    <w:pPr>
      <w:widowControl/>
      <w:tabs>
        <w:tab w:val="left" w:pos="360"/>
      </w:tabs>
      <w:spacing w:line="420" w:lineRule="exact"/>
      <w:ind w:left="360" w:firstLine="560"/>
      <w:jc w:val="left"/>
    </w:pPr>
    <w:rPr>
      <w:rFonts w:ascii="宋体" w:hAnsi="宋体" w:cs="宋体"/>
      <w:kern w:val="0"/>
      <w:szCs w:val="24"/>
    </w:rPr>
  </w:style>
  <w:style w:type="paragraph" w:customStyle="1" w:styleId="2208">
    <w:name w:val="表格内字体5"/>
    <w:basedOn w:val="207"/>
    <w:next w:val="207"/>
    <w:uiPriority w:val="0"/>
    <w:pPr>
      <w:spacing w:line="240" w:lineRule="auto"/>
      <w:ind w:firstLine="0"/>
    </w:pPr>
    <w:rPr>
      <w:rFonts w:hAnsi="宋体"/>
      <w:sz w:val="21"/>
      <w:szCs w:val="24"/>
    </w:rPr>
  </w:style>
  <w:style w:type="paragraph" w:customStyle="1" w:styleId="2209">
    <w:name w:val="正文212"/>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2210">
    <w:name w:val="a1"/>
    <w:basedOn w:val="1"/>
    <w:uiPriority w:val="0"/>
    <w:pPr>
      <w:widowControl/>
      <w:spacing w:before="100" w:beforeAutospacing="1" w:after="100" w:afterAutospacing="1"/>
      <w:jc w:val="left"/>
    </w:pPr>
    <w:rPr>
      <w:rFonts w:ascii="宋体" w:hAnsi="宋体" w:cs="宋体"/>
      <w:kern w:val="0"/>
      <w:szCs w:val="24"/>
    </w:rPr>
  </w:style>
  <w:style w:type="paragraph" w:customStyle="1" w:styleId="2211">
    <w:name w:val="表题111"/>
    <w:basedOn w:val="19"/>
    <w:uiPriority w:val="0"/>
    <w:pPr>
      <w:widowControl/>
      <w:ind w:firstLine="0" w:firstLineChars="0"/>
      <w:jc w:val="center"/>
    </w:pPr>
    <w:rPr>
      <w:rFonts w:ascii="黑体" w:cs="Arial"/>
      <w:b/>
    </w:rPr>
  </w:style>
  <w:style w:type="paragraph" w:customStyle="1" w:styleId="2212">
    <w:name w:val="正文样式11"/>
    <w:basedOn w:val="1"/>
    <w:uiPriority w:val="0"/>
    <w:pPr>
      <w:widowControl/>
      <w:ind w:firstLine="480"/>
      <w:jc w:val="left"/>
    </w:pPr>
    <w:rPr>
      <w:rFonts w:ascii="宋体" w:hAnsi="宋体" w:cs="Arial"/>
      <w:bCs/>
      <w:color w:val="000000"/>
      <w:kern w:val="0"/>
      <w:szCs w:val="24"/>
    </w:rPr>
  </w:style>
  <w:style w:type="paragraph" w:customStyle="1" w:styleId="2213">
    <w:name w:val="默认段落字体 Para Char1"/>
    <w:basedOn w:val="1"/>
    <w:next w:val="1"/>
    <w:uiPriority w:val="0"/>
    <w:pPr>
      <w:widowControl/>
      <w:spacing w:line="480" w:lineRule="exact"/>
      <w:jc w:val="left"/>
    </w:pPr>
    <w:rPr>
      <w:rFonts w:ascii="宋体" w:hAnsi="宋体" w:eastAsia="汉鼎简书宋" w:cs="宋体"/>
      <w:kern w:val="0"/>
      <w:szCs w:val="24"/>
    </w:rPr>
  </w:style>
  <w:style w:type="paragraph" w:customStyle="1" w:styleId="2214">
    <w:name w:val="样式 标题 2标题21.1H2h2第一层条2Header 2nd PageA.B.C.h2 main head..."/>
    <w:basedOn w:val="3"/>
    <w:uiPriority w:val="0"/>
    <w:pPr>
      <w:numPr>
        <w:ilvl w:val="0"/>
        <w:numId w:val="0"/>
      </w:numPr>
      <w:spacing w:before="0" w:after="0" w:line="240" w:lineRule="auto"/>
    </w:pPr>
    <w:rPr>
      <w:rFonts w:eastAsia="黑体" w:cs="Times New Roman"/>
      <w:bCs w:val="0"/>
      <w:kern w:val="2"/>
      <w:sz w:val="30"/>
      <w:szCs w:val="30"/>
      <w:lang w:val="zh-CN" w:eastAsia="zh-CN"/>
    </w:rPr>
  </w:style>
  <w:style w:type="paragraph" w:customStyle="1" w:styleId="2215">
    <w:name w:val="谏壁标题2(chen）"/>
    <w:basedOn w:val="1"/>
    <w:uiPriority w:val="0"/>
    <w:pPr>
      <w:keepNext/>
      <w:keepLines/>
      <w:widowControl/>
      <w:spacing w:after="120"/>
      <w:jc w:val="left"/>
      <w:outlineLvl w:val="1"/>
    </w:pPr>
    <w:rPr>
      <w:rFonts w:ascii="宋体" w:hAnsi="宋体" w:eastAsia="黑体" w:cs="宋体"/>
      <w:kern w:val="0"/>
      <w:sz w:val="32"/>
      <w:szCs w:val="32"/>
    </w:rPr>
  </w:style>
  <w:style w:type="paragraph" w:customStyle="1" w:styleId="2216">
    <w:name w:val="样式19"/>
    <w:basedOn w:val="3"/>
    <w:uiPriority w:val="0"/>
    <w:pPr>
      <w:keepNext w:val="0"/>
      <w:keepLines w:val="0"/>
      <w:numPr>
        <w:ilvl w:val="0"/>
        <w:numId w:val="0"/>
      </w:numPr>
      <w:tabs>
        <w:tab w:val="left" w:pos="630"/>
        <w:tab w:val="left" w:pos="840"/>
        <w:tab w:val="left" w:pos="1287"/>
        <w:tab w:val="left" w:pos="3920"/>
        <w:tab w:val="left" w:pos="5670"/>
      </w:tabs>
      <w:spacing w:before="60" w:after="60" w:line="520" w:lineRule="exact"/>
      <w:ind w:firstLine="567"/>
    </w:pPr>
    <w:rPr>
      <w:rFonts w:eastAsia="华文行楷" w:cs="Times New Roman"/>
      <w:color w:val="000000"/>
      <w:sz w:val="30"/>
      <w:szCs w:val="30"/>
      <w:lang w:val="zh-CN" w:eastAsia="zh-CN"/>
    </w:rPr>
  </w:style>
  <w:style w:type="paragraph" w:customStyle="1" w:styleId="2217">
    <w:name w:val="我的样式（正文）"/>
    <w:basedOn w:val="1"/>
    <w:uiPriority w:val="0"/>
    <w:pPr>
      <w:widowControl/>
      <w:tabs>
        <w:tab w:val="left" w:pos="360"/>
      </w:tabs>
      <w:spacing w:line="440" w:lineRule="exact"/>
      <w:jc w:val="left"/>
    </w:pPr>
    <w:rPr>
      <w:rFonts w:ascii="宋体" w:hAnsi="宋体" w:cs="宋体"/>
      <w:kern w:val="0"/>
      <w:szCs w:val="20"/>
    </w:rPr>
  </w:style>
  <w:style w:type="paragraph" w:customStyle="1" w:styleId="2218">
    <w:name w:val="正文格式2"/>
    <w:basedOn w:val="1"/>
    <w:uiPriority w:val="0"/>
    <w:pPr>
      <w:widowControl/>
      <w:ind w:firstLine="482"/>
      <w:jc w:val="left"/>
    </w:pPr>
    <w:rPr>
      <w:rFonts w:ascii="宋体" w:hAnsi="宋体" w:cs="宋体"/>
      <w:kern w:val="0"/>
      <w:szCs w:val="24"/>
    </w:rPr>
  </w:style>
  <w:style w:type="paragraph" w:customStyle="1" w:styleId="2219">
    <w:name w:val="正文格式6"/>
    <w:basedOn w:val="1"/>
    <w:uiPriority w:val="0"/>
    <w:pPr>
      <w:widowControl/>
      <w:ind w:firstLine="482"/>
      <w:jc w:val="left"/>
    </w:pPr>
    <w:rPr>
      <w:rFonts w:ascii="宋体" w:hAnsi="宋体" w:cs="宋体"/>
      <w:kern w:val="0"/>
      <w:szCs w:val="24"/>
    </w:rPr>
  </w:style>
  <w:style w:type="paragraph" w:customStyle="1" w:styleId="2220">
    <w:name w:val="表格内字体23"/>
    <w:basedOn w:val="207"/>
    <w:next w:val="207"/>
    <w:uiPriority w:val="0"/>
    <w:pPr>
      <w:spacing w:line="240" w:lineRule="auto"/>
      <w:ind w:firstLine="0"/>
      <w:jc w:val="center"/>
    </w:pPr>
    <w:rPr>
      <w:rFonts w:hAnsi="宋体"/>
      <w:sz w:val="21"/>
      <w:szCs w:val="24"/>
    </w:rPr>
  </w:style>
  <w:style w:type="paragraph" w:customStyle="1" w:styleId="2221">
    <w:name w:val="Char3 Char Char Char Char Char Char Char Char"/>
    <w:basedOn w:val="1"/>
    <w:uiPriority w:val="0"/>
    <w:pPr>
      <w:widowControl/>
      <w:spacing w:line="340" w:lineRule="exact"/>
      <w:ind w:firstLine="10" w:firstLineChars="4"/>
      <w:jc w:val="left"/>
    </w:pPr>
    <w:rPr>
      <w:rFonts w:ascii="宋体" w:hAnsi="宋体" w:cs="宋体"/>
      <w:kern w:val="0"/>
      <w:szCs w:val="28"/>
    </w:rPr>
  </w:style>
  <w:style w:type="paragraph" w:customStyle="1" w:styleId="2222">
    <w:name w:val="默认段落字体 Para Char41"/>
    <w:basedOn w:val="1"/>
    <w:next w:val="1"/>
    <w:uiPriority w:val="0"/>
    <w:pPr>
      <w:widowControl/>
      <w:spacing w:line="480" w:lineRule="exact"/>
      <w:jc w:val="left"/>
    </w:pPr>
    <w:rPr>
      <w:rFonts w:ascii="宋体" w:hAnsi="宋体" w:eastAsia="汉鼎简书宋" w:cs="宋体"/>
      <w:kern w:val="0"/>
      <w:szCs w:val="24"/>
    </w:rPr>
  </w:style>
  <w:style w:type="paragraph" w:customStyle="1" w:styleId="2223">
    <w:name w:val="Char Char2 Char Char Char Char1"/>
    <w:basedOn w:val="1"/>
    <w:uiPriority w:val="0"/>
    <w:pPr>
      <w:widowControl/>
      <w:jc w:val="left"/>
    </w:pPr>
    <w:rPr>
      <w:rFonts w:ascii="宋体" w:hAnsi="宋体" w:cs="宋体"/>
      <w:kern w:val="0"/>
      <w:szCs w:val="24"/>
    </w:rPr>
  </w:style>
  <w:style w:type="paragraph" w:customStyle="1" w:styleId="2224">
    <w:name w:val="Char Char Char Char4"/>
    <w:basedOn w:val="1"/>
    <w:uiPriority w:val="0"/>
    <w:pPr>
      <w:widowControl/>
      <w:jc w:val="left"/>
    </w:pPr>
    <w:rPr>
      <w:rFonts w:ascii="宋体" w:hAnsi="宋体" w:cs="宋体"/>
      <w:kern w:val="0"/>
      <w:szCs w:val="24"/>
    </w:rPr>
  </w:style>
  <w:style w:type="paragraph" w:customStyle="1" w:styleId="2225">
    <w:name w:val="表中文字7"/>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226">
    <w:name w:val="Char Char Char Char Char Char Char151"/>
    <w:basedOn w:val="1"/>
    <w:uiPriority w:val="0"/>
    <w:pPr>
      <w:widowControl/>
      <w:jc w:val="left"/>
    </w:pPr>
    <w:rPr>
      <w:rFonts w:ascii="宋体" w:hAnsi="宋体" w:cs="宋体"/>
      <w:kern w:val="0"/>
      <w:szCs w:val="20"/>
    </w:rPr>
  </w:style>
  <w:style w:type="paragraph" w:customStyle="1" w:styleId="2227">
    <w:name w:val="表1"/>
    <w:basedOn w:val="1"/>
    <w:uiPriority w:val="0"/>
    <w:pPr>
      <w:widowControl/>
      <w:jc w:val="center"/>
    </w:pPr>
    <w:rPr>
      <w:rFonts w:ascii="宋体" w:hAnsi="宋体" w:cs="宋体"/>
      <w:kern w:val="0"/>
      <w:szCs w:val="24"/>
    </w:rPr>
  </w:style>
  <w:style w:type="paragraph" w:customStyle="1" w:styleId="2228">
    <w:name w:val="文本框五号"/>
    <w:uiPriority w:val="0"/>
    <w:pPr>
      <w:adjustRightInd w:val="0"/>
      <w:spacing w:line="240" w:lineRule="atLeast"/>
      <w:jc w:val="center"/>
    </w:pPr>
    <w:rPr>
      <w:rFonts w:ascii="Times New Roman" w:hAnsi="Times New Roman" w:eastAsia="仿宋_GB2312" w:cs="Times New Roman"/>
      <w:snapToGrid w:val="0"/>
      <w:kern w:val="2"/>
      <w:sz w:val="21"/>
      <w:szCs w:val="21"/>
      <w:lang w:val="en-US" w:eastAsia="zh-CN" w:bidi="ar-SA"/>
    </w:rPr>
  </w:style>
  <w:style w:type="paragraph" w:customStyle="1" w:styleId="2229">
    <w:name w:val="表格中"/>
    <w:basedOn w:val="1"/>
    <w:uiPriority w:val="0"/>
    <w:pPr>
      <w:widowControl/>
      <w:spacing w:line="280" w:lineRule="exact"/>
      <w:jc w:val="center"/>
    </w:pPr>
    <w:rPr>
      <w:rFonts w:ascii="宋体" w:hAnsi="宋体" w:cs="宋体"/>
      <w:kern w:val="0"/>
      <w:sz w:val="18"/>
      <w:szCs w:val="24"/>
    </w:rPr>
  </w:style>
  <w:style w:type="paragraph" w:customStyle="1" w:styleId="2230">
    <w:name w:val="列表编号 21"/>
    <w:basedOn w:val="1"/>
    <w:uiPriority w:val="0"/>
    <w:pPr>
      <w:widowControl/>
      <w:tabs>
        <w:tab w:val="left" w:pos="780"/>
      </w:tabs>
      <w:ind w:left="780" w:hanging="360"/>
      <w:jc w:val="left"/>
    </w:pPr>
    <w:rPr>
      <w:rFonts w:ascii="宋体" w:hAnsi="宋体" w:cs="宋体"/>
      <w:kern w:val="0"/>
      <w:szCs w:val="24"/>
    </w:rPr>
  </w:style>
  <w:style w:type="paragraph" w:customStyle="1" w:styleId="2231">
    <w:name w:val="样式 小四 加粗 行距: 1.5 倍行距"/>
    <w:basedOn w:val="1"/>
    <w:uiPriority w:val="0"/>
    <w:pPr>
      <w:widowControl/>
      <w:jc w:val="left"/>
    </w:pPr>
    <w:rPr>
      <w:rFonts w:ascii="宋体" w:hAnsi="宋体" w:cs="宋体"/>
      <w:b/>
      <w:bCs/>
      <w:kern w:val="0"/>
      <w:szCs w:val="20"/>
    </w:rPr>
  </w:style>
  <w:style w:type="paragraph" w:customStyle="1" w:styleId="2232">
    <w:name w:val="2级标题"/>
    <w:basedOn w:val="3"/>
    <w:uiPriority w:val="0"/>
    <w:pPr>
      <w:keepNext w:val="0"/>
      <w:keepLines w:val="0"/>
      <w:numPr>
        <w:ilvl w:val="0"/>
        <w:numId w:val="0"/>
      </w:numPr>
      <w:tabs>
        <w:tab w:val="left" w:pos="3564"/>
      </w:tabs>
      <w:spacing w:before="50" w:after="0" w:line="240" w:lineRule="auto"/>
    </w:pPr>
    <w:rPr>
      <w:rFonts w:ascii="黑体" w:hAnsi="Arial" w:eastAsia="黑体" w:cs="Times New Roman"/>
      <w:b w:val="0"/>
      <w:bCs w:val="0"/>
      <w:snapToGrid w:val="0"/>
      <w:sz w:val="30"/>
      <w:szCs w:val="28"/>
      <w:lang w:val="zh-CN" w:eastAsia="zh-CN"/>
    </w:rPr>
  </w:style>
  <w:style w:type="paragraph" w:customStyle="1" w:styleId="2233">
    <w:name w:val="Char Char Char Char Char Char Char Char Char2"/>
    <w:basedOn w:val="1"/>
    <w:uiPriority w:val="0"/>
    <w:pPr>
      <w:widowControl/>
      <w:jc w:val="left"/>
    </w:pPr>
    <w:rPr>
      <w:rFonts w:ascii="宋体" w:hAnsi="宋体" w:cs="宋体"/>
      <w:kern w:val="0"/>
      <w:szCs w:val="24"/>
    </w:rPr>
  </w:style>
  <w:style w:type="paragraph" w:customStyle="1" w:styleId="2234">
    <w:name w:val="Char Char Char Char Char Char Char1"/>
    <w:basedOn w:val="1"/>
    <w:uiPriority w:val="0"/>
    <w:pPr>
      <w:widowControl/>
      <w:jc w:val="left"/>
    </w:pPr>
    <w:rPr>
      <w:rFonts w:ascii="宋体" w:hAnsi="宋体" w:cs="宋体"/>
      <w:kern w:val="0"/>
      <w:szCs w:val="24"/>
    </w:rPr>
  </w:style>
  <w:style w:type="paragraph" w:customStyle="1" w:styleId="2235">
    <w:name w:val="表内5313"/>
    <w:basedOn w:val="1"/>
    <w:qFormat/>
    <w:uiPriority w:val="0"/>
    <w:pPr>
      <w:widowControl/>
      <w:spacing w:line="300" w:lineRule="auto"/>
      <w:jc w:val="left"/>
    </w:pPr>
    <w:rPr>
      <w:rFonts w:ascii="宋体" w:hAnsi="宋体" w:cs="宋体"/>
      <w:kern w:val="0"/>
      <w:szCs w:val="20"/>
    </w:rPr>
  </w:style>
  <w:style w:type="paragraph" w:customStyle="1" w:styleId="2236">
    <w:name w:val="图题43"/>
    <w:basedOn w:val="207"/>
    <w:next w:val="207"/>
    <w:uiPriority w:val="0"/>
    <w:pPr>
      <w:ind w:firstLine="0"/>
      <w:jc w:val="center"/>
    </w:pPr>
    <w:rPr>
      <w:rFonts w:ascii="黑体" w:hAnsi="宋体" w:eastAsia="黑体" w:cs="宋体"/>
      <w:b/>
      <w:bCs/>
      <w:szCs w:val="24"/>
    </w:rPr>
  </w:style>
  <w:style w:type="paragraph" w:customStyle="1" w:styleId="2237">
    <w:name w:val="样式 首行缩进:  0.77 厘米 行距: 1.5 倍行距"/>
    <w:basedOn w:val="1"/>
    <w:uiPriority w:val="0"/>
    <w:pPr>
      <w:widowControl/>
      <w:ind w:firstLine="435"/>
      <w:jc w:val="left"/>
    </w:pPr>
    <w:rPr>
      <w:rFonts w:ascii="宋体" w:hAnsi="宋体" w:cs="宋体"/>
      <w:snapToGrid w:val="0"/>
      <w:kern w:val="0"/>
      <w:szCs w:val="24"/>
    </w:rPr>
  </w:style>
  <w:style w:type="paragraph" w:customStyle="1" w:styleId="2238">
    <w:name w:val="正文格式3"/>
    <w:basedOn w:val="1"/>
    <w:uiPriority w:val="0"/>
    <w:pPr>
      <w:widowControl/>
      <w:ind w:firstLine="482"/>
      <w:jc w:val="left"/>
    </w:pPr>
    <w:rPr>
      <w:rFonts w:ascii="宋体" w:hAnsi="宋体" w:cs="宋体"/>
      <w:kern w:val="0"/>
      <w:szCs w:val="24"/>
    </w:rPr>
  </w:style>
  <w:style w:type="paragraph" w:customStyle="1" w:styleId="2239">
    <w:name w:val="Char Char Char Char Char Char Char Char Char Char Char Char Char Char Char Char Char1 Char1"/>
    <w:basedOn w:val="1"/>
    <w:uiPriority w:val="0"/>
    <w:pPr>
      <w:widowControl/>
      <w:jc w:val="left"/>
    </w:pPr>
    <w:rPr>
      <w:rFonts w:ascii="宋体" w:hAnsi="宋体" w:cs="宋体"/>
      <w:kern w:val="0"/>
      <w:szCs w:val="24"/>
    </w:rPr>
  </w:style>
  <w:style w:type="paragraph" w:customStyle="1" w:styleId="2240">
    <w:name w:val="样式 正文缩进正文（首行缩进两字）正文（首行缩进两字） Char Char Char Char Char Char Char..."/>
    <w:basedOn w:val="307"/>
    <w:uiPriority w:val="0"/>
    <w:pPr>
      <w:tabs>
        <w:tab w:val="left" w:pos="3360"/>
      </w:tabs>
      <w:ind w:firstLine="480"/>
      <w:textAlignment w:val="baseline"/>
    </w:pPr>
    <w:rPr>
      <w:rFonts w:ascii="楷体_GB2312" w:hAnsi="Calibri" w:eastAsia="楷体_GB2312"/>
      <w:snapToGrid w:val="0"/>
    </w:rPr>
  </w:style>
  <w:style w:type="paragraph" w:customStyle="1" w:styleId="2241">
    <w:name w:val="Char Char Char Char2"/>
    <w:basedOn w:val="1"/>
    <w:uiPriority w:val="0"/>
    <w:pPr>
      <w:widowControl/>
      <w:jc w:val="left"/>
    </w:pPr>
    <w:rPr>
      <w:rFonts w:ascii="仿宋_GB2312" w:hAnsi="宋体" w:cs="宋体"/>
      <w:kern w:val="24"/>
      <w:szCs w:val="20"/>
    </w:rPr>
  </w:style>
  <w:style w:type="paragraph" w:customStyle="1" w:styleId="2242">
    <w:name w:val="表格内字体12"/>
    <w:basedOn w:val="207"/>
    <w:next w:val="207"/>
    <w:uiPriority w:val="0"/>
    <w:pPr>
      <w:spacing w:line="240" w:lineRule="auto"/>
      <w:ind w:firstLine="0"/>
      <w:jc w:val="center"/>
    </w:pPr>
    <w:rPr>
      <w:rFonts w:hAnsi="宋体"/>
      <w:sz w:val="21"/>
      <w:szCs w:val="24"/>
    </w:rPr>
  </w:style>
  <w:style w:type="paragraph" w:customStyle="1" w:styleId="2243">
    <w:name w:val="Char11"/>
    <w:basedOn w:val="1"/>
    <w:uiPriority w:val="0"/>
    <w:pPr>
      <w:widowControl/>
      <w:jc w:val="left"/>
    </w:pPr>
    <w:rPr>
      <w:rFonts w:ascii="宋体" w:hAnsi="宋体" w:cs="宋体"/>
      <w:kern w:val="0"/>
      <w:szCs w:val="24"/>
    </w:rPr>
  </w:style>
  <w:style w:type="paragraph" w:customStyle="1" w:styleId="2244">
    <w:name w:val="表格（大）"/>
    <w:basedOn w:val="1"/>
    <w:uiPriority w:val="0"/>
    <w:pPr>
      <w:widowControl/>
      <w:spacing w:line="360" w:lineRule="exact"/>
      <w:jc w:val="center"/>
    </w:pPr>
    <w:rPr>
      <w:rFonts w:ascii="宋体" w:hAnsi="宋体" w:cs="宋体"/>
      <w:kern w:val="0"/>
      <w:szCs w:val="24"/>
    </w:rPr>
  </w:style>
  <w:style w:type="paragraph" w:customStyle="1" w:styleId="2245">
    <w:name w:val="公式样式1"/>
    <w:basedOn w:val="1"/>
    <w:uiPriority w:val="0"/>
    <w:pPr>
      <w:widowControl/>
      <w:jc w:val="center"/>
    </w:pPr>
    <w:rPr>
      <w:rFonts w:ascii="仿宋_GB2312" w:hAnsi="宋体" w:cs="宋体"/>
      <w:kern w:val="0"/>
      <w:szCs w:val="24"/>
    </w:rPr>
  </w:style>
  <w:style w:type="paragraph" w:customStyle="1" w:styleId="2246">
    <w:name w:val="样式 正文(首行缩进) + 8 磅 加粗 首行缩进:  2 字符1"/>
    <w:basedOn w:val="1"/>
    <w:uiPriority w:val="0"/>
    <w:pPr>
      <w:widowControl/>
      <w:jc w:val="left"/>
    </w:pPr>
    <w:rPr>
      <w:rFonts w:ascii="宋体" w:hAnsi="宋体" w:cs="宋体"/>
      <w:b/>
      <w:bCs/>
      <w:snapToGrid w:val="0"/>
      <w:kern w:val="0"/>
      <w:sz w:val="16"/>
      <w:szCs w:val="20"/>
    </w:rPr>
  </w:style>
  <w:style w:type="paragraph" w:customStyle="1" w:styleId="2247">
    <w:name w:val="正文王"/>
    <w:basedOn w:val="938"/>
    <w:uiPriority w:val="0"/>
    <w:pPr>
      <w:spacing w:line="440" w:lineRule="exact"/>
    </w:pPr>
    <w:rPr>
      <w:rFonts w:ascii="Arial" w:hAnsi="Arial"/>
      <w:snapToGrid w:val="0"/>
      <w:kern w:val="0"/>
      <w:szCs w:val="22"/>
    </w:rPr>
  </w:style>
  <w:style w:type="paragraph" w:customStyle="1" w:styleId="2248">
    <w:name w:val="Char Char Char Char Char Char Char Char1 Char Char Char Char Char Char Char Char Char Char Char Char1"/>
    <w:basedOn w:val="1"/>
    <w:uiPriority w:val="0"/>
    <w:pPr>
      <w:widowControl/>
      <w:jc w:val="left"/>
    </w:pPr>
    <w:rPr>
      <w:rFonts w:ascii="宋体" w:hAnsi="宋体" w:cs="宋体"/>
      <w:kern w:val="0"/>
      <w:szCs w:val="24"/>
    </w:rPr>
  </w:style>
  <w:style w:type="paragraph" w:customStyle="1" w:styleId="2249">
    <w:name w:val="标题43121"/>
    <w:basedOn w:val="1"/>
    <w:uiPriority w:val="0"/>
    <w:pPr>
      <w:widowControl/>
      <w:spacing w:line="480" w:lineRule="exact"/>
      <w:jc w:val="center"/>
    </w:pPr>
    <w:rPr>
      <w:rFonts w:ascii="宋体" w:hAnsi="宋体" w:cs="宋体"/>
      <w:kern w:val="0"/>
      <w:szCs w:val="24"/>
    </w:rPr>
  </w:style>
  <w:style w:type="paragraph" w:customStyle="1" w:styleId="2250">
    <w:name w:val="正文仿宋"/>
    <w:basedOn w:val="1"/>
    <w:uiPriority w:val="0"/>
    <w:pPr>
      <w:widowControl/>
      <w:ind w:firstLine="567"/>
      <w:jc w:val="left"/>
    </w:pPr>
    <w:rPr>
      <w:rFonts w:ascii="宋体" w:hAnsi="宋体" w:cs="宋体"/>
      <w:snapToGrid w:val="0"/>
      <w:kern w:val="0"/>
      <w:szCs w:val="20"/>
    </w:rPr>
  </w:style>
  <w:style w:type="paragraph" w:customStyle="1" w:styleId="2251">
    <w:name w:val="表题31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252">
    <w:name w:val="Char52"/>
    <w:basedOn w:val="1"/>
    <w:uiPriority w:val="0"/>
    <w:pPr>
      <w:widowControl/>
      <w:ind w:left="-45"/>
      <w:jc w:val="left"/>
    </w:pPr>
    <w:rPr>
      <w:rFonts w:ascii="宋体" w:hAnsi="宋体" w:cs="宋体"/>
      <w:kern w:val="0"/>
      <w:szCs w:val="24"/>
    </w:rPr>
  </w:style>
  <w:style w:type="paragraph" w:customStyle="1" w:styleId="2253">
    <w:name w:val="谏壁标题4(chen)"/>
    <w:basedOn w:val="1"/>
    <w:uiPriority w:val="0"/>
    <w:pPr>
      <w:widowControl/>
      <w:spacing w:before="156"/>
      <w:jc w:val="left"/>
      <w:outlineLvl w:val="3"/>
    </w:pPr>
    <w:rPr>
      <w:rFonts w:ascii="宋体" w:hAnsi="宋体" w:eastAsia="楷体_GB2312" w:cs="宋体"/>
      <w:kern w:val="0"/>
      <w:szCs w:val="24"/>
    </w:rPr>
  </w:style>
  <w:style w:type="paragraph" w:customStyle="1" w:styleId="2254">
    <w:name w:val="表格内字体13"/>
    <w:basedOn w:val="207"/>
    <w:next w:val="207"/>
    <w:uiPriority w:val="0"/>
    <w:pPr>
      <w:spacing w:line="240" w:lineRule="auto"/>
      <w:ind w:firstLine="0"/>
      <w:jc w:val="center"/>
    </w:pPr>
    <w:rPr>
      <w:rFonts w:hAnsi="宋体"/>
      <w:sz w:val="21"/>
      <w:szCs w:val="24"/>
    </w:rPr>
  </w:style>
  <w:style w:type="paragraph" w:customStyle="1" w:styleId="2255">
    <w:name w:val="Char Char Char Char Char Char Char Char Char Char Char Char Char Char Char Char Char1"/>
    <w:basedOn w:val="1"/>
    <w:uiPriority w:val="0"/>
    <w:pPr>
      <w:widowControl/>
      <w:jc w:val="left"/>
    </w:pPr>
    <w:rPr>
      <w:rFonts w:ascii="宋体" w:hAnsi="宋体" w:cs="宋体"/>
      <w:kern w:val="0"/>
      <w:szCs w:val="24"/>
    </w:rPr>
  </w:style>
  <w:style w:type="paragraph" w:customStyle="1" w:styleId="2256">
    <w:name w:val="表内531"/>
    <w:basedOn w:val="1"/>
    <w:uiPriority w:val="0"/>
    <w:pPr>
      <w:widowControl/>
      <w:spacing w:line="300" w:lineRule="auto"/>
      <w:jc w:val="left"/>
    </w:pPr>
    <w:rPr>
      <w:rFonts w:ascii="宋体" w:hAnsi="宋体" w:cs="宋体"/>
      <w:kern w:val="0"/>
      <w:szCs w:val="20"/>
    </w:rPr>
  </w:style>
  <w:style w:type="paragraph" w:customStyle="1" w:styleId="2257">
    <w:name w:val="表内541"/>
    <w:basedOn w:val="1"/>
    <w:uiPriority w:val="0"/>
    <w:pPr>
      <w:widowControl/>
      <w:spacing w:line="300" w:lineRule="auto"/>
      <w:jc w:val="center"/>
    </w:pPr>
    <w:rPr>
      <w:rFonts w:ascii="宋体" w:hAnsi="宋体" w:cs="宋体"/>
      <w:kern w:val="0"/>
      <w:szCs w:val="20"/>
    </w:rPr>
  </w:style>
  <w:style w:type="paragraph" w:customStyle="1" w:styleId="2258">
    <w:name w:val="默认段落字体 Para Char Char Char Char41"/>
    <w:basedOn w:val="1"/>
    <w:uiPriority w:val="0"/>
    <w:pPr>
      <w:widowControl/>
      <w:jc w:val="left"/>
    </w:pPr>
    <w:rPr>
      <w:rFonts w:ascii="宋体" w:hAnsi="宋体" w:cs="宋体"/>
      <w:kern w:val="0"/>
      <w:szCs w:val="24"/>
    </w:rPr>
  </w:style>
  <w:style w:type="paragraph" w:customStyle="1" w:styleId="2259">
    <w:name w:val="燕山正文11"/>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260">
    <w:name w:val="表内5中2"/>
    <w:basedOn w:val="1"/>
    <w:uiPriority w:val="0"/>
    <w:pPr>
      <w:widowControl/>
      <w:jc w:val="center"/>
    </w:pPr>
    <w:rPr>
      <w:rFonts w:ascii="宋体" w:hAnsi="宋体" w:cs="Arial"/>
      <w:snapToGrid w:val="0"/>
      <w:color w:val="000000"/>
      <w:kern w:val="0"/>
      <w:szCs w:val="21"/>
    </w:rPr>
  </w:style>
  <w:style w:type="paragraph" w:customStyle="1" w:styleId="2261">
    <w:name w:val="font0"/>
    <w:basedOn w:val="1"/>
    <w:uiPriority w:val="0"/>
    <w:pPr>
      <w:widowControl/>
      <w:spacing w:before="100" w:beforeAutospacing="1" w:after="100" w:afterAutospacing="1"/>
      <w:jc w:val="left"/>
    </w:pPr>
    <w:rPr>
      <w:rFonts w:hint="eastAsia" w:ascii="宋体" w:hAnsi="宋体" w:cs="Arial Unicode MS"/>
      <w:kern w:val="0"/>
      <w:szCs w:val="24"/>
    </w:rPr>
  </w:style>
  <w:style w:type="paragraph" w:customStyle="1" w:styleId="2262">
    <w:name w:val="标题4311"/>
    <w:basedOn w:val="1"/>
    <w:uiPriority w:val="0"/>
    <w:pPr>
      <w:widowControl/>
      <w:spacing w:line="480" w:lineRule="exact"/>
      <w:jc w:val="center"/>
    </w:pPr>
    <w:rPr>
      <w:rFonts w:ascii="宋体" w:hAnsi="宋体" w:cs="宋体"/>
      <w:kern w:val="0"/>
      <w:szCs w:val="24"/>
    </w:rPr>
  </w:style>
  <w:style w:type="paragraph" w:customStyle="1" w:styleId="2263">
    <w:name w:val="表2"/>
    <w:basedOn w:val="1"/>
    <w:uiPriority w:val="0"/>
    <w:pPr>
      <w:widowControl/>
      <w:jc w:val="center"/>
    </w:pPr>
    <w:rPr>
      <w:rFonts w:ascii="宋体" w:hAnsi="宋体" w:cs="宋体"/>
      <w:kern w:val="0"/>
      <w:szCs w:val="24"/>
    </w:rPr>
  </w:style>
  <w:style w:type="paragraph" w:customStyle="1" w:styleId="2264">
    <w:name w:val="样式 图表 + 首行缩进:  2 字符1"/>
    <w:basedOn w:val="1"/>
    <w:uiPriority w:val="0"/>
    <w:pPr>
      <w:widowControl/>
      <w:spacing w:before="62" w:beforeLines="20" w:after="62" w:afterLines="20"/>
      <w:ind w:left="-102" w:leftChars="-50" w:right="-105" w:rightChars="-50" w:hanging="3"/>
      <w:jc w:val="center"/>
    </w:pPr>
    <w:rPr>
      <w:rFonts w:ascii="宋体" w:hAnsi="宋体" w:cs="宋体"/>
      <w:color w:val="000000"/>
      <w:kern w:val="0"/>
      <w:szCs w:val="24"/>
    </w:rPr>
  </w:style>
  <w:style w:type="paragraph" w:customStyle="1" w:styleId="2265">
    <w:name w:val="右五"/>
    <w:basedOn w:val="2266"/>
    <w:next w:val="1"/>
    <w:uiPriority w:val="0"/>
    <w:pPr>
      <w:jc w:val="right"/>
    </w:pPr>
  </w:style>
  <w:style w:type="paragraph" w:customStyle="1" w:styleId="2266">
    <w:name w:val="左五"/>
    <w:basedOn w:val="1"/>
    <w:uiPriority w:val="0"/>
    <w:pPr>
      <w:widowControl/>
      <w:spacing w:line="280" w:lineRule="exact"/>
      <w:jc w:val="left"/>
    </w:pPr>
    <w:rPr>
      <w:rFonts w:ascii="宋体" w:hAnsi="Symusic" w:cs="宋体"/>
      <w:color w:val="000000"/>
      <w:kern w:val="0"/>
      <w:sz w:val="18"/>
      <w:szCs w:val="24"/>
    </w:rPr>
  </w:style>
  <w:style w:type="paragraph" w:customStyle="1" w:styleId="2267">
    <w:name w:val="表题151"/>
    <w:basedOn w:val="19"/>
    <w:uiPriority w:val="0"/>
    <w:pPr>
      <w:widowControl/>
      <w:ind w:firstLine="0" w:firstLineChars="0"/>
      <w:jc w:val="center"/>
    </w:pPr>
    <w:rPr>
      <w:rFonts w:ascii="黑体" w:cs="Arial"/>
      <w:b/>
    </w:rPr>
  </w:style>
  <w:style w:type="paragraph" w:customStyle="1" w:styleId="2268">
    <w:name w:val="表左"/>
    <w:basedOn w:val="1"/>
    <w:uiPriority w:val="0"/>
    <w:pPr>
      <w:widowControl/>
      <w:spacing w:line="280" w:lineRule="exact"/>
      <w:jc w:val="left"/>
    </w:pPr>
    <w:rPr>
      <w:rFonts w:ascii="宋体" w:hAnsi="宋体" w:cs="宋体"/>
      <w:color w:val="000000"/>
      <w:kern w:val="0"/>
      <w:sz w:val="18"/>
      <w:szCs w:val="24"/>
    </w:rPr>
  </w:style>
  <w:style w:type="paragraph" w:customStyle="1" w:styleId="2269">
    <w:name w:val="引言"/>
    <w:basedOn w:val="1"/>
    <w:next w:val="1"/>
    <w:uiPriority w:val="0"/>
    <w:pPr>
      <w:widowControl/>
      <w:jc w:val="center"/>
    </w:pPr>
    <w:rPr>
      <w:rFonts w:ascii="仿宋_GB2312" w:hAnsi="宋体" w:cs="宋体"/>
      <w:color w:val="000000"/>
      <w:kern w:val="0"/>
      <w:szCs w:val="24"/>
    </w:rPr>
  </w:style>
  <w:style w:type="paragraph" w:customStyle="1" w:styleId="2270">
    <w:name w:val="附件"/>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2271">
    <w:name w:val="附件2"/>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272">
    <w:name w:val="Char Char Char Char Char Char Char Char Char Char Char"/>
    <w:basedOn w:val="1"/>
    <w:uiPriority w:val="0"/>
    <w:pPr>
      <w:widowControl/>
      <w:jc w:val="left"/>
    </w:pPr>
    <w:rPr>
      <w:rFonts w:ascii="宋体" w:hAnsi="宋体" w:cs="宋体"/>
      <w:kern w:val="0"/>
      <w:szCs w:val="24"/>
    </w:rPr>
  </w:style>
  <w:style w:type="paragraph" w:customStyle="1" w:styleId="2273">
    <w:name w:val="样式 标题 2 + 段后: 0.5 行"/>
    <w:basedOn w:val="3"/>
    <w:uiPriority w:val="0"/>
    <w:pPr>
      <w:keepNext w:val="0"/>
      <w:keepLines w:val="0"/>
      <w:numPr>
        <w:ilvl w:val="0"/>
        <w:numId w:val="0"/>
      </w:numPr>
      <w:tabs>
        <w:tab w:val="left" w:pos="630"/>
        <w:tab w:val="left" w:pos="840"/>
        <w:tab w:val="left" w:pos="1287"/>
        <w:tab w:val="left" w:pos="3920"/>
        <w:tab w:val="left" w:pos="5670"/>
      </w:tabs>
      <w:spacing w:before="60" w:after="0" w:line="240" w:lineRule="auto"/>
      <w:ind w:firstLine="567"/>
    </w:pPr>
    <w:rPr>
      <w:rFonts w:cs="Times New Roman"/>
      <w:bCs w:val="0"/>
      <w:color w:val="000000"/>
      <w:kern w:val="2"/>
      <w:sz w:val="30"/>
      <w:lang w:val="zh-CN" w:eastAsia="zh-CN"/>
    </w:rPr>
  </w:style>
  <w:style w:type="paragraph" w:customStyle="1" w:styleId="2274">
    <w:name w:val="二级无标题条"/>
    <w:basedOn w:val="1"/>
    <w:uiPriority w:val="0"/>
    <w:pPr>
      <w:widowControl/>
      <w:jc w:val="left"/>
    </w:pPr>
    <w:rPr>
      <w:rFonts w:ascii="宋体" w:hAnsi="宋体" w:cs="宋体"/>
      <w:kern w:val="0"/>
      <w:szCs w:val="24"/>
    </w:rPr>
  </w:style>
  <w:style w:type="paragraph" w:customStyle="1" w:styleId="2275">
    <w:name w:val="样式122"/>
    <w:basedOn w:val="1779"/>
    <w:uiPriority w:val="0"/>
    <w:pPr>
      <w:spacing w:line="240" w:lineRule="auto"/>
      <w:ind w:firstLine="0"/>
      <w:jc w:val="center"/>
    </w:pPr>
    <w:rPr>
      <w:rFonts w:cs="Times New Roman"/>
      <w:b/>
      <w:color w:val="auto"/>
      <w:szCs w:val="20"/>
    </w:rPr>
  </w:style>
  <w:style w:type="paragraph" w:customStyle="1" w:styleId="2276">
    <w:name w:val="Char Char Char Char Char Char Char Char Char Char Char1 Char Char Char Char Char Char2"/>
    <w:basedOn w:val="1"/>
    <w:uiPriority w:val="0"/>
    <w:pPr>
      <w:widowControl/>
      <w:jc w:val="left"/>
    </w:pPr>
    <w:rPr>
      <w:rFonts w:ascii="宋体" w:hAnsi="宋体" w:cs="宋体"/>
      <w:kern w:val="0"/>
      <w:szCs w:val="24"/>
    </w:rPr>
  </w:style>
  <w:style w:type="paragraph" w:customStyle="1" w:styleId="2277">
    <w:name w:val="T正文"/>
    <w:uiPriority w:val="0"/>
    <w:pPr>
      <w:widowControl w:val="0"/>
      <w:adjustRightInd w:val="0"/>
      <w:snapToGrid w:val="0"/>
      <w:spacing w:line="360" w:lineRule="auto"/>
      <w:ind w:firstLine="200" w:firstLineChars="200"/>
      <w:jc w:val="both"/>
    </w:pPr>
    <w:rPr>
      <w:rFonts w:ascii="Times New Roman" w:hAnsi="Times New Roman" w:eastAsia="仿宋_GB2312" w:cs="Times New Roman"/>
      <w:kern w:val="0"/>
      <w:sz w:val="28"/>
      <w:szCs w:val="20"/>
      <w:lang w:val="en-US" w:eastAsia="zh-CN" w:bidi="ar-SA"/>
    </w:rPr>
  </w:style>
  <w:style w:type="paragraph" w:customStyle="1" w:styleId="2278">
    <w:name w:val="正文格式1"/>
    <w:basedOn w:val="1"/>
    <w:uiPriority w:val="0"/>
    <w:pPr>
      <w:widowControl/>
      <w:ind w:firstLine="482"/>
      <w:jc w:val="left"/>
    </w:pPr>
    <w:rPr>
      <w:rFonts w:ascii="宋体" w:hAnsi="宋体" w:cs="宋体"/>
      <w:kern w:val="0"/>
      <w:szCs w:val="24"/>
    </w:rPr>
  </w:style>
  <w:style w:type="paragraph" w:customStyle="1" w:styleId="2279">
    <w:name w:val="图题3"/>
    <w:basedOn w:val="207"/>
    <w:next w:val="207"/>
    <w:uiPriority w:val="0"/>
    <w:pPr>
      <w:ind w:firstLine="0"/>
      <w:jc w:val="center"/>
    </w:pPr>
    <w:rPr>
      <w:rFonts w:ascii="黑体" w:hAnsi="宋体" w:eastAsia="黑体" w:cs="宋体"/>
      <w:b/>
      <w:bCs/>
      <w:szCs w:val="24"/>
    </w:rPr>
  </w:style>
  <w:style w:type="paragraph" w:customStyle="1" w:styleId="2280">
    <w:name w:val="黑体三号5"/>
    <w:basedOn w:val="207"/>
    <w:uiPriority w:val="0"/>
    <w:pPr>
      <w:jc w:val="center"/>
    </w:pPr>
    <w:rPr>
      <w:rFonts w:ascii="黑体" w:hAnsi="宋体" w:eastAsia="黑体" w:cs="宋体"/>
      <w:b/>
      <w:bCs/>
      <w:sz w:val="32"/>
      <w:szCs w:val="20"/>
    </w:rPr>
  </w:style>
  <w:style w:type="paragraph" w:customStyle="1" w:styleId="2281">
    <w:name w:val="Char Char Char1 Char Char Char Char"/>
    <w:basedOn w:val="1"/>
    <w:next w:val="1"/>
    <w:uiPriority w:val="0"/>
    <w:pPr>
      <w:widowControl/>
      <w:jc w:val="left"/>
    </w:pPr>
    <w:rPr>
      <w:rFonts w:ascii="宋体" w:hAnsi="宋体" w:eastAsia="汉鼎简书宋" w:cs="宋体"/>
      <w:kern w:val="0"/>
      <w:szCs w:val="24"/>
    </w:rPr>
  </w:style>
  <w:style w:type="paragraph" w:customStyle="1" w:styleId="2282">
    <w:name w:val="表内文字小211"/>
    <w:basedOn w:val="1"/>
    <w:uiPriority w:val="0"/>
    <w:pPr>
      <w:widowControl/>
      <w:jc w:val="center"/>
    </w:pPr>
    <w:rPr>
      <w:rFonts w:ascii="宋体" w:hAnsi="Times" w:cs="宋体"/>
      <w:bCs/>
      <w:color w:val="000000"/>
      <w:kern w:val="0"/>
      <w:szCs w:val="20"/>
    </w:rPr>
  </w:style>
  <w:style w:type="paragraph" w:customStyle="1" w:styleId="2283">
    <w:name w:val="表内文字小313"/>
    <w:basedOn w:val="1"/>
    <w:uiPriority w:val="0"/>
    <w:pPr>
      <w:widowControl/>
      <w:jc w:val="center"/>
    </w:pPr>
    <w:rPr>
      <w:rFonts w:ascii="宋体" w:hAnsi="Times" w:cs="宋体"/>
      <w:bCs/>
      <w:color w:val="003366"/>
      <w:kern w:val="0"/>
      <w:szCs w:val="20"/>
    </w:rPr>
  </w:style>
  <w:style w:type="paragraph" w:customStyle="1" w:styleId="2284">
    <w:name w:val="正文仿宋小四"/>
    <w:basedOn w:val="1"/>
    <w:uiPriority w:val="0"/>
    <w:pPr>
      <w:widowControl/>
      <w:ind w:firstLine="480"/>
      <w:jc w:val="left"/>
    </w:pPr>
    <w:rPr>
      <w:rFonts w:ascii="宋体" w:hAnsi="宋体" w:cs="宋体"/>
      <w:kern w:val="0"/>
      <w:szCs w:val="24"/>
    </w:rPr>
  </w:style>
  <w:style w:type="paragraph" w:customStyle="1" w:styleId="2285">
    <w:name w:val="表内文字小"/>
    <w:basedOn w:val="1"/>
    <w:uiPriority w:val="0"/>
    <w:pPr>
      <w:widowControl/>
      <w:jc w:val="center"/>
    </w:pPr>
    <w:rPr>
      <w:rFonts w:ascii="宋体" w:hAnsi="Times" w:cs="宋体"/>
      <w:kern w:val="0"/>
      <w:szCs w:val="20"/>
    </w:rPr>
  </w:style>
  <w:style w:type="paragraph" w:customStyle="1" w:styleId="2286">
    <w:name w:val="表中文字41"/>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2287">
    <w:name w:val="Char4"/>
    <w:basedOn w:val="1"/>
    <w:uiPriority w:val="0"/>
    <w:pPr>
      <w:widowControl/>
      <w:jc w:val="left"/>
    </w:pPr>
    <w:rPr>
      <w:rFonts w:ascii="宋体" w:hAnsi="宋体" w:cs="宋体"/>
      <w:kern w:val="0"/>
      <w:szCs w:val="24"/>
    </w:rPr>
  </w:style>
  <w:style w:type="paragraph" w:customStyle="1" w:styleId="2288">
    <w:name w:val="标题41"/>
    <w:basedOn w:val="5"/>
    <w:next w:val="1"/>
    <w:uiPriority w:val="0"/>
    <w:pPr>
      <w:numPr>
        <w:ilvl w:val="0"/>
        <w:numId w:val="0"/>
      </w:numPr>
      <w:spacing w:before="160" w:after="170" w:line="360" w:lineRule="auto"/>
    </w:pPr>
    <w:rPr>
      <w:rFonts w:ascii="黑体" w:hAnsi="Arial" w:eastAsia="黑体" w:cs="Times New Roman"/>
      <w:sz w:val="24"/>
    </w:rPr>
  </w:style>
  <w:style w:type="paragraph" w:customStyle="1" w:styleId="2289">
    <w:name w:val="Char Char Char Char Char Char1"/>
    <w:basedOn w:val="1"/>
    <w:uiPriority w:val="0"/>
    <w:pPr>
      <w:widowControl/>
      <w:jc w:val="left"/>
    </w:pPr>
    <w:rPr>
      <w:rFonts w:ascii="宋体" w:hAnsi="宋体" w:cs="宋体"/>
      <w:kern w:val="0"/>
      <w:szCs w:val="24"/>
    </w:rPr>
  </w:style>
  <w:style w:type="paragraph" w:customStyle="1" w:styleId="2290">
    <w:name w:val="正文修改1"/>
    <w:basedOn w:val="236"/>
    <w:uiPriority w:val="0"/>
    <w:rPr>
      <w:rFonts w:hAnsi="宋体" w:eastAsia="宋体" w:cs="宋体"/>
      <w:color w:val="000000"/>
      <w:szCs w:val="24"/>
    </w:rPr>
  </w:style>
  <w:style w:type="paragraph" w:customStyle="1" w:styleId="2291">
    <w:name w:val="char"/>
    <w:basedOn w:val="1"/>
    <w:uiPriority w:val="0"/>
    <w:pPr>
      <w:widowControl/>
      <w:spacing w:after="160" w:line="240" w:lineRule="exact"/>
      <w:jc w:val="left"/>
    </w:pPr>
    <w:rPr>
      <w:rFonts w:ascii="Verdana" w:hAnsi="Verdana" w:cs="”“Times New Roman”“"/>
      <w:kern w:val="0"/>
      <w:szCs w:val="20"/>
      <w:lang w:eastAsia="en-US"/>
    </w:rPr>
  </w:style>
  <w:style w:type="paragraph" w:customStyle="1" w:styleId="2292">
    <w:name w:val="表内宋5中11"/>
    <w:basedOn w:val="1"/>
    <w:uiPriority w:val="0"/>
    <w:pPr>
      <w:widowControl/>
      <w:jc w:val="center"/>
      <w:textAlignment w:val="baseline"/>
    </w:pPr>
    <w:rPr>
      <w:rFonts w:ascii="宋体" w:hAnsi="宋体" w:cs="宋体"/>
      <w:kern w:val="0"/>
      <w:szCs w:val="20"/>
    </w:rPr>
  </w:style>
  <w:style w:type="paragraph" w:customStyle="1" w:styleId="2293">
    <w:name w:val="表题311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294">
    <w:name w:val="表内文字边2"/>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2295">
    <w:name w:val="样式 左侧:  -0.16 厘米1"/>
    <w:basedOn w:val="1"/>
    <w:uiPriority w:val="0"/>
    <w:pPr>
      <w:widowControl/>
      <w:ind w:left="-90"/>
      <w:jc w:val="left"/>
    </w:pPr>
    <w:rPr>
      <w:rFonts w:ascii="宋体" w:hAnsi="宋体" w:cs="宋体"/>
      <w:snapToGrid w:val="0"/>
      <w:kern w:val="0"/>
      <w:szCs w:val="24"/>
    </w:rPr>
  </w:style>
  <w:style w:type="paragraph" w:customStyle="1" w:styleId="2296">
    <w:name w:val="附件41"/>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2297">
    <w:name w:val="图框"/>
    <w:basedOn w:val="1"/>
    <w:uiPriority w:val="0"/>
    <w:pPr>
      <w:widowControl/>
      <w:jc w:val="center"/>
    </w:pPr>
    <w:rPr>
      <w:rFonts w:ascii="宋体" w:hAnsi="宋体" w:cs="宋体"/>
      <w:kern w:val="0"/>
      <w:szCs w:val="21"/>
    </w:rPr>
  </w:style>
  <w:style w:type="paragraph" w:customStyle="1" w:styleId="2298">
    <w:name w:val="Char Char Char1 Char Char Char Char Char Char Char Char Char Char"/>
    <w:basedOn w:val="1"/>
    <w:uiPriority w:val="0"/>
    <w:pPr>
      <w:widowControl/>
      <w:jc w:val="left"/>
    </w:pPr>
    <w:rPr>
      <w:rFonts w:ascii="宋体" w:hAnsi="宋体" w:cs="宋体"/>
      <w:kern w:val="0"/>
      <w:szCs w:val="24"/>
    </w:rPr>
  </w:style>
  <w:style w:type="paragraph" w:customStyle="1" w:styleId="2299">
    <w:name w:val="样式 标题 4 + 黑色 左侧:  -0.01 厘米 首行缩进:  0.01 厘米"/>
    <w:basedOn w:val="5"/>
    <w:uiPriority w:val="0"/>
    <w:pPr>
      <w:numPr>
        <w:ilvl w:val="0"/>
        <w:numId w:val="0"/>
      </w:numPr>
      <w:tabs>
        <w:tab w:val="left" w:pos="1080"/>
      </w:tabs>
      <w:spacing w:after="0" w:line="324" w:lineRule="auto"/>
      <w:ind w:left="864" w:hanging="864"/>
    </w:pPr>
    <w:rPr>
      <w:rFonts w:ascii="仿宋_GB2312" w:hAnsi="Arial" w:cs="宋体"/>
      <w:b w:val="0"/>
      <w:bCs w:val="0"/>
      <w:kern w:val="2"/>
      <w:szCs w:val="20"/>
      <w:lang w:val="zh-CN"/>
    </w:rPr>
  </w:style>
  <w:style w:type="paragraph" w:customStyle="1" w:styleId="2300">
    <w:name w:val="Char Char Char Char Char Char Char Char Char Char Char1 Char Char Char Char Char Char11"/>
    <w:basedOn w:val="1"/>
    <w:uiPriority w:val="0"/>
    <w:pPr>
      <w:widowControl/>
      <w:jc w:val="left"/>
    </w:pPr>
    <w:rPr>
      <w:rFonts w:ascii="宋体" w:hAnsi="宋体" w:cs="宋体"/>
      <w:kern w:val="0"/>
      <w:szCs w:val="24"/>
    </w:rPr>
  </w:style>
  <w:style w:type="paragraph" w:customStyle="1" w:styleId="2301">
    <w:name w:val="Content"/>
    <w:basedOn w:val="1"/>
    <w:uiPriority w:val="0"/>
    <w:pPr>
      <w:widowControl/>
      <w:tabs>
        <w:tab w:val="left" w:pos="9480"/>
        <w:tab w:val="left" w:pos="9600"/>
      </w:tabs>
      <w:spacing w:before="120" w:after="120" w:line="240" w:lineRule="atLeast"/>
      <w:jc w:val="center"/>
    </w:pPr>
    <w:rPr>
      <w:rFonts w:ascii="Arial" w:hAnsi="Arial" w:cs="宋体"/>
      <w:b/>
      <w:kern w:val="0"/>
      <w:szCs w:val="20"/>
    </w:rPr>
  </w:style>
  <w:style w:type="paragraph" w:customStyle="1" w:styleId="2302">
    <w:name w:val="目录2"/>
    <w:basedOn w:val="54"/>
    <w:next w:val="1"/>
    <w:uiPriority w:val="0"/>
    <w:pPr>
      <w:widowControl/>
      <w:tabs>
        <w:tab w:val="left" w:leader="dot" w:pos="8492"/>
        <w:tab w:val="clear" w:pos="9004"/>
      </w:tabs>
      <w:spacing w:before="156" w:line="240" w:lineRule="auto"/>
      <w:ind w:firstLine="420"/>
      <w:jc w:val="left"/>
      <w:textAlignment w:val="baseline"/>
    </w:pPr>
    <w:rPr>
      <w:rFonts w:ascii="宋体" w:hAnsi="Arial"/>
      <w:bCs w:val="0"/>
      <w:smallCaps/>
      <w:color w:val="000000"/>
      <w:kern w:val="0"/>
      <w:sz w:val="20"/>
      <w:szCs w:val="20"/>
      <w:u w:color="000000"/>
    </w:rPr>
  </w:style>
  <w:style w:type="paragraph" w:customStyle="1" w:styleId="2303">
    <w:name w:val="正文格式＝8"/>
    <w:basedOn w:val="207"/>
    <w:next w:val="207"/>
    <w:uiPriority w:val="0"/>
    <w:rPr>
      <w:rFonts w:hAnsi="宋体"/>
      <w:szCs w:val="24"/>
    </w:rPr>
  </w:style>
  <w:style w:type="paragraph" w:customStyle="1" w:styleId="2304">
    <w:name w:val="表内宋5中111"/>
    <w:basedOn w:val="1"/>
    <w:uiPriority w:val="0"/>
    <w:pPr>
      <w:widowControl/>
      <w:jc w:val="center"/>
      <w:textAlignment w:val="baseline"/>
    </w:pPr>
    <w:rPr>
      <w:rFonts w:ascii="宋体" w:hAnsi="宋体" w:cs="宋体"/>
      <w:kern w:val="0"/>
      <w:szCs w:val="20"/>
    </w:rPr>
  </w:style>
  <w:style w:type="paragraph" w:customStyle="1" w:styleId="2305">
    <w:name w:val="图表名称"/>
    <w:basedOn w:val="155"/>
    <w:uiPriority w:val="0"/>
    <w:pPr>
      <w:spacing w:after="0" w:line="480" w:lineRule="exact"/>
      <w:ind w:firstLine="0" w:firstLineChars="0"/>
      <w:jc w:val="center"/>
    </w:pPr>
    <w:rPr>
      <w:rFonts w:ascii="宋体" w:hAnsi="宋体"/>
      <w:bCs/>
      <w:szCs w:val="24"/>
    </w:rPr>
  </w:style>
  <w:style w:type="paragraph" w:customStyle="1" w:styleId="2306">
    <w:name w:val="表题1411"/>
    <w:basedOn w:val="1"/>
    <w:uiPriority w:val="0"/>
    <w:pPr>
      <w:widowControl/>
      <w:jc w:val="center"/>
    </w:pPr>
    <w:rPr>
      <w:rFonts w:ascii="黑体" w:hAnsi="宋体" w:eastAsia="黑体" w:cs="宋体"/>
      <w:kern w:val="0"/>
      <w:szCs w:val="24"/>
    </w:rPr>
  </w:style>
  <w:style w:type="paragraph" w:customStyle="1" w:styleId="2307">
    <w:name w:val="正文.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308">
    <w:name w:val="Char Char Char Char Char Char Char Char1 Char Char Char Char Char Char Char Char Char Char"/>
    <w:basedOn w:val="1"/>
    <w:uiPriority w:val="0"/>
    <w:pPr>
      <w:widowControl/>
      <w:jc w:val="left"/>
    </w:pPr>
    <w:rPr>
      <w:rFonts w:ascii="宋体" w:hAnsi="宋体" w:cs="宋体"/>
      <w:kern w:val="0"/>
      <w:szCs w:val="24"/>
    </w:rPr>
  </w:style>
  <w:style w:type="paragraph" w:customStyle="1" w:styleId="2309">
    <w:name w:val="列表接续 31"/>
    <w:basedOn w:val="1"/>
    <w:uiPriority w:val="0"/>
    <w:pPr>
      <w:widowControl/>
      <w:spacing w:after="120"/>
      <w:ind w:left="1260" w:leftChars="600"/>
      <w:jc w:val="left"/>
    </w:pPr>
    <w:rPr>
      <w:rFonts w:ascii="宋体" w:hAnsi="宋体" w:cs="宋体"/>
      <w:kern w:val="0"/>
      <w:szCs w:val="24"/>
    </w:rPr>
  </w:style>
  <w:style w:type="paragraph" w:customStyle="1" w:styleId="2310">
    <w:name w:val="表内文字小23"/>
    <w:basedOn w:val="1"/>
    <w:uiPriority w:val="0"/>
    <w:pPr>
      <w:widowControl/>
      <w:jc w:val="center"/>
    </w:pPr>
    <w:rPr>
      <w:rFonts w:ascii="宋体" w:hAnsi="Times" w:cs="宋体"/>
      <w:bCs/>
      <w:color w:val="000000"/>
      <w:kern w:val="0"/>
      <w:szCs w:val="20"/>
    </w:rPr>
  </w:style>
  <w:style w:type="paragraph" w:customStyle="1" w:styleId="2311">
    <w:name w:val="列表接续 41"/>
    <w:basedOn w:val="1"/>
    <w:uiPriority w:val="0"/>
    <w:pPr>
      <w:widowControl/>
      <w:spacing w:after="120"/>
      <w:ind w:left="1680" w:leftChars="800"/>
      <w:jc w:val="left"/>
    </w:pPr>
    <w:rPr>
      <w:rFonts w:ascii="宋体" w:hAnsi="宋体" w:cs="宋体"/>
      <w:kern w:val="0"/>
      <w:szCs w:val="24"/>
    </w:rPr>
  </w:style>
  <w:style w:type="paragraph" w:customStyle="1" w:styleId="2312">
    <w:name w:val="黑体三号11"/>
    <w:basedOn w:val="207"/>
    <w:uiPriority w:val="0"/>
    <w:pPr>
      <w:jc w:val="center"/>
    </w:pPr>
    <w:rPr>
      <w:rFonts w:ascii="黑体" w:hAnsi="宋体" w:eastAsia="黑体" w:cs="宋体"/>
      <w:b/>
      <w:bCs/>
      <w:sz w:val="32"/>
      <w:szCs w:val="20"/>
    </w:rPr>
  </w:style>
  <w:style w:type="paragraph" w:customStyle="1" w:styleId="2313">
    <w:name w:val="Char2"/>
    <w:basedOn w:val="1"/>
    <w:uiPriority w:val="0"/>
    <w:pPr>
      <w:widowControl/>
      <w:spacing w:line="240" w:lineRule="exact"/>
      <w:jc w:val="left"/>
    </w:pPr>
    <w:rPr>
      <w:rFonts w:ascii="宋体" w:hAnsi="宋体" w:cs="宋体"/>
      <w:kern w:val="0"/>
      <w:szCs w:val="28"/>
    </w:rPr>
  </w:style>
  <w:style w:type="paragraph" w:customStyle="1" w:styleId="2314">
    <w:name w:val="表内5416"/>
    <w:basedOn w:val="1"/>
    <w:uiPriority w:val="0"/>
    <w:pPr>
      <w:widowControl/>
      <w:spacing w:line="300" w:lineRule="auto"/>
      <w:jc w:val="center"/>
    </w:pPr>
    <w:rPr>
      <w:rFonts w:ascii="宋体" w:hAnsi="宋体" w:cs="宋体"/>
      <w:kern w:val="0"/>
      <w:szCs w:val="20"/>
    </w:rPr>
  </w:style>
  <w:style w:type="paragraph" w:customStyle="1" w:styleId="2315">
    <w:name w:val="样式 表格内字体1 +"/>
    <w:basedOn w:val="2316"/>
    <w:next w:val="347"/>
    <w:uiPriority w:val="0"/>
    <w:rPr>
      <w:rFonts w:hAnsi="Times New Roman" w:cs="宋体"/>
      <w:szCs w:val="20"/>
    </w:rPr>
  </w:style>
  <w:style w:type="paragraph" w:customStyle="1" w:styleId="2316">
    <w:name w:val="表格内字体1"/>
    <w:basedOn w:val="207"/>
    <w:next w:val="207"/>
    <w:uiPriority w:val="0"/>
    <w:pPr>
      <w:spacing w:line="240" w:lineRule="auto"/>
      <w:ind w:firstLine="0"/>
      <w:jc w:val="center"/>
    </w:pPr>
    <w:rPr>
      <w:rFonts w:hAnsi="宋体"/>
      <w:sz w:val="21"/>
      <w:szCs w:val="24"/>
    </w:rPr>
  </w:style>
  <w:style w:type="paragraph" w:customStyle="1" w:styleId="2317">
    <w:name w:val="表内宋5中12"/>
    <w:basedOn w:val="1"/>
    <w:uiPriority w:val="0"/>
    <w:pPr>
      <w:widowControl/>
      <w:jc w:val="center"/>
      <w:textAlignment w:val="baseline"/>
    </w:pPr>
    <w:rPr>
      <w:rFonts w:ascii="宋体" w:hAnsi="宋体" w:cs="宋体"/>
      <w:kern w:val="0"/>
      <w:szCs w:val="20"/>
    </w:rPr>
  </w:style>
  <w:style w:type="paragraph" w:customStyle="1" w:styleId="2318">
    <w:name w:val="Char3 Char Char Char Char Char Char Char Char Char Char"/>
    <w:basedOn w:val="1"/>
    <w:uiPriority w:val="0"/>
    <w:pPr>
      <w:widowControl/>
      <w:spacing w:line="340" w:lineRule="exact"/>
      <w:ind w:firstLine="10" w:firstLineChars="4"/>
      <w:jc w:val="left"/>
    </w:pPr>
    <w:rPr>
      <w:rFonts w:ascii="宋体" w:hAnsi="宋体" w:cs="宋体"/>
      <w:kern w:val="0"/>
      <w:szCs w:val="28"/>
    </w:rPr>
  </w:style>
  <w:style w:type="paragraph" w:customStyle="1" w:styleId="2319">
    <w:name w:val="框图格式2"/>
    <w:basedOn w:val="1"/>
    <w:uiPriority w:val="0"/>
    <w:pPr>
      <w:widowControl/>
      <w:jc w:val="left"/>
    </w:pPr>
    <w:rPr>
      <w:rFonts w:ascii="宋体" w:hAnsi="宋体" w:cs="宋体"/>
      <w:kern w:val="0"/>
      <w:sz w:val="18"/>
      <w:szCs w:val="24"/>
    </w:rPr>
  </w:style>
  <w:style w:type="paragraph" w:customStyle="1" w:styleId="2320">
    <w:name w:val="首行缩进:  0.99 厘米 + 首行缩进:  2 字符"/>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321">
    <w:name w:val="Char111"/>
    <w:basedOn w:val="1"/>
    <w:uiPriority w:val="0"/>
    <w:pPr>
      <w:widowControl/>
      <w:ind w:left="-48"/>
      <w:jc w:val="left"/>
    </w:pPr>
    <w:rPr>
      <w:rFonts w:ascii="宋体" w:hAnsi="宋体" w:cs="宋体"/>
      <w:kern w:val="0"/>
      <w:szCs w:val="24"/>
    </w:rPr>
  </w:style>
  <w:style w:type="paragraph" w:customStyle="1" w:styleId="2322">
    <w:name w:val="Char4 Char Char Char Char Char Char"/>
    <w:basedOn w:val="1"/>
    <w:uiPriority w:val="0"/>
    <w:pPr>
      <w:widowControl/>
      <w:jc w:val="left"/>
    </w:pPr>
    <w:rPr>
      <w:rFonts w:ascii="宋体" w:hAnsi="宋体" w:cs="宋体"/>
      <w:kern w:val="0"/>
      <w:szCs w:val="24"/>
    </w:rPr>
  </w:style>
  <w:style w:type="paragraph" w:customStyle="1" w:styleId="2323">
    <w:name w:val="首行缩进:  0.99 厘米 + 首行缩进:  2 字符1"/>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324">
    <w:name w:val="Char 正文"/>
    <w:basedOn w:val="2"/>
    <w:uiPriority w:val="0"/>
    <w:pPr>
      <w:numPr>
        <w:numId w:val="0"/>
      </w:numPr>
      <w:spacing w:before="312" w:beforeLines="100" w:after="312" w:afterLines="100" w:line="348" w:lineRule="auto"/>
      <w:jc w:val="left"/>
    </w:pPr>
    <w:rPr>
      <w:rFonts w:ascii="Tahoma" w:hAnsi="Tahoma"/>
      <w:bCs w:val="0"/>
      <w:szCs w:val="20"/>
      <w:lang w:val="zh-CN" w:eastAsia="zh-CN"/>
    </w:rPr>
  </w:style>
  <w:style w:type="paragraph" w:customStyle="1" w:styleId="2325">
    <w:name w:val="Char Char Char Char Char Char Char Char Char Char Char Char Char Char1"/>
    <w:basedOn w:val="1"/>
    <w:uiPriority w:val="0"/>
    <w:pPr>
      <w:widowControl/>
      <w:jc w:val="left"/>
    </w:pPr>
    <w:rPr>
      <w:rFonts w:ascii="宋体" w:hAnsi="宋体" w:cs="宋体"/>
      <w:kern w:val="0"/>
      <w:szCs w:val="24"/>
    </w:rPr>
  </w:style>
  <w:style w:type="paragraph" w:customStyle="1" w:styleId="2326">
    <w:name w:val="黑体三号4"/>
    <w:basedOn w:val="207"/>
    <w:uiPriority w:val="0"/>
    <w:pPr>
      <w:jc w:val="center"/>
    </w:pPr>
    <w:rPr>
      <w:rFonts w:ascii="黑体" w:hAnsi="宋体" w:eastAsia="黑体" w:cs="宋体"/>
      <w:b/>
      <w:bCs/>
      <w:sz w:val="32"/>
      <w:szCs w:val="20"/>
    </w:rPr>
  </w:style>
  <w:style w:type="paragraph" w:customStyle="1" w:styleId="2327">
    <w:name w:val="Char Char Char Char Char Char Char Char Char Char Char Char Char Char Char Char Char"/>
    <w:basedOn w:val="1"/>
    <w:uiPriority w:val="0"/>
    <w:pPr>
      <w:widowControl/>
      <w:jc w:val="left"/>
    </w:pPr>
    <w:rPr>
      <w:rFonts w:ascii="宋体" w:hAnsi="宋体" w:cs="宋体"/>
      <w:kern w:val="0"/>
      <w:szCs w:val="24"/>
    </w:rPr>
  </w:style>
  <w:style w:type="paragraph" w:customStyle="1" w:styleId="2328">
    <w:name w:val="Char Char Char Char Char Char Char Char Char1"/>
    <w:basedOn w:val="1"/>
    <w:uiPriority w:val="0"/>
    <w:pPr>
      <w:widowControl/>
      <w:jc w:val="left"/>
    </w:pPr>
    <w:rPr>
      <w:rFonts w:ascii="宋体" w:hAnsi="宋体" w:cs="宋体"/>
      <w:kern w:val="0"/>
      <w:szCs w:val="24"/>
    </w:rPr>
  </w:style>
  <w:style w:type="paragraph" w:customStyle="1" w:styleId="2329">
    <w:name w:val="样式 标题 4无效格式无效格式1河石管道4H4H41小小节河石管道41H42H411小小节1河石管道42...11"/>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2330">
    <w:name w:val="表内5"/>
    <w:basedOn w:val="1"/>
    <w:uiPriority w:val="0"/>
    <w:pPr>
      <w:widowControl/>
      <w:spacing w:line="300" w:lineRule="auto"/>
      <w:jc w:val="left"/>
    </w:pPr>
    <w:rPr>
      <w:rFonts w:ascii="宋体" w:hAnsi="宋体" w:cs="宋体"/>
      <w:kern w:val="0"/>
      <w:sz w:val="18"/>
      <w:szCs w:val="20"/>
    </w:rPr>
  </w:style>
  <w:style w:type="paragraph" w:customStyle="1" w:styleId="2331">
    <w:name w:val="表内54"/>
    <w:basedOn w:val="1"/>
    <w:uiPriority w:val="0"/>
    <w:pPr>
      <w:widowControl/>
      <w:spacing w:line="300" w:lineRule="auto"/>
      <w:jc w:val="left"/>
    </w:pPr>
    <w:rPr>
      <w:rFonts w:ascii="宋体" w:hAnsi="宋体" w:cs="宋体"/>
      <w:kern w:val="0"/>
      <w:sz w:val="18"/>
      <w:szCs w:val="20"/>
    </w:rPr>
  </w:style>
  <w:style w:type="paragraph" w:customStyle="1" w:styleId="2332">
    <w:name w:val="3 Char Char Char Char Char Char Char Char Char Char"/>
    <w:basedOn w:val="1"/>
    <w:uiPriority w:val="0"/>
    <w:pPr>
      <w:widowControl/>
      <w:jc w:val="left"/>
    </w:pPr>
    <w:rPr>
      <w:rFonts w:ascii="宋体" w:hAnsi="宋体" w:cs="宋体"/>
      <w:kern w:val="0"/>
      <w:szCs w:val="24"/>
    </w:rPr>
  </w:style>
  <w:style w:type="paragraph" w:customStyle="1" w:styleId="2333">
    <w:name w:val="表名1"/>
    <w:basedOn w:val="1853"/>
    <w:uiPriority w:val="0"/>
    <w:pPr>
      <w:keepNext/>
      <w:overflowPunct w:val="0"/>
      <w:spacing w:line="240" w:lineRule="auto"/>
      <w:textAlignment w:val="baseline"/>
    </w:pPr>
    <w:rPr>
      <w:rFonts w:ascii="Times New Roman" w:hAnsi="Times New Roman"/>
      <w:kern w:val="24"/>
      <w:sz w:val="21"/>
      <w:szCs w:val="21"/>
    </w:rPr>
  </w:style>
  <w:style w:type="paragraph" w:customStyle="1" w:styleId="2334">
    <w:name w:val="Char Char Char11"/>
    <w:basedOn w:val="1"/>
    <w:uiPriority w:val="0"/>
    <w:pPr>
      <w:widowControl/>
      <w:jc w:val="left"/>
    </w:pPr>
    <w:rPr>
      <w:rFonts w:ascii="宋体" w:hAnsi="宋体" w:cs="宋体"/>
      <w:kern w:val="0"/>
      <w:szCs w:val="24"/>
    </w:rPr>
  </w:style>
  <w:style w:type="paragraph" w:customStyle="1" w:styleId="2335">
    <w:name w:val="黑体三号"/>
    <w:basedOn w:val="207"/>
    <w:uiPriority w:val="0"/>
    <w:pPr>
      <w:jc w:val="center"/>
    </w:pPr>
    <w:rPr>
      <w:rFonts w:ascii="黑体" w:hAnsi="宋体" w:eastAsia="黑体" w:cs="宋体"/>
      <w:b/>
      <w:bCs/>
      <w:sz w:val="32"/>
      <w:szCs w:val="20"/>
    </w:rPr>
  </w:style>
  <w:style w:type="paragraph" w:customStyle="1" w:styleId="2336">
    <w:name w:val="Char4311"/>
    <w:basedOn w:val="1"/>
    <w:uiPriority w:val="0"/>
    <w:pPr>
      <w:widowControl/>
      <w:ind w:left="-48"/>
      <w:jc w:val="left"/>
    </w:pPr>
    <w:rPr>
      <w:rFonts w:ascii="宋体" w:hAnsi="宋体" w:cs="宋体"/>
      <w:kern w:val="0"/>
      <w:szCs w:val="24"/>
    </w:rPr>
  </w:style>
  <w:style w:type="paragraph" w:customStyle="1" w:styleId="2337">
    <w:name w:val="表题9"/>
    <w:basedOn w:val="938"/>
    <w:uiPriority w:val="0"/>
    <w:pPr>
      <w:spacing w:line="300" w:lineRule="auto"/>
      <w:jc w:val="center"/>
    </w:pPr>
    <w:rPr>
      <w:rFonts w:ascii="黑体" w:eastAsia="黑体"/>
      <w:szCs w:val="22"/>
    </w:rPr>
  </w:style>
  <w:style w:type="paragraph" w:customStyle="1" w:styleId="2338">
    <w:name w:val="Char91"/>
    <w:basedOn w:val="1"/>
    <w:uiPriority w:val="0"/>
    <w:pPr>
      <w:widowControl/>
      <w:ind w:left="-48"/>
      <w:jc w:val="left"/>
    </w:pPr>
    <w:rPr>
      <w:rFonts w:ascii="宋体" w:hAnsi="宋体" w:cs="宋体"/>
      <w:kern w:val="0"/>
      <w:szCs w:val="24"/>
    </w:rPr>
  </w:style>
  <w:style w:type="paragraph" w:customStyle="1" w:styleId="2339">
    <w:name w:val="Char Char Char Char Char Char Char Char Char Char Char Char Char Char Char1"/>
    <w:basedOn w:val="1"/>
    <w:uiPriority w:val="0"/>
    <w:pPr>
      <w:widowControl/>
      <w:jc w:val="left"/>
    </w:pPr>
    <w:rPr>
      <w:rFonts w:ascii="宋体" w:hAnsi="宋体" w:cs="宋体"/>
      <w:kern w:val="0"/>
      <w:szCs w:val="24"/>
    </w:rPr>
  </w:style>
  <w:style w:type="paragraph" w:customStyle="1" w:styleId="2340">
    <w:name w:val="ENUM"/>
    <w:basedOn w:val="1"/>
    <w:uiPriority w:val="0"/>
    <w:pPr>
      <w:widowControl/>
      <w:tabs>
        <w:tab w:val="left" w:pos="840"/>
        <w:tab w:val="left" w:pos="1418"/>
      </w:tabs>
      <w:spacing w:before="60" w:after="60"/>
      <w:ind w:left="1418" w:hanging="284"/>
      <w:jc w:val="left"/>
    </w:pPr>
    <w:rPr>
      <w:rFonts w:ascii="Arial" w:hAnsi="Arial" w:cs="宋体"/>
      <w:kern w:val="0"/>
      <w:sz w:val="22"/>
      <w:szCs w:val="20"/>
    </w:rPr>
  </w:style>
  <w:style w:type="paragraph" w:customStyle="1" w:styleId="2341">
    <w:name w:val="正文图五"/>
    <w:basedOn w:val="1"/>
    <w:uiPriority w:val="0"/>
    <w:pPr>
      <w:widowControl/>
      <w:jc w:val="center"/>
    </w:pPr>
    <w:rPr>
      <w:rFonts w:ascii="宋体" w:hAnsi="宋体" w:cs="宋体"/>
      <w:snapToGrid w:val="0"/>
      <w:spacing w:val="6"/>
      <w:kern w:val="0"/>
      <w:szCs w:val="20"/>
    </w:rPr>
  </w:style>
  <w:style w:type="paragraph" w:customStyle="1" w:styleId="2342">
    <w:name w:val="表中居中文字!"/>
    <w:basedOn w:val="1"/>
    <w:uiPriority w:val="0"/>
    <w:pPr>
      <w:widowControl/>
      <w:jc w:val="center"/>
    </w:pPr>
    <w:rPr>
      <w:rFonts w:ascii="宋体" w:hAnsi="宋体" w:cs="Arial"/>
      <w:snapToGrid w:val="0"/>
      <w:kern w:val="0"/>
      <w:szCs w:val="24"/>
    </w:rPr>
  </w:style>
  <w:style w:type="paragraph" w:customStyle="1" w:styleId="2343">
    <w:name w:val="样式 首行缩进:  0.85 厘米 行距: 固定值 23 磅"/>
    <w:basedOn w:val="1"/>
    <w:uiPriority w:val="0"/>
    <w:pPr>
      <w:widowControl/>
      <w:spacing w:line="480" w:lineRule="exact"/>
      <w:ind w:firstLine="560"/>
      <w:jc w:val="left"/>
    </w:pPr>
    <w:rPr>
      <w:rFonts w:ascii="宋体" w:hAnsi="宋体" w:cs="宋体"/>
      <w:color w:val="000000"/>
      <w:kern w:val="0"/>
      <w:szCs w:val="20"/>
    </w:rPr>
  </w:style>
  <w:style w:type="paragraph" w:customStyle="1" w:styleId="2344">
    <w:name w:val="谏壁表头（chen）"/>
    <w:basedOn w:val="1"/>
    <w:uiPriority w:val="0"/>
    <w:pPr>
      <w:widowControl/>
      <w:jc w:val="center"/>
    </w:pPr>
    <w:rPr>
      <w:rFonts w:ascii="宋体" w:hAnsi="宋体" w:cs="宋体"/>
      <w:b/>
      <w:bCs/>
      <w:kern w:val="0"/>
      <w:szCs w:val="24"/>
    </w:rPr>
  </w:style>
  <w:style w:type="paragraph" w:customStyle="1" w:styleId="2345">
    <w:name w:val="表中"/>
    <w:uiPriority w:val="0"/>
    <w:pPr>
      <w:adjustRightInd w:val="0"/>
      <w:snapToGrid w:val="0"/>
      <w:jc w:val="center"/>
    </w:pPr>
    <w:rPr>
      <w:rFonts w:ascii="Times New Roman" w:hAnsi="Times New Roman" w:eastAsia="宋体" w:cs="Times New Roman"/>
      <w:kern w:val="44"/>
      <w:sz w:val="18"/>
      <w:szCs w:val="20"/>
      <w:lang w:val="en-US" w:eastAsia="zh-CN" w:bidi="ar-SA"/>
    </w:rPr>
  </w:style>
  <w:style w:type="paragraph" w:customStyle="1" w:styleId="2346">
    <w:name w:val="表内文字小113"/>
    <w:basedOn w:val="1"/>
    <w:uiPriority w:val="0"/>
    <w:pPr>
      <w:widowControl/>
      <w:jc w:val="left"/>
    </w:pPr>
    <w:rPr>
      <w:rFonts w:ascii="宋体" w:hAnsi="Times" w:cs="宋体"/>
      <w:kern w:val="0"/>
      <w:szCs w:val="20"/>
    </w:rPr>
  </w:style>
  <w:style w:type="paragraph" w:customStyle="1" w:styleId="2347">
    <w:name w:val="样式 样式 标题 4 + 黑色 左侧:  -0.01 厘米 首行缩进:  0.01 厘米 + 左侧:  0 厘米 首行缩进: ..."/>
    <w:basedOn w:val="2299"/>
    <w:uiPriority w:val="0"/>
    <w:pPr>
      <w:tabs>
        <w:tab w:val="left" w:pos="851"/>
        <w:tab w:val="clear" w:pos="1080"/>
      </w:tabs>
      <w:ind w:left="851" w:hanging="851"/>
    </w:pPr>
  </w:style>
  <w:style w:type="paragraph" w:customStyle="1" w:styleId="2348">
    <w:name w:val="样式 表格内字体 +1"/>
    <w:basedOn w:val="347"/>
    <w:uiPriority w:val="0"/>
    <w:pPr>
      <w:spacing w:line="280" w:lineRule="exact"/>
      <w:ind w:firstLine="36"/>
      <w:jc w:val="both"/>
    </w:pPr>
    <w:rPr>
      <w:rFonts w:hAnsi="宋体"/>
      <w:sz w:val="21"/>
      <w:szCs w:val="24"/>
    </w:rPr>
  </w:style>
  <w:style w:type="paragraph" w:customStyle="1" w:styleId="2349">
    <w:name w:val="23-47表名1"/>
    <w:basedOn w:val="1"/>
    <w:uiPriority w:val="0"/>
    <w:pPr>
      <w:widowControl/>
      <w:spacing w:after="156" w:line="440" w:lineRule="exact"/>
      <w:jc w:val="center"/>
    </w:pPr>
    <w:rPr>
      <w:rFonts w:ascii="宋体" w:hAnsi="宋体" w:cs="宋体"/>
      <w:b/>
      <w:kern w:val="0"/>
      <w:szCs w:val="24"/>
    </w:rPr>
  </w:style>
  <w:style w:type="paragraph" w:customStyle="1" w:styleId="2350">
    <w:name w:val="样式 样式 宋体 + 首行缩进:  2 字符1"/>
    <w:basedOn w:val="1"/>
    <w:uiPriority w:val="0"/>
    <w:pPr>
      <w:widowControl/>
      <w:ind w:firstLine="480"/>
      <w:jc w:val="left"/>
    </w:pPr>
    <w:rPr>
      <w:rFonts w:ascii="宋体" w:hAnsi="宋体" w:cs="宋体"/>
      <w:kern w:val="0"/>
      <w:szCs w:val="24"/>
    </w:rPr>
  </w:style>
  <w:style w:type="paragraph" w:customStyle="1" w:styleId="2351">
    <w:name w:val="默认段落字体 Para Char52"/>
    <w:basedOn w:val="1"/>
    <w:next w:val="1"/>
    <w:uiPriority w:val="0"/>
    <w:pPr>
      <w:widowControl/>
      <w:spacing w:line="480" w:lineRule="exact"/>
      <w:jc w:val="left"/>
    </w:pPr>
    <w:rPr>
      <w:rFonts w:ascii="宋体" w:hAnsi="宋体" w:eastAsia="汉鼎简书宋" w:cs="宋体"/>
      <w:kern w:val="0"/>
      <w:szCs w:val="24"/>
    </w:rPr>
  </w:style>
  <w:style w:type="paragraph" w:customStyle="1" w:styleId="2352">
    <w:name w:val="正文格式53"/>
    <w:basedOn w:val="1"/>
    <w:uiPriority w:val="0"/>
    <w:pPr>
      <w:widowControl/>
      <w:ind w:firstLine="482"/>
      <w:jc w:val="left"/>
    </w:pPr>
    <w:rPr>
      <w:rFonts w:ascii="宋体" w:hAnsi="宋体" w:cs="宋体"/>
      <w:kern w:val="0"/>
      <w:szCs w:val="24"/>
    </w:rPr>
  </w:style>
  <w:style w:type="paragraph" w:customStyle="1" w:styleId="2353">
    <w:name w:val="默认段落字体 Para Char2"/>
    <w:basedOn w:val="1"/>
    <w:next w:val="1"/>
    <w:uiPriority w:val="0"/>
    <w:pPr>
      <w:widowControl/>
      <w:spacing w:line="480" w:lineRule="exact"/>
      <w:jc w:val="left"/>
    </w:pPr>
    <w:rPr>
      <w:rFonts w:ascii="宋体" w:hAnsi="宋体" w:eastAsia="汉鼎简书宋" w:cs="宋体"/>
      <w:kern w:val="0"/>
      <w:szCs w:val="24"/>
    </w:rPr>
  </w:style>
  <w:style w:type="paragraph" w:customStyle="1" w:styleId="2354">
    <w:name w:val="表格内字体6"/>
    <w:basedOn w:val="207"/>
    <w:next w:val="207"/>
    <w:uiPriority w:val="0"/>
    <w:pPr>
      <w:spacing w:line="240" w:lineRule="auto"/>
      <w:ind w:firstLine="0"/>
      <w:jc w:val="center"/>
    </w:pPr>
    <w:rPr>
      <w:rFonts w:hAnsi="宋体"/>
      <w:sz w:val="21"/>
      <w:szCs w:val="24"/>
    </w:rPr>
  </w:style>
  <w:style w:type="paragraph" w:customStyle="1" w:styleId="2355">
    <w:name w:val="正文格式11"/>
    <w:basedOn w:val="1"/>
    <w:uiPriority w:val="0"/>
    <w:pPr>
      <w:widowControl/>
      <w:ind w:firstLine="482"/>
      <w:jc w:val="left"/>
    </w:pPr>
    <w:rPr>
      <w:rFonts w:ascii="宋体" w:hAnsi="宋体" w:cs="宋体"/>
      <w:kern w:val="0"/>
      <w:szCs w:val="24"/>
    </w:rPr>
  </w:style>
  <w:style w:type="paragraph" w:customStyle="1" w:styleId="2356">
    <w:name w:val="正文图"/>
    <w:basedOn w:val="1"/>
    <w:uiPriority w:val="0"/>
    <w:pPr>
      <w:widowControl/>
      <w:spacing w:before="40"/>
      <w:jc w:val="center"/>
      <w:textAlignment w:val="baseline"/>
    </w:pPr>
    <w:rPr>
      <w:rFonts w:ascii="宋体" w:hAnsi="宋体" w:cs="宋体"/>
      <w:kern w:val="0"/>
      <w:szCs w:val="20"/>
    </w:rPr>
  </w:style>
  <w:style w:type="paragraph" w:customStyle="1" w:styleId="2357">
    <w:name w:val="表文字532"/>
    <w:basedOn w:val="1"/>
    <w:uiPriority w:val="0"/>
    <w:pPr>
      <w:widowControl/>
      <w:jc w:val="left"/>
      <w:textAlignment w:val="baseline"/>
    </w:pPr>
    <w:rPr>
      <w:rFonts w:ascii="宋体" w:hAnsi="宋体" w:cs="宋体"/>
      <w:kern w:val="0"/>
      <w:szCs w:val="20"/>
    </w:rPr>
  </w:style>
  <w:style w:type="paragraph" w:customStyle="1" w:styleId="2358">
    <w:name w:val="样式 表格 + 左  25 字符1"/>
    <w:basedOn w:val="187"/>
    <w:uiPriority w:val="0"/>
    <w:pPr>
      <w:widowControl/>
      <w:snapToGrid/>
      <w:ind w:firstLine="0" w:firstLineChars="0"/>
      <w:jc w:val="center"/>
    </w:pPr>
    <w:rPr>
      <w:rFonts w:hAnsi="宋体" w:eastAsia="宋体" w:cs="宋体"/>
      <w:b w:val="0"/>
      <w:sz w:val="18"/>
    </w:rPr>
  </w:style>
  <w:style w:type="paragraph" w:customStyle="1" w:styleId="2359">
    <w:name w:val="表题15"/>
    <w:basedOn w:val="19"/>
    <w:uiPriority w:val="0"/>
    <w:pPr>
      <w:widowControl/>
      <w:ind w:firstLine="0" w:firstLineChars="0"/>
      <w:jc w:val="center"/>
    </w:pPr>
    <w:rPr>
      <w:rFonts w:ascii="黑体" w:cs="Arial"/>
      <w:b/>
    </w:rPr>
  </w:style>
  <w:style w:type="paragraph" w:customStyle="1" w:styleId="2360">
    <w:name w:val="正文格式22"/>
    <w:basedOn w:val="1"/>
    <w:uiPriority w:val="0"/>
    <w:pPr>
      <w:widowControl/>
      <w:ind w:firstLine="482"/>
      <w:jc w:val="left"/>
    </w:pPr>
    <w:rPr>
      <w:rFonts w:ascii="宋体" w:hAnsi="宋体" w:cs="宋体"/>
      <w:kern w:val="0"/>
      <w:szCs w:val="24"/>
    </w:rPr>
  </w:style>
  <w:style w:type="paragraph" w:customStyle="1" w:styleId="2361">
    <w:name w:val="text2"/>
    <w:basedOn w:val="1"/>
    <w:uiPriority w:val="0"/>
    <w:pPr>
      <w:widowControl/>
      <w:spacing w:before="100" w:beforeAutospacing="1" w:after="100" w:afterAutospacing="1"/>
      <w:jc w:val="left"/>
    </w:pPr>
    <w:rPr>
      <w:rFonts w:ascii="宋体" w:hAnsi="宋体" w:cs="宋体"/>
      <w:color w:val="666666"/>
      <w:kern w:val="0"/>
      <w:szCs w:val="24"/>
    </w:rPr>
  </w:style>
  <w:style w:type="paragraph" w:customStyle="1" w:styleId="2362">
    <w:name w:val="初设正文"/>
    <w:basedOn w:val="1"/>
    <w:uiPriority w:val="0"/>
    <w:pPr>
      <w:widowControl/>
      <w:spacing w:after="120" w:line="440" w:lineRule="exact"/>
      <w:ind w:left="425" w:firstLine="425"/>
      <w:jc w:val="left"/>
    </w:pPr>
    <w:rPr>
      <w:rFonts w:ascii="Arial" w:hAnsi="Arial" w:cs="宋体"/>
      <w:kern w:val="0"/>
      <w:szCs w:val="20"/>
    </w:rPr>
  </w:style>
  <w:style w:type="paragraph" w:customStyle="1" w:styleId="2363">
    <w:name w:val="正文单倍行距"/>
    <w:basedOn w:val="1"/>
    <w:uiPriority w:val="0"/>
    <w:pPr>
      <w:widowControl/>
      <w:tabs>
        <w:tab w:val="left" w:pos="8640"/>
      </w:tabs>
      <w:jc w:val="left"/>
    </w:pPr>
    <w:rPr>
      <w:rFonts w:ascii="宋体" w:hAnsi="宋体" w:cs="宋体"/>
      <w:kern w:val="0"/>
      <w:szCs w:val="24"/>
    </w:rPr>
  </w:style>
  <w:style w:type="paragraph" w:customStyle="1" w:styleId="2364">
    <w:name w:val="表 头"/>
    <w:basedOn w:val="1"/>
    <w:uiPriority w:val="0"/>
    <w:pPr>
      <w:widowControl/>
      <w:spacing w:before="120" w:after="120" w:line="360" w:lineRule="atLeast"/>
      <w:jc w:val="center"/>
    </w:pPr>
    <w:rPr>
      <w:rFonts w:ascii="宋体" w:hAnsi="宋体" w:eastAsia="黑体" w:cs="宋体"/>
      <w:spacing w:val="10"/>
      <w:kern w:val="0"/>
      <w:szCs w:val="20"/>
    </w:rPr>
  </w:style>
  <w:style w:type="paragraph" w:customStyle="1" w:styleId="2365">
    <w:name w:val="标题412"/>
    <w:basedOn w:val="5"/>
    <w:next w:val="1"/>
    <w:uiPriority w:val="0"/>
    <w:pPr>
      <w:numPr>
        <w:ilvl w:val="0"/>
        <w:numId w:val="0"/>
      </w:numPr>
      <w:spacing w:before="160" w:after="170" w:line="360" w:lineRule="auto"/>
    </w:pPr>
    <w:rPr>
      <w:rFonts w:ascii="黑体" w:hAnsi="Arial" w:eastAsia="黑体" w:cs="Times New Roman"/>
      <w:sz w:val="24"/>
    </w:rPr>
  </w:style>
  <w:style w:type="paragraph" w:customStyle="1" w:styleId="2366">
    <w:name w:val="五级条标题"/>
    <w:basedOn w:val="2098"/>
    <w:next w:val="1"/>
    <w:uiPriority w:val="0"/>
    <w:pPr>
      <w:tabs>
        <w:tab w:val="left" w:pos="1296"/>
        <w:tab w:val="left" w:pos="2940"/>
        <w:tab w:val="left" w:pos="3500"/>
        <w:tab w:val="clear" w:pos="1152"/>
        <w:tab w:val="clear" w:pos="2520"/>
        <w:tab w:val="clear" w:pos="3080"/>
      </w:tabs>
      <w:outlineLvl w:val="6"/>
    </w:pPr>
  </w:style>
  <w:style w:type="paragraph" w:customStyle="1" w:styleId="2367">
    <w:name w:val="表内文字小11"/>
    <w:basedOn w:val="1"/>
    <w:uiPriority w:val="0"/>
    <w:pPr>
      <w:widowControl/>
      <w:jc w:val="left"/>
    </w:pPr>
    <w:rPr>
      <w:rFonts w:ascii="宋体" w:hAnsi="Times" w:cs="宋体"/>
      <w:kern w:val="0"/>
      <w:szCs w:val="20"/>
    </w:rPr>
  </w:style>
  <w:style w:type="paragraph" w:customStyle="1" w:styleId="2368">
    <w:name w:val="表格内字体4"/>
    <w:basedOn w:val="207"/>
    <w:next w:val="207"/>
    <w:uiPriority w:val="0"/>
    <w:pPr>
      <w:spacing w:line="240" w:lineRule="auto"/>
      <w:ind w:firstLine="0"/>
      <w:jc w:val="center"/>
    </w:pPr>
    <w:rPr>
      <w:rFonts w:hAnsi="宋体"/>
      <w:sz w:val="21"/>
      <w:szCs w:val="24"/>
    </w:rPr>
  </w:style>
  <w:style w:type="paragraph" w:customStyle="1" w:styleId="2369">
    <w:name w:val="表题11"/>
    <w:basedOn w:val="19"/>
    <w:uiPriority w:val="0"/>
    <w:pPr>
      <w:widowControl/>
      <w:ind w:firstLine="0" w:firstLineChars="0"/>
      <w:jc w:val="center"/>
    </w:pPr>
    <w:rPr>
      <w:rFonts w:ascii="黑体" w:cs="Arial"/>
    </w:rPr>
  </w:style>
  <w:style w:type="paragraph" w:customStyle="1" w:styleId="2370">
    <w:name w:val="列表编号 41"/>
    <w:basedOn w:val="1"/>
    <w:uiPriority w:val="0"/>
    <w:pPr>
      <w:widowControl/>
      <w:tabs>
        <w:tab w:val="left" w:pos="1620"/>
      </w:tabs>
      <w:ind w:left="1620" w:hanging="360"/>
      <w:jc w:val="left"/>
    </w:pPr>
    <w:rPr>
      <w:rFonts w:ascii="宋体" w:hAnsi="宋体" w:cs="宋体"/>
      <w:kern w:val="0"/>
      <w:szCs w:val="24"/>
    </w:rPr>
  </w:style>
  <w:style w:type="paragraph" w:customStyle="1" w:styleId="2371">
    <w:name w:val="图题2"/>
    <w:basedOn w:val="207"/>
    <w:next w:val="207"/>
    <w:uiPriority w:val="0"/>
    <w:pPr>
      <w:ind w:firstLine="0"/>
      <w:jc w:val="center"/>
    </w:pPr>
    <w:rPr>
      <w:rFonts w:ascii="黑体" w:hAnsi="宋体" w:eastAsia="黑体" w:cs="宋体"/>
      <w:b/>
      <w:bCs/>
      <w:szCs w:val="24"/>
    </w:rPr>
  </w:style>
  <w:style w:type="paragraph" w:customStyle="1" w:styleId="2372">
    <w:name w:val="表内54112"/>
    <w:basedOn w:val="1"/>
    <w:uiPriority w:val="0"/>
    <w:pPr>
      <w:widowControl/>
      <w:spacing w:line="300" w:lineRule="auto"/>
      <w:jc w:val="center"/>
    </w:pPr>
    <w:rPr>
      <w:rFonts w:ascii="宋体" w:hAnsi="宋体" w:cs="宋体"/>
      <w:kern w:val="0"/>
      <w:szCs w:val="20"/>
    </w:rPr>
  </w:style>
  <w:style w:type="paragraph" w:customStyle="1" w:styleId="2373">
    <w:name w:val="表中文字3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374">
    <w:name w:val="Char47"/>
    <w:basedOn w:val="1"/>
    <w:uiPriority w:val="0"/>
    <w:pPr>
      <w:widowControl/>
      <w:ind w:left="-48"/>
      <w:jc w:val="left"/>
    </w:pPr>
    <w:rPr>
      <w:rFonts w:ascii="宋体" w:hAnsi="宋体" w:cs="宋体"/>
      <w:kern w:val="0"/>
      <w:szCs w:val="24"/>
    </w:rPr>
  </w:style>
  <w:style w:type="paragraph" w:customStyle="1" w:styleId="2375">
    <w:name w:val="表内文字小21221"/>
    <w:basedOn w:val="1"/>
    <w:uiPriority w:val="0"/>
    <w:pPr>
      <w:widowControl/>
      <w:jc w:val="center"/>
    </w:pPr>
    <w:rPr>
      <w:rFonts w:ascii="宋体" w:hAnsi="Times" w:cs="宋体"/>
      <w:bCs/>
      <w:color w:val="000000"/>
      <w:kern w:val="0"/>
      <w:szCs w:val="20"/>
    </w:rPr>
  </w:style>
  <w:style w:type="paragraph" w:customStyle="1" w:styleId="2376">
    <w:name w:val="表内54121"/>
    <w:basedOn w:val="1"/>
    <w:uiPriority w:val="0"/>
    <w:pPr>
      <w:widowControl/>
      <w:spacing w:line="300" w:lineRule="auto"/>
      <w:jc w:val="center"/>
    </w:pPr>
    <w:rPr>
      <w:rFonts w:ascii="宋体" w:hAnsi="宋体" w:cs="宋体"/>
      <w:kern w:val="0"/>
      <w:szCs w:val="20"/>
    </w:rPr>
  </w:style>
  <w:style w:type="paragraph" w:customStyle="1" w:styleId="2377">
    <w:name w:val="表中文字54"/>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378">
    <w:name w:val="Char93"/>
    <w:basedOn w:val="1"/>
    <w:uiPriority w:val="0"/>
    <w:pPr>
      <w:widowControl/>
      <w:ind w:left="-48"/>
      <w:jc w:val="left"/>
    </w:pPr>
    <w:rPr>
      <w:rFonts w:ascii="宋体" w:hAnsi="宋体" w:cs="宋体"/>
      <w:kern w:val="0"/>
      <w:szCs w:val="24"/>
    </w:rPr>
  </w:style>
  <w:style w:type="paragraph" w:customStyle="1" w:styleId="2379">
    <w:name w:val="表题3121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380">
    <w:name w:val="Char35"/>
    <w:basedOn w:val="1"/>
    <w:uiPriority w:val="0"/>
    <w:pPr>
      <w:widowControl/>
      <w:ind w:left="-48"/>
      <w:jc w:val="left"/>
    </w:pPr>
    <w:rPr>
      <w:rFonts w:ascii="宋体" w:hAnsi="宋体" w:cs="宋体"/>
      <w:kern w:val="0"/>
      <w:szCs w:val="24"/>
    </w:rPr>
  </w:style>
  <w:style w:type="paragraph" w:customStyle="1" w:styleId="2381">
    <w:name w:val="Char312"/>
    <w:basedOn w:val="1"/>
    <w:uiPriority w:val="0"/>
    <w:pPr>
      <w:widowControl/>
      <w:ind w:left="-48"/>
      <w:jc w:val="left"/>
    </w:pPr>
    <w:rPr>
      <w:rFonts w:ascii="宋体" w:hAnsi="宋体" w:cs="宋体"/>
      <w:kern w:val="0"/>
      <w:szCs w:val="24"/>
    </w:rPr>
  </w:style>
  <w:style w:type="paragraph" w:customStyle="1" w:styleId="2382">
    <w:name w:val="黑体三号41"/>
    <w:basedOn w:val="207"/>
    <w:uiPriority w:val="0"/>
    <w:pPr>
      <w:jc w:val="center"/>
    </w:pPr>
    <w:rPr>
      <w:rFonts w:ascii="黑体" w:hAnsi="宋体" w:eastAsia="黑体" w:cs="宋体"/>
      <w:b/>
      <w:bCs/>
      <w:sz w:val="32"/>
      <w:szCs w:val="20"/>
    </w:rPr>
  </w:style>
  <w:style w:type="paragraph" w:customStyle="1" w:styleId="2383">
    <w:name w:val="表内文字小232"/>
    <w:basedOn w:val="1"/>
    <w:uiPriority w:val="0"/>
    <w:pPr>
      <w:widowControl/>
      <w:jc w:val="center"/>
    </w:pPr>
    <w:rPr>
      <w:rFonts w:ascii="宋体" w:hAnsi="Times" w:cs="宋体"/>
      <w:bCs/>
      <w:color w:val="000000"/>
      <w:kern w:val="0"/>
      <w:szCs w:val="20"/>
    </w:rPr>
  </w:style>
  <w:style w:type="paragraph" w:customStyle="1" w:styleId="2384">
    <w:name w:val="正文修改13"/>
    <w:basedOn w:val="236"/>
    <w:uiPriority w:val="0"/>
    <w:rPr>
      <w:rFonts w:hAnsi="宋体" w:eastAsia="宋体" w:cs="宋体"/>
      <w:color w:val="000000"/>
      <w:szCs w:val="24"/>
    </w:rPr>
  </w:style>
  <w:style w:type="paragraph" w:customStyle="1" w:styleId="2385">
    <w:name w:val="附件13"/>
    <w:basedOn w:val="2"/>
    <w:next w:val="207"/>
    <w:uiPriority w:val="0"/>
    <w:pPr>
      <w:numPr>
        <w:numId w:val="0"/>
      </w:numPr>
      <w:spacing w:before="220"/>
    </w:pPr>
    <w:rPr>
      <w:rFonts w:ascii="黑体" w:eastAsia="黑体"/>
      <w:sz w:val="32"/>
      <w:szCs w:val="32"/>
      <w:lang w:val="zh-CN" w:eastAsia="zh-CN"/>
    </w:rPr>
  </w:style>
  <w:style w:type="paragraph" w:customStyle="1" w:styleId="2386">
    <w:name w:val="Char152"/>
    <w:basedOn w:val="1"/>
    <w:uiPriority w:val="0"/>
    <w:pPr>
      <w:widowControl/>
      <w:spacing w:before="156"/>
      <w:jc w:val="left"/>
    </w:pPr>
    <w:rPr>
      <w:rFonts w:ascii="黑体" w:hAnsi="宋体" w:eastAsia="黑体" w:cs="宋体"/>
      <w:kern w:val="0"/>
      <w:sz w:val="32"/>
      <w:szCs w:val="32"/>
    </w:rPr>
  </w:style>
  <w:style w:type="paragraph" w:customStyle="1" w:styleId="2387">
    <w:name w:val="默认段落字体 Para Char Char Char Char Char2"/>
    <w:basedOn w:val="1"/>
    <w:uiPriority w:val="0"/>
    <w:pPr>
      <w:widowControl/>
      <w:jc w:val="left"/>
    </w:pPr>
    <w:rPr>
      <w:rFonts w:ascii="宋体" w:hAnsi="宋体" w:cs="宋体"/>
      <w:kern w:val="0"/>
      <w:szCs w:val="24"/>
    </w:rPr>
  </w:style>
  <w:style w:type="paragraph" w:customStyle="1" w:styleId="2388">
    <w:name w:val="表内512"/>
    <w:basedOn w:val="1"/>
    <w:uiPriority w:val="0"/>
    <w:pPr>
      <w:widowControl/>
      <w:jc w:val="center"/>
    </w:pPr>
    <w:rPr>
      <w:rFonts w:ascii="宋体" w:hAnsi="宋体" w:cs="宋体"/>
      <w:kern w:val="0"/>
      <w:sz w:val="20"/>
      <w:szCs w:val="20"/>
    </w:rPr>
  </w:style>
  <w:style w:type="paragraph" w:customStyle="1" w:styleId="2389">
    <w:name w:val="表内文字小1"/>
    <w:basedOn w:val="1"/>
    <w:uiPriority w:val="0"/>
    <w:pPr>
      <w:widowControl/>
      <w:jc w:val="center"/>
    </w:pPr>
    <w:rPr>
      <w:rFonts w:ascii="宋体" w:hAnsi="Times" w:cs="宋体"/>
      <w:kern w:val="0"/>
      <w:szCs w:val="20"/>
    </w:rPr>
  </w:style>
  <w:style w:type="paragraph" w:customStyle="1" w:styleId="2390">
    <w:name w:val="表内文字小31111"/>
    <w:basedOn w:val="1"/>
    <w:uiPriority w:val="0"/>
    <w:pPr>
      <w:widowControl/>
      <w:jc w:val="center"/>
    </w:pPr>
    <w:rPr>
      <w:rFonts w:ascii="宋体" w:hAnsi="Times" w:cs="宋体"/>
      <w:bCs/>
      <w:color w:val="003366"/>
      <w:kern w:val="0"/>
      <w:szCs w:val="20"/>
    </w:rPr>
  </w:style>
  <w:style w:type="paragraph" w:customStyle="1" w:styleId="2391">
    <w:name w:val="燕山正文114"/>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392">
    <w:name w:val="燕山正文1123"/>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393">
    <w:name w:val="Char24"/>
    <w:basedOn w:val="1"/>
    <w:uiPriority w:val="0"/>
    <w:pPr>
      <w:widowControl/>
      <w:ind w:left="-48"/>
      <w:jc w:val="left"/>
    </w:pPr>
    <w:rPr>
      <w:rFonts w:ascii="宋体" w:hAnsi="宋体" w:cs="宋体"/>
      <w:kern w:val="0"/>
      <w:szCs w:val="24"/>
    </w:rPr>
  </w:style>
  <w:style w:type="paragraph" w:customStyle="1" w:styleId="2394">
    <w:name w:val="表内文字小231"/>
    <w:basedOn w:val="1"/>
    <w:uiPriority w:val="0"/>
    <w:pPr>
      <w:widowControl/>
      <w:jc w:val="center"/>
    </w:pPr>
    <w:rPr>
      <w:rFonts w:ascii="宋体" w:hAnsi="Times" w:cs="宋体"/>
      <w:bCs/>
      <w:color w:val="000000"/>
      <w:kern w:val="0"/>
      <w:szCs w:val="20"/>
    </w:rPr>
  </w:style>
  <w:style w:type="paragraph" w:customStyle="1" w:styleId="2395">
    <w:name w:val="Char73"/>
    <w:basedOn w:val="1"/>
    <w:uiPriority w:val="0"/>
    <w:pPr>
      <w:widowControl/>
      <w:ind w:left="-48"/>
      <w:jc w:val="left"/>
    </w:pPr>
    <w:rPr>
      <w:rFonts w:ascii="宋体" w:hAnsi="宋体" w:cs="宋体"/>
      <w:kern w:val="0"/>
      <w:szCs w:val="24"/>
    </w:rPr>
  </w:style>
  <w:style w:type="paragraph" w:customStyle="1" w:styleId="2396">
    <w:name w:val="标题43113"/>
    <w:basedOn w:val="1"/>
    <w:uiPriority w:val="0"/>
    <w:pPr>
      <w:widowControl/>
      <w:spacing w:line="480" w:lineRule="exact"/>
      <w:jc w:val="center"/>
    </w:pPr>
    <w:rPr>
      <w:rFonts w:ascii="宋体" w:hAnsi="宋体" w:cs="宋体"/>
      <w:kern w:val="0"/>
      <w:szCs w:val="24"/>
    </w:rPr>
  </w:style>
  <w:style w:type="paragraph" w:customStyle="1" w:styleId="2397">
    <w:name w:val="Char224"/>
    <w:basedOn w:val="1"/>
    <w:uiPriority w:val="0"/>
    <w:pPr>
      <w:widowControl/>
      <w:ind w:left="-48"/>
      <w:jc w:val="left"/>
    </w:pPr>
    <w:rPr>
      <w:rFonts w:ascii="宋体" w:hAnsi="宋体" w:cs="宋体"/>
      <w:kern w:val="0"/>
      <w:szCs w:val="24"/>
    </w:rPr>
  </w:style>
  <w:style w:type="paragraph" w:customStyle="1" w:styleId="2398">
    <w:name w:val="Char Char Char Char1 Char Char Char26"/>
    <w:basedOn w:val="1"/>
    <w:uiPriority w:val="0"/>
    <w:pPr>
      <w:widowControl/>
      <w:spacing w:after="160" w:line="240" w:lineRule="exact"/>
      <w:jc w:val="left"/>
    </w:pPr>
    <w:rPr>
      <w:rFonts w:ascii="Verdana" w:hAnsi="Verdana" w:cs="宋体"/>
      <w:kern w:val="0"/>
      <w:sz w:val="20"/>
      <w:szCs w:val="20"/>
      <w:lang w:eastAsia="en-US"/>
    </w:rPr>
  </w:style>
  <w:style w:type="paragraph" w:customStyle="1" w:styleId="2399">
    <w:name w:val="Char1131"/>
    <w:basedOn w:val="1"/>
    <w:uiPriority w:val="0"/>
    <w:pPr>
      <w:widowControl/>
      <w:ind w:left="-48"/>
      <w:jc w:val="left"/>
    </w:pPr>
    <w:rPr>
      <w:rFonts w:ascii="宋体" w:hAnsi="宋体" w:cs="宋体"/>
      <w:kern w:val="0"/>
      <w:szCs w:val="24"/>
    </w:rPr>
  </w:style>
  <w:style w:type="paragraph" w:customStyle="1" w:styleId="2400">
    <w:name w:val="黑体三号23"/>
    <w:basedOn w:val="207"/>
    <w:uiPriority w:val="0"/>
    <w:pPr>
      <w:jc w:val="center"/>
    </w:pPr>
    <w:rPr>
      <w:rFonts w:ascii="黑体" w:hAnsi="宋体" w:eastAsia="黑体" w:cs="宋体"/>
      <w:b/>
      <w:bCs/>
      <w:sz w:val="32"/>
      <w:szCs w:val="20"/>
    </w:rPr>
  </w:style>
  <w:style w:type="paragraph" w:customStyle="1" w:styleId="2401">
    <w:name w:val="燕山正文1311"/>
    <w:basedOn w:val="1"/>
    <w:uiPriority w:val="0"/>
    <w:pPr>
      <w:widowControl/>
      <w:tabs>
        <w:tab w:val="left" w:pos="4680"/>
      </w:tabs>
      <w:ind w:firstLine="480"/>
      <w:jc w:val="left"/>
    </w:pPr>
    <w:rPr>
      <w:rFonts w:ascii="宋体" w:hAnsi="宋体" w:cs="宋体"/>
      <w:bCs/>
      <w:color w:val="000000"/>
      <w:kern w:val="0"/>
      <w:szCs w:val="24"/>
    </w:rPr>
  </w:style>
  <w:style w:type="paragraph" w:customStyle="1" w:styleId="2402">
    <w:name w:val="Char18"/>
    <w:basedOn w:val="1"/>
    <w:uiPriority w:val="0"/>
    <w:pPr>
      <w:widowControl/>
      <w:ind w:left="-48"/>
      <w:jc w:val="left"/>
    </w:pPr>
    <w:rPr>
      <w:rFonts w:ascii="宋体" w:hAnsi="宋体" w:cs="宋体"/>
      <w:kern w:val="0"/>
      <w:szCs w:val="24"/>
    </w:rPr>
  </w:style>
  <w:style w:type="paragraph" w:customStyle="1" w:styleId="2403">
    <w:name w:val="正文缩2"/>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2404">
    <w:name w:val="燕山正文111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405">
    <w:name w:val="黑体三号6"/>
    <w:basedOn w:val="207"/>
    <w:uiPriority w:val="0"/>
    <w:pPr>
      <w:jc w:val="center"/>
    </w:pPr>
    <w:rPr>
      <w:rFonts w:ascii="黑体" w:hAnsi="宋体" w:eastAsia="黑体" w:cs="宋体"/>
      <w:b/>
      <w:bCs/>
      <w:sz w:val="32"/>
      <w:szCs w:val="20"/>
    </w:rPr>
  </w:style>
  <w:style w:type="paragraph" w:customStyle="1" w:styleId="2406">
    <w:name w:val="样式1212"/>
    <w:basedOn w:val="1779"/>
    <w:uiPriority w:val="0"/>
    <w:pPr>
      <w:spacing w:line="240" w:lineRule="auto"/>
      <w:ind w:firstLine="0"/>
      <w:jc w:val="center"/>
    </w:pPr>
    <w:rPr>
      <w:rFonts w:cs="Times New Roman"/>
      <w:b/>
      <w:color w:val="auto"/>
      <w:szCs w:val="20"/>
    </w:rPr>
  </w:style>
  <w:style w:type="paragraph" w:customStyle="1" w:styleId="2407">
    <w:name w:val="Char10"/>
    <w:basedOn w:val="1"/>
    <w:uiPriority w:val="0"/>
    <w:pPr>
      <w:widowControl/>
      <w:jc w:val="left"/>
    </w:pPr>
    <w:rPr>
      <w:rFonts w:ascii="宋体" w:hAnsi="宋体" w:cs="宋体"/>
      <w:kern w:val="0"/>
      <w:szCs w:val="24"/>
    </w:rPr>
  </w:style>
  <w:style w:type="paragraph" w:customStyle="1" w:styleId="2408">
    <w:name w:val="表内5415"/>
    <w:basedOn w:val="1"/>
    <w:uiPriority w:val="0"/>
    <w:pPr>
      <w:widowControl/>
      <w:spacing w:line="300" w:lineRule="auto"/>
      <w:jc w:val="center"/>
    </w:pPr>
    <w:rPr>
      <w:rFonts w:ascii="宋体" w:hAnsi="宋体" w:cs="宋体"/>
      <w:kern w:val="0"/>
      <w:szCs w:val="20"/>
    </w:rPr>
  </w:style>
  <w:style w:type="paragraph" w:customStyle="1" w:styleId="2409">
    <w:name w:val="样式21"/>
    <w:basedOn w:val="1"/>
    <w:uiPriority w:val="0"/>
    <w:pPr>
      <w:widowControl/>
      <w:jc w:val="center"/>
      <w:textAlignment w:val="baseline"/>
      <w:outlineLvl w:val="0"/>
    </w:pPr>
    <w:rPr>
      <w:rFonts w:ascii="宋体" w:hAnsi="宋体" w:cs="宋体"/>
      <w:kern w:val="0"/>
      <w:szCs w:val="20"/>
    </w:rPr>
  </w:style>
  <w:style w:type="paragraph" w:customStyle="1" w:styleId="2410">
    <w:name w:val="默认段落字体 Para Char Char Char Char53"/>
    <w:basedOn w:val="1"/>
    <w:uiPriority w:val="0"/>
    <w:pPr>
      <w:widowControl/>
      <w:jc w:val="left"/>
    </w:pPr>
    <w:rPr>
      <w:rFonts w:ascii="宋体" w:hAnsi="宋体" w:cs="宋体"/>
      <w:kern w:val="0"/>
      <w:szCs w:val="24"/>
    </w:rPr>
  </w:style>
  <w:style w:type="paragraph" w:customStyle="1" w:styleId="2411">
    <w:name w:val="表内文字小316"/>
    <w:basedOn w:val="1"/>
    <w:uiPriority w:val="0"/>
    <w:pPr>
      <w:widowControl/>
      <w:jc w:val="center"/>
    </w:pPr>
    <w:rPr>
      <w:rFonts w:ascii="宋体" w:hAnsi="Times" w:cs="宋体"/>
      <w:bCs/>
      <w:color w:val="003366"/>
      <w:kern w:val="0"/>
      <w:szCs w:val="20"/>
    </w:rPr>
  </w:style>
  <w:style w:type="paragraph" w:customStyle="1" w:styleId="2412">
    <w:name w:val="表中文字11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413">
    <w:name w:val="正文格式＝43"/>
    <w:basedOn w:val="207"/>
    <w:next w:val="207"/>
    <w:uiPriority w:val="0"/>
    <w:rPr>
      <w:rFonts w:hAnsi="宋体"/>
      <w:szCs w:val="24"/>
    </w:rPr>
  </w:style>
  <w:style w:type="paragraph" w:customStyle="1" w:styleId="2414">
    <w:name w:val="Char Char Char Char Char Char Char26"/>
    <w:basedOn w:val="1"/>
    <w:uiPriority w:val="0"/>
    <w:pPr>
      <w:widowControl/>
      <w:jc w:val="left"/>
    </w:pPr>
    <w:rPr>
      <w:rFonts w:ascii="宋体" w:hAnsi="宋体" w:cs="宋体"/>
      <w:kern w:val="0"/>
      <w:szCs w:val="24"/>
    </w:rPr>
  </w:style>
  <w:style w:type="paragraph" w:customStyle="1" w:styleId="2415">
    <w:name w:val="正文格式＝21"/>
    <w:basedOn w:val="207"/>
    <w:next w:val="207"/>
    <w:uiPriority w:val="0"/>
    <w:rPr>
      <w:rFonts w:hAnsi="宋体"/>
      <w:szCs w:val="24"/>
    </w:rPr>
  </w:style>
  <w:style w:type="paragraph" w:customStyle="1" w:styleId="2416">
    <w:name w:val="表内宋513"/>
    <w:basedOn w:val="1935"/>
    <w:uiPriority w:val="0"/>
    <w:pPr>
      <w:autoSpaceDE w:val="0"/>
      <w:autoSpaceDN w:val="0"/>
      <w:textAlignment w:val="auto"/>
    </w:pPr>
    <w:rPr>
      <w:color w:val="auto"/>
      <w:w w:val="90"/>
    </w:rPr>
  </w:style>
  <w:style w:type="paragraph" w:customStyle="1" w:styleId="2417">
    <w:name w:val="Char62"/>
    <w:basedOn w:val="1"/>
    <w:uiPriority w:val="0"/>
    <w:pPr>
      <w:widowControl/>
      <w:spacing w:before="156"/>
      <w:jc w:val="left"/>
    </w:pPr>
    <w:rPr>
      <w:rFonts w:ascii="黑体" w:hAnsi="宋体" w:eastAsia="黑体" w:cs="宋体"/>
      <w:kern w:val="0"/>
      <w:sz w:val="32"/>
      <w:szCs w:val="32"/>
    </w:rPr>
  </w:style>
  <w:style w:type="paragraph" w:customStyle="1" w:styleId="2418">
    <w:name w:val="Fax Header"/>
    <w:basedOn w:val="1"/>
    <w:uiPriority w:val="0"/>
    <w:pPr>
      <w:widowControl/>
      <w:spacing w:before="240" w:after="60"/>
      <w:jc w:val="left"/>
    </w:pPr>
    <w:rPr>
      <w:rFonts w:ascii="宋体" w:hAnsi="宋体" w:cs="宋体"/>
      <w:kern w:val="0"/>
      <w:sz w:val="20"/>
      <w:szCs w:val="20"/>
    </w:rPr>
  </w:style>
  <w:style w:type="paragraph" w:customStyle="1" w:styleId="2419">
    <w:name w:val="表23"/>
    <w:basedOn w:val="1"/>
    <w:uiPriority w:val="0"/>
    <w:pPr>
      <w:widowControl/>
      <w:jc w:val="center"/>
    </w:pPr>
    <w:rPr>
      <w:rFonts w:ascii="宋体" w:hAnsi="宋体" w:cs="宋体"/>
      <w:kern w:val="0"/>
      <w:szCs w:val="24"/>
    </w:rPr>
  </w:style>
  <w:style w:type="paragraph" w:customStyle="1" w:styleId="2420">
    <w:name w:val="标准21"/>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2421">
    <w:name w:val="表题312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422">
    <w:name w:val="Char Char Char Char Char Char Char17"/>
    <w:basedOn w:val="1"/>
    <w:uiPriority w:val="0"/>
    <w:pPr>
      <w:widowControl/>
      <w:jc w:val="left"/>
    </w:pPr>
    <w:rPr>
      <w:rFonts w:ascii="宋体" w:hAnsi="宋体" w:cs="宋体"/>
      <w:kern w:val="0"/>
      <w:szCs w:val="24"/>
    </w:rPr>
  </w:style>
  <w:style w:type="paragraph" w:customStyle="1" w:styleId="2423">
    <w:name w:val="表内593"/>
    <w:basedOn w:val="1"/>
    <w:uiPriority w:val="0"/>
    <w:pPr>
      <w:widowControl/>
      <w:spacing w:line="300" w:lineRule="auto"/>
      <w:jc w:val="center"/>
    </w:pPr>
    <w:rPr>
      <w:rFonts w:ascii="宋体" w:hAnsi="宋体" w:cs="宋体"/>
      <w:snapToGrid w:val="0"/>
      <w:kern w:val="0"/>
      <w:szCs w:val="21"/>
    </w:rPr>
  </w:style>
  <w:style w:type="paragraph" w:customStyle="1" w:styleId="2424">
    <w:name w:val="Char161"/>
    <w:basedOn w:val="1"/>
    <w:uiPriority w:val="0"/>
    <w:pPr>
      <w:widowControl/>
      <w:ind w:left="-48"/>
      <w:jc w:val="left"/>
    </w:pPr>
    <w:rPr>
      <w:rFonts w:ascii="宋体" w:hAnsi="宋体" w:cs="宋体"/>
      <w:kern w:val="0"/>
      <w:szCs w:val="24"/>
    </w:rPr>
  </w:style>
  <w:style w:type="paragraph" w:customStyle="1" w:styleId="2425">
    <w:name w:val="Char Char Char Char Char Char Char214"/>
    <w:basedOn w:val="1"/>
    <w:uiPriority w:val="0"/>
    <w:pPr>
      <w:widowControl/>
      <w:jc w:val="left"/>
    </w:pPr>
    <w:rPr>
      <w:rFonts w:ascii="宋体" w:hAnsi="宋体" w:cs="宋体"/>
      <w:kern w:val="0"/>
      <w:szCs w:val="24"/>
    </w:rPr>
  </w:style>
  <w:style w:type="paragraph" w:customStyle="1" w:styleId="2426">
    <w:name w:val="表内文字小3"/>
    <w:basedOn w:val="1"/>
    <w:uiPriority w:val="0"/>
    <w:pPr>
      <w:widowControl/>
      <w:jc w:val="center"/>
    </w:pPr>
    <w:rPr>
      <w:rFonts w:ascii="宋体" w:hAnsi="Times" w:cs="宋体"/>
      <w:kern w:val="0"/>
      <w:szCs w:val="20"/>
    </w:rPr>
  </w:style>
  <w:style w:type="paragraph" w:customStyle="1" w:styleId="2427">
    <w:name w:val="表内宋5中112"/>
    <w:basedOn w:val="1"/>
    <w:uiPriority w:val="0"/>
    <w:pPr>
      <w:widowControl/>
      <w:jc w:val="center"/>
      <w:textAlignment w:val="baseline"/>
    </w:pPr>
    <w:rPr>
      <w:rFonts w:ascii="宋体" w:hAnsi="宋体" w:cs="宋体"/>
      <w:kern w:val="0"/>
      <w:szCs w:val="20"/>
    </w:rPr>
  </w:style>
  <w:style w:type="paragraph" w:customStyle="1" w:styleId="2428">
    <w:name w:val="表内5中31"/>
    <w:basedOn w:val="1"/>
    <w:uiPriority w:val="0"/>
    <w:pPr>
      <w:widowControl/>
      <w:jc w:val="center"/>
    </w:pPr>
    <w:rPr>
      <w:rFonts w:ascii="宋体" w:hAnsi="宋体" w:cs="Arial"/>
      <w:snapToGrid w:val="0"/>
      <w:color w:val="000000"/>
      <w:kern w:val="0"/>
      <w:szCs w:val="21"/>
    </w:rPr>
  </w:style>
  <w:style w:type="paragraph" w:customStyle="1" w:styleId="2429">
    <w:name w:val="表中文字5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430">
    <w:name w:val="表题2112"/>
    <w:basedOn w:val="1"/>
    <w:uiPriority w:val="0"/>
    <w:pPr>
      <w:widowControl/>
      <w:jc w:val="center"/>
    </w:pPr>
    <w:rPr>
      <w:rFonts w:ascii="黑体" w:hAnsi="宋体" w:eastAsia="黑体" w:cs="宋体"/>
      <w:kern w:val="0"/>
      <w:szCs w:val="24"/>
    </w:rPr>
  </w:style>
  <w:style w:type="paragraph" w:customStyle="1" w:styleId="2431">
    <w:name w:val="默认段落字体 Para Char Char Char Char Char3"/>
    <w:basedOn w:val="1"/>
    <w:uiPriority w:val="0"/>
    <w:pPr>
      <w:widowControl/>
      <w:jc w:val="left"/>
    </w:pPr>
    <w:rPr>
      <w:rFonts w:ascii="宋体" w:hAnsi="宋体" w:cs="宋体"/>
      <w:kern w:val="0"/>
      <w:szCs w:val="24"/>
    </w:rPr>
  </w:style>
  <w:style w:type="paragraph" w:customStyle="1" w:styleId="2432">
    <w:name w:val="Char Char2 Char Char Char Char21"/>
    <w:basedOn w:val="1"/>
    <w:uiPriority w:val="0"/>
    <w:pPr>
      <w:widowControl/>
      <w:jc w:val="left"/>
    </w:pPr>
    <w:rPr>
      <w:rFonts w:ascii="宋体" w:hAnsi="宋体" w:cs="宋体"/>
      <w:kern w:val="0"/>
      <w:szCs w:val="24"/>
    </w:rPr>
  </w:style>
  <w:style w:type="paragraph" w:customStyle="1" w:styleId="2433">
    <w:name w:val="表内541311"/>
    <w:basedOn w:val="1"/>
    <w:uiPriority w:val="0"/>
    <w:pPr>
      <w:widowControl/>
      <w:spacing w:line="300" w:lineRule="auto"/>
      <w:jc w:val="center"/>
    </w:pPr>
    <w:rPr>
      <w:rFonts w:ascii="宋体" w:hAnsi="宋体" w:cs="宋体"/>
      <w:kern w:val="0"/>
      <w:szCs w:val="20"/>
    </w:rPr>
  </w:style>
  <w:style w:type="paragraph" w:customStyle="1" w:styleId="2434">
    <w:name w:val="附件111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435">
    <w:name w:val="正文斜体2"/>
    <w:basedOn w:val="207"/>
    <w:next w:val="207"/>
    <w:uiPriority w:val="0"/>
    <w:rPr>
      <w:rFonts w:hAnsi="宋体"/>
      <w:i/>
      <w:iCs/>
      <w:szCs w:val="24"/>
    </w:rPr>
  </w:style>
  <w:style w:type="paragraph" w:customStyle="1" w:styleId="2436">
    <w:name w:val="样式 表格内字体1 +3"/>
    <w:basedOn w:val="2316"/>
    <w:next w:val="347"/>
    <w:uiPriority w:val="0"/>
    <w:rPr>
      <w:rFonts w:hAnsi="Times New Roman" w:cs="宋体"/>
      <w:szCs w:val="20"/>
    </w:rPr>
  </w:style>
  <w:style w:type="paragraph" w:customStyle="1" w:styleId="2437">
    <w:name w:val="标准1"/>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2438">
    <w:name w:val="标题43"/>
    <w:basedOn w:val="1"/>
    <w:uiPriority w:val="0"/>
    <w:pPr>
      <w:widowControl/>
      <w:spacing w:line="300" w:lineRule="auto"/>
      <w:jc w:val="left"/>
    </w:pPr>
    <w:rPr>
      <w:rFonts w:ascii="黑体" w:hAnsi="宋体" w:eastAsia="黑体" w:cs="宋体"/>
      <w:bCs/>
      <w:kern w:val="0"/>
      <w:szCs w:val="24"/>
    </w:rPr>
  </w:style>
  <w:style w:type="paragraph" w:customStyle="1" w:styleId="2439">
    <w:name w:val="表内文字小21111"/>
    <w:basedOn w:val="1"/>
    <w:uiPriority w:val="0"/>
    <w:pPr>
      <w:widowControl/>
      <w:jc w:val="center"/>
    </w:pPr>
    <w:rPr>
      <w:rFonts w:ascii="宋体" w:hAnsi="Times" w:cs="宋体"/>
      <w:bCs/>
      <w:color w:val="000000"/>
      <w:kern w:val="0"/>
      <w:szCs w:val="20"/>
    </w:rPr>
  </w:style>
  <w:style w:type="paragraph" w:customStyle="1" w:styleId="2440">
    <w:name w:val="Char13"/>
    <w:basedOn w:val="1"/>
    <w:uiPriority w:val="0"/>
    <w:pPr>
      <w:widowControl/>
      <w:ind w:left="-48"/>
      <w:jc w:val="left"/>
    </w:pPr>
    <w:rPr>
      <w:rFonts w:ascii="宋体" w:hAnsi="宋体" w:cs="宋体"/>
      <w:kern w:val="0"/>
      <w:szCs w:val="24"/>
    </w:rPr>
  </w:style>
  <w:style w:type="paragraph" w:customStyle="1" w:styleId="2441">
    <w:name w:val="表内541112"/>
    <w:basedOn w:val="1"/>
    <w:uiPriority w:val="0"/>
    <w:pPr>
      <w:widowControl/>
      <w:spacing w:line="300" w:lineRule="auto"/>
      <w:jc w:val="center"/>
    </w:pPr>
    <w:rPr>
      <w:rFonts w:ascii="宋体" w:hAnsi="宋体" w:cs="宋体"/>
      <w:kern w:val="0"/>
      <w:szCs w:val="20"/>
    </w:rPr>
  </w:style>
  <w:style w:type="paragraph" w:customStyle="1" w:styleId="2442">
    <w:name w:val="文本框4"/>
    <w:basedOn w:val="1"/>
    <w:uiPriority w:val="0"/>
    <w:pPr>
      <w:widowControl/>
      <w:spacing w:after="6"/>
      <w:jc w:val="center"/>
    </w:pPr>
    <w:rPr>
      <w:rFonts w:ascii="宋体" w:hAnsi="宋体" w:cs="宋体"/>
      <w:kern w:val="0"/>
      <w:szCs w:val="24"/>
    </w:rPr>
  </w:style>
  <w:style w:type="paragraph" w:customStyle="1" w:styleId="2443">
    <w:name w:val="Char Char Char Char Char Char Char7"/>
    <w:basedOn w:val="1"/>
    <w:uiPriority w:val="0"/>
    <w:pPr>
      <w:widowControl/>
      <w:jc w:val="left"/>
    </w:pPr>
    <w:rPr>
      <w:rFonts w:ascii="宋体" w:hAnsi="宋体" w:cs="宋体"/>
      <w:kern w:val="0"/>
      <w:szCs w:val="24"/>
    </w:rPr>
  </w:style>
  <w:style w:type="paragraph" w:customStyle="1" w:styleId="2444">
    <w:name w:val="正文格式＝113"/>
    <w:basedOn w:val="207"/>
    <w:next w:val="207"/>
    <w:uiPriority w:val="0"/>
    <w:rPr>
      <w:rFonts w:hAnsi="宋体"/>
      <w:szCs w:val="24"/>
    </w:rPr>
  </w:style>
  <w:style w:type="paragraph" w:customStyle="1" w:styleId="2445">
    <w:name w:val="Char Char Char Char1 Char Char Char111"/>
    <w:basedOn w:val="1"/>
    <w:uiPriority w:val="0"/>
    <w:pPr>
      <w:widowControl/>
      <w:spacing w:after="160" w:line="240" w:lineRule="exact"/>
      <w:jc w:val="left"/>
    </w:pPr>
    <w:rPr>
      <w:rFonts w:ascii="Verdana" w:hAnsi="Verdana" w:cs="宋体"/>
      <w:kern w:val="0"/>
      <w:sz w:val="20"/>
      <w:szCs w:val="20"/>
      <w:lang w:eastAsia="en-US"/>
    </w:rPr>
  </w:style>
  <w:style w:type="paragraph" w:customStyle="1" w:styleId="2446">
    <w:name w:val="正文修改31"/>
    <w:basedOn w:val="236"/>
    <w:uiPriority w:val="0"/>
    <w:rPr>
      <w:rFonts w:hAnsi="宋体" w:eastAsia="宋体" w:cs="宋体"/>
      <w:color w:val="000000"/>
      <w:szCs w:val="24"/>
    </w:rPr>
  </w:style>
  <w:style w:type="paragraph" w:customStyle="1" w:styleId="2447">
    <w:name w:val="表题413"/>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2448">
    <w:name w:val="表中文字11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449">
    <w:name w:val="燕山正文116"/>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450">
    <w:name w:val="表211"/>
    <w:basedOn w:val="1"/>
    <w:uiPriority w:val="0"/>
    <w:pPr>
      <w:widowControl/>
      <w:jc w:val="center"/>
    </w:pPr>
    <w:rPr>
      <w:rFonts w:ascii="宋体" w:hAnsi="宋体" w:cs="宋体"/>
      <w:kern w:val="0"/>
      <w:szCs w:val="24"/>
    </w:rPr>
  </w:style>
  <w:style w:type="paragraph" w:customStyle="1" w:styleId="2451">
    <w:name w:val="正文斜体11"/>
    <w:basedOn w:val="207"/>
    <w:next w:val="207"/>
    <w:uiPriority w:val="0"/>
    <w:rPr>
      <w:rFonts w:hAnsi="宋体"/>
      <w:i/>
      <w:iCs/>
      <w:szCs w:val="24"/>
    </w:rPr>
  </w:style>
  <w:style w:type="paragraph" w:customStyle="1" w:styleId="2452">
    <w:name w:val="表内文字小3112"/>
    <w:basedOn w:val="1"/>
    <w:uiPriority w:val="0"/>
    <w:pPr>
      <w:widowControl/>
      <w:jc w:val="center"/>
    </w:pPr>
    <w:rPr>
      <w:rFonts w:ascii="宋体" w:hAnsi="Times" w:cs="宋体"/>
      <w:bCs/>
      <w:color w:val="003366"/>
      <w:kern w:val="0"/>
      <w:szCs w:val="20"/>
    </w:rPr>
  </w:style>
  <w:style w:type="paragraph" w:customStyle="1" w:styleId="2453">
    <w:name w:val="表内541211"/>
    <w:basedOn w:val="1"/>
    <w:uiPriority w:val="0"/>
    <w:pPr>
      <w:widowControl/>
      <w:spacing w:line="300" w:lineRule="auto"/>
      <w:jc w:val="center"/>
    </w:pPr>
    <w:rPr>
      <w:rFonts w:ascii="宋体" w:hAnsi="宋体" w:cs="宋体"/>
      <w:kern w:val="0"/>
      <w:szCs w:val="20"/>
    </w:rPr>
  </w:style>
  <w:style w:type="paragraph" w:customStyle="1" w:styleId="2454">
    <w:name w:val="样式 标题 4无效格式无效格式1河石管道4H4H41小小节河石管道41H42H411小小节1河石管道42...4"/>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455">
    <w:name w:val="Char70"/>
    <w:basedOn w:val="1"/>
    <w:uiPriority w:val="0"/>
    <w:pPr>
      <w:widowControl/>
      <w:ind w:left="-48"/>
      <w:jc w:val="left"/>
    </w:pPr>
    <w:rPr>
      <w:rFonts w:ascii="宋体" w:hAnsi="宋体" w:cs="宋体"/>
      <w:kern w:val="0"/>
      <w:szCs w:val="24"/>
    </w:rPr>
  </w:style>
  <w:style w:type="paragraph" w:customStyle="1" w:styleId="2456">
    <w:name w:val="图表名称12"/>
    <w:basedOn w:val="155"/>
    <w:uiPriority w:val="0"/>
    <w:pPr>
      <w:spacing w:after="0" w:line="480" w:lineRule="exact"/>
      <w:ind w:firstLine="0" w:firstLineChars="0"/>
      <w:jc w:val="center"/>
    </w:pPr>
    <w:rPr>
      <w:rFonts w:ascii="宋体" w:hAnsi="宋体"/>
      <w:bCs/>
      <w:szCs w:val="24"/>
    </w:rPr>
  </w:style>
  <w:style w:type="paragraph" w:customStyle="1" w:styleId="2457">
    <w:name w:val="c3"/>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458">
    <w:name w:val="表内文字小3131"/>
    <w:basedOn w:val="1"/>
    <w:uiPriority w:val="0"/>
    <w:pPr>
      <w:widowControl/>
      <w:jc w:val="center"/>
    </w:pPr>
    <w:rPr>
      <w:rFonts w:ascii="宋体" w:hAnsi="Times" w:cs="宋体"/>
      <w:bCs/>
      <w:color w:val="003366"/>
      <w:kern w:val="0"/>
      <w:szCs w:val="20"/>
    </w:rPr>
  </w:style>
  <w:style w:type="paragraph" w:customStyle="1" w:styleId="2459">
    <w:name w:val="正文格式＝311"/>
    <w:basedOn w:val="207"/>
    <w:next w:val="207"/>
    <w:uiPriority w:val="0"/>
    <w:rPr>
      <w:rFonts w:hAnsi="宋体"/>
      <w:szCs w:val="24"/>
    </w:rPr>
  </w:style>
  <w:style w:type="paragraph" w:customStyle="1" w:styleId="2460">
    <w:name w:val="表中文字411"/>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2461">
    <w:name w:val="样式 标题 4无效格式无效格式1河石管道4H4H41小小节河石管道41H42H411小小节1河石管道42..."/>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462">
    <w:name w:val="正文格式＝9"/>
    <w:basedOn w:val="207"/>
    <w:next w:val="207"/>
    <w:uiPriority w:val="0"/>
    <w:rPr>
      <w:rFonts w:hAnsi="宋体"/>
      <w:szCs w:val="24"/>
    </w:rPr>
  </w:style>
  <w:style w:type="paragraph" w:customStyle="1" w:styleId="2463">
    <w:name w:val="Char28"/>
    <w:basedOn w:val="1"/>
    <w:uiPriority w:val="0"/>
    <w:pPr>
      <w:widowControl/>
      <w:ind w:left="-48"/>
      <w:jc w:val="left"/>
    </w:pPr>
    <w:rPr>
      <w:rFonts w:ascii="宋体" w:hAnsi="宋体" w:cs="宋体"/>
      <w:kern w:val="0"/>
      <w:szCs w:val="24"/>
    </w:rPr>
  </w:style>
  <w:style w:type="paragraph" w:customStyle="1" w:styleId="2464">
    <w:name w:val="表内文字小221"/>
    <w:basedOn w:val="1"/>
    <w:uiPriority w:val="0"/>
    <w:pPr>
      <w:widowControl/>
      <w:jc w:val="center"/>
    </w:pPr>
    <w:rPr>
      <w:rFonts w:ascii="宋体" w:hAnsi="Times" w:cs="宋体"/>
      <w:bCs/>
      <w:color w:val="000000"/>
      <w:kern w:val="0"/>
      <w:szCs w:val="20"/>
    </w:rPr>
  </w:style>
  <w:style w:type="paragraph" w:customStyle="1" w:styleId="2465">
    <w:name w:val="表格内字体511"/>
    <w:basedOn w:val="207"/>
    <w:next w:val="207"/>
    <w:uiPriority w:val="0"/>
    <w:pPr>
      <w:spacing w:line="240" w:lineRule="auto"/>
      <w:ind w:firstLine="0"/>
    </w:pPr>
    <w:rPr>
      <w:rFonts w:hAnsi="宋体"/>
      <w:sz w:val="21"/>
      <w:szCs w:val="24"/>
    </w:rPr>
  </w:style>
  <w:style w:type="paragraph" w:customStyle="1" w:styleId="2466">
    <w:name w:val="表中文字23"/>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2467">
    <w:name w:val="燕山正文12"/>
    <w:basedOn w:val="1"/>
    <w:uiPriority w:val="0"/>
    <w:pPr>
      <w:widowControl/>
      <w:tabs>
        <w:tab w:val="left" w:pos="4680"/>
      </w:tabs>
      <w:spacing w:line="480" w:lineRule="exact"/>
      <w:jc w:val="left"/>
    </w:pPr>
    <w:rPr>
      <w:rFonts w:ascii="宋体" w:hAnsi="宋体" w:cs="宋体"/>
      <w:kern w:val="0"/>
      <w:szCs w:val="24"/>
    </w:rPr>
  </w:style>
  <w:style w:type="paragraph" w:customStyle="1" w:styleId="2468">
    <w:name w:val="Char92"/>
    <w:basedOn w:val="1"/>
    <w:uiPriority w:val="0"/>
    <w:pPr>
      <w:widowControl/>
      <w:ind w:left="-48"/>
      <w:jc w:val="left"/>
    </w:pPr>
    <w:rPr>
      <w:rFonts w:ascii="宋体" w:hAnsi="宋体" w:cs="宋体"/>
      <w:kern w:val="0"/>
      <w:szCs w:val="24"/>
    </w:rPr>
  </w:style>
  <w:style w:type="paragraph" w:customStyle="1" w:styleId="2469">
    <w:name w:val="表题313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470">
    <w:name w:val="Char Char2 Char Char Char Char3"/>
    <w:basedOn w:val="1"/>
    <w:uiPriority w:val="0"/>
    <w:pPr>
      <w:widowControl/>
      <w:jc w:val="left"/>
    </w:pPr>
    <w:rPr>
      <w:rFonts w:ascii="宋体" w:hAnsi="宋体" w:cs="宋体"/>
      <w:kern w:val="0"/>
      <w:szCs w:val="24"/>
    </w:rPr>
  </w:style>
  <w:style w:type="paragraph" w:customStyle="1" w:styleId="2471">
    <w:name w:val="标题421"/>
    <w:basedOn w:val="1"/>
    <w:uiPriority w:val="0"/>
    <w:pPr>
      <w:widowControl/>
      <w:spacing w:line="300" w:lineRule="auto"/>
      <w:jc w:val="left"/>
    </w:pPr>
    <w:rPr>
      <w:rFonts w:ascii="黑体" w:hAnsi="宋体" w:eastAsia="黑体" w:cs="宋体"/>
      <w:bCs/>
      <w:kern w:val="0"/>
      <w:szCs w:val="24"/>
    </w:rPr>
  </w:style>
  <w:style w:type="paragraph" w:customStyle="1" w:styleId="2472">
    <w:name w:val="Char Char2 Char Char Char Char9"/>
    <w:basedOn w:val="1"/>
    <w:uiPriority w:val="0"/>
    <w:pPr>
      <w:widowControl/>
      <w:jc w:val="left"/>
    </w:pPr>
    <w:rPr>
      <w:rFonts w:ascii="宋体" w:hAnsi="宋体" w:cs="宋体"/>
      <w:kern w:val="0"/>
      <w:szCs w:val="24"/>
    </w:rPr>
  </w:style>
  <w:style w:type="paragraph" w:customStyle="1" w:styleId="2473">
    <w:name w:val="Char Char Char Char Char Char Char22"/>
    <w:basedOn w:val="1"/>
    <w:uiPriority w:val="0"/>
    <w:pPr>
      <w:widowControl/>
      <w:jc w:val="left"/>
    </w:pPr>
    <w:rPr>
      <w:rFonts w:ascii="宋体" w:hAnsi="宋体" w:cs="宋体"/>
      <w:kern w:val="0"/>
      <w:szCs w:val="24"/>
    </w:rPr>
  </w:style>
  <w:style w:type="paragraph" w:customStyle="1" w:styleId="2474">
    <w:name w:val="正文格式＝33"/>
    <w:basedOn w:val="207"/>
    <w:next w:val="207"/>
    <w:uiPriority w:val="0"/>
    <w:rPr>
      <w:rFonts w:hAnsi="宋体"/>
      <w:szCs w:val="24"/>
    </w:rPr>
  </w:style>
  <w:style w:type="paragraph" w:customStyle="1" w:styleId="2475">
    <w:name w:val="Fax Header2"/>
    <w:basedOn w:val="1"/>
    <w:uiPriority w:val="0"/>
    <w:pPr>
      <w:widowControl/>
      <w:spacing w:before="240" w:after="60"/>
      <w:jc w:val="left"/>
    </w:pPr>
    <w:rPr>
      <w:rFonts w:ascii="宋体" w:hAnsi="宋体" w:cs="宋体"/>
      <w:kern w:val="0"/>
      <w:sz w:val="20"/>
      <w:szCs w:val="20"/>
    </w:rPr>
  </w:style>
  <w:style w:type="paragraph" w:customStyle="1" w:styleId="2476">
    <w:name w:val="Char102"/>
    <w:basedOn w:val="1"/>
    <w:uiPriority w:val="0"/>
    <w:pPr>
      <w:widowControl/>
      <w:jc w:val="left"/>
    </w:pPr>
    <w:rPr>
      <w:rFonts w:ascii="宋体" w:hAnsi="宋体" w:cs="宋体"/>
      <w:kern w:val="0"/>
      <w:szCs w:val="24"/>
    </w:rPr>
  </w:style>
  <w:style w:type="paragraph" w:customStyle="1" w:styleId="2477">
    <w:name w:val="Char811"/>
    <w:basedOn w:val="1"/>
    <w:uiPriority w:val="0"/>
    <w:pPr>
      <w:widowControl/>
      <w:ind w:left="-48"/>
      <w:jc w:val="left"/>
    </w:pPr>
    <w:rPr>
      <w:rFonts w:ascii="宋体" w:hAnsi="宋体" w:cs="宋体"/>
      <w:kern w:val="0"/>
      <w:szCs w:val="24"/>
    </w:rPr>
  </w:style>
  <w:style w:type="paragraph" w:customStyle="1" w:styleId="2478">
    <w:name w:val="正文斜体12"/>
    <w:basedOn w:val="207"/>
    <w:next w:val="207"/>
    <w:uiPriority w:val="0"/>
    <w:rPr>
      <w:rFonts w:hAnsi="宋体"/>
      <w:i/>
      <w:iCs/>
      <w:szCs w:val="24"/>
    </w:rPr>
  </w:style>
  <w:style w:type="paragraph" w:customStyle="1" w:styleId="2479">
    <w:name w:val="福建正文缩进1"/>
    <w:basedOn w:val="307"/>
    <w:uiPriority w:val="0"/>
    <w:pPr>
      <w:ind w:firstLine="567"/>
    </w:pPr>
    <w:rPr>
      <w:rFonts w:hAnsi="Calibri"/>
    </w:rPr>
  </w:style>
  <w:style w:type="paragraph" w:customStyle="1" w:styleId="2480">
    <w:name w:val="表内5中43"/>
    <w:basedOn w:val="1"/>
    <w:uiPriority w:val="0"/>
    <w:pPr>
      <w:widowControl/>
      <w:jc w:val="center"/>
    </w:pPr>
    <w:rPr>
      <w:rFonts w:ascii="宋体" w:hAnsi="宋体" w:cs="宋体"/>
      <w:bCs/>
      <w:kern w:val="0"/>
      <w:szCs w:val="20"/>
    </w:rPr>
  </w:style>
  <w:style w:type="paragraph" w:customStyle="1" w:styleId="2481">
    <w:name w:val="Char Char Char Char Char Char Char46"/>
    <w:basedOn w:val="1"/>
    <w:uiPriority w:val="0"/>
    <w:pPr>
      <w:widowControl/>
      <w:jc w:val="left"/>
    </w:pPr>
    <w:rPr>
      <w:rFonts w:ascii="宋体" w:hAnsi="宋体" w:cs="宋体"/>
      <w:kern w:val="0"/>
      <w:szCs w:val="24"/>
    </w:rPr>
  </w:style>
  <w:style w:type="paragraph" w:customStyle="1" w:styleId="2482">
    <w:name w:val="黑体三号32"/>
    <w:basedOn w:val="207"/>
    <w:uiPriority w:val="0"/>
    <w:pPr>
      <w:jc w:val="center"/>
    </w:pPr>
    <w:rPr>
      <w:rFonts w:ascii="黑体" w:hAnsi="宋体" w:eastAsia="黑体" w:cs="宋体"/>
      <w:b/>
      <w:bCs/>
      <w:sz w:val="32"/>
      <w:szCs w:val="20"/>
    </w:rPr>
  </w:style>
  <w:style w:type="paragraph" w:customStyle="1" w:styleId="2483">
    <w:name w:val="样式411"/>
    <w:basedOn w:val="27"/>
    <w:uiPriority w:val="0"/>
    <w:pPr>
      <w:widowControl/>
      <w:tabs>
        <w:tab w:val="left" w:pos="1820"/>
      </w:tabs>
      <w:spacing w:line="240" w:lineRule="atLeast"/>
      <w:jc w:val="center"/>
    </w:pPr>
    <w:rPr>
      <w:rFonts w:eastAsia="幼圆"/>
      <w:kern w:val="0"/>
      <w:sz w:val="21"/>
      <w:szCs w:val="20"/>
    </w:rPr>
  </w:style>
  <w:style w:type="paragraph" w:customStyle="1" w:styleId="2484">
    <w:name w:val="表中文字43"/>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2485">
    <w:name w:val="正文斜体1"/>
    <w:basedOn w:val="207"/>
    <w:next w:val="207"/>
    <w:uiPriority w:val="0"/>
    <w:rPr>
      <w:rFonts w:hAnsi="宋体"/>
      <w:i/>
      <w:iCs/>
      <w:szCs w:val="24"/>
    </w:rPr>
  </w:style>
  <w:style w:type="paragraph" w:customStyle="1" w:styleId="2486">
    <w:name w:val="Char131"/>
    <w:basedOn w:val="1"/>
    <w:uiPriority w:val="0"/>
    <w:pPr>
      <w:widowControl/>
      <w:ind w:left="-48"/>
      <w:jc w:val="left"/>
    </w:pPr>
    <w:rPr>
      <w:rFonts w:ascii="宋体" w:hAnsi="宋体" w:cs="宋体"/>
      <w:kern w:val="0"/>
      <w:szCs w:val="24"/>
    </w:rPr>
  </w:style>
  <w:style w:type="paragraph" w:customStyle="1" w:styleId="2487">
    <w:name w:val="正文修改212"/>
    <w:basedOn w:val="236"/>
    <w:uiPriority w:val="0"/>
    <w:rPr>
      <w:rFonts w:hAnsi="宋体" w:eastAsia="宋体" w:cs="宋体"/>
      <w:color w:val="000000"/>
      <w:szCs w:val="24"/>
    </w:rPr>
  </w:style>
  <w:style w:type="paragraph" w:customStyle="1" w:styleId="2488">
    <w:name w:val="表题91"/>
    <w:basedOn w:val="938"/>
    <w:uiPriority w:val="0"/>
    <w:pPr>
      <w:spacing w:line="300" w:lineRule="auto"/>
      <w:jc w:val="center"/>
    </w:pPr>
    <w:rPr>
      <w:rFonts w:ascii="黑体" w:eastAsia="黑体"/>
      <w:szCs w:val="22"/>
    </w:rPr>
  </w:style>
  <w:style w:type="paragraph" w:customStyle="1" w:styleId="2489">
    <w:name w:val="xl6311"/>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2490">
    <w:name w:val="默认段落字体 Para Char33"/>
    <w:basedOn w:val="1"/>
    <w:uiPriority w:val="0"/>
    <w:pPr>
      <w:widowControl/>
      <w:jc w:val="left"/>
    </w:pPr>
    <w:rPr>
      <w:rFonts w:ascii="宋体" w:hAnsi="宋体" w:cs="宋体"/>
      <w:kern w:val="0"/>
      <w:szCs w:val="24"/>
    </w:rPr>
  </w:style>
  <w:style w:type="paragraph" w:customStyle="1" w:styleId="2491">
    <w:name w:val="表内511"/>
    <w:basedOn w:val="1"/>
    <w:uiPriority w:val="0"/>
    <w:pPr>
      <w:widowControl/>
      <w:jc w:val="center"/>
    </w:pPr>
    <w:rPr>
      <w:rFonts w:ascii="宋体" w:hAnsi="宋体" w:cs="宋体"/>
      <w:kern w:val="0"/>
      <w:sz w:val="20"/>
      <w:szCs w:val="20"/>
    </w:rPr>
  </w:style>
  <w:style w:type="paragraph" w:customStyle="1" w:styleId="2492">
    <w:name w:val="Char1011"/>
    <w:basedOn w:val="1"/>
    <w:uiPriority w:val="0"/>
    <w:pPr>
      <w:widowControl/>
      <w:jc w:val="left"/>
    </w:pPr>
    <w:rPr>
      <w:rFonts w:ascii="宋体" w:hAnsi="宋体" w:cs="宋体"/>
      <w:kern w:val="0"/>
      <w:szCs w:val="24"/>
    </w:rPr>
  </w:style>
  <w:style w:type="paragraph" w:customStyle="1" w:styleId="2493">
    <w:name w:val="Char113"/>
    <w:basedOn w:val="1"/>
    <w:uiPriority w:val="0"/>
    <w:pPr>
      <w:widowControl/>
      <w:ind w:left="-48"/>
      <w:jc w:val="left"/>
    </w:pPr>
    <w:rPr>
      <w:rFonts w:ascii="宋体" w:hAnsi="宋体" w:cs="宋体"/>
      <w:kern w:val="0"/>
      <w:szCs w:val="24"/>
    </w:rPr>
  </w:style>
  <w:style w:type="paragraph" w:customStyle="1" w:styleId="2494">
    <w:name w:val="燕山正文6"/>
    <w:basedOn w:val="1"/>
    <w:uiPriority w:val="0"/>
    <w:pPr>
      <w:widowControl/>
      <w:tabs>
        <w:tab w:val="left" w:pos="4680"/>
      </w:tabs>
      <w:spacing w:line="480" w:lineRule="exact"/>
      <w:jc w:val="left"/>
    </w:pPr>
    <w:rPr>
      <w:rFonts w:ascii="宋体" w:hAnsi="宋体" w:cs="宋体"/>
      <w:kern w:val="0"/>
      <w:szCs w:val="24"/>
    </w:rPr>
  </w:style>
  <w:style w:type="paragraph" w:customStyle="1" w:styleId="2495">
    <w:name w:val="正文修改51"/>
    <w:basedOn w:val="236"/>
    <w:uiPriority w:val="0"/>
    <w:rPr>
      <w:rFonts w:hAnsi="宋体" w:eastAsia="宋体" w:cs="宋体"/>
      <w:color w:val="000000"/>
      <w:szCs w:val="24"/>
    </w:rPr>
  </w:style>
  <w:style w:type="paragraph" w:customStyle="1" w:styleId="2496">
    <w:name w:val="默认段落字体 Para Char Char Char Char32"/>
    <w:basedOn w:val="1"/>
    <w:uiPriority w:val="0"/>
    <w:pPr>
      <w:widowControl/>
      <w:jc w:val="left"/>
    </w:pPr>
    <w:rPr>
      <w:rFonts w:ascii="宋体" w:hAnsi="宋体" w:cs="宋体"/>
      <w:kern w:val="0"/>
      <w:szCs w:val="24"/>
    </w:rPr>
  </w:style>
  <w:style w:type="paragraph" w:customStyle="1" w:styleId="2497">
    <w:name w:val="样式 表内小5 + 黑体 加粗 倾斜 下划线11"/>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2498">
    <w:name w:val="燕山正文15"/>
    <w:basedOn w:val="1"/>
    <w:uiPriority w:val="0"/>
    <w:pPr>
      <w:widowControl/>
      <w:tabs>
        <w:tab w:val="left" w:pos="4680"/>
      </w:tabs>
      <w:spacing w:line="480" w:lineRule="exact"/>
      <w:jc w:val="left"/>
    </w:pPr>
    <w:rPr>
      <w:rFonts w:ascii="宋体" w:hAnsi="宋体" w:cs="宋体"/>
      <w:kern w:val="0"/>
      <w:szCs w:val="24"/>
    </w:rPr>
  </w:style>
  <w:style w:type="paragraph" w:customStyle="1" w:styleId="2499">
    <w:name w:val="A正文2"/>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2500">
    <w:name w:val="表内宋5中211"/>
    <w:basedOn w:val="1"/>
    <w:uiPriority w:val="0"/>
    <w:pPr>
      <w:widowControl/>
      <w:jc w:val="center"/>
      <w:textAlignment w:val="baseline"/>
    </w:pPr>
    <w:rPr>
      <w:rFonts w:ascii="宋体" w:hAnsi="宋体" w:cs="宋体"/>
      <w:kern w:val="0"/>
      <w:szCs w:val="20"/>
    </w:rPr>
  </w:style>
  <w:style w:type="paragraph" w:customStyle="1" w:styleId="2501">
    <w:name w:val="默认段落字体 Para Char Char Char Char51"/>
    <w:basedOn w:val="1"/>
    <w:uiPriority w:val="0"/>
    <w:pPr>
      <w:widowControl/>
      <w:jc w:val="left"/>
    </w:pPr>
    <w:rPr>
      <w:rFonts w:ascii="宋体" w:hAnsi="宋体" w:cs="宋体"/>
      <w:kern w:val="0"/>
      <w:szCs w:val="24"/>
    </w:rPr>
  </w:style>
  <w:style w:type="paragraph" w:customStyle="1" w:styleId="2502">
    <w:name w:val="正文格式＝63"/>
    <w:basedOn w:val="207"/>
    <w:next w:val="207"/>
    <w:uiPriority w:val="0"/>
    <w:rPr>
      <w:rFonts w:hAnsi="宋体"/>
      <w:szCs w:val="24"/>
    </w:rPr>
  </w:style>
  <w:style w:type="paragraph" w:customStyle="1" w:styleId="2503">
    <w:name w:val="燕山正文112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504">
    <w:name w:val="正文格式＝11"/>
    <w:basedOn w:val="207"/>
    <w:next w:val="207"/>
    <w:uiPriority w:val="0"/>
    <w:rPr>
      <w:rFonts w:hAnsi="宋体"/>
      <w:szCs w:val="24"/>
    </w:rPr>
  </w:style>
  <w:style w:type="paragraph" w:customStyle="1" w:styleId="2505">
    <w:name w:val="表内513"/>
    <w:basedOn w:val="1"/>
    <w:uiPriority w:val="0"/>
    <w:pPr>
      <w:widowControl/>
      <w:jc w:val="center"/>
    </w:pPr>
    <w:rPr>
      <w:rFonts w:ascii="宋体" w:hAnsi="宋体" w:cs="宋体"/>
      <w:kern w:val="0"/>
      <w:szCs w:val="21"/>
    </w:rPr>
  </w:style>
  <w:style w:type="paragraph" w:customStyle="1" w:styleId="2506">
    <w:name w:val="表格内容21"/>
    <w:uiPriority w:val="0"/>
    <w:pPr>
      <w:jc w:val="center"/>
    </w:pPr>
    <w:rPr>
      <w:rFonts w:ascii="Times New Roman" w:hAnsi="Times New Roman" w:eastAsia="宋体" w:cs="Times New Roman"/>
      <w:kern w:val="2"/>
      <w:sz w:val="21"/>
      <w:szCs w:val="21"/>
      <w:lang w:val="en-US" w:eastAsia="zh-CN" w:bidi="ar-SA"/>
    </w:rPr>
  </w:style>
  <w:style w:type="paragraph" w:customStyle="1" w:styleId="2507">
    <w:name w:val="表内文字小2112"/>
    <w:basedOn w:val="1"/>
    <w:uiPriority w:val="0"/>
    <w:pPr>
      <w:widowControl/>
      <w:jc w:val="center"/>
    </w:pPr>
    <w:rPr>
      <w:rFonts w:ascii="宋体" w:hAnsi="Times" w:cs="宋体"/>
      <w:bCs/>
      <w:color w:val="000000"/>
      <w:kern w:val="0"/>
      <w:szCs w:val="20"/>
    </w:rPr>
  </w:style>
  <w:style w:type="paragraph" w:customStyle="1" w:styleId="2508">
    <w:name w:val="表题912"/>
    <w:basedOn w:val="938"/>
    <w:uiPriority w:val="0"/>
    <w:pPr>
      <w:spacing w:line="300" w:lineRule="auto"/>
      <w:jc w:val="center"/>
    </w:pPr>
    <w:rPr>
      <w:rFonts w:ascii="黑体" w:eastAsia="黑体"/>
      <w:szCs w:val="22"/>
    </w:rPr>
  </w:style>
  <w:style w:type="paragraph" w:customStyle="1" w:styleId="2509">
    <w:name w:val="正文格式＝7"/>
    <w:basedOn w:val="207"/>
    <w:next w:val="207"/>
    <w:uiPriority w:val="0"/>
    <w:rPr>
      <w:rFonts w:hAnsi="宋体"/>
      <w:szCs w:val="24"/>
    </w:rPr>
  </w:style>
  <w:style w:type="paragraph" w:customStyle="1" w:styleId="2510">
    <w:name w:val="表内文字小5"/>
    <w:basedOn w:val="1"/>
    <w:uiPriority w:val="0"/>
    <w:pPr>
      <w:widowControl/>
      <w:jc w:val="center"/>
    </w:pPr>
    <w:rPr>
      <w:rFonts w:ascii="宋体" w:hAnsi="Times" w:cs="宋体"/>
      <w:kern w:val="0"/>
      <w:szCs w:val="20"/>
    </w:rPr>
  </w:style>
  <w:style w:type="paragraph" w:customStyle="1" w:styleId="2511">
    <w:name w:val="Char Char Char Char Char Char Char32"/>
    <w:basedOn w:val="1"/>
    <w:uiPriority w:val="0"/>
    <w:pPr>
      <w:widowControl/>
      <w:jc w:val="left"/>
    </w:pPr>
    <w:rPr>
      <w:rFonts w:ascii="宋体" w:hAnsi="宋体" w:cs="宋体"/>
      <w:kern w:val="0"/>
      <w:szCs w:val="24"/>
    </w:rPr>
  </w:style>
  <w:style w:type="paragraph" w:customStyle="1" w:styleId="2512">
    <w:name w:val="Char41"/>
    <w:basedOn w:val="1"/>
    <w:uiPriority w:val="0"/>
    <w:pPr>
      <w:widowControl/>
      <w:ind w:left="-48"/>
      <w:jc w:val="left"/>
    </w:pPr>
    <w:rPr>
      <w:rFonts w:ascii="宋体" w:hAnsi="宋体" w:cs="宋体"/>
      <w:kern w:val="0"/>
      <w:szCs w:val="24"/>
    </w:rPr>
  </w:style>
  <w:style w:type="paragraph" w:customStyle="1" w:styleId="2513">
    <w:name w:val="标题44"/>
    <w:basedOn w:val="1"/>
    <w:uiPriority w:val="0"/>
    <w:pPr>
      <w:widowControl/>
      <w:spacing w:line="300" w:lineRule="auto"/>
      <w:jc w:val="left"/>
    </w:pPr>
    <w:rPr>
      <w:rFonts w:ascii="黑体" w:hAnsi="宋体" w:eastAsia="黑体" w:cs="宋体"/>
      <w:bCs/>
      <w:kern w:val="0"/>
      <w:szCs w:val="24"/>
    </w:rPr>
  </w:style>
  <w:style w:type="paragraph" w:customStyle="1" w:styleId="2514">
    <w:name w:val="文本框111"/>
    <w:basedOn w:val="1"/>
    <w:uiPriority w:val="0"/>
    <w:pPr>
      <w:widowControl/>
      <w:spacing w:after="6"/>
      <w:jc w:val="center"/>
    </w:pPr>
    <w:rPr>
      <w:rFonts w:ascii="宋体" w:hAnsi="宋体" w:cs="宋体"/>
      <w:kern w:val="0"/>
      <w:szCs w:val="24"/>
    </w:rPr>
  </w:style>
  <w:style w:type="paragraph" w:customStyle="1" w:styleId="2515">
    <w:name w:val="表中文字1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516">
    <w:name w:val="Char1611"/>
    <w:basedOn w:val="1"/>
    <w:uiPriority w:val="0"/>
    <w:pPr>
      <w:widowControl/>
      <w:ind w:left="-48"/>
      <w:jc w:val="left"/>
    </w:pPr>
    <w:rPr>
      <w:rFonts w:ascii="宋体" w:hAnsi="宋体" w:cs="宋体"/>
      <w:kern w:val="0"/>
      <w:szCs w:val="24"/>
    </w:rPr>
  </w:style>
  <w:style w:type="paragraph" w:customStyle="1" w:styleId="2517">
    <w:name w:val="附件112"/>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518">
    <w:name w:val="表内文字小84"/>
    <w:basedOn w:val="1"/>
    <w:uiPriority w:val="0"/>
    <w:pPr>
      <w:widowControl/>
      <w:jc w:val="center"/>
    </w:pPr>
    <w:rPr>
      <w:rFonts w:ascii="宋体" w:hAnsi="Times" w:cs="宋体"/>
      <w:kern w:val="0"/>
      <w:szCs w:val="20"/>
    </w:rPr>
  </w:style>
  <w:style w:type="paragraph" w:customStyle="1" w:styleId="2519">
    <w:name w:val="表内宋5中113"/>
    <w:basedOn w:val="1"/>
    <w:uiPriority w:val="0"/>
    <w:pPr>
      <w:widowControl/>
      <w:jc w:val="center"/>
      <w:textAlignment w:val="baseline"/>
    </w:pPr>
    <w:rPr>
      <w:rFonts w:ascii="宋体" w:hAnsi="宋体" w:cs="宋体"/>
      <w:kern w:val="0"/>
      <w:szCs w:val="20"/>
    </w:rPr>
  </w:style>
  <w:style w:type="paragraph" w:customStyle="1" w:styleId="2520">
    <w:name w:val="默认段落字体 Para Char Char Char Char61"/>
    <w:basedOn w:val="1"/>
    <w:uiPriority w:val="0"/>
    <w:pPr>
      <w:widowControl/>
      <w:jc w:val="left"/>
    </w:pPr>
    <w:rPr>
      <w:rFonts w:ascii="宋体" w:hAnsi="宋体" w:cs="宋体"/>
      <w:kern w:val="0"/>
      <w:szCs w:val="24"/>
    </w:rPr>
  </w:style>
  <w:style w:type="paragraph" w:customStyle="1" w:styleId="2521">
    <w:name w:val="Char711"/>
    <w:basedOn w:val="1"/>
    <w:uiPriority w:val="0"/>
    <w:pPr>
      <w:widowControl/>
      <w:ind w:left="-48"/>
      <w:jc w:val="left"/>
    </w:pPr>
    <w:rPr>
      <w:rFonts w:ascii="宋体" w:hAnsi="宋体" w:cs="宋体"/>
      <w:kern w:val="0"/>
      <w:szCs w:val="24"/>
    </w:rPr>
  </w:style>
  <w:style w:type="paragraph" w:customStyle="1" w:styleId="2522">
    <w:name w:val="Char44"/>
    <w:basedOn w:val="1"/>
    <w:uiPriority w:val="0"/>
    <w:pPr>
      <w:widowControl/>
      <w:ind w:left="-48"/>
      <w:jc w:val="left"/>
    </w:pPr>
    <w:rPr>
      <w:rFonts w:ascii="宋体" w:hAnsi="宋体" w:cs="宋体"/>
      <w:kern w:val="0"/>
      <w:szCs w:val="24"/>
    </w:rPr>
  </w:style>
  <w:style w:type="paragraph" w:customStyle="1" w:styleId="2523">
    <w:name w:val="Char Char2 Char Char Char Char12"/>
    <w:basedOn w:val="1"/>
    <w:uiPriority w:val="0"/>
    <w:pPr>
      <w:widowControl/>
      <w:jc w:val="left"/>
    </w:pPr>
    <w:rPr>
      <w:rFonts w:ascii="宋体" w:hAnsi="宋体" w:cs="宋体"/>
      <w:kern w:val="0"/>
      <w:szCs w:val="24"/>
    </w:rPr>
  </w:style>
  <w:style w:type="paragraph" w:customStyle="1" w:styleId="2524">
    <w:name w:val="表内宋5中31"/>
    <w:basedOn w:val="1"/>
    <w:uiPriority w:val="0"/>
    <w:pPr>
      <w:widowControl/>
      <w:jc w:val="left"/>
      <w:textAlignment w:val="baseline"/>
    </w:pPr>
    <w:rPr>
      <w:rFonts w:ascii="宋体" w:hAnsi="宋体" w:cs="宋体"/>
      <w:color w:val="000000"/>
      <w:kern w:val="0"/>
      <w:szCs w:val="20"/>
    </w:rPr>
  </w:style>
  <w:style w:type="paragraph" w:customStyle="1" w:styleId="2525">
    <w:name w:val="表32"/>
    <w:basedOn w:val="1"/>
    <w:uiPriority w:val="0"/>
    <w:pPr>
      <w:widowControl/>
      <w:jc w:val="center"/>
    </w:pPr>
    <w:rPr>
      <w:rFonts w:ascii="宋体" w:hAnsi="宋体" w:cs="宋体"/>
      <w:kern w:val="0"/>
      <w:szCs w:val="24"/>
    </w:rPr>
  </w:style>
  <w:style w:type="paragraph" w:customStyle="1" w:styleId="2526">
    <w:name w:val="表内小5中2"/>
    <w:basedOn w:val="1"/>
    <w:uiPriority w:val="0"/>
    <w:pPr>
      <w:widowControl/>
      <w:jc w:val="center"/>
    </w:pPr>
    <w:rPr>
      <w:rFonts w:ascii="宋体" w:hAnsi="宋体" w:cs="宋体"/>
      <w:kern w:val="0"/>
      <w:sz w:val="18"/>
      <w:szCs w:val="20"/>
    </w:rPr>
  </w:style>
  <w:style w:type="paragraph" w:customStyle="1" w:styleId="2527">
    <w:name w:val="附件24"/>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528">
    <w:name w:val="正文修改11"/>
    <w:basedOn w:val="236"/>
    <w:uiPriority w:val="0"/>
    <w:rPr>
      <w:rFonts w:hAnsi="宋体" w:eastAsia="宋体" w:cs="宋体"/>
      <w:color w:val="000000"/>
      <w:szCs w:val="24"/>
    </w:rPr>
  </w:style>
  <w:style w:type="paragraph" w:customStyle="1" w:styleId="2529">
    <w:name w:val="表212"/>
    <w:basedOn w:val="1"/>
    <w:uiPriority w:val="0"/>
    <w:pPr>
      <w:widowControl/>
      <w:jc w:val="center"/>
    </w:pPr>
    <w:rPr>
      <w:rFonts w:ascii="宋体" w:hAnsi="宋体" w:cs="宋体"/>
      <w:kern w:val="0"/>
      <w:szCs w:val="24"/>
    </w:rPr>
  </w:style>
  <w:style w:type="paragraph" w:customStyle="1" w:styleId="2530">
    <w:name w:val="Char Char2 Char Char Char Char22"/>
    <w:basedOn w:val="1"/>
    <w:uiPriority w:val="0"/>
    <w:pPr>
      <w:widowControl/>
      <w:jc w:val="left"/>
    </w:pPr>
    <w:rPr>
      <w:rFonts w:ascii="宋体" w:hAnsi="宋体" w:cs="宋体"/>
      <w:kern w:val="0"/>
      <w:szCs w:val="24"/>
    </w:rPr>
  </w:style>
  <w:style w:type="paragraph" w:customStyle="1" w:styleId="2531">
    <w:name w:val="默认段落字体 Para Char Char Char Char Char11"/>
    <w:basedOn w:val="1"/>
    <w:uiPriority w:val="0"/>
    <w:pPr>
      <w:widowControl/>
      <w:jc w:val="left"/>
    </w:pPr>
    <w:rPr>
      <w:rFonts w:ascii="宋体" w:hAnsi="宋体" w:cs="宋体"/>
      <w:kern w:val="0"/>
      <w:szCs w:val="24"/>
    </w:rPr>
  </w:style>
  <w:style w:type="paragraph" w:customStyle="1" w:styleId="2532">
    <w:name w:val="Char103"/>
    <w:basedOn w:val="1"/>
    <w:uiPriority w:val="0"/>
    <w:pPr>
      <w:widowControl/>
      <w:jc w:val="left"/>
    </w:pPr>
    <w:rPr>
      <w:rFonts w:ascii="宋体" w:hAnsi="宋体" w:cs="宋体"/>
      <w:kern w:val="0"/>
      <w:szCs w:val="24"/>
    </w:rPr>
  </w:style>
  <w:style w:type="paragraph" w:customStyle="1" w:styleId="2533">
    <w:name w:val="附件1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534">
    <w:name w:val="Default11"/>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2535">
    <w:name w:val="Char172"/>
    <w:basedOn w:val="1"/>
    <w:uiPriority w:val="0"/>
    <w:pPr>
      <w:widowControl/>
      <w:ind w:left="-48"/>
      <w:jc w:val="left"/>
    </w:pPr>
    <w:rPr>
      <w:rFonts w:ascii="宋体" w:hAnsi="宋体" w:cs="宋体"/>
      <w:kern w:val="0"/>
      <w:szCs w:val="24"/>
    </w:rPr>
  </w:style>
  <w:style w:type="paragraph" w:customStyle="1" w:styleId="2536">
    <w:name w:val="表内文字小2132"/>
    <w:basedOn w:val="1"/>
    <w:uiPriority w:val="0"/>
    <w:pPr>
      <w:widowControl/>
      <w:jc w:val="center"/>
      <w:textAlignment w:val="baseline"/>
    </w:pPr>
    <w:rPr>
      <w:rFonts w:ascii="宋体" w:hAnsi="Times" w:cs="宋体"/>
      <w:bCs/>
      <w:color w:val="000000"/>
      <w:kern w:val="0"/>
      <w:szCs w:val="20"/>
    </w:rPr>
  </w:style>
  <w:style w:type="paragraph" w:customStyle="1" w:styleId="2537">
    <w:name w:val="表中文字12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538">
    <w:name w:val="表内宋51122"/>
    <w:basedOn w:val="433"/>
    <w:uiPriority w:val="0"/>
    <w:rPr>
      <w:rFonts w:ascii="宋体" w:hAnsi="宋体" w:cs="宋体"/>
      <w:color w:val="000000"/>
      <w:sz w:val="21"/>
      <w:szCs w:val="24"/>
    </w:rPr>
  </w:style>
  <w:style w:type="paragraph" w:customStyle="1" w:styleId="2539">
    <w:name w:val="首行缩进:  0.99 厘米 + 首行缩进:  2 字符12"/>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540">
    <w:name w:val="正文格式＝411"/>
    <w:basedOn w:val="207"/>
    <w:next w:val="207"/>
    <w:uiPriority w:val="0"/>
    <w:rPr>
      <w:rFonts w:hAnsi="宋体"/>
      <w:szCs w:val="24"/>
    </w:rPr>
  </w:style>
  <w:style w:type="paragraph" w:customStyle="1" w:styleId="2541">
    <w:name w:val="样式1111"/>
    <w:basedOn w:val="1779"/>
    <w:uiPriority w:val="0"/>
    <w:pPr>
      <w:spacing w:line="240" w:lineRule="auto"/>
      <w:ind w:firstLine="0"/>
      <w:jc w:val="center"/>
    </w:pPr>
    <w:rPr>
      <w:rFonts w:cs="Times New Roman"/>
      <w:b/>
      <w:color w:val="auto"/>
      <w:szCs w:val="20"/>
    </w:rPr>
  </w:style>
  <w:style w:type="paragraph" w:customStyle="1" w:styleId="2542">
    <w:name w:val="正文.4"/>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543">
    <w:name w:val="正文格式＝51"/>
    <w:basedOn w:val="207"/>
    <w:next w:val="207"/>
    <w:uiPriority w:val="0"/>
    <w:rPr>
      <w:rFonts w:hAnsi="宋体"/>
      <w:szCs w:val="24"/>
    </w:rPr>
  </w:style>
  <w:style w:type="paragraph" w:customStyle="1" w:styleId="2544">
    <w:name w:val="表格内容2"/>
    <w:uiPriority w:val="0"/>
    <w:pPr>
      <w:jc w:val="center"/>
    </w:pPr>
    <w:rPr>
      <w:rFonts w:ascii="Times New Roman" w:hAnsi="Times New Roman" w:eastAsia="宋体" w:cs="Times New Roman"/>
      <w:kern w:val="2"/>
      <w:sz w:val="21"/>
      <w:szCs w:val="21"/>
      <w:lang w:val="en-US" w:eastAsia="zh-CN" w:bidi="ar-SA"/>
    </w:rPr>
  </w:style>
  <w:style w:type="paragraph" w:customStyle="1" w:styleId="2545">
    <w:name w:val="Char1511"/>
    <w:basedOn w:val="1"/>
    <w:uiPriority w:val="0"/>
    <w:pPr>
      <w:widowControl/>
      <w:spacing w:before="156"/>
      <w:jc w:val="left"/>
    </w:pPr>
    <w:rPr>
      <w:rFonts w:ascii="黑体" w:hAnsi="宋体" w:eastAsia="黑体" w:cs="宋体"/>
      <w:kern w:val="0"/>
      <w:sz w:val="32"/>
      <w:szCs w:val="32"/>
    </w:rPr>
  </w:style>
  <w:style w:type="paragraph" w:customStyle="1" w:styleId="2546">
    <w:name w:val="标题43122"/>
    <w:basedOn w:val="1"/>
    <w:uiPriority w:val="0"/>
    <w:pPr>
      <w:widowControl/>
      <w:spacing w:line="480" w:lineRule="exact"/>
      <w:jc w:val="center"/>
    </w:pPr>
    <w:rPr>
      <w:rFonts w:ascii="宋体" w:hAnsi="宋体" w:cs="宋体"/>
      <w:kern w:val="0"/>
      <w:szCs w:val="24"/>
    </w:rPr>
  </w:style>
  <w:style w:type="paragraph" w:customStyle="1" w:styleId="2547">
    <w:name w:val="正文.11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548">
    <w:name w:val="默认段落字体 Para Char Char Char Char52"/>
    <w:basedOn w:val="1"/>
    <w:uiPriority w:val="0"/>
    <w:pPr>
      <w:widowControl/>
      <w:jc w:val="left"/>
    </w:pPr>
    <w:rPr>
      <w:rFonts w:ascii="宋体" w:hAnsi="宋体" w:cs="宋体"/>
      <w:kern w:val="0"/>
      <w:szCs w:val="24"/>
    </w:rPr>
  </w:style>
  <w:style w:type="paragraph" w:customStyle="1" w:styleId="2549">
    <w:name w:val="Char Char2 Char Char Char Char2"/>
    <w:basedOn w:val="1"/>
    <w:uiPriority w:val="0"/>
    <w:pPr>
      <w:widowControl/>
      <w:jc w:val="left"/>
    </w:pPr>
    <w:rPr>
      <w:rFonts w:ascii="宋体" w:hAnsi="宋体" w:cs="宋体"/>
      <w:kern w:val="0"/>
      <w:szCs w:val="24"/>
    </w:rPr>
  </w:style>
  <w:style w:type="paragraph" w:customStyle="1" w:styleId="2550">
    <w:name w:val="正文格式＝613"/>
    <w:basedOn w:val="207"/>
    <w:next w:val="207"/>
    <w:uiPriority w:val="0"/>
    <w:rPr>
      <w:rFonts w:hAnsi="宋体"/>
      <w:szCs w:val="24"/>
    </w:rPr>
  </w:style>
  <w:style w:type="paragraph" w:customStyle="1" w:styleId="2551">
    <w:name w:val="Char Char Char Char Char Char Char311"/>
    <w:basedOn w:val="1"/>
    <w:uiPriority w:val="0"/>
    <w:pPr>
      <w:widowControl/>
      <w:jc w:val="left"/>
    </w:pPr>
    <w:rPr>
      <w:rFonts w:ascii="宋体" w:hAnsi="宋体" w:cs="宋体"/>
      <w:kern w:val="0"/>
      <w:szCs w:val="24"/>
    </w:rPr>
  </w:style>
  <w:style w:type="paragraph" w:customStyle="1" w:styleId="2552">
    <w:name w:val="样式113"/>
    <w:basedOn w:val="1779"/>
    <w:uiPriority w:val="0"/>
    <w:pPr>
      <w:spacing w:line="240" w:lineRule="auto"/>
      <w:ind w:firstLine="0"/>
      <w:jc w:val="center"/>
    </w:pPr>
    <w:rPr>
      <w:rFonts w:cs="Times New Roman"/>
      <w:b/>
      <w:color w:val="auto"/>
      <w:szCs w:val="20"/>
    </w:rPr>
  </w:style>
  <w:style w:type="paragraph" w:customStyle="1" w:styleId="2553">
    <w:name w:val="标准3"/>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2554">
    <w:name w:val="Char29"/>
    <w:basedOn w:val="1"/>
    <w:uiPriority w:val="0"/>
    <w:pPr>
      <w:widowControl/>
      <w:ind w:left="-48"/>
      <w:jc w:val="left"/>
    </w:pPr>
    <w:rPr>
      <w:rFonts w:ascii="宋体" w:hAnsi="宋体" w:cs="宋体"/>
      <w:kern w:val="0"/>
      <w:szCs w:val="24"/>
    </w:rPr>
  </w:style>
  <w:style w:type="paragraph" w:customStyle="1" w:styleId="2555">
    <w:name w:val="黑体三号43"/>
    <w:basedOn w:val="207"/>
    <w:uiPriority w:val="0"/>
    <w:pPr>
      <w:jc w:val="center"/>
    </w:pPr>
    <w:rPr>
      <w:rFonts w:ascii="黑体" w:hAnsi="宋体" w:eastAsia="黑体" w:cs="宋体"/>
      <w:b/>
      <w:bCs/>
      <w:sz w:val="32"/>
      <w:szCs w:val="20"/>
    </w:rPr>
  </w:style>
  <w:style w:type="paragraph" w:customStyle="1" w:styleId="2556">
    <w:name w:val="正文修改112"/>
    <w:basedOn w:val="236"/>
    <w:uiPriority w:val="0"/>
    <w:rPr>
      <w:rFonts w:hAnsi="宋体" w:eastAsia="宋体" w:cs="宋体"/>
      <w:color w:val="000000"/>
      <w:szCs w:val="24"/>
    </w:rPr>
  </w:style>
  <w:style w:type="paragraph" w:customStyle="1" w:styleId="2557">
    <w:name w:val="c1"/>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558">
    <w:name w:val="Char Char Char Char Char Char Char48"/>
    <w:basedOn w:val="1"/>
    <w:uiPriority w:val="0"/>
    <w:pPr>
      <w:widowControl/>
      <w:jc w:val="left"/>
    </w:pPr>
    <w:rPr>
      <w:rFonts w:ascii="宋体" w:hAnsi="宋体" w:cs="宋体"/>
      <w:kern w:val="0"/>
      <w:szCs w:val="24"/>
    </w:rPr>
  </w:style>
  <w:style w:type="paragraph" w:customStyle="1" w:styleId="2559">
    <w:name w:val="正文格式＝62"/>
    <w:basedOn w:val="207"/>
    <w:next w:val="207"/>
    <w:uiPriority w:val="0"/>
    <w:rPr>
      <w:rFonts w:hAnsi="宋体"/>
      <w:szCs w:val="24"/>
    </w:rPr>
  </w:style>
  <w:style w:type="paragraph" w:customStyle="1" w:styleId="2560">
    <w:name w:val="Char Char Char Char1 Char Char Char211"/>
    <w:basedOn w:val="1"/>
    <w:uiPriority w:val="0"/>
    <w:pPr>
      <w:widowControl/>
      <w:spacing w:after="160" w:line="240" w:lineRule="exact"/>
      <w:jc w:val="left"/>
    </w:pPr>
    <w:rPr>
      <w:rFonts w:ascii="Verdana" w:hAnsi="Verdana" w:cs="宋体"/>
      <w:kern w:val="0"/>
      <w:sz w:val="20"/>
      <w:szCs w:val="20"/>
      <w:lang w:eastAsia="en-US"/>
    </w:rPr>
  </w:style>
  <w:style w:type="paragraph" w:customStyle="1" w:styleId="2561">
    <w:name w:val="Char2211"/>
    <w:basedOn w:val="1"/>
    <w:uiPriority w:val="0"/>
    <w:pPr>
      <w:widowControl/>
      <w:spacing w:before="156"/>
      <w:jc w:val="left"/>
    </w:pPr>
    <w:rPr>
      <w:rFonts w:ascii="黑体" w:hAnsi="宋体" w:eastAsia="黑体" w:cs="宋体"/>
      <w:kern w:val="0"/>
      <w:sz w:val="32"/>
      <w:szCs w:val="32"/>
    </w:rPr>
  </w:style>
  <w:style w:type="paragraph" w:customStyle="1" w:styleId="2562">
    <w:name w:val="正文格式＝73"/>
    <w:basedOn w:val="207"/>
    <w:next w:val="207"/>
    <w:uiPriority w:val="0"/>
    <w:rPr>
      <w:rFonts w:hAnsi="宋体"/>
      <w:szCs w:val="24"/>
    </w:rPr>
  </w:style>
  <w:style w:type="paragraph" w:customStyle="1" w:styleId="2563">
    <w:name w:val="表内5中111"/>
    <w:basedOn w:val="1"/>
    <w:uiPriority w:val="0"/>
    <w:pPr>
      <w:widowControl/>
      <w:jc w:val="center"/>
    </w:pPr>
    <w:rPr>
      <w:rFonts w:ascii="宋体" w:hAnsi="宋体" w:cs="Arial"/>
      <w:snapToGrid w:val="0"/>
      <w:color w:val="000000"/>
      <w:kern w:val="0"/>
      <w:szCs w:val="21"/>
    </w:rPr>
  </w:style>
  <w:style w:type="paragraph" w:customStyle="1" w:styleId="2564">
    <w:name w:val="Default1"/>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2565">
    <w:name w:val="A正文3"/>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2566">
    <w:name w:val="表内54152"/>
    <w:basedOn w:val="1"/>
    <w:uiPriority w:val="0"/>
    <w:pPr>
      <w:widowControl/>
      <w:spacing w:line="300" w:lineRule="auto"/>
      <w:jc w:val="center"/>
    </w:pPr>
    <w:rPr>
      <w:rFonts w:ascii="宋体" w:hAnsi="宋体" w:cs="宋体"/>
      <w:kern w:val="0"/>
      <w:szCs w:val="20"/>
    </w:rPr>
  </w:style>
  <w:style w:type="paragraph" w:customStyle="1" w:styleId="2567">
    <w:name w:val="标题4111"/>
    <w:basedOn w:val="1"/>
    <w:uiPriority w:val="0"/>
    <w:pPr>
      <w:widowControl/>
      <w:spacing w:line="300" w:lineRule="auto"/>
      <w:jc w:val="left"/>
    </w:pPr>
    <w:rPr>
      <w:rFonts w:ascii="黑体" w:hAnsi="宋体" w:eastAsia="黑体" w:cs="宋体"/>
      <w:bCs/>
      <w:kern w:val="0"/>
      <w:szCs w:val="20"/>
    </w:rPr>
  </w:style>
  <w:style w:type="paragraph" w:customStyle="1" w:styleId="2568">
    <w:name w:val="福建正文缩进3"/>
    <w:basedOn w:val="307"/>
    <w:uiPriority w:val="0"/>
    <w:pPr>
      <w:tabs>
        <w:tab w:val="left" w:pos="5837"/>
      </w:tabs>
      <w:spacing w:line="480" w:lineRule="exact"/>
    </w:pPr>
    <w:rPr>
      <w:rFonts w:cs="宋体"/>
      <w:color w:val="000000"/>
    </w:rPr>
  </w:style>
  <w:style w:type="paragraph" w:customStyle="1" w:styleId="2569">
    <w:name w:val="表题313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570">
    <w:name w:val="表内532"/>
    <w:basedOn w:val="1"/>
    <w:uiPriority w:val="0"/>
    <w:pPr>
      <w:widowControl/>
      <w:spacing w:line="300" w:lineRule="auto"/>
      <w:jc w:val="left"/>
    </w:pPr>
    <w:rPr>
      <w:rFonts w:ascii="宋体" w:hAnsi="宋体" w:cs="宋体"/>
      <w:kern w:val="0"/>
      <w:szCs w:val="20"/>
    </w:rPr>
  </w:style>
  <w:style w:type="paragraph" w:customStyle="1" w:styleId="2571">
    <w:name w:val="黑体三号312"/>
    <w:basedOn w:val="207"/>
    <w:uiPriority w:val="0"/>
    <w:pPr>
      <w:jc w:val="center"/>
    </w:pPr>
    <w:rPr>
      <w:rFonts w:ascii="黑体" w:hAnsi="宋体" w:eastAsia="黑体" w:cs="宋体"/>
      <w:b/>
      <w:bCs/>
      <w:sz w:val="32"/>
      <w:szCs w:val="20"/>
    </w:rPr>
  </w:style>
  <w:style w:type="paragraph" w:customStyle="1" w:styleId="2572">
    <w:name w:val="表内文字小2123"/>
    <w:basedOn w:val="1"/>
    <w:uiPriority w:val="0"/>
    <w:pPr>
      <w:widowControl/>
      <w:jc w:val="center"/>
    </w:pPr>
    <w:rPr>
      <w:rFonts w:ascii="宋体" w:hAnsi="Times" w:cs="宋体"/>
      <w:bCs/>
      <w:color w:val="000000"/>
      <w:kern w:val="0"/>
      <w:szCs w:val="20"/>
    </w:rPr>
  </w:style>
  <w:style w:type="paragraph" w:customStyle="1" w:styleId="2573">
    <w:name w:val="表21"/>
    <w:basedOn w:val="1"/>
    <w:uiPriority w:val="0"/>
    <w:pPr>
      <w:widowControl/>
      <w:jc w:val="center"/>
    </w:pPr>
    <w:rPr>
      <w:rFonts w:ascii="宋体" w:hAnsi="宋体" w:cs="宋体"/>
      <w:kern w:val="0"/>
      <w:szCs w:val="24"/>
    </w:rPr>
  </w:style>
  <w:style w:type="paragraph" w:customStyle="1" w:styleId="2574">
    <w:name w:val="标题41121"/>
    <w:basedOn w:val="1"/>
    <w:uiPriority w:val="0"/>
    <w:pPr>
      <w:widowControl/>
      <w:spacing w:line="300" w:lineRule="auto"/>
      <w:jc w:val="left"/>
    </w:pPr>
    <w:rPr>
      <w:rFonts w:ascii="黑体" w:hAnsi="宋体" w:eastAsia="黑体" w:cs="宋体"/>
      <w:bCs/>
      <w:kern w:val="0"/>
      <w:szCs w:val="20"/>
    </w:rPr>
  </w:style>
  <w:style w:type="paragraph" w:customStyle="1" w:styleId="2575">
    <w:name w:val="燕山正文4"/>
    <w:basedOn w:val="1"/>
    <w:uiPriority w:val="0"/>
    <w:pPr>
      <w:widowControl/>
      <w:tabs>
        <w:tab w:val="left" w:pos="4680"/>
      </w:tabs>
      <w:spacing w:line="480" w:lineRule="exact"/>
      <w:jc w:val="left"/>
    </w:pPr>
    <w:rPr>
      <w:rFonts w:ascii="宋体" w:hAnsi="宋体" w:cs="宋体"/>
      <w:kern w:val="0"/>
      <w:szCs w:val="24"/>
    </w:rPr>
  </w:style>
  <w:style w:type="paragraph" w:customStyle="1" w:styleId="2576">
    <w:name w:val="燕山正文114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577">
    <w:name w:val="Char Char2 Char Char Char Char13"/>
    <w:basedOn w:val="1"/>
    <w:uiPriority w:val="0"/>
    <w:pPr>
      <w:widowControl/>
      <w:jc w:val="left"/>
    </w:pPr>
    <w:rPr>
      <w:rFonts w:ascii="宋体" w:hAnsi="宋体" w:cs="宋体"/>
      <w:kern w:val="0"/>
      <w:szCs w:val="24"/>
    </w:rPr>
  </w:style>
  <w:style w:type="paragraph" w:customStyle="1" w:styleId="2578">
    <w:name w:val="黑体三号22"/>
    <w:basedOn w:val="207"/>
    <w:uiPriority w:val="0"/>
    <w:pPr>
      <w:jc w:val="center"/>
    </w:pPr>
    <w:rPr>
      <w:rFonts w:ascii="黑体" w:hAnsi="宋体" w:eastAsia="黑体" w:cs="宋体"/>
      <w:b/>
      <w:bCs/>
      <w:sz w:val="32"/>
      <w:szCs w:val="20"/>
    </w:rPr>
  </w:style>
  <w:style w:type="paragraph" w:customStyle="1" w:styleId="2579">
    <w:name w:val="Char Char Char Char Char Char Char4"/>
    <w:basedOn w:val="1"/>
    <w:uiPriority w:val="0"/>
    <w:pPr>
      <w:widowControl/>
      <w:jc w:val="left"/>
    </w:pPr>
    <w:rPr>
      <w:rFonts w:ascii="宋体" w:hAnsi="宋体" w:cs="宋体"/>
      <w:kern w:val="0"/>
      <w:szCs w:val="24"/>
    </w:rPr>
  </w:style>
  <w:style w:type="paragraph" w:customStyle="1" w:styleId="2580">
    <w:name w:val="表内文字小21212"/>
    <w:basedOn w:val="1"/>
    <w:uiPriority w:val="0"/>
    <w:pPr>
      <w:widowControl/>
      <w:jc w:val="center"/>
    </w:pPr>
    <w:rPr>
      <w:rFonts w:ascii="宋体" w:hAnsi="Times" w:cs="宋体"/>
      <w:bCs/>
      <w:color w:val="000000"/>
      <w:kern w:val="0"/>
      <w:szCs w:val="20"/>
    </w:rPr>
  </w:style>
  <w:style w:type="paragraph" w:customStyle="1" w:styleId="2581">
    <w:name w:val="表内文字小33"/>
    <w:basedOn w:val="1"/>
    <w:uiPriority w:val="0"/>
    <w:pPr>
      <w:widowControl/>
      <w:jc w:val="center"/>
    </w:pPr>
    <w:rPr>
      <w:rFonts w:ascii="宋体" w:hAnsi="Times" w:cs="宋体"/>
      <w:kern w:val="0"/>
      <w:szCs w:val="20"/>
    </w:rPr>
  </w:style>
  <w:style w:type="paragraph" w:customStyle="1" w:styleId="2582">
    <w:name w:val="正文格式＝52"/>
    <w:basedOn w:val="207"/>
    <w:next w:val="207"/>
    <w:uiPriority w:val="0"/>
    <w:rPr>
      <w:rFonts w:hAnsi="宋体"/>
      <w:szCs w:val="24"/>
    </w:rPr>
  </w:style>
  <w:style w:type="paragraph" w:customStyle="1" w:styleId="2583">
    <w:name w:val="Char36"/>
    <w:basedOn w:val="1"/>
    <w:uiPriority w:val="0"/>
    <w:pPr>
      <w:widowControl/>
      <w:ind w:left="-48"/>
      <w:jc w:val="left"/>
    </w:pPr>
    <w:rPr>
      <w:rFonts w:ascii="宋体" w:hAnsi="宋体" w:cs="宋体"/>
      <w:kern w:val="0"/>
      <w:szCs w:val="24"/>
    </w:rPr>
  </w:style>
  <w:style w:type="paragraph" w:customStyle="1" w:styleId="2584">
    <w:name w:val="表内文字小25"/>
    <w:basedOn w:val="1"/>
    <w:uiPriority w:val="0"/>
    <w:pPr>
      <w:widowControl/>
      <w:jc w:val="center"/>
    </w:pPr>
    <w:rPr>
      <w:rFonts w:ascii="宋体" w:hAnsi="Times" w:cs="宋体"/>
      <w:bCs/>
      <w:color w:val="000000"/>
      <w:kern w:val="0"/>
      <w:szCs w:val="20"/>
    </w:rPr>
  </w:style>
  <w:style w:type="paragraph" w:customStyle="1" w:styleId="2585">
    <w:name w:val="文本框2"/>
    <w:basedOn w:val="1"/>
    <w:uiPriority w:val="0"/>
    <w:pPr>
      <w:widowControl/>
      <w:spacing w:after="6"/>
      <w:jc w:val="center"/>
    </w:pPr>
    <w:rPr>
      <w:rFonts w:ascii="宋体" w:hAnsi="宋体" w:cs="宋体"/>
      <w:kern w:val="0"/>
      <w:szCs w:val="24"/>
    </w:rPr>
  </w:style>
  <w:style w:type="paragraph" w:customStyle="1" w:styleId="2586">
    <w:name w:val="Char611"/>
    <w:basedOn w:val="1"/>
    <w:uiPriority w:val="0"/>
    <w:pPr>
      <w:widowControl/>
      <w:spacing w:before="156"/>
      <w:jc w:val="left"/>
    </w:pPr>
    <w:rPr>
      <w:rFonts w:ascii="黑体" w:hAnsi="宋体" w:eastAsia="黑体" w:cs="宋体"/>
      <w:kern w:val="0"/>
      <w:sz w:val="32"/>
      <w:szCs w:val="32"/>
    </w:rPr>
  </w:style>
  <w:style w:type="paragraph" w:customStyle="1" w:styleId="2587">
    <w:name w:val="表内56"/>
    <w:basedOn w:val="1"/>
    <w:uiPriority w:val="0"/>
    <w:pPr>
      <w:widowControl/>
      <w:spacing w:line="300" w:lineRule="auto"/>
      <w:jc w:val="left"/>
    </w:pPr>
    <w:rPr>
      <w:rFonts w:ascii="宋体" w:hAnsi="宋体" w:cs="宋体"/>
      <w:kern w:val="0"/>
      <w:sz w:val="18"/>
      <w:szCs w:val="20"/>
    </w:rPr>
  </w:style>
  <w:style w:type="paragraph" w:customStyle="1" w:styleId="2588">
    <w:name w:val="表内文字小811"/>
    <w:basedOn w:val="1"/>
    <w:uiPriority w:val="0"/>
    <w:pPr>
      <w:widowControl/>
      <w:jc w:val="center"/>
    </w:pPr>
    <w:rPr>
      <w:rFonts w:ascii="宋体" w:hAnsi="Times" w:cs="宋体"/>
      <w:kern w:val="0"/>
      <w:szCs w:val="20"/>
    </w:rPr>
  </w:style>
  <w:style w:type="paragraph" w:customStyle="1" w:styleId="2589">
    <w:name w:val="表格内容11"/>
    <w:uiPriority w:val="0"/>
    <w:pPr>
      <w:jc w:val="center"/>
    </w:pPr>
    <w:rPr>
      <w:rFonts w:ascii="Times New Roman" w:hAnsi="Times New Roman" w:eastAsia="宋体" w:cs="Times New Roman"/>
      <w:kern w:val="2"/>
      <w:sz w:val="21"/>
      <w:szCs w:val="21"/>
      <w:lang w:val="en-US" w:eastAsia="zh-CN" w:bidi="ar-SA"/>
    </w:rPr>
  </w:style>
  <w:style w:type="paragraph" w:customStyle="1" w:styleId="2590">
    <w:name w:val="表内54143"/>
    <w:basedOn w:val="1"/>
    <w:uiPriority w:val="0"/>
    <w:pPr>
      <w:widowControl/>
      <w:spacing w:line="300" w:lineRule="auto"/>
      <w:jc w:val="center"/>
    </w:pPr>
    <w:rPr>
      <w:rFonts w:ascii="宋体" w:hAnsi="宋体" w:cs="宋体"/>
      <w:kern w:val="0"/>
      <w:szCs w:val="20"/>
    </w:rPr>
  </w:style>
  <w:style w:type="paragraph" w:customStyle="1" w:styleId="2591">
    <w:name w:val="表内宋5113"/>
    <w:basedOn w:val="433"/>
    <w:uiPriority w:val="99"/>
    <w:rPr>
      <w:rFonts w:ascii="宋体" w:hAnsi="宋体" w:cs="宋体"/>
      <w:color w:val="000000"/>
      <w:sz w:val="21"/>
      <w:szCs w:val="24"/>
    </w:rPr>
  </w:style>
  <w:style w:type="paragraph" w:customStyle="1" w:styleId="2592">
    <w:name w:val="Char Char Char Char Char Char Char27"/>
    <w:basedOn w:val="1"/>
    <w:uiPriority w:val="99"/>
    <w:pPr>
      <w:widowControl/>
      <w:jc w:val="left"/>
    </w:pPr>
    <w:rPr>
      <w:rFonts w:ascii="宋体" w:hAnsi="宋体" w:cs="宋体"/>
      <w:kern w:val="0"/>
      <w:szCs w:val="24"/>
    </w:rPr>
  </w:style>
  <w:style w:type="paragraph" w:customStyle="1" w:styleId="2593">
    <w:name w:val="表内541411"/>
    <w:basedOn w:val="1"/>
    <w:uiPriority w:val="99"/>
    <w:pPr>
      <w:widowControl/>
      <w:spacing w:line="300" w:lineRule="auto"/>
      <w:jc w:val="center"/>
    </w:pPr>
    <w:rPr>
      <w:rFonts w:ascii="宋体" w:hAnsi="宋体" w:cs="宋体"/>
      <w:kern w:val="0"/>
      <w:szCs w:val="20"/>
    </w:rPr>
  </w:style>
  <w:style w:type="paragraph" w:customStyle="1" w:styleId="2594">
    <w:name w:val="Char Char Char Char Char Char Char141"/>
    <w:basedOn w:val="1"/>
    <w:uiPriority w:val="99"/>
    <w:pPr>
      <w:widowControl/>
      <w:jc w:val="left"/>
    </w:pPr>
    <w:rPr>
      <w:rFonts w:ascii="宋体" w:hAnsi="宋体" w:cs="宋体"/>
      <w:kern w:val="0"/>
      <w:szCs w:val="24"/>
    </w:rPr>
  </w:style>
  <w:style w:type="paragraph" w:customStyle="1" w:styleId="2595">
    <w:name w:val="xl243"/>
    <w:basedOn w:val="1"/>
    <w:uiPriority w:val="99"/>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96">
    <w:name w:val="Char241"/>
    <w:basedOn w:val="1"/>
    <w:uiPriority w:val="0"/>
    <w:pPr>
      <w:widowControl/>
      <w:ind w:left="-48"/>
      <w:jc w:val="left"/>
    </w:pPr>
    <w:rPr>
      <w:rFonts w:ascii="宋体" w:hAnsi="宋体" w:cs="宋体"/>
      <w:kern w:val="0"/>
      <w:szCs w:val="24"/>
    </w:rPr>
  </w:style>
  <w:style w:type="paragraph" w:customStyle="1" w:styleId="2597">
    <w:name w:val="Char Char Char Char Char Char Char121"/>
    <w:basedOn w:val="1"/>
    <w:uiPriority w:val="0"/>
    <w:pPr>
      <w:widowControl/>
      <w:jc w:val="left"/>
    </w:pPr>
    <w:rPr>
      <w:rFonts w:ascii="宋体" w:hAnsi="宋体" w:cs="宋体"/>
      <w:kern w:val="0"/>
      <w:szCs w:val="20"/>
    </w:rPr>
  </w:style>
  <w:style w:type="paragraph" w:customStyle="1" w:styleId="2598">
    <w:name w:val="环评正文11"/>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2599">
    <w:name w:val="Char Char Char Char1 Char Char Char18"/>
    <w:basedOn w:val="1"/>
    <w:uiPriority w:val="0"/>
    <w:pPr>
      <w:widowControl/>
      <w:spacing w:after="160" w:line="240" w:lineRule="exact"/>
      <w:jc w:val="left"/>
    </w:pPr>
    <w:rPr>
      <w:rFonts w:ascii="Verdana" w:hAnsi="Verdana" w:cs="宋体"/>
      <w:kern w:val="0"/>
      <w:sz w:val="20"/>
      <w:szCs w:val="20"/>
      <w:lang w:eastAsia="en-US"/>
    </w:rPr>
  </w:style>
  <w:style w:type="paragraph" w:customStyle="1" w:styleId="2600">
    <w:name w:val="表内54122"/>
    <w:basedOn w:val="1"/>
    <w:uiPriority w:val="0"/>
    <w:pPr>
      <w:widowControl/>
      <w:spacing w:line="300" w:lineRule="auto"/>
      <w:jc w:val="center"/>
    </w:pPr>
    <w:rPr>
      <w:rFonts w:ascii="宋体" w:hAnsi="宋体" w:cs="宋体"/>
      <w:kern w:val="0"/>
      <w:szCs w:val="20"/>
    </w:rPr>
  </w:style>
  <w:style w:type="paragraph" w:customStyle="1" w:styleId="2601">
    <w:name w:val="样式 标题 4无效格式无效格式1河石管道4H4H41小小节河石管道41H42H411小小节1河石管道42...21"/>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602">
    <w:name w:val="表内文字边13"/>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2603">
    <w:name w:val="Char Char Char Char Char Char Char115"/>
    <w:basedOn w:val="1"/>
    <w:uiPriority w:val="0"/>
    <w:pPr>
      <w:widowControl/>
      <w:jc w:val="left"/>
    </w:pPr>
    <w:rPr>
      <w:rFonts w:ascii="宋体" w:hAnsi="宋体" w:cs="宋体"/>
      <w:kern w:val="0"/>
      <w:szCs w:val="24"/>
    </w:rPr>
  </w:style>
  <w:style w:type="paragraph" w:customStyle="1" w:styleId="2604">
    <w:name w:val="燕山正文1111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605">
    <w:name w:val="标题431111"/>
    <w:basedOn w:val="1"/>
    <w:uiPriority w:val="0"/>
    <w:pPr>
      <w:widowControl/>
      <w:spacing w:line="480" w:lineRule="exact"/>
      <w:jc w:val="center"/>
    </w:pPr>
    <w:rPr>
      <w:rFonts w:ascii="宋体" w:hAnsi="宋体" w:cs="宋体"/>
      <w:kern w:val="0"/>
      <w:szCs w:val="24"/>
    </w:rPr>
  </w:style>
  <w:style w:type="paragraph" w:customStyle="1" w:styleId="2606">
    <w:name w:val="样式 表格内字体1 +11"/>
    <w:basedOn w:val="2316"/>
    <w:next w:val="347"/>
    <w:uiPriority w:val="0"/>
    <w:rPr>
      <w:rFonts w:hAnsi="Times New Roman" w:cs="宋体"/>
      <w:szCs w:val="20"/>
    </w:rPr>
  </w:style>
  <w:style w:type="paragraph" w:customStyle="1" w:styleId="2607">
    <w:name w:val="正文修改33"/>
    <w:basedOn w:val="236"/>
    <w:uiPriority w:val="0"/>
    <w:rPr>
      <w:rFonts w:hAnsi="宋体" w:eastAsia="宋体" w:cs="宋体"/>
      <w:color w:val="000000"/>
      <w:szCs w:val="24"/>
    </w:rPr>
  </w:style>
  <w:style w:type="paragraph" w:customStyle="1" w:styleId="2608">
    <w:name w:val="xl2411"/>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09">
    <w:name w:val="c"/>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610">
    <w:name w:val="封面标准文稿编辑信息111"/>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611">
    <w:name w:val="样式131"/>
    <w:basedOn w:val="1779"/>
    <w:uiPriority w:val="0"/>
    <w:pPr>
      <w:spacing w:line="240" w:lineRule="auto"/>
      <w:ind w:firstLine="0"/>
      <w:jc w:val="center"/>
    </w:pPr>
    <w:rPr>
      <w:rFonts w:cs="Times New Roman"/>
      <w:b/>
      <w:color w:val="auto"/>
      <w:szCs w:val="20"/>
    </w:rPr>
  </w:style>
  <w:style w:type="paragraph" w:customStyle="1" w:styleId="2612">
    <w:name w:val="样式22"/>
    <w:basedOn w:val="1"/>
    <w:uiPriority w:val="0"/>
    <w:pPr>
      <w:widowControl/>
      <w:jc w:val="center"/>
      <w:textAlignment w:val="baseline"/>
      <w:outlineLvl w:val="0"/>
    </w:pPr>
    <w:rPr>
      <w:rFonts w:ascii="宋体" w:hAnsi="宋体" w:cs="宋体"/>
      <w:kern w:val="0"/>
      <w:szCs w:val="20"/>
    </w:rPr>
  </w:style>
  <w:style w:type="paragraph" w:customStyle="1" w:styleId="2613">
    <w:name w:val="表内文字小2212"/>
    <w:basedOn w:val="1"/>
    <w:uiPriority w:val="0"/>
    <w:pPr>
      <w:widowControl/>
      <w:jc w:val="center"/>
    </w:pPr>
    <w:rPr>
      <w:rFonts w:ascii="宋体" w:hAnsi="Times" w:cs="宋体"/>
      <w:bCs/>
      <w:color w:val="000000"/>
      <w:kern w:val="0"/>
      <w:szCs w:val="20"/>
    </w:rPr>
  </w:style>
  <w:style w:type="paragraph" w:customStyle="1" w:styleId="2614">
    <w:name w:val="黑体三号13"/>
    <w:basedOn w:val="207"/>
    <w:uiPriority w:val="0"/>
    <w:pPr>
      <w:jc w:val="center"/>
    </w:pPr>
    <w:rPr>
      <w:rFonts w:ascii="黑体" w:hAnsi="宋体" w:eastAsia="黑体" w:cs="宋体"/>
      <w:b/>
      <w:bCs/>
      <w:sz w:val="32"/>
      <w:szCs w:val="20"/>
    </w:rPr>
  </w:style>
  <w:style w:type="paragraph" w:customStyle="1" w:styleId="2615">
    <w:name w:val="表内文字小222"/>
    <w:basedOn w:val="1"/>
    <w:uiPriority w:val="0"/>
    <w:pPr>
      <w:widowControl/>
      <w:jc w:val="center"/>
    </w:pPr>
    <w:rPr>
      <w:rFonts w:ascii="宋体" w:hAnsi="Times" w:cs="宋体"/>
      <w:bCs/>
      <w:color w:val="000000"/>
      <w:kern w:val="0"/>
      <w:szCs w:val="20"/>
    </w:rPr>
  </w:style>
  <w:style w:type="paragraph" w:customStyle="1" w:styleId="2616">
    <w:name w:val="燕山正文42"/>
    <w:basedOn w:val="1"/>
    <w:uiPriority w:val="0"/>
    <w:pPr>
      <w:widowControl/>
      <w:tabs>
        <w:tab w:val="left" w:pos="4680"/>
      </w:tabs>
      <w:spacing w:line="480" w:lineRule="exact"/>
      <w:jc w:val="left"/>
    </w:pPr>
    <w:rPr>
      <w:rFonts w:ascii="宋体" w:hAnsi="宋体" w:cs="宋体"/>
      <w:kern w:val="0"/>
      <w:szCs w:val="24"/>
    </w:rPr>
  </w:style>
  <w:style w:type="paragraph" w:customStyle="1" w:styleId="2617">
    <w:name w:val="默认段落字体 Para Char Char Char Char42"/>
    <w:basedOn w:val="1"/>
    <w:uiPriority w:val="0"/>
    <w:pPr>
      <w:widowControl/>
      <w:jc w:val="left"/>
    </w:pPr>
    <w:rPr>
      <w:rFonts w:ascii="宋体" w:hAnsi="宋体" w:cs="宋体"/>
      <w:kern w:val="0"/>
      <w:szCs w:val="24"/>
    </w:rPr>
  </w:style>
  <w:style w:type="paragraph" w:customStyle="1" w:styleId="2618">
    <w:name w:val="Char14"/>
    <w:basedOn w:val="1"/>
    <w:uiPriority w:val="0"/>
    <w:pPr>
      <w:widowControl/>
      <w:ind w:left="-48"/>
      <w:jc w:val="left"/>
    </w:pPr>
    <w:rPr>
      <w:rFonts w:ascii="宋体" w:hAnsi="宋体" w:cs="宋体"/>
      <w:kern w:val="0"/>
      <w:szCs w:val="24"/>
    </w:rPr>
  </w:style>
  <w:style w:type="paragraph" w:customStyle="1" w:styleId="2619">
    <w:name w:val="表内5911"/>
    <w:basedOn w:val="1"/>
    <w:uiPriority w:val="0"/>
    <w:pPr>
      <w:widowControl/>
      <w:spacing w:line="300" w:lineRule="auto"/>
      <w:jc w:val="center"/>
    </w:pPr>
    <w:rPr>
      <w:rFonts w:ascii="宋体" w:hAnsi="宋体" w:cs="宋体"/>
      <w:snapToGrid w:val="0"/>
      <w:kern w:val="0"/>
      <w:szCs w:val="21"/>
    </w:rPr>
  </w:style>
  <w:style w:type="paragraph" w:customStyle="1" w:styleId="2620">
    <w:name w:val="燕山正文321"/>
    <w:basedOn w:val="1"/>
    <w:qFormat/>
    <w:uiPriority w:val="0"/>
    <w:pPr>
      <w:widowControl/>
      <w:tabs>
        <w:tab w:val="left" w:pos="4680"/>
      </w:tabs>
      <w:spacing w:line="480" w:lineRule="exact"/>
      <w:jc w:val="left"/>
    </w:pPr>
    <w:rPr>
      <w:rFonts w:ascii="宋体" w:hAnsi="宋体" w:cs="宋体"/>
      <w:kern w:val="0"/>
      <w:szCs w:val="24"/>
    </w:rPr>
  </w:style>
  <w:style w:type="paragraph" w:customStyle="1" w:styleId="2621">
    <w:name w:val="表内533"/>
    <w:basedOn w:val="1"/>
    <w:uiPriority w:val="0"/>
    <w:pPr>
      <w:widowControl/>
      <w:spacing w:line="300" w:lineRule="auto"/>
      <w:jc w:val="left"/>
    </w:pPr>
    <w:rPr>
      <w:rFonts w:ascii="宋体" w:hAnsi="宋体" w:cs="宋体"/>
      <w:kern w:val="0"/>
      <w:szCs w:val="20"/>
    </w:rPr>
  </w:style>
  <w:style w:type="paragraph" w:customStyle="1" w:styleId="2622">
    <w:name w:val="默认段落字体 Para Char Char Char Char411"/>
    <w:basedOn w:val="1"/>
    <w:uiPriority w:val="0"/>
    <w:pPr>
      <w:widowControl/>
      <w:jc w:val="left"/>
    </w:pPr>
    <w:rPr>
      <w:rFonts w:ascii="宋体" w:hAnsi="宋体" w:cs="宋体"/>
      <w:kern w:val="0"/>
      <w:szCs w:val="24"/>
    </w:rPr>
  </w:style>
  <w:style w:type="paragraph" w:customStyle="1" w:styleId="2623">
    <w:name w:val="表内5中22"/>
    <w:basedOn w:val="1"/>
    <w:uiPriority w:val="0"/>
    <w:pPr>
      <w:widowControl/>
      <w:jc w:val="center"/>
    </w:pPr>
    <w:rPr>
      <w:rFonts w:ascii="宋体" w:hAnsi="宋体" w:cs="Arial"/>
      <w:snapToGrid w:val="0"/>
      <w:color w:val="000000"/>
      <w:kern w:val="0"/>
      <w:szCs w:val="21"/>
    </w:rPr>
  </w:style>
  <w:style w:type="paragraph" w:customStyle="1" w:styleId="2624">
    <w:name w:val="表内文字小2141"/>
    <w:basedOn w:val="1"/>
    <w:uiPriority w:val="0"/>
    <w:pPr>
      <w:widowControl/>
      <w:jc w:val="center"/>
    </w:pPr>
    <w:rPr>
      <w:rFonts w:ascii="宋体" w:hAnsi="Times" w:cs="宋体"/>
      <w:bCs/>
      <w:color w:val="000000"/>
      <w:kern w:val="0"/>
      <w:szCs w:val="20"/>
    </w:rPr>
  </w:style>
  <w:style w:type="paragraph" w:customStyle="1" w:styleId="2625">
    <w:name w:val="表内5322"/>
    <w:basedOn w:val="1"/>
    <w:qFormat/>
    <w:uiPriority w:val="0"/>
    <w:pPr>
      <w:widowControl/>
      <w:spacing w:line="300" w:lineRule="auto"/>
      <w:jc w:val="left"/>
    </w:pPr>
    <w:rPr>
      <w:rFonts w:ascii="宋体" w:hAnsi="宋体" w:cs="宋体"/>
      <w:kern w:val="0"/>
      <w:szCs w:val="20"/>
    </w:rPr>
  </w:style>
  <w:style w:type="paragraph" w:customStyle="1" w:styleId="2626">
    <w:name w:val="表内文字小15"/>
    <w:basedOn w:val="1"/>
    <w:uiPriority w:val="0"/>
    <w:pPr>
      <w:widowControl/>
      <w:jc w:val="center"/>
    </w:pPr>
    <w:rPr>
      <w:rFonts w:ascii="宋体" w:hAnsi="Times" w:cs="宋体"/>
      <w:kern w:val="0"/>
      <w:szCs w:val="20"/>
    </w:rPr>
  </w:style>
  <w:style w:type="paragraph" w:customStyle="1" w:styleId="2627">
    <w:name w:val="Fax Header1"/>
    <w:basedOn w:val="1"/>
    <w:uiPriority w:val="0"/>
    <w:pPr>
      <w:widowControl/>
      <w:spacing w:before="240" w:after="60"/>
      <w:jc w:val="left"/>
    </w:pPr>
    <w:rPr>
      <w:rFonts w:ascii="宋体" w:hAnsi="宋体" w:cs="宋体"/>
      <w:kern w:val="0"/>
      <w:sz w:val="20"/>
      <w:szCs w:val="20"/>
    </w:rPr>
  </w:style>
  <w:style w:type="paragraph" w:customStyle="1" w:styleId="2628">
    <w:name w:val="表内小5中11"/>
    <w:basedOn w:val="1"/>
    <w:uiPriority w:val="0"/>
    <w:pPr>
      <w:widowControl/>
      <w:jc w:val="center"/>
    </w:pPr>
    <w:rPr>
      <w:rFonts w:ascii="宋体" w:hAnsi="宋体" w:cs="宋体"/>
      <w:kern w:val="0"/>
      <w:sz w:val="18"/>
      <w:szCs w:val="20"/>
    </w:rPr>
  </w:style>
  <w:style w:type="paragraph" w:customStyle="1" w:styleId="2629">
    <w:name w:val="黑体三号212"/>
    <w:basedOn w:val="207"/>
    <w:uiPriority w:val="0"/>
    <w:pPr>
      <w:jc w:val="center"/>
    </w:pPr>
    <w:rPr>
      <w:rFonts w:ascii="黑体" w:hAnsi="宋体" w:eastAsia="黑体" w:cs="宋体"/>
      <w:b/>
      <w:bCs/>
      <w:sz w:val="32"/>
      <w:szCs w:val="20"/>
    </w:rPr>
  </w:style>
  <w:style w:type="paragraph" w:customStyle="1" w:styleId="2630">
    <w:name w:val="表内宋51"/>
    <w:basedOn w:val="1935"/>
    <w:uiPriority w:val="0"/>
    <w:pPr>
      <w:autoSpaceDE w:val="0"/>
      <w:autoSpaceDN w:val="0"/>
      <w:textAlignment w:val="auto"/>
    </w:pPr>
    <w:rPr>
      <w:color w:val="auto"/>
      <w:w w:val="90"/>
    </w:rPr>
  </w:style>
  <w:style w:type="paragraph" w:customStyle="1" w:styleId="2631">
    <w:name w:val="表内宋51111"/>
    <w:basedOn w:val="433"/>
    <w:uiPriority w:val="0"/>
    <w:rPr>
      <w:rFonts w:ascii="宋体" w:hAnsi="宋体" w:cs="宋体"/>
      <w:color w:val="000000"/>
      <w:sz w:val="21"/>
      <w:szCs w:val="24"/>
    </w:rPr>
  </w:style>
  <w:style w:type="paragraph" w:customStyle="1" w:styleId="2632">
    <w:name w:val="表13"/>
    <w:basedOn w:val="1"/>
    <w:uiPriority w:val="0"/>
    <w:pPr>
      <w:widowControl/>
      <w:jc w:val="center"/>
    </w:pPr>
    <w:rPr>
      <w:rFonts w:ascii="宋体" w:hAnsi="宋体" w:cs="宋体"/>
      <w:kern w:val="0"/>
      <w:szCs w:val="24"/>
    </w:rPr>
  </w:style>
  <w:style w:type="paragraph" w:customStyle="1" w:styleId="2633">
    <w:name w:val="Char26"/>
    <w:basedOn w:val="1"/>
    <w:uiPriority w:val="0"/>
    <w:pPr>
      <w:widowControl/>
      <w:ind w:left="-48"/>
      <w:jc w:val="left"/>
    </w:pPr>
    <w:rPr>
      <w:rFonts w:ascii="宋体" w:hAnsi="宋体" w:cs="宋体"/>
      <w:kern w:val="0"/>
      <w:szCs w:val="24"/>
    </w:rPr>
  </w:style>
  <w:style w:type="paragraph" w:customStyle="1" w:styleId="2634">
    <w:name w:val="表42"/>
    <w:basedOn w:val="1"/>
    <w:uiPriority w:val="0"/>
    <w:pPr>
      <w:widowControl/>
      <w:jc w:val="center"/>
    </w:pPr>
    <w:rPr>
      <w:rFonts w:ascii="宋体" w:hAnsi="宋体" w:cs="宋体"/>
      <w:kern w:val="0"/>
      <w:szCs w:val="24"/>
    </w:rPr>
  </w:style>
  <w:style w:type="paragraph" w:customStyle="1" w:styleId="2635">
    <w:name w:val="表题4112"/>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2636">
    <w:name w:val="燕山正文14"/>
    <w:basedOn w:val="1"/>
    <w:uiPriority w:val="0"/>
    <w:pPr>
      <w:widowControl/>
      <w:tabs>
        <w:tab w:val="left" w:pos="4680"/>
      </w:tabs>
      <w:spacing w:line="480" w:lineRule="exact"/>
      <w:jc w:val="left"/>
    </w:pPr>
    <w:rPr>
      <w:rFonts w:ascii="宋体" w:hAnsi="宋体" w:cs="宋体"/>
      <w:kern w:val="0"/>
      <w:szCs w:val="24"/>
    </w:rPr>
  </w:style>
  <w:style w:type="paragraph" w:customStyle="1" w:styleId="2637">
    <w:name w:val="表内5中5"/>
    <w:basedOn w:val="1"/>
    <w:uiPriority w:val="0"/>
    <w:pPr>
      <w:widowControl/>
      <w:jc w:val="center"/>
    </w:pPr>
    <w:rPr>
      <w:rFonts w:ascii="宋体" w:hAnsi="宋体" w:cs="Arial"/>
      <w:snapToGrid w:val="0"/>
      <w:color w:val="000000"/>
      <w:kern w:val="0"/>
      <w:szCs w:val="21"/>
    </w:rPr>
  </w:style>
  <w:style w:type="paragraph" w:customStyle="1" w:styleId="2638">
    <w:name w:val="表内521"/>
    <w:basedOn w:val="1"/>
    <w:uiPriority w:val="0"/>
    <w:pPr>
      <w:widowControl/>
      <w:spacing w:line="300" w:lineRule="auto"/>
      <w:jc w:val="left"/>
    </w:pPr>
    <w:rPr>
      <w:rFonts w:ascii="宋体" w:hAnsi="宋体" w:cs="宋体"/>
      <w:kern w:val="0"/>
      <w:sz w:val="18"/>
      <w:szCs w:val="20"/>
    </w:rPr>
  </w:style>
  <w:style w:type="paragraph" w:customStyle="1" w:styleId="2639">
    <w:name w:val="Char211"/>
    <w:basedOn w:val="1"/>
    <w:uiPriority w:val="0"/>
    <w:pPr>
      <w:widowControl/>
      <w:ind w:left="-48"/>
      <w:jc w:val="left"/>
    </w:pPr>
    <w:rPr>
      <w:rFonts w:ascii="宋体" w:hAnsi="宋体" w:cs="宋体"/>
      <w:kern w:val="0"/>
      <w:szCs w:val="24"/>
    </w:rPr>
  </w:style>
  <w:style w:type="paragraph" w:customStyle="1" w:styleId="2640">
    <w:name w:val="表题93"/>
    <w:basedOn w:val="938"/>
    <w:uiPriority w:val="0"/>
    <w:pPr>
      <w:spacing w:line="300" w:lineRule="auto"/>
      <w:jc w:val="center"/>
    </w:pPr>
    <w:rPr>
      <w:rFonts w:ascii="黑体" w:eastAsia="黑体"/>
      <w:szCs w:val="22"/>
    </w:rPr>
  </w:style>
  <w:style w:type="paragraph" w:customStyle="1" w:styleId="2641">
    <w:name w:val="封面标准文稿编辑信息13"/>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642">
    <w:name w:val="样式 标题 3 + 段前: 12 磅2"/>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2643">
    <w:name w:val="Fax Header3"/>
    <w:basedOn w:val="1"/>
    <w:uiPriority w:val="0"/>
    <w:pPr>
      <w:widowControl/>
      <w:spacing w:before="240" w:after="60"/>
      <w:jc w:val="left"/>
    </w:pPr>
    <w:rPr>
      <w:rFonts w:ascii="宋体" w:hAnsi="宋体" w:cs="宋体"/>
      <w:kern w:val="0"/>
      <w:sz w:val="20"/>
      <w:szCs w:val="20"/>
    </w:rPr>
  </w:style>
  <w:style w:type="paragraph" w:customStyle="1" w:styleId="2644">
    <w:name w:val="表内54151"/>
    <w:basedOn w:val="1"/>
    <w:uiPriority w:val="0"/>
    <w:pPr>
      <w:widowControl/>
      <w:spacing w:line="300" w:lineRule="auto"/>
      <w:jc w:val="center"/>
    </w:pPr>
    <w:rPr>
      <w:rFonts w:ascii="宋体" w:hAnsi="宋体" w:cs="宋体"/>
      <w:kern w:val="0"/>
      <w:szCs w:val="20"/>
    </w:rPr>
  </w:style>
  <w:style w:type="paragraph" w:customStyle="1" w:styleId="2645">
    <w:name w:val="默认段落字体 Para Char Char Char Char Char12"/>
    <w:basedOn w:val="1"/>
    <w:uiPriority w:val="0"/>
    <w:pPr>
      <w:widowControl/>
      <w:jc w:val="left"/>
    </w:pPr>
    <w:rPr>
      <w:rFonts w:ascii="宋体" w:hAnsi="宋体" w:cs="宋体"/>
      <w:kern w:val="0"/>
      <w:szCs w:val="24"/>
    </w:rPr>
  </w:style>
  <w:style w:type="paragraph" w:customStyle="1" w:styleId="2646">
    <w:name w:val="燕山正文312"/>
    <w:basedOn w:val="1"/>
    <w:uiPriority w:val="0"/>
    <w:pPr>
      <w:widowControl/>
      <w:tabs>
        <w:tab w:val="left" w:pos="4680"/>
      </w:tabs>
      <w:spacing w:line="480" w:lineRule="exact"/>
      <w:jc w:val="left"/>
    </w:pPr>
    <w:rPr>
      <w:rFonts w:ascii="宋体" w:hAnsi="宋体" w:cs="宋体"/>
      <w:kern w:val="0"/>
      <w:szCs w:val="24"/>
    </w:rPr>
  </w:style>
  <w:style w:type="paragraph" w:customStyle="1" w:styleId="2647">
    <w:name w:val="标题422"/>
    <w:basedOn w:val="1"/>
    <w:uiPriority w:val="0"/>
    <w:pPr>
      <w:widowControl/>
      <w:spacing w:line="300" w:lineRule="auto"/>
      <w:jc w:val="left"/>
    </w:pPr>
    <w:rPr>
      <w:rFonts w:ascii="黑体" w:hAnsi="宋体" w:eastAsia="黑体" w:cs="宋体"/>
      <w:bCs/>
      <w:kern w:val="0"/>
      <w:szCs w:val="24"/>
    </w:rPr>
  </w:style>
  <w:style w:type="paragraph" w:customStyle="1" w:styleId="2648">
    <w:name w:val="表中文字6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649">
    <w:name w:val="正文格式＝23"/>
    <w:basedOn w:val="207"/>
    <w:next w:val="207"/>
    <w:uiPriority w:val="0"/>
    <w:rPr>
      <w:rFonts w:hAnsi="宋体"/>
      <w:szCs w:val="24"/>
    </w:rPr>
  </w:style>
  <w:style w:type="paragraph" w:customStyle="1" w:styleId="2650">
    <w:name w:val="Char141"/>
    <w:basedOn w:val="1"/>
    <w:uiPriority w:val="0"/>
    <w:pPr>
      <w:widowControl/>
      <w:ind w:left="-48"/>
      <w:jc w:val="left"/>
    </w:pPr>
    <w:rPr>
      <w:rFonts w:ascii="宋体" w:hAnsi="宋体" w:cs="宋体"/>
      <w:kern w:val="0"/>
      <w:szCs w:val="24"/>
    </w:rPr>
  </w:style>
  <w:style w:type="paragraph" w:customStyle="1" w:styleId="2651">
    <w:name w:val="附件21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652">
    <w:name w:val="表题3111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653">
    <w:name w:val="正文修改21"/>
    <w:basedOn w:val="236"/>
    <w:uiPriority w:val="0"/>
    <w:rPr>
      <w:rFonts w:hAnsi="宋体" w:eastAsia="宋体" w:cs="宋体"/>
      <w:color w:val="000000"/>
      <w:szCs w:val="24"/>
    </w:rPr>
  </w:style>
  <w:style w:type="paragraph" w:customStyle="1" w:styleId="2654">
    <w:name w:val="Char Char Char Char Char Char Char411"/>
    <w:basedOn w:val="1"/>
    <w:uiPriority w:val="0"/>
    <w:pPr>
      <w:widowControl/>
      <w:jc w:val="left"/>
    </w:pPr>
    <w:rPr>
      <w:rFonts w:ascii="宋体" w:hAnsi="宋体" w:cs="宋体"/>
      <w:kern w:val="0"/>
      <w:szCs w:val="24"/>
    </w:rPr>
  </w:style>
  <w:style w:type="paragraph" w:customStyle="1" w:styleId="2655">
    <w:name w:val="Char2311"/>
    <w:basedOn w:val="1"/>
    <w:uiPriority w:val="0"/>
    <w:pPr>
      <w:widowControl/>
      <w:ind w:left="-48"/>
      <w:jc w:val="left"/>
    </w:pPr>
    <w:rPr>
      <w:rFonts w:ascii="宋体" w:hAnsi="宋体" w:cs="宋体"/>
      <w:kern w:val="0"/>
      <w:szCs w:val="24"/>
    </w:rPr>
  </w:style>
  <w:style w:type="paragraph" w:customStyle="1" w:styleId="2656">
    <w:name w:val="Char431"/>
    <w:basedOn w:val="1"/>
    <w:uiPriority w:val="0"/>
    <w:pPr>
      <w:widowControl/>
      <w:ind w:left="-48"/>
      <w:jc w:val="left"/>
    </w:pPr>
    <w:rPr>
      <w:rFonts w:ascii="宋体" w:hAnsi="宋体" w:cs="宋体"/>
      <w:kern w:val="0"/>
      <w:szCs w:val="24"/>
    </w:rPr>
  </w:style>
  <w:style w:type="paragraph" w:customStyle="1" w:styleId="2657">
    <w:name w:val="Char212"/>
    <w:basedOn w:val="1"/>
    <w:uiPriority w:val="0"/>
    <w:pPr>
      <w:widowControl/>
      <w:ind w:left="-48"/>
      <w:jc w:val="left"/>
    </w:pPr>
    <w:rPr>
      <w:rFonts w:ascii="宋体" w:hAnsi="宋体" w:cs="宋体"/>
      <w:kern w:val="0"/>
      <w:szCs w:val="24"/>
    </w:rPr>
  </w:style>
  <w:style w:type="paragraph" w:customStyle="1" w:styleId="2658">
    <w:name w:val="默认段落字体 Para Char Char Char Char12"/>
    <w:basedOn w:val="1"/>
    <w:uiPriority w:val="0"/>
    <w:pPr>
      <w:widowControl/>
      <w:jc w:val="left"/>
    </w:pPr>
    <w:rPr>
      <w:rFonts w:ascii="宋体" w:hAnsi="宋体" w:cs="宋体"/>
      <w:kern w:val="0"/>
      <w:szCs w:val="24"/>
    </w:rPr>
  </w:style>
  <w:style w:type="paragraph" w:customStyle="1" w:styleId="2659">
    <w:name w:val="表中文字42"/>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2660">
    <w:name w:val="表中文字12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661">
    <w:name w:val="默认段落字体 Para Char Char Char Char11"/>
    <w:basedOn w:val="1"/>
    <w:uiPriority w:val="0"/>
    <w:pPr>
      <w:widowControl/>
      <w:jc w:val="left"/>
    </w:pPr>
    <w:rPr>
      <w:rFonts w:ascii="宋体" w:hAnsi="宋体" w:cs="宋体"/>
      <w:kern w:val="0"/>
      <w:szCs w:val="24"/>
    </w:rPr>
  </w:style>
  <w:style w:type="paragraph" w:customStyle="1" w:styleId="2662">
    <w:name w:val="Char Char Char Char1 Char Char Char5"/>
    <w:basedOn w:val="1"/>
    <w:uiPriority w:val="0"/>
    <w:pPr>
      <w:widowControl/>
      <w:spacing w:after="160" w:line="240" w:lineRule="exact"/>
      <w:jc w:val="left"/>
    </w:pPr>
    <w:rPr>
      <w:rFonts w:ascii="Verdana" w:hAnsi="Verdana" w:cs="宋体"/>
      <w:kern w:val="0"/>
      <w:sz w:val="20"/>
      <w:szCs w:val="20"/>
      <w:lang w:eastAsia="en-US"/>
    </w:rPr>
  </w:style>
  <w:style w:type="paragraph" w:customStyle="1" w:styleId="2663">
    <w:name w:val="标准11"/>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2664">
    <w:name w:val="表中文字14"/>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665">
    <w:name w:val="燕山正文1313"/>
    <w:basedOn w:val="1"/>
    <w:uiPriority w:val="0"/>
    <w:pPr>
      <w:widowControl/>
      <w:tabs>
        <w:tab w:val="left" w:pos="4680"/>
      </w:tabs>
      <w:ind w:firstLine="480"/>
      <w:jc w:val="left"/>
    </w:pPr>
    <w:rPr>
      <w:rFonts w:ascii="宋体" w:hAnsi="宋体" w:cs="宋体"/>
      <w:bCs/>
      <w:color w:val="000000"/>
      <w:kern w:val="0"/>
      <w:szCs w:val="24"/>
    </w:rPr>
  </w:style>
  <w:style w:type="paragraph" w:customStyle="1" w:styleId="2666">
    <w:name w:val="表内文字小21112"/>
    <w:basedOn w:val="1"/>
    <w:uiPriority w:val="0"/>
    <w:pPr>
      <w:widowControl/>
      <w:jc w:val="center"/>
    </w:pPr>
    <w:rPr>
      <w:rFonts w:ascii="宋体" w:hAnsi="Times" w:cs="宋体"/>
      <w:bCs/>
      <w:color w:val="000000"/>
      <w:kern w:val="0"/>
      <w:szCs w:val="20"/>
    </w:rPr>
  </w:style>
  <w:style w:type="paragraph" w:customStyle="1" w:styleId="2667">
    <w:name w:val="Char Char Char Char Char Char Char10"/>
    <w:basedOn w:val="1"/>
    <w:uiPriority w:val="0"/>
    <w:pPr>
      <w:widowControl/>
      <w:jc w:val="left"/>
    </w:pPr>
    <w:rPr>
      <w:rFonts w:ascii="宋体" w:hAnsi="宋体" w:cs="宋体"/>
      <w:kern w:val="0"/>
      <w:szCs w:val="24"/>
    </w:rPr>
  </w:style>
  <w:style w:type="paragraph" w:customStyle="1" w:styleId="2668">
    <w:name w:val="表中文字212"/>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2669">
    <w:name w:val="Char3211"/>
    <w:basedOn w:val="1"/>
    <w:uiPriority w:val="0"/>
    <w:pPr>
      <w:widowControl/>
      <w:ind w:left="-48"/>
      <w:jc w:val="left"/>
    </w:pPr>
    <w:rPr>
      <w:rFonts w:ascii="宋体" w:hAnsi="宋体" w:cs="宋体"/>
      <w:kern w:val="0"/>
      <w:szCs w:val="24"/>
    </w:rPr>
  </w:style>
  <w:style w:type="paragraph" w:customStyle="1" w:styleId="2670">
    <w:name w:val="xl633"/>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2671">
    <w:name w:val="Char46"/>
    <w:basedOn w:val="1"/>
    <w:uiPriority w:val="0"/>
    <w:pPr>
      <w:widowControl/>
      <w:ind w:left="-48"/>
      <w:jc w:val="left"/>
    </w:pPr>
    <w:rPr>
      <w:rFonts w:ascii="宋体" w:hAnsi="宋体" w:cs="宋体"/>
      <w:kern w:val="0"/>
      <w:szCs w:val="24"/>
    </w:rPr>
  </w:style>
  <w:style w:type="paragraph" w:customStyle="1" w:styleId="2672">
    <w:name w:val="Char48"/>
    <w:basedOn w:val="1"/>
    <w:uiPriority w:val="0"/>
    <w:pPr>
      <w:widowControl/>
      <w:ind w:left="-48"/>
      <w:jc w:val="left"/>
    </w:pPr>
    <w:rPr>
      <w:rFonts w:ascii="宋体" w:hAnsi="宋体" w:cs="宋体"/>
      <w:kern w:val="0"/>
      <w:szCs w:val="24"/>
    </w:rPr>
  </w:style>
  <w:style w:type="paragraph" w:customStyle="1" w:styleId="2673">
    <w:name w:val="黑体三号7"/>
    <w:basedOn w:val="207"/>
    <w:uiPriority w:val="0"/>
    <w:pPr>
      <w:jc w:val="center"/>
    </w:pPr>
    <w:rPr>
      <w:rFonts w:ascii="黑体" w:hAnsi="宋体" w:eastAsia="黑体" w:cs="宋体"/>
      <w:b/>
      <w:bCs/>
      <w:sz w:val="32"/>
      <w:szCs w:val="20"/>
    </w:rPr>
  </w:style>
  <w:style w:type="paragraph" w:customStyle="1" w:styleId="2674">
    <w:name w:val="正文缩3"/>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2675">
    <w:name w:val="表题314"/>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676">
    <w:name w:val="样式211"/>
    <w:basedOn w:val="1"/>
    <w:uiPriority w:val="0"/>
    <w:pPr>
      <w:widowControl/>
      <w:jc w:val="center"/>
      <w:textAlignment w:val="baseline"/>
      <w:outlineLvl w:val="0"/>
    </w:pPr>
    <w:rPr>
      <w:rFonts w:ascii="宋体" w:hAnsi="宋体" w:cs="宋体"/>
      <w:kern w:val="0"/>
      <w:szCs w:val="20"/>
    </w:rPr>
  </w:style>
  <w:style w:type="paragraph" w:customStyle="1" w:styleId="2677">
    <w:name w:val="c12"/>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678">
    <w:name w:val="样式111"/>
    <w:basedOn w:val="1779"/>
    <w:uiPriority w:val="0"/>
    <w:pPr>
      <w:spacing w:line="240" w:lineRule="auto"/>
      <w:ind w:firstLine="0"/>
      <w:jc w:val="center"/>
    </w:pPr>
    <w:rPr>
      <w:rFonts w:cs="Times New Roman"/>
      <w:b/>
      <w:color w:val="auto"/>
      <w:szCs w:val="20"/>
    </w:rPr>
  </w:style>
  <w:style w:type="paragraph" w:customStyle="1" w:styleId="2679">
    <w:name w:val="表题1412"/>
    <w:basedOn w:val="1"/>
    <w:uiPriority w:val="0"/>
    <w:pPr>
      <w:widowControl/>
      <w:jc w:val="center"/>
    </w:pPr>
    <w:rPr>
      <w:rFonts w:ascii="黑体" w:hAnsi="宋体" w:eastAsia="黑体" w:cs="宋体"/>
      <w:kern w:val="0"/>
      <w:szCs w:val="24"/>
    </w:rPr>
  </w:style>
  <w:style w:type="paragraph" w:customStyle="1" w:styleId="2680">
    <w:name w:val="表内宋52"/>
    <w:basedOn w:val="1935"/>
    <w:uiPriority w:val="0"/>
    <w:pPr>
      <w:autoSpaceDE w:val="0"/>
      <w:autoSpaceDN w:val="0"/>
      <w:textAlignment w:val="auto"/>
    </w:pPr>
    <w:rPr>
      <w:color w:val="auto"/>
      <w:w w:val="90"/>
    </w:rPr>
  </w:style>
  <w:style w:type="paragraph" w:customStyle="1" w:styleId="2681">
    <w:name w:val="表内文字小31212"/>
    <w:basedOn w:val="1"/>
    <w:uiPriority w:val="0"/>
    <w:pPr>
      <w:widowControl/>
      <w:jc w:val="center"/>
    </w:pPr>
    <w:rPr>
      <w:rFonts w:ascii="宋体" w:hAnsi="Times" w:cs="宋体"/>
      <w:bCs/>
      <w:color w:val="003366"/>
      <w:kern w:val="0"/>
      <w:szCs w:val="20"/>
    </w:rPr>
  </w:style>
  <w:style w:type="paragraph" w:customStyle="1" w:styleId="2682">
    <w:name w:val="表内541212"/>
    <w:basedOn w:val="1"/>
    <w:uiPriority w:val="0"/>
    <w:pPr>
      <w:widowControl/>
      <w:spacing w:line="300" w:lineRule="auto"/>
      <w:jc w:val="center"/>
    </w:pPr>
    <w:rPr>
      <w:rFonts w:ascii="宋体" w:hAnsi="宋体" w:cs="宋体"/>
      <w:kern w:val="0"/>
      <w:szCs w:val="20"/>
    </w:rPr>
  </w:style>
  <w:style w:type="paragraph" w:customStyle="1" w:styleId="2683">
    <w:name w:val="表题4111"/>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2684">
    <w:name w:val="表内文字小32"/>
    <w:basedOn w:val="1"/>
    <w:uiPriority w:val="0"/>
    <w:pPr>
      <w:widowControl/>
      <w:jc w:val="center"/>
    </w:pPr>
    <w:rPr>
      <w:rFonts w:ascii="宋体" w:hAnsi="Times" w:cs="宋体"/>
      <w:kern w:val="0"/>
      <w:szCs w:val="20"/>
    </w:rPr>
  </w:style>
  <w:style w:type="paragraph" w:customStyle="1" w:styleId="2685">
    <w:name w:val="c11"/>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686">
    <w:name w:val="附件12"/>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687">
    <w:name w:val="表内文字小31112"/>
    <w:basedOn w:val="1"/>
    <w:uiPriority w:val="0"/>
    <w:pPr>
      <w:widowControl/>
      <w:jc w:val="center"/>
    </w:pPr>
    <w:rPr>
      <w:rFonts w:ascii="宋体" w:hAnsi="Times" w:cs="宋体"/>
      <w:bCs/>
      <w:color w:val="003366"/>
      <w:kern w:val="0"/>
      <w:szCs w:val="20"/>
    </w:rPr>
  </w:style>
  <w:style w:type="paragraph" w:customStyle="1" w:styleId="2688">
    <w:name w:val="Char218"/>
    <w:basedOn w:val="1"/>
    <w:uiPriority w:val="0"/>
    <w:pPr>
      <w:widowControl/>
      <w:ind w:left="-48"/>
      <w:jc w:val="left"/>
    </w:pPr>
    <w:rPr>
      <w:rFonts w:ascii="宋体" w:hAnsi="宋体" w:cs="宋体"/>
      <w:kern w:val="0"/>
      <w:szCs w:val="24"/>
    </w:rPr>
  </w:style>
  <w:style w:type="paragraph" w:customStyle="1" w:styleId="2689">
    <w:name w:val="正文格式＝44"/>
    <w:basedOn w:val="207"/>
    <w:next w:val="207"/>
    <w:uiPriority w:val="0"/>
    <w:rPr>
      <w:rFonts w:hAnsi="宋体"/>
      <w:szCs w:val="24"/>
    </w:rPr>
  </w:style>
  <w:style w:type="paragraph" w:customStyle="1" w:styleId="2690">
    <w:name w:val="表内宋53"/>
    <w:basedOn w:val="1935"/>
    <w:uiPriority w:val="0"/>
    <w:pPr>
      <w:autoSpaceDE w:val="0"/>
      <w:autoSpaceDN w:val="0"/>
      <w:textAlignment w:val="auto"/>
    </w:pPr>
    <w:rPr>
      <w:color w:val="auto"/>
      <w:w w:val="90"/>
    </w:rPr>
  </w:style>
  <w:style w:type="paragraph" w:customStyle="1" w:styleId="2691">
    <w:name w:val="Char Char2 Char Char Char Char8"/>
    <w:basedOn w:val="1"/>
    <w:uiPriority w:val="0"/>
    <w:pPr>
      <w:widowControl/>
      <w:jc w:val="left"/>
    </w:pPr>
    <w:rPr>
      <w:rFonts w:ascii="宋体" w:hAnsi="宋体" w:cs="宋体"/>
      <w:kern w:val="0"/>
      <w:szCs w:val="24"/>
    </w:rPr>
  </w:style>
  <w:style w:type="paragraph" w:customStyle="1" w:styleId="2692">
    <w:name w:val="样式43"/>
    <w:basedOn w:val="27"/>
    <w:uiPriority w:val="0"/>
    <w:pPr>
      <w:widowControl/>
      <w:tabs>
        <w:tab w:val="left" w:pos="1820"/>
      </w:tabs>
      <w:spacing w:line="240" w:lineRule="atLeast"/>
      <w:jc w:val="center"/>
    </w:pPr>
    <w:rPr>
      <w:rFonts w:eastAsia="幼圆"/>
      <w:kern w:val="0"/>
      <w:sz w:val="21"/>
      <w:szCs w:val="20"/>
    </w:rPr>
  </w:style>
  <w:style w:type="paragraph" w:customStyle="1" w:styleId="2693">
    <w:name w:val="表内文字边3"/>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2694">
    <w:name w:val="表内文字小2113"/>
    <w:basedOn w:val="1"/>
    <w:uiPriority w:val="0"/>
    <w:pPr>
      <w:widowControl/>
      <w:jc w:val="center"/>
    </w:pPr>
    <w:rPr>
      <w:rFonts w:ascii="宋体" w:hAnsi="Times" w:cs="宋体"/>
      <w:bCs/>
      <w:color w:val="000000"/>
      <w:kern w:val="0"/>
      <w:szCs w:val="20"/>
    </w:rPr>
  </w:style>
  <w:style w:type="paragraph" w:customStyle="1" w:styleId="2695">
    <w:name w:val="Char419"/>
    <w:basedOn w:val="1"/>
    <w:uiPriority w:val="0"/>
    <w:pPr>
      <w:widowControl/>
      <w:ind w:left="-48"/>
      <w:jc w:val="left"/>
    </w:pPr>
    <w:rPr>
      <w:rFonts w:ascii="宋体" w:hAnsi="宋体" w:cs="宋体"/>
      <w:kern w:val="0"/>
      <w:szCs w:val="24"/>
    </w:rPr>
  </w:style>
  <w:style w:type="paragraph" w:customStyle="1" w:styleId="2696">
    <w:name w:val="表内5414"/>
    <w:basedOn w:val="1"/>
    <w:uiPriority w:val="0"/>
    <w:pPr>
      <w:widowControl/>
      <w:spacing w:line="300" w:lineRule="auto"/>
      <w:jc w:val="center"/>
    </w:pPr>
    <w:rPr>
      <w:rFonts w:ascii="宋体" w:hAnsi="宋体" w:cs="宋体"/>
      <w:kern w:val="0"/>
      <w:szCs w:val="20"/>
    </w:rPr>
  </w:style>
  <w:style w:type="paragraph" w:customStyle="1" w:styleId="2697">
    <w:name w:val="样式 标题 4无效格式无效格式1河石管道4H4H41小小节河石管道41H42H411小小节1河石管道42...13"/>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2698">
    <w:name w:val="正文修改411"/>
    <w:basedOn w:val="236"/>
    <w:uiPriority w:val="0"/>
    <w:rPr>
      <w:rFonts w:hAnsi="宋体" w:eastAsia="宋体" w:cs="宋体"/>
      <w:color w:val="000000"/>
      <w:szCs w:val="24"/>
    </w:rPr>
  </w:style>
  <w:style w:type="paragraph" w:customStyle="1" w:styleId="2699">
    <w:name w:val="Char Char2 Char Char Char Char4"/>
    <w:basedOn w:val="1"/>
    <w:uiPriority w:val="0"/>
    <w:pPr>
      <w:widowControl/>
      <w:jc w:val="left"/>
    </w:pPr>
    <w:rPr>
      <w:rFonts w:ascii="宋体" w:hAnsi="宋体" w:cs="宋体"/>
      <w:kern w:val="0"/>
      <w:szCs w:val="24"/>
    </w:rPr>
  </w:style>
  <w:style w:type="paragraph" w:customStyle="1" w:styleId="2700">
    <w:name w:val="样式 标题 4无效格式无效格式1河石管道4H4H41小小节河石管道41H42H411小小节1河石管道42...211"/>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701">
    <w:name w:val="Char Char Char Char Char Char Char5"/>
    <w:basedOn w:val="1"/>
    <w:uiPriority w:val="0"/>
    <w:pPr>
      <w:widowControl/>
      <w:jc w:val="left"/>
    </w:pPr>
    <w:rPr>
      <w:rFonts w:ascii="宋体" w:hAnsi="宋体" w:cs="宋体"/>
      <w:kern w:val="0"/>
      <w:szCs w:val="24"/>
    </w:rPr>
  </w:style>
  <w:style w:type="paragraph" w:customStyle="1" w:styleId="2702">
    <w:name w:val="标题431112"/>
    <w:basedOn w:val="1"/>
    <w:uiPriority w:val="0"/>
    <w:pPr>
      <w:widowControl/>
      <w:spacing w:line="480" w:lineRule="exact"/>
      <w:jc w:val="center"/>
    </w:pPr>
    <w:rPr>
      <w:rFonts w:ascii="宋体" w:hAnsi="宋体" w:cs="宋体"/>
      <w:kern w:val="0"/>
      <w:szCs w:val="24"/>
    </w:rPr>
  </w:style>
  <w:style w:type="paragraph" w:customStyle="1" w:styleId="2703">
    <w:name w:val="Char117"/>
    <w:basedOn w:val="1"/>
    <w:uiPriority w:val="0"/>
    <w:pPr>
      <w:widowControl/>
      <w:ind w:left="-48"/>
      <w:jc w:val="left"/>
    </w:pPr>
    <w:rPr>
      <w:rFonts w:ascii="宋体" w:hAnsi="宋体" w:cs="宋体"/>
      <w:kern w:val="0"/>
      <w:szCs w:val="24"/>
    </w:rPr>
  </w:style>
  <w:style w:type="paragraph" w:customStyle="1" w:styleId="2704">
    <w:name w:val="Char Char2 Char Char Char Char111"/>
    <w:basedOn w:val="1"/>
    <w:uiPriority w:val="0"/>
    <w:pPr>
      <w:widowControl/>
      <w:jc w:val="left"/>
    </w:pPr>
    <w:rPr>
      <w:rFonts w:ascii="宋体" w:hAnsi="宋体" w:cs="宋体"/>
      <w:kern w:val="0"/>
      <w:szCs w:val="24"/>
    </w:rPr>
  </w:style>
  <w:style w:type="paragraph" w:customStyle="1" w:styleId="2705">
    <w:name w:val="表中文字211"/>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2706">
    <w:name w:val="福建正文缩进12"/>
    <w:basedOn w:val="307"/>
    <w:uiPriority w:val="0"/>
    <w:pPr>
      <w:ind w:firstLine="567"/>
    </w:pPr>
    <w:rPr>
      <w:rFonts w:hAnsi="Calibri"/>
    </w:rPr>
  </w:style>
  <w:style w:type="paragraph" w:customStyle="1" w:styleId="2707">
    <w:name w:val="表内小5中1"/>
    <w:basedOn w:val="1"/>
    <w:uiPriority w:val="0"/>
    <w:pPr>
      <w:widowControl/>
      <w:jc w:val="center"/>
    </w:pPr>
    <w:rPr>
      <w:rFonts w:ascii="宋体" w:hAnsi="宋体" w:cs="宋体"/>
      <w:kern w:val="0"/>
      <w:sz w:val="18"/>
      <w:szCs w:val="20"/>
    </w:rPr>
  </w:style>
  <w:style w:type="paragraph" w:customStyle="1" w:styleId="2708">
    <w:name w:val="表内文字小4"/>
    <w:basedOn w:val="1"/>
    <w:uiPriority w:val="0"/>
    <w:pPr>
      <w:widowControl/>
      <w:jc w:val="center"/>
    </w:pPr>
    <w:rPr>
      <w:rFonts w:ascii="宋体" w:hAnsi="Times" w:cs="宋体"/>
      <w:kern w:val="0"/>
      <w:szCs w:val="20"/>
    </w:rPr>
  </w:style>
  <w:style w:type="paragraph" w:customStyle="1" w:styleId="2709">
    <w:name w:val="表题4113"/>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2710">
    <w:name w:val="Char112"/>
    <w:basedOn w:val="1"/>
    <w:uiPriority w:val="0"/>
    <w:pPr>
      <w:widowControl/>
      <w:ind w:left="-48"/>
      <w:jc w:val="left"/>
    </w:pPr>
    <w:rPr>
      <w:rFonts w:ascii="宋体" w:hAnsi="宋体" w:cs="宋体"/>
      <w:kern w:val="0"/>
      <w:szCs w:val="24"/>
    </w:rPr>
  </w:style>
  <w:style w:type="paragraph" w:customStyle="1" w:styleId="2711">
    <w:name w:val="附件23"/>
    <w:basedOn w:val="2"/>
    <w:next w:val="207"/>
    <w:uiPriority w:val="0"/>
    <w:pPr>
      <w:numPr>
        <w:numId w:val="0"/>
      </w:numPr>
      <w:spacing w:before="220"/>
    </w:pPr>
    <w:rPr>
      <w:rFonts w:ascii="黑体" w:eastAsia="黑体"/>
      <w:sz w:val="32"/>
      <w:szCs w:val="32"/>
      <w:lang w:val="zh-CN" w:eastAsia="zh-CN"/>
    </w:rPr>
  </w:style>
  <w:style w:type="paragraph" w:customStyle="1" w:styleId="2712">
    <w:name w:val="Char Char2 Char Char Char Char311"/>
    <w:basedOn w:val="1"/>
    <w:uiPriority w:val="0"/>
    <w:pPr>
      <w:widowControl/>
      <w:jc w:val="left"/>
    </w:pPr>
    <w:rPr>
      <w:rFonts w:ascii="宋体" w:hAnsi="宋体" w:cs="宋体"/>
      <w:kern w:val="0"/>
      <w:szCs w:val="24"/>
    </w:rPr>
  </w:style>
  <w:style w:type="paragraph" w:customStyle="1" w:styleId="2713">
    <w:name w:val="正文修改211"/>
    <w:basedOn w:val="236"/>
    <w:uiPriority w:val="0"/>
    <w:rPr>
      <w:rFonts w:hAnsi="宋体" w:eastAsia="宋体" w:cs="宋体"/>
      <w:color w:val="000000"/>
      <w:szCs w:val="24"/>
    </w:rPr>
  </w:style>
  <w:style w:type="paragraph" w:customStyle="1" w:styleId="2714">
    <w:name w:val="表中文字1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715">
    <w:name w:val="Char63"/>
    <w:basedOn w:val="1"/>
    <w:uiPriority w:val="0"/>
    <w:pPr>
      <w:widowControl/>
      <w:spacing w:before="156"/>
      <w:jc w:val="left"/>
    </w:pPr>
    <w:rPr>
      <w:rFonts w:ascii="黑体" w:hAnsi="宋体" w:eastAsia="黑体" w:cs="宋体"/>
      <w:kern w:val="0"/>
      <w:sz w:val="32"/>
      <w:szCs w:val="32"/>
    </w:rPr>
  </w:style>
  <w:style w:type="paragraph" w:customStyle="1" w:styleId="2716">
    <w:name w:val="燕山正文33"/>
    <w:basedOn w:val="1"/>
    <w:uiPriority w:val="0"/>
    <w:pPr>
      <w:widowControl/>
      <w:tabs>
        <w:tab w:val="left" w:pos="4680"/>
      </w:tabs>
      <w:spacing w:line="480" w:lineRule="exact"/>
      <w:jc w:val="left"/>
    </w:pPr>
    <w:rPr>
      <w:rFonts w:ascii="宋体" w:hAnsi="宋体" w:cs="宋体"/>
      <w:kern w:val="0"/>
      <w:szCs w:val="24"/>
    </w:rPr>
  </w:style>
  <w:style w:type="paragraph" w:customStyle="1" w:styleId="2717">
    <w:name w:val="文本框3"/>
    <w:basedOn w:val="1"/>
    <w:uiPriority w:val="0"/>
    <w:pPr>
      <w:widowControl/>
      <w:spacing w:after="6"/>
      <w:jc w:val="center"/>
    </w:pPr>
    <w:rPr>
      <w:rFonts w:ascii="宋体" w:hAnsi="宋体" w:cs="宋体"/>
      <w:kern w:val="0"/>
      <w:szCs w:val="24"/>
    </w:rPr>
  </w:style>
  <w:style w:type="paragraph" w:customStyle="1" w:styleId="2718">
    <w:name w:val="正文修改24"/>
    <w:basedOn w:val="236"/>
    <w:uiPriority w:val="0"/>
    <w:rPr>
      <w:rFonts w:hAnsi="宋体" w:eastAsia="宋体" w:cs="宋体"/>
      <w:color w:val="000000"/>
      <w:szCs w:val="24"/>
    </w:rPr>
  </w:style>
  <w:style w:type="paragraph" w:customStyle="1" w:styleId="2719">
    <w:name w:val="正文格式＝511"/>
    <w:basedOn w:val="207"/>
    <w:next w:val="207"/>
    <w:uiPriority w:val="0"/>
    <w:rPr>
      <w:rFonts w:hAnsi="宋体"/>
      <w:szCs w:val="24"/>
    </w:rPr>
  </w:style>
  <w:style w:type="paragraph" w:customStyle="1" w:styleId="2720">
    <w:name w:val="燕山正文131"/>
    <w:basedOn w:val="1"/>
    <w:uiPriority w:val="0"/>
    <w:pPr>
      <w:widowControl/>
      <w:tabs>
        <w:tab w:val="left" w:pos="4680"/>
      </w:tabs>
      <w:ind w:firstLine="480"/>
      <w:jc w:val="left"/>
    </w:pPr>
    <w:rPr>
      <w:rFonts w:ascii="宋体" w:hAnsi="宋体" w:cs="宋体"/>
      <w:bCs/>
      <w:color w:val="000000"/>
      <w:kern w:val="0"/>
      <w:szCs w:val="24"/>
    </w:rPr>
  </w:style>
  <w:style w:type="paragraph" w:customStyle="1" w:styleId="2721">
    <w:name w:val="Char Char Char Char1 Char Char Char110"/>
    <w:basedOn w:val="1"/>
    <w:uiPriority w:val="0"/>
    <w:pPr>
      <w:widowControl/>
      <w:spacing w:after="160" w:line="240" w:lineRule="exact"/>
      <w:jc w:val="left"/>
    </w:pPr>
    <w:rPr>
      <w:rFonts w:ascii="Verdana" w:hAnsi="Verdana" w:cs="宋体"/>
      <w:kern w:val="0"/>
      <w:sz w:val="20"/>
      <w:szCs w:val="20"/>
      <w:lang w:eastAsia="en-US"/>
    </w:rPr>
  </w:style>
  <w:style w:type="paragraph" w:customStyle="1" w:styleId="2722">
    <w:name w:val="表内宋5中5"/>
    <w:basedOn w:val="1"/>
    <w:uiPriority w:val="0"/>
    <w:pPr>
      <w:widowControl/>
      <w:jc w:val="left"/>
      <w:textAlignment w:val="baseline"/>
    </w:pPr>
    <w:rPr>
      <w:rFonts w:ascii="宋体" w:hAnsi="宋体" w:cs="宋体"/>
      <w:color w:val="000000"/>
      <w:kern w:val="0"/>
      <w:szCs w:val="20"/>
    </w:rPr>
  </w:style>
  <w:style w:type="paragraph" w:customStyle="1" w:styleId="2723">
    <w:name w:val="表题21111"/>
    <w:basedOn w:val="1"/>
    <w:uiPriority w:val="0"/>
    <w:pPr>
      <w:widowControl/>
      <w:jc w:val="center"/>
    </w:pPr>
    <w:rPr>
      <w:rFonts w:ascii="黑体" w:hAnsi="宋体" w:eastAsia="黑体" w:cs="宋体"/>
      <w:kern w:val="0"/>
      <w:szCs w:val="24"/>
    </w:rPr>
  </w:style>
  <w:style w:type="paragraph" w:customStyle="1" w:styleId="2724">
    <w:name w:val="表内文字小21311"/>
    <w:basedOn w:val="1"/>
    <w:uiPriority w:val="0"/>
    <w:pPr>
      <w:widowControl/>
      <w:jc w:val="center"/>
      <w:textAlignment w:val="baseline"/>
    </w:pPr>
    <w:rPr>
      <w:rFonts w:ascii="宋体" w:hAnsi="Times" w:cs="宋体"/>
      <w:bCs/>
      <w:color w:val="000000"/>
      <w:kern w:val="0"/>
      <w:szCs w:val="20"/>
    </w:rPr>
  </w:style>
  <w:style w:type="paragraph" w:customStyle="1" w:styleId="2725">
    <w:name w:val="正文.12"/>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726">
    <w:name w:val="黑体三号21"/>
    <w:basedOn w:val="207"/>
    <w:uiPriority w:val="0"/>
    <w:pPr>
      <w:jc w:val="center"/>
    </w:pPr>
    <w:rPr>
      <w:rFonts w:ascii="黑体" w:hAnsi="宋体" w:eastAsia="黑体" w:cs="宋体"/>
      <w:b/>
      <w:bCs/>
      <w:sz w:val="32"/>
      <w:szCs w:val="20"/>
    </w:rPr>
  </w:style>
  <w:style w:type="paragraph" w:customStyle="1" w:styleId="2727">
    <w:name w:val="黑体三号42"/>
    <w:basedOn w:val="207"/>
    <w:uiPriority w:val="0"/>
    <w:pPr>
      <w:jc w:val="center"/>
    </w:pPr>
    <w:rPr>
      <w:rFonts w:ascii="黑体" w:hAnsi="宋体" w:eastAsia="黑体" w:cs="宋体"/>
      <w:b/>
      <w:bCs/>
      <w:sz w:val="32"/>
      <w:szCs w:val="20"/>
    </w:rPr>
  </w:style>
  <w:style w:type="paragraph" w:customStyle="1" w:styleId="2728">
    <w:name w:val="表内宋5中22"/>
    <w:basedOn w:val="1"/>
    <w:uiPriority w:val="0"/>
    <w:pPr>
      <w:widowControl/>
      <w:jc w:val="center"/>
      <w:textAlignment w:val="baseline"/>
    </w:pPr>
    <w:rPr>
      <w:rFonts w:ascii="宋体" w:hAnsi="宋体" w:cs="宋体"/>
      <w:kern w:val="0"/>
      <w:szCs w:val="20"/>
    </w:rPr>
  </w:style>
  <w:style w:type="paragraph" w:customStyle="1" w:styleId="2729">
    <w:name w:val="表内文字小21211"/>
    <w:basedOn w:val="1"/>
    <w:uiPriority w:val="0"/>
    <w:pPr>
      <w:widowControl/>
      <w:jc w:val="center"/>
    </w:pPr>
    <w:rPr>
      <w:rFonts w:ascii="宋体" w:hAnsi="Times" w:cs="宋体"/>
      <w:bCs/>
      <w:color w:val="000000"/>
      <w:kern w:val="0"/>
      <w:szCs w:val="20"/>
    </w:rPr>
  </w:style>
  <w:style w:type="paragraph" w:customStyle="1" w:styleId="2730">
    <w:name w:val="Char142"/>
    <w:basedOn w:val="1"/>
    <w:uiPriority w:val="0"/>
    <w:pPr>
      <w:widowControl/>
      <w:ind w:left="-48"/>
      <w:jc w:val="left"/>
    </w:pPr>
    <w:rPr>
      <w:rFonts w:ascii="宋体" w:hAnsi="宋体" w:cs="宋体"/>
      <w:kern w:val="0"/>
      <w:szCs w:val="24"/>
    </w:rPr>
  </w:style>
  <w:style w:type="paragraph" w:customStyle="1" w:styleId="2731">
    <w:name w:val="Char Char Char Char Char Char Char18"/>
    <w:basedOn w:val="1"/>
    <w:uiPriority w:val="0"/>
    <w:pPr>
      <w:widowControl/>
      <w:jc w:val="left"/>
    </w:pPr>
    <w:rPr>
      <w:rFonts w:ascii="宋体" w:hAnsi="宋体" w:cs="宋体"/>
      <w:kern w:val="0"/>
      <w:szCs w:val="24"/>
    </w:rPr>
  </w:style>
  <w:style w:type="paragraph" w:customStyle="1" w:styleId="2732">
    <w:name w:val="Fax Header12"/>
    <w:basedOn w:val="1"/>
    <w:uiPriority w:val="0"/>
    <w:pPr>
      <w:widowControl/>
      <w:spacing w:before="240" w:after="60"/>
      <w:jc w:val="left"/>
    </w:pPr>
    <w:rPr>
      <w:rFonts w:ascii="宋体" w:hAnsi="宋体" w:cs="宋体"/>
      <w:kern w:val="0"/>
      <w:sz w:val="20"/>
      <w:szCs w:val="20"/>
    </w:rPr>
  </w:style>
  <w:style w:type="paragraph" w:customStyle="1" w:styleId="2733">
    <w:name w:val="表内文字小14"/>
    <w:basedOn w:val="1"/>
    <w:uiPriority w:val="0"/>
    <w:pPr>
      <w:widowControl/>
      <w:jc w:val="center"/>
    </w:pPr>
    <w:rPr>
      <w:rFonts w:ascii="宋体" w:hAnsi="Times" w:cs="宋体"/>
      <w:kern w:val="0"/>
      <w:szCs w:val="20"/>
    </w:rPr>
  </w:style>
  <w:style w:type="paragraph" w:customStyle="1" w:styleId="2734">
    <w:name w:val="正文斜体3"/>
    <w:basedOn w:val="207"/>
    <w:next w:val="207"/>
    <w:uiPriority w:val="0"/>
    <w:rPr>
      <w:rFonts w:hAnsi="宋体"/>
      <w:i/>
      <w:iCs/>
      <w:szCs w:val="24"/>
    </w:rPr>
  </w:style>
  <w:style w:type="paragraph" w:customStyle="1" w:styleId="2735">
    <w:name w:val="Char121"/>
    <w:basedOn w:val="1"/>
    <w:uiPriority w:val="0"/>
    <w:pPr>
      <w:widowControl/>
      <w:jc w:val="left"/>
    </w:pPr>
    <w:rPr>
      <w:rFonts w:ascii="宋体" w:hAnsi="宋体" w:cs="宋体"/>
      <w:kern w:val="0"/>
      <w:szCs w:val="24"/>
    </w:rPr>
  </w:style>
  <w:style w:type="paragraph" w:customStyle="1" w:styleId="2736">
    <w:name w:val="Char4111"/>
    <w:basedOn w:val="1"/>
    <w:uiPriority w:val="0"/>
    <w:pPr>
      <w:widowControl/>
      <w:ind w:left="-48"/>
      <w:jc w:val="left"/>
    </w:pPr>
    <w:rPr>
      <w:rFonts w:ascii="宋体" w:hAnsi="宋体" w:cs="宋体"/>
      <w:kern w:val="0"/>
      <w:szCs w:val="24"/>
    </w:rPr>
  </w:style>
  <w:style w:type="paragraph" w:customStyle="1" w:styleId="2737">
    <w:name w:val="表111"/>
    <w:basedOn w:val="1"/>
    <w:uiPriority w:val="0"/>
    <w:pPr>
      <w:widowControl/>
      <w:jc w:val="center"/>
    </w:pPr>
    <w:rPr>
      <w:rFonts w:ascii="宋体" w:hAnsi="宋体" w:cs="宋体"/>
      <w:kern w:val="0"/>
      <w:szCs w:val="24"/>
    </w:rPr>
  </w:style>
  <w:style w:type="paragraph" w:customStyle="1" w:styleId="2738">
    <w:name w:val="正文格式＝61"/>
    <w:basedOn w:val="207"/>
    <w:next w:val="207"/>
    <w:uiPriority w:val="0"/>
    <w:rPr>
      <w:rFonts w:hAnsi="宋体"/>
      <w:szCs w:val="24"/>
    </w:rPr>
  </w:style>
  <w:style w:type="paragraph" w:customStyle="1" w:styleId="2739">
    <w:name w:val="表内文字小121"/>
    <w:basedOn w:val="1"/>
    <w:uiPriority w:val="0"/>
    <w:pPr>
      <w:widowControl/>
      <w:jc w:val="center"/>
    </w:pPr>
    <w:rPr>
      <w:rFonts w:ascii="宋体" w:hAnsi="Times" w:cs="宋体"/>
      <w:kern w:val="0"/>
      <w:szCs w:val="20"/>
    </w:rPr>
  </w:style>
  <w:style w:type="paragraph" w:customStyle="1" w:styleId="2740">
    <w:name w:val="文本框21"/>
    <w:basedOn w:val="1"/>
    <w:uiPriority w:val="0"/>
    <w:pPr>
      <w:widowControl/>
      <w:spacing w:after="6"/>
      <w:jc w:val="center"/>
    </w:pPr>
    <w:rPr>
      <w:rFonts w:ascii="宋体" w:hAnsi="宋体" w:cs="宋体"/>
      <w:kern w:val="0"/>
      <w:szCs w:val="24"/>
    </w:rPr>
  </w:style>
  <w:style w:type="paragraph" w:customStyle="1" w:styleId="2741">
    <w:name w:val="图表名称3"/>
    <w:basedOn w:val="155"/>
    <w:uiPriority w:val="0"/>
    <w:pPr>
      <w:spacing w:after="0" w:line="480" w:lineRule="exact"/>
      <w:ind w:firstLine="0" w:firstLineChars="0"/>
      <w:jc w:val="center"/>
    </w:pPr>
    <w:rPr>
      <w:rFonts w:ascii="宋体" w:hAnsi="宋体"/>
      <w:bCs/>
      <w:szCs w:val="24"/>
    </w:rPr>
  </w:style>
  <w:style w:type="paragraph" w:customStyle="1" w:styleId="2742">
    <w:name w:val="表题14113"/>
    <w:basedOn w:val="1"/>
    <w:uiPriority w:val="0"/>
    <w:pPr>
      <w:widowControl/>
      <w:jc w:val="center"/>
    </w:pPr>
    <w:rPr>
      <w:rFonts w:ascii="黑体" w:hAnsi="宋体" w:eastAsia="黑体" w:cs="宋体"/>
      <w:kern w:val="0"/>
      <w:szCs w:val="24"/>
    </w:rPr>
  </w:style>
  <w:style w:type="paragraph" w:customStyle="1" w:styleId="2743">
    <w:name w:val="表内文字小82"/>
    <w:basedOn w:val="1"/>
    <w:uiPriority w:val="0"/>
    <w:pPr>
      <w:widowControl/>
      <w:jc w:val="center"/>
    </w:pPr>
    <w:rPr>
      <w:rFonts w:ascii="宋体" w:hAnsi="Times" w:cs="宋体"/>
      <w:kern w:val="0"/>
      <w:szCs w:val="20"/>
    </w:rPr>
  </w:style>
  <w:style w:type="paragraph" w:customStyle="1" w:styleId="2744">
    <w:name w:val="正文.2"/>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745">
    <w:name w:val="默认段落字体 Para Char7"/>
    <w:basedOn w:val="1"/>
    <w:uiPriority w:val="0"/>
    <w:pPr>
      <w:widowControl/>
      <w:jc w:val="left"/>
    </w:pPr>
    <w:rPr>
      <w:rFonts w:ascii="宋体" w:hAnsi="宋体" w:cs="宋体"/>
      <w:kern w:val="0"/>
      <w:szCs w:val="24"/>
    </w:rPr>
  </w:style>
  <w:style w:type="paragraph" w:customStyle="1" w:styleId="2746">
    <w:name w:val="Char30"/>
    <w:basedOn w:val="1"/>
    <w:uiPriority w:val="0"/>
    <w:pPr>
      <w:widowControl/>
      <w:ind w:left="-48"/>
      <w:jc w:val="left"/>
    </w:pPr>
    <w:rPr>
      <w:rFonts w:ascii="宋体" w:hAnsi="宋体" w:cs="宋体"/>
      <w:kern w:val="0"/>
      <w:szCs w:val="24"/>
    </w:rPr>
  </w:style>
  <w:style w:type="paragraph" w:customStyle="1" w:styleId="2747">
    <w:name w:val="Char20"/>
    <w:basedOn w:val="1"/>
    <w:uiPriority w:val="0"/>
    <w:pPr>
      <w:widowControl/>
      <w:ind w:left="-48"/>
      <w:jc w:val="left"/>
    </w:pPr>
    <w:rPr>
      <w:rFonts w:ascii="宋体" w:hAnsi="宋体" w:cs="宋体"/>
      <w:kern w:val="0"/>
      <w:szCs w:val="24"/>
    </w:rPr>
  </w:style>
  <w:style w:type="paragraph" w:customStyle="1" w:styleId="2748">
    <w:name w:val="表内53112"/>
    <w:basedOn w:val="1"/>
    <w:uiPriority w:val="0"/>
    <w:pPr>
      <w:widowControl/>
      <w:spacing w:line="300" w:lineRule="auto"/>
      <w:jc w:val="left"/>
    </w:pPr>
    <w:rPr>
      <w:rFonts w:ascii="宋体" w:hAnsi="宋体" w:cs="宋体"/>
      <w:kern w:val="0"/>
      <w:szCs w:val="20"/>
    </w:rPr>
  </w:style>
  <w:style w:type="paragraph" w:customStyle="1" w:styleId="2749">
    <w:name w:val="Char45"/>
    <w:basedOn w:val="1"/>
    <w:uiPriority w:val="0"/>
    <w:pPr>
      <w:widowControl/>
      <w:ind w:left="-48"/>
      <w:jc w:val="left"/>
    </w:pPr>
    <w:rPr>
      <w:rFonts w:ascii="宋体" w:hAnsi="宋体" w:cs="宋体"/>
      <w:kern w:val="0"/>
      <w:szCs w:val="24"/>
    </w:rPr>
  </w:style>
  <w:style w:type="paragraph" w:customStyle="1" w:styleId="2750">
    <w:name w:val="表内文字小3111"/>
    <w:basedOn w:val="1"/>
    <w:uiPriority w:val="0"/>
    <w:pPr>
      <w:widowControl/>
      <w:jc w:val="center"/>
    </w:pPr>
    <w:rPr>
      <w:rFonts w:ascii="宋体" w:hAnsi="Times" w:cs="宋体"/>
      <w:bCs/>
      <w:color w:val="003366"/>
      <w:kern w:val="0"/>
      <w:szCs w:val="20"/>
    </w:rPr>
  </w:style>
  <w:style w:type="paragraph" w:customStyle="1" w:styleId="2751">
    <w:name w:val="Char72"/>
    <w:basedOn w:val="1"/>
    <w:uiPriority w:val="0"/>
    <w:pPr>
      <w:widowControl/>
      <w:ind w:left="-48"/>
      <w:jc w:val="left"/>
    </w:pPr>
    <w:rPr>
      <w:rFonts w:ascii="宋体" w:hAnsi="宋体" w:cs="宋体"/>
      <w:kern w:val="0"/>
      <w:szCs w:val="24"/>
    </w:rPr>
  </w:style>
  <w:style w:type="paragraph" w:customStyle="1" w:styleId="2752">
    <w:name w:val="表格内字体53"/>
    <w:basedOn w:val="207"/>
    <w:next w:val="207"/>
    <w:uiPriority w:val="0"/>
    <w:pPr>
      <w:spacing w:line="240" w:lineRule="auto"/>
      <w:ind w:firstLine="0"/>
    </w:pPr>
    <w:rPr>
      <w:rFonts w:hAnsi="宋体"/>
      <w:sz w:val="21"/>
      <w:szCs w:val="24"/>
    </w:rPr>
  </w:style>
  <w:style w:type="paragraph" w:customStyle="1" w:styleId="2753">
    <w:name w:val="表内文字小3123"/>
    <w:basedOn w:val="1"/>
    <w:uiPriority w:val="0"/>
    <w:pPr>
      <w:widowControl/>
      <w:jc w:val="center"/>
    </w:pPr>
    <w:rPr>
      <w:rFonts w:ascii="宋体" w:hAnsi="Times" w:cs="宋体"/>
      <w:bCs/>
      <w:color w:val="003366"/>
      <w:kern w:val="0"/>
      <w:szCs w:val="20"/>
    </w:rPr>
  </w:style>
  <w:style w:type="paragraph" w:customStyle="1" w:styleId="2754">
    <w:name w:val="图表名称1"/>
    <w:basedOn w:val="155"/>
    <w:uiPriority w:val="0"/>
    <w:pPr>
      <w:spacing w:after="0" w:line="480" w:lineRule="exact"/>
      <w:ind w:firstLine="0" w:firstLineChars="0"/>
      <w:jc w:val="center"/>
    </w:pPr>
    <w:rPr>
      <w:rFonts w:ascii="宋体" w:hAnsi="宋体"/>
      <w:bCs/>
      <w:szCs w:val="24"/>
    </w:rPr>
  </w:style>
  <w:style w:type="paragraph" w:customStyle="1" w:styleId="2755">
    <w:name w:val="标题4315"/>
    <w:basedOn w:val="1"/>
    <w:uiPriority w:val="0"/>
    <w:pPr>
      <w:widowControl/>
      <w:spacing w:line="480" w:lineRule="exact"/>
      <w:jc w:val="center"/>
    </w:pPr>
    <w:rPr>
      <w:rFonts w:ascii="宋体" w:hAnsi="宋体" w:cs="宋体"/>
      <w:kern w:val="0"/>
      <w:szCs w:val="24"/>
    </w:rPr>
  </w:style>
  <w:style w:type="paragraph" w:customStyle="1" w:styleId="2756">
    <w:name w:val="Char Char Char Char1 Char Char Char1"/>
    <w:basedOn w:val="1"/>
    <w:uiPriority w:val="0"/>
    <w:pPr>
      <w:widowControl/>
      <w:spacing w:after="160" w:line="240" w:lineRule="exact"/>
      <w:jc w:val="left"/>
    </w:pPr>
    <w:rPr>
      <w:rFonts w:ascii="Verdana" w:hAnsi="Verdana" w:cs="宋体"/>
      <w:kern w:val="0"/>
      <w:sz w:val="20"/>
      <w:szCs w:val="20"/>
      <w:lang w:eastAsia="en-US"/>
    </w:rPr>
  </w:style>
  <w:style w:type="paragraph" w:customStyle="1" w:styleId="2757">
    <w:name w:val="样式 表内小5 + 黑体 加粗 倾斜 下划线3"/>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2758">
    <w:name w:val="正文缩11"/>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2759">
    <w:name w:val="封面标准文稿编辑信息1"/>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760">
    <w:name w:val="燕山正文1132"/>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761">
    <w:name w:val="Char Char Char Char Char Char Char25"/>
    <w:basedOn w:val="1"/>
    <w:uiPriority w:val="0"/>
    <w:pPr>
      <w:widowControl/>
      <w:jc w:val="left"/>
    </w:pPr>
    <w:rPr>
      <w:rFonts w:ascii="宋体" w:hAnsi="宋体" w:cs="宋体"/>
      <w:kern w:val="0"/>
      <w:szCs w:val="24"/>
    </w:rPr>
  </w:style>
  <w:style w:type="paragraph" w:customStyle="1" w:styleId="2762">
    <w:name w:val="黑体三号12"/>
    <w:basedOn w:val="207"/>
    <w:uiPriority w:val="0"/>
    <w:pPr>
      <w:jc w:val="center"/>
    </w:pPr>
    <w:rPr>
      <w:rFonts w:ascii="黑体" w:hAnsi="宋体" w:eastAsia="黑体" w:cs="宋体"/>
      <w:b/>
      <w:bCs/>
      <w:sz w:val="32"/>
      <w:szCs w:val="20"/>
    </w:rPr>
  </w:style>
  <w:style w:type="paragraph" w:customStyle="1" w:styleId="2763">
    <w:name w:val="Char3311"/>
    <w:basedOn w:val="1"/>
    <w:uiPriority w:val="0"/>
    <w:pPr>
      <w:widowControl/>
      <w:ind w:left="-48"/>
      <w:jc w:val="left"/>
    </w:pPr>
    <w:rPr>
      <w:rFonts w:ascii="宋体" w:hAnsi="宋体" w:cs="宋体"/>
      <w:kern w:val="0"/>
      <w:szCs w:val="24"/>
    </w:rPr>
  </w:style>
  <w:style w:type="paragraph" w:customStyle="1" w:styleId="2764">
    <w:name w:val="表内小5中12"/>
    <w:basedOn w:val="1"/>
    <w:uiPriority w:val="0"/>
    <w:pPr>
      <w:widowControl/>
      <w:jc w:val="center"/>
    </w:pPr>
    <w:rPr>
      <w:rFonts w:ascii="宋体" w:hAnsi="宋体" w:cs="宋体"/>
      <w:kern w:val="0"/>
      <w:sz w:val="18"/>
      <w:szCs w:val="20"/>
    </w:rPr>
  </w:style>
  <w:style w:type="paragraph" w:customStyle="1" w:styleId="2765">
    <w:name w:val="表内54142"/>
    <w:basedOn w:val="1"/>
    <w:uiPriority w:val="0"/>
    <w:pPr>
      <w:widowControl/>
      <w:spacing w:line="300" w:lineRule="auto"/>
      <w:jc w:val="center"/>
    </w:pPr>
    <w:rPr>
      <w:rFonts w:ascii="宋体" w:hAnsi="宋体" w:cs="宋体"/>
      <w:kern w:val="0"/>
      <w:szCs w:val="20"/>
    </w:rPr>
  </w:style>
  <w:style w:type="paragraph" w:customStyle="1" w:styleId="2766">
    <w:name w:val="封面标准文稿编辑信息12"/>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767">
    <w:name w:val="表题314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768">
    <w:name w:val="Char9"/>
    <w:basedOn w:val="1"/>
    <w:uiPriority w:val="0"/>
    <w:pPr>
      <w:widowControl/>
      <w:ind w:left="-48"/>
      <w:jc w:val="left"/>
    </w:pPr>
    <w:rPr>
      <w:rFonts w:ascii="宋体" w:hAnsi="宋体" w:cs="宋体"/>
      <w:kern w:val="0"/>
      <w:szCs w:val="24"/>
    </w:rPr>
  </w:style>
  <w:style w:type="paragraph" w:customStyle="1" w:styleId="2769">
    <w:name w:val="样式 表内小5 + 黑体 加粗 倾斜 下划线12"/>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2770">
    <w:name w:val="燕山正文133"/>
    <w:basedOn w:val="1"/>
    <w:uiPriority w:val="0"/>
    <w:pPr>
      <w:widowControl/>
      <w:tabs>
        <w:tab w:val="left" w:pos="4680"/>
      </w:tabs>
      <w:ind w:firstLine="480"/>
      <w:jc w:val="left"/>
    </w:pPr>
    <w:rPr>
      <w:rFonts w:ascii="宋体" w:hAnsi="宋体" w:cs="宋体"/>
      <w:bCs/>
      <w:color w:val="000000"/>
      <w:kern w:val="0"/>
      <w:szCs w:val="24"/>
    </w:rPr>
  </w:style>
  <w:style w:type="paragraph" w:customStyle="1" w:styleId="2771">
    <w:name w:val="标题4314"/>
    <w:basedOn w:val="1"/>
    <w:uiPriority w:val="0"/>
    <w:pPr>
      <w:widowControl/>
      <w:spacing w:line="480" w:lineRule="exact"/>
      <w:jc w:val="center"/>
    </w:pPr>
    <w:rPr>
      <w:rFonts w:ascii="宋体" w:hAnsi="宋体" w:cs="宋体"/>
      <w:kern w:val="0"/>
      <w:szCs w:val="24"/>
    </w:rPr>
  </w:style>
  <w:style w:type="paragraph" w:customStyle="1" w:styleId="2772">
    <w:name w:val="Char Char Char Char Char Char Char8"/>
    <w:basedOn w:val="1"/>
    <w:uiPriority w:val="0"/>
    <w:pPr>
      <w:widowControl/>
      <w:jc w:val="left"/>
    </w:pPr>
    <w:rPr>
      <w:rFonts w:ascii="宋体" w:hAnsi="宋体" w:cs="宋体"/>
      <w:kern w:val="0"/>
      <w:szCs w:val="24"/>
    </w:rPr>
  </w:style>
  <w:style w:type="paragraph" w:customStyle="1" w:styleId="2773">
    <w:name w:val="黑体三号321"/>
    <w:basedOn w:val="207"/>
    <w:uiPriority w:val="0"/>
    <w:pPr>
      <w:jc w:val="center"/>
    </w:pPr>
    <w:rPr>
      <w:rFonts w:ascii="黑体" w:hAnsi="宋体" w:eastAsia="黑体" w:cs="宋体"/>
      <w:b/>
      <w:bCs/>
      <w:sz w:val="32"/>
      <w:szCs w:val="20"/>
    </w:rPr>
  </w:style>
  <w:style w:type="paragraph" w:customStyle="1" w:styleId="2774">
    <w:name w:val="首行缩进:  0.99 厘米 + 首行缩进:  2 字符11"/>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775">
    <w:name w:val="Char Char Char Char Char Char Char6"/>
    <w:basedOn w:val="1"/>
    <w:uiPriority w:val="0"/>
    <w:pPr>
      <w:widowControl/>
      <w:jc w:val="left"/>
    </w:pPr>
    <w:rPr>
      <w:rFonts w:ascii="宋体" w:hAnsi="宋体" w:cs="宋体"/>
      <w:kern w:val="0"/>
      <w:szCs w:val="20"/>
    </w:rPr>
  </w:style>
  <w:style w:type="paragraph" w:customStyle="1" w:styleId="2776">
    <w:name w:val="表内5中413"/>
    <w:basedOn w:val="1"/>
    <w:uiPriority w:val="0"/>
    <w:pPr>
      <w:widowControl/>
      <w:jc w:val="center"/>
    </w:pPr>
    <w:rPr>
      <w:rFonts w:ascii="宋体" w:hAnsi="宋体" w:cs="宋体"/>
      <w:bCs/>
      <w:kern w:val="0"/>
      <w:szCs w:val="20"/>
    </w:rPr>
  </w:style>
  <w:style w:type="paragraph" w:customStyle="1" w:styleId="2777">
    <w:name w:val="Char43"/>
    <w:basedOn w:val="1"/>
    <w:uiPriority w:val="0"/>
    <w:pPr>
      <w:widowControl/>
      <w:ind w:left="-48"/>
      <w:jc w:val="left"/>
    </w:pPr>
    <w:rPr>
      <w:rFonts w:ascii="宋体" w:hAnsi="宋体" w:cs="宋体"/>
      <w:kern w:val="0"/>
      <w:szCs w:val="24"/>
    </w:rPr>
  </w:style>
  <w:style w:type="paragraph" w:customStyle="1" w:styleId="2778">
    <w:name w:val="默认段落字体 Para Char Char Char Char5"/>
    <w:basedOn w:val="1"/>
    <w:uiPriority w:val="0"/>
    <w:pPr>
      <w:widowControl/>
      <w:jc w:val="left"/>
    </w:pPr>
    <w:rPr>
      <w:rFonts w:ascii="宋体" w:hAnsi="宋体" w:cs="宋体"/>
      <w:kern w:val="0"/>
      <w:szCs w:val="24"/>
    </w:rPr>
  </w:style>
  <w:style w:type="paragraph" w:customStyle="1" w:styleId="2779">
    <w:name w:val="标准2"/>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2780">
    <w:name w:val="Char228"/>
    <w:basedOn w:val="1"/>
    <w:uiPriority w:val="0"/>
    <w:pPr>
      <w:widowControl/>
      <w:ind w:left="-48"/>
      <w:jc w:val="left"/>
    </w:pPr>
    <w:rPr>
      <w:rFonts w:ascii="宋体" w:hAnsi="宋体" w:cs="宋体"/>
      <w:kern w:val="0"/>
      <w:szCs w:val="24"/>
    </w:rPr>
  </w:style>
  <w:style w:type="paragraph" w:customStyle="1" w:styleId="2781">
    <w:name w:val="表11"/>
    <w:basedOn w:val="1"/>
    <w:uiPriority w:val="0"/>
    <w:pPr>
      <w:widowControl/>
      <w:jc w:val="center"/>
    </w:pPr>
    <w:rPr>
      <w:rFonts w:ascii="宋体" w:hAnsi="宋体" w:cs="宋体"/>
      <w:kern w:val="0"/>
      <w:szCs w:val="24"/>
    </w:rPr>
  </w:style>
  <w:style w:type="paragraph" w:customStyle="1" w:styleId="2782">
    <w:name w:val="默认段落字体 Para Char Char Char Char211"/>
    <w:basedOn w:val="1"/>
    <w:uiPriority w:val="0"/>
    <w:pPr>
      <w:widowControl/>
      <w:jc w:val="left"/>
    </w:pPr>
    <w:rPr>
      <w:rFonts w:ascii="宋体" w:hAnsi="宋体" w:cs="宋体"/>
      <w:kern w:val="0"/>
      <w:szCs w:val="24"/>
    </w:rPr>
  </w:style>
  <w:style w:type="paragraph" w:customStyle="1" w:styleId="2783">
    <w:name w:val="Char Char Char Char1 Char Char Char3"/>
    <w:basedOn w:val="1"/>
    <w:uiPriority w:val="0"/>
    <w:pPr>
      <w:widowControl/>
      <w:spacing w:after="160" w:line="240" w:lineRule="exact"/>
      <w:jc w:val="left"/>
    </w:pPr>
    <w:rPr>
      <w:rFonts w:ascii="Verdana" w:hAnsi="Verdana" w:cs="宋体"/>
      <w:kern w:val="0"/>
      <w:sz w:val="20"/>
      <w:szCs w:val="20"/>
      <w:lang w:eastAsia="en-US"/>
    </w:rPr>
  </w:style>
  <w:style w:type="paragraph" w:customStyle="1" w:styleId="2784">
    <w:name w:val="表内文字边11"/>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2785">
    <w:name w:val="表内文字小31311"/>
    <w:basedOn w:val="1"/>
    <w:uiPriority w:val="0"/>
    <w:pPr>
      <w:widowControl/>
      <w:jc w:val="center"/>
    </w:pPr>
    <w:rPr>
      <w:rFonts w:ascii="宋体" w:hAnsi="Times" w:cs="宋体"/>
      <w:bCs/>
      <w:color w:val="003366"/>
      <w:kern w:val="0"/>
      <w:szCs w:val="20"/>
    </w:rPr>
  </w:style>
  <w:style w:type="paragraph" w:customStyle="1" w:styleId="2786">
    <w:name w:val="表31"/>
    <w:basedOn w:val="1"/>
    <w:uiPriority w:val="0"/>
    <w:pPr>
      <w:widowControl/>
      <w:jc w:val="center"/>
    </w:pPr>
    <w:rPr>
      <w:rFonts w:ascii="宋体" w:hAnsi="宋体" w:cs="宋体"/>
      <w:kern w:val="0"/>
      <w:szCs w:val="24"/>
    </w:rPr>
  </w:style>
  <w:style w:type="paragraph" w:customStyle="1" w:styleId="2787">
    <w:name w:val="标题43123"/>
    <w:basedOn w:val="1"/>
    <w:uiPriority w:val="0"/>
    <w:pPr>
      <w:widowControl/>
      <w:spacing w:line="480" w:lineRule="exact"/>
      <w:jc w:val="center"/>
    </w:pPr>
    <w:rPr>
      <w:rFonts w:ascii="宋体" w:hAnsi="宋体" w:cs="宋体"/>
      <w:kern w:val="0"/>
      <w:szCs w:val="24"/>
    </w:rPr>
  </w:style>
  <w:style w:type="paragraph" w:customStyle="1" w:styleId="2788">
    <w:name w:val="xl632"/>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2789">
    <w:name w:val="Char37"/>
    <w:basedOn w:val="1"/>
    <w:uiPriority w:val="0"/>
    <w:pPr>
      <w:widowControl/>
      <w:ind w:left="-48"/>
      <w:jc w:val="left"/>
    </w:pPr>
    <w:rPr>
      <w:rFonts w:ascii="宋体" w:hAnsi="宋体" w:cs="宋体"/>
      <w:kern w:val="0"/>
      <w:szCs w:val="24"/>
    </w:rPr>
  </w:style>
  <w:style w:type="paragraph" w:customStyle="1" w:styleId="2790">
    <w:name w:val="文本框13"/>
    <w:basedOn w:val="1"/>
    <w:uiPriority w:val="0"/>
    <w:pPr>
      <w:widowControl/>
      <w:spacing w:after="6"/>
      <w:jc w:val="center"/>
    </w:pPr>
    <w:rPr>
      <w:rFonts w:ascii="宋体" w:hAnsi="宋体" w:cs="宋体"/>
      <w:kern w:val="0"/>
      <w:szCs w:val="24"/>
    </w:rPr>
  </w:style>
  <w:style w:type="paragraph" w:customStyle="1" w:styleId="2791">
    <w:name w:val="Char Char Char Char Char Char Char2111"/>
    <w:basedOn w:val="1"/>
    <w:uiPriority w:val="0"/>
    <w:pPr>
      <w:widowControl/>
      <w:jc w:val="left"/>
    </w:pPr>
    <w:rPr>
      <w:rFonts w:ascii="宋体" w:hAnsi="宋体" w:cs="宋体"/>
      <w:kern w:val="0"/>
      <w:szCs w:val="24"/>
    </w:rPr>
  </w:style>
  <w:style w:type="paragraph" w:customStyle="1" w:styleId="2792">
    <w:name w:val="标题41111"/>
    <w:basedOn w:val="1"/>
    <w:uiPriority w:val="0"/>
    <w:pPr>
      <w:widowControl/>
      <w:spacing w:line="300" w:lineRule="auto"/>
      <w:jc w:val="left"/>
    </w:pPr>
    <w:rPr>
      <w:rFonts w:ascii="黑体" w:hAnsi="宋体" w:eastAsia="黑体" w:cs="宋体"/>
      <w:bCs/>
      <w:kern w:val="0"/>
      <w:szCs w:val="20"/>
    </w:rPr>
  </w:style>
  <w:style w:type="paragraph" w:customStyle="1" w:styleId="2793">
    <w:name w:val="表题3131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794">
    <w:name w:val="Char1311"/>
    <w:basedOn w:val="1"/>
    <w:uiPriority w:val="0"/>
    <w:pPr>
      <w:widowControl/>
      <w:ind w:left="-48"/>
      <w:jc w:val="left"/>
    </w:pPr>
    <w:rPr>
      <w:rFonts w:ascii="宋体" w:hAnsi="宋体" w:cs="宋体"/>
      <w:kern w:val="0"/>
      <w:szCs w:val="24"/>
    </w:rPr>
  </w:style>
  <w:style w:type="paragraph" w:customStyle="1" w:styleId="2795">
    <w:name w:val="Char Char2 Char Char Char Char1111"/>
    <w:basedOn w:val="1"/>
    <w:uiPriority w:val="0"/>
    <w:pPr>
      <w:widowControl/>
      <w:jc w:val="left"/>
    </w:pPr>
    <w:rPr>
      <w:rFonts w:ascii="宋体" w:hAnsi="宋体" w:cs="宋体"/>
      <w:kern w:val="0"/>
      <w:szCs w:val="24"/>
    </w:rPr>
  </w:style>
  <w:style w:type="paragraph" w:customStyle="1" w:styleId="2796">
    <w:name w:val="正文格式＝32"/>
    <w:basedOn w:val="207"/>
    <w:next w:val="207"/>
    <w:uiPriority w:val="0"/>
    <w:rPr>
      <w:rFonts w:hAnsi="宋体"/>
      <w:szCs w:val="24"/>
    </w:rPr>
  </w:style>
  <w:style w:type="paragraph" w:customStyle="1" w:styleId="2797">
    <w:name w:val="Char1211"/>
    <w:basedOn w:val="1"/>
    <w:uiPriority w:val="0"/>
    <w:pPr>
      <w:widowControl/>
      <w:jc w:val="left"/>
    </w:pPr>
    <w:rPr>
      <w:rFonts w:ascii="宋体" w:hAnsi="宋体" w:cs="宋体"/>
      <w:kern w:val="0"/>
      <w:szCs w:val="24"/>
    </w:rPr>
  </w:style>
  <w:style w:type="paragraph" w:customStyle="1" w:styleId="2798">
    <w:name w:val="默认段落字体 Para Char Char Char Char311"/>
    <w:basedOn w:val="1"/>
    <w:uiPriority w:val="0"/>
    <w:pPr>
      <w:widowControl/>
      <w:jc w:val="left"/>
    </w:pPr>
    <w:rPr>
      <w:rFonts w:ascii="宋体" w:hAnsi="宋体" w:cs="宋体"/>
      <w:kern w:val="0"/>
      <w:szCs w:val="24"/>
    </w:rPr>
  </w:style>
  <w:style w:type="paragraph" w:customStyle="1" w:styleId="2799">
    <w:name w:val="默认段落字体 Para Char Char Char Char Char1"/>
    <w:basedOn w:val="1"/>
    <w:uiPriority w:val="0"/>
    <w:pPr>
      <w:widowControl/>
      <w:jc w:val="left"/>
    </w:pPr>
    <w:rPr>
      <w:rFonts w:ascii="宋体" w:hAnsi="宋体" w:cs="宋体"/>
      <w:kern w:val="0"/>
      <w:szCs w:val="24"/>
    </w:rPr>
  </w:style>
  <w:style w:type="paragraph" w:customStyle="1" w:styleId="2800">
    <w:name w:val="文本框22"/>
    <w:basedOn w:val="1"/>
    <w:uiPriority w:val="0"/>
    <w:pPr>
      <w:widowControl/>
      <w:spacing w:after="6"/>
      <w:jc w:val="center"/>
    </w:pPr>
    <w:rPr>
      <w:rFonts w:ascii="宋体" w:hAnsi="宋体" w:cs="宋体"/>
      <w:kern w:val="0"/>
      <w:szCs w:val="24"/>
    </w:rPr>
  </w:style>
  <w:style w:type="paragraph" w:customStyle="1" w:styleId="2801">
    <w:name w:val="xl634"/>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2802">
    <w:name w:val="正文格式＝22"/>
    <w:basedOn w:val="207"/>
    <w:next w:val="207"/>
    <w:uiPriority w:val="0"/>
    <w:rPr>
      <w:rFonts w:hAnsi="宋体"/>
      <w:szCs w:val="24"/>
    </w:rPr>
  </w:style>
  <w:style w:type="paragraph" w:customStyle="1" w:styleId="2803">
    <w:name w:val="表内文字小3113"/>
    <w:basedOn w:val="1"/>
    <w:uiPriority w:val="0"/>
    <w:pPr>
      <w:widowControl/>
      <w:jc w:val="center"/>
    </w:pPr>
    <w:rPr>
      <w:rFonts w:ascii="宋体" w:hAnsi="Times" w:cs="宋体"/>
      <w:bCs/>
      <w:color w:val="003366"/>
      <w:kern w:val="0"/>
      <w:szCs w:val="20"/>
    </w:rPr>
  </w:style>
  <w:style w:type="paragraph" w:customStyle="1" w:styleId="2804">
    <w:name w:val="Char83"/>
    <w:basedOn w:val="1"/>
    <w:uiPriority w:val="0"/>
    <w:pPr>
      <w:widowControl/>
      <w:ind w:left="-48"/>
      <w:jc w:val="left"/>
    </w:pPr>
    <w:rPr>
      <w:rFonts w:ascii="宋体" w:hAnsi="宋体" w:cs="宋体"/>
      <w:kern w:val="0"/>
      <w:szCs w:val="24"/>
    </w:rPr>
  </w:style>
  <w:style w:type="paragraph" w:customStyle="1" w:styleId="2805">
    <w:name w:val="Char4211"/>
    <w:basedOn w:val="1"/>
    <w:uiPriority w:val="0"/>
    <w:pPr>
      <w:widowControl/>
      <w:ind w:left="-48"/>
      <w:jc w:val="left"/>
    </w:pPr>
    <w:rPr>
      <w:rFonts w:ascii="宋体" w:hAnsi="宋体" w:cs="宋体"/>
      <w:kern w:val="0"/>
      <w:szCs w:val="24"/>
    </w:rPr>
  </w:style>
  <w:style w:type="paragraph" w:customStyle="1" w:styleId="2806">
    <w:name w:val="表内文字小13"/>
    <w:basedOn w:val="1"/>
    <w:uiPriority w:val="0"/>
    <w:pPr>
      <w:widowControl/>
      <w:jc w:val="center"/>
    </w:pPr>
    <w:rPr>
      <w:rFonts w:ascii="宋体" w:hAnsi="Times" w:cs="宋体"/>
      <w:kern w:val="0"/>
      <w:szCs w:val="20"/>
    </w:rPr>
  </w:style>
  <w:style w:type="paragraph" w:customStyle="1" w:styleId="2807">
    <w:name w:val="表内54111"/>
    <w:basedOn w:val="1"/>
    <w:uiPriority w:val="0"/>
    <w:pPr>
      <w:widowControl/>
      <w:spacing w:line="300" w:lineRule="auto"/>
      <w:jc w:val="center"/>
    </w:pPr>
    <w:rPr>
      <w:rFonts w:ascii="宋体" w:hAnsi="宋体" w:cs="宋体"/>
      <w:kern w:val="0"/>
      <w:szCs w:val="20"/>
    </w:rPr>
  </w:style>
  <w:style w:type="paragraph" w:customStyle="1" w:styleId="2808">
    <w:name w:val="表中文字11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809">
    <w:name w:val="福建正文缩进21"/>
    <w:basedOn w:val="307"/>
    <w:uiPriority w:val="0"/>
    <w:pPr>
      <w:tabs>
        <w:tab w:val="left" w:pos="5837"/>
      </w:tabs>
      <w:spacing w:line="480" w:lineRule="exact"/>
    </w:pPr>
    <w:rPr>
      <w:rFonts w:cs="宋体"/>
      <w:color w:val="000000"/>
    </w:rPr>
  </w:style>
  <w:style w:type="paragraph" w:customStyle="1" w:styleId="2810">
    <w:name w:val="Char411"/>
    <w:basedOn w:val="1"/>
    <w:uiPriority w:val="0"/>
    <w:pPr>
      <w:widowControl/>
      <w:ind w:left="-48"/>
      <w:jc w:val="left"/>
    </w:pPr>
    <w:rPr>
      <w:rFonts w:ascii="宋体" w:hAnsi="宋体" w:cs="宋体"/>
      <w:kern w:val="0"/>
      <w:szCs w:val="24"/>
    </w:rPr>
  </w:style>
  <w:style w:type="paragraph" w:customStyle="1" w:styleId="2811">
    <w:name w:val="样式 表内小5 + 黑体 加粗 倾斜 下划线2"/>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2812">
    <w:name w:val="正文格式＝212"/>
    <w:basedOn w:val="207"/>
    <w:next w:val="207"/>
    <w:uiPriority w:val="0"/>
    <w:rPr>
      <w:rFonts w:hAnsi="宋体"/>
      <w:szCs w:val="24"/>
    </w:rPr>
  </w:style>
  <w:style w:type="paragraph" w:customStyle="1" w:styleId="2813">
    <w:name w:val="样式 表格内字体1 +1"/>
    <w:basedOn w:val="2316"/>
    <w:next w:val="347"/>
    <w:uiPriority w:val="0"/>
    <w:rPr>
      <w:rFonts w:hAnsi="Times New Roman" w:cs="宋体"/>
      <w:szCs w:val="20"/>
    </w:rPr>
  </w:style>
  <w:style w:type="paragraph" w:customStyle="1" w:styleId="2814">
    <w:name w:val="文本框112"/>
    <w:basedOn w:val="1"/>
    <w:uiPriority w:val="0"/>
    <w:pPr>
      <w:widowControl/>
      <w:spacing w:after="6"/>
      <w:jc w:val="center"/>
    </w:pPr>
    <w:rPr>
      <w:rFonts w:ascii="宋体" w:hAnsi="宋体" w:cs="宋体"/>
      <w:kern w:val="0"/>
      <w:szCs w:val="24"/>
    </w:rPr>
  </w:style>
  <w:style w:type="paragraph" w:customStyle="1" w:styleId="2815">
    <w:name w:val="样式 标题 4无效格式无效格式1河石管道4H4H41小小节河石管道41H42H411小小节1河石管道42...3"/>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2816">
    <w:name w:val="表内宋5中114"/>
    <w:basedOn w:val="1"/>
    <w:uiPriority w:val="0"/>
    <w:pPr>
      <w:widowControl/>
      <w:jc w:val="center"/>
      <w:textAlignment w:val="baseline"/>
    </w:pPr>
    <w:rPr>
      <w:rFonts w:ascii="宋体" w:hAnsi="宋体" w:cs="宋体"/>
      <w:kern w:val="0"/>
      <w:szCs w:val="20"/>
    </w:rPr>
  </w:style>
  <w:style w:type="paragraph" w:customStyle="1" w:styleId="2817">
    <w:name w:val="样式 标题 4无效格式无效格式1河石管道4H4H41小小节河石管道41H42H411小小节1河石管道42...2"/>
    <w:basedOn w:val="5"/>
    <w:uiPriority w:val="0"/>
    <w:pPr>
      <w:numPr>
        <w:ilvl w:val="0"/>
        <w:numId w:val="0"/>
      </w:numPr>
      <w:spacing w:after="0" w:line="360" w:lineRule="auto"/>
      <w:ind w:left="1404" w:hanging="864"/>
    </w:pPr>
    <w:rPr>
      <w:rFonts w:ascii="黑体" w:hAnsi="Arial" w:eastAsia="黑体" w:cs="Times New Roman"/>
      <w:b w:val="0"/>
      <w:bCs w:val="0"/>
      <w:kern w:val="2"/>
      <w:sz w:val="24"/>
      <w:szCs w:val="24"/>
    </w:rPr>
  </w:style>
  <w:style w:type="paragraph" w:customStyle="1" w:styleId="2818">
    <w:name w:val="表内宋512"/>
    <w:basedOn w:val="1935"/>
    <w:uiPriority w:val="0"/>
    <w:pPr>
      <w:autoSpaceDE w:val="0"/>
      <w:autoSpaceDN w:val="0"/>
      <w:textAlignment w:val="auto"/>
    </w:pPr>
    <w:rPr>
      <w:color w:val="auto"/>
      <w:w w:val="90"/>
    </w:rPr>
  </w:style>
  <w:style w:type="paragraph" w:customStyle="1" w:styleId="2819">
    <w:name w:val="Char Char Char Char Char Char Char1311"/>
    <w:basedOn w:val="1"/>
    <w:uiPriority w:val="0"/>
    <w:pPr>
      <w:widowControl/>
      <w:jc w:val="left"/>
    </w:pPr>
    <w:rPr>
      <w:rFonts w:ascii="宋体" w:hAnsi="宋体" w:cs="宋体"/>
      <w:kern w:val="0"/>
      <w:szCs w:val="24"/>
    </w:rPr>
  </w:style>
  <w:style w:type="paragraph" w:customStyle="1" w:styleId="2820">
    <w:name w:val="正文格式＝312"/>
    <w:basedOn w:val="207"/>
    <w:next w:val="207"/>
    <w:uiPriority w:val="0"/>
    <w:rPr>
      <w:rFonts w:hAnsi="宋体"/>
      <w:szCs w:val="24"/>
    </w:rPr>
  </w:style>
  <w:style w:type="paragraph" w:customStyle="1" w:styleId="2821">
    <w:name w:val="附件212"/>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822">
    <w:name w:val="样式132"/>
    <w:basedOn w:val="1779"/>
    <w:uiPriority w:val="0"/>
    <w:pPr>
      <w:spacing w:line="240" w:lineRule="auto"/>
      <w:ind w:firstLine="0"/>
      <w:jc w:val="center"/>
    </w:pPr>
    <w:rPr>
      <w:rFonts w:cs="Times New Roman"/>
      <w:b/>
      <w:color w:val="auto"/>
      <w:szCs w:val="20"/>
    </w:rPr>
  </w:style>
  <w:style w:type="paragraph" w:customStyle="1" w:styleId="2823">
    <w:name w:val="表格内字体51"/>
    <w:basedOn w:val="207"/>
    <w:next w:val="207"/>
    <w:uiPriority w:val="0"/>
    <w:pPr>
      <w:spacing w:line="240" w:lineRule="auto"/>
      <w:ind w:firstLine="0"/>
    </w:pPr>
    <w:rPr>
      <w:rFonts w:hAnsi="宋体"/>
      <w:sz w:val="21"/>
      <w:szCs w:val="24"/>
    </w:rPr>
  </w:style>
  <w:style w:type="paragraph" w:customStyle="1" w:styleId="2824">
    <w:name w:val="表题311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825">
    <w:name w:val="福建正文缩进2"/>
    <w:basedOn w:val="307"/>
    <w:uiPriority w:val="0"/>
    <w:pPr>
      <w:tabs>
        <w:tab w:val="left" w:pos="5837"/>
      </w:tabs>
      <w:spacing w:line="480" w:lineRule="exact"/>
    </w:pPr>
    <w:rPr>
      <w:rFonts w:cs="宋体"/>
      <w:color w:val="000000"/>
    </w:rPr>
  </w:style>
  <w:style w:type="paragraph" w:customStyle="1" w:styleId="2826">
    <w:name w:val="表内文字小214"/>
    <w:basedOn w:val="1"/>
    <w:uiPriority w:val="0"/>
    <w:pPr>
      <w:widowControl/>
      <w:jc w:val="center"/>
    </w:pPr>
    <w:rPr>
      <w:rFonts w:ascii="宋体" w:hAnsi="Times" w:cs="宋体"/>
      <w:bCs/>
      <w:color w:val="000000"/>
      <w:kern w:val="0"/>
      <w:szCs w:val="20"/>
    </w:rPr>
  </w:style>
  <w:style w:type="paragraph" w:customStyle="1" w:styleId="2827">
    <w:name w:val="样式1112"/>
    <w:basedOn w:val="1779"/>
    <w:uiPriority w:val="0"/>
    <w:pPr>
      <w:spacing w:line="240" w:lineRule="auto"/>
      <w:ind w:firstLine="0"/>
      <w:jc w:val="center"/>
    </w:pPr>
    <w:rPr>
      <w:rFonts w:cs="Times New Roman"/>
      <w:b/>
      <w:color w:val="auto"/>
      <w:szCs w:val="20"/>
    </w:rPr>
  </w:style>
  <w:style w:type="paragraph" w:customStyle="1" w:styleId="2828">
    <w:name w:val="Char Char Char Char Char Char Char15"/>
    <w:basedOn w:val="1"/>
    <w:uiPriority w:val="0"/>
    <w:pPr>
      <w:widowControl/>
      <w:jc w:val="left"/>
    </w:pPr>
    <w:rPr>
      <w:rFonts w:ascii="宋体" w:hAnsi="宋体" w:cs="宋体"/>
      <w:kern w:val="0"/>
      <w:szCs w:val="20"/>
    </w:rPr>
  </w:style>
  <w:style w:type="paragraph" w:customStyle="1" w:styleId="2829">
    <w:name w:val="表内文字小3133"/>
    <w:basedOn w:val="1"/>
    <w:uiPriority w:val="0"/>
    <w:pPr>
      <w:widowControl/>
      <w:jc w:val="center"/>
    </w:pPr>
    <w:rPr>
      <w:rFonts w:ascii="宋体" w:hAnsi="Times" w:cs="宋体"/>
      <w:bCs/>
      <w:color w:val="003366"/>
      <w:kern w:val="0"/>
      <w:szCs w:val="20"/>
    </w:rPr>
  </w:style>
  <w:style w:type="paragraph" w:customStyle="1" w:styleId="2830">
    <w:name w:val="Char Char Char Char Char Char Char112"/>
    <w:basedOn w:val="1"/>
    <w:uiPriority w:val="0"/>
    <w:pPr>
      <w:widowControl/>
      <w:jc w:val="left"/>
    </w:pPr>
    <w:rPr>
      <w:rFonts w:ascii="宋体" w:hAnsi="宋体" w:cs="宋体"/>
      <w:kern w:val="0"/>
      <w:szCs w:val="24"/>
    </w:rPr>
  </w:style>
  <w:style w:type="paragraph" w:customStyle="1" w:styleId="2831">
    <w:name w:val="表内宋5112"/>
    <w:basedOn w:val="433"/>
    <w:uiPriority w:val="0"/>
    <w:rPr>
      <w:rFonts w:ascii="宋体" w:hAnsi="宋体" w:cs="宋体"/>
      <w:color w:val="000000"/>
      <w:sz w:val="21"/>
      <w:szCs w:val="24"/>
    </w:rPr>
  </w:style>
  <w:style w:type="paragraph" w:customStyle="1" w:styleId="2832">
    <w:name w:val="Char Char Char Char Char Char Char129"/>
    <w:basedOn w:val="1"/>
    <w:uiPriority w:val="0"/>
    <w:pPr>
      <w:widowControl/>
      <w:jc w:val="left"/>
    </w:pPr>
    <w:rPr>
      <w:rFonts w:ascii="宋体" w:hAnsi="宋体" w:cs="宋体"/>
      <w:kern w:val="0"/>
      <w:szCs w:val="24"/>
    </w:rPr>
  </w:style>
  <w:style w:type="paragraph" w:customStyle="1" w:styleId="2833">
    <w:name w:val="黑体三号51"/>
    <w:basedOn w:val="207"/>
    <w:uiPriority w:val="0"/>
    <w:pPr>
      <w:jc w:val="center"/>
    </w:pPr>
    <w:rPr>
      <w:rFonts w:ascii="黑体" w:hAnsi="宋体" w:eastAsia="黑体" w:cs="宋体"/>
      <w:b/>
      <w:bCs/>
      <w:sz w:val="32"/>
      <w:szCs w:val="20"/>
    </w:rPr>
  </w:style>
  <w:style w:type="paragraph" w:customStyle="1" w:styleId="2834">
    <w:name w:val="Char Char Char Char Char Char Char211"/>
    <w:basedOn w:val="1"/>
    <w:uiPriority w:val="0"/>
    <w:pPr>
      <w:widowControl/>
      <w:jc w:val="left"/>
    </w:pPr>
    <w:rPr>
      <w:rFonts w:ascii="宋体" w:hAnsi="宋体" w:cs="宋体"/>
      <w:kern w:val="0"/>
      <w:szCs w:val="24"/>
    </w:rPr>
  </w:style>
  <w:style w:type="paragraph" w:customStyle="1" w:styleId="2835">
    <w:name w:val="表内文字小223"/>
    <w:basedOn w:val="1"/>
    <w:uiPriority w:val="0"/>
    <w:pPr>
      <w:widowControl/>
      <w:jc w:val="center"/>
    </w:pPr>
    <w:rPr>
      <w:rFonts w:ascii="宋体" w:hAnsi="Times" w:cs="宋体"/>
      <w:bCs/>
      <w:color w:val="000000"/>
      <w:kern w:val="0"/>
      <w:szCs w:val="20"/>
    </w:rPr>
  </w:style>
  <w:style w:type="paragraph" w:customStyle="1" w:styleId="2836">
    <w:name w:val="正文.2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837">
    <w:name w:val="Char74"/>
    <w:basedOn w:val="1"/>
    <w:uiPriority w:val="0"/>
    <w:pPr>
      <w:widowControl/>
      <w:ind w:left="-48"/>
      <w:jc w:val="left"/>
    </w:pPr>
    <w:rPr>
      <w:rFonts w:ascii="宋体" w:hAnsi="宋体" w:cs="宋体"/>
      <w:kern w:val="0"/>
      <w:szCs w:val="24"/>
    </w:rPr>
  </w:style>
  <w:style w:type="paragraph" w:customStyle="1" w:styleId="2838">
    <w:name w:val="附件33"/>
    <w:basedOn w:val="2"/>
    <w:next w:val="207"/>
    <w:uiPriority w:val="0"/>
    <w:pPr>
      <w:numPr>
        <w:numId w:val="0"/>
      </w:numPr>
      <w:spacing w:before="220" w:after="120"/>
    </w:pPr>
    <w:rPr>
      <w:rFonts w:ascii="黑体" w:eastAsia="黑体"/>
      <w:sz w:val="32"/>
      <w:szCs w:val="32"/>
      <w:lang w:val="zh-CN" w:eastAsia="zh-CN"/>
    </w:rPr>
  </w:style>
  <w:style w:type="paragraph" w:customStyle="1" w:styleId="2839">
    <w:name w:val="表内5中412"/>
    <w:basedOn w:val="1"/>
    <w:uiPriority w:val="0"/>
    <w:pPr>
      <w:widowControl/>
      <w:jc w:val="center"/>
    </w:pPr>
    <w:rPr>
      <w:rFonts w:ascii="宋体" w:hAnsi="宋体" w:cs="宋体"/>
      <w:bCs/>
      <w:kern w:val="0"/>
      <w:szCs w:val="20"/>
    </w:rPr>
  </w:style>
  <w:style w:type="paragraph" w:customStyle="1" w:styleId="2840">
    <w:name w:val="表题911"/>
    <w:basedOn w:val="938"/>
    <w:uiPriority w:val="0"/>
    <w:pPr>
      <w:spacing w:line="300" w:lineRule="auto"/>
      <w:jc w:val="center"/>
    </w:pPr>
    <w:rPr>
      <w:rFonts w:ascii="黑体" w:eastAsia="黑体"/>
      <w:szCs w:val="22"/>
    </w:rPr>
  </w:style>
  <w:style w:type="paragraph" w:customStyle="1" w:styleId="2841">
    <w:name w:val="表内宋5中21"/>
    <w:basedOn w:val="1"/>
    <w:uiPriority w:val="0"/>
    <w:pPr>
      <w:widowControl/>
      <w:jc w:val="center"/>
      <w:textAlignment w:val="baseline"/>
    </w:pPr>
    <w:rPr>
      <w:rFonts w:ascii="宋体" w:hAnsi="宋体" w:cs="宋体"/>
      <w:kern w:val="0"/>
      <w:szCs w:val="20"/>
    </w:rPr>
  </w:style>
  <w:style w:type="paragraph" w:customStyle="1" w:styleId="2842">
    <w:name w:val="表内54113"/>
    <w:basedOn w:val="1"/>
    <w:uiPriority w:val="0"/>
    <w:pPr>
      <w:widowControl/>
      <w:spacing w:line="300" w:lineRule="auto"/>
      <w:jc w:val="center"/>
    </w:pPr>
    <w:rPr>
      <w:rFonts w:ascii="宋体" w:hAnsi="宋体" w:cs="宋体"/>
      <w:kern w:val="0"/>
      <w:szCs w:val="20"/>
    </w:rPr>
  </w:style>
  <w:style w:type="paragraph" w:customStyle="1" w:styleId="2843">
    <w:name w:val="样式 标题 3 + 段前: 12 磅12"/>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2844">
    <w:name w:val="Char42"/>
    <w:basedOn w:val="1"/>
    <w:uiPriority w:val="0"/>
    <w:pPr>
      <w:widowControl/>
      <w:ind w:left="-48"/>
      <w:jc w:val="left"/>
    </w:pPr>
    <w:rPr>
      <w:rFonts w:ascii="宋体" w:hAnsi="宋体" w:cs="宋体"/>
      <w:kern w:val="0"/>
      <w:szCs w:val="24"/>
    </w:rPr>
  </w:style>
  <w:style w:type="paragraph" w:customStyle="1" w:styleId="2845">
    <w:name w:val="Char3110"/>
    <w:basedOn w:val="1"/>
    <w:uiPriority w:val="0"/>
    <w:pPr>
      <w:widowControl/>
      <w:ind w:left="-48"/>
      <w:jc w:val="left"/>
    </w:pPr>
    <w:rPr>
      <w:rFonts w:ascii="宋体" w:hAnsi="宋体" w:cs="宋体"/>
      <w:kern w:val="0"/>
      <w:szCs w:val="24"/>
    </w:rPr>
  </w:style>
  <w:style w:type="paragraph" w:customStyle="1" w:styleId="2846">
    <w:name w:val="表内534"/>
    <w:basedOn w:val="1"/>
    <w:uiPriority w:val="0"/>
    <w:pPr>
      <w:widowControl/>
      <w:spacing w:line="300" w:lineRule="auto"/>
      <w:jc w:val="left"/>
    </w:pPr>
    <w:rPr>
      <w:rFonts w:ascii="宋体" w:hAnsi="宋体" w:cs="宋体"/>
      <w:kern w:val="0"/>
      <w:szCs w:val="20"/>
    </w:rPr>
  </w:style>
  <w:style w:type="paragraph" w:customStyle="1" w:styleId="2847">
    <w:name w:val="表中文字5"/>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848">
    <w:name w:val="Char143"/>
    <w:basedOn w:val="1"/>
    <w:uiPriority w:val="0"/>
    <w:pPr>
      <w:widowControl/>
      <w:ind w:left="-48"/>
      <w:jc w:val="left"/>
    </w:pPr>
    <w:rPr>
      <w:rFonts w:ascii="宋体" w:hAnsi="宋体" w:cs="宋体"/>
      <w:kern w:val="0"/>
      <w:szCs w:val="24"/>
    </w:rPr>
  </w:style>
  <w:style w:type="paragraph" w:customStyle="1" w:styleId="2849">
    <w:name w:val="标题43112"/>
    <w:basedOn w:val="1"/>
    <w:uiPriority w:val="0"/>
    <w:pPr>
      <w:widowControl/>
      <w:spacing w:line="480" w:lineRule="exact"/>
      <w:jc w:val="center"/>
    </w:pPr>
    <w:rPr>
      <w:rFonts w:ascii="宋体" w:hAnsi="宋体" w:cs="宋体"/>
      <w:kern w:val="0"/>
      <w:szCs w:val="24"/>
    </w:rPr>
  </w:style>
  <w:style w:type="paragraph" w:customStyle="1" w:styleId="2850">
    <w:name w:val="Char Char2 Char Char Char Char6"/>
    <w:basedOn w:val="1"/>
    <w:uiPriority w:val="0"/>
    <w:pPr>
      <w:widowControl/>
      <w:jc w:val="left"/>
    </w:pPr>
    <w:rPr>
      <w:rFonts w:ascii="宋体" w:hAnsi="宋体" w:cs="宋体"/>
      <w:kern w:val="0"/>
      <w:szCs w:val="24"/>
    </w:rPr>
  </w:style>
  <w:style w:type="paragraph" w:customStyle="1" w:styleId="2851">
    <w:name w:val="正文修改111"/>
    <w:basedOn w:val="236"/>
    <w:uiPriority w:val="0"/>
    <w:rPr>
      <w:rFonts w:hAnsi="宋体" w:eastAsia="宋体" w:cs="宋体"/>
      <w:color w:val="000000"/>
      <w:szCs w:val="24"/>
    </w:rPr>
  </w:style>
  <w:style w:type="paragraph" w:customStyle="1" w:styleId="2852">
    <w:name w:val="燕山正文115"/>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853">
    <w:name w:val="表4"/>
    <w:basedOn w:val="1"/>
    <w:uiPriority w:val="0"/>
    <w:pPr>
      <w:widowControl/>
      <w:jc w:val="center"/>
    </w:pPr>
    <w:rPr>
      <w:rFonts w:ascii="宋体" w:hAnsi="宋体" w:cs="宋体"/>
      <w:kern w:val="0"/>
      <w:szCs w:val="24"/>
    </w:rPr>
  </w:style>
  <w:style w:type="paragraph" w:customStyle="1" w:styleId="2854">
    <w:name w:val="表内5321"/>
    <w:basedOn w:val="1"/>
    <w:uiPriority w:val="0"/>
    <w:pPr>
      <w:widowControl/>
      <w:spacing w:line="300" w:lineRule="auto"/>
      <w:jc w:val="left"/>
    </w:pPr>
    <w:rPr>
      <w:rFonts w:ascii="宋体" w:hAnsi="宋体" w:cs="宋体"/>
      <w:kern w:val="0"/>
      <w:szCs w:val="20"/>
    </w:rPr>
  </w:style>
  <w:style w:type="paragraph" w:customStyle="1" w:styleId="2855">
    <w:name w:val="默认段落字体 Para Char Char Char Char212"/>
    <w:basedOn w:val="1"/>
    <w:uiPriority w:val="0"/>
    <w:pPr>
      <w:widowControl/>
      <w:jc w:val="left"/>
    </w:pPr>
    <w:rPr>
      <w:rFonts w:ascii="宋体" w:hAnsi="宋体" w:cs="宋体"/>
      <w:kern w:val="0"/>
      <w:szCs w:val="24"/>
    </w:rPr>
  </w:style>
  <w:style w:type="paragraph" w:customStyle="1" w:styleId="2856">
    <w:name w:val="Char Char Char Char1 Char Char Char9"/>
    <w:basedOn w:val="1"/>
    <w:uiPriority w:val="0"/>
    <w:pPr>
      <w:widowControl/>
      <w:spacing w:after="160" w:line="240" w:lineRule="exact"/>
      <w:jc w:val="left"/>
    </w:pPr>
    <w:rPr>
      <w:rFonts w:ascii="Verdana" w:hAnsi="Verdana" w:cs="宋体"/>
      <w:kern w:val="0"/>
      <w:sz w:val="20"/>
      <w:szCs w:val="20"/>
      <w:lang w:eastAsia="en-US"/>
    </w:rPr>
  </w:style>
  <w:style w:type="paragraph" w:customStyle="1" w:styleId="2857">
    <w:name w:val="表内54153"/>
    <w:basedOn w:val="1"/>
    <w:uiPriority w:val="0"/>
    <w:pPr>
      <w:widowControl/>
      <w:spacing w:line="300" w:lineRule="auto"/>
      <w:jc w:val="center"/>
    </w:pPr>
    <w:rPr>
      <w:rFonts w:ascii="宋体" w:hAnsi="宋体" w:cs="宋体"/>
      <w:kern w:val="0"/>
      <w:szCs w:val="20"/>
    </w:rPr>
  </w:style>
  <w:style w:type="paragraph" w:customStyle="1" w:styleId="2858">
    <w:name w:val="标题4113"/>
    <w:basedOn w:val="1"/>
    <w:uiPriority w:val="0"/>
    <w:pPr>
      <w:widowControl/>
      <w:spacing w:line="300" w:lineRule="auto"/>
      <w:jc w:val="left"/>
    </w:pPr>
    <w:rPr>
      <w:rFonts w:ascii="黑体" w:hAnsi="宋体" w:eastAsia="黑体" w:cs="宋体"/>
      <w:bCs/>
      <w:kern w:val="0"/>
      <w:szCs w:val="20"/>
    </w:rPr>
  </w:style>
  <w:style w:type="paragraph" w:customStyle="1" w:styleId="2859">
    <w:name w:val="附件2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2860">
    <w:name w:val="表题316"/>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861">
    <w:name w:val="表内5中12"/>
    <w:basedOn w:val="1"/>
    <w:uiPriority w:val="0"/>
    <w:pPr>
      <w:widowControl/>
      <w:jc w:val="center"/>
    </w:pPr>
    <w:rPr>
      <w:rFonts w:ascii="宋体" w:hAnsi="宋体" w:cs="Arial"/>
      <w:snapToGrid w:val="0"/>
      <w:color w:val="000000"/>
      <w:kern w:val="0"/>
      <w:szCs w:val="21"/>
    </w:rPr>
  </w:style>
  <w:style w:type="paragraph" w:customStyle="1" w:styleId="2862">
    <w:name w:val="表22"/>
    <w:basedOn w:val="1"/>
    <w:uiPriority w:val="0"/>
    <w:pPr>
      <w:widowControl/>
      <w:jc w:val="center"/>
    </w:pPr>
    <w:rPr>
      <w:rFonts w:ascii="宋体" w:hAnsi="宋体" w:cs="宋体"/>
      <w:kern w:val="0"/>
      <w:szCs w:val="24"/>
    </w:rPr>
  </w:style>
  <w:style w:type="paragraph" w:customStyle="1" w:styleId="2863">
    <w:name w:val="默认段落字体 Para Char Char Char Char43"/>
    <w:basedOn w:val="1"/>
    <w:uiPriority w:val="0"/>
    <w:pPr>
      <w:widowControl/>
      <w:jc w:val="left"/>
    </w:pPr>
    <w:rPr>
      <w:rFonts w:ascii="宋体" w:hAnsi="宋体" w:cs="宋体"/>
      <w:kern w:val="0"/>
      <w:szCs w:val="24"/>
    </w:rPr>
  </w:style>
  <w:style w:type="paragraph" w:customStyle="1" w:styleId="2864">
    <w:name w:val="样式15"/>
    <w:basedOn w:val="1779"/>
    <w:uiPriority w:val="0"/>
    <w:pPr>
      <w:spacing w:line="240" w:lineRule="auto"/>
      <w:ind w:firstLine="0"/>
      <w:jc w:val="center"/>
    </w:pPr>
    <w:rPr>
      <w:rFonts w:cs="Times New Roman"/>
      <w:b/>
      <w:color w:val="auto"/>
      <w:szCs w:val="20"/>
    </w:rPr>
  </w:style>
  <w:style w:type="paragraph" w:customStyle="1" w:styleId="2865">
    <w:name w:val="黑体三号31"/>
    <w:basedOn w:val="207"/>
    <w:uiPriority w:val="0"/>
    <w:pPr>
      <w:jc w:val="center"/>
    </w:pPr>
    <w:rPr>
      <w:rFonts w:ascii="黑体" w:hAnsi="宋体" w:eastAsia="黑体" w:cs="宋体"/>
      <w:b/>
      <w:bCs/>
      <w:sz w:val="32"/>
      <w:szCs w:val="20"/>
    </w:rPr>
  </w:style>
  <w:style w:type="paragraph" w:customStyle="1" w:styleId="2866">
    <w:name w:val="燕山正文212"/>
    <w:basedOn w:val="1"/>
    <w:uiPriority w:val="0"/>
    <w:pPr>
      <w:widowControl/>
      <w:tabs>
        <w:tab w:val="left" w:pos="4680"/>
      </w:tabs>
      <w:spacing w:line="480" w:lineRule="exact"/>
      <w:jc w:val="left"/>
    </w:pPr>
    <w:rPr>
      <w:rFonts w:ascii="宋体" w:hAnsi="宋体" w:cs="宋体"/>
      <w:kern w:val="0"/>
      <w:szCs w:val="24"/>
    </w:rPr>
  </w:style>
  <w:style w:type="paragraph" w:customStyle="1" w:styleId="2867">
    <w:name w:val="表6"/>
    <w:basedOn w:val="1"/>
    <w:uiPriority w:val="0"/>
    <w:pPr>
      <w:widowControl/>
      <w:jc w:val="center"/>
    </w:pPr>
    <w:rPr>
      <w:rFonts w:ascii="宋体" w:hAnsi="宋体" w:cs="宋体"/>
      <w:kern w:val="0"/>
      <w:szCs w:val="24"/>
    </w:rPr>
  </w:style>
  <w:style w:type="paragraph" w:customStyle="1" w:styleId="2868">
    <w:name w:val="xl631"/>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2869">
    <w:name w:val="表内5中21"/>
    <w:basedOn w:val="1"/>
    <w:uiPriority w:val="0"/>
    <w:pPr>
      <w:widowControl/>
      <w:jc w:val="center"/>
    </w:pPr>
    <w:rPr>
      <w:rFonts w:ascii="宋体" w:hAnsi="宋体" w:cs="Arial"/>
      <w:snapToGrid w:val="0"/>
      <w:color w:val="000000"/>
      <w:kern w:val="0"/>
      <w:szCs w:val="21"/>
    </w:rPr>
  </w:style>
  <w:style w:type="paragraph" w:customStyle="1" w:styleId="2870">
    <w:name w:val="燕山正文41"/>
    <w:basedOn w:val="1"/>
    <w:uiPriority w:val="0"/>
    <w:pPr>
      <w:widowControl/>
      <w:tabs>
        <w:tab w:val="left" w:pos="4680"/>
      </w:tabs>
      <w:spacing w:line="480" w:lineRule="exact"/>
      <w:jc w:val="left"/>
    </w:pPr>
    <w:rPr>
      <w:rFonts w:ascii="宋体" w:hAnsi="宋体" w:cs="宋体"/>
      <w:kern w:val="0"/>
      <w:szCs w:val="24"/>
    </w:rPr>
  </w:style>
  <w:style w:type="paragraph" w:customStyle="1" w:styleId="2871">
    <w:name w:val="c2"/>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2872">
    <w:name w:val="表内541111"/>
    <w:basedOn w:val="1"/>
    <w:uiPriority w:val="0"/>
    <w:pPr>
      <w:widowControl/>
      <w:spacing w:line="300" w:lineRule="auto"/>
      <w:jc w:val="center"/>
    </w:pPr>
    <w:rPr>
      <w:rFonts w:ascii="宋体" w:hAnsi="宋体" w:cs="宋体"/>
      <w:kern w:val="0"/>
      <w:szCs w:val="20"/>
    </w:rPr>
  </w:style>
  <w:style w:type="paragraph" w:customStyle="1" w:styleId="2873">
    <w:name w:val="表格内容3"/>
    <w:uiPriority w:val="0"/>
    <w:pPr>
      <w:jc w:val="center"/>
    </w:pPr>
    <w:rPr>
      <w:rFonts w:ascii="Times New Roman" w:hAnsi="Times New Roman" w:eastAsia="宋体" w:cs="Times New Roman"/>
      <w:kern w:val="2"/>
      <w:sz w:val="21"/>
      <w:szCs w:val="21"/>
      <w:lang w:val="en-US" w:eastAsia="zh-CN" w:bidi="ar-SA"/>
    </w:rPr>
  </w:style>
  <w:style w:type="paragraph" w:customStyle="1" w:styleId="2874">
    <w:name w:val="表内5中11"/>
    <w:basedOn w:val="1"/>
    <w:uiPriority w:val="0"/>
    <w:pPr>
      <w:widowControl/>
      <w:jc w:val="center"/>
    </w:pPr>
    <w:rPr>
      <w:rFonts w:ascii="宋体" w:hAnsi="宋体" w:cs="Arial"/>
      <w:snapToGrid w:val="0"/>
      <w:color w:val="000000"/>
      <w:kern w:val="0"/>
      <w:szCs w:val="21"/>
    </w:rPr>
  </w:style>
  <w:style w:type="paragraph" w:customStyle="1" w:styleId="2875">
    <w:name w:val="Char122"/>
    <w:basedOn w:val="1"/>
    <w:uiPriority w:val="0"/>
    <w:pPr>
      <w:widowControl/>
      <w:jc w:val="left"/>
    </w:pPr>
    <w:rPr>
      <w:rFonts w:ascii="宋体" w:hAnsi="宋体" w:cs="宋体"/>
      <w:kern w:val="0"/>
      <w:szCs w:val="24"/>
    </w:rPr>
  </w:style>
  <w:style w:type="paragraph" w:customStyle="1" w:styleId="2876">
    <w:name w:val="首行缩进:  0.99 厘米 + 首行缩进:  2 字符3"/>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877">
    <w:name w:val="Char Char Char Char Char Char Char16"/>
    <w:basedOn w:val="1"/>
    <w:uiPriority w:val="0"/>
    <w:pPr>
      <w:widowControl/>
      <w:jc w:val="left"/>
    </w:pPr>
    <w:rPr>
      <w:rFonts w:ascii="宋体" w:hAnsi="宋体" w:cs="宋体"/>
      <w:kern w:val="0"/>
      <w:szCs w:val="24"/>
    </w:rPr>
  </w:style>
  <w:style w:type="paragraph" w:customStyle="1" w:styleId="2878">
    <w:name w:val="燕山正文112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879">
    <w:name w:val="表题3121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880">
    <w:name w:val="Char Char Char Char1 Char Char Char11"/>
    <w:basedOn w:val="1"/>
    <w:uiPriority w:val="0"/>
    <w:pPr>
      <w:widowControl/>
      <w:spacing w:after="160" w:line="240" w:lineRule="exact"/>
      <w:jc w:val="left"/>
    </w:pPr>
    <w:rPr>
      <w:rFonts w:ascii="Verdana" w:hAnsi="Verdana" w:cs="宋体"/>
      <w:kern w:val="0"/>
      <w:sz w:val="20"/>
      <w:szCs w:val="20"/>
      <w:lang w:eastAsia="en-US"/>
    </w:rPr>
  </w:style>
  <w:style w:type="paragraph" w:customStyle="1" w:styleId="2881">
    <w:name w:val="Char Char Char Char1 Char Char Char12"/>
    <w:basedOn w:val="1"/>
    <w:uiPriority w:val="0"/>
    <w:pPr>
      <w:widowControl/>
      <w:spacing w:after="160" w:line="240" w:lineRule="exact"/>
      <w:jc w:val="left"/>
    </w:pPr>
    <w:rPr>
      <w:rFonts w:ascii="Verdana" w:hAnsi="Verdana" w:cs="宋体"/>
      <w:kern w:val="0"/>
      <w:sz w:val="20"/>
      <w:szCs w:val="20"/>
      <w:lang w:eastAsia="en-US"/>
    </w:rPr>
  </w:style>
  <w:style w:type="paragraph" w:customStyle="1" w:styleId="2882">
    <w:name w:val="默认段落字体 Para Char8"/>
    <w:basedOn w:val="1"/>
    <w:uiPriority w:val="0"/>
    <w:pPr>
      <w:widowControl/>
      <w:jc w:val="left"/>
    </w:pPr>
    <w:rPr>
      <w:rFonts w:ascii="宋体" w:hAnsi="宋体" w:cs="宋体"/>
      <w:kern w:val="0"/>
      <w:szCs w:val="24"/>
    </w:rPr>
  </w:style>
  <w:style w:type="paragraph" w:customStyle="1" w:styleId="2883">
    <w:name w:val="Char331"/>
    <w:basedOn w:val="1"/>
    <w:uiPriority w:val="0"/>
    <w:pPr>
      <w:widowControl/>
      <w:ind w:left="-48"/>
      <w:jc w:val="left"/>
    </w:pPr>
    <w:rPr>
      <w:rFonts w:ascii="宋体" w:hAnsi="宋体" w:cs="宋体"/>
      <w:kern w:val="0"/>
      <w:szCs w:val="24"/>
    </w:rPr>
  </w:style>
  <w:style w:type="paragraph" w:customStyle="1" w:styleId="2884">
    <w:name w:val="表311"/>
    <w:basedOn w:val="1"/>
    <w:uiPriority w:val="0"/>
    <w:pPr>
      <w:widowControl/>
      <w:jc w:val="center"/>
    </w:pPr>
    <w:rPr>
      <w:rFonts w:ascii="宋体" w:hAnsi="宋体" w:cs="宋体"/>
      <w:kern w:val="0"/>
      <w:szCs w:val="24"/>
    </w:rPr>
  </w:style>
  <w:style w:type="paragraph" w:customStyle="1" w:styleId="2885">
    <w:name w:val="Char210"/>
    <w:basedOn w:val="1"/>
    <w:uiPriority w:val="0"/>
    <w:pPr>
      <w:widowControl/>
      <w:ind w:left="-48"/>
      <w:jc w:val="left"/>
    </w:pPr>
    <w:rPr>
      <w:rFonts w:ascii="宋体" w:hAnsi="宋体" w:cs="宋体"/>
      <w:kern w:val="0"/>
      <w:szCs w:val="24"/>
    </w:rPr>
  </w:style>
  <w:style w:type="paragraph" w:customStyle="1" w:styleId="2886">
    <w:name w:val="表内文字小2111"/>
    <w:basedOn w:val="1"/>
    <w:uiPriority w:val="0"/>
    <w:pPr>
      <w:widowControl/>
      <w:jc w:val="center"/>
    </w:pPr>
    <w:rPr>
      <w:rFonts w:ascii="宋体" w:hAnsi="Times" w:cs="宋体"/>
      <w:bCs/>
      <w:color w:val="000000"/>
      <w:kern w:val="0"/>
      <w:szCs w:val="20"/>
    </w:rPr>
  </w:style>
  <w:style w:type="paragraph" w:customStyle="1" w:styleId="2887">
    <w:name w:val="表内文字小2211"/>
    <w:basedOn w:val="1"/>
    <w:uiPriority w:val="0"/>
    <w:pPr>
      <w:widowControl/>
      <w:jc w:val="center"/>
    </w:pPr>
    <w:rPr>
      <w:rFonts w:ascii="宋体" w:hAnsi="Times" w:cs="宋体"/>
      <w:bCs/>
      <w:color w:val="000000"/>
      <w:kern w:val="0"/>
      <w:szCs w:val="20"/>
    </w:rPr>
  </w:style>
  <w:style w:type="paragraph" w:customStyle="1" w:styleId="2888">
    <w:name w:val="默认段落字体 Para Char Char Char Char62"/>
    <w:basedOn w:val="1"/>
    <w:uiPriority w:val="0"/>
    <w:pPr>
      <w:widowControl/>
      <w:jc w:val="left"/>
    </w:pPr>
    <w:rPr>
      <w:rFonts w:ascii="宋体" w:hAnsi="宋体" w:cs="宋体"/>
      <w:kern w:val="0"/>
      <w:szCs w:val="24"/>
    </w:rPr>
  </w:style>
  <w:style w:type="paragraph" w:customStyle="1" w:styleId="2889">
    <w:name w:val="表内文字小81"/>
    <w:basedOn w:val="1"/>
    <w:uiPriority w:val="0"/>
    <w:pPr>
      <w:widowControl/>
      <w:jc w:val="center"/>
    </w:pPr>
    <w:rPr>
      <w:rFonts w:ascii="宋体" w:hAnsi="Times" w:cs="宋体"/>
      <w:kern w:val="0"/>
      <w:szCs w:val="20"/>
    </w:rPr>
  </w:style>
  <w:style w:type="paragraph" w:customStyle="1" w:styleId="2890">
    <w:name w:val="正文修改7"/>
    <w:basedOn w:val="236"/>
    <w:uiPriority w:val="0"/>
    <w:rPr>
      <w:rFonts w:hAnsi="宋体" w:eastAsia="宋体" w:cs="宋体"/>
      <w:color w:val="000000"/>
      <w:szCs w:val="24"/>
    </w:rPr>
  </w:style>
  <w:style w:type="paragraph" w:customStyle="1" w:styleId="2891">
    <w:name w:val="Char1411"/>
    <w:basedOn w:val="1"/>
    <w:uiPriority w:val="0"/>
    <w:pPr>
      <w:widowControl/>
      <w:ind w:left="-48"/>
      <w:jc w:val="left"/>
    </w:pPr>
    <w:rPr>
      <w:rFonts w:ascii="宋体" w:hAnsi="宋体" w:cs="宋体"/>
      <w:kern w:val="0"/>
      <w:szCs w:val="24"/>
    </w:rPr>
  </w:style>
  <w:style w:type="paragraph" w:customStyle="1" w:styleId="2892">
    <w:name w:val="Char Char Char Char Char Char Char2211"/>
    <w:basedOn w:val="1"/>
    <w:uiPriority w:val="0"/>
    <w:pPr>
      <w:widowControl/>
      <w:jc w:val="left"/>
    </w:pPr>
    <w:rPr>
      <w:rFonts w:ascii="宋体" w:hAnsi="宋体" w:cs="宋体"/>
      <w:kern w:val="0"/>
      <w:szCs w:val="24"/>
    </w:rPr>
  </w:style>
  <w:style w:type="paragraph" w:customStyle="1" w:styleId="2893">
    <w:name w:val="默认段落字体 Para Char32"/>
    <w:basedOn w:val="1"/>
    <w:uiPriority w:val="0"/>
    <w:pPr>
      <w:widowControl/>
      <w:jc w:val="left"/>
    </w:pPr>
    <w:rPr>
      <w:rFonts w:ascii="宋体" w:hAnsi="宋体" w:cs="宋体"/>
      <w:kern w:val="0"/>
      <w:szCs w:val="24"/>
    </w:rPr>
  </w:style>
  <w:style w:type="paragraph" w:customStyle="1" w:styleId="2894">
    <w:name w:val="表内53111"/>
    <w:basedOn w:val="1"/>
    <w:uiPriority w:val="0"/>
    <w:pPr>
      <w:widowControl/>
      <w:spacing w:line="300" w:lineRule="auto"/>
      <w:jc w:val="left"/>
    </w:pPr>
    <w:rPr>
      <w:rFonts w:ascii="宋体" w:hAnsi="宋体" w:cs="宋体"/>
      <w:kern w:val="0"/>
      <w:szCs w:val="20"/>
    </w:rPr>
  </w:style>
  <w:style w:type="paragraph" w:customStyle="1" w:styleId="2895">
    <w:name w:val="表内小5中"/>
    <w:basedOn w:val="1"/>
    <w:uiPriority w:val="0"/>
    <w:pPr>
      <w:widowControl/>
      <w:jc w:val="center"/>
    </w:pPr>
    <w:rPr>
      <w:rFonts w:ascii="宋体" w:hAnsi="宋体" w:cs="宋体"/>
      <w:kern w:val="0"/>
      <w:sz w:val="18"/>
      <w:szCs w:val="20"/>
    </w:rPr>
  </w:style>
  <w:style w:type="paragraph" w:customStyle="1" w:styleId="2896">
    <w:name w:val="表内522"/>
    <w:basedOn w:val="1"/>
    <w:uiPriority w:val="0"/>
    <w:pPr>
      <w:widowControl/>
      <w:spacing w:line="300" w:lineRule="auto"/>
      <w:jc w:val="left"/>
    </w:pPr>
    <w:rPr>
      <w:rFonts w:ascii="宋体" w:hAnsi="宋体" w:cs="宋体"/>
      <w:kern w:val="0"/>
      <w:sz w:val="18"/>
      <w:szCs w:val="20"/>
    </w:rPr>
  </w:style>
  <w:style w:type="paragraph" w:customStyle="1" w:styleId="2897">
    <w:name w:val="Char412"/>
    <w:basedOn w:val="1"/>
    <w:uiPriority w:val="0"/>
    <w:pPr>
      <w:widowControl/>
      <w:ind w:left="-48"/>
      <w:jc w:val="left"/>
    </w:pPr>
    <w:rPr>
      <w:rFonts w:ascii="宋体" w:hAnsi="宋体" w:cs="宋体"/>
      <w:kern w:val="0"/>
      <w:szCs w:val="24"/>
    </w:rPr>
  </w:style>
  <w:style w:type="paragraph" w:customStyle="1" w:styleId="2898">
    <w:name w:val="Char351"/>
    <w:basedOn w:val="1"/>
    <w:uiPriority w:val="0"/>
    <w:pPr>
      <w:widowControl/>
      <w:ind w:left="-48"/>
      <w:jc w:val="left"/>
    </w:pPr>
    <w:rPr>
      <w:rFonts w:ascii="宋体" w:hAnsi="宋体" w:cs="宋体"/>
      <w:kern w:val="0"/>
      <w:szCs w:val="24"/>
    </w:rPr>
  </w:style>
  <w:style w:type="paragraph" w:customStyle="1" w:styleId="2899">
    <w:name w:val="样式 标题 3 + 段前: 12 磅11"/>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2900">
    <w:name w:val="表题921"/>
    <w:basedOn w:val="938"/>
    <w:uiPriority w:val="0"/>
    <w:pPr>
      <w:spacing w:line="300" w:lineRule="auto"/>
      <w:jc w:val="center"/>
    </w:pPr>
    <w:rPr>
      <w:rFonts w:ascii="黑体" w:eastAsia="黑体"/>
      <w:szCs w:val="22"/>
    </w:rPr>
  </w:style>
  <w:style w:type="paragraph" w:customStyle="1" w:styleId="2901">
    <w:name w:val="表内文字小3122"/>
    <w:basedOn w:val="1"/>
    <w:uiPriority w:val="0"/>
    <w:pPr>
      <w:widowControl/>
      <w:jc w:val="center"/>
    </w:pPr>
    <w:rPr>
      <w:rFonts w:ascii="宋体" w:hAnsi="Times" w:cs="宋体"/>
      <w:bCs/>
      <w:color w:val="003366"/>
      <w:kern w:val="0"/>
      <w:szCs w:val="20"/>
    </w:rPr>
  </w:style>
  <w:style w:type="paragraph" w:customStyle="1" w:styleId="2902">
    <w:name w:val="燕山正文111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903">
    <w:name w:val="封面标准文稿编辑信息3"/>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904">
    <w:name w:val="表内文字小3121"/>
    <w:basedOn w:val="1"/>
    <w:uiPriority w:val="0"/>
    <w:pPr>
      <w:widowControl/>
      <w:jc w:val="center"/>
    </w:pPr>
    <w:rPr>
      <w:rFonts w:ascii="宋体" w:hAnsi="Times" w:cs="宋体"/>
      <w:bCs/>
      <w:color w:val="003366"/>
      <w:kern w:val="0"/>
      <w:szCs w:val="20"/>
    </w:rPr>
  </w:style>
  <w:style w:type="paragraph" w:customStyle="1" w:styleId="2905">
    <w:name w:val="燕山正文1131"/>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906">
    <w:name w:val="正文格式＝412"/>
    <w:basedOn w:val="207"/>
    <w:next w:val="207"/>
    <w:uiPriority w:val="0"/>
    <w:rPr>
      <w:rFonts w:hAnsi="宋体"/>
      <w:szCs w:val="24"/>
    </w:rPr>
  </w:style>
  <w:style w:type="paragraph" w:customStyle="1" w:styleId="2907">
    <w:name w:val="正文格式＝611"/>
    <w:basedOn w:val="207"/>
    <w:next w:val="207"/>
    <w:uiPriority w:val="0"/>
    <w:rPr>
      <w:rFonts w:hAnsi="宋体"/>
      <w:szCs w:val="24"/>
    </w:rPr>
  </w:style>
  <w:style w:type="paragraph" w:customStyle="1" w:styleId="2908">
    <w:name w:val="表内文字小2121"/>
    <w:basedOn w:val="1"/>
    <w:uiPriority w:val="0"/>
    <w:pPr>
      <w:widowControl/>
      <w:jc w:val="center"/>
    </w:pPr>
    <w:rPr>
      <w:rFonts w:ascii="宋体" w:hAnsi="Times" w:cs="宋体"/>
      <w:bCs/>
      <w:color w:val="000000"/>
      <w:kern w:val="0"/>
      <w:szCs w:val="20"/>
    </w:rPr>
  </w:style>
  <w:style w:type="paragraph" w:customStyle="1" w:styleId="2909">
    <w:name w:val="Char Char Char Char Char Char Char24"/>
    <w:basedOn w:val="1"/>
    <w:uiPriority w:val="0"/>
    <w:pPr>
      <w:widowControl/>
      <w:jc w:val="left"/>
    </w:pPr>
    <w:rPr>
      <w:rFonts w:ascii="宋体" w:hAnsi="宋体" w:cs="宋体"/>
      <w:kern w:val="0"/>
      <w:szCs w:val="24"/>
    </w:rPr>
  </w:style>
  <w:style w:type="paragraph" w:customStyle="1" w:styleId="2910">
    <w:name w:val="Char Char Char Char Char Char Char13"/>
    <w:basedOn w:val="1"/>
    <w:uiPriority w:val="0"/>
    <w:pPr>
      <w:widowControl/>
      <w:jc w:val="left"/>
    </w:pPr>
    <w:rPr>
      <w:rFonts w:ascii="宋体" w:hAnsi="宋体" w:cs="宋体"/>
      <w:kern w:val="0"/>
      <w:szCs w:val="24"/>
    </w:rPr>
  </w:style>
  <w:style w:type="paragraph" w:customStyle="1" w:styleId="2911">
    <w:name w:val="表题314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912">
    <w:name w:val="燕山正文43"/>
    <w:basedOn w:val="1"/>
    <w:uiPriority w:val="0"/>
    <w:pPr>
      <w:widowControl/>
      <w:tabs>
        <w:tab w:val="left" w:pos="4680"/>
      </w:tabs>
      <w:spacing w:line="480" w:lineRule="exact"/>
      <w:jc w:val="left"/>
    </w:pPr>
    <w:rPr>
      <w:rFonts w:ascii="宋体" w:hAnsi="宋体" w:cs="宋体"/>
      <w:kern w:val="0"/>
      <w:szCs w:val="24"/>
    </w:rPr>
  </w:style>
  <w:style w:type="paragraph" w:customStyle="1" w:styleId="2913">
    <w:name w:val="Char23"/>
    <w:basedOn w:val="1"/>
    <w:uiPriority w:val="0"/>
    <w:pPr>
      <w:widowControl/>
      <w:ind w:left="-48"/>
      <w:jc w:val="left"/>
    </w:pPr>
    <w:rPr>
      <w:rFonts w:ascii="宋体" w:hAnsi="宋体" w:cs="宋体"/>
      <w:kern w:val="0"/>
      <w:szCs w:val="24"/>
    </w:rPr>
  </w:style>
  <w:style w:type="paragraph" w:customStyle="1" w:styleId="2914">
    <w:name w:val="正文格式＝112"/>
    <w:basedOn w:val="207"/>
    <w:next w:val="207"/>
    <w:uiPriority w:val="0"/>
    <w:rPr>
      <w:rFonts w:hAnsi="宋体"/>
      <w:szCs w:val="24"/>
    </w:rPr>
  </w:style>
  <w:style w:type="paragraph" w:customStyle="1" w:styleId="2915">
    <w:name w:val="Char Char Char Char Char Char Char122"/>
    <w:basedOn w:val="1"/>
    <w:uiPriority w:val="0"/>
    <w:pPr>
      <w:widowControl/>
      <w:jc w:val="left"/>
    </w:pPr>
    <w:rPr>
      <w:rFonts w:ascii="宋体" w:hAnsi="宋体" w:cs="宋体"/>
      <w:kern w:val="0"/>
      <w:szCs w:val="20"/>
    </w:rPr>
  </w:style>
  <w:style w:type="paragraph" w:customStyle="1" w:styleId="2916">
    <w:name w:val="表内文字小314"/>
    <w:basedOn w:val="1"/>
    <w:uiPriority w:val="0"/>
    <w:pPr>
      <w:widowControl/>
      <w:jc w:val="center"/>
    </w:pPr>
    <w:rPr>
      <w:rFonts w:ascii="宋体" w:hAnsi="Times" w:cs="宋体"/>
      <w:bCs/>
      <w:color w:val="003366"/>
      <w:kern w:val="0"/>
      <w:szCs w:val="20"/>
    </w:rPr>
  </w:style>
  <w:style w:type="paragraph" w:customStyle="1" w:styleId="2917">
    <w:name w:val="Char Char Char Char Char Char Char51"/>
    <w:basedOn w:val="1"/>
    <w:uiPriority w:val="0"/>
    <w:pPr>
      <w:widowControl/>
      <w:jc w:val="left"/>
    </w:pPr>
    <w:rPr>
      <w:rFonts w:ascii="宋体" w:hAnsi="宋体" w:cs="宋体"/>
      <w:kern w:val="0"/>
      <w:szCs w:val="24"/>
    </w:rPr>
  </w:style>
  <w:style w:type="paragraph" w:customStyle="1" w:styleId="2918">
    <w:name w:val="燕山正文11311"/>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919">
    <w:name w:val="Char119"/>
    <w:basedOn w:val="1"/>
    <w:uiPriority w:val="0"/>
    <w:pPr>
      <w:widowControl/>
      <w:ind w:left="-48"/>
      <w:jc w:val="left"/>
    </w:pPr>
    <w:rPr>
      <w:rFonts w:ascii="宋体" w:hAnsi="宋体" w:cs="宋体"/>
      <w:kern w:val="0"/>
      <w:szCs w:val="24"/>
    </w:rPr>
  </w:style>
  <w:style w:type="paragraph" w:customStyle="1" w:styleId="2920">
    <w:name w:val="表内宋51121"/>
    <w:basedOn w:val="433"/>
    <w:uiPriority w:val="0"/>
    <w:rPr>
      <w:rFonts w:ascii="宋体" w:hAnsi="宋体" w:cs="宋体"/>
      <w:color w:val="000000"/>
      <w:sz w:val="21"/>
      <w:szCs w:val="24"/>
    </w:rPr>
  </w:style>
  <w:style w:type="paragraph" w:customStyle="1" w:styleId="2921">
    <w:name w:val="燕山正文11312"/>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922">
    <w:name w:val="燕山正文132"/>
    <w:basedOn w:val="1"/>
    <w:uiPriority w:val="0"/>
    <w:pPr>
      <w:widowControl/>
      <w:tabs>
        <w:tab w:val="left" w:pos="4680"/>
      </w:tabs>
      <w:ind w:firstLine="480"/>
      <w:jc w:val="left"/>
    </w:pPr>
    <w:rPr>
      <w:rFonts w:ascii="宋体" w:hAnsi="宋体" w:cs="宋体"/>
      <w:bCs/>
      <w:color w:val="000000"/>
      <w:kern w:val="0"/>
      <w:szCs w:val="24"/>
    </w:rPr>
  </w:style>
  <w:style w:type="paragraph" w:customStyle="1" w:styleId="2923">
    <w:name w:val="Char61"/>
    <w:basedOn w:val="1"/>
    <w:uiPriority w:val="0"/>
    <w:pPr>
      <w:widowControl/>
      <w:spacing w:before="156"/>
      <w:jc w:val="left"/>
    </w:pPr>
    <w:rPr>
      <w:rFonts w:ascii="黑体" w:hAnsi="宋体" w:eastAsia="黑体" w:cs="宋体"/>
      <w:kern w:val="0"/>
      <w:sz w:val="32"/>
      <w:szCs w:val="32"/>
    </w:rPr>
  </w:style>
  <w:style w:type="paragraph" w:customStyle="1" w:styleId="2924">
    <w:name w:val="黑体三号52"/>
    <w:basedOn w:val="207"/>
    <w:uiPriority w:val="0"/>
    <w:pPr>
      <w:jc w:val="center"/>
    </w:pPr>
    <w:rPr>
      <w:rFonts w:ascii="黑体" w:hAnsi="宋体" w:eastAsia="黑体" w:cs="宋体"/>
      <w:b/>
      <w:bCs/>
      <w:sz w:val="32"/>
      <w:szCs w:val="20"/>
    </w:rPr>
  </w:style>
  <w:style w:type="paragraph" w:customStyle="1" w:styleId="2925">
    <w:name w:val="正文.22"/>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2926">
    <w:name w:val="环评正文1"/>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2927">
    <w:name w:val="黑体三号211"/>
    <w:basedOn w:val="207"/>
    <w:uiPriority w:val="0"/>
    <w:pPr>
      <w:jc w:val="center"/>
    </w:pPr>
    <w:rPr>
      <w:rFonts w:ascii="黑体" w:hAnsi="宋体" w:eastAsia="黑体" w:cs="宋体"/>
      <w:b/>
      <w:bCs/>
      <w:sz w:val="32"/>
      <w:szCs w:val="20"/>
    </w:rPr>
  </w:style>
  <w:style w:type="paragraph" w:customStyle="1" w:styleId="2928">
    <w:name w:val="黑体三号33"/>
    <w:basedOn w:val="207"/>
    <w:uiPriority w:val="0"/>
    <w:pPr>
      <w:jc w:val="center"/>
    </w:pPr>
    <w:rPr>
      <w:rFonts w:ascii="黑体" w:hAnsi="宋体" w:eastAsia="黑体" w:cs="宋体"/>
      <w:b/>
      <w:bCs/>
      <w:sz w:val="32"/>
      <w:szCs w:val="20"/>
    </w:rPr>
  </w:style>
  <w:style w:type="paragraph" w:customStyle="1" w:styleId="2929">
    <w:name w:val="Char Char Char Char Char Char Char1211"/>
    <w:basedOn w:val="1"/>
    <w:uiPriority w:val="0"/>
    <w:pPr>
      <w:widowControl/>
      <w:jc w:val="left"/>
    </w:pPr>
    <w:rPr>
      <w:rFonts w:ascii="宋体" w:hAnsi="宋体" w:cs="宋体"/>
      <w:kern w:val="0"/>
      <w:szCs w:val="20"/>
    </w:rPr>
  </w:style>
  <w:style w:type="paragraph" w:customStyle="1" w:styleId="2930">
    <w:name w:val="默认段落字体 Para Char Char Char Char13"/>
    <w:basedOn w:val="1"/>
    <w:uiPriority w:val="0"/>
    <w:pPr>
      <w:widowControl/>
      <w:jc w:val="left"/>
    </w:pPr>
    <w:rPr>
      <w:rFonts w:ascii="宋体" w:hAnsi="宋体" w:cs="宋体"/>
      <w:kern w:val="0"/>
      <w:szCs w:val="24"/>
    </w:rPr>
  </w:style>
  <w:style w:type="paragraph" w:customStyle="1" w:styleId="2931">
    <w:name w:val="表内5312"/>
    <w:basedOn w:val="1"/>
    <w:uiPriority w:val="0"/>
    <w:pPr>
      <w:widowControl/>
      <w:spacing w:line="300" w:lineRule="auto"/>
      <w:jc w:val="left"/>
    </w:pPr>
    <w:rPr>
      <w:rFonts w:ascii="宋体" w:hAnsi="宋体" w:cs="宋体"/>
      <w:kern w:val="0"/>
      <w:szCs w:val="20"/>
    </w:rPr>
  </w:style>
  <w:style w:type="paragraph" w:customStyle="1" w:styleId="2932">
    <w:name w:val="默认段落字体 Para Char Char Char Char511"/>
    <w:basedOn w:val="1"/>
    <w:uiPriority w:val="0"/>
    <w:pPr>
      <w:widowControl/>
      <w:jc w:val="left"/>
    </w:pPr>
    <w:rPr>
      <w:rFonts w:ascii="宋体" w:hAnsi="宋体" w:cs="宋体"/>
      <w:kern w:val="0"/>
      <w:szCs w:val="24"/>
    </w:rPr>
  </w:style>
  <w:style w:type="paragraph" w:customStyle="1" w:styleId="2933">
    <w:name w:val="表内55"/>
    <w:basedOn w:val="1"/>
    <w:uiPriority w:val="0"/>
    <w:pPr>
      <w:widowControl/>
      <w:spacing w:line="300" w:lineRule="auto"/>
      <w:jc w:val="left"/>
    </w:pPr>
    <w:rPr>
      <w:rFonts w:ascii="宋体" w:hAnsi="宋体" w:cs="宋体"/>
      <w:kern w:val="0"/>
      <w:sz w:val="18"/>
      <w:szCs w:val="20"/>
    </w:rPr>
  </w:style>
  <w:style w:type="paragraph" w:customStyle="1" w:styleId="2934">
    <w:name w:val="表内5中41"/>
    <w:basedOn w:val="1"/>
    <w:uiPriority w:val="0"/>
    <w:pPr>
      <w:widowControl/>
      <w:jc w:val="center"/>
    </w:pPr>
    <w:rPr>
      <w:rFonts w:ascii="宋体" w:hAnsi="宋体" w:cs="宋体"/>
      <w:bCs/>
      <w:kern w:val="0"/>
      <w:szCs w:val="20"/>
    </w:rPr>
  </w:style>
  <w:style w:type="paragraph" w:customStyle="1" w:styleId="2935">
    <w:name w:val="正文修改42"/>
    <w:basedOn w:val="236"/>
    <w:uiPriority w:val="0"/>
    <w:rPr>
      <w:rFonts w:hAnsi="宋体" w:eastAsia="宋体" w:cs="宋体"/>
      <w:color w:val="000000"/>
      <w:szCs w:val="24"/>
    </w:rPr>
  </w:style>
  <w:style w:type="paragraph" w:customStyle="1" w:styleId="2936">
    <w:name w:val="Char115"/>
    <w:basedOn w:val="1"/>
    <w:uiPriority w:val="0"/>
    <w:pPr>
      <w:widowControl/>
      <w:ind w:left="-48"/>
      <w:jc w:val="left"/>
    </w:pPr>
    <w:rPr>
      <w:rFonts w:ascii="宋体" w:hAnsi="宋体" w:cs="宋体"/>
      <w:kern w:val="0"/>
      <w:szCs w:val="24"/>
    </w:rPr>
  </w:style>
  <w:style w:type="paragraph" w:customStyle="1" w:styleId="2937">
    <w:name w:val="表题412"/>
    <w:basedOn w:val="267"/>
    <w:uiPriority w:val="0"/>
    <w:pPr>
      <w:widowControl/>
      <w:tabs>
        <w:tab w:val="left" w:pos="4305"/>
      </w:tabs>
      <w:spacing w:after="0"/>
      <w:ind w:left="0" w:leftChars="0" w:firstLine="561" w:firstLineChars="0"/>
      <w:jc w:val="left"/>
    </w:pPr>
    <w:rPr>
      <w:rFonts w:ascii="宋体" w:hAnsi="宋体" w:cs="宋体"/>
      <w:color w:val="000000"/>
      <w:sz w:val="24"/>
      <w:szCs w:val="24"/>
    </w:rPr>
  </w:style>
  <w:style w:type="paragraph" w:customStyle="1" w:styleId="2938">
    <w:name w:val="正文修改511"/>
    <w:basedOn w:val="236"/>
    <w:uiPriority w:val="0"/>
    <w:rPr>
      <w:rFonts w:hAnsi="宋体" w:eastAsia="宋体" w:cs="宋体"/>
      <w:color w:val="000000"/>
      <w:szCs w:val="24"/>
    </w:rPr>
  </w:style>
  <w:style w:type="paragraph" w:customStyle="1" w:styleId="2939">
    <w:name w:val="燕山正文211"/>
    <w:basedOn w:val="1"/>
    <w:uiPriority w:val="0"/>
    <w:pPr>
      <w:widowControl/>
      <w:tabs>
        <w:tab w:val="left" w:pos="4680"/>
      </w:tabs>
      <w:spacing w:line="480" w:lineRule="exact"/>
      <w:jc w:val="left"/>
    </w:pPr>
    <w:rPr>
      <w:rFonts w:ascii="宋体" w:hAnsi="宋体" w:cs="宋体"/>
      <w:kern w:val="0"/>
      <w:szCs w:val="24"/>
    </w:rPr>
  </w:style>
  <w:style w:type="paragraph" w:customStyle="1" w:styleId="2940">
    <w:name w:val="样式 表格内字体1 +2"/>
    <w:basedOn w:val="2316"/>
    <w:next w:val="347"/>
    <w:uiPriority w:val="0"/>
    <w:rPr>
      <w:rFonts w:hAnsi="Times New Roman" w:cs="宋体"/>
      <w:szCs w:val="20"/>
    </w:rPr>
  </w:style>
  <w:style w:type="paragraph" w:customStyle="1" w:styleId="2941">
    <w:name w:val="燕山正文7"/>
    <w:basedOn w:val="1"/>
    <w:uiPriority w:val="0"/>
    <w:pPr>
      <w:widowControl/>
      <w:tabs>
        <w:tab w:val="left" w:pos="4680"/>
      </w:tabs>
      <w:spacing w:line="480" w:lineRule="exact"/>
      <w:jc w:val="left"/>
    </w:pPr>
    <w:rPr>
      <w:rFonts w:ascii="宋体" w:hAnsi="宋体" w:cs="宋体"/>
      <w:kern w:val="0"/>
      <w:szCs w:val="24"/>
    </w:rPr>
  </w:style>
  <w:style w:type="paragraph" w:customStyle="1" w:styleId="2942">
    <w:name w:val="黑体三号112"/>
    <w:basedOn w:val="207"/>
    <w:uiPriority w:val="0"/>
    <w:pPr>
      <w:jc w:val="center"/>
    </w:pPr>
    <w:rPr>
      <w:rFonts w:ascii="黑体" w:hAnsi="宋体" w:eastAsia="黑体" w:cs="宋体"/>
      <w:b/>
      <w:bCs/>
      <w:sz w:val="32"/>
      <w:szCs w:val="20"/>
    </w:rPr>
  </w:style>
  <w:style w:type="paragraph" w:customStyle="1" w:styleId="2943">
    <w:name w:val="Char82"/>
    <w:basedOn w:val="1"/>
    <w:uiPriority w:val="0"/>
    <w:pPr>
      <w:widowControl/>
      <w:ind w:left="-48"/>
      <w:jc w:val="left"/>
    </w:pPr>
    <w:rPr>
      <w:rFonts w:ascii="宋体" w:hAnsi="宋体" w:cs="宋体"/>
      <w:kern w:val="0"/>
      <w:szCs w:val="24"/>
    </w:rPr>
  </w:style>
  <w:style w:type="paragraph" w:customStyle="1" w:styleId="2944">
    <w:name w:val="Char101"/>
    <w:basedOn w:val="1"/>
    <w:uiPriority w:val="0"/>
    <w:pPr>
      <w:widowControl/>
      <w:jc w:val="left"/>
    </w:pPr>
    <w:rPr>
      <w:rFonts w:ascii="宋体" w:hAnsi="宋体" w:cs="宋体"/>
      <w:kern w:val="0"/>
      <w:szCs w:val="24"/>
    </w:rPr>
  </w:style>
  <w:style w:type="paragraph" w:customStyle="1" w:styleId="2945">
    <w:name w:val="表33"/>
    <w:basedOn w:val="1"/>
    <w:uiPriority w:val="0"/>
    <w:pPr>
      <w:widowControl/>
      <w:jc w:val="center"/>
    </w:pPr>
    <w:rPr>
      <w:rFonts w:ascii="宋体" w:hAnsi="宋体" w:cs="宋体"/>
      <w:kern w:val="0"/>
      <w:szCs w:val="24"/>
    </w:rPr>
  </w:style>
  <w:style w:type="paragraph" w:customStyle="1" w:styleId="2946">
    <w:name w:val="表中文字5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947">
    <w:name w:val="表题313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948">
    <w:name w:val="Char Char Char Char1 Char Char Char6"/>
    <w:basedOn w:val="1"/>
    <w:uiPriority w:val="0"/>
    <w:pPr>
      <w:widowControl/>
      <w:spacing w:after="160" w:line="240" w:lineRule="exact"/>
      <w:jc w:val="left"/>
    </w:pPr>
    <w:rPr>
      <w:rFonts w:ascii="Verdana" w:hAnsi="Verdana" w:cs="宋体"/>
      <w:kern w:val="0"/>
      <w:sz w:val="20"/>
      <w:szCs w:val="20"/>
      <w:lang w:eastAsia="en-US"/>
    </w:rPr>
  </w:style>
  <w:style w:type="paragraph" w:customStyle="1" w:styleId="2949">
    <w:name w:val="表中文字111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950">
    <w:name w:val="Char Char2 Char Char Char Char31"/>
    <w:basedOn w:val="1"/>
    <w:uiPriority w:val="0"/>
    <w:pPr>
      <w:widowControl/>
      <w:jc w:val="left"/>
    </w:pPr>
    <w:rPr>
      <w:rFonts w:ascii="宋体" w:hAnsi="宋体" w:cs="宋体"/>
      <w:kern w:val="0"/>
      <w:szCs w:val="24"/>
    </w:rPr>
  </w:style>
  <w:style w:type="paragraph" w:customStyle="1" w:styleId="2951">
    <w:name w:val="表格内容12"/>
    <w:uiPriority w:val="0"/>
    <w:pPr>
      <w:jc w:val="center"/>
    </w:pPr>
    <w:rPr>
      <w:rFonts w:ascii="Times New Roman" w:hAnsi="Times New Roman" w:eastAsia="宋体" w:cs="Times New Roman"/>
      <w:kern w:val="2"/>
      <w:sz w:val="21"/>
      <w:szCs w:val="21"/>
      <w:lang w:val="en-US" w:eastAsia="zh-CN" w:bidi="ar-SA"/>
    </w:rPr>
  </w:style>
  <w:style w:type="paragraph" w:customStyle="1" w:styleId="2952">
    <w:name w:val="文本框12"/>
    <w:basedOn w:val="1"/>
    <w:uiPriority w:val="0"/>
    <w:pPr>
      <w:widowControl/>
      <w:spacing w:after="6"/>
      <w:jc w:val="center"/>
    </w:pPr>
    <w:rPr>
      <w:rFonts w:ascii="宋体" w:hAnsi="宋体" w:cs="宋体"/>
      <w:kern w:val="0"/>
      <w:szCs w:val="24"/>
    </w:rPr>
  </w:style>
  <w:style w:type="paragraph" w:customStyle="1" w:styleId="2953">
    <w:name w:val="Default2"/>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2954">
    <w:name w:val="表内5111"/>
    <w:basedOn w:val="1"/>
    <w:uiPriority w:val="0"/>
    <w:pPr>
      <w:widowControl/>
      <w:jc w:val="center"/>
    </w:pPr>
    <w:rPr>
      <w:rFonts w:ascii="宋体" w:hAnsi="宋体" w:cs="宋体"/>
      <w:kern w:val="0"/>
      <w:sz w:val="20"/>
      <w:szCs w:val="20"/>
    </w:rPr>
  </w:style>
  <w:style w:type="paragraph" w:customStyle="1" w:styleId="2955">
    <w:name w:val="Char Char Char Char1 Char Char Char21"/>
    <w:basedOn w:val="1"/>
    <w:uiPriority w:val="0"/>
    <w:pPr>
      <w:widowControl/>
      <w:spacing w:after="160" w:line="240" w:lineRule="exact"/>
      <w:jc w:val="left"/>
    </w:pPr>
    <w:rPr>
      <w:rFonts w:ascii="Verdana" w:hAnsi="Verdana" w:cs="宋体"/>
      <w:kern w:val="0"/>
      <w:sz w:val="20"/>
      <w:szCs w:val="20"/>
      <w:lang w:eastAsia="en-US"/>
    </w:rPr>
  </w:style>
  <w:style w:type="paragraph" w:customStyle="1" w:styleId="2956">
    <w:name w:val="标题431212"/>
    <w:basedOn w:val="1"/>
    <w:uiPriority w:val="0"/>
    <w:pPr>
      <w:widowControl/>
      <w:spacing w:line="480" w:lineRule="exact"/>
      <w:jc w:val="center"/>
    </w:pPr>
    <w:rPr>
      <w:rFonts w:ascii="宋体" w:hAnsi="宋体" w:cs="宋体"/>
      <w:kern w:val="0"/>
      <w:szCs w:val="24"/>
    </w:rPr>
  </w:style>
  <w:style w:type="paragraph" w:customStyle="1" w:styleId="2957">
    <w:name w:val="表内宋511111"/>
    <w:basedOn w:val="433"/>
    <w:uiPriority w:val="0"/>
    <w:rPr>
      <w:rFonts w:ascii="宋体" w:hAnsi="宋体" w:cs="宋体"/>
      <w:color w:val="000000"/>
      <w:sz w:val="21"/>
      <w:szCs w:val="24"/>
    </w:rPr>
  </w:style>
  <w:style w:type="paragraph" w:customStyle="1" w:styleId="2958">
    <w:name w:val="表题2111"/>
    <w:basedOn w:val="1"/>
    <w:uiPriority w:val="0"/>
    <w:pPr>
      <w:widowControl/>
      <w:jc w:val="center"/>
    </w:pPr>
    <w:rPr>
      <w:rFonts w:ascii="黑体" w:hAnsi="宋体" w:eastAsia="黑体" w:cs="宋体"/>
      <w:kern w:val="0"/>
      <w:szCs w:val="24"/>
    </w:rPr>
  </w:style>
  <w:style w:type="paragraph" w:customStyle="1" w:styleId="2959">
    <w:name w:val="表内宋5中121"/>
    <w:basedOn w:val="1"/>
    <w:uiPriority w:val="0"/>
    <w:pPr>
      <w:widowControl/>
      <w:jc w:val="center"/>
      <w:textAlignment w:val="baseline"/>
    </w:pPr>
    <w:rPr>
      <w:rFonts w:ascii="宋体" w:hAnsi="宋体" w:cs="宋体"/>
      <w:kern w:val="0"/>
      <w:szCs w:val="20"/>
    </w:rPr>
  </w:style>
  <w:style w:type="paragraph" w:customStyle="1" w:styleId="2960">
    <w:name w:val="Char Char2 Char Char Char Char41"/>
    <w:basedOn w:val="1"/>
    <w:uiPriority w:val="0"/>
    <w:pPr>
      <w:widowControl/>
      <w:jc w:val="left"/>
    </w:pPr>
    <w:rPr>
      <w:rFonts w:ascii="宋体" w:hAnsi="宋体" w:cs="宋体"/>
      <w:kern w:val="0"/>
      <w:szCs w:val="24"/>
    </w:rPr>
  </w:style>
  <w:style w:type="paragraph" w:customStyle="1" w:styleId="2961">
    <w:name w:val="表题311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962">
    <w:name w:val="燕山正文1133"/>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2963">
    <w:name w:val="表中文字5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964">
    <w:name w:val="封面标准文稿编辑信息2"/>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2965">
    <w:name w:val="表题312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2966">
    <w:name w:val="表内宋5114"/>
    <w:basedOn w:val="433"/>
    <w:uiPriority w:val="0"/>
    <w:rPr>
      <w:rFonts w:ascii="宋体" w:hAnsi="宋体" w:cs="宋体"/>
      <w:color w:val="000000"/>
      <w:sz w:val="21"/>
      <w:szCs w:val="24"/>
    </w:rPr>
  </w:style>
  <w:style w:type="paragraph" w:customStyle="1" w:styleId="2967">
    <w:name w:val="默认段落字体 Para Char Char Char Char8"/>
    <w:basedOn w:val="1"/>
    <w:uiPriority w:val="0"/>
    <w:pPr>
      <w:widowControl/>
      <w:jc w:val="left"/>
    </w:pPr>
    <w:rPr>
      <w:rFonts w:ascii="宋体" w:hAnsi="宋体" w:cs="宋体"/>
      <w:kern w:val="0"/>
      <w:szCs w:val="24"/>
    </w:rPr>
  </w:style>
  <w:style w:type="paragraph" w:customStyle="1" w:styleId="2968">
    <w:name w:val="样式14"/>
    <w:basedOn w:val="1779"/>
    <w:uiPriority w:val="0"/>
    <w:pPr>
      <w:spacing w:line="240" w:lineRule="auto"/>
      <w:ind w:firstLine="0"/>
      <w:jc w:val="center"/>
    </w:pPr>
    <w:rPr>
      <w:rFonts w:cs="Times New Roman"/>
      <w:b/>
      <w:color w:val="auto"/>
      <w:szCs w:val="20"/>
    </w:rPr>
  </w:style>
  <w:style w:type="paragraph" w:customStyle="1" w:styleId="2969">
    <w:name w:val="Char116"/>
    <w:basedOn w:val="1"/>
    <w:uiPriority w:val="0"/>
    <w:pPr>
      <w:widowControl/>
      <w:ind w:left="-48"/>
      <w:jc w:val="left"/>
    </w:pPr>
    <w:rPr>
      <w:rFonts w:ascii="宋体" w:hAnsi="宋体" w:cs="宋体"/>
      <w:kern w:val="0"/>
      <w:szCs w:val="24"/>
    </w:rPr>
  </w:style>
  <w:style w:type="paragraph" w:customStyle="1" w:styleId="2970">
    <w:name w:val="燕山正文121"/>
    <w:basedOn w:val="1"/>
    <w:uiPriority w:val="0"/>
    <w:pPr>
      <w:widowControl/>
      <w:tabs>
        <w:tab w:val="left" w:pos="4680"/>
      </w:tabs>
      <w:spacing w:line="480" w:lineRule="exact"/>
      <w:jc w:val="left"/>
    </w:pPr>
    <w:rPr>
      <w:rFonts w:ascii="宋体" w:hAnsi="宋体" w:cs="宋体"/>
      <w:kern w:val="0"/>
      <w:szCs w:val="24"/>
    </w:rPr>
  </w:style>
  <w:style w:type="paragraph" w:customStyle="1" w:styleId="2971">
    <w:name w:val="标题42"/>
    <w:basedOn w:val="1"/>
    <w:uiPriority w:val="0"/>
    <w:pPr>
      <w:widowControl/>
      <w:spacing w:line="300" w:lineRule="auto"/>
      <w:jc w:val="left"/>
    </w:pPr>
    <w:rPr>
      <w:rFonts w:ascii="黑体" w:hAnsi="宋体" w:eastAsia="黑体" w:cs="宋体"/>
      <w:bCs/>
      <w:kern w:val="0"/>
      <w:szCs w:val="24"/>
    </w:rPr>
  </w:style>
  <w:style w:type="paragraph" w:customStyle="1" w:styleId="2972">
    <w:name w:val="Char Char2 Char Char Char Char34"/>
    <w:basedOn w:val="1"/>
    <w:uiPriority w:val="0"/>
    <w:pPr>
      <w:widowControl/>
      <w:jc w:val="left"/>
    </w:pPr>
    <w:rPr>
      <w:rFonts w:ascii="宋体" w:hAnsi="宋体" w:cs="宋体"/>
      <w:kern w:val="0"/>
      <w:szCs w:val="24"/>
    </w:rPr>
  </w:style>
  <w:style w:type="paragraph" w:customStyle="1" w:styleId="2973">
    <w:name w:val="燕山正文311"/>
    <w:basedOn w:val="1"/>
    <w:uiPriority w:val="0"/>
    <w:pPr>
      <w:widowControl/>
      <w:tabs>
        <w:tab w:val="left" w:pos="4680"/>
      </w:tabs>
      <w:spacing w:line="480" w:lineRule="exact"/>
      <w:jc w:val="left"/>
    </w:pPr>
    <w:rPr>
      <w:rFonts w:ascii="宋体" w:hAnsi="宋体" w:cs="宋体"/>
      <w:kern w:val="0"/>
      <w:szCs w:val="24"/>
    </w:rPr>
  </w:style>
  <w:style w:type="paragraph" w:customStyle="1" w:styleId="2974">
    <w:name w:val="黑体三号111"/>
    <w:basedOn w:val="207"/>
    <w:uiPriority w:val="0"/>
    <w:pPr>
      <w:jc w:val="center"/>
    </w:pPr>
    <w:rPr>
      <w:rFonts w:ascii="黑体" w:hAnsi="宋体" w:eastAsia="黑体" w:cs="宋体"/>
      <w:b/>
      <w:bCs/>
      <w:sz w:val="32"/>
      <w:szCs w:val="20"/>
    </w:rPr>
  </w:style>
  <w:style w:type="paragraph" w:customStyle="1" w:styleId="2975">
    <w:name w:val="图表名称11"/>
    <w:basedOn w:val="155"/>
    <w:uiPriority w:val="0"/>
    <w:pPr>
      <w:spacing w:after="0" w:line="480" w:lineRule="exact"/>
      <w:ind w:firstLine="0" w:firstLineChars="0"/>
      <w:jc w:val="center"/>
    </w:pPr>
    <w:rPr>
      <w:rFonts w:ascii="宋体" w:hAnsi="宋体"/>
      <w:bCs/>
      <w:szCs w:val="24"/>
    </w:rPr>
  </w:style>
  <w:style w:type="paragraph" w:customStyle="1" w:styleId="2976">
    <w:name w:val="正文格式＝41"/>
    <w:basedOn w:val="207"/>
    <w:next w:val="207"/>
    <w:uiPriority w:val="0"/>
    <w:rPr>
      <w:rFonts w:hAnsi="宋体"/>
      <w:szCs w:val="24"/>
    </w:rPr>
  </w:style>
  <w:style w:type="paragraph" w:customStyle="1" w:styleId="2977">
    <w:name w:val="表内宋5中13"/>
    <w:basedOn w:val="1"/>
    <w:uiPriority w:val="0"/>
    <w:pPr>
      <w:widowControl/>
      <w:jc w:val="center"/>
      <w:textAlignment w:val="baseline"/>
    </w:pPr>
    <w:rPr>
      <w:rFonts w:ascii="宋体" w:hAnsi="宋体" w:cs="宋体"/>
      <w:kern w:val="0"/>
      <w:szCs w:val="20"/>
    </w:rPr>
  </w:style>
  <w:style w:type="paragraph" w:customStyle="1" w:styleId="2978">
    <w:name w:val="Char Char Char Char1 Char Char Char4"/>
    <w:basedOn w:val="1"/>
    <w:uiPriority w:val="0"/>
    <w:pPr>
      <w:widowControl/>
      <w:spacing w:after="160" w:line="240" w:lineRule="exact"/>
      <w:jc w:val="left"/>
    </w:pPr>
    <w:rPr>
      <w:rFonts w:ascii="Verdana" w:hAnsi="Verdana" w:cs="宋体"/>
      <w:kern w:val="0"/>
      <w:sz w:val="20"/>
      <w:szCs w:val="20"/>
      <w:lang w:eastAsia="en-US"/>
    </w:rPr>
  </w:style>
  <w:style w:type="paragraph" w:customStyle="1" w:styleId="2979">
    <w:name w:val="燕山正文11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2980">
    <w:name w:val="表112"/>
    <w:basedOn w:val="1"/>
    <w:uiPriority w:val="0"/>
    <w:pPr>
      <w:widowControl/>
      <w:jc w:val="center"/>
    </w:pPr>
    <w:rPr>
      <w:rFonts w:ascii="宋体" w:hAnsi="宋体" w:cs="宋体"/>
      <w:kern w:val="0"/>
      <w:szCs w:val="24"/>
    </w:rPr>
  </w:style>
  <w:style w:type="paragraph" w:customStyle="1" w:styleId="2981">
    <w:name w:val="默认段落字体 Para Char Char Char Char112"/>
    <w:basedOn w:val="1"/>
    <w:uiPriority w:val="0"/>
    <w:pPr>
      <w:widowControl/>
      <w:jc w:val="left"/>
    </w:pPr>
    <w:rPr>
      <w:rFonts w:ascii="宋体" w:hAnsi="宋体" w:cs="宋体"/>
      <w:kern w:val="0"/>
      <w:szCs w:val="24"/>
    </w:rPr>
  </w:style>
  <w:style w:type="paragraph" w:customStyle="1" w:styleId="2982">
    <w:name w:val="表内宋51113"/>
    <w:basedOn w:val="433"/>
    <w:uiPriority w:val="0"/>
    <w:rPr>
      <w:rFonts w:ascii="宋体" w:hAnsi="宋体" w:cs="宋体"/>
      <w:color w:val="000000"/>
      <w:sz w:val="21"/>
      <w:szCs w:val="24"/>
    </w:rPr>
  </w:style>
  <w:style w:type="paragraph" w:customStyle="1" w:styleId="2983">
    <w:name w:val="表内文字小216"/>
    <w:basedOn w:val="1"/>
    <w:uiPriority w:val="0"/>
    <w:pPr>
      <w:widowControl/>
      <w:jc w:val="center"/>
    </w:pPr>
    <w:rPr>
      <w:rFonts w:ascii="宋体" w:hAnsi="Times" w:cs="宋体"/>
      <w:bCs/>
      <w:color w:val="000000"/>
      <w:kern w:val="0"/>
      <w:szCs w:val="20"/>
    </w:rPr>
  </w:style>
  <w:style w:type="paragraph" w:customStyle="1" w:styleId="2984">
    <w:name w:val="图表名称13"/>
    <w:basedOn w:val="155"/>
    <w:uiPriority w:val="0"/>
    <w:pPr>
      <w:spacing w:after="0" w:line="480" w:lineRule="exact"/>
      <w:ind w:firstLine="0" w:firstLineChars="0"/>
      <w:jc w:val="center"/>
    </w:pPr>
    <w:rPr>
      <w:rFonts w:ascii="宋体" w:hAnsi="宋体"/>
      <w:bCs/>
      <w:szCs w:val="24"/>
    </w:rPr>
  </w:style>
  <w:style w:type="paragraph" w:customStyle="1" w:styleId="2985">
    <w:name w:val="表内5417"/>
    <w:basedOn w:val="1"/>
    <w:uiPriority w:val="0"/>
    <w:pPr>
      <w:widowControl/>
      <w:spacing w:line="300" w:lineRule="auto"/>
      <w:jc w:val="center"/>
    </w:pPr>
    <w:rPr>
      <w:rFonts w:ascii="宋体" w:hAnsi="宋体" w:cs="宋体"/>
      <w:kern w:val="0"/>
      <w:szCs w:val="20"/>
    </w:rPr>
  </w:style>
  <w:style w:type="paragraph" w:customStyle="1" w:styleId="2986">
    <w:name w:val="A正文1"/>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2987">
    <w:name w:val="Char911"/>
    <w:basedOn w:val="1"/>
    <w:uiPriority w:val="0"/>
    <w:pPr>
      <w:widowControl/>
      <w:ind w:left="-48"/>
      <w:jc w:val="left"/>
    </w:pPr>
    <w:rPr>
      <w:rFonts w:ascii="宋体" w:hAnsi="宋体" w:cs="宋体"/>
      <w:kern w:val="0"/>
      <w:szCs w:val="24"/>
    </w:rPr>
  </w:style>
  <w:style w:type="paragraph" w:customStyle="1" w:styleId="2988">
    <w:name w:val="Char Char Char Char Char Char Char38"/>
    <w:basedOn w:val="1"/>
    <w:uiPriority w:val="0"/>
    <w:pPr>
      <w:widowControl/>
      <w:jc w:val="left"/>
    </w:pPr>
    <w:rPr>
      <w:rFonts w:ascii="宋体" w:hAnsi="宋体" w:cs="宋体"/>
      <w:kern w:val="0"/>
      <w:szCs w:val="24"/>
    </w:rPr>
  </w:style>
  <w:style w:type="paragraph" w:customStyle="1" w:styleId="2989">
    <w:name w:val="样式23"/>
    <w:basedOn w:val="1"/>
    <w:uiPriority w:val="0"/>
    <w:pPr>
      <w:widowControl/>
      <w:jc w:val="center"/>
      <w:textAlignment w:val="baseline"/>
      <w:outlineLvl w:val="0"/>
    </w:pPr>
    <w:rPr>
      <w:rFonts w:ascii="宋体" w:hAnsi="宋体" w:cs="宋体"/>
      <w:kern w:val="0"/>
      <w:szCs w:val="20"/>
    </w:rPr>
  </w:style>
  <w:style w:type="paragraph" w:customStyle="1" w:styleId="2990">
    <w:name w:val="表中文字8"/>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991">
    <w:name w:val="表内文字小2133"/>
    <w:basedOn w:val="1"/>
    <w:uiPriority w:val="0"/>
    <w:pPr>
      <w:widowControl/>
      <w:jc w:val="center"/>
      <w:textAlignment w:val="baseline"/>
    </w:pPr>
    <w:rPr>
      <w:rFonts w:ascii="宋体" w:hAnsi="Times" w:cs="宋体"/>
      <w:bCs/>
      <w:color w:val="000000"/>
      <w:kern w:val="0"/>
      <w:szCs w:val="20"/>
    </w:rPr>
  </w:style>
  <w:style w:type="paragraph" w:customStyle="1" w:styleId="2992">
    <w:name w:val="样式121"/>
    <w:basedOn w:val="1779"/>
    <w:uiPriority w:val="0"/>
    <w:pPr>
      <w:spacing w:line="240" w:lineRule="auto"/>
      <w:ind w:firstLine="0"/>
      <w:jc w:val="center"/>
    </w:pPr>
    <w:rPr>
      <w:rFonts w:cs="Times New Roman"/>
      <w:b/>
      <w:color w:val="auto"/>
      <w:szCs w:val="20"/>
    </w:rPr>
  </w:style>
  <w:style w:type="paragraph" w:customStyle="1" w:styleId="2993">
    <w:name w:val="表内54134"/>
    <w:basedOn w:val="1"/>
    <w:uiPriority w:val="0"/>
    <w:pPr>
      <w:widowControl/>
      <w:spacing w:line="300" w:lineRule="auto"/>
      <w:jc w:val="center"/>
    </w:pPr>
    <w:rPr>
      <w:rFonts w:ascii="宋体" w:hAnsi="宋体" w:cs="宋体"/>
      <w:kern w:val="0"/>
      <w:szCs w:val="20"/>
    </w:rPr>
  </w:style>
  <w:style w:type="paragraph" w:customStyle="1" w:styleId="2994">
    <w:name w:val="样式42"/>
    <w:basedOn w:val="27"/>
    <w:uiPriority w:val="0"/>
    <w:pPr>
      <w:widowControl/>
      <w:tabs>
        <w:tab w:val="left" w:pos="1820"/>
      </w:tabs>
      <w:spacing w:line="240" w:lineRule="atLeast"/>
      <w:jc w:val="center"/>
    </w:pPr>
    <w:rPr>
      <w:rFonts w:eastAsia="幼圆"/>
      <w:kern w:val="0"/>
      <w:sz w:val="21"/>
      <w:szCs w:val="20"/>
    </w:rPr>
  </w:style>
  <w:style w:type="paragraph" w:customStyle="1" w:styleId="2995">
    <w:name w:val="正文格式＝42"/>
    <w:basedOn w:val="207"/>
    <w:next w:val="207"/>
    <w:uiPriority w:val="0"/>
    <w:rPr>
      <w:rFonts w:hAnsi="宋体"/>
      <w:szCs w:val="24"/>
    </w:rPr>
  </w:style>
  <w:style w:type="paragraph" w:customStyle="1" w:styleId="2996">
    <w:name w:val="Char Char Char Char Char Char Char223"/>
    <w:basedOn w:val="1"/>
    <w:uiPriority w:val="0"/>
    <w:pPr>
      <w:widowControl/>
      <w:jc w:val="left"/>
    </w:pPr>
    <w:rPr>
      <w:rFonts w:ascii="宋体" w:hAnsi="宋体" w:cs="宋体"/>
      <w:kern w:val="0"/>
      <w:szCs w:val="24"/>
    </w:rPr>
  </w:style>
  <w:style w:type="paragraph" w:customStyle="1" w:styleId="2997">
    <w:name w:val="表中文字6"/>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2998">
    <w:name w:val="首行缩进:  0.99 厘米 + 首行缩进:  2 字符2"/>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2999">
    <w:name w:val="正文格式＝71"/>
    <w:basedOn w:val="207"/>
    <w:next w:val="207"/>
    <w:uiPriority w:val="0"/>
    <w:rPr>
      <w:rFonts w:hAnsi="宋体"/>
      <w:szCs w:val="24"/>
    </w:rPr>
  </w:style>
  <w:style w:type="paragraph" w:customStyle="1" w:styleId="3000">
    <w:name w:val="Char Char2 Char Char Char Char27"/>
    <w:basedOn w:val="1"/>
    <w:uiPriority w:val="0"/>
    <w:pPr>
      <w:widowControl/>
      <w:jc w:val="left"/>
    </w:pPr>
    <w:rPr>
      <w:rFonts w:ascii="宋体" w:hAnsi="宋体" w:cs="宋体"/>
      <w:kern w:val="0"/>
      <w:szCs w:val="24"/>
    </w:rPr>
  </w:style>
  <w:style w:type="paragraph" w:customStyle="1" w:styleId="3001">
    <w:name w:val="正文格式＝72"/>
    <w:basedOn w:val="207"/>
    <w:next w:val="207"/>
    <w:uiPriority w:val="0"/>
    <w:rPr>
      <w:rFonts w:hAnsi="宋体"/>
      <w:szCs w:val="24"/>
    </w:rPr>
  </w:style>
  <w:style w:type="paragraph" w:customStyle="1" w:styleId="3002">
    <w:name w:val="标题4114"/>
    <w:basedOn w:val="1"/>
    <w:uiPriority w:val="0"/>
    <w:pPr>
      <w:widowControl/>
      <w:spacing w:line="300" w:lineRule="auto"/>
      <w:jc w:val="left"/>
    </w:pPr>
    <w:rPr>
      <w:rFonts w:ascii="黑体" w:hAnsi="宋体" w:eastAsia="黑体" w:cs="宋体"/>
      <w:bCs/>
      <w:kern w:val="0"/>
      <w:szCs w:val="20"/>
    </w:rPr>
  </w:style>
  <w:style w:type="paragraph" w:customStyle="1" w:styleId="3003">
    <w:name w:val="Char322"/>
    <w:basedOn w:val="1"/>
    <w:uiPriority w:val="0"/>
    <w:pPr>
      <w:widowControl/>
      <w:ind w:left="-48"/>
      <w:jc w:val="left"/>
    </w:pPr>
    <w:rPr>
      <w:rFonts w:ascii="宋体" w:hAnsi="宋体" w:cs="宋体"/>
      <w:kern w:val="0"/>
      <w:szCs w:val="24"/>
    </w:rPr>
  </w:style>
  <w:style w:type="paragraph" w:customStyle="1" w:styleId="3004">
    <w:name w:val="正文修改43"/>
    <w:basedOn w:val="236"/>
    <w:uiPriority w:val="0"/>
    <w:rPr>
      <w:rFonts w:hAnsi="宋体" w:eastAsia="宋体" w:cs="宋体"/>
      <w:color w:val="000000"/>
      <w:szCs w:val="24"/>
    </w:rPr>
  </w:style>
  <w:style w:type="paragraph" w:customStyle="1" w:styleId="3005">
    <w:name w:val="表中文字6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006">
    <w:name w:val="默认段落字体 Para Char311"/>
    <w:basedOn w:val="1"/>
    <w:uiPriority w:val="0"/>
    <w:pPr>
      <w:widowControl/>
      <w:jc w:val="left"/>
    </w:pPr>
    <w:rPr>
      <w:rFonts w:ascii="宋体" w:hAnsi="宋体" w:cs="宋体"/>
      <w:kern w:val="0"/>
      <w:szCs w:val="24"/>
    </w:rPr>
  </w:style>
  <w:style w:type="paragraph" w:customStyle="1" w:styleId="3007">
    <w:name w:val="正文.1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008">
    <w:name w:val="正文缩12"/>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009">
    <w:name w:val="表内文字边12"/>
    <w:basedOn w:val="1"/>
    <w:qFormat/>
    <w:uiPriority w:val="0"/>
    <w:pPr>
      <w:widowControl/>
      <w:spacing w:line="240" w:lineRule="atLeast"/>
      <w:ind w:left="-21" w:leftChars="-10" w:right="-42" w:rightChars="-20"/>
      <w:jc w:val="left"/>
    </w:pPr>
    <w:rPr>
      <w:rFonts w:ascii="宋体" w:hAnsi="宋体" w:cs="宋体"/>
      <w:kern w:val="0"/>
      <w:szCs w:val="21"/>
    </w:rPr>
  </w:style>
  <w:style w:type="paragraph" w:customStyle="1" w:styleId="3010">
    <w:name w:val="正文修改6"/>
    <w:basedOn w:val="236"/>
    <w:uiPriority w:val="0"/>
    <w:rPr>
      <w:rFonts w:hAnsi="宋体" w:eastAsia="宋体" w:cs="宋体"/>
      <w:color w:val="000000"/>
      <w:szCs w:val="24"/>
    </w:rPr>
  </w:style>
  <w:style w:type="paragraph" w:customStyle="1" w:styleId="3011">
    <w:name w:val="默认段落字体 Para Char Char Char Char512"/>
    <w:basedOn w:val="1"/>
    <w:uiPriority w:val="0"/>
    <w:pPr>
      <w:widowControl/>
      <w:jc w:val="left"/>
    </w:pPr>
    <w:rPr>
      <w:rFonts w:ascii="宋体" w:hAnsi="宋体" w:cs="宋体"/>
      <w:kern w:val="0"/>
      <w:szCs w:val="24"/>
    </w:rPr>
  </w:style>
  <w:style w:type="paragraph" w:customStyle="1" w:styleId="3012">
    <w:name w:val="Char Char Char Char Char Char Char9"/>
    <w:basedOn w:val="1"/>
    <w:uiPriority w:val="0"/>
    <w:pPr>
      <w:widowControl/>
      <w:jc w:val="left"/>
    </w:pPr>
    <w:rPr>
      <w:rFonts w:ascii="宋体" w:hAnsi="宋体" w:cs="宋体"/>
      <w:kern w:val="0"/>
      <w:szCs w:val="24"/>
    </w:rPr>
  </w:style>
  <w:style w:type="paragraph" w:customStyle="1" w:styleId="3013">
    <w:name w:val="表内文字小315"/>
    <w:basedOn w:val="1"/>
    <w:uiPriority w:val="0"/>
    <w:pPr>
      <w:widowControl/>
      <w:jc w:val="center"/>
    </w:pPr>
    <w:rPr>
      <w:rFonts w:ascii="宋体" w:hAnsi="Times" w:cs="宋体"/>
      <w:bCs/>
      <w:color w:val="003366"/>
      <w:kern w:val="0"/>
      <w:szCs w:val="20"/>
    </w:rPr>
  </w:style>
  <w:style w:type="paragraph" w:customStyle="1" w:styleId="3014">
    <w:name w:val="表内5中13"/>
    <w:basedOn w:val="1"/>
    <w:uiPriority w:val="0"/>
    <w:pPr>
      <w:widowControl/>
      <w:jc w:val="center"/>
    </w:pPr>
    <w:rPr>
      <w:rFonts w:ascii="宋体" w:hAnsi="宋体" w:cs="Arial"/>
      <w:snapToGrid w:val="0"/>
      <w:color w:val="000000"/>
      <w:kern w:val="0"/>
      <w:szCs w:val="21"/>
    </w:rPr>
  </w:style>
  <w:style w:type="paragraph" w:customStyle="1" w:styleId="3015">
    <w:name w:val="正文格式＝211"/>
    <w:basedOn w:val="207"/>
    <w:next w:val="207"/>
    <w:uiPriority w:val="0"/>
    <w:rPr>
      <w:rFonts w:hAnsi="宋体"/>
      <w:szCs w:val="24"/>
    </w:rPr>
  </w:style>
  <w:style w:type="paragraph" w:customStyle="1" w:styleId="3016">
    <w:name w:val="表题3122"/>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017">
    <w:name w:val="附件11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018">
    <w:name w:val="表内5912"/>
    <w:basedOn w:val="1"/>
    <w:uiPriority w:val="0"/>
    <w:pPr>
      <w:widowControl/>
      <w:spacing w:line="300" w:lineRule="auto"/>
      <w:jc w:val="center"/>
    </w:pPr>
    <w:rPr>
      <w:rFonts w:ascii="宋体" w:hAnsi="宋体" w:cs="宋体"/>
      <w:snapToGrid w:val="0"/>
      <w:kern w:val="0"/>
      <w:szCs w:val="21"/>
    </w:rPr>
  </w:style>
  <w:style w:type="paragraph" w:customStyle="1" w:styleId="3019">
    <w:name w:val="正文修改4"/>
    <w:basedOn w:val="236"/>
    <w:uiPriority w:val="0"/>
    <w:rPr>
      <w:rFonts w:hAnsi="宋体" w:eastAsia="宋体" w:cs="宋体"/>
      <w:color w:val="000000"/>
      <w:szCs w:val="24"/>
    </w:rPr>
  </w:style>
  <w:style w:type="paragraph" w:customStyle="1" w:styleId="3020">
    <w:name w:val="正文修改52"/>
    <w:basedOn w:val="236"/>
    <w:uiPriority w:val="0"/>
    <w:rPr>
      <w:rFonts w:hAnsi="宋体" w:eastAsia="宋体" w:cs="宋体"/>
      <w:color w:val="000000"/>
      <w:szCs w:val="24"/>
    </w:rPr>
  </w:style>
  <w:style w:type="paragraph" w:customStyle="1" w:styleId="3021">
    <w:name w:val="标题43124"/>
    <w:basedOn w:val="1"/>
    <w:uiPriority w:val="0"/>
    <w:pPr>
      <w:widowControl/>
      <w:spacing w:line="480" w:lineRule="exact"/>
      <w:jc w:val="center"/>
    </w:pPr>
    <w:rPr>
      <w:rFonts w:ascii="宋体" w:hAnsi="宋体" w:cs="宋体"/>
      <w:kern w:val="0"/>
      <w:szCs w:val="24"/>
    </w:rPr>
  </w:style>
  <w:style w:type="paragraph" w:customStyle="1" w:styleId="3022">
    <w:name w:val="附件5"/>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3023">
    <w:name w:val="表题314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024">
    <w:name w:val="正文格式＝512"/>
    <w:basedOn w:val="207"/>
    <w:next w:val="207"/>
    <w:uiPriority w:val="0"/>
    <w:rPr>
      <w:rFonts w:hAnsi="宋体"/>
      <w:szCs w:val="24"/>
    </w:rPr>
  </w:style>
  <w:style w:type="paragraph" w:customStyle="1" w:styleId="3025">
    <w:name w:val="样式 标题 3 + 段前: 12 磅3"/>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3026">
    <w:name w:val="环评正文3"/>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027">
    <w:name w:val="表内宋5中212"/>
    <w:basedOn w:val="1"/>
    <w:uiPriority w:val="0"/>
    <w:pPr>
      <w:widowControl/>
      <w:jc w:val="center"/>
      <w:textAlignment w:val="baseline"/>
    </w:pPr>
    <w:rPr>
      <w:rFonts w:ascii="宋体" w:hAnsi="宋体" w:cs="宋体"/>
      <w:kern w:val="0"/>
      <w:szCs w:val="20"/>
    </w:rPr>
  </w:style>
  <w:style w:type="paragraph" w:customStyle="1" w:styleId="3028">
    <w:name w:val="表内文字小12"/>
    <w:basedOn w:val="1"/>
    <w:uiPriority w:val="0"/>
    <w:pPr>
      <w:widowControl/>
      <w:jc w:val="center"/>
    </w:pPr>
    <w:rPr>
      <w:rFonts w:ascii="宋体" w:hAnsi="Times" w:cs="宋体"/>
      <w:kern w:val="0"/>
      <w:szCs w:val="20"/>
    </w:rPr>
  </w:style>
  <w:style w:type="paragraph" w:customStyle="1" w:styleId="3029">
    <w:name w:val="Char27"/>
    <w:basedOn w:val="1"/>
    <w:uiPriority w:val="0"/>
    <w:pPr>
      <w:widowControl/>
      <w:ind w:left="-48"/>
      <w:jc w:val="left"/>
    </w:pPr>
    <w:rPr>
      <w:rFonts w:ascii="宋体" w:hAnsi="宋体" w:cs="宋体"/>
      <w:kern w:val="0"/>
      <w:szCs w:val="24"/>
    </w:rPr>
  </w:style>
  <w:style w:type="paragraph" w:customStyle="1" w:styleId="3030">
    <w:name w:val="封面标准文稿编辑信息11"/>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3031">
    <w:name w:val="表内文字小2122"/>
    <w:basedOn w:val="1"/>
    <w:uiPriority w:val="0"/>
    <w:pPr>
      <w:widowControl/>
      <w:jc w:val="center"/>
    </w:pPr>
    <w:rPr>
      <w:rFonts w:ascii="宋体" w:hAnsi="Times" w:cs="宋体"/>
      <w:bCs/>
      <w:color w:val="000000"/>
      <w:kern w:val="0"/>
      <w:szCs w:val="20"/>
    </w:rPr>
  </w:style>
  <w:style w:type="paragraph" w:customStyle="1" w:styleId="3032">
    <w:name w:val="Char221"/>
    <w:basedOn w:val="1"/>
    <w:uiPriority w:val="0"/>
    <w:pPr>
      <w:widowControl/>
      <w:spacing w:before="156"/>
      <w:jc w:val="left"/>
    </w:pPr>
    <w:rPr>
      <w:rFonts w:ascii="黑体" w:hAnsi="宋体" w:eastAsia="黑体" w:cs="宋体"/>
      <w:kern w:val="0"/>
      <w:sz w:val="32"/>
      <w:szCs w:val="32"/>
    </w:rPr>
  </w:style>
  <w:style w:type="paragraph" w:customStyle="1" w:styleId="3033">
    <w:name w:val="Char2111"/>
    <w:basedOn w:val="1"/>
    <w:uiPriority w:val="0"/>
    <w:pPr>
      <w:widowControl/>
      <w:ind w:left="-48"/>
      <w:jc w:val="left"/>
    </w:pPr>
    <w:rPr>
      <w:rFonts w:ascii="宋体" w:hAnsi="宋体" w:cs="宋体"/>
      <w:kern w:val="0"/>
      <w:szCs w:val="24"/>
    </w:rPr>
  </w:style>
  <w:style w:type="paragraph" w:customStyle="1" w:styleId="3034">
    <w:name w:val="表题31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035">
    <w:name w:val="A正文11"/>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036">
    <w:name w:val="表内文字小2142"/>
    <w:basedOn w:val="1"/>
    <w:uiPriority w:val="0"/>
    <w:pPr>
      <w:widowControl/>
      <w:jc w:val="center"/>
    </w:pPr>
    <w:rPr>
      <w:rFonts w:ascii="宋体" w:hAnsi="Times" w:cs="宋体"/>
      <w:bCs/>
      <w:color w:val="000000"/>
      <w:kern w:val="0"/>
      <w:szCs w:val="20"/>
    </w:rPr>
  </w:style>
  <w:style w:type="paragraph" w:customStyle="1" w:styleId="3037">
    <w:name w:val="燕山正文21"/>
    <w:basedOn w:val="1"/>
    <w:uiPriority w:val="0"/>
    <w:pPr>
      <w:widowControl/>
      <w:tabs>
        <w:tab w:val="left" w:pos="4680"/>
      </w:tabs>
      <w:spacing w:line="480" w:lineRule="exact"/>
      <w:jc w:val="left"/>
    </w:pPr>
    <w:rPr>
      <w:rFonts w:ascii="宋体" w:hAnsi="宋体" w:cs="宋体"/>
      <w:kern w:val="0"/>
      <w:szCs w:val="24"/>
    </w:rPr>
  </w:style>
  <w:style w:type="paragraph" w:customStyle="1" w:styleId="3038">
    <w:name w:val="Char Char Char Char Char Char Char42"/>
    <w:basedOn w:val="1"/>
    <w:uiPriority w:val="0"/>
    <w:pPr>
      <w:widowControl/>
      <w:jc w:val="left"/>
    </w:pPr>
    <w:rPr>
      <w:rFonts w:ascii="宋体" w:hAnsi="宋体" w:cs="宋体"/>
      <w:kern w:val="0"/>
      <w:szCs w:val="24"/>
    </w:rPr>
  </w:style>
  <w:style w:type="paragraph" w:customStyle="1" w:styleId="3039">
    <w:name w:val="燕山正文1113"/>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040">
    <w:name w:val="表内文字小3132"/>
    <w:basedOn w:val="1"/>
    <w:uiPriority w:val="0"/>
    <w:pPr>
      <w:widowControl/>
      <w:jc w:val="center"/>
    </w:pPr>
    <w:rPr>
      <w:rFonts w:ascii="宋体" w:hAnsi="Times" w:cs="宋体"/>
      <w:bCs/>
      <w:color w:val="003366"/>
      <w:kern w:val="0"/>
      <w:szCs w:val="20"/>
    </w:rPr>
  </w:style>
  <w:style w:type="paragraph" w:customStyle="1" w:styleId="3041">
    <w:name w:val="表内54123"/>
    <w:basedOn w:val="1"/>
    <w:uiPriority w:val="0"/>
    <w:pPr>
      <w:widowControl/>
      <w:spacing w:line="300" w:lineRule="auto"/>
      <w:jc w:val="center"/>
    </w:pPr>
    <w:rPr>
      <w:rFonts w:ascii="宋体" w:hAnsi="宋体" w:cs="宋体"/>
      <w:kern w:val="0"/>
      <w:szCs w:val="20"/>
    </w:rPr>
  </w:style>
  <w:style w:type="paragraph" w:customStyle="1" w:styleId="3042">
    <w:name w:val="表内宋5中1111"/>
    <w:basedOn w:val="1"/>
    <w:uiPriority w:val="0"/>
    <w:pPr>
      <w:widowControl/>
      <w:jc w:val="center"/>
      <w:textAlignment w:val="baseline"/>
    </w:pPr>
    <w:rPr>
      <w:rFonts w:ascii="宋体" w:hAnsi="宋体" w:cs="宋体"/>
      <w:kern w:val="0"/>
      <w:szCs w:val="20"/>
    </w:rPr>
  </w:style>
  <w:style w:type="paragraph" w:customStyle="1" w:styleId="3043">
    <w:name w:val="表内59"/>
    <w:basedOn w:val="1"/>
    <w:uiPriority w:val="0"/>
    <w:pPr>
      <w:widowControl/>
      <w:spacing w:line="300" w:lineRule="auto"/>
      <w:jc w:val="center"/>
    </w:pPr>
    <w:rPr>
      <w:rFonts w:ascii="宋体" w:hAnsi="宋体" w:cs="宋体"/>
      <w:snapToGrid w:val="0"/>
      <w:kern w:val="0"/>
      <w:szCs w:val="21"/>
    </w:rPr>
  </w:style>
  <w:style w:type="paragraph" w:customStyle="1" w:styleId="3044">
    <w:name w:val="Char50"/>
    <w:basedOn w:val="1"/>
    <w:uiPriority w:val="0"/>
    <w:pPr>
      <w:widowControl/>
      <w:ind w:left="-48"/>
      <w:jc w:val="left"/>
    </w:pPr>
    <w:rPr>
      <w:rFonts w:ascii="宋体" w:hAnsi="宋体" w:cs="宋体"/>
      <w:kern w:val="0"/>
      <w:szCs w:val="24"/>
    </w:rPr>
  </w:style>
  <w:style w:type="paragraph" w:customStyle="1" w:styleId="3045">
    <w:name w:val="样式 表内小5 + 黑体 加粗 倾斜 下划线111"/>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3046">
    <w:name w:val="正文格式＝321"/>
    <w:basedOn w:val="207"/>
    <w:next w:val="207"/>
    <w:uiPriority w:val="0"/>
    <w:rPr>
      <w:rFonts w:hAnsi="宋体"/>
      <w:szCs w:val="24"/>
    </w:rPr>
  </w:style>
  <w:style w:type="paragraph" w:customStyle="1" w:styleId="3047">
    <w:name w:val="默认段落字体 Para Char Char Char Char23"/>
    <w:basedOn w:val="1"/>
    <w:uiPriority w:val="0"/>
    <w:pPr>
      <w:widowControl/>
      <w:jc w:val="left"/>
    </w:pPr>
    <w:rPr>
      <w:rFonts w:ascii="宋体" w:hAnsi="宋体" w:cs="宋体"/>
      <w:kern w:val="0"/>
      <w:szCs w:val="24"/>
    </w:rPr>
  </w:style>
  <w:style w:type="paragraph" w:customStyle="1" w:styleId="3048">
    <w:name w:val="表内5中42"/>
    <w:basedOn w:val="1"/>
    <w:uiPriority w:val="0"/>
    <w:pPr>
      <w:widowControl/>
      <w:jc w:val="center"/>
    </w:pPr>
    <w:rPr>
      <w:rFonts w:ascii="宋体" w:hAnsi="宋体" w:cs="宋体"/>
      <w:bCs/>
      <w:kern w:val="0"/>
      <w:szCs w:val="20"/>
    </w:rPr>
  </w:style>
  <w:style w:type="paragraph" w:customStyle="1" w:styleId="3049">
    <w:name w:val="Char34"/>
    <w:basedOn w:val="1"/>
    <w:uiPriority w:val="0"/>
    <w:pPr>
      <w:widowControl/>
      <w:ind w:left="-48"/>
      <w:jc w:val="left"/>
    </w:pPr>
    <w:rPr>
      <w:rFonts w:ascii="宋体" w:hAnsi="宋体" w:cs="宋体"/>
      <w:kern w:val="0"/>
      <w:szCs w:val="24"/>
    </w:rPr>
  </w:style>
  <w:style w:type="paragraph" w:customStyle="1" w:styleId="3050">
    <w:name w:val="Char231"/>
    <w:basedOn w:val="1"/>
    <w:uiPriority w:val="0"/>
    <w:pPr>
      <w:widowControl/>
      <w:ind w:left="-48"/>
      <w:jc w:val="left"/>
    </w:pPr>
    <w:rPr>
      <w:rFonts w:ascii="宋体" w:hAnsi="宋体" w:cs="宋体"/>
      <w:kern w:val="0"/>
      <w:szCs w:val="24"/>
    </w:rPr>
  </w:style>
  <w:style w:type="paragraph" w:customStyle="1" w:styleId="3051">
    <w:name w:val="Char171"/>
    <w:basedOn w:val="1"/>
    <w:uiPriority w:val="0"/>
    <w:pPr>
      <w:widowControl/>
      <w:ind w:left="-48"/>
      <w:jc w:val="left"/>
    </w:pPr>
    <w:rPr>
      <w:rFonts w:ascii="宋体" w:hAnsi="宋体" w:cs="宋体"/>
      <w:kern w:val="0"/>
      <w:szCs w:val="24"/>
    </w:rPr>
  </w:style>
  <w:style w:type="paragraph" w:customStyle="1" w:styleId="3052">
    <w:name w:val="样式 标题 4无效格式无效格式1河石管道4H4H41小小节河石管道41H42H411小小节1河石管道42...111"/>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3053">
    <w:name w:val="表内52"/>
    <w:basedOn w:val="1"/>
    <w:uiPriority w:val="0"/>
    <w:pPr>
      <w:widowControl/>
      <w:spacing w:line="300" w:lineRule="auto"/>
      <w:jc w:val="left"/>
    </w:pPr>
    <w:rPr>
      <w:rFonts w:ascii="宋体" w:hAnsi="宋体" w:cs="宋体"/>
      <w:kern w:val="0"/>
      <w:sz w:val="18"/>
      <w:szCs w:val="20"/>
    </w:rPr>
  </w:style>
  <w:style w:type="paragraph" w:customStyle="1" w:styleId="3054">
    <w:name w:val="燕山正文51"/>
    <w:basedOn w:val="1"/>
    <w:uiPriority w:val="0"/>
    <w:pPr>
      <w:widowControl/>
      <w:tabs>
        <w:tab w:val="left" w:pos="4680"/>
      </w:tabs>
      <w:spacing w:line="480" w:lineRule="exact"/>
      <w:jc w:val="left"/>
    </w:pPr>
    <w:rPr>
      <w:rFonts w:ascii="宋体" w:hAnsi="宋体" w:cs="宋体"/>
      <w:kern w:val="0"/>
      <w:szCs w:val="24"/>
    </w:rPr>
  </w:style>
  <w:style w:type="paragraph" w:customStyle="1" w:styleId="3055">
    <w:name w:val="Char222"/>
    <w:basedOn w:val="1"/>
    <w:uiPriority w:val="0"/>
    <w:pPr>
      <w:widowControl/>
      <w:spacing w:before="156"/>
      <w:jc w:val="left"/>
    </w:pPr>
    <w:rPr>
      <w:rFonts w:ascii="黑体" w:hAnsi="宋体" w:eastAsia="黑体" w:cs="宋体"/>
      <w:kern w:val="0"/>
      <w:sz w:val="32"/>
      <w:szCs w:val="32"/>
    </w:rPr>
  </w:style>
  <w:style w:type="paragraph" w:customStyle="1" w:styleId="3056">
    <w:name w:val="正文修改311"/>
    <w:basedOn w:val="236"/>
    <w:uiPriority w:val="0"/>
    <w:rPr>
      <w:rFonts w:hAnsi="宋体" w:eastAsia="宋体" w:cs="宋体"/>
      <w:color w:val="000000"/>
      <w:szCs w:val="24"/>
    </w:rPr>
  </w:style>
  <w:style w:type="paragraph" w:customStyle="1" w:styleId="3057">
    <w:name w:val="表题312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058">
    <w:name w:val="xl242"/>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059">
    <w:name w:val="表内592"/>
    <w:basedOn w:val="1"/>
    <w:uiPriority w:val="0"/>
    <w:pPr>
      <w:widowControl/>
      <w:spacing w:line="300" w:lineRule="auto"/>
      <w:jc w:val="center"/>
    </w:pPr>
    <w:rPr>
      <w:rFonts w:ascii="宋体" w:hAnsi="宋体" w:cs="宋体"/>
      <w:snapToGrid w:val="0"/>
      <w:kern w:val="0"/>
      <w:szCs w:val="21"/>
    </w:rPr>
  </w:style>
  <w:style w:type="paragraph" w:customStyle="1" w:styleId="3060">
    <w:name w:val="样式 标题 4无效格式无效格式1河石管道4H4H41小小节河石管道41H42H411小小节1河石管道42...12"/>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3061">
    <w:name w:val="表内文字小24"/>
    <w:basedOn w:val="1"/>
    <w:uiPriority w:val="0"/>
    <w:pPr>
      <w:widowControl/>
      <w:jc w:val="center"/>
    </w:pPr>
    <w:rPr>
      <w:rFonts w:ascii="宋体" w:hAnsi="Times" w:cs="宋体"/>
      <w:bCs/>
      <w:color w:val="000000"/>
      <w:kern w:val="0"/>
      <w:szCs w:val="20"/>
    </w:rPr>
  </w:style>
  <w:style w:type="paragraph" w:customStyle="1" w:styleId="3062">
    <w:name w:val="表中文字5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063">
    <w:name w:val="黑体三号411"/>
    <w:basedOn w:val="207"/>
    <w:uiPriority w:val="0"/>
    <w:pPr>
      <w:jc w:val="center"/>
    </w:pPr>
    <w:rPr>
      <w:rFonts w:ascii="黑体" w:hAnsi="宋体" w:eastAsia="黑体" w:cs="宋体"/>
      <w:b/>
      <w:bCs/>
      <w:sz w:val="32"/>
      <w:szCs w:val="20"/>
    </w:rPr>
  </w:style>
  <w:style w:type="paragraph" w:customStyle="1" w:styleId="3064">
    <w:name w:val="Char132"/>
    <w:basedOn w:val="1"/>
    <w:uiPriority w:val="0"/>
    <w:pPr>
      <w:widowControl/>
      <w:ind w:left="-48"/>
      <w:jc w:val="left"/>
    </w:pPr>
    <w:rPr>
      <w:rFonts w:ascii="宋体" w:hAnsi="宋体" w:cs="宋体"/>
      <w:kern w:val="0"/>
      <w:szCs w:val="24"/>
    </w:rPr>
  </w:style>
  <w:style w:type="paragraph" w:customStyle="1" w:styleId="3065">
    <w:name w:val="表内宋5中23"/>
    <w:basedOn w:val="1"/>
    <w:uiPriority w:val="0"/>
    <w:pPr>
      <w:widowControl/>
      <w:jc w:val="center"/>
      <w:textAlignment w:val="baseline"/>
    </w:pPr>
    <w:rPr>
      <w:rFonts w:ascii="宋体" w:hAnsi="宋体" w:cs="宋体"/>
      <w:kern w:val="0"/>
      <w:szCs w:val="20"/>
    </w:rPr>
  </w:style>
  <w:style w:type="paragraph" w:customStyle="1" w:styleId="3066">
    <w:name w:val="Char Char2 Char Char Char Char211"/>
    <w:basedOn w:val="1"/>
    <w:uiPriority w:val="0"/>
    <w:pPr>
      <w:widowControl/>
      <w:jc w:val="left"/>
    </w:pPr>
    <w:rPr>
      <w:rFonts w:ascii="宋体" w:hAnsi="宋体" w:cs="宋体"/>
      <w:kern w:val="0"/>
      <w:szCs w:val="24"/>
    </w:rPr>
  </w:style>
  <w:style w:type="paragraph" w:customStyle="1" w:styleId="3067">
    <w:name w:val="Char3111"/>
    <w:basedOn w:val="1"/>
    <w:uiPriority w:val="0"/>
    <w:pPr>
      <w:widowControl/>
      <w:ind w:left="-48"/>
      <w:jc w:val="left"/>
    </w:pPr>
    <w:rPr>
      <w:rFonts w:ascii="宋体" w:hAnsi="宋体" w:cs="宋体"/>
      <w:kern w:val="0"/>
      <w:szCs w:val="24"/>
    </w:rPr>
  </w:style>
  <w:style w:type="paragraph" w:customStyle="1" w:styleId="3068">
    <w:name w:val="Char135"/>
    <w:basedOn w:val="1"/>
    <w:uiPriority w:val="0"/>
    <w:pPr>
      <w:widowControl/>
      <w:ind w:left="-48"/>
      <w:jc w:val="left"/>
    </w:pPr>
    <w:rPr>
      <w:rFonts w:ascii="宋体" w:hAnsi="宋体" w:cs="宋体"/>
      <w:kern w:val="0"/>
      <w:szCs w:val="24"/>
    </w:rPr>
  </w:style>
  <w:style w:type="paragraph" w:customStyle="1" w:styleId="3069">
    <w:name w:val="表内文字小3142"/>
    <w:basedOn w:val="1"/>
    <w:uiPriority w:val="0"/>
    <w:pPr>
      <w:widowControl/>
      <w:jc w:val="center"/>
    </w:pPr>
    <w:rPr>
      <w:rFonts w:ascii="宋体" w:hAnsi="Times" w:cs="宋体"/>
      <w:bCs/>
      <w:color w:val="003366"/>
      <w:kern w:val="0"/>
      <w:szCs w:val="20"/>
    </w:rPr>
  </w:style>
  <w:style w:type="paragraph" w:customStyle="1" w:styleId="3070">
    <w:name w:val="燕山正文11212"/>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071">
    <w:name w:val="附件6"/>
    <w:basedOn w:val="2"/>
    <w:next w:val="207"/>
    <w:uiPriority w:val="0"/>
    <w:pPr>
      <w:numPr>
        <w:numId w:val="0"/>
      </w:numPr>
      <w:spacing w:before="220"/>
    </w:pPr>
    <w:rPr>
      <w:rFonts w:ascii="黑体" w:eastAsia="黑体"/>
      <w:b w:val="0"/>
      <w:sz w:val="32"/>
      <w:szCs w:val="32"/>
      <w:lang w:val="zh-CN" w:eastAsia="zh-CN"/>
    </w:rPr>
  </w:style>
  <w:style w:type="paragraph" w:customStyle="1" w:styleId="3072">
    <w:name w:val="Char Char2 Char Char Char Char7"/>
    <w:basedOn w:val="1"/>
    <w:uiPriority w:val="0"/>
    <w:pPr>
      <w:widowControl/>
      <w:jc w:val="left"/>
    </w:pPr>
    <w:rPr>
      <w:rFonts w:ascii="宋体" w:hAnsi="宋体" w:cs="宋体"/>
      <w:kern w:val="0"/>
      <w:szCs w:val="24"/>
    </w:rPr>
  </w:style>
  <w:style w:type="paragraph" w:customStyle="1" w:styleId="3073">
    <w:name w:val="xl2412"/>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074">
    <w:name w:val="Char Char Char Char Char Char Char31"/>
    <w:basedOn w:val="1"/>
    <w:uiPriority w:val="0"/>
    <w:pPr>
      <w:widowControl/>
      <w:jc w:val="left"/>
    </w:pPr>
    <w:rPr>
      <w:rFonts w:ascii="宋体" w:hAnsi="宋体" w:cs="宋体"/>
      <w:kern w:val="0"/>
      <w:szCs w:val="24"/>
    </w:rPr>
  </w:style>
  <w:style w:type="paragraph" w:customStyle="1" w:styleId="3075">
    <w:name w:val="表内5中3"/>
    <w:basedOn w:val="1"/>
    <w:uiPriority w:val="0"/>
    <w:pPr>
      <w:widowControl/>
      <w:jc w:val="center"/>
    </w:pPr>
    <w:rPr>
      <w:rFonts w:ascii="宋体" w:hAnsi="宋体" w:cs="Arial"/>
      <w:snapToGrid w:val="0"/>
      <w:color w:val="000000"/>
      <w:kern w:val="0"/>
      <w:szCs w:val="21"/>
    </w:rPr>
  </w:style>
  <w:style w:type="paragraph" w:customStyle="1" w:styleId="3076">
    <w:name w:val="表内5中411"/>
    <w:basedOn w:val="1"/>
    <w:uiPriority w:val="0"/>
    <w:pPr>
      <w:widowControl/>
      <w:jc w:val="center"/>
    </w:pPr>
    <w:rPr>
      <w:rFonts w:ascii="宋体" w:hAnsi="宋体" w:cs="宋体"/>
      <w:bCs/>
      <w:kern w:val="0"/>
      <w:szCs w:val="20"/>
    </w:rPr>
  </w:style>
  <w:style w:type="paragraph" w:customStyle="1" w:styleId="3077">
    <w:name w:val="燕山正文32"/>
    <w:basedOn w:val="1"/>
    <w:uiPriority w:val="0"/>
    <w:pPr>
      <w:widowControl/>
      <w:tabs>
        <w:tab w:val="left" w:pos="4680"/>
      </w:tabs>
      <w:spacing w:line="480" w:lineRule="exact"/>
      <w:jc w:val="left"/>
    </w:pPr>
    <w:rPr>
      <w:rFonts w:ascii="宋体" w:hAnsi="宋体" w:cs="宋体"/>
      <w:kern w:val="0"/>
      <w:szCs w:val="24"/>
    </w:rPr>
  </w:style>
  <w:style w:type="paragraph" w:customStyle="1" w:styleId="3078">
    <w:name w:val="默认段落字体 Para Char Char Char Char111"/>
    <w:basedOn w:val="1"/>
    <w:uiPriority w:val="0"/>
    <w:pPr>
      <w:widowControl/>
      <w:jc w:val="left"/>
    </w:pPr>
    <w:rPr>
      <w:rFonts w:ascii="宋体" w:hAnsi="宋体" w:cs="宋体"/>
      <w:kern w:val="0"/>
      <w:szCs w:val="24"/>
    </w:rPr>
  </w:style>
  <w:style w:type="paragraph" w:customStyle="1" w:styleId="3079">
    <w:name w:val="表内宋51112"/>
    <w:basedOn w:val="433"/>
    <w:uiPriority w:val="0"/>
    <w:rPr>
      <w:rFonts w:ascii="宋体" w:hAnsi="宋体" w:cs="宋体"/>
      <w:color w:val="000000"/>
      <w:sz w:val="21"/>
      <w:szCs w:val="24"/>
    </w:rPr>
  </w:style>
  <w:style w:type="paragraph" w:customStyle="1" w:styleId="3080">
    <w:name w:val="标题4112"/>
    <w:basedOn w:val="1"/>
    <w:uiPriority w:val="0"/>
    <w:pPr>
      <w:widowControl/>
      <w:spacing w:line="300" w:lineRule="auto"/>
      <w:jc w:val="left"/>
    </w:pPr>
    <w:rPr>
      <w:rFonts w:ascii="黑体" w:hAnsi="宋体" w:eastAsia="黑体" w:cs="宋体"/>
      <w:bCs/>
      <w:kern w:val="0"/>
      <w:szCs w:val="20"/>
    </w:rPr>
  </w:style>
  <w:style w:type="paragraph" w:customStyle="1" w:styleId="3081">
    <w:name w:val="表内54133"/>
    <w:basedOn w:val="1"/>
    <w:uiPriority w:val="0"/>
    <w:pPr>
      <w:widowControl/>
      <w:spacing w:line="300" w:lineRule="auto"/>
      <w:jc w:val="center"/>
    </w:pPr>
    <w:rPr>
      <w:rFonts w:ascii="宋体" w:hAnsi="宋体" w:cs="宋体"/>
      <w:kern w:val="0"/>
      <w:szCs w:val="20"/>
    </w:rPr>
  </w:style>
  <w:style w:type="paragraph" w:customStyle="1" w:styleId="3082">
    <w:name w:val="表中文字22"/>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083">
    <w:name w:val="Char114"/>
    <w:basedOn w:val="1"/>
    <w:uiPriority w:val="0"/>
    <w:pPr>
      <w:widowControl/>
      <w:ind w:left="-48"/>
      <w:jc w:val="left"/>
    </w:pPr>
    <w:rPr>
      <w:rFonts w:ascii="宋体" w:hAnsi="宋体" w:cs="宋体"/>
      <w:kern w:val="0"/>
      <w:szCs w:val="24"/>
    </w:rPr>
  </w:style>
  <w:style w:type="paragraph" w:customStyle="1" w:styleId="3084">
    <w:name w:val="福建正文缩进11"/>
    <w:basedOn w:val="307"/>
    <w:uiPriority w:val="0"/>
    <w:pPr>
      <w:ind w:firstLine="567"/>
    </w:pPr>
    <w:rPr>
      <w:rFonts w:hAnsi="Calibri"/>
    </w:rPr>
  </w:style>
  <w:style w:type="paragraph" w:customStyle="1" w:styleId="3085">
    <w:name w:val="标题4313"/>
    <w:basedOn w:val="1"/>
    <w:uiPriority w:val="0"/>
    <w:pPr>
      <w:widowControl/>
      <w:spacing w:line="480" w:lineRule="exact"/>
      <w:jc w:val="center"/>
    </w:pPr>
    <w:rPr>
      <w:rFonts w:ascii="宋体" w:hAnsi="宋体" w:cs="宋体"/>
      <w:kern w:val="0"/>
      <w:szCs w:val="24"/>
    </w:rPr>
  </w:style>
  <w:style w:type="paragraph" w:customStyle="1" w:styleId="3086">
    <w:name w:val="样式1211"/>
    <w:basedOn w:val="1779"/>
    <w:uiPriority w:val="0"/>
    <w:pPr>
      <w:spacing w:line="240" w:lineRule="auto"/>
      <w:ind w:firstLine="0"/>
      <w:jc w:val="center"/>
    </w:pPr>
    <w:rPr>
      <w:rFonts w:cs="Times New Roman"/>
      <w:b/>
      <w:color w:val="auto"/>
      <w:szCs w:val="20"/>
    </w:rPr>
  </w:style>
  <w:style w:type="paragraph" w:customStyle="1" w:styleId="3087">
    <w:name w:val="燕山正文23"/>
    <w:basedOn w:val="1"/>
    <w:uiPriority w:val="0"/>
    <w:pPr>
      <w:widowControl/>
      <w:tabs>
        <w:tab w:val="left" w:pos="4680"/>
      </w:tabs>
      <w:spacing w:line="480" w:lineRule="exact"/>
      <w:jc w:val="left"/>
    </w:pPr>
    <w:rPr>
      <w:rFonts w:ascii="宋体" w:hAnsi="宋体" w:cs="宋体"/>
      <w:kern w:val="0"/>
      <w:szCs w:val="24"/>
    </w:rPr>
  </w:style>
  <w:style w:type="paragraph" w:customStyle="1" w:styleId="3088">
    <w:name w:val="默认段落字体 Para Char Char Char Char33"/>
    <w:basedOn w:val="1"/>
    <w:uiPriority w:val="0"/>
    <w:pPr>
      <w:widowControl/>
      <w:jc w:val="left"/>
    </w:pPr>
    <w:rPr>
      <w:rFonts w:ascii="宋体" w:hAnsi="宋体" w:cs="宋体"/>
      <w:kern w:val="0"/>
      <w:szCs w:val="24"/>
    </w:rPr>
  </w:style>
  <w:style w:type="paragraph" w:customStyle="1" w:styleId="3089">
    <w:name w:val="表内文字小31211"/>
    <w:basedOn w:val="1"/>
    <w:uiPriority w:val="0"/>
    <w:pPr>
      <w:widowControl/>
      <w:jc w:val="center"/>
    </w:pPr>
    <w:rPr>
      <w:rFonts w:ascii="宋体" w:hAnsi="Times" w:cs="宋体"/>
      <w:bCs/>
      <w:color w:val="003366"/>
      <w:kern w:val="0"/>
      <w:szCs w:val="20"/>
    </w:rPr>
  </w:style>
  <w:style w:type="paragraph" w:customStyle="1" w:styleId="3090">
    <w:name w:val="正文格式7"/>
    <w:basedOn w:val="1"/>
    <w:uiPriority w:val="0"/>
    <w:pPr>
      <w:widowControl/>
      <w:ind w:firstLine="482"/>
      <w:jc w:val="left"/>
    </w:pPr>
    <w:rPr>
      <w:rFonts w:ascii="宋体" w:hAnsi="宋体" w:cs="宋体"/>
      <w:kern w:val="0"/>
      <w:szCs w:val="24"/>
    </w:rPr>
  </w:style>
  <w:style w:type="paragraph" w:customStyle="1" w:styleId="3091">
    <w:name w:val="表题153"/>
    <w:basedOn w:val="19"/>
    <w:uiPriority w:val="0"/>
    <w:pPr>
      <w:widowControl/>
      <w:ind w:firstLine="0" w:firstLineChars="0"/>
      <w:jc w:val="center"/>
    </w:pPr>
    <w:rPr>
      <w:rFonts w:ascii="黑体" w:cs="Arial"/>
      <w:b/>
    </w:rPr>
  </w:style>
  <w:style w:type="paragraph" w:customStyle="1" w:styleId="3092">
    <w:name w:val="图题注1"/>
    <w:basedOn w:val="19"/>
    <w:uiPriority w:val="0"/>
    <w:pPr>
      <w:widowControl/>
      <w:ind w:firstLine="0" w:firstLineChars="0"/>
      <w:jc w:val="center"/>
    </w:pPr>
    <w:rPr>
      <w:rFonts w:ascii="黑体" w:cs="宋体"/>
      <w:b/>
      <w:bCs/>
    </w:rPr>
  </w:style>
  <w:style w:type="paragraph" w:customStyle="1" w:styleId="3093">
    <w:name w:val="正文格式911"/>
    <w:basedOn w:val="1"/>
    <w:uiPriority w:val="0"/>
    <w:pPr>
      <w:widowControl/>
      <w:ind w:firstLine="482"/>
      <w:jc w:val="left"/>
    </w:pPr>
    <w:rPr>
      <w:rFonts w:ascii="宋体" w:hAnsi="宋体" w:cs="宋体"/>
      <w:kern w:val="0"/>
      <w:szCs w:val="24"/>
    </w:rPr>
  </w:style>
  <w:style w:type="paragraph" w:customStyle="1" w:styleId="3094">
    <w:name w:val="正文格式33"/>
    <w:basedOn w:val="1"/>
    <w:uiPriority w:val="0"/>
    <w:pPr>
      <w:widowControl/>
      <w:ind w:firstLine="482"/>
      <w:jc w:val="left"/>
    </w:pPr>
    <w:rPr>
      <w:rFonts w:ascii="宋体" w:hAnsi="宋体" w:cs="宋体"/>
      <w:kern w:val="0"/>
      <w:szCs w:val="24"/>
    </w:rPr>
  </w:style>
  <w:style w:type="paragraph" w:customStyle="1" w:styleId="3095">
    <w:name w:val="表格内字体122"/>
    <w:basedOn w:val="207"/>
    <w:next w:val="207"/>
    <w:uiPriority w:val="0"/>
    <w:pPr>
      <w:spacing w:line="240" w:lineRule="auto"/>
      <w:ind w:firstLine="0"/>
      <w:jc w:val="center"/>
    </w:pPr>
    <w:rPr>
      <w:rFonts w:hAnsi="宋体"/>
      <w:sz w:val="21"/>
      <w:szCs w:val="24"/>
    </w:rPr>
  </w:style>
  <w:style w:type="paragraph" w:customStyle="1" w:styleId="3096">
    <w:name w:val="图题2111"/>
    <w:basedOn w:val="207"/>
    <w:next w:val="207"/>
    <w:uiPriority w:val="0"/>
    <w:pPr>
      <w:ind w:firstLine="0"/>
      <w:jc w:val="center"/>
    </w:pPr>
    <w:rPr>
      <w:rFonts w:ascii="黑体" w:hAnsi="宋体" w:eastAsia="黑体" w:cs="宋体"/>
      <w:b/>
      <w:bCs/>
      <w:szCs w:val="24"/>
    </w:rPr>
  </w:style>
  <w:style w:type="paragraph" w:customStyle="1" w:styleId="3097">
    <w:name w:val="正文212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098">
    <w:name w:val="正文格式93"/>
    <w:basedOn w:val="1"/>
    <w:uiPriority w:val="0"/>
    <w:pPr>
      <w:widowControl/>
      <w:ind w:firstLine="482"/>
      <w:jc w:val="left"/>
    </w:pPr>
    <w:rPr>
      <w:rFonts w:ascii="宋体" w:hAnsi="宋体" w:cs="宋体"/>
      <w:kern w:val="0"/>
      <w:szCs w:val="24"/>
    </w:rPr>
  </w:style>
  <w:style w:type="paragraph" w:customStyle="1" w:styleId="3099">
    <w:name w:val="样式 正文缩进 + 宋体 黑色1"/>
    <w:basedOn w:val="307"/>
    <w:uiPriority w:val="0"/>
    <w:rPr>
      <w:color w:val="000000"/>
    </w:rPr>
  </w:style>
  <w:style w:type="paragraph" w:customStyle="1" w:styleId="3100">
    <w:name w:val="正文格式611"/>
    <w:basedOn w:val="1"/>
    <w:uiPriority w:val="0"/>
    <w:pPr>
      <w:widowControl/>
      <w:ind w:firstLine="482"/>
      <w:jc w:val="left"/>
    </w:pPr>
    <w:rPr>
      <w:rFonts w:ascii="宋体" w:hAnsi="宋体" w:cs="宋体"/>
      <w:kern w:val="0"/>
      <w:szCs w:val="24"/>
    </w:rPr>
  </w:style>
  <w:style w:type="paragraph" w:customStyle="1" w:styleId="3101">
    <w:name w:val="正文格式72"/>
    <w:basedOn w:val="1"/>
    <w:uiPriority w:val="0"/>
    <w:pPr>
      <w:widowControl/>
      <w:ind w:firstLine="482"/>
      <w:jc w:val="left"/>
    </w:pPr>
    <w:rPr>
      <w:rFonts w:ascii="宋体" w:hAnsi="宋体" w:cs="宋体"/>
      <w:kern w:val="0"/>
      <w:szCs w:val="24"/>
    </w:rPr>
  </w:style>
  <w:style w:type="paragraph" w:customStyle="1" w:styleId="3102">
    <w:name w:val="表题113"/>
    <w:basedOn w:val="19"/>
    <w:uiPriority w:val="0"/>
    <w:pPr>
      <w:widowControl/>
      <w:ind w:firstLine="0" w:firstLineChars="0"/>
      <w:jc w:val="center"/>
    </w:pPr>
    <w:rPr>
      <w:rFonts w:ascii="黑体" w:cs="Arial"/>
    </w:rPr>
  </w:style>
  <w:style w:type="paragraph" w:customStyle="1" w:styleId="3103">
    <w:name w:val="正文格式9"/>
    <w:basedOn w:val="1"/>
    <w:uiPriority w:val="0"/>
    <w:pPr>
      <w:widowControl/>
      <w:ind w:firstLine="482"/>
      <w:jc w:val="left"/>
    </w:pPr>
    <w:rPr>
      <w:rFonts w:ascii="宋体" w:hAnsi="宋体" w:cs="宋体"/>
      <w:kern w:val="0"/>
      <w:szCs w:val="24"/>
    </w:rPr>
  </w:style>
  <w:style w:type="paragraph" w:customStyle="1" w:styleId="3104">
    <w:name w:val="Char19"/>
    <w:basedOn w:val="1"/>
    <w:uiPriority w:val="0"/>
    <w:pPr>
      <w:widowControl/>
      <w:ind w:left="-45"/>
      <w:jc w:val="left"/>
    </w:pPr>
    <w:rPr>
      <w:rFonts w:ascii="宋体" w:hAnsi="宋体" w:cs="宋体"/>
      <w:kern w:val="0"/>
      <w:szCs w:val="24"/>
    </w:rPr>
  </w:style>
  <w:style w:type="paragraph" w:customStyle="1" w:styleId="3105">
    <w:name w:val="正文格式12"/>
    <w:basedOn w:val="1"/>
    <w:uiPriority w:val="0"/>
    <w:pPr>
      <w:widowControl/>
      <w:ind w:firstLine="482"/>
      <w:jc w:val="left"/>
    </w:pPr>
    <w:rPr>
      <w:rFonts w:ascii="宋体" w:hAnsi="宋体" w:cs="宋体"/>
      <w:kern w:val="0"/>
      <w:szCs w:val="24"/>
    </w:rPr>
  </w:style>
  <w:style w:type="paragraph" w:customStyle="1" w:styleId="3106">
    <w:name w:val="表题112"/>
    <w:basedOn w:val="19"/>
    <w:uiPriority w:val="0"/>
    <w:pPr>
      <w:widowControl/>
      <w:ind w:firstLine="0" w:firstLineChars="0"/>
      <w:jc w:val="center"/>
    </w:pPr>
    <w:rPr>
      <w:rFonts w:ascii="黑体" w:cs="Arial"/>
    </w:rPr>
  </w:style>
  <w:style w:type="paragraph" w:customStyle="1" w:styleId="3107">
    <w:name w:val="图题42"/>
    <w:basedOn w:val="207"/>
    <w:next w:val="207"/>
    <w:uiPriority w:val="0"/>
    <w:pPr>
      <w:ind w:firstLine="0"/>
      <w:jc w:val="center"/>
    </w:pPr>
    <w:rPr>
      <w:rFonts w:ascii="黑体" w:hAnsi="宋体" w:eastAsia="黑体" w:cs="宋体"/>
      <w:b/>
      <w:bCs/>
      <w:szCs w:val="24"/>
    </w:rPr>
  </w:style>
  <w:style w:type="paragraph" w:customStyle="1" w:styleId="3108">
    <w:name w:val="图题10"/>
    <w:basedOn w:val="207"/>
    <w:next w:val="207"/>
    <w:uiPriority w:val="0"/>
    <w:pPr>
      <w:ind w:firstLine="0"/>
      <w:jc w:val="center"/>
    </w:pPr>
    <w:rPr>
      <w:rFonts w:ascii="黑体" w:hAnsi="宋体" w:eastAsia="黑体" w:cs="宋体"/>
      <w:b/>
      <w:bCs/>
      <w:szCs w:val="24"/>
    </w:rPr>
  </w:style>
  <w:style w:type="paragraph" w:customStyle="1" w:styleId="3109">
    <w:name w:val="表格内字体711"/>
    <w:basedOn w:val="207"/>
    <w:next w:val="207"/>
    <w:uiPriority w:val="0"/>
    <w:pPr>
      <w:spacing w:line="240" w:lineRule="auto"/>
      <w:ind w:firstLine="0"/>
      <w:jc w:val="center"/>
    </w:pPr>
    <w:rPr>
      <w:rFonts w:hAnsi="宋体"/>
      <w:sz w:val="21"/>
      <w:szCs w:val="24"/>
    </w:rPr>
  </w:style>
  <w:style w:type="paragraph" w:customStyle="1" w:styleId="3110">
    <w:name w:val="表题1311"/>
    <w:basedOn w:val="19"/>
    <w:uiPriority w:val="0"/>
    <w:pPr>
      <w:widowControl/>
      <w:ind w:firstLine="0" w:firstLineChars="0"/>
      <w:jc w:val="center"/>
    </w:pPr>
    <w:rPr>
      <w:rFonts w:ascii="黑体" w:cs="Arial"/>
      <w:b/>
    </w:rPr>
  </w:style>
  <w:style w:type="paragraph" w:customStyle="1" w:styleId="3111">
    <w:name w:val="表题121"/>
    <w:basedOn w:val="19"/>
    <w:uiPriority w:val="0"/>
    <w:pPr>
      <w:widowControl/>
      <w:ind w:firstLine="0" w:firstLineChars="0"/>
      <w:jc w:val="center"/>
    </w:pPr>
    <w:rPr>
      <w:rFonts w:ascii="黑体" w:cs="Arial"/>
    </w:rPr>
  </w:style>
  <w:style w:type="paragraph" w:customStyle="1" w:styleId="3112">
    <w:name w:val="正文格式13"/>
    <w:basedOn w:val="1"/>
    <w:uiPriority w:val="0"/>
    <w:pPr>
      <w:widowControl/>
      <w:ind w:firstLine="482"/>
      <w:jc w:val="left"/>
    </w:pPr>
    <w:rPr>
      <w:rFonts w:ascii="宋体" w:hAnsi="宋体" w:cs="宋体"/>
      <w:kern w:val="0"/>
      <w:szCs w:val="24"/>
    </w:rPr>
  </w:style>
  <w:style w:type="paragraph" w:customStyle="1" w:styleId="3113">
    <w:name w:val="表格内字体71"/>
    <w:basedOn w:val="207"/>
    <w:next w:val="207"/>
    <w:uiPriority w:val="0"/>
    <w:pPr>
      <w:spacing w:line="240" w:lineRule="auto"/>
      <w:ind w:firstLine="0"/>
      <w:jc w:val="center"/>
    </w:pPr>
    <w:rPr>
      <w:rFonts w:hAnsi="宋体"/>
      <w:sz w:val="21"/>
      <w:szCs w:val="24"/>
    </w:rPr>
  </w:style>
  <w:style w:type="paragraph" w:customStyle="1" w:styleId="3114">
    <w:name w:val="表文字55"/>
    <w:basedOn w:val="1"/>
    <w:uiPriority w:val="0"/>
    <w:pPr>
      <w:widowControl/>
      <w:jc w:val="left"/>
      <w:textAlignment w:val="baseline"/>
    </w:pPr>
    <w:rPr>
      <w:rFonts w:ascii="宋体" w:hAnsi="宋体" w:cs="宋体"/>
      <w:kern w:val="0"/>
      <w:szCs w:val="20"/>
    </w:rPr>
  </w:style>
  <w:style w:type="paragraph" w:customStyle="1" w:styleId="3115">
    <w:name w:val="表格内字体81"/>
    <w:basedOn w:val="207"/>
    <w:next w:val="207"/>
    <w:uiPriority w:val="0"/>
    <w:pPr>
      <w:spacing w:line="240" w:lineRule="auto"/>
      <w:ind w:firstLine="0"/>
      <w:jc w:val="center"/>
    </w:pPr>
    <w:rPr>
      <w:rFonts w:hAnsi="宋体"/>
      <w:sz w:val="21"/>
      <w:szCs w:val="24"/>
    </w:rPr>
  </w:style>
  <w:style w:type="paragraph" w:customStyle="1" w:styleId="3116">
    <w:name w:val="默认段落字体 Para Char12"/>
    <w:basedOn w:val="1"/>
    <w:next w:val="1"/>
    <w:uiPriority w:val="0"/>
    <w:pPr>
      <w:widowControl/>
      <w:spacing w:line="480" w:lineRule="exact"/>
      <w:jc w:val="left"/>
    </w:pPr>
    <w:rPr>
      <w:rFonts w:ascii="宋体" w:hAnsi="宋体" w:eastAsia="汉鼎简书宋" w:cs="宋体"/>
      <w:kern w:val="0"/>
      <w:szCs w:val="24"/>
    </w:rPr>
  </w:style>
  <w:style w:type="paragraph" w:customStyle="1" w:styleId="3117">
    <w:name w:val="样式 正文缩进 + 宋体 黑色2"/>
    <w:basedOn w:val="307"/>
    <w:uiPriority w:val="0"/>
    <w:rPr>
      <w:color w:val="000000"/>
    </w:rPr>
  </w:style>
  <w:style w:type="paragraph" w:customStyle="1" w:styleId="3118">
    <w:name w:val="表题1212"/>
    <w:basedOn w:val="19"/>
    <w:uiPriority w:val="0"/>
    <w:pPr>
      <w:widowControl/>
      <w:ind w:firstLine="0" w:firstLineChars="0"/>
      <w:jc w:val="center"/>
    </w:pPr>
    <w:rPr>
      <w:rFonts w:ascii="黑体" w:cs="Arial"/>
    </w:rPr>
  </w:style>
  <w:style w:type="paragraph" w:customStyle="1" w:styleId="3119">
    <w:name w:val="图题63"/>
    <w:basedOn w:val="207"/>
    <w:next w:val="207"/>
    <w:uiPriority w:val="0"/>
    <w:pPr>
      <w:ind w:firstLine="0"/>
      <w:jc w:val="center"/>
    </w:pPr>
    <w:rPr>
      <w:rFonts w:ascii="黑体" w:hAnsi="宋体" w:eastAsia="黑体" w:cs="宋体"/>
      <w:b/>
      <w:bCs/>
      <w:szCs w:val="24"/>
    </w:rPr>
  </w:style>
  <w:style w:type="paragraph" w:customStyle="1" w:styleId="3120">
    <w:name w:val="图题8"/>
    <w:basedOn w:val="207"/>
    <w:next w:val="207"/>
    <w:uiPriority w:val="0"/>
    <w:pPr>
      <w:ind w:firstLine="0"/>
      <w:jc w:val="center"/>
    </w:pPr>
    <w:rPr>
      <w:rFonts w:ascii="黑体" w:hAnsi="宋体" w:eastAsia="黑体" w:cs="宋体"/>
      <w:b/>
      <w:bCs/>
      <w:szCs w:val="24"/>
    </w:rPr>
  </w:style>
  <w:style w:type="paragraph" w:customStyle="1" w:styleId="3121">
    <w:name w:val="表题18"/>
    <w:basedOn w:val="19"/>
    <w:uiPriority w:val="0"/>
    <w:pPr>
      <w:widowControl/>
      <w:ind w:firstLine="0" w:firstLineChars="0"/>
      <w:jc w:val="center"/>
    </w:pPr>
    <w:rPr>
      <w:rFonts w:ascii="黑体" w:cs="Arial"/>
      <w:b/>
    </w:rPr>
  </w:style>
  <w:style w:type="paragraph" w:customStyle="1" w:styleId="3122">
    <w:name w:val="默认段落字体 Para Char22"/>
    <w:basedOn w:val="1"/>
    <w:next w:val="1"/>
    <w:uiPriority w:val="0"/>
    <w:pPr>
      <w:widowControl/>
      <w:spacing w:line="480" w:lineRule="exact"/>
      <w:jc w:val="left"/>
    </w:pPr>
    <w:rPr>
      <w:rFonts w:ascii="宋体" w:hAnsi="宋体" w:eastAsia="汉鼎简书宋" w:cs="宋体"/>
      <w:kern w:val="0"/>
      <w:szCs w:val="24"/>
    </w:rPr>
  </w:style>
  <w:style w:type="paragraph" w:customStyle="1" w:styleId="3123">
    <w:name w:val="默认段落字体 Para Char14"/>
    <w:basedOn w:val="1"/>
    <w:next w:val="1"/>
    <w:uiPriority w:val="0"/>
    <w:pPr>
      <w:widowControl/>
      <w:spacing w:line="480" w:lineRule="exact"/>
      <w:jc w:val="left"/>
    </w:pPr>
    <w:rPr>
      <w:rFonts w:ascii="宋体" w:hAnsi="宋体" w:eastAsia="汉鼎简书宋" w:cs="宋体"/>
      <w:kern w:val="0"/>
      <w:szCs w:val="24"/>
    </w:rPr>
  </w:style>
  <w:style w:type="paragraph" w:customStyle="1" w:styleId="3124">
    <w:name w:val="正文格式24"/>
    <w:basedOn w:val="1"/>
    <w:uiPriority w:val="0"/>
    <w:pPr>
      <w:widowControl/>
      <w:ind w:firstLine="482"/>
      <w:jc w:val="left"/>
    </w:pPr>
    <w:rPr>
      <w:rFonts w:ascii="宋体" w:hAnsi="宋体" w:cs="宋体"/>
      <w:kern w:val="0"/>
      <w:szCs w:val="24"/>
    </w:rPr>
  </w:style>
  <w:style w:type="paragraph" w:customStyle="1" w:styleId="3125">
    <w:name w:val="正文格式51"/>
    <w:basedOn w:val="1"/>
    <w:uiPriority w:val="0"/>
    <w:pPr>
      <w:widowControl/>
      <w:ind w:firstLine="482"/>
      <w:jc w:val="left"/>
    </w:pPr>
    <w:rPr>
      <w:rFonts w:ascii="宋体" w:hAnsi="宋体" w:cs="宋体"/>
      <w:kern w:val="0"/>
      <w:szCs w:val="24"/>
    </w:rPr>
  </w:style>
  <w:style w:type="paragraph" w:customStyle="1" w:styleId="3126">
    <w:name w:val="图表题2"/>
    <w:basedOn w:val="207"/>
    <w:next w:val="207"/>
    <w:uiPriority w:val="0"/>
    <w:pPr>
      <w:ind w:firstLine="0"/>
      <w:jc w:val="center"/>
    </w:pPr>
    <w:rPr>
      <w:rFonts w:ascii="黑体" w:hAnsi="宋体" w:eastAsia="黑体" w:cs="宋体"/>
      <w:b/>
      <w:bCs/>
      <w:szCs w:val="24"/>
    </w:rPr>
  </w:style>
  <w:style w:type="paragraph" w:customStyle="1" w:styleId="3127">
    <w:name w:val="默认段落字体 Para Char5"/>
    <w:basedOn w:val="1"/>
    <w:next w:val="1"/>
    <w:uiPriority w:val="0"/>
    <w:pPr>
      <w:widowControl/>
      <w:spacing w:line="480" w:lineRule="exact"/>
      <w:jc w:val="left"/>
    </w:pPr>
    <w:rPr>
      <w:rFonts w:ascii="宋体" w:hAnsi="宋体" w:eastAsia="汉鼎简书宋" w:cs="宋体"/>
      <w:kern w:val="0"/>
      <w:szCs w:val="24"/>
    </w:rPr>
  </w:style>
  <w:style w:type="paragraph" w:customStyle="1" w:styleId="3128">
    <w:name w:val="表格111"/>
    <w:basedOn w:val="1"/>
    <w:uiPriority w:val="0"/>
    <w:pPr>
      <w:widowControl/>
      <w:jc w:val="center"/>
      <w:textAlignment w:val="baseline"/>
    </w:pPr>
    <w:rPr>
      <w:rFonts w:ascii="宋体" w:hAnsi="宋体" w:cs="宋体"/>
      <w:kern w:val="0"/>
      <w:szCs w:val="20"/>
    </w:rPr>
  </w:style>
  <w:style w:type="paragraph" w:customStyle="1" w:styleId="3129">
    <w:name w:val="表格内字体213"/>
    <w:basedOn w:val="207"/>
    <w:next w:val="207"/>
    <w:uiPriority w:val="0"/>
    <w:pPr>
      <w:spacing w:line="240" w:lineRule="auto"/>
      <w:ind w:firstLine="0"/>
      <w:jc w:val="center"/>
    </w:pPr>
    <w:rPr>
      <w:rFonts w:hAnsi="宋体"/>
      <w:sz w:val="21"/>
      <w:szCs w:val="24"/>
    </w:rPr>
  </w:style>
  <w:style w:type="paragraph" w:customStyle="1" w:styleId="3130">
    <w:name w:val="表文字533"/>
    <w:basedOn w:val="1"/>
    <w:uiPriority w:val="0"/>
    <w:pPr>
      <w:widowControl/>
      <w:jc w:val="left"/>
      <w:textAlignment w:val="baseline"/>
    </w:pPr>
    <w:rPr>
      <w:rFonts w:ascii="宋体" w:hAnsi="宋体" w:cs="宋体"/>
      <w:kern w:val="0"/>
      <w:szCs w:val="20"/>
    </w:rPr>
  </w:style>
  <w:style w:type="paragraph" w:customStyle="1" w:styleId="3131">
    <w:name w:val="图题1111"/>
    <w:basedOn w:val="207"/>
    <w:next w:val="207"/>
    <w:uiPriority w:val="0"/>
    <w:pPr>
      <w:ind w:firstLine="0"/>
      <w:jc w:val="center"/>
    </w:pPr>
    <w:rPr>
      <w:rFonts w:ascii="黑体" w:hAnsi="宋体" w:eastAsia="黑体" w:cs="宋体"/>
      <w:b/>
      <w:bCs/>
      <w:szCs w:val="24"/>
    </w:rPr>
  </w:style>
  <w:style w:type="paragraph" w:customStyle="1" w:styleId="3132">
    <w:name w:val="图表题11"/>
    <w:basedOn w:val="207"/>
    <w:next w:val="207"/>
    <w:uiPriority w:val="0"/>
    <w:pPr>
      <w:ind w:firstLine="0"/>
      <w:jc w:val="center"/>
    </w:pPr>
    <w:rPr>
      <w:rFonts w:ascii="黑体" w:hAnsi="宋体" w:eastAsia="黑体" w:cs="宋体"/>
      <w:b/>
      <w:bCs/>
      <w:szCs w:val="24"/>
    </w:rPr>
  </w:style>
  <w:style w:type="paragraph" w:customStyle="1" w:styleId="3133">
    <w:name w:val="表文字512"/>
    <w:basedOn w:val="1"/>
    <w:uiPriority w:val="0"/>
    <w:pPr>
      <w:widowControl/>
      <w:jc w:val="left"/>
      <w:textAlignment w:val="baseline"/>
    </w:pPr>
    <w:rPr>
      <w:rFonts w:ascii="宋体" w:hAnsi="宋体" w:cs="宋体"/>
      <w:kern w:val="0"/>
      <w:szCs w:val="20"/>
    </w:rPr>
  </w:style>
  <w:style w:type="paragraph" w:customStyle="1" w:styleId="3134">
    <w:name w:val="表题133"/>
    <w:basedOn w:val="19"/>
    <w:uiPriority w:val="0"/>
    <w:pPr>
      <w:widowControl/>
      <w:ind w:firstLine="0" w:firstLineChars="0"/>
      <w:jc w:val="center"/>
    </w:pPr>
    <w:rPr>
      <w:rFonts w:ascii="黑体" w:cs="Arial"/>
      <w:b/>
    </w:rPr>
  </w:style>
  <w:style w:type="paragraph" w:customStyle="1" w:styleId="3135">
    <w:name w:val="正文213"/>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136">
    <w:name w:val="图题51"/>
    <w:basedOn w:val="207"/>
    <w:next w:val="207"/>
    <w:uiPriority w:val="0"/>
    <w:pPr>
      <w:ind w:firstLine="0"/>
      <w:jc w:val="center"/>
    </w:pPr>
    <w:rPr>
      <w:rFonts w:ascii="黑体" w:hAnsi="宋体" w:eastAsia="黑体" w:cs="宋体"/>
      <w:b/>
      <w:bCs/>
      <w:szCs w:val="24"/>
    </w:rPr>
  </w:style>
  <w:style w:type="paragraph" w:customStyle="1" w:styleId="3137">
    <w:name w:val="图题73"/>
    <w:basedOn w:val="207"/>
    <w:next w:val="207"/>
    <w:uiPriority w:val="0"/>
    <w:pPr>
      <w:ind w:firstLine="0"/>
      <w:jc w:val="center"/>
    </w:pPr>
    <w:rPr>
      <w:rFonts w:ascii="黑体" w:hAnsi="宋体" w:eastAsia="黑体" w:cs="宋体"/>
      <w:b/>
      <w:bCs/>
      <w:szCs w:val="24"/>
    </w:rPr>
  </w:style>
  <w:style w:type="paragraph" w:customStyle="1" w:styleId="3138">
    <w:name w:val="表格内字体10"/>
    <w:basedOn w:val="207"/>
    <w:next w:val="207"/>
    <w:uiPriority w:val="0"/>
    <w:pPr>
      <w:spacing w:line="240" w:lineRule="auto"/>
      <w:ind w:firstLine="0"/>
      <w:jc w:val="center"/>
    </w:pPr>
    <w:rPr>
      <w:rFonts w:hAnsi="宋体"/>
      <w:sz w:val="21"/>
      <w:szCs w:val="21"/>
    </w:rPr>
  </w:style>
  <w:style w:type="paragraph" w:customStyle="1" w:styleId="3139">
    <w:name w:val="样式44"/>
    <w:basedOn w:val="27"/>
    <w:uiPriority w:val="0"/>
    <w:pPr>
      <w:widowControl/>
      <w:spacing w:after="120" w:line="240" w:lineRule="auto"/>
      <w:jc w:val="left"/>
    </w:pPr>
    <w:rPr>
      <w:sz w:val="21"/>
      <w:szCs w:val="24"/>
    </w:rPr>
  </w:style>
  <w:style w:type="paragraph" w:customStyle="1" w:styleId="3140">
    <w:name w:val="图题511"/>
    <w:basedOn w:val="207"/>
    <w:next w:val="207"/>
    <w:uiPriority w:val="0"/>
    <w:pPr>
      <w:ind w:firstLine="0"/>
      <w:jc w:val="center"/>
    </w:pPr>
    <w:rPr>
      <w:rFonts w:ascii="黑体" w:hAnsi="宋体" w:eastAsia="黑体" w:cs="宋体"/>
      <w:b/>
      <w:bCs/>
      <w:szCs w:val="24"/>
    </w:rPr>
  </w:style>
  <w:style w:type="paragraph" w:customStyle="1" w:styleId="3141">
    <w:name w:val="图表题1"/>
    <w:basedOn w:val="207"/>
    <w:next w:val="207"/>
    <w:uiPriority w:val="0"/>
    <w:pPr>
      <w:ind w:firstLine="0"/>
      <w:jc w:val="center"/>
    </w:pPr>
    <w:rPr>
      <w:rFonts w:ascii="黑体" w:hAnsi="宋体" w:eastAsia="黑体" w:cs="宋体"/>
      <w:b/>
      <w:bCs/>
      <w:szCs w:val="24"/>
    </w:rPr>
  </w:style>
  <w:style w:type="paragraph" w:customStyle="1" w:styleId="3142">
    <w:name w:val="样式 正文缩进 + 宋体 黑色 首行缩进:  2 字符3"/>
    <w:basedOn w:val="307"/>
    <w:uiPriority w:val="0"/>
    <w:pPr>
      <w:ind w:firstLine="480"/>
    </w:pPr>
    <w:rPr>
      <w:rFonts w:cs="宋体"/>
      <w:color w:val="FF00FF"/>
    </w:rPr>
  </w:style>
  <w:style w:type="paragraph" w:customStyle="1" w:styleId="3143">
    <w:name w:val="正文格式511"/>
    <w:basedOn w:val="1"/>
    <w:uiPriority w:val="0"/>
    <w:pPr>
      <w:widowControl/>
      <w:ind w:firstLine="482"/>
      <w:jc w:val="left"/>
    </w:pPr>
    <w:rPr>
      <w:rFonts w:ascii="宋体" w:hAnsi="宋体" w:cs="宋体"/>
      <w:kern w:val="0"/>
      <w:szCs w:val="24"/>
    </w:rPr>
  </w:style>
  <w:style w:type="paragraph" w:customStyle="1" w:styleId="3144">
    <w:name w:val="表文字5122"/>
    <w:basedOn w:val="1"/>
    <w:uiPriority w:val="0"/>
    <w:pPr>
      <w:widowControl/>
      <w:jc w:val="left"/>
      <w:textAlignment w:val="baseline"/>
    </w:pPr>
    <w:rPr>
      <w:rFonts w:ascii="宋体" w:hAnsi="宋体" w:cs="宋体"/>
      <w:kern w:val="0"/>
      <w:szCs w:val="20"/>
    </w:rPr>
  </w:style>
  <w:style w:type="paragraph" w:customStyle="1" w:styleId="3145">
    <w:name w:val="表文字5213"/>
    <w:basedOn w:val="1"/>
    <w:qFormat/>
    <w:uiPriority w:val="0"/>
    <w:pPr>
      <w:widowControl/>
      <w:jc w:val="left"/>
      <w:textAlignment w:val="baseline"/>
    </w:pPr>
    <w:rPr>
      <w:rFonts w:ascii="宋体" w:hAnsi="宋体" w:cs="宋体"/>
      <w:kern w:val="0"/>
      <w:szCs w:val="20"/>
    </w:rPr>
  </w:style>
  <w:style w:type="paragraph" w:customStyle="1" w:styleId="3146">
    <w:name w:val="正文格式711"/>
    <w:basedOn w:val="1"/>
    <w:uiPriority w:val="0"/>
    <w:pPr>
      <w:widowControl/>
      <w:ind w:firstLine="482"/>
      <w:jc w:val="left"/>
    </w:pPr>
    <w:rPr>
      <w:rFonts w:ascii="宋体" w:hAnsi="宋体" w:cs="宋体"/>
      <w:kern w:val="0"/>
      <w:szCs w:val="24"/>
    </w:rPr>
  </w:style>
  <w:style w:type="paragraph" w:customStyle="1" w:styleId="3147">
    <w:name w:val="表格内字体82"/>
    <w:basedOn w:val="207"/>
    <w:next w:val="207"/>
    <w:uiPriority w:val="0"/>
    <w:pPr>
      <w:spacing w:line="240" w:lineRule="auto"/>
      <w:ind w:firstLine="0"/>
      <w:jc w:val="center"/>
    </w:pPr>
    <w:rPr>
      <w:rFonts w:hAnsi="宋体"/>
      <w:sz w:val="21"/>
      <w:szCs w:val="24"/>
    </w:rPr>
  </w:style>
  <w:style w:type="paragraph" w:customStyle="1" w:styleId="3148">
    <w:name w:val="正文格式43"/>
    <w:basedOn w:val="1"/>
    <w:uiPriority w:val="0"/>
    <w:pPr>
      <w:widowControl/>
      <w:ind w:firstLine="482"/>
      <w:jc w:val="left"/>
    </w:pPr>
    <w:rPr>
      <w:rFonts w:ascii="宋体" w:hAnsi="宋体" w:cs="宋体"/>
      <w:kern w:val="0"/>
      <w:szCs w:val="24"/>
    </w:rPr>
  </w:style>
  <w:style w:type="paragraph" w:customStyle="1" w:styleId="3149">
    <w:name w:val="附件311"/>
    <w:basedOn w:val="2"/>
    <w:next w:val="207"/>
    <w:uiPriority w:val="0"/>
    <w:pPr>
      <w:numPr>
        <w:numId w:val="0"/>
      </w:numPr>
      <w:spacing w:after="120"/>
      <w:jc w:val="left"/>
    </w:pPr>
    <w:rPr>
      <w:rFonts w:ascii="黑体" w:eastAsia="黑体"/>
      <w:b w:val="0"/>
      <w:sz w:val="32"/>
      <w:szCs w:val="32"/>
      <w:lang w:val="zh-CN" w:eastAsia="zh-CN"/>
    </w:rPr>
  </w:style>
  <w:style w:type="paragraph" w:customStyle="1" w:styleId="3150">
    <w:name w:val="样式 正文缩进 + 宋体 黑色11"/>
    <w:basedOn w:val="307"/>
    <w:uiPriority w:val="0"/>
    <w:rPr>
      <w:color w:val="000000"/>
    </w:rPr>
  </w:style>
  <w:style w:type="paragraph" w:customStyle="1" w:styleId="3151">
    <w:name w:val="样式 表格内字体 +3"/>
    <w:basedOn w:val="347"/>
    <w:uiPriority w:val="0"/>
    <w:pPr>
      <w:spacing w:line="280" w:lineRule="exact"/>
      <w:ind w:firstLine="36"/>
      <w:jc w:val="both"/>
    </w:pPr>
    <w:rPr>
      <w:rFonts w:hAnsi="宋体"/>
      <w:sz w:val="21"/>
      <w:szCs w:val="24"/>
    </w:rPr>
  </w:style>
  <w:style w:type="paragraph" w:customStyle="1" w:styleId="3152">
    <w:name w:val="表格内字体113"/>
    <w:basedOn w:val="207"/>
    <w:uiPriority w:val="0"/>
    <w:pPr>
      <w:spacing w:line="240" w:lineRule="auto"/>
      <w:ind w:firstLine="0"/>
      <w:jc w:val="center"/>
    </w:pPr>
    <w:rPr>
      <w:rFonts w:hAnsi="Times New Roman" w:cs="宋体"/>
      <w:sz w:val="21"/>
      <w:szCs w:val="20"/>
    </w:rPr>
  </w:style>
  <w:style w:type="paragraph" w:customStyle="1" w:styleId="3153">
    <w:name w:val="图题11"/>
    <w:basedOn w:val="207"/>
    <w:next w:val="207"/>
    <w:uiPriority w:val="0"/>
    <w:pPr>
      <w:ind w:firstLine="0"/>
      <w:jc w:val="center"/>
    </w:pPr>
    <w:rPr>
      <w:rFonts w:ascii="黑体" w:hAnsi="宋体" w:eastAsia="黑体" w:cs="宋体"/>
      <w:b/>
      <w:bCs/>
      <w:szCs w:val="24"/>
    </w:rPr>
  </w:style>
  <w:style w:type="paragraph" w:customStyle="1" w:styleId="3154">
    <w:name w:val="表格内字体222"/>
    <w:basedOn w:val="207"/>
    <w:next w:val="207"/>
    <w:uiPriority w:val="0"/>
    <w:pPr>
      <w:spacing w:line="240" w:lineRule="auto"/>
      <w:ind w:firstLine="0"/>
      <w:jc w:val="center"/>
    </w:pPr>
    <w:rPr>
      <w:rFonts w:hAnsi="宋体"/>
      <w:sz w:val="21"/>
      <w:szCs w:val="24"/>
    </w:rPr>
  </w:style>
  <w:style w:type="paragraph" w:customStyle="1" w:styleId="3155">
    <w:name w:val="图题311"/>
    <w:basedOn w:val="207"/>
    <w:next w:val="207"/>
    <w:uiPriority w:val="0"/>
    <w:pPr>
      <w:ind w:firstLine="0"/>
      <w:jc w:val="center"/>
    </w:pPr>
    <w:rPr>
      <w:rFonts w:ascii="黑体" w:hAnsi="宋体" w:eastAsia="黑体" w:cs="宋体"/>
      <w:b/>
      <w:bCs/>
      <w:szCs w:val="24"/>
    </w:rPr>
  </w:style>
  <w:style w:type="paragraph" w:customStyle="1" w:styleId="3156">
    <w:name w:val="正文格式213"/>
    <w:basedOn w:val="1"/>
    <w:uiPriority w:val="0"/>
    <w:pPr>
      <w:widowControl/>
      <w:ind w:firstLine="482"/>
      <w:jc w:val="left"/>
    </w:pPr>
    <w:rPr>
      <w:rFonts w:ascii="宋体" w:hAnsi="宋体" w:cs="宋体"/>
      <w:kern w:val="0"/>
      <w:szCs w:val="24"/>
    </w:rPr>
  </w:style>
  <w:style w:type="paragraph" w:customStyle="1" w:styleId="3157">
    <w:name w:val="表题1121"/>
    <w:basedOn w:val="19"/>
    <w:uiPriority w:val="0"/>
    <w:pPr>
      <w:widowControl/>
      <w:ind w:firstLine="0" w:firstLineChars="0"/>
      <w:jc w:val="center"/>
    </w:pPr>
    <w:rPr>
      <w:rFonts w:ascii="黑体" w:cs="Arial"/>
    </w:rPr>
  </w:style>
  <w:style w:type="paragraph" w:customStyle="1" w:styleId="3158">
    <w:name w:val="正文格式83"/>
    <w:basedOn w:val="1"/>
    <w:uiPriority w:val="0"/>
    <w:pPr>
      <w:widowControl/>
      <w:ind w:firstLine="482"/>
      <w:jc w:val="left"/>
    </w:pPr>
    <w:rPr>
      <w:rFonts w:ascii="宋体" w:hAnsi="宋体" w:cs="宋体"/>
      <w:kern w:val="0"/>
      <w:szCs w:val="24"/>
    </w:rPr>
  </w:style>
  <w:style w:type="paragraph" w:customStyle="1" w:styleId="3159">
    <w:name w:val="表格内字体112"/>
    <w:basedOn w:val="207"/>
    <w:uiPriority w:val="0"/>
    <w:pPr>
      <w:spacing w:line="240" w:lineRule="auto"/>
      <w:ind w:firstLine="0"/>
      <w:jc w:val="center"/>
    </w:pPr>
    <w:rPr>
      <w:rFonts w:hAnsi="Times New Roman" w:cs="宋体"/>
      <w:sz w:val="21"/>
      <w:szCs w:val="20"/>
    </w:rPr>
  </w:style>
  <w:style w:type="paragraph" w:customStyle="1" w:styleId="3160">
    <w:name w:val="正文格式84"/>
    <w:basedOn w:val="1"/>
    <w:uiPriority w:val="0"/>
    <w:pPr>
      <w:widowControl/>
      <w:ind w:firstLine="482"/>
      <w:jc w:val="left"/>
    </w:pPr>
    <w:rPr>
      <w:rFonts w:ascii="宋体" w:hAnsi="宋体" w:cs="宋体"/>
      <w:kern w:val="0"/>
      <w:szCs w:val="24"/>
    </w:rPr>
  </w:style>
  <w:style w:type="paragraph" w:customStyle="1" w:styleId="3161">
    <w:name w:val="注释2"/>
    <w:basedOn w:val="207"/>
    <w:next w:val="27"/>
    <w:uiPriority w:val="0"/>
    <w:pPr>
      <w:spacing w:before="120" w:after="120" w:line="240" w:lineRule="auto"/>
      <w:ind w:firstLine="200"/>
    </w:pPr>
    <w:rPr>
      <w:rFonts w:hAnsi="Times New Roman" w:cs="宋体"/>
      <w:sz w:val="21"/>
      <w:szCs w:val="20"/>
    </w:rPr>
  </w:style>
  <w:style w:type="paragraph" w:customStyle="1" w:styleId="3162">
    <w:name w:val="表题152"/>
    <w:basedOn w:val="19"/>
    <w:uiPriority w:val="0"/>
    <w:pPr>
      <w:widowControl/>
      <w:ind w:firstLine="0" w:firstLineChars="0"/>
      <w:jc w:val="center"/>
    </w:pPr>
    <w:rPr>
      <w:rFonts w:ascii="黑体" w:cs="Arial"/>
      <w:b/>
    </w:rPr>
  </w:style>
  <w:style w:type="paragraph" w:customStyle="1" w:styleId="3163">
    <w:name w:val="表格内字体62"/>
    <w:basedOn w:val="207"/>
    <w:next w:val="207"/>
    <w:uiPriority w:val="0"/>
    <w:pPr>
      <w:spacing w:line="240" w:lineRule="auto"/>
      <w:ind w:firstLine="0"/>
      <w:jc w:val="center"/>
    </w:pPr>
    <w:rPr>
      <w:rFonts w:hAnsi="宋体"/>
      <w:sz w:val="21"/>
      <w:szCs w:val="24"/>
    </w:rPr>
  </w:style>
  <w:style w:type="paragraph" w:customStyle="1" w:styleId="3164">
    <w:name w:val="表文字5111"/>
    <w:basedOn w:val="1"/>
    <w:uiPriority w:val="0"/>
    <w:pPr>
      <w:widowControl/>
      <w:jc w:val="left"/>
      <w:textAlignment w:val="baseline"/>
    </w:pPr>
    <w:rPr>
      <w:rFonts w:ascii="宋体" w:hAnsi="宋体" w:cs="宋体"/>
      <w:kern w:val="0"/>
      <w:szCs w:val="20"/>
    </w:rPr>
  </w:style>
  <w:style w:type="paragraph" w:customStyle="1" w:styleId="3165">
    <w:name w:val="表文字5211"/>
    <w:basedOn w:val="1"/>
    <w:uiPriority w:val="0"/>
    <w:pPr>
      <w:widowControl/>
      <w:jc w:val="left"/>
      <w:textAlignment w:val="baseline"/>
    </w:pPr>
    <w:rPr>
      <w:rFonts w:ascii="宋体" w:hAnsi="宋体" w:cs="宋体"/>
      <w:kern w:val="0"/>
      <w:szCs w:val="20"/>
    </w:rPr>
  </w:style>
  <w:style w:type="paragraph" w:customStyle="1" w:styleId="3166">
    <w:name w:val="正文格式62"/>
    <w:basedOn w:val="1"/>
    <w:uiPriority w:val="0"/>
    <w:pPr>
      <w:widowControl/>
      <w:ind w:firstLine="482"/>
      <w:jc w:val="left"/>
    </w:pPr>
    <w:rPr>
      <w:rFonts w:ascii="宋体" w:hAnsi="宋体" w:cs="宋体"/>
      <w:kern w:val="0"/>
      <w:szCs w:val="24"/>
    </w:rPr>
  </w:style>
  <w:style w:type="paragraph" w:customStyle="1" w:styleId="3167">
    <w:name w:val="图表题4"/>
    <w:basedOn w:val="207"/>
    <w:next w:val="207"/>
    <w:uiPriority w:val="0"/>
    <w:pPr>
      <w:ind w:firstLine="0"/>
      <w:jc w:val="center"/>
    </w:pPr>
    <w:rPr>
      <w:rFonts w:ascii="黑体" w:hAnsi="宋体" w:eastAsia="黑体" w:cs="宋体"/>
      <w:b/>
      <w:bCs/>
      <w:szCs w:val="24"/>
    </w:rPr>
  </w:style>
  <w:style w:type="paragraph" w:customStyle="1" w:styleId="3168">
    <w:name w:val="表格内字体221"/>
    <w:basedOn w:val="207"/>
    <w:next w:val="207"/>
    <w:uiPriority w:val="0"/>
    <w:pPr>
      <w:spacing w:line="240" w:lineRule="auto"/>
      <w:ind w:firstLine="0"/>
      <w:jc w:val="center"/>
    </w:pPr>
    <w:rPr>
      <w:rFonts w:hAnsi="宋体"/>
      <w:sz w:val="21"/>
      <w:szCs w:val="24"/>
    </w:rPr>
  </w:style>
  <w:style w:type="paragraph" w:customStyle="1" w:styleId="3169">
    <w:name w:val="表内文字小111"/>
    <w:basedOn w:val="1"/>
    <w:uiPriority w:val="0"/>
    <w:pPr>
      <w:widowControl/>
      <w:jc w:val="left"/>
    </w:pPr>
    <w:rPr>
      <w:rFonts w:ascii="宋体" w:hAnsi="Times" w:cs="宋体"/>
      <w:kern w:val="0"/>
      <w:szCs w:val="20"/>
    </w:rPr>
  </w:style>
  <w:style w:type="paragraph" w:customStyle="1" w:styleId="3170">
    <w:name w:val="样式 样式 宋体 + 首行缩进:  2 字符13"/>
    <w:basedOn w:val="1"/>
    <w:uiPriority w:val="0"/>
    <w:pPr>
      <w:widowControl/>
      <w:ind w:firstLine="480"/>
      <w:jc w:val="left"/>
    </w:pPr>
    <w:rPr>
      <w:rFonts w:ascii="宋体" w:hAnsi="宋体" w:cs="宋体"/>
      <w:kern w:val="0"/>
      <w:szCs w:val="24"/>
    </w:rPr>
  </w:style>
  <w:style w:type="paragraph" w:customStyle="1" w:styleId="3171">
    <w:name w:val="表格内字体212"/>
    <w:basedOn w:val="207"/>
    <w:next w:val="207"/>
    <w:uiPriority w:val="0"/>
    <w:pPr>
      <w:spacing w:line="240" w:lineRule="auto"/>
      <w:ind w:firstLine="0"/>
      <w:jc w:val="center"/>
    </w:pPr>
    <w:rPr>
      <w:rFonts w:hAnsi="宋体"/>
      <w:sz w:val="21"/>
      <w:szCs w:val="24"/>
    </w:rPr>
  </w:style>
  <w:style w:type="paragraph" w:customStyle="1" w:styleId="3172">
    <w:name w:val="样式 正文缩进 + 宋体 黑色 首行缩进:  2 字符1"/>
    <w:basedOn w:val="307"/>
    <w:uiPriority w:val="0"/>
    <w:pPr>
      <w:ind w:firstLine="480"/>
    </w:pPr>
    <w:rPr>
      <w:rFonts w:cs="宋体"/>
      <w:color w:val="FF00FF"/>
    </w:rPr>
  </w:style>
  <w:style w:type="paragraph" w:customStyle="1" w:styleId="3173">
    <w:name w:val="表格内字体7"/>
    <w:basedOn w:val="207"/>
    <w:next w:val="207"/>
    <w:uiPriority w:val="0"/>
    <w:pPr>
      <w:spacing w:line="240" w:lineRule="auto"/>
      <w:ind w:firstLine="0"/>
      <w:jc w:val="center"/>
    </w:pPr>
    <w:rPr>
      <w:rFonts w:hAnsi="宋体"/>
      <w:sz w:val="21"/>
      <w:szCs w:val="24"/>
    </w:rPr>
  </w:style>
  <w:style w:type="paragraph" w:customStyle="1" w:styleId="3174">
    <w:name w:val="表格内字体41"/>
    <w:basedOn w:val="207"/>
    <w:next w:val="207"/>
    <w:uiPriority w:val="0"/>
    <w:pPr>
      <w:spacing w:line="240" w:lineRule="auto"/>
      <w:ind w:firstLine="0"/>
      <w:jc w:val="center"/>
    </w:pPr>
    <w:rPr>
      <w:rFonts w:hAnsi="宋体"/>
      <w:sz w:val="21"/>
      <w:szCs w:val="24"/>
    </w:rPr>
  </w:style>
  <w:style w:type="paragraph" w:customStyle="1" w:styleId="3175">
    <w:name w:val="图题7"/>
    <w:basedOn w:val="207"/>
    <w:next w:val="207"/>
    <w:uiPriority w:val="0"/>
    <w:pPr>
      <w:ind w:firstLine="0"/>
      <w:jc w:val="center"/>
    </w:pPr>
    <w:rPr>
      <w:rFonts w:ascii="黑体" w:hAnsi="宋体" w:eastAsia="黑体" w:cs="宋体"/>
      <w:b/>
      <w:bCs/>
      <w:szCs w:val="24"/>
    </w:rPr>
  </w:style>
  <w:style w:type="paragraph" w:customStyle="1" w:styleId="3176">
    <w:name w:val="样式 样式 宋体 + 首行缩进:  2 字符11"/>
    <w:basedOn w:val="1"/>
    <w:uiPriority w:val="0"/>
    <w:pPr>
      <w:widowControl/>
      <w:ind w:firstLine="480"/>
      <w:jc w:val="left"/>
    </w:pPr>
    <w:rPr>
      <w:rFonts w:ascii="宋体" w:hAnsi="宋体" w:cs="宋体"/>
      <w:kern w:val="0"/>
      <w:szCs w:val="24"/>
    </w:rPr>
  </w:style>
  <w:style w:type="paragraph" w:customStyle="1" w:styleId="3177">
    <w:name w:val="正文格式41"/>
    <w:basedOn w:val="1"/>
    <w:uiPriority w:val="0"/>
    <w:pPr>
      <w:widowControl/>
      <w:ind w:firstLine="482"/>
      <w:jc w:val="left"/>
    </w:pPr>
    <w:rPr>
      <w:rFonts w:ascii="宋体" w:hAnsi="宋体" w:cs="宋体"/>
      <w:kern w:val="0"/>
      <w:szCs w:val="24"/>
    </w:rPr>
  </w:style>
  <w:style w:type="paragraph" w:customStyle="1" w:styleId="3178">
    <w:name w:val="表文字54"/>
    <w:basedOn w:val="1"/>
    <w:uiPriority w:val="0"/>
    <w:pPr>
      <w:widowControl/>
      <w:jc w:val="left"/>
      <w:textAlignment w:val="baseline"/>
    </w:pPr>
    <w:rPr>
      <w:rFonts w:ascii="宋体" w:hAnsi="宋体" w:cs="宋体"/>
      <w:kern w:val="0"/>
      <w:szCs w:val="20"/>
    </w:rPr>
  </w:style>
  <w:style w:type="paragraph" w:customStyle="1" w:styleId="3179">
    <w:name w:val="正文21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180">
    <w:name w:val="表题1421"/>
    <w:basedOn w:val="19"/>
    <w:uiPriority w:val="0"/>
    <w:pPr>
      <w:widowControl/>
      <w:ind w:firstLine="0" w:firstLineChars="0"/>
      <w:jc w:val="center"/>
    </w:pPr>
    <w:rPr>
      <w:rFonts w:ascii="黑体" w:cs="Arial"/>
      <w:b/>
    </w:rPr>
  </w:style>
  <w:style w:type="paragraph" w:customStyle="1" w:styleId="3181">
    <w:name w:val="正文格式222"/>
    <w:basedOn w:val="1"/>
    <w:uiPriority w:val="0"/>
    <w:pPr>
      <w:widowControl/>
      <w:ind w:firstLine="482"/>
      <w:jc w:val="left"/>
    </w:pPr>
    <w:rPr>
      <w:rFonts w:ascii="宋体" w:hAnsi="宋体" w:cs="宋体"/>
      <w:kern w:val="0"/>
      <w:szCs w:val="24"/>
    </w:rPr>
  </w:style>
  <w:style w:type="paragraph" w:customStyle="1" w:styleId="3182">
    <w:name w:val="附件31"/>
    <w:basedOn w:val="2"/>
    <w:next w:val="207"/>
    <w:uiPriority w:val="0"/>
    <w:pPr>
      <w:numPr>
        <w:numId w:val="0"/>
      </w:numPr>
      <w:spacing w:after="120"/>
      <w:jc w:val="left"/>
    </w:pPr>
    <w:rPr>
      <w:rFonts w:ascii="黑体" w:eastAsia="黑体"/>
      <w:b w:val="0"/>
      <w:sz w:val="32"/>
      <w:szCs w:val="32"/>
      <w:lang w:val="zh-CN" w:eastAsia="zh-CN"/>
    </w:rPr>
  </w:style>
  <w:style w:type="paragraph" w:customStyle="1" w:styleId="3183">
    <w:name w:val="正文格式31"/>
    <w:basedOn w:val="1"/>
    <w:uiPriority w:val="0"/>
    <w:pPr>
      <w:widowControl/>
      <w:ind w:firstLine="482"/>
      <w:jc w:val="left"/>
    </w:pPr>
    <w:rPr>
      <w:rFonts w:ascii="宋体" w:hAnsi="宋体" w:cs="宋体"/>
      <w:kern w:val="0"/>
      <w:szCs w:val="24"/>
    </w:rPr>
  </w:style>
  <w:style w:type="paragraph" w:customStyle="1" w:styleId="3184">
    <w:name w:val="注释1"/>
    <w:basedOn w:val="207"/>
    <w:next w:val="27"/>
    <w:uiPriority w:val="0"/>
    <w:pPr>
      <w:spacing w:before="120" w:after="120" w:line="240" w:lineRule="auto"/>
      <w:ind w:firstLine="200"/>
    </w:pPr>
    <w:rPr>
      <w:rFonts w:hAnsi="Times New Roman" w:cs="宋体"/>
      <w:sz w:val="21"/>
      <w:szCs w:val="20"/>
    </w:rPr>
  </w:style>
  <w:style w:type="paragraph" w:customStyle="1" w:styleId="3185">
    <w:name w:val="表题122"/>
    <w:basedOn w:val="19"/>
    <w:uiPriority w:val="0"/>
    <w:pPr>
      <w:widowControl/>
      <w:ind w:firstLine="0" w:firstLineChars="0"/>
      <w:jc w:val="center"/>
    </w:pPr>
    <w:rPr>
      <w:rFonts w:ascii="黑体" w:cs="Arial"/>
      <w:b/>
    </w:rPr>
  </w:style>
  <w:style w:type="paragraph" w:customStyle="1" w:styleId="3186">
    <w:name w:val="图题111"/>
    <w:basedOn w:val="207"/>
    <w:next w:val="207"/>
    <w:uiPriority w:val="0"/>
    <w:pPr>
      <w:ind w:firstLine="0"/>
      <w:jc w:val="center"/>
    </w:pPr>
    <w:rPr>
      <w:rFonts w:ascii="黑体" w:hAnsi="宋体" w:eastAsia="黑体" w:cs="宋体"/>
      <w:b/>
      <w:bCs/>
      <w:szCs w:val="24"/>
    </w:rPr>
  </w:style>
  <w:style w:type="paragraph" w:customStyle="1" w:styleId="3187">
    <w:name w:val="正文格式312"/>
    <w:basedOn w:val="1"/>
    <w:uiPriority w:val="0"/>
    <w:pPr>
      <w:widowControl/>
      <w:ind w:firstLine="482"/>
      <w:jc w:val="left"/>
    </w:pPr>
    <w:rPr>
      <w:rFonts w:ascii="宋体" w:hAnsi="宋体" w:cs="宋体"/>
      <w:kern w:val="0"/>
      <w:szCs w:val="24"/>
    </w:rPr>
  </w:style>
  <w:style w:type="paragraph" w:customStyle="1" w:styleId="3188">
    <w:name w:val="表格112"/>
    <w:basedOn w:val="1"/>
    <w:uiPriority w:val="0"/>
    <w:pPr>
      <w:widowControl/>
      <w:jc w:val="center"/>
      <w:textAlignment w:val="baseline"/>
    </w:pPr>
    <w:rPr>
      <w:rFonts w:ascii="宋体" w:hAnsi="宋体" w:cs="宋体"/>
      <w:kern w:val="0"/>
      <w:szCs w:val="20"/>
    </w:rPr>
  </w:style>
  <w:style w:type="paragraph" w:customStyle="1" w:styleId="3189">
    <w:name w:val="图题711"/>
    <w:basedOn w:val="207"/>
    <w:next w:val="207"/>
    <w:uiPriority w:val="0"/>
    <w:pPr>
      <w:ind w:firstLine="0"/>
      <w:jc w:val="center"/>
    </w:pPr>
    <w:rPr>
      <w:rFonts w:ascii="黑体" w:hAnsi="宋体" w:eastAsia="黑体" w:cs="宋体"/>
      <w:b/>
      <w:bCs/>
      <w:szCs w:val="24"/>
    </w:rPr>
  </w:style>
  <w:style w:type="paragraph" w:customStyle="1" w:styleId="3190">
    <w:name w:val="图题注11"/>
    <w:basedOn w:val="19"/>
    <w:uiPriority w:val="0"/>
    <w:pPr>
      <w:widowControl/>
      <w:ind w:firstLine="0" w:firstLineChars="0"/>
      <w:jc w:val="center"/>
    </w:pPr>
    <w:rPr>
      <w:rFonts w:ascii="黑体" w:cs="宋体"/>
      <w:b/>
      <w:bCs/>
    </w:rPr>
  </w:style>
  <w:style w:type="paragraph" w:customStyle="1" w:styleId="3191">
    <w:name w:val="表格内字体1121"/>
    <w:basedOn w:val="207"/>
    <w:uiPriority w:val="0"/>
    <w:pPr>
      <w:spacing w:line="240" w:lineRule="auto"/>
      <w:ind w:firstLine="0"/>
      <w:jc w:val="center"/>
    </w:pPr>
    <w:rPr>
      <w:rFonts w:hAnsi="Times New Roman" w:cs="宋体"/>
      <w:sz w:val="21"/>
      <w:szCs w:val="20"/>
    </w:rPr>
  </w:style>
  <w:style w:type="paragraph" w:customStyle="1" w:styleId="3192">
    <w:name w:val="正文22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193">
    <w:name w:val="表题132"/>
    <w:basedOn w:val="19"/>
    <w:uiPriority w:val="0"/>
    <w:pPr>
      <w:widowControl/>
      <w:ind w:firstLine="0" w:firstLineChars="0"/>
      <w:jc w:val="center"/>
    </w:pPr>
    <w:rPr>
      <w:rFonts w:ascii="黑体" w:cs="Arial"/>
      <w:b/>
    </w:rPr>
  </w:style>
  <w:style w:type="paragraph" w:customStyle="1" w:styleId="3194">
    <w:name w:val="标题4121"/>
    <w:basedOn w:val="5"/>
    <w:next w:val="1"/>
    <w:uiPriority w:val="0"/>
    <w:pPr>
      <w:numPr>
        <w:ilvl w:val="0"/>
        <w:numId w:val="0"/>
      </w:numPr>
      <w:spacing w:before="160" w:after="170" w:line="360" w:lineRule="auto"/>
    </w:pPr>
    <w:rPr>
      <w:rFonts w:ascii="黑体" w:hAnsi="Arial" w:eastAsia="黑体" w:cs="Times New Roman"/>
      <w:sz w:val="24"/>
    </w:rPr>
  </w:style>
  <w:style w:type="paragraph" w:customStyle="1" w:styleId="3195">
    <w:name w:val="图题222"/>
    <w:basedOn w:val="207"/>
    <w:next w:val="207"/>
    <w:uiPriority w:val="0"/>
    <w:pPr>
      <w:ind w:firstLine="0"/>
      <w:jc w:val="center"/>
    </w:pPr>
    <w:rPr>
      <w:rFonts w:ascii="黑体" w:hAnsi="宋体" w:eastAsia="黑体" w:cs="宋体"/>
      <w:b/>
      <w:bCs/>
      <w:szCs w:val="24"/>
    </w:rPr>
  </w:style>
  <w:style w:type="paragraph" w:customStyle="1" w:styleId="3196">
    <w:name w:val="图题312"/>
    <w:basedOn w:val="207"/>
    <w:next w:val="207"/>
    <w:uiPriority w:val="0"/>
    <w:pPr>
      <w:ind w:firstLine="0"/>
      <w:jc w:val="center"/>
    </w:pPr>
    <w:rPr>
      <w:rFonts w:ascii="黑体" w:hAnsi="宋体" w:eastAsia="黑体" w:cs="宋体"/>
      <w:b/>
      <w:bCs/>
      <w:szCs w:val="24"/>
    </w:rPr>
  </w:style>
  <w:style w:type="paragraph" w:customStyle="1" w:styleId="3197">
    <w:name w:val="表文字51121"/>
    <w:basedOn w:val="1"/>
    <w:uiPriority w:val="0"/>
    <w:pPr>
      <w:widowControl/>
      <w:jc w:val="left"/>
      <w:textAlignment w:val="baseline"/>
    </w:pPr>
    <w:rPr>
      <w:rFonts w:ascii="宋体" w:hAnsi="宋体" w:cs="宋体"/>
      <w:kern w:val="0"/>
      <w:szCs w:val="20"/>
    </w:rPr>
  </w:style>
  <w:style w:type="paragraph" w:customStyle="1" w:styleId="3198">
    <w:name w:val="表格内字体612"/>
    <w:basedOn w:val="207"/>
    <w:next w:val="207"/>
    <w:uiPriority w:val="0"/>
    <w:pPr>
      <w:spacing w:line="240" w:lineRule="auto"/>
      <w:ind w:firstLine="0"/>
      <w:jc w:val="center"/>
    </w:pPr>
    <w:rPr>
      <w:rFonts w:hAnsi="宋体"/>
      <w:sz w:val="21"/>
      <w:szCs w:val="24"/>
    </w:rPr>
  </w:style>
  <w:style w:type="paragraph" w:customStyle="1" w:styleId="3199">
    <w:name w:val="表文字541"/>
    <w:basedOn w:val="1"/>
    <w:uiPriority w:val="0"/>
    <w:pPr>
      <w:widowControl/>
      <w:jc w:val="left"/>
      <w:textAlignment w:val="baseline"/>
    </w:pPr>
    <w:rPr>
      <w:rFonts w:ascii="宋体" w:hAnsi="宋体" w:cs="宋体"/>
      <w:kern w:val="0"/>
      <w:szCs w:val="20"/>
    </w:rPr>
  </w:style>
  <w:style w:type="paragraph" w:customStyle="1" w:styleId="3200">
    <w:name w:val="正文格式61"/>
    <w:basedOn w:val="1"/>
    <w:uiPriority w:val="0"/>
    <w:pPr>
      <w:widowControl/>
      <w:ind w:firstLine="482"/>
      <w:jc w:val="left"/>
    </w:pPr>
    <w:rPr>
      <w:rFonts w:ascii="宋体" w:hAnsi="宋体" w:cs="宋体"/>
      <w:kern w:val="0"/>
      <w:szCs w:val="24"/>
    </w:rPr>
  </w:style>
  <w:style w:type="paragraph" w:customStyle="1" w:styleId="3201">
    <w:name w:val="表格内字体14"/>
    <w:basedOn w:val="207"/>
    <w:next w:val="207"/>
    <w:uiPriority w:val="0"/>
    <w:pPr>
      <w:spacing w:line="240" w:lineRule="auto"/>
      <w:ind w:firstLine="0"/>
      <w:jc w:val="center"/>
    </w:pPr>
    <w:rPr>
      <w:rFonts w:hAnsi="宋体"/>
      <w:sz w:val="21"/>
      <w:szCs w:val="24"/>
    </w:rPr>
  </w:style>
  <w:style w:type="paragraph" w:customStyle="1" w:styleId="3202">
    <w:name w:val="图题81"/>
    <w:basedOn w:val="207"/>
    <w:next w:val="207"/>
    <w:uiPriority w:val="0"/>
    <w:pPr>
      <w:ind w:firstLine="0"/>
      <w:jc w:val="center"/>
    </w:pPr>
    <w:rPr>
      <w:rFonts w:ascii="黑体" w:hAnsi="宋体" w:eastAsia="黑体" w:cs="宋体"/>
      <w:b/>
      <w:bCs/>
      <w:szCs w:val="24"/>
    </w:rPr>
  </w:style>
  <w:style w:type="paragraph" w:customStyle="1" w:styleId="3203">
    <w:name w:val="23-47表名12"/>
    <w:basedOn w:val="1"/>
    <w:uiPriority w:val="0"/>
    <w:pPr>
      <w:widowControl/>
      <w:spacing w:after="156" w:line="440" w:lineRule="exact"/>
      <w:jc w:val="center"/>
    </w:pPr>
    <w:rPr>
      <w:rFonts w:ascii="宋体" w:hAnsi="宋体" w:cs="宋体"/>
      <w:b/>
      <w:kern w:val="0"/>
      <w:szCs w:val="24"/>
    </w:rPr>
  </w:style>
  <w:style w:type="paragraph" w:customStyle="1" w:styleId="3204">
    <w:name w:val="默认段落字体 Para Char4"/>
    <w:basedOn w:val="1"/>
    <w:next w:val="1"/>
    <w:uiPriority w:val="0"/>
    <w:pPr>
      <w:widowControl/>
      <w:spacing w:line="480" w:lineRule="exact"/>
      <w:jc w:val="left"/>
    </w:pPr>
    <w:rPr>
      <w:rFonts w:ascii="宋体" w:hAnsi="宋体" w:eastAsia="汉鼎简书宋" w:cs="宋体"/>
      <w:kern w:val="0"/>
      <w:szCs w:val="24"/>
    </w:rPr>
  </w:style>
  <w:style w:type="paragraph" w:customStyle="1" w:styleId="3205">
    <w:name w:val="正文格式821"/>
    <w:basedOn w:val="1"/>
    <w:uiPriority w:val="0"/>
    <w:pPr>
      <w:widowControl/>
      <w:ind w:firstLine="482"/>
      <w:jc w:val="left"/>
    </w:pPr>
    <w:rPr>
      <w:rFonts w:ascii="宋体" w:hAnsi="宋体" w:cs="宋体"/>
      <w:kern w:val="0"/>
      <w:szCs w:val="24"/>
    </w:rPr>
  </w:style>
  <w:style w:type="paragraph" w:customStyle="1" w:styleId="3206">
    <w:name w:val="表文字514"/>
    <w:basedOn w:val="1"/>
    <w:uiPriority w:val="0"/>
    <w:pPr>
      <w:widowControl/>
      <w:jc w:val="left"/>
      <w:textAlignment w:val="baseline"/>
    </w:pPr>
    <w:rPr>
      <w:rFonts w:ascii="宋体" w:hAnsi="宋体" w:cs="宋体"/>
      <w:kern w:val="0"/>
      <w:szCs w:val="20"/>
    </w:rPr>
  </w:style>
  <w:style w:type="paragraph" w:customStyle="1" w:styleId="3207">
    <w:name w:val="正文格式211"/>
    <w:basedOn w:val="1"/>
    <w:uiPriority w:val="0"/>
    <w:pPr>
      <w:widowControl/>
      <w:ind w:firstLine="482"/>
      <w:jc w:val="left"/>
    </w:pPr>
    <w:rPr>
      <w:rFonts w:ascii="宋体" w:hAnsi="宋体" w:cs="宋体"/>
      <w:kern w:val="0"/>
      <w:szCs w:val="24"/>
    </w:rPr>
  </w:style>
  <w:style w:type="paragraph" w:customStyle="1" w:styleId="3208">
    <w:name w:val="表题114"/>
    <w:basedOn w:val="19"/>
    <w:uiPriority w:val="0"/>
    <w:pPr>
      <w:widowControl/>
      <w:ind w:firstLine="0" w:firstLineChars="0"/>
      <w:jc w:val="center"/>
    </w:pPr>
    <w:rPr>
      <w:rFonts w:ascii="黑体" w:cs="Arial"/>
    </w:rPr>
  </w:style>
  <w:style w:type="paragraph" w:customStyle="1" w:styleId="3209">
    <w:name w:val="正文格式411"/>
    <w:basedOn w:val="1"/>
    <w:uiPriority w:val="0"/>
    <w:pPr>
      <w:widowControl/>
      <w:ind w:firstLine="482"/>
      <w:jc w:val="left"/>
    </w:pPr>
    <w:rPr>
      <w:rFonts w:ascii="宋体" w:hAnsi="宋体" w:cs="宋体"/>
      <w:kern w:val="0"/>
      <w:szCs w:val="24"/>
    </w:rPr>
  </w:style>
  <w:style w:type="paragraph" w:customStyle="1" w:styleId="3210">
    <w:name w:val="表文字51111"/>
    <w:basedOn w:val="1"/>
    <w:uiPriority w:val="0"/>
    <w:pPr>
      <w:widowControl/>
      <w:jc w:val="left"/>
      <w:textAlignment w:val="baseline"/>
    </w:pPr>
    <w:rPr>
      <w:rFonts w:ascii="宋体" w:hAnsi="宋体" w:cs="宋体"/>
      <w:kern w:val="0"/>
      <w:szCs w:val="20"/>
    </w:rPr>
  </w:style>
  <w:style w:type="paragraph" w:customStyle="1" w:styleId="3211">
    <w:name w:val="图题411"/>
    <w:basedOn w:val="207"/>
    <w:next w:val="207"/>
    <w:uiPriority w:val="0"/>
    <w:pPr>
      <w:ind w:firstLine="0"/>
      <w:jc w:val="center"/>
    </w:pPr>
    <w:rPr>
      <w:rFonts w:ascii="黑体" w:hAnsi="宋体" w:eastAsia="黑体" w:cs="宋体"/>
      <w:b/>
      <w:bCs/>
      <w:szCs w:val="24"/>
    </w:rPr>
  </w:style>
  <w:style w:type="paragraph" w:customStyle="1" w:styleId="3212">
    <w:name w:val="图题12"/>
    <w:basedOn w:val="207"/>
    <w:next w:val="207"/>
    <w:uiPriority w:val="0"/>
    <w:pPr>
      <w:ind w:firstLine="0"/>
      <w:jc w:val="center"/>
    </w:pPr>
    <w:rPr>
      <w:rFonts w:ascii="黑体" w:hAnsi="宋体" w:eastAsia="黑体" w:cs="宋体"/>
      <w:b/>
      <w:bCs/>
      <w:szCs w:val="24"/>
    </w:rPr>
  </w:style>
  <w:style w:type="paragraph" w:customStyle="1" w:styleId="3213">
    <w:name w:val="图题23"/>
    <w:basedOn w:val="207"/>
    <w:next w:val="207"/>
    <w:uiPriority w:val="0"/>
    <w:pPr>
      <w:ind w:firstLine="0"/>
      <w:jc w:val="center"/>
    </w:pPr>
    <w:rPr>
      <w:rFonts w:ascii="黑体" w:hAnsi="宋体" w:eastAsia="黑体" w:cs="宋体"/>
      <w:b/>
      <w:bCs/>
      <w:szCs w:val="24"/>
    </w:rPr>
  </w:style>
  <w:style w:type="paragraph" w:customStyle="1" w:styleId="3214">
    <w:name w:val="23-47表名3"/>
    <w:basedOn w:val="1"/>
    <w:uiPriority w:val="0"/>
    <w:pPr>
      <w:widowControl/>
      <w:spacing w:after="156" w:line="440" w:lineRule="exact"/>
      <w:jc w:val="center"/>
    </w:pPr>
    <w:rPr>
      <w:rFonts w:ascii="宋体" w:hAnsi="宋体" w:cs="宋体"/>
      <w:b/>
      <w:kern w:val="0"/>
      <w:szCs w:val="24"/>
    </w:rPr>
  </w:style>
  <w:style w:type="paragraph" w:customStyle="1" w:styleId="3215">
    <w:name w:val="表格内字体8"/>
    <w:basedOn w:val="207"/>
    <w:next w:val="207"/>
    <w:uiPriority w:val="0"/>
    <w:pPr>
      <w:spacing w:line="240" w:lineRule="auto"/>
      <w:ind w:firstLine="0"/>
      <w:jc w:val="center"/>
    </w:pPr>
    <w:rPr>
      <w:rFonts w:hAnsi="宋体"/>
      <w:sz w:val="21"/>
      <w:szCs w:val="24"/>
    </w:rPr>
  </w:style>
  <w:style w:type="paragraph" w:customStyle="1" w:styleId="3216">
    <w:name w:val="表文字5113"/>
    <w:basedOn w:val="1"/>
    <w:uiPriority w:val="0"/>
    <w:pPr>
      <w:widowControl/>
      <w:jc w:val="left"/>
      <w:textAlignment w:val="baseline"/>
    </w:pPr>
    <w:rPr>
      <w:rFonts w:ascii="宋体" w:hAnsi="宋体" w:cs="宋体"/>
      <w:kern w:val="0"/>
      <w:szCs w:val="20"/>
    </w:rPr>
  </w:style>
  <w:style w:type="paragraph" w:customStyle="1" w:styleId="3217">
    <w:name w:val="图题112"/>
    <w:basedOn w:val="207"/>
    <w:next w:val="207"/>
    <w:uiPriority w:val="0"/>
    <w:pPr>
      <w:ind w:firstLine="0"/>
      <w:jc w:val="center"/>
    </w:pPr>
    <w:rPr>
      <w:rFonts w:ascii="黑体" w:hAnsi="宋体" w:eastAsia="黑体" w:cs="宋体"/>
      <w:b/>
      <w:bCs/>
      <w:szCs w:val="24"/>
    </w:rPr>
  </w:style>
  <w:style w:type="paragraph" w:customStyle="1" w:styleId="3218">
    <w:name w:val="图题211"/>
    <w:basedOn w:val="207"/>
    <w:next w:val="207"/>
    <w:uiPriority w:val="0"/>
    <w:pPr>
      <w:ind w:firstLine="0"/>
      <w:jc w:val="center"/>
    </w:pPr>
    <w:rPr>
      <w:rFonts w:ascii="黑体" w:hAnsi="宋体" w:eastAsia="黑体" w:cs="宋体"/>
      <w:b/>
      <w:bCs/>
      <w:szCs w:val="24"/>
    </w:rPr>
  </w:style>
  <w:style w:type="paragraph" w:customStyle="1" w:styleId="3219">
    <w:name w:val="表文字56"/>
    <w:basedOn w:val="1"/>
    <w:uiPriority w:val="0"/>
    <w:pPr>
      <w:widowControl/>
      <w:jc w:val="left"/>
      <w:textAlignment w:val="baseline"/>
    </w:pPr>
    <w:rPr>
      <w:rFonts w:ascii="宋体" w:hAnsi="宋体" w:cs="宋体"/>
      <w:kern w:val="0"/>
      <w:szCs w:val="20"/>
    </w:rPr>
  </w:style>
  <w:style w:type="paragraph" w:customStyle="1" w:styleId="3220">
    <w:name w:val="图题32"/>
    <w:basedOn w:val="207"/>
    <w:next w:val="207"/>
    <w:uiPriority w:val="0"/>
    <w:pPr>
      <w:ind w:firstLine="0"/>
      <w:jc w:val="center"/>
    </w:pPr>
    <w:rPr>
      <w:rFonts w:ascii="黑体" w:hAnsi="宋体" w:eastAsia="黑体" w:cs="宋体"/>
      <w:b/>
      <w:bCs/>
      <w:szCs w:val="24"/>
    </w:rPr>
  </w:style>
  <w:style w:type="paragraph" w:customStyle="1" w:styleId="3221">
    <w:name w:val="表题161"/>
    <w:basedOn w:val="19"/>
    <w:uiPriority w:val="0"/>
    <w:pPr>
      <w:widowControl/>
      <w:ind w:firstLine="0" w:firstLineChars="0"/>
      <w:jc w:val="center"/>
    </w:pPr>
    <w:rPr>
      <w:rFonts w:ascii="黑体" w:cs="Arial"/>
      <w:b/>
    </w:rPr>
  </w:style>
  <w:style w:type="paragraph" w:customStyle="1" w:styleId="3222">
    <w:name w:val="图题62"/>
    <w:basedOn w:val="207"/>
    <w:next w:val="207"/>
    <w:uiPriority w:val="0"/>
    <w:pPr>
      <w:ind w:firstLine="0"/>
      <w:jc w:val="center"/>
    </w:pPr>
    <w:rPr>
      <w:rFonts w:ascii="黑体" w:hAnsi="宋体" w:eastAsia="黑体" w:cs="宋体"/>
      <w:b/>
      <w:bCs/>
      <w:kern w:val="0"/>
      <w:szCs w:val="24"/>
    </w:rPr>
  </w:style>
  <w:style w:type="paragraph" w:customStyle="1" w:styleId="3223">
    <w:name w:val="表格内字体2112"/>
    <w:basedOn w:val="207"/>
    <w:next w:val="207"/>
    <w:uiPriority w:val="0"/>
    <w:pPr>
      <w:spacing w:line="240" w:lineRule="auto"/>
      <w:ind w:firstLine="0"/>
      <w:jc w:val="center"/>
    </w:pPr>
    <w:rPr>
      <w:rFonts w:hAnsi="宋体"/>
      <w:sz w:val="21"/>
      <w:szCs w:val="24"/>
    </w:rPr>
  </w:style>
  <w:style w:type="paragraph" w:customStyle="1" w:styleId="3224">
    <w:name w:val="图题52"/>
    <w:basedOn w:val="207"/>
    <w:next w:val="207"/>
    <w:uiPriority w:val="0"/>
    <w:pPr>
      <w:ind w:firstLine="0"/>
      <w:jc w:val="center"/>
    </w:pPr>
    <w:rPr>
      <w:rFonts w:ascii="黑体" w:hAnsi="宋体" w:eastAsia="黑体" w:cs="宋体"/>
      <w:b/>
      <w:bCs/>
      <w:szCs w:val="24"/>
    </w:rPr>
  </w:style>
  <w:style w:type="paragraph" w:customStyle="1" w:styleId="3225">
    <w:name w:val="正文格式112"/>
    <w:basedOn w:val="1"/>
    <w:uiPriority w:val="0"/>
    <w:pPr>
      <w:widowControl/>
      <w:ind w:firstLine="482"/>
      <w:jc w:val="left"/>
    </w:pPr>
    <w:rPr>
      <w:rFonts w:ascii="宋体" w:hAnsi="宋体" w:cs="宋体"/>
      <w:kern w:val="0"/>
      <w:szCs w:val="24"/>
    </w:rPr>
  </w:style>
  <w:style w:type="paragraph" w:customStyle="1" w:styleId="3226">
    <w:name w:val="注释11"/>
    <w:basedOn w:val="207"/>
    <w:next w:val="27"/>
    <w:uiPriority w:val="0"/>
    <w:pPr>
      <w:spacing w:before="120" w:after="120" w:line="240" w:lineRule="auto"/>
      <w:ind w:firstLine="200"/>
    </w:pPr>
    <w:rPr>
      <w:rFonts w:hAnsi="Times New Roman" w:cs="宋体"/>
      <w:sz w:val="21"/>
      <w:szCs w:val="20"/>
    </w:rPr>
  </w:style>
  <w:style w:type="paragraph" w:customStyle="1" w:styleId="3227">
    <w:name w:val="默认段落字体 Para Char111"/>
    <w:basedOn w:val="1"/>
    <w:next w:val="1"/>
    <w:uiPriority w:val="0"/>
    <w:pPr>
      <w:widowControl/>
      <w:spacing w:line="480" w:lineRule="exact"/>
      <w:jc w:val="left"/>
    </w:pPr>
    <w:rPr>
      <w:rFonts w:ascii="宋体" w:hAnsi="宋体" w:eastAsia="汉鼎简书宋" w:cs="宋体"/>
      <w:kern w:val="0"/>
      <w:szCs w:val="24"/>
    </w:rPr>
  </w:style>
  <w:style w:type="paragraph" w:customStyle="1" w:styleId="3228">
    <w:name w:val="图表题13"/>
    <w:basedOn w:val="207"/>
    <w:next w:val="207"/>
    <w:uiPriority w:val="0"/>
    <w:pPr>
      <w:ind w:firstLine="0"/>
      <w:jc w:val="center"/>
    </w:pPr>
    <w:rPr>
      <w:rFonts w:ascii="黑体" w:hAnsi="宋体" w:eastAsia="黑体" w:cs="宋体"/>
      <w:b/>
      <w:bCs/>
      <w:szCs w:val="24"/>
    </w:rPr>
  </w:style>
  <w:style w:type="paragraph" w:customStyle="1" w:styleId="3229">
    <w:name w:val="表文字5131"/>
    <w:basedOn w:val="1"/>
    <w:uiPriority w:val="0"/>
    <w:pPr>
      <w:widowControl/>
      <w:jc w:val="left"/>
      <w:textAlignment w:val="baseline"/>
    </w:pPr>
    <w:rPr>
      <w:rFonts w:ascii="宋体" w:hAnsi="宋体" w:cs="宋体"/>
      <w:kern w:val="0"/>
      <w:szCs w:val="20"/>
    </w:rPr>
  </w:style>
  <w:style w:type="paragraph" w:customStyle="1" w:styleId="3230">
    <w:name w:val="Char512"/>
    <w:basedOn w:val="1"/>
    <w:uiPriority w:val="0"/>
    <w:pPr>
      <w:widowControl/>
      <w:ind w:left="-45"/>
      <w:jc w:val="left"/>
    </w:pPr>
    <w:rPr>
      <w:rFonts w:ascii="宋体" w:hAnsi="宋体" w:cs="宋体"/>
      <w:kern w:val="0"/>
      <w:szCs w:val="24"/>
    </w:rPr>
  </w:style>
  <w:style w:type="paragraph" w:customStyle="1" w:styleId="3231">
    <w:name w:val="正文格式92"/>
    <w:basedOn w:val="1"/>
    <w:uiPriority w:val="0"/>
    <w:pPr>
      <w:widowControl/>
      <w:ind w:firstLine="482"/>
      <w:jc w:val="left"/>
    </w:pPr>
    <w:rPr>
      <w:rFonts w:ascii="宋体" w:hAnsi="宋体" w:cs="宋体"/>
      <w:kern w:val="0"/>
      <w:szCs w:val="24"/>
    </w:rPr>
  </w:style>
  <w:style w:type="paragraph" w:customStyle="1" w:styleId="3232">
    <w:name w:val="表格内字体31"/>
    <w:basedOn w:val="207"/>
    <w:next w:val="207"/>
    <w:uiPriority w:val="0"/>
    <w:pPr>
      <w:spacing w:line="240" w:lineRule="auto"/>
      <w:ind w:firstLine="0"/>
      <w:jc w:val="center"/>
    </w:pPr>
    <w:rPr>
      <w:rFonts w:hAnsi="宋体"/>
      <w:sz w:val="21"/>
      <w:szCs w:val="24"/>
    </w:rPr>
  </w:style>
  <w:style w:type="paragraph" w:customStyle="1" w:styleId="3233">
    <w:name w:val="表格内字体611"/>
    <w:basedOn w:val="207"/>
    <w:next w:val="207"/>
    <w:uiPriority w:val="0"/>
    <w:pPr>
      <w:spacing w:line="240" w:lineRule="auto"/>
      <w:ind w:firstLine="0"/>
      <w:jc w:val="center"/>
    </w:pPr>
    <w:rPr>
      <w:rFonts w:hAnsi="宋体"/>
      <w:sz w:val="21"/>
      <w:szCs w:val="24"/>
    </w:rPr>
  </w:style>
  <w:style w:type="paragraph" w:customStyle="1" w:styleId="3234">
    <w:name w:val="正文格式412"/>
    <w:basedOn w:val="1"/>
    <w:uiPriority w:val="0"/>
    <w:pPr>
      <w:widowControl/>
      <w:ind w:firstLine="482"/>
      <w:jc w:val="left"/>
    </w:pPr>
    <w:rPr>
      <w:rFonts w:ascii="宋体" w:hAnsi="宋体" w:cs="宋体"/>
      <w:kern w:val="0"/>
      <w:szCs w:val="24"/>
    </w:rPr>
  </w:style>
  <w:style w:type="paragraph" w:customStyle="1" w:styleId="3235">
    <w:name w:val="表格内字体44"/>
    <w:basedOn w:val="207"/>
    <w:next w:val="207"/>
    <w:uiPriority w:val="0"/>
    <w:pPr>
      <w:spacing w:line="240" w:lineRule="auto"/>
      <w:ind w:firstLine="0"/>
      <w:jc w:val="center"/>
    </w:pPr>
    <w:rPr>
      <w:rFonts w:hAnsi="宋体"/>
      <w:sz w:val="21"/>
      <w:szCs w:val="24"/>
    </w:rPr>
  </w:style>
  <w:style w:type="paragraph" w:customStyle="1" w:styleId="3236">
    <w:name w:val="表格内字体72"/>
    <w:basedOn w:val="207"/>
    <w:next w:val="207"/>
    <w:uiPriority w:val="0"/>
    <w:pPr>
      <w:spacing w:line="240" w:lineRule="auto"/>
      <w:ind w:firstLine="0"/>
      <w:jc w:val="center"/>
    </w:pPr>
    <w:rPr>
      <w:rFonts w:hAnsi="宋体"/>
      <w:sz w:val="21"/>
      <w:szCs w:val="24"/>
    </w:rPr>
  </w:style>
  <w:style w:type="paragraph" w:customStyle="1" w:styleId="3237">
    <w:name w:val="图题22"/>
    <w:basedOn w:val="207"/>
    <w:next w:val="207"/>
    <w:uiPriority w:val="0"/>
    <w:pPr>
      <w:ind w:firstLine="0"/>
      <w:jc w:val="center"/>
    </w:pPr>
    <w:rPr>
      <w:rFonts w:ascii="黑体" w:hAnsi="宋体" w:eastAsia="黑体" w:cs="宋体"/>
      <w:b/>
      <w:bCs/>
      <w:szCs w:val="24"/>
    </w:rPr>
  </w:style>
  <w:style w:type="paragraph" w:customStyle="1" w:styleId="3238">
    <w:name w:val="表文字5112"/>
    <w:basedOn w:val="1"/>
    <w:uiPriority w:val="0"/>
    <w:pPr>
      <w:widowControl/>
      <w:jc w:val="left"/>
      <w:textAlignment w:val="baseline"/>
    </w:pPr>
    <w:rPr>
      <w:rFonts w:ascii="宋体" w:hAnsi="宋体" w:cs="宋体"/>
      <w:kern w:val="0"/>
      <w:szCs w:val="20"/>
    </w:rPr>
  </w:style>
  <w:style w:type="paragraph" w:customStyle="1" w:styleId="3239">
    <w:name w:val="Char51"/>
    <w:basedOn w:val="1"/>
    <w:uiPriority w:val="0"/>
    <w:pPr>
      <w:widowControl/>
      <w:ind w:left="-45"/>
      <w:jc w:val="left"/>
    </w:pPr>
    <w:rPr>
      <w:rFonts w:ascii="宋体" w:hAnsi="宋体" w:cs="宋体"/>
      <w:kern w:val="0"/>
      <w:szCs w:val="24"/>
    </w:rPr>
  </w:style>
  <w:style w:type="paragraph" w:customStyle="1" w:styleId="3240">
    <w:name w:val="正文格式8"/>
    <w:basedOn w:val="1"/>
    <w:uiPriority w:val="0"/>
    <w:pPr>
      <w:widowControl/>
      <w:ind w:firstLine="482"/>
      <w:jc w:val="left"/>
    </w:pPr>
    <w:rPr>
      <w:rFonts w:ascii="宋体" w:hAnsi="宋体" w:cs="宋体"/>
      <w:kern w:val="0"/>
      <w:szCs w:val="24"/>
    </w:rPr>
  </w:style>
  <w:style w:type="paragraph" w:customStyle="1" w:styleId="3241">
    <w:name w:val="图题9"/>
    <w:basedOn w:val="207"/>
    <w:next w:val="207"/>
    <w:uiPriority w:val="0"/>
    <w:pPr>
      <w:ind w:firstLine="0"/>
      <w:jc w:val="center"/>
    </w:pPr>
    <w:rPr>
      <w:rFonts w:ascii="黑体" w:hAnsi="宋体" w:eastAsia="黑体" w:cs="宋体"/>
      <w:b/>
      <w:bCs/>
      <w:szCs w:val="24"/>
    </w:rPr>
  </w:style>
  <w:style w:type="paragraph" w:customStyle="1" w:styleId="3242">
    <w:name w:val="默认段落字体 Para Char21"/>
    <w:basedOn w:val="1"/>
    <w:next w:val="1"/>
    <w:uiPriority w:val="0"/>
    <w:pPr>
      <w:widowControl/>
      <w:spacing w:line="480" w:lineRule="exact"/>
      <w:jc w:val="left"/>
    </w:pPr>
    <w:rPr>
      <w:rFonts w:ascii="宋体" w:hAnsi="宋体" w:eastAsia="汉鼎简书宋" w:cs="宋体"/>
      <w:kern w:val="0"/>
      <w:szCs w:val="24"/>
    </w:rPr>
  </w:style>
  <w:style w:type="paragraph" w:customStyle="1" w:styleId="3243">
    <w:name w:val="正文22"/>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244">
    <w:name w:val="表题1211"/>
    <w:basedOn w:val="19"/>
    <w:uiPriority w:val="0"/>
    <w:pPr>
      <w:widowControl/>
      <w:ind w:firstLine="0" w:firstLineChars="0"/>
      <w:jc w:val="center"/>
    </w:pPr>
    <w:rPr>
      <w:rFonts w:ascii="黑体" w:cs="Arial"/>
    </w:rPr>
  </w:style>
  <w:style w:type="paragraph" w:customStyle="1" w:styleId="3245">
    <w:name w:val="正文格式10"/>
    <w:basedOn w:val="1"/>
    <w:uiPriority w:val="0"/>
    <w:pPr>
      <w:widowControl/>
      <w:ind w:firstLine="482"/>
      <w:jc w:val="left"/>
    </w:pPr>
    <w:rPr>
      <w:rFonts w:ascii="宋体" w:hAnsi="宋体" w:cs="宋体"/>
      <w:kern w:val="0"/>
      <w:szCs w:val="24"/>
    </w:rPr>
  </w:style>
  <w:style w:type="paragraph" w:customStyle="1" w:styleId="3246">
    <w:name w:val="表格内字体32"/>
    <w:basedOn w:val="207"/>
    <w:next w:val="207"/>
    <w:uiPriority w:val="0"/>
    <w:pPr>
      <w:spacing w:line="240" w:lineRule="auto"/>
      <w:ind w:firstLine="0"/>
      <w:jc w:val="center"/>
    </w:pPr>
    <w:rPr>
      <w:rFonts w:hAnsi="宋体"/>
      <w:sz w:val="21"/>
      <w:szCs w:val="24"/>
    </w:rPr>
  </w:style>
  <w:style w:type="paragraph" w:customStyle="1" w:styleId="3247">
    <w:name w:val="表格内字体22"/>
    <w:basedOn w:val="207"/>
    <w:next w:val="207"/>
    <w:uiPriority w:val="0"/>
    <w:pPr>
      <w:spacing w:line="240" w:lineRule="auto"/>
      <w:ind w:firstLine="0"/>
      <w:jc w:val="center"/>
    </w:pPr>
    <w:rPr>
      <w:rFonts w:hAnsi="宋体"/>
      <w:sz w:val="21"/>
      <w:szCs w:val="24"/>
    </w:rPr>
  </w:style>
  <w:style w:type="paragraph" w:customStyle="1" w:styleId="3248">
    <w:name w:val="图题41"/>
    <w:basedOn w:val="207"/>
    <w:next w:val="207"/>
    <w:uiPriority w:val="0"/>
    <w:pPr>
      <w:ind w:firstLine="0"/>
      <w:jc w:val="center"/>
    </w:pPr>
    <w:rPr>
      <w:rFonts w:ascii="黑体" w:hAnsi="宋体" w:eastAsia="黑体" w:cs="宋体"/>
      <w:b/>
      <w:bCs/>
      <w:szCs w:val="24"/>
    </w:rPr>
  </w:style>
  <w:style w:type="paragraph" w:customStyle="1" w:styleId="3249">
    <w:name w:val="图题61"/>
    <w:basedOn w:val="207"/>
    <w:next w:val="207"/>
    <w:uiPriority w:val="0"/>
    <w:pPr>
      <w:ind w:firstLine="0"/>
      <w:jc w:val="center"/>
    </w:pPr>
    <w:rPr>
      <w:rFonts w:ascii="黑体" w:hAnsi="宋体" w:eastAsia="黑体" w:cs="宋体"/>
      <w:b/>
      <w:bCs/>
      <w:kern w:val="0"/>
      <w:szCs w:val="24"/>
    </w:rPr>
  </w:style>
  <w:style w:type="paragraph" w:customStyle="1" w:styleId="3250">
    <w:name w:val="标题413"/>
    <w:basedOn w:val="5"/>
    <w:next w:val="1"/>
    <w:uiPriority w:val="0"/>
    <w:pPr>
      <w:numPr>
        <w:ilvl w:val="0"/>
        <w:numId w:val="0"/>
      </w:numPr>
      <w:spacing w:before="160" w:after="170" w:line="360" w:lineRule="auto"/>
    </w:pPr>
    <w:rPr>
      <w:rFonts w:ascii="黑体" w:hAnsi="Arial" w:eastAsia="黑体" w:cs="Times New Roman"/>
      <w:sz w:val="24"/>
    </w:rPr>
  </w:style>
  <w:style w:type="paragraph" w:customStyle="1" w:styleId="3251">
    <w:name w:val="图题212"/>
    <w:basedOn w:val="207"/>
    <w:next w:val="207"/>
    <w:uiPriority w:val="0"/>
    <w:pPr>
      <w:ind w:firstLine="0"/>
      <w:jc w:val="center"/>
    </w:pPr>
    <w:rPr>
      <w:rFonts w:ascii="黑体" w:hAnsi="宋体" w:eastAsia="黑体" w:cs="宋体"/>
      <w:b/>
      <w:bCs/>
      <w:szCs w:val="24"/>
    </w:rPr>
  </w:style>
  <w:style w:type="paragraph" w:customStyle="1" w:styleId="3252">
    <w:name w:val="正文格式101"/>
    <w:basedOn w:val="1"/>
    <w:uiPriority w:val="0"/>
    <w:pPr>
      <w:widowControl/>
      <w:ind w:firstLine="482"/>
      <w:jc w:val="left"/>
    </w:pPr>
    <w:rPr>
      <w:rFonts w:ascii="宋体" w:hAnsi="宋体" w:cs="宋体"/>
      <w:kern w:val="0"/>
      <w:szCs w:val="24"/>
    </w:rPr>
  </w:style>
  <w:style w:type="paragraph" w:customStyle="1" w:styleId="3253">
    <w:name w:val="默认段落字体 Para Char43"/>
    <w:basedOn w:val="1"/>
    <w:next w:val="1"/>
    <w:uiPriority w:val="0"/>
    <w:pPr>
      <w:widowControl/>
      <w:spacing w:line="480" w:lineRule="exact"/>
      <w:jc w:val="left"/>
    </w:pPr>
    <w:rPr>
      <w:rFonts w:ascii="宋体" w:hAnsi="宋体" w:eastAsia="汉鼎简书宋" w:cs="宋体"/>
      <w:kern w:val="0"/>
      <w:szCs w:val="24"/>
    </w:rPr>
  </w:style>
  <w:style w:type="paragraph" w:customStyle="1" w:styleId="3254">
    <w:name w:val="正文格式811"/>
    <w:basedOn w:val="1"/>
    <w:uiPriority w:val="0"/>
    <w:pPr>
      <w:widowControl/>
      <w:ind w:firstLine="482"/>
      <w:jc w:val="left"/>
    </w:pPr>
    <w:rPr>
      <w:rFonts w:ascii="宋体" w:hAnsi="宋体" w:cs="宋体"/>
      <w:kern w:val="0"/>
      <w:szCs w:val="24"/>
    </w:rPr>
  </w:style>
  <w:style w:type="paragraph" w:customStyle="1" w:styleId="3255">
    <w:name w:val="23-47表名2"/>
    <w:basedOn w:val="1"/>
    <w:uiPriority w:val="0"/>
    <w:pPr>
      <w:widowControl/>
      <w:spacing w:after="156" w:line="440" w:lineRule="exact"/>
      <w:jc w:val="center"/>
    </w:pPr>
    <w:rPr>
      <w:rFonts w:ascii="宋体" w:hAnsi="宋体" w:cs="宋体"/>
      <w:b/>
      <w:kern w:val="0"/>
      <w:szCs w:val="24"/>
    </w:rPr>
  </w:style>
  <w:style w:type="paragraph" w:customStyle="1" w:styleId="3256">
    <w:name w:val="正文格式14"/>
    <w:basedOn w:val="1"/>
    <w:uiPriority w:val="0"/>
    <w:pPr>
      <w:widowControl/>
      <w:ind w:firstLine="482"/>
      <w:jc w:val="left"/>
    </w:pPr>
    <w:rPr>
      <w:rFonts w:ascii="宋体" w:hAnsi="宋体" w:cs="宋体"/>
      <w:kern w:val="0"/>
      <w:szCs w:val="24"/>
    </w:rPr>
  </w:style>
  <w:style w:type="paragraph" w:customStyle="1" w:styleId="3257">
    <w:name w:val="表文字542"/>
    <w:basedOn w:val="1"/>
    <w:uiPriority w:val="0"/>
    <w:pPr>
      <w:widowControl/>
      <w:jc w:val="left"/>
      <w:textAlignment w:val="baseline"/>
    </w:pPr>
    <w:rPr>
      <w:rFonts w:ascii="宋体" w:hAnsi="宋体" w:cs="宋体"/>
      <w:kern w:val="0"/>
      <w:szCs w:val="20"/>
    </w:rPr>
  </w:style>
  <w:style w:type="paragraph" w:customStyle="1" w:styleId="3258">
    <w:name w:val="表文字51112"/>
    <w:basedOn w:val="1"/>
    <w:uiPriority w:val="0"/>
    <w:pPr>
      <w:widowControl/>
      <w:jc w:val="left"/>
      <w:textAlignment w:val="baseline"/>
    </w:pPr>
    <w:rPr>
      <w:rFonts w:ascii="宋体" w:hAnsi="宋体" w:cs="宋体"/>
      <w:kern w:val="0"/>
      <w:szCs w:val="20"/>
    </w:rPr>
  </w:style>
  <w:style w:type="paragraph" w:customStyle="1" w:styleId="3259">
    <w:name w:val="图表题3"/>
    <w:basedOn w:val="207"/>
    <w:next w:val="207"/>
    <w:uiPriority w:val="0"/>
    <w:pPr>
      <w:ind w:firstLine="0"/>
      <w:jc w:val="center"/>
    </w:pPr>
    <w:rPr>
      <w:rFonts w:ascii="黑体" w:hAnsi="宋体" w:eastAsia="黑体" w:cs="宋体"/>
      <w:b/>
      <w:bCs/>
      <w:szCs w:val="24"/>
    </w:rPr>
  </w:style>
  <w:style w:type="paragraph" w:customStyle="1" w:styleId="3260">
    <w:name w:val="样式 样式 宋体 + 首行缩进:  2 字符12"/>
    <w:basedOn w:val="1"/>
    <w:uiPriority w:val="0"/>
    <w:pPr>
      <w:widowControl/>
      <w:ind w:firstLine="480"/>
      <w:jc w:val="left"/>
    </w:pPr>
    <w:rPr>
      <w:rFonts w:ascii="宋体" w:hAnsi="宋体" w:cs="宋体"/>
      <w:kern w:val="0"/>
      <w:szCs w:val="24"/>
    </w:rPr>
  </w:style>
  <w:style w:type="paragraph" w:customStyle="1" w:styleId="3261">
    <w:name w:val="正文格式221"/>
    <w:basedOn w:val="1"/>
    <w:uiPriority w:val="0"/>
    <w:pPr>
      <w:widowControl/>
      <w:ind w:firstLine="482"/>
      <w:jc w:val="left"/>
    </w:pPr>
    <w:rPr>
      <w:rFonts w:ascii="宋体" w:hAnsi="宋体" w:cs="宋体"/>
      <w:kern w:val="0"/>
      <w:szCs w:val="24"/>
    </w:rPr>
  </w:style>
  <w:style w:type="paragraph" w:customStyle="1" w:styleId="3262">
    <w:name w:val="表题1112"/>
    <w:basedOn w:val="19"/>
    <w:uiPriority w:val="0"/>
    <w:pPr>
      <w:widowControl/>
      <w:ind w:firstLine="0" w:firstLineChars="0"/>
      <w:jc w:val="center"/>
    </w:pPr>
    <w:rPr>
      <w:rFonts w:ascii="黑体" w:cs="Arial"/>
    </w:rPr>
  </w:style>
  <w:style w:type="paragraph" w:customStyle="1" w:styleId="3263">
    <w:name w:val="表题11112"/>
    <w:basedOn w:val="19"/>
    <w:uiPriority w:val="0"/>
    <w:pPr>
      <w:widowControl/>
      <w:ind w:firstLine="0" w:firstLineChars="0"/>
      <w:jc w:val="center"/>
    </w:pPr>
    <w:rPr>
      <w:rFonts w:ascii="黑体" w:cs="Arial"/>
    </w:rPr>
  </w:style>
  <w:style w:type="paragraph" w:customStyle="1" w:styleId="3264">
    <w:name w:val="样式 表格内字体 +2"/>
    <w:basedOn w:val="347"/>
    <w:uiPriority w:val="0"/>
    <w:pPr>
      <w:spacing w:line="280" w:lineRule="exact"/>
      <w:ind w:firstLine="36"/>
      <w:jc w:val="both"/>
    </w:pPr>
    <w:rPr>
      <w:rFonts w:hAnsi="宋体"/>
      <w:sz w:val="21"/>
      <w:szCs w:val="24"/>
    </w:rPr>
  </w:style>
  <w:style w:type="paragraph" w:customStyle="1" w:styleId="3265">
    <w:name w:val="正文格式1111"/>
    <w:basedOn w:val="1"/>
    <w:uiPriority w:val="0"/>
    <w:pPr>
      <w:widowControl/>
      <w:ind w:firstLine="482"/>
      <w:jc w:val="left"/>
    </w:pPr>
    <w:rPr>
      <w:rFonts w:ascii="宋体" w:hAnsi="宋体" w:cs="宋体"/>
      <w:kern w:val="0"/>
      <w:szCs w:val="24"/>
    </w:rPr>
  </w:style>
  <w:style w:type="paragraph" w:customStyle="1" w:styleId="3266">
    <w:name w:val="图题24"/>
    <w:basedOn w:val="207"/>
    <w:next w:val="207"/>
    <w:uiPriority w:val="0"/>
    <w:pPr>
      <w:ind w:firstLine="0"/>
      <w:jc w:val="center"/>
    </w:pPr>
    <w:rPr>
      <w:rFonts w:ascii="黑体" w:hAnsi="宋体" w:eastAsia="黑体" w:cs="宋体"/>
      <w:b/>
      <w:bCs/>
      <w:szCs w:val="24"/>
    </w:rPr>
  </w:style>
  <w:style w:type="paragraph" w:customStyle="1" w:styleId="3267">
    <w:name w:val="附件32"/>
    <w:basedOn w:val="2"/>
    <w:next w:val="207"/>
    <w:uiPriority w:val="0"/>
    <w:pPr>
      <w:numPr>
        <w:numId w:val="0"/>
      </w:numPr>
      <w:spacing w:after="120"/>
      <w:jc w:val="left"/>
    </w:pPr>
    <w:rPr>
      <w:rFonts w:ascii="黑体" w:eastAsia="黑体"/>
      <w:b w:val="0"/>
      <w:sz w:val="32"/>
      <w:szCs w:val="32"/>
      <w:lang w:val="zh-CN" w:eastAsia="zh-CN"/>
    </w:rPr>
  </w:style>
  <w:style w:type="paragraph" w:customStyle="1" w:styleId="3268">
    <w:name w:val="正文格式2111"/>
    <w:basedOn w:val="1"/>
    <w:uiPriority w:val="0"/>
    <w:pPr>
      <w:widowControl/>
      <w:ind w:firstLine="482"/>
      <w:jc w:val="left"/>
    </w:pPr>
    <w:rPr>
      <w:rFonts w:ascii="宋体" w:hAnsi="宋体" w:cs="宋体"/>
      <w:kern w:val="0"/>
      <w:szCs w:val="24"/>
    </w:rPr>
  </w:style>
  <w:style w:type="paragraph" w:customStyle="1" w:styleId="3269">
    <w:name w:val="正文格式71"/>
    <w:basedOn w:val="1"/>
    <w:uiPriority w:val="0"/>
    <w:pPr>
      <w:widowControl/>
      <w:ind w:firstLine="482"/>
      <w:jc w:val="left"/>
    </w:pPr>
    <w:rPr>
      <w:rFonts w:ascii="宋体" w:hAnsi="宋体" w:cs="宋体"/>
      <w:kern w:val="0"/>
      <w:szCs w:val="24"/>
    </w:rPr>
  </w:style>
  <w:style w:type="paragraph" w:customStyle="1" w:styleId="3270">
    <w:name w:val="默认段落字体 Para Char411"/>
    <w:basedOn w:val="1"/>
    <w:next w:val="1"/>
    <w:uiPriority w:val="0"/>
    <w:pPr>
      <w:widowControl/>
      <w:spacing w:line="480" w:lineRule="exact"/>
      <w:jc w:val="left"/>
    </w:pPr>
    <w:rPr>
      <w:rFonts w:ascii="宋体" w:hAnsi="宋体" w:eastAsia="汉鼎简书宋" w:cs="宋体"/>
      <w:kern w:val="0"/>
      <w:szCs w:val="24"/>
    </w:rPr>
  </w:style>
  <w:style w:type="paragraph" w:customStyle="1" w:styleId="3271">
    <w:name w:val="表格内字体33"/>
    <w:basedOn w:val="207"/>
    <w:next w:val="207"/>
    <w:uiPriority w:val="0"/>
    <w:pPr>
      <w:spacing w:line="240" w:lineRule="auto"/>
      <w:ind w:firstLine="0"/>
      <w:jc w:val="center"/>
    </w:pPr>
    <w:rPr>
      <w:rFonts w:hAnsi="宋体"/>
      <w:sz w:val="21"/>
      <w:szCs w:val="24"/>
    </w:rPr>
  </w:style>
  <w:style w:type="paragraph" w:customStyle="1" w:styleId="3272">
    <w:name w:val="正文格式102"/>
    <w:basedOn w:val="1"/>
    <w:uiPriority w:val="0"/>
    <w:pPr>
      <w:widowControl/>
      <w:ind w:firstLine="482"/>
      <w:jc w:val="left"/>
    </w:pPr>
    <w:rPr>
      <w:rFonts w:ascii="宋体" w:hAnsi="宋体" w:cs="宋体"/>
      <w:kern w:val="0"/>
      <w:szCs w:val="24"/>
    </w:rPr>
  </w:style>
  <w:style w:type="paragraph" w:customStyle="1" w:styleId="3273">
    <w:name w:val="正文24"/>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274">
    <w:name w:val="表题1213"/>
    <w:basedOn w:val="19"/>
    <w:uiPriority w:val="0"/>
    <w:pPr>
      <w:widowControl/>
      <w:ind w:firstLine="0" w:firstLineChars="0"/>
      <w:jc w:val="center"/>
    </w:pPr>
    <w:rPr>
      <w:rFonts w:ascii="黑体" w:cs="Arial"/>
    </w:rPr>
  </w:style>
  <w:style w:type="paragraph" w:customStyle="1" w:styleId="3275">
    <w:name w:val="表文字521"/>
    <w:basedOn w:val="1"/>
    <w:uiPriority w:val="0"/>
    <w:pPr>
      <w:widowControl/>
      <w:jc w:val="left"/>
      <w:textAlignment w:val="baseline"/>
    </w:pPr>
    <w:rPr>
      <w:rFonts w:ascii="宋体" w:hAnsi="宋体" w:cs="宋体"/>
      <w:kern w:val="0"/>
      <w:szCs w:val="20"/>
    </w:rPr>
  </w:style>
  <w:style w:type="paragraph" w:customStyle="1" w:styleId="3276">
    <w:name w:val="正文格式91"/>
    <w:basedOn w:val="1"/>
    <w:uiPriority w:val="0"/>
    <w:pPr>
      <w:widowControl/>
      <w:ind w:firstLine="482"/>
      <w:jc w:val="left"/>
    </w:pPr>
    <w:rPr>
      <w:rFonts w:ascii="宋体" w:hAnsi="宋体" w:cs="宋体"/>
      <w:kern w:val="0"/>
      <w:szCs w:val="24"/>
    </w:rPr>
  </w:style>
  <w:style w:type="paragraph" w:customStyle="1" w:styleId="3277">
    <w:name w:val="表格内字体121"/>
    <w:basedOn w:val="207"/>
    <w:next w:val="207"/>
    <w:uiPriority w:val="0"/>
    <w:pPr>
      <w:spacing w:line="240" w:lineRule="auto"/>
      <w:ind w:firstLine="0"/>
      <w:jc w:val="center"/>
    </w:pPr>
    <w:rPr>
      <w:rFonts w:hAnsi="宋体"/>
      <w:sz w:val="21"/>
      <w:szCs w:val="24"/>
    </w:rPr>
  </w:style>
  <w:style w:type="paragraph" w:customStyle="1" w:styleId="3278">
    <w:name w:val="表格内字体43"/>
    <w:basedOn w:val="207"/>
    <w:next w:val="207"/>
    <w:uiPriority w:val="0"/>
    <w:pPr>
      <w:spacing w:line="240" w:lineRule="auto"/>
      <w:ind w:firstLine="0"/>
      <w:jc w:val="center"/>
    </w:pPr>
    <w:rPr>
      <w:rFonts w:hAnsi="宋体"/>
      <w:sz w:val="21"/>
      <w:szCs w:val="24"/>
    </w:rPr>
  </w:style>
  <w:style w:type="paragraph" w:customStyle="1" w:styleId="3279">
    <w:name w:val="图题53"/>
    <w:basedOn w:val="207"/>
    <w:next w:val="207"/>
    <w:uiPriority w:val="0"/>
    <w:pPr>
      <w:ind w:firstLine="0"/>
      <w:jc w:val="center"/>
    </w:pPr>
    <w:rPr>
      <w:rFonts w:ascii="黑体" w:hAnsi="宋体" w:eastAsia="黑体" w:cs="宋体"/>
      <w:b/>
      <w:bCs/>
      <w:szCs w:val="24"/>
    </w:rPr>
  </w:style>
  <w:style w:type="paragraph" w:customStyle="1" w:styleId="3280">
    <w:name w:val="默认段落字体 Para Char13"/>
    <w:basedOn w:val="1"/>
    <w:next w:val="1"/>
    <w:uiPriority w:val="0"/>
    <w:pPr>
      <w:widowControl/>
      <w:spacing w:line="480" w:lineRule="exact"/>
      <w:jc w:val="left"/>
    </w:pPr>
    <w:rPr>
      <w:rFonts w:ascii="宋体" w:hAnsi="宋体" w:eastAsia="汉鼎简书宋" w:cs="宋体"/>
      <w:kern w:val="0"/>
      <w:szCs w:val="24"/>
    </w:rPr>
  </w:style>
  <w:style w:type="paragraph" w:customStyle="1" w:styleId="3281">
    <w:name w:val="图题72"/>
    <w:basedOn w:val="207"/>
    <w:next w:val="207"/>
    <w:uiPriority w:val="0"/>
    <w:pPr>
      <w:ind w:firstLine="0"/>
      <w:jc w:val="center"/>
    </w:pPr>
    <w:rPr>
      <w:rFonts w:ascii="黑体" w:hAnsi="宋体" w:eastAsia="黑体" w:cs="宋体"/>
      <w:b/>
      <w:bCs/>
      <w:szCs w:val="24"/>
    </w:rPr>
  </w:style>
  <w:style w:type="paragraph" w:customStyle="1" w:styleId="3282">
    <w:name w:val="样式 正文缩进 + 宋体 黑色 首行缩进:  2 字符2"/>
    <w:basedOn w:val="307"/>
    <w:uiPriority w:val="0"/>
    <w:pPr>
      <w:ind w:firstLine="480"/>
    </w:pPr>
    <w:rPr>
      <w:rFonts w:cs="宋体"/>
      <w:color w:val="FF00FF"/>
    </w:rPr>
  </w:style>
  <w:style w:type="paragraph" w:customStyle="1" w:styleId="3283">
    <w:name w:val="表格内字体63"/>
    <w:basedOn w:val="207"/>
    <w:next w:val="207"/>
    <w:uiPriority w:val="0"/>
    <w:pPr>
      <w:spacing w:line="240" w:lineRule="auto"/>
      <w:ind w:firstLine="0"/>
      <w:jc w:val="center"/>
    </w:pPr>
    <w:rPr>
      <w:rFonts w:hAnsi="宋体"/>
      <w:sz w:val="21"/>
      <w:szCs w:val="24"/>
    </w:rPr>
  </w:style>
  <w:style w:type="paragraph" w:customStyle="1" w:styleId="3284">
    <w:name w:val="表格内字体211"/>
    <w:basedOn w:val="207"/>
    <w:next w:val="207"/>
    <w:uiPriority w:val="0"/>
    <w:pPr>
      <w:spacing w:line="240" w:lineRule="auto"/>
      <w:ind w:firstLine="0"/>
      <w:jc w:val="center"/>
    </w:pPr>
    <w:rPr>
      <w:rFonts w:hAnsi="宋体"/>
      <w:sz w:val="21"/>
      <w:szCs w:val="24"/>
    </w:rPr>
  </w:style>
  <w:style w:type="paragraph" w:customStyle="1" w:styleId="3285">
    <w:name w:val="图题611"/>
    <w:basedOn w:val="207"/>
    <w:next w:val="207"/>
    <w:uiPriority w:val="0"/>
    <w:pPr>
      <w:ind w:firstLine="0"/>
      <w:jc w:val="center"/>
    </w:pPr>
    <w:rPr>
      <w:rFonts w:ascii="黑体" w:hAnsi="宋体" w:eastAsia="黑体" w:cs="宋体"/>
      <w:b/>
      <w:bCs/>
      <w:kern w:val="0"/>
      <w:szCs w:val="24"/>
    </w:rPr>
  </w:style>
  <w:style w:type="paragraph" w:customStyle="1" w:styleId="3286">
    <w:name w:val="图题2112"/>
    <w:basedOn w:val="207"/>
    <w:next w:val="207"/>
    <w:uiPriority w:val="0"/>
    <w:pPr>
      <w:ind w:firstLine="0"/>
      <w:jc w:val="center"/>
    </w:pPr>
    <w:rPr>
      <w:rFonts w:ascii="黑体" w:hAnsi="宋体" w:eastAsia="黑体" w:cs="宋体"/>
      <w:b/>
      <w:bCs/>
      <w:szCs w:val="24"/>
    </w:rPr>
  </w:style>
  <w:style w:type="paragraph" w:customStyle="1" w:styleId="3287">
    <w:name w:val="表文字5121"/>
    <w:basedOn w:val="1"/>
    <w:uiPriority w:val="0"/>
    <w:pPr>
      <w:widowControl/>
      <w:jc w:val="left"/>
      <w:textAlignment w:val="baseline"/>
    </w:pPr>
    <w:rPr>
      <w:rFonts w:ascii="宋体" w:hAnsi="宋体" w:cs="宋体"/>
      <w:kern w:val="0"/>
      <w:szCs w:val="20"/>
    </w:rPr>
  </w:style>
  <w:style w:type="paragraph" w:customStyle="1" w:styleId="3288">
    <w:name w:val="图题注3"/>
    <w:basedOn w:val="19"/>
    <w:uiPriority w:val="0"/>
    <w:pPr>
      <w:widowControl/>
      <w:ind w:firstLine="0" w:firstLineChars="0"/>
      <w:jc w:val="center"/>
    </w:pPr>
    <w:rPr>
      <w:rFonts w:ascii="黑体" w:cs="宋体"/>
      <w:b/>
      <w:bCs/>
    </w:rPr>
  </w:style>
  <w:style w:type="paragraph" w:customStyle="1" w:styleId="3289">
    <w:name w:val="注释3"/>
    <w:basedOn w:val="207"/>
    <w:next w:val="27"/>
    <w:uiPriority w:val="0"/>
    <w:pPr>
      <w:spacing w:before="120" w:after="120" w:line="240" w:lineRule="auto"/>
      <w:ind w:firstLine="200"/>
    </w:pPr>
    <w:rPr>
      <w:rFonts w:hAnsi="Times New Roman" w:cs="宋体"/>
      <w:sz w:val="21"/>
      <w:szCs w:val="20"/>
    </w:rPr>
  </w:style>
  <w:style w:type="paragraph" w:customStyle="1" w:styleId="3290">
    <w:name w:val="表题162"/>
    <w:basedOn w:val="19"/>
    <w:uiPriority w:val="0"/>
    <w:pPr>
      <w:widowControl/>
      <w:ind w:firstLine="0" w:firstLineChars="0"/>
      <w:jc w:val="center"/>
    </w:pPr>
    <w:rPr>
      <w:rFonts w:ascii="黑体" w:cs="Arial"/>
      <w:b/>
    </w:rPr>
  </w:style>
  <w:style w:type="paragraph" w:customStyle="1" w:styleId="3291">
    <w:name w:val="正文格式111"/>
    <w:basedOn w:val="1"/>
    <w:uiPriority w:val="0"/>
    <w:pPr>
      <w:widowControl/>
      <w:ind w:firstLine="482"/>
      <w:jc w:val="left"/>
    </w:pPr>
    <w:rPr>
      <w:rFonts w:ascii="宋体" w:hAnsi="宋体" w:cs="宋体"/>
      <w:kern w:val="0"/>
      <w:szCs w:val="24"/>
    </w:rPr>
  </w:style>
  <w:style w:type="paragraph" w:customStyle="1" w:styleId="3292">
    <w:name w:val="Char53"/>
    <w:basedOn w:val="1"/>
    <w:uiPriority w:val="0"/>
    <w:pPr>
      <w:widowControl/>
      <w:ind w:left="-45"/>
      <w:jc w:val="left"/>
    </w:pPr>
    <w:rPr>
      <w:rFonts w:ascii="宋体" w:hAnsi="宋体" w:cs="宋体"/>
      <w:kern w:val="0"/>
      <w:szCs w:val="24"/>
    </w:rPr>
  </w:style>
  <w:style w:type="paragraph" w:customStyle="1" w:styleId="3293">
    <w:name w:val="表格内字体24"/>
    <w:basedOn w:val="207"/>
    <w:next w:val="207"/>
    <w:uiPriority w:val="0"/>
    <w:pPr>
      <w:spacing w:line="240" w:lineRule="auto"/>
      <w:ind w:firstLine="0"/>
      <w:jc w:val="center"/>
    </w:pPr>
    <w:rPr>
      <w:rFonts w:hAnsi="宋体"/>
      <w:sz w:val="21"/>
      <w:szCs w:val="24"/>
    </w:rPr>
  </w:style>
  <w:style w:type="paragraph" w:customStyle="1" w:styleId="3294">
    <w:name w:val="表格12"/>
    <w:basedOn w:val="1"/>
    <w:uiPriority w:val="0"/>
    <w:pPr>
      <w:widowControl/>
      <w:jc w:val="center"/>
      <w:textAlignment w:val="baseline"/>
    </w:pPr>
    <w:rPr>
      <w:rFonts w:ascii="宋体" w:hAnsi="宋体" w:cs="宋体"/>
      <w:kern w:val="0"/>
      <w:szCs w:val="20"/>
    </w:rPr>
  </w:style>
  <w:style w:type="paragraph" w:customStyle="1" w:styleId="3295">
    <w:name w:val="表格内字体411"/>
    <w:basedOn w:val="207"/>
    <w:next w:val="207"/>
    <w:uiPriority w:val="0"/>
    <w:pPr>
      <w:spacing w:line="240" w:lineRule="auto"/>
      <w:ind w:firstLine="0"/>
      <w:jc w:val="center"/>
    </w:pPr>
    <w:rPr>
      <w:rFonts w:hAnsi="宋体"/>
      <w:sz w:val="21"/>
      <w:szCs w:val="24"/>
    </w:rPr>
  </w:style>
  <w:style w:type="paragraph" w:customStyle="1" w:styleId="3296">
    <w:name w:val="正文211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297">
    <w:name w:val="默认段落字体 Para Char211"/>
    <w:basedOn w:val="1"/>
    <w:next w:val="1"/>
    <w:uiPriority w:val="0"/>
    <w:pPr>
      <w:widowControl/>
      <w:spacing w:line="480" w:lineRule="exact"/>
      <w:jc w:val="left"/>
    </w:pPr>
    <w:rPr>
      <w:rFonts w:ascii="宋体" w:hAnsi="宋体" w:eastAsia="汉鼎简书宋" w:cs="宋体"/>
      <w:kern w:val="0"/>
      <w:szCs w:val="24"/>
    </w:rPr>
  </w:style>
  <w:style w:type="paragraph" w:customStyle="1" w:styleId="3298">
    <w:name w:val="表文字5212"/>
    <w:basedOn w:val="1"/>
    <w:uiPriority w:val="0"/>
    <w:pPr>
      <w:widowControl/>
      <w:jc w:val="left"/>
      <w:textAlignment w:val="baseline"/>
    </w:pPr>
    <w:rPr>
      <w:rFonts w:ascii="宋体" w:hAnsi="宋体" w:cs="宋体"/>
      <w:kern w:val="0"/>
      <w:szCs w:val="20"/>
    </w:rPr>
  </w:style>
  <w:style w:type="paragraph" w:customStyle="1" w:styleId="3299">
    <w:name w:val="默认段落字体 Para Char51"/>
    <w:basedOn w:val="1"/>
    <w:next w:val="1"/>
    <w:uiPriority w:val="0"/>
    <w:pPr>
      <w:widowControl/>
      <w:spacing w:line="480" w:lineRule="exact"/>
      <w:jc w:val="left"/>
    </w:pPr>
    <w:rPr>
      <w:rFonts w:ascii="宋体" w:hAnsi="宋体" w:eastAsia="汉鼎简书宋" w:cs="宋体"/>
      <w:kern w:val="0"/>
      <w:szCs w:val="24"/>
    </w:rPr>
  </w:style>
  <w:style w:type="paragraph" w:customStyle="1" w:styleId="3300">
    <w:name w:val="表格11"/>
    <w:basedOn w:val="1"/>
    <w:uiPriority w:val="0"/>
    <w:pPr>
      <w:widowControl/>
      <w:jc w:val="center"/>
      <w:textAlignment w:val="baseline"/>
    </w:pPr>
    <w:rPr>
      <w:rFonts w:ascii="宋体" w:hAnsi="宋体" w:cs="宋体"/>
      <w:kern w:val="0"/>
      <w:szCs w:val="20"/>
    </w:rPr>
  </w:style>
  <w:style w:type="paragraph" w:customStyle="1" w:styleId="3301">
    <w:name w:val="图题71"/>
    <w:basedOn w:val="207"/>
    <w:next w:val="207"/>
    <w:uiPriority w:val="0"/>
    <w:pPr>
      <w:ind w:firstLine="0"/>
      <w:jc w:val="center"/>
    </w:pPr>
    <w:rPr>
      <w:rFonts w:ascii="黑体" w:hAnsi="宋体" w:eastAsia="黑体" w:cs="宋体"/>
      <w:b/>
      <w:bCs/>
      <w:szCs w:val="24"/>
    </w:rPr>
  </w:style>
  <w:style w:type="paragraph" w:customStyle="1" w:styleId="3302">
    <w:name w:val="正文23"/>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303">
    <w:name w:val="表题17"/>
    <w:basedOn w:val="19"/>
    <w:uiPriority w:val="0"/>
    <w:pPr>
      <w:widowControl/>
      <w:ind w:firstLine="0" w:firstLineChars="0"/>
      <w:jc w:val="center"/>
    </w:pPr>
    <w:rPr>
      <w:rFonts w:ascii="黑体" w:cs="Arial"/>
      <w:b/>
    </w:rPr>
  </w:style>
  <w:style w:type="paragraph" w:customStyle="1" w:styleId="3304">
    <w:name w:val="正文格式23"/>
    <w:basedOn w:val="1"/>
    <w:uiPriority w:val="0"/>
    <w:pPr>
      <w:widowControl/>
      <w:ind w:firstLine="482"/>
      <w:jc w:val="left"/>
    </w:pPr>
    <w:rPr>
      <w:rFonts w:ascii="宋体" w:hAnsi="宋体" w:cs="宋体"/>
      <w:kern w:val="0"/>
      <w:szCs w:val="24"/>
    </w:rPr>
  </w:style>
  <w:style w:type="paragraph" w:customStyle="1" w:styleId="3305">
    <w:name w:val="表文字513"/>
    <w:basedOn w:val="1"/>
    <w:uiPriority w:val="0"/>
    <w:pPr>
      <w:widowControl/>
      <w:jc w:val="left"/>
      <w:textAlignment w:val="baseline"/>
    </w:pPr>
    <w:rPr>
      <w:rFonts w:ascii="宋体" w:hAnsi="宋体" w:cs="宋体"/>
      <w:kern w:val="0"/>
      <w:szCs w:val="20"/>
    </w:rPr>
  </w:style>
  <w:style w:type="paragraph" w:customStyle="1" w:styleId="3306">
    <w:name w:val="正文格式52"/>
    <w:basedOn w:val="1"/>
    <w:uiPriority w:val="0"/>
    <w:pPr>
      <w:widowControl/>
      <w:ind w:firstLine="482"/>
      <w:jc w:val="left"/>
    </w:pPr>
    <w:rPr>
      <w:rFonts w:ascii="宋体" w:hAnsi="宋体" w:cs="宋体"/>
      <w:kern w:val="0"/>
      <w:szCs w:val="24"/>
    </w:rPr>
  </w:style>
  <w:style w:type="paragraph" w:customStyle="1" w:styleId="3307">
    <w:name w:val="23-47表名11"/>
    <w:basedOn w:val="1"/>
    <w:uiPriority w:val="0"/>
    <w:pPr>
      <w:widowControl/>
      <w:spacing w:after="156" w:line="440" w:lineRule="exact"/>
      <w:jc w:val="center"/>
    </w:pPr>
    <w:rPr>
      <w:rFonts w:ascii="宋体" w:hAnsi="宋体" w:cs="宋体"/>
      <w:b/>
      <w:kern w:val="0"/>
      <w:szCs w:val="24"/>
    </w:rPr>
  </w:style>
  <w:style w:type="paragraph" w:customStyle="1" w:styleId="3308">
    <w:name w:val="正文222"/>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309">
    <w:name w:val="表题16"/>
    <w:basedOn w:val="19"/>
    <w:uiPriority w:val="0"/>
    <w:pPr>
      <w:widowControl/>
      <w:ind w:firstLine="0" w:firstLineChars="0"/>
      <w:jc w:val="center"/>
    </w:pPr>
    <w:rPr>
      <w:rFonts w:ascii="黑体" w:cs="Arial"/>
      <w:b/>
    </w:rPr>
  </w:style>
  <w:style w:type="paragraph" w:customStyle="1" w:styleId="3310">
    <w:name w:val="表题142"/>
    <w:basedOn w:val="19"/>
    <w:uiPriority w:val="0"/>
    <w:pPr>
      <w:widowControl/>
      <w:ind w:firstLine="0" w:firstLineChars="0"/>
      <w:jc w:val="center"/>
    </w:pPr>
    <w:rPr>
      <w:rFonts w:ascii="黑体" w:cs="Arial"/>
      <w:b/>
    </w:rPr>
  </w:style>
  <w:style w:type="paragraph" w:customStyle="1" w:styleId="3311">
    <w:name w:val="表格内字体61"/>
    <w:basedOn w:val="207"/>
    <w:next w:val="207"/>
    <w:uiPriority w:val="0"/>
    <w:pPr>
      <w:spacing w:line="240" w:lineRule="auto"/>
      <w:ind w:firstLine="0"/>
      <w:jc w:val="center"/>
    </w:pPr>
    <w:rPr>
      <w:rFonts w:hAnsi="宋体"/>
      <w:sz w:val="21"/>
      <w:szCs w:val="24"/>
    </w:rPr>
  </w:style>
  <w:style w:type="paragraph" w:customStyle="1" w:styleId="3312">
    <w:name w:val="默认段落字体 Para Char6"/>
    <w:basedOn w:val="1"/>
    <w:next w:val="1"/>
    <w:uiPriority w:val="0"/>
    <w:pPr>
      <w:widowControl/>
      <w:spacing w:line="480" w:lineRule="exact"/>
      <w:jc w:val="left"/>
    </w:pPr>
    <w:rPr>
      <w:rFonts w:ascii="宋体" w:hAnsi="宋体" w:eastAsia="汉鼎简书宋" w:cs="宋体"/>
      <w:kern w:val="0"/>
      <w:szCs w:val="24"/>
    </w:rPr>
  </w:style>
  <w:style w:type="paragraph" w:customStyle="1" w:styleId="3313">
    <w:name w:val="表内文字小1111"/>
    <w:basedOn w:val="1"/>
    <w:uiPriority w:val="0"/>
    <w:pPr>
      <w:widowControl/>
      <w:jc w:val="left"/>
    </w:pPr>
    <w:rPr>
      <w:rFonts w:ascii="宋体" w:hAnsi="Times" w:cs="宋体"/>
      <w:kern w:val="0"/>
      <w:szCs w:val="20"/>
    </w:rPr>
  </w:style>
  <w:style w:type="paragraph" w:customStyle="1" w:styleId="3314">
    <w:name w:val="表题1312"/>
    <w:basedOn w:val="19"/>
    <w:uiPriority w:val="0"/>
    <w:pPr>
      <w:widowControl/>
      <w:ind w:firstLine="0" w:firstLineChars="0"/>
      <w:jc w:val="center"/>
    </w:pPr>
    <w:rPr>
      <w:rFonts w:ascii="黑体" w:cs="Arial"/>
      <w:b/>
    </w:rPr>
  </w:style>
  <w:style w:type="paragraph" w:customStyle="1" w:styleId="3315">
    <w:name w:val="表题1111"/>
    <w:basedOn w:val="19"/>
    <w:uiPriority w:val="0"/>
    <w:pPr>
      <w:widowControl/>
      <w:ind w:firstLine="0" w:firstLineChars="0"/>
      <w:jc w:val="center"/>
    </w:pPr>
    <w:rPr>
      <w:rFonts w:ascii="黑体" w:cs="Arial"/>
    </w:rPr>
  </w:style>
  <w:style w:type="paragraph" w:customStyle="1" w:styleId="3316">
    <w:name w:val="表格内字体2111"/>
    <w:basedOn w:val="207"/>
    <w:next w:val="207"/>
    <w:uiPriority w:val="0"/>
    <w:pPr>
      <w:spacing w:line="240" w:lineRule="auto"/>
      <w:ind w:firstLine="0"/>
      <w:jc w:val="center"/>
    </w:pPr>
    <w:rPr>
      <w:rFonts w:hAnsi="宋体"/>
      <w:sz w:val="21"/>
      <w:szCs w:val="24"/>
    </w:rPr>
  </w:style>
  <w:style w:type="paragraph" w:customStyle="1" w:styleId="3317">
    <w:name w:val="样式 表格内字体 +21"/>
    <w:basedOn w:val="347"/>
    <w:uiPriority w:val="0"/>
    <w:pPr>
      <w:spacing w:line="280" w:lineRule="exact"/>
      <w:ind w:firstLine="36"/>
      <w:jc w:val="both"/>
    </w:pPr>
    <w:rPr>
      <w:rFonts w:hAnsi="宋体"/>
      <w:sz w:val="21"/>
      <w:szCs w:val="24"/>
    </w:rPr>
  </w:style>
  <w:style w:type="paragraph" w:customStyle="1" w:styleId="3318">
    <w:name w:val="样式 表格内字体 +11"/>
    <w:basedOn w:val="347"/>
    <w:uiPriority w:val="0"/>
    <w:pPr>
      <w:spacing w:line="280" w:lineRule="exact"/>
      <w:ind w:firstLine="36"/>
      <w:jc w:val="both"/>
    </w:pPr>
    <w:rPr>
      <w:rFonts w:hAnsi="宋体"/>
      <w:sz w:val="21"/>
      <w:szCs w:val="24"/>
    </w:rPr>
  </w:style>
  <w:style w:type="paragraph" w:customStyle="1" w:styleId="3319">
    <w:name w:val="表内文字小112"/>
    <w:basedOn w:val="1"/>
    <w:uiPriority w:val="0"/>
    <w:pPr>
      <w:widowControl/>
      <w:jc w:val="left"/>
    </w:pPr>
    <w:rPr>
      <w:rFonts w:ascii="宋体" w:hAnsi="Times" w:cs="宋体"/>
      <w:kern w:val="0"/>
      <w:szCs w:val="20"/>
    </w:rPr>
  </w:style>
  <w:style w:type="paragraph" w:customStyle="1" w:styleId="3320">
    <w:name w:val="图题221"/>
    <w:basedOn w:val="207"/>
    <w:next w:val="207"/>
    <w:uiPriority w:val="0"/>
    <w:pPr>
      <w:ind w:firstLine="0"/>
      <w:jc w:val="center"/>
    </w:pPr>
    <w:rPr>
      <w:rFonts w:ascii="黑体" w:hAnsi="宋体" w:eastAsia="黑体" w:cs="宋体"/>
      <w:b/>
      <w:bCs/>
      <w:szCs w:val="24"/>
    </w:rPr>
  </w:style>
  <w:style w:type="paragraph" w:customStyle="1" w:styleId="3321">
    <w:name w:val="表格内字体1111"/>
    <w:basedOn w:val="207"/>
    <w:uiPriority w:val="0"/>
    <w:pPr>
      <w:spacing w:line="240" w:lineRule="auto"/>
      <w:ind w:firstLine="0"/>
      <w:jc w:val="center"/>
    </w:pPr>
    <w:rPr>
      <w:rFonts w:hAnsi="Times New Roman" w:cs="宋体"/>
      <w:sz w:val="21"/>
      <w:szCs w:val="20"/>
    </w:rPr>
  </w:style>
  <w:style w:type="paragraph" w:customStyle="1" w:styleId="3322">
    <w:name w:val="默认段落字体 Para Char112"/>
    <w:basedOn w:val="1"/>
    <w:next w:val="1"/>
    <w:uiPriority w:val="0"/>
    <w:pPr>
      <w:widowControl/>
      <w:spacing w:line="480" w:lineRule="exact"/>
      <w:jc w:val="left"/>
    </w:pPr>
    <w:rPr>
      <w:rFonts w:ascii="宋体" w:hAnsi="宋体" w:eastAsia="汉鼎简书宋" w:cs="宋体"/>
      <w:kern w:val="0"/>
      <w:szCs w:val="24"/>
    </w:rPr>
  </w:style>
  <w:style w:type="paragraph" w:customStyle="1" w:styleId="3323">
    <w:name w:val="表格内字体9"/>
    <w:basedOn w:val="207"/>
    <w:next w:val="207"/>
    <w:uiPriority w:val="0"/>
    <w:pPr>
      <w:spacing w:line="240" w:lineRule="auto"/>
      <w:ind w:firstLine="0"/>
      <w:jc w:val="center"/>
    </w:pPr>
    <w:rPr>
      <w:rFonts w:hAnsi="宋体"/>
      <w:sz w:val="21"/>
      <w:szCs w:val="24"/>
    </w:rPr>
  </w:style>
  <w:style w:type="paragraph" w:customStyle="1" w:styleId="3324">
    <w:name w:val="正文格式15"/>
    <w:basedOn w:val="1"/>
    <w:qFormat/>
    <w:uiPriority w:val="0"/>
    <w:pPr>
      <w:widowControl/>
      <w:ind w:firstLine="482"/>
      <w:jc w:val="left"/>
    </w:pPr>
    <w:rPr>
      <w:rFonts w:ascii="宋体" w:hAnsi="宋体" w:cs="宋体"/>
      <w:kern w:val="0"/>
      <w:szCs w:val="24"/>
    </w:rPr>
  </w:style>
  <w:style w:type="paragraph" w:customStyle="1" w:styleId="3325">
    <w:name w:val="表格内字体311"/>
    <w:basedOn w:val="207"/>
    <w:next w:val="207"/>
    <w:uiPriority w:val="0"/>
    <w:pPr>
      <w:spacing w:line="240" w:lineRule="auto"/>
      <w:ind w:firstLine="0"/>
      <w:jc w:val="center"/>
    </w:pPr>
    <w:rPr>
      <w:rFonts w:hAnsi="宋体"/>
      <w:sz w:val="21"/>
      <w:szCs w:val="24"/>
    </w:rPr>
  </w:style>
  <w:style w:type="paragraph" w:customStyle="1" w:styleId="3326">
    <w:name w:val="表题1511"/>
    <w:basedOn w:val="19"/>
    <w:qFormat/>
    <w:uiPriority w:val="0"/>
    <w:pPr>
      <w:widowControl/>
      <w:ind w:firstLine="0" w:firstLineChars="0"/>
      <w:jc w:val="center"/>
    </w:pPr>
    <w:rPr>
      <w:rFonts w:ascii="黑体" w:cs="Arial"/>
      <w:b/>
    </w:rPr>
  </w:style>
  <w:style w:type="paragraph" w:customStyle="1" w:styleId="3327">
    <w:name w:val="Char511"/>
    <w:basedOn w:val="1"/>
    <w:uiPriority w:val="0"/>
    <w:pPr>
      <w:widowControl/>
      <w:ind w:left="-45"/>
      <w:jc w:val="left"/>
    </w:pPr>
    <w:rPr>
      <w:rFonts w:ascii="宋体" w:hAnsi="宋体" w:cs="宋体"/>
      <w:kern w:val="0"/>
      <w:szCs w:val="24"/>
    </w:rPr>
  </w:style>
  <w:style w:type="paragraph" w:customStyle="1" w:styleId="3328">
    <w:name w:val="表文字5311"/>
    <w:basedOn w:val="1"/>
    <w:uiPriority w:val="0"/>
    <w:pPr>
      <w:widowControl/>
      <w:jc w:val="left"/>
      <w:textAlignment w:val="baseline"/>
    </w:pPr>
    <w:rPr>
      <w:rFonts w:ascii="宋体" w:hAnsi="宋体" w:cs="宋体"/>
      <w:kern w:val="0"/>
      <w:szCs w:val="20"/>
    </w:rPr>
  </w:style>
  <w:style w:type="paragraph" w:customStyle="1" w:styleId="3329">
    <w:name w:val="表内文字小114"/>
    <w:basedOn w:val="1"/>
    <w:uiPriority w:val="0"/>
    <w:pPr>
      <w:widowControl/>
      <w:jc w:val="left"/>
    </w:pPr>
    <w:rPr>
      <w:rFonts w:ascii="宋体" w:hAnsi="Times" w:cs="宋体"/>
      <w:kern w:val="0"/>
      <w:szCs w:val="20"/>
    </w:rPr>
  </w:style>
  <w:style w:type="paragraph" w:customStyle="1" w:styleId="3330">
    <w:name w:val="正文格式311"/>
    <w:basedOn w:val="1"/>
    <w:uiPriority w:val="0"/>
    <w:pPr>
      <w:widowControl/>
      <w:ind w:firstLine="482"/>
      <w:jc w:val="left"/>
    </w:pPr>
    <w:rPr>
      <w:rFonts w:ascii="宋体" w:hAnsi="宋体" w:cs="宋体"/>
      <w:kern w:val="0"/>
      <w:szCs w:val="24"/>
    </w:rPr>
  </w:style>
  <w:style w:type="paragraph" w:customStyle="1" w:styleId="3331">
    <w:name w:val="图题33"/>
    <w:basedOn w:val="207"/>
    <w:next w:val="207"/>
    <w:uiPriority w:val="0"/>
    <w:pPr>
      <w:ind w:firstLine="0"/>
      <w:jc w:val="center"/>
    </w:pPr>
    <w:rPr>
      <w:rFonts w:ascii="黑体" w:hAnsi="宋体" w:eastAsia="黑体" w:cs="宋体"/>
      <w:b/>
      <w:bCs/>
      <w:szCs w:val="24"/>
    </w:rPr>
  </w:style>
  <w:style w:type="paragraph" w:customStyle="1" w:styleId="3332">
    <w:name w:val="默认段落字体 Para Char11"/>
    <w:basedOn w:val="1"/>
    <w:next w:val="1"/>
    <w:uiPriority w:val="0"/>
    <w:pPr>
      <w:widowControl/>
      <w:spacing w:line="480" w:lineRule="exact"/>
      <w:jc w:val="left"/>
    </w:pPr>
    <w:rPr>
      <w:rFonts w:ascii="宋体" w:hAnsi="宋体" w:eastAsia="汉鼎简书宋" w:cs="宋体"/>
      <w:kern w:val="0"/>
      <w:szCs w:val="24"/>
    </w:rPr>
  </w:style>
  <w:style w:type="paragraph" w:customStyle="1" w:styleId="3333">
    <w:name w:val="默认段落字体 Para Char23"/>
    <w:basedOn w:val="1"/>
    <w:next w:val="1"/>
    <w:uiPriority w:val="0"/>
    <w:pPr>
      <w:widowControl/>
      <w:spacing w:line="480" w:lineRule="exact"/>
      <w:jc w:val="left"/>
    </w:pPr>
    <w:rPr>
      <w:rFonts w:ascii="宋体" w:hAnsi="宋体" w:eastAsia="汉鼎简书宋" w:cs="宋体"/>
      <w:kern w:val="0"/>
      <w:szCs w:val="24"/>
    </w:rPr>
  </w:style>
  <w:style w:type="paragraph" w:customStyle="1" w:styleId="3334">
    <w:name w:val="表题11111"/>
    <w:basedOn w:val="19"/>
    <w:uiPriority w:val="0"/>
    <w:pPr>
      <w:widowControl/>
      <w:ind w:firstLine="0" w:firstLineChars="0"/>
      <w:jc w:val="center"/>
    </w:pPr>
    <w:rPr>
      <w:rFonts w:ascii="黑体" w:cs="Arial"/>
    </w:rPr>
  </w:style>
  <w:style w:type="paragraph" w:customStyle="1" w:styleId="3335">
    <w:name w:val="图题412"/>
    <w:basedOn w:val="207"/>
    <w:next w:val="207"/>
    <w:uiPriority w:val="0"/>
    <w:pPr>
      <w:ind w:firstLine="0"/>
      <w:jc w:val="center"/>
    </w:pPr>
    <w:rPr>
      <w:rFonts w:ascii="黑体" w:hAnsi="宋体" w:eastAsia="黑体" w:cs="宋体"/>
      <w:b/>
      <w:bCs/>
      <w:szCs w:val="24"/>
    </w:rPr>
  </w:style>
  <w:style w:type="paragraph" w:customStyle="1" w:styleId="3336">
    <w:name w:val="表格内字体3111"/>
    <w:basedOn w:val="207"/>
    <w:next w:val="207"/>
    <w:uiPriority w:val="0"/>
    <w:pPr>
      <w:spacing w:line="240" w:lineRule="auto"/>
      <w:ind w:firstLine="0"/>
      <w:jc w:val="center"/>
    </w:pPr>
    <w:rPr>
      <w:rFonts w:hAnsi="宋体"/>
      <w:sz w:val="21"/>
      <w:szCs w:val="24"/>
    </w:rPr>
  </w:style>
  <w:style w:type="paragraph" w:customStyle="1" w:styleId="3337">
    <w:name w:val="图题13"/>
    <w:basedOn w:val="207"/>
    <w:next w:val="207"/>
    <w:uiPriority w:val="0"/>
    <w:pPr>
      <w:ind w:firstLine="0"/>
      <w:jc w:val="center"/>
    </w:pPr>
    <w:rPr>
      <w:rFonts w:ascii="黑体" w:hAnsi="宋体" w:eastAsia="黑体" w:cs="宋体"/>
      <w:b/>
      <w:bCs/>
      <w:szCs w:val="24"/>
    </w:rPr>
  </w:style>
  <w:style w:type="paragraph" w:customStyle="1" w:styleId="3338">
    <w:name w:val="正文格式212"/>
    <w:basedOn w:val="1"/>
    <w:uiPriority w:val="0"/>
    <w:pPr>
      <w:widowControl/>
      <w:ind w:firstLine="482"/>
      <w:jc w:val="left"/>
    </w:pPr>
    <w:rPr>
      <w:rFonts w:ascii="宋体" w:hAnsi="宋体" w:cs="宋体"/>
      <w:kern w:val="0"/>
      <w:szCs w:val="24"/>
    </w:rPr>
  </w:style>
  <w:style w:type="paragraph" w:customStyle="1" w:styleId="3339">
    <w:name w:val="样式 正文缩进 + 宋体 黑色 首行缩进:  2 字符11"/>
    <w:basedOn w:val="307"/>
    <w:uiPriority w:val="0"/>
    <w:pPr>
      <w:ind w:firstLine="480"/>
    </w:pPr>
    <w:rPr>
      <w:rFonts w:cs="宋体"/>
      <w:color w:val="FF00FF"/>
    </w:rPr>
  </w:style>
  <w:style w:type="paragraph" w:customStyle="1" w:styleId="3340">
    <w:name w:val="样式 样式 宋体 + 首行缩进:  2 字符111"/>
    <w:basedOn w:val="1"/>
    <w:uiPriority w:val="0"/>
    <w:pPr>
      <w:widowControl/>
      <w:ind w:firstLine="480"/>
      <w:jc w:val="left"/>
    </w:pPr>
    <w:rPr>
      <w:rFonts w:ascii="宋体" w:hAnsi="宋体" w:cs="宋体"/>
      <w:kern w:val="0"/>
      <w:szCs w:val="24"/>
    </w:rPr>
  </w:style>
  <w:style w:type="paragraph" w:customStyle="1" w:styleId="3341">
    <w:name w:val="表格内字体42"/>
    <w:basedOn w:val="207"/>
    <w:next w:val="207"/>
    <w:uiPriority w:val="0"/>
    <w:pPr>
      <w:spacing w:line="240" w:lineRule="auto"/>
      <w:ind w:firstLine="0"/>
      <w:jc w:val="center"/>
    </w:pPr>
    <w:rPr>
      <w:rFonts w:hAnsi="宋体"/>
      <w:sz w:val="21"/>
      <w:szCs w:val="24"/>
    </w:rPr>
  </w:style>
  <w:style w:type="paragraph" w:customStyle="1" w:styleId="3342">
    <w:name w:val="样式 正文缩进 + 宋体 黑色3"/>
    <w:basedOn w:val="307"/>
    <w:uiPriority w:val="0"/>
    <w:rPr>
      <w:color w:val="000000"/>
    </w:rPr>
  </w:style>
  <w:style w:type="paragraph" w:customStyle="1" w:styleId="3343">
    <w:name w:val="表格内字体412"/>
    <w:basedOn w:val="207"/>
    <w:next w:val="207"/>
    <w:uiPriority w:val="0"/>
    <w:pPr>
      <w:spacing w:line="240" w:lineRule="auto"/>
      <w:ind w:firstLine="0"/>
      <w:jc w:val="center"/>
    </w:pPr>
    <w:rPr>
      <w:rFonts w:hAnsi="宋体"/>
      <w:sz w:val="21"/>
      <w:szCs w:val="24"/>
    </w:rPr>
  </w:style>
  <w:style w:type="paragraph" w:customStyle="1" w:styleId="3344">
    <w:name w:val="正文格式81"/>
    <w:basedOn w:val="1"/>
    <w:uiPriority w:val="0"/>
    <w:pPr>
      <w:widowControl/>
      <w:ind w:firstLine="482"/>
      <w:jc w:val="left"/>
    </w:pPr>
    <w:rPr>
      <w:rFonts w:ascii="宋体" w:hAnsi="宋体" w:cs="宋体"/>
      <w:kern w:val="0"/>
      <w:szCs w:val="24"/>
    </w:rPr>
  </w:style>
  <w:style w:type="paragraph" w:customStyle="1" w:styleId="3345">
    <w:name w:val="表格13"/>
    <w:basedOn w:val="1"/>
    <w:uiPriority w:val="0"/>
    <w:pPr>
      <w:widowControl/>
      <w:jc w:val="center"/>
      <w:textAlignment w:val="baseline"/>
    </w:pPr>
    <w:rPr>
      <w:rFonts w:ascii="宋体" w:hAnsi="宋体" w:cs="宋体"/>
      <w:kern w:val="0"/>
      <w:szCs w:val="20"/>
    </w:rPr>
  </w:style>
  <w:style w:type="paragraph" w:customStyle="1" w:styleId="3346">
    <w:name w:val="标题414"/>
    <w:basedOn w:val="5"/>
    <w:next w:val="1"/>
    <w:uiPriority w:val="0"/>
    <w:pPr>
      <w:numPr>
        <w:ilvl w:val="0"/>
        <w:numId w:val="0"/>
      </w:numPr>
      <w:spacing w:before="160" w:after="170" w:line="360" w:lineRule="auto"/>
    </w:pPr>
    <w:rPr>
      <w:rFonts w:ascii="黑体" w:hAnsi="Arial" w:eastAsia="黑体" w:cs="Times New Roman"/>
      <w:kern w:val="2"/>
      <w:sz w:val="24"/>
    </w:rPr>
  </w:style>
  <w:style w:type="paragraph" w:customStyle="1" w:styleId="3347">
    <w:name w:val="默认段落字体 Para Char42"/>
    <w:basedOn w:val="1"/>
    <w:next w:val="1"/>
    <w:uiPriority w:val="0"/>
    <w:pPr>
      <w:widowControl/>
      <w:spacing w:line="480" w:lineRule="exact"/>
      <w:jc w:val="left"/>
    </w:pPr>
    <w:rPr>
      <w:rFonts w:ascii="宋体" w:hAnsi="宋体" w:eastAsia="汉鼎简书宋" w:cs="宋体"/>
      <w:kern w:val="0"/>
      <w:szCs w:val="24"/>
    </w:rPr>
  </w:style>
  <w:style w:type="paragraph" w:customStyle="1" w:styleId="3348">
    <w:name w:val="表文字531"/>
    <w:basedOn w:val="1"/>
    <w:uiPriority w:val="0"/>
    <w:pPr>
      <w:widowControl/>
      <w:jc w:val="left"/>
      <w:textAlignment w:val="baseline"/>
    </w:pPr>
    <w:rPr>
      <w:rFonts w:ascii="宋体" w:hAnsi="宋体" w:cs="宋体"/>
      <w:kern w:val="0"/>
      <w:szCs w:val="20"/>
    </w:rPr>
  </w:style>
  <w:style w:type="paragraph" w:customStyle="1" w:styleId="3349">
    <w:name w:val="图题注2"/>
    <w:basedOn w:val="19"/>
    <w:uiPriority w:val="0"/>
    <w:pPr>
      <w:widowControl/>
      <w:ind w:firstLine="0" w:firstLineChars="0"/>
      <w:jc w:val="center"/>
    </w:pPr>
    <w:rPr>
      <w:rFonts w:ascii="黑体" w:cs="宋体"/>
      <w:b/>
      <w:bCs/>
    </w:rPr>
  </w:style>
  <w:style w:type="paragraph" w:customStyle="1" w:styleId="3350">
    <w:name w:val="图题31"/>
    <w:basedOn w:val="207"/>
    <w:next w:val="207"/>
    <w:uiPriority w:val="0"/>
    <w:pPr>
      <w:ind w:firstLine="0"/>
      <w:jc w:val="center"/>
    </w:pPr>
    <w:rPr>
      <w:rFonts w:ascii="黑体" w:hAnsi="宋体" w:eastAsia="黑体" w:cs="宋体"/>
      <w:b/>
      <w:bCs/>
      <w:szCs w:val="24"/>
    </w:rPr>
  </w:style>
  <w:style w:type="paragraph" w:customStyle="1" w:styleId="3351">
    <w:name w:val="图题82"/>
    <w:basedOn w:val="207"/>
    <w:next w:val="207"/>
    <w:uiPriority w:val="0"/>
    <w:pPr>
      <w:ind w:firstLine="0"/>
      <w:jc w:val="center"/>
    </w:pPr>
    <w:rPr>
      <w:rFonts w:ascii="黑体" w:hAnsi="宋体" w:eastAsia="黑体" w:cs="宋体"/>
      <w:b/>
      <w:bCs/>
      <w:szCs w:val="24"/>
    </w:rPr>
  </w:style>
  <w:style w:type="paragraph" w:customStyle="1" w:styleId="3352">
    <w:name w:val="表格内字体312"/>
    <w:basedOn w:val="207"/>
    <w:next w:val="207"/>
    <w:uiPriority w:val="0"/>
    <w:pPr>
      <w:spacing w:line="240" w:lineRule="auto"/>
      <w:ind w:firstLine="0"/>
      <w:jc w:val="center"/>
    </w:pPr>
    <w:rPr>
      <w:rFonts w:hAnsi="宋体"/>
      <w:sz w:val="21"/>
      <w:szCs w:val="24"/>
    </w:rPr>
  </w:style>
  <w:style w:type="paragraph" w:customStyle="1" w:styleId="3353">
    <w:name w:val="表题143"/>
    <w:basedOn w:val="19"/>
    <w:uiPriority w:val="0"/>
    <w:pPr>
      <w:widowControl/>
      <w:ind w:firstLine="0" w:firstLineChars="0"/>
      <w:jc w:val="center"/>
    </w:pPr>
    <w:rPr>
      <w:rFonts w:ascii="黑体" w:cs="Arial"/>
      <w:b/>
    </w:rPr>
  </w:style>
  <w:style w:type="paragraph" w:customStyle="1" w:styleId="3354">
    <w:name w:val="正文格式2112"/>
    <w:basedOn w:val="1"/>
    <w:uiPriority w:val="0"/>
    <w:pPr>
      <w:widowControl/>
      <w:ind w:firstLine="482"/>
      <w:jc w:val="left"/>
    </w:pPr>
    <w:rPr>
      <w:rFonts w:ascii="宋体" w:hAnsi="宋体" w:cs="宋体"/>
      <w:kern w:val="0"/>
      <w:szCs w:val="24"/>
    </w:rPr>
  </w:style>
  <w:style w:type="paragraph" w:customStyle="1" w:styleId="3355">
    <w:name w:val="燕山正文411"/>
    <w:basedOn w:val="1"/>
    <w:uiPriority w:val="0"/>
    <w:pPr>
      <w:widowControl/>
      <w:tabs>
        <w:tab w:val="left" w:pos="4680"/>
      </w:tabs>
      <w:spacing w:line="480" w:lineRule="exact"/>
      <w:jc w:val="left"/>
    </w:pPr>
    <w:rPr>
      <w:rFonts w:ascii="宋体" w:hAnsi="宋体" w:cs="宋体"/>
      <w:kern w:val="0"/>
      <w:szCs w:val="24"/>
    </w:rPr>
  </w:style>
  <w:style w:type="paragraph" w:customStyle="1" w:styleId="3356">
    <w:name w:val="表题2114"/>
    <w:basedOn w:val="1"/>
    <w:uiPriority w:val="0"/>
    <w:pPr>
      <w:widowControl/>
      <w:jc w:val="center"/>
    </w:pPr>
    <w:rPr>
      <w:rFonts w:ascii="黑体" w:hAnsi="宋体" w:eastAsia="黑体" w:cs="宋体"/>
      <w:kern w:val="0"/>
      <w:szCs w:val="24"/>
    </w:rPr>
  </w:style>
  <w:style w:type="paragraph" w:customStyle="1" w:styleId="3357">
    <w:name w:val="表113"/>
    <w:basedOn w:val="1"/>
    <w:uiPriority w:val="0"/>
    <w:pPr>
      <w:widowControl/>
      <w:jc w:val="center"/>
    </w:pPr>
    <w:rPr>
      <w:rFonts w:ascii="宋体" w:hAnsi="宋体" w:cs="宋体"/>
      <w:kern w:val="0"/>
      <w:szCs w:val="24"/>
    </w:rPr>
  </w:style>
  <w:style w:type="paragraph" w:customStyle="1" w:styleId="3358">
    <w:name w:val="正文修改53"/>
    <w:basedOn w:val="236"/>
    <w:uiPriority w:val="0"/>
    <w:rPr>
      <w:rFonts w:hAnsi="宋体" w:eastAsia="宋体" w:cs="宋体"/>
      <w:color w:val="000000"/>
      <w:szCs w:val="24"/>
    </w:rPr>
  </w:style>
  <w:style w:type="paragraph" w:customStyle="1" w:styleId="3359">
    <w:name w:val="正文修改23"/>
    <w:basedOn w:val="236"/>
    <w:uiPriority w:val="0"/>
    <w:rPr>
      <w:rFonts w:hAnsi="宋体" w:eastAsia="宋体" w:cs="宋体"/>
      <w:color w:val="000000"/>
      <w:szCs w:val="24"/>
    </w:rPr>
  </w:style>
  <w:style w:type="paragraph" w:customStyle="1" w:styleId="3360">
    <w:name w:val="默认段落字体 Para Char Char Char Char14"/>
    <w:basedOn w:val="1"/>
    <w:uiPriority w:val="0"/>
    <w:pPr>
      <w:widowControl/>
      <w:jc w:val="left"/>
    </w:pPr>
    <w:rPr>
      <w:rFonts w:ascii="宋体" w:hAnsi="宋体" w:cs="宋体"/>
      <w:kern w:val="0"/>
      <w:szCs w:val="24"/>
    </w:rPr>
  </w:style>
  <w:style w:type="paragraph" w:customStyle="1" w:styleId="3361">
    <w:name w:val="表内文字小821"/>
    <w:basedOn w:val="1"/>
    <w:uiPriority w:val="0"/>
    <w:pPr>
      <w:widowControl/>
      <w:jc w:val="center"/>
    </w:pPr>
    <w:rPr>
      <w:rFonts w:ascii="宋体" w:hAnsi="Times" w:cs="宋体"/>
      <w:kern w:val="0"/>
      <w:szCs w:val="20"/>
    </w:rPr>
  </w:style>
  <w:style w:type="paragraph" w:customStyle="1" w:styleId="3362">
    <w:name w:val="黑体三号44"/>
    <w:basedOn w:val="207"/>
    <w:uiPriority w:val="0"/>
    <w:pPr>
      <w:jc w:val="center"/>
    </w:pPr>
    <w:rPr>
      <w:rFonts w:ascii="黑体" w:hAnsi="宋体" w:eastAsia="黑体" w:cs="宋体"/>
      <w:b/>
      <w:bCs/>
      <w:sz w:val="32"/>
      <w:szCs w:val="20"/>
    </w:rPr>
  </w:style>
  <w:style w:type="paragraph" w:customStyle="1" w:styleId="3363">
    <w:name w:val="c4"/>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3364">
    <w:name w:val="Char420"/>
    <w:basedOn w:val="1"/>
    <w:uiPriority w:val="0"/>
    <w:pPr>
      <w:widowControl/>
      <w:ind w:left="-48"/>
      <w:jc w:val="left"/>
    </w:pPr>
    <w:rPr>
      <w:rFonts w:ascii="宋体" w:hAnsi="宋体" w:cs="宋体"/>
      <w:kern w:val="0"/>
      <w:szCs w:val="24"/>
    </w:rPr>
  </w:style>
  <w:style w:type="paragraph" w:customStyle="1" w:styleId="3365">
    <w:name w:val="表312"/>
    <w:basedOn w:val="1"/>
    <w:uiPriority w:val="0"/>
    <w:pPr>
      <w:widowControl/>
      <w:jc w:val="center"/>
    </w:pPr>
    <w:rPr>
      <w:rFonts w:ascii="宋体" w:hAnsi="宋体" w:cs="宋体"/>
      <w:kern w:val="0"/>
      <w:szCs w:val="24"/>
    </w:rPr>
  </w:style>
  <w:style w:type="paragraph" w:customStyle="1" w:styleId="3366">
    <w:name w:val="表题3114"/>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367">
    <w:name w:val="正文格式＝13"/>
    <w:basedOn w:val="207"/>
    <w:next w:val="207"/>
    <w:uiPriority w:val="0"/>
    <w:rPr>
      <w:rFonts w:hAnsi="宋体"/>
      <w:szCs w:val="24"/>
    </w:rPr>
  </w:style>
  <w:style w:type="paragraph" w:customStyle="1" w:styleId="3368">
    <w:name w:val="表内文字小34"/>
    <w:basedOn w:val="1"/>
    <w:uiPriority w:val="0"/>
    <w:pPr>
      <w:widowControl/>
      <w:jc w:val="center"/>
    </w:pPr>
    <w:rPr>
      <w:rFonts w:ascii="宋体" w:hAnsi="Times" w:cs="宋体"/>
      <w:kern w:val="0"/>
      <w:szCs w:val="20"/>
    </w:rPr>
  </w:style>
  <w:style w:type="paragraph" w:customStyle="1" w:styleId="3369">
    <w:name w:val="Char424"/>
    <w:basedOn w:val="1"/>
    <w:uiPriority w:val="0"/>
    <w:pPr>
      <w:widowControl/>
      <w:ind w:left="-48"/>
      <w:jc w:val="left"/>
    </w:pPr>
    <w:rPr>
      <w:rFonts w:ascii="宋体" w:hAnsi="宋体" w:cs="宋体"/>
      <w:kern w:val="0"/>
      <w:szCs w:val="24"/>
    </w:rPr>
  </w:style>
  <w:style w:type="paragraph" w:customStyle="1" w:styleId="3370">
    <w:name w:val="Char Char2 Char Char Char Char32"/>
    <w:basedOn w:val="1"/>
    <w:uiPriority w:val="0"/>
    <w:pPr>
      <w:widowControl/>
      <w:jc w:val="left"/>
    </w:pPr>
    <w:rPr>
      <w:rFonts w:ascii="宋体" w:hAnsi="宋体" w:cs="宋体"/>
      <w:kern w:val="0"/>
      <w:szCs w:val="24"/>
    </w:rPr>
  </w:style>
  <w:style w:type="paragraph" w:customStyle="1" w:styleId="3371">
    <w:name w:val="表内宋5中32"/>
    <w:basedOn w:val="1"/>
    <w:uiPriority w:val="0"/>
    <w:pPr>
      <w:widowControl/>
      <w:jc w:val="left"/>
      <w:textAlignment w:val="baseline"/>
    </w:pPr>
    <w:rPr>
      <w:rFonts w:ascii="宋体" w:hAnsi="宋体" w:cs="宋体"/>
      <w:color w:val="000000"/>
      <w:kern w:val="0"/>
      <w:szCs w:val="20"/>
    </w:rPr>
  </w:style>
  <w:style w:type="paragraph" w:customStyle="1" w:styleId="3372">
    <w:name w:val="Char220"/>
    <w:basedOn w:val="1"/>
    <w:uiPriority w:val="0"/>
    <w:pPr>
      <w:widowControl/>
      <w:ind w:left="-48"/>
      <w:jc w:val="left"/>
    </w:pPr>
    <w:rPr>
      <w:rFonts w:ascii="宋体" w:hAnsi="宋体" w:cs="宋体"/>
      <w:kern w:val="0"/>
      <w:szCs w:val="24"/>
    </w:rPr>
  </w:style>
  <w:style w:type="paragraph" w:customStyle="1" w:styleId="3373">
    <w:name w:val="表内宋51114"/>
    <w:basedOn w:val="433"/>
    <w:uiPriority w:val="0"/>
    <w:rPr>
      <w:rFonts w:ascii="宋体" w:hAnsi="宋体" w:cs="宋体"/>
      <w:color w:val="000000"/>
      <w:sz w:val="21"/>
      <w:szCs w:val="24"/>
    </w:rPr>
  </w:style>
  <w:style w:type="paragraph" w:customStyle="1" w:styleId="3374">
    <w:name w:val="Char Char2 Char Char Char Char81"/>
    <w:basedOn w:val="1"/>
    <w:uiPriority w:val="0"/>
    <w:pPr>
      <w:widowControl/>
      <w:jc w:val="left"/>
    </w:pPr>
    <w:rPr>
      <w:rFonts w:ascii="宋体" w:hAnsi="宋体" w:cs="宋体"/>
      <w:kern w:val="0"/>
      <w:szCs w:val="24"/>
    </w:rPr>
  </w:style>
  <w:style w:type="paragraph" w:customStyle="1" w:styleId="3375">
    <w:name w:val="Char219"/>
    <w:basedOn w:val="1"/>
    <w:uiPriority w:val="0"/>
    <w:pPr>
      <w:widowControl/>
      <w:ind w:left="-48"/>
      <w:jc w:val="left"/>
    </w:pPr>
    <w:rPr>
      <w:rFonts w:ascii="宋体" w:hAnsi="宋体" w:cs="宋体"/>
      <w:kern w:val="0"/>
      <w:szCs w:val="24"/>
    </w:rPr>
  </w:style>
  <w:style w:type="paragraph" w:customStyle="1" w:styleId="3376">
    <w:name w:val="Char229"/>
    <w:basedOn w:val="1"/>
    <w:uiPriority w:val="0"/>
    <w:pPr>
      <w:widowControl/>
      <w:ind w:left="-48"/>
      <w:jc w:val="left"/>
    </w:pPr>
    <w:rPr>
      <w:rFonts w:ascii="宋体" w:hAnsi="宋体" w:cs="宋体"/>
      <w:kern w:val="0"/>
      <w:szCs w:val="24"/>
    </w:rPr>
  </w:style>
  <w:style w:type="paragraph" w:customStyle="1" w:styleId="3377">
    <w:name w:val="Char314"/>
    <w:basedOn w:val="1"/>
    <w:uiPriority w:val="0"/>
    <w:pPr>
      <w:widowControl/>
      <w:ind w:left="-48"/>
      <w:jc w:val="left"/>
    </w:pPr>
    <w:rPr>
      <w:rFonts w:ascii="宋体" w:hAnsi="宋体" w:cs="宋体"/>
      <w:kern w:val="0"/>
      <w:szCs w:val="24"/>
    </w:rPr>
  </w:style>
  <w:style w:type="paragraph" w:customStyle="1" w:styleId="3378">
    <w:name w:val="Char3210"/>
    <w:basedOn w:val="1"/>
    <w:uiPriority w:val="0"/>
    <w:pPr>
      <w:widowControl/>
      <w:ind w:left="-48"/>
      <w:jc w:val="left"/>
    </w:pPr>
    <w:rPr>
      <w:rFonts w:ascii="宋体" w:hAnsi="宋体" w:cs="宋体"/>
      <w:kern w:val="0"/>
      <w:szCs w:val="24"/>
    </w:rPr>
  </w:style>
  <w:style w:type="paragraph" w:customStyle="1" w:styleId="3379">
    <w:name w:val="Char Char Char Char Char Char Char219"/>
    <w:basedOn w:val="1"/>
    <w:uiPriority w:val="0"/>
    <w:pPr>
      <w:widowControl/>
      <w:jc w:val="left"/>
    </w:pPr>
    <w:rPr>
      <w:rFonts w:ascii="宋体" w:hAnsi="宋体" w:cs="宋体"/>
      <w:kern w:val="0"/>
      <w:szCs w:val="24"/>
    </w:rPr>
  </w:style>
  <w:style w:type="paragraph" w:customStyle="1" w:styleId="3380">
    <w:name w:val="Char271"/>
    <w:basedOn w:val="1"/>
    <w:uiPriority w:val="0"/>
    <w:pPr>
      <w:widowControl/>
      <w:ind w:left="-48"/>
      <w:jc w:val="left"/>
    </w:pPr>
    <w:rPr>
      <w:rFonts w:ascii="宋体" w:hAnsi="宋体" w:cs="宋体"/>
      <w:kern w:val="0"/>
      <w:szCs w:val="24"/>
    </w:rPr>
  </w:style>
  <w:style w:type="paragraph" w:customStyle="1" w:styleId="3381">
    <w:name w:val="Char Char Char Char Char Char Char71"/>
    <w:basedOn w:val="1"/>
    <w:uiPriority w:val="0"/>
    <w:pPr>
      <w:widowControl/>
      <w:jc w:val="left"/>
    </w:pPr>
    <w:rPr>
      <w:rFonts w:ascii="宋体" w:hAnsi="宋体" w:cs="宋体"/>
      <w:kern w:val="0"/>
      <w:szCs w:val="24"/>
    </w:rPr>
  </w:style>
  <w:style w:type="paragraph" w:customStyle="1" w:styleId="3382">
    <w:name w:val="Char Char Char Char Char Char Char1111"/>
    <w:basedOn w:val="1"/>
    <w:uiPriority w:val="0"/>
    <w:pPr>
      <w:widowControl/>
      <w:jc w:val="left"/>
    </w:pPr>
    <w:rPr>
      <w:rFonts w:ascii="宋体" w:hAnsi="宋体" w:cs="宋体"/>
      <w:kern w:val="0"/>
      <w:szCs w:val="24"/>
    </w:rPr>
  </w:style>
  <w:style w:type="paragraph" w:customStyle="1" w:styleId="3383">
    <w:name w:val="表内5中6"/>
    <w:basedOn w:val="1"/>
    <w:uiPriority w:val="0"/>
    <w:pPr>
      <w:widowControl/>
      <w:jc w:val="center"/>
    </w:pPr>
    <w:rPr>
      <w:rFonts w:ascii="宋体" w:hAnsi="宋体" w:cs="Arial"/>
      <w:snapToGrid w:val="0"/>
      <w:color w:val="000000"/>
      <w:kern w:val="0"/>
      <w:szCs w:val="21"/>
    </w:rPr>
  </w:style>
  <w:style w:type="paragraph" w:customStyle="1" w:styleId="3384">
    <w:name w:val="表内宋5115"/>
    <w:basedOn w:val="433"/>
    <w:uiPriority w:val="0"/>
    <w:rPr>
      <w:szCs w:val="24"/>
    </w:rPr>
  </w:style>
  <w:style w:type="paragraph" w:customStyle="1" w:styleId="3385">
    <w:name w:val="表题14111"/>
    <w:basedOn w:val="1"/>
    <w:uiPriority w:val="0"/>
    <w:pPr>
      <w:widowControl/>
      <w:jc w:val="center"/>
    </w:pPr>
    <w:rPr>
      <w:rFonts w:ascii="黑体" w:hAnsi="宋体" w:eastAsia="黑体" w:cs="宋体"/>
      <w:kern w:val="0"/>
      <w:szCs w:val="24"/>
    </w:rPr>
  </w:style>
  <w:style w:type="paragraph" w:customStyle="1" w:styleId="3386">
    <w:name w:val="Char328"/>
    <w:basedOn w:val="1"/>
    <w:uiPriority w:val="0"/>
    <w:pPr>
      <w:widowControl/>
      <w:ind w:left="-48"/>
      <w:jc w:val="left"/>
    </w:pPr>
    <w:rPr>
      <w:rFonts w:ascii="宋体" w:hAnsi="宋体" w:cs="宋体"/>
      <w:kern w:val="0"/>
      <w:szCs w:val="24"/>
    </w:rPr>
  </w:style>
  <w:style w:type="paragraph" w:customStyle="1" w:styleId="3387">
    <w:name w:val="燕山正文1124"/>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388">
    <w:name w:val="表内5314"/>
    <w:basedOn w:val="1"/>
    <w:uiPriority w:val="0"/>
    <w:pPr>
      <w:widowControl/>
      <w:spacing w:line="300" w:lineRule="auto"/>
      <w:jc w:val="left"/>
    </w:pPr>
    <w:rPr>
      <w:rFonts w:ascii="宋体" w:hAnsi="宋体" w:cs="宋体"/>
      <w:kern w:val="0"/>
      <w:szCs w:val="20"/>
    </w:rPr>
  </w:style>
  <w:style w:type="paragraph" w:customStyle="1" w:styleId="3389">
    <w:name w:val="附件7"/>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390">
    <w:name w:val="表中文字12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391">
    <w:name w:val="Char315"/>
    <w:basedOn w:val="1"/>
    <w:uiPriority w:val="0"/>
    <w:pPr>
      <w:widowControl/>
      <w:ind w:left="-48"/>
      <w:jc w:val="left"/>
    </w:pPr>
    <w:rPr>
      <w:rFonts w:ascii="宋体" w:hAnsi="宋体" w:cs="宋体"/>
      <w:kern w:val="0"/>
      <w:szCs w:val="24"/>
    </w:rPr>
  </w:style>
  <w:style w:type="paragraph" w:customStyle="1" w:styleId="3392">
    <w:name w:val="Char Char2 Char Char Char Char28"/>
    <w:basedOn w:val="1"/>
    <w:uiPriority w:val="0"/>
    <w:pPr>
      <w:widowControl/>
      <w:jc w:val="left"/>
    </w:pPr>
    <w:rPr>
      <w:rFonts w:ascii="宋体" w:hAnsi="宋体" w:cs="宋体"/>
      <w:kern w:val="0"/>
      <w:szCs w:val="24"/>
    </w:rPr>
  </w:style>
  <w:style w:type="paragraph" w:customStyle="1" w:styleId="3393">
    <w:name w:val="表内宋5中131"/>
    <w:basedOn w:val="1"/>
    <w:uiPriority w:val="0"/>
    <w:pPr>
      <w:widowControl/>
      <w:jc w:val="center"/>
      <w:textAlignment w:val="baseline"/>
    </w:pPr>
    <w:rPr>
      <w:rFonts w:ascii="宋体" w:hAnsi="宋体" w:cs="宋体"/>
      <w:kern w:val="0"/>
      <w:szCs w:val="20"/>
    </w:rPr>
  </w:style>
  <w:style w:type="paragraph" w:customStyle="1" w:styleId="3394">
    <w:name w:val="Char1012"/>
    <w:basedOn w:val="1"/>
    <w:uiPriority w:val="0"/>
    <w:pPr>
      <w:widowControl/>
      <w:jc w:val="left"/>
    </w:pPr>
    <w:rPr>
      <w:rFonts w:ascii="宋体" w:hAnsi="宋体" w:cs="宋体"/>
      <w:kern w:val="0"/>
      <w:szCs w:val="24"/>
    </w:rPr>
  </w:style>
  <w:style w:type="paragraph" w:customStyle="1" w:styleId="3395">
    <w:name w:val="表内文字小6"/>
    <w:basedOn w:val="1"/>
    <w:uiPriority w:val="0"/>
    <w:pPr>
      <w:widowControl/>
      <w:jc w:val="center"/>
    </w:pPr>
    <w:rPr>
      <w:rFonts w:ascii="宋体" w:hAnsi="Times" w:cs="宋体"/>
      <w:kern w:val="0"/>
      <w:szCs w:val="20"/>
    </w:rPr>
  </w:style>
  <w:style w:type="paragraph" w:customStyle="1" w:styleId="3396">
    <w:name w:val="正文格式＝10"/>
    <w:basedOn w:val="207"/>
    <w:next w:val="207"/>
    <w:uiPriority w:val="0"/>
    <w:rPr>
      <w:rFonts w:hAnsi="宋体"/>
      <w:szCs w:val="24"/>
    </w:rPr>
  </w:style>
  <w:style w:type="paragraph" w:customStyle="1" w:styleId="3397">
    <w:name w:val="表内小5中3"/>
    <w:basedOn w:val="1"/>
    <w:uiPriority w:val="0"/>
    <w:pPr>
      <w:widowControl/>
      <w:jc w:val="center"/>
    </w:pPr>
    <w:rPr>
      <w:rFonts w:ascii="宋体" w:hAnsi="宋体" w:cs="宋体"/>
      <w:kern w:val="0"/>
      <w:sz w:val="18"/>
      <w:szCs w:val="20"/>
    </w:rPr>
  </w:style>
  <w:style w:type="paragraph" w:customStyle="1" w:styleId="3398">
    <w:name w:val="表内文字小31312"/>
    <w:basedOn w:val="1"/>
    <w:uiPriority w:val="0"/>
    <w:pPr>
      <w:widowControl/>
      <w:jc w:val="center"/>
    </w:pPr>
    <w:rPr>
      <w:rFonts w:ascii="宋体" w:hAnsi="Times" w:cs="宋体"/>
      <w:bCs/>
      <w:color w:val="003366"/>
      <w:kern w:val="0"/>
      <w:szCs w:val="20"/>
    </w:rPr>
  </w:style>
  <w:style w:type="paragraph" w:customStyle="1" w:styleId="3399">
    <w:name w:val="Char251"/>
    <w:basedOn w:val="1"/>
    <w:uiPriority w:val="0"/>
    <w:pPr>
      <w:widowControl/>
      <w:spacing w:before="156"/>
      <w:jc w:val="left"/>
    </w:pPr>
    <w:rPr>
      <w:rFonts w:ascii="黑体" w:hAnsi="宋体" w:eastAsia="黑体" w:cs="宋体"/>
      <w:kern w:val="0"/>
      <w:sz w:val="32"/>
      <w:szCs w:val="32"/>
    </w:rPr>
  </w:style>
  <w:style w:type="paragraph" w:customStyle="1" w:styleId="3400">
    <w:name w:val="Char441"/>
    <w:basedOn w:val="1"/>
    <w:uiPriority w:val="0"/>
    <w:pPr>
      <w:widowControl/>
      <w:ind w:left="-48"/>
      <w:jc w:val="left"/>
    </w:pPr>
    <w:rPr>
      <w:rFonts w:ascii="宋体" w:hAnsi="宋体" w:cs="宋体"/>
      <w:kern w:val="0"/>
      <w:szCs w:val="24"/>
    </w:rPr>
  </w:style>
  <w:style w:type="paragraph" w:customStyle="1" w:styleId="3401">
    <w:name w:val="样式212"/>
    <w:basedOn w:val="1"/>
    <w:uiPriority w:val="0"/>
    <w:pPr>
      <w:widowControl/>
      <w:jc w:val="center"/>
      <w:textAlignment w:val="baseline"/>
      <w:outlineLvl w:val="0"/>
    </w:pPr>
    <w:rPr>
      <w:rFonts w:ascii="宋体" w:hAnsi="宋体" w:cs="宋体"/>
      <w:kern w:val="0"/>
      <w:szCs w:val="20"/>
    </w:rPr>
  </w:style>
  <w:style w:type="paragraph" w:customStyle="1" w:styleId="3402">
    <w:name w:val="表题3124"/>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403">
    <w:name w:val="表内文字小2114"/>
    <w:basedOn w:val="1"/>
    <w:uiPriority w:val="0"/>
    <w:pPr>
      <w:widowControl/>
      <w:jc w:val="center"/>
    </w:pPr>
    <w:rPr>
      <w:rFonts w:ascii="宋体" w:hAnsi="Times" w:cs="宋体"/>
      <w:bCs/>
      <w:color w:val="000000"/>
      <w:kern w:val="0"/>
      <w:szCs w:val="20"/>
    </w:rPr>
  </w:style>
  <w:style w:type="paragraph" w:customStyle="1" w:styleId="3404">
    <w:name w:val="表中文字111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405">
    <w:name w:val="燕山正文213"/>
    <w:basedOn w:val="1"/>
    <w:uiPriority w:val="0"/>
    <w:pPr>
      <w:widowControl/>
      <w:tabs>
        <w:tab w:val="left" w:pos="4680"/>
      </w:tabs>
      <w:spacing w:line="480" w:lineRule="exact"/>
      <w:jc w:val="left"/>
    </w:pPr>
    <w:rPr>
      <w:rFonts w:ascii="宋体" w:hAnsi="宋体" w:cs="宋体"/>
      <w:kern w:val="0"/>
      <w:szCs w:val="24"/>
    </w:rPr>
  </w:style>
  <w:style w:type="paragraph" w:customStyle="1" w:styleId="3406">
    <w:name w:val="Char Char Char Char Char Char Char125"/>
    <w:basedOn w:val="1"/>
    <w:uiPriority w:val="0"/>
    <w:pPr>
      <w:widowControl/>
      <w:jc w:val="left"/>
    </w:pPr>
    <w:rPr>
      <w:rFonts w:ascii="宋体" w:hAnsi="宋体" w:cs="宋体"/>
      <w:kern w:val="0"/>
      <w:szCs w:val="24"/>
    </w:rPr>
  </w:style>
  <w:style w:type="paragraph" w:customStyle="1" w:styleId="3407">
    <w:name w:val="Char1121"/>
    <w:basedOn w:val="1"/>
    <w:uiPriority w:val="0"/>
    <w:pPr>
      <w:widowControl/>
      <w:ind w:left="-48"/>
      <w:jc w:val="left"/>
    </w:pPr>
    <w:rPr>
      <w:rFonts w:ascii="宋体" w:hAnsi="宋体" w:cs="宋体"/>
      <w:kern w:val="0"/>
      <w:szCs w:val="24"/>
    </w:rPr>
  </w:style>
  <w:style w:type="paragraph" w:customStyle="1" w:styleId="3408">
    <w:name w:val="Default4"/>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3409">
    <w:name w:val="黑体三号421"/>
    <w:basedOn w:val="207"/>
    <w:uiPriority w:val="0"/>
    <w:pPr>
      <w:jc w:val="center"/>
    </w:pPr>
    <w:rPr>
      <w:rFonts w:ascii="黑体" w:hAnsi="宋体" w:eastAsia="黑体" w:cs="宋体"/>
      <w:b/>
      <w:bCs/>
      <w:sz w:val="32"/>
      <w:szCs w:val="20"/>
    </w:rPr>
  </w:style>
  <w:style w:type="paragraph" w:customStyle="1" w:styleId="3410">
    <w:name w:val="燕山正文44"/>
    <w:basedOn w:val="1"/>
    <w:uiPriority w:val="0"/>
    <w:pPr>
      <w:widowControl/>
      <w:tabs>
        <w:tab w:val="left" w:pos="4680"/>
      </w:tabs>
      <w:spacing w:line="480" w:lineRule="exact"/>
      <w:jc w:val="left"/>
    </w:pPr>
    <w:rPr>
      <w:rFonts w:ascii="宋体" w:hAnsi="宋体" w:cs="宋体"/>
      <w:kern w:val="0"/>
      <w:szCs w:val="24"/>
    </w:rPr>
  </w:style>
  <w:style w:type="paragraph" w:customStyle="1" w:styleId="3411">
    <w:name w:val="Char326"/>
    <w:basedOn w:val="1"/>
    <w:uiPriority w:val="0"/>
    <w:pPr>
      <w:widowControl/>
      <w:ind w:left="-48"/>
      <w:jc w:val="left"/>
    </w:pPr>
    <w:rPr>
      <w:rFonts w:ascii="宋体" w:hAnsi="宋体" w:cs="宋体"/>
      <w:kern w:val="0"/>
      <w:szCs w:val="24"/>
    </w:rPr>
  </w:style>
  <w:style w:type="paragraph" w:customStyle="1" w:styleId="3412">
    <w:name w:val="Char136"/>
    <w:basedOn w:val="1"/>
    <w:uiPriority w:val="0"/>
    <w:pPr>
      <w:widowControl/>
      <w:ind w:left="-48"/>
      <w:jc w:val="left"/>
    </w:pPr>
    <w:rPr>
      <w:rFonts w:ascii="宋体" w:hAnsi="宋体" w:cs="宋体"/>
      <w:kern w:val="0"/>
      <w:szCs w:val="24"/>
    </w:rPr>
  </w:style>
  <w:style w:type="paragraph" w:customStyle="1" w:styleId="3413">
    <w:name w:val="表内文字小3141"/>
    <w:basedOn w:val="1"/>
    <w:uiPriority w:val="0"/>
    <w:pPr>
      <w:widowControl/>
      <w:jc w:val="center"/>
    </w:pPr>
    <w:rPr>
      <w:rFonts w:ascii="宋体" w:hAnsi="Times" w:cs="宋体"/>
      <w:bCs/>
      <w:color w:val="003366"/>
      <w:kern w:val="0"/>
      <w:szCs w:val="20"/>
    </w:rPr>
  </w:style>
  <w:style w:type="paragraph" w:customStyle="1" w:styleId="3414">
    <w:name w:val="表题414"/>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3415">
    <w:name w:val="表内5113"/>
    <w:basedOn w:val="1"/>
    <w:uiPriority w:val="0"/>
    <w:pPr>
      <w:widowControl/>
      <w:jc w:val="center"/>
    </w:pPr>
    <w:rPr>
      <w:rFonts w:ascii="宋体" w:hAnsi="宋体" w:cs="宋体"/>
      <w:kern w:val="0"/>
      <w:sz w:val="20"/>
      <w:szCs w:val="20"/>
    </w:rPr>
  </w:style>
  <w:style w:type="paragraph" w:customStyle="1" w:styleId="3416">
    <w:name w:val="Char2210"/>
    <w:basedOn w:val="1"/>
    <w:uiPriority w:val="0"/>
    <w:pPr>
      <w:widowControl/>
      <w:spacing w:before="156"/>
      <w:jc w:val="left"/>
    </w:pPr>
    <w:rPr>
      <w:rFonts w:ascii="黑体" w:hAnsi="宋体" w:eastAsia="黑体" w:cs="宋体"/>
      <w:kern w:val="0"/>
      <w:sz w:val="32"/>
      <w:szCs w:val="32"/>
    </w:rPr>
  </w:style>
  <w:style w:type="paragraph" w:customStyle="1" w:styleId="3417">
    <w:name w:val="燕山正文52"/>
    <w:basedOn w:val="1"/>
    <w:uiPriority w:val="0"/>
    <w:pPr>
      <w:widowControl/>
      <w:tabs>
        <w:tab w:val="left" w:pos="4680"/>
      </w:tabs>
      <w:spacing w:line="480" w:lineRule="exact"/>
      <w:jc w:val="left"/>
    </w:pPr>
    <w:rPr>
      <w:rFonts w:ascii="宋体" w:hAnsi="宋体" w:cs="宋体"/>
      <w:kern w:val="0"/>
      <w:szCs w:val="24"/>
    </w:rPr>
  </w:style>
  <w:style w:type="paragraph" w:customStyle="1" w:styleId="3418">
    <w:name w:val="标题431311"/>
    <w:basedOn w:val="1"/>
    <w:uiPriority w:val="0"/>
    <w:pPr>
      <w:widowControl/>
      <w:spacing w:line="480" w:lineRule="exact"/>
      <w:jc w:val="center"/>
    </w:pPr>
    <w:rPr>
      <w:rFonts w:ascii="宋体" w:hAnsi="宋体" w:cs="宋体"/>
      <w:kern w:val="0"/>
      <w:szCs w:val="24"/>
    </w:rPr>
  </w:style>
  <w:style w:type="paragraph" w:customStyle="1" w:styleId="3419">
    <w:name w:val="燕山正文13111"/>
    <w:basedOn w:val="1"/>
    <w:uiPriority w:val="0"/>
    <w:pPr>
      <w:widowControl/>
      <w:tabs>
        <w:tab w:val="left" w:pos="4680"/>
      </w:tabs>
      <w:ind w:firstLine="480"/>
      <w:jc w:val="left"/>
    </w:pPr>
    <w:rPr>
      <w:rFonts w:ascii="宋体" w:hAnsi="宋体" w:cs="宋体"/>
      <w:bCs/>
      <w:color w:val="000000"/>
      <w:kern w:val="0"/>
      <w:szCs w:val="24"/>
    </w:rPr>
  </w:style>
  <w:style w:type="paragraph" w:customStyle="1" w:styleId="3420">
    <w:name w:val="燕山正文421"/>
    <w:basedOn w:val="1"/>
    <w:uiPriority w:val="0"/>
    <w:pPr>
      <w:widowControl/>
      <w:tabs>
        <w:tab w:val="left" w:pos="4680"/>
      </w:tabs>
      <w:spacing w:line="480" w:lineRule="exact"/>
      <w:jc w:val="left"/>
    </w:pPr>
    <w:rPr>
      <w:rFonts w:ascii="宋体" w:hAnsi="宋体" w:cs="宋体"/>
      <w:kern w:val="0"/>
      <w:szCs w:val="24"/>
    </w:rPr>
  </w:style>
  <w:style w:type="paragraph" w:customStyle="1" w:styleId="3421">
    <w:name w:val="标准12"/>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3422">
    <w:name w:val="表内5中44"/>
    <w:basedOn w:val="1"/>
    <w:uiPriority w:val="0"/>
    <w:pPr>
      <w:widowControl/>
      <w:jc w:val="center"/>
    </w:pPr>
    <w:rPr>
      <w:rFonts w:ascii="宋体" w:hAnsi="宋体" w:cs="宋体"/>
      <w:bCs/>
      <w:kern w:val="0"/>
      <w:szCs w:val="20"/>
    </w:rPr>
  </w:style>
  <w:style w:type="paragraph" w:customStyle="1" w:styleId="3423">
    <w:name w:val="Char4210"/>
    <w:basedOn w:val="1"/>
    <w:uiPriority w:val="0"/>
    <w:pPr>
      <w:widowControl/>
      <w:ind w:left="-48"/>
      <w:jc w:val="left"/>
    </w:pPr>
    <w:rPr>
      <w:rFonts w:ascii="宋体" w:hAnsi="宋体" w:cs="宋体"/>
      <w:kern w:val="0"/>
      <w:szCs w:val="24"/>
    </w:rPr>
  </w:style>
  <w:style w:type="paragraph" w:customStyle="1" w:styleId="3424">
    <w:name w:val="表格内字体512"/>
    <w:basedOn w:val="207"/>
    <w:next w:val="207"/>
    <w:uiPriority w:val="0"/>
    <w:pPr>
      <w:spacing w:line="240" w:lineRule="auto"/>
      <w:ind w:firstLine="0"/>
    </w:pPr>
    <w:rPr>
      <w:rFonts w:hAnsi="宋体"/>
      <w:sz w:val="21"/>
      <w:szCs w:val="24"/>
    </w:rPr>
  </w:style>
  <w:style w:type="paragraph" w:customStyle="1" w:styleId="3425">
    <w:name w:val="Char1101"/>
    <w:basedOn w:val="1"/>
    <w:uiPriority w:val="0"/>
    <w:pPr>
      <w:widowControl/>
      <w:ind w:left="-48"/>
      <w:jc w:val="left"/>
    </w:pPr>
    <w:rPr>
      <w:rFonts w:ascii="宋体" w:hAnsi="宋体" w:cs="宋体"/>
      <w:kern w:val="0"/>
      <w:szCs w:val="24"/>
    </w:rPr>
  </w:style>
  <w:style w:type="paragraph" w:customStyle="1" w:styleId="3426">
    <w:name w:val="标题45"/>
    <w:basedOn w:val="1"/>
    <w:uiPriority w:val="0"/>
    <w:pPr>
      <w:widowControl/>
      <w:spacing w:line="300" w:lineRule="auto"/>
      <w:jc w:val="left"/>
    </w:pPr>
    <w:rPr>
      <w:rFonts w:ascii="黑体" w:hAnsi="宋体" w:eastAsia="黑体" w:cs="宋体"/>
      <w:bCs/>
      <w:kern w:val="0"/>
      <w:szCs w:val="24"/>
    </w:rPr>
  </w:style>
  <w:style w:type="paragraph" w:customStyle="1" w:styleId="3427">
    <w:name w:val="附件22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428">
    <w:name w:val="黑体三号14"/>
    <w:basedOn w:val="207"/>
    <w:uiPriority w:val="0"/>
    <w:pPr>
      <w:jc w:val="center"/>
    </w:pPr>
    <w:rPr>
      <w:rFonts w:ascii="黑体" w:hAnsi="宋体" w:eastAsia="黑体" w:cs="宋体"/>
      <w:b/>
      <w:bCs/>
      <w:sz w:val="32"/>
      <w:szCs w:val="20"/>
    </w:rPr>
  </w:style>
  <w:style w:type="paragraph" w:customStyle="1" w:styleId="3429">
    <w:name w:val="表内54132"/>
    <w:basedOn w:val="1"/>
    <w:uiPriority w:val="0"/>
    <w:pPr>
      <w:widowControl/>
      <w:spacing w:line="300" w:lineRule="auto"/>
      <w:jc w:val="center"/>
    </w:pPr>
    <w:rPr>
      <w:rFonts w:ascii="宋体" w:hAnsi="宋体" w:cs="宋体"/>
      <w:kern w:val="0"/>
      <w:szCs w:val="20"/>
    </w:rPr>
  </w:style>
  <w:style w:type="paragraph" w:customStyle="1" w:styleId="3430">
    <w:name w:val="表内文字小2151"/>
    <w:basedOn w:val="1"/>
    <w:uiPriority w:val="0"/>
    <w:pPr>
      <w:widowControl/>
      <w:jc w:val="center"/>
    </w:pPr>
    <w:rPr>
      <w:rFonts w:ascii="宋体" w:hAnsi="Times" w:cs="宋体"/>
      <w:bCs/>
      <w:color w:val="000000"/>
      <w:kern w:val="0"/>
      <w:szCs w:val="20"/>
    </w:rPr>
  </w:style>
  <w:style w:type="paragraph" w:customStyle="1" w:styleId="3431">
    <w:name w:val="表内文字小813"/>
    <w:basedOn w:val="1"/>
    <w:uiPriority w:val="0"/>
    <w:pPr>
      <w:widowControl/>
      <w:jc w:val="center"/>
    </w:pPr>
    <w:rPr>
      <w:rFonts w:ascii="宋体" w:hAnsi="Times" w:cs="宋体"/>
      <w:kern w:val="0"/>
      <w:szCs w:val="20"/>
    </w:rPr>
  </w:style>
  <w:style w:type="paragraph" w:customStyle="1" w:styleId="3432">
    <w:name w:val="标题431213"/>
    <w:basedOn w:val="1"/>
    <w:uiPriority w:val="0"/>
    <w:pPr>
      <w:widowControl/>
      <w:spacing w:line="480" w:lineRule="exact"/>
      <w:jc w:val="center"/>
    </w:pPr>
    <w:rPr>
      <w:rFonts w:ascii="宋体" w:hAnsi="宋体" w:cs="宋体"/>
      <w:kern w:val="0"/>
      <w:szCs w:val="24"/>
    </w:rPr>
  </w:style>
  <w:style w:type="paragraph" w:customStyle="1" w:styleId="3433">
    <w:name w:val="默认段落字体 Para Char Char Char Char412"/>
    <w:basedOn w:val="1"/>
    <w:uiPriority w:val="0"/>
    <w:pPr>
      <w:widowControl/>
      <w:jc w:val="left"/>
    </w:pPr>
    <w:rPr>
      <w:rFonts w:ascii="宋体" w:hAnsi="宋体" w:cs="宋体"/>
      <w:kern w:val="0"/>
      <w:szCs w:val="24"/>
    </w:rPr>
  </w:style>
  <w:style w:type="paragraph" w:customStyle="1" w:styleId="3434">
    <w:name w:val="燕山正文412"/>
    <w:basedOn w:val="1"/>
    <w:uiPriority w:val="0"/>
    <w:pPr>
      <w:widowControl/>
      <w:tabs>
        <w:tab w:val="left" w:pos="4680"/>
      </w:tabs>
      <w:spacing w:line="480" w:lineRule="exact"/>
      <w:jc w:val="left"/>
    </w:pPr>
    <w:rPr>
      <w:rFonts w:ascii="宋体" w:hAnsi="宋体" w:cs="宋体"/>
      <w:kern w:val="0"/>
      <w:szCs w:val="24"/>
    </w:rPr>
  </w:style>
  <w:style w:type="paragraph" w:customStyle="1" w:styleId="3435">
    <w:name w:val="表内5中112"/>
    <w:basedOn w:val="1"/>
    <w:uiPriority w:val="0"/>
    <w:pPr>
      <w:widowControl/>
      <w:jc w:val="center"/>
    </w:pPr>
    <w:rPr>
      <w:rFonts w:ascii="宋体" w:hAnsi="宋体" w:cs="Arial"/>
      <w:snapToGrid w:val="0"/>
      <w:color w:val="000000"/>
      <w:kern w:val="0"/>
      <w:szCs w:val="21"/>
    </w:rPr>
  </w:style>
  <w:style w:type="paragraph" w:customStyle="1" w:styleId="3436">
    <w:name w:val="Char Char2 Char Char Char Char17"/>
    <w:basedOn w:val="1"/>
    <w:uiPriority w:val="0"/>
    <w:pPr>
      <w:widowControl/>
      <w:jc w:val="left"/>
    </w:pPr>
    <w:rPr>
      <w:rFonts w:ascii="宋体" w:hAnsi="宋体" w:cs="宋体"/>
      <w:kern w:val="0"/>
      <w:szCs w:val="24"/>
    </w:rPr>
  </w:style>
  <w:style w:type="paragraph" w:customStyle="1" w:styleId="3437">
    <w:name w:val="正文修改412"/>
    <w:basedOn w:val="236"/>
    <w:uiPriority w:val="0"/>
    <w:rPr>
      <w:rFonts w:hAnsi="宋体" w:eastAsia="宋体" w:cs="宋体"/>
      <w:color w:val="000000"/>
      <w:szCs w:val="24"/>
    </w:rPr>
  </w:style>
  <w:style w:type="paragraph" w:customStyle="1" w:styleId="3438">
    <w:name w:val="表内文字小317"/>
    <w:basedOn w:val="1"/>
    <w:uiPriority w:val="0"/>
    <w:pPr>
      <w:widowControl/>
      <w:jc w:val="center"/>
    </w:pPr>
    <w:rPr>
      <w:rFonts w:ascii="宋体" w:hAnsi="Times" w:cs="宋体"/>
      <w:bCs/>
      <w:color w:val="003366"/>
      <w:kern w:val="0"/>
      <w:szCs w:val="20"/>
    </w:rPr>
  </w:style>
  <w:style w:type="paragraph" w:customStyle="1" w:styleId="3439">
    <w:name w:val="燕山正文134"/>
    <w:basedOn w:val="1"/>
    <w:uiPriority w:val="0"/>
    <w:pPr>
      <w:widowControl/>
      <w:tabs>
        <w:tab w:val="left" w:pos="4680"/>
      </w:tabs>
      <w:ind w:firstLine="480"/>
      <w:jc w:val="left"/>
    </w:pPr>
    <w:rPr>
      <w:rFonts w:ascii="宋体" w:hAnsi="宋体" w:cs="宋体"/>
      <w:bCs/>
      <w:color w:val="000000"/>
      <w:kern w:val="0"/>
      <w:szCs w:val="24"/>
    </w:rPr>
  </w:style>
  <w:style w:type="paragraph" w:customStyle="1" w:styleId="3440">
    <w:name w:val="燕山正文16"/>
    <w:basedOn w:val="1"/>
    <w:uiPriority w:val="0"/>
    <w:pPr>
      <w:widowControl/>
      <w:tabs>
        <w:tab w:val="left" w:pos="4680"/>
      </w:tabs>
      <w:spacing w:line="480" w:lineRule="exact"/>
      <w:jc w:val="left"/>
    </w:pPr>
    <w:rPr>
      <w:rFonts w:ascii="宋体" w:hAnsi="宋体" w:cs="宋体"/>
      <w:kern w:val="0"/>
      <w:szCs w:val="24"/>
    </w:rPr>
  </w:style>
  <w:style w:type="paragraph" w:customStyle="1" w:styleId="3441">
    <w:name w:val="表内5411111"/>
    <w:basedOn w:val="1"/>
    <w:uiPriority w:val="0"/>
    <w:pPr>
      <w:widowControl/>
      <w:spacing w:line="300" w:lineRule="auto"/>
      <w:jc w:val="center"/>
    </w:pPr>
    <w:rPr>
      <w:rFonts w:ascii="宋体" w:hAnsi="宋体" w:cs="宋体"/>
      <w:kern w:val="0"/>
      <w:szCs w:val="20"/>
    </w:rPr>
  </w:style>
  <w:style w:type="paragraph" w:customStyle="1" w:styleId="3442">
    <w:name w:val="正文格式＝14"/>
    <w:basedOn w:val="207"/>
    <w:next w:val="207"/>
    <w:uiPriority w:val="0"/>
    <w:rPr>
      <w:rFonts w:hAnsi="宋体"/>
      <w:szCs w:val="24"/>
    </w:rPr>
  </w:style>
  <w:style w:type="paragraph" w:customStyle="1" w:styleId="3443">
    <w:name w:val="正文.12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444">
    <w:name w:val="正文.31"/>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445">
    <w:name w:val="黑体三号311"/>
    <w:basedOn w:val="207"/>
    <w:uiPriority w:val="0"/>
    <w:pPr>
      <w:jc w:val="center"/>
    </w:pPr>
    <w:rPr>
      <w:rFonts w:ascii="黑体" w:hAnsi="宋体" w:eastAsia="黑体" w:cs="宋体"/>
      <w:b/>
      <w:bCs/>
      <w:sz w:val="32"/>
      <w:szCs w:val="20"/>
    </w:rPr>
  </w:style>
  <w:style w:type="paragraph" w:customStyle="1" w:styleId="3446">
    <w:name w:val="表内小5中13"/>
    <w:basedOn w:val="1"/>
    <w:uiPriority w:val="0"/>
    <w:pPr>
      <w:widowControl/>
      <w:jc w:val="center"/>
    </w:pPr>
    <w:rPr>
      <w:rFonts w:ascii="宋体" w:hAnsi="宋体" w:cs="宋体"/>
      <w:kern w:val="0"/>
      <w:sz w:val="18"/>
      <w:szCs w:val="20"/>
    </w:rPr>
  </w:style>
  <w:style w:type="paragraph" w:customStyle="1" w:styleId="3447">
    <w:name w:val="Char Char2 Char Char Char Char210"/>
    <w:basedOn w:val="1"/>
    <w:uiPriority w:val="0"/>
    <w:pPr>
      <w:widowControl/>
      <w:jc w:val="left"/>
    </w:pPr>
    <w:rPr>
      <w:rFonts w:ascii="宋体" w:hAnsi="宋体" w:cs="宋体"/>
      <w:kern w:val="0"/>
      <w:szCs w:val="24"/>
    </w:rPr>
  </w:style>
  <w:style w:type="paragraph" w:customStyle="1" w:styleId="3448">
    <w:name w:val="表内宋5121"/>
    <w:basedOn w:val="1935"/>
    <w:uiPriority w:val="0"/>
    <w:pPr>
      <w:autoSpaceDE w:val="0"/>
      <w:autoSpaceDN w:val="0"/>
      <w:textAlignment w:val="auto"/>
    </w:pPr>
    <w:rPr>
      <w:color w:val="auto"/>
      <w:w w:val="90"/>
    </w:rPr>
  </w:style>
  <w:style w:type="paragraph" w:customStyle="1" w:styleId="3449">
    <w:name w:val="表41"/>
    <w:basedOn w:val="1"/>
    <w:uiPriority w:val="0"/>
    <w:pPr>
      <w:widowControl/>
      <w:jc w:val="center"/>
    </w:pPr>
    <w:rPr>
      <w:rFonts w:ascii="宋体" w:hAnsi="宋体" w:cs="宋体"/>
      <w:kern w:val="0"/>
      <w:szCs w:val="24"/>
    </w:rPr>
  </w:style>
  <w:style w:type="paragraph" w:customStyle="1" w:styleId="3450">
    <w:name w:val="燕山正文24"/>
    <w:basedOn w:val="1"/>
    <w:uiPriority w:val="0"/>
    <w:pPr>
      <w:widowControl/>
      <w:tabs>
        <w:tab w:val="left" w:pos="4680"/>
      </w:tabs>
      <w:spacing w:line="480" w:lineRule="exact"/>
      <w:jc w:val="left"/>
    </w:pPr>
    <w:rPr>
      <w:rFonts w:ascii="宋体" w:hAnsi="宋体" w:cs="宋体"/>
      <w:kern w:val="0"/>
      <w:szCs w:val="24"/>
    </w:rPr>
  </w:style>
  <w:style w:type="paragraph" w:customStyle="1" w:styleId="3451">
    <w:name w:val="Char Char Char Char1 Char Char Char23"/>
    <w:basedOn w:val="1"/>
    <w:uiPriority w:val="0"/>
    <w:pPr>
      <w:widowControl/>
      <w:spacing w:after="160" w:line="240" w:lineRule="exact"/>
      <w:jc w:val="left"/>
    </w:pPr>
    <w:rPr>
      <w:rFonts w:ascii="Verdana" w:hAnsi="Verdana" w:cs="宋体"/>
      <w:kern w:val="0"/>
      <w:sz w:val="20"/>
      <w:szCs w:val="20"/>
      <w:lang w:eastAsia="en-US"/>
    </w:rPr>
  </w:style>
  <w:style w:type="paragraph" w:customStyle="1" w:styleId="3452">
    <w:name w:val="Char Char2 Char Char Char Char16"/>
    <w:basedOn w:val="1"/>
    <w:uiPriority w:val="0"/>
    <w:pPr>
      <w:widowControl/>
      <w:jc w:val="left"/>
    </w:pPr>
    <w:rPr>
      <w:rFonts w:ascii="宋体" w:hAnsi="宋体" w:cs="宋体"/>
      <w:kern w:val="0"/>
      <w:szCs w:val="24"/>
    </w:rPr>
  </w:style>
  <w:style w:type="paragraph" w:customStyle="1" w:styleId="3453">
    <w:name w:val="表内宋511112"/>
    <w:basedOn w:val="433"/>
    <w:uiPriority w:val="0"/>
    <w:rPr>
      <w:rFonts w:ascii="宋体" w:hAnsi="宋体" w:cs="宋体"/>
      <w:color w:val="000000"/>
      <w:sz w:val="21"/>
      <w:szCs w:val="24"/>
    </w:rPr>
  </w:style>
  <w:style w:type="paragraph" w:customStyle="1" w:styleId="3454">
    <w:name w:val="Char621"/>
    <w:basedOn w:val="1"/>
    <w:uiPriority w:val="0"/>
    <w:pPr>
      <w:widowControl/>
      <w:spacing w:before="156"/>
      <w:jc w:val="left"/>
    </w:pPr>
    <w:rPr>
      <w:rFonts w:ascii="黑体" w:hAnsi="宋体" w:eastAsia="黑体" w:cs="宋体"/>
      <w:kern w:val="0"/>
      <w:sz w:val="32"/>
      <w:szCs w:val="32"/>
    </w:rPr>
  </w:style>
  <w:style w:type="paragraph" w:customStyle="1" w:styleId="3455">
    <w:name w:val="表中文字413"/>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3456">
    <w:name w:val="Char Char Char Char Char Char Char45"/>
    <w:basedOn w:val="1"/>
    <w:uiPriority w:val="0"/>
    <w:pPr>
      <w:widowControl/>
      <w:jc w:val="left"/>
    </w:pPr>
    <w:rPr>
      <w:rFonts w:ascii="宋体" w:hAnsi="宋体" w:cs="宋体"/>
      <w:kern w:val="0"/>
      <w:szCs w:val="24"/>
    </w:rPr>
  </w:style>
  <w:style w:type="paragraph" w:customStyle="1" w:styleId="3457">
    <w:name w:val="Char Char Char Char Char Char Char114"/>
    <w:basedOn w:val="1"/>
    <w:uiPriority w:val="0"/>
    <w:pPr>
      <w:widowControl/>
      <w:jc w:val="left"/>
    </w:pPr>
    <w:rPr>
      <w:rFonts w:ascii="宋体" w:hAnsi="宋体" w:cs="宋体"/>
      <w:kern w:val="0"/>
      <w:szCs w:val="24"/>
    </w:rPr>
  </w:style>
  <w:style w:type="paragraph" w:customStyle="1" w:styleId="3458">
    <w:name w:val="表中文字7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459">
    <w:name w:val="附件213"/>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460">
    <w:name w:val="表221"/>
    <w:basedOn w:val="1"/>
    <w:uiPriority w:val="0"/>
    <w:pPr>
      <w:widowControl/>
      <w:jc w:val="center"/>
    </w:pPr>
    <w:rPr>
      <w:rFonts w:ascii="宋体" w:hAnsi="宋体" w:cs="宋体"/>
      <w:kern w:val="0"/>
      <w:szCs w:val="24"/>
    </w:rPr>
  </w:style>
  <w:style w:type="paragraph" w:customStyle="1" w:styleId="3461">
    <w:name w:val="正文格式512"/>
    <w:basedOn w:val="1"/>
    <w:uiPriority w:val="0"/>
    <w:pPr>
      <w:widowControl/>
      <w:ind w:firstLine="482"/>
      <w:jc w:val="left"/>
    </w:pPr>
    <w:rPr>
      <w:rFonts w:ascii="宋体" w:hAnsi="宋体" w:cs="宋体"/>
      <w:kern w:val="0"/>
      <w:szCs w:val="24"/>
    </w:rPr>
  </w:style>
  <w:style w:type="paragraph" w:customStyle="1" w:styleId="3462">
    <w:name w:val="正文格式214"/>
    <w:basedOn w:val="1"/>
    <w:uiPriority w:val="0"/>
    <w:pPr>
      <w:widowControl/>
      <w:ind w:firstLine="482"/>
      <w:jc w:val="left"/>
    </w:pPr>
    <w:rPr>
      <w:rFonts w:ascii="宋体" w:hAnsi="宋体" w:cs="宋体"/>
      <w:kern w:val="0"/>
      <w:szCs w:val="24"/>
    </w:rPr>
  </w:style>
  <w:style w:type="paragraph" w:customStyle="1" w:styleId="3463">
    <w:name w:val="图题621"/>
    <w:basedOn w:val="207"/>
    <w:next w:val="207"/>
    <w:uiPriority w:val="0"/>
    <w:pPr>
      <w:ind w:firstLine="0"/>
      <w:jc w:val="center"/>
    </w:pPr>
    <w:rPr>
      <w:rFonts w:ascii="黑体" w:hAnsi="宋体" w:eastAsia="黑体" w:cs="宋体"/>
      <w:b/>
      <w:bCs/>
      <w:kern w:val="0"/>
      <w:szCs w:val="24"/>
    </w:rPr>
  </w:style>
  <w:style w:type="paragraph" w:customStyle="1" w:styleId="3464">
    <w:name w:val="正文231"/>
    <w:uiPriority w:val="0"/>
    <w:pPr>
      <w:adjustRightInd w:val="0"/>
      <w:snapToGrid w:val="0"/>
      <w:spacing w:line="480" w:lineRule="atLeast"/>
      <w:jc w:val="center"/>
    </w:pPr>
    <w:rPr>
      <w:rFonts w:ascii="宋体" w:hAnsi="Times New Roman" w:eastAsia="宋体" w:cs="Times New Roman"/>
      <w:snapToGrid w:val="0"/>
      <w:spacing w:val="6"/>
      <w:kern w:val="0"/>
      <w:sz w:val="21"/>
      <w:szCs w:val="20"/>
      <w:lang w:val="en-US" w:eastAsia="zh-CN" w:bidi="ar-SA"/>
    </w:rPr>
  </w:style>
  <w:style w:type="paragraph" w:customStyle="1" w:styleId="3465">
    <w:name w:val="表格内字体712"/>
    <w:basedOn w:val="207"/>
    <w:next w:val="207"/>
    <w:uiPriority w:val="0"/>
    <w:pPr>
      <w:spacing w:line="240" w:lineRule="auto"/>
      <w:ind w:firstLine="0"/>
      <w:jc w:val="center"/>
    </w:pPr>
    <w:rPr>
      <w:rFonts w:hAnsi="宋体"/>
      <w:sz w:val="21"/>
      <w:szCs w:val="24"/>
    </w:rPr>
  </w:style>
  <w:style w:type="paragraph" w:customStyle="1" w:styleId="3466">
    <w:name w:val="表题1313"/>
    <w:basedOn w:val="19"/>
    <w:uiPriority w:val="0"/>
    <w:pPr>
      <w:widowControl/>
      <w:ind w:firstLine="0" w:firstLineChars="0"/>
      <w:jc w:val="center"/>
    </w:pPr>
    <w:rPr>
      <w:rFonts w:ascii="黑体" w:cs="Arial"/>
      <w:b/>
    </w:rPr>
  </w:style>
  <w:style w:type="paragraph" w:customStyle="1" w:styleId="3467">
    <w:name w:val="表格内字体223"/>
    <w:basedOn w:val="207"/>
    <w:next w:val="207"/>
    <w:uiPriority w:val="0"/>
    <w:pPr>
      <w:spacing w:line="240" w:lineRule="auto"/>
      <w:ind w:firstLine="0"/>
      <w:jc w:val="center"/>
    </w:pPr>
    <w:rPr>
      <w:rFonts w:hAnsi="宋体"/>
      <w:sz w:val="21"/>
      <w:szCs w:val="24"/>
    </w:rPr>
  </w:style>
  <w:style w:type="paragraph" w:customStyle="1" w:styleId="3468">
    <w:name w:val="图题421"/>
    <w:basedOn w:val="207"/>
    <w:next w:val="207"/>
    <w:uiPriority w:val="0"/>
    <w:pPr>
      <w:ind w:firstLine="0"/>
      <w:jc w:val="center"/>
    </w:pPr>
    <w:rPr>
      <w:rFonts w:ascii="黑体" w:hAnsi="宋体" w:eastAsia="黑体" w:cs="宋体"/>
      <w:b/>
      <w:bCs/>
      <w:szCs w:val="24"/>
    </w:rPr>
  </w:style>
  <w:style w:type="paragraph" w:customStyle="1" w:styleId="3469">
    <w:name w:val="图题74"/>
    <w:basedOn w:val="207"/>
    <w:next w:val="207"/>
    <w:uiPriority w:val="0"/>
    <w:pPr>
      <w:ind w:firstLine="0"/>
      <w:jc w:val="center"/>
    </w:pPr>
    <w:rPr>
      <w:rFonts w:ascii="黑体" w:hAnsi="宋体" w:eastAsia="黑体" w:cs="宋体"/>
      <w:b/>
      <w:bCs/>
      <w:szCs w:val="24"/>
    </w:rPr>
  </w:style>
  <w:style w:type="paragraph" w:customStyle="1" w:styleId="3470">
    <w:name w:val="样式 正文缩进 + 宋体 黑色 首行缩进:  2 字符12"/>
    <w:basedOn w:val="307"/>
    <w:uiPriority w:val="0"/>
    <w:pPr>
      <w:ind w:firstLine="480"/>
    </w:pPr>
    <w:rPr>
      <w:rFonts w:cs="宋体"/>
      <w:color w:val="FF00FF"/>
    </w:rPr>
  </w:style>
  <w:style w:type="paragraph" w:customStyle="1" w:styleId="3471">
    <w:name w:val="表格内字体15"/>
    <w:basedOn w:val="207"/>
    <w:next w:val="207"/>
    <w:uiPriority w:val="0"/>
    <w:pPr>
      <w:spacing w:line="240" w:lineRule="auto"/>
      <w:ind w:firstLine="0"/>
      <w:jc w:val="center"/>
    </w:pPr>
    <w:rPr>
      <w:rFonts w:hAnsi="宋体"/>
      <w:sz w:val="21"/>
      <w:szCs w:val="24"/>
    </w:rPr>
  </w:style>
  <w:style w:type="paragraph" w:customStyle="1" w:styleId="3472">
    <w:name w:val="表格121"/>
    <w:basedOn w:val="1"/>
    <w:uiPriority w:val="0"/>
    <w:pPr>
      <w:widowControl/>
      <w:jc w:val="center"/>
      <w:textAlignment w:val="baseline"/>
    </w:pPr>
    <w:rPr>
      <w:rFonts w:ascii="宋体" w:hAnsi="宋体" w:cs="宋体"/>
      <w:kern w:val="0"/>
      <w:szCs w:val="20"/>
    </w:rPr>
  </w:style>
  <w:style w:type="paragraph" w:customStyle="1" w:styleId="3473">
    <w:name w:val="福建正文缩进111"/>
    <w:basedOn w:val="307"/>
    <w:uiPriority w:val="0"/>
    <w:pPr>
      <w:ind w:firstLine="567"/>
    </w:pPr>
    <w:rPr>
      <w:rFonts w:hAnsi="Calibri"/>
    </w:rPr>
  </w:style>
  <w:style w:type="paragraph" w:customStyle="1" w:styleId="3474">
    <w:name w:val="表题21112"/>
    <w:basedOn w:val="1"/>
    <w:uiPriority w:val="0"/>
    <w:pPr>
      <w:widowControl/>
      <w:jc w:val="center"/>
    </w:pPr>
    <w:rPr>
      <w:rFonts w:ascii="黑体" w:hAnsi="宋体" w:eastAsia="黑体" w:cs="宋体"/>
      <w:kern w:val="0"/>
      <w:szCs w:val="24"/>
    </w:rPr>
  </w:style>
  <w:style w:type="paragraph" w:customStyle="1" w:styleId="3475">
    <w:name w:val="Char58"/>
    <w:basedOn w:val="1"/>
    <w:uiPriority w:val="0"/>
    <w:pPr>
      <w:widowControl/>
      <w:ind w:left="-48"/>
      <w:jc w:val="left"/>
    </w:pPr>
    <w:rPr>
      <w:rFonts w:ascii="宋体" w:hAnsi="宋体" w:cs="宋体"/>
      <w:kern w:val="0"/>
      <w:szCs w:val="24"/>
    </w:rPr>
  </w:style>
  <w:style w:type="paragraph" w:customStyle="1" w:styleId="3476">
    <w:name w:val="正文.112"/>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477">
    <w:name w:val="表1111"/>
    <w:basedOn w:val="1"/>
    <w:uiPriority w:val="0"/>
    <w:pPr>
      <w:widowControl/>
      <w:jc w:val="center"/>
    </w:pPr>
    <w:rPr>
      <w:rFonts w:ascii="宋体" w:hAnsi="宋体" w:cs="宋体"/>
      <w:kern w:val="0"/>
      <w:szCs w:val="24"/>
    </w:rPr>
  </w:style>
  <w:style w:type="paragraph" w:customStyle="1" w:styleId="3478">
    <w:name w:val="Char471"/>
    <w:basedOn w:val="1"/>
    <w:uiPriority w:val="0"/>
    <w:pPr>
      <w:widowControl/>
      <w:ind w:left="-48"/>
      <w:jc w:val="left"/>
    </w:pPr>
    <w:rPr>
      <w:rFonts w:ascii="宋体" w:hAnsi="宋体" w:cs="宋体"/>
      <w:kern w:val="0"/>
      <w:szCs w:val="24"/>
    </w:rPr>
  </w:style>
  <w:style w:type="paragraph" w:customStyle="1" w:styleId="3479">
    <w:name w:val="正文斜体4"/>
    <w:basedOn w:val="207"/>
    <w:next w:val="207"/>
    <w:uiPriority w:val="0"/>
    <w:rPr>
      <w:rFonts w:hAnsi="宋体"/>
      <w:i/>
      <w:iCs/>
      <w:szCs w:val="24"/>
    </w:rPr>
  </w:style>
  <w:style w:type="paragraph" w:customStyle="1" w:styleId="3480">
    <w:name w:val="表51"/>
    <w:basedOn w:val="1"/>
    <w:uiPriority w:val="0"/>
    <w:pPr>
      <w:widowControl/>
      <w:jc w:val="center"/>
    </w:pPr>
    <w:rPr>
      <w:rFonts w:ascii="宋体" w:hAnsi="宋体" w:cs="宋体"/>
      <w:kern w:val="0"/>
      <w:szCs w:val="24"/>
    </w:rPr>
  </w:style>
  <w:style w:type="paragraph" w:customStyle="1" w:styleId="3481">
    <w:name w:val="正文.23"/>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482">
    <w:name w:val="默认段落字体 Para Char Char Char Char Char111"/>
    <w:basedOn w:val="1"/>
    <w:uiPriority w:val="0"/>
    <w:pPr>
      <w:widowControl/>
      <w:jc w:val="left"/>
    </w:pPr>
    <w:rPr>
      <w:rFonts w:ascii="宋体" w:hAnsi="宋体" w:cs="宋体"/>
      <w:kern w:val="0"/>
      <w:szCs w:val="24"/>
    </w:rPr>
  </w:style>
  <w:style w:type="paragraph" w:customStyle="1" w:styleId="3483">
    <w:name w:val="Char227"/>
    <w:basedOn w:val="1"/>
    <w:uiPriority w:val="0"/>
    <w:pPr>
      <w:widowControl/>
      <w:ind w:left="-48"/>
      <w:jc w:val="left"/>
    </w:pPr>
    <w:rPr>
      <w:rFonts w:ascii="宋体" w:hAnsi="宋体" w:cs="宋体"/>
      <w:kern w:val="0"/>
      <w:szCs w:val="24"/>
    </w:rPr>
  </w:style>
  <w:style w:type="paragraph" w:customStyle="1" w:styleId="3484">
    <w:name w:val="默认段落字体 Para Char Char Char Char9"/>
    <w:basedOn w:val="1"/>
    <w:uiPriority w:val="0"/>
    <w:pPr>
      <w:widowControl/>
      <w:jc w:val="left"/>
    </w:pPr>
    <w:rPr>
      <w:rFonts w:ascii="宋体" w:hAnsi="宋体" w:cs="宋体"/>
      <w:kern w:val="0"/>
      <w:szCs w:val="24"/>
    </w:rPr>
  </w:style>
  <w:style w:type="paragraph" w:customStyle="1" w:styleId="3485">
    <w:name w:val="黑体三号221"/>
    <w:basedOn w:val="207"/>
    <w:uiPriority w:val="0"/>
    <w:pPr>
      <w:jc w:val="center"/>
    </w:pPr>
    <w:rPr>
      <w:rFonts w:ascii="黑体" w:hAnsi="宋体" w:eastAsia="黑体" w:cs="宋体"/>
      <w:b/>
      <w:bCs/>
      <w:sz w:val="32"/>
      <w:szCs w:val="20"/>
    </w:rPr>
  </w:style>
  <w:style w:type="paragraph" w:customStyle="1" w:styleId="3486">
    <w:name w:val="Char Char Char Char Char Char Char161"/>
    <w:basedOn w:val="1"/>
    <w:uiPriority w:val="0"/>
    <w:pPr>
      <w:widowControl/>
      <w:jc w:val="left"/>
    </w:pPr>
    <w:rPr>
      <w:rFonts w:ascii="宋体" w:hAnsi="宋体" w:cs="宋体"/>
      <w:kern w:val="0"/>
      <w:szCs w:val="24"/>
    </w:rPr>
  </w:style>
  <w:style w:type="paragraph" w:customStyle="1" w:styleId="3487">
    <w:name w:val="表题41111"/>
    <w:basedOn w:val="267"/>
    <w:uiPriority w:val="0"/>
    <w:pPr>
      <w:widowControl/>
      <w:tabs>
        <w:tab w:val="left" w:pos="4305"/>
      </w:tabs>
      <w:spacing w:after="0" w:line="240" w:lineRule="auto"/>
      <w:ind w:left="0" w:leftChars="0" w:firstLine="0" w:firstLineChars="0"/>
      <w:jc w:val="center"/>
    </w:pPr>
    <w:rPr>
      <w:rFonts w:ascii="宋体" w:hAnsi="宋体" w:cs="宋体"/>
      <w:color w:val="000000"/>
      <w:sz w:val="24"/>
      <w:szCs w:val="24"/>
    </w:rPr>
  </w:style>
  <w:style w:type="paragraph" w:customStyle="1" w:styleId="3488">
    <w:name w:val="xl6321"/>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3489">
    <w:name w:val="表内文字小3124"/>
    <w:basedOn w:val="1"/>
    <w:uiPriority w:val="0"/>
    <w:pPr>
      <w:widowControl/>
      <w:jc w:val="center"/>
    </w:pPr>
    <w:rPr>
      <w:rFonts w:ascii="宋体" w:hAnsi="Times" w:cs="宋体"/>
      <w:bCs/>
      <w:color w:val="003366"/>
      <w:kern w:val="0"/>
      <w:szCs w:val="20"/>
    </w:rPr>
  </w:style>
  <w:style w:type="paragraph" w:customStyle="1" w:styleId="3490">
    <w:name w:val="默认段落字体 Para Char Char Char Char521"/>
    <w:basedOn w:val="1"/>
    <w:uiPriority w:val="0"/>
    <w:pPr>
      <w:widowControl/>
      <w:jc w:val="left"/>
    </w:pPr>
    <w:rPr>
      <w:rFonts w:ascii="宋体" w:hAnsi="宋体" w:cs="宋体"/>
      <w:kern w:val="0"/>
      <w:szCs w:val="24"/>
    </w:rPr>
  </w:style>
  <w:style w:type="paragraph" w:customStyle="1" w:styleId="3491">
    <w:name w:val="正文格式＝621"/>
    <w:basedOn w:val="207"/>
    <w:next w:val="207"/>
    <w:uiPriority w:val="0"/>
    <w:rPr>
      <w:rFonts w:hAnsi="宋体"/>
      <w:szCs w:val="24"/>
    </w:rPr>
  </w:style>
  <w:style w:type="paragraph" w:customStyle="1" w:styleId="3492">
    <w:name w:val="表中文字51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493">
    <w:name w:val="燕山正文11213"/>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494">
    <w:name w:val="燕山正文1112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495">
    <w:name w:val="Char Char Char Char Char Char Char30"/>
    <w:basedOn w:val="1"/>
    <w:uiPriority w:val="0"/>
    <w:pPr>
      <w:widowControl/>
      <w:jc w:val="left"/>
    </w:pPr>
    <w:rPr>
      <w:rFonts w:ascii="宋体" w:hAnsi="宋体" w:cs="宋体"/>
      <w:kern w:val="0"/>
      <w:szCs w:val="24"/>
    </w:rPr>
  </w:style>
  <w:style w:type="paragraph" w:customStyle="1" w:styleId="3496">
    <w:name w:val="Char Char2 Char Char Char Char33"/>
    <w:basedOn w:val="1"/>
    <w:uiPriority w:val="0"/>
    <w:pPr>
      <w:widowControl/>
      <w:jc w:val="left"/>
    </w:pPr>
    <w:rPr>
      <w:rFonts w:ascii="宋体" w:hAnsi="宋体" w:cs="宋体"/>
      <w:kern w:val="0"/>
      <w:szCs w:val="24"/>
    </w:rPr>
  </w:style>
  <w:style w:type="paragraph" w:customStyle="1" w:styleId="3497">
    <w:name w:val="Char Char2 Char Char Char Char411"/>
    <w:basedOn w:val="1"/>
    <w:uiPriority w:val="0"/>
    <w:pPr>
      <w:widowControl/>
      <w:jc w:val="left"/>
    </w:pPr>
    <w:rPr>
      <w:rFonts w:ascii="宋体" w:hAnsi="宋体" w:cs="宋体"/>
      <w:kern w:val="0"/>
      <w:szCs w:val="24"/>
    </w:rPr>
  </w:style>
  <w:style w:type="paragraph" w:customStyle="1" w:styleId="3498">
    <w:name w:val="Char Char Char Char Char Char Char216"/>
    <w:basedOn w:val="1"/>
    <w:uiPriority w:val="0"/>
    <w:pPr>
      <w:widowControl/>
      <w:jc w:val="left"/>
    </w:pPr>
    <w:rPr>
      <w:rFonts w:ascii="宋体" w:hAnsi="宋体" w:cs="宋体"/>
      <w:kern w:val="0"/>
      <w:szCs w:val="24"/>
    </w:rPr>
  </w:style>
  <w:style w:type="paragraph" w:customStyle="1" w:styleId="3499">
    <w:name w:val="正文格式＝64"/>
    <w:basedOn w:val="207"/>
    <w:next w:val="207"/>
    <w:uiPriority w:val="0"/>
    <w:rPr>
      <w:rFonts w:hAnsi="宋体"/>
      <w:szCs w:val="24"/>
    </w:rPr>
  </w:style>
  <w:style w:type="paragraph" w:customStyle="1" w:styleId="3500">
    <w:name w:val="标题41113"/>
    <w:basedOn w:val="1"/>
    <w:uiPriority w:val="0"/>
    <w:pPr>
      <w:widowControl/>
      <w:spacing w:line="300" w:lineRule="auto"/>
      <w:jc w:val="left"/>
    </w:pPr>
    <w:rPr>
      <w:rFonts w:ascii="黑体" w:hAnsi="宋体" w:eastAsia="黑体" w:cs="宋体"/>
      <w:bCs/>
      <w:kern w:val="0"/>
      <w:szCs w:val="20"/>
    </w:rPr>
  </w:style>
  <w:style w:type="paragraph" w:customStyle="1" w:styleId="3501">
    <w:name w:val="标题431121"/>
    <w:basedOn w:val="1"/>
    <w:uiPriority w:val="0"/>
    <w:pPr>
      <w:widowControl/>
      <w:spacing w:line="480" w:lineRule="exact"/>
      <w:jc w:val="center"/>
    </w:pPr>
    <w:rPr>
      <w:rFonts w:ascii="宋体" w:hAnsi="宋体" w:cs="宋体"/>
      <w:kern w:val="0"/>
      <w:szCs w:val="24"/>
    </w:rPr>
  </w:style>
  <w:style w:type="paragraph" w:customStyle="1" w:styleId="3502">
    <w:name w:val="Char153"/>
    <w:basedOn w:val="1"/>
    <w:uiPriority w:val="0"/>
    <w:pPr>
      <w:widowControl/>
      <w:spacing w:before="156"/>
      <w:jc w:val="left"/>
    </w:pPr>
    <w:rPr>
      <w:rFonts w:ascii="黑体" w:hAnsi="宋体" w:eastAsia="黑体" w:cs="宋体"/>
      <w:kern w:val="0"/>
      <w:sz w:val="32"/>
      <w:szCs w:val="32"/>
    </w:rPr>
  </w:style>
  <w:style w:type="paragraph" w:customStyle="1" w:styleId="3503">
    <w:name w:val="Char631"/>
    <w:basedOn w:val="1"/>
    <w:uiPriority w:val="0"/>
    <w:pPr>
      <w:widowControl/>
      <w:spacing w:before="156"/>
      <w:jc w:val="left"/>
    </w:pPr>
    <w:rPr>
      <w:rFonts w:ascii="黑体" w:hAnsi="宋体" w:eastAsia="黑体" w:cs="宋体"/>
      <w:kern w:val="0"/>
      <w:sz w:val="32"/>
      <w:szCs w:val="32"/>
    </w:rPr>
  </w:style>
  <w:style w:type="paragraph" w:customStyle="1" w:styleId="3504">
    <w:name w:val="Char40"/>
    <w:basedOn w:val="1"/>
    <w:uiPriority w:val="0"/>
    <w:pPr>
      <w:widowControl/>
      <w:ind w:left="-48"/>
      <w:jc w:val="left"/>
    </w:pPr>
    <w:rPr>
      <w:rFonts w:ascii="宋体" w:hAnsi="宋体" w:cs="宋体"/>
      <w:kern w:val="0"/>
      <w:szCs w:val="24"/>
    </w:rPr>
  </w:style>
  <w:style w:type="paragraph" w:customStyle="1" w:styleId="3505">
    <w:name w:val="Char330"/>
    <w:basedOn w:val="1"/>
    <w:uiPriority w:val="0"/>
    <w:pPr>
      <w:widowControl/>
      <w:ind w:left="-48"/>
      <w:jc w:val="left"/>
    </w:pPr>
    <w:rPr>
      <w:rFonts w:ascii="宋体" w:hAnsi="宋体" w:cs="宋体"/>
      <w:kern w:val="0"/>
      <w:szCs w:val="24"/>
    </w:rPr>
  </w:style>
  <w:style w:type="paragraph" w:customStyle="1" w:styleId="3506">
    <w:name w:val="默认段落字体 Para Char Char Char Char611"/>
    <w:basedOn w:val="1"/>
    <w:uiPriority w:val="0"/>
    <w:pPr>
      <w:widowControl/>
      <w:jc w:val="left"/>
    </w:pPr>
    <w:rPr>
      <w:rFonts w:ascii="宋体" w:hAnsi="宋体" w:cs="宋体"/>
      <w:kern w:val="0"/>
      <w:szCs w:val="24"/>
    </w:rPr>
  </w:style>
  <w:style w:type="paragraph" w:customStyle="1" w:styleId="3507">
    <w:name w:val="表题3112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508">
    <w:name w:val="Char Char Char Char Char Char Char312"/>
    <w:basedOn w:val="1"/>
    <w:uiPriority w:val="0"/>
    <w:pPr>
      <w:widowControl/>
      <w:jc w:val="left"/>
    </w:pPr>
    <w:rPr>
      <w:rFonts w:ascii="宋体" w:hAnsi="宋体" w:cs="宋体"/>
      <w:kern w:val="0"/>
      <w:szCs w:val="24"/>
    </w:rPr>
  </w:style>
  <w:style w:type="paragraph" w:customStyle="1" w:styleId="3509">
    <w:name w:val="表内宋5中24"/>
    <w:basedOn w:val="1"/>
    <w:uiPriority w:val="0"/>
    <w:pPr>
      <w:widowControl/>
      <w:jc w:val="center"/>
      <w:textAlignment w:val="baseline"/>
    </w:pPr>
    <w:rPr>
      <w:rFonts w:ascii="宋体" w:hAnsi="宋体" w:cs="宋体"/>
      <w:kern w:val="0"/>
      <w:szCs w:val="20"/>
    </w:rPr>
  </w:style>
  <w:style w:type="paragraph" w:customStyle="1" w:styleId="3510">
    <w:name w:val="表内54144"/>
    <w:basedOn w:val="1"/>
    <w:uiPriority w:val="0"/>
    <w:pPr>
      <w:widowControl/>
      <w:spacing w:line="300" w:lineRule="auto"/>
      <w:jc w:val="center"/>
    </w:pPr>
    <w:rPr>
      <w:rFonts w:ascii="宋体" w:hAnsi="宋体" w:cs="宋体"/>
      <w:kern w:val="0"/>
      <w:szCs w:val="20"/>
    </w:rPr>
  </w:style>
  <w:style w:type="paragraph" w:customStyle="1" w:styleId="3511">
    <w:name w:val="封面标准文稿编辑信息31"/>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3512">
    <w:name w:val="正文缩111"/>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513">
    <w:name w:val="表内文字小31121"/>
    <w:basedOn w:val="1"/>
    <w:uiPriority w:val="0"/>
    <w:pPr>
      <w:widowControl/>
      <w:jc w:val="center"/>
    </w:pPr>
    <w:rPr>
      <w:rFonts w:ascii="宋体" w:hAnsi="Times" w:cs="宋体"/>
      <w:bCs/>
      <w:color w:val="003366"/>
      <w:kern w:val="0"/>
      <w:szCs w:val="20"/>
    </w:rPr>
  </w:style>
  <w:style w:type="paragraph" w:customStyle="1" w:styleId="3514">
    <w:name w:val="文本框211"/>
    <w:basedOn w:val="1"/>
    <w:uiPriority w:val="0"/>
    <w:pPr>
      <w:widowControl/>
      <w:spacing w:after="6"/>
      <w:jc w:val="center"/>
    </w:pPr>
    <w:rPr>
      <w:rFonts w:ascii="宋体" w:hAnsi="宋体" w:cs="宋体"/>
      <w:kern w:val="0"/>
      <w:szCs w:val="24"/>
    </w:rPr>
  </w:style>
  <w:style w:type="paragraph" w:customStyle="1" w:styleId="3515">
    <w:name w:val="默认段落字体 Para Char Char Char Char213"/>
    <w:basedOn w:val="1"/>
    <w:uiPriority w:val="0"/>
    <w:pPr>
      <w:widowControl/>
      <w:jc w:val="left"/>
    </w:pPr>
    <w:rPr>
      <w:rFonts w:ascii="宋体" w:hAnsi="宋体" w:cs="宋体"/>
      <w:kern w:val="0"/>
      <w:szCs w:val="24"/>
    </w:rPr>
  </w:style>
  <w:style w:type="paragraph" w:customStyle="1" w:styleId="3516">
    <w:name w:val="表内53121"/>
    <w:basedOn w:val="1"/>
    <w:uiPriority w:val="0"/>
    <w:pPr>
      <w:widowControl/>
      <w:spacing w:line="300" w:lineRule="auto"/>
      <w:jc w:val="left"/>
    </w:pPr>
    <w:rPr>
      <w:rFonts w:ascii="宋体" w:hAnsi="宋体" w:cs="宋体"/>
      <w:kern w:val="0"/>
      <w:szCs w:val="20"/>
    </w:rPr>
  </w:style>
  <w:style w:type="paragraph" w:customStyle="1" w:styleId="3517">
    <w:name w:val="燕山正文11321"/>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3518">
    <w:name w:val="样式 表格内字体1 +13"/>
    <w:basedOn w:val="2316"/>
    <w:next w:val="347"/>
    <w:uiPriority w:val="0"/>
    <w:rPr>
      <w:rFonts w:hAnsi="Times New Roman" w:cs="宋体"/>
      <w:szCs w:val="20"/>
    </w:rPr>
  </w:style>
  <w:style w:type="paragraph" w:customStyle="1" w:styleId="3519">
    <w:name w:val="Char66"/>
    <w:basedOn w:val="1"/>
    <w:uiPriority w:val="0"/>
    <w:pPr>
      <w:widowControl/>
      <w:ind w:left="-48"/>
      <w:jc w:val="left"/>
    </w:pPr>
    <w:rPr>
      <w:rFonts w:ascii="宋体" w:hAnsi="宋体" w:cs="宋体"/>
      <w:kern w:val="0"/>
      <w:szCs w:val="24"/>
    </w:rPr>
  </w:style>
  <w:style w:type="paragraph" w:customStyle="1" w:styleId="3520">
    <w:name w:val="黑体三号511"/>
    <w:basedOn w:val="207"/>
    <w:uiPriority w:val="0"/>
    <w:pPr>
      <w:jc w:val="center"/>
    </w:pPr>
    <w:rPr>
      <w:rFonts w:ascii="黑体" w:hAnsi="宋体" w:eastAsia="黑体" w:cs="宋体"/>
      <w:b/>
      <w:bCs/>
      <w:sz w:val="32"/>
      <w:szCs w:val="20"/>
    </w:rPr>
  </w:style>
  <w:style w:type="paragraph" w:customStyle="1" w:styleId="3521">
    <w:name w:val="Char1141"/>
    <w:basedOn w:val="1"/>
    <w:uiPriority w:val="0"/>
    <w:pPr>
      <w:widowControl/>
      <w:ind w:left="-48"/>
      <w:jc w:val="left"/>
    </w:pPr>
    <w:rPr>
      <w:rFonts w:ascii="宋体" w:hAnsi="宋体" w:cs="宋体"/>
      <w:kern w:val="0"/>
      <w:szCs w:val="24"/>
    </w:rPr>
  </w:style>
  <w:style w:type="paragraph" w:customStyle="1" w:styleId="3522">
    <w:name w:val="表中文字431"/>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3523">
    <w:name w:val="Fax Header13"/>
    <w:basedOn w:val="1"/>
    <w:uiPriority w:val="0"/>
    <w:pPr>
      <w:widowControl/>
      <w:spacing w:before="240" w:after="60"/>
      <w:jc w:val="left"/>
    </w:pPr>
    <w:rPr>
      <w:rFonts w:ascii="宋体" w:hAnsi="宋体" w:cs="宋体"/>
      <w:kern w:val="0"/>
      <w:sz w:val="20"/>
      <w:szCs w:val="20"/>
    </w:rPr>
  </w:style>
  <w:style w:type="paragraph" w:customStyle="1" w:styleId="3524">
    <w:name w:val="黑体三号1111"/>
    <w:basedOn w:val="207"/>
    <w:uiPriority w:val="0"/>
    <w:pPr>
      <w:jc w:val="center"/>
    </w:pPr>
    <w:rPr>
      <w:rFonts w:ascii="黑体" w:hAnsi="宋体" w:eastAsia="黑体" w:cs="宋体"/>
      <w:b/>
      <w:bCs/>
      <w:sz w:val="32"/>
      <w:szCs w:val="20"/>
    </w:rPr>
  </w:style>
  <w:style w:type="paragraph" w:customStyle="1" w:styleId="3525">
    <w:name w:val="表内541321"/>
    <w:basedOn w:val="1"/>
    <w:uiPriority w:val="0"/>
    <w:pPr>
      <w:widowControl/>
      <w:spacing w:line="300" w:lineRule="auto"/>
      <w:jc w:val="center"/>
    </w:pPr>
    <w:rPr>
      <w:rFonts w:ascii="宋体" w:hAnsi="宋体" w:cs="宋体"/>
      <w:kern w:val="0"/>
      <w:szCs w:val="20"/>
    </w:rPr>
  </w:style>
  <w:style w:type="paragraph" w:customStyle="1" w:styleId="3526">
    <w:name w:val="表内文字小31411"/>
    <w:basedOn w:val="1"/>
    <w:uiPriority w:val="0"/>
    <w:pPr>
      <w:widowControl/>
      <w:jc w:val="center"/>
    </w:pPr>
    <w:rPr>
      <w:rFonts w:ascii="宋体" w:hAnsi="Times" w:cs="宋体"/>
      <w:bCs/>
      <w:color w:val="003366"/>
      <w:kern w:val="0"/>
      <w:szCs w:val="20"/>
    </w:rPr>
  </w:style>
  <w:style w:type="paragraph" w:customStyle="1" w:styleId="3527">
    <w:name w:val="Char Char Char Char1 Char Char Char13"/>
    <w:basedOn w:val="1"/>
    <w:uiPriority w:val="0"/>
    <w:pPr>
      <w:widowControl/>
      <w:spacing w:after="160" w:line="240" w:lineRule="exact"/>
      <w:jc w:val="left"/>
    </w:pPr>
    <w:rPr>
      <w:rFonts w:ascii="Verdana" w:hAnsi="Verdana" w:cs="宋体"/>
      <w:kern w:val="0"/>
      <w:sz w:val="20"/>
      <w:szCs w:val="20"/>
      <w:lang w:eastAsia="en-US"/>
    </w:rPr>
  </w:style>
  <w:style w:type="paragraph" w:customStyle="1" w:styleId="3528">
    <w:name w:val="Char39"/>
    <w:basedOn w:val="1"/>
    <w:uiPriority w:val="0"/>
    <w:pPr>
      <w:widowControl/>
      <w:spacing w:before="156"/>
      <w:jc w:val="left"/>
    </w:pPr>
    <w:rPr>
      <w:rFonts w:ascii="黑体" w:hAnsi="宋体" w:eastAsia="黑体" w:cs="宋体"/>
      <w:kern w:val="0"/>
      <w:sz w:val="32"/>
      <w:szCs w:val="32"/>
    </w:rPr>
  </w:style>
  <w:style w:type="paragraph" w:customStyle="1" w:styleId="3529">
    <w:name w:val="Char423"/>
    <w:basedOn w:val="1"/>
    <w:uiPriority w:val="0"/>
    <w:pPr>
      <w:widowControl/>
      <w:ind w:left="-48"/>
      <w:jc w:val="left"/>
    </w:pPr>
    <w:rPr>
      <w:rFonts w:ascii="宋体" w:hAnsi="宋体" w:cs="宋体"/>
      <w:kern w:val="0"/>
      <w:szCs w:val="24"/>
    </w:rPr>
  </w:style>
  <w:style w:type="paragraph" w:customStyle="1" w:styleId="3530">
    <w:name w:val="默认段落字体 Para Char Char Char Char1111"/>
    <w:basedOn w:val="1"/>
    <w:uiPriority w:val="0"/>
    <w:pPr>
      <w:widowControl/>
      <w:jc w:val="left"/>
    </w:pPr>
    <w:rPr>
      <w:rFonts w:ascii="宋体" w:hAnsi="宋体" w:cs="宋体"/>
      <w:kern w:val="0"/>
      <w:szCs w:val="24"/>
    </w:rPr>
  </w:style>
  <w:style w:type="paragraph" w:customStyle="1" w:styleId="3531">
    <w:name w:val="正文格式＝711"/>
    <w:basedOn w:val="207"/>
    <w:next w:val="207"/>
    <w:uiPriority w:val="0"/>
    <w:rPr>
      <w:rFonts w:hAnsi="宋体"/>
      <w:szCs w:val="24"/>
    </w:rPr>
  </w:style>
  <w:style w:type="paragraph" w:customStyle="1" w:styleId="3532">
    <w:name w:val="表中文字9"/>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533">
    <w:name w:val="表题3131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534">
    <w:name w:val="文本框1111"/>
    <w:basedOn w:val="1"/>
    <w:uiPriority w:val="0"/>
    <w:pPr>
      <w:widowControl/>
      <w:spacing w:after="6"/>
      <w:jc w:val="center"/>
    </w:pPr>
    <w:rPr>
      <w:rFonts w:ascii="宋体" w:hAnsi="宋体" w:cs="宋体"/>
      <w:kern w:val="0"/>
      <w:szCs w:val="24"/>
    </w:rPr>
  </w:style>
  <w:style w:type="paragraph" w:customStyle="1" w:styleId="3535">
    <w:name w:val="图表名称4"/>
    <w:basedOn w:val="155"/>
    <w:uiPriority w:val="0"/>
    <w:pPr>
      <w:spacing w:after="0" w:line="480" w:lineRule="exact"/>
      <w:ind w:firstLine="0" w:firstLineChars="0"/>
      <w:jc w:val="center"/>
    </w:pPr>
    <w:rPr>
      <w:rFonts w:ascii="宋体" w:hAnsi="宋体"/>
      <w:bCs/>
      <w:szCs w:val="24"/>
    </w:rPr>
  </w:style>
  <w:style w:type="paragraph" w:customStyle="1" w:styleId="3536">
    <w:name w:val="Char325"/>
    <w:basedOn w:val="1"/>
    <w:uiPriority w:val="0"/>
    <w:pPr>
      <w:widowControl/>
      <w:ind w:left="-48"/>
      <w:jc w:val="left"/>
    </w:pPr>
    <w:rPr>
      <w:rFonts w:ascii="宋体" w:hAnsi="宋体" w:cs="宋体"/>
      <w:kern w:val="0"/>
      <w:szCs w:val="24"/>
    </w:rPr>
  </w:style>
  <w:style w:type="paragraph" w:customStyle="1" w:styleId="3537">
    <w:name w:val="正文格式＝34"/>
    <w:basedOn w:val="207"/>
    <w:next w:val="207"/>
    <w:uiPriority w:val="0"/>
    <w:rPr>
      <w:rFonts w:hAnsi="宋体"/>
      <w:szCs w:val="24"/>
    </w:rPr>
  </w:style>
  <w:style w:type="paragraph" w:customStyle="1" w:styleId="3538">
    <w:name w:val="燕山正文117"/>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539">
    <w:name w:val="表内541121"/>
    <w:basedOn w:val="1"/>
    <w:uiPriority w:val="0"/>
    <w:pPr>
      <w:widowControl/>
      <w:spacing w:line="300" w:lineRule="auto"/>
      <w:jc w:val="center"/>
    </w:pPr>
    <w:rPr>
      <w:rFonts w:ascii="宋体" w:hAnsi="宋体" w:cs="宋体"/>
      <w:kern w:val="0"/>
      <w:szCs w:val="20"/>
    </w:rPr>
  </w:style>
  <w:style w:type="paragraph" w:customStyle="1" w:styleId="3540">
    <w:name w:val="Char Char2 Char Char Char Char212"/>
    <w:basedOn w:val="1"/>
    <w:uiPriority w:val="0"/>
    <w:pPr>
      <w:widowControl/>
      <w:jc w:val="left"/>
    </w:pPr>
    <w:rPr>
      <w:rFonts w:ascii="宋体" w:hAnsi="宋体" w:cs="宋体"/>
      <w:kern w:val="0"/>
      <w:szCs w:val="24"/>
    </w:rPr>
  </w:style>
  <w:style w:type="paragraph" w:customStyle="1" w:styleId="3541">
    <w:name w:val="正文缩4"/>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542">
    <w:name w:val="xl2413"/>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543">
    <w:name w:val="文本框31"/>
    <w:basedOn w:val="1"/>
    <w:uiPriority w:val="0"/>
    <w:pPr>
      <w:widowControl/>
      <w:spacing w:after="6"/>
      <w:jc w:val="center"/>
    </w:pPr>
    <w:rPr>
      <w:rFonts w:ascii="宋体" w:hAnsi="宋体" w:cs="宋体"/>
      <w:kern w:val="0"/>
      <w:szCs w:val="24"/>
    </w:rPr>
  </w:style>
  <w:style w:type="paragraph" w:customStyle="1" w:styleId="3544">
    <w:name w:val="表内5中131"/>
    <w:basedOn w:val="1"/>
    <w:uiPriority w:val="0"/>
    <w:pPr>
      <w:widowControl/>
      <w:jc w:val="center"/>
    </w:pPr>
    <w:rPr>
      <w:rFonts w:ascii="宋体" w:hAnsi="宋体" w:cs="Arial"/>
      <w:snapToGrid w:val="0"/>
      <w:color w:val="000000"/>
      <w:kern w:val="0"/>
      <w:szCs w:val="21"/>
    </w:rPr>
  </w:style>
  <w:style w:type="paragraph" w:customStyle="1" w:styleId="3545">
    <w:name w:val="Char Char Char Char Char Char Char231"/>
    <w:basedOn w:val="1"/>
    <w:uiPriority w:val="0"/>
    <w:pPr>
      <w:widowControl/>
      <w:jc w:val="left"/>
    </w:pPr>
    <w:rPr>
      <w:rFonts w:ascii="宋体" w:hAnsi="宋体" w:cs="宋体"/>
      <w:kern w:val="0"/>
      <w:szCs w:val="24"/>
    </w:rPr>
  </w:style>
  <w:style w:type="paragraph" w:customStyle="1" w:styleId="3546">
    <w:name w:val="Char Char2 Char Char Char Char312"/>
    <w:basedOn w:val="1"/>
    <w:uiPriority w:val="0"/>
    <w:pPr>
      <w:widowControl/>
      <w:jc w:val="left"/>
    </w:pPr>
    <w:rPr>
      <w:rFonts w:ascii="宋体" w:hAnsi="宋体" w:cs="宋体"/>
      <w:kern w:val="0"/>
      <w:szCs w:val="24"/>
    </w:rPr>
  </w:style>
  <w:style w:type="paragraph" w:customStyle="1" w:styleId="3547">
    <w:name w:val="Char414"/>
    <w:basedOn w:val="1"/>
    <w:uiPriority w:val="0"/>
    <w:pPr>
      <w:widowControl/>
      <w:ind w:left="-48"/>
      <w:jc w:val="left"/>
    </w:pPr>
    <w:rPr>
      <w:rFonts w:ascii="宋体" w:hAnsi="宋体" w:cs="宋体"/>
      <w:kern w:val="0"/>
      <w:szCs w:val="24"/>
    </w:rPr>
  </w:style>
  <w:style w:type="paragraph" w:customStyle="1" w:styleId="3548">
    <w:name w:val="表内5211"/>
    <w:basedOn w:val="1"/>
    <w:uiPriority w:val="0"/>
    <w:pPr>
      <w:widowControl/>
      <w:spacing w:line="300" w:lineRule="auto"/>
      <w:jc w:val="left"/>
    </w:pPr>
    <w:rPr>
      <w:rFonts w:ascii="宋体" w:hAnsi="宋体" w:cs="宋体"/>
      <w:kern w:val="0"/>
      <w:sz w:val="18"/>
      <w:szCs w:val="20"/>
    </w:rPr>
  </w:style>
  <w:style w:type="paragraph" w:customStyle="1" w:styleId="3549">
    <w:name w:val="正文格式＝4111"/>
    <w:basedOn w:val="207"/>
    <w:next w:val="207"/>
    <w:uiPriority w:val="0"/>
    <w:rPr>
      <w:rFonts w:hAnsi="宋体"/>
      <w:szCs w:val="24"/>
    </w:rPr>
  </w:style>
  <w:style w:type="paragraph" w:customStyle="1" w:styleId="3550">
    <w:name w:val="Char215"/>
    <w:basedOn w:val="1"/>
    <w:uiPriority w:val="0"/>
    <w:pPr>
      <w:widowControl/>
      <w:ind w:left="-48"/>
      <w:jc w:val="left"/>
    </w:pPr>
    <w:rPr>
      <w:rFonts w:ascii="宋体" w:hAnsi="宋体" w:cs="宋体"/>
      <w:kern w:val="0"/>
      <w:szCs w:val="24"/>
    </w:rPr>
  </w:style>
  <w:style w:type="paragraph" w:customStyle="1" w:styleId="3551">
    <w:name w:val="Char Char Char Char Char Char Char261"/>
    <w:basedOn w:val="1"/>
    <w:uiPriority w:val="0"/>
    <w:pPr>
      <w:widowControl/>
      <w:jc w:val="left"/>
    </w:pPr>
    <w:rPr>
      <w:rFonts w:ascii="宋体" w:hAnsi="宋体" w:cs="宋体"/>
      <w:kern w:val="0"/>
      <w:szCs w:val="24"/>
    </w:rPr>
  </w:style>
  <w:style w:type="paragraph" w:customStyle="1" w:styleId="3552">
    <w:name w:val="标题4211"/>
    <w:basedOn w:val="1"/>
    <w:uiPriority w:val="0"/>
    <w:pPr>
      <w:widowControl/>
      <w:spacing w:line="300" w:lineRule="auto"/>
      <w:jc w:val="left"/>
    </w:pPr>
    <w:rPr>
      <w:rFonts w:ascii="黑体" w:hAnsi="宋体" w:eastAsia="黑体" w:cs="宋体"/>
      <w:bCs/>
      <w:kern w:val="0"/>
      <w:szCs w:val="24"/>
    </w:rPr>
  </w:style>
  <w:style w:type="paragraph" w:customStyle="1" w:styleId="3553">
    <w:name w:val="xl63111"/>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3554">
    <w:name w:val="表内5中51"/>
    <w:basedOn w:val="1"/>
    <w:uiPriority w:val="0"/>
    <w:pPr>
      <w:widowControl/>
      <w:jc w:val="center"/>
    </w:pPr>
    <w:rPr>
      <w:rFonts w:ascii="宋体" w:hAnsi="宋体" w:cs="Arial"/>
      <w:snapToGrid w:val="0"/>
      <w:color w:val="000000"/>
      <w:kern w:val="0"/>
      <w:szCs w:val="21"/>
    </w:rPr>
  </w:style>
  <w:style w:type="paragraph" w:customStyle="1" w:styleId="3555">
    <w:name w:val="Char Char2 Char Char Char Char14"/>
    <w:basedOn w:val="1"/>
    <w:uiPriority w:val="0"/>
    <w:pPr>
      <w:widowControl/>
      <w:jc w:val="left"/>
    </w:pPr>
    <w:rPr>
      <w:rFonts w:ascii="宋体" w:hAnsi="宋体" w:cs="宋体"/>
      <w:kern w:val="0"/>
      <w:szCs w:val="24"/>
    </w:rPr>
  </w:style>
  <w:style w:type="paragraph" w:customStyle="1" w:styleId="3556">
    <w:name w:val="文本框5"/>
    <w:basedOn w:val="1"/>
    <w:uiPriority w:val="0"/>
    <w:pPr>
      <w:widowControl/>
      <w:spacing w:after="6"/>
      <w:jc w:val="center"/>
    </w:pPr>
    <w:rPr>
      <w:rFonts w:ascii="宋体" w:hAnsi="宋体" w:cs="宋体"/>
      <w:kern w:val="0"/>
      <w:szCs w:val="24"/>
    </w:rPr>
  </w:style>
  <w:style w:type="paragraph" w:customStyle="1" w:styleId="3557">
    <w:name w:val="Char Char2 Char Char Char Char51"/>
    <w:basedOn w:val="1"/>
    <w:uiPriority w:val="0"/>
    <w:pPr>
      <w:widowControl/>
      <w:jc w:val="left"/>
    </w:pPr>
    <w:rPr>
      <w:rFonts w:ascii="宋体" w:hAnsi="宋体" w:cs="宋体"/>
      <w:kern w:val="0"/>
      <w:szCs w:val="24"/>
    </w:rPr>
  </w:style>
  <w:style w:type="paragraph" w:customStyle="1" w:styleId="3558">
    <w:name w:val="表内宋5中213"/>
    <w:basedOn w:val="1"/>
    <w:uiPriority w:val="0"/>
    <w:pPr>
      <w:widowControl/>
      <w:jc w:val="center"/>
      <w:textAlignment w:val="baseline"/>
    </w:pPr>
    <w:rPr>
      <w:rFonts w:ascii="宋体" w:hAnsi="宋体" w:cs="宋体"/>
      <w:kern w:val="0"/>
      <w:szCs w:val="20"/>
    </w:rPr>
  </w:style>
  <w:style w:type="paragraph" w:customStyle="1" w:styleId="3559">
    <w:name w:val="燕山正文53"/>
    <w:basedOn w:val="1"/>
    <w:uiPriority w:val="0"/>
    <w:pPr>
      <w:widowControl/>
      <w:tabs>
        <w:tab w:val="left" w:pos="4680"/>
      </w:tabs>
      <w:spacing w:line="480" w:lineRule="exact"/>
      <w:jc w:val="left"/>
    </w:pPr>
    <w:rPr>
      <w:rFonts w:ascii="宋体" w:hAnsi="宋体" w:cs="宋体"/>
      <w:kern w:val="0"/>
      <w:szCs w:val="24"/>
    </w:rPr>
  </w:style>
  <w:style w:type="paragraph" w:customStyle="1" w:styleId="3560">
    <w:name w:val="附件12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561">
    <w:name w:val="表内宋5中33"/>
    <w:basedOn w:val="1"/>
    <w:uiPriority w:val="0"/>
    <w:pPr>
      <w:widowControl/>
      <w:jc w:val="left"/>
      <w:textAlignment w:val="baseline"/>
    </w:pPr>
    <w:rPr>
      <w:rFonts w:ascii="宋体" w:hAnsi="宋体" w:cs="宋体"/>
      <w:color w:val="000000"/>
      <w:kern w:val="0"/>
      <w:szCs w:val="20"/>
    </w:rPr>
  </w:style>
  <w:style w:type="paragraph" w:customStyle="1" w:styleId="3562">
    <w:name w:val="燕山正文1134"/>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3563">
    <w:name w:val="燕山正文34"/>
    <w:basedOn w:val="1"/>
    <w:uiPriority w:val="0"/>
    <w:pPr>
      <w:widowControl/>
      <w:tabs>
        <w:tab w:val="left" w:pos="4680"/>
      </w:tabs>
      <w:spacing w:line="480" w:lineRule="exact"/>
      <w:jc w:val="left"/>
    </w:pPr>
    <w:rPr>
      <w:rFonts w:ascii="宋体" w:hAnsi="宋体" w:cs="宋体"/>
      <w:kern w:val="0"/>
      <w:szCs w:val="24"/>
    </w:rPr>
  </w:style>
  <w:style w:type="paragraph" w:customStyle="1" w:styleId="3564">
    <w:name w:val="正文斜体31"/>
    <w:basedOn w:val="207"/>
    <w:next w:val="207"/>
    <w:uiPriority w:val="0"/>
    <w:rPr>
      <w:rFonts w:hAnsi="宋体"/>
      <w:i/>
      <w:iCs/>
      <w:szCs w:val="24"/>
    </w:rPr>
  </w:style>
  <w:style w:type="paragraph" w:customStyle="1" w:styleId="3565">
    <w:name w:val="Char1312"/>
    <w:basedOn w:val="1"/>
    <w:uiPriority w:val="0"/>
    <w:pPr>
      <w:widowControl/>
      <w:ind w:left="-48"/>
      <w:jc w:val="left"/>
    </w:pPr>
    <w:rPr>
      <w:rFonts w:ascii="宋体" w:hAnsi="宋体" w:cs="宋体"/>
      <w:kern w:val="0"/>
      <w:szCs w:val="24"/>
    </w:rPr>
  </w:style>
  <w:style w:type="paragraph" w:customStyle="1" w:styleId="3566">
    <w:name w:val="样式 表内小5 + 黑体 加粗 倾斜 下划线21"/>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3567">
    <w:name w:val="附件43"/>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3568">
    <w:name w:val="默认段落字体 Para Char Char Char Char221"/>
    <w:basedOn w:val="1"/>
    <w:uiPriority w:val="0"/>
    <w:pPr>
      <w:widowControl/>
      <w:jc w:val="left"/>
    </w:pPr>
    <w:rPr>
      <w:rFonts w:ascii="宋体" w:hAnsi="宋体" w:cs="宋体"/>
      <w:kern w:val="0"/>
      <w:szCs w:val="24"/>
    </w:rPr>
  </w:style>
  <w:style w:type="paragraph" w:customStyle="1" w:styleId="3569">
    <w:name w:val="表中文字112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570">
    <w:name w:val="表内541213"/>
    <w:basedOn w:val="1"/>
    <w:uiPriority w:val="0"/>
    <w:pPr>
      <w:widowControl/>
      <w:spacing w:line="300" w:lineRule="auto"/>
      <w:jc w:val="center"/>
    </w:pPr>
    <w:rPr>
      <w:rFonts w:ascii="宋体" w:hAnsi="宋体" w:cs="宋体"/>
      <w:kern w:val="0"/>
      <w:szCs w:val="20"/>
    </w:rPr>
  </w:style>
  <w:style w:type="paragraph" w:customStyle="1" w:styleId="3571">
    <w:name w:val="样式 表格内字体1 +21"/>
    <w:basedOn w:val="2316"/>
    <w:next w:val="347"/>
    <w:uiPriority w:val="0"/>
    <w:rPr>
      <w:rFonts w:hAnsi="Times New Roman" w:cs="宋体"/>
      <w:szCs w:val="20"/>
    </w:rPr>
  </w:style>
  <w:style w:type="paragraph" w:customStyle="1" w:styleId="3572">
    <w:name w:val="表题21121"/>
    <w:basedOn w:val="1"/>
    <w:uiPriority w:val="0"/>
    <w:pPr>
      <w:widowControl/>
      <w:jc w:val="center"/>
    </w:pPr>
    <w:rPr>
      <w:rFonts w:ascii="黑体" w:hAnsi="宋体" w:eastAsia="黑体" w:cs="宋体"/>
      <w:kern w:val="0"/>
      <w:szCs w:val="24"/>
    </w:rPr>
  </w:style>
  <w:style w:type="paragraph" w:customStyle="1" w:styleId="3573">
    <w:name w:val="标题41112"/>
    <w:basedOn w:val="1"/>
    <w:uiPriority w:val="0"/>
    <w:pPr>
      <w:widowControl/>
      <w:spacing w:line="300" w:lineRule="auto"/>
      <w:jc w:val="left"/>
    </w:pPr>
    <w:rPr>
      <w:rFonts w:ascii="黑体" w:hAnsi="宋体" w:eastAsia="黑体" w:cs="宋体"/>
      <w:bCs/>
      <w:kern w:val="0"/>
      <w:szCs w:val="20"/>
    </w:rPr>
  </w:style>
  <w:style w:type="paragraph" w:customStyle="1" w:styleId="3574">
    <w:name w:val="Char233"/>
    <w:basedOn w:val="1"/>
    <w:uiPriority w:val="0"/>
    <w:pPr>
      <w:widowControl/>
      <w:ind w:left="-48"/>
      <w:jc w:val="left"/>
    </w:pPr>
    <w:rPr>
      <w:rFonts w:ascii="宋体" w:hAnsi="宋体" w:cs="宋体"/>
      <w:kern w:val="0"/>
      <w:szCs w:val="24"/>
    </w:rPr>
  </w:style>
  <w:style w:type="paragraph" w:customStyle="1" w:styleId="3575">
    <w:name w:val="正文.113"/>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576">
    <w:name w:val="Char1512"/>
    <w:basedOn w:val="1"/>
    <w:uiPriority w:val="0"/>
    <w:pPr>
      <w:widowControl/>
      <w:spacing w:before="156"/>
      <w:jc w:val="left"/>
    </w:pPr>
    <w:rPr>
      <w:rFonts w:ascii="黑体" w:hAnsi="宋体" w:eastAsia="黑体" w:cs="宋体"/>
      <w:kern w:val="0"/>
      <w:sz w:val="32"/>
      <w:szCs w:val="32"/>
    </w:rPr>
  </w:style>
  <w:style w:type="paragraph" w:customStyle="1" w:styleId="3577">
    <w:name w:val="Char Char Char Char Char Char Char224"/>
    <w:basedOn w:val="1"/>
    <w:uiPriority w:val="0"/>
    <w:pPr>
      <w:widowControl/>
      <w:jc w:val="left"/>
    </w:pPr>
    <w:rPr>
      <w:rFonts w:ascii="宋体" w:hAnsi="宋体" w:cs="宋体"/>
      <w:kern w:val="0"/>
      <w:szCs w:val="24"/>
    </w:rPr>
  </w:style>
  <w:style w:type="paragraph" w:customStyle="1" w:styleId="3578">
    <w:name w:val="正文.5"/>
    <w:uiPriority w:val="0"/>
    <w:pPr>
      <w:widowControl w:val="0"/>
      <w:autoSpaceDE w:val="0"/>
      <w:autoSpaceDN w:val="0"/>
      <w:adjustRightInd w:val="0"/>
      <w:jc w:val="both"/>
    </w:pPr>
    <w:rPr>
      <w:rFonts w:ascii="Times New Roman;Symbol;Arial;婼" w:hAnsi="Times New Roman" w:eastAsia="Times New Roman;Symbol;Arial;婼" w:cs="Times New Roman"/>
      <w:kern w:val="0"/>
      <w:sz w:val="21"/>
      <w:szCs w:val="21"/>
      <w:lang w:val="en-US" w:eastAsia="zh-CN" w:bidi="ar-SA"/>
    </w:rPr>
  </w:style>
  <w:style w:type="paragraph" w:customStyle="1" w:styleId="3579">
    <w:name w:val="环评正文31"/>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580">
    <w:name w:val="环评正文21"/>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581">
    <w:name w:val="Char Char Char Char1 Char Char Char16"/>
    <w:basedOn w:val="1"/>
    <w:uiPriority w:val="0"/>
    <w:pPr>
      <w:widowControl/>
      <w:spacing w:after="160" w:line="240" w:lineRule="exact"/>
      <w:jc w:val="left"/>
    </w:pPr>
    <w:rPr>
      <w:rFonts w:ascii="Verdana" w:hAnsi="Verdana" w:cs="宋体"/>
      <w:kern w:val="0"/>
      <w:sz w:val="20"/>
      <w:szCs w:val="20"/>
      <w:lang w:eastAsia="en-US"/>
    </w:rPr>
  </w:style>
  <w:style w:type="paragraph" w:customStyle="1" w:styleId="3582">
    <w:name w:val="Char1210"/>
    <w:basedOn w:val="1"/>
    <w:uiPriority w:val="0"/>
    <w:pPr>
      <w:widowControl/>
      <w:jc w:val="left"/>
    </w:pPr>
    <w:rPr>
      <w:rFonts w:ascii="宋体" w:hAnsi="宋体" w:cs="宋体"/>
      <w:kern w:val="0"/>
      <w:szCs w:val="24"/>
    </w:rPr>
  </w:style>
  <w:style w:type="paragraph" w:customStyle="1" w:styleId="3583">
    <w:name w:val="Char181"/>
    <w:basedOn w:val="1"/>
    <w:uiPriority w:val="0"/>
    <w:pPr>
      <w:widowControl/>
      <w:ind w:left="-48"/>
      <w:jc w:val="left"/>
    </w:pPr>
    <w:rPr>
      <w:rFonts w:ascii="宋体" w:hAnsi="宋体" w:cs="宋体"/>
      <w:kern w:val="0"/>
      <w:szCs w:val="24"/>
    </w:rPr>
  </w:style>
  <w:style w:type="paragraph" w:customStyle="1" w:styleId="3584">
    <w:name w:val="表内5中4111"/>
    <w:basedOn w:val="1"/>
    <w:uiPriority w:val="0"/>
    <w:pPr>
      <w:widowControl/>
      <w:jc w:val="center"/>
    </w:pPr>
    <w:rPr>
      <w:rFonts w:ascii="宋体" w:hAnsi="宋体" w:cs="宋体"/>
      <w:bCs/>
      <w:kern w:val="0"/>
      <w:szCs w:val="20"/>
    </w:rPr>
  </w:style>
  <w:style w:type="paragraph" w:customStyle="1" w:styleId="3585">
    <w:name w:val="Char118"/>
    <w:basedOn w:val="1"/>
    <w:uiPriority w:val="0"/>
    <w:pPr>
      <w:widowControl/>
      <w:spacing w:before="156"/>
      <w:jc w:val="left"/>
    </w:pPr>
    <w:rPr>
      <w:rFonts w:ascii="黑体" w:hAnsi="宋体" w:eastAsia="黑体" w:cs="宋体"/>
      <w:kern w:val="0"/>
      <w:sz w:val="32"/>
      <w:szCs w:val="32"/>
    </w:rPr>
  </w:style>
  <w:style w:type="paragraph" w:customStyle="1" w:styleId="3586">
    <w:name w:val="正文修改331"/>
    <w:basedOn w:val="236"/>
    <w:uiPriority w:val="0"/>
    <w:rPr>
      <w:rFonts w:hAnsi="宋体" w:eastAsia="宋体" w:cs="宋体"/>
      <w:color w:val="000000"/>
      <w:szCs w:val="24"/>
    </w:rPr>
  </w:style>
  <w:style w:type="paragraph" w:customStyle="1" w:styleId="3587">
    <w:name w:val="Char1711"/>
    <w:basedOn w:val="1"/>
    <w:uiPriority w:val="0"/>
    <w:pPr>
      <w:widowControl/>
      <w:ind w:left="-48"/>
      <w:jc w:val="left"/>
    </w:pPr>
    <w:rPr>
      <w:rFonts w:ascii="宋体" w:hAnsi="宋体" w:cs="宋体"/>
      <w:kern w:val="0"/>
      <w:szCs w:val="24"/>
    </w:rPr>
  </w:style>
  <w:style w:type="paragraph" w:customStyle="1" w:styleId="3588">
    <w:name w:val="表内文字小224"/>
    <w:basedOn w:val="1"/>
    <w:uiPriority w:val="0"/>
    <w:pPr>
      <w:widowControl/>
      <w:jc w:val="center"/>
    </w:pPr>
    <w:rPr>
      <w:rFonts w:ascii="宋体" w:hAnsi="Times" w:cs="宋体"/>
      <w:bCs/>
      <w:color w:val="000000"/>
      <w:kern w:val="0"/>
      <w:szCs w:val="20"/>
    </w:rPr>
  </w:style>
  <w:style w:type="paragraph" w:customStyle="1" w:styleId="3589">
    <w:name w:val="Char813"/>
    <w:basedOn w:val="1"/>
    <w:uiPriority w:val="0"/>
    <w:pPr>
      <w:widowControl/>
      <w:ind w:left="-48"/>
      <w:jc w:val="left"/>
    </w:pPr>
    <w:rPr>
      <w:rFonts w:ascii="宋体" w:hAnsi="宋体" w:cs="宋体"/>
      <w:kern w:val="0"/>
      <w:szCs w:val="24"/>
    </w:rPr>
  </w:style>
  <w:style w:type="paragraph" w:customStyle="1" w:styleId="3590">
    <w:name w:val="xl6312"/>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3591">
    <w:name w:val="Char Char Char Char Char Char Char133"/>
    <w:basedOn w:val="1"/>
    <w:uiPriority w:val="0"/>
    <w:pPr>
      <w:widowControl/>
      <w:jc w:val="left"/>
    </w:pPr>
    <w:rPr>
      <w:rFonts w:ascii="宋体" w:hAnsi="宋体" w:cs="宋体"/>
      <w:kern w:val="0"/>
      <w:szCs w:val="24"/>
    </w:rPr>
  </w:style>
  <w:style w:type="paragraph" w:customStyle="1" w:styleId="3592">
    <w:name w:val="表内54114"/>
    <w:basedOn w:val="1"/>
    <w:uiPriority w:val="0"/>
    <w:pPr>
      <w:widowControl/>
      <w:spacing w:line="300" w:lineRule="auto"/>
      <w:jc w:val="center"/>
    </w:pPr>
    <w:rPr>
      <w:rFonts w:ascii="宋体" w:hAnsi="宋体" w:cs="宋体"/>
      <w:kern w:val="0"/>
      <w:szCs w:val="20"/>
    </w:rPr>
  </w:style>
  <w:style w:type="paragraph" w:customStyle="1" w:styleId="3593">
    <w:name w:val="表题94"/>
    <w:basedOn w:val="938"/>
    <w:uiPriority w:val="0"/>
    <w:pPr>
      <w:spacing w:line="300" w:lineRule="auto"/>
      <w:jc w:val="center"/>
    </w:pPr>
    <w:rPr>
      <w:rFonts w:ascii="黑体" w:eastAsia="黑体"/>
      <w:szCs w:val="22"/>
    </w:rPr>
  </w:style>
  <w:style w:type="paragraph" w:customStyle="1" w:styleId="3594">
    <w:name w:val="Char313"/>
    <w:basedOn w:val="1"/>
    <w:uiPriority w:val="0"/>
    <w:pPr>
      <w:widowControl/>
      <w:ind w:left="-48"/>
      <w:jc w:val="left"/>
    </w:pPr>
    <w:rPr>
      <w:rFonts w:ascii="宋体" w:hAnsi="宋体" w:cs="宋体"/>
      <w:kern w:val="0"/>
      <w:szCs w:val="24"/>
    </w:rPr>
  </w:style>
  <w:style w:type="paragraph" w:customStyle="1" w:styleId="3595">
    <w:name w:val="样式 标题 4无效格式无效格式1河石管道4H4H41小小节河石管道41H42H411小小节1河石管道42...14"/>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3596">
    <w:name w:val="样式1131"/>
    <w:basedOn w:val="1779"/>
    <w:uiPriority w:val="0"/>
    <w:pPr>
      <w:spacing w:line="240" w:lineRule="auto"/>
      <w:ind w:firstLine="0"/>
      <w:jc w:val="center"/>
    </w:pPr>
    <w:rPr>
      <w:rFonts w:cs="Times New Roman"/>
      <w:b/>
      <w:color w:val="auto"/>
      <w:szCs w:val="20"/>
    </w:rPr>
  </w:style>
  <w:style w:type="paragraph" w:customStyle="1" w:styleId="3597">
    <w:name w:val="表内文字小3151"/>
    <w:basedOn w:val="1"/>
    <w:uiPriority w:val="0"/>
    <w:pPr>
      <w:widowControl/>
      <w:jc w:val="center"/>
    </w:pPr>
    <w:rPr>
      <w:rFonts w:ascii="宋体" w:hAnsi="Times" w:cs="宋体"/>
      <w:bCs/>
      <w:color w:val="003366"/>
      <w:kern w:val="0"/>
      <w:szCs w:val="20"/>
    </w:rPr>
  </w:style>
  <w:style w:type="paragraph" w:customStyle="1" w:styleId="3598">
    <w:name w:val="Char128"/>
    <w:basedOn w:val="1"/>
    <w:uiPriority w:val="0"/>
    <w:pPr>
      <w:widowControl/>
      <w:ind w:left="-48"/>
      <w:jc w:val="left"/>
    </w:pPr>
    <w:rPr>
      <w:rFonts w:ascii="宋体" w:hAnsi="宋体" w:cs="宋体"/>
      <w:kern w:val="0"/>
      <w:szCs w:val="24"/>
    </w:rPr>
  </w:style>
  <w:style w:type="paragraph" w:customStyle="1" w:styleId="3599">
    <w:name w:val="Char329"/>
    <w:basedOn w:val="1"/>
    <w:uiPriority w:val="0"/>
    <w:pPr>
      <w:widowControl/>
      <w:ind w:left="-48"/>
      <w:jc w:val="left"/>
    </w:pPr>
    <w:rPr>
      <w:rFonts w:ascii="宋体" w:hAnsi="宋体" w:cs="宋体"/>
      <w:kern w:val="0"/>
      <w:szCs w:val="24"/>
    </w:rPr>
  </w:style>
  <w:style w:type="paragraph" w:customStyle="1" w:styleId="3600">
    <w:name w:val="Char Char2 Char Char Char Char43"/>
    <w:basedOn w:val="1"/>
    <w:uiPriority w:val="0"/>
    <w:pPr>
      <w:widowControl/>
      <w:jc w:val="left"/>
    </w:pPr>
    <w:rPr>
      <w:rFonts w:ascii="宋体" w:hAnsi="宋体" w:cs="宋体"/>
      <w:kern w:val="0"/>
      <w:szCs w:val="24"/>
    </w:rPr>
  </w:style>
  <w:style w:type="paragraph" w:customStyle="1" w:styleId="3601">
    <w:name w:val="正文缩21"/>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602">
    <w:name w:val="表内5418"/>
    <w:basedOn w:val="1"/>
    <w:uiPriority w:val="0"/>
    <w:pPr>
      <w:widowControl/>
      <w:spacing w:line="300" w:lineRule="auto"/>
      <w:jc w:val="center"/>
    </w:pPr>
    <w:rPr>
      <w:rFonts w:ascii="宋体" w:hAnsi="宋体" w:cs="宋体"/>
      <w:kern w:val="0"/>
      <w:szCs w:val="20"/>
    </w:rPr>
  </w:style>
  <w:style w:type="paragraph" w:customStyle="1" w:styleId="3603">
    <w:name w:val="Char Char Char Char Char Char Char226"/>
    <w:basedOn w:val="1"/>
    <w:uiPriority w:val="0"/>
    <w:pPr>
      <w:widowControl/>
      <w:jc w:val="left"/>
    </w:pPr>
    <w:rPr>
      <w:rFonts w:ascii="宋体" w:hAnsi="宋体" w:cs="宋体"/>
      <w:kern w:val="0"/>
      <w:szCs w:val="24"/>
    </w:rPr>
  </w:style>
  <w:style w:type="paragraph" w:customStyle="1" w:styleId="3604">
    <w:name w:val="正文格式＝121"/>
    <w:basedOn w:val="207"/>
    <w:next w:val="207"/>
    <w:uiPriority w:val="0"/>
    <w:rPr>
      <w:rFonts w:hAnsi="宋体"/>
      <w:szCs w:val="24"/>
    </w:rPr>
  </w:style>
  <w:style w:type="paragraph" w:customStyle="1" w:styleId="3605">
    <w:name w:val="Char Char2 Char Char Char Char19"/>
    <w:basedOn w:val="1"/>
    <w:uiPriority w:val="0"/>
    <w:pPr>
      <w:widowControl/>
      <w:jc w:val="left"/>
    </w:pPr>
    <w:rPr>
      <w:rFonts w:ascii="宋体" w:hAnsi="宋体" w:cs="宋体"/>
      <w:kern w:val="0"/>
      <w:szCs w:val="24"/>
    </w:rPr>
  </w:style>
  <w:style w:type="paragraph" w:customStyle="1" w:styleId="3606">
    <w:name w:val="表题1414"/>
    <w:basedOn w:val="1"/>
    <w:uiPriority w:val="0"/>
    <w:pPr>
      <w:widowControl/>
      <w:jc w:val="center"/>
    </w:pPr>
    <w:rPr>
      <w:rFonts w:ascii="黑体" w:hAnsi="宋体" w:eastAsia="黑体" w:cs="宋体"/>
      <w:kern w:val="0"/>
      <w:szCs w:val="24"/>
    </w:rPr>
  </w:style>
  <w:style w:type="paragraph" w:customStyle="1" w:styleId="3607">
    <w:name w:val="表内文字小131"/>
    <w:basedOn w:val="1"/>
    <w:uiPriority w:val="0"/>
    <w:pPr>
      <w:widowControl/>
      <w:jc w:val="center"/>
    </w:pPr>
    <w:rPr>
      <w:rFonts w:ascii="宋体" w:hAnsi="Times" w:cs="宋体"/>
      <w:kern w:val="0"/>
      <w:szCs w:val="20"/>
    </w:rPr>
  </w:style>
  <w:style w:type="paragraph" w:customStyle="1" w:styleId="3608">
    <w:name w:val="Char Char Char Char Char Char Char81"/>
    <w:basedOn w:val="1"/>
    <w:uiPriority w:val="0"/>
    <w:pPr>
      <w:widowControl/>
      <w:jc w:val="left"/>
    </w:pPr>
    <w:rPr>
      <w:rFonts w:ascii="宋体" w:hAnsi="宋体" w:cs="宋体"/>
      <w:kern w:val="0"/>
      <w:szCs w:val="24"/>
    </w:rPr>
  </w:style>
  <w:style w:type="paragraph" w:customStyle="1" w:styleId="3609">
    <w:name w:val="Char232"/>
    <w:basedOn w:val="1"/>
    <w:uiPriority w:val="0"/>
    <w:pPr>
      <w:widowControl/>
      <w:ind w:left="-48"/>
      <w:jc w:val="left"/>
    </w:pPr>
    <w:rPr>
      <w:rFonts w:ascii="宋体" w:hAnsi="宋体" w:cs="宋体"/>
      <w:kern w:val="0"/>
      <w:szCs w:val="24"/>
    </w:rPr>
  </w:style>
  <w:style w:type="paragraph" w:customStyle="1" w:styleId="3610">
    <w:name w:val="Char Char Char Char Char Char Char1110"/>
    <w:basedOn w:val="1"/>
    <w:uiPriority w:val="0"/>
    <w:pPr>
      <w:widowControl/>
      <w:jc w:val="left"/>
    </w:pPr>
    <w:rPr>
      <w:rFonts w:ascii="宋体" w:hAnsi="宋体" w:cs="宋体"/>
      <w:kern w:val="0"/>
      <w:szCs w:val="24"/>
    </w:rPr>
  </w:style>
  <w:style w:type="paragraph" w:customStyle="1" w:styleId="3611">
    <w:name w:val="c31"/>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3612">
    <w:name w:val="表内宋5中221"/>
    <w:basedOn w:val="1"/>
    <w:uiPriority w:val="0"/>
    <w:pPr>
      <w:widowControl/>
      <w:jc w:val="center"/>
      <w:textAlignment w:val="baseline"/>
    </w:pPr>
    <w:rPr>
      <w:rFonts w:ascii="宋体" w:hAnsi="宋体" w:cs="宋体"/>
      <w:kern w:val="0"/>
      <w:szCs w:val="20"/>
    </w:rPr>
  </w:style>
  <w:style w:type="paragraph" w:customStyle="1" w:styleId="3613">
    <w:name w:val="福建正文缩进13"/>
    <w:basedOn w:val="307"/>
    <w:uiPriority w:val="0"/>
    <w:pPr>
      <w:ind w:firstLine="567"/>
    </w:pPr>
    <w:rPr>
      <w:rFonts w:hAnsi="Calibri"/>
    </w:rPr>
  </w:style>
  <w:style w:type="paragraph" w:customStyle="1" w:styleId="3614">
    <w:name w:val="燕山正文521"/>
    <w:basedOn w:val="1"/>
    <w:uiPriority w:val="0"/>
    <w:pPr>
      <w:widowControl/>
      <w:tabs>
        <w:tab w:val="left" w:pos="4680"/>
      </w:tabs>
      <w:spacing w:line="480" w:lineRule="exact"/>
      <w:jc w:val="left"/>
    </w:pPr>
    <w:rPr>
      <w:rFonts w:ascii="宋体" w:hAnsi="宋体" w:cs="宋体"/>
      <w:kern w:val="0"/>
      <w:szCs w:val="24"/>
    </w:rPr>
  </w:style>
  <w:style w:type="paragraph" w:customStyle="1" w:styleId="3615">
    <w:name w:val="表内5331"/>
    <w:basedOn w:val="1"/>
    <w:uiPriority w:val="0"/>
    <w:pPr>
      <w:widowControl/>
      <w:spacing w:line="300" w:lineRule="auto"/>
      <w:jc w:val="left"/>
    </w:pPr>
    <w:rPr>
      <w:rFonts w:ascii="宋体" w:hAnsi="宋体" w:cs="宋体"/>
      <w:kern w:val="0"/>
      <w:szCs w:val="20"/>
    </w:rPr>
  </w:style>
  <w:style w:type="paragraph" w:customStyle="1" w:styleId="3616">
    <w:name w:val="正文修改2111"/>
    <w:basedOn w:val="236"/>
    <w:uiPriority w:val="0"/>
    <w:rPr>
      <w:rFonts w:hAnsi="宋体" w:eastAsia="宋体" w:cs="宋体"/>
      <w:color w:val="000000"/>
      <w:szCs w:val="24"/>
    </w:rPr>
  </w:style>
  <w:style w:type="paragraph" w:customStyle="1" w:styleId="3617">
    <w:name w:val="表内文字小312111"/>
    <w:basedOn w:val="1"/>
    <w:uiPriority w:val="0"/>
    <w:pPr>
      <w:widowControl/>
      <w:jc w:val="center"/>
    </w:pPr>
    <w:rPr>
      <w:rFonts w:ascii="宋体" w:hAnsi="Times" w:cs="宋体"/>
      <w:bCs/>
      <w:color w:val="003366"/>
      <w:kern w:val="0"/>
      <w:szCs w:val="20"/>
    </w:rPr>
  </w:style>
  <w:style w:type="paragraph" w:customStyle="1" w:styleId="3618">
    <w:name w:val="表内文字小21121"/>
    <w:basedOn w:val="1"/>
    <w:uiPriority w:val="0"/>
    <w:pPr>
      <w:widowControl/>
      <w:jc w:val="center"/>
    </w:pPr>
    <w:rPr>
      <w:rFonts w:ascii="宋体" w:hAnsi="Times" w:cs="宋体"/>
      <w:bCs/>
      <w:color w:val="000000"/>
      <w:kern w:val="0"/>
      <w:szCs w:val="20"/>
    </w:rPr>
  </w:style>
  <w:style w:type="paragraph" w:customStyle="1" w:styleId="3619">
    <w:name w:val="正文修改312"/>
    <w:basedOn w:val="236"/>
    <w:uiPriority w:val="0"/>
    <w:rPr>
      <w:rFonts w:hAnsi="宋体" w:eastAsia="宋体" w:cs="宋体"/>
      <w:color w:val="000000"/>
      <w:szCs w:val="24"/>
    </w:rPr>
  </w:style>
  <w:style w:type="paragraph" w:customStyle="1" w:styleId="3620">
    <w:name w:val="表内宋5中41"/>
    <w:basedOn w:val="1"/>
    <w:uiPriority w:val="0"/>
    <w:pPr>
      <w:widowControl/>
      <w:jc w:val="left"/>
      <w:textAlignment w:val="baseline"/>
    </w:pPr>
    <w:rPr>
      <w:rFonts w:ascii="宋体" w:hAnsi="宋体" w:cs="宋体"/>
      <w:color w:val="000000"/>
      <w:kern w:val="0"/>
      <w:szCs w:val="20"/>
    </w:rPr>
  </w:style>
  <w:style w:type="paragraph" w:customStyle="1" w:styleId="3621">
    <w:name w:val="样式1311"/>
    <w:basedOn w:val="1779"/>
    <w:uiPriority w:val="0"/>
    <w:pPr>
      <w:spacing w:line="240" w:lineRule="auto"/>
      <w:ind w:firstLine="0"/>
      <w:jc w:val="center"/>
    </w:pPr>
    <w:rPr>
      <w:rFonts w:cs="Times New Roman"/>
      <w:b/>
      <w:color w:val="auto"/>
      <w:szCs w:val="20"/>
    </w:rPr>
  </w:style>
  <w:style w:type="paragraph" w:customStyle="1" w:styleId="3622">
    <w:name w:val="标题423"/>
    <w:basedOn w:val="1"/>
    <w:uiPriority w:val="0"/>
    <w:pPr>
      <w:widowControl/>
      <w:spacing w:line="300" w:lineRule="auto"/>
      <w:jc w:val="left"/>
    </w:pPr>
    <w:rPr>
      <w:rFonts w:ascii="黑体" w:hAnsi="宋体" w:eastAsia="黑体" w:cs="宋体"/>
      <w:bCs/>
      <w:kern w:val="0"/>
      <w:szCs w:val="24"/>
    </w:rPr>
  </w:style>
  <w:style w:type="paragraph" w:customStyle="1" w:styleId="3623">
    <w:name w:val="正文格式＝313"/>
    <w:basedOn w:val="207"/>
    <w:next w:val="207"/>
    <w:uiPriority w:val="0"/>
    <w:rPr>
      <w:rFonts w:hAnsi="宋体"/>
      <w:szCs w:val="24"/>
    </w:rPr>
  </w:style>
  <w:style w:type="paragraph" w:customStyle="1" w:styleId="3624">
    <w:name w:val="表中文字13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625">
    <w:name w:val="Fax Header4"/>
    <w:basedOn w:val="1"/>
    <w:uiPriority w:val="0"/>
    <w:pPr>
      <w:widowControl/>
      <w:spacing w:before="240" w:after="60"/>
      <w:jc w:val="left"/>
    </w:pPr>
    <w:rPr>
      <w:rFonts w:ascii="宋体" w:hAnsi="宋体" w:cs="宋体"/>
      <w:kern w:val="0"/>
      <w:sz w:val="20"/>
      <w:szCs w:val="20"/>
    </w:rPr>
  </w:style>
  <w:style w:type="paragraph" w:customStyle="1" w:styleId="3626">
    <w:name w:val="标准4"/>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3627">
    <w:name w:val="正文斜体13"/>
    <w:basedOn w:val="207"/>
    <w:next w:val="207"/>
    <w:uiPriority w:val="0"/>
    <w:rPr>
      <w:rFonts w:hAnsi="宋体"/>
      <w:i/>
      <w:iCs/>
      <w:szCs w:val="24"/>
    </w:rPr>
  </w:style>
  <w:style w:type="paragraph" w:customStyle="1" w:styleId="3628">
    <w:name w:val="Char Char Char Char1 Char Char Char25"/>
    <w:basedOn w:val="1"/>
    <w:uiPriority w:val="0"/>
    <w:pPr>
      <w:widowControl/>
      <w:spacing w:after="160" w:line="240" w:lineRule="exact"/>
      <w:jc w:val="left"/>
    </w:pPr>
    <w:rPr>
      <w:rFonts w:ascii="Verdana" w:hAnsi="Verdana" w:cs="宋体"/>
      <w:kern w:val="0"/>
      <w:sz w:val="20"/>
      <w:szCs w:val="20"/>
      <w:lang w:eastAsia="en-US"/>
    </w:rPr>
  </w:style>
  <w:style w:type="paragraph" w:customStyle="1" w:styleId="3629">
    <w:name w:val="默认段落字体 Para Char Char Char Char113"/>
    <w:basedOn w:val="1"/>
    <w:uiPriority w:val="0"/>
    <w:pPr>
      <w:widowControl/>
      <w:jc w:val="left"/>
    </w:pPr>
    <w:rPr>
      <w:rFonts w:ascii="宋体" w:hAnsi="宋体" w:cs="宋体"/>
      <w:kern w:val="0"/>
      <w:szCs w:val="24"/>
    </w:rPr>
  </w:style>
  <w:style w:type="paragraph" w:customStyle="1" w:styleId="3630">
    <w:name w:val="Char310"/>
    <w:basedOn w:val="1"/>
    <w:uiPriority w:val="0"/>
    <w:pPr>
      <w:widowControl/>
      <w:ind w:left="-48"/>
      <w:jc w:val="left"/>
    </w:pPr>
    <w:rPr>
      <w:rFonts w:ascii="宋体" w:hAnsi="宋体" w:cs="宋体"/>
      <w:kern w:val="0"/>
      <w:szCs w:val="24"/>
    </w:rPr>
  </w:style>
  <w:style w:type="paragraph" w:customStyle="1" w:styleId="3631">
    <w:name w:val="Char138"/>
    <w:basedOn w:val="1"/>
    <w:uiPriority w:val="0"/>
    <w:pPr>
      <w:widowControl/>
      <w:ind w:left="-48"/>
      <w:jc w:val="left"/>
    </w:pPr>
    <w:rPr>
      <w:rFonts w:ascii="宋体" w:hAnsi="宋体" w:cs="宋体"/>
      <w:kern w:val="0"/>
      <w:szCs w:val="24"/>
    </w:rPr>
  </w:style>
  <w:style w:type="paragraph" w:customStyle="1" w:styleId="3632">
    <w:name w:val="Char Char Char Char Char Char Char52"/>
    <w:basedOn w:val="1"/>
    <w:uiPriority w:val="0"/>
    <w:pPr>
      <w:widowControl/>
      <w:jc w:val="left"/>
    </w:pPr>
    <w:rPr>
      <w:rFonts w:ascii="宋体" w:hAnsi="宋体" w:cs="宋体"/>
      <w:kern w:val="0"/>
      <w:szCs w:val="24"/>
    </w:rPr>
  </w:style>
  <w:style w:type="paragraph" w:customStyle="1" w:styleId="3633">
    <w:name w:val="表14"/>
    <w:basedOn w:val="1"/>
    <w:uiPriority w:val="0"/>
    <w:pPr>
      <w:widowControl/>
      <w:jc w:val="center"/>
    </w:pPr>
    <w:rPr>
      <w:rFonts w:ascii="宋体" w:hAnsi="宋体" w:cs="宋体"/>
      <w:kern w:val="0"/>
      <w:szCs w:val="24"/>
    </w:rPr>
  </w:style>
  <w:style w:type="paragraph" w:customStyle="1" w:styleId="3634">
    <w:name w:val="正文修改413"/>
    <w:basedOn w:val="236"/>
    <w:uiPriority w:val="0"/>
    <w:rPr>
      <w:rFonts w:hAnsi="宋体" w:eastAsia="宋体" w:cs="宋体"/>
      <w:color w:val="000000"/>
      <w:szCs w:val="24"/>
    </w:rPr>
  </w:style>
  <w:style w:type="paragraph" w:customStyle="1" w:styleId="3635">
    <w:name w:val="黑体三号61"/>
    <w:basedOn w:val="207"/>
    <w:uiPriority w:val="0"/>
    <w:pPr>
      <w:jc w:val="center"/>
    </w:pPr>
    <w:rPr>
      <w:rFonts w:ascii="黑体" w:hAnsi="宋体" w:eastAsia="黑体" w:cs="宋体"/>
      <w:b/>
      <w:bCs/>
      <w:sz w:val="32"/>
      <w:szCs w:val="20"/>
    </w:rPr>
  </w:style>
  <w:style w:type="paragraph" w:customStyle="1" w:styleId="3636">
    <w:name w:val="Char Char2 Char Char Char Char112"/>
    <w:basedOn w:val="1"/>
    <w:uiPriority w:val="0"/>
    <w:pPr>
      <w:widowControl/>
      <w:jc w:val="left"/>
    </w:pPr>
    <w:rPr>
      <w:rFonts w:ascii="宋体" w:hAnsi="宋体" w:cs="宋体"/>
      <w:kern w:val="0"/>
      <w:szCs w:val="24"/>
    </w:rPr>
  </w:style>
  <w:style w:type="paragraph" w:customStyle="1" w:styleId="3637">
    <w:name w:val="燕山正文1111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638">
    <w:name w:val="xl6313"/>
    <w:basedOn w:val="1"/>
    <w:uiPriority w:val="0"/>
    <w:pPr>
      <w:widowControl/>
      <w:spacing w:before="100" w:beforeAutospacing="1" w:after="100" w:afterAutospacing="1"/>
      <w:jc w:val="center"/>
      <w:textAlignment w:val="center"/>
    </w:pPr>
    <w:rPr>
      <w:rFonts w:hint="eastAsia" w:ascii="黑体" w:hAnsi="宋体" w:eastAsia="黑体" w:cs="宋体"/>
      <w:kern w:val="0"/>
      <w:szCs w:val="24"/>
    </w:rPr>
  </w:style>
  <w:style w:type="paragraph" w:customStyle="1" w:styleId="3639">
    <w:name w:val="A正文21"/>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640">
    <w:name w:val="默认段落字体 Para Char Char Char Char Char21"/>
    <w:basedOn w:val="1"/>
    <w:uiPriority w:val="0"/>
    <w:pPr>
      <w:widowControl/>
      <w:jc w:val="left"/>
    </w:pPr>
    <w:rPr>
      <w:rFonts w:ascii="宋体" w:hAnsi="宋体" w:cs="宋体"/>
      <w:kern w:val="0"/>
      <w:szCs w:val="24"/>
    </w:rPr>
  </w:style>
  <w:style w:type="paragraph" w:customStyle="1" w:styleId="3641">
    <w:name w:val="样式 表内小5 + 黑体 加粗 倾斜 下划线13"/>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3642">
    <w:name w:val="Char Char Char Char1 Char Char Char22"/>
    <w:basedOn w:val="1"/>
    <w:uiPriority w:val="0"/>
    <w:pPr>
      <w:widowControl/>
      <w:spacing w:after="160" w:line="240" w:lineRule="exact"/>
      <w:jc w:val="left"/>
    </w:pPr>
    <w:rPr>
      <w:rFonts w:ascii="Verdana" w:hAnsi="Verdana" w:cs="宋体"/>
      <w:kern w:val="0"/>
      <w:sz w:val="20"/>
      <w:szCs w:val="20"/>
      <w:lang w:eastAsia="en-US"/>
    </w:rPr>
  </w:style>
  <w:style w:type="paragraph" w:customStyle="1" w:styleId="3643">
    <w:name w:val="表中文字114"/>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644">
    <w:name w:val="正文格式＝421"/>
    <w:basedOn w:val="207"/>
    <w:next w:val="207"/>
    <w:uiPriority w:val="0"/>
    <w:rPr>
      <w:rFonts w:hAnsi="宋体"/>
      <w:szCs w:val="24"/>
    </w:rPr>
  </w:style>
  <w:style w:type="paragraph" w:customStyle="1" w:styleId="3645">
    <w:name w:val="Char Char2 Char Char Char Char121"/>
    <w:basedOn w:val="1"/>
    <w:uiPriority w:val="0"/>
    <w:pPr>
      <w:widowControl/>
      <w:jc w:val="left"/>
    </w:pPr>
    <w:rPr>
      <w:rFonts w:ascii="宋体" w:hAnsi="宋体" w:cs="宋体"/>
      <w:kern w:val="0"/>
      <w:szCs w:val="24"/>
    </w:rPr>
  </w:style>
  <w:style w:type="paragraph" w:customStyle="1" w:styleId="3646">
    <w:name w:val="Char731"/>
    <w:basedOn w:val="1"/>
    <w:uiPriority w:val="0"/>
    <w:pPr>
      <w:widowControl/>
      <w:ind w:left="-48"/>
      <w:jc w:val="left"/>
    </w:pPr>
    <w:rPr>
      <w:rFonts w:ascii="宋体" w:hAnsi="宋体" w:cs="宋体"/>
      <w:kern w:val="0"/>
      <w:szCs w:val="24"/>
    </w:rPr>
  </w:style>
  <w:style w:type="paragraph" w:customStyle="1" w:styleId="3647">
    <w:name w:val="正文格式＝612"/>
    <w:basedOn w:val="207"/>
    <w:next w:val="207"/>
    <w:uiPriority w:val="0"/>
    <w:rPr>
      <w:rFonts w:hAnsi="宋体"/>
      <w:szCs w:val="24"/>
    </w:rPr>
  </w:style>
  <w:style w:type="paragraph" w:customStyle="1" w:styleId="3648">
    <w:name w:val="表内宋5中11111"/>
    <w:basedOn w:val="1"/>
    <w:uiPriority w:val="0"/>
    <w:pPr>
      <w:widowControl/>
      <w:jc w:val="center"/>
      <w:textAlignment w:val="baseline"/>
    </w:pPr>
    <w:rPr>
      <w:rFonts w:ascii="宋体" w:hAnsi="宋体" w:cs="宋体"/>
      <w:kern w:val="0"/>
      <w:szCs w:val="20"/>
    </w:rPr>
  </w:style>
  <w:style w:type="paragraph" w:customStyle="1" w:styleId="3649">
    <w:name w:val="表题9111"/>
    <w:basedOn w:val="938"/>
    <w:uiPriority w:val="0"/>
    <w:pPr>
      <w:spacing w:line="300" w:lineRule="auto"/>
      <w:jc w:val="center"/>
    </w:pPr>
    <w:rPr>
      <w:rFonts w:ascii="黑体" w:eastAsia="黑体"/>
      <w:szCs w:val="22"/>
    </w:rPr>
  </w:style>
  <w:style w:type="paragraph" w:customStyle="1" w:styleId="3650">
    <w:name w:val="Char429"/>
    <w:basedOn w:val="1"/>
    <w:uiPriority w:val="0"/>
    <w:pPr>
      <w:widowControl/>
      <w:ind w:left="-48"/>
      <w:jc w:val="left"/>
    </w:pPr>
    <w:rPr>
      <w:rFonts w:ascii="宋体" w:hAnsi="宋体" w:cs="宋体"/>
      <w:kern w:val="0"/>
      <w:szCs w:val="24"/>
    </w:rPr>
  </w:style>
  <w:style w:type="paragraph" w:customStyle="1" w:styleId="3651">
    <w:name w:val="Char Char Char Char1 Char Char Char27"/>
    <w:basedOn w:val="1"/>
    <w:uiPriority w:val="0"/>
    <w:pPr>
      <w:widowControl/>
      <w:spacing w:after="160" w:line="240" w:lineRule="exact"/>
      <w:jc w:val="left"/>
    </w:pPr>
    <w:rPr>
      <w:rFonts w:ascii="Verdana" w:hAnsi="Verdana" w:cs="宋体"/>
      <w:kern w:val="0"/>
      <w:sz w:val="20"/>
      <w:szCs w:val="20"/>
      <w:lang w:eastAsia="en-US"/>
    </w:rPr>
  </w:style>
  <w:style w:type="paragraph" w:customStyle="1" w:styleId="3652">
    <w:name w:val="正文修改4111"/>
    <w:basedOn w:val="236"/>
    <w:uiPriority w:val="0"/>
    <w:rPr>
      <w:rFonts w:hAnsi="宋体" w:eastAsia="宋体" w:cs="宋体"/>
      <w:color w:val="000000"/>
      <w:szCs w:val="24"/>
    </w:rPr>
  </w:style>
  <w:style w:type="paragraph" w:customStyle="1" w:styleId="3653">
    <w:name w:val="标准31"/>
    <w:basedOn w:val="1"/>
    <w:uiPriority w:val="0"/>
    <w:pPr>
      <w:widowControl/>
      <w:spacing w:before="120" w:line="336" w:lineRule="auto"/>
      <w:jc w:val="center"/>
      <w:textAlignment w:val="baseline"/>
    </w:pPr>
    <w:rPr>
      <w:rFonts w:ascii="黑体" w:hAnsi="宋体" w:eastAsia="黑体" w:cs="宋体"/>
      <w:kern w:val="0"/>
      <w:szCs w:val="20"/>
    </w:rPr>
  </w:style>
  <w:style w:type="paragraph" w:customStyle="1" w:styleId="3654">
    <w:name w:val="Fax Header21"/>
    <w:basedOn w:val="1"/>
    <w:uiPriority w:val="0"/>
    <w:pPr>
      <w:widowControl/>
      <w:spacing w:before="240" w:after="60"/>
      <w:jc w:val="left"/>
    </w:pPr>
    <w:rPr>
      <w:rFonts w:ascii="宋体" w:hAnsi="宋体" w:cs="宋体"/>
      <w:kern w:val="0"/>
      <w:sz w:val="20"/>
      <w:szCs w:val="20"/>
    </w:rPr>
  </w:style>
  <w:style w:type="paragraph" w:customStyle="1" w:styleId="3655">
    <w:name w:val="表内541421"/>
    <w:basedOn w:val="1"/>
    <w:uiPriority w:val="0"/>
    <w:pPr>
      <w:widowControl/>
      <w:spacing w:line="300" w:lineRule="auto"/>
      <w:jc w:val="center"/>
    </w:pPr>
    <w:rPr>
      <w:rFonts w:ascii="宋体" w:hAnsi="宋体" w:cs="宋体"/>
      <w:kern w:val="0"/>
      <w:szCs w:val="20"/>
    </w:rPr>
  </w:style>
  <w:style w:type="paragraph" w:customStyle="1" w:styleId="3656">
    <w:name w:val="Char123"/>
    <w:basedOn w:val="1"/>
    <w:uiPriority w:val="0"/>
    <w:pPr>
      <w:widowControl/>
      <w:ind w:left="-48"/>
      <w:jc w:val="left"/>
    </w:pPr>
    <w:rPr>
      <w:rFonts w:ascii="宋体" w:hAnsi="宋体" w:cs="宋体"/>
      <w:kern w:val="0"/>
      <w:szCs w:val="24"/>
    </w:rPr>
  </w:style>
  <w:style w:type="paragraph" w:customStyle="1" w:styleId="3657">
    <w:name w:val="表131"/>
    <w:basedOn w:val="1"/>
    <w:uiPriority w:val="0"/>
    <w:pPr>
      <w:widowControl/>
      <w:jc w:val="center"/>
    </w:pPr>
    <w:rPr>
      <w:rFonts w:ascii="宋体" w:hAnsi="宋体" w:cs="宋体"/>
      <w:kern w:val="0"/>
      <w:szCs w:val="24"/>
    </w:rPr>
  </w:style>
  <w:style w:type="paragraph" w:customStyle="1" w:styleId="3658">
    <w:name w:val="表内594"/>
    <w:basedOn w:val="1"/>
    <w:uiPriority w:val="0"/>
    <w:pPr>
      <w:widowControl/>
      <w:spacing w:line="300" w:lineRule="auto"/>
      <w:jc w:val="center"/>
    </w:pPr>
    <w:rPr>
      <w:rFonts w:ascii="宋体" w:hAnsi="宋体" w:cs="宋体"/>
      <w:snapToGrid w:val="0"/>
      <w:kern w:val="0"/>
      <w:szCs w:val="21"/>
    </w:rPr>
  </w:style>
  <w:style w:type="paragraph" w:customStyle="1" w:styleId="3659">
    <w:name w:val="Char821"/>
    <w:basedOn w:val="1"/>
    <w:uiPriority w:val="0"/>
    <w:pPr>
      <w:widowControl/>
      <w:ind w:left="-48"/>
      <w:jc w:val="left"/>
    </w:pPr>
    <w:rPr>
      <w:rFonts w:ascii="宋体" w:hAnsi="宋体" w:cs="宋体"/>
      <w:kern w:val="0"/>
      <w:szCs w:val="24"/>
    </w:rPr>
  </w:style>
  <w:style w:type="paragraph" w:customStyle="1" w:styleId="3660">
    <w:name w:val="黑体三号113"/>
    <w:basedOn w:val="207"/>
    <w:uiPriority w:val="0"/>
    <w:pPr>
      <w:jc w:val="center"/>
    </w:pPr>
    <w:rPr>
      <w:rFonts w:ascii="黑体" w:hAnsi="宋体" w:eastAsia="黑体" w:cs="宋体"/>
      <w:b/>
      <w:bCs/>
      <w:sz w:val="32"/>
      <w:szCs w:val="20"/>
    </w:rPr>
  </w:style>
  <w:style w:type="paragraph" w:customStyle="1" w:styleId="3661">
    <w:name w:val="表格内容4"/>
    <w:uiPriority w:val="0"/>
    <w:pPr>
      <w:jc w:val="center"/>
    </w:pPr>
    <w:rPr>
      <w:rFonts w:ascii="Times New Roman" w:hAnsi="Times New Roman" w:eastAsia="宋体" w:cs="Times New Roman"/>
      <w:kern w:val="2"/>
      <w:sz w:val="21"/>
      <w:szCs w:val="21"/>
      <w:lang w:val="en-US" w:eastAsia="zh-CN" w:bidi="ar-SA"/>
    </w:rPr>
  </w:style>
  <w:style w:type="paragraph" w:customStyle="1" w:styleId="3662">
    <w:name w:val="黑体三号331"/>
    <w:basedOn w:val="207"/>
    <w:uiPriority w:val="0"/>
    <w:pPr>
      <w:jc w:val="center"/>
    </w:pPr>
    <w:rPr>
      <w:rFonts w:ascii="黑体" w:hAnsi="宋体" w:eastAsia="黑体" w:cs="宋体"/>
      <w:b/>
      <w:bCs/>
      <w:sz w:val="32"/>
      <w:szCs w:val="20"/>
    </w:rPr>
  </w:style>
  <w:style w:type="paragraph" w:customStyle="1" w:styleId="3663">
    <w:name w:val="表内5341"/>
    <w:basedOn w:val="1"/>
    <w:uiPriority w:val="0"/>
    <w:pPr>
      <w:widowControl/>
      <w:spacing w:line="300" w:lineRule="auto"/>
      <w:jc w:val="left"/>
    </w:pPr>
    <w:rPr>
      <w:rFonts w:ascii="宋体" w:hAnsi="宋体" w:cs="宋体"/>
      <w:kern w:val="0"/>
      <w:szCs w:val="20"/>
    </w:rPr>
  </w:style>
  <w:style w:type="paragraph" w:customStyle="1" w:styleId="3664">
    <w:name w:val="表内文字小31113"/>
    <w:basedOn w:val="1"/>
    <w:uiPriority w:val="0"/>
    <w:pPr>
      <w:widowControl/>
      <w:jc w:val="center"/>
    </w:pPr>
    <w:rPr>
      <w:rFonts w:ascii="宋体" w:hAnsi="Times" w:cs="宋体"/>
      <w:bCs/>
      <w:color w:val="003366"/>
      <w:kern w:val="0"/>
      <w:szCs w:val="20"/>
    </w:rPr>
  </w:style>
  <w:style w:type="paragraph" w:customStyle="1" w:styleId="3665">
    <w:name w:val="表内541331"/>
    <w:basedOn w:val="1"/>
    <w:uiPriority w:val="0"/>
    <w:pPr>
      <w:widowControl/>
      <w:spacing w:line="300" w:lineRule="auto"/>
      <w:jc w:val="center"/>
    </w:pPr>
    <w:rPr>
      <w:rFonts w:ascii="宋体" w:hAnsi="宋体" w:cs="宋体"/>
      <w:kern w:val="0"/>
      <w:szCs w:val="20"/>
    </w:rPr>
  </w:style>
  <w:style w:type="paragraph" w:customStyle="1" w:styleId="3666">
    <w:name w:val="表内5中421"/>
    <w:basedOn w:val="1"/>
    <w:uiPriority w:val="0"/>
    <w:pPr>
      <w:widowControl/>
      <w:jc w:val="center"/>
    </w:pPr>
    <w:rPr>
      <w:rFonts w:ascii="宋体" w:hAnsi="宋体" w:cs="宋体"/>
      <w:bCs/>
      <w:kern w:val="0"/>
      <w:szCs w:val="20"/>
    </w:rPr>
  </w:style>
  <w:style w:type="paragraph" w:customStyle="1" w:styleId="3667">
    <w:name w:val="Char831"/>
    <w:basedOn w:val="1"/>
    <w:uiPriority w:val="0"/>
    <w:pPr>
      <w:widowControl/>
      <w:ind w:left="-48"/>
      <w:jc w:val="left"/>
    </w:pPr>
    <w:rPr>
      <w:rFonts w:ascii="宋体" w:hAnsi="宋体" w:cs="宋体"/>
      <w:kern w:val="0"/>
      <w:szCs w:val="24"/>
    </w:rPr>
  </w:style>
  <w:style w:type="paragraph" w:customStyle="1" w:styleId="3668">
    <w:name w:val="表内文字小31331"/>
    <w:basedOn w:val="1"/>
    <w:uiPriority w:val="0"/>
    <w:pPr>
      <w:widowControl/>
      <w:jc w:val="center"/>
    </w:pPr>
    <w:rPr>
      <w:rFonts w:ascii="宋体" w:hAnsi="Times" w:cs="宋体"/>
      <w:bCs/>
      <w:color w:val="003366"/>
      <w:kern w:val="0"/>
      <w:szCs w:val="20"/>
    </w:rPr>
  </w:style>
  <w:style w:type="paragraph" w:customStyle="1" w:styleId="3669">
    <w:name w:val="环评正文12"/>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670">
    <w:name w:val="文本框14"/>
    <w:basedOn w:val="1"/>
    <w:uiPriority w:val="0"/>
    <w:pPr>
      <w:widowControl/>
      <w:spacing w:after="6"/>
      <w:jc w:val="center"/>
    </w:pPr>
    <w:rPr>
      <w:rFonts w:ascii="宋体" w:hAnsi="宋体" w:cs="宋体"/>
      <w:kern w:val="0"/>
      <w:szCs w:val="24"/>
    </w:rPr>
  </w:style>
  <w:style w:type="paragraph" w:customStyle="1" w:styleId="3671">
    <w:name w:val="Char Char Char Char Char Char Char212"/>
    <w:basedOn w:val="1"/>
    <w:uiPriority w:val="0"/>
    <w:pPr>
      <w:widowControl/>
      <w:jc w:val="left"/>
    </w:pPr>
    <w:rPr>
      <w:rFonts w:ascii="宋体" w:hAnsi="宋体" w:cs="宋体"/>
      <w:kern w:val="0"/>
      <w:szCs w:val="24"/>
    </w:rPr>
  </w:style>
  <w:style w:type="paragraph" w:customStyle="1" w:styleId="3672">
    <w:name w:val="Char433"/>
    <w:basedOn w:val="1"/>
    <w:uiPriority w:val="0"/>
    <w:pPr>
      <w:widowControl/>
      <w:ind w:left="-48"/>
      <w:jc w:val="left"/>
    </w:pPr>
    <w:rPr>
      <w:rFonts w:ascii="宋体" w:hAnsi="宋体" w:cs="宋体"/>
      <w:kern w:val="0"/>
      <w:szCs w:val="24"/>
    </w:rPr>
  </w:style>
  <w:style w:type="paragraph" w:customStyle="1" w:styleId="3673">
    <w:name w:val="样式24"/>
    <w:basedOn w:val="1"/>
    <w:uiPriority w:val="0"/>
    <w:pPr>
      <w:widowControl/>
      <w:jc w:val="center"/>
      <w:textAlignment w:val="baseline"/>
      <w:outlineLvl w:val="0"/>
    </w:pPr>
    <w:rPr>
      <w:rFonts w:ascii="宋体" w:hAnsi="宋体" w:cs="宋体"/>
      <w:kern w:val="0"/>
      <w:szCs w:val="20"/>
    </w:rPr>
  </w:style>
  <w:style w:type="paragraph" w:customStyle="1" w:styleId="3674">
    <w:name w:val="Char7111"/>
    <w:basedOn w:val="1"/>
    <w:uiPriority w:val="0"/>
    <w:pPr>
      <w:widowControl/>
      <w:ind w:left="-48"/>
      <w:jc w:val="left"/>
    </w:pPr>
    <w:rPr>
      <w:rFonts w:ascii="宋体" w:hAnsi="宋体" w:cs="宋体"/>
      <w:kern w:val="0"/>
      <w:szCs w:val="24"/>
    </w:rPr>
  </w:style>
  <w:style w:type="paragraph" w:customStyle="1" w:styleId="3675">
    <w:name w:val="表2111"/>
    <w:basedOn w:val="1"/>
    <w:uiPriority w:val="0"/>
    <w:pPr>
      <w:widowControl/>
      <w:jc w:val="center"/>
    </w:pPr>
    <w:rPr>
      <w:rFonts w:ascii="宋体" w:hAnsi="宋体" w:cs="宋体"/>
      <w:kern w:val="0"/>
      <w:szCs w:val="24"/>
    </w:rPr>
  </w:style>
  <w:style w:type="paragraph" w:customStyle="1" w:styleId="3676">
    <w:name w:val="表中文字51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677">
    <w:name w:val="燕山正文61"/>
    <w:basedOn w:val="1"/>
    <w:uiPriority w:val="0"/>
    <w:pPr>
      <w:widowControl/>
      <w:tabs>
        <w:tab w:val="left" w:pos="4680"/>
      </w:tabs>
      <w:spacing w:line="480" w:lineRule="exact"/>
      <w:jc w:val="left"/>
    </w:pPr>
    <w:rPr>
      <w:rFonts w:ascii="宋体" w:hAnsi="宋体" w:cs="宋体"/>
      <w:kern w:val="0"/>
      <w:szCs w:val="24"/>
    </w:rPr>
  </w:style>
  <w:style w:type="paragraph" w:customStyle="1" w:styleId="3678">
    <w:name w:val="Char124"/>
    <w:basedOn w:val="1"/>
    <w:uiPriority w:val="0"/>
    <w:pPr>
      <w:widowControl/>
      <w:ind w:left="-48"/>
      <w:jc w:val="left"/>
    </w:pPr>
    <w:rPr>
      <w:rFonts w:ascii="宋体" w:hAnsi="宋体" w:cs="宋体"/>
      <w:kern w:val="0"/>
      <w:szCs w:val="24"/>
    </w:rPr>
  </w:style>
  <w:style w:type="paragraph" w:customStyle="1" w:styleId="3679">
    <w:name w:val="Char1031"/>
    <w:basedOn w:val="1"/>
    <w:uiPriority w:val="0"/>
    <w:pPr>
      <w:widowControl/>
      <w:jc w:val="left"/>
    </w:pPr>
    <w:rPr>
      <w:rFonts w:ascii="宋体" w:hAnsi="宋体" w:cs="宋体"/>
      <w:kern w:val="0"/>
      <w:szCs w:val="24"/>
    </w:rPr>
  </w:style>
  <w:style w:type="paragraph" w:customStyle="1" w:styleId="3680">
    <w:name w:val="样式141"/>
    <w:basedOn w:val="1779"/>
    <w:uiPriority w:val="0"/>
    <w:pPr>
      <w:spacing w:line="240" w:lineRule="auto"/>
      <w:ind w:firstLine="0"/>
      <w:jc w:val="center"/>
    </w:pPr>
    <w:rPr>
      <w:rFonts w:cs="Times New Roman"/>
      <w:b/>
      <w:color w:val="auto"/>
      <w:szCs w:val="20"/>
    </w:rPr>
  </w:style>
  <w:style w:type="paragraph" w:customStyle="1" w:styleId="3681">
    <w:name w:val="A正文31"/>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682">
    <w:name w:val="文本框41"/>
    <w:basedOn w:val="1"/>
    <w:uiPriority w:val="0"/>
    <w:pPr>
      <w:widowControl/>
      <w:spacing w:after="6"/>
      <w:jc w:val="center"/>
    </w:pPr>
    <w:rPr>
      <w:rFonts w:ascii="宋体" w:hAnsi="宋体" w:cs="宋体"/>
      <w:kern w:val="0"/>
      <w:szCs w:val="24"/>
    </w:rPr>
  </w:style>
  <w:style w:type="paragraph" w:customStyle="1" w:styleId="3683">
    <w:name w:val="Char Char Char Char Char Char Char126"/>
    <w:basedOn w:val="1"/>
    <w:uiPriority w:val="0"/>
    <w:pPr>
      <w:widowControl/>
      <w:jc w:val="left"/>
    </w:pPr>
    <w:rPr>
      <w:rFonts w:ascii="宋体" w:hAnsi="宋体" w:cs="宋体"/>
      <w:kern w:val="0"/>
      <w:szCs w:val="24"/>
    </w:rPr>
  </w:style>
  <w:style w:type="paragraph" w:customStyle="1" w:styleId="3684">
    <w:name w:val="样式413"/>
    <w:basedOn w:val="27"/>
    <w:uiPriority w:val="0"/>
    <w:pPr>
      <w:widowControl/>
      <w:tabs>
        <w:tab w:val="left" w:pos="1820"/>
      </w:tabs>
      <w:spacing w:line="240" w:lineRule="atLeast"/>
      <w:jc w:val="center"/>
    </w:pPr>
    <w:rPr>
      <w:rFonts w:eastAsia="幼圆"/>
      <w:kern w:val="0"/>
      <w:sz w:val="21"/>
      <w:szCs w:val="20"/>
    </w:rPr>
  </w:style>
  <w:style w:type="paragraph" w:customStyle="1" w:styleId="3685">
    <w:name w:val="表中文字312"/>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686">
    <w:name w:val="表中文字33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687">
    <w:name w:val="黑体三号413"/>
    <w:basedOn w:val="207"/>
    <w:uiPriority w:val="0"/>
    <w:pPr>
      <w:jc w:val="center"/>
    </w:pPr>
    <w:rPr>
      <w:rFonts w:ascii="黑体" w:hAnsi="宋体" w:eastAsia="黑体" w:cs="宋体"/>
      <w:b/>
      <w:bCs/>
      <w:sz w:val="32"/>
      <w:szCs w:val="20"/>
    </w:rPr>
  </w:style>
  <w:style w:type="paragraph" w:customStyle="1" w:styleId="3688">
    <w:name w:val="黑体三号121"/>
    <w:basedOn w:val="207"/>
    <w:uiPriority w:val="0"/>
    <w:pPr>
      <w:jc w:val="center"/>
    </w:pPr>
    <w:rPr>
      <w:rFonts w:ascii="黑体" w:hAnsi="宋体" w:eastAsia="黑体" w:cs="宋体"/>
      <w:b/>
      <w:bCs/>
      <w:sz w:val="32"/>
      <w:szCs w:val="20"/>
    </w:rPr>
  </w:style>
  <w:style w:type="paragraph" w:customStyle="1" w:styleId="3689">
    <w:name w:val="Char812"/>
    <w:basedOn w:val="1"/>
    <w:uiPriority w:val="0"/>
    <w:pPr>
      <w:widowControl/>
      <w:ind w:left="-48"/>
      <w:jc w:val="left"/>
    </w:pPr>
    <w:rPr>
      <w:rFonts w:ascii="宋体" w:hAnsi="宋体" w:cs="宋体"/>
      <w:kern w:val="0"/>
      <w:szCs w:val="24"/>
    </w:rPr>
  </w:style>
  <w:style w:type="paragraph" w:customStyle="1" w:styleId="3690">
    <w:name w:val="样式114"/>
    <w:basedOn w:val="1779"/>
    <w:uiPriority w:val="0"/>
    <w:pPr>
      <w:spacing w:line="240" w:lineRule="auto"/>
      <w:ind w:firstLine="0"/>
      <w:jc w:val="center"/>
    </w:pPr>
    <w:rPr>
      <w:rFonts w:cs="Times New Roman"/>
      <w:b/>
      <w:color w:val="auto"/>
      <w:szCs w:val="20"/>
    </w:rPr>
  </w:style>
  <w:style w:type="paragraph" w:customStyle="1" w:styleId="3691">
    <w:name w:val="Char432"/>
    <w:basedOn w:val="1"/>
    <w:uiPriority w:val="0"/>
    <w:pPr>
      <w:widowControl/>
      <w:ind w:left="-48"/>
      <w:jc w:val="left"/>
    </w:pPr>
    <w:rPr>
      <w:rFonts w:ascii="宋体" w:hAnsi="宋体" w:cs="宋体"/>
      <w:kern w:val="0"/>
      <w:szCs w:val="24"/>
    </w:rPr>
  </w:style>
  <w:style w:type="paragraph" w:customStyle="1" w:styleId="3692">
    <w:name w:val="表内文字边111"/>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3693">
    <w:name w:val="样式221"/>
    <w:basedOn w:val="1"/>
    <w:uiPriority w:val="0"/>
    <w:pPr>
      <w:widowControl/>
      <w:jc w:val="center"/>
      <w:textAlignment w:val="baseline"/>
      <w:outlineLvl w:val="0"/>
    </w:pPr>
    <w:rPr>
      <w:rFonts w:ascii="宋体" w:hAnsi="宋体" w:cs="宋体"/>
      <w:kern w:val="0"/>
      <w:szCs w:val="20"/>
    </w:rPr>
  </w:style>
  <w:style w:type="paragraph" w:customStyle="1" w:styleId="3694">
    <w:name w:val="样式 标题 3 + 段前: 12 磅13"/>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3695">
    <w:name w:val="表内宋521"/>
    <w:basedOn w:val="1935"/>
    <w:uiPriority w:val="0"/>
    <w:pPr>
      <w:autoSpaceDE w:val="0"/>
      <w:autoSpaceDN w:val="0"/>
      <w:textAlignment w:val="auto"/>
    </w:pPr>
    <w:rPr>
      <w:color w:val="auto"/>
      <w:w w:val="90"/>
    </w:rPr>
  </w:style>
  <w:style w:type="paragraph" w:customStyle="1" w:styleId="3696">
    <w:name w:val="封面标准文稿编辑信息4"/>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3697">
    <w:name w:val="附件14"/>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698">
    <w:name w:val="表内5412111"/>
    <w:basedOn w:val="1"/>
    <w:uiPriority w:val="0"/>
    <w:pPr>
      <w:widowControl/>
      <w:spacing w:line="300" w:lineRule="auto"/>
      <w:jc w:val="center"/>
    </w:pPr>
    <w:rPr>
      <w:rFonts w:ascii="宋体" w:hAnsi="宋体" w:cs="宋体"/>
      <w:kern w:val="0"/>
      <w:szCs w:val="20"/>
    </w:rPr>
  </w:style>
  <w:style w:type="paragraph" w:customStyle="1" w:styleId="3699">
    <w:name w:val="Char Char2 Char Char Char Char30"/>
    <w:basedOn w:val="1"/>
    <w:uiPriority w:val="0"/>
    <w:pPr>
      <w:widowControl/>
      <w:jc w:val="left"/>
    </w:pPr>
    <w:rPr>
      <w:rFonts w:ascii="宋体" w:hAnsi="宋体" w:cs="宋体"/>
      <w:kern w:val="0"/>
      <w:szCs w:val="24"/>
    </w:rPr>
  </w:style>
  <w:style w:type="paragraph" w:customStyle="1" w:styleId="3700">
    <w:name w:val="Char Char Char Char Char Char Char39"/>
    <w:basedOn w:val="1"/>
    <w:uiPriority w:val="0"/>
    <w:pPr>
      <w:widowControl/>
      <w:jc w:val="left"/>
    </w:pPr>
    <w:rPr>
      <w:rFonts w:ascii="宋体" w:hAnsi="宋体" w:cs="宋体"/>
      <w:kern w:val="0"/>
      <w:szCs w:val="24"/>
    </w:rPr>
  </w:style>
  <w:style w:type="paragraph" w:customStyle="1" w:styleId="3701">
    <w:name w:val="Char Char Char Char1 Char Char Char51"/>
    <w:basedOn w:val="1"/>
    <w:uiPriority w:val="0"/>
    <w:pPr>
      <w:widowControl/>
      <w:spacing w:after="160" w:line="240" w:lineRule="exact"/>
      <w:jc w:val="left"/>
    </w:pPr>
    <w:rPr>
      <w:rFonts w:ascii="Verdana" w:hAnsi="Verdana" w:cs="宋体"/>
      <w:kern w:val="0"/>
      <w:sz w:val="20"/>
      <w:szCs w:val="20"/>
      <w:lang w:eastAsia="en-US"/>
    </w:rPr>
  </w:style>
  <w:style w:type="paragraph" w:customStyle="1" w:styleId="3702">
    <w:name w:val="表中文字421"/>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3703">
    <w:name w:val="Char49"/>
    <w:basedOn w:val="1"/>
    <w:uiPriority w:val="0"/>
    <w:pPr>
      <w:widowControl/>
      <w:ind w:left="-48"/>
      <w:jc w:val="left"/>
    </w:pPr>
    <w:rPr>
      <w:rFonts w:ascii="宋体" w:hAnsi="宋体" w:cs="宋体"/>
      <w:kern w:val="0"/>
      <w:szCs w:val="24"/>
    </w:rPr>
  </w:style>
  <w:style w:type="paragraph" w:customStyle="1" w:styleId="3704">
    <w:name w:val="Char234"/>
    <w:basedOn w:val="1"/>
    <w:uiPriority w:val="0"/>
    <w:pPr>
      <w:widowControl/>
      <w:ind w:left="-48"/>
      <w:jc w:val="left"/>
    </w:pPr>
    <w:rPr>
      <w:rFonts w:ascii="宋体" w:hAnsi="宋体" w:cs="宋体"/>
      <w:kern w:val="0"/>
      <w:szCs w:val="24"/>
    </w:rPr>
  </w:style>
  <w:style w:type="paragraph" w:customStyle="1" w:styleId="3705">
    <w:name w:val="c111"/>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3706">
    <w:name w:val="表中文字63"/>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707">
    <w:name w:val="表内文字小21113"/>
    <w:basedOn w:val="1"/>
    <w:uiPriority w:val="0"/>
    <w:pPr>
      <w:widowControl/>
      <w:jc w:val="center"/>
    </w:pPr>
    <w:rPr>
      <w:rFonts w:ascii="宋体" w:hAnsi="Times" w:cs="宋体"/>
      <w:bCs/>
      <w:color w:val="000000"/>
      <w:kern w:val="0"/>
      <w:szCs w:val="20"/>
    </w:rPr>
  </w:style>
  <w:style w:type="paragraph" w:customStyle="1" w:styleId="3708">
    <w:name w:val="燕山正文11211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709">
    <w:name w:val="表题14121"/>
    <w:basedOn w:val="1"/>
    <w:uiPriority w:val="0"/>
    <w:pPr>
      <w:widowControl/>
      <w:jc w:val="center"/>
    </w:pPr>
    <w:rPr>
      <w:rFonts w:ascii="黑体" w:hAnsi="宋体" w:eastAsia="黑体" w:cs="宋体"/>
      <w:kern w:val="0"/>
      <w:szCs w:val="24"/>
    </w:rPr>
  </w:style>
  <w:style w:type="paragraph" w:customStyle="1" w:styleId="3710">
    <w:name w:val="Char68"/>
    <w:basedOn w:val="1"/>
    <w:uiPriority w:val="0"/>
    <w:pPr>
      <w:widowControl/>
      <w:ind w:left="-48"/>
      <w:jc w:val="left"/>
    </w:pPr>
    <w:rPr>
      <w:rFonts w:ascii="宋体" w:hAnsi="宋体" w:cs="宋体"/>
      <w:kern w:val="0"/>
      <w:szCs w:val="24"/>
    </w:rPr>
  </w:style>
  <w:style w:type="paragraph" w:customStyle="1" w:styleId="3711">
    <w:name w:val="Char Char2 Char Char Char Char20"/>
    <w:basedOn w:val="1"/>
    <w:uiPriority w:val="0"/>
    <w:pPr>
      <w:widowControl/>
      <w:jc w:val="left"/>
    </w:pPr>
    <w:rPr>
      <w:rFonts w:ascii="宋体" w:hAnsi="宋体" w:cs="宋体"/>
      <w:kern w:val="0"/>
      <w:szCs w:val="24"/>
    </w:rPr>
  </w:style>
  <w:style w:type="paragraph" w:customStyle="1" w:styleId="3712">
    <w:name w:val="首行缩进:  0.99 厘米 + 首行缩进:  2 字符111"/>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3713">
    <w:name w:val="Char1221"/>
    <w:basedOn w:val="1"/>
    <w:uiPriority w:val="0"/>
    <w:pPr>
      <w:widowControl/>
      <w:jc w:val="left"/>
    </w:pPr>
    <w:rPr>
      <w:rFonts w:ascii="宋体" w:hAnsi="宋体" w:cs="宋体"/>
      <w:kern w:val="0"/>
      <w:szCs w:val="24"/>
    </w:rPr>
  </w:style>
  <w:style w:type="paragraph" w:customStyle="1" w:styleId="3714">
    <w:name w:val="Char415"/>
    <w:basedOn w:val="1"/>
    <w:uiPriority w:val="0"/>
    <w:pPr>
      <w:widowControl/>
      <w:ind w:left="-48"/>
      <w:jc w:val="left"/>
    </w:pPr>
    <w:rPr>
      <w:rFonts w:ascii="宋体" w:hAnsi="宋体" w:cs="宋体"/>
      <w:kern w:val="0"/>
      <w:szCs w:val="24"/>
    </w:rPr>
  </w:style>
  <w:style w:type="paragraph" w:customStyle="1" w:styleId="3715">
    <w:name w:val="A正文4"/>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716">
    <w:name w:val="表内文字小3134"/>
    <w:basedOn w:val="1"/>
    <w:uiPriority w:val="0"/>
    <w:pPr>
      <w:widowControl/>
      <w:jc w:val="center"/>
    </w:pPr>
    <w:rPr>
      <w:rFonts w:ascii="宋体" w:hAnsi="Times" w:cs="宋体"/>
      <w:bCs/>
      <w:color w:val="003366"/>
      <w:kern w:val="0"/>
      <w:szCs w:val="20"/>
    </w:rPr>
  </w:style>
  <w:style w:type="paragraph" w:customStyle="1" w:styleId="3717">
    <w:name w:val="样式1121"/>
    <w:basedOn w:val="1779"/>
    <w:uiPriority w:val="0"/>
    <w:pPr>
      <w:spacing w:line="240" w:lineRule="auto"/>
      <w:ind w:firstLine="0"/>
      <w:jc w:val="center"/>
    </w:pPr>
    <w:rPr>
      <w:rFonts w:cs="Times New Roman"/>
      <w:b/>
      <w:color w:val="auto"/>
      <w:szCs w:val="20"/>
    </w:rPr>
  </w:style>
  <w:style w:type="paragraph" w:customStyle="1" w:styleId="3718">
    <w:name w:val="正文格式＝1111"/>
    <w:basedOn w:val="207"/>
    <w:next w:val="207"/>
    <w:uiPriority w:val="0"/>
    <w:rPr>
      <w:rFonts w:hAnsi="宋体"/>
      <w:szCs w:val="24"/>
    </w:rPr>
  </w:style>
  <w:style w:type="paragraph" w:customStyle="1" w:styleId="3719">
    <w:name w:val="Char Char Char Char Char Char Char19"/>
    <w:basedOn w:val="1"/>
    <w:uiPriority w:val="0"/>
    <w:pPr>
      <w:widowControl/>
      <w:jc w:val="left"/>
    </w:pPr>
    <w:rPr>
      <w:rFonts w:ascii="宋体" w:hAnsi="宋体" w:cs="宋体"/>
      <w:kern w:val="0"/>
      <w:szCs w:val="24"/>
    </w:rPr>
  </w:style>
  <w:style w:type="paragraph" w:customStyle="1" w:styleId="3720">
    <w:name w:val="表内文字小21313"/>
    <w:basedOn w:val="1"/>
    <w:uiPriority w:val="0"/>
    <w:pPr>
      <w:widowControl/>
      <w:jc w:val="center"/>
      <w:textAlignment w:val="baseline"/>
    </w:pPr>
    <w:rPr>
      <w:rFonts w:ascii="宋体" w:hAnsi="Times" w:cs="宋体"/>
      <w:bCs/>
      <w:color w:val="000000"/>
      <w:kern w:val="0"/>
      <w:szCs w:val="20"/>
    </w:rPr>
  </w:style>
  <w:style w:type="paragraph" w:customStyle="1" w:styleId="3721">
    <w:name w:val="样式11111"/>
    <w:basedOn w:val="1779"/>
    <w:uiPriority w:val="0"/>
    <w:pPr>
      <w:spacing w:line="240" w:lineRule="auto"/>
      <w:ind w:firstLine="0"/>
      <w:jc w:val="center"/>
    </w:pPr>
    <w:rPr>
      <w:rFonts w:cs="Times New Roman"/>
      <w:b/>
      <w:color w:val="auto"/>
      <w:szCs w:val="20"/>
    </w:rPr>
  </w:style>
  <w:style w:type="paragraph" w:customStyle="1" w:styleId="3722">
    <w:name w:val="表内5中211"/>
    <w:basedOn w:val="1"/>
    <w:uiPriority w:val="0"/>
    <w:pPr>
      <w:widowControl/>
      <w:jc w:val="center"/>
    </w:pPr>
    <w:rPr>
      <w:rFonts w:ascii="宋体" w:hAnsi="宋体" w:cs="Arial"/>
      <w:snapToGrid w:val="0"/>
      <w:color w:val="000000"/>
      <w:kern w:val="0"/>
      <w:szCs w:val="21"/>
    </w:rPr>
  </w:style>
  <w:style w:type="paragraph" w:customStyle="1" w:styleId="3723">
    <w:name w:val="Char Char Char Char1 Char Char Char17"/>
    <w:basedOn w:val="1"/>
    <w:uiPriority w:val="0"/>
    <w:pPr>
      <w:widowControl/>
      <w:spacing w:after="160" w:line="240" w:lineRule="exact"/>
      <w:jc w:val="left"/>
    </w:pPr>
    <w:rPr>
      <w:rFonts w:ascii="Verdana" w:hAnsi="Verdana" w:cs="宋体"/>
      <w:kern w:val="0"/>
      <w:sz w:val="20"/>
      <w:szCs w:val="20"/>
      <w:lang w:eastAsia="en-US"/>
    </w:rPr>
  </w:style>
  <w:style w:type="paragraph" w:customStyle="1" w:styleId="3724">
    <w:name w:val="Char94"/>
    <w:basedOn w:val="1"/>
    <w:uiPriority w:val="0"/>
    <w:pPr>
      <w:widowControl/>
      <w:ind w:left="-48"/>
      <w:jc w:val="left"/>
    </w:pPr>
    <w:rPr>
      <w:rFonts w:ascii="宋体" w:hAnsi="宋体" w:cs="宋体"/>
      <w:kern w:val="0"/>
      <w:szCs w:val="24"/>
    </w:rPr>
  </w:style>
  <w:style w:type="paragraph" w:customStyle="1" w:styleId="3725">
    <w:name w:val="默认段落字体 Para Char Char Char Char313"/>
    <w:basedOn w:val="1"/>
    <w:uiPriority w:val="0"/>
    <w:pPr>
      <w:widowControl/>
      <w:jc w:val="left"/>
    </w:pPr>
    <w:rPr>
      <w:rFonts w:ascii="宋体" w:hAnsi="宋体" w:cs="宋体"/>
      <w:kern w:val="0"/>
      <w:szCs w:val="24"/>
    </w:rPr>
  </w:style>
  <w:style w:type="paragraph" w:customStyle="1" w:styleId="3726">
    <w:name w:val="样式421"/>
    <w:basedOn w:val="27"/>
    <w:uiPriority w:val="0"/>
    <w:pPr>
      <w:widowControl/>
      <w:tabs>
        <w:tab w:val="left" w:pos="1820"/>
      </w:tabs>
      <w:spacing w:line="240" w:lineRule="atLeast"/>
      <w:jc w:val="center"/>
    </w:pPr>
    <w:rPr>
      <w:rFonts w:eastAsia="幼圆"/>
      <w:kern w:val="0"/>
      <w:sz w:val="21"/>
      <w:szCs w:val="20"/>
    </w:rPr>
  </w:style>
  <w:style w:type="paragraph" w:customStyle="1" w:styleId="3727">
    <w:name w:val="Char Char Char Char Char Char Char218"/>
    <w:basedOn w:val="1"/>
    <w:uiPriority w:val="0"/>
    <w:pPr>
      <w:widowControl/>
      <w:jc w:val="left"/>
    </w:pPr>
    <w:rPr>
      <w:rFonts w:ascii="宋体" w:hAnsi="宋体" w:cs="宋体"/>
      <w:kern w:val="0"/>
      <w:szCs w:val="24"/>
    </w:rPr>
  </w:style>
  <w:style w:type="paragraph" w:customStyle="1" w:styleId="3728">
    <w:name w:val="表题3122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729">
    <w:name w:val="Char Char Char Char Char Char Char40"/>
    <w:basedOn w:val="1"/>
    <w:uiPriority w:val="0"/>
    <w:pPr>
      <w:widowControl/>
      <w:jc w:val="left"/>
    </w:pPr>
    <w:rPr>
      <w:rFonts w:ascii="宋体" w:hAnsi="宋体" w:cs="宋体"/>
      <w:kern w:val="0"/>
      <w:szCs w:val="24"/>
    </w:rPr>
  </w:style>
  <w:style w:type="paragraph" w:customStyle="1" w:styleId="3730">
    <w:name w:val="Char223"/>
    <w:basedOn w:val="1"/>
    <w:uiPriority w:val="0"/>
    <w:pPr>
      <w:widowControl/>
      <w:ind w:left="-48"/>
      <w:jc w:val="left"/>
    </w:pPr>
    <w:rPr>
      <w:rFonts w:ascii="宋体" w:hAnsi="宋体" w:cs="宋体"/>
      <w:kern w:val="0"/>
      <w:szCs w:val="24"/>
    </w:rPr>
  </w:style>
  <w:style w:type="paragraph" w:customStyle="1" w:styleId="3731">
    <w:name w:val="默认段落字体 Para Char Char Char Char513"/>
    <w:basedOn w:val="1"/>
    <w:uiPriority w:val="0"/>
    <w:pPr>
      <w:widowControl/>
      <w:jc w:val="left"/>
    </w:pPr>
    <w:rPr>
      <w:rFonts w:ascii="宋体" w:hAnsi="宋体" w:cs="宋体"/>
      <w:kern w:val="0"/>
      <w:szCs w:val="24"/>
    </w:rPr>
  </w:style>
  <w:style w:type="paragraph" w:customStyle="1" w:styleId="3732">
    <w:name w:val="Char Char Char Char Char Char Char118"/>
    <w:basedOn w:val="1"/>
    <w:uiPriority w:val="0"/>
    <w:pPr>
      <w:widowControl/>
      <w:jc w:val="left"/>
    </w:pPr>
    <w:rPr>
      <w:rFonts w:ascii="宋体" w:hAnsi="宋体" w:cs="宋体"/>
      <w:kern w:val="0"/>
      <w:szCs w:val="24"/>
    </w:rPr>
  </w:style>
  <w:style w:type="paragraph" w:customStyle="1" w:styleId="3733">
    <w:name w:val="表内5中113"/>
    <w:basedOn w:val="1"/>
    <w:uiPriority w:val="0"/>
    <w:pPr>
      <w:widowControl/>
      <w:jc w:val="center"/>
    </w:pPr>
    <w:rPr>
      <w:rFonts w:ascii="宋体" w:hAnsi="宋体" w:cs="Arial"/>
      <w:snapToGrid w:val="0"/>
      <w:color w:val="000000"/>
      <w:kern w:val="0"/>
      <w:szCs w:val="21"/>
    </w:rPr>
  </w:style>
  <w:style w:type="paragraph" w:customStyle="1" w:styleId="3734">
    <w:name w:val="表43"/>
    <w:basedOn w:val="1"/>
    <w:uiPriority w:val="0"/>
    <w:pPr>
      <w:widowControl/>
      <w:jc w:val="center"/>
    </w:pPr>
    <w:rPr>
      <w:rFonts w:ascii="宋体" w:hAnsi="宋体" w:cs="宋体"/>
      <w:kern w:val="0"/>
      <w:szCs w:val="24"/>
    </w:rPr>
  </w:style>
  <w:style w:type="paragraph" w:customStyle="1" w:styleId="3735">
    <w:name w:val="黑体三号53"/>
    <w:basedOn w:val="207"/>
    <w:uiPriority w:val="0"/>
    <w:pPr>
      <w:jc w:val="center"/>
    </w:pPr>
    <w:rPr>
      <w:rFonts w:ascii="黑体" w:hAnsi="宋体" w:eastAsia="黑体" w:cs="宋体"/>
      <w:b/>
      <w:bCs/>
      <w:sz w:val="32"/>
      <w:szCs w:val="20"/>
    </w:rPr>
  </w:style>
  <w:style w:type="paragraph" w:customStyle="1" w:styleId="3736">
    <w:name w:val="Char Char Char Char1 Char Char Char7"/>
    <w:basedOn w:val="1"/>
    <w:uiPriority w:val="0"/>
    <w:pPr>
      <w:widowControl/>
      <w:spacing w:after="160" w:line="240" w:lineRule="exact"/>
      <w:jc w:val="left"/>
    </w:pPr>
    <w:rPr>
      <w:rFonts w:ascii="Verdana" w:hAnsi="Verdana" w:cs="宋体"/>
      <w:kern w:val="0"/>
      <w:sz w:val="20"/>
      <w:szCs w:val="20"/>
      <w:lang w:eastAsia="en-US"/>
    </w:rPr>
  </w:style>
  <w:style w:type="paragraph" w:customStyle="1" w:styleId="3737">
    <w:name w:val="Char461"/>
    <w:basedOn w:val="1"/>
    <w:uiPriority w:val="0"/>
    <w:pPr>
      <w:widowControl/>
      <w:ind w:left="-48"/>
      <w:jc w:val="left"/>
    </w:pPr>
    <w:rPr>
      <w:rFonts w:ascii="宋体" w:hAnsi="宋体" w:cs="宋体"/>
      <w:kern w:val="0"/>
      <w:szCs w:val="24"/>
    </w:rPr>
  </w:style>
  <w:style w:type="paragraph" w:customStyle="1" w:styleId="3738">
    <w:name w:val="Char361"/>
    <w:basedOn w:val="1"/>
    <w:uiPriority w:val="0"/>
    <w:pPr>
      <w:widowControl/>
      <w:ind w:left="-48"/>
      <w:jc w:val="left"/>
    </w:pPr>
    <w:rPr>
      <w:rFonts w:ascii="宋体" w:hAnsi="宋体" w:cs="宋体"/>
      <w:kern w:val="0"/>
      <w:szCs w:val="24"/>
    </w:rPr>
  </w:style>
  <w:style w:type="paragraph" w:customStyle="1" w:styleId="3739">
    <w:name w:val="Char Char Char Char Char Char Char53"/>
    <w:basedOn w:val="1"/>
    <w:uiPriority w:val="0"/>
    <w:pPr>
      <w:widowControl/>
      <w:jc w:val="left"/>
    </w:pPr>
    <w:rPr>
      <w:rFonts w:ascii="宋体" w:hAnsi="宋体" w:cs="宋体"/>
      <w:kern w:val="0"/>
      <w:szCs w:val="24"/>
    </w:rPr>
  </w:style>
  <w:style w:type="paragraph" w:customStyle="1" w:styleId="3740">
    <w:name w:val="默认段落字体 Para Char Char Char Char71"/>
    <w:basedOn w:val="1"/>
    <w:uiPriority w:val="0"/>
    <w:pPr>
      <w:widowControl/>
      <w:jc w:val="left"/>
    </w:pPr>
    <w:rPr>
      <w:rFonts w:ascii="宋体" w:hAnsi="宋体" w:cs="宋体"/>
      <w:kern w:val="0"/>
      <w:szCs w:val="24"/>
    </w:rPr>
  </w:style>
  <w:style w:type="paragraph" w:customStyle="1" w:styleId="3741">
    <w:name w:val="Char Char2 Char Char Char Char24"/>
    <w:basedOn w:val="1"/>
    <w:uiPriority w:val="0"/>
    <w:pPr>
      <w:widowControl/>
      <w:jc w:val="left"/>
    </w:pPr>
    <w:rPr>
      <w:rFonts w:ascii="宋体" w:hAnsi="宋体" w:cs="宋体"/>
      <w:kern w:val="0"/>
      <w:szCs w:val="24"/>
    </w:rPr>
  </w:style>
  <w:style w:type="paragraph" w:customStyle="1" w:styleId="3742">
    <w:name w:val="Char323"/>
    <w:basedOn w:val="1"/>
    <w:uiPriority w:val="0"/>
    <w:pPr>
      <w:widowControl/>
      <w:ind w:left="-48"/>
      <w:jc w:val="left"/>
    </w:pPr>
    <w:rPr>
      <w:rFonts w:ascii="宋体" w:hAnsi="宋体" w:cs="宋体"/>
      <w:kern w:val="0"/>
      <w:szCs w:val="24"/>
    </w:rPr>
  </w:style>
  <w:style w:type="paragraph" w:customStyle="1" w:styleId="3743">
    <w:name w:val="样式 表格内字体1 +111"/>
    <w:basedOn w:val="2316"/>
    <w:next w:val="347"/>
    <w:uiPriority w:val="0"/>
    <w:rPr>
      <w:rFonts w:hAnsi="Times New Roman" w:cs="宋体"/>
      <w:szCs w:val="20"/>
    </w:rPr>
  </w:style>
  <w:style w:type="paragraph" w:customStyle="1" w:styleId="3744">
    <w:name w:val="表内535"/>
    <w:basedOn w:val="1"/>
    <w:uiPriority w:val="0"/>
    <w:pPr>
      <w:widowControl/>
      <w:spacing w:line="300" w:lineRule="auto"/>
      <w:jc w:val="left"/>
    </w:pPr>
    <w:rPr>
      <w:rFonts w:ascii="宋体" w:hAnsi="宋体" w:cs="宋体"/>
      <w:kern w:val="0"/>
      <w:szCs w:val="20"/>
    </w:rPr>
  </w:style>
  <w:style w:type="paragraph" w:customStyle="1" w:styleId="3745">
    <w:name w:val="表中文字34"/>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746">
    <w:name w:val="默认段落字体 Para Char Char Char Char63"/>
    <w:basedOn w:val="1"/>
    <w:uiPriority w:val="0"/>
    <w:pPr>
      <w:widowControl/>
      <w:jc w:val="left"/>
    </w:pPr>
    <w:rPr>
      <w:rFonts w:ascii="宋体" w:hAnsi="宋体" w:cs="宋体"/>
      <w:kern w:val="0"/>
      <w:szCs w:val="24"/>
    </w:rPr>
  </w:style>
  <w:style w:type="paragraph" w:customStyle="1" w:styleId="3747">
    <w:name w:val="样式 表内小5 + 黑体 加粗 倾斜 下划线4"/>
    <w:basedOn w:val="1"/>
    <w:uiPriority w:val="0"/>
    <w:pPr>
      <w:widowControl/>
      <w:spacing w:line="300" w:lineRule="auto"/>
      <w:jc w:val="left"/>
    </w:pPr>
    <w:rPr>
      <w:rFonts w:ascii="黑体" w:hAnsi="黑体" w:eastAsia="黑体" w:cs="宋体"/>
      <w:b/>
      <w:bCs/>
      <w:i/>
      <w:iCs/>
      <w:kern w:val="0"/>
      <w:sz w:val="18"/>
      <w:szCs w:val="24"/>
      <w:u w:val="single"/>
    </w:rPr>
  </w:style>
  <w:style w:type="paragraph" w:customStyle="1" w:styleId="3748">
    <w:name w:val="正文格式＝213"/>
    <w:basedOn w:val="207"/>
    <w:next w:val="207"/>
    <w:uiPriority w:val="0"/>
    <w:rPr>
      <w:rFonts w:hAnsi="宋体"/>
      <w:szCs w:val="24"/>
    </w:rPr>
  </w:style>
  <w:style w:type="paragraph" w:customStyle="1" w:styleId="3749">
    <w:name w:val="首行缩进:  0.99 厘米 + 首行缩进:  2 字符21"/>
    <w:basedOn w:val="1"/>
    <w:uiPriority w:val="0"/>
    <w:pPr>
      <w:widowControl/>
      <w:topLinePunct/>
      <w:spacing w:line="480" w:lineRule="exact"/>
      <w:ind w:firstLine="420"/>
      <w:jc w:val="center"/>
    </w:pPr>
    <w:rPr>
      <w:rFonts w:ascii="宋体" w:hAnsi="宋体" w:cs="宋体"/>
      <w:snapToGrid w:val="0"/>
      <w:color w:val="FF0000"/>
      <w:kern w:val="0"/>
      <w:szCs w:val="21"/>
    </w:rPr>
  </w:style>
  <w:style w:type="paragraph" w:customStyle="1" w:styleId="3750">
    <w:name w:val="Char137"/>
    <w:basedOn w:val="1"/>
    <w:uiPriority w:val="0"/>
    <w:pPr>
      <w:widowControl/>
      <w:ind w:left="-48"/>
      <w:jc w:val="left"/>
    </w:pPr>
    <w:rPr>
      <w:rFonts w:ascii="宋体" w:hAnsi="宋体" w:cs="宋体"/>
      <w:kern w:val="0"/>
      <w:szCs w:val="24"/>
    </w:rPr>
  </w:style>
  <w:style w:type="paragraph" w:customStyle="1" w:styleId="3751">
    <w:name w:val="黑体三号24"/>
    <w:basedOn w:val="207"/>
    <w:uiPriority w:val="0"/>
    <w:pPr>
      <w:jc w:val="center"/>
    </w:pPr>
    <w:rPr>
      <w:rFonts w:ascii="黑体" w:hAnsi="宋体" w:eastAsia="黑体" w:cs="宋体"/>
      <w:b/>
      <w:bCs/>
      <w:sz w:val="32"/>
      <w:szCs w:val="20"/>
    </w:rPr>
  </w:style>
  <w:style w:type="paragraph" w:customStyle="1" w:styleId="3752">
    <w:name w:val="福建正文缩进4"/>
    <w:basedOn w:val="307"/>
    <w:uiPriority w:val="0"/>
    <w:pPr>
      <w:tabs>
        <w:tab w:val="left" w:pos="5837"/>
      </w:tabs>
      <w:spacing w:line="480" w:lineRule="exact"/>
    </w:pPr>
    <w:rPr>
      <w:rFonts w:cs="宋体"/>
      <w:color w:val="000000"/>
    </w:rPr>
  </w:style>
  <w:style w:type="paragraph" w:customStyle="1" w:styleId="3753">
    <w:name w:val="表内5中23"/>
    <w:basedOn w:val="1"/>
    <w:uiPriority w:val="0"/>
    <w:pPr>
      <w:widowControl/>
      <w:jc w:val="center"/>
    </w:pPr>
    <w:rPr>
      <w:rFonts w:ascii="宋体" w:hAnsi="宋体" w:cs="Arial"/>
      <w:snapToGrid w:val="0"/>
      <w:color w:val="000000"/>
      <w:kern w:val="0"/>
      <w:szCs w:val="21"/>
    </w:rPr>
  </w:style>
  <w:style w:type="paragraph" w:customStyle="1" w:styleId="3754">
    <w:name w:val="Char Char2 Char Char Char Char113"/>
    <w:basedOn w:val="1"/>
    <w:uiPriority w:val="0"/>
    <w:pPr>
      <w:widowControl/>
      <w:jc w:val="left"/>
    </w:pPr>
    <w:rPr>
      <w:rFonts w:ascii="宋体" w:hAnsi="宋体" w:cs="宋体"/>
      <w:kern w:val="0"/>
      <w:szCs w:val="24"/>
    </w:rPr>
  </w:style>
  <w:style w:type="paragraph" w:customStyle="1" w:styleId="3755">
    <w:name w:val="Char57"/>
    <w:basedOn w:val="1"/>
    <w:uiPriority w:val="0"/>
    <w:pPr>
      <w:widowControl/>
      <w:ind w:left="-48"/>
      <w:jc w:val="left"/>
    </w:pPr>
    <w:rPr>
      <w:rFonts w:ascii="宋体" w:hAnsi="宋体" w:cs="宋体"/>
      <w:kern w:val="0"/>
      <w:szCs w:val="24"/>
    </w:rPr>
  </w:style>
  <w:style w:type="paragraph" w:customStyle="1" w:styleId="3756">
    <w:name w:val="正文修改313"/>
    <w:basedOn w:val="236"/>
    <w:uiPriority w:val="0"/>
    <w:rPr>
      <w:rFonts w:hAnsi="宋体" w:eastAsia="宋体" w:cs="宋体"/>
      <w:color w:val="000000"/>
      <w:szCs w:val="24"/>
    </w:rPr>
  </w:style>
  <w:style w:type="paragraph" w:customStyle="1" w:styleId="3757">
    <w:name w:val="表中文字2111"/>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758">
    <w:name w:val="Char Char Char Char1 Char Char Char8"/>
    <w:basedOn w:val="1"/>
    <w:uiPriority w:val="0"/>
    <w:pPr>
      <w:widowControl/>
      <w:spacing w:after="160" w:line="240" w:lineRule="exact"/>
      <w:jc w:val="left"/>
    </w:pPr>
    <w:rPr>
      <w:rFonts w:ascii="Verdana" w:hAnsi="Verdana" w:cs="宋体"/>
      <w:kern w:val="0"/>
      <w:sz w:val="20"/>
      <w:szCs w:val="20"/>
      <w:lang w:eastAsia="en-US"/>
    </w:rPr>
  </w:style>
  <w:style w:type="paragraph" w:customStyle="1" w:styleId="3759">
    <w:name w:val="样式 表格内字体1 +4"/>
    <w:basedOn w:val="2316"/>
    <w:next w:val="347"/>
    <w:uiPriority w:val="0"/>
    <w:rPr>
      <w:rFonts w:hAnsi="Times New Roman" w:cs="宋体"/>
      <w:szCs w:val="20"/>
    </w:rPr>
  </w:style>
  <w:style w:type="paragraph" w:customStyle="1" w:styleId="3760">
    <w:name w:val="Char Char Char Char Char Char Char116"/>
    <w:basedOn w:val="1"/>
    <w:uiPriority w:val="0"/>
    <w:pPr>
      <w:widowControl/>
      <w:jc w:val="left"/>
    </w:pPr>
    <w:rPr>
      <w:rFonts w:ascii="宋体" w:hAnsi="宋体" w:cs="宋体"/>
      <w:kern w:val="0"/>
      <w:szCs w:val="24"/>
    </w:rPr>
  </w:style>
  <w:style w:type="paragraph" w:customStyle="1" w:styleId="3761">
    <w:name w:val="样式2111"/>
    <w:basedOn w:val="1"/>
    <w:qFormat/>
    <w:uiPriority w:val="0"/>
    <w:pPr>
      <w:widowControl/>
      <w:jc w:val="center"/>
      <w:textAlignment w:val="baseline"/>
      <w:outlineLvl w:val="0"/>
    </w:pPr>
    <w:rPr>
      <w:rFonts w:ascii="宋体" w:hAnsi="宋体" w:cs="宋体"/>
      <w:kern w:val="0"/>
      <w:szCs w:val="20"/>
    </w:rPr>
  </w:style>
  <w:style w:type="paragraph" w:customStyle="1" w:styleId="3762">
    <w:name w:val="燕山正文413"/>
    <w:basedOn w:val="1"/>
    <w:uiPriority w:val="0"/>
    <w:pPr>
      <w:widowControl/>
      <w:tabs>
        <w:tab w:val="left" w:pos="4680"/>
      </w:tabs>
      <w:spacing w:line="480" w:lineRule="exact"/>
      <w:jc w:val="left"/>
    </w:pPr>
    <w:rPr>
      <w:rFonts w:ascii="宋体" w:hAnsi="宋体" w:cs="宋体"/>
      <w:kern w:val="0"/>
      <w:szCs w:val="24"/>
    </w:rPr>
  </w:style>
  <w:style w:type="paragraph" w:customStyle="1" w:styleId="3763">
    <w:name w:val="Char612"/>
    <w:basedOn w:val="1"/>
    <w:uiPriority w:val="0"/>
    <w:pPr>
      <w:widowControl/>
      <w:spacing w:before="156"/>
      <w:jc w:val="left"/>
    </w:pPr>
    <w:rPr>
      <w:rFonts w:ascii="黑体" w:hAnsi="宋体" w:eastAsia="黑体" w:cs="宋体"/>
      <w:kern w:val="0"/>
      <w:sz w:val="32"/>
      <w:szCs w:val="32"/>
    </w:rPr>
  </w:style>
  <w:style w:type="paragraph" w:customStyle="1" w:styleId="3764">
    <w:name w:val="表内宋5111111"/>
    <w:basedOn w:val="433"/>
    <w:uiPriority w:val="0"/>
    <w:rPr>
      <w:rFonts w:ascii="宋体" w:hAnsi="宋体" w:cs="宋体"/>
      <w:color w:val="000000"/>
      <w:sz w:val="21"/>
      <w:szCs w:val="24"/>
    </w:rPr>
  </w:style>
  <w:style w:type="paragraph" w:customStyle="1" w:styleId="3765">
    <w:name w:val="Char Char Char Char Char Char Char101"/>
    <w:basedOn w:val="1"/>
    <w:uiPriority w:val="0"/>
    <w:pPr>
      <w:widowControl/>
      <w:jc w:val="left"/>
    </w:pPr>
    <w:rPr>
      <w:rFonts w:ascii="宋体" w:hAnsi="宋体" w:cs="宋体"/>
      <w:kern w:val="0"/>
      <w:szCs w:val="24"/>
    </w:rPr>
  </w:style>
  <w:style w:type="paragraph" w:customStyle="1" w:styleId="3766">
    <w:name w:val="Char104"/>
    <w:basedOn w:val="1"/>
    <w:qFormat/>
    <w:uiPriority w:val="0"/>
    <w:pPr>
      <w:widowControl/>
      <w:jc w:val="left"/>
    </w:pPr>
    <w:rPr>
      <w:rFonts w:ascii="宋体" w:hAnsi="宋体" w:cs="宋体"/>
      <w:kern w:val="0"/>
      <w:szCs w:val="24"/>
    </w:rPr>
  </w:style>
  <w:style w:type="paragraph" w:customStyle="1" w:styleId="3767">
    <w:name w:val="Char129"/>
    <w:basedOn w:val="1"/>
    <w:uiPriority w:val="0"/>
    <w:pPr>
      <w:widowControl/>
      <w:ind w:left="-48"/>
      <w:jc w:val="left"/>
    </w:pPr>
    <w:rPr>
      <w:rFonts w:ascii="宋体" w:hAnsi="宋体" w:cs="宋体"/>
      <w:kern w:val="0"/>
      <w:szCs w:val="24"/>
    </w:rPr>
  </w:style>
  <w:style w:type="paragraph" w:customStyle="1" w:styleId="3768">
    <w:name w:val="表内文字小31321"/>
    <w:basedOn w:val="1"/>
    <w:uiPriority w:val="0"/>
    <w:pPr>
      <w:widowControl/>
      <w:jc w:val="center"/>
    </w:pPr>
    <w:rPr>
      <w:rFonts w:ascii="宋体" w:hAnsi="Times" w:cs="宋体"/>
      <w:bCs/>
      <w:color w:val="003366"/>
      <w:kern w:val="0"/>
      <w:szCs w:val="20"/>
    </w:rPr>
  </w:style>
  <w:style w:type="paragraph" w:customStyle="1" w:styleId="3769">
    <w:name w:val="Char Char Char Char Char Char Char215"/>
    <w:basedOn w:val="1"/>
    <w:uiPriority w:val="0"/>
    <w:pPr>
      <w:widowControl/>
      <w:jc w:val="left"/>
    </w:pPr>
    <w:rPr>
      <w:rFonts w:ascii="宋体" w:hAnsi="宋体" w:cs="宋体"/>
      <w:kern w:val="0"/>
      <w:szCs w:val="24"/>
    </w:rPr>
  </w:style>
  <w:style w:type="paragraph" w:customStyle="1" w:styleId="3770">
    <w:name w:val="Char Char Char Char Char Char Char2110"/>
    <w:basedOn w:val="1"/>
    <w:uiPriority w:val="0"/>
    <w:pPr>
      <w:widowControl/>
      <w:jc w:val="left"/>
    </w:pPr>
    <w:rPr>
      <w:rFonts w:ascii="宋体" w:hAnsi="宋体" w:cs="宋体"/>
      <w:kern w:val="0"/>
      <w:szCs w:val="24"/>
    </w:rPr>
  </w:style>
  <w:style w:type="paragraph" w:customStyle="1" w:styleId="3771">
    <w:name w:val="燕山正文8"/>
    <w:basedOn w:val="1"/>
    <w:uiPriority w:val="0"/>
    <w:pPr>
      <w:widowControl/>
      <w:tabs>
        <w:tab w:val="left" w:pos="4680"/>
      </w:tabs>
      <w:spacing w:line="480" w:lineRule="exact"/>
      <w:jc w:val="left"/>
    </w:pPr>
    <w:rPr>
      <w:rFonts w:ascii="宋体" w:hAnsi="宋体" w:cs="宋体"/>
      <w:kern w:val="0"/>
      <w:szCs w:val="24"/>
    </w:rPr>
  </w:style>
  <w:style w:type="paragraph" w:customStyle="1" w:styleId="3772">
    <w:name w:val="Char371"/>
    <w:basedOn w:val="1"/>
    <w:uiPriority w:val="0"/>
    <w:pPr>
      <w:widowControl/>
      <w:ind w:left="-48"/>
      <w:jc w:val="left"/>
    </w:pPr>
    <w:rPr>
      <w:rFonts w:ascii="宋体" w:hAnsi="宋体" w:cs="宋体"/>
      <w:kern w:val="0"/>
      <w:szCs w:val="24"/>
    </w:rPr>
  </w:style>
  <w:style w:type="paragraph" w:customStyle="1" w:styleId="3773">
    <w:name w:val="Char216"/>
    <w:basedOn w:val="1"/>
    <w:uiPriority w:val="0"/>
    <w:pPr>
      <w:widowControl/>
      <w:ind w:left="-48"/>
      <w:jc w:val="left"/>
    </w:pPr>
    <w:rPr>
      <w:rFonts w:ascii="宋体" w:hAnsi="宋体" w:cs="宋体"/>
      <w:kern w:val="0"/>
      <w:szCs w:val="24"/>
    </w:rPr>
  </w:style>
  <w:style w:type="paragraph" w:customStyle="1" w:styleId="3774">
    <w:name w:val="Char Char Char Char Char Char Char36"/>
    <w:basedOn w:val="1"/>
    <w:uiPriority w:val="0"/>
    <w:pPr>
      <w:widowControl/>
      <w:jc w:val="left"/>
    </w:pPr>
    <w:rPr>
      <w:rFonts w:ascii="宋体" w:hAnsi="宋体" w:cs="宋体"/>
      <w:kern w:val="0"/>
      <w:szCs w:val="24"/>
    </w:rPr>
  </w:style>
  <w:style w:type="paragraph" w:customStyle="1" w:styleId="3775">
    <w:name w:val="表内文字小2231"/>
    <w:basedOn w:val="1"/>
    <w:uiPriority w:val="0"/>
    <w:pPr>
      <w:widowControl/>
      <w:jc w:val="center"/>
    </w:pPr>
    <w:rPr>
      <w:rFonts w:ascii="宋体" w:hAnsi="Times" w:cs="宋体"/>
      <w:bCs/>
      <w:color w:val="000000"/>
      <w:kern w:val="0"/>
      <w:szCs w:val="20"/>
    </w:rPr>
  </w:style>
  <w:style w:type="paragraph" w:customStyle="1" w:styleId="3776">
    <w:name w:val="正文格式＝413"/>
    <w:basedOn w:val="207"/>
    <w:next w:val="207"/>
    <w:uiPriority w:val="0"/>
    <w:rPr>
      <w:rFonts w:hAnsi="宋体"/>
      <w:szCs w:val="24"/>
    </w:rPr>
  </w:style>
  <w:style w:type="paragraph" w:customStyle="1" w:styleId="3777">
    <w:name w:val="Char Char Char Char1 Char Char Char10"/>
    <w:basedOn w:val="1"/>
    <w:uiPriority w:val="0"/>
    <w:pPr>
      <w:widowControl/>
      <w:spacing w:after="160" w:line="240" w:lineRule="exact"/>
      <w:jc w:val="left"/>
    </w:pPr>
    <w:rPr>
      <w:rFonts w:ascii="Verdana" w:hAnsi="Verdana" w:cs="宋体"/>
      <w:kern w:val="0"/>
      <w:sz w:val="20"/>
      <w:szCs w:val="20"/>
      <w:lang w:eastAsia="en-US"/>
    </w:rPr>
  </w:style>
  <w:style w:type="paragraph" w:customStyle="1" w:styleId="3778">
    <w:name w:val="燕山正文1331"/>
    <w:basedOn w:val="1"/>
    <w:uiPriority w:val="0"/>
    <w:pPr>
      <w:widowControl/>
      <w:tabs>
        <w:tab w:val="left" w:pos="4680"/>
      </w:tabs>
      <w:ind w:firstLine="480"/>
      <w:jc w:val="left"/>
    </w:pPr>
    <w:rPr>
      <w:rFonts w:ascii="宋体" w:hAnsi="宋体" w:cs="宋体"/>
      <w:bCs/>
      <w:color w:val="000000"/>
      <w:kern w:val="0"/>
      <w:szCs w:val="24"/>
    </w:rPr>
  </w:style>
  <w:style w:type="paragraph" w:customStyle="1" w:styleId="3779">
    <w:name w:val="表内小5中31"/>
    <w:basedOn w:val="1"/>
    <w:uiPriority w:val="0"/>
    <w:pPr>
      <w:widowControl/>
      <w:jc w:val="center"/>
    </w:pPr>
    <w:rPr>
      <w:rFonts w:ascii="宋体" w:hAnsi="宋体" w:cs="宋体"/>
      <w:kern w:val="0"/>
      <w:sz w:val="18"/>
      <w:szCs w:val="20"/>
    </w:rPr>
  </w:style>
  <w:style w:type="paragraph" w:customStyle="1" w:styleId="3780">
    <w:name w:val="表内5121"/>
    <w:basedOn w:val="1"/>
    <w:uiPriority w:val="0"/>
    <w:pPr>
      <w:widowControl/>
      <w:jc w:val="center"/>
    </w:pPr>
    <w:rPr>
      <w:rFonts w:ascii="宋体" w:hAnsi="宋体" w:cs="宋体"/>
      <w:kern w:val="0"/>
      <w:sz w:val="20"/>
      <w:szCs w:val="20"/>
    </w:rPr>
  </w:style>
  <w:style w:type="paragraph" w:customStyle="1" w:styleId="3781">
    <w:name w:val="燕山正文511"/>
    <w:basedOn w:val="1"/>
    <w:uiPriority w:val="0"/>
    <w:pPr>
      <w:widowControl/>
      <w:tabs>
        <w:tab w:val="left" w:pos="4680"/>
      </w:tabs>
      <w:spacing w:line="480" w:lineRule="exact"/>
      <w:jc w:val="left"/>
    </w:pPr>
    <w:rPr>
      <w:rFonts w:ascii="宋体" w:hAnsi="宋体" w:cs="宋体"/>
      <w:kern w:val="0"/>
      <w:szCs w:val="24"/>
    </w:rPr>
  </w:style>
  <w:style w:type="paragraph" w:customStyle="1" w:styleId="3782">
    <w:name w:val="Char422"/>
    <w:basedOn w:val="1"/>
    <w:uiPriority w:val="0"/>
    <w:pPr>
      <w:widowControl/>
      <w:ind w:left="-48"/>
      <w:jc w:val="left"/>
    </w:pPr>
    <w:rPr>
      <w:rFonts w:ascii="宋体" w:hAnsi="宋体" w:cs="宋体"/>
      <w:kern w:val="0"/>
      <w:szCs w:val="24"/>
    </w:rPr>
  </w:style>
  <w:style w:type="paragraph" w:customStyle="1" w:styleId="3783">
    <w:name w:val="Char1021"/>
    <w:basedOn w:val="1"/>
    <w:uiPriority w:val="0"/>
    <w:pPr>
      <w:widowControl/>
      <w:jc w:val="left"/>
    </w:pPr>
    <w:rPr>
      <w:rFonts w:ascii="宋体" w:hAnsi="宋体" w:cs="宋体"/>
      <w:kern w:val="0"/>
      <w:szCs w:val="24"/>
    </w:rPr>
  </w:style>
  <w:style w:type="paragraph" w:customStyle="1" w:styleId="3784">
    <w:name w:val="Char56"/>
    <w:basedOn w:val="1"/>
    <w:uiPriority w:val="0"/>
    <w:pPr>
      <w:widowControl/>
      <w:ind w:left="-48"/>
      <w:jc w:val="left"/>
    </w:pPr>
    <w:rPr>
      <w:rFonts w:ascii="宋体" w:hAnsi="宋体" w:cs="宋体"/>
      <w:kern w:val="0"/>
      <w:szCs w:val="24"/>
    </w:rPr>
  </w:style>
  <w:style w:type="paragraph" w:customStyle="1" w:styleId="3785">
    <w:name w:val="表题3151"/>
    <w:basedOn w:val="267"/>
    <w:uiPriority w:val="0"/>
    <w:pPr>
      <w:widowControl/>
      <w:tabs>
        <w:tab w:val="left" w:pos="4305"/>
      </w:tabs>
      <w:spacing w:after="0"/>
      <w:ind w:left="0" w:leftChars="0" w:firstLine="561" w:firstLineChars="0"/>
      <w:jc w:val="left"/>
    </w:pPr>
    <w:rPr>
      <w:rFonts w:ascii="宋体" w:hAnsi="宋体" w:cs="宋体"/>
      <w:color w:val="000000"/>
      <w:sz w:val="24"/>
      <w:szCs w:val="24"/>
    </w:rPr>
  </w:style>
  <w:style w:type="paragraph" w:customStyle="1" w:styleId="3786">
    <w:name w:val="Char1112"/>
    <w:basedOn w:val="1"/>
    <w:uiPriority w:val="0"/>
    <w:pPr>
      <w:widowControl/>
      <w:spacing w:before="156"/>
      <w:jc w:val="left"/>
    </w:pPr>
    <w:rPr>
      <w:rFonts w:ascii="黑体" w:hAnsi="宋体" w:eastAsia="黑体" w:cs="宋体"/>
      <w:kern w:val="0"/>
      <w:sz w:val="32"/>
      <w:szCs w:val="32"/>
    </w:rPr>
  </w:style>
  <w:style w:type="paragraph" w:customStyle="1" w:styleId="3787">
    <w:name w:val="表内文字边4"/>
    <w:basedOn w:val="1"/>
    <w:uiPriority w:val="0"/>
    <w:pPr>
      <w:widowControl/>
      <w:spacing w:line="240" w:lineRule="atLeast"/>
      <w:ind w:left="-21" w:leftChars="-10" w:right="-42" w:rightChars="-20"/>
      <w:jc w:val="left"/>
    </w:pPr>
    <w:rPr>
      <w:rFonts w:ascii="宋体" w:hAnsi="宋体" w:cs="宋体"/>
      <w:kern w:val="0"/>
      <w:szCs w:val="21"/>
    </w:rPr>
  </w:style>
  <w:style w:type="paragraph" w:customStyle="1" w:styleId="3788">
    <w:name w:val="表内59111"/>
    <w:basedOn w:val="1"/>
    <w:uiPriority w:val="0"/>
    <w:pPr>
      <w:widowControl/>
      <w:spacing w:line="300" w:lineRule="auto"/>
      <w:jc w:val="center"/>
    </w:pPr>
    <w:rPr>
      <w:rFonts w:ascii="宋体" w:hAnsi="宋体" w:cs="宋体"/>
      <w:snapToGrid w:val="0"/>
      <w:kern w:val="0"/>
      <w:szCs w:val="21"/>
    </w:rPr>
  </w:style>
  <w:style w:type="paragraph" w:customStyle="1" w:styleId="3789">
    <w:name w:val="表内5931"/>
    <w:basedOn w:val="1"/>
    <w:uiPriority w:val="0"/>
    <w:pPr>
      <w:widowControl/>
      <w:spacing w:line="300" w:lineRule="auto"/>
      <w:jc w:val="center"/>
    </w:pPr>
    <w:rPr>
      <w:rFonts w:ascii="宋体" w:hAnsi="宋体" w:cs="宋体"/>
      <w:snapToGrid w:val="0"/>
      <w:kern w:val="0"/>
      <w:szCs w:val="21"/>
    </w:rPr>
  </w:style>
  <w:style w:type="paragraph" w:customStyle="1" w:styleId="3790">
    <w:name w:val="表内541113"/>
    <w:basedOn w:val="1"/>
    <w:uiPriority w:val="0"/>
    <w:pPr>
      <w:widowControl/>
      <w:spacing w:line="300" w:lineRule="auto"/>
      <w:jc w:val="center"/>
    </w:pPr>
    <w:rPr>
      <w:rFonts w:ascii="宋体" w:hAnsi="宋体" w:cs="宋体"/>
      <w:kern w:val="0"/>
      <w:szCs w:val="20"/>
    </w:rPr>
  </w:style>
  <w:style w:type="paragraph" w:customStyle="1" w:styleId="3791">
    <w:name w:val="正文修改321"/>
    <w:basedOn w:val="236"/>
    <w:uiPriority w:val="0"/>
    <w:rPr>
      <w:rFonts w:hAnsi="宋体" w:eastAsia="宋体" w:cs="宋体"/>
      <w:color w:val="000000"/>
      <w:szCs w:val="24"/>
    </w:rPr>
  </w:style>
  <w:style w:type="paragraph" w:customStyle="1" w:styleId="3792">
    <w:name w:val="燕山正文1211"/>
    <w:basedOn w:val="1"/>
    <w:uiPriority w:val="0"/>
    <w:pPr>
      <w:widowControl/>
      <w:tabs>
        <w:tab w:val="left" w:pos="4680"/>
      </w:tabs>
      <w:spacing w:line="480" w:lineRule="exact"/>
      <w:jc w:val="left"/>
    </w:pPr>
    <w:rPr>
      <w:rFonts w:ascii="宋体" w:hAnsi="宋体" w:cs="宋体"/>
      <w:kern w:val="0"/>
      <w:szCs w:val="24"/>
    </w:rPr>
  </w:style>
  <w:style w:type="paragraph" w:customStyle="1" w:styleId="3793">
    <w:name w:val="表内宋5中2111"/>
    <w:basedOn w:val="1"/>
    <w:uiPriority w:val="0"/>
    <w:pPr>
      <w:widowControl/>
      <w:jc w:val="center"/>
      <w:textAlignment w:val="baseline"/>
    </w:pPr>
    <w:rPr>
      <w:rFonts w:ascii="宋体" w:hAnsi="宋体" w:cs="宋体"/>
      <w:kern w:val="0"/>
      <w:szCs w:val="20"/>
    </w:rPr>
  </w:style>
  <w:style w:type="paragraph" w:customStyle="1" w:styleId="3794">
    <w:name w:val="正文修改1111"/>
    <w:basedOn w:val="236"/>
    <w:uiPriority w:val="0"/>
    <w:rPr>
      <w:rFonts w:hAnsi="宋体" w:eastAsia="宋体" w:cs="宋体"/>
      <w:color w:val="000000"/>
      <w:szCs w:val="24"/>
    </w:rPr>
  </w:style>
  <w:style w:type="paragraph" w:customStyle="1" w:styleId="3795">
    <w:name w:val="表内文字小31213"/>
    <w:basedOn w:val="1"/>
    <w:uiPriority w:val="0"/>
    <w:pPr>
      <w:widowControl/>
      <w:jc w:val="center"/>
    </w:pPr>
    <w:rPr>
      <w:rFonts w:ascii="宋体" w:hAnsi="Times" w:cs="宋体"/>
      <w:bCs/>
      <w:color w:val="003366"/>
      <w:kern w:val="0"/>
      <w:szCs w:val="20"/>
    </w:rPr>
  </w:style>
  <w:style w:type="paragraph" w:customStyle="1" w:styleId="3796">
    <w:name w:val="表内5921"/>
    <w:basedOn w:val="1"/>
    <w:uiPriority w:val="0"/>
    <w:pPr>
      <w:widowControl/>
      <w:spacing w:line="300" w:lineRule="auto"/>
      <w:jc w:val="center"/>
    </w:pPr>
    <w:rPr>
      <w:rFonts w:ascii="宋体" w:hAnsi="宋体" w:cs="宋体"/>
      <w:snapToGrid w:val="0"/>
      <w:kern w:val="0"/>
      <w:szCs w:val="21"/>
    </w:rPr>
  </w:style>
  <w:style w:type="paragraph" w:customStyle="1" w:styleId="3797">
    <w:name w:val="正文格式＝513"/>
    <w:basedOn w:val="207"/>
    <w:next w:val="207"/>
    <w:uiPriority w:val="0"/>
    <w:rPr>
      <w:rFonts w:hAnsi="宋体"/>
      <w:szCs w:val="24"/>
    </w:rPr>
  </w:style>
  <w:style w:type="paragraph" w:customStyle="1" w:styleId="3798">
    <w:name w:val="Char912"/>
    <w:basedOn w:val="1"/>
    <w:uiPriority w:val="0"/>
    <w:pPr>
      <w:widowControl/>
      <w:ind w:left="-48"/>
      <w:jc w:val="left"/>
    </w:pPr>
    <w:rPr>
      <w:rFonts w:ascii="宋体" w:hAnsi="宋体" w:cs="宋体"/>
      <w:kern w:val="0"/>
      <w:szCs w:val="24"/>
    </w:rPr>
  </w:style>
  <w:style w:type="paragraph" w:customStyle="1" w:styleId="3799">
    <w:name w:val="表内53113"/>
    <w:basedOn w:val="1"/>
    <w:uiPriority w:val="0"/>
    <w:pPr>
      <w:widowControl/>
      <w:spacing w:line="300" w:lineRule="auto"/>
      <w:jc w:val="left"/>
    </w:pPr>
    <w:rPr>
      <w:rFonts w:ascii="宋体" w:hAnsi="宋体" w:cs="宋体"/>
      <w:kern w:val="0"/>
      <w:szCs w:val="20"/>
    </w:rPr>
  </w:style>
  <w:style w:type="paragraph" w:customStyle="1" w:styleId="3800">
    <w:name w:val="Char Char Char Char Char Char Char412"/>
    <w:basedOn w:val="1"/>
    <w:uiPriority w:val="0"/>
    <w:pPr>
      <w:widowControl/>
      <w:jc w:val="left"/>
    </w:pPr>
    <w:rPr>
      <w:rFonts w:ascii="宋体" w:hAnsi="宋体" w:cs="宋体"/>
      <w:kern w:val="0"/>
      <w:szCs w:val="24"/>
    </w:rPr>
  </w:style>
  <w:style w:type="paragraph" w:customStyle="1" w:styleId="3801">
    <w:name w:val="默认段落字体 Para Char Char Char Char81"/>
    <w:basedOn w:val="1"/>
    <w:uiPriority w:val="0"/>
    <w:pPr>
      <w:widowControl/>
      <w:jc w:val="left"/>
    </w:pPr>
    <w:rPr>
      <w:rFonts w:ascii="宋体" w:hAnsi="宋体" w:cs="宋体"/>
      <w:kern w:val="0"/>
      <w:szCs w:val="24"/>
    </w:rPr>
  </w:style>
  <w:style w:type="paragraph" w:customStyle="1" w:styleId="3802">
    <w:name w:val="Char913"/>
    <w:basedOn w:val="1"/>
    <w:uiPriority w:val="0"/>
    <w:pPr>
      <w:widowControl/>
      <w:ind w:left="-48"/>
      <w:jc w:val="left"/>
    </w:pPr>
    <w:rPr>
      <w:rFonts w:ascii="宋体" w:hAnsi="宋体" w:cs="宋体"/>
      <w:kern w:val="0"/>
      <w:szCs w:val="24"/>
    </w:rPr>
  </w:style>
  <w:style w:type="paragraph" w:customStyle="1" w:styleId="3803">
    <w:name w:val="默认段落字体 Para Char Char Char Char44"/>
    <w:basedOn w:val="1"/>
    <w:uiPriority w:val="0"/>
    <w:pPr>
      <w:widowControl/>
      <w:jc w:val="left"/>
    </w:pPr>
    <w:rPr>
      <w:rFonts w:ascii="宋体" w:hAnsi="宋体" w:cs="宋体"/>
      <w:kern w:val="0"/>
      <w:szCs w:val="24"/>
    </w:rPr>
  </w:style>
  <w:style w:type="paragraph" w:customStyle="1" w:styleId="3804">
    <w:name w:val="Char320"/>
    <w:basedOn w:val="1"/>
    <w:uiPriority w:val="0"/>
    <w:pPr>
      <w:widowControl/>
      <w:ind w:left="-48"/>
      <w:jc w:val="left"/>
    </w:pPr>
    <w:rPr>
      <w:rFonts w:ascii="宋体" w:hAnsi="宋体" w:cs="宋体"/>
      <w:kern w:val="0"/>
      <w:szCs w:val="24"/>
    </w:rPr>
  </w:style>
  <w:style w:type="paragraph" w:customStyle="1" w:styleId="3805">
    <w:name w:val="正文修改8"/>
    <w:basedOn w:val="236"/>
    <w:uiPriority w:val="0"/>
    <w:rPr>
      <w:rFonts w:hAnsi="宋体" w:eastAsia="宋体" w:cs="宋体"/>
      <w:color w:val="000000"/>
      <w:szCs w:val="24"/>
    </w:rPr>
  </w:style>
  <w:style w:type="paragraph" w:customStyle="1" w:styleId="3806">
    <w:name w:val="样式 标题 4无效格式无效格式1河石管道4H4H41小小节河石管道41H42H411小小节1河石管道42...1111"/>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3807">
    <w:name w:val="默认段落字体 Para Char312"/>
    <w:basedOn w:val="1"/>
    <w:uiPriority w:val="0"/>
    <w:pPr>
      <w:widowControl/>
      <w:jc w:val="left"/>
    </w:pPr>
    <w:rPr>
      <w:rFonts w:ascii="宋体" w:hAnsi="宋体" w:cs="宋体"/>
      <w:kern w:val="0"/>
      <w:szCs w:val="24"/>
    </w:rPr>
  </w:style>
  <w:style w:type="paragraph" w:customStyle="1" w:styleId="3808">
    <w:name w:val="样式1213"/>
    <w:basedOn w:val="1779"/>
    <w:uiPriority w:val="0"/>
    <w:pPr>
      <w:spacing w:line="240" w:lineRule="auto"/>
      <w:ind w:firstLine="0"/>
      <w:jc w:val="center"/>
    </w:pPr>
    <w:rPr>
      <w:rFonts w:cs="Times New Roman"/>
      <w:b/>
      <w:color w:val="auto"/>
      <w:szCs w:val="20"/>
    </w:rPr>
  </w:style>
  <w:style w:type="paragraph" w:customStyle="1" w:styleId="3809">
    <w:name w:val="默认段落字体 Para Char34"/>
    <w:basedOn w:val="1"/>
    <w:uiPriority w:val="0"/>
    <w:pPr>
      <w:widowControl/>
      <w:jc w:val="left"/>
    </w:pPr>
    <w:rPr>
      <w:rFonts w:ascii="宋体" w:hAnsi="宋体" w:cs="宋体"/>
      <w:kern w:val="0"/>
      <w:szCs w:val="24"/>
    </w:rPr>
  </w:style>
  <w:style w:type="paragraph" w:customStyle="1" w:styleId="3810">
    <w:name w:val="Char Char Char Char Char Char Char117"/>
    <w:basedOn w:val="1"/>
    <w:uiPriority w:val="0"/>
    <w:pPr>
      <w:widowControl/>
      <w:jc w:val="left"/>
    </w:pPr>
    <w:rPr>
      <w:rFonts w:ascii="宋体" w:hAnsi="宋体" w:cs="宋体"/>
      <w:kern w:val="0"/>
      <w:szCs w:val="24"/>
    </w:rPr>
  </w:style>
  <w:style w:type="paragraph" w:customStyle="1" w:styleId="3811">
    <w:name w:val="Char Char Char Char Char Char Char20"/>
    <w:basedOn w:val="1"/>
    <w:uiPriority w:val="0"/>
    <w:pPr>
      <w:widowControl/>
      <w:jc w:val="left"/>
    </w:pPr>
    <w:rPr>
      <w:rFonts w:ascii="宋体" w:hAnsi="宋体" w:cs="宋体"/>
      <w:kern w:val="0"/>
      <w:szCs w:val="24"/>
    </w:rPr>
  </w:style>
  <w:style w:type="paragraph" w:customStyle="1" w:styleId="3812">
    <w:name w:val="正文格式＝521"/>
    <w:basedOn w:val="207"/>
    <w:next w:val="207"/>
    <w:uiPriority w:val="0"/>
    <w:rPr>
      <w:rFonts w:hAnsi="宋体"/>
      <w:szCs w:val="24"/>
    </w:rPr>
  </w:style>
  <w:style w:type="paragraph" w:customStyle="1" w:styleId="3813">
    <w:name w:val="表61"/>
    <w:basedOn w:val="1"/>
    <w:uiPriority w:val="0"/>
    <w:pPr>
      <w:widowControl/>
      <w:jc w:val="center"/>
    </w:pPr>
    <w:rPr>
      <w:rFonts w:ascii="宋体" w:hAnsi="宋体" w:cs="宋体"/>
      <w:kern w:val="0"/>
      <w:szCs w:val="24"/>
    </w:rPr>
  </w:style>
  <w:style w:type="paragraph" w:customStyle="1" w:styleId="3814">
    <w:name w:val="标题411111"/>
    <w:basedOn w:val="1"/>
    <w:uiPriority w:val="0"/>
    <w:pPr>
      <w:widowControl/>
      <w:spacing w:line="300" w:lineRule="auto"/>
      <w:jc w:val="left"/>
    </w:pPr>
    <w:rPr>
      <w:rFonts w:ascii="黑体" w:hAnsi="宋体" w:eastAsia="黑体" w:cs="宋体"/>
      <w:bCs/>
      <w:kern w:val="0"/>
      <w:szCs w:val="20"/>
    </w:rPr>
  </w:style>
  <w:style w:type="paragraph" w:customStyle="1" w:styleId="3815">
    <w:name w:val="Default12"/>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3816">
    <w:name w:val="正文缩13"/>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817">
    <w:name w:val="Char721"/>
    <w:basedOn w:val="1"/>
    <w:uiPriority w:val="0"/>
    <w:pPr>
      <w:widowControl/>
      <w:ind w:left="-48"/>
      <w:jc w:val="left"/>
    </w:pPr>
    <w:rPr>
      <w:rFonts w:ascii="宋体" w:hAnsi="宋体" w:cs="宋体"/>
      <w:kern w:val="0"/>
      <w:szCs w:val="24"/>
    </w:rPr>
  </w:style>
  <w:style w:type="paragraph" w:customStyle="1" w:styleId="3818">
    <w:name w:val="表内宋54"/>
    <w:basedOn w:val="1935"/>
    <w:uiPriority w:val="0"/>
    <w:pPr>
      <w:autoSpaceDE w:val="0"/>
      <w:autoSpaceDN w:val="0"/>
      <w:textAlignment w:val="auto"/>
    </w:pPr>
    <w:rPr>
      <w:color w:val="auto"/>
      <w:w w:val="90"/>
    </w:rPr>
  </w:style>
  <w:style w:type="paragraph" w:customStyle="1" w:styleId="3819">
    <w:name w:val="表题913"/>
    <w:basedOn w:val="938"/>
    <w:uiPriority w:val="0"/>
    <w:pPr>
      <w:spacing w:line="300" w:lineRule="auto"/>
      <w:jc w:val="center"/>
    </w:pPr>
    <w:rPr>
      <w:rFonts w:ascii="黑体" w:eastAsia="黑体"/>
      <w:szCs w:val="22"/>
    </w:rPr>
  </w:style>
  <w:style w:type="paragraph" w:customStyle="1" w:styleId="3820">
    <w:name w:val="标题43114"/>
    <w:basedOn w:val="1"/>
    <w:uiPriority w:val="0"/>
    <w:pPr>
      <w:widowControl/>
      <w:spacing w:line="480" w:lineRule="exact"/>
      <w:jc w:val="center"/>
    </w:pPr>
    <w:rPr>
      <w:rFonts w:ascii="宋体" w:hAnsi="宋体" w:cs="宋体"/>
      <w:kern w:val="0"/>
      <w:szCs w:val="24"/>
    </w:rPr>
  </w:style>
  <w:style w:type="paragraph" w:customStyle="1" w:styleId="3821">
    <w:name w:val="Char333"/>
    <w:basedOn w:val="1"/>
    <w:uiPriority w:val="0"/>
    <w:pPr>
      <w:widowControl/>
      <w:ind w:left="-48"/>
      <w:jc w:val="left"/>
    </w:pPr>
    <w:rPr>
      <w:rFonts w:ascii="宋体" w:hAnsi="宋体" w:cs="宋体"/>
      <w:kern w:val="0"/>
      <w:szCs w:val="24"/>
    </w:rPr>
  </w:style>
  <w:style w:type="paragraph" w:customStyle="1" w:styleId="3822">
    <w:name w:val="表内文字小241"/>
    <w:basedOn w:val="1"/>
    <w:uiPriority w:val="0"/>
    <w:pPr>
      <w:widowControl/>
      <w:jc w:val="center"/>
    </w:pPr>
    <w:rPr>
      <w:rFonts w:ascii="宋体" w:hAnsi="Times" w:cs="宋体"/>
      <w:bCs/>
      <w:color w:val="000000"/>
      <w:kern w:val="0"/>
      <w:szCs w:val="20"/>
    </w:rPr>
  </w:style>
  <w:style w:type="paragraph" w:customStyle="1" w:styleId="3823">
    <w:name w:val="燕山正文313"/>
    <w:basedOn w:val="1"/>
    <w:uiPriority w:val="0"/>
    <w:pPr>
      <w:widowControl/>
      <w:tabs>
        <w:tab w:val="left" w:pos="4680"/>
      </w:tabs>
      <w:spacing w:line="480" w:lineRule="exact"/>
      <w:jc w:val="left"/>
    </w:pPr>
    <w:rPr>
      <w:rFonts w:ascii="宋体" w:hAnsi="宋体" w:cs="宋体"/>
      <w:kern w:val="0"/>
      <w:szCs w:val="24"/>
    </w:rPr>
  </w:style>
  <w:style w:type="paragraph" w:customStyle="1" w:styleId="3824">
    <w:name w:val="Char213"/>
    <w:basedOn w:val="1"/>
    <w:uiPriority w:val="0"/>
    <w:pPr>
      <w:widowControl/>
      <w:ind w:left="-48"/>
      <w:jc w:val="left"/>
    </w:pPr>
    <w:rPr>
      <w:rFonts w:ascii="宋体" w:hAnsi="宋体" w:cs="宋体"/>
      <w:kern w:val="0"/>
      <w:szCs w:val="24"/>
    </w:rPr>
  </w:style>
  <w:style w:type="paragraph" w:customStyle="1" w:styleId="3825">
    <w:name w:val="表内宋51131"/>
    <w:basedOn w:val="433"/>
    <w:uiPriority w:val="0"/>
    <w:rPr>
      <w:rFonts w:ascii="宋体" w:hAnsi="宋体" w:cs="宋体"/>
      <w:color w:val="000000"/>
      <w:sz w:val="21"/>
      <w:szCs w:val="24"/>
    </w:rPr>
  </w:style>
  <w:style w:type="paragraph" w:customStyle="1" w:styleId="3826">
    <w:name w:val="表内小5中21"/>
    <w:basedOn w:val="1"/>
    <w:uiPriority w:val="0"/>
    <w:pPr>
      <w:widowControl/>
      <w:jc w:val="center"/>
    </w:pPr>
    <w:rPr>
      <w:rFonts w:ascii="宋体" w:hAnsi="宋体" w:cs="宋体"/>
      <w:kern w:val="0"/>
      <w:sz w:val="18"/>
      <w:szCs w:val="20"/>
    </w:rPr>
  </w:style>
  <w:style w:type="paragraph" w:customStyle="1" w:styleId="3827">
    <w:name w:val="标题431131"/>
    <w:basedOn w:val="1"/>
    <w:uiPriority w:val="0"/>
    <w:pPr>
      <w:widowControl/>
      <w:spacing w:line="480" w:lineRule="exact"/>
      <w:jc w:val="center"/>
    </w:pPr>
    <w:rPr>
      <w:rFonts w:ascii="宋体" w:hAnsi="宋体" w:cs="宋体"/>
      <w:kern w:val="0"/>
      <w:szCs w:val="24"/>
    </w:rPr>
  </w:style>
  <w:style w:type="paragraph" w:customStyle="1" w:styleId="3828">
    <w:name w:val="燕山正文141"/>
    <w:basedOn w:val="1"/>
    <w:uiPriority w:val="0"/>
    <w:pPr>
      <w:widowControl/>
      <w:tabs>
        <w:tab w:val="left" w:pos="4680"/>
      </w:tabs>
      <w:spacing w:line="480" w:lineRule="exact"/>
      <w:jc w:val="left"/>
    </w:pPr>
    <w:rPr>
      <w:rFonts w:ascii="宋体" w:hAnsi="宋体" w:cs="宋体"/>
      <w:kern w:val="0"/>
      <w:szCs w:val="24"/>
    </w:rPr>
  </w:style>
  <w:style w:type="paragraph" w:customStyle="1" w:styleId="3829">
    <w:name w:val="标题43141"/>
    <w:basedOn w:val="1"/>
    <w:uiPriority w:val="0"/>
    <w:pPr>
      <w:widowControl/>
      <w:spacing w:line="480" w:lineRule="exact"/>
      <w:jc w:val="center"/>
    </w:pPr>
    <w:rPr>
      <w:rFonts w:ascii="宋体" w:hAnsi="宋体" w:cs="宋体"/>
      <w:kern w:val="0"/>
      <w:szCs w:val="24"/>
    </w:rPr>
  </w:style>
  <w:style w:type="paragraph" w:customStyle="1" w:styleId="3830">
    <w:name w:val="表内文字小212111"/>
    <w:basedOn w:val="1"/>
    <w:uiPriority w:val="0"/>
    <w:pPr>
      <w:widowControl/>
      <w:jc w:val="center"/>
    </w:pPr>
    <w:rPr>
      <w:rFonts w:ascii="宋体" w:hAnsi="Times" w:cs="宋体"/>
      <w:bCs/>
      <w:color w:val="000000"/>
      <w:kern w:val="0"/>
      <w:szCs w:val="20"/>
    </w:rPr>
  </w:style>
  <w:style w:type="paragraph" w:customStyle="1" w:styleId="3831">
    <w:name w:val="图表名称21"/>
    <w:basedOn w:val="155"/>
    <w:uiPriority w:val="0"/>
    <w:pPr>
      <w:spacing w:after="0" w:line="480" w:lineRule="exact"/>
      <w:ind w:firstLine="0" w:firstLineChars="0"/>
      <w:jc w:val="center"/>
    </w:pPr>
    <w:rPr>
      <w:rFonts w:ascii="宋体" w:hAnsi="宋体"/>
      <w:bCs/>
      <w:szCs w:val="24"/>
    </w:rPr>
  </w:style>
  <w:style w:type="paragraph" w:customStyle="1" w:styleId="3832">
    <w:name w:val="表中文字8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833">
    <w:name w:val="xl2421"/>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834">
    <w:name w:val="表中文字52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835">
    <w:name w:val="Default13"/>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3836">
    <w:name w:val="Char712"/>
    <w:basedOn w:val="1"/>
    <w:uiPriority w:val="0"/>
    <w:pPr>
      <w:widowControl/>
      <w:ind w:left="-48"/>
      <w:jc w:val="left"/>
    </w:pPr>
    <w:rPr>
      <w:rFonts w:ascii="宋体" w:hAnsi="宋体" w:cs="宋体"/>
      <w:kern w:val="0"/>
      <w:szCs w:val="24"/>
    </w:rPr>
  </w:style>
  <w:style w:type="paragraph" w:customStyle="1" w:styleId="3837">
    <w:name w:val="表中文字31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838">
    <w:name w:val="表中文字412"/>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3839">
    <w:name w:val="Char Char2 Char Char Char Char23"/>
    <w:basedOn w:val="1"/>
    <w:uiPriority w:val="0"/>
    <w:pPr>
      <w:widowControl/>
      <w:jc w:val="left"/>
    </w:pPr>
    <w:rPr>
      <w:rFonts w:ascii="宋体" w:hAnsi="宋体" w:cs="宋体"/>
      <w:kern w:val="0"/>
      <w:szCs w:val="24"/>
    </w:rPr>
  </w:style>
  <w:style w:type="paragraph" w:customStyle="1" w:styleId="3840">
    <w:name w:val="表格内字体521"/>
    <w:basedOn w:val="207"/>
    <w:next w:val="207"/>
    <w:uiPriority w:val="0"/>
    <w:pPr>
      <w:spacing w:line="240" w:lineRule="auto"/>
      <w:ind w:firstLine="0"/>
    </w:pPr>
    <w:rPr>
      <w:rFonts w:hAnsi="宋体"/>
      <w:sz w:val="21"/>
      <w:szCs w:val="24"/>
    </w:rPr>
  </w:style>
  <w:style w:type="paragraph" w:customStyle="1" w:styleId="3841">
    <w:name w:val="标题4316"/>
    <w:basedOn w:val="1"/>
    <w:uiPriority w:val="0"/>
    <w:pPr>
      <w:widowControl/>
      <w:spacing w:line="480" w:lineRule="exact"/>
      <w:jc w:val="center"/>
    </w:pPr>
    <w:rPr>
      <w:rFonts w:ascii="宋体" w:hAnsi="宋体" w:cs="宋体"/>
      <w:kern w:val="0"/>
      <w:szCs w:val="24"/>
    </w:rPr>
  </w:style>
  <w:style w:type="paragraph" w:customStyle="1" w:styleId="3842">
    <w:name w:val="样式412"/>
    <w:basedOn w:val="27"/>
    <w:uiPriority w:val="0"/>
    <w:pPr>
      <w:widowControl/>
      <w:tabs>
        <w:tab w:val="left" w:pos="1820"/>
      </w:tabs>
      <w:spacing w:line="240" w:lineRule="atLeast"/>
      <w:jc w:val="center"/>
    </w:pPr>
    <w:rPr>
      <w:rFonts w:eastAsia="幼圆"/>
      <w:kern w:val="0"/>
      <w:sz w:val="21"/>
      <w:szCs w:val="20"/>
    </w:rPr>
  </w:style>
  <w:style w:type="paragraph" w:customStyle="1" w:styleId="3843">
    <w:name w:val="附件411"/>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3844">
    <w:name w:val="Char Char Char Char Char Char Char33"/>
    <w:basedOn w:val="1"/>
    <w:uiPriority w:val="0"/>
    <w:pPr>
      <w:widowControl/>
      <w:jc w:val="left"/>
    </w:pPr>
    <w:rPr>
      <w:rFonts w:ascii="宋体" w:hAnsi="宋体" w:cs="宋体"/>
      <w:kern w:val="0"/>
      <w:szCs w:val="24"/>
    </w:rPr>
  </w:style>
  <w:style w:type="paragraph" w:customStyle="1" w:styleId="3845">
    <w:name w:val="Char Char2 Char Char Char Char42"/>
    <w:basedOn w:val="1"/>
    <w:uiPriority w:val="0"/>
    <w:pPr>
      <w:widowControl/>
      <w:jc w:val="left"/>
    </w:pPr>
    <w:rPr>
      <w:rFonts w:ascii="宋体" w:hAnsi="宋体" w:cs="宋体"/>
      <w:kern w:val="0"/>
      <w:szCs w:val="24"/>
    </w:rPr>
  </w:style>
  <w:style w:type="paragraph" w:customStyle="1" w:styleId="3846">
    <w:name w:val="Char2212"/>
    <w:basedOn w:val="1"/>
    <w:uiPriority w:val="0"/>
    <w:pPr>
      <w:widowControl/>
      <w:spacing w:before="156"/>
      <w:jc w:val="left"/>
    </w:pPr>
    <w:rPr>
      <w:rFonts w:ascii="黑体" w:hAnsi="宋体" w:eastAsia="黑体" w:cs="宋体"/>
      <w:kern w:val="0"/>
      <w:sz w:val="32"/>
      <w:szCs w:val="32"/>
    </w:rPr>
  </w:style>
  <w:style w:type="paragraph" w:customStyle="1" w:styleId="3847">
    <w:name w:val="表格内容13"/>
    <w:uiPriority w:val="0"/>
    <w:pPr>
      <w:jc w:val="center"/>
    </w:pPr>
    <w:rPr>
      <w:rFonts w:ascii="Times New Roman" w:hAnsi="Times New Roman" w:eastAsia="宋体" w:cs="Times New Roman"/>
      <w:kern w:val="2"/>
      <w:sz w:val="21"/>
      <w:szCs w:val="21"/>
      <w:lang w:val="en-US" w:eastAsia="zh-CN" w:bidi="ar-SA"/>
    </w:rPr>
  </w:style>
  <w:style w:type="paragraph" w:customStyle="1" w:styleId="3848">
    <w:name w:val="默认段落字体 Para Char Char Char Char24"/>
    <w:basedOn w:val="1"/>
    <w:uiPriority w:val="0"/>
    <w:pPr>
      <w:widowControl/>
      <w:jc w:val="left"/>
    </w:pPr>
    <w:rPr>
      <w:rFonts w:ascii="宋体" w:hAnsi="宋体" w:cs="宋体"/>
      <w:kern w:val="0"/>
      <w:szCs w:val="24"/>
    </w:rPr>
  </w:style>
  <w:style w:type="paragraph" w:customStyle="1" w:styleId="3849">
    <w:name w:val="黑体三号431"/>
    <w:basedOn w:val="207"/>
    <w:uiPriority w:val="0"/>
    <w:pPr>
      <w:jc w:val="center"/>
    </w:pPr>
    <w:rPr>
      <w:rFonts w:ascii="黑体" w:hAnsi="宋体" w:eastAsia="黑体" w:cs="宋体"/>
      <w:b/>
      <w:bCs/>
      <w:sz w:val="32"/>
      <w:szCs w:val="20"/>
    </w:rPr>
  </w:style>
  <w:style w:type="paragraph" w:customStyle="1" w:styleId="3850">
    <w:name w:val="Char6111"/>
    <w:basedOn w:val="1"/>
    <w:uiPriority w:val="0"/>
    <w:pPr>
      <w:widowControl/>
      <w:spacing w:before="156"/>
      <w:jc w:val="left"/>
    </w:pPr>
    <w:rPr>
      <w:rFonts w:ascii="黑体" w:hAnsi="宋体" w:eastAsia="黑体" w:cs="宋体"/>
      <w:kern w:val="0"/>
      <w:sz w:val="32"/>
      <w:szCs w:val="32"/>
    </w:rPr>
  </w:style>
  <w:style w:type="paragraph" w:customStyle="1" w:styleId="3851">
    <w:name w:val="燕山正文3111"/>
    <w:basedOn w:val="1"/>
    <w:uiPriority w:val="0"/>
    <w:pPr>
      <w:widowControl/>
      <w:tabs>
        <w:tab w:val="left" w:pos="4680"/>
      </w:tabs>
      <w:spacing w:line="480" w:lineRule="exact"/>
      <w:jc w:val="left"/>
    </w:pPr>
    <w:rPr>
      <w:rFonts w:ascii="宋体" w:hAnsi="宋体" w:cs="宋体"/>
      <w:kern w:val="0"/>
      <w:szCs w:val="24"/>
    </w:rPr>
  </w:style>
  <w:style w:type="paragraph" w:customStyle="1" w:styleId="3852">
    <w:name w:val="Char126"/>
    <w:basedOn w:val="1"/>
    <w:uiPriority w:val="0"/>
    <w:pPr>
      <w:widowControl/>
      <w:ind w:left="-48"/>
      <w:jc w:val="left"/>
    </w:pPr>
    <w:rPr>
      <w:rFonts w:ascii="宋体" w:hAnsi="宋体" w:cs="宋体"/>
      <w:kern w:val="0"/>
      <w:szCs w:val="24"/>
    </w:rPr>
  </w:style>
  <w:style w:type="paragraph" w:customStyle="1" w:styleId="3853">
    <w:name w:val="Char Char Char Char Char Char Char113"/>
    <w:basedOn w:val="1"/>
    <w:uiPriority w:val="0"/>
    <w:pPr>
      <w:widowControl/>
      <w:jc w:val="left"/>
    </w:pPr>
    <w:rPr>
      <w:rFonts w:ascii="宋体" w:hAnsi="宋体" w:cs="宋体"/>
      <w:kern w:val="0"/>
      <w:szCs w:val="20"/>
    </w:rPr>
  </w:style>
  <w:style w:type="paragraph" w:customStyle="1" w:styleId="3854">
    <w:name w:val="表题317"/>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855">
    <w:name w:val="样式16"/>
    <w:basedOn w:val="1779"/>
    <w:uiPriority w:val="0"/>
    <w:pPr>
      <w:spacing w:line="240" w:lineRule="auto"/>
      <w:ind w:firstLine="0"/>
      <w:jc w:val="center"/>
    </w:pPr>
    <w:rPr>
      <w:rFonts w:cs="Times New Roman"/>
      <w:b/>
      <w:color w:val="auto"/>
      <w:szCs w:val="20"/>
    </w:rPr>
  </w:style>
  <w:style w:type="paragraph" w:customStyle="1" w:styleId="3856">
    <w:name w:val="封面标准文稿编辑信息21"/>
    <w:uiPriority w:val="0"/>
    <w:pPr>
      <w:spacing w:before="180" w:line="180" w:lineRule="exact"/>
      <w:jc w:val="center"/>
    </w:pPr>
    <w:rPr>
      <w:rFonts w:ascii="宋体" w:hAnsi="Times New Roman" w:eastAsia="宋体" w:cs="Times New Roman"/>
      <w:kern w:val="0"/>
      <w:sz w:val="21"/>
      <w:szCs w:val="20"/>
      <w:lang w:val="en-US" w:eastAsia="zh-CN" w:bidi="ar-SA"/>
    </w:rPr>
  </w:style>
  <w:style w:type="paragraph" w:customStyle="1" w:styleId="3857">
    <w:name w:val="表内文字小31313"/>
    <w:basedOn w:val="1"/>
    <w:uiPriority w:val="0"/>
    <w:pPr>
      <w:widowControl/>
      <w:jc w:val="center"/>
    </w:pPr>
    <w:rPr>
      <w:rFonts w:ascii="宋体" w:hAnsi="Times" w:cs="宋体"/>
      <w:bCs/>
      <w:color w:val="003366"/>
      <w:kern w:val="0"/>
      <w:szCs w:val="20"/>
    </w:rPr>
  </w:style>
  <w:style w:type="paragraph" w:customStyle="1" w:styleId="3858">
    <w:name w:val="Char Char Char Char Char Char Char227"/>
    <w:basedOn w:val="1"/>
    <w:uiPriority w:val="0"/>
    <w:pPr>
      <w:widowControl/>
      <w:jc w:val="left"/>
    </w:pPr>
    <w:rPr>
      <w:rFonts w:ascii="宋体" w:hAnsi="宋体" w:cs="宋体"/>
      <w:kern w:val="0"/>
      <w:szCs w:val="24"/>
    </w:rPr>
  </w:style>
  <w:style w:type="paragraph" w:customStyle="1" w:styleId="3859">
    <w:name w:val="Char226"/>
    <w:basedOn w:val="1"/>
    <w:uiPriority w:val="0"/>
    <w:pPr>
      <w:widowControl/>
      <w:ind w:left="-48"/>
      <w:jc w:val="left"/>
    </w:pPr>
    <w:rPr>
      <w:rFonts w:ascii="宋体" w:hAnsi="宋体" w:cs="宋体"/>
      <w:kern w:val="0"/>
      <w:szCs w:val="24"/>
    </w:rPr>
  </w:style>
  <w:style w:type="paragraph" w:customStyle="1" w:styleId="3860">
    <w:name w:val="默认段落字体 Para Char71"/>
    <w:basedOn w:val="1"/>
    <w:uiPriority w:val="0"/>
    <w:pPr>
      <w:widowControl/>
      <w:jc w:val="left"/>
    </w:pPr>
    <w:rPr>
      <w:rFonts w:ascii="宋体" w:hAnsi="宋体" w:cs="宋体"/>
      <w:kern w:val="0"/>
      <w:szCs w:val="24"/>
    </w:rPr>
  </w:style>
  <w:style w:type="paragraph" w:customStyle="1" w:styleId="3861">
    <w:name w:val="默认段落字体 Para Char3111"/>
    <w:basedOn w:val="1"/>
    <w:uiPriority w:val="0"/>
    <w:pPr>
      <w:widowControl/>
      <w:jc w:val="left"/>
    </w:pPr>
    <w:rPr>
      <w:rFonts w:ascii="宋体" w:hAnsi="宋体" w:cs="宋体"/>
      <w:kern w:val="0"/>
      <w:szCs w:val="24"/>
    </w:rPr>
  </w:style>
  <w:style w:type="paragraph" w:customStyle="1" w:styleId="3862">
    <w:name w:val="黑体三号3111"/>
    <w:basedOn w:val="207"/>
    <w:uiPriority w:val="0"/>
    <w:pPr>
      <w:jc w:val="center"/>
    </w:pPr>
    <w:rPr>
      <w:rFonts w:ascii="黑体" w:hAnsi="宋体" w:eastAsia="黑体" w:cs="宋体"/>
      <w:b/>
      <w:bCs/>
      <w:sz w:val="32"/>
      <w:szCs w:val="20"/>
    </w:rPr>
  </w:style>
  <w:style w:type="paragraph" w:customStyle="1" w:styleId="3863">
    <w:name w:val="默认段落字体 Para Char Char Char Char Char31"/>
    <w:basedOn w:val="1"/>
    <w:uiPriority w:val="0"/>
    <w:pPr>
      <w:widowControl/>
      <w:jc w:val="left"/>
    </w:pPr>
    <w:rPr>
      <w:rFonts w:ascii="宋体" w:hAnsi="宋体" w:cs="宋体"/>
      <w:kern w:val="0"/>
      <w:szCs w:val="24"/>
    </w:rPr>
  </w:style>
  <w:style w:type="paragraph" w:customStyle="1" w:styleId="3864">
    <w:name w:val="燕山正文116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865">
    <w:name w:val="Char162"/>
    <w:basedOn w:val="1"/>
    <w:uiPriority w:val="0"/>
    <w:pPr>
      <w:widowControl/>
      <w:ind w:left="-48"/>
      <w:jc w:val="left"/>
    </w:pPr>
    <w:rPr>
      <w:rFonts w:ascii="宋体" w:hAnsi="宋体" w:cs="宋体"/>
      <w:kern w:val="0"/>
      <w:szCs w:val="24"/>
    </w:rPr>
  </w:style>
  <w:style w:type="paragraph" w:customStyle="1" w:styleId="3866">
    <w:name w:val="默认段落字体 Para Char Char Char Char Char4"/>
    <w:basedOn w:val="1"/>
    <w:uiPriority w:val="0"/>
    <w:pPr>
      <w:widowControl/>
      <w:jc w:val="left"/>
    </w:pPr>
    <w:rPr>
      <w:rFonts w:ascii="宋体" w:hAnsi="宋体" w:cs="宋体"/>
      <w:kern w:val="0"/>
      <w:szCs w:val="24"/>
    </w:rPr>
  </w:style>
  <w:style w:type="paragraph" w:customStyle="1" w:styleId="3867">
    <w:name w:val="标题431221"/>
    <w:basedOn w:val="1"/>
    <w:uiPriority w:val="0"/>
    <w:pPr>
      <w:widowControl/>
      <w:spacing w:line="480" w:lineRule="exact"/>
      <w:jc w:val="center"/>
    </w:pPr>
    <w:rPr>
      <w:rFonts w:ascii="宋体" w:hAnsi="宋体" w:cs="宋体"/>
      <w:kern w:val="0"/>
      <w:szCs w:val="24"/>
    </w:rPr>
  </w:style>
  <w:style w:type="paragraph" w:customStyle="1" w:styleId="3868">
    <w:name w:val="正文修改44"/>
    <w:basedOn w:val="236"/>
    <w:uiPriority w:val="0"/>
    <w:rPr>
      <w:rFonts w:hAnsi="宋体" w:eastAsia="宋体" w:cs="宋体"/>
      <w:color w:val="000000"/>
      <w:szCs w:val="24"/>
    </w:rPr>
  </w:style>
  <w:style w:type="paragraph" w:customStyle="1" w:styleId="3869">
    <w:name w:val="Char425"/>
    <w:basedOn w:val="1"/>
    <w:uiPriority w:val="0"/>
    <w:pPr>
      <w:widowControl/>
      <w:ind w:left="-48"/>
      <w:jc w:val="left"/>
    </w:pPr>
    <w:rPr>
      <w:rFonts w:ascii="宋体" w:hAnsi="宋体" w:cs="宋体"/>
      <w:kern w:val="0"/>
      <w:szCs w:val="24"/>
    </w:rPr>
  </w:style>
  <w:style w:type="paragraph" w:customStyle="1" w:styleId="3870">
    <w:name w:val="Char225"/>
    <w:basedOn w:val="1"/>
    <w:uiPriority w:val="0"/>
    <w:pPr>
      <w:widowControl/>
      <w:ind w:left="-48"/>
      <w:jc w:val="left"/>
    </w:pPr>
    <w:rPr>
      <w:rFonts w:ascii="宋体" w:hAnsi="宋体" w:cs="宋体"/>
      <w:kern w:val="0"/>
      <w:szCs w:val="24"/>
    </w:rPr>
  </w:style>
  <w:style w:type="paragraph" w:customStyle="1" w:styleId="3871">
    <w:name w:val="Char125"/>
    <w:basedOn w:val="1"/>
    <w:uiPriority w:val="0"/>
    <w:pPr>
      <w:widowControl/>
      <w:ind w:left="-48"/>
      <w:jc w:val="left"/>
    </w:pPr>
    <w:rPr>
      <w:rFonts w:ascii="宋体" w:hAnsi="宋体" w:cs="宋体"/>
      <w:kern w:val="0"/>
      <w:szCs w:val="24"/>
    </w:rPr>
  </w:style>
  <w:style w:type="paragraph" w:customStyle="1" w:styleId="3872">
    <w:name w:val="样式 标题 4无效格式无效格式1河石管道4H4H41小小节河石管道41H42H411小小节1河石管道42...23"/>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3873">
    <w:name w:val="表中文字221"/>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874">
    <w:name w:val="Char261"/>
    <w:basedOn w:val="1"/>
    <w:uiPriority w:val="0"/>
    <w:pPr>
      <w:widowControl/>
      <w:ind w:left="-48"/>
      <w:jc w:val="left"/>
    </w:pPr>
    <w:rPr>
      <w:rFonts w:ascii="宋体" w:hAnsi="宋体" w:cs="宋体"/>
      <w:kern w:val="0"/>
      <w:szCs w:val="24"/>
    </w:rPr>
  </w:style>
  <w:style w:type="paragraph" w:customStyle="1" w:styleId="3875">
    <w:name w:val="表格内容111"/>
    <w:uiPriority w:val="0"/>
    <w:pPr>
      <w:jc w:val="center"/>
    </w:pPr>
    <w:rPr>
      <w:rFonts w:ascii="Times New Roman" w:hAnsi="Times New Roman" w:eastAsia="宋体" w:cs="Times New Roman"/>
      <w:kern w:val="2"/>
      <w:sz w:val="21"/>
      <w:szCs w:val="21"/>
      <w:lang w:val="en-US" w:eastAsia="zh-CN" w:bidi="ar-SA"/>
    </w:rPr>
  </w:style>
  <w:style w:type="paragraph" w:customStyle="1" w:styleId="3876">
    <w:name w:val="正文修改121"/>
    <w:basedOn w:val="236"/>
    <w:uiPriority w:val="0"/>
    <w:rPr>
      <w:rFonts w:hAnsi="宋体" w:eastAsia="宋体" w:cs="宋体"/>
      <w:color w:val="000000"/>
      <w:szCs w:val="24"/>
    </w:rPr>
  </w:style>
  <w:style w:type="paragraph" w:customStyle="1" w:styleId="3877">
    <w:name w:val="样式 标题 4无效格式无效格式1河石管道4H4H41小小节河石管道41H42H411小小节1河石管道42...41"/>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3878">
    <w:name w:val="Char Char Char Char Char Char Char110"/>
    <w:basedOn w:val="1"/>
    <w:uiPriority w:val="0"/>
    <w:pPr>
      <w:widowControl/>
      <w:jc w:val="left"/>
    </w:pPr>
    <w:rPr>
      <w:rFonts w:ascii="宋体" w:hAnsi="宋体" w:cs="宋体"/>
      <w:kern w:val="0"/>
      <w:szCs w:val="24"/>
    </w:rPr>
  </w:style>
  <w:style w:type="paragraph" w:customStyle="1" w:styleId="3879">
    <w:name w:val="Char Char Char Char Char Char Char251"/>
    <w:basedOn w:val="1"/>
    <w:uiPriority w:val="0"/>
    <w:pPr>
      <w:widowControl/>
      <w:jc w:val="left"/>
    </w:pPr>
    <w:rPr>
      <w:rFonts w:ascii="宋体" w:hAnsi="宋体" w:cs="宋体"/>
      <w:kern w:val="0"/>
      <w:szCs w:val="24"/>
    </w:rPr>
  </w:style>
  <w:style w:type="paragraph" w:customStyle="1" w:styleId="3880">
    <w:name w:val="Char217"/>
    <w:basedOn w:val="1"/>
    <w:uiPriority w:val="0"/>
    <w:pPr>
      <w:widowControl/>
      <w:ind w:left="-48"/>
      <w:jc w:val="left"/>
    </w:pPr>
    <w:rPr>
      <w:rFonts w:ascii="宋体" w:hAnsi="宋体" w:cs="宋体"/>
      <w:kern w:val="0"/>
      <w:szCs w:val="24"/>
    </w:rPr>
  </w:style>
  <w:style w:type="paragraph" w:customStyle="1" w:styleId="3881">
    <w:name w:val="Char Char2 Char Char Char Char10"/>
    <w:basedOn w:val="1"/>
    <w:uiPriority w:val="0"/>
    <w:pPr>
      <w:widowControl/>
      <w:jc w:val="left"/>
    </w:pPr>
    <w:rPr>
      <w:rFonts w:ascii="宋体" w:hAnsi="宋体" w:cs="宋体"/>
      <w:kern w:val="0"/>
      <w:szCs w:val="24"/>
    </w:rPr>
  </w:style>
  <w:style w:type="paragraph" w:customStyle="1" w:styleId="3882">
    <w:name w:val="样式213"/>
    <w:basedOn w:val="1"/>
    <w:uiPriority w:val="0"/>
    <w:pPr>
      <w:widowControl/>
      <w:jc w:val="center"/>
      <w:textAlignment w:val="baseline"/>
      <w:outlineLvl w:val="0"/>
    </w:pPr>
    <w:rPr>
      <w:rFonts w:ascii="宋体" w:hAnsi="宋体" w:cs="宋体"/>
      <w:kern w:val="0"/>
      <w:szCs w:val="20"/>
    </w:rPr>
  </w:style>
  <w:style w:type="paragraph" w:customStyle="1" w:styleId="3883">
    <w:name w:val="默认段落字体 Para Char Char Char Char312"/>
    <w:basedOn w:val="1"/>
    <w:uiPriority w:val="0"/>
    <w:pPr>
      <w:widowControl/>
      <w:jc w:val="left"/>
    </w:pPr>
    <w:rPr>
      <w:rFonts w:ascii="宋体" w:hAnsi="宋体" w:cs="宋体"/>
      <w:kern w:val="0"/>
      <w:szCs w:val="24"/>
    </w:rPr>
  </w:style>
  <w:style w:type="paragraph" w:customStyle="1" w:styleId="3884">
    <w:name w:val="Char Char Char Char Char Char Char128"/>
    <w:basedOn w:val="1"/>
    <w:uiPriority w:val="0"/>
    <w:pPr>
      <w:widowControl/>
      <w:jc w:val="left"/>
    </w:pPr>
    <w:rPr>
      <w:rFonts w:ascii="宋体" w:hAnsi="宋体" w:cs="宋体"/>
      <w:kern w:val="0"/>
      <w:szCs w:val="24"/>
    </w:rPr>
  </w:style>
  <w:style w:type="paragraph" w:customStyle="1" w:styleId="3885">
    <w:name w:val="正文格式＝81"/>
    <w:basedOn w:val="207"/>
    <w:next w:val="207"/>
    <w:uiPriority w:val="0"/>
    <w:rPr>
      <w:rFonts w:hAnsi="宋体"/>
      <w:szCs w:val="24"/>
    </w:rPr>
  </w:style>
  <w:style w:type="paragraph" w:customStyle="1" w:styleId="3886">
    <w:name w:val="样式 标题 3 + 段前: 12 磅21"/>
    <w:basedOn w:val="4"/>
    <w:uiPriority w:val="0"/>
    <w:pPr>
      <w:keepNext w:val="0"/>
      <w:keepLines w:val="0"/>
      <w:widowControl/>
      <w:numPr>
        <w:ilvl w:val="0"/>
        <w:numId w:val="0"/>
      </w:numPr>
      <w:autoSpaceDE w:val="0"/>
      <w:autoSpaceDN w:val="0"/>
      <w:jc w:val="both"/>
    </w:pPr>
    <w:rPr>
      <w:rFonts w:ascii="黑体" w:hAnsi="宋体" w:eastAsia="黑体" w:cs="宋体"/>
      <w:b w:val="0"/>
      <w:bCs w:val="0"/>
      <w:color w:val="000000"/>
      <w:kern w:val="21"/>
      <w:szCs w:val="20"/>
    </w:rPr>
  </w:style>
  <w:style w:type="paragraph" w:customStyle="1" w:styleId="3887">
    <w:name w:val="表34"/>
    <w:basedOn w:val="1"/>
    <w:uiPriority w:val="0"/>
    <w:pPr>
      <w:widowControl/>
      <w:jc w:val="center"/>
    </w:pPr>
    <w:rPr>
      <w:rFonts w:ascii="宋体" w:hAnsi="宋体" w:cs="宋体"/>
      <w:kern w:val="0"/>
      <w:szCs w:val="24"/>
    </w:rPr>
  </w:style>
  <w:style w:type="paragraph" w:customStyle="1" w:styleId="3888">
    <w:name w:val="标题431113"/>
    <w:basedOn w:val="1"/>
    <w:uiPriority w:val="0"/>
    <w:pPr>
      <w:widowControl/>
      <w:spacing w:line="480" w:lineRule="exact"/>
      <w:jc w:val="center"/>
    </w:pPr>
    <w:rPr>
      <w:rFonts w:ascii="宋体" w:hAnsi="宋体" w:cs="宋体"/>
      <w:kern w:val="0"/>
      <w:szCs w:val="24"/>
    </w:rPr>
  </w:style>
  <w:style w:type="paragraph" w:customStyle="1" w:styleId="3889">
    <w:name w:val="正文修改421"/>
    <w:basedOn w:val="236"/>
    <w:uiPriority w:val="0"/>
    <w:rPr>
      <w:rFonts w:hAnsi="宋体" w:eastAsia="宋体" w:cs="宋体"/>
      <w:color w:val="000000"/>
      <w:szCs w:val="24"/>
    </w:rPr>
  </w:style>
  <w:style w:type="paragraph" w:customStyle="1" w:styleId="3890">
    <w:name w:val="Char332"/>
    <w:basedOn w:val="1"/>
    <w:uiPriority w:val="0"/>
    <w:pPr>
      <w:widowControl/>
      <w:ind w:left="-48"/>
      <w:jc w:val="left"/>
    </w:pPr>
    <w:rPr>
      <w:rFonts w:ascii="宋体" w:hAnsi="宋体" w:cs="宋体"/>
      <w:kern w:val="0"/>
      <w:szCs w:val="24"/>
    </w:rPr>
  </w:style>
  <w:style w:type="paragraph" w:customStyle="1" w:styleId="3891">
    <w:name w:val="表内541221"/>
    <w:basedOn w:val="1"/>
    <w:uiPriority w:val="0"/>
    <w:pPr>
      <w:widowControl/>
      <w:spacing w:line="300" w:lineRule="auto"/>
      <w:jc w:val="center"/>
    </w:pPr>
    <w:rPr>
      <w:rFonts w:ascii="宋体" w:hAnsi="宋体" w:cs="宋体"/>
      <w:kern w:val="0"/>
      <w:szCs w:val="20"/>
    </w:rPr>
  </w:style>
  <w:style w:type="paragraph" w:customStyle="1" w:styleId="3892">
    <w:name w:val="Char Char Char Char Char Char Char44"/>
    <w:basedOn w:val="1"/>
    <w:uiPriority w:val="0"/>
    <w:pPr>
      <w:widowControl/>
      <w:jc w:val="left"/>
    </w:pPr>
    <w:rPr>
      <w:rFonts w:ascii="宋体" w:hAnsi="宋体" w:cs="宋体"/>
      <w:kern w:val="0"/>
      <w:szCs w:val="24"/>
    </w:rPr>
  </w:style>
  <w:style w:type="paragraph" w:customStyle="1" w:styleId="3893">
    <w:name w:val="表内文字小2311"/>
    <w:basedOn w:val="1"/>
    <w:uiPriority w:val="0"/>
    <w:pPr>
      <w:widowControl/>
      <w:jc w:val="center"/>
    </w:pPr>
    <w:rPr>
      <w:rFonts w:ascii="宋体" w:hAnsi="Times" w:cs="宋体"/>
      <w:bCs/>
      <w:color w:val="000000"/>
      <w:kern w:val="0"/>
      <w:szCs w:val="20"/>
    </w:rPr>
  </w:style>
  <w:style w:type="paragraph" w:customStyle="1" w:styleId="3894">
    <w:name w:val="Char410"/>
    <w:basedOn w:val="1"/>
    <w:uiPriority w:val="0"/>
    <w:pPr>
      <w:widowControl/>
      <w:ind w:left="-48"/>
      <w:jc w:val="left"/>
    </w:pPr>
    <w:rPr>
      <w:rFonts w:ascii="宋体" w:hAnsi="宋体" w:cs="宋体"/>
      <w:kern w:val="0"/>
      <w:szCs w:val="24"/>
    </w:rPr>
  </w:style>
  <w:style w:type="paragraph" w:customStyle="1" w:styleId="3895">
    <w:name w:val="Char230"/>
    <w:basedOn w:val="1"/>
    <w:uiPriority w:val="0"/>
    <w:pPr>
      <w:widowControl/>
      <w:ind w:left="-48"/>
      <w:jc w:val="left"/>
    </w:pPr>
    <w:rPr>
      <w:rFonts w:ascii="宋体" w:hAnsi="宋体" w:cs="宋体"/>
      <w:kern w:val="0"/>
      <w:szCs w:val="24"/>
    </w:rPr>
  </w:style>
  <w:style w:type="paragraph" w:customStyle="1" w:styleId="3896">
    <w:name w:val="表内文字小2221"/>
    <w:basedOn w:val="1"/>
    <w:uiPriority w:val="0"/>
    <w:pPr>
      <w:widowControl/>
      <w:jc w:val="center"/>
    </w:pPr>
    <w:rPr>
      <w:rFonts w:ascii="宋体" w:hAnsi="Times" w:cs="宋体"/>
      <w:bCs/>
      <w:color w:val="000000"/>
      <w:kern w:val="0"/>
      <w:szCs w:val="20"/>
    </w:rPr>
  </w:style>
  <w:style w:type="paragraph" w:customStyle="1" w:styleId="3897">
    <w:name w:val="附件2111"/>
    <w:basedOn w:val="2"/>
    <w:next w:val="207"/>
    <w:uiPriority w:val="0"/>
    <w:pPr>
      <w:numPr>
        <w:numId w:val="0"/>
      </w:numPr>
      <w:adjustRightInd/>
      <w:snapToGrid/>
      <w:spacing w:after="210"/>
      <w:jc w:val="left"/>
    </w:pPr>
    <w:rPr>
      <w:rFonts w:ascii="黑体" w:eastAsia="黑体"/>
      <w:b w:val="0"/>
      <w:sz w:val="32"/>
      <w:szCs w:val="32"/>
      <w:lang w:val="zh-CN" w:eastAsia="zh-CN"/>
    </w:rPr>
  </w:style>
  <w:style w:type="paragraph" w:customStyle="1" w:styleId="3898">
    <w:name w:val="表内文字小311111"/>
    <w:basedOn w:val="1"/>
    <w:uiPriority w:val="0"/>
    <w:pPr>
      <w:widowControl/>
      <w:jc w:val="center"/>
    </w:pPr>
    <w:rPr>
      <w:rFonts w:ascii="宋体" w:hAnsi="Times" w:cs="宋体"/>
      <w:bCs/>
      <w:color w:val="003366"/>
      <w:kern w:val="0"/>
      <w:szCs w:val="20"/>
    </w:rPr>
  </w:style>
  <w:style w:type="paragraph" w:customStyle="1" w:styleId="3899">
    <w:name w:val="燕山正文1151"/>
    <w:basedOn w:val="1"/>
    <w:uiPriority w:val="0"/>
    <w:pPr>
      <w:widowControl/>
      <w:tabs>
        <w:tab w:val="left" w:pos="4680"/>
      </w:tabs>
      <w:ind w:firstLine="480"/>
      <w:jc w:val="left"/>
    </w:pPr>
    <w:rPr>
      <w:rFonts w:ascii="宋体" w:hAnsi="宋体" w:cs="宋体"/>
      <w:bCs/>
      <w:snapToGrid w:val="0"/>
      <w:color w:val="000000"/>
      <w:kern w:val="0"/>
      <w:szCs w:val="24"/>
    </w:rPr>
  </w:style>
  <w:style w:type="paragraph" w:customStyle="1" w:styleId="3900">
    <w:name w:val="Char3112"/>
    <w:basedOn w:val="1"/>
    <w:uiPriority w:val="0"/>
    <w:pPr>
      <w:widowControl/>
      <w:ind w:left="-48"/>
      <w:jc w:val="left"/>
    </w:pPr>
    <w:rPr>
      <w:rFonts w:ascii="宋体" w:hAnsi="宋体" w:cs="宋体"/>
      <w:kern w:val="0"/>
      <w:szCs w:val="24"/>
    </w:rPr>
  </w:style>
  <w:style w:type="paragraph" w:customStyle="1" w:styleId="3901">
    <w:name w:val="正文修改113"/>
    <w:basedOn w:val="236"/>
    <w:uiPriority w:val="0"/>
    <w:rPr>
      <w:rFonts w:hAnsi="宋体" w:eastAsia="宋体" w:cs="宋体"/>
      <w:color w:val="000000"/>
      <w:szCs w:val="24"/>
    </w:rPr>
  </w:style>
  <w:style w:type="paragraph" w:customStyle="1" w:styleId="3902">
    <w:name w:val="表231"/>
    <w:basedOn w:val="1"/>
    <w:uiPriority w:val="0"/>
    <w:pPr>
      <w:widowControl/>
      <w:jc w:val="center"/>
    </w:pPr>
    <w:rPr>
      <w:rFonts w:ascii="宋体" w:hAnsi="宋体" w:cs="宋体"/>
      <w:kern w:val="0"/>
      <w:szCs w:val="24"/>
    </w:rPr>
  </w:style>
  <w:style w:type="paragraph" w:customStyle="1" w:styleId="3903">
    <w:name w:val="Char324"/>
    <w:basedOn w:val="1"/>
    <w:uiPriority w:val="0"/>
    <w:pPr>
      <w:widowControl/>
      <w:ind w:left="-48"/>
      <w:jc w:val="left"/>
    </w:pPr>
    <w:rPr>
      <w:rFonts w:ascii="宋体" w:hAnsi="宋体" w:cs="宋体"/>
      <w:kern w:val="0"/>
      <w:szCs w:val="24"/>
    </w:rPr>
  </w:style>
  <w:style w:type="paragraph" w:customStyle="1" w:styleId="3904">
    <w:name w:val="样式 标题 4无效格式无效格式1河石管道4H4H41小小节河石管道41H42H411小小节1河石管道42...31"/>
    <w:basedOn w:val="5"/>
    <w:uiPriority w:val="0"/>
    <w:pPr>
      <w:numPr>
        <w:ilvl w:val="0"/>
        <w:numId w:val="0"/>
      </w:numPr>
      <w:spacing w:after="0" w:line="360" w:lineRule="auto"/>
      <w:ind w:left="664" w:hanging="864"/>
    </w:pPr>
    <w:rPr>
      <w:rFonts w:ascii="黑体" w:hAnsi="Arial" w:eastAsia="黑体" w:cs="Times New Roman"/>
      <w:b w:val="0"/>
      <w:bCs w:val="0"/>
      <w:kern w:val="2"/>
      <w:sz w:val="24"/>
      <w:szCs w:val="24"/>
    </w:rPr>
  </w:style>
  <w:style w:type="paragraph" w:customStyle="1" w:styleId="3905">
    <w:name w:val="Char64"/>
    <w:basedOn w:val="1"/>
    <w:uiPriority w:val="0"/>
    <w:pPr>
      <w:widowControl/>
      <w:spacing w:before="156"/>
      <w:jc w:val="left"/>
    </w:pPr>
    <w:rPr>
      <w:rFonts w:ascii="黑体" w:hAnsi="宋体" w:eastAsia="黑体" w:cs="宋体"/>
      <w:kern w:val="0"/>
      <w:sz w:val="32"/>
      <w:szCs w:val="32"/>
    </w:rPr>
  </w:style>
  <w:style w:type="paragraph" w:customStyle="1" w:styleId="3906">
    <w:name w:val="Char416"/>
    <w:basedOn w:val="1"/>
    <w:uiPriority w:val="0"/>
    <w:pPr>
      <w:widowControl/>
      <w:ind w:left="-48"/>
      <w:jc w:val="left"/>
    </w:pPr>
    <w:rPr>
      <w:rFonts w:ascii="宋体" w:hAnsi="宋体" w:cs="宋体"/>
      <w:kern w:val="0"/>
      <w:szCs w:val="24"/>
    </w:rPr>
  </w:style>
  <w:style w:type="paragraph" w:customStyle="1" w:styleId="3907">
    <w:name w:val="A正文12"/>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908">
    <w:name w:val="表内54161"/>
    <w:basedOn w:val="1"/>
    <w:uiPriority w:val="0"/>
    <w:pPr>
      <w:widowControl/>
      <w:spacing w:line="300" w:lineRule="auto"/>
      <w:jc w:val="center"/>
    </w:pPr>
    <w:rPr>
      <w:rFonts w:ascii="宋体" w:hAnsi="宋体" w:cs="宋体"/>
      <w:kern w:val="0"/>
      <w:szCs w:val="20"/>
    </w:rPr>
  </w:style>
  <w:style w:type="paragraph" w:customStyle="1" w:styleId="3909">
    <w:name w:val="燕山正文1114"/>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910">
    <w:name w:val="样式1231"/>
    <w:basedOn w:val="1779"/>
    <w:uiPriority w:val="0"/>
    <w:pPr>
      <w:spacing w:line="240" w:lineRule="auto"/>
      <w:ind w:firstLine="0"/>
      <w:jc w:val="center"/>
    </w:pPr>
    <w:rPr>
      <w:rFonts w:cs="Times New Roman"/>
      <w:b/>
      <w:color w:val="auto"/>
      <w:szCs w:val="20"/>
    </w:rPr>
  </w:style>
  <w:style w:type="paragraph" w:customStyle="1" w:styleId="3911">
    <w:name w:val="表内文字小3114"/>
    <w:basedOn w:val="1"/>
    <w:uiPriority w:val="0"/>
    <w:pPr>
      <w:widowControl/>
      <w:jc w:val="center"/>
    </w:pPr>
    <w:rPr>
      <w:rFonts w:ascii="宋体" w:hAnsi="Times" w:cs="宋体"/>
      <w:bCs/>
      <w:color w:val="003366"/>
      <w:kern w:val="0"/>
      <w:szCs w:val="20"/>
    </w:rPr>
  </w:style>
  <w:style w:type="paragraph" w:customStyle="1" w:styleId="3912">
    <w:name w:val="Char Char Char Char Char Char Char120"/>
    <w:basedOn w:val="1"/>
    <w:uiPriority w:val="0"/>
    <w:pPr>
      <w:widowControl/>
      <w:jc w:val="left"/>
    </w:pPr>
    <w:rPr>
      <w:rFonts w:ascii="宋体" w:hAnsi="宋体" w:cs="宋体"/>
      <w:kern w:val="0"/>
      <w:szCs w:val="24"/>
    </w:rPr>
  </w:style>
  <w:style w:type="paragraph" w:customStyle="1" w:styleId="3913">
    <w:name w:val="Char428"/>
    <w:basedOn w:val="1"/>
    <w:uiPriority w:val="0"/>
    <w:pPr>
      <w:widowControl/>
      <w:ind w:left="-48"/>
      <w:jc w:val="left"/>
    </w:pPr>
    <w:rPr>
      <w:rFonts w:ascii="宋体" w:hAnsi="宋体" w:cs="宋体"/>
      <w:kern w:val="0"/>
      <w:szCs w:val="24"/>
    </w:rPr>
  </w:style>
  <w:style w:type="paragraph" w:customStyle="1" w:styleId="3914">
    <w:name w:val="表中文字53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915">
    <w:name w:val="黑体三号34"/>
    <w:basedOn w:val="207"/>
    <w:uiPriority w:val="0"/>
    <w:pPr>
      <w:jc w:val="center"/>
    </w:pPr>
    <w:rPr>
      <w:rFonts w:ascii="黑体" w:hAnsi="宋体" w:eastAsia="黑体" w:cs="宋体"/>
      <w:b/>
      <w:bCs/>
      <w:sz w:val="32"/>
      <w:szCs w:val="20"/>
    </w:rPr>
  </w:style>
  <w:style w:type="paragraph" w:customStyle="1" w:styleId="3916">
    <w:name w:val="表内文字小2213"/>
    <w:basedOn w:val="1"/>
    <w:uiPriority w:val="0"/>
    <w:pPr>
      <w:widowControl/>
      <w:jc w:val="center"/>
    </w:pPr>
    <w:rPr>
      <w:rFonts w:ascii="宋体" w:hAnsi="Times" w:cs="宋体"/>
      <w:bCs/>
      <w:color w:val="000000"/>
      <w:kern w:val="0"/>
      <w:szCs w:val="20"/>
    </w:rPr>
  </w:style>
  <w:style w:type="paragraph" w:customStyle="1" w:styleId="3917">
    <w:name w:val="表内523"/>
    <w:basedOn w:val="1"/>
    <w:uiPriority w:val="0"/>
    <w:pPr>
      <w:widowControl/>
      <w:spacing w:line="300" w:lineRule="auto"/>
      <w:jc w:val="left"/>
    </w:pPr>
    <w:rPr>
      <w:rFonts w:ascii="宋体" w:hAnsi="宋体" w:cs="宋体"/>
      <w:kern w:val="0"/>
      <w:sz w:val="18"/>
      <w:szCs w:val="20"/>
    </w:rPr>
  </w:style>
  <w:style w:type="paragraph" w:customStyle="1" w:styleId="3918">
    <w:name w:val="样式12111"/>
    <w:basedOn w:val="1779"/>
    <w:uiPriority w:val="0"/>
    <w:pPr>
      <w:spacing w:line="240" w:lineRule="auto"/>
      <w:ind w:firstLine="0"/>
      <w:jc w:val="center"/>
    </w:pPr>
    <w:rPr>
      <w:rFonts w:cs="Times New Roman"/>
      <w:b/>
      <w:color w:val="auto"/>
      <w:szCs w:val="20"/>
    </w:rPr>
  </w:style>
  <w:style w:type="paragraph" w:customStyle="1" w:styleId="3919">
    <w:name w:val="Char Char Char Char Char Char Char43"/>
    <w:basedOn w:val="1"/>
    <w:uiPriority w:val="0"/>
    <w:pPr>
      <w:widowControl/>
      <w:jc w:val="left"/>
    </w:pPr>
    <w:rPr>
      <w:rFonts w:ascii="宋体" w:hAnsi="宋体" w:cs="宋体"/>
      <w:kern w:val="0"/>
      <w:szCs w:val="24"/>
    </w:rPr>
  </w:style>
  <w:style w:type="paragraph" w:customStyle="1" w:styleId="3920">
    <w:name w:val="Char76"/>
    <w:basedOn w:val="1"/>
    <w:uiPriority w:val="0"/>
    <w:pPr>
      <w:widowControl/>
      <w:ind w:left="-48"/>
      <w:jc w:val="left"/>
    </w:pPr>
    <w:rPr>
      <w:rFonts w:ascii="宋体" w:hAnsi="宋体" w:cs="宋体"/>
      <w:kern w:val="0"/>
      <w:szCs w:val="24"/>
    </w:rPr>
  </w:style>
  <w:style w:type="paragraph" w:customStyle="1" w:styleId="3921">
    <w:name w:val="正文修改14"/>
    <w:basedOn w:val="236"/>
    <w:uiPriority w:val="0"/>
    <w:rPr>
      <w:rFonts w:hAnsi="宋体" w:eastAsia="宋体" w:cs="宋体"/>
      <w:color w:val="000000"/>
      <w:szCs w:val="24"/>
    </w:rPr>
  </w:style>
  <w:style w:type="paragraph" w:customStyle="1" w:styleId="3922">
    <w:name w:val="Char Char Char Char Char Char Char1112"/>
    <w:basedOn w:val="1"/>
    <w:uiPriority w:val="0"/>
    <w:pPr>
      <w:widowControl/>
      <w:jc w:val="left"/>
    </w:pPr>
    <w:rPr>
      <w:rFonts w:ascii="宋体" w:hAnsi="宋体" w:cs="宋体"/>
      <w:kern w:val="0"/>
      <w:szCs w:val="24"/>
    </w:rPr>
  </w:style>
  <w:style w:type="paragraph" w:customStyle="1" w:styleId="3923">
    <w:name w:val="c13"/>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3924">
    <w:name w:val="表内5中14"/>
    <w:basedOn w:val="1"/>
    <w:uiPriority w:val="0"/>
    <w:pPr>
      <w:widowControl/>
      <w:jc w:val="center"/>
    </w:pPr>
    <w:rPr>
      <w:rFonts w:ascii="宋体" w:hAnsi="宋体" w:cs="Arial"/>
      <w:snapToGrid w:val="0"/>
      <w:color w:val="000000"/>
      <w:kern w:val="0"/>
      <w:szCs w:val="21"/>
    </w:rPr>
  </w:style>
  <w:style w:type="paragraph" w:customStyle="1" w:styleId="3925">
    <w:name w:val="样式 标题 4无效格式无效格式1河石管道4H4H41小小节河石管道41H42H411小小节1河石管道42...113"/>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3926">
    <w:name w:val="xl244"/>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927">
    <w:name w:val="表内文字小21411"/>
    <w:basedOn w:val="1"/>
    <w:uiPriority w:val="0"/>
    <w:pPr>
      <w:widowControl/>
      <w:jc w:val="center"/>
    </w:pPr>
    <w:rPr>
      <w:rFonts w:ascii="宋体" w:hAnsi="Times" w:cs="宋体"/>
      <w:bCs/>
      <w:color w:val="000000"/>
      <w:kern w:val="0"/>
      <w:szCs w:val="20"/>
    </w:rPr>
  </w:style>
  <w:style w:type="paragraph" w:customStyle="1" w:styleId="3928">
    <w:name w:val="样式124"/>
    <w:basedOn w:val="1779"/>
    <w:uiPriority w:val="0"/>
    <w:pPr>
      <w:spacing w:line="240" w:lineRule="auto"/>
      <w:ind w:firstLine="0"/>
      <w:jc w:val="center"/>
    </w:pPr>
    <w:rPr>
      <w:rFonts w:cs="Times New Roman"/>
      <w:b/>
      <w:color w:val="auto"/>
      <w:szCs w:val="20"/>
    </w:rPr>
  </w:style>
  <w:style w:type="paragraph" w:customStyle="1" w:styleId="3929">
    <w:name w:val="c21"/>
    <w:uiPriority w:val="0"/>
    <w:pPr>
      <w:widowControl w:val="0"/>
      <w:autoSpaceDE w:val="0"/>
      <w:autoSpaceDN w:val="0"/>
      <w:adjustRightInd w:val="0"/>
      <w:jc w:val="both"/>
    </w:pPr>
    <w:rPr>
      <w:rFonts w:ascii="Arial" w:hAnsi="Arial" w:eastAsia="宋体" w:cs="Times New Roman"/>
      <w:kern w:val="0"/>
      <w:sz w:val="24"/>
      <w:szCs w:val="20"/>
      <w:lang w:val="en-US" w:eastAsia="zh-CN" w:bidi="ar-SA"/>
    </w:rPr>
  </w:style>
  <w:style w:type="paragraph" w:customStyle="1" w:styleId="3930">
    <w:name w:val="Char Char Char Char Char Char Char29"/>
    <w:basedOn w:val="1"/>
    <w:uiPriority w:val="0"/>
    <w:pPr>
      <w:widowControl/>
      <w:jc w:val="left"/>
    </w:pPr>
    <w:rPr>
      <w:rFonts w:ascii="宋体" w:hAnsi="宋体" w:cs="宋体"/>
      <w:kern w:val="0"/>
      <w:szCs w:val="24"/>
    </w:rPr>
  </w:style>
  <w:style w:type="paragraph" w:customStyle="1" w:styleId="3931">
    <w:name w:val="表内文字小8111"/>
    <w:basedOn w:val="1"/>
    <w:uiPriority w:val="0"/>
    <w:pPr>
      <w:widowControl/>
      <w:jc w:val="center"/>
    </w:pPr>
    <w:rPr>
      <w:rFonts w:ascii="宋体" w:hAnsi="Times" w:cs="宋体"/>
      <w:kern w:val="0"/>
      <w:szCs w:val="20"/>
    </w:rPr>
  </w:style>
  <w:style w:type="paragraph" w:customStyle="1" w:styleId="3932">
    <w:name w:val="表内宋5中51"/>
    <w:basedOn w:val="1"/>
    <w:uiPriority w:val="0"/>
    <w:pPr>
      <w:widowControl/>
      <w:jc w:val="left"/>
      <w:textAlignment w:val="baseline"/>
    </w:pPr>
    <w:rPr>
      <w:rFonts w:ascii="宋体" w:hAnsi="宋体" w:cs="宋体"/>
      <w:color w:val="000000"/>
      <w:kern w:val="0"/>
      <w:szCs w:val="20"/>
    </w:rPr>
  </w:style>
  <w:style w:type="paragraph" w:customStyle="1" w:styleId="3933">
    <w:name w:val="Char418"/>
    <w:basedOn w:val="1"/>
    <w:uiPriority w:val="0"/>
    <w:pPr>
      <w:widowControl/>
      <w:ind w:left="-48"/>
      <w:jc w:val="left"/>
    </w:pPr>
    <w:rPr>
      <w:rFonts w:ascii="宋体" w:hAnsi="宋体" w:cs="宋体"/>
      <w:kern w:val="0"/>
      <w:szCs w:val="24"/>
    </w:rPr>
  </w:style>
  <w:style w:type="paragraph" w:customStyle="1" w:styleId="3934">
    <w:name w:val="附件51"/>
    <w:basedOn w:val="2"/>
    <w:next w:val="207"/>
    <w:uiPriority w:val="0"/>
    <w:pPr>
      <w:numPr>
        <w:numId w:val="0"/>
      </w:numPr>
      <w:adjustRightInd/>
      <w:snapToGrid/>
      <w:spacing w:after="210"/>
      <w:jc w:val="left"/>
    </w:pPr>
    <w:rPr>
      <w:rFonts w:ascii="黑体" w:eastAsia="黑体"/>
      <w:sz w:val="32"/>
      <w:szCs w:val="32"/>
      <w:lang w:val="zh-CN" w:eastAsia="zh-CN"/>
    </w:rPr>
  </w:style>
  <w:style w:type="paragraph" w:customStyle="1" w:styleId="3935">
    <w:name w:val="环评正文13"/>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936">
    <w:name w:val="表题3111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937">
    <w:name w:val="表内文字小321"/>
    <w:basedOn w:val="1"/>
    <w:uiPriority w:val="0"/>
    <w:pPr>
      <w:widowControl/>
      <w:jc w:val="center"/>
    </w:pPr>
    <w:rPr>
      <w:rFonts w:ascii="宋体" w:hAnsi="Times" w:cs="宋体"/>
      <w:kern w:val="0"/>
      <w:szCs w:val="20"/>
    </w:rPr>
  </w:style>
  <w:style w:type="paragraph" w:customStyle="1" w:styleId="3938">
    <w:name w:val="Char1013"/>
    <w:basedOn w:val="1"/>
    <w:uiPriority w:val="0"/>
    <w:pPr>
      <w:widowControl/>
      <w:jc w:val="left"/>
    </w:pPr>
    <w:rPr>
      <w:rFonts w:ascii="宋体" w:hAnsi="宋体" w:cs="宋体"/>
      <w:kern w:val="0"/>
      <w:szCs w:val="24"/>
    </w:rPr>
  </w:style>
  <w:style w:type="paragraph" w:customStyle="1" w:styleId="3939">
    <w:name w:val="正文修改61"/>
    <w:basedOn w:val="236"/>
    <w:uiPriority w:val="0"/>
    <w:rPr>
      <w:rFonts w:hAnsi="宋体" w:eastAsia="宋体" w:cs="宋体"/>
      <w:color w:val="000000"/>
      <w:szCs w:val="24"/>
    </w:rPr>
  </w:style>
  <w:style w:type="paragraph" w:customStyle="1" w:styleId="3940">
    <w:name w:val="Char301"/>
    <w:basedOn w:val="1"/>
    <w:uiPriority w:val="0"/>
    <w:pPr>
      <w:widowControl/>
      <w:ind w:left="-48"/>
      <w:jc w:val="left"/>
    </w:pPr>
    <w:rPr>
      <w:rFonts w:ascii="宋体" w:hAnsi="宋体" w:cs="宋体"/>
      <w:kern w:val="0"/>
      <w:szCs w:val="24"/>
    </w:rPr>
  </w:style>
  <w:style w:type="paragraph" w:customStyle="1" w:styleId="3941">
    <w:name w:val="正文斜体21"/>
    <w:basedOn w:val="207"/>
    <w:next w:val="207"/>
    <w:uiPriority w:val="0"/>
    <w:rPr>
      <w:rFonts w:hAnsi="宋体"/>
      <w:i/>
      <w:iCs/>
      <w:szCs w:val="24"/>
    </w:rPr>
  </w:style>
  <w:style w:type="paragraph" w:customStyle="1" w:styleId="3942">
    <w:name w:val="表内541412"/>
    <w:basedOn w:val="1"/>
    <w:uiPriority w:val="0"/>
    <w:pPr>
      <w:widowControl/>
      <w:spacing w:line="300" w:lineRule="auto"/>
      <w:jc w:val="center"/>
    </w:pPr>
    <w:rPr>
      <w:rFonts w:ascii="宋体" w:hAnsi="宋体" w:cs="宋体"/>
      <w:kern w:val="0"/>
      <w:szCs w:val="20"/>
    </w:rPr>
  </w:style>
  <w:style w:type="paragraph" w:customStyle="1" w:styleId="3943">
    <w:name w:val="默认段落字体 Para Char Char Char Char421"/>
    <w:basedOn w:val="1"/>
    <w:uiPriority w:val="0"/>
    <w:pPr>
      <w:widowControl/>
      <w:jc w:val="left"/>
    </w:pPr>
    <w:rPr>
      <w:rFonts w:ascii="宋体" w:hAnsi="宋体" w:cs="宋体"/>
      <w:kern w:val="0"/>
      <w:szCs w:val="24"/>
    </w:rPr>
  </w:style>
  <w:style w:type="paragraph" w:customStyle="1" w:styleId="3944">
    <w:name w:val="文本框23"/>
    <w:basedOn w:val="1"/>
    <w:uiPriority w:val="0"/>
    <w:pPr>
      <w:widowControl/>
      <w:spacing w:after="6"/>
      <w:jc w:val="center"/>
    </w:pPr>
    <w:rPr>
      <w:rFonts w:ascii="宋体" w:hAnsi="宋体" w:cs="宋体"/>
      <w:kern w:val="0"/>
      <w:szCs w:val="24"/>
    </w:rPr>
  </w:style>
  <w:style w:type="paragraph" w:customStyle="1" w:styleId="3945">
    <w:name w:val="表题3134"/>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946">
    <w:name w:val="表内文字小2134"/>
    <w:basedOn w:val="1"/>
    <w:uiPriority w:val="0"/>
    <w:pPr>
      <w:widowControl/>
      <w:jc w:val="center"/>
      <w:textAlignment w:val="baseline"/>
    </w:pPr>
    <w:rPr>
      <w:rFonts w:ascii="宋体" w:hAnsi="Times" w:cs="宋体"/>
      <w:bCs/>
      <w:color w:val="000000"/>
      <w:kern w:val="0"/>
      <w:szCs w:val="20"/>
    </w:rPr>
  </w:style>
  <w:style w:type="paragraph" w:customStyle="1" w:styleId="3947">
    <w:name w:val="Char613"/>
    <w:basedOn w:val="1"/>
    <w:uiPriority w:val="0"/>
    <w:pPr>
      <w:widowControl/>
      <w:spacing w:before="156"/>
      <w:jc w:val="left"/>
    </w:pPr>
    <w:rPr>
      <w:rFonts w:ascii="黑体" w:hAnsi="宋体" w:eastAsia="黑体" w:cs="宋体"/>
      <w:kern w:val="0"/>
      <w:sz w:val="32"/>
      <w:szCs w:val="32"/>
    </w:rPr>
  </w:style>
  <w:style w:type="paragraph" w:customStyle="1" w:styleId="3948">
    <w:name w:val="A正文111"/>
    <w:basedOn w:val="1"/>
    <w:uiPriority w:val="0"/>
    <w:pPr>
      <w:widowControl/>
      <w:overflowPunct w:val="0"/>
      <w:autoSpaceDE w:val="0"/>
      <w:autoSpaceDN w:val="0"/>
      <w:jc w:val="left"/>
      <w:textAlignment w:val="baseline"/>
    </w:pPr>
    <w:rPr>
      <w:rFonts w:ascii="宋体" w:hAnsi="宋体" w:cs="宋体"/>
      <w:kern w:val="0"/>
      <w:szCs w:val="24"/>
    </w:rPr>
  </w:style>
  <w:style w:type="paragraph" w:customStyle="1" w:styleId="3949">
    <w:name w:val="表内宋51141"/>
    <w:basedOn w:val="433"/>
    <w:uiPriority w:val="0"/>
    <w:rPr>
      <w:rFonts w:ascii="宋体" w:hAnsi="宋体" w:cs="宋体"/>
      <w:color w:val="000000"/>
      <w:sz w:val="21"/>
      <w:szCs w:val="24"/>
    </w:rPr>
  </w:style>
  <w:style w:type="paragraph" w:customStyle="1" w:styleId="3950">
    <w:name w:val="表7"/>
    <w:basedOn w:val="1"/>
    <w:uiPriority w:val="0"/>
    <w:pPr>
      <w:widowControl/>
      <w:jc w:val="center"/>
    </w:pPr>
    <w:rPr>
      <w:rFonts w:ascii="宋体" w:hAnsi="宋体" w:cs="宋体"/>
      <w:kern w:val="0"/>
      <w:szCs w:val="24"/>
    </w:rPr>
  </w:style>
  <w:style w:type="paragraph" w:customStyle="1" w:styleId="3951">
    <w:name w:val="表中文字62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952">
    <w:name w:val="表内宋514"/>
    <w:basedOn w:val="1935"/>
    <w:uiPriority w:val="0"/>
    <w:pPr>
      <w:autoSpaceDE w:val="0"/>
      <w:autoSpaceDN w:val="0"/>
      <w:textAlignment w:val="auto"/>
    </w:pPr>
    <w:rPr>
      <w:color w:val="auto"/>
      <w:w w:val="90"/>
    </w:rPr>
  </w:style>
  <w:style w:type="paragraph" w:customStyle="1" w:styleId="3953">
    <w:name w:val="Char427"/>
    <w:basedOn w:val="1"/>
    <w:uiPriority w:val="0"/>
    <w:pPr>
      <w:widowControl/>
      <w:ind w:left="-48"/>
      <w:jc w:val="left"/>
    </w:pPr>
    <w:rPr>
      <w:rFonts w:ascii="宋体" w:hAnsi="宋体" w:cs="宋体"/>
      <w:kern w:val="0"/>
      <w:szCs w:val="24"/>
    </w:rPr>
  </w:style>
  <w:style w:type="paragraph" w:customStyle="1" w:styleId="3954">
    <w:name w:val="表中文字231"/>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955">
    <w:name w:val="Char713"/>
    <w:basedOn w:val="1"/>
    <w:uiPriority w:val="0"/>
    <w:pPr>
      <w:widowControl/>
      <w:ind w:left="-48"/>
      <w:jc w:val="left"/>
    </w:pPr>
    <w:rPr>
      <w:rFonts w:ascii="宋体" w:hAnsi="宋体" w:cs="宋体"/>
      <w:kern w:val="0"/>
      <w:szCs w:val="24"/>
    </w:rPr>
  </w:style>
  <w:style w:type="paragraph" w:customStyle="1" w:styleId="3956">
    <w:name w:val="表中文字213"/>
    <w:basedOn w:val="1"/>
    <w:uiPriority w:val="0"/>
    <w:pPr>
      <w:widowControl/>
      <w:spacing w:line="240" w:lineRule="atLeast"/>
      <w:ind w:right="-42" w:rightChars="-20"/>
      <w:jc w:val="center"/>
      <w:textAlignment w:val="baseline"/>
    </w:pPr>
    <w:rPr>
      <w:rFonts w:ascii="宋体" w:hAnsi="宋体" w:cs="宋体"/>
      <w:kern w:val="0"/>
      <w:szCs w:val="21"/>
    </w:rPr>
  </w:style>
  <w:style w:type="paragraph" w:customStyle="1" w:styleId="3957">
    <w:name w:val="黑体三号313"/>
    <w:basedOn w:val="207"/>
    <w:uiPriority w:val="0"/>
    <w:pPr>
      <w:jc w:val="center"/>
    </w:pPr>
    <w:rPr>
      <w:rFonts w:ascii="黑体" w:hAnsi="宋体" w:eastAsia="黑体" w:cs="宋体"/>
      <w:b/>
      <w:bCs/>
      <w:sz w:val="32"/>
      <w:szCs w:val="20"/>
    </w:rPr>
  </w:style>
  <w:style w:type="paragraph" w:customStyle="1" w:styleId="3958">
    <w:name w:val="表中文字6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959">
    <w:name w:val="燕山正文11113"/>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3960">
    <w:name w:val="Char317"/>
    <w:basedOn w:val="1"/>
    <w:uiPriority w:val="0"/>
    <w:pPr>
      <w:widowControl/>
      <w:ind w:left="-48"/>
      <w:jc w:val="left"/>
    </w:pPr>
    <w:rPr>
      <w:rFonts w:ascii="宋体" w:hAnsi="宋体" w:cs="宋体"/>
      <w:kern w:val="0"/>
      <w:szCs w:val="24"/>
    </w:rPr>
  </w:style>
  <w:style w:type="paragraph" w:customStyle="1" w:styleId="3961">
    <w:name w:val="表内53211"/>
    <w:basedOn w:val="1"/>
    <w:uiPriority w:val="0"/>
    <w:pPr>
      <w:widowControl/>
      <w:spacing w:line="300" w:lineRule="auto"/>
      <w:jc w:val="left"/>
    </w:pPr>
    <w:rPr>
      <w:rFonts w:ascii="宋体" w:hAnsi="宋体" w:cs="宋体"/>
      <w:kern w:val="0"/>
      <w:szCs w:val="20"/>
    </w:rPr>
  </w:style>
  <w:style w:type="paragraph" w:customStyle="1" w:styleId="3962">
    <w:name w:val="表内文字小2124"/>
    <w:basedOn w:val="1"/>
    <w:uiPriority w:val="0"/>
    <w:pPr>
      <w:widowControl/>
      <w:jc w:val="center"/>
    </w:pPr>
    <w:rPr>
      <w:rFonts w:ascii="宋体" w:hAnsi="Times" w:cs="宋体"/>
      <w:bCs/>
      <w:color w:val="000000"/>
      <w:kern w:val="0"/>
      <w:szCs w:val="20"/>
    </w:rPr>
  </w:style>
  <w:style w:type="paragraph" w:customStyle="1" w:styleId="3963">
    <w:name w:val="Char318"/>
    <w:basedOn w:val="1"/>
    <w:uiPriority w:val="0"/>
    <w:pPr>
      <w:widowControl/>
      <w:ind w:left="-48"/>
      <w:jc w:val="left"/>
    </w:pPr>
    <w:rPr>
      <w:rFonts w:ascii="宋体" w:hAnsi="宋体" w:cs="宋体"/>
      <w:kern w:val="0"/>
      <w:szCs w:val="24"/>
    </w:rPr>
  </w:style>
  <w:style w:type="paragraph" w:customStyle="1" w:styleId="3964">
    <w:name w:val="表内小5中111"/>
    <w:basedOn w:val="1"/>
    <w:uiPriority w:val="0"/>
    <w:pPr>
      <w:widowControl/>
      <w:jc w:val="center"/>
    </w:pPr>
    <w:rPr>
      <w:rFonts w:ascii="宋体" w:hAnsi="宋体" w:cs="宋体"/>
      <w:kern w:val="0"/>
      <w:sz w:val="18"/>
      <w:szCs w:val="20"/>
    </w:rPr>
  </w:style>
  <w:style w:type="paragraph" w:customStyle="1" w:styleId="3965">
    <w:name w:val="xl24111"/>
    <w:basedOn w:val="1"/>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3966">
    <w:name w:val="Char214"/>
    <w:basedOn w:val="1"/>
    <w:uiPriority w:val="0"/>
    <w:pPr>
      <w:widowControl/>
      <w:spacing w:before="156"/>
      <w:jc w:val="left"/>
    </w:pPr>
    <w:rPr>
      <w:rFonts w:ascii="黑体" w:hAnsi="宋体" w:eastAsia="黑体" w:cs="宋体"/>
      <w:kern w:val="0"/>
      <w:sz w:val="32"/>
      <w:szCs w:val="32"/>
    </w:rPr>
  </w:style>
  <w:style w:type="paragraph" w:customStyle="1" w:styleId="3967">
    <w:name w:val="默认段落字体 Para Char Char Char Char131"/>
    <w:basedOn w:val="1"/>
    <w:uiPriority w:val="0"/>
    <w:pPr>
      <w:widowControl/>
      <w:jc w:val="left"/>
    </w:pPr>
    <w:rPr>
      <w:rFonts w:ascii="宋体" w:hAnsi="宋体" w:cs="宋体"/>
      <w:kern w:val="0"/>
      <w:szCs w:val="24"/>
    </w:rPr>
  </w:style>
  <w:style w:type="paragraph" w:customStyle="1" w:styleId="3968">
    <w:name w:val="默认段落字体 Para Char Char Char Char4111"/>
    <w:basedOn w:val="1"/>
    <w:uiPriority w:val="0"/>
    <w:pPr>
      <w:widowControl/>
      <w:jc w:val="left"/>
    </w:pPr>
    <w:rPr>
      <w:rFonts w:ascii="宋体" w:hAnsi="宋体" w:cs="宋体"/>
      <w:kern w:val="0"/>
      <w:szCs w:val="24"/>
    </w:rPr>
  </w:style>
  <w:style w:type="paragraph" w:customStyle="1" w:styleId="3969">
    <w:name w:val="默认段落字体 Para Char313"/>
    <w:basedOn w:val="1"/>
    <w:uiPriority w:val="0"/>
    <w:pPr>
      <w:widowControl/>
      <w:jc w:val="left"/>
    </w:pPr>
    <w:rPr>
      <w:rFonts w:ascii="宋体" w:hAnsi="宋体" w:cs="宋体"/>
      <w:kern w:val="0"/>
      <w:szCs w:val="24"/>
    </w:rPr>
  </w:style>
  <w:style w:type="paragraph" w:customStyle="1" w:styleId="3970">
    <w:name w:val="燕山正文2111"/>
    <w:basedOn w:val="1"/>
    <w:uiPriority w:val="0"/>
    <w:pPr>
      <w:widowControl/>
      <w:tabs>
        <w:tab w:val="left" w:pos="4680"/>
      </w:tabs>
      <w:spacing w:line="480" w:lineRule="exact"/>
      <w:jc w:val="left"/>
    </w:pPr>
    <w:rPr>
      <w:rFonts w:ascii="宋体" w:hAnsi="宋体" w:cs="宋体"/>
      <w:kern w:val="0"/>
      <w:szCs w:val="24"/>
    </w:rPr>
  </w:style>
  <w:style w:type="paragraph" w:customStyle="1" w:styleId="3971">
    <w:name w:val="表中文字1211"/>
    <w:basedOn w:val="1"/>
    <w:uiPriority w:val="0"/>
    <w:pPr>
      <w:widowControl/>
      <w:spacing w:line="240" w:lineRule="atLeast"/>
      <w:ind w:left="-24" w:leftChars="-10" w:right="-48" w:rightChars="-20"/>
      <w:jc w:val="center"/>
    </w:pPr>
    <w:rPr>
      <w:rFonts w:ascii="宋体" w:hAnsi="宋体" w:cs="宋体"/>
      <w:kern w:val="0"/>
      <w:szCs w:val="21"/>
    </w:rPr>
  </w:style>
  <w:style w:type="paragraph" w:customStyle="1" w:styleId="3972">
    <w:name w:val="表内宋5中311"/>
    <w:basedOn w:val="1"/>
    <w:uiPriority w:val="0"/>
    <w:pPr>
      <w:widowControl/>
      <w:jc w:val="left"/>
      <w:textAlignment w:val="baseline"/>
    </w:pPr>
    <w:rPr>
      <w:rFonts w:ascii="宋体" w:hAnsi="宋体" w:cs="宋体"/>
      <w:color w:val="000000"/>
      <w:kern w:val="0"/>
      <w:szCs w:val="20"/>
    </w:rPr>
  </w:style>
  <w:style w:type="paragraph" w:customStyle="1" w:styleId="3973">
    <w:name w:val="Char451"/>
    <w:basedOn w:val="1"/>
    <w:uiPriority w:val="0"/>
    <w:pPr>
      <w:widowControl/>
      <w:ind w:left="-48"/>
      <w:jc w:val="left"/>
    </w:pPr>
    <w:rPr>
      <w:rFonts w:ascii="宋体" w:hAnsi="宋体" w:cs="宋体"/>
      <w:kern w:val="0"/>
      <w:szCs w:val="24"/>
    </w:rPr>
  </w:style>
  <w:style w:type="paragraph" w:customStyle="1" w:styleId="3974">
    <w:name w:val="样式133"/>
    <w:basedOn w:val="1779"/>
    <w:uiPriority w:val="0"/>
    <w:pPr>
      <w:spacing w:line="240" w:lineRule="auto"/>
      <w:ind w:firstLine="0"/>
      <w:jc w:val="center"/>
    </w:pPr>
    <w:rPr>
      <w:rFonts w:cs="Times New Roman"/>
      <w:b/>
      <w:color w:val="auto"/>
      <w:szCs w:val="20"/>
    </w:rPr>
  </w:style>
  <w:style w:type="paragraph" w:customStyle="1" w:styleId="3975">
    <w:name w:val="文本框113"/>
    <w:basedOn w:val="1"/>
    <w:uiPriority w:val="0"/>
    <w:pPr>
      <w:widowControl/>
      <w:spacing w:after="6"/>
      <w:jc w:val="center"/>
    </w:pPr>
    <w:rPr>
      <w:rFonts w:ascii="宋体" w:hAnsi="宋体" w:cs="宋体"/>
      <w:kern w:val="0"/>
      <w:szCs w:val="24"/>
    </w:rPr>
  </w:style>
  <w:style w:type="paragraph" w:customStyle="1" w:styleId="3976">
    <w:name w:val="燕山正文123"/>
    <w:basedOn w:val="1"/>
    <w:uiPriority w:val="0"/>
    <w:pPr>
      <w:widowControl/>
      <w:tabs>
        <w:tab w:val="left" w:pos="4680"/>
      </w:tabs>
      <w:spacing w:line="480" w:lineRule="exact"/>
      <w:jc w:val="left"/>
    </w:pPr>
    <w:rPr>
      <w:rFonts w:ascii="宋体" w:hAnsi="宋体" w:cs="宋体"/>
      <w:kern w:val="0"/>
      <w:szCs w:val="24"/>
    </w:rPr>
  </w:style>
  <w:style w:type="paragraph" w:customStyle="1" w:styleId="3977">
    <w:name w:val="Char Char Char Char Char Char Char217"/>
    <w:basedOn w:val="1"/>
    <w:uiPriority w:val="0"/>
    <w:pPr>
      <w:widowControl/>
      <w:jc w:val="left"/>
    </w:pPr>
    <w:rPr>
      <w:rFonts w:ascii="宋体" w:hAnsi="宋体" w:cs="宋体"/>
      <w:kern w:val="0"/>
      <w:szCs w:val="24"/>
    </w:rPr>
  </w:style>
  <w:style w:type="paragraph" w:customStyle="1" w:styleId="3978">
    <w:name w:val="Char130"/>
    <w:basedOn w:val="1"/>
    <w:uiPriority w:val="0"/>
    <w:pPr>
      <w:widowControl/>
      <w:ind w:left="-48"/>
      <w:jc w:val="left"/>
    </w:pPr>
    <w:rPr>
      <w:rFonts w:ascii="宋体" w:hAnsi="宋体" w:cs="宋体"/>
      <w:kern w:val="0"/>
      <w:szCs w:val="24"/>
    </w:rPr>
  </w:style>
  <w:style w:type="paragraph" w:customStyle="1" w:styleId="3979">
    <w:name w:val="表内541131"/>
    <w:basedOn w:val="1"/>
    <w:uiPriority w:val="0"/>
    <w:pPr>
      <w:widowControl/>
      <w:spacing w:line="300" w:lineRule="auto"/>
      <w:jc w:val="center"/>
    </w:pPr>
    <w:rPr>
      <w:rFonts w:ascii="宋体" w:hAnsi="宋体" w:cs="宋体"/>
      <w:kern w:val="0"/>
      <w:szCs w:val="20"/>
    </w:rPr>
  </w:style>
  <w:style w:type="paragraph" w:customStyle="1" w:styleId="3980">
    <w:name w:val="表内宋5中1121"/>
    <w:basedOn w:val="1"/>
    <w:uiPriority w:val="0"/>
    <w:pPr>
      <w:widowControl/>
      <w:jc w:val="center"/>
      <w:textAlignment w:val="baseline"/>
    </w:pPr>
    <w:rPr>
      <w:rFonts w:ascii="宋体" w:hAnsi="宋体" w:cs="宋体"/>
      <w:kern w:val="0"/>
      <w:szCs w:val="20"/>
    </w:rPr>
  </w:style>
  <w:style w:type="paragraph" w:customStyle="1" w:styleId="3981">
    <w:name w:val="表内文字小31221"/>
    <w:basedOn w:val="1"/>
    <w:uiPriority w:val="0"/>
    <w:pPr>
      <w:widowControl/>
      <w:jc w:val="center"/>
    </w:pPr>
    <w:rPr>
      <w:rFonts w:ascii="宋体" w:hAnsi="Times" w:cs="宋体"/>
      <w:bCs/>
      <w:color w:val="003366"/>
      <w:kern w:val="0"/>
      <w:szCs w:val="20"/>
    </w:rPr>
  </w:style>
  <w:style w:type="paragraph" w:customStyle="1" w:styleId="3982">
    <w:name w:val="表内宋5中122"/>
    <w:basedOn w:val="1"/>
    <w:uiPriority w:val="0"/>
    <w:pPr>
      <w:widowControl/>
      <w:jc w:val="center"/>
      <w:textAlignment w:val="baseline"/>
    </w:pPr>
    <w:rPr>
      <w:rFonts w:ascii="宋体" w:hAnsi="宋体" w:cs="宋体"/>
      <w:kern w:val="0"/>
      <w:szCs w:val="20"/>
    </w:rPr>
  </w:style>
  <w:style w:type="paragraph" w:customStyle="1" w:styleId="3983">
    <w:name w:val="表内542"/>
    <w:basedOn w:val="1"/>
    <w:uiPriority w:val="0"/>
    <w:pPr>
      <w:widowControl/>
      <w:spacing w:line="300" w:lineRule="auto"/>
      <w:jc w:val="left"/>
    </w:pPr>
    <w:rPr>
      <w:rFonts w:ascii="宋体" w:hAnsi="宋体" w:cs="宋体"/>
      <w:kern w:val="0"/>
      <w:sz w:val="18"/>
      <w:szCs w:val="20"/>
    </w:rPr>
  </w:style>
  <w:style w:type="paragraph" w:customStyle="1" w:styleId="3984">
    <w:name w:val="表内文字小21312"/>
    <w:basedOn w:val="1"/>
    <w:uiPriority w:val="0"/>
    <w:pPr>
      <w:widowControl/>
      <w:jc w:val="center"/>
      <w:textAlignment w:val="baseline"/>
    </w:pPr>
    <w:rPr>
      <w:rFonts w:ascii="宋体" w:hAnsi="Times" w:cs="宋体"/>
      <w:bCs/>
      <w:color w:val="000000"/>
      <w:kern w:val="0"/>
      <w:szCs w:val="20"/>
    </w:rPr>
  </w:style>
  <w:style w:type="paragraph" w:customStyle="1" w:styleId="3985">
    <w:name w:val="表题31211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986">
    <w:name w:val="表24"/>
    <w:basedOn w:val="1"/>
    <w:uiPriority w:val="0"/>
    <w:pPr>
      <w:widowControl/>
      <w:jc w:val="center"/>
    </w:pPr>
    <w:rPr>
      <w:rFonts w:ascii="宋体" w:hAnsi="宋体" w:cs="宋体"/>
      <w:kern w:val="0"/>
      <w:szCs w:val="24"/>
    </w:rPr>
  </w:style>
  <w:style w:type="paragraph" w:customStyle="1" w:styleId="3987">
    <w:name w:val="表中文字44"/>
    <w:basedOn w:val="1"/>
    <w:uiPriority w:val="0"/>
    <w:pPr>
      <w:widowControl/>
      <w:spacing w:line="340" w:lineRule="exact"/>
      <w:ind w:firstLine="480"/>
      <w:jc w:val="center"/>
    </w:pPr>
    <w:rPr>
      <w:rFonts w:ascii="Arial" w:hAnsi="Arial" w:cs="宋体"/>
      <w:kern w:val="0"/>
      <w:sz w:val="20"/>
      <w:szCs w:val="24"/>
      <w:lang w:eastAsia="zh-TW"/>
    </w:rPr>
  </w:style>
  <w:style w:type="paragraph" w:customStyle="1" w:styleId="3988">
    <w:name w:val="Char60"/>
    <w:basedOn w:val="1"/>
    <w:uiPriority w:val="0"/>
    <w:pPr>
      <w:widowControl/>
      <w:ind w:left="-48"/>
      <w:jc w:val="left"/>
    </w:pPr>
    <w:rPr>
      <w:rFonts w:ascii="宋体" w:hAnsi="宋体" w:cs="宋体"/>
      <w:kern w:val="0"/>
      <w:szCs w:val="24"/>
    </w:rPr>
  </w:style>
  <w:style w:type="paragraph" w:customStyle="1" w:styleId="3989">
    <w:name w:val="Char291"/>
    <w:basedOn w:val="1"/>
    <w:uiPriority w:val="0"/>
    <w:pPr>
      <w:widowControl/>
      <w:ind w:left="-48"/>
      <w:jc w:val="left"/>
    </w:pPr>
    <w:rPr>
      <w:rFonts w:ascii="宋体" w:hAnsi="宋体" w:cs="宋体"/>
      <w:kern w:val="0"/>
      <w:szCs w:val="24"/>
    </w:rPr>
  </w:style>
  <w:style w:type="paragraph" w:customStyle="1" w:styleId="3990">
    <w:name w:val="正文修改221"/>
    <w:basedOn w:val="236"/>
    <w:uiPriority w:val="0"/>
    <w:rPr>
      <w:rFonts w:hAnsi="宋体" w:eastAsia="宋体" w:cs="宋体"/>
      <w:color w:val="000000"/>
      <w:szCs w:val="24"/>
    </w:rPr>
  </w:style>
  <w:style w:type="paragraph" w:customStyle="1" w:styleId="3991">
    <w:name w:val="标题41131"/>
    <w:basedOn w:val="1"/>
    <w:uiPriority w:val="0"/>
    <w:pPr>
      <w:widowControl/>
      <w:spacing w:line="300" w:lineRule="auto"/>
      <w:jc w:val="left"/>
    </w:pPr>
    <w:rPr>
      <w:rFonts w:ascii="黑体" w:hAnsi="宋体" w:eastAsia="黑体" w:cs="宋体"/>
      <w:bCs/>
      <w:kern w:val="0"/>
      <w:szCs w:val="20"/>
    </w:rPr>
  </w:style>
  <w:style w:type="paragraph" w:customStyle="1" w:styleId="3992">
    <w:name w:val="表题3143"/>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3993">
    <w:name w:val="表内宋511211"/>
    <w:basedOn w:val="433"/>
    <w:uiPriority w:val="0"/>
    <w:rPr>
      <w:rFonts w:ascii="宋体" w:hAnsi="宋体" w:cs="宋体"/>
      <w:color w:val="000000"/>
      <w:sz w:val="21"/>
      <w:szCs w:val="24"/>
    </w:rPr>
  </w:style>
  <w:style w:type="paragraph" w:customStyle="1" w:styleId="3994">
    <w:name w:val="燕山正文1321"/>
    <w:basedOn w:val="1"/>
    <w:uiPriority w:val="0"/>
    <w:pPr>
      <w:widowControl/>
      <w:tabs>
        <w:tab w:val="left" w:pos="4680"/>
      </w:tabs>
      <w:ind w:firstLine="480"/>
      <w:jc w:val="left"/>
    </w:pPr>
    <w:rPr>
      <w:rFonts w:ascii="宋体" w:hAnsi="宋体" w:cs="宋体"/>
      <w:bCs/>
      <w:color w:val="000000"/>
      <w:kern w:val="0"/>
      <w:szCs w:val="24"/>
    </w:rPr>
  </w:style>
  <w:style w:type="paragraph" w:customStyle="1" w:styleId="3995">
    <w:name w:val="表内宋511113"/>
    <w:basedOn w:val="433"/>
    <w:uiPriority w:val="0"/>
    <w:rPr>
      <w:rFonts w:ascii="宋体" w:hAnsi="宋体" w:cs="宋体"/>
      <w:color w:val="000000"/>
      <w:sz w:val="21"/>
      <w:szCs w:val="24"/>
    </w:rPr>
  </w:style>
  <w:style w:type="paragraph" w:customStyle="1" w:styleId="3996">
    <w:name w:val="表内宋5中1113"/>
    <w:basedOn w:val="1"/>
    <w:uiPriority w:val="0"/>
    <w:pPr>
      <w:widowControl/>
      <w:jc w:val="center"/>
      <w:textAlignment w:val="baseline"/>
    </w:pPr>
    <w:rPr>
      <w:rFonts w:ascii="宋体" w:hAnsi="宋体" w:cs="宋体"/>
      <w:kern w:val="0"/>
      <w:szCs w:val="20"/>
    </w:rPr>
  </w:style>
  <w:style w:type="paragraph" w:customStyle="1" w:styleId="3997">
    <w:name w:val="Char417"/>
    <w:basedOn w:val="1"/>
    <w:uiPriority w:val="0"/>
    <w:pPr>
      <w:widowControl/>
      <w:ind w:left="-48"/>
      <w:jc w:val="left"/>
    </w:pPr>
    <w:rPr>
      <w:rFonts w:ascii="宋体" w:hAnsi="宋体" w:cs="宋体"/>
      <w:kern w:val="0"/>
      <w:szCs w:val="24"/>
    </w:rPr>
  </w:style>
  <w:style w:type="paragraph" w:customStyle="1" w:styleId="3998">
    <w:name w:val="Char1212"/>
    <w:basedOn w:val="1"/>
    <w:uiPriority w:val="0"/>
    <w:pPr>
      <w:widowControl/>
      <w:jc w:val="left"/>
    </w:pPr>
    <w:rPr>
      <w:rFonts w:ascii="宋体" w:hAnsi="宋体" w:cs="宋体"/>
      <w:kern w:val="0"/>
      <w:szCs w:val="24"/>
    </w:rPr>
  </w:style>
  <w:style w:type="paragraph" w:customStyle="1" w:styleId="3999">
    <w:name w:val="默认段落字体 Para Char Char Char Char34"/>
    <w:basedOn w:val="1"/>
    <w:uiPriority w:val="0"/>
    <w:pPr>
      <w:widowControl/>
      <w:jc w:val="left"/>
    </w:pPr>
    <w:rPr>
      <w:rFonts w:ascii="宋体" w:hAnsi="宋体" w:cs="宋体"/>
      <w:kern w:val="0"/>
      <w:szCs w:val="24"/>
    </w:rPr>
  </w:style>
  <w:style w:type="paragraph" w:customStyle="1" w:styleId="4000">
    <w:name w:val="Char Char Char Char Char Char Char34"/>
    <w:basedOn w:val="1"/>
    <w:uiPriority w:val="0"/>
    <w:pPr>
      <w:widowControl/>
      <w:jc w:val="left"/>
    </w:pPr>
    <w:rPr>
      <w:rFonts w:ascii="宋体" w:hAnsi="宋体" w:cs="宋体"/>
      <w:kern w:val="0"/>
      <w:szCs w:val="24"/>
    </w:rPr>
  </w:style>
  <w:style w:type="paragraph" w:customStyle="1" w:styleId="4001">
    <w:name w:val="Char Char Char Char Char Char Char210"/>
    <w:basedOn w:val="1"/>
    <w:uiPriority w:val="0"/>
    <w:pPr>
      <w:widowControl/>
      <w:jc w:val="left"/>
    </w:pPr>
    <w:rPr>
      <w:rFonts w:ascii="宋体" w:hAnsi="宋体" w:cs="宋体"/>
      <w:kern w:val="0"/>
      <w:szCs w:val="24"/>
    </w:rPr>
  </w:style>
  <w:style w:type="paragraph" w:customStyle="1" w:styleId="4002">
    <w:name w:val="正文格式＝2111"/>
    <w:basedOn w:val="207"/>
    <w:next w:val="207"/>
    <w:uiPriority w:val="0"/>
    <w:rPr>
      <w:rFonts w:hAnsi="宋体"/>
      <w:szCs w:val="24"/>
    </w:rPr>
  </w:style>
  <w:style w:type="paragraph" w:customStyle="1" w:styleId="4003">
    <w:name w:val="默认段落字体 Para Char Char Char Char2111"/>
    <w:basedOn w:val="1"/>
    <w:uiPriority w:val="0"/>
    <w:pPr>
      <w:widowControl/>
      <w:jc w:val="left"/>
    </w:pPr>
    <w:rPr>
      <w:rFonts w:ascii="宋体" w:hAnsi="宋体" w:cs="宋体"/>
      <w:kern w:val="0"/>
      <w:szCs w:val="24"/>
    </w:rPr>
  </w:style>
  <w:style w:type="paragraph" w:customStyle="1" w:styleId="4004">
    <w:name w:val="正文修改131"/>
    <w:basedOn w:val="236"/>
    <w:uiPriority w:val="0"/>
    <w:rPr>
      <w:rFonts w:hAnsi="宋体" w:eastAsia="宋体" w:cs="宋体"/>
      <w:color w:val="000000"/>
      <w:szCs w:val="24"/>
    </w:rPr>
  </w:style>
  <w:style w:type="paragraph" w:customStyle="1" w:styleId="4005">
    <w:name w:val="燕山正文1143"/>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4006">
    <w:name w:val="Char84"/>
    <w:basedOn w:val="1"/>
    <w:uiPriority w:val="0"/>
    <w:pPr>
      <w:widowControl/>
      <w:ind w:left="-48"/>
      <w:jc w:val="left"/>
    </w:pPr>
    <w:rPr>
      <w:rFonts w:ascii="宋体" w:hAnsi="宋体" w:cs="宋体"/>
      <w:kern w:val="0"/>
      <w:szCs w:val="24"/>
    </w:rPr>
  </w:style>
  <w:style w:type="paragraph" w:customStyle="1" w:styleId="4007">
    <w:name w:val="环评正文4"/>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4008">
    <w:name w:val="Char413"/>
    <w:basedOn w:val="1"/>
    <w:uiPriority w:val="0"/>
    <w:pPr>
      <w:widowControl/>
      <w:ind w:left="-48"/>
      <w:jc w:val="left"/>
    </w:pPr>
    <w:rPr>
      <w:rFonts w:ascii="宋体" w:hAnsi="宋体" w:cs="宋体"/>
      <w:kern w:val="0"/>
      <w:szCs w:val="24"/>
    </w:rPr>
  </w:style>
  <w:style w:type="paragraph" w:customStyle="1" w:styleId="4009">
    <w:name w:val="Char1110"/>
    <w:basedOn w:val="1"/>
    <w:uiPriority w:val="0"/>
    <w:pPr>
      <w:widowControl/>
      <w:ind w:left="-48"/>
      <w:jc w:val="left"/>
    </w:pPr>
    <w:rPr>
      <w:rFonts w:ascii="宋体" w:hAnsi="宋体" w:cs="宋体"/>
      <w:kern w:val="0"/>
      <w:szCs w:val="24"/>
    </w:rPr>
  </w:style>
  <w:style w:type="paragraph" w:customStyle="1" w:styleId="4010">
    <w:name w:val="样式 标题 4无效格式无效格式1河石管道4H4H41小小节河石管道41H42H411小小节1河石管道42...121"/>
    <w:basedOn w:val="5"/>
    <w:uiPriority w:val="0"/>
    <w:pPr>
      <w:numPr>
        <w:ilvl w:val="0"/>
        <w:numId w:val="0"/>
      </w:numPr>
      <w:spacing w:after="0" w:line="360" w:lineRule="auto"/>
      <w:ind w:left="664" w:hanging="864"/>
    </w:pPr>
    <w:rPr>
      <w:rFonts w:ascii="黑体" w:hAnsi="Arial" w:eastAsia="黑体" w:cs="宋体"/>
      <w:b w:val="0"/>
      <w:bCs w:val="0"/>
      <w:kern w:val="2"/>
      <w:sz w:val="24"/>
      <w:szCs w:val="20"/>
    </w:rPr>
  </w:style>
  <w:style w:type="paragraph" w:customStyle="1" w:styleId="4011">
    <w:name w:val="Char Char Char Char Char Char Char124"/>
    <w:basedOn w:val="1"/>
    <w:uiPriority w:val="0"/>
    <w:pPr>
      <w:widowControl/>
      <w:jc w:val="left"/>
    </w:pPr>
    <w:rPr>
      <w:rFonts w:ascii="宋体" w:hAnsi="宋体" w:cs="宋体"/>
      <w:kern w:val="0"/>
      <w:szCs w:val="24"/>
    </w:rPr>
  </w:style>
  <w:style w:type="paragraph" w:customStyle="1" w:styleId="4012">
    <w:name w:val="Char75"/>
    <w:basedOn w:val="1"/>
    <w:uiPriority w:val="0"/>
    <w:pPr>
      <w:widowControl/>
      <w:ind w:left="-48"/>
      <w:jc w:val="left"/>
    </w:pPr>
    <w:rPr>
      <w:rFonts w:ascii="宋体" w:hAnsi="宋体" w:cs="宋体"/>
      <w:kern w:val="0"/>
      <w:szCs w:val="24"/>
    </w:rPr>
  </w:style>
  <w:style w:type="paragraph" w:customStyle="1" w:styleId="4013">
    <w:name w:val="Char426"/>
    <w:basedOn w:val="1"/>
    <w:uiPriority w:val="0"/>
    <w:pPr>
      <w:widowControl/>
      <w:ind w:left="-48"/>
      <w:jc w:val="left"/>
    </w:pPr>
    <w:rPr>
      <w:rFonts w:ascii="宋体" w:hAnsi="宋体" w:cs="宋体"/>
      <w:kern w:val="0"/>
      <w:szCs w:val="24"/>
    </w:rPr>
  </w:style>
  <w:style w:type="paragraph" w:customStyle="1" w:styleId="4014">
    <w:name w:val="表题31321"/>
    <w:basedOn w:val="267"/>
    <w:uiPriority w:val="0"/>
    <w:pPr>
      <w:widowControl/>
      <w:tabs>
        <w:tab w:val="left" w:pos="4305"/>
      </w:tabs>
      <w:spacing w:after="0" w:line="240" w:lineRule="auto"/>
      <w:ind w:left="0" w:leftChars="0" w:firstLine="0" w:firstLineChars="0"/>
      <w:jc w:val="center"/>
    </w:pPr>
    <w:rPr>
      <w:rFonts w:ascii="宋体" w:hAnsi="宋体"/>
      <w:sz w:val="24"/>
    </w:rPr>
  </w:style>
  <w:style w:type="paragraph" w:customStyle="1" w:styleId="4015">
    <w:name w:val="Char Char Char Char Char Char Char171"/>
    <w:basedOn w:val="1"/>
    <w:uiPriority w:val="0"/>
    <w:pPr>
      <w:widowControl/>
      <w:jc w:val="left"/>
    </w:pPr>
    <w:rPr>
      <w:rFonts w:ascii="宋体" w:hAnsi="宋体" w:cs="宋体"/>
      <w:kern w:val="0"/>
      <w:szCs w:val="24"/>
    </w:rPr>
  </w:style>
  <w:style w:type="paragraph" w:customStyle="1" w:styleId="4016">
    <w:name w:val="标题4312111"/>
    <w:basedOn w:val="1"/>
    <w:uiPriority w:val="0"/>
    <w:pPr>
      <w:widowControl/>
      <w:spacing w:line="480" w:lineRule="exact"/>
      <w:jc w:val="center"/>
    </w:pPr>
    <w:rPr>
      <w:rFonts w:ascii="宋体" w:hAnsi="宋体" w:cs="宋体"/>
      <w:kern w:val="0"/>
      <w:szCs w:val="24"/>
    </w:rPr>
  </w:style>
  <w:style w:type="paragraph" w:customStyle="1" w:styleId="4017">
    <w:name w:val="Char430"/>
    <w:basedOn w:val="1"/>
    <w:uiPriority w:val="0"/>
    <w:pPr>
      <w:widowControl/>
      <w:ind w:left="-48"/>
      <w:jc w:val="left"/>
    </w:pPr>
    <w:rPr>
      <w:rFonts w:ascii="宋体" w:hAnsi="宋体" w:cs="宋体"/>
      <w:kern w:val="0"/>
      <w:szCs w:val="24"/>
    </w:rPr>
  </w:style>
  <w:style w:type="paragraph" w:customStyle="1" w:styleId="4018">
    <w:name w:val="表内宋511121"/>
    <w:basedOn w:val="433"/>
    <w:uiPriority w:val="0"/>
    <w:rPr>
      <w:rFonts w:ascii="宋体" w:hAnsi="宋体" w:cs="宋体"/>
      <w:color w:val="000000"/>
      <w:sz w:val="21"/>
      <w:szCs w:val="24"/>
    </w:rPr>
  </w:style>
  <w:style w:type="paragraph" w:customStyle="1" w:styleId="4019">
    <w:name w:val="表213"/>
    <w:basedOn w:val="1"/>
    <w:uiPriority w:val="0"/>
    <w:pPr>
      <w:widowControl/>
      <w:jc w:val="center"/>
    </w:pPr>
    <w:rPr>
      <w:rFonts w:ascii="宋体" w:hAnsi="宋体" w:cs="宋体"/>
      <w:kern w:val="0"/>
      <w:szCs w:val="24"/>
    </w:rPr>
  </w:style>
  <w:style w:type="paragraph" w:customStyle="1" w:styleId="4020">
    <w:name w:val="表题21113"/>
    <w:basedOn w:val="1"/>
    <w:uiPriority w:val="0"/>
    <w:pPr>
      <w:widowControl/>
      <w:jc w:val="center"/>
    </w:pPr>
    <w:rPr>
      <w:rFonts w:ascii="黑体" w:hAnsi="宋体" w:eastAsia="黑体" w:cs="宋体"/>
      <w:kern w:val="0"/>
      <w:szCs w:val="24"/>
    </w:rPr>
  </w:style>
  <w:style w:type="paragraph" w:customStyle="1" w:styleId="4021">
    <w:name w:val="Char Char Char Char Char Char Char1210"/>
    <w:basedOn w:val="1"/>
    <w:uiPriority w:val="0"/>
    <w:pPr>
      <w:widowControl/>
      <w:jc w:val="left"/>
    </w:pPr>
    <w:rPr>
      <w:rFonts w:ascii="宋体" w:hAnsi="宋体" w:cs="宋体"/>
      <w:kern w:val="0"/>
      <w:szCs w:val="20"/>
    </w:rPr>
  </w:style>
  <w:style w:type="paragraph" w:customStyle="1" w:styleId="4022">
    <w:name w:val="表内文字小26"/>
    <w:basedOn w:val="1"/>
    <w:uiPriority w:val="0"/>
    <w:pPr>
      <w:widowControl/>
      <w:jc w:val="center"/>
    </w:pPr>
    <w:rPr>
      <w:rFonts w:ascii="宋体" w:hAnsi="Times" w:cs="宋体"/>
      <w:bCs/>
      <w:color w:val="000000"/>
      <w:kern w:val="0"/>
      <w:szCs w:val="20"/>
    </w:rPr>
  </w:style>
  <w:style w:type="paragraph" w:customStyle="1" w:styleId="4023">
    <w:name w:val="表内541511"/>
    <w:basedOn w:val="1"/>
    <w:uiPriority w:val="0"/>
    <w:pPr>
      <w:widowControl/>
      <w:spacing w:line="300" w:lineRule="auto"/>
      <w:jc w:val="center"/>
    </w:pPr>
    <w:rPr>
      <w:rFonts w:ascii="宋体" w:hAnsi="宋体" w:cs="宋体"/>
      <w:kern w:val="0"/>
      <w:szCs w:val="20"/>
    </w:rPr>
  </w:style>
  <w:style w:type="paragraph" w:customStyle="1" w:styleId="4024">
    <w:name w:val="Char Char Char Char Char Char Char127"/>
    <w:basedOn w:val="1"/>
    <w:uiPriority w:val="0"/>
    <w:pPr>
      <w:widowControl/>
      <w:jc w:val="left"/>
    </w:pPr>
    <w:rPr>
      <w:rFonts w:ascii="宋体" w:hAnsi="宋体" w:cs="宋体"/>
      <w:kern w:val="0"/>
      <w:szCs w:val="24"/>
    </w:rPr>
  </w:style>
  <w:style w:type="paragraph" w:customStyle="1" w:styleId="4025">
    <w:name w:val="表题21131"/>
    <w:basedOn w:val="1"/>
    <w:uiPriority w:val="0"/>
    <w:pPr>
      <w:widowControl/>
      <w:jc w:val="center"/>
    </w:pPr>
    <w:rPr>
      <w:rFonts w:ascii="黑体" w:hAnsi="宋体" w:eastAsia="黑体" w:cs="宋体"/>
      <w:kern w:val="0"/>
      <w:szCs w:val="24"/>
    </w:rPr>
  </w:style>
  <w:style w:type="paragraph" w:customStyle="1" w:styleId="4026">
    <w:name w:val="表内551"/>
    <w:basedOn w:val="1"/>
    <w:uiPriority w:val="0"/>
    <w:pPr>
      <w:widowControl/>
      <w:spacing w:line="300" w:lineRule="auto"/>
      <w:jc w:val="left"/>
    </w:pPr>
    <w:rPr>
      <w:rFonts w:ascii="宋体" w:hAnsi="宋体" w:cs="宋体"/>
      <w:kern w:val="0"/>
      <w:sz w:val="18"/>
      <w:szCs w:val="20"/>
    </w:rPr>
  </w:style>
  <w:style w:type="paragraph" w:customStyle="1" w:styleId="4027">
    <w:name w:val="表内宋5中6"/>
    <w:basedOn w:val="1"/>
    <w:uiPriority w:val="0"/>
    <w:pPr>
      <w:widowControl/>
      <w:jc w:val="left"/>
      <w:textAlignment w:val="baseline"/>
    </w:pPr>
    <w:rPr>
      <w:rFonts w:ascii="宋体" w:hAnsi="宋体" w:cs="宋体"/>
      <w:color w:val="000000"/>
      <w:kern w:val="0"/>
      <w:szCs w:val="20"/>
    </w:rPr>
  </w:style>
  <w:style w:type="paragraph" w:customStyle="1" w:styleId="4028">
    <w:name w:val="Char Char2 Char Char Char Char25"/>
    <w:basedOn w:val="1"/>
    <w:uiPriority w:val="0"/>
    <w:pPr>
      <w:widowControl/>
      <w:jc w:val="left"/>
    </w:pPr>
    <w:rPr>
      <w:rFonts w:ascii="宋体" w:hAnsi="宋体" w:cs="宋体"/>
      <w:kern w:val="0"/>
      <w:szCs w:val="24"/>
    </w:rPr>
  </w:style>
  <w:style w:type="paragraph" w:customStyle="1" w:styleId="4029">
    <w:name w:val="正文修改213"/>
    <w:basedOn w:val="236"/>
    <w:uiPriority w:val="0"/>
    <w:rPr>
      <w:rFonts w:hAnsi="宋体" w:eastAsia="宋体" w:cs="宋体"/>
      <w:color w:val="000000"/>
      <w:szCs w:val="24"/>
    </w:rPr>
  </w:style>
  <w:style w:type="paragraph" w:customStyle="1" w:styleId="4030">
    <w:name w:val="Char Char Char Char Char Char Char132"/>
    <w:basedOn w:val="1"/>
    <w:uiPriority w:val="0"/>
    <w:pPr>
      <w:widowControl/>
      <w:jc w:val="left"/>
    </w:pPr>
    <w:rPr>
      <w:rFonts w:ascii="宋体" w:hAnsi="宋体" w:cs="宋体"/>
      <w:kern w:val="0"/>
      <w:szCs w:val="24"/>
    </w:rPr>
  </w:style>
  <w:style w:type="paragraph" w:customStyle="1" w:styleId="4031">
    <w:name w:val="Char Char Char Char Char Char Char119"/>
    <w:basedOn w:val="1"/>
    <w:uiPriority w:val="0"/>
    <w:pPr>
      <w:widowControl/>
      <w:jc w:val="left"/>
    </w:pPr>
    <w:rPr>
      <w:rFonts w:ascii="宋体" w:hAnsi="宋体" w:cs="宋体"/>
      <w:kern w:val="0"/>
      <w:szCs w:val="24"/>
    </w:rPr>
  </w:style>
  <w:style w:type="paragraph" w:customStyle="1" w:styleId="4032">
    <w:name w:val="附件61"/>
    <w:basedOn w:val="2"/>
    <w:next w:val="207"/>
    <w:uiPriority w:val="0"/>
    <w:pPr>
      <w:numPr>
        <w:numId w:val="0"/>
      </w:numPr>
      <w:spacing w:before="220"/>
    </w:pPr>
    <w:rPr>
      <w:rFonts w:ascii="黑体" w:eastAsia="黑体"/>
      <w:b w:val="0"/>
      <w:sz w:val="32"/>
      <w:szCs w:val="32"/>
      <w:lang w:val="zh-CN" w:eastAsia="zh-CN"/>
    </w:rPr>
  </w:style>
  <w:style w:type="paragraph" w:customStyle="1" w:styleId="4033">
    <w:name w:val="Char Char2 Char Char Char Char1112"/>
    <w:basedOn w:val="1"/>
    <w:uiPriority w:val="0"/>
    <w:pPr>
      <w:widowControl/>
      <w:jc w:val="left"/>
    </w:pPr>
    <w:rPr>
      <w:rFonts w:ascii="宋体" w:hAnsi="宋体" w:cs="宋体"/>
      <w:kern w:val="0"/>
      <w:szCs w:val="24"/>
    </w:rPr>
  </w:style>
  <w:style w:type="paragraph" w:customStyle="1" w:styleId="4034">
    <w:name w:val="Char55"/>
    <w:basedOn w:val="1"/>
    <w:uiPriority w:val="0"/>
    <w:pPr>
      <w:widowControl/>
      <w:ind w:left="-48"/>
      <w:jc w:val="left"/>
    </w:pPr>
    <w:rPr>
      <w:rFonts w:ascii="宋体" w:hAnsi="宋体" w:cs="宋体"/>
      <w:kern w:val="0"/>
      <w:szCs w:val="24"/>
    </w:rPr>
  </w:style>
  <w:style w:type="paragraph" w:customStyle="1" w:styleId="4035">
    <w:name w:val="表121"/>
    <w:basedOn w:val="1"/>
    <w:uiPriority w:val="0"/>
    <w:pPr>
      <w:widowControl/>
      <w:jc w:val="center"/>
    </w:pPr>
    <w:rPr>
      <w:rFonts w:ascii="宋体" w:hAnsi="宋体" w:cs="宋体"/>
      <w:kern w:val="0"/>
      <w:szCs w:val="24"/>
    </w:rPr>
  </w:style>
  <w:style w:type="paragraph" w:customStyle="1" w:styleId="4036">
    <w:name w:val="表内514"/>
    <w:basedOn w:val="1"/>
    <w:uiPriority w:val="0"/>
    <w:pPr>
      <w:widowControl/>
      <w:jc w:val="center"/>
    </w:pPr>
    <w:rPr>
      <w:rFonts w:ascii="宋体" w:hAnsi="宋体" w:cs="宋体"/>
      <w:kern w:val="0"/>
      <w:sz w:val="20"/>
      <w:szCs w:val="20"/>
    </w:rPr>
  </w:style>
  <w:style w:type="paragraph" w:customStyle="1" w:styleId="4037">
    <w:name w:val="表313"/>
    <w:basedOn w:val="1"/>
    <w:uiPriority w:val="0"/>
    <w:pPr>
      <w:widowControl/>
      <w:jc w:val="center"/>
    </w:pPr>
    <w:rPr>
      <w:rFonts w:ascii="宋体" w:hAnsi="宋体" w:cs="宋体"/>
      <w:kern w:val="0"/>
      <w:szCs w:val="24"/>
    </w:rPr>
  </w:style>
  <w:style w:type="paragraph" w:customStyle="1" w:styleId="4038">
    <w:name w:val="样式 表格内字体1 +12"/>
    <w:basedOn w:val="2316"/>
    <w:next w:val="347"/>
    <w:uiPriority w:val="0"/>
    <w:rPr>
      <w:rFonts w:hAnsi="Times New Roman" w:cs="宋体"/>
      <w:szCs w:val="20"/>
    </w:rPr>
  </w:style>
  <w:style w:type="paragraph" w:customStyle="1" w:styleId="4039">
    <w:name w:val="Char341"/>
    <w:basedOn w:val="1"/>
    <w:uiPriority w:val="0"/>
    <w:pPr>
      <w:widowControl/>
      <w:ind w:left="-48"/>
      <w:jc w:val="left"/>
    </w:pPr>
    <w:rPr>
      <w:rFonts w:ascii="宋体" w:hAnsi="宋体" w:cs="宋体"/>
      <w:kern w:val="0"/>
      <w:szCs w:val="24"/>
    </w:rPr>
  </w:style>
  <w:style w:type="paragraph" w:customStyle="1" w:styleId="4040">
    <w:name w:val="表内文字小41"/>
    <w:basedOn w:val="1"/>
    <w:uiPriority w:val="0"/>
    <w:pPr>
      <w:widowControl/>
      <w:jc w:val="center"/>
    </w:pPr>
    <w:rPr>
      <w:rFonts w:ascii="宋体" w:hAnsi="Times" w:cs="宋体"/>
      <w:kern w:val="0"/>
      <w:szCs w:val="20"/>
    </w:rPr>
  </w:style>
  <w:style w:type="paragraph" w:customStyle="1" w:styleId="4041">
    <w:name w:val="Char1412"/>
    <w:basedOn w:val="1"/>
    <w:uiPriority w:val="0"/>
    <w:pPr>
      <w:widowControl/>
      <w:ind w:left="-48"/>
      <w:jc w:val="left"/>
    </w:pPr>
    <w:rPr>
      <w:rFonts w:ascii="宋体" w:hAnsi="宋体" w:cs="宋体"/>
      <w:kern w:val="0"/>
      <w:szCs w:val="24"/>
    </w:rPr>
  </w:style>
  <w:style w:type="paragraph" w:customStyle="1" w:styleId="4042">
    <w:name w:val="Char Char Char Char1 Char Char Char112"/>
    <w:basedOn w:val="1"/>
    <w:uiPriority w:val="0"/>
    <w:pPr>
      <w:widowControl/>
      <w:spacing w:after="160" w:line="240" w:lineRule="exact"/>
      <w:jc w:val="left"/>
    </w:pPr>
    <w:rPr>
      <w:rFonts w:ascii="Verdana" w:hAnsi="Verdana" w:cs="宋体"/>
      <w:kern w:val="0"/>
      <w:sz w:val="20"/>
      <w:szCs w:val="20"/>
      <w:lang w:eastAsia="en-US"/>
    </w:rPr>
  </w:style>
  <w:style w:type="paragraph" w:customStyle="1" w:styleId="4043">
    <w:name w:val="Char163"/>
    <w:basedOn w:val="1"/>
    <w:uiPriority w:val="0"/>
    <w:pPr>
      <w:widowControl/>
      <w:ind w:left="-48"/>
      <w:jc w:val="left"/>
    </w:pPr>
    <w:rPr>
      <w:rFonts w:ascii="宋体" w:hAnsi="宋体" w:cs="宋体"/>
      <w:kern w:val="0"/>
      <w:szCs w:val="24"/>
    </w:rPr>
  </w:style>
  <w:style w:type="paragraph" w:customStyle="1" w:styleId="4044">
    <w:name w:val="表内5913"/>
    <w:basedOn w:val="1"/>
    <w:uiPriority w:val="0"/>
    <w:pPr>
      <w:widowControl/>
      <w:spacing w:line="300" w:lineRule="auto"/>
      <w:jc w:val="center"/>
    </w:pPr>
    <w:rPr>
      <w:rFonts w:ascii="宋体" w:hAnsi="宋体" w:cs="宋体"/>
      <w:snapToGrid w:val="0"/>
      <w:kern w:val="0"/>
      <w:szCs w:val="21"/>
    </w:rPr>
  </w:style>
  <w:style w:type="paragraph" w:customStyle="1" w:styleId="4045">
    <w:name w:val="标题4311111"/>
    <w:basedOn w:val="1"/>
    <w:uiPriority w:val="0"/>
    <w:pPr>
      <w:widowControl/>
      <w:spacing w:line="480" w:lineRule="exact"/>
      <w:jc w:val="center"/>
    </w:pPr>
    <w:rPr>
      <w:rFonts w:ascii="宋体" w:hAnsi="宋体" w:cs="宋体"/>
      <w:kern w:val="0"/>
      <w:szCs w:val="24"/>
    </w:rPr>
  </w:style>
  <w:style w:type="paragraph" w:customStyle="1" w:styleId="4046">
    <w:name w:val="表内5中121"/>
    <w:basedOn w:val="1"/>
    <w:uiPriority w:val="0"/>
    <w:pPr>
      <w:widowControl/>
      <w:jc w:val="center"/>
    </w:pPr>
    <w:rPr>
      <w:rFonts w:ascii="宋体" w:hAnsi="宋体" w:cs="Arial"/>
      <w:snapToGrid w:val="0"/>
      <w:color w:val="000000"/>
      <w:kern w:val="0"/>
      <w:szCs w:val="21"/>
    </w:rPr>
  </w:style>
  <w:style w:type="paragraph" w:customStyle="1" w:styleId="4047">
    <w:name w:val="Char Char Char Char Char Char Char37"/>
    <w:basedOn w:val="1"/>
    <w:uiPriority w:val="0"/>
    <w:pPr>
      <w:widowControl/>
      <w:jc w:val="left"/>
    </w:pPr>
    <w:rPr>
      <w:rFonts w:ascii="宋体" w:hAnsi="宋体" w:cs="宋体"/>
      <w:kern w:val="0"/>
      <w:szCs w:val="24"/>
    </w:rPr>
  </w:style>
  <w:style w:type="paragraph" w:customStyle="1" w:styleId="4048">
    <w:name w:val="Char Char Char Char1 Char Char Char14"/>
    <w:basedOn w:val="1"/>
    <w:uiPriority w:val="0"/>
    <w:pPr>
      <w:widowControl/>
      <w:spacing w:after="160" w:line="240" w:lineRule="exact"/>
      <w:jc w:val="left"/>
    </w:pPr>
    <w:rPr>
      <w:rFonts w:ascii="Verdana" w:hAnsi="Verdana" w:cs="宋体"/>
      <w:kern w:val="0"/>
      <w:sz w:val="20"/>
      <w:szCs w:val="20"/>
      <w:lang w:eastAsia="en-US"/>
    </w:rPr>
  </w:style>
  <w:style w:type="paragraph" w:customStyle="1" w:styleId="4049">
    <w:name w:val="附件231"/>
    <w:basedOn w:val="2"/>
    <w:next w:val="207"/>
    <w:uiPriority w:val="0"/>
    <w:pPr>
      <w:numPr>
        <w:numId w:val="0"/>
      </w:numPr>
      <w:spacing w:before="220"/>
    </w:pPr>
    <w:rPr>
      <w:rFonts w:ascii="黑体" w:eastAsia="黑体"/>
      <w:sz w:val="32"/>
      <w:szCs w:val="32"/>
      <w:lang w:val="zh-CN" w:eastAsia="zh-CN"/>
    </w:rPr>
  </w:style>
  <w:style w:type="paragraph" w:customStyle="1" w:styleId="4050">
    <w:name w:val="表内文字小2161"/>
    <w:basedOn w:val="1"/>
    <w:uiPriority w:val="0"/>
    <w:pPr>
      <w:widowControl/>
      <w:jc w:val="center"/>
    </w:pPr>
    <w:rPr>
      <w:rFonts w:ascii="宋体" w:hAnsi="Times" w:cs="宋体"/>
      <w:bCs/>
      <w:color w:val="000000"/>
      <w:kern w:val="0"/>
      <w:szCs w:val="20"/>
    </w:rPr>
  </w:style>
  <w:style w:type="paragraph" w:customStyle="1" w:styleId="4051">
    <w:name w:val="Char Char Char Char Char Char Char61"/>
    <w:basedOn w:val="1"/>
    <w:uiPriority w:val="0"/>
    <w:pPr>
      <w:widowControl/>
      <w:jc w:val="left"/>
    </w:pPr>
    <w:rPr>
      <w:rFonts w:ascii="宋体" w:hAnsi="宋体" w:cs="宋体"/>
      <w:kern w:val="0"/>
      <w:szCs w:val="20"/>
    </w:rPr>
  </w:style>
  <w:style w:type="paragraph" w:customStyle="1" w:styleId="4052">
    <w:name w:val="Char2112"/>
    <w:basedOn w:val="1"/>
    <w:uiPriority w:val="0"/>
    <w:pPr>
      <w:widowControl/>
      <w:ind w:left="-48"/>
      <w:jc w:val="left"/>
    </w:pPr>
    <w:rPr>
      <w:rFonts w:ascii="宋体" w:hAnsi="宋体" w:cs="宋体"/>
      <w:kern w:val="0"/>
      <w:szCs w:val="24"/>
    </w:rPr>
  </w:style>
  <w:style w:type="paragraph" w:customStyle="1" w:styleId="4053">
    <w:name w:val="表内54124"/>
    <w:basedOn w:val="1"/>
    <w:uiPriority w:val="0"/>
    <w:pPr>
      <w:widowControl/>
      <w:spacing w:line="300" w:lineRule="auto"/>
      <w:jc w:val="center"/>
    </w:pPr>
    <w:rPr>
      <w:rFonts w:ascii="宋体" w:hAnsi="宋体" w:cs="宋体"/>
      <w:kern w:val="0"/>
      <w:szCs w:val="20"/>
    </w:rPr>
  </w:style>
  <w:style w:type="paragraph" w:customStyle="1" w:styleId="4054">
    <w:name w:val="默认段落字体 Para Char Char Char Char531"/>
    <w:basedOn w:val="1"/>
    <w:uiPriority w:val="0"/>
    <w:pPr>
      <w:widowControl/>
      <w:jc w:val="left"/>
    </w:pPr>
    <w:rPr>
      <w:rFonts w:ascii="宋体" w:hAnsi="宋体" w:cs="宋体"/>
      <w:kern w:val="0"/>
      <w:szCs w:val="24"/>
    </w:rPr>
  </w:style>
  <w:style w:type="paragraph" w:customStyle="1" w:styleId="4055">
    <w:name w:val="Char134"/>
    <w:basedOn w:val="1"/>
    <w:uiPriority w:val="0"/>
    <w:pPr>
      <w:widowControl/>
      <w:ind w:left="-48"/>
      <w:jc w:val="left"/>
    </w:pPr>
    <w:rPr>
      <w:rFonts w:ascii="宋体" w:hAnsi="宋体" w:cs="宋体"/>
      <w:kern w:val="0"/>
      <w:szCs w:val="24"/>
    </w:rPr>
  </w:style>
  <w:style w:type="paragraph" w:customStyle="1" w:styleId="4056">
    <w:name w:val="正文缩31"/>
    <w:basedOn w:val="1"/>
    <w:uiPriority w:val="0"/>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4057">
    <w:name w:val="Default31"/>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4058">
    <w:name w:val="燕山正文11221"/>
    <w:basedOn w:val="1"/>
    <w:uiPriority w:val="0"/>
    <w:pPr>
      <w:widowControl/>
      <w:tabs>
        <w:tab w:val="left" w:pos="4680"/>
      </w:tabs>
      <w:spacing w:line="480" w:lineRule="exact"/>
      <w:jc w:val="left"/>
    </w:pPr>
    <w:rPr>
      <w:rFonts w:ascii="宋体" w:hAnsi="宋体" w:cs="宋体"/>
      <w:bCs/>
      <w:color w:val="000000"/>
      <w:kern w:val="0"/>
      <w:szCs w:val="24"/>
    </w:rPr>
  </w:style>
  <w:style w:type="paragraph" w:customStyle="1" w:styleId="4059">
    <w:name w:val="Char4112"/>
    <w:basedOn w:val="1"/>
    <w:uiPriority w:val="0"/>
    <w:pPr>
      <w:widowControl/>
      <w:ind w:left="-48"/>
      <w:jc w:val="left"/>
    </w:pPr>
    <w:rPr>
      <w:rFonts w:ascii="宋体" w:hAnsi="宋体" w:cs="宋体"/>
      <w:kern w:val="0"/>
      <w:szCs w:val="24"/>
    </w:rPr>
  </w:style>
  <w:style w:type="paragraph" w:customStyle="1" w:styleId="4060">
    <w:name w:val="Char Char2 Char Char Char Char15"/>
    <w:basedOn w:val="1"/>
    <w:uiPriority w:val="0"/>
    <w:pPr>
      <w:widowControl/>
      <w:jc w:val="left"/>
    </w:pPr>
    <w:rPr>
      <w:rFonts w:ascii="宋体" w:hAnsi="宋体" w:cs="宋体"/>
      <w:kern w:val="0"/>
      <w:szCs w:val="24"/>
    </w:rPr>
  </w:style>
  <w:style w:type="paragraph" w:customStyle="1" w:styleId="4061">
    <w:name w:val="表格内容31"/>
    <w:uiPriority w:val="0"/>
    <w:pPr>
      <w:jc w:val="center"/>
    </w:pPr>
    <w:rPr>
      <w:rFonts w:ascii="Times New Roman" w:hAnsi="Times New Roman" w:eastAsia="宋体" w:cs="Times New Roman"/>
      <w:kern w:val="2"/>
      <w:sz w:val="21"/>
      <w:szCs w:val="21"/>
      <w:lang w:val="en-US" w:eastAsia="zh-CN" w:bidi="ar-SA"/>
    </w:rPr>
  </w:style>
  <w:style w:type="paragraph" w:customStyle="1" w:styleId="4062">
    <w:name w:val="表中文字5111"/>
    <w:basedOn w:val="1"/>
    <w:uiPriority w:val="0"/>
    <w:pPr>
      <w:widowControl/>
      <w:spacing w:line="240" w:lineRule="atLeast"/>
      <w:ind w:left="-24" w:leftChars="-10" w:right="-48" w:rightChars="-20"/>
      <w:jc w:val="center"/>
    </w:pPr>
    <w:rPr>
      <w:rFonts w:ascii="宋体" w:hAnsi="宋体" w:cs="宋体"/>
      <w:kern w:val="0"/>
      <w:szCs w:val="21"/>
    </w:rPr>
  </w:style>
  <w:style w:type="character" w:customStyle="1" w:styleId="4063">
    <w:name w:val="biaoge"/>
    <w:uiPriority w:val="0"/>
  </w:style>
  <w:style w:type="paragraph" w:customStyle="1" w:styleId="4064">
    <w:name w:val="标题一一"/>
    <w:basedOn w:val="1"/>
    <w:next w:val="1"/>
    <w:link w:val="4067"/>
    <w:qFormat/>
    <w:uiPriority w:val="0"/>
    <w:pPr>
      <w:spacing w:before="960" w:after="480"/>
      <w:ind w:firstLine="0" w:firstLineChars="0"/>
      <w:jc w:val="left"/>
      <w:outlineLvl w:val="0"/>
    </w:pPr>
    <w:rPr>
      <w:rFonts w:eastAsia="黑体"/>
      <w:sz w:val="44"/>
    </w:rPr>
  </w:style>
  <w:style w:type="paragraph" w:customStyle="1" w:styleId="4065">
    <w:name w:val="标题二二"/>
    <w:basedOn w:val="4064"/>
    <w:next w:val="1"/>
    <w:link w:val="4069"/>
    <w:qFormat/>
    <w:uiPriority w:val="0"/>
    <w:pPr>
      <w:spacing w:before="360" w:after="360"/>
      <w:outlineLvl w:val="1"/>
    </w:pPr>
    <w:rPr>
      <w:sz w:val="32"/>
    </w:rPr>
  </w:style>
  <w:style w:type="character" w:customStyle="1" w:styleId="4066">
    <w:name w:val="正文. Char"/>
    <w:basedOn w:val="109"/>
    <w:link w:val="1991"/>
    <w:uiPriority w:val="0"/>
    <w:rPr>
      <w:rFonts w:ascii="Times New Roman;Symbol;Arial;婼" w:hAnsi="Times New Roman" w:eastAsia="Times New Roman;Symbol;Arial;婼" w:cs="Times New Roman"/>
      <w:kern w:val="0"/>
      <w:szCs w:val="21"/>
    </w:rPr>
  </w:style>
  <w:style w:type="character" w:customStyle="1" w:styleId="4067">
    <w:name w:val="标题一一 Char"/>
    <w:basedOn w:val="4066"/>
    <w:link w:val="4064"/>
    <w:uiPriority w:val="0"/>
    <w:rPr>
      <w:rFonts w:ascii="Times New Roman" w:hAnsi="Times New Roman" w:eastAsia="黑体" w:cs="Times New Roman"/>
      <w:kern w:val="0"/>
      <w:sz w:val="44"/>
      <w:szCs w:val="21"/>
    </w:rPr>
  </w:style>
  <w:style w:type="paragraph" w:customStyle="1" w:styleId="4068">
    <w:name w:val="标题三三"/>
    <w:basedOn w:val="4065"/>
    <w:next w:val="1"/>
    <w:link w:val="4071"/>
    <w:qFormat/>
    <w:uiPriority w:val="0"/>
    <w:pPr>
      <w:spacing w:before="240" w:after="120"/>
      <w:outlineLvl w:val="2"/>
    </w:pPr>
    <w:rPr>
      <w:sz w:val="28"/>
    </w:rPr>
  </w:style>
  <w:style w:type="character" w:customStyle="1" w:styleId="4069">
    <w:name w:val="标题二二 Char"/>
    <w:basedOn w:val="4067"/>
    <w:link w:val="4065"/>
    <w:qFormat/>
    <w:uiPriority w:val="0"/>
    <w:rPr>
      <w:rFonts w:ascii="Times New Roman" w:hAnsi="Times New Roman" w:eastAsia="黑体" w:cs="Times New Roman"/>
      <w:kern w:val="0"/>
      <w:sz w:val="32"/>
      <w:szCs w:val="21"/>
    </w:rPr>
  </w:style>
  <w:style w:type="paragraph" w:customStyle="1" w:styleId="4070">
    <w:name w:val="标题四四"/>
    <w:basedOn w:val="4068"/>
    <w:next w:val="1"/>
    <w:link w:val="4072"/>
    <w:qFormat/>
    <w:uiPriority w:val="0"/>
    <w:pPr>
      <w:outlineLvl w:val="3"/>
    </w:pPr>
  </w:style>
  <w:style w:type="character" w:customStyle="1" w:styleId="4071">
    <w:name w:val="标题三三 Char"/>
    <w:basedOn w:val="4069"/>
    <w:link w:val="4068"/>
    <w:qFormat/>
    <w:uiPriority w:val="0"/>
    <w:rPr>
      <w:rFonts w:ascii="Times New Roman" w:hAnsi="Times New Roman" w:eastAsia="黑体" w:cs="Times New Roman"/>
      <w:kern w:val="0"/>
      <w:sz w:val="28"/>
      <w:szCs w:val="21"/>
    </w:rPr>
  </w:style>
  <w:style w:type="character" w:customStyle="1" w:styleId="4072">
    <w:name w:val="标题四四 Char"/>
    <w:basedOn w:val="4071"/>
    <w:link w:val="4070"/>
    <w:uiPriority w:val="0"/>
    <w:rPr>
      <w:rFonts w:ascii="Times New Roman" w:hAnsi="Times New Roman" w:eastAsia="仿宋_GB2312" w:cs="Times New Roman"/>
      <w:kern w:val="0"/>
      <w:sz w:val="28"/>
      <w:szCs w:val="21"/>
    </w:rPr>
  </w:style>
  <w:style w:type="table" w:customStyle="1" w:styleId="4073">
    <w:name w:val="Plain Table 2"/>
    <w:basedOn w:val="64"/>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bin"/><Relationship Id="rId98" Type="http://schemas.openxmlformats.org/officeDocument/2006/relationships/image" Target="media/image79.wmf"/><Relationship Id="rId97" Type="http://schemas.openxmlformats.org/officeDocument/2006/relationships/oleObject" Target="embeddings/oleObject4.bin"/><Relationship Id="rId96" Type="http://schemas.openxmlformats.org/officeDocument/2006/relationships/image" Target="media/image78.wmf"/><Relationship Id="rId95" Type="http://schemas.openxmlformats.org/officeDocument/2006/relationships/oleObject" Target="embeddings/oleObject3.bin"/><Relationship Id="rId94" Type="http://schemas.openxmlformats.org/officeDocument/2006/relationships/image" Target="media/image77.wmf"/><Relationship Id="rId93" Type="http://schemas.openxmlformats.org/officeDocument/2006/relationships/oleObject" Target="embeddings/oleObject2.bin"/><Relationship Id="rId92" Type="http://schemas.openxmlformats.org/officeDocument/2006/relationships/image" Target="media/image76.wmf"/><Relationship Id="rId91" Type="http://schemas.openxmlformats.org/officeDocument/2006/relationships/oleObject" Target="embeddings/oleObject1.bin"/><Relationship Id="rId90" Type="http://schemas.openxmlformats.org/officeDocument/2006/relationships/image" Target="media/image75.png"/><Relationship Id="rId9" Type="http://schemas.openxmlformats.org/officeDocument/2006/relationships/footer" Target="footer2.xml"/><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jpeg"/><Relationship Id="rId81" Type="http://schemas.openxmlformats.org/officeDocument/2006/relationships/image" Target="media/image66.png"/><Relationship Id="rId80" Type="http://schemas.openxmlformats.org/officeDocument/2006/relationships/image" Target="media/image65.jpeg"/><Relationship Id="rId8" Type="http://schemas.openxmlformats.org/officeDocument/2006/relationships/footer" Target="footer1.xml"/><Relationship Id="rId79" Type="http://schemas.openxmlformats.org/officeDocument/2006/relationships/image" Target="media/image64.jpeg"/><Relationship Id="rId78" Type="http://schemas.openxmlformats.org/officeDocument/2006/relationships/image" Target="media/image63.png"/><Relationship Id="rId77" Type="http://schemas.openxmlformats.org/officeDocument/2006/relationships/image" Target="media/image62.jpe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jpeg"/><Relationship Id="rId73" Type="http://schemas.openxmlformats.org/officeDocument/2006/relationships/image" Target="media/image58.jpeg"/><Relationship Id="rId72" Type="http://schemas.openxmlformats.org/officeDocument/2006/relationships/image" Target="media/image57.png"/><Relationship Id="rId71" Type="http://schemas.openxmlformats.org/officeDocument/2006/relationships/image" Target="media/image56.jpeg"/><Relationship Id="rId70" Type="http://schemas.openxmlformats.org/officeDocument/2006/relationships/image" Target="media/image55.png"/><Relationship Id="rId7" Type="http://schemas.openxmlformats.org/officeDocument/2006/relationships/header" Target="header3.xml"/><Relationship Id="rId69" Type="http://schemas.openxmlformats.org/officeDocument/2006/relationships/image" Target="media/image54.jpeg"/><Relationship Id="rId68" Type="http://schemas.openxmlformats.org/officeDocument/2006/relationships/image" Target="media/image53.png"/><Relationship Id="rId67" Type="http://schemas.openxmlformats.org/officeDocument/2006/relationships/image" Target="media/image52.jpeg"/><Relationship Id="rId66" Type="http://schemas.openxmlformats.org/officeDocument/2006/relationships/image" Target="media/image51.png"/><Relationship Id="rId65" Type="http://schemas.openxmlformats.org/officeDocument/2006/relationships/image" Target="media/image50.jpeg"/><Relationship Id="rId64" Type="http://schemas.openxmlformats.org/officeDocument/2006/relationships/image" Target="media/image49.png"/><Relationship Id="rId63" Type="http://schemas.openxmlformats.org/officeDocument/2006/relationships/image" Target="media/image48.jpeg"/><Relationship Id="rId62" Type="http://schemas.openxmlformats.org/officeDocument/2006/relationships/image" Target="media/image47.jpe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header" Target="header2.xml"/><Relationship Id="rId59" Type="http://schemas.openxmlformats.org/officeDocument/2006/relationships/image" Target="media/image44.jpeg"/><Relationship Id="rId58" Type="http://schemas.openxmlformats.org/officeDocument/2006/relationships/image" Target="media/image43.png"/><Relationship Id="rId57" Type="http://schemas.openxmlformats.org/officeDocument/2006/relationships/image" Target="media/image42.jpeg"/><Relationship Id="rId56" Type="http://schemas.openxmlformats.org/officeDocument/2006/relationships/image" Target="media/image41.png"/><Relationship Id="rId55" Type="http://schemas.openxmlformats.org/officeDocument/2006/relationships/image" Target="media/image40.jpeg"/><Relationship Id="rId54" Type="http://schemas.openxmlformats.org/officeDocument/2006/relationships/image" Target="media/image39.png"/><Relationship Id="rId53" Type="http://schemas.openxmlformats.org/officeDocument/2006/relationships/image" Target="media/image38.jpe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jpe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jpe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png"/><Relationship Id="rId27" Type="http://schemas.openxmlformats.org/officeDocument/2006/relationships/image" Target="media/image12.jpeg"/><Relationship Id="rId26" Type="http://schemas.openxmlformats.org/officeDocument/2006/relationships/image" Target="media/image11.pn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4" Type="http://schemas.openxmlformats.org/officeDocument/2006/relationships/fontTable" Target="fontTable.xml"/><Relationship Id="rId143" Type="http://schemas.openxmlformats.org/officeDocument/2006/relationships/customXml" Target="../customXml/item2.xml"/><Relationship Id="rId142" Type="http://schemas.openxmlformats.org/officeDocument/2006/relationships/numbering" Target="numbering.xml"/><Relationship Id="rId141" Type="http://schemas.openxmlformats.org/officeDocument/2006/relationships/customXml" Target="../customXml/item1.xml"/><Relationship Id="rId140" Type="http://schemas.openxmlformats.org/officeDocument/2006/relationships/image" Target="media/image113.png"/><Relationship Id="rId14" Type="http://schemas.openxmlformats.org/officeDocument/2006/relationships/footer" Target="footer5.xml"/><Relationship Id="rId139" Type="http://schemas.openxmlformats.org/officeDocument/2006/relationships/image" Target="media/image112.png"/><Relationship Id="rId138" Type="http://schemas.openxmlformats.org/officeDocument/2006/relationships/image" Target="media/image111.jpeg"/><Relationship Id="rId137" Type="http://schemas.openxmlformats.org/officeDocument/2006/relationships/image" Target="media/image110.jpeg"/><Relationship Id="rId136" Type="http://schemas.openxmlformats.org/officeDocument/2006/relationships/image" Target="media/image109.jpeg"/><Relationship Id="rId135" Type="http://schemas.openxmlformats.org/officeDocument/2006/relationships/image" Target="media/image108.jpeg"/><Relationship Id="rId134" Type="http://schemas.openxmlformats.org/officeDocument/2006/relationships/image" Target="media/image107.jpeg"/><Relationship Id="rId133" Type="http://schemas.openxmlformats.org/officeDocument/2006/relationships/image" Target="media/image106.jpeg"/><Relationship Id="rId132" Type="http://schemas.openxmlformats.org/officeDocument/2006/relationships/image" Target="media/image105.jpeg"/><Relationship Id="rId131" Type="http://schemas.openxmlformats.org/officeDocument/2006/relationships/image" Target="media/image104.jpeg"/><Relationship Id="rId130" Type="http://schemas.openxmlformats.org/officeDocument/2006/relationships/image" Target="media/image103.jpeg"/><Relationship Id="rId13" Type="http://schemas.openxmlformats.org/officeDocument/2006/relationships/footer" Target="footer4.xml"/><Relationship Id="rId129" Type="http://schemas.openxmlformats.org/officeDocument/2006/relationships/image" Target="media/image102.jpeg"/><Relationship Id="rId128" Type="http://schemas.openxmlformats.org/officeDocument/2006/relationships/image" Target="media/image101.wmf"/><Relationship Id="rId127" Type="http://schemas.openxmlformats.org/officeDocument/2006/relationships/oleObject" Target="embeddings/oleObject12.bin"/><Relationship Id="rId126" Type="http://schemas.openxmlformats.org/officeDocument/2006/relationships/image" Target="media/image100.png"/><Relationship Id="rId125" Type="http://schemas.openxmlformats.org/officeDocument/2006/relationships/oleObject" Target="embeddings/oleObject11.bin"/><Relationship Id="rId124" Type="http://schemas.openxmlformats.org/officeDocument/2006/relationships/image" Target="media/image99.png"/><Relationship Id="rId123" Type="http://schemas.openxmlformats.org/officeDocument/2006/relationships/image" Target="media/image98.png"/><Relationship Id="rId122" Type="http://schemas.openxmlformats.org/officeDocument/2006/relationships/image" Target="media/image97.png"/><Relationship Id="rId121" Type="http://schemas.openxmlformats.org/officeDocument/2006/relationships/image" Target="media/image96.jpeg"/><Relationship Id="rId120" Type="http://schemas.openxmlformats.org/officeDocument/2006/relationships/image" Target="media/image95.jpeg"/><Relationship Id="rId12" Type="http://schemas.openxmlformats.org/officeDocument/2006/relationships/header" Target="header5.xml"/><Relationship Id="rId119" Type="http://schemas.openxmlformats.org/officeDocument/2006/relationships/image" Target="media/image94.jpeg"/><Relationship Id="rId118" Type="http://schemas.openxmlformats.org/officeDocument/2006/relationships/image" Target="media/image93.jpeg"/><Relationship Id="rId117" Type="http://schemas.openxmlformats.org/officeDocument/2006/relationships/image" Target="media/image92.png"/><Relationship Id="rId116" Type="http://schemas.openxmlformats.org/officeDocument/2006/relationships/image" Target="media/image91.jpeg"/><Relationship Id="rId115" Type="http://schemas.openxmlformats.org/officeDocument/2006/relationships/image" Target="media/image90.jpeg"/><Relationship Id="rId114" Type="http://schemas.openxmlformats.org/officeDocument/2006/relationships/image" Target="media/image89.png"/><Relationship Id="rId113" Type="http://schemas.openxmlformats.org/officeDocument/2006/relationships/image" Target="media/image88.png"/><Relationship Id="rId112" Type="http://schemas.openxmlformats.org/officeDocument/2006/relationships/image" Target="media/image87.png"/><Relationship Id="rId111" Type="http://schemas.openxmlformats.org/officeDocument/2006/relationships/image" Target="media/image86.png"/><Relationship Id="rId110" Type="http://schemas.openxmlformats.org/officeDocument/2006/relationships/image" Target="media/image85.wmf"/><Relationship Id="rId11" Type="http://schemas.openxmlformats.org/officeDocument/2006/relationships/header" Target="header4.xml"/><Relationship Id="rId109" Type="http://schemas.openxmlformats.org/officeDocument/2006/relationships/oleObject" Target="embeddings/oleObject10.bin"/><Relationship Id="rId108" Type="http://schemas.openxmlformats.org/officeDocument/2006/relationships/image" Target="media/image84.wmf"/><Relationship Id="rId107" Type="http://schemas.openxmlformats.org/officeDocument/2006/relationships/oleObject" Target="embeddings/oleObject9.bin"/><Relationship Id="rId106" Type="http://schemas.openxmlformats.org/officeDocument/2006/relationships/image" Target="media/image83.wmf"/><Relationship Id="rId105" Type="http://schemas.openxmlformats.org/officeDocument/2006/relationships/oleObject" Target="embeddings/oleObject8.bin"/><Relationship Id="rId104" Type="http://schemas.openxmlformats.org/officeDocument/2006/relationships/image" Target="media/image82.wmf"/><Relationship Id="rId103" Type="http://schemas.openxmlformats.org/officeDocument/2006/relationships/oleObject" Target="embeddings/oleObject7.bin"/><Relationship Id="rId102" Type="http://schemas.openxmlformats.org/officeDocument/2006/relationships/image" Target="media/image81.wmf"/><Relationship Id="rId101" Type="http://schemas.openxmlformats.org/officeDocument/2006/relationships/oleObject" Target="embeddings/oleObject6.bin"/><Relationship Id="rId100" Type="http://schemas.openxmlformats.org/officeDocument/2006/relationships/image" Target="media/image80.w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71"/>
    <customShpInfo spid="_x0000_s1072"/>
    <customShpInfo spid="_x0000_s1073"/>
    <customShpInfo spid="_x0000_s1074"/>
    <customShpInfo spid="_x0000_s1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EE5252-55B8-415A-822C-0F351C212487}">
  <ds:schemaRefs/>
</ds:datastoreItem>
</file>

<file path=docProps/app.xml><?xml version="1.0" encoding="utf-8"?>
<Properties xmlns="http://schemas.openxmlformats.org/officeDocument/2006/extended-properties" xmlns:vt="http://schemas.openxmlformats.org/officeDocument/2006/docPropsVTypes">
  <Template>Normal.dotm</Template>
  <Pages>264</Pages>
  <Words>1239</Words>
  <Characters>1543</Characters>
  <Lines>1196</Lines>
  <Paragraphs>336</Paragraphs>
  <TotalTime>41</TotalTime>
  <ScaleCrop>false</ScaleCrop>
  <LinksUpToDate>false</LinksUpToDate>
  <CharactersWithSpaces>1767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2026-01-14T02:13:00Z</dcterms:created>
  <dc:creator>LIU</dc:creator>
  <cp:lastModifiedBy>WPS_1645603672</cp:lastModifiedBy>
  <cp:lastPrinted>2022-08-30T08:45:00Z</cp:lastPrinted>
  <dcterms:modified xsi:type="dcterms:W3CDTF">2026-01-21T07:50:52Z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eyJoZGlkIjoiZjllMDQzZjdiNWE3MjNkMjI4YzNkYjMxY2JjNWFjZDEiLCJ1c2VySWQiOiIxMzM3NTMyNjE5In0=</vt:lpwstr>
  </property>
  <property fmtid="{D5CDD505-2E9C-101B-9397-08002B2CF9AE}" pid="3" name="KSOProductBuildVer">
    <vt:lpwstr>2052-12.1.0.24657</vt:lpwstr>
  </property>
  <property fmtid="{D5CDD505-2E9C-101B-9397-08002B2CF9AE}" pid="4" name="ICV">
    <vt:lpwstr>7593A99ACC544F55A6658239E426EA4F_12</vt:lpwstr>
  </property>
</Properties>
</file>